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832D3" w14:textId="1CEB1BFB" w:rsidR="00616885" w:rsidRDefault="00616885">
      <w:pPr>
        <w:spacing w:before="0"/>
        <w:jc w:val="left"/>
        <w:rPr>
          <w:szCs w:val="22"/>
        </w:rPr>
      </w:pPr>
    </w:p>
    <w:p w14:paraId="31594EA6" w14:textId="5B3085C1" w:rsidR="00B97365" w:rsidRDefault="00000000">
      <w:pPr>
        <w:pStyle w:val="Centredtext"/>
      </w:pPr>
      <w:r>
        <w:rPr>
          <w:noProof/>
          <w:lang w:eastAsia="en-GB" w:bidi="ar-SA"/>
        </w:rPr>
        <w:drawing>
          <wp:inline distT="0" distB="0" distL="0" distR="0" wp14:anchorId="6407E8BF" wp14:editId="1E78DA54">
            <wp:extent cx="1725318" cy="1725318"/>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uare-logo.png"/>
                    <pic:cNvPicPr/>
                  </pic:nvPicPr>
                  <pic:blipFill>
                    <a:blip r:embed="rId11">
                      <a:extLst>
                        <a:ext uri="{28A0092B-C50C-407E-A947-70E740481C1C}">
                          <a14:useLocalDpi xmlns:a14="http://schemas.microsoft.com/office/drawing/2010/main" val="0"/>
                        </a:ext>
                      </a:extLst>
                    </a:blip>
                    <a:stretch>
                      <a:fillRect/>
                    </a:stretch>
                  </pic:blipFill>
                  <pic:spPr>
                    <a:xfrm>
                      <a:off x="0" y="0"/>
                      <a:ext cx="1725318" cy="1725318"/>
                    </a:xfrm>
                    <a:prstGeom prst="rect">
                      <a:avLst/>
                    </a:prstGeom>
                  </pic:spPr>
                </pic:pic>
              </a:graphicData>
            </a:graphic>
          </wp:inline>
        </w:drawing>
      </w:r>
      <w:r>
        <w:rPr>
          <w:noProof/>
          <w:lang w:eastAsia="en-GB" w:bidi="ar-SA"/>
        </w:rPr>
        <mc:AlternateContent>
          <mc:Choice Requires="wps">
            <w:drawing>
              <wp:anchor distT="0" distB="0" distL="114300" distR="114300" simplePos="0" relativeHeight="251657216" behindDoc="0" locked="0" layoutInCell="1" allowOverlap="1" wp14:anchorId="1D5C946C" wp14:editId="03B6A6CA">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9C1F2"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p>
    <w:sdt>
      <w:sdtPr>
        <w:alias w:val="Document Title"/>
        <w:tag w:val="GSMATitle"/>
        <w:id w:val="443965686"/>
        <w:lock w:val="sdtContentLocked"/>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A2B0833" w14:textId="77777777" w:rsidR="00B97365" w:rsidRDefault="00000000">
          <w:pPr>
            <w:pStyle w:val="Title"/>
          </w:pPr>
          <w:r>
            <w:t>Remote Provisioning Architecture for Embedded UICC Technical Specification</w:t>
          </w:r>
        </w:p>
      </w:sdtContent>
    </w:sdt>
    <w:p w14:paraId="6FE67AD2" w14:textId="71997BCE" w:rsidR="00B97365" w:rsidRDefault="00000000">
      <w:pPr>
        <w:pStyle w:val="Title"/>
      </w:pPr>
      <w:r>
        <w:t>Version 4.3</w:t>
      </w:r>
    </w:p>
    <w:p w14:paraId="7802B283" w14:textId="74821128" w:rsidR="00B97365" w:rsidRDefault="003C254C">
      <w:pPr>
        <w:pStyle w:val="Title"/>
      </w:pPr>
      <w:r>
        <w:t>25</w:t>
      </w:r>
      <w:r w:rsidR="00F8791D">
        <w:t xml:space="preserve"> </w:t>
      </w:r>
      <w:r>
        <w:t>January</w:t>
      </w:r>
      <w:r w:rsidR="00F8791D">
        <w:t xml:space="preserve"> 202</w:t>
      </w:r>
      <w:r>
        <w:t>3</w:t>
      </w:r>
    </w:p>
    <w:p w14:paraId="1A873EE8" w14:textId="77777777" w:rsidR="00B97365" w:rsidRDefault="00000000">
      <w:pPr>
        <w:pStyle w:val="Disclaimer"/>
      </w:pPr>
      <w:r>
        <w:t xml:space="preserve">This Industry Specification is a </w:t>
      </w:r>
      <w:sdt>
        <w:sdtPr>
          <w:alias w:val="Document Type"/>
          <w:tag w:val="GSMADocumentTypeTaxHTField0"/>
          <w:id w:val="801048408"/>
          <w:placeholder>
            <w:docPart w:val="DBFF9A1B0E8C441CB743EEDF645C5C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sdtPr>
        <w:sdtContent>
          <w:r>
            <w:t>Non-binding Permanent Reference Document</w:t>
          </w:r>
        </w:sdtContent>
      </w:sdt>
      <w:r>
        <w:t xml:space="preserve"> of the GSMA</w:t>
      </w:r>
    </w:p>
    <w:p w14:paraId="518512BC" w14:textId="77777777" w:rsidR="00B97365" w:rsidRDefault="00000000">
      <w:pPr>
        <w:pStyle w:val="DocInfo"/>
        <w:rPr>
          <w:sz w:val="22"/>
        </w:rPr>
      </w:pPr>
      <w:r>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istItem w:value="[Security Classification]"/>
          </w:dropDownList>
        </w:sdtPr>
        <w:sdtContent>
          <w:r>
            <w:rPr>
              <w:sz w:val="22"/>
            </w:rPr>
            <w:t>Non-confidential</w:t>
          </w:r>
        </w:sdtContent>
      </w:sdt>
    </w:p>
    <w:p w14:paraId="792CA8EF" w14:textId="77777777" w:rsidR="00B97365" w:rsidRDefault="00000000">
      <w:pPr>
        <w:pStyle w:val="CSLegal3"/>
      </w:pPr>
      <w:r>
        <w:t xml:space="preserve">Access to and distribution of this document is restricted to the persons permitted by the security classification.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permitted under the security classification without the prior written approval of the Association. </w:t>
      </w:r>
    </w:p>
    <w:p w14:paraId="4159D594" w14:textId="77777777" w:rsidR="00B97365" w:rsidRDefault="00000000">
      <w:pPr>
        <w:pStyle w:val="DocInfo"/>
        <w:rPr>
          <w:rFonts w:eastAsia="Arial Unicode MS"/>
        </w:rPr>
      </w:pPr>
      <w:r>
        <w:t>Copyright Notice</w:t>
      </w:r>
    </w:p>
    <w:p w14:paraId="2E63793D" w14:textId="0287B2B0" w:rsidR="00B97365" w:rsidRDefault="00000000">
      <w:pPr>
        <w:pStyle w:val="CSLegal3"/>
      </w:pPr>
      <w:r>
        <w:t xml:space="preserve">Copyright © </w:t>
      </w:r>
      <w:r>
        <w:fldChar w:fldCharType="begin"/>
      </w:r>
      <w:r>
        <w:instrText xml:space="preserve"> DATE  \@ "YYYY"  \* MERGEFORMAT </w:instrText>
      </w:r>
      <w:r>
        <w:fldChar w:fldCharType="separate"/>
      </w:r>
      <w:r w:rsidR="001D5AD9">
        <w:rPr>
          <w:noProof/>
        </w:rPr>
        <w:t>2023</w:t>
      </w:r>
      <w:r>
        <w:fldChar w:fldCharType="end"/>
      </w:r>
      <w:r>
        <w:t xml:space="preserve"> GSM Association</w:t>
      </w:r>
    </w:p>
    <w:p w14:paraId="392EF745" w14:textId="77777777" w:rsidR="00B97365" w:rsidRDefault="00000000">
      <w:pPr>
        <w:pStyle w:val="DocInfo"/>
        <w:spacing w:before="0"/>
      </w:pPr>
      <w:r>
        <w:t>Disclaimer</w:t>
      </w:r>
    </w:p>
    <w:p w14:paraId="59D0F14D" w14:textId="77777777" w:rsidR="00B97365" w:rsidRDefault="00000000">
      <w:pPr>
        <w:pStyle w:val="CSLegal3"/>
      </w:pPr>
      <w:r>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3FC5EBA4" w14:textId="77777777" w:rsidR="00B97365" w:rsidRDefault="00000000">
      <w:pPr>
        <w:pStyle w:val="DocInfo"/>
        <w:spacing w:before="0"/>
      </w:pPr>
      <w:r>
        <w:t>Compliance Notice</w:t>
      </w:r>
    </w:p>
    <w:p w14:paraId="26EDD629" w14:textId="77777777" w:rsidR="00B97365" w:rsidRDefault="00000000">
      <w:pPr>
        <w:pStyle w:val="CSLegal3"/>
      </w:pPr>
      <w:r>
        <w:t>The information contain herein is in full compliance with the GSM Association’s antitrust compliance policy.</w:t>
      </w:r>
      <w:bookmarkStart w:id="0" w:name="RestrictedTable2"/>
      <w:bookmarkEnd w:id="0"/>
    </w:p>
    <w:p w14:paraId="0D3DA5BC" w14:textId="77777777" w:rsidR="00B97365" w:rsidRDefault="00000000">
      <w:pPr>
        <w:pStyle w:val="CSLegal3"/>
      </w:pPr>
      <w:r>
        <w:t>This Permanent Reference Document is classified by GSMA as an Industry Specification, as such it has been developed and is maintained by GSMA in accordance with the provisions set out in GSMA AA.35 - Procedures for Industry Specifications.</w:t>
      </w:r>
    </w:p>
    <w:p w14:paraId="110BD1AD" w14:textId="77777777" w:rsidR="00B97365" w:rsidRDefault="00000000">
      <w:pPr>
        <w:pStyle w:val="NormalParagraph"/>
      </w:pPr>
      <w:r>
        <w:rPr>
          <w:noProof/>
        </w:rPr>
        <mc:AlternateContent>
          <mc:Choice Requires="wps">
            <w:drawing>
              <wp:anchor distT="0" distB="0" distL="114300" distR="114300" simplePos="0" relativeHeight="251658240" behindDoc="0" locked="0" layoutInCell="1" allowOverlap="1" wp14:anchorId="112945AA" wp14:editId="776239A9">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5550C"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swIwF&#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0D778C0E" w14:textId="77777777" w:rsidR="00B97365" w:rsidRDefault="00B97365">
      <w:pPr>
        <w:pStyle w:val="TOCHeading"/>
        <w:sectPr w:rsidR="00B97365">
          <w:headerReference w:type="default" r:id="rId12"/>
          <w:footerReference w:type="default" r:id="rId13"/>
          <w:pgSz w:w="11906" w:h="16838" w:code="9"/>
          <w:pgMar w:top="2381" w:right="1440" w:bottom="1440" w:left="1440" w:header="709" w:footer="709" w:gutter="0"/>
          <w:pgNumType w:start="1"/>
          <w:cols w:space="720"/>
          <w:docGrid w:linePitch="360"/>
        </w:sectPr>
      </w:pPr>
    </w:p>
    <w:p w14:paraId="3E449D06" w14:textId="77777777" w:rsidR="00B97365" w:rsidRDefault="00000000">
      <w:pPr>
        <w:pStyle w:val="TOCHeading"/>
      </w:pPr>
      <w:r>
        <w:lastRenderedPageBreak/>
        <w:t>Table of Contents</w:t>
      </w:r>
    </w:p>
    <w:p w14:paraId="34287D52" w14:textId="7B26EBD6" w:rsidR="00616885" w:rsidRDefault="00000000">
      <w:pPr>
        <w:pStyle w:val="TOC1"/>
        <w:rPr>
          <w:rFonts w:asciiTheme="minorHAnsi" w:eastAsiaTheme="minorEastAsia" w:hAnsiTheme="minorHAnsi" w:cstheme="minorBidi"/>
          <w:b w:val="0"/>
          <w:lang w:eastAsia="en-GB" w:bidi="ar-SA"/>
        </w:rPr>
      </w:pPr>
      <w:r>
        <w:fldChar w:fldCharType="begin"/>
      </w:r>
      <w:r>
        <w:instrText xml:space="preserve"> TOC \o "1-3" \h \z \u </w:instrText>
      </w:r>
      <w:r>
        <w:fldChar w:fldCharType="separate"/>
      </w:r>
      <w:hyperlink w:anchor="_Toc121503886" w:history="1">
        <w:r w:rsidR="00616885" w:rsidRPr="00657503">
          <w:rPr>
            <w:rStyle w:val="Hyperlink"/>
          </w:rPr>
          <w:t>1 Introduction</w:t>
        </w:r>
        <w:r w:rsidR="00616885">
          <w:rPr>
            <w:webHidden/>
          </w:rPr>
          <w:tab/>
        </w:r>
        <w:r w:rsidR="00616885">
          <w:rPr>
            <w:webHidden/>
          </w:rPr>
          <w:fldChar w:fldCharType="begin"/>
        </w:r>
        <w:r w:rsidR="00616885">
          <w:rPr>
            <w:webHidden/>
          </w:rPr>
          <w:instrText xml:space="preserve"> PAGEREF _Toc121503886 \h </w:instrText>
        </w:r>
        <w:r w:rsidR="00616885">
          <w:rPr>
            <w:webHidden/>
          </w:rPr>
        </w:r>
        <w:r w:rsidR="00616885">
          <w:rPr>
            <w:webHidden/>
          </w:rPr>
          <w:fldChar w:fldCharType="separate"/>
        </w:r>
        <w:r w:rsidR="001D5AD9">
          <w:rPr>
            <w:webHidden/>
          </w:rPr>
          <w:t>8</w:t>
        </w:r>
        <w:r w:rsidR="00616885">
          <w:rPr>
            <w:webHidden/>
          </w:rPr>
          <w:fldChar w:fldCharType="end"/>
        </w:r>
      </w:hyperlink>
    </w:p>
    <w:p w14:paraId="105C76AD" w14:textId="6A13090A" w:rsidR="00616885" w:rsidRDefault="00000000">
      <w:pPr>
        <w:pStyle w:val="TOC2"/>
        <w:rPr>
          <w:rFonts w:asciiTheme="minorHAnsi" w:eastAsiaTheme="minorEastAsia" w:hAnsiTheme="minorHAnsi" w:cstheme="minorBidi"/>
          <w:szCs w:val="22"/>
          <w:lang w:bidi="ar-SA"/>
        </w:rPr>
      </w:pPr>
      <w:hyperlink w:anchor="_Toc121503887" w:history="1">
        <w:r w:rsidR="00616885" w:rsidRPr="00657503">
          <w:rPr>
            <w:rStyle w:val="Hyperlink"/>
            <w:rFonts w:cs="Arial"/>
            <w:b/>
            <w:bCs/>
            <w:iCs/>
            <w:lang w:eastAsia="en-US"/>
          </w:rPr>
          <w:t>1.1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Overview</w:t>
        </w:r>
        <w:r w:rsidR="00616885">
          <w:rPr>
            <w:webHidden/>
          </w:rPr>
          <w:tab/>
        </w:r>
        <w:r w:rsidR="00616885">
          <w:rPr>
            <w:webHidden/>
          </w:rPr>
          <w:fldChar w:fldCharType="begin"/>
        </w:r>
        <w:r w:rsidR="00616885">
          <w:rPr>
            <w:webHidden/>
          </w:rPr>
          <w:instrText xml:space="preserve"> PAGEREF _Toc121503887 \h </w:instrText>
        </w:r>
        <w:r w:rsidR="00616885">
          <w:rPr>
            <w:webHidden/>
          </w:rPr>
        </w:r>
        <w:r w:rsidR="00616885">
          <w:rPr>
            <w:webHidden/>
          </w:rPr>
          <w:fldChar w:fldCharType="separate"/>
        </w:r>
        <w:r w:rsidR="001D5AD9">
          <w:rPr>
            <w:webHidden/>
          </w:rPr>
          <w:t>8</w:t>
        </w:r>
        <w:r w:rsidR="00616885">
          <w:rPr>
            <w:webHidden/>
          </w:rPr>
          <w:fldChar w:fldCharType="end"/>
        </w:r>
      </w:hyperlink>
    </w:p>
    <w:p w14:paraId="4641940D" w14:textId="2207CCC1" w:rsidR="00616885" w:rsidRDefault="00000000">
      <w:pPr>
        <w:pStyle w:val="TOC2"/>
        <w:rPr>
          <w:rFonts w:asciiTheme="minorHAnsi" w:eastAsiaTheme="minorEastAsia" w:hAnsiTheme="minorHAnsi" w:cstheme="minorBidi"/>
          <w:szCs w:val="22"/>
          <w:lang w:bidi="ar-SA"/>
        </w:rPr>
      </w:pPr>
      <w:hyperlink w:anchor="_Toc121503888" w:history="1">
        <w:r w:rsidR="00616885" w:rsidRPr="00657503">
          <w:rPr>
            <w:rStyle w:val="Hyperlink"/>
            <w:rFonts w:cs="Arial"/>
            <w:b/>
            <w:bCs/>
            <w:iCs/>
            <w:lang w:eastAsia="en-US"/>
          </w:rPr>
          <w:t>1.2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Scope</w:t>
        </w:r>
        <w:r w:rsidR="00616885">
          <w:rPr>
            <w:webHidden/>
          </w:rPr>
          <w:tab/>
        </w:r>
        <w:r w:rsidR="00616885">
          <w:rPr>
            <w:webHidden/>
          </w:rPr>
          <w:fldChar w:fldCharType="begin"/>
        </w:r>
        <w:r w:rsidR="00616885">
          <w:rPr>
            <w:webHidden/>
          </w:rPr>
          <w:instrText xml:space="preserve"> PAGEREF _Toc121503888 \h </w:instrText>
        </w:r>
        <w:r w:rsidR="00616885">
          <w:rPr>
            <w:webHidden/>
          </w:rPr>
        </w:r>
        <w:r w:rsidR="00616885">
          <w:rPr>
            <w:webHidden/>
          </w:rPr>
          <w:fldChar w:fldCharType="separate"/>
        </w:r>
        <w:r w:rsidR="001D5AD9">
          <w:rPr>
            <w:webHidden/>
          </w:rPr>
          <w:t>8</w:t>
        </w:r>
        <w:r w:rsidR="00616885">
          <w:rPr>
            <w:webHidden/>
          </w:rPr>
          <w:fldChar w:fldCharType="end"/>
        </w:r>
      </w:hyperlink>
    </w:p>
    <w:p w14:paraId="5CD9A251" w14:textId="58B37231" w:rsidR="00616885" w:rsidRDefault="00000000">
      <w:pPr>
        <w:pStyle w:val="TOC2"/>
        <w:rPr>
          <w:rFonts w:asciiTheme="minorHAnsi" w:eastAsiaTheme="minorEastAsia" w:hAnsiTheme="minorHAnsi" w:cstheme="minorBidi"/>
          <w:szCs w:val="22"/>
          <w:lang w:bidi="ar-SA"/>
        </w:rPr>
      </w:pPr>
      <w:hyperlink w:anchor="_Toc121503889" w:history="1">
        <w:r w:rsidR="00616885" w:rsidRPr="00657503">
          <w:rPr>
            <w:rStyle w:val="Hyperlink"/>
            <w:rFonts w:cs="Arial"/>
            <w:b/>
            <w:bCs/>
            <w:iCs/>
            <w:lang w:eastAsia="en-US"/>
          </w:rPr>
          <w:t>1.3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Document Purpose</w:t>
        </w:r>
        <w:r w:rsidR="00616885">
          <w:rPr>
            <w:webHidden/>
          </w:rPr>
          <w:tab/>
        </w:r>
        <w:r w:rsidR="00616885">
          <w:rPr>
            <w:webHidden/>
          </w:rPr>
          <w:fldChar w:fldCharType="begin"/>
        </w:r>
        <w:r w:rsidR="00616885">
          <w:rPr>
            <w:webHidden/>
          </w:rPr>
          <w:instrText xml:space="preserve"> PAGEREF _Toc121503889 \h </w:instrText>
        </w:r>
        <w:r w:rsidR="00616885">
          <w:rPr>
            <w:webHidden/>
          </w:rPr>
        </w:r>
        <w:r w:rsidR="00616885">
          <w:rPr>
            <w:webHidden/>
          </w:rPr>
          <w:fldChar w:fldCharType="separate"/>
        </w:r>
        <w:r w:rsidR="001D5AD9">
          <w:rPr>
            <w:webHidden/>
          </w:rPr>
          <w:t>8</w:t>
        </w:r>
        <w:r w:rsidR="00616885">
          <w:rPr>
            <w:webHidden/>
          </w:rPr>
          <w:fldChar w:fldCharType="end"/>
        </w:r>
      </w:hyperlink>
    </w:p>
    <w:p w14:paraId="2434F756" w14:textId="22AC87C4" w:rsidR="00616885" w:rsidRDefault="00000000">
      <w:pPr>
        <w:pStyle w:val="TOC2"/>
        <w:rPr>
          <w:rFonts w:asciiTheme="minorHAnsi" w:eastAsiaTheme="minorEastAsia" w:hAnsiTheme="minorHAnsi" w:cstheme="minorBidi"/>
          <w:szCs w:val="22"/>
          <w:lang w:bidi="ar-SA"/>
        </w:rPr>
      </w:pPr>
      <w:hyperlink w:anchor="_Toc121503890" w:history="1">
        <w:r w:rsidR="00616885" w:rsidRPr="00657503">
          <w:rPr>
            <w:rStyle w:val="Hyperlink"/>
            <w:rFonts w:cs="Arial"/>
            <w:b/>
            <w:bCs/>
            <w:iCs/>
            <w:lang w:eastAsia="en-US"/>
          </w:rPr>
          <w:t>1.4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Intended Audience</w:t>
        </w:r>
        <w:r w:rsidR="00616885">
          <w:rPr>
            <w:webHidden/>
          </w:rPr>
          <w:tab/>
        </w:r>
        <w:r w:rsidR="00616885">
          <w:rPr>
            <w:webHidden/>
          </w:rPr>
          <w:fldChar w:fldCharType="begin"/>
        </w:r>
        <w:r w:rsidR="00616885">
          <w:rPr>
            <w:webHidden/>
          </w:rPr>
          <w:instrText xml:space="preserve"> PAGEREF _Toc121503890 \h </w:instrText>
        </w:r>
        <w:r w:rsidR="00616885">
          <w:rPr>
            <w:webHidden/>
          </w:rPr>
        </w:r>
        <w:r w:rsidR="00616885">
          <w:rPr>
            <w:webHidden/>
          </w:rPr>
          <w:fldChar w:fldCharType="separate"/>
        </w:r>
        <w:r w:rsidR="001D5AD9">
          <w:rPr>
            <w:webHidden/>
          </w:rPr>
          <w:t>8</w:t>
        </w:r>
        <w:r w:rsidR="00616885">
          <w:rPr>
            <w:webHidden/>
          </w:rPr>
          <w:fldChar w:fldCharType="end"/>
        </w:r>
      </w:hyperlink>
    </w:p>
    <w:p w14:paraId="1F016607" w14:textId="0A75EB4D" w:rsidR="00616885" w:rsidRDefault="00000000">
      <w:pPr>
        <w:pStyle w:val="TOC2"/>
        <w:rPr>
          <w:rFonts w:asciiTheme="minorHAnsi" w:eastAsiaTheme="minorEastAsia" w:hAnsiTheme="minorHAnsi" w:cstheme="minorBidi"/>
          <w:szCs w:val="22"/>
          <w:lang w:bidi="ar-SA"/>
        </w:rPr>
      </w:pPr>
      <w:hyperlink w:anchor="_Toc121503891" w:history="1">
        <w:r w:rsidR="00616885" w:rsidRPr="00657503">
          <w:rPr>
            <w:rStyle w:val="Hyperlink"/>
            <w:rFonts w:cs="Arial"/>
            <w:b/>
            <w:bCs/>
            <w:iCs/>
            <w:lang w:eastAsia="en-US"/>
          </w:rPr>
          <w:t>1.5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Definition of Terms</w:t>
        </w:r>
        <w:r w:rsidR="00616885">
          <w:rPr>
            <w:webHidden/>
          </w:rPr>
          <w:tab/>
        </w:r>
        <w:r w:rsidR="00616885">
          <w:rPr>
            <w:webHidden/>
          </w:rPr>
          <w:fldChar w:fldCharType="begin"/>
        </w:r>
        <w:r w:rsidR="00616885">
          <w:rPr>
            <w:webHidden/>
          </w:rPr>
          <w:instrText xml:space="preserve"> PAGEREF _Toc121503891 \h </w:instrText>
        </w:r>
        <w:r w:rsidR="00616885">
          <w:rPr>
            <w:webHidden/>
          </w:rPr>
        </w:r>
        <w:r w:rsidR="00616885">
          <w:rPr>
            <w:webHidden/>
          </w:rPr>
          <w:fldChar w:fldCharType="separate"/>
        </w:r>
        <w:r w:rsidR="001D5AD9">
          <w:rPr>
            <w:webHidden/>
          </w:rPr>
          <w:t>8</w:t>
        </w:r>
        <w:r w:rsidR="00616885">
          <w:rPr>
            <w:webHidden/>
          </w:rPr>
          <w:fldChar w:fldCharType="end"/>
        </w:r>
      </w:hyperlink>
    </w:p>
    <w:p w14:paraId="13B3CE79" w14:textId="2523040E" w:rsidR="00616885" w:rsidRDefault="00000000">
      <w:pPr>
        <w:pStyle w:val="TOC2"/>
        <w:rPr>
          <w:rFonts w:asciiTheme="minorHAnsi" w:eastAsiaTheme="minorEastAsia" w:hAnsiTheme="minorHAnsi" w:cstheme="minorBidi"/>
          <w:szCs w:val="22"/>
          <w:lang w:bidi="ar-SA"/>
        </w:rPr>
      </w:pPr>
      <w:hyperlink w:anchor="_Toc121503892" w:history="1">
        <w:r w:rsidR="00616885" w:rsidRPr="00657503">
          <w:rPr>
            <w:rStyle w:val="Hyperlink"/>
            <w:rFonts w:cs="Arial"/>
            <w:b/>
            <w:bCs/>
            <w:iCs/>
            <w:lang w:eastAsia="en-US"/>
          </w:rPr>
          <w:t>1.6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Abbreviations</w:t>
        </w:r>
        <w:r w:rsidR="00616885">
          <w:rPr>
            <w:webHidden/>
          </w:rPr>
          <w:tab/>
        </w:r>
        <w:r w:rsidR="00616885">
          <w:rPr>
            <w:webHidden/>
          </w:rPr>
          <w:fldChar w:fldCharType="begin"/>
        </w:r>
        <w:r w:rsidR="00616885">
          <w:rPr>
            <w:webHidden/>
          </w:rPr>
          <w:instrText xml:space="preserve"> PAGEREF _Toc121503892 \h </w:instrText>
        </w:r>
        <w:r w:rsidR="00616885">
          <w:rPr>
            <w:webHidden/>
          </w:rPr>
        </w:r>
        <w:r w:rsidR="00616885">
          <w:rPr>
            <w:webHidden/>
          </w:rPr>
          <w:fldChar w:fldCharType="separate"/>
        </w:r>
        <w:r w:rsidR="001D5AD9">
          <w:rPr>
            <w:webHidden/>
          </w:rPr>
          <w:t>13</w:t>
        </w:r>
        <w:r w:rsidR="00616885">
          <w:rPr>
            <w:webHidden/>
          </w:rPr>
          <w:fldChar w:fldCharType="end"/>
        </w:r>
      </w:hyperlink>
    </w:p>
    <w:p w14:paraId="7404A6B6" w14:textId="24D17139" w:rsidR="00616885" w:rsidRDefault="00000000">
      <w:pPr>
        <w:pStyle w:val="TOC2"/>
        <w:rPr>
          <w:rFonts w:asciiTheme="minorHAnsi" w:eastAsiaTheme="minorEastAsia" w:hAnsiTheme="minorHAnsi" w:cstheme="minorBidi"/>
          <w:szCs w:val="22"/>
          <w:lang w:bidi="ar-SA"/>
        </w:rPr>
      </w:pPr>
      <w:hyperlink w:anchor="_Toc121503893" w:history="1">
        <w:r w:rsidR="00616885" w:rsidRPr="00657503">
          <w:rPr>
            <w:rStyle w:val="Hyperlink"/>
            <w:rFonts w:cs="Arial"/>
            <w:b/>
            <w:bCs/>
            <w:iCs/>
            <w:lang w:eastAsia="en-US"/>
          </w:rPr>
          <w:t>1.7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References</w:t>
        </w:r>
        <w:r w:rsidR="00616885">
          <w:rPr>
            <w:webHidden/>
          </w:rPr>
          <w:tab/>
        </w:r>
        <w:r w:rsidR="00616885">
          <w:rPr>
            <w:webHidden/>
          </w:rPr>
          <w:fldChar w:fldCharType="begin"/>
        </w:r>
        <w:r w:rsidR="00616885">
          <w:rPr>
            <w:webHidden/>
          </w:rPr>
          <w:instrText xml:space="preserve"> PAGEREF _Toc121503893 \h </w:instrText>
        </w:r>
        <w:r w:rsidR="00616885">
          <w:rPr>
            <w:webHidden/>
          </w:rPr>
        </w:r>
        <w:r w:rsidR="00616885">
          <w:rPr>
            <w:webHidden/>
          </w:rPr>
          <w:fldChar w:fldCharType="separate"/>
        </w:r>
        <w:r w:rsidR="001D5AD9">
          <w:rPr>
            <w:webHidden/>
          </w:rPr>
          <w:t>16</w:t>
        </w:r>
        <w:r w:rsidR="00616885">
          <w:rPr>
            <w:webHidden/>
          </w:rPr>
          <w:fldChar w:fldCharType="end"/>
        </w:r>
      </w:hyperlink>
    </w:p>
    <w:p w14:paraId="717C7B24" w14:textId="71C9D123" w:rsidR="00616885" w:rsidRDefault="00000000">
      <w:pPr>
        <w:pStyle w:val="TOC2"/>
        <w:rPr>
          <w:rFonts w:asciiTheme="minorHAnsi" w:eastAsiaTheme="minorEastAsia" w:hAnsiTheme="minorHAnsi" w:cstheme="minorBidi"/>
          <w:szCs w:val="22"/>
          <w:lang w:bidi="ar-SA"/>
        </w:rPr>
      </w:pPr>
      <w:hyperlink w:anchor="_Toc121503894" w:history="1">
        <w:r w:rsidR="00616885" w:rsidRPr="00657503">
          <w:rPr>
            <w:rStyle w:val="Hyperlink"/>
            <w:rFonts w:cs="Arial"/>
            <w:b/>
            <w:bCs/>
            <w:iCs/>
            <w:lang w:eastAsia="en-US"/>
          </w:rPr>
          <w:t>1.8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Conventions</w:t>
        </w:r>
        <w:r w:rsidR="00616885">
          <w:rPr>
            <w:webHidden/>
          </w:rPr>
          <w:tab/>
        </w:r>
        <w:r w:rsidR="00616885">
          <w:rPr>
            <w:webHidden/>
          </w:rPr>
          <w:fldChar w:fldCharType="begin"/>
        </w:r>
        <w:r w:rsidR="00616885">
          <w:rPr>
            <w:webHidden/>
          </w:rPr>
          <w:instrText xml:space="preserve"> PAGEREF _Toc121503894 \h </w:instrText>
        </w:r>
        <w:r w:rsidR="00616885">
          <w:rPr>
            <w:webHidden/>
          </w:rPr>
        </w:r>
        <w:r w:rsidR="00616885">
          <w:rPr>
            <w:webHidden/>
          </w:rPr>
          <w:fldChar w:fldCharType="separate"/>
        </w:r>
        <w:r w:rsidR="001D5AD9">
          <w:rPr>
            <w:webHidden/>
          </w:rPr>
          <w:t>19</w:t>
        </w:r>
        <w:r w:rsidR="00616885">
          <w:rPr>
            <w:webHidden/>
          </w:rPr>
          <w:fldChar w:fldCharType="end"/>
        </w:r>
      </w:hyperlink>
    </w:p>
    <w:p w14:paraId="4F8D0AFD" w14:textId="6CCF1C38" w:rsidR="00616885" w:rsidRDefault="00000000">
      <w:pPr>
        <w:pStyle w:val="TOC1"/>
        <w:rPr>
          <w:rFonts w:asciiTheme="minorHAnsi" w:eastAsiaTheme="minorEastAsia" w:hAnsiTheme="minorHAnsi" w:cstheme="minorBidi"/>
          <w:b w:val="0"/>
          <w:lang w:eastAsia="en-GB" w:bidi="ar-SA"/>
        </w:rPr>
      </w:pPr>
      <w:hyperlink w:anchor="_Toc121503895" w:history="1">
        <w:r w:rsidR="00616885" w:rsidRPr="00657503">
          <w:rPr>
            <w:rStyle w:val="Hyperlink"/>
            <w:rFonts w:eastAsia="Times New Roman" w:cs="Arial"/>
            <w:bCs/>
            <w:lang w:eastAsia="en-US"/>
          </w:rPr>
          <w:t>2</w:t>
        </w:r>
        <w:r w:rsidR="00616885">
          <w:rPr>
            <w:rFonts w:asciiTheme="minorHAnsi" w:eastAsiaTheme="minorEastAsia" w:hAnsiTheme="minorHAnsi" w:cstheme="minorBidi"/>
            <w:b w:val="0"/>
            <w:lang w:eastAsia="en-GB" w:bidi="ar-SA"/>
          </w:rPr>
          <w:tab/>
        </w:r>
        <w:r w:rsidR="00616885" w:rsidRPr="00657503">
          <w:rPr>
            <w:rStyle w:val="Hyperlink"/>
            <w:rFonts w:eastAsia="Times New Roman" w:cs="Arial"/>
            <w:bCs/>
            <w:lang w:eastAsia="en-US"/>
          </w:rPr>
          <w:t>General Parts of the Technical Specification</w:t>
        </w:r>
        <w:r w:rsidR="00616885">
          <w:rPr>
            <w:webHidden/>
          </w:rPr>
          <w:tab/>
        </w:r>
        <w:r w:rsidR="00616885">
          <w:rPr>
            <w:webHidden/>
          </w:rPr>
          <w:fldChar w:fldCharType="begin"/>
        </w:r>
        <w:r w:rsidR="00616885">
          <w:rPr>
            <w:webHidden/>
          </w:rPr>
          <w:instrText xml:space="preserve"> PAGEREF _Toc121503895 \h </w:instrText>
        </w:r>
        <w:r w:rsidR="00616885">
          <w:rPr>
            <w:webHidden/>
          </w:rPr>
        </w:r>
        <w:r w:rsidR="00616885">
          <w:rPr>
            <w:webHidden/>
          </w:rPr>
          <w:fldChar w:fldCharType="separate"/>
        </w:r>
        <w:r w:rsidR="001D5AD9">
          <w:rPr>
            <w:webHidden/>
          </w:rPr>
          <w:t>19</w:t>
        </w:r>
        <w:r w:rsidR="00616885">
          <w:rPr>
            <w:webHidden/>
          </w:rPr>
          <w:fldChar w:fldCharType="end"/>
        </w:r>
      </w:hyperlink>
    </w:p>
    <w:p w14:paraId="70EB6FF0" w14:textId="54EEEBE2" w:rsidR="00616885" w:rsidRDefault="00000000">
      <w:pPr>
        <w:pStyle w:val="TOC2"/>
        <w:rPr>
          <w:rFonts w:asciiTheme="minorHAnsi" w:eastAsiaTheme="minorEastAsia" w:hAnsiTheme="minorHAnsi" w:cstheme="minorBidi"/>
          <w:szCs w:val="22"/>
          <w:lang w:bidi="ar-SA"/>
        </w:rPr>
      </w:pPr>
      <w:hyperlink w:anchor="_Toc121503896" w:history="1">
        <w:r w:rsidR="00616885" w:rsidRPr="00657503">
          <w:rPr>
            <w:rStyle w:val="Hyperlink"/>
            <w:rFonts w:cs="Arial"/>
            <w:b/>
            <w:bCs/>
            <w:iCs/>
            <w:lang w:eastAsia="en-US"/>
          </w:rPr>
          <w:t>2.1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General Architecture</w:t>
        </w:r>
        <w:r w:rsidR="00616885">
          <w:rPr>
            <w:webHidden/>
          </w:rPr>
          <w:tab/>
        </w:r>
        <w:r w:rsidR="00616885">
          <w:rPr>
            <w:webHidden/>
          </w:rPr>
          <w:fldChar w:fldCharType="begin"/>
        </w:r>
        <w:r w:rsidR="00616885">
          <w:rPr>
            <w:webHidden/>
          </w:rPr>
          <w:instrText xml:space="preserve"> PAGEREF _Toc121503896 \h </w:instrText>
        </w:r>
        <w:r w:rsidR="00616885">
          <w:rPr>
            <w:webHidden/>
          </w:rPr>
        </w:r>
        <w:r w:rsidR="00616885">
          <w:rPr>
            <w:webHidden/>
          </w:rPr>
          <w:fldChar w:fldCharType="separate"/>
        </w:r>
        <w:r w:rsidR="001D5AD9">
          <w:rPr>
            <w:webHidden/>
          </w:rPr>
          <w:t>19</w:t>
        </w:r>
        <w:r w:rsidR="00616885">
          <w:rPr>
            <w:webHidden/>
          </w:rPr>
          <w:fldChar w:fldCharType="end"/>
        </w:r>
      </w:hyperlink>
    </w:p>
    <w:p w14:paraId="133236D6" w14:textId="55A1E81B" w:rsidR="00616885" w:rsidRDefault="00000000">
      <w:pPr>
        <w:pStyle w:val="TOC2"/>
        <w:rPr>
          <w:rFonts w:asciiTheme="minorHAnsi" w:eastAsiaTheme="minorEastAsia" w:hAnsiTheme="minorHAnsi" w:cstheme="minorBidi"/>
          <w:szCs w:val="22"/>
          <w:lang w:bidi="ar-SA"/>
        </w:rPr>
      </w:pPr>
      <w:hyperlink w:anchor="_Toc121503897" w:history="1">
        <w:r w:rsidR="00616885" w:rsidRPr="00657503">
          <w:rPr>
            <w:rStyle w:val="Hyperlink"/>
            <w:rFonts w:cs="Arial"/>
            <w:b/>
            <w:bCs/>
            <w:iCs/>
            <w:lang w:eastAsia="en-US"/>
          </w:rPr>
          <w:t>2.2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eUICC Architecture</w:t>
        </w:r>
        <w:r w:rsidR="00616885">
          <w:rPr>
            <w:webHidden/>
          </w:rPr>
          <w:tab/>
        </w:r>
        <w:r w:rsidR="00616885">
          <w:rPr>
            <w:webHidden/>
          </w:rPr>
          <w:fldChar w:fldCharType="begin"/>
        </w:r>
        <w:r w:rsidR="00616885">
          <w:rPr>
            <w:webHidden/>
          </w:rPr>
          <w:instrText xml:space="preserve"> PAGEREF _Toc121503897 \h </w:instrText>
        </w:r>
        <w:r w:rsidR="00616885">
          <w:rPr>
            <w:webHidden/>
          </w:rPr>
        </w:r>
        <w:r w:rsidR="00616885">
          <w:rPr>
            <w:webHidden/>
          </w:rPr>
          <w:fldChar w:fldCharType="separate"/>
        </w:r>
        <w:r w:rsidR="001D5AD9">
          <w:rPr>
            <w:webHidden/>
          </w:rPr>
          <w:t>21</w:t>
        </w:r>
        <w:r w:rsidR="00616885">
          <w:rPr>
            <w:webHidden/>
          </w:rPr>
          <w:fldChar w:fldCharType="end"/>
        </w:r>
      </w:hyperlink>
    </w:p>
    <w:p w14:paraId="086E71E8" w14:textId="4F99C05F" w:rsidR="00616885" w:rsidRDefault="00000000">
      <w:pPr>
        <w:pStyle w:val="TOC3"/>
        <w:rPr>
          <w:rFonts w:asciiTheme="minorHAnsi" w:eastAsiaTheme="minorEastAsia" w:hAnsiTheme="minorHAnsi" w:cstheme="minorBidi"/>
          <w:szCs w:val="22"/>
          <w:lang w:bidi="ar-SA"/>
        </w:rPr>
      </w:pPr>
      <w:hyperlink w:anchor="_Toc121503898" w:history="1">
        <w:r w:rsidR="00616885" w:rsidRPr="00657503">
          <w:rPr>
            <w:rStyle w:val="Hyperlink"/>
            <w:rFonts w:cs="Arial"/>
            <w:b/>
            <w:bCs/>
            <w:iCs/>
            <w:lang w:eastAsia="en-US"/>
          </w:rPr>
          <w:t>2.2.1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Security Domains</w:t>
        </w:r>
        <w:r w:rsidR="00616885">
          <w:rPr>
            <w:webHidden/>
          </w:rPr>
          <w:tab/>
        </w:r>
        <w:r w:rsidR="00616885">
          <w:rPr>
            <w:webHidden/>
          </w:rPr>
          <w:fldChar w:fldCharType="begin"/>
        </w:r>
        <w:r w:rsidR="00616885">
          <w:rPr>
            <w:webHidden/>
          </w:rPr>
          <w:instrText xml:space="preserve"> PAGEREF _Toc121503898 \h </w:instrText>
        </w:r>
        <w:r w:rsidR="00616885">
          <w:rPr>
            <w:webHidden/>
          </w:rPr>
        </w:r>
        <w:r w:rsidR="00616885">
          <w:rPr>
            <w:webHidden/>
          </w:rPr>
          <w:fldChar w:fldCharType="separate"/>
        </w:r>
        <w:r w:rsidR="001D5AD9">
          <w:rPr>
            <w:webHidden/>
          </w:rPr>
          <w:t>21</w:t>
        </w:r>
        <w:r w:rsidR="00616885">
          <w:rPr>
            <w:webHidden/>
          </w:rPr>
          <w:fldChar w:fldCharType="end"/>
        </w:r>
      </w:hyperlink>
    </w:p>
    <w:p w14:paraId="101493AC" w14:textId="3CB58078" w:rsidR="00616885" w:rsidRDefault="00000000">
      <w:pPr>
        <w:pStyle w:val="TOC3"/>
        <w:rPr>
          <w:rFonts w:asciiTheme="minorHAnsi" w:eastAsiaTheme="minorEastAsia" w:hAnsiTheme="minorHAnsi" w:cstheme="minorBidi"/>
          <w:szCs w:val="22"/>
          <w:lang w:bidi="ar-SA"/>
        </w:rPr>
      </w:pPr>
      <w:hyperlink w:anchor="_Toc121503899" w:history="1">
        <w:r w:rsidR="00616885" w:rsidRPr="00657503">
          <w:rPr>
            <w:rStyle w:val="Hyperlink"/>
            <w:rFonts w:cs="Arial"/>
            <w:b/>
            <w:bCs/>
            <w:iCs/>
            <w:lang w:eastAsia="en-US"/>
          </w:rPr>
          <w:t>2.2.2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Identification of eUICC: EID</w:t>
        </w:r>
        <w:r w:rsidR="00616885">
          <w:rPr>
            <w:webHidden/>
          </w:rPr>
          <w:tab/>
        </w:r>
        <w:r w:rsidR="00616885">
          <w:rPr>
            <w:webHidden/>
          </w:rPr>
          <w:fldChar w:fldCharType="begin"/>
        </w:r>
        <w:r w:rsidR="00616885">
          <w:rPr>
            <w:webHidden/>
          </w:rPr>
          <w:instrText xml:space="preserve"> PAGEREF _Toc121503899 \h </w:instrText>
        </w:r>
        <w:r w:rsidR="00616885">
          <w:rPr>
            <w:webHidden/>
          </w:rPr>
        </w:r>
        <w:r w:rsidR="00616885">
          <w:rPr>
            <w:webHidden/>
          </w:rPr>
          <w:fldChar w:fldCharType="separate"/>
        </w:r>
        <w:r w:rsidR="001D5AD9">
          <w:rPr>
            <w:webHidden/>
          </w:rPr>
          <w:t>25</w:t>
        </w:r>
        <w:r w:rsidR="00616885">
          <w:rPr>
            <w:webHidden/>
          </w:rPr>
          <w:fldChar w:fldCharType="end"/>
        </w:r>
      </w:hyperlink>
    </w:p>
    <w:p w14:paraId="0071DE6B" w14:textId="338B8E03" w:rsidR="00616885" w:rsidRDefault="00000000">
      <w:pPr>
        <w:pStyle w:val="TOC3"/>
        <w:rPr>
          <w:rFonts w:asciiTheme="minorHAnsi" w:eastAsiaTheme="minorEastAsia" w:hAnsiTheme="minorHAnsi" w:cstheme="minorBidi"/>
          <w:szCs w:val="22"/>
          <w:lang w:bidi="ar-SA"/>
        </w:rPr>
      </w:pPr>
      <w:hyperlink w:anchor="_Toc121503900" w:history="1">
        <w:r w:rsidR="00616885" w:rsidRPr="00657503">
          <w:rPr>
            <w:rStyle w:val="Hyperlink"/>
            <w:rFonts w:cs="Arial"/>
            <w:b/>
            <w:bCs/>
            <w:iCs/>
            <w:lang w:eastAsia="en-US"/>
          </w:rPr>
          <w:t>2.2.3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Identification of Security Domains: AID and TAR</w:t>
        </w:r>
        <w:r w:rsidR="00616885">
          <w:rPr>
            <w:webHidden/>
          </w:rPr>
          <w:tab/>
        </w:r>
        <w:r w:rsidR="00616885">
          <w:rPr>
            <w:webHidden/>
          </w:rPr>
          <w:fldChar w:fldCharType="begin"/>
        </w:r>
        <w:r w:rsidR="00616885">
          <w:rPr>
            <w:webHidden/>
          </w:rPr>
          <w:instrText xml:space="preserve"> PAGEREF _Toc121503900 \h </w:instrText>
        </w:r>
        <w:r w:rsidR="00616885">
          <w:rPr>
            <w:webHidden/>
          </w:rPr>
        </w:r>
        <w:r w:rsidR="00616885">
          <w:rPr>
            <w:webHidden/>
          </w:rPr>
          <w:fldChar w:fldCharType="separate"/>
        </w:r>
        <w:r w:rsidR="001D5AD9">
          <w:rPr>
            <w:webHidden/>
          </w:rPr>
          <w:t>27</w:t>
        </w:r>
        <w:r w:rsidR="00616885">
          <w:rPr>
            <w:webHidden/>
          </w:rPr>
          <w:fldChar w:fldCharType="end"/>
        </w:r>
      </w:hyperlink>
    </w:p>
    <w:p w14:paraId="2B6E5370" w14:textId="5BC989B7" w:rsidR="00616885" w:rsidRDefault="00000000">
      <w:pPr>
        <w:pStyle w:val="TOC3"/>
        <w:rPr>
          <w:rFonts w:asciiTheme="minorHAnsi" w:eastAsiaTheme="minorEastAsia" w:hAnsiTheme="minorHAnsi" w:cstheme="minorBidi"/>
          <w:szCs w:val="22"/>
          <w:lang w:bidi="ar-SA"/>
        </w:rPr>
      </w:pPr>
      <w:hyperlink w:anchor="_Toc121503901" w:history="1">
        <w:r w:rsidR="00616885" w:rsidRPr="00657503">
          <w:rPr>
            <w:rStyle w:val="Hyperlink"/>
            <w:rFonts w:cs="Arial"/>
            <w:b/>
            <w:bCs/>
            <w:iCs/>
            <w:lang w:eastAsia="en-US"/>
          </w:rPr>
          <w:t>2.2.4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Profile </w:t>
        </w:r>
        <w:r w:rsidR="00616885" w:rsidRPr="00657503">
          <w:rPr>
            <w:rStyle w:val="Hyperlink"/>
            <w:rFonts w:cs="Arial"/>
            <w:b/>
            <w:lang w:eastAsia="en-US"/>
          </w:rPr>
          <w:t>Structure</w:t>
        </w:r>
        <w:r w:rsidR="00616885">
          <w:rPr>
            <w:webHidden/>
          </w:rPr>
          <w:tab/>
        </w:r>
        <w:r w:rsidR="00616885">
          <w:rPr>
            <w:webHidden/>
          </w:rPr>
          <w:fldChar w:fldCharType="begin"/>
        </w:r>
        <w:r w:rsidR="00616885">
          <w:rPr>
            <w:webHidden/>
          </w:rPr>
          <w:instrText xml:space="preserve"> PAGEREF _Toc121503901 \h </w:instrText>
        </w:r>
        <w:r w:rsidR="00616885">
          <w:rPr>
            <w:webHidden/>
          </w:rPr>
        </w:r>
        <w:r w:rsidR="00616885">
          <w:rPr>
            <w:webHidden/>
          </w:rPr>
          <w:fldChar w:fldCharType="separate"/>
        </w:r>
        <w:r w:rsidR="001D5AD9">
          <w:rPr>
            <w:webHidden/>
          </w:rPr>
          <w:t>28</w:t>
        </w:r>
        <w:r w:rsidR="00616885">
          <w:rPr>
            <w:webHidden/>
          </w:rPr>
          <w:fldChar w:fldCharType="end"/>
        </w:r>
      </w:hyperlink>
    </w:p>
    <w:p w14:paraId="4283BBBE" w14:textId="0962ADB8" w:rsidR="00616885" w:rsidRDefault="00000000">
      <w:pPr>
        <w:pStyle w:val="TOC3"/>
        <w:rPr>
          <w:rFonts w:asciiTheme="minorHAnsi" w:eastAsiaTheme="minorEastAsia" w:hAnsiTheme="minorHAnsi" w:cstheme="minorBidi"/>
          <w:szCs w:val="22"/>
          <w:lang w:bidi="ar-SA"/>
        </w:rPr>
      </w:pPr>
      <w:hyperlink w:anchor="_Toc121503902" w:history="1">
        <w:r w:rsidR="00616885" w:rsidRPr="00657503">
          <w:rPr>
            <w:rStyle w:val="Hyperlink"/>
            <w:rFonts w:cs="Arial"/>
            <w:b/>
            <w:bCs/>
            <w:iCs/>
            <w:lang w:eastAsia="en-US"/>
          </w:rPr>
          <w:t>2.2.5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Secure Channel on Interfaces</w:t>
        </w:r>
        <w:r w:rsidR="00616885">
          <w:rPr>
            <w:webHidden/>
          </w:rPr>
          <w:tab/>
        </w:r>
        <w:r w:rsidR="00616885">
          <w:rPr>
            <w:webHidden/>
          </w:rPr>
          <w:fldChar w:fldCharType="begin"/>
        </w:r>
        <w:r w:rsidR="00616885">
          <w:rPr>
            <w:webHidden/>
          </w:rPr>
          <w:instrText xml:space="preserve"> PAGEREF _Toc121503902 \h </w:instrText>
        </w:r>
        <w:r w:rsidR="00616885">
          <w:rPr>
            <w:webHidden/>
          </w:rPr>
        </w:r>
        <w:r w:rsidR="00616885">
          <w:rPr>
            <w:webHidden/>
          </w:rPr>
          <w:fldChar w:fldCharType="separate"/>
        </w:r>
        <w:r w:rsidR="001D5AD9">
          <w:rPr>
            <w:webHidden/>
          </w:rPr>
          <w:t>29</w:t>
        </w:r>
        <w:r w:rsidR="00616885">
          <w:rPr>
            <w:webHidden/>
          </w:rPr>
          <w:fldChar w:fldCharType="end"/>
        </w:r>
      </w:hyperlink>
    </w:p>
    <w:p w14:paraId="52C63503" w14:textId="3D48EA5C" w:rsidR="00616885" w:rsidRDefault="00000000">
      <w:pPr>
        <w:pStyle w:val="TOC3"/>
        <w:rPr>
          <w:rFonts w:asciiTheme="minorHAnsi" w:eastAsiaTheme="minorEastAsia" w:hAnsiTheme="minorHAnsi" w:cstheme="minorBidi"/>
          <w:szCs w:val="22"/>
          <w:lang w:bidi="ar-SA"/>
        </w:rPr>
      </w:pPr>
      <w:hyperlink w:anchor="_Toc121503903" w:history="1">
        <w:r w:rsidR="00616885" w:rsidRPr="00657503">
          <w:rPr>
            <w:rStyle w:val="Hyperlink"/>
            <w:rFonts w:cs="Arial"/>
            <w:b/>
            <w:bCs/>
            <w:iCs/>
            <w:lang w:val="en-US" w:eastAsia="en-US"/>
          </w:rPr>
          <w:t>2.2.6</w:t>
        </w:r>
        <w:r w:rsidR="00616885">
          <w:rPr>
            <w:rFonts w:asciiTheme="minorHAnsi" w:eastAsiaTheme="minorEastAsia" w:hAnsiTheme="minorHAnsi" w:cstheme="minorBidi"/>
            <w:szCs w:val="22"/>
            <w:lang w:bidi="ar-SA"/>
          </w:rPr>
          <w:tab/>
        </w:r>
        <w:r w:rsidR="00616885" w:rsidRPr="00657503">
          <w:rPr>
            <w:rStyle w:val="Hyperlink"/>
            <w:rFonts w:cs="Arial"/>
            <w:b/>
            <w:bCs/>
            <w:iCs/>
            <w:lang w:val="en-US" w:eastAsia="en-US"/>
          </w:rPr>
          <w:t>eUICC OS Update</w:t>
        </w:r>
        <w:r w:rsidR="00616885">
          <w:rPr>
            <w:webHidden/>
          </w:rPr>
          <w:tab/>
        </w:r>
        <w:r w:rsidR="00616885">
          <w:rPr>
            <w:webHidden/>
          </w:rPr>
          <w:fldChar w:fldCharType="begin"/>
        </w:r>
        <w:r w:rsidR="00616885">
          <w:rPr>
            <w:webHidden/>
          </w:rPr>
          <w:instrText xml:space="preserve"> PAGEREF _Toc121503903 \h </w:instrText>
        </w:r>
        <w:r w:rsidR="00616885">
          <w:rPr>
            <w:webHidden/>
          </w:rPr>
        </w:r>
        <w:r w:rsidR="00616885">
          <w:rPr>
            <w:webHidden/>
          </w:rPr>
          <w:fldChar w:fldCharType="separate"/>
        </w:r>
        <w:r w:rsidR="001D5AD9">
          <w:rPr>
            <w:webHidden/>
          </w:rPr>
          <w:t>30</w:t>
        </w:r>
        <w:r w:rsidR="00616885">
          <w:rPr>
            <w:webHidden/>
          </w:rPr>
          <w:fldChar w:fldCharType="end"/>
        </w:r>
      </w:hyperlink>
    </w:p>
    <w:p w14:paraId="18EC931A" w14:textId="703A158B" w:rsidR="00616885" w:rsidRDefault="00000000">
      <w:pPr>
        <w:pStyle w:val="TOC3"/>
        <w:rPr>
          <w:rFonts w:asciiTheme="minorHAnsi" w:eastAsiaTheme="minorEastAsia" w:hAnsiTheme="minorHAnsi" w:cstheme="minorBidi"/>
          <w:szCs w:val="22"/>
          <w:lang w:bidi="ar-SA"/>
        </w:rPr>
      </w:pPr>
      <w:hyperlink w:anchor="_Toc121503904" w:history="1">
        <w:r w:rsidR="00616885" w:rsidRPr="00657503">
          <w:rPr>
            <w:rStyle w:val="Hyperlink"/>
            <w:rFonts w:cs="Arial"/>
            <w:b/>
            <w:bCs/>
            <w:iCs/>
            <w:lang w:val="en-US" w:eastAsia="en-US"/>
          </w:rPr>
          <w:t>2.2.7</w:t>
        </w:r>
        <w:r w:rsidR="00616885">
          <w:rPr>
            <w:rFonts w:asciiTheme="minorHAnsi" w:eastAsiaTheme="minorEastAsia" w:hAnsiTheme="minorHAnsi" w:cstheme="minorBidi"/>
            <w:szCs w:val="22"/>
            <w:lang w:bidi="ar-SA"/>
          </w:rPr>
          <w:tab/>
        </w:r>
        <w:r w:rsidR="00616885" w:rsidRPr="00657503">
          <w:rPr>
            <w:rStyle w:val="Hyperlink"/>
            <w:rFonts w:cs="Arial"/>
            <w:b/>
            <w:bCs/>
            <w:iCs/>
            <w:lang w:val="en-US" w:eastAsia="en-US"/>
          </w:rPr>
          <w:t>Java Card™ Support</w:t>
        </w:r>
        <w:r w:rsidR="00616885">
          <w:rPr>
            <w:webHidden/>
          </w:rPr>
          <w:tab/>
        </w:r>
        <w:r w:rsidR="00616885">
          <w:rPr>
            <w:webHidden/>
          </w:rPr>
          <w:fldChar w:fldCharType="begin"/>
        </w:r>
        <w:r w:rsidR="00616885">
          <w:rPr>
            <w:webHidden/>
          </w:rPr>
          <w:instrText xml:space="preserve"> PAGEREF _Toc121503904 \h </w:instrText>
        </w:r>
        <w:r w:rsidR="00616885">
          <w:rPr>
            <w:webHidden/>
          </w:rPr>
        </w:r>
        <w:r w:rsidR="00616885">
          <w:rPr>
            <w:webHidden/>
          </w:rPr>
          <w:fldChar w:fldCharType="separate"/>
        </w:r>
        <w:r w:rsidR="001D5AD9">
          <w:rPr>
            <w:webHidden/>
          </w:rPr>
          <w:t>31</w:t>
        </w:r>
        <w:r w:rsidR="00616885">
          <w:rPr>
            <w:webHidden/>
          </w:rPr>
          <w:fldChar w:fldCharType="end"/>
        </w:r>
      </w:hyperlink>
    </w:p>
    <w:p w14:paraId="46D40C36" w14:textId="2678209A" w:rsidR="00616885" w:rsidRDefault="00000000">
      <w:pPr>
        <w:pStyle w:val="TOC3"/>
        <w:rPr>
          <w:rFonts w:asciiTheme="minorHAnsi" w:eastAsiaTheme="minorEastAsia" w:hAnsiTheme="minorHAnsi" w:cstheme="minorBidi"/>
          <w:szCs w:val="22"/>
          <w:lang w:bidi="ar-SA"/>
        </w:rPr>
      </w:pPr>
      <w:hyperlink w:anchor="_Toc121503905" w:history="1">
        <w:r w:rsidR="00616885" w:rsidRPr="00657503">
          <w:rPr>
            <w:rStyle w:val="Hyperlink"/>
            <w:rFonts w:cs="Arial"/>
            <w:b/>
            <w:bCs/>
            <w:iCs/>
            <w:lang w:val="en-US" w:eastAsia="en-US"/>
          </w:rPr>
          <w:t>2.2.8</w:t>
        </w:r>
        <w:r w:rsidR="00616885">
          <w:rPr>
            <w:rFonts w:asciiTheme="minorHAnsi" w:eastAsiaTheme="minorEastAsia" w:hAnsiTheme="minorHAnsi" w:cstheme="minorBidi"/>
            <w:szCs w:val="22"/>
            <w:lang w:bidi="ar-SA"/>
          </w:rPr>
          <w:tab/>
        </w:r>
        <w:r w:rsidR="00616885" w:rsidRPr="00657503">
          <w:rPr>
            <w:rStyle w:val="Hyperlink"/>
            <w:rFonts w:cs="Arial"/>
            <w:b/>
            <w:bCs/>
            <w:iCs/>
            <w:lang w:val="en-US" w:eastAsia="en-US"/>
          </w:rPr>
          <w:t>Hardware Characteristics of the eUICC</w:t>
        </w:r>
        <w:r w:rsidR="00616885">
          <w:rPr>
            <w:webHidden/>
          </w:rPr>
          <w:tab/>
        </w:r>
        <w:r w:rsidR="00616885">
          <w:rPr>
            <w:webHidden/>
          </w:rPr>
          <w:fldChar w:fldCharType="begin"/>
        </w:r>
        <w:r w:rsidR="00616885">
          <w:rPr>
            <w:webHidden/>
          </w:rPr>
          <w:instrText xml:space="preserve"> PAGEREF _Toc121503905 \h </w:instrText>
        </w:r>
        <w:r w:rsidR="00616885">
          <w:rPr>
            <w:webHidden/>
          </w:rPr>
        </w:r>
        <w:r w:rsidR="00616885">
          <w:rPr>
            <w:webHidden/>
          </w:rPr>
          <w:fldChar w:fldCharType="separate"/>
        </w:r>
        <w:r w:rsidR="001D5AD9">
          <w:rPr>
            <w:webHidden/>
          </w:rPr>
          <w:t>31</w:t>
        </w:r>
        <w:r w:rsidR="00616885">
          <w:rPr>
            <w:webHidden/>
          </w:rPr>
          <w:fldChar w:fldCharType="end"/>
        </w:r>
      </w:hyperlink>
    </w:p>
    <w:p w14:paraId="4FE53D32" w14:textId="0F9F31F9" w:rsidR="00616885" w:rsidRDefault="00000000">
      <w:pPr>
        <w:pStyle w:val="TOC2"/>
        <w:rPr>
          <w:rFonts w:asciiTheme="minorHAnsi" w:eastAsiaTheme="minorEastAsia" w:hAnsiTheme="minorHAnsi" w:cstheme="minorBidi"/>
          <w:szCs w:val="22"/>
          <w:lang w:bidi="ar-SA"/>
        </w:rPr>
      </w:pPr>
      <w:hyperlink w:anchor="_Toc121503906" w:history="1">
        <w:r w:rsidR="00616885" w:rsidRPr="00657503">
          <w:rPr>
            <w:rStyle w:val="Hyperlink"/>
            <w:rFonts w:cs="Arial"/>
            <w:b/>
            <w:bCs/>
            <w:iCs/>
            <w:lang w:eastAsia="en-US"/>
          </w:rPr>
          <w:t>2.3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Security Overview</w:t>
        </w:r>
        <w:r w:rsidR="00616885">
          <w:rPr>
            <w:webHidden/>
          </w:rPr>
          <w:tab/>
        </w:r>
        <w:r w:rsidR="00616885">
          <w:rPr>
            <w:webHidden/>
          </w:rPr>
          <w:fldChar w:fldCharType="begin"/>
        </w:r>
        <w:r w:rsidR="00616885">
          <w:rPr>
            <w:webHidden/>
          </w:rPr>
          <w:instrText xml:space="preserve"> PAGEREF _Toc121503906 \h </w:instrText>
        </w:r>
        <w:r w:rsidR="00616885">
          <w:rPr>
            <w:webHidden/>
          </w:rPr>
        </w:r>
        <w:r w:rsidR="00616885">
          <w:rPr>
            <w:webHidden/>
          </w:rPr>
          <w:fldChar w:fldCharType="separate"/>
        </w:r>
        <w:r w:rsidR="001D5AD9">
          <w:rPr>
            <w:webHidden/>
          </w:rPr>
          <w:t>31</w:t>
        </w:r>
        <w:r w:rsidR="00616885">
          <w:rPr>
            <w:webHidden/>
          </w:rPr>
          <w:fldChar w:fldCharType="end"/>
        </w:r>
      </w:hyperlink>
    </w:p>
    <w:p w14:paraId="28698F3E" w14:textId="422EFB8D" w:rsidR="00616885" w:rsidRDefault="00000000">
      <w:pPr>
        <w:pStyle w:val="TOC3"/>
        <w:rPr>
          <w:rFonts w:asciiTheme="minorHAnsi" w:eastAsiaTheme="minorEastAsia" w:hAnsiTheme="minorHAnsi" w:cstheme="minorBidi"/>
          <w:szCs w:val="22"/>
          <w:lang w:bidi="ar-SA"/>
        </w:rPr>
      </w:pPr>
      <w:hyperlink w:anchor="_Toc121503907" w:history="1">
        <w:r w:rsidR="00616885" w:rsidRPr="00657503">
          <w:rPr>
            <w:rStyle w:val="Hyperlink"/>
            <w:rFonts w:cs="Arial"/>
            <w:b/>
            <w:bCs/>
            <w:iCs/>
            <w:lang w:eastAsia="en-US"/>
          </w:rPr>
          <w:t>2.3.1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Certificate Issuer Role</w:t>
        </w:r>
        <w:r w:rsidR="00616885">
          <w:rPr>
            <w:webHidden/>
          </w:rPr>
          <w:tab/>
        </w:r>
        <w:r w:rsidR="00616885">
          <w:rPr>
            <w:webHidden/>
          </w:rPr>
          <w:fldChar w:fldCharType="begin"/>
        </w:r>
        <w:r w:rsidR="00616885">
          <w:rPr>
            <w:webHidden/>
          </w:rPr>
          <w:instrText xml:space="preserve"> PAGEREF _Toc121503907 \h </w:instrText>
        </w:r>
        <w:r w:rsidR="00616885">
          <w:rPr>
            <w:webHidden/>
          </w:rPr>
        </w:r>
        <w:r w:rsidR="00616885">
          <w:rPr>
            <w:webHidden/>
          </w:rPr>
          <w:fldChar w:fldCharType="separate"/>
        </w:r>
        <w:r w:rsidR="001D5AD9">
          <w:rPr>
            <w:webHidden/>
          </w:rPr>
          <w:t>32</w:t>
        </w:r>
        <w:r w:rsidR="00616885">
          <w:rPr>
            <w:webHidden/>
          </w:rPr>
          <w:fldChar w:fldCharType="end"/>
        </w:r>
      </w:hyperlink>
    </w:p>
    <w:p w14:paraId="74A8FC76" w14:textId="6A071A12" w:rsidR="00616885" w:rsidRDefault="00000000">
      <w:pPr>
        <w:pStyle w:val="TOC3"/>
        <w:rPr>
          <w:rFonts w:asciiTheme="minorHAnsi" w:eastAsiaTheme="minorEastAsia" w:hAnsiTheme="minorHAnsi" w:cstheme="minorBidi"/>
          <w:szCs w:val="22"/>
          <w:lang w:bidi="ar-SA"/>
        </w:rPr>
      </w:pPr>
      <w:hyperlink w:anchor="_Toc121503908" w:history="1">
        <w:r w:rsidR="00616885" w:rsidRPr="00657503">
          <w:rPr>
            <w:rStyle w:val="Hyperlink"/>
            <w:rFonts w:cs="Arial"/>
            <w:b/>
            <w:bCs/>
            <w:iCs/>
            <w:lang w:eastAsia="en-US"/>
          </w:rPr>
          <w:t>2.3.2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Certification </w:t>
        </w:r>
        <w:r w:rsidR="00616885" w:rsidRPr="00657503">
          <w:rPr>
            <w:rStyle w:val="Hyperlink"/>
            <w:rFonts w:cs="Arial"/>
            <w:b/>
            <w:lang w:eastAsia="en-US"/>
          </w:rPr>
          <w:t>Chains</w:t>
        </w:r>
        <w:r w:rsidR="00616885">
          <w:rPr>
            <w:webHidden/>
          </w:rPr>
          <w:tab/>
        </w:r>
        <w:r w:rsidR="00616885">
          <w:rPr>
            <w:webHidden/>
          </w:rPr>
          <w:fldChar w:fldCharType="begin"/>
        </w:r>
        <w:r w:rsidR="00616885">
          <w:rPr>
            <w:webHidden/>
          </w:rPr>
          <w:instrText xml:space="preserve"> PAGEREF _Toc121503908 \h </w:instrText>
        </w:r>
        <w:r w:rsidR="00616885">
          <w:rPr>
            <w:webHidden/>
          </w:rPr>
        </w:r>
        <w:r w:rsidR="00616885">
          <w:rPr>
            <w:webHidden/>
          </w:rPr>
          <w:fldChar w:fldCharType="separate"/>
        </w:r>
        <w:r w:rsidR="001D5AD9">
          <w:rPr>
            <w:webHidden/>
          </w:rPr>
          <w:t>32</w:t>
        </w:r>
        <w:r w:rsidR="00616885">
          <w:rPr>
            <w:webHidden/>
          </w:rPr>
          <w:fldChar w:fldCharType="end"/>
        </w:r>
      </w:hyperlink>
    </w:p>
    <w:p w14:paraId="11EA2AE3" w14:textId="28649AD1" w:rsidR="00616885" w:rsidRDefault="00000000">
      <w:pPr>
        <w:pStyle w:val="TOC3"/>
        <w:rPr>
          <w:rFonts w:asciiTheme="minorHAnsi" w:eastAsiaTheme="minorEastAsia" w:hAnsiTheme="minorHAnsi" w:cstheme="minorBidi"/>
          <w:szCs w:val="22"/>
          <w:lang w:bidi="ar-SA"/>
        </w:rPr>
      </w:pPr>
      <w:hyperlink w:anchor="_Toc121503909" w:history="1">
        <w:r w:rsidR="00616885" w:rsidRPr="00657503">
          <w:rPr>
            <w:rStyle w:val="Hyperlink"/>
            <w:rFonts w:cs="Arial"/>
            <w:b/>
            <w:bCs/>
            <w:iCs/>
            <w:lang w:eastAsia="en-US"/>
          </w:rPr>
          <w:t>2.3.3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General </w:t>
        </w:r>
        <w:r w:rsidR="00616885" w:rsidRPr="00657503">
          <w:rPr>
            <w:rStyle w:val="Hyperlink"/>
            <w:rFonts w:cs="Arial"/>
            <w:b/>
            <w:lang w:eastAsia="en-US"/>
          </w:rPr>
          <w:t>Consideration on Algorithm and Key Length</w:t>
        </w:r>
        <w:r w:rsidR="00616885">
          <w:rPr>
            <w:webHidden/>
          </w:rPr>
          <w:tab/>
        </w:r>
        <w:r w:rsidR="00616885">
          <w:rPr>
            <w:webHidden/>
          </w:rPr>
          <w:fldChar w:fldCharType="begin"/>
        </w:r>
        <w:r w:rsidR="00616885">
          <w:rPr>
            <w:webHidden/>
          </w:rPr>
          <w:instrText xml:space="preserve"> PAGEREF _Toc121503909 \h </w:instrText>
        </w:r>
        <w:r w:rsidR="00616885">
          <w:rPr>
            <w:webHidden/>
          </w:rPr>
        </w:r>
        <w:r w:rsidR="00616885">
          <w:rPr>
            <w:webHidden/>
          </w:rPr>
          <w:fldChar w:fldCharType="separate"/>
        </w:r>
        <w:r w:rsidR="001D5AD9">
          <w:rPr>
            <w:webHidden/>
          </w:rPr>
          <w:t>35</w:t>
        </w:r>
        <w:r w:rsidR="00616885">
          <w:rPr>
            <w:webHidden/>
          </w:rPr>
          <w:fldChar w:fldCharType="end"/>
        </w:r>
      </w:hyperlink>
    </w:p>
    <w:p w14:paraId="5F7C0F38" w14:textId="69EDC964" w:rsidR="00616885" w:rsidRDefault="00000000">
      <w:pPr>
        <w:pStyle w:val="TOC2"/>
        <w:rPr>
          <w:rFonts w:asciiTheme="minorHAnsi" w:eastAsiaTheme="minorEastAsia" w:hAnsiTheme="minorHAnsi" w:cstheme="minorBidi"/>
          <w:szCs w:val="22"/>
          <w:lang w:bidi="ar-SA"/>
        </w:rPr>
      </w:pPr>
      <w:hyperlink w:anchor="_Toc121503910" w:history="1">
        <w:r w:rsidR="00616885" w:rsidRPr="00657503">
          <w:rPr>
            <w:rStyle w:val="Hyperlink"/>
            <w:rFonts w:cs="Arial"/>
            <w:b/>
            <w:bCs/>
            <w:iCs/>
            <w:lang w:val="fr-FR" w:eastAsia="en-US"/>
          </w:rPr>
          <w:t>2.4</w:t>
        </w:r>
        <w:r w:rsidR="00616885">
          <w:rPr>
            <w:rFonts w:asciiTheme="minorHAnsi" w:eastAsiaTheme="minorEastAsia" w:hAnsiTheme="minorHAnsi" w:cstheme="minorBidi"/>
            <w:szCs w:val="22"/>
            <w:lang w:bidi="ar-SA"/>
          </w:rPr>
          <w:tab/>
        </w:r>
        <w:r w:rsidR="00616885" w:rsidRPr="00657503">
          <w:rPr>
            <w:rStyle w:val="Hyperlink"/>
            <w:rFonts w:cs="Arial"/>
            <w:b/>
            <w:bCs/>
            <w:iCs/>
            <w:lang w:val="fr-FR" w:eastAsia="en-US"/>
          </w:rPr>
          <w:t>OTA Communication on ES5 (SM-SR-eUICC)</w:t>
        </w:r>
        <w:r w:rsidR="00616885">
          <w:rPr>
            <w:webHidden/>
          </w:rPr>
          <w:tab/>
        </w:r>
        <w:r w:rsidR="00616885">
          <w:rPr>
            <w:webHidden/>
          </w:rPr>
          <w:fldChar w:fldCharType="begin"/>
        </w:r>
        <w:r w:rsidR="00616885">
          <w:rPr>
            <w:webHidden/>
          </w:rPr>
          <w:instrText xml:space="preserve"> PAGEREF _Toc121503910 \h </w:instrText>
        </w:r>
        <w:r w:rsidR="00616885">
          <w:rPr>
            <w:webHidden/>
          </w:rPr>
        </w:r>
        <w:r w:rsidR="00616885">
          <w:rPr>
            <w:webHidden/>
          </w:rPr>
          <w:fldChar w:fldCharType="separate"/>
        </w:r>
        <w:r w:rsidR="001D5AD9">
          <w:rPr>
            <w:webHidden/>
          </w:rPr>
          <w:t>36</w:t>
        </w:r>
        <w:r w:rsidR="00616885">
          <w:rPr>
            <w:webHidden/>
          </w:rPr>
          <w:fldChar w:fldCharType="end"/>
        </w:r>
      </w:hyperlink>
    </w:p>
    <w:p w14:paraId="3560BF7F" w14:textId="4B195819" w:rsidR="00616885" w:rsidRDefault="00000000">
      <w:pPr>
        <w:pStyle w:val="TOC3"/>
        <w:rPr>
          <w:rFonts w:asciiTheme="minorHAnsi" w:eastAsiaTheme="minorEastAsia" w:hAnsiTheme="minorHAnsi" w:cstheme="minorBidi"/>
          <w:szCs w:val="22"/>
          <w:lang w:bidi="ar-SA"/>
        </w:rPr>
      </w:pPr>
      <w:hyperlink w:anchor="_Toc121503911" w:history="1">
        <w:r w:rsidR="00616885" w:rsidRPr="00657503">
          <w:rPr>
            <w:rStyle w:val="Hyperlink"/>
            <w:rFonts w:cs="Arial"/>
            <w:b/>
            <w:bCs/>
            <w:iCs/>
            <w:lang w:eastAsia="en-US"/>
          </w:rPr>
          <w:t>2.4.1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General OTA Requirements</w:t>
        </w:r>
        <w:r w:rsidR="00616885">
          <w:rPr>
            <w:webHidden/>
          </w:rPr>
          <w:tab/>
        </w:r>
        <w:r w:rsidR="00616885">
          <w:rPr>
            <w:webHidden/>
          </w:rPr>
          <w:fldChar w:fldCharType="begin"/>
        </w:r>
        <w:r w:rsidR="00616885">
          <w:rPr>
            <w:webHidden/>
          </w:rPr>
          <w:instrText xml:space="preserve"> PAGEREF _Toc121503911 \h </w:instrText>
        </w:r>
        <w:r w:rsidR="00616885">
          <w:rPr>
            <w:webHidden/>
          </w:rPr>
        </w:r>
        <w:r w:rsidR="00616885">
          <w:rPr>
            <w:webHidden/>
          </w:rPr>
          <w:fldChar w:fldCharType="separate"/>
        </w:r>
        <w:r w:rsidR="001D5AD9">
          <w:rPr>
            <w:webHidden/>
          </w:rPr>
          <w:t>36</w:t>
        </w:r>
        <w:r w:rsidR="00616885">
          <w:rPr>
            <w:webHidden/>
          </w:rPr>
          <w:fldChar w:fldCharType="end"/>
        </w:r>
      </w:hyperlink>
    </w:p>
    <w:p w14:paraId="5B9F310B" w14:textId="39A016B0" w:rsidR="00616885" w:rsidRDefault="00000000">
      <w:pPr>
        <w:pStyle w:val="TOC3"/>
        <w:rPr>
          <w:rFonts w:asciiTheme="minorHAnsi" w:eastAsiaTheme="minorEastAsia" w:hAnsiTheme="minorHAnsi" w:cstheme="minorBidi"/>
          <w:szCs w:val="22"/>
          <w:lang w:bidi="ar-SA"/>
        </w:rPr>
      </w:pPr>
      <w:hyperlink w:anchor="_Toc121503912" w:history="1">
        <w:r w:rsidR="00616885" w:rsidRPr="00657503">
          <w:rPr>
            <w:rStyle w:val="Hyperlink"/>
            <w:rFonts w:cs="Arial"/>
            <w:b/>
            <w:bCs/>
            <w:iCs/>
            <w:lang w:eastAsia="en-US"/>
          </w:rPr>
          <w:t>2.4.2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Void</w:t>
        </w:r>
        <w:r w:rsidR="00616885">
          <w:rPr>
            <w:webHidden/>
          </w:rPr>
          <w:tab/>
        </w:r>
        <w:r w:rsidR="00616885">
          <w:rPr>
            <w:webHidden/>
          </w:rPr>
          <w:fldChar w:fldCharType="begin"/>
        </w:r>
        <w:r w:rsidR="00616885">
          <w:rPr>
            <w:webHidden/>
          </w:rPr>
          <w:instrText xml:space="preserve"> PAGEREF _Toc121503912 \h </w:instrText>
        </w:r>
        <w:r w:rsidR="00616885">
          <w:rPr>
            <w:webHidden/>
          </w:rPr>
        </w:r>
        <w:r w:rsidR="00616885">
          <w:rPr>
            <w:webHidden/>
          </w:rPr>
          <w:fldChar w:fldCharType="separate"/>
        </w:r>
        <w:r w:rsidR="001D5AD9">
          <w:rPr>
            <w:webHidden/>
          </w:rPr>
          <w:t>36</w:t>
        </w:r>
        <w:r w:rsidR="00616885">
          <w:rPr>
            <w:webHidden/>
          </w:rPr>
          <w:fldChar w:fldCharType="end"/>
        </w:r>
      </w:hyperlink>
    </w:p>
    <w:p w14:paraId="05295EE6" w14:textId="1FED0BB7" w:rsidR="00616885" w:rsidRDefault="00000000">
      <w:pPr>
        <w:pStyle w:val="TOC3"/>
        <w:rPr>
          <w:rFonts w:asciiTheme="minorHAnsi" w:eastAsiaTheme="minorEastAsia" w:hAnsiTheme="minorHAnsi" w:cstheme="minorBidi"/>
          <w:szCs w:val="22"/>
          <w:lang w:bidi="ar-SA"/>
        </w:rPr>
      </w:pPr>
      <w:hyperlink w:anchor="_Toc121503913" w:history="1">
        <w:r w:rsidR="00616885" w:rsidRPr="00657503">
          <w:rPr>
            <w:rStyle w:val="Hyperlink"/>
            <w:rFonts w:cs="Arial"/>
            <w:b/>
            <w:bCs/>
            <w:iCs/>
            <w:lang w:eastAsia="en-US"/>
          </w:rPr>
          <w:t>2.4.3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SMS</w:t>
        </w:r>
        <w:r w:rsidR="00616885">
          <w:rPr>
            <w:webHidden/>
          </w:rPr>
          <w:tab/>
        </w:r>
        <w:r w:rsidR="00616885">
          <w:rPr>
            <w:webHidden/>
          </w:rPr>
          <w:fldChar w:fldCharType="begin"/>
        </w:r>
        <w:r w:rsidR="00616885">
          <w:rPr>
            <w:webHidden/>
          </w:rPr>
          <w:instrText xml:space="preserve"> PAGEREF _Toc121503913 \h </w:instrText>
        </w:r>
        <w:r w:rsidR="00616885">
          <w:rPr>
            <w:webHidden/>
          </w:rPr>
        </w:r>
        <w:r w:rsidR="00616885">
          <w:rPr>
            <w:webHidden/>
          </w:rPr>
          <w:fldChar w:fldCharType="separate"/>
        </w:r>
        <w:r w:rsidR="001D5AD9">
          <w:rPr>
            <w:webHidden/>
          </w:rPr>
          <w:t>36</w:t>
        </w:r>
        <w:r w:rsidR="00616885">
          <w:rPr>
            <w:webHidden/>
          </w:rPr>
          <w:fldChar w:fldCharType="end"/>
        </w:r>
      </w:hyperlink>
    </w:p>
    <w:p w14:paraId="1F2A4040" w14:textId="35816455" w:rsidR="00616885" w:rsidRDefault="00000000">
      <w:pPr>
        <w:pStyle w:val="TOC3"/>
        <w:rPr>
          <w:rFonts w:asciiTheme="minorHAnsi" w:eastAsiaTheme="minorEastAsia" w:hAnsiTheme="minorHAnsi" w:cstheme="minorBidi"/>
          <w:szCs w:val="22"/>
          <w:lang w:bidi="ar-SA"/>
        </w:rPr>
      </w:pPr>
      <w:hyperlink w:anchor="_Toc121503914" w:history="1">
        <w:r w:rsidR="00616885" w:rsidRPr="00657503">
          <w:rPr>
            <w:rStyle w:val="Hyperlink"/>
            <w:rFonts w:cs="Arial"/>
            <w:b/>
            <w:bCs/>
            <w:iCs/>
            <w:lang w:eastAsia="en-US"/>
          </w:rPr>
          <w:t>2.4.4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HTTPS</w:t>
        </w:r>
        <w:r w:rsidR="00616885">
          <w:rPr>
            <w:webHidden/>
          </w:rPr>
          <w:tab/>
        </w:r>
        <w:r w:rsidR="00616885">
          <w:rPr>
            <w:webHidden/>
          </w:rPr>
          <w:fldChar w:fldCharType="begin"/>
        </w:r>
        <w:r w:rsidR="00616885">
          <w:rPr>
            <w:webHidden/>
          </w:rPr>
          <w:instrText xml:space="preserve"> PAGEREF _Toc121503914 \h </w:instrText>
        </w:r>
        <w:r w:rsidR="00616885">
          <w:rPr>
            <w:webHidden/>
          </w:rPr>
        </w:r>
        <w:r w:rsidR="00616885">
          <w:rPr>
            <w:webHidden/>
          </w:rPr>
          <w:fldChar w:fldCharType="separate"/>
        </w:r>
        <w:r w:rsidR="001D5AD9">
          <w:rPr>
            <w:webHidden/>
          </w:rPr>
          <w:t>38</w:t>
        </w:r>
        <w:r w:rsidR="00616885">
          <w:rPr>
            <w:webHidden/>
          </w:rPr>
          <w:fldChar w:fldCharType="end"/>
        </w:r>
      </w:hyperlink>
    </w:p>
    <w:p w14:paraId="32EF8E8C" w14:textId="61A84E9B" w:rsidR="00616885" w:rsidRDefault="00000000">
      <w:pPr>
        <w:pStyle w:val="TOC3"/>
        <w:rPr>
          <w:rFonts w:asciiTheme="minorHAnsi" w:eastAsiaTheme="minorEastAsia" w:hAnsiTheme="minorHAnsi" w:cstheme="minorBidi"/>
          <w:szCs w:val="22"/>
          <w:lang w:bidi="ar-SA"/>
        </w:rPr>
      </w:pPr>
      <w:hyperlink w:anchor="_Toc121503915" w:history="1">
        <w:r w:rsidR="00616885" w:rsidRPr="00657503">
          <w:rPr>
            <w:rStyle w:val="Hyperlink"/>
            <w:rFonts w:cs="Arial"/>
            <w:b/>
            <w:bCs/>
            <w:iCs/>
            <w:lang w:eastAsia="en-US"/>
          </w:rPr>
          <w:t>2.4.5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DNS Resolution</w:t>
        </w:r>
        <w:r w:rsidR="00616885">
          <w:rPr>
            <w:webHidden/>
          </w:rPr>
          <w:tab/>
        </w:r>
        <w:r w:rsidR="00616885">
          <w:rPr>
            <w:webHidden/>
          </w:rPr>
          <w:fldChar w:fldCharType="begin"/>
        </w:r>
        <w:r w:rsidR="00616885">
          <w:rPr>
            <w:webHidden/>
          </w:rPr>
          <w:instrText xml:space="preserve"> PAGEREF _Toc121503915 \h </w:instrText>
        </w:r>
        <w:r w:rsidR="00616885">
          <w:rPr>
            <w:webHidden/>
          </w:rPr>
        </w:r>
        <w:r w:rsidR="00616885">
          <w:rPr>
            <w:webHidden/>
          </w:rPr>
          <w:fldChar w:fldCharType="separate"/>
        </w:r>
        <w:r w:rsidR="001D5AD9">
          <w:rPr>
            <w:webHidden/>
          </w:rPr>
          <w:t>42</w:t>
        </w:r>
        <w:r w:rsidR="00616885">
          <w:rPr>
            <w:webHidden/>
          </w:rPr>
          <w:fldChar w:fldCharType="end"/>
        </w:r>
      </w:hyperlink>
    </w:p>
    <w:p w14:paraId="2B3C6CA6" w14:textId="748A7255" w:rsidR="00616885" w:rsidRDefault="00000000">
      <w:pPr>
        <w:pStyle w:val="TOC2"/>
        <w:rPr>
          <w:rFonts w:asciiTheme="minorHAnsi" w:eastAsiaTheme="minorEastAsia" w:hAnsiTheme="minorHAnsi" w:cstheme="minorBidi"/>
          <w:szCs w:val="22"/>
          <w:lang w:bidi="ar-SA"/>
        </w:rPr>
      </w:pPr>
      <w:hyperlink w:anchor="_Toc121503916" w:history="1">
        <w:r w:rsidR="00616885" w:rsidRPr="00657503">
          <w:rPr>
            <w:rStyle w:val="Hyperlink"/>
            <w:rFonts w:cs="Arial"/>
            <w:b/>
            <w:bCs/>
            <w:iCs/>
            <w:lang w:val="fr-FR" w:eastAsia="en-US"/>
          </w:rPr>
          <w:t>2.5</w:t>
        </w:r>
        <w:r w:rsidR="00616885">
          <w:rPr>
            <w:rFonts w:asciiTheme="minorHAnsi" w:eastAsiaTheme="minorEastAsia" w:hAnsiTheme="minorHAnsi" w:cstheme="minorBidi"/>
            <w:szCs w:val="22"/>
            <w:lang w:bidi="ar-SA"/>
          </w:rPr>
          <w:tab/>
        </w:r>
        <w:r w:rsidR="00616885" w:rsidRPr="00657503">
          <w:rPr>
            <w:rStyle w:val="Hyperlink"/>
            <w:rFonts w:cs="Arial"/>
            <w:b/>
            <w:bCs/>
            <w:iCs/>
            <w:lang w:val="fr-FR" w:eastAsia="en-US"/>
          </w:rPr>
          <w:t>Communication on ES8 (SM-DP - eUICC)</w:t>
        </w:r>
        <w:r w:rsidR="00616885">
          <w:rPr>
            <w:webHidden/>
          </w:rPr>
          <w:tab/>
        </w:r>
        <w:r w:rsidR="00616885">
          <w:rPr>
            <w:webHidden/>
          </w:rPr>
          <w:fldChar w:fldCharType="begin"/>
        </w:r>
        <w:r w:rsidR="00616885">
          <w:rPr>
            <w:webHidden/>
          </w:rPr>
          <w:instrText xml:space="preserve"> PAGEREF _Toc121503916 \h </w:instrText>
        </w:r>
        <w:r w:rsidR="00616885">
          <w:rPr>
            <w:webHidden/>
          </w:rPr>
        </w:r>
        <w:r w:rsidR="00616885">
          <w:rPr>
            <w:webHidden/>
          </w:rPr>
          <w:fldChar w:fldCharType="separate"/>
        </w:r>
        <w:r w:rsidR="001D5AD9">
          <w:rPr>
            <w:webHidden/>
          </w:rPr>
          <w:t>44</w:t>
        </w:r>
        <w:r w:rsidR="00616885">
          <w:rPr>
            <w:webHidden/>
          </w:rPr>
          <w:fldChar w:fldCharType="end"/>
        </w:r>
      </w:hyperlink>
    </w:p>
    <w:p w14:paraId="4820E356" w14:textId="0AD95C6E" w:rsidR="00616885" w:rsidRDefault="00000000">
      <w:pPr>
        <w:pStyle w:val="TOC2"/>
        <w:rPr>
          <w:rFonts w:asciiTheme="minorHAnsi" w:eastAsiaTheme="minorEastAsia" w:hAnsiTheme="minorHAnsi" w:cstheme="minorBidi"/>
          <w:szCs w:val="22"/>
          <w:lang w:bidi="ar-SA"/>
        </w:rPr>
      </w:pPr>
      <w:hyperlink w:anchor="_Toc121503917" w:history="1">
        <w:r w:rsidR="00616885" w:rsidRPr="00657503">
          <w:rPr>
            <w:rStyle w:val="Hyperlink"/>
            <w:rFonts w:cs="Arial"/>
            <w:b/>
            <w:bCs/>
            <w:iCs/>
            <w:lang w:eastAsia="en-US"/>
          </w:rPr>
          <w:t>2.6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SM-DP to SM-SR </w:t>
        </w:r>
        <w:r w:rsidR="00616885" w:rsidRPr="00657503">
          <w:rPr>
            <w:rStyle w:val="Hyperlink"/>
            <w:rFonts w:cs="Arial"/>
            <w:lang w:eastAsia="en-US"/>
          </w:rPr>
          <w:t>Link Establishment (ES3)</w:t>
        </w:r>
        <w:r w:rsidR="00616885">
          <w:rPr>
            <w:webHidden/>
          </w:rPr>
          <w:tab/>
        </w:r>
        <w:r w:rsidR="00616885">
          <w:rPr>
            <w:webHidden/>
          </w:rPr>
          <w:fldChar w:fldCharType="begin"/>
        </w:r>
        <w:r w:rsidR="00616885">
          <w:rPr>
            <w:webHidden/>
          </w:rPr>
          <w:instrText xml:space="preserve"> PAGEREF _Toc121503917 \h </w:instrText>
        </w:r>
        <w:r w:rsidR="00616885">
          <w:rPr>
            <w:webHidden/>
          </w:rPr>
        </w:r>
        <w:r w:rsidR="00616885">
          <w:rPr>
            <w:webHidden/>
          </w:rPr>
          <w:fldChar w:fldCharType="separate"/>
        </w:r>
        <w:r w:rsidR="001D5AD9">
          <w:rPr>
            <w:webHidden/>
          </w:rPr>
          <w:t>45</w:t>
        </w:r>
        <w:r w:rsidR="00616885">
          <w:rPr>
            <w:webHidden/>
          </w:rPr>
          <w:fldChar w:fldCharType="end"/>
        </w:r>
      </w:hyperlink>
    </w:p>
    <w:p w14:paraId="30BE3B93" w14:textId="6C9A1A19" w:rsidR="00616885" w:rsidRDefault="00000000">
      <w:pPr>
        <w:pStyle w:val="TOC2"/>
        <w:rPr>
          <w:rFonts w:asciiTheme="minorHAnsi" w:eastAsiaTheme="minorEastAsia" w:hAnsiTheme="minorHAnsi" w:cstheme="minorBidi"/>
          <w:szCs w:val="22"/>
          <w:lang w:bidi="ar-SA"/>
        </w:rPr>
      </w:pPr>
      <w:hyperlink w:anchor="_Toc121503918" w:history="1">
        <w:r w:rsidR="00616885" w:rsidRPr="00657503">
          <w:rPr>
            <w:rStyle w:val="Hyperlink"/>
            <w:rFonts w:cs="Arial"/>
            <w:b/>
            <w:bCs/>
            <w:iCs/>
            <w:lang w:val="en-US" w:eastAsia="en-US"/>
          </w:rPr>
          <w:t>2.7</w:t>
        </w:r>
        <w:r w:rsidR="00616885">
          <w:rPr>
            <w:rFonts w:asciiTheme="minorHAnsi" w:eastAsiaTheme="minorEastAsia" w:hAnsiTheme="minorHAnsi" w:cstheme="minorBidi"/>
            <w:szCs w:val="22"/>
            <w:lang w:bidi="ar-SA"/>
          </w:rPr>
          <w:tab/>
        </w:r>
        <w:r w:rsidR="00616885" w:rsidRPr="00657503">
          <w:rPr>
            <w:rStyle w:val="Hyperlink"/>
            <w:rFonts w:cs="Arial"/>
            <w:b/>
            <w:bCs/>
            <w:iCs/>
            <w:lang w:val="en-US" w:eastAsia="en-US"/>
          </w:rPr>
          <w:t>OTA Platform Communication on ES6 (Operator-eUICC)</w:t>
        </w:r>
        <w:r w:rsidR="00616885">
          <w:rPr>
            <w:webHidden/>
          </w:rPr>
          <w:tab/>
        </w:r>
        <w:r w:rsidR="00616885">
          <w:rPr>
            <w:webHidden/>
          </w:rPr>
          <w:fldChar w:fldCharType="begin"/>
        </w:r>
        <w:r w:rsidR="00616885">
          <w:rPr>
            <w:webHidden/>
          </w:rPr>
          <w:instrText xml:space="preserve"> PAGEREF _Toc121503918 \h </w:instrText>
        </w:r>
        <w:r w:rsidR="00616885">
          <w:rPr>
            <w:webHidden/>
          </w:rPr>
        </w:r>
        <w:r w:rsidR="00616885">
          <w:rPr>
            <w:webHidden/>
          </w:rPr>
          <w:fldChar w:fldCharType="separate"/>
        </w:r>
        <w:r w:rsidR="001D5AD9">
          <w:rPr>
            <w:webHidden/>
          </w:rPr>
          <w:t>45</w:t>
        </w:r>
        <w:r w:rsidR="00616885">
          <w:rPr>
            <w:webHidden/>
          </w:rPr>
          <w:fldChar w:fldCharType="end"/>
        </w:r>
      </w:hyperlink>
    </w:p>
    <w:p w14:paraId="0D004E5F" w14:textId="58C3BCCA" w:rsidR="00616885" w:rsidRDefault="00000000">
      <w:pPr>
        <w:pStyle w:val="TOC2"/>
        <w:rPr>
          <w:rFonts w:asciiTheme="minorHAnsi" w:eastAsiaTheme="minorEastAsia" w:hAnsiTheme="minorHAnsi" w:cstheme="minorBidi"/>
          <w:szCs w:val="22"/>
          <w:lang w:bidi="ar-SA"/>
        </w:rPr>
      </w:pPr>
      <w:hyperlink w:anchor="_Toc121503919" w:history="1">
        <w:r w:rsidR="00616885" w:rsidRPr="00657503">
          <w:rPr>
            <w:rStyle w:val="Hyperlink"/>
            <w:rFonts w:cs="Arial"/>
            <w:b/>
            <w:bCs/>
            <w:iCs/>
            <w:lang w:val="fr-FR" w:eastAsia="en-US"/>
          </w:rPr>
          <w:t>2.8</w:t>
        </w:r>
        <w:r w:rsidR="00616885">
          <w:rPr>
            <w:rFonts w:asciiTheme="minorHAnsi" w:eastAsiaTheme="minorEastAsia" w:hAnsiTheme="minorHAnsi" w:cstheme="minorBidi"/>
            <w:szCs w:val="22"/>
            <w:lang w:bidi="ar-SA"/>
          </w:rPr>
          <w:tab/>
        </w:r>
        <w:r w:rsidR="00616885" w:rsidRPr="00657503">
          <w:rPr>
            <w:rStyle w:val="Hyperlink"/>
            <w:rFonts w:cs="Arial"/>
            <w:b/>
            <w:bCs/>
            <w:iCs/>
            <w:lang w:val="fr-FR" w:eastAsia="en-US"/>
          </w:rPr>
          <w:t>Communication on ES1 (EUM - SM-SR)</w:t>
        </w:r>
        <w:r w:rsidR="00616885">
          <w:rPr>
            <w:webHidden/>
          </w:rPr>
          <w:tab/>
        </w:r>
        <w:r w:rsidR="00616885">
          <w:rPr>
            <w:webHidden/>
          </w:rPr>
          <w:fldChar w:fldCharType="begin"/>
        </w:r>
        <w:r w:rsidR="00616885">
          <w:rPr>
            <w:webHidden/>
          </w:rPr>
          <w:instrText xml:space="preserve"> PAGEREF _Toc121503919 \h </w:instrText>
        </w:r>
        <w:r w:rsidR="00616885">
          <w:rPr>
            <w:webHidden/>
          </w:rPr>
        </w:r>
        <w:r w:rsidR="00616885">
          <w:rPr>
            <w:webHidden/>
          </w:rPr>
          <w:fldChar w:fldCharType="separate"/>
        </w:r>
        <w:r w:rsidR="001D5AD9">
          <w:rPr>
            <w:webHidden/>
          </w:rPr>
          <w:t>45</w:t>
        </w:r>
        <w:r w:rsidR="00616885">
          <w:rPr>
            <w:webHidden/>
          </w:rPr>
          <w:fldChar w:fldCharType="end"/>
        </w:r>
      </w:hyperlink>
    </w:p>
    <w:p w14:paraId="5FCB4F6D" w14:textId="57BD3C6A" w:rsidR="00616885" w:rsidRDefault="00000000">
      <w:pPr>
        <w:pStyle w:val="TOC2"/>
        <w:rPr>
          <w:rFonts w:asciiTheme="minorHAnsi" w:eastAsiaTheme="minorEastAsia" w:hAnsiTheme="minorHAnsi" w:cstheme="minorBidi"/>
          <w:szCs w:val="22"/>
          <w:lang w:bidi="ar-SA"/>
        </w:rPr>
      </w:pPr>
      <w:hyperlink w:anchor="_Toc121503920" w:history="1">
        <w:r w:rsidR="00616885" w:rsidRPr="00657503">
          <w:rPr>
            <w:rStyle w:val="Hyperlink"/>
            <w:rFonts w:cs="Arial"/>
            <w:b/>
            <w:bCs/>
            <w:iCs/>
            <w:lang w:eastAsia="en-US"/>
          </w:rPr>
          <w:t>2.9</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Compliance</w:t>
        </w:r>
        <w:r w:rsidR="00616885">
          <w:rPr>
            <w:webHidden/>
          </w:rPr>
          <w:tab/>
        </w:r>
        <w:r w:rsidR="00616885">
          <w:rPr>
            <w:webHidden/>
          </w:rPr>
          <w:fldChar w:fldCharType="begin"/>
        </w:r>
        <w:r w:rsidR="00616885">
          <w:rPr>
            <w:webHidden/>
          </w:rPr>
          <w:instrText xml:space="preserve"> PAGEREF _Toc121503920 \h </w:instrText>
        </w:r>
        <w:r w:rsidR="00616885">
          <w:rPr>
            <w:webHidden/>
          </w:rPr>
        </w:r>
        <w:r w:rsidR="00616885">
          <w:rPr>
            <w:webHidden/>
          </w:rPr>
          <w:fldChar w:fldCharType="separate"/>
        </w:r>
        <w:r w:rsidR="001D5AD9">
          <w:rPr>
            <w:webHidden/>
          </w:rPr>
          <w:t>46</w:t>
        </w:r>
        <w:r w:rsidR="00616885">
          <w:rPr>
            <w:webHidden/>
          </w:rPr>
          <w:fldChar w:fldCharType="end"/>
        </w:r>
      </w:hyperlink>
    </w:p>
    <w:p w14:paraId="15B2FC4A" w14:textId="14725A18" w:rsidR="00616885" w:rsidRDefault="00000000">
      <w:pPr>
        <w:pStyle w:val="TOC1"/>
        <w:rPr>
          <w:rFonts w:asciiTheme="minorHAnsi" w:eastAsiaTheme="minorEastAsia" w:hAnsiTheme="minorHAnsi" w:cstheme="minorBidi"/>
          <w:b w:val="0"/>
          <w:lang w:eastAsia="en-GB" w:bidi="ar-SA"/>
        </w:rPr>
      </w:pPr>
      <w:hyperlink w:anchor="_Toc121503921" w:history="1">
        <w:r w:rsidR="00616885" w:rsidRPr="00657503">
          <w:rPr>
            <w:rStyle w:val="Hyperlink"/>
            <w:rFonts w:eastAsia="Times New Roman" w:cs="Arial"/>
            <w:lang w:eastAsia="en-US"/>
          </w:rPr>
          <w:t>3</w:t>
        </w:r>
        <w:r w:rsidR="00616885">
          <w:rPr>
            <w:rFonts w:asciiTheme="minorHAnsi" w:eastAsiaTheme="minorEastAsia" w:hAnsiTheme="minorHAnsi" w:cstheme="minorBidi"/>
            <w:b w:val="0"/>
            <w:lang w:eastAsia="en-GB" w:bidi="ar-SA"/>
          </w:rPr>
          <w:tab/>
        </w:r>
        <w:r w:rsidR="00616885" w:rsidRPr="00657503">
          <w:rPr>
            <w:rStyle w:val="Hyperlink"/>
            <w:rFonts w:eastAsia="Times New Roman" w:cs="Arial"/>
            <w:bCs/>
            <w:lang w:eastAsia="en-US"/>
          </w:rPr>
          <w:t>Detailed Procedure Specifications</w:t>
        </w:r>
        <w:r w:rsidR="00616885">
          <w:rPr>
            <w:webHidden/>
          </w:rPr>
          <w:tab/>
        </w:r>
        <w:r w:rsidR="00616885">
          <w:rPr>
            <w:webHidden/>
          </w:rPr>
          <w:fldChar w:fldCharType="begin"/>
        </w:r>
        <w:r w:rsidR="00616885">
          <w:rPr>
            <w:webHidden/>
          </w:rPr>
          <w:instrText xml:space="preserve"> PAGEREF _Toc121503921 \h </w:instrText>
        </w:r>
        <w:r w:rsidR="00616885">
          <w:rPr>
            <w:webHidden/>
          </w:rPr>
        </w:r>
        <w:r w:rsidR="00616885">
          <w:rPr>
            <w:webHidden/>
          </w:rPr>
          <w:fldChar w:fldCharType="separate"/>
        </w:r>
        <w:r w:rsidR="001D5AD9">
          <w:rPr>
            <w:webHidden/>
          </w:rPr>
          <w:t>46</w:t>
        </w:r>
        <w:r w:rsidR="00616885">
          <w:rPr>
            <w:webHidden/>
          </w:rPr>
          <w:fldChar w:fldCharType="end"/>
        </w:r>
      </w:hyperlink>
    </w:p>
    <w:p w14:paraId="0E8567BF" w14:textId="7D9EFD85" w:rsidR="00616885" w:rsidRDefault="00000000">
      <w:pPr>
        <w:pStyle w:val="TOC2"/>
        <w:rPr>
          <w:rFonts w:asciiTheme="minorHAnsi" w:eastAsiaTheme="minorEastAsia" w:hAnsiTheme="minorHAnsi" w:cstheme="minorBidi"/>
          <w:szCs w:val="22"/>
          <w:lang w:bidi="ar-SA"/>
        </w:rPr>
      </w:pPr>
      <w:hyperlink w:anchor="_Toc121503922" w:history="1">
        <w:r w:rsidR="00616885" w:rsidRPr="00657503">
          <w:rPr>
            <w:rStyle w:val="Hyperlink"/>
            <w:rFonts w:cs="Arial"/>
            <w:b/>
            <w:bCs/>
            <w:iCs/>
            <w:lang w:eastAsia="en-US"/>
          </w:rPr>
          <w:t>3.1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Profile Download and Installation</w:t>
        </w:r>
        <w:r w:rsidR="00616885">
          <w:rPr>
            <w:webHidden/>
          </w:rPr>
          <w:tab/>
        </w:r>
        <w:r w:rsidR="00616885">
          <w:rPr>
            <w:webHidden/>
          </w:rPr>
          <w:fldChar w:fldCharType="begin"/>
        </w:r>
        <w:r w:rsidR="00616885">
          <w:rPr>
            <w:webHidden/>
          </w:rPr>
          <w:instrText xml:space="preserve"> PAGEREF _Toc121503922 \h </w:instrText>
        </w:r>
        <w:r w:rsidR="00616885">
          <w:rPr>
            <w:webHidden/>
          </w:rPr>
        </w:r>
        <w:r w:rsidR="00616885">
          <w:rPr>
            <w:webHidden/>
          </w:rPr>
          <w:fldChar w:fldCharType="separate"/>
        </w:r>
        <w:r w:rsidR="001D5AD9">
          <w:rPr>
            <w:webHidden/>
          </w:rPr>
          <w:t>46</w:t>
        </w:r>
        <w:r w:rsidR="00616885">
          <w:rPr>
            <w:webHidden/>
          </w:rPr>
          <w:fldChar w:fldCharType="end"/>
        </w:r>
      </w:hyperlink>
    </w:p>
    <w:p w14:paraId="2EE9BB17" w14:textId="1DD83FB4" w:rsidR="00616885" w:rsidRDefault="00000000">
      <w:pPr>
        <w:pStyle w:val="TOC3"/>
        <w:rPr>
          <w:rFonts w:asciiTheme="minorHAnsi" w:eastAsiaTheme="minorEastAsia" w:hAnsiTheme="minorHAnsi" w:cstheme="minorBidi"/>
          <w:szCs w:val="22"/>
          <w:lang w:bidi="ar-SA"/>
        </w:rPr>
      </w:pPr>
      <w:hyperlink w:anchor="_Toc121503923" w:history="1">
        <w:r w:rsidR="00616885" w:rsidRPr="00657503">
          <w:rPr>
            <w:rStyle w:val="Hyperlink"/>
            <w:rFonts w:cs="Arial"/>
            <w:b/>
            <w:bCs/>
            <w:iCs/>
            <w:lang w:eastAsia="en-US"/>
          </w:rPr>
          <w:t>3.1.1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ISD-P </w:t>
        </w:r>
        <w:r w:rsidR="00616885" w:rsidRPr="00657503">
          <w:rPr>
            <w:rStyle w:val="Hyperlink"/>
            <w:rFonts w:cs="Arial"/>
            <w:b/>
            <w:lang w:eastAsia="en-US"/>
          </w:rPr>
          <w:t>Creation</w:t>
        </w:r>
        <w:r w:rsidR="00616885">
          <w:rPr>
            <w:webHidden/>
          </w:rPr>
          <w:tab/>
        </w:r>
        <w:r w:rsidR="00616885">
          <w:rPr>
            <w:webHidden/>
          </w:rPr>
          <w:fldChar w:fldCharType="begin"/>
        </w:r>
        <w:r w:rsidR="00616885">
          <w:rPr>
            <w:webHidden/>
          </w:rPr>
          <w:instrText xml:space="preserve"> PAGEREF _Toc121503923 \h </w:instrText>
        </w:r>
        <w:r w:rsidR="00616885">
          <w:rPr>
            <w:webHidden/>
          </w:rPr>
        </w:r>
        <w:r w:rsidR="00616885">
          <w:rPr>
            <w:webHidden/>
          </w:rPr>
          <w:fldChar w:fldCharType="separate"/>
        </w:r>
        <w:r w:rsidR="001D5AD9">
          <w:rPr>
            <w:webHidden/>
          </w:rPr>
          <w:t>46</w:t>
        </w:r>
        <w:r w:rsidR="00616885">
          <w:rPr>
            <w:webHidden/>
          </w:rPr>
          <w:fldChar w:fldCharType="end"/>
        </w:r>
      </w:hyperlink>
    </w:p>
    <w:p w14:paraId="57BB3DBE" w14:textId="73382023" w:rsidR="00616885" w:rsidRDefault="00000000">
      <w:pPr>
        <w:pStyle w:val="TOC3"/>
        <w:rPr>
          <w:rFonts w:asciiTheme="minorHAnsi" w:eastAsiaTheme="minorEastAsia" w:hAnsiTheme="minorHAnsi" w:cstheme="minorBidi"/>
          <w:szCs w:val="22"/>
          <w:lang w:bidi="ar-SA"/>
        </w:rPr>
      </w:pPr>
      <w:hyperlink w:anchor="_Toc121503924" w:history="1">
        <w:r w:rsidR="00616885" w:rsidRPr="00657503">
          <w:rPr>
            <w:rStyle w:val="Hyperlink"/>
            <w:rFonts w:cs="Arial"/>
            <w:b/>
            <w:bCs/>
            <w:iCs/>
            <w:lang w:eastAsia="en-US"/>
          </w:rPr>
          <w:t>3.1.2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Key Establishment with Scenario#3-Mutual Authentication</w:t>
        </w:r>
        <w:r w:rsidR="00616885">
          <w:rPr>
            <w:webHidden/>
          </w:rPr>
          <w:tab/>
        </w:r>
        <w:r w:rsidR="00616885">
          <w:rPr>
            <w:webHidden/>
          </w:rPr>
          <w:fldChar w:fldCharType="begin"/>
        </w:r>
        <w:r w:rsidR="00616885">
          <w:rPr>
            <w:webHidden/>
          </w:rPr>
          <w:instrText xml:space="preserve"> PAGEREF _Toc121503924 \h </w:instrText>
        </w:r>
        <w:r w:rsidR="00616885">
          <w:rPr>
            <w:webHidden/>
          </w:rPr>
        </w:r>
        <w:r w:rsidR="00616885">
          <w:rPr>
            <w:webHidden/>
          </w:rPr>
          <w:fldChar w:fldCharType="separate"/>
        </w:r>
        <w:r w:rsidR="001D5AD9">
          <w:rPr>
            <w:webHidden/>
          </w:rPr>
          <w:t>50</w:t>
        </w:r>
        <w:r w:rsidR="00616885">
          <w:rPr>
            <w:webHidden/>
          </w:rPr>
          <w:fldChar w:fldCharType="end"/>
        </w:r>
      </w:hyperlink>
    </w:p>
    <w:p w14:paraId="453C7A70" w14:textId="6909B955" w:rsidR="00616885" w:rsidRDefault="00000000">
      <w:pPr>
        <w:pStyle w:val="TOC3"/>
        <w:rPr>
          <w:rFonts w:asciiTheme="minorHAnsi" w:eastAsiaTheme="minorEastAsia" w:hAnsiTheme="minorHAnsi" w:cstheme="minorBidi"/>
          <w:szCs w:val="22"/>
          <w:lang w:bidi="ar-SA"/>
        </w:rPr>
      </w:pPr>
      <w:hyperlink w:anchor="_Toc121503925" w:history="1">
        <w:r w:rsidR="00616885" w:rsidRPr="00657503">
          <w:rPr>
            <w:rStyle w:val="Hyperlink"/>
            <w:rFonts w:cs="Arial"/>
            <w:b/>
            <w:bCs/>
            <w:iCs/>
            <w:lang w:eastAsia="en-US"/>
          </w:rPr>
          <w:t>3.1.3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Download and Installation of the Profile</w:t>
        </w:r>
        <w:r w:rsidR="00616885">
          <w:rPr>
            <w:webHidden/>
          </w:rPr>
          <w:tab/>
        </w:r>
        <w:r w:rsidR="00616885">
          <w:rPr>
            <w:webHidden/>
          </w:rPr>
          <w:fldChar w:fldCharType="begin"/>
        </w:r>
        <w:r w:rsidR="00616885">
          <w:rPr>
            <w:webHidden/>
          </w:rPr>
          <w:instrText xml:space="preserve"> PAGEREF _Toc121503925 \h </w:instrText>
        </w:r>
        <w:r w:rsidR="00616885">
          <w:rPr>
            <w:webHidden/>
          </w:rPr>
        </w:r>
        <w:r w:rsidR="00616885">
          <w:rPr>
            <w:webHidden/>
          </w:rPr>
          <w:fldChar w:fldCharType="separate"/>
        </w:r>
        <w:r w:rsidR="001D5AD9">
          <w:rPr>
            <w:webHidden/>
          </w:rPr>
          <w:t>55</w:t>
        </w:r>
        <w:r w:rsidR="00616885">
          <w:rPr>
            <w:webHidden/>
          </w:rPr>
          <w:fldChar w:fldCharType="end"/>
        </w:r>
      </w:hyperlink>
    </w:p>
    <w:p w14:paraId="3C32016A" w14:textId="6D98BBE2" w:rsidR="00616885" w:rsidRDefault="00000000">
      <w:pPr>
        <w:pStyle w:val="TOC3"/>
        <w:rPr>
          <w:rFonts w:asciiTheme="minorHAnsi" w:eastAsiaTheme="minorEastAsia" w:hAnsiTheme="minorHAnsi" w:cstheme="minorBidi"/>
          <w:szCs w:val="22"/>
          <w:lang w:bidi="ar-SA"/>
        </w:rPr>
      </w:pPr>
      <w:hyperlink w:anchor="_Toc121503926" w:history="1">
        <w:r w:rsidR="00616885" w:rsidRPr="00657503">
          <w:rPr>
            <w:rStyle w:val="Hyperlink"/>
            <w:rFonts w:cs="Arial"/>
            <w:b/>
            <w:bCs/>
            <w:iCs/>
            <w:lang w:eastAsia="en-US"/>
          </w:rPr>
          <w:t>3.1.4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Error Management Sub-Routine</w:t>
        </w:r>
        <w:r w:rsidR="00616885">
          <w:rPr>
            <w:webHidden/>
          </w:rPr>
          <w:tab/>
        </w:r>
        <w:r w:rsidR="00616885">
          <w:rPr>
            <w:webHidden/>
          </w:rPr>
          <w:fldChar w:fldCharType="begin"/>
        </w:r>
        <w:r w:rsidR="00616885">
          <w:rPr>
            <w:webHidden/>
          </w:rPr>
          <w:instrText xml:space="preserve"> PAGEREF _Toc121503926 \h </w:instrText>
        </w:r>
        <w:r w:rsidR="00616885">
          <w:rPr>
            <w:webHidden/>
          </w:rPr>
        </w:r>
        <w:r w:rsidR="00616885">
          <w:rPr>
            <w:webHidden/>
          </w:rPr>
          <w:fldChar w:fldCharType="separate"/>
        </w:r>
        <w:r w:rsidR="001D5AD9">
          <w:rPr>
            <w:webHidden/>
          </w:rPr>
          <w:t>61</w:t>
        </w:r>
        <w:r w:rsidR="00616885">
          <w:rPr>
            <w:webHidden/>
          </w:rPr>
          <w:fldChar w:fldCharType="end"/>
        </w:r>
      </w:hyperlink>
    </w:p>
    <w:p w14:paraId="656D1A78" w14:textId="420A7228" w:rsidR="00616885" w:rsidRDefault="00000000">
      <w:pPr>
        <w:pStyle w:val="TOC3"/>
        <w:rPr>
          <w:rFonts w:asciiTheme="minorHAnsi" w:eastAsiaTheme="minorEastAsia" w:hAnsiTheme="minorHAnsi" w:cstheme="minorBidi"/>
          <w:szCs w:val="22"/>
          <w:lang w:bidi="ar-SA"/>
        </w:rPr>
      </w:pPr>
      <w:hyperlink w:anchor="_Toc121503927" w:history="1">
        <w:r w:rsidR="00616885" w:rsidRPr="00657503">
          <w:rPr>
            <w:rStyle w:val="Hyperlink"/>
            <w:rFonts w:cs="Arial"/>
            <w:b/>
            <w:bCs/>
            <w:iCs/>
            <w:lang w:eastAsia="en-US"/>
          </w:rPr>
          <w:t>3.1.5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ISD-P Cleanup Sub-Routine</w:t>
        </w:r>
        <w:r w:rsidR="00616885">
          <w:rPr>
            <w:webHidden/>
          </w:rPr>
          <w:tab/>
        </w:r>
        <w:r w:rsidR="00616885">
          <w:rPr>
            <w:webHidden/>
          </w:rPr>
          <w:fldChar w:fldCharType="begin"/>
        </w:r>
        <w:r w:rsidR="00616885">
          <w:rPr>
            <w:webHidden/>
          </w:rPr>
          <w:instrText xml:space="preserve"> PAGEREF _Toc121503927 \h </w:instrText>
        </w:r>
        <w:r w:rsidR="00616885">
          <w:rPr>
            <w:webHidden/>
          </w:rPr>
        </w:r>
        <w:r w:rsidR="00616885">
          <w:rPr>
            <w:webHidden/>
          </w:rPr>
          <w:fldChar w:fldCharType="separate"/>
        </w:r>
        <w:r w:rsidR="001D5AD9">
          <w:rPr>
            <w:webHidden/>
          </w:rPr>
          <w:t>64</w:t>
        </w:r>
        <w:r w:rsidR="00616885">
          <w:rPr>
            <w:webHidden/>
          </w:rPr>
          <w:fldChar w:fldCharType="end"/>
        </w:r>
      </w:hyperlink>
    </w:p>
    <w:p w14:paraId="259D5B11" w14:textId="5CA019D4" w:rsidR="00616885" w:rsidRDefault="00000000">
      <w:pPr>
        <w:pStyle w:val="TOC2"/>
        <w:rPr>
          <w:rFonts w:asciiTheme="minorHAnsi" w:eastAsiaTheme="minorEastAsia" w:hAnsiTheme="minorHAnsi" w:cstheme="minorBidi"/>
          <w:szCs w:val="22"/>
          <w:lang w:bidi="ar-SA"/>
        </w:rPr>
      </w:pPr>
      <w:hyperlink w:anchor="_Toc121503928" w:history="1">
        <w:r w:rsidR="00616885" w:rsidRPr="00657503">
          <w:rPr>
            <w:rStyle w:val="Hyperlink"/>
            <w:rFonts w:cs="Arial"/>
            <w:b/>
            <w:bCs/>
            <w:iCs/>
            <w:lang w:eastAsia="en-US"/>
          </w:rPr>
          <w:t>3.2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Profile Enabling</w:t>
        </w:r>
        <w:r w:rsidR="00616885">
          <w:rPr>
            <w:webHidden/>
          </w:rPr>
          <w:tab/>
        </w:r>
        <w:r w:rsidR="00616885">
          <w:rPr>
            <w:webHidden/>
          </w:rPr>
          <w:fldChar w:fldCharType="begin"/>
        </w:r>
        <w:r w:rsidR="00616885">
          <w:rPr>
            <w:webHidden/>
          </w:rPr>
          <w:instrText xml:space="preserve"> PAGEREF _Toc121503928 \h </w:instrText>
        </w:r>
        <w:r w:rsidR="00616885">
          <w:rPr>
            <w:webHidden/>
          </w:rPr>
        </w:r>
        <w:r w:rsidR="00616885">
          <w:rPr>
            <w:webHidden/>
          </w:rPr>
          <w:fldChar w:fldCharType="separate"/>
        </w:r>
        <w:r w:rsidR="001D5AD9">
          <w:rPr>
            <w:webHidden/>
          </w:rPr>
          <w:t>67</w:t>
        </w:r>
        <w:r w:rsidR="00616885">
          <w:rPr>
            <w:webHidden/>
          </w:rPr>
          <w:fldChar w:fldCharType="end"/>
        </w:r>
      </w:hyperlink>
    </w:p>
    <w:p w14:paraId="20BB5D1D" w14:textId="2D5E85F7" w:rsidR="00616885" w:rsidRDefault="00000000">
      <w:pPr>
        <w:pStyle w:val="TOC3"/>
        <w:rPr>
          <w:rFonts w:asciiTheme="minorHAnsi" w:eastAsiaTheme="minorEastAsia" w:hAnsiTheme="minorHAnsi" w:cstheme="minorBidi"/>
          <w:szCs w:val="22"/>
          <w:lang w:bidi="ar-SA"/>
        </w:rPr>
      </w:pPr>
      <w:hyperlink w:anchor="_Toc121503929" w:history="1">
        <w:r w:rsidR="00616885" w:rsidRPr="00657503">
          <w:rPr>
            <w:rStyle w:val="Hyperlink"/>
            <w:rFonts w:cs="Arial"/>
            <w:b/>
            <w:bCs/>
            <w:iCs/>
            <w:lang w:eastAsia="en-US"/>
          </w:rPr>
          <w:t>3.2.1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Normal </w:t>
        </w:r>
        <w:r w:rsidR="00616885" w:rsidRPr="00657503">
          <w:rPr>
            <w:rStyle w:val="Hyperlink"/>
            <w:rFonts w:cs="Arial"/>
            <w:b/>
            <w:lang w:eastAsia="en-US"/>
          </w:rPr>
          <w:t>Case</w:t>
        </w:r>
        <w:r w:rsidR="00616885">
          <w:rPr>
            <w:webHidden/>
          </w:rPr>
          <w:tab/>
        </w:r>
        <w:r w:rsidR="00616885">
          <w:rPr>
            <w:webHidden/>
          </w:rPr>
          <w:fldChar w:fldCharType="begin"/>
        </w:r>
        <w:r w:rsidR="00616885">
          <w:rPr>
            <w:webHidden/>
          </w:rPr>
          <w:instrText xml:space="preserve"> PAGEREF _Toc121503929 \h </w:instrText>
        </w:r>
        <w:r w:rsidR="00616885">
          <w:rPr>
            <w:webHidden/>
          </w:rPr>
        </w:r>
        <w:r w:rsidR="00616885">
          <w:rPr>
            <w:webHidden/>
          </w:rPr>
          <w:fldChar w:fldCharType="separate"/>
        </w:r>
        <w:r w:rsidR="001D5AD9">
          <w:rPr>
            <w:webHidden/>
          </w:rPr>
          <w:t>67</w:t>
        </w:r>
        <w:r w:rsidR="00616885">
          <w:rPr>
            <w:webHidden/>
          </w:rPr>
          <w:fldChar w:fldCharType="end"/>
        </w:r>
      </w:hyperlink>
    </w:p>
    <w:p w14:paraId="4EEFF561" w14:textId="02422D93" w:rsidR="00616885" w:rsidRDefault="00000000">
      <w:pPr>
        <w:pStyle w:val="TOC3"/>
        <w:rPr>
          <w:rFonts w:asciiTheme="minorHAnsi" w:eastAsiaTheme="minorEastAsia" w:hAnsiTheme="minorHAnsi" w:cstheme="minorBidi"/>
          <w:szCs w:val="22"/>
          <w:lang w:bidi="ar-SA"/>
        </w:rPr>
      </w:pPr>
      <w:hyperlink w:anchor="_Toc121503930" w:history="1">
        <w:r w:rsidR="00616885" w:rsidRPr="00657503">
          <w:rPr>
            <w:rStyle w:val="Hyperlink"/>
            <w:rFonts w:cs="Arial"/>
            <w:b/>
            <w:bCs/>
            <w:iCs/>
            <w:lang w:eastAsia="en-US"/>
          </w:rPr>
          <w:t>3.2.2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Connectivity </w:t>
        </w:r>
        <w:r w:rsidR="00616885" w:rsidRPr="00657503">
          <w:rPr>
            <w:rStyle w:val="Hyperlink"/>
            <w:rFonts w:cs="Arial"/>
            <w:b/>
            <w:lang w:eastAsia="en-US"/>
          </w:rPr>
          <w:t>Failure Case</w:t>
        </w:r>
        <w:r w:rsidR="00616885">
          <w:rPr>
            <w:webHidden/>
          </w:rPr>
          <w:tab/>
        </w:r>
        <w:r w:rsidR="00616885">
          <w:rPr>
            <w:webHidden/>
          </w:rPr>
          <w:fldChar w:fldCharType="begin"/>
        </w:r>
        <w:r w:rsidR="00616885">
          <w:rPr>
            <w:webHidden/>
          </w:rPr>
          <w:instrText xml:space="preserve"> PAGEREF _Toc121503930 \h </w:instrText>
        </w:r>
        <w:r w:rsidR="00616885">
          <w:rPr>
            <w:webHidden/>
          </w:rPr>
        </w:r>
        <w:r w:rsidR="00616885">
          <w:rPr>
            <w:webHidden/>
          </w:rPr>
          <w:fldChar w:fldCharType="separate"/>
        </w:r>
        <w:r w:rsidR="001D5AD9">
          <w:rPr>
            <w:webHidden/>
          </w:rPr>
          <w:t>72</w:t>
        </w:r>
        <w:r w:rsidR="00616885">
          <w:rPr>
            <w:webHidden/>
          </w:rPr>
          <w:fldChar w:fldCharType="end"/>
        </w:r>
      </w:hyperlink>
    </w:p>
    <w:p w14:paraId="66A56DE4" w14:textId="504EEAAA" w:rsidR="00616885" w:rsidRDefault="00000000">
      <w:pPr>
        <w:pStyle w:val="TOC2"/>
        <w:rPr>
          <w:rFonts w:asciiTheme="minorHAnsi" w:eastAsiaTheme="minorEastAsia" w:hAnsiTheme="minorHAnsi" w:cstheme="minorBidi"/>
          <w:szCs w:val="22"/>
          <w:lang w:bidi="ar-SA"/>
        </w:rPr>
      </w:pPr>
      <w:hyperlink w:anchor="_Toc121503931" w:history="1">
        <w:r w:rsidR="00616885" w:rsidRPr="00657503">
          <w:rPr>
            <w:rStyle w:val="Hyperlink"/>
            <w:rFonts w:cs="Arial"/>
            <w:b/>
            <w:bCs/>
            <w:iCs/>
            <w:lang w:eastAsia="en-US"/>
          </w:rPr>
          <w:t>3.3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Profile Enabling </w:t>
        </w:r>
        <w:r w:rsidR="00616885" w:rsidRPr="00657503">
          <w:rPr>
            <w:rStyle w:val="Hyperlink"/>
            <w:rFonts w:cs="Arial"/>
            <w:b/>
            <w:lang w:eastAsia="en-US"/>
          </w:rPr>
          <w:t>Via SM-DP</w:t>
        </w:r>
        <w:r w:rsidR="00616885">
          <w:rPr>
            <w:webHidden/>
          </w:rPr>
          <w:tab/>
        </w:r>
        <w:r w:rsidR="00616885">
          <w:rPr>
            <w:webHidden/>
          </w:rPr>
          <w:fldChar w:fldCharType="begin"/>
        </w:r>
        <w:r w:rsidR="00616885">
          <w:rPr>
            <w:webHidden/>
          </w:rPr>
          <w:instrText xml:space="preserve"> PAGEREF _Toc121503931 \h </w:instrText>
        </w:r>
        <w:r w:rsidR="00616885">
          <w:rPr>
            <w:webHidden/>
          </w:rPr>
        </w:r>
        <w:r w:rsidR="00616885">
          <w:rPr>
            <w:webHidden/>
          </w:rPr>
          <w:fldChar w:fldCharType="separate"/>
        </w:r>
        <w:r w:rsidR="001D5AD9">
          <w:rPr>
            <w:webHidden/>
          </w:rPr>
          <w:t>75</w:t>
        </w:r>
        <w:r w:rsidR="00616885">
          <w:rPr>
            <w:webHidden/>
          </w:rPr>
          <w:fldChar w:fldCharType="end"/>
        </w:r>
      </w:hyperlink>
    </w:p>
    <w:p w14:paraId="7375B3FE" w14:textId="115E4622" w:rsidR="00616885" w:rsidRDefault="00000000">
      <w:pPr>
        <w:pStyle w:val="TOC3"/>
        <w:rPr>
          <w:rFonts w:asciiTheme="minorHAnsi" w:eastAsiaTheme="minorEastAsia" w:hAnsiTheme="minorHAnsi" w:cstheme="minorBidi"/>
          <w:szCs w:val="22"/>
          <w:lang w:bidi="ar-SA"/>
        </w:rPr>
      </w:pPr>
      <w:hyperlink w:anchor="_Toc121503932" w:history="1">
        <w:r w:rsidR="00616885" w:rsidRPr="00657503">
          <w:rPr>
            <w:rStyle w:val="Hyperlink"/>
            <w:rFonts w:cs="Arial"/>
            <w:b/>
            <w:bCs/>
            <w:iCs/>
            <w:lang w:eastAsia="en-US"/>
          </w:rPr>
          <w:t>3.3.1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Normal </w:t>
        </w:r>
        <w:r w:rsidR="00616885" w:rsidRPr="00657503">
          <w:rPr>
            <w:rStyle w:val="Hyperlink"/>
            <w:rFonts w:cs="Arial"/>
            <w:b/>
            <w:lang w:eastAsia="en-US"/>
          </w:rPr>
          <w:t>Case</w:t>
        </w:r>
        <w:r w:rsidR="00616885">
          <w:rPr>
            <w:webHidden/>
          </w:rPr>
          <w:tab/>
        </w:r>
        <w:r w:rsidR="00616885">
          <w:rPr>
            <w:webHidden/>
          </w:rPr>
          <w:fldChar w:fldCharType="begin"/>
        </w:r>
        <w:r w:rsidR="00616885">
          <w:rPr>
            <w:webHidden/>
          </w:rPr>
          <w:instrText xml:space="preserve"> PAGEREF _Toc121503932 \h </w:instrText>
        </w:r>
        <w:r w:rsidR="00616885">
          <w:rPr>
            <w:webHidden/>
          </w:rPr>
        </w:r>
        <w:r w:rsidR="00616885">
          <w:rPr>
            <w:webHidden/>
          </w:rPr>
          <w:fldChar w:fldCharType="separate"/>
        </w:r>
        <w:r w:rsidR="001D5AD9">
          <w:rPr>
            <w:webHidden/>
          </w:rPr>
          <w:t>75</w:t>
        </w:r>
        <w:r w:rsidR="00616885">
          <w:rPr>
            <w:webHidden/>
          </w:rPr>
          <w:fldChar w:fldCharType="end"/>
        </w:r>
      </w:hyperlink>
    </w:p>
    <w:p w14:paraId="05871442" w14:textId="0D21B88D" w:rsidR="00616885" w:rsidRDefault="00000000">
      <w:pPr>
        <w:pStyle w:val="TOC3"/>
        <w:rPr>
          <w:rFonts w:asciiTheme="minorHAnsi" w:eastAsiaTheme="minorEastAsia" w:hAnsiTheme="minorHAnsi" w:cstheme="minorBidi"/>
          <w:szCs w:val="22"/>
          <w:lang w:bidi="ar-SA"/>
        </w:rPr>
      </w:pPr>
      <w:hyperlink w:anchor="_Toc121503933" w:history="1">
        <w:r w:rsidR="00616885" w:rsidRPr="00657503">
          <w:rPr>
            <w:rStyle w:val="Hyperlink"/>
            <w:rFonts w:cs="Arial"/>
            <w:b/>
            <w:bCs/>
            <w:iCs/>
            <w:lang w:eastAsia="en-US"/>
          </w:rPr>
          <w:t>3.3.2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Connectivity Failure Case</w:t>
        </w:r>
        <w:r w:rsidR="00616885">
          <w:rPr>
            <w:webHidden/>
          </w:rPr>
          <w:tab/>
        </w:r>
        <w:r w:rsidR="00616885">
          <w:rPr>
            <w:webHidden/>
          </w:rPr>
          <w:fldChar w:fldCharType="begin"/>
        </w:r>
        <w:r w:rsidR="00616885">
          <w:rPr>
            <w:webHidden/>
          </w:rPr>
          <w:instrText xml:space="preserve"> PAGEREF _Toc121503933 \h </w:instrText>
        </w:r>
        <w:r w:rsidR="00616885">
          <w:rPr>
            <w:webHidden/>
          </w:rPr>
        </w:r>
        <w:r w:rsidR="00616885">
          <w:rPr>
            <w:webHidden/>
          </w:rPr>
          <w:fldChar w:fldCharType="separate"/>
        </w:r>
        <w:r w:rsidR="001D5AD9">
          <w:rPr>
            <w:webHidden/>
          </w:rPr>
          <w:t>78</w:t>
        </w:r>
        <w:r w:rsidR="00616885">
          <w:rPr>
            <w:webHidden/>
          </w:rPr>
          <w:fldChar w:fldCharType="end"/>
        </w:r>
      </w:hyperlink>
    </w:p>
    <w:p w14:paraId="2A20DA8E" w14:textId="78BF5ABF" w:rsidR="00616885" w:rsidRDefault="00000000">
      <w:pPr>
        <w:pStyle w:val="TOC2"/>
        <w:rPr>
          <w:rFonts w:asciiTheme="minorHAnsi" w:eastAsiaTheme="minorEastAsia" w:hAnsiTheme="minorHAnsi" w:cstheme="minorBidi"/>
          <w:szCs w:val="22"/>
          <w:lang w:bidi="ar-SA"/>
        </w:rPr>
      </w:pPr>
      <w:hyperlink w:anchor="_Toc121503934" w:history="1">
        <w:r w:rsidR="00616885" w:rsidRPr="00657503">
          <w:rPr>
            <w:rStyle w:val="Hyperlink"/>
            <w:rFonts w:cs="Arial"/>
            <w:b/>
            <w:bCs/>
            <w:iCs/>
            <w:lang w:eastAsia="en-US"/>
          </w:rPr>
          <w:t>3.4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Profile Disabling</w:t>
        </w:r>
        <w:r w:rsidR="00616885">
          <w:rPr>
            <w:webHidden/>
          </w:rPr>
          <w:tab/>
        </w:r>
        <w:r w:rsidR="00616885">
          <w:rPr>
            <w:webHidden/>
          </w:rPr>
          <w:fldChar w:fldCharType="begin"/>
        </w:r>
        <w:r w:rsidR="00616885">
          <w:rPr>
            <w:webHidden/>
          </w:rPr>
          <w:instrText xml:space="preserve"> PAGEREF _Toc121503934 \h </w:instrText>
        </w:r>
        <w:r w:rsidR="00616885">
          <w:rPr>
            <w:webHidden/>
          </w:rPr>
        </w:r>
        <w:r w:rsidR="00616885">
          <w:rPr>
            <w:webHidden/>
          </w:rPr>
          <w:fldChar w:fldCharType="separate"/>
        </w:r>
        <w:r w:rsidR="001D5AD9">
          <w:rPr>
            <w:webHidden/>
          </w:rPr>
          <w:t>81</w:t>
        </w:r>
        <w:r w:rsidR="00616885">
          <w:rPr>
            <w:webHidden/>
          </w:rPr>
          <w:fldChar w:fldCharType="end"/>
        </w:r>
      </w:hyperlink>
    </w:p>
    <w:p w14:paraId="496D445D" w14:textId="60D0DC7F" w:rsidR="00616885" w:rsidRDefault="00000000">
      <w:pPr>
        <w:pStyle w:val="TOC2"/>
        <w:rPr>
          <w:rFonts w:asciiTheme="minorHAnsi" w:eastAsiaTheme="minorEastAsia" w:hAnsiTheme="minorHAnsi" w:cstheme="minorBidi"/>
          <w:szCs w:val="22"/>
          <w:lang w:bidi="ar-SA"/>
        </w:rPr>
      </w:pPr>
      <w:hyperlink w:anchor="_Toc121503935" w:history="1">
        <w:r w:rsidR="00616885" w:rsidRPr="00657503">
          <w:rPr>
            <w:rStyle w:val="Hyperlink"/>
            <w:rFonts w:cs="Arial"/>
            <w:b/>
            <w:bCs/>
            <w:iCs/>
            <w:lang w:eastAsia="en-US"/>
          </w:rPr>
          <w:t>3.5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Profile Disabling </w:t>
        </w:r>
        <w:r w:rsidR="00616885" w:rsidRPr="00657503">
          <w:rPr>
            <w:rStyle w:val="Hyperlink"/>
            <w:rFonts w:cs="Arial"/>
            <w:b/>
            <w:lang w:eastAsia="en-US"/>
          </w:rPr>
          <w:t>Via SM-DP</w:t>
        </w:r>
        <w:r w:rsidR="00616885">
          <w:rPr>
            <w:webHidden/>
          </w:rPr>
          <w:tab/>
        </w:r>
        <w:r w:rsidR="00616885">
          <w:rPr>
            <w:webHidden/>
          </w:rPr>
          <w:fldChar w:fldCharType="begin"/>
        </w:r>
        <w:r w:rsidR="00616885">
          <w:rPr>
            <w:webHidden/>
          </w:rPr>
          <w:instrText xml:space="preserve"> PAGEREF _Toc121503935 \h </w:instrText>
        </w:r>
        <w:r w:rsidR="00616885">
          <w:rPr>
            <w:webHidden/>
          </w:rPr>
        </w:r>
        <w:r w:rsidR="00616885">
          <w:rPr>
            <w:webHidden/>
          </w:rPr>
          <w:fldChar w:fldCharType="separate"/>
        </w:r>
        <w:r w:rsidR="001D5AD9">
          <w:rPr>
            <w:webHidden/>
          </w:rPr>
          <w:t>86</w:t>
        </w:r>
        <w:r w:rsidR="00616885">
          <w:rPr>
            <w:webHidden/>
          </w:rPr>
          <w:fldChar w:fldCharType="end"/>
        </w:r>
      </w:hyperlink>
    </w:p>
    <w:p w14:paraId="7FE48843" w14:textId="0EFCBA4F" w:rsidR="00616885" w:rsidRDefault="00000000">
      <w:pPr>
        <w:pStyle w:val="TOC2"/>
        <w:rPr>
          <w:rFonts w:asciiTheme="minorHAnsi" w:eastAsiaTheme="minorEastAsia" w:hAnsiTheme="minorHAnsi" w:cstheme="minorBidi"/>
          <w:szCs w:val="22"/>
          <w:lang w:bidi="ar-SA"/>
        </w:rPr>
      </w:pPr>
      <w:hyperlink w:anchor="_Toc121503936" w:history="1">
        <w:r w:rsidR="00616885" w:rsidRPr="00657503">
          <w:rPr>
            <w:rStyle w:val="Hyperlink"/>
            <w:rFonts w:cs="Arial"/>
            <w:b/>
            <w:bCs/>
            <w:iCs/>
            <w:lang w:eastAsia="en-US"/>
          </w:rPr>
          <w:t>3.6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Profile and ISD-P Deletion</w:t>
        </w:r>
        <w:r w:rsidR="00616885">
          <w:rPr>
            <w:webHidden/>
          </w:rPr>
          <w:tab/>
        </w:r>
        <w:r w:rsidR="00616885">
          <w:rPr>
            <w:webHidden/>
          </w:rPr>
          <w:fldChar w:fldCharType="begin"/>
        </w:r>
        <w:r w:rsidR="00616885">
          <w:rPr>
            <w:webHidden/>
          </w:rPr>
          <w:instrText xml:space="preserve"> PAGEREF _Toc121503936 \h </w:instrText>
        </w:r>
        <w:r w:rsidR="00616885">
          <w:rPr>
            <w:webHidden/>
          </w:rPr>
        </w:r>
        <w:r w:rsidR="00616885">
          <w:rPr>
            <w:webHidden/>
          </w:rPr>
          <w:fldChar w:fldCharType="separate"/>
        </w:r>
        <w:r w:rsidR="001D5AD9">
          <w:rPr>
            <w:webHidden/>
          </w:rPr>
          <w:t>89</w:t>
        </w:r>
        <w:r w:rsidR="00616885">
          <w:rPr>
            <w:webHidden/>
          </w:rPr>
          <w:fldChar w:fldCharType="end"/>
        </w:r>
      </w:hyperlink>
    </w:p>
    <w:p w14:paraId="7D4C626E" w14:textId="39C07EEC" w:rsidR="00616885" w:rsidRDefault="00000000">
      <w:pPr>
        <w:pStyle w:val="TOC2"/>
        <w:rPr>
          <w:rFonts w:asciiTheme="minorHAnsi" w:eastAsiaTheme="minorEastAsia" w:hAnsiTheme="minorHAnsi" w:cstheme="minorBidi"/>
          <w:szCs w:val="22"/>
          <w:lang w:bidi="ar-SA"/>
        </w:rPr>
      </w:pPr>
      <w:hyperlink w:anchor="_Toc121503937" w:history="1">
        <w:r w:rsidR="00616885" w:rsidRPr="00657503">
          <w:rPr>
            <w:rStyle w:val="Hyperlink"/>
            <w:rFonts w:cs="Arial"/>
            <w:b/>
            <w:bCs/>
            <w:iCs/>
            <w:lang w:eastAsia="en-US"/>
          </w:rPr>
          <w:t>3.7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Profile and ISD-P Deletion </w:t>
        </w:r>
        <w:r w:rsidR="00616885" w:rsidRPr="00657503">
          <w:rPr>
            <w:rStyle w:val="Hyperlink"/>
            <w:rFonts w:cs="Arial"/>
            <w:b/>
            <w:lang w:eastAsia="en-US"/>
          </w:rPr>
          <w:t>Via SM-DP</w:t>
        </w:r>
        <w:r w:rsidR="00616885">
          <w:rPr>
            <w:webHidden/>
          </w:rPr>
          <w:tab/>
        </w:r>
        <w:r w:rsidR="00616885">
          <w:rPr>
            <w:webHidden/>
          </w:rPr>
          <w:fldChar w:fldCharType="begin"/>
        </w:r>
        <w:r w:rsidR="00616885">
          <w:rPr>
            <w:webHidden/>
          </w:rPr>
          <w:instrText xml:space="preserve"> PAGEREF _Toc121503937 \h </w:instrText>
        </w:r>
        <w:r w:rsidR="00616885">
          <w:rPr>
            <w:webHidden/>
          </w:rPr>
        </w:r>
        <w:r w:rsidR="00616885">
          <w:rPr>
            <w:webHidden/>
          </w:rPr>
          <w:fldChar w:fldCharType="separate"/>
        </w:r>
        <w:r w:rsidR="001D5AD9">
          <w:rPr>
            <w:webHidden/>
          </w:rPr>
          <w:t>92</w:t>
        </w:r>
        <w:r w:rsidR="00616885">
          <w:rPr>
            <w:webHidden/>
          </w:rPr>
          <w:fldChar w:fldCharType="end"/>
        </w:r>
      </w:hyperlink>
    </w:p>
    <w:p w14:paraId="76690BF8" w14:textId="19EE6E1B" w:rsidR="00616885" w:rsidRDefault="00000000">
      <w:pPr>
        <w:pStyle w:val="TOC2"/>
        <w:rPr>
          <w:rFonts w:asciiTheme="minorHAnsi" w:eastAsiaTheme="minorEastAsia" w:hAnsiTheme="minorHAnsi" w:cstheme="minorBidi"/>
          <w:szCs w:val="22"/>
          <w:lang w:bidi="ar-SA"/>
        </w:rPr>
      </w:pPr>
      <w:hyperlink w:anchor="_Toc121503938" w:history="1">
        <w:r w:rsidR="00616885" w:rsidRPr="00657503">
          <w:rPr>
            <w:rStyle w:val="Hyperlink"/>
            <w:rFonts w:cs="Arial"/>
            <w:b/>
            <w:bCs/>
            <w:iCs/>
            <w:lang w:eastAsia="en-US"/>
          </w:rPr>
          <w:t>3.8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SM-SR Change</w:t>
        </w:r>
        <w:r w:rsidR="00616885">
          <w:rPr>
            <w:webHidden/>
          </w:rPr>
          <w:tab/>
        </w:r>
        <w:r w:rsidR="00616885">
          <w:rPr>
            <w:webHidden/>
          </w:rPr>
          <w:fldChar w:fldCharType="begin"/>
        </w:r>
        <w:r w:rsidR="00616885">
          <w:rPr>
            <w:webHidden/>
          </w:rPr>
          <w:instrText xml:space="preserve"> PAGEREF _Toc121503938 \h </w:instrText>
        </w:r>
        <w:r w:rsidR="00616885">
          <w:rPr>
            <w:webHidden/>
          </w:rPr>
        </w:r>
        <w:r w:rsidR="00616885">
          <w:rPr>
            <w:webHidden/>
          </w:rPr>
          <w:fldChar w:fldCharType="separate"/>
        </w:r>
        <w:r w:rsidR="001D5AD9">
          <w:rPr>
            <w:webHidden/>
          </w:rPr>
          <w:t>95</w:t>
        </w:r>
        <w:r w:rsidR="00616885">
          <w:rPr>
            <w:webHidden/>
          </w:rPr>
          <w:fldChar w:fldCharType="end"/>
        </w:r>
      </w:hyperlink>
    </w:p>
    <w:p w14:paraId="36FD2C98" w14:textId="61D1E49D" w:rsidR="00616885" w:rsidRDefault="00000000">
      <w:pPr>
        <w:pStyle w:val="TOC2"/>
        <w:rPr>
          <w:rFonts w:asciiTheme="minorHAnsi" w:eastAsiaTheme="minorEastAsia" w:hAnsiTheme="minorHAnsi" w:cstheme="minorBidi"/>
          <w:szCs w:val="22"/>
          <w:lang w:bidi="ar-SA"/>
        </w:rPr>
      </w:pPr>
      <w:hyperlink w:anchor="_Toc121503939" w:history="1">
        <w:r w:rsidR="00616885" w:rsidRPr="00657503">
          <w:rPr>
            <w:rStyle w:val="Hyperlink"/>
            <w:rFonts w:cs="Arial"/>
            <w:b/>
            <w:bCs/>
            <w:iCs/>
            <w:lang w:eastAsia="en-US"/>
          </w:rPr>
          <w:t>3.9</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eUICC Registration at SM-SR: Register a New EIS</w:t>
        </w:r>
        <w:r w:rsidR="00616885">
          <w:rPr>
            <w:webHidden/>
          </w:rPr>
          <w:tab/>
        </w:r>
        <w:r w:rsidR="00616885">
          <w:rPr>
            <w:webHidden/>
          </w:rPr>
          <w:fldChar w:fldCharType="begin"/>
        </w:r>
        <w:r w:rsidR="00616885">
          <w:rPr>
            <w:webHidden/>
          </w:rPr>
          <w:instrText xml:space="preserve"> PAGEREF _Toc121503939 \h </w:instrText>
        </w:r>
        <w:r w:rsidR="00616885">
          <w:rPr>
            <w:webHidden/>
          </w:rPr>
        </w:r>
        <w:r w:rsidR="00616885">
          <w:rPr>
            <w:webHidden/>
          </w:rPr>
          <w:fldChar w:fldCharType="separate"/>
        </w:r>
        <w:r w:rsidR="001D5AD9">
          <w:rPr>
            <w:webHidden/>
          </w:rPr>
          <w:t>101</w:t>
        </w:r>
        <w:r w:rsidR="00616885">
          <w:rPr>
            <w:webHidden/>
          </w:rPr>
          <w:fldChar w:fldCharType="end"/>
        </w:r>
      </w:hyperlink>
    </w:p>
    <w:p w14:paraId="29A494AB" w14:textId="3DC23BAB" w:rsidR="00616885" w:rsidRDefault="00000000">
      <w:pPr>
        <w:pStyle w:val="TOC2"/>
        <w:rPr>
          <w:rFonts w:asciiTheme="minorHAnsi" w:eastAsiaTheme="minorEastAsia" w:hAnsiTheme="minorHAnsi" w:cstheme="minorBidi"/>
          <w:szCs w:val="22"/>
          <w:lang w:bidi="ar-SA"/>
        </w:rPr>
      </w:pPr>
      <w:hyperlink w:anchor="_Toc121503940" w:history="1">
        <w:r w:rsidR="00616885" w:rsidRPr="00657503">
          <w:rPr>
            <w:rStyle w:val="Hyperlink"/>
            <w:rFonts w:cs="Arial"/>
            <w:b/>
            <w:bCs/>
            <w:iCs/>
            <w:lang w:eastAsia="en-US"/>
          </w:rPr>
          <w:t>3.10</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Master Delete Procedure</w:t>
        </w:r>
        <w:r w:rsidR="00616885">
          <w:rPr>
            <w:webHidden/>
          </w:rPr>
          <w:tab/>
        </w:r>
        <w:r w:rsidR="00616885">
          <w:rPr>
            <w:webHidden/>
          </w:rPr>
          <w:fldChar w:fldCharType="begin"/>
        </w:r>
        <w:r w:rsidR="00616885">
          <w:rPr>
            <w:webHidden/>
          </w:rPr>
          <w:instrText xml:space="preserve"> PAGEREF _Toc121503940 \h </w:instrText>
        </w:r>
        <w:r w:rsidR="00616885">
          <w:rPr>
            <w:webHidden/>
          </w:rPr>
        </w:r>
        <w:r w:rsidR="00616885">
          <w:rPr>
            <w:webHidden/>
          </w:rPr>
          <w:fldChar w:fldCharType="separate"/>
        </w:r>
        <w:r w:rsidR="001D5AD9">
          <w:rPr>
            <w:webHidden/>
          </w:rPr>
          <w:t>101</w:t>
        </w:r>
        <w:r w:rsidR="00616885">
          <w:rPr>
            <w:webHidden/>
          </w:rPr>
          <w:fldChar w:fldCharType="end"/>
        </w:r>
      </w:hyperlink>
    </w:p>
    <w:p w14:paraId="29E8289B" w14:textId="1384D5D2" w:rsidR="00616885" w:rsidRDefault="00000000">
      <w:pPr>
        <w:pStyle w:val="TOC2"/>
        <w:rPr>
          <w:rFonts w:asciiTheme="minorHAnsi" w:eastAsiaTheme="minorEastAsia" w:hAnsiTheme="minorHAnsi" w:cstheme="minorBidi"/>
          <w:szCs w:val="22"/>
          <w:lang w:bidi="ar-SA"/>
        </w:rPr>
      </w:pPr>
      <w:hyperlink w:anchor="_Toc121503941" w:history="1">
        <w:r w:rsidR="00616885" w:rsidRPr="00657503">
          <w:rPr>
            <w:rStyle w:val="Hyperlink"/>
            <w:rFonts w:cs="Arial"/>
            <w:b/>
            <w:bCs/>
            <w:iCs/>
            <w:lang w:eastAsia="en-US"/>
          </w:rPr>
          <w:t>3.11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POL2 Update </w:t>
        </w:r>
        <w:r w:rsidR="00616885" w:rsidRPr="00657503">
          <w:rPr>
            <w:rStyle w:val="Hyperlink"/>
            <w:rFonts w:cs="Arial"/>
            <w:b/>
            <w:lang w:eastAsia="en-US"/>
          </w:rPr>
          <w:t>Via SM-DP</w:t>
        </w:r>
        <w:r w:rsidR="00616885">
          <w:rPr>
            <w:webHidden/>
          </w:rPr>
          <w:tab/>
        </w:r>
        <w:r w:rsidR="00616885">
          <w:rPr>
            <w:webHidden/>
          </w:rPr>
          <w:fldChar w:fldCharType="begin"/>
        </w:r>
        <w:r w:rsidR="00616885">
          <w:rPr>
            <w:webHidden/>
          </w:rPr>
          <w:instrText xml:space="preserve"> PAGEREF _Toc121503941 \h </w:instrText>
        </w:r>
        <w:r w:rsidR="00616885">
          <w:rPr>
            <w:webHidden/>
          </w:rPr>
        </w:r>
        <w:r w:rsidR="00616885">
          <w:rPr>
            <w:webHidden/>
          </w:rPr>
          <w:fldChar w:fldCharType="separate"/>
        </w:r>
        <w:r w:rsidR="001D5AD9">
          <w:rPr>
            <w:webHidden/>
          </w:rPr>
          <w:t>104</w:t>
        </w:r>
        <w:r w:rsidR="00616885">
          <w:rPr>
            <w:webHidden/>
          </w:rPr>
          <w:fldChar w:fldCharType="end"/>
        </w:r>
      </w:hyperlink>
    </w:p>
    <w:p w14:paraId="4A6A9CE6" w14:textId="5B546825" w:rsidR="00616885" w:rsidRDefault="00000000">
      <w:pPr>
        <w:pStyle w:val="TOC2"/>
        <w:rPr>
          <w:rFonts w:asciiTheme="minorHAnsi" w:eastAsiaTheme="minorEastAsia" w:hAnsiTheme="minorHAnsi" w:cstheme="minorBidi"/>
          <w:szCs w:val="22"/>
          <w:lang w:bidi="ar-SA"/>
        </w:rPr>
      </w:pPr>
      <w:hyperlink w:anchor="_Toc121503942" w:history="1">
        <w:r w:rsidR="00616885" w:rsidRPr="00657503">
          <w:rPr>
            <w:rStyle w:val="Hyperlink"/>
            <w:rFonts w:cs="Arial"/>
            <w:b/>
            <w:bCs/>
            <w:iCs/>
            <w:lang w:eastAsia="en-US"/>
          </w:rPr>
          <w:t>3.12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POL1Update by Operator</w:t>
        </w:r>
        <w:r w:rsidR="00616885">
          <w:rPr>
            <w:webHidden/>
          </w:rPr>
          <w:tab/>
        </w:r>
        <w:r w:rsidR="00616885">
          <w:rPr>
            <w:webHidden/>
          </w:rPr>
          <w:fldChar w:fldCharType="begin"/>
        </w:r>
        <w:r w:rsidR="00616885">
          <w:rPr>
            <w:webHidden/>
          </w:rPr>
          <w:instrText xml:space="preserve"> PAGEREF _Toc121503942 \h </w:instrText>
        </w:r>
        <w:r w:rsidR="00616885">
          <w:rPr>
            <w:webHidden/>
          </w:rPr>
        </w:r>
        <w:r w:rsidR="00616885">
          <w:rPr>
            <w:webHidden/>
          </w:rPr>
          <w:fldChar w:fldCharType="separate"/>
        </w:r>
        <w:r w:rsidR="001D5AD9">
          <w:rPr>
            <w:webHidden/>
          </w:rPr>
          <w:t>106</w:t>
        </w:r>
        <w:r w:rsidR="00616885">
          <w:rPr>
            <w:webHidden/>
          </w:rPr>
          <w:fldChar w:fldCharType="end"/>
        </w:r>
      </w:hyperlink>
    </w:p>
    <w:p w14:paraId="7711EE2E" w14:textId="4C951503" w:rsidR="00616885" w:rsidRDefault="00000000">
      <w:pPr>
        <w:pStyle w:val="TOC2"/>
        <w:rPr>
          <w:rFonts w:asciiTheme="minorHAnsi" w:eastAsiaTheme="minorEastAsia" w:hAnsiTheme="minorHAnsi" w:cstheme="minorBidi"/>
          <w:szCs w:val="22"/>
          <w:lang w:bidi="ar-SA"/>
        </w:rPr>
      </w:pPr>
      <w:hyperlink w:anchor="_Toc121503943" w:history="1">
        <w:r w:rsidR="00616885" w:rsidRPr="00657503">
          <w:rPr>
            <w:rStyle w:val="Hyperlink"/>
            <w:rFonts w:cs="Arial"/>
            <w:b/>
            <w:bCs/>
            <w:iCs/>
            <w:lang w:eastAsia="en-US"/>
          </w:rPr>
          <w:t>3.13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Connectivity Parameters Update by Operator</w:t>
        </w:r>
        <w:r w:rsidR="00616885">
          <w:rPr>
            <w:webHidden/>
          </w:rPr>
          <w:tab/>
        </w:r>
        <w:r w:rsidR="00616885">
          <w:rPr>
            <w:webHidden/>
          </w:rPr>
          <w:fldChar w:fldCharType="begin"/>
        </w:r>
        <w:r w:rsidR="00616885">
          <w:rPr>
            <w:webHidden/>
          </w:rPr>
          <w:instrText xml:space="preserve"> PAGEREF _Toc121503943 \h </w:instrText>
        </w:r>
        <w:r w:rsidR="00616885">
          <w:rPr>
            <w:webHidden/>
          </w:rPr>
        </w:r>
        <w:r w:rsidR="00616885">
          <w:rPr>
            <w:webHidden/>
          </w:rPr>
          <w:fldChar w:fldCharType="separate"/>
        </w:r>
        <w:r w:rsidR="001D5AD9">
          <w:rPr>
            <w:webHidden/>
          </w:rPr>
          <w:t>107</w:t>
        </w:r>
        <w:r w:rsidR="00616885">
          <w:rPr>
            <w:webHidden/>
          </w:rPr>
          <w:fldChar w:fldCharType="end"/>
        </w:r>
      </w:hyperlink>
    </w:p>
    <w:p w14:paraId="05EB579F" w14:textId="48176FE3" w:rsidR="00616885" w:rsidRDefault="00000000">
      <w:pPr>
        <w:pStyle w:val="TOC2"/>
        <w:rPr>
          <w:rFonts w:asciiTheme="minorHAnsi" w:eastAsiaTheme="minorEastAsia" w:hAnsiTheme="minorHAnsi" w:cstheme="minorBidi"/>
          <w:szCs w:val="22"/>
          <w:lang w:bidi="ar-SA"/>
        </w:rPr>
      </w:pPr>
      <w:hyperlink w:anchor="_Toc121503944" w:history="1">
        <w:r w:rsidR="00616885" w:rsidRPr="00657503">
          <w:rPr>
            <w:rStyle w:val="Hyperlink"/>
            <w:rFonts w:cs="Arial"/>
            <w:b/>
            <w:bCs/>
            <w:iCs/>
            <w:lang w:eastAsia="en-US"/>
          </w:rPr>
          <w:t>3.14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Connectivity Parameters Update </w:t>
        </w:r>
        <w:r w:rsidR="00616885" w:rsidRPr="00657503">
          <w:rPr>
            <w:rStyle w:val="Hyperlink"/>
            <w:rFonts w:cs="Arial"/>
            <w:b/>
            <w:lang w:eastAsia="en-US"/>
          </w:rPr>
          <w:t>Using SCP03</w:t>
        </w:r>
        <w:r w:rsidR="00616885">
          <w:rPr>
            <w:webHidden/>
          </w:rPr>
          <w:tab/>
        </w:r>
        <w:r w:rsidR="00616885">
          <w:rPr>
            <w:webHidden/>
          </w:rPr>
          <w:fldChar w:fldCharType="begin"/>
        </w:r>
        <w:r w:rsidR="00616885">
          <w:rPr>
            <w:webHidden/>
          </w:rPr>
          <w:instrText xml:space="preserve"> PAGEREF _Toc121503944 \h </w:instrText>
        </w:r>
        <w:r w:rsidR="00616885">
          <w:rPr>
            <w:webHidden/>
          </w:rPr>
        </w:r>
        <w:r w:rsidR="00616885">
          <w:rPr>
            <w:webHidden/>
          </w:rPr>
          <w:fldChar w:fldCharType="separate"/>
        </w:r>
        <w:r w:rsidR="001D5AD9">
          <w:rPr>
            <w:webHidden/>
          </w:rPr>
          <w:t>109</w:t>
        </w:r>
        <w:r w:rsidR="00616885">
          <w:rPr>
            <w:webHidden/>
          </w:rPr>
          <w:fldChar w:fldCharType="end"/>
        </w:r>
      </w:hyperlink>
    </w:p>
    <w:p w14:paraId="308D1A72" w14:textId="28B70BA6" w:rsidR="00616885" w:rsidRDefault="00000000">
      <w:pPr>
        <w:pStyle w:val="TOC2"/>
        <w:rPr>
          <w:rFonts w:asciiTheme="minorHAnsi" w:eastAsiaTheme="minorEastAsia" w:hAnsiTheme="minorHAnsi" w:cstheme="minorBidi"/>
          <w:szCs w:val="22"/>
          <w:lang w:bidi="ar-SA"/>
        </w:rPr>
      </w:pPr>
      <w:hyperlink w:anchor="_Toc121503945" w:history="1">
        <w:r w:rsidR="00616885" w:rsidRPr="00657503">
          <w:rPr>
            <w:rStyle w:val="Hyperlink"/>
            <w:rFonts w:cs="Arial"/>
            <w:b/>
            <w:bCs/>
            <w:iCs/>
            <w:lang w:eastAsia="en-US"/>
          </w:rPr>
          <w:t>3.15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Default Notification Procedure</w:t>
        </w:r>
        <w:r w:rsidR="00616885">
          <w:rPr>
            <w:webHidden/>
          </w:rPr>
          <w:tab/>
        </w:r>
        <w:r w:rsidR="00616885">
          <w:rPr>
            <w:webHidden/>
          </w:rPr>
          <w:fldChar w:fldCharType="begin"/>
        </w:r>
        <w:r w:rsidR="00616885">
          <w:rPr>
            <w:webHidden/>
          </w:rPr>
          <w:instrText xml:space="preserve"> PAGEREF _Toc121503945 \h </w:instrText>
        </w:r>
        <w:r w:rsidR="00616885">
          <w:rPr>
            <w:webHidden/>
          </w:rPr>
        </w:r>
        <w:r w:rsidR="00616885">
          <w:rPr>
            <w:webHidden/>
          </w:rPr>
          <w:fldChar w:fldCharType="separate"/>
        </w:r>
        <w:r w:rsidR="001D5AD9">
          <w:rPr>
            <w:webHidden/>
          </w:rPr>
          <w:t>110</w:t>
        </w:r>
        <w:r w:rsidR="00616885">
          <w:rPr>
            <w:webHidden/>
          </w:rPr>
          <w:fldChar w:fldCharType="end"/>
        </w:r>
      </w:hyperlink>
    </w:p>
    <w:p w14:paraId="303C5D48" w14:textId="5C994765" w:rsidR="00616885" w:rsidRDefault="00000000">
      <w:pPr>
        <w:pStyle w:val="TOC3"/>
        <w:rPr>
          <w:rFonts w:asciiTheme="minorHAnsi" w:eastAsiaTheme="minorEastAsia" w:hAnsiTheme="minorHAnsi" w:cstheme="minorBidi"/>
          <w:szCs w:val="22"/>
          <w:lang w:bidi="ar-SA"/>
        </w:rPr>
      </w:pPr>
      <w:hyperlink w:anchor="_Toc121503946" w:history="1">
        <w:r w:rsidR="00616885" w:rsidRPr="00657503">
          <w:rPr>
            <w:rStyle w:val="Hyperlink"/>
            <w:rFonts w:cs="Arial"/>
            <w:b/>
            <w:bCs/>
            <w:iCs/>
            <w:lang w:eastAsia="en-US"/>
          </w:rPr>
          <w:t>3.15.1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Notification </w:t>
        </w:r>
        <w:r w:rsidR="00616885" w:rsidRPr="00657503">
          <w:rPr>
            <w:rStyle w:val="Hyperlink"/>
            <w:rFonts w:cs="Arial"/>
            <w:b/>
            <w:lang w:eastAsia="en-US"/>
          </w:rPr>
          <w:t>Using SMS</w:t>
        </w:r>
        <w:r w:rsidR="00616885">
          <w:rPr>
            <w:webHidden/>
          </w:rPr>
          <w:tab/>
        </w:r>
        <w:r w:rsidR="00616885">
          <w:rPr>
            <w:webHidden/>
          </w:rPr>
          <w:fldChar w:fldCharType="begin"/>
        </w:r>
        <w:r w:rsidR="00616885">
          <w:rPr>
            <w:webHidden/>
          </w:rPr>
          <w:instrText xml:space="preserve"> PAGEREF _Toc121503946 \h </w:instrText>
        </w:r>
        <w:r w:rsidR="00616885">
          <w:rPr>
            <w:webHidden/>
          </w:rPr>
        </w:r>
        <w:r w:rsidR="00616885">
          <w:rPr>
            <w:webHidden/>
          </w:rPr>
          <w:fldChar w:fldCharType="separate"/>
        </w:r>
        <w:r w:rsidR="001D5AD9">
          <w:rPr>
            <w:webHidden/>
          </w:rPr>
          <w:t>111</w:t>
        </w:r>
        <w:r w:rsidR="00616885">
          <w:rPr>
            <w:webHidden/>
          </w:rPr>
          <w:fldChar w:fldCharType="end"/>
        </w:r>
      </w:hyperlink>
    </w:p>
    <w:p w14:paraId="16D37324" w14:textId="73E1ADC8" w:rsidR="00616885" w:rsidRDefault="00000000">
      <w:pPr>
        <w:pStyle w:val="TOC3"/>
        <w:rPr>
          <w:rFonts w:asciiTheme="minorHAnsi" w:eastAsiaTheme="minorEastAsia" w:hAnsiTheme="minorHAnsi" w:cstheme="minorBidi"/>
          <w:szCs w:val="22"/>
          <w:lang w:bidi="ar-SA"/>
        </w:rPr>
      </w:pPr>
      <w:hyperlink w:anchor="_Toc121503947" w:history="1">
        <w:r w:rsidR="00616885" w:rsidRPr="00657503">
          <w:rPr>
            <w:rStyle w:val="Hyperlink"/>
            <w:rFonts w:cs="Arial"/>
            <w:b/>
            <w:bCs/>
            <w:iCs/>
            <w:lang w:eastAsia="en-US"/>
          </w:rPr>
          <w:t>3.15.2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Notification </w:t>
        </w:r>
        <w:r w:rsidR="00616885" w:rsidRPr="00657503">
          <w:rPr>
            <w:rStyle w:val="Hyperlink"/>
            <w:rFonts w:cs="Arial"/>
            <w:b/>
            <w:lang w:eastAsia="en-US"/>
          </w:rPr>
          <w:t>Using HTTPS</w:t>
        </w:r>
        <w:r w:rsidR="00616885">
          <w:rPr>
            <w:webHidden/>
          </w:rPr>
          <w:tab/>
        </w:r>
        <w:r w:rsidR="00616885">
          <w:rPr>
            <w:webHidden/>
          </w:rPr>
          <w:fldChar w:fldCharType="begin"/>
        </w:r>
        <w:r w:rsidR="00616885">
          <w:rPr>
            <w:webHidden/>
          </w:rPr>
          <w:instrText xml:space="preserve"> PAGEREF _Toc121503947 \h </w:instrText>
        </w:r>
        <w:r w:rsidR="00616885">
          <w:rPr>
            <w:webHidden/>
          </w:rPr>
        </w:r>
        <w:r w:rsidR="00616885">
          <w:rPr>
            <w:webHidden/>
          </w:rPr>
          <w:fldChar w:fldCharType="separate"/>
        </w:r>
        <w:r w:rsidR="001D5AD9">
          <w:rPr>
            <w:webHidden/>
          </w:rPr>
          <w:t>112</w:t>
        </w:r>
        <w:r w:rsidR="00616885">
          <w:rPr>
            <w:webHidden/>
          </w:rPr>
          <w:fldChar w:fldCharType="end"/>
        </w:r>
      </w:hyperlink>
    </w:p>
    <w:p w14:paraId="48F4F9B4" w14:textId="035EDAE2" w:rsidR="00616885" w:rsidRDefault="00000000">
      <w:pPr>
        <w:pStyle w:val="TOC2"/>
        <w:rPr>
          <w:rFonts w:asciiTheme="minorHAnsi" w:eastAsiaTheme="minorEastAsia" w:hAnsiTheme="minorHAnsi" w:cstheme="minorBidi"/>
          <w:szCs w:val="22"/>
          <w:lang w:bidi="ar-SA"/>
        </w:rPr>
      </w:pPr>
      <w:hyperlink w:anchor="_Toc121503948" w:history="1">
        <w:r w:rsidR="00616885" w:rsidRPr="00657503">
          <w:rPr>
            <w:rStyle w:val="Hyperlink"/>
            <w:rFonts w:cs="Arial"/>
            <w:b/>
            <w:bCs/>
            <w:iCs/>
            <w:lang w:eastAsia="en-US"/>
          </w:rPr>
          <w:t>3.16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Fall-Back Activation Procedure</w:t>
        </w:r>
        <w:r w:rsidR="00616885">
          <w:rPr>
            <w:webHidden/>
          </w:rPr>
          <w:tab/>
        </w:r>
        <w:r w:rsidR="00616885">
          <w:rPr>
            <w:webHidden/>
          </w:rPr>
          <w:fldChar w:fldCharType="begin"/>
        </w:r>
        <w:r w:rsidR="00616885">
          <w:rPr>
            <w:webHidden/>
          </w:rPr>
          <w:instrText xml:space="preserve"> PAGEREF _Toc121503948 \h </w:instrText>
        </w:r>
        <w:r w:rsidR="00616885">
          <w:rPr>
            <w:webHidden/>
          </w:rPr>
        </w:r>
        <w:r w:rsidR="00616885">
          <w:rPr>
            <w:webHidden/>
          </w:rPr>
          <w:fldChar w:fldCharType="separate"/>
        </w:r>
        <w:r w:rsidR="001D5AD9">
          <w:rPr>
            <w:webHidden/>
          </w:rPr>
          <w:t>114</w:t>
        </w:r>
        <w:r w:rsidR="00616885">
          <w:rPr>
            <w:webHidden/>
          </w:rPr>
          <w:fldChar w:fldCharType="end"/>
        </w:r>
      </w:hyperlink>
    </w:p>
    <w:p w14:paraId="791C4F1F" w14:textId="386BE604" w:rsidR="00616885" w:rsidRDefault="00000000">
      <w:pPr>
        <w:pStyle w:val="TOC2"/>
        <w:rPr>
          <w:rFonts w:asciiTheme="minorHAnsi" w:eastAsiaTheme="minorEastAsia" w:hAnsiTheme="minorHAnsi" w:cstheme="minorBidi"/>
          <w:szCs w:val="22"/>
          <w:lang w:bidi="ar-SA"/>
        </w:rPr>
      </w:pPr>
      <w:hyperlink w:anchor="_Toc121503949" w:history="1">
        <w:r w:rsidR="00616885" w:rsidRPr="00657503">
          <w:rPr>
            <w:rStyle w:val="Hyperlink"/>
            <w:rFonts w:cs="Arial"/>
            <w:b/>
            <w:bCs/>
            <w:iCs/>
            <w:lang w:eastAsia="en-US"/>
          </w:rPr>
          <w:t>3.17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Profile Enabling via M2M SP</w:t>
        </w:r>
        <w:r w:rsidR="00616885">
          <w:rPr>
            <w:webHidden/>
          </w:rPr>
          <w:tab/>
        </w:r>
        <w:r w:rsidR="00616885">
          <w:rPr>
            <w:webHidden/>
          </w:rPr>
          <w:fldChar w:fldCharType="begin"/>
        </w:r>
        <w:r w:rsidR="00616885">
          <w:rPr>
            <w:webHidden/>
          </w:rPr>
          <w:instrText xml:space="preserve"> PAGEREF _Toc121503949 \h </w:instrText>
        </w:r>
        <w:r w:rsidR="00616885">
          <w:rPr>
            <w:webHidden/>
          </w:rPr>
        </w:r>
        <w:r w:rsidR="00616885">
          <w:rPr>
            <w:webHidden/>
          </w:rPr>
          <w:fldChar w:fldCharType="separate"/>
        </w:r>
        <w:r w:rsidR="001D5AD9">
          <w:rPr>
            <w:webHidden/>
          </w:rPr>
          <w:t>118</w:t>
        </w:r>
        <w:r w:rsidR="00616885">
          <w:rPr>
            <w:webHidden/>
          </w:rPr>
          <w:fldChar w:fldCharType="end"/>
        </w:r>
      </w:hyperlink>
    </w:p>
    <w:p w14:paraId="4E144535" w14:textId="79CF773D" w:rsidR="00616885" w:rsidRDefault="00000000">
      <w:pPr>
        <w:pStyle w:val="TOC3"/>
        <w:rPr>
          <w:rFonts w:asciiTheme="minorHAnsi" w:eastAsiaTheme="minorEastAsia" w:hAnsiTheme="minorHAnsi" w:cstheme="minorBidi"/>
          <w:szCs w:val="22"/>
          <w:lang w:bidi="ar-SA"/>
        </w:rPr>
      </w:pPr>
      <w:hyperlink w:anchor="_Toc121503950" w:history="1">
        <w:r w:rsidR="00616885" w:rsidRPr="00657503">
          <w:rPr>
            <w:rStyle w:val="Hyperlink"/>
            <w:rFonts w:cs="Arial"/>
            <w:b/>
            <w:bCs/>
            <w:iCs/>
            <w:lang w:eastAsia="en-US"/>
          </w:rPr>
          <w:t>3.17.1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Normal </w:t>
        </w:r>
        <w:r w:rsidR="00616885" w:rsidRPr="00657503">
          <w:rPr>
            <w:rStyle w:val="Hyperlink"/>
            <w:rFonts w:cs="Arial"/>
            <w:b/>
            <w:lang w:eastAsia="en-US"/>
          </w:rPr>
          <w:t>Case</w:t>
        </w:r>
        <w:r w:rsidR="00616885">
          <w:rPr>
            <w:webHidden/>
          </w:rPr>
          <w:tab/>
        </w:r>
        <w:r w:rsidR="00616885">
          <w:rPr>
            <w:webHidden/>
          </w:rPr>
          <w:fldChar w:fldCharType="begin"/>
        </w:r>
        <w:r w:rsidR="00616885">
          <w:rPr>
            <w:webHidden/>
          </w:rPr>
          <w:instrText xml:space="preserve"> PAGEREF _Toc121503950 \h </w:instrText>
        </w:r>
        <w:r w:rsidR="00616885">
          <w:rPr>
            <w:webHidden/>
          </w:rPr>
        </w:r>
        <w:r w:rsidR="00616885">
          <w:rPr>
            <w:webHidden/>
          </w:rPr>
          <w:fldChar w:fldCharType="separate"/>
        </w:r>
        <w:r w:rsidR="001D5AD9">
          <w:rPr>
            <w:webHidden/>
          </w:rPr>
          <w:t>118</w:t>
        </w:r>
        <w:r w:rsidR="00616885">
          <w:rPr>
            <w:webHidden/>
          </w:rPr>
          <w:fldChar w:fldCharType="end"/>
        </w:r>
      </w:hyperlink>
    </w:p>
    <w:p w14:paraId="7AAFE049" w14:textId="5317E64A" w:rsidR="00616885" w:rsidRDefault="00000000">
      <w:pPr>
        <w:pStyle w:val="TOC3"/>
        <w:rPr>
          <w:rFonts w:asciiTheme="minorHAnsi" w:eastAsiaTheme="minorEastAsia" w:hAnsiTheme="minorHAnsi" w:cstheme="minorBidi"/>
          <w:szCs w:val="22"/>
          <w:lang w:bidi="ar-SA"/>
        </w:rPr>
      </w:pPr>
      <w:hyperlink w:anchor="_Toc121503951" w:history="1">
        <w:r w:rsidR="00616885" w:rsidRPr="00657503">
          <w:rPr>
            <w:rStyle w:val="Hyperlink"/>
            <w:rFonts w:cs="Arial"/>
            <w:b/>
            <w:bCs/>
            <w:iCs/>
            <w:lang w:eastAsia="en-US"/>
          </w:rPr>
          <w:t>3.17.2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Connectivity Failure Case</w:t>
        </w:r>
        <w:r w:rsidR="00616885">
          <w:rPr>
            <w:webHidden/>
          </w:rPr>
          <w:tab/>
        </w:r>
        <w:r w:rsidR="00616885">
          <w:rPr>
            <w:webHidden/>
          </w:rPr>
          <w:fldChar w:fldCharType="begin"/>
        </w:r>
        <w:r w:rsidR="00616885">
          <w:rPr>
            <w:webHidden/>
          </w:rPr>
          <w:instrText xml:space="preserve"> PAGEREF _Toc121503951 \h </w:instrText>
        </w:r>
        <w:r w:rsidR="00616885">
          <w:rPr>
            <w:webHidden/>
          </w:rPr>
        </w:r>
        <w:r w:rsidR="00616885">
          <w:rPr>
            <w:webHidden/>
          </w:rPr>
          <w:fldChar w:fldCharType="separate"/>
        </w:r>
        <w:r w:rsidR="001D5AD9">
          <w:rPr>
            <w:webHidden/>
          </w:rPr>
          <w:t>124</w:t>
        </w:r>
        <w:r w:rsidR="00616885">
          <w:rPr>
            <w:webHidden/>
          </w:rPr>
          <w:fldChar w:fldCharType="end"/>
        </w:r>
      </w:hyperlink>
    </w:p>
    <w:p w14:paraId="483C4F26" w14:textId="7B99818F" w:rsidR="00616885" w:rsidRDefault="00000000">
      <w:pPr>
        <w:pStyle w:val="TOC2"/>
        <w:rPr>
          <w:rFonts w:asciiTheme="minorHAnsi" w:eastAsiaTheme="minorEastAsia" w:hAnsiTheme="minorHAnsi" w:cstheme="minorBidi"/>
          <w:szCs w:val="22"/>
          <w:lang w:bidi="ar-SA"/>
        </w:rPr>
      </w:pPr>
      <w:hyperlink w:anchor="_Toc121503952" w:history="1">
        <w:r w:rsidR="00616885" w:rsidRPr="00657503">
          <w:rPr>
            <w:rStyle w:val="Hyperlink"/>
            <w:rFonts w:cs="Arial"/>
            <w:b/>
            <w:bCs/>
            <w:iCs/>
            <w:lang w:eastAsia="en-US"/>
          </w:rPr>
          <w:t>3.18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Profile Disabling via M2M SP</w:t>
        </w:r>
        <w:r w:rsidR="00616885">
          <w:rPr>
            <w:webHidden/>
          </w:rPr>
          <w:tab/>
        </w:r>
        <w:r w:rsidR="00616885">
          <w:rPr>
            <w:webHidden/>
          </w:rPr>
          <w:fldChar w:fldCharType="begin"/>
        </w:r>
        <w:r w:rsidR="00616885">
          <w:rPr>
            <w:webHidden/>
          </w:rPr>
          <w:instrText xml:space="preserve"> PAGEREF _Toc121503952 \h </w:instrText>
        </w:r>
        <w:r w:rsidR="00616885">
          <w:rPr>
            <w:webHidden/>
          </w:rPr>
        </w:r>
        <w:r w:rsidR="00616885">
          <w:rPr>
            <w:webHidden/>
          </w:rPr>
          <w:fldChar w:fldCharType="separate"/>
        </w:r>
        <w:r w:rsidR="001D5AD9">
          <w:rPr>
            <w:webHidden/>
          </w:rPr>
          <w:t>127</w:t>
        </w:r>
        <w:r w:rsidR="00616885">
          <w:rPr>
            <w:webHidden/>
          </w:rPr>
          <w:fldChar w:fldCharType="end"/>
        </w:r>
      </w:hyperlink>
    </w:p>
    <w:p w14:paraId="4CB53DBE" w14:textId="30C8D30F" w:rsidR="00616885" w:rsidRDefault="00000000">
      <w:pPr>
        <w:pStyle w:val="TOC2"/>
        <w:rPr>
          <w:rFonts w:asciiTheme="minorHAnsi" w:eastAsiaTheme="minorEastAsia" w:hAnsiTheme="minorHAnsi" w:cstheme="minorBidi"/>
          <w:szCs w:val="22"/>
          <w:lang w:bidi="ar-SA"/>
        </w:rPr>
      </w:pPr>
      <w:hyperlink w:anchor="_Toc121503953" w:history="1">
        <w:r w:rsidR="00616885" w:rsidRPr="00657503">
          <w:rPr>
            <w:rStyle w:val="Hyperlink"/>
            <w:rFonts w:cs="Arial"/>
            <w:b/>
            <w:bCs/>
            <w:iCs/>
            <w:lang w:eastAsia="en-US"/>
          </w:rPr>
          <w:t>3.19</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Profile and ISD-P Deletion via M2M SP</w:t>
        </w:r>
        <w:r w:rsidR="00616885">
          <w:rPr>
            <w:webHidden/>
          </w:rPr>
          <w:tab/>
        </w:r>
        <w:r w:rsidR="00616885">
          <w:rPr>
            <w:webHidden/>
          </w:rPr>
          <w:fldChar w:fldCharType="begin"/>
        </w:r>
        <w:r w:rsidR="00616885">
          <w:rPr>
            <w:webHidden/>
          </w:rPr>
          <w:instrText xml:space="preserve"> PAGEREF _Toc121503953 \h </w:instrText>
        </w:r>
        <w:r w:rsidR="00616885">
          <w:rPr>
            <w:webHidden/>
          </w:rPr>
        </w:r>
        <w:r w:rsidR="00616885">
          <w:rPr>
            <w:webHidden/>
          </w:rPr>
          <w:fldChar w:fldCharType="separate"/>
        </w:r>
        <w:r w:rsidR="001D5AD9">
          <w:rPr>
            <w:webHidden/>
          </w:rPr>
          <w:t>133</w:t>
        </w:r>
        <w:r w:rsidR="00616885">
          <w:rPr>
            <w:webHidden/>
          </w:rPr>
          <w:fldChar w:fldCharType="end"/>
        </w:r>
      </w:hyperlink>
    </w:p>
    <w:p w14:paraId="600E932A" w14:textId="28B96B58" w:rsidR="00616885" w:rsidRDefault="00000000">
      <w:pPr>
        <w:pStyle w:val="TOC2"/>
        <w:rPr>
          <w:rFonts w:asciiTheme="minorHAnsi" w:eastAsiaTheme="minorEastAsia" w:hAnsiTheme="minorHAnsi" w:cstheme="minorBidi"/>
          <w:szCs w:val="22"/>
          <w:lang w:bidi="ar-SA"/>
        </w:rPr>
      </w:pPr>
      <w:hyperlink w:anchor="_Toc121503954" w:history="1">
        <w:r w:rsidR="00616885" w:rsidRPr="00657503">
          <w:rPr>
            <w:rStyle w:val="Hyperlink"/>
            <w:rFonts w:cs="Arial"/>
            <w:b/>
            <w:bCs/>
            <w:iCs/>
            <w:lang w:eastAsia="en-US"/>
          </w:rPr>
          <w:t>3.20</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Profile Lifecycle Management Authorisation (PLMA)</w:t>
        </w:r>
        <w:r w:rsidR="00616885">
          <w:rPr>
            <w:webHidden/>
          </w:rPr>
          <w:tab/>
        </w:r>
        <w:r w:rsidR="00616885">
          <w:rPr>
            <w:webHidden/>
          </w:rPr>
          <w:fldChar w:fldCharType="begin"/>
        </w:r>
        <w:r w:rsidR="00616885">
          <w:rPr>
            <w:webHidden/>
          </w:rPr>
          <w:instrText xml:space="preserve"> PAGEREF _Toc121503954 \h </w:instrText>
        </w:r>
        <w:r w:rsidR="00616885">
          <w:rPr>
            <w:webHidden/>
          </w:rPr>
        </w:r>
        <w:r w:rsidR="00616885">
          <w:rPr>
            <w:webHidden/>
          </w:rPr>
          <w:fldChar w:fldCharType="separate"/>
        </w:r>
        <w:r w:rsidR="001D5AD9">
          <w:rPr>
            <w:webHidden/>
          </w:rPr>
          <w:t>136</w:t>
        </w:r>
        <w:r w:rsidR="00616885">
          <w:rPr>
            <w:webHidden/>
          </w:rPr>
          <w:fldChar w:fldCharType="end"/>
        </w:r>
      </w:hyperlink>
    </w:p>
    <w:p w14:paraId="2A3096BD" w14:textId="02E18681" w:rsidR="00616885" w:rsidRDefault="00000000">
      <w:pPr>
        <w:pStyle w:val="TOC3"/>
        <w:rPr>
          <w:rFonts w:asciiTheme="minorHAnsi" w:eastAsiaTheme="minorEastAsia" w:hAnsiTheme="minorHAnsi" w:cstheme="minorBidi"/>
          <w:szCs w:val="22"/>
          <w:lang w:bidi="ar-SA"/>
        </w:rPr>
      </w:pPr>
      <w:hyperlink w:anchor="_Toc121503955" w:history="1">
        <w:r w:rsidR="00616885" w:rsidRPr="00657503">
          <w:rPr>
            <w:rStyle w:val="Hyperlink"/>
            <w:rFonts w:cs="Arial"/>
            <w:b/>
            <w:bCs/>
            <w:iCs/>
            <w:lang w:eastAsia="en-US"/>
          </w:rPr>
          <w:t>3.20.1</w:t>
        </w:r>
        <w:r w:rsidR="00616885">
          <w:rPr>
            <w:rFonts w:asciiTheme="minorHAnsi" w:eastAsiaTheme="minorEastAsia" w:hAnsiTheme="minorHAnsi" w:cstheme="minorBidi"/>
            <w:szCs w:val="22"/>
            <w:lang w:bidi="ar-SA"/>
          </w:rPr>
          <w:tab/>
        </w:r>
        <w:r w:rsidR="00616885" w:rsidRPr="00657503">
          <w:rPr>
            <w:rStyle w:val="Hyperlink"/>
            <w:rFonts w:cs="Arial"/>
            <w:b/>
            <w:lang w:eastAsia="en-US"/>
          </w:rPr>
          <w:t>Set Profile Lifecycle Management Authorisation</w:t>
        </w:r>
        <w:r w:rsidR="00616885">
          <w:rPr>
            <w:webHidden/>
          </w:rPr>
          <w:tab/>
        </w:r>
        <w:r w:rsidR="00616885">
          <w:rPr>
            <w:webHidden/>
          </w:rPr>
          <w:fldChar w:fldCharType="begin"/>
        </w:r>
        <w:r w:rsidR="00616885">
          <w:rPr>
            <w:webHidden/>
          </w:rPr>
          <w:instrText xml:space="preserve"> PAGEREF _Toc121503955 \h </w:instrText>
        </w:r>
        <w:r w:rsidR="00616885">
          <w:rPr>
            <w:webHidden/>
          </w:rPr>
        </w:r>
        <w:r w:rsidR="00616885">
          <w:rPr>
            <w:webHidden/>
          </w:rPr>
          <w:fldChar w:fldCharType="separate"/>
        </w:r>
        <w:r w:rsidR="001D5AD9">
          <w:rPr>
            <w:webHidden/>
          </w:rPr>
          <w:t>136</w:t>
        </w:r>
        <w:r w:rsidR="00616885">
          <w:rPr>
            <w:webHidden/>
          </w:rPr>
          <w:fldChar w:fldCharType="end"/>
        </w:r>
      </w:hyperlink>
    </w:p>
    <w:p w14:paraId="25139A64" w14:textId="75CFE38D" w:rsidR="00616885" w:rsidRDefault="00000000">
      <w:pPr>
        <w:pStyle w:val="TOC3"/>
        <w:rPr>
          <w:rFonts w:asciiTheme="minorHAnsi" w:eastAsiaTheme="minorEastAsia" w:hAnsiTheme="minorHAnsi" w:cstheme="minorBidi"/>
          <w:szCs w:val="22"/>
          <w:lang w:bidi="ar-SA"/>
        </w:rPr>
      </w:pPr>
      <w:hyperlink w:anchor="_Toc121503956" w:history="1">
        <w:r w:rsidR="00616885" w:rsidRPr="00657503">
          <w:rPr>
            <w:rStyle w:val="Hyperlink"/>
            <w:rFonts w:cs="Arial"/>
            <w:b/>
            <w:lang w:eastAsia="en-US"/>
          </w:rPr>
          <w:t>3.20.2</w:t>
        </w:r>
        <w:r w:rsidR="00616885">
          <w:rPr>
            <w:rFonts w:asciiTheme="minorHAnsi" w:eastAsiaTheme="minorEastAsia" w:hAnsiTheme="minorHAnsi" w:cstheme="minorBidi"/>
            <w:szCs w:val="22"/>
            <w:lang w:bidi="ar-SA"/>
          </w:rPr>
          <w:tab/>
        </w:r>
        <w:r w:rsidR="00616885" w:rsidRPr="00657503">
          <w:rPr>
            <w:rStyle w:val="Hyperlink"/>
            <w:rFonts w:cs="Arial"/>
            <w:b/>
            <w:lang w:eastAsia="en-US"/>
          </w:rPr>
          <w:t>Set Profile Lifecycle Management Authorisation rules via SM-DP</w:t>
        </w:r>
        <w:r w:rsidR="00616885">
          <w:rPr>
            <w:webHidden/>
          </w:rPr>
          <w:tab/>
        </w:r>
        <w:r w:rsidR="00616885">
          <w:rPr>
            <w:webHidden/>
          </w:rPr>
          <w:fldChar w:fldCharType="begin"/>
        </w:r>
        <w:r w:rsidR="00616885">
          <w:rPr>
            <w:webHidden/>
          </w:rPr>
          <w:instrText xml:space="preserve"> PAGEREF _Toc121503956 \h </w:instrText>
        </w:r>
        <w:r w:rsidR="00616885">
          <w:rPr>
            <w:webHidden/>
          </w:rPr>
        </w:r>
        <w:r w:rsidR="00616885">
          <w:rPr>
            <w:webHidden/>
          </w:rPr>
          <w:fldChar w:fldCharType="separate"/>
        </w:r>
        <w:r w:rsidR="001D5AD9">
          <w:rPr>
            <w:webHidden/>
          </w:rPr>
          <w:t>138</w:t>
        </w:r>
        <w:r w:rsidR="00616885">
          <w:rPr>
            <w:webHidden/>
          </w:rPr>
          <w:fldChar w:fldCharType="end"/>
        </w:r>
      </w:hyperlink>
    </w:p>
    <w:p w14:paraId="7C16BDF9" w14:textId="5C95DDA9" w:rsidR="00616885" w:rsidRDefault="00000000">
      <w:pPr>
        <w:pStyle w:val="TOC3"/>
        <w:rPr>
          <w:rFonts w:asciiTheme="minorHAnsi" w:eastAsiaTheme="minorEastAsia" w:hAnsiTheme="minorHAnsi" w:cstheme="minorBidi"/>
          <w:szCs w:val="22"/>
          <w:lang w:bidi="ar-SA"/>
        </w:rPr>
      </w:pPr>
      <w:hyperlink w:anchor="_Toc121503957" w:history="1">
        <w:r w:rsidR="00616885" w:rsidRPr="00657503">
          <w:rPr>
            <w:rStyle w:val="Hyperlink"/>
            <w:rFonts w:cs="Arial"/>
            <w:b/>
            <w:bCs/>
            <w:iCs/>
            <w:lang w:eastAsia="en-US"/>
          </w:rPr>
          <w:t>3.20.3</w:t>
        </w:r>
        <w:r w:rsidR="00616885">
          <w:rPr>
            <w:rFonts w:asciiTheme="minorHAnsi" w:eastAsiaTheme="minorEastAsia" w:hAnsiTheme="minorHAnsi" w:cstheme="minorBidi"/>
            <w:szCs w:val="22"/>
            <w:lang w:bidi="ar-SA"/>
          </w:rPr>
          <w:tab/>
        </w:r>
        <w:r w:rsidR="00616885" w:rsidRPr="00657503">
          <w:rPr>
            <w:rStyle w:val="Hyperlink"/>
            <w:rFonts w:cs="Arial"/>
            <w:b/>
            <w:lang w:eastAsia="en-US"/>
          </w:rPr>
          <w:t>Retrieve Profile Lifecycle Management Authorisation by Operator</w:t>
        </w:r>
        <w:r w:rsidR="00616885">
          <w:rPr>
            <w:webHidden/>
          </w:rPr>
          <w:tab/>
        </w:r>
        <w:r w:rsidR="00616885">
          <w:rPr>
            <w:webHidden/>
          </w:rPr>
          <w:fldChar w:fldCharType="begin"/>
        </w:r>
        <w:r w:rsidR="00616885">
          <w:rPr>
            <w:webHidden/>
          </w:rPr>
          <w:instrText xml:space="preserve"> PAGEREF _Toc121503957 \h </w:instrText>
        </w:r>
        <w:r w:rsidR="00616885">
          <w:rPr>
            <w:webHidden/>
          </w:rPr>
        </w:r>
        <w:r w:rsidR="00616885">
          <w:rPr>
            <w:webHidden/>
          </w:rPr>
          <w:fldChar w:fldCharType="separate"/>
        </w:r>
        <w:r w:rsidR="001D5AD9">
          <w:rPr>
            <w:webHidden/>
          </w:rPr>
          <w:t>140</w:t>
        </w:r>
        <w:r w:rsidR="00616885">
          <w:rPr>
            <w:webHidden/>
          </w:rPr>
          <w:fldChar w:fldCharType="end"/>
        </w:r>
      </w:hyperlink>
    </w:p>
    <w:p w14:paraId="0F82FCE2" w14:textId="5CCBBE14" w:rsidR="00616885" w:rsidRDefault="00000000">
      <w:pPr>
        <w:pStyle w:val="TOC3"/>
        <w:rPr>
          <w:rFonts w:asciiTheme="minorHAnsi" w:eastAsiaTheme="minorEastAsia" w:hAnsiTheme="minorHAnsi" w:cstheme="minorBidi"/>
          <w:szCs w:val="22"/>
          <w:lang w:bidi="ar-SA"/>
        </w:rPr>
      </w:pPr>
      <w:hyperlink w:anchor="_Toc121503958" w:history="1">
        <w:r w:rsidR="00616885" w:rsidRPr="00657503">
          <w:rPr>
            <w:rStyle w:val="Hyperlink"/>
            <w:rFonts w:cs="Arial"/>
            <w:b/>
            <w:bCs/>
            <w:iCs/>
            <w:lang w:eastAsia="en-US"/>
          </w:rPr>
          <w:t>3.20.4</w:t>
        </w:r>
        <w:r w:rsidR="00616885">
          <w:rPr>
            <w:rFonts w:asciiTheme="minorHAnsi" w:eastAsiaTheme="minorEastAsia" w:hAnsiTheme="minorHAnsi" w:cstheme="minorBidi"/>
            <w:szCs w:val="22"/>
            <w:lang w:bidi="ar-SA"/>
          </w:rPr>
          <w:tab/>
        </w:r>
        <w:r w:rsidR="00616885" w:rsidRPr="00657503">
          <w:rPr>
            <w:rStyle w:val="Hyperlink"/>
            <w:rFonts w:cs="Arial"/>
            <w:b/>
            <w:lang w:eastAsia="en-US"/>
          </w:rPr>
          <w:t>Retrieve Profile Lifecycle Management Authorisation by Operator via SM-DP</w:t>
        </w:r>
        <w:r w:rsidR="00616885">
          <w:rPr>
            <w:webHidden/>
          </w:rPr>
          <w:tab/>
        </w:r>
        <w:r w:rsidR="00616885">
          <w:rPr>
            <w:webHidden/>
          </w:rPr>
          <w:fldChar w:fldCharType="begin"/>
        </w:r>
        <w:r w:rsidR="00616885">
          <w:rPr>
            <w:webHidden/>
          </w:rPr>
          <w:instrText xml:space="preserve"> PAGEREF _Toc121503958 \h </w:instrText>
        </w:r>
        <w:r w:rsidR="00616885">
          <w:rPr>
            <w:webHidden/>
          </w:rPr>
        </w:r>
        <w:r w:rsidR="00616885">
          <w:rPr>
            <w:webHidden/>
          </w:rPr>
          <w:fldChar w:fldCharType="separate"/>
        </w:r>
        <w:r w:rsidR="001D5AD9">
          <w:rPr>
            <w:webHidden/>
          </w:rPr>
          <w:t>142</w:t>
        </w:r>
        <w:r w:rsidR="00616885">
          <w:rPr>
            <w:webHidden/>
          </w:rPr>
          <w:fldChar w:fldCharType="end"/>
        </w:r>
      </w:hyperlink>
    </w:p>
    <w:p w14:paraId="2F2C34A8" w14:textId="547792C5" w:rsidR="00616885" w:rsidRDefault="00000000">
      <w:pPr>
        <w:pStyle w:val="TOC3"/>
        <w:rPr>
          <w:rFonts w:asciiTheme="minorHAnsi" w:eastAsiaTheme="minorEastAsia" w:hAnsiTheme="minorHAnsi" w:cstheme="minorBidi"/>
          <w:szCs w:val="22"/>
          <w:lang w:bidi="ar-SA"/>
        </w:rPr>
      </w:pPr>
      <w:hyperlink w:anchor="_Toc121503959" w:history="1">
        <w:r w:rsidR="00616885" w:rsidRPr="00657503">
          <w:rPr>
            <w:rStyle w:val="Hyperlink"/>
            <w:rFonts w:cs="Arial"/>
            <w:b/>
            <w:bCs/>
            <w:iCs/>
            <w:lang w:eastAsia="en-US"/>
          </w:rPr>
          <w:t>3.20.5</w:t>
        </w:r>
        <w:r w:rsidR="00616885">
          <w:rPr>
            <w:rFonts w:asciiTheme="minorHAnsi" w:eastAsiaTheme="minorEastAsia" w:hAnsiTheme="minorHAnsi" w:cstheme="minorBidi"/>
            <w:szCs w:val="22"/>
            <w:lang w:bidi="ar-SA"/>
          </w:rPr>
          <w:tab/>
        </w:r>
        <w:r w:rsidR="00616885" w:rsidRPr="00657503">
          <w:rPr>
            <w:rStyle w:val="Hyperlink"/>
            <w:rFonts w:cs="Arial"/>
            <w:b/>
            <w:lang w:eastAsia="en-US"/>
          </w:rPr>
          <w:t>Retrieve Profile Lifecycle Management Authorisation by M2M SP</w:t>
        </w:r>
        <w:r w:rsidR="00616885">
          <w:rPr>
            <w:webHidden/>
          </w:rPr>
          <w:tab/>
        </w:r>
        <w:r w:rsidR="00616885">
          <w:rPr>
            <w:webHidden/>
          </w:rPr>
          <w:fldChar w:fldCharType="begin"/>
        </w:r>
        <w:r w:rsidR="00616885">
          <w:rPr>
            <w:webHidden/>
          </w:rPr>
          <w:instrText xml:space="preserve"> PAGEREF _Toc121503959 \h </w:instrText>
        </w:r>
        <w:r w:rsidR="00616885">
          <w:rPr>
            <w:webHidden/>
          </w:rPr>
        </w:r>
        <w:r w:rsidR="00616885">
          <w:rPr>
            <w:webHidden/>
          </w:rPr>
          <w:fldChar w:fldCharType="separate"/>
        </w:r>
        <w:r w:rsidR="001D5AD9">
          <w:rPr>
            <w:webHidden/>
          </w:rPr>
          <w:t>144</w:t>
        </w:r>
        <w:r w:rsidR="00616885">
          <w:rPr>
            <w:webHidden/>
          </w:rPr>
          <w:fldChar w:fldCharType="end"/>
        </w:r>
      </w:hyperlink>
    </w:p>
    <w:p w14:paraId="4DECE09B" w14:textId="4DBBE49F" w:rsidR="00616885" w:rsidRDefault="00000000">
      <w:pPr>
        <w:pStyle w:val="TOC2"/>
        <w:rPr>
          <w:rFonts w:asciiTheme="minorHAnsi" w:eastAsiaTheme="minorEastAsia" w:hAnsiTheme="minorHAnsi" w:cstheme="minorBidi"/>
          <w:szCs w:val="22"/>
          <w:lang w:bidi="ar-SA"/>
        </w:rPr>
      </w:pPr>
      <w:hyperlink w:anchor="_Toc121503960" w:history="1">
        <w:r w:rsidR="00616885" w:rsidRPr="00657503">
          <w:rPr>
            <w:rStyle w:val="Hyperlink"/>
            <w:rFonts w:cs="Arial"/>
            <w:b/>
            <w:bCs/>
            <w:iCs/>
            <w:lang w:eastAsia="en-US"/>
          </w:rPr>
          <w:t>3.21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Operator Notifications Configuration (ONC)</w:t>
        </w:r>
        <w:r w:rsidR="00616885">
          <w:rPr>
            <w:webHidden/>
          </w:rPr>
          <w:tab/>
        </w:r>
        <w:r w:rsidR="00616885">
          <w:rPr>
            <w:webHidden/>
          </w:rPr>
          <w:fldChar w:fldCharType="begin"/>
        </w:r>
        <w:r w:rsidR="00616885">
          <w:rPr>
            <w:webHidden/>
          </w:rPr>
          <w:instrText xml:space="preserve"> PAGEREF _Toc121503960 \h </w:instrText>
        </w:r>
        <w:r w:rsidR="00616885">
          <w:rPr>
            <w:webHidden/>
          </w:rPr>
        </w:r>
        <w:r w:rsidR="00616885">
          <w:rPr>
            <w:webHidden/>
          </w:rPr>
          <w:fldChar w:fldCharType="separate"/>
        </w:r>
        <w:r w:rsidR="001D5AD9">
          <w:rPr>
            <w:webHidden/>
          </w:rPr>
          <w:t>146</w:t>
        </w:r>
        <w:r w:rsidR="00616885">
          <w:rPr>
            <w:webHidden/>
          </w:rPr>
          <w:fldChar w:fldCharType="end"/>
        </w:r>
      </w:hyperlink>
    </w:p>
    <w:p w14:paraId="13717067" w14:textId="446F0915" w:rsidR="00616885" w:rsidRDefault="00000000">
      <w:pPr>
        <w:pStyle w:val="TOC3"/>
        <w:rPr>
          <w:rFonts w:asciiTheme="minorHAnsi" w:eastAsiaTheme="minorEastAsia" w:hAnsiTheme="minorHAnsi" w:cstheme="minorBidi"/>
          <w:szCs w:val="22"/>
          <w:lang w:bidi="ar-SA"/>
        </w:rPr>
      </w:pPr>
      <w:hyperlink w:anchor="_Toc121503961" w:history="1">
        <w:r w:rsidR="00616885" w:rsidRPr="00657503">
          <w:rPr>
            <w:rStyle w:val="Hyperlink"/>
            <w:rFonts w:cs="Arial"/>
            <w:b/>
            <w:bCs/>
            <w:iCs/>
            <w:lang w:eastAsia="en-US"/>
          </w:rPr>
          <w:t>3.21.1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 Operator Notifications Configuration</w:t>
        </w:r>
        <w:r w:rsidR="00616885">
          <w:rPr>
            <w:webHidden/>
          </w:rPr>
          <w:tab/>
        </w:r>
        <w:r w:rsidR="00616885">
          <w:rPr>
            <w:webHidden/>
          </w:rPr>
          <w:fldChar w:fldCharType="begin"/>
        </w:r>
        <w:r w:rsidR="00616885">
          <w:rPr>
            <w:webHidden/>
          </w:rPr>
          <w:instrText xml:space="preserve"> PAGEREF _Toc121503961 \h </w:instrText>
        </w:r>
        <w:r w:rsidR="00616885">
          <w:rPr>
            <w:webHidden/>
          </w:rPr>
        </w:r>
        <w:r w:rsidR="00616885">
          <w:rPr>
            <w:webHidden/>
          </w:rPr>
          <w:fldChar w:fldCharType="separate"/>
        </w:r>
        <w:r w:rsidR="001D5AD9">
          <w:rPr>
            <w:webHidden/>
          </w:rPr>
          <w:t>146</w:t>
        </w:r>
        <w:r w:rsidR="00616885">
          <w:rPr>
            <w:webHidden/>
          </w:rPr>
          <w:fldChar w:fldCharType="end"/>
        </w:r>
      </w:hyperlink>
    </w:p>
    <w:p w14:paraId="01F1EDF2" w14:textId="3DAC6978" w:rsidR="00616885" w:rsidRDefault="00000000">
      <w:pPr>
        <w:pStyle w:val="TOC3"/>
        <w:rPr>
          <w:rFonts w:asciiTheme="minorHAnsi" w:eastAsiaTheme="minorEastAsia" w:hAnsiTheme="minorHAnsi" w:cstheme="minorBidi"/>
          <w:szCs w:val="22"/>
          <w:lang w:bidi="ar-SA"/>
        </w:rPr>
      </w:pPr>
      <w:hyperlink w:anchor="_Toc121503962" w:history="1">
        <w:r w:rsidR="00616885" w:rsidRPr="00657503">
          <w:rPr>
            <w:rStyle w:val="Hyperlink"/>
            <w:rFonts w:cs="Arial"/>
            <w:b/>
            <w:bCs/>
            <w:iCs/>
            <w:lang w:eastAsia="en-US"/>
          </w:rPr>
          <w:t>3.21.2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 Operator Notifications Configuration via SM-DP</w:t>
        </w:r>
        <w:r w:rsidR="00616885">
          <w:rPr>
            <w:webHidden/>
          </w:rPr>
          <w:tab/>
        </w:r>
        <w:r w:rsidR="00616885">
          <w:rPr>
            <w:webHidden/>
          </w:rPr>
          <w:fldChar w:fldCharType="begin"/>
        </w:r>
        <w:r w:rsidR="00616885">
          <w:rPr>
            <w:webHidden/>
          </w:rPr>
          <w:instrText xml:space="preserve"> PAGEREF _Toc121503962 \h </w:instrText>
        </w:r>
        <w:r w:rsidR="00616885">
          <w:rPr>
            <w:webHidden/>
          </w:rPr>
        </w:r>
        <w:r w:rsidR="00616885">
          <w:rPr>
            <w:webHidden/>
          </w:rPr>
          <w:fldChar w:fldCharType="separate"/>
        </w:r>
        <w:r w:rsidR="001D5AD9">
          <w:rPr>
            <w:webHidden/>
          </w:rPr>
          <w:t>148</w:t>
        </w:r>
        <w:r w:rsidR="00616885">
          <w:rPr>
            <w:webHidden/>
          </w:rPr>
          <w:fldChar w:fldCharType="end"/>
        </w:r>
      </w:hyperlink>
    </w:p>
    <w:p w14:paraId="39421E2D" w14:textId="171FB6FF" w:rsidR="00616885" w:rsidRDefault="00000000">
      <w:pPr>
        <w:pStyle w:val="TOC3"/>
        <w:rPr>
          <w:rFonts w:asciiTheme="minorHAnsi" w:eastAsiaTheme="minorEastAsia" w:hAnsiTheme="minorHAnsi" w:cstheme="minorBidi"/>
          <w:szCs w:val="22"/>
          <w:lang w:bidi="ar-SA"/>
        </w:rPr>
      </w:pPr>
      <w:hyperlink w:anchor="_Toc121503963" w:history="1">
        <w:r w:rsidR="00616885" w:rsidRPr="00657503">
          <w:rPr>
            <w:rStyle w:val="Hyperlink"/>
            <w:rFonts w:cs="Arial"/>
            <w:b/>
            <w:bCs/>
            <w:iCs/>
            <w:lang w:eastAsia="en-US"/>
          </w:rPr>
          <w:t>3.21.3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Retrieve Operator Notifications Configuration</w:t>
        </w:r>
        <w:r w:rsidR="00616885">
          <w:rPr>
            <w:webHidden/>
          </w:rPr>
          <w:tab/>
        </w:r>
        <w:r w:rsidR="00616885">
          <w:rPr>
            <w:webHidden/>
          </w:rPr>
          <w:fldChar w:fldCharType="begin"/>
        </w:r>
        <w:r w:rsidR="00616885">
          <w:rPr>
            <w:webHidden/>
          </w:rPr>
          <w:instrText xml:space="preserve"> PAGEREF _Toc121503963 \h </w:instrText>
        </w:r>
        <w:r w:rsidR="00616885">
          <w:rPr>
            <w:webHidden/>
          </w:rPr>
        </w:r>
        <w:r w:rsidR="00616885">
          <w:rPr>
            <w:webHidden/>
          </w:rPr>
          <w:fldChar w:fldCharType="separate"/>
        </w:r>
        <w:r w:rsidR="001D5AD9">
          <w:rPr>
            <w:webHidden/>
          </w:rPr>
          <w:t>150</w:t>
        </w:r>
        <w:r w:rsidR="00616885">
          <w:rPr>
            <w:webHidden/>
          </w:rPr>
          <w:fldChar w:fldCharType="end"/>
        </w:r>
      </w:hyperlink>
    </w:p>
    <w:p w14:paraId="388C8635" w14:textId="69982F49" w:rsidR="00616885" w:rsidRDefault="00000000">
      <w:pPr>
        <w:pStyle w:val="TOC3"/>
        <w:rPr>
          <w:rFonts w:asciiTheme="minorHAnsi" w:eastAsiaTheme="minorEastAsia" w:hAnsiTheme="minorHAnsi" w:cstheme="minorBidi"/>
          <w:szCs w:val="22"/>
          <w:lang w:bidi="ar-SA"/>
        </w:rPr>
      </w:pPr>
      <w:hyperlink w:anchor="_Toc121503964" w:history="1">
        <w:r w:rsidR="00616885" w:rsidRPr="00657503">
          <w:rPr>
            <w:rStyle w:val="Hyperlink"/>
            <w:rFonts w:cs="Arial"/>
            <w:b/>
            <w:bCs/>
            <w:iCs/>
            <w:lang w:eastAsia="en-US"/>
          </w:rPr>
          <w:t>3.21.4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Retrieve Operator Notifications Configuration via SM-DP</w:t>
        </w:r>
        <w:r w:rsidR="00616885">
          <w:rPr>
            <w:webHidden/>
          </w:rPr>
          <w:tab/>
        </w:r>
        <w:r w:rsidR="00616885">
          <w:rPr>
            <w:webHidden/>
          </w:rPr>
          <w:fldChar w:fldCharType="begin"/>
        </w:r>
        <w:r w:rsidR="00616885">
          <w:rPr>
            <w:webHidden/>
          </w:rPr>
          <w:instrText xml:space="preserve"> PAGEREF _Toc121503964 \h </w:instrText>
        </w:r>
        <w:r w:rsidR="00616885">
          <w:rPr>
            <w:webHidden/>
          </w:rPr>
        </w:r>
        <w:r w:rsidR="00616885">
          <w:rPr>
            <w:webHidden/>
          </w:rPr>
          <w:fldChar w:fldCharType="separate"/>
        </w:r>
        <w:r w:rsidR="001D5AD9">
          <w:rPr>
            <w:webHidden/>
          </w:rPr>
          <w:t>152</w:t>
        </w:r>
        <w:r w:rsidR="00616885">
          <w:rPr>
            <w:webHidden/>
          </w:rPr>
          <w:fldChar w:fldCharType="end"/>
        </w:r>
      </w:hyperlink>
    </w:p>
    <w:p w14:paraId="02057247" w14:textId="5493A2EA" w:rsidR="00616885" w:rsidRDefault="00000000">
      <w:pPr>
        <w:pStyle w:val="TOC2"/>
        <w:rPr>
          <w:rFonts w:asciiTheme="minorHAnsi" w:eastAsiaTheme="minorEastAsia" w:hAnsiTheme="minorHAnsi" w:cstheme="minorBidi"/>
          <w:szCs w:val="22"/>
          <w:lang w:bidi="ar-SA"/>
        </w:rPr>
      </w:pPr>
      <w:hyperlink w:anchor="_Toc121503965" w:history="1">
        <w:r w:rsidR="00616885" w:rsidRPr="00657503">
          <w:rPr>
            <w:rStyle w:val="Hyperlink"/>
            <w:rFonts w:cs="Arial"/>
            <w:b/>
            <w:bCs/>
            <w:iCs/>
            <w:lang w:eastAsia="en-US"/>
          </w:rPr>
          <w:t>3.22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Local Enable for Test Profile</w:t>
        </w:r>
        <w:r w:rsidR="00616885">
          <w:rPr>
            <w:webHidden/>
          </w:rPr>
          <w:tab/>
        </w:r>
        <w:r w:rsidR="00616885">
          <w:rPr>
            <w:webHidden/>
          </w:rPr>
          <w:fldChar w:fldCharType="begin"/>
        </w:r>
        <w:r w:rsidR="00616885">
          <w:rPr>
            <w:webHidden/>
          </w:rPr>
          <w:instrText xml:space="preserve"> PAGEREF _Toc121503965 \h </w:instrText>
        </w:r>
        <w:r w:rsidR="00616885">
          <w:rPr>
            <w:webHidden/>
          </w:rPr>
        </w:r>
        <w:r w:rsidR="00616885">
          <w:rPr>
            <w:webHidden/>
          </w:rPr>
          <w:fldChar w:fldCharType="separate"/>
        </w:r>
        <w:r w:rsidR="001D5AD9">
          <w:rPr>
            <w:webHidden/>
          </w:rPr>
          <w:t>155</w:t>
        </w:r>
        <w:r w:rsidR="00616885">
          <w:rPr>
            <w:webHidden/>
          </w:rPr>
          <w:fldChar w:fldCharType="end"/>
        </w:r>
      </w:hyperlink>
    </w:p>
    <w:p w14:paraId="25FDCB29" w14:textId="5BF55497" w:rsidR="00616885" w:rsidRDefault="00000000">
      <w:pPr>
        <w:pStyle w:val="TOC2"/>
        <w:rPr>
          <w:rFonts w:asciiTheme="minorHAnsi" w:eastAsiaTheme="minorEastAsia" w:hAnsiTheme="minorHAnsi" w:cstheme="minorBidi"/>
          <w:szCs w:val="22"/>
          <w:lang w:bidi="ar-SA"/>
        </w:rPr>
      </w:pPr>
      <w:hyperlink w:anchor="_Toc121503966" w:history="1">
        <w:r w:rsidR="00616885" w:rsidRPr="00657503">
          <w:rPr>
            <w:rStyle w:val="Hyperlink"/>
            <w:rFonts w:cs="Arial"/>
            <w:b/>
            <w:bCs/>
            <w:iCs/>
            <w:lang w:eastAsia="en-US"/>
          </w:rPr>
          <w:t>3.23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Local Disable for Test Profile</w:t>
        </w:r>
        <w:r w:rsidR="00616885">
          <w:rPr>
            <w:webHidden/>
          </w:rPr>
          <w:tab/>
        </w:r>
        <w:r w:rsidR="00616885">
          <w:rPr>
            <w:webHidden/>
          </w:rPr>
          <w:fldChar w:fldCharType="begin"/>
        </w:r>
        <w:r w:rsidR="00616885">
          <w:rPr>
            <w:webHidden/>
          </w:rPr>
          <w:instrText xml:space="preserve"> PAGEREF _Toc121503966 \h </w:instrText>
        </w:r>
        <w:r w:rsidR="00616885">
          <w:rPr>
            <w:webHidden/>
          </w:rPr>
        </w:r>
        <w:r w:rsidR="00616885">
          <w:rPr>
            <w:webHidden/>
          </w:rPr>
          <w:fldChar w:fldCharType="separate"/>
        </w:r>
        <w:r w:rsidR="001D5AD9">
          <w:rPr>
            <w:webHidden/>
          </w:rPr>
          <w:t>158</w:t>
        </w:r>
        <w:r w:rsidR="00616885">
          <w:rPr>
            <w:webHidden/>
          </w:rPr>
          <w:fldChar w:fldCharType="end"/>
        </w:r>
      </w:hyperlink>
    </w:p>
    <w:p w14:paraId="1467B4AC" w14:textId="3BE62C06" w:rsidR="00616885" w:rsidRDefault="00000000">
      <w:pPr>
        <w:pStyle w:val="TOC2"/>
        <w:rPr>
          <w:rFonts w:asciiTheme="minorHAnsi" w:eastAsiaTheme="minorEastAsia" w:hAnsiTheme="minorHAnsi" w:cstheme="minorBidi"/>
          <w:szCs w:val="22"/>
          <w:lang w:bidi="ar-SA"/>
        </w:rPr>
      </w:pPr>
      <w:hyperlink w:anchor="_Toc121503967" w:history="1">
        <w:r w:rsidR="00616885" w:rsidRPr="00657503">
          <w:rPr>
            <w:rStyle w:val="Hyperlink"/>
            <w:rFonts w:cs="Arial"/>
            <w:b/>
            <w:bCs/>
            <w:iCs/>
            <w:lang w:val="en-US" w:eastAsia="en-US"/>
          </w:rPr>
          <w:t>3.24</w:t>
        </w:r>
        <w:r w:rsidR="00616885">
          <w:rPr>
            <w:rFonts w:asciiTheme="minorHAnsi" w:eastAsiaTheme="minorEastAsia" w:hAnsiTheme="minorHAnsi" w:cstheme="minorBidi"/>
            <w:szCs w:val="22"/>
            <w:lang w:bidi="ar-SA"/>
          </w:rPr>
          <w:tab/>
        </w:r>
        <w:r w:rsidR="00616885" w:rsidRPr="00657503">
          <w:rPr>
            <w:rStyle w:val="Hyperlink"/>
            <w:rFonts w:cs="Arial"/>
            <w:b/>
            <w:bCs/>
            <w:iCs/>
            <w:lang w:val="en-US" w:eastAsia="en-US"/>
          </w:rPr>
          <w:t>POL2 Update</w:t>
        </w:r>
        <w:r w:rsidR="00616885">
          <w:rPr>
            <w:webHidden/>
          </w:rPr>
          <w:tab/>
        </w:r>
        <w:r w:rsidR="00616885">
          <w:rPr>
            <w:webHidden/>
          </w:rPr>
          <w:fldChar w:fldCharType="begin"/>
        </w:r>
        <w:r w:rsidR="00616885">
          <w:rPr>
            <w:webHidden/>
          </w:rPr>
          <w:instrText xml:space="preserve"> PAGEREF _Toc121503967 \h </w:instrText>
        </w:r>
        <w:r w:rsidR="00616885">
          <w:rPr>
            <w:webHidden/>
          </w:rPr>
        </w:r>
        <w:r w:rsidR="00616885">
          <w:rPr>
            <w:webHidden/>
          </w:rPr>
          <w:fldChar w:fldCharType="separate"/>
        </w:r>
        <w:r w:rsidR="001D5AD9">
          <w:rPr>
            <w:webHidden/>
          </w:rPr>
          <w:t>159</w:t>
        </w:r>
        <w:r w:rsidR="00616885">
          <w:rPr>
            <w:webHidden/>
          </w:rPr>
          <w:fldChar w:fldCharType="end"/>
        </w:r>
      </w:hyperlink>
    </w:p>
    <w:p w14:paraId="698AED9E" w14:textId="4295EAF0" w:rsidR="00616885" w:rsidRDefault="00000000">
      <w:pPr>
        <w:pStyle w:val="TOC2"/>
        <w:rPr>
          <w:rFonts w:asciiTheme="minorHAnsi" w:eastAsiaTheme="minorEastAsia" w:hAnsiTheme="minorHAnsi" w:cstheme="minorBidi"/>
          <w:szCs w:val="22"/>
          <w:lang w:bidi="ar-SA"/>
        </w:rPr>
      </w:pPr>
      <w:hyperlink w:anchor="_Toc121503968" w:history="1">
        <w:r w:rsidR="00616885" w:rsidRPr="00657503">
          <w:rPr>
            <w:rStyle w:val="Hyperlink"/>
            <w:rFonts w:eastAsia="Vodafone Rg" w:cs="Arial"/>
            <w:b/>
            <w:bCs/>
            <w:iCs/>
            <w:lang w:eastAsia="en-US"/>
          </w:rPr>
          <w:t>3.25</w:t>
        </w:r>
        <w:r w:rsidR="00616885">
          <w:rPr>
            <w:rFonts w:asciiTheme="minorHAnsi" w:eastAsiaTheme="minorEastAsia" w:hAnsiTheme="minorHAnsi" w:cstheme="minorBidi"/>
            <w:szCs w:val="22"/>
            <w:lang w:bidi="ar-SA"/>
          </w:rPr>
          <w:tab/>
        </w:r>
        <w:r w:rsidR="00616885" w:rsidRPr="00657503">
          <w:rPr>
            <w:rStyle w:val="Hyperlink"/>
            <w:rFonts w:eastAsia="Vodafone Rg" w:cs="Arial"/>
            <w:b/>
            <w:bCs/>
            <w:iCs/>
            <w:lang w:eastAsia="en-US"/>
          </w:rPr>
          <w:t>Emergency Profile Attribute Management</w:t>
        </w:r>
        <w:r w:rsidR="00616885">
          <w:rPr>
            <w:webHidden/>
          </w:rPr>
          <w:tab/>
        </w:r>
        <w:r w:rsidR="00616885">
          <w:rPr>
            <w:webHidden/>
          </w:rPr>
          <w:fldChar w:fldCharType="begin"/>
        </w:r>
        <w:r w:rsidR="00616885">
          <w:rPr>
            <w:webHidden/>
          </w:rPr>
          <w:instrText xml:space="preserve"> PAGEREF _Toc121503968 \h </w:instrText>
        </w:r>
        <w:r w:rsidR="00616885">
          <w:rPr>
            <w:webHidden/>
          </w:rPr>
        </w:r>
        <w:r w:rsidR="00616885">
          <w:rPr>
            <w:webHidden/>
          </w:rPr>
          <w:fldChar w:fldCharType="separate"/>
        </w:r>
        <w:r w:rsidR="001D5AD9">
          <w:rPr>
            <w:webHidden/>
          </w:rPr>
          <w:t>161</w:t>
        </w:r>
        <w:r w:rsidR="00616885">
          <w:rPr>
            <w:webHidden/>
          </w:rPr>
          <w:fldChar w:fldCharType="end"/>
        </w:r>
      </w:hyperlink>
    </w:p>
    <w:p w14:paraId="11CABD03" w14:textId="47323A9C" w:rsidR="00616885" w:rsidRDefault="00000000">
      <w:pPr>
        <w:pStyle w:val="TOC2"/>
        <w:rPr>
          <w:rFonts w:asciiTheme="minorHAnsi" w:eastAsiaTheme="minorEastAsia" w:hAnsiTheme="minorHAnsi" w:cstheme="minorBidi"/>
          <w:szCs w:val="22"/>
          <w:lang w:bidi="ar-SA"/>
        </w:rPr>
      </w:pPr>
      <w:hyperlink w:anchor="_Toc121503969" w:history="1">
        <w:r w:rsidR="00616885" w:rsidRPr="00657503">
          <w:rPr>
            <w:rStyle w:val="Hyperlink"/>
            <w:rFonts w:cs="Arial"/>
            <w:b/>
            <w:bCs/>
            <w:iCs/>
            <w:lang w:eastAsia="en-US"/>
          </w:rPr>
          <w:t>3.26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Emergency Profile Attribute Management via the M2M SP</w:t>
        </w:r>
        <w:r w:rsidR="00616885">
          <w:rPr>
            <w:webHidden/>
          </w:rPr>
          <w:tab/>
        </w:r>
        <w:r w:rsidR="00616885">
          <w:rPr>
            <w:webHidden/>
          </w:rPr>
          <w:fldChar w:fldCharType="begin"/>
        </w:r>
        <w:r w:rsidR="00616885">
          <w:rPr>
            <w:webHidden/>
          </w:rPr>
          <w:instrText xml:space="preserve"> PAGEREF _Toc121503969 \h </w:instrText>
        </w:r>
        <w:r w:rsidR="00616885">
          <w:rPr>
            <w:webHidden/>
          </w:rPr>
        </w:r>
        <w:r w:rsidR="00616885">
          <w:rPr>
            <w:webHidden/>
          </w:rPr>
          <w:fldChar w:fldCharType="separate"/>
        </w:r>
        <w:r w:rsidR="001D5AD9">
          <w:rPr>
            <w:webHidden/>
          </w:rPr>
          <w:t>168</w:t>
        </w:r>
        <w:r w:rsidR="00616885">
          <w:rPr>
            <w:webHidden/>
          </w:rPr>
          <w:fldChar w:fldCharType="end"/>
        </w:r>
      </w:hyperlink>
    </w:p>
    <w:p w14:paraId="29C1E42C" w14:textId="1A2F835E" w:rsidR="00616885" w:rsidRDefault="00000000">
      <w:pPr>
        <w:pStyle w:val="TOC2"/>
        <w:rPr>
          <w:rFonts w:asciiTheme="minorHAnsi" w:eastAsiaTheme="minorEastAsia" w:hAnsiTheme="minorHAnsi" w:cstheme="minorBidi"/>
          <w:szCs w:val="22"/>
          <w:lang w:bidi="ar-SA"/>
        </w:rPr>
      </w:pPr>
      <w:hyperlink w:anchor="_Toc121503970" w:history="1">
        <w:r w:rsidR="00616885" w:rsidRPr="00657503">
          <w:rPr>
            <w:rStyle w:val="Hyperlink"/>
            <w:rFonts w:cs="Arial"/>
            <w:b/>
            <w:bCs/>
            <w:iCs/>
            <w:lang w:eastAsia="en-US"/>
          </w:rPr>
          <w:t>3.27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Fall-Back Attribute Management</w:t>
        </w:r>
        <w:r w:rsidR="00616885">
          <w:rPr>
            <w:webHidden/>
          </w:rPr>
          <w:tab/>
        </w:r>
        <w:r w:rsidR="00616885">
          <w:rPr>
            <w:webHidden/>
          </w:rPr>
          <w:fldChar w:fldCharType="begin"/>
        </w:r>
        <w:r w:rsidR="00616885">
          <w:rPr>
            <w:webHidden/>
          </w:rPr>
          <w:instrText xml:space="preserve"> PAGEREF _Toc121503970 \h </w:instrText>
        </w:r>
        <w:r w:rsidR="00616885">
          <w:rPr>
            <w:webHidden/>
          </w:rPr>
        </w:r>
        <w:r w:rsidR="00616885">
          <w:rPr>
            <w:webHidden/>
          </w:rPr>
          <w:fldChar w:fldCharType="separate"/>
        </w:r>
        <w:r w:rsidR="001D5AD9">
          <w:rPr>
            <w:webHidden/>
          </w:rPr>
          <w:t>173</w:t>
        </w:r>
        <w:r w:rsidR="00616885">
          <w:rPr>
            <w:webHidden/>
          </w:rPr>
          <w:fldChar w:fldCharType="end"/>
        </w:r>
      </w:hyperlink>
    </w:p>
    <w:p w14:paraId="0E5B3BC9" w14:textId="4E5BA48E" w:rsidR="00616885" w:rsidRDefault="00000000">
      <w:pPr>
        <w:pStyle w:val="TOC2"/>
        <w:rPr>
          <w:rFonts w:asciiTheme="minorHAnsi" w:eastAsiaTheme="minorEastAsia" w:hAnsiTheme="minorHAnsi" w:cstheme="minorBidi"/>
          <w:szCs w:val="22"/>
          <w:lang w:bidi="ar-SA"/>
        </w:rPr>
      </w:pPr>
      <w:hyperlink w:anchor="_Toc121503971" w:history="1">
        <w:r w:rsidR="00616885" w:rsidRPr="00657503">
          <w:rPr>
            <w:rStyle w:val="Hyperlink"/>
            <w:rFonts w:cs="Arial"/>
            <w:b/>
            <w:bCs/>
            <w:iCs/>
            <w:lang w:eastAsia="en-US"/>
          </w:rPr>
          <w:t>3.28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Fall-Back Attribute Management via SM-DP</w:t>
        </w:r>
        <w:r w:rsidR="00616885">
          <w:rPr>
            <w:webHidden/>
          </w:rPr>
          <w:tab/>
        </w:r>
        <w:r w:rsidR="00616885">
          <w:rPr>
            <w:webHidden/>
          </w:rPr>
          <w:fldChar w:fldCharType="begin"/>
        </w:r>
        <w:r w:rsidR="00616885">
          <w:rPr>
            <w:webHidden/>
          </w:rPr>
          <w:instrText xml:space="preserve"> PAGEREF _Toc121503971 \h </w:instrText>
        </w:r>
        <w:r w:rsidR="00616885">
          <w:rPr>
            <w:webHidden/>
          </w:rPr>
        </w:r>
        <w:r w:rsidR="00616885">
          <w:rPr>
            <w:webHidden/>
          </w:rPr>
          <w:fldChar w:fldCharType="separate"/>
        </w:r>
        <w:r w:rsidR="001D5AD9">
          <w:rPr>
            <w:webHidden/>
          </w:rPr>
          <w:t>177</w:t>
        </w:r>
        <w:r w:rsidR="00616885">
          <w:rPr>
            <w:webHidden/>
          </w:rPr>
          <w:fldChar w:fldCharType="end"/>
        </w:r>
      </w:hyperlink>
    </w:p>
    <w:p w14:paraId="5D1152A7" w14:textId="1148AA15" w:rsidR="00616885" w:rsidRDefault="00000000">
      <w:pPr>
        <w:pStyle w:val="TOC2"/>
        <w:rPr>
          <w:rFonts w:asciiTheme="minorHAnsi" w:eastAsiaTheme="minorEastAsia" w:hAnsiTheme="minorHAnsi" w:cstheme="minorBidi"/>
          <w:szCs w:val="22"/>
          <w:lang w:bidi="ar-SA"/>
        </w:rPr>
      </w:pPr>
      <w:hyperlink w:anchor="_Toc121503972" w:history="1">
        <w:r w:rsidR="00616885" w:rsidRPr="00657503">
          <w:rPr>
            <w:rStyle w:val="Hyperlink"/>
            <w:rFonts w:cs="Arial"/>
            <w:b/>
            <w:bCs/>
            <w:iCs/>
            <w:lang w:eastAsia="en-US"/>
          </w:rPr>
          <w:t>3.29</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Fall-Back Attribute Management via M2M SP</w:t>
        </w:r>
        <w:r w:rsidR="00616885">
          <w:rPr>
            <w:webHidden/>
          </w:rPr>
          <w:tab/>
        </w:r>
        <w:r w:rsidR="00616885">
          <w:rPr>
            <w:webHidden/>
          </w:rPr>
          <w:fldChar w:fldCharType="begin"/>
        </w:r>
        <w:r w:rsidR="00616885">
          <w:rPr>
            <w:webHidden/>
          </w:rPr>
          <w:instrText xml:space="preserve"> PAGEREF _Toc121503972 \h </w:instrText>
        </w:r>
        <w:r w:rsidR="00616885">
          <w:rPr>
            <w:webHidden/>
          </w:rPr>
        </w:r>
        <w:r w:rsidR="00616885">
          <w:rPr>
            <w:webHidden/>
          </w:rPr>
          <w:fldChar w:fldCharType="separate"/>
        </w:r>
        <w:r w:rsidR="001D5AD9">
          <w:rPr>
            <w:webHidden/>
          </w:rPr>
          <w:t>180</w:t>
        </w:r>
        <w:r w:rsidR="00616885">
          <w:rPr>
            <w:webHidden/>
          </w:rPr>
          <w:fldChar w:fldCharType="end"/>
        </w:r>
      </w:hyperlink>
    </w:p>
    <w:p w14:paraId="7C9CB931" w14:textId="5A6C8BE4" w:rsidR="00616885" w:rsidRDefault="00000000">
      <w:pPr>
        <w:pStyle w:val="TOC2"/>
        <w:rPr>
          <w:rFonts w:asciiTheme="minorHAnsi" w:eastAsiaTheme="minorEastAsia" w:hAnsiTheme="minorHAnsi" w:cstheme="minorBidi"/>
          <w:szCs w:val="22"/>
          <w:lang w:bidi="ar-SA"/>
        </w:rPr>
      </w:pPr>
      <w:hyperlink w:anchor="_Toc121503973" w:history="1">
        <w:r w:rsidR="00616885" w:rsidRPr="00657503">
          <w:rPr>
            <w:rStyle w:val="Hyperlink"/>
            <w:rFonts w:cs="Arial"/>
            <w:b/>
            <w:bCs/>
            <w:iCs/>
            <w:lang w:eastAsia="en-US"/>
          </w:rPr>
          <w:t>3.30</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Local Enable for Emergency Profile</w:t>
        </w:r>
        <w:r w:rsidR="00616885">
          <w:rPr>
            <w:webHidden/>
          </w:rPr>
          <w:tab/>
        </w:r>
        <w:r w:rsidR="00616885">
          <w:rPr>
            <w:webHidden/>
          </w:rPr>
          <w:fldChar w:fldCharType="begin"/>
        </w:r>
        <w:r w:rsidR="00616885">
          <w:rPr>
            <w:webHidden/>
          </w:rPr>
          <w:instrText xml:space="preserve"> PAGEREF _Toc121503973 \h </w:instrText>
        </w:r>
        <w:r w:rsidR="00616885">
          <w:rPr>
            <w:webHidden/>
          </w:rPr>
        </w:r>
        <w:r w:rsidR="00616885">
          <w:rPr>
            <w:webHidden/>
          </w:rPr>
          <w:fldChar w:fldCharType="separate"/>
        </w:r>
        <w:r w:rsidR="001D5AD9">
          <w:rPr>
            <w:webHidden/>
          </w:rPr>
          <w:t>184</w:t>
        </w:r>
        <w:r w:rsidR="00616885">
          <w:rPr>
            <w:webHidden/>
          </w:rPr>
          <w:fldChar w:fldCharType="end"/>
        </w:r>
      </w:hyperlink>
    </w:p>
    <w:p w14:paraId="2379758D" w14:textId="4C324E39" w:rsidR="00616885" w:rsidRDefault="00000000">
      <w:pPr>
        <w:pStyle w:val="TOC2"/>
        <w:rPr>
          <w:rFonts w:asciiTheme="minorHAnsi" w:eastAsiaTheme="minorEastAsia" w:hAnsiTheme="minorHAnsi" w:cstheme="minorBidi"/>
          <w:szCs w:val="22"/>
          <w:lang w:bidi="ar-SA"/>
        </w:rPr>
      </w:pPr>
      <w:hyperlink w:anchor="_Toc121503974" w:history="1">
        <w:r w:rsidR="00616885" w:rsidRPr="00657503">
          <w:rPr>
            <w:rStyle w:val="Hyperlink"/>
            <w:rFonts w:cs="Arial"/>
            <w:b/>
            <w:bCs/>
            <w:iCs/>
            <w:lang w:eastAsia="en-US"/>
          </w:rPr>
          <w:t>3.31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Local Disable for Emergency Profile</w:t>
        </w:r>
        <w:r w:rsidR="00616885">
          <w:rPr>
            <w:webHidden/>
          </w:rPr>
          <w:tab/>
        </w:r>
        <w:r w:rsidR="00616885">
          <w:rPr>
            <w:webHidden/>
          </w:rPr>
          <w:fldChar w:fldCharType="begin"/>
        </w:r>
        <w:r w:rsidR="00616885">
          <w:rPr>
            <w:webHidden/>
          </w:rPr>
          <w:instrText xml:space="preserve"> PAGEREF _Toc121503974 \h </w:instrText>
        </w:r>
        <w:r w:rsidR="00616885">
          <w:rPr>
            <w:webHidden/>
          </w:rPr>
        </w:r>
        <w:r w:rsidR="00616885">
          <w:rPr>
            <w:webHidden/>
          </w:rPr>
          <w:fldChar w:fldCharType="separate"/>
        </w:r>
        <w:r w:rsidR="001D5AD9">
          <w:rPr>
            <w:webHidden/>
          </w:rPr>
          <w:t>187</w:t>
        </w:r>
        <w:r w:rsidR="00616885">
          <w:rPr>
            <w:webHidden/>
          </w:rPr>
          <w:fldChar w:fldCharType="end"/>
        </w:r>
      </w:hyperlink>
    </w:p>
    <w:p w14:paraId="059F79AB" w14:textId="4AB43D6C" w:rsidR="00616885" w:rsidRDefault="00000000">
      <w:pPr>
        <w:pStyle w:val="TOC1"/>
        <w:rPr>
          <w:rFonts w:asciiTheme="minorHAnsi" w:eastAsiaTheme="minorEastAsia" w:hAnsiTheme="minorHAnsi" w:cstheme="minorBidi"/>
          <w:b w:val="0"/>
          <w:lang w:eastAsia="en-GB" w:bidi="ar-SA"/>
        </w:rPr>
      </w:pPr>
      <w:hyperlink w:anchor="_Toc121503975" w:history="1">
        <w:r w:rsidR="00616885" w:rsidRPr="00657503">
          <w:rPr>
            <w:rStyle w:val="Hyperlink"/>
            <w:rFonts w:eastAsia="Times New Roman" w:cs="Arial"/>
            <w:lang w:eastAsia="en-US"/>
          </w:rPr>
          <w:t>4</w:t>
        </w:r>
        <w:r w:rsidR="00616885">
          <w:rPr>
            <w:rFonts w:asciiTheme="minorHAnsi" w:eastAsiaTheme="minorEastAsia" w:hAnsiTheme="minorHAnsi" w:cstheme="minorBidi"/>
            <w:b w:val="0"/>
            <w:lang w:eastAsia="en-GB" w:bidi="ar-SA"/>
          </w:rPr>
          <w:tab/>
        </w:r>
        <w:r w:rsidR="00616885" w:rsidRPr="00657503">
          <w:rPr>
            <w:rStyle w:val="Hyperlink"/>
            <w:rFonts w:eastAsia="Times New Roman" w:cs="Arial"/>
            <w:bCs/>
            <w:lang w:eastAsia="en-US"/>
          </w:rPr>
          <w:t>eUICC Interface Descriptions</w:t>
        </w:r>
        <w:r w:rsidR="00616885">
          <w:rPr>
            <w:webHidden/>
          </w:rPr>
          <w:tab/>
        </w:r>
        <w:r w:rsidR="00616885">
          <w:rPr>
            <w:webHidden/>
          </w:rPr>
          <w:fldChar w:fldCharType="begin"/>
        </w:r>
        <w:r w:rsidR="00616885">
          <w:rPr>
            <w:webHidden/>
          </w:rPr>
          <w:instrText xml:space="preserve"> PAGEREF _Toc121503975 \h </w:instrText>
        </w:r>
        <w:r w:rsidR="00616885">
          <w:rPr>
            <w:webHidden/>
          </w:rPr>
        </w:r>
        <w:r w:rsidR="00616885">
          <w:rPr>
            <w:webHidden/>
          </w:rPr>
          <w:fldChar w:fldCharType="separate"/>
        </w:r>
        <w:r w:rsidR="001D5AD9">
          <w:rPr>
            <w:webHidden/>
          </w:rPr>
          <w:t>188</w:t>
        </w:r>
        <w:r w:rsidR="00616885">
          <w:rPr>
            <w:webHidden/>
          </w:rPr>
          <w:fldChar w:fldCharType="end"/>
        </w:r>
      </w:hyperlink>
    </w:p>
    <w:p w14:paraId="520B479F" w14:textId="024D743F" w:rsidR="00616885" w:rsidRDefault="00000000">
      <w:pPr>
        <w:pStyle w:val="TOC2"/>
        <w:rPr>
          <w:rFonts w:asciiTheme="minorHAnsi" w:eastAsiaTheme="minorEastAsia" w:hAnsiTheme="minorHAnsi" w:cstheme="minorBidi"/>
          <w:szCs w:val="22"/>
          <w:lang w:bidi="ar-SA"/>
        </w:rPr>
      </w:pPr>
      <w:hyperlink w:anchor="_Toc121503976" w:history="1">
        <w:r w:rsidR="00616885" w:rsidRPr="00657503">
          <w:rPr>
            <w:rStyle w:val="Hyperlink"/>
            <w:rFonts w:cs="Arial"/>
            <w:b/>
            <w:bCs/>
            <w:iCs/>
            <w:lang w:eastAsia="en-US"/>
          </w:rPr>
          <w:t>4.1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Functions </w:t>
        </w:r>
        <w:r w:rsidR="00616885" w:rsidRPr="00657503">
          <w:rPr>
            <w:rStyle w:val="Hyperlink"/>
            <w:rFonts w:cs="Arial"/>
            <w:b/>
            <w:lang w:eastAsia="en-US"/>
          </w:rPr>
          <w:t>Description</w:t>
        </w:r>
        <w:r w:rsidR="00616885">
          <w:rPr>
            <w:webHidden/>
          </w:rPr>
          <w:tab/>
        </w:r>
        <w:r w:rsidR="00616885">
          <w:rPr>
            <w:webHidden/>
          </w:rPr>
          <w:fldChar w:fldCharType="begin"/>
        </w:r>
        <w:r w:rsidR="00616885">
          <w:rPr>
            <w:webHidden/>
          </w:rPr>
          <w:instrText xml:space="preserve"> PAGEREF _Toc121503976 \h </w:instrText>
        </w:r>
        <w:r w:rsidR="00616885">
          <w:rPr>
            <w:webHidden/>
          </w:rPr>
        </w:r>
        <w:r w:rsidR="00616885">
          <w:rPr>
            <w:webHidden/>
          </w:rPr>
          <w:fldChar w:fldCharType="separate"/>
        </w:r>
        <w:r w:rsidR="001D5AD9">
          <w:rPr>
            <w:webHidden/>
          </w:rPr>
          <w:t>190</w:t>
        </w:r>
        <w:r w:rsidR="00616885">
          <w:rPr>
            <w:webHidden/>
          </w:rPr>
          <w:fldChar w:fldCharType="end"/>
        </w:r>
      </w:hyperlink>
    </w:p>
    <w:p w14:paraId="15C788F0" w14:textId="45B560AA" w:rsidR="00616885" w:rsidRDefault="00000000">
      <w:pPr>
        <w:pStyle w:val="TOC3"/>
        <w:rPr>
          <w:rFonts w:asciiTheme="minorHAnsi" w:eastAsiaTheme="minorEastAsia" w:hAnsiTheme="minorHAnsi" w:cstheme="minorBidi"/>
          <w:szCs w:val="22"/>
          <w:lang w:bidi="ar-SA"/>
        </w:rPr>
      </w:pPr>
      <w:hyperlink w:anchor="_Toc121503977" w:history="1">
        <w:r w:rsidR="00616885" w:rsidRPr="00657503">
          <w:rPr>
            <w:rStyle w:val="Hyperlink"/>
            <w:rFonts w:cs="Arial"/>
            <w:b/>
            <w:bCs/>
            <w:iCs/>
            <w:lang w:eastAsia="en-US"/>
          </w:rPr>
          <w:t>4.1.1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ES5 (SM-SR–eUICC) Interface Description</w:t>
        </w:r>
        <w:r w:rsidR="00616885">
          <w:rPr>
            <w:webHidden/>
          </w:rPr>
          <w:tab/>
        </w:r>
        <w:r w:rsidR="00616885">
          <w:rPr>
            <w:webHidden/>
          </w:rPr>
          <w:fldChar w:fldCharType="begin"/>
        </w:r>
        <w:r w:rsidR="00616885">
          <w:rPr>
            <w:webHidden/>
          </w:rPr>
          <w:instrText xml:space="preserve"> PAGEREF _Toc121503977 \h </w:instrText>
        </w:r>
        <w:r w:rsidR="00616885">
          <w:rPr>
            <w:webHidden/>
          </w:rPr>
        </w:r>
        <w:r w:rsidR="00616885">
          <w:rPr>
            <w:webHidden/>
          </w:rPr>
          <w:fldChar w:fldCharType="separate"/>
        </w:r>
        <w:r w:rsidR="001D5AD9">
          <w:rPr>
            <w:webHidden/>
          </w:rPr>
          <w:t>190</w:t>
        </w:r>
        <w:r w:rsidR="00616885">
          <w:rPr>
            <w:webHidden/>
          </w:rPr>
          <w:fldChar w:fldCharType="end"/>
        </w:r>
      </w:hyperlink>
    </w:p>
    <w:p w14:paraId="22DD216D" w14:textId="6D4DF35F" w:rsidR="00616885" w:rsidRDefault="00000000">
      <w:pPr>
        <w:pStyle w:val="TOC3"/>
        <w:rPr>
          <w:rFonts w:asciiTheme="minorHAnsi" w:eastAsiaTheme="minorEastAsia" w:hAnsiTheme="minorHAnsi" w:cstheme="minorBidi"/>
          <w:szCs w:val="22"/>
          <w:lang w:bidi="ar-SA"/>
        </w:rPr>
      </w:pPr>
      <w:hyperlink w:anchor="_Toc121503978" w:history="1">
        <w:r w:rsidR="00616885" w:rsidRPr="00657503">
          <w:rPr>
            <w:rStyle w:val="Hyperlink"/>
            <w:rFonts w:cs="Arial"/>
            <w:b/>
            <w:bCs/>
            <w:iCs/>
            <w:lang w:eastAsia="en-US"/>
          </w:rPr>
          <w:t>4.1.2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ES6 (Operator-eUICC) Interface Description</w:t>
        </w:r>
        <w:r w:rsidR="00616885">
          <w:rPr>
            <w:webHidden/>
          </w:rPr>
          <w:tab/>
        </w:r>
        <w:r w:rsidR="00616885">
          <w:rPr>
            <w:webHidden/>
          </w:rPr>
          <w:fldChar w:fldCharType="begin"/>
        </w:r>
        <w:r w:rsidR="00616885">
          <w:rPr>
            <w:webHidden/>
          </w:rPr>
          <w:instrText xml:space="preserve"> PAGEREF _Toc121503978 \h </w:instrText>
        </w:r>
        <w:r w:rsidR="00616885">
          <w:rPr>
            <w:webHidden/>
          </w:rPr>
        </w:r>
        <w:r w:rsidR="00616885">
          <w:rPr>
            <w:webHidden/>
          </w:rPr>
          <w:fldChar w:fldCharType="separate"/>
        </w:r>
        <w:r w:rsidR="001D5AD9">
          <w:rPr>
            <w:webHidden/>
          </w:rPr>
          <w:t>225</w:t>
        </w:r>
        <w:r w:rsidR="00616885">
          <w:rPr>
            <w:webHidden/>
          </w:rPr>
          <w:fldChar w:fldCharType="end"/>
        </w:r>
      </w:hyperlink>
    </w:p>
    <w:p w14:paraId="18581BF5" w14:textId="26908345" w:rsidR="00616885" w:rsidRDefault="00000000">
      <w:pPr>
        <w:pStyle w:val="TOC3"/>
        <w:rPr>
          <w:rFonts w:asciiTheme="minorHAnsi" w:eastAsiaTheme="minorEastAsia" w:hAnsiTheme="minorHAnsi" w:cstheme="minorBidi"/>
          <w:szCs w:val="22"/>
          <w:lang w:bidi="ar-SA"/>
        </w:rPr>
      </w:pPr>
      <w:hyperlink w:anchor="_Toc121503979" w:history="1">
        <w:r w:rsidR="00616885" w:rsidRPr="00657503">
          <w:rPr>
            <w:rStyle w:val="Hyperlink"/>
            <w:rFonts w:cs="Arial"/>
            <w:b/>
            <w:bCs/>
            <w:iCs/>
            <w:lang w:val="fr-FR" w:eastAsia="en-US"/>
          </w:rPr>
          <w:t>4.1.3</w:t>
        </w:r>
        <w:r w:rsidR="00616885">
          <w:rPr>
            <w:rFonts w:asciiTheme="minorHAnsi" w:eastAsiaTheme="minorEastAsia" w:hAnsiTheme="minorHAnsi" w:cstheme="minorBidi"/>
            <w:szCs w:val="22"/>
            <w:lang w:bidi="ar-SA"/>
          </w:rPr>
          <w:tab/>
        </w:r>
        <w:r w:rsidR="00616885" w:rsidRPr="00657503">
          <w:rPr>
            <w:rStyle w:val="Hyperlink"/>
            <w:rFonts w:cs="Arial"/>
            <w:b/>
            <w:bCs/>
            <w:iCs/>
            <w:lang w:val="fr-FR" w:eastAsia="en-US"/>
          </w:rPr>
          <w:t>ES8 (SM-DP-eUICC) Interface Description</w:t>
        </w:r>
        <w:r w:rsidR="00616885">
          <w:rPr>
            <w:webHidden/>
          </w:rPr>
          <w:tab/>
        </w:r>
        <w:r w:rsidR="00616885">
          <w:rPr>
            <w:webHidden/>
          </w:rPr>
          <w:fldChar w:fldCharType="begin"/>
        </w:r>
        <w:r w:rsidR="00616885">
          <w:rPr>
            <w:webHidden/>
          </w:rPr>
          <w:instrText xml:space="preserve"> PAGEREF _Toc121503979 \h </w:instrText>
        </w:r>
        <w:r w:rsidR="00616885">
          <w:rPr>
            <w:webHidden/>
          </w:rPr>
        </w:r>
        <w:r w:rsidR="00616885">
          <w:rPr>
            <w:webHidden/>
          </w:rPr>
          <w:fldChar w:fldCharType="separate"/>
        </w:r>
        <w:r w:rsidR="001D5AD9">
          <w:rPr>
            <w:webHidden/>
          </w:rPr>
          <w:t>229</w:t>
        </w:r>
        <w:r w:rsidR="00616885">
          <w:rPr>
            <w:webHidden/>
          </w:rPr>
          <w:fldChar w:fldCharType="end"/>
        </w:r>
      </w:hyperlink>
    </w:p>
    <w:p w14:paraId="073532D1" w14:textId="1588A7E2" w:rsidR="00616885" w:rsidRDefault="00000000">
      <w:pPr>
        <w:pStyle w:val="TOC3"/>
        <w:rPr>
          <w:rFonts w:asciiTheme="minorHAnsi" w:eastAsiaTheme="minorEastAsia" w:hAnsiTheme="minorHAnsi" w:cstheme="minorBidi"/>
          <w:szCs w:val="22"/>
          <w:lang w:bidi="ar-SA"/>
        </w:rPr>
      </w:pPr>
      <w:hyperlink w:anchor="_Toc121503980" w:history="1">
        <w:r w:rsidR="00616885" w:rsidRPr="00657503">
          <w:rPr>
            <w:rStyle w:val="Hyperlink"/>
            <w:rFonts w:cs="Arial"/>
            <w:b/>
            <w:bCs/>
            <w:iCs/>
            <w:lang w:val="fr-FR" w:eastAsia="en-US"/>
          </w:rPr>
          <w:t>4.1.4</w:t>
        </w:r>
        <w:r w:rsidR="00616885">
          <w:rPr>
            <w:rFonts w:asciiTheme="minorHAnsi" w:eastAsiaTheme="minorEastAsia" w:hAnsiTheme="minorHAnsi" w:cstheme="minorBidi"/>
            <w:szCs w:val="22"/>
            <w:lang w:bidi="ar-SA"/>
          </w:rPr>
          <w:tab/>
        </w:r>
        <w:r w:rsidR="00616885" w:rsidRPr="00657503">
          <w:rPr>
            <w:rStyle w:val="Hyperlink"/>
            <w:rFonts w:cs="Arial"/>
            <w:b/>
            <w:bCs/>
            <w:iCs/>
            <w:lang w:val="fr-FR" w:eastAsia="en-US"/>
          </w:rPr>
          <w:t>ESx (Device</w:t>
        </w:r>
        <w:r w:rsidR="00616885" w:rsidRPr="00657503">
          <w:rPr>
            <w:rStyle w:val="Hyperlink"/>
            <w:rFonts w:cs="Arial"/>
            <w:b/>
            <w:bCs/>
            <w:iCs/>
            <w:lang w:val="en-US" w:eastAsia="en-US"/>
          </w:rPr>
          <w:t xml:space="preserve"> </w:t>
        </w:r>
        <w:r w:rsidR="00616885" w:rsidRPr="00657503">
          <w:rPr>
            <w:rStyle w:val="Hyperlink"/>
            <w:rFonts w:cs="Arial"/>
            <w:b/>
            <w:bCs/>
            <w:iCs/>
            <w:lang w:val="fr-FR" w:eastAsia="en-US"/>
          </w:rPr>
          <w:t>-</w:t>
        </w:r>
        <w:r w:rsidR="00616885" w:rsidRPr="00657503">
          <w:rPr>
            <w:rStyle w:val="Hyperlink"/>
            <w:rFonts w:cs="Arial"/>
            <w:b/>
            <w:bCs/>
            <w:iCs/>
            <w:lang w:val="en-US" w:eastAsia="en-US"/>
          </w:rPr>
          <w:t xml:space="preserve"> eUICC) Interface Description</w:t>
        </w:r>
        <w:r w:rsidR="00616885">
          <w:rPr>
            <w:webHidden/>
          </w:rPr>
          <w:tab/>
        </w:r>
        <w:r w:rsidR="00616885">
          <w:rPr>
            <w:webHidden/>
          </w:rPr>
          <w:fldChar w:fldCharType="begin"/>
        </w:r>
        <w:r w:rsidR="00616885">
          <w:rPr>
            <w:webHidden/>
          </w:rPr>
          <w:instrText xml:space="preserve"> PAGEREF _Toc121503980 \h </w:instrText>
        </w:r>
        <w:r w:rsidR="00616885">
          <w:rPr>
            <w:webHidden/>
          </w:rPr>
        </w:r>
        <w:r w:rsidR="00616885">
          <w:rPr>
            <w:webHidden/>
          </w:rPr>
          <w:fldChar w:fldCharType="separate"/>
        </w:r>
        <w:r w:rsidR="001D5AD9">
          <w:rPr>
            <w:webHidden/>
          </w:rPr>
          <w:t>246</w:t>
        </w:r>
        <w:r w:rsidR="00616885">
          <w:rPr>
            <w:webHidden/>
          </w:rPr>
          <w:fldChar w:fldCharType="end"/>
        </w:r>
      </w:hyperlink>
    </w:p>
    <w:p w14:paraId="1EEB20DE" w14:textId="4B041619" w:rsidR="00616885" w:rsidRDefault="00000000">
      <w:pPr>
        <w:pStyle w:val="TOC1"/>
        <w:rPr>
          <w:rFonts w:asciiTheme="minorHAnsi" w:eastAsiaTheme="minorEastAsia" w:hAnsiTheme="minorHAnsi" w:cstheme="minorBidi"/>
          <w:b w:val="0"/>
          <w:lang w:eastAsia="en-GB" w:bidi="ar-SA"/>
        </w:rPr>
      </w:pPr>
      <w:hyperlink w:anchor="_Toc121503981" w:history="1">
        <w:r w:rsidR="00616885" w:rsidRPr="00657503">
          <w:rPr>
            <w:rStyle w:val="Hyperlink"/>
            <w:rFonts w:eastAsia="Times New Roman" w:cs="Arial"/>
            <w:lang w:eastAsia="en-US"/>
          </w:rPr>
          <w:t>5</w:t>
        </w:r>
        <w:r w:rsidR="00616885">
          <w:rPr>
            <w:rFonts w:asciiTheme="minorHAnsi" w:eastAsiaTheme="minorEastAsia" w:hAnsiTheme="minorHAnsi" w:cstheme="minorBidi"/>
            <w:b w:val="0"/>
            <w:lang w:eastAsia="en-GB" w:bidi="ar-SA"/>
          </w:rPr>
          <w:tab/>
        </w:r>
        <w:r w:rsidR="00616885" w:rsidRPr="00657503">
          <w:rPr>
            <w:rStyle w:val="Hyperlink"/>
            <w:rFonts w:eastAsia="Times New Roman" w:cs="Arial"/>
            <w:bCs/>
            <w:lang w:eastAsia="en-US"/>
          </w:rPr>
          <w:t>Off-Card Interface Descriptions</w:t>
        </w:r>
        <w:r w:rsidR="00616885">
          <w:rPr>
            <w:webHidden/>
          </w:rPr>
          <w:tab/>
        </w:r>
        <w:r w:rsidR="00616885">
          <w:rPr>
            <w:webHidden/>
          </w:rPr>
          <w:fldChar w:fldCharType="begin"/>
        </w:r>
        <w:r w:rsidR="00616885">
          <w:rPr>
            <w:webHidden/>
          </w:rPr>
          <w:instrText xml:space="preserve"> PAGEREF _Toc121503981 \h </w:instrText>
        </w:r>
        <w:r w:rsidR="00616885">
          <w:rPr>
            <w:webHidden/>
          </w:rPr>
        </w:r>
        <w:r w:rsidR="00616885">
          <w:rPr>
            <w:webHidden/>
          </w:rPr>
          <w:fldChar w:fldCharType="separate"/>
        </w:r>
        <w:r w:rsidR="001D5AD9">
          <w:rPr>
            <w:webHidden/>
          </w:rPr>
          <w:t>248</w:t>
        </w:r>
        <w:r w:rsidR="00616885">
          <w:rPr>
            <w:webHidden/>
          </w:rPr>
          <w:fldChar w:fldCharType="end"/>
        </w:r>
      </w:hyperlink>
    </w:p>
    <w:p w14:paraId="3D58AD2E" w14:textId="3CBEBBF3" w:rsidR="00616885" w:rsidRDefault="00000000">
      <w:pPr>
        <w:pStyle w:val="TOC2"/>
        <w:rPr>
          <w:rFonts w:asciiTheme="minorHAnsi" w:eastAsiaTheme="minorEastAsia" w:hAnsiTheme="minorHAnsi" w:cstheme="minorBidi"/>
          <w:szCs w:val="22"/>
          <w:lang w:bidi="ar-SA"/>
        </w:rPr>
      </w:pPr>
      <w:hyperlink w:anchor="_Toc121503982" w:history="1">
        <w:r w:rsidR="00616885" w:rsidRPr="00657503">
          <w:rPr>
            <w:rStyle w:val="Hyperlink"/>
            <w:rFonts w:cs="Arial"/>
            <w:b/>
            <w:bCs/>
            <w:iCs/>
            <w:lang w:eastAsia="en-US"/>
          </w:rPr>
          <w:t>5.1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Function </w:t>
        </w:r>
        <w:r w:rsidR="00616885" w:rsidRPr="00657503">
          <w:rPr>
            <w:rStyle w:val="Hyperlink"/>
            <w:rFonts w:cs="Arial"/>
            <w:b/>
            <w:lang w:eastAsia="en-US"/>
          </w:rPr>
          <w:t>Commonalities</w:t>
        </w:r>
        <w:r w:rsidR="00616885">
          <w:rPr>
            <w:webHidden/>
          </w:rPr>
          <w:tab/>
        </w:r>
        <w:r w:rsidR="00616885">
          <w:rPr>
            <w:webHidden/>
          </w:rPr>
          <w:fldChar w:fldCharType="begin"/>
        </w:r>
        <w:r w:rsidR="00616885">
          <w:rPr>
            <w:webHidden/>
          </w:rPr>
          <w:instrText xml:space="preserve"> PAGEREF _Toc121503982 \h </w:instrText>
        </w:r>
        <w:r w:rsidR="00616885">
          <w:rPr>
            <w:webHidden/>
          </w:rPr>
        </w:r>
        <w:r w:rsidR="00616885">
          <w:rPr>
            <w:webHidden/>
          </w:rPr>
          <w:fldChar w:fldCharType="separate"/>
        </w:r>
        <w:r w:rsidR="001D5AD9">
          <w:rPr>
            <w:webHidden/>
          </w:rPr>
          <w:t>252</w:t>
        </w:r>
        <w:r w:rsidR="00616885">
          <w:rPr>
            <w:webHidden/>
          </w:rPr>
          <w:fldChar w:fldCharType="end"/>
        </w:r>
      </w:hyperlink>
    </w:p>
    <w:p w14:paraId="0DF890F6" w14:textId="4FEDB974" w:rsidR="00616885" w:rsidRDefault="00000000">
      <w:pPr>
        <w:pStyle w:val="TOC3"/>
        <w:rPr>
          <w:rFonts w:asciiTheme="minorHAnsi" w:eastAsiaTheme="minorEastAsia" w:hAnsiTheme="minorHAnsi" w:cstheme="minorBidi"/>
          <w:szCs w:val="22"/>
          <w:lang w:bidi="ar-SA"/>
        </w:rPr>
      </w:pPr>
      <w:hyperlink w:anchor="_Toc121503983" w:history="1">
        <w:r w:rsidR="00616885" w:rsidRPr="00657503">
          <w:rPr>
            <w:rStyle w:val="Hyperlink"/>
            <w:rFonts w:cs="Arial"/>
            <w:b/>
            <w:bCs/>
            <w:iCs/>
            <w:lang w:eastAsia="en-US"/>
          </w:rPr>
          <w:t>5.1.1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Common </w:t>
        </w:r>
        <w:r w:rsidR="00616885" w:rsidRPr="00657503">
          <w:rPr>
            <w:rStyle w:val="Hyperlink"/>
            <w:rFonts w:cs="Arial"/>
            <w:b/>
            <w:lang w:eastAsia="en-US"/>
          </w:rPr>
          <w:t>Data Types</w:t>
        </w:r>
        <w:r w:rsidR="00616885">
          <w:rPr>
            <w:webHidden/>
          </w:rPr>
          <w:tab/>
        </w:r>
        <w:r w:rsidR="00616885">
          <w:rPr>
            <w:webHidden/>
          </w:rPr>
          <w:fldChar w:fldCharType="begin"/>
        </w:r>
        <w:r w:rsidR="00616885">
          <w:rPr>
            <w:webHidden/>
          </w:rPr>
          <w:instrText xml:space="preserve"> PAGEREF _Toc121503983 \h </w:instrText>
        </w:r>
        <w:r w:rsidR="00616885">
          <w:rPr>
            <w:webHidden/>
          </w:rPr>
        </w:r>
        <w:r w:rsidR="00616885">
          <w:rPr>
            <w:webHidden/>
          </w:rPr>
          <w:fldChar w:fldCharType="separate"/>
        </w:r>
        <w:r w:rsidR="001D5AD9">
          <w:rPr>
            <w:webHidden/>
          </w:rPr>
          <w:t>252</w:t>
        </w:r>
        <w:r w:rsidR="00616885">
          <w:rPr>
            <w:webHidden/>
          </w:rPr>
          <w:fldChar w:fldCharType="end"/>
        </w:r>
      </w:hyperlink>
    </w:p>
    <w:p w14:paraId="13DDD947" w14:textId="3CEE9610" w:rsidR="00616885" w:rsidRDefault="00000000">
      <w:pPr>
        <w:pStyle w:val="TOC3"/>
        <w:rPr>
          <w:rFonts w:asciiTheme="minorHAnsi" w:eastAsiaTheme="minorEastAsia" w:hAnsiTheme="minorHAnsi" w:cstheme="minorBidi"/>
          <w:szCs w:val="22"/>
          <w:lang w:bidi="ar-SA"/>
        </w:rPr>
      </w:pPr>
      <w:hyperlink w:anchor="_Toc121503984" w:history="1">
        <w:r w:rsidR="00616885" w:rsidRPr="00657503">
          <w:rPr>
            <w:rStyle w:val="Hyperlink"/>
            <w:rFonts w:cs="Arial"/>
            <w:b/>
            <w:bCs/>
            <w:iCs/>
            <w:lang w:eastAsia="en-US"/>
          </w:rPr>
          <w:t>5.1.2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Request-Response </w:t>
        </w:r>
        <w:r w:rsidR="00616885" w:rsidRPr="00657503">
          <w:rPr>
            <w:rStyle w:val="Hyperlink"/>
            <w:rFonts w:cs="Arial"/>
            <w:b/>
            <w:lang w:eastAsia="en-US"/>
          </w:rPr>
          <w:t>Function</w:t>
        </w:r>
        <w:r w:rsidR="00616885">
          <w:rPr>
            <w:webHidden/>
          </w:rPr>
          <w:tab/>
        </w:r>
        <w:r w:rsidR="00616885">
          <w:rPr>
            <w:webHidden/>
          </w:rPr>
          <w:fldChar w:fldCharType="begin"/>
        </w:r>
        <w:r w:rsidR="00616885">
          <w:rPr>
            <w:webHidden/>
          </w:rPr>
          <w:instrText xml:space="preserve"> PAGEREF _Toc121503984 \h </w:instrText>
        </w:r>
        <w:r w:rsidR="00616885">
          <w:rPr>
            <w:webHidden/>
          </w:rPr>
        </w:r>
        <w:r w:rsidR="00616885">
          <w:rPr>
            <w:webHidden/>
          </w:rPr>
          <w:fldChar w:fldCharType="separate"/>
        </w:r>
        <w:r w:rsidR="001D5AD9">
          <w:rPr>
            <w:webHidden/>
          </w:rPr>
          <w:t>267</w:t>
        </w:r>
        <w:r w:rsidR="00616885">
          <w:rPr>
            <w:webHidden/>
          </w:rPr>
          <w:fldChar w:fldCharType="end"/>
        </w:r>
      </w:hyperlink>
    </w:p>
    <w:p w14:paraId="40E53D34" w14:textId="174F9609" w:rsidR="00616885" w:rsidRDefault="00000000">
      <w:pPr>
        <w:pStyle w:val="TOC3"/>
        <w:rPr>
          <w:rFonts w:asciiTheme="minorHAnsi" w:eastAsiaTheme="minorEastAsia" w:hAnsiTheme="minorHAnsi" w:cstheme="minorBidi"/>
          <w:szCs w:val="22"/>
          <w:lang w:bidi="ar-SA"/>
        </w:rPr>
      </w:pPr>
      <w:hyperlink w:anchor="_Toc121503985" w:history="1">
        <w:r w:rsidR="00616885" w:rsidRPr="00657503">
          <w:rPr>
            <w:rStyle w:val="Hyperlink"/>
            <w:rFonts w:cs="Arial"/>
            <w:b/>
            <w:bCs/>
            <w:iCs/>
            <w:lang w:eastAsia="en-US"/>
          </w:rPr>
          <w:t>5.1.3</w:t>
        </w:r>
        <w:r w:rsidR="00616885">
          <w:rPr>
            <w:rFonts w:asciiTheme="minorHAnsi" w:eastAsiaTheme="minorEastAsia" w:hAnsiTheme="minorHAnsi" w:cstheme="minorBidi"/>
            <w:szCs w:val="22"/>
            <w:lang w:bidi="ar-SA"/>
          </w:rPr>
          <w:tab/>
        </w:r>
        <w:r w:rsidR="00616885" w:rsidRPr="00657503">
          <w:rPr>
            <w:rStyle w:val="Hyperlink"/>
            <w:rFonts w:cs="Arial"/>
            <w:b/>
            <w:lang w:eastAsia="en-US"/>
          </w:rPr>
          <w:t>Notification Handler function</w:t>
        </w:r>
        <w:r w:rsidR="00616885">
          <w:rPr>
            <w:webHidden/>
          </w:rPr>
          <w:tab/>
        </w:r>
        <w:r w:rsidR="00616885">
          <w:rPr>
            <w:webHidden/>
          </w:rPr>
          <w:fldChar w:fldCharType="begin"/>
        </w:r>
        <w:r w:rsidR="00616885">
          <w:rPr>
            <w:webHidden/>
          </w:rPr>
          <w:instrText xml:space="preserve"> PAGEREF _Toc121503985 \h </w:instrText>
        </w:r>
        <w:r w:rsidR="00616885">
          <w:rPr>
            <w:webHidden/>
          </w:rPr>
        </w:r>
        <w:r w:rsidR="00616885">
          <w:rPr>
            <w:webHidden/>
          </w:rPr>
          <w:fldChar w:fldCharType="separate"/>
        </w:r>
        <w:r w:rsidR="001D5AD9">
          <w:rPr>
            <w:webHidden/>
          </w:rPr>
          <w:t>269</w:t>
        </w:r>
        <w:r w:rsidR="00616885">
          <w:rPr>
            <w:webHidden/>
          </w:rPr>
          <w:fldChar w:fldCharType="end"/>
        </w:r>
      </w:hyperlink>
    </w:p>
    <w:p w14:paraId="3569C783" w14:textId="7F49476A" w:rsidR="00616885" w:rsidRDefault="00000000">
      <w:pPr>
        <w:pStyle w:val="TOC3"/>
        <w:rPr>
          <w:rFonts w:asciiTheme="minorHAnsi" w:eastAsiaTheme="minorEastAsia" w:hAnsiTheme="minorHAnsi" w:cstheme="minorBidi"/>
          <w:szCs w:val="22"/>
          <w:lang w:bidi="ar-SA"/>
        </w:rPr>
      </w:pPr>
      <w:hyperlink w:anchor="_Toc121503986" w:history="1">
        <w:r w:rsidR="00616885" w:rsidRPr="00657503">
          <w:rPr>
            <w:rStyle w:val="Hyperlink"/>
            <w:rFonts w:cs="Arial"/>
            <w:b/>
            <w:bCs/>
            <w:iCs/>
            <w:lang w:eastAsia="en-US"/>
          </w:rPr>
          <w:t>5.1.4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Functions </w:t>
        </w:r>
        <w:r w:rsidR="00616885" w:rsidRPr="00657503">
          <w:rPr>
            <w:rStyle w:val="Hyperlink"/>
            <w:rFonts w:cs="Arial"/>
            <w:b/>
            <w:lang w:eastAsia="en-US"/>
          </w:rPr>
          <w:t>Input Header</w:t>
        </w:r>
        <w:r w:rsidR="00616885">
          <w:rPr>
            <w:webHidden/>
          </w:rPr>
          <w:tab/>
        </w:r>
        <w:r w:rsidR="00616885">
          <w:rPr>
            <w:webHidden/>
          </w:rPr>
          <w:fldChar w:fldCharType="begin"/>
        </w:r>
        <w:r w:rsidR="00616885">
          <w:rPr>
            <w:webHidden/>
          </w:rPr>
          <w:instrText xml:space="preserve"> PAGEREF _Toc121503986 \h </w:instrText>
        </w:r>
        <w:r w:rsidR="00616885">
          <w:rPr>
            <w:webHidden/>
          </w:rPr>
        </w:r>
        <w:r w:rsidR="00616885">
          <w:rPr>
            <w:webHidden/>
          </w:rPr>
          <w:fldChar w:fldCharType="separate"/>
        </w:r>
        <w:r w:rsidR="001D5AD9">
          <w:rPr>
            <w:webHidden/>
          </w:rPr>
          <w:t>270</w:t>
        </w:r>
        <w:r w:rsidR="00616885">
          <w:rPr>
            <w:webHidden/>
          </w:rPr>
          <w:fldChar w:fldCharType="end"/>
        </w:r>
      </w:hyperlink>
    </w:p>
    <w:p w14:paraId="3617BB57" w14:textId="42FD5BA8" w:rsidR="00616885" w:rsidRDefault="00000000">
      <w:pPr>
        <w:pStyle w:val="TOC3"/>
        <w:rPr>
          <w:rFonts w:asciiTheme="minorHAnsi" w:eastAsiaTheme="minorEastAsia" w:hAnsiTheme="minorHAnsi" w:cstheme="minorBidi"/>
          <w:szCs w:val="22"/>
          <w:lang w:bidi="ar-SA"/>
        </w:rPr>
      </w:pPr>
      <w:hyperlink w:anchor="_Toc121503987" w:history="1">
        <w:r w:rsidR="00616885" w:rsidRPr="00657503">
          <w:rPr>
            <w:rStyle w:val="Hyperlink"/>
            <w:rFonts w:cs="Arial"/>
            <w:b/>
            <w:bCs/>
            <w:iCs/>
            <w:lang w:eastAsia="en-US"/>
          </w:rPr>
          <w:t>5.1.5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Functions </w:t>
        </w:r>
        <w:r w:rsidR="00616885" w:rsidRPr="00657503">
          <w:rPr>
            <w:rStyle w:val="Hyperlink"/>
            <w:rFonts w:cs="Arial"/>
            <w:b/>
            <w:lang w:eastAsia="en-US"/>
          </w:rPr>
          <w:t>Output Header</w:t>
        </w:r>
        <w:r w:rsidR="00616885">
          <w:rPr>
            <w:webHidden/>
          </w:rPr>
          <w:tab/>
        </w:r>
        <w:r w:rsidR="00616885">
          <w:rPr>
            <w:webHidden/>
          </w:rPr>
          <w:fldChar w:fldCharType="begin"/>
        </w:r>
        <w:r w:rsidR="00616885">
          <w:rPr>
            <w:webHidden/>
          </w:rPr>
          <w:instrText xml:space="preserve"> PAGEREF _Toc121503987 \h </w:instrText>
        </w:r>
        <w:r w:rsidR="00616885">
          <w:rPr>
            <w:webHidden/>
          </w:rPr>
        </w:r>
        <w:r w:rsidR="00616885">
          <w:rPr>
            <w:webHidden/>
          </w:rPr>
          <w:fldChar w:fldCharType="separate"/>
        </w:r>
        <w:r w:rsidR="001D5AD9">
          <w:rPr>
            <w:webHidden/>
          </w:rPr>
          <w:t>271</w:t>
        </w:r>
        <w:r w:rsidR="00616885">
          <w:rPr>
            <w:webHidden/>
          </w:rPr>
          <w:fldChar w:fldCharType="end"/>
        </w:r>
      </w:hyperlink>
    </w:p>
    <w:p w14:paraId="477ACEC6" w14:textId="246B9B4D" w:rsidR="00616885" w:rsidRDefault="00000000">
      <w:pPr>
        <w:pStyle w:val="TOC3"/>
        <w:rPr>
          <w:rFonts w:asciiTheme="minorHAnsi" w:eastAsiaTheme="minorEastAsia" w:hAnsiTheme="minorHAnsi" w:cstheme="minorBidi"/>
          <w:szCs w:val="22"/>
          <w:lang w:bidi="ar-SA"/>
        </w:rPr>
      </w:pPr>
      <w:hyperlink w:anchor="_Toc121503988" w:history="1">
        <w:r w:rsidR="00616885" w:rsidRPr="00657503">
          <w:rPr>
            <w:rStyle w:val="Hyperlink"/>
            <w:rFonts w:cs="Arial"/>
            <w:b/>
            <w:bCs/>
            <w:iCs/>
            <w:lang w:eastAsia="en-US"/>
          </w:rPr>
          <w:t>5.1.6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Status </w:t>
        </w:r>
        <w:r w:rsidR="00616885" w:rsidRPr="00657503">
          <w:rPr>
            <w:rStyle w:val="Hyperlink"/>
            <w:rFonts w:cs="Arial"/>
            <w:b/>
            <w:lang w:eastAsia="en-US"/>
          </w:rPr>
          <w:t>Code</w:t>
        </w:r>
        <w:r w:rsidR="00616885">
          <w:rPr>
            <w:webHidden/>
          </w:rPr>
          <w:tab/>
        </w:r>
        <w:r w:rsidR="00616885">
          <w:rPr>
            <w:webHidden/>
          </w:rPr>
          <w:fldChar w:fldCharType="begin"/>
        </w:r>
        <w:r w:rsidR="00616885">
          <w:rPr>
            <w:webHidden/>
          </w:rPr>
          <w:instrText xml:space="preserve"> PAGEREF _Toc121503988 \h </w:instrText>
        </w:r>
        <w:r w:rsidR="00616885">
          <w:rPr>
            <w:webHidden/>
          </w:rPr>
        </w:r>
        <w:r w:rsidR="00616885">
          <w:rPr>
            <w:webHidden/>
          </w:rPr>
          <w:fldChar w:fldCharType="separate"/>
        </w:r>
        <w:r w:rsidR="001D5AD9">
          <w:rPr>
            <w:webHidden/>
          </w:rPr>
          <w:t>273</w:t>
        </w:r>
        <w:r w:rsidR="00616885">
          <w:rPr>
            <w:webHidden/>
          </w:rPr>
          <w:fldChar w:fldCharType="end"/>
        </w:r>
      </w:hyperlink>
    </w:p>
    <w:p w14:paraId="4D5B576C" w14:textId="3E472286" w:rsidR="00616885" w:rsidRDefault="00000000">
      <w:pPr>
        <w:pStyle w:val="TOC2"/>
        <w:rPr>
          <w:rFonts w:asciiTheme="minorHAnsi" w:eastAsiaTheme="minorEastAsia" w:hAnsiTheme="minorHAnsi" w:cstheme="minorBidi"/>
          <w:szCs w:val="22"/>
          <w:lang w:bidi="ar-SA"/>
        </w:rPr>
      </w:pPr>
      <w:hyperlink w:anchor="_Toc121503989" w:history="1">
        <w:r w:rsidR="00616885" w:rsidRPr="00657503">
          <w:rPr>
            <w:rStyle w:val="Hyperlink"/>
            <w:rFonts w:cs="Arial"/>
            <w:b/>
            <w:bCs/>
            <w:iCs/>
            <w:lang w:val="de-DE" w:eastAsia="en-US"/>
          </w:rPr>
          <w:t>5.2</w:t>
        </w:r>
        <w:r w:rsidR="00616885">
          <w:rPr>
            <w:rFonts w:asciiTheme="minorHAnsi" w:eastAsiaTheme="minorEastAsia" w:hAnsiTheme="minorHAnsi" w:cstheme="minorBidi"/>
            <w:szCs w:val="22"/>
            <w:lang w:bidi="ar-SA"/>
          </w:rPr>
          <w:tab/>
        </w:r>
        <w:r w:rsidR="00616885" w:rsidRPr="00657503">
          <w:rPr>
            <w:rStyle w:val="Hyperlink"/>
            <w:rFonts w:cs="Arial"/>
            <w:b/>
            <w:bCs/>
            <w:iCs/>
            <w:lang w:val="de-DE" w:eastAsia="en-US"/>
          </w:rPr>
          <w:t>ES1 (EUM – SM-SR) Interface Description</w:t>
        </w:r>
        <w:r w:rsidR="00616885">
          <w:rPr>
            <w:webHidden/>
          </w:rPr>
          <w:tab/>
        </w:r>
        <w:r w:rsidR="00616885">
          <w:rPr>
            <w:webHidden/>
          </w:rPr>
          <w:fldChar w:fldCharType="begin"/>
        </w:r>
        <w:r w:rsidR="00616885">
          <w:rPr>
            <w:webHidden/>
          </w:rPr>
          <w:instrText xml:space="preserve"> PAGEREF _Toc121503989 \h </w:instrText>
        </w:r>
        <w:r w:rsidR="00616885">
          <w:rPr>
            <w:webHidden/>
          </w:rPr>
        </w:r>
        <w:r w:rsidR="00616885">
          <w:rPr>
            <w:webHidden/>
          </w:rPr>
          <w:fldChar w:fldCharType="separate"/>
        </w:r>
        <w:r w:rsidR="001D5AD9">
          <w:rPr>
            <w:webHidden/>
          </w:rPr>
          <w:t>277</w:t>
        </w:r>
        <w:r w:rsidR="00616885">
          <w:rPr>
            <w:webHidden/>
          </w:rPr>
          <w:fldChar w:fldCharType="end"/>
        </w:r>
      </w:hyperlink>
    </w:p>
    <w:p w14:paraId="4435ADBD" w14:textId="1F621EE2" w:rsidR="00616885" w:rsidRDefault="00000000">
      <w:pPr>
        <w:pStyle w:val="TOC3"/>
        <w:rPr>
          <w:rFonts w:asciiTheme="minorHAnsi" w:eastAsiaTheme="minorEastAsia" w:hAnsiTheme="minorHAnsi" w:cstheme="minorBidi"/>
          <w:szCs w:val="22"/>
          <w:lang w:bidi="ar-SA"/>
        </w:rPr>
      </w:pPr>
      <w:hyperlink w:anchor="_Toc121503990" w:history="1">
        <w:r w:rsidR="00616885" w:rsidRPr="00657503">
          <w:rPr>
            <w:rStyle w:val="Hyperlink"/>
            <w:rFonts w:cs="Arial"/>
            <w:b/>
            <w:bCs/>
            <w:iCs/>
            <w:lang w:eastAsia="en-US"/>
          </w:rPr>
          <w:t>5.2.1</w:t>
        </w:r>
        <w:r w:rsidR="00616885">
          <w:rPr>
            <w:rFonts w:asciiTheme="minorHAnsi" w:eastAsiaTheme="minorEastAsia" w:hAnsiTheme="minorHAnsi" w:cstheme="minorBidi"/>
            <w:szCs w:val="22"/>
            <w:lang w:bidi="ar-SA"/>
          </w:rPr>
          <w:tab/>
        </w:r>
        <w:r w:rsidR="00616885" w:rsidRPr="00657503">
          <w:rPr>
            <w:rStyle w:val="Hyperlink"/>
            <w:rFonts w:cs="Arial"/>
            <w:b/>
            <w:lang w:eastAsia="en-US"/>
          </w:rPr>
          <w:t>Register EIS</w:t>
        </w:r>
        <w:r w:rsidR="00616885">
          <w:rPr>
            <w:webHidden/>
          </w:rPr>
          <w:tab/>
        </w:r>
        <w:r w:rsidR="00616885">
          <w:rPr>
            <w:webHidden/>
          </w:rPr>
          <w:fldChar w:fldCharType="begin"/>
        </w:r>
        <w:r w:rsidR="00616885">
          <w:rPr>
            <w:webHidden/>
          </w:rPr>
          <w:instrText xml:space="preserve"> PAGEREF _Toc121503990 \h </w:instrText>
        </w:r>
        <w:r w:rsidR="00616885">
          <w:rPr>
            <w:webHidden/>
          </w:rPr>
        </w:r>
        <w:r w:rsidR="00616885">
          <w:rPr>
            <w:webHidden/>
          </w:rPr>
          <w:fldChar w:fldCharType="separate"/>
        </w:r>
        <w:r w:rsidR="001D5AD9">
          <w:rPr>
            <w:webHidden/>
          </w:rPr>
          <w:t>277</w:t>
        </w:r>
        <w:r w:rsidR="00616885">
          <w:rPr>
            <w:webHidden/>
          </w:rPr>
          <w:fldChar w:fldCharType="end"/>
        </w:r>
      </w:hyperlink>
    </w:p>
    <w:p w14:paraId="5A570DE4" w14:textId="5AC61A4F" w:rsidR="00616885" w:rsidRDefault="00000000">
      <w:pPr>
        <w:pStyle w:val="TOC3"/>
        <w:rPr>
          <w:rFonts w:asciiTheme="minorHAnsi" w:eastAsiaTheme="minorEastAsia" w:hAnsiTheme="minorHAnsi" w:cstheme="minorBidi"/>
          <w:szCs w:val="22"/>
          <w:lang w:bidi="ar-SA"/>
        </w:rPr>
      </w:pPr>
      <w:hyperlink w:anchor="_Toc121503991" w:history="1">
        <w:r w:rsidR="00616885" w:rsidRPr="00657503">
          <w:rPr>
            <w:rStyle w:val="Hyperlink"/>
            <w:rFonts w:cs="Arial"/>
            <w:b/>
            <w:bCs/>
            <w:iCs/>
            <w:lang w:eastAsia="en-US"/>
          </w:rPr>
          <w:t>5.2.2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Update EIS AdditionalProperties</w:t>
        </w:r>
        <w:r w:rsidR="00616885">
          <w:rPr>
            <w:webHidden/>
          </w:rPr>
          <w:tab/>
        </w:r>
        <w:r w:rsidR="00616885">
          <w:rPr>
            <w:webHidden/>
          </w:rPr>
          <w:fldChar w:fldCharType="begin"/>
        </w:r>
        <w:r w:rsidR="00616885">
          <w:rPr>
            <w:webHidden/>
          </w:rPr>
          <w:instrText xml:space="preserve"> PAGEREF _Toc121503991 \h </w:instrText>
        </w:r>
        <w:r w:rsidR="00616885">
          <w:rPr>
            <w:webHidden/>
          </w:rPr>
        </w:r>
        <w:r w:rsidR="00616885">
          <w:rPr>
            <w:webHidden/>
          </w:rPr>
          <w:fldChar w:fldCharType="separate"/>
        </w:r>
        <w:r w:rsidR="001D5AD9">
          <w:rPr>
            <w:webHidden/>
          </w:rPr>
          <w:t>278</w:t>
        </w:r>
        <w:r w:rsidR="00616885">
          <w:rPr>
            <w:webHidden/>
          </w:rPr>
          <w:fldChar w:fldCharType="end"/>
        </w:r>
      </w:hyperlink>
    </w:p>
    <w:p w14:paraId="58BCC2B0" w14:textId="094681B2" w:rsidR="00616885" w:rsidRDefault="00000000">
      <w:pPr>
        <w:pStyle w:val="TOC2"/>
        <w:rPr>
          <w:rFonts w:asciiTheme="minorHAnsi" w:eastAsiaTheme="minorEastAsia" w:hAnsiTheme="minorHAnsi" w:cstheme="minorBidi"/>
          <w:szCs w:val="22"/>
          <w:lang w:bidi="ar-SA"/>
        </w:rPr>
      </w:pPr>
      <w:hyperlink w:anchor="_Toc121503992" w:history="1">
        <w:r w:rsidR="00616885" w:rsidRPr="00657503">
          <w:rPr>
            <w:rStyle w:val="Hyperlink"/>
            <w:rFonts w:cs="Arial"/>
            <w:b/>
            <w:bCs/>
            <w:iCs/>
            <w:lang w:eastAsia="en-US"/>
          </w:rPr>
          <w:t>5.3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ES2 (Operator – SM-DP) Interface Description</w:t>
        </w:r>
        <w:r w:rsidR="00616885">
          <w:rPr>
            <w:webHidden/>
          </w:rPr>
          <w:tab/>
        </w:r>
        <w:r w:rsidR="00616885">
          <w:rPr>
            <w:webHidden/>
          </w:rPr>
          <w:fldChar w:fldCharType="begin"/>
        </w:r>
        <w:r w:rsidR="00616885">
          <w:rPr>
            <w:webHidden/>
          </w:rPr>
          <w:instrText xml:space="preserve"> PAGEREF _Toc121503992 \h </w:instrText>
        </w:r>
        <w:r w:rsidR="00616885">
          <w:rPr>
            <w:webHidden/>
          </w:rPr>
        </w:r>
        <w:r w:rsidR="00616885">
          <w:rPr>
            <w:webHidden/>
          </w:rPr>
          <w:fldChar w:fldCharType="separate"/>
        </w:r>
        <w:r w:rsidR="001D5AD9">
          <w:rPr>
            <w:webHidden/>
          </w:rPr>
          <w:t>279</w:t>
        </w:r>
        <w:r w:rsidR="00616885">
          <w:rPr>
            <w:webHidden/>
          </w:rPr>
          <w:fldChar w:fldCharType="end"/>
        </w:r>
      </w:hyperlink>
    </w:p>
    <w:p w14:paraId="5C85B220" w14:textId="68577BCC" w:rsidR="00616885" w:rsidRDefault="00000000">
      <w:pPr>
        <w:pStyle w:val="TOC3"/>
        <w:rPr>
          <w:rFonts w:asciiTheme="minorHAnsi" w:eastAsiaTheme="minorEastAsia" w:hAnsiTheme="minorHAnsi" w:cstheme="minorBidi"/>
          <w:szCs w:val="22"/>
          <w:lang w:bidi="ar-SA"/>
        </w:rPr>
      </w:pPr>
      <w:hyperlink w:anchor="_Toc121503993" w:history="1">
        <w:r w:rsidR="00616885" w:rsidRPr="00657503">
          <w:rPr>
            <w:rStyle w:val="Hyperlink"/>
            <w:rFonts w:cs="Arial"/>
            <w:b/>
            <w:bCs/>
            <w:iCs/>
            <w:lang w:eastAsia="en-US"/>
          </w:rPr>
          <w:t>5.3.1</w:t>
        </w:r>
        <w:r w:rsidR="00616885">
          <w:rPr>
            <w:rFonts w:asciiTheme="minorHAnsi" w:eastAsiaTheme="minorEastAsia" w:hAnsiTheme="minorHAnsi" w:cstheme="minorBidi"/>
            <w:szCs w:val="22"/>
            <w:lang w:bidi="ar-SA"/>
          </w:rPr>
          <w:tab/>
        </w:r>
        <w:r w:rsidR="00616885" w:rsidRPr="00657503">
          <w:rPr>
            <w:rStyle w:val="Hyperlink"/>
            <w:rFonts w:cs="Arial"/>
            <w:b/>
            <w:lang w:eastAsia="en-US"/>
          </w:rPr>
          <w:t>Getting eUICC Information</w:t>
        </w:r>
        <w:r w:rsidR="00616885">
          <w:rPr>
            <w:webHidden/>
          </w:rPr>
          <w:tab/>
        </w:r>
        <w:r w:rsidR="00616885">
          <w:rPr>
            <w:webHidden/>
          </w:rPr>
          <w:fldChar w:fldCharType="begin"/>
        </w:r>
        <w:r w:rsidR="00616885">
          <w:rPr>
            <w:webHidden/>
          </w:rPr>
          <w:instrText xml:space="preserve"> PAGEREF _Toc121503993 \h </w:instrText>
        </w:r>
        <w:r w:rsidR="00616885">
          <w:rPr>
            <w:webHidden/>
          </w:rPr>
        </w:r>
        <w:r w:rsidR="00616885">
          <w:rPr>
            <w:webHidden/>
          </w:rPr>
          <w:fldChar w:fldCharType="separate"/>
        </w:r>
        <w:r w:rsidR="001D5AD9">
          <w:rPr>
            <w:webHidden/>
          </w:rPr>
          <w:t>279</w:t>
        </w:r>
        <w:r w:rsidR="00616885">
          <w:rPr>
            <w:webHidden/>
          </w:rPr>
          <w:fldChar w:fldCharType="end"/>
        </w:r>
      </w:hyperlink>
    </w:p>
    <w:p w14:paraId="100F6DD0" w14:textId="340FA5AC" w:rsidR="00616885" w:rsidRDefault="00000000">
      <w:pPr>
        <w:pStyle w:val="TOC3"/>
        <w:rPr>
          <w:rFonts w:asciiTheme="minorHAnsi" w:eastAsiaTheme="minorEastAsia" w:hAnsiTheme="minorHAnsi" w:cstheme="minorBidi"/>
          <w:szCs w:val="22"/>
          <w:lang w:bidi="ar-SA"/>
        </w:rPr>
      </w:pPr>
      <w:hyperlink w:anchor="_Toc121503994" w:history="1">
        <w:r w:rsidR="00616885" w:rsidRPr="00657503">
          <w:rPr>
            <w:rStyle w:val="Hyperlink"/>
            <w:rFonts w:cs="Arial"/>
            <w:b/>
            <w:bCs/>
            <w:iCs/>
            <w:lang w:eastAsia="en-US"/>
          </w:rPr>
          <w:t>5.3.2</w:t>
        </w:r>
        <w:r w:rsidR="00616885">
          <w:rPr>
            <w:rFonts w:asciiTheme="minorHAnsi" w:eastAsiaTheme="minorEastAsia" w:hAnsiTheme="minorHAnsi" w:cstheme="minorBidi"/>
            <w:szCs w:val="22"/>
            <w:lang w:bidi="ar-SA"/>
          </w:rPr>
          <w:tab/>
        </w:r>
        <w:r w:rsidR="00616885" w:rsidRPr="00657503">
          <w:rPr>
            <w:rStyle w:val="Hyperlink"/>
            <w:rFonts w:cs="Arial"/>
            <w:b/>
            <w:lang w:eastAsia="en-US"/>
          </w:rPr>
          <w:t>Download a Profile</w:t>
        </w:r>
        <w:r w:rsidR="00616885">
          <w:rPr>
            <w:webHidden/>
          </w:rPr>
          <w:tab/>
        </w:r>
        <w:r w:rsidR="00616885">
          <w:rPr>
            <w:webHidden/>
          </w:rPr>
          <w:fldChar w:fldCharType="begin"/>
        </w:r>
        <w:r w:rsidR="00616885">
          <w:rPr>
            <w:webHidden/>
          </w:rPr>
          <w:instrText xml:space="preserve"> PAGEREF _Toc121503994 \h </w:instrText>
        </w:r>
        <w:r w:rsidR="00616885">
          <w:rPr>
            <w:webHidden/>
          </w:rPr>
        </w:r>
        <w:r w:rsidR="00616885">
          <w:rPr>
            <w:webHidden/>
          </w:rPr>
          <w:fldChar w:fldCharType="separate"/>
        </w:r>
        <w:r w:rsidR="001D5AD9">
          <w:rPr>
            <w:webHidden/>
          </w:rPr>
          <w:t>280</w:t>
        </w:r>
        <w:r w:rsidR="00616885">
          <w:rPr>
            <w:webHidden/>
          </w:rPr>
          <w:fldChar w:fldCharType="end"/>
        </w:r>
      </w:hyperlink>
    </w:p>
    <w:p w14:paraId="3AF48587" w14:textId="3CA76711" w:rsidR="00616885" w:rsidRDefault="00000000">
      <w:pPr>
        <w:pStyle w:val="TOC3"/>
        <w:rPr>
          <w:rFonts w:asciiTheme="minorHAnsi" w:eastAsiaTheme="minorEastAsia" w:hAnsiTheme="minorHAnsi" w:cstheme="minorBidi"/>
          <w:szCs w:val="22"/>
          <w:lang w:bidi="ar-SA"/>
        </w:rPr>
      </w:pPr>
      <w:hyperlink w:anchor="_Toc121503995" w:history="1">
        <w:r w:rsidR="00616885" w:rsidRPr="00657503">
          <w:rPr>
            <w:rStyle w:val="Hyperlink"/>
            <w:rFonts w:cs="Arial"/>
            <w:b/>
            <w:bCs/>
            <w:iCs/>
            <w:lang w:eastAsia="en-US"/>
          </w:rPr>
          <w:t>5.3.3</w:t>
        </w:r>
        <w:r w:rsidR="00616885">
          <w:rPr>
            <w:rFonts w:asciiTheme="minorHAnsi" w:eastAsiaTheme="minorEastAsia" w:hAnsiTheme="minorHAnsi" w:cstheme="minorBidi"/>
            <w:szCs w:val="22"/>
            <w:lang w:bidi="ar-SA"/>
          </w:rPr>
          <w:tab/>
        </w:r>
        <w:r w:rsidR="00616885" w:rsidRPr="00657503">
          <w:rPr>
            <w:rStyle w:val="Hyperlink"/>
            <w:rFonts w:cs="Arial"/>
            <w:b/>
            <w:lang w:eastAsia="en-US"/>
          </w:rPr>
          <w:t>Updating the Policy Rules of a Profile</w:t>
        </w:r>
        <w:r w:rsidR="00616885">
          <w:rPr>
            <w:webHidden/>
          </w:rPr>
          <w:tab/>
        </w:r>
        <w:r w:rsidR="00616885">
          <w:rPr>
            <w:webHidden/>
          </w:rPr>
          <w:fldChar w:fldCharType="begin"/>
        </w:r>
        <w:r w:rsidR="00616885">
          <w:rPr>
            <w:webHidden/>
          </w:rPr>
          <w:instrText xml:space="preserve"> PAGEREF _Toc121503995 \h </w:instrText>
        </w:r>
        <w:r w:rsidR="00616885">
          <w:rPr>
            <w:webHidden/>
          </w:rPr>
        </w:r>
        <w:r w:rsidR="00616885">
          <w:rPr>
            <w:webHidden/>
          </w:rPr>
          <w:fldChar w:fldCharType="separate"/>
        </w:r>
        <w:r w:rsidR="001D5AD9">
          <w:rPr>
            <w:webHidden/>
          </w:rPr>
          <w:t>282</w:t>
        </w:r>
        <w:r w:rsidR="00616885">
          <w:rPr>
            <w:webHidden/>
          </w:rPr>
          <w:fldChar w:fldCharType="end"/>
        </w:r>
      </w:hyperlink>
    </w:p>
    <w:p w14:paraId="51B35206" w14:textId="45A3B663" w:rsidR="00616885" w:rsidRDefault="00000000">
      <w:pPr>
        <w:pStyle w:val="TOC3"/>
        <w:rPr>
          <w:rFonts w:asciiTheme="minorHAnsi" w:eastAsiaTheme="minorEastAsia" w:hAnsiTheme="minorHAnsi" w:cstheme="minorBidi"/>
          <w:szCs w:val="22"/>
          <w:lang w:bidi="ar-SA"/>
        </w:rPr>
      </w:pPr>
      <w:hyperlink w:anchor="_Toc121503996" w:history="1">
        <w:r w:rsidR="00616885" w:rsidRPr="00657503">
          <w:rPr>
            <w:rStyle w:val="Hyperlink"/>
            <w:rFonts w:cs="Arial"/>
            <w:b/>
            <w:bCs/>
            <w:iCs/>
            <w:lang w:eastAsia="en-US"/>
          </w:rPr>
          <w:t>5.3.4</w:t>
        </w:r>
        <w:r w:rsidR="00616885">
          <w:rPr>
            <w:rFonts w:asciiTheme="minorHAnsi" w:eastAsiaTheme="minorEastAsia" w:hAnsiTheme="minorHAnsi" w:cstheme="minorBidi"/>
            <w:szCs w:val="22"/>
            <w:lang w:bidi="ar-SA"/>
          </w:rPr>
          <w:tab/>
        </w:r>
        <w:r w:rsidR="00616885" w:rsidRPr="00657503">
          <w:rPr>
            <w:rStyle w:val="Hyperlink"/>
            <w:rFonts w:cs="Arial"/>
            <w:b/>
            <w:lang w:eastAsia="en-US"/>
          </w:rPr>
          <w:t>Updating eUICC Information</w:t>
        </w:r>
        <w:r w:rsidR="00616885">
          <w:rPr>
            <w:webHidden/>
          </w:rPr>
          <w:tab/>
        </w:r>
        <w:r w:rsidR="00616885">
          <w:rPr>
            <w:webHidden/>
          </w:rPr>
          <w:fldChar w:fldCharType="begin"/>
        </w:r>
        <w:r w:rsidR="00616885">
          <w:rPr>
            <w:webHidden/>
          </w:rPr>
          <w:instrText xml:space="preserve"> PAGEREF _Toc121503996 \h </w:instrText>
        </w:r>
        <w:r w:rsidR="00616885">
          <w:rPr>
            <w:webHidden/>
          </w:rPr>
        </w:r>
        <w:r w:rsidR="00616885">
          <w:rPr>
            <w:webHidden/>
          </w:rPr>
          <w:fldChar w:fldCharType="separate"/>
        </w:r>
        <w:r w:rsidR="001D5AD9">
          <w:rPr>
            <w:webHidden/>
          </w:rPr>
          <w:t>283</w:t>
        </w:r>
        <w:r w:rsidR="00616885">
          <w:rPr>
            <w:webHidden/>
          </w:rPr>
          <w:fldChar w:fldCharType="end"/>
        </w:r>
      </w:hyperlink>
    </w:p>
    <w:p w14:paraId="675EA30B" w14:textId="65D4213B" w:rsidR="00616885" w:rsidRDefault="00000000">
      <w:pPr>
        <w:pStyle w:val="TOC3"/>
        <w:rPr>
          <w:rFonts w:asciiTheme="minorHAnsi" w:eastAsiaTheme="minorEastAsia" w:hAnsiTheme="minorHAnsi" w:cstheme="minorBidi"/>
          <w:szCs w:val="22"/>
          <w:lang w:bidi="ar-SA"/>
        </w:rPr>
      </w:pPr>
      <w:hyperlink w:anchor="_Toc121503997" w:history="1">
        <w:r w:rsidR="00616885" w:rsidRPr="00657503">
          <w:rPr>
            <w:rStyle w:val="Hyperlink"/>
            <w:rFonts w:cs="Arial"/>
            <w:b/>
            <w:bCs/>
            <w:iCs/>
            <w:lang w:eastAsia="en-US"/>
          </w:rPr>
          <w:t>5.3.5</w:t>
        </w:r>
        <w:r w:rsidR="00616885">
          <w:rPr>
            <w:rFonts w:asciiTheme="minorHAnsi" w:eastAsiaTheme="minorEastAsia" w:hAnsiTheme="minorHAnsi" w:cstheme="minorBidi"/>
            <w:szCs w:val="22"/>
            <w:lang w:bidi="ar-SA"/>
          </w:rPr>
          <w:tab/>
        </w:r>
        <w:r w:rsidR="00616885" w:rsidRPr="00657503">
          <w:rPr>
            <w:rStyle w:val="Hyperlink"/>
            <w:rFonts w:cs="Arial"/>
            <w:b/>
            <w:lang w:eastAsia="en-US"/>
          </w:rPr>
          <w:t>Profile Enabling</w:t>
        </w:r>
        <w:r w:rsidR="00616885">
          <w:rPr>
            <w:webHidden/>
          </w:rPr>
          <w:tab/>
        </w:r>
        <w:r w:rsidR="00616885">
          <w:rPr>
            <w:webHidden/>
          </w:rPr>
          <w:fldChar w:fldCharType="begin"/>
        </w:r>
        <w:r w:rsidR="00616885">
          <w:rPr>
            <w:webHidden/>
          </w:rPr>
          <w:instrText xml:space="preserve"> PAGEREF _Toc121503997 \h </w:instrText>
        </w:r>
        <w:r w:rsidR="00616885">
          <w:rPr>
            <w:webHidden/>
          </w:rPr>
        </w:r>
        <w:r w:rsidR="00616885">
          <w:rPr>
            <w:webHidden/>
          </w:rPr>
          <w:fldChar w:fldCharType="separate"/>
        </w:r>
        <w:r w:rsidR="001D5AD9">
          <w:rPr>
            <w:webHidden/>
          </w:rPr>
          <w:t>284</w:t>
        </w:r>
        <w:r w:rsidR="00616885">
          <w:rPr>
            <w:webHidden/>
          </w:rPr>
          <w:fldChar w:fldCharType="end"/>
        </w:r>
      </w:hyperlink>
    </w:p>
    <w:p w14:paraId="34A1C84B" w14:textId="59D03D99" w:rsidR="00616885" w:rsidRDefault="00000000">
      <w:pPr>
        <w:pStyle w:val="TOC3"/>
        <w:rPr>
          <w:rFonts w:asciiTheme="minorHAnsi" w:eastAsiaTheme="minorEastAsia" w:hAnsiTheme="minorHAnsi" w:cstheme="minorBidi"/>
          <w:szCs w:val="22"/>
          <w:lang w:bidi="ar-SA"/>
        </w:rPr>
      </w:pPr>
      <w:hyperlink w:anchor="_Toc121503998" w:history="1">
        <w:r w:rsidR="00616885" w:rsidRPr="00657503">
          <w:rPr>
            <w:rStyle w:val="Hyperlink"/>
            <w:rFonts w:cs="Arial"/>
            <w:b/>
            <w:bCs/>
            <w:iCs/>
            <w:lang w:eastAsia="en-US"/>
          </w:rPr>
          <w:t>5.3.6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Profile Disabling</w:t>
        </w:r>
        <w:r w:rsidR="00616885">
          <w:rPr>
            <w:webHidden/>
          </w:rPr>
          <w:tab/>
        </w:r>
        <w:r w:rsidR="00616885">
          <w:rPr>
            <w:webHidden/>
          </w:rPr>
          <w:fldChar w:fldCharType="begin"/>
        </w:r>
        <w:r w:rsidR="00616885">
          <w:rPr>
            <w:webHidden/>
          </w:rPr>
          <w:instrText xml:space="preserve"> PAGEREF _Toc121503998 \h </w:instrText>
        </w:r>
        <w:r w:rsidR="00616885">
          <w:rPr>
            <w:webHidden/>
          </w:rPr>
        </w:r>
        <w:r w:rsidR="00616885">
          <w:rPr>
            <w:webHidden/>
          </w:rPr>
          <w:fldChar w:fldCharType="separate"/>
        </w:r>
        <w:r w:rsidR="001D5AD9">
          <w:rPr>
            <w:webHidden/>
          </w:rPr>
          <w:t>285</w:t>
        </w:r>
        <w:r w:rsidR="00616885">
          <w:rPr>
            <w:webHidden/>
          </w:rPr>
          <w:fldChar w:fldCharType="end"/>
        </w:r>
      </w:hyperlink>
    </w:p>
    <w:p w14:paraId="3D8DC348" w14:textId="0F8A7EBB" w:rsidR="00616885" w:rsidRDefault="00000000">
      <w:pPr>
        <w:pStyle w:val="TOC3"/>
        <w:rPr>
          <w:rFonts w:asciiTheme="minorHAnsi" w:eastAsiaTheme="minorEastAsia" w:hAnsiTheme="minorHAnsi" w:cstheme="minorBidi"/>
          <w:szCs w:val="22"/>
          <w:lang w:bidi="ar-SA"/>
        </w:rPr>
      </w:pPr>
      <w:hyperlink w:anchor="_Toc121503999" w:history="1">
        <w:r w:rsidR="00616885" w:rsidRPr="00657503">
          <w:rPr>
            <w:rStyle w:val="Hyperlink"/>
            <w:rFonts w:cs="Arial"/>
            <w:b/>
            <w:bCs/>
            <w:iCs/>
            <w:lang w:eastAsia="en-US"/>
          </w:rPr>
          <w:t>5.3.7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Delete a Profile</w:t>
        </w:r>
        <w:r w:rsidR="00616885">
          <w:rPr>
            <w:webHidden/>
          </w:rPr>
          <w:tab/>
        </w:r>
        <w:r w:rsidR="00616885">
          <w:rPr>
            <w:webHidden/>
          </w:rPr>
          <w:fldChar w:fldCharType="begin"/>
        </w:r>
        <w:r w:rsidR="00616885">
          <w:rPr>
            <w:webHidden/>
          </w:rPr>
          <w:instrText xml:space="preserve"> PAGEREF _Toc121503999 \h </w:instrText>
        </w:r>
        <w:r w:rsidR="00616885">
          <w:rPr>
            <w:webHidden/>
          </w:rPr>
        </w:r>
        <w:r w:rsidR="00616885">
          <w:rPr>
            <w:webHidden/>
          </w:rPr>
          <w:fldChar w:fldCharType="separate"/>
        </w:r>
        <w:r w:rsidR="001D5AD9">
          <w:rPr>
            <w:webHidden/>
          </w:rPr>
          <w:t>287</w:t>
        </w:r>
        <w:r w:rsidR="00616885">
          <w:rPr>
            <w:webHidden/>
          </w:rPr>
          <w:fldChar w:fldCharType="end"/>
        </w:r>
      </w:hyperlink>
    </w:p>
    <w:p w14:paraId="0289796D" w14:textId="7AE6DC61" w:rsidR="00616885" w:rsidRDefault="00000000">
      <w:pPr>
        <w:pStyle w:val="TOC3"/>
        <w:rPr>
          <w:rFonts w:asciiTheme="minorHAnsi" w:eastAsiaTheme="minorEastAsia" w:hAnsiTheme="minorHAnsi" w:cstheme="minorBidi"/>
          <w:szCs w:val="22"/>
          <w:lang w:bidi="ar-SA"/>
        </w:rPr>
      </w:pPr>
      <w:hyperlink w:anchor="_Toc121504000" w:history="1">
        <w:r w:rsidR="00616885" w:rsidRPr="00657503">
          <w:rPr>
            <w:rStyle w:val="Hyperlink"/>
            <w:rFonts w:cs="Arial"/>
            <w:b/>
            <w:bCs/>
            <w:iCs/>
            <w:lang w:eastAsia="en-US"/>
          </w:rPr>
          <w:t>5.3.8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Notify a Profile is </w:t>
        </w:r>
        <w:r w:rsidR="00616885" w:rsidRPr="00657503">
          <w:rPr>
            <w:rStyle w:val="Hyperlink"/>
            <w:rFonts w:cs="Arial"/>
            <w:b/>
            <w:lang w:eastAsia="en-US"/>
          </w:rPr>
          <w:t>Disabled</w:t>
        </w:r>
        <w:r w:rsidR="00616885">
          <w:rPr>
            <w:webHidden/>
          </w:rPr>
          <w:tab/>
        </w:r>
        <w:r w:rsidR="00616885">
          <w:rPr>
            <w:webHidden/>
          </w:rPr>
          <w:fldChar w:fldCharType="begin"/>
        </w:r>
        <w:r w:rsidR="00616885">
          <w:rPr>
            <w:webHidden/>
          </w:rPr>
          <w:instrText xml:space="preserve"> PAGEREF _Toc121504000 \h </w:instrText>
        </w:r>
        <w:r w:rsidR="00616885">
          <w:rPr>
            <w:webHidden/>
          </w:rPr>
        </w:r>
        <w:r w:rsidR="00616885">
          <w:rPr>
            <w:webHidden/>
          </w:rPr>
          <w:fldChar w:fldCharType="separate"/>
        </w:r>
        <w:r w:rsidR="001D5AD9">
          <w:rPr>
            <w:webHidden/>
          </w:rPr>
          <w:t>287</w:t>
        </w:r>
        <w:r w:rsidR="00616885">
          <w:rPr>
            <w:webHidden/>
          </w:rPr>
          <w:fldChar w:fldCharType="end"/>
        </w:r>
      </w:hyperlink>
    </w:p>
    <w:p w14:paraId="6F03FD06" w14:textId="1E3A40C4" w:rsidR="00616885" w:rsidRDefault="00000000">
      <w:pPr>
        <w:pStyle w:val="TOC3"/>
        <w:rPr>
          <w:rFonts w:asciiTheme="minorHAnsi" w:eastAsiaTheme="minorEastAsia" w:hAnsiTheme="minorHAnsi" w:cstheme="minorBidi"/>
          <w:szCs w:val="22"/>
          <w:lang w:bidi="ar-SA"/>
        </w:rPr>
      </w:pPr>
      <w:hyperlink w:anchor="_Toc121504001" w:history="1">
        <w:r w:rsidR="00616885" w:rsidRPr="00657503">
          <w:rPr>
            <w:rStyle w:val="Hyperlink"/>
            <w:rFonts w:cs="Arial"/>
            <w:b/>
            <w:bCs/>
            <w:iCs/>
            <w:lang w:eastAsia="en-US"/>
          </w:rPr>
          <w:t>5.3.9</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a Profile Enabling</w:t>
        </w:r>
        <w:r w:rsidR="00616885">
          <w:rPr>
            <w:webHidden/>
          </w:rPr>
          <w:tab/>
        </w:r>
        <w:r w:rsidR="00616885">
          <w:rPr>
            <w:webHidden/>
          </w:rPr>
          <w:fldChar w:fldCharType="begin"/>
        </w:r>
        <w:r w:rsidR="00616885">
          <w:rPr>
            <w:webHidden/>
          </w:rPr>
          <w:instrText xml:space="preserve"> PAGEREF _Toc121504001 \h </w:instrText>
        </w:r>
        <w:r w:rsidR="00616885">
          <w:rPr>
            <w:webHidden/>
          </w:rPr>
        </w:r>
        <w:r w:rsidR="00616885">
          <w:rPr>
            <w:webHidden/>
          </w:rPr>
          <w:fldChar w:fldCharType="separate"/>
        </w:r>
        <w:r w:rsidR="001D5AD9">
          <w:rPr>
            <w:webHidden/>
          </w:rPr>
          <w:t>288</w:t>
        </w:r>
        <w:r w:rsidR="00616885">
          <w:rPr>
            <w:webHidden/>
          </w:rPr>
          <w:fldChar w:fldCharType="end"/>
        </w:r>
      </w:hyperlink>
    </w:p>
    <w:p w14:paraId="070EB264" w14:textId="36E0BA52" w:rsidR="00616885" w:rsidRDefault="00000000">
      <w:pPr>
        <w:pStyle w:val="TOC3"/>
        <w:rPr>
          <w:rFonts w:asciiTheme="minorHAnsi" w:eastAsiaTheme="minorEastAsia" w:hAnsiTheme="minorHAnsi" w:cstheme="minorBidi"/>
          <w:szCs w:val="22"/>
          <w:lang w:bidi="ar-SA"/>
        </w:rPr>
      </w:pPr>
      <w:hyperlink w:anchor="_Toc121504002" w:history="1">
        <w:r w:rsidR="00616885" w:rsidRPr="00657503">
          <w:rPr>
            <w:rStyle w:val="Hyperlink"/>
            <w:rFonts w:cs="Arial"/>
            <w:b/>
            <w:bCs/>
            <w:iCs/>
            <w:lang w:eastAsia="en-US"/>
          </w:rPr>
          <w:t>5.3.10</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Notify a SM-SR </w:t>
        </w:r>
        <w:r w:rsidR="00616885" w:rsidRPr="00657503">
          <w:rPr>
            <w:rStyle w:val="Hyperlink"/>
            <w:rFonts w:cs="Arial"/>
            <w:b/>
            <w:lang w:eastAsia="en-US"/>
          </w:rPr>
          <w:t>Change</w:t>
        </w:r>
        <w:r w:rsidR="00616885">
          <w:rPr>
            <w:webHidden/>
          </w:rPr>
          <w:tab/>
        </w:r>
        <w:r w:rsidR="00616885">
          <w:rPr>
            <w:webHidden/>
          </w:rPr>
          <w:fldChar w:fldCharType="begin"/>
        </w:r>
        <w:r w:rsidR="00616885">
          <w:rPr>
            <w:webHidden/>
          </w:rPr>
          <w:instrText xml:space="preserve"> PAGEREF _Toc121504002 \h </w:instrText>
        </w:r>
        <w:r w:rsidR="00616885">
          <w:rPr>
            <w:webHidden/>
          </w:rPr>
        </w:r>
        <w:r w:rsidR="00616885">
          <w:rPr>
            <w:webHidden/>
          </w:rPr>
          <w:fldChar w:fldCharType="separate"/>
        </w:r>
        <w:r w:rsidR="001D5AD9">
          <w:rPr>
            <w:webHidden/>
          </w:rPr>
          <w:t>289</w:t>
        </w:r>
        <w:r w:rsidR="00616885">
          <w:rPr>
            <w:webHidden/>
          </w:rPr>
          <w:fldChar w:fldCharType="end"/>
        </w:r>
      </w:hyperlink>
    </w:p>
    <w:p w14:paraId="59DE5D66" w14:textId="73B5993C" w:rsidR="00616885" w:rsidRDefault="00000000">
      <w:pPr>
        <w:pStyle w:val="TOC3"/>
        <w:rPr>
          <w:rFonts w:asciiTheme="minorHAnsi" w:eastAsiaTheme="minorEastAsia" w:hAnsiTheme="minorHAnsi" w:cstheme="minorBidi"/>
          <w:szCs w:val="22"/>
          <w:lang w:bidi="ar-SA"/>
        </w:rPr>
      </w:pPr>
      <w:hyperlink w:anchor="_Toc121504003" w:history="1">
        <w:r w:rsidR="00616885" w:rsidRPr="00657503">
          <w:rPr>
            <w:rStyle w:val="Hyperlink"/>
            <w:rFonts w:cs="Arial"/>
            <w:b/>
            <w:bCs/>
            <w:iCs/>
            <w:lang w:eastAsia="en-US"/>
          </w:rPr>
          <w:t>5.3.11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a Profile Deletion</w:t>
        </w:r>
        <w:r w:rsidR="00616885">
          <w:rPr>
            <w:webHidden/>
          </w:rPr>
          <w:tab/>
        </w:r>
        <w:r w:rsidR="00616885">
          <w:rPr>
            <w:webHidden/>
          </w:rPr>
          <w:fldChar w:fldCharType="begin"/>
        </w:r>
        <w:r w:rsidR="00616885">
          <w:rPr>
            <w:webHidden/>
          </w:rPr>
          <w:instrText xml:space="preserve"> PAGEREF _Toc121504003 \h </w:instrText>
        </w:r>
        <w:r w:rsidR="00616885">
          <w:rPr>
            <w:webHidden/>
          </w:rPr>
        </w:r>
        <w:r w:rsidR="00616885">
          <w:rPr>
            <w:webHidden/>
          </w:rPr>
          <w:fldChar w:fldCharType="separate"/>
        </w:r>
        <w:r w:rsidR="001D5AD9">
          <w:rPr>
            <w:webHidden/>
          </w:rPr>
          <w:t>290</w:t>
        </w:r>
        <w:r w:rsidR="00616885">
          <w:rPr>
            <w:webHidden/>
          </w:rPr>
          <w:fldChar w:fldCharType="end"/>
        </w:r>
      </w:hyperlink>
    </w:p>
    <w:p w14:paraId="42B1FF4D" w14:textId="487ED65D" w:rsidR="00616885" w:rsidRDefault="00000000">
      <w:pPr>
        <w:pStyle w:val="TOC3"/>
        <w:rPr>
          <w:rFonts w:asciiTheme="minorHAnsi" w:eastAsiaTheme="minorEastAsia" w:hAnsiTheme="minorHAnsi" w:cstheme="minorBidi"/>
          <w:szCs w:val="22"/>
          <w:lang w:bidi="ar-SA"/>
        </w:rPr>
      </w:pPr>
      <w:hyperlink w:anchor="_Toc121504004" w:history="1">
        <w:r w:rsidR="00616885" w:rsidRPr="00657503">
          <w:rPr>
            <w:rStyle w:val="Hyperlink"/>
            <w:rFonts w:cs="Arial"/>
            <w:b/>
            <w:bCs/>
            <w:iCs/>
            <w:lang w:eastAsia="en-US"/>
          </w:rPr>
          <w:t>5.3.12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Auditing eUICC Information</w:t>
        </w:r>
        <w:r w:rsidR="00616885">
          <w:rPr>
            <w:webHidden/>
          </w:rPr>
          <w:tab/>
        </w:r>
        <w:r w:rsidR="00616885">
          <w:rPr>
            <w:webHidden/>
          </w:rPr>
          <w:fldChar w:fldCharType="begin"/>
        </w:r>
        <w:r w:rsidR="00616885">
          <w:rPr>
            <w:webHidden/>
          </w:rPr>
          <w:instrText xml:space="preserve"> PAGEREF _Toc121504004 \h </w:instrText>
        </w:r>
        <w:r w:rsidR="00616885">
          <w:rPr>
            <w:webHidden/>
          </w:rPr>
        </w:r>
        <w:r w:rsidR="00616885">
          <w:rPr>
            <w:webHidden/>
          </w:rPr>
          <w:fldChar w:fldCharType="separate"/>
        </w:r>
        <w:r w:rsidR="001D5AD9">
          <w:rPr>
            <w:webHidden/>
          </w:rPr>
          <w:t>290</w:t>
        </w:r>
        <w:r w:rsidR="00616885">
          <w:rPr>
            <w:webHidden/>
          </w:rPr>
          <w:fldChar w:fldCharType="end"/>
        </w:r>
      </w:hyperlink>
    </w:p>
    <w:p w14:paraId="419C005E" w14:textId="2912E23C" w:rsidR="00616885" w:rsidRDefault="00000000">
      <w:pPr>
        <w:pStyle w:val="TOC3"/>
        <w:rPr>
          <w:rFonts w:asciiTheme="minorHAnsi" w:eastAsiaTheme="minorEastAsia" w:hAnsiTheme="minorHAnsi" w:cstheme="minorBidi"/>
          <w:szCs w:val="22"/>
          <w:lang w:bidi="ar-SA"/>
        </w:rPr>
      </w:pPr>
      <w:hyperlink w:anchor="_Toc121504005" w:history="1">
        <w:r w:rsidR="00616885" w:rsidRPr="00657503">
          <w:rPr>
            <w:rStyle w:val="Hyperlink"/>
            <w:rFonts w:cs="Arial"/>
            <w:b/>
            <w:bCs/>
            <w:iCs/>
            <w:lang w:eastAsia="en-US"/>
          </w:rPr>
          <w:t>5.3.13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Authorisations of M2M -SP to Access Profiles</w:t>
        </w:r>
        <w:r w:rsidR="00616885">
          <w:rPr>
            <w:webHidden/>
          </w:rPr>
          <w:tab/>
        </w:r>
        <w:r w:rsidR="00616885">
          <w:rPr>
            <w:webHidden/>
          </w:rPr>
          <w:fldChar w:fldCharType="begin"/>
        </w:r>
        <w:r w:rsidR="00616885">
          <w:rPr>
            <w:webHidden/>
          </w:rPr>
          <w:instrText xml:space="preserve"> PAGEREF _Toc121504005 \h </w:instrText>
        </w:r>
        <w:r w:rsidR="00616885">
          <w:rPr>
            <w:webHidden/>
          </w:rPr>
        </w:r>
        <w:r w:rsidR="00616885">
          <w:rPr>
            <w:webHidden/>
          </w:rPr>
          <w:fldChar w:fldCharType="separate"/>
        </w:r>
        <w:r w:rsidR="001D5AD9">
          <w:rPr>
            <w:webHidden/>
          </w:rPr>
          <w:t>291</w:t>
        </w:r>
        <w:r w:rsidR="00616885">
          <w:rPr>
            <w:webHidden/>
          </w:rPr>
          <w:fldChar w:fldCharType="end"/>
        </w:r>
      </w:hyperlink>
    </w:p>
    <w:p w14:paraId="18C6F65C" w14:textId="7E24B1F6" w:rsidR="00616885" w:rsidRDefault="00000000">
      <w:pPr>
        <w:pStyle w:val="TOC3"/>
        <w:rPr>
          <w:rFonts w:asciiTheme="minorHAnsi" w:eastAsiaTheme="minorEastAsia" w:hAnsiTheme="minorHAnsi" w:cstheme="minorBidi"/>
          <w:szCs w:val="22"/>
          <w:lang w:bidi="ar-SA"/>
        </w:rPr>
      </w:pPr>
      <w:hyperlink w:anchor="_Toc121504006" w:history="1">
        <w:r w:rsidR="00616885" w:rsidRPr="00657503">
          <w:rPr>
            <w:rStyle w:val="Hyperlink"/>
            <w:rFonts w:cs="Arial"/>
            <w:b/>
            <w:bCs/>
            <w:iCs/>
            <w:lang w:eastAsia="en-US"/>
          </w:rPr>
          <w:t>5.3.14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Retrieving Authorisations of M2M SP to Access Profiles</w:t>
        </w:r>
        <w:r w:rsidR="00616885">
          <w:rPr>
            <w:webHidden/>
          </w:rPr>
          <w:tab/>
        </w:r>
        <w:r w:rsidR="00616885">
          <w:rPr>
            <w:webHidden/>
          </w:rPr>
          <w:fldChar w:fldCharType="begin"/>
        </w:r>
        <w:r w:rsidR="00616885">
          <w:rPr>
            <w:webHidden/>
          </w:rPr>
          <w:instrText xml:space="preserve"> PAGEREF _Toc121504006 \h </w:instrText>
        </w:r>
        <w:r w:rsidR="00616885">
          <w:rPr>
            <w:webHidden/>
          </w:rPr>
        </w:r>
        <w:r w:rsidR="00616885">
          <w:rPr>
            <w:webHidden/>
          </w:rPr>
          <w:fldChar w:fldCharType="separate"/>
        </w:r>
        <w:r w:rsidR="001D5AD9">
          <w:rPr>
            <w:webHidden/>
          </w:rPr>
          <w:t>292</w:t>
        </w:r>
        <w:r w:rsidR="00616885">
          <w:rPr>
            <w:webHidden/>
          </w:rPr>
          <w:fldChar w:fldCharType="end"/>
        </w:r>
      </w:hyperlink>
    </w:p>
    <w:p w14:paraId="23E5E397" w14:textId="13C09268" w:rsidR="00616885" w:rsidRDefault="00000000">
      <w:pPr>
        <w:pStyle w:val="TOC3"/>
        <w:rPr>
          <w:rFonts w:asciiTheme="minorHAnsi" w:eastAsiaTheme="minorEastAsia" w:hAnsiTheme="minorHAnsi" w:cstheme="minorBidi"/>
          <w:szCs w:val="22"/>
          <w:lang w:bidi="ar-SA"/>
        </w:rPr>
      </w:pPr>
      <w:hyperlink w:anchor="_Toc121504007" w:history="1">
        <w:r w:rsidR="00616885" w:rsidRPr="00657503">
          <w:rPr>
            <w:rStyle w:val="Hyperlink"/>
            <w:rFonts w:cs="Arial"/>
            <w:b/>
            <w:bCs/>
            <w:iCs/>
            <w:lang w:eastAsia="en-US"/>
          </w:rPr>
          <w:t>5.3.15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a Profile Download</w:t>
        </w:r>
        <w:r w:rsidR="00616885">
          <w:rPr>
            <w:webHidden/>
          </w:rPr>
          <w:tab/>
        </w:r>
        <w:r w:rsidR="00616885">
          <w:rPr>
            <w:webHidden/>
          </w:rPr>
          <w:fldChar w:fldCharType="begin"/>
        </w:r>
        <w:r w:rsidR="00616885">
          <w:rPr>
            <w:webHidden/>
          </w:rPr>
          <w:instrText xml:space="preserve"> PAGEREF _Toc121504007 \h </w:instrText>
        </w:r>
        <w:r w:rsidR="00616885">
          <w:rPr>
            <w:webHidden/>
          </w:rPr>
        </w:r>
        <w:r w:rsidR="00616885">
          <w:rPr>
            <w:webHidden/>
          </w:rPr>
          <w:fldChar w:fldCharType="separate"/>
        </w:r>
        <w:r w:rsidR="001D5AD9">
          <w:rPr>
            <w:webHidden/>
          </w:rPr>
          <w:t>294</w:t>
        </w:r>
        <w:r w:rsidR="00616885">
          <w:rPr>
            <w:webHidden/>
          </w:rPr>
          <w:fldChar w:fldCharType="end"/>
        </w:r>
      </w:hyperlink>
    </w:p>
    <w:p w14:paraId="4558EC3A" w14:textId="44F8E816" w:rsidR="00616885" w:rsidRDefault="00000000">
      <w:pPr>
        <w:pStyle w:val="TOC3"/>
        <w:rPr>
          <w:rFonts w:asciiTheme="minorHAnsi" w:eastAsiaTheme="minorEastAsia" w:hAnsiTheme="minorHAnsi" w:cstheme="minorBidi"/>
          <w:szCs w:val="22"/>
          <w:lang w:bidi="ar-SA"/>
        </w:rPr>
      </w:pPr>
      <w:hyperlink w:anchor="_Toc121504008" w:history="1">
        <w:r w:rsidR="00616885" w:rsidRPr="00657503">
          <w:rPr>
            <w:rStyle w:val="Hyperlink"/>
            <w:rFonts w:cs="Arial"/>
            <w:b/>
            <w:bCs/>
            <w:iCs/>
            <w:lang w:eastAsia="en-US"/>
          </w:rPr>
          <w:t>5.3.16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the Change of Policy Rules of a Profile</w:t>
        </w:r>
        <w:r w:rsidR="00616885">
          <w:rPr>
            <w:webHidden/>
          </w:rPr>
          <w:tab/>
        </w:r>
        <w:r w:rsidR="00616885">
          <w:rPr>
            <w:webHidden/>
          </w:rPr>
          <w:fldChar w:fldCharType="begin"/>
        </w:r>
        <w:r w:rsidR="00616885">
          <w:rPr>
            <w:webHidden/>
          </w:rPr>
          <w:instrText xml:space="preserve"> PAGEREF _Toc121504008 \h </w:instrText>
        </w:r>
        <w:r w:rsidR="00616885">
          <w:rPr>
            <w:webHidden/>
          </w:rPr>
        </w:r>
        <w:r w:rsidR="00616885">
          <w:rPr>
            <w:webHidden/>
          </w:rPr>
          <w:fldChar w:fldCharType="separate"/>
        </w:r>
        <w:r w:rsidR="001D5AD9">
          <w:rPr>
            <w:webHidden/>
          </w:rPr>
          <w:t>294</w:t>
        </w:r>
        <w:r w:rsidR="00616885">
          <w:rPr>
            <w:webHidden/>
          </w:rPr>
          <w:fldChar w:fldCharType="end"/>
        </w:r>
      </w:hyperlink>
    </w:p>
    <w:p w14:paraId="7F6B34C6" w14:textId="57B73C21" w:rsidR="00616885" w:rsidRDefault="00000000">
      <w:pPr>
        <w:pStyle w:val="TOC3"/>
        <w:rPr>
          <w:rFonts w:asciiTheme="minorHAnsi" w:eastAsiaTheme="minorEastAsia" w:hAnsiTheme="minorHAnsi" w:cstheme="minorBidi"/>
          <w:szCs w:val="22"/>
          <w:lang w:bidi="ar-SA"/>
        </w:rPr>
      </w:pPr>
      <w:hyperlink w:anchor="_Toc121504009" w:history="1">
        <w:r w:rsidR="00616885" w:rsidRPr="00657503">
          <w:rPr>
            <w:rStyle w:val="Hyperlink"/>
            <w:rFonts w:cs="Arial"/>
            <w:b/>
            <w:bCs/>
            <w:iCs/>
            <w:lang w:eastAsia="en-US"/>
          </w:rPr>
          <w:t>5.3.17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a PLMA Setting</w:t>
        </w:r>
        <w:r w:rsidR="00616885">
          <w:rPr>
            <w:webHidden/>
          </w:rPr>
          <w:tab/>
        </w:r>
        <w:r w:rsidR="00616885">
          <w:rPr>
            <w:webHidden/>
          </w:rPr>
          <w:fldChar w:fldCharType="begin"/>
        </w:r>
        <w:r w:rsidR="00616885">
          <w:rPr>
            <w:webHidden/>
          </w:rPr>
          <w:instrText xml:space="preserve"> PAGEREF _Toc121504009 \h </w:instrText>
        </w:r>
        <w:r w:rsidR="00616885">
          <w:rPr>
            <w:webHidden/>
          </w:rPr>
        </w:r>
        <w:r w:rsidR="00616885">
          <w:rPr>
            <w:webHidden/>
          </w:rPr>
          <w:fldChar w:fldCharType="separate"/>
        </w:r>
        <w:r w:rsidR="001D5AD9">
          <w:rPr>
            <w:webHidden/>
          </w:rPr>
          <w:t>295</w:t>
        </w:r>
        <w:r w:rsidR="00616885">
          <w:rPr>
            <w:webHidden/>
          </w:rPr>
          <w:fldChar w:fldCharType="end"/>
        </w:r>
      </w:hyperlink>
    </w:p>
    <w:p w14:paraId="4ED4899D" w14:textId="7F260F3A" w:rsidR="00616885" w:rsidRDefault="00000000">
      <w:pPr>
        <w:pStyle w:val="TOC3"/>
        <w:rPr>
          <w:rFonts w:asciiTheme="minorHAnsi" w:eastAsiaTheme="minorEastAsia" w:hAnsiTheme="minorHAnsi" w:cstheme="minorBidi"/>
          <w:szCs w:val="22"/>
          <w:lang w:bidi="ar-SA"/>
        </w:rPr>
      </w:pPr>
      <w:hyperlink w:anchor="_Toc121504010" w:history="1">
        <w:r w:rsidR="00616885" w:rsidRPr="00657503">
          <w:rPr>
            <w:rStyle w:val="Hyperlink"/>
            <w:rFonts w:cs="Arial"/>
            <w:b/>
            <w:bCs/>
            <w:iCs/>
            <w:lang w:eastAsia="en-US"/>
          </w:rPr>
          <w:t>5.3.18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Operator Configuration to Receive Notifications</w:t>
        </w:r>
        <w:r w:rsidR="00616885">
          <w:rPr>
            <w:webHidden/>
          </w:rPr>
          <w:tab/>
        </w:r>
        <w:r w:rsidR="00616885">
          <w:rPr>
            <w:webHidden/>
          </w:rPr>
          <w:fldChar w:fldCharType="begin"/>
        </w:r>
        <w:r w:rsidR="00616885">
          <w:rPr>
            <w:webHidden/>
          </w:rPr>
          <w:instrText xml:space="preserve"> PAGEREF _Toc121504010 \h </w:instrText>
        </w:r>
        <w:r w:rsidR="00616885">
          <w:rPr>
            <w:webHidden/>
          </w:rPr>
        </w:r>
        <w:r w:rsidR="00616885">
          <w:rPr>
            <w:webHidden/>
          </w:rPr>
          <w:fldChar w:fldCharType="separate"/>
        </w:r>
        <w:r w:rsidR="001D5AD9">
          <w:rPr>
            <w:webHidden/>
          </w:rPr>
          <w:t>296</w:t>
        </w:r>
        <w:r w:rsidR="00616885">
          <w:rPr>
            <w:webHidden/>
          </w:rPr>
          <w:fldChar w:fldCharType="end"/>
        </w:r>
      </w:hyperlink>
    </w:p>
    <w:p w14:paraId="4AB02546" w14:textId="48E5C698" w:rsidR="00616885" w:rsidRDefault="00000000">
      <w:pPr>
        <w:pStyle w:val="TOC3"/>
        <w:rPr>
          <w:rFonts w:asciiTheme="minorHAnsi" w:eastAsiaTheme="minorEastAsia" w:hAnsiTheme="minorHAnsi" w:cstheme="minorBidi"/>
          <w:szCs w:val="22"/>
          <w:lang w:bidi="ar-SA"/>
        </w:rPr>
      </w:pPr>
      <w:hyperlink w:anchor="_Toc121504011" w:history="1">
        <w:r w:rsidR="00616885" w:rsidRPr="00657503">
          <w:rPr>
            <w:rStyle w:val="Hyperlink"/>
            <w:rFonts w:cs="Arial"/>
            <w:b/>
            <w:bCs/>
            <w:iCs/>
            <w:lang w:eastAsia="en-US"/>
          </w:rPr>
          <w:t>5.3.19</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Retrieving Operator Notification Configuration</w:t>
        </w:r>
        <w:r w:rsidR="00616885">
          <w:rPr>
            <w:webHidden/>
          </w:rPr>
          <w:tab/>
        </w:r>
        <w:r w:rsidR="00616885">
          <w:rPr>
            <w:webHidden/>
          </w:rPr>
          <w:fldChar w:fldCharType="begin"/>
        </w:r>
        <w:r w:rsidR="00616885">
          <w:rPr>
            <w:webHidden/>
          </w:rPr>
          <w:instrText xml:space="preserve"> PAGEREF _Toc121504011 \h </w:instrText>
        </w:r>
        <w:r w:rsidR="00616885">
          <w:rPr>
            <w:webHidden/>
          </w:rPr>
        </w:r>
        <w:r w:rsidR="00616885">
          <w:rPr>
            <w:webHidden/>
          </w:rPr>
          <w:fldChar w:fldCharType="separate"/>
        </w:r>
        <w:r w:rsidR="001D5AD9">
          <w:rPr>
            <w:webHidden/>
          </w:rPr>
          <w:t>297</w:t>
        </w:r>
        <w:r w:rsidR="00616885">
          <w:rPr>
            <w:webHidden/>
          </w:rPr>
          <w:fldChar w:fldCharType="end"/>
        </w:r>
      </w:hyperlink>
    </w:p>
    <w:p w14:paraId="6292D514" w14:textId="59DC0B5D" w:rsidR="00616885" w:rsidRDefault="00000000">
      <w:pPr>
        <w:pStyle w:val="TOC3"/>
        <w:rPr>
          <w:rFonts w:asciiTheme="minorHAnsi" w:eastAsiaTheme="minorEastAsia" w:hAnsiTheme="minorHAnsi" w:cstheme="minorBidi"/>
          <w:szCs w:val="22"/>
          <w:lang w:bidi="ar-SA"/>
        </w:rPr>
      </w:pPr>
      <w:hyperlink w:anchor="_Toc121504012" w:history="1">
        <w:r w:rsidR="00616885" w:rsidRPr="00657503">
          <w:rPr>
            <w:rStyle w:val="Hyperlink"/>
            <w:rFonts w:cs="Arial"/>
            <w:b/>
            <w:bCs/>
            <w:iCs/>
            <w:lang w:eastAsia="en-US"/>
          </w:rPr>
          <w:t>5.3.20</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the Emergency Profile Attribute</w:t>
        </w:r>
        <w:r w:rsidR="00616885">
          <w:rPr>
            <w:webHidden/>
          </w:rPr>
          <w:tab/>
        </w:r>
        <w:r w:rsidR="00616885">
          <w:rPr>
            <w:webHidden/>
          </w:rPr>
          <w:fldChar w:fldCharType="begin"/>
        </w:r>
        <w:r w:rsidR="00616885">
          <w:rPr>
            <w:webHidden/>
          </w:rPr>
          <w:instrText xml:space="preserve"> PAGEREF _Toc121504012 \h </w:instrText>
        </w:r>
        <w:r w:rsidR="00616885">
          <w:rPr>
            <w:webHidden/>
          </w:rPr>
        </w:r>
        <w:r w:rsidR="00616885">
          <w:rPr>
            <w:webHidden/>
          </w:rPr>
          <w:fldChar w:fldCharType="separate"/>
        </w:r>
        <w:r w:rsidR="001D5AD9">
          <w:rPr>
            <w:webHidden/>
          </w:rPr>
          <w:t>298</w:t>
        </w:r>
        <w:r w:rsidR="00616885">
          <w:rPr>
            <w:webHidden/>
          </w:rPr>
          <w:fldChar w:fldCharType="end"/>
        </w:r>
      </w:hyperlink>
    </w:p>
    <w:p w14:paraId="36055AA0" w14:textId="249F338A" w:rsidR="00616885" w:rsidRDefault="00000000">
      <w:pPr>
        <w:pStyle w:val="TOC3"/>
        <w:rPr>
          <w:rFonts w:asciiTheme="minorHAnsi" w:eastAsiaTheme="minorEastAsia" w:hAnsiTheme="minorHAnsi" w:cstheme="minorBidi"/>
          <w:szCs w:val="22"/>
          <w:lang w:bidi="ar-SA"/>
        </w:rPr>
      </w:pPr>
      <w:hyperlink w:anchor="_Toc121504013" w:history="1">
        <w:r w:rsidR="00616885" w:rsidRPr="00657503">
          <w:rPr>
            <w:rStyle w:val="Hyperlink"/>
            <w:rFonts w:cs="Arial"/>
            <w:b/>
            <w:lang w:eastAsia="en-US"/>
          </w:rPr>
          <w:t>5.3.21</w:t>
        </w:r>
        <w:r w:rsidR="00616885">
          <w:rPr>
            <w:rFonts w:asciiTheme="minorHAnsi" w:eastAsiaTheme="minorEastAsia" w:hAnsiTheme="minorHAnsi" w:cstheme="minorBidi"/>
            <w:szCs w:val="22"/>
            <w:lang w:bidi="ar-SA"/>
          </w:rPr>
          <w:tab/>
        </w:r>
        <w:r w:rsidR="00616885" w:rsidRPr="00657503">
          <w:rPr>
            <w:rStyle w:val="Hyperlink"/>
            <w:rFonts w:cs="Arial"/>
            <w:lang w:eastAsia="en-US"/>
          </w:rPr>
          <w:t>Notifying the Emergency Profile Attribute Setting</w:t>
        </w:r>
        <w:r w:rsidR="00616885">
          <w:rPr>
            <w:webHidden/>
          </w:rPr>
          <w:tab/>
        </w:r>
        <w:r w:rsidR="00616885">
          <w:rPr>
            <w:webHidden/>
          </w:rPr>
          <w:fldChar w:fldCharType="begin"/>
        </w:r>
        <w:r w:rsidR="00616885">
          <w:rPr>
            <w:webHidden/>
          </w:rPr>
          <w:instrText xml:space="preserve"> PAGEREF _Toc121504013 \h </w:instrText>
        </w:r>
        <w:r w:rsidR="00616885">
          <w:rPr>
            <w:webHidden/>
          </w:rPr>
        </w:r>
        <w:r w:rsidR="00616885">
          <w:rPr>
            <w:webHidden/>
          </w:rPr>
          <w:fldChar w:fldCharType="separate"/>
        </w:r>
        <w:r w:rsidR="001D5AD9">
          <w:rPr>
            <w:webHidden/>
          </w:rPr>
          <w:t>299</w:t>
        </w:r>
        <w:r w:rsidR="00616885">
          <w:rPr>
            <w:webHidden/>
          </w:rPr>
          <w:fldChar w:fldCharType="end"/>
        </w:r>
      </w:hyperlink>
    </w:p>
    <w:p w14:paraId="0672775B" w14:textId="45C2C721" w:rsidR="00616885" w:rsidRDefault="00000000">
      <w:pPr>
        <w:pStyle w:val="TOC3"/>
        <w:rPr>
          <w:rFonts w:asciiTheme="minorHAnsi" w:eastAsiaTheme="minorEastAsia" w:hAnsiTheme="minorHAnsi" w:cstheme="minorBidi"/>
          <w:szCs w:val="22"/>
          <w:lang w:bidi="ar-SA"/>
        </w:rPr>
      </w:pPr>
      <w:hyperlink w:anchor="_Toc121504014" w:history="1">
        <w:r w:rsidR="00616885" w:rsidRPr="00657503">
          <w:rPr>
            <w:rStyle w:val="Hyperlink"/>
            <w:rFonts w:cs="Arial"/>
            <w:b/>
            <w:bCs/>
            <w:iCs/>
            <w:lang w:eastAsia="en-US"/>
          </w:rPr>
          <w:t>5.3.22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Emergency Profile Attribute Unsetting</w:t>
        </w:r>
        <w:r w:rsidR="00616885">
          <w:rPr>
            <w:webHidden/>
          </w:rPr>
          <w:tab/>
        </w:r>
        <w:r w:rsidR="00616885">
          <w:rPr>
            <w:webHidden/>
          </w:rPr>
          <w:fldChar w:fldCharType="begin"/>
        </w:r>
        <w:r w:rsidR="00616885">
          <w:rPr>
            <w:webHidden/>
          </w:rPr>
          <w:instrText xml:space="preserve"> PAGEREF _Toc121504014 \h </w:instrText>
        </w:r>
        <w:r w:rsidR="00616885">
          <w:rPr>
            <w:webHidden/>
          </w:rPr>
        </w:r>
        <w:r w:rsidR="00616885">
          <w:rPr>
            <w:webHidden/>
          </w:rPr>
          <w:fldChar w:fldCharType="separate"/>
        </w:r>
        <w:r w:rsidR="001D5AD9">
          <w:rPr>
            <w:webHidden/>
          </w:rPr>
          <w:t>300</w:t>
        </w:r>
        <w:r w:rsidR="00616885">
          <w:rPr>
            <w:webHidden/>
          </w:rPr>
          <w:fldChar w:fldCharType="end"/>
        </w:r>
      </w:hyperlink>
    </w:p>
    <w:p w14:paraId="70599F9E" w14:textId="2333B6F2" w:rsidR="00616885" w:rsidRDefault="00000000">
      <w:pPr>
        <w:pStyle w:val="TOC3"/>
        <w:rPr>
          <w:rFonts w:asciiTheme="minorHAnsi" w:eastAsiaTheme="minorEastAsia" w:hAnsiTheme="minorHAnsi" w:cstheme="minorBidi"/>
          <w:szCs w:val="22"/>
          <w:lang w:bidi="ar-SA"/>
        </w:rPr>
      </w:pPr>
      <w:hyperlink w:anchor="_Toc121504015" w:history="1">
        <w:r w:rsidR="00616885" w:rsidRPr="00657503">
          <w:rPr>
            <w:rStyle w:val="Hyperlink"/>
            <w:rFonts w:cs="Arial"/>
            <w:b/>
            <w:bCs/>
            <w:iCs/>
            <w:lang w:eastAsia="en-US"/>
          </w:rPr>
          <w:t>5.3.23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the Fall-Back Attribute</w:t>
        </w:r>
        <w:r w:rsidR="00616885">
          <w:rPr>
            <w:webHidden/>
          </w:rPr>
          <w:tab/>
        </w:r>
        <w:r w:rsidR="00616885">
          <w:rPr>
            <w:webHidden/>
          </w:rPr>
          <w:fldChar w:fldCharType="begin"/>
        </w:r>
        <w:r w:rsidR="00616885">
          <w:rPr>
            <w:webHidden/>
          </w:rPr>
          <w:instrText xml:space="preserve"> PAGEREF _Toc121504015 \h </w:instrText>
        </w:r>
        <w:r w:rsidR="00616885">
          <w:rPr>
            <w:webHidden/>
          </w:rPr>
        </w:r>
        <w:r w:rsidR="00616885">
          <w:rPr>
            <w:webHidden/>
          </w:rPr>
          <w:fldChar w:fldCharType="separate"/>
        </w:r>
        <w:r w:rsidR="001D5AD9">
          <w:rPr>
            <w:webHidden/>
          </w:rPr>
          <w:t>301</w:t>
        </w:r>
        <w:r w:rsidR="00616885">
          <w:rPr>
            <w:webHidden/>
          </w:rPr>
          <w:fldChar w:fldCharType="end"/>
        </w:r>
      </w:hyperlink>
    </w:p>
    <w:p w14:paraId="394D6E21" w14:textId="5D255C60" w:rsidR="00616885" w:rsidRDefault="00000000">
      <w:pPr>
        <w:pStyle w:val="TOC3"/>
        <w:rPr>
          <w:rFonts w:asciiTheme="minorHAnsi" w:eastAsiaTheme="minorEastAsia" w:hAnsiTheme="minorHAnsi" w:cstheme="minorBidi"/>
          <w:szCs w:val="22"/>
          <w:lang w:bidi="ar-SA"/>
        </w:rPr>
      </w:pPr>
      <w:hyperlink w:anchor="_Toc121504016" w:history="1">
        <w:r w:rsidR="00616885" w:rsidRPr="00657503">
          <w:rPr>
            <w:rStyle w:val="Hyperlink"/>
            <w:rFonts w:cs="Arial"/>
            <w:b/>
            <w:bCs/>
            <w:iCs/>
            <w:lang w:eastAsia="en-US"/>
          </w:rPr>
          <w:t>5.3.24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Fall-Back Attribute is Set</w:t>
        </w:r>
        <w:r w:rsidR="00616885">
          <w:rPr>
            <w:webHidden/>
          </w:rPr>
          <w:tab/>
        </w:r>
        <w:r w:rsidR="00616885">
          <w:rPr>
            <w:webHidden/>
          </w:rPr>
          <w:fldChar w:fldCharType="begin"/>
        </w:r>
        <w:r w:rsidR="00616885">
          <w:rPr>
            <w:webHidden/>
          </w:rPr>
          <w:instrText xml:space="preserve"> PAGEREF _Toc121504016 \h </w:instrText>
        </w:r>
        <w:r w:rsidR="00616885">
          <w:rPr>
            <w:webHidden/>
          </w:rPr>
        </w:r>
        <w:r w:rsidR="00616885">
          <w:rPr>
            <w:webHidden/>
          </w:rPr>
          <w:fldChar w:fldCharType="separate"/>
        </w:r>
        <w:r w:rsidR="001D5AD9">
          <w:rPr>
            <w:webHidden/>
          </w:rPr>
          <w:t>302</w:t>
        </w:r>
        <w:r w:rsidR="00616885">
          <w:rPr>
            <w:webHidden/>
          </w:rPr>
          <w:fldChar w:fldCharType="end"/>
        </w:r>
      </w:hyperlink>
    </w:p>
    <w:p w14:paraId="6A86BA08" w14:textId="5D32E3C0" w:rsidR="00616885" w:rsidRDefault="00000000">
      <w:pPr>
        <w:pStyle w:val="TOC3"/>
        <w:rPr>
          <w:rFonts w:asciiTheme="minorHAnsi" w:eastAsiaTheme="minorEastAsia" w:hAnsiTheme="minorHAnsi" w:cstheme="minorBidi"/>
          <w:szCs w:val="22"/>
          <w:lang w:bidi="ar-SA"/>
        </w:rPr>
      </w:pPr>
      <w:hyperlink w:anchor="_Toc121504017" w:history="1">
        <w:r w:rsidR="00616885" w:rsidRPr="00657503">
          <w:rPr>
            <w:rStyle w:val="Hyperlink"/>
            <w:rFonts w:cs="Arial"/>
            <w:b/>
            <w:bCs/>
            <w:iCs/>
            <w:lang w:eastAsia="en-US"/>
          </w:rPr>
          <w:t>5.3.25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Fall-Back Attribute is Unset</w:t>
        </w:r>
        <w:r w:rsidR="00616885">
          <w:rPr>
            <w:webHidden/>
          </w:rPr>
          <w:tab/>
        </w:r>
        <w:r w:rsidR="00616885">
          <w:rPr>
            <w:webHidden/>
          </w:rPr>
          <w:fldChar w:fldCharType="begin"/>
        </w:r>
        <w:r w:rsidR="00616885">
          <w:rPr>
            <w:webHidden/>
          </w:rPr>
          <w:instrText xml:space="preserve"> PAGEREF _Toc121504017 \h </w:instrText>
        </w:r>
        <w:r w:rsidR="00616885">
          <w:rPr>
            <w:webHidden/>
          </w:rPr>
        </w:r>
        <w:r w:rsidR="00616885">
          <w:rPr>
            <w:webHidden/>
          </w:rPr>
          <w:fldChar w:fldCharType="separate"/>
        </w:r>
        <w:r w:rsidR="001D5AD9">
          <w:rPr>
            <w:webHidden/>
          </w:rPr>
          <w:t>303</w:t>
        </w:r>
        <w:r w:rsidR="00616885">
          <w:rPr>
            <w:webHidden/>
          </w:rPr>
          <w:fldChar w:fldCharType="end"/>
        </w:r>
      </w:hyperlink>
    </w:p>
    <w:p w14:paraId="4D9BC123" w14:textId="44C8D51C" w:rsidR="00616885" w:rsidRDefault="00000000">
      <w:pPr>
        <w:pStyle w:val="TOC2"/>
        <w:rPr>
          <w:rFonts w:asciiTheme="minorHAnsi" w:eastAsiaTheme="minorEastAsia" w:hAnsiTheme="minorHAnsi" w:cstheme="minorBidi"/>
          <w:szCs w:val="22"/>
          <w:lang w:bidi="ar-SA"/>
        </w:rPr>
      </w:pPr>
      <w:hyperlink w:anchor="_Toc121504018" w:history="1">
        <w:r w:rsidR="00616885" w:rsidRPr="00657503">
          <w:rPr>
            <w:rStyle w:val="Hyperlink"/>
            <w:rFonts w:cs="Arial"/>
            <w:b/>
            <w:bCs/>
            <w:iCs/>
            <w:lang w:val="de-DE" w:eastAsia="en-US"/>
          </w:rPr>
          <w:t>5.4</w:t>
        </w:r>
        <w:r w:rsidR="00616885">
          <w:rPr>
            <w:rFonts w:asciiTheme="minorHAnsi" w:eastAsiaTheme="minorEastAsia" w:hAnsiTheme="minorHAnsi" w:cstheme="minorBidi"/>
            <w:szCs w:val="22"/>
            <w:lang w:bidi="ar-SA"/>
          </w:rPr>
          <w:tab/>
        </w:r>
        <w:r w:rsidR="00616885" w:rsidRPr="00657503">
          <w:rPr>
            <w:rStyle w:val="Hyperlink"/>
            <w:rFonts w:cs="Arial"/>
            <w:b/>
            <w:bCs/>
            <w:iCs/>
            <w:lang w:val="de-DE" w:eastAsia="en-US"/>
          </w:rPr>
          <w:t>ES3 (SM-DP – SM-SR) Interface Description</w:t>
        </w:r>
        <w:r w:rsidR="00616885">
          <w:rPr>
            <w:webHidden/>
          </w:rPr>
          <w:tab/>
        </w:r>
        <w:r w:rsidR="00616885">
          <w:rPr>
            <w:webHidden/>
          </w:rPr>
          <w:fldChar w:fldCharType="begin"/>
        </w:r>
        <w:r w:rsidR="00616885">
          <w:rPr>
            <w:webHidden/>
          </w:rPr>
          <w:instrText xml:space="preserve"> PAGEREF _Toc121504018 \h </w:instrText>
        </w:r>
        <w:r w:rsidR="00616885">
          <w:rPr>
            <w:webHidden/>
          </w:rPr>
        </w:r>
        <w:r w:rsidR="00616885">
          <w:rPr>
            <w:webHidden/>
          </w:rPr>
          <w:fldChar w:fldCharType="separate"/>
        </w:r>
        <w:r w:rsidR="001D5AD9">
          <w:rPr>
            <w:webHidden/>
          </w:rPr>
          <w:t>303</w:t>
        </w:r>
        <w:r w:rsidR="00616885">
          <w:rPr>
            <w:webHidden/>
          </w:rPr>
          <w:fldChar w:fldCharType="end"/>
        </w:r>
      </w:hyperlink>
    </w:p>
    <w:p w14:paraId="6B4D3BB2" w14:textId="2B330F8A" w:rsidR="00616885" w:rsidRDefault="00000000">
      <w:pPr>
        <w:pStyle w:val="TOC3"/>
        <w:rPr>
          <w:rFonts w:asciiTheme="minorHAnsi" w:eastAsiaTheme="minorEastAsia" w:hAnsiTheme="minorHAnsi" w:cstheme="minorBidi"/>
          <w:szCs w:val="22"/>
          <w:lang w:bidi="ar-SA"/>
        </w:rPr>
      </w:pPr>
      <w:hyperlink w:anchor="_Toc121504019" w:history="1">
        <w:r w:rsidR="00616885" w:rsidRPr="00657503">
          <w:rPr>
            <w:rStyle w:val="Hyperlink"/>
            <w:rFonts w:cs="Arial"/>
            <w:b/>
            <w:bCs/>
            <w:iCs/>
            <w:lang w:eastAsia="en-US"/>
          </w:rPr>
          <w:t>5.4.1</w:t>
        </w:r>
        <w:r w:rsidR="00616885">
          <w:rPr>
            <w:rFonts w:asciiTheme="minorHAnsi" w:eastAsiaTheme="minorEastAsia" w:hAnsiTheme="minorHAnsi" w:cstheme="minorBidi"/>
            <w:szCs w:val="22"/>
            <w:lang w:bidi="ar-SA"/>
          </w:rPr>
          <w:tab/>
        </w:r>
        <w:r w:rsidR="00616885" w:rsidRPr="00657503">
          <w:rPr>
            <w:rStyle w:val="Hyperlink"/>
            <w:rFonts w:cs="Arial"/>
            <w:b/>
            <w:lang w:eastAsia="en-US"/>
          </w:rPr>
          <w:t>Getting eUICC Information</w:t>
        </w:r>
        <w:r w:rsidR="00616885">
          <w:rPr>
            <w:webHidden/>
          </w:rPr>
          <w:tab/>
        </w:r>
        <w:r w:rsidR="00616885">
          <w:rPr>
            <w:webHidden/>
          </w:rPr>
          <w:fldChar w:fldCharType="begin"/>
        </w:r>
        <w:r w:rsidR="00616885">
          <w:rPr>
            <w:webHidden/>
          </w:rPr>
          <w:instrText xml:space="preserve"> PAGEREF _Toc121504019 \h </w:instrText>
        </w:r>
        <w:r w:rsidR="00616885">
          <w:rPr>
            <w:webHidden/>
          </w:rPr>
        </w:r>
        <w:r w:rsidR="00616885">
          <w:rPr>
            <w:webHidden/>
          </w:rPr>
          <w:fldChar w:fldCharType="separate"/>
        </w:r>
        <w:r w:rsidR="001D5AD9">
          <w:rPr>
            <w:webHidden/>
          </w:rPr>
          <w:t>304</w:t>
        </w:r>
        <w:r w:rsidR="00616885">
          <w:rPr>
            <w:webHidden/>
          </w:rPr>
          <w:fldChar w:fldCharType="end"/>
        </w:r>
      </w:hyperlink>
    </w:p>
    <w:p w14:paraId="0CF80FA8" w14:textId="39D12AF7" w:rsidR="00616885" w:rsidRDefault="00000000">
      <w:pPr>
        <w:pStyle w:val="TOC3"/>
        <w:rPr>
          <w:rFonts w:asciiTheme="minorHAnsi" w:eastAsiaTheme="minorEastAsia" w:hAnsiTheme="minorHAnsi" w:cstheme="minorBidi"/>
          <w:szCs w:val="22"/>
          <w:lang w:bidi="ar-SA"/>
        </w:rPr>
      </w:pPr>
      <w:hyperlink w:anchor="_Toc121504020" w:history="1">
        <w:r w:rsidR="00616885" w:rsidRPr="00657503">
          <w:rPr>
            <w:rStyle w:val="Hyperlink"/>
            <w:rFonts w:cs="Arial"/>
            <w:b/>
            <w:bCs/>
            <w:iCs/>
            <w:lang w:eastAsia="en-US"/>
          </w:rPr>
          <w:t>5.4.2</w:t>
        </w:r>
        <w:r w:rsidR="00616885">
          <w:rPr>
            <w:rFonts w:asciiTheme="minorHAnsi" w:eastAsiaTheme="minorEastAsia" w:hAnsiTheme="minorHAnsi" w:cstheme="minorBidi"/>
            <w:szCs w:val="22"/>
            <w:lang w:bidi="ar-SA"/>
          </w:rPr>
          <w:tab/>
        </w:r>
        <w:r w:rsidR="00616885" w:rsidRPr="00657503">
          <w:rPr>
            <w:rStyle w:val="Hyperlink"/>
            <w:rFonts w:cs="Arial"/>
            <w:b/>
            <w:lang w:eastAsia="en-US"/>
          </w:rPr>
          <w:t>Auditing eUICC Information</w:t>
        </w:r>
        <w:r w:rsidR="00616885">
          <w:rPr>
            <w:webHidden/>
          </w:rPr>
          <w:tab/>
        </w:r>
        <w:r w:rsidR="00616885">
          <w:rPr>
            <w:webHidden/>
          </w:rPr>
          <w:fldChar w:fldCharType="begin"/>
        </w:r>
        <w:r w:rsidR="00616885">
          <w:rPr>
            <w:webHidden/>
          </w:rPr>
          <w:instrText xml:space="preserve"> PAGEREF _Toc121504020 \h </w:instrText>
        </w:r>
        <w:r w:rsidR="00616885">
          <w:rPr>
            <w:webHidden/>
          </w:rPr>
        </w:r>
        <w:r w:rsidR="00616885">
          <w:rPr>
            <w:webHidden/>
          </w:rPr>
          <w:fldChar w:fldCharType="separate"/>
        </w:r>
        <w:r w:rsidR="001D5AD9">
          <w:rPr>
            <w:webHidden/>
          </w:rPr>
          <w:t>305</w:t>
        </w:r>
        <w:r w:rsidR="00616885">
          <w:rPr>
            <w:webHidden/>
          </w:rPr>
          <w:fldChar w:fldCharType="end"/>
        </w:r>
      </w:hyperlink>
    </w:p>
    <w:p w14:paraId="237D5A67" w14:textId="079DD47F" w:rsidR="00616885" w:rsidRDefault="00000000">
      <w:pPr>
        <w:pStyle w:val="TOC3"/>
        <w:rPr>
          <w:rFonts w:asciiTheme="minorHAnsi" w:eastAsiaTheme="minorEastAsia" w:hAnsiTheme="minorHAnsi" w:cstheme="minorBidi"/>
          <w:szCs w:val="22"/>
          <w:lang w:bidi="ar-SA"/>
        </w:rPr>
      </w:pPr>
      <w:hyperlink w:anchor="_Toc121504021" w:history="1">
        <w:r w:rsidR="00616885" w:rsidRPr="00657503">
          <w:rPr>
            <w:rStyle w:val="Hyperlink"/>
            <w:rFonts w:cs="Arial"/>
            <w:b/>
            <w:bCs/>
            <w:iCs/>
            <w:lang w:eastAsia="en-US"/>
          </w:rPr>
          <w:t>5.4.3</w:t>
        </w:r>
        <w:r w:rsidR="00616885">
          <w:rPr>
            <w:rFonts w:asciiTheme="minorHAnsi" w:eastAsiaTheme="minorEastAsia" w:hAnsiTheme="minorHAnsi" w:cstheme="minorBidi"/>
            <w:szCs w:val="22"/>
            <w:lang w:bidi="ar-SA"/>
          </w:rPr>
          <w:tab/>
        </w:r>
        <w:r w:rsidR="00616885" w:rsidRPr="00657503">
          <w:rPr>
            <w:rStyle w:val="Hyperlink"/>
            <w:rFonts w:cs="Arial"/>
            <w:b/>
            <w:lang w:eastAsia="en-US"/>
          </w:rPr>
          <w:t>Create a New ISD-P in an eUICC</w:t>
        </w:r>
        <w:r w:rsidR="00616885">
          <w:rPr>
            <w:webHidden/>
          </w:rPr>
          <w:tab/>
        </w:r>
        <w:r w:rsidR="00616885">
          <w:rPr>
            <w:webHidden/>
          </w:rPr>
          <w:fldChar w:fldCharType="begin"/>
        </w:r>
        <w:r w:rsidR="00616885">
          <w:rPr>
            <w:webHidden/>
          </w:rPr>
          <w:instrText xml:space="preserve"> PAGEREF _Toc121504021 \h </w:instrText>
        </w:r>
        <w:r w:rsidR="00616885">
          <w:rPr>
            <w:webHidden/>
          </w:rPr>
        </w:r>
        <w:r w:rsidR="00616885">
          <w:rPr>
            <w:webHidden/>
          </w:rPr>
          <w:fldChar w:fldCharType="separate"/>
        </w:r>
        <w:r w:rsidR="001D5AD9">
          <w:rPr>
            <w:webHidden/>
          </w:rPr>
          <w:t>307</w:t>
        </w:r>
        <w:r w:rsidR="00616885">
          <w:rPr>
            <w:webHidden/>
          </w:rPr>
          <w:fldChar w:fldCharType="end"/>
        </w:r>
      </w:hyperlink>
    </w:p>
    <w:p w14:paraId="1B01E801" w14:textId="554D5931" w:rsidR="00616885" w:rsidRDefault="00000000">
      <w:pPr>
        <w:pStyle w:val="TOC3"/>
        <w:rPr>
          <w:rFonts w:asciiTheme="minorHAnsi" w:eastAsiaTheme="minorEastAsia" w:hAnsiTheme="minorHAnsi" w:cstheme="minorBidi"/>
          <w:szCs w:val="22"/>
          <w:lang w:bidi="ar-SA"/>
        </w:rPr>
      </w:pPr>
      <w:hyperlink w:anchor="_Toc121504022" w:history="1">
        <w:r w:rsidR="00616885" w:rsidRPr="00657503">
          <w:rPr>
            <w:rStyle w:val="Hyperlink"/>
            <w:rFonts w:cs="Arial"/>
            <w:b/>
            <w:bCs/>
            <w:iCs/>
            <w:lang w:eastAsia="en-US"/>
          </w:rPr>
          <w:t>5.4.4</w:t>
        </w:r>
        <w:r w:rsidR="00616885">
          <w:rPr>
            <w:rFonts w:asciiTheme="minorHAnsi" w:eastAsiaTheme="minorEastAsia" w:hAnsiTheme="minorHAnsi" w:cstheme="minorBidi"/>
            <w:szCs w:val="22"/>
            <w:lang w:bidi="ar-SA"/>
          </w:rPr>
          <w:tab/>
        </w:r>
        <w:r w:rsidR="00616885" w:rsidRPr="00657503">
          <w:rPr>
            <w:rStyle w:val="Hyperlink"/>
            <w:rFonts w:cs="Arial"/>
            <w:b/>
            <w:lang w:eastAsia="en-US"/>
          </w:rPr>
          <w:t>Download</w:t>
        </w:r>
        <w:r w:rsidR="00616885" w:rsidRPr="00657503">
          <w:rPr>
            <w:rStyle w:val="Hyperlink"/>
            <w:rFonts w:cs="Arial"/>
            <w:b/>
            <w:bCs/>
            <w:iCs/>
            <w:lang w:eastAsia="en-US"/>
          </w:rPr>
          <w:t xml:space="preserve"> a New Profile</w:t>
        </w:r>
        <w:r w:rsidR="00616885">
          <w:rPr>
            <w:webHidden/>
          </w:rPr>
          <w:tab/>
        </w:r>
        <w:r w:rsidR="00616885">
          <w:rPr>
            <w:webHidden/>
          </w:rPr>
          <w:fldChar w:fldCharType="begin"/>
        </w:r>
        <w:r w:rsidR="00616885">
          <w:rPr>
            <w:webHidden/>
          </w:rPr>
          <w:instrText xml:space="preserve"> PAGEREF _Toc121504022 \h </w:instrText>
        </w:r>
        <w:r w:rsidR="00616885">
          <w:rPr>
            <w:webHidden/>
          </w:rPr>
        </w:r>
        <w:r w:rsidR="00616885">
          <w:rPr>
            <w:webHidden/>
          </w:rPr>
          <w:fldChar w:fldCharType="separate"/>
        </w:r>
        <w:r w:rsidR="001D5AD9">
          <w:rPr>
            <w:webHidden/>
          </w:rPr>
          <w:t>309</w:t>
        </w:r>
        <w:r w:rsidR="00616885">
          <w:rPr>
            <w:webHidden/>
          </w:rPr>
          <w:fldChar w:fldCharType="end"/>
        </w:r>
      </w:hyperlink>
    </w:p>
    <w:p w14:paraId="332E25E3" w14:textId="6EF4336F" w:rsidR="00616885" w:rsidRDefault="00000000">
      <w:pPr>
        <w:pStyle w:val="TOC3"/>
        <w:rPr>
          <w:rFonts w:asciiTheme="minorHAnsi" w:eastAsiaTheme="minorEastAsia" w:hAnsiTheme="minorHAnsi" w:cstheme="minorBidi"/>
          <w:szCs w:val="22"/>
          <w:lang w:bidi="ar-SA"/>
        </w:rPr>
      </w:pPr>
      <w:hyperlink w:anchor="_Toc121504023" w:history="1">
        <w:r w:rsidR="00616885" w:rsidRPr="00657503">
          <w:rPr>
            <w:rStyle w:val="Hyperlink"/>
            <w:rFonts w:cs="Arial"/>
            <w:b/>
            <w:bCs/>
            <w:iCs/>
            <w:lang w:eastAsia="en-US"/>
          </w:rPr>
          <w:t>5.4.5</w:t>
        </w:r>
        <w:r w:rsidR="00616885">
          <w:rPr>
            <w:rFonts w:asciiTheme="minorHAnsi" w:eastAsiaTheme="minorEastAsia" w:hAnsiTheme="minorHAnsi" w:cstheme="minorBidi"/>
            <w:szCs w:val="22"/>
            <w:lang w:bidi="ar-SA"/>
          </w:rPr>
          <w:tab/>
        </w:r>
        <w:r w:rsidR="00616885" w:rsidRPr="00657503">
          <w:rPr>
            <w:rStyle w:val="Hyperlink"/>
            <w:rFonts w:cs="Arial"/>
            <w:b/>
            <w:lang w:eastAsia="en-US"/>
          </w:rPr>
          <w:t>Indicating the Profile Download is Completed</w:t>
        </w:r>
        <w:r w:rsidR="00616885">
          <w:rPr>
            <w:webHidden/>
          </w:rPr>
          <w:tab/>
        </w:r>
        <w:r w:rsidR="00616885">
          <w:rPr>
            <w:webHidden/>
          </w:rPr>
          <w:fldChar w:fldCharType="begin"/>
        </w:r>
        <w:r w:rsidR="00616885">
          <w:rPr>
            <w:webHidden/>
          </w:rPr>
          <w:instrText xml:space="preserve"> PAGEREF _Toc121504023 \h </w:instrText>
        </w:r>
        <w:r w:rsidR="00616885">
          <w:rPr>
            <w:webHidden/>
          </w:rPr>
        </w:r>
        <w:r w:rsidR="00616885">
          <w:rPr>
            <w:webHidden/>
          </w:rPr>
          <w:fldChar w:fldCharType="separate"/>
        </w:r>
        <w:r w:rsidR="001D5AD9">
          <w:rPr>
            <w:webHidden/>
          </w:rPr>
          <w:t>312</w:t>
        </w:r>
        <w:r w:rsidR="00616885">
          <w:rPr>
            <w:webHidden/>
          </w:rPr>
          <w:fldChar w:fldCharType="end"/>
        </w:r>
      </w:hyperlink>
    </w:p>
    <w:p w14:paraId="0C703FCC" w14:textId="4CD00EC2" w:rsidR="00616885" w:rsidRDefault="00000000">
      <w:pPr>
        <w:pStyle w:val="TOC3"/>
        <w:rPr>
          <w:rFonts w:asciiTheme="minorHAnsi" w:eastAsiaTheme="minorEastAsia" w:hAnsiTheme="minorHAnsi" w:cstheme="minorBidi"/>
          <w:szCs w:val="22"/>
          <w:lang w:bidi="ar-SA"/>
        </w:rPr>
      </w:pPr>
      <w:hyperlink w:anchor="_Toc121504024" w:history="1">
        <w:r w:rsidR="00616885" w:rsidRPr="00657503">
          <w:rPr>
            <w:rStyle w:val="Hyperlink"/>
            <w:rFonts w:cs="Arial"/>
            <w:b/>
            <w:bCs/>
            <w:iCs/>
            <w:lang w:eastAsia="en-US"/>
          </w:rPr>
          <w:t>5.4.6</w:t>
        </w:r>
        <w:r w:rsidR="00616885">
          <w:rPr>
            <w:rFonts w:asciiTheme="minorHAnsi" w:eastAsiaTheme="minorEastAsia" w:hAnsiTheme="minorHAnsi" w:cstheme="minorBidi"/>
            <w:szCs w:val="22"/>
            <w:lang w:bidi="ar-SA"/>
          </w:rPr>
          <w:tab/>
        </w:r>
        <w:r w:rsidR="00616885" w:rsidRPr="00657503">
          <w:rPr>
            <w:rStyle w:val="Hyperlink"/>
            <w:rFonts w:cs="Arial"/>
            <w:b/>
            <w:lang w:eastAsia="en-US"/>
          </w:rPr>
          <w:t>Updating the Policy Rules of a Profile</w:t>
        </w:r>
        <w:r w:rsidR="00616885">
          <w:rPr>
            <w:webHidden/>
          </w:rPr>
          <w:tab/>
        </w:r>
        <w:r w:rsidR="00616885">
          <w:rPr>
            <w:webHidden/>
          </w:rPr>
          <w:fldChar w:fldCharType="begin"/>
        </w:r>
        <w:r w:rsidR="00616885">
          <w:rPr>
            <w:webHidden/>
          </w:rPr>
          <w:instrText xml:space="preserve"> PAGEREF _Toc121504024 \h </w:instrText>
        </w:r>
        <w:r w:rsidR="00616885">
          <w:rPr>
            <w:webHidden/>
          </w:rPr>
        </w:r>
        <w:r w:rsidR="00616885">
          <w:rPr>
            <w:webHidden/>
          </w:rPr>
          <w:fldChar w:fldCharType="separate"/>
        </w:r>
        <w:r w:rsidR="001D5AD9">
          <w:rPr>
            <w:webHidden/>
          </w:rPr>
          <w:t>313</w:t>
        </w:r>
        <w:r w:rsidR="00616885">
          <w:rPr>
            <w:webHidden/>
          </w:rPr>
          <w:fldChar w:fldCharType="end"/>
        </w:r>
      </w:hyperlink>
    </w:p>
    <w:p w14:paraId="494C2FC7" w14:textId="0F62BFB6" w:rsidR="00616885" w:rsidRDefault="00000000">
      <w:pPr>
        <w:pStyle w:val="TOC3"/>
        <w:rPr>
          <w:rFonts w:asciiTheme="minorHAnsi" w:eastAsiaTheme="minorEastAsia" w:hAnsiTheme="minorHAnsi" w:cstheme="minorBidi"/>
          <w:szCs w:val="22"/>
          <w:lang w:bidi="ar-SA"/>
        </w:rPr>
      </w:pPr>
      <w:hyperlink w:anchor="_Toc121504025" w:history="1">
        <w:r w:rsidR="00616885" w:rsidRPr="00657503">
          <w:rPr>
            <w:rStyle w:val="Hyperlink"/>
            <w:rFonts w:cs="Arial"/>
            <w:b/>
            <w:bCs/>
            <w:iCs/>
            <w:lang w:eastAsia="en-US"/>
          </w:rPr>
          <w:t>5.4.7</w:t>
        </w:r>
        <w:r w:rsidR="00616885">
          <w:rPr>
            <w:rFonts w:asciiTheme="minorHAnsi" w:eastAsiaTheme="minorEastAsia" w:hAnsiTheme="minorHAnsi" w:cstheme="minorBidi"/>
            <w:szCs w:val="22"/>
            <w:lang w:bidi="ar-SA"/>
          </w:rPr>
          <w:tab/>
        </w:r>
        <w:r w:rsidR="00616885" w:rsidRPr="00657503">
          <w:rPr>
            <w:rStyle w:val="Hyperlink"/>
            <w:rFonts w:cs="Arial"/>
            <w:b/>
            <w:lang w:eastAsia="en-US"/>
          </w:rPr>
          <w:t>Updating eUICC Information</w:t>
        </w:r>
        <w:r w:rsidR="00616885">
          <w:rPr>
            <w:webHidden/>
          </w:rPr>
          <w:tab/>
        </w:r>
        <w:r w:rsidR="00616885">
          <w:rPr>
            <w:webHidden/>
          </w:rPr>
          <w:fldChar w:fldCharType="begin"/>
        </w:r>
        <w:r w:rsidR="00616885">
          <w:rPr>
            <w:webHidden/>
          </w:rPr>
          <w:instrText xml:space="preserve"> PAGEREF _Toc121504025 \h </w:instrText>
        </w:r>
        <w:r w:rsidR="00616885">
          <w:rPr>
            <w:webHidden/>
          </w:rPr>
        </w:r>
        <w:r w:rsidR="00616885">
          <w:rPr>
            <w:webHidden/>
          </w:rPr>
          <w:fldChar w:fldCharType="separate"/>
        </w:r>
        <w:r w:rsidR="001D5AD9">
          <w:rPr>
            <w:webHidden/>
          </w:rPr>
          <w:t>314</w:t>
        </w:r>
        <w:r w:rsidR="00616885">
          <w:rPr>
            <w:webHidden/>
          </w:rPr>
          <w:fldChar w:fldCharType="end"/>
        </w:r>
      </w:hyperlink>
    </w:p>
    <w:p w14:paraId="0AD1C7C1" w14:textId="6557D74F" w:rsidR="00616885" w:rsidRDefault="00000000">
      <w:pPr>
        <w:pStyle w:val="TOC3"/>
        <w:rPr>
          <w:rFonts w:asciiTheme="minorHAnsi" w:eastAsiaTheme="minorEastAsia" w:hAnsiTheme="minorHAnsi" w:cstheme="minorBidi"/>
          <w:szCs w:val="22"/>
          <w:lang w:bidi="ar-SA"/>
        </w:rPr>
      </w:pPr>
      <w:hyperlink w:anchor="_Toc121504026" w:history="1">
        <w:r w:rsidR="00616885" w:rsidRPr="00657503">
          <w:rPr>
            <w:rStyle w:val="Hyperlink"/>
            <w:rFonts w:cs="Arial"/>
            <w:b/>
            <w:bCs/>
            <w:iCs/>
            <w:lang w:eastAsia="en-US"/>
          </w:rPr>
          <w:t>5.4.8</w:t>
        </w:r>
        <w:r w:rsidR="00616885">
          <w:rPr>
            <w:rFonts w:asciiTheme="minorHAnsi" w:eastAsiaTheme="minorEastAsia" w:hAnsiTheme="minorHAnsi" w:cstheme="minorBidi"/>
            <w:szCs w:val="22"/>
            <w:lang w:bidi="ar-SA"/>
          </w:rPr>
          <w:tab/>
        </w:r>
        <w:r w:rsidR="00616885" w:rsidRPr="00657503">
          <w:rPr>
            <w:rStyle w:val="Hyperlink"/>
            <w:rFonts w:cs="Arial"/>
            <w:b/>
            <w:lang w:eastAsia="en-US"/>
          </w:rPr>
          <w:t>Profile Enabling</w:t>
        </w:r>
        <w:r w:rsidR="00616885">
          <w:rPr>
            <w:webHidden/>
          </w:rPr>
          <w:tab/>
        </w:r>
        <w:r w:rsidR="00616885">
          <w:rPr>
            <w:webHidden/>
          </w:rPr>
          <w:fldChar w:fldCharType="begin"/>
        </w:r>
        <w:r w:rsidR="00616885">
          <w:rPr>
            <w:webHidden/>
          </w:rPr>
          <w:instrText xml:space="preserve"> PAGEREF _Toc121504026 \h </w:instrText>
        </w:r>
        <w:r w:rsidR="00616885">
          <w:rPr>
            <w:webHidden/>
          </w:rPr>
        </w:r>
        <w:r w:rsidR="00616885">
          <w:rPr>
            <w:webHidden/>
          </w:rPr>
          <w:fldChar w:fldCharType="separate"/>
        </w:r>
        <w:r w:rsidR="001D5AD9">
          <w:rPr>
            <w:webHidden/>
          </w:rPr>
          <w:t>316</w:t>
        </w:r>
        <w:r w:rsidR="00616885">
          <w:rPr>
            <w:webHidden/>
          </w:rPr>
          <w:fldChar w:fldCharType="end"/>
        </w:r>
      </w:hyperlink>
    </w:p>
    <w:p w14:paraId="2CE8DE27" w14:textId="75FFAFDB" w:rsidR="00616885" w:rsidRDefault="00000000">
      <w:pPr>
        <w:pStyle w:val="TOC3"/>
        <w:rPr>
          <w:rFonts w:asciiTheme="minorHAnsi" w:eastAsiaTheme="minorEastAsia" w:hAnsiTheme="minorHAnsi" w:cstheme="minorBidi"/>
          <w:szCs w:val="22"/>
          <w:lang w:bidi="ar-SA"/>
        </w:rPr>
      </w:pPr>
      <w:hyperlink w:anchor="_Toc121504027" w:history="1">
        <w:r w:rsidR="00616885" w:rsidRPr="00657503">
          <w:rPr>
            <w:rStyle w:val="Hyperlink"/>
            <w:rFonts w:cs="Arial"/>
            <w:b/>
            <w:bCs/>
            <w:iCs/>
            <w:lang w:eastAsia="en-US"/>
          </w:rPr>
          <w:t>5.4.9</w:t>
        </w:r>
        <w:r w:rsidR="00616885">
          <w:rPr>
            <w:rFonts w:asciiTheme="minorHAnsi" w:eastAsiaTheme="minorEastAsia" w:hAnsiTheme="minorHAnsi" w:cstheme="minorBidi"/>
            <w:szCs w:val="22"/>
            <w:lang w:bidi="ar-SA"/>
          </w:rPr>
          <w:tab/>
        </w:r>
        <w:r w:rsidR="00616885" w:rsidRPr="00657503">
          <w:rPr>
            <w:rStyle w:val="Hyperlink"/>
            <w:rFonts w:cs="Arial"/>
            <w:b/>
            <w:lang w:eastAsia="en-US"/>
          </w:rPr>
          <w:t>Profile Disabling</w:t>
        </w:r>
        <w:r w:rsidR="00616885">
          <w:rPr>
            <w:webHidden/>
          </w:rPr>
          <w:tab/>
        </w:r>
        <w:r w:rsidR="00616885">
          <w:rPr>
            <w:webHidden/>
          </w:rPr>
          <w:fldChar w:fldCharType="begin"/>
        </w:r>
        <w:r w:rsidR="00616885">
          <w:rPr>
            <w:webHidden/>
          </w:rPr>
          <w:instrText xml:space="preserve"> PAGEREF _Toc121504027 \h </w:instrText>
        </w:r>
        <w:r w:rsidR="00616885">
          <w:rPr>
            <w:webHidden/>
          </w:rPr>
        </w:r>
        <w:r w:rsidR="00616885">
          <w:rPr>
            <w:webHidden/>
          </w:rPr>
          <w:fldChar w:fldCharType="separate"/>
        </w:r>
        <w:r w:rsidR="001D5AD9">
          <w:rPr>
            <w:webHidden/>
          </w:rPr>
          <w:t>317</w:t>
        </w:r>
        <w:r w:rsidR="00616885">
          <w:rPr>
            <w:webHidden/>
          </w:rPr>
          <w:fldChar w:fldCharType="end"/>
        </w:r>
      </w:hyperlink>
    </w:p>
    <w:p w14:paraId="7C9F49FE" w14:textId="42C29ED8" w:rsidR="00616885" w:rsidRDefault="00000000">
      <w:pPr>
        <w:pStyle w:val="TOC3"/>
        <w:rPr>
          <w:rFonts w:asciiTheme="minorHAnsi" w:eastAsiaTheme="minorEastAsia" w:hAnsiTheme="minorHAnsi" w:cstheme="minorBidi"/>
          <w:szCs w:val="22"/>
          <w:lang w:bidi="ar-SA"/>
        </w:rPr>
      </w:pPr>
      <w:hyperlink w:anchor="_Toc121504028" w:history="1">
        <w:r w:rsidR="00616885" w:rsidRPr="00657503">
          <w:rPr>
            <w:rStyle w:val="Hyperlink"/>
            <w:rFonts w:cs="Arial"/>
            <w:b/>
            <w:bCs/>
            <w:iCs/>
            <w:lang w:eastAsia="en-US"/>
          </w:rPr>
          <w:t>5.4.10</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Delete an ISD-P</w:t>
        </w:r>
        <w:r w:rsidR="00616885">
          <w:rPr>
            <w:webHidden/>
          </w:rPr>
          <w:tab/>
        </w:r>
        <w:r w:rsidR="00616885">
          <w:rPr>
            <w:webHidden/>
          </w:rPr>
          <w:fldChar w:fldCharType="begin"/>
        </w:r>
        <w:r w:rsidR="00616885">
          <w:rPr>
            <w:webHidden/>
          </w:rPr>
          <w:instrText xml:space="preserve"> PAGEREF _Toc121504028 \h </w:instrText>
        </w:r>
        <w:r w:rsidR="00616885">
          <w:rPr>
            <w:webHidden/>
          </w:rPr>
        </w:r>
        <w:r w:rsidR="00616885">
          <w:rPr>
            <w:webHidden/>
          </w:rPr>
          <w:fldChar w:fldCharType="separate"/>
        </w:r>
        <w:r w:rsidR="001D5AD9">
          <w:rPr>
            <w:webHidden/>
          </w:rPr>
          <w:t>319</w:t>
        </w:r>
        <w:r w:rsidR="00616885">
          <w:rPr>
            <w:webHidden/>
          </w:rPr>
          <w:fldChar w:fldCharType="end"/>
        </w:r>
      </w:hyperlink>
    </w:p>
    <w:p w14:paraId="05E68E96" w14:textId="2E8334C4" w:rsidR="00616885" w:rsidRDefault="00000000">
      <w:pPr>
        <w:pStyle w:val="TOC3"/>
        <w:rPr>
          <w:rFonts w:asciiTheme="minorHAnsi" w:eastAsiaTheme="minorEastAsia" w:hAnsiTheme="minorHAnsi" w:cstheme="minorBidi"/>
          <w:szCs w:val="22"/>
          <w:lang w:bidi="ar-SA"/>
        </w:rPr>
      </w:pPr>
      <w:hyperlink w:anchor="_Toc121504029" w:history="1">
        <w:r w:rsidR="00616885" w:rsidRPr="00657503">
          <w:rPr>
            <w:rStyle w:val="Hyperlink"/>
            <w:rFonts w:cs="Arial"/>
            <w:b/>
            <w:bCs/>
            <w:iCs/>
            <w:lang w:eastAsia="en-US"/>
          </w:rPr>
          <w:t>5.4.11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Update Connectivity Parameters</w:t>
        </w:r>
        <w:r w:rsidR="00616885">
          <w:rPr>
            <w:webHidden/>
          </w:rPr>
          <w:tab/>
        </w:r>
        <w:r w:rsidR="00616885">
          <w:rPr>
            <w:webHidden/>
          </w:rPr>
          <w:fldChar w:fldCharType="begin"/>
        </w:r>
        <w:r w:rsidR="00616885">
          <w:rPr>
            <w:webHidden/>
          </w:rPr>
          <w:instrText xml:space="preserve"> PAGEREF _Toc121504029 \h </w:instrText>
        </w:r>
        <w:r w:rsidR="00616885">
          <w:rPr>
            <w:webHidden/>
          </w:rPr>
        </w:r>
        <w:r w:rsidR="00616885">
          <w:rPr>
            <w:webHidden/>
          </w:rPr>
          <w:fldChar w:fldCharType="separate"/>
        </w:r>
        <w:r w:rsidR="001D5AD9">
          <w:rPr>
            <w:webHidden/>
          </w:rPr>
          <w:t>322</w:t>
        </w:r>
        <w:r w:rsidR="00616885">
          <w:rPr>
            <w:webHidden/>
          </w:rPr>
          <w:fldChar w:fldCharType="end"/>
        </w:r>
      </w:hyperlink>
    </w:p>
    <w:p w14:paraId="78F8C6F6" w14:textId="6AA5134A" w:rsidR="00616885" w:rsidRDefault="00000000">
      <w:pPr>
        <w:pStyle w:val="TOC3"/>
        <w:rPr>
          <w:rFonts w:asciiTheme="minorHAnsi" w:eastAsiaTheme="minorEastAsia" w:hAnsiTheme="minorHAnsi" w:cstheme="minorBidi"/>
          <w:szCs w:val="22"/>
          <w:lang w:bidi="ar-SA"/>
        </w:rPr>
      </w:pPr>
      <w:hyperlink w:anchor="_Toc121504030" w:history="1">
        <w:r w:rsidR="00616885" w:rsidRPr="00657503">
          <w:rPr>
            <w:rStyle w:val="Hyperlink"/>
            <w:rFonts w:cs="Arial"/>
            <w:b/>
            <w:bCs/>
            <w:iCs/>
            <w:lang w:eastAsia="en-US"/>
          </w:rPr>
          <w:t>5.4.12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Notify a Profile is </w:t>
        </w:r>
        <w:r w:rsidR="00616885" w:rsidRPr="00657503">
          <w:rPr>
            <w:rStyle w:val="Hyperlink"/>
            <w:rFonts w:cs="Arial"/>
            <w:b/>
            <w:lang w:eastAsia="en-US"/>
          </w:rPr>
          <w:t>Disabled</w:t>
        </w:r>
        <w:r w:rsidR="00616885">
          <w:rPr>
            <w:webHidden/>
          </w:rPr>
          <w:tab/>
        </w:r>
        <w:r w:rsidR="00616885">
          <w:rPr>
            <w:webHidden/>
          </w:rPr>
          <w:fldChar w:fldCharType="begin"/>
        </w:r>
        <w:r w:rsidR="00616885">
          <w:rPr>
            <w:webHidden/>
          </w:rPr>
          <w:instrText xml:space="preserve"> PAGEREF _Toc121504030 \h </w:instrText>
        </w:r>
        <w:r w:rsidR="00616885">
          <w:rPr>
            <w:webHidden/>
          </w:rPr>
        </w:r>
        <w:r w:rsidR="00616885">
          <w:rPr>
            <w:webHidden/>
          </w:rPr>
          <w:fldChar w:fldCharType="separate"/>
        </w:r>
        <w:r w:rsidR="001D5AD9">
          <w:rPr>
            <w:webHidden/>
          </w:rPr>
          <w:t>324</w:t>
        </w:r>
        <w:r w:rsidR="00616885">
          <w:rPr>
            <w:webHidden/>
          </w:rPr>
          <w:fldChar w:fldCharType="end"/>
        </w:r>
      </w:hyperlink>
    </w:p>
    <w:p w14:paraId="7AF5CD97" w14:textId="4AC4075C" w:rsidR="00616885" w:rsidRDefault="00000000">
      <w:pPr>
        <w:pStyle w:val="TOC3"/>
        <w:rPr>
          <w:rFonts w:asciiTheme="minorHAnsi" w:eastAsiaTheme="minorEastAsia" w:hAnsiTheme="minorHAnsi" w:cstheme="minorBidi"/>
          <w:szCs w:val="22"/>
          <w:lang w:bidi="ar-SA"/>
        </w:rPr>
      </w:pPr>
      <w:hyperlink w:anchor="_Toc121504031" w:history="1">
        <w:r w:rsidR="00616885" w:rsidRPr="00657503">
          <w:rPr>
            <w:rStyle w:val="Hyperlink"/>
            <w:rFonts w:cs="Arial"/>
            <w:b/>
            <w:bCs/>
            <w:iCs/>
            <w:lang w:eastAsia="en-US"/>
          </w:rPr>
          <w:t>5.4.13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Notify a Profile </w:t>
        </w:r>
        <w:r w:rsidR="00616885" w:rsidRPr="00657503">
          <w:rPr>
            <w:rStyle w:val="Hyperlink"/>
            <w:rFonts w:cs="Arial"/>
            <w:b/>
            <w:lang w:eastAsia="en-US"/>
          </w:rPr>
          <w:t>Enabling</w:t>
        </w:r>
        <w:r w:rsidR="00616885">
          <w:rPr>
            <w:webHidden/>
          </w:rPr>
          <w:tab/>
        </w:r>
        <w:r w:rsidR="00616885">
          <w:rPr>
            <w:webHidden/>
          </w:rPr>
          <w:fldChar w:fldCharType="begin"/>
        </w:r>
        <w:r w:rsidR="00616885">
          <w:rPr>
            <w:webHidden/>
          </w:rPr>
          <w:instrText xml:space="preserve"> PAGEREF _Toc121504031 \h </w:instrText>
        </w:r>
        <w:r w:rsidR="00616885">
          <w:rPr>
            <w:webHidden/>
          </w:rPr>
        </w:r>
        <w:r w:rsidR="00616885">
          <w:rPr>
            <w:webHidden/>
          </w:rPr>
          <w:fldChar w:fldCharType="separate"/>
        </w:r>
        <w:r w:rsidR="001D5AD9">
          <w:rPr>
            <w:webHidden/>
          </w:rPr>
          <w:t>325</w:t>
        </w:r>
        <w:r w:rsidR="00616885">
          <w:rPr>
            <w:webHidden/>
          </w:rPr>
          <w:fldChar w:fldCharType="end"/>
        </w:r>
      </w:hyperlink>
    </w:p>
    <w:p w14:paraId="42DD0E5E" w14:textId="0BF3EA12" w:rsidR="00616885" w:rsidRDefault="00000000">
      <w:pPr>
        <w:pStyle w:val="TOC3"/>
        <w:rPr>
          <w:rFonts w:asciiTheme="minorHAnsi" w:eastAsiaTheme="minorEastAsia" w:hAnsiTheme="minorHAnsi" w:cstheme="minorBidi"/>
          <w:szCs w:val="22"/>
          <w:lang w:bidi="ar-SA"/>
        </w:rPr>
      </w:pPr>
      <w:hyperlink w:anchor="_Toc121504032" w:history="1">
        <w:r w:rsidR="00616885" w:rsidRPr="00657503">
          <w:rPr>
            <w:rStyle w:val="Hyperlink"/>
            <w:rFonts w:cs="Arial"/>
            <w:b/>
            <w:bCs/>
            <w:iCs/>
            <w:lang w:eastAsia="en-US"/>
          </w:rPr>
          <w:t>5.4.14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Notify an SM-SR </w:t>
        </w:r>
        <w:r w:rsidR="00616885" w:rsidRPr="00657503">
          <w:rPr>
            <w:rStyle w:val="Hyperlink"/>
            <w:rFonts w:cs="Arial"/>
            <w:b/>
            <w:lang w:eastAsia="en-US"/>
          </w:rPr>
          <w:t>Change</w:t>
        </w:r>
        <w:r w:rsidR="00616885">
          <w:rPr>
            <w:webHidden/>
          </w:rPr>
          <w:tab/>
        </w:r>
        <w:r w:rsidR="00616885">
          <w:rPr>
            <w:webHidden/>
          </w:rPr>
          <w:fldChar w:fldCharType="begin"/>
        </w:r>
        <w:r w:rsidR="00616885">
          <w:rPr>
            <w:webHidden/>
          </w:rPr>
          <w:instrText xml:space="preserve"> PAGEREF _Toc121504032 \h </w:instrText>
        </w:r>
        <w:r w:rsidR="00616885">
          <w:rPr>
            <w:webHidden/>
          </w:rPr>
        </w:r>
        <w:r w:rsidR="00616885">
          <w:rPr>
            <w:webHidden/>
          </w:rPr>
          <w:fldChar w:fldCharType="separate"/>
        </w:r>
        <w:r w:rsidR="001D5AD9">
          <w:rPr>
            <w:webHidden/>
          </w:rPr>
          <w:t>326</w:t>
        </w:r>
        <w:r w:rsidR="00616885">
          <w:rPr>
            <w:webHidden/>
          </w:rPr>
          <w:fldChar w:fldCharType="end"/>
        </w:r>
      </w:hyperlink>
    </w:p>
    <w:p w14:paraId="357D175F" w14:textId="44E03532" w:rsidR="00616885" w:rsidRDefault="00000000">
      <w:pPr>
        <w:pStyle w:val="TOC3"/>
        <w:rPr>
          <w:rFonts w:asciiTheme="minorHAnsi" w:eastAsiaTheme="minorEastAsia" w:hAnsiTheme="minorHAnsi" w:cstheme="minorBidi"/>
          <w:szCs w:val="22"/>
          <w:lang w:bidi="ar-SA"/>
        </w:rPr>
      </w:pPr>
      <w:hyperlink w:anchor="_Toc121504033" w:history="1">
        <w:r w:rsidR="00616885" w:rsidRPr="00657503">
          <w:rPr>
            <w:rStyle w:val="Hyperlink"/>
            <w:rFonts w:cs="Arial"/>
            <w:b/>
            <w:bCs/>
            <w:iCs/>
            <w:lang w:eastAsia="en-US"/>
          </w:rPr>
          <w:t>5.4.15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Notify a </w:t>
        </w:r>
        <w:r w:rsidR="00616885" w:rsidRPr="00657503">
          <w:rPr>
            <w:rStyle w:val="Hyperlink"/>
            <w:rFonts w:cs="Arial"/>
            <w:b/>
            <w:lang w:eastAsia="en-US"/>
          </w:rPr>
          <w:t>Profile Deletion</w:t>
        </w:r>
        <w:r w:rsidR="00616885">
          <w:rPr>
            <w:webHidden/>
          </w:rPr>
          <w:tab/>
        </w:r>
        <w:r w:rsidR="00616885">
          <w:rPr>
            <w:webHidden/>
          </w:rPr>
          <w:fldChar w:fldCharType="begin"/>
        </w:r>
        <w:r w:rsidR="00616885">
          <w:rPr>
            <w:webHidden/>
          </w:rPr>
          <w:instrText xml:space="preserve"> PAGEREF _Toc121504033 \h </w:instrText>
        </w:r>
        <w:r w:rsidR="00616885">
          <w:rPr>
            <w:webHidden/>
          </w:rPr>
        </w:r>
        <w:r w:rsidR="00616885">
          <w:rPr>
            <w:webHidden/>
          </w:rPr>
          <w:fldChar w:fldCharType="separate"/>
        </w:r>
        <w:r w:rsidR="001D5AD9">
          <w:rPr>
            <w:webHidden/>
          </w:rPr>
          <w:t>327</w:t>
        </w:r>
        <w:r w:rsidR="00616885">
          <w:rPr>
            <w:webHidden/>
          </w:rPr>
          <w:fldChar w:fldCharType="end"/>
        </w:r>
      </w:hyperlink>
    </w:p>
    <w:p w14:paraId="1AF66E95" w14:textId="1AFC6070" w:rsidR="00616885" w:rsidRDefault="00000000">
      <w:pPr>
        <w:pStyle w:val="TOC3"/>
        <w:rPr>
          <w:rFonts w:asciiTheme="minorHAnsi" w:eastAsiaTheme="minorEastAsia" w:hAnsiTheme="minorHAnsi" w:cstheme="minorBidi"/>
          <w:szCs w:val="22"/>
          <w:lang w:bidi="ar-SA"/>
        </w:rPr>
      </w:pPr>
      <w:hyperlink w:anchor="_Toc121504034" w:history="1">
        <w:r w:rsidR="00616885" w:rsidRPr="00657503">
          <w:rPr>
            <w:rStyle w:val="Hyperlink"/>
            <w:rFonts w:cs="Arial"/>
            <w:b/>
            <w:bCs/>
            <w:iCs/>
            <w:lang w:eastAsia="en-US"/>
          </w:rPr>
          <w:t>5.4.16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Authorisations of M2M -SP to Access Profiles</w:t>
        </w:r>
        <w:r w:rsidR="00616885">
          <w:rPr>
            <w:webHidden/>
          </w:rPr>
          <w:tab/>
        </w:r>
        <w:r w:rsidR="00616885">
          <w:rPr>
            <w:webHidden/>
          </w:rPr>
          <w:fldChar w:fldCharType="begin"/>
        </w:r>
        <w:r w:rsidR="00616885">
          <w:rPr>
            <w:webHidden/>
          </w:rPr>
          <w:instrText xml:space="preserve"> PAGEREF _Toc121504034 \h </w:instrText>
        </w:r>
        <w:r w:rsidR="00616885">
          <w:rPr>
            <w:webHidden/>
          </w:rPr>
        </w:r>
        <w:r w:rsidR="00616885">
          <w:rPr>
            <w:webHidden/>
          </w:rPr>
          <w:fldChar w:fldCharType="separate"/>
        </w:r>
        <w:r w:rsidR="001D5AD9">
          <w:rPr>
            <w:webHidden/>
          </w:rPr>
          <w:t>327</w:t>
        </w:r>
        <w:r w:rsidR="00616885">
          <w:rPr>
            <w:webHidden/>
          </w:rPr>
          <w:fldChar w:fldCharType="end"/>
        </w:r>
      </w:hyperlink>
    </w:p>
    <w:p w14:paraId="7AFD0026" w14:textId="78CE0234" w:rsidR="00616885" w:rsidRDefault="00000000">
      <w:pPr>
        <w:pStyle w:val="TOC3"/>
        <w:rPr>
          <w:rFonts w:asciiTheme="minorHAnsi" w:eastAsiaTheme="minorEastAsia" w:hAnsiTheme="minorHAnsi" w:cstheme="minorBidi"/>
          <w:szCs w:val="22"/>
          <w:lang w:bidi="ar-SA"/>
        </w:rPr>
      </w:pPr>
      <w:hyperlink w:anchor="_Toc121504035" w:history="1">
        <w:r w:rsidR="00616885" w:rsidRPr="00657503">
          <w:rPr>
            <w:rStyle w:val="Hyperlink"/>
            <w:rFonts w:cs="Arial"/>
            <w:b/>
            <w:bCs/>
            <w:iCs/>
            <w:lang w:eastAsia="en-US"/>
          </w:rPr>
          <w:t>5.4.17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Retrieving Authorisations of M2M SP to Access Profiles</w:t>
        </w:r>
        <w:r w:rsidR="00616885">
          <w:rPr>
            <w:webHidden/>
          </w:rPr>
          <w:tab/>
        </w:r>
        <w:r w:rsidR="00616885">
          <w:rPr>
            <w:webHidden/>
          </w:rPr>
          <w:fldChar w:fldCharType="begin"/>
        </w:r>
        <w:r w:rsidR="00616885">
          <w:rPr>
            <w:webHidden/>
          </w:rPr>
          <w:instrText xml:space="preserve"> PAGEREF _Toc121504035 \h </w:instrText>
        </w:r>
        <w:r w:rsidR="00616885">
          <w:rPr>
            <w:webHidden/>
          </w:rPr>
        </w:r>
        <w:r w:rsidR="00616885">
          <w:rPr>
            <w:webHidden/>
          </w:rPr>
          <w:fldChar w:fldCharType="separate"/>
        </w:r>
        <w:r w:rsidR="001D5AD9">
          <w:rPr>
            <w:webHidden/>
          </w:rPr>
          <w:t>329</w:t>
        </w:r>
        <w:r w:rsidR="00616885">
          <w:rPr>
            <w:webHidden/>
          </w:rPr>
          <w:fldChar w:fldCharType="end"/>
        </w:r>
      </w:hyperlink>
    </w:p>
    <w:p w14:paraId="56FBB095" w14:textId="738A2309" w:rsidR="00616885" w:rsidRDefault="00000000">
      <w:pPr>
        <w:pStyle w:val="TOC3"/>
        <w:rPr>
          <w:rFonts w:asciiTheme="minorHAnsi" w:eastAsiaTheme="minorEastAsia" w:hAnsiTheme="minorHAnsi" w:cstheme="minorBidi"/>
          <w:szCs w:val="22"/>
          <w:lang w:bidi="ar-SA"/>
        </w:rPr>
      </w:pPr>
      <w:hyperlink w:anchor="_Toc121504036" w:history="1">
        <w:r w:rsidR="00616885" w:rsidRPr="00657503">
          <w:rPr>
            <w:rStyle w:val="Hyperlink"/>
            <w:rFonts w:cs="Arial"/>
            <w:b/>
            <w:bCs/>
            <w:iCs/>
            <w:lang w:eastAsia="en-US"/>
          </w:rPr>
          <w:t>5.4.18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a Profile Download</w:t>
        </w:r>
        <w:r w:rsidR="00616885">
          <w:rPr>
            <w:webHidden/>
          </w:rPr>
          <w:tab/>
        </w:r>
        <w:r w:rsidR="00616885">
          <w:rPr>
            <w:webHidden/>
          </w:rPr>
          <w:fldChar w:fldCharType="begin"/>
        </w:r>
        <w:r w:rsidR="00616885">
          <w:rPr>
            <w:webHidden/>
          </w:rPr>
          <w:instrText xml:space="preserve"> PAGEREF _Toc121504036 \h </w:instrText>
        </w:r>
        <w:r w:rsidR="00616885">
          <w:rPr>
            <w:webHidden/>
          </w:rPr>
        </w:r>
        <w:r w:rsidR="00616885">
          <w:rPr>
            <w:webHidden/>
          </w:rPr>
          <w:fldChar w:fldCharType="separate"/>
        </w:r>
        <w:r w:rsidR="001D5AD9">
          <w:rPr>
            <w:webHidden/>
          </w:rPr>
          <w:t>331</w:t>
        </w:r>
        <w:r w:rsidR="00616885">
          <w:rPr>
            <w:webHidden/>
          </w:rPr>
          <w:fldChar w:fldCharType="end"/>
        </w:r>
      </w:hyperlink>
    </w:p>
    <w:p w14:paraId="10B22ADC" w14:textId="611420E9" w:rsidR="00616885" w:rsidRDefault="00000000">
      <w:pPr>
        <w:pStyle w:val="TOC3"/>
        <w:rPr>
          <w:rFonts w:asciiTheme="minorHAnsi" w:eastAsiaTheme="minorEastAsia" w:hAnsiTheme="minorHAnsi" w:cstheme="minorBidi"/>
          <w:szCs w:val="22"/>
          <w:lang w:bidi="ar-SA"/>
        </w:rPr>
      </w:pPr>
      <w:hyperlink w:anchor="_Toc121504037" w:history="1">
        <w:r w:rsidR="00616885" w:rsidRPr="00657503">
          <w:rPr>
            <w:rStyle w:val="Hyperlink"/>
            <w:rFonts w:cs="Arial"/>
            <w:b/>
            <w:bCs/>
            <w:iCs/>
            <w:lang w:eastAsia="en-US"/>
          </w:rPr>
          <w:t>5.4.19</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the Change of Policy Rules of a Profile</w:t>
        </w:r>
        <w:r w:rsidR="00616885">
          <w:rPr>
            <w:webHidden/>
          </w:rPr>
          <w:tab/>
        </w:r>
        <w:r w:rsidR="00616885">
          <w:rPr>
            <w:webHidden/>
          </w:rPr>
          <w:fldChar w:fldCharType="begin"/>
        </w:r>
        <w:r w:rsidR="00616885">
          <w:rPr>
            <w:webHidden/>
          </w:rPr>
          <w:instrText xml:space="preserve"> PAGEREF _Toc121504037 \h </w:instrText>
        </w:r>
        <w:r w:rsidR="00616885">
          <w:rPr>
            <w:webHidden/>
          </w:rPr>
        </w:r>
        <w:r w:rsidR="00616885">
          <w:rPr>
            <w:webHidden/>
          </w:rPr>
          <w:fldChar w:fldCharType="separate"/>
        </w:r>
        <w:r w:rsidR="001D5AD9">
          <w:rPr>
            <w:webHidden/>
          </w:rPr>
          <w:t>332</w:t>
        </w:r>
        <w:r w:rsidR="00616885">
          <w:rPr>
            <w:webHidden/>
          </w:rPr>
          <w:fldChar w:fldCharType="end"/>
        </w:r>
      </w:hyperlink>
    </w:p>
    <w:p w14:paraId="1E22EE86" w14:textId="0B34AA3A" w:rsidR="00616885" w:rsidRDefault="00000000">
      <w:pPr>
        <w:pStyle w:val="TOC3"/>
        <w:rPr>
          <w:rFonts w:asciiTheme="minorHAnsi" w:eastAsiaTheme="minorEastAsia" w:hAnsiTheme="minorHAnsi" w:cstheme="minorBidi"/>
          <w:szCs w:val="22"/>
          <w:lang w:bidi="ar-SA"/>
        </w:rPr>
      </w:pPr>
      <w:hyperlink w:anchor="_Toc121504038" w:history="1">
        <w:r w:rsidR="00616885" w:rsidRPr="00657503">
          <w:rPr>
            <w:rStyle w:val="Hyperlink"/>
            <w:rFonts w:cs="Arial"/>
            <w:b/>
            <w:bCs/>
            <w:iCs/>
            <w:lang w:eastAsia="en-US"/>
          </w:rPr>
          <w:t>5.4.20</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a PLMA Setting</w:t>
        </w:r>
        <w:r w:rsidR="00616885">
          <w:rPr>
            <w:webHidden/>
          </w:rPr>
          <w:tab/>
        </w:r>
        <w:r w:rsidR="00616885">
          <w:rPr>
            <w:webHidden/>
          </w:rPr>
          <w:fldChar w:fldCharType="begin"/>
        </w:r>
        <w:r w:rsidR="00616885">
          <w:rPr>
            <w:webHidden/>
          </w:rPr>
          <w:instrText xml:space="preserve"> PAGEREF _Toc121504038 \h </w:instrText>
        </w:r>
        <w:r w:rsidR="00616885">
          <w:rPr>
            <w:webHidden/>
          </w:rPr>
        </w:r>
        <w:r w:rsidR="00616885">
          <w:rPr>
            <w:webHidden/>
          </w:rPr>
          <w:fldChar w:fldCharType="separate"/>
        </w:r>
        <w:r w:rsidR="001D5AD9">
          <w:rPr>
            <w:webHidden/>
          </w:rPr>
          <w:t>332</w:t>
        </w:r>
        <w:r w:rsidR="00616885">
          <w:rPr>
            <w:webHidden/>
          </w:rPr>
          <w:fldChar w:fldCharType="end"/>
        </w:r>
      </w:hyperlink>
    </w:p>
    <w:p w14:paraId="3D2551CA" w14:textId="20E88E10" w:rsidR="00616885" w:rsidRDefault="00000000">
      <w:pPr>
        <w:pStyle w:val="TOC3"/>
        <w:rPr>
          <w:rFonts w:asciiTheme="minorHAnsi" w:eastAsiaTheme="minorEastAsia" w:hAnsiTheme="minorHAnsi" w:cstheme="minorBidi"/>
          <w:szCs w:val="22"/>
          <w:lang w:bidi="ar-SA"/>
        </w:rPr>
      </w:pPr>
      <w:hyperlink w:anchor="_Toc121504039" w:history="1">
        <w:r w:rsidR="00616885" w:rsidRPr="00657503">
          <w:rPr>
            <w:rStyle w:val="Hyperlink"/>
            <w:rFonts w:cs="Arial"/>
            <w:b/>
            <w:bCs/>
            <w:iCs/>
            <w:lang w:eastAsia="en-US"/>
          </w:rPr>
          <w:t>5.4.21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Operator Configuration to Receive Notifications</w:t>
        </w:r>
        <w:r w:rsidR="00616885">
          <w:rPr>
            <w:webHidden/>
          </w:rPr>
          <w:tab/>
        </w:r>
        <w:r w:rsidR="00616885">
          <w:rPr>
            <w:webHidden/>
          </w:rPr>
          <w:fldChar w:fldCharType="begin"/>
        </w:r>
        <w:r w:rsidR="00616885">
          <w:rPr>
            <w:webHidden/>
          </w:rPr>
          <w:instrText xml:space="preserve"> PAGEREF _Toc121504039 \h </w:instrText>
        </w:r>
        <w:r w:rsidR="00616885">
          <w:rPr>
            <w:webHidden/>
          </w:rPr>
        </w:r>
        <w:r w:rsidR="00616885">
          <w:rPr>
            <w:webHidden/>
          </w:rPr>
          <w:fldChar w:fldCharType="separate"/>
        </w:r>
        <w:r w:rsidR="001D5AD9">
          <w:rPr>
            <w:webHidden/>
          </w:rPr>
          <w:t>333</w:t>
        </w:r>
        <w:r w:rsidR="00616885">
          <w:rPr>
            <w:webHidden/>
          </w:rPr>
          <w:fldChar w:fldCharType="end"/>
        </w:r>
      </w:hyperlink>
    </w:p>
    <w:p w14:paraId="5BBF7451" w14:textId="27EDED97" w:rsidR="00616885" w:rsidRDefault="00000000">
      <w:pPr>
        <w:pStyle w:val="TOC3"/>
        <w:rPr>
          <w:rFonts w:asciiTheme="minorHAnsi" w:eastAsiaTheme="minorEastAsia" w:hAnsiTheme="minorHAnsi" w:cstheme="minorBidi"/>
          <w:szCs w:val="22"/>
          <w:lang w:bidi="ar-SA"/>
        </w:rPr>
      </w:pPr>
      <w:hyperlink w:anchor="_Toc121504040" w:history="1">
        <w:r w:rsidR="00616885" w:rsidRPr="00657503">
          <w:rPr>
            <w:rStyle w:val="Hyperlink"/>
            <w:rFonts w:cs="Arial"/>
            <w:b/>
            <w:bCs/>
            <w:iCs/>
            <w:lang w:eastAsia="en-US"/>
          </w:rPr>
          <w:t>5.4.22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Retrieving Operator Notification Configuration</w:t>
        </w:r>
        <w:r w:rsidR="00616885">
          <w:rPr>
            <w:webHidden/>
          </w:rPr>
          <w:tab/>
        </w:r>
        <w:r w:rsidR="00616885">
          <w:rPr>
            <w:webHidden/>
          </w:rPr>
          <w:fldChar w:fldCharType="begin"/>
        </w:r>
        <w:r w:rsidR="00616885">
          <w:rPr>
            <w:webHidden/>
          </w:rPr>
          <w:instrText xml:space="preserve"> PAGEREF _Toc121504040 \h </w:instrText>
        </w:r>
        <w:r w:rsidR="00616885">
          <w:rPr>
            <w:webHidden/>
          </w:rPr>
        </w:r>
        <w:r w:rsidR="00616885">
          <w:rPr>
            <w:webHidden/>
          </w:rPr>
          <w:fldChar w:fldCharType="separate"/>
        </w:r>
        <w:r w:rsidR="001D5AD9">
          <w:rPr>
            <w:webHidden/>
          </w:rPr>
          <w:t>335</w:t>
        </w:r>
        <w:r w:rsidR="00616885">
          <w:rPr>
            <w:webHidden/>
          </w:rPr>
          <w:fldChar w:fldCharType="end"/>
        </w:r>
      </w:hyperlink>
    </w:p>
    <w:p w14:paraId="5ADE41A2" w14:textId="0C684DF3" w:rsidR="00616885" w:rsidRDefault="00000000">
      <w:pPr>
        <w:pStyle w:val="TOC3"/>
        <w:rPr>
          <w:rFonts w:asciiTheme="minorHAnsi" w:eastAsiaTheme="minorEastAsia" w:hAnsiTheme="minorHAnsi" w:cstheme="minorBidi"/>
          <w:szCs w:val="22"/>
          <w:lang w:bidi="ar-SA"/>
        </w:rPr>
      </w:pPr>
      <w:hyperlink w:anchor="_Toc121504041" w:history="1">
        <w:r w:rsidR="00616885" w:rsidRPr="00657503">
          <w:rPr>
            <w:rStyle w:val="Hyperlink"/>
            <w:rFonts w:cs="Arial"/>
            <w:b/>
            <w:bCs/>
            <w:iCs/>
            <w:lang w:eastAsia="en-US"/>
          </w:rPr>
          <w:t>5.4.23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the Emergency Profile Attribute</w:t>
        </w:r>
        <w:r w:rsidR="00616885">
          <w:rPr>
            <w:webHidden/>
          </w:rPr>
          <w:tab/>
        </w:r>
        <w:r w:rsidR="00616885">
          <w:rPr>
            <w:webHidden/>
          </w:rPr>
          <w:fldChar w:fldCharType="begin"/>
        </w:r>
        <w:r w:rsidR="00616885">
          <w:rPr>
            <w:webHidden/>
          </w:rPr>
          <w:instrText xml:space="preserve"> PAGEREF _Toc121504041 \h </w:instrText>
        </w:r>
        <w:r w:rsidR="00616885">
          <w:rPr>
            <w:webHidden/>
          </w:rPr>
        </w:r>
        <w:r w:rsidR="00616885">
          <w:rPr>
            <w:webHidden/>
          </w:rPr>
          <w:fldChar w:fldCharType="separate"/>
        </w:r>
        <w:r w:rsidR="001D5AD9">
          <w:rPr>
            <w:webHidden/>
          </w:rPr>
          <w:t>336</w:t>
        </w:r>
        <w:r w:rsidR="00616885">
          <w:rPr>
            <w:webHidden/>
          </w:rPr>
          <w:fldChar w:fldCharType="end"/>
        </w:r>
      </w:hyperlink>
    </w:p>
    <w:p w14:paraId="1B88C782" w14:textId="766ECE68" w:rsidR="00616885" w:rsidRDefault="00000000">
      <w:pPr>
        <w:pStyle w:val="TOC3"/>
        <w:rPr>
          <w:rFonts w:asciiTheme="minorHAnsi" w:eastAsiaTheme="minorEastAsia" w:hAnsiTheme="minorHAnsi" w:cstheme="minorBidi"/>
          <w:szCs w:val="22"/>
          <w:lang w:bidi="ar-SA"/>
        </w:rPr>
      </w:pPr>
      <w:hyperlink w:anchor="_Toc121504042" w:history="1">
        <w:r w:rsidR="00616885" w:rsidRPr="00657503">
          <w:rPr>
            <w:rStyle w:val="Hyperlink"/>
            <w:rFonts w:cs="Arial"/>
            <w:b/>
            <w:bCs/>
            <w:iCs/>
            <w:lang w:eastAsia="en-US"/>
          </w:rPr>
          <w:t>5.4.24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Emergency Profile Attribute Setting</w:t>
        </w:r>
        <w:r w:rsidR="00616885">
          <w:rPr>
            <w:webHidden/>
          </w:rPr>
          <w:tab/>
        </w:r>
        <w:r w:rsidR="00616885">
          <w:rPr>
            <w:webHidden/>
          </w:rPr>
          <w:fldChar w:fldCharType="begin"/>
        </w:r>
        <w:r w:rsidR="00616885">
          <w:rPr>
            <w:webHidden/>
          </w:rPr>
          <w:instrText xml:space="preserve"> PAGEREF _Toc121504042 \h </w:instrText>
        </w:r>
        <w:r w:rsidR="00616885">
          <w:rPr>
            <w:webHidden/>
          </w:rPr>
        </w:r>
        <w:r w:rsidR="00616885">
          <w:rPr>
            <w:webHidden/>
          </w:rPr>
          <w:fldChar w:fldCharType="separate"/>
        </w:r>
        <w:r w:rsidR="001D5AD9">
          <w:rPr>
            <w:webHidden/>
          </w:rPr>
          <w:t>337</w:t>
        </w:r>
        <w:r w:rsidR="00616885">
          <w:rPr>
            <w:webHidden/>
          </w:rPr>
          <w:fldChar w:fldCharType="end"/>
        </w:r>
      </w:hyperlink>
    </w:p>
    <w:p w14:paraId="695A9007" w14:textId="2CA9583F" w:rsidR="00616885" w:rsidRDefault="00000000">
      <w:pPr>
        <w:pStyle w:val="TOC3"/>
        <w:rPr>
          <w:rFonts w:asciiTheme="minorHAnsi" w:eastAsiaTheme="minorEastAsia" w:hAnsiTheme="minorHAnsi" w:cstheme="minorBidi"/>
          <w:szCs w:val="22"/>
          <w:lang w:bidi="ar-SA"/>
        </w:rPr>
      </w:pPr>
      <w:hyperlink w:anchor="_Toc121504043" w:history="1">
        <w:r w:rsidR="00616885" w:rsidRPr="00657503">
          <w:rPr>
            <w:rStyle w:val="Hyperlink"/>
            <w:rFonts w:cs="Arial"/>
            <w:b/>
            <w:bCs/>
            <w:iCs/>
            <w:lang w:eastAsia="en-US"/>
          </w:rPr>
          <w:t>5.4.25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Emergency Profile Attribute Unsetting</w:t>
        </w:r>
        <w:r w:rsidR="00616885">
          <w:rPr>
            <w:webHidden/>
          </w:rPr>
          <w:tab/>
        </w:r>
        <w:r w:rsidR="00616885">
          <w:rPr>
            <w:webHidden/>
          </w:rPr>
          <w:fldChar w:fldCharType="begin"/>
        </w:r>
        <w:r w:rsidR="00616885">
          <w:rPr>
            <w:webHidden/>
          </w:rPr>
          <w:instrText xml:space="preserve"> PAGEREF _Toc121504043 \h </w:instrText>
        </w:r>
        <w:r w:rsidR="00616885">
          <w:rPr>
            <w:webHidden/>
          </w:rPr>
        </w:r>
        <w:r w:rsidR="00616885">
          <w:rPr>
            <w:webHidden/>
          </w:rPr>
          <w:fldChar w:fldCharType="separate"/>
        </w:r>
        <w:r w:rsidR="001D5AD9">
          <w:rPr>
            <w:webHidden/>
          </w:rPr>
          <w:t>338</w:t>
        </w:r>
        <w:r w:rsidR="00616885">
          <w:rPr>
            <w:webHidden/>
          </w:rPr>
          <w:fldChar w:fldCharType="end"/>
        </w:r>
      </w:hyperlink>
    </w:p>
    <w:p w14:paraId="52545986" w14:textId="005C890C" w:rsidR="00616885" w:rsidRDefault="00000000">
      <w:pPr>
        <w:pStyle w:val="TOC3"/>
        <w:rPr>
          <w:rFonts w:asciiTheme="minorHAnsi" w:eastAsiaTheme="minorEastAsia" w:hAnsiTheme="minorHAnsi" w:cstheme="minorBidi"/>
          <w:szCs w:val="22"/>
          <w:lang w:bidi="ar-SA"/>
        </w:rPr>
      </w:pPr>
      <w:hyperlink w:anchor="_Toc121504044" w:history="1">
        <w:r w:rsidR="00616885" w:rsidRPr="00657503">
          <w:rPr>
            <w:rStyle w:val="Hyperlink"/>
            <w:rFonts w:cs="Arial"/>
            <w:b/>
            <w:bCs/>
            <w:iCs/>
            <w:lang w:eastAsia="en-US"/>
          </w:rPr>
          <w:t>5.4.26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the Fall-Back Attribute</w:t>
        </w:r>
        <w:r w:rsidR="00616885">
          <w:rPr>
            <w:webHidden/>
          </w:rPr>
          <w:tab/>
        </w:r>
        <w:r w:rsidR="00616885">
          <w:rPr>
            <w:webHidden/>
          </w:rPr>
          <w:fldChar w:fldCharType="begin"/>
        </w:r>
        <w:r w:rsidR="00616885">
          <w:rPr>
            <w:webHidden/>
          </w:rPr>
          <w:instrText xml:space="preserve"> PAGEREF _Toc121504044 \h </w:instrText>
        </w:r>
        <w:r w:rsidR="00616885">
          <w:rPr>
            <w:webHidden/>
          </w:rPr>
        </w:r>
        <w:r w:rsidR="00616885">
          <w:rPr>
            <w:webHidden/>
          </w:rPr>
          <w:fldChar w:fldCharType="separate"/>
        </w:r>
        <w:r w:rsidR="001D5AD9">
          <w:rPr>
            <w:webHidden/>
          </w:rPr>
          <w:t>339</w:t>
        </w:r>
        <w:r w:rsidR="00616885">
          <w:rPr>
            <w:webHidden/>
          </w:rPr>
          <w:fldChar w:fldCharType="end"/>
        </w:r>
      </w:hyperlink>
    </w:p>
    <w:p w14:paraId="08FB42A0" w14:textId="68090C8D" w:rsidR="00616885" w:rsidRDefault="00000000">
      <w:pPr>
        <w:pStyle w:val="TOC3"/>
        <w:rPr>
          <w:rFonts w:asciiTheme="minorHAnsi" w:eastAsiaTheme="minorEastAsia" w:hAnsiTheme="minorHAnsi" w:cstheme="minorBidi"/>
          <w:szCs w:val="22"/>
          <w:lang w:bidi="ar-SA"/>
        </w:rPr>
      </w:pPr>
      <w:hyperlink w:anchor="_Toc121504045" w:history="1">
        <w:r w:rsidR="00616885" w:rsidRPr="00657503">
          <w:rPr>
            <w:rStyle w:val="Hyperlink"/>
            <w:rFonts w:cs="Arial"/>
            <w:b/>
            <w:bCs/>
            <w:iCs/>
            <w:lang w:eastAsia="en-US"/>
          </w:rPr>
          <w:t>5.4.27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Fall-Back Attribute is Set</w:t>
        </w:r>
        <w:r w:rsidR="00616885">
          <w:rPr>
            <w:webHidden/>
          </w:rPr>
          <w:tab/>
        </w:r>
        <w:r w:rsidR="00616885">
          <w:rPr>
            <w:webHidden/>
          </w:rPr>
          <w:fldChar w:fldCharType="begin"/>
        </w:r>
        <w:r w:rsidR="00616885">
          <w:rPr>
            <w:webHidden/>
          </w:rPr>
          <w:instrText xml:space="preserve"> PAGEREF _Toc121504045 \h </w:instrText>
        </w:r>
        <w:r w:rsidR="00616885">
          <w:rPr>
            <w:webHidden/>
          </w:rPr>
        </w:r>
        <w:r w:rsidR="00616885">
          <w:rPr>
            <w:webHidden/>
          </w:rPr>
          <w:fldChar w:fldCharType="separate"/>
        </w:r>
        <w:r w:rsidR="001D5AD9">
          <w:rPr>
            <w:webHidden/>
          </w:rPr>
          <w:t>341</w:t>
        </w:r>
        <w:r w:rsidR="00616885">
          <w:rPr>
            <w:webHidden/>
          </w:rPr>
          <w:fldChar w:fldCharType="end"/>
        </w:r>
      </w:hyperlink>
    </w:p>
    <w:p w14:paraId="2A37988B" w14:textId="5493FBFB" w:rsidR="00616885" w:rsidRDefault="00000000">
      <w:pPr>
        <w:pStyle w:val="TOC3"/>
        <w:rPr>
          <w:rFonts w:asciiTheme="minorHAnsi" w:eastAsiaTheme="minorEastAsia" w:hAnsiTheme="minorHAnsi" w:cstheme="minorBidi"/>
          <w:szCs w:val="22"/>
          <w:lang w:bidi="ar-SA"/>
        </w:rPr>
      </w:pPr>
      <w:hyperlink w:anchor="_Toc121504046" w:history="1">
        <w:r w:rsidR="00616885" w:rsidRPr="00657503">
          <w:rPr>
            <w:rStyle w:val="Hyperlink"/>
            <w:rFonts w:cs="Arial"/>
            <w:b/>
            <w:bCs/>
            <w:iCs/>
            <w:lang w:eastAsia="en-US"/>
          </w:rPr>
          <w:t>5.4.28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Fall-Back Attribute is Unset</w:t>
        </w:r>
        <w:r w:rsidR="00616885">
          <w:rPr>
            <w:webHidden/>
          </w:rPr>
          <w:tab/>
        </w:r>
        <w:r w:rsidR="00616885">
          <w:rPr>
            <w:webHidden/>
          </w:rPr>
          <w:fldChar w:fldCharType="begin"/>
        </w:r>
        <w:r w:rsidR="00616885">
          <w:rPr>
            <w:webHidden/>
          </w:rPr>
          <w:instrText xml:space="preserve"> PAGEREF _Toc121504046 \h </w:instrText>
        </w:r>
        <w:r w:rsidR="00616885">
          <w:rPr>
            <w:webHidden/>
          </w:rPr>
        </w:r>
        <w:r w:rsidR="00616885">
          <w:rPr>
            <w:webHidden/>
          </w:rPr>
          <w:fldChar w:fldCharType="separate"/>
        </w:r>
        <w:r w:rsidR="001D5AD9">
          <w:rPr>
            <w:webHidden/>
          </w:rPr>
          <w:t>342</w:t>
        </w:r>
        <w:r w:rsidR="00616885">
          <w:rPr>
            <w:webHidden/>
          </w:rPr>
          <w:fldChar w:fldCharType="end"/>
        </w:r>
      </w:hyperlink>
    </w:p>
    <w:p w14:paraId="31E3CA9D" w14:textId="6940F231" w:rsidR="00616885" w:rsidRDefault="00000000">
      <w:pPr>
        <w:pStyle w:val="TOC2"/>
        <w:rPr>
          <w:rFonts w:asciiTheme="minorHAnsi" w:eastAsiaTheme="minorEastAsia" w:hAnsiTheme="minorHAnsi" w:cstheme="minorBidi"/>
          <w:szCs w:val="22"/>
          <w:lang w:bidi="ar-SA"/>
        </w:rPr>
      </w:pPr>
      <w:hyperlink w:anchor="_Toc121504047" w:history="1">
        <w:r w:rsidR="00616885" w:rsidRPr="00657503">
          <w:rPr>
            <w:rStyle w:val="Hyperlink"/>
            <w:rFonts w:cs="Arial"/>
            <w:b/>
            <w:bCs/>
            <w:iCs/>
            <w:lang w:val="de-DE" w:eastAsia="en-US"/>
          </w:rPr>
          <w:t>5.5</w:t>
        </w:r>
        <w:r w:rsidR="00616885">
          <w:rPr>
            <w:rFonts w:asciiTheme="minorHAnsi" w:eastAsiaTheme="minorEastAsia" w:hAnsiTheme="minorHAnsi" w:cstheme="minorBidi"/>
            <w:szCs w:val="22"/>
            <w:lang w:bidi="ar-SA"/>
          </w:rPr>
          <w:tab/>
        </w:r>
        <w:r w:rsidR="00616885" w:rsidRPr="00657503">
          <w:rPr>
            <w:rStyle w:val="Hyperlink"/>
            <w:rFonts w:cs="Arial"/>
            <w:b/>
            <w:bCs/>
            <w:iCs/>
            <w:lang w:val="de-DE" w:eastAsia="en-US"/>
          </w:rPr>
          <w:t>ES4 (Operator - SM-SR, and  M2M SP – SM-SR) Interface Description</w:t>
        </w:r>
        <w:r w:rsidR="00616885">
          <w:rPr>
            <w:webHidden/>
          </w:rPr>
          <w:tab/>
        </w:r>
        <w:r w:rsidR="00616885">
          <w:rPr>
            <w:webHidden/>
          </w:rPr>
          <w:fldChar w:fldCharType="begin"/>
        </w:r>
        <w:r w:rsidR="00616885">
          <w:rPr>
            <w:webHidden/>
          </w:rPr>
          <w:instrText xml:space="preserve"> PAGEREF _Toc121504047 \h </w:instrText>
        </w:r>
        <w:r w:rsidR="00616885">
          <w:rPr>
            <w:webHidden/>
          </w:rPr>
        </w:r>
        <w:r w:rsidR="00616885">
          <w:rPr>
            <w:webHidden/>
          </w:rPr>
          <w:fldChar w:fldCharType="separate"/>
        </w:r>
        <w:r w:rsidR="001D5AD9">
          <w:rPr>
            <w:webHidden/>
          </w:rPr>
          <w:t>343</w:t>
        </w:r>
        <w:r w:rsidR="00616885">
          <w:rPr>
            <w:webHidden/>
          </w:rPr>
          <w:fldChar w:fldCharType="end"/>
        </w:r>
      </w:hyperlink>
    </w:p>
    <w:p w14:paraId="0AE0B2C5" w14:textId="1934C88A" w:rsidR="00616885" w:rsidRDefault="00000000">
      <w:pPr>
        <w:pStyle w:val="TOC3"/>
        <w:rPr>
          <w:rFonts w:asciiTheme="minorHAnsi" w:eastAsiaTheme="minorEastAsia" w:hAnsiTheme="minorHAnsi" w:cstheme="minorBidi"/>
          <w:szCs w:val="22"/>
          <w:lang w:bidi="ar-SA"/>
        </w:rPr>
      </w:pPr>
      <w:hyperlink w:anchor="_Toc121504048" w:history="1">
        <w:r w:rsidR="00616885" w:rsidRPr="00657503">
          <w:rPr>
            <w:rStyle w:val="Hyperlink"/>
            <w:rFonts w:cs="Arial"/>
            <w:b/>
            <w:bCs/>
            <w:iCs/>
            <w:lang w:eastAsia="en-US"/>
          </w:rPr>
          <w:t>5.5.1</w:t>
        </w:r>
        <w:r w:rsidR="00616885">
          <w:rPr>
            <w:rFonts w:asciiTheme="minorHAnsi" w:eastAsiaTheme="minorEastAsia" w:hAnsiTheme="minorHAnsi" w:cstheme="minorBidi"/>
            <w:szCs w:val="22"/>
            <w:lang w:bidi="ar-SA"/>
          </w:rPr>
          <w:tab/>
        </w:r>
        <w:r w:rsidR="00616885" w:rsidRPr="00657503">
          <w:rPr>
            <w:rStyle w:val="Hyperlink"/>
            <w:rFonts w:cs="Arial"/>
            <w:b/>
            <w:lang w:eastAsia="en-US"/>
          </w:rPr>
          <w:t>Getting eUICC Information</w:t>
        </w:r>
        <w:r w:rsidR="00616885">
          <w:rPr>
            <w:webHidden/>
          </w:rPr>
          <w:tab/>
        </w:r>
        <w:r w:rsidR="00616885">
          <w:rPr>
            <w:webHidden/>
          </w:rPr>
          <w:fldChar w:fldCharType="begin"/>
        </w:r>
        <w:r w:rsidR="00616885">
          <w:rPr>
            <w:webHidden/>
          </w:rPr>
          <w:instrText xml:space="preserve"> PAGEREF _Toc121504048 \h </w:instrText>
        </w:r>
        <w:r w:rsidR="00616885">
          <w:rPr>
            <w:webHidden/>
          </w:rPr>
        </w:r>
        <w:r w:rsidR="00616885">
          <w:rPr>
            <w:webHidden/>
          </w:rPr>
          <w:fldChar w:fldCharType="separate"/>
        </w:r>
        <w:r w:rsidR="001D5AD9">
          <w:rPr>
            <w:webHidden/>
          </w:rPr>
          <w:t>343</w:t>
        </w:r>
        <w:r w:rsidR="00616885">
          <w:rPr>
            <w:webHidden/>
          </w:rPr>
          <w:fldChar w:fldCharType="end"/>
        </w:r>
      </w:hyperlink>
    </w:p>
    <w:p w14:paraId="6936D8DA" w14:textId="68ABCA56" w:rsidR="00616885" w:rsidRDefault="00000000">
      <w:pPr>
        <w:pStyle w:val="TOC3"/>
        <w:rPr>
          <w:rFonts w:asciiTheme="minorHAnsi" w:eastAsiaTheme="minorEastAsia" w:hAnsiTheme="minorHAnsi" w:cstheme="minorBidi"/>
          <w:szCs w:val="22"/>
          <w:lang w:bidi="ar-SA"/>
        </w:rPr>
      </w:pPr>
      <w:hyperlink w:anchor="_Toc121504049" w:history="1">
        <w:r w:rsidR="00616885" w:rsidRPr="00657503">
          <w:rPr>
            <w:rStyle w:val="Hyperlink"/>
            <w:rFonts w:cs="Arial"/>
            <w:b/>
            <w:bCs/>
            <w:iCs/>
            <w:lang w:eastAsia="en-US"/>
          </w:rPr>
          <w:t>5.5.2</w:t>
        </w:r>
        <w:r w:rsidR="00616885">
          <w:rPr>
            <w:rFonts w:asciiTheme="minorHAnsi" w:eastAsiaTheme="minorEastAsia" w:hAnsiTheme="minorHAnsi" w:cstheme="minorBidi"/>
            <w:szCs w:val="22"/>
            <w:lang w:bidi="ar-SA"/>
          </w:rPr>
          <w:tab/>
        </w:r>
        <w:r w:rsidR="00616885" w:rsidRPr="00657503">
          <w:rPr>
            <w:rStyle w:val="Hyperlink"/>
            <w:rFonts w:cs="Arial"/>
            <w:b/>
            <w:lang w:eastAsia="en-US"/>
          </w:rPr>
          <w:t>Updating the Policy Rules of a Profile</w:t>
        </w:r>
        <w:r w:rsidR="00616885">
          <w:rPr>
            <w:webHidden/>
          </w:rPr>
          <w:tab/>
        </w:r>
        <w:r w:rsidR="00616885">
          <w:rPr>
            <w:webHidden/>
          </w:rPr>
          <w:fldChar w:fldCharType="begin"/>
        </w:r>
        <w:r w:rsidR="00616885">
          <w:rPr>
            <w:webHidden/>
          </w:rPr>
          <w:instrText xml:space="preserve"> PAGEREF _Toc121504049 \h </w:instrText>
        </w:r>
        <w:r w:rsidR="00616885">
          <w:rPr>
            <w:webHidden/>
          </w:rPr>
        </w:r>
        <w:r w:rsidR="00616885">
          <w:rPr>
            <w:webHidden/>
          </w:rPr>
          <w:fldChar w:fldCharType="separate"/>
        </w:r>
        <w:r w:rsidR="001D5AD9">
          <w:rPr>
            <w:webHidden/>
          </w:rPr>
          <w:t>345</w:t>
        </w:r>
        <w:r w:rsidR="00616885">
          <w:rPr>
            <w:webHidden/>
          </w:rPr>
          <w:fldChar w:fldCharType="end"/>
        </w:r>
      </w:hyperlink>
    </w:p>
    <w:p w14:paraId="782A0041" w14:textId="01F65237" w:rsidR="00616885" w:rsidRDefault="00000000">
      <w:pPr>
        <w:pStyle w:val="TOC3"/>
        <w:rPr>
          <w:rFonts w:asciiTheme="minorHAnsi" w:eastAsiaTheme="minorEastAsia" w:hAnsiTheme="minorHAnsi" w:cstheme="minorBidi"/>
          <w:szCs w:val="22"/>
          <w:lang w:bidi="ar-SA"/>
        </w:rPr>
      </w:pPr>
      <w:hyperlink w:anchor="_Toc121504050" w:history="1">
        <w:r w:rsidR="00616885" w:rsidRPr="00657503">
          <w:rPr>
            <w:rStyle w:val="Hyperlink"/>
            <w:rFonts w:cs="Arial"/>
            <w:b/>
            <w:bCs/>
            <w:iCs/>
            <w:lang w:eastAsia="en-US"/>
          </w:rPr>
          <w:t>5.5.3</w:t>
        </w:r>
        <w:r w:rsidR="00616885">
          <w:rPr>
            <w:rFonts w:asciiTheme="minorHAnsi" w:eastAsiaTheme="minorEastAsia" w:hAnsiTheme="minorHAnsi" w:cstheme="minorBidi"/>
            <w:szCs w:val="22"/>
            <w:lang w:bidi="ar-SA"/>
          </w:rPr>
          <w:tab/>
        </w:r>
        <w:r w:rsidR="00616885" w:rsidRPr="00657503">
          <w:rPr>
            <w:rStyle w:val="Hyperlink"/>
            <w:rFonts w:cs="Arial"/>
            <w:b/>
            <w:lang w:eastAsia="en-US"/>
          </w:rPr>
          <w:t>Updating eUICC Information</w:t>
        </w:r>
        <w:r w:rsidR="00616885">
          <w:rPr>
            <w:webHidden/>
          </w:rPr>
          <w:tab/>
        </w:r>
        <w:r w:rsidR="00616885">
          <w:rPr>
            <w:webHidden/>
          </w:rPr>
          <w:fldChar w:fldCharType="begin"/>
        </w:r>
        <w:r w:rsidR="00616885">
          <w:rPr>
            <w:webHidden/>
          </w:rPr>
          <w:instrText xml:space="preserve"> PAGEREF _Toc121504050 \h </w:instrText>
        </w:r>
        <w:r w:rsidR="00616885">
          <w:rPr>
            <w:webHidden/>
          </w:rPr>
        </w:r>
        <w:r w:rsidR="00616885">
          <w:rPr>
            <w:webHidden/>
          </w:rPr>
          <w:fldChar w:fldCharType="separate"/>
        </w:r>
        <w:r w:rsidR="001D5AD9">
          <w:rPr>
            <w:webHidden/>
          </w:rPr>
          <w:t>345</w:t>
        </w:r>
        <w:r w:rsidR="00616885">
          <w:rPr>
            <w:webHidden/>
          </w:rPr>
          <w:fldChar w:fldCharType="end"/>
        </w:r>
      </w:hyperlink>
    </w:p>
    <w:p w14:paraId="7E58AE60" w14:textId="1EA45DDF" w:rsidR="00616885" w:rsidRDefault="00000000">
      <w:pPr>
        <w:pStyle w:val="TOC3"/>
        <w:rPr>
          <w:rFonts w:asciiTheme="minorHAnsi" w:eastAsiaTheme="minorEastAsia" w:hAnsiTheme="minorHAnsi" w:cstheme="minorBidi"/>
          <w:szCs w:val="22"/>
          <w:lang w:bidi="ar-SA"/>
        </w:rPr>
      </w:pPr>
      <w:hyperlink w:anchor="_Toc121504051" w:history="1">
        <w:r w:rsidR="00616885" w:rsidRPr="00657503">
          <w:rPr>
            <w:rStyle w:val="Hyperlink"/>
            <w:rFonts w:cs="Arial"/>
            <w:b/>
            <w:bCs/>
            <w:iCs/>
            <w:lang w:eastAsia="en-US"/>
          </w:rPr>
          <w:t>5.5.4</w:t>
        </w:r>
        <w:r w:rsidR="00616885">
          <w:rPr>
            <w:rFonts w:asciiTheme="minorHAnsi" w:eastAsiaTheme="minorEastAsia" w:hAnsiTheme="minorHAnsi" w:cstheme="minorBidi"/>
            <w:szCs w:val="22"/>
            <w:lang w:bidi="ar-SA"/>
          </w:rPr>
          <w:tab/>
        </w:r>
        <w:r w:rsidR="00616885" w:rsidRPr="00657503">
          <w:rPr>
            <w:rStyle w:val="Hyperlink"/>
            <w:rFonts w:cs="Arial"/>
            <w:b/>
            <w:lang w:eastAsia="en-US"/>
          </w:rPr>
          <w:t>Auditing eUICC Information</w:t>
        </w:r>
        <w:r w:rsidR="00616885">
          <w:rPr>
            <w:webHidden/>
          </w:rPr>
          <w:tab/>
        </w:r>
        <w:r w:rsidR="00616885">
          <w:rPr>
            <w:webHidden/>
          </w:rPr>
          <w:fldChar w:fldCharType="begin"/>
        </w:r>
        <w:r w:rsidR="00616885">
          <w:rPr>
            <w:webHidden/>
          </w:rPr>
          <w:instrText xml:space="preserve"> PAGEREF _Toc121504051 \h </w:instrText>
        </w:r>
        <w:r w:rsidR="00616885">
          <w:rPr>
            <w:webHidden/>
          </w:rPr>
        </w:r>
        <w:r w:rsidR="00616885">
          <w:rPr>
            <w:webHidden/>
          </w:rPr>
          <w:fldChar w:fldCharType="separate"/>
        </w:r>
        <w:r w:rsidR="001D5AD9">
          <w:rPr>
            <w:webHidden/>
          </w:rPr>
          <w:t>346</w:t>
        </w:r>
        <w:r w:rsidR="00616885">
          <w:rPr>
            <w:webHidden/>
          </w:rPr>
          <w:fldChar w:fldCharType="end"/>
        </w:r>
      </w:hyperlink>
    </w:p>
    <w:p w14:paraId="2B26A751" w14:textId="227FA4BE" w:rsidR="00616885" w:rsidRDefault="00000000">
      <w:pPr>
        <w:pStyle w:val="TOC3"/>
        <w:rPr>
          <w:rFonts w:asciiTheme="minorHAnsi" w:eastAsiaTheme="minorEastAsia" w:hAnsiTheme="minorHAnsi" w:cstheme="minorBidi"/>
          <w:szCs w:val="22"/>
          <w:lang w:bidi="ar-SA"/>
        </w:rPr>
      </w:pPr>
      <w:hyperlink w:anchor="_Toc121504052" w:history="1">
        <w:r w:rsidR="00616885" w:rsidRPr="00657503">
          <w:rPr>
            <w:rStyle w:val="Hyperlink"/>
            <w:rFonts w:cs="Arial"/>
            <w:b/>
            <w:bCs/>
            <w:iCs/>
            <w:lang w:eastAsia="en-US"/>
          </w:rPr>
          <w:t>5.5.5</w:t>
        </w:r>
        <w:r w:rsidR="00616885">
          <w:rPr>
            <w:rFonts w:asciiTheme="minorHAnsi" w:eastAsiaTheme="minorEastAsia" w:hAnsiTheme="minorHAnsi" w:cstheme="minorBidi"/>
            <w:szCs w:val="22"/>
            <w:lang w:bidi="ar-SA"/>
          </w:rPr>
          <w:tab/>
        </w:r>
        <w:r w:rsidR="00616885" w:rsidRPr="00657503">
          <w:rPr>
            <w:rStyle w:val="Hyperlink"/>
            <w:rFonts w:cs="Arial"/>
            <w:b/>
            <w:lang w:eastAsia="en-US"/>
          </w:rPr>
          <w:t>Profile Enabling</w:t>
        </w:r>
        <w:r w:rsidR="00616885">
          <w:rPr>
            <w:webHidden/>
          </w:rPr>
          <w:tab/>
        </w:r>
        <w:r w:rsidR="00616885">
          <w:rPr>
            <w:webHidden/>
          </w:rPr>
          <w:fldChar w:fldCharType="begin"/>
        </w:r>
        <w:r w:rsidR="00616885">
          <w:rPr>
            <w:webHidden/>
          </w:rPr>
          <w:instrText xml:space="preserve"> PAGEREF _Toc121504052 \h </w:instrText>
        </w:r>
        <w:r w:rsidR="00616885">
          <w:rPr>
            <w:webHidden/>
          </w:rPr>
        </w:r>
        <w:r w:rsidR="00616885">
          <w:rPr>
            <w:webHidden/>
          </w:rPr>
          <w:fldChar w:fldCharType="separate"/>
        </w:r>
        <w:r w:rsidR="001D5AD9">
          <w:rPr>
            <w:webHidden/>
          </w:rPr>
          <w:t>348</w:t>
        </w:r>
        <w:r w:rsidR="00616885">
          <w:rPr>
            <w:webHidden/>
          </w:rPr>
          <w:fldChar w:fldCharType="end"/>
        </w:r>
      </w:hyperlink>
    </w:p>
    <w:p w14:paraId="04ED8D72" w14:textId="45DFC98A" w:rsidR="00616885" w:rsidRDefault="00000000">
      <w:pPr>
        <w:pStyle w:val="TOC3"/>
        <w:rPr>
          <w:rFonts w:asciiTheme="minorHAnsi" w:eastAsiaTheme="minorEastAsia" w:hAnsiTheme="minorHAnsi" w:cstheme="minorBidi"/>
          <w:szCs w:val="22"/>
          <w:lang w:bidi="ar-SA"/>
        </w:rPr>
      </w:pPr>
      <w:hyperlink w:anchor="_Toc121504053" w:history="1">
        <w:r w:rsidR="00616885" w:rsidRPr="00657503">
          <w:rPr>
            <w:rStyle w:val="Hyperlink"/>
            <w:rFonts w:cs="Arial"/>
            <w:b/>
            <w:bCs/>
            <w:iCs/>
            <w:lang w:eastAsia="en-US"/>
          </w:rPr>
          <w:t>5.5.6</w:t>
        </w:r>
        <w:r w:rsidR="00616885">
          <w:rPr>
            <w:rFonts w:asciiTheme="minorHAnsi" w:eastAsiaTheme="minorEastAsia" w:hAnsiTheme="minorHAnsi" w:cstheme="minorBidi"/>
            <w:szCs w:val="22"/>
            <w:lang w:bidi="ar-SA"/>
          </w:rPr>
          <w:tab/>
        </w:r>
        <w:r w:rsidR="00616885" w:rsidRPr="00657503">
          <w:rPr>
            <w:rStyle w:val="Hyperlink"/>
            <w:rFonts w:cs="Arial"/>
            <w:b/>
            <w:lang w:eastAsia="en-US"/>
          </w:rPr>
          <w:t>Profile Disabling</w:t>
        </w:r>
        <w:r w:rsidR="00616885">
          <w:rPr>
            <w:webHidden/>
          </w:rPr>
          <w:tab/>
        </w:r>
        <w:r w:rsidR="00616885">
          <w:rPr>
            <w:webHidden/>
          </w:rPr>
          <w:fldChar w:fldCharType="begin"/>
        </w:r>
        <w:r w:rsidR="00616885">
          <w:rPr>
            <w:webHidden/>
          </w:rPr>
          <w:instrText xml:space="preserve"> PAGEREF _Toc121504053 \h </w:instrText>
        </w:r>
        <w:r w:rsidR="00616885">
          <w:rPr>
            <w:webHidden/>
          </w:rPr>
        </w:r>
        <w:r w:rsidR="00616885">
          <w:rPr>
            <w:webHidden/>
          </w:rPr>
          <w:fldChar w:fldCharType="separate"/>
        </w:r>
        <w:r w:rsidR="001D5AD9">
          <w:rPr>
            <w:webHidden/>
          </w:rPr>
          <w:t>350</w:t>
        </w:r>
        <w:r w:rsidR="00616885">
          <w:rPr>
            <w:webHidden/>
          </w:rPr>
          <w:fldChar w:fldCharType="end"/>
        </w:r>
      </w:hyperlink>
    </w:p>
    <w:p w14:paraId="2857F8AD" w14:textId="7C9AD195" w:rsidR="00616885" w:rsidRDefault="00000000">
      <w:pPr>
        <w:pStyle w:val="TOC3"/>
        <w:rPr>
          <w:rFonts w:asciiTheme="minorHAnsi" w:eastAsiaTheme="minorEastAsia" w:hAnsiTheme="minorHAnsi" w:cstheme="minorBidi"/>
          <w:szCs w:val="22"/>
          <w:lang w:bidi="ar-SA"/>
        </w:rPr>
      </w:pPr>
      <w:hyperlink w:anchor="_Toc121504054" w:history="1">
        <w:r w:rsidR="00616885" w:rsidRPr="00657503">
          <w:rPr>
            <w:rStyle w:val="Hyperlink"/>
            <w:rFonts w:cs="Arial"/>
            <w:b/>
            <w:bCs/>
            <w:iCs/>
            <w:lang w:eastAsia="en-US"/>
          </w:rPr>
          <w:t>5.5.7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Delete a Profile</w:t>
        </w:r>
        <w:r w:rsidR="00616885">
          <w:rPr>
            <w:webHidden/>
          </w:rPr>
          <w:tab/>
        </w:r>
        <w:r w:rsidR="00616885">
          <w:rPr>
            <w:webHidden/>
          </w:rPr>
          <w:fldChar w:fldCharType="begin"/>
        </w:r>
        <w:r w:rsidR="00616885">
          <w:rPr>
            <w:webHidden/>
          </w:rPr>
          <w:instrText xml:space="preserve"> PAGEREF _Toc121504054 \h </w:instrText>
        </w:r>
        <w:r w:rsidR="00616885">
          <w:rPr>
            <w:webHidden/>
          </w:rPr>
        </w:r>
        <w:r w:rsidR="00616885">
          <w:rPr>
            <w:webHidden/>
          </w:rPr>
          <w:fldChar w:fldCharType="separate"/>
        </w:r>
        <w:r w:rsidR="001D5AD9">
          <w:rPr>
            <w:webHidden/>
          </w:rPr>
          <w:t>352</w:t>
        </w:r>
        <w:r w:rsidR="00616885">
          <w:rPr>
            <w:webHidden/>
          </w:rPr>
          <w:fldChar w:fldCharType="end"/>
        </w:r>
      </w:hyperlink>
    </w:p>
    <w:p w14:paraId="51EBC968" w14:textId="43C6E848" w:rsidR="00616885" w:rsidRDefault="00000000">
      <w:pPr>
        <w:pStyle w:val="TOC3"/>
        <w:rPr>
          <w:rFonts w:asciiTheme="minorHAnsi" w:eastAsiaTheme="minorEastAsia" w:hAnsiTheme="minorHAnsi" w:cstheme="minorBidi"/>
          <w:szCs w:val="22"/>
          <w:lang w:bidi="ar-SA"/>
        </w:rPr>
      </w:pPr>
      <w:hyperlink w:anchor="_Toc121504055" w:history="1">
        <w:r w:rsidR="00616885" w:rsidRPr="00657503">
          <w:rPr>
            <w:rStyle w:val="Hyperlink"/>
            <w:rFonts w:cs="Arial"/>
            <w:b/>
            <w:bCs/>
            <w:iCs/>
            <w:lang w:eastAsia="en-US"/>
          </w:rPr>
          <w:t>5.5.8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Prepare SM-SR Change</w:t>
        </w:r>
        <w:r w:rsidR="00616885">
          <w:rPr>
            <w:webHidden/>
          </w:rPr>
          <w:tab/>
        </w:r>
        <w:r w:rsidR="00616885">
          <w:rPr>
            <w:webHidden/>
          </w:rPr>
          <w:fldChar w:fldCharType="begin"/>
        </w:r>
        <w:r w:rsidR="00616885">
          <w:rPr>
            <w:webHidden/>
          </w:rPr>
          <w:instrText xml:space="preserve"> PAGEREF _Toc121504055 \h </w:instrText>
        </w:r>
        <w:r w:rsidR="00616885">
          <w:rPr>
            <w:webHidden/>
          </w:rPr>
        </w:r>
        <w:r w:rsidR="00616885">
          <w:rPr>
            <w:webHidden/>
          </w:rPr>
          <w:fldChar w:fldCharType="separate"/>
        </w:r>
        <w:r w:rsidR="001D5AD9">
          <w:rPr>
            <w:webHidden/>
          </w:rPr>
          <w:t>354</w:t>
        </w:r>
        <w:r w:rsidR="00616885">
          <w:rPr>
            <w:webHidden/>
          </w:rPr>
          <w:fldChar w:fldCharType="end"/>
        </w:r>
      </w:hyperlink>
    </w:p>
    <w:p w14:paraId="5D9A7C56" w14:textId="1DF6813C" w:rsidR="00616885" w:rsidRDefault="00000000">
      <w:pPr>
        <w:pStyle w:val="TOC3"/>
        <w:rPr>
          <w:rFonts w:asciiTheme="minorHAnsi" w:eastAsiaTheme="minorEastAsia" w:hAnsiTheme="minorHAnsi" w:cstheme="minorBidi"/>
          <w:szCs w:val="22"/>
          <w:lang w:bidi="ar-SA"/>
        </w:rPr>
      </w:pPr>
      <w:hyperlink w:anchor="_Toc121504056" w:history="1">
        <w:r w:rsidR="00616885" w:rsidRPr="00657503">
          <w:rPr>
            <w:rStyle w:val="Hyperlink"/>
            <w:rFonts w:cs="Arial"/>
            <w:b/>
            <w:bCs/>
            <w:iCs/>
            <w:lang w:eastAsia="en-US"/>
          </w:rPr>
          <w:t>5.5.9</w:t>
        </w:r>
        <w:r w:rsidR="00616885">
          <w:rPr>
            <w:rFonts w:asciiTheme="minorHAnsi" w:eastAsiaTheme="minorEastAsia" w:hAnsiTheme="minorHAnsi" w:cstheme="minorBidi"/>
            <w:szCs w:val="22"/>
            <w:lang w:bidi="ar-SA"/>
          </w:rPr>
          <w:tab/>
        </w:r>
        <w:r w:rsidR="00616885" w:rsidRPr="00657503">
          <w:rPr>
            <w:rStyle w:val="Hyperlink"/>
            <w:rFonts w:cs="Arial"/>
            <w:b/>
            <w:lang w:eastAsia="en-US"/>
          </w:rPr>
          <w:t>SM-SR Change</w:t>
        </w:r>
        <w:r w:rsidR="00616885">
          <w:rPr>
            <w:webHidden/>
          </w:rPr>
          <w:tab/>
        </w:r>
        <w:r w:rsidR="00616885">
          <w:rPr>
            <w:webHidden/>
          </w:rPr>
          <w:fldChar w:fldCharType="begin"/>
        </w:r>
        <w:r w:rsidR="00616885">
          <w:rPr>
            <w:webHidden/>
          </w:rPr>
          <w:instrText xml:space="preserve"> PAGEREF _Toc121504056 \h </w:instrText>
        </w:r>
        <w:r w:rsidR="00616885">
          <w:rPr>
            <w:webHidden/>
          </w:rPr>
        </w:r>
        <w:r w:rsidR="00616885">
          <w:rPr>
            <w:webHidden/>
          </w:rPr>
          <w:fldChar w:fldCharType="separate"/>
        </w:r>
        <w:r w:rsidR="001D5AD9">
          <w:rPr>
            <w:webHidden/>
          </w:rPr>
          <w:t>355</w:t>
        </w:r>
        <w:r w:rsidR="00616885">
          <w:rPr>
            <w:webHidden/>
          </w:rPr>
          <w:fldChar w:fldCharType="end"/>
        </w:r>
      </w:hyperlink>
    </w:p>
    <w:p w14:paraId="0AA0DC1E" w14:textId="6CADC91C" w:rsidR="00616885" w:rsidRDefault="00000000">
      <w:pPr>
        <w:pStyle w:val="TOC3"/>
        <w:rPr>
          <w:rFonts w:asciiTheme="minorHAnsi" w:eastAsiaTheme="minorEastAsia" w:hAnsiTheme="minorHAnsi" w:cstheme="minorBidi"/>
          <w:szCs w:val="22"/>
          <w:lang w:bidi="ar-SA"/>
        </w:rPr>
      </w:pPr>
      <w:hyperlink w:anchor="_Toc121504057" w:history="1">
        <w:r w:rsidR="00616885" w:rsidRPr="00657503">
          <w:rPr>
            <w:rStyle w:val="Hyperlink"/>
            <w:rFonts w:cs="Arial"/>
            <w:b/>
            <w:bCs/>
            <w:iCs/>
            <w:lang w:eastAsia="en-US"/>
          </w:rPr>
          <w:t>5.5.10</w:t>
        </w:r>
        <w:r w:rsidR="00616885">
          <w:rPr>
            <w:rFonts w:asciiTheme="minorHAnsi" w:eastAsiaTheme="minorEastAsia" w:hAnsiTheme="minorHAnsi" w:cstheme="minorBidi"/>
            <w:szCs w:val="22"/>
            <w:lang w:bidi="ar-SA"/>
          </w:rPr>
          <w:tab/>
        </w:r>
        <w:r w:rsidR="00616885" w:rsidRPr="00657503">
          <w:rPr>
            <w:rStyle w:val="Hyperlink"/>
            <w:rFonts w:cs="Arial"/>
            <w:b/>
            <w:lang w:eastAsia="en-US"/>
          </w:rPr>
          <w:t>Notify a Profile is Disabled</w:t>
        </w:r>
        <w:r w:rsidR="00616885">
          <w:rPr>
            <w:webHidden/>
          </w:rPr>
          <w:tab/>
        </w:r>
        <w:r w:rsidR="00616885">
          <w:rPr>
            <w:webHidden/>
          </w:rPr>
          <w:fldChar w:fldCharType="begin"/>
        </w:r>
        <w:r w:rsidR="00616885">
          <w:rPr>
            <w:webHidden/>
          </w:rPr>
          <w:instrText xml:space="preserve"> PAGEREF _Toc121504057 \h </w:instrText>
        </w:r>
        <w:r w:rsidR="00616885">
          <w:rPr>
            <w:webHidden/>
          </w:rPr>
        </w:r>
        <w:r w:rsidR="00616885">
          <w:rPr>
            <w:webHidden/>
          </w:rPr>
          <w:fldChar w:fldCharType="separate"/>
        </w:r>
        <w:r w:rsidR="001D5AD9">
          <w:rPr>
            <w:webHidden/>
          </w:rPr>
          <w:t>357</w:t>
        </w:r>
        <w:r w:rsidR="00616885">
          <w:rPr>
            <w:webHidden/>
          </w:rPr>
          <w:fldChar w:fldCharType="end"/>
        </w:r>
      </w:hyperlink>
    </w:p>
    <w:p w14:paraId="58291B73" w14:textId="12B2FCD6" w:rsidR="00616885" w:rsidRDefault="00000000">
      <w:pPr>
        <w:pStyle w:val="TOC3"/>
        <w:rPr>
          <w:rFonts w:asciiTheme="minorHAnsi" w:eastAsiaTheme="minorEastAsia" w:hAnsiTheme="minorHAnsi" w:cstheme="minorBidi"/>
          <w:szCs w:val="22"/>
          <w:lang w:bidi="ar-SA"/>
        </w:rPr>
      </w:pPr>
      <w:hyperlink w:anchor="_Toc121504058" w:history="1">
        <w:r w:rsidR="00616885" w:rsidRPr="00657503">
          <w:rPr>
            <w:rStyle w:val="Hyperlink"/>
            <w:rFonts w:cs="Arial"/>
            <w:b/>
            <w:bCs/>
            <w:iCs/>
            <w:lang w:eastAsia="en-US"/>
          </w:rPr>
          <w:t>5.5.11</w:t>
        </w:r>
        <w:r w:rsidR="00616885">
          <w:rPr>
            <w:rFonts w:asciiTheme="minorHAnsi" w:eastAsiaTheme="minorEastAsia" w:hAnsiTheme="minorHAnsi" w:cstheme="minorBidi"/>
            <w:szCs w:val="22"/>
            <w:lang w:bidi="ar-SA"/>
          </w:rPr>
          <w:tab/>
        </w:r>
        <w:r w:rsidR="00616885" w:rsidRPr="00657503">
          <w:rPr>
            <w:rStyle w:val="Hyperlink"/>
            <w:rFonts w:cs="Arial"/>
            <w:b/>
            <w:lang w:eastAsia="en-US"/>
          </w:rPr>
          <w:t>Notify a Profile is Enabled</w:t>
        </w:r>
        <w:r w:rsidR="00616885">
          <w:rPr>
            <w:webHidden/>
          </w:rPr>
          <w:tab/>
        </w:r>
        <w:r w:rsidR="00616885">
          <w:rPr>
            <w:webHidden/>
          </w:rPr>
          <w:fldChar w:fldCharType="begin"/>
        </w:r>
        <w:r w:rsidR="00616885">
          <w:rPr>
            <w:webHidden/>
          </w:rPr>
          <w:instrText xml:space="preserve"> PAGEREF _Toc121504058 \h </w:instrText>
        </w:r>
        <w:r w:rsidR="00616885">
          <w:rPr>
            <w:webHidden/>
          </w:rPr>
        </w:r>
        <w:r w:rsidR="00616885">
          <w:rPr>
            <w:webHidden/>
          </w:rPr>
          <w:fldChar w:fldCharType="separate"/>
        </w:r>
        <w:r w:rsidR="001D5AD9">
          <w:rPr>
            <w:webHidden/>
          </w:rPr>
          <w:t>358</w:t>
        </w:r>
        <w:r w:rsidR="00616885">
          <w:rPr>
            <w:webHidden/>
          </w:rPr>
          <w:fldChar w:fldCharType="end"/>
        </w:r>
      </w:hyperlink>
    </w:p>
    <w:p w14:paraId="3C0EFF97" w14:textId="7541CD7D" w:rsidR="00616885" w:rsidRDefault="00000000">
      <w:pPr>
        <w:pStyle w:val="TOC3"/>
        <w:rPr>
          <w:rFonts w:asciiTheme="minorHAnsi" w:eastAsiaTheme="minorEastAsia" w:hAnsiTheme="minorHAnsi" w:cstheme="minorBidi"/>
          <w:szCs w:val="22"/>
          <w:lang w:bidi="ar-SA"/>
        </w:rPr>
      </w:pPr>
      <w:hyperlink w:anchor="_Toc121504059" w:history="1">
        <w:r w:rsidR="00616885" w:rsidRPr="00657503">
          <w:rPr>
            <w:rStyle w:val="Hyperlink"/>
            <w:rFonts w:cs="Arial"/>
            <w:b/>
            <w:bCs/>
            <w:iCs/>
            <w:lang w:eastAsia="en-US"/>
          </w:rPr>
          <w:t>5.5.12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Notify a SM-SR </w:t>
        </w:r>
        <w:r w:rsidR="00616885" w:rsidRPr="00657503">
          <w:rPr>
            <w:rStyle w:val="Hyperlink"/>
            <w:rFonts w:cs="Arial"/>
            <w:b/>
            <w:lang w:eastAsia="en-US"/>
          </w:rPr>
          <w:t>Change</w:t>
        </w:r>
        <w:r w:rsidR="00616885">
          <w:rPr>
            <w:webHidden/>
          </w:rPr>
          <w:tab/>
        </w:r>
        <w:r w:rsidR="00616885">
          <w:rPr>
            <w:webHidden/>
          </w:rPr>
          <w:fldChar w:fldCharType="begin"/>
        </w:r>
        <w:r w:rsidR="00616885">
          <w:rPr>
            <w:webHidden/>
          </w:rPr>
          <w:instrText xml:space="preserve"> PAGEREF _Toc121504059 \h </w:instrText>
        </w:r>
        <w:r w:rsidR="00616885">
          <w:rPr>
            <w:webHidden/>
          </w:rPr>
        </w:r>
        <w:r w:rsidR="00616885">
          <w:rPr>
            <w:webHidden/>
          </w:rPr>
          <w:fldChar w:fldCharType="separate"/>
        </w:r>
        <w:r w:rsidR="001D5AD9">
          <w:rPr>
            <w:webHidden/>
          </w:rPr>
          <w:t>359</w:t>
        </w:r>
        <w:r w:rsidR="00616885">
          <w:rPr>
            <w:webHidden/>
          </w:rPr>
          <w:fldChar w:fldCharType="end"/>
        </w:r>
      </w:hyperlink>
    </w:p>
    <w:p w14:paraId="26702484" w14:textId="41AA1137" w:rsidR="00616885" w:rsidRDefault="00000000">
      <w:pPr>
        <w:pStyle w:val="TOC3"/>
        <w:rPr>
          <w:rFonts w:asciiTheme="minorHAnsi" w:eastAsiaTheme="minorEastAsia" w:hAnsiTheme="minorHAnsi" w:cstheme="minorBidi"/>
          <w:szCs w:val="22"/>
          <w:lang w:bidi="ar-SA"/>
        </w:rPr>
      </w:pPr>
      <w:hyperlink w:anchor="_Toc121504060" w:history="1">
        <w:r w:rsidR="00616885" w:rsidRPr="00657503">
          <w:rPr>
            <w:rStyle w:val="Hyperlink"/>
            <w:rFonts w:cs="Arial"/>
            <w:b/>
            <w:bCs/>
            <w:iCs/>
            <w:lang w:eastAsia="en-US"/>
          </w:rPr>
          <w:t>5.5.13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 xml:space="preserve">Notify a </w:t>
        </w:r>
        <w:r w:rsidR="00616885" w:rsidRPr="00657503">
          <w:rPr>
            <w:rStyle w:val="Hyperlink"/>
            <w:rFonts w:cs="Arial"/>
            <w:b/>
            <w:lang w:eastAsia="en-US"/>
          </w:rPr>
          <w:t>Profile Deletion</w:t>
        </w:r>
        <w:r w:rsidR="00616885">
          <w:rPr>
            <w:webHidden/>
          </w:rPr>
          <w:tab/>
        </w:r>
        <w:r w:rsidR="00616885">
          <w:rPr>
            <w:webHidden/>
          </w:rPr>
          <w:fldChar w:fldCharType="begin"/>
        </w:r>
        <w:r w:rsidR="00616885">
          <w:rPr>
            <w:webHidden/>
          </w:rPr>
          <w:instrText xml:space="preserve"> PAGEREF _Toc121504060 \h </w:instrText>
        </w:r>
        <w:r w:rsidR="00616885">
          <w:rPr>
            <w:webHidden/>
          </w:rPr>
        </w:r>
        <w:r w:rsidR="00616885">
          <w:rPr>
            <w:webHidden/>
          </w:rPr>
          <w:fldChar w:fldCharType="separate"/>
        </w:r>
        <w:r w:rsidR="001D5AD9">
          <w:rPr>
            <w:webHidden/>
          </w:rPr>
          <w:t>359</w:t>
        </w:r>
        <w:r w:rsidR="00616885">
          <w:rPr>
            <w:webHidden/>
          </w:rPr>
          <w:fldChar w:fldCharType="end"/>
        </w:r>
      </w:hyperlink>
    </w:p>
    <w:p w14:paraId="37359B91" w14:textId="6028B464" w:rsidR="00616885" w:rsidRDefault="00000000">
      <w:pPr>
        <w:pStyle w:val="TOC3"/>
        <w:rPr>
          <w:rFonts w:asciiTheme="minorHAnsi" w:eastAsiaTheme="minorEastAsia" w:hAnsiTheme="minorHAnsi" w:cstheme="minorBidi"/>
          <w:szCs w:val="22"/>
          <w:lang w:bidi="ar-SA"/>
        </w:rPr>
      </w:pPr>
      <w:hyperlink w:anchor="_Toc121504061" w:history="1">
        <w:r w:rsidR="00616885" w:rsidRPr="00657503">
          <w:rPr>
            <w:rStyle w:val="Hyperlink"/>
            <w:rFonts w:cs="Arial"/>
            <w:b/>
            <w:bCs/>
            <w:iCs/>
            <w:lang w:eastAsia="en-US"/>
          </w:rPr>
          <w:t>5.5.14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a Profile Download</w:t>
        </w:r>
        <w:r w:rsidR="00616885">
          <w:rPr>
            <w:webHidden/>
          </w:rPr>
          <w:tab/>
        </w:r>
        <w:r w:rsidR="00616885">
          <w:rPr>
            <w:webHidden/>
          </w:rPr>
          <w:fldChar w:fldCharType="begin"/>
        </w:r>
        <w:r w:rsidR="00616885">
          <w:rPr>
            <w:webHidden/>
          </w:rPr>
          <w:instrText xml:space="preserve"> PAGEREF _Toc121504061 \h </w:instrText>
        </w:r>
        <w:r w:rsidR="00616885">
          <w:rPr>
            <w:webHidden/>
          </w:rPr>
        </w:r>
        <w:r w:rsidR="00616885">
          <w:rPr>
            <w:webHidden/>
          </w:rPr>
          <w:fldChar w:fldCharType="separate"/>
        </w:r>
        <w:r w:rsidR="001D5AD9">
          <w:rPr>
            <w:webHidden/>
          </w:rPr>
          <w:t>360</w:t>
        </w:r>
        <w:r w:rsidR="00616885">
          <w:rPr>
            <w:webHidden/>
          </w:rPr>
          <w:fldChar w:fldCharType="end"/>
        </w:r>
      </w:hyperlink>
    </w:p>
    <w:p w14:paraId="1E9DEBAF" w14:textId="6F06D2B4" w:rsidR="00616885" w:rsidRDefault="00000000">
      <w:pPr>
        <w:pStyle w:val="TOC3"/>
        <w:rPr>
          <w:rFonts w:asciiTheme="minorHAnsi" w:eastAsiaTheme="minorEastAsia" w:hAnsiTheme="minorHAnsi" w:cstheme="minorBidi"/>
          <w:szCs w:val="22"/>
          <w:lang w:bidi="ar-SA"/>
        </w:rPr>
      </w:pPr>
      <w:hyperlink w:anchor="_Toc121504062" w:history="1">
        <w:r w:rsidR="00616885" w:rsidRPr="00657503">
          <w:rPr>
            <w:rStyle w:val="Hyperlink"/>
            <w:rFonts w:cs="Arial"/>
            <w:b/>
            <w:bCs/>
            <w:iCs/>
            <w:lang w:eastAsia="en-US"/>
          </w:rPr>
          <w:t>5.5.15</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the Change of Policy Rules of a Profile</w:t>
        </w:r>
        <w:r w:rsidR="00616885">
          <w:rPr>
            <w:webHidden/>
          </w:rPr>
          <w:tab/>
        </w:r>
        <w:r w:rsidR="00616885">
          <w:rPr>
            <w:webHidden/>
          </w:rPr>
          <w:fldChar w:fldCharType="begin"/>
        </w:r>
        <w:r w:rsidR="00616885">
          <w:rPr>
            <w:webHidden/>
          </w:rPr>
          <w:instrText xml:space="preserve"> PAGEREF _Toc121504062 \h </w:instrText>
        </w:r>
        <w:r w:rsidR="00616885">
          <w:rPr>
            <w:webHidden/>
          </w:rPr>
        </w:r>
        <w:r w:rsidR="00616885">
          <w:rPr>
            <w:webHidden/>
          </w:rPr>
          <w:fldChar w:fldCharType="separate"/>
        </w:r>
        <w:r w:rsidR="001D5AD9">
          <w:rPr>
            <w:webHidden/>
          </w:rPr>
          <w:t>361</w:t>
        </w:r>
        <w:r w:rsidR="00616885">
          <w:rPr>
            <w:webHidden/>
          </w:rPr>
          <w:fldChar w:fldCharType="end"/>
        </w:r>
      </w:hyperlink>
    </w:p>
    <w:p w14:paraId="2B676288" w14:textId="4A183A92" w:rsidR="00616885" w:rsidRDefault="00000000">
      <w:pPr>
        <w:pStyle w:val="TOC3"/>
        <w:rPr>
          <w:rFonts w:asciiTheme="minorHAnsi" w:eastAsiaTheme="minorEastAsia" w:hAnsiTheme="minorHAnsi" w:cstheme="minorBidi"/>
          <w:szCs w:val="22"/>
          <w:lang w:bidi="ar-SA"/>
        </w:rPr>
      </w:pPr>
      <w:hyperlink w:anchor="_Toc121504063" w:history="1">
        <w:r w:rsidR="00616885" w:rsidRPr="00657503">
          <w:rPr>
            <w:rStyle w:val="Hyperlink"/>
            <w:rFonts w:cs="Arial"/>
            <w:b/>
            <w:bCs/>
            <w:iCs/>
            <w:lang w:eastAsia="en-US"/>
          </w:rPr>
          <w:t>5.5.16</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 a PLMA Setting</w:t>
        </w:r>
        <w:r w:rsidR="00616885">
          <w:rPr>
            <w:webHidden/>
          </w:rPr>
          <w:tab/>
        </w:r>
        <w:r w:rsidR="00616885">
          <w:rPr>
            <w:webHidden/>
          </w:rPr>
          <w:fldChar w:fldCharType="begin"/>
        </w:r>
        <w:r w:rsidR="00616885">
          <w:rPr>
            <w:webHidden/>
          </w:rPr>
          <w:instrText xml:space="preserve"> PAGEREF _Toc121504063 \h </w:instrText>
        </w:r>
        <w:r w:rsidR="00616885">
          <w:rPr>
            <w:webHidden/>
          </w:rPr>
        </w:r>
        <w:r w:rsidR="00616885">
          <w:rPr>
            <w:webHidden/>
          </w:rPr>
          <w:fldChar w:fldCharType="separate"/>
        </w:r>
        <w:r w:rsidR="001D5AD9">
          <w:rPr>
            <w:webHidden/>
          </w:rPr>
          <w:t>362</w:t>
        </w:r>
        <w:r w:rsidR="00616885">
          <w:rPr>
            <w:webHidden/>
          </w:rPr>
          <w:fldChar w:fldCharType="end"/>
        </w:r>
      </w:hyperlink>
    </w:p>
    <w:p w14:paraId="383BB999" w14:textId="7422E6B3" w:rsidR="00616885" w:rsidRDefault="00000000">
      <w:pPr>
        <w:pStyle w:val="TOC3"/>
        <w:rPr>
          <w:rFonts w:asciiTheme="minorHAnsi" w:eastAsiaTheme="minorEastAsia" w:hAnsiTheme="minorHAnsi" w:cstheme="minorBidi"/>
          <w:szCs w:val="22"/>
          <w:lang w:bidi="ar-SA"/>
        </w:rPr>
      </w:pPr>
      <w:hyperlink w:anchor="_Toc121504064" w:history="1">
        <w:r w:rsidR="00616885" w:rsidRPr="00657503">
          <w:rPr>
            <w:rStyle w:val="Hyperlink"/>
            <w:rFonts w:cs="Arial"/>
            <w:b/>
            <w:bCs/>
            <w:iCs/>
            <w:lang w:eastAsia="en-US"/>
          </w:rPr>
          <w:t>5.5.17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Retrieving Authorisations of M2M SP to Access Profiles</w:t>
        </w:r>
        <w:r w:rsidR="00616885">
          <w:rPr>
            <w:webHidden/>
          </w:rPr>
          <w:tab/>
        </w:r>
        <w:r w:rsidR="00616885">
          <w:rPr>
            <w:webHidden/>
          </w:rPr>
          <w:fldChar w:fldCharType="begin"/>
        </w:r>
        <w:r w:rsidR="00616885">
          <w:rPr>
            <w:webHidden/>
          </w:rPr>
          <w:instrText xml:space="preserve"> PAGEREF _Toc121504064 \h </w:instrText>
        </w:r>
        <w:r w:rsidR="00616885">
          <w:rPr>
            <w:webHidden/>
          </w:rPr>
        </w:r>
        <w:r w:rsidR="00616885">
          <w:rPr>
            <w:webHidden/>
          </w:rPr>
          <w:fldChar w:fldCharType="separate"/>
        </w:r>
        <w:r w:rsidR="001D5AD9">
          <w:rPr>
            <w:webHidden/>
          </w:rPr>
          <w:t>362</w:t>
        </w:r>
        <w:r w:rsidR="00616885">
          <w:rPr>
            <w:webHidden/>
          </w:rPr>
          <w:fldChar w:fldCharType="end"/>
        </w:r>
      </w:hyperlink>
    </w:p>
    <w:p w14:paraId="664BF347" w14:textId="6F6FE20A" w:rsidR="00616885" w:rsidRDefault="00000000">
      <w:pPr>
        <w:pStyle w:val="TOC3"/>
        <w:rPr>
          <w:rFonts w:asciiTheme="minorHAnsi" w:eastAsiaTheme="minorEastAsia" w:hAnsiTheme="minorHAnsi" w:cstheme="minorBidi"/>
          <w:szCs w:val="22"/>
          <w:lang w:bidi="ar-SA"/>
        </w:rPr>
      </w:pPr>
      <w:hyperlink w:anchor="_Toc121504065" w:history="1">
        <w:r w:rsidR="00616885" w:rsidRPr="00657503">
          <w:rPr>
            <w:rStyle w:val="Hyperlink"/>
            <w:rFonts w:cs="Arial"/>
            <w:b/>
            <w:bCs/>
            <w:iCs/>
            <w:lang w:eastAsia="en-US"/>
          </w:rPr>
          <w:t>5.5.18</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the Emergency Profile Attribute</w:t>
        </w:r>
        <w:r w:rsidR="00616885">
          <w:rPr>
            <w:webHidden/>
          </w:rPr>
          <w:tab/>
        </w:r>
        <w:r w:rsidR="00616885">
          <w:rPr>
            <w:webHidden/>
          </w:rPr>
          <w:fldChar w:fldCharType="begin"/>
        </w:r>
        <w:r w:rsidR="00616885">
          <w:rPr>
            <w:webHidden/>
          </w:rPr>
          <w:instrText xml:space="preserve"> PAGEREF _Toc121504065 \h </w:instrText>
        </w:r>
        <w:r w:rsidR="00616885">
          <w:rPr>
            <w:webHidden/>
          </w:rPr>
        </w:r>
        <w:r w:rsidR="00616885">
          <w:rPr>
            <w:webHidden/>
          </w:rPr>
          <w:fldChar w:fldCharType="separate"/>
        </w:r>
        <w:r w:rsidR="001D5AD9">
          <w:rPr>
            <w:webHidden/>
          </w:rPr>
          <w:t>364</w:t>
        </w:r>
        <w:r w:rsidR="00616885">
          <w:rPr>
            <w:webHidden/>
          </w:rPr>
          <w:fldChar w:fldCharType="end"/>
        </w:r>
      </w:hyperlink>
    </w:p>
    <w:p w14:paraId="0AC0DCB0" w14:textId="4B768A14" w:rsidR="00616885" w:rsidRDefault="00000000">
      <w:pPr>
        <w:pStyle w:val="TOC3"/>
        <w:rPr>
          <w:rFonts w:asciiTheme="minorHAnsi" w:eastAsiaTheme="minorEastAsia" w:hAnsiTheme="minorHAnsi" w:cstheme="minorBidi"/>
          <w:szCs w:val="22"/>
          <w:lang w:bidi="ar-SA"/>
        </w:rPr>
      </w:pPr>
      <w:hyperlink w:anchor="_Toc121504066" w:history="1">
        <w:r w:rsidR="00616885" w:rsidRPr="00657503">
          <w:rPr>
            <w:rStyle w:val="Hyperlink"/>
            <w:rFonts w:cs="Arial"/>
            <w:b/>
            <w:bCs/>
            <w:iCs/>
            <w:lang w:eastAsia="en-US"/>
          </w:rPr>
          <w:t>5.5.19</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Emergency Profile Attribute setting</w:t>
        </w:r>
        <w:r w:rsidR="00616885">
          <w:rPr>
            <w:webHidden/>
          </w:rPr>
          <w:tab/>
        </w:r>
        <w:r w:rsidR="00616885">
          <w:rPr>
            <w:webHidden/>
          </w:rPr>
          <w:fldChar w:fldCharType="begin"/>
        </w:r>
        <w:r w:rsidR="00616885">
          <w:rPr>
            <w:webHidden/>
          </w:rPr>
          <w:instrText xml:space="preserve"> PAGEREF _Toc121504066 \h </w:instrText>
        </w:r>
        <w:r w:rsidR="00616885">
          <w:rPr>
            <w:webHidden/>
          </w:rPr>
        </w:r>
        <w:r w:rsidR="00616885">
          <w:rPr>
            <w:webHidden/>
          </w:rPr>
          <w:fldChar w:fldCharType="separate"/>
        </w:r>
        <w:r w:rsidR="001D5AD9">
          <w:rPr>
            <w:webHidden/>
          </w:rPr>
          <w:t>365</w:t>
        </w:r>
        <w:r w:rsidR="00616885">
          <w:rPr>
            <w:webHidden/>
          </w:rPr>
          <w:fldChar w:fldCharType="end"/>
        </w:r>
      </w:hyperlink>
    </w:p>
    <w:p w14:paraId="23DF0303" w14:textId="02B83B19" w:rsidR="00616885" w:rsidRDefault="00000000">
      <w:pPr>
        <w:pStyle w:val="TOC3"/>
        <w:rPr>
          <w:rFonts w:asciiTheme="minorHAnsi" w:eastAsiaTheme="minorEastAsia" w:hAnsiTheme="minorHAnsi" w:cstheme="minorBidi"/>
          <w:szCs w:val="22"/>
          <w:lang w:bidi="ar-SA"/>
        </w:rPr>
      </w:pPr>
      <w:hyperlink w:anchor="_Toc121504067" w:history="1">
        <w:r w:rsidR="00616885" w:rsidRPr="00657503">
          <w:rPr>
            <w:rStyle w:val="Hyperlink"/>
            <w:rFonts w:cs="Arial"/>
            <w:b/>
            <w:bCs/>
            <w:iCs/>
            <w:lang w:eastAsia="en-US"/>
          </w:rPr>
          <w:t>5.5.20</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Emergency Profile Attribute Unsetting</w:t>
        </w:r>
        <w:r w:rsidR="00616885">
          <w:rPr>
            <w:webHidden/>
          </w:rPr>
          <w:tab/>
        </w:r>
        <w:r w:rsidR="00616885">
          <w:rPr>
            <w:webHidden/>
          </w:rPr>
          <w:fldChar w:fldCharType="begin"/>
        </w:r>
        <w:r w:rsidR="00616885">
          <w:rPr>
            <w:webHidden/>
          </w:rPr>
          <w:instrText xml:space="preserve"> PAGEREF _Toc121504067 \h </w:instrText>
        </w:r>
        <w:r w:rsidR="00616885">
          <w:rPr>
            <w:webHidden/>
          </w:rPr>
        </w:r>
        <w:r w:rsidR="00616885">
          <w:rPr>
            <w:webHidden/>
          </w:rPr>
          <w:fldChar w:fldCharType="separate"/>
        </w:r>
        <w:r w:rsidR="001D5AD9">
          <w:rPr>
            <w:webHidden/>
          </w:rPr>
          <w:t>366</w:t>
        </w:r>
        <w:r w:rsidR="00616885">
          <w:rPr>
            <w:webHidden/>
          </w:rPr>
          <w:fldChar w:fldCharType="end"/>
        </w:r>
      </w:hyperlink>
    </w:p>
    <w:p w14:paraId="3D8350F9" w14:textId="0CF7D438" w:rsidR="00616885" w:rsidRDefault="00000000">
      <w:pPr>
        <w:pStyle w:val="TOC3"/>
        <w:rPr>
          <w:rFonts w:asciiTheme="minorHAnsi" w:eastAsiaTheme="minorEastAsia" w:hAnsiTheme="minorHAnsi" w:cstheme="minorBidi"/>
          <w:szCs w:val="22"/>
          <w:lang w:bidi="ar-SA"/>
        </w:rPr>
      </w:pPr>
      <w:hyperlink w:anchor="_Toc121504068" w:history="1">
        <w:r w:rsidR="00616885" w:rsidRPr="00657503">
          <w:rPr>
            <w:rStyle w:val="Hyperlink"/>
            <w:rFonts w:cs="Arial"/>
            <w:b/>
            <w:bCs/>
            <w:iCs/>
            <w:lang w:eastAsia="en-US"/>
          </w:rPr>
          <w:t>5.5.21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the Fall-Back Attribute</w:t>
        </w:r>
        <w:r w:rsidR="00616885">
          <w:rPr>
            <w:webHidden/>
          </w:rPr>
          <w:tab/>
        </w:r>
        <w:r w:rsidR="00616885">
          <w:rPr>
            <w:webHidden/>
          </w:rPr>
          <w:fldChar w:fldCharType="begin"/>
        </w:r>
        <w:r w:rsidR="00616885">
          <w:rPr>
            <w:webHidden/>
          </w:rPr>
          <w:instrText xml:space="preserve"> PAGEREF _Toc121504068 \h </w:instrText>
        </w:r>
        <w:r w:rsidR="00616885">
          <w:rPr>
            <w:webHidden/>
          </w:rPr>
        </w:r>
        <w:r w:rsidR="00616885">
          <w:rPr>
            <w:webHidden/>
          </w:rPr>
          <w:fldChar w:fldCharType="separate"/>
        </w:r>
        <w:r w:rsidR="001D5AD9">
          <w:rPr>
            <w:webHidden/>
          </w:rPr>
          <w:t>367</w:t>
        </w:r>
        <w:r w:rsidR="00616885">
          <w:rPr>
            <w:webHidden/>
          </w:rPr>
          <w:fldChar w:fldCharType="end"/>
        </w:r>
      </w:hyperlink>
    </w:p>
    <w:p w14:paraId="71C633D9" w14:textId="68D430DE" w:rsidR="00616885" w:rsidRDefault="00000000">
      <w:pPr>
        <w:pStyle w:val="TOC3"/>
        <w:rPr>
          <w:rFonts w:asciiTheme="minorHAnsi" w:eastAsiaTheme="minorEastAsia" w:hAnsiTheme="minorHAnsi" w:cstheme="minorBidi"/>
          <w:szCs w:val="22"/>
          <w:lang w:bidi="ar-SA"/>
        </w:rPr>
      </w:pPr>
      <w:hyperlink w:anchor="_Toc121504069" w:history="1">
        <w:r w:rsidR="00616885" w:rsidRPr="00657503">
          <w:rPr>
            <w:rStyle w:val="Hyperlink"/>
            <w:rFonts w:cs="Arial"/>
            <w:b/>
            <w:bCs/>
            <w:iCs/>
            <w:lang w:eastAsia="en-US"/>
          </w:rPr>
          <w:t>5.5.22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Fall-Back Attribute is Set</w:t>
        </w:r>
        <w:r w:rsidR="00616885">
          <w:rPr>
            <w:webHidden/>
          </w:rPr>
          <w:tab/>
        </w:r>
        <w:r w:rsidR="00616885">
          <w:rPr>
            <w:webHidden/>
          </w:rPr>
          <w:fldChar w:fldCharType="begin"/>
        </w:r>
        <w:r w:rsidR="00616885">
          <w:rPr>
            <w:webHidden/>
          </w:rPr>
          <w:instrText xml:space="preserve"> PAGEREF _Toc121504069 \h </w:instrText>
        </w:r>
        <w:r w:rsidR="00616885">
          <w:rPr>
            <w:webHidden/>
          </w:rPr>
        </w:r>
        <w:r w:rsidR="00616885">
          <w:rPr>
            <w:webHidden/>
          </w:rPr>
          <w:fldChar w:fldCharType="separate"/>
        </w:r>
        <w:r w:rsidR="001D5AD9">
          <w:rPr>
            <w:webHidden/>
          </w:rPr>
          <w:t>369</w:t>
        </w:r>
        <w:r w:rsidR="00616885">
          <w:rPr>
            <w:webHidden/>
          </w:rPr>
          <w:fldChar w:fldCharType="end"/>
        </w:r>
      </w:hyperlink>
    </w:p>
    <w:p w14:paraId="5BC01267" w14:textId="1D51F590" w:rsidR="00616885" w:rsidRDefault="00000000">
      <w:pPr>
        <w:pStyle w:val="TOC3"/>
        <w:rPr>
          <w:rFonts w:asciiTheme="minorHAnsi" w:eastAsiaTheme="minorEastAsia" w:hAnsiTheme="minorHAnsi" w:cstheme="minorBidi"/>
          <w:szCs w:val="22"/>
          <w:lang w:bidi="ar-SA"/>
        </w:rPr>
      </w:pPr>
      <w:hyperlink w:anchor="_Toc121504070" w:history="1">
        <w:r w:rsidR="00616885" w:rsidRPr="00657503">
          <w:rPr>
            <w:rStyle w:val="Hyperlink"/>
            <w:rFonts w:cs="Arial"/>
            <w:b/>
            <w:bCs/>
            <w:iCs/>
            <w:lang w:eastAsia="en-US"/>
          </w:rPr>
          <w:t>5.5.23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Notifying the Fall-Back Attribute is Unset</w:t>
        </w:r>
        <w:r w:rsidR="00616885">
          <w:rPr>
            <w:webHidden/>
          </w:rPr>
          <w:tab/>
        </w:r>
        <w:r w:rsidR="00616885">
          <w:rPr>
            <w:webHidden/>
          </w:rPr>
          <w:fldChar w:fldCharType="begin"/>
        </w:r>
        <w:r w:rsidR="00616885">
          <w:rPr>
            <w:webHidden/>
          </w:rPr>
          <w:instrText xml:space="preserve"> PAGEREF _Toc121504070 \h </w:instrText>
        </w:r>
        <w:r w:rsidR="00616885">
          <w:rPr>
            <w:webHidden/>
          </w:rPr>
        </w:r>
        <w:r w:rsidR="00616885">
          <w:rPr>
            <w:webHidden/>
          </w:rPr>
          <w:fldChar w:fldCharType="separate"/>
        </w:r>
        <w:r w:rsidR="001D5AD9">
          <w:rPr>
            <w:webHidden/>
          </w:rPr>
          <w:t>370</w:t>
        </w:r>
        <w:r w:rsidR="00616885">
          <w:rPr>
            <w:webHidden/>
          </w:rPr>
          <w:fldChar w:fldCharType="end"/>
        </w:r>
      </w:hyperlink>
    </w:p>
    <w:p w14:paraId="728EDBF2" w14:textId="6065F36A" w:rsidR="00616885" w:rsidRDefault="00000000">
      <w:pPr>
        <w:pStyle w:val="TOC2"/>
        <w:rPr>
          <w:rFonts w:asciiTheme="minorHAnsi" w:eastAsiaTheme="minorEastAsia" w:hAnsiTheme="minorHAnsi" w:cstheme="minorBidi"/>
          <w:szCs w:val="22"/>
          <w:lang w:bidi="ar-SA"/>
        </w:rPr>
      </w:pPr>
      <w:hyperlink w:anchor="_Toc121504071" w:history="1">
        <w:r w:rsidR="00616885" w:rsidRPr="00657503">
          <w:rPr>
            <w:rStyle w:val="Hyperlink"/>
            <w:rFonts w:cs="Arial"/>
            <w:b/>
            <w:bCs/>
            <w:iCs/>
            <w:lang w:val="de-DE" w:eastAsia="en-US"/>
          </w:rPr>
          <w:t>5.6</w:t>
        </w:r>
        <w:r w:rsidR="00616885">
          <w:rPr>
            <w:rFonts w:asciiTheme="minorHAnsi" w:eastAsiaTheme="minorEastAsia" w:hAnsiTheme="minorHAnsi" w:cstheme="minorBidi"/>
            <w:szCs w:val="22"/>
            <w:lang w:bidi="ar-SA"/>
          </w:rPr>
          <w:tab/>
        </w:r>
        <w:r w:rsidR="00616885" w:rsidRPr="00657503">
          <w:rPr>
            <w:rStyle w:val="Hyperlink"/>
            <w:rFonts w:cs="Arial"/>
            <w:b/>
            <w:bCs/>
            <w:iCs/>
            <w:lang w:val="de-DE" w:eastAsia="en-US"/>
          </w:rPr>
          <w:t>ES7 (SM-SR – SM-SR) Interface Description</w:t>
        </w:r>
        <w:r w:rsidR="00616885">
          <w:rPr>
            <w:webHidden/>
          </w:rPr>
          <w:tab/>
        </w:r>
        <w:r w:rsidR="00616885">
          <w:rPr>
            <w:webHidden/>
          </w:rPr>
          <w:fldChar w:fldCharType="begin"/>
        </w:r>
        <w:r w:rsidR="00616885">
          <w:rPr>
            <w:webHidden/>
          </w:rPr>
          <w:instrText xml:space="preserve"> PAGEREF _Toc121504071 \h </w:instrText>
        </w:r>
        <w:r w:rsidR="00616885">
          <w:rPr>
            <w:webHidden/>
          </w:rPr>
        </w:r>
        <w:r w:rsidR="00616885">
          <w:rPr>
            <w:webHidden/>
          </w:rPr>
          <w:fldChar w:fldCharType="separate"/>
        </w:r>
        <w:r w:rsidR="001D5AD9">
          <w:rPr>
            <w:webHidden/>
          </w:rPr>
          <w:t>371</w:t>
        </w:r>
        <w:r w:rsidR="00616885">
          <w:rPr>
            <w:webHidden/>
          </w:rPr>
          <w:fldChar w:fldCharType="end"/>
        </w:r>
      </w:hyperlink>
    </w:p>
    <w:p w14:paraId="6D98CDA5" w14:textId="7BBCA9CB" w:rsidR="00616885" w:rsidRDefault="00000000">
      <w:pPr>
        <w:pStyle w:val="TOC3"/>
        <w:rPr>
          <w:rFonts w:asciiTheme="minorHAnsi" w:eastAsiaTheme="minorEastAsia" w:hAnsiTheme="minorHAnsi" w:cstheme="minorBidi"/>
          <w:szCs w:val="22"/>
          <w:lang w:bidi="ar-SA"/>
        </w:rPr>
      </w:pPr>
      <w:hyperlink w:anchor="_Toc121504072" w:history="1">
        <w:r w:rsidR="00616885" w:rsidRPr="00657503">
          <w:rPr>
            <w:rStyle w:val="Hyperlink"/>
            <w:rFonts w:cs="Arial"/>
            <w:b/>
            <w:bCs/>
            <w:iCs/>
            <w:lang w:eastAsia="en-US"/>
          </w:rPr>
          <w:t>5.6.1</w:t>
        </w:r>
        <w:r w:rsidR="00616885">
          <w:rPr>
            <w:rFonts w:asciiTheme="minorHAnsi" w:eastAsiaTheme="minorEastAsia" w:hAnsiTheme="minorHAnsi" w:cstheme="minorBidi"/>
            <w:szCs w:val="22"/>
            <w:lang w:bidi="ar-SA"/>
          </w:rPr>
          <w:tab/>
        </w:r>
        <w:r w:rsidR="00616885" w:rsidRPr="00657503">
          <w:rPr>
            <w:rStyle w:val="Hyperlink"/>
            <w:rFonts w:cs="Arial"/>
            <w:b/>
            <w:lang w:eastAsia="en-US"/>
          </w:rPr>
          <w:t>Create Additional Key Set</w:t>
        </w:r>
        <w:r w:rsidR="00616885">
          <w:rPr>
            <w:webHidden/>
          </w:rPr>
          <w:tab/>
        </w:r>
        <w:r w:rsidR="00616885">
          <w:rPr>
            <w:webHidden/>
          </w:rPr>
          <w:fldChar w:fldCharType="begin"/>
        </w:r>
        <w:r w:rsidR="00616885">
          <w:rPr>
            <w:webHidden/>
          </w:rPr>
          <w:instrText xml:space="preserve"> PAGEREF _Toc121504072 \h </w:instrText>
        </w:r>
        <w:r w:rsidR="00616885">
          <w:rPr>
            <w:webHidden/>
          </w:rPr>
        </w:r>
        <w:r w:rsidR="00616885">
          <w:rPr>
            <w:webHidden/>
          </w:rPr>
          <w:fldChar w:fldCharType="separate"/>
        </w:r>
        <w:r w:rsidR="001D5AD9">
          <w:rPr>
            <w:webHidden/>
          </w:rPr>
          <w:t>371</w:t>
        </w:r>
        <w:r w:rsidR="00616885">
          <w:rPr>
            <w:webHidden/>
          </w:rPr>
          <w:fldChar w:fldCharType="end"/>
        </w:r>
      </w:hyperlink>
    </w:p>
    <w:p w14:paraId="1A16212A" w14:textId="6F2135AA" w:rsidR="00616885" w:rsidRDefault="00000000">
      <w:pPr>
        <w:pStyle w:val="TOC3"/>
        <w:rPr>
          <w:rFonts w:asciiTheme="minorHAnsi" w:eastAsiaTheme="minorEastAsia" w:hAnsiTheme="minorHAnsi" w:cstheme="minorBidi"/>
          <w:szCs w:val="22"/>
          <w:lang w:bidi="ar-SA"/>
        </w:rPr>
      </w:pPr>
      <w:hyperlink w:anchor="_Toc121504073" w:history="1">
        <w:r w:rsidR="00616885" w:rsidRPr="00657503">
          <w:rPr>
            <w:rStyle w:val="Hyperlink"/>
            <w:rFonts w:cs="Arial"/>
            <w:b/>
            <w:bCs/>
            <w:iCs/>
            <w:lang w:eastAsia="en-US"/>
          </w:rPr>
          <w:t>5.6.2</w:t>
        </w:r>
        <w:r w:rsidR="00616885">
          <w:rPr>
            <w:rFonts w:asciiTheme="minorHAnsi" w:eastAsiaTheme="minorEastAsia" w:hAnsiTheme="minorHAnsi" w:cstheme="minorBidi"/>
            <w:szCs w:val="22"/>
            <w:lang w:bidi="ar-SA"/>
          </w:rPr>
          <w:tab/>
        </w:r>
        <w:r w:rsidR="00616885" w:rsidRPr="00657503">
          <w:rPr>
            <w:rStyle w:val="Hyperlink"/>
            <w:rFonts w:cs="Arial"/>
            <w:b/>
            <w:lang w:eastAsia="en-US"/>
          </w:rPr>
          <w:t>Handover eUICC Information</w:t>
        </w:r>
        <w:r w:rsidR="00616885">
          <w:rPr>
            <w:webHidden/>
          </w:rPr>
          <w:tab/>
        </w:r>
        <w:r w:rsidR="00616885">
          <w:rPr>
            <w:webHidden/>
          </w:rPr>
          <w:fldChar w:fldCharType="begin"/>
        </w:r>
        <w:r w:rsidR="00616885">
          <w:rPr>
            <w:webHidden/>
          </w:rPr>
          <w:instrText xml:space="preserve"> PAGEREF _Toc121504073 \h </w:instrText>
        </w:r>
        <w:r w:rsidR="00616885">
          <w:rPr>
            <w:webHidden/>
          </w:rPr>
        </w:r>
        <w:r w:rsidR="00616885">
          <w:rPr>
            <w:webHidden/>
          </w:rPr>
          <w:fldChar w:fldCharType="separate"/>
        </w:r>
        <w:r w:rsidR="001D5AD9">
          <w:rPr>
            <w:webHidden/>
          </w:rPr>
          <w:t>373</w:t>
        </w:r>
        <w:r w:rsidR="00616885">
          <w:rPr>
            <w:webHidden/>
          </w:rPr>
          <w:fldChar w:fldCharType="end"/>
        </w:r>
      </w:hyperlink>
    </w:p>
    <w:p w14:paraId="5E03033A" w14:textId="7CF3B0F1" w:rsidR="00616885" w:rsidRDefault="00000000">
      <w:pPr>
        <w:pStyle w:val="TOC3"/>
        <w:rPr>
          <w:rFonts w:asciiTheme="minorHAnsi" w:eastAsiaTheme="minorEastAsia" w:hAnsiTheme="minorHAnsi" w:cstheme="minorBidi"/>
          <w:szCs w:val="22"/>
          <w:lang w:bidi="ar-SA"/>
        </w:rPr>
      </w:pPr>
      <w:hyperlink w:anchor="_Toc121504074" w:history="1">
        <w:r w:rsidR="00616885" w:rsidRPr="00657503">
          <w:rPr>
            <w:rStyle w:val="Hyperlink"/>
            <w:rFonts w:cs="Arial"/>
            <w:b/>
            <w:bCs/>
            <w:iCs/>
            <w:lang w:eastAsia="en-US"/>
          </w:rPr>
          <w:t>5.6.3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Authenticate SM-SR</w:t>
        </w:r>
        <w:r w:rsidR="00616885">
          <w:rPr>
            <w:webHidden/>
          </w:rPr>
          <w:tab/>
        </w:r>
        <w:r w:rsidR="00616885">
          <w:rPr>
            <w:webHidden/>
          </w:rPr>
          <w:fldChar w:fldCharType="begin"/>
        </w:r>
        <w:r w:rsidR="00616885">
          <w:rPr>
            <w:webHidden/>
          </w:rPr>
          <w:instrText xml:space="preserve"> PAGEREF _Toc121504074 \h </w:instrText>
        </w:r>
        <w:r w:rsidR="00616885">
          <w:rPr>
            <w:webHidden/>
          </w:rPr>
        </w:r>
        <w:r w:rsidR="00616885">
          <w:rPr>
            <w:webHidden/>
          </w:rPr>
          <w:fldChar w:fldCharType="separate"/>
        </w:r>
        <w:r w:rsidR="001D5AD9">
          <w:rPr>
            <w:webHidden/>
          </w:rPr>
          <w:t>375</w:t>
        </w:r>
        <w:r w:rsidR="00616885">
          <w:rPr>
            <w:webHidden/>
          </w:rPr>
          <w:fldChar w:fldCharType="end"/>
        </w:r>
      </w:hyperlink>
    </w:p>
    <w:p w14:paraId="349FA00A" w14:textId="1BBC899E" w:rsidR="00616885" w:rsidRDefault="00000000">
      <w:pPr>
        <w:pStyle w:val="TOC2"/>
        <w:rPr>
          <w:rFonts w:asciiTheme="minorHAnsi" w:eastAsiaTheme="minorEastAsia" w:hAnsiTheme="minorHAnsi" w:cstheme="minorBidi"/>
          <w:szCs w:val="22"/>
          <w:lang w:bidi="ar-SA"/>
        </w:rPr>
      </w:pPr>
      <w:hyperlink w:anchor="_Toc121504075" w:history="1">
        <w:r w:rsidR="00616885" w:rsidRPr="00657503">
          <w:rPr>
            <w:rStyle w:val="Hyperlink"/>
            <w:rFonts w:cs="Arial"/>
            <w:b/>
            <w:bCs/>
            <w:iCs/>
            <w:lang w:eastAsia="en-US"/>
          </w:rPr>
          <w:t>5.7</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ES4A (Operator – SM-SR) Interface Description</w:t>
        </w:r>
        <w:r w:rsidR="00616885">
          <w:rPr>
            <w:webHidden/>
          </w:rPr>
          <w:tab/>
        </w:r>
        <w:r w:rsidR="00616885">
          <w:rPr>
            <w:webHidden/>
          </w:rPr>
          <w:fldChar w:fldCharType="begin"/>
        </w:r>
        <w:r w:rsidR="00616885">
          <w:rPr>
            <w:webHidden/>
          </w:rPr>
          <w:instrText xml:space="preserve"> PAGEREF _Toc121504075 \h </w:instrText>
        </w:r>
        <w:r w:rsidR="00616885">
          <w:rPr>
            <w:webHidden/>
          </w:rPr>
        </w:r>
        <w:r w:rsidR="00616885">
          <w:rPr>
            <w:webHidden/>
          </w:rPr>
          <w:fldChar w:fldCharType="separate"/>
        </w:r>
        <w:r w:rsidR="001D5AD9">
          <w:rPr>
            <w:webHidden/>
          </w:rPr>
          <w:t>376</w:t>
        </w:r>
        <w:r w:rsidR="00616885">
          <w:rPr>
            <w:webHidden/>
          </w:rPr>
          <w:fldChar w:fldCharType="end"/>
        </w:r>
      </w:hyperlink>
    </w:p>
    <w:p w14:paraId="6ACB5C8C" w14:textId="0E78610A" w:rsidR="00616885" w:rsidRDefault="00000000">
      <w:pPr>
        <w:pStyle w:val="TOC3"/>
        <w:rPr>
          <w:rFonts w:asciiTheme="minorHAnsi" w:eastAsiaTheme="minorEastAsia" w:hAnsiTheme="minorHAnsi" w:cstheme="minorBidi"/>
          <w:szCs w:val="22"/>
          <w:lang w:bidi="ar-SA"/>
        </w:rPr>
      </w:pPr>
      <w:hyperlink w:anchor="_Toc121504076" w:history="1">
        <w:r w:rsidR="00616885" w:rsidRPr="00657503">
          <w:rPr>
            <w:rStyle w:val="Hyperlink"/>
            <w:rFonts w:cs="Arial"/>
            <w:b/>
            <w:bCs/>
            <w:iCs/>
            <w:lang w:eastAsia="en-US"/>
          </w:rPr>
          <w:t>5.7.1</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M2M -SP Authorisations to Access Profiles</w:t>
        </w:r>
        <w:r w:rsidR="00616885">
          <w:rPr>
            <w:webHidden/>
          </w:rPr>
          <w:tab/>
        </w:r>
        <w:r w:rsidR="00616885">
          <w:rPr>
            <w:webHidden/>
          </w:rPr>
          <w:fldChar w:fldCharType="begin"/>
        </w:r>
        <w:r w:rsidR="00616885">
          <w:rPr>
            <w:webHidden/>
          </w:rPr>
          <w:instrText xml:space="preserve"> PAGEREF _Toc121504076 \h </w:instrText>
        </w:r>
        <w:r w:rsidR="00616885">
          <w:rPr>
            <w:webHidden/>
          </w:rPr>
        </w:r>
        <w:r w:rsidR="00616885">
          <w:rPr>
            <w:webHidden/>
          </w:rPr>
          <w:fldChar w:fldCharType="separate"/>
        </w:r>
        <w:r w:rsidR="001D5AD9">
          <w:rPr>
            <w:webHidden/>
          </w:rPr>
          <w:t>376</w:t>
        </w:r>
        <w:r w:rsidR="00616885">
          <w:rPr>
            <w:webHidden/>
          </w:rPr>
          <w:fldChar w:fldCharType="end"/>
        </w:r>
      </w:hyperlink>
    </w:p>
    <w:p w14:paraId="16AA5A8D" w14:textId="270F06C9" w:rsidR="00616885" w:rsidRDefault="00000000">
      <w:pPr>
        <w:pStyle w:val="TOC3"/>
        <w:rPr>
          <w:rFonts w:asciiTheme="minorHAnsi" w:eastAsiaTheme="minorEastAsia" w:hAnsiTheme="minorHAnsi" w:cstheme="minorBidi"/>
          <w:szCs w:val="22"/>
          <w:lang w:bidi="ar-SA"/>
        </w:rPr>
      </w:pPr>
      <w:hyperlink w:anchor="_Toc121504077" w:history="1">
        <w:r w:rsidR="00616885" w:rsidRPr="00657503">
          <w:rPr>
            <w:rStyle w:val="Hyperlink"/>
            <w:rFonts w:cs="Arial"/>
            <w:b/>
            <w:bCs/>
            <w:iCs/>
            <w:lang w:eastAsia="en-US"/>
          </w:rPr>
          <w:t>5.7.2</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Retrieving M2M SP Authorisations to Access Profiles</w:t>
        </w:r>
        <w:r w:rsidR="00616885">
          <w:rPr>
            <w:webHidden/>
          </w:rPr>
          <w:tab/>
        </w:r>
        <w:r w:rsidR="00616885">
          <w:rPr>
            <w:webHidden/>
          </w:rPr>
          <w:fldChar w:fldCharType="begin"/>
        </w:r>
        <w:r w:rsidR="00616885">
          <w:rPr>
            <w:webHidden/>
          </w:rPr>
          <w:instrText xml:space="preserve"> PAGEREF _Toc121504077 \h </w:instrText>
        </w:r>
        <w:r w:rsidR="00616885">
          <w:rPr>
            <w:webHidden/>
          </w:rPr>
        </w:r>
        <w:r w:rsidR="00616885">
          <w:rPr>
            <w:webHidden/>
          </w:rPr>
          <w:fldChar w:fldCharType="separate"/>
        </w:r>
        <w:r w:rsidR="001D5AD9">
          <w:rPr>
            <w:webHidden/>
          </w:rPr>
          <w:t>379</w:t>
        </w:r>
        <w:r w:rsidR="00616885">
          <w:rPr>
            <w:webHidden/>
          </w:rPr>
          <w:fldChar w:fldCharType="end"/>
        </w:r>
      </w:hyperlink>
    </w:p>
    <w:p w14:paraId="20609816" w14:textId="11DFF0A1" w:rsidR="00616885" w:rsidRDefault="00000000">
      <w:pPr>
        <w:pStyle w:val="TOC3"/>
        <w:rPr>
          <w:rFonts w:asciiTheme="minorHAnsi" w:eastAsiaTheme="minorEastAsia" w:hAnsiTheme="minorHAnsi" w:cstheme="minorBidi"/>
          <w:szCs w:val="22"/>
          <w:lang w:bidi="ar-SA"/>
        </w:rPr>
      </w:pPr>
      <w:hyperlink w:anchor="_Toc121504078" w:history="1">
        <w:r w:rsidR="00616885" w:rsidRPr="00657503">
          <w:rPr>
            <w:rStyle w:val="Hyperlink"/>
            <w:rFonts w:cs="Arial"/>
            <w:b/>
            <w:bCs/>
            <w:iCs/>
            <w:lang w:eastAsia="en-US"/>
          </w:rPr>
          <w:t>5.7.3</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Setting Operator Configuration to Receive Notifications</w:t>
        </w:r>
        <w:r w:rsidR="00616885">
          <w:rPr>
            <w:webHidden/>
          </w:rPr>
          <w:tab/>
        </w:r>
        <w:r w:rsidR="00616885">
          <w:rPr>
            <w:webHidden/>
          </w:rPr>
          <w:fldChar w:fldCharType="begin"/>
        </w:r>
        <w:r w:rsidR="00616885">
          <w:rPr>
            <w:webHidden/>
          </w:rPr>
          <w:instrText xml:space="preserve"> PAGEREF _Toc121504078 \h </w:instrText>
        </w:r>
        <w:r w:rsidR="00616885">
          <w:rPr>
            <w:webHidden/>
          </w:rPr>
        </w:r>
        <w:r w:rsidR="00616885">
          <w:rPr>
            <w:webHidden/>
          </w:rPr>
          <w:fldChar w:fldCharType="separate"/>
        </w:r>
        <w:r w:rsidR="001D5AD9">
          <w:rPr>
            <w:webHidden/>
          </w:rPr>
          <w:t>381</w:t>
        </w:r>
        <w:r w:rsidR="00616885">
          <w:rPr>
            <w:webHidden/>
          </w:rPr>
          <w:fldChar w:fldCharType="end"/>
        </w:r>
      </w:hyperlink>
    </w:p>
    <w:p w14:paraId="34B734B2" w14:textId="5DFBB47A" w:rsidR="00616885" w:rsidRDefault="00000000">
      <w:pPr>
        <w:pStyle w:val="TOC3"/>
        <w:rPr>
          <w:rFonts w:asciiTheme="minorHAnsi" w:eastAsiaTheme="minorEastAsia" w:hAnsiTheme="minorHAnsi" w:cstheme="minorBidi"/>
          <w:szCs w:val="22"/>
          <w:lang w:bidi="ar-SA"/>
        </w:rPr>
      </w:pPr>
      <w:hyperlink w:anchor="_Toc121504079" w:history="1">
        <w:r w:rsidR="00616885" w:rsidRPr="00657503">
          <w:rPr>
            <w:rStyle w:val="Hyperlink"/>
            <w:rFonts w:cs="Arial"/>
            <w:b/>
            <w:bCs/>
            <w:iCs/>
            <w:lang w:eastAsia="en-US"/>
          </w:rPr>
          <w:t>5.7.4</w:t>
        </w:r>
        <w:r w:rsidR="00616885">
          <w:rPr>
            <w:rFonts w:asciiTheme="minorHAnsi" w:eastAsiaTheme="minorEastAsia" w:hAnsiTheme="minorHAnsi" w:cstheme="minorBidi"/>
            <w:szCs w:val="22"/>
            <w:lang w:bidi="ar-SA"/>
          </w:rPr>
          <w:tab/>
        </w:r>
        <w:r w:rsidR="00616885" w:rsidRPr="00657503">
          <w:rPr>
            <w:rStyle w:val="Hyperlink"/>
            <w:rFonts w:cs="Arial"/>
            <w:b/>
            <w:bCs/>
            <w:iCs/>
            <w:lang w:eastAsia="en-US"/>
          </w:rPr>
          <w:t>Retrieving Operator Notification Configuration</w:t>
        </w:r>
        <w:r w:rsidR="00616885">
          <w:rPr>
            <w:webHidden/>
          </w:rPr>
          <w:tab/>
        </w:r>
        <w:r w:rsidR="00616885">
          <w:rPr>
            <w:webHidden/>
          </w:rPr>
          <w:fldChar w:fldCharType="begin"/>
        </w:r>
        <w:r w:rsidR="00616885">
          <w:rPr>
            <w:webHidden/>
          </w:rPr>
          <w:instrText xml:space="preserve"> PAGEREF _Toc121504079 \h </w:instrText>
        </w:r>
        <w:r w:rsidR="00616885">
          <w:rPr>
            <w:webHidden/>
          </w:rPr>
        </w:r>
        <w:r w:rsidR="00616885">
          <w:rPr>
            <w:webHidden/>
          </w:rPr>
          <w:fldChar w:fldCharType="separate"/>
        </w:r>
        <w:r w:rsidR="001D5AD9">
          <w:rPr>
            <w:webHidden/>
          </w:rPr>
          <w:t>382</w:t>
        </w:r>
        <w:r w:rsidR="00616885">
          <w:rPr>
            <w:webHidden/>
          </w:rPr>
          <w:fldChar w:fldCharType="end"/>
        </w:r>
      </w:hyperlink>
    </w:p>
    <w:p w14:paraId="736D6D0C" w14:textId="7F9C3CEF" w:rsidR="00616885" w:rsidRDefault="00000000">
      <w:pPr>
        <w:pStyle w:val="TOC1"/>
        <w:tabs>
          <w:tab w:val="left" w:pos="1248"/>
        </w:tabs>
        <w:rPr>
          <w:rFonts w:asciiTheme="minorHAnsi" w:eastAsiaTheme="minorEastAsia" w:hAnsiTheme="minorHAnsi" w:cstheme="minorBidi"/>
          <w:b w:val="0"/>
          <w:lang w:eastAsia="en-GB" w:bidi="ar-SA"/>
        </w:rPr>
      </w:pPr>
      <w:hyperlink w:anchor="_Toc121504080" w:history="1">
        <w:r w:rsidR="00616885" w:rsidRPr="00657503">
          <w:rPr>
            <w:rStyle w:val="Hyperlink"/>
            <w:lang w:eastAsia="en-US"/>
          </w:rPr>
          <w:t>Annex A</w:t>
        </w:r>
        <w:r w:rsidR="00616885">
          <w:rPr>
            <w:rFonts w:asciiTheme="minorHAnsi" w:eastAsiaTheme="minorEastAsia" w:hAnsiTheme="minorHAnsi" w:cstheme="minorBidi"/>
            <w:b w:val="0"/>
            <w:lang w:eastAsia="en-GB" w:bidi="ar-SA"/>
          </w:rPr>
          <w:tab/>
        </w:r>
        <w:r w:rsidR="00616885" w:rsidRPr="00657503">
          <w:rPr>
            <w:rStyle w:val="Hyperlink"/>
            <w:lang w:eastAsia="en-US"/>
          </w:rPr>
          <w:t>Mapping of Functions into Messages (Normative)</w:t>
        </w:r>
        <w:r w:rsidR="00616885">
          <w:rPr>
            <w:webHidden/>
          </w:rPr>
          <w:tab/>
        </w:r>
        <w:r w:rsidR="00616885">
          <w:rPr>
            <w:webHidden/>
          </w:rPr>
          <w:fldChar w:fldCharType="begin"/>
        </w:r>
        <w:r w:rsidR="00616885">
          <w:rPr>
            <w:webHidden/>
          </w:rPr>
          <w:instrText xml:space="preserve"> PAGEREF _Toc121504080 \h </w:instrText>
        </w:r>
        <w:r w:rsidR="00616885">
          <w:rPr>
            <w:webHidden/>
          </w:rPr>
        </w:r>
        <w:r w:rsidR="00616885">
          <w:rPr>
            <w:webHidden/>
          </w:rPr>
          <w:fldChar w:fldCharType="separate"/>
        </w:r>
        <w:r w:rsidR="001D5AD9">
          <w:rPr>
            <w:webHidden/>
          </w:rPr>
          <w:t>384</w:t>
        </w:r>
        <w:r w:rsidR="00616885">
          <w:rPr>
            <w:webHidden/>
          </w:rPr>
          <w:fldChar w:fldCharType="end"/>
        </w:r>
      </w:hyperlink>
    </w:p>
    <w:p w14:paraId="47FD6423" w14:textId="06C45E5E" w:rsidR="00616885" w:rsidRDefault="00000000">
      <w:pPr>
        <w:pStyle w:val="TOC2"/>
        <w:rPr>
          <w:rFonts w:asciiTheme="minorHAnsi" w:eastAsiaTheme="minorEastAsia" w:hAnsiTheme="minorHAnsi" w:cstheme="minorBidi"/>
          <w:szCs w:val="22"/>
          <w:lang w:bidi="ar-SA"/>
        </w:rPr>
      </w:pPr>
      <w:hyperlink w:anchor="_Toc121504081" w:history="1">
        <w:r w:rsidR="00616885" w:rsidRPr="00657503">
          <w:rPr>
            <w:rStyle w:val="Hyperlink"/>
            <w:rFonts w:ascii="Arial Bold" w:hAnsi="Arial Bold"/>
            <w:b/>
          </w:rPr>
          <w:t>A.1</w:t>
        </w:r>
        <w:r w:rsidR="00616885">
          <w:rPr>
            <w:rFonts w:asciiTheme="minorHAnsi" w:eastAsiaTheme="minorEastAsia" w:hAnsiTheme="minorHAnsi" w:cstheme="minorBidi"/>
            <w:szCs w:val="22"/>
            <w:lang w:bidi="ar-SA"/>
          </w:rPr>
          <w:tab/>
        </w:r>
        <w:r w:rsidR="00616885" w:rsidRPr="00657503">
          <w:rPr>
            <w:rStyle w:val="Hyperlink"/>
            <w:rFonts w:ascii="Arial Bold" w:hAnsi="Arial Bold"/>
            <w:b/>
          </w:rPr>
          <w:t>Namespaces and Schema References</w:t>
        </w:r>
        <w:r w:rsidR="00616885">
          <w:rPr>
            <w:webHidden/>
          </w:rPr>
          <w:tab/>
        </w:r>
        <w:r w:rsidR="00616885">
          <w:rPr>
            <w:webHidden/>
          </w:rPr>
          <w:fldChar w:fldCharType="begin"/>
        </w:r>
        <w:r w:rsidR="00616885">
          <w:rPr>
            <w:webHidden/>
          </w:rPr>
          <w:instrText xml:space="preserve"> PAGEREF _Toc121504081 \h </w:instrText>
        </w:r>
        <w:r w:rsidR="00616885">
          <w:rPr>
            <w:webHidden/>
          </w:rPr>
        </w:r>
        <w:r w:rsidR="00616885">
          <w:rPr>
            <w:webHidden/>
          </w:rPr>
          <w:fldChar w:fldCharType="separate"/>
        </w:r>
        <w:r w:rsidR="001D5AD9">
          <w:rPr>
            <w:webHidden/>
          </w:rPr>
          <w:t>384</w:t>
        </w:r>
        <w:r w:rsidR="00616885">
          <w:rPr>
            <w:webHidden/>
          </w:rPr>
          <w:fldChar w:fldCharType="end"/>
        </w:r>
      </w:hyperlink>
    </w:p>
    <w:p w14:paraId="5EF77971" w14:textId="5A88B071" w:rsidR="00616885" w:rsidRDefault="00000000">
      <w:pPr>
        <w:pStyle w:val="TOC2"/>
        <w:rPr>
          <w:rFonts w:asciiTheme="minorHAnsi" w:eastAsiaTheme="minorEastAsia" w:hAnsiTheme="minorHAnsi" w:cstheme="minorBidi"/>
          <w:szCs w:val="22"/>
          <w:lang w:bidi="ar-SA"/>
        </w:rPr>
      </w:pPr>
      <w:hyperlink w:anchor="_Toc121504082" w:history="1">
        <w:r w:rsidR="00616885" w:rsidRPr="00657503">
          <w:rPr>
            <w:rStyle w:val="Hyperlink"/>
            <w:rFonts w:ascii="Arial Bold" w:hAnsi="Arial Bold"/>
            <w:b/>
          </w:rPr>
          <w:t>A.2</w:t>
        </w:r>
        <w:r w:rsidR="00616885">
          <w:rPr>
            <w:rFonts w:asciiTheme="minorHAnsi" w:eastAsiaTheme="minorEastAsia" w:hAnsiTheme="minorHAnsi" w:cstheme="minorBidi"/>
            <w:szCs w:val="22"/>
            <w:lang w:bidi="ar-SA"/>
          </w:rPr>
          <w:tab/>
        </w:r>
        <w:r w:rsidR="00616885" w:rsidRPr="00657503">
          <w:rPr>
            <w:rStyle w:val="Hyperlink"/>
            <w:rFonts w:ascii="Arial Bold" w:hAnsi="Arial Bold"/>
            <w:b/>
          </w:rPr>
          <w:t>Message: &lt;rps3:RPSMessage&gt;</w:t>
        </w:r>
        <w:r w:rsidR="00616885">
          <w:rPr>
            <w:webHidden/>
          </w:rPr>
          <w:tab/>
        </w:r>
        <w:r w:rsidR="00616885">
          <w:rPr>
            <w:webHidden/>
          </w:rPr>
          <w:fldChar w:fldCharType="begin"/>
        </w:r>
        <w:r w:rsidR="00616885">
          <w:rPr>
            <w:webHidden/>
          </w:rPr>
          <w:instrText xml:space="preserve"> PAGEREF _Toc121504082 \h </w:instrText>
        </w:r>
        <w:r w:rsidR="00616885">
          <w:rPr>
            <w:webHidden/>
          </w:rPr>
        </w:r>
        <w:r w:rsidR="00616885">
          <w:rPr>
            <w:webHidden/>
          </w:rPr>
          <w:fldChar w:fldCharType="separate"/>
        </w:r>
        <w:r w:rsidR="001D5AD9">
          <w:rPr>
            <w:webHidden/>
          </w:rPr>
          <w:t>384</w:t>
        </w:r>
        <w:r w:rsidR="00616885">
          <w:rPr>
            <w:webHidden/>
          </w:rPr>
          <w:fldChar w:fldCharType="end"/>
        </w:r>
      </w:hyperlink>
    </w:p>
    <w:p w14:paraId="56FABF03" w14:textId="3051B03C" w:rsidR="00616885" w:rsidRDefault="00000000">
      <w:pPr>
        <w:pStyle w:val="TOC3"/>
        <w:rPr>
          <w:rFonts w:asciiTheme="minorHAnsi" w:eastAsiaTheme="minorEastAsia" w:hAnsiTheme="minorHAnsi" w:cstheme="minorBidi"/>
          <w:szCs w:val="22"/>
          <w:lang w:bidi="ar-SA"/>
        </w:rPr>
      </w:pPr>
      <w:hyperlink w:anchor="_Toc121504083" w:history="1">
        <w:r w:rsidR="00616885" w:rsidRPr="00657503">
          <w:rPr>
            <w:rStyle w:val="Hyperlink"/>
            <w:rFonts w:ascii="Arial Bold" w:hAnsi="Arial Bold"/>
            <w:lang w:eastAsia="en-US"/>
          </w:rPr>
          <w:t>A.2.1</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Void</w:t>
        </w:r>
        <w:r w:rsidR="00616885">
          <w:rPr>
            <w:webHidden/>
          </w:rPr>
          <w:tab/>
        </w:r>
        <w:r w:rsidR="00616885">
          <w:rPr>
            <w:webHidden/>
          </w:rPr>
          <w:fldChar w:fldCharType="begin"/>
        </w:r>
        <w:r w:rsidR="00616885">
          <w:rPr>
            <w:webHidden/>
          </w:rPr>
          <w:instrText xml:space="preserve"> PAGEREF _Toc121504083 \h </w:instrText>
        </w:r>
        <w:r w:rsidR="00616885">
          <w:rPr>
            <w:webHidden/>
          </w:rPr>
        </w:r>
        <w:r w:rsidR="00616885">
          <w:rPr>
            <w:webHidden/>
          </w:rPr>
          <w:fldChar w:fldCharType="separate"/>
        </w:r>
        <w:r w:rsidR="001D5AD9">
          <w:rPr>
            <w:webHidden/>
          </w:rPr>
          <w:t>385</w:t>
        </w:r>
        <w:r w:rsidR="00616885">
          <w:rPr>
            <w:webHidden/>
          </w:rPr>
          <w:fldChar w:fldCharType="end"/>
        </w:r>
      </w:hyperlink>
    </w:p>
    <w:p w14:paraId="6C7EC38F" w14:textId="3BDE4EBF" w:rsidR="00616885" w:rsidRDefault="00000000">
      <w:pPr>
        <w:pStyle w:val="TOC3"/>
        <w:rPr>
          <w:rFonts w:asciiTheme="minorHAnsi" w:eastAsiaTheme="minorEastAsia" w:hAnsiTheme="minorHAnsi" w:cstheme="minorBidi"/>
          <w:szCs w:val="22"/>
          <w:lang w:bidi="ar-SA"/>
        </w:rPr>
      </w:pPr>
      <w:hyperlink w:anchor="_Toc121504084" w:history="1">
        <w:r w:rsidR="00616885" w:rsidRPr="00657503">
          <w:rPr>
            <w:rStyle w:val="Hyperlink"/>
            <w:rFonts w:ascii="Arial Bold" w:hAnsi="Arial Bold"/>
            <w:lang w:val="en-US"/>
          </w:rPr>
          <w:t>A.2.2</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Void</w:t>
        </w:r>
        <w:r w:rsidR="00616885">
          <w:rPr>
            <w:webHidden/>
          </w:rPr>
          <w:tab/>
        </w:r>
        <w:r w:rsidR="00616885">
          <w:rPr>
            <w:webHidden/>
          </w:rPr>
          <w:fldChar w:fldCharType="begin"/>
        </w:r>
        <w:r w:rsidR="00616885">
          <w:rPr>
            <w:webHidden/>
          </w:rPr>
          <w:instrText xml:space="preserve"> PAGEREF _Toc121504084 \h </w:instrText>
        </w:r>
        <w:r w:rsidR="00616885">
          <w:rPr>
            <w:webHidden/>
          </w:rPr>
        </w:r>
        <w:r w:rsidR="00616885">
          <w:rPr>
            <w:webHidden/>
          </w:rPr>
          <w:fldChar w:fldCharType="separate"/>
        </w:r>
        <w:r w:rsidR="001D5AD9">
          <w:rPr>
            <w:webHidden/>
          </w:rPr>
          <w:t>385</w:t>
        </w:r>
        <w:r w:rsidR="00616885">
          <w:rPr>
            <w:webHidden/>
          </w:rPr>
          <w:fldChar w:fldCharType="end"/>
        </w:r>
      </w:hyperlink>
    </w:p>
    <w:p w14:paraId="56212D40" w14:textId="71F62FFE" w:rsidR="00616885" w:rsidRDefault="00000000">
      <w:pPr>
        <w:pStyle w:val="TOC2"/>
        <w:rPr>
          <w:rFonts w:asciiTheme="minorHAnsi" w:eastAsiaTheme="minorEastAsia" w:hAnsiTheme="minorHAnsi" w:cstheme="minorBidi"/>
          <w:szCs w:val="22"/>
          <w:lang w:bidi="ar-SA"/>
        </w:rPr>
      </w:pPr>
      <w:hyperlink w:anchor="_Toc121504085" w:history="1">
        <w:r w:rsidR="00616885" w:rsidRPr="00657503">
          <w:rPr>
            <w:rStyle w:val="Hyperlink"/>
            <w:rFonts w:ascii="Arial Bold" w:hAnsi="Arial Bold"/>
            <w:b/>
            <w:lang w:val="en-US"/>
          </w:rPr>
          <w:t>A.3</w:t>
        </w:r>
        <w:r w:rsidR="00616885">
          <w:rPr>
            <w:rFonts w:asciiTheme="minorHAnsi" w:eastAsiaTheme="minorEastAsia" w:hAnsiTheme="minorHAnsi" w:cstheme="minorBidi"/>
            <w:szCs w:val="22"/>
            <w:lang w:bidi="ar-SA"/>
          </w:rPr>
          <w:tab/>
        </w:r>
        <w:r w:rsidR="00616885" w:rsidRPr="00657503">
          <w:rPr>
            <w:rStyle w:val="Hyperlink"/>
            <w:rFonts w:ascii="Arial Bold" w:hAnsi="Arial Bold"/>
            <w:b/>
            <w:lang w:val="en-US"/>
          </w:rPr>
          <w:t>Common Types</w:t>
        </w:r>
        <w:r w:rsidR="00616885">
          <w:rPr>
            <w:webHidden/>
          </w:rPr>
          <w:tab/>
        </w:r>
        <w:r w:rsidR="00616885">
          <w:rPr>
            <w:webHidden/>
          </w:rPr>
          <w:fldChar w:fldCharType="begin"/>
        </w:r>
        <w:r w:rsidR="00616885">
          <w:rPr>
            <w:webHidden/>
          </w:rPr>
          <w:instrText xml:space="preserve"> PAGEREF _Toc121504085 \h </w:instrText>
        </w:r>
        <w:r w:rsidR="00616885">
          <w:rPr>
            <w:webHidden/>
          </w:rPr>
        </w:r>
        <w:r w:rsidR="00616885">
          <w:rPr>
            <w:webHidden/>
          </w:rPr>
          <w:fldChar w:fldCharType="separate"/>
        </w:r>
        <w:r w:rsidR="001D5AD9">
          <w:rPr>
            <w:webHidden/>
          </w:rPr>
          <w:t>385</w:t>
        </w:r>
        <w:r w:rsidR="00616885">
          <w:rPr>
            <w:webHidden/>
          </w:rPr>
          <w:fldChar w:fldCharType="end"/>
        </w:r>
      </w:hyperlink>
    </w:p>
    <w:p w14:paraId="51D1C418" w14:textId="5BDBFEB8" w:rsidR="00616885" w:rsidRDefault="00000000">
      <w:pPr>
        <w:pStyle w:val="TOC3"/>
        <w:rPr>
          <w:rFonts w:asciiTheme="minorHAnsi" w:eastAsiaTheme="minorEastAsia" w:hAnsiTheme="minorHAnsi" w:cstheme="minorBidi"/>
          <w:szCs w:val="22"/>
          <w:lang w:bidi="ar-SA"/>
        </w:rPr>
      </w:pPr>
      <w:hyperlink w:anchor="_Toc121504086" w:history="1">
        <w:r w:rsidR="00616885" w:rsidRPr="00657503">
          <w:rPr>
            <w:rStyle w:val="Hyperlink"/>
            <w:rFonts w:ascii="Arial Bold" w:hAnsi="Arial Bold"/>
            <w:lang w:eastAsia="en-US"/>
          </w:rPr>
          <w:t>A.3.1</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val="en-US" w:eastAsia="en-US"/>
          </w:rPr>
          <w:t>Common Message Types</w:t>
        </w:r>
        <w:r w:rsidR="00616885">
          <w:rPr>
            <w:webHidden/>
          </w:rPr>
          <w:tab/>
        </w:r>
        <w:r w:rsidR="00616885">
          <w:rPr>
            <w:webHidden/>
          </w:rPr>
          <w:fldChar w:fldCharType="begin"/>
        </w:r>
        <w:r w:rsidR="00616885">
          <w:rPr>
            <w:webHidden/>
          </w:rPr>
          <w:instrText xml:space="preserve"> PAGEREF _Toc121504086 \h </w:instrText>
        </w:r>
        <w:r w:rsidR="00616885">
          <w:rPr>
            <w:webHidden/>
          </w:rPr>
        </w:r>
        <w:r w:rsidR="00616885">
          <w:rPr>
            <w:webHidden/>
          </w:rPr>
          <w:fldChar w:fldCharType="separate"/>
        </w:r>
        <w:r w:rsidR="001D5AD9">
          <w:rPr>
            <w:webHidden/>
          </w:rPr>
          <w:t>385</w:t>
        </w:r>
        <w:r w:rsidR="00616885">
          <w:rPr>
            <w:webHidden/>
          </w:rPr>
          <w:fldChar w:fldCharType="end"/>
        </w:r>
      </w:hyperlink>
    </w:p>
    <w:p w14:paraId="775CB05F" w14:textId="08BF2B7A" w:rsidR="00616885" w:rsidRDefault="00000000">
      <w:pPr>
        <w:pStyle w:val="TOC3"/>
        <w:rPr>
          <w:rFonts w:asciiTheme="minorHAnsi" w:eastAsiaTheme="minorEastAsia" w:hAnsiTheme="minorHAnsi" w:cstheme="minorBidi"/>
          <w:szCs w:val="22"/>
          <w:lang w:bidi="ar-SA"/>
        </w:rPr>
      </w:pPr>
      <w:hyperlink w:anchor="_Toc121504087" w:history="1">
        <w:r w:rsidR="00616885" w:rsidRPr="00657503">
          <w:rPr>
            <w:rStyle w:val="Hyperlink"/>
            <w:rFonts w:ascii="Arial Bold" w:hAnsi="Arial Bold"/>
            <w:lang w:eastAsia="en-US"/>
          </w:rPr>
          <w:t>A.3.2</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Void</w:t>
        </w:r>
        <w:r w:rsidR="00616885">
          <w:rPr>
            <w:webHidden/>
          </w:rPr>
          <w:tab/>
        </w:r>
        <w:r w:rsidR="00616885">
          <w:rPr>
            <w:webHidden/>
          </w:rPr>
          <w:fldChar w:fldCharType="begin"/>
        </w:r>
        <w:r w:rsidR="00616885">
          <w:rPr>
            <w:webHidden/>
          </w:rPr>
          <w:instrText xml:space="preserve"> PAGEREF _Toc121504087 \h </w:instrText>
        </w:r>
        <w:r w:rsidR="00616885">
          <w:rPr>
            <w:webHidden/>
          </w:rPr>
        </w:r>
        <w:r w:rsidR="00616885">
          <w:rPr>
            <w:webHidden/>
          </w:rPr>
          <w:fldChar w:fldCharType="separate"/>
        </w:r>
        <w:r w:rsidR="001D5AD9">
          <w:rPr>
            <w:webHidden/>
          </w:rPr>
          <w:t>385</w:t>
        </w:r>
        <w:r w:rsidR="00616885">
          <w:rPr>
            <w:webHidden/>
          </w:rPr>
          <w:fldChar w:fldCharType="end"/>
        </w:r>
      </w:hyperlink>
    </w:p>
    <w:p w14:paraId="39E71CAE" w14:textId="2632A283" w:rsidR="00616885" w:rsidRDefault="00000000">
      <w:pPr>
        <w:pStyle w:val="TOC3"/>
        <w:rPr>
          <w:rFonts w:asciiTheme="minorHAnsi" w:eastAsiaTheme="minorEastAsia" w:hAnsiTheme="minorHAnsi" w:cstheme="minorBidi"/>
          <w:szCs w:val="22"/>
          <w:lang w:bidi="ar-SA"/>
        </w:rPr>
      </w:pPr>
      <w:hyperlink w:anchor="_Toc121504088" w:history="1">
        <w:r w:rsidR="00616885" w:rsidRPr="00657503">
          <w:rPr>
            <w:rStyle w:val="Hyperlink"/>
            <w:rFonts w:ascii="Arial Bold" w:hAnsi="Arial Bold"/>
            <w:lang w:eastAsia="en-US"/>
          </w:rPr>
          <w:t>A.3.3</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Void</w:t>
        </w:r>
        <w:r w:rsidR="00616885">
          <w:rPr>
            <w:webHidden/>
          </w:rPr>
          <w:tab/>
        </w:r>
        <w:r w:rsidR="00616885">
          <w:rPr>
            <w:webHidden/>
          </w:rPr>
          <w:fldChar w:fldCharType="begin"/>
        </w:r>
        <w:r w:rsidR="00616885">
          <w:rPr>
            <w:webHidden/>
          </w:rPr>
          <w:instrText xml:space="preserve"> PAGEREF _Toc121504088 \h </w:instrText>
        </w:r>
        <w:r w:rsidR="00616885">
          <w:rPr>
            <w:webHidden/>
          </w:rPr>
        </w:r>
        <w:r w:rsidR="00616885">
          <w:rPr>
            <w:webHidden/>
          </w:rPr>
          <w:fldChar w:fldCharType="separate"/>
        </w:r>
        <w:r w:rsidR="001D5AD9">
          <w:rPr>
            <w:webHidden/>
          </w:rPr>
          <w:t>385</w:t>
        </w:r>
        <w:r w:rsidR="00616885">
          <w:rPr>
            <w:webHidden/>
          </w:rPr>
          <w:fldChar w:fldCharType="end"/>
        </w:r>
      </w:hyperlink>
    </w:p>
    <w:p w14:paraId="724415E6" w14:textId="056D4FCD" w:rsidR="00616885" w:rsidRDefault="00000000">
      <w:pPr>
        <w:pStyle w:val="TOC3"/>
        <w:rPr>
          <w:rFonts w:asciiTheme="minorHAnsi" w:eastAsiaTheme="minorEastAsia" w:hAnsiTheme="minorHAnsi" w:cstheme="minorBidi"/>
          <w:szCs w:val="22"/>
          <w:lang w:bidi="ar-SA"/>
        </w:rPr>
      </w:pPr>
      <w:hyperlink w:anchor="_Toc121504089" w:history="1">
        <w:r w:rsidR="00616885" w:rsidRPr="00657503">
          <w:rPr>
            <w:rStyle w:val="Hyperlink"/>
            <w:rFonts w:ascii="Arial Bold" w:hAnsi="Arial Bold"/>
            <w:lang w:eastAsia="en-US"/>
          </w:rPr>
          <w:t>A.3.4</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Simple Types Mapping</w:t>
        </w:r>
        <w:r w:rsidR="00616885">
          <w:rPr>
            <w:webHidden/>
          </w:rPr>
          <w:tab/>
        </w:r>
        <w:r w:rsidR="00616885">
          <w:rPr>
            <w:webHidden/>
          </w:rPr>
          <w:fldChar w:fldCharType="begin"/>
        </w:r>
        <w:r w:rsidR="00616885">
          <w:rPr>
            <w:webHidden/>
          </w:rPr>
          <w:instrText xml:space="preserve"> PAGEREF _Toc121504089 \h </w:instrText>
        </w:r>
        <w:r w:rsidR="00616885">
          <w:rPr>
            <w:webHidden/>
          </w:rPr>
        </w:r>
        <w:r w:rsidR="00616885">
          <w:rPr>
            <w:webHidden/>
          </w:rPr>
          <w:fldChar w:fldCharType="separate"/>
        </w:r>
        <w:r w:rsidR="001D5AD9">
          <w:rPr>
            <w:webHidden/>
          </w:rPr>
          <w:t>386</w:t>
        </w:r>
        <w:r w:rsidR="00616885">
          <w:rPr>
            <w:webHidden/>
          </w:rPr>
          <w:fldChar w:fldCharType="end"/>
        </w:r>
      </w:hyperlink>
    </w:p>
    <w:p w14:paraId="39091ED4" w14:textId="52BFE4CB" w:rsidR="00616885" w:rsidRDefault="00000000">
      <w:pPr>
        <w:pStyle w:val="TOC3"/>
        <w:rPr>
          <w:rFonts w:asciiTheme="minorHAnsi" w:eastAsiaTheme="minorEastAsia" w:hAnsiTheme="minorHAnsi" w:cstheme="minorBidi"/>
          <w:szCs w:val="22"/>
          <w:lang w:bidi="ar-SA"/>
        </w:rPr>
      </w:pPr>
      <w:hyperlink w:anchor="_Toc121504090" w:history="1">
        <w:r w:rsidR="00616885" w:rsidRPr="00657503">
          <w:rPr>
            <w:rStyle w:val="Hyperlink"/>
            <w:rFonts w:ascii="Arial Bold" w:hAnsi="Arial Bold"/>
            <w:lang w:eastAsia="en-US"/>
          </w:rPr>
          <w:t>A.3.5</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Complex Type Mapping</w:t>
        </w:r>
        <w:r w:rsidR="00616885">
          <w:rPr>
            <w:webHidden/>
          </w:rPr>
          <w:tab/>
        </w:r>
        <w:r w:rsidR="00616885">
          <w:rPr>
            <w:webHidden/>
          </w:rPr>
          <w:fldChar w:fldCharType="begin"/>
        </w:r>
        <w:r w:rsidR="00616885">
          <w:rPr>
            <w:webHidden/>
          </w:rPr>
          <w:instrText xml:space="preserve"> PAGEREF _Toc121504090 \h </w:instrText>
        </w:r>
        <w:r w:rsidR="00616885">
          <w:rPr>
            <w:webHidden/>
          </w:rPr>
        </w:r>
        <w:r w:rsidR="00616885">
          <w:rPr>
            <w:webHidden/>
          </w:rPr>
          <w:fldChar w:fldCharType="separate"/>
        </w:r>
        <w:r w:rsidR="001D5AD9">
          <w:rPr>
            <w:webHidden/>
          </w:rPr>
          <w:t>387</w:t>
        </w:r>
        <w:r w:rsidR="00616885">
          <w:rPr>
            <w:webHidden/>
          </w:rPr>
          <w:fldChar w:fldCharType="end"/>
        </w:r>
      </w:hyperlink>
    </w:p>
    <w:p w14:paraId="2DF071AD" w14:textId="281CC9E3" w:rsidR="00616885" w:rsidRDefault="00000000">
      <w:pPr>
        <w:pStyle w:val="TOC2"/>
        <w:rPr>
          <w:rFonts w:asciiTheme="minorHAnsi" w:eastAsiaTheme="minorEastAsia" w:hAnsiTheme="minorHAnsi" w:cstheme="minorBidi"/>
          <w:szCs w:val="22"/>
          <w:lang w:bidi="ar-SA"/>
        </w:rPr>
      </w:pPr>
      <w:hyperlink w:anchor="_Toc121504091" w:history="1">
        <w:r w:rsidR="00616885" w:rsidRPr="00657503">
          <w:rPr>
            <w:rStyle w:val="Hyperlink"/>
            <w:rFonts w:ascii="Arial Bold" w:hAnsi="Arial Bold"/>
            <w:b/>
            <w:lang w:eastAsia="en-US"/>
          </w:rPr>
          <w:t>A.4</w:t>
        </w:r>
        <w:r w:rsidR="00616885">
          <w:rPr>
            <w:rFonts w:asciiTheme="minorHAnsi" w:eastAsiaTheme="minorEastAsia" w:hAnsiTheme="minorHAnsi" w:cstheme="minorBidi"/>
            <w:szCs w:val="22"/>
            <w:lang w:bidi="ar-SA"/>
          </w:rPr>
          <w:tab/>
        </w:r>
        <w:r w:rsidR="00616885" w:rsidRPr="00657503">
          <w:rPr>
            <w:rStyle w:val="Hyperlink"/>
            <w:rFonts w:ascii="Arial Bold" w:hAnsi="Arial Bold"/>
            <w:b/>
            <w:lang w:eastAsia="en-US"/>
          </w:rPr>
          <w:t>The ES1 Interface Functions</w:t>
        </w:r>
        <w:r w:rsidR="00616885">
          <w:rPr>
            <w:webHidden/>
          </w:rPr>
          <w:tab/>
        </w:r>
        <w:r w:rsidR="00616885">
          <w:rPr>
            <w:webHidden/>
          </w:rPr>
          <w:fldChar w:fldCharType="begin"/>
        </w:r>
        <w:r w:rsidR="00616885">
          <w:rPr>
            <w:webHidden/>
          </w:rPr>
          <w:instrText xml:space="preserve"> PAGEREF _Toc121504091 \h </w:instrText>
        </w:r>
        <w:r w:rsidR="00616885">
          <w:rPr>
            <w:webHidden/>
          </w:rPr>
        </w:r>
        <w:r w:rsidR="00616885">
          <w:rPr>
            <w:webHidden/>
          </w:rPr>
          <w:fldChar w:fldCharType="separate"/>
        </w:r>
        <w:r w:rsidR="001D5AD9">
          <w:rPr>
            <w:webHidden/>
          </w:rPr>
          <w:t>390</w:t>
        </w:r>
        <w:r w:rsidR="00616885">
          <w:rPr>
            <w:webHidden/>
          </w:rPr>
          <w:fldChar w:fldCharType="end"/>
        </w:r>
      </w:hyperlink>
    </w:p>
    <w:p w14:paraId="7C45B856" w14:textId="24125008" w:rsidR="00616885" w:rsidRDefault="00000000">
      <w:pPr>
        <w:pStyle w:val="TOC3"/>
        <w:rPr>
          <w:rFonts w:asciiTheme="minorHAnsi" w:eastAsiaTheme="minorEastAsia" w:hAnsiTheme="minorHAnsi" w:cstheme="minorBidi"/>
          <w:szCs w:val="22"/>
          <w:lang w:bidi="ar-SA"/>
        </w:rPr>
      </w:pPr>
      <w:hyperlink w:anchor="_Toc121504092" w:history="1">
        <w:r w:rsidR="00616885" w:rsidRPr="00657503">
          <w:rPr>
            <w:rStyle w:val="Hyperlink"/>
            <w:rFonts w:ascii="Arial Bold" w:hAnsi="Arial Bold"/>
            <w:lang w:eastAsia="en-US"/>
          </w:rPr>
          <w:t>A.4.1</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Void</w:t>
        </w:r>
        <w:r w:rsidR="00616885">
          <w:rPr>
            <w:webHidden/>
          </w:rPr>
          <w:tab/>
        </w:r>
        <w:r w:rsidR="00616885">
          <w:rPr>
            <w:webHidden/>
          </w:rPr>
          <w:fldChar w:fldCharType="begin"/>
        </w:r>
        <w:r w:rsidR="00616885">
          <w:rPr>
            <w:webHidden/>
          </w:rPr>
          <w:instrText xml:space="preserve"> PAGEREF _Toc121504092 \h </w:instrText>
        </w:r>
        <w:r w:rsidR="00616885">
          <w:rPr>
            <w:webHidden/>
          </w:rPr>
        </w:r>
        <w:r w:rsidR="00616885">
          <w:rPr>
            <w:webHidden/>
          </w:rPr>
          <w:fldChar w:fldCharType="separate"/>
        </w:r>
        <w:r w:rsidR="001D5AD9">
          <w:rPr>
            <w:webHidden/>
          </w:rPr>
          <w:t>390</w:t>
        </w:r>
        <w:r w:rsidR="00616885">
          <w:rPr>
            <w:webHidden/>
          </w:rPr>
          <w:fldChar w:fldCharType="end"/>
        </w:r>
      </w:hyperlink>
    </w:p>
    <w:p w14:paraId="19BDA7D1" w14:textId="075DD809" w:rsidR="00616885" w:rsidRDefault="00000000">
      <w:pPr>
        <w:pStyle w:val="TOC2"/>
        <w:rPr>
          <w:rFonts w:asciiTheme="minorHAnsi" w:eastAsiaTheme="minorEastAsia" w:hAnsiTheme="minorHAnsi" w:cstheme="minorBidi"/>
          <w:szCs w:val="22"/>
          <w:lang w:bidi="ar-SA"/>
        </w:rPr>
      </w:pPr>
      <w:hyperlink w:anchor="_Toc121504093" w:history="1">
        <w:r w:rsidR="00616885" w:rsidRPr="00657503">
          <w:rPr>
            <w:rStyle w:val="Hyperlink"/>
            <w:rFonts w:ascii="Arial Bold" w:hAnsi="Arial Bold"/>
            <w:b/>
            <w:lang w:eastAsia="en-US"/>
          </w:rPr>
          <w:t>A.5</w:t>
        </w:r>
        <w:r w:rsidR="00616885">
          <w:rPr>
            <w:rFonts w:asciiTheme="minorHAnsi" w:eastAsiaTheme="minorEastAsia" w:hAnsiTheme="minorHAnsi" w:cstheme="minorBidi"/>
            <w:szCs w:val="22"/>
            <w:lang w:bidi="ar-SA"/>
          </w:rPr>
          <w:tab/>
        </w:r>
        <w:r w:rsidR="00616885" w:rsidRPr="00657503">
          <w:rPr>
            <w:rStyle w:val="Hyperlink"/>
            <w:rFonts w:ascii="Arial Bold" w:hAnsi="Arial Bold"/>
            <w:b/>
            <w:lang w:eastAsia="en-US"/>
          </w:rPr>
          <w:t>The ES2 Interface Functions</w:t>
        </w:r>
        <w:r w:rsidR="00616885">
          <w:rPr>
            <w:webHidden/>
          </w:rPr>
          <w:tab/>
        </w:r>
        <w:r w:rsidR="00616885">
          <w:rPr>
            <w:webHidden/>
          </w:rPr>
          <w:fldChar w:fldCharType="begin"/>
        </w:r>
        <w:r w:rsidR="00616885">
          <w:rPr>
            <w:webHidden/>
          </w:rPr>
          <w:instrText xml:space="preserve"> PAGEREF _Toc121504093 \h </w:instrText>
        </w:r>
        <w:r w:rsidR="00616885">
          <w:rPr>
            <w:webHidden/>
          </w:rPr>
        </w:r>
        <w:r w:rsidR="00616885">
          <w:rPr>
            <w:webHidden/>
          </w:rPr>
          <w:fldChar w:fldCharType="separate"/>
        </w:r>
        <w:r w:rsidR="001D5AD9">
          <w:rPr>
            <w:webHidden/>
          </w:rPr>
          <w:t>390</w:t>
        </w:r>
        <w:r w:rsidR="00616885">
          <w:rPr>
            <w:webHidden/>
          </w:rPr>
          <w:fldChar w:fldCharType="end"/>
        </w:r>
      </w:hyperlink>
    </w:p>
    <w:p w14:paraId="1BDBB80C" w14:textId="3E0FE69C" w:rsidR="00616885" w:rsidRDefault="00000000">
      <w:pPr>
        <w:pStyle w:val="TOC3"/>
        <w:rPr>
          <w:rFonts w:asciiTheme="minorHAnsi" w:eastAsiaTheme="minorEastAsia" w:hAnsiTheme="minorHAnsi" w:cstheme="minorBidi"/>
          <w:szCs w:val="22"/>
          <w:lang w:bidi="ar-SA"/>
        </w:rPr>
      </w:pPr>
      <w:hyperlink w:anchor="_Toc121504094" w:history="1">
        <w:r w:rsidR="00616885" w:rsidRPr="00657503">
          <w:rPr>
            <w:rStyle w:val="Hyperlink"/>
            <w:rFonts w:ascii="Arial Bold" w:hAnsi="Arial Bold"/>
            <w:lang w:eastAsia="en-US"/>
          </w:rPr>
          <w:t>A.5.1</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To A.5.12 Void</w:t>
        </w:r>
        <w:r w:rsidR="00616885">
          <w:rPr>
            <w:webHidden/>
          </w:rPr>
          <w:tab/>
        </w:r>
        <w:r w:rsidR="00616885">
          <w:rPr>
            <w:webHidden/>
          </w:rPr>
          <w:fldChar w:fldCharType="begin"/>
        </w:r>
        <w:r w:rsidR="00616885">
          <w:rPr>
            <w:webHidden/>
          </w:rPr>
          <w:instrText xml:space="preserve"> PAGEREF _Toc121504094 \h </w:instrText>
        </w:r>
        <w:r w:rsidR="00616885">
          <w:rPr>
            <w:webHidden/>
          </w:rPr>
        </w:r>
        <w:r w:rsidR="00616885">
          <w:rPr>
            <w:webHidden/>
          </w:rPr>
          <w:fldChar w:fldCharType="separate"/>
        </w:r>
        <w:r w:rsidR="001D5AD9">
          <w:rPr>
            <w:webHidden/>
          </w:rPr>
          <w:t>392</w:t>
        </w:r>
        <w:r w:rsidR="00616885">
          <w:rPr>
            <w:webHidden/>
          </w:rPr>
          <w:fldChar w:fldCharType="end"/>
        </w:r>
      </w:hyperlink>
    </w:p>
    <w:p w14:paraId="573063E6" w14:textId="6AC748E5" w:rsidR="00616885" w:rsidRDefault="00000000">
      <w:pPr>
        <w:pStyle w:val="TOC2"/>
        <w:rPr>
          <w:rFonts w:asciiTheme="minorHAnsi" w:eastAsiaTheme="minorEastAsia" w:hAnsiTheme="minorHAnsi" w:cstheme="minorBidi"/>
          <w:szCs w:val="22"/>
          <w:lang w:bidi="ar-SA"/>
        </w:rPr>
      </w:pPr>
      <w:hyperlink w:anchor="_Toc121504095" w:history="1">
        <w:r w:rsidR="00616885" w:rsidRPr="00657503">
          <w:rPr>
            <w:rStyle w:val="Hyperlink"/>
            <w:rFonts w:ascii="Arial Bold" w:hAnsi="Arial Bold"/>
            <w:b/>
            <w:lang w:eastAsia="en-US"/>
          </w:rPr>
          <w:t>A.6</w:t>
        </w:r>
        <w:r w:rsidR="00616885">
          <w:rPr>
            <w:rFonts w:asciiTheme="minorHAnsi" w:eastAsiaTheme="minorEastAsia" w:hAnsiTheme="minorHAnsi" w:cstheme="minorBidi"/>
            <w:szCs w:val="22"/>
            <w:lang w:bidi="ar-SA"/>
          </w:rPr>
          <w:tab/>
        </w:r>
        <w:r w:rsidR="00616885" w:rsidRPr="00657503">
          <w:rPr>
            <w:rStyle w:val="Hyperlink"/>
            <w:rFonts w:ascii="Arial Bold" w:hAnsi="Arial Bold"/>
            <w:b/>
            <w:lang w:eastAsia="en-US"/>
          </w:rPr>
          <w:t>The ES3 Interface Functions</w:t>
        </w:r>
        <w:r w:rsidR="00616885">
          <w:rPr>
            <w:webHidden/>
          </w:rPr>
          <w:tab/>
        </w:r>
        <w:r w:rsidR="00616885">
          <w:rPr>
            <w:webHidden/>
          </w:rPr>
          <w:fldChar w:fldCharType="begin"/>
        </w:r>
        <w:r w:rsidR="00616885">
          <w:rPr>
            <w:webHidden/>
          </w:rPr>
          <w:instrText xml:space="preserve"> PAGEREF _Toc121504095 \h </w:instrText>
        </w:r>
        <w:r w:rsidR="00616885">
          <w:rPr>
            <w:webHidden/>
          </w:rPr>
        </w:r>
        <w:r w:rsidR="00616885">
          <w:rPr>
            <w:webHidden/>
          </w:rPr>
          <w:fldChar w:fldCharType="separate"/>
        </w:r>
        <w:r w:rsidR="001D5AD9">
          <w:rPr>
            <w:webHidden/>
          </w:rPr>
          <w:t>392</w:t>
        </w:r>
        <w:r w:rsidR="00616885">
          <w:rPr>
            <w:webHidden/>
          </w:rPr>
          <w:fldChar w:fldCharType="end"/>
        </w:r>
      </w:hyperlink>
    </w:p>
    <w:p w14:paraId="76754997" w14:textId="2E6B11F5" w:rsidR="00616885" w:rsidRDefault="00000000">
      <w:pPr>
        <w:pStyle w:val="TOC3"/>
        <w:rPr>
          <w:rFonts w:asciiTheme="minorHAnsi" w:eastAsiaTheme="minorEastAsia" w:hAnsiTheme="minorHAnsi" w:cstheme="minorBidi"/>
          <w:szCs w:val="22"/>
          <w:lang w:bidi="ar-SA"/>
        </w:rPr>
      </w:pPr>
      <w:hyperlink w:anchor="_Toc121504096" w:history="1">
        <w:r w:rsidR="00616885" w:rsidRPr="00657503">
          <w:rPr>
            <w:rStyle w:val="Hyperlink"/>
            <w:rFonts w:ascii="Arial Bold" w:hAnsi="Arial Bold"/>
            <w:lang w:eastAsia="en-US"/>
          </w:rPr>
          <w:t>A.6.1</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to  A.615 Void</w:t>
        </w:r>
        <w:r w:rsidR="00616885">
          <w:rPr>
            <w:webHidden/>
          </w:rPr>
          <w:tab/>
        </w:r>
        <w:r w:rsidR="00616885">
          <w:rPr>
            <w:webHidden/>
          </w:rPr>
          <w:fldChar w:fldCharType="begin"/>
        </w:r>
        <w:r w:rsidR="00616885">
          <w:rPr>
            <w:webHidden/>
          </w:rPr>
          <w:instrText xml:space="preserve"> PAGEREF _Toc121504096 \h </w:instrText>
        </w:r>
        <w:r w:rsidR="00616885">
          <w:rPr>
            <w:webHidden/>
          </w:rPr>
        </w:r>
        <w:r w:rsidR="00616885">
          <w:rPr>
            <w:webHidden/>
          </w:rPr>
          <w:fldChar w:fldCharType="separate"/>
        </w:r>
        <w:r w:rsidR="001D5AD9">
          <w:rPr>
            <w:webHidden/>
          </w:rPr>
          <w:t>394</w:t>
        </w:r>
        <w:r w:rsidR="00616885">
          <w:rPr>
            <w:webHidden/>
          </w:rPr>
          <w:fldChar w:fldCharType="end"/>
        </w:r>
      </w:hyperlink>
    </w:p>
    <w:p w14:paraId="0C951A4C" w14:textId="0082C34E" w:rsidR="00616885" w:rsidRDefault="00000000">
      <w:pPr>
        <w:pStyle w:val="TOC2"/>
        <w:rPr>
          <w:rFonts w:asciiTheme="minorHAnsi" w:eastAsiaTheme="minorEastAsia" w:hAnsiTheme="minorHAnsi" w:cstheme="minorBidi"/>
          <w:szCs w:val="22"/>
          <w:lang w:bidi="ar-SA"/>
        </w:rPr>
      </w:pPr>
      <w:hyperlink w:anchor="_Toc121504097" w:history="1">
        <w:r w:rsidR="00616885" w:rsidRPr="00657503">
          <w:rPr>
            <w:rStyle w:val="Hyperlink"/>
            <w:rFonts w:ascii="Arial Bold" w:hAnsi="Arial Bold"/>
            <w:b/>
            <w:lang w:eastAsia="en-US"/>
          </w:rPr>
          <w:t>A.7</w:t>
        </w:r>
        <w:r w:rsidR="00616885">
          <w:rPr>
            <w:rFonts w:asciiTheme="minorHAnsi" w:eastAsiaTheme="minorEastAsia" w:hAnsiTheme="minorHAnsi" w:cstheme="minorBidi"/>
            <w:szCs w:val="22"/>
            <w:lang w:bidi="ar-SA"/>
          </w:rPr>
          <w:tab/>
        </w:r>
        <w:r w:rsidR="00616885" w:rsidRPr="00657503">
          <w:rPr>
            <w:rStyle w:val="Hyperlink"/>
            <w:rFonts w:ascii="Arial Bold" w:hAnsi="Arial Bold"/>
            <w:b/>
            <w:lang w:eastAsia="en-US"/>
          </w:rPr>
          <w:t>The ES4 Interface Functions</w:t>
        </w:r>
        <w:r w:rsidR="00616885">
          <w:rPr>
            <w:webHidden/>
          </w:rPr>
          <w:tab/>
        </w:r>
        <w:r w:rsidR="00616885">
          <w:rPr>
            <w:webHidden/>
          </w:rPr>
          <w:fldChar w:fldCharType="begin"/>
        </w:r>
        <w:r w:rsidR="00616885">
          <w:rPr>
            <w:webHidden/>
          </w:rPr>
          <w:instrText xml:space="preserve"> PAGEREF _Toc121504097 \h </w:instrText>
        </w:r>
        <w:r w:rsidR="00616885">
          <w:rPr>
            <w:webHidden/>
          </w:rPr>
        </w:r>
        <w:r w:rsidR="00616885">
          <w:rPr>
            <w:webHidden/>
          </w:rPr>
          <w:fldChar w:fldCharType="separate"/>
        </w:r>
        <w:r w:rsidR="001D5AD9">
          <w:rPr>
            <w:webHidden/>
          </w:rPr>
          <w:t>394</w:t>
        </w:r>
        <w:r w:rsidR="00616885">
          <w:rPr>
            <w:webHidden/>
          </w:rPr>
          <w:fldChar w:fldCharType="end"/>
        </w:r>
      </w:hyperlink>
    </w:p>
    <w:p w14:paraId="4F1E9393" w14:textId="7F678EB7" w:rsidR="00616885" w:rsidRDefault="00000000">
      <w:pPr>
        <w:pStyle w:val="TOC3"/>
        <w:rPr>
          <w:rFonts w:asciiTheme="minorHAnsi" w:eastAsiaTheme="minorEastAsia" w:hAnsiTheme="minorHAnsi" w:cstheme="minorBidi"/>
          <w:szCs w:val="22"/>
          <w:lang w:bidi="ar-SA"/>
        </w:rPr>
      </w:pPr>
      <w:hyperlink w:anchor="_Toc121504098" w:history="1">
        <w:r w:rsidR="00616885" w:rsidRPr="00657503">
          <w:rPr>
            <w:rStyle w:val="Hyperlink"/>
            <w:rFonts w:ascii="Arial Bold" w:hAnsi="Arial Bold"/>
            <w:lang w:eastAsia="en-US"/>
          </w:rPr>
          <w:t>A.7.1</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to A.7.13 Void</w:t>
        </w:r>
        <w:r w:rsidR="00616885">
          <w:rPr>
            <w:webHidden/>
          </w:rPr>
          <w:tab/>
        </w:r>
        <w:r w:rsidR="00616885">
          <w:rPr>
            <w:webHidden/>
          </w:rPr>
          <w:fldChar w:fldCharType="begin"/>
        </w:r>
        <w:r w:rsidR="00616885">
          <w:rPr>
            <w:webHidden/>
          </w:rPr>
          <w:instrText xml:space="preserve"> PAGEREF _Toc121504098 \h </w:instrText>
        </w:r>
        <w:r w:rsidR="00616885">
          <w:rPr>
            <w:webHidden/>
          </w:rPr>
        </w:r>
        <w:r w:rsidR="00616885">
          <w:rPr>
            <w:webHidden/>
          </w:rPr>
          <w:fldChar w:fldCharType="separate"/>
        </w:r>
        <w:r w:rsidR="001D5AD9">
          <w:rPr>
            <w:webHidden/>
          </w:rPr>
          <w:t>396</w:t>
        </w:r>
        <w:r w:rsidR="00616885">
          <w:rPr>
            <w:webHidden/>
          </w:rPr>
          <w:fldChar w:fldCharType="end"/>
        </w:r>
      </w:hyperlink>
    </w:p>
    <w:p w14:paraId="6310508E" w14:textId="66325EBC" w:rsidR="00616885" w:rsidRDefault="00000000">
      <w:pPr>
        <w:pStyle w:val="TOC2"/>
        <w:rPr>
          <w:rFonts w:asciiTheme="minorHAnsi" w:eastAsiaTheme="minorEastAsia" w:hAnsiTheme="minorHAnsi" w:cstheme="minorBidi"/>
          <w:szCs w:val="22"/>
          <w:lang w:bidi="ar-SA"/>
        </w:rPr>
      </w:pPr>
      <w:hyperlink w:anchor="_Toc121504099" w:history="1">
        <w:r w:rsidR="00616885" w:rsidRPr="00657503">
          <w:rPr>
            <w:rStyle w:val="Hyperlink"/>
            <w:rFonts w:ascii="Arial Bold" w:hAnsi="Arial Bold"/>
            <w:b/>
            <w:lang w:val="en-US"/>
          </w:rPr>
          <w:t>A.8</w:t>
        </w:r>
        <w:r w:rsidR="00616885">
          <w:rPr>
            <w:rFonts w:asciiTheme="minorHAnsi" w:eastAsiaTheme="minorEastAsia" w:hAnsiTheme="minorHAnsi" w:cstheme="minorBidi"/>
            <w:szCs w:val="22"/>
            <w:lang w:bidi="ar-SA"/>
          </w:rPr>
          <w:tab/>
        </w:r>
        <w:r w:rsidR="00616885" w:rsidRPr="00657503">
          <w:rPr>
            <w:rStyle w:val="Hyperlink"/>
            <w:rFonts w:ascii="Arial Bold" w:hAnsi="Arial Bold"/>
            <w:b/>
            <w:lang w:val="en-US"/>
          </w:rPr>
          <w:t>The ES4A Interface Functions</w:t>
        </w:r>
        <w:r w:rsidR="00616885">
          <w:rPr>
            <w:webHidden/>
          </w:rPr>
          <w:tab/>
        </w:r>
        <w:r w:rsidR="00616885">
          <w:rPr>
            <w:webHidden/>
          </w:rPr>
          <w:fldChar w:fldCharType="begin"/>
        </w:r>
        <w:r w:rsidR="00616885">
          <w:rPr>
            <w:webHidden/>
          </w:rPr>
          <w:instrText xml:space="preserve"> PAGEREF _Toc121504099 \h </w:instrText>
        </w:r>
        <w:r w:rsidR="00616885">
          <w:rPr>
            <w:webHidden/>
          </w:rPr>
        </w:r>
        <w:r w:rsidR="00616885">
          <w:rPr>
            <w:webHidden/>
          </w:rPr>
          <w:fldChar w:fldCharType="separate"/>
        </w:r>
        <w:r w:rsidR="001D5AD9">
          <w:rPr>
            <w:webHidden/>
          </w:rPr>
          <w:t>396</w:t>
        </w:r>
        <w:r w:rsidR="00616885">
          <w:rPr>
            <w:webHidden/>
          </w:rPr>
          <w:fldChar w:fldCharType="end"/>
        </w:r>
      </w:hyperlink>
    </w:p>
    <w:p w14:paraId="03EF55D8" w14:textId="1F16E928" w:rsidR="00616885" w:rsidRDefault="00000000">
      <w:pPr>
        <w:pStyle w:val="TOC2"/>
        <w:rPr>
          <w:rFonts w:asciiTheme="minorHAnsi" w:eastAsiaTheme="minorEastAsia" w:hAnsiTheme="minorHAnsi" w:cstheme="minorBidi"/>
          <w:szCs w:val="22"/>
          <w:lang w:bidi="ar-SA"/>
        </w:rPr>
      </w:pPr>
      <w:hyperlink w:anchor="_Toc121504100" w:history="1">
        <w:r w:rsidR="00616885" w:rsidRPr="00657503">
          <w:rPr>
            <w:rStyle w:val="Hyperlink"/>
            <w:rFonts w:ascii="Arial Bold" w:hAnsi="Arial Bold"/>
            <w:b/>
            <w:lang w:eastAsia="en-US"/>
          </w:rPr>
          <w:t>A.9</w:t>
        </w:r>
        <w:r w:rsidR="00616885">
          <w:rPr>
            <w:rFonts w:asciiTheme="minorHAnsi" w:eastAsiaTheme="minorEastAsia" w:hAnsiTheme="minorHAnsi" w:cstheme="minorBidi"/>
            <w:szCs w:val="22"/>
            <w:lang w:bidi="ar-SA"/>
          </w:rPr>
          <w:tab/>
        </w:r>
        <w:r w:rsidR="00616885" w:rsidRPr="00657503">
          <w:rPr>
            <w:rStyle w:val="Hyperlink"/>
            <w:rFonts w:ascii="Arial Bold" w:hAnsi="Arial Bold"/>
            <w:b/>
            <w:lang w:eastAsia="en-US"/>
          </w:rPr>
          <w:t>The ES7 Interface Functions</w:t>
        </w:r>
        <w:r w:rsidR="00616885">
          <w:rPr>
            <w:webHidden/>
          </w:rPr>
          <w:tab/>
        </w:r>
        <w:r w:rsidR="00616885">
          <w:rPr>
            <w:webHidden/>
          </w:rPr>
          <w:fldChar w:fldCharType="begin"/>
        </w:r>
        <w:r w:rsidR="00616885">
          <w:rPr>
            <w:webHidden/>
          </w:rPr>
          <w:instrText xml:space="preserve"> PAGEREF _Toc121504100 \h </w:instrText>
        </w:r>
        <w:r w:rsidR="00616885">
          <w:rPr>
            <w:webHidden/>
          </w:rPr>
        </w:r>
        <w:r w:rsidR="00616885">
          <w:rPr>
            <w:webHidden/>
          </w:rPr>
          <w:fldChar w:fldCharType="separate"/>
        </w:r>
        <w:r w:rsidR="001D5AD9">
          <w:rPr>
            <w:webHidden/>
          </w:rPr>
          <w:t>396</w:t>
        </w:r>
        <w:r w:rsidR="00616885">
          <w:rPr>
            <w:webHidden/>
          </w:rPr>
          <w:fldChar w:fldCharType="end"/>
        </w:r>
      </w:hyperlink>
    </w:p>
    <w:p w14:paraId="0FBCF56C" w14:textId="6303455A" w:rsidR="00616885" w:rsidRDefault="00000000">
      <w:pPr>
        <w:pStyle w:val="TOC3"/>
        <w:rPr>
          <w:rFonts w:asciiTheme="minorHAnsi" w:eastAsiaTheme="minorEastAsia" w:hAnsiTheme="minorHAnsi" w:cstheme="minorBidi"/>
          <w:szCs w:val="22"/>
          <w:lang w:bidi="ar-SA"/>
        </w:rPr>
      </w:pPr>
      <w:hyperlink w:anchor="_Toc121504101" w:history="1">
        <w:r w:rsidR="00616885" w:rsidRPr="00657503">
          <w:rPr>
            <w:rStyle w:val="Hyperlink"/>
            <w:rFonts w:ascii="Arial Bold" w:hAnsi="Arial Bold"/>
            <w:lang w:eastAsia="en-US"/>
          </w:rPr>
          <w:t>A.9.1</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to A.8.3 Void</w:t>
        </w:r>
        <w:r w:rsidR="00616885">
          <w:rPr>
            <w:webHidden/>
          </w:rPr>
          <w:tab/>
        </w:r>
        <w:r w:rsidR="00616885">
          <w:rPr>
            <w:webHidden/>
          </w:rPr>
          <w:fldChar w:fldCharType="begin"/>
        </w:r>
        <w:r w:rsidR="00616885">
          <w:rPr>
            <w:webHidden/>
          </w:rPr>
          <w:instrText xml:space="preserve"> PAGEREF _Toc121504101 \h </w:instrText>
        </w:r>
        <w:r w:rsidR="00616885">
          <w:rPr>
            <w:webHidden/>
          </w:rPr>
        </w:r>
        <w:r w:rsidR="00616885">
          <w:rPr>
            <w:webHidden/>
          </w:rPr>
          <w:fldChar w:fldCharType="separate"/>
        </w:r>
        <w:r w:rsidR="001D5AD9">
          <w:rPr>
            <w:webHidden/>
          </w:rPr>
          <w:t>397</w:t>
        </w:r>
        <w:r w:rsidR="00616885">
          <w:rPr>
            <w:webHidden/>
          </w:rPr>
          <w:fldChar w:fldCharType="end"/>
        </w:r>
      </w:hyperlink>
    </w:p>
    <w:p w14:paraId="5F1FDB51" w14:textId="00EA0E12" w:rsidR="00616885" w:rsidRDefault="00000000">
      <w:pPr>
        <w:pStyle w:val="TOC2"/>
        <w:rPr>
          <w:rFonts w:asciiTheme="minorHAnsi" w:eastAsiaTheme="minorEastAsia" w:hAnsiTheme="minorHAnsi" w:cstheme="minorBidi"/>
          <w:szCs w:val="22"/>
          <w:lang w:bidi="ar-SA"/>
        </w:rPr>
      </w:pPr>
      <w:hyperlink w:anchor="_Toc121504102" w:history="1">
        <w:r w:rsidR="00616885" w:rsidRPr="00657503">
          <w:rPr>
            <w:rStyle w:val="Hyperlink"/>
            <w:rFonts w:ascii="Arial Bold" w:hAnsi="Arial Bold"/>
            <w:b/>
            <w:lang w:val="en-US"/>
          </w:rPr>
          <w:t>A.10</w:t>
        </w:r>
        <w:r w:rsidR="00616885">
          <w:rPr>
            <w:rFonts w:asciiTheme="minorHAnsi" w:eastAsiaTheme="minorEastAsia" w:hAnsiTheme="minorHAnsi" w:cstheme="minorBidi"/>
            <w:szCs w:val="22"/>
            <w:lang w:bidi="ar-SA"/>
          </w:rPr>
          <w:tab/>
        </w:r>
        <w:r w:rsidR="00616885" w:rsidRPr="00657503">
          <w:rPr>
            <w:rStyle w:val="Hyperlink"/>
            <w:rFonts w:ascii="Arial Bold" w:hAnsi="Arial Bold"/>
            <w:b/>
            <w:lang w:val="en-US"/>
          </w:rPr>
          <w:t>EUM Signature</w:t>
        </w:r>
        <w:r w:rsidR="00616885">
          <w:rPr>
            <w:webHidden/>
          </w:rPr>
          <w:tab/>
        </w:r>
        <w:r w:rsidR="00616885">
          <w:rPr>
            <w:webHidden/>
          </w:rPr>
          <w:fldChar w:fldCharType="begin"/>
        </w:r>
        <w:r w:rsidR="00616885">
          <w:rPr>
            <w:webHidden/>
          </w:rPr>
          <w:instrText xml:space="preserve"> PAGEREF _Toc121504102 \h </w:instrText>
        </w:r>
        <w:r w:rsidR="00616885">
          <w:rPr>
            <w:webHidden/>
          </w:rPr>
        </w:r>
        <w:r w:rsidR="00616885">
          <w:rPr>
            <w:webHidden/>
          </w:rPr>
          <w:fldChar w:fldCharType="separate"/>
        </w:r>
        <w:r w:rsidR="001D5AD9">
          <w:rPr>
            <w:webHidden/>
          </w:rPr>
          <w:t>397</w:t>
        </w:r>
        <w:r w:rsidR="00616885">
          <w:rPr>
            <w:webHidden/>
          </w:rPr>
          <w:fldChar w:fldCharType="end"/>
        </w:r>
      </w:hyperlink>
    </w:p>
    <w:p w14:paraId="642D9D46" w14:textId="31377C5B" w:rsidR="00616885" w:rsidRDefault="00000000">
      <w:pPr>
        <w:pStyle w:val="TOC1"/>
        <w:tabs>
          <w:tab w:val="left" w:pos="1248"/>
        </w:tabs>
        <w:rPr>
          <w:rFonts w:asciiTheme="minorHAnsi" w:eastAsiaTheme="minorEastAsia" w:hAnsiTheme="minorHAnsi" w:cstheme="minorBidi"/>
          <w:b w:val="0"/>
          <w:lang w:eastAsia="en-GB" w:bidi="ar-SA"/>
        </w:rPr>
      </w:pPr>
      <w:hyperlink w:anchor="_Toc121504103" w:history="1">
        <w:r w:rsidR="00616885" w:rsidRPr="00657503">
          <w:rPr>
            <w:rStyle w:val="Hyperlink"/>
            <w:lang w:eastAsia="en-US"/>
          </w:rPr>
          <w:t>Annex B</w:t>
        </w:r>
        <w:r w:rsidR="00616885">
          <w:rPr>
            <w:rFonts w:asciiTheme="minorHAnsi" w:eastAsiaTheme="minorEastAsia" w:hAnsiTheme="minorHAnsi" w:cstheme="minorBidi"/>
            <w:b w:val="0"/>
            <w:lang w:eastAsia="en-GB" w:bidi="ar-SA"/>
          </w:rPr>
          <w:tab/>
        </w:r>
        <w:r w:rsidR="00616885" w:rsidRPr="00657503">
          <w:rPr>
            <w:rStyle w:val="Hyperlink"/>
            <w:lang w:eastAsia="en-US"/>
          </w:rPr>
          <w:t>Binding to SOA Environment (Normative)</w:t>
        </w:r>
        <w:r w:rsidR="00616885">
          <w:rPr>
            <w:webHidden/>
          </w:rPr>
          <w:tab/>
        </w:r>
        <w:r w:rsidR="00616885">
          <w:rPr>
            <w:webHidden/>
          </w:rPr>
          <w:fldChar w:fldCharType="begin"/>
        </w:r>
        <w:r w:rsidR="00616885">
          <w:rPr>
            <w:webHidden/>
          </w:rPr>
          <w:instrText xml:space="preserve"> PAGEREF _Toc121504103 \h </w:instrText>
        </w:r>
        <w:r w:rsidR="00616885">
          <w:rPr>
            <w:webHidden/>
          </w:rPr>
        </w:r>
        <w:r w:rsidR="00616885">
          <w:rPr>
            <w:webHidden/>
          </w:rPr>
          <w:fldChar w:fldCharType="separate"/>
        </w:r>
        <w:r w:rsidR="001D5AD9">
          <w:rPr>
            <w:webHidden/>
          </w:rPr>
          <w:t>400</w:t>
        </w:r>
        <w:r w:rsidR="00616885">
          <w:rPr>
            <w:webHidden/>
          </w:rPr>
          <w:fldChar w:fldCharType="end"/>
        </w:r>
      </w:hyperlink>
    </w:p>
    <w:p w14:paraId="44F76105" w14:textId="019EDDCE" w:rsidR="00616885" w:rsidRDefault="00000000">
      <w:pPr>
        <w:pStyle w:val="TOC2"/>
        <w:rPr>
          <w:rFonts w:asciiTheme="minorHAnsi" w:eastAsiaTheme="minorEastAsia" w:hAnsiTheme="minorHAnsi" w:cstheme="minorBidi"/>
          <w:szCs w:val="22"/>
          <w:lang w:bidi="ar-SA"/>
        </w:rPr>
      </w:pPr>
      <w:hyperlink w:anchor="_Toc121504104" w:history="1">
        <w:r w:rsidR="00616885" w:rsidRPr="00657503">
          <w:rPr>
            <w:rStyle w:val="Hyperlink"/>
            <w:rFonts w:ascii="Arial Bold" w:hAnsi="Arial Bold"/>
            <w:b/>
            <w:bCs/>
          </w:rPr>
          <w:t>B.1</w:t>
        </w:r>
        <w:r w:rsidR="00616885">
          <w:rPr>
            <w:rFonts w:asciiTheme="minorHAnsi" w:eastAsiaTheme="minorEastAsia" w:hAnsiTheme="minorHAnsi" w:cstheme="minorBidi"/>
            <w:szCs w:val="22"/>
            <w:lang w:bidi="ar-SA"/>
          </w:rPr>
          <w:tab/>
        </w:r>
        <w:r w:rsidR="00616885" w:rsidRPr="00657503">
          <w:rPr>
            <w:rStyle w:val="Hyperlink"/>
            <w:rFonts w:ascii="Arial Bold" w:hAnsi="Arial Bold"/>
            <w:b/>
          </w:rPr>
          <w:t>General Recommendations</w:t>
        </w:r>
        <w:r w:rsidR="00616885">
          <w:rPr>
            <w:webHidden/>
          </w:rPr>
          <w:tab/>
        </w:r>
        <w:r w:rsidR="00616885">
          <w:rPr>
            <w:webHidden/>
          </w:rPr>
          <w:fldChar w:fldCharType="begin"/>
        </w:r>
        <w:r w:rsidR="00616885">
          <w:rPr>
            <w:webHidden/>
          </w:rPr>
          <w:instrText xml:space="preserve"> PAGEREF _Toc121504104 \h </w:instrText>
        </w:r>
        <w:r w:rsidR="00616885">
          <w:rPr>
            <w:webHidden/>
          </w:rPr>
        </w:r>
        <w:r w:rsidR="00616885">
          <w:rPr>
            <w:webHidden/>
          </w:rPr>
          <w:fldChar w:fldCharType="separate"/>
        </w:r>
        <w:r w:rsidR="001D5AD9">
          <w:rPr>
            <w:webHidden/>
          </w:rPr>
          <w:t>400</w:t>
        </w:r>
        <w:r w:rsidR="00616885">
          <w:rPr>
            <w:webHidden/>
          </w:rPr>
          <w:fldChar w:fldCharType="end"/>
        </w:r>
      </w:hyperlink>
    </w:p>
    <w:p w14:paraId="6151C771" w14:textId="616F5567" w:rsidR="00616885" w:rsidRDefault="00000000">
      <w:pPr>
        <w:pStyle w:val="TOC2"/>
        <w:rPr>
          <w:rFonts w:asciiTheme="minorHAnsi" w:eastAsiaTheme="minorEastAsia" w:hAnsiTheme="minorHAnsi" w:cstheme="minorBidi"/>
          <w:szCs w:val="22"/>
          <w:lang w:bidi="ar-SA"/>
        </w:rPr>
      </w:pPr>
      <w:hyperlink w:anchor="_Toc121504105" w:history="1">
        <w:r w:rsidR="00616885" w:rsidRPr="00657503">
          <w:rPr>
            <w:rStyle w:val="Hyperlink"/>
            <w:rFonts w:ascii="Arial Bold" w:hAnsi="Arial Bold" w:cs="Calibri"/>
            <w:b/>
            <w:bCs/>
          </w:rPr>
          <w:t>B.2</w:t>
        </w:r>
        <w:r w:rsidR="00616885">
          <w:rPr>
            <w:rFonts w:asciiTheme="minorHAnsi" w:eastAsiaTheme="minorEastAsia" w:hAnsiTheme="minorHAnsi" w:cstheme="minorBidi"/>
            <w:szCs w:val="22"/>
            <w:lang w:bidi="ar-SA"/>
          </w:rPr>
          <w:tab/>
        </w:r>
        <w:r w:rsidR="00616885" w:rsidRPr="00657503">
          <w:rPr>
            <w:rStyle w:val="Hyperlink"/>
            <w:rFonts w:ascii="Arial Bold" w:hAnsi="Arial Bold" w:cs="Calibri"/>
            <w:b/>
          </w:rPr>
          <w:t xml:space="preserve">SOAP </w:t>
        </w:r>
        <w:r w:rsidR="00616885" w:rsidRPr="00657503">
          <w:rPr>
            <w:rStyle w:val="Hyperlink"/>
            <w:rFonts w:ascii="Arial Bold" w:hAnsi="Arial Bold"/>
            <w:b/>
          </w:rPr>
          <w:t>Binding</w:t>
        </w:r>
        <w:r w:rsidR="00616885">
          <w:rPr>
            <w:webHidden/>
          </w:rPr>
          <w:tab/>
        </w:r>
        <w:r w:rsidR="00616885">
          <w:rPr>
            <w:webHidden/>
          </w:rPr>
          <w:fldChar w:fldCharType="begin"/>
        </w:r>
        <w:r w:rsidR="00616885">
          <w:rPr>
            <w:webHidden/>
          </w:rPr>
          <w:instrText xml:space="preserve"> PAGEREF _Toc121504105 \h </w:instrText>
        </w:r>
        <w:r w:rsidR="00616885">
          <w:rPr>
            <w:webHidden/>
          </w:rPr>
        </w:r>
        <w:r w:rsidR="00616885">
          <w:rPr>
            <w:webHidden/>
          </w:rPr>
          <w:fldChar w:fldCharType="separate"/>
        </w:r>
        <w:r w:rsidR="001D5AD9">
          <w:rPr>
            <w:webHidden/>
          </w:rPr>
          <w:t>400</w:t>
        </w:r>
        <w:r w:rsidR="00616885">
          <w:rPr>
            <w:webHidden/>
          </w:rPr>
          <w:fldChar w:fldCharType="end"/>
        </w:r>
      </w:hyperlink>
    </w:p>
    <w:p w14:paraId="195D36F5" w14:textId="440D7B45" w:rsidR="00616885" w:rsidRDefault="00000000">
      <w:pPr>
        <w:pStyle w:val="TOC3"/>
        <w:rPr>
          <w:rFonts w:asciiTheme="minorHAnsi" w:eastAsiaTheme="minorEastAsia" w:hAnsiTheme="minorHAnsi" w:cstheme="minorBidi"/>
          <w:szCs w:val="22"/>
          <w:lang w:bidi="ar-SA"/>
        </w:rPr>
      </w:pPr>
      <w:hyperlink w:anchor="_Toc121504106" w:history="1">
        <w:r w:rsidR="00616885" w:rsidRPr="00657503">
          <w:rPr>
            <w:rStyle w:val="Hyperlink"/>
            <w:rFonts w:ascii="Arial Bold" w:hAnsi="Arial Bold"/>
            <w:lang w:eastAsia="en-US"/>
          </w:rPr>
          <w:t>B.2.1</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Message Binding</w:t>
        </w:r>
        <w:r w:rsidR="00616885">
          <w:rPr>
            <w:webHidden/>
          </w:rPr>
          <w:tab/>
        </w:r>
        <w:r w:rsidR="00616885">
          <w:rPr>
            <w:webHidden/>
          </w:rPr>
          <w:fldChar w:fldCharType="begin"/>
        </w:r>
        <w:r w:rsidR="00616885">
          <w:rPr>
            <w:webHidden/>
          </w:rPr>
          <w:instrText xml:space="preserve"> PAGEREF _Toc121504106 \h </w:instrText>
        </w:r>
        <w:r w:rsidR="00616885">
          <w:rPr>
            <w:webHidden/>
          </w:rPr>
        </w:r>
        <w:r w:rsidR="00616885">
          <w:rPr>
            <w:webHidden/>
          </w:rPr>
          <w:fldChar w:fldCharType="separate"/>
        </w:r>
        <w:r w:rsidR="001D5AD9">
          <w:rPr>
            <w:webHidden/>
          </w:rPr>
          <w:t>401</w:t>
        </w:r>
        <w:r w:rsidR="00616885">
          <w:rPr>
            <w:webHidden/>
          </w:rPr>
          <w:fldChar w:fldCharType="end"/>
        </w:r>
      </w:hyperlink>
    </w:p>
    <w:p w14:paraId="281226FA" w14:textId="0B1AD937" w:rsidR="00616885" w:rsidRDefault="00000000">
      <w:pPr>
        <w:pStyle w:val="TOC3"/>
        <w:rPr>
          <w:rFonts w:asciiTheme="minorHAnsi" w:eastAsiaTheme="minorEastAsia" w:hAnsiTheme="minorHAnsi" w:cstheme="minorBidi"/>
          <w:szCs w:val="22"/>
          <w:lang w:bidi="ar-SA"/>
        </w:rPr>
      </w:pPr>
      <w:hyperlink w:anchor="_Toc121504107" w:history="1">
        <w:r w:rsidR="00616885" w:rsidRPr="00657503">
          <w:rPr>
            <w:rStyle w:val="Hyperlink"/>
            <w:rFonts w:ascii="Arial Bold" w:hAnsi="Arial Bold"/>
            <w:lang w:eastAsia="en-US"/>
          </w:rPr>
          <w:t>B.2.2</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Security</w:t>
        </w:r>
        <w:r w:rsidR="00616885">
          <w:rPr>
            <w:webHidden/>
          </w:rPr>
          <w:tab/>
        </w:r>
        <w:r w:rsidR="00616885">
          <w:rPr>
            <w:webHidden/>
          </w:rPr>
          <w:fldChar w:fldCharType="begin"/>
        </w:r>
        <w:r w:rsidR="00616885">
          <w:rPr>
            <w:webHidden/>
          </w:rPr>
          <w:instrText xml:space="preserve"> PAGEREF _Toc121504107 \h </w:instrText>
        </w:r>
        <w:r w:rsidR="00616885">
          <w:rPr>
            <w:webHidden/>
          </w:rPr>
        </w:r>
        <w:r w:rsidR="00616885">
          <w:rPr>
            <w:webHidden/>
          </w:rPr>
          <w:fldChar w:fldCharType="separate"/>
        </w:r>
        <w:r w:rsidR="001D5AD9">
          <w:rPr>
            <w:webHidden/>
          </w:rPr>
          <w:t>411</w:t>
        </w:r>
        <w:r w:rsidR="00616885">
          <w:rPr>
            <w:webHidden/>
          </w:rPr>
          <w:fldChar w:fldCharType="end"/>
        </w:r>
      </w:hyperlink>
    </w:p>
    <w:p w14:paraId="5B6E13B8" w14:textId="7FF43AB9" w:rsidR="00616885" w:rsidRDefault="00000000">
      <w:pPr>
        <w:pStyle w:val="TOC3"/>
        <w:rPr>
          <w:rFonts w:asciiTheme="minorHAnsi" w:eastAsiaTheme="minorEastAsia" w:hAnsiTheme="minorHAnsi" w:cstheme="minorBidi"/>
          <w:szCs w:val="22"/>
          <w:lang w:bidi="ar-SA"/>
        </w:rPr>
      </w:pPr>
      <w:hyperlink w:anchor="_Toc121504108" w:history="1">
        <w:r w:rsidR="00616885" w:rsidRPr="00657503">
          <w:rPr>
            <w:rStyle w:val="Hyperlink"/>
            <w:rFonts w:ascii="Arial Bold" w:hAnsi="Arial Bold"/>
            <w:lang w:eastAsia="en-US"/>
          </w:rPr>
          <w:t>B.2.3</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Message Exchange Pattern (MEPs) – HTTPS Binding</w:t>
        </w:r>
        <w:r w:rsidR="00616885">
          <w:rPr>
            <w:webHidden/>
          </w:rPr>
          <w:tab/>
        </w:r>
        <w:r w:rsidR="00616885">
          <w:rPr>
            <w:webHidden/>
          </w:rPr>
          <w:fldChar w:fldCharType="begin"/>
        </w:r>
        <w:r w:rsidR="00616885">
          <w:rPr>
            <w:webHidden/>
          </w:rPr>
          <w:instrText xml:space="preserve"> PAGEREF _Toc121504108 \h </w:instrText>
        </w:r>
        <w:r w:rsidR="00616885">
          <w:rPr>
            <w:webHidden/>
          </w:rPr>
        </w:r>
        <w:r w:rsidR="00616885">
          <w:rPr>
            <w:webHidden/>
          </w:rPr>
          <w:fldChar w:fldCharType="separate"/>
        </w:r>
        <w:r w:rsidR="001D5AD9">
          <w:rPr>
            <w:webHidden/>
          </w:rPr>
          <w:t>414</w:t>
        </w:r>
        <w:r w:rsidR="00616885">
          <w:rPr>
            <w:webHidden/>
          </w:rPr>
          <w:fldChar w:fldCharType="end"/>
        </w:r>
      </w:hyperlink>
    </w:p>
    <w:p w14:paraId="28F75DF3" w14:textId="0EE3190D" w:rsidR="00616885" w:rsidRDefault="00000000">
      <w:pPr>
        <w:pStyle w:val="TOC3"/>
        <w:rPr>
          <w:rFonts w:asciiTheme="minorHAnsi" w:eastAsiaTheme="minorEastAsia" w:hAnsiTheme="minorHAnsi" w:cstheme="minorBidi"/>
          <w:szCs w:val="22"/>
          <w:lang w:bidi="ar-SA"/>
        </w:rPr>
      </w:pPr>
      <w:hyperlink w:anchor="_Toc121504109" w:history="1">
        <w:r w:rsidR="00616885" w:rsidRPr="00657503">
          <w:rPr>
            <w:rStyle w:val="Hyperlink"/>
            <w:rFonts w:ascii="Arial Bold" w:hAnsi="Arial Bold"/>
            <w:lang w:eastAsia="en-US"/>
          </w:rPr>
          <w:t>B.2.4</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Binding Examples</w:t>
        </w:r>
        <w:r w:rsidR="00616885">
          <w:rPr>
            <w:webHidden/>
          </w:rPr>
          <w:tab/>
        </w:r>
        <w:r w:rsidR="00616885">
          <w:rPr>
            <w:webHidden/>
          </w:rPr>
          <w:fldChar w:fldCharType="begin"/>
        </w:r>
        <w:r w:rsidR="00616885">
          <w:rPr>
            <w:webHidden/>
          </w:rPr>
          <w:instrText xml:space="preserve"> PAGEREF _Toc121504109 \h </w:instrText>
        </w:r>
        <w:r w:rsidR="00616885">
          <w:rPr>
            <w:webHidden/>
          </w:rPr>
        </w:r>
        <w:r w:rsidR="00616885">
          <w:rPr>
            <w:webHidden/>
          </w:rPr>
          <w:fldChar w:fldCharType="separate"/>
        </w:r>
        <w:r w:rsidR="001D5AD9">
          <w:rPr>
            <w:webHidden/>
          </w:rPr>
          <w:t>417</w:t>
        </w:r>
        <w:r w:rsidR="00616885">
          <w:rPr>
            <w:webHidden/>
          </w:rPr>
          <w:fldChar w:fldCharType="end"/>
        </w:r>
      </w:hyperlink>
    </w:p>
    <w:p w14:paraId="34DC0088" w14:textId="1E58337C" w:rsidR="00616885" w:rsidRDefault="00000000">
      <w:pPr>
        <w:pStyle w:val="TOC3"/>
        <w:rPr>
          <w:rFonts w:asciiTheme="minorHAnsi" w:eastAsiaTheme="minorEastAsia" w:hAnsiTheme="minorHAnsi" w:cstheme="minorBidi"/>
          <w:szCs w:val="22"/>
          <w:lang w:bidi="ar-SA"/>
        </w:rPr>
      </w:pPr>
      <w:hyperlink w:anchor="_Toc121504110" w:history="1">
        <w:r w:rsidR="00616885" w:rsidRPr="00657503">
          <w:rPr>
            <w:rStyle w:val="Hyperlink"/>
            <w:rFonts w:ascii="Arial Bold" w:hAnsi="Arial Bold"/>
          </w:rPr>
          <w:t>B.2.5</w:t>
        </w:r>
        <w:r w:rsidR="00616885">
          <w:rPr>
            <w:rFonts w:asciiTheme="minorHAnsi" w:eastAsiaTheme="minorEastAsia" w:hAnsiTheme="minorHAnsi" w:cstheme="minorBidi"/>
            <w:szCs w:val="22"/>
            <w:lang w:bidi="ar-SA"/>
          </w:rPr>
          <w:tab/>
        </w:r>
        <w:r w:rsidR="00616885" w:rsidRPr="00657503">
          <w:rPr>
            <w:rStyle w:val="Hyperlink"/>
            <w:rFonts w:ascii="Arial Bold" w:hAnsi="Arial Bold"/>
          </w:rPr>
          <w:t>URI – query structure</w:t>
        </w:r>
        <w:r w:rsidR="00616885">
          <w:rPr>
            <w:webHidden/>
          </w:rPr>
          <w:tab/>
        </w:r>
        <w:r w:rsidR="00616885">
          <w:rPr>
            <w:webHidden/>
          </w:rPr>
          <w:fldChar w:fldCharType="begin"/>
        </w:r>
        <w:r w:rsidR="00616885">
          <w:rPr>
            <w:webHidden/>
          </w:rPr>
          <w:instrText xml:space="preserve"> PAGEREF _Toc121504110 \h </w:instrText>
        </w:r>
        <w:r w:rsidR="00616885">
          <w:rPr>
            <w:webHidden/>
          </w:rPr>
        </w:r>
        <w:r w:rsidR="00616885">
          <w:rPr>
            <w:webHidden/>
          </w:rPr>
          <w:fldChar w:fldCharType="separate"/>
        </w:r>
        <w:r w:rsidR="001D5AD9">
          <w:rPr>
            <w:webHidden/>
          </w:rPr>
          <w:t>420</w:t>
        </w:r>
        <w:r w:rsidR="00616885">
          <w:rPr>
            <w:webHidden/>
          </w:rPr>
          <w:fldChar w:fldCharType="end"/>
        </w:r>
      </w:hyperlink>
    </w:p>
    <w:p w14:paraId="770D1F4B" w14:textId="19A4A761" w:rsidR="00616885" w:rsidRDefault="00000000">
      <w:pPr>
        <w:pStyle w:val="TOC2"/>
        <w:rPr>
          <w:rFonts w:asciiTheme="minorHAnsi" w:eastAsiaTheme="minorEastAsia" w:hAnsiTheme="minorHAnsi" w:cstheme="minorBidi"/>
          <w:szCs w:val="22"/>
          <w:lang w:bidi="ar-SA"/>
        </w:rPr>
      </w:pPr>
      <w:hyperlink w:anchor="_Toc121504111" w:history="1">
        <w:r w:rsidR="00616885" w:rsidRPr="00657503">
          <w:rPr>
            <w:rStyle w:val="Hyperlink"/>
            <w:rFonts w:ascii="Arial Bold" w:hAnsi="Arial Bold"/>
            <w:b/>
            <w:bCs/>
          </w:rPr>
          <w:t>B.3</w:t>
        </w:r>
        <w:r w:rsidR="00616885">
          <w:rPr>
            <w:rFonts w:asciiTheme="minorHAnsi" w:eastAsiaTheme="minorEastAsia" w:hAnsiTheme="minorHAnsi" w:cstheme="minorBidi"/>
            <w:szCs w:val="22"/>
            <w:lang w:bidi="ar-SA"/>
          </w:rPr>
          <w:tab/>
        </w:r>
        <w:r w:rsidR="00616885" w:rsidRPr="00657503">
          <w:rPr>
            <w:rStyle w:val="Hyperlink"/>
            <w:rFonts w:ascii="Arial Bold" w:hAnsi="Arial Bold" w:cs="Calibri"/>
            <w:b/>
          </w:rPr>
          <w:t>Function</w:t>
        </w:r>
        <w:r w:rsidR="00616885" w:rsidRPr="00657503">
          <w:rPr>
            <w:rStyle w:val="Hyperlink"/>
            <w:rFonts w:ascii="Arial Bold" w:hAnsi="Arial Bold"/>
            <w:b/>
          </w:rPr>
          <w:t xml:space="preserve"> Binding</w:t>
        </w:r>
        <w:r w:rsidR="00616885">
          <w:rPr>
            <w:webHidden/>
          </w:rPr>
          <w:tab/>
        </w:r>
        <w:r w:rsidR="00616885">
          <w:rPr>
            <w:webHidden/>
          </w:rPr>
          <w:fldChar w:fldCharType="begin"/>
        </w:r>
        <w:r w:rsidR="00616885">
          <w:rPr>
            <w:webHidden/>
          </w:rPr>
          <w:instrText xml:space="preserve"> PAGEREF _Toc121504111 \h </w:instrText>
        </w:r>
        <w:r w:rsidR="00616885">
          <w:rPr>
            <w:webHidden/>
          </w:rPr>
        </w:r>
        <w:r w:rsidR="00616885">
          <w:rPr>
            <w:webHidden/>
          </w:rPr>
          <w:fldChar w:fldCharType="separate"/>
        </w:r>
        <w:r w:rsidR="001D5AD9">
          <w:rPr>
            <w:webHidden/>
          </w:rPr>
          <w:t>421</w:t>
        </w:r>
        <w:r w:rsidR="00616885">
          <w:rPr>
            <w:webHidden/>
          </w:rPr>
          <w:fldChar w:fldCharType="end"/>
        </w:r>
      </w:hyperlink>
    </w:p>
    <w:p w14:paraId="4D7681CC" w14:textId="49DA8567" w:rsidR="00616885" w:rsidRDefault="00000000">
      <w:pPr>
        <w:pStyle w:val="TOC3"/>
        <w:rPr>
          <w:rFonts w:asciiTheme="minorHAnsi" w:eastAsiaTheme="minorEastAsia" w:hAnsiTheme="minorHAnsi" w:cstheme="minorBidi"/>
          <w:szCs w:val="22"/>
          <w:lang w:bidi="ar-SA"/>
        </w:rPr>
      </w:pPr>
      <w:hyperlink w:anchor="_Toc121504112" w:history="1">
        <w:r w:rsidR="00616885" w:rsidRPr="00657503">
          <w:rPr>
            <w:rStyle w:val="Hyperlink"/>
            <w:rFonts w:ascii="Arial Bold" w:hAnsi="Arial Bold"/>
            <w:lang w:eastAsia="en-US"/>
          </w:rPr>
          <w:t>B.3.1</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ES1</w:t>
        </w:r>
        <w:r w:rsidR="00616885">
          <w:rPr>
            <w:webHidden/>
          </w:rPr>
          <w:tab/>
        </w:r>
        <w:r w:rsidR="00616885">
          <w:rPr>
            <w:webHidden/>
          </w:rPr>
          <w:fldChar w:fldCharType="begin"/>
        </w:r>
        <w:r w:rsidR="00616885">
          <w:rPr>
            <w:webHidden/>
          </w:rPr>
          <w:instrText xml:space="preserve"> PAGEREF _Toc121504112 \h </w:instrText>
        </w:r>
        <w:r w:rsidR="00616885">
          <w:rPr>
            <w:webHidden/>
          </w:rPr>
        </w:r>
        <w:r w:rsidR="00616885">
          <w:rPr>
            <w:webHidden/>
          </w:rPr>
          <w:fldChar w:fldCharType="separate"/>
        </w:r>
        <w:r w:rsidR="001D5AD9">
          <w:rPr>
            <w:webHidden/>
          </w:rPr>
          <w:t>421</w:t>
        </w:r>
        <w:r w:rsidR="00616885">
          <w:rPr>
            <w:webHidden/>
          </w:rPr>
          <w:fldChar w:fldCharType="end"/>
        </w:r>
      </w:hyperlink>
    </w:p>
    <w:p w14:paraId="565E4B32" w14:textId="323BD00E" w:rsidR="00616885" w:rsidRDefault="00000000">
      <w:pPr>
        <w:pStyle w:val="TOC3"/>
        <w:rPr>
          <w:rFonts w:asciiTheme="minorHAnsi" w:eastAsiaTheme="minorEastAsia" w:hAnsiTheme="minorHAnsi" w:cstheme="minorBidi"/>
          <w:szCs w:val="22"/>
          <w:lang w:bidi="ar-SA"/>
        </w:rPr>
      </w:pPr>
      <w:hyperlink w:anchor="_Toc121504113" w:history="1">
        <w:r w:rsidR="00616885" w:rsidRPr="00657503">
          <w:rPr>
            <w:rStyle w:val="Hyperlink"/>
            <w:rFonts w:ascii="Arial Bold" w:hAnsi="Arial Bold"/>
            <w:lang w:eastAsia="en-US"/>
          </w:rPr>
          <w:t>B.3.2</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ES2</w:t>
        </w:r>
        <w:r w:rsidR="00616885">
          <w:rPr>
            <w:webHidden/>
          </w:rPr>
          <w:tab/>
        </w:r>
        <w:r w:rsidR="00616885">
          <w:rPr>
            <w:webHidden/>
          </w:rPr>
          <w:fldChar w:fldCharType="begin"/>
        </w:r>
        <w:r w:rsidR="00616885">
          <w:rPr>
            <w:webHidden/>
          </w:rPr>
          <w:instrText xml:space="preserve"> PAGEREF _Toc121504113 \h </w:instrText>
        </w:r>
        <w:r w:rsidR="00616885">
          <w:rPr>
            <w:webHidden/>
          </w:rPr>
        </w:r>
        <w:r w:rsidR="00616885">
          <w:rPr>
            <w:webHidden/>
          </w:rPr>
          <w:fldChar w:fldCharType="separate"/>
        </w:r>
        <w:r w:rsidR="001D5AD9">
          <w:rPr>
            <w:webHidden/>
          </w:rPr>
          <w:t>421</w:t>
        </w:r>
        <w:r w:rsidR="00616885">
          <w:rPr>
            <w:webHidden/>
          </w:rPr>
          <w:fldChar w:fldCharType="end"/>
        </w:r>
      </w:hyperlink>
    </w:p>
    <w:p w14:paraId="7A77A011" w14:textId="70E571B5" w:rsidR="00616885" w:rsidRDefault="00000000">
      <w:pPr>
        <w:pStyle w:val="TOC3"/>
        <w:rPr>
          <w:rFonts w:asciiTheme="minorHAnsi" w:eastAsiaTheme="minorEastAsia" w:hAnsiTheme="minorHAnsi" w:cstheme="minorBidi"/>
          <w:szCs w:val="22"/>
          <w:lang w:bidi="ar-SA"/>
        </w:rPr>
      </w:pPr>
      <w:hyperlink w:anchor="_Toc121504114" w:history="1">
        <w:r w:rsidR="00616885" w:rsidRPr="00657503">
          <w:rPr>
            <w:rStyle w:val="Hyperlink"/>
            <w:rFonts w:ascii="Arial Bold" w:hAnsi="Arial Bold"/>
            <w:lang w:eastAsia="en-US"/>
          </w:rPr>
          <w:t>B.3.3</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ES3</w:t>
        </w:r>
        <w:r w:rsidR="00616885">
          <w:rPr>
            <w:webHidden/>
          </w:rPr>
          <w:tab/>
        </w:r>
        <w:r w:rsidR="00616885">
          <w:rPr>
            <w:webHidden/>
          </w:rPr>
          <w:fldChar w:fldCharType="begin"/>
        </w:r>
        <w:r w:rsidR="00616885">
          <w:rPr>
            <w:webHidden/>
          </w:rPr>
          <w:instrText xml:space="preserve"> PAGEREF _Toc121504114 \h </w:instrText>
        </w:r>
        <w:r w:rsidR="00616885">
          <w:rPr>
            <w:webHidden/>
          </w:rPr>
        </w:r>
        <w:r w:rsidR="00616885">
          <w:rPr>
            <w:webHidden/>
          </w:rPr>
          <w:fldChar w:fldCharType="separate"/>
        </w:r>
        <w:r w:rsidR="001D5AD9">
          <w:rPr>
            <w:webHidden/>
          </w:rPr>
          <w:t>425</w:t>
        </w:r>
        <w:r w:rsidR="00616885">
          <w:rPr>
            <w:webHidden/>
          </w:rPr>
          <w:fldChar w:fldCharType="end"/>
        </w:r>
      </w:hyperlink>
    </w:p>
    <w:p w14:paraId="5A44A363" w14:textId="42A43F56" w:rsidR="00616885" w:rsidRDefault="00000000">
      <w:pPr>
        <w:pStyle w:val="TOC3"/>
        <w:rPr>
          <w:rFonts w:asciiTheme="minorHAnsi" w:eastAsiaTheme="minorEastAsia" w:hAnsiTheme="minorHAnsi" w:cstheme="minorBidi"/>
          <w:szCs w:val="22"/>
          <w:lang w:bidi="ar-SA"/>
        </w:rPr>
      </w:pPr>
      <w:hyperlink w:anchor="_Toc121504115" w:history="1">
        <w:r w:rsidR="00616885" w:rsidRPr="00657503">
          <w:rPr>
            <w:rStyle w:val="Hyperlink"/>
            <w:rFonts w:ascii="Arial Bold" w:hAnsi="Arial Bold"/>
            <w:lang w:eastAsia="en-US"/>
          </w:rPr>
          <w:t>B.3.4</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ES4</w:t>
        </w:r>
        <w:r w:rsidR="00616885">
          <w:rPr>
            <w:webHidden/>
          </w:rPr>
          <w:tab/>
        </w:r>
        <w:r w:rsidR="00616885">
          <w:rPr>
            <w:webHidden/>
          </w:rPr>
          <w:fldChar w:fldCharType="begin"/>
        </w:r>
        <w:r w:rsidR="00616885">
          <w:rPr>
            <w:webHidden/>
          </w:rPr>
          <w:instrText xml:space="preserve"> PAGEREF _Toc121504115 \h </w:instrText>
        </w:r>
        <w:r w:rsidR="00616885">
          <w:rPr>
            <w:webHidden/>
          </w:rPr>
        </w:r>
        <w:r w:rsidR="00616885">
          <w:rPr>
            <w:webHidden/>
          </w:rPr>
          <w:fldChar w:fldCharType="separate"/>
        </w:r>
        <w:r w:rsidR="001D5AD9">
          <w:rPr>
            <w:webHidden/>
          </w:rPr>
          <w:t>428</w:t>
        </w:r>
        <w:r w:rsidR="00616885">
          <w:rPr>
            <w:webHidden/>
          </w:rPr>
          <w:fldChar w:fldCharType="end"/>
        </w:r>
      </w:hyperlink>
    </w:p>
    <w:p w14:paraId="163CE682" w14:textId="5E151E99" w:rsidR="00616885" w:rsidRDefault="00000000">
      <w:pPr>
        <w:pStyle w:val="TOC3"/>
        <w:rPr>
          <w:rFonts w:asciiTheme="minorHAnsi" w:eastAsiaTheme="minorEastAsia" w:hAnsiTheme="minorHAnsi" w:cstheme="minorBidi"/>
          <w:szCs w:val="22"/>
          <w:lang w:bidi="ar-SA"/>
        </w:rPr>
      </w:pPr>
      <w:hyperlink w:anchor="_Toc121504116" w:history="1">
        <w:r w:rsidR="00616885" w:rsidRPr="00657503">
          <w:rPr>
            <w:rStyle w:val="Hyperlink"/>
            <w:rFonts w:ascii="Arial Bold" w:hAnsi="Arial Bold"/>
            <w:lang w:eastAsia="en-US"/>
          </w:rPr>
          <w:t>B.3.5</w:t>
        </w:r>
        <w:r w:rsidR="00616885">
          <w:rPr>
            <w:rFonts w:asciiTheme="minorHAnsi" w:eastAsiaTheme="minorEastAsia" w:hAnsiTheme="minorHAnsi" w:cstheme="minorBidi"/>
            <w:szCs w:val="22"/>
            <w:lang w:bidi="ar-SA"/>
          </w:rPr>
          <w:tab/>
        </w:r>
        <w:r w:rsidR="00616885" w:rsidRPr="00657503">
          <w:rPr>
            <w:rStyle w:val="Hyperlink"/>
            <w:rFonts w:ascii="Arial Bold" w:hAnsi="Arial Bold"/>
            <w:lang w:eastAsia="en-US"/>
          </w:rPr>
          <w:t>ES7</w:t>
        </w:r>
        <w:r w:rsidR="00616885">
          <w:rPr>
            <w:webHidden/>
          </w:rPr>
          <w:tab/>
        </w:r>
        <w:r w:rsidR="00616885">
          <w:rPr>
            <w:webHidden/>
          </w:rPr>
          <w:fldChar w:fldCharType="begin"/>
        </w:r>
        <w:r w:rsidR="00616885">
          <w:rPr>
            <w:webHidden/>
          </w:rPr>
          <w:instrText xml:space="preserve"> PAGEREF _Toc121504116 \h </w:instrText>
        </w:r>
        <w:r w:rsidR="00616885">
          <w:rPr>
            <w:webHidden/>
          </w:rPr>
        </w:r>
        <w:r w:rsidR="00616885">
          <w:rPr>
            <w:webHidden/>
          </w:rPr>
          <w:fldChar w:fldCharType="separate"/>
        </w:r>
        <w:r w:rsidR="001D5AD9">
          <w:rPr>
            <w:webHidden/>
          </w:rPr>
          <w:t>432</w:t>
        </w:r>
        <w:r w:rsidR="00616885">
          <w:rPr>
            <w:webHidden/>
          </w:rPr>
          <w:fldChar w:fldCharType="end"/>
        </w:r>
      </w:hyperlink>
    </w:p>
    <w:p w14:paraId="3963BF07" w14:textId="21159ABE" w:rsidR="00616885" w:rsidRDefault="00000000">
      <w:pPr>
        <w:pStyle w:val="TOC3"/>
        <w:rPr>
          <w:rFonts w:asciiTheme="minorHAnsi" w:eastAsiaTheme="minorEastAsia" w:hAnsiTheme="minorHAnsi" w:cstheme="minorBidi"/>
          <w:szCs w:val="22"/>
          <w:lang w:bidi="ar-SA"/>
        </w:rPr>
      </w:pPr>
      <w:hyperlink w:anchor="_Toc121504117" w:history="1">
        <w:r w:rsidR="00616885" w:rsidRPr="00657503">
          <w:rPr>
            <w:rStyle w:val="Hyperlink"/>
            <w:rFonts w:ascii="Arial Bold" w:hAnsi="Arial Bold"/>
          </w:rPr>
          <w:t>B.3.6</w:t>
        </w:r>
        <w:r w:rsidR="00616885">
          <w:rPr>
            <w:rFonts w:asciiTheme="minorHAnsi" w:eastAsiaTheme="minorEastAsia" w:hAnsiTheme="minorHAnsi" w:cstheme="minorBidi"/>
            <w:szCs w:val="22"/>
            <w:lang w:bidi="ar-SA"/>
          </w:rPr>
          <w:tab/>
        </w:r>
        <w:r w:rsidR="00616885" w:rsidRPr="00657503">
          <w:rPr>
            <w:rStyle w:val="Hyperlink"/>
            <w:rFonts w:ascii="Arial Bold" w:hAnsi="Arial Bold"/>
          </w:rPr>
          <w:t>ES4A</w:t>
        </w:r>
        <w:r w:rsidR="00616885">
          <w:rPr>
            <w:webHidden/>
          </w:rPr>
          <w:tab/>
        </w:r>
        <w:r w:rsidR="00616885">
          <w:rPr>
            <w:webHidden/>
          </w:rPr>
          <w:fldChar w:fldCharType="begin"/>
        </w:r>
        <w:r w:rsidR="00616885">
          <w:rPr>
            <w:webHidden/>
          </w:rPr>
          <w:instrText xml:space="preserve"> PAGEREF _Toc121504117 \h </w:instrText>
        </w:r>
        <w:r w:rsidR="00616885">
          <w:rPr>
            <w:webHidden/>
          </w:rPr>
        </w:r>
        <w:r w:rsidR="00616885">
          <w:rPr>
            <w:webHidden/>
          </w:rPr>
          <w:fldChar w:fldCharType="separate"/>
        </w:r>
        <w:r w:rsidR="001D5AD9">
          <w:rPr>
            <w:webHidden/>
          </w:rPr>
          <w:t>433</w:t>
        </w:r>
        <w:r w:rsidR="00616885">
          <w:rPr>
            <w:webHidden/>
          </w:rPr>
          <w:fldChar w:fldCharType="end"/>
        </w:r>
      </w:hyperlink>
    </w:p>
    <w:p w14:paraId="42A4330E" w14:textId="68DA5F72" w:rsidR="00616885" w:rsidRDefault="00000000">
      <w:pPr>
        <w:pStyle w:val="TOC2"/>
        <w:rPr>
          <w:rFonts w:asciiTheme="minorHAnsi" w:eastAsiaTheme="minorEastAsia" w:hAnsiTheme="minorHAnsi" w:cstheme="minorBidi"/>
          <w:szCs w:val="22"/>
          <w:lang w:bidi="ar-SA"/>
        </w:rPr>
      </w:pPr>
      <w:hyperlink w:anchor="_Toc121504118" w:history="1">
        <w:r w:rsidR="00616885" w:rsidRPr="00657503">
          <w:rPr>
            <w:rStyle w:val="Hyperlink"/>
            <w:rFonts w:ascii="Arial Bold" w:hAnsi="Arial Bold"/>
            <w:b/>
          </w:rPr>
          <w:t>B.4</w:t>
        </w:r>
        <w:r w:rsidR="00616885">
          <w:rPr>
            <w:rFonts w:asciiTheme="minorHAnsi" w:eastAsiaTheme="minorEastAsia" w:hAnsiTheme="minorHAnsi" w:cstheme="minorBidi"/>
            <w:szCs w:val="22"/>
            <w:lang w:bidi="ar-SA"/>
          </w:rPr>
          <w:tab/>
        </w:r>
        <w:r w:rsidR="00616885" w:rsidRPr="00657503">
          <w:rPr>
            <w:rStyle w:val="Hyperlink"/>
            <w:rFonts w:ascii="Arial Bold" w:hAnsi="Arial Bold"/>
            <w:b/>
          </w:rPr>
          <w:t>Web Service Description Language (WSDL)</w:t>
        </w:r>
        <w:r w:rsidR="00616885">
          <w:rPr>
            <w:webHidden/>
          </w:rPr>
          <w:tab/>
        </w:r>
        <w:r w:rsidR="00616885">
          <w:rPr>
            <w:webHidden/>
          </w:rPr>
          <w:fldChar w:fldCharType="begin"/>
        </w:r>
        <w:r w:rsidR="00616885">
          <w:rPr>
            <w:webHidden/>
          </w:rPr>
          <w:instrText xml:space="preserve"> PAGEREF _Toc121504118 \h </w:instrText>
        </w:r>
        <w:r w:rsidR="00616885">
          <w:rPr>
            <w:webHidden/>
          </w:rPr>
        </w:r>
        <w:r w:rsidR="00616885">
          <w:rPr>
            <w:webHidden/>
          </w:rPr>
          <w:fldChar w:fldCharType="separate"/>
        </w:r>
        <w:r w:rsidR="001D5AD9">
          <w:rPr>
            <w:webHidden/>
          </w:rPr>
          <w:t>433</w:t>
        </w:r>
        <w:r w:rsidR="00616885">
          <w:rPr>
            <w:webHidden/>
          </w:rPr>
          <w:fldChar w:fldCharType="end"/>
        </w:r>
      </w:hyperlink>
    </w:p>
    <w:p w14:paraId="30476CD0" w14:textId="55581EA5" w:rsidR="00616885" w:rsidRDefault="00000000">
      <w:pPr>
        <w:pStyle w:val="TOC1"/>
        <w:tabs>
          <w:tab w:val="left" w:pos="1248"/>
        </w:tabs>
        <w:rPr>
          <w:rFonts w:asciiTheme="minorHAnsi" w:eastAsiaTheme="minorEastAsia" w:hAnsiTheme="minorHAnsi" w:cstheme="minorBidi"/>
          <w:b w:val="0"/>
          <w:lang w:eastAsia="en-GB" w:bidi="ar-SA"/>
        </w:rPr>
      </w:pPr>
      <w:hyperlink w:anchor="_Toc121504119" w:history="1">
        <w:r w:rsidR="00616885" w:rsidRPr="00657503">
          <w:rPr>
            <w:rStyle w:val="Hyperlink"/>
            <w:lang w:eastAsia="en-US"/>
          </w:rPr>
          <w:t>Annex C</w:t>
        </w:r>
        <w:r w:rsidR="00616885">
          <w:rPr>
            <w:rFonts w:asciiTheme="minorHAnsi" w:eastAsiaTheme="minorEastAsia" w:hAnsiTheme="minorHAnsi" w:cstheme="minorBidi"/>
            <w:b w:val="0"/>
            <w:lang w:eastAsia="en-GB" w:bidi="ar-SA"/>
          </w:rPr>
          <w:tab/>
        </w:r>
        <w:r w:rsidR="00616885" w:rsidRPr="00657503">
          <w:rPr>
            <w:rStyle w:val="Hyperlink"/>
            <w:lang w:eastAsia="en-US"/>
          </w:rPr>
          <w:t>Use of GlobalPlatform Privileges (Normative)</w:t>
        </w:r>
        <w:r w:rsidR="00616885">
          <w:rPr>
            <w:webHidden/>
          </w:rPr>
          <w:tab/>
        </w:r>
        <w:r w:rsidR="00616885">
          <w:rPr>
            <w:webHidden/>
          </w:rPr>
          <w:fldChar w:fldCharType="begin"/>
        </w:r>
        <w:r w:rsidR="00616885">
          <w:rPr>
            <w:webHidden/>
          </w:rPr>
          <w:instrText xml:space="preserve"> PAGEREF _Toc121504119 \h </w:instrText>
        </w:r>
        <w:r w:rsidR="00616885">
          <w:rPr>
            <w:webHidden/>
          </w:rPr>
        </w:r>
        <w:r w:rsidR="00616885">
          <w:rPr>
            <w:webHidden/>
          </w:rPr>
          <w:fldChar w:fldCharType="separate"/>
        </w:r>
        <w:r w:rsidR="001D5AD9">
          <w:rPr>
            <w:webHidden/>
          </w:rPr>
          <w:t>434</w:t>
        </w:r>
        <w:r w:rsidR="00616885">
          <w:rPr>
            <w:webHidden/>
          </w:rPr>
          <w:fldChar w:fldCharType="end"/>
        </w:r>
      </w:hyperlink>
    </w:p>
    <w:p w14:paraId="3F264167" w14:textId="7D29C8A3" w:rsidR="00616885" w:rsidRDefault="00000000">
      <w:pPr>
        <w:pStyle w:val="TOC1"/>
        <w:tabs>
          <w:tab w:val="left" w:pos="1248"/>
        </w:tabs>
        <w:rPr>
          <w:rFonts w:asciiTheme="minorHAnsi" w:eastAsiaTheme="minorEastAsia" w:hAnsiTheme="minorHAnsi" w:cstheme="minorBidi"/>
          <w:b w:val="0"/>
          <w:lang w:eastAsia="en-GB" w:bidi="ar-SA"/>
        </w:rPr>
      </w:pPr>
      <w:hyperlink w:anchor="_Toc121504120" w:history="1">
        <w:r w:rsidR="00616885" w:rsidRPr="00657503">
          <w:rPr>
            <w:rStyle w:val="Hyperlink"/>
            <w:lang w:eastAsia="en-US"/>
          </w:rPr>
          <w:t>Annex D</w:t>
        </w:r>
        <w:r w:rsidR="00616885">
          <w:rPr>
            <w:rFonts w:asciiTheme="minorHAnsi" w:eastAsiaTheme="minorEastAsia" w:hAnsiTheme="minorHAnsi" w:cstheme="minorBidi"/>
            <w:b w:val="0"/>
            <w:lang w:eastAsia="en-GB" w:bidi="ar-SA"/>
          </w:rPr>
          <w:tab/>
        </w:r>
        <w:r w:rsidR="00616885" w:rsidRPr="00657503">
          <w:rPr>
            <w:rStyle w:val="Hyperlink"/>
            <w:lang w:eastAsia="en-US"/>
          </w:rPr>
          <w:t>Data Definitions (Normative)</w:t>
        </w:r>
        <w:r w:rsidR="00616885">
          <w:rPr>
            <w:webHidden/>
          </w:rPr>
          <w:tab/>
        </w:r>
        <w:r w:rsidR="00616885">
          <w:rPr>
            <w:webHidden/>
          </w:rPr>
          <w:fldChar w:fldCharType="begin"/>
        </w:r>
        <w:r w:rsidR="00616885">
          <w:rPr>
            <w:webHidden/>
          </w:rPr>
          <w:instrText xml:space="preserve"> PAGEREF _Toc121504120 \h </w:instrText>
        </w:r>
        <w:r w:rsidR="00616885">
          <w:rPr>
            <w:webHidden/>
          </w:rPr>
        </w:r>
        <w:r w:rsidR="00616885">
          <w:rPr>
            <w:webHidden/>
          </w:rPr>
          <w:fldChar w:fldCharType="separate"/>
        </w:r>
        <w:r w:rsidR="001D5AD9">
          <w:rPr>
            <w:webHidden/>
          </w:rPr>
          <w:t>440</w:t>
        </w:r>
        <w:r w:rsidR="00616885">
          <w:rPr>
            <w:webHidden/>
          </w:rPr>
          <w:fldChar w:fldCharType="end"/>
        </w:r>
      </w:hyperlink>
    </w:p>
    <w:p w14:paraId="39A7DE17" w14:textId="5AC14DFB" w:rsidR="00616885" w:rsidRDefault="00000000">
      <w:pPr>
        <w:pStyle w:val="TOC1"/>
        <w:tabs>
          <w:tab w:val="left" w:pos="1248"/>
        </w:tabs>
        <w:rPr>
          <w:rFonts w:asciiTheme="minorHAnsi" w:eastAsiaTheme="minorEastAsia" w:hAnsiTheme="minorHAnsi" w:cstheme="minorBidi"/>
          <w:b w:val="0"/>
          <w:lang w:eastAsia="en-GB" w:bidi="ar-SA"/>
        </w:rPr>
      </w:pPr>
      <w:hyperlink w:anchor="_Toc121504121" w:history="1">
        <w:r w:rsidR="00616885" w:rsidRPr="00657503">
          <w:rPr>
            <w:rStyle w:val="Hyperlink"/>
            <w:lang w:eastAsia="en-US"/>
          </w:rPr>
          <w:t>Annex E</w:t>
        </w:r>
        <w:r w:rsidR="00616885">
          <w:rPr>
            <w:rFonts w:asciiTheme="minorHAnsi" w:eastAsiaTheme="minorEastAsia" w:hAnsiTheme="minorHAnsi" w:cstheme="minorBidi"/>
            <w:b w:val="0"/>
            <w:lang w:eastAsia="en-GB" w:bidi="ar-SA"/>
          </w:rPr>
          <w:tab/>
        </w:r>
        <w:r w:rsidR="00616885" w:rsidRPr="00657503">
          <w:rPr>
            <w:rStyle w:val="Hyperlink"/>
            <w:lang w:eastAsia="en-US"/>
          </w:rPr>
          <w:t>EIS Usage in Functions (Normative)</w:t>
        </w:r>
        <w:r w:rsidR="00616885">
          <w:rPr>
            <w:webHidden/>
          </w:rPr>
          <w:tab/>
        </w:r>
        <w:r w:rsidR="00616885">
          <w:rPr>
            <w:webHidden/>
          </w:rPr>
          <w:fldChar w:fldCharType="begin"/>
        </w:r>
        <w:r w:rsidR="00616885">
          <w:rPr>
            <w:webHidden/>
          </w:rPr>
          <w:instrText xml:space="preserve"> PAGEREF _Toc121504121 \h </w:instrText>
        </w:r>
        <w:r w:rsidR="00616885">
          <w:rPr>
            <w:webHidden/>
          </w:rPr>
        </w:r>
        <w:r w:rsidR="00616885">
          <w:rPr>
            <w:webHidden/>
          </w:rPr>
          <w:fldChar w:fldCharType="separate"/>
        </w:r>
        <w:r w:rsidR="001D5AD9">
          <w:rPr>
            <w:webHidden/>
          </w:rPr>
          <w:t>440</w:t>
        </w:r>
        <w:r w:rsidR="00616885">
          <w:rPr>
            <w:webHidden/>
          </w:rPr>
          <w:fldChar w:fldCharType="end"/>
        </w:r>
      </w:hyperlink>
    </w:p>
    <w:p w14:paraId="77FFF1BE" w14:textId="671B2BC9" w:rsidR="00616885" w:rsidRDefault="00000000">
      <w:pPr>
        <w:pStyle w:val="TOC1"/>
        <w:tabs>
          <w:tab w:val="left" w:pos="1248"/>
        </w:tabs>
        <w:rPr>
          <w:rFonts w:asciiTheme="minorHAnsi" w:eastAsiaTheme="minorEastAsia" w:hAnsiTheme="minorHAnsi" w:cstheme="minorBidi"/>
          <w:b w:val="0"/>
          <w:lang w:eastAsia="en-GB" w:bidi="ar-SA"/>
        </w:rPr>
      </w:pPr>
      <w:hyperlink w:anchor="_Toc121504122" w:history="1">
        <w:r w:rsidR="00616885" w:rsidRPr="00657503">
          <w:rPr>
            <w:rStyle w:val="Hyperlink"/>
            <w:lang w:eastAsia="en-US"/>
          </w:rPr>
          <w:t>Annex F</w:t>
        </w:r>
        <w:r w:rsidR="00616885">
          <w:rPr>
            <w:rFonts w:asciiTheme="minorHAnsi" w:eastAsiaTheme="minorEastAsia" w:hAnsiTheme="minorHAnsi" w:cstheme="minorBidi"/>
            <w:b w:val="0"/>
            <w:lang w:eastAsia="en-GB" w:bidi="ar-SA"/>
          </w:rPr>
          <w:tab/>
        </w:r>
        <w:r w:rsidR="00616885" w:rsidRPr="00657503">
          <w:rPr>
            <w:rStyle w:val="Hyperlink"/>
            <w:lang w:eastAsia="en-US"/>
          </w:rPr>
          <w:t>Key Check Values (Normative)</w:t>
        </w:r>
        <w:r w:rsidR="00616885">
          <w:rPr>
            <w:webHidden/>
          </w:rPr>
          <w:tab/>
        </w:r>
        <w:r w:rsidR="00616885">
          <w:rPr>
            <w:webHidden/>
          </w:rPr>
          <w:fldChar w:fldCharType="begin"/>
        </w:r>
        <w:r w:rsidR="00616885">
          <w:rPr>
            <w:webHidden/>
          </w:rPr>
          <w:instrText xml:space="preserve"> PAGEREF _Toc121504122 \h </w:instrText>
        </w:r>
        <w:r w:rsidR="00616885">
          <w:rPr>
            <w:webHidden/>
          </w:rPr>
        </w:r>
        <w:r w:rsidR="00616885">
          <w:rPr>
            <w:webHidden/>
          </w:rPr>
          <w:fldChar w:fldCharType="separate"/>
        </w:r>
        <w:r w:rsidR="001D5AD9">
          <w:rPr>
            <w:webHidden/>
          </w:rPr>
          <w:t>443</w:t>
        </w:r>
        <w:r w:rsidR="00616885">
          <w:rPr>
            <w:webHidden/>
          </w:rPr>
          <w:fldChar w:fldCharType="end"/>
        </w:r>
      </w:hyperlink>
    </w:p>
    <w:p w14:paraId="30E9FA9D" w14:textId="769317B7" w:rsidR="00616885" w:rsidRDefault="00000000">
      <w:pPr>
        <w:pStyle w:val="TOC1"/>
        <w:tabs>
          <w:tab w:val="left" w:pos="1248"/>
        </w:tabs>
        <w:rPr>
          <w:rFonts w:asciiTheme="minorHAnsi" w:eastAsiaTheme="minorEastAsia" w:hAnsiTheme="minorHAnsi" w:cstheme="minorBidi"/>
          <w:b w:val="0"/>
          <w:lang w:eastAsia="en-GB" w:bidi="ar-SA"/>
        </w:rPr>
      </w:pPr>
      <w:hyperlink w:anchor="_Toc121504123" w:history="1">
        <w:r w:rsidR="00616885" w:rsidRPr="00657503">
          <w:rPr>
            <w:rStyle w:val="Hyperlink"/>
            <w:lang w:eastAsia="en-US"/>
          </w:rPr>
          <w:t>Annex G</w:t>
        </w:r>
        <w:r w:rsidR="00616885">
          <w:rPr>
            <w:rFonts w:asciiTheme="minorHAnsi" w:eastAsiaTheme="minorEastAsia" w:hAnsiTheme="minorHAnsi" w:cstheme="minorBidi"/>
            <w:b w:val="0"/>
            <w:lang w:eastAsia="en-GB" w:bidi="ar-SA"/>
          </w:rPr>
          <w:tab/>
        </w:r>
        <w:r w:rsidR="00616885" w:rsidRPr="00657503">
          <w:rPr>
            <w:rStyle w:val="Hyperlink"/>
            <w:lang w:eastAsia="en-US"/>
          </w:rPr>
          <w:t>Device Requirements (Normative)</w:t>
        </w:r>
        <w:r w:rsidR="00616885">
          <w:rPr>
            <w:webHidden/>
          </w:rPr>
          <w:tab/>
        </w:r>
        <w:r w:rsidR="00616885">
          <w:rPr>
            <w:webHidden/>
          </w:rPr>
          <w:fldChar w:fldCharType="begin"/>
        </w:r>
        <w:r w:rsidR="00616885">
          <w:rPr>
            <w:webHidden/>
          </w:rPr>
          <w:instrText xml:space="preserve"> PAGEREF _Toc121504123 \h </w:instrText>
        </w:r>
        <w:r w:rsidR="00616885">
          <w:rPr>
            <w:webHidden/>
          </w:rPr>
        </w:r>
        <w:r w:rsidR="00616885">
          <w:rPr>
            <w:webHidden/>
          </w:rPr>
          <w:fldChar w:fldCharType="separate"/>
        </w:r>
        <w:r w:rsidR="001D5AD9">
          <w:rPr>
            <w:webHidden/>
          </w:rPr>
          <w:t>443</w:t>
        </w:r>
        <w:r w:rsidR="00616885">
          <w:rPr>
            <w:webHidden/>
          </w:rPr>
          <w:fldChar w:fldCharType="end"/>
        </w:r>
      </w:hyperlink>
    </w:p>
    <w:p w14:paraId="1B4024CA" w14:textId="51AFC942" w:rsidR="00616885" w:rsidRDefault="00000000">
      <w:pPr>
        <w:pStyle w:val="TOC1"/>
        <w:tabs>
          <w:tab w:val="left" w:pos="1248"/>
        </w:tabs>
        <w:rPr>
          <w:rFonts w:asciiTheme="minorHAnsi" w:eastAsiaTheme="minorEastAsia" w:hAnsiTheme="minorHAnsi" w:cstheme="minorBidi"/>
          <w:b w:val="0"/>
          <w:lang w:eastAsia="en-GB" w:bidi="ar-SA"/>
        </w:rPr>
      </w:pPr>
      <w:hyperlink w:anchor="_Toc121504124" w:history="1">
        <w:r w:rsidR="00616885" w:rsidRPr="00657503">
          <w:rPr>
            <w:rStyle w:val="Hyperlink"/>
            <w:lang w:eastAsia="en-US"/>
          </w:rPr>
          <w:t>Annex H</w:t>
        </w:r>
        <w:r w:rsidR="00616885">
          <w:rPr>
            <w:rFonts w:asciiTheme="minorHAnsi" w:eastAsiaTheme="minorEastAsia" w:hAnsiTheme="minorHAnsi" w:cstheme="minorBidi"/>
            <w:b w:val="0"/>
            <w:lang w:eastAsia="en-GB" w:bidi="ar-SA"/>
          </w:rPr>
          <w:tab/>
        </w:r>
        <w:r w:rsidR="00616885" w:rsidRPr="00657503">
          <w:rPr>
            <w:rStyle w:val="Hyperlink"/>
            <w:lang w:eastAsia="en-US"/>
          </w:rPr>
          <w:t>Coding of the PIX for ‘Embedded UICC Remote Provisioning and Management’ (Normative)</w:t>
        </w:r>
        <w:r w:rsidR="00616885">
          <w:rPr>
            <w:webHidden/>
          </w:rPr>
          <w:tab/>
        </w:r>
        <w:r w:rsidR="00616885">
          <w:rPr>
            <w:webHidden/>
          </w:rPr>
          <w:fldChar w:fldCharType="begin"/>
        </w:r>
        <w:r w:rsidR="00616885">
          <w:rPr>
            <w:webHidden/>
          </w:rPr>
          <w:instrText xml:space="preserve"> PAGEREF _Toc121504124 \h </w:instrText>
        </w:r>
        <w:r w:rsidR="00616885">
          <w:rPr>
            <w:webHidden/>
          </w:rPr>
        </w:r>
        <w:r w:rsidR="00616885">
          <w:rPr>
            <w:webHidden/>
          </w:rPr>
          <w:fldChar w:fldCharType="separate"/>
        </w:r>
        <w:r w:rsidR="001D5AD9">
          <w:rPr>
            <w:webHidden/>
          </w:rPr>
          <w:t>445</w:t>
        </w:r>
        <w:r w:rsidR="00616885">
          <w:rPr>
            <w:webHidden/>
          </w:rPr>
          <w:fldChar w:fldCharType="end"/>
        </w:r>
      </w:hyperlink>
    </w:p>
    <w:p w14:paraId="06D0255D" w14:textId="32A1CC36" w:rsidR="00616885" w:rsidRDefault="00000000">
      <w:pPr>
        <w:pStyle w:val="TOC1"/>
        <w:tabs>
          <w:tab w:val="left" w:pos="1248"/>
        </w:tabs>
        <w:rPr>
          <w:rFonts w:asciiTheme="minorHAnsi" w:eastAsiaTheme="minorEastAsia" w:hAnsiTheme="minorHAnsi" w:cstheme="minorBidi"/>
          <w:b w:val="0"/>
          <w:lang w:eastAsia="en-GB" w:bidi="ar-SA"/>
        </w:rPr>
      </w:pPr>
      <w:hyperlink w:anchor="_Toc121504125" w:history="1">
        <w:r w:rsidR="00616885" w:rsidRPr="00657503">
          <w:rPr>
            <w:rStyle w:val="Hyperlink"/>
            <w:lang w:eastAsia="en-US"/>
          </w:rPr>
          <w:t>Annex I</w:t>
        </w:r>
        <w:r w:rsidR="00616885">
          <w:rPr>
            <w:rFonts w:asciiTheme="minorHAnsi" w:eastAsiaTheme="minorEastAsia" w:hAnsiTheme="minorHAnsi" w:cstheme="minorBidi"/>
            <w:b w:val="0"/>
            <w:lang w:eastAsia="en-GB" w:bidi="ar-SA"/>
          </w:rPr>
          <w:tab/>
        </w:r>
        <w:r w:rsidR="00616885" w:rsidRPr="00657503">
          <w:rPr>
            <w:rStyle w:val="Hyperlink"/>
            <w:lang w:eastAsia="en-US"/>
          </w:rPr>
          <w:t>List of Identifiers (Normative)</w:t>
        </w:r>
        <w:r w:rsidR="00616885">
          <w:rPr>
            <w:webHidden/>
          </w:rPr>
          <w:tab/>
        </w:r>
        <w:r w:rsidR="00616885">
          <w:rPr>
            <w:webHidden/>
          </w:rPr>
          <w:fldChar w:fldCharType="begin"/>
        </w:r>
        <w:r w:rsidR="00616885">
          <w:rPr>
            <w:webHidden/>
          </w:rPr>
          <w:instrText xml:space="preserve"> PAGEREF _Toc121504125 \h </w:instrText>
        </w:r>
        <w:r w:rsidR="00616885">
          <w:rPr>
            <w:webHidden/>
          </w:rPr>
        </w:r>
        <w:r w:rsidR="00616885">
          <w:rPr>
            <w:webHidden/>
          </w:rPr>
          <w:fldChar w:fldCharType="separate"/>
        </w:r>
        <w:r w:rsidR="001D5AD9">
          <w:rPr>
            <w:webHidden/>
          </w:rPr>
          <w:t>446</w:t>
        </w:r>
        <w:r w:rsidR="00616885">
          <w:rPr>
            <w:webHidden/>
          </w:rPr>
          <w:fldChar w:fldCharType="end"/>
        </w:r>
      </w:hyperlink>
    </w:p>
    <w:p w14:paraId="7A361B4D" w14:textId="76DFEAC4" w:rsidR="00616885" w:rsidRDefault="00000000">
      <w:pPr>
        <w:pStyle w:val="TOC1"/>
        <w:tabs>
          <w:tab w:val="left" w:pos="1248"/>
        </w:tabs>
        <w:rPr>
          <w:rFonts w:asciiTheme="minorHAnsi" w:eastAsiaTheme="minorEastAsia" w:hAnsiTheme="minorHAnsi" w:cstheme="minorBidi"/>
          <w:b w:val="0"/>
          <w:lang w:eastAsia="en-GB" w:bidi="ar-SA"/>
        </w:rPr>
      </w:pPr>
      <w:hyperlink w:anchor="_Toc121504126" w:history="1">
        <w:r w:rsidR="00616885" w:rsidRPr="00657503">
          <w:rPr>
            <w:rStyle w:val="Hyperlink"/>
            <w:lang w:eastAsia="en-US"/>
          </w:rPr>
          <w:t>Annex J</w:t>
        </w:r>
        <w:r w:rsidR="00616885">
          <w:rPr>
            <w:rFonts w:asciiTheme="minorHAnsi" w:eastAsiaTheme="minorEastAsia" w:hAnsiTheme="minorHAnsi" w:cstheme="minorBidi"/>
            <w:b w:val="0"/>
            <w:lang w:eastAsia="en-GB" w:bidi="ar-SA"/>
          </w:rPr>
          <w:tab/>
        </w:r>
        <w:r w:rsidR="00616885" w:rsidRPr="00657503">
          <w:rPr>
            <w:rStyle w:val="Hyperlink"/>
            <w:lang w:eastAsia="en-US"/>
          </w:rPr>
          <w:t>Verification of EID (Informative)</w:t>
        </w:r>
        <w:r w:rsidR="00616885">
          <w:rPr>
            <w:webHidden/>
          </w:rPr>
          <w:tab/>
        </w:r>
        <w:r w:rsidR="00616885">
          <w:rPr>
            <w:webHidden/>
          </w:rPr>
          <w:fldChar w:fldCharType="begin"/>
        </w:r>
        <w:r w:rsidR="00616885">
          <w:rPr>
            <w:webHidden/>
          </w:rPr>
          <w:instrText xml:space="preserve"> PAGEREF _Toc121504126 \h </w:instrText>
        </w:r>
        <w:r w:rsidR="00616885">
          <w:rPr>
            <w:webHidden/>
          </w:rPr>
        </w:r>
        <w:r w:rsidR="00616885">
          <w:rPr>
            <w:webHidden/>
          </w:rPr>
          <w:fldChar w:fldCharType="separate"/>
        </w:r>
        <w:r w:rsidR="001D5AD9">
          <w:rPr>
            <w:webHidden/>
          </w:rPr>
          <w:t>447</w:t>
        </w:r>
        <w:r w:rsidR="00616885">
          <w:rPr>
            <w:webHidden/>
          </w:rPr>
          <w:fldChar w:fldCharType="end"/>
        </w:r>
      </w:hyperlink>
    </w:p>
    <w:p w14:paraId="08C253DC" w14:textId="7F344436" w:rsidR="00616885" w:rsidRDefault="00000000">
      <w:pPr>
        <w:pStyle w:val="TOC1"/>
        <w:tabs>
          <w:tab w:val="left" w:pos="1248"/>
        </w:tabs>
        <w:rPr>
          <w:rFonts w:asciiTheme="minorHAnsi" w:eastAsiaTheme="minorEastAsia" w:hAnsiTheme="minorHAnsi" w:cstheme="minorBidi"/>
          <w:b w:val="0"/>
          <w:lang w:eastAsia="en-GB" w:bidi="ar-SA"/>
        </w:rPr>
      </w:pPr>
      <w:hyperlink w:anchor="_Toc121504127" w:history="1">
        <w:r w:rsidR="00616885" w:rsidRPr="00657503">
          <w:rPr>
            <w:rStyle w:val="Hyperlink"/>
            <w:lang w:eastAsia="en-US"/>
          </w:rPr>
          <w:t>Annex K</w:t>
        </w:r>
        <w:r w:rsidR="00616885">
          <w:rPr>
            <w:rFonts w:asciiTheme="minorHAnsi" w:eastAsiaTheme="minorEastAsia" w:hAnsiTheme="minorHAnsi" w:cstheme="minorBidi"/>
            <w:b w:val="0"/>
            <w:lang w:eastAsia="en-GB" w:bidi="ar-SA"/>
          </w:rPr>
          <w:tab/>
        </w:r>
        <w:r w:rsidR="00616885" w:rsidRPr="00657503">
          <w:rPr>
            <w:rStyle w:val="Hyperlink"/>
            <w:lang w:eastAsia="en-US"/>
          </w:rPr>
          <w:t>: Script Chaining implementation (Informative)</w:t>
        </w:r>
        <w:r w:rsidR="00616885">
          <w:rPr>
            <w:webHidden/>
          </w:rPr>
          <w:tab/>
        </w:r>
        <w:r w:rsidR="00616885">
          <w:rPr>
            <w:webHidden/>
          </w:rPr>
          <w:fldChar w:fldCharType="begin"/>
        </w:r>
        <w:r w:rsidR="00616885">
          <w:rPr>
            <w:webHidden/>
          </w:rPr>
          <w:instrText xml:space="preserve"> PAGEREF _Toc121504127 \h </w:instrText>
        </w:r>
        <w:r w:rsidR="00616885">
          <w:rPr>
            <w:webHidden/>
          </w:rPr>
        </w:r>
        <w:r w:rsidR="00616885">
          <w:rPr>
            <w:webHidden/>
          </w:rPr>
          <w:fldChar w:fldCharType="separate"/>
        </w:r>
        <w:r w:rsidR="001D5AD9">
          <w:rPr>
            <w:webHidden/>
          </w:rPr>
          <w:t>447</w:t>
        </w:r>
        <w:r w:rsidR="00616885">
          <w:rPr>
            <w:webHidden/>
          </w:rPr>
          <w:fldChar w:fldCharType="end"/>
        </w:r>
      </w:hyperlink>
    </w:p>
    <w:p w14:paraId="2217CE34" w14:textId="45A8272C" w:rsidR="00616885" w:rsidRDefault="00000000">
      <w:pPr>
        <w:pStyle w:val="TOC1"/>
        <w:tabs>
          <w:tab w:val="left" w:pos="1248"/>
        </w:tabs>
        <w:rPr>
          <w:rFonts w:asciiTheme="minorHAnsi" w:eastAsiaTheme="minorEastAsia" w:hAnsiTheme="minorHAnsi" w:cstheme="minorBidi"/>
          <w:b w:val="0"/>
          <w:lang w:eastAsia="en-GB" w:bidi="ar-SA"/>
        </w:rPr>
      </w:pPr>
      <w:hyperlink w:anchor="_Toc121504128" w:history="1">
        <w:r w:rsidR="00616885" w:rsidRPr="00657503">
          <w:rPr>
            <w:rStyle w:val="Hyperlink"/>
          </w:rPr>
          <w:t>Annex L</w:t>
        </w:r>
        <w:r w:rsidR="00616885">
          <w:rPr>
            <w:rFonts w:asciiTheme="minorHAnsi" w:eastAsiaTheme="minorEastAsia" w:hAnsiTheme="minorHAnsi" w:cstheme="minorBidi"/>
            <w:b w:val="0"/>
            <w:lang w:eastAsia="en-GB" w:bidi="ar-SA"/>
          </w:rPr>
          <w:tab/>
        </w:r>
        <w:r w:rsidR="00616885" w:rsidRPr="00657503">
          <w:rPr>
            <w:rStyle w:val="Hyperlink"/>
          </w:rPr>
          <w:t>Examples of PLMA Setting (Informative)</w:t>
        </w:r>
        <w:r w:rsidR="00616885">
          <w:rPr>
            <w:webHidden/>
          </w:rPr>
          <w:tab/>
        </w:r>
        <w:r w:rsidR="00616885">
          <w:rPr>
            <w:webHidden/>
          </w:rPr>
          <w:fldChar w:fldCharType="begin"/>
        </w:r>
        <w:r w:rsidR="00616885">
          <w:rPr>
            <w:webHidden/>
          </w:rPr>
          <w:instrText xml:space="preserve"> PAGEREF _Toc121504128 \h </w:instrText>
        </w:r>
        <w:r w:rsidR="00616885">
          <w:rPr>
            <w:webHidden/>
          </w:rPr>
        </w:r>
        <w:r w:rsidR="00616885">
          <w:rPr>
            <w:webHidden/>
          </w:rPr>
          <w:fldChar w:fldCharType="separate"/>
        </w:r>
        <w:r w:rsidR="001D5AD9">
          <w:rPr>
            <w:webHidden/>
          </w:rPr>
          <w:t>449</w:t>
        </w:r>
        <w:r w:rsidR="00616885">
          <w:rPr>
            <w:webHidden/>
          </w:rPr>
          <w:fldChar w:fldCharType="end"/>
        </w:r>
      </w:hyperlink>
    </w:p>
    <w:p w14:paraId="064E6BF9" w14:textId="4155CD86" w:rsidR="00616885" w:rsidRDefault="00000000">
      <w:pPr>
        <w:pStyle w:val="TOC1"/>
        <w:tabs>
          <w:tab w:val="left" w:pos="1248"/>
        </w:tabs>
        <w:rPr>
          <w:rFonts w:asciiTheme="minorHAnsi" w:eastAsiaTheme="minorEastAsia" w:hAnsiTheme="minorHAnsi" w:cstheme="minorBidi"/>
          <w:b w:val="0"/>
          <w:lang w:eastAsia="en-GB" w:bidi="ar-SA"/>
        </w:rPr>
      </w:pPr>
      <w:hyperlink w:anchor="_Toc121504129" w:history="1">
        <w:r w:rsidR="00616885" w:rsidRPr="00657503">
          <w:rPr>
            <w:rStyle w:val="Hyperlink"/>
          </w:rPr>
          <w:t>Annex M</w:t>
        </w:r>
        <w:r w:rsidR="00616885">
          <w:rPr>
            <w:rFonts w:asciiTheme="minorHAnsi" w:eastAsiaTheme="minorEastAsia" w:hAnsiTheme="minorHAnsi" w:cstheme="minorBidi"/>
            <w:b w:val="0"/>
            <w:lang w:eastAsia="en-GB" w:bidi="ar-SA"/>
          </w:rPr>
          <w:tab/>
        </w:r>
        <w:r w:rsidR="00616885" w:rsidRPr="00657503">
          <w:rPr>
            <w:rStyle w:val="Hyperlink"/>
          </w:rPr>
          <w:t>Examples of ONC Setting (Informative)</w:t>
        </w:r>
        <w:r w:rsidR="00616885">
          <w:rPr>
            <w:webHidden/>
          </w:rPr>
          <w:tab/>
        </w:r>
        <w:r w:rsidR="00616885">
          <w:rPr>
            <w:webHidden/>
          </w:rPr>
          <w:fldChar w:fldCharType="begin"/>
        </w:r>
        <w:r w:rsidR="00616885">
          <w:rPr>
            <w:webHidden/>
          </w:rPr>
          <w:instrText xml:space="preserve"> PAGEREF _Toc121504129 \h </w:instrText>
        </w:r>
        <w:r w:rsidR="00616885">
          <w:rPr>
            <w:webHidden/>
          </w:rPr>
        </w:r>
        <w:r w:rsidR="00616885">
          <w:rPr>
            <w:webHidden/>
          </w:rPr>
          <w:fldChar w:fldCharType="separate"/>
        </w:r>
        <w:r w:rsidR="001D5AD9">
          <w:rPr>
            <w:webHidden/>
          </w:rPr>
          <w:t>450</w:t>
        </w:r>
        <w:r w:rsidR="00616885">
          <w:rPr>
            <w:webHidden/>
          </w:rPr>
          <w:fldChar w:fldCharType="end"/>
        </w:r>
      </w:hyperlink>
    </w:p>
    <w:p w14:paraId="0990E316" w14:textId="72B778C0" w:rsidR="00616885" w:rsidRDefault="00000000">
      <w:pPr>
        <w:pStyle w:val="TOC1"/>
        <w:tabs>
          <w:tab w:val="left" w:pos="1248"/>
        </w:tabs>
        <w:rPr>
          <w:rFonts w:asciiTheme="minorHAnsi" w:eastAsiaTheme="minorEastAsia" w:hAnsiTheme="minorHAnsi" w:cstheme="minorBidi"/>
          <w:b w:val="0"/>
          <w:lang w:eastAsia="en-GB" w:bidi="ar-SA"/>
        </w:rPr>
      </w:pPr>
      <w:hyperlink w:anchor="_Toc121504130" w:history="1">
        <w:r w:rsidR="00616885" w:rsidRPr="00657503">
          <w:rPr>
            <w:rStyle w:val="Hyperlink"/>
            <w:lang w:eastAsia="en-US"/>
          </w:rPr>
          <w:t>Annex N</w:t>
        </w:r>
        <w:r w:rsidR="00616885">
          <w:rPr>
            <w:rFonts w:asciiTheme="minorHAnsi" w:eastAsiaTheme="minorEastAsia" w:hAnsiTheme="minorHAnsi" w:cstheme="minorBidi"/>
            <w:b w:val="0"/>
            <w:lang w:eastAsia="en-GB" w:bidi="ar-SA"/>
          </w:rPr>
          <w:tab/>
        </w:r>
        <w:r w:rsidR="00616885" w:rsidRPr="00657503">
          <w:rPr>
            <w:rStyle w:val="Hyperlink"/>
            <w:lang w:eastAsia="en-US"/>
          </w:rPr>
          <w:t>Document Management (Informative)</w:t>
        </w:r>
        <w:r w:rsidR="00616885">
          <w:rPr>
            <w:webHidden/>
          </w:rPr>
          <w:tab/>
        </w:r>
        <w:r w:rsidR="00616885">
          <w:rPr>
            <w:webHidden/>
          </w:rPr>
          <w:fldChar w:fldCharType="begin"/>
        </w:r>
        <w:r w:rsidR="00616885">
          <w:rPr>
            <w:webHidden/>
          </w:rPr>
          <w:instrText xml:space="preserve"> PAGEREF _Toc121504130 \h </w:instrText>
        </w:r>
        <w:r w:rsidR="00616885">
          <w:rPr>
            <w:webHidden/>
          </w:rPr>
        </w:r>
        <w:r w:rsidR="00616885">
          <w:rPr>
            <w:webHidden/>
          </w:rPr>
          <w:fldChar w:fldCharType="separate"/>
        </w:r>
        <w:r w:rsidR="001D5AD9">
          <w:rPr>
            <w:webHidden/>
          </w:rPr>
          <w:t>451</w:t>
        </w:r>
        <w:r w:rsidR="00616885">
          <w:rPr>
            <w:webHidden/>
          </w:rPr>
          <w:fldChar w:fldCharType="end"/>
        </w:r>
      </w:hyperlink>
    </w:p>
    <w:p w14:paraId="16647C3E" w14:textId="395855F0" w:rsidR="00616885" w:rsidRDefault="00000000">
      <w:pPr>
        <w:pStyle w:val="TOC2"/>
        <w:rPr>
          <w:rFonts w:asciiTheme="minorHAnsi" w:eastAsiaTheme="minorEastAsia" w:hAnsiTheme="minorHAnsi" w:cstheme="minorBidi"/>
          <w:szCs w:val="22"/>
          <w:lang w:bidi="ar-SA"/>
        </w:rPr>
      </w:pPr>
      <w:hyperlink w:anchor="_Toc121504131" w:history="1">
        <w:r w:rsidR="00616885" w:rsidRPr="00657503">
          <w:rPr>
            <w:rStyle w:val="Hyperlink"/>
            <w:rFonts w:ascii="Arial Bold" w:hAnsi="Arial Bold"/>
            <w:b/>
          </w:rPr>
          <w:t>N.1</w:t>
        </w:r>
        <w:r w:rsidR="00616885">
          <w:rPr>
            <w:rFonts w:asciiTheme="minorHAnsi" w:eastAsiaTheme="minorEastAsia" w:hAnsiTheme="minorHAnsi" w:cstheme="minorBidi"/>
            <w:szCs w:val="22"/>
            <w:lang w:bidi="ar-SA"/>
          </w:rPr>
          <w:tab/>
        </w:r>
        <w:r w:rsidR="00616885" w:rsidRPr="00657503">
          <w:rPr>
            <w:rStyle w:val="Hyperlink"/>
            <w:rFonts w:ascii="Arial Bold" w:hAnsi="Arial Bold"/>
            <w:b/>
          </w:rPr>
          <w:t>Document History</w:t>
        </w:r>
        <w:r w:rsidR="00616885">
          <w:rPr>
            <w:webHidden/>
          </w:rPr>
          <w:tab/>
        </w:r>
        <w:r w:rsidR="00616885">
          <w:rPr>
            <w:webHidden/>
          </w:rPr>
          <w:fldChar w:fldCharType="begin"/>
        </w:r>
        <w:r w:rsidR="00616885">
          <w:rPr>
            <w:webHidden/>
          </w:rPr>
          <w:instrText xml:space="preserve"> PAGEREF _Toc121504131 \h </w:instrText>
        </w:r>
        <w:r w:rsidR="00616885">
          <w:rPr>
            <w:webHidden/>
          </w:rPr>
        </w:r>
        <w:r w:rsidR="00616885">
          <w:rPr>
            <w:webHidden/>
          </w:rPr>
          <w:fldChar w:fldCharType="separate"/>
        </w:r>
        <w:r w:rsidR="001D5AD9">
          <w:rPr>
            <w:webHidden/>
          </w:rPr>
          <w:t>451</w:t>
        </w:r>
        <w:r w:rsidR="00616885">
          <w:rPr>
            <w:webHidden/>
          </w:rPr>
          <w:fldChar w:fldCharType="end"/>
        </w:r>
      </w:hyperlink>
    </w:p>
    <w:p w14:paraId="27FF014F" w14:textId="633924B9" w:rsidR="00616885" w:rsidRDefault="00000000">
      <w:pPr>
        <w:pStyle w:val="TOC2"/>
        <w:rPr>
          <w:rFonts w:asciiTheme="minorHAnsi" w:eastAsiaTheme="minorEastAsia" w:hAnsiTheme="minorHAnsi" w:cstheme="minorBidi"/>
          <w:szCs w:val="22"/>
          <w:lang w:bidi="ar-SA"/>
        </w:rPr>
      </w:pPr>
      <w:hyperlink w:anchor="_Toc121504132" w:history="1">
        <w:r w:rsidR="00616885" w:rsidRPr="00657503">
          <w:rPr>
            <w:rStyle w:val="Hyperlink"/>
            <w:rFonts w:ascii="Arial Bold" w:hAnsi="Arial Bold"/>
            <w:b/>
          </w:rPr>
          <w:t>N.2</w:t>
        </w:r>
        <w:r w:rsidR="00616885">
          <w:rPr>
            <w:rFonts w:asciiTheme="minorHAnsi" w:eastAsiaTheme="minorEastAsia" w:hAnsiTheme="minorHAnsi" w:cstheme="minorBidi"/>
            <w:szCs w:val="22"/>
            <w:lang w:bidi="ar-SA"/>
          </w:rPr>
          <w:tab/>
        </w:r>
        <w:r w:rsidR="00616885" w:rsidRPr="00657503">
          <w:rPr>
            <w:rStyle w:val="Hyperlink"/>
            <w:rFonts w:ascii="Arial Bold" w:hAnsi="Arial Bold"/>
            <w:b/>
          </w:rPr>
          <w:t>Other Information</w:t>
        </w:r>
        <w:r w:rsidR="00616885">
          <w:rPr>
            <w:webHidden/>
          </w:rPr>
          <w:tab/>
        </w:r>
        <w:r w:rsidR="00616885">
          <w:rPr>
            <w:webHidden/>
          </w:rPr>
          <w:fldChar w:fldCharType="begin"/>
        </w:r>
        <w:r w:rsidR="00616885">
          <w:rPr>
            <w:webHidden/>
          </w:rPr>
          <w:instrText xml:space="preserve"> PAGEREF _Toc121504132 \h </w:instrText>
        </w:r>
        <w:r w:rsidR="00616885">
          <w:rPr>
            <w:webHidden/>
          </w:rPr>
        </w:r>
        <w:r w:rsidR="00616885">
          <w:rPr>
            <w:webHidden/>
          </w:rPr>
          <w:fldChar w:fldCharType="separate"/>
        </w:r>
        <w:r w:rsidR="001D5AD9">
          <w:rPr>
            <w:webHidden/>
          </w:rPr>
          <w:t>453</w:t>
        </w:r>
        <w:r w:rsidR="00616885">
          <w:rPr>
            <w:webHidden/>
          </w:rPr>
          <w:fldChar w:fldCharType="end"/>
        </w:r>
      </w:hyperlink>
    </w:p>
    <w:p w14:paraId="0A06A436" w14:textId="7CE202AC" w:rsidR="00B97365" w:rsidRDefault="00000000">
      <w:pPr>
        <w:pStyle w:val="NormalParagraph"/>
      </w:pPr>
      <w:r>
        <w:rPr>
          <w:noProof/>
          <w:lang w:eastAsia="zh-CN" w:bidi="bn-BD"/>
        </w:rPr>
        <w:fldChar w:fldCharType="end"/>
      </w:r>
    </w:p>
    <w:p w14:paraId="3BD670DA" w14:textId="77777777" w:rsidR="00B97365" w:rsidRDefault="00B97365">
      <w:pPr>
        <w:pStyle w:val="NormalParagraph"/>
      </w:pPr>
    </w:p>
    <w:p w14:paraId="2CB42EBE" w14:textId="77777777" w:rsidR="00B97365" w:rsidRDefault="00000000">
      <w:pPr>
        <w:pStyle w:val="Heading1"/>
        <w:numPr>
          <w:ilvl w:val="0"/>
          <w:numId w:val="0"/>
        </w:numPr>
      </w:pPr>
      <w:bookmarkStart w:id="1" w:name="_Toc101946531"/>
      <w:bookmarkStart w:id="2" w:name="_Toc74460299"/>
      <w:r>
        <w:br w:type="page"/>
      </w:r>
      <w:bookmarkStart w:id="3" w:name="_Toc37062354"/>
      <w:bookmarkStart w:id="4" w:name="_Toc88839478"/>
      <w:bookmarkStart w:id="5" w:name="_Toc121503886"/>
      <w:bookmarkEnd w:id="1"/>
      <w:bookmarkEnd w:id="2"/>
      <w:r>
        <w:lastRenderedPageBreak/>
        <w:t>1 Introduction</w:t>
      </w:r>
      <w:bookmarkEnd w:id="3"/>
      <w:bookmarkEnd w:id="4"/>
      <w:bookmarkEnd w:id="5"/>
      <w:r>
        <w:t xml:space="preserve"> </w:t>
      </w:r>
    </w:p>
    <w:p w14:paraId="1771F6CF" w14:textId="77777777" w:rsidR="00B97365" w:rsidRDefault="00000000">
      <w:pPr>
        <w:keepNext/>
        <w:keepLines/>
        <w:numPr>
          <w:ilvl w:val="1"/>
          <w:numId w:val="52"/>
        </w:numPr>
        <w:spacing w:before="240" w:after="60" w:line="276" w:lineRule="auto"/>
        <w:jc w:val="left"/>
        <w:outlineLvl w:val="1"/>
        <w:rPr>
          <w:rFonts w:eastAsia="Times New Roman" w:cs="Arial"/>
          <w:b/>
          <w:bCs/>
          <w:iCs/>
          <w:sz w:val="24"/>
          <w:szCs w:val="28"/>
          <w:lang w:eastAsia="en-US"/>
        </w:rPr>
      </w:pPr>
      <w:bookmarkStart w:id="6" w:name="_Toc448998186"/>
      <w:bookmarkStart w:id="7" w:name="_Toc422150655"/>
      <w:bookmarkStart w:id="8" w:name="_Toc421874228"/>
      <w:bookmarkStart w:id="9" w:name="_Toc420594296"/>
      <w:bookmarkStart w:id="10" w:name="_Toc398214770"/>
      <w:bookmarkStart w:id="11" w:name="_Toc375158186"/>
      <w:bookmarkStart w:id="12" w:name="_Toc374348461"/>
      <w:bookmarkStart w:id="13" w:name="_Toc368932145"/>
      <w:bookmarkStart w:id="14" w:name="_Toc285464200"/>
      <w:bookmarkStart w:id="15" w:name="_Toc101946532"/>
      <w:bookmarkStart w:id="16" w:name="_Toc486332802"/>
      <w:bookmarkStart w:id="17" w:name="_Ref458377"/>
      <w:bookmarkStart w:id="18" w:name="_Ref458381"/>
      <w:bookmarkStart w:id="19" w:name="_Ref458385"/>
      <w:bookmarkStart w:id="20" w:name="_Toc1977200"/>
      <w:bookmarkStart w:id="21" w:name="_Toc37062355"/>
      <w:bookmarkStart w:id="22" w:name="_Toc88839479"/>
      <w:bookmarkStart w:id="23" w:name="_Toc121503887"/>
      <w:r>
        <w:rPr>
          <w:rFonts w:eastAsia="Times New Roman" w:cs="Arial"/>
          <w:b/>
          <w:bCs/>
          <w:iCs/>
          <w:sz w:val="24"/>
          <w:szCs w:val="28"/>
          <w:lang w:eastAsia="en-US"/>
        </w:rPr>
        <w:t>Overview</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Fonts w:eastAsia="Times New Roman" w:cs="Arial"/>
          <w:b/>
          <w:bCs/>
          <w:iCs/>
          <w:sz w:val="24"/>
          <w:szCs w:val="28"/>
          <w:lang w:eastAsia="en-US"/>
        </w:rPr>
        <w:t xml:space="preserve"> </w:t>
      </w:r>
    </w:p>
    <w:p w14:paraId="0A161721" w14:textId="7290A335" w:rsidR="00B97365" w:rsidRDefault="00000000">
      <w:pPr>
        <w:spacing w:before="0" w:after="200" w:line="276" w:lineRule="auto"/>
        <w:jc w:val="left"/>
        <w:rPr>
          <w:szCs w:val="22"/>
          <w:lang w:eastAsia="en-GB" w:bidi="ar-SA"/>
        </w:rPr>
      </w:pPr>
      <w:bookmarkStart w:id="24" w:name="_Toc285464201"/>
      <w:bookmarkStart w:id="25" w:name="_Toc101946533"/>
      <w:bookmarkStart w:id="26" w:name="_Ref94610668"/>
      <w:r>
        <w:rPr>
          <w:rFonts w:cs="Arial"/>
          <w:szCs w:val="22"/>
          <w:lang w:eastAsia="en-GB" w:bidi="ar-SA"/>
        </w:rPr>
        <w:t xml:space="preserve">This document provides a technical description of the GSMA’s ‘Remote Provisioning Architecture for Embedded UICC’ </w:t>
      </w:r>
      <w:r>
        <w:fldChar w:fldCharType="begin"/>
      </w:r>
      <w:r>
        <w:rPr>
          <w:szCs w:val="22"/>
          <w:lang w:eastAsia="en-GB" w:bidi="ar-SA"/>
        </w:rPr>
        <w:instrText xml:space="preserve"> REF _Ref421622651 \r \h </w:instrText>
      </w:r>
      <w:r>
        <w:fldChar w:fldCharType="separate"/>
      </w:r>
      <w:r w:rsidR="001D5AD9">
        <w:rPr>
          <w:szCs w:val="22"/>
          <w:lang w:eastAsia="en-GB" w:bidi="ar-SA"/>
        </w:rPr>
        <w:t>[1]</w:t>
      </w:r>
      <w:r>
        <w:fldChar w:fldCharType="end"/>
      </w:r>
      <w:r>
        <w:rPr>
          <w:szCs w:val="22"/>
          <w:lang w:eastAsia="en-GB" w:bidi="ar-SA"/>
        </w:rPr>
        <w:t>.</w:t>
      </w:r>
    </w:p>
    <w:p w14:paraId="0C81FBBF"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7" w:name="_Toc448998187"/>
      <w:bookmarkStart w:id="28" w:name="_Toc422150656"/>
      <w:bookmarkStart w:id="29" w:name="_Toc421874229"/>
      <w:bookmarkStart w:id="30" w:name="_Toc420594297"/>
      <w:bookmarkStart w:id="31" w:name="_Toc398214771"/>
      <w:bookmarkStart w:id="32" w:name="_Toc375158187"/>
      <w:bookmarkStart w:id="33" w:name="_Toc374348462"/>
      <w:bookmarkStart w:id="34" w:name="_Toc368932146"/>
      <w:bookmarkStart w:id="35" w:name="_Toc486332803"/>
      <w:bookmarkStart w:id="36" w:name="_Toc1977201"/>
      <w:bookmarkStart w:id="37" w:name="_Toc37062356"/>
      <w:bookmarkStart w:id="38" w:name="_Toc88839480"/>
      <w:bookmarkStart w:id="39" w:name="_Toc121503888"/>
      <w:r>
        <w:rPr>
          <w:rFonts w:eastAsia="Times New Roman" w:cs="Arial"/>
          <w:b/>
          <w:bCs/>
          <w:iCs/>
          <w:sz w:val="24"/>
          <w:szCs w:val="28"/>
          <w:lang w:eastAsia="en-US"/>
        </w:rPr>
        <w:t>Scope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1A38F0C" w14:textId="77777777" w:rsidR="00B97365" w:rsidRDefault="00000000">
      <w:pPr>
        <w:spacing w:before="0" w:after="200" w:line="276" w:lineRule="auto"/>
        <w:jc w:val="left"/>
        <w:rPr>
          <w:rFonts w:cs="Arial"/>
        </w:rPr>
      </w:pPr>
      <w:bookmarkStart w:id="40" w:name="_Toc330368461"/>
      <w:bookmarkStart w:id="41" w:name="_Toc285464202"/>
      <w:bookmarkStart w:id="42" w:name="_Toc101946534"/>
      <w:r>
        <w:rPr>
          <w:rFonts w:cs="Arial"/>
        </w:rPr>
        <w:t>This specification provides a technical description of:</w:t>
      </w:r>
    </w:p>
    <w:p w14:paraId="2AB3B63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eUICC Architecture</w:t>
      </w:r>
    </w:p>
    <w:p w14:paraId="4B61794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interfaces used within the Remote Provisioning Architecture and</w:t>
      </w:r>
    </w:p>
    <w:p w14:paraId="75775058" w14:textId="77777777" w:rsidR="00B97365" w:rsidRDefault="00000000">
      <w:pPr>
        <w:numPr>
          <w:ilvl w:val="0"/>
          <w:numId w:val="38"/>
        </w:numPr>
        <w:tabs>
          <w:tab w:val="left" w:pos="680"/>
        </w:tabs>
        <w:spacing w:before="0" w:after="200" w:line="276" w:lineRule="auto"/>
        <w:contextualSpacing/>
        <w:jc w:val="left"/>
        <w:rPr>
          <w:rFonts w:cs="Arial"/>
          <w:szCs w:val="22"/>
          <w:lang w:eastAsia="en-GB" w:bidi="ar-SA"/>
        </w:rPr>
      </w:pPr>
      <w:r>
        <w:rPr>
          <w:szCs w:val="22"/>
          <w:lang w:eastAsia="en-GB" w:bidi="ar-SA"/>
        </w:rPr>
        <w:t>The security functions used within the Remote Provisioning Architecture</w:t>
      </w:r>
    </w:p>
    <w:p w14:paraId="7D5223D8"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43" w:name="_Toc448998188"/>
      <w:bookmarkStart w:id="44" w:name="_Toc422150657"/>
      <w:bookmarkStart w:id="45" w:name="_Toc421874230"/>
      <w:bookmarkStart w:id="46" w:name="_Toc420594298"/>
      <w:bookmarkStart w:id="47" w:name="_Toc398214772"/>
      <w:bookmarkStart w:id="48" w:name="_Toc375158188"/>
      <w:bookmarkStart w:id="49" w:name="_Toc374348463"/>
      <w:bookmarkStart w:id="50" w:name="_Toc368932147"/>
      <w:bookmarkStart w:id="51" w:name="_Toc486332804"/>
      <w:bookmarkStart w:id="52" w:name="_Toc1977202"/>
      <w:bookmarkStart w:id="53" w:name="_Toc37062357"/>
      <w:bookmarkStart w:id="54" w:name="_Toc88839481"/>
      <w:bookmarkStart w:id="55" w:name="_Toc121503889"/>
      <w:r>
        <w:rPr>
          <w:rFonts w:eastAsia="Times New Roman" w:cs="Arial"/>
          <w:b/>
          <w:bCs/>
          <w:iCs/>
          <w:sz w:val="24"/>
          <w:szCs w:val="28"/>
          <w:lang w:eastAsia="en-US"/>
        </w:rPr>
        <w:t>Document Purpose</w:t>
      </w:r>
      <w:bookmarkEnd w:id="40"/>
      <w:bookmarkEnd w:id="43"/>
      <w:bookmarkEnd w:id="44"/>
      <w:bookmarkEnd w:id="45"/>
      <w:bookmarkEnd w:id="46"/>
      <w:bookmarkEnd w:id="47"/>
      <w:bookmarkEnd w:id="48"/>
      <w:bookmarkEnd w:id="49"/>
      <w:bookmarkEnd w:id="50"/>
      <w:bookmarkEnd w:id="51"/>
      <w:bookmarkEnd w:id="52"/>
      <w:bookmarkEnd w:id="53"/>
      <w:bookmarkEnd w:id="54"/>
      <w:bookmarkEnd w:id="55"/>
    </w:p>
    <w:p w14:paraId="53361A9E" w14:textId="77777777" w:rsidR="00B97365" w:rsidRDefault="00000000">
      <w:pPr>
        <w:spacing w:before="0" w:after="200" w:line="276" w:lineRule="auto"/>
        <w:jc w:val="left"/>
        <w:rPr>
          <w:szCs w:val="22"/>
          <w:lang w:eastAsia="en-GB" w:bidi="ar-SA"/>
        </w:rPr>
      </w:pPr>
      <w:r>
        <w:rPr>
          <w:rFonts w:cs="Arial"/>
          <w:szCs w:val="22"/>
          <w:lang w:eastAsia="en-GB" w:bidi="ar-SA"/>
        </w:rPr>
        <w:t xml:space="preserve">The aim of this document is to define a technical solution for the remote provisioning and management of the Embedded UICC (eUICC) in machine-to-machine Devices which are not easily reachable. The adoption of this technical solution will provide the basis for ensuring global interoperability between potentially different Operator deployment scenarios, </w:t>
      </w:r>
      <w:r>
        <w:rPr>
          <w:szCs w:val="22"/>
          <w:lang w:val="en-US" w:eastAsia="en-GB" w:bidi="ar-SA"/>
        </w:rPr>
        <w:t>different makes of network equipment (for example SM-DP, SM-SR) and different makes of eUICC</w:t>
      </w:r>
      <w:r>
        <w:rPr>
          <w:szCs w:val="22"/>
          <w:lang w:eastAsia="en-GB" w:bidi="ar-SA"/>
        </w:rPr>
        <w:t xml:space="preserve"> platforms. </w:t>
      </w:r>
    </w:p>
    <w:p w14:paraId="5DA7F0B2"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56" w:name="_Toc448998189"/>
      <w:bookmarkStart w:id="57" w:name="_Toc422150658"/>
      <w:bookmarkStart w:id="58" w:name="_Toc421874231"/>
      <w:bookmarkStart w:id="59" w:name="_Toc420594299"/>
      <w:bookmarkStart w:id="60" w:name="_Toc398214773"/>
      <w:bookmarkStart w:id="61" w:name="_Toc375158189"/>
      <w:bookmarkStart w:id="62" w:name="_Toc374348464"/>
      <w:bookmarkStart w:id="63" w:name="_Toc368932148"/>
      <w:bookmarkStart w:id="64" w:name="_Toc330368462"/>
      <w:bookmarkStart w:id="65" w:name="_Toc486332805"/>
      <w:bookmarkStart w:id="66" w:name="_Toc1977203"/>
      <w:bookmarkStart w:id="67" w:name="_Toc37062358"/>
      <w:bookmarkStart w:id="68" w:name="_Toc88839482"/>
      <w:bookmarkStart w:id="69" w:name="_Toc121503890"/>
      <w:r>
        <w:rPr>
          <w:rFonts w:eastAsia="Times New Roman" w:cs="Arial"/>
          <w:b/>
          <w:bCs/>
          <w:iCs/>
          <w:sz w:val="24"/>
          <w:szCs w:val="28"/>
          <w:lang w:eastAsia="en-US"/>
        </w:rPr>
        <w:t>Intended Audience</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EC9B994" w14:textId="77777777" w:rsidR="00B97365" w:rsidRDefault="00000000">
      <w:pPr>
        <w:spacing w:before="0" w:after="200" w:line="276" w:lineRule="auto"/>
        <w:jc w:val="left"/>
        <w:rPr>
          <w:rFonts w:cs="Arial"/>
          <w:szCs w:val="22"/>
          <w:lang w:eastAsia="en-GB" w:bidi="ar-SA"/>
        </w:rPr>
      </w:pPr>
      <w:r>
        <w:rPr>
          <w:rFonts w:cs="Arial"/>
          <w:szCs w:val="22"/>
          <w:lang w:eastAsia="en-GB" w:bidi="ar-SA"/>
        </w:rPr>
        <w:t>Technical experts working within Operators, SIM solution providers, machine to machine Device vendors, standards organisations, network infrastructure vendors, Service Providers and other industry bodies.</w:t>
      </w:r>
    </w:p>
    <w:p w14:paraId="6BE11F3B"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70" w:name="_Toc448998190"/>
      <w:bookmarkStart w:id="71" w:name="_Toc422150659"/>
      <w:bookmarkStart w:id="72" w:name="_Toc421874232"/>
      <w:bookmarkStart w:id="73" w:name="_Toc420594300"/>
      <w:bookmarkStart w:id="74" w:name="_Toc398214774"/>
      <w:bookmarkStart w:id="75" w:name="_Toc375158190"/>
      <w:bookmarkStart w:id="76" w:name="_Toc374348465"/>
      <w:bookmarkStart w:id="77" w:name="_Toc368932149"/>
      <w:bookmarkStart w:id="78" w:name="_Toc486332806"/>
      <w:bookmarkStart w:id="79" w:name="_Toc1977204"/>
      <w:bookmarkStart w:id="80" w:name="_Toc37062359"/>
      <w:bookmarkStart w:id="81" w:name="_Toc88839483"/>
      <w:bookmarkStart w:id="82" w:name="_Toc121503891"/>
      <w:r>
        <w:rPr>
          <w:rFonts w:eastAsia="Times New Roman" w:cs="Arial"/>
          <w:b/>
          <w:bCs/>
          <w:iCs/>
          <w:sz w:val="24"/>
          <w:szCs w:val="28"/>
          <w:lang w:eastAsia="en-US"/>
        </w:rPr>
        <w:t>Definition of Terms</w:t>
      </w:r>
      <w:bookmarkEnd w:id="41"/>
      <w:bookmarkEnd w:id="42"/>
      <w:bookmarkEnd w:id="70"/>
      <w:bookmarkEnd w:id="71"/>
      <w:bookmarkEnd w:id="72"/>
      <w:bookmarkEnd w:id="73"/>
      <w:bookmarkEnd w:id="74"/>
      <w:bookmarkEnd w:id="75"/>
      <w:bookmarkEnd w:id="76"/>
      <w:bookmarkEnd w:id="77"/>
      <w:bookmarkEnd w:id="78"/>
      <w:bookmarkEnd w:id="79"/>
      <w:bookmarkEnd w:id="80"/>
      <w:bookmarkEnd w:id="81"/>
      <w:bookmarkEnd w:id="82"/>
    </w:p>
    <w:p w14:paraId="36780AAD" w14:textId="77777777" w:rsidR="00B97365" w:rsidRDefault="00B97365">
      <w:pPr>
        <w:rPr>
          <w:rFonts w:cs="Calibr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5935"/>
      </w:tblGrid>
      <w:tr w:rsidR="00B97365" w14:paraId="71BC3160" w14:textId="77777777">
        <w:trPr>
          <w:cantSplit/>
        </w:trPr>
        <w:tc>
          <w:tcPr>
            <w:tcW w:w="283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63E6C95" w14:textId="77777777" w:rsidR="00B97365" w:rsidRDefault="00000000">
            <w:pPr>
              <w:keepNext/>
              <w:spacing w:before="60" w:line="276" w:lineRule="auto"/>
              <w:jc w:val="center"/>
              <w:rPr>
                <w:rFonts w:cs="Arial"/>
                <w:b/>
                <w:color w:val="FFFFFF"/>
                <w:szCs w:val="22"/>
                <w:lang w:val="en-US"/>
              </w:rPr>
            </w:pPr>
            <w:r>
              <w:rPr>
                <w:rFonts w:cs="Arial"/>
                <w:b/>
                <w:color w:val="FFFFFF"/>
                <w:szCs w:val="22"/>
                <w:lang w:val="en-US" w:eastAsia="en-GB" w:bidi="ar-SA"/>
              </w:rPr>
              <w:t>Term</w:t>
            </w:r>
          </w:p>
        </w:tc>
        <w:tc>
          <w:tcPr>
            <w:tcW w:w="593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3D872E3" w14:textId="77777777" w:rsidR="00B97365" w:rsidRDefault="00000000">
            <w:pPr>
              <w:keepNext/>
              <w:spacing w:before="60" w:line="276" w:lineRule="auto"/>
              <w:jc w:val="center"/>
              <w:rPr>
                <w:rFonts w:cs="Arial"/>
                <w:b/>
                <w:color w:val="FFFFFF"/>
                <w:szCs w:val="22"/>
                <w:lang w:val="en-US" w:eastAsia="en-GB" w:bidi="ar-SA"/>
              </w:rPr>
            </w:pPr>
            <w:r>
              <w:rPr>
                <w:rFonts w:cs="Arial"/>
                <w:b/>
                <w:color w:val="FFFFFF"/>
                <w:szCs w:val="22"/>
                <w:lang w:val="en-US" w:eastAsia="en-GB" w:bidi="ar-SA"/>
              </w:rPr>
              <w:t>Description</w:t>
            </w:r>
          </w:p>
        </w:tc>
      </w:tr>
      <w:tr w:rsidR="00B97365" w14:paraId="7669B713"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BBF1195"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Actor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C125593"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Physical entity (person, company or organisation) that can assume a Role in the functional architecture. It is possible for an Actor to assume multiple Roles in the same functional architecture.</w:t>
            </w:r>
          </w:p>
        </w:tc>
      </w:tr>
      <w:tr w:rsidR="00B97365" w14:paraId="5BB0A87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0A1497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w:t>
            </w:r>
            <w:r>
              <w:rPr>
                <w:rFonts w:cs="Arial"/>
                <w:sz w:val="20"/>
                <w:szCs w:val="22"/>
                <w:lang w:eastAsia="en-GB" w:bidi="ar-SA"/>
              </w:rPr>
              <w:t>ssociated (with)</w:t>
            </w:r>
            <w:r>
              <w:rPr>
                <w:rFonts w:cs="Arial"/>
                <w:sz w:val="20"/>
                <w:szCs w:val="22"/>
                <w:lang w:eastAsia="de-DE" w:bidi="ar-SA"/>
              </w:rPr>
              <w:t xml:space="preserve"> / Association</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68C33EB" w14:textId="15A4DB5A"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This term refers to a link of an application, an Executable Load File or a security domain to (another) security domain, which provides services to the former as defined in GlobalPlatform Card Specification </w:t>
            </w:r>
            <w:r>
              <w:rPr>
                <w:rFonts w:cs="Arial"/>
                <w:sz w:val="20"/>
                <w:szCs w:val="22"/>
                <w:lang w:eastAsia="de-DE" w:bidi="ar-SA"/>
              </w:rPr>
              <w:fldChar w:fldCharType="begin"/>
            </w:r>
            <w:r>
              <w:rPr>
                <w:rFonts w:cs="Arial"/>
                <w:sz w:val="20"/>
                <w:szCs w:val="22"/>
                <w:lang w:eastAsia="de-DE" w:bidi="ar-SA"/>
              </w:rPr>
              <w:instrText xml:space="preserve"> REF _Ref421631311 \r \h </w:instrText>
            </w:r>
            <w:r>
              <w:rPr>
                <w:rFonts w:cs="Arial"/>
                <w:sz w:val="20"/>
                <w:szCs w:val="22"/>
                <w:lang w:eastAsia="de-DE" w:bidi="ar-SA"/>
              </w:rPr>
            </w:r>
            <w:r>
              <w:rPr>
                <w:rFonts w:cs="Arial"/>
                <w:sz w:val="20"/>
                <w:szCs w:val="22"/>
                <w:lang w:eastAsia="de-DE" w:bidi="ar-SA"/>
              </w:rPr>
              <w:fldChar w:fldCharType="separate"/>
            </w:r>
            <w:r w:rsidR="001D5AD9">
              <w:rPr>
                <w:rFonts w:cs="Arial"/>
                <w:sz w:val="20"/>
                <w:szCs w:val="22"/>
                <w:lang w:eastAsia="de-DE" w:bidi="ar-SA"/>
              </w:rPr>
              <w:t>[6]</w:t>
            </w:r>
            <w:r>
              <w:rPr>
                <w:rFonts w:cs="Arial"/>
                <w:sz w:val="20"/>
                <w:szCs w:val="22"/>
                <w:lang w:eastAsia="de-DE" w:bidi="ar-SA"/>
              </w:rPr>
              <w:fldChar w:fldCharType="end"/>
            </w:r>
            <w:r>
              <w:rPr>
                <w:rFonts w:cs="Arial"/>
                <w:sz w:val="20"/>
                <w:szCs w:val="22"/>
                <w:lang w:eastAsia="de-DE" w:bidi="ar-SA"/>
              </w:rPr>
              <w:t xml:space="preserve"> section 7.2. </w:t>
            </w:r>
          </w:p>
        </w:tc>
      </w:tr>
      <w:tr w:rsidR="00B97365" w14:paraId="5FBC60A7"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33BE53A"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Card Image Number / Card Identification Number (CIN)</w:t>
            </w:r>
          </w:p>
        </w:tc>
        <w:tc>
          <w:tcPr>
            <w:tcW w:w="5935" w:type="dxa"/>
            <w:tcBorders>
              <w:top w:val="single" w:sz="4" w:space="0" w:color="auto"/>
              <w:left w:val="single" w:sz="4" w:space="0" w:color="auto"/>
              <w:bottom w:val="single" w:sz="4" w:space="0" w:color="auto"/>
              <w:right w:val="single" w:sz="4" w:space="0" w:color="auto"/>
            </w:tcBorders>
            <w:vAlign w:val="center"/>
          </w:tcPr>
          <w:p w14:paraId="4BD5AF8C"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An identifier for a specific GlobalPlatform card and that may be used by a Card Management System to uniquely identify a card within its card base.</w:t>
            </w:r>
          </w:p>
        </w:tc>
      </w:tr>
      <w:tr w:rsidR="00B97365" w14:paraId="3FAEE84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8D4DBDB" w14:textId="77777777" w:rsidR="00B97365" w:rsidRDefault="00000000">
            <w:pPr>
              <w:spacing w:before="40" w:after="40" w:line="276" w:lineRule="auto"/>
              <w:jc w:val="left"/>
              <w:rPr>
                <w:rFonts w:cs="Arial"/>
                <w:sz w:val="20"/>
                <w:lang w:eastAsia="de-DE" w:bidi="ar-SA"/>
              </w:rPr>
            </w:pPr>
            <w:r>
              <w:rPr>
                <w:sz w:val="20"/>
              </w:rPr>
              <w:t>Certified eUICC</w:t>
            </w:r>
          </w:p>
        </w:tc>
        <w:tc>
          <w:tcPr>
            <w:tcW w:w="5935" w:type="dxa"/>
            <w:tcBorders>
              <w:top w:val="single" w:sz="4" w:space="0" w:color="auto"/>
              <w:left w:val="single" w:sz="4" w:space="0" w:color="auto"/>
              <w:bottom w:val="single" w:sz="4" w:space="0" w:color="auto"/>
              <w:right w:val="single" w:sz="4" w:space="0" w:color="auto"/>
            </w:tcBorders>
            <w:vAlign w:val="center"/>
          </w:tcPr>
          <w:p w14:paraId="79033DB1" w14:textId="77777777" w:rsidR="00B97365" w:rsidRDefault="00000000">
            <w:pPr>
              <w:pStyle w:val="TableText"/>
              <w:rPr>
                <w:szCs w:val="20"/>
              </w:rPr>
            </w:pPr>
            <w:r>
              <w:rPr>
                <w:szCs w:val="20"/>
              </w:rPr>
              <w:t xml:space="preserve">An eUICC meeting the GSMA requirements for Remote SIM Provisioning and certified according to the </w:t>
            </w:r>
            <w:r>
              <w:rPr>
                <w:szCs w:val="20"/>
                <w:lang w:val="en-US"/>
              </w:rPr>
              <w:t>GSMA compliance programme defined in [64]</w:t>
            </w:r>
            <w:r>
              <w:rPr>
                <w:szCs w:val="20"/>
              </w:rPr>
              <w:t>.</w:t>
            </w:r>
          </w:p>
          <w:p w14:paraId="0C62A70A" w14:textId="77777777" w:rsidR="00B97365" w:rsidRDefault="00000000">
            <w:pPr>
              <w:spacing w:before="40" w:after="40" w:line="276" w:lineRule="auto"/>
              <w:jc w:val="left"/>
              <w:rPr>
                <w:rFonts w:cs="Arial"/>
                <w:sz w:val="20"/>
                <w:lang w:eastAsia="de-DE" w:bidi="ar-SA"/>
              </w:rPr>
            </w:pPr>
            <w:r>
              <w:rPr>
                <w:sz w:val="20"/>
              </w:rPr>
              <w:t>Note: Unless stated otherwise, the word eUICC in this specification refers to a Certified eUICC.</w:t>
            </w:r>
          </w:p>
        </w:tc>
      </w:tr>
      <w:tr w:rsidR="00B97365" w14:paraId="706751B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4129842"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lastRenderedPageBreak/>
              <w:t>Certificate Revocation List</w:t>
            </w:r>
          </w:p>
          <w:p w14:paraId="4867DDFD" w14:textId="77777777" w:rsidR="00B97365" w:rsidRDefault="00B97365">
            <w:pPr>
              <w:spacing w:before="40" w:after="40" w:line="276" w:lineRule="auto"/>
              <w:jc w:val="left"/>
              <w:rPr>
                <w:rFonts w:cs="Arial"/>
                <w:sz w:val="20"/>
                <w:szCs w:val="22"/>
                <w:lang w:eastAsia="de-DE" w:bidi="ar-SA"/>
              </w:rPr>
            </w:pPr>
          </w:p>
        </w:tc>
        <w:tc>
          <w:tcPr>
            <w:tcW w:w="5935" w:type="dxa"/>
            <w:tcBorders>
              <w:top w:val="single" w:sz="4" w:space="0" w:color="auto"/>
              <w:left w:val="single" w:sz="4" w:space="0" w:color="auto"/>
              <w:bottom w:val="single" w:sz="4" w:space="0" w:color="auto"/>
              <w:right w:val="single" w:sz="4" w:space="0" w:color="auto"/>
            </w:tcBorders>
            <w:vAlign w:val="center"/>
          </w:tcPr>
          <w:p w14:paraId="53BC0DB9"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 periodically (or exigently) issued list, digitally signed by a CA, of identified Certificates that have been revoked prior to their expiration dates. The list generally indicates the CRL issuer’s name, the date of issue, the date of the next scheduled CRL issue, the revoked Certificates’ serial numbers, and the specific times and reasons for revocation.</w:t>
            </w:r>
          </w:p>
        </w:tc>
      </w:tr>
      <w:tr w:rsidR="00B97365" w14:paraId="742CA6FC"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6B7B03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Connectivity Parameters</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FEF8E2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 set of data (for example SMSC address) required by the eUICC to open a communication channel (for example SMS, HTTPS) on a dedicated network.</w:t>
            </w:r>
          </w:p>
        </w:tc>
      </w:tr>
      <w:tr w:rsidR="00B97365" w14:paraId="3D5CCFD7"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00EFC5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Customer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9F2A97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 paying party, in particular a legally responsible juridical person or entity.</w:t>
            </w:r>
          </w:p>
        </w:tc>
      </w:tr>
      <w:tr w:rsidR="00B97365" w14:paraId="2486CC1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C9E441F"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Device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EA82B0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Equipment into which an Embedded UICC and a communication module are inserted during assembly. Examples include Utility meter, car and camera.</w:t>
            </w:r>
          </w:p>
        </w:tc>
      </w:tr>
      <w:tr w:rsidR="00B97365" w14:paraId="189AA113"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250321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Disabled (Profile)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99EB53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The state of a Profile where all files and applications (for example NAA) present in the Profile are not selectable over the eUICC-Terminal interface.</w:t>
            </w:r>
          </w:p>
        </w:tc>
      </w:tr>
      <w:tr w:rsidR="00B97365" w14:paraId="41E470EB"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F22222D"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Discrete eUICC</w:t>
            </w:r>
          </w:p>
        </w:tc>
        <w:tc>
          <w:tcPr>
            <w:tcW w:w="5935" w:type="dxa"/>
            <w:tcBorders>
              <w:top w:val="single" w:sz="4" w:space="0" w:color="auto"/>
              <w:left w:val="single" w:sz="4" w:space="0" w:color="auto"/>
              <w:bottom w:val="single" w:sz="4" w:space="0" w:color="auto"/>
              <w:right w:val="single" w:sz="4" w:space="0" w:color="auto"/>
            </w:tcBorders>
            <w:vAlign w:val="center"/>
          </w:tcPr>
          <w:p w14:paraId="5B86151A"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An eUICC implemented on discrete hardware.</w:t>
            </w:r>
          </w:p>
        </w:tc>
      </w:tr>
      <w:tr w:rsidR="00B97365" w14:paraId="2F34B21E"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3CCC57A" w14:textId="77777777" w:rsidR="00B97365" w:rsidRDefault="00000000">
            <w:pPr>
              <w:spacing w:before="40" w:after="40" w:line="276" w:lineRule="auto"/>
              <w:jc w:val="left"/>
              <w:rPr>
                <w:rFonts w:cs="Arial"/>
                <w:sz w:val="20"/>
                <w:lang w:eastAsia="de-DE" w:bidi="ar-SA"/>
              </w:rPr>
            </w:pPr>
            <w:r>
              <w:rPr>
                <w:sz w:val="20"/>
                <w:lang w:val="en"/>
              </w:rPr>
              <w:t xml:space="preserve">DNS Resolver Client </w:t>
            </w:r>
          </w:p>
        </w:tc>
        <w:tc>
          <w:tcPr>
            <w:tcW w:w="5935" w:type="dxa"/>
            <w:tcBorders>
              <w:top w:val="single" w:sz="4" w:space="0" w:color="auto"/>
              <w:left w:val="single" w:sz="4" w:space="0" w:color="auto"/>
              <w:bottom w:val="single" w:sz="4" w:space="0" w:color="auto"/>
              <w:right w:val="single" w:sz="4" w:space="0" w:color="auto"/>
            </w:tcBorders>
            <w:vAlign w:val="center"/>
          </w:tcPr>
          <w:p w14:paraId="11C0DEEC" w14:textId="77777777" w:rsidR="00B97365" w:rsidRDefault="00000000">
            <w:pPr>
              <w:spacing w:before="40" w:after="40" w:line="276" w:lineRule="auto"/>
              <w:jc w:val="left"/>
              <w:rPr>
                <w:rFonts w:cs="Arial"/>
                <w:sz w:val="20"/>
                <w:lang w:eastAsia="de-DE" w:bidi="ar-SA"/>
              </w:rPr>
            </w:pPr>
            <w:r>
              <w:rPr>
                <w:sz w:val="20"/>
                <w:lang w:val="en"/>
              </w:rPr>
              <w:t>Client side on eUICC in charge of initiating the queries to the DNS server.</w:t>
            </w:r>
          </w:p>
        </w:tc>
      </w:tr>
      <w:tr w:rsidR="00B97365" w14:paraId="1A93B1D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3A1ED16" w14:textId="77777777" w:rsidR="00B97365" w:rsidRDefault="00000000">
            <w:pPr>
              <w:spacing w:before="40" w:after="40" w:line="276" w:lineRule="auto"/>
              <w:jc w:val="left"/>
              <w:rPr>
                <w:rFonts w:cs="Arial"/>
                <w:sz w:val="20"/>
                <w:lang w:eastAsia="de-DE" w:bidi="ar-SA"/>
              </w:rPr>
            </w:pPr>
            <w:r>
              <w:rPr>
                <w:sz w:val="20"/>
                <w:lang w:val="en"/>
              </w:rPr>
              <w:t>DNS Resolver Server</w:t>
            </w:r>
          </w:p>
        </w:tc>
        <w:tc>
          <w:tcPr>
            <w:tcW w:w="5935" w:type="dxa"/>
            <w:tcBorders>
              <w:top w:val="single" w:sz="4" w:space="0" w:color="auto"/>
              <w:left w:val="single" w:sz="4" w:space="0" w:color="auto"/>
              <w:bottom w:val="single" w:sz="4" w:space="0" w:color="auto"/>
              <w:right w:val="single" w:sz="4" w:space="0" w:color="auto"/>
            </w:tcBorders>
            <w:vAlign w:val="center"/>
          </w:tcPr>
          <w:p w14:paraId="461123B5" w14:textId="77777777" w:rsidR="00B97365" w:rsidRDefault="00000000">
            <w:pPr>
              <w:spacing w:before="40" w:after="40" w:line="276" w:lineRule="auto"/>
              <w:jc w:val="left"/>
              <w:rPr>
                <w:rFonts w:cs="Arial"/>
                <w:sz w:val="20"/>
                <w:lang w:eastAsia="de-DE" w:bidi="ar-SA"/>
              </w:rPr>
            </w:pPr>
            <w:r>
              <w:rPr>
                <w:sz w:val="20"/>
                <w:lang w:val="en"/>
              </w:rPr>
              <w:t>Server-side component in charge of providing the IP address(s) of the target server to the DNS Resolver Client</w:t>
            </w:r>
          </w:p>
        </w:tc>
      </w:tr>
      <w:tr w:rsidR="00B97365" w14:paraId="225FC20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F1B66B2" w14:textId="77777777" w:rsidR="00B97365" w:rsidRDefault="00000000">
            <w:pPr>
              <w:spacing w:before="40" w:after="40" w:line="276" w:lineRule="auto"/>
              <w:jc w:val="left"/>
              <w:rPr>
                <w:rFonts w:cs="Arial"/>
                <w:sz w:val="20"/>
                <w:lang w:eastAsia="de-DE" w:bidi="ar-SA"/>
              </w:rPr>
            </w:pPr>
            <w:r>
              <w:rPr>
                <w:sz w:val="20"/>
                <w:lang w:val="en"/>
              </w:rPr>
              <w:t>Domain Name System</w:t>
            </w:r>
          </w:p>
        </w:tc>
        <w:tc>
          <w:tcPr>
            <w:tcW w:w="5935" w:type="dxa"/>
            <w:tcBorders>
              <w:top w:val="single" w:sz="4" w:space="0" w:color="auto"/>
              <w:left w:val="single" w:sz="4" w:space="0" w:color="auto"/>
              <w:bottom w:val="single" w:sz="4" w:space="0" w:color="auto"/>
              <w:right w:val="single" w:sz="4" w:space="0" w:color="auto"/>
            </w:tcBorders>
            <w:vAlign w:val="center"/>
          </w:tcPr>
          <w:p w14:paraId="493F745C" w14:textId="77777777" w:rsidR="00B97365" w:rsidRDefault="00000000">
            <w:pPr>
              <w:spacing w:before="40" w:after="40" w:line="276" w:lineRule="auto"/>
              <w:jc w:val="left"/>
              <w:rPr>
                <w:rFonts w:cs="Arial"/>
                <w:sz w:val="20"/>
                <w:lang w:eastAsia="de-DE" w:bidi="ar-SA"/>
              </w:rPr>
            </w:pPr>
            <w:r>
              <w:rPr>
                <w:sz w:val="20"/>
                <w:lang w:val="en"/>
              </w:rPr>
              <w:t>An internet protocol for translating domain names (or hostnames) into IP addresses.</w:t>
            </w:r>
          </w:p>
        </w:tc>
      </w:tr>
      <w:tr w:rsidR="00B97365" w14:paraId="4F1389B7"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EA2F01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Embedded UICC</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BE0832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 UICC which is not easily accessible or replaceable, is not intended to be removed or replaced in the Device, and enables the secure changing of Profiles.</w:t>
            </w:r>
          </w:p>
        </w:tc>
      </w:tr>
      <w:tr w:rsidR="00B97365" w14:paraId="107FEA4A"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B970D91"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Emergency Profile</w:t>
            </w:r>
          </w:p>
        </w:tc>
        <w:tc>
          <w:tcPr>
            <w:tcW w:w="5935" w:type="dxa"/>
            <w:tcBorders>
              <w:top w:val="single" w:sz="4" w:space="0" w:color="auto"/>
              <w:left w:val="single" w:sz="4" w:space="0" w:color="auto"/>
              <w:bottom w:val="single" w:sz="4" w:space="0" w:color="auto"/>
              <w:right w:val="single" w:sz="4" w:space="0" w:color="auto"/>
            </w:tcBorders>
            <w:vAlign w:val="center"/>
          </w:tcPr>
          <w:p w14:paraId="2CF05695" w14:textId="77777777" w:rsidR="00B97365" w:rsidRDefault="00000000">
            <w:pPr>
              <w:spacing w:before="40" w:after="40" w:line="276" w:lineRule="auto"/>
              <w:jc w:val="left"/>
              <w:rPr>
                <w:sz w:val="20"/>
                <w:szCs w:val="22"/>
                <w:lang w:eastAsia="de-DE" w:bidi="ar-SA"/>
              </w:rPr>
            </w:pPr>
            <w:r>
              <w:rPr>
                <w:sz w:val="20"/>
                <w:szCs w:val="22"/>
                <w:lang w:eastAsia="de-DE" w:bidi="ar-SA"/>
              </w:rPr>
              <w:t>An Operational Profile with a Profile Attribute allocated, indicating that this Profile is an Emergency Profile.</w:t>
            </w:r>
          </w:p>
          <w:p w14:paraId="1B3662FB"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An Emergency Profile complies with regulatory requirements and only provides the capability to make Emergency Calls and receive calls from an Emergency centre (e.g. Public Safety Answering Point)</w:t>
            </w:r>
          </w:p>
        </w:tc>
      </w:tr>
      <w:tr w:rsidR="00B97365" w14:paraId="5CCE47E3"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64BC7B7"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Emergency Profile Attribute</w:t>
            </w:r>
          </w:p>
        </w:tc>
        <w:tc>
          <w:tcPr>
            <w:tcW w:w="5935" w:type="dxa"/>
            <w:tcBorders>
              <w:top w:val="single" w:sz="4" w:space="0" w:color="auto"/>
              <w:left w:val="single" w:sz="4" w:space="0" w:color="auto"/>
              <w:bottom w:val="single" w:sz="4" w:space="0" w:color="auto"/>
              <w:right w:val="single" w:sz="4" w:space="0" w:color="auto"/>
            </w:tcBorders>
            <w:vAlign w:val="center"/>
          </w:tcPr>
          <w:p w14:paraId="74397F1C"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This is an attribute allocated to a Profile which, when set, identifies the Emergency Profile.</w:t>
            </w:r>
          </w:p>
        </w:tc>
      </w:tr>
      <w:tr w:rsidR="00B97365" w14:paraId="53A5EC0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0A8ACE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Enabled (Profile)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1FDE0C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The state of a Profile when its files and/or applications (for example, NAA) are selectable over the UICC-Terminal interface.</w:t>
            </w:r>
          </w:p>
        </w:tc>
      </w:tr>
      <w:tr w:rsidR="00B97365" w14:paraId="009F262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1F5C439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Executable Load File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19A1EDF" w14:textId="6E885BA8" w:rsidR="00B97365" w:rsidRDefault="00000000">
            <w:pPr>
              <w:spacing w:before="40" w:after="40" w:line="276" w:lineRule="auto"/>
              <w:jc w:val="left"/>
              <w:rPr>
                <w:rFonts w:cs="Arial"/>
                <w:sz w:val="20"/>
                <w:szCs w:val="25"/>
                <w:lang w:eastAsia="de-DE" w:bidi="ar-SA"/>
              </w:rPr>
            </w:pPr>
            <w:r>
              <w:rPr>
                <w:rFonts w:cs="Arial"/>
                <w:sz w:val="20"/>
                <w:szCs w:val="22"/>
                <w:lang w:val="en-US" w:eastAsia="de-DE" w:bidi="ar-SA"/>
              </w:rPr>
              <w:t xml:space="preserve">An on-card container of one or more application's executable code as defined in GlobalPlatform Card Specification </w:t>
            </w:r>
            <w:r>
              <w:rPr>
                <w:rFonts w:cs="Arial"/>
                <w:sz w:val="20"/>
                <w:szCs w:val="22"/>
                <w:lang w:val="en-US" w:eastAsia="de-DE" w:bidi="ar-SA"/>
              </w:rPr>
              <w:fldChar w:fldCharType="begin"/>
            </w:r>
            <w:r>
              <w:rPr>
                <w:rFonts w:cs="Arial"/>
                <w:sz w:val="20"/>
                <w:szCs w:val="22"/>
                <w:lang w:val="en-US" w:eastAsia="de-DE" w:bidi="ar-SA"/>
              </w:rPr>
              <w:instrText xml:space="preserve"> REF _Ref421631311 \r \h </w:instrText>
            </w:r>
            <w:r>
              <w:rPr>
                <w:rFonts w:cs="Arial"/>
                <w:sz w:val="20"/>
                <w:szCs w:val="22"/>
                <w:lang w:val="en-US" w:eastAsia="de-DE" w:bidi="ar-SA"/>
              </w:rPr>
            </w:r>
            <w:r>
              <w:rPr>
                <w:rFonts w:cs="Arial"/>
                <w:sz w:val="20"/>
                <w:szCs w:val="22"/>
                <w:lang w:val="en-US" w:eastAsia="de-DE" w:bidi="ar-SA"/>
              </w:rPr>
              <w:fldChar w:fldCharType="separate"/>
            </w:r>
            <w:r w:rsidR="001D5AD9">
              <w:rPr>
                <w:rFonts w:cs="Arial"/>
                <w:sz w:val="20"/>
                <w:szCs w:val="22"/>
                <w:lang w:val="en-US" w:eastAsia="de-DE" w:bidi="ar-SA"/>
              </w:rPr>
              <w:t>[6]</w:t>
            </w:r>
            <w:r>
              <w:rPr>
                <w:rFonts w:cs="Arial"/>
                <w:sz w:val="20"/>
                <w:szCs w:val="22"/>
                <w:lang w:val="en-US" w:eastAsia="de-DE" w:bidi="ar-SA"/>
              </w:rPr>
              <w:fldChar w:fldCharType="end"/>
            </w:r>
            <w:r>
              <w:rPr>
                <w:rFonts w:cs="Arial"/>
                <w:sz w:val="20"/>
                <w:szCs w:val="22"/>
                <w:lang w:val="en-US" w:eastAsia="de-DE" w:bidi="ar-SA"/>
              </w:rPr>
              <w:t>.</w:t>
            </w:r>
          </w:p>
        </w:tc>
      </w:tr>
      <w:tr w:rsidR="00B97365" w14:paraId="6CA9B09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486A703"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Executable Module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CC214ED" w14:textId="78BBBFC0" w:rsidR="00B97365" w:rsidRDefault="00000000">
            <w:pPr>
              <w:spacing w:before="40" w:after="40" w:line="276" w:lineRule="auto"/>
              <w:jc w:val="left"/>
              <w:rPr>
                <w:rFonts w:cs="Arial"/>
                <w:sz w:val="20"/>
                <w:szCs w:val="25"/>
                <w:lang w:val="en-US" w:eastAsia="de-DE" w:bidi="ar-SA"/>
              </w:rPr>
            </w:pPr>
            <w:r>
              <w:rPr>
                <w:rFonts w:cs="Arial"/>
                <w:sz w:val="20"/>
                <w:szCs w:val="22"/>
                <w:lang w:val="en-US" w:eastAsia="de-DE" w:bidi="ar-SA"/>
              </w:rPr>
              <w:t xml:space="preserve">The on-card executable code of a single application present within an Executable Load File as defined in GlobalPlatform Card Specification </w:t>
            </w:r>
            <w:r>
              <w:rPr>
                <w:rFonts w:cs="Arial"/>
                <w:sz w:val="20"/>
                <w:szCs w:val="22"/>
                <w:lang w:val="en-US" w:eastAsia="de-DE" w:bidi="ar-SA"/>
              </w:rPr>
              <w:fldChar w:fldCharType="begin"/>
            </w:r>
            <w:r>
              <w:rPr>
                <w:rFonts w:cs="Arial"/>
                <w:sz w:val="20"/>
                <w:szCs w:val="22"/>
                <w:lang w:val="en-US" w:eastAsia="de-DE" w:bidi="ar-SA"/>
              </w:rPr>
              <w:instrText xml:space="preserve"> REF _Ref421631311 \r \h </w:instrText>
            </w:r>
            <w:r>
              <w:rPr>
                <w:rFonts w:cs="Arial"/>
                <w:sz w:val="20"/>
                <w:szCs w:val="22"/>
                <w:lang w:val="en-US" w:eastAsia="de-DE" w:bidi="ar-SA"/>
              </w:rPr>
            </w:r>
            <w:r>
              <w:rPr>
                <w:rFonts w:cs="Arial"/>
                <w:sz w:val="20"/>
                <w:szCs w:val="22"/>
                <w:lang w:val="en-US" w:eastAsia="de-DE" w:bidi="ar-SA"/>
              </w:rPr>
              <w:fldChar w:fldCharType="separate"/>
            </w:r>
            <w:r w:rsidR="001D5AD9">
              <w:rPr>
                <w:rFonts w:cs="Arial"/>
                <w:sz w:val="20"/>
                <w:szCs w:val="22"/>
                <w:lang w:val="en-US" w:eastAsia="de-DE" w:bidi="ar-SA"/>
              </w:rPr>
              <w:t>[6]</w:t>
            </w:r>
            <w:r>
              <w:rPr>
                <w:rFonts w:cs="Arial"/>
                <w:sz w:val="20"/>
                <w:szCs w:val="22"/>
                <w:lang w:val="en-US" w:eastAsia="de-DE" w:bidi="ar-SA"/>
              </w:rPr>
              <w:fldChar w:fldCharType="end"/>
            </w:r>
            <w:r>
              <w:rPr>
                <w:rFonts w:cs="Arial"/>
                <w:sz w:val="20"/>
                <w:szCs w:val="22"/>
                <w:lang w:val="en-US" w:eastAsia="de-DE" w:bidi="ar-SA"/>
              </w:rPr>
              <w:t>.</w:t>
            </w:r>
          </w:p>
        </w:tc>
      </w:tr>
      <w:tr w:rsidR="00B97365" w14:paraId="51B0B20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4E9AC9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eUICC Certificate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38ED4D3"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 certificate issued by the EUM for a specific, individual, eUICC.</w:t>
            </w:r>
          </w:p>
          <w:p w14:paraId="298796C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This certificate can be verified using the EUM Certificate.</w:t>
            </w:r>
          </w:p>
        </w:tc>
      </w:tr>
      <w:tr w:rsidR="00B97365" w14:paraId="404EEE1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2AB816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lastRenderedPageBreak/>
              <w:t>eUICC Manufacturer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891113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Supplier of the eUICCs and resident software (for example firmware and operating system).</w:t>
            </w:r>
          </w:p>
        </w:tc>
      </w:tr>
      <w:tr w:rsidR="00B97365" w14:paraId="199D7900"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F1090CF"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eUICC OS Update</w:t>
            </w:r>
          </w:p>
        </w:tc>
        <w:tc>
          <w:tcPr>
            <w:tcW w:w="5935" w:type="dxa"/>
            <w:tcBorders>
              <w:top w:val="single" w:sz="4" w:space="0" w:color="auto"/>
              <w:left w:val="single" w:sz="4" w:space="0" w:color="auto"/>
              <w:bottom w:val="single" w:sz="4" w:space="0" w:color="auto"/>
              <w:right w:val="single" w:sz="4" w:space="0" w:color="auto"/>
            </w:tcBorders>
            <w:vAlign w:val="center"/>
          </w:tcPr>
          <w:p w14:paraId="2990230D"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Mechanism to correct existing features on an eUICC by the original OS Manufacturer when the eUICC is in the field.</w:t>
            </w:r>
          </w:p>
        </w:tc>
      </w:tr>
      <w:tr w:rsidR="00B97365" w14:paraId="7D45084E"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937AF3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EUM Certificate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849D65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 certificate issued to a GSMA accredited EUM which can be used to verify eUICC Certificates.</w:t>
            </w:r>
          </w:p>
          <w:p w14:paraId="43B120D3"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This certificate can be verified using the Root Certificate.</w:t>
            </w:r>
          </w:p>
        </w:tc>
      </w:tr>
      <w:tr w:rsidR="00B97365" w14:paraId="13253A0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C5C8761"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Fall-Back Attribute</w:t>
            </w:r>
          </w:p>
        </w:tc>
        <w:tc>
          <w:tcPr>
            <w:tcW w:w="5935" w:type="dxa"/>
            <w:tcBorders>
              <w:top w:val="single" w:sz="4" w:space="0" w:color="auto"/>
              <w:left w:val="single" w:sz="4" w:space="0" w:color="auto"/>
              <w:bottom w:val="single" w:sz="4" w:space="0" w:color="auto"/>
              <w:right w:val="single" w:sz="4" w:space="0" w:color="auto"/>
            </w:tcBorders>
            <w:vAlign w:val="center"/>
          </w:tcPr>
          <w:p w14:paraId="64C2759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This is an attribute of a Profile which, when set, identifies the Profile to be enabled by the Fall-Back Mechanism or by the execution of the Disable Profile function on another Profile. Only one Profile on the eUICC can have the Fall-Back attribute set at a time.</w:t>
            </w:r>
          </w:p>
        </w:tc>
      </w:tr>
      <w:tr w:rsidR="00B97365" w14:paraId="60AE59E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62F1BA5"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Fall-Back Mechanism</w:t>
            </w:r>
          </w:p>
        </w:tc>
        <w:tc>
          <w:tcPr>
            <w:tcW w:w="5935" w:type="dxa"/>
            <w:tcBorders>
              <w:top w:val="single" w:sz="4" w:space="0" w:color="auto"/>
              <w:left w:val="single" w:sz="4" w:space="0" w:color="auto"/>
              <w:bottom w:val="single" w:sz="4" w:space="0" w:color="auto"/>
              <w:right w:val="single" w:sz="4" w:space="0" w:color="auto"/>
            </w:tcBorders>
            <w:vAlign w:val="center"/>
          </w:tcPr>
          <w:p w14:paraId="28445645"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eUICC-based mechanism which enables the Profile with Fall-Back Attribute set when the Enabled Profile loses network connectivity</w:t>
            </w:r>
          </w:p>
        </w:tc>
      </w:tr>
      <w:tr w:rsidR="00B97365" w14:paraId="2DFAED5C"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BBCB02B" w14:textId="77777777" w:rsidR="00B97365" w:rsidRDefault="00000000">
            <w:pPr>
              <w:spacing w:before="40" w:after="40" w:line="276" w:lineRule="auto"/>
              <w:jc w:val="left"/>
              <w:rPr>
                <w:sz w:val="20"/>
                <w:lang w:eastAsia="de-DE" w:bidi="ar-SA"/>
              </w:rPr>
            </w:pPr>
            <w:r>
              <w:rPr>
                <w:sz w:val="20"/>
              </w:rPr>
              <w:t>Field-Test eUICC</w:t>
            </w:r>
          </w:p>
        </w:tc>
        <w:tc>
          <w:tcPr>
            <w:tcW w:w="5935" w:type="dxa"/>
            <w:tcBorders>
              <w:top w:val="single" w:sz="4" w:space="0" w:color="auto"/>
              <w:left w:val="single" w:sz="4" w:space="0" w:color="auto"/>
              <w:bottom w:val="single" w:sz="4" w:space="0" w:color="auto"/>
              <w:right w:val="single" w:sz="4" w:space="0" w:color="auto"/>
            </w:tcBorders>
            <w:vAlign w:val="center"/>
          </w:tcPr>
          <w:p w14:paraId="30BF17A5" w14:textId="77777777" w:rsidR="00B97365" w:rsidRDefault="00000000">
            <w:pPr>
              <w:spacing w:before="40" w:after="40" w:line="276" w:lineRule="auto"/>
              <w:jc w:val="left"/>
              <w:rPr>
                <w:rFonts w:cs="Arial"/>
                <w:sz w:val="20"/>
                <w:lang w:eastAsia="de-DE" w:bidi="ar-SA"/>
              </w:rPr>
            </w:pPr>
            <w:r>
              <w:rPr>
                <w:sz w:val="20"/>
              </w:rPr>
              <w:t xml:space="preserve">A pre-production eUICC whose functional or security certifications are not </w:t>
            </w:r>
            <w:r>
              <w:rPr>
                <w:sz w:val="20"/>
                <w:lang w:val="en-US"/>
              </w:rPr>
              <w:t xml:space="preserve">yet </w:t>
            </w:r>
            <w:r>
              <w:rPr>
                <w:sz w:val="20"/>
              </w:rPr>
              <w:t>completed by the EUM.</w:t>
            </w:r>
          </w:p>
        </w:tc>
      </w:tr>
      <w:tr w:rsidR="00B97365" w14:paraId="1F53BBF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E70A2C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Integrated Circuit Card ID </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221D3F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Unique number to identify a Profile in an eUICC.</w:t>
            </w:r>
          </w:p>
          <w:p w14:paraId="36CE31A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Note: the ICCID throughout this specification is used to identify the Profile.</w:t>
            </w:r>
          </w:p>
        </w:tc>
      </w:tr>
      <w:tr w:rsidR="00B97365" w14:paraId="690BA64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A5EECF0"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Integrated eUICC</w:t>
            </w:r>
          </w:p>
        </w:tc>
        <w:tc>
          <w:tcPr>
            <w:tcW w:w="5935" w:type="dxa"/>
            <w:tcBorders>
              <w:top w:val="single" w:sz="4" w:space="0" w:color="auto"/>
              <w:left w:val="single" w:sz="4" w:space="0" w:color="auto"/>
              <w:bottom w:val="single" w:sz="4" w:space="0" w:color="auto"/>
              <w:right w:val="single" w:sz="4" w:space="0" w:color="auto"/>
            </w:tcBorders>
            <w:vAlign w:val="center"/>
          </w:tcPr>
          <w:p w14:paraId="56B496D7"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An eUICC implemented on a Tamper Resistant Element (TRE) that is integrated into a System-on-Chip (SoC), optionally making use of remote volatile/non-volatile memory.</w:t>
            </w:r>
          </w:p>
        </w:tc>
      </w:tr>
      <w:tr w:rsidR="00B97365" w14:paraId="3F2777D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EF6A20B"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Integrated TRE</w:t>
            </w:r>
          </w:p>
        </w:tc>
        <w:tc>
          <w:tcPr>
            <w:tcW w:w="5935" w:type="dxa"/>
            <w:tcBorders>
              <w:top w:val="single" w:sz="4" w:space="0" w:color="auto"/>
              <w:left w:val="single" w:sz="4" w:space="0" w:color="auto"/>
              <w:bottom w:val="single" w:sz="4" w:space="0" w:color="auto"/>
              <w:right w:val="single" w:sz="4" w:space="0" w:color="auto"/>
            </w:tcBorders>
            <w:vAlign w:val="center"/>
          </w:tcPr>
          <w:p w14:paraId="56B37F4C"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 TRE implemented inside a larger System-on-Chip (SoC)</w:t>
            </w:r>
          </w:p>
        </w:tc>
      </w:tr>
      <w:tr w:rsidR="00B97365" w14:paraId="3D16B51C"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82CC51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International Mobile Subscriber Identity</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8923C0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Unique identifier owned and issued by Mobile Network Operators as defined in ETSI TS 123 003 [31]. </w:t>
            </w:r>
          </w:p>
        </w:tc>
      </w:tr>
      <w:tr w:rsidR="00B97365" w14:paraId="161213AB"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B2ECCB6"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Issuer Identification Number (IIN)</w:t>
            </w:r>
          </w:p>
        </w:tc>
        <w:tc>
          <w:tcPr>
            <w:tcW w:w="5935" w:type="dxa"/>
            <w:tcBorders>
              <w:top w:val="single" w:sz="4" w:space="0" w:color="auto"/>
              <w:left w:val="single" w:sz="4" w:space="0" w:color="auto"/>
              <w:bottom w:val="single" w:sz="4" w:space="0" w:color="auto"/>
              <w:right w:val="single" w:sz="4" w:space="0" w:color="auto"/>
            </w:tcBorders>
            <w:vAlign w:val="center"/>
          </w:tcPr>
          <w:p w14:paraId="3D703E48"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An identifier for a specific issuer that may be used by an off-card entity to associate the card with a specific Card Management System.</w:t>
            </w:r>
          </w:p>
        </w:tc>
      </w:tr>
      <w:tr w:rsidR="00B97365" w14:paraId="2FAEE92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E8953D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Issuer Security Domain</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56285AD" w14:textId="1675084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A security domain on the UICC </w:t>
            </w:r>
            <w:r>
              <w:rPr>
                <w:rFonts w:cs="Arial"/>
                <w:sz w:val="20"/>
                <w:szCs w:val="22"/>
                <w:lang w:eastAsia="en-GB" w:bidi="ar-SA"/>
              </w:rPr>
              <w:t xml:space="preserve">as defined by GlobalPlatform Card Specification </w:t>
            </w:r>
            <w:r>
              <w:rPr>
                <w:rFonts w:cs="Arial"/>
                <w:sz w:val="20"/>
                <w:szCs w:val="22"/>
                <w:lang w:eastAsia="en-GB" w:bidi="ar-SA"/>
              </w:rPr>
              <w:fldChar w:fldCharType="begin"/>
            </w:r>
            <w:r>
              <w:rPr>
                <w:rFonts w:cs="Arial"/>
                <w:sz w:val="20"/>
                <w:szCs w:val="22"/>
                <w:lang w:eastAsia="en-GB" w:bidi="ar-SA"/>
              </w:rPr>
              <w:instrText xml:space="preserve"> REF _Ref421631311 \r \h </w:instrText>
            </w:r>
            <w:r>
              <w:rPr>
                <w:rFonts w:cs="Arial"/>
                <w:sz w:val="20"/>
                <w:szCs w:val="22"/>
                <w:lang w:eastAsia="en-GB" w:bidi="ar-SA"/>
              </w:rPr>
            </w:r>
            <w:r>
              <w:rPr>
                <w:rFonts w:cs="Arial"/>
                <w:sz w:val="20"/>
                <w:szCs w:val="22"/>
                <w:lang w:eastAsia="en-GB" w:bidi="ar-SA"/>
              </w:rPr>
              <w:fldChar w:fldCharType="separate"/>
            </w:r>
            <w:r w:rsidR="001D5AD9">
              <w:rPr>
                <w:rFonts w:cs="Arial"/>
                <w:sz w:val="20"/>
                <w:szCs w:val="22"/>
                <w:lang w:eastAsia="en-GB" w:bidi="ar-SA"/>
              </w:rPr>
              <w:t>[6]</w:t>
            </w:r>
            <w:r>
              <w:rPr>
                <w:rFonts w:cs="Arial"/>
                <w:sz w:val="20"/>
                <w:szCs w:val="22"/>
                <w:lang w:eastAsia="en-GB" w:bidi="ar-SA"/>
              </w:rPr>
              <w:fldChar w:fldCharType="end"/>
            </w:r>
            <w:r>
              <w:rPr>
                <w:rFonts w:cs="Arial"/>
                <w:sz w:val="20"/>
                <w:szCs w:val="22"/>
                <w:lang w:eastAsia="de-DE" w:bidi="ar-SA"/>
              </w:rPr>
              <w:t xml:space="preserve">. </w:t>
            </w:r>
          </w:p>
        </w:tc>
      </w:tr>
      <w:tr w:rsidR="00B97365" w14:paraId="550BA41E"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4337CEB"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Local Disable</w:t>
            </w:r>
          </w:p>
        </w:tc>
        <w:tc>
          <w:tcPr>
            <w:tcW w:w="5935" w:type="dxa"/>
            <w:tcBorders>
              <w:top w:val="single" w:sz="4" w:space="0" w:color="auto"/>
              <w:left w:val="single" w:sz="4" w:space="0" w:color="auto"/>
              <w:bottom w:val="single" w:sz="4" w:space="0" w:color="auto"/>
              <w:right w:val="single" w:sz="4" w:space="0" w:color="auto"/>
            </w:tcBorders>
            <w:vAlign w:val="center"/>
          </w:tcPr>
          <w:p w14:paraId="264C37F6"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A function of the interface between a Device and an eUICC that provides the capability for a Device to locally disable the Emergency Profile or the Test Profile on the eUICC without involvement of an SM-SR and/or SM-DP.</w:t>
            </w:r>
          </w:p>
        </w:tc>
      </w:tr>
      <w:tr w:rsidR="00B97365" w14:paraId="1445388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AA4053D"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Local Enable</w:t>
            </w:r>
          </w:p>
        </w:tc>
        <w:tc>
          <w:tcPr>
            <w:tcW w:w="5935" w:type="dxa"/>
            <w:tcBorders>
              <w:top w:val="single" w:sz="4" w:space="0" w:color="auto"/>
              <w:left w:val="single" w:sz="4" w:space="0" w:color="auto"/>
              <w:bottom w:val="single" w:sz="4" w:space="0" w:color="auto"/>
              <w:right w:val="single" w:sz="4" w:space="0" w:color="auto"/>
            </w:tcBorders>
            <w:vAlign w:val="center"/>
          </w:tcPr>
          <w:p w14:paraId="4169D60B"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A function of the interface between a Device and an eUICC that provides the capability for a Device to locally enable the Emergency Profile or the Test Profile on the eUICC without involvement of an SM-SR and/or SM-DP.</w:t>
            </w:r>
          </w:p>
        </w:tc>
      </w:tr>
      <w:tr w:rsidR="00B97365" w14:paraId="690E626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E95F599" w14:textId="77777777" w:rsidR="00B97365" w:rsidRDefault="00000000">
            <w:pPr>
              <w:spacing w:before="40" w:after="40" w:line="276" w:lineRule="auto"/>
              <w:jc w:val="left"/>
              <w:rPr>
                <w:sz w:val="20"/>
                <w:szCs w:val="22"/>
                <w:lang w:eastAsia="de-DE" w:bidi="ar-SA"/>
              </w:rPr>
            </w:pPr>
            <w:r>
              <w:rPr>
                <w:sz w:val="20"/>
                <w:szCs w:val="22"/>
                <w:lang w:eastAsia="de-DE" w:bidi="ar-SA"/>
              </w:rPr>
              <w:t>M2M Service Provider (M2M SP)</w:t>
            </w:r>
          </w:p>
        </w:tc>
        <w:tc>
          <w:tcPr>
            <w:tcW w:w="5935" w:type="dxa"/>
            <w:tcBorders>
              <w:top w:val="single" w:sz="4" w:space="0" w:color="auto"/>
              <w:left w:val="single" w:sz="4" w:space="0" w:color="auto"/>
              <w:bottom w:val="single" w:sz="4" w:space="0" w:color="auto"/>
              <w:right w:val="single" w:sz="4" w:space="0" w:color="auto"/>
            </w:tcBorders>
            <w:vAlign w:val="center"/>
          </w:tcPr>
          <w:p w14:paraId="19FBB9AA" w14:textId="77777777" w:rsidR="00B97365" w:rsidRDefault="00000000">
            <w:pPr>
              <w:spacing w:before="40" w:after="40" w:line="276" w:lineRule="auto"/>
              <w:jc w:val="left"/>
              <w:rPr>
                <w:sz w:val="20"/>
                <w:szCs w:val="22"/>
                <w:lang w:eastAsia="de-DE" w:bidi="ar-SA"/>
              </w:rPr>
            </w:pPr>
            <w:r>
              <w:rPr>
                <w:sz w:val="20"/>
                <w:szCs w:val="22"/>
                <w:lang w:eastAsia="de-DE" w:bidi="ar-SA"/>
              </w:rPr>
              <w:t xml:space="preserve"> A Service Provider relying on an Operator providing the Profiles on the eUICC.</w:t>
            </w:r>
          </w:p>
        </w:tc>
      </w:tr>
      <w:tr w:rsidR="00B97365" w14:paraId="6E40A72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7E1293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Mobile Network Operator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3F6CDC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An entity providing access capability and communication services to its Customers through a mobile network infrastructure.</w:t>
            </w:r>
          </w:p>
        </w:tc>
      </w:tr>
      <w:tr w:rsidR="00B97365" w14:paraId="6D63C04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15A546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lastRenderedPageBreak/>
              <w:t>MNO-SD</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1657C7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Security domain part of the Profile, owned by the Operator, providing the Secured Channel to the Operator’s OTA Platform. It is used to manage the content of a Profile once the Profile is enabled.  </w:t>
            </w:r>
          </w:p>
        </w:tc>
      </w:tr>
      <w:tr w:rsidR="00B97365" w14:paraId="14673C2B"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6D4841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Network Access Application</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1DB480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An application residing on a UICC which provides authorisation to access a network for example a USIM application.</w:t>
            </w:r>
          </w:p>
        </w:tc>
      </w:tr>
      <w:tr w:rsidR="00B97365" w14:paraId="11567F6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77BE841"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Operator</w:t>
            </w:r>
          </w:p>
        </w:tc>
        <w:tc>
          <w:tcPr>
            <w:tcW w:w="5935" w:type="dxa"/>
            <w:tcBorders>
              <w:top w:val="single" w:sz="4" w:space="0" w:color="auto"/>
              <w:left w:val="single" w:sz="4" w:space="0" w:color="auto"/>
              <w:bottom w:val="single" w:sz="4" w:space="0" w:color="auto"/>
              <w:right w:val="single" w:sz="4" w:space="0" w:color="auto"/>
            </w:tcBorders>
            <w:vAlign w:val="center"/>
          </w:tcPr>
          <w:p w14:paraId="4789ED04"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A Mobile Network Operator or Mobile Virtual Network Operator; a company providing wireless cellular network services.</w:t>
            </w:r>
          </w:p>
        </w:tc>
      </w:tr>
      <w:tr w:rsidR="00B97365" w14:paraId="3903AE31"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E62812A" w14:textId="77777777" w:rsidR="00B97365" w:rsidRDefault="00000000">
            <w:pPr>
              <w:spacing w:before="40" w:after="40" w:line="276" w:lineRule="auto"/>
              <w:jc w:val="left"/>
              <w:rPr>
                <w:sz w:val="20"/>
                <w:szCs w:val="22"/>
                <w:lang w:eastAsia="de-DE" w:bidi="ar-SA"/>
              </w:rPr>
            </w:pPr>
            <w:r>
              <w:rPr>
                <w:rFonts w:cs="Arial"/>
                <w:sz w:val="20"/>
                <w:szCs w:val="22"/>
                <w:lang w:eastAsia="de-DE" w:bidi="ar-SA"/>
              </w:rPr>
              <w:t>Operator Notification Configuration (ONC)</w:t>
            </w:r>
          </w:p>
        </w:tc>
        <w:tc>
          <w:tcPr>
            <w:tcW w:w="5935" w:type="dxa"/>
            <w:tcBorders>
              <w:top w:val="single" w:sz="4" w:space="0" w:color="auto"/>
              <w:left w:val="single" w:sz="4" w:space="0" w:color="auto"/>
              <w:bottom w:val="single" w:sz="4" w:space="0" w:color="auto"/>
              <w:right w:val="single" w:sz="4" w:space="0" w:color="auto"/>
            </w:tcBorders>
            <w:vAlign w:val="center"/>
          </w:tcPr>
          <w:p w14:paraId="6401ED91" w14:textId="77777777" w:rsidR="00B97365" w:rsidRDefault="00000000">
            <w:pPr>
              <w:spacing w:before="40" w:after="40" w:line="276" w:lineRule="auto"/>
              <w:jc w:val="left"/>
              <w:rPr>
                <w:sz w:val="20"/>
                <w:szCs w:val="22"/>
                <w:lang w:eastAsia="de-DE" w:bidi="ar-SA"/>
              </w:rPr>
            </w:pPr>
            <w:r>
              <w:rPr>
                <w:sz w:val="20"/>
                <w:szCs w:val="22"/>
                <w:lang w:eastAsia="de-DE" w:bidi="ar-SA"/>
              </w:rPr>
              <w:t xml:space="preserve">Operator request to configure Operator specific status change notifications for Profiles owned by this Operator. </w:t>
            </w:r>
          </w:p>
        </w:tc>
      </w:tr>
      <w:tr w:rsidR="00B97365" w14:paraId="24499101"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D3E517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Orphaned Profile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AC7F68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 Profile whose Policy Rules have become unmanageable, for example due to the termination of the Customer’s contract with the Operator.</w:t>
            </w:r>
          </w:p>
        </w:tc>
      </w:tr>
      <w:tr w:rsidR="00B97365" w14:paraId="6378FB8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54CA5C9"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OTA Keys</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880E25D"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The credentials included in the Profile, used in conjunction with OTA Platforms.</w:t>
            </w:r>
          </w:p>
        </w:tc>
      </w:tr>
      <w:tr w:rsidR="00B97365" w14:paraId="72569E6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356398B"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OTA Platform</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DEA58A0"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An Operator platform for remote management of UICCs and the content of Enabled Operator Profiles on eUICCs.</w:t>
            </w:r>
          </w:p>
        </w:tc>
      </w:tr>
      <w:tr w:rsidR="00B97365" w14:paraId="3C9473E3"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007E30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PIX</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99D8F6F" w14:textId="77777777" w:rsidR="00B97365" w:rsidRDefault="00000000">
            <w:pPr>
              <w:spacing w:before="40" w:after="40" w:line="276" w:lineRule="auto"/>
              <w:jc w:val="left"/>
              <w:rPr>
                <w:rFonts w:cs="Arial"/>
                <w:sz w:val="20"/>
                <w:szCs w:val="25"/>
                <w:lang w:eastAsia="de-DE" w:bidi="ar-SA"/>
              </w:rPr>
            </w:pPr>
            <w:r>
              <w:rPr>
                <w:rFonts w:cs="Arial"/>
                <w:sz w:val="20"/>
                <w:szCs w:val="22"/>
                <w:lang w:val="en-US" w:eastAsia="de-DE" w:bidi="ar-SA"/>
              </w:rPr>
              <w:t>Proprietary application Identifier eXtension, the value of which is part of the AID.</w:t>
            </w:r>
          </w:p>
        </w:tc>
      </w:tr>
      <w:tr w:rsidR="00B97365" w14:paraId="49613C4C"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62E956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Platform Management </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4270E6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 set of functions related to the enabling, disabling and deletion of a Profile on and the transport of Profile Management functions to an eUICC. Platform Management actions are protected by Platform Management Credentials shared between the SM-SR and the ISD-R. Platform Management does not affect the content of a Profile.</w:t>
            </w:r>
          </w:p>
        </w:tc>
      </w:tr>
      <w:tr w:rsidR="00B97365" w14:paraId="3E786C87"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252FB23" w14:textId="77777777" w:rsidR="00B97365" w:rsidRDefault="00000000">
            <w:pPr>
              <w:spacing w:before="40" w:after="40" w:line="276" w:lineRule="auto"/>
              <w:jc w:val="left"/>
              <w:rPr>
                <w:rFonts w:cs="Arial"/>
                <w:sz w:val="20"/>
                <w:szCs w:val="22"/>
                <w:lang w:val="en-US" w:eastAsia="de-DE" w:bidi="ar-SA"/>
              </w:rPr>
            </w:pPr>
            <w:r>
              <w:rPr>
                <w:rFonts w:cs="Arial"/>
                <w:sz w:val="20"/>
                <w:szCs w:val="22"/>
                <w:lang w:val="en-US" w:eastAsia="de-DE" w:bidi="ar-SA"/>
              </w:rPr>
              <w:t>Profile Component</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4794B27" w14:textId="77777777" w:rsidR="00B97365" w:rsidRDefault="00000000">
            <w:pPr>
              <w:spacing w:before="40" w:after="40" w:line="276" w:lineRule="auto"/>
              <w:jc w:val="left"/>
              <w:rPr>
                <w:rFonts w:cs="Arial"/>
                <w:sz w:val="20"/>
                <w:szCs w:val="25"/>
                <w:lang w:val="en-US" w:eastAsia="de-DE" w:bidi="ar-SA"/>
              </w:rPr>
            </w:pPr>
            <w:r>
              <w:rPr>
                <w:rFonts w:cs="Arial"/>
                <w:sz w:val="20"/>
                <w:szCs w:val="22"/>
                <w:lang w:val="en-US" w:eastAsia="de-DE" w:bidi="ar-SA"/>
              </w:rPr>
              <w:t>A Profile Component is an element of the Profile and may be one of the following:</w:t>
            </w:r>
          </w:p>
          <w:p w14:paraId="2C44DE0D" w14:textId="77777777" w:rsidR="00B97365" w:rsidRDefault="00000000">
            <w:pPr>
              <w:spacing w:before="40" w:after="40" w:line="276" w:lineRule="auto"/>
              <w:jc w:val="left"/>
              <w:rPr>
                <w:rFonts w:cs="Arial"/>
                <w:sz w:val="20"/>
                <w:szCs w:val="25"/>
                <w:lang w:val="en-US" w:eastAsia="de-DE" w:bidi="ar-SA"/>
              </w:rPr>
            </w:pPr>
            <w:r>
              <w:rPr>
                <w:rFonts w:cs="Arial"/>
                <w:sz w:val="20"/>
                <w:szCs w:val="22"/>
                <w:lang w:val="en-US" w:eastAsia="de-DE" w:bidi="ar-SA"/>
              </w:rPr>
              <w:t>An element of the file system like an MF, EF or DF</w:t>
            </w:r>
          </w:p>
          <w:p w14:paraId="69076C1E" w14:textId="77777777" w:rsidR="00B97365" w:rsidRDefault="00000000">
            <w:pPr>
              <w:spacing w:before="40" w:after="40" w:line="276" w:lineRule="auto"/>
              <w:jc w:val="left"/>
              <w:rPr>
                <w:rFonts w:cs="Arial"/>
                <w:sz w:val="20"/>
                <w:szCs w:val="25"/>
                <w:lang w:val="en-US" w:eastAsia="de-DE" w:bidi="ar-SA"/>
              </w:rPr>
            </w:pPr>
            <w:r>
              <w:rPr>
                <w:rFonts w:cs="Arial"/>
                <w:sz w:val="20"/>
                <w:szCs w:val="22"/>
                <w:lang w:val="en-US" w:eastAsia="de-DE" w:bidi="ar-SA"/>
              </w:rPr>
              <w:t>An Application, including  NAA and Security Domain</w:t>
            </w:r>
          </w:p>
          <w:p w14:paraId="5CCB9B1B" w14:textId="77777777" w:rsidR="00B97365" w:rsidRDefault="00000000">
            <w:pPr>
              <w:spacing w:before="40" w:after="40" w:line="276" w:lineRule="auto"/>
              <w:jc w:val="left"/>
              <w:rPr>
                <w:rFonts w:cs="Arial"/>
                <w:sz w:val="20"/>
                <w:szCs w:val="25"/>
                <w:lang w:val="en-US" w:eastAsia="de-DE" w:bidi="ar-SA"/>
              </w:rPr>
            </w:pPr>
            <w:r>
              <w:rPr>
                <w:rFonts w:cs="Arial"/>
                <w:sz w:val="20"/>
                <w:szCs w:val="22"/>
                <w:lang w:val="en-US" w:eastAsia="de-DE" w:bidi="ar-SA"/>
              </w:rPr>
              <w:t>POL1</w:t>
            </w:r>
          </w:p>
          <w:p w14:paraId="0A0A3D58" w14:textId="77777777" w:rsidR="00B97365" w:rsidRDefault="00000000">
            <w:pPr>
              <w:spacing w:before="40" w:after="40" w:line="276" w:lineRule="auto"/>
              <w:jc w:val="left"/>
              <w:rPr>
                <w:rFonts w:cs="Arial"/>
                <w:sz w:val="20"/>
                <w:szCs w:val="22"/>
                <w:lang w:val="en-US" w:eastAsia="de-DE" w:bidi="ar-SA"/>
              </w:rPr>
            </w:pPr>
            <w:r>
              <w:rPr>
                <w:rFonts w:cs="Arial"/>
                <w:sz w:val="20"/>
                <w:szCs w:val="22"/>
                <w:lang w:val="en-US" w:eastAsia="de-DE" w:bidi="ar-SA"/>
              </w:rPr>
              <w:t>MNO-SD.</w:t>
            </w:r>
          </w:p>
          <w:p w14:paraId="45E006FA" w14:textId="77777777" w:rsidR="00B97365" w:rsidRDefault="00000000">
            <w:pPr>
              <w:spacing w:before="40" w:after="40" w:line="276" w:lineRule="auto"/>
              <w:jc w:val="left"/>
              <w:rPr>
                <w:rFonts w:cs="Arial"/>
                <w:sz w:val="20"/>
                <w:szCs w:val="22"/>
                <w:lang w:val="en-US" w:eastAsia="de-DE" w:bidi="ar-SA"/>
              </w:rPr>
            </w:pPr>
            <w:r>
              <w:rPr>
                <w:rFonts w:cs="Arial"/>
                <w:sz w:val="20"/>
                <w:szCs w:val="22"/>
                <w:lang w:val="en-US" w:eastAsia="de-DE" w:bidi="ar-SA"/>
              </w:rPr>
              <w:t>Connectivity Parameters.</w:t>
            </w:r>
          </w:p>
        </w:tc>
      </w:tr>
      <w:tr w:rsidR="00B97365" w14:paraId="64A2EBD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CE84A5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Platform Management Credentials</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679AB0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Data required within an eUICC so that a secured communication can be set up between an external entity and the eUICC in order to enable, disable and delete Profiles on the eUICC and to transport Profile Management functions.</w:t>
            </w:r>
          </w:p>
        </w:tc>
      </w:tr>
      <w:tr w:rsidR="00B97365" w14:paraId="4CB0115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93E1E5F"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Policy</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F20141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Principles reflected in a set of rules that governs the behaviour of eUICC and/or entities involved in the remote management of the eUICC.</w:t>
            </w:r>
          </w:p>
        </w:tc>
      </w:tr>
      <w:tr w:rsidR="00B97365" w14:paraId="65643A2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199740E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Policy Rule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AA0C9A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Defines the atomic action of a Policy and the conditions under which it is executed.</w:t>
            </w:r>
          </w:p>
        </w:tc>
      </w:tr>
      <w:tr w:rsidR="00B97365" w14:paraId="6FD8C769"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11785A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Profile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E6FBE0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Combination of a file structure, data and applications to be provisioned onto, or present on, an eUICC </w:t>
            </w:r>
            <w:r>
              <w:rPr>
                <w:rFonts w:cs="Arial"/>
                <w:sz w:val="20"/>
                <w:szCs w:val="22"/>
                <w:lang w:val="en-US" w:eastAsia="de-DE" w:bidi="ar-SA"/>
              </w:rPr>
              <w:t>and which allows, when enabled, the access to a specific mobile network infrastructure</w:t>
            </w:r>
            <w:r>
              <w:rPr>
                <w:rFonts w:cs="Arial"/>
                <w:sz w:val="20"/>
                <w:szCs w:val="22"/>
                <w:lang w:eastAsia="de-DE" w:bidi="ar-SA"/>
              </w:rPr>
              <w:t>.</w:t>
            </w:r>
          </w:p>
        </w:tc>
      </w:tr>
      <w:tr w:rsidR="00B97365" w14:paraId="535070B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A66F6EF" w14:textId="77777777" w:rsidR="00B97365" w:rsidRDefault="00000000">
            <w:pPr>
              <w:spacing w:before="40" w:after="40" w:line="276" w:lineRule="auto"/>
              <w:jc w:val="left"/>
              <w:rPr>
                <w:rFonts w:cs="Arial"/>
                <w:sz w:val="20"/>
                <w:szCs w:val="22"/>
                <w:lang w:eastAsia="de-DE" w:bidi="ar-SA"/>
              </w:rPr>
            </w:pPr>
            <w:r>
              <w:rPr>
                <w:sz w:val="20"/>
                <w:szCs w:val="22"/>
                <w:lang w:eastAsia="de-DE" w:bidi="ar-SA"/>
              </w:rPr>
              <w:lastRenderedPageBreak/>
              <w:t>Profile Lifecycle Management</w:t>
            </w:r>
          </w:p>
        </w:tc>
        <w:tc>
          <w:tcPr>
            <w:tcW w:w="5935" w:type="dxa"/>
            <w:tcBorders>
              <w:top w:val="single" w:sz="4" w:space="0" w:color="auto"/>
              <w:left w:val="single" w:sz="4" w:space="0" w:color="auto"/>
              <w:bottom w:val="single" w:sz="4" w:space="0" w:color="auto"/>
              <w:right w:val="single" w:sz="4" w:space="0" w:color="auto"/>
            </w:tcBorders>
            <w:vAlign w:val="center"/>
          </w:tcPr>
          <w:p w14:paraId="0B1C2F54"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Execution of certain Platform Management commands by the M2M SP on a Profile, based on prior Profile Lifecycle Management Authorisation from the Operator owning the Profile.</w:t>
            </w:r>
          </w:p>
        </w:tc>
      </w:tr>
      <w:tr w:rsidR="00B97365" w14:paraId="3025E1E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0004BEF" w14:textId="77777777" w:rsidR="00B97365" w:rsidRDefault="00000000">
            <w:pPr>
              <w:spacing w:before="40" w:after="40" w:line="276" w:lineRule="auto"/>
              <w:jc w:val="left"/>
              <w:rPr>
                <w:sz w:val="20"/>
                <w:szCs w:val="22"/>
                <w:lang w:eastAsia="de-DE" w:bidi="ar-SA"/>
              </w:rPr>
            </w:pPr>
            <w:r>
              <w:rPr>
                <w:sz w:val="20"/>
              </w:rPr>
              <w:t>Profile Lifecycle Management Authorisation (PLMA)</w:t>
            </w:r>
          </w:p>
        </w:tc>
        <w:tc>
          <w:tcPr>
            <w:tcW w:w="5935" w:type="dxa"/>
            <w:tcBorders>
              <w:top w:val="single" w:sz="4" w:space="0" w:color="auto"/>
              <w:left w:val="single" w:sz="4" w:space="0" w:color="auto"/>
              <w:bottom w:val="single" w:sz="4" w:space="0" w:color="auto"/>
              <w:right w:val="single" w:sz="4" w:space="0" w:color="auto"/>
            </w:tcBorders>
            <w:vAlign w:val="center"/>
          </w:tcPr>
          <w:p w14:paraId="366DDF8D" w14:textId="77777777" w:rsidR="00B97365" w:rsidRDefault="00000000">
            <w:pPr>
              <w:spacing w:before="40" w:after="40" w:line="276" w:lineRule="auto"/>
              <w:jc w:val="left"/>
              <w:rPr>
                <w:sz w:val="20"/>
                <w:szCs w:val="22"/>
                <w:lang w:eastAsia="de-DE" w:bidi="ar-SA"/>
              </w:rPr>
            </w:pPr>
            <w:r>
              <w:rPr>
                <w:sz w:val="20"/>
                <w:szCs w:val="22"/>
                <w:lang w:eastAsia="de-DE" w:bidi="ar-SA"/>
              </w:rPr>
              <w:t>Authorisation given by an Operator to an M2M SP to permit Profile Lifecycle Management.  Such authorisations are managed by the SM-SR.</w:t>
            </w:r>
          </w:p>
        </w:tc>
      </w:tr>
      <w:tr w:rsidR="00B97365" w14:paraId="4481E5AC"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857AE1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Profile Management </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6BF508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A set of functions related to the downloading, installation and content update of a Profile in a dedicated ISD-P on the eUICC. Download and installation are protected by Profile Management Credentials shared between the SM-DP and the ISD-P. </w:t>
            </w:r>
          </w:p>
        </w:tc>
      </w:tr>
      <w:tr w:rsidR="00B97365" w14:paraId="35CB9DBC"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654D70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Profile Management Credentials</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FC9A4FF"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Data required within an eUICC so that a Profile downloaded from an external entity can be decrypted and installed on the eUICC.</w:t>
            </w:r>
          </w:p>
        </w:tc>
      </w:tr>
      <w:tr w:rsidR="00B97365" w14:paraId="1B608FB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F6EF9A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Profile Owner</w:t>
            </w:r>
          </w:p>
        </w:tc>
        <w:tc>
          <w:tcPr>
            <w:tcW w:w="5935" w:type="dxa"/>
            <w:tcBorders>
              <w:top w:val="single" w:sz="4" w:space="0" w:color="auto"/>
              <w:left w:val="single" w:sz="4" w:space="0" w:color="auto"/>
              <w:bottom w:val="single" w:sz="4" w:space="0" w:color="auto"/>
              <w:right w:val="single" w:sz="4" w:space="0" w:color="auto"/>
            </w:tcBorders>
            <w:vAlign w:val="center"/>
          </w:tcPr>
          <w:p w14:paraId="3F6B888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The entity that controls the operations that can be performed upon its Profile. With the exception of Test Profiles, this is always the Operator.</w:t>
            </w:r>
          </w:p>
        </w:tc>
      </w:tr>
      <w:tr w:rsidR="00B97365" w14:paraId="486FAA4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276F517"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Profile Type</w:t>
            </w:r>
          </w:p>
        </w:tc>
        <w:tc>
          <w:tcPr>
            <w:tcW w:w="5935" w:type="dxa"/>
            <w:tcBorders>
              <w:top w:val="single" w:sz="4" w:space="0" w:color="auto"/>
              <w:left w:val="single" w:sz="4" w:space="0" w:color="auto"/>
              <w:bottom w:val="single" w:sz="4" w:space="0" w:color="auto"/>
              <w:right w:val="single" w:sz="4" w:space="0" w:color="auto"/>
            </w:tcBorders>
            <w:vAlign w:val="center"/>
          </w:tcPr>
          <w:p w14:paraId="08A54C60" w14:textId="6B8BDD1F" w:rsidR="00B97365" w:rsidRDefault="00000000">
            <w:pPr>
              <w:spacing w:before="40" w:after="40" w:line="276" w:lineRule="auto"/>
              <w:jc w:val="left"/>
              <w:rPr>
                <w:rFonts w:cs="Arial"/>
                <w:sz w:val="20"/>
                <w:szCs w:val="22"/>
                <w:lang w:eastAsia="de-DE" w:bidi="ar-SA"/>
              </w:rPr>
            </w:pPr>
            <w:r>
              <w:rPr>
                <w:rFonts w:cs="Arial"/>
                <w:sz w:val="20"/>
                <w:szCs w:val="22"/>
                <w:lang w:eastAsia="de-DE" w:bidi="ar-SA"/>
              </w:rPr>
              <w:t xml:space="preserve">Operator specific defined type of Profile. This is equivalent to the "ProfileType" as described in </w:t>
            </w:r>
            <w:r>
              <w:rPr>
                <w:rFonts w:cs="Arial"/>
                <w:sz w:val="20"/>
                <w:szCs w:val="22"/>
                <w:lang w:eastAsia="de-DE" w:bidi="ar-SA"/>
              </w:rPr>
              <w:fldChar w:fldCharType="begin"/>
            </w:r>
            <w:r>
              <w:rPr>
                <w:rFonts w:cs="Arial"/>
                <w:sz w:val="20"/>
                <w:szCs w:val="22"/>
                <w:lang w:eastAsia="de-DE" w:bidi="ar-SA"/>
              </w:rPr>
              <w:instrText xml:space="preserve"> REF _Ref536114978 \r \h </w:instrText>
            </w:r>
            <w:r>
              <w:rPr>
                <w:rFonts w:cs="Arial"/>
                <w:sz w:val="20"/>
                <w:szCs w:val="22"/>
                <w:lang w:eastAsia="de-DE" w:bidi="ar-SA"/>
              </w:rPr>
            </w:r>
            <w:r>
              <w:rPr>
                <w:rFonts w:cs="Arial"/>
                <w:sz w:val="20"/>
                <w:szCs w:val="22"/>
                <w:lang w:eastAsia="de-DE" w:bidi="ar-SA"/>
              </w:rPr>
              <w:fldChar w:fldCharType="separate"/>
            </w:r>
            <w:r w:rsidR="001D5AD9">
              <w:rPr>
                <w:rFonts w:cs="Arial"/>
                <w:sz w:val="20"/>
                <w:szCs w:val="22"/>
                <w:lang w:eastAsia="de-DE" w:bidi="ar-SA"/>
              </w:rPr>
              <w:t>5.1.1.2.4</w:t>
            </w:r>
            <w:r>
              <w:rPr>
                <w:rFonts w:cs="Arial"/>
                <w:sz w:val="20"/>
                <w:szCs w:val="22"/>
                <w:lang w:eastAsia="de-DE" w:bidi="ar-SA"/>
              </w:rPr>
              <w:fldChar w:fldCharType="end"/>
            </w:r>
            <w:r>
              <w:rPr>
                <w:rFonts w:cs="Arial"/>
                <w:sz w:val="20"/>
                <w:szCs w:val="22"/>
                <w:lang w:eastAsia="de-DE" w:bidi="ar-SA"/>
              </w:rPr>
              <w:t xml:space="preserve"> of this specification.</w:t>
            </w:r>
          </w:p>
        </w:tc>
      </w:tr>
      <w:tr w:rsidR="00B97365" w14:paraId="57AE318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EE3865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RID</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9A55B5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Registered Application Provider IDentifier, the value of which is part of the AID.</w:t>
            </w:r>
          </w:p>
        </w:tc>
      </w:tr>
      <w:tr w:rsidR="00B97365" w14:paraId="65383C7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0AF244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Roles</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A0F3A3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Roles are representing a logical grouping of functions.</w:t>
            </w:r>
          </w:p>
        </w:tc>
      </w:tr>
      <w:tr w:rsidR="00B97365" w14:paraId="78AC9A5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973C8A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Root Certificate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29E60723"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Self-signed certificate of the CI, used to authenticate certificates issued to other entities.</w:t>
            </w:r>
          </w:p>
        </w:tc>
      </w:tr>
      <w:tr w:rsidR="00B97365" w14:paraId="71B5B44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0A9C02B"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Script Chaining</w:t>
            </w:r>
          </w:p>
        </w:tc>
        <w:tc>
          <w:tcPr>
            <w:tcW w:w="5935" w:type="dxa"/>
            <w:tcBorders>
              <w:top w:val="single" w:sz="4" w:space="0" w:color="auto"/>
              <w:left w:val="single" w:sz="4" w:space="0" w:color="auto"/>
              <w:bottom w:val="single" w:sz="4" w:space="0" w:color="auto"/>
              <w:right w:val="single" w:sz="4" w:space="0" w:color="auto"/>
            </w:tcBorders>
            <w:vAlign w:val="center"/>
          </w:tcPr>
          <w:p w14:paraId="5B3DECE3" w14:textId="77777777" w:rsidR="00B97365" w:rsidRDefault="00000000">
            <w:pPr>
              <w:spacing w:before="40" w:after="40" w:line="276" w:lineRule="auto"/>
              <w:jc w:val="left"/>
              <w:rPr>
                <w:rFonts w:cs="Arial"/>
                <w:sz w:val="20"/>
                <w:szCs w:val="22"/>
                <w:lang w:eastAsia="de-DE" w:bidi="ar-SA"/>
              </w:rPr>
            </w:pPr>
            <w:r>
              <w:rPr>
                <w:rFonts w:cs="Arial"/>
                <w:sz w:val="20"/>
                <w:szCs w:val="25"/>
                <w:lang w:eastAsia="de-DE" w:bidi="ar-SA"/>
              </w:rPr>
              <w:t>Indication that a command script is split over several secured messages. Script Chaining indicators will specify when to keep and restore the command context at the boundary of secure channels that transport the different parts of the command script</w:t>
            </w:r>
          </w:p>
        </w:tc>
      </w:tr>
      <w:tr w:rsidR="00B97365" w14:paraId="3E03C55B"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2D2E72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Security Domain Image Number (SDIN)</w:t>
            </w:r>
          </w:p>
        </w:tc>
        <w:tc>
          <w:tcPr>
            <w:tcW w:w="5935" w:type="dxa"/>
            <w:tcBorders>
              <w:top w:val="single" w:sz="4" w:space="0" w:color="auto"/>
              <w:left w:val="single" w:sz="4" w:space="0" w:color="auto"/>
              <w:bottom w:val="single" w:sz="4" w:space="0" w:color="auto"/>
              <w:right w:val="single" w:sz="4" w:space="0" w:color="auto"/>
            </w:tcBorders>
            <w:vAlign w:val="center"/>
          </w:tcPr>
          <w:p w14:paraId="4FF9D240" w14:textId="2421C703" w:rsidR="00B97365" w:rsidRDefault="00000000">
            <w:pPr>
              <w:spacing w:before="40" w:after="40" w:line="276" w:lineRule="auto"/>
              <w:jc w:val="left"/>
              <w:rPr>
                <w:rFonts w:cs="Arial"/>
                <w:sz w:val="20"/>
                <w:szCs w:val="25"/>
                <w:lang w:eastAsia="de-DE" w:bidi="ar-SA"/>
              </w:rPr>
            </w:pPr>
            <w:r>
              <w:rPr>
                <w:rFonts w:cs="Arial"/>
                <w:sz w:val="20"/>
                <w:szCs w:val="25"/>
                <w:lang w:eastAsia="de-DE" w:bidi="ar-SA"/>
              </w:rPr>
              <w:t xml:space="preserve">Identification number used by an Application Management System to uniquely identify an instance of a Security Domain on a card as specified in GlobalPlatform Card Specification </w:t>
            </w:r>
            <w:r>
              <w:rPr>
                <w:rFonts w:cs="Arial"/>
                <w:sz w:val="20"/>
                <w:szCs w:val="25"/>
                <w:lang w:eastAsia="de-DE" w:bidi="ar-SA"/>
              </w:rPr>
              <w:fldChar w:fldCharType="begin"/>
            </w:r>
            <w:r>
              <w:rPr>
                <w:rFonts w:cs="Arial"/>
                <w:sz w:val="20"/>
                <w:szCs w:val="25"/>
                <w:lang w:eastAsia="de-DE" w:bidi="ar-SA"/>
              </w:rPr>
              <w:instrText xml:space="preserve"> REF _Ref471395513 \r \h </w:instrText>
            </w:r>
            <w:r>
              <w:rPr>
                <w:rFonts w:cs="Arial"/>
                <w:sz w:val="20"/>
                <w:szCs w:val="25"/>
                <w:lang w:eastAsia="de-DE" w:bidi="ar-SA"/>
              </w:rPr>
            </w:r>
            <w:r>
              <w:rPr>
                <w:rFonts w:cs="Arial"/>
                <w:sz w:val="20"/>
                <w:szCs w:val="25"/>
                <w:lang w:eastAsia="de-DE" w:bidi="ar-SA"/>
              </w:rPr>
              <w:fldChar w:fldCharType="separate"/>
            </w:r>
            <w:r w:rsidR="001D5AD9">
              <w:rPr>
                <w:rFonts w:cs="Arial"/>
                <w:sz w:val="20"/>
                <w:szCs w:val="25"/>
                <w:lang w:eastAsia="de-DE" w:bidi="ar-SA"/>
              </w:rPr>
              <w:t>[6]</w:t>
            </w:r>
            <w:r>
              <w:rPr>
                <w:rFonts w:cs="Arial"/>
                <w:sz w:val="20"/>
                <w:szCs w:val="25"/>
                <w:lang w:eastAsia="de-DE" w:bidi="ar-SA"/>
              </w:rPr>
              <w:fldChar w:fldCharType="end"/>
            </w:r>
            <w:r>
              <w:rPr>
                <w:rFonts w:cs="Arial"/>
                <w:sz w:val="20"/>
                <w:szCs w:val="25"/>
                <w:lang w:eastAsia="de-DE" w:bidi="ar-SA"/>
              </w:rPr>
              <w:t>.</w:t>
            </w:r>
          </w:p>
        </w:tc>
      </w:tr>
      <w:tr w:rsidR="00B97365" w14:paraId="64198F07"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1B70150"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Security Domain Provider Identification Number (SIN)</w:t>
            </w:r>
          </w:p>
        </w:tc>
        <w:tc>
          <w:tcPr>
            <w:tcW w:w="5935" w:type="dxa"/>
            <w:tcBorders>
              <w:top w:val="single" w:sz="4" w:space="0" w:color="auto"/>
              <w:left w:val="single" w:sz="4" w:space="0" w:color="auto"/>
              <w:bottom w:val="single" w:sz="4" w:space="0" w:color="auto"/>
              <w:right w:val="single" w:sz="4" w:space="0" w:color="auto"/>
            </w:tcBorders>
            <w:vAlign w:val="center"/>
          </w:tcPr>
          <w:p w14:paraId="54BA17F4" w14:textId="2D956FF7" w:rsidR="00B97365" w:rsidRDefault="00000000">
            <w:pPr>
              <w:spacing w:before="40" w:after="40" w:line="276" w:lineRule="auto"/>
              <w:jc w:val="left"/>
              <w:rPr>
                <w:rFonts w:cs="Arial"/>
                <w:sz w:val="20"/>
                <w:szCs w:val="25"/>
                <w:lang w:eastAsia="de-DE" w:bidi="ar-SA"/>
              </w:rPr>
            </w:pPr>
            <w:r>
              <w:rPr>
                <w:rFonts w:cs="Arial"/>
                <w:sz w:val="20"/>
                <w:szCs w:val="25"/>
                <w:lang w:eastAsia="de-DE" w:bidi="ar-SA"/>
              </w:rPr>
              <w:t xml:space="preserve">Identification number used by an off-card entity to associate the Security Domain with a specific Card Management System, as specified in GlobalPlatform Card Specification </w:t>
            </w:r>
            <w:r>
              <w:rPr>
                <w:rFonts w:cs="Arial"/>
                <w:sz w:val="20"/>
                <w:szCs w:val="25"/>
                <w:lang w:eastAsia="de-DE" w:bidi="ar-SA"/>
              </w:rPr>
              <w:fldChar w:fldCharType="begin"/>
            </w:r>
            <w:r>
              <w:rPr>
                <w:rFonts w:cs="Arial"/>
                <w:sz w:val="20"/>
                <w:szCs w:val="25"/>
                <w:lang w:eastAsia="de-DE" w:bidi="ar-SA"/>
              </w:rPr>
              <w:instrText xml:space="preserve"> REF _Ref471395513 \r \h </w:instrText>
            </w:r>
            <w:r>
              <w:rPr>
                <w:rFonts w:cs="Arial"/>
                <w:sz w:val="20"/>
                <w:szCs w:val="25"/>
                <w:lang w:eastAsia="de-DE" w:bidi="ar-SA"/>
              </w:rPr>
            </w:r>
            <w:r>
              <w:rPr>
                <w:rFonts w:cs="Arial"/>
                <w:sz w:val="20"/>
                <w:szCs w:val="25"/>
                <w:lang w:eastAsia="de-DE" w:bidi="ar-SA"/>
              </w:rPr>
              <w:fldChar w:fldCharType="separate"/>
            </w:r>
            <w:r w:rsidR="001D5AD9">
              <w:rPr>
                <w:rFonts w:cs="Arial"/>
                <w:sz w:val="20"/>
                <w:szCs w:val="25"/>
                <w:lang w:eastAsia="de-DE" w:bidi="ar-SA"/>
              </w:rPr>
              <w:t>[6]</w:t>
            </w:r>
            <w:r>
              <w:rPr>
                <w:rFonts w:cs="Arial"/>
                <w:sz w:val="20"/>
                <w:szCs w:val="25"/>
                <w:lang w:eastAsia="de-DE" w:bidi="ar-SA"/>
              </w:rPr>
              <w:fldChar w:fldCharType="end"/>
            </w:r>
            <w:r>
              <w:rPr>
                <w:rFonts w:cs="Arial"/>
                <w:sz w:val="20"/>
                <w:szCs w:val="25"/>
                <w:lang w:eastAsia="de-DE" w:bidi="ar-SA"/>
              </w:rPr>
              <w:t>.</w:t>
            </w:r>
          </w:p>
          <w:p w14:paraId="0235C6D5" w14:textId="4F1BFC51" w:rsidR="00B97365" w:rsidRDefault="00000000">
            <w:pPr>
              <w:spacing w:before="40" w:after="40" w:line="276" w:lineRule="auto"/>
              <w:jc w:val="left"/>
              <w:rPr>
                <w:rFonts w:cs="Arial"/>
                <w:sz w:val="20"/>
                <w:szCs w:val="25"/>
                <w:lang w:eastAsia="de-DE" w:bidi="ar-SA"/>
              </w:rPr>
            </w:pPr>
            <w:r>
              <w:rPr>
                <w:rFonts w:cs="Arial"/>
                <w:sz w:val="20"/>
                <w:szCs w:val="25"/>
                <w:lang w:eastAsia="de-DE" w:bidi="ar-SA"/>
              </w:rPr>
              <w:t xml:space="preserve">It is an IIN, typically contains the ISO 7812 </w:t>
            </w:r>
            <w:r>
              <w:rPr>
                <w:rFonts w:cs="Arial"/>
                <w:sz w:val="20"/>
                <w:szCs w:val="25"/>
                <w:lang w:eastAsia="de-DE" w:bidi="ar-SA"/>
              </w:rPr>
              <w:fldChar w:fldCharType="begin"/>
            </w:r>
            <w:r>
              <w:rPr>
                <w:rFonts w:cs="Arial"/>
                <w:sz w:val="20"/>
                <w:szCs w:val="25"/>
                <w:lang w:eastAsia="de-DE" w:bidi="ar-SA"/>
              </w:rPr>
              <w:instrText xml:space="preserve"> REF _Ref534214749 \r \h </w:instrText>
            </w:r>
            <w:r>
              <w:rPr>
                <w:rFonts w:cs="Arial"/>
                <w:sz w:val="20"/>
                <w:szCs w:val="25"/>
                <w:lang w:eastAsia="de-DE" w:bidi="ar-SA"/>
              </w:rPr>
            </w:r>
            <w:r>
              <w:rPr>
                <w:rFonts w:cs="Arial"/>
                <w:sz w:val="20"/>
                <w:szCs w:val="25"/>
                <w:lang w:eastAsia="de-DE" w:bidi="ar-SA"/>
              </w:rPr>
              <w:fldChar w:fldCharType="separate"/>
            </w:r>
            <w:r w:rsidR="001D5AD9">
              <w:rPr>
                <w:rFonts w:cs="Arial"/>
                <w:sz w:val="20"/>
                <w:szCs w:val="25"/>
                <w:lang w:eastAsia="de-DE" w:bidi="ar-SA"/>
              </w:rPr>
              <w:t>[19]</w:t>
            </w:r>
            <w:r>
              <w:rPr>
                <w:rFonts w:cs="Arial"/>
                <w:sz w:val="20"/>
                <w:szCs w:val="25"/>
                <w:lang w:eastAsia="de-DE" w:bidi="ar-SA"/>
              </w:rPr>
              <w:fldChar w:fldCharType="end"/>
            </w:r>
            <w:r>
              <w:rPr>
                <w:rFonts w:cs="Arial"/>
                <w:sz w:val="20"/>
                <w:szCs w:val="25"/>
                <w:lang w:eastAsia="de-DE" w:bidi="ar-SA"/>
              </w:rPr>
              <w:t xml:space="preserve"> defined identification of the Security Domain provider.</w:t>
            </w:r>
          </w:p>
        </w:tc>
      </w:tr>
      <w:tr w:rsidR="00B97365" w14:paraId="0050A20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390DB7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Subscriber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2740E9A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An entity (associated with one or more users) that is engaged in a Subscription with a </w:t>
            </w:r>
            <w:r>
              <w:rPr>
                <w:rFonts w:cs="Arial"/>
                <w:sz w:val="20"/>
                <w:szCs w:val="22"/>
                <w:lang w:val="en-US" w:eastAsia="de-DE" w:bidi="ar-SA"/>
              </w:rPr>
              <w:t>Telecommunication</w:t>
            </w:r>
            <w:r>
              <w:rPr>
                <w:rFonts w:cs="Arial"/>
                <w:sz w:val="20"/>
                <w:szCs w:val="22"/>
                <w:lang w:eastAsia="de-DE" w:bidi="ar-SA"/>
              </w:rPr>
              <w:t xml:space="preserve"> Service Provider. The Subscriber is allowed to subscribe and unsubscribe to services, to register a user or a list of users authorised to use those services, and also to set the limits relative to the use that associated users make of those services.</w:t>
            </w:r>
          </w:p>
        </w:tc>
      </w:tr>
      <w:tr w:rsidR="00B97365" w14:paraId="4AC6D2C7"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065CCA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Subscription</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C67F24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Describes the commercial relationship between the Subscriber and the Telecommunication Service Provider.</w:t>
            </w:r>
          </w:p>
        </w:tc>
      </w:tr>
      <w:tr w:rsidR="00B97365" w14:paraId="3BD1D3B9"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8910A96" w14:textId="77777777" w:rsidR="00B97365" w:rsidRDefault="00000000">
            <w:pPr>
              <w:spacing w:before="40" w:after="40" w:line="276" w:lineRule="auto"/>
              <w:jc w:val="left"/>
              <w:rPr>
                <w:rFonts w:cs="Arial"/>
                <w:sz w:val="20"/>
                <w:szCs w:val="25"/>
                <w:lang w:eastAsia="de-DE" w:bidi="ar-SA"/>
              </w:rPr>
            </w:pPr>
            <w:r>
              <w:rPr>
                <w:rFonts w:cs="Arial"/>
                <w:sz w:val="20"/>
                <w:szCs w:val="22"/>
                <w:lang w:val="en-US" w:eastAsia="de-DE" w:bidi="ar-SA"/>
              </w:rPr>
              <w:lastRenderedPageBreak/>
              <w:t>Subscription Address</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F5004B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 unique network address, such as MSISDN, IMSI or SIP-URI, of a mobile Subscription within a mobile network. It is used to route messages, for example SMS, to the eUICC.</w:t>
            </w:r>
          </w:p>
        </w:tc>
      </w:tr>
      <w:tr w:rsidR="00B97365" w14:paraId="7F06F7DE"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BB421C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Subscription Manager Data Preparation</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88059EF"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Role that prepares the Profiles to be securely provisioned on the eUICC and manages the secure download and installation of these Profiles onto the eUICC.</w:t>
            </w:r>
          </w:p>
        </w:tc>
      </w:tr>
      <w:tr w:rsidR="00B97365" w14:paraId="2330349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95FFBE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Subscription Manager Secure Routing</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24EC6E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Role that securely performs functions of Platform Management commands and the transport of Profile Management commands.</w:t>
            </w:r>
          </w:p>
        </w:tc>
      </w:tr>
      <w:tr w:rsidR="00B97365" w14:paraId="1ED436D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B5DC3E6"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Tamper Resistant Element</w:t>
            </w:r>
          </w:p>
        </w:tc>
        <w:tc>
          <w:tcPr>
            <w:tcW w:w="5935" w:type="dxa"/>
            <w:tcBorders>
              <w:top w:val="single" w:sz="4" w:space="0" w:color="auto"/>
              <w:left w:val="single" w:sz="4" w:space="0" w:color="auto"/>
              <w:bottom w:val="single" w:sz="4" w:space="0" w:color="auto"/>
              <w:right w:val="single" w:sz="4" w:space="0" w:color="auto"/>
            </w:tcBorders>
            <w:vAlign w:val="center"/>
          </w:tcPr>
          <w:p w14:paraId="27310687"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 security module consisting of hardware and low-level software providing resistance against software and hardware attacks, capable of securely hosting operating systems together with applications and their confidential and cryptographic data.</w:t>
            </w:r>
          </w:p>
        </w:tc>
      </w:tr>
      <w:tr w:rsidR="00B97365" w14:paraId="69DAA95E"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E47DE9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Telecommunication Service Provider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63351EC" w14:textId="77777777" w:rsidR="00B97365" w:rsidRDefault="00000000">
            <w:pPr>
              <w:spacing w:before="40" w:after="40" w:line="276" w:lineRule="auto"/>
              <w:jc w:val="left"/>
              <w:rPr>
                <w:rFonts w:cs="Arial"/>
                <w:sz w:val="20"/>
                <w:szCs w:val="25"/>
                <w:lang w:eastAsia="de-DE" w:bidi="ar-SA"/>
              </w:rPr>
            </w:pPr>
            <w:r>
              <w:rPr>
                <w:rFonts w:cs="Arial"/>
                <w:sz w:val="20"/>
                <w:szCs w:val="22"/>
                <w:lang w:val="en-US" w:eastAsia="de-DE" w:bidi="ar-SA"/>
              </w:rPr>
              <w:t>An entity that provides Subscriptions to Subscribers either as part of an Operator or as a party with a wholesale agreement with an Operator. The Telecommunication Service Provider could also be the Operator.</w:t>
            </w:r>
          </w:p>
        </w:tc>
      </w:tr>
      <w:tr w:rsidR="00B97365" w14:paraId="1442577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4A064CD"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Test Profile</w:t>
            </w:r>
          </w:p>
        </w:tc>
        <w:tc>
          <w:tcPr>
            <w:tcW w:w="5935" w:type="dxa"/>
            <w:tcBorders>
              <w:top w:val="single" w:sz="4" w:space="0" w:color="auto"/>
              <w:left w:val="single" w:sz="4" w:space="0" w:color="auto"/>
              <w:bottom w:val="single" w:sz="4" w:space="0" w:color="auto"/>
              <w:right w:val="single" w:sz="4" w:space="0" w:color="auto"/>
            </w:tcBorders>
            <w:vAlign w:val="center"/>
          </w:tcPr>
          <w:p w14:paraId="1847C44C" w14:textId="77777777" w:rsidR="00B97365" w:rsidRDefault="00000000">
            <w:pPr>
              <w:spacing w:before="40" w:after="40" w:line="276" w:lineRule="auto"/>
              <w:jc w:val="left"/>
              <w:rPr>
                <w:rFonts w:cs="Arial"/>
                <w:sz w:val="20"/>
                <w:szCs w:val="22"/>
                <w:lang w:val="en-US" w:eastAsia="de-DE" w:bidi="ar-SA"/>
              </w:rPr>
            </w:pPr>
            <w:r>
              <w:rPr>
                <w:sz w:val="20"/>
                <w:szCs w:val="22"/>
                <w:lang w:eastAsia="de-DE" w:bidi="ar-SA"/>
              </w:rPr>
              <w:t xml:space="preserve">A combination of data and applications to be provisioned on an eUICC to provide connectivity to test equipment for the purpose of testing the Device and the eUICC. A Test Profile does not allow access to an ITU-E.212 [16] network. </w:t>
            </w:r>
          </w:p>
        </w:tc>
      </w:tr>
    </w:tbl>
    <w:p w14:paraId="5021A753"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83" w:name="_Toc374345654"/>
      <w:bookmarkStart w:id="84" w:name="_Toc374346000"/>
      <w:bookmarkStart w:id="85" w:name="_Toc374346345"/>
      <w:bookmarkStart w:id="86" w:name="_Toc374346691"/>
      <w:bookmarkStart w:id="87" w:name="_Toc368932150"/>
      <w:bookmarkStart w:id="88" w:name="_Toc374348466"/>
      <w:bookmarkStart w:id="89" w:name="_Toc375158191"/>
      <w:bookmarkStart w:id="90" w:name="_Toc398214775"/>
      <w:bookmarkStart w:id="91" w:name="_Toc420594301"/>
      <w:bookmarkStart w:id="92" w:name="_Toc421874233"/>
      <w:bookmarkStart w:id="93" w:name="_Toc422150660"/>
      <w:bookmarkStart w:id="94" w:name="_Toc448998191"/>
      <w:bookmarkStart w:id="95" w:name="_Toc486332807"/>
      <w:bookmarkStart w:id="96" w:name="_Toc1977205"/>
      <w:bookmarkStart w:id="97" w:name="_Toc37062360"/>
      <w:bookmarkStart w:id="98" w:name="_Toc88839484"/>
      <w:bookmarkStart w:id="99" w:name="_Toc121503892"/>
      <w:bookmarkEnd w:id="83"/>
      <w:bookmarkEnd w:id="84"/>
      <w:bookmarkEnd w:id="85"/>
      <w:bookmarkEnd w:id="86"/>
      <w:r>
        <w:rPr>
          <w:rFonts w:eastAsia="Times New Roman" w:cs="Arial"/>
          <w:b/>
          <w:bCs/>
          <w:iCs/>
          <w:sz w:val="24"/>
          <w:szCs w:val="28"/>
          <w:lang w:eastAsia="en-US"/>
        </w:rPr>
        <w:t>Abbreviations</w:t>
      </w:r>
      <w:bookmarkEnd w:id="87"/>
      <w:bookmarkEnd w:id="88"/>
      <w:bookmarkEnd w:id="89"/>
      <w:bookmarkEnd w:id="90"/>
      <w:bookmarkEnd w:id="91"/>
      <w:bookmarkEnd w:id="92"/>
      <w:bookmarkEnd w:id="93"/>
      <w:bookmarkEnd w:id="94"/>
      <w:bookmarkEnd w:id="95"/>
      <w:bookmarkEnd w:id="96"/>
      <w:bookmarkEnd w:id="97"/>
      <w:bookmarkEnd w:id="98"/>
      <w:bookmarkEnd w:id="9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5935"/>
      </w:tblGrid>
      <w:tr w:rsidR="00B97365" w14:paraId="1A14458C" w14:textId="77777777">
        <w:trPr>
          <w:cantSplit/>
        </w:trPr>
        <w:tc>
          <w:tcPr>
            <w:tcW w:w="283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61CFF1C" w14:textId="77777777" w:rsidR="00B97365" w:rsidRDefault="00000000">
            <w:pPr>
              <w:keepNext/>
              <w:spacing w:before="60" w:line="276" w:lineRule="auto"/>
              <w:jc w:val="center"/>
              <w:rPr>
                <w:rFonts w:cs="Arial"/>
                <w:b/>
                <w:color w:val="FFFFFF"/>
                <w:szCs w:val="22"/>
                <w:lang w:val="en-US" w:eastAsia="en-GB" w:bidi="ar-SA"/>
              </w:rPr>
            </w:pPr>
            <w:r>
              <w:rPr>
                <w:rFonts w:cs="Arial"/>
                <w:b/>
                <w:color w:val="FFFFFF"/>
                <w:szCs w:val="22"/>
                <w:lang w:val="en-US" w:eastAsia="en-GB" w:bidi="ar-SA"/>
              </w:rPr>
              <w:t>Abbreviation</w:t>
            </w:r>
          </w:p>
        </w:tc>
        <w:tc>
          <w:tcPr>
            <w:tcW w:w="593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173947D" w14:textId="77777777" w:rsidR="00B97365" w:rsidRDefault="00000000">
            <w:pPr>
              <w:keepNext/>
              <w:spacing w:before="60" w:line="276" w:lineRule="auto"/>
              <w:jc w:val="center"/>
              <w:rPr>
                <w:rFonts w:cs="Arial"/>
                <w:b/>
                <w:color w:val="FFFFFF"/>
                <w:szCs w:val="22"/>
                <w:lang w:val="en-US" w:eastAsia="en-GB" w:bidi="ar-SA"/>
              </w:rPr>
            </w:pPr>
            <w:r>
              <w:rPr>
                <w:rFonts w:cs="Arial"/>
                <w:b/>
                <w:color w:val="FFFFFF"/>
                <w:szCs w:val="22"/>
                <w:lang w:val="en-US" w:eastAsia="en-GB" w:bidi="ar-SA"/>
              </w:rPr>
              <w:t>Description</w:t>
            </w:r>
          </w:p>
        </w:tc>
      </w:tr>
      <w:tr w:rsidR="00B97365" w14:paraId="6AA6948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16BCBFF0"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AID</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21C16E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Application Identifier</w:t>
            </w:r>
          </w:p>
        </w:tc>
      </w:tr>
      <w:tr w:rsidR="00B97365" w14:paraId="2C4256E0"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139CA9E8"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AES</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C2ED8DB"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Advanced Encryption Standard</w:t>
            </w:r>
          </w:p>
        </w:tc>
      </w:tr>
      <w:tr w:rsidR="00B97365" w14:paraId="0A89ABAE"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80B990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CASD</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FFA909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Controlling Authority Security Domain</w:t>
            </w:r>
          </w:p>
        </w:tc>
      </w:tr>
      <w:tr w:rsidR="00B97365" w14:paraId="44858D2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E8BD5E0"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CBC</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598DDE6" w14:textId="77777777" w:rsidR="00B97365" w:rsidRDefault="00000000">
            <w:pPr>
              <w:spacing w:before="40" w:after="40" w:line="276" w:lineRule="auto"/>
              <w:jc w:val="left"/>
              <w:rPr>
                <w:rFonts w:cs="Arial"/>
                <w:sz w:val="20"/>
                <w:szCs w:val="22"/>
                <w:lang w:eastAsia="de-DE" w:bidi="ar-SA"/>
              </w:rPr>
            </w:pPr>
            <w:r>
              <w:rPr>
                <w:rFonts w:ascii="NimbusRomNo9L" w:eastAsia="Calibri" w:hAnsi="NimbusRomNo9L" w:cs="NimbusRomNo9L"/>
                <w:color w:val="000000"/>
                <w:sz w:val="20"/>
                <w:lang w:val="en-US" w:eastAsia="en-GB" w:bidi="ar-SA"/>
              </w:rPr>
              <w:t>Cipher Block Chaining</w:t>
            </w:r>
          </w:p>
        </w:tc>
      </w:tr>
      <w:tr w:rsidR="00B97365" w14:paraId="42E3B3A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2841D4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CC</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1632087"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Cryptographic Checksum</w:t>
            </w:r>
          </w:p>
        </w:tc>
      </w:tr>
      <w:tr w:rsidR="00B97365" w14:paraId="037150C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47115D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CERT.DP.ECDSA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15FCE1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Certificate of the SM-DP for its ECDSA key</w:t>
            </w:r>
          </w:p>
        </w:tc>
      </w:tr>
      <w:tr w:rsidR="00B97365" w14:paraId="17254FD9"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D34734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CERT.SR.ECDSA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03833B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Certificate of the SM-SR for its ECDSA key</w:t>
            </w:r>
          </w:p>
        </w:tc>
      </w:tr>
      <w:tr w:rsidR="00B97365" w14:paraId="0E2D0F6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D74F32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CERT.ECASD.ECKA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AA1D9C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Certificate of the ECASD for its ECKA key</w:t>
            </w:r>
          </w:p>
        </w:tc>
      </w:tr>
      <w:tr w:rsidR="00B97365" w14:paraId="600B4251"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1B5716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CI</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8CD88F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Certificate Issuer</w:t>
            </w:r>
          </w:p>
        </w:tc>
      </w:tr>
      <w:tr w:rsidR="00B97365" w14:paraId="68AEA9E1"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AFC032E"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CIN</w:t>
            </w:r>
          </w:p>
        </w:tc>
        <w:tc>
          <w:tcPr>
            <w:tcW w:w="5935" w:type="dxa"/>
            <w:tcBorders>
              <w:top w:val="single" w:sz="4" w:space="0" w:color="auto"/>
              <w:left w:val="single" w:sz="4" w:space="0" w:color="auto"/>
              <w:bottom w:val="single" w:sz="4" w:space="0" w:color="auto"/>
              <w:right w:val="single" w:sz="4" w:space="0" w:color="auto"/>
            </w:tcBorders>
            <w:vAlign w:val="center"/>
          </w:tcPr>
          <w:p w14:paraId="2112C8D0"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Card Image Number / Card Identification Number</w:t>
            </w:r>
          </w:p>
        </w:tc>
      </w:tr>
      <w:tr w:rsidR="00B97365" w14:paraId="7DF15D1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FB8002C"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CMAC</w:t>
            </w:r>
          </w:p>
        </w:tc>
        <w:tc>
          <w:tcPr>
            <w:tcW w:w="5935" w:type="dxa"/>
            <w:tcBorders>
              <w:top w:val="single" w:sz="4" w:space="0" w:color="auto"/>
              <w:left w:val="single" w:sz="4" w:space="0" w:color="auto"/>
              <w:bottom w:val="single" w:sz="4" w:space="0" w:color="auto"/>
              <w:right w:val="single" w:sz="4" w:space="0" w:color="auto"/>
            </w:tcBorders>
            <w:vAlign w:val="center"/>
            <w:hideMark/>
          </w:tcPr>
          <w:p w14:paraId="20EB4CE3" w14:textId="77777777" w:rsidR="00B97365" w:rsidRDefault="00000000">
            <w:pPr>
              <w:spacing w:before="40" w:after="40" w:line="276" w:lineRule="auto"/>
              <w:jc w:val="left"/>
              <w:rPr>
                <w:rFonts w:cs="Arial"/>
                <w:sz w:val="20"/>
                <w:szCs w:val="22"/>
                <w:lang w:eastAsia="de-DE" w:bidi="ar-SA"/>
              </w:rPr>
            </w:pPr>
            <w:r>
              <w:rPr>
                <w:rFonts w:ascii="NimbusRomNo9L" w:eastAsia="Calibri" w:hAnsi="NimbusRomNo9L" w:cs="NimbusRomNo9L"/>
                <w:color w:val="000000"/>
                <w:sz w:val="20"/>
                <w:lang w:val="en-US" w:eastAsia="en-GB" w:bidi="ar-SA"/>
              </w:rPr>
              <w:t>Cipher-based Message Authentication Code</w:t>
            </w:r>
          </w:p>
        </w:tc>
      </w:tr>
      <w:tr w:rsidR="00B97365" w14:paraId="6379600B"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F8CC672"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CRL</w:t>
            </w:r>
          </w:p>
        </w:tc>
        <w:tc>
          <w:tcPr>
            <w:tcW w:w="5935" w:type="dxa"/>
            <w:tcBorders>
              <w:top w:val="single" w:sz="4" w:space="0" w:color="auto"/>
              <w:left w:val="single" w:sz="4" w:space="0" w:color="auto"/>
              <w:bottom w:val="single" w:sz="4" w:space="0" w:color="auto"/>
              <w:right w:val="single" w:sz="4" w:space="0" w:color="auto"/>
            </w:tcBorders>
            <w:vAlign w:val="center"/>
          </w:tcPr>
          <w:p w14:paraId="46A5D8C2" w14:textId="77777777" w:rsidR="00B97365" w:rsidRDefault="00000000">
            <w:pPr>
              <w:spacing w:before="40" w:after="40" w:line="276" w:lineRule="auto"/>
              <w:jc w:val="left"/>
              <w:rPr>
                <w:rFonts w:ascii="NimbusRomNo9L" w:eastAsia="Calibri" w:hAnsi="NimbusRomNo9L" w:cs="NimbusRomNo9L"/>
                <w:color w:val="000000"/>
                <w:sz w:val="20"/>
                <w:lang w:val="en-US" w:eastAsia="en-GB" w:bidi="ar-SA"/>
              </w:rPr>
            </w:pPr>
            <w:r>
              <w:rPr>
                <w:rFonts w:cs="Arial"/>
                <w:sz w:val="20"/>
                <w:szCs w:val="22"/>
                <w:lang w:eastAsia="de-DE" w:bidi="ar-SA"/>
              </w:rPr>
              <w:t>Certificates Revocation List</w:t>
            </w:r>
          </w:p>
        </w:tc>
      </w:tr>
      <w:tr w:rsidR="00B97365" w14:paraId="5CB09DA0"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266707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ECASD</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EF589B3"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eUICC Controlling Authority Security Domain</w:t>
            </w:r>
          </w:p>
        </w:tc>
      </w:tr>
      <w:tr w:rsidR="00B97365" w14:paraId="34EC456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E9BD7D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ECDSA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BB54A3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Elliptic Curve cryptography Digital Signature Algorithm </w:t>
            </w:r>
          </w:p>
        </w:tc>
      </w:tr>
      <w:tr w:rsidR="00B97365" w14:paraId="3C3DC471"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72EF66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ECKA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FAEB40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Elliptic Curve cryptography Key Agreement algorithm </w:t>
            </w:r>
          </w:p>
        </w:tc>
      </w:tr>
      <w:tr w:rsidR="00B97365" w14:paraId="48DC99D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8A5F09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DAP</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10C1DB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Data Authentication Pattern</w:t>
            </w:r>
          </w:p>
        </w:tc>
      </w:tr>
      <w:tr w:rsidR="00B97365" w14:paraId="4BEB73A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205EACD"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DGI</w:t>
            </w:r>
          </w:p>
        </w:tc>
        <w:tc>
          <w:tcPr>
            <w:tcW w:w="5935" w:type="dxa"/>
            <w:tcBorders>
              <w:top w:val="single" w:sz="4" w:space="0" w:color="auto"/>
              <w:left w:val="single" w:sz="4" w:space="0" w:color="auto"/>
              <w:bottom w:val="single" w:sz="4" w:space="0" w:color="auto"/>
              <w:right w:val="single" w:sz="4" w:space="0" w:color="auto"/>
            </w:tcBorders>
            <w:vAlign w:val="center"/>
          </w:tcPr>
          <w:p w14:paraId="480D93C9"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Data Grouping Identifier</w:t>
            </w:r>
          </w:p>
        </w:tc>
      </w:tr>
      <w:tr w:rsidR="00B97365" w14:paraId="6DB0B06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2C02A74" w14:textId="77777777" w:rsidR="00B97365" w:rsidRDefault="00000000">
            <w:pPr>
              <w:spacing w:before="40" w:after="40" w:line="276" w:lineRule="auto"/>
              <w:jc w:val="left"/>
              <w:rPr>
                <w:rFonts w:cs="Arial"/>
                <w:sz w:val="20"/>
                <w:lang w:eastAsia="de-DE" w:bidi="ar-SA"/>
              </w:rPr>
            </w:pPr>
            <w:r>
              <w:rPr>
                <w:rFonts w:cs="Arial"/>
                <w:sz w:val="20"/>
                <w:lang w:eastAsia="de-DE" w:bidi="ar-SA"/>
              </w:rPr>
              <w:t>DNS</w:t>
            </w:r>
          </w:p>
        </w:tc>
        <w:tc>
          <w:tcPr>
            <w:tcW w:w="5935" w:type="dxa"/>
            <w:tcBorders>
              <w:top w:val="single" w:sz="4" w:space="0" w:color="auto"/>
              <w:left w:val="single" w:sz="4" w:space="0" w:color="auto"/>
              <w:bottom w:val="single" w:sz="4" w:space="0" w:color="auto"/>
              <w:right w:val="single" w:sz="4" w:space="0" w:color="auto"/>
            </w:tcBorders>
            <w:vAlign w:val="center"/>
          </w:tcPr>
          <w:p w14:paraId="41296FBE" w14:textId="77777777" w:rsidR="00B97365" w:rsidRDefault="00000000">
            <w:pPr>
              <w:spacing w:before="40" w:after="40" w:line="276" w:lineRule="auto"/>
              <w:jc w:val="left"/>
              <w:rPr>
                <w:rFonts w:cs="Arial"/>
                <w:sz w:val="20"/>
                <w:lang w:eastAsia="de-DE" w:bidi="ar-SA"/>
              </w:rPr>
            </w:pPr>
            <w:r>
              <w:rPr>
                <w:sz w:val="20"/>
                <w:lang w:val="en"/>
              </w:rPr>
              <w:t>Domain Name System</w:t>
            </w:r>
          </w:p>
        </w:tc>
      </w:tr>
      <w:tr w:rsidR="00B97365" w14:paraId="5E672D60"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E6D2EB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2DA6430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Derivation Random</w:t>
            </w:r>
          </w:p>
        </w:tc>
      </w:tr>
      <w:tr w:rsidR="00B97365" w14:paraId="01B677FB"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3744AC0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lastRenderedPageBreak/>
              <w:t>EUM</w:t>
            </w:r>
          </w:p>
        </w:tc>
        <w:tc>
          <w:tcPr>
            <w:tcW w:w="5935" w:type="dxa"/>
            <w:tcBorders>
              <w:top w:val="single" w:sz="4" w:space="0" w:color="auto"/>
              <w:left w:val="single" w:sz="4" w:space="0" w:color="auto"/>
              <w:bottom w:val="single" w:sz="4" w:space="0" w:color="auto"/>
              <w:right w:val="single" w:sz="4" w:space="0" w:color="auto"/>
            </w:tcBorders>
            <w:hideMark/>
          </w:tcPr>
          <w:p w14:paraId="6088F89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eUICC Manufacturer</w:t>
            </w:r>
          </w:p>
        </w:tc>
      </w:tr>
      <w:tr w:rsidR="00B97365" w14:paraId="6638EC8B"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50257C9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EID </w:t>
            </w:r>
          </w:p>
        </w:tc>
        <w:tc>
          <w:tcPr>
            <w:tcW w:w="5935" w:type="dxa"/>
            <w:tcBorders>
              <w:top w:val="single" w:sz="4" w:space="0" w:color="auto"/>
              <w:left w:val="single" w:sz="4" w:space="0" w:color="auto"/>
              <w:bottom w:val="single" w:sz="4" w:space="0" w:color="auto"/>
              <w:right w:val="single" w:sz="4" w:space="0" w:color="auto"/>
            </w:tcBorders>
            <w:hideMark/>
          </w:tcPr>
          <w:p w14:paraId="4929DE1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eUICC-ID</w:t>
            </w:r>
          </w:p>
        </w:tc>
      </w:tr>
      <w:tr w:rsidR="00B97365" w14:paraId="14C60285" w14:textId="77777777">
        <w:trPr>
          <w:cantSplit/>
        </w:trPr>
        <w:tc>
          <w:tcPr>
            <w:tcW w:w="2831" w:type="dxa"/>
            <w:tcBorders>
              <w:top w:val="single" w:sz="4" w:space="0" w:color="auto"/>
              <w:left w:val="single" w:sz="4" w:space="0" w:color="auto"/>
              <w:bottom w:val="single" w:sz="4" w:space="0" w:color="auto"/>
              <w:right w:val="single" w:sz="4" w:space="0" w:color="auto"/>
            </w:tcBorders>
          </w:tcPr>
          <w:p w14:paraId="30D77D7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EIN</w:t>
            </w:r>
          </w:p>
        </w:tc>
        <w:tc>
          <w:tcPr>
            <w:tcW w:w="5935" w:type="dxa"/>
            <w:tcBorders>
              <w:top w:val="single" w:sz="4" w:space="0" w:color="auto"/>
              <w:left w:val="single" w:sz="4" w:space="0" w:color="auto"/>
              <w:bottom w:val="single" w:sz="4" w:space="0" w:color="auto"/>
              <w:right w:val="single" w:sz="4" w:space="0" w:color="auto"/>
            </w:tcBorders>
          </w:tcPr>
          <w:p w14:paraId="55F435EF"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EUM Identification Number</w:t>
            </w:r>
          </w:p>
        </w:tc>
      </w:tr>
      <w:tr w:rsidR="00B97365" w14:paraId="013133C5"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0B5B62F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EIS</w:t>
            </w:r>
          </w:p>
        </w:tc>
        <w:tc>
          <w:tcPr>
            <w:tcW w:w="5935" w:type="dxa"/>
            <w:tcBorders>
              <w:top w:val="single" w:sz="4" w:space="0" w:color="auto"/>
              <w:left w:val="single" w:sz="4" w:space="0" w:color="auto"/>
              <w:bottom w:val="single" w:sz="4" w:space="0" w:color="auto"/>
              <w:right w:val="single" w:sz="4" w:space="0" w:color="auto"/>
            </w:tcBorders>
            <w:hideMark/>
          </w:tcPr>
          <w:p w14:paraId="4BF1400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eUICC Information Set</w:t>
            </w:r>
          </w:p>
        </w:tc>
      </w:tr>
      <w:tr w:rsidR="00B97365" w14:paraId="0DAC266D" w14:textId="77777777">
        <w:trPr>
          <w:cantSplit/>
        </w:trPr>
        <w:tc>
          <w:tcPr>
            <w:tcW w:w="2831" w:type="dxa"/>
            <w:tcBorders>
              <w:top w:val="single" w:sz="4" w:space="0" w:color="auto"/>
              <w:left w:val="single" w:sz="4" w:space="0" w:color="auto"/>
              <w:bottom w:val="single" w:sz="4" w:space="0" w:color="auto"/>
              <w:right w:val="single" w:sz="4" w:space="0" w:color="auto"/>
            </w:tcBorders>
          </w:tcPr>
          <w:p w14:paraId="579BB208"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ESIN</w:t>
            </w:r>
          </w:p>
        </w:tc>
        <w:tc>
          <w:tcPr>
            <w:tcW w:w="5935" w:type="dxa"/>
            <w:tcBorders>
              <w:top w:val="single" w:sz="4" w:space="0" w:color="auto"/>
              <w:left w:val="single" w:sz="4" w:space="0" w:color="auto"/>
              <w:bottom w:val="single" w:sz="4" w:space="0" w:color="auto"/>
              <w:right w:val="single" w:sz="4" w:space="0" w:color="auto"/>
            </w:tcBorders>
          </w:tcPr>
          <w:p w14:paraId="0B09AFDB" w14:textId="77777777" w:rsidR="00B97365" w:rsidRDefault="00000000">
            <w:pPr>
              <w:spacing w:before="40" w:after="40" w:line="276" w:lineRule="auto"/>
              <w:jc w:val="left"/>
              <w:rPr>
                <w:rFonts w:cs="Arial"/>
                <w:sz w:val="20"/>
                <w:szCs w:val="22"/>
                <w:lang w:eastAsia="de-DE" w:bidi="ar-SA"/>
              </w:rPr>
            </w:pPr>
            <w:r>
              <w:t>EUM Specific Identification Number</w:t>
            </w:r>
          </w:p>
        </w:tc>
      </w:tr>
      <w:tr w:rsidR="00B97365" w14:paraId="41F7E2B5"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204ACA1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ETSI</w:t>
            </w:r>
          </w:p>
        </w:tc>
        <w:tc>
          <w:tcPr>
            <w:tcW w:w="5935" w:type="dxa"/>
            <w:tcBorders>
              <w:top w:val="single" w:sz="4" w:space="0" w:color="auto"/>
              <w:left w:val="single" w:sz="4" w:space="0" w:color="auto"/>
              <w:bottom w:val="single" w:sz="4" w:space="0" w:color="auto"/>
              <w:right w:val="single" w:sz="4" w:space="0" w:color="auto"/>
            </w:tcBorders>
            <w:hideMark/>
          </w:tcPr>
          <w:p w14:paraId="70387BF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European Telecommunications Standards Institute</w:t>
            </w:r>
          </w:p>
        </w:tc>
      </w:tr>
      <w:tr w:rsidR="00B97365" w14:paraId="4D65CEC8"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5DC113E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ePK.DP.ECKA</w:t>
            </w:r>
          </w:p>
        </w:tc>
        <w:tc>
          <w:tcPr>
            <w:tcW w:w="5935" w:type="dxa"/>
            <w:tcBorders>
              <w:top w:val="single" w:sz="4" w:space="0" w:color="auto"/>
              <w:left w:val="single" w:sz="4" w:space="0" w:color="auto"/>
              <w:bottom w:val="single" w:sz="4" w:space="0" w:color="auto"/>
              <w:right w:val="single" w:sz="4" w:space="0" w:color="auto"/>
            </w:tcBorders>
            <w:hideMark/>
          </w:tcPr>
          <w:p w14:paraId="5324FF5F"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ephemeral Public Key of the SM-DP used for ECKA</w:t>
            </w:r>
          </w:p>
        </w:tc>
      </w:tr>
      <w:tr w:rsidR="00B97365" w14:paraId="7E67C45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5BA9E6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ePK.SR.ECKA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35AD34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ephemeral Public Key of the SM-SR used for ECKA</w:t>
            </w:r>
          </w:p>
        </w:tc>
      </w:tr>
      <w:tr w:rsidR="00B97365" w14:paraId="42DBA1F0"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6DE472D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eSK.DP.ECKA</w:t>
            </w:r>
          </w:p>
        </w:tc>
        <w:tc>
          <w:tcPr>
            <w:tcW w:w="5935" w:type="dxa"/>
            <w:tcBorders>
              <w:top w:val="single" w:sz="4" w:space="0" w:color="auto"/>
              <w:left w:val="single" w:sz="4" w:space="0" w:color="auto"/>
              <w:bottom w:val="single" w:sz="4" w:space="0" w:color="auto"/>
              <w:right w:val="single" w:sz="4" w:space="0" w:color="auto"/>
            </w:tcBorders>
            <w:hideMark/>
          </w:tcPr>
          <w:p w14:paraId="7017246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ephemeral Private Key of the SM-DP used for ECKA</w:t>
            </w:r>
          </w:p>
        </w:tc>
      </w:tr>
      <w:tr w:rsidR="00B97365" w14:paraId="7BC3CD03"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EE0420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eSK.SR.ECKA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C5248E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ephemeral Private Key of the SM-SR used for ECKA</w:t>
            </w:r>
          </w:p>
        </w:tc>
      </w:tr>
      <w:tr w:rsidR="00B97365" w14:paraId="110B6EA0"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219CD91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eUICC</w:t>
            </w:r>
          </w:p>
        </w:tc>
        <w:tc>
          <w:tcPr>
            <w:tcW w:w="5935" w:type="dxa"/>
            <w:tcBorders>
              <w:top w:val="single" w:sz="4" w:space="0" w:color="auto"/>
              <w:left w:val="single" w:sz="4" w:space="0" w:color="auto"/>
              <w:bottom w:val="single" w:sz="4" w:space="0" w:color="auto"/>
              <w:right w:val="single" w:sz="4" w:space="0" w:color="auto"/>
            </w:tcBorders>
            <w:hideMark/>
          </w:tcPr>
          <w:p w14:paraId="1941EC1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Embedded UICC</w:t>
            </w:r>
          </w:p>
        </w:tc>
      </w:tr>
      <w:tr w:rsidR="00B97365" w14:paraId="7F81B9C1"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E9FA70B" w14:textId="77777777" w:rsidR="00B97365" w:rsidRDefault="00000000">
            <w:pPr>
              <w:spacing w:before="40" w:after="40" w:line="276" w:lineRule="auto"/>
              <w:jc w:val="left"/>
              <w:rPr>
                <w:rFonts w:cs="Arial"/>
                <w:sz w:val="20"/>
                <w:lang w:eastAsia="de-DE" w:bidi="ar-SA"/>
              </w:rPr>
            </w:pPr>
            <w:r>
              <w:rPr>
                <w:rFonts w:cs="Arial"/>
                <w:sz w:val="20"/>
              </w:rPr>
              <w:t>FQDN</w:t>
            </w:r>
          </w:p>
        </w:tc>
        <w:tc>
          <w:tcPr>
            <w:tcW w:w="5935" w:type="dxa"/>
            <w:tcBorders>
              <w:top w:val="single" w:sz="4" w:space="0" w:color="auto"/>
              <w:left w:val="single" w:sz="4" w:space="0" w:color="auto"/>
              <w:bottom w:val="single" w:sz="4" w:space="0" w:color="auto"/>
              <w:right w:val="single" w:sz="4" w:space="0" w:color="auto"/>
            </w:tcBorders>
            <w:vAlign w:val="center"/>
          </w:tcPr>
          <w:p w14:paraId="4DD856AB" w14:textId="77777777" w:rsidR="00B97365" w:rsidRDefault="00000000">
            <w:pPr>
              <w:spacing w:before="40" w:after="40" w:line="276" w:lineRule="auto"/>
              <w:jc w:val="left"/>
              <w:rPr>
                <w:rFonts w:cs="Arial"/>
                <w:sz w:val="20"/>
                <w:lang w:eastAsia="de-DE" w:bidi="ar-SA"/>
              </w:rPr>
            </w:pPr>
            <w:r>
              <w:rPr>
                <w:sz w:val="20"/>
              </w:rPr>
              <w:t>Fully Qualified Domain Name</w:t>
            </w:r>
          </w:p>
        </w:tc>
      </w:tr>
      <w:tr w:rsidR="00B97365" w14:paraId="225D4804"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2EC026F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GP</w:t>
            </w:r>
          </w:p>
        </w:tc>
        <w:tc>
          <w:tcPr>
            <w:tcW w:w="5935" w:type="dxa"/>
            <w:tcBorders>
              <w:top w:val="single" w:sz="4" w:space="0" w:color="auto"/>
              <w:left w:val="single" w:sz="4" w:space="0" w:color="auto"/>
              <w:bottom w:val="single" w:sz="4" w:space="0" w:color="auto"/>
              <w:right w:val="single" w:sz="4" w:space="0" w:color="auto"/>
            </w:tcBorders>
            <w:hideMark/>
          </w:tcPr>
          <w:p w14:paraId="1CA2888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GlobalPlatform</w:t>
            </w:r>
          </w:p>
        </w:tc>
      </w:tr>
      <w:tr w:rsidR="00B97365" w14:paraId="36F791B7"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6FA07D2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GSMA</w:t>
            </w:r>
          </w:p>
        </w:tc>
        <w:tc>
          <w:tcPr>
            <w:tcW w:w="5935" w:type="dxa"/>
            <w:tcBorders>
              <w:top w:val="single" w:sz="4" w:space="0" w:color="auto"/>
              <w:left w:val="single" w:sz="4" w:space="0" w:color="auto"/>
              <w:bottom w:val="single" w:sz="4" w:space="0" w:color="auto"/>
              <w:right w:val="single" w:sz="4" w:space="0" w:color="auto"/>
            </w:tcBorders>
            <w:hideMark/>
          </w:tcPr>
          <w:p w14:paraId="7AEED1E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GSM Association</w:t>
            </w:r>
          </w:p>
        </w:tc>
      </w:tr>
      <w:tr w:rsidR="00B97365" w14:paraId="7CC226F0"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529DEAA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ICCID</w:t>
            </w:r>
          </w:p>
        </w:tc>
        <w:tc>
          <w:tcPr>
            <w:tcW w:w="5935" w:type="dxa"/>
            <w:tcBorders>
              <w:top w:val="single" w:sz="4" w:space="0" w:color="auto"/>
              <w:left w:val="single" w:sz="4" w:space="0" w:color="auto"/>
              <w:bottom w:val="single" w:sz="4" w:space="0" w:color="auto"/>
              <w:right w:val="single" w:sz="4" w:space="0" w:color="auto"/>
            </w:tcBorders>
            <w:hideMark/>
          </w:tcPr>
          <w:p w14:paraId="0F3EF17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Integrated Circuit Card ID</w:t>
            </w:r>
          </w:p>
        </w:tc>
      </w:tr>
      <w:tr w:rsidR="00B97365" w14:paraId="3DAC1EC6" w14:textId="77777777">
        <w:trPr>
          <w:cantSplit/>
        </w:trPr>
        <w:tc>
          <w:tcPr>
            <w:tcW w:w="2831" w:type="dxa"/>
            <w:tcBorders>
              <w:top w:val="single" w:sz="4" w:space="0" w:color="auto"/>
              <w:left w:val="single" w:sz="4" w:space="0" w:color="auto"/>
              <w:bottom w:val="single" w:sz="4" w:space="0" w:color="auto"/>
              <w:right w:val="single" w:sz="4" w:space="0" w:color="auto"/>
            </w:tcBorders>
          </w:tcPr>
          <w:p w14:paraId="3F5CB4AE"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IIN</w:t>
            </w:r>
          </w:p>
        </w:tc>
        <w:tc>
          <w:tcPr>
            <w:tcW w:w="5935" w:type="dxa"/>
            <w:tcBorders>
              <w:top w:val="single" w:sz="4" w:space="0" w:color="auto"/>
              <w:left w:val="single" w:sz="4" w:space="0" w:color="auto"/>
              <w:bottom w:val="single" w:sz="4" w:space="0" w:color="auto"/>
              <w:right w:val="single" w:sz="4" w:space="0" w:color="auto"/>
            </w:tcBorders>
          </w:tcPr>
          <w:p w14:paraId="628C5BD6"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Issuer Identification Number</w:t>
            </w:r>
          </w:p>
        </w:tc>
      </w:tr>
      <w:tr w:rsidR="00B97365" w14:paraId="2417DA73" w14:textId="77777777">
        <w:trPr>
          <w:cantSplit/>
        </w:trPr>
        <w:tc>
          <w:tcPr>
            <w:tcW w:w="2831" w:type="dxa"/>
            <w:tcBorders>
              <w:top w:val="single" w:sz="4" w:space="0" w:color="auto"/>
              <w:left w:val="single" w:sz="4" w:space="0" w:color="auto"/>
              <w:bottom w:val="single" w:sz="4" w:space="0" w:color="auto"/>
              <w:right w:val="single" w:sz="4" w:space="0" w:color="auto"/>
            </w:tcBorders>
            <w:hideMark/>
          </w:tcPr>
          <w:p w14:paraId="0F25595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IMS</w:t>
            </w:r>
          </w:p>
        </w:tc>
        <w:tc>
          <w:tcPr>
            <w:tcW w:w="5935" w:type="dxa"/>
            <w:tcBorders>
              <w:top w:val="single" w:sz="4" w:space="0" w:color="auto"/>
              <w:left w:val="single" w:sz="4" w:space="0" w:color="auto"/>
              <w:bottom w:val="single" w:sz="4" w:space="0" w:color="auto"/>
              <w:right w:val="single" w:sz="4" w:space="0" w:color="auto"/>
            </w:tcBorders>
            <w:hideMark/>
          </w:tcPr>
          <w:p w14:paraId="26E1160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IP Multimedia Subsystem</w:t>
            </w:r>
          </w:p>
        </w:tc>
      </w:tr>
      <w:tr w:rsidR="00B97365" w14:paraId="10C71B67"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2242C9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IMSI</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0CE98C3"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International Mobile Subscriber Identity</w:t>
            </w:r>
          </w:p>
        </w:tc>
      </w:tr>
      <w:tr w:rsidR="00B97365" w14:paraId="72732D29"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172F87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ISD</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2B3AFF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Issuer Security Domain</w:t>
            </w:r>
          </w:p>
        </w:tc>
      </w:tr>
      <w:tr w:rsidR="00B97365" w14:paraId="0804ECB0"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7987D33"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ISD-P</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007D86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Issuer Security Domain Profile</w:t>
            </w:r>
          </w:p>
        </w:tc>
      </w:tr>
      <w:tr w:rsidR="00B97365" w14:paraId="51F6C2A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FF8E18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ISD-R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9F187E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Issuer Security Domain Root</w:t>
            </w:r>
          </w:p>
        </w:tc>
      </w:tr>
      <w:tr w:rsidR="00B97365" w14:paraId="23BD1180"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295E9B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ISO</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C34E18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International Standards Organisation</w:t>
            </w:r>
          </w:p>
        </w:tc>
      </w:tr>
      <w:tr w:rsidR="00B97365" w14:paraId="50A2DD99"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75525F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ITU</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89ED6C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International Telecommunications Union</w:t>
            </w:r>
          </w:p>
        </w:tc>
      </w:tr>
      <w:tr w:rsidR="00B97365" w14:paraId="38A8A6BA"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131C04B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LTE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4EE651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Long Term Evolution</w:t>
            </w:r>
          </w:p>
        </w:tc>
      </w:tr>
      <w:tr w:rsidR="00B97365" w14:paraId="217DB39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9110E14"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LV</w:t>
            </w:r>
          </w:p>
        </w:tc>
        <w:tc>
          <w:tcPr>
            <w:tcW w:w="5935" w:type="dxa"/>
            <w:tcBorders>
              <w:top w:val="single" w:sz="4" w:space="0" w:color="auto"/>
              <w:left w:val="single" w:sz="4" w:space="0" w:color="auto"/>
              <w:bottom w:val="single" w:sz="4" w:space="0" w:color="auto"/>
              <w:right w:val="single" w:sz="4" w:space="0" w:color="auto"/>
            </w:tcBorders>
            <w:vAlign w:val="center"/>
          </w:tcPr>
          <w:p w14:paraId="5E55ED4E"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Length Value</w:t>
            </w:r>
          </w:p>
        </w:tc>
      </w:tr>
      <w:tr w:rsidR="00B97365" w14:paraId="117C2FE3"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E5F4AB2"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M2M SP</w:t>
            </w:r>
          </w:p>
        </w:tc>
        <w:tc>
          <w:tcPr>
            <w:tcW w:w="5935" w:type="dxa"/>
            <w:tcBorders>
              <w:top w:val="single" w:sz="4" w:space="0" w:color="auto"/>
              <w:left w:val="single" w:sz="4" w:space="0" w:color="auto"/>
              <w:bottom w:val="single" w:sz="4" w:space="0" w:color="auto"/>
              <w:right w:val="single" w:sz="4" w:space="0" w:color="auto"/>
            </w:tcBorders>
            <w:vAlign w:val="center"/>
          </w:tcPr>
          <w:p w14:paraId="58C17A43"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Machine to Machine Service Provider</w:t>
            </w:r>
          </w:p>
        </w:tc>
      </w:tr>
      <w:tr w:rsidR="00B97365" w14:paraId="72CDE977"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445DF3F"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MEP</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7924E2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Message Exchange Pattern</w:t>
            </w:r>
          </w:p>
        </w:tc>
      </w:tr>
      <w:tr w:rsidR="00B97365" w14:paraId="381385A3"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082614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MNO</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4D9F18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Mobile Network Operator</w:t>
            </w:r>
          </w:p>
        </w:tc>
      </w:tr>
      <w:tr w:rsidR="00B97365" w14:paraId="6EEBD89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FFA7D87"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MO</w:t>
            </w:r>
          </w:p>
        </w:tc>
        <w:tc>
          <w:tcPr>
            <w:tcW w:w="5935" w:type="dxa"/>
            <w:tcBorders>
              <w:top w:val="single" w:sz="4" w:space="0" w:color="auto"/>
              <w:left w:val="single" w:sz="4" w:space="0" w:color="auto"/>
              <w:bottom w:val="single" w:sz="4" w:space="0" w:color="auto"/>
              <w:right w:val="single" w:sz="4" w:space="0" w:color="auto"/>
            </w:tcBorders>
            <w:vAlign w:val="center"/>
            <w:hideMark/>
          </w:tcPr>
          <w:p w14:paraId="27AE908A"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Mobile Originated</w:t>
            </w:r>
          </w:p>
        </w:tc>
      </w:tr>
      <w:tr w:rsidR="00B97365" w14:paraId="0A263CD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8E03C1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MOC</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D6E43A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 xml:space="preserve">Mandatory, Optional or Conditional </w:t>
            </w:r>
          </w:p>
        </w:tc>
      </w:tr>
      <w:tr w:rsidR="00B97365" w14:paraId="0326F379"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7F85EDD"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MT</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E5C39ED"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Mobile Terminated</w:t>
            </w:r>
          </w:p>
        </w:tc>
      </w:tr>
      <w:tr w:rsidR="00B97365" w14:paraId="5F589C1E"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857092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NAA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E07E13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Network Access Application</w:t>
            </w:r>
          </w:p>
        </w:tc>
      </w:tr>
      <w:tr w:rsidR="00B97365" w14:paraId="1490823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56A19FA"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ONC</w:t>
            </w:r>
          </w:p>
        </w:tc>
        <w:tc>
          <w:tcPr>
            <w:tcW w:w="5935" w:type="dxa"/>
            <w:tcBorders>
              <w:top w:val="single" w:sz="4" w:space="0" w:color="auto"/>
              <w:left w:val="single" w:sz="4" w:space="0" w:color="auto"/>
              <w:bottom w:val="single" w:sz="4" w:space="0" w:color="auto"/>
              <w:right w:val="single" w:sz="4" w:space="0" w:color="auto"/>
            </w:tcBorders>
            <w:vAlign w:val="center"/>
          </w:tcPr>
          <w:p w14:paraId="327383B5"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Operator Notification Configuration</w:t>
            </w:r>
          </w:p>
        </w:tc>
      </w:tr>
      <w:tr w:rsidR="00B97365" w14:paraId="0202A7A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6E001B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OTA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AAEE13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Over The Air</w:t>
            </w:r>
          </w:p>
        </w:tc>
      </w:tr>
      <w:tr w:rsidR="00B97365" w14:paraId="12D4A071"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AE5FBF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PIX</w:t>
            </w:r>
          </w:p>
        </w:tc>
        <w:tc>
          <w:tcPr>
            <w:tcW w:w="5935" w:type="dxa"/>
            <w:tcBorders>
              <w:top w:val="single" w:sz="4" w:space="0" w:color="auto"/>
              <w:left w:val="single" w:sz="4" w:space="0" w:color="auto"/>
              <w:bottom w:val="single" w:sz="4" w:space="0" w:color="auto"/>
              <w:right w:val="single" w:sz="4" w:space="0" w:color="auto"/>
            </w:tcBorders>
            <w:vAlign w:val="center"/>
            <w:hideMark/>
          </w:tcPr>
          <w:p w14:paraId="23FF43B1" w14:textId="77777777" w:rsidR="00B97365" w:rsidRDefault="00000000">
            <w:pPr>
              <w:spacing w:before="40" w:after="40" w:line="276" w:lineRule="auto"/>
              <w:jc w:val="left"/>
              <w:rPr>
                <w:rFonts w:cs="Arial"/>
                <w:sz w:val="20"/>
                <w:szCs w:val="25"/>
                <w:lang w:eastAsia="de-DE" w:bidi="ar-SA"/>
              </w:rPr>
            </w:pPr>
            <w:r>
              <w:rPr>
                <w:rFonts w:cs="Arial"/>
                <w:sz w:val="20"/>
                <w:szCs w:val="22"/>
                <w:lang w:val="fr-FR" w:eastAsia="de-DE" w:bidi="ar-SA"/>
              </w:rPr>
              <w:t xml:space="preserve">Proprietary application Identifier eXtension </w:t>
            </w:r>
          </w:p>
        </w:tc>
      </w:tr>
      <w:tr w:rsidR="00B97365" w14:paraId="1EC201D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21BB8F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PK.CI.ECDSA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C92974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Public Key of the CI in the ECASD for verifying certificate signatures</w:t>
            </w:r>
          </w:p>
        </w:tc>
      </w:tr>
      <w:tr w:rsidR="00B97365" w14:paraId="3DFBB86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13CE7D4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PK.DP.ECDSA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3A938F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Public Key of the SM-DP, part of the CERT.DP.ECDSA, for verifying its signatures</w:t>
            </w:r>
          </w:p>
        </w:tc>
      </w:tr>
      <w:tr w:rsidR="00B97365" w14:paraId="3A06C360"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CDDD1F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lastRenderedPageBreak/>
              <w:t>PK.ECASD.ECKA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4CD7B7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Public Key of the ECASD used for ECKA</w:t>
            </w:r>
          </w:p>
        </w:tc>
      </w:tr>
      <w:tr w:rsidR="00B97365" w14:paraId="3DA8B41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081FB5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PK.SR.ECDSA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594EF3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Public Key of the SM-SR part of the CERT.SR.ECDSA, for verifying its signatures</w:t>
            </w:r>
          </w:p>
        </w:tc>
      </w:tr>
      <w:tr w:rsidR="00B97365" w14:paraId="3FD1A8D4"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C11C447" w14:textId="77777777" w:rsidR="00B97365" w:rsidRDefault="00000000">
            <w:pPr>
              <w:spacing w:before="40" w:after="40" w:line="276" w:lineRule="auto"/>
              <w:jc w:val="left"/>
              <w:rPr>
                <w:rFonts w:cs="Arial"/>
                <w:sz w:val="20"/>
                <w:szCs w:val="22"/>
                <w:lang w:eastAsia="de-DE" w:bidi="ar-SA"/>
              </w:rPr>
            </w:pPr>
            <w:r>
              <w:rPr>
                <w:sz w:val="20"/>
                <w:szCs w:val="22"/>
                <w:lang w:eastAsia="de-DE" w:bidi="ar-SA"/>
              </w:rPr>
              <w:t>PLMA</w:t>
            </w:r>
          </w:p>
        </w:tc>
        <w:tc>
          <w:tcPr>
            <w:tcW w:w="5935" w:type="dxa"/>
            <w:tcBorders>
              <w:top w:val="single" w:sz="4" w:space="0" w:color="auto"/>
              <w:left w:val="single" w:sz="4" w:space="0" w:color="auto"/>
              <w:bottom w:val="single" w:sz="4" w:space="0" w:color="auto"/>
              <w:right w:val="single" w:sz="4" w:space="0" w:color="auto"/>
            </w:tcBorders>
            <w:vAlign w:val="center"/>
          </w:tcPr>
          <w:p w14:paraId="20A39D2E" w14:textId="77777777" w:rsidR="00B97365" w:rsidRDefault="00000000">
            <w:pPr>
              <w:spacing w:before="40" w:after="40" w:line="276" w:lineRule="auto"/>
              <w:jc w:val="left"/>
              <w:rPr>
                <w:rFonts w:cs="Arial"/>
                <w:sz w:val="20"/>
                <w:szCs w:val="22"/>
                <w:lang w:eastAsia="de-DE" w:bidi="ar-SA"/>
              </w:rPr>
            </w:pPr>
            <w:r>
              <w:rPr>
                <w:sz w:val="20"/>
              </w:rPr>
              <w:t>Profile Lifecycle Management Authorisation</w:t>
            </w:r>
          </w:p>
        </w:tc>
      </w:tr>
      <w:tr w:rsidR="00B97365" w14:paraId="462AD63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946B2E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POL1</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84ABC6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Policy Rules within the Profile</w:t>
            </w:r>
          </w:p>
        </w:tc>
      </w:tr>
      <w:tr w:rsidR="00B97365" w14:paraId="427755B0"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469068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POL2</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C2C16E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Policy Rules associated to a Profile and stored in the relevant EIS at the SM-SR</w:t>
            </w:r>
          </w:p>
        </w:tc>
      </w:tr>
      <w:tr w:rsidR="00B97365" w14:paraId="08186BA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71F1C92"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PoR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F9812DC"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Proof of Receipt</w:t>
            </w:r>
          </w:p>
        </w:tc>
      </w:tr>
      <w:tr w:rsidR="00B97365" w14:paraId="7589334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BE67E2C"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PPK-ENC</w:t>
            </w:r>
          </w:p>
        </w:tc>
        <w:tc>
          <w:tcPr>
            <w:tcW w:w="5935" w:type="dxa"/>
            <w:tcBorders>
              <w:top w:val="single" w:sz="4" w:space="0" w:color="auto"/>
              <w:left w:val="single" w:sz="4" w:space="0" w:color="auto"/>
              <w:bottom w:val="single" w:sz="4" w:space="0" w:color="auto"/>
              <w:right w:val="single" w:sz="4" w:space="0" w:color="auto"/>
            </w:tcBorders>
            <w:vAlign w:val="center"/>
          </w:tcPr>
          <w:p w14:paraId="448320AC"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 xml:space="preserve">Profile Protection Key for message encryption/decryption </w:t>
            </w:r>
          </w:p>
        </w:tc>
      </w:tr>
      <w:tr w:rsidR="00B97365" w14:paraId="06A6D1F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B815854"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PPK-MAC</w:t>
            </w:r>
          </w:p>
        </w:tc>
        <w:tc>
          <w:tcPr>
            <w:tcW w:w="5935" w:type="dxa"/>
            <w:tcBorders>
              <w:top w:val="single" w:sz="4" w:space="0" w:color="auto"/>
              <w:left w:val="single" w:sz="4" w:space="0" w:color="auto"/>
              <w:bottom w:val="single" w:sz="4" w:space="0" w:color="auto"/>
              <w:right w:val="single" w:sz="4" w:space="0" w:color="auto"/>
            </w:tcBorders>
            <w:vAlign w:val="center"/>
          </w:tcPr>
          <w:p w14:paraId="1C265C12"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 xml:space="preserve">Profile Protection Key for command MAC generation/verification </w:t>
            </w:r>
          </w:p>
        </w:tc>
      </w:tr>
      <w:tr w:rsidR="00B97365" w14:paraId="1182257B"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8D0D54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PPK-RMAC</w:t>
            </w:r>
          </w:p>
        </w:tc>
        <w:tc>
          <w:tcPr>
            <w:tcW w:w="5935" w:type="dxa"/>
            <w:tcBorders>
              <w:top w:val="single" w:sz="4" w:space="0" w:color="auto"/>
              <w:left w:val="single" w:sz="4" w:space="0" w:color="auto"/>
              <w:bottom w:val="single" w:sz="4" w:space="0" w:color="auto"/>
              <w:right w:val="single" w:sz="4" w:space="0" w:color="auto"/>
            </w:tcBorders>
            <w:vAlign w:val="center"/>
          </w:tcPr>
          <w:p w14:paraId="0E91FC2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Profile Protection Key for response MAC generation/verification</w:t>
            </w:r>
          </w:p>
        </w:tc>
      </w:tr>
      <w:tr w:rsidR="00B97365" w14:paraId="2DC00A7C"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8E48898"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SCP</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2590FC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Secure Channel Protocol</w:t>
            </w:r>
          </w:p>
        </w:tc>
      </w:tr>
      <w:tr w:rsidR="00B97365" w14:paraId="4707EC73"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B5EF6D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SD</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52F6A2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Security Domain</w:t>
            </w:r>
          </w:p>
        </w:tc>
      </w:tr>
      <w:tr w:rsidR="00B97365" w14:paraId="49EE9DF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606DDE8"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SDIN</w:t>
            </w:r>
          </w:p>
        </w:tc>
        <w:tc>
          <w:tcPr>
            <w:tcW w:w="5935" w:type="dxa"/>
            <w:tcBorders>
              <w:top w:val="single" w:sz="4" w:space="0" w:color="auto"/>
              <w:left w:val="single" w:sz="4" w:space="0" w:color="auto"/>
              <w:bottom w:val="single" w:sz="4" w:space="0" w:color="auto"/>
              <w:right w:val="single" w:sz="4" w:space="0" w:color="auto"/>
            </w:tcBorders>
            <w:vAlign w:val="center"/>
          </w:tcPr>
          <w:p w14:paraId="207BD6DD"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Security Domain Image Number</w:t>
            </w:r>
          </w:p>
        </w:tc>
      </w:tr>
      <w:tr w:rsidR="00B97365" w14:paraId="3C82E8E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23024F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ShS</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C05FB3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Shared Secret</w:t>
            </w:r>
          </w:p>
        </w:tc>
      </w:tr>
      <w:tr w:rsidR="00B97365" w14:paraId="032FF36C"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52EFA29"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SIN</w:t>
            </w:r>
          </w:p>
        </w:tc>
        <w:tc>
          <w:tcPr>
            <w:tcW w:w="5935" w:type="dxa"/>
            <w:tcBorders>
              <w:top w:val="single" w:sz="4" w:space="0" w:color="auto"/>
              <w:left w:val="single" w:sz="4" w:space="0" w:color="auto"/>
              <w:bottom w:val="single" w:sz="4" w:space="0" w:color="auto"/>
              <w:right w:val="single" w:sz="4" w:space="0" w:color="auto"/>
            </w:tcBorders>
            <w:vAlign w:val="center"/>
          </w:tcPr>
          <w:p w14:paraId="763FA87E"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Security Domain Provider Identification Number</w:t>
            </w:r>
          </w:p>
        </w:tc>
      </w:tr>
      <w:tr w:rsidR="00B97365" w14:paraId="73CC17EC"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19A1D4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SK.DP.ECDSA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061D24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Private Key of the of SM-DP for creating signatures</w:t>
            </w:r>
          </w:p>
        </w:tc>
      </w:tr>
      <w:tr w:rsidR="00B97365" w14:paraId="5E2EBA01"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7BEB2F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SK.ECASD.ECKA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9E3AB4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Private Key of the ECASD used for ECKA</w:t>
            </w:r>
          </w:p>
        </w:tc>
      </w:tr>
      <w:tr w:rsidR="00B97365" w14:paraId="55D5AA3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1A291D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SK.SR.ECDSA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4C1473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Private Key of the SM-SR for creating signatures</w:t>
            </w:r>
          </w:p>
        </w:tc>
      </w:tr>
      <w:tr w:rsidR="00B97365" w14:paraId="2D94309E"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0F1259B"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SK.CI.ECDSA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E3C624E" w14:textId="77777777" w:rsidR="00B97365" w:rsidRDefault="00000000">
            <w:pPr>
              <w:spacing w:before="40" w:after="40" w:line="276" w:lineRule="auto"/>
              <w:jc w:val="left"/>
              <w:rPr>
                <w:rFonts w:cs="Arial"/>
                <w:sz w:val="20"/>
                <w:szCs w:val="25"/>
                <w:lang w:eastAsia="de-DE" w:bidi="ar-SA"/>
              </w:rPr>
            </w:pPr>
            <w:r>
              <w:rPr>
                <w:rFonts w:cs="Arial"/>
                <w:sz w:val="20"/>
                <w:szCs w:val="22"/>
                <w:lang w:val="en-US" w:eastAsia="de-DE" w:bidi="ar-SA"/>
              </w:rPr>
              <w:t xml:space="preserve">Private key of the CI for signing certificates </w:t>
            </w:r>
          </w:p>
        </w:tc>
      </w:tr>
      <w:tr w:rsidR="00B97365" w14:paraId="6EFD6368"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919DA0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SM</w:t>
            </w:r>
          </w:p>
        </w:tc>
        <w:tc>
          <w:tcPr>
            <w:tcW w:w="5935" w:type="dxa"/>
            <w:tcBorders>
              <w:top w:val="single" w:sz="4" w:space="0" w:color="auto"/>
              <w:left w:val="single" w:sz="4" w:space="0" w:color="auto"/>
              <w:bottom w:val="single" w:sz="4" w:space="0" w:color="auto"/>
              <w:right w:val="single" w:sz="4" w:space="0" w:color="auto"/>
            </w:tcBorders>
            <w:vAlign w:val="center"/>
            <w:hideMark/>
          </w:tcPr>
          <w:p w14:paraId="5FCDA34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Subscription Manager</w:t>
            </w:r>
          </w:p>
        </w:tc>
      </w:tr>
      <w:tr w:rsidR="00B97365" w14:paraId="38A876B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9DB88B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SM-DP</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61898B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Subscription Manager Data Preparation</w:t>
            </w:r>
          </w:p>
        </w:tc>
      </w:tr>
      <w:tr w:rsidR="00B97365" w14:paraId="76EB535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1DED4BF"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SM-SR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C9478CE"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Subscription Manager Secure Routing</w:t>
            </w:r>
          </w:p>
        </w:tc>
      </w:tr>
      <w:tr w:rsidR="00B97365" w14:paraId="1124FE0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3CEA49DD"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SOA</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32081EC"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Service-oriented Architecture</w:t>
            </w:r>
          </w:p>
        </w:tc>
      </w:tr>
      <w:tr w:rsidR="00B97365" w14:paraId="1FDAA5BD"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331E40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SOAP</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C04D13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Simple Object Access Protocol</w:t>
            </w:r>
          </w:p>
        </w:tc>
      </w:tr>
      <w:tr w:rsidR="00B97365" w14:paraId="0904D26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2215021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TAR</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AFD7882"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Toolkit Application Reference</w:t>
            </w:r>
          </w:p>
        </w:tc>
      </w:tr>
      <w:tr w:rsidR="00B97365" w14:paraId="775E9CBF"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190824E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TLS</w:t>
            </w:r>
          </w:p>
        </w:tc>
        <w:tc>
          <w:tcPr>
            <w:tcW w:w="5935" w:type="dxa"/>
            <w:tcBorders>
              <w:top w:val="single" w:sz="4" w:space="0" w:color="auto"/>
              <w:left w:val="single" w:sz="4" w:space="0" w:color="auto"/>
              <w:bottom w:val="single" w:sz="4" w:space="0" w:color="auto"/>
              <w:right w:val="single" w:sz="4" w:space="0" w:color="auto"/>
            </w:tcBorders>
            <w:vAlign w:val="center"/>
            <w:hideMark/>
          </w:tcPr>
          <w:p w14:paraId="687BFB25"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Transport Layer Security</w:t>
            </w:r>
          </w:p>
        </w:tc>
      </w:tr>
      <w:tr w:rsidR="00B97365" w14:paraId="1AE8A7CB"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3B03138"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TLV</w:t>
            </w:r>
          </w:p>
        </w:tc>
        <w:tc>
          <w:tcPr>
            <w:tcW w:w="5935" w:type="dxa"/>
            <w:tcBorders>
              <w:top w:val="single" w:sz="4" w:space="0" w:color="auto"/>
              <w:left w:val="single" w:sz="4" w:space="0" w:color="auto"/>
              <w:bottom w:val="single" w:sz="4" w:space="0" w:color="auto"/>
              <w:right w:val="single" w:sz="4" w:space="0" w:color="auto"/>
            </w:tcBorders>
            <w:vAlign w:val="center"/>
          </w:tcPr>
          <w:p w14:paraId="195CDF2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Tag Length Value</w:t>
            </w:r>
          </w:p>
        </w:tc>
      </w:tr>
      <w:tr w:rsidR="00B97365" w14:paraId="70BBAC19"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A79D010"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TRE</w:t>
            </w:r>
          </w:p>
        </w:tc>
        <w:tc>
          <w:tcPr>
            <w:tcW w:w="5935" w:type="dxa"/>
            <w:tcBorders>
              <w:top w:val="single" w:sz="4" w:space="0" w:color="auto"/>
              <w:left w:val="single" w:sz="4" w:space="0" w:color="auto"/>
              <w:bottom w:val="single" w:sz="4" w:space="0" w:color="auto"/>
              <w:right w:val="single" w:sz="4" w:space="0" w:color="auto"/>
            </w:tcBorders>
            <w:vAlign w:val="center"/>
          </w:tcPr>
          <w:p w14:paraId="5E2FF44A"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Tamper Resistant Element</w:t>
            </w:r>
          </w:p>
        </w:tc>
      </w:tr>
      <w:tr w:rsidR="00B97365" w14:paraId="5B8A2A4B"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AC62687"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URI</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EC0F52A"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Uniform Resource Identifier</w:t>
            </w:r>
          </w:p>
        </w:tc>
      </w:tr>
      <w:tr w:rsidR="00B97365" w14:paraId="58F00D71"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5E855783"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URL</w:t>
            </w:r>
          </w:p>
        </w:tc>
        <w:tc>
          <w:tcPr>
            <w:tcW w:w="5935" w:type="dxa"/>
            <w:tcBorders>
              <w:top w:val="single" w:sz="4" w:space="0" w:color="auto"/>
              <w:left w:val="single" w:sz="4" w:space="0" w:color="auto"/>
              <w:bottom w:val="single" w:sz="4" w:space="0" w:color="auto"/>
              <w:right w:val="single" w:sz="4" w:space="0" w:color="auto"/>
            </w:tcBorders>
            <w:vAlign w:val="center"/>
            <w:hideMark/>
          </w:tcPr>
          <w:p w14:paraId="3C7B1561"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Uniform Resource locator</w:t>
            </w:r>
          </w:p>
        </w:tc>
      </w:tr>
      <w:tr w:rsidR="00B97365" w14:paraId="7ECC1955"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C4094C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USIM</w:t>
            </w:r>
          </w:p>
        </w:tc>
        <w:tc>
          <w:tcPr>
            <w:tcW w:w="5935" w:type="dxa"/>
            <w:tcBorders>
              <w:top w:val="single" w:sz="4" w:space="0" w:color="auto"/>
              <w:left w:val="single" w:sz="4" w:space="0" w:color="auto"/>
              <w:bottom w:val="single" w:sz="4" w:space="0" w:color="auto"/>
              <w:right w:val="single" w:sz="4" w:space="0" w:color="auto"/>
            </w:tcBorders>
            <w:vAlign w:val="center"/>
            <w:hideMark/>
          </w:tcPr>
          <w:p w14:paraId="249838E9"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Universal Subscriber Identity Module</w:t>
            </w:r>
          </w:p>
        </w:tc>
      </w:tr>
      <w:tr w:rsidR="00B97365" w14:paraId="06198196"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76F4D826"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XML</w:t>
            </w:r>
          </w:p>
        </w:tc>
        <w:tc>
          <w:tcPr>
            <w:tcW w:w="5935" w:type="dxa"/>
            <w:tcBorders>
              <w:top w:val="single" w:sz="4" w:space="0" w:color="auto"/>
              <w:left w:val="single" w:sz="4" w:space="0" w:color="auto"/>
              <w:bottom w:val="single" w:sz="4" w:space="0" w:color="auto"/>
              <w:right w:val="single" w:sz="4" w:space="0" w:color="auto"/>
            </w:tcBorders>
            <w:vAlign w:val="center"/>
            <w:hideMark/>
          </w:tcPr>
          <w:p w14:paraId="2A1516D4"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Extensible Markup Language</w:t>
            </w:r>
          </w:p>
        </w:tc>
      </w:tr>
      <w:tr w:rsidR="00B97365" w14:paraId="53375A12" w14:textId="77777777">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1B8CFE4F"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W3C</w:t>
            </w:r>
          </w:p>
        </w:tc>
        <w:tc>
          <w:tcPr>
            <w:tcW w:w="5935" w:type="dxa"/>
            <w:tcBorders>
              <w:top w:val="single" w:sz="4" w:space="0" w:color="auto"/>
              <w:left w:val="single" w:sz="4" w:space="0" w:color="auto"/>
              <w:bottom w:val="single" w:sz="4" w:space="0" w:color="auto"/>
              <w:right w:val="single" w:sz="4" w:space="0" w:color="auto"/>
            </w:tcBorders>
            <w:vAlign w:val="center"/>
            <w:hideMark/>
          </w:tcPr>
          <w:p w14:paraId="0B04D3A0" w14:textId="77777777" w:rsidR="00B97365" w:rsidRDefault="00000000">
            <w:pPr>
              <w:spacing w:before="40" w:after="40" w:line="276" w:lineRule="auto"/>
              <w:jc w:val="left"/>
              <w:rPr>
                <w:rFonts w:cs="Arial"/>
                <w:sz w:val="20"/>
                <w:szCs w:val="25"/>
                <w:lang w:eastAsia="de-DE" w:bidi="ar-SA"/>
              </w:rPr>
            </w:pPr>
            <w:r>
              <w:rPr>
                <w:rFonts w:cs="Arial"/>
                <w:sz w:val="20"/>
                <w:szCs w:val="22"/>
                <w:lang w:eastAsia="de-DE" w:bidi="ar-SA"/>
              </w:rPr>
              <w:t>World Wide Web Consortium</w:t>
            </w:r>
          </w:p>
        </w:tc>
      </w:tr>
    </w:tbl>
    <w:p w14:paraId="0D87402E"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00" w:name="_Toc374345656"/>
      <w:bookmarkStart w:id="101" w:name="_Toc374346002"/>
      <w:bookmarkStart w:id="102" w:name="_Toc374346347"/>
      <w:bookmarkStart w:id="103" w:name="_Toc374346693"/>
      <w:bookmarkStart w:id="104" w:name="_Toc368932151"/>
      <w:bookmarkStart w:id="105" w:name="_Toc374348467"/>
      <w:bookmarkStart w:id="106" w:name="_Toc375158192"/>
      <w:bookmarkStart w:id="107" w:name="_Toc398214776"/>
      <w:bookmarkStart w:id="108" w:name="_Toc420594302"/>
      <w:bookmarkStart w:id="109" w:name="_Toc421874234"/>
      <w:bookmarkStart w:id="110" w:name="_Toc422150661"/>
      <w:bookmarkStart w:id="111" w:name="_Toc448998192"/>
      <w:bookmarkStart w:id="112" w:name="_Toc486332808"/>
      <w:bookmarkStart w:id="113" w:name="_Toc1977206"/>
      <w:bookmarkStart w:id="114" w:name="_Toc37062361"/>
      <w:bookmarkStart w:id="115" w:name="_Toc88839485"/>
      <w:bookmarkStart w:id="116" w:name="_Toc121503893"/>
      <w:bookmarkEnd w:id="100"/>
      <w:bookmarkEnd w:id="101"/>
      <w:bookmarkEnd w:id="102"/>
      <w:bookmarkEnd w:id="103"/>
      <w:r>
        <w:rPr>
          <w:rFonts w:eastAsia="Times New Roman" w:cs="Arial"/>
          <w:b/>
          <w:bCs/>
          <w:iCs/>
          <w:sz w:val="24"/>
          <w:szCs w:val="28"/>
          <w:lang w:eastAsia="en-US"/>
        </w:rPr>
        <w:lastRenderedPageBreak/>
        <w:t>References</w:t>
      </w:r>
      <w:bookmarkEnd w:id="104"/>
      <w:bookmarkEnd w:id="105"/>
      <w:bookmarkEnd w:id="106"/>
      <w:bookmarkEnd w:id="107"/>
      <w:bookmarkEnd w:id="108"/>
      <w:bookmarkEnd w:id="109"/>
      <w:bookmarkEnd w:id="110"/>
      <w:bookmarkEnd w:id="111"/>
      <w:bookmarkEnd w:id="112"/>
      <w:bookmarkEnd w:id="113"/>
      <w:bookmarkEnd w:id="114"/>
      <w:bookmarkEnd w:id="115"/>
      <w:bookmarkEnd w:id="116"/>
    </w:p>
    <w:tbl>
      <w:tblPr>
        <w:tblW w:w="87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5"/>
        <w:gridCol w:w="5950"/>
      </w:tblGrid>
      <w:tr w:rsidR="00B97365" w14:paraId="498B73BF" w14:textId="77777777">
        <w:trPr>
          <w:cantSplit/>
        </w:trPr>
        <w:tc>
          <w:tcPr>
            <w:tcW w:w="70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8B5DDCF" w14:textId="77777777" w:rsidR="00B97365" w:rsidRDefault="00000000">
            <w:pPr>
              <w:keepNext/>
              <w:spacing w:before="60" w:line="276" w:lineRule="auto"/>
              <w:jc w:val="center"/>
              <w:rPr>
                <w:rFonts w:cs="Arial"/>
                <w:b/>
                <w:color w:val="FFFFFF"/>
                <w:szCs w:val="22"/>
                <w:lang w:val="en-US" w:eastAsia="en-GB" w:bidi="ar-SA"/>
              </w:rPr>
            </w:pPr>
            <w:r>
              <w:rPr>
                <w:rFonts w:cs="Arial"/>
                <w:b/>
                <w:color w:val="FFFFFF"/>
                <w:szCs w:val="22"/>
                <w:lang w:val="en-US" w:eastAsia="en-GB" w:bidi="ar-SA"/>
              </w:rPr>
              <w:t>Ref</w:t>
            </w:r>
          </w:p>
        </w:tc>
        <w:tc>
          <w:tcPr>
            <w:tcW w:w="212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40B116A" w14:textId="77777777" w:rsidR="00B97365" w:rsidRDefault="00000000">
            <w:pPr>
              <w:keepNext/>
              <w:spacing w:before="60" w:line="276" w:lineRule="auto"/>
              <w:jc w:val="center"/>
              <w:rPr>
                <w:rFonts w:cs="Arial"/>
                <w:b/>
                <w:color w:val="FFFFFF"/>
                <w:szCs w:val="22"/>
                <w:lang w:val="en-US" w:eastAsia="en-GB" w:bidi="ar-SA"/>
              </w:rPr>
            </w:pPr>
            <w:r>
              <w:rPr>
                <w:rFonts w:cs="Arial"/>
                <w:b/>
                <w:color w:val="FFFFFF"/>
                <w:szCs w:val="22"/>
                <w:lang w:val="en-US" w:eastAsia="en-GB" w:bidi="ar-SA"/>
              </w:rPr>
              <w:t>Document</w:t>
            </w:r>
            <w:r>
              <w:rPr>
                <w:rFonts w:cs="Arial"/>
                <w:b/>
                <w:color w:val="FFFFFF"/>
                <w:szCs w:val="22"/>
                <w:lang w:val="en-US" w:eastAsia="en-GB" w:bidi="ar-SA"/>
              </w:rPr>
              <w:br/>
              <w:t>Number</w:t>
            </w:r>
          </w:p>
        </w:tc>
        <w:tc>
          <w:tcPr>
            <w:tcW w:w="595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7A7C05D" w14:textId="77777777" w:rsidR="00B97365" w:rsidRDefault="00000000">
            <w:pPr>
              <w:keepNext/>
              <w:spacing w:before="60" w:line="276" w:lineRule="auto"/>
              <w:jc w:val="center"/>
              <w:rPr>
                <w:rFonts w:cs="Arial"/>
                <w:b/>
                <w:color w:val="FFFFFF"/>
                <w:szCs w:val="22"/>
                <w:lang w:val="en-US" w:eastAsia="en-GB" w:bidi="ar-SA"/>
              </w:rPr>
            </w:pPr>
            <w:r>
              <w:rPr>
                <w:rFonts w:cs="Arial"/>
                <w:b/>
                <w:color w:val="FFFFFF"/>
                <w:szCs w:val="22"/>
                <w:lang w:val="en-US" w:eastAsia="en-GB" w:bidi="ar-SA"/>
              </w:rPr>
              <w:t>Title</w:t>
            </w:r>
          </w:p>
        </w:tc>
      </w:tr>
      <w:tr w:rsidR="00B97365" w14:paraId="44296293"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5E43690" w14:textId="77777777" w:rsidR="00B97365" w:rsidRDefault="00B97365">
            <w:pPr>
              <w:numPr>
                <w:ilvl w:val="0"/>
                <w:numId w:val="37"/>
              </w:numPr>
              <w:spacing w:before="40" w:after="40" w:line="276" w:lineRule="auto"/>
              <w:jc w:val="left"/>
              <w:rPr>
                <w:sz w:val="20"/>
                <w:szCs w:val="22"/>
                <w:lang w:eastAsia="de-DE" w:bidi="ar-SA"/>
              </w:rPr>
            </w:pPr>
            <w:bookmarkStart w:id="117" w:name="_Ref421622651"/>
            <w:bookmarkStart w:id="118" w:name="_Ref483303259"/>
            <w:bookmarkStart w:id="119" w:name="_Ref421631399" w:colFirst="0" w:colLast="0"/>
            <w:bookmarkEnd w:id="117"/>
          </w:p>
        </w:tc>
        <w:bookmarkEnd w:id="118"/>
        <w:tc>
          <w:tcPr>
            <w:tcW w:w="2125" w:type="dxa"/>
            <w:tcBorders>
              <w:top w:val="single" w:sz="4" w:space="0" w:color="auto"/>
              <w:left w:val="single" w:sz="4" w:space="0" w:color="auto"/>
              <w:bottom w:val="single" w:sz="4" w:space="0" w:color="auto"/>
              <w:right w:val="single" w:sz="4" w:space="0" w:color="auto"/>
            </w:tcBorders>
            <w:vAlign w:val="center"/>
            <w:hideMark/>
          </w:tcPr>
          <w:p w14:paraId="1F0DF36D"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SGP.01</w:t>
            </w:r>
          </w:p>
        </w:tc>
        <w:tc>
          <w:tcPr>
            <w:tcW w:w="5950" w:type="dxa"/>
            <w:tcBorders>
              <w:top w:val="single" w:sz="4" w:space="0" w:color="auto"/>
              <w:left w:val="single" w:sz="4" w:space="0" w:color="auto"/>
              <w:bottom w:val="single" w:sz="4" w:space="0" w:color="auto"/>
              <w:right w:val="single" w:sz="4" w:space="0" w:color="auto"/>
            </w:tcBorders>
            <w:vAlign w:val="center"/>
            <w:hideMark/>
          </w:tcPr>
          <w:p w14:paraId="75407084" w14:textId="20FDD625" w:rsidR="00B97365" w:rsidRDefault="00000000">
            <w:pPr>
              <w:spacing w:before="40" w:after="40" w:line="276" w:lineRule="auto"/>
              <w:jc w:val="left"/>
              <w:rPr>
                <w:sz w:val="20"/>
                <w:szCs w:val="25"/>
                <w:lang w:eastAsia="de-DE" w:bidi="ar-SA"/>
              </w:rPr>
            </w:pPr>
            <w:r>
              <w:rPr>
                <w:rFonts w:cs="Arial"/>
                <w:sz w:val="20"/>
                <w:szCs w:val="22"/>
                <w:lang w:eastAsia="de-DE" w:bidi="ar-SA"/>
              </w:rPr>
              <w:t>GSMA ‘Remote Provisioning Architecture for Embedded UICC’ Version 4.3</w:t>
            </w:r>
          </w:p>
        </w:tc>
      </w:tr>
      <w:tr w:rsidR="00B97365" w14:paraId="5CE19C4A"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2B78D87" w14:textId="77777777" w:rsidR="00B97365" w:rsidRDefault="00B97365">
            <w:pPr>
              <w:numPr>
                <w:ilvl w:val="0"/>
                <w:numId w:val="37"/>
              </w:numPr>
              <w:spacing w:before="40" w:after="40" w:line="276" w:lineRule="auto"/>
              <w:jc w:val="left"/>
              <w:rPr>
                <w:sz w:val="20"/>
                <w:szCs w:val="22"/>
                <w:lang w:eastAsia="de-DE" w:bidi="ar-SA"/>
              </w:rPr>
            </w:pPr>
            <w:bookmarkStart w:id="120" w:name="_Ref421631806" w:colFirst="0" w:colLast="0"/>
            <w:bookmarkEnd w:id="119"/>
          </w:p>
        </w:tc>
        <w:tc>
          <w:tcPr>
            <w:tcW w:w="2125" w:type="dxa"/>
            <w:tcBorders>
              <w:top w:val="single" w:sz="4" w:space="0" w:color="auto"/>
              <w:left w:val="single" w:sz="4" w:space="0" w:color="auto"/>
              <w:bottom w:val="single" w:sz="4" w:space="0" w:color="auto"/>
              <w:right w:val="single" w:sz="4" w:space="0" w:color="auto"/>
            </w:tcBorders>
            <w:vAlign w:val="center"/>
            <w:hideMark/>
          </w:tcPr>
          <w:p w14:paraId="56BD2BA4"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ETSI TS 101 220</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24003E1"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Smart Cards; ETSI numbering system for telecommunication application providers; Release 9</w:t>
            </w:r>
          </w:p>
        </w:tc>
      </w:tr>
      <w:tr w:rsidR="00B97365" w14:paraId="3CD88303"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6359CA5" w14:textId="77777777" w:rsidR="00B97365" w:rsidRDefault="00B97365">
            <w:pPr>
              <w:numPr>
                <w:ilvl w:val="0"/>
                <w:numId w:val="37"/>
              </w:numPr>
              <w:spacing w:before="40" w:after="40" w:line="276" w:lineRule="auto"/>
              <w:jc w:val="left"/>
              <w:rPr>
                <w:sz w:val="20"/>
                <w:szCs w:val="22"/>
                <w:lang w:eastAsia="de-DE" w:bidi="ar-SA"/>
              </w:rPr>
            </w:pPr>
            <w:bookmarkStart w:id="121" w:name="_Ref421633137" w:colFirst="0" w:colLast="0"/>
            <w:bookmarkEnd w:id="120"/>
          </w:p>
        </w:tc>
        <w:tc>
          <w:tcPr>
            <w:tcW w:w="2125" w:type="dxa"/>
            <w:tcBorders>
              <w:top w:val="single" w:sz="4" w:space="0" w:color="auto"/>
              <w:left w:val="single" w:sz="4" w:space="0" w:color="auto"/>
              <w:bottom w:val="single" w:sz="4" w:space="0" w:color="auto"/>
              <w:right w:val="single" w:sz="4" w:space="0" w:color="auto"/>
            </w:tcBorders>
            <w:vAlign w:val="center"/>
            <w:hideMark/>
          </w:tcPr>
          <w:p w14:paraId="61C75702"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ETSI TS 102 223</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761C53D"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Smart Cards; Card Application Toolkit (CAT) ; Release 9</w:t>
            </w:r>
          </w:p>
        </w:tc>
      </w:tr>
      <w:tr w:rsidR="00B97365" w14:paraId="2A2372A9"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926D95D" w14:textId="77777777" w:rsidR="00B97365" w:rsidRDefault="00B97365">
            <w:pPr>
              <w:numPr>
                <w:ilvl w:val="0"/>
                <w:numId w:val="37"/>
              </w:numPr>
              <w:spacing w:before="40" w:after="40" w:line="276" w:lineRule="auto"/>
              <w:jc w:val="left"/>
              <w:rPr>
                <w:sz w:val="20"/>
                <w:szCs w:val="22"/>
                <w:lang w:eastAsia="de-DE" w:bidi="ar-SA"/>
              </w:rPr>
            </w:pPr>
            <w:bookmarkStart w:id="122" w:name="_Ref421631435" w:colFirst="0" w:colLast="0"/>
            <w:bookmarkEnd w:id="121"/>
          </w:p>
        </w:tc>
        <w:tc>
          <w:tcPr>
            <w:tcW w:w="2125" w:type="dxa"/>
            <w:tcBorders>
              <w:top w:val="single" w:sz="4" w:space="0" w:color="auto"/>
              <w:left w:val="single" w:sz="4" w:space="0" w:color="auto"/>
              <w:bottom w:val="single" w:sz="4" w:space="0" w:color="auto"/>
              <w:right w:val="single" w:sz="4" w:space="0" w:color="auto"/>
            </w:tcBorders>
            <w:vAlign w:val="center"/>
            <w:hideMark/>
          </w:tcPr>
          <w:p w14:paraId="426DA55E"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ETSI TS 102 225</w:t>
            </w:r>
          </w:p>
        </w:tc>
        <w:tc>
          <w:tcPr>
            <w:tcW w:w="5950" w:type="dxa"/>
            <w:tcBorders>
              <w:top w:val="single" w:sz="4" w:space="0" w:color="auto"/>
              <w:left w:val="single" w:sz="4" w:space="0" w:color="auto"/>
              <w:bottom w:val="single" w:sz="4" w:space="0" w:color="auto"/>
              <w:right w:val="single" w:sz="4" w:space="0" w:color="auto"/>
            </w:tcBorders>
            <w:vAlign w:val="center"/>
            <w:hideMark/>
          </w:tcPr>
          <w:p w14:paraId="036DE629"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Secured packet structure for UICC based applications; Release 12</w:t>
            </w:r>
          </w:p>
        </w:tc>
      </w:tr>
      <w:tr w:rsidR="00B97365" w14:paraId="67D513C5"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2CF286FA" w14:textId="77777777" w:rsidR="00B97365" w:rsidRDefault="00B97365">
            <w:pPr>
              <w:numPr>
                <w:ilvl w:val="0"/>
                <w:numId w:val="37"/>
              </w:numPr>
              <w:spacing w:before="40" w:after="40" w:line="276" w:lineRule="auto"/>
              <w:jc w:val="left"/>
              <w:rPr>
                <w:sz w:val="20"/>
                <w:szCs w:val="22"/>
                <w:lang w:eastAsia="de-DE" w:bidi="ar-SA"/>
              </w:rPr>
            </w:pPr>
            <w:bookmarkStart w:id="123" w:name="_Ref481770691"/>
            <w:bookmarkStart w:id="124" w:name="_Ref421631444" w:colFirst="0" w:colLast="0"/>
            <w:bookmarkEnd w:id="122"/>
          </w:p>
        </w:tc>
        <w:bookmarkEnd w:id="123"/>
        <w:tc>
          <w:tcPr>
            <w:tcW w:w="2125" w:type="dxa"/>
            <w:tcBorders>
              <w:top w:val="single" w:sz="4" w:space="0" w:color="auto"/>
              <w:left w:val="single" w:sz="4" w:space="0" w:color="auto"/>
              <w:bottom w:val="single" w:sz="4" w:space="0" w:color="auto"/>
              <w:right w:val="single" w:sz="4" w:space="0" w:color="auto"/>
            </w:tcBorders>
            <w:vAlign w:val="center"/>
            <w:hideMark/>
          </w:tcPr>
          <w:p w14:paraId="6F30E688"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ETSI TS 102 226</w:t>
            </w:r>
          </w:p>
        </w:tc>
        <w:tc>
          <w:tcPr>
            <w:tcW w:w="5950" w:type="dxa"/>
            <w:tcBorders>
              <w:top w:val="single" w:sz="4" w:space="0" w:color="auto"/>
              <w:left w:val="single" w:sz="4" w:space="0" w:color="auto"/>
              <w:bottom w:val="single" w:sz="4" w:space="0" w:color="auto"/>
              <w:right w:val="single" w:sz="4" w:space="0" w:color="auto"/>
            </w:tcBorders>
            <w:vAlign w:val="center"/>
            <w:hideMark/>
          </w:tcPr>
          <w:p w14:paraId="4208D4B6"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Remote APDU structure for UICC based applications; Release 9</w:t>
            </w:r>
          </w:p>
        </w:tc>
      </w:tr>
      <w:tr w:rsidR="00B97365" w14:paraId="003B64E4"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4645B9B" w14:textId="77777777" w:rsidR="00B97365" w:rsidRDefault="00B97365">
            <w:pPr>
              <w:numPr>
                <w:ilvl w:val="0"/>
                <w:numId w:val="37"/>
              </w:numPr>
              <w:spacing w:before="40" w:after="40" w:line="276" w:lineRule="auto"/>
              <w:jc w:val="left"/>
              <w:rPr>
                <w:sz w:val="20"/>
                <w:szCs w:val="22"/>
                <w:lang w:eastAsia="de-DE" w:bidi="ar-SA"/>
              </w:rPr>
            </w:pPr>
            <w:bookmarkStart w:id="125" w:name="_Ref471395513"/>
            <w:bookmarkStart w:id="126" w:name="_Ref421631311" w:colFirst="0" w:colLast="0"/>
            <w:bookmarkEnd w:id="124"/>
          </w:p>
        </w:tc>
        <w:bookmarkEnd w:id="125"/>
        <w:tc>
          <w:tcPr>
            <w:tcW w:w="2125" w:type="dxa"/>
            <w:tcBorders>
              <w:top w:val="single" w:sz="4" w:space="0" w:color="auto"/>
              <w:left w:val="single" w:sz="4" w:space="0" w:color="auto"/>
              <w:bottom w:val="single" w:sz="4" w:space="0" w:color="auto"/>
              <w:right w:val="single" w:sz="4" w:space="0" w:color="auto"/>
            </w:tcBorders>
            <w:vAlign w:val="center"/>
            <w:hideMark/>
          </w:tcPr>
          <w:p w14:paraId="491B50DB"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GPC_SPE_034</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7F9ABAA"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GlobalPlatform Card Specification v.2.2.1</w:t>
            </w:r>
          </w:p>
        </w:tc>
      </w:tr>
      <w:tr w:rsidR="00B97365" w14:paraId="78C5E0C5"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19A20ED" w14:textId="77777777" w:rsidR="00B97365" w:rsidRDefault="00B97365">
            <w:pPr>
              <w:numPr>
                <w:ilvl w:val="0"/>
                <w:numId w:val="37"/>
              </w:numPr>
              <w:spacing w:before="40" w:after="40" w:line="276" w:lineRule="auto"/>
              <w:jc w:val="left"/>
              <w:rPr>
                <w:sz w:val="20"/>
                <w:szCs w:val="22"/>
                <w:lang w:eastAsia="de-DE" w:bidi="ar-SA"/>
              </w:rPr>
            </w:pPr>
            <w:bookmarkStart w:id="127" w:name="_Ref421631520" w:colFirst="0" w:colLast="0"/>
            <w:bookmarkEnd w:id="126"/>
          </w:p>
        </w:tc>
        <w:tc>
          <w:tcPr>
            <w:tcW w:w="2125" w:type="dxa"/>
            <w:tcBorders>
              <w:top w:val="single" w:sz="4" w:space="0" w:color="auto"/>
              <w:left w:val="single" w:sz="4" w:space="0" w:color="auto"/>
              <w:bottom w:val="single" w:sz="4" w:space="0" w:color="auto"/>
              <w:right w:val="single" w:sz="4" w:space="0" w:color="auto"/>
            </w:tcBorders>
            <w:vAlign w:val="center"/>
            <w:hideMark/>
          </w:tcPr>
          <w:p w14:paraId="10EDCA04"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GPC_GUI_010</w:t>
            </w:r>
          </w:p>
        </w:tc>
        <w:tc>
          <w:tcPr>
            <w:tcW w:w="5950" w:type="dxa"/>
            <w:tcBorders>
              <w:top w:val="single" w:sz="4" w:space="0" w:color="auto"/>
              <w:left w:val="single" w:sz="4" w:space="0" w:color="auto"/>
              <w:bottom w:val="single" w:sz="4" w:space="0" w:color="auto"/>
              <w:right w:val="single" w:sz="4" w:space="0" w:color="auto"/>
            </w:tcBorders>
            <w:vAlign w:val="center"/>
            <w:hideMark/>
          </w:tcPr>
          <w:p w14:paraId="0D6BB9DC"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GlobalPlatform Card Specification v.2.2.1 UICC Configuration v1.0.1</w:t>
            </w:r>
          </w:p>
        </w:tc>
      </w:tr>
      <w:tr w:rsidR="00B97365" w14:paraId="36542AB5"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A4CDA14" w14:textId="77777777" w:rsidR="00B97365" w:rsidRDefault="00B97365">
            <w:pPr>
              <w:numPr>
                <w:ilvl w:val="0"/>
                <w:numId w:val="37"/>
              </w:numPr>
              <w:spacing w:before="40" w:after="40" w:line="276" w:lineRule="auto"/>
              <w:jc w:val="left"/>
              <w:rPr>
                <w:sz w:val="20"/>
                <w:szCs w:val="22"/>
                <w:lang w:eastAsia="de-DE" w:bidi="ar-SA"/>
              </w:rPr>
            </w:pPr>
            <w:bookmarkStart w:id="128" w:name="_Ref471401718"/>
            <w:bookmarkStart w:id="129" w:name="_Ref421632368" w:colFirst="0" w:colLast="0"/>
            <w:bookmarkEnd w:id="127"/>
          </w:p>
        </w:tc>
        <w:bookmarkEnd w:id="128"/>
        <w:tc>
          <w:tcPr>
            <w:tcW w:w="2125" w:type="dxa"/>
            <w:tcBorders>
              <w:top w:val="single" w:sz="4" w:space="0" w:color="auto"/>
              <w:left w:val="single" w:sz="4" w:space="0" w:color="auto"/>
              <w:bottom w:val="single" w:sz="4" w:space="0" w:color="auto"/>
              <w:right w:val="single" w:sz="4" w:space="0" w:color="auto"/>
            </w:tcBorders>
            <w:vAlign w:val="center"/>
            <w:hideMark/>
          </w:tcPr>
          <w:p w14:paraId="51571C7D"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GPC_SPE_011</w:t>
            </w:r>
          </w:p>
        </w:tc>
        <w:tc>
          <w:tcPr>
            <w:tcW w:w="5950" w:type="dxa"/>
            <w:tcBorders>
              <w:top w:val="single" w:sz="4" w:space="0" w:color="auto"/>
              <w:left w:val="single" w:sz="4" w:space="0" w:color="auto"/>
              <w:bottom w:val="single" w:sz="4" w:space="0" w:color="auto"/>
              <w:right w:val="single" w:sz="4" w:space="0" w:color="auto"/>
            </w:tcBorders>
            <w:vAlign w:val="center"/>
            <w:hideMark/>
          </w:tcPr>
          <w:p w14:paraId="15ECBE7B"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GlobalPlatform Card Specification v.2.2 Amendment B:  Remote Application Management over HTTP v1.1.3</w:t>
            </w:r>
          </w:p>
        </w:tc>
      </w:tr>
      <w:tr w:rsidR="00B97365" w14:paraId="2A2E31B8"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5F73A2B" w14:textId="77777777" w:rsidR="00B97365" w:rsidRDefault="00B97365">
            <w:pPr>
              <w:numPr>
                <w:ilvl w:val="0"/>
                <w:numId w:val="37"/>
              </w:numPr>
              <w:spacing w:before="40" w:after="40" w:line="276" w:lineRule="auto"/>
              <w:jc w:val="left"/>
              <w:rPr>
                <w:sz w:val="20"/>
                <w:szCs w:val="22"/>
                <w:lang w:eastAsia="de-DE" w:bidi="ar-SA"/>
              </w:rPr>
            </w:pPr>
            <w:bookmarkStart w:id="130" w:name="_Ref421633218" w:colFirst="0" w:colLast="0"/>
            <w:bookmarkEnd w:id="129"/>
          </w:p>
        </w:tc>
        <w:tc>
          <w:tcPr>
            <w:tcW w:w="2125" w:type="dxa"/>
            <w:tcBorders>
              <w:top w:val="single" w:sz="4" w:space="0" w:color="auto"/>
              <w:left w:val="single" w:sz="4" w:space="0" w:color="auto"/>
              <w:bottom w:val="single" w:sz="4" w:space="0" w:color="auto"/>
              <w:right w:val="single" w:sz="4" w:space="0" w:color="auto"/>
            </w:tcBorders>
            <w:vAlign w:val="center"/>
            <w:hideMark/>
          </w:tcPr>
          <w:p w14:paraId="087F6A5A"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GPC_SPE_025</w:t>
            </w:r>
          </w:p>
        </w:tc>
        <w:tc>
          <w:tcPr>
            <w:tcW w:w="5950" w:type="dxa"/>
            <w:tcBorders>
              <w:top w:val="single" w:sz="4" w:space="0" w:color="auto"/>
              <w:left w:val="single" w:sz="4" w:space="0" w:color="auto"/>
              <w:bottom w:val="single" w:sz="4" w:space="0" w:color="auto"/>
              <w:right w:val="single" w:sz="4" w:space="0" w:color="auto"/>
            </w:tcBorders>
            <w:vAlign w:val="center"/>
            <w:hideMark/>
          </w:tcPr>
          <w:p w14:paraId="1B1FB34C"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GlobalPlatform Card Specification v.2.2 Amendment C: Contactless Services v1.1.1</w:t>
            </w:r>
          </w:p>
        </w:tc>
      </w:tr>
      <w:tr w:rsidR="00B97365" w14:paraId="44722356"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93621C8" w14:textId="77777777" w:rsidR="00B97365" w:rsidRDefault="00B97365">
            <w:pPr>
              <w:numPr>
                <w:ilvl w:val="0"/>
                <w:numId w:val="37"/>
              </w:numPr>
              <w:spacing w:before="40" w:after="40" w:line="276" w:lineRule="auto"/>
              <w:jc w:val="left"/>
              <w:rPr>
                <w:sz w:val="20"/>
                <w:szCs w:val="22"/>
                <w:lang w:eastAsia="de-DE" w:bidi="ar-SA"/>
              </w:rPr>
            </w:pPr>
            <w:bookmarkStart w:id="131" w:name="_Ref421631938" w:colFirst="0" w:colLast="0"/>
            <w:bookmarkEnd w:id="130"/>
          </w:p>
        </w:tc>
        <w:tc>
          <w:tcPr>
            <w:tcW w:w="2125" w:type="dxa"/>
            <w:tcBorders>
              <w:top w:val="single" w:sz="4" w:space="0" w:color="auto"/>
              <w:left w:val="single" w:sz="4" w:space="0" w:color="auto"/>
              <w:bottom w:val="single" w:sz="4" w:space="0" w:color="auto"/>
              <w:right w:val="single" w:sz="4" w:space="0" w:color="auto"/>
            </w:tcBorders>
            <w:vAlign w:val="center"/>
            <w:hideMark/>
          </w:tcPr>
          <w:p w14:paraId="3CBAC980"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GPC_SPE_014</w:t>
            </w:r>
          </w:p>
        </w:tc>
        <w:tc>
          <w:tcPr>
            <w:tcW w:w="5950" w:type="dxa"/>
            <w:tcBorders>
              <w:top w:val="single" w:sz="4" w:space="0" w:color="auto"/>
              <w:left w:val="single" w:sz="4" w:space="0" w:color="auto"/>
              <w:bottom w:val="single" w:sz="4" w:space="0" w:color="auto"/>
              <w:right w:val="single" w:sz="4" w:space="0" w:color="auto"/>
            </w:tcBorders>
            <w:vAlign w:val="center"/>
            <w:hideMark/>
          </w:tcPr>
          <w:p w14:paraId="64D11727"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GlobalPlatform Card Specification v.2.2 Amendment D: Secure Channel Protocol 03 v1.1.1</w:t>
            </w:r>
          </w:p>
        </w:tc>
      </w:tr>
      <w:tr w:rsidR="00B97365" w14:paraId="6D276F4A"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69C270DB" w14:textId="77777777" w:rsidR="00B97365" w:rsidRDefault="00B97365">
            <w:pPr>
              <w:numPr>
                <w:ilvl w:val="0"/>
                <w:numId w:val="37"/>
              </w:numPr>
              <w:spacing w:before="40" w:after="40" w:line="276" w:lineRule="auto"/>
              <w:jc w:val="left"/>
              <w:rPr>
                <w:sz w:val="20"/>
                <w:szCs w:val="22"/>
                <w:lang w:eastAsia="de-DE" w:bidi="ar-SA"/>
              </w:rPr>
            </w:pPr>
            <w:bookmarkStart w:id="132" w:name="_Ref481750111"/>
            <w:bookmarkStart w:id="133" w:name="_Ref421632038" w:colFirst="0" w:colLast="0"/>
            <w:bookmarkEnd w:id="131"/>
          </w:p>
        </w:tc>
        <w:bookmarkEnd w:id="132"/>
        <w:tc>
          <w:tcPr>
            <w:tcW w:w="2125" w:type="dxa"/>
            <w:tcBorders>
              <w:top w:val="single" w:sz="4" w:space="0" w:color="auto"/>
              <w:left w:val="single" w:sz="4" w:space="0" w:color="auto"/>
              <w:bottom w:val="single" w:sz="4" w:space="0" w:color="auto"/>
              <w:right w:val="single" w:sz="4" w:space="0" w:color="auto"/>
            </w:tcBorders>
            <w:vAlign w:val="center"/>
            <w:hideMark/>
          </w:tcPr>
          <w:p w14:paraId="637080DC"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GPC_SPE_042</w:t>
            </w:r>
          </w:p>
        </w:tc>
        <w:tc>
          <w:tcPr>
            <w:tcW w:w="5950" w:type="dxa"/>
            <w:tcBorders>
              <w:top w:val="single" w:sz="4" w:space="0" w:color="auto"/>
              <w:left w:val="single" w:sz="4" w:space="0" w:color="auto"/>
              <w:bottom w:val="single" w:sz="4" w:space="0" w:color="auto"/>
              <w:right w:val="single" w:sz="4" w:space="0" w:color="auto"/>
            </w:tcBorders>
            <w:vAlign w:val="center"/>
            <w:hideMark/>
          </w:tcPr>
          <w:p w14:paraId="6E0C6910"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GlobalPlatform Card Specification v.2.2 Amendment E: Security Upgrade for Card Content Management v1.0.1</w:t>
            </w:r>
          </w:p>
        </w:tc>
      </w:tr>
      <w:tr w:rsidR="00B97365" w14:paraId="4626DC87"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CE55A0E" w14:textId="77777777" w:rsidR="00B97365" w:rsidRDefault="00B97365">
            <w:pPr>
              <w:numPr>
                <w:ilvl w:val="0"/>
                <w:numId w:val="37"/>
              </w:numPr>
              <w:spacing w:before="40" w:after="40" w:line="276" w:lineRule="auto"/>
              <w:jc w:val="left"/>
              <w:rPr>
                <w:sz w:val="20"/>
                <w:szCs w:val="22"/>
                <w:lang w:eastAsia="de-DE" w:bidi="ar-SA"/>
              </w:rPr>
            </w:pPr>
            <w:bookmarkStart w:id="134" w:name="_Ref421634829" w:colFirst="0" w:colLast="0"/>
            <w:bookmarkEnd w:id="133"/>
          </w:p>
        </w:tc>
        <w:tc>
          <w:tcPr>
            <w:tcW w:w="2125" w:type="dxa"/>
            <w:tcBorders>
              <w:top w:val="single" w:sz="4" w:space="0" w:color="auto"/>
              <w:left w:val="single" w:sz="4" w:space="0" w:color="auto"/>
              <w:bottom w:val="single" w:sz="4" w:space="0" w:color="auto"/>
              <w:right w:val="single" w:sz="4" w:space="0" w:color="auto"/>
            </w:tcBorders>
            <w:vAlign w:val="center"/>
            <w:hideMark/>
          </w:tcPr>
          <w:p w14:paraId="25BC7B6B"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ITU E.212</w:t>
            </w:r>
          </w:p>
        </w:tc>
        <w:tc>
          <w:tcPr>
            <w:tcW w:w="5950" w:type="dxa"/>
            <w:tcBorders>
              <w:top w:val="single" w:sz="4" w:space="0" w:color="auto"/>
              <w:left w:val="single" w:sz="4" w:space="0" w:color="auto"/>
              <w:bottom w:val="single" w:sz="4" w:space="0" w:color="auto"/>
              <w:right w:val="single" w:sz="4" w:space="0" w:color="auto"/>
            </w:tcBorders>
            <w:vAlign w:val="center"/>
            <w:hideMark/>
          </w:tcPr>
          <w:p w14:paraId="4AD7716A"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The international identification plan for public networks and Subscriptions</w:t>
            </w:r>
          </w:p>
        </w:tc>
      </w:tr>
      <w:tr w:rsidR="00B97365" w14:paraId="5178DDD2"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BE70BE5" w14:textId="77777777" w:rsidR="00B97365" w:rsidRDefault="00B97365">
            <w:pPr>
              <w:numPr>
                <w:ilvl w:val="0"/>
                <w:numId w:val="37"/>
              </w:numPr>
              <w:spacing w:before="40" w:after="40" w:line="276" w:lineRule="auto"/>
              <w:jc w:val="left"/>
              <w:rPr>
                <w:sz w:val="20"/>
                <w:szCs w:val="22"/>
                <w:lang w:eastAsia="de-DE" w:bidi="ar-SA"/>
              </w:rPr>
            </w:pPr>
            <w:bookmarkStart w:id="135" w:name="_Ref421632302" w:colFirst="0" w:colLast="0"/>
            <w:bookmarkEnd w:id="134"/>
          </w:p>
        </w:tc>
        <w:tc>
          <w:tcPr>
            <w:tcW w:w="2125" w:type="dxa"/>
            <w:tcBorders>
              <w:top w:val="single" w:sz="4" w:space="0" w:color="auto"/>
              <w:left w:val="single" w:sz="4" w:space="0" w:color="auto"/>
              <w:bottom w:val="single" w:sz="4" w:space="0" w:color="auto"/>
              <w:right w:val="single" w:sz="4" w:space="0" w:color="auto"/>
            </w:tcBorders>
            <w:vAlign w:val="center"/>
            <w:hideMark/>
          </w:tcPr>
          <w:p w14:paraId="49C03CC3"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3GPP TS 31.115</w:t>
            </w:r>
          </w:p>
        </w:tc>
        <w:tc>
          <w:tcPr>
            <w:tcW w:w="5950" w:type="dxa"/>
            <w:tcBorders>
              <w:top w:val="single" w:sz="4" w:space="0" w:color="auto"/>
              <w:left w:val="single" w:sz="4" w:space="0" w:color="auto"/>
              <w:bottom w:val="single" w:sz="4" w:space="0" w:color="auto"/>
              <w:right w:val="single" w:sz="4" w:space="0" w:color="auto"/>
            </w:tcBorders>
            <w:vAlign w:val="center"/>
            <w:hideMark/>
          </w:tcPr>
          <w:p w14:paraId="6EE7E63E"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Secured packet structure for (Universal) Subscriber Identity Module (U)SIM Toolkit applications Release 11</w:t>
            </w:r>
          </w:p>
        </w:tc>
      </w:tr>
      <w:tr w:rsidR="00B97365" w14:paraId="6D7599D7"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24E2A086" w14:textId="77777777" w:rsidR="00B97365" w:rsidRDefault="00B97365">
            <w:pPr>
              <w:numPr>
                <w:ilvl w:val="0"/>
                <w:numId w:val="37"/>
              </w:numPr>
              <w:spacing w:before="40" w:after="40" w:line="276" w:lineRule="auto"/>
              <w:jc w:val="left"/>
              <w:rPr>
                <w:sz w:val="20"/>
                <w:szCs w:val="22"/>
                <w:lang w:eastAsia="de-DE" w:bidi="ar-SA"/>
              </w:rPr>
            </w:pPr>
            <w:bookmarkStart w:id="136" w:name="_Ref421632286" w:colFirst="0" w:colLast="0"/>
            <w:bookmarkEnd w:id="135"/>
          </w:p>
        </w:tc>
        <w:tc>
          <w:tcPr>
            <w:tcW w:w="2125" w:type="dxa"/>
            <w:tcBorders>
              <w:top w:val="single" w:sz="4" w:space="0" w:color="auto"/>
              <w:left w:val="single" w:sz="4" w:space="0" w:color="auto"/>
              <w:bottom w:val="single" w:sz="4" w:space="0" w:color="auto"/>
              <w:right w:val="single" w:sz="4" w:space="0" w:color="auto"/>
            </w:tcBorders>
            <w:vAlign w:val="center"/>
            <w:hideMark/>
          </w:tcPr>
          <w:p w14:paraId="2535095A"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OMA Smartcard-Web-Server v1.0</w:t>
            </w:r>
          </w:p>
        </w:tc>
        <w:tc>
          <w:tcPr>
            <w:tcW w:w="5950" w:type="dxa"/>
            <w:tcBorders>
              <w:top w:val="single" w:sz="4" w:space="0" w:color="auto"/>
              <w:left w:val="single" w:sz="4" w:space="0" w:color="auto"/>
              <w:bottom w:val="single" w:sz="4" w:space="0" w:color="auto"/>
              <w:right w:val="single" w:sz="4" w:space="0" w:color="auto"/>
            </w:tcBorders>
            <w:vAlign w:val="center"/>
            <w:hideMark/>
          </w:tcPr>
          <w:p w14:paraId="7EB47EE9"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OMA-TS-Smartcard_Web_Server-V1_0-20080421-A</w:t>
            </w:r>
          </w:p>
        </w:tc>
      </w:tr>
      <w:tr w:rsidR="00B97365" w14:paraId="32952278"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39BCE35" w14:textId="77777777" w:rsidR="00B97365" w:rsidRDefault="00B97365">
            <w:pPr>
              <w:numPr>
                <w:ilvl w:val="0"/>
                <w:numId w:val="37"/>
              </w:numPr>
              <w:spacing w:before="40" w:after="40" w:line="276" w:lineRule="auto"/>
              <w:jc w:val="left"/>
              <w:rPr>
                <w:sz w:val="20"/>
                <w:szCs w:val="22"/>
                <w:lang w:eastAsia="de-DE" w:bidi="ar-SA"/>
              </w:rPr>
            </w:pPr>
            <w:bookmarkStart w:id="137" w:name="_Ref421632403" w:colFirst="0" w:colLast="0"/>
            <w:bookmarkEnd w:id="136"/>
          </w:p>
        </w:tc>
        <w:tc>
          <w:tcPr>
            <w:tcW w:w="2125" w:type="dxa"/>
            <w:tcBorders>
              <w:top w:val="single" w:sz="4" w:space="0" w:color="auto"/>
              <w:left w:val="single" w:sz="4" w:space="0" w:color="auto"/>
              <w:bottom w:val="single" w:sz="4" w:space="0" w:color="auto"/>
              <w:right w:val="single" w:sz="4" w:space="0" w:color="auto"/>
            </w:tcBorders>
            <w:vAlign w:val="center"/>
            <w:hideMark/>
          </w:tcPr>
          <w:p w14:paraId="1B429FE6"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RFC 5246</w:t>
            </w:r>
          </w:p>
        </w:tc>
        <w:tc>
          <w:tcPr>
            <w:tcW w:w="5950" w:type="dxa"/>
            <w:tcBorders>
              <w:top w:val="single" w:sz="4" w:space="0" w:color="auto"/>
              <w:left w:val="single" w:sz="4" w:space="0" w:color="auto"/>
              <w:bottom w:val="single" w:sz="4" w:space="0" w:color="auto"/>
              <w:right w:val="single" w:sz="4" w:space="0" w:color="auto"/>
            </w:tcBorders>
            <w:vAlign w:val="center"/>
            <w:hideMark/>
          </w:tcPr>
          <w:p w14:paraId="65FCE975"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The TLS Protocol – Version 1.2</w:t>
            </w:r>
          </w:p>
        </w:tc>
      </w:tr>
      <w:tr w:rsidR="00B97365" w14:paraId="1864411F"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E581DD4" w14:textId="77777777" w:rsidR="00B97365" w:rsidRDefault="00B97365">
            <w:pPr>
              <w:numPr>
                <w:ilvl w:val="0"/>
                <w:numId w:val="37"/>
              </w:numPr>
              <w:spacing w:before="40" w:after="40" w:line="276" w:lineRule="auto"/>
              <w:jc w:val="left"/>
              <w:rPr>
                <w:sz w:val="20"/>
                <w:szCs w:val="22"/>
                <w:lang w:eastAsia="de-DE" w:bidi="ar-SA"/>
              </w:rPr>
            </w:pPr>
            <w:bookmarkStart w:id="138" w:name="_Ref421632464" w:colFirst="0" w:colLast="0"/>
            <w:bookmarkEnd w:id="137"/>
          </w:p>
        </w:tc>
        <w:tc>
          <w:tcPr>
            <w:tcW w:w="2125" w:type="dxa"/>
            <w:tcBorders>
              <w:top w:val="single" w:sz="4" w:space="0" w:color="auto"/>
              <w:left w:val="single" w:sz="4" w:space="0" w:color="auto"/>
              <w:bottom w:val="single" w:sz="4" w:space="0" w:color="auto"/>
              <w:right w:val="single" w:sz="4" w:space="0" w:color="auto"/>
            </w:tcBorders>
            <w:vAlign w:val="center"/>
            <w:hideMark/>
          </w:tcPr>
          <w:p w14:paraId="357D0563"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RFC 4279</w:t>
            </w:r>
          </w:p>
        </w:tc>
        <w:tc>
          <w:tcPr>
            <w:tcW w:w="5950" w:type="dxa"/>
            <w:tcBorders>
              <w:top w:val="single" w:sz="4" w:space="0" w:color="auto"/>
              <w:left w:val="single" w:sz="4" w:space="0" w:color="auto"/>
              <w:bottom w:val="single" w:sz="4" w:space="0" w:color="auto"/>
              <w:right w:val="single" w:sz="4" w:space="0" w:color="auto"/>
            </w:tcBorders>
            <w:vAlign w:val="center"/>
            <w:hideMark/>
          </w:tcPr>
          <w:p w14:paraId="184489B9"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Pre-Shared Key Cipher suites for Transport Layer Security (TLS)</w:t>
            </w:r>
          </w:p>
        </w:tc>
      </w:tr>
      <w:tr w:rsidR="00B97365" w14:paraId="24EB9596"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922FD9B" w14:textId="77777777" w:rsidR="00B97365" w:rsidRDefault="00B97365">
            <w:pPr>
              <w:numPr>
                <w:ilvl w:val="0"/>
                <w:numId w:val="37"/>
              </w:numPr>
              <w:spacing w:before="40" w:after="40" w:line="276" w:lineRule="auto"/>
              <w:jc w:val="left"/>
              <w:rPr>
                <w:sz w:val="20"/>
                <w:szCs w:val="22"/>
                <w:lang w:eastAsia="de-DE" w:bidi="ar-SA"/>
              </w:rPr>
            </w:pPr>
            <w:bookmarkStart w:id="139" w:name="_Ref421632414" w:colFirst="0" w:colLast="0"/>
            <w:bookmarkEnd w:id="138"/>
          </w:p>
        </w:tc>
        <w:tc>
          <w:tcPr>
            <w:tcW w:w="2125" w:type="dxa"/>
            <w:tcBorders>
              <w:top w:val="single" w:sz="4" w:space="0" w:color="auto"/>
              <w:left w:val="single" w:sz="4" w:space="0" w:color="auto"/>
              <w:bottom w:val="single" w:sz="4" w:space="0" w:color="auto"/>
              <w:right w:val="single" w:sz="4" w:space="0" w:color="auto"/>
            </w:tcBorders>
            <w:vAlign w:val="center"/>
            <w:hideMark/>
          </w:tcPr>
          <w:p w14:paraId="2E67F7C1"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RFC 5487</w:t>
            </w:r>
          </w:p>
        </w:tc>
        <w:tc>
          <w:tcPr>
            <w:tcW w:w="5950" w:type="dxa"/>
            <w:tcBorders>
              <w:top w:val="single" w:sz="4" w:space="0" w:color="auto"/>
              <w:left w:val="single" w:sz="4" w:space="0" w:color="auto"/>
              <w:bottom w:val="single" w:sz="4" w:space="0" w:color="auto"/>
              <w:right w:val="single" w:sz="4" w:space="0" w:color="auto"/>
            </w:tcBorders>
            <w:vAlign w:val="center"/>
            <w:hideMark/>
          </w:tcPr>
          <w:p w14:paraId="659875C9"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Pre-Shared Key Cipher Suites for TLS with SHA-256/384 and AES Galois Counter Mode</w:t>
            </w:r>
          </w:p>
        </w:tc>
      </w:tr>
      <w:tr w:rsidR="00B97365" w14:paraId="609475B4"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CD64EBD" w14:textId="77777777" w:rsidR="00B97365" w:rsidRDefault="00B97365">
            <w:pPr>
              <w:numPr>
                <w:ilvl w:val="0"/>
                <w:numId w:val="37"/>
              </w:numPr>
              <w:spacing w:before="40" w:after="40" w:line="276" w:lineRule="auto"/>
              <w:jc w:val="left"/>
              <w:rPr>
                <w:sz w:val="20"/>
                <w:szCs w:val="22"/>
                <w:lang w:eastAsia="de-DE" w:bidi="ar-SA"/>
              </w:rPr>
            </w:pPr>
            <w:bookmarkStart w:id="140" w:name="_Ref421632473" w:colFirst="0" w:colLast="0"/>
            <w:bookmarkEnd w:id="139"/>
          </w:p>
        </w:tc>
        <w:tc>
          <w:tcPr>
            <w:tcW w:w="2125" w:type="dxa"/>
            <w:tcBorders>
              <w:top w:val="single" w:sz="4" w:space="0" w:color="auto"/>
              <w:left w:val="single" w:sz="4" w:space="0" w:color="auto"/>
              <w:bottom w:val="single" w:sz="4" w:space="0" w:color="auto"/>
              <w:right w:val="single" w:sz="4" w:space="0" w:color="auto"/>
            </w:tcBorders>
            <w:vAlign w:val="center"/>
            <w:hideMark/>
          </w:tcPr>
          <w:p w14:paraId="4497B227"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RFC 3629</w:t>
            </w:r>
          </w:p>
        </w:tc>
        <w:tc>
          <w:tcPr>
            <w:tcW w:w="5950" w:type="dxa"/>
            <w:tcBorders>
              <w:top w:val="single" w:sz="4" w:space="0" w:color="auto"/>
              <w:left w:val="single" w:sz="4" w:space="0" w:color="auto"/>
              <w:bottom w:val="single" w:sz="4" w:space="0" w:color="auto"/>
              <w:right w:val="single" w:sz="4" w:space="0" w:color="auto"/>
            </w:tcBorders>
            <w:vAlign w:val="center"/>
            <w:hideMark/>
          </w:tcPr>
          <w:p w14:paraId="0A9A6800" w14:textId="77777777" w:rsidR="00B97365" w:rsidRDefault="00000000">
            <w:pPr>
              <w:spacing w:before="40" w:after="40" w:line="276" w:lineRule="auto"/>
              <w:jc w:val="left"/>
              <w:rPr>
                <w:sz w:val="20"/>
                <w:szCs w:val="25"/>
                <w:lang w:eastAsia="de-DE" w:bidi="ar-SA"/>
              </w:rPr>
            </w:pPr>
            <w:r>
              <w:rPr>
                <w:rFonts w:cs="Arial"/>
                <w:bCs/>
                <w:sz w:val="20"/>
                <w:szCs w:val="22"/>
                <w:lang w:eastAsia="de-DE" w:bidi="ar-SA"/>
              </w:rPr>
              <w:t>U</w:t>
            </w:r>
            <w:r>
              <w:rPr>
                <w:sz w:val="20"/>
                <w:szCs w:val="22"/>
                <w:lang w:eastAsia="de-DE" w:bidi="ar-SA"/>
              </w:rPr>
              <w:t>nicode </w:t>
            </w:r>
            <w:r>
              <w:rPr>
                <w:bCs/>
                <w:sz w:val="20"/>
                <w:szCs w:val="22"/>
                <w:lang w:eastAsia="de-DE" w:bidi="ar-SA"/>
              </w:rPr>
              <w:t>T</w:t>
            </w:r>
            <w:r>
              <w:rPr>
                <w:sz w:val="20"/>
                <w:szCs w:val="22"/>
                <w:lang w:eastAsia="de-DE" w:bidi="ar-SA"/>
              </w:rPr>
              <w:t>ransformation </w:t>
            </w:r>
            <w:r>
              <w:rPr>
                <w:bCs/>
                <w:sz w:val="20"/>
                <w:szCs w:val="22"/>
                <w:lang w:eastAsia="de-DE" w:bidi="ar-SA"/>
              </w:rPr>
              <w:t>F</w:t>
            </w:r>
            <w:r>
              <w:rPr>
                <w:sz w:val="20"/>
                <w:szCs w:val="22"/>
                <w:lang w:eastAsia="de-DE" w:bidi="ar-SA"/>
              </w:rPr>
              <w:t>ormat </w:t>
            </w:r>
            <w:r>
              <w:rPr>
                <w:bCs/>
                <w:sz w:val="20"/>
                <w:szCs w:val="22"/>
                <w:lang w:eastAsia="de-DE" w:bidi="ar-SA"/>
              </w:rPr>
              <w:t>8</w:t>
            </w:r>
            <w:r>
              <w:rPr>
                <w:sz w:val="20"/>
                <w:szCs w:val="22"/>
                <w:lang w:eastAsia="de-DE" w:bidi="ar-SA"/>
              </w:rPr>
              <w:t>-bit</w:t>
            </w:r>
          </w:p>
        </w:tc>
      </w:tr>
      <w:tr w:rsidR="00B97365" w14:paraId="551A6BE3"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3A7472F3" w14:textId="77777777" w:rsidR="00B97365" w:rsidRDefault="00B97365">
            <w:pPr>
              <w:numPr>
                <w:ilvl w:val="0"/>
                <w:numId w:val="37"/>
              </w:numPr>
              <w:spacing w:before="40" w:after="40" w:line="276" w:lineRule="auto"/>
              <w:jc w:val="left"/>
              <w:rPr>
                <w:sz w:val="20"/>
                <w:szCs w:val="22"/>
                <w:lang w:eastAsia="de-DE" w:bidi="ar-SA"/>
              </w:rPr>
            </w:pPr>
            <w:bookmarkStart w:id="141" w:name="_Ref534214749"/>
            <w:bookmarkStart w:id="142" w:name="_Ref421631727" w:colFirst="0" w:colLast="0"/>
            <w:bookmarkEnd w:id="140"/>
          </w:p>
        </w:tc>
        <w:bookmarkEnd w:id="141"/>
        <w:tc>
          <w:tcPr>
            <w:tcW w:w="2125" w:type="dxa"/>
            <w:tcBorders>
              <w:top w:val="single" w:sz="4" w:space="0" w:color="auto"/>
              <w:left w:val="single" w:sz="4" w:space="0" w:color="auto"/>
              <w:bottom w:val="single" w:sz="4" w:space="0" w:color="auto"/>
              <w:right w:val="single" w:sz="4" w:space="0" w:color="auto"/>
            </w:tcBorders>
            <w:vAlign w:val="center"/>
            <w:hideMark/>
          </w:tcPr>
          <w:p w14:paraId="206AB816"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ISO</w:t>
            </w:r>
            <w:r>
              <w:rPr>
                <w:rFonts w:cs="Arial"/>
                <w:bCs/>
                <w:sz w:val="20"/>
                <w:szCs w:val="22"/>
                <w:lang w:eastAsia="de-DE" w:bidi="ar-SA"/>
              </w:rPr>
              <w:t>/</w:t>
            </w:r>
            <w:r>
              <w:rPr>
                <w:rFonts w:cs="Arial"/>
                <w:sz w:val="20"/>
                <w:szCs w:val="22"/>
                <w:lang w:eastAsia="de-DE" w:bidi="ar-SA"/>
              </w:rPr>
              <w:t>IEC 7812</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924D55F" w14:textId="77777777" w:rsidR="00B97365" w:rsidRDefault="00000000">
            <w:pPr>
              <w:spacing w:before="40" w:after="40" w:line="276" w:lineRule="auto"/>
              <w:jc w:val="left"/>
              <w:rPr>
                <w:bCs/>
                <w:sz w:val="20"/>
                <w:szCs w:val="25"/>
                <w:lang w:eastAsia="de-DE" w:bidi="ar-SA"/>
              </w:rPr>
            </w:pPr>
            <w:r>
              <w:rPr>
                <w:rFonts w:cs="Arial"/>
                <w:bCs/>
                <w:sz w:val="20"/>
                <w:szCs w:val="22"/>
                <w:lang w:eastAsia="de-DE" w:bidi="ar-SA"/>
              </w:rPr>
              <w:t>Identification Cards; Identification of issuers</w:t>
            </w:r>
          </w:p>
        </w:tc>
      </w:tr>
      <w:tr w:rsidR="00B97365" w14:paraId="53143DB8"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1A9BD27" w14:textId="77777777" w:rsidR="00B97365" w:rsidRDefault="00B97365">
            <w:pPr>
              <w:numPr>
                <w:ilvl w:val="0"/>
                <w:numId w:val="37"/>
              </w:numPr>
              <w:spacing w:before="40" w:after="40" w:line="276" w:lineRule="auto"/>
              <w:jc w:val="left"/>
              <w:rPr>
                <w:sz w:val="20"/>
                <w:szCs w:val="22"/>
                <w:lang w:eastAsia="de-DE" w:bidi="ar-SA"/>
              </w:rPr>
            </w:pPr>
            <w:bookmarkStart w:id="143" w:name="_Ref421635546" w:colFirst="0" w:colLast="0"/>
            <w:bookmarkEnd w:id="142"/>
          </w:p>
        </w:tc>
        <w:tc>
          <w:tcPr>
            <w:tcW w:w="2125" w:type="dxa"/>
            <w:tcBorders>
              <w:top w:val="single" w:sz="4" w:space="0" w:color="auto"/>
              <w:left w:val="single" w:sz="4" w:space="0" w:color="auto"/>
              <w:bottom w:val="single" w:sz="4" w:space="0" w:color="auto"/>
              <w:right w:val="single" w:sz="4" w:space="0" w:color="auto"/>
            </w:tcBorders>
            <w:vAlign w:val="center"/>
            <w:hideMark/>
          </w:tcPr>
          <w:p w14:paraId="17CA6B45"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ETSI TS 124 008</w:t>
            </w:r>
          </w:p>
        </w:tc>
        <w:tc>
          <w:tcPr>
            <w:tcW w:w="5950" w:type="dxa"/>
            <w:tcBorders>
              <w:top w:val="single" w:sz="4" w:space="0" w:color="auto"/>
              <w:left w:val="single" w:sz="4" w:space="0" w:color="auto"/>
              <w:bottom w:val="single" w:sz="4" w:space="0" w:color="auto"/>
              <w:right w:val="single" w:sz="4" w:space="0" w:color="auto"/>
            </w:tcBorders>
            <w:vAlign w:val="center"/>
            <w:hideMark/>
          </w:tcPr>
          <w:p w14:paraId="4B81F156" w14:textId="77777777" w:rsidR="00B97365" w:rsidRDefault="00000000">
            <w:pPr>
              <w:spacing w:before="40" w:after="40" w:line="276" w:lineRule="auto"/>
              <w:jc w:val="left"/>
              <w:rPr>
                <w:bCs/>
                <w:sz w:val="20"/>
                <w:szCs w:val="25"/>
                <w:lang w:eastAsia="de-DE" w:bidi="ar-SA"/>
              </w:rPr>
            </w:pPr>
            <w:r>
              <w:rPr>
                <w:rFonts w:cs="Arial"/>
                <w:bCs/>
                <w:sz w:val="20"/>
                <w:szCs w:val="22"/>
                <w:lang w:eastAsia="de-DE" w:bidi="ar-SA"/>
              </w:rPr>
              <w:t>Mobile radio interface Layer 3 specification;  Core network protocols;</w:t>
            </w:r>
            <w:r>
              <w:rPr>
                <w:sz w:val="20"/>
                <w:szCs w:val="22"/>
                <w:lang w:eastAsia="de-DE" w:bidi="ar-SA"/>
              </w:rPr>
              <w:t xml:space="preserve"> Release 9</w:t>
            </w:r>
          </w:p>
        </w:tc>
      </w:tr>
      <w:tr w:rsidR="00B97365" w14:paraId="1D286CF6"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A908EA4" w14:textId="77777777" w:rsidR="00B97365" w:rsidRDefault="00B97365">
            <w:pPr>
              <w:numPr>
                <w:ilvl w:val="0"/>
                <w:numId w:val="37"/>
              </w:numPr>
              <w:spacing w:before="40" w:after="40" w:line="276" w:lineRule="auto"/>
              <w:jc w:val="left"/>
              <w:rPr>
                <w:sz w:val="20"/>
                <w:szCs w:val="22"/>
                <w:lang w:eastAsia="de-DE" w:bidi="ar-SA"/>
              </w:rPr>
            </w:pPr>
            <w:bookmarkStart w:id="144" w:name="_Ref421631787" w:colFirst="0" w:colLast="0"/>
            <w:bookmarkEnd w:id="143"/>
          </w:p>
        </w:tc>
        <w:tc>
          <w:tcPr>
            <w:tcW w:w="2125" w:type="dxa"/>
            <w:tcBorders>
              <w:top w:val="single" w:sz="4" w:space="0" w:color="auto"/>
              <w:left w:val="single" w:sz="4" w:space="0" w:color="auto"/>
              <w:bottom w:val="single" w:sz="4" w:space="0" w:color="auto"/>
              <w:right w:val="single" w:sz="4" w:space="0" w:color="auto"/>
            </w:tcBorders>
            <w:vAlign w:val="center"/>
            <w:hideMark/>
          </w:tcPr>
          <w:p w14:paraId="26BCF868"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ITU E.118</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A92648E" w14:textId="77777777" w:rsidR="00B97365" w:rsidRDefault="00000000">
            <w:pPr>
              <w:spacing w:before="40" w:after="40" w:line="276" w:lineRule="auto"/>
              <w:jc w:val="left"/>
              <w:rPr>
                <w:bCs/>
                <w:sz w:val="20"/>
                <w:szCs w:val="25"/>
                <w:lang w:eastAsia="de-DE" w:bidi="ar-SA"/>
              </w:rPr>
            </w:pPr>
            <w:r>
              <w:rPr>
                <w:rFonts w:cs="Arial"/>
                <w:bCs/>
                <w:sz w:val="20"/>
                <w:szCs w:val="22"/>
                <w:lang w:eastAsia="de-DE" w:bidi="ar-SA"/>
              </w:rPr>
              <w:t>The international telecommunication charge card</w:t>
            </w:r>
          </w:p>
        </w:tc>
      </w:tr>
      <w:tr w:rsidR="00B97365" w14:paraId="64BBF6FD"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32E8D6E2" w14:textId="77777777" w:rsidR="00B97365" w:rsidRDefault="00B97365">
            <w:pPr>
              <w:numPr>
                <w:ilvl w:val="0"/>
                <w:numId w:val="37"/>
              </w:numPr>
              <w:spacing w:before="40" w:after="40" w:line="276" w:lineRule="auto"/>
              <w:jc w:val="left"/>
              <w:rPr>
                <w:bCs/>
                <w:sz w:val="20"/>
                <w:szCs w:val="22"/>
                <w:lang w:eastAsia="de-DE" w:bidi="ar-SA"/>
              </w:rPr>
            </w:pPr>
            <w:bookmarkStart w:id="145" w:name="_Ref421634816" w:colFirst="0" w:colLast="0"/>
            <w:bookmarkEnd w:id="144"/>
          </w:p>
        </w:tc>
        <w:tc>
          <w:tcPr>
            <w:tcW w:w="2125" w:type="dxa"/>
            <w:tcBorders>
              <w:top w:val="single" w:sz="4" w:space="0" w:color="auto"/>
              <w:left w:val="single" w:sz="4" w:space="0" w:color="auto"/>
              <w:bottom w:val="single" w:sz="4" w:space="0" w:color="auto"/>
              <w:right w:val="single" w:sz="4" w:space="0" w:color="auto"/>
            </w:tcBorders>
            <w:vAlign w:val="center"/>
            <w:hideMark/>
          </w:tcPr>
          <w:p w14:paraId="29887AD0" w14:textId="77777777" w:rsidR="00B97365" w:rsidRDefault="00000000">
            <w:pPr>
              <w:spacing w:before="40" w:after="40" w:line="276" w:lineRule="auto"/>
              <w:jc w:val="left"/>
              <w:rPr>
                <w:rFonts w:cs="Arial"/>
                <w:bCs/>
                <w:sz w:val="20"/>
                <w:szCs w:val="22"/>
                <w:lang w:eastAsia="de-DE" w:bidi="ar-SA"/>
              </w:rPr>
            </w:pPr>
            <w:r>
              <w:rPr>
                <w:rFonts w:cs="Arial"/>
                <w:bCs/>
                <w:sz w:val="20"/>
                <w:szCs w:val="22"/>
                <w:lang w:eastAsia="de-DE" w:bidi="ar-SA"/>
              </w:rPr>
              <w:t>ITU E.164</w:t>
            </w:r>
          </w:p>
        </w:tc>
        <w:tc>
          <w:tcPr>
            <w:tcW w:w="5950" w:type="dxa"/>
            <w:tcBorders>
              <w:top w:val="single" w:sz="4" w:space="0" w:color="auto"/>
              <w:left w:val="single" w:sz="4" w:space="0" w:color="auto"/>
              <w:bottom w:val="single" w:sz="4" w:space="0" w:color="auto"/>
              <w:right w:val="single" w:sz="4" w:space="0" w:color="auto"/>
            </w:tcBorders>
            <w:vAlign w:val="center"/>
            <w:hideMark/>
          </w:tcPr>
          <w:p w14:paraId="73DC47D0" w14:textId="77777777" w:rsidR="00B97365" w:rsidRDefault="00000000">
            <w:pPr>
              <w:spacing w:before="40" w:after="40" w:line="276" w:lineRule="auto"/>
              <w:jc w:val="left"/>
              <w:rPr>
                <w:rFonts w:cs="Arial"/>
                <w:bCs/>
                <w:sz w:val="20"/>
                <w:szCs w:val="22"/>
                <w:lang w:eastAsia="de-DE" w:bidi="ar-SA"/>
              </w:rPr>
            </w:pPr>
            <w:r>
              <w:rPr>
                <w:rFonts w:cs="Arial"/>
                <w:bCs/>
                <w:sz w:val="20"/>
                <w:szCs w:val="22"/>
                <w:lang w:eastAsia="de-DE" w:bidi="ar-SA"/>
              </w:rPr>
              <w:t>International Public Telecommunication Numbering Plan</w:t>
            </w:r>
          </w:p>
        </w:tc>
      </w:tr>
      <w:tr w:rsidR="00B97365" w14:paraId="330CC74D"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9FF2EA4" w14:textId="77777777" w:rsidR="00B97365" w:rsidRDefault="00B97365">
            <w:pPr>
              <w:numPr>
                <w:ilvl w:val="0"/>
                <w:numId w:val="37"/>
              </w:numPr>
              <w:spacing w:before="40" w:after="40" w:line="276" w:lineRule="auto"/>
              <w:jc w:val="left"/>
              <w:rPr>
                <w:bCs/>
                <w:sz w:val="20"/>
                <w:szCs w:val="22"/>
                <w:lang w:eastAsia="de-DE" w:bidi="ar-SA"/>
              </w:rPr>
            </w:pPr>
            <w:bookmarkStart w:id="146" w:name="_Ref421635000" w:colFirst="0" w:colLast="0"/>
            <w:bookmarkEnd w:id="145"/>
          </w:p>
        </w:tc>
        <w:tc>
          <w:tcPr>
            <w:tcW w:w="2125" w:type="dxa"/>
            <w:tcBorders>
              <w:top w:val="single" w:sz="4" w:space="0" w:color="auto"/>
              <w:left w:val="single" w:sz="4" w:space="0" w:color="auto"/>
              <w:bottom w:val="single" w:sz="4" w:space="0" w:color="auto"/>
              <w:right w:val="single" w:sz="4" w:space="0" w:color="auto"/>
            </w:tcBorders>
            <w:vAlign w:val="center"/>
            <w:hideMark/>
          </w:tcPr>
          <w:p w14:paraId="6DACFE2D" w14:textId="77777777" w:rsidR="00B97365" w:rsidRDefault="00000000">
            <w:pPr>
              <w:spacing w:before="40" w:after="40" w:line="276" w:lineRule="auto"/>
              <w:jc w:val="left"/>
              <w:rPr>
                <w:rFonts w:cs="Arial"/>
                <w:bCs/>
                <w:sz w:val="20"/>
                <w:szCs w:val="22"/>
                <w:lang w:eastAsia="de-DE" w:bidi="ar-SA"/>
              </w:rPr>
            </w:pPr>
            <w:r>
              <w:rPr>
                <w:rFonts w:cs="Arial"/>
                <w:bCs/>
                <w:sz w:val="20"/>
                <w:szCs w:val="22"/>
                <w:lang w:eastAsia="de-DE" w:bidi="ar-SA"/>
              </w:rPr>
              <w:t>GPS_SPE_002</w:t>
            </w:r>
          </w:p>
        </w:tc>
        <w:tc>
          <w:tcPr>
            <w:tcW w:w="5950" w:type="dxa"/>
            <w:tcBorders>
              <w:top w:val="single" w:sz="4" w:space="0" w:color="auto"/>
              <w:left w:val="single" w:sz="4" w:space="0" w:color="auto"/>
              <w:bottom w:val="single" w:sz="4" w:space="0" w:color="auto"/>
              <w:right w:val="single" w:sz="4" w:space="0" w:color="auto"/>
            </w:tcBorders>
            <w:vAlign w:val="center"/>
            <w:hideMark/>
          </w:tcPr>
          <w:p w14:paraId="209FF1D2" w14:textId="77777777" w:rsidR="00B97365" w:rsidRDefault="00000000">
            <w:pPr>
              <w:spacing w:before="40" w:after="40" w:line="276" w:lineRule="auto"/>
              <w:jc w:val="left"/>
              <w:rPr>
                <w:bCs/>
                <w:sz w:val="20"/>
                <w:szCs w:val="25"/>
                <w:lang w:eastAsia="de-DE" w:bidi="ar-SA"/>
              </w:rPr>
            </w:pPr>
            <w:r>
              <w:rPr>
                <w:rFonts w:cs="Arial"/>
                <w:bCs/>
                <w:sz w:val="20"/>
                <w:szCs w:val="22"/>
                <w:lang w:eastAsia="de-DE" w:bidi="ar-SA"/>
              </w:rPr>
              <w:t>”GlobalPlatform System”: Messaging Specification for Management of Mobile NFC Services, Version 1.1.2</w:t>
            </w:r>
          </w:p>
        </w:tc>
      </w:tr>
      <w:tr w:rsidR="00B97365" w14:paraId="4C71384C"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C46AFCA" w14:textId="77777777" w:rsidR="00B97365" w:rsidRDefault="00B97365">
            <w:pPr>
              <w:numPr>
                <w:ilvl w:val="0"/>
                <w:numId w:val="37"/>
              </w:numPr>
              <w:spacing w:before="40" w:after="40" w:line="276" w:lineRule="auto"/>
              <w:jc w:val="left"/>
              <w:rPr>
                <w:bCs/>
                <w:sz w:val="20"/>
                <w:szCs w:val="22"/>
                <w:lang w:eastAsia="de-DE" w:bidi="ar-SA"/>
              </w:rPr>
            </w:pPr>
            <w:bookmarkStart w:id="147" w:name="_Ref421634975" w:colFirst="0" w:colLast="0"/>
            <w:bookmarkEnd w:id="146"/>
          </w:p>
        </w:tc>
        <w:tc>
          <w:tcPr>
            <w:tcW w:w="2125" w:type="dxa"/>
            <w:tcBorders>
              <w:top w:val="single" w:sz="4" w:space="0" w:color="auto"/>
              <w:left w:val="single" w:sz="4" w:space="0" w:color="auto"/>
              <w:bottom w:val="single" w:sz="4" w:space="0" w:color="auto"/>
              <w:right w:val="single" w:sz="4" w:space="0" w:color="auto"/>
            </w:tcBorders>
            <w:vAlign w:val="center"/>
            <w:hideMark/>
          </w:tcPr>
          <w:p w14:paraId="0ED2918E" w14:textId="77777777" w:rsidR="00B97365" w:rsidRDefault="00000000">
            <w:pPr>
              <w:spacing w:before="40" w:after="40" w:line="276" w:lineRule="auto"/>
              <w:jc w:val="left"/>
              <w:rPr>
                <w:bCs/>
                <w:sz w:val="20"/>
                <w:szCs w:val="25"/>
                <w:lang w:eastAsia="de-DE" w:bidi="ar-SA"/>
              </w:rPr>
            </w:pPr>
            <w:r>
              <w:rPr>
                <w:rFonts w:cs="Arial"/>
                <w:bCs/>
                <w:sz w:val="20"/>
                <w:szCs w:val="22"/>
                <w:lang w:eastAsia="de-DE" w:bidi="ar-SA"/>
              </w:rPr>
              <w:t>RFC 4051</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F26BEC4" w14:textId="77777777" w:rsidR="00B97365" w:rsidRDefault="00000000">
            <w:pPr>
              <w:spacing w:before="40" w:after="40" w:line="276" w:lineRule="auto"/>
              <w:jc w:val="left"/>
              <w:rPr>
                <w:bCs/>
                <w:sz w:val="20"/>
                <w:szCs w:val="25"/>
                <w:lang w:eastAsia="de-DE" w:bidi="ar-SA"/>
              </w:rPr>
            </w:pPr>
            <w:r>
              <w:rPr>
                <w:rFonts w:cs="Arial"/>
                <w:bCs/>
                <w:sz w:val="20"/>
                <w:szCs w:val="22"/>
                <w:lang w:eastAsia="de-DE" w:bidi="ar-SA"/>
              </w:rPr>
              <w:t>Additional XML Security Uniform Resource Identifiers (URIs)</w:t>
            </w:r>
          </w:p>
        </w:tc>
      </w:tr>
      <w:tr w:rsidR="00B97365" w14:paraId="337A7C9F"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2E89A64F" w14:textId="77777777" w:rsidR="00B97365" w:rsidRDefault="00B97365">
            <w:pPr>
              <w:numPr>
                <w:ilvl w:val="0"/>
                <w:numId w:val="37"/>
              </w:numPr>
              <w:spacing w:before="40" w:after="40" w:line="276" w:lineRule="auto"/>
              <w:jc w:val="left"/>
              <w:rPr>
                <w:bCs/>
                <w:sz w:val="20"/>
                <w:szCs w:val="22"/>
                <w:lang w:eastAsia="de-DE" w:bidi="ar-SA"/>
              </w:rPr>
            </w:pPr>
            <w:bookmarkStart w:id="148" w:name="_Ref421634900" w:colFirst="0" w:colLast="0"/>
            <w:bookmarkEnd w:id="147"/>
          </w:p>
        </w:tc>
        <w:tc>
          <w:tcPr>
            <w:tcW w:w="2125" w:type="dxa"/>
            <w:tcBorders>
              <w:top w:val="single" w:sz="4" w:space="0" w:color="auto"/>
              <w:left w:val="single" w:sz="4" w:space="0" w:color="auto"/>
              <w:bottom w:val="single" w:sz="4" w:space="0" w:color="auto"/>
              <w:right w:val="single" w:sz="4" w:space="0" w:color="auto"/>
            </w:tcBorders>
            <w:vAlign w:val="center"/>
            <w:hideMark/>
          </w:tcPr>
          <w:p w14:paraId="71BDF159" w14:textId="77777777" w:rsidR="00B97365" w:rsidRDefault="00000000">
            <w:pPr>
              <w:spacing w:before="40" w:after="40" w:line="276" w:lineRule="auto"/>
              <w:jc w:val="left"/>
              <w:rPr>
                <w:bCs/>
                <w:sz w:val="20"/>
                <w:szCs w:val="25"/>
                <w:lang w:eastAsia="de-DE" w:bidi="ar-SA"/>
              </w:rPr>
            </w:pPr>
            <w:r>
              <w:rPr>
                <w:rFonts w:cs="Arial"/>
                <w:bCs/>
                <w:sz w:val="20"/>
                <w:szCs w:val="22"/>
                <w:lang w:eastAsia="de-DE" w:bidi="ar-SA"/>
              </w:rPr>
              <w:t>ETSI TS 102 127</w:t>
            </w:r>
          </w:p>
        </w:tc>
        <w:tc>
          <w:tcPr>
            <w:tcW w:w="5950" w:type="dxa"/>
            <w:tcBorders>
              <w:top w:val="single" w:sz="4" w:space="0" w:color="auto"/>
              <w:left w:val="single" w:sz="4" w:space="0" w:color="auto"/>
              <w:bottom w:val="single" w:sz="4" w:space="0" w:color="auto"/>
              <w:right w:val="single" w:sz="4" w:space="0" w:color="auto"/>
            </w:tcBorders>
            <w:vAlign w:val="center"/>
            <w:hideMark/>
          </w:tcPr>
          <w:p w14:paraId="1EE0DC92" w14:textId="77777777" w:rsidR="00B97365" w:rsidRDefault="00000000">
            <w:pPr>
              <w:spacing w:before="40" w:after="40" w:line="276" w:lineRule="auto"/>
              <w:jc w:val="left"/>
              <w:rPr>
                <w:bCs/>
                <w:sz w:val="20"/>
                <w:szCs w:val="25"/>
                <w:lang w:eastAsia="de-DE" w:bidi="ar-SA"/>
              </w:rPr>
            </w:pPr>
            <w:r>
              <w:rPr>
                <w:rFonts w:cs="Arial"/>
                <w:bCs/>
                <w:sz w:val="20"/>
                <w:szCs w:val="22"/>
                <w:lang w:eastAsia="de-DE" w:bidi="ar-SA"/>
              </w:rPr>
              <w:t>Transport protocol for CAT applications; Release 6</w:t>
            </w:r>
          </w:p>
        </w:tc>
      </w:tr>
      <w:tr w:rsidR="00B97365" w14:paraId="4AE37725"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D0BA059" w14:textId="77777777" w:rsidR="00B97365" w:rsidRDefault="00B97365">
            <w:pPr>
              <w:numPr>
                <w:ilvl w:val="0"/>
                <w:numId w:val="37"/>
              </w:numPr>
              <w:spacing w:before="40" w:after="40" w:line="276" w:lineRule="auto"/>
              <w:jc w:val="left"/>
              <w:rPr>
                <w:bCs/>
                <w:sz w:val="20"/>
                <w:szCs w:val="22"/>
                <w:lang w:eastAsia="de-DE" w:bidi="ar-SA"/>
              </w:rPr>
            </w:pPr>
            <w:bookmarkStart w:id="149" w:name="_Ref421635142" w:colFirst="0" w:colLast="0"/>
            <w:bookmarkEnd w:id="148"/>
          </w:p>
        </w:tc>
        <w:tc>
          <w:tcPr>
            <w:tcW w:w="2125" w:type="dxa"/>
            <w:tcBorders>
              <w:top w:val="single" w:sz="4" w:space="0" w:color="auto"/>
              <w:left w:val="single" w:sz="4" w:space="0" w:color="auto"/>
              <w:bottom w:val="single" w:sz="4" w:space="0" w:color="auto"/>
              <w:right w:val="single" w:sz="4" w:space="0" w:color="auto"/>
            </w:tcBorders>
            <w:vAlign w:val="center"/>
            <w:hideMark/>
          </w:tcPr>
          <w:p w14:paraId="42136633" w14:textId="77777777" w:rsidR="00B97365" w:rsidRDefault="00000000">
            <w:pPr>
              <w:spacing w:before="40" w:after="40" w:line="276" w:lineRule="auto"/>
              <w:jc w:val="left"/>
              <w:rPr>
                <w:rFonts w:cs="Arial"/>
                <w:bCs/>
                <w:sz w:val="20"/>
                <w:szCs w:val="22"/>
                <w:lang w:eastAsia="de-DE" w:bidi="ar-SA"/>
              </w:rPr>
            </w:pPr>
            <w:r>
              <w:rPr>
                <w:rFonts w:cs="Arial"/>
                <w:bCs/>
                <w:sz w:val="20"/>
                <w:szCs w:val="22"/>
                <w:lang w:eastAsia="de-DE" w:bidi="ar-SA"/>
              </w:rPr>
              <w:t>XML DSIG-CORE</w:t>
            </w:r>
          </w:p>
        </w:tc>
        <w:tc>
          <w:tcPr>
            <w:tcW w:w="5950" w:type="dxa"/>
            <w:tcBorders>
              <w:top w:val="single" w:sz="4" w:space="0" w:color="auto"/>
              <w:left w:val="single" w:sz="4" w:space="0" w:color="auto"/>
              <w:bottom w:val="single" w:sz="4" w:space="0" w:color="auto"/>
              <w:right w:val="single" w:sz="4" w:space="0" w:color="auto"/>
            </w:tcBorders>
            <w:vAlign w:val="center"/>
            <w:hideMark/>
          </w:tcPr>
          <w:p w14:paraId="7D4493B5" w14:textId="77777777" w:rsidR="00B97365" w:rsidRDefault="00000000">
            <w:pPr>
              <w:spacing w:before="40" w:after="40" w:line="276" w:lineRule="auto"/>
              <w:jc w:val="left"/>
              <w:rPr>
                <w:bCs/>
                <w:sz w:val="20"/>
                <w:szCs w:val="25"/>
                <w:lang w:eastAsia="de-DE" w:bidi="ar-SA"/>
              </w:rPr>
            </w:pPr>
            <w:r>
              <w:rPr>
                <w:rFonts w:cs="Arial"/>
                <w:bCs/>
                <w:sz w:val="20"/>
                <w:szCs w:val="22"/>
                <w:lang w:eastAsia="de-DE" w:bidi="ar-SA"/>
              </w:rPr>
              <w:t>W3C XML Signature Syntax and Processing (Second Edition)</w:t>
            </w:r>
          </w:p>
        </w:tc>
      </w:tr>
      <w:tr w:rsidR="00B97365" w14:paraId="29F08CDC"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35EB1F7" w14:textId="77777777" w:rsidR="00B97365" w:rsidRDefault="00B97365">
            <w:pPr>
              <w:numPr>
                <w:ilvl w:val="0"/>
                <w:numId w:val="37"/>
              </w:numPr>
              <w:spacing w:before="40" w:after="40" w:line="276" w:lineRule="auto"/>
              <w:jc w:val="left"/>
              <w:rPr>
                <w:sz w:val="20"/>
                <w:szCs w:val="22"/>
                <w:lang w:eastAsia="de-DE" w:bidi="ar-SA"/>
              </w:rPr>
            </w:pPr>
            <w:bookmarkStart w:id="150" w:name="_Ref421632318" w:colFirst="0" w:colLast="0"/>
            <w:bookmarkEnd w:id="149"/>
          </w:p>
        </w:tc>
        <w:tc>
          <w:tcPr>
            <w:tcW w:w="2125" w:type="dxa"/>
            <w:tcBorders>
              <w:top w:val="single" w:sz="4" w:space="0" w:color="auto"/>
              <w:left w:val="single" w:sz="4" w:space="0" w:color="auto"/>
              <w:bottom w:val="single" w:sz="4" w:space="0" w:color="auto"/>
              <w:right w:val="single" w:sz="4" w:space="0" w:color="auto"/>
            </w:tcBorders>
            <w:vAlign w:val="center"/>
            <w:hideMark/>
          </w:tcPr>
          <w:p w14:paraId="32DE1D4F"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3GPP TS 31.111</w:t>
            </w:r>
          </w:p>
        </w:tc>
        <w:tc>
          <w:tcPr>
            <w:tcW w:w="5950" w:type="dxa"/>
            <w:tcBorders>
              <w:top w:val="single" w:sz="4" w:space="0" w:color="auto"/>
              <w:left w:val="single" w:sz="4" w:space="0" w:color="auto"/>
              <w:bottom w:val="single" w:sz="4" w:space="0" w:color="auto"/>
              <w:right w:val="single" w:sz="4" w:space="0" w:color="auto"/>
            </w:tcBorders>
            <w:vAlign w:val="center"/>
            <w:hideMark/>
          </w:tcPr>
          <w:p w14:paraId="0E172B9B"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Universal Subscriber Identity Module (USIM) Application Toolkit (USAT) ; Release 9</w:t>
            </w:r>
          </w:p>
        </w:tc>
      </w:tr>
      <w:tr w:rsidR="00B97365" w14:paraId="029CF52B"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C58AC91" w14:textId="77777777" w:rsidR="00B97365" w:rsidRDefault="00B97365">
            <w:pPr>
              <w:numPr>
                <w:ilvl w:val="0"/>
                <w:numId w:val="37"/>
              </w:numPr>
              <w:spacing w:before="40" w:after="40" w:line="276" w:lineRule="auto"/>
              <w:jc w:val="left"/>
              <w:rPr>
                <w:sz w:val="20"/>
                <w:szCs w:val="22"/>
                <w:lang w:eastAsia="de-DE" w:bidi="ar-SA"/>
              </w:rPr>
            </w:pPr>
            <w:bookmarkStart w:id="151" w:name="_Ref421632330" w:colFirst="0" w:colLast="0"/>
            <w:bookmarkEnd w:id="150"/>
          </w:p>
        </w:tc>
        <w:tc>
          <w:tcPr>
            <w:tcW w:w="2125" w:type="dxa"/>
            <w:tcBorders>
              <w:top w:val="single" w:sz="4" w:space="0" w:color="auto"/>
              <w:left w:val="single" w:sz="4" w:space="0" w:color="auto"/>
              <w:bottom w:val="single" w:sz="4" w:space="0" w:color="auto"/>
              <w:right w:val="single" w:sz="4" w:space="0" w:color="auto"/>
            </w:tcBorders>
            <w:vAlign w:val="center"/>
            <w:hideMark/>
          </w:tcPr>
          <w:p w14:paraId="40E0E595"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3GPP TS 31.116</w:t>
            </w:r>
          </w:p>
        </w:tc>
        <w:tc>
          <w:tcPr>
            <w:tcW w:w="5950" w:type="dxa"/>
            <w:tcBorders>
              <w:top w:val="single" w:sz="4" w:space="0" w:color="auto"/>
              <w:left w:val="single" w:sz="4" w:space="0" w:color="auto"/>
              <w:bottom w:val="single" w:sz="4" w:space="0" w:color="auto"/>
              <w:right w:val="single" w:sz="4" w:space="0" w:color="auto"/>
            </w:tcBorders>
            <w:vAlign w:val="center"/>
            <w:hideMark/>
          </w:tcPr>
          <w:p w14:paraId="0ED453BB" w14:textId="77777777" w:rsidR="00B97365" w:rsidRDefault="00000000">
            <w:pPr>
              <w:spacing w:before="40" w:after="40" w:line="276" w:lineRule="auto"/>
              <w:jc w:val="left"/>
              <w:rPr>
                <w:rFonts w:cs="Arial"/>
                <w:b/>
                <w:bCs/>
                <w:sz w:val="20"/>
                <w:szCs w:val="25"/>
                <w:lang w:eastAsia="de-DE" w:bidi="ar-SA"/>
              </w:rPr>
            </w:pPr>
            <w:r>
              <w:rPr>
                <w:rFonts w:cs="Arial"/>
                <w:sz w:val="20"/>
                <w:szCs w:val="22"/>
                <w:lang w:eastAsia="de-DE" w:bidi="ar-SA"/>
              </w:rPr>
              <w:t>Remote APDU Structure for (U)SIM Toolkit applications; Release 9</w:t>
            </w:r>
          </w:p>
        </w:tc>
      </w:tr>
      <w:tr w:rsidR="00B97365" w14:paraId="42DA4ABC"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A7629FE" w14:textId="77777777" w:rsidR="00B97365" w:rsidRDefault="00B97365">
            <w:pPr>
              <w:numPr>
                <w:ilvl w:val="0"/>
                <w:numId w:val="37"/>
              </w:numPr>
              <w:spacing w:before="40" w:after="40" w:line="276" w:lineRule="auto"/>
              <w:jc w:val="left"/>
              <w:rPr>
                <w:sz w:val="20"/>
                <w:szCs w:val="22"/>
                <w:lang w:eastAsia="de-DE" w:bidi="ar-SA"/>
              </w:rPr>
            </w:pPr>
            <w:bookmarkStart w:id="152" w:name="_Ref421635622" w:colFirst="0" w:colLast="0"/>
            <w:bookmarkEnd w:id="151"/>
          </w:p>
        </w:tc>
        <w:tc>
          <w:tcPr>
            <w:tcW w:w="2125" w:type="dxa"/>
            <w:tcBorders>
              <w:top w:val="single" w:sz="4" w:space="0" w:color="auto"/>
              <w:left w:val="single" w:sz="4" w:space="0" w:color="auto"/>
              <w:bottom w:val="single" w:sz="4" w:space="0" w:color="auto"/>
              <w:right w:val="single" w:sz="4" w:space="0" w:color="auto"/>
            </w:tcBorders>
            <w:vAlign w:val="center"/>
          </w:tcPr>
          <w:p w14:paraId="0235D809"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3GPP TS 24.341</w:t>
            </w:r>
          </w:p>
          <w:p w14:paraId="66AD84D1" w14:textId="77777777" w:rsidR="00B97365" w:rsidRDefault="00B97365">
            <w:pPr>
              <w:spacing w:before="40" w:after="40" w:line="276" w:lineRule="auto"/>
              <w:jc w:val="left"/>
              <w:rPr>
                <w:rFonts w:cs="Arial"/>
                <w:sz w:val="20"/>
                <w:szCs w:val="25"/>
                <w:lang w:eastAsia="de-DE" w:bidi="ar-SA"/>
              </w:rPr>
            </w:pPr>
          </w:p>
        </w:tc>
        <w:tc>
          <w:tcPr>
            <w:tcW w:w="5950" w:type="dxa"/>
            <w:tcBorders>
              <w:top w:val="single" w:sz="4" w:space="0" w:color="auto"/>
              <w:left w:val="single" w:sz="4" w:space="0" w:color="auto"/>
              <w:bottom w:val="single" w:sz="4" w:space="0" w:color="auto"/>
              <w:right w:val="single" w:sz="4" w:space="0" w:color="auto"/>
            </w:tcBorders>
            <w:vAlign w:val="center"/>
            <w:hideMark/>
          </w:tcPr>
          <w:p w14:paraId="29CD44EF"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Support of SMS over IP networks; Release 9</w:t>
            </w:r>
          </w:p>
        </w:tc>
      </w:tr>
      <w:tr w:rsidR="00B97365" w:rsidRPr="003C254C" w14:paraId="6654EB46"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B71D3D4" w14:textId="77777777" w:rsidR="00B97365" w:rsidRDefault="00B97365">
            <w:pPr>
              <w:numPr>
                <w:ilvl w:val="0"/>
                <w:numId w:val="37"/>
              </w:numPr>
              <w:spacing w:before="40" w:after="40" w:line="276" w:lineRule="auto"/>
              <w:jc w:val="left"/>
              <w:rPr>
                <w:sz w:val="20"/>
                <w:szCs w:val="22"/>
                <w:lang w:eastAsia="de-DE" w:bidi="ar-SA"/>
              </w:rPr>
            </w:pPr>
            <w:bookmarkStart w:id="153" w:name="_Ref421635803" w:colFirst="0" w:colLast="0"/>
            <w:bookmarkEnd w:id="152"/>
          </w:p>
        </w:tc>
        <w:tc>
          <w:tcPr>
            <w:tcW w:w="2125" w:type="dxa"/>
            <w:tcBorders>
              <w:top w:val="single" w:sz="4" w:space="0" w:color="auto"/>
              <w:left w:val="single" w:sz="4" w:space="0" w:color="auto"/>
              <w:bottom w:val="single" w:sz="4" w:space="0" w:color="auto"/>
              <w:right w:val="single" w:sz="4" w:space="0" w:color="auto"/>
            </w:tcBorders>
            <w:vAlign w:val="center"/>
            <w:hideMark/>
          </w:tcPr>
          <w:p w14:paraId="68D85B6F"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GSMA Security Principles Related to Handset Theft</w:t>
            </w:r>
          </w:p>
        </w:tc>
        <w:tc>
          <w:tcPr>
            <w:tcW w:w="5950" w:type="dxa"/>
            <w:tcBorders>
              <w:top w:val="single" w:sz="4" w:space="0" w:color="auto"/>
              <w:left w:val="single" w:sz="4" w:space="0" w:color="auto"/>
              <w:bottom w:val="single" w:sz="4" w:space="0" w:color="auto"/>
              <w:right w:val="single" w:sz="4" w:space="0" w:color="auto"/>
            </w:tcBorders>
            <w:vAlign w:val="center"/>
            <w:hideMark/>
          </w:tcPr>
          <w:p w14:paraId="4F388EFC"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 xml:space="preserve">GSMA Doc Reference: Security Principles Related to Handset Theft 3.0.0 </w:t>
            </w:r>
          </w:p>
          <w:p w14:paraId="47D23555" w14:textId="77777777" w:rsidR="00B97365" w:rsidRDefault="00000000">
            <w:pPr>
              <w:spacing w:before="40" w:after="40" w:line="276" w:lineRule="auto"/>
              <w:jc w:val="left"/>
              <w:rPr>
                <w:sz w:val="20"/>
                <w:szCs w:val="25"/>
                <w:lang w:val="es-ES" w:eastAsia="de-DE" w:bidi="ar-SA"/>
              </w:rPr>
            </w:pPr>
            <w:r>
              <w:rPr>
                <w:rFonts w:cs="Arial"/>
                <w:sz w:val="20"/>
                <w:szCs w:val="22"/>
                <w:lang w:val="es-ES" w:eastAsia="de-DE" w:bidi="ar-SA"/>
              </w:rPr>
              <w:t>EICTA CCIG Doc Reference: EICTA Doc: 04cc100</w:t>
            </w:r>
          </w:p>
        </w:tc>
      </w:tr>
      <w:tr w:rsidR="00B97365" w14:paraId="235F073A"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62D2BDC2" w14:textId="77777777" w:rsidR="00B97365" w:rsidRDefault="00B97365">
            <w:pPr>
              <w:numPr>
                <w:ilvl w:val="0"/>
                <w:numId w:val="37"/>
              </w:numPr>
              <w:spacing w:before="40" w:after="40" w:line="276" w:lineRule="auto"/>
              <w:jc w:val="left"/>
              <w:rPr>
                <w:sz w:val="20"/>
                <w:szCs w:val="22"/>
                <w:lang w:val="es-ES" w:eastAsia="de-DE" w:bidi="ar-SA"/>
              </w:rPr>
            </w:pPr>
            <w:bookmarkStart w:id="154" w:name="_Ref421635720" w:colFirst="0" w:colLast="0"/>
            <w:bookmarkEnd w:id="153"/>
          </w:p>
        </w:tc>
        <w:tc>
          <w:tcPr>
            <w:tcW w:w="2125" w:type="dxa"/>
            <w:tcBorders>
              <w:top w:val="single" w:sz="4" w:space="0" w:color="auto"/>
              <w:left w:val="single" w:sz="4" w:space="0" w:color="auto"/>
              <w:bottom w:val="single" w:sz="4" w:space="0" w:color="auto"/>
              <w:right w:val="single" w:sz="4" w:space="0" w:color="auto"/>
            </w:tcBorders>
            <w:vAlign w:val="center"/>
            <w:hideMark/>
          </w:tcPr>
          <w:p w14:paraId="49C6B9CE"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ETSI TS 123 003</w:t>
            </w:r>
          </w:p>
        </w:tc>
        <w:tc>
          <w:tcPr>
            <w:tcW w:w="5950" w:type="dxa"/>
            <w:tcBorders>
              <w:top w:val="single" w:sz="4" w:space="0" w:color="auto"/>
              <w:left w:val="single" w:sz="4" w:space="0" w:color="auto"/>
              <w:bottom w:val="single" w:sz="4" w:space="0" w:color="auto"/>
              <w:right w:val="single" w:sz="4" w:space="0" w:color="auto"/>
            </w:tcBorders>
            <w:vAlign w:val="center"/>
            <w:hideMark/>
          </w:tcPr>
          <w:p w14:paraId="67D2F71D"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Universal Mobile Telecommunications System (UMTS); Numbering, addressing and identification; Release 9</w:t>
            </w:r>
          </w:p>
        </w:tc>
      </w:tr>
      <w:tr w:rsidR="00B97365" w14:paraId="7D17F85F"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FA500EF" w14:textId="77777777" w:rsidR="00B97365" w:rsidRDefault="00B97365">
            <w:pPr>
              <w:numPr>
                <w:ilvl w:val="0"/>
                <w:numId w:val="37"/>
              </w:numPr>
              <w:spacing w:before="40" w:after="40" w:line="276" w:lineRule="auto"/>
              <w:jc w:val="left"/>
              <w:rPr>
                <w:sz w:val="20"/>
                <w:szCs w:val="22"/>
                <w:lang w:eastAsia="de-DE" w:bidi="ar-SA"/>
              </w:rPr>
            </w:pPr>
            <w:bookmarkStart w:id="155" w:name="_Ref421635574" w:colFirst="0" w:colLast="0"/>
            <w:bookmarkEnd w:id="154"/>
          </w:p>
        </w:tc>
        <w:tc>
          <w:tcPr>
            <w:tcW w:w="2125" w:type="dxa"/>
            <w:tcBorders>
              <w:top w:val="single" w:sz="4" w:space="0" w:color="auto"/>
              <w:left w:val="single" w:sz="4" w:space="0" w:color="auto"/>
              <w:bottom w:val="single" w:sz="4" w:space="0" w:color="auto"/>
              <w:right w:val="single" w:sz="4" w:space="0" w:color="auto"/>
            </w:tcBorders>
            <w:vAlign w:val="center"/>
            <w:hideMark/>
          </w:tcPr>
          <w:p w14:paraId="48218187"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RFC 768</w:t>
            </w:r>
          </w:p>
        </w:tc>
        <w:tc>
          <w:tcPr>
            <w:tcW w:w="5950" w:type="dxa"/>
            <w:tcBorders>
              <w:top w:val="single" w:sz="4" w:space="0" w:color="auto"/>
              <w:left w:val="single" w:sz="4" w:space="0" w:color="auto"/>
              <w:bottom w:val="single" w:sz="4" w:space="0" w:color="auto"/>
              <w:right w:val="single" w:sz="4" w:space="0" w:color="auto"/>
            </w:tcBorders>
            <w:vAlign w:val="center"/>
            <w:hideMark/>
          </w:tcPr>
          <w:p w14:paraId="4872F46E"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User Datagram Protocol, Aug 1980.</w:t>
            </w:r>
          </w:p>
        </w:tc>
      </w:tr>
      <w:tr w:rsidR="00B97365" w:rsidRPr="003C254C" w14:paraId="2EDF2818"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BA0619B" w14:textId="77777777" w:rsidR="00B97365" w:rsidRDefault="00B97365">
            <w:pPr>
              <w:numPr>
                <w:ilvl w:val="0"/>
                <w:numId w:val="37"/>
              </w:numPr>
              <w:spacing w:before="40" w:after="40" w:line="276" w:lineRule="auto"/>
              <w:jc w:val="left"/>
              <w:rPr>
                <w:sz w:val="20"/>
                <w:szCs w:val="22"/>
                <w:lang w:eastAsia="de-DE" w:bidi="ar-SA"/>
              </w:rPr>
            </w:pPr>
            <w:bookmarkStart w:id="156" w:name="_Ref421635582" w:colFirst="0" w:colLast="0"/>
            <w:bookmarkEnd w:id="155"/>
          </w:p>
        </w:tc>
        <w:tc>
          <w:tcPr>
            <w:tcW w:w="2125" w:type="dxa"/>
            <w:tcBorders>
              <w:top w:val="single" w:sz="4" w:space="0" w:color="auto"/>
              <w:left w:val="single" w:sz="4" w:space="0" w:color="auto"/>
              <w:bottom w:val="single" w:sz="4" w:space="0" w:color="auto"/>
              <w:right w:val="single" w:sz="4" w:space="0" w:color="auto"/>
            </w:tcBorders>
            <w:vAlign w:val="center"/>
            <w:hideMark/>
          </w:tcPr>
          <w:p w14:paraId="72CD2BFB"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RFC 793</w:t>
            </w:r>
          </w:p>
        </w:tc>
        <w:tc>
          <w:tcPr>
            <w:tcW w:w="5950" w:type="dxa"/>
            <w:tcBorders>
              <w:top w:val="single" w:sz="4" w:space="0" w:color="auto"/>
              <w:left w:val="single" w:sz="4" w:space="0" w:color="auto"/>
              <w:bottom w:val="single" w:sz="4" w:space="0" w:color="auto"/>
              <w:right w:val="single" w:sz="4" w:space="0" w:color="auto"/>
            </w:tcBorders>
            <w:vAlign w:val="center"/>
            <w:hideMark/>
          </w:tcPr>
          <w:p w14:paraId="441D309F" w14:textId="77777777" w:rsidR="00B97365" w:rsidRPr="003C254C" w:rsidRDefault="00000000">
            <w:pPr>
              <w:spacing w:before="40" w:after="40" w:line="276" w:lineRule="auto"/>
              <w:jc w:val="left"/>
              <w:rPr>
                <w:sz w:val="20"/>
                <w:szCs w:val="25"/>
                <w:lang w:val="it-IT" w:eastAsia="de-DE" w:bidi="ar-SA"/>
              </w:rPr>
            </w:pPr>
            <w:r w:rsidRPr="003C254C">
              <w:rPr>
                <w:rFonts w:cs="Arial"/>
                <w:sz w:val="20"/>
                <w:szCs w:val="22"/>
                <w:lang w:val="it-IT" w:eastAsia="de-DE" w:bidi="ar-SA"/>
              </w:rPr>
              <w:t>Transmission Control Protocol, DARPA Internet Program, Protocol specification, Sept 1981.</w:t>
            </w:r>
          </w:p>
        </w:tc>
      </w:tr>
      <w:tr w:rsidR="00B97365" w14:paraId="399A3716"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211DC83" w14:textId="77777777" w:rsidR="00B97365" w:rsidRPr="003C254C" w:rsidRDefault="00B97365">
            <w:pPr>
              <w:numPr>
                <w:ilvl w:val="0"/>
                <w:numId w:val="37"/>
              </w:numPr>
              <w:spacing w:before="40" w:after="40" w:line="276" w:lineRule="auto"/>
              <w:jc w:val="left"/>
              <w:rPr>
                <w:sz w:val="20"/>
                <w:szCs w:val="22"/>
                <w:lang w:val="it-IT" w:eastAsia="de-DE" w:bidi="ar-SA"/>
              </w:rPr>
            </w:pPr>
            <w:bookmarkStart w:id="157" w:name="_Ref421631921" w:colFirst="0" w:colLast="0"/>
            <w:bookmarkEnd w:id="156"/>
          </w:p>
        </w:tc>
        <w:tc>
          <w:tcPr>
            <w:tcW w:w="2125" w:type="dxa"/>
            <w:tcBorders>
              <w:top w:val="single" w:sz="4" w:space="0" w:color="auto"/>
              <w:left w:val="single" w:sz="4" w:space="0" w:color="auto"/>
              <w:bottom w:val="single" w:sz="4" w:space="0" w:color="auto"/>
              <w:right w:val="single" w:sz="4" w:space="0" w:color="auto"/>
            </w:tcBorders>
            <w:vAlign w:val="center"/>
            <w:hideMark/>
          </w:tcPr>
          <w:p w14:paraId="4245657B"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GPC_GUI_049</w:t>
            </w:r>
          </w:p>
        </w:tc>
        <w:tc>
          <w:tcPr>
            <w:tcW w:w="5950" w:type="dxa"/>
            <w:tcBorders>
              <w:top w:val="single" w:sz="4" w:space="0" w:color="auto"/>
              <w:left w:val="single" w:sz="4" w:space="0" w:color="auto"/>
              <w:bottom w:val="single" w:sz="4" w:space="0" w:color="auto"/>
              <w:right w:val="single" w:sz="4" w:space="0" w:color="auto"/>
            </w:tcBorders>
            <w:vAlign w:val="center"/>
            <w:hideMark/>
          </w:tcPr>
          <w:p w14:paraId="7B52FBFE" w14:textId="77777777" w:rsidR="00B97365" w:rsidRDefault="00000000">
            <w:pPr>
              <w:spacing w:before="40" w:after="40" w:line="276" w:lineRule="auto"/>
              <w:jc w:val="left"/>
              <w:rPr>
                <w:sz w:val="20"/>
                <w:szCs w:val="25"/>
                <w:lang w:eastAsia="de-DE" w:bidi="ar-SA"/>
              </w:rPr>
            </w:pPr>
            <w:r>
              <w:rPr>
                <w:rFonts w:cs="Arial"/>
                <w:sz w:val="20"/>
                <w:szCs w:val="22"/>
                <w:lang w:val="en-US" w:eastAsia="de-DE" w:bidi="ar-SA"/>
              </w:rPr>
              <w:t>GlobalPlatform Card, Secure Element Configuration Version 1.0, October 2012</w:t>
            </w:r>
          </w:p>
        </w:tc>
      </w:tr>
      <w:tr w:rsidR="00B97365" w14:paraId="360C7702"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6C400B8D" w14:textId="77777777" w:rsidR="00B97365" w:rsidRDefault="00B97365">
            <w:pPr>
              <w:numPr>
                <w:ilvl w:val="0"/>
                <w:numId w:val="37"/>
              </w:numPr>
              <w:spacing w:before="40" w:after="40" w:line="276" w:lineRule="auto"/>
              <w:jc w:val="left"/>
              <w:rPr>
                <w:sz w:val="20"/>
                <w:szCs w:val="22"/>
                <w:lang w:val="en-US" w:eastAsia="de-DE" w:bidi="ar-SA"/>
              </w:rPr>
            </w:pPr>
            <w:bookmarkStart w:id="158" w:name="_Ref421635814" w:colFirst="0" w:colLast="0"/>
            <w:bookmarkEnd w:id="157"/>
          </w:p>
        </w:tc>
        <w:tc>
          <w:tcPr>
            <w:tcW w:w="2125" w:type="dxa"/>
            <w:tcBorders>
              <w:top w:val="single" w:sz="4" w:space="0" w:color="auto"/>
              <w:left w:val="single" w:sz="4" w:space="0" w:color="auto"/>
              <w:bottom w:val="single" w:sz="4" w:space="0" w:color="auto"/>
              <w:right w:val="single" w:sz="4" w:space="0" w:color="auto"/>
            </w:tcBorders>
            <w:vAlign w:val="center"/>
          </w:tcPr>
          <w:p w14:paraId="700801C7"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3GPP TS 27.007</w:t>
            </w:r>
          </w:p>
          <w:p w14:paraId="7E391C4F" w14:textId="77777777" w:rsidR="00B97365" w:rsidRDefault="00B97365">
            <w:pPr>
              <w:spacing w:before="40" w:after="40" w:line="276" w:lineRule="auto"/>
              <w:jc w:val="left"/>
              <w:rPr>
                <w:rFonts w:cs="Arial"/>
                <w:sz w:val="20"/>
                <w:szCs w:val="22"/>
                <w:lang w:val="en-US" w:eastAsia="de-DE" w:bidi="ar-SA"/>
              </w:rPr>
            </w:pPr>
          </w:p>
        </w:tc>
        <w:tc>
          <w:tcPr>
            <w:tcW w:w="5950" w:type="dxa"/>
            <w:tcBorders>
              <w:top w:val="single" w:sz="4" w:space="0" w:color="auto"/>
              <w:left w:val="single" w:sz="4" w:space="0" w:color="auto"/>
              <w:bottom w:val="single" w:sz="4" w:space="0" w:color="auto"/>
              <w:right w:val="single" w:sz="4" w:space="0" w:color="auto"/>
            </w:tcBorders>
            <w:vAlign w:val="center"/>
            <w:hideMark/>
          </w:tcPr>
          <w:p w14:paraId="70000DFD"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Technical Specification Group Core Network and Terminals;</w:t>
            </w:r>
          </w:p>
          <w:p w14:paraId="4D259686"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 xml:space="preserve">AT command set for User Equipment (UE) </w:t>
            </w:r>
            <w:r>
              <w:rPr>
                <w:sz w:val="20"/>
                <w:szCs w:val="22"/>
                <w:lang w:eastAsia="de-DE" w:bidi="ar-SA"/>
              </w:rPr>
              <w:t>; Release 9</w:t>
            </w:r>
          </w:p>
        </w:tc>
      </w:tr>
      <w:tr w:rsidR="00B97365" w14:paraId="2B3831F1"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73E69E3" w14:textId="77777777" w:rsidR="00B97365" w:rsidRDefault="00B97365">
            <w:pPr>
              <w:numPr>
                <w:ilvl w:val="0"/>
                <w:numId w:val="37"/>
              </w:numPr>
              <w:spacing w:before="40" w:after="40" w:line="276" w:lineRule="auto"/>
              <w:jc w:val="left"/>
              <w:rPr>
                <w:sz w:val="20"/>
                <w:szCs w:val="22"/>
                <w:lang w:val="en-US" w:eastAsia="de-DE" w:bidi="ar-SA"/>
              </w:rPr>
            </w:pPr>
            <w:bookmarkStart w:id="159" w:name="_Ref421632198" w:colFirst="0" w:colLast="0"/>
            <w:bookmarkEnd w:id="158"/>
          </w:p>
        </w:tc>
        <w:tc>
          <w:tcPr>
            <w:tcW w:w="2125" w:type="dxa"/>
            <w:tcBorders>
              <w:top w:val="single" w:sz="4" w:space="0" w:color="auto"/>
              <w:left w:val="single" w:sz="4" w:space="0" w:color="auto"/>
              <w:bottom w:val="single" w:sz="4" w:space="0" w:color="auto"/>
              <w:right w:val="single" w:sz="4" w:space="0" w:color="auto"/>
            </w:tcBorders>
            <w:vAlign w:val="center"/>
            <w:hideMark/>
          </w:tcPr>
          <w:p w14:paraId="5070DAFE" w14:textId="77777777" w:rsidR="00B97365" w:rsidRDefault="00000000">
            <w:pPr>
              <w:spacing w:before="40" w:after="40" w:line="276" w:lineRule="auto"/>
              <w:jc w:val="left"/>
              <w:rPr>
                <w:sz w:val="20"/>
                <w:szCs w:val="25"/>
                <w:lang w:val="en-US" w:eastAsia="de-DE" w:bidi="ar-SA"/>
              </w:rPr>
            </w:pPr>
            <w:r>
              <w:rPr>
                <w:rFonts w:cs="Arial"/>
                <w:sz w:val="20"/>
                <w:szCs w:val="22"/>
                <w:lang w:eastAsia="de-DE" w:bidi="ar-SA"/>
              </w:rPr>
              <w:t>NIST SP 800-57 Part 1</w:t>
            </w:r>
          </w:p>
        </w:tc>
        <w:tc>
          <w:tcPr>
            <w:tcW w:w="5950" w:type="dxa"/>
            <w:tcBorders>
              <w:top w:val="single" w:sz="4" w:space="0" w:color="auto"/>
              <w:left w:val="single" w:sz="4" w:space="0" w:color="auto"/>
              <w:bottom w:val="single" w:sz="4" w:space="0" w:color="auto"/>
              <w:right w:val="single" w:sz="4" w:space="0" w:color="auto"/>
            </w:tcBorders>
            <w:vAlign w:val="center"/>
            <w:hideMark/>
          </w:tcPr>
          <w:p w14:paraId="148E1E97" w14:textId="77777777" w:rsidR="00B97365" w:rsidRDefault="00000000">
            <w:pPr>
              <w:spacing w:before="40" w:after="40" w:line="276" w:lineRule="auto"/>
              <w:jc w:val="left"/>
              <w:rPr>
                <w:sz w:val="20"/>
                <w:szCs w:val="25"/>
                <w:lang w:val="en-US" w:eastAsia="de-DE" w:bidi="ar-SA"/>
              </w:rPr>
            </w:pPr>
            <w:r>
              <w:rPr>
                <w:rFonts w:cs="Arial"/>
                <w:sz w:val="20"/>
                <w:szCs w:val="22"/>
                <w:lang w:eastAsia="de-DE" w:bidi="ar-SA"/>
              </w:rPr>
              <w:t>NIST Special Publication 800-57: Recommendation for Key Management – Part 1: General (Revision 3), July 2012</w:t>
            </w:r>
          </w:p>
        </w:tc>
      </w:tr>
      <w:tr w:rsidR="00B97365" w:rsidRPr="003C254C" w14:paraId="0F75E7C5"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25E0AF0A" w14:textId="77777777" w:rsidR="00B97365" w:rsidRDefault="00B97365">
            <w:pPr>
              <w:numPr>
                <w:ilvl w:val="0"/>
                <w:numId w:val="37"/>
              </w:numPr>
              <w:spacing w:before="40" w:after="40" w:line="276" w:lineRule="auto"/>
              <w:jc w:val="left"/>
              <w:rPr>
                <w:sz w:val="20"/>
                <w:szCs w:val="22"/>
                <w:lang w:val="en-US" w:eastAsia="de-DE" w:bidi="ar-SA"/>
              </w:rPr>
            </w:pPr>
            <w:bookmarkStart w:id="160" w:name="_Ref421632209" w:colFirst="0" w:colLast="0"/>
            <w:bookmarkEnd w:id="159"/>
          </w:p>
        </w:tc>
        <w:tc>
          <w:tcPr>
            <w:tcW w:w="2125" w:type="dxa"/>
            <w:tcBorders>
              <w:top w:val="single" w:sz="4" w:space="0" w:color="auto"/>
              <w:left w:val="single" w:sz="4" w:space="0" w:color="auto"/>
              <w:bottom w:val="single" w:sz="4" w:space="0" w:color="auto"/>
              <w:right w:val="single" w:sz="4" w:space="0" w:color="auto"/>
            </w:tcBorders>
            <w:vAlign w:val="center"/>
            <w:hideMark/>
          </w:tcPr>
          <w:p w14:paraId="37A7C6DC" w14:textId="77777777" w:rsidR="00B97365" w:rsidRDefault="00000000">
            <w:pPr>
              <w:spacing w:before="40" w:after="40" w:line="276" w:lineRule="auto"/>
              <w:jc w:val="left"/>
              <w:rPr>
                <w:sz w:val="20"/>
                <w:szCs w:val="25"/>
                <w:lang w:val="en-US" w:eastAsia="de-DE" w:bidi="ar-SA"/>
              </w:rPr>
            </w:pPr>
            <w:r>
              <w:rPr>
                <w:rFonts w:cs="Arial"/>
                <w:sz w:val="20"/>
                <w:szCs w:val="22"/>
                <w:lang w:eastAsia="de-DE" w:bidi="ar-SA"/>
              </w:rPr>
              <w:t>BSI TR-02102</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A84B08D" w14:textId="77777777" w:rsidR="00B97365" w:rsidRDefault="00000000">
            <w:pPr>
              <w:spacing w:before="40" w:after="40" w:line="276" w:lineRule="auto"/>
              <w:jc w:val="left"/>
              <w:rPr>
                <w:sz w:val="20"/>
                <w:szCs w:val="25"/>
                <w:lang w:val="de-DE" w:eastAsia="de-DE" w:bidi="ar-SA"/>
              </w:rPr>
            </w:pPr>
            <w:r>
              <w:rPr>
                <w:rFonts w:cs="Arial"/>
                <w:sz w:val="20"/>
                <w:szCs w:val="22"/>
                <w:lang w:val="de-DE" w:eastAsia="de-DE" w:bidi="ar-SA"/>
              </w:rPr>
              <w:t>BSI – Technische Richtlinie: Kryptographische Verfahren: Empfehlungen und Schlüssellängen, Version: 2013.02</w:t>
            </w:r>
          </w:p>
        </w:tc>
      </w:tr>
      <w:tr w:rsidR="00B97365" w14:paraId="7787A285"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39491C2D" w14:textId="77777777" w:rsidR="00B97365" w:rsidRPr="003C254C" w:rsidRDefault="00B97365">
            <w:pPr>
              <w:numPr>
                <w:ilvl w:val="0"/>
                <w:numId w:val="37"/>
              </w:numPr>
              <w:spacing w:before="40" w:after="40" w:line="276" w:lineRule="auto"/>
              <w:jc w:val="left"/>
              <w:rPr>
                <w:sz w:val="20"/>
                <w:szCs w:val="22"/>
                <w:lang w:val="de-DE" w:eastAsia="de-DE" w:bidi="ar-SA"/>
              </w:rPr>
            </w:pPr>
            <w:bookmarkStart w:id="161" w:name="_Ref421632221" w:colFirst="0" w:colLast="0"/>
            <w:bookmarkEnd w:id="160"/>
          </w:p>
        </w:tc>
        <w:tc>
          <w:tcPr>
            <w:tcW w:w="2125" w:type="dxa"/>
            <w:tcBorders>
              <w:top w:val="single" w:sz="4" w:space="0" w:color="auto"/>
              <w:left w:val="single" w:sz="4" w:space="0" w:color="auto"/>
              <w:bottom w:val="single" w:sz="4" w:space="0" w:color="auto"/>
              <w:right w:val="single" w:sz="4" w:space="0" w:color="auto"/>
            </w:tcBorders>
            <w:vAlign w:val="center"/>
            <w:hideMark/>
          </w:tcPr>
          <w:p w14:paraId="44CAB93F"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GSMA PRD IR.92</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03189FE"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GSMA PRD IR.92: IMS Profile for Voice and SMS</w:t>
            </w:r>
          </w:p>
        </w:tc>
      </w:tr>
      <w:tr w:rsidR="00B97365" w14:paraId="7AAE6E29"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2972D2EF" w14:textId="77777777" w:rsidR="00B97365" w:rsidRDefault="00B97365">
            <w:pPr>
              <w:numPr>
                <w:ilvl w:val="0"/>
                <w:numId w:val="37"/>
              </w:numPr>
              <w:spacing w:before="40" w:after="40" w:line="276" w:lineRule="auto"/>
              <w:jc w:val="left"/>
              <w:rPr>
                <w:sz w:val="20"/>
                <w:szCs w:val="22"/>
                <w:lang w:eastAsia="de-DE" w:bidi="ar-SA"/>
              </w:rPr>
            </w:pPr>
            <w:bookmarkStart w:id="162" w:name="_Ref481771409"/>
            <w:bookmarkStart w:id="163" w:name="_Ref421633771" w:colFirst="0" w:colLast="0"/>
            <w:bookmarkEnd w:id="161"/>
          </w:p>
        </w:tc>
        <w:bookmarkEnd w:id="162"/>
        <w:tc>
          <w:tcPr>
            <w:tcW w:w="2125" w:type="dxa"/>
            <w:tcBorders>
              <w:top w:val="single" w:sz="4" w:space="0" w:color="auto"/>
              <w:left w:val="single" w:sz="4" w:space="0" w:color="auto"/>
              <w:bottom w:val="single" w:sz="4" w:space="0" w:color="auto"/>
              <w:right w:val="single" w:sz="4" w:space="0" w:color="auto"/>
            </w:tcBorders>
            <w:vAlign w:val="center"/>
            <w:hideMark/>
          </w:tcPr>
          <w:p w14:paraId="3512F62A"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3GPP TS 23.040</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37A6CD8"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Technical Specification Group Core Network and Terminals; Technical realisation of the Short Message Service (SMS)</w:t>
            </w:r>
          </w:p>
        </w:tc>
      </w:tr>
      <w:tr w:rsidR="00B97365" w14:paraId="73681015"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0C516FB" w14:textId="77777777" w:rsidR="00B97365" w:rsidRDefault="00B97365">
            <w:pPr>
              <w:numPr>
                <w:ilvl w:val="0"/>
                <w:numId w:val="37"/>
              </w:numPr>
              <w:spacing w:before="40" w:after="40" w:line="276" w:lineRule="auto"/>
              <w:jc w:val="left"/>
              <w:rPr>
                <w:sz w:val="20"/>
                <w:szCs w:val="22"/>
                <w:lang w:eastAsia="de-DE" w:bidi="ar-SA"/>
              </w:rPr>
            </w:pPr>
            <w:bookmarkStart w:id="164" w:name="_Ref421635154" w:colFirst="0" w:colLast="0"/>
            <w:bookmarkEnd w:id="163"/>
          </w:p>
        </w:tc>
        <w:tc>
          <w:tcPr>
            <w:tcW w:w="2125" w:type="dxa"/>
            <w:tcBorders>
              <w:top w:val="single" w:sz="4" w:space="0" w:color="auto"/>
              <w:left w:val="single" w:sz="4" w:space="0" w:color="auto"/>
              <w:bottom w:val="single" w:sz="4" w:space="0" w:color="auto"/>
              <w:right w:val="single" w:sz="4" w:space="0" w:color="auto"/>
            </w:tcBorders>
            <w:vAlign w:val="center"/>
            <w:hideMark/>
          </w:tcPr>
          <w:p w14:paraId="740F46DD"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SOAP</w:t>
            </w:r>
          </w:p>
        </w:tc>
        <w:tc>
          <w:tcPr>
            <w:tcW w:w="5950" w:type="dxa"/>
            <w:tcBorders>
              <w:top w:val="single" w:sz="4" w:space="0" w:color="auto"/>
              <w:left w:val="single" w:sz="4" w:space="0" w:color="auto"/>
              <w:bottom w:val="single" w:sz="4" w:space="0" w:color="auto"/>
              <w:right w:val="single" w:sz="4" w:space="0" w:color="auto"/>
            </w:tcBorders>
            <w:vAlign w:val="center"/>
            <w:hideMark/>
          </w:tcPr>
          <w:p w14:paraId="091E8885" w14:textId="77777777" w:rsidR="00B97365" w:rsidRDefault="00000000">
            <w:pPr>
              <w:spacing w:before="40" w:after="40" w:line="276" w:lineRule="auto"/>
              <w:jc w:val="left"/>
              <w:rPr>
                <w:sz w:val="20"/>
                <w:szCs w:val="25"/>
                <w:lang w:eastAsia="de-DE" w:bidi="ar-SA"/>
              </w:rPr>
            </w:pPr>
            <w:r>
              <w:rPr>
                <w:rFonts w:cs="Arial"/>
                <w:sz w:val="20"/>
                <w:szCs w:val="22"/>
                <w:lang w:val="en-US" w:eastAsia="de-DE" w:bidi="ar-SA"/>
              </w:rPr>
              <w:t xml:space="preserve">SOAP Version 1.2 Part 1: Messaging Framework (Second Edition) </w:t>
            </w:r>
            <w:hyperlink r:id="rId14" w:history="1">
              <w:r>
                <w:rPr>
                  <w:color w:val="0000FF"/>
                  <w:sz w:val="20"/>
                  <w:szCs w:val="22"/>
                  <w:u w:val="single"/>
                  <w:lang w:val="en-US" w:eastAsia="de-DE" w:bidi="ar-SA"/>
                </w:rPr>
                <w:t>http://www.w3.org/TR/soap12-part1/</w:t>
              </w:r>
            </w:hyperlink>
            <w:r>
              <w:rPr>
                <w:sz w:val="20"/>
                <w:szCs w:val="22"/>
                <w:lang w:val="en-US" w:eastAsia="de-DE" w:bidi="ar-SA"/>
              </w:rPr>
              <w:t xml:space="preserve"> </w:t>
            </w:r>
          </w:p>
        </w:tc>
      </w:tr>
      <w:tr w:rsidR="00B97365" w14:paraId="05451861"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A3DF78D" w14:textId="77777777" w:rsidR="00B97365" w:rsidRDefault="00B97365">
            <w:pPr>
              <w:numPr>
                <w:ilvl w:val="0"/>
                <w:numId w:val="37"/>
              </w:numPr>
              <w:spacing w:before="40" w:after="40" w:line="276" w:lineRule="auto"/>
              <w:jc w:val="left"/>
              <w:rPr>
                <w:sz w:val="20"/>
                <w:szCs w:val="22"/>
                <w:lang w:eastAsia="de-DE" w:bidi="ar-SA"/>
              </w:rPr>
            </w:pPr>
            <w:bookmarkStart w:id="165" w:name="_Ref421635163" w:colFirst="0" w:colLast="0"/>
            <w:bookmarkEnd w:id="164"/>
          </w:p>
        </w:tc>
        <w:tc>
          <w:tcPr>
            <w:tcW w:w="2125" w:type="dxa"/>
            <w:tcBorders>
              <w:top w:val="single" w:sz="4" w:space="0" w:color="auto"/>
              <w:left w:val="single" w:sz="4" w:space="0" w:color="auto"/>
              <w:bottom w:val="single" w:sz="4" w:space="0" w:color="auto"/>
              <w:right w:val="single" w:sz="4" w:space="0" w:color="auto"/>
            </w:tcBorders>
            <w:vAlign w:val="center"/>
            <w:hideMark/>
          </w:tcPr>
          <w:p w14:paraId="364EDB3A" w14:textId="77777777" w:rsidR="00B97365" w:rsidRDefault="00000000">
            <w:pPr>
              <w:spacing w:before="40" w:after="40" w:line="276" w:lineRule="auto"/>
              <w:jc w:val="left"/>
              <w:rPr>
                <w:sz w:val="20"/>
                <w:szCs w:val="25"/>
                <w:lang w:eastAsia="de-DE" w:bidi="ar-SA"/>
              </w:rPr>
            </w:pPr>
            <w:r>
              <w:rPr>
                <w:rFonts w:cs="Arial"/>
                <w:sz w:val="20"/>
                <w:szCs w:val="22"/>
                <w:lang w:val="en-US" w:eastAsia="de-DE" w:bidi="ar-SA"/>
              </w:rPr>
              <w:t>WS-Addressing</w:t>
            </w:r>
          </w:p>
        </w:tc>
        <w:tc>
          <w:tcPr>
            <w:tcW w:w="5950" w:type="dxa"/>
            <w:tcBorders>
              <w:top w:val="single" w:sz="4" w:space="0" w:color="auto"/>
              <w:left w:val="single" w:sz="4" w:space="0" w:color="auto"/>
              <w:bottom w:val="single" w:sz="4" w:space="0" w:color="auto"/>
              <w:right w:val="single" w:sz="4" w:space="0" w:color="auto"/>
            </w:tcBorders>
            <w:vAlign w:val="center"/>
            <w:hideMark/>
          </w:tcPr>
          <w:p w14:paraId="0A3D156B"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Web Services Addressing 1.0, Core , 9th of May 2006</w:t>
            </w:r>
          </w:p>
          <w:p w14:paraId="646B5913" w14:textId="77777777" w:rsidR="00B97365" w:rsidRDefault="00000000">
            <w:pPr>
              <w:spacing w:before="40" w:after="40" w:line="276" w:lineRule="auto"/>
              <w:jc w:val="left"/>
              <w:rPr>
                <w:sz w:val="20"/>
                <w:szCs w:val="25"/>
                <w:lang w:eastAsia="de-DE" w:bidi="ar-SA"/>
              </w:rPr>
            </w:pPr>
            <w:r>
              <w:rPr>
                <w:rFonts w:cs="Arial"/>
                <w:sz w:val="20"/>
                <w:szCs w:val="22"/>
                <w:lang w:val="en-US" w:eastAsia="de-DE" w:bidi="ar-SA"/>
              </w:rPr>
              <w:t xml:space="preserve"> </w:t>
            </w:r>
            <w:hyperlink r:id="rId15" w:history="1">
              <w:r>
                <w:rPr>
                  <w:color w:val="0000FF"/>
                  <w:sz w:val="20"/>
                  <w:szCs w:val="22"/>
                  <w:u w:val="single"/>
                  <w:lang w:val="en-US" w:eastAsia="de-DE" w:bidi="ar-SA"/>
                </w:rPr>
                <w:t>http://www.w3.org/TR/ws-addr-core/</w:t>
              </w:r>
            </w:hyperlink>
            <w:r>
              <w:rPr>
                <w:sz w:val="20"/>
                <w:szCs w:val="22"/>
                <w:lang w:val="en-US" w:eastAsia="de-DE" w:bidi="ar-SA"/>
              </w:rPr>
              <w:t xml:space="preserve"> </w:t>
            </w:r>
          </w:p>
        </w:tc>
      </w:tr>
      <w:tr w:rsidR="00B97365" w14:paraId="39C5AD22"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6C4F8FC" w14:textId="77777777" w:rsidR="00B97365" w:rsidRDefault="00B97365">
            <w:pPr>
              <w:numPr>
                <w:ilvl w:val="0"/>
                <w:numId w:val="37"/>
              </w:numPr>
              <w:spacing w:before="40" w:after="40" w:line="276" w:lineRule="auto"/>
              <w:jc w:val="left"/>
              <w:rPr>
                <w:sz w:val="20"/>
                <w:szCs w:val="22"/>
                <w:lang w:eastAsia="de-DE" w:bidi="ar-SA"/>
              </w:rPr>
            </w:pPr>
            <w:bookmarkStart w:id="166" w:name="_Ref421635186" w:colFirst="0" w:colLast="0"/>
            <w:bookmarkEnd w:id="165"/>
          </w:p>
        </w:tc>
        <w:tc>
          <w:tcPr>
            <w:tcW w:w="2125" w:type="dxa"/>
            <w:tcBorders>
              <w:top w:val="single" w:sz="4" w:space="0" w:color="auto"/>
              <w:left w:val="single" w:sz="4" w:space="0" w:color="auto"/>
              <w:bottom w:val="single" w:sz="4" w:space="0" w:color="auto"/>
              <w:right w:val="single" w:sz="4" w:space="0" w:color="auto"/>
            </w:tcBorders>
            <w:vAlign w:val="center"/>
            <w:hideMark/>
          </w:tcPr>
          <w:p w14:paraId="0D90BAC9" w14:textId="77777777" w:rsidR="00B97365" w:rsidRDefault="00000000">
            <w:pPr>
              <w:spacing w:before="40" w:after="40" w:line="276" w:lineRule="auto"/>
              <w:jc w:val="left"/>
              <w:rPr>
                <w:sz w:val="20"/>
                <w:szCs w:val="25"/>
                <w:lang w:eastAsia="de-DE" w:bidi="ar-SA"/>
              </w:rPr>
            </w:pPr>
            <w:r>
              <w:rPr>
                <w:rFonts w:cs="Arial"/>
                <w:sz w:val="20"/>
                <w:szCs w:val="22"/>
                <w:lang w:val="en-US" w:eastAsia="de-DE" w:bidi="ar-SA"/>
              </w:rPr>
              <w:t>WS-Addressing-SOAP-Binding</w:t>
            </w:r>
          </w:p>
        </w:tc>
        <w:tc>
          <w:tcPr>
            <w:tcW w:w="5950" w:type="dxa"/>
            <w:tcBorders>
              <w:top w:val="single" w:sz="4" w:space="0" w:color="auto"/>
              <w:left w:val="single" w:sz="4" w:space="0" w:color="auto"/>
              <w:bottom w:val="single" w:sz="4" w:space="0" w:color="auto"/>
              <w:right w:val="single" w:sz="4" w:space="0" w:color="auto"/>
            </w:tcBorders>
            <w:vAlign w:val="center"/>
            <w:hideMark/>
          </w:tcPr>
          <w:p w14:paraId="045A5F54"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Web Services Addressing 1.0 - SOAP Binding, 9th of May 2006</w:t>
            </w:r>
          </w:p>
          <w:p w14:paraId="1A07D6BC" w14:textId="77777777" w:rsidR="00B97365" w:rsidRDefault="00000000">
            <w:pPr>
              <w:spacing w:before="40" w:after="40" w:line="276" w:lineRule="auto"/>
              <w:jc w:val="left"/>
              <w:rPr>
                <w:sz w:val="20"/>
                <w:szCs w:val="25"/>
                <w:lang w:eastAsia="de-DE" w:bidi="ar-SA"/>
              </w:rPr>
            </w:pPr>
            <w:hyperlink r:id="rId16" w:history="1">
              <w:r>
                <w:rPr>
                  <w:color w:val="0000FF"/>
                  <w:sz w:val="20"/>
                  <w:szCs w:val="22"/>
                  <w:u w:val="single"/>
                  <w:lang w:val="en-US" w:eastAsia="de-DE" w:bidi="ar-SA"/>
                </w:rPr>
                <w:t>http://www.w3.org/TR/2006/REC-ws-addr-soap-20060509/</w:t>
              </w:r>
            </w:hyperlink>
            <w:r>
              <w:rPr>
                <w:sz w:val="20"/>
                <w:szCs w:val="22"/>
                <w:lang w:val="en-US" w:eastAsia="de-DE" w:bidi="ar-SA"/>
              </w:rPr>
              <w:t xml:space="preserve"> </w:t>
            </w:r>
          </w:p>
        </w:tc>
      </w:tr>
      <w:tr w:rsidR="00B97365" w14:paraId="47B6FDCE"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6F8FCC16" w14:textId="77777777" w:rsidR="00B97365" w:rsidRDefault="00B97365">
            <w:pPr>
              <w:numPr>
                <w:ilvl w:val="0"/>
                <w:numId w:val="37"/>
              </w:numPr>
              <w:spacing w:before="40" w:after="40" w:line="276" w:lineRule="auto"/>
              <w:jc w:val="left"/>
              <w:rPr>
                <w:sz w:val="20"/>
                <w:szCs w:val="22"/>
                <w:lang w:eastAsia="de-DE" w:bidi="ar-SA"/>
              </w:rPr>
            </w:pPr>
            <w:bookmarkStart w:id="167" w:name="_Ref421635172" w:colFirst="0" w:colLast="0"/>
            <w:bookmarkEnd w:id="166"/>
          </w:p>
        </w:tc>
        <w:tc>
          <w:tcPr>
            <w:tcW w:w="2125" w:type="dxa"/>
            <w:tcBorders>
              <w:top w:val="single" w:sz="4" w:space="0" w:color="auto"/>
              <w:left w:val="single" w:sz="4" w:space="0" w:color="auto"/>
              <w:bottom w:val="single" w:sz="4" w:space="0" w:color="auto"/>
              <w:right w:val="single" w:sz="4" w:space="0" w:color="auto"/>
            </w:tcBorders>
            <w:vAlign w:val="center"/>
            <w:hideMark/>
          </w:tcPr>
          <w:p w14:paraId="7A9566EB"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WS-MakeConnection</w:t>
            </w:r>
          </w:p>
        </w:tc>
        <w:tc>
          <w:tcPr>
            <w:tcW w:w="5950" w:type="dxa"/>
            <w:tcBorders>
              <w:top w:val="single" w:sz="4" w:space="0" w:color="auto"/>
              <w:left w:val="single" w:sz="4" w:space="0" w:color="auto"/>
              <w:bottom w:val="single" w:sz="4" w:space="0" w:color="auto"/>
              <w:right w:val="single" w:sz="4" w:space="0" w:color="auto"/>
            </w:tcBorders>
            <w:vAlign w:val="center"/>
            <w:hideMark/>
          </w:tcPr>
          <w:p w14:paraId="509A3A2F" w14:textId="77777777" w:rsidR="00B97365" w:rsidRDefault="00000000">
            <w:pPr>
              <w:spacing w:before="40" w:after="40" w:line="276" w:lineRule="auto"/>
              <w:jc w:val="left"/>
              <w:rPr>
                <w:sz w:val="20"/>
                <w:szCs w:val="25"/>
                <w:lang w:eastAsia="de-DE" w:bidi="ar-SA"/>
              </w:rPr>
            </w:pPr>
            <w:r>
              <w:rPr>
                <w:rFonts w:cs="Arial"/>
                <w:sz w:val="20"/>
                <w:szCs w:val="22"/>
                <w:lang w:val="en-US" w:eastAsia="de-DE" w:bidi="ar-SA"/>
              </w:rPr>
              <w:t xml:space="preserve">Web Services Make Connection (WS-MakeConnection), 2nd February 2009, </w:t>
            </w:r>
            <w:hyperlink r:id="rId17" w:history="1">
              <w:r>
                <w:rPr>
                  <w:color w:val="0000FF"/>
                  <w:sz w:val="20"/>
                  <w:szCs w:val="22"/>
                  <w:u w:val="single"/>
                  <w:lang w:val="en-US" w:eastAsia="de-DE" w:bidi="ar-SA"/>
                </w:rPr>
                <w:t>http://docs.oasis-open.org/ws-rx/wsmc/200702/wsmc-1.1-spec-os.html</w:t>
              </w:r>
            </w:hyperlink>
            <w:r>
              <w:rPr>
                <w:sz w:val="20"/>
                <w:szCs w:val="22"/>
                <w:lang w:val="en-US" w:eastAsia="de-DE" w:bidi="ar-SA"/>
              </w:rPr>
              <w:t xml:space="preserve"> </w:t>
            </w:r>
          </w:p>
        </w:tc>
      </w:tr>
      <w:tr w:rsidR="00B97365" w14:paraId="60DE6F07"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233B4C8" w14:textId="77777777" w:rsidR="00B97365" w:rsidRDefault="00B97365">
            <w:pPr>
              <w:numPr>
                <w:ilvl w:val="0"/>
                <w:numId w:val="37"/>
              </w:numPr>
              <w:spacing w:before="40" w:after="40" w:line="276" w:lineRule="auto"/>
              <w:jc w:val="left"/>
              <w:rPr>
                <w:sz w:val="20"/>
                <w:szCs w:val="22"/>
                <w:lang w:eastAsia="de-DE" w:bidi="ar-SA"/>
              </w:rPr>
            </w:pPr>
            <w:bookmarkStart w:id="168" w:name="_Ref534232763"/>
            <w:bookmarkStart w:id="169" w:name="_Ref421635291" w:colFirst="0" w:colLast="0"/>
            <w:bookmarkEnd w:id="167"/>
          </w:p>
        </w:tc>
        <w:bookmarkEnd w:id="168"/>
        <w:tc>
          <w:tcPr>
            <w:tcW w:w="2125" w:type="dxa"/>
            <w:tcBorders>
              <w:top w:val="single" w:sz="4" w:space="0" w:color="auto"/>
              <w:left w:val="single" w:sz="4" w:space="0" w:color="auto"/>
              <w:bottom w:val="single" w:sz="4" w:space="0" w:color="auto"/>
              <w:right w:val="single" w:sz="4" w:space="0" w:color="auto"/>
            </w:tcBorders>
            <w:vAlign w:val="center"/>
            <w:hideMark/>
          </w:tcPr>
          <w:p w14:paraId="24AB3A8B"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WSS-SOAPMessageSecurity</w:t>
            </w:r>
          </w:p>
        </w:tc>
        <w:tc>
          <w:tcPr>
            <w:tcW w:w="5950" w:type="dxa"/>
            <w:tcBorders>
              <w:top w:val="single" w:sz="4" w:space="0" w:color="auto"/>
              <w:left w:val="single" w:sz="4" w:space="0" w:color="auto"/>
              <w:bottom w:val="single" w:sz="4" w:space="0" w:color="auto"/>
              <w:right w:val="single" w:sz="4" w:space="0" w:color="auto"/>
            </w:tcBorders>
            <w:vAlign w:val="center"/>
            <w:hideMark/>
          </w:tcPr>
          <w:p w14:paraId="57F1B0D3"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 xml:space="preserve">Web Services Security: SOAP Message Security 1.1 (WS-Security 2004), 1 February 2006, </w:t>
            </w:r>
          </w:p>
          <w:p w14:paraId="6E196FAF" w14:textId="77777777" w:rsidR="00B97365" w:rsidRDefault="00000000">
            <w:pPr>
              <w:spacing w:before="40" w:after="40" w:line="276" w:lineRule="auto"/>
              <w:jc w:val="left"/>
              <w:rPr>
                <w:sz w:val="20"/>
                <w:szCs w:val="25"/>
                <w:lang w:eastAsia="de-DE" w:bidi="ar-SA"/>
              </w:rPr>
            </w:pPr>
            <w:hyperlink r:id="rId18" w:history="1">
              <w:r>
                <w:rPr>
                  <w:rFonts w:cs="Arial"/>
                  <w:color w:val="0000FF"/>
                  <w:sz w:val="20"/>
                  <w:szCs w:val="22"/>
                  <w:u w:val="single"/>
                  <w:lang w:eastAsia="de-DE" w:bidi="ar-SA"/>
                </w:rPr>
                <w:t>https://www.oasis-open.org/committees/download.php/16790/wss-v1.1-spec-os-SOAPMessageSecurity.pdf</w:t>
              </w:r>
            </w:hyperlink>
          </w:p>
        </w:tc>
      </w:tr>
      <w:tr w:rsidR="00B97365" w14:paraId="2433F114"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0565375" w14:textId="77777777" w:rsidR="00B97365" w:rsidRDefault="00B97365">
            <w:pPr>
              <w:numPr>
                <w:ilvl w:val="0"/>
                <w:numId w:val="37"/>
              </w:numPr>
              <w:spacing w:before="40" w:after="40" w:line="276" w:lineRule="auto"/>
              <w:jc w:val="left"/>
              <w:rPr>
                <w:sz w:val="20"/>
                <w:szCs w:val="22"/>
                <w:lang w:eastAsia="de-DE" w:bidi="ar-SA"/>
              </w:rPr>
            </w:pPr>
            <w:bookmarkStart w:id="170" w:name="_Ref421635308" w:colFirst="0" w:colLast="0"/>
            <w:bookmarkEnd w:id="169"/>
          </w:p>
        </w:tc>
        <w:tc>
          <w:tcPr>
            <w:tcW w:w="2125" w:type="dxa"/>
            <w:tcBorders>
              <w:top w:val="single" w:sz="4" w:space="0" w:color="auto"/>
              <w:left w:val="single" w:sz="4" w:space="0" w:color="auto"/>
              <w:bottom w:val="single" w:sz="4" w:space="0" w:color="auto"/>
              <w:right w:val="single" w:sz="4" w:space="0" w:color="auto"/>
            </w:tcBorders>
            <w:vAlign w:val="center"/>
            <w:hideMark/>
          </w:tcPr>
          <w:p w14:paraId="1ACC8945"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WSS-UserNameTokenProfile</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3BAE6C5"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 xml:space="preserve">Web Services Security UsernameToken Profile 1.1, February 2006,  </w:t>
            </w:r>
            <w:hyperlink r:id="rId19" w:history="1">
              <w:r>
                <w:rPr>
                  <w:color w:val="0000FF"/>
                  <w:sz w:val="20"/>
                  <w:szCs w:val="22"/>
                  <w:u w:val="single"/>
                  <w:lang w:eastAsia="de-DE" w:bidi="ar-SA"/>
                </w:rPr>
                <w:t>http://docs.oasis-open.org/wss/v1.1/</w:t>
              </w:r>
            </w:hyperlink>
            <w:r>
              <w:rPr>
                <w:sz w:val="20"/>
                <w:szCs w:val="22"/>
                <w:lang w:eastAsia="de-DE" w:bidi="ar-SA"/>
              </w:rPr>
              <w:t xml:space="preserve"> </w:t>
            </w:r>
          </w:p>
        </w:tc>
      </w:tr>
      <w:tr w:rsidR="00B97365" w14:paraId="790CF16C"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7B45A1D" w14:textId="77777777" w:rsidR="00B97365" w:rsidRDefault="00B97365">
            <w:pPr>
              <w:numPr>
                <w:ilvl w:val="0"/>
                <w:numId w:val="37"/>
              </w:numPr>
              <w:spacing w:before="40" w:after="40" w:line="276" w:lineRule="auto"/>
              <w:jc w:val="left"/>
              <w:rPr>
                <w:sz w:val="20"/>
                <w:szCs w:val="22"/>
                <w:lang w:eastAsia="de-DE" w:bidi="ar-SA"/>
              </w:rPr>
            </w:pPr>
            <w:bookmarkStart w:id="171" w:name="_Ref534232709"/>
            <w:bookmarkStart w:id="172" w:name="_Ref421635317" w:colFirst="0" w:colLast="0"/>
            <w:bookmarkEnd w:id="170"/>
          </w:p>
        </w:tc>
        <w:bookmarkEnd w:id="171"/>
        <w:tc>
          <w:tcPr>
            <w:tcW w:w="2125" w:type="dxa"/>
            <w:tcBorders>
              <w:top w:val="single" w:sz="4" w:space="0" w:color="auto"/>
              <w:left w:val="single" w:sz="4" w:space="0" w:color="auto"/>
              <w:bottom w:val="single" w:sz="4" w:space="0" w:color="auto"/>
              <w:right w:val="single" w:sz="4" w:space="0" w:color="auto"/>
            </w:tcBorders>
            <w:vAlign w:val="center"/>
            <w:hideMark/>
          </w:tcPr>
          <w:p w14:paraId="5CF2002C"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WSS-X509TokenProfile</w:t>
            </w:r>
          </w:p>
        </w:tc>
        <w:tc>
          <w:tcPr>
            <w:tcW w:w="5950" w:type="dxa"/>
            <w:tcBorders>
              <w:top w:val="single" w:sz="4" w:space="0" w:color="auto"/>
              <w:left w:val="single" w:sz="4" w:space="0" w:color="auto"/>
              <w:bottom w:val="single" w:sz="4" w:space="0" w:color="auto"/>
              <w:right w:val="single" w:sz="4" w:space="0" w:color="auto"/>
            </w:tcBorders>
            <w:vAlign w:val="center"/>
            <w:hideMark/>
          </w:tcPr>
          <w:p w14:paraId="4AFD78B7" w14:textId="77777777" w:rsidR="00B97365" w:rsidRDefault="00000000">
            <w:pPr>
              <w:spacing w:before="40" w:after="40" w:line="276" w:lineRule="auto"/>
              <w:jc w:val="left"/>
              <w:rPr>
                <w:sz w:val="20"/>
                <w:szCs w:val="25"/>
                <w:lang w:eastAsia="de-DE" w:bidi="ar-SA"/>
              </w:rPr>
            </w:pPr>
            <w:r>
              <w:rPr>
                <w:rFonts w:cs="Arial"/>
                <w:sz w:val="20"/>
                <w:szCs w:val="22"/>
                <w:lang w:val="en-US" w:eastAsia="de-DE" w:bidi="ar-SA"/>
              </w:rPr>
              <w:t xml:space="preserve">Web Services Security X.509 Certificate Token Profile 1.1, February 2006,  </w:t>
            </w:r>
            <w:hyperlink r:id="rId20" w:history="1">
              <w:r>
                <w:rPr>
                  <w:color w:val="0000FF"/>
                  <w:sz w:val="20"/>
                  <w:szCs w:val="22"/>
                  <w:u w:val="single"/>
                  <w:lang w:val="en-US" w:eastAsia="de-DE" w:bidi="ar-SA"/>
                </w:rPr>
                <w:t>http://docs.oasis-open.org/wss/v1.1/</w:t>
              </w:r>
            </w:hyperlink>
            <w:r>
              <w:rPr>
                <w:sz w:val="20"/>
                <w:szCs w:val="22"/>
                <w:lang w:val="en-US" w:eastAsia="de-DE" w:bidi="ar-SA"/>
              </w:rPr>
              <w:t xml:space="preserve"> </w:t>
            </w:r>
          </w:p>
        </w:tc>
      </w:tr>
      <w:tr w:rsidR="00B97365" w14:paraId="4D05CA21"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096C07D" w14:textId="77777777" w:rsidR="00B97365" w:rsidRDefault="00B97365">
            <w:pPr>
              <w:numPr>
                <w:ilvl w:val="0"/>
                <w:numId w:val="37"/>
              </w:numPr>
              <w:spacing w:before="40" w:after="40" w:line="276" w:lineRule="auto"/>
              <w:jc w:val="left"/>
              <w:rPr>
                <w:sz w:val="20"/>
                <w:szCs w:val="22"/>
                <w:lang w:eastAsia="de-DE" w:bidi="ar-SA"/>
              </w:rPr>
            </w:pPr>
            <w:bookmarkStart w:id="173" w:name="_Ref421635120" w:colFirst="0" w:colLast="0"/>
            <w:bookmarkEnd w:id="172"/>
          </w:p>
        </w:tc>
        <w:tc>
          <w:tcPr>
            <w:tcW w:w="2125" w:type="dxa"/>
            <w:tcBorders>
              <w:top w:val="single" w:sz="4" w:space="0" w:color="auto"/>
              <w:left w:val="single" w:sz="4" w:space="0" w:color="auto"/>
              <w:bottom w:val="single" w:sz="4" w:space="0" w:color="auto"/>
              <w:right w:val="single" w:sz="4" w:space="0" w:color="auto"/>
            </w:tcBorders>
            <w:vAlign w:val="center"/>
            <w:hideMark/>
          </w:tcPr>
          <w:p w14:paraId="32631F74"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XML</w:t>
            </w:r>
          </w:p>
        </w:tc>
        <w:tc>
          <w:tcPr>
            <w:tcW w:w="5950" w:type="dxa"/>
            <w:tcBorders>
              <w:top w:val="single" w:sz="4" w:space="0" w:color="auto"/>
              <w:left w:val="single" w:sz="4" w:space="0" w:color="auto"/>
              <w:bottom w:val="single" w:sz="4" w:space="0" w:color="auto"/>
              <w:right w:val="single" w:sz="4" w:space="0" w:color="auto"/>
            </w:tcBorders>
            <w:vAlign w:val="center"/>
            <w:hideMark/>
          </w:tcPr>
          <w:p w14:paraId="1FBA66C8" w14:textId="77777777" w:rsidR="00B97365" w:rsidRDefault="00000000">
            <w:pPr>
              <w:spacing w:before="40" w:after="40" w:line="276" w:lineRule="auto"/>
              <w:jc w:val="left"/>
              <w:rPr>
                <w:sz w:val="20"/>
                <w:szCs w:val="25"/>
                <w:lang w:eastAsia="de-DE" w:bidi="ar-SA"/>
              </w:rPr>
            </w:pPr>
            <w:r>
              <w:rPr>
                <w:rFonts w:cs="Arial"/>
                <w:sz w:val="20"/>
                <w:szCs w:val="22"/>
                <w:lang w:val="en-US" w:eastAsia="de-DE" w:bidi="ar-SA"/>
              </w:rPr>
              <w:t>Extensible Markup Language (XML) 1.0, W3C Recommendation 10-Feb-98, REC-xml-19980210</w:t>
            </w:r>
          </w:p>
        </w:tc>
      </w:tr>
      <w:tr w:rsidR="00B97365" w14:paraId="01A5B6B1"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2283069" w14:textId="77777777" w:rsidR="00B97365" w:rsidRDefault="00B97365">
            <w:pPr>
              <w:numPr>
                <w:ilvl w:val="0"/>
                <w:numId w:val="37"/>
              </w:numPr>
              <w:spacing w:before="40" w:after="40" w:line="276" w:lineRule="auto"/>
              <w:jc w:val="left"/>
              <w:rPr>
                <w:sz w:val="20"/>
                <w:szCs w:val="22"/>
                <w:lang w:eastAsia="de-DE" w:bidi="ar-SA"/>
              </w:rPr>
            </w:pPr>
            <w:bookmarkStart w:id="174" w:name="_Ref421635129" w:colFirst="0" w:colLast="0"/>
            <w:bookmarkEnd w:id="173"/>
          </w:p>
        </w:tc>
        <w:tc>
          <w:tcPr>
            <w:tcW w:w="2125" w:type="dxa"/>
            <w:tcBorders>
              <w:top w:val="single" w:sz="4" w:space="0" w:color="auto"/>
              <w:left w:val="single" w:sz="4" w:space="0" w:color="auto"/>
              <w:bottom w:val="single" w:sz="4" w:space="0" w:color="auto"/>
              <w:right w:val="single" w:sz="4" w:space="0" w:color="auto"/>
            </w:tcBorders>
            <w:vAlign w:val="center"/>
            <w:hideMark/>
          </w:tcPr>
          <w:p w14:paraId="0AD61B31"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XML Signature</w:t>
            </w:r>
          </w:p>
        </w:tc>
        <w:tc>
          <w:tcPr>
            <w:tcW w:w="5950" w:type="dxa"/>
            <w:tcBorders>
              <w:top w:val="single" w:sz="4" w:space="0" w:color="auto"/>
              <w:left w:val="single" w:sz="4" w:space="0" w:color="auto"/>
              <w:bottom w:val="single" w:sz="4" w:space="0" w:color="auto"/>
              <w:right w:val="single" w:sz="4" w:space="0" w:color="auto"/>
            </w:tcBorders>
            <w:vAlign w:val="center"/>
            <w:hideMark/>
          </w:tcPr>
          <w:p w14:paraId="52DDE1C5" w14:textId="77777777" w:rsidR="00B97365" w:rsidRDefault="00000000">
            <w:pPr>
              <w:spacing w:before="40" w:after="40" w:line="276" w:lineRule="auto"/>
              <w:jc w:val="left"/>
              <w:rPr>
                <w:sz w:val="20"/>
                <w:szCs w:val="25"/>
                <w:lang w:eastAsia="de-DE" w:bidi="ar-SA"/>
              </w:rPr>
            </w:pPr>
            <w:r>
              <w:rPr>
                <w:rFonts w:cs="Arial"/>
                <w:sz w:val="20"/>
                <w:szCs w:val="22"/>
                <w:lang w:val="en-US" w:eastAsia="de-DE" w:bidi="ar-SA"/>
              </w:rPr>
              <w:t>XML Signature Syntax and Processing (Second Edition),W3C Recommendation</w:t>
            </w:r>
            <w:r>
              <w:rPr>
                <w:sz w:val="20"/>
                <w:szCs w:val="22"/>
                <w:lang w:val="en-US" w:eastAsia="de-DE" w:bidi="ar-SA"/>
              </w:rPr>
              <w:t xml:space="preserve"> </w:t>
            </w:r>
          </w:p>
          <w:p w14:paraId="252B1A89" w14:textId="77777777" w:rsidR="00B97365" w:rsidRDefault="00000000">
            <w:pPr>
              <w:spacing w:before="40" w:after="40" w:line="276" w:lineRule="auto"/>
              <w:jc w:val="left"/>
              <w:rPr>
                <w:sz w:val="20"/>
                <w:szCs w:val="25"/>
                <w:lang w:val="en-US" w:eastAsia="de-DE" w:bidi="ar-SA"/>
              </w:rPr>
            </w:pPr>
            <w:hyperlink r:id="rId21" w:history="1">
              <w:r>
                <w:rPr>
                  <w:color w:val="0000FF"/>
                  <w:sz w:val="20"/>
                  <w:szCs w:val="22"/>
                  <w:u w:val="single"/>
                  <w:lang w:val="en-US" w:eastAsia="de-DE" w:bidi="ar-SA"/>
                </w:rPr>
                <w:t>http://www.w3.org/TR/2008/REC-xmldsig-core-20080610/</w:t>
              </w:r>
            </w:hyperlink>
            <w:r>
              <w:rPr>
                <w:sz w:val="20"/>
                <w:szCs w:val="22"/>
                <w:lang w:val="en-US" w:eastAsia="de-DE" w:bidi="ar-SA"/>
              </w:rPr>
              <w:t xml:space="preserve"> </w:t>
            </w:r>
          </w:p>
        </w:tc>
      </w:tr>
      <w:tr w:rsidR="00B97365" w14:paraId="158CE4D7"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D5E4B43" w14:textId="77777777" w:rsidR="00B97365" w:rsidRDefault="00B97365">
            <w:pPr>
              <w:numPr>
                <w:ilvl w:val="0"/>
                <w:numId w:val="37"/>
              </w:numPr>
              <w:spacing w:before="40" w:after="40" w:line="276" w:lineRule="auto"/>
              <w:jc w:val="left"/>
              <w:rPr>
                <w:sz w:val="20"/>
                <w:szCs w:val="22"/>
                <w:lang w:val="en-US" w:eastAsia="de-DE" w:bidi="ar-SA"/>
              </w:rPr>
            </w:pPr>
            <w:bookmarkStart w:id="175" w:name="_Ref421632666" w:colFirst="0" w:colLast="0"/>
            <w:bookmarkEnd w:id="174"/>
          </w:p>
        </w:tc>
        <w:tc>
          <w:tcPr>
            <w:tcW w:w="2125" w:type="dxa"/>
            <w:tcBorders>
              <w:top w:val="single" w:sz="4" w:space="0" w:color="auto"/>
              <w:left w:val="single" w:sz="4" w:space="0" w:color="auto"/>
              <w:bottom w:val="single" w:sz="4" w:space="0" w:color="auto"/>
              <w:right w:val="single" w:sz="4" w:space="0" w:color="auto"/>
            </w:tcBorders>
            <w:vAlign w:val="center"/>
            <w:hideMark/>
          </w:tcPr>
          <w:p w14:paraId="357A3490" w14:textId="77777777" w:rsidR="00B97365" w:rsidRDefault="00000000">
            <w:pPr>
              <w:spacing w:before="40" w:after="40" w:line="276" w:lineRule="auto"/>
              <w:jc w:val="left"/>
              <w:rPr>
                <w:rFonts w:cs="Arial"/>
                <w:sz w:val="20"/>
                <w:szCs w:val="22"/>
                <w:lang w:val="en-US" w:eastAsia="de-DE" w:bidi="ar-SA"/>
              </w:rPr>
            </w:pPr>
            <w:r>
              <w:rPr>
                <w:rFonts w:cs="Arial"/>
                <w:sz w:val="20"/>
                <w:szCs w:val="22"/>
                <w:lang w:val="en-US" w:eastAsia="de-DE" w:bidi="ar-SA"/>
              </w:rPr>
              <w:t>BSI TR-03111</w:t>
            </w:r>
          </w:p>
        </w:tc>
        <w:tc>
          <w:tcPr>
            <w:tcW w:w="5950" w:type="dxa"/>
            <w:tcBorders>
              <w:top w:val="single" w:sz="4" w:space="0" w:color="auto"/>
              <w:left w:val="single" w:sz="4" w:space="0" w:color="auto"/>
              <w:bottom w:val="single" w:sz="4" w:space="0" w:color="auto"/>
              <w:right w:val="single" w:sz="4" w:space="0" w:color="auto"/>
            </w:tcBorders>
            <w:vAlign w:val="center"/>
            <w:hideMark/>
          </w:tcPr>
          <w:p w14:paraId="2C3F5AD8" w14:textId="77777777" w:rsidR="00B97365" w:rsidRDefault="00000000">
            <w:pPr>
              <w:spacing w:before="40" w:after="40" w:line="276" w:lineRule="auto"/>
              <w:jc w:val="left"/>
              <w:rPr>
                <w:rFonts w:cs="Arial"/>
                <w:sz w:val="20"/>
                <w:szCs w:val="22"/>
                <w:lang w:val="en-US" w:eastAsia="de-DE" w:bidi="ar-SA"/>
              </w:rPr>
            </w:pPr>
            <w:r>
              <w:rPr>
                <w:rFonts w:cs="Arial"/>
                <w:sz w:val="20"/>
                <w:szCs w:val="22"/>
                <w:lang w:val="en-US" w:eastAsia="de-DE" w:bidi="ar-SA"/>
              </w:rPr>
              <w:t>BSI Technical Guideline TR-03111: Elliptic Curve Cryptography, Version 2.0</w:t>
            </w:r>
          </w:p>
        </w:tc>
      </w:tr>
      <w:tr w:rsidR="00B97365" w14:paraId="6027F841"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933D3D0" w14:textId="77777777" w:rsidR="00B97365" w:rsidRDefault="00B97365">
            <w:pPr>
              <w:numPr>
                <w:ilvl w:val="0"/>
                <w:numId w:val="37"/>
              </w:numPr>
              <w:spacing w:before="40" w:after="40" w:line="276" w:lineRule="auto"/>
              <w:jc w:val="left"/>
              <w:rPr>
                <w:sz w:val="20"/>
                <w:szCs w:val="22"/>
                <w:lang w:val="en-US" w:eastAsia="de-DE" w:bidi="ar-SA"/>
              </w:rPr>
            </w:pPr>
            <w:bookmarkStart w:id="176" w:name="_Ref421632677" w:colFirst="0" w:colLast="0"/>
            <w:bookmarkEnd w:id="175"/>
          </w:p>
        </w:tc>
        <w:tc>
          <w:tcPr>
            <w:tcW w:w="2125" w:type="dxa"/>
            <w:tcBorders>
              <w:top w:val="single" w:sz="4" w:space="0" w:color="auto"/>
              <w:left w:val="single" w:sz="4" w:space="0" w:color="auto"/>
              <w:bottom w:val="single" w:sz="4" w:space="0" w:color="auto"/>
              <w:right w:val="single" w:sz="4" w:space="0" w:color="auto"/>
            </w:tcBorders>
            <w:vAlign w:val="center"/>
            <w:hideMark/>
          </w:tcPr>
          <w:p w14:paraId="3451A5E2" w14:textId="77777777" w:rsidR="00B97365" w:rsidRDefault="00000000">
            <w:pPr>
              <w:spacing w:before="40" w:after="40" w:line="276" w:lineRule="auto"/>
              <w:jc w:val="left"/>
              <w:rPr>
                <w:sz w:val="20"/>
                <w:szCs w:val="22"/>
                <w:lang w:val="en-US" w:eastAsia="de-DE" w:bidi="ar-SA"/>
              </w:rPr>
            </w:pPr>
            <w:bookmarkStart w:id="177" w:name="_Hlk372271814"/>
            <w:r>
              <w:rPr>
                <w:rFonts w:cs="Arial"/>
                <w:sz w:val="20"/>
                <w:szCs w:val="22"/>
                <w:lang w:val="en-US" w:eastAsia="de-DE" w:bidi="ar-SA"/>
              </w:rPr>
              <w:t>NIST SP 800-56A</w:t>
            </w:r>
            <w:bookmarkEnd w:id="177"/>
          </w:p>
        </w:tc>
        <w:tc>
          <w:tcPr>
            <w:tcW w:w="5950" w:type="dxa"/>
            <w:tcBorders>
              <w:top w:val="single" w:sz="4" w:space="0" w:color="auto"/>
              <w:left w:val="single" w:sz="4" w:space="0" w:color="auto"/>
              <w:bottom w:val="single" w:sz="4" w:space="0" w:color="auto"/>
              <w:right w:val="single" w:sz="4" w:space="0" w:color="auto"/>
            </w:tcBorders>
            <w:vAlign w:val="center"/>
            <w:hideMark/>
          </w:tcPr>
          <w:p w14:paraId="3B55A857" w14:textId="77777777" w:rsidR="00B97365" w:rsidRDefault="00000000">
            <w:pPr>
              <w:spacing w:before="40" w:after="40" w:line="276" w:lineRule="auto"/>
              <w:jc w:val="left"/>
              <w:rPr>
                <w:rFonts w:cs="Arial"/>
                <w:sz w:val="20"/>
                <w:szCs w:val="22"/>
                <w:lang w:val="en-US" w:eastAsia="de-DE" w:bidi="ar-SA"/>
              </w:rPr>
            </w:pPr>
            <w:r>
              <w:rPr>
                <w:rFonts w:cs="Arial"/>
                <w:sz w:val="20"/>
                <w:szCs w:val="22"/>
                <w:lang w:val="en-US" w:eastAsia="de-DE" w:bidi="ar-SA"/>
              </w:rPr>
              <w:t>NIST Special Publication SP 800-56A: Recommendation for Pair-Wise Key Establishment Schemes Using Discrete Logarithm Cryptography (Revision 2), May 2013</w:t>
            </w:r>
          </w:p>
        </w:tc>
      </w:tr>
      <w:tr w:rsidR="00B97365" w14:paraId="755640DD"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86BCFF8" w14:textId="77777777" w:rsidR="00B97365" w:rsidRDefault="00B97365">
            <w:pPr>
              <w:numPr>
                <w:ilvl w:val="0"/>
                <w:numId w:val="37"/>
              </w:numPr>
              <w:spacing w:before="40" w:after="40" w:line="276" w:lineRule="auto"/>
              <w:jc w:val="left"/>
              <w:rPr>
                <w:sz w:val="20"/>
                <w:szCs w:val="22"/>
                <w:lang w:val="en-US" w:eastAsia="de-DE" w:bidi="ar-SA"/>
              </w:rPr>
            </w:pPr>
            <w:bookmarkStart w:id="178" w:name="_Ref421633305" w:colFirst="0" w:colLast="0"/>
            <w:bookmarkEnd w:id="176"/>
          </w:p>
        </w:tc>
        <w:tc>
          <w:tcPr>
            <w:tcW w:w="2125" w:type="dxa"/>
            <w:tcBorders>
              <w:top w:val="single" w:sz="4" w:space="0" w:color="auto"/>
              <w:left w:val="single" w:sz="4" w:space="0" w:color="auto"/>
              <w:bottom w:val="single" w:sz="4" w:space="0" w:color="auto"/>
              <w:right w:val="single" w:sz="4" w:space="0" w:color="auto"/>
            </w:tcBorders>
            <w:vAlign w:val="center"/>
            <w:hideMark/>
          </w:tcPr>
          <w:p w14:paraId="5B164EAF" w14:textId="77777777" w:rsidR="00B97365" w:rsidRDefault="00000000">
            <w:pPr>
              <w:spacing w:before="40" w:after="40" w:line="276" w:lineRule="auto"/>
              <w:jc w:val="left"/>
              <w:rPr>
                <w:rFonts w:cs="Arial"/>
                <w:sz w:val="20"/>
                <w:szCs w:val="22"/>
                <w:lang w:val="en-US" w:eastAsia="de-DE" w:bidi="ar-SA"/>
              </w:rPr>
            </w:pPr>
            <w:r>
              <w:rPr>
                <w:rFonts w:cs="Arial"/>
                <w:sz w:val="20"/>
                <w:szCs w:val="22"/>
                <w:lang w:val="en-US" w:eastAsia="de-DE" w:bidi="ar-SA"/>
              </w:rPr>
              <w:t>ANSSI ECC FRP256V1</w:t>
            </w:r>
          </w:p>
        </w:tc>
        <w:tc>
          <w:tcPr>
            <w:tcW w:w="5950" w:type="dxa"/>
            <w:tcBorders>
              <w:top w:val="single" w:sz="4" w:space="0" w:color="auto"/>
              <w:left w:val="single" w:sz="4" w:space="0" w:color="auto"/>
              <w:bottom w:val="single" w:sz="4" w:space="0" w:color="auto"/>
              <w:right w:val="single" w:sz="4" w:space="0" w:color="auto"/>
            </w:tcBorders>
            <w:vAlign w:val="center"/>
            <w:hideMark/>
          </w:tcPr>
          <w:p w14:paraId="01D57781" w14:textId="77777777" w:rsidR="00B97365" w:rsidRDefault="00000000">
            <w:pPr>
              <w:spacing w:before="40" w:after="40" w:line="276" w:lineRule="auto"/>
              <w:jc w:val="left"/>
              <w:rPr>
                <w:sz w:val="20"/>
                <w:szCs w:val="22"/>
                <w:lang w:val="en-US" w:eastAsia="de-DE" w:bidi="ar-SA"/>
              </w:rPr>
            </w:pPr>
            <w:r>
              <w:rPr>
                <w:rFonts w:cs="Arial"/>
                <w:sz w:val="20"/>
                <w:szCs w:val="22"/>
                <w:lang w:val="fr-FR" w:eastAsia="de-DE" w:bidi="ar-SA"/>
              </w:rPr>
              <w:t xml:space="preserve">Avis relatif aux paramètres de courbes elliptiques définis par l'Etat français. </w:t>
            </w:r>
            <w:r>
              <w:rPr>
                <w:sz w:val="20"/>
                <w:szCs w:val="22"/>
                <w:lang w:val="en-US" w:eastAsia="de-DE" w:bidi="ar-SA"/>
              </w:rPr>
              <w:t>JORF n°0241 du 16 octobre 2011 page 17533. texte n° 30. 2011</w:t>
            </w:r>
          </w:p>
        </w:tc>
      </w:tr>
      <w:tr w:rsidR="00B97365" w14:paraId="42EE82FB"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903568D" w14:textId="77777777" w:rsidR="00B97365" w:rsidRDefault="00B97365">
            <w:pPr>
              <w:numPr>
                <w:ilvl w:val="0"/>
                <w:numId w:val="37"/>
              </w:numPr>
              <w:spacing w:before="40" w:after="40" w:line="276" w:lineRule="auto"/>
              <w:jc w:val="left"/>
              <w:rPr>
                <w:sz w:val="20"/>
                <w:szCs w:val="22"/>
                <w:lang w:val="en-US" w:eastAsia="de-DE" w:bidi="ar-SA"/>
              </w:rPr>
            </w:pPr>
            <w:bookmarkStart w:id="179" w:name="_Ref421632746" w:colFirst="0" w:colLast="0"/>
            <w:bookmarkEnd w:id="178"/>
          </w:p>
        </w:tc>
        <w:tc>
          <w:tcPr>
            <w:tcW w:w="2125" w:type="dxa"/>
            <w:tcBorders>
              <w:top w:val="single" w:sz="4" w:space="0" w:color="auto"/>
              <w:left w:val="single" w:sz="4" w:space="0" w:color="auto"/>
              <w:bottom w:val="single" w:sz="4" w:space="0" w:color="auto"/>
              <w:right w:val="single" w:sz="4" w:space="0" w:color="auto"/>
            </w:tcBorders>
            <w:vAlign w:val="center"/>
            <w:hideMark/>
          </w:tcPr>
          <w:p w14:paraId="601C17CB" w14:textId="77777777" w:rsidR="00B97365" w:rsidRDefault="00000000">
            <w:pPr>
              <w:spacing w:before="40" w:after="40" w:line="276" w:lineRule="auto"/>
              <w:jc w:val="left"/>
              <w:rPr>
                <w:sz w:val="20"/>
                <w:szCs w:val="22"/>
                <w:lang w:val="en-US" w:eastAsia="de-DE" w:bidi="ar-SA"/>
              </w:rPr>
            </w:pPr>
            <w:r>
              <w:rPr>
                <w:rFonts w:cs="Arial"/>
                <w:sz w:val="20"/>
                <w:lang w:eastAsia="de-DE"/>
              </w:rPr>
              <w:t>3GPP TS 31.102</w:t>
            </w:r>
          </w:p>
        </w:tc>
        <w:tc>
          <w:tcPr>
            <w:tcW w:w="5950" w:type="dxa"/>
            <w:tcBorders>
              <w:top w:val="single" w:sz="4" w:space="0" w:color="auto"/>
              <w:left w:val="single" w:sz="4" w:space="0" w:color="auto"/>
              <w:bottom w:val="single" w:sz="4" w:space="0" w:color="auto"/>
              <w:right w:val="single" w:sz="4" w:space="0" w:color="auto"/>
            </w:tcBorders>
            <w:vAlign w:val="center"/>
            <w:hideMark/>
          </w:tcPr>
          <w:p w14:paraId="30C9A5E8" w14:textId="77777777" w:rsidR="00B97365" w:rsidRDefault="00000000">
            <w:pPr>
              <w:spacing w:before="40" w:after="40" w:line="276" w:lineRule="auto"/>
              <w:jc w:val="left"/>
              <w:rPr>
                <w:sz w:val="20"/>
                <w:szCs w:val="22"/>
                <w:lang w:val="en-US" w:eastAsia="de-DE" w:bidi="ar-SA"/>
              </w:rPr>
            </w:pPr>
            <w:r>
              <w:rPr>
                <w:rFonts w:cs="Arial"/>
                <w:sz w:val="20"/>
                <w:lang w:eastAsia="de-DE"/>
              </w:rPr>
              <w:t>Characteristics of the Universal Subscriber Identity Module (USIM) application, Release 9</w:t>
            </w:r>
          </w:p>
        </w:tc>
      </w:tr>
      <w:tr w:rsidR="00B97365" w14:paraId="6A44563A"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323BEE2" w14:textId="77777777" w:rsidR="00B97365" w:rsidRDefault="00B97365">
            <w:pPr>
              <w:numPr>
                <w:ilvl w:val="0"/>
                <w:numId w:val="37"/>
              </w:numPr>
              <w:spacing w:before="40" w:after="40" w:line="276" w:lineRule="auto"/>
              <w:jc w:val="left"/>
              <w:rPr>
                <w:sz w:val="20"/>
                <w:szCs w:val="22"/>
                <w:lang w:eastAsia="de-DE" w:bidi="ar-SA"/>
              </w:rPr>
            </w:pPr>
            <w:bookmarkStart w:id="180" w:name="_Ref36665947"/>
            <w:bookmarkStart w:id="181" w:name="_Ref421634743" w:colFirst="0" w:colLast="0"/>
            <w:bookmarkEnd w:id="179"/>
          </w:p>
        </w:tc>
        <w:bookmarkEnd w:id="180"/>
        <w:tc>
          <w:tcPr>
            <w:tcW w:w="2125" w:type="dxa"/>
            <w:tcBorders>
              <w:top w:val="single" w:sz="4" w:space="0" w:color="auto"/>
              <w:left w:val="single" w:sz="4" w:space="0" w:color="auto"/>
              <w:bottom w:val="single" w:sz="4" w:space="0" w:color="auto"/>
              <w:right w:val="single" w:sz="4" w:space="0" w:color="auto"/>
            </w:tcBorders>
            <w:vAlign w:val="center"/>
            <w:hideMark/>
          </w:tcPr>
          <w:p w14:paraId="1D5ECCEE" w14:textId="77777777" w:rsidR="00B97365" w:rsidRDefault="00000000">
            <w:pPr>
              <w:spacing w:before="40" w:after="40" w:line="276" w:lineRule="auto"/>
              <w:jc w:val="left"/>
              <w:rPr>
                <w:rFonts w:cs="Arial"/>
                <w:sz w:val="20"/>
                <w:lang w:eastAsia="de-DE"/>
              </w:rPr>
            </w:pPr>
            <w:r>
              <w:rPr>
                <w:rFonts w:cs="Arial"/>
                <w:sz w:val="20"/>
                <w:lang w:eastAsia="de-DE"/>
              </w:rPr>
              <w:t>SIMAPP</w:t>
            </w:r>
          </w:p>
        </w:tc>
        <w:tc>
          <w:tcPr>
            <w:tcW w:w="5950" w:type="dxa"/>
            <w:tcBorders>
              <w:top w:val="single" w:sz="4" w:space="0" w:color="auto"/>
              <w:left w:val="single" w:sz="4" w:space="0" w:color="auto"/>
              <w:bottom w:val="single" w:sz="4" w:space="0" w:color="auto"/>
              <w:right w:val="single" w:sz="4" w:space="0" w:color="auto"/>
            </w:tcBorders>
            <w:vAlign w:val="center"/>
            <w:hideMark/>
          </w:tcPr>
          <w:p w14:paraId="58E87E5B" w14:textId="77777777" w:rsidR="00B97365" w:rsidRDefault="00000000">
            <w:pPr>
              <w:spacing w:before="40" w:after="40" w:line="276" w:lineRule="auto"/>
              <w:jc w:val="left"/>
              <w:rPr>
                <w:rFonts w:cs="Arial"/>
                <w:sz w:val="20"/>
                <w:lang w:eastAsia="de-DE"/>
              </w:rPr>
            </w:pPr>
            <w:r>
              <w:rPr>
                <w:rFonts w:cs="Arial"/>
                <w:sz w:val="20"/>
                <w:lang w:eastAsia="de-DE"/>
              </w:rPr>
              <w:t xml:space="preserve">SIMalliance: eUICC Profile Package - Interoperable Format Technical Specification v2.3.1, 28 November 2019, </w:t>
            </w:r>
            <w:hyperlink r:id="rId22" w:history="1">
              <w:r>
                <w:rPr>
                  <w:color w:val="0000FF"/>
                  <w:sz w:val="20"/>
                  <w:u w:val="single"/>
                </w:rPr>
                <w:t>http://simalliance.org/euicc/euicc-technical-releases/</w:t>
              </w:r>
            </w:hyperlink>
          </w:p>
        </w:tc>
      </w:tr>
      <w:tr w:rsidR="00B97365" w14:paraId="66D283AC"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AACE1DC" w14:textId="77777777" w:rsidR="00B97365" w:rsidRDefault="00B97365">
            <w:pPr>
              <w:numPr>
                <w:ilvl w:val="0"/>
                <w:numId w:val="37"/>
              </w:numPr>
              <w:spacing w:before="40" w:after="40" w:line="276" w:lineRule="auto"/>
              <w:jc w:val="left"/>
              <w:rPr>
                <w:sz w:val="20"/>
                <w:szCs w:val="22"/>
                <w:lang w:eastAsia="de-DE" w:bidi="ar-SA"/>
              </w:rPr>
            </w:pPr>
            <w:bookmarkStart w:id="182" w:name="_Ref421633516" w:colFirst="0" w:colLast="0"/>
            <w:bookmarkEnd w:id="181"/>
          </w:p>
        </w:tc>
        <w:tc>
          <w:tcPr>
            <w:tcW w:w="2125" w:type="dxa"/>
            <w:tcBorders>
              <w:top w:val="single" w:sz="4" w:space="0" w:color="auto"/>
              <w:left w:val="single" w:sz="4" w:space="0" w:color="auto"/>
              <w:bottom w:val="single" w:sz="4" w:space="0" w:color="auto"/>
              <w:right w:val="single" w:sz="4" w:space="0" w:color="auto"/>
            </w:tcBorders>
            <w:vAlign w:val="center"/>
            <w:hideMark/>
          </w:tcPr>
          <w:p w14:paraId="35619940" w14:textId="77777777" w:rsidR="00B97365" w:rsidRDefault="00000000">
            <w:pPr>
              <w:spacing w:before="40" w:after="40" w:line="276" w:lineRule="auto"/>
              <w:jc w:val="left"/>
              <w:rPr>
                <w:sz w:val="20"/>
                <w:lang w:eastAsia="de-DE"/>
              </w:rPr>
            </w:pPr>
            <w:r>
              <w:rPr>
                <w:rFonts w:cs="Arial"/>
                <w:sz w:val="20"/>
                <w:szCs w:val="22"/>
                <w:lang w:eastAsia="de-DE" w:bidi="ar-SA"/>
              </w:rPr>
              <w:t>GPC_SPE_007</w:t>
            </w:r>
          </w:p>
        </w:tc>
        <w:tc>
          <w:tcPr>
            <w:tcW w:w="5950" w:type="dxa"/>
            <w:tcBorders>
              <w:top w:val="single" w:sz="4" w:space="0" w:color="auto"/>
              <w:left w:val="single" w:sz="4" w:space="0" w:color="auto"/>
              <w:bottom w:val="single" w:sz="4" w:space="0" w:color="auto"/>
              <w:right w:val="single" w:sz="4" w:space="0" w:color="auto"/>
            </w:tcBorders>
            <w:vAlign w:val="center"/>
            <w:hideMark/>
          </w:tcPr>
          <w:p w14:paraId="7C410E67" w14:textId="77777777" w:rsidR="00B97365" w:rsidRDefault="00000000">
            <w:pPr>
              <w:spacing w:before="40" w:after="40" w:line="276" w:lineRule="auto"/>
              <w:jc w:val="left"/>
              <w:rPr>
                <w:sz w:val="20"/>
                <w:lang w:val="en-US" w:eastAsia="de-DE"/>
              </w:rPr>
            </w:pPr>
            <w:r>
              <w:rPr>
                <w:rFonts w:cs="Arial"/>
                <w:sz w:val="20"/>
                <w:lang w:eastAsia="de-DE"/>
              </w:rPr>
              <w:t>GlobalPlatform Card Specification v.2.2 Amendment A: Confidential Card Content Management v1.0.1</w:t>
            </w:r>
          </w:p>
        </w:tc>
      </w:tr>
      <w:tr w:rsidR="00B97365" w14:paraId="084CCF1E"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351239DF" w14:textId="77777777" w:rsidR="00B97365" w:rsidRDefault="00B97365">
            <w:pPr>
              <w:numPr>
                <w:ilvl w:val="0"/>
                <w:numId w:val="37"/>
              </w:numPr>
              <w:spacing w:before="40" w:after="40" w:line="276" w:lineRule="auto"/>
              <w:jc w:val="left"/>
              <w:rPr>
                <w:sz w:val="20"/>
                <w:szCs w:val="22"/>
                <w:lang w:eastAsia="de-DE" w:bidi="ar-SA"/>
              </w:rPr>
            </w:pPr>
            <w:bookmarkStart w:id="183" w:name="_Ref421632445" w:colFirst="0" w:colLast="0"/>
            <w:bookmarkEnd w:id="182"/>
          </w:p>
        </w:tc>
        <w:tc>
          <w:tcPr>
            <w:tcW w:w="2125" w:type="dxa"/>
            <w:tcBorders>
              <w:top w:val="single" w:sz="4" w:space="0" w:color="auto"/>
              <w:left w:val="single" w:sz="4" w:space="0" w:color="auto"/>
              <w:bottom w:val="single" w:sz="4" w:space="0" w:color="auto"/>
              <w:right w:val="single" w:sz="4" w:space="0" w:color="auto"/>
            </w:tcBorders>
            <w:vAlign w:val="center"/>
            <w:hideMark/>
          </w:tcPr>
          <w:p w14:paraId="1742F86E" w14:textId="77777777" w:rsidR="00B97365" w:rsidRDefault="00000000">
            <w:pPr>
              <w:spacing w:before="40" w:after="40" w:line="276" w:lineRule="auto"/>
              <w:jc w:val="left"/>
              <w:rPr>
                <w:sz w:val="20"/>
                <w:lang w:eastAsia="de-DE"/>
              </w:rPr>
            </w:pPr>
            <w:r>
              <w:rPr>
                <w:rFonts w:cs="Arial"/>
                <w:sz w:val="20"/>
                <w:szCs w:val="22"/>
                <w:lang w:val="en-US" w:eastAsia="de-DE" w:bidi="ar-SA"/>
              </w:rPr>
              <w:t>NIST SP 800-56C</w:t>
            </w:r>
          </w:p>
        </w:tc>
        <w:tc>
          <w:tcPr>
            <w:tcW w:w="5950" w:type="dxa"/>
            <w:tcBorders>
              <w:top w:val="single" w:sz="4" w:space="0" w:color="auto"/>
              <w:left w:val="single" w:sz="4" w:space="0" w:color="auto"/>
              <w:bottom w:val="single" w:sz="4" w:space="0" w:color="auto"/>
              <w:right w:val="single" w:sz="4" w:space="0" w:color="auto"/>
            </w:tcBorders>
            <w:vAlign w:val="center"/>
            <w:hideMark/>
          </w:tcPr>
          <w:p w14:paraId="7F415452" w14:textId="77777777" w:rsidR="00B97365" w:rsidRDefault="00000000">
            <w:pPr>
              <w:spacing w:before="40" w:after="40" w:line="276" w:lineRule="auto"/>
              <w:jc w:val="left"/>
              <w:rPr>
                <w:sz w:val="20"/>
                <w:lang w:eastAsia="de-DE"/>
              </w:rPr>
            </w:pPr>
            <w:r>
              <w:rPr>
                <w:rFonts w:cs="Arial"/>
                <w:sz w:val="20"/>
                <w:szCs w:val="22"/>
                <w:lang w:val="en-US" w:eastAsia="de-DE" w:bidi="ar-SA"/>
              </w:rPr>
              <w:t>NIST Special Publication 800-56C Recommendation for Key Derivation through Extraction-then-Expansion</w:t>
            </w:r>
          </w:p>
        </w:tc>
      </w:tr>
      <w:tr w:rsidR="00B97365" w:rsidRPr="003C254C" w14:paraId="46AEEC01"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5B27929" w14:textId="77777777" w:rsidR="00B97365" w:rsidRDefault="00B97365">
            <w:pPr>
              <w:numPr>
                <w:ilvl w:val="0"/>
                <w:numId w:val="37"/>
              </w:numPr>
              <w:spacing w:before="40" w:after="40" w:line="276" w:lineRule="auto"/>
              <w:jc w:val="left"/>
              <w:rPr>
                <w:sz w:val="20"/>
                <w:lang w:eastAsia="de-DE" w:bidi="ar-SA"/>
              </w:rPr>
            </w:pPr>
            <w:bookmarkStart w:id="184" w:name="_Ref481749928"/>
          </w:p>
        </w:tc>
        <w:bookmarkEnd w:id="184"/>
        <w:tc>
          <w:tcPr>
            <w:tcW w:w="2125" w:type="dxa"/>
            <w:tcBorders>
              <w:top w:val="single" w:sz="4" w:space="0" w:color="auto"/>
              <w:left w:val="single" w:sz="4" w:space="0" w:color="auto"/>
              <w:bottom w:val="single" w:sz="4" w:space="0" w:color="auto"/>
              <w:right w:val="single" w:sz="4" w:space="0" w:color="auto"/>
            </w:tcBorders>
          </w:tcPr>
          <w:p w14:paraId="2ADEC368" w14:textId="77777777" w:rsidR="00B97365" w:rsidRDefault="00000000">
            <w:pPr>
              <w:spacing w:before="40" w:after="40" w:line="276" w:lineRule="auto"/>
              <w:jc w:val="left"/>
              <w:rPr>
                <w:rFonts w:cs="Arial"/>
                <w:sz w:val="20"/>
                <w:lang w:val="en-US" w:eastAsia="de-DE" w:bidi="ar-SA"/>
              </w:rPr>
            </w:pPr>
            <w:r>
              <w:rPr>
                <w:sz w:val="20"/>
              </w:rPr>
              <w:t>SGP.14</w:t>
            </w:r>
          </w:p>
        </w:tc>
        <w:tc>
          <w:tcPr>
            <w:tcW w:w="5950" w:type="dxa"/>
            <w:tcBorders>
              <w:top w:val="single" w:sz="4" w:space="0" w:color="auto"/>
              <w:left w:val="single" w:sz="4" w:space="0" w:color="auto"/>
              <w:bottom w:val="single" w:sz="4" w:space="0" w:color="auto"/>
              <w:right w:val="single" w:sz="4" w:space="0" w:color="auto"/>
            </w:tcBorders>
          </w:tcPr>
          <w:p w14:paraId="3EFB3862" w14:textId="77777777" w:rsidR="00B97365" w:rsidRPr="003C254C" w:rsidRDefault="00000000">
            <w:pPr>
              <w:spacing w:before="40" w:after="40" w:line="276" w:lineRule="auto"/>
              <w:jc w:val="left"/>
              <w:rPr>
                <w:rFonts w:cs="Arial"/>
                <w:sz w:val="20"/>
                <w:lang w:val="it-IT" w:eastAsia="de-DE" w:bidi="ar-SA"/>
              </w:rPr>
            </w:pPr>
            <w:r w:rsidRPr="003C254C">
              <w:rPr>
                <w:sz w:val="20"/>
                <w:lang w:val="it-IT"/>
              </w:rPr>
              <w:t>GSMA eUICC PKI Certificate Policy v1.1</w:t>
            </w:r>
          </w:p>
        </w:tc>
      </w:tr>
      <w:tr w:rsidR="00B97365" w14:paraId="570571FB"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3FA0CB7D" w14:textId="77777777" w:rsidR="00B97365" w:rsidRPr="003C254C" w:rsidRDefault="00B97365">
            <w:pPr>
              <w:numPr>
                <w:ilvl w:val="0"/>
                <w:numId w:val="37"/>
              </w:numPr>
              <w:spacing w:before="40" w:after="40" w:line="276" w:lineRule="auto"/>
              <w:jc w:val="left"/>
              <w:rPr>
                <w:sz w:val="20"/>
                <w:lang w:val="it-IT" w:eastAsia="de-DE" w:bidi="ar-SA"/>
              </w:rPr>
            </w:pPr>
          </w:p>
        </w:tc>
        <w:tc>
          <w:tcPr>
            <w:tcW w:w="2125" w:type="dxa"/>
            <w:tcBorders>
              <w:top w:val="single" w:sz="4" w:space="0" w:color="auto"/>
              <w:left w:val="single" w:sz="4" w:space="0" w:color="auto"/>
              <w:bottom w:val="single" w:sz="4" w:space="0" w:color="auto"/>
              <w:right w:val="single" w:sz="4" w:space="0" w:color="auto"/>
            </w:tcBorders>
          </w:tcPr>
          <w:p w14:paraId="16AB4E2F" w14:textId="77777777" w:rsidR="00B97365" w:rsidRDefault="00000000">
            <w:pPr>
              <w:spacing w:before="40" w:after="40" w:line="276" w:lineRule="auto"/>
              <w:jc w:val="left"/>
              <w:rPr>
                <w:rFonts w:cs="Arial"/>
                <w:sz w:val="20"/>
                <w:lang w:val="en-US" w:eastAsia="de-DE" w:bidi="ar-SA"/>
              </w:rPr>
            </w:pPr>
            <w:r>
              <w:rPr>
                <w:sz w:val="20"/>
              </w:rPr>
              <w:t>RFC 5280</w:t>
            </w:r>
          </w:p>
        </w:tc>
        <w:tc>
          <w:tcPr>
            <w:tcW w:w="5950" w:type="dxa"/>
            <w:tcBorders>
              <w:top w:val="single" w:sz="4" w:space="0" w:color="auto"/>
              <w:left w:val="single" w:sz="4" w:space="0" w:color="auto"/>
              <w:bottom w:val="single" w:sz="4" w:space="0" w:color="auto"/>
              <w:right w:val="single" w:sz="4" w:space="0" w:color="auto"/>
            </w:tcBorders>
          </w:tcPr>
          <w:p w14:paraId="44E31766" w14:textId="77777777" w:rsidR="00B97365" w:rsidRDefault="00000000">
            <w:pPr>
              <w:spacing w:before="40" w:after="40" w:line="276" w:lineRule="auto"/>
              <w:jc w:val="left"/>
              <w:rPr>
                <w:rFonts w:cs="Arial"/>
                <w:sz w:val="20"/>
                <w:lang w:val="en-US" w:eastAsia="de-DE" w:bidi="ar-SA"/>
              </w:rPr>
            </w:pPr>
            <w:r>
              <w:rPr>
                <w:sz w:val="20"/>
              </w:rPr>
              <w:t>Internet X.509 PKI Certificate and CRL Profile</w:t>
            </w:r>
          </w:p>
        </w:tc>
      </w:tr>
      <w:tr w:rsidR="00B97365" w14:paraId="6AB175FB"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6F2806E" w14:textId="77777777" w:rsidR="00B97365" w:rsidRDefault="00B97365">
            <w:pPr>
              <w:numPr>
                <w:ilvl w:val="0"/>
                <w:numId w:val="37"/>
              </w:numPr>
              <w:spacing w:before="40" w:after="40" w:line="276" w:lineRule="auto"/>
              <w:jc w:val="left"/>
              <w:rPr>
                <w:sz w:val="20"/>
                <w:lang w:eastAsia="de-DE" w:bidi="ar-SA"/>
              </w:rPr>
            </w:pPr>
          </w:p>
        </w:tc>
        <w:tc>
          <w:tcPr>
            <w:tcW w:w="2125" w:type="dxa"/>
            <w:tcBorders>
              <w:top w:val="single" w:sz="4" w:space="0" w:color="auto"/>
              <w:left w:val="single" w:sz="4" w:space="0" w:color="auto"/>
              <w:bottom w:val="single" w:sz="4" w:space="0" w:color="auto"/>
              <w:right w:val="single" w:sz="4" w:space="0" w:color="auto"/>
            </w:tcBorders>
            <w:vAlign w:val="center"/>
          </w:tcPr>
          <w:p w14:paraId="2035B210" w14:textId="77777777" w:rsidR="00B97365" w:rsidRDefault="00000000">
            <w:pPr>
              <w:spacing w:before="40" w:after="40" w:line="276" w:lineRule="auto"/>
              <w:jc w:val="left"/>
              <w:rPr>
                <w:sz w:val="20"/>
              </w:rPr>
            </w:pPr>
            <w:r>
              <w:rPr>
                <w:sz w:val="20"/>
                <w:lang w:eastAsia="de-DE" w:bidi="ar-SA"/>
              </w:rPr>
              <w:t>RFC 1035</w:t>
            </w:r>
          </w:p>
        </w:tc>
        <w:tc>
          <w:tcPr>
            <w:tcW w:w="5950" w:type="dxa"/>
            <w:tcBorders>
              <w:top w:val="single" w:sz="4" w:space="0" w:color="auto"/>
              <w:left w:val="single" w:sz="4" w:space="0" w:color="auto"/>
              <w:bottom w:val="single" w:sz="4" w:space="0" w:color="auto"/>
              <w:right w:val="single" w:sz="4" w:space="0" w:color="auto"/>
            </w:tcBorders>
            <w:vAlign w:val="center"/>
          </w:tcPr>
          <w:p w14:paraId="46FCC8D5" w14:textId="77777777" w:rsidR="00B97365" w:rsidRDefault="00000000">
            <w:pPr>
              <w:spacing w:before="40" w:after="40" w:line="276" w:lineRule="auto"/>
              <w:jc w:val="left"/>
              <w:rPr>
                <w:sz w:val="20"/>
              </w:rPr>
            </w:pPr>
            <w:r>
              <w:rPr>
                <w:sz w:val="20"/>
                <w:lang w:eastAsia="de-DE" w:bidi="ar-SA"/>
              </w:rPr>
              <w:t>DOMAIN NAMES - IMPLEMENTATION AND SPECIFICATION</w:t>
            </w:r>
          </w:p>
        </w:tc>
      </w:tr>
      <w:tr w:rsidR="00B97365" w14:paraId="28A26F97"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35081FE3" w14:textId="77777777" w:rsidR="00B97365" w:rsidRDefault="00B97365">
            <w:pPr>
              <w:numPr>
                <w:ilvl w:val="0"/>
                <w:numId w:val="37"/>
              </w:numPr>
              <w:spacing w:before="40" w:after="40" w:line="276" w:lineRule="auto"/>
              <w:jc w:val="left"/>
              <w:rPr>
                <w:sz w:val="20"/>
                <w:lang w:eastAsia="de-DE" w:bidi="ar-SA"/>
              </w:rPr>
            </w:pPr>
          </w:p>
        </w:tc>
        <w:tc>
          <w:tcPr>
            <w:tcW w:w="2125" w:type="dxa"/>
            <w:tcBorders>
              <w:top w:val="single" w:sz="4" w:space="0" w:color="auto"/>
              <w:left w:val="single" w:sz="4" w:space="0" w:color="auto"/>
              <w:bottom w:val="single" w:sz="4" w:space="0" w:color="auto"/>
              <w:right w:val="single" w:sz="4" w:space="0" w:color="auto"/>
            </w:tcBorders>
            <w:vAlign w:val="center"/>
          </w:tcPr>
          <w:p w14:paraId="13BC0B0E" w14:textId="77777777" w:rsidR="00B97365" w:rsidRDefault="00000000">
            <w:pPr>
              <w:spacing w:before="40" w:after="40" w:line="276" w:lineRule="auto"/>
              <w:jc w:val="left"/>
              <w:rPr>
                <w:sz w:val="20"/>
              </w:rPr>
            </w:pPr>
            <w:r>
              <w:rPr>
                <w:sz w:val="20"/>
                <w:lang w:eastAsia="de-DE" w:bidi="ar-SA"/>
              </w:rPr>
              <w:t>RFC 3596</w:t>
            </w:r>
          </w:p>
        </w:tc>
        <w:tc>
          <w:tcPr>
            <w:tcW w:w="5950" w:type="dxa"/>
            <w:tcBorders>
              <w:top w:val="single" w:sz="4" w:space="0" w:color="auto"/>
              <w:left w:val="single" w:sz="4" w:space="0" w:color="auto"/>
              <w:bottom w:val="single" w:sz="4" w:space="0" w:color="auto"/>
              <w:right w:val="single" w:sz="4" w:space="0" w:color="auto"/>
            </w:tcBorders>
            <w:vAlign w:val="center"/>
          </w:tcPr>
          <w:p w14:paraId="3000C56B" w14:textId="77777777" w:rsidR="00B97365" w:rsidRDefault="00000000">
            <w:pPr>
              <w:spacing w:before="40" w:after="40" w:line="276" w:lineRule="auto"/>
              <w:jc w:val="left"/>
              <w:rPr>
                <w:sz w:val="20"/>
              </w:rPr>
            </w:pPr>
            <w:r>
              <w:rPr>
                <w:sz w:val="20"/>
                <w:lang w:eastAsia="de-DE" w:bidi="ar-SA"/>
              </w:rPr>
              <w:t>DNS Extensions to Support IP Version 6</w:t>
            </w:r>
          </w:p>
        </w:tc>
      </w:tr>
      <w:tr w:rsidR="00B97365" w14:paraId="7303306C"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A9FC5E6" w14:textId="77777777" w:rsidR="00B97365" w:rsidRDefault="00B97365">
            <w:pPr>
              <w:numPr>
                <w:ilvl w:val="0"/>
                <w:numId w:val="37"/>
              </w:numPr>
              <w:spacing w:before="40" w:after="40" w:line="276" w:lineRule="auto"/>
              <w:jc w:val="left"/>
              <w:rPr>
                <w:sz w:val="20"/>
                <w:lang w:eastAsia="de-DE" w:bidi="ar-SA"/>
              </w:rPr>
            </w:pPr>
          </w:p>
        </w:tc>
        <w:tc>
          <w:tcPr>
            <w:tcW w:w="2125" w:type="dxa"/>
            <w:tcBorders>
              <w:top w:val="single" w:sz="4" w:space="0" w:color="auto"/>
              <w:left w:val="single" w:sz="4" w:space="0" w:color="auto"/>
              <w:bottom w:val="single" w:sz="4" w:space="0" w:color="auto"/>
              <w:right w:val="single" w:sz="4" w:space="0" w:color="auto"/>
            </w:tcBorders>
            <w:vAlign w:val="center"/>
          </w:tcPr>
          <w:p w14:paraId="5E7804C9" w14:textId="77777777" w:rsidR="00B97365" w:rsidRDefault="00000000">
            <w:pPr>
              <w:spacing w:before="40" w:after="40" w:line="276" w:lineRule="auto"/>
              <w:jc w:val="left"/>
              <w:rPr>
                <w:sz w:val="20"/>
                <w:lang w:eastAsia="de-DE" w:bidi="ar-SA"/>
              </w:rPr>
            </w:pPr>
            <w:r>
              <w:rPr>
                <w:szCs w:val="25"/>
                <w:lang w:val="en-US"/>
              </w:rPr>
              <w:t>RFC 2119</w:t>
            </w:r>
          </w:p>
        </w:tc>
        <w:tc>
          <w:tcPr>
            <w:tcW w:w="5950" w:type="dxa"/>
            <w:tcBorders>
              <w:top w:val="single" w:sz="4" w:space="0" w:color="auto"/>
              <w:left w:val="single" w:sz="4" w:space="0" w:color="auto"/>
              <w:bottom w:val="single" w:sz="4" w:space="0" w:color="auto"/>
              <w:right w:val="single" w:sz="4" w:space="0" w:color="auto"/>
            </w:tcBorders>
            <w:vAlign w:val="center"/>
          </w:tcPr>
          <w:p w14:paraId="3D5C7327" w14:textId="77777777" w:rsidR="00B97365" w:rsidRDefault="00000000">
            <w:pPr>
              <w:spacing w:before="40" w:after="40" w:line="276" w:lineRule="auto"/>
              <w:jc w:val="left"/>
              <w:rPr>
                <w:sz w:val="20"/>
                <w:szCs w:val="25"/>
                <w:lang w:val="en-US" w:eastAsia="de-DE" w:bidi="ar-SA"/>
              </w:rPr>
            </w:pPr>
            <w:r>
              <w:rPr>
                <w:sz w:val="20"/>
                <w:szCs w:val="25"/>
                <w:lang w:val="en-US" w:eastAsia="de-DE" w:bidi="ar-SA"/>
              </w:rPr>
              <w:t>Key words for use in RFCs to Indicate Requirement Levels, S. Bradner</w:t>
            </w:r>
          </w:p>
          <w:p w14:paraId="1EBA7ABC" w14:textId="77777777" w:rsidR="00B97365" w:rsidRDefault="00000000">
            <w:pPr>
              <w:spacing w:before="40" w:after="40" w:line="276" w:lineRule="auto"/>
              <w:jc w:val="left"/>
              <w:rPr>
                <w:sz w:val="20"/>
                <w:lang w:eastAsia="de-DE" w:bidi="ar-SA"/>
              </w:rPr>
            </w:pPr>
            <w:hyperlink r:id="rId23" w:history="1">
              <w:r>
                <w:rPr>
                  <w:color w:val="0000FF"/>
                  <w:szCs w:val="25"/>
                  <w:u w:val="single"/>
                  <w:lang w:val="en-US"/>
                </w:rPr>
                <w:t>http://www.ietf.org/rfc/rfc2119.txt</w:t>
              </w:r>
            </w:hyperlink>
          </w:p>
        </w:tc>
      </w:tr>
      <w:tr w:rsidR="00B97365" w14:paraId="036776B5"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C658CEE" w14:textId="77777777" w:rsidR="00B97365" w:rsidRDefault="00B97365">
            <w:pPr>
              <w:numPr>
                <w:ilvl w:val="0"/>
                <w:numId w:val="37"/>
              </w:numPr>
              <w:spacing w:before="40" w:after="40" w:line="276" w:lineRule="auto"/>
              <w:jc w:val="left"/>
              <w:rPr>
                <w:sz w:val="20"/>
                <w:lang w:eastAsia="de-DE" w:bidi="ar-SA"/>
              </w:rPr>
            </w:pPr>
          </w:p>
        </w:tc>
        <w:tc>
          <w:tcPr>
            <w:tcW w:w="2125" w:type="dxa"/>
            <w:tcBorders>
              <w:top w:val="single" w:sz="4" w:space="0" w:color="auto"/>
              <w:left w:val="single" w:sz="4" w:space="0" w:color="auto"/>
              <w:bottom w:val="single" w:sz="4" w:space="0" w:color="auto"/>
              <w:right w:val="single" w:sz="4" w:space="0" w:color="auto"/>
            </w:tcBorders>
            <w:vAlign w:val="center"/>
          </w:tcPr>
          <w:p w14:paraId="3EDC5D4E" w14:textId="77777777" w:rsidR="00B97365" w:rsidRDefault="00000000">
            <w:pPr>
              <w:spacing w:before="40" w:after="40" w:line="276" w:lineRule="auto"/>
              <w:jc w:val="left"/>
              <w:rPr>
                <w:szCs w:val="25"/>
                <w:lang w:val="en-US"/>
              </w:rPr>
            </w:pPr>
            <w:r>
              <w:rPr>
                <w:sz w:val="20"/>
                <w:szCs w:val="25"/>
                <w:lang w:eastAsia="de-DE" w:bidi="ar-SA"/>
              </w:rPr>
              <w:t>FS.04</w:t>
            </w:r>
          </w:p>
        </w:tc>
        <w:tc>
          <w:tcPr>
            <w:tcW w:w="5950" w:type="dxa"/>
            <w:tcBorders>
              <w:top w:val="single" w:sz="4" w:space="0" w:color="auto"/>
              <w:left w:val="single" w:sz="4" w:space="0" w:color="auto"/>
              <w:bottom w:val="single" w:sz="4" w:space="0" w:color="auto"/>
              <w:right w:val="single" w:sz="4" w:space="0" w:color="auto"/>
            </w:tcBorders>
            <w:vAlign w:val="center"/>
          </w:tcPr>
          <w:p w14:paraId="26F440D2" w14:textId="77777777" w:rsidR="00B97365" w:rsidRDefault="00000000">
            <w:pPr>
              <w:spacing w:before="40" w:after="40" w:line="276" w:lineRule="auto"/>
              <w:jc w:val="left"/>
              <w:rPr>
                <w:sz w:val="20"/>
                <w:szCs w:val="25"/>
                <w:lang w:val="en-US" w:eastAsia="de-DE" w:bidi="ar-SA"/>
              </w:rPr>
            </w:pPr>
            <w:r>
              <w:rPr>
                <w:sz w:val="20"/>
                <w:szCs w:val="22"/>
                <w:lang w:eastAsia="de-DE" w:bidi="ar-SA"/>
              </w:rPr>
              <w:t>FS.04 - Security Accreditation Scheme for UICC Production – Standard v8</w:t>
            </w:r>
          </w:p>
        </w:tc>
      </w:tr>
      <w:tr w:rsidR="00B97365" w14:paraId="0659F9BE"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3341BCFF" w14:textId="77777777" w:rsidR="00B97365" w:rsidRDefault="00B97365">
            <w:pPr>
              <w:numPr>
                <w:ilvl w:val="0"/>
                <w:numId w:val="37"/>
              </w:numPr>
              <w:spacing w:before="40" w:after="40" w:line="276" w:lineRule="auto"/>
              <w:jc w:val="left"/>
              <w:rPr>
                <w:sz w:val="20"/>
                <w:lang w:eastAsia="de-DE" w:bidi="ar-SA"/>
              </w:rPr>
            </w:pPr>
          </w:p>
        </w:tc>
        <w:tc>
          <w:tcPr>
            <w:tcW w:w="2125" w:type="dxa"/>
            <w:tcBorders>
              <w:top w:val="single" w:sz="4" w:space="0" w:color="auto"/>
              <w:left w:val="single" w:sz="4" w:space="0" w:color="auto"/>
              <w:bottom w:val="single" w:sz="4" w:space="0" w:color="auto"/>
              <w:right w:val="single" w:sz="4" w:space="0" w:color="auto"/>
            </w:tcBorders>
            <w:vAlign w:val="center"/>
          </w:tcPr>
          <w:p w14:paraId="7BFC41CC" w14:textId="77777777" w:rsidR="00B97365" w:rsidRDefault="00000000">
            <w:pPr>
              <w:spacing w:before="40" w:after="40" w:line="276" w:lineRule="auto"/>
              <w:jc w:val="left"/>
              <w:rPr>
                <w:szCs w:val="25"/>
                <w:lang w:val="en-US"/>
              </w:rPr>
            </w:pPr>
            <w:r>
              <w:rPr>
                <w:rFonts w:cs="Arial"/>
                <w:lang w:eastAsia="en-GB"/>
              </w:rPr>
              <w:t>FS.08</w:t>
            </w:r>
          </w:p>
        </w:tc>
        <w:tc>
          <w:tcPr>
            <w:tcW w:w="5950" w:type="dxa"/>
            <w:tcBorders>
              <w:top w:val="single" w:sz="4" w:space="0" w:color="auto"/>
              <w:left w:val="single" w:sz="4" w:space="0" w:color="auto"/>
              <w:bottom w:val="single" w:sz="4" w:space="0" w:color="auto"/>
              <w:right w:val="single" w:sz="4" w:space="0" w:color="auto"/>
            </w:tcBorders>
            <w:vAlign w:val="center"/>
          </w:tcPr>
          <w:p w14:paraId="17753409" w14:textId="77777777" w:rsidR="00B97365" w:rsidRDefault="00000000">
            <w:pPr>
              <w:spacing w:before="40" w:after="40" w:line="276" w:lineRule="auto"/>
              <w:jc w:val="left"/>
              <w:rPr>
                <w:sz w:val="20"/>
                <w:szCs w:val="25"/>
                <w:lang w:val="en-US" w:eastAsia="de-DE" w:bidi="ar-SA"/>
              </w:rPr>
            </w:pPr>
            <w:r>
              <w:rPr>
                <w:rFonts w:cs="Arial"/>
                <w:sz w:val="20"/>
                <w:szCs w:val="22"/>
                <w:lang w:val="en-US" w:eastAsia="en-GB" w:bidi="ar-SA"/>
              </w:rPr>
              <w:t>FS.08 – Security Accreditation Scheme for Subscription Manager - Standard v3</w:t>
            </w:r>
          </w:p>
        </w:tc>
      </w:tr>
      <w:tr w:rsidR="00B97365" w14:paraId="7A63A7E8"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4CE918A" w14:textId="77777777" w:rsidR="00B97365" w:rsidRDefault="00B97365">
            <w:pPr>
              <w:numPr>
                <w:ilvl w:val="0"/>
                <w:numId w:val="37"/>
              </w:numPr>
              <w:spacing w:before="40" w:after="40" w:line="276" w:lineRule="auto"/>
              <w:jc w:val="left"/>
              <w:rPr>
                <w:sz w:val="20"/>
                <w:lang w:eastAsia="de-DE" w:bidi="ar-SA"/>
              </w:rPr>
            </w:pPr>
          </w:p>
        </w:tc>
        <w:tc>
          <w:tcPr>
            <w:tcW w:w="2125" w:type="dxa"/>
            <w:tcBorders>
              <w:top w:val="single" w:sz="4" w:space="0" w:color="auto"/>
              <w:left w:val="single" w:sz="4" w:space="0" w:color="auto"/>
              <w:bottom w:val="single" w:sz="4" w:space="0" w:color="auto"/>
              <w:right w:val="single" w:sz="4" w:space="0" w:color="auto"/>
            </w:tcBorders>
            <w:vAlign w:val="center"/>
          </w:tcPr>
          <w:p w14:paraId="43B238B8" w14:textId="77777777" w:rsidR="00B97365" w:rsidRDefault="00000000">
            <w:pPr>
              <w:spacing w:before="40" w:after="40" w:line="276" w:lineRule="auto"/>
              <w:jc w:val="left"/>
              <w:rPr>
                <w:szCs w:val="25"/>
                <w:lang w:val="en-US"/>
              </w:rPr>
            </w:pPr>
            <w:r>
              <w:rPr>
                <w:rFonts w:cs="Arial"/>
                <w:lang w:eastAsia="en-GB"/>
              </w:rPr>
              <w:t>SGP.05</w:t>
            </w:r>
          </w:p>
        </w:tc>
        <w:tc>
          <w:tcPr>
            <w:tcW w:w="5950" w:type="dxa"/>
            <w:tcBorders>
              <w:top w:val="single" w:sz="4" w:space="0" w:color="auto"/>
              <w:left w:val="single" w:sz="4" w:space="0" w:color="auto"/>
              <w:bottom w:val="single" w:sz="4" w:space="0" w:color="auto"/>
              <w:right w:val="single" w:sz="4" w:space="0" w:color="auto"/>
            </w:tcBorders>
            <w:vAlign w:val="center"/>
          </w:tcPr>
          <w:p w14:paraId="2736BFAA" w14:textId="77777777" w:rsidR="00B97365" w:rsidRDefault="00000000">
            <w:pPr>
              <w:spacing w:before="40" w:after="40" w:line="276" w:lineRule="auto"/>
              <w:jc w:val="left"/>
              <w:rPr>
                <w:sz w:val="20"/>
                <w:szCs w:val="25"/>
                <w:lang w:val="en-US" w:eastAsia="de-DE" w:bidi="ar-SA"/>
              </w:rPr>
            </w:pPr>
            <w:r>
              <w:rPr>
                <w:rFonts w:cs="Arial"/>
                <w:sz w:val="20"/>
                <w:szCs w:val="22"/>
                <w:lang w:val="en-US" w:eastAsia="en-GB" w:bidi="ar-SA"/>
              </w:rPr>
              <w:t xml:space="preserve">SGP.05 - Embedded UICC Protection Profile v1.1 </w:t>
            </w:r>
          </w:p>
        </w:tc>
      </w:tr>
      <w:tr w:rsidR="00B97365" w14:paraId="6B3BE010"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C2D769A" w14:textId="77777777" w:rsidR="00B97365" w:rsidRDefault="00B97365">
            <w:pPr>
              <w:numPr>
                <w:ilvl w:val="0"/>
                <w:numId w:val="37"/>
              </w:numPr>
              <w:spacing w:before="40" w:after="40" w:line="276" w:lineRule="auto"/>
              <w:jc w:val="left"/>
              <w:rPr>
                <w:sz w:val="20"/>
                <w:lang w:eastAsia="de-DE" w:bidi="ar-SA"/>
              </w:rPr>
            </w:pPr>
            <w:bookmarkStart w:id="185" w:name="_Ref520306983"/>
          </w:p>
        </w:tc>
        <w:bookmarkEnd w:id="185"/>
        <w:tc>
          <w:tcPr>
            <w:tcW w:w="2125" w:type="dxa"/>
            <w:tcBorders>
              <w:top w:val="single" w:sz="4" w:space="0" w:color="auto"/>
              <w:left w:val="single" w:sz="4" w:space="0" w:color="auto"/>
              <w:bottom w:val="single" w:sz="4" w:space="0" w:color="auto"/>
              <w:right w:val="single" w:sz="4" w:space="0" w:color="auto"/>
            </w:tcBorders>
            <w:vAlign w:val="center"/>
          </w:tcPr>
          <w:p w14:paraId="572BCD95" w14:textId="77777777" w:rsidR="00B97365" w:rsidRDefault="00000000">
            <w:pPr>
              <w:spacing w:before="40" w:after="40" w:line="276" w:lineRule="auto"/>
              <w:jc w:val="left"/>
              <w:rPr>
                <w:rFonts w:cs="Arial"/>
                <w:lang w:eastAsia="en-GB"/>
              </w:rPr>
            </w:pPr>
            <w:r>
              <w:rPr>
                <w:rFonts w:cs="Arial"/>
                <w:lang w:eastAsia="en-GB"/>
              </w:rPr>
              <w:t>SGP.16</w:t>
            </w:r>
          </w:p>
        </w:tc>
        <w:tc>
          <w:tcPr>
            <w:tcW w:w="5950" w:type="dxa"/>
            <w:tcBorders>
              <w:top w:val="single" w:sz="4" w:space="0" w:color="auto"/>
              <w:left w:val="single" w:sz="4" w:space="0" w:color="auto"/>
              <w:bottom w:val="single" w:sz="4" w:space="0" w:color="auto"/>
              <w:right w:val="single" w:sz="4" w:space="0" w:color="auto"/>
            </w:tcBorders>
            <w:vAlign w:val="center"/>
          </w:tcPr>
          <w:p w14:paraId="467AAC96" w14:textId="77777777" w:rsidR="00B97365" w:rsidRDefault="00000000">
            <w:pPr>
              <w:spacing w:before="40" w:after="40" w:line="276" w:lineRule="auto"/>
              <w:jc w:val="left"/>
              <w:rPr>
                <w:rFonts w:cs="Arial"/>
                <w:sz w:val="20"/>
                <w:szCs w:val="22"/>
                <w:lang w:val="en-US" w:eastAsia="en-GB" w:bidi="ar-SA"/>
              </w:rPr>
            </w:pPr>
            <w:r>
              <w:rPr>
                <w:rFonts w:cs="Arial"/>
                <w:sz w:val="20"/>
                <w:szCs w:val="22"/>
                <w:lang w:val="en-US" w:eastAsia="en-GB" w:bidi="ar-SA"/>
              </w:rPr>
              <w:t>M2M Compliance Process v1.0</w:t>
            </w:r>
          </w:p>
        </w:tc>
      </w:tr>
      <w:tr w:rsidR="00B97365" w14:paraId="5A0F2273"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30FC364" w14:textId="77777777" w:rsidR="00B97365" w:rsidRDefault="00B97365">
            <w:pPr>
              <w:numPr>
                <w:ilvl w:val="0"/>
                <w:numId w:val="37"/>
              </w:numPr>
              <w:spacing w:before="40" w:after="40" w:line="276" w:lineRule="auto"/>
              <w:jc w:val="left"/>
              <w:rPr>
                <w:sz w:val="20"/>
                <w:lang w:eastAsia="de-DE" w:bidi="ar-SA"/>
              </w:rPr>
            </w:pPr>
            <w:bookmarkStart w:id="186" w:name="_Ref532367739"/>
          </w:p>
        </w:tc>
        <w:bookmarkEnd w:id="186"/>
        <w:tc>
          <w:tcPr>
            <w:tcW w:w="2125" w:type="dxa"/>
            <w:tcBorders>
              <w:top w:val="single" w:sz="4" w:space="0" w:color="auto"/>
              <w:left w:val="single" w:sz="4" w:space="0" w:color="auto"/>
              <w:bottom w:val="single" w:sz="4" w:space="0" w:color="auto"/>
              <w:right w:val="single" w:sz="4" w:space="0" w:color="auto"/>
            </w:tcBorders>
            <w:vAlign w:val="center"/>
          </w:tcPr>
          <w:p w14:paraId="3EC7BDA7" w14:textId="77777777" w:rsidR="00B97365" w:rsidRDefault="00000000">
            <w:pPr>
              <w:spacing w:before="40" w:after="40" w:line="276" w:lineRule="auto"/>
              <w:jc w:val="left"/>
              <w:rPr>
                <w:rFonts w:cs="Arial"/>
                <w:szCs w:val="22"/>
                <w:lang w:eastAsia="en-GB"/>
              </w:rPr>
            </w:pPr>
            <w:r>
              <w:rPr>
                <w:szCs w:val="22"/>
                <w:lang w:eastAsia="de-DE" w:bidi="ar-SA"/>
              </w:rPr>
              <w:t>RFC 3987</w:t>
            </w:r>
          </w:p>
        </w:tc>
        <w:tc>
          <w:tcPr>
            <w:tcW w:w="5950" w:type="dxa"/>
            <w:tcBorders>
              <w:top w:val="single" w:sz="4" w:space="0" w:color="auto"/>
              <w:left w:val="single" w:sz="4" w:space="0" w:color="auto"/>
              <w:bottom w:val="single" w:sz="4" w:space="0" w:color="auto"/>
              <w:right w:val="single" w:sz="4" w:space="0" w:color="auto"/>
            </w:tcBorders>
            <w:vAlign w:val="center"/>
          </w:tcPr>
          <w:p w14:paraId="0FC37FEB" w14:textId="77777777" w:rsidR="00B97365" w:rsidRDefault="00000000">
            <w:pPr>
              <w:spacing w:before="40" w:after="40" w:line="276" w:lineRule="auto"/>
              <w:jc w:val="left"/>
              <w:rPr>
                <w:rFonts w:cs="Arial"/>
                <w:szCs w:val="22"/>
                <w:lang w:val="en-US" w:eastAsia="en-GB" w:bidi="ar-SA"/>
              </w:rPr>
            </w:pPr>
            <w:r>
              <w:rPr>
                <w:szCs w:val="22"/>
                <w:lang w:eastAsia="de-DE" w:bidi="ar-SA"/>
              </w:rPr>
              <w:t>Internationalized Resource Identifiers (IRIs). January 2005.  http://www.ietf.org/rfc/rfc3987.txt</w:t>
            </w:r>
          </w:p>
        </w:tc>
      </w:tr>
      <w:tr w:rsidR="00B97365" w14:paraId="13CF0253"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1A98BF1" w14:textId="77777777" w:rsidR="00B97365" w:rsidRDefault="00B97365">
            <w:pPr>
              <w:numPr>
                <w:ilvl w:val="0"/>
                <w:numId w:val="37"/>
              </w:numPr>
              <w:spacing w:before="40" w:after="40" w:line="276" w:lineRule="auto"/>
              <w:jc w:val="left"/>
              <w:rPr>
                <w:sz w:val="20"/>
                <w:lang w:eastAsia="de-DE" w:bidi="ar-SA"/>
              </w:rPr>
            </w:pPr>
            <w:bookmarkStart w:id="187" w:name="_Ref36647460"/>
          </w:p>
        </w:tc>
        <w:bookmarkEnd w:id="187"/>
        <w:tc>
          <w:tcPr>
            <w:tcW w:w="2125" w:type="dxa"/>
            <w:tcBorders>
              <w:top w:val="single" w:sz="4" w:space="0" w:color="auto"/>
              <w:left w:val="single" w:sz="4" w:space="0" w:color="auto"/>
              <w:bottom w:val="single" w:sz="4" w:space="0" w:color="auto"/>
              <w:right w:val="single" w:sz="4" w:space="0" w:color="auto"/>
            </w:tcBorders>
            <w:vAlign w:val="center"/>
          </w:tcPr>
          <w:p w14:paraId="306A6130" w14:textId="77777777" w:rsidR="00B97365" w:rsidRDefault="00000000">
            <w:pPr>
              <w:spacing w:before="40" w:after="40" w:line="276" w:lineRule="auto"/>
              <w:jc w:val="left"/>
              <w:rPr>
                <w:szCs w:val="22"/>
                <w:lang w:eastAsia="de-DE" w:bidi="ar-SA"/>
              </w:rPr>
            </w:pPr>
            <w:r>
              <w:rPr>
                <w:rFonts w:cs="Arial"/>
                <w:sz w:val="20"/>
                <w:lang w:eastAsia="de-DE"/>
              </w:rPr>
              <w:t>Java Card</w:t>
            </w:r>
          </w:p>
        </w:tc>
        <w:tc>
          <w:tcPr>
            <w:tcW w:w="5950" w:type="dxa"/>
            <w:tcBorders>
              <w:top w:val="single" w:sz="4" w:space="0" w:color="auto"/>
              <w:left w:val="single" w:sz="4" w:space="0" w:color="auto"/>
              <w:bottom w:val="single" w:sz="4" w:space="0" w:color="auto"/>
              <w:right w:val="single" w:sz="4" w:space="0" w:color="auto"/>
            </w:tcBorders>
            <w:vAlign w:val="center"/>
          </w:tcPr>
          <w:p w14:paraId="7C1F3099" w14:textId="77777777" w:rsidR="00B97365" w:rsidRDefault="00000000">
            <w:pPr>
              <w:spacing w:before="40" w:after="40" w:line="276" w:lineRule="auto"/>
              <w:jc w:val="left"/>
              <w:rPr>
                <w:rFonts w:cs="Arial"/>
                <w:sz w:val="20"/>
                <w:lang w:eastAsia="de-DE"/>
              </w:rPr>
            </w:pPr>
            <w:r>
              <w:rPr>
                <w:rFonts w:cs="Arial"/>
                <w:sz w:val="20"/>
                <w:lang w:eastAsia="de-DE"/>
              </w:rPr>
              <w:t xml:space="preserve">Java Card Classic Platform Specification </w:t>
            </w:r>
          </w:p>
          <w:p w14:paraId="53984655" w14:textId="77777777" w:rsidR="00B97365" w:rsidRDefault="00000000">
            <w:pPr>
              <w:spacing w:before="40" w:after="40" w:line="276" w:lineRule="auto"/>
              <w:jc w:val="left"/>
              <w:rPr>
                <w:szCs w:val="22"/>
                <w:lang w:eastAsia="de-DE" w:bidi="ar-SA"/>
              </w:rPr>
            </w:pPr>
            <w:r>
              <w:rPr>
                <w:rFonts w:cs="Arial"/>
                <w:sz w:val="20"/>
                <w:szCs w:val="22"/>
                <w:lang w:eastAsia="de-DE" w:bidi="ar-SA"/>
              </w:rPr>
              <w:t>https://www.oracle.com/java/technologies/javacard-specs-downloads.html</w:t>
            </w:r>
          </w:p>
        </w:tc>
      </w:tr>
      <w:tr w:rsidR="00B97365" w14:paraId="7622451B"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798DCA8" w14:textId="77777777" w:rsidR="00B97365" w:rsidRDefault="00B97365">
            <w:pPr>
              <w:numPr>
                <w:ilvl w:val="0"/>
                <w:numId w:val="37"/>
              </w:numPr>
              <w:spacing w:before="40" w:after="40" w:line="276" w:lineRule="auto"/>
              <w:jc w:val="left"/>
              <w:rPr>
                <w:sz w:val="20"/>
                <w:lang w:eastAsia="de-DE" w:bidi="ar-SA"/>
              </w:rPr>
            </w:pPr>
            <w:bookmarkStart w:id="188" w:name="_Ref40224308"/>
          </w:p>
        </w:tc>
        <w:bookmarkEnd w:id="188"/>
        <w:tc>
          <w:tcPr>
            <w:tcW w:w="2125" w:type="dxa"/>
            <w:tcBorders>
              <w:top w:val="single" w:sz="4" w:space="0" w:color="auto"/>
              <w:left w:val="single" w:sz="4" w:space="0" w:color="auto"/>
              <w:bottom w:val="single" w:sz="4" w:space="0" w:color="auto"/>
              <w:right w:val="single" w:sz="4" w:space="0" w:color="auto"/>
            </w:tcBorders>
            <w:vAlign w:val="center"/>
          </w:tcPr>
          <w:p w14:paraId="0E55DCD8" w14:textId="77777777" w:rsidR="00B97365" w:rsidRDefault="00000000">
            <w:pPr>
              <w:spacing w:before="40" w:after="40" w:line="276" w:lineRule="auto"/>
              <w:jc w:val="left"/>
              <w:rPr>
                <w:rFonts w:cs="Arial"/>
                <w:sz w:val="20"/>
                <w:lang w:eastAsia="de-DE"/>
              </w:rPr>
            </w:pPr>
            <w:r>
              <w:rPr>
                <w:rFonts w:cs="Arial"/>
                <w:sz w:val="20"/>
                <w:lang w:eastAsia="de-DE"/>
              </w:rPr>
              <w:t>3GPP TS 33.501</w:t>
            </w:r>
          </w:p>
        </w:tc>
        <w:tc>
          <w:tcPr>
            <w:tcW w:w="5950" w:type="dxa"/>
            <w:tcBorders>
              <w:top w:val="single" w:sz="4" w:space="0" w:color="auto"/>
              <w:left w:val="single" w:sz="4" w:space="0" w:color="auto"/>
              <w:bottom w:val="single" w:sz="4" w:space="0" w:color="auto"/>
              <w:right w:val="single" w:sz="4" w:space="0" w:color="auto"/>
            </w:tcBorders>
            <w:vAlign w:val="center"/>
          </w:tcPr>
          <w:p w14:paraId="0F060CB5" w14:textId="77777777" w:rsidR="00B97365" w:rsidRDefault="00000000">
            <w:pPr>
              <w:spacing w:before="40" w:after="40" w:line="276" w:lineRule="auto"/>
              <w:jc w:val="left"/>
              <w:rPr>
                <w:rFonts w:cs="Arial"/>
                <w:sz w:val="20"/>
                <w:lang w:eastAsia="de-DE"/>
              </w:rPr>
            </w:pPr>
            <w:r>
              <w:rPr>
                <w:rFonts w:cs="Arial"/>
                <w:sz w:val="20"/>
                <w:lang w:eastAsia="de-DE"/>
              </w:rPr>
              <w:t>Security architecture and procedures for 5G system (Release 15)</w:t>
            </w:r>
          </w:p>
        </w:tc>
      </w:tr>
      <w:tr w:rsidR="00B97365" w14:paraId="4C20168B"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BC21658" w14:textId="77777777" w:rsidR="00B97365" w:rsidRDefault="00B97365">
            <w:pPr>
              <w:numPr>
                <w:ilvl w:val="0"/>
                <w:numId w:val="37"/>
              </w:numPr>
              <w:spacing w:before="40" w:after="40" w:line="276" w:lineRule="auto"/>
              <w:jc w:val="left"/>
              <w:rPr>
                <w:sz w:val="20"/>
                <w:lang w:eastAsia="de-DE" w:bidi="ar-SA"/>
              </w:rPr>
            </w:pPr>
          </w:p>
        </w:tc>
        <w:tc>
          <w:tcPr>
            <w:tcW w:w="2125" w:type="dxa"/>
            <w:tcBorders>
              <w:top w:val="single" w:sz="4" w:space="0" w:color="auto"/>
              <w:left w:val="single" w:sz="4" w:space="0" w:color="auto"/>
              <w:bottom w:val="single" w:sz="4" w:space="0" w:color="auto"/>
              <w:right w:val="single" w:sz="4" w:space="0" w:color="auto"/>
            </w:tcBorders>
            <w:vAlign w:val="center"/>
          </w:tcPr>
          <w:p w14:paraId="7FDFF96B" w14:textId="77777777" w:rsidR="00B97365" w:rsidRDefault="00000000">
            <w:pPr>
              <w:spacing w:before="40" w:after="40" w:line="276" w:lineRule="auto"/>
              <w:jc w:val="left"/>
              <w:rPr>
                <w:rFonts w:cs="Arial"/>
                <w:sz w:val="20"/>
                <w:lang w:eastAsia="de-DE"/>
              </w:rPr>
            </w:pPr>
            <w:r>
              <w:rPr>
                <w:rFonts w:cs="Arial"/>
                <w:sz w:val="20"/>
                <w:lang w:eastAsia="de-DE"/>
              </w:rPr>
              <w:t>3GPP TS 31.130</w:t>
            </w:r>
          </w:p>
        </w:tc>
        <w:tc>
          <w:tcPr>
            <w:tcW w:w="5950" w:type="dxa"/>
            <w:tcBorders>
              <w:top w:val="single" w:sz="4" w:space="0" w:color="auto"/>
              <w:left w:val="single" w:sz="4" w:space="0" w:color="auto"/>
              <w:bottom w:val="single" w:sz="4" w:space="0" w:color="auto"/>
              <w:right w:val="single" w:sz="4" w:space="0" w:color="auto"/>
            </w:tcBorders>
            <w:vAlign w:val="center"/>
          </w:tcPr>
          <w:p w14:paraId="4E707AB3" w14:textId="77777777" w:rsidR="00B97365" w:rsidRDefault="00000000">
            <w:pPr>
              <w:spacing w:before="40" w:after="40" w:line="276" w:lineRule="auto"/>
              <w:jc w:val="left"/>
              <w:rPr>
                <w:rFonts w:cs="Arial"/>
                <w:sz w:val="20"/>
                <w:lang w:eastAsia="de-DE"/>
              </w:rPr>
            </w:pPr>
            <w:r>
              <w:rPr>
                <w:rFonts w:cs="Arial"/>
                <w:sz w:val="20"/>
                <w:lang w:eastAsia="de-DE"/>
              </w:rPr>
              <w:t>(U)SIM API for Java™ Card (Release 15)</w:t>
            </w:r>
          </w:p>
        </w:tc>
      </w:tr>
      <w:tr w:rsidR="00B97365" w14:paraId="6F488C8A"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60DB375" w14:textId="77777777" w:rsidR="00B97365" w:rsidRDefault="00B97365">
            <w:pPr>
              <w:numPr>
                <w:ilvl w:val="0"/>
                <w:numId w:val="37"/>
              </w:numPr>
              <w:spacing w:before="40" w:after="40" w:line="276" w:lineRule="auto"/>
              <w:jc w:val="left"/>
              <w:rPr>
                <w:sz w:val="20"/>
                <w:lang w:eastAsia="de-DE" w:bidi="ar-SA"/>
              </w:rPr>
            </w:pPr>
            <w:bookmarkStart w:id="189" w:name="_Ref40187684"/>
          </w:p>
        </w:tc>
        <w:bookmarkEnd w:id="189"/>
        <w:tc>
          <w:tcPr>
            <w:tcW w:w="2125" w:type="dxa"/>
            <w:tcBorders>
              <w:top w:val="single" w:sz="4" w:space="0" w:color="auto"/>
              <w:left w:val="single" w:sz="4" w:space="0" w:color="auto"/>
              <w:bottom w:val="single" w:sz="4" w:space="0" w:color="auto"/>
              <w:right w:val="single" w:sz="4" w:space="0" w:color="auto"/>
            </w:tcBorders>
            <w:vAlign w:val="center"/>
          </w:tcPr>
          <w:p w14:paraId="56AA44A1" w14:textId="77777777" w:rsidR="00B97365" w:rsidRDefault="00000000">
            <w:pPr>
              <w:spacing w:before="40" w:after="40" w:line="276" w:lineRule="auto"/>
              <w:jc w:val="left"/>
              <w:rPr>
                <w:rFonts w:cs="Arial"/>
                <w:sz w:val="20"/>
                <w:lang w:eastAsia="de-DE"/>
              </w:rPr>
            </w:pPr>
            <w:r>
              <w:rPr>
                <w:rFonts w:cs="Arial"/>
                <w:sz w:val="20"/>
                <w:lang w:eastAsia="de-DE"/>
              </w:rPr>
              <w:t>GPC_SPE_095</w:t>
            </w:r>
          </w:p>
        </w:tc>
        <w:tc>
          <w:tcPr>
            <w:tcW w:w="5950" w:type="dxa"/>
            <w:tcBorders>
              <w:top w:val="single" w:sz="4" w:space="0" w:color="auto"/>
              <w:left w:val="single" w:sz="4" w:space="0" w:color="auto"/>
              <w:bottom w:val="single" w:sz="4" w:space="0" w:color="auto"/>
              <w:right w:val="single" w:sz="4" w:space="0" w:color="auto"/>
            </w:tcBorders>
            <w:vAlign w:val="center"/>
          </w:tcPr>
          <w:p w14:paraId="5D17A602" w14:textId="77777777" w:rsidR="00B97365" w:rsidRDefault="00000000">
            <w:pPr>
              <w:spacing w:before="40" w:after="40" w:line="276" w:lineRule="auto"/>
              <w:jc w:val="left"/>
              <w:rPr>
                <w:rFonts w:cs="Arial"/>
                <w:sz w:val="20"/>
                <w:lang w:eastAsia="de-DE"/>
              </w:rPr>
            </w:pPr>
            <w:r>
              <w:rPr>
                <w:rFonts w:cs="Arial"/>
                <w:sz w:val="20"/>
                <w:lang w:eastAsia="de-DE"/>
              </w:rPr>
              <w:t>GlobalPlatform Card - Digital Letter of Approval - Version 1.0</w:t>
            </w:r>
          </w:p>
        </w:tc>
      </w:tr>
      <w:tr w:rsidR="00B97365" w14:paraId="399BD9F0"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D4486F6" w14:textId="77777777" w:rsidR="00B97365" w:rsidRDefault="00B97365">
            <w:pPr>
              <w:numPr>
                <w:ilvl w:val="0"/>
                <w:numId w:val="37"/>
              </w:numPr>
              <w:spacing w:before="40" w:after="40" w:line="276" w:lineRule="auto"/>
              <w:jc w:val="left"/>
              <w:rPr>
                <w:sz w:val="20"/>
                <w:lang w:eastAsia="de-DE" w:bidi="ar-SA"/>
              </w:rPr>
            </w:pPr>
            <w:bookmarkStart w:id="190" w:name="_Ref40194660"/>
          </w:p>
        </w:tc>
        <w:bookmarkEnd w:id="190"/>
        <w:tc>
          <w:tcPr>
            <w:tcW w:w="2125" w:type="dxa"/>
            <w:tcBorders>
              <w:top w:val="single" w:sz="4" w:space="0" w:color="auto"/>
              <w:left w:val="single" w:sz="4" w:space="0" w:color="auto"/>
              <w:bottom w:val="single" w:sz="4" w:space="0" w:color="auto"/>
              <w:right w:val="single" w:sz="4" w:space="0" w:color="auto"/>
            </w:tcBorders>
            <w:vAlign w:val="center"/>
          </w:tcPr>
          <w:p w14:paraId="58FA7CE2" w14:textId="77777777" w:rsidR="00B97365" w:rsidRDefault="00000000">
            <w:pPr>
              <w:spacing w:before="40" w:after="40" w:line="276" w:lineRule="auto"/>
              <w:jc w:val="left"/>
              <w:rPr>
                <w:rFonts w:cs="Arial"/>
                <w:sz w:val="20"/>
                <w:lang w:eastAsia="de-DE"/>
              </w:rPr>
            </w:pPr>
            <w:r>
              <w:rPr>
                <w:rFonts w:cs="Arial"/>
                <w:sz w:val="20"/>
                <w:lang w:eastAsia="de-DE"/>
              </w:rPr>
              <w:t>ETSI TS 102 221</w:t>
            </w:r>
          </w:p>
        </w:tc>
        <w:tc>
          <w:tcPr>
            <w:tcW w:w="5950" w:type="dxa"/>
            <w:tcBorders>
              <w:top w:val="single" w:sz="4" w:space="0" w:color="auto"/>
              <w:left w:val="single" w:sz="4" w:space="0" w:color="auto"/>
              <w:bottom w:val="single" w:sz="4" w:space="0" w:color="auto"/>
              <w:right w:val="single" w:sz="4" w:space="0" w:color="auto"/>
            </w:tcBorders>
            <w:vAlign w:val="center"/>
          </w:tcPr>
          <w:p w14:paraId="1C95CB10" w14:textId="77777777" w:rsidR="00B97365" w:rsidRDefault="00000000">
            <w:pPr>
              <w:spacing w:before="40" w:after="40" w:line="276" w:lineRule="auto"/>
              <w:jc w:val="left"/>
              <w:rPr>
                <w:rFonts w:cs="Arial"/>
                <w:sz w:val="20"/>
                <w:lang w:eastAsia="de-DE"/>
              </w:rPr>
            </w:pPr>
            <w:r>
              <w:rPr>
                <w:rFonts w:cs="Arial"/>
                <w:sz w:val="20"/>
                <w:lang w:eastAsia="de-DE"/>
              </w:rPr>
              <w:t>Smart Cards; UICC-Terminal interface; Physical and logical characteristics</w:t>
            </w:r>
          </w:p>
        </w:tc>
      </w:tr>
      <w:tr w:rsidR="00B97365" w14:paraId="0CA82B62"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2B049DB6" w14:textId="77777777" w:rsidR="00B97365" w:rsidRDefault="00B97365">
            <w:pPr>
              <w:numPr>
                <w:ilvl w:val="0"/>
                <w:numId w:val="37"/>
              </w:numPr>
              <w:spacing w:before="40" w:after="40" w:line="276" w:lineRule="auto"/>
              <w:jc w:val="left"/>
              <w:rPr>
                <w:sz w:val="20"/>
                <w:lang w:eastAsia="de-DE" w:bidi="ar-SA"/>
              </w:rPr>
            </w:pPr>
          </w:p>
        </w:tc>
        <w:tc>
          <w:tcPr>
            <w:tcW w:w="2125" w:type="dxa"/>
            <w:tcBorders>
              <w:top w:val="single" w:sz="4" w:space="0" w:color="auto"/>
              <w:left w:val="single" w:sz="4" w:space="0" w:color="auto"/>
              <w:bottom w:val="single" w:sz="4" w:space="0" w:color="auto"/>
              <w:right w:val="single" w:sz="4" w:space="0" w:color="auto"/>
            </w:tcBorders>
            <w:vAlign w:val="center"/>
          </w:tcPr>
          <w:p w14:paraId="6B231A91" w14:textId="77777777" w:rsidR="00B97365" w:rsidRDefault="00000000">
            <w:pPr>
              <w:spacing w:before="40" w:after="40" w:line="276" w:lineRule="auto"/>
              <w:jc w:val="left"/>
              <w:rPr>
                <w:rFonts w:cs="Arial"/>
                <w:sz w:val="20"/>
                <w:lang w:eastAsia="de-DE"/>
              </w:rPr>
            </w:pPr>
            <w:r>
              <w:rPr>
                <w:rFonts w:cs="Arial"/>
                <w:sz w:val="20"/>
                <w:lang w:eastAsia="de-DE"/>
              </w:rPr>
              <w:t>GSMA PRD AA.35</w:t>
            </w:r>
          </w:p>
        </w:tc>
        <w:tc>
          <w:tcPr>
            <w:tcW w:w="5950" w:type="dxa"/>
            <w:tcBorders>
              <w:top w:val="single" w:sz="4" w:space="0" w:color="auto"/>
              <w:left w:val="single" w:sz="4" w:space="0" w:color="auto"/>
              <w:bottom w:val="single" w:sz="4" w:space="0" w:color="auto"/>
              <w:right w:val="single" w:sz="4" w:space="0" w:color="auto"/>
            </w:tcBorders>
            <w:vAlign w:val="center"/>
          </w:tcPr>
          <w:p w14:paraId="3CBF2982" w14:textId="77777777" w:rsidR="00B97365" w:rsidRDefault="00000000">
            <w:pPr>
              <w:spacing w:before="40" w:after="40" w:line="276" w:lineRule="auto"/>
              <w:jc w:val="left"/>
              <w:rPr>
                <w:rFonts w:cs="Arial"/>
                <w:sz w:val="20"/>
                <w:lang w:eastAsia="de-DE"/>
              </w:rPr>
            </w:pPr>
            <w:r>
              <w:rPr>
                <w:rFonts w:cs="Arial"/>
                <w:sz w:val="20"/>
                <w:lang w:eastAsia="de-DE"/>
              </w:rPr>
              <w:t>Procedures for Industry Specifications</w:t>
            </w:r>
          </w:p>
        </w:tc>
      </w:tr>
      <w:tr w:rsidR="00B97365" w14:paraId="7483A940"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2A950932" w14:textId="77777777" w:rsidR="00B97365" w:rsidRDefault="00B97365">
            <w:pPr>
              <w:numPr>
                <w:ilvl w:val="0"/>
                <w:numId w:val="37"/>
              </w:numPr>
              <w:spacing w:before="40" w:after="40" w:line="276" w:lineRule="auto"/>
              <w:jc w:val="left"/>
              <w:rPr>
                <w:sz w:val="20"/>
                <w:lang w:eastAsia="de-DE" w:bidi="ar-SA"/>
              </w:rPr>
            </w:pPr>
            <w:bookmarkStart w:id="191" w:name="_Ref84530091"/>
          </w:p>
        </w:tc>
        <w:bookmarkEnd w:id="191"/>
        <w:tc>
          <w:tcPr>
            <w:tcW w:w="2125" w:type="dxa"/>
            <w:tcBorders>
              <w:top w:val="single" w:sz="4" w:space="0" w:color="auto"/>
              <w:left w:val="single" w:sz="4" w:space="0" w:color="auto"/>
              <w:bottom w:val="single" w:sz="4" w:space="0" w:color="auto"/>
              <w:right w:val="single" w:sz="4" w:space="0" w:color="auto"/>
            </w:tcBorders>
            <w:vAlign w:val="center"/>
          </w:tcPr>
          <w:p w14:paraId="328E9EA7" w14:textId="77777777" w:rsidR="00B97365" w:rsidRDefault="00000000">
            <w:pPr>
              <w:spacing w:before="40" w:after="40" w:line="276" w:lineRule="auto"/>
              <w:jc w:val="left"/>
              <w:rPr>
                <w:rFonts w:cs="Arial"/>
                <w:sz w:val="20"/>
                <w:lang w:eastAsia="de-DE"/>
              </w:rPr>
            </w:pPr>
            <w:r>
              <w:rPr>
                <w:rFonts w:cs="Arial"/>
                <w:sz w:val="20"/>
                <w:lang w:eastAsia="de-DE"/>
              </w:rPr>
              <w:t>SGP.22</w:t>
            </w:r>
          </w:p>
        </w:tc>
        <w:tc>
          <w:tcPr>
            <w:tcW w:w="5950" w:type="dxa"/>
            <w:tcBorders>
              <w:top w:val="single" w:sz="4" w:space="0" w:color="auto"/>
              <w:left w:val="single" w:sz="4" w:space="0" w:color="auto"/>
              <w:bottom w:val="single" w:sz="4" w:space="0" w:color="auto"/>
              <w:right w:val="single" w:sz="4" w:space="0" w:color="auto"/>
            </w:tcBorders>
            <w:vAlign w:val="center"/>
          </w:tcPr>
          <w:p w14:paraId="24693E31" w14:textId="77777777" w:rsidR="00B97365" w:rsidRDefault="00000000">
            <w:pPr>
              <w:spacing w:before="40" w:after="40" w:line="276" w:lineRule="auto"/>
              <w:jc w:val="left"/>
              <w:rPr>
                <w:rFonts w:cs="Arial"/>
                <w:sz w:val="20"/>
                <w:lang w:eastAsia="de-DE"/>
              </w:rPr>
            </w:pPr>
            <w:r>
              <w:rPr>
                <w:rFonts w:cs="Arial"/>
                <w:sz w:val="20"/>
                <w:lang w:eastAsia="de-DE"/>
              </w:rPr>
              <w:t>GSMA RSP Technical Specification</w:t>
            </w:r>
          </w:p>
        </w:tc>
      </w:tr>
      <w:tr w:rsidR="00B97365" w14:paraId="492E6465"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7A00F914" w14:textId="77777777" w:rsidR="00B97365" w:rsidRDefault="00B97365">
            <w:pPr>
              <w:numPr>
                <w:ilvl w:val="0"/>
                <w:numId w:val="37"/>
              </w:numPr>
              <w:spacing w:before="40" w:after="40" w:line="276" w:lineRule="auto"/>
              <w:jc w:val="left"/>
              <w:rPr>
                <w:sz w:val="20"/>
                <w:lang w:eastAsia="de-DE" w:bidi="ar-SA"/>
              </w:rPr>
            </w:pPr>
            <w:bookmarkStart w:id="192" w:name="_Ref84530031"/>
          </w:p>
        </w:tc>
        <w:bookmarkEnd w:id="192"/>
        <w:tc>
          <w:tcPr>
            <w:tcW w:w="2125" w:type="dxa"/>
            <w:tcBorders>
              <w:top w:val="single" w:sz="4" w:space="0" w:color="auto"/>
              <w:left w:val="single" w:sz="4" w:space="0" w:color="auto"/>
              <w:bottom w:val="single" w:sz="4" w:space="0" w:color="auto"/>
              <w:right w:val="single" w:sz="4" w:space="0" w:color="auto"/>
            </w:tcBorders>
            <w:vAlign w:val="center"/>
          </w:tcPr>
          <w:p w14:paraId="126065C9" w14:textId="77777777" w:rsidR="00B97365" w:rsidRDefault="00000000">
            <w:pPr>
              <w:spacing w:before="40" w:after="40" w:line="276" w:lineRule="auto"/>
              <w:jc w:val="left"/>
              <w:rPr>
                <w:rFonts w:cs="Arial"/>
                <w:sz w:val="20"/>
                <w:lang w:eastAsia="de-DE"/>
              </w:rPr>
            </w:pPr>
            <w:r>
              <w:rPr>
                <w:rFonts w:cs="Arial"/>
                <w:sz w:val="20"/>
                <w:lang w:eastAsia="de-DE"/>
              </w:rPr>
              <w:t>SGP.29</w:t>
            </w:r>
          </w:p>
        </w:tc>
        <w:tc>
          <w:tcPr>
            <w:tcW w:w="5950" w:type="dxa"/>
            <w:tcBorders>
              <w:top w:val="single" w:sz="4" w:space="0" w:color="auto"/>
              <w:left w:val="single" w:sz="4" w:space="0" w:color="auto"/>
              <w:bottom w:val="single" w:sz="4" w:space="0" w:color="auto"/>
              <w:right w:val="single" w:sz="4" w:space="0" w:color="auto"/>
            </w:tcBorders>
            <w:vAlign w:val="center"/>
          </w:tcPr>
          <w:p w14:paraId="172D8AB1" w14:textId="77777777" w:rsidR="00B97365" w:rsidRDefault="00000000">
            <w:pPr>
              <w:spacing w:before="40" w:after="40" w:line="276" w:lineRule="auto"/>
              <w:jc w:val="left"/>
              <w:rPr>
                <w:rFonts w:cs="Arial"/>
                <w:sz w:val="20"/>
                <w:lang w:eastAsia="de-DE"/>
              </w:rPr>
            </w:pPr>
            <w:r>
              <w:rPr>
                <w:rFonts w:cs="Arial"/>
                <w:sz w:val="20"/>
                <w:lang w:eastAsia="de-DE"/>
              </w:rPr>
              <w:t>GSMA EID Definition and Assignment Process</w:t>
            </w:r>
          </w:p>
        </w:tc>
      </w:tr>
      <w:tr w:rsidR="00B97365" w14:paraId="04BB0CAD" w14:textId="7777777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3CE4418" w14:textId="77777777" w:rsidR="00B97365" w:rsidRDefault="00B97365">
            <w:pPr>
              <w:numPr>
                <w:ilvl w:val="0"/>
                <w:numId w:val="37"/>
              </w:numPr>
              <w:spacing w:before="40" w:after="40" w:line="276" w:lineRule="auto"/>
              <w:jc w:val="left"/>
              <w:rPr>
                <w:sz w:val="20"/>
                <w:lang w:eastAsia="de-DE" w:bidi="ar-SA"/>
              </w:rPr>
            </w:pPr>
            <w:bookmarkStart w:id="193" w:name="_Ref84532596"/>
          </w:p>
        </w:tc>
        <w:bookmarkEnd w:id="193"/>
        <w:tc>
          <w:tcPr>
            <w:tcW w:w="2125" w:type="dxa"/>
            <w:tcBorders>
              <w:top w:val="single" w:sz="4" w:space="0" w:color="auto"/>
              <w:left w:val="single" w:sz="4" w:space="0" w:color="auto"/>
              <w:bottom w:val="single" w:sz="4" w:space="0" w:color="auto"/>
              <w:right w:val="single" w:sz="4" w:space="0" w:color="auto"/>
            </w:tcBorders>
            <w:vAlign w:val="center"/>
          </w:tcPr>
          <w:p w14:paraId="6B17188B" w14:textId="77777777" w:rsidR="00B97365" w:rsidRDefault="00000000">
            <w:pPr>
              <w:spacing w:before="40" w:after="40" w:line="276" w:lineRule="auto"/>
              <w:jc w:val="left"/>
              <w:rPr>
                <w:rFonts w:cs="Arial"/>
                <w:sz w:val="20"/>
                <w:lang w:eastAsia="de-DE"/>
              </w:rPr>
            </w:pPr>
            <w:r>
              <w:rPr>
                <w:rFonts w:cs="Arial"/>
                <w:sz w:val="20"/>
                <w:lang w:eastAsia="de-DE"/>
              </w:rPr>
              <w:t>RFC 3986</w:t>
            </w:r>
          </w:p>
        </w:tc>
        <w:tc>
          <w:tcPr>
            <w:tcW w:w="5950" w:type="dxa"/>
            <w:tcBorders>
              <w:top w:val="single" w:sz="4" w:space="0" w:color="auto"/>
              <w:left w:val="single" w:sz="4" w:space="0" w:color="auto"/>
              <w:bottom w:val="single" w:sz="4" w:space="0" w:color="auto"/>
              <w:right w:val="single" w:sz="4" w:space="0" w:color="auto"/>
            </w:tcBorders>
            <w:vAlign w:val="center"/>
          </w:tcPr>
          <w:p w14:paraId="701585CD" w14:textId="77777777" w:rsidR="00B97365" w:rsidRDefault="00000000">
            <w:pPr>
              <w:spacing w:before="40" w:after="40" w:line="276" w:lineRule="auto"/>
              <w:jc w:val="left"/>
              <w:rPr>
                <w:rFonts w:cs="Arial"/>
                <w:sz w:val="20"/>
                <w:lang w:eastAsia="de-DE"/>
              </w:rPr>
            </w:pPr>
            <w:r>
              <w:rPr>
                <w:rFonts w:cs="Arial"/>
                <w:sz w:val="20"/>
                <w:lang w:eastAsia="de-DE"/>
              </w:rPr>
              <w:t xml:space="preserve">Uniform Resource Identifier (URI): Generic Syntax. January 2005.  </w:t>
            </w:r>
            <w:hyperlink r:id="rId24" w:history="1">
              <w:r>
                <w:rPr>
                  <w:rStyle w:val="Hyperlink"/>
                  <w:rFonts w:cs="Arial"/>
                  <w:sz w:val="20"/>
                  <w:lang w:eastAsia="de-DE"/>
                </w:rPr>
                <w:t>http://www.ietf.org/rfc/rfc3986.txt</w:t>
              </w:r>
            </w:hyperlink>
            <w:r>
              <w:rPr>
                <w:rFonts w:cs="Arial"/>
                <w:sz w:val="20"/>
                <w:lang w:eastAsia="de-DE"/>
              </w:rPr>
              <w:t xml:space="preserve"> </w:t>
            </w:r>
          </w:p>
        </w:tc>
      </w:tr>
    </w:tbl>
    <w:p w14:paraId="16E1FE6D"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94" w:name="_Toc1977207"/>
      <w:bookmarkStart w:id="195" w:name="_Toc37062362"/>
      <w:bookmarkStart w:id="196" w:name="_Toc88839486"/>
      <w:bookmarkStart w:id="197" w:name="_Toc121503894"/>
      <w:bookmarkEnd w:id="183"/>
      <w:r>
        <w:rPr>
          <w:rFonts w:eastAsia="Times New Roman" w:cs="Arial"/>
          <w:b/>
          <w:bCs/>
          <w:iCs/>
          <w:sz w:val="24"/>
          <w:szCs w:val="28"/>
          <w:lang w:eastAsia="en-US"/>
        </w:rPr>
        <w:t>Conventions</w:t>
      </w:r>
      <w:bookmarkEnd w:id="194"/>
      <w:bookmarkEnd w:id="195"/>
      <w:bookmarkEnd w:id="196"/>
      <w:bookmarkEnd w:id="197"/>
    </w:p>
    <w:p w14:paraId="76EA4A33" w14:textId="77777777" w:rsidR="00B97365" w:rsidRDefault="00000000">
      <w:pPr>
        <w:rPr>
          <w:rFonts w:cs="Calibri"/>
        </w:rPr>
      </w:pPr>
      <w:r>
        <w:rPr>
          <w:rFonts w:cs="Calibri"/>
        </w:rPr>
        <w:t>The key words "SHALL", "SHALL NOT", "SHOULD", "SHOULD NOT", and "MAY" in this document SHALL be interpreted as described in RFC 2119 [60].</w:t>
      </w:r>
    </w:p>
    <w:p w14:paraId="152D85FC" w14:textId="77777777" w:rsidR="00B97365" w:rsidRDefault="00000000">
      <w:pPr>
        <w:keepNext/>
        <w:keepLines/>
        <w:numPr>
          <w:ilvl w:val="0"/>
          <w:numId w:val="1"/>
        </w:numPr>
        <w:spacing w:before="360" w:after="60" w:line="276" w:lineRule="auto"/>
        <w:jc w:val="left"/>
        <w:outlineLvl w:val="0"/>
        <w:rPr>
          <w:rFonts w:eastAsia="Times New Roman" w:cs="Arial"/>
          <w:b/>
          <w:bCs/>
          <w:sz w:val="28"/>
          <w:szCs w:val="32"/>
          <w:lang w:eastAsia="en-US"/>
        </w:rPr>
      </w:pPr>
      <w:bookmarkStart w:id="198" w:name="_Toc353545704"/>
      <w:bookmarkStart w:id="199" w:name="_Toc448998193"/>
      <w:bookmarkStart w:id="200" w:name="_Toc422150662"/>
      <w:bookmarkStart w:id="201" w:name="_Toc421874235"/>
      <w:bookmarkStart w:id="202" w:name="_Toc420594303"/>
      <w:bookmarkStart w:id="203" w:name="_Toc398214777"/>
      <w:bookmarkStart w:id="204" w:name="_Toc375158193"/>
      <w:bookmarkStart w:id="205" w:name="_Toc374348468"/>
      <w:bookmarkStart w:id="206" w:name="_Toc368932152"/>
      <w:bookmarkStart w:id="207" w:name="_Toc486332809"/>
      <w:bookmarkStart w:id="208" w:name="_Toc1977208"/>
      <w:bookmarkStart w:id="209" w:name="_Toc37062363"/>
      <w:bookmarkStart w:id="210" w:name="_Toc88839487"/>
      <w:bookmarkStart w:id="211" w:name="_Toc121503895"/>
      <w:r>
        <w:rPr>
          <w:rFonts w:eastAsia="Times New Roman" w:cs="Arial"/>
          <w:b/>
          <w:bCs/>
          <w:sz w:val="28"/>
          <w:szCs w:val="32"/>
          <w:lang w:eastAsia="en-US"/>
        </w:rPr>
        <w:t xml:space="preserve">General Parts of the Technical </w:t>
      </w:r>
      <w:bookmarkEnd w:id="198"/>
      <w:r>
        <w:rPr>
          <w:rFonts w:eastAsia="Times New Roman" w:cs="Arial"/>
          <w:b/>
          <w:bCs/>
          <w:sz w:val="28"/>
          <w:szCs w:val="32"/>
          <w:lang w:eastAsia="en-US"/>
        </w:rPr>
        <w:t>Specification</w:t>
      </w:r>
      <w:bookmarkEnd w:id="199"/>
      <w:bookmarkEnd w:id="200"/>
      <w:bookmarkEnd w:id="201"/>
      <w:bookmarkEnd w:id="202"/>
      <w:bookmarkEnd w:id="203"/>
      <w:bookmarkEnd w:id="204"/>
      <w:bookmarkEnd w:id="205"/>
      <w:bookmarkEnd w:id="206"/>
      <w:bookmarkEnd w:id="207"/>
      <w:bookmarkEnd w:id="208"/>
      <w:bookmarkEnd w:id="209"/>
      <w:bookmarkEnd w:id="210"/>
      <w:bookmarkEnd w:id="211"/>
    </w:p>
    <w:p w14:paraId="0E79C6FA" w14:textId="7439364D" w:rsidR="00B97365" w:rsidRDefault="00000000">
      <w:pPr>
        <w:spacing w:before="0" w:after="200" w:line="276" w:lineRule="auto"/>
        <w:jc w:val="left"/>
        <w:rPr>
          <w:szCs w:val="22"/>
          <w:lang w:eastAsia="en-GB" w:bidi="ar-SA"/>
        </w:rPr>
      </w:pPr>
      <w:r>
        <w:rPr>
          <w:rFonts w:cs="Arial"/>
          <w:szCs w:val="22"/>
          <w:lang w:eastAsia="en-GB" w:bidi="ar-SA"/>
        </w:rPr>
        <w:t xml:space="preserve">This section contains a technical description and architecture of the Remote Provisioning System for the Embedded UICC. </w:t>
      </w:r>
      <w:r>
        <w:rPr>
          <w:szCs w:val="22"/>
          <w:lang w:val="en-US" w:eastAsia="en-GB" w:bidi="ar-SA"/>
        </w:rPr>
        <w:t xml:space="preserve">It SHALL be compliant with the Remote Provisioning Architecture for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r>
        <w:rPr>
          <w:szCs w:val="22"/>
          <w:lang w:eastAsia="en-GB" w:bidi="ar-SA"/>
        </w:rPr>
        <w:t xml:space="preserve"> In addition, the statements in this section define the basic characteristics that need to be taken into account when realising this specification. </w:t>
      </w:r>
    </w:p>
    <w:p w14:paraId="70D321A9"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12" w:name="_Toc374345659"/>
      <w:bookmarkStart w:id="213" w:name="_Toc374346005"/>
      <w:bookmarkStart w:id="214" w:name="_Toc374346350"/>
      <w:bookmarkStart w:id="215" w:name="_Toc374346696"/>
      <w:bookmarkStart w:id="216" w:name="_Toc374347266"/>
      <w:bookmarkStart w:id="217" w:name="_Toc374347496"/>
      <w:bookmarkStart w:id="218" w:name="_Toc374347725"/>
      <w:bookmarkStart w:id="219" w:name="_Toc374348469"/>
      <w:bookmarkStart w:id="220" w:name="_Toc353545705"/>
      <w:bookmarkStart w:id="221" w:name="_Toc368932153"/>
      <w:bookmarkStart w:id="222" w:name="_Toc374348470"/>
      <w:bookmarkStart w:id="223" w:name="_Toc375158194"/>
      <w:bookmarkStart w:id="224" w:name="_Toc398214778"/>
      <w:bookmarkStart w:id="225" w:name="_Toc420594304"/>
      <w:bookmarkStart w:id="226" w:name="_Toc421874236"/>
      <w:bookmarkStart w:id="227" w:name="_Toc422150663"/>
      <w:bookmarkStart w:id="228" w:name="_Toc448998194"/>
      <w:bookmarkStart w:id="229" w:name="_Toc486332810"/>
      <w:bookmarkStart w:id="230" w:name="_Toc1977209"/>
      <w:bookmarkStart w:id="231" w:name="_Toc37062364"/>
      <w:bookmarkStart w:id="232" w:name="_Toc88839488"/>
      <w:bookmarkStart w:id="233" w:name="_Toc121503896"/>
      <w:bookmarkEnd w:id="212"/>
      <w:bookmarkEnd w:id="213"/>
      <w:bookmarkEnd w:id="214"/>
      <w:bookmarkEnd w:id="215"/>
      <w:bookmarkEnd w:id="216"/>
      <w:bookmarkEnd w:id="217"/>
      <w:bookmarkEnd w:id="218"/>
      <w:bookmarkEnd w:id="219"/>
      <w:r>
        <w:rPr>
          <w:rFonts w:eastAsia="Times New Roman" w:cs="Arial"/>
          <w:b/>
          <w:bCs/>
          <w:iCs/>
          <w:sz w:val="24"/>
          <w:szCs w:val="28"/>
          <w:lang w:eastAsia="en-US"/>
        </w:rPr>
        <w:t>General Architecture</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6EBF3D1D" w14:textId="5E2F2482" w:rsidR="00B97365" w:rsidRDefault="00000000">
      <w:pPr>
        <w:spacing w:before="0" w:after="200" w:line="276" w:lineRule="auto"/>
        <w:jc w:val="left"/>
        <w:rPr>
          <w:szCs w:val="22"/>
          <w:lang w:eastAsia="en-GB" w:bidi="ar-SA"/>
        </w:rPr>
      </w:pPr>
      <w:bookmarkStart w:id="234" w:name="_Toc260758376"/>
      <w:r>
        <w:rPr>
          <w:rFonts w:cs="Arial"/>
          <w:szCs w:val="22"/>
          <w:lang w:eastAsia="en-GB" w:bidi="ar-SA"/>
        </w:rPr>
        <w:t xml:space="preserve">This section further specifies the Roles and interfaces associated with the Remote Provisioning and Management of the eUICC, building on GSMA Remote Provisioning Architecture for Embedded UICC </w:t>
      </w:r>
      <w:r>
        <w:fldChar w:fldCharType="begin"/>
      </w:r>
      <w:r>
        <w:rPr>
          <w:szCs w:val="22"/>
          <w:lang w:eastAsia="en-GB" w:bidi="ar-SA"/>
        </w:rPr>
        <w:instrText xml:space="preserve"> REF _Ref421631399 \r \h </w:instrText>
      </w:r>
      <w:r>
        <w:fldChar w:fldCharType="separate"/>
      </w:r>
      <w:r w:rsidR="001D5AD9">
        <w:rPr>
          <w:szCs w:val="22"/>
          <w:lang w:eastAsia="en-GB" w:bidi="ar-SA"/>
        </w:rPr>
        <w:t>[1]</w:t>
      </w:r>
      <w:r>
        <w:fldChar w:fldCharType="end"/>
      </w:r>
      <w:r>
        <w:rPr>
          <w:szCs w:val="22"/>
          <w:lang w:eastAsia="en-GB" w:bidi="ar-SA"/>
        </w:rPr>
        <w:t xml:space="preserve">. </w:t>
      </w:r>
    </w:p>
    <w:bookmarkStart w:id="235" w:name="_MON_1609153630"/>
    <w:bookmarkEnd w:id="235"/>
    <w:p w14:paraId="399870F4" w14:textId="77777777" w:rsidR="00B97365" w:rsidRDefault="00000000">
      <w:pPr>
        <w:rPr>
          <w:rFonts w:asciiTheme="minorHAnsi" w:hAnsiTheme="minorHAnsi" w:cstheme="minorHAnsi"/>
        </w:rPr>
      </w:pPr>
      <w:r>
        <w:rPr>
          <w:rFonts w:cs="Arial"/>
          <w:sz w:val="20"/>
        </w:rPr>
        <w:object w:dxaOrig="9073" w:dyaOrig="6419" w14:anchorId="0E4AF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2pt;height:329.95pt" o:ole="">
            <v:imagedata r:id="rId25" o:title=""/>
          </v:shape>
          <o:OLEObject Type="Embed" ProgID="PowerPoint.Slide.12" ShapeID="_x0000_i1025" DrawAspect="Content" ObjectID="_1738512070" r:id="rId26"/>
        </w:object>
      </w:r>
    </w:p>
    <w:p w14:paraId="28321E61"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eUICC Remote Provisioning System</w:t>
      </w:r>
    </w:p>
    <w:p w14:paraId="25C42BA2" w14:textId="77777777" w:rsidR="00B97365" w:rsidRDefault="00B97365">
      <w:pPr>
        <w:rPr>
          <w:rFonts w:asciiTheme="minorHAnsi" w:hAnsiTheme="minorHAnsi" w:cstheme="minorHAnsi"/>
        </w:rPr>
      </w:pPr>
    </w:p>
    <w:p w14:paraId="71CAA8C3"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 above figure provides the complete description of the eUICC Remote Provisioning and Management system. </w:t>
      </w:r>
    </w:p>
    <w:p w14:paraId="06B9228D" w14:textId="61C982E7" w:rsidR="00B97365" w:rsidRDefault="00000000">
      <w:pPr>
        <w:spacing w:before="0" w:after="200" w:line="276" w:lineRule="auto"/>
        <w:jc w:val="left"/>
        <w:rPr>
          <w:szCs w:val="22"/>
          <w:lang w:eastAsia="en-GB" w:bidi="ar-SA"/>
        </w:rPr>
      </w:pPr>
      <w:r>
        <w:rPr>
          <w:rFonts w:cs="Arial"/>
          <w:szCs w:val="22"/>
          <w:lang w:eastAsia="en-GB" w:bidi="ar-SA"/>
        </w:rPr>
        <w:t xml:space="preserve">The ES5, ES6, ES8 and ESx interfaces are described in section </w:t>
      </w:r>
      <w:r>
        <w:fldChar w:fldCharType="begin"/>
      </w:r>
      <w:r>
        <w:instrText xml:space="preserve"> REF _Ref367967900 \r \h  \* MERGEFORMAT </w:instrText>
      </w:r>
      <w:r>
        <w:fldChar w:fldCharType="separate"/>
      </w:r>
      <w:r w:rsidR="001D5AD9">
        <w:t>4</w:t>
      </w:r>
      <w:r>
        <w:fldChar w:fldCharType="end"/>
      </w:r>
      <w:r>
        <w:rPr>
          <w:szCs w:val="22"/>
          <w:lang w:eastAsia="en-GB" w:bidi="ar-SA"/>
        </w:rPr>
        <w:t>.</w:t>
      </w:r>
    </w:p>
    <w:p w14:paraId="076F294F" w14:textId="13E0F305" w:rsidR="00B97365" w:rsidRDefault="00000000">
      <w:pPr>
        <w:spacing w:before="0" w:after="200" w:line="276" w:lineRule="auto"/>
        <w:jc w:val="left"/>
        <w:rPr>
          <w:szCs w:val="22"/>
          <w:lang w:eastAsia="en-GB" w:bidi="ar-SA"/>
        </w:rPr>
      </w:pPr>
      <w:r>
        <w:rPr>
          <w:rFonts w:cs="Arial"/>
          <w:szCs w:val="22"/>
          <w:lang w:eastAsia="en-GB" w:bidi="ar-SA"/>
        </w:rPr>
        <w:t xml:space="preserve">The ES1, ES2, ES3, ES4 and ES7 interfaces are described in section </w:t>
      </w:r>
      <w:r>
        <w:fldChar w:fldCharType="begin"/>
      </w:r>
      <w:r>
        <w:instrText xml:space="preserve"> REF _Ref367967916 \r \h  \* MERGEFORMAT </w:instrText>
      </w:r>
      <w:r>
        <w:fldChar w:fldCharType="separate"/>
      </w:r>
      <w:r w:rsidR="001D5AD9">
        <w:t>5</w:t>
      </w:r>
      <w:r>
        <w:fldChar w:fldCharType="end"/>
      </w:r>
      <w:r>
        <w:rPr>
          <w:szCs w:val="22"/>
          <w:lang w:eastAsia="en-GB" w:bidi="ar-SA"/>
        </w:rPr>
        <w:t>.</w:t>
      </w:r>
    </w:p>
    <w:p w14:paraId="4E906403" w14:textId="77777777" w:rsidR="00B97365" w:rsidRDefault="00000000">
      <w:pPr>
        <w:spacing w:before="0" w:after="200" w:line="276" w:lineRule="auto"/>
        <w:ind w:left="1560" w:hanging="1276"/>
        <w:jc w:val="left"/>
        <w:rPr>
          <w:rFonts w:cs="Arial"/>
          <w:szCs w:val="22"/>
          <w:lang w:eastAsia="en-GB" w:bidi="ar-SA"/>
        </w:rPr>
      </w:pPr>
      <w:r>
        <w:rPr>
          <w:rFonts w:cs="Arial"/>
          <w:szCs w:val="22"/>
          <w:lang w:eastAsia="en-GB" w:bidi="ar-SA"/>
        </w:rPr>
        <w:t xml:space="preserve">NOTE: </w:t>
      </w:r>
      <w:r>
        <w:rPr>
          <w:rFonts w:cs="Arial"/>
          <w:szCs w:val="22"/>
          <w:lang w:eastAsia="en-GB" w:bidi="ar-SA"/>
        </w:rPr>
        <w:tab/>
        <w:t xml:space="preserve">Functions of the ES2 interface related to Profile ordering and master delete are considered out of the scope of this specification as these functions may be based upon pre-existing Operator processes. </w:t>
      </w:r>
    </w:p>
    <w:p w14:paraId="1459964B" w14:textId="77777777" w:rsidR="00B97365" w:rsidRDefault="00000000">
      <w:pPr>
        <w:spacing w:before="0" w:after="200" w:line="276" w:lineRule="auto"/>
        <w:ind w:left="1560" w:hanging="1276"/>
        <w:jc w:val="left"/>
        <w:rPr>
          <w:rFonts w:cs="Arial"/>
          <w:szCs w:val="22"/>
          <w:lang w:eastAsia="en-GB" w:bidi="ar-SA"/>
        </w:rPr>
      </w:pPr>
      <w:r>
        <w:rPr>
          <w:rFonts w:cs="Arial"/>
          <w:szCs w:val="22"/>
          <w:lang w:eastAsia="en-GB" w:bidi="ar-SA"/>
        </w:rPr>
        <w:t xml:space="preserve">NOTE: </w:t>
      </w:r>
      <w:r>
        <w:rPr>
          <w:rFonts w:cs="Arial"/>
          <w:szCs w:val="22"/>
          <w:lang w:eastAsia="en-GB" w:bidi="ar-SA"/>
        </w:rPr>
        <w:tab/>
        <w:t xml:space="preserve">The interface between the SM-DP and EUM and the related function for Profile Creation is out of the scope of this specification as this function is based upon proprietary mechanisms. </w:t>
      </w:r>
    </w:p>
    <w:p w14:paraId="4BE76E7F" w14:textId="417CE2CF" w:rsidR="00B97365" w:rsidRDefault="00000000">
      <w:pPr>
        <w:spacing w:before="0" w:after="200" w:line="276" w:lineRule="auto"/>
        <w:ind w:left="1560" w:hanging="1276"/>
        <w:jc w:val="left"/>
        <w:rPr>
          <w:szCs w:val="22"/>
          <w:lang w:eastAsia="en-GB" w:bidi="ar-SA"/>
        </w:rPr>
      </w:pPr>
      <w:r>
        <w:rPr>
          <w:rFonts w:cs="Arial"/>
          <w:szCs w:val="22"/>
          <w:lang w:eastAsia="en-GB" w:bidi="ar-SA"/>
        </w:rPr>
        <w:t xml:space="preserve">NOTE: </w:t>
      </w:r>
      <w:r>
        <w:rPr>
          <w:rFonts w:cs="Arial"/>
          <w:szCs w:val="22"/>
          <w:lang w:eastAsia="en-GB" w:bidi="ar-SA"/>
        </w:rPr>
        <w:tab/>
        <w:t xml:space="preserve">The ES6 interface is based on the RAM and RFM mechanisms described in ETSI TS 102 225 </w:t>
      </w:r>
      <w:r>
        <w:fldChar w:fldCharType="begin"/>
      </w:r>
      <w:r>
        <w:rPr>
          <w:szCs w:val="22"/>
          <w:lang w:eastAsia="en-GB" w:bidi="ar-SA"/>
        </w:rPr>
        <w:instrText xml:space="preserve"> REF _Ref421631435 \r \h </w:instrText>
      </w:r>
      <w:r>
        <w:fldChar w:fldCharType="separate"/>
      </w:r>
      <w:r w:rsidR="001D5AD9">
        <w:rPr>
          <w:szCs w:val="22"/>
          <w:lang w:eastAsia="en-GB" w:bidi="ar-SA"/>
        </w:rPr>
        <w:t>[4]</w:t>
      </w:r>
      <w:r>
        <w:fldChar w:fldCharType="end"/>
      </w:r>
      <w:r>
        <w:rPr>
          <w:szCs w:val="22"/>
          <w:lang w:eastAsia="en-GB" w:bidi="ar-SA"/>
        </w:rPr>
        <w:t xml:space="preserve"> and ETSI TS 102 226 </w:t>
      </w:r>
      <w:r>
        <w:fldChar w:fldCharType="begin"/>
      </w:r>
      <w:r>
        <w:rPr>
          <w:szCs w:val="22"/>
          <w:lang w:eastAsia="en-GB" w:bidi="ar-SA"/>
        </w:rPr>
        <w:instrText xml:space="preserve"> REF _Ref421631444 \r \h </w:instrText>
      </w:r>
      <w:r>
        <w:fldChar w:fldCharType="separate"/>
      </w:r>
      <w:r w:rsidR="001D5AD9">
        <w:rPr>
          <w:szCs w:val="22"/>
          <w:lang w:eastAsia="en-GB" w:bidi="ar-SA"/>
        </w:rPr>
        <w:t>[5]</w:t>
      </w:r>
      <w:r>
        <w:fldChar w:fldCharType="end"/>
      </w:r>
      <w:r>
        <w:rPr>
          <w:szCs w:val="22"/>
          <w:lang w:eastAsia="en-GB" w:bidi="ar-SA"/>
        </w:rPr>
        <w:t>.</w:t>
      </w:r>
    </w:p>
    <w:p w14:paraId="0886E145" w14:textId="36790367" w:rsidR="00B97365" w:rsidRDefault="00000000">
      <w:pPr>
        <w:spacing w:before="0" w:after="200" w:line="276" w:lineRule="auto"/>
        <w:ind w:left="1560" w:hanging="1276"/>
        <w:jc w:val="left"/>
        <w:rPr>
          <w:szCs w:val="22"/>
          <w:lang w:eastAsia="en-GB" w:bidi="ar-SA"/>
        </w:rPr>
      </w:pPr>
      <w:r>
        <w:rPr>
          <w:rFonts w:cs="Arial"/>
          <w:szCs w:val="22"/>
          <w:lang w:eastAsia="en-GB" w:bidi="ar-SA"/>
        </w:rPr>
        <w:t xml:space="preserve">NOTE: </w:t>
      </w:r>
      <w:r>
        <w:rPr>
          <w:rFonts w:cs="Arial"/>
          <w:szCs w:val="22"/>
          <w:lang w:eastAsia="en-GB" w:bidi="ar-SA"/>
        </w:rPr>
        <w:tab/>
        <w:t xml:space="preserve">As defined in GSMA Remote Provisioning Architecture for Embedded UICC </w:t>
      </w:r>
      <w:r>
        <w:fldChar w:fldCharType="begin"/>
      </w:r>
      <w:r>
        <w:rPr>
          <w:szCs w:val="22"/>
          <w:lang w:eastAsia="en-GB" w:bidi="ar-SA"/>
        </w:rPr>
        <w:instrText xml:space="preserve"> REF _Ref421631399 \r \h </w:instrText>
      </w:r>
      <w:r>
        <w:fldChar w:fldCharType="separate"/>
      </w:r>
      <w:r w:rsidR="001D5AD9">
        <w:rPr>
          <w:szCs w:val="22"/>
          <w:lang w:eastAsia="en-GB" w:bidi="ar-SA"/>
        </w:rPr>
        <w:t>[1]</w:t>
      </w:r>
      <w:r>
        <w:fldChar w:fldCharType="end"/>
      </w:r>
      <w:r>
        <w:rPr>
          <w:szCs w:val="22"/>
          <w:lang w:eastAsia="en-GB" w:bidi="ar-SA"/>
        </w:rPr>
        <w:t>, the Initiator Role is assumed to be played by the Operator and functions related to this Role are specified in the ES4 interface.</w:t>
      </w:r>
    </w:p>
    <w:p w14:paraId="397CD375" w14:textId="77777777" w:rsidR="00B97365" w:rsidRDefault="00000000">
      <w:pPr>
        <w:spacing w:before="0" w:after="200" w:line="276" w:lineRule="auto"/>
        <w:ind w:left="1560" w:hanging="1276"/>
        <w:jc w:val="left"/>
        <w:rPr>
          <w:szCs w:val="22"/>
          <w:lang w:eastAsia="en-GB" w:bidi="ar-SA"/>
        </w:rPr>
      </w:pPr>
      <w:r>
        <w:rPr>
          <w:szCs w:val="22"/>
          <w:lang w:eastAsia="en-GB" w:bidi="ar-SA"/>
        </w:rPr>
        <w:lastRenderedPageBreak/>
        <w:t>NOTE:</w:t>
      </w:r>
      <w:r>
        <w:rPr>
          <w:szCs w:val="22"/>
          <w:lang w:eastAsia="en-GB" w:bidi="ar-SA"/>
        </w:rPr>
        <w:tab/>
        <w:t>ESx and its related operations for Emergency and Test Profiles (Local Enabling and Local Disabling), as well as the support of the Emergency Profile and Test Profile, are optional features.</w:t>
      </w:r>
    </w:p>
    <w:p w14:paraId="04C8FC9C"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36" w:name="_Toc374345661"/>
      <w:bookmarkStart w:id="237" w:name="_Toc374346007"/>
      <w:bookmarkStart w:id="238" w:name="_Toc374346352"/>
      <w:bookmarkStart w:id="239" w:name="_Toc374346698"/>
      <w:bookmarkStart w:id="240" w:name="_Toc374345662"/>
      <w:bookmarkStart w:id="241" w:name="_Toc374346008"/>
      <w:bookmarkStart w:id="242" w:name="_Toc374346353"/>
      <w:bookmarkStart w:id="243" w:name="_Toc374346699"/>
      <w:bookmarkStart w:id="244" w:name="_Toc353545707"/>
      <w:bookmarkStart w:id="245" w:name="_Toc368932156"/>
      <w:bookmarkStart w:id="246" w:name="_Toc374348471"/>
      <w:bookmarkStart w:id="247" w:name="_Toc375158195"/>
      <w:bookmarkStart w:id="248" w:name="_Toc398214779"/>
      <w:bookmarkStart w:id="249" w:name="_Toc420594305"/>
      <w:bookmarkStart w:id="250" w:name="_Toc421874237"/>
      <w:bookmarkStart w:id="251" w:name="_Toc422150664"/>
      <w:bookmarkStart w:id="252" w:name="_Toc448998195"/>
      <w:bookmarkStart w:id="253" w:name="_Toc486332811"/>
      <w:bookmarkStart w:id="254" w:name="_Toc1977210"/>
      <w:bookmarkStart w:id="255" w:name="_Toc37062365"/>
      <w:bookmarkStart w:id="256" w:name="_Toc88839489"/>
      <w:bookmarkStart w:id="257" w:name="_Toc121503897"/>
      <w:bookmarkEnd w:id="234"/>
      <w:bookmarkEnd w:id="236"/>
      <w:bookmarkEnd w:id="237"/>
      <w:bookmarkEnd w:id="238"/>
      <w:bookmarkEnd w:id="239"/>
      <w:bookmarkEnd w:id="240"/>
      <w:bookmarkEnd w:id="241"/>
      <w:bookmarkEnd w:id="242"/>
      <w:bookmarkEnd w:id="243"/>
      <w:r>
        <w:rPr>
          <w:rFonts w:eastAsia="Times New Roman" w:cs="Arial"/>
          <w:b/>
          <w:bCs/>
          <w:iCs/>
          <w:sz w:val="24"/>
          <w:szCs w:val="28"/>
          <w:lang w:eastAsia="en-US"/>
        </w:rPr>
        <w:t>eUICC Architecture</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D8F9CA1" w14:textId="77777777" w:rsidR="00B97365" w:rsidRDefault="00000000">
      <w:pPr>
        <w:spacing w:before="0" w:after="200" w:line="276" w:lineRule="auto"/>
        <w:jc w:val="left"/>
        <w:rPr>
          <w:rFonts w:cs="Calibri"/>
          <w:szCs w:val="22"/>
          <w:lang w:eastAsia="en-GB" w:bidi="ar-SA"/>
        </w:rPr>
      </w:pPr>
      <w:r>
        <w:rPr>
          <w:rFonts w:cs="Arial"/>
          <w:szCs w:val="22"/>
          <w:lang w:eastAsia="en-GB" w:bidi="ar-SA"/>
        </w:rPr>
        <w:t>This section focuses on the eUICC architecture which widely leverages current telecommunication standards, as well as GlobalPlatform standards that are especially well adapted to establish Role separation and data isolation. In particular, each entity will have a dedicated Security Domain with different privileges and configuration.</w:t>
      </w:r>
      <w:r>
        <w:rPr>
          <w:rFonts w:cs="Calibri"/>
          <w:szCs w:val="22"/>
          <w:lang w:eastAsia="en-GB" w:bidi="ar-SA"/>
        </w:rPr>
        <w:t xml:space="preserve"> </w:t>
      </w:r>
    </w:p>
    <w:p w14:paraId="7978898D"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58" w:name="_Toc448998196"/>
      <w:bookmarkStart w:id="259" w:name="_Toc422150665"/>
      <w:bookmarkStart w:id="260" w:name="_Toc421874238"/>
      <w:bookmarkStart w:id="261" w:name="_Toc420594306"/>
      <w:bookmarkStart w:id="262" w:name="_Toc398214780"/>
      <w:bookmarkStart w:id="263" w:name="_Toc375158196"/>
      <w:bookmarkStart w:id="264" w:name="_Toc368932157"/>
      <w:bookmarkStart w:id="265" w:name="_Toc358619622"/>
      <w:bookmarkStart w:id="266" w:name="_Ref357770397"/>
      <w:bookmarkStart w:id="267" w:name="_Toc486332812"/>
      <w:bookmarkStart w:id="268" w:name="_Toc1977211"/>
      <w:bookmarkStart w:id="269" w:name="_Toc37062366"/>
      <w:bookmarkStart w:id="270" w:name="_Toc88839490"/>
      <w:bookmarkStart w:id="271" w:name="_Toc121503898"/>
      <w:r>
        <w:rPr>
          <w:rFonts w:eastAsia="Times New Roman" w:cs="Arial"/>
          <w:b/>
          <w:bCs/>
          <w:iCs/>
          <w:sz w:val="24"/>
          <w:szCs w:val="26"/>
          <w:lang w:eastAsia="en-US"/>
        </w:rPr>
        <w:t>Security Domains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041E7DA" w14:textId="77777777" w:rsidR="00B97365" w:rsidRDefault="00000000">
      <w:pPr>
        <w:spacing w:before="0" w:after="200" w:line="276" w:lineRule="auto"/>
        <w:jc w:val="left"/>
        <w:rPr>
          <w:rFonts w:cs="Arial"/>
          <w:szCs w:val="22"/>
          <w:lang w:eastAsia="en-GB" w:bidi="ar-SA"/>
        </w:rPr>
      </w:pPr>
      <w:r>
        <w:rPr>
          <w:rFonts w:cs="Arial"/>
          <w:szCs w:val="22"/>
          <w:lang w:eastAsia="en-GB" w:bidi="ar-SA"/>
        </w:rPr>
        <w:t>The eUICC architecture comprises the following Security Domains for the purpose of Platform and Profile Management:</w:t>
      </w:r>
    </w:p>
    <w:p w14:paraId="1B6852F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ISD-R is the representative of the off-card entity SM-SR</w:t>
      </w:r>
    </w:p>
    <w:p w14:paraId="0C438D2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ECASD is the representative of the off-card entity CI</w:t>
      </w:r>
    </w:p>
    <w:p w14:paraId="1689AB5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An ISD-P is the representative of an off-card entity SM-DP. An eUICC can contain more than one ISD-P </w:t>
      </w:r>
    </w:p>
    <w:p w14:paraId="3A7FE51A" w14:textId="77777777" w:rsidR="00B97365" w:rsidRDefault="00000000">
      <w:pPr>
        <w:jc w:val="center"/>
        <w:rPr>
          <w:rFonts w:cs="Arial"/>
          <w:sz w:val="20"/>
        </w:rPr>
      </w:pPr>
      <w:r>
        <w:rPr>
          <w:rFonts w:cs="Arial"/>
          <w:sz w:val="20"/>
        </w:rPr>
        <w:object w:dxaOrig="7800" w:dyaOrig="3972" w14:anchorId="6DE67ABA">
          <v:shape id="_x0000_i1026" type="#_x0000_t75" style="width:390.05pt;height:198.25pt" o:ole="">
            <v:imagedata r:id="rId27" o:title=""/>
          </v:shape>
          <o:OLEObject Type="Embed" ProgID="PowerPoint.Slide.12" ShapeID="_x0000_i1026" DrawAspect="Content" ObjectID="_1738512071" r:id="rId28"/>
        </w:object>
      </w:r>
    </w:p>
    <w:p w14:paraId="5784F9E0"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Security Domain Architecture Overview</w:t>
      </w:r>
    </w:p>
    <w:p w14:paraId="2372E1A4" w14:textId="2A58A6A7" w:rsidR="00B97365" w:rsidRDefault="00000000">
      <w:pPr>
        <w:spacing w:before="0" w:after="200" w:line="276" w:lineRule="auto"/>
        <w:jc w:val="left"/>
        <w:rPr>
          <w:szCs w:val="22"/>
          <w:lang w:eastAsia="en-GB" w:bidi="ar-SA"/>
        </w:rPr>
      </w:pPr>
      <w:r>
        <w:rPr>
          <w:rFonts w:cs="Arial"/>
          <w:szCs w:val="22"/>
          <w:lang w:eastAsia="en-GB" w:bidi="ar-SA"/>
        </w:rPr>
        <w:t xml:space="preserve">An ISD, as specified in GlobalPlatform Card Specification </w:t>
      </w:r>
      <w:r>
        <w:rPr>
          <w:szCs w:val="22"/>
          <w:lang w:eastAsia="en-GB" w:bidi="ar-SA"/>
        </w:rPr>
        <w:fldChar w:fldCharType="begin"/>
      </w:r>
      <w:r>
        <w:rPr>
          <w:szCs w:val="22"/>
          <w:lang w:eastAsia="en-GB" w:bidi="ar-SA"/>
        </w:rPr>
        <w:instrText xml:space="preserve"> REF _Ref421631311 \r \h </w:instrText>
      </w:r>
      <w:r>
        <w:rPr>
          <w:szCs w:val="22"/>
          <w:lang w:eastAsia="en-GB" w:bidi="ar-SA"/>
        </w:rPr>
      </w:r>
      <w:r>
        <w:rPr>
          <w:szCs w:val="22"/>
          <w:lang w:eastAsia="en-GB" w:bidi="ar-SA"/>
        </w:rPr>
        <w:fldChar w:fldCharType="separate"/>
      </w:r>
      <w:r w:rsidR="001D5AD9">
        <w:rPr>
          <w:szCs w:val="22"/>
          <w:lang w:eastAsia="en-GB" w:bidi="ar-SA"/>
        </w:rPr>
        <w:t>[6]</w:t>
      </w:r>
      <w:r>
        <w:rPr>
          <w:szCs w:val="22"/>
          <w:lang w:eastAsia="en-GB" w:bidi="ar-SA"/>
        </w:rPr>
        <w:fldChar w:fldCharType="end"/>
      </w:r>
      <w:r>
        <w:rPr>
          <w:szCs w:val="22"/>
          <w:lang w:eastAsia="en-GB" w:bidi="ar-SA"/>
        </w:rPr>
        <w:t xml:space="preserve">, does not exist in the architecture of the eUICC. </w:t>
      </w:r>
    </w:p>
    <w:p w14:paraId="09470D33"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szCs w:val="28"/>
          <w:lang w:eastAsia="en-US"/>
        </w:rPr>
      </w:pPr>
      <w:bookmarkStart w:id="272" w:name="_Toc368932158"/>
      <w:bookmarkStart w:id="273" w:name="_Toc1977212"/>
      <w:bookmarkStart w:id="274" w:name="_Toc37062367"/>
      <w:r>
        <w:rPr>
          <w:rFonts w:ascii="Arial Bold" w:eastAsia="Times New Roman" w:hAnsi="Arial Bold" w:cs="Arial"/>
          <w:szCs w:val="28"/>
          <w:lang w:eastAsia="en-US"/>
        </w:rPr>
        <w:t>ISD-R</w:t>
      </w:r>
      <w:bookmarkEnd w:id="272"/>
      <w:bookmarkEnd w:id="273"/>
      <w:bookmarkEnd w:id="274"/>
    </w:p>
    <w:p w14:paraId="05D20EFC"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There SHALL be only one ISD-R on an eUICC. </w:t>
      </w:r>
    </w:p>
    <w:p w14:paraId="66958886" w14:textId="77777777" w:rsidR="00B97365" w:rsidRDefault="00000000">
      <w:pPr>
        <w:spacing w:before="0" w:after="200" w:line="276" w:lineRule="auto"/>
        <w:jc w:val="left"/>
        <w:rPr>
          <w:rFonts w:cs="Arial"/>
          <w:szCs w:val="22"/>
          <w:lang w:eastAsia="en-GB" w:bidi="ar-SA"/>
        </w:rPr>
      </w:pPr>
      <w:r>
        <w:rPr>
          <w:rFonts w:cs="Arial"/>
          <w:szCs w:val="22"/>
          <w:lang w:eastAsia="en-GB" w:bidi="ar-SA"/>
        </w:rPr>
        <w:t>The ISD-R SHALL be installed and first personalized by the EUM during eUICC manufacturing. The ISD-R SHALL be Associated with itself.</w:t>
      </w:r>
    </w:p>
    <w:p w14:paraId="11A3789D" w14:textId="1F852E5B" w:rsidR="00B97365" w:rsidRDefault="00000000">
      <w:pPr>
        <w:spacing w:before="0" w:after="200" w:line="276" w:lineRule="auto"/>
        <w:jc w:val="left"/>
        <w:rPr>
          <w:szCs w:val="22"/>
          <w:lang w:val="en-US" w:eastAsia="en-GB" w:bidi="ar-SA"/>
        </w:rPr>
      </w:pPr>
      <w:r>
        <w:rPr>
          <w:rFonts w:cs="Arial"/>
          <w:szCs w:val="22"/>
          <w:lang w:val="en-US" w:eastAsia="en-GB" w:bidi="ar-SA"/>
        </w:rPr>
        <w:t xml:space="preserve">After eUICC manufacturing, the ISD-R SHALL be in life-cycle state PERSONALIZED as defined in 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section 5.3. </w:t>
      </w:r>
      <w:bookmarkStart w:id="275" w:name="_Hlk367272288"/>
      <w:r>
        <w:rPr>
          <w:szCs w:val="22"/>
          <w:lang w:val="en-US" w:eastAsia="en-GB" w:bidi="ar-SA"/>
        </w:rPr>
        <w:t>The LOCKED state SHALL NOT be supported by the ISD-R.</w:t>
      </w:r>
      <w:bookmarkEnd w:id="275"/>
    </w:p>
    <w:p w14:paraId="4756E325" w14:textId="77777777" w:rsidR="00B97365" w:rsidRDefault="00000000">
      <w:pPr>
        <w:spacing w:before="0" w:after="200" w:line="276" w:lineRule="auto"/>
        <w:jc w:val="left"/>
        <w:rPr>
          <w:rFonts w:cs="Arial"/>
          <w:szCs w:val="22"/>
          <w:lang w:eastAsia="en-GB" w:bidi="ar-SA"/>
        </w:rPr>
      </w:pPr>
      <w:r>
        <w:rPr>
          <w:rFonts w:cs="Arial"/>
          <w:szCs w:val="22"/>
          <w:lang w:eastAsia="en-GB" w:bidi="ar-SA"/>
        </w:rPr>
        <w:t>The ISD-R privileges SHALL be granted according to Annex C.</w:t>
      </w:r>
    </w:p>
    <w:p w14:paraId="6B54E08D" w14:textId="77777777" w:rsidR="00B97365" w:rsidRDefault="00000000">
      <w:pPr>
        <w:spacing w:before="0" w:after="200" w:line="276" w:lineRule="auto"/>
        <w:jc w:val="left"/>
        <w:rPr>
          <w:rFonts w:cs="Arial"/>
          <w:szCs w:val="22"/>
          <w:lang w:eastAsia="en-GB" w:bidi="ar-SA"/>
        </w:rPr>
      </w:pPr>
      <w:r>
        <w:rPr>
          <w:rFonts w:cs="Arial"/>
          <w:szCs w:val="22"/>
          <w:lang w:eastAsia="en-GB" w:bidi="ar-SA"/>
        </w:rPr>
        <w:lastRenderedPageBreak/>
        <w:t>The ISD-R SHALL only be able to perform Platform Management functions on ISD-Ps.</w:t>
      </w:r>
    </w:p>
    <w:p w14:paraId="32376075"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szCs w:val="28"/>
          <w:lang w:eastAsia="en-US"/>
        </w:rPr>
      </w:pPr>
      <w:bookmarkStart w:id="276" w:name="_Toc368932159"/>
      <w:bookmarkStart w:id="277" w:name="_Toc1977213"/>
      <w:bookmarkStart w:id="278" w:name="_Toc37062368"/>
      <w:r>
        <w:rPr>
          <w:rFonts w:ascii="Arial Bold" w:eastAsia="Times New Roman" w:hAnsi="Arial Bold" w:cs="Arial"/>
          <w:szCs w:val="28"/>
          <w:lang w:eastAsia="en-US"/>
        </w:rPr>
        <w:t>ECASD</w:t>
      </w:r>
      <w:bookmarkEnd w:id="276"/>
      <w:bookmarkEnd w:id="277"/>
      <w:bookmarkEnd w:id="278"/>
    </w:p>
    <w:p w14:paraId="117C3D40"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There SHALL be only one ECASD on an eUICC. </w:t>
      </w:r>
    </w:p>
    <w:p w14:paraId="6646846F"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 ECASD SHALL be installed and personalized by the EUM during the eUICC manufacturing. The ECASD SHALL be Associated with the ISD-R. </w:t>
      </w:r>
    </w:p>
    <w:p w14:paraId="3A537B67" w14:textId="41767003" w:rsidR="00B97365" w:rsidRDefault="00000000">
      <w:pPr>
        <w:spacing w:before="0" w:after="200" w:line="276" w:lineRule="auto"/>
        <w:jc w:val="left"/>
        <w:rPr>
          <w:szCs w:val="22"/>
          <w:lang w:eastAsia="en-GB" w:bidi="ar-SA"/>
        </w:rPr>
      </w:pPr>
      <w:r>
        <w:rPr>
          <w:rFonts w:cs="Arial"/>
          <w:szCs w:val="22"/>
          <w:lang w:eastAsia="en-GB" w:bidi="ar-SA"/>
        </w:rPr>
        <w:t xml:space="preserve">After eUICC manufacturing, the ECASD SHALL be in life-cycle state PERSONALIZED as defined in GlobalPlatform Card Specification </w:t>
      </w:r>
      <w:r>
        <w:rPr>
          <w:szCs w:val="22"/>
          <w:lang w:eastAsia="en-GB" w:bidi="ar-SA"/>
        </w:rPr>
        <w:fldChar w:fldCharType="begin"/>
      </w:r>
      <w:r>
        <w:rPr>
          <w:szCs w:val="22"/>
          <w:lang w:eastAsia="en-GB" w:bidi="ar-SA"/>
        </w:rPr>
        <w:instrText xml:space="preserve"> REF _Ref421631311 \r \h </w:instrText>
      </w:r>
      <w:r>
        <w:rPr>
          <w:szCs w:val="22"/>
          <w:lang w:eastAsia="en-GB" w:bidi="ar-SA"/>
        </w:rPr>
      </w:r>
      <w:r>
        <w:rPr>
          <w:szCs w:val="22"/>
          <w:lang w:eastAsia="en-GB" w:bidi="ar-SA"/>
        </w:rPr>
        <w:fldChar w:fldCharType="separate"/>
      </w:r>
      <w:r w:rsidR="001D5AD9">
        <w:rPr>
          <w:szCs w:val="22"/>
          <w:lang w:eastAsia="en-GB" w:bidi="ar-SA"/>
        </w:rPr>
        <w:t>[6]</w:t>
      </w:r>
      <w:r>
        <w:rPr>
          <w:szCs w:val="22"/>
          <w:lang w:eastAsia="en-GB" w:bidi="ar-SA"/>
        </w:rPr>
        <w:fldChar w:fldCharType="end"/>
      </w:r>
      <w:r>
        <w:rPr>
          <w:szCs w:val="22"/>
          <w:lang w:eastAsia="en-GB" w:bidi="ar-SA"/>
        </w:rPr>
        <w:t>, section 5.3.</w:t>
      </w:r>
    </w:p>
    <w:p w14:paraId="2FB1F988" w14:textId="77777777" w:rsidR="00B97365" w:rsidRDefault="00000000">
      <w:pPr>
        <w:spacing w:before="0" w:after="200" w:line="276" w:lineRule="auto"/>
        <w:jc w:val="left"/>
        <w:rPr>
          <w:rFonts w:cs="Arial"/>
          <w:szCs w:val="22"/>
          <w:lang w:eastAsia="en-GB" w:bidi="ar-SA"/>
        </w:rPr>
      </w:pPr>
      <w:r>
        <w:rPr>
          <w:rFonts w:cs="Arial"/>
          <w:szCs w:val="22"/>
          <w:lang w:eastAsia="en-GB" w:bidi="ar-SA"/>
        </w:rPr>
        <w:t>The ECASD is involved in the following functions:</w:t>
      </w:r>
    </w:p>
    <w:p w14:paraId="59BEAB7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SM-DP key set establishment for Profile Download and Installation</w:t>
      </w:r>
    </w:p>
    <w:p w14:paraId="02C43AD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SM-SR key set establishment for SM-SR Change</w:t>
      </w:r>
    </w:p>
    <w:p w14:paraId="3D11F856" w14:textId="77777777" w:rsidR="00B97365" w:rsidRDefault="00B97365">
      <w:pPr>
        <w:spacing w:before="0" w:line="276" w:lineRule="auto"/>
        <w:jc w:val="left"/>
        <w:rPr>
          <w:rFonts w:cs="Arial"/>
          <w:szCs w:val="22"/>
          <w:lang w:eastAsia="en-GB" w:bidi="ar-SA"/>
        </w:rPr>
      </w:pPr>
    </w:p>
    <w:p w14:paraId="7570D7DA" w14:textId="77777777" w:rsidR="00B97365" w:rsidRDefault="00000000">
      <w:pPr>
        <w:spacing w:before="0" w:after="200" w:line="276" w:lineRule="auto"/>
        <w:jc w:val="left"/>
        <w:rPr>
          <w:rFonts w:cs="Arial"/>
          <w:szCs w:val="22"/>
          <w:lang w:eastAsia="en-GB" w:bidi="ar-SA"/>
        </w:rPr>
      </w:pPr>
      <w:r>
        <w:rPr>
          <w:rFonts w:cs="Arial"/>
          <w:szCs w:val="22"/>
          <w:lang w:eastAsia="en-GB" w:bidi="ar-SA"/>
        </w:rPr>
        <w:t>The ECASD SHALL be personalized by the EUM during eUICC manufacturing with:</w:t>
      </w:r>
    </w:p>
    <w:p w14:paraId="0515CA8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PK.CI.ECDSA</w:t>
      </w:r>
    </w:p>
    <w:p w14:paraId="300721C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SK.ECASD.ECKA</w:t>
      </w:r>
    </w:p>
    <w:p w14:paraId="1CA720B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CERT.ECASD.ECKA for eUICC Authentication and key establishment</w:t>
      </w:r>
    </w:p>
    <w:p w14:paraId="529DDA8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EID</w:t>
      </w:r>
    </w:p>
    <w:p w14:paraId="0CD537AD" w14:textId="77777777" w:rsidR="00B97365" w:rsidRDefault="00B97365">
      <w:pPr>
        <w:spacing w:before="0" w:line="276" w:lineRule="auto"/>
        <w:jc w:val="left"/>
        <w:rPr>
          <w:rFonts w:cs="Arial"/>
          <w:szCs w:val="22"/>
          <w:lang w:eastAsia="en-GB" w:bidi="ar-SA"/>
        </w:rPr>
      </w:pPr>
    </w:p>
    <w:p w14:paraId="6AC59806" w14:textId="4BF8AACB" w:rsidR="00B97365" w:rsidRDefault="00000000">
      <w:pPr>
        <w:spacing w:before="0" w:after="200" w:line="276" w:lineRule="auto"/>
        <w:jc w:val="left"/>
        <w:rPr>
          <w:szCs w:val="22"/>
          <w:lang w:eastAsia="en-GB" w:bidi="ar-SA"/>
        </w:rPr>
      </w:pPr>
      <w:r>
        <w:rPr>
          <w:rFonts w:cs="Arial"/>
          <w:szCs w:val="22"/>
          <w:lang w:eastAsia="en-GB" w:bidi="ar-SA"/>
        </w:rPr>
        <w:t xml:space="preserve">The ECASD SHALL comply with the requirements defined for the CASD in GlobalPlatform Card Specification UICC configuration </w:t>
      </w:r>
      <w:r>
        <w:rPr>
          <w:szCs w:val="22"/>
          <w:lang w:eastAsia="en-GB" w:bidi="ar-SA"/>
        </w:rPr>
        <w:fldChar w:fldCharType="begin"/>
      </w:r>
      <w:r>
        <w:rPr>
          <w:szCs w:val="22"/>
          <w:lang w:eastAsia="en-GB" w:bidi="ar-SA"/>
        </w:rPr>
        <w:instrText xml:space="preserve"> REF _Ref421631520 \r \h </w:instrText>
      </w:r>
      <w:r>
        <w:rPr>
          <w:szCs w:val="22"/>
          <w:lang w:eastAsia="en-GB" w:bidi="ar-SA"/>
        </w:rPr>
      </w:r>
      <w:r>
        <w:rPr>
          <w:szCs w:val="22"/>
          <w:lang w:eastAsia="en-GB" w:bidi="ar-SA"/>
        </w:rPr>
        <w:fldChar w:fldCharType="separate"/>
      </w:r>
      <w:r w:rsidR="001D5AD9">
        <w:rPr>
          <w:szCs w:val="22"/>
          <w:lang w:eastAsia="en-GB" w:bidi="ar-SA"/>
        </w:rPr>
        <w:t>[7]</w:t>
      </w:r>
      <w:r>
        <w:rPr>
          <w:szCs w:val="22"/>
          <w:lang w:eastAsia="en-GB" w:bidi="ar-SA"/>
        </w:rPr>
        <w:fldChar w:fldCharType="end"/>
      </w:r>
      <w:r>
        <w:rPr>
          <w:szCs w:val="22"/>
          <w:lang w:eastAsia="en-GB" w:bidi="ar-SA"/>
        </w:rPr>
        <w:t xml:space="preserve"> except:</w:t>
      </w:r>
    </w:p>
    <w:p w14:paraId="39661684" w14:textId="7696E5A5"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AIDs and TAR SHALL be allocated as defined in section </w:t>
      </w:r>
      <w:r>
        <w:fldChar w:fldCharType="begin"/>
      </w:r>
      <w:r>
        <w:instrText xml:space="preserve"> REF _Ref367967992 \r \h  \* MERGEFORMAT </w:instrText>
      </w:r>
      <w:r>
        <w:fldChar w:fldCharType="separate"/>
      </w:r>
      <w:r w:rsidR="001D5AD9" w:rsidRPr="001D5AD9">
        <w:rPr>
          <w:szCs w:val="22"/>
          <w:lang w:eastAsia="en-GB" w:bidi="ar-SA"/>
        </w:rPr>
        <w:t>2.2.3</w:t>
      </w:r>
      <w:r>
        <w:fldChar w:fldCharType="end"/>
      </w:r>
    </w:p>
    <w:p w14:paraId="1C7A950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Support of SCP 02 is not required</w:t>
      </w:r>
    </w:p>
    <w:p w14:paraId="25B3130B"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Only the ISD-R and ISD-Ps SHALL be able to use the ECASD services</w:t>
      </w:r>
    </w:p>
    <w:p w14:paraId="61EE5201" w14:textId="77777777" w:rsidR="00B97365" w:rsidRDefault="00B97365">
      <w:pPr>
        <w:tabs>
          <w:tab w:val="left" w:pos="680"/>
        </w:tabs>
        <w:spacing w:before="0" w:after="200" w:line="276" w:lineRule="auto"/>
        <w:contextualSpacing/>
        <w:jc w:val="left"/>
        <w:rPr>
          <w:rFonts w:cs="Arial"/>
          <w:szCs w:val="22"/>
          <w:lang w:eastAsia="en-GB" w:bidi="ar-SA"/>
        </w:rPr>
      </w:pPr>
    </w:p>
    <w:p w14:paraId="0ECCD55F"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szCs w:val="28"/>
          <w:lang w:eastAsia="en-US"/>
        </w:rPr>
      </w:pPr>
      <w:bookmarkStart w:id="279" w:name="_Toc368932160"/>
      <w:bookmarkStart w:id="280" w:name="_Ref367973299"/>
      <w:bookmarkStart w:id="281" w:name="_Toc1977214"/>
      <w:bookmarkStart w:id="282" w:name="_Toc37062369"/>
      <w:r>
        <w:rPr>
          <w:rFonts w:ascii="Arial Bold" w:eastAsia="Times New Roman" w:hAnsi="Arial Bold" w:cs="Arial"/>
          <w:szCs w:val="28"/>
          <w:lang w:eastAsia="en-US"/>
        </w:rPr>
        <w:t>ISD-P</w:t>
      </w:r>
      <w:bookmarkEnd w:id="279"/>
      <w:bookmarkEnd w:id="280"/>
      <w:bookmarkEnd w:id="281"/>
      <w:bookmarkEnd w:id="282"/>
    </w:p>
    <w:p w14:paraId="63224B4B" w14:textId="77777777" w:rsidR="00B97365" w:rsidRDefault="00000000">
      <w:pPr>
        <w:spacing w:before="0" w:after="200" w:line="276" w:lineRule="auto"/>
        <w:jc w:val="left"/>
        <w:rPr>
          <w:rFonts w:cs="Arial"/>
          <w:szCs w:val="22"/>
          <w:lang w:eastAsia="en-GB" w:bidi="ar-SA"/>
        </w:rPr>
      </w:pPr>
      <w:r>
        <w:rPr>
          <w:rFonts w:cs="Arial"/>
          <w:szCs w:val="22"/>
          <w:lang w:eastAsia="en-GB" w:bidi="ar-SA"/>
        </w:rPr>
        <w:t>An ISD-P hosts a unique Profile.</w:t>
      </w:r>
    </w:p>
    <w:p w14:paraId="35AF5569" w14:textId="77777777" w:rsidR="00B97365" w:rsidRDefault="00000000">
      <w:pPr>
        <w:spacing w:before="0" w:after="200" w:line="276" w:lineRule="auto"/>
        <w:jc w:val="left"/>
        <w:rPr>
          <w:rFonts w:cs="Arial"/>
          <w:szCs w:val="22"/>
          <w:lang w:eastAsia="en-GB" w:bidi="ar-SA"/>
        </w:rPr>
      </w:pPr>
      <w:r>
        <w:rPr>
          <w:rFonts w:cs="Arial"/>
          <w:szCs w:val="22"/>
          <w:lang w:eastAsia="en-GB" w:bidi="ar-SA"/>
        </w:rPr>
        <w:t>Only one ISD-P SHALL be enabled on an eUICC at any point in time.</w:t>
      </w:r>
    </w:p>
    <w:p w14:paraId="226C7CD5" w14:textId="700A7AE4" w:rsidR="00B97365" w:rsidRDefault="00000000">
      <w:pPr>
        <w:spacing w:before="0" w:after="200" w:line="276" w:lineRule="auto"/>
        <w:jc w:val="left"/>
        <w:rPr>
          <w:szCs w:val="22"/>
          <w:lang w:eastAsia="en-GB" w:bidi="ar-SA"/>
        </w:rPr>
      </w:pPr>
      <w:r>
        <w:rPr>
          <w:rFonts w:cs="Arial"/>
          <w:szCs w:val="22"/>
          <w:lang w:eastAsia="en-GB" w:bidi="ar-SA"/>
        </w:rPr>
        <w:t xml:space="preserve">An ISD-P SHALL be installed by the ISD-R and then personalized by its related SM-DP (see section </w:t>
      </w:r>
      <w:r>
        <w:fldChar w:fldCharType="begin"/>
      </w:r>
      <w:r>
        <w:instrText xml:space="preserve"> REF _Ref367967740 \r \h  \* MERGEFORMAT </w:instrText>
      </w:r>
      <w:r>
        <w:fldChar w:fldCharType="separate"/>
      </w:r>
      <w:r w:rsidR="001D5AD9" w:rsidRPr="001D5AD9">
        <w:rPr>
          <w:szCs w:val="22"/>
          <w:lang w:eastAsia="en-GB" w:bidi="ar-SA"/>
        </w:rPr>
        <w:t>3.1.1</w:t>
      </w:r>
      <w:r>
        <w:fldChar w:fldCharType="end"/>
      </w:r>
      <w:r>
        <w:rPr>
          <w:szCs w:val="22"/>
          <w:lang w:eastAsia="en-GB" w:bidi="ar-SA"/>
        </w:rPr>
        <w:t xml:space="preserve">). At least one ISD-P with a Profile SHALL be installed and first personalized by the EUM during eUICC manufacturing to allow future eUICC connectivity.  </w:t>
      </w:r>
    </w:p>
    <w:p w14:paraId="36FDA922" w14:textId="366B473E" w:rsidR="00B97365" w:rsidRDefault="00000000">
      <w:pPr>
        <w:spacing w:before="0" w:after="200" w:line="276" w:lineRule="auto"/>
        <w:jc w:val="left"/>
        <w:rPr>
          <w:szCs w:val="22"/>
          <w:lang w:eastAsia="en-GB" w:bidi="ar-SA"/>
        </w:rPr>
      </w:pPr>
      <w:r>
        <w:rPr>
          <w:szCs w:val="22"/>
          <w:lang w:eastAsia="en-GB" w:bidi="ar-SA"/>
        </w:rPr>
        <w:t xml:space="preserve">The ISD-P SHALL be able to receive and process a Profile Package, wrapped in an SCP03t Secure Channel, as specified in section </w:t>
      </w:r>
      <w:r>
        <w:rPr>
          <w:szCs w:val="22"/>
          <w:lang w:eastAsia="en-GB" w:bidi="ar-SA"/>
        </w:rPr>
        <w:fldChar w:fldCharType="begin"/>
      </w:r>
      <w:r>
        <w:rPr>
          <w:szCs w:val="22"/>
          <w:lang w:eastAsia="en-GB" w:bidi="ar-SA"/>
        </w:rPr>
        <w:instrText xml:space="preserve"> REF _Ref534204222 \r \h </w:instrText>
      </w:r>
      <w:r>
        <w:rPr>
          <w:szCs w:val="22"/>
          <w:lang w:eastAsia="en-GB" w:bidi="ar-SA"/>
        </w:rPr>
      </w:r>
      <w:r>
        <w:rPr>
          <w:szCs w:val="22"/>
          <w:lang w:eastAsia="en-GB" w:bidi="ar-SA"/>
        </w:rPr>
        <w:fldChar w:fldCharType="separate"/>
      </w:r>
      <w:r w:rsidR="001D5AD9">
        <w:rPr>
          <w:szCs w:val="22"/>
          <w:lang w:eastAsia="en-GB" w:bidi="ar-SA"/>
        </w:rPr>
        <w:t>4.1.3.3</w:t>
      </w:r>
      <w:r>
        <w:rPr>
          <w:szCs w:val="22"/>
          <w:lang w:eastAsia="en-GB" w:bidi="ar-SA"/>
        </w:rPr>
        <w:fldChar w:fldCharType="end"/>
      </w:r>
      <w:r>
        <w:rPr>
          <w:szCs w:val="22"/>
          <w:lang w:eastAsia="en-GB" w:bidi="ar-SA"/>
        </w:rPr>
        <w:t>.</w:t>
      </w:r>
    </w:p>
    <w:p w14:paraId="3C4E4835" w14:textId="24C963D4" w:rsidR="00B97365" w:rsidRDefault="00000000">
      <w:pPr>
        <w:spacing w:before="0" w:after="200" w:line="276" w:lineRule="auto"/>
        <w:jc w:val="left"/>
        <w:rPr>
          <w:szCs w:val="22"/>
          <w:lang w:eastAsia="en-GB" w:bidi="ar-SA"/>
        </w:rPr>
      </w:pPr>
      <w:r>
        <w:rPr>
          <w:szCs w:val="22"/>
          <w:lang w:eastAsia="en-GB" w:bidi="ar-SA"/>
        </w:rPr>
        <w:t xml:space="preserve">The eUICC SHALL support the SIMalliance: eUICC Profile Package - Interoperable Format Technical Specification </w:t>
      </w:r>
      <w:r>
        <w:rPr>
          <w:szCs w:val="22"/>
          <w:lang w:eastAsia="en-GB" w:bidi="ar-SA"/>
        </w:rPr>
        <w:fldChar w:fldCharType="begin"/>
      </w:r>
      <w:r>
        <w:rPr>
          <w:szCs w:val="22"/>
          <w:lang w:eastAsia="en-GB" w:bidi="ar-SA"/>
        </w:rPr>
        <w:instrText xml:space="preserve"> REF _Ref36665947 \r \h </w:instrText>
      </w:r>
      <w:r>
        <w:rPr>
          <w:szCs w:val="22"/>
          <w:lang w:eastAsia="en-GB" w:bidi="ar-SA"/>
        </w:rPr>
      </w:r>
      <w:r>
        <w:rPr>
          <w:szCs w:val="22"/>
          <w:lang w:eastAsia="en-GB" w:bidi="ar-SA"/>
        </w:rPr>
        <w:fldChar w:fldCharType="separate"/>
      </w:r>
      <w:r w:rsidR="001D5AD9">
        <w:rPr>
          <w:szCs w:val="22"/>
          <w:lang w:eastAsia="en-GB" w:bidi="ar-SA"/>
        </w:rPr>
        <w:t>[53]</w:t>
      </w:r>
      <w:r>
        <w:rPr>
          <w:szCs w:val="22"/>
          <w:lang w:eastAsia="en-GB" w:bidi="ar-SA"/>
        </w:rPr>
        <w:fldChar w:fldCharType="end"/>
      </w:r>
      <w:r>
        <w:rPr>
          <w:szCs w:val="22"/>
          <w:lang w:eastAsia="en-GB" w:bidi="ar-SA"/>
        </w:rPr>
        <w:t xml:space="preserve"> with the major version being 2 and the version being at least 2.3.1. The eUICC MAY in addition support higher major versions. The EUM SHALL indicate in the EIS the versions supported by the eUICC, as specified in section </w:t>
      </w:r>
      <w:r>
        <w:rPr>
          <w:szCs w:val="22"/>
          <w:lang w:eastAsia="en-GB" w:bidi="ar-SA"/>
        </w:rPr>
        <w:fldChar w:fldCharType="begin"/>
      </w:r>
      <w:r>
        <w:rPr>
          <w:szCs w:val="22"/>
          <w:lang w:eastAsia="en-GB" w:bidi="ar-SA"/>
        </w:rPr>
        <w:instrText xml:space="preserve"> REF _Ref36665872 \r \h </w:instrText>
      </w:r>
      <w:r>
        <w:rPr>
          <w:szCs w:val="22"/>
          <w:lang w:eastAsia="en-GB" w:bidi="ar-SA"/>
        </w:rPr>
      </w:r>
      <w:r>
        <w:rPr>
          <w:szCs w:val="22"/>
          <w:lang w:eastAsia="en-GB" w:bidi="ar-SA"/>
        </w:rPr>
        <w:fldChar w:fldCharType="separate"/>
      </w:r>
      <w:r w:rsidR="001D5AD9">
        <w:rPr>
          <w:szCs w:val="22"/>
          <w:lang w:eastAsia="en-GB" w:bidi="ar-SA"/>
        </w:rPr>
        <w:t>5.1.1.2.10</w:t>
      </w:r>
      <w:r>
        <w:rPr>
          <w:szCs w:val="22"/>
          <w:lang w:eastAsia="en-GB" w:bidi="ar-SA"/>
        </w:rPr>
        <w:fldChar w:fldCharType="end"/>
      </w:r>
      <w:r>
        <w:rPr>
          <w:szCs w:val="22"/>
          <w:lang w:eastAsia="en-GB" w:bidi="ar-SA"/>
        </w:rPr>
        <w:t>.</w:t>
      </w:r>
    </w:p>
    <w:p w14:paraId="2234DE57" w14:textId="049D004C" w:rsidR="00B97365" w:rsidRDefault="00000000">
      <w:pPr>
        <w:rPr>
          <w:rFonts w:cs="Arial"/>
          <w:lang w:eastAsia="en-GB"/>
        </w:rPr>
      </w:pPr>
      <w:r>
        <w:rPr>
          <w:rFonts w:cs="Arial"/>
          <w:lang w:eastAsia="en-GB"/>
        </w:rPr>
        <w:t xml:space="preserve">No component outside the ISD-P SHALL have visibility or access to any Profile component with the exception of the ISD-R, which SHALL have read access to POL1 and to the Connectivity Parameters as defined in section </w:t>
      </w:r>
      <w:r>
        <w:rPr>
          <w:rFonts w:cs="Arial"/>
          <w:lang w:eastAsia="en-GB"/>
        </w:rPr>
        <w:fldChar w:fldCharType="begin"/>
      </w:r>
      <w:r>
        <w:rPr>
          <w:rFonts w:cs="Arial"/>
          <w:lang w:eastAsia="en-GB"/>
        </w:rPr>
        <w:instrText xml:space="preserve"> REF _Ref367973189 \r \h </w:instrText>
      </w:r>
      <w:r>
        <w:rPr>
          <w:rFonts w:cs="Arial"/>
          <w:lang w:eastAsia="en-GB"/>
        </w:rPr>
      </w:r>
      <w:r>
        <w:rPr>
          <w:rFonts w:cs="Arial"/>
          <w:lang w:eastAsia="en-GB"/>
        </w:rPr>
        <w:fldChar w:fldCharType="separate"/>
      </w:r>
      <w:r w:rsidR="001D5AD9">
        <w:rPr>
          <w:rFonts w:cs="Arial"/>
          <w:lang w:eastAsia="en-GB"/>
        </w:rPr>
        <w:t>4.1.3.4</w:t>
      </w:r>
      <w:r>
        <w:rPr>
          <w:rFonts w:cs="Arial"/>
          <w:lang w:eastAsia="en-GB"/>
        </w:rPr>
        <w:fldChar w:fldCharType="end"/>
      </w:r>
      <w:r>
        <w:rPr>
          <w:rFonts w:cs="Arial"/>
          <w:lang w:eastAsia="en-GB"/>
        </w:rPr>
        <w:t xml:space="preserve">. </w:t>
      </w:r>
    </w:p>
    <w:p w14:paraId="61427536" w14:textId="77777777" w:rsidR="00B97365" w:rsidRDefault="00B97365">
      <w:pPr>
        <w:spacing w:before="0" w:after="200" w:line="276" w:lineRule="auto"/>
        <w:jc w:val="left"/>
        <w:rPr>
          <w:rFonts w:cs="Arial"/>
          <w:szCs w:val="22"/>
          <w:lang w:eastAsia="en-GB" w:bidi="ar-SA"/>
        </w:rPr>
      </w:pPr>
    </w:p>
    <w:p w14:paraId="4D978F01" w14:textId="77777777" w:rsidR="00B97365" w:rsidRDefault="00000000">
      <w:pPr>
        <w:spacing w:before="0" w:after="200" w:line="276" w:lineRule="auto"/>
        <w:jc w:val="left"/>
        <w:rPr>
          <w:rFonts w:cs="Arial"/>
          <w:szCs w:val="22"/>
          <w:lang w:eastAsia="en-GB" w:bidi="ar-SA"/>
        </w:rPr>
      </w:pPr>
      <w:r>
        <w:rPr>
          <w:rFonts w:cs="Arial"/>
          <w:szCs w:val="22"/>
          <w:lang w:eastAsia="en-GB" w:bidi="ar-SA"/>
        </w:rPr>
        <w:t>A Profile Component SHALL NOT have any visibility of, or access to, components outside its ISD-P. An ISD-P SHALL NOT have any visibility of, or access to, any other ISD-P.</w:t>
      </w:r>
    </w:p>
    <w:p w14:paraId="4A55F2E7"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It SHALL be possible to allocate the same AID within different Profiles. A Profile Component SHALL NOT use the reserved ISD-R, ISD-P and ECASD AIDs.  </w:t>
      </w:r>
    </w:p>
    <w:p w14:paraId="5E546414"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It SHALL be possible to allocate the same TAR within distinct Profiles. A Profile Component SHALL NOT use the reserved ISD-R, ISD-P and ECASD TARs.  </w:t>
      </w:r>
    </w:p>
    <w:p w14:paraId="66903D23"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An ISD-P SHALL remain associated to the ISD-R during all its life time in order for the ISD-R to be able to perform the Platform Management functions: </w:t>
      </w:r>
    </w:p>
    <w:p w14:paraId="46865AC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 Creation: the Association between the ISD-R and an ISD-P SHALL be created at that time</w:t>
      </w:r>
    </w:p>
    <w:p w14:paraId="2B566AA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 Deletion and Master Delete</w:t>
      </w:r>
    </w:p>
    <w:p w14:paraId="2D47408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Profile Enabling and Disabling</w:t>
      </w:r>
    </w:p>
    <w:p w14:paraId="218307B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Fall-Back Attribute setting</w:t>
      </w:r>
    </w:p>
    <w:p w14:paraId="3ACB78FB"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Transport function: The Association SHALL allow SCP03/SCP03t establishment between the SM-DP and the ISD-P.</w:t>
      </w:r>
    </w:p>
    <w:p w14:paraId="2AED00F0" w14:textId="77777777" w:rsidR="00B97365" w:rsidRDefault="00B97365">
      <w:pPr>
        <w:tabs>
          <w:tab w:val="left" w:pos="680"/>
        </w:tabs>
        <w:spacing w:before="0" w:after="200" w:line="276" w:lineRule="auto"/>
        <w:contextualSpacing/>
        <w:jc w:val="left"/>
        <w:rPr>
          <w:rFonts w:cs="Arial"/>
          <w:szCs w:val="22"/>
          <w:lang w:eastAsia="en-GB" w:bidi="ar-SA"/>
        </w:rPr>
      </w:pPr>
    </w:p>
    <w:p w14:paraId="6149C32A" w14:textId="2699CE0E" w:rsidR="00B97365" w:rsidRDefault="00000000">
      <w:pPr>
        <w:spacing w:before="0" w:after="200" w:line="276" w:lineRule="auto"/>
        <w:jc w:val="left"/>
        <w:rPr>
          <w:szCs w:val="22"/>
          <w:lang w:eastAsia="en-GB" w:bidi="ar-SA"/>
        </w:rPr>
      </w:pPr>
      <w:r>
        <w:rPr>
          <w:rFonts w:cs="Arial"/>
          <w:szCs w:val="22"/>
          <w:lang w:eastAsia="en-GB" w:bidi="ar-SA"/>
        </w:rPr>
        <w:t xml:space="preserve">ISD-P SHALL follow the life-cycle illustrated in the </w:t>
      </w:r>
      <w:r>
        <w:rPr>
          <w:szCs w:val="22"/>
          <w:lang w:eastAsia="en-GB" w:bidi="ar-SA"/>
        </w:rPr>
        <w:fldChar w:fldCharType="begin"/>
      </w:r>
      <w:r>
        <w:rPr>
          <w:szCs w:val="22"/>
          <w:lang w:eastAsia="en-GB" w:bidi="ar-SA"/>
        </w:rPr>
        <w:instrText xml:space="preserve"> REF _Ref373940676 \r \h </w:instrText>
      </w:r>
      <w:r>
        <w:rPr>
          <w:szCs w:val="22"/>
          <w:lang w:eastAsia="en-GB" w:bidi="ar-SA"/>
        </w:rPr>
      </w:r>
      <w:r>
        <w:rPr>
          <w:szCs w:val="22"/>
          <w:lang w:eastAsia="en-GB" w:bidi="ar-SA"/>
        </w:rPr>
        <w:fldChar w:fldCharType="separate"/>
      </w:r>
      <w:r w:rsidR="001D5AD9">
        <w:rPr>
          <w:szCs w:val="22"/>
          <w:lang w:eastAsia="en-GB" w:bidi="ar-SA"/>
        </w:rPr>
        <w:t>Figure 3</w:t>
      </w:r>
      <w:r>
        <w:rPr>
          <w:szCs w:val="22"/>
          <w:lang w:eastAsia="en-GB" w:bidi="ar-SA"/>
        </w:rPr>
        <w:fldChar w:fldCharType="end"/>
      </w:r>
      <w:r>
        <w:rPr>
          <w:szCs w:val="22"/>
          <w:lang w:eastAsia="en-GB" w:bidi="ar-SA"/>
        </w:rPr>
        <w:t xml:space="preserve">, based on the Security Domain life-cycle defined in GlobalPlatform Card Specification </w:t>
      </w:r>
      <w:r>
        <w:rPr>
          <w:szCs w:val="22"/>
          <w:lang w:eastAsia="en-GB" w:bidi="ar-SA"/>
        </w:rPr>
        <w:fldChar w:fldCharType="begin"/>
      </w:r>
      <w:r>
        <w:rPr>
          <w:szCs w:val="22"/>
          <w:lang w:eastAsia="en-GB" w:bidi="ar-SA"/>
        </w:rPr>
        <w:instrText xml:space="preserve"> REF _Ref421631311 \r \h </w:instrText>
      </w:r>
      <w:r>
        <w:rPr>
          <w:szCs w:val="22"/>
          <w:lang w:eastAsia="en-GB" w:bidi="ar-SA"/>
        </w:rPr>
      </w:r>
      <w:r>
        <w:rPr>
          <w:szCs w:val="22"/>
          <w:lang w:eastAsia="en-GB" w:bidi="ar-SA"/>
        </w:rPr>
        <w:fldChar w:fldCharType="separate"/>
      </w:r>
      <w:r w:rsidR="001D5AD9">
        <w:rPr>
          <w:szCs w:val="22"/>
          <w:lang w:eastAsia="en-GB" w:bidi="ar-SA"/>
        </w:rPr>
        <w:t>[6]</w:t>
      </w:r>
      <w:r>
        <w:rPr>
          <w:szCs w:val="22"/>
          <w:lang w:eastAsia="en-GB" w:bidi="ar-SA"/>
        </w:rPr>
        <w:fldChar w:fldCharType="end"/>
      </w:r>
      <w:r>
        <w:rPr>
          <w:szCs w:val="22"/>
          <w:lang w:eastAsia="en-GB" w:bidi="ar-SA"/>
        </w:rPr>
        <w:t>, section 5.3.</w:t>
      </w:r>
    </w:p>
    <w:p w14:paraId="65D10323" w14:textId="77777777" w:rsidR="00B97365" w:rsidRDefault="00000000">
      <w:pPr>
        <w:rPr>
          <w:rFonts w:cs="Arial"/>
          <w:sz w:val="20"/>
        </w:rPr>
      </w:pPr>
      <w:r>
        <w:rPr>
          <w:rFonts w:cs="Arial"/>
          <w:sz w:val="20"/>
        </w:rPr>
        <w:object w:dxaOrig="6816" w:dyaOrig="4561" w14:anchorId="3DFF1646">
          <v:shape id="_x0000_i1027" type="#_x0000_t75" style="width:449.75pt;height:298.6pt" o:ole="">
            <v:imagedata r:id="rId29" o:title="" croptop="11575f"/>
          </v:shape>
          <o:OLEObject Type="Embed" ProgID="PowerPoint.Slide.12" ShapeID="_x0000_i1027" DrawAspect="Content" ObjectID="_1738512072" r:id="rId30"/>
        </w:object>
      </w:r>
    </w:p>
    <w:p w14:paraId="1E72509A"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283" w:name="_Ref373940676"/>
      <w:r>
        <w:rPr>
          <w:rFonts w:cs="Arial"/>
          <w:b/>
          <w:szCs w:val="22"/>
          <w:lang w:val="en-US" w:eastAsia="en-GB" w:bidi="ar-SA"/>
        </w:rPr>
        <w:t>: ISD-P Life-Cycle State Transitions</w:t>
      </w:r>
      <w:bookmarkEnd w:id="283"/>
    </w:p>
    <w:p w14:paraId="228AD33A" w14:textId="4E281551" w:rsidR="00B97365" w:rsidRDefault="00000000">
      <w:pPr>
        <w:spacing w:before="0" w:after="200" w:line="276" w:lineRule="auto"/>
        <w:jc w:val="left"/>
        <w:rPr>
          <w:szCs w:val="22"/>
          <w:lang w:eastAsia="en-GB" w:bidi="ar-SA"/>
        </w:rPr>
      </w:pPr>
      <w:r>
        <w:rPr>
          <w:rFonts w:cs="Arial"/>
          <w:szCs w:val="22"/>
          <w:lang w:eastAsia="en-GB" w:bidi="ar-SA"/>
        </w:rPr>
        <w:lastRenderedPageBreak/>
        <w:t xml:space="preserve">After execution of the procedure described in section </w:t>
      </w:r>
      <w:r>
        <w:fldChar w:fldCharType="begin"/>
      </w:r>
      <w:r>
        <w:instrText xml:space="preserve"> REF _Ref367967773 \r \h  \* MERGEFORMAT </w:instrText>
      </w:r>
      <w:r>
        <w:fldChar w:fldCharType="separate"/>
      </w:r>
      <w:r w:rsidR="001D5AD9" w:rsidRPr="001D5AD9">
        <w:rPr>
          <w:szCs w:val="22"/>
          <w:lang w:eastAsia="en-GB" w:bidi="ar-SA"/>
        </w:rPr>
        <w:t>3.1.1</w:t>
      </w:r>
      <w:r>
        <w:fldChar w:fldCharType="end"/>
      </w:r>
      <w:r>
        <w:rPr>
          <w:szCs w:val="22"/>
          <w:lang w:eastAsia="en-GB" w:bidi="ar-SA"/>
        </w:rPr>
        <w:t xml:space="preserve">, the ISD-P SHALL be in SELECTABLE state. After execution of the procedure described in section </w:t>
      </w:r>
      <w:r>
        <w:fldChar w:fldCharType="begin"/>
      </w:r>
      <w:r>
        <w:instrText xml:space="preserve"> REF _Ref367967791 \r \h  \* MERGEFORMAT </w:instrText>
      </w:r>
      <w:r>
        <w:fldChar w:fldCharType="separate"/>
      </w:r>
      <w:r w:rsidR="001D5AD9" w:rsidRPr="001D5AD9">
        <w:rPr>
          <w:szCs w:val="22"/>
          <w:lang w:eastAsia="en-GB" w:bidi="ar-SA"/>
        </w:rPr>
        <w:t>3.1.2</w:t>
      </w:r>
      <w:r>
        <w:fldChar w:fldCharType="end"/>
      </w:r>
      <w:r>
        <w:rPr>
          <w:szCs w:val="22"/>
          <w:lang w:eastAsia="en-GB" w:bidi="ar-SA"/>
        </w:rPr>
        <w:t xml:space="preserve">, the ISD-P SHALL be in PERSONALIZED state. </w:t>
      </w:r>
    </w:p>
    <w:p w14:paraId="42D62326" w14:textId="2FA687FB" w:rsidR="00B97365" w:rsidRDefault="00000000">
      <w:pPr>
        <w:spacing w:before="0" w:after="200" w:line="276" w:lineRule="auto"/>
        <w:ind w:left="1560" w:hanging="1276"/>
        <w:jc w:val="left"/>
        <w:rPr>
          <w:szCs w:val="22"/>
          <w:lang w:eastAsia="en-GB" w:bidi="ar-SA"/>
        </w:rPr>
      </w:pPr>
      <w:r>
        <w:rPr>
          <w:rFonts w:cs="Arial"/>
          <w:szCs w:val="22"/>
          <w:lang w:eastAsia="en-GB" w:bidi="ar-SA"/>
        </w:rPr>
        <w:t xml:space="preserve">NOTE: </w:t>
      </w:r>
      <w:r>
        <w:rPr>
          <w:rFonts w:cs="Arial"/>
          <w:szCs w:val="22"/>
          <w:lang w:eastAsia="en-GB" w:bidi="ar-SA"/>
        </w:rPr>
        <w:tab/>
        <w:t xml:space="preserve">The INSTALLED state for security domains defined in GlobalPlatform Card Specification </w:t>
      </w:r>
      <w:r>
        <w:fldChar w:fldCharType="begin"/>
      </w:r>
      <w:r>
        <w:instrText xml:space="preserve"> REF _Ref421631311 \r \h  \* MERGEFORMAT </w:instrText>
      </w:r>
      <w:r>
        <w:fldChar w:fldCharType="separate"/>
      </w:r>
      <w:r w:rsidR="001D5AD9" w:rsidRPr="001D5AD9">
        <w:rPr>
          <w:szCs w:val="22"/>
          <w:lang w:eastAsia="en-GB" w:bidi="ar-SA"/>
        </w:rPr>
        <w:t>[6]</w:t>
      </w:r>
      <w:r>
        <w:fldChar w:fldCharType="end"/>
      </w:r>
      <w:r>
        <w:rPr>
          <w:szCs w:val="22"/>
          <w:lang w:eastAsia="en-GB" w:bidi="ar-SA"/>
        </w:rPr>
        <w:t xml:space="preserve"> is skipped by the command for ISD-P creation defined in section </w:t>
      </w:r>
      <w:r>
        <w:fldChar w:fldCharType="begin"/>
      </w:r>
      <w:r>
        <w:instrText xml:space="preserve"> REF _Ref373915906 \r \h  \* MERGEFORMAT </w:instrText>
      </w:r>
      <w:r>
        <w:fldChar w:fldCharType="separate"/>
      </w:r>
      <w:r w:rsidR="001D5AD9" w:rsidRPr="001D5AD9">
        <w:rPr>
          <w:szCs w:val="22"/>
          <w:lang w:eastAsia="en-GB" w:bidi="ar-SA"/>
        </w:rPr>
        <w:t>4.1.1.1</w:t>
      </w:r>
      <w:r>
        <w:fldChar w:fldCharType="end"/>
      </w:r>
      <w:r>
        <w:rPr>
          <w:szCs w:val="22"/>
          <w:lang w:eastAsia="en-GB" w:bidi="ar-SA"/>
        </w:rPr>
        <w:t>.</w:t>
      </w:r>
    </w:p>
    <w:p w14:paraId="2C0F42CC" w14:textId="3AA0DA35" w:rsidR="00B97365" w:rsidRDefault="00000000">
      <w:pPr>
        <w:spacing w:before="0" w:after="200" w:line="276" w:lineRule="auto"/>
        <w:jc w:val="left"/>
        <w:rPr>
          <w:szCs w:val="22"/>
          <w:lang w:eastAsia="en-GB" w:bidi="ar-SA"/>
        </w:rPr>
      </w:pPr>
      <w:r>
        <w:rPr>
          <w:rFonts w:cs="Arial"/>
          <w:szCs w:val="22"/>
          <w:lang w:eastAsia="en-GB" w:bidi="ar-SA"/>
        </w:rPr>
        <w:t xml:space="preserve">After execution of the procedure described in section </w:t>
      </w:r>
      <w:r>
        <w:fldChar w:fldCharType="begin"/>
      </w:r>
      <w:r>
        <w:instrText xml:space="preserve"> REF _Ref367967827 \r \h  \* MERGEFORMAT </w:instrText>
      </w:r>
      <w:r>
        <w:fldChar w:fldCharType="separate"/>
      </w:r>
      <w:r w:rsidR="001D5AD9" w:rsidRPr="001D5AD9">
        <w:rPr>
          <w:szCs w:val="22"/>
          <w:lang w:eastAsia="en-GB" w:bidi="ar-SA"/>
        </w:rPr>
        <w:t>3.1.3</w:t>
      </w:r>
      <w:r>
        <w:fldChar w:fldCharType="end"/>
      </w:r>
      <w:r>
        <w:rPr>
          <w:szCs w:val="22"/>
          <w:lang w:eastAsia="en-GB" w:bidi="ar-SA"/>
        </w:rPr>
        <w:t xml:space="preserve"> or </w:t>
      </w:r>
      <w:r>
        <w:fldChar w:fldCharType="begin"/>
      </w:r>
      <w:r>
        <w:instrText xml:space="preserve"> REF _Ref367967843 \r \h  \* MERGEFORMAT </w:instrText>
      </w:r>
      <w:r>
        <w:fldChar w:fldCharType="separate"/>
      </w:r>
      <w:r w:rsidR="001D5AD9" w:rsidRPr="001D5AD9">
        <w:rPr>
          <w:szCs w:val="22"/>
          <w:lang w:eastAsia="en-GB" w:bidi="ar-SA"/>
        </w:rPr>
        <w:t>3.4</w:t>
      </w:r>
      <w:r>
        <w:fldChar w:fldCharType="end"/>
      </w:r>
      <w:r>
        <w:rPr>
          <w:szCs w:val="22"/>
          <w:lang w:eastAsia="en-GB" w:bidi="ar-SA"/>
        </w:rPr>
        <w:t xml:space="preserve">, the ISD-P SHALL be in the DISABLED state. The ISD-P can also transition to the DISABLED state as the result of the enabling of another ISD-P as described in section </w:t>
      </w:r>
      <w:r>
        <w:fldChar w:fldCharType="begin"/>
      </w:r>
      <w:r>
        <w:instrText xml:space="preserve"> REF _Ref367967873 \r \h  \* MERGEFORMAT </w:instrText>
      </w:r>
      <w:r>
        <w:fldChar w:fldCharType="separate"/>
      </w:r>
      <w:r w:rsidR="001D5AD9" w:rsidRPr="001D5AD9">
        <w:rPr>
          <w:szCs w:val="22"/>
          <w:lang w:eastAsia="en-GB" w:bidi="ar-SA"/>
        </w:rPr>
        <w:t>3.2</w:t>
      </w:r>
      <w:r>
        <w:fldChar w:fldCharType="end"/>
      </w:r>
      <w:r>
        <w:rPr>
          <w:szCs w:val="22"/>
          <w:lang w:eastAsia="en-GB" w:bidi="ar-SA"/>
        </w:rPr>
        <w:t>, or the activation of the Fall-Back Mechanism.</w:t>
      </w:r>
    </w:p>
    <w:p w14:paraId="6082455A" w14:textId="7695D80B" w:rsidR="00B97365" w:rsidRDefault="00000000">
      <w:pPr>
        <w:spacing w:before="0" w:after="200" w:line="276" w:lineRule="auto"/>
        <w:jc w:val="left"/>
        <w:rPr>
          <w:szCs w:val="22"/>
          <w:lang w:eastAsia="en-GB" w:bidi="ar-SA"/>
        </w:rPr>
      </w:pPr>
      <w:r>
        <w:rPr>
          <w:rFonts w:cs="Arial"/>
          <w:szCs w:val="22"/>
          <w:lang w:eastAsia="en-GB" w:bidi="ar-SA"/>
        </w:rPr>
        <w:t xml:space="preserve">After execution of the procedure described in section </w:t>
      </w:r>
      <w:r>
        <w:fldChar w:fldCharType="begin"/>
      </w:r>
      <w:r>
        <w:instrText xml:space="preserve"> REF _Ref367968025 \r \h  \* MERGEFORMAT </w:instrText>
      </w:r>
      <w:r>
        <w:fldChar w:fldCharType="separate"/>
      </w:r>
      <w:r w:rsidR="001D5AD9" w:rsidRPr="001D5AD9">
        <w:rPr>
          <w:szCs w:val="22"/>
          <w:lang w:eastAsia="en-GB" w:bidi="ar-SA"/>
        </w:rPr>
        <w:t>3.2</w:t>
      </w:r>
      <w:r>
        <w:fldChar w:fldCharType="end"/>
      </w:r>
      <w:r>
        <w:rPr>
          <w:szCs w:val="22"/>
          <w:lang w:eastAsia="en-GB" w:bidi="ar-SA"/>
        </w:rPr>
        <w:t>, the ISD-P SHALL be in the ENABLED state. The ISD-P can also transition to the ENABLED state as the result of the activation of the Fall-Back Mechanism.</w:t>
      </w:r>
    </w:p>
    <w:p w14:paraId="00AB8536" w14:textId="77777777" w:rsidR="00B97365" w:rsidRDefault="00000000">
      <w:pPr>
        <w:spacing w:before="0" w:after="200" w:line="276" w:lineRule="auto"/>
        <w:jc w:val="left"/>
        <w:rPr>
          <w:rFonts w:cs="Arial"/>
          <w:szCs w:val="22"/>
          <w:lang w:eastAsia="en-GB" w:bidi="ar-SA"/>
        </w:rPr>
      </w:pPr>
      <w:r>
        <w:rPr>
          <w:rFonts w:cs="Arial"/>
          <w:szCs w:val="22"/>
          <w:lang w:eastAsia="en-GB" w:bidi="ar-SA"/>
        </w:rPr>
        <w:t>Deletion removes the ISD-P with its Profile from the eUICC.</w:t>
      </w:r>
    </w:p>
    <w:p w14:paraId="4F22113A" w14:textId="77777777" w:rsidR="00B97365" w:rsidRDefault="00000000">
      <w:pPr>
        <w:spacing w:before="0" w:after="200" w:line="276" w:lineRule="auto"/>
        <w:jc w:val="left"/>
        <w:rPr>
          <w:rFonts w:cs="Arial"/>
          <w:szCs w:val="22"/>
          <w:lang w:eastAsia="en-GB" w:bidi="ar-SA"/>
        </w:rPr>
      </w:pPr>
      <w:r>
        <w:rPr>
          <w:rFonts w:cs="Arial"/>
          <w:szCs w:val="22"/>
          <w:lang w:eastAsia="en-GB" w:bidi="ar-SA"/>
        </w:rPr>
        <w:t>The LOCKED state SHALL NOT be supported by an ISD-P.</w:t>
      </w:r>
    </w:p>
    <w:p w14:paraId="68FBC924" w14:textId="7F54A5D7" w:rsidR="00B97365" w:rsidRDefault="00000000">
      <w:pPr>
        <w:spacing w:before="0" w:after="200" w:line="276" w:lineRule="auto"/>
        <w:jc w:val="left"/>
        <w:rPr>
          <w:szCs w:val="22"/>
          <w:lang w:eastAsia="en-GB" w:bidi="ar-SA"/>
        </w:rPr>
      </w:pPr>
      <w:r>
        <w:rPr>
          <w:rFonts w:cs="Arial"/>
          <w:szCs w:val="22"/>
          <w:lang w:eastAsia="en-GB" w:bidi="ar-SA"/>
        </w:rPr>
        <w:t xml:space="preserve">For coding the states, table 11-5 of GlobalPlatform Card Specification </w:t>
      </w:r>
      <w:r>
        <w:rPr>
          <w:szCs w:val="22"/>
          <w:lang w:eastAsia="en-GB" w:bidi="ar-SA"/>
        </w:rPr>
        <w:fldChar w:fldCharType="begin"/>
      </w:r>
      <w:r>
        <w:rPr>
          <w:szCs w:val="22"/>
          <w:lang w:eastAsia="en-GB" w:bidi="ar-SA"/>
        </w:rPr>
        <w:instrText xml:space="preserve"> REF _Ref421631311 \r \h </w:instrText>
      </w:r>
      <w:r>
        <w:rPr>
          <w:szCs w:val="22"/>
          <w:lang w:eastAsia="en-GB" w:bidi="ar-SA"/>
        </w:rPr>
      </w:r>
      <w:r>
        <w:rPr>
          <w:szCs w:val="22"/>
          <w:lang w:eastAsia="en-GB" w:bidi="ar-SA"/>
        </w:rPr>
        <w:fldChar w:fldCharType="separate"/>
      </w:r>
      <w:r w:rsidR="001D5AD9">
        <w:rPr>
          <w:szCs w:val="22"/>
          <w:lang w:eastAsia="en-GB" w:bidi="ar-SA"/>
        </w:rPr>
        <w:t>[6]</w:t>
      </w:r>
      <w:r>
        <w:rPr>
          <w:szCs w:val="22"/>
          <w:lang w:eastAsia="en-GB" w:bidi="ar-SA"/>
        </w:rPr>
        <w:fldChar w:fldCharType="end"/>
      </w:r>
      <w:r>
        <w:rPr>
          <w:szCs w:val="22"/>
          <w:lang w:eastAsia="en-GB" w:bidi="ar-SA"/>
        </w:rPr>
        <w:t xml:space="preserve"> is modified as follows: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38"/>
        <w:gridCol w:w="450"/>
        <w:gridCol w:w="450"/>
        <w:gridCol w:w="450"/>
        <w:gridCol w:w="451"/>
        <w:gridCol w:w="450"/>
        <w:gridCol w:w="540"/>
        <w:gridCol w:w="479"/>
        <w:gridCol w:w="3156"/>
      </w:tblGrid>
      <w:tr w:rsidR="00B97365" w14:paraId="3E62B094" w14:textId="77777777">
        <w:trPr>
          <w:tblHeader/>
          <w:jc w:val="center"/>
        </w:trPr>
        <w:tc>
          <w:tcPr>
            <w:tcW w:w="438" w:type="dxa"/>
            <w:tcBorders>
              <w:top w:val="single" w:sz="4" w:space="0" w:color="auto"/>
              <w:left w:val="single" w:sz="4" w:space="0" w:color="auto"/>
              <w:bottom w:val="single" w:sz="6" w:space="0" w:color="auto"/>
              <w:right w:val="single" w:sz="6" w:space="0" w:color="auto"/>
            </w:tcBorders>
            <w:shd w:val="clear" w:color="auto" w:fill="C00000"/>
            <w:tcMar>
              <w:top w:w="0" w:type="dxa"/>
              <w:left w:w="0" w:type="dxa"/>
              <w:bottom w:w="0" w:type="dxa"/>
              <w:right w:w="0" w:type="dxa"/>
            </w:tcMar>
            <w:vAlign w:val="center"/>
            <w:hideMark/>
          </w:tcPr>
          <w:p w14:paraId="1E60650A" w14:textId="77777777" w:rsidR="00B97365" w:rsidRDefault="00000000">
            <w:pPr>
              <w:keepNext/>
              <w:spacing w:before="60" w:line="276" w:lineRule="auto"/>
              <w:rPr>
                <w:rFonts w:cs="Arial"/>
                <w:b/>
                <w:color w:val="FFFFFF"/>
                <w:szCs w:val="22"/>
                <w:lang w:val="en-US" w:eastAsia="en-GB" w:bidi="ar-SA"/>
              </w:rPr>
            </w:pPr>
            <w:r>
              <w:rPr>
                <w:rFonts w:cs="Arial"/>
                <w:b/>
                <w:color w:val="FFFFFF"/>
                <w:szCs w:val="22"/>
                <w:lang w:val="en-US" w:eastAsia="en-GB" w:bidi="ar-SA"/>
              </w:rPr>
              <w:t>b8</w:t>
            </w:r>
          </w:p>
        </w:tc>
        <w:tc>
          <w:tcPr>
            <w:tcW w:w="450" w:type="dxa"/>
            <w:tcBorders>
              <w:top w:val="single" w:sz="4" w:space="0" w:color="auto"/>
              <w:left w:val="single" w:sz="6" w:space="0" w:color="auto"/>
              <w:bottom w:val="single" w:sz="6" w:space="0" w:color="auto"/>
              <w:right w:val="single" w:sz="6" w:space="0" w:color="auto"/>
            </w:tcBorders>
            <w:shd w:val="clear" w:color="auto" w:fill="C00000"/>
            <w:tcMar>
              <w:top w:w="0" w:type="dxa"/>
              <w:left w:w="0" w:type="dxa"/>
              <w:bottom w:w="0" w:type="dxa"/>
              <w:right w:w="0" w:type="dxa"/>
            </w:tcMar>
            <w:vAlign w:val="center"/>
            <w:hideMark/>
          </w:tcPr>
          <w:p w14:paraId="7310E6E1"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b7</w:t>
            </w:r>
          </w:p>
        </w:tc>
        <w:tc>
          <w:tcPr>
            <w:tcW w:w="450" w:type="dxa"/>
            <w:tcBorders>
              <w:top w:val="single" w:sz="4" w:space="0" w:color="auto"/>
              <w:left w:val="single" w:sz="6" w:space="0" w:color="auto"/>
              <w:bottom w:val="single" w:sz="6" w:space="0" w:color="auto"/>
              <w:right w:val="single" w:sz="6" w:space="0" w:color="auto"/>
            </w:tcBorders>
            <w:shd w:val="clear" w:color="auto" w:fill="C00000"/>
            <w:tcMar>
              <w:top w:w="0" w:type="dxa"/>
              <w:left w:w="0" w:type="dxa"/>
              <w:bottom w:w="0" w:type="dxa"/>
              <w:right w:w="0" w:type="dxa"/>
            </w:tcMar>
            <w:vAlign w:val="center"/>
            <w:hideMark/>
          </w:tcPr>
          <w:p w14:paraId="6A76330E"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b6</w:t>
            </w:r>
          </w:p>
        </w:tc>
        <w:tc>
          <w:tcPr>
            <w:tcW w:w="450" w:type="dxa"/>
            <w:tcBorders>
              <w:top w:val="single" w:sz="4" w:space="0" w:color="auto"/>
              <w:left w:val="single" w:sz="6" w:space="0" w:color="auto"/>
              <w:bottom w:val="single" w:sz="6" w:space="0" w:color="auto"/>
              <w:right w:val="single" w:sz="6" w:space="0" w:color="auto"/>
            </w:tcBorders>
            <w:shd w:val="clear" w:color="auto" w:fill="C00000"/>
            <w:tcMar>
              <w:top w:w="0" w:type="dxa"/>
              <w:left w:w="0" w:type="dxa"/>
              <w:bottom w:w="0" w:type="dxa"/>
              <w:right w:w="0" w:type="dxa"/>
            </w:tcMar>
            <w:vAlign w:val="center"/>
            <w:hideMark/>
          </w:tcPr>
          <w:p w14:paraId="5391A0E3"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b5</w:t>
            </w:r>
          </w:p>
        </w:tc>
        <w:tc>
          <w:tcPr>
            <w:tcW w:w="451" w:type="dxa"/>
            <w:tcBorders>
              <w:top w:val="single" w:sz="4" w:space="0" w:color="auto"/>
              <w:left w:val="single" w:sz="6" w:space="0" w:color="auto"/>
              <w:bottom w:val="single" w:sz="6" w:space="0" w:color="auto"/>
              <w:right w:val="single" w:sz="6" w:space="0" w:color="auto"/>
            </w:tcBorders>
            <w:shd w:val="clear" w:color="auto" w:fill="C00000"/>
            <w:tcMar>
              <w:top w:w="0" w:type="dxa"/>
              <w:left w:w="0" w:type="dxa"/>
              <w:bottom w:w="0" w:type="dxa"/>
              <w:right w:w="0" w:type="dxa"/>
            </w:tcMar>
            <w:vAlign w:val="center"/>
            <w:hideMark/>
          </w:tcPr>
          <w:p w14:paraId="14D60786"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b4</w:t>
            </w:r>
          </w:p>
        </w:tc>
        <w:tc>
          <w:tcPr>
            <w:tcW w:w="450" w:type="dxa"/>
            <w:tcBorders>
              <w:top w:val="single" w:sz="4" w:space="0" w:color="auto"/>
              <w:left w:val="single" w:sz="6" w:space="0" w:color="auto"/>
              <w:bottom w:val="single" w:sz="6" w:space="0" w:color="auto"/>
              <w:right w:val="single" w:sz="6" w:space="0" w:color="auto"/>
            </w:tcBorders>
            <w:shd w:val="clear" w:color="auto" w:fill="C00000"/>
            <w:tcMar>
              <w:top w:w="0" w:type="dxa"/>
              <w:left w:w="0" w:type="dxa"/>
              <w:bottom w:w="0" w:type="dxa"/>
              <w:right w:w="0" w:type="dxa"/>
            </w:tcMar>
            <w:vAlign w:val="center"/>
            <w:hideMark/>
          </w:tcPr>
          <w:p w14:paraId="71EB5819"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b3</w:t>
            </w:r>
          </w:p>
        </w:tc>
        <w:tc>
          <w:tcPr>
            <w:tcW w:w="540" w:type="dxa"/>
            <w:tcBorders>
              <w:top w:val="single" w:sz="4" w:space="0" w:color="auto"/>
              <w:left w:val="single" w:sz="6" w:space="0" w:color="auto"/>
              <w:bottom w:val="single" w:sz="6" w:space="0" w:color="auto"/>
              <w:right w:val="single" w:sz="6" w:space="0" w:color="auto"/>
            </w:tcBorders>
            <w:shd w:val="clear" w:color="auto" w:fill="C00000"/>
            <w:tcMar>
              <w:top w:w="0" w:type="dxa"/>
              <w:left w:w="0" w:type="dxa"/>
              <w:bottom w:w="0" w:type="dxa"/>
              <w:right w:w="0" w:type="dxa"/>
            </w:tcMar>
            <w:vAlign w:val="center"/>
            <w:hideMark/>
          </w:tcPr>
          <w:p w14:paraId="6C9FAEAA"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b2</w:t>
            </w:r>
          </w:p>
        </w:tc>
        <w:tc>
          <w:tcPr>
            <w:tcW w:w="479" w:type="dxa"/>
            <w:tcBorders>
              <w:top w:val="single" w:sz="4" w:space="0" w:color="auto"/>
              <w:left w:val="single" w:sz="6" w:space="0" w:color="auto"/>
              <w:bottom w:val="single" w:sz="6" w:space="0" w:color="auto"/>
              <w:right w:val="single" w:sz="6" w:space="0" w:color="auto"/>
            </w:tcBorders>
            <w:shd w:val="clear" w:color="auto" w:fill="C00000"/>
            <w:tcMar>
              <w:top w:w="0" w:type="dxa"/>
              <w:left w:w="0" w:type="dxa"/>
              <w:bottom w:w="0" w:type="dxa"/>
              <w:right w:w="0" w:type="dxa"/>
            </w:tcMar>
            <w:vAlign w:val="center"/>
            <w:hideMark/>
          </w:tcPr>
          <w:p w14:paraId="44FCAC10"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b1</w:t>
            </w:r>
          </w:p>
        </w:tc>
        <w:tc>
          <w:tcPr>
            <w:tcW w:w="31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C61C8D7"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Meaning</w:t>
            </w:r>
          </w:p>
        </w:tc>
      </w:tr>
      <w:tr w:rsidR="00B97365" w14:paraId="71E0A6D8" w14:textId="77777777">
        <w:trPr>
          <w:jc w:val="center"/>
        </w:trPr>
        <w:tc>
          <w:tcPr>
            <w:tcW w:w="438"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B1CFAC0" w14:textId="77777777" w:rsidR="00B97365" w:rsidRDefault="00000000">
            <w:pPr>
              <w:spacing w:before="40" w:after="40" w:line="276" w:lineRule="auto"/>
              <w:jc w:val="center"/>
              <w:rPr>
                <w:rFonts w:cs="Arial"/>
                <w:sz w:val="20"/>
                <w:szCs w:val="22"/>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CC818C"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92C3FB"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755224"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DD26BE"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23FDA5"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5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C68CBF"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7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121AC7"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3156" w:type="dxa"/>
            <w:tcBorders>
              <w:top w:val="single" w:sz="6" w:space="0" w:color="auto"/>
              <w:left w:val="single" w:sz="6" w:space="0" w:color="auto"/>
              <w:bottom w:val="single" w:sz="6" w:space="0" w:color="auto"/>
              <w:right w:val="single" w:sz="4" w:space="0" w:color="auto"/>
            </w:tcBorders>
            <w:vAlign w:val="center"/>
            <w:hideMark/>
          </w:tcPr>
          <w:p w14:paraId="189A489E"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(INSTALLED)</w:t>
            </w:r>
          </w:p>
        </w:tc>
      </w:tr>
      <w:tr w:rsidR="00B97365" w14:paraId="52032FAB" w14:textId="77777777">
        <w:trPr>
          <w:jc w:val="center"/>
        </w:trPr>
        <w:tc>
          <w:tcPr>
            <w:tcW w:w="438"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526D9751"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52D92A"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61F8D2"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9384F4"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605770"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073283" w14:textId="77777777" w:rsidR="00B97365" w:rsidRDefault="00000000">
            <w:pPr>
              <w:spacing w:before="40" w:after="40" w:line="276" w:lineRule="auto"/>
              <w:jc w:val="center"/>
              <w:rPr>
                <w:bCs/>
                <w:sz w:val="20"/>
                <w:szCs w:val="25"/>
                <w:lang w:eastAsia="de-DE" w:bidi="ar-SA"/>
              </w:rPr>
            </w:pPr>
            <w:r>
              <w:rPr>
                <w:rFonts w:cs="Arial"/>
                <w:sz w:val="20"/>
                <w:szCs w:val="22"/>
                <w:lang w:eastAsia="de-DE" w:bidi="ar-SA"/>
              </w:rPr>
              <w:t>1</w:t>
            </w:r>
          </w:p>
        </w:tc>
        <w:tc>
          <w:tcPr>
            <w:tcW w:w="5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29A8BB"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7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3AB8F1"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3156" w:type="dxa"/>
            <w:tcBorders>
              <w:top w:val="single" w:sz="6" w:space="0" w:color="auto"/>
              <w:left w:val="single" w:sz="6" w:space="0" w:color="auto"/>
              <w:bottom w:val="single" w:sz="6" w:space="0" w:color="auto"/>
              <w:right w:val="single" w:sz="4" w:space="0" w:color="auto"/>
            </w:tcBorders>
            <w:vAlign w:val="center"/>
            <w:hideMark/>
          </w:tcPr>
          <w:p w14:paraId="27D5D96F"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SELECTABLE</w:t>
            </w:r>
          </w:p>
        </w:tc>
      </w:tr>
      <w:tr w:rsidR="00B97365" w14:paraId="482BA583" w14:textId="77777777">
        <w:trPr>
          <w:jc w:val="center"/>
        </w:trPr>
        <w:tc>
          <w:tcPr>
            <w:tcW w:w="438"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5F48A3BD"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BE63BA"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0496C9"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2196A0D"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062936"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67CC75"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5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1B7071"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7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B58FA1"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3156" w:type="dxa"/>
            <w:tcBorders>
              <w:top w:val="single" w:sz="6" w:space="0" w:color="auto"/>
              <w:left w:val="single" w:sz="6" w:space="0" w:color="auto"/>
              <w:bottom w:val="single" w:sz="6" w:space="0" w:color="auto"/>
              <w:right w:val="single" w:sz="4" w:space="0" w:color="auto"/>
            </w:tcBorders>
            <w:vAlign w:val="center"/>
            <w:hideMark/>
          </w:tcPr>
          <w:p w14:paraId="0353FD5E"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PERSONALIZED (Profile creation)</w:t>
            </w:r>
          </w:p>
        </w:tc>
      </w:tr>
      <w:tr w:rsidR="00B97365" w14:paraId="58ACD90F" w14:textId="77777777">
        <w:trPr>
          <w:jc w:val="center"/>
        </w:trPr>
        <w:tc>
          <w:tcPr>
            <w:tcW w:w="438"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4D796C6E"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41A0A3"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BC5D89"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5D462E"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5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5A44C0"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0C6545"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5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95FB02"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7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CB47A0"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3156" w:type="dxa"/>
            <w:tcBorders>
              <w:top w:val="single" w:sz="6" w:space="0" w:color="auto"/>
              <w:left w:val="single" w:sz="6" w:space="0" w:color="auto"/>
              <w:bottom w:val="single" w:sz="6" w:space="0" w:color="auto"/>
              <w:right w:val="single" w:sz="4" w:space="0" w:color="auto"/>
            </w:tcBorders>
            <w:vAlign w:val="center"/>
            <w:hideMark/>
          </w:tcPr>
          <w:p w14:paraId="2987C567"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DISABLED</w:t>
            </w:r>
          </w:p>
        </w:tc>
      </w:tr>
      <w:tr w:rsidR="00B97365" w14:paraId="6BBFA11E" w14:textId="77777777">
        <w:trPr>
          <w:jc w:val="center"/>
        </w:trPr>
        <w:tc>
          <w:tcPr>
            <w:tcW w:w="438" w:type="dxa"/>
            <w:tcBorders>
              <w:top w:val="single" w:sz="6" w:space="0" w:color="auto"/>
              <w:left w:val="single" w:sz="4" w:space="0" w:color="auto"/>
              <w:bottom w:val="single" w:sz="4" w:space="0" w:color="auto"/>
              <w:right w:val="single" w:sz="6" w:space="0" w:color="auto"/>
            </w:tcBorders>
            <w:tcMar>
              <w:top w:w="0" w:type="dxa"/>
              <w:left w:w="0" w:type="dxa"/>
              <w:bottom w:w="0" w:type="dxa"/>
              <w:right w:w="0" w:type="dxa"/>
            </w:tcMar>
            <w:vAlign w:val="center"/>
            <w:hideMark/>
          </w:tcPr>
          <w:p w14:paraId="7A0FE9B7" w14:textId="77777777" w:rsidR="00B97365" w:rsidRDefault="00000000">
            <w:pPr>
              <w:spacing w:before="40" w:after="40" w:line="276" w:lineRule="auto"/>
              <w:jc w:val="center"/>
              <w:rPr>
                <w:bCs/>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4F860671"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0</w:t>
            </w:r>
          </w:p>
        </w:tc>
        <w:tc>
          <w:tcPr>
            <w:tcW w:w="450"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63B20BB8"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50"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4078768C"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51"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6868B77E"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50"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1454466D"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540"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001E7B6C"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479"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2C719E13" w14:textId="77777777" w:rsidR="00B97365" w:rsidRDefault="00000000">
            <w:pPr>
              <w:spacing w:before="40" w:after="40" w:line="276" w:lineRule="auto"/>
              <w:jc w:val="center"/>
              <w:rPr>
                <w:sz w:val="20"/>
                <w:szCs w:val="25"/>
                <w:lang w:eastAsia="de-DE" w:bidi="ar-SA"/>
              </w:rPr>
            </w:pPr>
            <w:r>
              <w:rPr>
                <w:rFonts w:cs="Arial"/>
                <w:sz w:val="20"/>
                <w:szCs w:val="22"/>
                <w:lang w:eastAsia="de-DE" w:bidi="ar-SA"/>
              </w:rPr>
              <w:t>1</w:t>
            </w:r>
          </w:p>
        </w:tc>
        <w:tc>
          <w:tcPr>
            <w:tcW w:w="3156" w:type="dxa"/>
            <w:tcBorders>
              <w:top w:val="single" w:sz="6" w:space="0" w:color="auto"/>
              <w:left w:val="single" w:sz="6" w:space="0" w:color="auto"/>
              <w:bottom w:val="single" w:sz="4" w:space="0" w:color="auto"/>
              <w:right w:val="single" w:sz="4" w:space="0" w:color="auto"/>
            </w:tcBorders>
            <w:vAlign w:val="center"/>
            <w:hideMark/>
          </w:tcPr>
          <w:p w14:paraId="1DCA0F74"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ENABLED</w:t>
            </w:r>
          </w:p>
        </w:tc>
      </w:tr>
    </w:tbl>
    <w:p w14:paraId="3194DCC8"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ISD-P Coding States</w:t>
      </w:r>
    </w:p>
    <w:p w14:paraId="36E6B940" w14:textId="43CEC56E" w:rsidR="00B97365" w:rsidRDefault="00000000">
      <w:pPr>
        <w:spacing w:before="0" w:after="200" w:line="276" w:lineRule="auto"/>
        <w:jc w:val="left"/>
        <w:rPr>
          <w:szCs w:val="22"/>
          <w:lang w:eastAsia="en-GB" w:bidi="ar-SA"/>
        </w:rPr>
      </w:pPr>
      <w:r>
        <w:rPr>
          <w:rFonts w:cs="Arial"/>
          <w:szCs w:val="22"/>
          <w:lang w:eastAsia="en-GB" w:bidi="ar-SA"/>
        </w:rPr>
        <w:t xml:space="preserve">These states can be mapped to the architectural states defined in GSMA Remote Provisioning Architecture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as shown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119"/>
      </w:tblGrid>
      <w:tr w:rsidR="00B97365" w14:paraId="3D513DE3" w14:textId="77777777">
        <w:trPr>
          <w:tblHeader/>
          <w:jc w:val="center"/>
        </w:trPr>
        <w:tc>
          <w:tcPr>
            <w:tcW w:w="2518" w:type="dxa"/>
            <w:tcBorders>
              <w:top w:val="single" w:sz="4" w:space="0" w:color="auto"/>
              <w:left w:val="single" w:sz="4" w:space="0" w:color="auto"/>
              <w:bottom w:val="single" w:sz="4" w:space="0" w:color="auto"/>
              <w:right w:val="single" w:sz="4" w:space="0" w:color="auto"/>
            </w:tcBorders>
            <w:shd w:val="clear" w:color="auto" w:fill="C00000"/>
            <w:hideMark/>
          </w:tcPr>
          <w:p w14:paraId="4C5DA8DC" w14:textId="2C6C787A" w:rsidR="00B97365" w:rsidRDefault="00000000">
            <w:pPr>
              <w:spacing w:before="40" w:after="40" w:line="276" w:lineRule="auto"/>
              <w:jc w:val="center"/>
              <w:rPr>
                <w:b/>
                <w:color w:val="FFFFFF"/>
                <w:sz w:val="20"/>
                <w:szCs w:val="22"/>
                <w:lang w:val="en-US" w:eastAsia="de-DE" w:bidi="ar-SA"/>
              </w:rPr>
            </w:pPr>
            <w:r>
              <w:rPr>
                <w:rFonts w:cs="Arial"/>
                <w:b/>
                <w:color w:val="FFFFFF"/>
                <w:sz w:val="20"/>
                <w:szCs w:val="22"/>
                <w:lang w:val="en-US" w:eastAsia="de-DE" w:bidi="ar-SA"/>
              </w:rPr>
              <w:t xml:space="preserve">State (as defined in </w:t>
            </w:r>
            <w:r>
              <w:rPr>
                <w:b/>
                <w:color w:val="FFFFFF"/>
                <w:sz w:val="20"/>
                <w:szCs w:val="22"/>
                <w:lang w:val="en-US" w:eastAsia="de-DE" w:bidi="ar-SA"/>
              </w:rPr>
              <w:fldChar w:fldCharType="begin"/>
            </w:r>
            <w:r>
              <w:rPr>
                <w:b/>
                <w:color w:val="FFFFFF"/>
                <w:sz w:val="20"/>
                <w:szCs w:val="22"/>
                <w:lang w:val="en-US" w:eastAsia="de-DE" w:bidi="ar-SA"/>
              </w:rPr>
              <w:instrText xml:space="preserve"> REF _Ref421631399 \r \h </w:instrText>
            </w:r>
            <w:r>
              <w:rPr>
                <w:b/>
                <w:color w:val="FFFFFF"/>
                <w:sz w:val="20"/>
                <w:szCs w:val="22"/>
                <w:lang w:val="en-US" w:eastAsia="de-DE" w:bidi="ar-SA"/>
              </w:rPr>
            </w:r>
            <w:r>
              <w:rPr>
                <w:b/>
                <w:color w:val="FFFFFF"/>
                <w:sz w:val="20"/>
                <w:szCs w:val="22"/>
                <w:lang w:val="en-US" w:eastAsia="de-DE" w:bidi="ar-SA"/>
              </w:rPr>
              <w:fldChar w:fldCharType="separate"/>
            </w:r>
            <w:r w:rsidR="001D5AD9">
              <w:rPr>
                <w:b/>
                <w:color w:val="FFFFFF"/>
                <w:sz w:val="20"/>
                <w:szCs w:val="22"/>
                <w:lang w:val="en-US" w:eastAsia="de-DE" w:bidi="ar-SA"/>
              </w:rPr>
              <w:t>[1]</w:t>
            </w:r>
            <w:r>
              <w:rPr>
                <w:b/>
                <w:color w:val="FFFFFF"/>
                <w:sz w:val="20"/>
                <w:szCs w:val="22"/>
                <w:lang w:val="en-US" w:eastAsia="de-DE" w:bidi="ar-SA"/>
              </w:rPr>
              <w:fldChar w:fldCharType="end"/>
            </w:r>
            <w:r>
              <w:rPr>
                <w:b/>
                <w:color w:val="FFFFFF"/>
                <w:sz w:val="20"/>
                <w:szCs w:val="22"/>
                <w:lang w:val="en-US" w:eastAsia="de-DE" w:bidi="ar-SA"/>
              </w:rPr>
              <w:t>)</w:t>
            </w:r>
          </w:p>
        </w:tc>
        <w:tc>
          <w:tcPr>
            <w:tcW w:w="3119" w:type="dxa"/>
            <w:tcBorders>
              <w:top w:val="single" w:sz="4" w:space="0" w:color="auto"/>
              <w:left w:val="single" w:sz="4" w:space="0" w:color="auto"/>
              <w:bottom w:val="single" w:sz="4" w:space="0" w:color="auto"/>
              <w:right w:val="single" w:sz="4" w:space="0" w:color="auto"/>
            </w:tcBorders>
            <w:shd w:val="clear" w:color="auto" w:fill="C00000"/>
            <w:hideMark/>
          </w:tcPr>
          <w:p w14:paraId="4023ED3E" w14:textId="77777777" w:rsidR="00B97365" w:rsidRDefault="00000000">
            <w:pPr>
              <w:spacing w:before="40" w:after="40" w:line="276" w:lineRule="auto"/>
              <w:jc w:val="center"/>
              <w:rPr>
                <w:rFonts w:cs="Arial"/>
                <w:b/>
                <w:color w:val="FFFFFF"/>
                <w:sz w:val="20"/>
                <w:szCs w:val="22"/>
                <w:lang w:val="en-US" w:eastAsia="de-DE" w:bidi="ar-SA"/>
              </w:rPr>
            </w:pPr>
            <w:r>
              <w:rPr>
                <w:rFonts w:cs="Arial"/>
                <w:b/>
                <w:color w:val="FFFFFF"/>
                <w:sz w:val="20"/>
                <w:szCs w:val="22"/>
                <w:lang w:val="en-US" w:eastAsia="de-DE" w:bidi="ar-SA"/>
              </w:rPr>
              <w:t>State  (as defined above)</w:t>
            </w:r>
          </w:p>
        </w:tc>
      </w:tr>
      <w:tr w:rsidR="00B97365" w14:paraId="077147D7" w14:textId="77777777">
        <w:trPr>
          <w:jc w:val="center"/>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70C0098D" w14:textId="77777777" w:rsidR="00B97365" w:rsidRDefault="00000000">
            <w:pPr>
              <w:spacing w:before="40" w:after="40" w:line="276" w:lineRule="auto"/>
              <w:jc w:val="left"/>
              <w:rPr>
                <w:rFonts w:cs="Arial"/>
                <w:sz w:val="20"/>
                <w:szCs w:val="22"/>
                <w:lang w:val="en-US" w:eastAsia="de-DE" w:bidi="ar-SA"/>
              </w:rPr>
            </w:pPr>
            <w:r>
              <w:rPr>
                <w:rFonts w:cs="Arial"/>
                <w:sz w:val="20"/>
                <w:szCs w:val="22"/>
                <w:lang w:val="en-US" w:eastAsia="de-DE" w:bidi="ar-SA"/>
              </w:rPr>
              <w:t>Created</w:t>
            </w:r>
          </w:p>
        </w:tc>
        <w:tc>
          <w:tcPr>
            <w:tcW w:w="3119" w:type="dxa"/>
            <w:tcBorders>
              <w:top w:val="single" w:sz="4" w:space="0" w:color="auto"/>
              <w:left w:val="single" w:sz="4" w:space="0" w:color="auto"/>
              <w:bottom w:val="single" w:sz="4" w:space="0" w:color="auto"/>
              <w:right w:val="single" w:sz="4" w:space="0" w:color="auto"/>
            </w:tcBorders>
            <w:hideMark/>
          </w:tcPr>
          <w:p w14:paraId="123B4922"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(INSTALLED)</w:t>
            </w:r>
          </w:p>
        </w:tc>
      </w:tr>
      <w:tr w:rsidR="00B97365" w14:paraId="057FD76A"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DB635" w14:textId="77777777" w:rsidR="00B97365" w:rsidRDefault="00B97365">
            <w:pPr>
              <w:spacing w:before="0"/>
              <w:jc w:val="left"/>
              <w:rPr>
                <w:rFonts w:cs="Arial"/>
                <w:sz w:val="20"/>
                <w:szCs w:val="22"/>
                <w:lang w:val="en-US" w:eastAsia="de-DE" w:bidi="ar-SA"/>
              </w:rPr>
            </w:pPr>
          </w:p>
        </w:tc>
        <w:tc>
          <w:tcPr>
            <w:tcW w:w="3119" w:type="dxa"/>
            <w:tcBorders>
              <w:top w:val="single" w:sz="4" w:space="0" w:color="auto"/>
              <w:left w:val="single" w:sz="4" w:space="0" w:color="auto"/>
              <w:bottom w:val="single" w:sz="4" w:space="0" w:color="auto"/>
              <w:right w:val="single" w:sz="4" w:space="0" w:color="auto"/>
            </w:tcBorders>
            <w:hideMark/>
          </w:tcPr>
          <w:p w14:paraId="17A3E473"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SELECTABLE</w:t>
            </w:r>
          </w:p>
        </w:tc>
      </w:tr>
      <w:tr w:rsidR="00B97365" w14:paraId="33FA1A6A"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7A380" w14:textId="77777777" w:rsidR="00B97365" w:rsidRDefault="00B97365">
            <w:pPr>
              <w:spacing w:before="0"/>
              <w:jc w:val="left"/>
              <w:rPr>
                <w:rFonts w:cs="Arial"/>
                <w:sz w:val="20"/>
                <w:szCs w:val="22"/>
                <w:lang w:val="en-US" w:eastAsia="de-DE" w:bidi="ar-SA"/>
              </w:rPr>
            </w:pPr>
          </w:p>
        </w:tc>
        <w:tc>
          <w:tcPr>
            <w:tcW w:w="3119" w:type="dxa"/>
            <w:tcBorders>
              <w:top w:val="single" w:sz="4" w:space="0" w:color="auto"/>
              <w:left w:val="single" w:sz="4" w:space="0" w:color="auto"/>
              <w:bottom w:val="single" w:sz="4" w:space="0" w:color="auto"/>
              <w:right w:val="single" w:sz="4" w:space="0" w:color="auto"/>
            </w:tcBorders>
            <w:hideMark/>
          </w:tcPr>
          <w:p w14:paraId="4CC81C7F"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PERSONALIZED</w:t>
            </w:r>
          </w:p>
        </w:tc>
      </w:tr>
      <w:tr w:rsidR="00B97365" w14:paraId="1584D325" w14:textId="77777777">
        <w:trPr>
          <w:jc w:val="center"/>
        </w:trPr>
        <w:tc>
          <w:tcPr>
            <w:tcW w:w="2518" w:type="dxa"/>
            <w:tcBorders>
              <w:top w:val="single" w:sz="4" w:space="0" w:color="auto"/>
              <w:left w:val="single" w:sz="4" w:space="0" w:color="auto"/>
              <w:bottom w:val="single" w:sz="4" w:space="0" w:color="auto"/>
              <w:right w:val="single" w:sz="4" w:space="0" w:color="auto"/>
            </w:tcBorders>
            <w:hideMark/>
          </w:tcPr>
          <w:p w14:paraId="1CD42C07"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Disabled</w:t>
            </w:r>
          </w:p>
        </w:tc>
        <w:tc>
          <w:tcPr>
            <w:tcW w:w="3119" w:type="dxa"/>
            <w:tcBorders>
              <w:top w:val="single" w:sz="4" w:space="0" w:color="auto"/>
              <w:left w:val="single" w:sz="4" w:space="0" w:color="auto"/>
              <w:bottom w:val="single" w:sz="4" w:space="0" w:color="auto"/>
              <w:right w:val="single" w:sz="4" w:space="0" w:color="auto"/>
            </w:tcBorders>
            <w:hideMark/>
          </w:tcPr>
          <w:p w14:paraId="12A9C204"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DISABLED</w:t>
            </w:r>
          </w:p>
        </w:tc>
      </w:tr>
      <w:tr w:rsidR="00B97365" w14:paraId="34F01F4D" w14:textId="77777777">
        <w:trPr>
          <w:jc w:val="center"/>
        </w:trPr>
        <w:tc>
          <w:tcPr>
            <w:tcW w:w="2518" w:type="dxa"/>
            <w:tcBorders>
              <w:top w:val="single" w:sz="4" w:space="0" w:color="auto"/>
              <w:left w:val="single" w:sz="4" w:space="0" w:color="auto"/>
              <w:bottom w:val="single" w:sz="4" w:space="0" w:color="auto"/>
              <w:right w:val="single" w:sz="4" w:space="0" w:color="auto"/>
            </w:tcBorders>
            <w:hideMark/>
          </w:tcPr>
          <w:p w14:paraId="23A4F50E"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Enabled</w:t>
            </w:r>
          </w:p>
        </w:tc>
        <w:tc>
          <w:tcPr>
            <w:tcW w:w="3119" w:type="dxa"/>
            <w:tcBorders>
              <w:top w:val="single" w:sz="4" w:space="0" w:color="auto"/>
              <w:left w:val="single" w:sz="4" w:space="0" w:color="auto"/>
              <w:bottom w:val="single" w:sz="4" w:space="0" w:color="auto"/>
              <w:right w:val="single" w:sz="4" w:space="0" w:color="auto"/>
            </w:tcBorders>
            <w:hideMark/>
          </w:tcPr>
          <w:p w14:paraId="0A59DFEC"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ENABLED</w:t>
            </w:r>
          </w:p>
        </w:tc>
      </w:tr>
      <w:tr w:rsidR="00B97365" w14:paraId="07482EBE" w14:textId="77777777">
        <w:trPr>
          <w:jc w:val="center"/>
        </w:trPr>
        <w:tc>
          <w:tcPr>
            <w:tcW w:w="2518" w:type="dxa"/>
            <w:tcBorders>
              <w:top w:val="single" w:sz="4" w:space="0" w:color="auto"/>
              <w:left w:val="single" w:sz="4" w:space="0" w:color="auto"/>
              <w:bottom w:val="single" w:sz="4" w:space="0" w:color="auto"/>
              <w:right w:val="single" w:sz="4" w:space="0" w:color="auto"/>
            </w:tcBorders>
            <w:hideMark/>
          </w:tcPr>
          <w:p w14:paraId="7AED9A25"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Deleted</w:t>
            </w:r>
          </w:p>
        </w:tc>
        <w:tc>
          <w:tcPr>
            <w:tcW w:w="3119" w:type="dxa"/>
            <w:tcBorders>
              <w:top w:val="single" w:sz="4" w:space="0" w:color="auto"/>
              <w:left w:val="single" w:sz="4" w:space="0" w:color="auto"/>
              <w:bottom w:val="single" w:sz="4" w:space="0" w:color="auto"/>
              <w:right w:val="single" w:sz="4" w:space="0" w:color="auto"/>
            </w:tcBorders>
            <w:hideMark/>
          </w:tcPr>
          <w:p w14:paraId="083F8118" w14:textId="77777777" w:rsidR="00B97365" w:rsidRDefault="00000000">
            <w:pPr>
              <w:spacing w:before="40" w:after="40" w:line="276" w:lineRule="auto"/>
              <w:jc w:val="left"/>
              <w:rPr>
                <w:sz w:val="20"/>
                <w:szCs w:val="25"/>
                <w:lang w:val="en-US" w:eastAsia="de-DE" w:bidi="ar-SA"/>
              </w:rPr>
            </w:pPr>
            <w:r>
              <w:rPr>
                <w:rFonts w:cs="Arial"/>
                <w:sz w:val="20"/>
                <w:szCs w:val="22"/>
                <w:lang w:val="en-US" w:eastAsia="de-DE" w:bidi="ar-SA"/>
              </w:rPr>
              <w:t>No explicit mapping; ISD-P no longer exists on the eUICC</w:t>
            </w:r>
          </w:p>
        </w:tc>
      </w:tr>
    </w:tbl>
    <w:p w14:paraId="7735EB43"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ISD-P State Mapping</w:t>
      </w:r>
    </w:p>
    <w:p w14:paraId="6A8F6B0A" w14:textId="77777777" w:rsidR="00B97365" w:rsidRDefault="00B97365">
      <w:pPr>
        <w:spacing w:before="40" w:after="40" w:line="276" w:lineRule="auto"/>
        <w:jc w:val="left"/>
        <w:rPr>
          <w:rFonts w:cs="Arial"/>
          <w:sz w:val="20"/>
          <w:szCs w:val="22"/>
          <w:lang w:eastAsia="de-DE" w:bidi="ar-SA"/>
        </w:rPr>
      </w:pPr>
    </w:p>
    <w:p w14:paraId="1B0A48A9" w14:textId="77777777" w:rsidR="00B97365" w:rsidRDefault="00000000">
      <w:pPr>
        <w:spacing w:before="0" w:after="200" w:line="276" w:lineRule="auto"/>
        <w:jc w:val="left"/>
        <w:rPr>
          <w:rFonts w:cs="Arial"/>
          <w:szCs w:val="22"/>
          <w:lang w:eastAsia="en-GB" w:bidi="ar-SA"/>
        </w:rPr>
      </w:pPr>
      <w:r>
        <w:rPr>
          <w:rFonts w:cs="Arial"/>
          <w:szCs w:val="22"/>
          <w:lang w:eastAsia="en-GB" w:bidi="ar-SA"/>
        </w:rPr>
        <w:t>ISD-P privileges SHALL be granted according to Annex C.</w:t>
      </w:r>
    </w:p>
    <w:p w14:paraId="74922FB1" w14:textId="77777777" w:rsidR="00B97365" w:rsidRDefault="00000000">
      <w:pPr>
        <w:spacing w:before="0" w:after="200" w:line="276" w:lineRule="auto"/>
        <w:jc w:val="left"/>
        <w:rPr>
          <w:szCs w:val="22"/>
          <w:lang w:eastAsia="en-GB" w:bidi="ar-SA"/>
        </w:rPr>
      </w:pPr>
      <w:r>
        <w:rPr>
          <w:rFonts w:cs="Arial"/>
          <w:szCs w:val="22"/>
          <w:lang w:eastAsia="en-GB" w:bidi="ar-SA"/>
        </w:rPr>
        <w:t xml:space="preserve">All Profile Components, in particular the MNO-SD, SHALL remain linked to the ISD-P in order to </w:t>
      </w:r>
      <w:r>
        <w:rPr>
          <w:szCs w:val="22"/>
          <w:lang w:val="en-US" w:eastAsia="en-GB" w:bidi="ar-SA"/>
        </w:rPr>
        <w:t>enable</w:t>
      </w:r>
      <w:r>
        <w:rPr>
          <w:szCs w:val="22"/>
          <w:lang w:eastAsia="en-GB" w:bidi="ar-SA"/>
        </w:rPr>
        <w:t xml:space="preserve"> the following: </w:t>
      </w:r>
    </w:p>
    <w:p w14:paraId="273C914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Profile Download and Installation: the Profile Components, which are affiliated with the ISD-P, are created at that time</w:t>
      </w:r>
    </w:p>
    <w:p w14:paraId="599D89D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 Deletion and Master Delete: the Profile Components SHALL be deleted at that time</w:t>
      </w:r>
    </w:p>
    <w:p w14:paraId="0BBDB00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Profile Enabling and Disabling: Enable and Disable access to all the Profile Components</w:t>
      </w:r>
    </w:p>
    <w:p w14:paraId="0717F6B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Update of POL1</w:t>
      </w:r>
    </w:p>
    <w:p w14:paraId="3D604DA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Provide read access to POL1 when required for Platform Management functions.</w:t>
      </w:r>
    </w:p>
    <w:p w14:paraId="328EE518" w14:textId="77777777" w:rsidR="00B97365" w:rsidRDefault="00B97365">
      <w:pPr>
        <w:spacing w:before="0" w:line="276" w:lineRule="auto"/>
        <w:jc w:val="left"/>
        <w:rPr>
          <w:rFonts w:cs="Arial"/>
          <w:szCs w:val="22"/>
          <w:lang w:eastAsia="en-GB" w:bidi="ar-SA"/>
        </w:rPr>
      </w:pPr>
    </w:p>
    <w:p w14:paraId="2EF787C3" w14:textId="114A92EA" w:rsidR="00B97365" w:rsidRDefault="00000000">
      <w:pPr>
        <w:spacing w:before="0" w:after="200" w:line="276" w:lineRule="auto"/>
        <w:jc w:val="left"/>
        <w:rPr>
          <w:szCs w:val="22"/>
          <w:lang w:eastAsia="en-GB" w:bidi="ar-SA"/>
        </w:rPr>
      </w:pPr>
      <w:r>
        <w:rPr>
          <w:rFonts w:cs="Arial"/>
          <w:szCs w:val="22"/>
          <w:lang w:eastAsia="en-GB" w:bidi="ar-SA"/>
        </w:rPr>
        <w:t xml:space="preserve">The Application privileges (defined in GlobalPlatform Card Specification </w:t>
      </w:r>
      <w:r>
        <w:rPr>
          <w:szCs w:val="22"/>
          <w:lang w:eastAsia="en-GB" w:bidi="ar-SA"/>
        </w:rPr>
        <w:fldChar w:fldCharType="begin"/>
      </w:r>
      <w:r>
        <w:rPr>
          <w:szCs w:val="22"/>
          <w:lang w:eastAsia="en-GB" w:bidi="ar-SA"/>
        </w:rPr>
        <w:instrText xml:space="preserve"> REF _Ref421631311 \r \h </w:instrText>
      </w:r>
      <w:r>
        <w:rPr>
          <w:szCs w:val="22"/>
          <w:lang w:eastAsia="en-GB" w:bidi="ar-SA"/>
        </w:rPr>
      </w:r>
      <w:r>
        <w:rPr>
          <w:szCs w:val="22"/>
          <w:lang w:eastAsia="en-GB" w:bidi="ar-SA"/>
        </w:rPr>
        <w:fldChar w:fldCharType="separate"/>
      </w:r>
      <w:r w:rsidR="001D5AD9">
        <w:rPr>
          <w:szCs w:val="22"/>
          <w:lang w:eastAsia="en-GB" w:bidi="ar-SA"/>
        </w:rPr>
        <w:t>[6]</w:t>
      </w:r>
      <w:r>
        <w:rPr>
          <w:szCs w:val="22"/>
          <w:lang w:eastAsia="en-GB" w:bidi="ar-SA"/>
        </w:rPr>
        <w:fldChar w:fldCharType="end"/>
      </w:r>
      <w:r>
        <w:rPr>
          <w:szCs w:val="22"/>
          <w:lang w:eastAsia="en-GB" w:bidi="ar-SA"/>
        </w:rPr>
        <w:t>) assigned to a Profile Component SHALL apply according to Annex C.</w:t>
      </w:r>
    </w:p>
    <w:p w14:paraId="69200699" w14:textId="77777777" w:rsidR="00B97365" w:rsidRDefault="00000000">
      <w:pPr>
        <w:spacing w:before="0" w:after="200" w:line="276" w:lineRule="auto"/>
        <w:jc w:val="left"/>
        <w:rPr>
          <w:rFonts w:cs="Arial"/>
          <w:szCs w:val="22"/>
          <w:lang w:eastAsia="en-GB" w:bidi="ar-SA"/>
        </w:rPr>
      </w:pPr>
      <w:r>
        <w:rPr>
          <w:rFonts w:cs="Arial"/>
          <w:szCs w:val="22"/>
          <w:lang w:eastAsia="en-GB" w:bidi="ar-SA"/>
        </w:rPr>
        <w:t>All Profile Components created by the ISD-P SHALL always remain affiliated with the ISD-P. In particular it is not possible to change the affiliation of any Profile Component.</w:t>
      </w:r>
    </w:p>
    <w:p w14:paraId="0CAA15B8"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When an ISD-P is not in enabled state, the eUICC SHALL ensure that: </w:t>
      </w:r>
    </w:p>
    <w:p w14:paraId="740FEA2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Remote management of any Profile Component is not possible via the ES6 interface; </w:t>
      </w:r>
    </w:p>
    <w:p w14:paraId="2197418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file system within the Profile cannot be selected by the Device or any application on the eUICC;</w:t>
      </w:r>
    </w:p>
    <w:p w14:paraId="42BA6E1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applications (including NAAs and Security Domains) within the Profile cannot be selected, triggered or deleted.</w:t>
      </w:r>
    </w:p>
    <w:p w14:paraId="051EB7E9" w14:textId="77777777" w:rsidR="00B97365" w:rsidRDefault="00B97365">
      <w:pPr>
        <w:tabs>
          <w:tab w:val="left" w:pos="680"/>
        </w:tabs>
        <w:spacing w:before="0" w:after="200" w:line="276" w:lineRule="auto"/>
        <w:contextualSpacing/>
        <w:jc w:val="left"/>
        <w:rPr>
          <w:rFonts w:cs="Arial"/>
          <w:szCs w:val="22"/>
          <w:lang w:eastAsia="en-GB" w:bidi="ar-SA"/>
        </w:rPr>
      </w:pPr>
    </w:p>
    <w:p w14:paraId="06821EAB"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84" w:name="_Toc448998197"/>
      <w:bookmarkStart w:id="285" w:name="_Toc422150666"/>
      <w:bookmarkStart w:id="286" w:name="_Toc421874239"/>
      <w:bookmarkStart w:id="287" w:name="_Toc420594307"/>
      <w:bookmarkStart w:id="288" w:name="_Toc398214781"/>
      <w:bookmarkStart w:id="289" w:name="_Toc375158197"/>
      <w:bookmarkStart w:id="290" w:name="_Toc368932161"/>
      <w:bookmarkStart w:id="291" w:name="_Ref367979535"/>
      <w:bookmarkStart w:id="292" w:name="_Ref367973321"/>
      <w:bookmarkStart w:id="293" w:name="_Ref367973284"/>
      <w:bookmarkStart w:id="294" w:name="_Toc486332813"/>
      <w:bookmarkStart w:id="295" w:name="_Toc1977215"/>
      <w:bookmarkStart w:id="296" w:name="_Toc37062370"/>
      <w:bookmarkStart w:id="297" w:name="_Toc88839491"/>
      <w:bookmarkStart w:id="298" w:name="_Toc121503899"/>
      <w:r>
        <w:rPr>
          <w:rFonts w:eastAsia="Times New Roman" w:cs="Arial"/>
          <w:b/>
          <w:bCs/>
          <w:iCs/>
          <w:sz w:val="24"/>
          <w:szCs w:val="26"/>
          <w:lang w:eastAsia="en-US"/>
        </w:rPr>
        <w:t>Identification of eUICC: EID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48DF425D"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 EID is the eUICC identifier used in the context of Remote Provisioning and Management of the eUICC. </w:t>
      </w:r>
    </w:p>
    <w:p w14:paraId="3801C520" w14:textId="2540D62E" w:rsidR="00B97365" w:rsidRDefault="00000000">
      <w:pPr>
        <w:spacing w:before="0" w:after="200" w:line="276" w:lineRule="auto"/>
        <w:jc w:val="left"/>
        <w:rPr>
          <w:szCs w:val="22"/>
          <w:lang w:eastAsia="en-GB" w:bidi="ar-SA"/>
        </w:rPr>
      </w:pPr>
      <w:r>
        <w:rPr>
          <w:rFonts w:cs="Arial"/>
          <w:szCs w:val="22"/>
          <w:lang w:eastAsia="en-GB" w:bidi="ar-SA"/>
        </w:rPr>
        <w:t xml:space="preserve">The EID SHALL be stored within the ECASD and can be retrieved by the Device at any time using the standard GlobalPlatform GET DATA command by targeting the ECASD as specified in GlobalPlatform Card Specification </w:t>
      </w:r>
      <w:r>
        <w:rPr>
          <w:szCs w:val="22"/>
          <w:lang w:eastAsia="en-GB" w:bidi="ar-SA"/>
        </w:rPr>
        <w:fldChar w:fldCharType="begin"/>
      </w:r>
      <w:r>
        <w:rPr>
          <w:szCs w:val="22"/>
          <w:lang w:eastAsia="en-GB" w:bidi="ar-SA"/>
        </w:rPr>
        <w:instrText xml:space="preserve"> REF _Ref421631311 \r \h </w:instrText>
      </w:r>
      <w:r>
        <w:rPr>
          <w:szCs w:val="22"/>
          <w:lang w:eastAsia="en-GB" w:bidi="ar-SA"/>
        </w:rPr>
      </w:r>
      <w:r>
        <w:rPr>
          <w:szCs w:val="22"/>
          <w:lang w:eastAsia="en-GB" w:bidi="ar-SA"/>
        </w:rPr>
        <w:fldChar w:fldCharType="separate"/>
      </w:r>
      <w:r w:rsidR="001D5AD9">
        <w:rPr>
          <w:szCs w:val="22"/>
          <w:lang w:eastAsia="en-GB" w:bidi="ar-SA"/>
        </w:rPr>
        <w:t>[6]</w:t>
      </w:r>
      <w:r>
        <w:rPr>
          <w:szCs w:val="22"/>
          <w:lang w:eastAsia="en-GB" w:bidi="ar-SA"/>
        </w:rPr>
        <w:fldChar w:fldCharType="end"/>
      </w:r>
      <w:r>
        <w:rPr>
          <w:szCs w:val="22"/>
          <w:lang w:eastAsia="en-GB" w:bidi="ar-SA"/>
        </w:rPr>
        <w:t xml:space="preserve"> as follows:</w:t>
      </w:r>
    </w:p>
    <w:p w14:paraId="36F42036" w14:textId="27458073"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Select the ECASD using the SELECT command with the AID value defined in section </w:t>
      </w:r>
      <w:r>
        <w:fldChar w:fldCharType="begin"/>
      </w:r>
      <w:r>
        <w:instrText xml:space="preserve"> REF _Ref367968047 \r \h  \* MERGEFORMAT </w:instrText>
      </w:r>
      <w:r>
        <w:fldChar w:fldCharType="separate"/>
      </w:r>
      <w:r w:rsidR="001D5AD9" w:rsidRPr="001D5AD9">
        <w:rPr>
          <w:szCs w:val="22"/>
          <w:lang w:eastAsia="en-GB" w:bidi="ar-SA"/>
        </w:rPr>
        <w:t>2.2.3</w:t>
      </w:r>
      <w:r>
        <w:fldChar w:fldCharType="end"/>
      </w:r>
    </w:p>
    <w:p w14:paraId="4E848B5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Send a ‘GET DATA’ command to the ECASD with the data object tag '5A' to retrieve the EID</w:t>
      </w:r>
    </w:p>
    <w:p w14:paraId="4DE151C8" w14:textId="77777777" w:rsidR="00B97365" w:rsidRDefault="00B97365">
      <w:pPr>
        <w:tabs>
          <w:tab w:val="left" w:pos="680"/>
        </w:tabs>
        <w:spacing w:before="0" w:after="200" w:line="276" w:lineRule="auto"/>
        <w:ind w:left="680"/>
        <w:contextualSpacing/>
        <w:jc w:val="left"/>
        <w:rPr>
          <w:rFonts w:cs="Arial"/>
          <w:sz w:val="20"/>
        </w:rPr>
      </w:pPr>
    </w:p>
    <w:p w14:paraId="580B37B4" w14:textId="77777777" w:rsidR="00B97365" w:rsidRDefault="00000000">
      <w:pPr>
        <w:spacing w:before="0" w:after="200" w:line="276" w:lineRule="auto"/>
        <w:jc w:val="left"/>
        <w:rPr>
          <w:rFonts w:cs="Arial"/>
        </w:rPr>
      </w:pPr>
      <w:r>
        <w:rPr>
          <w:rFonts w:cs="Arial"/>
        </w:rPr>
        <w:t>This version of the specification allows EIDs according to two formats:</w:t>
      </w:r>
    </w:p>
    <w:p w14:paraId="4164CA42" w14:textId="77777777" w:rsidR="00B97365" w:rsidRDefault="00000000">
      <w:pPr>
        <w:pStyle w:val="ListBullet1"/>
        <w:numPr>
          <w:ilvl w:val="0"/>
          <w:numId w:val="11"/>
        </w:numPr>
      </w:pPr>
      <w:r>
        <w:t>the IIN based format, and</w:t>
      </w:r>
    </w:p>
    <w:p w14:paraId="52B025F5" w14:textId="77777777" w:rsidR="00B97365" w:rsidRDefault="00000000">
      <w:pPr>
        <w:pStyle w:val="ListBullet1"/>
        <w:numPr>
          <w:ilvl w:val="0"/>
          <w:numId w:val="11"/>
        </w:numPr>
      </w:pPr>
      <w:r>
        <w:t>the EIN based format.</w:t>
      </w:r>
    </w:p>
    <w:p w14:paraId="4AAD1BFE" w14:textId="77777777" w:rsidR="00B97365" w:rsidRDefault="00000000">
      <w:pPr>
        <w:spacing w:before="0" w:after="200" w:line="276" w:lineRule="auto"/>
        <w:jc w:val="left"/>
        <w:rPr>
          <w:rFonts w:cs="Arial"/>
        </w:rPr>
      </w:pPr>
      <w:r>
        <w:rPr>
          <w:rFonts w:cs="Arial"/>
        </w:rPr>
        <w:t>The versions up to version 4.2 of this specification only used the IIN based format defined below, where the IIN has a fixed length of 8 digits.</w:t>
      </w:r>
    </w:p>
    <w:p w14:paraId="6E17C001" w14:textId="0D1A0FED" w:rsidR="00B97365" w:rsidRDefault="00000000">
      <w:pPr>
        <w:spacing w:before="0" w:after="200" w:line="276" w:lineRule="auto"/>
        <w:jc w:val="left"/>
        <w:rPr>
          <w:rFonts w:cs="Arial"/>
        </w:rPr>
      </w:pPr>
      <w:r>
        <w:rPr>
          <w:rFonts w:cs="Arial"/>
        </w:rPr>
        <w:lastRenderedPageBreak/>
        <w:t xml:space="preserve">Starting from version 4.2.1 of this specification, EIDs MAY also be assigned according to the EIN based format as defined in SGP.29 </w:t>
      </w:r>
      <w:r>
        <w:rPr>
          <w:rFonts w:cs="Arial"/>
        </w:rPr>
        <w:fldChar w:fldCharType="begin"/>
      </w:r>
      <w:r>
        <w:rPr>
          <w:rFonts w:cs="Arial"/>
        </w:rPr>
        <w:instrText xml:space="preserve"> REF _Ref84530031 \r \h </w:instrText>
      </w:r>
      <w:r>
        <w:rPr>
          <w:rFonts w:cs="Arial"/>
        </w:rPr>
      </w:r>
      <w:r>
        <w:rPr>
          <w:rFonts w:cs="Arial"/>
        </w:rPr>
        <w:fldChar w:fldCharType="separate"/>
      </w:r>
      <w:r w:rsidR="001D5AD9">
        <w:rPr>
          <w:rFonts w:cs="Arial"/>
        </w:rPr>
        <w:t>[73]</w:t>
      </w:r>
      <w:r>
        <w:rPr>
          <w:rFonts w:cs="Arial"/>
        </w:rPr>
        <w:fldChar w:fldCharType="end"/>
      </w:r>
      <w:r>
        <w:rPr>
          <w:rFonts w:cs="Arial"/>
        </w:rPr>
        <w:t>, where the EIN is of variable length.</w:t>
      </w:r>
    </w:p>
    <w:p w14:paraId="202DD350" w14:textId="59D2ACA9" w:rsidR="00B97365" w:rsidRDefault="00000000">
      <w:pPr>
        <w:spacing w:before="0" w:after="200" w:line="276" w:lineRule="auto"/>
        <w:jc w:val="left"/>
        <w:rPr>
          <w:rFonts w:cs="Arial"/>
        </w:rPr>
      </w:pPr>
      <w:r>
        <w:rPr>
          <w:rFonts w:cs="Arial"/>
        </w:rPr>
        <w:t xml:space="preserve">The EID SHALL uniquely identify an eUICC. The owner of the IIN or the EIN SHALL guarantee the uniqueness of the EID, also with respect to eUICCs produced according to previous versions of this specification and to all versions of SGP.22 </w:t>
      </w:r>
      <w:r>
        <w:rPr>
          <w:rFonts w:cs="Arial"/>
        </w:rPr>
        <w:fldChar w:fldCharType="begin"/>
      </w:r>
      <w:r>
        <w:rPr>
          <w:rFonts w:cs="Arial"/>
        </w:rPr>
        <w:instrText xml:space="preserve"> REF _Ref84530091 \r \h </w:instrText>
      </w:r>
      <w:r>
        <w:rPr>
          <w:rFonts w:cs="Arial"/>
        </w:rPr>
      </w:r>
      <w:r>
        <w:rPr>
          <w:rFonts w:cs="Arial"/>
        </w:rPr>
        <w:fldChar w:fldCharType="separate"/>
      </w:r>
      <w:r w:rsidR="001D5AD9">
        <w:rPr>
          <w:rFonts w:cs="Arial"/>
        </w:rPr>
        <w:t>[72]</w:t>
      </w:r>
      <w:r>
        <w:rPr>
          <w:rFonts w:cs="Arial"/>
        </w:rPr>
        <w:fldChar w:fldCharType="end"/>
      </w:r>
      <w:r>
        <w:rPr>
          <w:rFonts w:cs="Arial"/>
        </w:rPr>
        <w:t>.</w:t>
      </w:r>
    </w:p>
    <w:p w14:paraId="19105BBD" w14:textId="77777777" w:rsidR="00B97365" w:rsidRDefault="00000000">
      <w:pPr>
        <w:spacing w:before="0" w:after="200" w:line="276" w:lineRule="auto"/>
        <w:jc w:val="left"/>
        <w:rPr>
          <w:rFonts w:cs="Arial"/>
        </w:rPr>
      </w:pPr>
      <w:r>
        <w:rPr>
          <w:rFonts w:cs="Arial"/>
        </w:rPr>
        <w:t>The following rules will maximise the interoperability between the different versions:</w:t>
      </w:r>
    </w:p>
    <w:p w14:paraId="239C1391" w14:textId="0976CCE6" w:rsidR="00B97365" w:rsidRDefault="00000000">
      <w:pPr>
        <w:pStyle w:val="ListBullet1"/>
        <w:numPr>
          <w:ilvl w:val="0"/>
          <w:numId w:val="11"/>
        </w:numPr>
      </w:pPr>
      <w:r>
        <w:t xml:space="preserve">An EUM generating EIDs according to SGP.29 </w:t>
      </w:r>
      <w:r>
        <w:rPr>
          <w:rFonts w:cs="Arial"/>
        </w:rPr>
        <w:fldChar w:fldCharType="begin"/>
      </w:r>
      <w:r>
        <w:rPr>
          <w:rFonts w:cs="Arial"/>
        </w:rPr>
        <w:instrText xml:space="preserve"> REF _Ref84530031 \r \h </w:instrText>
      </w:r>
      <w:r>
        <w:rPr>
          <w:rFonts w:cs="Arial"/>
        </w:rPr>
      </w:r>
      <w:r>
        <w:rPr>
          <w:rFonts w:cs="Arial"/>
        </w:rPr>
        <w:fldChar w:fldCharType="separate"/>
      </w:r>
      <w:r w:rsidR="001D5AD9">
        <w:rPr>
          <w:rFonts w:cs="Arial"/>
        </w:rPr>
        <w:t>[73]</w:t>
      </w:r>
      <w:r>
        <w:rPr>
          <w:rFonts w:cs="Arial"/>
        </w:rPr>
        <w:fldChar w:fldCharType="end"/>
      </w:r>
      <w:r>
        <w:t xml:space="preserve"> SHOULD get an EUM certificate where the first 8 digits of the EIDs are fixed and listed as IIN in NameConstraints extension of the certificate.</w:t>
      </w:r>
    </w:p>
    <w:p w14:paraId="35A7541A" w14:textId="77777777" w:rsidR="00B97365" w:rsidRDefault="00000000">
      <w:pPr>
        <w:pStyle w:val="ListBullet1"/>
        <w:numPr>
          <w:ilvl w:val="0"/>
          <w:numId w:val="11"/>
        </w:numPr>
      </w:pPr>
      <w:r>
        <w:t>An EUM with an EIN longer than 8 digits SHOULD only generate EIDs if it is acceptable that the EIN is not uniquely identifiable in the NameConstraints extension of the certificate.</w:t>
      </w:r>
    </w:p>
    <w:p w14:paraId="6F524CA6" w14:textId="77777777" w:rsidR="00B97365" w:rsidRDefault="00000000">
      <w:pPr>
        <w:spacing w:before="0" w:after="200" w:line="276" w:lineRule="auto"/>
        <w:jc w:val="left"/>
        <w:rPr>
          <w:rFonts w:cs="Arial"/>
        </w:rPr>
      </w:pPr>
      <w:r>
        <w:rPr>
          <w:rFonts w:cs="Arial"/>
        </w:rPr>
        <w:t>The EID according to the IIN based format SHALL have the following structure:</w:t>
      </w:r>
    </w:p>
    <w:p w14:paraId="43536907" w14:textId="77777777" w:rsidR="00B97365" w:rsidRDefault="00000000">
      <w:pPr>
        <w:numPr>
          <w:ilvl w:val="0"/>
          <w:numId w:val="34"/>
        </w:numPr>
        <w:tabs>
          <w:tab w:val="left" w:pos="720"/>
        </w:tabs>
        <w:spacing w:before="0" w:after="200" w:line="276" w:lineRule="auto"/>
        <w:contextualSpacing/>
        <w:jc w:val="left"/>
      </w:pPr>
      <w:r>
        <w:t>The EID SHALL always be 32 digits long, with the first 8 digits representing the IIN.</w:t>
      </w:r>
    </w:p>
    <w:p w14:paraId="71F0FA98" w14:textId="77777777" w:rsidR="00B97365" w:rsidRDefault="00000000">
      <w:pPr>
        <w:numPr>
          <w:ilvl w:val="0"/>
          <w:numId w:val="34"/>
        </w:numPr>
        <w:tabs>
          <w:tab w:val="left" w:pos="720"/>
        </w:tabs>
        <w:spacing w:before="0" w:after="200" w:line="276" w:lineRule="auto"/>
        <w:contextualSpacing/>
        <w:jc w:val="left"/>
      </w:pPr>
      <w:r>
        <w:t xml:space="preserve">The EID SHALL always be built of </w:t>
      </w:r>
    </w:p>
    <w:p w14:paraId="44CA9D3E" w14:textId="53215ED0" w:rsidR="00B97365" w:rsidRDefault="00000000">
      <w:pPr>
        <w:numPr>
          <w:ilvl w:val="1"/>
          <w:numId w:val="34"/>
        </w:numPr>
        <w:tabs>
          <w:tab w:val="left" w:pos="720"/>
        </w:tabs>
        <w:spacing w:before="0" w:after="200" w:line="276" w:lineRule="auto"/>
        <w:contextualSpacing/>
        <w:jc w:val="left"/>
      </w:pPr>
      <w:r>
        <w:t>A Major Industry Identifier digit of 8 (1</w:t>
      </w:r>
      <w:r>
        <w:rPr>
          <w:vertAlign w:val="superscript"/>
        </w:rPr>
        <w:t>st</w:t>
      </w:r>
      <w:r>
        <w:t xml:space="preserve"> digit), as defined in ISO/IEC 7812 </w:t>
      </w:r>
      <w:r>
        <w:fldChar w:fldCharType="begin"/>
      </w:r>
      <w:r>
        <w:instrText xml:space="preserve"> REF _Ref421631727 \r \h </w:instrText>
      </w:r>
      <w:r>
        <w:fldChar w:fldCharType="separate"/>
      </w:r>
      <w:r w:rsidR="001D5AD9">
        <w:t>[19]</w:t>
      </w:r>
      <w:r>
        <w:fldChar w:fldCharType="end"/>
      </w:r>
      <w:r>
        <w:t>.</w:t>
      </w:r>
    </w:p>
    <w:p w14:paraId="2BFF2F76" w14:textId="0BEB3625" w:rsidR="00B97365" w:rsidRDefault="00000000">
      <w:pPr>
        <w:numPr>
          <w:ilvl w:val="1"/>
          <w:numId w:val="34"/>
        </w:numPr>
        <w:tabs>
          <w:tab w:val="left" w:pos="720"/>
        </w:tabs>
        <w:spacing w:before="0" w:after="200" w:line="276" w:lineRule="auto"/>
        <w:contextualSpacing/>
        <w:jc w:val="left"/>
      </w:pPr>
      <w:r>
        <w:t xml:space="preserve">An additional digit of 9 specifying telecommunications, as defined in ISO/IEC 7812 </w:t>
      </w:r>
      <w:r>
        <w:fldChar w:fldCharType="begin"/>
      </w:r>
      <w:r>
        <w:instrText xml:space="preserve"> REF _Ref421631727 \r \h </w:instrText>
      </w:r>
      <w:r>
        <w:fldChar w:fldCharType="separate"/>
      </w:r>
      <w:r w:rsidR="001D5AD9">
        <w:t>[19]</w:t>
      </w:r>
      <w:r>
        <w:fldChar w:fldCharType="end"/>
      </w:r>
      <w:r>
        <w:t>,</w:t>
      </w:r>
    </w:p>
    <w:p w14:paraId="77CC96D5" w14:textId="77777777" w:rsidR="00B97365" w:rsidRDefault="00000000">
      <w:pPr>
        <w:numPr>
          <w:ilvl w:val="1"/>
          <w:numId w:val="34"/>
        </w:numPr>
        <w:tabs>
          <w:tab w:val="left" w:pos="720"/>
        </w:tabs>
        <w:spacing w:before="0" w:after="200" w:line="276" w:lineRule="auto"/>
        <w:contextualSpacing/>
        <w:jc w:val="left"/>
      </w:pPr>
      <w:r>
        <w:t>An additional three digits for country code (3</w:t>
      </w:r>
      <w:r>
        <w:rPr>
          <w:vertAlign w:val="superscript"/>
        </w:rPr>
        <w:t>rd</w:t>
      </w:r>
      <w:r>
        <w:t xml:space="preserve"> to 5</w:t>
      </w:r>
      <w:r>
        <w:rPr>
          <w:vertAlign w:val="superscript"/>
        </w:rPr>
        <w:t>th</w:t>
      </w:r>
      <w:r>
        <w:t xml:space="preserve"> digits).</w:t>
      </w:r>
    </w:p>
    <w:p w14:paraId="7EC368D4" w14:textId="77777777" w:rsidR="00B97365" w:rsidRDefault="00000000">
      <w:pPr>
        <w:numPr>
          <w:ilvl w:val="2"/>
          <w:numId w:val="34"/>
        </w:numPr>
        <w:tabs>
          <w:tab w:val="left" w:pos="720"/>
        </w:tabs>
        <w:spacing w:before="0" w:after="200" w:line="276" w:lineRule="auto"/>
        <w:contextualSpacing/>
        <w:jc w:val="left"/>
      </w:pPr>
      <w:r>
        <w:t>If the country code is one digit long, its value SHALL be prefixed by two digits of 0,</w:t>
      </w:r>
    </w:p>
    <w:p w14:paraId="29998C2C" w14:textId="77777777" w:rsidR="00B97365" w:rsidRDefault="00000000">
      <w:pPr>
        <w:numPr>
          <w:ilvl w:val="2"/>
          <w:numId w:val="34"/>
        </w:numPr>
        <w:tabs>
          <w:tab w:val="left" w:pos="720"/>
        </w:tabs>
        <w:spacing w:before="0" w:after="200" w:line="276" w:lineRule="auto"/>
        <w:contextualSpacing/>
        <w:jc w:val="left"/>
      </w:pPr>
      <w:r>
        <w:t>If the country code is two digits long, its value SHALL be prefixed by one digit of 0.</w:t>
      </w:r>
    </w:p>
    <w:p w14:paraId="02A330E8" w14:textId="77777777" w:rsidR="00B97365" w:rsidRDefault="00000000">
      <w:pPr>
        <w:numPr>
          <w:ilvl w:val="1"/>
          <w:numId w:val="34"/>
        </w:numPr>
        <w:tabs>
          <w:tab w:val="left" w:pos="720"/>
        </w:tabs>
        <w:spacing w:before="0" w:after="200" w:line="276" w:lineRule="auto"/>
        <w:contextualSpacing/>
        <w:jc w:val="left"/>
      </w:pPr>
      <w:r>
        <w:t>An additional three digits for issuer identifier (6</w:t>
      </w:r>
      <w:r>
        <w:rPr>
          <w:vertAlign w:val="superscript"/>
        </w:rPr>
        <w:t>th</w:t>
      </w:r>
      <w:r>
        <w:t xml:space="preserve"> to 8</w:t>
      </w:r>
      <w:r>
        <w:rPr>
          <w:vertAlign w:val="superscript"/>
        </w:rPr>
        <w:t>th</w:t>
      </w:r>
      <w:r>
        <w:t xml:space="preserve"> digits)</w:t>
      </w:r>
    </w:p>
    <w:p w14:paraId="4997DB3E" w14:textId="77777777" w:rsidR="00B97365" w:rsidRDefault="00000000">
      <w:pPr>
        <w:numPr>
          <w:ilvl w:val="2"/>
          <w:numId w:val="34"/>
        </w:numPr>
        <w:tabs>
          <w:tab w:val="left" w:pos="720"/>
        </w:tabs>
        <w:spacing w:before="0" w:after="200" w:line="276" w:lineRule="auto"/>
        <w:contextualSpacing/>
        <w:jc w:val="left"/>
      </w:pPr>
      <w:r>
        <w:t>If the issuer identifier is one digit long, its value SHALL be prefixed by two digits of 0,</w:t>
      </w:r>
    </w:p>
    <w:p w14:paraId="61C2C4BF" w14:textId="77777777" w:rsidR="00B97365" w:rsidRDefault="00000000">
      <w:pPr>
        <w:numPr>
          <w:ilvl w:val="2"/>
          <w:numId w:val="34"/>
        </w:numPr>
        <w:tabs>
          <w:tab w:val="left" w:pos="720"/>
        </w:tabs>
        <w:spacing w:before="0" w:after="200" w:line="276" w:lineRule="auto"/>
        <w:contextualSpacing/>
        <w:jc w:val="left"/>
      </w:pPr>
      <w:r>
        <w:t>If the issuer identifier is two digits long, its value SHALL be prefixed by one digit of 0.</w:t>
      </w:r>
    </w:p>
    <w:p w14:paraId="0802C176" w14:textId="77777777" w:rsidR="00B97365" w:rsidRDefault="00000000">
      <w:pPr>
        <w:numPr>
          <w:ilvl w:val="1"/>
          <w:numId w:val="34"/>
        </w:numPr>
        <w:tabs>
          <w:tab w:val="left" w:pos="720"/>
        </w:tabs>
        <w:spacing w:before="0" w:after="200" w:line="276" w:lineRule="auto"/>
        <w:contextualSpacing/>
        <w:jc w:val="left"/>
      </w:pPr>
      <w:r>
        <w:t>An additional ten digits for issuer specific information (9</w:t>
      </w:r>
      <w:r>
        <w:rPr>
          <w:vertAlign w:val="superscript"/>
        </w:rPr>
        <w:t>th</w:t>
      </w:r>
      <w:r>
        <w:t xml:space="preserve"> to 18</w:t>
      </w:r>
      <w:r>
        <w:rPr>
          <w:vertAlign w:val="superscript"/>
        </w:rPr>
        <w:t>th</w:t>
      </w:r>
      <w:r>
        <w:t xml:space="preserve"> digits), of which the first five digits (9</w:t>
      </w:r>
      <w:r>
        <w:rPr>
          <w:vertAlign w:val="superscript"/>
        </w:rPr>
        <w:t>th</w:t>
      </w:r>
      <w:r>
        <w:t xml:space="preserve"> to 13</w:t>
      </w:r>
      <w:r>
        <w:rPr>
          <w:vertAlign w:val="superscript"/>
        </w:rPr>
        <w:t>th</w:t>
      </w:r>
      <w:r>
        <w:t>) contain version information about the platform and OS, to be specified by the issuer and the last five digits (14</w:t>
      </w:r>
      <w:r>
        <w:rPr>
          <w:vertAlign w:val="superscript"/>
        </w:rPr>
        <w:t>th</w:t>
      </w:r>
      <w:r>
        <w:t xml:space="preserve"> to 18</w:t>
      </w:r>
      <w:r>
        <w:rPr>
          <w:vertAlign w:val="superscript"/>
        </w:rPr>
        <w:t>th</w:t>
      </w:r>
      <w:r>
        <w:t>) contain additional issuer information,</w:t>
      </w:r>
    </w:p>
    <w:p w14:paraId="6CC478D2" w14:textId="77777777" w:rsidR="00B97365" w:rsidRDefault="00000000">
      <w:pPr>
        <w:numPr>
          <w:ilvl w:val="1"/>
          <w:numId w:val="34"/>
        </w:numPr>
        <w:tabs>
          <w:tab w:val="left" w:pos="720"/>
        </w:tabs>
        <w:spacing w:before="0" w:after="200" w:line="276" w:lineRule="auto"/>
        <w:contextualSpacing/>
        <w:jc w:val="left"/>
      </w:pPr>
      <w:r>
        <w:t>An additional twelve digits for the individual identification number (19</w:t>
      </w:r>
      <w:r>
        <w:rPr>
          <w:vertAlign w:val="superscript"/>
        </w:rPr>
        <w:t>th</w:t>
      </w:r>
      <w:r>
        <w:t xml:space="preserve"> to 30</w:t>
      </w:r>
      <w:r>
        <w:rPr>
          <w:vertAlign w:val="superscript"/>
        </w:rPr>
        <w:t>th</w:t>
      </w:r>
      <w:r>
        <w:t xml:space="preserve"> digits),</w:t>
      </w:r>
    </w:p>
    <w:p w14:paraId="485C0FE4" w14:textId="77777777" w:rsidR="00B97365" w:rsidRDefault="00000000">
      <w:pPr>
        <w:numPr>
          <w:ilvl w:val="1"/>
          <w:numId w:val="34"/>
        </w:numPr>
        <w:tabs>
          <w:tab w:val="left" w:pos="720"/>
        </w:tabs>
        <w:spacing w:before="0" w:after="200" w:line="276" w:lineRule="auto"/>
        <w:contextualSpacing/>
        <w:jc w:val="left"/>
      </w:pPr>
      <w:r>
        <w:t>A last two digits (31</w:t>
      </w:r>
      <w:r>
        <w:rPr>
          <w:vertAlign w:val="superscript"/>
        </w:rPr>
        <w:t>st</w:t>
      </w:r>
      <w:r>
        <w:t xml:space="preserve"> to 32</w:t>
      </w:r>
      <w:r>
        <w:rPr>
          <w:vertAlign w:val="superscript"/>
        </w:rPr>
        <w:t>nd</w:t>
      </w:r>
      <w:r>
        <w:t xml:space="preserve"> digits) containing check digits calculated over all 32 digits as specified below.</w:t>
      </w:r>
    </w:p>
    <w:p w14:paraId="0EDA848F" w14:textId="72FD3020" w:rsidR="00B97365" w:rsidRDefault="00000000">
      <w:pPr>
        <w:numPr>
          <w:ilvl w:val="0"/>
          <w:numId w:val="34"/>
        </w:numPr>
        <w:tabs>
          <w:tab w:val="left" w:pos="720"/>
        </w:tabs>
        <w:spacing w:before="0" w:after="200" w:line="276" w:lineRule="auto"/>
        <w:contextualSpacing/>
        <w:jc w:val="left"/>
      </w:pPr>
      <w:r>
        <w:t xml:space="preserve">The country code and issuer identifier SHALL be assigned as specified in ITU E.118 </w:t>
      </w:r>
      <w:r>
        <w:fldChar w:fldCharType="begin"/>
      </w:r>
      <w:r>
        <w:instrText xml:space="preserve"> REF _Ref421631787 \r \h </w:instrText>
      </w:r>
      <w:r>
        <w:fldChar w:fldCharType="separate"/>
      </w:r>
      <w:r w:rsidR="001D5AD9">
        <w:t>[21]</w:t>
      </w:r>
      <w:r>
        <w:fldChar w:fldCharType="end"/>
      </w:r>
    </w:p>
    <w:p w14:paraId="701C168C" w14:textId="77777777" w:rsidR="00B97365" w:rsidRDefault="00000000">
      <w:pPr>
        <w:numPr>
          <w:ilvl w:val="0"/>
          <w:numId w:val="34"/>
        </w:numPr>
        <w:tabs>
          <w:tab w:val="left" w:pos="720"/>
        </w:tabs>
        <w:spacing w:before="0" w:after="200" w:line="276" w:lineRule="auto"/>
        <w:contextualSpacing/>
        <w:jc w:val="left"/>
      </w:pPr>
      <w:r>
        <w:t>The two check digits are calculated as follows:</w:t>
      </w:r>
    </w:p>
    <w:p w14:paraId="0099E655" w14:textId="77777777" w:rsidR="00B97365" w:rsidRDefault="00000000">
      <w:pPr>
        <w:numPr>
          <w:ilvl w:val="1"/>
          <w:numId w:val="34"/>
        </w:numPr>
        <w:tabs>
          <w:tab w:val="left" w:pos="720"/>
        </w:tabs>
        <w:spacing w:before="0" w:after="200" w:line="276" w:lineRule="auto"/>
        <w:contextualSpacing/>
        <w:jc w:val="left"/>
      </w:pPr>
      <w:r>
        <w:t>1. Replace the two check digits by two digits of 0,</w:t>
      </w:r>
    </w:p>
    <w:p w14:paraId="2B260CE4" w14:textId="77777777" w:rsidR="00B97365" w:rsidRDefault="00000000">
      <w:pPr>
        <w:numPr>
          <w:ilvl w:val="1"/>
          <w:numId w:val="34"/>
        </w:numPr>
        <w:tabs>
          <w:tab w:val="left" w:pos="720"/>
        </w:tabs>
        <w:spacing w:before="0" w:after="200" w:line="276" w:lineRule="auto"/>
        <w:contextualSpacing/>
        <w:jc w:val="left"/>
      </w:pPr>
      <w:r>
        <w:t>2. Using the resulting 32 digits as a decimal integer, compute the remainder of that number on division by 97,</w:t>
      </w:r>
    </w:p>
    <w:p w14:paraId="6DC961A4" w14:textId="77777777" w:rsidR="00B97365" w:rsidRDefault="00000000">
      <w:pPr>
        <w:numPr>
          <w:ilvl w:val="1"/>
          <w:numId w:val="34"/>
        </w:numPr>
        <w:tabs>
          <w:tab w:val="left" w:pos="720"/>
        </w:tabs>
        <w:spacing w:before="0" w:after="200" w:line="276" w:lineRule="auto"/>
        <w:contextualSpacing/>
        <w:jc w:val="left"/>
      </w:pPr>
      <w:r>
        <w:lastRenderedPageBreak/>
        <w:t>3. Subtract the remainder from 98, and use the decimal result for the two check digits,</w:t>
      </w:r>
    </w:p>
    <w:p w14:paraId="61B3BB9D" w14:textId="77777777" w:rsidR="00B97365" w:rsidRDefault="00000000">
      <w:pPr>
        <w:numPr>
          <w:ilvl w:val="2"/>
          <w:numId w:val="34"/>
        </w:numPr>
        <w:tabs>
          <w:tab w:val="left" w:pos="720"/>
        </w:tabs>
        <w:spacing w:before="0" w:after="200" w:line="276" w:lineRule="auto"/>
        <w:contextualSpacing/>
        <w:jc w:val="left"/>
      </w:pPr>
      <w:r>
        <w:t>If the result is one digit long, its value SHALL be prefixed by one digit of 0.</w:t>
      </w:r>
    </w:p>
    <w:p w14:paraId="47314EFA" w14:textId="77777777" w:rsidR="00B97365" w:rsidRDefault="00000000">
      <w:pPr>
        <w:numPr>
          <w:ilvl w:val="0"/>
          <w:numId w:val="34"/>
        </w:numPr>
        <w:tabs>
          <w:tab w:val="left" w:pos="720"/>
        </w:tabs>
        <w:spacing w:before="0" w:after="200" w:line="276" w:lineRule="auto"/>
        <w:contextualSpacing/>
        <w:jc w:val="left"/>
      </w:pPr>
      <w:r>
        <w:t>When stored as a byte string, the first digit SHALL be put into the highest four bits of the first byte</w:t>
      </w:r>
    </w:p>
    <w:p w14:paraId="49AF9799" w14:textId="19760BF9" w:rsidR="00B97365" w:rsidRDefault="00000000">
      <w:pPr>
        <w:spacing w:before="0" w:after="200" w:line="276" w:lineRule="auto"/>
        <w:jc w:val="left"/>
        <w:rPr>
          <w:rFonts w:cs="Arial"/>
          <w:szCs w:val="22"/>
          <w:lang w:eastAsia="en-GB" w:bidi="ar-SA"/>
        </w:rPr>
      </w:pPr>
      <w:r>
        <w:fldChar w:fldCharType="begin"/>
      </w:r>
      <w:r>
        <w:instrText xml:space="preserve"> REF _Ref448988341 \r \h </w:instrText>
      </w:r>
      <w:r>
        <w:fldChar w:fldCharType="separate"/>
      </w:r>
      <w:r w:rsidR="001D5AD9">
        <w:t>Annex J</w:t>
      </w:r>
      <w:r>
        <w:fldChar w:fldCharType="end"/>
      </w:r>
      <w:r>
        <w:t xml:space="preserve"> provides a description of how the verification of an EID is performed.</w:t>
      </w:r>
    </w:p>
    <w:p w14:paraId="7057AD0F"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99" w:name="_Toc448998198"/>
      <w:bookmarkStart w:id="300" w:name="_Toc422150667"/>
      <w:bookmarkStart w:id="301" w:name="_Toc421874240"/>
      <w:bookmarkStart w:id="302" w:name="_Toc420594308"/>
      <w:bookmarkStart w:id="303" w:name="_Toc398214782"/>
      <w:bookmarkStart w:id="304" w:name="_Toc375158198"/>
      <w:bookmarkStart w:id="305" w:name="_Toc368932162"/>
      <w:bookmarkStart w:id="306" w:name="_Ref367968265"/>
      <w:bookmarkStart w:id="307" w:name="_Ref367968047"/>
      <w:bookmarkStart w:id="308" w:name="_Ref367967992"/>
      <w:bookmarkStart w:id="309" w:name="_Ref481770429"/>
      <w:bookmarkStart w:id="310" w:name="_Toc486332814"/>
      <w:bookmarkStart w:id="311" w:name="_Toc1977216"/>
      <w:bookmarkStart w:id="312" w:name="_Toc37062371"/>
      <w:bookmarkStart w:id="313" w:name="_Toc88839492"/>
      <w:bookmarkStart w:id="314" w:name="_Toc121503900"/>
      <w:r>
        <w:rPr>
          <w:rFonts w:eastAsia="Times New Roman" w:cs="Arial"/>
          <w:b/>
          <w:bCs/>
          <w:iCs/>
          <w:sz w:val="24"/>
          <w:szCs w:val="26"/>
          <w:lang w:eastAsia="en-US"/>
        </w:rPr>
        <w:t>Identification of Security Domains: AID and TAR</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6E97088A" w14:textId="437E46C5" w:rsidR="00B97365" w:rsidRDefault="00000000">
      <w:pPr>
        <w:spacing w:before="0" w:after="200" w:line="276" w:lineRule="auto"/>
        <w:jc w:val="left"/>
        <w:rPr>
          <w:szCs w:val="22"/>
          <w:lang w:eastAsia="en-GB" w:bidi="ar-SA"/>
        </w:rPr>
      </w:pPr>
      <w:r>
        <w:rPr>
          <w:rFonts w:cs="Arial"/>
          <w:szCs w:val="22"/>
          <w:lang w:eastAsia="en-GB" w:bidi="ar-SA"/>
        </w:rPr>
        <w:t xml:space="preserve">The ISD-P AID, the ISD-R AID and the ECASD AID SHALL follow the structure specified in ETSI TS 101 220 </w:t>
      </w:r>
      <w:r>
        <w:rPr>
          <w:szCs w:val="22"/>
          <w:lang w:eastAsia="en-GB" w:bidi="ar-SA"/>
        </w:rPr>
        <w:fldChar w:fldCharType="begin"/>
      </w:r>
      <w:r>
        <w:rPr>
          <w:szCs w:val="22"/>
          <w:lang w:eastAsia="en-GB" w:bidi="ar-SA"/>
        </w:rPr>
        <w:instrText xml:space="preserve"> REF _Ref421631806 \r \h </w:instrText>
      </w:r>
      <w:r>
        <w:rPr>
          <w:szCs w:val="22"/>
          <w:lang w:eastAsia="en-GB" w:bidi="ar-SA"/>
        </w:rPr>
      </w:r>
      <w:r>
        <w:rPr>
          <w:szCs w:val="22"/>
          <w:lang w:eastAsia="en-GB" w:bidi="ar-SA"/>
        </w:rPr>
        <w:fldChar w:fldCharType="separate"/>
      </w:r>
      <w:r w:rsidR="001D5AD9">
        <w:rPr>
          <w:szCs w:val="22"/>
          <w:lang w:eastAsia="en-GB" w:bidi="ar-SA"/>
        </w:rPr>
        <w:t>[2]</w:t>
      </w:r>
      <w:r>
        <w:rPr>
          <w:szCs w:val="22"/>
          <w:lang w:eastAsia="en-GB" w:bidi="ar-SA"/>
        </w:rPr>
        <w:fldChar w:fldCharType="end"/>
      </w:r>
      <w:r>
        <w:rPr>
          <w:szCs w:val="22"/>
          <w:lang w:eastAsia="en-GB" w:bidi="ar-SA"/>
        </w:rPr>
        <w:t>, with a RID and a PIX. The ISD-P AID, the ISD-R AID and the ECASD AID SHALL be 16 bytes long including the TAR.</w:t>
      </w:r>
    </w:p>
    <w:p w14:paraId="332F8C25" w14:textId="77777777" w:rsidR="00B97365" w:rsidRDefault="00000000">
      <w:pPr>
        <w:spacing w:before="0" w:after="200" w:line="276" w:lineRule="auto"/>
        <w:jc w:val="left"/>
        <w:rPr>
          <w:rFonts w:cs="Arial"/>
          <w:szCs w:val="22"/>
          <w:lang w:eastAsia="en-GB" w:bidi="ar-SA"/>
        </w:rPr>
      </w:pPr>
      <w:r>
        <w:rPr>
          <w:rFonts w:cs="Arial"/>
          <w:szCs w:val="22"/>
          <w:lang w:eastAsia="en-GB" w:bidi="ar-SA"/>
        </w:rPr>
        <w:t>The RID of the Executable Load File, the Executable Module and the Application of the ISD-R, the ISD-P and the ECASD SHALL be set to 'A000000559' (as defined in ISO/IEC 7816-5:2004).</w:t>
      </w:r>
    </w:p>
    <w:p w14:paraId="42204494"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 ISD-R application SHALL be installed by the EUM during eUICC manufacturing. The ISD-R Executable Load File AID and the ISD-R Executable Module AID can be freely selected by the EUM. </w:t>
      </w:r>
    </w:p>
    <w:p w14:paraId="6AF3B323" w14:textId="77777777" w:rsidR="00B97365" w:rsidRDefault="00000000">
      <w:pPr>
        <w:spacing w:before="0" w:after="200" w:line="276" w:lineRule="auto"/>
        <w:jc w:val="left"/>
        <w:rPr>
          <w:rFonts w:cs="Arial"/>
          <w:szCs w:val="22"/>
          <w:lang w:eastAsia="en-GB" w:bidi="ar-SA"/>
        </w:rPr>
      </w:pPr>
      <w:r>
        <w:rPr>
          <w:rFonts w:cs="Arial"/>
          <w:szCs w:val="22"/>
          <w:lang w:eastAsia="en-GB" w:bidi="ar-SA"/>
        </w:rPr>
        <w:t>The ISD-R application AID SHALL be ‘A0 00 00 05 59 10 10 FF FF FF FF 89 00 00 01 00' as defined into Annex H.</w:t>
      </w:r>
    </w:p>
    <w:p w14:paraId="222C2999"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 ECASD application SHALL be installed by the EUM during eUICC manufacturing. The ECASD Executable Load File AID and the ECASD Executable Module AID can be freely selected by the EUM. </w:t>
      </w:r>
    </w:p>
    <w:p w14:paraId="13448B02" w14:textId="77777777" w:rsidR="00B97365" w:rsidRDefault="00000000">
      <w:pPr>
        <w:spacing w:before="0" w:after="200" w:line="276" w:lineRule="auto"/>
        <w:jc w:val="left"/>
        <w:rPr>
          <w:rFonts w:cs="Arial"/>
          <w:szCs w:val="22"/>
          <w:lang w:eastAsia="en-GB" w:bidi="ar-SA"/>
        </w:rPr>
      </w:pPr>
      <w:r>
        <w:rPr>
          <w:rFonts w:cs="Arial"/>
          <w:szCs w:val="22"/>
          <w:lang w:eastAsia="en-GB" w:bidi="ar-SA"/>
        </w:rPr>
        <w:t>The ECASD application AID SHALL be ‘A0 00 00 05 59 10 10 FF FF FF FF 89 00 00 02 00' as defined into Annex H.</w:t>
      </w:r>
    </w:p>
    <w:p w14:paraId="47957696" w14:textId="3517A455" w:rsidR="00B97365" w:rsidRDefault="00000000">
      <w:pPr>
        <w:spacing w:before="0" w:after="200" w:line="276" w:lineRule="auto"/>
        <w:jc w:val="left"/>
        <w:rPr>
          <w:szCs w:val="22"/>
          <w:lang w:eastAsia="en-GB" w:bidi="ar-SA"/>
        </w:rPr>
      </w:pPr>
      <w:r>
        <w:rPr>
          <w:rFonts w:cs="Arial"/>
          <w:szCs w:val="22"/>
          <w:lang w:eastAsia="en-GB" w:bidi="ar-SA"/>
        </w:rPr>
        <w:t xml:space="preserve">The ISD-P application SHALL be installed by SM-SR during the first step of the “Profile Download and Installation” procedure in section </w:t>
      </w:r>
      <w:r>
        <w:rPr>
          <w:szCs w:val="22"/>
          <w:lang w:eastAsia="en-GB" w:bidi="ar-SA"/>
        </w:rPr>
        <w:fldChar w:fldCharType="begin"/>
      </w:r>
      <w:r>
        <w:rPr>
          <w:szCs w:val="22"/>
          <w:lang w:eastAsia="en-GB" w:bidi="ar-SA"/>
        </w:rPr>
        <w:instrText xml:space="preserve"> REF _Ref367968287 \r \h </w:instrText>
      </w:r>
      <w:r>
        <w:rPr>
          <w:szCs w:val="22"/>
          <w:lang w:eastAsia="en-GB" w:bidi="ar-SA"/>
        </w:rPr>
      </w:r>
      <w:r>
        <w:rPr>
          <w:szCs w:val="22"/>
          <w:lang w:eastAsia="en-GB" w:bidi="ar-SA"/>
        </w:rPr>
        <w:fldChar w:fldCharType="separate"/>
      </w:r>
      <w:r w:rsidR="001D5AD9">
        <w:rPr>
          <w:szCs w:val="22"/>
          <w:lang w:eastAsia="en-GB" w:bidi="ar-SA"/>
        </w:rPr>
        <w:t>3.1</w:t>
      </w:r>
      <w:r>
        <w:rPr>
          <w:szCs w:val="22"/>
          <w:lang w:eastAsia="en-GB" w:bidi="ar-SA"/>
        </w:rPr>
        <w:fldChar w:fldCharType="end"/>
      </w:r>
      <w:r>
        <w:rPr>
          <w:szCs w:val="22"/>
          <w:lang w:eastAsia="en-GB" w:bidi="ar-SA"/>
        </w:rPr>
        <w:t>.</w:t>
      </w:r>
    </w:p>
    <w:p w14:paraId="4BF32E6F" w14:textId="77777777" w:rsidR="00B97365" w:rsidRDefault="00000000">
      <w:pPr>
        <w:spacing w:before="0" w:after="200" w:line="276" w:lineRule="auto"/>
        <w:jc w:val="left"/>
        <w:rPr>
          <w:rFonts w:cs="Arial"/>
          <w:szCs w:val="22"/>
          <w:lang w:eastAsia="en-GB" w:bidi="ar-SA"/>
        </w:rPr>
      </w:pPr>
      <w:r>
        <w:rPr>
          <w:rFonts w:cs="Arial"/>
          <w:szCs w:val="22"/>
          <w:lang w:eastAsia="en-GB" w:bidi="ar-SA"/>
        </w:rPr>
        <w:t>The ISD-P Executable Load File AID SHALL be ‘A0 00 00 05 59 10 10 FF FF FF FF 89 00 00 0D 00' as defined into Annex H.</w:t>
      </w:r>
    </w:p>
    <w:p w14:paraId="4B493F46" w14:textId="77777777" w:rsidR="00B97365" w:rsidRDefault="00000000">
      <w:pPr>
        <w:spacing w:before="0" w:after="200" w:line="276" w:lineRule="auto"/>
        <w:jc w:val="left"/>
        <w:rPr>
          <w:rFonts w:cs="Arial"/>
          <w:szCs w:val="22"/>
          <w:lang w:eastAsia="en-GB" w:bidi="ar-SA"/>
        </w:rPr>
      </w:pPr>
      <w:r>
        <w:rPr>
          <w:rFonts w:cs="Arial"/>
          <w:szCs w:val="22"/>
          <w:lang w:eastAsia="en-GB" w:bidi="ar-SA"/>
        </w:rPr>
        <w:t>The ISD-P Executable Module AID SHALL be ‘A0 00 00 05 59 10 10 FF FF FF FF 89 00 00 0E 00' as defined into Annex H.</w:t>
      </w:r>
    </w:p>
    <w:p w14:paraId="540D504C" w14:textId="4092188C" w:rsidR="00B97365" w:rsidRDefault="00000000">
      <w:pPr>
        <w:spacing w:before="0" w:after="200" w:line="276" w:lineRule="auto"/>
        <w:jc w:val="left"/>
        <w:rPr>
          <w:rFonts w:cs="Arial"/>
          <w:szCs w:val="22"/>
          <w:lang w:eastAsia="en-GB" w:bidi="ar-SA"/>
        </w:rPr>
      </w:pPr>
      <w:r>
        <w:rPr>
          <w:rFonts w:cs="Arial"/>
          <w:szCs w:val="22"/>
          <w:lang w:eastAsia="en-GB" w:bidi="ar-SA"/>
        </w:rPr>
        <w:t xml:space="preserve">The ISD-P application AID SHALL be coded according to </w:t>
      </w:r>
      <w:r>
        <w:rPr>
          <w:rFonts w:cs="Arial"/>
          <w:szCs w:val="22"/>
          <w:lang w:eastAsia="en-GB" w:bidi="ar-SA"/>
        </w:rPr>
        <w:fldChar w:fldCharType="begin"/>
      </w:r>
      <w:r>
        <w:rPr>
          <w:rFonts w:cs="Arial"/>
          <w:szCs w:val="22"/>
          <w:lang w:eastAsia="en-GB" w:bidi="ar-SA"/>
        </w:rPr>
        <w:instrText xml:space="preserve"> REF _Ref471403552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Annex H</w:t>
      </w:r>
      <w:r>
        <w:rPr>
          <w:rFonts w:cs="Arial"/>
          <w:szCs w:val="22"/>
          <w:lang w:eastAsia="en-GB" w:bidi="ar-SA"/>
        </w:rPr>
        <w:fldChar w:fldCharType="end"/>
      </w:r>
      <w:r>
        <w:rPr>
          <w:rFonts w:cs="Arial"/>
          <w:szCs w:val="22"/>
          <w:lang w:eastAsia="en-GB" w:bidi="ar-SA"/>
        </w:rPr>
        <w:t>. The SM-SR SHALL allocate the ISD-P application AID in the range defined in Annex H.</w:t>
      </w:r>
    </w:p>
    <w:p w14:paraId="1DCE54B8" w14:textId="77777777" w:rsidR="00B97365" w:rsidRDefault="00000000">
      <w:pPr>
        <w:spacing w:before="0" w:after="200" w:line="276" w:lineRule="auto"/>
        <w:ind w:left="1560" w:hanging="1276"/>
        <w:jc w:val="left"/>
        <w:rPr>
          <w:rFonts w:cs="Arial"/>
          <w:szCs w:val="22"/>
          <w:lang w:eastAsia="en-GB" w:bidi="ar-SA"/>
        </w:rPr>
      </w:pPr>
      <w:r>
        <w:rPr>
          <w:rFonts w:cs="Arial"/>
          <w:szCs w:val="22"/>
          <w:lang w:eastAsia="en-GB" w:bidi="ar-SA"/>
        </w:rPr>
        <w:t xml:space="preserve">NOTE: </w:t>
      </w:r>
      <w:r>
        <w:rPr>
          <w:rFonts w:cs="Arial"/>
          <w:szCs w:val="22"/>
          <w:lang w:eastAsia="en-GB" w:bidi="ar-SA"/>
        </w:rPr>
        <w:tab/>
        <w:t>The choice of having the ISD-P AID allocated by the SM-SR is to avoid conflicts with other ISD-P AIDs used by already installed ISD-Ps; the SM-DP cannot have such visibility.</w:t>
      </w:r>
    </w:p>
    <w:p w14:paraId="0F94D9E8" w14:textId="77777777" w:rsidR="00B97365" w:rsidRDefault="00000000">
      <w:pPr>
        <w:spacing w:before="0" w:after="200" w:line="276" w:lineRule="auto"/>
        <w:jc w:val="left"/>
        <w:rPr>
          <w:rFonts w:cs="Arial"/>
          <w:szCs w:val="22"/>
          <w:lang w:eastAsia="en-GB" w:bidi="ar-SA"/>
        </w:rPr>
      </w:pPr>
      <w:r>
        <w:rPr>
          <w:rFonts w:cs="Arial"/>
          <w:szCs w:val="22"/>
          <w:lang w:eastAsia="en-GB" w:bidi="ar-SA"/>
        </w:rPr>
        <w:t>The MNO-SD application AID and TAR(s) can be freely allocated by the Operator during Profile definition.</w:t>
      </w:r>
    </w:p>
    <w:p w14:paraId="5C78628F"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15" w:name="_Toc361324142"/>
      <w:bookmarkStart w:id="316" w:name="_Toc361324581"/>
      <w:bookmarkStart w:id="317" w:name="_Toc361325010"/>
      <w:bookmarkStart w:id="318" w:name="_Toc361325430"/>
      <w:bookmarkStart w:id="319" w:name="_Toc361325851"/>
      <w:bookmarkStart w:id="320" w:name="_Toc361326255"/>
      <w:bookmarkStart w:id="321" w:name="_Toc361326656"/>
      <w:bookmarkStart w:id="322" w:name="_Toc361327042"/>
      <w:bookmarkStart w:id="323" w:name="_Toc361327423"/>
      <w:bookmarkStart w:id="324" w:name="_Toc361327802"/>
      <w:bookmarkStart w:id="325" w:name="_Toc361328174"/>
      <w:bookmarkStart w:id="326" w:name="_Toc361328546"/>
      <w:bookmarkStart w:id="327" w:name="_Toc361394344"/>
      <w:bookmarkStart w:id="328" w:name="_Toc362882282"/>
      <w:bookmarkStart w:id="329" w:name="_Toc362882667"/>
      <w:bookmarkStart w:id="330" w:name="_Toc362883049"/>
      <w:bookmarkStart w:id="331" w:name="_Toc362883428"/>
      <w:bookmarkStart w:id="332" w:name="_Toc362883806"/>
      <w:bookmarkStart w:id="333" w:name="_Toc362884183"/>
      <w:bookmarkStart w:id="334" w:name="_Toc362884560"/>
      <w:bookmarkStart w:id="335" w:name="_Toc362884935"/>
      <w:bookmarkStart w:id="336" w:name="_Toc362945876"/>
      <w:bookmarkStart w:id="337" w:name="_Toc362946591"/>
      <w:bookmarkStart w:id="338" w:name="_Toc365571060"/>
      <w:bookmarkStart w:id="339" w:name="_Toc365624556"/>
      <w:bookmarkStart w:id="340" w:name="_Toc365899567"/>
      <w:bookmarkStart w:id="341" w:name="_Toc365982376"/>
      <w:bookmarkStart w:id="342" w:name="_Toc367445847"/>
      <w:bookmarkStart w:id="343" w:name="_Toc368048058"/>
      <w:bookmarkStart w:id="344" w:name="_Toc368583629"/>
      <w:bookmarkStart w:id="345" w:name="_Toc368652724"/>
      <w:bookmarkStart w:id="346" w:name="_Toc368932163"/>
      <w:bookmarkStart w:id="347" w:name="_Toc361324143"/>
      <w:bookmarkStart w:id="348" w:name="_Toc361324582"/>
      <w:bookmarkStart w:id="349" w:name="_Toc361325011"/>
      <w:bookmarkStart w:id="350" w:name="_Toc361325431"/>
      <w:bookmarkStart w:id="351" w:name="_Toc361325852"/>
      <w:bookmarkStart w:id="352" w:name="_Toc361326256"/>
      <w:bookmarkStart w:id="353" w:name="_Toc361326657"/>
      <w:bookmarkStart w:id="354" w:name="_Toc361327043"/>
      <w:bookmarkStart w:id="355" w:name="_Toc361327424"/>
      <w:bookmarkStart w:id="356" w:name="_Toc361327803"/>
      <w:bookmarkStart w:id="357" w:name="_Toc361328175"/>
      <w:bookmarkStart w:id="358" w:name="_Toc361328547"/>
      <w:bookmarkStart w:id="359" w:name="_Toc361394345"/>
      <w:bookmarkStart w:id="360" w:name="_Toc362882283"/>
      <w:bookmarkStart w:id="361" w:name="_Toc362882668"/>
      <w:bookmarkStart w:id="362" w:name="_Toc362883050"/>
      <w:bookmarkStart w:id="363" w:name="_Toc362883429"/>
      <w:bookmarkStart w:id="364" w:name="_Toc362883807"/>
      <w:bookmarkStart w:id="365" w:name="_Toc362884184"/>
      <w:bookmarkStart w:id="366" w:name="_Toc362884561"/>
      <w:bookmarkStart w:id="367" w:name="_Toc362884936"/>
      <w:bookmarkStart w:id="368" w:name="_Toc362945877"/>
      <w:bookmarkStart w:id="369" w:name="_Toc362946592"/>
      <w:bookmarkStart w:id="370" w:name="_Toc365571061"/>
      <w:bookmarkStart w:id="371" w:name="_Toc365624557"/>
      <w:bookmarkStart w:id="372" w:name="_Toc365899568"/>
      <w:bookmarkStart w:id="373" w:name="_Toc365982377"/>
      <w:bookmarkStart w:id="374" w:name="_Toc367445848"/>
      <w:bookmarkStart w:id="375" w:name="_Toc368048059"/>
      <w:bookmarkStart w:id="376" w:name="_Toc368583630"/>
      <w:bookmarkStart w:id="377" w:name="_Toc368652725"/>
      <w:bookmarkStart w:id="378" w:name="_Toc368932164"/>
      <w:bookmarkStart w:id="379" w:name="_Toc361324144"/>
      <w:bookmarkStart w:id="380" w:name="_Toc361324583"/>
      <w:bookmarkStart w:id="381" w:name="_Toc361325012"/>
      <w:bookmarkStart w:id="382" w:name="_Toc361325432"/>
      <w:bookmarkStart w:id="383" w:name="_Toc361325853"/>
      <w:bookmarkStart w:id="384" w:name="_Toc361326257"/>
      <w:bookmarkStart w:id="385" w:name="_Toc361326658"/>
      <w:bookmarkStart w:id="386" w:name="_Toc361327044"/>
      <w:bookmarkStart w:id="387" w:name="_Toc361327425"/>
      <w:bookmarkStart w:id="388" w:name="_Toc361327804"/>
      <w:bookmarkStart w:id="389" w:name="_Toc361328176"/>
      <w:bookmarkStart w:id="390" w:name="_Toc361328548"/>
      <w:bookmarkStart w:id="391" w:name="_Toc361394346"/>
      <w:bookmarkStart w:id="392" w:name="_Toc362882284"/>
      <w:bookmarkStart w:id="393" w:name="_Toc362882669"/>
      <w:bookmarkStart w:id="394" w:name="_Toc362883051"/>
      <w:bookmarkStart w:id="395" w:name="_Toc362883430"/>
      <w:bookmarkStart w:id="396" w:name="_Toc362883808"/>
      <w:bookmarkStart w:id="397" w:name="_Toc362884185"/>
      <w:bookmarkStart w:id="398" w:name="_Toc362884562"/>
      <w:bookmarkStart w:id="399" w:name="_Toc362884937"/>
      <w:bookmarkStart w:id="400" w:name="_Toc362945878"/>
      <w:bookmarkStart w:id="401" w:name="_Toc362946593"/>
      <w:bookmarkStart w:id="402" w:name="_Toc365571062"/>
      <w:bookmarkStart w:id="403" w:name="_Toc365624558"/>
      <w:bookmarkStart w:id="404" w:name="_Toc365899569"/>
      <w:bookmarkStart w:id="405" w:name="_Toc365982378"/>
      <w:bookmarkStart w:id="406" w:name="_Toc367445849"/>
      <w:bookmarkStart w:id="407" w:name="_Toc368048060"/>
      <w:bookmarkStart w:id="408" w:name="_Toc368583631"/>
      <w:bookmarkStart w:id="409" w:name="_Toc368652726"/>
      <w:bookmarkStart w:id="410" w:name="_Toc368932165"/>
      <w:bookmarkStart w:id="411" w:name="_Toc361324145"/>
      <w:bookmarkStart w:id="412" w:name="_Toc361324584"/>
      <w:bookmarkStart w:id="413" w:name="_Toc361325013"/>
      <w:bookmarkStart w:id="414" w:name="_Toc361325433"/>
      <w:bookmarkStart w:id="415" w:name="_Toc361325854"/>
      <w:bookmarkStart w:id="416" w:name="_Toc361326258"/>
      <w:bookmarkStart w:id="417" w:name="_Toc361326659"/>
      <w:bookmarkStart w:id="418" w:name="_Toc361327045"/>
      <w:bookmarkStart w:id="419" w:name="_Toc361327426"/>
      <w:bookmarkStart w:id="420" w:name="_Toc361327805"/>
      <w:bookmarkStart w:id="421" w:name="_Toc361328177"/>
      <w:bookmarkStart w:id="422" w:name="_Toc361328549"/>
      <w:bookmarkStart w:id="423" w:name="_Toc361394347"/>
      <w:bookmarkStart w:id="424" w:name="_Toc362882285"/>
      <w:bookmarkStart w:id="425" w:name="_Toc362882670"/>
      <w:bookmarkStart w:id="426" w:name="_Toc362883052"/>
      <w:bookmarkStart w:id="427" w:name="_Toc362883431"/>
      <w:bookmarkStart w:id="428" w:name="_Toc362883809"/>
      <w:bookmarkStart w:id="429" w:name="_Toc362884186"/>
      <w:bookmarkStart w:id="430" w:name="_Toc362884563"/>
      <w:bookmarkStart w:id="431" w:name="_Toc362884938"/>
      <w:bookmarkStart w:id="432" w:name="_Toc362945879"/>
      <w:bookmarkStart w:id="433" w:name="_Toc362946594"/>
      <w:bookmarkStart w:id="434" w:name="_Toc365571063"/>
      <w:bookmarkStart w:id="435" w:name="_Toc365624559"/>
      <w:bookmarkStart w:id="436" w:name="_Toc365899570"/>
      <w:bookmarkStart w:id="437" w:name="_Toc365982379"/>
      <w:bookmarkStart w:id="438" w:name="_Toc367445850"/>
      <w:bookmarkStart w:id="439" w:name="_Toc368048061"/>
      <w:bookmarkStart w:id="440" w:name="_Toc368583632"/>
      <w:bookmarkStart w:id="441" w:name="_Toc368652727"/>
      <w:bookmarkStart w:id="442" w:name="_Toc368932166"/>
      <w:bookmarkStart w:id="443" w:name="_Toc361324146"/>
      <w:bookmarkStart w:id="444" w:name="_Toc361324585"/>
      <w:bookmarkStart w:id="445" w:name="_Toc361325014"/>
      <w:bookmarkStart w:id="446" w:name="_Toc361325434"/>
      <w:bookmarkStart w:id="447" w:name="_Toc361325855"/>
      <w:bookmarkStart w:id="448" w:name="_Toc361326259"/>
      <w:bookmarkStart w:id="449" w:name="_Toc361326660"/>
      <w:bookmarkStart w:id="450" w:name="_Toc361327046"/>
      <w:bookmarkStart w:id="451" w:name="_Toc361327427"/>
      <w:bookmarkStart w:id="452" w:name="_Toc361327806"/>
      <w:bookmarkStart w:id="453" w:name="_Toc361328178"/>
      <w:bookmarkStart w:id="454" w:name="_Toc361328550"/>
      <w:bookmarkStart w:id="455" w:name="_Toc361394348"/>
      <w:bookmarkStart w:id="456" w:name="_Toc362882286"/>
      <w:bookmarkStart w:id="457" w:name="_Toc362882671"/>
      <w:bookmarkStart w:id="458" w:name="_Toc362883053"/>
      <w:bookmarkStart w:id="459" w:name="_Toc362883432"/>
      <w:bookmarkStart w:id="460" w:name="_Toc362883810"/>
      <w:bookmarkStart w:id="461" w:name="_Toc362884187"/>
      <w:bookmarkStart w:id="462" w:name="_Toc362884564"/>
      <w:bookmarkStart w:id="463" w:name="_Toc362884939"/>
      <w:bookmarkStart w:id="464" w:name="_Toc362945880"/>
      <w:bookmarkStart w:id="465" w:name="_Toc362946595"/>
      <w:bookmarkStart w:id="466" w:name="_Toc365571064"/>
      <w:bookmarkStart w:id="467" w:name="_Toc365624560"/>
      <w:bookmarkStart w:id="468" w:name="_Toc365899571"/>
      <w:bookmarkStart w:id="469" w:name="_Toc365982380"/>
      <w:bookmarkStart w:id="470" w:name="_Toc367445851"/>
      <w:bookmarkStart w:id="471" w:name="_Toc368048062"/>
      <w:bookmarkStart w:id="472" w:name="_Toc368583633"/>
      <w:bookmarkStart w:id="473" w:name="_Toc368652728"/>
      <w:bookmarkStart w:id="474" w:name="_Toc368932167"/>
      <w:bookmarkStart w:id="475" w:name="_Toc361324147"/>
      <w:bookmarkStart w:id="476" w:name="_Toc361324586"/>
      <w:bookmarkStart w:id="477" w:name="_Toc361325015"/>
      <w:bookmarkStart w:id="478" w:name="_Toc361325435"/>
      <w:bookmarkStart w:id="479" w:name="_Toc361325856"/>
      <w:bookmarkStart w:id="480" w:name="_Toc361326260"/>
      <w:bookmarkStart w:id="481" w:name="_Toc361326661"/>
      <w:bookmarkStart w:id="482" w:name="_Toc361327047"/>
      <w:bookmarkStart w:id="483" w:name="_Toc361327428"/>
      <w:bookmarkStart w:id="484" w:name="_Toc361327807"/>
      <w:bookmarkStart w:id="485" w:name="_Toc361328179"/>
      <w:bookmarkStart w:id="486" w:name="_Toc361328551"/>
      <w:bookmarkStart w:id="487" w:name="_Toc361394349"/>
      <w:bookmarkStart w:id="488" w:name="_Toc362882287"/>
      <w:bookmarkStart w:id="489" w:name="_Toc362882672"/>
      <w:bookmarkStart w:id="490" w:name="_Toc362883054"/>
      <w:bookmarkStart w:id="491" w:name="_Toc362883433"/>
      <w:bookmarkStart w:id="492" w:name="_Toc362883811"/>
      <w:bookmarkStart w:id="493" w:name="_Toc362884188"/>
      <w:bookmarkStart w:id="494" w:name="_Toc362884565"/>
      <w:bookmarkStart w:id="495" w:name="_Toc362884940"/>
      <w:bookmarkStart w:id="496" w:name="_Toc362945881"/>
      <w:bookmarkStart w:id="497" w:name="_Toc362946596"/>
      <w:bookmarkStart w:id="498" w:name="_Toc365571065"/>
      <w:bookmarkStart w:id="499" w:name="_Toc365624561"/>
      <w:bookmarkStart w:id="500" w:name="_Toc365899572"/>
      <w:bookmarkStart w:id="501" w:name="_Toc365982381"/>
      <w:bookmarkStart w:id="502" w:name="_Toc367445852"/>
      <w:bookmarkStart w:id="503" w:name="_Toc368048063"/>
      <w:bookmarkStart w:id="504" w:name="_Toc368583634"/>
      <w:bookmarkStart w:id="505" w:name="_Toc368652729"/>
      <w:bookmarkStart w:id="506" w:name="_Toc368932168"/>
      <w:bookmarkStart w:id="507" w:name="_Toc368932169"/>
      <w:bookmarkStart w:id="508" w:name="_Toc375158199"/>
      <w:bookmarkStart w:id="509" w:name="_Toc398214783"/>
      <w:bookmarkStart w:id="510" w:name="_Toc420594309"/>
      <w:bookmarkStart w:id="511" w:name="_Toc421874241"/>
      <w:bookmarkStart w:id="512" w:name="_Toc422150668"/>
      <w:bookmarkStart w:id="513" w:name="_Toc448998199"/>
      <w:bookmarkStart w:id="514" w:name="_Toc486332815"/>
      <w:bookmarkStart w:id="515" w:name="_Toc1977217"/>
      <w:bookmarkStart w:id="516" w:name="_Toc37062372"/>
      <w:bookmarkStart w:id="517" w:name="_Toc88839493"/>
      <w:bookmarkStart w:id="518" w:name="_Toc121503901"/>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Pr>
          <w:rFonts w:eastAsia="Times New Roman" w:cs="Arial"/>
          <w:b/>
          <w:bCs/>
          <w:iCs/>
          <w:sz w:val="24"/>
          <w:szCs w:val="26"/>
          <w:lang w:eastAsia="en-US"/>
        </w:rPr>
        <w:lastRenderedPageBreak/>
        <w:t xml:space="preserve">Profile </w:t>
      </w:r>
      <w:r>
        <w:rPr>
          <w:rFonts w:eastAsia="Times New Roman" w:cs="Arial"/>
          <w:b/>
          <w:sz w:val="24"/>
          <w:szCs w:val="26"/>
          <w:lang w:eastAsia="en-US"/>
        </w:rPr>
        <w:t>Structure</w:t>
      </w:r>
      <w:bookmarkEnd w:id="507"/>
      <w:bookmarkEnd w:id="508"/>
      <w:bookmarkEnd w:id="509"/>
      <w:bookmarkEnd w:id="510"/>
      <w:bookmarkEnd w:id="511"/>
      <w:bookmarkEnd w:id="512"/>
      <w:bookmarkEnd w:id="513"/>
      <w:bookmarkEnd w:id="514"/>
      <w:bookmarkEnd w:id="515"/>
      <w:bookmarkEnd w:id="516"/>
      <w:bookmarkEnd w:id="517"/>
      <w:bookmarkEnd w:id="518"/>
    </w:p>
    <w:p w14:paraId="1169FA85" w14:textId="77777777" w:rsidR="00B97365" w:rsidRDefault="00000000">
      <w:pPr>
        <w:spacing w:before="0" w:after="200" w:line="276" w:lineRule="auto"/>
        <w:jc w:val="left"/>
        <w:rPr>
          <w:rFonts w:cs="Arial"/>
          <w:szCs w:val="22"/>
          <w:lang w:eastAsia="en-GB" w:bidi="ar-SA"/>
        </w:rPr>
      </w:pPr>
      <w:r>
        <w:rPr>
          <w:rFonts w:cs="Arial"/>
          <w:szCs w:val="22"/>
          <w:lang w:eastAsia="en-GB" w:bidi="ar-SA"/>
        </w:rPr>
        <w:t>The Profile structure, composed of a set of Profile Components, is specified by, and under the full control of, the Operator. The full Profile structure SHALL be contained in a unique ISD-P.</w:t>
      </w:r>
    </w:p>
    <w:p w14:paraId="29BC6961" w14:textId="748FA717" w:rsidR="00B97365" w:rsidRDefault="00000000">
      <w:pPr>
        <w:spacing w:before="0" w:after="200" w:line="276" w:lineRule="auto"/>
        <w:jc w:val="left"/>
        <w:rPr>
          <w:szCs w:val="22"/>
          <w:lang w:eastAsia="en-GB" w:bidi="ar-SA"/>
        </w:rPr>
      </w:pPr>
      <w:r>
        <w:rPr>
          <w:rFonts w:cs="Arial"/>
          <w:szCs w:val="22"/>
          <w:lang w:eastAsia="en-GB" w:bidi="ar-SA"/>
        </w:rPr>
        <w:t xml:space="preserve">The Profile structure SHALL contain a Profile Component, called MNO-SD, which performs </w:t>
      </w:r>
      <w:r>
        <w:rPr>
          <w:szCs w:val="22"/>
          <w:lang w:val="en-US" w:eastAsia="en-GB" w:bidi="ar-SA"/>
        </w:rPr>
        <w:t xml:space="preserve">an identical Role as the ISD for a UICC (see 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w:t>
      </w:r>
      <w:r>
        <w:rPr>
          <w:szCs w:val="22"/>
          <w:lang w:eastAsia="en-GB" w:bidi="ar-SA"/>
        </w:rPr>
        <w:t>. This MNO-SD is the representative of the Operator owning the Profile, meaning it contains the Operator’s OTA Key sets.</w:t>
      </w:r>
    </w:p>
    <w:p w14:paraId="3C237665" w14:textId="77777777" w:rsidR="00B97365" w:rsidRDefault="00000000">
      <w:pPr>
        <w:keepNext/>
        <w:jc w:val="center"/>
        <w:rPr>
          <w:rFonts w:cs="Arial"/>
          <w:sz w:val="20"/>
        </w:rPr>
      </w:pPr>
      <w:r>
        <w:rPr>
          <w:rFonts w:cs="Arial"/>
          <w:sz w:val="20"/>
        </w:rPr>
        <w:object w:dxaOrig="4290" w:dyaOrig="5361" w14:anchorId="7E065A10">
          <v:shape id="_x0000_i1028" type="#_x0000_t75" style="width:223.5pt;height:280.85pt" o:ole="">
            <v:imagedata r:id="rId31" o:title=""/>
          </v:shape>
          <o:OLEObject Type="Embed" ProgID="PowerPoint.Slide.12" ShapeID="_x0000_i1028" DrawAspect="Content" ObjectID="_1738512073" r:id="rId32"/>
        </w:object>
      </w:r>
    </w:p>
    <w:p w14:paraId="3781D776"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519" w:name="_Ref373940708"/>
      <w:r>
        <w:rPr>
          <w:rFonts w:cs="Arial"/>
          <w:b/>
          <w:szCs w:val="22"/>
          <w:lang w:val="en-US" w:eastAsia="en-GB" w:bidi="ar-SA"/>
        </w:rPr>
        <w:t>: Profile Structure Overview</w:t>
      </w:r>
      <w:bookmarkEnd w:id="519"/>
    </w:p>
    <w:p w14:paraId="0B338A62" w14:textId="0B7EDB53" w:rsidR="00B97365" w:rsidRDefault="00000000">
      <w:pPr>
        <w:spacing w:before="0" w:after="200" w:line="276" w:lineRule="auto"/>
        <w:jc w:val="left"/>
        <w:rPr>
          <w:szCs w:val="22"/>
          <w:lang w:eastAsia="en-GB" w:bidi="ar-SA"/>
        </w:rPr>
      </w:pPr>
      <w:r>
        <w:rPr>
          <w:rFonts w:cs="Arial"/>
          <w:szCs w:val="22"/>
          <w:lang w:eastAsia="en-GB" w:bidi="ar-SA"/>
        </w:rPr>
        <w:t xml:space="preserve">The Profile in the </w:t>
      </w:r>
      <w:r>
        <w:rPr>
          <w:szCs w:val="22"/>
          <w:lang w:eastAsia="en-GB" w:bidi="ar-SA"/>
        </w:rPr>
        <w:fldChar w:fldCharType="begin"/>
      </w:r>
      <w:r>
        <w:rPr>
          <w:szCs w:val="22"/>
          <w:lang w:eastAsia="en-GB" w:bidi="ar-SA"/>
        </w:rPr>
        <w:instrText xml:space="preserve"> REF _Ref373940708 \r \h </w:instrText>
      </w:r>
      <w:r>
        <w:rPr>
          <w:szCs w:val="22"/>
          <w:lang w:eastAsia="en-GB" w:bidi="ar-SA"/>
        </w:rPr>
      </w:r>
      <w:r>
        <w:rPr>
          <w:szCs w:val="22"/>
          <w:lang w:eastAsia="en-GB" w:bidi="ar-SA"/>
        </w:rPr>
        <w:fldChar w:fldCharType="separate"/>
      </w:r>
      <w:r w:rsidR="001D5AD9">
        <w:rPr>
          <w:szCs w:val="22"/>
          <w:lang w:eastAsia="en-GB" w:bidi="ar-SA"/>
        </w:rPr>
        <w:t>Figure 4</w:t>
      </w:r>
      <w:r>
        <w:rPr>
          <w:szCs w:val="22"/>
          <w:lang w:eastAsia="en-GB" w:bidi="ar-SA"/>
        </w:rPr>
        <w:fldChar w:fldCharType="end"/>
      </w:r>
      <w:r>
        <w:rPr>
          <w:szCs w:val="22"/>
          <w:lang w:eastAsia="en-GB" w:bidi="ar-SA"/>
        </w:rPr>
        <w:t xml:space="preserve"> provides an example of a Profile structure.</w:t>
      </w:r>
    </w:p>
    <w:p w14:paraId="5350942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Profile structure SHALL include:</w:t>
      </w:r>
    </w:p>
    <w:p w14:paraId="554FE7F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MNO-SD </w:t>
      </w:r>
    </w:p>
    <w:p w14:paraId="7581F19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At least one NAA</w:t>
      </w:r>
    </w:p>
    <w:p w14:paraId="151E6DC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POL1, even if not used</w:t>
      </w:r>
    </w:p>
    <w:p w14:paraId="4B65194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file system</w:t>
      </w:r>
    </w:p>
    <w:p w14:paraId="0087409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Connectivity Parameters of the Profile</w:t>
      </w:r>
    </w:p>
    <w:p w14:paraId="5FC59022" w14:textId="77777777" w:rsidR="00B97365" w:rsidRDefault="00B97365">
      <w:pPr>
        <w:spacing w:before="0" w:line="276" w:lineRule="auto"/>
        <w:jc w:val="left"/>
        <w:rPr>
          <w:rFonts w:cs="Arial"/>
          <w:szCs w:val="22"/>
          <w:lang w:eastAsia="en-GB" w:bidi="ar-SA"/>
        </w:rPr>
      </w:pPr>
    </w:p>
    <w:p w14:paraId="393759C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Profile structure MAY contain:</w:t>
      </w:r>
    </w:p>
    <w:p w14:paraId="1B7CA634" w14:textId="3FADD416"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Several Applications (as defined in GlobalPlatform Card Specification </w:t>
      </w:r>
      <w:r>
        <w:rPr>
          <w:szCs w:val="22"/>
          <w:lang w:eastAsia="en-GB" w:bidi="ar-SA"/>
        </w:rPr>
        <w:fldChar w:fldCharType="begin"/>
      </w:r>
      <w:r>
        <w:rPr>
          <w:szCs w:val="22"/>
          <w:lang w:eastAsia="en-GB" w:bidi="ar-SA"/>
        </w:rPr>
        <w:instrText xml:space="preserve"> REF _Ref421631311 \r \h </w:instrText>
      </w:r>
      <w:r>
        <w:rPr>
          <w:szCs w:val="22"/>
          <w:lang w:eastAsia="en-GB" w:bidi="ar-SA"/>
        </w:rPr>
      </w:r>
      <w:r>
        <w:rPr>
          <w:szCs w:val="22"/>
          <w:lang w:eastAsia="en-GB" w:bidi="ar-SA"/>
        </w:rPr>
        <w:fldChar w:fldCharType="separate"/>
      </w:r>
      <w:r w:rsidR="001D5AD9">
        <w:rPr>
          <w:szCs w:val="22"/>
          <w:lang w:eastAsia="en-GB" w:bidi="ar-SA"/>
        </w:rPr>
        <w:t>[6]</w:t>
      </w:r>
      <w:r>
        <w:rPr>
          <w:szCs w:val="22"/>
          <w:lang w:eastAsia="en-GB" w:bidi="ar-SA"/>
        </w:rPr>
        <w:fldChar w:fldCharType="end"/>
      </w:r>
      <w:r>
        <w:rPr>
          <w:szCs w:val="22"/>
          <w:lang w:eastAsia="en-GB" w:bidi="ar-SA"/>
        </w:rPr>
        <w:t>) in addition to the MNO-SD</w:t>
      </w:r>
    </w:p>
    <w:p w14:paraId="1800CA1F" w14:textId="55BB8B3B"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One CASD (as defined in GlobalPlatform Card Specification UICC Configuration </w:t>
      </w:r>
      <w:r>
        <w:rPr>
          <w:szCs w:val="22"/>
          <w:lang w:eastAsia="en-GB" w:bidi="ar-SA"/>
        </w:rPr>
        <w:fldChar w:fldCharType="begin"/>
      </w:r>
      <w:r>
        <w:rPr>
          <w:szCs w:val="22"/>
          <w:lang w:eastAsia="en-GB" w:bidi="ar-SA"/>
        </w:rPr>
        <w:instrText xml:space="preserve"> REF _Ref421631520 \r \h </w:instrText>
      </w:r>
      <w:r>
        <w:rPr>
          <w:szCs w:val="22"/>
          <w:lang w:eastAsia="en-GB" w:bidi="ar-SA"/>
        </w:rPr>
      </w:r>
      <w:r>
        <w:rPr>
          <w:szCs w:val="22"/>
          <w:lang w:eastAsia="en-GB" w:bidi="ar-SA"/>
        </w:rPr>
        <w:fldChar w:fldCharType="separate"/>
      </w:r>
      <w:r w:rsidR="001D5AD9">
        <w:rPr>
          <w:szCs w:val="22"/>
          <w:lang w:eastAsia="en-GB" w:bidi="ar-SA"/>
        </w:rPr>
        <w:t>[7]</w:t>
      </w:r>
      <w:r>
        <w:rPr>
          <w:szCs w:val="22"/>
          <w:lang w:eastAsia="en-GB" w:bidi="ar-SA"/>
        </w:rPr>
        <w:fldChar w:fldCharType="end"/>
      </w:r>
      <w:r>
        <w:rPr>
          <w:szCs w:val="22"/>
          <w:lang w:eastAsia="en-GB" w:bidi="ar-SA"/>
        </w:rPr>
        <w:t>)</w:t>
      </w:r>
    </w:p>
    <w:p w14:paraId="7156C7B3" w14:textId="77777777" w:rsidR="00B97365" w:rsidRDefault="00B97365">
      <w:pPr>
        <w:spacing w:before="0" w:line="276" w:lineRule="auto"/>
        <w:jc w:val="left"/>
        <w:rPr>
          <w:rFonts w:cs="Arial"/>
          <w:szCs w:val="22"/>
          <w:lang w:val="en-US" w:eastAsia="en-GB" w:bidi="ar-SA"/>
        </w:rPr>
      </w:pPr>
    </w:p>
    <w:p w14:paraId="2937FFF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The privileges that can be allocated to the MNO-SD and to applications SHALL comply with Annex C.</w:t>
      </w:r>
    </w:p>
    <w:p w14:paraId="6463436D" w14:textId="16BA8CD7" w:rsidR="00B97365" w:rsidRDefault="00000000">
      <w:pPr>
        <w:spacing w:before="0" w:after="200" w:line="276" w:lineRule="auto"/>
        <w:jc w:val="left"/>
        <w:rPr>
          <w:szCs w:val="22"/>
          <w:lang w:eastAsia="en-GB" w:bidi="ar-SA"/>
        </w:rPr>
      </w:pPr>
      <w:r>
        <w:rPr>
          <w:rFonts w:cs="Arial"/>
          <w:szCs w:val="22"/>
          <w:lang w:val="en-US" w:eastAsia="en-GB" w:bidi="ar-SA"/>
        </w:rPr>
        <w:t xml:space="preserve">It SHALL be possible for the Operator to establish secure channels </w:t>
      </w:r>
      <w:r>
        <w:rPr>
          <w:szCs w:val="22"/>
          <w:lang w:eastAsia="en-GB" w:bidi="ar-SA"/>
        </w:rPr>
        <w:t>between the Operator OTA Platform and security domains of the Profile</w:t>
      </w:r>
      <w:r>
        <w:rPr>
          <w:szCs w:val="22"/>
          <w:lang w:val="en-US" w:eastAsia="en-GB" w:bidi="ar-SA"/>
        </w:rPr>
        <w:t xml:space="preserve"> </w:t>
      </w:r>
      <w:r>
        <w:rPr>
          <w:szCs w:val="22"/>
          <w:lang w:eastAsia="en-GB" w:bidi="ar-SA"/>
        </w:rPr>
        <w:t xml:space="preserve">as specified in ETSI TS 102 225 </w:t>
      </w:r>
      <w:r>
        <w:rPr>
          <w:szCs w:val="22"/>
          <w:lang w:eastAsia="en-GB" w:bidi="ar-SA"/>
        </w:rPr>
        <w:fldChar w:fldCharType="begin"/>
      </w:r>
      <w:r>
        <w:rPr>
          <w:szCs w:val="22"/>
          <w:lang w:eastAsia="en-GB" w:bidi="ar-SA"/>
        </w:rPr>
        <w:instrText xml:space="preserve"> REF _Ref421631435 \r \h </w:instrText>
      </w:r>
      <w:r>
        <w:rPr>
          <w:szCs w:val="22"/>
          <w:lang w:eastAsia="en-GB" w:bidi="ar-SA"/>
        </w:rPr>
      </w:r>
      <w:r>
        <w:rPr>
          <w:szCs w:val="22"/>
          <w:lang w:eastAsia="en-GB" w:bidi="ar-SA"/>
        </w:rPr>
        <w:fldChar w:fldCharType="separate"/>
      </w:r>
      <w:r w:rsidR="001D5AD9">
        <w:rPr>
          <w:szCs w:val="22"/>
          <w:lang w:eastAsia="en-GB" w:bidi="ar-SA"/>
        </w:rPr>
        <w:t>[4]</w:t>
      </w:r>
      <w:r>
        <w:rPr>
          <w:szCs w:val="22"/>
          <w:lang w:eastAsia="en-GB" w:bidi="ar-SA"/>
        </w:rPr>
        <w:fldChar w:fldCharType="end"/>
      </w:r>
      <w:r>
        <w:rPr>
          <w:szCs w:val="22"/>
          <w:lang w:eastAsia="en-GB" w:bidi="ar-SA"/>
        </w:rPr>
        <w:t xml:space="preserve"> and 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w:t>
      </w:r>
    </w:p>
    <w:p w14:paraId="4F1E9C3D"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0" w:name="_Toc374345664"/>
      <w:bookmarkStart w:id="521" w:name="_Toc374346010"/>
      <w:bookmarkStart w:id="522" w:name="_Toc374346355"/>
      <w:bookmarkStart w:id="523" w:name="_Toc374346701"/>
      <w:bookmarkStart w:id="524" w:name="_Toc374347269"/>
      <w:bookmarkStart w:id="525" w:name="_Toc374347499"/>
      <w:bookmarkStart w:id="526" w:name="_Toc374347728"/>
      <w:bookmarkStart w:id="527" w:name="_Toc374348472"/>
      <w:bookmarkStart w:id="528" w:name="_Toc375054775"/>
      <w:bookmarkStart w:id="529" w:name="_Toc375157858"/>
      <w:bookmarkStart w:id="530" w:name="_Toc375158200"/>
      <w:bookmarkStart w:id="531" w:name="_Toc378865356"/>
      <w:bookmarkStart w:id="532" w:name="_Toc396149086"/>
      <w:bookmarkStart w:id="533" w:name="_Toc396149654"/>
      <w:bookmarkStart w:id="534" w:name="_Toc396150095"/>
      <w:bookmarkStart w:id="535" w:name="_Toc398214784"/>
      <w:bookmarkStart w:id="536" w:name="_Toc398291474"/>
      <w:bookmarkStart w:id="537" w:name="_Toc398291817"/>
      <w:bookmarkStart w:id="538" w:name="_Toc398292926"/>
      <w:bookmarkStart w:id="539" w:name="_Toc400964056"/>
      <w:bookmarkStart w:id="540" w:name="_Toc420594310"/>
      <w:bookmarkStart w:id="541" w:name="_Toc420928330"/>
      <w:bookmarkStart w:id="542" w:name="_Toc421106651"/>
      <w:bookmarkStart w:id="543" w:name="_Toc421172935"/>
      <w:bookmarkStart w:id="544" w:name="_Toc421874242"/>
      <w:bookmarkStart w:id="545" w:name="_Toc421885529"/>
      <w:bookmarkStart w:id="546" w:name="_Toc421885908"/>
      <w:bookmarkStart w:id="547" w:name="_Toc422028783"/>
      <w:bookmarkStart w:id="548" w:name="_Toc422029695"/>
      <w:bookmarkStart w:id="549" w:name="_Toc374345665"/>
      <w:bookmarkStart w:id="550" w:name="_Toc374346011"/>
      <w:bookmarkStart w:id="551" w:name="_Toc374346356"/>
      <w:bookmarkStart w:id="552" w:name="_Toc374346702"/>
      <w:bookmarkStart w:id="553" w:name="_Toc374347270"/>
      <w:bookmarkStart w:id="554" w:name="_Toc374347500"/>
      <w:bookmarkStart w:id="555" w:name="_Toc374347729"/>
      <w:bookmarkStart w:id="556" w:name="_Toc374348473"/>
      <w:bookmarkStart w:id="557" w:name="_Toc375054776"/>
      <w:bookmarkStart w:id="558" w:name="_Toc375157859"/>
      <w:bookmarkStart w:id="559" w:name="_Toc375158201"/>
      <w:bookmarkStart w:id="560" w:name="_Toc378865357"/>
      <w:bookmarkStart w:id="561" w:name="_Toc396149087"/>
      <w:bookmarkStart w:id="562" w:name="_Toc396149655"/>
      <w:bookmarkStart w:id="563" w:name="_Toc396150096"/>
      <w:bookmarkStart w:id="564" w:name="_Toc398214785"/>
      <w:bookmarkStart w:id="565" w:name="_Toc398291475"/>
      <w:bookmarkStart w:id="566" w:name="_Toc398291818"/>
      <w:bookmarkStart w:id="567" w:name="_Toc398292927"/>
      <w:bookmarkStart w:id="568" w:name="_Toc400964057"/>
      <w:bookmarkStart w:id="569" w:name="_Toc420594311"/>
      <w:bookmarkStart w:id="570" w:name="_Toc420928331"/>
      <w:bookmarkStart w:id="571" w:name="_Toc421106652"/>
      <w:bookmarkStart w:id="572" w:name="_Toc421172936"/>
      <w:bookmarkStart w:id="573" w:name="_Toc421874243"/>
      <w:bookmarkStart w:id="574" w:name="_Toc421885530"/>
      <w:bookmarkStart w:id="575" w:name="_Toc421885909"/>
      <w:bookmarkStart w:id="576" w:name="_Toc422028784"/>
      <w:bookmarkStart w:id="577" w:name="_Toc422029696"/>
      <w:bookmarkStart w:id="578" w:name="_Toc374345666"/>
      <w:bookmarkStart w:id="579" w:name="_Toc374346012"/>
      <w:bookmarkStart w:id="580" w:name="_Toc374346357"/>
      <w:bookmarkStart w:id="581" w:name="_Toc374346703"/>
      <w:bookmarkStart w:id="582" w:name="_Toc374347271"/>
      <w:bookmarkStart w:id="583" w:name="_Toc374347501"/>
      <w:bookmarkStart w:id="584" w:name="_Toc374347730"/>
      <w:bookmarkStart w:id="585" w:name="_Toc374348474"/>
      <w:bookmarkStart w:id="586" w:name="_Toc375054777"/>
      <w:bookmarkStart w:id="587" w:name="_Toc375157860"/>
      <w:bookmarkStart w:id="588" w:name="_Toc375158202"/>
      <w:bookmarkStart w:id="589" w:name="_Toc378865358"/>
      <w:bookmarkStart w:id="590" w:name="_Toc396149088"/>
      <w:bookmarkStart w:id="591" w:name="_Toc396149656"/>
      <w:bookmarkStart w:id="592" w:name="_Toc396150097"/>
      <w:bookmarkStart w:id="593" w:name="_Toc398214786"/>
      <w:bookmarkStart w:id="594" w:name="_Toc398291476"/>
      <w:bookmarkStart w:id="595" w:name="_Toc398291819"/>
      <w:bookmarkStart w:id="596" w:name="_Toc398292928"/>
      <w:bookmarkStart w:id="597" w:name="_Toc400964058"/>
      <w:bookmarkStart w:id="598" w:name="_Toc420594312"/>
      <w:bookmarkStart w:id="599" w:name="_Toc420928332"/>
      <w:bookmarkStart w:id="600" w:name="_Toc421106653"/>
      <w:bookmarkStart w:id="601" w:name="_Toc421172937"/>
      <w:bookmarkStart w:id="602" w:name="_Toc421874244"/>
      <w:bookmarkStart w:id="603" w:name="_Toc421885531"/>
      <w:bookmarkStart w:id="604" w:name="_Toc421885910"/>
      <w:bookmarkStart w:id="605" w:name="_Toc422028785"/>
      <w:bookmarkStart w:id="606" w:name="_Toc422029697"/>
      <w:bookmarkStart w:id="607" w:name="_Toc375054778"/>
      <w:bookmarkStart w:id="608" w:name="_Toc375157861"/>
      <w:bookmarkStart w:id="609" w:name="_Toc375158203"/>
      <w:bookmarkStart w:id="610" w:name="_Toc378865359"/>
      <w:bookmarkStart w:id="611" w:name="_Toc396149089"/>
      <w:bookmarkStart w:id="612" w:name="_Toc396149657"/>
      <w:bookmarkStart w:id="613" w:name="_Toc396150098"/>
      <w:bookmarkStart w:id="614" w:name="_Toc398214787"/>
      <w:bookmarkStart w:id="615" w:name="_Toc398291477"/>
      <w:bookmarkStart w:id="616" w:name="_Toc398291820"/>
      <w:bookmarkStart w:id="617" w:name="_Toc398292929"/>
      <w:bookmarkStart w:id="618" w:name="_Toc400964059"/>
      <w:bookmarkStart w:id="619" w:name="_Toc420594313"/>
      <w:bookmarkStart w:id="620" w:name="_Toc420928333"/>
      <w:bookmarkStart w:id="621" w:name="_Toc421106654"/>
      <w:bookmarkStart w:id="622" w:name="_Toc421172938"/>
      <w:bookmarkStart w:id="623" w:name="_Toc421874245"/>
      <w:bookmarkStart w:id="624" w:name="_Toc421885532"/>
      <w:bookmarkStart w:id="625" w:name="_Toc421885911"/>
      <w:bookmarkStart w:id="626" w:name="_Toc422028786"/>
      <w:bookmarkStart w:id="627" w:name="_Toc422029698"/>
      <w:bookmarkStart w:id="628" w:name="_Toc375054779"/>
      <w:bookmarkStart w:id="629" w:name="_Toc375157862"/>
      <w:bookmarkStart w:id="630" w:name="_Toc375158204"/>
      <w:bookmarkStart w:id="631" w:name="_Toc378865360"/>
      <w:bookmarkStart w:id="632" w:name="_Toc396149090"/>
      <w:bookmarkStart w:id="633" w:name="_Toc396149658"/>
      <w:bookmarkStart w:id="634" w:name="_Toc396150099"/>
      <w:bookmarkStart w:id="635" w:name="_Toc398214788"/>
      <w:bookmarkStart w:id="636" w:name="_Toc398291478"/>
      <w:bookmarkStart w:id="637" w:name="_Toc398291821"/>
      <w:bookmarkStart w:id="638" w:name="_Toc398292930"/>
      <w:bookmarkStart w:id="639" w:name="_Toc400964060"/>
      <w:bookmarkStart w:id="640" w:name="_Toc420594314"/>
      <w:bookmarkStart w:id="641" w:name="_Toc420928334"/>
      <w:bookmarkStart w:id="642" w:name="_Toc421106655"/>
      <w:bookmarkStart w:id="643" w:name="_Toc421172939"/>
      <w:bookmarkStart w:id="644" w:name="_Toc421874246"/>
      <w:bookmarkStart w:id="645" w:name="_Toc421885533"/>
      <w:bookmarkStart w:id="646" w:name="_Toc421885912"/>
      <w:bookmarkStart w:id="647" w:name="_Toc422028787"/>
      <w:bookmarkStart w:id="648" w:name="_Toc422029699"/>
      <w:bookmarkStart w:id="649" w:name="_Toc375054780"/>
      <w:bookmarkStart w:id="650" w:name="_Toc375157863"/>
      <w:bookmarkStart w:id="651" w:name="_Toc375158205"/>
      <w:bookmarkStart w:id="652" w:name="_Toc378865361"/>
      <w:bookmarkStart w:id="653" w:name="_Toc396149091"/>
      <w:bookmarkStart w:id="654" w:name="_Toc396149659"/>
      <w:bookmarkStart w:id="655" w:name="_Toc396150100"/>
      <w:bookmarkStart w:id="656" w:name="_Toc398214789"/>
      <w:bookmarkStart w:id="657" w:name="_Toc398291479"/>
      <w:bookmarkStart w:id="658" w:name="_Toc398291822"/>
      <w:bookmarkStart w:id="659" w:name="_Toc398292931"/>
      <w:bookmarkStart w:id="660" w:name="_Toc400964061"/>
      <w:bookmarkStart w:id="661" w:name="_Toc420594315"/>
      <w:bookmarkStart w:id="662" w:name="_Toc420928335"/>
      <w:bookmarkStart w:id="663" w:name="_Toc421106656"/>
      <w:bookmarkStart w:id="664" w:name="_Toc421172940"/>
      <w:bookmarkStart w:id="665" w:name="_Toc421874247"/>
      <w:bookmarkStart w:id="666" w:name="_Toc421885534"/>
      <w:bookmarkStart w:id="667" w:name="_Toc421885913"/>
      <w:bookmarkStart w:id="668" w:name="_Toc422028788"/>
      <w:bookmarkStart w:id="669" w:name="_Toc422029700"/>
      <w:bookmarkStart w:id="670" w:name="_Toc375054781"/>
      <w:bookmarkStart w:id="671" w:name="_Toc375157864"/>
      <w:bookmarkStart w:id="672" w:name="_Toc375158206"/>
      <w:bookmarkStart w:id="673" w:name="_Toc378865362"/>
      <w:bookmarkStart w:id="674" w:name="_Toc396149092"/>
      <w:bookmarkStart w:id="675" w:name="_Toc396149660"/>
      <w:bookmarkStart w:id="676" w:name="_Toc396150101"/>
      <w:bookmarkStart w:id="677" w:name="_Toc398214790"/>
      <w:bookmarkStart w:id="678" w:name="_Toc398291480"/>
      <w:bookmarkStart w:id="679" w:name="_Toc398291823"/>
      <w:bookmarkStart w:id="680" w:name="_Toc398292932"/>
      <w:bookmarkStart w:id="681" w:name="_Toc400964062"/>
      <w:bookmarkStart w:id="682" w:name="_Toc420594316"/>
      <w:bookmarkStart w:id="683" w:name="_Toc420928336"/>
      <w:bookmarkStart w:id="684" w:name="_Toc421106657"/>
      <w:bookmarkStart w:id="685" w:name="_Toc421172941"/>
      <w:bookmarkStart w:id="686" w:name="_Toc421874248"/>
      <w:bookmarkStart w:id="687" w:name="_Toc421885535"/>
      <w:bookmarkStart w:id="688" w:name="_Toc421885914"/>
      <w:bookmarkStart w:id="689" w:name="_Toc422028789"/>
      <w:bookmarkStart w:id="690" w:name="_Toc422029701"/>
      <w:bookmarkStart w:id="691" w:name="_Toc375158207"/>
      <w:bookmarkStart w:id="692" w:name="_Toc398214791"/>
      <w:bookmarkStart w:id="693" w:name="_Toc420594317"/>
      <w:bookmarkStart w:id="694" w:name="_Toc421874249"/>
      <w:bookmarkStart w:id="695" w:name="_Toc422150669"/>
      <w:bookmarkStart w:id="696" w:name="_Toc448998200"/>
      <w:bookmarkStart w:id="697" w:name="_Ref481766542"/>
      <w:bookmarkStart w:id="698" w:name="_Toc486332816"/>
      <w:bookmarkStart w:id="699" w:name="_Toc1977218"/>
      <w:bookmarkStart w:id="700" w:name="_Toc37062373"/>
      <w:bookmarkStart w:id="701" w:name="_Toc88839494"/>
      <w:bookmarkStart w:id="702" w:name="_Toc121503902"/>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Pr>
          <w:rFonts w:eastAsia="Times New Roman" w:cs="Arial"/>
          <w:b/>
          <w:bCs/>
          <w:iCs/>
          <w:sz w:val="24"/>
          <w:szCs w:val="26"/>
          <w:lang w:eastAsia="en-US"/>
        </w:rPr>
        <w:t>Secure Channel on Interfaces</w:t>
      </w:r>
      <w:bookmarkEnd w:id="691"/>
      <w:bookmarkEnd w:id="692"/>
      <w:bookmarkEnd w:id="693"/>
      <w:bookmarkEnd w:id="694"/>
      <w:bookmarkEnd w:id="695"/>
      <w:bookmarkEnd w:id="696"/>
      <w:bookmarkEnd w:id="697"/>
      <w:bookmarkEnd w:id="698"/>
      <w:bookmarkEnd w:id="699"/>
      <w:bookmarkEnd w:id="700"/>
      <w:bookmarkEnd w:id="701"/>
      <w:bookmarkEnd w:id="702"/>
    </w:p>
    <w:p w14:paraId="645CC2B9"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703" w:name="_Ref471395359"/>
      <w:bookmarkStart w:id="704" w:name="_Toc1977219"/>
      <w:bookmarkStart w:id="705" w:name="_Toc37062374"/>
      <w:r>
        <w:rPr>
          <w:rFonts w:ascii="Arial Bold" w:eastAsia="Times New Roman" w:hAnsi="Arial Bold" w:cs="Arial"/>
          <w:b/>
          <w:iCs/>
          <w:szCs w:val="28"/>
          <w:lang w:eastAsia="en-US"/>
        </w:rPr>
        <w:t>Secure Channel on ES5 (SM-SR-eUICC)</w:t>
      </w:r>
      <w:bookmarkEnd w:id="703"/>
      <w:bookmarkEnd w:id="704"/>
      <w:bookmarkEnd w:id="705"/>
    </w:p>
    <w:p w14:paraId="55A728FE" w14:textId="47CB10C2" w:rsidR="00B97365" w:rsidRDefault="00000000">
      <w:pPr>
        <w:spacing w:before="0" w:after="200" w:line="276" w:lineRule="auto"/>
        <w:jc w:val="left"/>
        <w:rPr>
          <w:szCs w:val="22"/>
          <w:lang w:val="en-US" w:eastAsia="en-GB" w:bidi="ar-SA"/>
        </w:rPr>
      </w:pPr>
      <w:r>
        <w:rPr>
          <w:rFonts w:cs="Arial"/>
          <w:szCs w:val="22"/>
          <w:lang w:eastAsia="en-GB" w:bidi="ar-SA"/>
        </w:rPr>
        <w:t xml:space="preserve">The ES5 functions are addressed to the eUICC through a secure channel established between the SM-SR and the ISD-R. The eUICC SHALL support SCP80 and may support SCP81 (defined in ETSI 102 225 </w:t>
      </w:r>
      <w:r>
        <w:rPr>
          <w:szCs w:val="22"/>
          <w:lang w:eastAsia="en-GB" w:bidi="ar-SA"/>
        </w:rPr>
        <w:fldChar w:fldCharType="begin"/>
      </w:r>
      <w:r>
        <w:rPr>
          <w:szCs w:val="22"/>
          <w:lang w:eastAsia="en-GB" w:bidi="ar-SA"/>
        </w:rPr>
        <w:instrText xml:space="preserve"> REF _Ref421631435 \r \h </w:instrText>
      </w:r>
      <w:r>
        <w:rPr>
          <w:szCs w:val="22"/>
          <w:lang w:eastAsia="en-GB" w:bidi="ar-SA"/>
        </w:rPr>
      </w:r>
      <w:r>
        <w:rPr>
          <w:szCs w:val="22"/>
          <w:lang w:eastAsia="en-GB" w:bidi="ar-SA"/>
        </w:rPr>
        <w:fldChar w:fldCharType="separate"/>
      </w:r>
      <w:r w:rsidR="001D5AD9">
        <w:rPr>
          <w:szCs w:val="22"/>
          <w:lang w:eastAsia="en-GB" w:bidi="ar-SA"/>
        </w:rPr>
        <w:t>[4]</w:t>
      </w:r>
      <w:r>
        <w:rPr>
          <w:szCs w:val="22"/>
          <w:lang w:eastAsia="en-GB" w:bidi="ar-SA"/>
        </w:rPr>
        <w:fldChar w:fldCharType="end"/>
      </w:r>
      <w:r>
        <w:rPr>
          <w:szCs w:val="22"/>
          <w:lang w:eastAsia="en-GB" w:bidi="ar-SA"/>
        </w:rPr>
        <w:t xml:space="preserve"> and ETSI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xml:space="preserve">). </w:t>
      </w:r>
      <w:r>
        <w:rPr>
          <w:szCs w:val="22"/>
          <w:lang w:val="en-US" w:eastAsia="en-GB" w:bidi="ar-SA"/>
        </w:rPr>
        <w:t xml:space="preserve">See also section </w:t>
      </w:r>
      <w:r>
        <w:fldChar w:fldCharType="begin"/>
      </w:r>
      <w:r>
        <w:instrText xml:space="preserve"> REF _Ref367968063 \r \h  \* MERGEFORMAT </w:instrText>
      </w:r>
      <w:r>
        <w:fldChar w:fldCharType="separate"/>
      </w:r>
      <w:r w:rsidR="001D5AD9" w:rsidRPr="001D5AD9">
        <w:rPr>
          <w:szCs w:val="22"/>
          <w:lang w:val="en-US" w:eastAsia="en-GB" w:bidi="ar-SA"/>
        </w:rPr>
        <w:t>2.4</w:t>
      </w:r>
      <w:r>
        <w:fldChar w:fldCharType="end"/>
      </w:r>
      <w:r>
        <w:rPr>
          <w:szCs w:val="22"/>
          <w:lang w:val="en-US" w:eastAsia="en-GB" w:bidi="ar-SA"/>
        </w:rPr>
        <w:t>.</w:t>
      </w:r>
    </w:p>
    <w:p w14:paraId="08DC86CC" w14:textId="6E4A4230" w:rsidR="00B97365" w:rsidRDefault="00000000">
      <w:pPr>
        <w:spacing w:before="0" w:after="200" w:line="276" w:lineRule="auto"/>
        <w:jc w:val="left"/>
        <w:rPr>
          <w:szCs w:val="22"/>
          <w:lang w:eastAsia="en-GB" w:bidi="ar-SA"/>
        </w:rPr>
      </w:pPr>
      <w:r>
        <w:rPr>
          <w:rFonts w:cs="Arial"/>
          <w:szCs w:val="22"/>
          <w:lang w:eastAsia="en-GB" w:bidi="ar-SA"/>
        </w:rPr>
        <w:t xml:space="preserve">To enable SCP80, the ISD-R SHALL be personalized before issuance by the EUM with at least one key set, with a Key Version Number between ‘01’ to ‘0F’ following GlobalPlatform Card Specification UICC Configuration </w:t>
      </w:r>
      <w:r>
        <w:rPr>
          <w:szCs w:val="22"/>
          <w:lang w:eastAsia="en-GB" w:bidi="ar-SA"/>
        </w:rPr>
        <w:fldChar w:fldCharType="begin"/>
      </w:r>
      <w:r>
        <w:rPr>
          <w:szCs w:val="22"/>
          <w:lang w:eastAsia="en-GB" w:bidi="ar-SA"/>
        </w:rPr>
        <w:instrText xml:space="preserve"> REF _Ref421631520 \r \h </w:instrText>
      </w:r>
      <w:r>
        <w:rPr>
          <w:szCs w:val="22"/>
          <w:lang w:eastAsia="en-GB" w:bidi="ar-SA"/>
        </w:rPr>
      </w:r>
      <w:r>
        <w:rPr>
          <w:szCs w:val="22"/>
          <w:lang w:eastAsia="en-GB" w:bidi="ar-SA"/>
        </w:rPr>
        <w:fldChar w:fldCharType="separate"/>
      </w:r>
      <w:r w:rsidR="001D5AD9">
        <w:rPr>
          <w:szCs w:val="22"/>
          <w:lang w:eastAsia="en-GB" w:bidi="ar-SA"/>
        </w:rPr>
        <w:t>[7]</w:t>
      </w:r>
      <w:r>
        <w:rPr>
          <w:szCs w:val="22"/>
          <w:lang w:eastAsia="en-GB" w:bidi="ar-SA"/>
        </w:rPr>
        <w:fldChar w:fldCharType="end"/>
      </w:r>
      <w:r>
        <w:rPr>
          <w:szCs w:val="22"/>
          <w:lang w:eastAsia="en-GB" w:bidi="ar-SA"/>
        </w:rPr>
        <w:t xml:space="preserve">. </w:t>
      </w:r>
    </w:p>
    <w:p w14:paraId="0F2BF084" w14:textId="15D811A5" w:rsidR="00B97365" w:rsidRDefault="00000000">
      <w:pPr>
        <w:spacing w:before="0" w:after="200" w:line="276" w:lineRule="auto"/>
        <w:jc w:val="left"/>
        <w:rPr>
          <w:szCs w:val="22"/>
          <w:lang w:eastAsia="en-GB" w:bidi="ar-SA"/>
        </w:rPr>
      </w:pPr>
      <w:r>
        <w:rPr>
          <w:rFonts w:cs="Arial"/>
          <w:szCs w:val="22"/>
          <w:lang w:eastAsia="en-GB" w:bidi="ar-SA"/>
        </w:rPr>
        <w:t xml:space="preserve">To enable SCP81, the ISD-R SHALL be personalized with at least one key set, with a Key Version Number between ‘40’ to ‘4F’ following GlobalPlatform Secure Element Configuration </w:t>
      </w:r>
      <w:r>
        <w:rPr>
          <w:szCs w:val="22"/>
          <w:lang w:eastAsia="en-GB" w:bidi="ar-SA"/>
        </w:rPr>
        <w:fldChar w:fldCharType="begin"/>
      </w:r>
      <w:r>
        <w:rPr>
          <w:szCs w:val="22"/>
          <w:lang w:eastAsia="en-GB" w:bidi="ar-SA"/>
        </w:rPr>
        <w:instrText xml:space="preserve"> REF _Ref421631921 \r \h </w:instrText>
      </w:r>
      <w:r>
        <w:rPr>
          <w:szCs w:val="22"/>
          <w:lang w:eastAsia="en-GB" w:bidi="ar-SA"/>
        </w:rPr>
      </w:r>
      <w:r>
        <w:rPr>
          <w:szCs w:val="22"/>
          <w:lang w:eastAsia="en-GB" w:bidi="ar-SA"/>
        </w:rPr>
        <w:fldChar w:fldCharType="separate"/>
      </w:r>
      <w:r w:rsidR="001D5AD9">
        <w:rPr>
          <w:szCs w:val="22"/>
          <w:lang w:eastAsia="en-GB" w:bidi="ar-SA"/>
        </w:rPr>
        <w:t>[34]</w:t>
      </w:r>
      <w:r>
        <w:rPr>
          <w:szCs w:val="22"/>
          <w:lang w:eastAsia="en-GB" w:bidi="ar-SA"/>
        </w:rPr>
        <w:fldChar w:fldCharType="end"/>
      </w:r>
      <w:r>
        <w:rPr>
          <w:szCs w:val="22"/>
          <w:lang w:eastAsia="en-GB" w:bidi="ar-SA"/>
        </w:rPr>
        <w:t xml:space="preserve">. </w:t>
      </w:r>
    </w:p>
    <w:p w14:paraId="23B6B878" w14:textId="64123EA1" w:rsidR="00B97365" w:rsidRDefault="00000000">
      <w:pPr>
        <w:spacing w:before="0" w:after="200" w:line="276" w:lineRule="auto"/>
        <w:jc w:val="left"/>
        <w:rPr>
          <w:szCs w:val="22"/>
          <w:lang w:eastAsia="en-GB" w:bidi="ar-SA"/>
        </w:rPr>
      </w:pPr>
      <w:r>
        <w:rPr>
          <w:rFonts w:cs="Arial"/>
          <w:szCs w:val="22"/>
          <w:lang w:eastAsia="en-GB" w:bidi="ar-SA"/>
        </w:rPr>
        <w:t xml:space="preserve">The key length and algorithm SHALL comply with section </w:t>
      </w:r>
      <w:r>
        <w:rPr>
          <w:szCs w:val="22"/>
          <w:lang w:eastAsia="en-GB" w:bidi="ar-SA"/>
        </w:rPr>
        <w:fldChar w:fldCharType="begin"/>
      </w:r>
      <w:r>
        <w:rPr>
          <w:szCs w:val="22"/>
          <w:lang w:eastAsia="en-GB" w:bidi="ar-SA"/>
        </w:rPr>
        <w:instrText xml:space="preserve"> REF _Ref420594284 \r \h </w:instrText>
      </w:r>
      <w:r>
        <w:rPr>
          <w:szCs w:val="22"/>
          <w:lang w:eastAsia="en-GB" w:bidi="ar-SA"/>
        </w:rPr>
      </w:r>
      <w:r>
        <w:rPr>
          <w:szCs w:val="22"/>
          <w:lang w:eastAsia="en-GB" w:bidi="ar-SA"/>
        </w:rPr>
        <w:fldChar w:fldCharType="separate"/>
      </w:r>
      <w:r w:rsidR="001D5AD9">
        <w:rPr>
          <w:szCs w:val="22"/>
          <w:lang w:eastAsia="en-GB" w:bidi="ar-SA"/>
        </w:rPr>
        <w:t>2.3.3</w:t>
      </w:r>
      <w:r>
        <w:rPr>
          <w:szCs w:val="22"/>
          <w:lang w:eastAsia="en-GB" w:bidi="ar-SA"/>
        </w:rPr>
        <w:fldChar w:fldCharType="end"/>
      </w:r>
      <w:r>
        <w:rPr>
          <w:szCs w:val="22"/>
          <w:lang w:eastAsia="en-GB" w:bidi="ar-SA"/>
        </w:rPr>
        <w:t>.</w:t>
      </w:r>
    </w:p>
    <w:p w14:paraId="33CF9622" w14:textId="77777777" w:rsidR="00B97365" w:rsidRDefault="00000000">
      <w:pPr>
        <w:spacing w:before="0" w:after="200" w:line="276" w:lineRule="auto"/>
        <w:jc w:val="left"/>
        <w:rPr>
          <w:rFonts w:cs="Arial"/>
          <w:szCs w:val="22"/>
          <w:lang w:eastAsia="en-GB" w:bidi="ar-SA"/>
        </w:rPr>
      </w:pPr>
      <w:r>
        <w:rPr>
          <w:rFonts w:cs="Arial"/>
          <w:szCs w:val="22"/>
          <w:lang w:eastAsia="en-GB" w:bidi="ar-SA"/>
        </w:rPr>
        <w:t>The key sets SHALL be loaded in the ISD-R, and provided to SM-SR, in the EIS, through ES1</w:t>
      </w:r>
    </w:p>
    <w:p w14:paraId="3DBF5538" w14:textId="77777777" w:rsidR="00B97365" w:rsidRDefault="00000000">
      <w:pPr>
        <w:spacing w:before="0" w:after="200" w:line="276" w:lineRule="auto"/>
        <w:jc w:val="center"/>
        <w:rPr>
          <w:szCs w:val="22"/>
          <w:lang w:eastAsia="en-GB" w:bidi="ar-SA"/>
        </w:rPr>
      </w:pPr>
      <w:r>
        <w:rPr>
          <w:rFonts w:cs="Arial"/>
          <w:noProof/>
          <w:szCs w:val="22"/>
          <w:lang w:eastAsia="en-GB" w:bidi="ar-SA"/>
        </w:rPr>
        <w:drawing>
          <wp:inline distT="0" distB="0" distL="0" distR="0" wp14:anchorId="54BA0176" wp14:editId="7ED6EA33">
            <wp:extent cx="5429250" cy="14954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0" cy="1495425"/>
                    </a:xfrm>
                    <a:prstGeom prst="rect">
                      <a:avLst/>
                    </a:prstGeom>
                    <a:noFill/>
                    <a:ln>
                      <a:noFill/>
                    </a:ln>
                  </pic:spPr>
                </pic:pic>
              </a:graphicData>
            </a:graphic>
          </wp:inline>
        </w:drawing>
      </w:r>
    </w:p>
    <w:p w14:paraId="70350807" w14:textId="77777777" w:rsidR="00B97365" w:rsidRDefault="00000000">
      <w:pPr>
        <w:numPr>
          <w:ilvl w:val="0"/>
          <w:numId w:val="13"/>
        </w:numPr>
        <w:tabs>
          <w:tab w:val="left" w:pos="1009"/>
        </w:tabs>
        <w:spacing w:before="0" w:after="200" w:line="276" w:lineRule="auto"/>
        <w:jc w:val="center"/>
        <w:rPr>
          <w:rFonts w:cs="Arial"/>
          <w:b/>
          <w:noProof/>
          <w:szCs w:val="22"/>
          <w:lang w:val="en-US" w:eastAsia="en-GB" w:bidi="ar-SA"/>
        </w:rPr>
      </w:pPr>
      <w:r>
        <w:rPr>
          <w:rFonts w:cs="Arial"/>
          <w:b/>
          <w:szCs w:val="22"/>
          <w:lang w:val="en-US" w:eastAsia="en-GB" w:bidi="ar-SA"/>
        </w:rPr>
        <w:t>: Secure Channel Between SM-SR and ISD-R</w:t>
      </w:r>
      <w:bookmarkStart w:id="706" w:name="_Toc361324149"/>
      <w:bookmarkStart w:id="707" w:name="_Toc361324588"/>
      <w:bookmarkStart w:id="708" w:name="_Toc361325017"/>
      <w:bookmarkStart w:id="709" w:name="_Toc361325437"/>
      <w:bookmarkStart w:id="710" w:name="_Toc361325858"/>
      <w:bookmarkStart w:id="711" w:name="_Toc361326262"/>
      <w:bookmarkStart w:id="712" w:name="_Toc361326663"/>
      <w:bookmarkStart w:id="713" w:name="_Toc361327049"/>
      <w:bookmarkStart w:id="714" w:name="_Toc361327430"/>
      <w:bookmarkStart w:id="715" w:name="_Toc361327809"/>
      <w:bookmarkStart w:id="716" w:name="_Toc361328181"/>
      <w:bookmarkStart w:id="717" w:name="_Toc361328553"/>
      <w:bookmarkStart w:id="718" w:name="_Toc361394351"/>
      <w:bookmarkStart w:id="719" w:name="_Toc362882289"/>
      <w:bookmarkStart w:id="720" w:name="_Toc362882674"/>
      <w:bookmarkStart w:id="721" w:name="_Toc362883056"/>
      <w:bookmarkStart w:id="722" w:name="_Toc362883435"/>
      <w:bookmarkStart w:id="723" w:name="_Toc362883813"/>
      <w:bookmarkStart w:id="724" w:name="_Toc362884190"/>
      <w:bookmarkStart w:id="725" w:name="_Toc362884567"/>
      <w:bookmarkStart w:id="726" w:name="_Toc362884942"/>
      <w:bookmarkStart w:id="727" w:name="_Toc362945883"/>
      <w:bookmarkStart w:id="728" w:name="_Toc362946598"/>
      <w:bookmarkStart w:id="729" w:name="_Toc365571067"/>
      <w:bookmarkStart w:id="730" w:name="_Toc365624563"/>
      <w:bookmarkStart w:id="731" w:name="_Toc365899574"/>
      <w:bookmarkStart w:id="732" w:name="_Toc365982383"/>
      <w:bookmarkStart w:id="733" w:name="_Toc367445854"/>
      <w:bookmarkStart w:id="734" w:name="_Toc368048065"/>
      <w:bookmarkStart w:id="735" w:name="_Toc368583636"/>
      <w:bookmarkStart w:id="736" w:name="_Toc368652731"/>
      <w:bookmarkStart w:id="737" w:name="_Toc368932170"/>
      <w:bookmarkStart w:id="738" w:name="_Toc361324151"/>
      <w:bookmarkStart w:id="739" w:name="_Toc361324590"/>
      <w:bookmarkStart w:id="740" w:name="_Toc361325019"/>
      <w:bookmarkStart w:id="741" w:name="_Toc361325439"/>
      <w:bookmarkStart w:id="742" w:name="_Toc361325860"/>
      <w:bookmarkStart w:id="743" w:name="_Toc361326264"/>
      <w:bookmarkStart w:id="744" w:name="_Toc361326665"/>
      <w:bookmarkStart w:id="745" w:name="_Toc361327051"/>
      <w:bookmarkStart w:id="746" w:name="_Toc361327432"/>
      <w:bookmarkStart w:id="747" w:name="_Toc361327811"/>
      <w:bookmarkStart w:id="748" w:name="_Toc361328183"/>
      <w:bookmarkStart w:id="749" w:name="_Toc361328555"/>
      <w:bookmarkStart w:id="750" w:name="_Toc361394353"/>
      <w:bookmarkStart w:id="751" w:name="_Toc362882291"/>
      <w:bookmarkStart w:id="752" w:name="_Toc362882676"/>
      <w:bookmarkStart w:id="753" w:name="_Toc362883058"/>
      <w:bookmarkStart w:id="754" w:name="_Toc362883437"/>
      <w:bookmarkStart w:id="755" w:name="_Toc362883815"/>
      <w:bookmarkStart w:id="756" w:name="_Toc362884192"/>
      <w:bookmarkStart w:id="757" w:name="_Toc362884569"/>
      <w:bookmarkStart w:id="758" w:name="_Toc362884944"/>
      <w:bookmarkStart w:id="759" w:name="_Toc362945885"/>
      <w:bookmarkStart w:id="760" w:name="_Toc362946600"/>
      <w:bookmarkStart w:id="761" w:name="_Toc365571069"/>
      <w:bookmarkStart w:id="762" w:name="_Toc365624565"/>
      <w:bookmarkStart w:id="763" w:name="_Toc365899576"/>
      <w:bookmarkStart w:id="764" w:name="_Toc365982385"/>
      <w:bookmarkStart w:id="765" w:name="_Toc367445856"/>
      <w:bookmarkStart w:id="766" w:name="_Toc368048067"/>
      <w:bookmarkStart w:id="767" w:name="_Toc368583638"/>
      <w:bookmarkStart w:id="768" w:name="_Toc368652733"/>
      <w:bookmarkStart w:id="769" w:name="_Toc368932172"/>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D81E7B5"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770" w:name="_Toc1977220"/>
      <w:bookmarkStart w:id="771" w:name="_Toc37062375"/>
      <w:r>
        <w:rPr>
          <w:rFonts w:ascii="Arial Bold" w:eastAsia="Times New Roman" w:hAnsi="Arial Bold" w:cs="Arial"/>
          <w:b/>
          <w:iCs/>
          <w:szCs w:val="28"/>
          <w:lang w:eastAsia="en-US"/>
        </w:rPr>
        <w:t xml:space="preserve">Secure </w:t>
      </w:r>
      <w:r>
        <w:rPr>
          <w:rFonts w:ascii="Arial Bold" w:eastAsia="Times New Roman" w:hAnsi="Arial Bold" w:cs="Arial"/>
          <w:szCs w:val="28"/>
          <w:lang w:eastAsia="en-US"/>
        </w:rPr>
        <w:t xml:space="preserve">Channel on ES8 </w:t>
      </w:r>
      <w:r>
        <w:rPr>
          <w:rFonts w:ascii="Arial Bold" w:eastAsia="Times New Roman" w:hAnsi="Arial Bold" w:cs="Calibri"/>
          <w:szCs w:val="28"/>
          <w:lang w:eastAsia="en-US"/>
        </w:rPr>
        <w:t>(SM-DP - eUICC)</w:t>
      </w:r>
      <w:bookmarkEnd w:id="770"/>
      <w:bookmarkEnd w:id="771"/>
    </w:p>
    <w:p w14:paraId="3BA2EBA3" w14:textId="6FCF45D9" w:rsidR="00B97365" w:rsidRDefault="00000000">
      <w:pPr>
        <w:spacing w:before="0" w:after="200" w:line="276" w:lineRule="auto"/>
        <w:jc w:val="left"/>
        <w:rPr>
          <w:szCs w:val="22"/>
          <w:lang w:eastAsia="en-GB" w:bidi="ar-SA"/>
        </w:rPr>
      </w:pPr>
      <w:r>
        <w:rPr>
          <w:rFonts w:cs="Arial"/>
          <w:szCs w:val="22"/>
          <w:lang w:eastAsia="en-GB" w:bidi="ar-SA"/>
        </w:rPr>
        <w:t xml:space="preserve">The ES8 functions are addressed to the eUICC through a secure channel established between the SM-DP and its ISD-P. The eUICC SHALL support SCP03 for ES8 (as defined in GlobalPlatform Card Specification Amendment D </w:t>
      </w:r>
      <w:r>
        <w:rPr>
          <w:szCs w:val="22"/>
          <w:lang w:eastAsia="en-GB" w:bidi="ar-SA"/>
        </w:rPr>
        <w:fldChar w:fldCharType="begin"/>
      </w:r>
      <w:r>
        <w:rPr>
          <w:szCs w:val="22"/>
          <w:lang w:eastAsia="en-GB" w:bidi="ar-SA"/>
        </w:rPr>
        <w:instrText xml:space="preserve"> REF _Ref421631938 \r \h </w:instrText>
      </w:r>
      <w:r>
        <w:rPr>
          <w:szCs w:val="22"/>
          <w:lang w:eastAsia="en-GB" w:bidi="ar-SA"/>
        </w:rPr>
      </w:r>
      <w:r>
        <w:rPr>
          <w:szCs w:val="22"/>
          <w:lang w:eastAsia="en-GB" w:bidi="ar-SA"/>
        </w:rPr>
        <w:fldChar w:fldCharType="separate"/>
      </w:r>
      <w:r w:rsidR="001D5AD9">
        <w:rPr>
          <w:szCs w:val="22"/>
          <w:lang w:eastAsia="en-GB" w:bidi="ar-SA"/>
        </w:rPr>
        <w:t>[10]</w:t>
      </w:r>
      <w:r>
        <w:rPr>
          <w:szCs w:val="22"/>
          <w:lang w:eastAsia="en-GB" w:bidi="ar-SA"/>
        </w:rPr>
        <w:fldChar w:fldCharType="end"/>
      </w:r>
      <w:r>
        <w:rPr>
          <w:szCs w:val="22"/>
          <w:lang w:eastAsia="en-GB" w:bidi="ar-SA"/>
        </w:rPr>
        <w:t xml:space="preserve">, as well as the variant SCP03t defined in this specification (see section </w:t>
      </w:r>
      <w:r>
        <w:rPr>
          <w:szCs w:val="22"/>
          <w:lang w:eastAsia="en-GB" w:bidi="ar-SA"/>
        </w:rPr>
        <w:fldChar w:fldCharType="begin"/>
      </w:r>
      <w:r>
        <w:rPr>
          <w:szCs w:val="22"/>
          <w:lang w:eastAsia="en-GB" w:bidi="ar-SA"/>
        </w:rPr>
        <w:instrText xml:space="preserve"> REF _Ref373505545 \r \h </w:instrText>
      </w:r>
      <w:r>
        <w:rPr>
          <w:szCs w:val="22"/>
          <w:lang w:eastAsia="en-GB" w:bidi="ar-SA"/>
        </w:rPr>
      </w:r>
      <w:r>
        <w:rPr>
          <w:szCs w:val="22"/>
          <w:lang w:eastAsia="en-GB" w:bidi="ar-SA"/>
        </w:rPr>
        <w:fldChar w:fldCharType="separate"/>
      </w:r>
      <w:r w:rsidR="001D5AD9">
        <w:rPr>
          <w:szCs w:val="22"/>
          <w:lang w:eastAsia="en-GB" w:bidi="ar-SA"/>
        </w:rPr>
        <w:t>4.1.3.3</w:t>
      </w:r>
      <w:r>
        <w:rPr>
          <w:szCs w:val="22"/>
          <w:lang w:eastAsia="en-GB" w:bidi="ar-SA"/>
        </w:rPr>
        <w:fldChar w:fldCharType="end"/>
      </w:r>
      <w:r>
        <w:rPr>
          <w:szCs w:val="22"/>
          <w:lang w:eastAsia="en-GB" w:bidi="ar-SA"/>
        </w:rPr>
        <w:t>).</w:t>
      </w:r>
    </w:p>
    <w:p w14:paraId="7436A0BB" w14:textId="043DA8E4" w:rsidR="00B97365" w:rsidRDefault="00000000">
      <w:pPr>
        <w:tabs>
          <w:tab w:val="left" w:pos="1560"/>
        </w:tabs>
        <w:spacing w:before="0" w:after="200" w:line="276" w:lineRule="auto"/>
        <w:ind w:left="1418" w:hanging="1061"/>
        <w:jc w:val="left"/>
        <w:rPr>
          <w:szCs w:val="22"/>
          <w:lang w:eastAsia="en-GB" w:bidi="ar-SA"/>
        </w:rPr>
      </w:pPr>
      <w:r>
        <w:rPr>
          <w:rFonts w:cs="Arial"/>
          <w:szCs w:val="22"/>
          <w:lang w:eastAsia="en-GB" w:bidi="ar-SA"/>
        </w:rPr>
        <w:t>NOTE:</w:t>
      </w:r>
      <w:r>
        <w:rPr>
          <w:rFonts w:cs="Arial"/>
          <w:szCs w:val="22"/>
          <w:lang w:eastAsia="en-GB" w:bidi="ar-SA"/>
        </w:rPr>
        <w:tab/>
        <w:t>SCP03 is the only secure channel defined by GlobalPlatform that complies with requirements of the section</w:t>
      </w:r>
      <w:r>
        <w:rPr>
          <w:rFonts w:cs="Arial"/>
          <w:sz w:val="20"/>
        </w:rPr>
        <w:t xml:space="preserve"> </w:t>
      </w:r>
      <w:r>
        <w:fldChar w:fldCharType="begin"/>
      </w:r>
      <w:r>
        <w:instrText xml:space="preserve"> REF _Ref420594284 \r \h </w:instrText>
      </w:r>
      <w:r>
        <w:fldChar w:fldCharType="separate"/>
      </w:r>
      <w:r w:rsidR="001D5AD9">
        <w:t>2.3.3</w:t>
      </w:r>
      <w:r>
        <w:fldChar w:fldCharType="end"/>
      </w:r>
      <w:r>
        <w:rPr>
          <w:szCs w:val="22"/>
          <w:lang w:eastAsia="en-GB" w:bidi="ar-SA"/>
        </w:rPr>
        <w:t>.</w:t>
      </w:r>
    </w:p>
    <w:p w14:paraId="6EC121F0" w14:textId="1EC6AF91" w:rsidR="00B97365" w:rsidRDefault="00000000">
      <w:pPr>
        <w:spacing w:before="0" w:after="200" w:line="276" w:lineRule="auto"/>
        <w:jc w:val="left"/>
        <w:rPr>
          <w:szCs w:val="22"/>
          <w:lang w:eastAsia="en-GB" w:bidi="ar-SA"/>
        </w:rPr>
      </w:pPr>
      <w:r>
        <w:rPr>
          <w:rFonts w:cs="Arial"/>
          <w:szCs w:val="22"/>
          <w:lang w:eastAsia="en-GB" w:bidi="ar-SA"/>
        </w:rPr>
        <w:lastRenderedPageBreak/>
        <w:t xml:space="preserve">To enable SCP03 and SCP03t, the ISD-P SHALL be personalized with at least one key set, with a Key Version number between ‘30’ to ‘3F’ (see GlobalPlatform Secure Element Configuration </w:t>
      </w:r>
      <w:r>
        <w:rPr>
          <w:szCs w:val="22"/>
          <w:lang w:eastAsia="en-GB" w:bidi="ar-SA"/>
        </w:rPr>
        <w:fldChar w:fldCharType="begin"/>
      </w:r>
      <w:r>
        <w:rPr>
          <w:szCs w:val="22"/>
          <w:lang w:eastAsia="en-GB" w:bidi="ar-SA"/>
        </w:rPr>
        <w:instrText xml:space="preserve"> REF _Ref421631921 \r \h </w:instrText>
      </w:r>
      <w:r>
        <w:rPr>
          <w:szCs w:val="22"/>
          <w:lang w:eastAsia="en-GB" w:bidi="ar-SA"/>
        </w:rPr>
      </w:r>
      <w:r>
        <w:rPr>
          <w:szCs w:val="22"/>
          <w:lang w:eastAsia="en-GB" w:bidi="ar-SA"/>
        </w:rPr>
        <w:fldChar w:fldCharType="separate"/>
      </w:r>
      <w:r w:rsidR="001D5AD9">
        <w:rPr>
          <w:szCs w:val="22"/>
          <w:lang w:eastAsia="en-GB" w:bidi="ar-SA"/>
        </w:rPr>
        <w:t>[34]</w:t>
      </w:r>
      <w:r>
        <w:rPr>
          <w:szCs w:val="22"/>
          <w:lang w:eastAsia="en-GB" w:bidi="ar-SA"/>
        </w:rPr>
        <w:fldChar w:fldCharType="end"/>
      </w:r>
      <w:r>
        <w:rPr>
          <w:szCs w:val="22"/>
          <w:lang w:eastAsia="en-GB" w:bidi="ar-SA"/>
        </w:rPr>
        <w:t>).</w:t>
      </w:r>
    </w:p>
    <w:p w14:paraId="023FE5B5" w14:textId="7E4039A5" w:rsidR="00B97365" w:rsidRDefault="00000000">
      <w:pPr>
        <w:spacing w:before="0" w:after="200" w:line="276" w:lineRule="auto"/>
        <w:jc w:val="left"/>
        <w:rPr>
          <w:szCs w:val="22"/>
          <w:lang w:eastAsia="en-GB" w:bidi="ar-SA"/>
        </w:rPr>
      </w:pPr>
      <w:r>
        <w:rPr>
          <w:rFonts w:cs="Arial"/>
          <w:szCs w:val="22"/>
          <w:lang w:eastAsia="en-GB" w:bidi="ar-SA"/>
        </w:rPr>
        <w:t xml:space="preserve">The secure channel configuration, key length and algorithm to be used SHALL comply with section </w:t>
      </w:r>
      <w:r>
        <w:rPr>
          <w:szCs w:val="22"/>
          <w:lang w:eastAsia="en-GB" w:bidi="ar-SA"/>
        </w:rPr>
        <w:fldChar w:fldCharType="begin"/>
      </w:r>
      <w:r>
        <w:rPr>
          <w:szCs w:val="22"/>
          <w:lang w:eastAsia="en-GB" w:bidi="ar-SA"/>
        </w:rPr>
        <w:instrText xml:space="preserve"> REF _Ref445910418 \r \h </w:instrText>
      </w:r>
      <w:r>
        <w:rPr>
          <w:szCs w:val="22"/>
          <w:lang w:eastAsia="en-GB" w:bidi="ar-SA"/>
        </w:rPr>
      </w:r>
      <w:r>
        <w:rPr>
          <w:szCs w:val="22"/>
          <w:lang w:eastAsia="en-GB" w:bidi="ar-SA"/>
        </w:rPr>
        <w:fldChar w:fldCharType="separate"/>
      </w:r>
      <w:r w:rsidR="001D5AD9">
        <w:rPr>
          <w:szCs w:val="22"/>
          <w:lang w:eastAsia="en-GB" w:bidi="ar-SA"/>
        </w:rPr>
        <w:t>2.5</w:t>
      </w:r>
      <w:r>
        <w:rPr>
          <w:szCs w:val="22"/>
          <w:lang w:eastAsia="en-GB" w:bidi="ar-SA"/>
        </w:rPr>
        <w:fldChar w:fldCharType="end"/>
      </w:r>
      <w:r>
        <w:rPr>
          <w:szCs w:val="22"/>
          <w:lang w:eastAsia="en-GB" w:bidi="ar-SA"/>
        </w:rPr>
        <w:t>.</w:t>
      </w:r>
    </w:p>
    <w:p w14:paraId="685C0B6C" w14:textId="2312AE1F" w:rsidR="00B97365" w:rsidRDefault="00000000">
      <w:pPr>
        <w:spacing w:before="0" w:after="200" w:line="276" w:lineRule="auto"/>
        <w:jc w:val="left"/>
        <w:rPr>
          <w:szCs w:val="22"/>
          <w:lang w:eastAsia="en-GB" w:bidi="ar-SA"/>
        </w:rPr>
      </w:pPr>
      <w:r>
        <w:rPr>
          <w:rFonts w:cs="Arial"/>
          <w:szCs w:val="22"/>
          <w:lang w:eastAsia="en-GB" w:bidi="ar-SA"/>
        </w:rPr>
        <w:t xml:space="preserve">The first SCP03 key set is loaded into the ISD-P by its SM-DP as described in the procedure “Key Establishment with Scenario#3-Mutual Authentication”, section </w:t>
      </w:r>
      <w:r>
        <w:fldChar w:fldCharType="begin"/>
      </w:r>
      <w:r>
        <w:instrText xml:space="preserve"> REF _Ref367968150 \r \h  \* MERGEFORMAT </w:instrText>
      </w:r>
      <w:r>
        <w:fldChar w:fldCharType="separate"/>
      </w:r>
      <w:r w:rsidR="001D5AD9" w:rsidRPr="001D5AD9">
        <w:rPr>
          <w:szCs w:val="22"/>
          <w:lang w:eastAsia="en-GB" w:bidi="ar-SA"/>
        </w:rPr>
        <w:t>3.1.2</w:t>
      </w:r>
      <w:r>
        <w:fldChar w:fldCharType="end"/>
      </w:r>
      <w:r>
        <w:rPr>
          <w:szCs w:val="22"/>
          <w:lang w:eastAsia="en-GB" w:bidi="ar-SA"/>
        </w:rPr>
        <w:t>.</w:t>
      </w:r>
    </w:p>
    <w:p w14:paraId="2E2F10B2" w14:textId="77777777" w:rsidR="00B97365" w:rsidRDefault="00000000">
      <w:pPr>
        <w:keepNext/>
        <w:jc w:val="center"/>
        <w:rPr>
          <w:rFonts w:cs="Arial"/>
          <w:sz w:val="20"/>
        </w:rPr>
      </w:pPr>
      <w:r>
        <w:rPr>
          <w:rFonts w:cs="Arial"/>
          <w:sz w:val="20"/>
        </w:rPr>
        <w:object w:dxaOrig="8940" w:dyaOrig="2460" w14:anchorId="15E39AAB">
          <v:shape id="_x0000_i1029" type="#_x0000_t75" style="width:450.1pt;height:125.55pt" o:ole="">
            <v:imagedata r:id="rId34" o:title=""/>
          </v:shape>
          <o:OLEObject Type="Embed" ProgID="PowerPoint.Slide.12" ShapeID="_x0000_i1029" DrawAspect="Content" ObjectID="_1738512074" r:id="rId35"/>
        </w:object>
      </w:r>
    </w:p>
    <w:p w14:paraId="5EA03AB4"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772" w:name="_Ref373940872"/>
      <w:r>
        <w:rPr>
          <w:rFonts w:cs="Arial"/>
          <w:b/>
          <w:szCs w:val="22"/>
          <w:lang w:val="en-US" w:eastAsia="en-GB" w:bidi="ar-SA"/>
        </w:rPr>
        <w:t>: Secure Channel Between SM-DP and ISD-P</w:t>
      </w:r>
      <w:bookmarkEnd w:id="772"/>
    </w:p>
    <w:p w14:paraId="43F8F484"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773" w:name="_Toc368932175"/>
      <w:bookmarkStart w:id="774" w:name="_Ref367970147"/>
      <w:bookmarkStart w:id="775" w:name="_Toc1977221"/>
      <w:bookmarkStart w:id="776" w:name="_Toc37062376"/>
      <w:r>
        <w:rPr>
          <w:rFonts w:ascii="Arial Bold" w:eastAsia="Times New Roman" w:hAnsi="Arial Bold" w:cs="Arial"/>
          <w:b/>
          <w:iCs/>
          <w:szCs w:val="28"/>
          <w:lang w:eastAsia="en-US"/>
        </w:rPr>
        <w:t xml:space="preserve">Secure </w:t>
      </w:r>
      <w:r>
        <w:rPr>
          <w:rFonts w:ascii="Arial Bold" w:eastAsia="Times New Roman" w:hAnsi="Arial Bold" w:cs="Arial"/>
          <w:szCs w:val="28"/>
          <w:lang w:eastAsia="en-US"/>
        </w:rPr>
        <w:t>Channel on ES6</w:t>
      </w:r>
      <w:bookmarkEnd w:id="773"/>
      <w:bookmarkEnd w:id="774"/>
      <w:r>
        <w:rPr>
          <w:rFonts w:ascii="Arial Bold" w:eastAsia="Times New Roman" w:hAnsi="Arial Bold" w:cs="Arial"/>
          <w:szCs w:val="28"/>
          <w:lang w:eastAsia="en-US"/>
        </w:rPr>
        <w:t xml:space="preserve"> (Operator-eUICC)</w:t>
      </w:r>
      <w:bookmarkEnd w:id="775"/>
      <w:bookmarkEnd w:id="776"/>
    </w:p>
    <w:p w14:paraId="40C93FB9" w14:textId="44FAB850" w:rsidR="00B97365" w:rsidRDefault="00000000">
      <w:pPr>
        <w:spacing w:before="0" w:after="200" w:line="276" w:lineRule="auto"/>
        <w:jc w:val="left"/>
        <w:rPr>
          <w:szCs w:val="22"/>
          <w:lang w:eastAsia="en-GB" w:bidi="ar-SA"/>
        </w:rPr>
      </w:pPr>
      <w:r>
        <w:rPr>
          <w:rFonts w:cs="Arial"/>
          <w:szCs w:val="22"/>
          <w:lang w:eastAsia="en-GB" w:bidi="ar-SA"/>
        </w:rPr>
        <w:t xml:space="preserve">The ES6 functions are addressed to the eUICC through a secure channel (as defined in ETSI TS 102 225 </w:t>
      </w:r>
      <w:r>
        <w:rPr>
          <w:szCs w:val="22"/>
          <w:lang w:eastAsia="en-GB" w:bidi="ar-SA"/>
        </w:rPr>
        <w:fldChar w:fldCharType="begin"/>
      </w:r>
      <w:r>
        <w:rPr>
          <w:szCs w:val="22"/>
          <w:lang w:eastAsia="en-GB" w:bidi="ar-SA"/>
        </w:rPr>
        <w:instrText xml:space="preserve"> REF _Ref421631435 \r \h </w:instrText>
      </w:r>
      <w:r>
        <w:rPr>
          <w:szCs w:val="22"/>
          <w:lang w:eastAsia="en-GB" w:bidi="ar-SA"/>
        </w:rPr>
      </w:r>
      <w:r>
        <w:rPr>
          <w:szCs w:val="22"/>
          <w:lang w:eastAsia="en-GB" w:bidi="ar-SA"/>
        </w:rPr>
        <w:fldChar w:fldCharType="separate"/>
      </w:r>
      <w:r w:rsidR="001D5AD9">
        <w:rPr>
          <w:szCs w:val="22"/>
          <w:lang w:eastAsia="en-GB" w:bidi="ar-SA"/>
        </w:rPr>
        <w:t>[4]</w:t>
      </w:r>
      <w:r>
        <w:rPr>
          <w:szCs w:val="22"/>
          <w:lang w:eastAsia="en-GB" w:bidi="ar-SA"/>
        </w:rPr>
        <w:fldChar w:fldCharType="end"/>
      </w:r>
      <w:r>
        <w:rPr>
          <w:szCs w:val="22"/>
          <w:lang w:eastAsia="en-GB" w:bidi="ar-SA"/>
        </w:rPr>
        <w:t xml:space="preserve"> and 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xml:space="preserve">) established between the Operator and the MNO-SD (as defined in section </w:t>
      </w:r>
      <w:r>
        <w:fldChar w:fldCharType="begin"/>
      </w:r>
      <w:r>
        <w:instrText xml:space="preserve"> REF _Ref367968265 \r \h  \* MERGEFORMAT </w:instrText>
      </w:r>
      <w:r>
        <w:fldChar w:fldCharType="separate"/>
      </w:r>
      <w:r w:rsidR="001D5AD9" w:rsidRPr="001D5AD9">
        <w:rPr>
          <w:szCs w:val="22"/>
          <w:lang w:eastAsia="en-GB" w:bidi="ar-SA"/>
        </w:rPr>
        <w:t>2.2.3</w:t>
      </w:r>
      <w:r>
        <w:fldChar w:fldCharType="end"/>
      </w:r>
      <w:r>
        <w:rPr>
          <w:szCs w:val="22"/>
          <w:lang w:eastAsia="en-GB" w:bidi="ar-SA"/>
        </w:rPr>
        <w:t>).</w:t>
      </w:r>
    </w:p>
    <w:p w14:paraId="039E78E6" w14:textId="77777777" w:rsidR="00B97365" w:rsidRDefault="00000000">
      <w:pPr>
        <w:tabs>
          <w:tab w:val="left" w:pos="1560"/>
        </w:tabs>
        <w:spacing w:before="0" w:after="200" w:line="276" w:lineRule="auto"/>
        <w:ind w:left="1418" w:hanging="1061"/>
        <w:jc w:val="left"/>
        <w:rPr>
          <w:rFonts w:cs="Arial"/>
          <w:szCs w:val="22"/>
          <w:lang w:eastAsia="en-GB" w:bidi="ar-SA"/>
        </w:rPr>
      </w:pPr>
      <w:r>
        <w:rPr>
          <w:rFonts w:cs="Arial"/>
          <w:szCs w:val="22"/>
          <w:lang w:eastAsia="en-GB" w:bidi="ar-SA"/>
        </w:rPr>
        <w:t xml:space="preserve">NOTE: </w:t>
      </w:r>
      <w:r>
        <w:rPr>
          <w:rFonts w:cs="Arial"/>
          <w:szCs w:val="22"/>
          <w:lang w:eastAsia="en-GB" w:bidi="ar-SA"/>
        </w:rPr>
        <w:tab/>
        <w:t>The Operator can also communicate with any other SSD (of the Profile) belonging to the Operator. The Figure 7 only illustrates the secure channel with the MNO-SD.</w:t>
      </w:r>
    </w:p>
    <w:p w14:paraId="7190B71D" w14:textId="2CD6EF29" w:rsidR="00B97365" w:rsidRDefault="00000000">
      <w:pPr>
        <w:spacing w:before="0" w:after="200" w:line="276" w:lineRule="auto"/>
        <w:jc w:val="left"/>
        <w:rPr>
          <w:szCs w:val="22"/>
          <w:lang w:eastAsia="en-GB" w:bidi="ar-SA"/>
        </w:rPr>
      </w:pPr>
      <w:r>
        <w:rPr>
          <w:rFonts w:cs="Arial"/>
          <w:szCs w:val="22"/>
          <w:lang w:eastAsia="en-GB" w:bidi="ar-SA"/>
        </w:rPr>
        <w:t xml:space="preserve">The initial OTA Key sets are part of the Profile and are loaded by the SM-DP during the “Profile Download and Installation”, see section </w:t>
      </w:r>
      <w:r>
        <w:fldChar w:fldCharType="begin"/>
      </w:r>
      <w:r>
        <w:instrText xml:space="preserve"> REF _Ref367968287 \r \h  \* MERGEFORMAT </w:instrText>
      </w:r>
      <w:r>
        <w:fldChar w:fldCharType="separate"/>
      </w:r>
      <w:r w:rsidR="001D5AD9" w:rsidRPr="001D5AD9">
        <w:rPr>
          <w:szCs w:val="22"/>
          <w:lang w:eastAsia="en-GB" w:bidi="ar-SA"/>
        </w:rPr>
        <w:t>3.1</w:t>
      </w:r>
      <w:r>
        <w:fldChar w:fldCharType="end"/>
      </w:r>
      <w:r>
        <w:rPr>
          <w:szCs w:val="22"/>
          <w:lang w:eastAsia="en-GB" w:bidi="ar-SA"/>
        </w:rPr>
        <w:t>, or loaded by the EUM before eUICC issuance.</w:t>
      </w:r>
    </w:p>
    <w:p w14:paraId="57CDD024" w14:textId="77777777" w:rsidR="00B97365" w:rsidRDefault="00000000">
      <w:pPr>
        <w:keepNext/>
        <w:jc w:val="center"/>
        <w:rPr>
          <w:rFonts w:cs="Arial"/>
          <w:sz w:val="20"/>
        </w:rPr>
      </w:pPr>
      <w:r>
        <w:rPr>
          <w:rFonts w:cs="Arial"/>
          <w:sz w:val="20"/>
        </w:rPr>
        <w:object w:dxaOrig="9084" w:dyaOrig="2148" w14:anchorId="57B15A93">
          <v:shape id="_x0000_i1030" type="#_x0000_t75" style="width:450.1pt;height:108.85pt" o:ole="">
            <v:imagedata r:id="rId36" o:title=""/>
          </v:shape>
          <o:OLEObject Type="Embed" ProgID="PowerPoint.Slide.12" ShapeID="_x0000_i1030" DrawAspect="Content" ObjectID="_1738512075" r:id="rId37"/>
        </w:object>
      </w:r>
    </w:p>
    <w:p w14:paraId="0DB6D19E"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Secure Channel Between Operator and MNO-SD</w:t>
      </w:r>
    </w:p>
    <w:p w14:paraId="39945A6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val="en-US" w:eastAsia="en-US"/>
        </w:rPr>
      </w:pPr>
      <w:bookmarkStart w:id="777" w:name="_Toc1977222"/>
      <w:bookmarkStart w:id="778" w:name="_Toc37062377"/>
      <w:bookmarkStart w:id="779" w:name="_Toc88839495"/>
      <w:bookmarkStart w:id="780" w:name="_Toc121503903"/>
      <w:r>
        <w:rPr>
          <w:rFonts w:eastAsia="Times New Roman" w:cs="Arial"/>
          <w:b/>
          <w:bCs/>
          <w:iCs/>
          <w:sz w:val="24"/>
          <w:szCs w:val="26"/>
          <w:lang w:val="en-US" w:eastAsia="en-US"/>
        </w:rPr>
        <w:t>eUICC OS Update</w:t>
      </w:r>
      <w:bookmarkEnd w:id="777"/>
      <w:bookmarkEnd w:id="778"/>
      <w:bookmarkEnd w:id="779"/>
      <w:bookmarkEnd w:id="780"/>
    </w:p>
    <w:p w14:paraId="0B5C6674" w14:textId="77777777" w:rsidR="00B97365" w:rsidRDefault="00000000">
      <w:pPr>
        <w:spacing w:before="0" w:after="200" w:line="276" w:lineRule="auto"/>
        <w:jc w:val="left"/>
        <w:rPr>
          <w:szCs w:val="22"/>
          <w:lang w:val="en-US" w:eastAsia="en-US"/>
        </w:rPr>
      </w:pPr>
      <w:r>
        <w:rPr>
          <w:szCs w:val="22"/>
          <w:lang w:val="en-US" w:eastAsia="en-US"/>
        </w:rPr>
        <w:t>An eUICC should support a secure mechanism to allow the eUICC OS Update when the eUICC is in the field. Such mechanism allows the eUICC Manufacturer to correct errors in existing features on the eUICC. When an eUICC OS Update mechanism is supported, it SHALL be declared in the EIS through OSUpdateSupported in the AdditionalProperties field.</w:t>
      </w:r>
    </w:p>
    <w:p w14:paraId="72D3257D" w14:textId="77777777" w:rsidR="00B97365" w:rsidRDefault="00000000">
      <w:pPr>
        <w:spacing w:before="0" w:after="200" w:line="276" w:lineRule="auto"/>
        <w:jc w:val="left"/>
        <w:rPr>
          <w:szCs w:val="22"/>
          <w:lang w:val="en-US" w:eastAsia="en-US"/>
        </w:rPr>
      </w:pPr>
      <w:r>
        <w:rPr>
          <w:szCs w:val="22"/>
          <w:lang w:val="en-US" w:eastAsia="en-US"/>
        </w:rPr>
        <w:lastRenderedPageBreak/>
        <w:t xml:space="preserve">The process and mechanisms are EUM implementation specific and therefore out of scope of this specification. </w:t>
      </w:r>
    </w:p>
    <w:p w14:paraId="295212D7" w14:textId="77777777" w:rsidR="00B97365" w:rsidRDefault="00000000">
      <w:pPr>
        <w:spacing w:before="0" w:after="200" w:line="276" w:lineRule="auto"/>
        <w:jc w:val="left"/>
        <w:rPr>
          <w:szCs w:val="22"/>
          <w:lang w:val="en-US" w:eastAsia="en-US"/>
        </w:rPr>
      </w:pPr>
      <w:r>
        <w:rPr>
          <w:szCs w:val="22"/>
          <w:lang w:val="en-US" w:eastAsia="en-US"/>
        </w:rPr>
        <w:t>In case an eUICC OS Update happens, the EUM SHALL ensure that:</w:t>
      </w:r>
    </w:p>
    <w:p w14:paraId="4CA98145"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resulting eUICC SHALL maintain, at least, the same level of security and functional compliance than the previous eUICC.</w:t>
      </w:r>
    </w:p>
    <w:p w14:paraId="1DD112A1"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EIS additional property updatedPlatformVersion is updated to reflect the change of Operating System version</w:t>
      </w:r>
    </w:p>
    <w:p w14:paraId="78C466CD" w14:textId="77777777" w:rsidR="00B97365" w:rsidRDefault="00000000">
      <w:pPr>
        <w:spacing w:before="0" w:after="200" w:line="276" w:lineRule="auto"/>
        <w:jc w:val="left"/>
        <w:rPr>
          <w:szCs w:val="22"/>
          <w:lang w:val="en-US" w:eastAsia="en-US"/>
        </w:rPr>
      </w:pPr>
      <w:r>
        <w:rPr>
          <w:szCs w:val="22"/>
          <w:lang w:val="en-US" w:eastAsia="en-US"/>
        </w:rPr>
        <w:t>After an update of the EIS, the SM-SR SHOULD take implementation-dependent actions to also update the EIS field “remainingMemory”.</w:t>
      </w:r>
    </w:p>
    <w:p w14:paraId="21A8CF2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val="en-US" w:eastAsia="en-US"/>
        </w:rPr>
      </w:pPr>
      <w:bookmarkStart w:id="781" w:name="_Ref36647966"/>
      <w:bookmarkStart w:id="782" w:name="_Toc37062378"/>
      <w:bookmarkStart w:id="783" w:name="_Toc88839496"/>
      <w:bookmarkStart w:id="784" w:name="_Toc121503904"/>
      <w:r>
        <w:rPr>
          <w:rFonts w:eastAsia="Times New Roman" w:cs="Arial"/>
          <w:b/>
          <w:bCs/>
          <w:iCs/>
          <w:sz w:val="24"/>
          <w:szCs w:val="26"/>
          <w:lang w:val="en-US" w:eastAsia="en-US"/>
        </w:rPr>
        <w:t>Java Card™ Support</w:t>
      </w:r>
      <w:bookmarkEnd w:id="781"/>
      <w:bookmarkEnd w:id="782"/>
      <w:bookmarkEnd w:id="783"/>
      <w:bookmarkEnd w:id="784"/>
    </w:p>
    <w:p w14:paraId="641F7DE7" w14:textId="769BEF1B" w:rsidR="00B97365" w:rsidRDefault="00000000">
      <w:pPr>
        <w:spacing w:before="0" w:after="200" w:line="276" w:lineRule="auto"/>
        <w:jc w:val="left"/>
        <w:rPr>
          <w:szCs w:val="22"/>
          <w:lang w:val="en-US" w:eastAsia="en-US"/>
        </w:rPr>
      </w:pPr>
      <w:r>
        <w:rPr>
          <w:szCs w:val="22"/>
          <w:lang w:val="en-US" w:eastAsia="en-US"/>
        </w:rPr>
        <w:t xml:space="preserve">The eUICC MAY support Java Card™. If Java Card™ is supported, the eUICC SHALL support at least version 3.0.4 of the Java Card Classic Platform Specification </w:t>
      </w:r>
      <w:r>
        <w:rPr>
          <w:szCs w:val="22"/>
          <w:lang w:val="en-US" w:eastAsia="en-US"/>
        </w:rPr>
        <w:fldChar w:fldCharType="begin"/>
      </w:r>
      <w:r>
        <w:rPr>
          <w:szCs w:val="22"/>
          <w:lang w:val="en-US" w:eastAsia="en-US"/>
        </w:rPr>
        <w:instrText xml:space="preserve"> REF _Ref36647460 \r \h </w:instrText>
      </w:r>
      <w:r>
        <w:rPr>
          <w:szCs w:val="22"/>
          <w:lang w:val="en-US" w:eastAsia="en-US"/>
        </w:rPr>
      </w:r>
      <w:r>
        <w:rPr>
          <w:szCs w:val="22"/>
          <w:lang w:val="en-US" w:eastAsia="en-US"/>
        </w:rPr>
        <w:fldChar w:fldCharType="separate"/>
      </w:r>
      <w:r w:rsidR="001D5AD9">
        <w:rPr>
          <w:szCs w:val="22"/>
          <w:lang w:val="en-US" w:eastAsia="en-US"/>
        </w:rPr>
        <w:t>[66]</w:t>
      </w:r>
      <w:r>
        <w:rPr>
          <w:szCs w:val="22"/>
          <w:lang w:val="en-US" w:eastAsia="en-US"/>
        </w:rPr>
        <w:fldChar w:fldCharType="end"/>
      </w:r>
      <w:r>
        <w:rPr>
          <w:szCs w:val="22"/>
          <w:lang w:val="en-US" w:eastAsia="en-US"/>
        </w:rPr>
        <w:t>.</w:t>
      </w:r>
    </w:p>
    <w:p w14:paraId="272E015A"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val="en-US" w:eastAsia="en-US"/>
        </w:rPr>
      </w:pPr>
      <w:bookmarkStart w:id="785" w:name="_Toc88839497"/>
      <w:bookmarkStart w:id="786" w:name="_Toc121503905"/>
      <w:r>
        <w:rPr>
          <w:rFonts w:eastAsia="Times New Roman" w:cs="Arial"/>
          <w:b/>
          <w:bCs/>
          <w:iCs/>
          <w:sz w:val="24"/>
          <w:szCs w:val="26"/>
          <w:lang w:val="en-US" w:eastAsia="en-US"/>
        </w:rPr>
        <w:t>Hardware Characteristics of the eUICC</w:t>
      </w:r>
      <w:bookmarkEnd w:id="785"/>
      <w:bookmarkEnd w:id="786"/>
    </w:p>
    <w:p w14:paraId="2AF6ABE5" w14:textId="77777777" w:rsidR="00B97365" w:rsidRDefault="00000000">
      <w:pPr>
        <w:spacing w:before="0" w:after="200" w:line="276" w:lineRule="auto"/>
        <w:jc w:val="left"/>
        <w:rPr>
          <w:szCs w:val="22"/>
          <w:lang w:val="en-US" w:eastAsia="en-US"/>
        </w:rPr>
      </w:pPr>
      <w:r>
        <w:rPr>
          <w:szCs w:val="22"/>
          <w:lang w:val="en-US" w:eastAsia="en-US"/>
        </w:rPr>
        <w:t>The following requirements apply:</w:t>
      </w:r>
    </w:p>
    <w:p w14:paraId="542D2DA2"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The eUICC SHALL be based on a Tamper Resistant Element. </w:t>
      </w:r>
    </w:p>
    <w:p w14:paraId="643C7797"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eUICC SHALL be either a Discrete eUICC or an Integrated eUICC.</w:t>
      </w:r>
    </w:p>
    <w:p w14:paraId="7EC4D097" w14:textId="059B2DDD"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A Discrete eUICC MAY either be removable or non-removable. A removable eUICC SHALL be packaged in a form factor specified in ETSI TS 102 221 </w:t>
      </w:r>
      <w:r>
        <w:rPr>
          <w:szCs w:val="22"/>
          <w:lang w:val="en-US" w:eastAsia="en-GB" w:bidi="ar-SA"/>
        </w:rPr>
        <w:fldChar w:fldCharType="begin"/>
      </w:r>
      <w:r>
        <w:rPr>
          <w:szCs w:val="22"/>
          <w:lang w:val="en-US" w:eastAsia="en-GB" w:bidi="ar-SA"/>
        </w:rPr>
        <w:instrText xml:space="preserve"> REF _Ref40194660 \r \h </w:instrText>
      </w:r>
      <w:r>
        <w:rPr>
          <w:szCs w:val="22"/>
          <w:lang w:val="en-US" w:eastAsia="en-GB" w:bidi="ar-SA"/>
        </w:rPr>
      </w:r>
      <w:r>
        <w:rPr>
          <w:szCs w:val="22"/>
          <w:lang w:val="en-US" w:eastAsia="en-GB" w:bidi="ar-SA"/>
        </w:rPr>
        <w:fldChar w:fldCharType="separate"/>
      </w:r>
      <w:r w:rsidR="001D5AD9">
        <w:rPr>
          <w:szCs w:val="22"/>
          <w:lang w:val="en-US" w:eastAsia="en-GB" w:bidi="ar-SA"/>
        </w:rPr>
        <w:t>[70]</w:t>
      </w:r>
      <w:r>
        <w:rPr>
          <w:szCs w:val="22"/>
          <w:lang w:val="en-US" w:eastAsia="en-GB" w:bidi="ar-SA"/>
        </w:rPr>
        <w:fldChar w:fldCharType="end"/>
      </w:r>
      <w:r>
        <w:rPr>
          <w:szCs w:val="22"/>
          <w:lang w:val="en-US" w:eastAsia="en-GB" w:bidi="ar-SA"/>
        </w:rPr>
        <w:t>.</w:t>
      </w:r>
    </w:p>
    <w:p w14:paraId="5F8330E8"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787" w:name="_Toc448998201"/>
      <w:bookmarkStart w:id="788" w:name="_Toc422150670"/>
      <w:bookmarkStart w:id="789" w:name="_Toc421874250"/>
      <w:bookmarkStart w:id="790" w:name="_Toc420594318"/>
      <w:bookmarkStart w:id="791" w:name="_Toc398214792"/>
      <w:bookmarkStart w:id="792" w:name="_Toc375158208"/>
      <w:bookmarkStart w:id="793" w:name="_Toc374348475"/>
      <w:bookmarkStart w:id="794" w:name="_Toc368932176"/>
      <w:bookmarkStart w:id="795" w:name="_Toc353814591"/>
      <w:bookmarkStart w:id="796" w:name="_Toc486332817"/>
      <w:bookmarkStart w:id="797" w:name="_Toc1977223"/>
      <w:bookmarkStart w:id="798" w:name="_Toc37062379"/>
      <w:bookmarkStart w:id="799" w:name="_Toc88839498"/>
      <w:bookmarkStart w:id="800" w:name="_Toc121503906"/>
      <w:r>
        <w:rPr>
          <w:rFonts w:eastAsia="Times New Roman" w:cs="Arial"/>
          <w:b/>
          <w:bCs/>
          <w:iCs/>
          <w:sz w:val="24"/>
          <w:szCs w:val="28"/>
          <w:lang w:eastAsia="en-US"/>
        </w:rPr>
        <w:t>Security Overview</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46F81E74"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This section provides an overview of the overall ecosystem security features. </w:t>
      </w:r>
    </w:p>
    <w:p w14:paraId="37B530BE"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 expectation of this architecture is to provide a solution offering a security level at least equivalent to the security reached by the current UICC and its management systems.  </w:t>
      </w:r>
    </w:p>
    <w:p w14:paraId="3D1BB261" w14:textId="50773CEF" w:rsidR="00B97365" w:rsidRDefault="00000000">
      <w:pPr>
        <w:spacing w:before="0" w:after="200" w:line="276" w:lineRule="auto"/>
        <w:jc w:val="left"/>
        <w:rPr>
          <w:rFonts w:cs="Arial"/>
          <w:szCs w:val="22"/>
          <w:lang w:eastAsia="en-GB" w:bidi="ar-SA"/>
        </w:rPr>
      </w:pPr>
      <w:r>
        <w:rPr>
          <w:rFonts w:cs="Arial"/>
          <w:szCs w:val="22"/>
          <w:lang w:eastAsia="en-GB" w:bidi="ar-SA"/>
        </w:rPr>
        <w:t xml:space="preserve">The security requirements have to be applied to the different Actors and Roles (Customer, Operator, SM-DP, SM-SR, CI, eUICC and eUICC Manufacturer). Each Role is considered as elements which can belong to a security realm and has to fulfil the appropriate certification compliance criteria (see section </w:t>
      </w:r>
      <w:r>
        <w:rPr>
          <w:rFonts w:cs="Arial"/>
          <w:szCs w:val="22"/>
          <w:lang w:eastAsia="en-GB" w:bidi="ar-SA"/>
        </w:rPr>
        <w:fldChar w:fldCharType="begin"/>
      </w:r>
      <w:r>
        <w:rPr>
          <w:rFonts w:cs="Arial"/>
          <w:szCs w:val="22"/>
          <w:lang w:eastAsia="en-GB" w:bidi="ar-SA"/>
        </w:rPr>
        <w:instrText xml:space="preserve"> REF _Ref520307059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2.9</w:t>
      </w:r>
      <w:r>
        <w:rPr>
          <w:rFonts w:cs="Arial"/>
          <w:szCs w:val="22"/>
          <w:lang w:eastAsia="en-GB" w:bidi="ar-SA"/>
        </w:rPr>
        <w:fldChar w:fldCharType="end"/>
      </w:r>
      <w:r>
        <w:rPr>
          <w:rFonts w:cs="Arial"/>
          <w:szCs w:val="22"/>
          <w:lang w:eastAsia="en-GB" w:bidi="ar-SA"/>
        </w:rPr>
        <w:t xml:space="preserve">). </w:t>
      </w:r>
    </w:p>
    <w:p w14:paraId="6A970668"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In addition to the intrinsic security of each security realm, the data exchanged between these entities has to be protected. Any communication between two security realms of the eUICC ecosystem SHALL be origin authenticated, as well as integrity-Protected and, unless otherwise specified in detailed sections of this specification, confidentiality protected. </w:t>
      </w:r>
    </w:p>
    <w:p w14:paraId="3EDDB573"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For all the procedures described in this specification the security realms are mutually authenticated and they have negotiated a minimal-acceptable common cryptographic suite for further communication. </w:t>
      </w:r>
    </w:p>
    <w:p w14:paraId="5A86C54E" w14:textId="59588E6A" w:rsidR="00B97365" w:rsidRDefault="00000000">
      <w:pPr>
        <w:spacing w:before="0" w:after="200" w:line="276" w:lineRule="auto"/>
        <w:jc w:val="left"/>
        <w:rPr>
          <w:szCs w:val="22"/>
          <w:lang w:eastAsia="en-GB" w:bidi="ar-SA"/>
        </w:rPr>
      </w:pPr>
      <w:r>
        <w:rPr>
          <w:rFonts w:cs="Arial"/>
          <w:szCs w:val="22"/>
          <w:lang w:eastAsia="en-GB" w:bidi="ar-SA"/>
        </w:rPr>
        <w:t xml:space="preserve">For the eUICC interfaces, the Platform Management commands (ES5) and the OTA Platform commands (ES6) SHALL be protected by either a SCP80 or SCP81 secure channel with security level defined in section </w:t>
      </w:r>
      <w:r>
        <w:fldChar w:fldCharType="begin"/>
      </w:r>
      <w:r>
        <w:instrText xml:space="preserve"> REF _Ref367968855 \r \h  \* MERGEFORMAT </w:instrText>
      </w:r>
      <w:r>
        <w:fldChar w:fldCharType="separate"/>
      </w:r>
      <w:r w:rsidR="001D5AD9" w:rsidRPr="001D5AD9">
        <w:rPr>
          <w:szCs w:val="22"/>
          <w:lang w:eastAsia="en-GB" w:bidi="ar-SA"/>
        </w:rPr>
        <w:t>2.4</w:t>
      </w:r>
      <w:r>
        <w:fldChar w:fldCharType="end"/>
      </w:r>
      <w:r>
        <w:rPr>
          <w:szCs w:val="22"/>
          <w:lang w:eastAsia="en-GB" w:bidi="ar-SA"/>
        </w:rPr>
        <w:t xml:space="preserve">. The Profile Management commands (ES8) SHALL be at least protected by a SCP03 security level as detailed in section </w:t>
      </w:r>
      <w:r>
        <w:rPr>
          <w:szCs w:val="22"/>
          <w:lang w:eastAsia="en-GB" w:bidi="ar-SA"/>
        </w:rPr>
        <w:fldChar w:fldCharType="begin"/>
      </w:r>
      <w:r>
        <w:rPr>
          <w:szCs w:val="22"/>
          <w:lang w:eastAsia="en-GB" w:bidi="ar-SA"/>
        </w:rPr>
        <w:instrText xml:space="preserve"> REF _Ref373918428 \r \h </w:instrText>
      </w:r>
      <w:r>
        <w:rPr>
          <w:szCs w:val="22"/>
          <w:lang w:eastAsia="en-GB" w:bidi="ar-SA"/>
        </w:rPr>
      </w:r>
      <w:r>
        <w:rPr>
          <w:szCs w:val="22"/>
          <w:lang w:eastAsia="en-GB" w:bidi="ar-SA"/>
        </w:rPr>
        <w:fldChar w:fldCharType="separate"/>
      </w:r>
      <w:r w:rsidR="001D5AD9">
        <w:rPr>
          <w:szCs w:val="22"/>
          <w:lang w:eastAsia="en-GB" w:bidi="ar-SA"/>
        </w:rPr>
        <w:t>2.5</w:t>
      </w:r>
      <w:r>
        <w:rPr>
          <w:szCs w:val="22"/>
          <w:lang w:eastAsia="en-GB" w:bidi="ar-SA"/>
        </w:rPr>
        <w:fldChar w:fldCharType="end"/>
      </w:r>
      <w:r>
        <w:rPr>
          <w:szCs w:val="22"/>
          <w:lang w:eastAsia="en-GB" w:bidi="ar-SA"/>
        </w:rPr>
        <w:t>.</w:t>
      </w:r>
    </w:p>
    <w:p w14:paraId="7F4C3AF1" w14:textId="77777777" w:rsidR="00B97365" w:rsidRDefault="00000000">
      <w:pPr>
        <w:spacing w:before="0" w:after="200" w:line="276" w:lineRule="auto"/>
        <w:jc w:val="left"/>
        <w:rPr>
          <w:rFonts w:cs="Arial"/>
          <w:bCs/>
          <w:szCs w:val="22"/>
          <w:lang w:eastAsia="en-GB" w:bidi="ar-SA"/>
        </w:rPr>
      </w:pPr>
      <w:r>
        <w:rPr>
          <w:rFonts w:cs="Arial"/>
          <w:bCs/>
          <w:szCs w:val="22"/>
          <w:lang w:eastAsia="en-GB" w:bidi="ar-SA"/>
        </w:rPr>
        <w:lastRenderedPageBreak/>
        <w:t>Off-card entities SHALL implement access control mechanisms for all function execution and data access requests. This access SHALL be authorised and any access SHALL be traced as defined in the GSMA certification schemes.</w:t>
      </w:r>
    </w:p>
    <w:p w14:paraId="2A7E283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801" w:name="_Toc448998202"/>
      <w:bookmarkStart w:id="802" w:name="_Toc422150671"/>
      <w:bookmarkStart w:id="803" w:name="_Toc421874251"/>
      <w:bookmarkStart w:id="804" w:name="_Ref421869425"/>
      <w:bookmarkStart w:id="805" w:name="_Toc420594319"/>
      <w:bookmarkStart w:id="806" w:name="_Toc398214793"/>
      <w:bookmarkStart w:id="807" w:name="_Toc375158209"/>
      <w:bookmarkStart w:id="808" w:name="_Toc486332818"/>
      <w:bookmarkStart w:id="809" w:name="_Toc1977224"/>
      <w:bookmarkStart w:id="810" w:name="_Toc37062380"/>
      <w:bookmarkStart w:id="811" w:name="_Toc88839499"/>
      <w:bookmarkStart w:id="812" w:name="_Toc121503907"/>
      <w:r>
        <w:rPr>
          <w:rFonts w:eastAsia="Times New Roman" w:cs="Arial"/>
          <w:b/>
          <w:bCs/>
          <w:iCs/>
          <w:sz w:val="24"/>
          <w:szCs w:val="26"/>
          <w:lang w:eastAsia="en-US"/>
        </w:rPr>
        <w:t>Certificate Issuer Role</w:t>
      </w:r>
      <w:bookmarkEnd w:id="801"/>
      <w:bookmarkEnd w:id="802"/>
      <w:bookmarkEnd w:id="803"/>
      <w:bookmarkEnd w:id="804"/>
      <w:bookmarkEnd w:id="805"/>
      <w:bookmarkEnd w:id="806"/>
      <w:bookmarkEnd w:id="807"/>
      <w:bookmarkEnd w:id="808"/>
      <w:bookmarkEnd w:id="809"/>
      <w:bookmarkEnd w:id="810"/>
      <w:bookmarkEnd w:id="811"/>
      <w:bookmarkEnd w:id="812"/>
    </w:p>
    <w:p w14:paraId="44D87DFF" w14:textId="77777777" w:rsidR="00B97365" w:rsidRDefault="00000000">
      <w:pPr>
        <w:spacing w:after="200"/>
        <w:rPr>
          <w:rFonts w:cs="Calibri"/>
        </w:rPr>
      </w:pPr>
      <w:r>
        <w:rPr>
          <w:rFonts w:cs="Calibri"/>
        </w:rPr>
        <w:t>The Certificate Issuer (CI) Role issues the certificates for the eUICC Remote Provisioning System and acts as a trusted third party for the purpose of mutual authentication of the entities of the system. The CI provides:</w:t>
      </w:r>
    </w:p>
    <w:p w14:paraId="4066813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self-signed Root Certificate used to verify certificates issued and signed by the CI</w:t>
      </w:r>
    </w:p>
    <w:p w14:paraId="377721A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public key (PK.CI.ECDSA), part of that Root Certificate, used on the eUICC to verify certificates issued by the CI</w:t>
      </w:r>
    </w:p>
    <w:p w14:paraId="70539A6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certificate (CERT.DP.ECDSA, signed by the CI) to authenticate the SM-DP. This certificate is used in the “Load and Install Profile” procedure</w:t>
      </w:r>
    </w:p>
    <w:p w14:paraId="52572FD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certificate (CERT.SR.ECDSA, signed by the CI) to authenticate the SM-SR. This certificate is used in the “SM-SR change” procedure</w:t>
      </w:r>
    </w:p>
    <w:p w14:paraId="75D4386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certificate, signed by the CI, to authenticate the EUM. This certificate is used in the "Download and Install Profile" and in the “SM-SR change” procedures.</w:t>
      </w:r>
    </w:p>
    <w:p w14:paraId="6983CE2F" w14:textId="31B6132B"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Certificate Revocation List (CRL), issued periodically or on event, as specified in the GSMA eUICC PKI Certificate Policy SGP.14 </w:t>
      </w:r>
      <w:r>
        <w:rPr>
          <w:szCs w:val="22"/>
          <w:lang w:eastAsia="en-GB" w:bidi="ar-SA"/>
        </w:rPr>
        <w:fldChar w:fldCharType="begin"/>
      </w:r>
      <w:r>
        <w:rPr>
          <w:szCs w:val="22"/>
          <w:lang w:eastAsia="en-GB" w:bidi="ar-SA"/>
        </w:rPr>
        <w:instrText xml:space="preserve"> REF _Ref481749928 \r \h </w:instrText>
      </w:r>
      <w:r>
        <w:rPr>
          <w:szCs w:val="22"/>
          <w:lang w:eastAsia="en-GB" w:bidi="ar-SA"/>
        </w:rPr>
      </w:r>
      <w:r>
        <w:rPr>
          <w:szCs w:val="22"/>
          <w:lang w:eastAsia="en-GB" w:bidi="ar-SA"/>
        </w:rPr>
        <w:fldChar w:fldCharType="separate"/>
      </w:r>
      <w:r w:rsidR="001D5AD9">
        <w:rPr>
          <w:szCs w:val="22"/>
          <w:lang w:eastAsia="en-GB" w:bidi="ar-SA"/>
        </w:rPr>
        <w:t>[56]</w:t>
      </w:r>
      <w:r>
        <w:rPr>
          <w:szCs w:val="22"/>
          <w:lang w:eastAsia="en-GB" w:bidi="ar-SA"/>
        </w:rPr>
        <w:fldChar w:fldCharType="end"/>
      </w:r>
      <w:r>
        <w:rPr>
          <w:szCs w:val="22"/>
          <w:lang w:eastAsia="en-GB" w:bidi="ar-SA"/>
        </w:rPr>
        <w:t>. This CRL lists identifiers of the certificates issued by the CI that have been revoked before their expiration date.</w:t>
      </w:r>
    </w:p>
    <w:p w14:paraId="0089BF1D" w14:textId="77777777" w:rsidR="00B97365" w:rsidRDefault="00B97365">
      <w:pPr>
        <w:tabs>
          <w:tab w:val="left" w:pos="680"/>
        </w:tabs>
        <w:spacing w:before="0" w:after="200" w:line="276" w:lineRule="auto"/>
        <w:ind w:left="340"/>
        <w:contextualSpacing/>
        <w:jc w:val="left"/>
        <w:rPr>
          <w:rFonts w:cs="Arial"/>
          <w:szCs w:val="22"/>
          <w:lang w:eastAsia="en-GB" w:bidi="ar-SA"/>
        </w:rPr>
      </w:pPr>
    </w:p>
    <w:p w14:paraId="3F756D7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813" w:name="_Toc421885539"/>
      <w:bookmarkStart w:id="814" w:name="_Toc421885918"/>
      <w:bookmarkStart w:id="815" w:name="_Toc373757325"/>
      <w:bookmarkStart w:id="816" w:name="_Toc375158210"/>
      <w:bookmarkStart w:id="817" w:name="_Toc398214794"/>
      <w:bookmarkStart w:id="818" w:name="_Toc420594320"/>
      <w:bookmarkStart w:id="819" w:name="_Toc421874252"/>
      <w:bookmarkStart w:id="820" w:name="_Toc422150672"/>
      <w:bookmarkStart w:id="821" w:name="_Toc448998203"/>
      <w:bookmarkStart w:id="822" w:name="_Toc486332819"/>
      <w:bookmarkStart w:id="823" w:name="_Toc1977225"/>
      <w:bookmarkStart w:id="824" w:name="_Toc37062381"/>
      <w:bookmarkStart w:id="825" w:name="_Toc88839500"/>
      <w:bookmarkStart w:id="826" w:name="_Toc121503908"/>
      <w:bookmarkEnd w:id="813"/>
      <w:bookmarkEnd w:id="814"/>
      <w:r>
        <w:rPr>
          <w:rFonts w:eastAsia="Times New Roman" w:cs="Arial"/>
          <w:b/>
          <w:bCs/>
          <w:iCs/>
          <w:sz w:val="24"/>
          <w:szCs w:val="26"/>
          <w:lang w:eastAsia="en-US"/>
        </w:rPr>
        <w:t xml:space="preserve">Certification </w:t>
      </w:r>
      <w:r>
        <w:rPr>
          <w:rFonts w:eastAsia="Times New Roman" w:cs="Arial"/>
          <w:b/>
          <w:sz w:val="24"/>
          <w:szCs w:val="26"/>
          <w:lang w:eastAsia="en-US"/>
        </w:rPr>
        <w:t>Chains</w:t>
      </w:r>
      <w:bookmarkEnd w:id="815"/>
      <w:bookmarkEnd w:id="816"/>
      <w:bookmarkEnd w:id="817"/>
      <w:bookmarkEnd w:id="818"/>
      <w:bookmarkEnd w:id="819"/>
      <w:bookmarkEnd w:id="820"/>
      <w:bookmarkEnd w:id="821"/>
      <w:bookmarkEnd w:id="822"/>
      <w:bookmarkEnd w:id="823"/>
      <w:bookmarkEnd w:id="824"/>
      <w:bookmarkEnd w:id="825"/>
      <w:bookmarkEnd w:id="826"/>
    </w:p>
    <w:p w14:paraId="16F43A7B" w14:textId="77777777" w:rsidR="00B97365" w:rsidRDefault="00000000">
      <w:pPr>
        <w:rPr>
          <w:rFonts w:cs="Arial"/>
        </w:rPr>
      </w:pPr>
      <w:r>
        <w:rPr>
          <w:rFonts w:cs="Arial"/>
        </w:rPr>
        <w:t xml:space="preserve">The Certificate Issuer Role issues certificates for Embedded UICC remote provisioning system entities and acts as a trusted root for the purpose of authentication of the entities of the system. </w:t>
      </w:r>
    </w:p>
    <w:p w14:paraId="327448FE" w14:textId="6EFC8D83" w:rsidR="00B97365" w:rsidRDefault="00000000">
      <w:pPr>
        <w:spacing w:after="200"/>
        <w:rPr>
          <w:rFonts w:cs="Arial"/>
        </w:rPr>
      </w:pPr>
      <w:bookmarkStart w:id="827" w:name="_Hlk373405552"/>
      <w:r>
        <w:rPr>
          <w:rFonts w:cs="Arial"/>
        </w:rPr>
        <w:t xml:space="preserve">The following certificates SHALL be signed and issued by the CI, according to the policies specified in SGP.14 </w:t>
      </w:r>
      <w:r>
        <w:rPr>
          <w:rFonts w:cs="Arial"/>
        </w:rPr>
        <w:fldChar w:fldCharType="begin"/>
      </w:r>
      <w:r>
        <w:rPr>
          <w:rFonts w:cs="Arial"/>
        </w:rPr>
        <w:instrText xml:space="preserve"> REF _Ref481749928 \r \h </w:instrText>
      </w:r>
      <w:r>
        <w:rPr>
          <w:rFonts w:cs="Arial"/>
        </w:rPr>
      </w:r>
      <w:r>
        <w:rPr>
          <w:rFonts w:cs="Arial"/>
        </w:rPr>
        <w:fldChar w:fldCharType="separate"/>
      </w:r>
      <w:r w:rsidR="001D5AD9">
        <w:rPr>
          <w:rFonts w:cs="Arial"/>
        </w:rPr>
        <w:t>[56]</w:t>
      </w:r>
      <w:r>
        <w:rPr>
          <w:rFonts w:cs="Arial"/>
        </w:rPr>
        <w:fldChar w:fldCharType="end"/>
      </w:r>
      <w:r>
        <w:rPr>
          <w:rFonts w:cs="Arial"/>
        </w:rPr>
        <w:t>:</w:t>
      </w:r>
    </w:p>
    <w:bookmarkEnd w:id="827"/>
    <w:p w14:paraId="3220F69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Self-signed Root Certificate</w:t>
      </w:r>
    </w:p>
    <w:p w14:paraId="35A1C3A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EUM Certificates</w:t>
      </w:r>
    </w:p>
    <w:p w14:paraId="19DC60C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SM-SR Certificates</w:t>
      </w:r>
    </w:p>
    <w:p w14:paraId="367943C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SM-DP Certificates</w:t>
      </w:r>
    </w:p>
    <w:p w14:paraId="652902F3" w14:textId="77777777" w:rsidR="00B97365" w:rsidRDefault="00B97365">
      <w:pPr>
        <w:tabs>
          <w:tab w:val="left" w:pos="680"/>
        </w:tabs>
        <w:spacing w:before="0" w:after="200" w:line="276" w:lineRule="auto"/>
        <w:contextualSpacing/>
        <w:jc w:val="left"/>
        <w:rPr>
          <w:rFonts w:cs="Arial"/>
          <w:szCs w:val="22"/>
          <w:lang w:eastAsia="en-GB" w:bidi="ar-SA"/>
        </w:rPr>
      </w:pPr>
    </w:p>
    <w:p w14:paraId="71631B30" w14:textId="77777777" w:rsidR="00B97365" w:rsidRDefault="00000000">
      <w:pPr>
        <w:spacing w:after="200"/>
        <w:rPr>
          <w:rFonts w:cs="Arial"/>
        </w:rPr>
      </w:pPr>
      <w:r>
        <w:rPr>
          <w:rFonts w:cs="Arial"/>
        </w:rPr>
        <w:t>The EUM, SM-SR, and SM-DP certificates, SHALL be requested to the CI, following the procedures, and using the CSR formats, defined in SGP.14 [56].</w:t>
      </w:r>
    </w:p>
    <w:p w14:paraId="0216E465" w14:textId="77777777" w:rsidR="00B97365" w:rsidRDefault="00000000">
      <w:pPr>
        <w:spacing w:after="200"/>
        <w:rPr>
          <w:rFonts w:cs="Arial"/>
        </w:rPr>
      </w:pPr>
      <w:r>
        <w:rPr>
          <w:rFonts w:cs="Arial"/>
        </w:rPr>
        <w:t>The Self-signed Root certificate, and the EUM certificates, SHALL follow the format specified by SGP.14 [56], based on X.509, including in particular extensions SubjectAltName and SubjectKeyIdentifier.</w:t>
      </w:r>
    </w:p>
    <w:p w14:paraId="4344B628" w14:textId="3BDC94FE" w:rsidR="00B97365" w:rsidRDefault="00000000">
      <w:pPr>
        <w:spacing w:after="200"/>
        <w:rPr>
          <w:rFonts w:cs="Arial"/>
        </w:rPr>
      </w:pPr>
      <w:r>
        <w:rPr>
          <w:rFonts w:cs="Arial"/>
        </w:rPr>
        <w:t xml:space="preserve">The SM-SR, SM-DP, and eUICC certificates, SHALL follow the format specified by this document, in sections </w:t>
      </w:r>
      <w:r>
        <w:rPr>
          <w:rFonts w:cs="Arial"/>
        </w:rPr>
        <w:fldChar w:fldCharType="begin"/>
      </w:r>
      <w:r>
        <w:rPr>
          <w:rFonts w:cs="Arial"/>
        </w:rPr>
        <w:instrText xml:space="preserve"> REF _Ref481750157 \r \h </w:instrText>
      </w:r>
      <w:r>
        <w:rPr>
          <w:rFonts w:cs="Arial"/>
        </w:rPr>
      </w:r>
      <w:r>
        <w:rPr>
          <w:rFonts w:cs="Arial"/>
        </w:rPr>
        <w:fldChar w:fldCharType="separate"/>
      </w:r>
      <w:r w:rsidR="001D5AD9">
        <w:rPr>
          <w:rFonts w:cs="Arial"/>
        </w:rPr>
        <w:t>4.1.1</w:t>
      </w:r>
      <w:r>
        <w:rPr>
          <w:rFonts w:cs="Arial"/>
        </w:rPr>
        <w:fldChar w:fldCharType="end"/>
      </w:r>
      <w:r>
        <w:rPr>
          <w:rFonts w:cs="Arial"/>
        </w:rPr>
        <w:t xml:space="preserve"> and </w:t>
      </w:r>
      <w:r>
        <w:rPr>
          <w:rFonts w:cs="Arial"/>
        </w:rPr>
        <w:fldChar w:fldCharType="begin"/>
      </w:r>
      <w:r>
        <w:rPr>
          <w:rFonts w:cs="Arial"/>
        </w:rPr>
        <w:instrText xml:space="preserve"> REF _Ref367970128 \r \h </w:instrText>
      </w:r>
      <w:r>
        <w:rPr>
          <w:rFonts w:cs="Arial"/>
        </w:rPr>
      </w:r>
      <w:r>
        <w:rPr>
          <w:rFonts w:cs="Arial"/>
        </w:rPr>
        <w:fldChar w:fldCharType="separate"/>
      </w:r>
      <w:r w:rsidR="001D5AD9">
        <w:rPr>
          <w:rFonts w:cs="Arial"/>
        </w:rPr>
        <w:t>4.1.3</w:t>
      </w:r>
      <w:r>
        <w:rPr>
          <w:rFonts w:cs="Arial"/>
        </w:rPr>
        <w:fldChar w:fldCharType="end"/>
      </w:r>
      <w:r>
        <w:rPr>
          <w:rFonts w:cs="Arial"/>
        </w:rPr>
        <w:t xml:space="preserve">, based on Global Platform Amendment E </w:t>
      </w:r>
      <w:r>
        <w:rPr>
          <w:rFonts w:cs="Arial"/>
        </w:rPr>
        <w:fldChar w:fldCharType="begin"/>
      </w:r>
      <w:r>
        <w:rPr>
          <w:rFonts w:cs="Arial"/>
        </w:rPr>
        <w:instrText xml:space="preserve"> REF _Ref481750111 \r \h </w:instrText>
      </w:r>
      <w:r>
        <w:rPr>
          <w:rFonts w:cs="Arial"/>
        </w:rPr>
      </w:r>
      <w:r>
        <w:rPr>
          <w:rFonts w:cs="Arial"/>
        </w:rPr>
        <w:fldChar w:fldCharType="separate"/>
      </w:r>
      <w:r w:rsidR="001D5AD9">
        <w:rPr>
          <w:rFonts w:cs="Arial"/>
        </w:rPr>
        <w:t>[11]</w:t>
      </w:r>
      <w:r>
        <w:rPr>
          <w:rFonts w:cs="Arial"/>
        </w:rPr>
        <w:fldChar w:fldCharType="end"/>
      </w:r>
    </w:p>
    <w:p w14:paraId="3E0CF09B" w14:textId="77777777" w:rsidR="00B97365" w:rsidRDefault="00000000">
      <w:pPr>
        <w:spacing w:after="200"/>
        <w:rPr>
          <w:rFonts w:cs="Arial"/>
        </w:rPr>
      </w:pPr>
      <w:r>
        <w:rPr>
          <w:rFonts w:cs="Arial"/>
        </w:rPr>
        <w:t>The following certificates SHALL be signed and issued by the EUM:</w:t>
      </w:r>
    </w:p>
    <w:p w14:paraId="11772D2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eUICC Certificates</w:t>
      </w:r>
    </w:p>
    <w:p w14:paraId="240BBF2E" w14:textId="77777777" w:rsidR="00B97365" w:rsidRDefault="00000000">
      <w:pPr>
        <w:ind w:left="360"/>
        <w:jc w:val="center"/>
        <w:rPr>
          <w:rFonts w:cs="Arial"/>
          <w:sz w:val="20"/>
        </w:rPr>
      </w:pPr>
      <w:r>
        <w:rPr>
          <w:rFonts w:cs="Arial"/>
          <w:sz w:val="20"/>
        </w:rPr>
        <w:object w:dxaOrig="7200" w:dyaOrig="5412" w14:anchorId="49ECAC0B">
          <v:shape id="_x0000_i1031" type="#_x0000_t75" style="width:5in;height:270.95pt" o:ole="">
            <v:imagedata r:id="rId38" o:title=""/>
          </v:shape>
          <o:OLEObject Type="Embed" ProgID="PowerPoint.Slide.12" ShapeID="_x0000_i1031" DrawAspect="Content" ObjectID="_1738512076" r:id="rId39"/>
        </w:object>
      </w:r>
    </w:p>
    <w:p w14:paraId="71B22046" w14:textId="77777777" w:rsidR="00B97365" w:rsidRDefault="00B97365">
      <w:pPr>
        <w:ind w:left="360"/>
        <w:rPr>
          <w:rFonts w:cs="Arial"/>
          <w:sz w:val="20"/>
        </w:rPr>
      </w:pPr>
    </w:p>
    <w:p w14:paraId="598D1218"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828" w:name="_Ref421659588"/>
      <w:r>
        <w:rPr>
          <w:rFonts w:cs="Arial"/>
          <w:b/>
          <w:szCs w:val="22"/>
          <w:lang w:val="en-US" w:eastAsia="en-GB" w:bidi="ar-SA"/>
        </w:rPr>
        <w:t>: Certificate Chains</w:t>
      </w:r>
      <w:bookmarkEnd w:id="828"/>
    </w:p>
    <w:p w14:paraId="13FBF584" w14:textId="77777777" w:rsidR="00B97365" w:rsidRDefault="00000000">
      <w:pPr>
        <w:tabs>
          <w:tab w:val="left" w:pos="5528"/>
        </w:tabs>
        <w:spacing w:after="200"/>
        <w:rPr>
          <w:rFonts w:cs="Arial"/>
          <w:lang w:val="en-US"/>
        </w:rPr>
      </w:pPr>
      <w:r>
        <w:t>The certificate operational period and key pair usage period of all certificates SHALL be set to the time limits defined in SGP.14 [56] section 8.2</w:t>
      </w:r>
      <w:r>
        <w:rPr>
          <w:rFonts w:cs="Arial"/>
          <w:lang w:val="en-US"/>
        </w:rPr>
        <w:t>.</w:t>
      </w:r>
    </w:p>
    <w:p w14:paraId="440697C7" w14:textId="77777777" w:rsidR="00B97365" w:rsidRDefault="00000000">
      <w:pPr>
        <w:keepNext/>
        <w:keepLines/>
        <w:numPr>
          <w:ilvl w:val="3"/>
          <w:numId w:val="49"/>
        </w:numPr>
        <w:spacing w:before="240" w:after="60" w:line="276" w:lineRule="auto"/>
        <w:jc w:val="left"/>
        <w:outlineLvl w:val="3"/>
        <w:rPr>
          <w:rFonts w:ascii="Arial Bold" w:eastAsia="Times New Roman" w:hAnsi="Arial Bold" w:cs="Arial"/>
          <w:b/>
          <w:iCs/>
          <w:szCs w:val="28"/>
          <w:lang w:eastAsia="en-US" w:bidi="ar-SA"/>
        </w:rPr>
      </w:pPr>
      <w:bookmarkStart w:id="829" w:name="_Toc1977226"/>
      <w:bookmarkStart w:id="830" w:name="_Toc37062382"/>
      <w:r>
        <w:rPr>
          <w:rFonts w:ascii="Arial Bold" w:eastAsia="Times New Roman" w:hAnsi="Arial Bold" w:cs="Arial"/>
          <w:b/>
          <w:iCs/>
          <w:szCs w:val="28"/>
          <w:lang w:eastAsia="en-US" w:bidi="ar-SA"/>
        </w:rPr>
        <w:t>Management of certificates on eUICC</w:t>
      </w:r>
      <w:bookmarkEnd w:id="829"/>
      <w:bookmarkEnd w:id="830"/>
    </w:p>
    <w:p w14:paraId="4BF98A6E" w14:textId="77777777" w:rsidR="00B97365" w:rsidRDefault="00000000">
      <w:pPr>
        <w:tabs>
          <w:tab w:val="left" w:pos="5528"/>
        </w:tabs>
        <w:spacing w:after="200"/>
        <w:rPr>
          <w:rFonts w:cs="Arial"/>
          <w:lang w:val="en-US"/>
        </w:rPr>
      </w:pPr>
      <w:r>
        <w:rPr>
          <w:rFonts w:cs="Arial"/>
          <w:lang w:val="en-US"/>
        </w:rPr>
        <w:t>The following certificates SHALL be checked by the eUICC:</w:t>
      </w:r>
    </w:p>
    <w:p w14:paraId="3F406F5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SM-SR Certificate</w:t>
      </w:r>
    </w:p>
    <w:p w14:paraId="25FBF3C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SM-DP Certificate</w:t>
      </w:r>
    </w:p>
    <w:p w14:paraId="4DC3382F" w14:textId="77777777" w:rsidR="00B97365" w:rsidRDefault="00B97365">
      <w:pPr>
        <w:tabs>
          <w:tab w:val="left" w:pos="680"/>
        </w:tabs>
        <w:spacing w:before="0" w:after="200" w:line="276" w:lineRule="auto"/>
        <w:contextualSpacing/>
        <w:jc w:val="left"/>
        <w:rPr>
          <w:rFonts w:cs="Arial"/>
          <w:szCs w:val="22"/>
          <w:lang w:eastAsia="en-GB" w:bidi="ar-SA"/>
        </w:rPr>
      </w:pPr>
    </w:p>
    <w:p w14:paraId="554F53B1" w14:textId="77777777" w:rsidR="00B97365" w:rsidRDefault="00000000">
      <w:pPr>
        <w:spacing w:after="200"/>
        <w:rPr>
          <w:rFonts w:cs="Arial"/>
          <w:lang w:val="en-US"/>
        </w:rPr>
      </w:pPr>
      <w:r>
        <w:rPr>
          <w:rFonts w:cs="Arial"/>
          <w:lang w:val="en-US"/>
        </w:rPr>
        <w:t>The following certificate and key SHALL be stored in the eUICC:</w:t>
      </w:r>
    </w:p>
    <w:p w14:paraId="5F4A875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eUICC Certificate</w:t>
      </w:r>
    </w:p>
    <w:p w14:paraId="4937E15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public key allowing to verify SM-SR and SM-DP certificates</w:t>
      </w:r>
    </w:p>
    <w:p w14:paraId="7FCD79CF" w14:textId="77777777" w:rsidR="00B97365" w:rsidRDefault="00B97365">
      <w:pPr>
        <w:tabs>
          <w:tab w:val="left" w:pos="680"/>
        </w:tabs>
        <w:spacing w:before="0" w:after="200" w:line="276" w:lineRule="auto"/>
        <w:contextualSpacing/>
        <w:jc w:val="left"/>
        <w:rPr>
          <w:rFonts w:cs="Arial"/>
          <w:szCs w:val="22"/>
          <w:lang w:eastAsia="en-GB" w:bidi="ar-SA"/>
        </w:rPr>
      </w:pPr>
    </w:p>
    <w:p w14:paraId="08C6EFEA" w14:textId="77777777" w:rsidR="00B97365" w:rsidRDefault="00000000">
      <w:pPr>
        <w:spacing w:after="200"/>
        <w:rPr>
          <w:rFonts w:cs="Arial"/>
        </w:rPr>
      </w:pPr>
      <w:r>
        <w:rPr>
          <w:rFonts w:cs="Arial"/>
        </w:rPr>
        <w:t>The eUICC Certificate is part of the EIS (eUICC Information Set) which is stored in the SM-SR and/or at EUM level. This certificate contains:</w:t>
      </w:r>
    </w:p>
    <w:p w14:paraId="52EEA545" w14:textId="50C61FF3"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PK.ECASD.ECKA used for ElGamal Elliptic Curves key agreement as defined in GlobalPlatform Card Specification Amendment E </w:t>
      </w:r>
      <w:r>
        <w:rPr>
          <w:szCs w:val="22"/>
          <w:lang w:eastAsia="en-GB" w:bidi="ar-SA"/>
        </w:rPr>
        <w:fldChar w:fldCharType="begin"/>
      </w:r>
      <w:r>
        <w:rPr>
          <w:szCs w:val="22"/>
          <w:lang w:eastAsia="en-GB" w:bidi="ar-SA"/>
        </w:rPr>
        <w:instrText xml:space="preserve"> REF _Ref421632038 \r \h </w:instrText>
      </w:r>
      <w:r>
        <w:rPr>
          <w:szCs w:val="22"/>
          <w:lang w:eastAsia="en-GB" w:bidi="ar-SA"/>
        </w:rPr>
      </w:r>
      <w:r>
        <w:rPr>
          <w:szCs w:val="22"/>
          <w:lang w:eastAsia="en-GB" w:bidi="ar-SA"/>
        </w:rPr>
        <w:fldChar w:fldCharType="separate"/>
      </w:r>
      <w:r w:rsidR="001D5AD9">
        <w:rPr>
          <w:szCs w:val="22"/>
          <w:lang w:eastAsia="en-GB" w:bidi="ar-SA"/>
        </w:rPr>
        <w:t>[11]</w:t>
      </w:r>
      <w:r>
        <w:rPr>
          <w:szCs w:val="22"/>
          <w:lang w:eastAsia="en-GB" w:bidi="ar-SA"/>
        </w:rPr>
        <w:fldChar w:fldCharType="end"/>
      </w:r>
    </w:p>
    <w:p w14:paraId="284729E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EID</w:t>
      </w:r>
    </w:p>
    <w:p w14:paraId="4D20251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technical reference of the product, which allows the Common Criteria (CC) certification report to be identified by Common Criteria certification body (for example BSI, ANSSI).</w:t>
      </w:r>
    </w:p>
    <w:p w14:paraId="653CB654" w14:textId="77777777" w:rsidR="00B97365" w:rsidRDefault="00000000">
      <w:pPr>
        <w:keepNext/>
        <w:keepLines/>
        <w:numPr>
          <w:ilvl w:val="3"/>
          <w:numId w:val="49"/>
        </w:numPr>
        <w:spacing w:before="240" w:after="60" w:line="276" w:lineRule="auto"/>
        <w:jc w:val="left"/>
        <w:outlineLvl w:val="3"/>
        <w:rPr>
          <w:rFonts w:ascii="Arial Bold" w:eastAsia="Times New Roman" w:hAnsi="Arial Bold" w:cs="Arial"/>
          <w:b/>
          <w:iCs/>
          <w:szCs w:val="28"/>
          <w:lang w:eastAsia="en-US" w:bidi="ar-SA"/>
        </w:rPr>
      </w:pPr>
      <w:bookmarkStart w:id="831" w:name="_Toc1977227"/>
      <w:bookmarkStart w:id="832" w:name="_Toc37062383"/>
      <w:r>
        <w:rPr>
          <w:rFonts w:ascii="Arial Bold" w:eastAsia="Times New Roman" w:hAnsi="Arial Bold" w:cs="Arial"/>
          <w:b/>
          <w:iCs/>
          <w:szCs w:val="28"/>
          <w:lang w:eastAsia="en-US" w:bidi="ar-SA"/>
        </w:rPr>
        <w:t>Identification of parent certificates</w:t>
      </w:r>
      <w:bookmarkEnd w:id="831"/>
      <w:bookmarkEnd w:id="832"/>
    </w:p>
    <w:p w14:paraId="652BAAD3" w14:textId="77777777" w:rsidR="00B97365" w:rsidRDefault="00000000">
      <w:pPr>
        <w:spacing w:before="0" w:after="200" w:line="276" w:lineRule="auto"/>
        <w:jc w:val="left"/>
        <w:rPr>
          <w:szCs w:val="22"/>
          <w:lang w:eastAsia="en-GB" w:bidi="ar-SA"/>
        </w:rPr>
      </w:pPr>
      <w:r>
        <w:rPr>
          <w:szCs w:val="22"/>
          <w:lang w:eastAsia="en-GB" w:bidi="ar-SA"/>
        </w:rPr>
        <w:t xml:space="preserve">It is recognized that the CA-ID field (tag 42) in a GlobalPlatform certificate is usually filled with the identifier of the organization that issues the certificate. In case this organization has </w:t>
      </w:r>
      <w:r>
        <w:rPr>
          <w:szCs w:val="22"/>
          <w:lang w:eastAsia="en-GB" w:bidi="ar-SA"/>
        </w:rPr>
        <w:lastRenderedPageBreak/>
        <w:t>more than one key pair that can be used to sign issued certificates, this tag alone is not sufficient to distinguish which parent key pair was used.</w:t>
      </w:r>
    </w:p>
    <w:p w14:paraId="57455996" w14:textId="77777777" w:rsidR="00B97365" w:rsidRDefault="00000000">
      <w:pPr>
        <w:spacing w:before="0" w:after="200" w:line="276" w:lineRule="auto"/>
        <w:jc w:val="left"/>
        <w:rPr>
          <w:szCs w:val="22"/>
          <w:lang w:eastAsia="en-GB" w:bidi="ar-SA"/>
        </w:rPr>
      </w:pPr>
      <w:r>
        <w:rPr>
          <w:szCs w:val="22"/>
          <w:lang w:eastAsia="en-GB" w:bidi="ar-SA"/>
        </w:rPr>
        <w:t>In the context of this specification, an additional identifier of the parent key pair SHALL therefore be provided in the parent certificate as an extension SubjectKeyIdentifier, (as described in RFC 5280 [57]).</w:t>
      </w:r>
    </w:p>
    <w:p w14:paraId="1A8AAFC7" w14:textId="77777777" w:rsidR="00B97365" w:rsidRDefault="00000000">
      <w:pPr>
        <w:spacing w:before="0" w:after="200" w:line="276" w:lineRule="auto"/>
        <w:jc w:val="left"/>
        <w:rPr>
          <w:szCs w:val="22"/>
          <w:lang w:eastAsia="en-GB" w:bidi="ar-SA"/>
        </w:rPr>
      </w:pPr>
      <w:r>
        <w:rPr>
          <w:szCs w:val="22"/>
          <w:lang w:eastAsia="en-GB" w:bidi="ar-SA"/>
        </w:rPr>
        <w:t>This identifier SHALL be referenced in the child certificates as an extension Authority Key Identifier (as described in RFC 5280 [57]) in the EUM certificate, or as a tag C9 Authority Key Identifier within the discretionary data field (tag 73) for eUICC, SM-SR, and SM-DP  certificates.</w:t>
      </w:r>
    </w:p>
    <w:p w14:paraId="5586286D" w14:textId="77777777" w:rsidR="00B97365" w:rsidRDefault="00000000">
      <w:pPr>
        <w:spacing w:before="0" w:after="200" w:line="276" w:lineRule="auto"/>
        <w:jc w:val="left"/>
        <w:rPr>
          <w:szCs w:val="22"/>
          <w:lang w:eastAsia="en-GB" w:bidi="ar-SA"/>
        </w:rPr>
      </w:pPr>
      <w:r>
        <w:rPr>
          <w:szCs w:val="22"/>
          <w:lang w:eastAsia="en-GB" w:bidi="ar-SA"/>
        </w:rPr>
        <w:t>When the Authority Key Identifier extension or tag is present, its value SHALL match the value of the Subject Key Identifier extension of the parent certificate.</w:t>
      </w:r>
    </w:p>
    <w:p w14:paraId="16C9D436" w14:textId="77777777" w:rsidR="00B97365" w:rsidRDefault="00000000">
      <w:pPr>
        <w:keepNext/>
        <w:keepLines/>
        <w:numPr>
          <w:ilvl w:val="3"/>
          <w:numId w:val="49"/>
        </w:numPr>
        <w:spacing w:before="240" w:after="60" w:line="276" w:lineRule="auto"/>
        <w:jc w:val="left"/>
        <w:outlineLvl w:val="3"/>
        <w:rPr>
          <w:rFonts w:ascii="Arial Bold" w:eastAsia="Times New Roman" w:hAnsi="Arial Bold" w:cs="Arial"/>
          <w:b/>
          <w:iCs/>
          <w:szCs w:val="28"/>
          <w:lang w:eastAsia="en-US" w:bidi="ar-SA"/>
        </w:rPr>
      </w:pPr>
      <w:bookmarkStart w:id="833" w:name="_Toc1977228"/>
      <w:bookmarkStart w:id="834" w:name="_Toc37062384"/>
      <w:r>
        <w:rPr>
          <w:rFonts w:ascii="Arial Bold" w:eastAsia="Times New Roman" w:hAnsi="Arial Bold" w:cs="Arial"/>
          <w:b/>
          <w:iCs/>
          <w:szCs w:val="28"/>
          <w:lang w:eastAsia="en-US" w:bidi="ar-SA"/>
        </w:rPr>
        <w:t>Certificate revocation management</w:t>
      </w:r>
      <w:bookmarkEnd w:id="833"/>
      <w:bookmarkEnd w:id="834"/>
    </w:p>
    <w:p w14:paraId="57DEE3B2" w14:textId="77777777" w:rsidR="00B97365" w:rsidRDefault="00000000">
      <w:r>
        <w:t>The EUM Certificate, SM-DP Certificate, and SM-SR Certificate, can be revoked by the CI for a number of reasons, described in SGP.14 [56], and following procedures described in the same document for the triggering and evaluation of the revocation request, and for the information of relying parties after revocation.</w:t>
      </w:r>
    </w:p>
    <w:p w14:paraId="1CD219D4" w14:textId="77777777" w:rsidR="00B97365" w:rsidRDefault="00000000">
      <w:r>
        <w:t>The Operator SHOULD consider the revocation status of the EUM Certificate before downloading their Profile on an eUICC whose EIS and ECASD Certificate was signed by the EUM private key.</w:t>
      </w:r>
    </w:p>
    <w:p w14:paraId="43359EA6" w14:textId="77777777" w:rsidR="00B97365" w:rsidRDefault="00000000">
      <w:r>
        <w:t>The Operator SHOULD consider the revocation status of the Certificate of the SM-DP and SM-SR which manage the Operator’s Profiles.</w:t>
      </w:r>
    </w:p>
    <w:p w14:paraId="7B142ED4"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This can be achieved by retrieving regularly the most up-to-date CRL issued by the CI, and check if any Certificate of their EUM, SM-DP SM-SR supplier is listed. From this point the Operator can inspect the reason for revocation.</w:t>
      </w:r>
    </w:p>
    <w:p w14:paraId="505563C4" w14:textId="77777777" w:rsidR="00B97365" w:rsidRDefault="00000000">
      <w:r>
        <w:t>As a general recommendation, the Operator SHOULD NOT download a Profile on an eUICC whose EUM Certificate was revoked. And the Operator SHOULD avoid to manage its Profiles via an SM-DP or an SM-SR whose certificate has been revoked.</w:t>
      </w:r>
    </w:p>
    <w:p w14:paraId="76E12DA4" w14:textId="77777777" w:rsidR="00B97365" w:rsidRDefault="00000000">
      <w:r>
        <w:t>However, based on the revocation information, the Operator can make an informed decision as to whether it can continue to rely on the eUICC, SM-SR, SM-DP, at the Operator’s own risk, as stipulated in SGP.14 [56]. The SM-DP and SM-SR SHALL obey the Operator’s informed decision:</w:t>
      </w:r>
    </w:p>
    <w:p w14:paraId="37A0EBCF" w14:textId="77777777" w:rsidR="00B97365" w:rsidRDefault="00000000">
      <w:pPr>
        <w:numPr>
          <w:ilvl w:val="0"/>
          <w:numId w:val="62"/>
        </w:numPr>
        <w:spacing w:before="0" w:after="200" w:line="276" w:lineRule="auto"/>
        <w:contextualSpacing/>
      </w:pPr>
      <w:r>
        <w:t>When an Operator requests the SM-DP to download a Profile on an eUICC, the SM-DP SHALL NOT refuse to download the Profile for the sole reason that the EUM certificate has been revoked.</w:t>
      </w:r>
    </w:p>
    <w:p w14:paraId="33832829" w14:textId="77777777" w:rsidR="00B97365" w:rsidRDefault="00000000">
      <w:pPr>
        <w:numPr>
          <w:ilvl w:val="0"/>
          <w:numId w:val="62"/>
        </w:numPr>
        <w:spacing w:before="0" w:after="200" w:line="276" w:lineRule="auto"/>
        <w:contextualSpacing/>
      </w:pPr>
      <w:r>
        <w:t>When an Operator requests a Profile Management or Platform Management operation, the SM-DP SHALL NOT refuse to perform the operation for the sole reason that the SM-SR Certificate has been revoked.</w:t>
      </w:r>
    </w:p>
    <w:p w14:paraId="49A87D11" w14:textId="77777777" w:rsidR="00B97365" w:rsidRDefault="00000000">
      <w:pPr>
        <w:numPr>
          <w:ilvl w:val="0"/>
          <w:numId w:val="62"/>
        </w:numPr>
        <w:spacing w:before="0" w:after="200" w:line="276" w:lineRule="auto"/>
        <w:contextualSpacing/>
      </w:pPr>
      <w:r>
        <w:t>When receiving an EIS via ES1 or ES7, the SM-SR SHALL NOT refuse to register the eUICC for the sole reason that the EUM Certificate has been revoked.</w:t>
      </w:r>
    </w:p>
    <w:p w14:paraId="5FD2DCA6" w14:textId="77777777" w:rsidR="00B97365" w:rsidRDefault="00000000">
      <w:pPr>
        <w:numPr>
          <w:ilvl w:val="0"/>
          <w:numId w:val="62"/>
        </w:numPr>
        <w:spacing w:before="0" w:after="200" w:line="276" w:lineRule="auto"/>
        <w:contextualSpacing/>
      </w:pPr>
      <w:r>
        <w:t>When an Operator requests a Profile Management or Platform Management operation, the SM-SR SHALL NOT refuse to perform the operation for the sole reason that the EUM Certificate has been revoked.</w:t>
      </w:r>
    </w:p>
    <w:p w14:paraId="3767C697" w14:textId="77777777" w:rsidR="00B97365" w:rsidRDefault="00000000">
      <w:pPr>
        <w:numPr>
          <w:ilvl w:val="0"/>
          <w:numId w:val="62"/>
        </w:numPr>
        <w:spacing w:before="0" w:after="200" w:line="276" w:lineRule="auto"/>
        <w:contextualSpacing/>
      </w:pPr>
      <w:r>
        <w:lastRenderedPageBreak/>
        <w:t>When an M2M SP requests a Profile Lifecycle Management operation, the SM-SR SHALL NOT refuse to perform the operation for the sole reason that the EUM Certificate has been revoked.</w:t>
      </w:r>
    </w:p>
    <w:p w14:paraId="233A531E" w14:textId="77777777" w:rsidR="00B97365" w:rsidRDefault="00000000">
      <w:pPr>
        <w:numPr>
          <w:ilvl w:val="0"/>
          <w:numId w:val="62"/>
        </w:numPr>
        <w:spacing w:before="0" w:after="200" w:line="276" w:lineRule="auto"/>
        <w:contextualSpacing/>
      </w:pPr>
      <w:r>
        <w:t>When an Operator requests a Profile Management or Platform Management operation via the SM-DP, the SM-SR SHALL NOT refuse to perform the operation for the sole reason that the EUM Certificate has been revoked.</w:t>
      </w:r>
    </w:p>
    <w:p w14:paraId="0F936B96" w14:textId="77777777" w:rsidR="00B97365" w:rsidRDefault="00000000">
      <w:pPr>
        <w:numPr>
          <w:ilvl w:val="0"/>
          <w:numId w:val="62"/>
        </w:numPr>
        <w:spacing w:before="0" w:after="200" w:line="276" w:lineRule="auto"/>
        <w:contextualSpacing/>
      </w:pPr>
      <w:r>
        <w:t>When transferring an eUICC to another SM-SR2 via SM-SR Change, the SM-SR1 SHALL NOT refuse to perform the operation for the sole reason that the SM-SR2 Certificate has been revoked.</w:t>
      </w:r>
    </w:p>
    <w:p w14:paraId="25930A1F"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The above ensures that the eUICC doesn’t need to manage the revocation status of the SM-DP certificate or the SM-SR certificate that it receives.</w:t>
      </w:r>
    </w:p>
    <w:p w14:paraId="14F81CAF" w14:textId="77777777" w:rsidR="00B97365" w:rsidRDefault="00000000">
      <w:pPr>
        <w:keepNext/>
        <w:keepLines/>
        <w:numPr>
          <w:ilvl w:val="3"/>
          <w:numId w:val="49"/>
        </w:numPr>
        <w:spacing w:before="240" w:after="60" w:line="276" w:lineRule="auto"/>
        <w:jc w:val="left"/>
        <w:outlineLvl w:val="3"/>
        <w:rPr>
          <w:rFonts w:ascii="Arial Bold" w:eastAsia="Times New Roman" w:hAnsi="Arial Bold" w:cs="Arial"/>
          <w:b/>
          <w:iCs/>
          <w:szCs w:val="28"/>
          <w:lang w:eastAsia="en-US" w:bidi="ar-SA"/>
        </w:rPr>
      </w:pPr>
      <w:r>
        <w:rPr>
          <w:rFonts w:ascii="Arial Bold" w:eastAsia="Times New Roman" w:hAnsi="Arial Bold" w:cs="Arial"/>
          <w:b/>
          <w:iCs/>
          <w:szCs w:val="28"/>
          <w:lang w:eastAsia="en-US" w:bidi="ar-SA"/>
        </w:rPr>
        <w:t>EID impact on certificate verification</w:t>
      </w:r>
    </w:p>
    <w:p w14:paraId="0D711BC0" w14:textId="77777777" w:rsidR="00B97365" w:rsidRDefault="00000000">
      <w:pPr>
        <w:spacing w:before="0" w:after="200" w:line="276" w:lineRule="auto"/>
        <w:jc w:val="left"/>
        <w:rPr>
          <w:rFonts w:cs="Arial"/>
          <w:szCs w:val="22"/>
          <w:lang w:eastAsia="en-GB" w:bidi="ar-SA"/>
        </w:rPr>
      </w:pPr>
      <w:r>
        <w:rPr>
          <w:rFonts w:cs="Arial"/>
          <w:szCs w:val="22"/>
          <w:lang w:eastAsia="en-GB" w:bidi="ar-SA"/>
        </w:rPr>
        <w:t>Due to the introduction of a second EID format (see section 2.2.2), special care is required when verifying certificates which make use of this format.</w:t>
      </w:r>
    </w:p>
    <w:p w14:paraId="474254BD" w14:textId="1C32EA93" w:rsidR="00B97365" w:rsidRDefault="00000000">
      <w:pPr>
        <w:spacing w:before="0" w:after="200" w:line="276" w:lineRule="auto"/>
        <w:jc w:val="left"/>
        <w:rPr>
          <w:rFonts w:cs="Arial"/>
          <w:szCs w:val="22"/>
          <w:lang w:eastAsia="en-GB" w:bidi="ar-SA"/>
        </w:rPr>
      </w:pPr>
      <w:r>
        <w:rPr>
          <w:rFonts w:cs="Arial"/>
          <w:szCs w:val="22"/>
          <w:lang w:eastAsia="en-GB" w:bidi="ar-SA"/>
        </w:rPr>
        <w:t xml:space="preserve">The SM-DP and SM-SR SHALL accept all EID formats defined in SGP.29 </w:t>
      </w:r>
      <w:r>
        <w:rPr>
          <w:rFonts w:cs="Arial"/>
        </w:rPr>
        <w:fldChar w:fldCharType="begin"/>
      </w:r>
      <w:r>
        <w:rPr>
          <w:rFonts w:cs="Arial"/>
        </w:rPr>
        <w:instrText xml:space="preserve"> REF _Ref84530031 \r \h </w:instrText>
      </w:r>
      <w:r>
        <w:rPr>
          <w:rFonts w:cs="Arial"/>
        </w:rPr>
      </w:r>
      <w:r>
        <w:rPr>
          <w:rFonts w:cs="Arial"/>
        </w:rPr>
        <w:fldChar w:fldCharType="separate"/>
      </w:r>
      <w:r w:rsidR="001D5AD9">
        <w:rPr>
          <w:rFonts w:cs="Arial"/>
        </w:rPr>
        <w:t>[73]</w:t>
      </w:r>
      <w:r>
        <w:rPr>
          <w:rFonts w:cs="Arial"/>
        </w:rPr>
        <w:fldChar w:fldCharType="end"/>
      </w:r>
      <w:r>
        <w:rPr>
          <w:rFonts w:cs="Arial"/>
          <w:szCs w:val="22"/>
          <w:lang w:eastAsia="en-GB" w:bidi="ar-SA"/>
        </w:rPr>
        <w:t>.</w:t>
      </w:r>
    </w:p>
    <w:p w14:paraId="56B9B525" w14:textId="71B8F7AA" w:rsidR="00B97365" w:rsidRDefault="00000000">
      <w:pPr>
        <w:spacing w:before="0" w:after="200" w:line="276" w:lineRule="auto"/>
        <w:jc w:val="left"/>
        <w:rPr>
          <w:rFonts w:cs="Arial"/>
          <w:szCs w:val="22"/>
          <w:lang w:eastAsia="en-GB" w:bidi="ar-SA"/>
        </w:rPr>
      </w:pPr>
      <w:r>
        <w:rPr>
          <w:rFonts w:cs="Arial"/>
          <w:szCs w:val="22"/>
          <w:lang w:eastAsia="en-GB" w:bidi="ar-SA"/>
        </w:rPr>
        <w:t xml:space="preserve">The SM-DP and SM-SR SHOULD verify the consistency of the IINs/EINs and EID as restricted in the EUM and eUICC Certificates, with the following considerations on SGP.29 </w:t>
      </w:r>
      <w:r>
        <w:rPr>
          <w:rFonts w:cs="Arial"/>
        </w:rPr>
        <w:fldChar w:fldCharType="begin"/>
      </w:r>
      <w:r>
        <w:rPr>
          <w:rFonts w:cs="Arial"/>
        </w:rPr>
        <w:instrText xml:space="preserve"> REF _Ref84530031 \r \h </w:instrText>
      </w:r>
      <w:r>
        <w:rPr>
          <w:rFonts w:cs="Arial"/>
        </w:rPr>
      </w:r>
      <w:r>
        <w:rPr>
          <w:rFonts w:cs="Arial"/>
        </w:rPr>
        <w:fldChar w:fldCharType="separate"/>
      </w:r>
      <w:r w:rsidR="001D5AD9">
        <w:rPr>
          <w:rFonts w:cs="Arial"/>
        </w:rPr>
        <w:t>[73]</w:t>
      </w:r>
      <w:r>
        <w:rPr>
          <w:rFonts w:cs="Arial"/>
        </w:rPr>
        <w:fldChar w:fldCharType="end"/>
      </w:r>
      <w:r>
        <w:rPr>
          <w:rFonts w:cs="Arial"/>
          <w:szCs w:val="22"/>
          <w:lang w:eastAsia="en-GB" w:bidi="ar-SA"/>
        </w:rPr>
        <w:t>.</w:t>
      </w:r>
    </w:p>
    <w:p w14:paraId="2D672828" w14:textId="77777777" w:rsidR="00B97365" w:rsidRDefault="00000000">
      <w:pPr>
        <w:pStyle w:val="ListBullet1"/>
        <w:numPr>
          <w:ilvl w:val="0"/>
          <w:numId w:val="11"/>
        </w:numPr>
      </w:pPr>
      <w:r>
        <w:t>EIDs issued according to the EIN-based format do not have an 8-digit IIN. Instead, they have a variable-length EIN. Therefore:</w:t>
      </w:r>
    </w:p>
    <w:p w14:paraId="697C4698" w14:textId="77777777" w:rsidR="00B97365" w:rsidRDefault="00000000">
      <w:pPr>
        <w:pStyle w:val="ListBullet2"/>
        <w:numPr>
          <w:ilvl w:val="1"/>
          <w:numId w:val="11"/>
        </w:numPr>
      </w:pPr>
      <w:r>
        <w:t>If the EIN is 8 digits long, then the Name Constraint exactly matches the EIN.</w:t>
      </w:r>
    </w:p>
    <w:p w14:paraId="5FAD1AAC" w14:textId="77777777" w:rsidR="00B97365" w:rsidRDefault="00000000">
      <w:pPr>
        <w:pStyle w:val="ListBullet2"/>
        <w:numPr>
          <w:ilvl w:val="1"/>
          <w:numId w:val="11"/>
        </w:numPr>
      </w:pPr>
      <w:r>
        <w:t>If the EIN is longer than 8 digits, then the Name Constraint does not fully specify the EIN. In this case, the SM-DP and SM-SR SHOULD consider that the Name Constraint cannot fully ensure that EUMs assign values only within their ranges.</w:t>
      </w:r>
    </w:p>
    <w:p w14:paraId="0EE51014" w14:textId="77777777" w:rsidR="00B97365" w:rsidRDefault="00000000">
      <w:pPr>
        <w:pStyle w:val="ListBullet2"/>
        <w:numPr>
          <w:ilvl w:val="1"/>
          <w:numId w:val="11"/>
        </w:numPr>
      </w:pPr>
      <w:r>
        <w:t>If the EIN is shorter than 8 digits, then the Name Constraint also includes the first few digits of the EUM Specific Identification Number (ESIN). This effectively reduces the number of digits available in the ESIN. The EUM SHOULD take care that these digits are assigned the same values in all EIDs.</w:t>
      </w:r>
    </w:p>
    <w:p w14:paraId="04A68FB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835" w:name="_Toc421885541"/>
      <w:bookmarkStart w:id="836" w:name="_Toc421885920"/>
      <w:bookmarkStart w:id="837" w:name="_Ref420594284"/>
      <w:bookmarkStart w:id="838" w:name="_Toc420594321"/>
      <w:bookmarkStart w:id="839" w:name="_Toc421874253"/>
      <w:bookmarkStart w:id="840" w:name="_Toc422150673"/>
      <w:bookmarkStart w:id="841" w:name="_Toc448998204"/>
      <w:bookmarkStart w:id="842" w:name="_Toc486332820"/>
      <w:bookmarkStart w:id="843" w:name="_Toc1977229"/>
      <w:bookmarkStart w:id="844" w:name="_Toc37062385"/>
      <w:bookmarkStart w:id="845" w:name="_Toc88839501"/>
      <w:bookmarkStart w:id="846" w:name="_Toc121503909"/>
      <w:bookmarkEnd w:id="835"/>
      <w:bookmarkEnd w:id="836"/>
      <w:r>
        <w:rPr>
          <w:rFonts w:eastAsia="Times New Roman" w:cs="Arial"/>
          <w:b/>
          <w:bCs/>
          <w:iCs/>
          <w:sz w:val="24"/>
          <w:szCs w:val="26"/>
          <w:lang w:eastAsia="en-US"/>
        </w:rPr>
        <w:t xml:space="preserve">General </w:t>
      </w:r>
      <w:r>
        <w:rPr>
          <w:rFonts w:eastAsia="Times New Roman" w:cs="Arial"/>
          <w:b/>
          <w:sz w:val="24"/>
          <w:szCs w:val="26"/>
          <w:lang w:eastAsia="en-US"/>
        </w:rPr>
        <w:t>Consideration on Algorithm and Key Length</w:t>
      </w:r>
      <w:bookmarkEnd w:id="837"/>
      <w:bookmarkEnd w:id="838"/>
      <w:bookmarkEnd w:id="839"/>
      <w:bookmarkEnd w:id="840"/>
      <w:bookmarkEnd w:id="841"/>
      <w:bookmarkEnd w:id="842"/>
      <w:bookmarkEnd w:id="843"/>
      <w:bookmarkEnd w:id="844"/>
      <w:bookmarkEnd w:id="845"/>
      <w:bookmarkEnd w:id="846"/>
    </w:p>
    <w:p w14:paraId="04E3CE53" w14:textId="4EED93AD" w:rsidR="00B97365" w:rsidRDefault="00000000">
      <w:pPr>
        <w:spacing w:before="0" w:after="200" w:line="276" w:lineRule="auto"/>
        <w:jc w:val="left"/>
        <w:rPr>
          <w:szCs w:val="22"/>
          <w:lang w:eastAsia="en-GB" w:bidi="ar-SA"/>
        </w:rPr>
      </w:pPr>
      <w:r>
        <w:rPr>
          <w:rFonts w:cs="Arial"/>
          <w:szCs w:val="22"/>
          <w:lang w:eastAsia="en-GB" w:bidi="ar-SA"/>
        </w:rPr>
        <w:t xml:space="preserve">Following the recommendations of several security agencies (for example NIST: SP 800-57 Part 1: Recommendation for Key Management </w:t>
      </w:r>
      <w:r>
        <w:rPr>
          <w:szCs w:val="22"/>
          <w:lang w:eastAsia="en-GB" w:bidi="ar-SA"/>
        </w:rPr>
        <w:fldChar w:fldCharType="begin"/>
      </w:r>
      <w:r>
        <w:rPr>
          <w:szCs w:val="22"/>
          <w:lang w:eastAsia="en-GB" w:bidi="ar-SA"/>
        </w:rPr>
        <w:instrText xml:space="preserve"> REF _Ref421632198 \r \h </w:instrText>
      </w:r>
      <w:r>
        <w:rPr>
          <w:szCs w:val="22"/>
          <w:lang w:eastAsia="en-GB" w:bidi="ar-SA"/>
        </w:rPr>
      </w:r>
      <w:r>
        <w:rPr>
          <w:szCs w:val="22"/>
          <w:lang w:eastAsia="en-GB" w:bidi="ar-SA"/>
        </w:rPr>
        <w:fldChar w:fldCharType="separate"/>
      </w:r>
      <w:r w:rsidR="001D5AD9">
        <w:rPr>
          <w:szCs w:val="22"/>
          <w:lang w:eastAsia="en-GB" w:bidi="ar-SA"/>
        </w:rPr>
        <w:t>[36]</w:t>
      </w:r>
      <w:r>
        <w:rPr>
          <w:szCs w:val="22"/>
          <w:lang w:eastAsia="en-GB" w:bidi="ar-SA"/>
        </w:rPr>
        <w:fldChar w:fldCharType="end"/>
      </w:r>
      <w:r>
        <w:rPr>
          <w:szCs w:val="22"/>
          <w:lang w:eastAsia="en-GB" w:bidi="ar-SA"/>
        </w:rPr>
        <w:t xml:space="preserve">, which was last revised in 2012; BSI: TR-02102: Kryptographische Verfahren: Empfehlungen und Schlüssellängen </w:t>
      </w:r>
      <w:r>
        <w:rPr>
          <w:szCs w:val="22"/>
          <w:lang w:eastAsia="en-GB" w:bidi="ar-SA"/>
        </w:rPr>
        <w:fldChar w:fldCharType="begin"/>
      </w:r>
      <w:r>
        <w:rPr>
          <w:szCs w:val="22"/>
          <w:lang w:eastAsia="en-GB" w:bidi="ar-SA"/>
        </w:rPr>
        <w:instrText xml:space="preserve"> REF _Ref421632209 \r \h </w:instrText>
      </w:r>
      <w:r>
        <w:rPr>
          <w:szCs w:val="22"/>
          <w:lang w:eastAsia="en-GB" w:bidi="ar-SA"/>
        </w:rPr>
      </w:r>
      <w:r>
        <w:rPr>
          <w:szCs w:val="22"/>
          <w:lang w:eastAsia="en-GB" w:bidi="ar-SA"/>
        </w:rPr>
        <w:fldChar w:fldCharType="separate"/>
      </w:r>
      <w:r w:rsidR="001D5AD9">
        <w:rPr>
          <w:szCs w:val="22"/>
          <w:lang w:eastAsia="en-GB" w:bidi="ar-SA"/>
        </w:rPr>
        <w:t>[37]</w:t>
      </w:r>
      <w:r>
        <w:rPr>
          <w:szCs w:val="22"/>
          <w:lang w:eastAsia="en-GB" w:bidi="ar-SA"/>
        </w:rPr>
        <w:fldChar w:fldCharType="end"/>
      </w:r>
      <w:r>
        <w:rPr>
          <w:szCs w:val="22"/>
          <w:lang w:eastAsia="en-GB" w:bidi="ar-SA"/>
        </w:rPr>
        <w:t xml:space="preserve">, which was updated in 2013. For an overview see also </w:t>
      </w:r>
      <w:hyperlink r:id="rId40" w:history="1">
        <w:r>
          <w:rPr>
            <w:color w:val="0000FF"/>
            <w:szCs w:val="22"/>
            <w:u w:val="single"/>
            <w:lang w:eastAsia="en-GB" w:bidi="ar-SA"/>
          </w:rPr>
          <w:t>http://www.keylength.com/en/2/</w:t>
        </w:r>
      </w:hyperlink>
      <w:r>
        <w:rPr>
          <w:szCs w:val="22"/>
          <w:lang w:eastAsia="en-GB" w:bidi="ar-SA"/>
        </w:rPr>
        <w:t>), the following table provides an overview of the key lengths and hashing methods that SHALL be applied in the context of this specification to ensure a good level of security up to the horizon 2030: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0" w:type="dxa"/>
          <w:right w:w="0" w:type="dxa"/>
        </w:tblCellMar>
        <w:tblLook w:val="04A0" w:firstRow="1" w:lastRow="0" w:firstColumn="1" w:lastColumn="0" w:noHBand="0" w:noVBand="1"/>
      </w:tblPr>
      <w:tblGrid>
        <w:gridCol w:w="4847"/>
        <w:gridCol w:w="3092"/>
      </w:tblGrid>
      <w:tr w:rsidR="00B97365" w14:paraId="6C5108A6" w14:textId="77777777">
        <w:trPr>
          <w:jc w:val="center"/>
        </w:trPr>
        <w:tc>
          <w:tcPr>
            <w:tcW w:w="4847"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14:paraId="326F0924"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Algorithm</w:t>
            </w:r>
          </w:p>
        </w:tc>
        <w:tc>
          <w:tcPr>
            <w:tcW w:w="3092"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14:paraId="68BE6C63"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Minimum Key Length</w:t>
            </w:r>
          </w:p>
        </w:tc>
      </w:tr>
      <w:tr w:rsidR="00B97365" w14:paraId="248C44A3" w14:textId="77777777">
        <w:trPr>
          <w:jc w:val="center"/>
        </w:trPr>
        <w:tc>
          <w:tcPr>
            <w:tcW w:w="48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C5BDB7"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Symmetric (AES)</w:t>
            </w:r>
          </w:p>
        </w:tc>
        <w:tc>
          <w:tcPr>
            <w:tcW w:w="30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0C0798"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128 bits, block size of 128 bits</w:t>
            </w:r>
          </w:p>
        </w:tc>
      </w:tr>
      <w:tr w:rsidR="00B97365" w14:paraId="3BBFFC4B" w14:textId="77777777">
        <w:trPr>
          <w:jc w:val="center"/>
        </w:trPr>
        <w:tc>
          <w:tcPr>
            <w:tcW w:w="48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31E2C7"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Asymmetric (RSA)</w:t>
            </w:r>
          </w:p>
        </w:tc>
        <w:tc>
          <w:tcPr>
            <w:tcW w:w="30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D5C3A8"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3072 bits</w:t>
            </w:r>
          </w:p>
        </w:tc>
      </w:tr>
      <w:tr w:rsidR="00B97365" w14:paraId="625D652B" w14:textId="77777777">
        <w:trPr>
          <w:jc w:val="center"/>
        </w:trPr>
        <w:tc>
          <w:tcPr>
            <w:tcW w:w="48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3E9140"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Elliptic curve</w:t>
            </w:r>
          </w:p>
        </w:tc>
        <w:tc>
          <w:tcPr>
            <w:tcW w:w="30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573372"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256 bits</w:t>
            </w:r>
          </w:p>
        </w:tc>
      </w:tr>
      <w:tr w:rsidR="00B97365" w14:paraId="59FEE4A3" w14:textId="77777777">
        <w:trPr>
          <w:jc w:val="center"/>
        </w:trPr>
        <w:tc>
          <w:tcPr>
            <w:tcW w:w="48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FF0AC6" w14:textId="77777777" w:rsidR="00B97365" w:rsidRDefault="00000000">
            <w:pPr>
              <w:spacing w:before="40" w:after="40" w:line="276" w:lineRule="auto"/>
              <w:jc w:val="left"/>
              <w:rPr>
                <w:sz w:val="20"/>
                <w:szCs w:val="25"/>
                <w:lang w:eastAsia="de-DE" w:bidi="ar-SA"/>
              </w:rPr>
            </w:pPr>
            <w:r>
              <w:rPr>
                <w:rFonts w:cs="Arial"/>
                <w:sz w:val="20"/>
                <w:szCs w:val="22"/>
                <w:lang w:eastAsia="de-DE" w:bidi="ar-SA"/>
              </w:rPr>
              <w:lastRenderedPageBreak/>
              <w:t>Hashing for Digital signatures and hash-only applications</w:t>
            </w:r>
          </w:p>
        </w:tc>
        <w:tc>
          <w:tcPr>
            <w:tcW w:w="30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4D13D6"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SHA-256</w:t>
            </w:r>
          </w:p>
        </w:tc>
      </w:tr>
      <w:tr w:rsidR="00B97365" w14:paraId="54524160" w14:textId="77777777">
        <w:trPr>
          <w:jc w:val="center"/>
        </w:trPr>
        <w:tc>
          <w:tcPr>
            <w:tcW w:w="48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9630A3"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Hashing for HMAC, Key Derivation Functions and Random Number Generation</w:t>
            </w:r>
          </w:p>
        </w:tc>
        <w:tc>
          <w:tcPr>
            <w:tcW w:w="30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D49482"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SHA-256</w:t>
            </w:r>
          </w:p>
        </w:tc>
      </w:tr>
    </w:tbl>
    <w:p w14:paraId="72A2ED58" w14:textId="77777777" w:rsidR="00B97365" w:rsidRDefault="00000000">
      <w:pPr>
        <w:numPr>
          <w:ilvl w:val="0"/>
          <w:numId w:val="14"/>
        </w:numPr>
        <w:tabs>
          <w:tab w:val="left" w:pos="1009"/>
        </w:tabs>
        <w:spacing w:after="200" w:line="276" w:lineRule="auto"/>
        <w:jc w:val="center"/>
        <w:rPr>
          <w:rFonts w:cs="Arial"/>
          <w:sz w:val="20"/>
          <w:szCs w:val="22"/>
          <w:lang w:eastAsia="de-DE" w:bidi="ar-SA"/>
        </w:rPr>
      </w:pPr>
      <w:r>
        <w:rPr>
          <w:rFonts w:cs="Arial"/>
          <w:b/>
          <w:lang w:eastAsia="de-DE" w:bidi="ar-SA"/>
        </w:rPr>
        <w:t>: Algorithm and Key Length</w:t>
      </w:r>
    </w:p>
    <w:p w14:paraId="6F783144"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val="fr-FR" w:eastAsia="en-US"/>
        </w:rPr>
      </w:pPr>
      <w:bookmarkStart w:id="847" w:name="_Toc353545708"/>
      <w:bookmarkStart w:id="848" w:name="_Toc368932177"/>
      <w:bookmarkStart w:id="849" w:name="_Ref367973015"/>
      <w:bookmarkStart w:id="850" w:name="_Ref367972971"/>
      <w:bookmarkStart w:id="851" w:name="_Ref367972809"/>
      <w:bookmarkStart w:id="852" w:name="_Ref367972382"/>
      <w:bookmarkStart w:id="853" w:name="_Ref367972211"/>
      <w:bookmarkStart w:id="854" w:name="_Ref367972133"/>
      <w:bookmarkStart w:id="855" w:name="_Ref367972055"/>
      <w:bookmarkStart w:id="856" w:name="_Ref367971833"/>
      <w:bookmarkStart w:id="857" w:name="_Ref367970988"/>
      <w:bookmarkStart w:id="858" w:name="_Ref367970159"/>
      <w:bookmarkStart w:id="859" w:name="_Ref367968855"/>
      <w:bookmarkStart w:id="860" w:name="_Ref367968063"/>
      <w:bookmarkStart w:id="861" w:name="_Toc448998205"/>
      <w:bookmarkStart w:id="862" w:name="_Toc422150674"/>
      <w:bookmarkStart w:id="863" w:name="_Toc421874254"/>
      <w:bookmarkStart w:id="864" w:name="_Toc420594322"/>
      <w:bookmarkStart w:id="865" w:name="_Toc398214795"/>
      <w:bookmarkStart w:id="866" w:name="_Toc375158211"/>
      <w:bookmarkStart w:id="867" w:name="_Toc374348476"/>
      <w:bookmarkStart w:id="868" w:name="_Ref483406214"/>
      <w:bookmarkStart w:id="869" w:name="_Toc486332821"/>
      <w:bookmarkStart w:id="870" w:name="_Toc1977230"/>
      <w:bookmarkStart w:id="871" w:name="_Toc37062386"/>
      <w:bookmarkStart w:id="872" w:name="_Toc88839502"/>
      <w:bookmarkStart w:id="873" w:name="_Toc121503910"/>
      <w:r>
        <w:rPr>
          <w:rFonts w:eastAsia="Times New Roman" w:cs="Arial"/>
          <w:b/>
          <w:bCs/>
          <w:iCs/>
          <w:sz w:val="24"/>
          <w:szCs w:val="28"/>
          <w:lang w:val="fr-FR" w:eastAsia="en-US"/>
        </w:rPr>
        <w:t>OTA Communication</w:t>
      </w:r>
      <w:bookmarkEnd w:id="847"/>
      <w:r>
        <w:rPr>
          <w:rFonts w:eastAsia="Times New Roman" w:cs="Arial"/>
          <w:b/>
          <w:bCs/>
          <w:iCs/>
          <w:sz w:val="24"/>
          <w:szCs w:val="28"/>
          <w:lang w:val="fr-FR" w:eastAsia="en-US"/>
        </w:rPr>
        <w:t xml:space="preserve"> on ES5</w:t>
      </w:r>
      <w:bookmarkEnd w:id="848"/>
      <w:bookmarkEnd w:id="849"/>
      <w:bookmarkEnd w:id="850"/>
      <w:bookmarkEnd w:id="851"/>
      <w:bookmarkEnd w:id="852"/>
      <w:bookmarkEnd w:id="853"/>
      <w:bookmarkEnd w:id="854"/>
      <w:bookmarkEnd w:id="855"/>
      <w:bookmarkEnd w:id="856"/>
      <w:bookmarkEnd w:id="857"/>
      <w:bookmarkEnd w:id="858"/>
      <w:bookmarkEnd w:id="859"/>
      <w:bookmarkEnd w:id="860"/>
      <w:r>
        <w:rPr>
          <w:rFonts w:eastAsia="Times New Roman" w:cs="Arial"/>
          <w:b/>
          <w:bCs/>
          <w:iCs/>
          <w:sz w:val="24"/>
          <w:szCs w:val="28"/>
          <w:lang w:val="fr-FR" w:eastAsia="en-US"/>
        </w:rPr>
        <w:t xml:space="preserve"> (SM-SR-eUICC)</w:t>
      </w:r>
      <w:bookmarkEnd w:id="861"/>
      <w:bookmarkEnd w:id="862"/>
      <w:bookmarkEnd w:id="863"/>
      <w:bookmarkEnd w:id="864"/>
      <w:bookmarkEnd w:id="865"/>
      <w:bookmarkEnd w:id="866"/>
      <w:bookmarkEnd w:id="867"/>
      <w:bookmarkEnd w:id="868"/>
      <w:bookmarkEnd w:id="869"/>
      <w:bookmarkEnd w:id="870"/>
      <w:bookmarkEnd w:id="871"/>
      <w:bookmarkEnd w:id="872"/>
      <w:bookmarkEnd w:id="873"/>
    </w:p>
    <w:p w14:paraId="7106F7E9"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874" w:name="_Toc448998206"/>
      <w:bookmarkStart w:id="875" w:name="_Toc422150675"/>
      <w:bookmarkStart w:id="876" w:name="_Toc421874255"/>
      <w:bookmarkStart w:id="877" w:name="_Toc420594323"/>
      <w:bookmarkStart w:id="878" w:name="_Toc398214796"/>
      <w:bookmarkStart w:id="879" w:name="_Toc375158212"/>
      <w:bookmarkStart w:id="880" w:name="_Toc368932178"/>
      <w:bookmarkStart w:id="881" w:name="_Ref367979503"/>
      <w:bookmarkStart w:id="882" w:name="_Toc486332822"/>
      <w:bookmarkStart w:id="883" w:name="_Toc1977231"/>
      <w:bookmarkStart w:id="884" w:name="_Toc37062387"/>
      <w:bookmarkStart w:id="885" w:name="_Toc88839503"/>
      <w:bookmarkStart w:id="886" w:name="_Toc121503911"/>
      <w:r>
        <w:rPr>
          <w:rFonts w:eastAsia="Times New Roman" w:cs="Arial"/>
          <w:b/>
          <w:bCs/>
          <w:iCs/>
          <w:sz w:val="24"/>
          <w:szCs w:val="26"/>
          <w:lang w:eastAsia="en-US"/>
        </w:rPr>
        <w:t>General OTA Requirements</w:t>
      </w:r>
      <w:bookmarkEnd w:id="874"/>
      <w:bookmarkEnd w:id="875"/>
      <w:bookmarkEnd w:id="876"/>
      <w:bookmarkEnd w:id="877"/>
      <w:bookmarkEnd w:id="878"/>
      <w:bookmarkEnd w:id="879"/>
      <w:bookmarkEnd w:id="880"/>
      <w:bookmarkEnd w:id="881"/>
      <w:bookmarkEnd w:id="882"/>
      <w:bookmarkEnd w:id="883"/>
      <w:bookmarkEnd w:id="884"/>
      <w:bookmarkEnd w:id="885"/>
      <w:bookmarkEnd w:id="886"/>
    </w:p>
    <w:p w14:paraId="33618960"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In the eUICC Remote Provisioning and Management system the OTA communication is exclusively handled by the SM-SR. The SM-SR can use SMS, CAT_TP and HTTPS for remote OTA communication with the eUICC. </w:t>
      </w:r>
    </w:p>
    <w:p w14:paraId="3FDFF8B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eUICC SHALL support SMS and either CAT_TP or HTTPS or both. </w:t>
      </w:r>
    </w:p>
    <w:p w14:paraId="0E55AAAD" w14:textId="47204E8C"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Device requirements are stated in </w:t>
      </w:r>
      <w:r>
        <w:rPr>
          <w:szCs w:val="22"/>
          <w:lang w:eastAsia="en-GB" w:bidi="ar-SA"/>
        </w:rPr>
        <w:fldChar w:fldCharType="begin"/>
      </w:r>
      <w:r>
        <w:rPr>
          <w:szCs w:val="22"/>
          <w:lang w:eastAsia="en-GB" w:bidi="ar-SA"/>
        </w:rPr>
        <w:instrText xml:space="preserve"> REF _Ref421660346 \r \h </w:instrText>
      </w:r>
      <w:r>
        <w:rPr>
          <w:szCs w:val="22"/>
          <w:lang w:eastAsia="en-GB" w:bidi="ar-SA"/>
        </w:rPr>
      </w:r>
      <w:r>
        <w:rPr>
          <w:szCs w:val="22"/>
          <w:lang w:eastAsia="en-GB" w:bidi="ar-SA"/>
        </w:rPr>
        <w:fldChar w:fldCharType="separate"/>
      </w:r>
      <w:r w:rsidR="001D5AD9">
        <w:rPr>
          <w:szCs w:val="22"/>
          <w:lang w:eastAsia="en-GB" w:bidi="ar-SA"/>
        </w:rPr>
        <w:t>Annex G</w:t>
      </w:r>
      <w:r>
        <w:rPr>
          <w:szCs w:val="22"/>
          <w:lang w:eastAsia="en-GB" w:bidi="ar-SA"/>
        </w:rPr>
        <w:fldChar w:fldCharType="end"/>
      </w:r>
      <w:r>
        <w:rPr>
          <w:szCs w:val="22"/>
          <w:lang w:eastAsia="en-GB" w:bidi="ar-SA"/>
        </w:rPr>
        <w:t>.</w:t>
      </w:r>
    </w:p>
    <w:p w14:paraId="07815DA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SM-SR SHALL support SMS, HTTPS and CAT_TP.</w:t>
      </w:r>
    </w:p>
    <w:p w14:paraId="08F3A3D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In HTTPS case, the SM-SR and eUICC MAY support DNS resolution to resolve the IP address of the SM-SR</w:t>
      </w:r>
    </w:p>
    <w:p w14:paraId="05E161D3" w14:textId="5E029C09"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For LTE network deployments the system SHALL support SMS as defined in GSMA PRD IR.92 </w:t>
      </w:r>
      <w:r>
        <w:rPr>
          <w:szCs w:val="22"/>
          <w:lang w:eastAsia="en-GB" w:bidi="ar-SA"/>
        </w:rPr>
        <w:fldChar w:fldCharType="begin"/>
      </w:r>
      <w:r>
        <w:rPr>
          <w:szCs w:val="22"/>
          <w:lang w:eastAsia="en-GB" w:bidi="ar-SA"/>
        </w:rPr>
        <w:instrText xml:space="preserve"> REF _Ref421632221 \r \h </w:instrText>
      </w:r>
      <w:r>
        <w:rPr>
          <w:szCs w:val="22"/>
          <w:lang w:eastAsia="en-GB" w:bidi="ar-SA"/>
        </w:rPr>
      </w:r>
      <w:r>
        <w:rPr>
          <w:szCs w:val="22"/>
          <w:lang w:eastAsia="en-GB" w:bidi="ar-SA"/>
        </w:rPr>
        <w:fldChar w:fldCharType="separate"/>
      </w:r>
      <w:r w:rsidR="001D5AD9">
        <w:rPr>
          <w:szCs w:val="22"/>
          <w:lang w:eastAsia="en-GB" w:bidi="ar-SA"/>
        </w:rPr>
        <w:t>[38]</w:t>
      </w:r>
      <w:r>
        <w:rPr>
          <w:szCs w:val="22"/>
          <w:lang w:eastAsia="en-GB" w:bidi="ar-SA"/>
        </w:rPr>
        <w:fldChar w:fldCharType="end"/>
      </w:r>
      <w:r>
        <w:rPr>
          <w:szCs w:val="22"/>
          <w:lang w:eastAsia="en-GB" w:bidi="ar-SA"/>
        </w:rPr>
        <w:t>.</w:t>
      </w:r>
    </w:p>
    <w:p w14:paraId="327292A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SM-SR is free to select the most relevant protocol according to the eUICC and Device capabilities and the platform or Profile Management operation to execute. </w:t>
      </w:r>
    </w:p>
    <w:p w14:paraId="7070D094" w14:textId="301D37A4"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eUICC SHALL support the RAM and RFM as defined in 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in particular Expanded Remote Application data format and Script Chaining.</w:t>
      </w:r>
    </w:p>
    <w:p w14:paraId="32FEBBA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887" w:name="_Toc421885545"/>
      <w:bookmarkStart w:id="888" w:name="_Toc421885924"/>
      <w:bookmarkStart w:id="889" w:name="_Toc421874256"/>
      <w:bookmarkStart w:id="890" w:name="_Toc422150676"/>
      <w:bookmarkStart w:id="891" w:name="_Toc448998207"/>
      <w:bookmarkStart w:id="892" w:name="_Toc486332823"/>
      <w:bookmarkStart w:id="893" w:name="_Toc1977232"/>
      <w:bookmarkStart w:id="894" w:name="_Toc37062388"/>
      <w:bookmarkStart w:id="895" w:name="_Toc88839504"/>
      <w:bookmarkStart w:id="896" w:name="_Toc121503912"/>
      <w:bookmarkEnd w:id="887"/>
      <w:bookmarkEnd w:id="888"/>
      <w:r>
        <w:rPr>
          <w:rFonts w:eastAsia="Times New Roman" w:cs="Arial"/>
          <w:b/>
          <w:bCs/>
          <w:iCs/>
          <w:sz w:val="24"/>
          <w:szCs w:val="26"/>
          <w:lang w:eastAsia="en-US"/>
        </w:rPr>
        <w:t>Void</w:t>
      </w:r>
      <w:bookmarkEnd w:id="889"/>
      <w:bookmarkEnd w:id="890"/>
      <w:bookmarkEnd w:id="891"/>
      <w:bookmarkEnd w:id="892"/>
      <w:bookmarkEnd w:id="893"/>
      <w:bookmarkEnd w:id="894"/>
      <w:bookmarkEnd w:id="895"/>
      <w:bookmarkEnd w:id="896"/>
    </w:p>
    <w:p w14:paraId="717188C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897" w:name="_Toc448998208"/>
      <w:bookmarkStart w:id="898" w:name="_Toc422150677"/>
      <w:bookmarkStart w:id="899" w:name="_Toc421874257"/>
      <w:bookmarkStart w:id="900" w:name="_Toc420594325"/>
      <w:bookmarkStart w:id="901" w:name="_Ref418159043"/>
      <w:bookmarkStart w:id="902" w:name="_Ref418158997"/>
      <w:bookmarkStart w:id="903" w:name="_Ref418158947"/>
      <w:bookmarkStart w:id="904" w:name="_Toc398214798"/>
      <w:bookmarkStart w:id="905" w:name="_Toc375158214"/>
      <w:bookmarkStart w:id="906" w:name="_Toc368932180"/>
      <w:bookmarkStart w:id="907" w:name="_Ref367970058"/>
      <w:bookmarkStart w:id="908" w:name="_Toc353545710"/>
      <w:bookmarkStart w:id="909" w:name="_Toc486332824"/>
      <w:bookmarkStart w:id="910" w:name="_Toc1977233"/>
      <w:bookmarkStart w:id="911" w:name="_Toc37062389"/>
      <w:bookmarkStart w:id="912" w:name="_Toc88839505"/>
      <w:bookmarkStart w:id="913" w:name="_Toc121503913"/>
      <w:r>
        <w:rPr>
          <w:rFonts w:eastAsia="Times New Roman" w:cs="Arial"/>
          <w:b/>
          <w:bCs/>
          <w:iCs/>
          <w:sz w:val="24"/>
          <w:szCs w:val="26"/>
          <w:lang w:eastAsia="en-US"/>
        </w:rPr>
        <w:t>SMS</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2B98F9FC" w14:textId="77777777" w:rsidR="00B97365" w:rsidRDefault="00000000">
      <w:pPr>
        <w:spacing w:before="0" w:after="200" w:line="276" w:lineRule="auto"/>
        <w:jc w:val="left"/>
        <w:rPr>
          <w:rFonts w:cs="Arial"/>
          <w:szCs w:val="22"/>
          <w:lang w:eastAsia="en-GB" w:bidi="ar-SA"/>
        </w:rPr>
      </w:pPr>
      <w:r>
        <w:rPr>
          <w:rFonts w:cs="Arial"/>
          <w:szCs w:val="22"/>
          <w:lang w:eastAsia="en-GB" w:bidi="ar-SA"/>
        </w:rPr>
        <w:t>The usage of the SMS protocol may be relevant in several situations:</w:t>
      </w:r>
    </w:p>
    <w:p w14:paraId="26BAFB4F" w14:textId="42E356A6" w:rsidR="00B97365" w:rsidRDefault="00000000">
      <w:pPr>
        <w:numPr>
          <w:ilvl w:val="0"/>
          <w:numId w:val="40"/>
        </w:numPr>
        <w:tabs>
          <w:tab w:val="left" w:pos="680"/>
        </w:tabs>
        <w:spacing w:before="0" w:after="200" w:line="276" w:lineRule="auto"/>
        <w:contextualSpacing/>
        <w:jc w:val="left"/>
        <w:rPr>
          <w:szCs w:val="22"/>
          <w:lang w:eastAsia="en-GB" w:bidi="ar-SA"/>
        </w:rPr>
      </w:pPr>
      <w:r>
        <w:rPr>
          <w:szCs w:val="22"/>
          <w:lang w:eastAsia="en-GB" w:bidi="ar-SA"/>
        </w:rPr>
        <w:t xml:space="preserve">SMS for HTTPS session triggering, as defined in 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xml:space="preserve">, and also in OMA-Smart Card Web Server </w:t>
      </w:r>
      <w:r>
        <w:rPr>
          <w:szCs w:val="22"/>
          <w:lang w:eastAsia="en-GB" w:bidi="ar-SA"/>
        </w:rPr>
        <w:fldChar w:fldCharType="begin"/>
      </w:r>
      <w:r>
        <w:rPr>
          <w:szCs w:val="22"/>
          <w:lang w:eastAsia="en-GB" w:bidi="ar-SA"/>
        </w:rPr>
        <w:instrText xml:space="preserve"> REF _Ref421632286 \r \h </w:instrText>
      </w:r>
      <w:r>
        <w:rPr>
          <w:szCs w:val="22"/>
          <w:lang w:eastAsia="en-GB" w:bidi="ar-SA"/>
        </w:rPr>
      </w:r>
      <w:r>
        <w:rPr>
          <w:szCs w:val="22"/>
          <w:lang w:eastAsia="en-GB" w:bidi="ar-SA"/>
        </w:rPr>
        <w:fldChar w:fldCharType="separate"/>
      </w:r>
      <w:r w:rsidR="001D5AD9">
        <w:rPr>
          <w:szCs w:val="22"/>
          <w:lang w:eastAsia="en-GB" w:bidi="ar-SA"/>
        </w:rPr>
        <w:t>[14]</w:t>
      </w:r>
      <w:r>
        <w:rPr>
          <w:szCs w:val="22"/>
          <w:lang w:eastAsia="en-GB" w:bidi="ar-SA"/>
        </w:rPr>
        <w:fldChar w:fldCharType="end"/>
      </w:r>
      <w:r>
        <w:rPr>
          <w:szCs w:val="22"/>
          <w:lang w:eastAsia="en-GB" w:bidi="ar-SA"/>
        </w:rPr>
        <w:t xml:space="preserve"> (section “Remote Administration Request sent using a MT-SMS”) </w:t>
      </w:r>
    </w:p>
    <w:p w14:paraId="6E47D977" w14:textId="15C9FBD7" w:rsidR="00B97365" w:rsidRDefault="00000000">
      <w:pPr>
        <w:numPr>
          <w:ilvl w:val="0"/>
          <w:numId w:val="40"/>
        </w:numPr>
        <w:tabs>
          <w:tab w:val="left" w:pos="680"/>
        </w:tabs>
        <w:spacing w:before="0" w:after="200" w:line="276" w:lineRule="auto"/>
        <w:contextualSpacing/>
        <w:jc w:val="left"/>
        <w:rPr>
          <w:szCs w:val="22"/>
          <w:lang w:eastAsia="en-GB" w:bidi="ar-SA"/>
        </w:rPr>
      </w:pPr>
      <w:r>
        <w:rPr>
          <w:szCs w:val="22"/>
          <w:lang w:eastAsia="en-GB" w:bidi="ar-SA"/>
        </w:rPr>
        <w:t xml:space="preserve">SMS for CAT_TP session triggering as defined in 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w:t>
      </w:r>
    </w:p>
    <w:p w14:paraId="556EAD47" w14:textId="77777777" w:rsidR="00B97365" w:rsidRDefault="00000000">
      <w:pPr>
        <w:numPr>
          <w:ilvl w:val="0"/>
          <w:numId w:val="40"/>
        </w:numPr>
        <w:tabs>
          <w:tab w:val="left" w:pos="680"/>
        </w:tabs>
        <w:spacing w:before="0" w:line="276" w:lineRule="auto"/>
        <w:contextualSpacing/>
        <w:jc w:val="left"/>
        <w:rPr>
          <w:szCs w:val="22"/>
          <w:lang w:eastAsia="en-GB" w:bidi="ar-SA"/>
        </w:rPr>
      </w:pPr>
      <w:r>
        <w:rPr>
          <w:szCs w:val="22"/>
          <w:lang w:eastAsia="en-GB" w:bidi="ar-SA"/>
        </w:rPr>
        <w:t>When a command to be sent to the eUICC can fit into a few SMS; such a solution can be more efficiently handled via SMS, as compared to HTTPS.</w:t>
      </w:r>
    </w:p>
    <w:p w14:paraId="11FA7129" w14:textId="77777777" w:rsidR="00B97365" w:rsidRDefault="00B97365">
      <w:pPr>
        <w:tabs>
          <w:tab w:val="left" w:pos="680"/>
        </w:tabs>
        <w:spacing w:before="0" w:after="200" w:line="276" w:lineRule="auto"/>
        <w:contextualSpacing/>
        <w:jc w:val="left"/>
        <w:rPr>
          <w:rFonts w:cs="Arial"/>
          <w:szCs w:val="22"/>
          <w:lang w:eastAsia="en-GB" w:bidi="ar-SA"/>
        </w:rPr>
      </w:pPr>
    </w:p>
    <w:p w14:paraId="4FD3E8BE" w14:textId="2788B1C8" w:rsidR="00B97365" w:rsidRDefault="00000000">
      <w:pPr>
        <w:spacing w:before="0" w:after="200" w:line="276" w:lineRule="auto"/>
        <w:jc w:val="left"/>
        <w:rPr>
          <w:szCs w:val="22"/>
          <w:lang w:eastAsia="en-GB" w:bidi="ar-SA"/>
        </w:rPr>
      </w:pPr>
      <w:r>
        <w:rPr>
          <w:rFonts w:cs="Arial"/>
          <w:szCs w:val="22"/>
          <w:lang w:eastAsia="en-GB" w:bidi="ar-SA"/>
        </w:rPr>
        <w:t xml:space="preserve">The eUICC SHALL support the sending of secure packet over SMS as defined in 3GPP TS 31.115 </w:t>
      </w:r>
      <w:r>
        <w:rPr>
          <w:szCs w:val="22"/>
          <w:lang w:eastAsia="en-GB" w:bidi="ar-SA"/>
        </w:rPr>
        <w:fldChar w:fldCharType="begin"/>
      </w:r>
      <w:r>
        <w:rPr>
          <w:szCs w:val="22"/>
          <w:lang w:eastAsia="en-GB" w:bidi="ar-SA"/>
        </w:rPr>
        <w:instrText xml:space="preserve"> REF _Ref421632302 \r \h </w:instrText>
      </w:r>
      <w:r>
        <w:rPr>
          <w:szCs w:val="22"/>
          <w:lang w:eastAsia="en-GB" w:bidi="ar-SA"/>
        </w:rPr>
      </w:r>
      <w:r>
        <w:rPr>
          <w:szCs w:val="22"/>
          <w:lang w:eastAsia="en-GB" w:bidi="ar-SA"/>
        </w:rPr>
        <w:fldChar w:fldCharType="separate"/>
      </w:r>
      <w:r w:rsidR="001D5AD9">
        <w:rPr>
          <w:szCs w:val="22"/>
          <w:lang w:eastAsia="en-GB" w:bidi="ar-SA"/>
        </w:rPr>
        <w:t>[13]</w:t>
      </w:r>
      <w:r>
        <w:rPr>
          <w:szCs w:val="22"/>
          <w:lang w:eastAsia="en-GB" w:bidi="ar-SA"/>
        </w:rPr>
        <w:fldChar w:fldCharType="end"/>
      </w:r>
      <w:r>
        <w:rPr>
          <w:szCs w:val="22"/>
          <w:lang w:eastAsia="en-GB" w:bidi="ar-SA"/>
        </w:rPr>
        <w:t xml:space="preserve"> </w:t>
      </w:r>
    </w:p>
    <w:p w14:paraId="0F94995E" w14:textId="55704FA0" w:rsidR="00B97365" w:rsidRDefault="00000000">
      <w:pPr>
        <w:spacing w:before="0" w:after="200" w:line="276" w:lineRule="auto"/>
        <w:jc w:val="left"/>
        <w:rPr>
          <w:szCs w:val="22"/>
          <w:lang w:eastAsia="en-GB" w:bidi="ar-SA"/>
        </w:rPr>
      </w:pPr>
      <w:r>
        <w:rPr>
          <w:rFonts w:cs="Arial"/>
          <w:szCs w:val="22"/>
          <w:lang w:eastAsia="en-GB" w:bidi="ar-SA"/>
        </w:rPr>
        <w:t xml:space="preserve">The eUICC SHALL support RAM over SMS as defined in 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xml:space="preserve">. </w:t>
      </w:r>
    </w:p>
    <w:p w14:paraId="52CC648B" w14:textId="676CE90F" w:rsidR="00B97365" w:rsidRDefault="00000000">
      <w:pPr>
        <w:spacing w:before="0" w:after="200" w:line="276" w:lineRule="auto"/>
        <w:jc w:val="left"/>
        <w:rPr>
          <w:szCs w:val="22"/>
          <w:lang w:eastAsia="en-GB" w:bidi="ar-SA"/>
        </w:rPr>
      </w:pPr>
      <w:r>
        <w:rPr>
          <w:rFonts w:cs="Arial"/>
          <w:szCs w:val="22"/>
          <w:lang w:eastAsia="en-GB" w:bidi="ar-SA"/>
        </w:rPr>
        <w:t xml:space="preserve">The eUICC SHALL comply with 3GPP TS 31.111 </w:t>
      </w:r>
      <w:r>
        <w:rPr>
          <w:szCs w:val="22"/>
          <w:lang w:eastAsia="en-GB" w:bidi="ar-SA"/>
        </w:rPr>
        <w:fldChar w:fldCharType="begin"/>
      </w:r>
      <w:r>
        <w:rPr>
          <w:szCs w:val="22"/>
          <w:lang w:eastAsia="en-GB" w:bidi="ar-SA"/>
        </w:rPr>
        <w:instrText xml:space="preserve"> REF _Ref421632318 \r \h </w:instrText>
      </w:r>
      <w:r>
        <w:rPr>
          <w:szCs w:val="22"/>
          <w:lang w:eastAsia="en-GB" w:bidi="ar-SA"/>
        </w:rPr>
      </w:r>
      <w:r>
        <w:rPr>
          <w:szCs w:val="22"/>
          <w:lang w:eastAsia="en-GB" w:bidi="ar-SA"/>
        </w:rPr>
        <w:fldChar w:fldCharType="separate"/>
      </w:r>
      <w:r w:rsidR="001D5AD9">
        <w:rPr>
          <w:szCs w:val="22"/>
          <w:lang w:eastAsia="en-GB" w:bidi="ar-SA"/>
        </w:rPr>
        <w:t>[27]</w:t>
      </w:r>
      <w:r>
        <w:rPr>
          <w:szCs w:val="22"/>
          <w:lang w:eastAsia="en-GB" w:bidi="ar-SA"/>
        </w:rPr>
        <w:fldChar w:fldCharType="end"/>
      </w:r>
      <w:r>
        <w:rPr>
          <w:szCs w:val="22"/>
          <w:lang w:eastAsia="en-GB" w:bidi="ar-SA"/>
        </w:rPr>
        <w:t xml:space="preserve"> and 3GPP TS 31.116 </w:t>
      </w:r>
      <w:r>
        <w:rPr>
          <w:szCs w:val="22"/>
          <w:lang w:eastAsia="en-GB" w:bidi="ar-SA"/>
        </w:rPr>
        <w:fldChar w:fldCharType="begin"/>
      </w:r>
      <w:r>
        <w:rPr>
          <w:szCs w:val="22"/>
          <w:lang w:eastAsia="en-GB" w:bidi="ar-SA"/>
        </w:rPr>
        <w:instrText xml:space="preserve"> REF _Ref421632330 \r \h </w:instrText>
      </w:r>
      <w:r>
        <w:rPr>
          <w:szCs w:val="22"/>
          <w:lang w:eastAsia="en-GB" w:bidi="ar-SA"/>
        </w:rPr>
      </w:r>
      <w:r>
        <w:rPr>
          <w:szCs w:val="22"/>
          <w:lang w:eastAsia="en-GB" w:bidi="ar-SA"/>
        </w:rPr>
        <w:fldChar w:fldCharType="separate"/>
      </w:r>
      <w:r w:rsidR="001D5AD9">
        <w:rPr>
          <w:szCs w:val="22"/>
          <w:lang w:eastAsia="en-GB" w:bidi="ar-SA"/>
        </w:rPr>
        <w:t>[28]</w:t>
      </w:r>
      <w:r>
        <w:rPr>
          <w:szCs w:val="22"/>
          <w:lang w:eastAsia="en-GB" w:bidi="ar-SA"/>
        </w:rPr>
        <w:fldChar w:fldCharType="end"/>
      </w:r>
      <w:r>
        <w:rPr>
          <w:szCs w:val="22"/>
          <w:lang w:eastAsia="en-GB" w:bidi="ar-SA"/>
        </w:rPr>
        <w:t>.</w:t>
      </w:r>
    </w:p>
    <w:p w14:paraId="063A0795" w14:textId="235B9154" w:rsidR="00B97365" w:rsidRDefault="00000000">
      <w:pPr>
        <w:spacing w:before="0" w:after="200" w:line="276" w:lineRule="auto"/>
        <w:jc w:val="left"/>
        <w:rPr>
          <w:szCs w:val="22"/>
          <w:lang w:eastAsia="en-GB" w:bidi="ar-SA"/>
        </w:rPr>
      </w:pPr>
      <w:r>
        <w:rPr>
          <w:rFonts w:cs="Arial"/>
          <w:szCs w:val="22"/>
          <w:lang w:eastAsia="en-GB" w:bidi="ar-SA"/>
        </w:rPr>
        <w:t xml:space="preserve">Except for the notification described in section 3.15.1, concerning the security level, the SMS (MT or MO) SHALL make use of a CC with a length of 64 bits using AES CMAC mode, ciphering using AES in CBC mode and counter value higher (SPI1=’16’). Minimum key lengths are defined in section </w:t>
      </w:r>
      <w:r>
        <w:fldChar w:fldCharType="begin"/>
      </w:r>
      <w:r>
        <w:instrText xml:space="preserve"> REF _Ref420594284 \r \h  \* MERGEFORMAT </w:instrText>
      </w:r>
      <w:r>
        <w:fldChar w:fldCharType="separate"/>
      </w:r>
      <w:r w:rsidR="001D5AD9" w:rsidRPr="001D5AD9">
        <w:rPr>
          <w:szCs w:val="22"/>
          <w:lang w:eastAsia="en-GB" w:bidi="ar-SA"/>
        </w:rPr>
        <w:t>2.3.3</w:t>
      </w:r>
      <w:r>
        <w:fldChar w:fldCharType="end"/>
      </w:r>
      <w:r>
        <w:rPr>
          <w:szCs w:val="22"/>
          <w:lang w:eastAsia="en-GB" w:bidi="ar-SA"/>
        </w:rPr>
        <w:t xml:space="preserve">.  </w:t>
      </w:r>
    </w:p>
    <w:p w14:paraId="7B41A5DC" w14:textId="096E885F" w:rsidR="00B97365" w:rsidRDefault="00000000">
      <w:pPr>
        <w:numPr>
          <w:ilvl w:val="0"/>
          <w:numId w:val="31"/>
        </w:numPr>
        <w:tabs>
          <w:tab w:val="left" w:pos="720"/>
        </w:tabs>
        <w:spacing w:before="0" w:after="200" w:line="276" w:lineRule="auto"/>
        <w:contextualSpacing/>
        <w:jc w:val="left"/>
        <w:rPr>
          <w:szCs w:val="22"/>
          <w:lang w:eastAsia="en-GB" w:bidi="ar-SA"/>
        </w:rPr>
      </w:pPr>
      <w:r>
        <w:rPr>
          <w:rFonts w:cs="Arial"/>
          <w:szCs w:val="22"/>
          <w:lang w:eastAsia="en-GB" w:bidi="ar-SA"/>
        </w:rPr>
        <w:lastRenderedPageBreak/>
        <w:t xml:space="preserve">Procedures for the PoR SHALL follow ETSI TS 102 225 </w:t>
      </w:r>
      <w:r>
        <w:rPr>
          <w:rFonts w:cs="Arial"/>
          <w:szCs w:val="22"/>
          <w:lang w:eastAsia="en-GB" w:bidi="ar-SA"/>
        </w:rPr>
        <w:fldChar w:fldCharType="begin"/>
      </w:r>
      <w:r>
        <w:rPr>
          <w:rFonts w:cs="Arial"/>
          <w:szCs w:val="22"/>
          <w:lang w:eastAsia="en-GB" w:bidi="ar-SA"/>
        </w:rPr>
        <w:instrText xml:space="preserve"> REF _Ref421631435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[4]</w:t>
      </w:r>
      <w:r>
        <w:rPr>
          <w:rFonts w:cs="Arial"/>
          <w:szCs w:val="22"/>
          <w:lang w:eastAsia="en-GB" w:bidi="ar-SA"/>
        </w:rPr>
        <w:fldChar w:fldCharType="end"/>
      </w:r>
      <w:r>
        <w:rPr>
          <w:rFonts w:cs="Arial"/>
          <w:szCs w:val="22"/>
          <w:lang w:eastAsia="en-GB" w:bidi="ar-SA"/>
        </w:rPr>
        <w:t xml:space="preserve"> and 3GPP TS 31.115 </w:t>
      </w:r>
      <w:r>
        <w:rPr>
          <w:rFonts w:cs="Arial"/>
          <w:szCs w:val="22"/>
          <w:lang w:eastAsia="en-GB" w:bidi="ar-SA"/>
        </w:rPr>
        <w:fldChar w:fldCharType="begin"/>
      </w:r>
      <w:r>
        <w:rPr>
          <w:rFonts w:cs="Arial"/>
          <w:szCs w:val="22"/>
          <w:lang w:eastAsia="en-GB" w:bidi="ar-SA"/>
        </w:rPr>
        <w:instrText xml:space="preserve"> REF _Ref421632302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[13]</w:t>
      </w:r>
      <w:r>
        <w:rPr>
          <w:rFonts w:cs="Arial"/>
          <w:szCs w:val="22"/>
          <w:lang w:eastAsia="en-GB" w:bidi="ar-SA"/>
        </w:rPr>
        <w:fldChar w:fldCharType="end"/>
      </w:r>
      <w:r>
        <w:rPr>
          <w:rFonts w:cs="Arial"/>
          <w:szCs w:val="22"/>
          <w:lang w:eastAsia="en-GB" w:bidi="ar-SA"/>
        </w:rPr>
        <w:t xml:space="preserve"> with the following precisions:</w:t>
      </w:r>
      <w:r>
        <w:rPr>
          <w:szCs w:val="22"/>
          <w:lang w:eastAsia="en-GB" w:bidi="ar-SA"/>
        </w:rPr>
        <w:t xml:space="preserve"> in the case that an incoming SMS for the ISD-R does not meet this security level, it must be rejected by the eUICC </w:t>
      </w:r>
      <w:r>
        <w:rPr>
          <w:szCs w:val="22"/>
          <w:lang w:val="en-US" w:eastAsia="en-GB" w:bidi="ar-SA"/>
        </w:rPr>
        <w:t>and no PoR SHALL be sent back</w:t>
      </w:r>
    </w:p>
    <w:p w14:paraId="2084D4BF" w14:textId="77777777" w:rsidR="00B97365" w:rsidRDefault="00000000">
      <w:pPr>
        <w:numPr>
          <w:ilvl w:val="0"/>
          <w:numId w:val="31"/>
        </w:numPr>
        <w:tabs>
          <w:tab w:val="left" w:pos="720"/>
        </w:tabs>
        <w:spacing w:before="0" w:after="200" w:line="276" w:lineRule="auto"/>
        <w:contextualSpacing/>
        <w:jc w:val="left"/>
        <w:rPr>
          <w:szCs w:val="22"/>
          <w:lang w:eastAsia="en-GB" w:bidi="ar-SA"/>
        </w:rPr>
      </w:pPr>
      <w:r>
        <w:rPr>
          <w:szCs w:val="22"/>
          <w:lang w:eastAsia="en-GB" w:bidi="ar-SA"/>
        </w:rPr>
        <w:t>When the eUICC cannot authenticate the SM-SR, it SHALL NOT send any PoR and discard the command packet with no further action being taken.</w:t>
      </w:r>
    </w:p>
    <w:p w14:paraId="22E2658D" w14:textId="77777777" w:rsidR="00B97365" w:rsidRDefault="00000000">
      <w:pPr>
        <w:spacing w:before="0" w:after="200" w:line="276" w:lineRule="auto"/>
        <w:jc w:val="left"/>
        <w:rPr>
          <w:rFonts w:cs="Arial"/>
          <w:szCs w:val="22"/>
          <w:lang w:eastAsia="en-GB" w:bidi="ar-SA"/>
        </w:rPr>
      </w:pPr>
      <w:r>
        <w:rPr>
          <w:rFonts w:cs="Arial"/>
          <w:szCs w:val="22"/>
          <w:lang w:eastAsia="en-GB" w:bidi="ar-SA"/>
        </w:rPr>
        <w:t>SPI2 SHALL be set to:</w:t>
      </w:r>
    </w:p>
    <w:p w14:paraId="625E949B" w14:textId="6EE84818" w:rsidR="00B97365" w:rsidRDefault="00000000">
      <w:pPr>
        <w:numPr>
          <w:ilvl w:val="0"/>
          <w:numId w:val="31"/>
        </w:numPr>
        <w:tabs>
          <w:tab w:val="left" w:pos="720"/>
        </w:tabs>
        <w:spacing w:before="0" w:after="200" w:line="276" w:lineRule="auto"/>
        <w:contextualSpacing/>
        <w:jc w:val="left"/>
        <w:rPr>
          <w:szCs w:val="22"/>
          <w:lang w:eastAsia="en-GB" w:bidi="ar-SA"/>
        </w:rPr>
      </w:pPr>
      <w:r>
        <w:rPr>
          <w:szCs w:val="22"/>
          <w:lang w:eastAsia="en-GB" w:bidi="ar-SA"/>
        </w:rPr>
        <w:t xml:space="preserve">‘00’: no PoR (this value SHALL only be used for the notification described in section 3.15.1 and optionally for the SMS for HTTPS session triggering described in section </w:t>
      </w:r>
      <w:r>
        <w:rPr>
          <w:szCs w:val="22"/>
          <w:lang w:eastAsia="en-GB" w:bidi="ar-SA"/>
        </w:rPr>
        <w:fldChar w:fldCharType="begin"/>
      </w:r>
      <w:r>
        <w:rPr>
          <w:szCs w:val="22"/>
          <w:lang w:eastAsia="en-GB" w:bidi="ar-SA"/>
        </w:rPr>
        <w:instrText xml:space="preserve"> REF _Ref418160179 \r \h </w:instrText>
      </w:r>
      <w:r>
        <w:rPr>
          <w:szCs w:val="22"/>
          <w:lang w:eastAsia="en-GB" w:bidi="ar-SA"/>
        </w:rPr>
      </w:r>
      <w:r>
        <w:rPr>
          <w:szCs w:val="22"/>
          <w:lang w:eastAsia="en-GB" w:bidi="ar-SA"/>
        </w:rPr>
        <w:fldChar w:fldCharType="separate"/>
      </w:r>
      <w:r w:rsidR="001D5AD9">
        <w:rPr>
          <w:szCs w:val="22"/>
          <w:lang w:eastAsia="en-GB" w:bidi="ar-SA"/>
        </w:rPr>
        <w:t>2.4.3.1</w:t>
      </w:r>
      <w:r>
        <w:rPr>
          <w:szCs w:val="22"/>
          <w:lang w:eastAsia="en-GB" w:bidi="ar-SA"/>
        </w:rPr>
        <w:fldChar w:fldCharType="end"/>
      </w:r>
      <w:r>
        <w:rPr>
          <w:szCs w:val="22"/>
          <w:lang w:eastAsia="en-GB" w:bidi="ar-SA"/>
        </w:rPr>
        <w:t>),</w:t>
      </w:r>
    </w:p>
    <w:p w14:paraId="6177FBF6" w14:textId="77777777" w:rsidR="00B97365" w:rsidRDefault="00000000">
      <w:pPr>
        <w:numPr>
          <w:ilvl w:val="0"/>
          <w:numId w:val="31"/>
        </w:numPr>
        <w:tabs>
          <w:tab w:val="left" w:pos="720"/>
        </w:tabs>
        <w:spacing w:before="0" w:after="200" w:line="276" w:lineRule="auto"/>
        <w:contextualSpacing/>
        <w:jc w:val="left"/>
        <w:rPr>
          <w:rFonts w:cs="Arial"/>
          <w:color w:val="1F497D" w:themeColor="dark2"/>
        </w:rPr>
      </w:pPr>
      <w:r>
        <w:rPr>
          <w:szCs w:val="22"/>
          <w:lang w:eastAsia="en-GB" w:bidi="ar-SA"/>
        </w:rPr>
        <w:t>or to ‘39’:</w:t>
      </w:r>
      <w:r>
        <w:rPr>
          <w:rFonts w:cs="Arial"/>
          <w:color w:val="1F497D" w:themeColor="dark2"/>
        </w:rPr>
        <w:t xml:space="preserve"> </w:t>
      </w:r>
      <w:r>
        <w:rPr>
          <w:szCs w:val="22"/>
          <w:lang w:eastAsia="en-GB" w:bidi="ar-SA"/>
        </w:rPr>
        <w:t>PoR with CC and encryption.</w:t>
      </w:r>
    </w:p>
    <w:p w14:paraId="5309FDA8" w14:textId="30167212" w:rsidR="00B97365" w:rsidRDefault="00000000">
      <w:pPr>
        <w:spacing w:before="0" w:after="200" w:line="276" w:lineRule="auto"/>
        <w:jc w:val="left"/>
        <w:rPr>
          <w:szCs w:val="22"/>
          <w:lang w:eastAsia="en-GB" w:bidi="ar-SA"/>
        </w:rPr>
      </w:pPr>
      <w:r>
        <w:rPr>
          <w:rFonts w:cs="Arial"/>
          <w:szCs w:val="22"/>
          <w:lang w:eastAsia="en-GB" w:bidi="ar-SA"/>
        </w:rPr>
        <w:t xml:space="preserve">When a PoR is returned, the SMS SHALL make use of a CC with a length of 64 bits using AES CMAC mode , ciphering using AES in CBC mode and SHALL be sent using SMS-SUBMIT mode. Minimum key lengths are defined in section </w:t>
      </w:r>
      <w:r>
        <w:fldChar w:fldCharType="begin"/>
      </w:r>
      <w:r>
        <w:instrText xml:space="preserve"> REF _Ref420594284 \r \h  \* MERGEFORMAT </w:instrText>
      </w:r>
      <w:r>
        <w:fldChar w:fldCharType="separate"/>
      </w:r>
      <w:r w:rsidR="001D5AD9" w:rsidRPr="001D5AD9">
        <w:rPr>
          <w:szCs w:val="22"/>
          <w:lang w:eastAsia="en-GB" w:bidi="ar-SA"/>
        </w:rPr>
        <w:t>2.3.3</w:t>
      </w:r>
      <w:r>
        <w:fldChar w:fldCharType="end"/>
      </w:r>
      <w:r>
        <w:rPr>
          <w:szCs w:val="22"/>
          <w:lang w:eastAsia="en-GB" w:bidi="ar-SA"/>
        </w:rPr>
        <w:t>.</w:t>
      </w:r>
    </w:p>
    <w:p w14:paraId="41550872" w14:textId="77777777" w:rsidR="00B97365" w:rsidRDefault="00000000">
      <w:pPr>
        <w:spacing w:before="0" w:after="200" w:line="276" w:lineRule="auto"/>
        <w:jc w:val="left"/>
        <w:rPr>
          <w:rFonts w:cs="Arial"/>
          <w:szCs w:val="22"/>
          <w:lang w:eastAsia="en-GB" w:bidi="ar-SA"/>
        </w:rPr>
      </w:pPr>
      <w:r>
        <w:rPr>
          <w:rFonts w:cs="Arial"/>
          <w:szCs w:val="22"/>
          <w:lang w:eastAsia="en-GB" w:bidi="ar-SA"/>
        </w:rPr>
        <w:t>The SM-SR SHALL verify that the counter value of the PoR is the same as the counter value sent in the command packet.</w:t>
      </w:r>
    </w:p>
    <w:p w14:paraId="7631E543" w14:textId="77777777" w:rsidR="00B97365" w:rsidRDefault="00000000">
      <w:pPr>
        <w:spacing w:before="0" w:after="200" w:line="276" w:lineRule="auto"/>
        <w:jc w:val="left"/>
        <w:rPr>
          <w:rFonts w:cs="Arial"/>
          <w:szCs w:val="22"/>
          <w:lang w:eastAsia="en-GB" w:bidi="ar-SA"/>
        </w:rPr>
      </w:pPr>
      <w:r>
        <w:rPr>
          <w:rFonts w:cs="Arial"/>
          <w:szCs w:val="22"/>
          <w:lang w:eastAsia="en-GB" w:bidi="ar-SA"/>
        </w:rPr>
        <w:t>All these security requirements SHALL apply also for the SCP80 secured packets exchanged during a CAT_TP session.</w:t>
      </w:r>
    </w:p>
    <w:p w14:paraId="73353219"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914" w:name="_Toc374345669"/>
      <w:bookmarkStart w:id="915" w:name="_Toc374346015"/>
      <w:bookmarkStart w:id="916" w:name="_Toc374346360"/>
      <w:bookmarkStart w:id="917" w:name="_Toc374346706"/>
      <w:bookmarkStart w:id="918" w:name="_Toc374347274"/>
      <w:bookmarkStart w:id="919" w:name="_Toc374347504"/>
      <w:bookmarkStart w:id="920" w:name="_Toc374347733"/>
      <w:bookmarkStart w:id="921" w:name="_Toc374348477"/>
      <w:bookmarkStart w:id="922" w:name="_Toc375054790"/>
      <w:bookmarkStart w:id="923" w:name="_Toc375157873"/>
      <w:bookmarkStart w:id="924" w:name="_Toc375158215"/>
      <w:bookmarkStart w:id="925" w:name="_Toc378865371"/>
      <w:bookmarkStart w:id="926" w:name="_Toc396149101"/>
      <w:bookmarkStart w:id="927" w:name="_Toc396149669"/>
      <w:bookmarkStart w:id="928" w:name="_Toc396150110"/>
      <w:bookmarkStart w:id="929" w:name="_Toc398214799"/>
      <w:bookmarkStart w:id="930" w:name="_Toc398291489"/>
      <w:bookmarkStart w:id="931" w:name="_Toc398291832"/>
      <w:bookmarkStart w:id="932" w:name="_Toc398292941"/>
      <w:bookmarkStart w:id="933" w:name="_Toc400964071"/>
      <w:bookmarkStart w:id="934" w:name="_Toc420594326"/>
      <w:bookmarkStart w:id="935" w:name="_Toc420928346"/>
      <w:bookmarkStart w:id="936" w:name="_Toc421106667"/>
      <w:bookmarkStart w:id="937" w:name="_Toc421172951"/>
      <w:bookmarkStart w:id="938" w:name="_Toc421874258"/>
      <w:bookmarkStart w:id="939" w:name="_Toc422028799"/>
      <w:bookmarkStart w:id="940" w:name="_Toc422029711"/>
      <w:bookmarkStart w:id="941" w:name="_Toc422150678"/>
      <w:bookmarkStart w:id="942" w:name="_Toc374345670"/>
      <w:bookmarkStart w:id="943" w:name="_Toc374346016"/>
      <w:bookmarkStart w:id="944" w:name="_Toc374346361"/>
      <w:bookmarkStart w:id="945" w:name="_Toc374346707"/>
      <w:bookmarkStart w:id="946" w:name="_Toc374347275"/>
      <w:bookmarkStart w:id="947" w:name="_Toc374347505"/>
      <w:bookmarkStart w:id="948" w:name="_Toc374347734"/>
      <w:bookmarkStart w:id="949" w:name="_Toc374348478"/>
      <w:bookmarkStart w:id="950" w:name="_Toc375054791"/>
      <w:bookmarkStart w:id="951" w:name="_Toc375157874"/>
      <w:bookmarkStart w:id="952" w:name="_Toc375158216"/>
      <w:bookmarkStart w:id="953" w:name="_Toc378865372"/>
      <w:bookmarkStart w:id="954" w:name="_Toc396149102"/>
      <w:bookmarkStart w:id="955" w:name="_Toc396149670"/>
      <w:bookmarkStart w:id="956" w:name="_Toc396150111"/>
      <w:bookmarkStart w:id="957" w:name="_Toc398214800"/>
      <w:bookmarkStart w:id="958" w:name="_Toc398291490"/>
      <w:bookmarkStart w:id="959" w:name="_Toc398291833"/>
      <w:bookmarkStart w:id="960" w:name="_Toc398292942"/>
      <w:bookmarkStart w:id="961" w:name="_Toc400964072"/>
      <w:bookmarkStart w:id="962" w:name="_Toc420594327"/>
      <w:bookmarkStart w:id="963" w:name="_Toc420928347"/>
      <w:bookmarkStart w:id="964" w:name="_Toc421106668"/>
      <w:bookmarkStart w:id="965" w:name="_Toc421172952"/>
      <w:bookmarkStart w:id="966" w:name="_Toc421874259"/>
      <w:bookmarkStart w:id="967" w:name="_Toc422028800"/>
      <w:bookmarkStart w:id="968" w:name="_Toc422029712"/>
      <w:bookmarkStart w:id="969" w:name="_Toc422150679"/>
      <w:bookmarkStart w:id="970" w:name="_Toc375054792"/>
      <w:bookmarkStart w:id="971" w:name="_Toc375157875"/>
      <w:bookmarkStart w:id="972" w:name="_Toc375158217"/>
      <w:bookmarkStart w:id="973" w:name="_Toc378865373"/>
      <w:bookmarkStart w:id="974" w:name="_Toc396149103"/>
      <w:bookmarkStart w:id="975" w:name="_Toc396149671"/>
      <w:bookmarkStart w:id="976" w:name="_Toc396150112"/>
      <w:bookmarkStart w:id="977" w:name="_Toc398214801"/>
      <w:bookmarkStart w:id="978" w:name="_Toc398291491"/>
      <w:bookmarkStart w:id="979" w:name="_Toc398291834"/>
      <w:bookmarkStart w:id="980" w:name="_Toc398292943"/>
      <w:bookmarkStart w:id="981" w:name="_Toc400964073"/>
      <w:bookmarkStart w:id="982" w:name="_Toc420594328"/>
      <w:bookmarkStart w:id="983" w:name="_Toc420928348"/>
      <w:bookmarkStart w:id="984" w:name="_Toc421106669"/>
      <w:bookmarkStart w:id="985" w:name="_Toc421172953"/>
      <w:bookmarkStart w:id="986" w:name="_Toc421874260"/>
      <w:bookmarkStart w:id="987" w:name="_Toc422028801"/>
      <w:bookmarkStart w:id="988" w:name="_Toc422029713"/>
      <w:bookmarkStart w:id="989" w:name="_Toc422150680"/>
      <w:bookmarkStart w:id="990" w:name="_Toc375054793"/>
      <w:bookmarkStart w:id="991" w:name="_Toc375157876"/>
      <w:bookmarkStart w:id="992" w:name="_Toc375158218"/>
      <w:bookmarkStart w:id="993" w:name="_Toc378865374"/>
      <w:bookmarkStart w:id="994" w:name="_Toc396149104"/>
      <w:bookmarkStart w:id="995" w:name="_Toc396149672"/>
      <w:bookmarkStart w:id="996" w:name="_Toc396150113"/>
      <w:bookmarkStart w:id="997" w:name="_Toc398214802"/>
      <w:bookmarkStart w:id="998" w:name="_Toc398291492"/>
      <w:bookmarkStart w:id="999" w:name="_Toc398291835"/>
      <w:bookmarkStart w:id="1000" w:name="_Toc398292944"/>
      <w:bookmarkStart w:id="1001" w:name="_Toc400964074"/>
      <w:bookmarkStart w:id="1002" w:name="_Toc420594329"/>
      <w:bookmarkStart w:id="1003" w:name="_Toc420928349"/>
      <w:bookmarkStart w:id="1004" w:name="_Toc421106670"/>
      <w:bookmarkStart w:id="1005" w:name="_Toc421172954"/>
      <w:bookmarkStart w:id="1006" w:name="_Toc421874261"/>
      <w:bookmarkStart w:id="1007" w:name="_Toc422028802"/>
      <w:bookmarkStart w:id="1008" w:name="_Toc422029714"/>
      <w:bookmarkStart w:id="1009" w:name="_Toc422150681"/>
      <w:bookmarkStart w:id="1010" w:name="_Toc375054794"/>
      <w:bookmarkStart w:id="1011" w:name="_Toc375157877"/>
      <w:bookmarkStart w:id="1012" w:name="_Toc375158219"/>
      <w:bookmarkStart w:id="1013" w:name="_Toc378865375"/>
      <w:bookmarkStart w:id="1014" w:name="_Toc396149105"/>
      <w:bookmarkStart w:id="1015" w:name="_Toc396149673"/>
      <w:bookmarkStart w:id="1016" w:name="_Toc396150114"/>
      <w:bookmarkStart w:id="1017" w:name="_Toc398214803"/>
      <w:bookmarkStart w:id="1018" w:name="_Toc398291493"/>
      <w:bookmarkStart w:id="1019" w:name="_Toc398291836"/>
      <w:bookmarkStart w:id="1020" w:name="_Toc398292945"/>
      <w:bookmarkStart w:id="1021" w:name="_Toc400964075"/>
      <w:bookmarkStart w:id="1022" w:name="_Toc420594330"/>
      <w:bookmarkStart w:id="1023" w:name="_Toc420928350"/>
      <w:bookmarkStart w:id="1024" w:name="_Toc421106671"/>
      <w:bookmarkStart w:id="1025" w:name="_Toc421172955"/>
      <w:bookmarkStart w:id="1026" w:name="_Toc421874262"/>
      <w:bookmarkStart w:id="1027" w:name="_Toc422028803"/>
      <w:bookmarkStart w:id="1028" w:name="_Toc422029715"/>
      <w:bookmarkStart w:id="1029" w:name="_Toc422150682"/>
      <w:bookmarkStart w:id="1030" w:name="_Ref418160179"/>
      <w:bookmarkStart w:id="1031" w:name="_Toc1977234"/>
      <w:bookmarkStart w:id="1032" w:name="_Toc37062390"/>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Pr>
          <w:rFonts w:ascii="Arial Bold" w:eastAsia="Times New Roman" w:hAnsi="Arial Bold" w:cs="Arial"/>
          <w:b/>
          <w:iCs/>
          <w:szCs w:val="28"/>
          <w:lang w:eastAsia="en-US"/>
        </w:rPr>
        <w:t xml:space="preserve">SMS for HTTPS </w:t>
      </w:r>
      <w:r>
        <w:rPr>
          <w:rFonts w:ascii="Arial Bold" w:eastAsia="Times New Roman" w:hAnsi="Arial Bold" w:cs="Arial"/>
          <w:szCs w:val="28"/>
          <w:lang w:eastAsia="en-US"/>
        </w:rPr>
        <w:t>Session Triggering</w:t>
      </w:r>
      <w:bookmarkEnd w:id="1030"/>
      <w:bookmarkEnd w:id="1031"/>
      <w:bookmarkEnd w:id="1032"/>
    </w:p>
    <w:p w14:paraId="5ACFE589" w14:textId="77777777" w:rsidR="00B97365" w:rsidRDefault="00000000">
      <w:pPr>
        <w:spacing w:before="0" w:after="200" w:line="276" w:lineRule="auto"/>
        <w:jc w:val="left"/>
        <w:rPr>
          <w:rFonts w:cs="Arial"/>
          <w:szCs w:val="22"/>
          <w:lang w:eastAsia="en-GB" w:bidi="ar-SA"/>
        </w:rPr>
      </w:pPr>
      <w:r>
        <w:rPr>
          <w:rFonts w:cs="Arial"/>
          <w:szCs w:val="22"/>
          <w:lang w:eastAsia="en-GB" w:bidi="ar-SA"/>
        </w:rPr>
        <w:t>The SM-SR SHALL make use of a special SMS for triggering the opening of an HTTPS session to the eUICC.</w:t>
      </w:r>
    </w:p>
    <w:p w14:paraId="74A5ADBB" w14:textId="77777777" w:rsidR="00B97365" w:rsidRDefault="00000000">
      <w:pPr>
        <w:spacing w:before="0" w:after="200" w:line="276" w:lineRule="auto"/>
        <w:jc w:val="left"/>
        <w:rPr>
          <w:rFonts w:cs="Arial"/>
          <w:szCs w:val="22"/>
          <w:lang w:eastAsia="en-GB" w:bidi="ar-SA"/>
        </w:rPr>
      </w:pPr>
      <w:r>
        <w:rPr>
          <w:rFonts w:cs="Arial"/>
          <w:szCs w:val="22"/>
          <w:lang w:eastAsia="en-GB" w:bidi="ar-SA"/>
        </w:rPr>
        <w:t>This SMS SHALL be addressed to the ISD-R. The necessary TAR information SHALL be included in the EIS. The SMS SHALL comply with the format described in GlobalPlatform Card Specification Amendment B [8], section “Administration session triggering parameters”.</w:t>
      </w:r>
    </w:p>
    <w:p w14:paraId="1306CD88" w14:textId="77777777" w:rsidR="00B97365" w:rsidRDefault="00B97365">
      <w:pPr>
        <w:tabs>
          <w:tab w:val="left" w:pos="680"/>
        </w:tabs>
        <w:ind w:left="680"/>
        <w:jc w:val="left"/>
        <w:rPr>
          <w:rFonts w:cs="Arial"/>
          <w:szCs w:val="22"/>
          <w:lang w:eastAsia="en-GB" w:bidi="ar-SA"/>
        </w:rPr>
      </w:pPr>
    </w:p>
    <w:p w14:paraId="070791C8" w14:textId="77777777" w:rsidR="00B97365" w:rsidRDefault="00000000">
      <w:pPr>
        <w:spacing w:before="0" w:after="200" w:line="276" w:lineRule="auto"/>
        <w:jc w:val="left"/>
        <w:rPr>
          <w:szCs w:val="22"/>
          <w:lang w:eastAsia="en-GB" w:bidi="ar-SA"/>
        </w:rPr>
      </w:pPr>
      <w:r>
        <w:rPr>
          <w:szCs w:val="22"/>
          <w:lang w:eastAsia="en-GB" w:bidi="ar-SA"/>
        </w:rPr>
        <w:t>The SM-SR MAY choose to request a PoR or not for this special SMS, and set the SPI2 byte of the SMS accordingly.</w:t>
      </w:r>
    </w:p>
    <w:p w14:paraId="4870620C"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 xml:space="preserve">Normally the SM-SR will close the session. However, if needed, the eUICC MAY close the session.  </w:t>
      </w:r>
    </w:p>
    <w:p w14:paraId="1A6E4FA3"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1033" w:name="_Toc1977235"/>
      <w:bookmarkStart w:id="1034" w:name="_Toc37062391"/>
      <w:r>
        <w:rPr>
          <w:rFonts w:ascii="Arial Bold" w:eastAsia="Times New Roman" w:hAnsi="Arial Bold" w:cs="Arial"/>
          <w:b/>
          <w:iCs/>
          <w:szCs w:val="28"/>
          <w:lang w:eastAsia="en-US"/>
        </w:rPr>
        <w:t xml:space="preserve">SMS for CAT_TP </w:t>
      </w:r>
      <w:r>
        <w:rPr>
          <w:rFonts w:ascii="Arial Bold" w:eastAsia="Times New Roman" w:hAnsi="Arial Bold" w:cs="Arial"/>
          <w:szCs w:val="28"/>
          <w:lang w:eastAsia="en-US"/>
        </w:rPr>
        <w:t>Session Triggering</w:t>
      </w:r>
      <w:bookmarkEnd w:id="1033"/>
      <w:bookmarkEnd w:id="1034"/>
    </w:p>
    <w:p w14:paraId="14F1DB90" w14:textId="77777777" w:rsidR="00B97365" w:rsidRDefault="00000000">
      <w:pPr>
        <w:spacing w:before="0" w:after="200" w:line="276" w:lineRule="auto"/>
        <w:jc w:val="left"/>
        <w:rPr>
          <w:rFonts w:cs="Arial"/>
          <w:szCs w:val="22"/>
          <w:lang w:eastAsia="en-GB" w:bidi="ar-SA"/>
        </w:rPr>
      </w:pPr>
      <w:r>
        <w:rPr>
          <w:rFonts w:cs="Arial"/>
          <w:szCs w:val="22"/>
          <w:lang w:eastAsia="en-GB" w:bidi="ar-SA"/>
        </w:rPr>
        <w:t>The SM-SR SHALL make use of a special SMS for triggering the opening of a CAT_TP session to the eUICC.</w:t>
      </w:r>
    </w:p>
    <w:p w14:paraId="1D80D165" w14:textId="77777777" w:rsidR="00B97365" w:rsidRDefault="00000000">
      <w:pPr>
        <w:spacing w:before="0" w:after="200" w:line="276" w:lineRule="auto"/>
        <w:jc w:val="left"/>
        <w:rPr>
          <w:rFonts w:cs="Arial"/>
          <w:szCs w:val="22"/>
          <w:lang w:eastAsia="en-GB" w:bidi="ar-SA"/>
        </w:rPr>
      </w:pPr>
      <w:r>
        <w:rPr>
          <w:rFonts w:cs="Arial"/>
          <w:szCs w:val="22"/>
          <w:lang w:eastAsia="en-GB" w:bidi="ar-SA"/>
        </w:rPr>
        <w:t>This SMS SHALL be addressed to the ISD-R. The necessary TAR information SHALL be included in the EIS. The SMS SHALL comply with the format described in:</w:t>
      </w:r>
    </w:p>
    <w:p w14:paraId="71EDDE5D" w14:textId="1C67860C" w:rsidR="00B97365" w:rsidRDefault="00000000">
      <w:pPr>
        <w:numPr>
          <w:ilvl w:val="0"/>
          <w:numId w:val="38"/>
        </w:numPr>
        <w:tabs>
          <w:tab w:val="left" w:pos="680"/>
        </w:tabs>
        <w:spacing w:before="0" w:after="200" w:line="276" w:lineRule="auto"/>
        <w:contextualSpacing/>
        <w:jc w:val="left"/>
        <w:rPr>
          <w:lang w:eastAsia="en-GB"/>
        </w:rPr>
      </w:pPr>
      <w:r>
        <w:rPr>
          <w:szCs w:val="22"/>
          <w:lang w:eastAsia="en-GB" w:bidi="ar-SA"/>
        </w:rPr>
        <w:t xml:space="preserve">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using the parameter “Request for BIP channel opening” and “Request for CAT_TP link establish”.</w:t>
      </w:r>
      <w:r>
        <w:rPr>
          <w:lang w:eastAsia="en-GB"/>
        </w:rPr>
        <w:t xml:space="preserve"> These parameters and the corresponding “Data for BIP channel opening” and “Data for CAT_TP link establishment” are separated in two different commands sent in the same push SMS.</w:t>
      </w:r>
    </w:p>
    <w:p w14:paraId="4D788B59" w14:textId="77777777" w:rsidR="00B97365" w:rsidRDefault="00B97365">
      <w:pPr>
        <w:tabs>
          <w:tab w:val="left" w:pos="0"/>
        </w:tabs>
        <w:jc w:val="left"/>
        <w:rPr>
          <w:rFonts w:cs="Arial"/>
          <w:szCs w:val="22"/>
          <w:lang w:eastAsia="en-GB" w:bidi="ar-SA"/>
        </w:rPr>
      </w:pPr>
    </w:p>
    <w:p w14:paraId="2486AF06" w14:textId="77777777" w:rsidR="00B97365" w:rsidRDefault="00000000">
      <w:pPr>
        <w:tabs>
          <w:tab w:val="left" w:pos="1560"/>
        </w:tabs>
        <w:spacing w:before="0"/>
        <w:ind w:left="1560" w:hanging="1276"/>
        <w:jc w:val="left"/>
        <w:rPr>
          <w:rFonts w:cs="Arial"/>
          <w:szCs w:val="22"/>
          <w:lang w:eastAsia="en-GB" w:bidi="ar-SA"/>
        </w:rPr>
      </w:pPr>
      <w:r>
        <w:rPr>
          <w:rFonts w:cs="Arial"/>
          <w:szCs w:val="22"/>
          <w:lang w:eastAsia="en-GB" w:bidi="ar-SA"/>
        </w:rPr>
        <w:lastRenderedPageBreak/>
        <w:t xml:space="preserve">NOTE: </w:t>
      </w:r>
      <w:r>
        <w:rPr>
          <w:rFonts w:cs="Arial"/>
          <w:szCs w:val="22"/>
          <w:lang w:eastAsia="en-GB" w:bidi="ar-SA"/>
        </w:rPr>
        <w:tab/>
        <w:t xml:space="preserve">Normally the SM-SR will close the session. However, if needed, the eUICC MAY close the session.  </w:t>
      </w:r>
    </w:p>
    <w:p w14:paraId="5DF53CEA" w14:textId="77777777" w:rsidR="00B97365" w:rsidRDefault="00B97365">
      <w:pPr>
        <w:tabs>
          <w:tab w:val="left" w:pos="680"/>
        </w:tabs>
        <w:spacing w:before="0" w:after="200" w:line="276" w:lineRule="auto"/>
        <w:contextualSpacing/>
        <w:jc w:val="left"/>
        <w:rPr>
          <w:rFonts w:cs="Arial"/>
          <w:szCs w:val="22"/>
          <w:lang w:eastAsia="en-GB" w:bidi="ar-SA"/>
        </w:rPr>
      </w:pPr>
    </w:p>
    <w:p w14:paraId="242EBEA4"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1035" w:name="_Ref448995277"/>
      <w:bookmarkStart w:id="1036" w:name="_Toc1977236"/>
      <w:bookmarkStart w:id="1037" w:name="_Toc37062392"/>
      <w:r>
        <w:rPr>
          <w:rFonts w:ascii="Arial Bold" w:eastAsia="Times New Roman" w:hAnsi="Arial Bold" w:cs="Arial"/>
          <w:b/>
          <w:iCs/>
          <w:szCs w:val="28"/>
          <w:lang w:eastAsia="en-US"/>
        </w:rPr>
        <w:t xml:space="preserve">Command </w:t>
      </w:r>
      <w:r>
        <w:rPr>
          <w:rFonts w:ascii="Arial Bold" w:eastAsia="Times New Roman" w:hAnsi="Arial Bold" w:cs="Arial"/>
          <w:szCs w:val="28"/>
          <w:lang w:eastAsia="en-US"/>
        </w:rPr>
        <w:t>Format in SMS</w:t>
      </w:r>
      <w:bookmarkEnd w:id="1035"/>
      <w:bookmarkEnd w:id="1036"/>
      <w:bookmarkEnd w:id="1037"/>
    </w:p>
    <w:p w14:paraId="3054670E" w14:textId="4E417CBB" w:rsidR="00B97365" w:rsidRDefault="00000000">
      <w:pPr>
        <w:spacing w:before="0" w:after="200" w:line="276" w:lineRule="auto"/>
        <w:jc w:val="left"/>
        <w:rPr>
          <w:szCs w:val="22"/>
          <w:lang w:eastAsia="en-GB" w:bidi="ar-SA"/>
        </w:rPr>
      </w:pPr>
      <w:bookmarkStart w:id="1038" w:name="_Toc361324160"/>
      <w:bookmarkStart w:id="1039" w:name="_Toc361324599"/>
      <w:bookmarkStart w:id="1040" w:name="_Toc361325028"/>
      <w:bookmarkStart w:id="1041" w:name="_Toc361325448"/>
      <w:bookmarkStart w:id="1042" w:name="_Toc361325869"/>
      <w:bookmarkStart w:id="1043" w:name="_Toc361326273"/>
      <w:bookmarkStart w:id="1044" w:name="_Toc361326674"/>
      <w:bookmarkStart w:id="1045" w:name="_Toc361327060"/>
      <w:bookmarkStart w:id="1046" w:name="_Toc361327441"/>
      <w:bookmarkStart w:id="1047" w:name="_Toc361327820"/>
      <w:bookmarkStart w:id="1048" w:name="_Toc361328192"/>
      <w:bookmarkStart w:id="1049" w:name="_Toc361328564"/>
      <w:bookmarkStart w:id="1050" w:name="_Toc361394362"/>
      <w:bookmarkStart w:id="1051" w:name="_Toc362882300"/>
      <w:bookmarkStart w:id="1052" w:name="_Toc362882685"/>
      <w:bookmarkStart w:id="1053" w:name="_Toc362883067"/>
      <w:bookmarkStart w:id="1054" w:name="_Toc362883446"/>
      <w:bookmarkStart w:id="1055" w:name="_Toc362883824"/>
      <w:bookmarkStart w:id="1056" w:name="_Toc362884201"/>
      <w:bookmarkStart w:id="1057" w:name="_Toc362884578"/>
      <w:bookmarkStart w:id="1058" w:name="_Toc362884953"/>
      <w:bookmarkStart w:id="1059" w:name="_Toc362945894"/>
      <w:bookmarkStart w:id="1060" w:name="_Toc362946609"/>
      <w:bookmarkStart w:id="1061" w:name="_Toc365571078"/>
      <w:bookmarkStart w:id="1062" w:name="_Toc365624574"/>
      <w:bookmarkStart w:id="1063" w:name="_Toc365899585"/>
      <w:bookmarkStart w:id="1064" w:name="_Toc365982394"/>
      <w:bookmarkStart w:id="1065" w:name="_Toc367445865"/>
      <w:bookmarkStart w:id="1066" w:name="_Toc368048076"/>
      <w:bookmarkStart w:id="1067" w:name="_Toc368583647"/>
      <w:bookmarkStart w:id="1068" w:name="_Toc368652742"/>
      <w:bookmarkStart w:id="1069" w:name="_Toc368932181"/>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Pr>
          <w:rFonts w:cs="Arial"/>
          <w:szCs w:val="22"/>
          <w:lang w:eastAsia="en-GB" w:bidi="ar-SA"/>
        </w:rPr>
        <w:t xml:space="preserve">The commands sent to the eUICC within a secure script in SMS SHALL be formatted as an expanded remote command structure as defined in 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As a consequence, the eUICC SHALL provide the answer as an expanded remote response structure.</w:t>
      </w:r>
    </w:p>
    <w:p w14:paraId="310256E2"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070" w:name="_Toc448998209"/>
      <w:bookmarkStart w:id="1071" w:name="_Toc422150683"/>
      <w:bookmarkStart w:id="1072" w:name="_Toc421874263"/>
      <w:bookmarkStart w:id="1073" w:name="_Toc420594331"/>
      <w:bookmarkStart w:id="1074" w:name="_Toc398214804"/>
      <w:bookmarkStart w:id="1075" w:name="_Toc375158220"/>
      <w:bookmarkStart w:id="1076" w:name="_Toc368932185"/>
      <w:bookmarkStart w:id="1077" w:name="_Ref367974324"/>
      <w:bookmarkStart w:id="1078" w:name="_Toc353545711"/>
      <w:bookmarkStart w:id="1079" w:name="_Toc486332825"/>
      <w:bookmarkStart w:id="1080" w:name="_Toc1977237"/>
      <w:bookmarkStart w:id="1081" w:name="_Toc37062393"/>
      <w:bookmarkStart w:id="1082" w:name="_Toc88839506"/>
      <w:bookmarkStart w:id="1083" w:name="_Toc121503914"/>
      <w:r>
        <w:rPr>
          <w:rFonts w:eastAsia="Times New Roman" w:cs="Arial"/>
          <w:b/>
          <w:bCs/>
          <w:iCs/>
          <w:sz w:val="24"/>
          <w:szCs w:val="26"/>
          <w:lang w:eastAsia="en-US"/>
        </w:rPr>
        <w:t>HTTPS</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41CBEAED" w14:textId="77777777" w:rsidR="00B97365" w:rsidRDefault="00000000">
      <w:pPr>
        <w:spacing w:before="0" w:after="200" w:line="276" w:lineRule="auto"/>
        <w:jc w:val="left"/>
        <w:rPr>
          <w:rFonts w:cs="Arial"/>
          <w:szCs w:val="22"/>
          <w:lang w:eastAsia="en-GB" w:bidi="ar-SA"/>
        </w:rPr>
      </w:pPr>
      <w:r>
        <w:rPr>
          <w:rFonts w:cs="Arial"/>
          <w:szCs w:val="22"/>
          <w:lang w:eastAsia="en-GB" w:bidi="ar-SA"/>
        </w:rPr>
        <w:t>If HTTPS is used, the following sections SHALL apply.</w:t>
      </w:r>
    </w:p>
    <w:p w14:paraId="4700633C"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1084" w:name="_Toc368932186"/>
      <w:bookmarkStart w:id="1085" w:name="_Toc1977238"/>
      <w:bookmarkStart w:id="1086" w:name="_Toc37062394"/>
      <w:r>
        <w:rPr>
          <w:rFonts w:ascii="Arial Bold" w:eastAsia="Times New Roman" w:hAnsi="Arial Bold" w:cs="Arial"/>
          <w:b/>
          <w:iCs/>
          <w:szCs w:val="28"/>
          <w:lang w:eastAsia="en-US"/>
        </w:rPr>
        <w:t>PSK-TLS</w:t>
      </w:r>
      <w:bookmarkEnd w:id="1084"/>
      <w:bookmarkEnd w:id="1085"/>
      <w:bookmarkEnd w:id="1086"/>
    </w:p>
    <w:p w14:paraId="74EBC62B"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1087" w:name="_Toc368932187"/>
      <w:bookmarkStart w:id="1088" w:name="_Ref367970099"/>
      <w:bookmarkStart w:id="1089" w:name="_Toc322946840"/>
      <w:r>
        <w:rPr>
          <w:rFonts w:ascii="Arial Bold" w:eastAsia="Times New Roman" w:hAnsi="Arial Bold" w:cs="Arial"/>
          <w:b/>
          <w:bCs/>
          <w:szCs w:val="26"/>
          <w:lang w:val="en-US" w:eastAsia="en-US"/>
        </w:rPr>
        <w:t>Cipher Suites</w:t>
      </w:r>
      <w:bookmarkEnd w:id="1087"/>
      <w:bookmarkEnd w:id="1088"/>
      <w:bookmarkEnd w:id="1089"/>
    </w:p>
    <w:p w14:paraId="141E4381" w14:textId="13F79434" w:rsidR="00B97365" w:rsidRDefault="00000000">
      <w:pPr>
        <w:spacing w:before="0" w:after="200" w:line="276" w:lineRule="auto"/>
        <w:jc w:val="left"/>
        <w:rPr>
          <w:szCs w:val="22"/>
          <w:lang w:eastAsia="en-GB" w:bidi="ar-SA"/>
        </w:rPr>
      </w:pPr>
      <w:r>
        <w:rPr>
          <w:rFonts w:cs="Arial"/>
          <w:szCs w:val="22"/>
          <w:lang w:eastAsia="en-GB" w:bidi="ar-SA"/>
        </w:rPr>
        <w:t xml:space="preserve">The eUICC SHALL support the Transport Layer Security (TLS) protocol v1.2 </w:t>
      </w:r>
      <w:r>
        <w:rPr>
          <w:szCs w:val="22"/>
          <w:lang w:eastAsia="en-GB" w:bidi="ar-SA"/>
        </w:rPr>
        <w:fldChar w:fldCharType="begin"/>
      </w:r>
      <w:r>
        <w:rPr>
          <w:szCs w:val="22"/>
          <w:lang w:eastAsia="en-GB" w:bidi="ar-SA"/>
        </w:rPr>
        <w:instrText xml:space="preserve"> REF _Ref421632403 \r \h </w:instrText>
      </w:r>
      <w:r>
        <w:rPr>
          <w:szCs w:val="22"/>
          <w:lang w:eastAsia="en-GB" w:bidi="ar-SA"/>
        </w:rPr>
      </w:r>
      <w:r>
        <w:rPr>
          <w:szCs w:val="22"/>
          <w:lang w:eastAsia="en-GB" w:bidi="ar-SA"/>
        </w:rPr>
        <w:fldChar w:fldCharType="separate"/>
      </w:r>
      <w:r w:rsidR="001D5AD9">
        <w:rPr>
          <w:szCs w:val="22"/>
          <w:lang w:eastAsia="en-GB" w:bidi="ar-SA"/>
        </w:rPr>
        <w:t>[15]</w:t>
      </w:r>
      <w:r>
        <w:rPr>
          <w:szCs w:val="22"/>
          <w:lang w:eastAsia="en-GB" w:bidi="ar-SA"/>
        </w:rPr>
        <w:fldChar w:fldCharType="end"/>
      </w:r>
      <w:r>
        <w:rPr>
          <w:szCs w:val="22"/>
          <w:lang w:eastAsia="en-GB" w:bidi="ar-SA"/>
        </w:rPr>
        <w:t xml:space="preserve"> </w:t>
      </w:r>
      <w:r>
        <w:rPr>
          <w:lang w:eastAsia="en-GB"/>
        </w:rPr>
        <w:t>and SHALL support</w:t>
      </w:r>
      <w:r>
        <w:rPr>
          <w:szCs w:val="22"/>
          <w:lang w:eastAsia="en-GB" w:bidi="ar-SA"/>
        </w:rPr>
        <w:t xml:space="preserve"> </w:t>
      </w:r>
      <w:r>
        <w:rPr>
          <w:szCs w:val="22"/>
          <w:lang w:val="en-US" w:eastAsia="en-GB" w:bidi="ar-SA"/>
        </w:rPr>
        <w:t>at least</w:t>
      </w:r>
      <w:r>
        <w:rPr>
          <w:szCs w:val="22"/>
          <w:lang w:eastAsia="en-GB" w:bidi="ar-SA"/>
        </w:rPr>
        <w:t xml:space="preserve"> one of the following Pre-Shared Key Cipher suites as defined in RFC 5487 </w:t>
      </w:r>
      <w:r>
        <w:rPr>
          <w:szCs w:val="22"/>
          <w:lang w:eastAsia="en-GB" w:bidi="ar-SA"/>
        </w:rPr>
        <w:fldChar w:fldCharType="begin"/>
      </w:r>
      <w:r>
        <w:rPr>
          <w:szCs w:val="22"/>
          <w:lang w:eastAsia="en-GB" w:bidi="ar-SA"/>
        </w:rPr>
        <w:instrText xml:space="preserve"> REF _Ref421632414 \r \h </w:instrText>
      </w:r>
      <w:r>
        <w:rPr>
          <w:szCs w:val="22"/>
          <w:lang w:eastAsia="en-GB" w:bidi="ar-SA"/>
        </w:rPr>
      </w:r>
      <w:r>
        <w:rPr>
          <w:szCs w:val="22"/>
          <w:lang w:eastAsia="en-GB" w:bidi="ar-SA"/>
        </w:rPr>
        <w:fldChar w:fldCharType="separate"/>
      </w:r>
      <w:r w:rsidR="001D5AD9">
        <w:rPr>
          <w:szCs w:val="22"/>
          <w:lang w:eastAsia="en-GB" w:bidi="ar-SA"/>
        </w:rPr>
        <w:t>[17]</w:t>
      </w:r>
      <w:r>
        <w:rPr>
          <w:szCs w:val="22"/>
          <w:lang w:eastAsia="en-GB" w:bidi="ar-SA"/>
        </w:rPr>
        <w:fldChar w:fldCharType="end"/>
      </w:r>
      <w:r>
        <w:rPr>
          <w:szCs w:val="22"/>
          <w:lang w:eastAsia="en-GB" w:bidi="ar-SA"/>
        </w:rPr>
        <w:t>:</w:t>
      </w:r>
    </w:p>
    <w:p w14:paraId="6810644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TLS_PSK_WITH_AES_128_GCM_SHA256</w:t>
      </w:r>
    </w:p>
    <w:p w14:paraId="57E415B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TLS_PSK_WITH_AES_128_CBC_SHA256</w:t>
      </w:r>
    </w:p>
    <w:p w14:paraId="6422EFF7" w14:textId="77777777" w:rsidR="00B97365" w:rsidRDefault="00B97365">
      <w:pPr>
        <w:tabs>
          <w:tab w:val="left" w:pos="680"/>
        </w:tabs>
        <w:spacing w:before="0" w:after="200" w:line="276" w:lineRule="auto"/>
        <w:contextualSpacing/>
        <w:jc w:val="left"/>
        <w:rPr>
          <w:rFonts w:cs="Arial"/>
          <w:szCs w:val="22"/>
          <w:lang w:eastAsia="en-GB" w:bidi="ar-SA"/>
        </w:rPr>
      </w:pPr>
    </w:p>
    <w:p w14:paraId="2B5CBDAF" w14:textId="77777777" w:rsidR="00B97365" w:rsidRDefault="00000000">
      <w:pPr>
        <w:rPr>
          <w:szCs w:val="22"/>
          <w:lang w:eastAsia="en-GB" w:bidi="ar-SA"/>
        </w:rPr>
      </w:pPr>
      <w:r>
        <w:rPr>
          <w:rFonts w:cs="Arial"/>
          <w:lang w:eastAsia="en-GB"/>
        </w:rPr>
        <w:t xml:space="preserve">The </w:t>
      </w:r>
      <w:r>
        <w:rPr>
          <w:szCs w:val="22"/>
          <w:lang w:eastAsia="en-GB" w:bidi="ar-SA"/>
        </w:rPr>
        <w:t>Pre-Shared Keys SHALL have an entropy of at least 128 bits.</w:t>
      </w:r>
    </w:p>
    <w:p w14:paraId="1FE5AC15" w14:textId="5EBF781F" w:rsidR="00B97365" w:rsidRDefault="00000000">
      <w:pPr>
        <w:rPr>
          <w:lang w:eastAsia="en-GB"/>
        </w:rPr>
      </w:pPr>
      <w:r>
        <w:rPr>
          <w:rFonts w:cs="Arial"/>
          <w:lang w:eastAsia="en-GB"/>
        </w:rPr>
        <w:t xml:space="preserve">The eUICC ISD-R SHALL be configured with ‘i’ = ‘04’ to indicate only TLS 1.2 supported as defined in GlobalPlatform Amd B </w:t>
      </w:r>
      <w:r>
        <w:rPr>
          <w:lang w:eastAsia="en-GB"/>
        </w:rPr>
        <w:fldChar w:fldCharType="begin"/>
      </w:r>
      <w:r>
        <w:rPr>
          <w:lang w:eastAsia="en-GB"/>
        </w:rPr>
        <w:instrText xml:space="preserve"> REF _Ref421632368 \r \h </w:instrText>
      </w:r>
      <w:r>
        <w:rPr>
          <w:lang w:eastAsia="en-GB"/>
        </w:rPr>
      </w:r>
      <w:r>
        <w:rPr>
          <w:lang w:eastAsia="en-GB"/>
        </w:rPr>
        <w:fldChar w:fldCharType="separate"/>
      </w:r>
      <w:r w:rsidR="001D5AD9">
        <w:rPr>
          <w:lang w:eastAsia="en-GB"/>
        </w:rPr>
        <w:t>[8]</w:t>
      </w:r>
      <w:r>
        <w:rPr>
          <w:lang w:eastAsia="en-GB"/>
        </w:rPr>
        <w:fldChar w:fldCharType="end"/>
      </w:r>
      <w:r>
        <w:rPr>
          <w:lang w:eastAsia="en-GB"/>
        </w:rPr>
        <w:t>.</w:t>
      </w:r>
    </w:p>
    <w:p w14:paraId="49075C5F" w14:textId="77777777" w:rsidR="00B97365" w:rsidRDefault="00000000">
      <w:pPr>
        <w:tabs>
          <w:tab w:val="left" w:pos="680"/>
        </w:tabs>
        <w:spacing w:before="0" w:after="200" w:line="276" w:lineRule="auto"/>
        <w:contextualSpacing/>
        <w:jc w:val="left"/>
        <w:rPr>
          <w:rFonts w:cs="Arial"/>
          <w:szCs w:val="22"/>
          <w:lang w:eastAsia="en-GB" w:bidi="ar-SA"/>
        </w:rPr>
      </w:pPr>
      <w:r>
        <w:rPr>
          <w:rFonts w:cs="Arial"/>
          <w:szCs w:val="22"/>
          <w:lang w:eastAsia="en-GB" w:bidi="ar-SA"/>
        </w:rPr>
        <w:t>The SM-SR SHALL select a cipher suite of the same or higher security compared to the two listed above.</w:t>
      </w:r>
    </w:p>
    <w:p w14:paraId="3A6F91F0"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1090" w:name="_Toc368932188"/>
      <w:bookmarkStart w:id="1091" w:name="_Toc322946841"/>
      <w:r>
        <w:rPr>
          <w:rFonts w:ascii="Arial Bold" w:eastAsia="Times New Roman" w:hAnsi="Arial Bold" w:cs="Arial"/>
          <w:b/>
          <w:bCs/>
          <w:szCs w:val="26"/>
          <w:lang w:val="en-US" w:eastAsia="en-US"/>
        </w:rPr>
        <w:t>PSK-ID Value for TLS Handshake</w:t>
      </w:r>
      <w:bookmarkEnd w:id="1090"/>
      <w:bookmarkEnd w:id="1091"/>
      <w:r>
        <w:rPr>
          <w:rFonts w:ascii="Arial Bold" w:eastAsia="Times New Roman" w:hAnsi="Arial Bold" w:cs="Arial"/>
          <w:b/>
          <w:bCs/>
          <w:szCs w:val="26"/>
          <w:lang w:val="en-US" w:eastAsia="en-US"/>
        </w:rPr>
        <w:t xml:space="preserve"> </w:t>
      </w:r>
    </w:p>
    <w:p w14:paraId="653E6D77" w14:textId="50CE76A5" w:rsidR="00B97365" w:rsidRDefault="00000000">
      <w:pPr>
        <w:rPr>
          <w:szCs w:val="22"/>
          <w:lang w:val="en-US" w:eastAsia="en-GB" w:bidi="ar-SA"/>
        </w:rPr>
      </w:pPr>
      <w:r>
        <w:rPr>
          <w:rFonts w:cs="Arial"/>
          <w:szCs w:val="22"/>
          <w:lang w:val="en-US" w:eastAsia="en-GB" w:bidi="ar-SA"/>
        </w:rPr>
        <w:t xml:space="preserve">The PSK-ID specified in this section defines a format suited for PSK random keys. However, a SM-SR MAY use a dedicated PSK-ID format in particular to be able to manage PSK derived from master key. In this case the derivation algorithm used SHALL be robust and follow the NIST recommendation SP800-56C </w:t>
      </w:r>
      <w:r>
        <w:rPr>
          <w:szCs w:val="22"/>
          <w:lang w:val="en-US" w:eastAsia="en-GB" w:bidi="ar-SA"/>
        </w:rPr>
        <w:fldChar w:fldCharType="begin"/>
      </w:r>
      <w:r>
        <w:rPr>
          <w:szCs w:val="22"/>
          <w:lang w:val="en-US" w:eastAsia="en-GB" w:bidi="ar-SA"/>
        </w:rPr>
        <w:instrText xml:space="preserve"> REF _Ref421632445 \r \h </w:instrText>
      </w:r>
      <w:r>
        <w:rPr>
          <w:szCs w:val="22"/>
          <w:lang w:val="en-US" w:eastAsia="en-GB" w:bidi="ar-SA"/>
        </w:rPr>
      </w:r>
      <w:r>
        <w:rPr>
          <w:szCs w:val="22"/>
          <w:lang w:val="en-US" w:eastAsia="en-GB" w:bidi="ar-SA"/>
        </w:rPr>
        <w:fldChar w:fldCharType="separate"/>
      </w:r>
      <w:r w:rsidR="001D5AD9">
        <w:rPr>
          <w:szCs w:val="22"/>
          <w:lang w:val="en-US" w:eastAsia="en-GB" w:bidi="ar-SA"/>
        </w:rPr>
        <w:t>[55]</w:t>
      </w:r>
      <w:r>
        <w:rPr>
          <w:szCs w:val="22"/>
          <w:lang w:val="en-US" w:eastAsia="en-GB" w:bidi="ar-SA"/>
        </w:rPr>
        <w:fldChar w:fldCharType="end"/>
      </w:r>
      <w:r>
        <w:rPr>
          <w:szCs w:val="22"/>
          <w:lang w:val="en-US" w:eastAsia="en-GB" w:bidi="ar-SA"/>
        </w:rPr>
        <w:t xml:space="preserve">, </w:t>
      </w:r>
      <w:r>
        <w:rPr>
          <w:lang w:eastAsia="en-GB"/>
        </w:rPr>
        <w:t xml:space="preserve">the derived </w:t>
      </w:r>
      <w:r>
        <w:rPr>
          <w:szCs w:val="22"/>
          <w:lang w:eastAsia="en-GB" w:bidi="ar-SA"/>
        </w:rPr>
        <w:t>Pre-Shared Keys SHALL have an entropy of at least 128 bits.</w:t>
      </w:r>
      <w:r>
        <w:rPr>
          <w:szCs w:val="22"/>
          <w:lang w:val="en-US" w:eastAsia="en-GB" w:bidi="ar-SA"/>
        </w:rPr>
        <w:t xml:space="preserve">   </w:t>
      </w:r>
    </w:p>
    <w:p w14:paraId="26FA60CC" w14:textId="77777777" w:rsidR="00B97365" w:rsidRDefault="00B97365">
      <w:pPr>
        <w:spacing w:before="0" w:line="276" w:lineRule="auto"/>
        <w:jc w:val="left"/>
        <w:rPr>
          <w:rFonts w:cs="Arial"/>
          <w:szCs w:val="22"/>
          <w:lang w:eastAsia="en-GB" w:bidi="ar-SA"/>
        </w:rPr>
      </w:pPr>
    </w:p>
    <w:p w14:paraId="6E604188" w14:textId="0B159AA1" w:rsidR="00B97365" w:rsidRDefault="00000000">
      <w:pPr>
        <w:spacing w:before="0" w:after="200" w:line="276" w:lineRule="auto"/>
        <w:jc w:val="left"/>
        <w:rPr>
          <w:szCs w:val="22"/>
          <w:lang w:eastAsia="en-GB" w:bidi="ar-SA"/>
        </w:rPr>
      </w:pPr>
      <w:r>
        <w:rPr>
          <w:rFonts w:cs="Arial"/>
          <w:szCs w:val="22"/>
          <w:lang w:eastAsia="en-GB" w:bidi="ar-SA"/>
        </w:rPr>
        <w:t xml:space="preserve">As specified in RFC 4279 </w:t>
      </w:r>
      <w:r>
        <w:rPr>
          <w:szCs w:val="22"/>
          <w:lang w:eastAsia="en-GB" w:bidi="ar-SA"/>
        </w:rPr>
        <w:fldChar w:fldCharType="begin"/>
      </w:r>
      <w:r>
        <w:rPr>
          <w:szCs w:val="22"/>
          <w:lang w:eastAsia="en-GB" w:bidi="ar-SA"/>
        </w:rPr>
        <w:instrText xml:space="preserve"> REF _Ref421632464 \r \h </w:instrText>
      </w:r>
      <w:r>
        <w:rPr>
          <w:szCs w:val="22"/>
          <w:lang w:eastAsia="en-GB" w:bidi="ar-SA"/>
        </w:rPr>
      </w:r>
      <w:r>
        <w:rPr>
          <w:szCs w:val="22"/>
          <w:lang w:eastAsia="en-GB" w:bidi="ar-SA"/>
        </w:rPr>
        <w:fldChar w:fldCharType="separate"/>
      </w:r>
      <w:r w:rsidR="001D5AD9">
        <w:rPr>
          <w:szCs w:val="22"/>
          <w:lang w:eastAsia="en-GB" w:bidi="ar-SA"/>
        </w:rPr>
        <w:t>[16]</w:t>
      </w:r>
      <w:r>
        <w:rPr>
          <w:szCs w:val="22"/>
          <w:lang w:eastAsia="en-GB" w:bidi="ar-SA"/>
        </w:rPr>
        <w:fldChar w:fldCharType="end"/>
      </w:r>
      <w:r>
        <w:rPr>
          <w:szCs w:val="22"/>
          <w:lang w:eastAsia="en-GB" w:bidi="ar-SA"/>
        </w:rPr>
        <w:t xml:space="preserve">, the PSK Identity SHALL be first converted to a character string, and then sent encoded in octets using UTF-8 </w:t>
      </w:r>
      <w:r>
        <w:rPr>
          <w:szCs w:val="22"/>
          <w:lang w:eastAsia="en-GB" w:bidi="ar-SA"/>
        </w:rPr>
        <w:fldChar w:fldCharType="begin"/>
      </w:r>
      <w:r>
        <w:rPr>
          <w:szCs w:val="22"/>
          <w:lang w:eastAsia="en-GB" w:bidi="ar-SA"/>
        </w:rPr>
        <w:instrText xml:space="preserve"> REF _Ref421632473 \r \h </w:instrText>
      </w:r>
      <w:r>
        <w:rPr>
          <w:szCs w:val="22"/>
          <w:lang w:eastAsia="en-GB" w:bidi="ar-SA"/>
        </w:rPr>
      </w:r>
      <w:r>
        <w:rPr>
          <w:szCs w:val="22"/>
          <w:lang w:eastAsia="en-GB" w:bidi="ar-SA"/>
        </w:rPr>
        <w:fldChar w:fldCharType="separate"/>
      </w:r>
      <w:r w:rsidR="001D5AD9">
        <w:rPr>
          <w:szCs w:val="22"/>
          <w:lang w:eastAsia="en-GB" w:bidi="ar-SA"/>
        </w:rPr>
        <w:t>[18]</w:t>
      </w:r>
      <w:r>
        <w:rPr>
          <w:szCs w:val="22"/>
          <w:lang w:eastAsia="en-GB" w:bidi="ar-SA"/>
        </w:rPr>
        <w:fldChar w:fldCharType="end"/>
      </w:r>
      <w:r>
        <w:rPr>
          <w:szCs w:val="22"/>
          <w:lang w:eastAsia="en-GB" w:bidi="ar-SA"/>
        </w:rPr>
        <w:t xml:space="preserve"> by the eUICC.</w:t>
      </w:r>
    </w:p>
    <w:p w14:paraId="7DBEECEC" w14:textId="77777777" w:rsidR="00B97365" w:rsidRDefault="00000000">
      <w:pPr>
        <w:spacing w:before="0" w:after="200" w:line="276" w:lineRule="auto"/>
        <w:jc w:val="left"/>
        <w:rPr>
          <w:rFonts w:cs="Arial"/>
          <w:szCs w:val="22"/>
          <w:lang w:eastAsia="en-GB" w:bidi="ar-SA"/>
        </w:rPr>
      </w:pPr>
      <w:r>
        <w:rPr>
          <w:rFonts w:cs="Arial"/>
          <w:szCs w:val="22"/>
          <w:lang w:eastAsia="en-GB" w:bidi="ar-SA"/>
        </w:rPr>
        <w:t>In the context of this specification, the PSK Identity before conversion is a sequence of Tag/Length/Value (TLV) objects in hexadecimal string representation.</w:t>
      </w:r>
    </w:p>
    <w:p w14:paraId="209416F1" w14:textId="77777777" w:rsidR="00B97365" w:rsidRDefault="00000000">
      <w:pPr>
        <w:tabs>
          <w:tab w:val="left" w:pos="1560"/>
        </w:tabs>
        <w:spacing w:before="0" w:after="200" w:line="276" w:lineRule="auto"/>
        <w:ind w:left="1560" w:hanging="1203"/>
        <w:jc w:val="left"/>
        <w:rPr>
          <w:rFonts w:cs="Arial"/>
          <w:szCs w:val="22"/>
          <w:lang w:eastAsia="en-GB" w:bidi="ar-SA"/>
        </w:rPr>
      </w:pPr>
      <w:r>
        <w:rPr>
          <w:rFonts w:cs="Arial"/>
          <w:szCs w:val="22"/>
          <w:lang w:eastAsia="en-GB" w:bidi="ar-SA"/>
        </w:rPr>
        <w:t xml:space="preserve">NOTE: </w:t>
      </w:r>
      <w:r>
        <w:rPr>
          <w:rFonts w:cs="Arial"/>
          <w:szCs w:val="22"/>
          <w:lang w:eastAsia="en-GB" w:bidi="ar-SA"/>
        </w:rPr>
        <w:tab/>
        <w:t>As the PSK Identity is expected to be as short as possible, all lengths are coded in one byte. BER-TLV coding is unnecessary in this case.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6600"/>
        <w:tblLayout w:type="fixed"/>
        <w:tblCellMar>
          <w:left w:w="0" w:type="dxa"/>
          <w:right w:w="0" w:type="dxa"/>
        </w:tblCellMar>
        <w:tblLook w:val="04A0" w:firstRow="1" w:lastRow="0" w:firstColumn="1" w:lastColumn="0" w:noHBand="0" w:noVBand="1"/>
      </w:tblPr>
      <w:tblGrid>
        <w:gridCol w:w="3261"/>
        <w:gridCol w:w="1063"/>
        <w:gridCol w:w="4559"/>
      </w:tblGrid>
      <w:tr w:rsidR="00B97365" w14:paraId="6DD76F15" w14:textId="77777777">
        <w:trPr>
          <w:jc w:val="center"/>
        </w:trPr>
        <w:tc>
          <w:tcPr>
            <w:tcW w:w="3261" w:type="dxa"/>
            <w:tcBorders>
              <w:top w:val="single" w:sz="4" w:space="0" w:color="auto"/>
              <w:left w:val="single" w:sz="4" w:space="0" w:color="auto"/>
              <w:bottom w:val="single" w:sz="6" w:space="0" w:color="auto"/>
              <w:right w:val="single" w:sz="6" w:space="0" w:color="auto"/>
            </w:tcBorders>
            <w:shd w:val="clear" w:color="auto" w:fill="C00000"/>
            <w:tcMar>
              <w:top w:w="0" w:type="dxa"/>
              <w:left w:w="108" w:type="dxa"/>
              <w:bottom w:w="0" w:type="dxa"/>
              <w:right w:w="108" w:type="dxa"/>
            </w:tcMar>
            <w:vAlign w:val="center"/>
            <w:hideMark/>
          </w:tcPr>
          <w:p w14:paraId="6C40E31B"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Description</w:t>
            </w:r>
          </w:p>
        </w:tc>
        <w:tc>
          <w:tcPr>
            <w:tcW w:w="1063" w:type="dxa"/>
            <w:tcBorders>
              <w:top w:val="single" w:sz="4" w:space="0" w:color="auto"/>
              <w:left w:val="single" w:sz="6" w:space="0" w:color="auto"/>
              <w:bottom w:val="single" w:sz="6" w:space="0" w:color="auto"/>
              <w:right w:val="single" w:sz="6" w:space="0" w:color="auto"/>
            </w:tcBorders>
            <w:shd w:val="clear" w:color="auto" w:fill="C00000"/>
            <w:tcMar>
              <w:top w:w="0" w:type="dxa"/>
              <w:left w:w="108" w:type="dxa"/>
              <w:bottom w:w="0" w:type="dxa"/>
              <w:right w:w="108" w:type="dxa"/>
            </w:tcMar>
            <w:vAlign w:val="center"/>
            <w:hideMark/>
          </w:tcPr>
          <w:p w14:paraId="10556E8F"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Length</w:t>
            </w:r>
          </w:p>
          <w:p w14:paraId="387F1F38"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(bytes)</w:t>
            </w:r>
          </w:p>
        </w:tc>
        <w:tc>
          <w:tcPr>
            <w:tcW w:w="4559" w:type="dxa"/>
            <w:tcBorders>
              <w:top w:val="single" w:sz="4" w:space="0" w:color="auto"/>
              <w:left w:val="single" w:sz="6" w:space="0" w:color="auto"/>
              <w:bottom w:val="single" w:sz="6" w:space="0" w:color="auto"/>
              <w:right w:val="single" w:sz="4" w:space="0" w:color="auto"/>
            </w:tcBorders>
            <w:shd w:val="clear" w:color="auto" w:fill="C00000"/>
            <w:tcMar>
              <w:top w:w="0" w:type="dxa"/>
              <w:left w:w="108" w:type="dxa"/>
              <w:bottom w:w="0" w:type="dxa"/>
              <w:right w:w="108" w:type="dxa"/>
            </w:tcMar>
            <w:vAlign w:val="center"/>
            <w:hideMark/>
          </w:tcPr>
          <w:p w14:paraId="7FDD74D1"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Value</w:t>
            </w:r>
          </w:p>
        </w:tc>
      </w:tr>
      <w:tr w:rsidR="00B97365" w14:paraId="6CE98BFE"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7CCD6DE3"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Tag for identifying PSK-ID format</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6FFDA801"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71232905"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‘80’</w:t>
            </w:r>
          </w:p>
        </w:tc>
      </w:tr>
      <w:tr w:rsidR="00B97365" w14:paraId="7352C7A0"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56AC6DC2"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Length</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2FFB8744"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5F8102BC"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‘01’</w:t>
            </w:r>
          </w:p>
        </w:tc>
      </w:tr>
      <w:tr w:rsidR="00B97365" w14:paraId="637234F3"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49C14374"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lastRenderedPageBreak/>
              <w:t>Identification of the PSK-ID format.</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16459C93"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0794684E"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Expected value is ‘02’ indicating a full qualified format for random PSK.</w:t>
            </w:r>
          </w:p>
        </w:tc>
      </w:tr>
      <w:tr w:rsidR="00B97365" w14:paraId="4AD16688"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2F664C75"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Tag for indicator of EID</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028FF9DA"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6870CF66"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 xml:space="preserve">‘81’ </w:t>
            </w:r>
          </w:p>
        </w:tc>
      </w:tr>
      <w:tr w:rsidR="00B97365" w14:paraId="49E983D2"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5E573E28"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Length of EID</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53F85AB3"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79BC5A84"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‘10’</w:t>
            </w:r>
          </w:p>
        </w:tc>
      </w:tr>
      <w:tr w:rsidR="00B97365" w14:paraId="5823A7F4"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1E72F186"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EID value</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3AA85A2D"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16</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67984889"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The EID value. The value SHALL be coded in hexadecimal string representation.</w:t>
            </w:r>
          </w:p>
        </w:tc>
      </w:tr>
      <w:tr w:rsidR="00B97365" w14:paraId="7FAFE350"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6AEF22F7"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Tag for security domain AID</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731D4A13"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45AFADEB"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‘4F’</w:t>
            </w:r>
          </w:p>
        </w:tc>
      </w:tr>
      <w:tr w:rsidR="00B97365" w14:paraId="12ADAC9F"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19B0773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Length of security domain AID</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21D9417C"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26B1EBBE"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‘10’</w:t>
            </w:r>
          </w:p>
        </w:tc>
      </w:tr>
      <w:tr w:rsidR="00B97365" w14:paraId="54D78B4B"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2BC40603"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Security domain AID value</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1A27680D"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16</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74CF6EB8"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The AID value of the ISD-R. The value SHALL be coded in hexadecimal string representation.</w:t>
            </w:r>
          </w:p>
        </w:tc>
      </w:tr>
      <w:tr w:rsidR="00B97365" w14:paraId="2E1492D8"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6C079F39"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Tag for key identifier</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7B744BE2"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379018CF"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‘82’</w:t>
            </w:r>
          </w:p>
        </w:tc>
      </w:tr>
      <w:tr w:rsidR="00B97365" w14:paraId="6AF98732"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6652338B"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Length</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7A905BD8"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0F207372"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‘01’</w:t>
            </w:r>
          </w:p>
        </w:tc>
      </w:tr>
      <w:tr w:rsidR="00B97365" w14:paraId="0922D7D3"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01C47E82"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Key identifier</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6A35DFB8"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2FD49347"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The key identifier value. The value SHALL be coded in hexadecimal representation.</w:t>
            </w:r>
          </w:p>
        </w:tc>
      </w:tr>
      <w:tr w:rsidR="00B97365" w14:paraId="479E48DB"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18BE62A4"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Tag for Key version</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5ADAEEC4"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1C06B018"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‘83’</w:t>
            </w:r>
          </w:p>
        </w:tc>
      </w:tr>
      <w:tr w:rsidR="00B97365" w14:paraId="7229BEE0" w14:textId="77777777">
        <w:trPr>
          <w:jc w:val="center"/>
        </w:trPr>
        <w:tc>
          <w:tcPr>
            <w:tcW w:w="3261"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1E5DE5FB"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Length</w:t>
            </w:r>
          </w:p>
        </w:tc>
        <w:tc>
          <w:tcPr>
            <w:tcW w:w="106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134CA1A8"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7DE26AD7"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‘01’</w:t>
            </w:r>
          </w:p>
        </w:tc>
      </w:tr>
      <w:tr w:rsidR="00B97365" w14:paraId="7A54ED97" w14:textId="77777777">
        <w:trPr>
          <w:jc w:val="center"/>
        </w:trPr>
        <w:tc>
          <w:tcPr>
            <w:tcW w:w="3261" w:type="dxa"/>
            <w:tcBorders>
              <w:top w:val="single" w:sz="6" w:space="0" w:color="auto"/>
              <w:left w:val="single" w:sz="4" w:space="0" w:color="auto"/>
              <w:bottom w:val="single" w:sz="4" w:space="0" w:color="auto"/>
              <w:right w:val="single" w:sz="6" w:space="0" w:color="auto"/>
            </w:tcBorders>
            <w:shd w:val="clear" w:color="auto" w:fill="FFFFFF"/>
            <w:tcMar>
              <w:top w:w="0" w:type="dxa"/>
              <w:left w:w="108" w:type="dxa"/>
              <w:bottom w:w="0" w:type="dxa"/>
              <w:right w:w="108" w:type="dxa"/>
            </w:tcMar>
            <w:hideMark/>
          </w:tcPr>
          <w:p w14:paraId="468C927B"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Key version</w:t>
            </w:r>
          </w:p>
        </w:tc>
        <w:tc>
          <w:tcPr>
            <w:tcW w:w="1063" w:type="dxa"/>
            <w:tcBorders>
              <w:top w:val="single" w:sz="6" w:space="0" w:color="auto"/>
              <w:left w:val="single" w:sz="6" w:space="0" w:color="auto"/>
              <w:bottom w:val="single" w:sz="4" w:space="0" w:color="auto"/>
              <w:right w:val="single" w:sz="6" w:space="0" w:color="auto"/>
            </w:tcBorders>
            <w:shd w:val="clear" w:color="auto" w:fill="FFFFFF"/>
            <w:tcMar>
              <w:top w:w="0" w:type="dxa"/>
              <w:left w:w="108" w:type="dxa"/>
              <w:bottom w:w="0" w:type="dxa"/>
              <w:right w:w="108" w:type="dxa"/>
            </w:tcMar>
            <w:hideMark/>
          </w:tcPr>
          <w:p w14:paraId="19DC634F"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1</w:t>
            </w:r>
          </w:p>
        </w:tc>
        <w:tc>
          <w:tcPr>
            <w:tcW w:w="4559" w:type="dxa"/>
            <w:tcBorders>
              <w:top w:val="single" w:sz="6" w:space="0" w:color="auto"/>
              <w:left w:val="single" w:sz="6" w:space="0" w:color="auto"/>
              <w:bottom w:val="single" w:sz="4" w:space="0" w:color="auto"/>
              <w:right w:val="single" w:sz="4" w:space="0" w:color="auto"/>
            </w:tcBorders>
            <w:shd w:val="clear" w:color="auto" w:fill="FFFFFF"/>
            <w:tcMar>
              <w:top w:w="0" w:type="dxa"/>
              <w:left w:w="108" w:type="dxa"/>
              <w:bottom w:w="0" w:type="dxa"/>
              <w:right w:w="108" w:type="dxa"/>
            </w:tcMar>
            <w:hideMark/>
          </w:tcPr>
          <w:p w14:paraId="36DA9362" w14:textId="77777777" w:rsidR="00B97365" w:rsidRDefault="00000000">
            <w:pPr>
              <w:spacing w:before="40" w:after="40" w:line="276" w:lineRule="auto"/>
              <w:jc w:val="left"/>
              <w:rPr>
                <w:sz w:val="20"/>
                <w:szCs w:val="25"/>
                <w:lang w:eastAsia="de-DE" w:bidi="ar-SA"/>
              </w:rPr>
            </w:pPr>
            <w:r>
              <w:rPr>
                <w:rFonts w:cs="Arial"/>
                <w:sz w:val="20"/>
                <w:szCs w:val="22"/>
                <w:lang w:eastAsia="de-DE" w:bidi="ar-SA"/>
              </w:rPr>
              <w:t>The key version value. The value SHALL be coded in hexadecimal representation. Key version number range reserved for SCP81 is '40' to '4F'.</w:t>
            </w:r>
          </w:p>
        </w:tc>
      </w:tr>
    </w:tbl>
    <w:p w14:paraId="272BB5A4" w14:textId="77777777" w:rsidR="00B97365" w:rsidRDefault="00000000">
      <w:pPr>
        <w:numPr>
          <w:ilvl w:val="0"/>
          <w:numId w:val="14"/>
        </w:numPr>
        <w:tabs>
          <w:tab w:val="left" w:pos="1009"/>
        </w:tabs>
        <w:spacing w:after="200" w:line="276" w:lineRule="auto"/>
        <w:jc w:val="center"/>
        <w:rPr>
          <w:rFonts w:cs="Arial"/>
          <w:b/>
          <w:lang w:eastAsia="de-DE" w:bidi="ar-SA"/>
        </w:rPr>
      </w:pPr>
      <w:bookmarkStart w:id="1092" w:name="_Toc322946931"/>
      <w:r>
        <w:rPr>
          <w:rFonts w:cs="Arial"/>
          <w:b/>
          <w:lang w:eastAsia="de-DE" w:bidi="ar-SA"/>
        </w:rPr>
        <w:t>: PSK-ID Format</w:t>
      </w:r>
      <w:bookmarkEnd w:id="1092"/>
    </w:p>
    <w:p w14:paraId="52E40AC0" w14:textId="77777777" w:rsidR="00B97365" w:rsidRDefault="00000000">
      <w:pPr>
        <w:spacing w:before="0" w:after="200" w:line="276" w:lineRule="auto"/>
        <w:jc w:val="left"/>
        <w:rPr>
          <w:rFonts w:cs="Arial"/>
          <w:szCs w:val="22"/>
          <w:lang w:eastAsia="en-GB" w:bidi="ar-SA"/>
        </w:rPr>
      </w:pPr>
      <w:r>
        <w:rPr>
          <w:rFonts w:cs="Arial"/>
          <w:szCs w:val="22"/>
          <w:lang w:eastAsia="en-GB" w:bidi="ar-SA"/>
        </w:rPr>
        <w:t>Example of PSK-ID before conversion to an UTF-8 string:</w:t>
      </w:r>
    </w:p>
    <w:p w14:paraId="117D4E1B" w14:textId="77777777" w:rsidR="00B97365" w:rsidRDefault="00000000">
      <w:pPr>
        <w:rPr>
          <w:rFonts w:cs="Calibri"/>
        </w:rPr>
      </w:pPr>
      <w:r>
        <w:rPr>
          <w:rFonts w:cs="Calibri"/>
        </w:rPr>
        <w:t>‘8001028110010203040506070809010203040506074F10000102030405060708090A0B0C0D0E0F820101830140’</w:t>
      </w:r>
    </w:p>
    <w:p w14:paraId="0F2A19EF"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r>
        <w:rPr>
          <w:rFonts w:ascii="Arial Bold" w:eastAsia="Times New Roman" w:hAnsi="Arial Bold" w:cs="Arial"/>
          <w:b/>
          <w:bCs/>
          <w:szCs w:val="26"/>
          <w:lang w:val="en-US" w:eastAsia="en-US"/>
        </w:rPr>
        <w:t>Other restrictions on TLS session management</w:t>
      </w:r>
    </w:p>
    <w:p w14:paraId="5D319B2C" w14:textId="77777777" w:rsidR="00B97365" w:rsidRDefault="00000000">
      <w:pPr>
        <w:spacing w:before="0" w:after="200" w:line="276" w:lineRule="auto"/>
        <w:jc w:val="left"/>
        <w:rPr>
          <w:rFonts w:cs="Arial"/>
          <w:szCs w:val="22"/>
          <w:lang w:eastAsia="en-GB" w:bidi="ar-SA"/>
        </w:rPr>
      </w:pPr>
      <w:r>
        <w:rPr>
          <w:rFonts w:cs="Arial"/>
          <w:szCs w:val="22"/>
          <w:lang w:eastAsia="en-GB" w:bidi="ar-SA"/>
        </w:rPr>
        <w:t>In addition to restrictions to the TLS protocol specified in GP Amendment B [8], the ISD-R and SM-SR SHALL NOT support TLS Session resumption (RFC 4507 or RFC 5077) nor several parallel TLS sessions.</w:t>
      </w:r>
      <w:bookmarkStart w:id="1093" w:name="_Toc322946842"/>
      <w:bookmarkStart w:id="1094" w:name="_Ref418160215"/>
      <w:bookmarkStart w:id="1095" w:name="_Toc368932189"/>
      <w:bookmarkStart w:id="1096" w:name="_Ref367970264"/>
    </w:p>
    <w:p w14:paraId="531ACD69"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1097" w:name="_Toc1977239"/>
      <w:bookmarkStart w:id="1098" w:name="_Toc37062395"/>
      <w:r>
        <w:rPr>
          <w:rFonts w:ascii="Arial Bold" w:eastAsia="Times New Roman" w:hAnsi="Arial Bold" w:cs="Arial"/>
          <w:b/>
          <w:iCs/>
          <w:szCs w:val="28"/>
          <w:lang w:eastAsia="en-US"/>
        </w:rPr>
        <w:t xml:space="preserve">HTTP POST Request of </w:t>
      </w:r>
      <w:bookmarkEnd w:id="1093"/>
      <w:r>
        <w:rPr>
          <w:rFonts w:ascii="Arial Bold" w:eastAsia="Times New Roman" w:hAnsi="Arial Bold" w:cs="Arial"/>
          <w:b/>
          <w:iCs/>
          <w:szCs w:val="28"/>
          <w:lang w:eastAsia="en-US"/>
        </w:rPr>
        <w:t>ISD-R</w:t>
      </w:r>
      <w:bookmarkEnd w:id="1094"/>
      <w:bookmarkEnd w:id="1095"/>
      <w:bookmarkEnd w:id="1096"/>
      <w:bookmarkEnd w:id="1097"/>
      <w:bookmarkEnd w:id="1098"/>
    </w:p>
    <w:p w14:paraId="46471A99" w14:textId="22D29C2D" w:rsidR="00B97365" w:rsidRDefault="00000000">
      <w:pPr>
        <w:spacing w:before="0" w:after="200" w:line="276" w:lineRule="auto"/>
        <w:jc w:val="left"/>
        <w:rPr>
          <w:szCs w:val="22"/>
          <w:lang w:eastAsia="en-GB" w:bidi="ar-SA"/>
        </w:rPr>
      </w:pPr>
      <w:r>
        <w:rPr>
          <w:rFonts w:cs="Arial"/>
          <w:szCs w:val="22"/>
          <w:lang w:eastAsia="en-GB" w:bidi="ar-SA"/>
        </w:rPr>
        <w:t xml:space="preserve">The POST request is used by the ISD-R to fetch remote APDU strings and to transmit response strings. The ISD-R SHALL strictly follow GlobalPlatform Card Specification Amendment B </w:t>
      </w:r>
      <w:r>
        <w:rPr>
          <w:szCs w:val="22"/>
          <w:lang w:eastAsia="en-GB" w:bidi="ar-SA"/>
        </w:rPr>
        <w:fldChar w:fldCharType="begin"/>
      </w:r>
      <w:r>
        <w:rPr>
          <w:szCs w:val="22"/>
          <w:lang w:eastAsia="en-GB" w:bidi="ar-SA"/>
        </w:rPr>
        <w:instrText xml:space="preserve"> REF _Ref421632368 \r \h </w:instrText>
      </w:r>
      <w:r>
        <w:rPr>
          <w:szCs w:val="22"/>
          <w:lang w:eastAsia="en-GB" w:bidi="ar-SA"/>
        </w:rPr>
      </w:r>
      <w:r>
        <w:rPr>
          <w:szCs w:val="22"/>
          <w:lang w:eastAsia="en-GB" w:bidi="ar-SA"/>
        </w:rPr>
        <w:fldChar w:fldCharType="separate"/>
      </w:r>
      <w:r w:rsidR="001D5AD9">
        <w:rPr>
          <w:szCs w:val="22"/>
          <w:lang w:eastAsia="en-GB" w:bidi="ar-SA"/>
        </w:rPr>
        <w:t>[8]</w:t>
      </w:r>
      <w:r>
        <w:rPr>
          <w:szCs w:val="22"/>
          <w:lang w:eastAsia="en-GB" w:bidi="ar-SA"/>
        </w:rPr>
        <w:fldChar w:fldCharType="end"/>
      </w:r>
      <w:r>
        <w:rPr>
          <w:szCs w:val="22"/>
          <w:lang w:eastAsia="en-GB" w:bidi="ar-SA"/>
        </w:rPr>
        <w:t xml:space="preserve"> for the format of the POST request. The content of the HTTP POST header field X-Admin-From SHALL be filled with the “Agent Id” information standardised in GlobalPlatform Card Specification Amendment B </w:t>
      </w:r>
      <w:r>
        <w:rPr>
          <w:szCs w:val="22"/>
          <w:lang w:eastAsia="en-GB" w:bidi="ar-SA"/>
        </w:rPr>
        <w:fldChar w:fldCharType="begin"/>
      </w:r>
      <w:r>
        <w:rPr>
          <w:szCs w:val="22"/>
          <w:lang w:eastAsia="en-GB" w:bidi="ar-SA"/>
        </w:rPr>
        <w:instrText xml:space="preserve"> REF _Ref421632368 \r \h </w:instrText>
      </w:r>
      <w:r>
        <w:rPr>
          <w:szCs w:val="22"/>
          <w:lang w:eastAsia="en-GB" w:bidi="ar-SA"/>
        </w:rPr>
      </w:r>
      <w:r>
        <w:rPr>
          <w:szCs w:val="22"/>
          <w:lang w:eastAsia="en-GB" w:bidi="ar-SA"/>
        </w:rPr>
        <w:fldChar w:fldCharType="separate"/>
      </w:r>
      <w:r w:rsidR="001D5AD9">
        <w:rPr>
          <w:szCs w:val="22"/>
          <w:lang w:eastAsia="en-GB" w:bidi="ar-SA"/>
        </w:rPr>
        <w:t>[8]</w:t>
      </w:r>
      <w:r>
        <w:rPr>
          <w:szCs w:val="22"/>
          <w:lang w:eastAsia="en-GB" w:bidi="ar-SA"/>
        </w:rPr>
        <w:fldChar w:fldCharType="end"/>
      </w:r>
      <w:r>
        <w:rPr>
          <w:szCs w:val="22"/>
          <w:lang w:eastAsia="en-GB" w:bidi="ar-SA"/>
        </w:rPr>
        <w:t xml:space="preserve">, section “Administration Session Triggering Parameters” (the format of this field is not standardised). </w:t>
      </w:r>
    </w:p>
    <w:p w14:paraId="30D4372D" w14:textId="77777777" w:rsidR="00B97365" w:rsidRDefault="00000000">
      <w:pPr>
        <w:spacing w:before="0" w:after="200" w:line="276" w:lineRule="auto"/>
        <w:jc w:val="left"/>
        <w:rPr>
          <w:rFonts w:cs="Arial"/>
          <w:szCs w:val="22"/>
          <w:lang w:eastAsia="en-GB" w:bidi="ar-SA"/>
        </w:rPr>
      </w:pPr>
      <w:r>
        <w:rPr>
          <w:rFonts w:cs="Arial"/>
          <w:szCs w:val="22"/>
          <w:lang w:eastAsia="en-GB" w:bidi="ar-SA"/>
        </w:rPr>
        <w:t>“Agent Id” information SHALL include two parts:</w:t>
      </w:r>
    </w:p>
    <w:p w14:paraId="585579C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eUICC identifier  (EID) </w:t>
      </w:r>
    </w:p>
    <w:p w14:paraId="622DF5F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identifier of the Security Domain representing the Admin Agent function</w:t>
      </w:r>
    </w:p>
    <w:p w14:paraId="184154A1" w14:textId="77777777" w:rsidR="00B97365" w:rsidRDefault="00B97365">
      <w:pPr>
        <w:spacing w:before="0"/>
        <w:rPr>
          <w:rFonts w:cs="Calibri"/>
        </w:rPr>
      </w:pPr>
    </w:p>
    <w:p w14:paraId="1D5866CD" w14:textId="77777777" w:rsidR="00B97365" w:rsidRDefault="00000000">
      <w:pPr>
        <w:spacing w:before="0"/>
        <w:rPr>
          <w:rFonts w:cs="Calibri"/>
        </w:rPr>
      </w:pPr>
      <w:r>
        <w:rPr>
          <w:rFonts w:cs="Calibri"/>
        </w:rPr>
        <w:lastRenderedPageBreak/>
        <w:t xml:space="preserve">Each part is built using the following format: </w:t>
      </w:r>
    </w:p>
    <w:p w14:paraId="636C96CB" w14:textId="77777777" w:rsidR="00B97365" w:rsidRDefault="00000000">
      <w:pPr>
        <w:ind w:firstLine="720"/>
        <w:rPr>
          <w:rFonts w:ascii="Courier New" w:hAnsi="Courier New" w:cs="Courier New"/>
          <w:bCs/>
        </w:rPr>
      </w:pPr>
      <w:r>
        <w:rPr>
          <w:rFonts w:ascii="Courier New" w:hAnsi="Courier New" w:cs="Courier New"/>
          <w:bCs/>
        </w:rPr>
        <w:t>//&lt;part-id&gt;/&lt;part-id-type&gt;/&lt;part-id-value&gt;</w:t>
      </w:r>
    </w:p>
    <w:p w14:paraId="57E1DF28" w14:textId="77777777" w:rsidR="00B97365" w:rsidRDefault="00B97365">
      <w:pPr>
        <w:rPr>
          <w:rFonts w:cs="Calibri"/>
        </w:rPr>
      </w:pPr>
    </w:p>
    <w:p w14:paraId="0F3AF393"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Where: </w:t>
      </w:r>
    </w:p>
    <w:p w14:paraId="639F1369" w14:textId="77777777" w:rsidR="00B97365" w:rsidRDefault="00000000">
      <w:pPr>
        <w:autoSpaceDE w:val="0"/>
        <w:autoSpaceDN w:val="0"/>
        <w:adjustRightInd w:val="0"/>
        <w:spacing w:after="163" w:line="276" w:lineRule="auto"/>
        <w:ind w:left="720"/>
        <w:jc w:val="left"/>
        <w:rPr>
          <w:rFonts w:eastAsia="MS Mincho" w:cs="Arial"/>
          <w:color w:val="000000"/>
          <w:sz w:val="20"/>
          <w:lang w:val="en-US" w:eastAsia="ja-JP" w:bidi="ar-SA"/>
        </w:rPr>
      </w:pPr>
      <w:r>
        <w:rPr>
          <w:rFonts w:eastAsia="MS Mincho" w:cs="Arial"/>
          <w:color w:val="000000"/>
          <w:sz w:val="20"/>
          <w:lang w:val="en-US" w:eastAsia="ja-JP" w:bidi="ar-SA"/>
        </w:rPr>
        <w:t xml:space="preserve">- </w:t>
      </w:r>
      <w:r>
        <w:rPr>
          <w:rFonts w:ascii="Courier New" w:eastAsia="MS Mincho" w:hAnsi="Courier New" w:cs="Courier New"/>
          <w:color w:val="000000"/>
          <w:sz w:val="20"/>
          <w:lang w:val="en-US" w:eastAsia="ja-JP" w:bidi="ar-SA"/>
        </w:rPr>
        <w:t xml:space="preserve">&lt;part-id&gt; </w:t>
      </w:r>
      <w:r>
        <w:rPr>
          <w:rFonts w:ascii="Calibri" w:eastAsia="MS Mincho" w:hAnsi="Calibri" w:cs="Calibri"/>
          <w:color w:val="000000"/>
          <w:sz w:val="20"/>
          <w:lang w:val="en-US" w:eastAsia="ja-JP" w:bidi="ar-SA"/>
        </w:rPr>
        <w:t>is the tag that specifies which part is defined: “se-id” or “aa-id”</w:t>
      </w:r>
    </w:p>
    <w:p w14:paraId="68B88825" w14:textId="77777777" w:rsidR="00B97365" w:rsidRDefault="00000000">
      <w:pPr>
        <w:autoSpaceDE w:val="0"/>
        <w:autoSpaceDN w:val="0"/>
        <w:adjustRightInd w:val="0"/>
        <w:spacing w:after="163" w:line="276" w:lineRule="auto"/>
        <w:ind w:left="720"/>
        <w:jc w:val="left"/>
        <w:rPr>
          <w:rFonts w:eastAsia="MS Mincho" w:cs="Arial"/>
          <w:color w:val="000000"/>
          <w:sz w:val="20"/>
          <w:lang w:val="en-US" w:eastAsia="ja-JP" w:bidi="ar-SA"/>
        </w:rPr>
      </w:pPr>
      <w:r>
        <w:rPr>
          <w:rFonts w:eastAsia="MS Mincho" w:cs="Arial"/>
          <w:color w:val="000000"/>
          <w:sz w:val="20"/>
          <w:lang w:val="en-US" w:eastAsia="ja-JP" w:bidi="ar-SA"/>
        </w:rPr>
        <w:t xml:space="preserve">- </w:t>
      </w:r>
      <w:r>
        <w:rPr>
          <w:rFonts w:ascii="Courier New" w:eastAsia="MS Mincho" w:hAnsi="Courier New" w:cs="Courier New"/>
          <w:color w:val="000000"/>
          <w:sz w:val="20"/>
          <w:lang w:val="en-US" w:eastAsia="ja-JP" w:bidi="ar-SA"/>
        </w:rPr>
        <w:t>&lt;part-id-type&gt;</w:t>
      </w:r>
      <w:r>
        <w:rPr>
          <w:rFonts w:ascii="Calibri" w:eastAsia="MS Mincho" w:hAnsi="Calibri" w:cs="Calibri"/>
          <w:color w:val="000000"/>
          <w:sz w:val="20"/>
          <w:lang w:val="en-US" w:eastAsia="ja-JP" w:bidi="ar-SA"/>
        </w:rPr>
        <w:t xml:space="preserve"> specifies the type of the identifier that is provided: “eid” or “aid”</w:t>
      </w:r>
    </w:p>
    <w:p w14:paraId="0A4BEDF4" w14:textId="77777777" w:rsidR="00B97365" w:rsidRDefault="00000000">
      <w:pPr>
        <w:autoSpaceDE w:val="0"/>
        <w:autoSpaceDN w:val="0"/>
        <w:adjustRightInd w:val="0"/>
        <w:spacing w:line="276" w:lineRule="auto"/>
        <w:ind w:left="720"/>
        <w:jc w:val="left"/>
        <w:rPr>
          <w:rFonts w:eastAsia="MS Mincho" w:cs="Arial"/>
          <w:color w:val="000000"/>
          <w:sz w:val="20"/>
          <w:lang w:val="en-US" w:eastAsia="ja-JP" w:bidi="ar-SA"/>
        </w:rPr>
      </w:pPr>
      <w:r>
        <w:rPr>
          <w:rFonts w:eastAsia="MS Mincho" w:cs="Arial"/>
          <w:color w:val="000000"/>
          <w:sz w:val="20"/>
          <w:lang w:val="en-US" w:eastAsia="ja-JP" w:bidi="ar-SA"/>
        </w:rPr>
        <w:t xml:space="preserve">- </w:t>
      </w:r>
      <w:r>
        <w:rPr>
          <w:rFonts w:ascii="Courier New" w:eastAsia="MS Mincho" w:hAnsi="Courier New" w:cs="Courier New"/>
          <w:color w:val="000000"/>
          <w:sz w:val="20"/>
          <w:lang w:val="en-US" w:eastAsia="ja-JP" w:bidi="ar-SA"/>
        </w:rPr>
        <w:t xml:space="preserve">&lt;part-id-value&gt; </w:t>
      </w:r>
      <w:r>
        <w:rPr>
          <w:rFonts w:ascii="Calibri" w:eastAsia="MS Mincho" w:hAnsi="Calibri" w:cs="Calibri"/>
          <w:color w:val="000000"/>
          <w:sz w:val="20"/>
          <w:lang w:val="en-US" w:eastAsia="ja-JP" w:bidi="ar-SA"/>
        </w:rPr>
        <w:t>provides the identifier value itself</w:t>
      </w:r>
      <w:r>
        <w:rPr>
          <w:rFonts w:eastAsia="MS Mincho" w:cs="Arial"/>
          <w:color w:val="000000"/>
          <w:sz w:val="20"/>
          <w:lang w:val="en-US" w:eastAsia="ja-JP" w:bidi="ar-SA"/>
        </w:rPr>
        <w:t xml:space="preserve">. </w:t>
      </w:r>
    </w:p>
    <w:p w14:paraId="1DF45C72" w14:textId="77777777" w:rsidR="00B97365" w:rsidRDefault="00B97365">
      <w:pPr>
        <w:rPr>
          <w:lang w:val="en-US"/>
        </w:rPr>
      </w:pPr>
    </w:p>
    <w:p w14:paraId="428B3ABC" w14:textId="77777777" w:rsidR="00B97365" w:rsidRDefault="00000000">
      <w:pPr>
        <w:spacing w:before="0" w:after="200" w:line="276" w:lineRule="auto"/>
        <w:jc w:val="left"/>
        <w:rPr>
          <w:rFonts w:cs="Arial"/>
          <w:szCs w:val="22"/>
          <w:lang w:eastAsia="en-GB" w:bidi="ar-SA"/>
        </w:rPr>
      </w:pPr>
      <w:r>
        <w:rPr>
          <w:rFonts w:cs="Arial"/>
          <w:szCs w:val="22"/>
          <w:lang w:eastAsia="en-GB" w:bidi="ar-SA"/>
        </w:rPr>
        <w:t>Format of the “X-Admin-From” field:</w:t>
      </w:r>
    </w:p>
    <w:p w14:paraId="72591669" w14:textId="77777777" w:rsidR="00B97365" w:rsidRDefault="00000000">
      <w:pPr>
        <w:rPr>
          <w:rFonts w:ascii="Courier New" w:eastAsia="MS Mincho" w:hAnsi="Courier New" w:cs="Courier New"/>
          <w:color w:val="000000"/>
          <w:lang w:val="en-US" w:eastAsia="ja-JP"/>
        </w:rPr>
      </w:pPr>
      <w:r>
        <w:rPr>
          <w:rFonts w:ascii="Courier New" w:eastAsia="MS Mincho" w:hAnsi="Courier New" w:cs="Courier New"/>
          <w:color w:val="000000"/>
          <w:lang w:val="en-US" w:eastAsia="ja-JP"/>
        </w:rPr>
        <w:t xml:space="preserve">//se-id/eid/&lt;EID&gt;;//aa-id/aid/&lt;RID ISD-R AID&gt;/&lt;PIX ISD-R AID&gt; </w:t>
      </w:r>
    </w:p>
    <w:p w14:paraId="5EBDAB5C" w14:textId="77777777" w:rsidR="00B97365" w:rsidRDefault="00B97365">
      <w:pPr>
        <w:rPr>
          <w:rFonts w:ascii="Courier New" w:eastAsia="MS Mincho" w:hAnsi="Courier New" w:cs="Courier New"/>
          <w:color w:val="000000"/>
          <w:lang w:val="en-US" w:eastAsia="ja-JP"/>
        </w:rPr>
      </w:pPr>
    </w:p>
    <w:p w14:paraId="2D63D3F2" w14:textId="77777777" w:rsidR="00B97365" w:rsidRDefault="00000000">
      <w:pPr>
        <w:spacing w:before="0" w:after="200" w:line="276" w:lineRule="auto"/>
        <w:jc w:val="left"/>
        <w:rPr>
          <w:rFonts w:cs="Arial"/>
          <w:szCs w:val="22"/>
          <w:lang w:eastAsia="en-GB" w:bidi="ar-SA"/>
        </w:rPr>
      </w:pPr>
      <w:r>
        <w:rPr>
          <w:rFonts w:cs="Arial"/>
          <w:szCs w:val="22"/>
          <w:lang w:eastAsia="en-GB" w:bidi="ar-SA"/>
        </w:rPr>
        <w:t>Note that this representation of AID in the format /aid/&lt;RID&gt;/&lt;PIX&gt; is already used in GlobalPlatform for other purposes than the “Agent Id”.</w:t>
      </w:r>
    </w:p>
    <w:p w14:paraId="69C6B77D" w14:textId="77777777" w:rsidR="00B97365" w:rsidRDefault="00000000">
      <w:pPr>
        <w:spacing w:before="0" w:after="200" w:line="276" w:lineRule="auto"/>
        <w:jc w:val="left"/>
        <w:rPr>
          <w:rFonts w:cs="Arial"/>
          <w:szCs w:val="22"/>
          <w:lang w:eastAsia="en-GB" w:bidi="ar-SA"/>
        </w:rPr>
      </w:pPr>
      <w:r>
        <w:rPr>
          <w:rFonts w:cs="Arial"/>
          <w:szCs w:val="22"/>
          <w:lang w:eastAsia="en-GB" w:bidi="ar-SA"/>
        </w:rPr>
        <w:t>Example of Agent Id field:</w:t>
      </w:r>
    </w:p>
    <w:p w14:paraId="077A28AE" w14:textId="77777777" w:rsidR="00B97365" w:rsidRDefault="00000000">
      <w:pPr>
        <w:rPr>
          <w:rFonts w:cs="Arial"/>
          <w:sz w:val="20"/>
        </w:rPr>
      </w:pPr>
      <w:r>
        <w:rPr>
          <w:lang w:val="en-US"/>
        </w:rPr>
        <w:t>“//se-id/eid/89001012012341234012345678901224;//aa-id/aid/A000000559/1010FFFF8900000100”</w:t>
      </w:r>
    </w:p>
    <w:p w14:paraId="74774EC2" w14:textId="77777777" w:rsidR="00B97365" w:rsidRDefault="00000000">
      <w:pPr>
        <w:spacing w:before="0" w:after="200" w:line="276" w:lineRule="auto"/>
        <w:jc w:val="left"/>
        <w:rPr>
          <w:szCs w:val="22"/>
          <w:lang w:eastAsia="en-GB" w:bidi="ar-SA"/>
        </w:rPr>
      </w:pPr>
      <w:r>
        <w:rPr>
          <w:szCs w:val="22"/>
          <w:lang w:eastAsia="en-GB" w:bidi="ar-SA"/>
        </w:rPr>
        <w:t xml:space="preserve">The eUICC SHALL use the Chunked mode [Transfer-Encoding: chunked CRLF] for the POST request message. </w:t>
      </w:r>
    </w:p>
    <w:p w14:paraId="2015677B" w14:textId="77777777" w:rsidR="00B97365" w:rsidRDefault="00000000">
      <w:pPr>
        <w:spacing w:before="0" w:after="200" w:line="276" w:lineRule="auto"/>
        <w:jc w:val="left"/>
        <w:rPr>
          <w:szCs w:val="22"/>
          <w:lang w:eastAsia="en-GB" w:bidi="ar-SA"/>
        </w:rPr>
      </w:pPr>
      <w:r>
        <w:rPr>
          <w:szCs w:val="22"/>
          <w:lang w:eastAsia="en-GB" w:bidi="ar-SA"/>
        </w:rPr>
        <w:t>The SM-SR SHALL use Chunked mode [Transfer-Encoding: chunked CRLF] for the POST response.</w:t>
      </w:r>
    </w:p>
    <w:p w14:paraId="702FAF06" w14:textId="77777777" w:rsidR="00B97365" w:rsidRDefault="00000000">
      <w:pPr>
        <w:spacing w:before="0" w:after="200" w:line="276" w:lineRule="auto"/>
        <w:jc w:val="left"/>
        <w:rPr>
          <w:szCs w:val="22"/>
          <w:lang w:eastAsia="en-GB" w:bidi="ar-SA"/>
        </w:rPr>
      </w:pPr>
      <w:r>
        <w:rPr>
          <w:szCs w:val="22"/>
          <w:lang w:eastAsia="en-GB" w:bidi="ar-SA"/>
        </w:rPr>
        <w:t>First request sent by the ISD-R: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B97365" w14:paraId="26A76615" w14:textId="77777777">
        <w:tc>
          <w:tcPr>
            <w:tcW w:w="9336" w:type="dxa"/>
            <w:tcBorders>
              <w:top w:val="single" w:sz="4" w:space="0" w:color="auto"/>
              <w:left w:val="single" w:sz="4" w:space="0" w:color="auto"/>
              <w:bottom w:val="single" w:sz="4" w:space="0" w:color="auto"/>
              <w:right w:val="single" w:sz="4" w:space="0" w:color="auto"/>
            </w:tcBorders>
            <w:hideMark/>
          </w:tcPr>
          <w:p w14:paraId="705A751C" w14:textId="77777777" w:rsidR="00B97365" w:rsidRDefault="00000000">
            <w:pPr>
              <w:rPr>
                <w:rFonts w:asciiTheme="minorHAnsi" w:hAnsiTheme="minorHAnsi" w:cstheme="minorHAnsi"/>
              </w:rPr>
            </w:pPr>
            <w:r>
              <w:rPr>
                <w:rFonts w:asciiTheme="minorHAnsi" w:hAnsiTheme="minorHAnsi" w:cstheme="minorHAnsi"/>
                <w:b/>
                <w:bCs/>
              </w:rPr>
              <w:t>POST</w:t>
            </w:r>
            <w:r>
              <w:rPr>
                <w:rFonts w:asciiTheme="minorHAnsi" w:hAnsiTheme="minorHAnsi" w:cstheme="minorHAnsi"/>
              </w:rPr>
              <w:t xml:space="preserve"> &lt;initial uri&gt; </w:t>
            </w:r>
            <w:r>
              <w:rPr>
                <w:rFonts w:asciiTheme="minorHAnsi" w:hAnsiTheme="minorHAnsi" w:cstheme="minorHAnsi"/>
                <w:b/>
                <w:bCs/>
              </w:rPr>
              <w:t>HTTP/1.1</w:t>
            </w:r>
            <w:r>
              <w:rPr>
                <w:rFonts w:asciiTheme="minorHAnsi" w:hAnsiTheme="minorHAnsi" w:cstheme="minorHAnsi"/>
              </w:rPr>
              <w:t xml:space="preserve"> CRLF</w:t>
            </w:r>
          </w:p>
          <w:p w14:paraId="594B9DCB" w14:textId="77777777" w:rsidR="00B97365" w:rsidRDefault="00000000">
            <w:pPr>
              <w:rPr>
                <w:rFonts w:asciiTheme="minorHAnsi" w:hAnsiTheme="minorHAnsi" w:cstheme="minorHAnsi"/>
              </w:rPr>
            </w:pPr>
            <w:r>
              <w:rPr>
                <w:rFonts w:asciiTheme="minorHAnsi" w:hAnsiTheme="minorHAnsi" w:cstheme="minorHAnsi"/>
                <w:b/>
              </w:rPr>
              <w:t>Host</w:t>
            </w:r>
            <w:r>
              <w:rPr>
                <w:rFonts w:asciiTheme="minorHAnsi" w:hAnsiTheme="minorHAnsi" w:cstheme="minorHAnsi"/>
              </w:rPr>
              <w:t>:  &lt;SM-SR ip&gt; CRLF</w:t>
            </w:r>
          </w:p>
          <w:p w14:paraId="44F160DE" w14:textId="77777777" w:rsidR="00B97365" w:rsidRDefault="00000000">
            <w:pPr>
              <w:rPr>
                <w:rFonts w:asciiTheme="minorHAnsi" w:hAnsiTheme="minorHAnsi" w:cstheme="minorHAnsi"/>
              </w:rPr>
            </w:pPr>
            <w:r>
              <w:rPr>
                <w:rFonts w:asciiTheme="minorHAnsi" w:hAnsiTheme="minorHAnsi" w:cstheme="minorHAnsi"/>
                <w:b/>
                <w:bCs/>
              </w:rPr>
              <w:t>X-Admin-Protocol</w:t>
            </w:r>
            <w:r>
              <w:rPr>
                <w:rFonts w:asciiTheme="minorHAnsi" w:hAnsiTheme="minorHAnsi" w:cstheme="minorHAnsi"/>
              </w:rPr>
              <w:t>: globalplatform-remote-admin/1.0 CRLF</w:t>
            </w:r>
          </w:p>
          <w:p w14:paraId="7B1E029B" w14:textId="77777777" w:rsidR="00B97365" w:rsidRDefault="00000000">
            <w:pPr>
              <w:rPr>
                <w:rFonts w:asciiTheme="minorHAnsi" w:hAnsiTheme="minorHAnsi" w:cstheme="minorHAnsi"/>
              </w:rPr>
            </w:pPr>
            <w:r>
              <w:rPr>
                <w:rFonts w:asciiTheme="minorHAnsi" w:hAnsiTheme="minorHAnsi" w:cstheme="minorHAnsi"/>
                <w:b/>
                <w:bCs/>
              </w:rPr>
              <w:t>X-Admin-From</w:t>
            </w:r>
            <w:r>
              <w:rPr>
                <w:rFonts w:asciiTheme="minorHAnsi" w:hAnsiTheme="minorHAnsi" w:cstheme="minorHAnsi"/>
              </w:rPr>
              <w:t>://se-id/eid/&lt;value&gt;;//aa-id/aid/ &lt;RID ISDR-AID &gt;</w:t>
            </w:r>
            <w:r>
              <w:rPr>
                <w:rFonts w:asciiTheme="minorHAnsi" w:hAnsiTheme="minorHAnsi" w:cstheme="minorHAnsi"/>
                <w:lang w:val="en-US"/>
              </w:rPr>
              <w:t>/&lt;PIX ISDR-AID&gt;</w:t>
            </w:r>
            <w:r>
              <w:rPr>
                <w:rFonts w:asciiTheme="minorHAnsi" w:hAnsiTheme="minorHAnsi" w:cstheme="minorHAnsi"/>
              </w:rPr>
              <w:t xml:space="preserve"> CRLF</w:t>
            </w:r>
          </w:p>
          <w:p w14:paraId="4956EBF8" w14:textId="77777777" w:rsidR="00B97365" w:rsidRDefault="00000000">
            <w:pPr>
              <w:rPr>
                <w:rFonts w:asciiTheme="minorHAnsi" w:hAnsiTheme="minorHAnsi" w:cstheme="minorHAnsi"/>
              </w:rPr>
            </w:pPr>
            <w:r>
              <w:rPr>
                <w:rFonts w:asciiTheme="minorHAnsi" w:hAnsiTheme="minorHAnsi" w:cstheme="minorHAnsi"/>
              </w:rPr>
              <w:t>CRLF</w:t>
            </w:r>
          </w:p>
        </w:tc>
      </w:tr>
    </w:tbl>
    <w:p w14:paraId="7F03F710" w14:textId="77777777" w:rsidR="00B97365" w:rsidRDefault="00B97365">
      <w:pPr>
        <w:spacing w:before="0"/>
        <w:rPr>
          <w:rFonts w:asciiTheme="minorHAnsi" w:hAnsiTheme="minorHAnsi" w:cstheme="minorHAnsi"/>
        </w:rPr>
      </w:pPr>
    </w:p>
    <w:p w14:paraId="562A0CEF"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Return of a command response (no error case) sent by the ISD-R: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B97365" w14:paraId="3A5B0F47" w14:textId="77777777">
        <w:tc>
          <w:tcPr>
            <w:tcW w:w="9336" w:type="dxa"/>
            <w:tcBorders>
              <w:top w:val="single" w:sz="4" w:space="0" w:color="auto"/>
              <w:left w:val="single" w:sz="4" w:space="0" w:color="auto"/>
              <w:bottom w:val="single" w:sz="4" w:space="0" w:color="auto"/>
              <w:right w:val="single" w:sz="4" w:space="0" w:color="auto"/>
            </w:tcBorders>
            <w:hideMark/>
          </w:tcPr>
          <w:p w14:paraId="263F0ADC" w14:textId="77777777" w:rsidR="00B97365" w:rsidRDefault="00000000">
            <w:pPr>
              <w:rPr>
                <w:rFonts w:asciiTheme="minorHAnsi" w:hAnsiTheme="minorHAnsi" w:cstheme="minorHAnsi"/>
              </w:rPr>
            </w:pPr>
            <w:r>
              <w:rPr>
                <w:rFonts w:asciiTheme="minorHAnsi" w:hAnsiTheme="minorHAnsi" w:cstheme="minorHAnsi"/>
                <w:b/>
                <w:bCs/>
              </w:rPr>
              <w:t>POST</w:t>
            </w:r>
            <w:r>
              <w:rPr>
                <w:rFonts w:asciiTheme="minorHAnsi" w:hAnsiTheme="minorHAnsi" w:cstheme="minorHAnsi"/>
              </w:rPr>
              <w:t xml:space="preserve"> &lt;uri contained in the previous POST response&gt; </w:t>
            </w:r>
            <w:r>
              <w:rPr>
                <w:rFonts w:asciiTheme="minorHAnsi" w:hAnsiTheme="minorHAnsi" w:cstheme="minorHAnsi"/>
                <w:b/>
                <w:bCs/>
              </w:rPr>
              <w:t>HTTP/1.1</w:t>
            </w:r>
            <w:r>
              <w:rPr>
                <w:rFonts w:asciiTheme="minorHAnsi" w:hAnsiTheme="minorHAnsi" w:cstheme="minorHAnsi"/>
              </w:rPr>
              <w:t xml:space="preserve"> CRLF</w:t>
            </w:r>
          </w:p>
          <w:p w14:paraId="5B907230" w14:textId="77777777" w:rsidR="00B97365" w:rsidRDefault="00000000">
            <w:pPr>
              <w:rPr>
                <w:rFonts w:asciiTheme="minorHAnsi" w:hAnsiTheme="minorHAnsi" w:cstheme="minorHAnsi"/>
              </w:rPr>
            </w:pPr>
            <w:r>
              <w:rPr>
                <w:rFonts w:asciiTheme="minorHAnsi" w:hAnsiTheme="minorHAnsi" w:cstheme="minorHAnsi"/>
                <w:b/>
              </w:rPr>
              <w:t>Host</w:t>
            </w:r>
            <w:r>
              <w:rPr>
                <w:rFonts w:asciiTheme="minorHAnsi" w:hAnsiTheme="minorHAnsi" w:cstheme="minorHAnsi"/>
              </w:rPr>
              <w:t>:  &lt;SM-SR ip&gt; CRLF</w:t>
            </w:r>
          </w:p>
          <w:p w14:paraId="4F79743A" w14:textId="77777777" w:rsidR="00B97365" w:rsidRDefault="00000000">
            <w:pPr>
              <w:rPr>
                <w:rFonts w:asciiTheme="minorHAnsi" w:hAnsiTheme="minorHAnsi" w:cstheme="minorHAnsi"/>
              </w:rPr>
            </w:pPr>
            <w:r>
              <w:rPr>
                <w:rFonts w:asciiTheme="minorHAnsi" w:hAnsiTheme="minorHAnsi" w:cstheme="minorHAnsi"/>
                <w:b/>
                <w:bCs/>
              </w:rPr>
              <w:t>X-Admin-Protocol</w:t>
            </w:r>
            <w:r>
              <w:rPr>
                <w:rFonts w:asciiTheme="minorHAnsi" w:hAnsiTheme="minorHAnsi" w:cstheme="minorHAnsi"/>
              </w:rPr>
              <w:t>: globalplatform-remote-admin/1.0 CRLF</w:t>
            </w:r>
          </w:p>
          <w:p w14:paraId="016CB848" w14:textId="77777777" w:rsidR="00B97365" w:rsidRDefault="00000000">
            <w:pPr>
              <w:rPr>
                <w:rFonts w:asciiTheme="minorHAnsi" w:hAnsiTheme="minorHAnsi" w:cstheme="minorHAnsi"/>
              </w:rPr>
            </w:pPr>
            <w:r>
              <w:rPr>
                <w:rFonts w:asciiTheme="minorHAnsi" w:hAnsiTheme="minorHAnsi" w:cstheme="minorHAnsi"/>
                <w:b/>
                <w:bCs/>
              </w:rPr>
              <w:t>X-Admin-From</w:t>
            </w:r>
            <w:r>
              <w:rPr>
                <w:rFonts w:asciiTheme="minorHAnsi" w:hAnsiTheme="minorHAnsi" w:cstheme="minorHAnsi"/>
              </w:rPr>
              <w:t>://se-id/eid/&lt;value&gt;;//aa-id/aid/ &lt;RID ISDR-AID value&gt;</w:t>
            </w:r>
            <w:r>
              <w:rPr>
                <w:rFonts w:asciiTheme="minorHAnsi" w:hAnsiTheme="minorHAnsi" w:cstheme="minorHAnsi"/>
                <w:lang w:val="en-US"/>
              </w:rPr>
              <w:t>/&lt;PIX ISDR-AID&gt;</w:t>
            </w:r>
            <w:r>
              <w:rPr>
                <w:rFonts w:asciiTheme="minorHAnsi" w:hAnsiTheme="minorHAnsi" w:cstheme="minorHAnsi"/>
              </w:rPr>
              <w:t xml:space="preserve"> CRLF</w:t>
            </w:r>
          </w:p>
          <w:p w14:paraId="42E64227" w14:textId="77777777" w:rsidR="00B97365" w:rsidRDefault="00000000">
            <w:pPr>
              <w:rPr>
                <w:rFonts w:asciiTheme="minorHAnsi" w:hAnsiTheme="minorHAnsi" w:cstheme="minorHAnsi"/>
              </w:rPr>
            </w:pPr>
            <w:r>
              <w:rPr>
                <w:rFonts w:asciiTheme="minorHAnsi" w:hAnsiTheme="minorHAnsi" w:cstheme="minorHAnsi"/>
                <w:b/>
              </w:rPr>
              <w:t>Content-Type</w:t>
            </w:r>
            <w:r>
              <w:rPr>
                <w:rFonts w:asciiTheme="minorHAnsi" w:hAnsiTheme="minorHAnsi" w:cstheme="minorHAnsi"/>
              </w:rPr>
              <w:t>: application/vnd.globalplatform.card-content-mgt-response;version=1.0 CRLF</w:t>
            </w:r>
          </w:p>
          <w:p w14:paraId="16849B27" w14:textId="77777777" w:rsidR="00B97365" w:rsidRDefault="00000000">
            <w:pPr>
              <w:rPr>
                <w:rFonts w:asciiTheme="minorHAnsi" w:hAnsiTheme="minorHAnsi" w:cstheme="minorHAnsi"/>
              </w:rPr>
            </w:pPr>
            <w:r>
              <w:rPr>
                <w:rFonts w:asciiTheme="minorHAnsi" w:hAnsiTheme="minorHAnsi" w:cstheme="minorHAnsi"/>
                <w:b/>
              </w:rPr>
              <w:t>Transfer-Encoding</w:t>
            </w:r>
            <w:r>
              <w:rPr>
                <w:rFonts w:asciiTheme="minorHAnsi" w:hAnsiTheme="minorHAnsi" w:cstheme="minorHAnsi"/>
              </w:rPr>
              <w:t>: chunked CRLF</w:t>
            </w:r>
          </w:p>
          <w:p w14:paraId="7840E2F5" w14:textId="77777777" w:rsidR="00B97365" w:rsidRDefault="00000000">
            <w:pPr>
              <w:rPr>
                <w:rFonts w:asciiTheme="minorHAnsi" w:hAnsiTheme="minorHAnsi" w:cstheme="minorHAnsi"/>
              </w:rPr>
            </w:pPr>
            <w:r>
              <w:rPr>
                <w:rFonts w:asciiTheme="minorHAnsi" w:hAnsiTheme="minorHAnsi" w:cstheme="minorHAnsi"/>
                <w:b/>
              </w:rPr>
              <w:t>X-Admin-Script-Status</w:t>
            </w:r>
            <w:r>
              <w:rPr>
                <w:rFonts w:asciiTheme="minorHAnsi" w:hAnsiTheme="minorHAnsi" w:cstheme="minorHAnsi"/>
              </w:rPr>
              <w:t>: ok CRLF</w:t>
            </w:r>
          </w:p>
          <w:p w14:paraId="6C4FCF41" w14:textId="77777777" w:rsidR="00B97365" w:rsidRDefault="00000000">
            <w:pPr>
              <w:rPr>
                <w:rFonts w:asciiTheme="minorHAnsi" w:hAnsiTheme="minorHAnsi" w:cstheme="minorHAnsi"/>
              </w:rPr>
            </w:pPr>
            <w:r>
              <w:rPr>
                <w:rFonts w:asciiTheme="minorHAnsi" w:hAnsiTheme="minorHAnsi" w:cstheme="minorHAnsi"/>
              </w:rPr>
              <w:lastRenderedPageBreak/>
              <w:t>CRLF</w:t>
            </w:r>
          </w:p>
          <w:p w14:paraId="4CCEF35D" w14:textId="77777777" w:rsidR="00B97365" w:rsidRDefault="00000000">
            <w:pPr>
              <w:rPr>
                <w:rFonts w:asciiTheme="minorHAnsi" w:hAnsiTheme="minorHAnsi" w:cstheme="minorHAnsi"/>
              </w:rPr>
            </w:pPr>
            <w:r>
              <w:rPr>
                <w:rFonts w:asciiTheme="minorHAnsi" w:hAnsiTheme="minorHAnsi" w:cstheme="minorHAnsi"/>
              </w:rPr>
              <w:t>[response-string]</w:t>
            </w:r>
          </w:p>
        </w:tc>
      </w:tr>
    </w:tbl>
    <w:p w14:paraId="5265DE20"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1099" w:name="_Toc368932190"/>
      <w:bookmarkStart w:id="1100" w:name="_Toc1977240"/>
      <w:bookmarkStart w:id="1101" w:name="_Toc37062396"/>
      <w:r>
        <w:rPr>
          <w:rFonts w:ascii="Arial Bold" w:eastAsia="Times New Roman" w:hAnsi="Arial Bold" w:cs="Arial"/>
          <w:b/>
          <w:iCs/>
          <w:szCs w:val="28"/>
          <w:lang w:eastAsia="en-US"/>
        </w:rPr>
        <w:t>HTTP POST Response of SM-SR</w:t>
      </w:r>
      <w:bookmarkEnd w:id="1099"/>
      <w:bookmarkEnd w:id="1100"/>
      <w:bookmarkEnd w:id="1101"/>
    </w:p>
    <w:p w14:paraId="29074878" w14:textId="77777777" w:rsidR="00B97365" w:rsidRDefault="00000000">
      <w:pPr>
        <w:spacing w:before="0" w:after="200" w:line="276" w:lineRule="auto"/>
        <w:jc w:val="left"/>
        <w:rPr>
          <w:rFonts w:cs="Arial"/>
          <w:szCs w:val="22"/>
          <w:lang w:eastAsia="en-GB" w:bidi="ar-SA"/>
        </w:rPr>
      </w:pPr>
      <w:r>
        <w:rPr>
          <w:rFonts w:cs="Arial"/>
          <w:szCs w:val="22"/>
          <w:lang w:eastAsia="en-GB" w:bidi="ar-SA"/>
        </w:rPr>
        <w:t>The POST response is used by the SM-SR to transmit the next remote APDU format string to the ISD-R and possibly to provide the next URI that must be used to request the following admin command.</w:t>
      </w:r>
    </w:p>
    <w:p w14:paraId="1773EB14" w14:textId="0F39FA6B" w:rsidR="00B97365" w:rsidRDefault="00000000">
      <w:pPr>
        <w:spacing w:before="0" w:after="200" w:line="276" w:lineRule="auto"/>
        <w:jc w:val="left"/>
        <w:rPr>
          <w:szCs w:val="22"/>
          <w:lang w:eastAsia="en-GB" w:bidi="ar-SA"/>
        </w:rPr>
      </w:pPr>
      <w:r>
        <w:rPr>
          <w:rFonts w:cs="Arial"/>
          <w:szCs w:val="22"/>
          <w:lang w:eastAsia="en-GB" w:bidi="ar-SA"/>
        </w:rPr>
        <w:t xml:space="preserve">The POST response SHALL strictly follow the GlobalPlatform Card Specification Amendment B </w:t>
      </w:r>
      <w:r>
        <w:rPr>
          <w:szCs w:val="22"/>
          <w:lang w:eastAsia="en-GB" w:bidi="ar-SA"/>
        </w:rPr>
        <w:fldChar w:fldCharType="begin"/>
      </w:r>
      <w:r>
        <w:rPr>
          <w:szCs w:val="22"/>
          <w:lang w:eastAsia="en-GB" w:bidi="ar-SA"/>
        </w:rPr>
        <w:instrText xml:space="preserve"> REF _Ref421632368 \r \h </w:instrText>
      </w:r>
      <w:r>
        <w:rPr>
          <w:szCs w:val="22"/>
          <w:lang w:eastAsia="en-GB" w:bidi="ar-SA"/>
        </w:rPr>
      </w:r>
      <w:r>
        <w:rPr>
          <w:szCs w:val="22"/>
          <w:lang w:eastAsia="en-GB" w:bidi="ar-SA"/>
        </w:rPr>
        <w:fldChar w:fldCharType="separate"/>
      </w:r>
      <w:r w:rsidR="001D5AD9">
        <w:rPr>
          <w:szCs w:val="22"/>
          <w:lang w:eastAsia="en-GB" w:bidi="ar-SA"/>
        </w:rPr>
        <w:t>[8]</w:t>
      </w:r>
      <w:r>
        <w:rPr>
          <w:szCs w:val="22"/>
          <w:lang w:eastAsia="en-GB" w:bidi="ar-SA"/>
        </w:rPr>
        <w:fldChar w:fldCharType="end"/>
      </w:r>
      <w:r>
        <w:rPr>
          <w:szCs w:val="22"/>
          <w:lang w:eastAsia="en-GB" w:bidi="ar-SA"/>
        </w:rPr>
        <w:t>.</w:t>
      </w:r>
    </w:p>
    <w:p w14:paraId="550E1CAE" w14:textId="77777777" w:rsidR="00B97365" w:rsidRDefault="00000000">
      <w:pPr>
        <w:spacing w:before="0" w:after="200" w:line="276" w:lineRule="auto"/>
        <w:jc w:val="left"/>
        <w:rPr>
          <w:rFonts w:cs="Arial"/>
          <w:szCs w:val="22"/>
          <w:lang w:eastAsia="en-GB" w:bidi="ar-SA"/>
        </w:rPr>
      </w:pPr>
      <w:r>
        <w:rPr>
          <w:rFonts w:cs="Arial"/>
          <w:szCs w:val="22"/>
          <w:lang w:eastAsia="en-GB" w:bidi="ar-SA"/>
        </w:rPr>
        <w:t>POST response sent by the SM-SR containing commands that SHALL be executed by the ISD-R: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B97365" w14:paraId="4781E2C4" w14:textId="77777777">
        <w:tc>
          <w:tcPr>
            <w:tcW w:w="9336" w:type="dxa"/>
            <w:tcBorders>
              <w:top w:val="single" w:sz="4" w:space="0" w:color="auto"/>
              <w:left w:val="single" w:sz="4" w:space="0" w:color="auto"/>
              <w:bottom w:val="single" w:sz="4" w:space="0" w:color="auto"/>
              <w:right w:val="single" w:sz="4" w:space="0" w:color="auto"/>
            </w:tcBorders>
            <w:hideMark/>
          </w:tcPr>
          <w:p w14:paraId="196F24D1" w14:textId="77777777" w:rsidR="00B97365" w:rsidRDefault="00000000">
            <w:pPr>
              <w:rPr>
                <w:rFonts w:asciiTheme="minorHAnsi" w:hAnsiTheme="minorHAnsi" w:cstheme="minorHAnsi"/>
                <w:b/>
                <w:bCs/>
              </w:rPr>
            </w:pPr>
            <w:r>
              <w:rPr>
                <w:rFonts w:asciiTheme="minorHAnsi" w:hAnsiTheme="minorHAnsi" w:cstheme="minorHAnsi"/>
                <w:b/>
                <w:bCs/>
              </w:rPr>
              <w:t>HTTP/1.1 200 CRLF</w:t>
            </w:r>
          </w:p>
          <w:p w14:paraId="57E42517" w14:textId="77777777" w:rsidR="00B97365" w:rsidRDefault="00000000">
            <w:pPr>
              <w:rPr>
                <w:rFonts w:asciiTheme="minorHAnsi" w:hAnsiTheme="minorHAnsi" w:cstheme="minorHAnsi"/>
                <w:bCs/>
              </w:rPr>
            </w:pPr>
            <w:r>
              <w:rPr>
                <w:rFonts w:asciiTheme="minorHAnsi" w:hAnsiTheme="minorHAnsi" w:cstheme="minorHAnsi"/>
                <w:b/>
                <w:bCs/>
              </w:rPr>
              <w:t xml:space="preserve">X-Admin-Protocol: </w:t>
            </w:r>
            <w:r>
              <w:rPr>
                <w:rFonts w:asciiTheme="minorHAnsi" w:hAnsiTheme="minorHAnsi" w:cstheme="minorHAnsi"/>
                <w:bCs/>
              </w:rPr>
              <w:t>globalplatform-remote-admin/1.0 CRLF</w:t>
            </w:r>
          </w:p>
          <w:p w14:paraId="666FC1EA" w14:textId="77777777" w:rsidR="00B97365" w:rsidRDefault="00000000">
            <w:pPr>
              <w:rPr>
                <w:rFonts w:asciiTheme="minorHAnsi" w:hAnsiTheme="minorHAnsi" w:cstheme="minorHAnsi"/>
                <w:bCs/>
              </w:rPr>
            </w:pPr>
            <w:r>
              <w:rPr>
                <w:rFonts w:asciiTheme="minorHAnsi" w:hAnsiTheme="minorHAnsi" w:cstheme="minorHAnsi"/>
                <w:b/>
                <w:bCs/>
              </w:rPr>
              <w:t xml:space="preserve">Content-Type : </w:t>
            </w:r>
            <w:r>
              <w:rPr>
                <w:rFonts w:asciiTheme="minorHAnsi" w:hAnsiTheme="minorHAnsi" w:cstheme="minorHAnsi"/>
                <w:bCs/>
              </w:rPr>
              <w:t>application/vnd.globalplatform.card-content-mgt;version=1.0 CRLF</w:t>
            </w:r>
          </w:p>
          <w:p w14:paraId="686F10B0" w14:textId="77777777" w:rsidR="00B97365" w:rsidRDefault="00000000">
            <w:pPr>
              <w:rPr>
                <w:rFonts w:asciiTheme="minorHAnsi" w:hAnsiTheme="minorHAnsi" w:cstheme="minorHAnsi"/>
                <w:bCs/>
              </w:rPr>
            </w:pPr>
            <w:r>
              <w:rPr>
                <w:rFonts w:asciiTheme="minorHAnsi" w:hAnsiTheme="minorHAnsi" w:cstheme="minorHAnsi"/>
                <w:b/>
                <w:bCs/>
              </w:rPr>
              <w:t xml:space="preserve">X-Admin-Next-URI: </w:t>
            </w:r>
            <w:r>
              <w:rPr>
                <w:rFonts w:asciiTheme="minorHAnsi" w:hAnsiTheme="minorHAnsi" w:cstheme="minorHAnsi"/>
              </w:rPr>
              <w:t>&lt;uri of the next POST&gt;</w:t>
            </w:r>
            <w:r>
              <w:rPr>
                <w:rFonts w:asciiTheme="minorHAnsi" w:hAnsiTheme="minorHAnsi" w:cstheme="minorHAnsi"/>
                <w:bCs/>
              </w:rPr>
              <w:t xml:space="preserve"> CRLF</w:t>
            </w:r>
          </w:p>
          <w:p w14:paraId="07E0123F" w14:textId="77777777" w:rsidR="00B97365" w:rsidRDefault="00000000">
            <w:pPr>
              <w:rPr>
                <w:rFonts w:asciiTheme="minorHAnsi" w:hAnsiTheme="minorHAnsi" w:cstheme="minorHAnsi"/>
                <w:b/>
                <w:bCs/>
              </w:rPr>
            </w:pPr>
            <w:r>
              <w:rPr>
                <w:rFonts w:asciiTheme="minorHAnsi" w:hAnsiTheme="minorHAnsi" w:cstheme="minorHAnsi"/>
                <w:b/>
                <w:bCs/>
              </w:rPr>
              <w:t>CRLF</w:t>
            </w:r>
          </w:p>
          <w:p w14:paraId="3A28BA5A" w14:textId="77777777" w:rsidR="00B97365" w:rsidRDefault="00000000">
            <w:pPr>
              <w:rPr>
                <w:rFonts w:asciiTheme="minorHAnsi" w:hAnsiTheme="minorHAnsi" w:cstheme="minorHAnsi"/>
              </w:rPr>
            </w:pPr>
            <w:r>
              <w:rPr>
                <w:rFonts w:asciiTheme="minorHAnsi" w:hAnsiTheme="minorHAnsi" w:cstheme="minorHAnsi"/>
                <w:bCs/>
              </w:rPr>
              <w:t>[Command script]</w:t>
            </w:r>
          </w:p>
        </w:tc>
      </w:tr>
    </w:tbl>
    <w:p w14:paraId="5CE54B66" w14:textId="77777777" w:rsidR="00B97365" w:rsidRDefault="00B97365">
      <w:pPr>
        <w:spacing w:before="0" w:after="120" w:line="276" w:lineRule="auto"/>
        <w:jc w:val="left"/>
        <w:rPr>
          <w:rFonts w:cs="Arial"/>
          <w:szCs w:val="22"/>
          <w:lang w:eastAsia="en-GB" w:bidi="ar-SA"/>
        </w:rPr>
      </w:pPr>
    </w:p>
    <w:p w14:paraId="638A6BDB" w14:textId="77777777" w:rsidR="00B97365" w:rsidRDefault="00000000">
      <w:pPr>
        <w:spacing w:before="0" w:after="200" w:line="276" w:lineRule="auto"/>
        <w:jc w:val="left"/>
        <w:rPr>
          <w:rFonts w:cs="Arial"/>
          <w:szCs w:val="22"/>
          <w:lang w:eastAsia="en-GB" w:bidi="ar-SA"/>
        </w:rPr>
      </w:pPr>
      <w:r>
        <w:rPr>
          <w:rFonts w:cs="Arial"/>
          <w:szCs w:val="22"/>
          <w:lang w:eastAsia="en-GB" w:bidi="ar-SA"/>
        </w:rPr>
        <w:t>POST response sent by the SM-SR containing commands that SHALL be executed by the ISD-P: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B97365" w14:paraId="3D2FA7CC" w14:textId="77777777">
        <w:tc>
          <w:tcPr>
            <w:tcW w:w="9336" w:type="dxa"/>
            <w:tcBorders>
              <w:top w:val="single" w:sz="4" w:space="0" w:color="auto"/>
              <w:left w:val="single" w:sz="4" w:space="0" w:color="auto"/>
              <w:bottom w:val="single" w:sz="4" w:space="0" w:color="auto"/>
              <w:right w:val="single" w:sz="4" w:space="0" w:color="auto"/>
            </w:tcBorders>
            <w:hideMark/>
          </w:tcPr>
          <w:p w14:paraId="5058AEAA" w14:textId="77777777" w:rsidR="00B97365" w:rsidRDefault="00000000">
            <w:pPr>
              <w:rPr>
                <w:rFonts w:asciiTheme="minorHAnsi" w:hAnsiTheme="minorHAnsi" w:cstheme="minorHAnsi"/>
                <w:b/>
                <w:bCs/>
              </w:rPr>
            </w:pPr>
            <w:r>
              <w:rPr>
                <w:rFonts w:asciiTheme="minorHAnsi" w:hAnsiTheme="minorHAnsi" w:cstheme="minorHAnsi"/>
                <w:b/>
                <w:bCs/>
              </w:rPr>
              <w:t>HTTP/1.1 200 CRLF</w:t>
            </w:r>
          </w:p>
          <w:p w14:paraId="75317E21" w14:textId="77777777" w:rsidR="00B97365" w:rsidRDefault="00000000">
            <w:pPr>
              <w:rPr>
                <w:rFonts w:asciiTheme="minorHAnsi" w:hAnsiTheme="minorHAnsi" w:cstheme="minorHAnsi"/>
                <w:bCs/>
              </w:rPr>
            </w:pPr>
            <w:r>
              <w:rPr>
                <w:rFonts w:asciiTheme="minorHAnsi" w:hAnsiTheme="minorHAnsi" w:cstheme="minorHAnsi"/>
                <w:b/>
                <w:bCs/>
              </w:rPr>
              <w:t xml:space="preserve">X-Admin-Protocol: </w:t>
            </w:r>
            <w:r>
              <w:rPr>
                <w:rFonts w:asciiTheme="minorHAnsi" w:hAnsiTheme="minorHAnsi" w:cstheme="minorHAnsi"/>
                <w:bCs/>
              </w:rPr>
              <w:t>globalplatform-remote-admin/1.0 CRLF</w:t>
            </w:r>
          </w:p>
          <w:p w14:paraId="06C0B80B" w14:textId="77777777" w:rsidR="00B97365" w:rsidRDefault="00000000">
            <w:pPr>
              <w:rPr>
                <w:rFonts w:asciiTheme="minorHAnsi" w:hAnsiTheme="minorHAnsi" w:cstheme="minorHAnsi"/>
                <w:bCs/>
              </w:rPr>
            </w:pPr>
            <w:r>
              <w:rPr>
                <w:rFonts w:asciiTheme="minorHAnsi" w:hAnsiTheme="minorHAnsi" w:cstheme="minorHAnsi"/>
                <w:b/>
                <w:bCs/>
              </w:rPr>
              <w:t xml:space="preserve">Content-Type : </w:t>
            </w:r>
            <w:r>
              <w:rPr>
                <w:rFonts w:asciiTheme="minorHAnsi" w:hAnsiTheme="minorHAnsi" w:cstheme="minorHAnsi"/>
                <w:bCs/>
              </w:rPr>
              <w:t>application/vnd.globalplatform.card-content-mgt;version=1.0 CRLF</w:t>
            </w:r>
          </w:p>
          <w:p w14:paraId="2A6141CF" w14:textId="77777777" w:rsidR="00B97365" w:rsidRDefault="00000000">
            <w:pPr>
              <w:rPr>
                <w:rFonts w:asciiTheme="minorHAnsi" w:hAnsiTheme="minorHAnsi" w:cstheme="minorHAnsi"/>
                <w:bCs/>
              </w:rPr>
            </w:pPr>
            <w:r>
              <w:rPr>
                <w:rFonts w:asciiTheme="minorHAnsi" w:hAnsiTheme="minorHAnsi" w:cstheme="minorHAnsi"/>
                <w:b/>
                <w:bCs/>
              </w:rPr>
              <w:t xml:space="preserve">X-Admin-Next-URI: </w:t>
            </w:r>
            <w:r>
              <w:rPr>
                <w:rFonts w:asciiTheme="minorHAnsi" w:hAnsiTheme="minorHAnsi" w:cstheme="minorHAnsi"/>
              </w:rPr>
              <w:t>&lt;uri of the next POST&gt;</w:t>
            </w:r>
            <w:r>
              <w:rPr>
                <w:rFonts w:asciiTheme="minorHAnsi" w:hAnsiTheme="minorHAnsi" w:cstheme="minorHAnsi"/>
                <w:bCs/>
              </w:rPr>
              <w:t xml:space="preserve"> CRLF</w:t>
            </w:r>
          </w:p>
          <w:p w14:paraId="7026646F" w14:textId="77777777" w:rsidR="00B97365" w:rsidRDefault="00000000">
            <w:pPr>
              <w:rPr>
                <w:rFonts w:asciiTheme="minorHAnsi" w:hAnsiTheme="minorHAnsi" w:cstheme="minorHAnsi"/>
                <w:bCs/>
              </w:rPr>
            </w:pPr>
            <w:r>
              <w:rPr>
                <w:rFonts w:asciiTheme="minorHAnsi" w:hAnsiTheme="minorHAnsi" w:cstheme="minorHAnsi"/>
                <w:b/>
                <w:bCs/>
              </w:rPr>
              <w:t>X-Admin-Targeted-Application:</w:t>
            </w:r>
            <w:r>
              <w:rPr>
                <w:rFonts w:asciiTheme="minorHAnsi" w:hAnsiTheme="minorHAnsi" w:cstheme="minorHAnsi"/>
                <w:bCs/>
              </w:rPr>
              <w:t>//aid/&lt;rid&gt;/&lt;pix&gt; (of the ISD-P-AID) CRLF</w:t>
            </w:r>
          </w:p>
          <w:p w14:paraId="0BE7E60C" w14:textId="77777777" w:rsidR="00B97365" w:rsidRDefault="00000000">
            <w:pPr>
              <w:rPr>
                <w:rFonts w:asciiTheme="minorHAnsi" w:hAnsiTheme="minorHAnsi" w:cstheme="minorHAnsi"/>
                <w:b/>
                <w:bCs/>
              </w:rPr>
            </w:pPr>
            <w:r>
              <w:rPr>
                <w:rFonts w:asciiTheme="minorHAnsi" w:hAnsiTheme="minorHAnsi" w:cstheme="minorHAnsi"/>
                <w:b/>
                <w:bCs/>
              </w:rPr>
              <w:t>CRLF</w:t>
            </w:r>
          </w:p>
          <w:p w14:paraId="5A71073D" w14:textId="77777777" w:rsidR="00B97365" w:rsidRDefault="00000000">
            <w:pPr>
              <w:rPr>
                <w:rFonts w:asciiTheme="minorHAnsi" w:hAnsiTheme="minorHAnsi" w:cstheme="minorHAnsi"/>
              </w:rPr>
            </w:pPr>
            <w:r>
              <w:rPr>
                <w:rFonts w:asciiTheme="minorHAnsi" w:hAnsiTheme="minorHAnsi" w:cstheme="minorHAnsi"/>
                <w:bCs/>
              </w:rPr>
              <w:t xml:space="preserve">[Command script] </w:t>
            </w:r>
          </w:p>
        </w:tc>
      </w:tr>
    </w:tbl>
    <w:p w14:paraId="68450184" w14:textId="77777777" w:rsidR="00B97365" w:rsidRDefault="00B97365">
      <w:pPr>
        <w:spacing w:before="0" w:line="276" w:lineRule="auto"/>
        <w:jc w:val="left"/>
        <w:rPr>
          <w:rFonts w:cs="Arial"/>
          <w:szCs w:val="22"/>
          <w:lang w:eastAsia="en-GB" w:bidi="ar-SA"/>
        </w:rPr>
      </w:pPr>
    </w:p>
    <w:p w14:paraId="3A581EF0" w14:textId="77777777" w:rsidR="00B97365" w:rsidRDefault="00000000">
      <w:pPr>
        <w:spacing w:before="0" w:line="276" w:lineRule="auto"/>
        <w:jc w:val="left"/>
        <w:rPr>
          <w:rFonts w:cs="Arial"/>
          <w:szCs w:val="22"/>
          <w:lang w:eastAsia="en-GB" w:bidi="ar-SA"/>
        </w:rPr>
      </w:pPr>
      <w:r>
        <w:rPr>
          <w:rFonts w:cs="Arial"/>
          <w:szCs w:val="22"/>
          <w:lang w:eastAsia="en-GB" w:bidi="ar-SA"/>
        </w:rPr>
        <w:t>Intermediate POST response sent by the SM-SR containing no command to execute but instructing to not close the HTTP session: the eUICC SHALL accordingly send a POST on the next URI provided, with no response body.</w:t>
      </w:r>
    </w:p>
    <w:p w14:paraId="61A7ABEF" w14:textId="77777777" w:rsidR="00B97365" w:rsidRDefault="00B97365">
      <w:pPr>
        <w:spacing w:before="0" w:line="276" w:lineRule="auto"/>
        <w:jc w:val="left"/>
        <w:rPr>
          <w:rFonts w:cs="Arial"/>
          <w:szCs w:val="22"/>
          <w:lang w:eastAsia="en-GB"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B97365" w14:paraId="30F34639" w14:textId="77777777">
        <w:tc>
          <w:tcPr>
            <w:tcW w:w="9336" w:type="dxa"/>
            <w:tcBorders>
              <w:top w:val="single" w:sz="4" w:space="0" w:color="auto"/>
              <w:left w:val="single" w:sz="4" w:space="0" w:color="auto"/>
              <w:bottom w:val="single" w:sz="4" w:space="0" w:color="auto"/>
              <w:right w:val="single" w:sz="4" w:space="0" w:color="auto"/>
            </w:tcBorders>
            <w:hideMark/>
          </w:tcPr>
          <w:p w14:paraId="787BEC5A" w14:textId="77777777" w:rsidR="00B97365" w:rsidRDefault="00000000">
            <w:pPr>
              <w:rPr>
                <w:rFonts w:asciiTheme="minorHAnsi" w:hAnsiTheme="minorHAnsi" w:cstheme="minorHAnsi"/>
                <w:b/>
                <w:bCs/>
              </w:rPr>
            </w:pPr>
            <w:r>
              <w:rPr>
                <w:rFonts w:asciiTheme="minorHAnsi" w:hAnsiTheme="minorHAnsi" w:cstheme="minorHAnsi"/>
                <w:b/>
                <w:bCs/>
              </w:rPr>
              <w:t>HTTP/1.1 204 CRLF</w:t>
            </w:r>
          </w:p>
          <w:p w14:paraId="4527348D" w14:textId="77777777" w:rsidR="00B97365" w:rsidRDefault="00000000">
            <w:pPr>
              <w:rPr>
                <w:rFonts w:asciiTheme="minorHAnsi" w:hAnsiTheme="minorHAnsi" w:cstheme="minorHAnsi"/>
                <w:bCs/>
              </w:rPr>
            </w:pPr>
            <w:r>
              <w:rPr>
                <w:rFonts w:asciiTheme="minorHAnsi" w:hAnsiTheme="minorHAnsi" w:cstheme="minorHAnsi"/>
                <w:b/>
                <w:bCs/>
              </w:rPr>
              <w:t xml:space="preserve">X-Admin-Protocol: </w:t>
            </w:r>
            <w:r>
              <w:rPr>
                <w:rFonts w:asciiTheme="minorHAnsi" w:hAnsiTheme="minorHAnsi" w:cstheme="minorHAnsi"/>
                <w:bCs/>
              </w:rPr>
              <w:t>globalplatform-remote-admin/1.0 CRLF</w:t>
            </w:r>
          </w:p>
          <w:p w14:paraId="0C17E8CE" w14:textId="77777777" w:rsidR="00B97365" w:rsidRDefault="00000000">
            <w:pPr>
              <w:rPr>
                <w:rFonts w:asciiTheme="minorHAnsi" w:hAnsiTheme="minorHAnsi" w:cstheme="minorHAnsi"/>
                <w:bCs/>
              </w:rPr>
            </w:pPr>
            <w:r>
              <w:rPr>
                <w:rFonts w:asciiTheme="minorHAnsi" w:hAnsiTheme="minorHAnsi" w:cstheme="minorHAnsi"/>
                <w:b/>
                <w:bCs/>
              </w:rPr>
              <w:t xml:space="preserve">X-Admin-Next-URI: </w:t>
            </w:r>
            <w:r>
              <w:rPr>
                <w:rFonts w:asciiTheme="minorHAnsi" w:hAnsiTheme="minorHAnsi" w:cstheme="minorHAnsi"/>
              </w:rPr>
              <w:t>&lt;uri of the next POST&gt;</w:t>
            </w:r>
            <w:r>
              <w:rPr>
                <w:rFonts w:asciiTheme="minorHAnsi" w:hAnsiTheme="minorHAnsi" w:cstheme="minorHAnsi"/>
                <w:bCs/>
              </w:rPr>
              <w:t xml:space="preserve"> CRLF</w:t>
            </w:r>
          </w:p>
          <w:p w14:paraId="0C4AE9AD" w14:textId="77777777" w:rsidR="00B97365" w:rsidRDefault="00000000">
            <w:pPr>
              <w:rPr>
                <w:rFonts w:asciiTheme="minorHAnsi" w:hAnsiTheme="minorHAnsi" w:cstheme="minorHAnsi"/>
                <w:b/>
                <w:bCs/>
              </w:rPr>
            </w:pPr>
            <w:r>
              <w:rPr>
                <w:rFonts w:asciiTheme="minorHAnsi" w:hAnsiTheme="minorHAnsi" w:cstheme="minorHAnsi"/>
                <w:b/>
                <w:bCs/>
              </w:rPr>
              <w:t>CRLF</w:t>
            </w:r>
          </w:p>
        </w:tc>
      </w:tr>
    </w:tbl>
    <w:p w14:paraId="7FD9D145" w14:textId="77777777" w:rsidR="00B97365" w:rsidRDefault="00B97365">
      <w:pPr>
        <w:spacing w:before="0" w:line="276" w:lineRule="auto"/>
        <w:jc w:val="left"/>
        <w:rPr>
          <w:rFonts w:cs="Arial"/>
          <w:szCs w:val="22"/>
          <w:lang w:eastAsia="en-GB" w:bidi="ar-SA"/>
        </w:rPr>
      </w:pPr>
    </w:p>
    <w:p w14:paraId="623E38BA" w14:textId="77777777" w:rsidR="00B97365" w:rsidRDefault="00000000">
      <w:pPr>
        <w:spacing w:before="0" w:line="276" w:lineRule="auto"/>
        <w:jc w:val="left"/>
        <w:rPr>
          <w:rFonts w:cs="Arial"/>
          <w:szCs w:val="22"/>
          <w:lang w:eastAsia="en-GB" w:bidi="ar-SA"/>
        </w:rPr>
      </w:pPr>
      <w:r>
        <w:rPr>
          <w:rFonts w:cs="Arial"/>
          <w:szCs w:val="22"/>
          <w:lang w:eastAsia="en-GB" w:bidi="ar-SA"/>
        </w:rPr>
        <w:lastRenderedPageBreak/>
        <w:t xml:space="preserve">Last POST response sent by the SM-SR with nothing to do, communication SHALL be closed: </w:t>
      </w:r>
    </w:p>
    <w:p w14:paraId="081330BC" w14:textId="77777777" w:rsidR="00B97365" w:rsidRDefault="00B97365">
      <w:pPr>
        <w:spacing w:before="0" w:line="276" w:lineRule="auto"/>
        <w:jc w:val="left"/>
        <w:rPr>
          <w:rFonts w:cs="Arial"/>
          <w:szCs w:val="22"/>
          <w:lang w:eastAsia="en-GB"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B97365" w14:paraId="70266CA8" w14:textId="77777777">
        <w:tc>
          <w:tcPr>
            <w:tcW w:w="9336" w:type="dxa"/>
            <w:tcBorders>
              <w:top w:val="single" w:sz="4" w:space="0" w:color="auto"/>
              <w:left w:val="single" w:sz="4" w:space="0" w:color="auto"/>
              <w:bottom w:val="single" w:sz="4" w:space="0" w:color="auto"/>
              <w:right w:val="single" w:sz="4" w:space="0" w:color="auto"/>
            </w:tcBorders>
            <w:hideMark/>
          </w:tcPr>
          <w:p w14:paraId="634144C2" w14:textId="77777777" w:rsidR="00B97365" w:rsidRDefault="00000000">
            <w:pPr>
              <w:rPr>
                <w:rFonts w:asciiTheme="minorHAnsi" w:hAnsiTheme="minorHAnsi" w:cstheme="minorHAnsi"/>
                <w:b/>
                <w:bCs/>
              </w:rPr>
            </w:pPr>
            <w:r>
              <w:rPr>
                <w:rFonts w:asciiTheme="minorHAnsi" w:hAnsiTheme="minorHAnsi" w:cstheme="minorHAnsi"/>
                <w:b/>
                <w:bCs/>
              </w:rPr>
              <w:t>HTTP/1.1 204 CRLF</w:t>
            </w:r>
          </w:p>
          <w:p w14:paraId="59F7A39C" w14:textId="77777777" w:rsidR="00B97365" w:rsidRDefault="00000000">
            <w:pPr>
              <w:rPr>
                <w:rFonts w:asciiTheme="minorHAnsi" w:hAnsiTheme="minorHAnsi" w:cstheme="minorHAnsi"/>
                <w:bCs/>
              </w:rPr>
            </w:pPr>
            <w:r>
              <w:rPr>
                <w:rFonts w:asciiTheme="minorHAnsi" w:hAnsiTheme="minorHAnsi" w:cstheme="minorHAnsi"/>
                <w:b/>
                <w:bCs/>
              </w:rPr>
              <w:t xml:space="preserve">X-Admin-Protocol: </w:t>
            </w:r>
            <w:r>
              <w:rPr>
                <w:rFonts w:asciiTheme="minorHAnsi" w:hAnsiTheme="minorHAnsi" w:cstheme="minorHAnsi"/>
                <w:bCs/>
              </w:rPr>
              <w:t>globalplatform-remote-admin/1.0 CRLF</w:t>
            </w:r>
          </w:p>
          <w:p w14:paraId="0C4C8F69" w14:textId="77777777" w:rsidR="00B97365" w:rsidRDefault="00000000">
            <w:pPr>
              <w:rPr>
                <w:rFonts w:asciiTheme="minorHAnsi" w:hAnsiTheme="minorHAnsi" w:cstheme="minorHAnsi"/>
                <w:b/>
                <w:bCs/>
              </w:rPr>
            </w:pPr>
            <w:r>
              <w:rPr>
                <w:rFonts w:asciiTheme="minorHAnsi" w:hAnsiTheme="minorHAnsi" w:cstheme="minorHAnsi"/>
                <w:b/>
                <w:bCs/>
              </w:rPr>
              <w:t>CRLF</w:t>
            </w:r>
          </w:p>
        </w:tc>
      </w:tr>
    </w:tbl>
    <w:p w14:paraId="0D236E1B"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1102" w:name="_Toc368932191"/>
      <w:bookmarkStart w:id="1103" w:name="_Toc1977241"/>
      <w:bookmarkStart w:id="1104" w:name="_Toc37062397"/>
      <w:r>
        <w:rPr>
          <w:rFonts w:ascii="Arial Bold" w:eastAsia="Times New Roman" w:hAnsi="Arial Bold" w:cs="Arial"/>
          <w:b/>
          <w:iCs/>
          <w:szCs w:val="28"/>
          <w:lang w:eastAsia="en-US"/>
        </w:rPr>
        <w:t xml:space="preserve">Command </w:t>
      </w:r>
      <w:r>
        <w:rPr>
          <w:rFonts w:ascii="Arial Bold" w:eastAsia="Times New Roman" w:hAnsi="Arial Bold" w:cs="Arial"/>
          <w:szCs w:val="28"/>
          <w:lang w:eastAsia="en-US"/>
        </w:rPr>
        <w:t>Format in HTTP Message</w:t>
      </w:r>
      <w:bookmarkEnd w:id="1102"/>
      <w:bookmarkEnd w:id="1103"/>
      <w:bookmarkEnd w:id="1104"/>
    </w:p>
    <w:p w14:paraId="2343CC11" w14:textId="02588930" w:rsidR="00B97365" w:rsidRDefault="00000000">
      <w:pPr>
        <w:spacing w:before="0" w:after="200" w:line="276" w:lineRule="auto"/>
        <w:jc w:val="left"/>
        <w:rPr>
          <w:szCs w:val="22"/>
          <w:lang w:eastAsia="en-GB" w:bidi="ar-SA"/>
        </w:rPr>
      </w:pPr>
      <w:r>
        <w:rPr>
          <w:rFonts w:cs="Arial"/>
          <w:szCs w:val="22"/>
          <w:lang w:eastAsia="en-GB" w:bidi="ar-SA"/>
        </w:rPr>
        <w:t xml:space="preserve">The commands sent to the eUICC within a secure script in HTTP messages SHALL be formatted in an expanded remote command structure with indefinite length coding as defined in 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As a consequence, the eUICC will provide the answer as an expanded remote response structure with indefinite length coding.</w:t>
      </w:r>
    </w:p>
    <w:p w14:paraId="7AF85BDF"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1105" w:name="_Toc368932192"/>
      <w:bookmarkStart w:id="1106" w:name="_Ref367970246"/>
      <w:bookmarkStart w:id="1107" w:name="_Ref367970084"/>
      <w:bookmarkStart w:id="1108" w:name="_Ref483300993"/>
      <w:bookmarkStart w:id="1109" w:name="_Toc1977242"/>
      <w:bookmarkStart w:id="1110" w:name="_Toc37062398"/>
      <w:r>
        <w:rPr>
          <w:rFonts w:ascii="Arial Bold" w:eastAsia="Times New Roman" w:hAnsi="Arial Bold" w:cs="Arial"/>
          <w:b/>
          <w:iCs/>
          <w:szCs w:val="28"/>
          <w:lang w:eastAsia="en-US"/>
        </w:rPr>
        <w:t xml:space="preserve">Sequence for HTTPS </w:t>
      </w:r>
      <w:r>
        <w:rPr>
          <w:rFonts w:ascii="Arial Bold" w:eastAsia="Times New Roman" w:hAnsi="Arial Bold" w:cs="Arial"/>
          <w:szCs w:val="28"/>
          <w:lang w:eastAsia="en-US"/>
        </w:rPr>
        <w:t>Session Triggering</w:t>
      </w:r>
      <w:bookmarkEnd w:id="1105"/>
      <w:bookmarkEnd w:id="1106"/>
      <w:bookmarkEnd w:id="1107"/>
      <w:bookmarkEnd w:id="1108"/>
      <w:bookmarkEnd w:id="1109"/>
      <w:bookmarkEnd w:id="1110"/>
    </w:p>
    <w:p w14:paraId="24E986F4" w14:textId="4F26FBFC" w:rsidR="00B97365" w:rsidRDefault="00000000">
      <w:pPr>
        <w:spacing w:before="0" w:after="200" w:line="276" w:lineRule="auto"/>
        <w:jc w:val="left"/>
        <w:rPr>
          <w:szCs w:val="22"/>
          <w:lang w:eastAsia="en-GB" w:bidi="ar-SA"/>
        </w:rPr>
      </w:pPr>
      <w:r>
        <w:rPr>
          <w:rFonts w:cs="Arial"/>
          <w:szCs w:val="22"/>
          <w:lang w:eastAsia="en-GB" w:bidi="ar-SA"/>
        </w:rPr>
        <w:t xml:space="preserve">Except if specified differently for a specific procedure, an HTTPS session with the eUICC is always triggered by the SM-SR by sending a MT-SMS as defined in section </w:t>
      </w:r>
      <w:r>
        <w:fldChar w:fldCharType="begin"/>
      </w:r>
      <w:r>
        <w:rPr>
          <w:szCs w:val="22"/>
          <w:lang w:eastAsia="en-GB" w:bidi="ar-SA"/>
        </w:rPr>
        <w:instrText xml:space="preserve"> REF _Ref418160179 \r \h </w:instrText>
      </w:r>
      <w:r>
        <w:fldChar w:fldCharType="separate"/>
      </w:r>
      <w:r w:rsidR="001D5AD9">
        <w:rPr>
          <w:szCs w:val="22"/>
          <w:lang w:eastAsia="en-GB" w:bidi="ar-SA"/>
        </w:rPr>
        <w:t>2.4.3.1</w:t>
      </w:r>
      <w:r>
        <w:fldChar w:fldCharType="end"/>
      </w:r>
      <w:r>
        <w:rPr>
          <w:szCs w:val="22"/>
          <w:lang w:eastAsia="en-GB" w:bidi="ar-SA"/>
        </w:rPr>
        <w:t>.</w:t>
      </w:r>
    </w:p>
    <w:p w14:paraId="2DEB0BBE" w14:textId="77777777" w:rsidR="00B97365" w:rsidRDefault="00000000">
      <w:pPr>
        <w:rPr>
          <w:rFonts w:cs="Calibri"/>
        </w:rPr>
      </w:pPr>
      <w:r>
        <w:rPr>
          <w:rFonts w:cs="Calibri"/>
        </w:rPr>
        <w:object w:dxaOrig="9171" w:dyaOrig="3246" w14:anchorId="1790F864">
          <v:shape id="_x0000_i1032" type="#_x0000_t75" style="width:481.15pt;height:163.1pt" o:ole="">
            <v:imagedata r:id="rId41" o:title=""/>
          </v:shape>
          <o:OLEObject Type="Embed" ProgID="PowerPoint.Slide.12" ShapeID="_x0000_i1032" DrawAspect="Content" ObjectID="_1738512077" r:id="rId42"/>
        </w:object>
      </w:r>
    </w:p>
    <w:p w14:paraId="2D2E4E58"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Sequence for HTTPS Session Triggering</w:t>
      </w:r>
    </w:p>
    <w:p w14:paraId="64804309" w14:textId="3451A5A2" w:rsidR="00B97365" w:rsidRDefault="00000000">
      <w:pPr>
        <w:numPr>
          <w:ilvl w:val="0"/>
          <w:numId w:val="99"/>
        </w:numPr>
      </w:pPr>
      <w:r>
        <w:t xml:space="preserve">The SM-SR sends a MT-SMS to the ISD-R for HTTPS session triggering as defined in section </w:t>
      </w:r>
      <w:r>
        <w:fldChar w:fldCharType="begin"/>
      </w:r>
      <w:r>
        <w:instrText xml:space="preserve"> REF _Ref418160179 \r \h  \* MERGEFORMAT </w:instrText>
      </w:r>
      <w:r>
        <w:fldChar w:fldCharType="separate"/>
      </w:r>
      <w:r w:rsidR="001D5AD9">
        <w:t>2.4.3.1</w:t>
      </w:r>
      <w:r>
        <w:fldChar w:fldCharType="end"/>
      </w:r>
      <w:r>
        <w:t>.</w:t>
      </w:r>
    </w:p>
    <w:p w14:paraId="27988B89" w14:textId="70B14093" w:rsidR="00B97365" w:rsidRDefault="00000000">
      <w:pPr>
        <w:numPr>
          <w:ilvl w:val="0"/>
          <w:numId w:val="99"/>
        </w:numPr>
      </w:pPr>
      <w:r>
        <w:t xml:space="preserve">The ISD-R checks the security of the MT-SMS. The figure assumes the security is ok as defined in </w:t>
      </w:r>
      <w:r>
        <w:fldChar w:fldCharType="begin"/>
      </w:r>
      <w:r>
        <w:instrText xml:space="preserve"> REF _Ref421632302 \r \h  \* MERGEFORMAT </w:instrText>
      </w:r>
      <w:r>
        <w:fldChar w:fldCharType="separate"/>
      </w:r>
      <w:r w:rsidR="001D5AD9">
        <w:t>[13]</w:t>
      </w:r>
      <w:r>
        <w:fldChar w:fldCharType="end"/>
      </w:r>
      <w:r>
        <w:t xml:space="preserve">, otherwise section 2.4.3.1 applies.  </w:t>
      </w:r>
    </w:p>
    <w:p w14:paraId="222DC363" w14:textId="77777777" w:rsidR="00B97365" w:rsidRDefault="00000000">
      <w:pPr>
        <w:numPr>
          <w:ilvl w:val="0"/>
          <w:numId w:val="99"/>
        </w:numPr>
      </w:pPr>
      <w:r>
        <w:t>Opening of TLS socket</w:t>
      </w:r>
    </w:p>
    <w:p w14:paraId="50AD84C8" w14:textId="3D818307" w:rsidR="00B97365" w:rsidRDefault="00000000">
      <w:pPr>
        <w:numPr>
          <w:ilvl w:val="1"/>
          <w:numId w:val="12"/>
        </w:numPr>
        <w:spacing w:before="0" w:after="200" w:line="276" w:lineRule="auto"/>
        <w:contextualSpacing/>
        <w:jc w:val="left"/>
        <w:rPr>
          <w:szCs w:val="22"/>
          <w:lang w:eastAsia="en-GB" w:bidi="ar-SA"/>
        </w:rPr>
      </w:pPr>
      <w:r>
        <w:rPr>
          <w:szCs w:val="22"/>
          <w:lang w:eastAsia="en-GB" w:bidi="ar-SA"/>
        </w:rPr>
        <w:t xml:space="preserve">If supported and if correctly configured by SM-SR and eUICC, the ISD-R MAY request a DNS resolution to retrieve the IP Address of the SM-SR. See section </w:t>
      </w:r>
      <w:r>
        <w:rPr>
          <w:szCs w:val="22"/>
          <w:lang w:eastAsia="en-GB" w:bidi="ar-SA"/>
        </w:rPr>
        <w:fldChar w:fldCharType="begin"/>
      </w:r>
      <w:r>
        <w:rPr>
          <w:szCs w:val="22"/>
          <w:lang w:eastAsia="en-GB" w:bidi="ar-SA"/>
        </w:rPr>
        <w:instrText xml:space="preserve"> REF _Ref483300482 \r \h  \* MERGEFORMAT </w:instrText>
      </w:r>
      <w:r>
        <w:rPr>
          <w:szCs w:val="22"/>
          <w:lang w:eastAsia="en-GB" w:bidi="ar-SA"/>
        </w:rPr>
      </w:r>
      <w:r>
        <w:rPr>
          <w:szCs w:val="22"/>
          <w:lang w:eastAsia="en-GB" w:bidi="ar-SA"/>
        </w:rPr>
        <w:fldChar w:fldCharType="separate"/>
      </w:r>
      <w:r w:rsidR="001D5AD9">
        <w:rPr>
          <w:szCs w:val="22"/>
          <w:lang w:eastAsia="en-GB" w:bidi="ar-SA"/>
        </w:rPr>
        <w:t>2.4.5</w:t>
      </w:r>
      <w:r>
        <w:rPr>
          <w:szCs w:val="22"/>
          <w:lang w:eastAsia="en-GB" w:bidi="ar-SA"/>
        </w:rPr>
        <w:fldChar w:fldCharType="end"/>
      </w:r>
    </w:p>
    <w:p w14:paraId="2BCBC200" w14:textId="60D90EAE" w:rsidR="00B97365" w:rsidRDefault="00000000">
      <w:pPr>
        <w:numPr>
          <w:ilvl w:val="1"/>
          <w:numId w:val="12"/>
        </w:numPr>
        <w:spacing w:before="0" w:after="200" w:line="276" w:lineRule="auto"/>
        <w:contextualSpacing/>
        <w:jc w:val="left"/>
        <w:rPr>
          <w:szCs w:val="22"/>
          <w:lang w:eastAsia="en-GB" w:bidi="ar-SA"/>
        </w:rPr>
      </w:pPr>
      <w:r>
        <w:rPr>
          <w:szCs w:val="22"/>
          <w:lang w:eastAsia="en-GB" w:bidi="ar-SA"/>
        </w:rPr>
        <w:t xml:space="preserve">The PSK-TLS handshake is performed as defined in </w:t>
      </w:r>
      <w:r>
        <w:rPr>
          <w:szCs w:val="22"/>
          <w:lang w:eastAsia="en-GB" w:bidi="ar-SA"/>
        </w:rPr>
        <w:fldChar w:fldCharType="begin"/>
      </w:r>
      <w:r>
        <w:rPr>
          <w:szCs w:val="22"/>
          <w:lang w:eastAsia="en-GB" w:bidi="ar-SA"/>
        </w:rPr>
        <w:instrText xml:space="preserve"> REF _Ref421632464 \r \h  \* MERGEFORMAT </w:instrText>
      </w:r>
      <w:r>
        <w:rPr>
          <w:szCs w:val="22"/>
          <w:lang w:eastAsia="en-GB" w:bidi="ar-SA"/>
        </w:rPr>
      </w:r>
      <w:r>
        <w:rPr>
          <w:szCs w:val="22"/>
          <w:lang w:eastAsia="en-GB" w:bidi="ar-SA"/>
        </w:rPr>
        <w:fldChar w:fldCharType="separate"/>
      </w:r>
      <w:r w:rsidR="001D5AD9">
        <w:rPr>
          <w:szCs w:val="22"/>
          <w:lang w:eastAsia="en-GB" w:bidi="ar-SA"/>
        </w:rPr>
        <w:t>[16]</w:t>
      </w:r>
      <w:r>
        <w:rPr>
          <w:szCs w:val="22"/>
          <w:lang w:eastAsia="en-GB" w:bidi="ar-SA"/>
        </w:rPr>
        <w:fldChar w:fldCharType="end"/>
      </w:r>
      <w:r>
        <w:rPr>
          <w:szCs w:val="22"/>
          <w:lang w:eastAsia="en-GB" w:bidi="ar-SA"/>
        </w:rPr>
        <w:t xml:space="preserve"> and </w:t>
      </w:r>
      <w:r>
        <w:rPr>
          <w:szCs w:val="22"/>
          <w:lang w:eastAsia="en-GB" w:bidi="ar-SA"/>
        </w:rPr>
        <w:fldChar w:fldCharType="begin"/>
      </w:r>
      <w:r>
        <w:rPr>
          <w:szCs w:val="22"/>
          <w:lang w:eastAsia="en-GB" w:bidi="ar-SA"/>
        </w:rPr>
        <w:instrText xml:space="preserve"> REF _Ref421632414 \r \h  \* MERGEFORMAT </w:instrText>
      </w:r>
      <w:r>
        <w:rPr>
          <w:szCs w:val="22"/>
          <w:lang w:eastAsia="en-GB" w:bidi="ar-SA"/>
        </w:rPr>
      </w:r>
      <w:r>
        <w:rPr>
          <w:szCs w:val="22"/>
          <w:lang w:eastAsia="en-GB" w:bidi="ar-SA"/>
        </w:rPr>
        <w:fldChar w:fldCharType="separate"/>
      </w:r>
      <w:r w:rsidR="001D5AD9">
        <w:rPr>
          <w:szCs w:val="22"/>
          <w:lang w:eastAsia="en-GB" w:bidi="ar-SA"/>
        </w:rPr>
        <w:t>[17]</w:t>
      </w:r>
      <w:r>
        <w:rPr>
          <w:szCs w:val="22"/>
          <w:lang w:eastAsia="en-GB" w:bidi="ar-SA"/>
        </w:rPr>
        <w:fldChar w:fldCharType="end"/>
      </w:r>
      <w:r>
        <w:rPr>
          <w:szCs w:val="22"/>
          <w:lang w:eastAsia="en-GB" w:bidi="ar-SA"/>
        </w:rPr>
        <w:t xml:space="preserve">. The figure assumes the security is ok. In case of a temporary or fixable error, the SM-SR SHALL retry or fix the error. </w:t>
      </w:r>
    </w:p>
    <w:p w14:paraId="42DE4F91" w14:textId="77777777" w:rsidR="00B97365" w:rsidRDefault="00000000">
      <w:pPr>
        <w:numPr>
          <w:ilvl w:val="0"/>
          <w:numId w:val="99"/>
        </w:numPr>
        <w:spacing w:before="0" w:after="200" w:line="276" w:lineRule="auto"/>
        <w:contextualSpacing/>
        <w:rPr>
          <w:rFonts w:cs="Arial"/>
          <w:szCs w:val="22"/>
          <w:lang w:eastAsia="en-GB" w:bidi="ar-SA"/>
        </w:rPr>
      </w:pPr>
      <w:r>
        <w:t>The first POST request is sent to the SM-SR as defined in section 2.4.4.2.</w:t>
      </w:r>
    </w:p>
    <w:p w14:paraId="659F5826" w14:textId="77777777" w:rsidR="00B97365" w:rsidRDefault="00000000">
      <w:pPr>
        <w:spacing w:before="0" w:after="200" w:line="276" w:lineRule="auto"/>
        <w:jc w:val="left"/>
        <w:rPr>
          <w:rFonts w:cs="Arial"/>
          <w:szCs w:val="22"/>
          <w:lang w:eastAsia="en-GB" w:bidi="ar-SA"/>
        </w:rPr>
      </w:pPr>
      <w:r>
        <w:rPr>
          <w:rFonts w:cs="Arial"/>
          <w:szCs w:val="22"/>
          <w:lang w:eastAsia="en-GB" w:bidi="ar-SA"/>
        </w:rPr>
        <w:t>Then the SM-SR can continue with the procedure to execute.</w:t>
      </w:r>
    </w:p>
    <w:p w14:paraId="2D0587EB" w14:textId="77777777" w:rsidR="00B97365" w:rsidRDefault="00000000">
      <w:pPr>
        <w:keepNext/>
        <w:keepLines/>
        <w:numPr>
          <w:ilvl w:val="2"/>
          <w:numId w:val="1"/>
        </w:numPr>
        <w:spacing w:before="0" w:after="60" w:line="276" w:lineRule="auto"/>
        <w:jc w:val="left"/>
        <w:outlineLvl w:val="2"/>
        <w:rPr>
          <w:rFonts w:eastAsia="Times New Roman" w:cs="Arial"/>
          <w:b/>
          <w:bCs/>
          <w:iCs/>
          <w:sz w:val="24"/>
          <w:szCs w:val="26"/>
          <w:lang w:eastAsia="en-US"/>
        </w:rPr>
      </w:pPr>
      <w:bookmarkStart w:id="1111" w:name="_Ref477795793"/>
      <w:bookmarkStart w:id="1112" w:name="_Ref483300482"/>
      <w:bookmarkStart w:id="1113" w:name="_Toc486332826"/>
      <w:bookmarkStart w:id="1114" w:name="_Toc1977243"/>
      <w:bookmarkStart w:id="1115" w:name="_Toc37062399"/>
      <w:bookmarkStart w:id="1116" w:name="_Toc88839507"/>
      <w:bookmarkStart w:id="1117" w:name="_Toc121503915"/>
      <w:r>
        <w:rPr>
          <w:rFonts w:eastAsia="Times New Roman" w:cs="Arial"/>
          <w:b/>
          <w:bCs/>
          <w:iCs/>
          <w:sz w:val="24"/>
          <w:szCs w:val="26"/>
          <w:lang w:eastAsia="en-US"/>
        </w:rPr>
        <w:t>DNS</w:t>
      </w:r>
      <w:bookmarkEnd w:id="1111"/>
      <w:r>
        <w:rPr>
          <w:rFonts w:eastAsia="Times New Roman" w:cs="Arial"/>
          <w:b/>
          <w:bCs/>
          <w:iCs/>
          <w:sz w:val="24"/>
          <w:szCs w:val="26"/>
          <w:lang w:eastAsia="en-US"/>
        </w:rPr>
        <w:t xml:space="preserve"> Resolution</w:t>
      </w:r>
      <w:bookmarkEnd w:id="1112"/>
      <w:bookmarkEnd w:id="1113"/>
      <w:bookmarkEnd w:id="1114"/>
      <w:bookmarkEnd w:id="1115"/>
      <w:bookmarkEnd w:id="1116"/>
      <w:bookmarkEnd w:id="1117"/>
    </w:p>
    <w:p w14:paraId="483BFB3E" w14:textId="77777777" w:rsidR="00B97365" w:rsidRDefault="00000000">
      <w:pPr>
        <w:spacing w:before="0" w:after="200" w:line="276" w:lineRule="auto"/>
        <w:jc w:val="left"/>
        <w:rPr>
          <w:szCs w:val="22"/>
          <w:lang w:val="en" w:eastAsia="en-GB" w:bidi="ar-SA"/>
        </w:rPr>
      </w:pPr>
      <w:r>
        <w:rPr>
          <w:szCs w:val="22"/>
          <w:lang w:val="en" w:eastAsia="en-GB" w:bidi="ar-SA"/>
        </w:rPr>
        <w:t>DNS resolution is an optional feature that is triggered only when:</w:t>
      </w:r>
    </w:p>
    <w:p w14:paraId="40224E31" w14:textId="77777777" w:rsidR="00B97365" w:rsidRDefault="00000000">
      <w:pPr>
        <w:numPr>
          <w:ilvl w:val="0"/>
          <w:numId w:val="11"/>
        </w:numPr>
        <w:tabs>
          <w:tab w:val="left" w:pos="680"/>
        </w:tabs>
        <w:spacing w:before="0" w:after="200" w:line="276" w:lineRule="auto"/>
        <w:contextualSpacing/>
        <w:jc w:val="left"/>
        <w:rPr>
          <w:szCs w:val="22"/>
          <w:lang w:val="en" w:eastAsia="en-GB" w:bidi="ar-SA"/>
        </w:rPr>
      </w:pPr>
      <w:r>
        <w:rPr>
          <w:szCs w:val="22"/>
          <w:lang w:val="en" w:eastAsia="en-GB" w:bidi="ar-SA"/>
        </w:rPr>
        <w:lastRenderedPageBreak/>
        <w:t>The eUICC includes a DNS resolver Client configured to initiate the DNS queries to server</w:t>
      </w:r>
    </w:p>
    <w:p w14:paraId="7F1E9161" w14:textId="77777777" w:rsidR="00B97365" w:rsidRDefault="00000000">
      <w:pPr>
        <w:numPr>
          <w:ilvl w:val="0"/>
          <w:numId w:val="11"/>
        </w:numPr>
        <w:tabs>
          <w:tab w:val="left" w:pos="680"/>
        </w:tabs>
        <w:spacing w:before="0" w:after="200" w:line="276" w:lineRule="auto"/>
        <w:contextualSpacing/>
        <w:jc w:val="left"/>
        <w:rPr>
          <w:szCs w:val="22"/>
          <w:lang w:val="en" w:eastAsia="en-GB" w:bidi="ar-SA"/>
        </w:rPr>
      </w:pPr>
      <w:r>
        <w:rPr>
          <w:szCs w:val="22"/>
          <w:lang w:val="en" w:eastAsia="en-GB" w:bidi="ar-SA"/>
        </w:rPr>
        <w:t>The SM-SR relies upon a DNS Resolver Server able to provide the IP address associated to the domain name sent by the client query.</w:t>
      </w:r>
    </w:p>
    <w:p w14:paraId="52BC1F70" w14:textId="77777777" w:rsidR="00B97365" w:rsidRDefault="00000000">
      <w:pPr>
        <w:numPr>
          <w:ilvl w:val="0"/>
          <w:numId w:val="11"/>
        </w:numPr>
        <w:tabs>
          <w:tab w:val="left" w:pos="680"/>
        </w:tabs>
        <w:spacing w:before="0" w:after="200" w:line="276" w:lineRule="auto"/>
        <w:contextualSpacing/>
        <w:jc w:val="left"/>
        <w:rPr>
          <w:szCs w:val="22"/>
          <w:lang w:val="en" w:eastAsia="en-GB" w:bidi="ar-SA"/>
        </w:rPr>
      </w:pPr>
      <w:r>
        <w:rPr>
          <w:rFonts w:cs="Arial"/>
          <w:szCs w:val="22"/>
          <w:lang w:eastAsia="en-GB" w:bidi="ar-SA"/>
        </w:rPr>
        <w:t>The eUICC determines that it has to resolve the IP address of the SM-SR server</w:t>
      </w:r>
    </w:p>
    <w:p w14:paraId="160EE66E"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val="en" w:eastAsia="en-US" w:bidi="ar-SA"/>
        </w:rPr>
      </w:pPr>
      <w:bookmarkStart w:id="1118" w:name="_Ref478743238"/>
      <w:bookmarkStart w:id="1119" w:name="_Toc1977244"/>
      <w:bookmarkStart w:id="1120" w:name="_Toc37062400"/>
      <w:r>
        <w:rPr>
          <w:rFonts w:ascii="Arial Bold" w:eastAsia="Times New Roman" w:hAnsi="Arial Bold" w:cs="Arial"/>
          <w:b/>
          <w:iCs/>
          <w:szCs w:val="28"/>
          <w:lang w:val="en" w:eastAsia="en-US" w:bidi="ar-SA"/>
        </w:rPr>
        <w:t>Criteria to determine whether DNS resolution is needed</w:t>
      </w:r>
      <w:bookmarkEnd w:id="1118"/>
      <w:bookmarkEnd w:id="1119"/>
      <w:bookmarkEnd w:id="1120"/>
    </w:p>
    <w:p w14:paraId="54AABC29" w14:textId="77777777" w:rsidR="00B97365" w:rsidRDefault="00000000">
      <w:pPr>
        <w:tabs>
          <w:tab w:val="left" w:pos="680"/>
        </w:tabs>
        <w:spacing w:before="0" w:after="200" w:line="276" w:lineRule="auto"/>
        <w:contextualSpacing/>
        <w:jc w:val="left"/>
        <w:rPr>
          <w:rFonts w:cs="Arial"/>
          <w:szCs w:val="22"/>
          <w:lang w:eastAsia="en-GB" w:bidi="ar-SA"/>
        </w:rPr>
      </w:pPr>
      <w:r>
        <w:rPr>
          <w:rFonts w:cs="Arial"/>
          <w:szCs w:val="22"/>
          <w:lang w:eastAsia="en-GB" w:bidi="ar-SA"/>
        </w:rPr>
        <w:t>If:</w:t>
      </w:r>
    </w:p>
    <w:p w14:paraId="3501658F"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eUICC is requested to open an HTTPS session and</w:t>
      </w:r>
    </w:p>
    <w:p w14:paraId="11A1F1AC"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eUICC supports DNS resolution and</w:t>
      </w:r>
    </w:p>
    <w:p w14:paraId="0CC11B58"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ISD-R has no IP address configured in the Connection Parameters of its Administration Session Triggering Parameters nor in the Administration Session Triggering SMS that may have triggered the session (as defined by Global Platform Amendment B [8]) and</w:t>
      </w:r>
    </w:p>
    <w:p w14:paraId="6742B9DC" w14:textId="7B64F86B"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the ISD-R has a FQDN, and IP addresses of DNS servers, configured in DNS parameters as defined in section </w:t>
      </w:r>
      <w:r>
        <w:rPr>
          <w:szCs w:val="22"/>
          <w:lang w:eastAsia="en-GB" w:bidi="ar-SA"/>
        </w:rPr>
        <w:fldChar w:fldCharType="begin"/>
      </w:r>
      <w:r>
        <w:rPr>
          <w:szCs w:val="22"/>
          <w:lang w:eastAsia="en-GB" w:bidi="ar-SA"/>
        </w:rPr>
        <w:instrText xml:space="preserve"> REF _Ref486241451 \r \h </w:instrText>
      </w:r>
      <w:r>
        <w:rPr>
          <w:szCs w:val="22"/>
          <w:lang w:eastAsia="en-GB" w:bidi="ar-SA"/>
        </w:rPr>
      </w:r>
      <w:r>
        <w:rPr>
          <w:szCs w:val="22"/>
          <w:lang w:eastAsia="en-GB" w:bidi="ar-SA"/>
        </w:rPr>
        <w:fldChar w:fldCharType="separate"/>
      </w:r>
      <w:r w:rsidR="001D5AD9">
        <w:rPr>
          <w:szCs w:val="22"/>
          <w:lang w:eastAsia="en-GB" w:bidi="ar-SA"/>
        </w:rPr>
        <w:t>4.1.1.10</w:t>
      </w:r>
      <w:r>
        <w:rPr>
          <w:szCs w:val="22"/>
          <w:lang w:eastAsia="en-GB" w:bidi="ar-SA"/>
        </w:rPr>
        <w:fldChar w:fldCharType="end"/>
      </w:r>
      <w:r>
        <w:rPr>
          <w:szCs w:val="22"/>
          <w:lang w:eastAsia="en-GB" w:bidi="ar-SA"/>
        </w:rPr>
        <w:t xml:space="preserve"> and</w:t>
      </w:r>
    </w:p>
    <w:p w14:paraId="05E12449"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ISD-R has not already resolved the FQDN to an IP address, or has resolved it but has reasons to consider the resolved value is stale</w:t>
      </w:r>
    </w:p>
    <w:p w14:paraId="2939C58F" w14:textId="368ABE99" w:rsidR="00B97365" w:rsidRDefault="00000000">
      <w:pPr>
        <w:tabs>
          <w:tab w:val="left" w:pos="680"/>
        </w:tabs>
        <w:jc w:val="left"/>
        <w:rPr>
          <w:rFonts w:cs="Arial"/>
          <w:szCs w:val="22"/>
          <w:lang w:eastAsia="en-GB" w:bidi="ar-SA"/>
        </w:rPr>
      </w:pPr>
      <w:r>
        <w:rPr>
          <w:rFonts w:cs="Arial"/>
          <w:szCs w:val="22"/>
          <w:lang w:eastAsia="en-GB" w:bidi="ar-SA"/>
        </w:rPr>
        <w:t xml:space="preserve">then the eUICC SHALL perform a DNS resolution as described in the procedure </w:t>
      </w:r>
      <w:r>
        <w:rPr>
          <w:rFonts w:cs="Arial"/>
          <w:szCs w:val="22"/>
          <w:lang w:eastAsia="en-GB" w:bidi="ar-SA"/>
        </w:rPr>
        <w:fldChar w:fldCharType="begin"/>
      </w:r>
      <w:r>
        <w:rPr>
          <w:rFonts w:cs="Arial"/>
          <w:szCs w:val="22"/>
          <w:lang w:eastAsia="en-GB" w:bidi="ar-SA"/>
        </w:rPr>
        <w:instrText xml:space="preserve"> REF _Ref478742192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2.4.5.3</w:t>
      </w:r>
      <w:r>
        <w:rPr>
          <w:rFonts w:cs="Arial"/>
          <w:szCs w:val="22"/>
          <w:lang w:eastAsia="en-GB" w:bidi="ar-SA"/>
        </w:rPr>
        <w:fldChar w:fldCharType="end"/>
      </w:r>
      <w:r>
        <w:rPr>
          <w:rFonts w:cs="Arial"/>
          <w:szCs w:val="22"/>
          <w:lang w:eastAsia="en-GB" w:bidi="ar-SA"/>
        </w:rPr>
        <w:t xml:space="preserve"> to retrieve the IP address(es) of the SM-SR server.</w:t>
      </w:r>
    </w:p>
    <w:p w14:paraId="285CCBE7" w14:textId="77777777" w:rsidR="00B97365" w:rsidRDefault="00000000">
      <w:pPr>
        <w:tabs>
          <w:tab w:val="left" w:pos="680"/>
        </w:tabs>
        <w:jc w:val="left"/>
        <w:rPr>
          <w:rFonts w:cs="Arial"/>
          <w:szCs w:val="22"/>
          <w:lang w:eastAsia="en-GB" w:bidi="ar-SA"/>
        </w:rPr>
      </w:pPr>
      <w:r>
        <w:rPr>
          <w:rFonts w:cs="Arial"/>
          <w:szCs w:val="22"/>
          <w:lang w:eastAsia="en-GB" w:bidi="ar-SA"/>
        </w:rPr>
        <w:t>The eUICC MAY also support other heuristics to determine that DNS resolution is needed and to which DNS servers to send the DNS queries. For example it MAY obtain the IP addresses of DNS servers from the device as specified in ETSI TS 102 223 release 12.</w:t>
      </w:r>
    </w:p>
    <w:p w14:paraId="0B07254D"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val="en" w:eastAsia="en-US" w:bidi="ar-SA"/>
        </w:rPr>
      </w:pPr>
      <w:bookmarkStart w:id="1121" w:name="_Toc1977245"/>
      <w:bookmarkStart w:id="1122" w:name="_Toc37062401"/>
      <w:r>
        <w:rPr>
          <w:rFonts w:ascii="Arial Bold" w:eastAsia="Times New Roman" w:hAnsi="Arial Bold" w:cs="Arial"/>
          <w:b/>
          <w:iCs/>
          <w:szCs w:val="28"/>
          <w:lang w:val="en" w:eastAsia="en-US" w:bidi="ar-SA"/>
        </w:rPr>
        <w:t>DNS protocol features</w:t>
      </w:r>
      <w:bookmarkEnd w:id="1121"/>
      <w:bookmarkEnd w:id="1122"/>
    </w:p>
    <w:p w14:paraId="2C2EC048" w14:textId="77777777" w:rsidR="00B97365" w:rsidRDefault="00000000">
      <w:pPr>
        <w:tabs>
          <w:tab w:val="left" w:pos="680"/>
        </w:tabs>
        <w:spacing w:before="0" w:after="200" w:line="276" w:lineRule="auto"/>
        <w:contextualSpacing/>
        <w:jc w:val="left"/>
        <w:rPr>
          <w:lang w:val="en"/>
        </w:rPr>
      </w:pPr>
      <w:r>
        <w:rPr>
          <w:rFonts w:cs="Arial"/>
          <w:szCs w:val="22"/>
          <w:lang w:eastAsia="en-GB" w:bidi="ar-SA"/>
        </w:rPr>
        <w:t>The DNS resolver of SM-SR and eUICC SHALL</w:t>
      </w:r>
      <w:r>
        <w:rPr>
          <w:lang w:val="en"/>
        </w:rPr>
        <w:t>:</w:t>
      </w:r>
    </w:p>
    <w:p w14:paraId="189364AC" w14:textId="77777777" w:rsidR="00B97365" w:rsidRDefault="00000000">
      <w:pPr>
        <w:numPr>
          <w:ilvl w:val="0"/>
          <w:numId w:val="11"/>
        </w:numPr>
        <w:tabs>
          <w:tab w:val="left" w:pos="680"/>
        </w:tabs>
        <w:spacing w:before="0" w:after="200" w:line="276" w:lineRule="auto"/>
        <w:contextualSpacing/>
        <w:jc w:val="left"/>
        <w:rPr>
          <w:szCs w:val="22"/>
          <w:lang w:val="en" w:eastAsia="en-GB" w:bidi="ar-SA"/>
        </w:rPr>
      </w:pPr>
      <w:r>
        <w:rPr>
          <w:szCs w:val="22"/>
          <w:lang w:val="en" w:eastAsia="en-GB" w:bidi="ar-SA"/>
        </w:rPr>
        <w:t>Be compliant to RFC 1035 and RFC 3596 defining the Domain Name System and protocol</w:t>
      </w:r>
    </w:p>
    <w:p w14:paraId="6989DE24" w14:textId="77777777" w:rsidR="00B97365" w:rsidRDefault="00000000">
      <w:pPr>
        <w:numPr>
          <w:ilvl w:val="0"/>
          <w:numId w:val="11"/>
        </w:numPr>
        <w:tabs>
          <w:tab w:val="left" w:pos="680"/>
        </w:tabs>
        <w:spacing w:before="0" w:after="200" w:line="276" w:lineRule="auto"/>
        <w:contextualSpacing/>
        <w:jc w:val="left"/>
        <w:rPr>
          <w:szCs w:val="22"/>
          <w:lang w:val="en" w:eastAsia="en-GB" w:bidi="ar-SA"/>
        </w:rPr>
      </w:pPr>
      <w:r>
        <w:rPr>
          <w:szCs w:val="22"/>
          <w:lang w:val="en" w:eastAsia="en-GB" w:bidi="ar-SA"/>
        </w:rPr>
        <w:t>Support Query type A (IPv4) and AAAA (IPv6)</w:t>
      </w:r>
    </w:p>
    <w:p w14:paraId="691C0C1A" w14:textId="77777777" w:rsidR="00B97365" w:rsidRDefault="00000000">
      <w:pPr>
        <w:numPr>
          <w:ilvl w:val="0"/>
          <w:numId w:val="11"/>
        </w:numPr>
        <w:tabs>
          <w:tab w:val="left" w:pos="680"/>
        </w:tabs>
        <w:spacing w:before="0" w:after="200" w:line="276" w:lineRule="auto"/>
        <w:contextualSpacing/>
        <w:jc w:val="left"/>
        <w:rPr>
          <w:szCs w:val="22"/>
          <w:lang w:val="en" w:eastAsia="en-GB" w:bidi="ar-SA"/>
        </w:rPr>
      </w:pPr>
      <w:r>
        <w:rPr>
          <w:szCs w:val="22"/>
          <w:lang w:val="en" w:eastAsia="en-GB" w:bidi="ar-SA"/>
        </w:rPr>
        <w:t>Use UDP protocol</w:t>
      </w:r>
    </w:p>
    <w:p w14:paraId="74093967" w14:textId="77777777" w:rsidR="00B97365" w:rsidRDefault="00000000">
      <w:pPr>
        <w:numPr>
          <w:ilvl w:val="0"/>
          <w:numId w:val="11"/>
        </w:numPr>
        <w:tabs>
          <w:tab w:val="left" w:pos="680"/>
        </w:tabs>
        <w:spacing w:before="0" w:after="200" w:line="276" w:lineRule="auto"/>
        <w:contextualSpacing/>
        <w:jc w:val="left"/>
        <w:rPr>
          <w:szCs w:val="22"/>
          <w:lang w:val="en" w:eastAsia="en-GB" w:bidi="ar-SA"/>
        </w:rPr>
      </w:pPr>
      <w:r>
        <w:rPr>
          <w:szCs w:val="22"/>
          <w:lang w:val="en" w:eastAsia="en-GB" w:bidi="ar-SA"/>
        </w:rPr>
        <w:t>Support only Recursive mode: the DNS resolver Server SHALL recursively resolve the given FQDN query, meaning that the answer SHALL contain all the available IP addresses</w:t>
      </w:r>
    </w:p>
    <w:p w14:paraId="20EC1D34" w14:textId="77777777" w:rsidR="00B97365" w:rsidRDefault="00000000">
      <w:pPr>
        <w:numPr>
          <w:ilvl w:val="0"/>
          <w:numId w:val="11"/>
        </w:numPr>
        <w:tabs>
          <w:tab w:val="left" w:pos="680"/>
        </w:tabs>
        <w:spacing w:before="0" w:after="200" w:line="276" w:lineRule="auto"/>
        <w:contextualSpacing/>
        <w:jc w:val="left"/>
        <w:rPr>
          <w:szCs w:val="22"/>
          <w:lang w:val="en" w:eastAsia="en-GB" w:bidi="ar-SA"/>
        </w:rPr>
      </w:pPr>
      <w:r>
        <w:rPr>
          <w:szCs w:val="22"/>
          <w:lang w:val="en" w:eastAsia="en-GB" w:bidi="ar-SA"/>
        </w:rPr>
        <w:t>Send short responses: any response returned by DNS Server must fit in one UDP packet</w:t>
      </w:r>
    </w:p>
    <w:p w14:paraId="1D29263D"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val="en" w:eastAsia="en-US" w:bidi="ar-SA"/>
        </w:rPr>
      </w:pPr>
      <w:bookmarkStart w:id="1123" w:name="_Ref478742192"/>
      <w:bookmarkStart w:id="1124" w:name="_Toc1977246"/>
      <w:bookmarkStart w:id="1125" w:name="_Toc37062402"/>
      <w:r>
        <w:rPr>
          <w:rFonts w:ascii="Arial Bold" w:eastAsia="Times New Roman" w:hAnsi="Arial Bold" w:cs="Arial"/>
          <w:b/>
          <w:iCs/>
          <w:szCs w:val="28"/>
          <w:lang w:val="en" w:eastAsia="en-US" w:bidi="ar-SA"/>
        </w:rPr>
        <w:t>Procedure flow for DNS resolution</w:t>
      </w:r>
      <w:bookmarkEnd w:id="1123"/>
      <w:bookmarkEnd w:id="1124"/>
      <w:bookmarkEnd w:id="1125"/>
    </w:p>
    <w:p w14:paraId="4EACBD8A" w14:textId="46CD9D15"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rFonts w:cs="Arial"/>
          <w:szCs w:val="22"/>
          <w:lang w:eastAsia="en-GB" w:bidi="ar-SA"/>
        </w:rPr>
        <w:fldChar w:fldCharType="begin"/>
      </w:r>
      <w:r>
        <w:rPr>
          <w:rFonts w:cs="Arial"/>
          <w:szCs w:val="22"/>
          <w:lang w:eastAsia="en-GB" w:bidi="ar-SA"/>
        </w:rPr>
        <w:instrText xml:space="preserve"> REF _Ref477855422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Figure 10</w:t>
      </w:r>
      <w:r>
        <w:rPr>
          <w:rFonts w:cs="Arial"/>
          <w:szCs w:val="22"/>
          <w:lang w:eastAsia="en-GB" w:bidi="ar-SA"/>
        </w:rPr>
        <w:fldChar w:fldCharType="end"/>
      </w:r>
      <w:r>
        <w:rPr>
          <w:rFonts w:cs="Arial"/>
          <w:szCs w:val="22"/>
          <w:lang w:eastAsia="en-GB" w:bidi="ar-SA"/>
        </w:rPr>
        <w:t xml:space="preserve"> </w:t>
      </w:r>
      <w:r>
        <w:rPr>
          <w:szCs w:val="22"/>
          <w:lang w:eastAsia="en-GB" w:bidi="ar-SA"/>
        </w:rPr>
        <w:t>describes the basic exchange for DNS resolution</w:t>
      </w:r>
    </w:p>
    <w:p w14:paraId="53F026A1" w14:textId="77777777" w:rsidR="00B97365" w:rsidRDefault="00000000">
      <w:pPr>
        <w:jc w:val="center"/>
        <w:rPr>
          <w:rFonts w:cs="Calibri"/>
        </w:rPr>
      </w:pPr>
      <w:r>
        <w:rPr>
          <w:rFonts w:cs="Arial"/>
          <w:sz w:val="20"/>
        </w:rPr>
        <w:object w:dxaOrig="794" w:dyaOrig="655" w14:anchorId="2F95D85D">
          <v:shape id="_x0000_i1033" type="#_x0000_t75" style="width:449.75pt;height:174.05pt" o:ole="">
            <v:imagedata r:id="rId43" o:title="" cropbottom="34542f"/>
          </v:shape>
          <o:OLEObject Type="Embed" ProgID="PowerPoint.Slide.12" ShapeID="_x0000_i1033" DrawAspect="Content" ObjectID="_1738512078" r:id="rId44"/>
        </w:object>
      </w:r>
    </w:p>
    <w:p w14:paraId="3F06E3FA"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1126" w:name="_Ref477855422"/>
      <w:r>
        <w:rPr>
          <w:rFonts w:cs="Arial"/>
          <w:b/>
          <w:szCs w:val="22"/>
          <w:lang w:val="en-US" w:eastAsia="en-GB" w:bidi="ar-SA"/>
        </w:rPr>
        <w:t>: Sequence for Basic DNS resolution</w:t>
      </w:r>
      <w:bookmarkEnd w:id="1126"/>
    </w:p>
    <w:p w14:paraId="0664C078" w14:textId="77777777" w:rsidR="00B97365" w:rsidRDefault="00B97365">
      <w:pPr>
        <w:tabs>
          <w:tab w:val="left" w:pos="680"/>
        </w:tabs>
        <w:spacing w:before="0" w:after="200" w:line="276" w:lineRule="auto"/>
        <w:contextualSpacing/>
        <w:jc w:val="left"/>
        <w:rPr>
          <w:rFonts w:cs="Arial"/>
          <w:szCs w:val="22"/>
          <w:lang w:val="en-US" w:eastAsia="en-GB" w:bidi="ar-SA"/>
        </w:rPr>
      </w:pPr>
    </w:p>
    <w:p w14:paraId="62387C7B" w14:textId="5852678E" w:rsidR="00B97365" w:rsidRDefault="00000000">
      <w:pPr>
        <w:numPr>
          <w:ilvl w:val="0"/>
          <w:numId w:val="100"/>
        </w:numPr>
        <w:rPr>
          <w:rFonts w:cs="Arial"/>
          <w:lang w:val="en-US"/>
        </w:rPr>
      </w:pPr>
      <w:r>
        <w:rPr>
          <w:rFonts w:cs="Arial"/>
          <w:lang w:val="en-US"/>
        </w:rPr>
        <w:t xml:space="preserve">The eUICC determines that DNS resolution of SM-SR IP address is needed (as per section </w:t>
      </w:r>
      <w:r>
        <w:rPr>
          <w:rFonts w:cs="Arial"/>
          <w:lang w:val="en-US"/>
        </w:rPr>
        <w:fldChar w:fldCharType="begin"/>
      </w:r>
      <w:r>
        <w:rPr>
          <w:rFonts w:cs="Arial"/>
          <w:lang w:val="en-US"/>
        </w:rPr>
        <w:instrText xml:space="preserve"> REF _Ref478743238 \r \h </w:instrText>
      </w:r>
      <w:r>
        <w:rPr>
          <w:rFonts w:cs="Arial"/>
          <w:lang w:val="en-US"/>
        </w:rPr>
      </w:r>
      <w:r>
        <w:rPr>
          <w:rFonts w:cs="Arial"/>
          <w:lang w:val="en-US"/>
        </w:rPr>
        <w:fldChar w:fldCharType="separate"/>
      </w:r>
      <w:r w:rsidR="001D5AD9">
        <w:rPr>
          <w:rFonts w:cs="Arial"/>
          <w:lang w:val="en-US"/>
        </w:rPr>
        <w:t>2.4.5.1</w:t>
      </w:r>
      <w:r>
        <w:rPr>
          <w:rFonts w:cs="Arial"/>
          <w:lang w:val="en-US"/>
        </w:rPr>
        <w:fldChar w:fldCharType="end"/>
      </w:r>
      <w:r>
        <w:rPr>
          <w:rFonts w:cs="Arial"/>
          <w:lang w:val="en-US"/>
        </w:rPr>
        <w:t>)</w:t>
      </w:r>
    </w:p>
    <w:p w14:paraId="2C0C6010" w14:textId="129C5B71" w:rsidR="00B97365" w:rsidRDefault="00000000">
      <w:pPr>
        <w:numPr>
          <w:ilvl w:val="0"/>
          <w:numId w:val="100"/>
        </w:numPr>
        <w:rPr>
          <w:rFonts w:cs="Arial"/>
          <w:szCs w:val="22"/>
          <w:lang w:val="en-US" w:eastAsia="en-GB" w:bidi="ar-SA"/>
        </w:rPr>
      </w:pPr>
      <w:r>
        <w:rPr>
          <w:rFonts w:cs="Arial"/>
          <w:szCs w:val="22"/>
          <w:lang w:val="en-US" w:eastAsia="en-GB" w:bidi="ar-SA"/>
        </w:rPr>
        <w:t xml:space="preserve">if the device supports providing DNS IP addresses, the eUICC MAY obtain one or more IP addresses from the device; otherwise the eUICC SHALL use the IP addresses configured in the DNS parameters of the ISD-R’s SMSR addressing parameters (as defined in section </w:t>
      </w:r>
      <w:r>
        <w:rPr>
          <w:rFonts w:cs="Arial"/>
          <w:szCs w:val="22"/>
          <w:lang w:val="en-US" w:eastAsia="en-GB" w:bidi="ar-SA"/>
        </w:rPr>
        <w:fldChar w:fldCharType="begin"/>
      </w:r>
      <w:r>
        <w:rPr>
          <w:rFonts w:cs="Arial"/>
          <w:szCs w:val="22"/>
          <w:lang w:val="en-US" w:eastAsia="en-GB" w:bidi="ar-SA"/>
        </w:rPr>
        <w:instrText xml:space="preserve"> REF _Ref483300688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4.1.1.10</w:t>
      </w:r>
      <w:r>
        <w:rPr>
          <w:rFonts w:cs="Arial"/>
          <w:szCs w:val="22"/>
          <w:lang w:val="en-US" w:eastAsia="en-GB" w:bidi="ar-SA"/>
        </w:rPr>
        <w:fldChar w:fldCharType="end"/>
      </w:r>
      <w:r>
        <w:rPr>
          <w:rFonts w:cs="Arial"/>
          <w:szCs w:val="22"/>
          <w:lang w:val="en-US" w:eastAsia="en-GB" w:bidi="ar-SA"/>
        </w:rPr>
        <w:t>)</w:t>
      </w:r>
    </w:p>
    <w:p w14:paraId="71CE166F" w14:textId="77777777" w:rsidR="00B97365" w:rsidRDefault="00000000">
      <w:pPr>
        <w:tabs>
          <w:tab w:val="left" w:pos="680"/>
        </w:tabs>
        <w:spacing w:before="0" w:after="200" w:line="276" w:lineRule="auto"/>
        <w:ind w:left="680"/>
        <w:contextualSpacing/>
        <w:jc w:val="left"/>
        <w:rPr>
          <w:szCs w:val="22"/>
          <w:lang w:val="en-US" w:eastAsia="en-GB" w:bidi="ar-SA"/>
        </w:rPr>
      </w:pPr>
      <w:r>
        <w:rPr>
          <w:szCs w:val="22"/>
          <w:lang w:val="en-US" w:eastAsia="en-GB" w:bidi="ar-SA"/>
        </w:rPr>
        <w:t>The eUICC opens an UDP channel to the DNS server</w:t>
      </w:r>
    </w:p>
    <w:p w14:paraId="0A3F8B40" w14:textId="77777777" w:rsidR="00B97365" w:rsidRDefault="00000000">
      <w:pPr>
        <w:numPr>
          <w:ilvl w:val="0"/>
          <w:numId w:val="100"/>
        </w:numPr>
        <w:rPr>
          <w:rFonts w:cs="Arial"/>
          <w:szCs w:val="22"/>
          <w:lang w:val="en-US" w:eastAsia="en-GB" w:bidi="ar-SA"/>
        </w:rPr>
      </w:pPr>
      <w:r>
        <w:rPr>
          <w:rFonts w:cs="Arial"/>
          <w:szCs w:val="22"/>
          <w:lang w:val="en-US" w:eastAsia="en-GB" w:bidi="ar-SA"/>
        </w:rPr>
        <w:t>The eUICC sends the DNS Query to the DNS Resolver Server</w:t>
      </w:r>
    </w:p>
    <w:p w14:paraId="42CDD185" w14:textId="77777777" w:rsidR="00B97365" w:rsidRDefault="00000000">
      <w:pPr>
        <w:numPr>
          <w:ilvl w:val="0"/>
          <w:numId w:val="100"/>
        </w:numPr>
        <w:rPr>
          <w:rFonts w:cs="Arial"/>
          <w:szCs w:val="22"/>
          <w:lang w:val="en-US" w:eastAsia="en-GB" w:bidi="ar-SA"/>
        </w:rPr>
      </w:pPr>
      <w:r>
        <w:rPr>
          <w:rFonts w:cs="Arial"/>
          <w:szCs w:val="22"/>
          <w:lang w:val="en-US" w:eastAsia="en-GB" w:bidi="ar-SA"/>
        </w:rPr>
        <w:t>The DNS Resolver Server of SM-SR processes this query, and retrieves the IP address(es) of the SM-SR server</w:t>
      </w:r>
    </w:p>
    <w:p w14:paraId="6CEBA8CA" w14:textId="77777777" w:rsidR="00B97365" w:rsidRDefault="00000000">
      <w:pPr>
        <w:numPr>
          <w:ilvl w:val="0"/>
          <w:numId w:val="100"/>
        </w:numPr>
        <w:rPr>
          <w:rFonts w:cs="Arial"/>
          <w:szCs w:val="22"/>
          <w:lang w:val="en-US" w:eastAsia="en-GB" w:bidi="ar-SA"/>
        </w:rPr>
      </w:pPr>
      <w:r>
        <w:rPr>
          <w:rFonts w:cs="Arial"/>
          <w:szCs w:val="22"/>
          <w:lang w:val="en-US" w:eastAsia="en-GB" w:bidi="ar-SA"/>
        </w:rPr>
        <w:t>The DNS Resolver Server of the SM-SR send the DNS response including all the resolved IP addresses of the SM-SR server</w:t>
      </w:r>
    </w:p>
    <w:p w14:paraId="27B7468B"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 xml:space="preserve">The eUICC MAY implement proprietary mechanisms to leverage more than one IP addresses of DNS server, and more than one IP addresses of SM-SR server, such as retry procedures, load balancing procedures. </w:t>
      </w:r>
      <w:r>
        <w:rPr>
          <w:szCs w:val="22"/>
          <w:lang w:val="en-US" w:eastAsia="en-GB" w:bidi="ar-SA"/>
        </w:rPr>
        <w:t>The technical solution of these mechanisms is out of scope.</w:t>
      </w:r>
    </w:p>
    <w:p w14:paraId="3D1A1165"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val="fr-FR" w:eastAsia="en-US"/>
        </w:rPr>
      </w:pPr>
      <w:bookmarkStart w:id="1127" w:name="_Toc374345671"/>
      <w:bookmarkStart w:id="1128" w:name="_Toc374346017"/>
      <w:bookmarkStart w:id="1129" w:name="_Toc374346362"/>
      <w:bookmarkStart w:id="1130" w:name="_Toc374346708"/>
      <w:bookmarkStart w:id="1131" w:name="_Toc374345672"/>
      <w:bookmarkStart w:id="1132" w:name="_Toc374346018"/>
      <w:bookmarkStart w:id="1133" w:name="_Toc374346363"/>
      <w:bookmarkStart w:id="1134" w:name="_Toc374346709"/>
      <w:bookmarkStart w:id="1135" w:name="_Toc374345673"/>
      <w:bookmarkStart w:id="1136" w:name="_Toc374346019"/>
      <w:bookmarkStart w:id="1137" w:name="_Toc374346364"/>
      <w:bookmarkStart w:id="1138" w:name="_Toc374346710"/>
      <w:bookmarkStart w:id="1139" w:name="_Toc374348479"/>
      <w:bookmarkStart w:id="1140" w:name="_Toc375158221"/>
      <w:bookmarkStart w:id="1141" w:name="_Toc398214805"/>
      <w:bookmarkStart w:id="1142" w:name="_Toc420594332"/>
      <w:bookmarkStart w:id="1143" w:name="_Toc421874264"/>
      <w:bookmarkStart w:id="1144" w:name="_Toc422150684"/>
      <w:bookmarkStart w:id="1145" w:name="_Ref445910418"/>
      <w:bookmarkStart w:id="1146" w:name="_Ref445911253"/>
      <w:bookmarkStart w:id="1147" w:name="_Toc448998210"/>
      <w:bookmarkStart w:id="1148" w:name="_Toc486332827"/>
      <w:bookmarkStart w:id="1149" w:name="_Toc1977247"/>
      <w:bookmarkStart w:id="1150" w:name="_Toc37062403"/>
      <w:bookmarkStart w:id="1151" w:name="_Toc88839508"/>
      <w:bookmarkStart w:id="1152" w:name="_Toc121503916"/>
      <w:bookmarkStart w:id="1153" w:name="_Ref373918428"/>
      <w:bookmarkEnd w:id="1127"/>
      <w:bookmarkEnd w:id="1128"/>
      <w:bookmarkEnd w:id="1129"/>
      <w:bookmarkEnd w:id="1130"/>
      <w:bookmarkEnd w:id="1131"/>
      <w:bookmarkEnd w:id="1132"/>
      <w:bookmarkEnd w:id="1133"/>
      <w:bookmarkEnd w:id="1134"/>
      <w:bookmarkEnd w:id="1135"/>
      <w:bookmarkEnd w:id="1136"/>
      <w:bookmarkEnd w:id="1137"/>
      <w:bookmarkEnd w:id="1138"/>
      <w:r>
        <w:rPr>
          <w:rFonts w:eastAsia="Times New Roman" w:cs="Arial"/>
          <w:b/>
          <w:bCs/>
          <w:iCs/>
          <w:sz w:val="24"/>
          <w:szCs w:val="28"/>
          <w:lang w:val="fr-FR" w:eastAsia="en-US"/>
        </w:rPr>
        <w:t>Communication on ES8 (SM-DP - eUICC</w:t>
      </w:r>
      <w:bookmarkEnd w:id="1139"/>
      <w:bookmarkEnd w:id="1140"/>
      <w:bookmarkEnd w:id="1141"/>
      <w:bookmarkEnd w:id="1142"/>
      <w:bookmarkEnd w:id="1143"/>
      <w:bookmarkEnd w:id="1144"/>
      <w:bookmarkEnd w:id="1145"/>
      <w:bookmarkEnd w:id="1146"/>
      <w:bookmarkEnd w:id="1147"/>
      <w:bookmarkEnd w:id="1148"/>
      <w:r>
        <w:rPr>
          <w:rFonts w:eastAsia="Times New Roman" w:cs="Arial"/>
          <w:b/>
          <w:bCs/>
          <w:iCs/>
          <w:sz w:val="24"/>
          <w:szCs w:val="28"/>
          <w:lang w:val="fr-FR" w:eastAsia="en-US"/>
        </w:rPr>
        <w:t>)</w:t>
      </w:r>
      <w:bookmarkEnd w:id="1149"/>
      <w:bookmarkEnd w:id="1150"/>
      <w:bookmarkEnd w:id="1151"/>
      <w:bookmarkEnd w:id="1152"/>
    </w:p>
    <w:bookmarkEnd w:id="1153"/>
    <w:p w14:paraId="2C1A33CC" w14:textId="77777777" w:rsidR="00B97365" w:rsidRDefault="00000000">
      <w:pPr>
        <w:spacing w:before="0" w:after="200" w:line="276" w:lineRule="auto"/>
        <w:jc w:val="left"/>
        <w:rPr>
          <w:rFonts w:cs="Arial"/>
          <w:szCs w:val="22"/>
          <w:lang w:eastAsia="en-GB" w:bidi="ar-SA"/>
        </w:rPr>
      </w:pPr>
      <w:r>
        <w:rPr>
          <w:rFonts w:cs="Arial"/>
          <w:szCs w:val="22"/>
          <w:lang w:eastAsia="en-GB" w:bidi="ar-SA"/>
        </w:rPr>
        <w:t>The ES8 interface is between the SM-DP and its ISD-P and goes through the SM-SR.</w:t>
      </w:r>
    </w:p>
    <w:p w14:paraId="0441E65D" w14:textId="4B595FEC" w:rsidR="00B97365" w:rsidRDefault="00000000">
      <w:pPr>
        <w:spacing w:before="0" w:after="200" w:line="276" w:lineRule="auto"/>
        <w:jc w:val="left"/>
        <w:rPr>
          <w:szCs w:val="22"/>
          <w:lang w:eastAsia="en-GB" w:bidi="ar-SA"/>
        </w:rPr>
      </w:pPr>
      <w:r>
        <w:rPr>
          <w:rFonts w:cs="Arial"/>
          <w:szCs w:val="22"/>
          <w:lang w:eastAsia="en-GB" w:bidi="ar-SA"/>
        </w:rPr>
        <w:t xml:space="preserve">The ES8 is realised by a SCP03 or SCP03t secure channel that is tunnelled through the secure channel between the SM-DP and the SM-SR (ES3) and on through into the SCP80 or SCP81 secure channel between the SM-SR and the ISD-R (ES5). It is then provided by the ISD-R to the ISD-P. This is shown in the </w:t>
      </w:r>
      <w:r>
        <w:rPr>
          <w:szCs w:val="22"/>
          <w:lang w:eastAsia="en-GB" w:bidi="ar-SA"/>
        </w:rPr>
        <w:fldChar w:fldCharType="begin"/>
      </w:r>
      <w:r>
        <w:rPr>
          <w:szCs w:val="22"/>
          <w:lang w:eastAsia="en-GB" w:bidi="ar-SA"/>
        </w:rPr>
        <w:instrText xml:space="preserve"> REF _Ref373940872 \r \h </w:instrText>
      </w:r>
      <w:r>
        <w:rPr>
          <w:szCs w:val="22"/>
          <w:lang w:eastAsia="en-GB" w:bidi="ar-SA"/>
        </w:rPr>
      </w:r>
      <w:r>
        <w:rPr>
          <w:szCs w:val="22"/>
          <w:lang w:eastAsia="en-GB" w:bidi="ar-SA"/>
        </w:rPr>
        <w:fldChar w:fldCharType="separate"/>
      </w:r>
      <w:r w:rsidR="001D5AD9">
        <w:rPr>
          <w:szCs w:val="22"/>
          <w:lang w:eastAsia="en-GB" w:bidi="ar-SA"/>
        </w:rPr>
        <w:t>Figure 6</w:t>
      </w:r>
      <w:r>
        <w:rPr>
          <w:szCs w:val="22"/>
          <w:lang w:eastAsia="en-GB" w:bidi="ar-SA"/>
        </w:rPr>
        <w:fldChar w:fldCharType="end"/>
      </w:r>
      <w:r>
        <w:rPr>
          <w:szCs w:val="22"/>
          <w:lang w:eastAsia="en-GB" w:bidi="ar-SA"/>
        </w:rPr>
        <w:t xml:space="preserve">. </w:t>
      </w:r>
    </w:p>
    <w:p w14:paraId="6F2F3BAC" w14:textId="08F0E77B" w:rsidR="00B97365" w:rsidRDefault="00000000">
      <w:pPr>
        <w:spacing w:before="0" w:after="200" w:line="276" w:lineRule="auto"/>
        <w:jc w:val="left"/>
        <w:rPr>
          <w:szCs w:val="22"/>
          <w:lang w:eastAsia="en-GB" w:bidi="ar-SA"/>
        </w:rPr>
      </w:pPr>
      <w:r>
        <w:rPr>
          <w:rFonts w:cs="Arial"/>
          <w:szCs w:val="22"/>
          <w:lang w:eastAsia="en-GB" w:bidi="ar-SA"/>
        </w:rPr>
        <w:t xml:space="preserve">The eUICC SHALL support the Secure Channel Protocol 03 (SCP03) as defined in GlobalPlatform Card Specification Amendment D </w:t>
      </w:r>
      <w:r>
        <w:rPr>
          <w:szCs w:val="22"/>
          <w:lang w:eastAsia="en-GB" w:bidi="ar-SA"/>
        </w:rPr>
        <w:fldChar w:fldCharType="begin"/>
      </w:r>
      <w:r>
        <w:rPr>
          <w:szCs w:val="22"/>
          <w:lang w:eastAsia="en-GB" w:bidi="ar-SA"/>
        </w:rPr>
        <w:instrText xml:space="preserve"> REF _Ref421631938 \r \h </w:instrText>
      </w:r>
      <w:r>
        <w:rPr>
          <w:szCs w:val="22"/>
          <w:lang w:eastAsia="en-GB" w:bidi="ar-SA"/>
        </w:rPr>
      </w:r>
      <w:r>
        <w:rPr>
          <w:szCs w:val="22"/>
          <w:lang w:eastAsia="en-GB" w:bidi="ar-SA"/>
        </w:rPr>
        <w:fldChar w:fldCharType="separate"/>
      </w:r>
      <w:r w:rsidR="001D5AD9">
        <w:rPr>
          <w:szCs w:val="22"/>
          <w:lang w:eastAsia="en-GB" w:bidi="ar-SA"/>
        </w:rPr>
        <w:t>[10]</w:t>
      </w:r>
      <w:r>
        <w:rPr>
          <w:szCs w:val="22"/>
          <w:lang w:eastAsia="en-GB" w:bidi="ar-SA"/>
        </w:rPr>
        <w:fldChar w:fldCharType="end"/>
      </w:r>
      <w:r>
        <w:rPr>
          <w:szCs w:val="22"/>
          <w:lang w:eastAsia="en-GB" w:bidi="ar-SA"/>
        </w:rPr>
        <w:t xml:space="preserve">, as well as the variant SCP03t defined in this specification (see section </w:t>
      </w:r>
      <w:r>
        <w:rPr>
          <w:szCs w:val="22"/>
          <w:lang w:eastAsia="en-GB" w:bidi="ar-SA"/>
        </w:rPr>
        <w:fldChar w:fldCharType="begin"/>
      </w:r>
      <w:r>
        <w:rPr>
          <w:szCs w:val="22"/>
          <w:lang w:eastAsia="en-GB" w:bidi="ar-SA"/>
        </w:rPr>
        <w:instrText xml:space="preserve"> REF _Ref373505545 \r \h </w:instrText>
      </w:r>
      <w:r>
        <w:rPr>
          <w:szCs w:val="22"/>
          <w:lang w:eastAsia="en-GB" w:bidi="ar-SA"/>
        </w:rPr>
      </w:r>
      <w:r>
        <w:rPr>
          <w:szCs w:val="22"/>
          <w:lang w:eastAsia="en-GB" w:bidi="ar-SA"/>
        </w:rPr>
        <w:fldChar w:fldCharType="separate"/>
      </w:r>
      <w:r w:rsidR="001D5AD9">
        <w:rPr>
          <w:szCs w:val="22"/>
          <w:lang w:eastAsia="en-GB" w:bidi="ar-SA"/>
        </w:rPr>
        <w:t>4.1.3.3</w:t>
      </w:r>
      <w:r>
        <w:rPr>
          <w:szCs w:val="22"/>
          <w:lang w:eastAsia="en-GB" w:bidi="ar-SA"/>
        </w:rPr>
        <w:fldChar w:fldCharType="end"/>
      </w:r>
      <w:r>
        <w:rPr>
          <w:szCs w:val="22"/>
          <w:lang w:eastAsia="en-GB" w:bidi="ar-SA"/>
        </w:rPr>
        <w:t>), with:</w:t>
      </w:r>
    </w:p>
    <w:p w14:paraId="0211370A" w14:textId="77777777" w:rsidR="00B97365" w:rsidRDefault="00000000">
      <w:pPr>
        <w:numPr>
          <w:ilvl w:val="0"/>
          <w:numId w:val="40"/>
        </w:numPr>
        <w:tabs>
          <w:tab w:val="left" w:pos="680"/>
        </w:tabs>
        <w:spacing w:before="0" w:after="200" w:line="276" w:lineRule="auto"/>
        <w:contextualSpacing/>
        <w:jc w:val="left"/>
        <w:rPr>
          <w:szCs w:val="22"/>
          <w:lang w:eastAsia="en-GB" w:bidi="ar-SA"/>
        </w:rPr>
      </w:pPr>
      <w:r>
        <w:rPr>
          <w:szCs w:val="22"/>
          <w:lang w:eastAsia="en-GB" w:bidi="ar-SA"/>
        </w:rPr>
        <w:t>AES in CBC mode with key length of 128 bits, referred as AES-128</w:t>
      </w:r>
    </w:p>
    <w:p w14:paraId="6979305B" w14:textId="77777777" w:rsidR="00B97365" w:rsidRDefault="00000000">
      <w:pPr>
        <w:numPr>
          <w:ilvl w:val="0"/>
          <w:numId w:val="40"/>
        </w:numPr>
        <w:tabs>
          <w:tab w:val="left" w:pos="680"/>
        </w:tabs>
        <w:spacing w:before="0" w:after="200" w:line="276" w:lineRule="auto"/>
        <w:contextualSpacing/>
        <w:jc w:val="left"/>
        <w:rPr>
          <w:szCs w:val="22"/>
          <w:lang w:eastAsia="en-GB" w:bidi="ar-SA"/>
        </w:rPr>
      </w:pPr>
      <w:r>
        <w:rPr>
          <w:szCs w:val="22"/>
          <w:lang w:eastAsia="en-GB" w:bidi="ar-SA"/>
        </w:rPr>
        <w:t>Use of C-MAC, C-DECRYPTION R-MAC and R-ENCRYPTION for SCP03 (set in reference control parameter P1 of the EXTERNAL AUTHENTICATE command) and for SCP03t.</w:t>
      </w:r>
    </w:p>
    <w:p w14:paraId="6940F5F7" w14:textId="77777777" w:rsidR="00B97365" w:rsidRDefault="00000000">
      <w:pPr>
        <w:numPr>
          <w:ilvl w:val="0"/>
          <w:numId w:val="40"/>
        </w:numPr>
        <w:tabs>
          <w:tab w:val="left" w:pos="680"/>
        </w:tabs>
        <w:spacing w:before="0" w:after="200" w:line="276" w:lineRule="auto"/>
        <w:contextualSpacing/>
        <w:jc w:val="left"/>
        <w:rPr>
          <w:szCs w:val="22"/>
          <w:lang w:eastAsia="en-GB" w:bidi="ar-SA"/>
        </w:rPr>
      </w:pPr>
      <w:r>
        <w:rPr>
          <w:szCs w:val="22"/>
          <w:lang w:eastAsia="en-GB" w:bidi="ar-SA"/>
        </w:rPr>
        <w:lastRenderedPageBreak/>
        <w:t>Use of mode i=’70’, meaning use of pseudo-random card challenge, R-MAC and R-ENCRYPTION support</w:t>
      </w:r>
    </w:p>
    <w:p w14:paraId="7C28EC94" w14:textId="77777777" w:rsidR="00B97365" w:rsidRDefault="00B97365">
      <w:pPr>
        <w:spacing w:before="0" w:line="276" w:lineRule="auto"/>
        <w:jc w:val="left"/>
        <w:rPr>
          <w:rFonts w:cs="Arial"/>
          <w:szCs w:val="22"/>
          <w:lang w:eastAsia="en-GB" w:bidi="ar-SA"/>
        </w:rPr>
      </w:pPr>
    </w:p>
    <w:p w14:paraId="4908E087" w14:textId="77777777" w:rsidR="00B97365" w:rsidRDefault="00000000">
      <w:pPr>
        <w:spacing w:before="0" w:after="200" w:line="276" w:lineRule="auto"/>
        <w:jc w:val="left"/>
        <w:rPr>
          <w:rFonts w:cs="Arial"/>
          <w:szCs w:val="22"/>
          <w:lang w:eastAsia="en-GB" w:bidi="ar-SA"/>
        </w:rPr>
      </w:pPr>
      <w:r>
        <w:rPr>
          <w:rFonts w:cs="Arial"/>
          <w:szCs w:val="22"/>
          <w:lang w:eastAsia="en-GB" w:bidi="ar-SA"/>
        </w:rPr>
        <w:t>As a result the SM-DP and its ISD-P are mutually authenticated, all commands sent from the SM-DP to the ISD-P are signed and encrypted, and all responses sent by the ISD-P to the SM-DP are also signed and encrypted</w:t>
      </w:r>
      <w:bookmarkStart w:id="1154" w:name="_Toc361324172"/>
      <w:bookmarkStart w:id="1155" w:name="_Toc361324611"/>
      <w:bookmarkStart w:id="1156" w:name="_Toc361325040"/>
      <w:bookmarkStart w:id="1157" w:name="_Toc361325460"/>
      <w:bookmarkStart w:id="1158" w:name="_Toc361325881"/>
      <w:bookmarkStart w:id="1159" w:name="_Toc361326285"/>
      <w:bookmarkStart w:id="1160" w:name="_Toc361326686"/>
      <w:bookmarkStart w:id="1161" w:name="_Toc361327072"/>
      <w:bookmarkStart w:id="1162" w:name="_Toc361327453"/>
      <w:bookmarkStart w:id="1163" w:name="_Toc361327832"/>
      <w:bookmarkStart w:id="1164" w:name="_Toc361328204"/>
      <w:bookmarkStart w:id="1165" w:name="_Toc361328576"/>
      <w:bookmarkStart w:id="1166" w:name="_Toc361394374"/>
      <w:bookmarkStart w:id="1167" w:name="_Toc362882312"/>
      <w:bookmarkStart w:id="1168" w:name="_Toc362882697"/>
      <w:bookmarkStart w:id="1169" w:name="_Toc362883079"/>
      <w:bookmarkStart w:id="1170" w:name="_Toc362883458"/>
      <w:bookmarkStart w:id="1171" w:name="_Toc362883836"/>
      <w:bookmarkStart w:id="1172" w:name="_Toc362884213"/>
      <w:bookmarkStart w:id="1173" w:name="_Toc362884590"/>
      <w:bookmarkStart w:id="1174" w:name="_Toc362884965"/>
      <w:bookmarkStart w:id="1175" w:name="_Toc362945906"/>
      <w:bookmarkStart w:id="1176" w:name="_Toc362946621"/>
      <w:bookmarkStart w:id="1177" w:name="_Toc365571090"/>
      <w:bookmarkStart w:id="1178" w:name="_Toc365624586"/>
      <w:bookmarkStart w:id="1179" w:name="_Toc365899597"/>
      <w:bookmarkStart w:id="1180" w:name="_Toc365982406"/>
      <w:bookmarkStart w:id="1181" w:name="_Toc367445877"/>
      <w:bookmarkStart w:id="1182" w:name="_Toc368048088"/>
      <w:bookmarkStart w:id="1183" w:name="_Toc368583659"/>
      <w:bookmarkStart w:id="1184" w:name="_Toc368652754"/>
      <w:bookmarkStart w:id="1185" w:name="_Toc36893219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r>
        <w:rPr>
          <w:rFonts w:cs="Arial"/>
          <w:szCs w:val="22"/>
          <w:lang w:eastAsia="en-GB" w:bidi="ar-SA"/>
        </w:rPr>
        <w:t xml:space="preserve">. </w:t>
      </w:r>
    </w:p>
    <w:p w14:paraId="749A7122"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186" w:name="_Toc374345676"/>
      <w:bookmarkStart w:id="1187" w:name="_Toc374346022"/>
      <w:bookmarkStart w:id="1188" w:name="_Toc374346367"/>
      <w:bookmarkStart w:id="1189" w:name="_Toc374346713"/>
      <w:bookmarkStart w:id="1190" w:name="_Toc374345677"/>
      <w:bookmarkStart w:id="1191" w:name="_Toc374346023"/>
      <w:bookmarkStart w:id="1192" w:name="_Toc374346368"/>
      <w:bookmarkStart w:id="1193" w:name="_Toc374346714"/>
      <w:bookmarkStart w:id="1194" w:name="_Toc361324173"/>
      <w:bookmarkStart w:id="1195" w:name="_Toc361324612"/>
      <w:bookmarkStart w:id="1196" w:name="_Toc361325041"/>
      <w:bookmarkStart w:id="1197" w:name="_Toc361325461"/>
      <w:bookmarkStart w:id="1198" w:name="_Toc361325882"/>
      <w:bookmarkStart w:id="1199" w:name="_Toc361326286"/>
      <w:bookmarkStart w:id="1200" w:name="_Toc361326687"/>
      <w:bookmarkStart w:id="1201" w:name="_Toc361327073"/>
      <w:bookmarkStart w:id="1202" w:name="_Toc361327454"/>
      <w:bookmarkStart w:id="1203" w:name="_Toc361327833"/>
      <w:bookmarkStart w:id="1204" w:name="_Toc361328205"/>
      <w:bookmarkStart w:id="1205" w:name="_Toc361328577"/>
      <w:bookmarkStart w:id="1206" w:name="_Toc361394375"/>
      <w:bookmarkStart w:id="1207" w:name="_Toc362882313"/>
      <w:bookmarkStart w:id="1208" w:name="_Toc362882698"/>
      <w:bookmarkStart w:id="1209" w:name="_Toc362883080"/>
      <w:bookmarkStart w:id="1210" w:name="_Toc362883459"/>
      <w:bookmarkStart w:id="1211" w:name="_Toc362883837"/>
      <w:bookmarkStart w:id="1212" w:name="_Toc362884214"/>
      <w:bookmarkStart w:id="1213" w:name="_Toc362884591"/>
      <w:bookmarkStart w:id="1214" w:name="_Toc362884966"/>
      <w:bookmarkStart w:id="1215" w:name="_Toc362945907"/>
      <w:bookmarkStart w:id="1216" w:name="_Toc362946622"/>
      <w:bookmarkStart w:id="1217" w:name="_Toc365571091"/>
      <w:bookmarkStart w:id="1218" w:name="_Toc365624587"/>
      <w:bookmarkStart w:id="1219" w:name="_Toc365899598"/>
      <w:bookmarkStart w:id="1220" w:name="_Toc365982407"/>
      <w:bookmarkStart w:id="1221" w:name="_Toc367445878"/>
      <w:bookmarkStart w:id="1222" w:name="_Toc368048089"/>
      <w:bookmarkStart w:id="1223" w:name="_Toc368583660"/>
      <w:bookmarkStart w:id="1224" w:name="_Toc368652755"/>
      <w:bookmarkStart w:id="1225" w:name="_Toc368932194"/>
      <w:bookmarkStart w:id="1226" w:name="_Toc374345678"/>
      <w:bookmarkStart w:id="1227" w:name="_Toc374346024"/>
      <w:bookmarkStart w:id="1228" w:name="_Toc374346369"/>
      <w:bookmarkStart w:id="1229" w:name="_Toc374346715"/>
      <w:bookmarkStart w:id="1230" w:name="_Toc361324174"/>
      <w:bookmarkStart w:id="1231" w:name="_Toc361324613"/>
      <w:bookmarkStart w:id="1232" w:name="_Toc361325042"/>
      <w:bookmarkStart w:id="1233" w:name="_Toc361325462"/>
      <w:bookmarkStart w:id="1234" w:name="_Toc361325883"/>
      <w:bookmarkStart w:id="1235" w:name="_Toc361326287"/>
      <w:bookmarkStart w:id="1236" w:name="_Toc361326688"/>
      <w:bookmarkStart w:id="1237" w:name="_Toc361327074"/>
      <w:bookmarkStart w:id="1238" w:name="_Toc361327455"/>
      <w:bookmarkStart w:id="1239" w:name="_Toc361327834"/>
      <w:bookmarkStart w:id="1240" w:name="_Toc361328206"/>
      <w:bookmarkStart w:id="1241" w:name="_Toc361328578"/>
      <w:bookmarkStart w:id="1242" w:name="_Toc361394376"/>
      <w:bookmarkStart w:id="1243" w:name="_Toc362882314"/>
      <w:bookmarkStart w:id="1244" w:name="_Toc362882699"/>
      <w:bookmarkStart w:id="1245" w:name="_Toc362883081"/>
      <w:bookmarkStart w:id="1246" w:name="_Toc362883460"/>
      <w:bookmarkStart w:id="1247" w:name="_Toc362883838"/>
      <w:bookmarkStart w:id="1248" w:name="_Toc362884215"/>
      <w:bookmarkStart w:id="1249" w:name="_Toc362884592"/>
      <w:bookmarkStart w:id="1250" w:name="_Toc362884967"/>
      <w:bookmarkStart w:id="1251" w:name="_Toc362945908"/>
      <w:bookmarkStart w:id="1252" w:name="_Toc362946623"/>
      <w:bookmarkStart w:id="1253" w:name="_Toc365571092"/>
      <w:bookmarkStart w:id="1254" w:name="_Toc365624588"/>
      <w:bookmarkStart w:id="1255" w:name="_Toc365899599"/>
      <w:bookmarkStart w:id="1256" w:name="_Toc365982408"/>
      <w:bookmarkStart w:id="1257" w:name="_Toc367445879"/>
      <w:bookmarkStart w:id="1258" w:name="_Toc368048090"/>
      <w:bookmarkStart w:id="1259" w:name="_Toc368583661"/>
      <w:bookmarkStart w:id="1260" w:name="_Toc368652756"/>
      <w:bookmarkStart w:id="1261" w:name="_Toc368932195"/>
      <w:bookmarkStart w:id="1262" w:name="_Toc374345679"/>
      <w:bookmarkStart w:id="1263" w:name="_Toc374346025"/>
      <w:bookmarkStart w:id="1264" w:name="_Toc374346370"/>
      <w:bookmarkStart w:id="1265" w:name="_Toc374346716"/>
      <w:bookmarkStart w:id="1266" w:name="_Toc361324175"/>
      <w:bookmarkStart w:id="1267" w:name="_Toc361324614"/>
      <w:bookmarkStart w:id="1268" w:name="_Toc361325043"/>
      <w:bookmarkStart w:id="1269" w:name="_Toc361325463"/>
      <w:bookmarkStart w:id="1270" w:name="_Toc361325884"/>
      <w:bookmarkStart w:id="1271" w:name="_Toc361326288"/>
      <w:bookmarkStart w:id="1272" w:name="_Toc361326689"/>
      <w:bookmarkStart w:id="1273" w:name="_Toc361327075"/>
      <w:bookmarkStart w:id="1274" w:name="_Toc361327456"/>
      <w:bookmarkStart w:id="1275" w:name="_Toc361327835"/>
      <w:bookmarkStart w:id="1276" w:name="_Toc361328207"/>
      <w:bookmarkStart w:id="1277" w:name="_Toc361328579"/>
      <w:bookmarkStart w:id="1278" w:name="_Toc361394377"/>
      <w:bookmarkStart w:id="1279" w:name="_Toc362882315"/>
      <w:bookmarkStart w:id="1280" w:name="_Toc362882700"/>
      <w:bookmarkStart w:id="1281" w:name="_Toc362883082"/>
      <w:bookmarkStart w:id="1282" w:name="_Toc362883461"/>
      <w:bookmarkStart w:id="1283" w:name="_Toc362883839"/>
      <w:bookmarkStart w:id="1284" w:name="_Toc362884216"/>
      <w:bookmarkStart w:id="1285" w:name="_Toc362884593"/>
      <w:bookmarkStart w:id="1286" w:name="_Toc362884968"/>
      <w:bookmarkStart w:id="1287" w:name="_Toc362945909"/>
      <w:bookmarkStart w:id="1288" w:name="_Toc362946624"/>
      <w:bookmarkStart w:id="1289" w:name="_Toc365571093"/>
      <w:bookmarkStart w:id="1290" w:name="_Toc365624589"/>
      <w:bookmarkStart w:id="1291" w:name="_Toc365899600"/>
      <w:bookmarkStart w:id="1292" w:name="_Toc365982409"/>
      <w:bookmarkStart w:id="1293" w:name="_Toc367445880"/>
      <w:bookmarkStart w:id="1294" w:name="_Toc368048091"/>
      <w:bookmarkStart w:id="1295" w:name="_Toc368583662"/>
      <w:bookmarkStart w:id="1296" w:name="_Toc368652757"/>
      <w:bookmarkStart w:id="1297" w:name="_Toc368932196"/>
      <w:bookmarkStart w:id="1298" w:name="_Toc374345680"/>
      <w:bookmarkStart w:id="1299" w:name="_Toc374346026"/>
      <w:bookmarkStart w:id="1300" w:name="_Toc374346371"/>
      <w:bookmarkStart w:id="1301" w:name="_Toc374346717"/>
      <w:bookmarkStart w:id="1302" w:name="_Toc361324176"/>
      <w:bookmarkStart w:id="1303" w:name="_Toc361324615"/>
      <w:bookmarkStart w:id="1304" w:name="_Toc361325044"/>
      <w:bookmarkStart w:id="1305" w:name="_Toc361325464"/>
      <w:bookmarkStart w:id="1306" w:name="_Toc361325885"/>
      <w:bookmarkStart w:id="1307" w:name="_Toc361326289"/>
      <w:bookmarkStart w:id="1308" w:name="_Toc361326690"/>
      <w:bookmarkStart w:id="1309" w:name="_Toc361327076"/>
      <w:bookmarkStart w:id="1310" w:name="_Toc361327457"/>
      <w:bookmarkStart w:id="1311" w:name="_Toc361327836"/>
      <w:bookmarkStart w:id="1312" w:name="_Toc361328208"/>
      <w:bookmarkStart w:id="1313" w:name="_Toc361328580"/>
      <w:bookmarkStart w:id="1314" w:name="_Toc361394378"/>
      <w:bookmarkStart w:id="1315" w:name="_Toc362882316"/>
      <w:bookmarkStart w:id="1316" w:name="_Toc362882701"/>
      <w:bookmarkStart w:id="1317" w:name="_Toc362883083"/>
      <w:bookmarkStart w:id="1318" w:name="_Toc362883462"/>
      <w:bookmarkStart w:id="1319" w:name="_Toc362883840"/>
      <w:bookmarkStart w:id="1320" w:name="_Toc362884217"/>
      <w:bookmarkStart w:id="1321" w:name="_Toc362884594"/>
      <w:bookmarkStart w:id="1322" w:name="_Toc362884969"/>
      <w:bookmarkStart w:id="1323" w:name="_Toc362945910"/>
      <w:bookmarkStart w:id="1324" w:name="_Toc362946625"/>
      <w:bookmarkStart w:id="1325" w:name="_Toc365571094"/>
      <w:bookmarkStart w:id="1326" w:name="_Toc365624590"/>
      <w:bookmarkStart w:id="1327" w:name="_Toc365899601"/>
      <w:bookmarkStart w:id="1328" w:name="_Toc365982410"/>
      <w:bookmarkStart w:id="1329" w:name="_Toc367445881"/>
      <w:bookmarkStart w:id="1330" w:name="_Toc368048092"/>
      <w:bookmarkStart w:id="1331" w:name="_Toc368583663"/>
      <w:bookmarkStart w:id="1332" w:name="_Toc368652758"/>
      <w:bookmarkStart w:id="1333" w:name="_Toc368932197"/>
      <w:bookmarkStart w:id="1334" w:name="_Toc374345681"/>
      <w:bookmarkStart w:id="1335" w:name="_Toc374346027"/>
      <w:bookmarkStart w:id="1336" w:name="_Toc374346372"/>
      <w:bookmarkStart w:id="1337" w:name="_Toc374346718"/>
      <w:bookmarkStart w:id="1338" w:name="_Toc374345682"/>
      <w:bookmarkStart w:id="1339" w:name="_Toc374346028"/>
      <w:bookmarkStart w:id="1340" w:name="_Toc374346373"/>
      <w:bookmarkStart w:id="1341" w:name="_Toc374346719"/>
      <w:bookmarkStart w:id="1342" w:name="_Toc374345683"/>
      <w:bookmarkStart w:id="1343" w:name="_Toc374346029"/>
      <w:bookmarkStart w:id="1344" w:name="_Toc374346374"/>
      <w:bookmarkStart w:id="1345" w:name="_Toc374346720"/>
      <w:bookmarkStart w:id="1346" w:name="_Toc374345684"/>
      <w:bookmarkStart w:id="1347" w:name="_Toc374346030"/>
      <w:bookmarkStart w:id="1348" w:name="_Toc374346375"/>
      <w:bookmarkStart w:id="1349" w:name="_Toc374346721"/>
      <w:bookmarkStart w:id="1350" w:name="_Toc374345685"/>
      <w:bookmarkStart w:id="1351" w:name="_Toc374346031"/>
      <w:bookmarkStart w:id="1352" w:name="_Toc374346376"/>
      <w:bookmarkStart w:id="1353" w:name="_Toc374346722"/>
      <w:bookmarkStart w:id="1354" w:name="_Toc374345686"/>
      <w:bookmarkStart w:id="1355" w:name="_Toc374346032"/>
      <w:bookmarkStart w:id="1356" w:name="_Toc374346377"/>
      <w:bookmarkStart w:id="1357" w:name="_Toc374346723"/>
      <w:bookmarkStart w:id="1358" w:name="_Toc374345687"/>
      <w:bookmarkStart w:id="1359" w:name="_Toc374346033"/>
      <w:bookmarkStart w:id="1360" w:name="_Toc374346378"/>
      <w:bookmarkStart w:id="1361" w:name="_Toc374346724"/>
      <w:bookmarkStart w:id="1362" w:name="_Toc374345688"/>
      <w:bookmarkStart w:id="1363" w:name="_Toc374346034"/>
      <w:bookmarkStart w:id="1364" w:name="_Toc374346379"/>
      <w:bookmarkStart w:id="1365" w:name="_Toc374346725"/>
      <w:bookmarkStart w:id="1366" w:name="_Toc374345689"/>
      <w:bookmarkStart w:id="1367" w:name="_Toc374346035"/>
      <w:bookmarkStart w:id="1368" w:name="_Toc374346380"/>
      <w:bookmarkStart w:id="1369" w:name="_Toc374346726"/>
      <w:bookmarkStart w:id="1370" w:name="_Toc374345690"/>
      <w:bookmarkStart w:id="1371" w:name="_Toc374346036"/>
      <w:bookmarkStart w:id="1372" w:name="_Toc374346381"/>
      <w:bookmarkStart w:id="1373" w:name="_Toc374346727"/>
      <w:bookmarkStart w:id="1374" w:name="_Toc374345691"/>
      <w:bookmarkStart w:id="1375" w:name="_Toc374346037"/>
      <w:bookmarkStart w:id="1376" w:name="_Toc374346382"/>
      <w:bookmarkStart w:id="1377" w:name="_Toc374346728"/>
      <w:bookmarkStart w:id="1378" w:name="_Toc374345692"/>
      <w:bookmarkStart w:id="1379" w:name="_Toc374346038"/>
      <w:bookmarkStart w:id="1380" w:name="_Toc374346383"/>
      <w:bookmarkStart w:id="1381" w:name="_Toc374346729"/>
      <w:bookmarkStart w:id="1382" w:name="_Toc374345693"/>
      <w:bookmarkStart w:id="1383" w:name="_Toc374346039"/>
      <w:bookmarkStart w:id="1384" w:name="_Toc374346384"/>
      <w:bookmarkStart w:id="1385" w:name="_Toc374346730"/>
      <w:bookmarkStart w:id="1386" w:name="_Toc374345694"/>
      <w:bookmarkStart w:id="1387" w:name="_Toc374346040"/>
      <w:bookmarkStart w:id="1388" w:name="_Toc374346385"/>
      <w:bookmarkStart w:id="1389" w:name="_Toc374346731"/>
      <w:bookmarkStart w:id="1390" w:name="_Toc374345695"/>
      <w:bookmarkStart w:id="1391" w:name="_Toc374346041"/>
      <w:bookmarkStart w:id="1392" w:name="_Toc374346386"/>
      <w:bookmarkStart w:id="1393" w:name="_Toc374346732"/>
      <w:bookmarkStart w:id="1394" w:name="_Toc374345696"/>
      <w:bookmarkStart w:id="1395" w:name="_Toc374346042"/>
      <w:bookmarkStart w:id="1396" w:name="_Toc374346387"/>
      <w:bookmarkStart w:id="1397" w:name="_Toc374346733"/>
      <w:bookmarkStart w:id="1398" w:name="_Toc374345729"/>
      <w:bookmarkStart w:id="1399" w:name="_Toc374346075"/>
      <w:bookmarkStart w:id="1400" w:name="_Toc374346420"/>
      <w:bookmarkStart w:id="1401" w:name="_Toc374346766"/>
      <w:bookmarkStart w:id="1402" w:name="_Toc374345730"/>
      <w:bookmarkStart w:id="1403" w:name="_Toc374346076"/>
      <w:bookmarkStart w:id="1404" w:name="_Toc374346421"/>
      <w:bookmarkStart w:id="1405" w:name="_Toc374346767"/>
      <w:bookmarkStart w:id="1406" w:name="_Toc374345731"/>
      <w:bookmarkStart w:id="1407" w:name="_Toc374346077"/>
      <w:bookmarkStart w:id="1408" w:name="_Toc374346422"/>
      <w:bookmarkStart w:id="1409" w:name="_Toc374346768"/>
      <w:bookmarkStart w:id="1410" w:name="_Toc374345732"/>
      <w:bookmarkStart w:id="1411" w:name="_Toc374346078"/>
      <w:bookmarkStart w:id="1412" w:name="_Toc374346423"/>
      <w:bookmarkStart w:id="1413" w:name="_Toc374346769"/>
      <w:bookmarkStart w:id="1414" w:name="_Toc374345765"/>
      <w:bookmarkStart w:id="1415" w:name="_Toc374346111"/>
      <w:bookmarkStart w:id="1416" w:name="_Toc374346456"/>
      <w:bookmarkStart w:id="1417" w:name="_Toc374346802"/>
      <w:bookmarkStart w:id="1418" w:name="_Toc374345766"/>
      <w:bookmarkStart w:id="1419" w:name="_Toc374346112"/>
      <w:bookmarkStart w:id="1420" w:name="_Toc374346457"/>
      <w:bookmarkStart w:id="1421" w:name="_Toc374346803"/>
      <w:bookmarkStart w:id="1422" w:name="_Toc374345767"/>
      <w:bookmarkStart w:id="1423" w:name="_Toc374346113"/>
      <w:bookmarkStart w:id="1424" w:name="_Toc374346458"/>
      <w:bookmarkStart w:id="1425" w:name="_Toc374346804"/>
      <w:bookmarkStart w:id="1426" w:name="_Toc374348480"/>
      <w:bookmarkStart w:id="1427" w:name="_Toc375158222"/>
      <w:bookmarkStart w:id="1428" w:name="_Toc398214806"/>
      <w:bookmarkStart w:id="1429" w:name="_Toc420594333"/>
      <w:bookmarkStart w:id="1430" w:name="_Toc421874265"/>
      <w:bookmarkStart w:id="1431" w:name="_Toc422150685"/>
      <w:bookmarkStart w:id="1432" w:name="_Ref445910821"/>
      <w:bookmarkStart w:id="1433" w:name="_Toc448998211"/>
      <w:bookmarkStart w:id="1434" w:name="_Toc486332828"/>
      <w:bookmarkStart w:id="1435" w:name="_Toc1977248"/>
      <w:bookmarkStart w:id="1436" w:name="_Toc37062404"/>
      <w:bookmarkStart w:id="1437" w:name="_Toc88839509"/>
      <w:bookmarkStart w:id="1438" w:name="_Toc121503917"/>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r>
        <w:rPr>
          <w:rFonts w:eastAsia="Times New Roman" w:cs="Arial"/>
          <w:b/>
          <w:bCs/>
          <w:iCs/>
          <w:sz w:val="24"/>
          <w:szCs w:val="28"/>
          <w:lang w:eastAsia="en-US"/>
        </w:rPr>
        <w:t xml:space="preserve">SM-DP to SM-SR </w:t>
      </w:r>
      <w:r>
        <w:rPr>
          <w:rFonts w:eastAsia="Times New Roman" w:cs="Arial"/>
          <w:sz w:val="24"/>
          <w:szCs w:val="28"/>
          <w:lang w:eastAsia="en-US"/>
        </w:rPr>
        <w:t>Link Establishment (ES3)</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63F31A3D" w14:textId="77777777" w:rsidR="00B97365" w:rsidRDefault="00000000">
      <w:pPr>
        <w:spacing w:before="0" w:after="200" w:line="276" w:lineRule="auto"/>
        <w:jc w:val="left"/>
        <w:rPr>
          <w:rFonts w:cs="Arial"/>
          <w:szCs w:val="22"/>
          <w:lang w:eastAsia="en-GB" w:bidi="ar-SA"/>
        </w:rPr>
      </w:pPr>
      <w:r>
        <w:rPr>
          <w:rFonts w:cs="Arial"/>
          <w:szCs w:val="22"/>
          <w:lang w:eastAsia="en-GB" w:bidi="ar-SA"/>
        </w:rPr>
        <w:t>The link between the SM-DP and the SM-SR (ES3) may have to be established during a procedure. For the “Profile Download and Installation” procedure, the Operator may ask to the SM-DP to contact an SM-SR that may be unknown to the SM-DP. The SM-DP will have to establish a connection with this new SM-SR.</w:t>
      </w:r>
    </w:p>
    <w:p w14:paraId="00427DCA" w14:textId="77777777" w:rsidR="00B97365" w:rsidRDefault="00000000">
      <w:pPr>
        <w:spacing w:before="0" w:after="200" w:line="276" w:lineRule="auto"/>
        <w:jc w:val="left"/>
        <w:rPr>
          <w:rFonts w:cs="Arial"/>
          <w:szCs w:val="22"/>
          <w:lang w:eastAsia="en-GB" w:bidi="ar-SA"/>
        </w:rPr>
      </w:pPr>
      <w:r>
        <w:rPr>
          <w:rFonts w:cs="Arial"/>
          <w:szCs w:val="22"/>
          <w:lang w:eastAsia="en-GB" w:bidi="ar-SA"/>
        </w:rPr>
        <w:t>It is assumed in this specification that:</w:t>
      </w:r>
    </w:p>
    <w:p w14:paraId="11E069E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Operator, requesting an action of an SM-DP through the ES2 interface, is able to provide the identification of the SM-SR in charge of the management of the eUICC targeted by the function.</w:t>
      </w:r>
    </w:p>
    <w:p w14:paraId="694A98C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SM-DP, based on the SM-SR identification provided through the ES2 interface, is able to retrieve the SM-SR address. </w:t>
      </w:r>
    </w:p>
    <w:p w14:paraId="6DD31F4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SM-DP, based on the SM-SR identification and address, is able to establish a new link to the identified SM-SR during any procedure requiring this step. </w:t>
      </w:r>
    </w:p>
    <w:p w14:paraId="5763B9D0" w14:textId="77777777" w:rsidR="00B97365" w:rsidRDefault="00B97365">
      <w:pPr>
        <w:spacing w:before="0" w:line="276" w:lineRule="auto"/>
        <w:jc w:val="left"/>
        <w:rPr>
          <w:rFonts w:cs="Arial"/>
          <w:szCs w:val="22"/>
          <w:lang w:eastAsia="en-GB" w:bidi="ar-SA"/>
        </w:rPr>
      </w:pPr>
    </w:p>
    <w:p w14:paraId="27DC444B" w14:textId="77777777" w:rsidR="00B97365" w:rsidRDefault="00000000">
      <w:pPr>
        <w:spacing w:before="0" w:after="200" w:line="276" w:lineRule="auto"/>
        <w:jc w:val="left"/>
        <w:rPr>
          <w:rFonts w:cs="Arial"/>
          <w:szCs w:val="22"/>
          <w:lang w:eastAsia="en-GB" w:bidi="ar-SA"/>
        </w:rPr>
      </w:pPr>
      <w:r>
        <w:rPr>
          <w:rFonts w:cs="Arial"/>
          <w:szCs w:val="22"/>
          <w:lang w:eastAsia="en-GB" w:bidi="ar-SA"/>
        </w:rPr>
        <w:t>The procedure describing how the SM-DP establishes a link to the SM-SR (for example: business agreement or technical solution) is not covered by this specification.</w:t>
      </w:r>
    </w:p>
    <w:p w14:paraId="4834C205"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val="en-US" w:eastAsia="en-US"/>
        </w:rPr>
      </w:pPr>
      <w:bookmarkStart w:id="1439" w:name="_Toc368932201"/>
      <w:bookmarkStart w:id="1440" w:name="_Ref367972576"/>
      <w:bookmarkStart w:id="1441" w:name="_Ref367972506"/>
      <w:bookmarkStart w:id="1442" w:name="_Ref367972460"/>
      <w:bookmarkStart w:id="1443" w:name="_Toc448998212"/>
      <w:bookmarkStart w:id="1444" w:name="_Toc422150686"/>
      <w:bookmarkStart w:id="1445" w:name="_Toc421874266"/>
      <w:bookmarkStart w:id="1446" w:name="_Toc420594334"/>
      <w:bookmarkStart w:id="1447" w:name="_Toc398214807"/>
      <w:bookmarkStart w:id="1448" w:name="_Toc375158223"/>
      <w:bookmarkStart w:id="1449" w:name="_Toc374348481"/>
      <w:bookmarkStart w:id="1450" w:name="_Toc486332829"/>
      <w:bookmarkStart w:id="1451" w:name="_Toc1977249"/>
      <w:bookmarkStart w:id="1452" w:name="_Toc37062405"/>
      <w:bookmarkStart w:id="1453" w:name="_Toc88839510"/>
      <w:bookmarkStart w:id="1454" w:name="_Toc121503918"/>
      <w:r>
        <w:rPr>
          <w:rFonts w:eastAsia="Times New Roman" w:cs="Arial"/>
          <w:b/>
          <w:bCs/>
          <w:iCs/>
          <w:sz w:val="24"/>
          <w:szCs w:val="28"/>
          <w:lang w:val="en-US" w:eastAsia="en-US"/>
        </w:rPr>
        <w:t>OTA Platform Communication on ES6</w:t>
      </w:r>
      <w:bookmarkEnd w:id="1439"/>
      <w:bookmarkEnd w:id="1440"/>
      <w:bookmarkEnd w:id="1441"/>
      <w:bookmarkEnd w:id="1442"/>
      <w:r>
        <w:rPr>
          <w:rFonts w:eastAsia="Times New Roman" w:cs="Arial"/>
          <w:b/>
          <w:bCs/>
          <w:iCs/>
          <w:sz w:val="24"/>
          <w:szCs w:val="28"/>
          <w:lang w:val="en-US" w:eastAsia="en-US"/>
        </w:rPr>
        <w:t xml:space="preserve"> (Operator-eUICC)</w:t>
      </w:r>
      <w:bookmarkEnd w:id="1443"/>
      <w:bookmarkEnd w:id="1444"/>
      <w:bookmarkEnd w:id="1445"/>
      <w:bookmarkEnd w:id="1446"/>
      <w:bookmarkEnd w:id="1447"/>
      <w:bookmarkEnd w:id="1448"/>
      <w:bookmarkEnd w:id="1449"/>
      <w:bookmarkEnd w:id="1450"/>
      <w:bookmarkEnd w:id="1451"/>
      <w:bookmarkEnd w:id="1452"/>
      <w:bookmarkEnd w:id="1453"/>
      <w:bookmarkEnd w:id="1454"/>
    </w:p>
    <w:p w14:paraId="2B040C50" w14:textId="6497D1A2" w:rsidR="00B97365" w:rsidRDefault="00000000">
      <w:pPr>
        <w:spacing w:before="0" w:after="200" w:line="276" w:lineRule="auto"/>
        <w:jc w:val="left"/>
        <w:rPr>
          <w:szCs w:val="22"/>
          <w:lang w:eastAsia="en-GB" w:bidi="ar-SA"/>
        </w:rPr>
      </w:pPr>
      <w:r>
        <w:rPr>
          <w:rFonts w:cs="Arial"/>
          <w:szCs w:val="22"/>
          <w:lang w:eastAsia="en-GB" w:bidi="ar-SA"/>
        </w:rPr>
        <w:t xml:space="preserve">The ES6 is the interface between the Operator OTA Platform and a Profile inside an eUICC (see also section </w:t>
      </w:r>
      <w:r>
        <w:fldChar w:fldCharType="begin"/>
      </w:r>
      <w:r>
        <w:instrText xml:space="preserve"> REF _Ref367970147 \r \h  \* MERGEFORMAT </w:instrText>
      </w:r>
      <w:r>
        <w:fldChar w:fldCharType="separate"/>
      </w:r>
      <w:r w:rsidR="001D5AD9" w:rsidRPr="001D5AD9">
        <w:rPr>
          <w:szCs w:val="22"/>
          <w:lang w:eastAsia="en-GB" w:bidi="ar-SA"/>
        </w:rPr>
        <w:t>2.2.5.3</w:t>
      </w:r>
      <w:r>
        <w:fldChar w:fldCharType="end"/>
      </w:r>
      <w:r>
        <w:rPr>
          <w:szCs w:val="22"/>
          <w:lang w:eastAsia="en-GB" w:bidi="ar-SA"/>
        </w:rPr>
        <w:t xml:space="preserve">) through a secure channel as defined in ETSI TS 102 225 </w:t>
      </w:r>
      <w:r>
        <w:rPr>
          <w:szCs w:val="22"/>
          <w:lang w:eastAsia="en-GB" w:bidi="ar-SA"/>
        </w:rPr>
        <w:fldChar w:fldCharType="begin"/>
      </w:r>
      <w:r>
        <w:rPr>
          <w:szCs w:val="22"/>
          <w:lang w:eastAsia="en-GB" w:bidi="ar-SA"/>
        </w:rPr>
        <w:instrText xml:space="preserve"> REF _Ref421631435 \r \h </w:instrText>
      </w:r>
      <w:r>
        <w:rPr>
          <w:szCs w:val="22"/>
          <w:lang w:eastAsia="en-GB" w:bidi="ar-SA"/>
        </w:rPr>
      </w:r>
      <w:r>
        <w:rPr>
          <w:szCs w:val="22"/>
          <w:lang w:eastAsia="en-GB" w:bidi="ar-SA"/>
        </w:rPr>
        <w:fldChar w:fldCharType="separate"/>
      </w:r>
      <w:r w:rsidR="001D5AD9">
        <w:rPr>
          <w:szCs w:val="22"/>
          <w:lang w:eastAsia="en-GB" w:bidi="ar-SA"/>
        </w:rPr>
        <w:t>[4]</w:t>
      </w:r>
      <w:r>
        <w:rPr>
          <w:szCs w:val="22"/>
          <w:lang w:eastAsia="en-GB" w:bidi="ar-SA"/>
        </w:rPr>
        <w:fldChar w:fldCharType="end"/>
      </w:r>
      <w:r>
        <w:rPr>
          <w:szCs w:val="22"/>
          <w:lang w:eastAsia="en-GB" w:bidi="ar-SA"/>
        </w:rPr>
        <w:t xml:space="preserve"> and ETSI TS 102 226 </w:t>
      </w:r>
      <w:r>
        <w:rPr>
          <w:szCs w:val="22"/>
          <w:lang w:eastAsia="en-GB" w:bidi="ar-SA"/>
        </w:rPr>
        <w:fldChar w:fldCharType="begin"/>
      </w:r>
      <w:r>
        <w:rPr>
          <w:szCs w:val="22"/>
          <w:lang w:eastAsia="en-GB" w:bidi="ar-SA"/>
        </w:rPr>
        <w:instrText xml:space="preserve"> REF _Ref421631444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xml:space="preserve">. This interface is the same as the one used with UICCs. </w:t>
      </w:r>
    </w:p>
    <w:p w14:paraId="55593260" w14:textId="7AEC8512" w:rsidR="00B97365" w:rsidRDefault="00000000">
      <w:pPr>
        <w:spacing w:before="0" w:after="200" w:line="276" w:lineRule="auto"/>
        <w:jc w:val="left"/>
        <w:rPr>
          <w:szCs w:val="22"/>
          <w:lang w:eastAsia="en-GB" w:bidi="ar-SA"/>
        </w:rPr>
      </w:pPr>
      <w:r>
        <w:rPr>
          <w:rFonts w:cs="Arial"/>
          <w:szCs w:val="22"/>
          <w:lang w:eastAsia="en-GB" w:bidi="ar-SA"/>
        </w:rPr>
        <w:t xml:space="preserve">This specification recommends that OTA Platform communication on ES6 makes use of at least a minimum security settings defined for ES5 in section </w:t>
      </w:r>
      <w:r>
        <w:fldChar w:fldCharType="begin"/>
      </w:r>
      <w:r>
        <w:instrText xml:space="preserve"> REF _Ref367970159 \r \h  \* MERGEFORMAT </w:instrText>
      </w:r>
      <w:r>
        <w:fldChar w:fldCharType="separate"/>
      </w:r>
      <w:r w:rsidR="001D5AD9" w:rsidRPr="001D5AD9">
        <w:rPr>
          <w:szCs w:val="22"/>
          <w:lang w:eastAsia="en-GB" w:bidi="ar-SA"/>
        </w:rPr>
        <w:t>2.4</w:t>
      </w:r>
      <w:r>
        <w:fldChar w:fldCharType="end"/>
      </w:r>
      <w:r>
        <w:rPr>
          <w:szCs w:val="22"/>
          <w:lang w:eastAsia="en-GB" w:bidi="ar-SA"/>
        </w:rPr>
        <w:t>.</w:t>
      </w:r>
    </w:p>
    <w:p w14:paraId="59EE7A7E"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val="fr-FR" w:eastAsia="en-US"/>
        </w:rPr>
      </w:pPr>
      <w:bookmarkStart w:id="1455" w:name="_Ref483406769"/>
      <w:bookmarkStart w:id="1456" w:name="_Toc486332830"/>
      <w:bookmarkStart w:id="1457" w:name="_Toc1977250"/>
      <w:bookmarkStart w:id="1458" w:name="_Toc37062406"/>
      <w:bookmarkStart w:id="1459" w:name="_Toc88839511"/>
      <w:bookmarkStart w:id="1460" w:name="_Toc121503919"/>
      <w:r>
        <w:rPr>
          <w:rFonts w:eastAsia="Times New Roman" w:cs="Arial"/>
          <w:b/>
          <w:bCs/>
          <w:iCs/>
          <w:sz w:val="24"/>
          <w:szCs w:val="28"/>
          <w:lang w:val="fr-FR" w:eastAsia="en-US"/>
        </w:rPr>
        <w:t>Communication on ES1 (EUM - SM-SR)</w:t>
      </w:r>
      <w:bookmarkEnd w:id="1455"/>
      <w:bookmarkEnd w:id="1456"/>
      <w:bookmarkEnd w:id="1457"/>
      <w:bookmarkEnd w:id="1458"/>
      <w:bookmarkEnd w:id="1459"/>
      <w:bookmarkEnd w:id="1460"/>
    </w:p>
    <w:p w14:paraId="2CDE2A03" w14:textId="21C99ACA" w:rsidR="00B97365" w:rsidRDefault="00000000">
      <w:pPr>
        <w:spacing w:before="0" w:after="200" w:line="276" w:lineRule="auto"/>
        <w:jc w:val="left"/>
        <w:rPr>
          <w:szCs w:val="22"/>
          <w:lang w:eastAsia="en-GB" w:bidi="ar-SA"/>
        </w:rPr>
      </w:pPr>
      <w:r>
        <w:rPr>
          <w:szCs w:val="22"/>
          <w:lang w:eastAsia="en-GB" w:bidi="ar-SA"/>
        </w:rPr>
        <w:t xml:space="preserve">ES1 is the interface between the EUM and the first SM-SR that will manage the eUICC, to send to the SM-SR the EIS describing the eUICC or to update the EIS. The EIS contains the ISD-R keysets that SM-SR will use to secure the ES5 communication as described in section </w:t>
      </w:r>
      <w:r>
        <w:rPr>
          <w:szCs w:val="22"/>
          <w:lang w:eastAsia="en-GB" w:bidi="ar-SA"/>
        </w:rPr>
        <w:fldChar w:fldCharType="begin"/>
      </w:r>
      <w:r>
        <w:rPr>
          <w:szCs w:val="22"/>
          <w:lang w:eastAsia="en-GB" w:bidi="ar-SA"/>
        </w:rPr>
        <w:instrText xml:space="preserve"> REF _Ref483406214 \r \h </w:instrText>
      </w:r>
      <w:r>
        <w:rPr>
          <w:szCs w:val="22"/>
          <w:lang w:eastAsia="en-GB" w:bidi="ar-SA"/>
        </w:rPr>
      </w:r>
      <w:r>
        <w:rPr>
          <w:szCs w:val="22"/>
          <w:lang w:eastAsia="en-GB" w:bidi="ar-SA"/>
        </w:rPr>
        <w:fldChar w:fldCharType="separate"/>
      </w:r>
      <w:r w:rsidR="001D5AD9">
        <w:rPr>
          <w:szCs w:val="22"/>
          <w:lang w:eastAsia="en-GB" w:bidi="ar-SA"/>
        </w:rPr>
        <w:t>2.4</w:t>
      </w:r>
      <w:r>
        <w:rPr>
          <w:szCs w:val="22"/>
          <w:lang w:eastAsia="en-GB" w:bidi="ar-SA"/>
        </w:rPr>
        <w:fldChar w:fldCharType="end"/>
      </w:r>
      <w:r>
        <w:rPr>
          <w:szCs w:val="22"/>
          <w:lang w:eastAsia="en-GB" w:bidi="ar-SA"/>
        </w:rPr>
        <w:t>. Those keysets SHALL be protected by a mechanism agreed by the two parties. The agreement SHALL cover at least the following features. The default value specified SHALL be supported to ensure that an agreement can be reached:</w:t>
      </w:r>
    </w:p>
    <w:p w14:paraId="61FE80B1" w14:textId="268EEFF4"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Ciphering algorithm: AES</w:t>
      </w:r>
    </w:p>
    <w:p w14:paraId="7B9BEAB4" w14:textId="20B51327" w:rsidR="00B97365" w:rsidRDefault="00000000">
      <w:pPr>
        <w:pStyle w:val="ListBullet1"/>
      </w:pPr>
      <w:r>
        <w:t xml:space="preserve">Size of the transport key: at least the size of the transported keys (keys in the keysets being themselves at least as per section </w:t>
      </w:r>
      <w:r>
        <w:fldChar w:fldCharType="begin"/>
      </w:r>
      <w:r>
        <w:instrText xml:space="preserve"> REF _Ref420594284 \r \h </w:instrText>
      </w:r>
      <w:r>
        <w:fldChar w:fldCharType="separate"/>
      </w:r>
      <w:r w:rsidR="001D5AD9">
        <w:t>2.3.3</w:t>
      </w:r>
      <w:r>
        <w:fldChar w:fldCharType="end"/>
      </w:r>
      <w:r>
        <w:t>)</w:t>
      </w:r>
    </w:p>
    <w:p w14:paraId="2787E484" w14:textId="6AC9DF69"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lastRenderedPageBreak/>
        <w:t xml:space="preserve">Padding: no padding if the length of the key being ciphered is already aligned with the AES block size, otherwise PKCS#7 </w:t>
      </w:r>
    </w:p>
    <w:p w14:paraId="23566FCD" w14:textId="5D8CBB26" w:rsidR="00B97365" w:rsidRDefault="00000000">
      <w:pPr>
        <w:pStyle w:val="ListBullet1"/>
      </w:pPr>
      <w:r>
        <w:t>Cipher mode:  CBC mode, with an initialization vector of  '00…00'.</w:t>
      </w:r>
    </w:p>
    <w:p w14:paraId="460BC8C4"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461" w:name="_Ref520307059"/>
      <w:bookmarkStart w:id="1462" w:name="_Toc1977251"/>
      <w:bookmarkStart w:id="1463" w:name="_Toc37062407"/>
      <w:bookmarkStart w:id="1464" w:name="_Toc88839512"/>
      <w:bookmarkStart w:id="1465" w:name="_Toc121503920"/>
      <w:r>
        <w:rPr>
          <w:rFonts w:eastAsia="Times New Roman" w:cs="Arial"/>
          <w:b/>
          <w:bCs/>
          <w:iCs/>
          <w:sz w:val="24"/>
          <w:szCs w:val="28"/>
          <w:lang w:eastAsia="en-US"/>
        </w:rPr>
        <w:t>Compliance</w:t>
      </w:r>
      <w:bookmarkEnd w:id="1461"/>
      <w:bookmarkEnd w:id="1462"/>
      <w:bookmarkEnd w:id="1463"/>
      <w:bookmarkEnd w:id="1464"/>
      <w:bookmarkEnd w:id="1465"/>
    </w:p>
    <w:p w14:paraId="4D21D102" w14:textId="3FA7E838" w:rsidR="00B97365" w:rsidRDefault="00000000">
      <w:pPr>
        <w:spacing w:before="0" w:after="200" w:line="276" w:lineRule="auto"/>
        <w:jc w:val="left"/>
        <w:rPr>
          <w:lang w:eastAsia="en-US"/>
        </w:rPr>
      </w:pPr>
      <w:r>
        <w:rPr>
          <w:szCs w:val="22"/>
          <w:lang w:eastAsia="en-GB" w:bidi="ar-SA"/>
        </w:rPr>
        <w:t xml:space="preserve">The elements of the ecosystem (SM-DP, SM-SR and eUICC) SHALL be certified according to section 5 of the GSMA Remote Provisioning Architecture for Embedded UICC [1]. SM-SR, SM-DP and eUICC SHALL be compliant with SGP.16 </w:t>
      </w:r>
      <w:r>
        <w:rPr>
          <w:szCs w:val="22"/>
          <w:lang w:eastAsia="en-GB" w:bidi="ar-SA"/>
        </w:rPr>
        <w:fldChar w:fldCharType="begin"/>
      </w:r>
      <w:r>
        <w:rPr>
          <w:szCs w:val="22"/>
          <w:lang w:eastAsia="en-GB" w:bidi="ar-SA"/>
        </w:rPr>
        <w:instrText xml:space="preserve"> REF _Ref520306983 \r \h </w:instrText>
      </w:r>
      <w:r>
        <w:rPr>
          <w:szCs w:val="22"/>
          <w:lang w:eastAsia="en-GB" w:bidi="ar-SA"/>
        </w:rPr>
      </w:r>
      <w:r>
        <w:rPr>
          <w:szCs w:val="22"/>
          <w:lang w:eastAsia="en-GB" w:bidi="ar-SA"/>
        </w:rPr>
        <w:fldChar w:fldCharType="separate"/>
      </w:r>
      <w:r w:rsidR="001D5AD9">
        <w:rPr>
          <w:szCs w:val="22"/>
          <w:lang w:eastAsia="en-GB" w:bidi="ar-SA"/>
        </w:rPr>
        <w:t>[64]</w:t>
      </w:r>
      <w:r>
        <w:rPr>
          <w:szCs w:val="22"/>
          <w:lang w:eastAsia="en-GB" w:bidi="ar-SA"/>
        </w:rPr>
        <w:fldChar w:fldCharType="end"/>
      </w:r>
      <w:r>
        <w:rPr>
          <w:szCs w:val="22"/>
          <w:lang w:eastAsia="en-GB" w:bidi="ar-SA"/>
        </w:rPr>
        <w:t>.</w:t>
      </w:r>
      <w:r>
        <w:t xml:space="preserve"> </w:t>
      </w:r>
    </w:p>
    <w:p w14:paraId="255C1058" w14:textId="77777777" w:rsidR="00B97365" w:rsidRDefault="00000000">
      <w:pPr>
        <w:keepNext/>
        <w:keepLines/>
        <w:numPr>
          <w:ilvl w:val="0"/>
          <w:numId w:val="1"/>
        </w:numPr>
        <w:spacing w:before="360" w:after="60" w:line="276" w:lineRule="auto"/>
        <w:jc w:val="left"/>
        <w:outlineLvl w:val="0"/>
        <w:rPr>
          <w:rFonts w:eastAsia="Times New Roman" w:cs="Arial"/>
          <w:sz w:val="28"/>
          <w:szCs w:val="32"/>
          <w:lang w:eastAsia="en-US"/>
        </w:rPr>
      </w:pPr>
      <w:bookmarkStart w:id="1466" w:name="_Toc421885552"/>
      <w:bookmarkStart w:id="1467" w:name="_Toc421885931"/>
      <w:bookmarkStart w:id="1468" w:name="_Toc374345771"/>
      <w:bookmarkStart w:id="1469" w:name="_Toc374346117"/>
      <w:bookmarkStart w:id="1470" w:name="_Toc374346462"/>
      <w:bookmarkStart w:id="1471" w:name="_Toc374346808"/>
      <w:bookmarkStart w:id="1472" w:name="_Ref367979292"/>
      <w:bookmarkStart w:id="1473" w:name="_Toc368932202"/>
      <w:bookmarkStart w:id="1474" w:name="_Toc374348482"/>
      <w:bookmarkStart w:id="1475" w:name="_Toc375158224"/>
      <w:bookmarkStart w:id="1476" w:name="_Toc398214808"/>
      <w:bookmarkStart w:id="1477" w:name="_Toc420594335"/>
      <w:bookmarkStart w:id="1478" w:name="_Toc421874267"/>
      <w:bookmarkStart w:id="1479" w:name="_Toc422150687"/>
      <w:bookmarkStart w:id="1480" w:name="_Toc448998213"/>
      <w:bookmarkStart w:id="1481" w:name="_Toc486332831"/>
      <w:bookmarkStart w:id="1482" w:name="_Toc1977252"/>
      <w:bookmarkStart w:id="1483" w:name="_Toc37062408"/>
      <w:bookmarkStart w:id="1484" w:name="_Toc88839513"/>
      <w:bookmarkStart w:id="1485" w:name="_Toc121503921"/>
      <w:bookmarkStart w:id="1486" w:name="_Toc353545712"/>
      <w:bookmarkEnd w:id="1466"/>
      <w:bookmarkEnd w:id="1467"/>
      <w:bookmarkEnd w:id="1468"/>
      <w:bookmarkEnd w:id="1469"/>
      <w:bookmarkEnd w:id="1470"/>
      <w:bookmarkEnd w:id="1471"/>
      <w:r>
        <w:rPr>
          <w:rFonts w:eastAsia="Times New Roman" w:cs="Arial"/>
          <w:b/>
          <w:bCs/>
          <w:sz w:val="28"/>
          <w:szCs w:val="32"/>
          <w:lang w:eastAsia="en-US"/>
        </w:rPr>
        <w:t>Detailed Procedure Specifications</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57EBD8E8" w14:textId="77777777" w:rsidR="00B97365" w:rsidRDefault="00000000">
      <w:pPr>
        <w:spacing w:before="0" w:after="200" w:line="276" w:lineRule="auto"/>
        <w:jc w:val="left"/>
        <w:rPr>
          <w:rFonts w:cs="Arial"/>
          <w:szCs w:val="22"/>
          <w:lang w:eastAsia="en-GB" w:bidi="ar-SA"/>
        </w:rPr>
      </w:pPr>
      <w:r>
        <w:rPr>
          <w:rFonts w:cs="Arial"/>
          <w:szCs w:val="22"/>
          <w:lang w:eastAsia="en-GB" w:bidi="ar-SA"/>
        </w:rPr>
        <w:t>This section contains the detailed specifications of the procedures that realise the Remote Provisioning and Management system for the eUICC.</w:t>
      </w:r>
    </w:p>
    <w:p w14:paraId="0DED2D6D" w14:textId="77777777" w:rsidR="00B97365" w:rsidRDefault="00000000">
      <w:pPr>
        <w:spacing w:before="0" w:after="200" w:line="276" w:lineRule="auto"/>
        <w:jc w:val="left"/>
        <w:rPr>
          <w:rFonts w:cs="Arial"/>
          <w:szCs w:val="22"/>
          <w:lang w:eastAsia="en-GB" w:bidi="ar-SA"/>
        </w:rPr>
      </w:pPr>
      <w:r>
        <w:rPr>
          <w:rFonts w:cs="Arial"/>
          <w:szCs w:val="22"/>
          <w:lang w:eastAsia="en-GB" w:bidi="ar-SA"/>
        </w:rPr>
        <w:t>The order of sending or reception of the responses of the functions and notifications defined across this procedures section MAY differ from it in the real implementations.</w:t>
      </w:r>
    </w:p>
    <w:p w14:paraId="5EF46CB6"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487" w:name="_Toc374345773"/>
      <w:bookmarkStart w:id="1488" w:name="_Toc374346119"/>
      <w:bookmarkStart w:id="1489" w:name="_Toc374346464"/>
      <w:bookmarkStart w:id="1490" w:name="_Toc374346810"/>
      <w:bookmarkStart w:id="1491" w:name="_Ref367968287"/>
      <w:bookmarkStart w:id="1492" w:name="_Ref367973680"/>
      <w:bookmarkStart w:id="1493" w:name="_Ref367974264"/>
      <w:bookmarkStart w:id="1494" w:name="_Toc368932203"/>
      <w:bookmarkStart w:id="1495" w:name="_Toc374348483"/>
      <w:bookmarkStart w:id="1496" w:name="_Toc375158225"/>
      <w:bookmarkStart w:id="1497" w:name="_Toc398214809"/>
      <w:bookmarkStart w:id="1498" w:name="_Toc420594336"/>
      <w:bookmarkStart w:id="1499" w:name="_Toc421874268"/>
      <w:bookmarkStart w:id="1500" w:name="_Toc422150688"/>
      <w:bookmarkStart w:id="1501" w:name="_Toc448998214"/>
      <w:bookmarkStart w:id="1502" w:name="_Toc486332832"/>
      <w:bookmarkStart w:id="1503" w:name="_Toc1977253"/>
      <w:bookmarkStart w:id="1504" w:name="_Toc37062409"/>
      <w:bookmarkStart w:id="1505" w:name="_Toc88839514"/>
      <w:bookmarkStart w:id="1506" w:name="_Toc121503922"/>
      <w:bookmarkEnd w:id="1487"/>
      <w:bookmarkEnd w:id="1488"/>
      <w:bookmarkEnd w:id="1489"/>
      <w:bookmarkEnd w:id="1490"/>
      <w:r>
        <w:rPr>
          <w:rFonts w:eastAsia="Times New Roman" w:cs="Arial"/>
          <w:b/>
          <w:bCs/>
          <w:iCs/>
          <w:sz w:val="24"/>
          <w:szCs w:val="28"/>
          <w:lang w:eastAsia="en-US"/>
        </w:rPr>
        <w:t>Profile Download and Installation</w:t>
      </w:r>
      <w:bookmarkEnd w:id="1486"/>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61FB7235" w14:textId="77777777" w:rsidR="00B97365" w:rsidRDefault="00000000">
      <w:pPr>
        <w:spacing w:before="0" w:after="200" w:line="276" w:lineRule="auto"/>
        <w:jc w:val="left"/>
        <w:rPr>
          <w:rFonts w:cs="Arial"/>
          <w:szCs w:val="22"/>
          <w:lang w:eastAsia="en-GB" w:bidi="ar-SA"/>
        </w:rPr>
      </w:pPr>
      <w:r>
        <w:rPr>
          <w:rFonts w:cs="Arial"/>
          <w:szCs w:val="22"/>
          <w:lang w:eastAsia="en-GB" w:bidi="ar-SA"/>
        </w:rPr>
        <w:t>The Profile Download and Installation procedure is sub-divided into four main steps:</w:t>
      </w:r>
    </w:p>
    <w:p w14:paraId="06595145" w14:textId="77777777" w:rsidR="00B97365" w:rsidRDefault="00000000">
      <w:pPr>
        <w:numPr>
          <w:ilvl w:val="0"/>
          <w:numId w:val="27"/>
        </w:numPr>
        <w:spacing w:before="0" w:after="200" w:line="276" w:lineRule="auto"/>
        <w:contextualSpacing/>
      </w:pPr>
      <w:r>
        <w:t>ISD-P creation on the eUICC</w:t>
      </w:r>
    </w:p>
    <w:p w14:paraId="2B8F7AC4" w14:textId="77777777" w:rsidR="00B97365" w:rsidRDefault="00000000">
      <w:pPr>
        <w:numPr>
          <w:ilvl w:val="0"/>
          <w:numId w:val="27"/>
        </w:numPr>
        <w:spacing w:before="0" w:after="200" w:line="276" w:lineRule="auto"/>
        <w:contextualSpacing/>
      </w:pPr>
      <w:r>
        <w:t>Personalization of the ISD-P with a first key set, called the key establishment procedure</w:t>
      </w:r>
    </w:p>
    <w:p w14:paraId="3A657B9C" w14:textId="77777777" w:rsidR="00B97365" w:rsidRDefault="00000000">
      <w:pPr>
        <w:numPr>
          <w:ilvl w:val="0"/>
          <w:numId w:val="27"/>
        </w:numPr>
        <w:spacing w:before="0" w:after="200" w:line="276" w:lineRule="auto"/>
        <w:contextualSpacing/>
      </w:pPr>
      <w:r>
        <w:t>Download and installation of the Profile onto the eUICC</w:t>
      </w:r>
    </w:p>
    <w:p w14:paraId="6243D14F" w14:textId="77777777" w:rsidR="00B97365" w:rsidRDefault="00000000">
      <w:pPr>
        <w:numPr>
          <w:ilvl w:val="0"/>
          <w:numId w:val="27"/>
        </w:numPr>
        <w:spacing w:before="0" w:after="200" w:line="276" w:lineRule="auto"/>
        <w:contextualSpacing/>
      </w:pPr>
      <w:r>
        <w:t>Optional: Enabling of the newly installed Profile.</w:t>
      </w:r>
    </w:p>
    <w:p w14:paraId="5EC1A208" w14:textId="77777777" w:rsidR="00B97365" w:rsidRDefault="00000000">
      <w:pPr>
        <w:spacing w:before="0" w:after="200" w:line="276" w:lineRule="auto"/>
        <w:contextualSpacing/>
        <w:rPr>
          <w:rFonts w:cs="Arial"/>
          <w:sz w:val="20"/>
        </w:rPr>
      </w:pPr>
      <w:r>
        <w:rPr>
          <w:rFonts w:cs="Arial"/>
          <w:sz w:val="20"/>
        </w:rPr>
        <w:t>Optionally the SM-SR MAY send a command ES5.UpdateSMSRAddressingParameters to update the list of TP-DestinationAddress and define a specific TP-DA for this newly loaded Profile. The command can be sent anytime after step 1 (ISD-P creation) but before step 4 (enabling of the Profile).</w:t>
      </w:r>
    </w:p>
    <w:p w14:paraId="4572010C"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507" w:name="_Toc448998215"/>
      <w:bookmarkStart w:id="1508" w:name="_Toc422150689"/>
      <w:bookmarkStart w:id="1509" w:name="_Toc421874269"/>
      <w:bookmarkStart w:id="1510" w:name="_Toc420594337"/>
      <w:bookmarkStart w:id="1511" w:name="_Toc398214810"/>
      <w:bookmarkStart w:id="1512" w:name="_Toc375158226"/>
      <w:bookmarkStart w:id="1513" w:name="_Toc368932204"/>
      <w:bookmarkStart w:id="1514" w:name="_Ref367970378"/>
      <w:bookmarkStart w:id="1515" w:name="_Ref367970287"/>
      <w:bookmarkStart w:id="1516" w:name="_Ref367967773"/>
      <w:bookmarkStart w:id="1517" w:name="_Ref367967740"/>
      <w:bookmarkStart w:id="1518" w:name="_Toc353545713"/>
      <w:bookmarkStart w:id="1519" w:name="_Toc486332833"/>
      <w:bookmarkStart w:id="1520" w:name="_Toc1977254"/>
      <w:bookmarkStart w:id="1521" w:name="_Ref36798620"/>
      <w:bookmarkStart w:id="1522" w:name="_Toc37062410"/>
      <w:bookmarkStart w:id="1523" w:name="_Toc88839515"/>
      <w:bookmarkStart w:id="1524" w:name="_Toc121503923"/>
      <w:r>
        <w:rPr>
          <w:rFonts w:eastAsia="Times New Roman" w:cs="Arial"/>
          <w:b/>
          <w:bCs/>
          <w:iCs/>
          <w:sz w:val="24"/>
          <w:szCs w:val="26"/>
          <w:lang w:eastAsia="en-US"/>
        </w:rPr>
        <w:t xml:space="preserve">ISD-P </w:t>
      </w:r>
      <w:r>
        <w:rPr>
          <w:rFonts w:eastAsia="Times New Roman" w:cs="Arial"/>
          <w:b/>
          <w:sz w:val="24"/>
          <w:szCs w:val="26"/>
          <w:lang w:eastAsia="en-US"/>
        </w:rPr>
        <w:t>Creation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419EF1AA" w14:textId="77777777" w:rsidR="00B97365" w:rsidRDefault="00000000">
      <w:pPr>
        <w:spacing w:before="0" w:after="200" w:line="276" w:lineRule="auto"/>
        <w:jc w:val="left"/>
        <w:rPr>
          <w:rFonts w:cs="Arial"/>
          <w:szCs w:val="22"/>
          <w:lang w:eastAsia="en-GB" w:bidi="ar-SA"/>
        </w:rPr>
      </w:pPr>
      <w:r>
        <w:rPr>
          <w:rFonts w:cs="Arial"/>
          <w:szCs w:val="22"/>
          <w:lang w:eastAsia="en-GB" w:bidi="ar-SA"/>
        </w:rPr>
        <w:t>The next figure describes the call flow for the first step which is the ISD-P creation. The procedure illustrates the usage of RAM over HTTP as an example of the transport protocol, assuming that the sequence will be followed by a key establishment procedure and the full download of the Profile.</w:t>
      </w:r>
    </w:p>
    <w:p w14:paraId="09A9EB77" w14:textId="77777777" w:rsidR="00B97365" w:rsidRDefault="00000000">
      <w:pPr>
        <w:tabs>
          <w:tab w:val="left" w:pos="1560"/>
        </w:tabs>
        <w:spacing w:before="0" w:after="200" w:line="276" w:lineRule="auto"/>
        <w:ind w:left="1560" w:hanging="1203"/>
        <w:jc w:val="left"/>
        <w:rPr>
          <w:rFonts w:cs="Arial"/>
          <w:szCs w:val="22"/>
          <w:lang w:eastAsia="en-GB" w:bidi="ar-SA"/>
        </w:rPr>
      </w:pPr>
      <w:r>
        <w:rPr>
          <w:rFonts w:cs="Arial"/>
          <w:szCs w:val="22"/>
          <w:lang w:eastAsia="en-GB" w:bidi="ar-SA"/>
        </w:rPr>
        <w:t>NOTE:</w:t>
      </w:r>
      <w:r>
        <w:rPr>
          <w:rFonts w:cs="Arial"/>
          <w:szCs w:val="22"/>
          <w:lang w:eastAsia="en-GB" w:bidi="ar-SA"/>
        </w:rPr>
        <w:tab/>
        <w:t>CAT_TP could be used as transport protocol and would have an equivalent procedure.</w:t>
      </w:r>
    </w:p>
    <w:p w14:paraId="56BAEC8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5C0FD42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664A93F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561C371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160</w:t>
      </w:r>
    </w:p>
    <w:p w14:paraId="137B241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76241D9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28FC2C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4031456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3D40883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6FB5785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1FD7B3A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31149B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“ISD-P” as ISDP #FFFFFF</w:t>
      </w:r>
    </w:p>
    <w:p w14:paraId="7E98018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287F058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C0437D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OP-&gt;&gt;DP: (1) downloadProfile(srid, eid, iccid, final state, profileType)</w:t>
      </w:r>
    </w:p>
    <w:p w14:paraId="38DF934B"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DP-&gt;SR: (2) getEIS(eid)</w:t>
      </w:r>
    </w:p>
    <w:p w14:paraId="742269B4"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673E06D7"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Rnote over SR #FFFFF</w:t>
      </w:r>
    </w:p>
    <w:p w14:paraId="51994809"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(3) Retrieve EIS</w:t>
      </w:r>
    </w:p>
    <w:p w14:paraId="006D6A9F"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Endrnote</w:t>
      </w:r>
    </w:p>
    <w:p w14:paraId="00A01814"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18C8613B"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SR--&gt;DP: Failed</w:t>
      </w:r>
    </w:p>
    <w:p w14:paraId="5A46C89E"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DP--&gt;&gt;OP:</w:t>
      </w:r>
    </w:p>
    <w:p w14:paraId="688B3F15"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40FFFD84"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SR--&gt;DP: (4) Return EIS</w:t>
      </w:r>
    </w:p>
    <w:p w14:paraId="37AD9894"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19C347A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DP #FFFFFF</w:t>
      </w:r>
    </w:p>
    <w:p w14:paraId="739F812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Check eUICC eligibility</w:t>
      </w:r>
    </w:p>
    <w:p w14:paraId="492A2E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25517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Failed</w:t>
      </w:r>
    </w:p>
    <w:p w14:paraId="456C9DB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2EBA2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(6) createISDP(eid, iccid, mno-id,…)</w:t>
      </w:r>
    </w:p>
    <w:p w14:paraId="54CB3EA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42F54D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76D5F96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(7) Check initial conditions</w:t>
      </w:r>
    </w:p>
    <w:p w14:paraId="09CE64C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DFBDC5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5241A19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w:t>
      </w:r>
    </w:p>
    <w:p w14:paraId="3AE20F5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D72D6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SR, ISDR #C0C0C0</w:t>
      </w:r>
    </w:p>
    <w:p w14:paraId="09A3219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HTTPS session opening</w:t>
      </w:r>
    </w:p>
    <w:p w14:paraId="524C56C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55AAD21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54B5BA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707191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(9)</w:t>
      </w:r>
    </w:p>
    <w:p w14:paraId="365952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note over SR, ISDR</w:t>
      </w:r>
    </w:p>
    <w:p w14:paraId="1BACC0D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**HTTP/1.1 200 CRLF**</w:t>
      </w:r>
    </w:p>
    <w:p w14:paraId="4D6FD4D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Headers</w:t>
      </w:r>
    </w:p>
    <w:p w14:paraId="564463C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18B42A2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&lt;Body with ES5.createISD-P function&gt;</w:t>
      </w:r>
    </w:p>
    <w:p w14:paraId="52C0D1E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note</w:t>
      </w:r>
    </w:p>
    <w:p w14:paraId="4A40B72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FBF03C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ISDR-&gt;ISDP: (10) New              .</w:t>
      </w:r>
    </w:p>
    <w:p w14:paraId="4E017E8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A5FDD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ISDR-&gt;&gt;SR: (11)            </w:t>
      </w:r>
    </w:p>
    <w:p w14:paraId="3AC45D1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note over SR, ISDR</w:t>
      </w:r>
    </w:p>
    <w:p w14:paraId="1A35266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**POST /&lt;next-uri&gt; HTTP/1.1 CRLF**</w:t>
      </w:r>
    </w:p>
    <w:p w14:paraId="040E595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Headers</w:t>
      </w:r>
    </w:p>
    <w:p w14:paraId="358538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X-Admin-Script-Status: &lt;script-status&gt; CRLF</w:t>
      </w:r>
    </w:p>
    <w:p w14:paraId="52D4F8D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4F5C0D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&lt;Body with ES5.createISD-P response&gt;</w:t>
      </w:r>
    </w:p>
    <w:p w14:paraId="198D312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note</w:t>
      </w:r>
    </w:p>
    <w:p w14:paraId="58A46D4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701262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2211BC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B328B7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2D1C16B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(12) EIS update</w:t>
      </w:r>
    </w:p>
    <w:p w14:paraId="29A11C5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Endrnote</w:t>
      </w:r>
    </w:p>
    <w:p w14:paraId="24C8FA9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D433E0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(13) create ISDP function response</w:t>
      </w:r>
    </w:p>
    <w:p w14:paraId="27AFD9C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20428076" w14:textId="77777777" w:rsidR="00B97365" w:rsidRDefault="00000000">
      <w:pPr>
        <w:rPr>
          <w:rFonts w:cs="Courier New"/>
          <w:noProof/>
          <w:color w:val="008000"/>
          <w:sz w:val="18"/>
          <w:lang w:val="en-US" w:eastAsia="en-GB" w:bidi="ar-SA"/>
        </w:rPr>
      </w:pPr>
      <w:r>
        <w:rPr>
          <w:rFonts w:cs="Courier New"/>
          <w:noProof/>
          <w:color w:val="008000"/>
          <w:sz w:val="18"/>
          <w:lang w:eastAsia="en-GB" w:bidi="ar-SA"/>
        </w:rPr>
        <w:drawing>
          <wp:inline distT="0" distB="0" distL="0" distR="0" wp14:anchorId="229A3EEE" wp14:editId="126CED75">
            <wp:extent cx="5731510" cy="8073319"/>
            <wp:effectExtent l="0" t="0" r="2540" b="4445"/>
            <wp:docPr id="451" name="Picture 45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8073319"/>
                    </a:xfrm>
                    <a:prstGeom prst="rect">
                      <a:avLst/>
                    </a:prstGeom>
                  </pic:spPr>
                </pic:pic>
              </a:graphicData>
            </a:graphic>
          </wp:inline>
        </w:drawing>
      </w:r>
    </w:p>
    <w:p w14:paraId="3246E830"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lastRenderedPageBreak/>
        <w:t>: ISD-P creation</w:t>
      </w:r>
    </w:p>
    <w:p w14:paraId="6546518D"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525" w:name="_Toc420594338"/>
      <w:r>
        <w:rPr>
          <w:rFonts w:cs="Arial"/>
          <w:b/>
          <w:noProof/>
          <w:szCs w:val="22"/>
          <w:lang w:eastAsia="en-GB" w:bidi="ar-SA"/>
        </w:rPr>
        <w:t>Start Conditions:</w:t>
      </w:r>
      <w:bookmarkEnd w:id="1525"/>
    </w:p>
    <w:p w14:paraId="55B37F70" w14:textId="23BD57FF"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622CD722" w14:textId="77777777" w:rsidR="00B97365" w:rsidRDefault="00000000">
      <w:pPr>
        <w:tabs>
          <w:tab w:val="left" w:pos="397"/>
          <w:tab w:val="right" w:pos="9015"/>
        </w:tabs>
        <w:spacing w:before="0" w:after="40" w:line="276" w:lineRule="auto"/>
        <w:ind w:left="397" w:right="680" w:hanging="397"/>
        <w:jc w:val="left"/>
        <w:rPr>
          <w:b/>
          <w:noProof/>
          <w:szCs w:val="22"/>
        </w:rPr>
      </w:pPr>
      <w:bookmarkStart w:id="1526" w:name="_Toc420594339"/>
      <w:r>
        <w:rPr>
          <w:rFonts w:cs="Arial"/>
          <w:b/>
          <w:noProof/>
          <w:szCs w:val="22"/>
        </w:rPr>
        <w:t>Procedure:</w:t>
      </w:r>
      <w:bookmarkEnd w:id="1526"/>
    </w:p>
    <w:p w14:paraId="6D461F52" w14:textId="77777777" w:rsidR="00B97365" w:rsidRDefault="00000000">
      <w:pPr>
        <w:numPr>
          <w:ilvl w:val="0"/>
          <w:numId w:val="101"/>
        </w:numPr>
        <w:rPr>
          <w:rFonts w:cs="Arial"/>
        </w:rPr>
      </w:pPr>
      <w:r>
        <w:rPr>
          <w:rFonts w:cs="Arial"/>
        </w:rPr>
        <w:t>The Operator owning the Profile to download SHALL call the “</w:t>
      </w:r>
      <w:r>
        <w:rPr>
          <w:rFonts w:cs="Arial"/>
          <w:b/>
        </w:rPr>
        <w:t>ES2.DownloadProfile</w:t>
      </w:r>
      <w:r>
        <w:rPr>
          <w:rFonts w:cs="Arial"/>
        </w:rPr>
        <w:t>” function with its relevant input data (the Operator has to provide the SM-SR identification and address). By providing the required final state, the Operator MAY ask the SM-DP to enable the newly downloaded Profile at the end of the procedure. Else, by default, the Profile will be in the DISABLED state.</w:t>
      </w:r>
    </w:p>
    <w:p w14:paraId="362C832D" w14:textId="77777777" w:rsidR="00B97365" w:rsidRDefault="00000000">
      <w:pPr>
        <w:numPr>
          <w:ilvl w:val="0"/>
          <w:numId w:val="101"/>
        </w:numPr>
        <w:rPr>
          <w:rFonts w:cs="Arial"/>
        </w:rPr>
      </w:pPr>
      <w:r>
        <w:rPr>
          <w:rFonts w:cs="Arial"/>
        </w:rPr>
        <w:t>The SM-DP on reception of this request SHALL call the “</w:t>
      </w:r>
      <w:r>
        <w:rPr>
          <w:rFonts w:cs="Arial"/>
          <w:b/>
        </w:rPr>
        <w:t>ES3.GetEIS</w:t>
      </w:r>
      <w:r>
        <w:rPr>
          <w:rFonts w:cs="Arial"/>
        </w:rPr>
        <w:t>” function with its relevant input data.</w:t>
      </w:r>
    </w:p>
    <w:p w14:paraId="64B12EE3" w14:textId="77777777" w:rsidR="00B97365" w:rsidRDefault="00000000">
      <w:pPr>
        <w:numPr>
          <w:ilvl w:val="0"/>
          <w:numId w:val="101"/>
        </w:numPr>
        <w:rPr>
          <w:rFonts w:cs="Arial"/>
        </w:rPr>
      </w:pPr>
      <w:r>
        <w:rPr>
          <w:rFonts w:cs="Arial"/>
        </w:rPr>
        <w:t>The SM-SR SHALL retrieve the EIS of the eUICC based on the EID. At this stage the SM-SR MAY return an error indicating that the eUICC is unknown in its system. The error SHALL be finally returned to the Operator and the procedure SHALL end.</w:t>
      </w:r>
    </w:p>
    <w:p w14:paraId="7C6096A0" w14:textId="77777777" w:rsidR="00B97365" w:rsidRDefault="00000000">
      <w:pPr>
        <w:numPr>
          <w:ilvl w:val="0"/>
          <w:numId w:val="101"/>
        </w:numPr>
        <w:rPr>
          <w:rFonts w:cs="Arial"/>
        </w:rPr>
      </w:pPr>
      <w:r>
        <w:rPr>
          <w:rFonts w:cs="Arial"/>
        </w:rPr>
        <w:t>The SM-SR SHALL return the EIS of the eUICC.</w:t>
      </w:r>
    </w:p>
    <w:p w14:paraId="207F6200" w14:textId="4F8EFFEB" w:rsidR="00B97365" w:rsidRDefault="00000000">
      <w:pPr>
        <w:numPr>
          <w:ilvl w:val="1"/>
          <w:numId w:val="101"/>
        </w:numPr>
        <w:tabs>
          <w:tab w:val="left" w:pos="340"/>
        </w:tabs>
        <w:spacing w:before="0" w:after="200" w:line="276" w:lineRule="auto"/>
        <w:contextualSpacing/>
        <w:rPr>
          <w:rFonts w:cs="Arial"/>
        </w:rPr>
      </w:pPr>
      <w:r>
        <w:rPr>
          <w:rFonts w:cs="Arial"/>
        </w:rPr>
        <w:t xml:space="preserve">In case the EIS indicates an ISD-P in state 'Created' with the 'smdp-id' associating it to the calling SM-DP, the SM-DP SHALL delete this Profile, whether it has the same or a different ICCID, as described in section </w:t>
      </w:r>
      <w:r>
        <w:rPr>
          <w:rFonts w:cs="Arial"/>
        </w:rPr>
        <w:fldChar w:fldCharType="begin"/>
      </w:r>
      <w:r>
        <w:rPr>
          <w:rFonts w:cs="Arial"/>
        </w:rPr>
        <w:instrText xml:space="preserve"> REF _Ref36796615 \r \h </w:instrText>
      </w:r>
      <w:r>
        <w:rPr>
          <w:rFonts w:cs="Arial"/>
        </w:rPr>
      </w:r>
      <w:r>
        <w:rPr>
          <w:rFonts w:cs="Arial"/>
        </w:rPr>
        <w:fldChar w:fldCharType="separate"/>
      </w:r>
      <w:r w:rsidR="001D5AD9">
        <w:rPr>
          <w:rFonts w:cs="Arial"/>
        </w:rPr>
        <w:t>3.1.5</w:t>
      </w:r>
      <w:r>
        <w:rPr>
          <w:rFonts w:cs="Arial"/>
        </w:rPr>
        <w:fldChar w:fldCharType="end"/>
      </w:r>
      <w:r>
        <w:rPr>
          <w:rFonts w:cs="Arial"/>
        </w:rPr>
        <w:t xml:space="preserve"> before attempting to install a new Profile.</w:t>
      </w:r>
    </w:p>
    <w:p w14:paraId="51DF66CD" w14:textId="77777777" w:rsidR="00B97365" w:rsidRDefault="00000000">
      <w:pPr>
        <w:numPr>
          <w:ilvl w:val="0"/>
          <w:numId w:val="101"/>
        </w:numPr>
        <w:rPr>
          <w:rFonts w:cs="Arial"/>
        </w:rPr>
      </w:pPr>
      <w:r>
        <w:rPr>
          <w:rFonts w:cs="Arial"/>
        </w:rPr>
        <w:t>The SM-DP SHALL check the eligibility of the eUICC against the characteristics of the Profile to be downloaded. Although the exact checks performed by the SM-DP are out of scope for this specification, some examples might include:</w:t>
      </w:r>
    </w:p>
    <w:p w14:paraId="0277A749" w14:textId="77777777" w:rsidR="00B97365" w:rsidRDefault="00000000">
      <w:pPr>
        <w:numPr>
          <w:ilvl w:val="1"/>
          <w:numId w:val="41"/>
        </w:numPr>
        <w:overflowPunct w:val="0"/>
        <w:autoSpaceDE w:val="0"/>
        <w:autoSpaceDN w:val="0"/>
        <w:adjustRightInd w:val="0"/>
        <w:spacing w:after="180" w:line="276" w:lineRule="auto"/>
        <w:jc w:val="left"/>
        <w:textAlignment w:val="baseline"/>
        <w:rPr>
          <w:rFonts w:cs="Arial"/>
        </w:rPr>
      </w:pPr>
      <w:r>
        <w:rPr>
          <w:rFonts w:cs="Arial"/>
        </w:rPr>
        <w:t>Is the target Profile compatible with and validated against this type of eUICC? (including the fact that the SM-DP is able to generate the Profile for this type of eUICC).</w:t>
      </w:r>
    </w:p>
    <w:p w14:paraId="435942B5" w14:textId="77777777" w:rsidR="00B97365" w:rsidRDefault="00000000">
      <w:pPr>
        <w:numPr>
          <w:ilvl w:val="1"/>
          <w:numId w:val="41"/>
        </w:numPr>
        <w:overflowPunct w:val="0"/>
        <w:autoSpaceDE w:val="0"/>
        <w:autoSpaceDN w:val="0"/>
        <w:adjustRightInd w:val="0"/>
        <w:spacing w:after="180" w:line="276" w:lineRule="auto"/>
        <w:jc w:val="left"/>
        <w:textAlignment w:val="baseline"/>
        <w:rPr>
          <w:rFonts w:cs="Arial"/>
        </w:rPr>
      </w:pPr>
      <w:r>
        <w:rPr>
          <w:rFonts w:cs="Arial"/>
        </w:rPr>
        <w:t>Is there enough memory? In case of uncertainty of the information contained within the EIS, the SM-DP could request an online audit.</w:t>
      </w:r>
    </w:p>
    <w:p w14:paraId="5260F385" w14:textId="77777777" w:rsidR="00B97365" w:rsidRDefault="00000000">
      <w:pPr>
        <w:numPr>
          <w:ilvl w:val="1"/>
          <w:numId w:val="41"/>
        </w:numPr>
        <w:overflowPunct w:val="0"/>
        <w:autoSpaceDE w:val="0"/>
        <w:autoSpaceDN w:val="0"/>
        <w:adjustRightInd w:val="0"/>
        <w:spacing w:after="180" w:line="276" w:lineRule="auto"/>
        <w:jc w:val="left"/>
        <w:textAlignment w:val="baseline"/>
        <w:rPr>
          <w:rFonts w:cs="Arial"/>
          <w:szCs w:val="22"/>
        </w:rPr>
      </w:pPr>
      <w:r>
        <w:rPr>
          <w:rFonts w:cs="Arial"/>
          <w:szCs w:val="22"/>
          <w:lang w:val="en-US"/>
        </w:rPr>
        <w:t xml:space="preserve">Is the eUICC certified? In case of a non-certified eUICC, the SM-DP MAY stop </w:t>
      </w:r>
      <w:r>
        <w:rPr>
          <w:rFonts w:cs="Arial"/>
          <w:szCs w:val="22"/>
        </w:rPr>
        <w:t>the procedure.</w:t>
      </w:r>
    </w:p>
    <w:p w14:paraId="6C6B1705" w14:textId="77777777" w:rsidR="00B97365" w:rsidRDefault="00000000">
      <w:pPr>
        <w:pStyle w:val="ListParagraph"/>
        <w:numPr>
          <w:ilvl w:val="1"/>
          <w:numId w:val="41"/>
        </w:numPr>
        <w:rPr>
          <w:rFonts w:cs="Arial"/>
          <w:szCs w:val="22"/>
        </w:rPr>
      </w:pPr>
      <w:r>
        <w:rPr>
          <w:rFonts w:cs="Arial"/>
          <w:szCs w:val="22"/>
        </w:rPr>
        <w:t>If the Profile Owner has disallowed Profile download to Field-Test eUICCs: if the target eUICC indicates it's a Field-Test eUICC, the SM-DP SHALL stop the procedure.</w:t>
      </w:r>
    </w:p>
    <w:p w14:paraId="635F159F" w14:textId="77777777" w:rsidR="00B97365" w:rsidRDefault="00000000">
      <w:pPr>
        <w:ind w:left="360"/>
        <w:jc w:val="left"/>
        <w:rPr>
          <w:rFonts w:cs="Arial"/>
        </w:rPr>
      </w:pPr>
      <w:r>
        <w:rPr>
          <w:rFonts w:cs="Arial"/>
        </w:rPr>
        <w:t>The SM-DP SHALL verify the ECASD certificate, which was received as part of the EIS, using the EUM Certificate and the CI’s Root Certificate and SHALL extract PK.ECASD.ECKA from the ECASD certificate.</w:t>
      </w:r>
    </w:p>
    <w:p w14:paraId="51CD69E0" w14:textId="77777777" w:rsidR="00B97365" w:rsidRDefault="00000000">
      <w:pPr>
        <w:ind w:left="360"/>
        <w:jc w:val="left"/>
        <w:rPr>
          <w:rFonts w:cs="Arial"/>
        </w:rPr>
      </w:pPr>
      <w:r>
        <w:rPr>
          <w:rFonts w:cs="Arial"/>
        </w:rPr>
        <w:t>If any of these conditions is not satisfied or if the certificate verification fails, the SM-DP SHALL return a response indicating a failure.</w:t>
      </w:r>
    </w:p>
    <w:p w14:paraId="50638C8B" w14:textId="77777777" w:rsidR="00B97365" w:rsidRDefault="00000000">
      <w:pPr>
        <w:numPr>
          <w:ilvl w:val="0"/>
          <w:numId w:val="101"/>
        </w:numPr>
        <w:rPr>
          <w:rFonts w:cs="Arial"/>
        </w:rPr>
      </w:pPr>
      <w:r>
        <w:rPr>
          <w:rFonts w:cs="Arial"/>
        </w:rPr>
        <w:t>The SM-DP SHALL call the “</w:t>
      </w:r>
      <w:r>
        <w:rPr>
          <w:rFonts w:cs="Arial"/>
          <w:b/>
        </w:rPr>
        <w:t>ES3.CreateISDP</w:t>
      </w:r>
      <w:r>
        <w:rPr>
          <w:rFonts w:cs="Arial"/>
        </w:rPr>
        <w:t>” function with its relevant input data.</w:t>
      </w:r>
    </w:p>
    <w:p w14:paraId="161385FE" w14:textId="6A7497F3" w:rsidR="00B97365" w:rsidRDefault="00000000">
      <w:pPr>
        <w:numPr>
          <w:ilvl w:val="0"/>
          <w:numId w:val="101"/>
        </w:numPr>
      </w:pPr>
      <w:r>
        <w:rPr>
          <w:rFonts w:cs="Arial"/>
        </w:rPr>
        <w:t xml:space="preserve">The SM-SR SHALL verify that the SM-DP request is acceptable (the verifications that the SM-SR SHALL perform are described in the section </w:t>
      </w:r>
      <w:r>
        <w:fldChar w:fldCharType="begin"/>
      </w:r>
      <w:r>
        <w:instrText xml:space="preserve"> REF _Ref367970229 \r \h  \* MERGEFORMAT </w:instrText>
      </w:r>
      <w:r>
        <w:fldChar w:fldCharType="separate"/>
      </w:r>
      <w:r w:rsidR="001D5AD9">
        <w:t>5.4.3</w:t>
      </w:r>
      <w:r>
        <w:fldChar w:fldCharType="end"/>
      </w:r>
      <w:r>
        <w:t>).</w:t>
      </w:r>
    </w:p>
    <w:p w14:paraId="06081E6B" w14:textId="77777777" w:rsidR="00B97365" w:rsidRDefault="00000000">
      <w:pPr>
        <w:ind w:left="360"/>
        <w:rPr>
          <w:rFonts w:cs="Arial"/>
        </w:rPr>
      </w:pPr>
      <w:r>
        <w:rPr>
          <w:rFonts w:cs="Arial"/>
        </w:rPr>
        <w:lastRenderedPageBreak/>
        <w:t>If any of the conditions to be verified are not satisfied, the SM-SR SHALL return a response indicating a failure, and the procedure SHALL stop.</w:t>
      </w:r>
    </w:p>
    <w:p w14:paraId="0083AABE" w14:textId="77777777" w:rsidR="00B97365" w:rsidRDefault="00000000">
      <w:pPr>
        <w:ind w:left="360"/>
        <w:rPr>
          <w:rFonts w:cs="Arial"/>
        </w:rPr>
      </w:pPr>
      <w:r>
        <w:rPr>
          <w:rFonts w:cs="Arial"/>
        </w:rPr>
        <w:t>Otherwise the SM-SR, SHALL create a new Profile entry for the EIS having a state “In-Creation”. The Profile with this state SHALL NOT appear in the EIS returned on ES3.GetEIS and ES4.GetEIS</w:t>
      </w:r>
    </w:p>
    <w:p w14:paraId="5639F385" w14:textId="1F98A21D" w:rsidR="00B97365" w:rsidRDefault="00000000">
      <w:pPr>
        <w:numPr>
          <w:ilvl w:val="0"/>
          <w:numId w:val="101"/>
        </w:numPr>
      </w:pPr>
      <w:r>
        <w:rPr>
          <w:rFonts w:cs="Arial"/>
        </w:rPr>
        <w:t xml:space="preserve">If there is no existing HTTPS session with the eUICC, the SM-SR SHALL trigger the HTTPS session as defined in section </w:t>
      </w:r>
      <w:r>
        <w:fldChar w:fldCharType="begin"/>
      </w:r>
      <w:r>
        <w:instrText xml:space="preserve"> REF _Ref367970246 \r \h  \* MERGEFORMAT </w:instrText>
      </w:r>
      <w:r>
        <w:fldChar w:fldCharType="separate"/>
      </w:r>
      <w:r w:rsidR="001D5AD9">
        <w:t>2.4.4.5</w:t>
      </w:r>
      <w:r>
        <w:fldChar w:fldCharType="end"/>
      </w:r>
      <w:r>
        <w:t xml:space="preserve">. </w:t>
      </w:r>
    </w:p>
    <w:p w14:paraId="08400D83" w14:textId="77777777" w:rsidR="00B97365" w:rsidRDefault="00000000">
      <w:pPr>
        <w:numPr>
          <w:ilvl w:val="0"/>
          <w:numId w:val="101"/>
        </w:numPr>
        <w:rPr>
          <w:rFonts w:cs="Arial"/>
        </w:rPr>
      </w:pPr>
      <w:r>
        <w:rPr>
          <w:rFonts w:cs="Arial"/>
        </w:rPr>
        <w:t>The SM-SR SHALL return the HTTP POST response containing the “</w:t>
      </w:r>
      <w:r>
        <w:rPr>
          <w:rFonts w:cs="Arial"/>
          <w:b/>
        </w:rPr>
        <w:t>ES5.CreateISDP</w:t>
      </w:r>
      <w:r>
        <w:rPr>
          <w:rFonts w:cs="Arial"/>
        </w:rPr>
        <w:t>” with its relevant input data. The X-Admin-Targeted-Application parameter SHALL be omitted as the command is targeting the ISD-R.</w:t>
      </w:r>
    </w:p>
    <w:p w14:paraId="1C531184" w14:textId="77777777" w:rsidR="00B97365" w:rsidRDefault="00000000">
      <w:pPr>
        <w:numPr>
          <w:ilvl w:val="0"/>
          <w:numId w:val="101"/>
        </w:numPr>
        <w:rPr>
          <w:rFonts w:cs="Arial"/>
        </w:rPr>
      </w:pPr>
      <w:r>
        <w:rPr>
          <w:rFonts w:cs="Arial"/>
        </w:rPr>
        <w:t>The ISD-R SHALL create the ISD-P. In case of an error, the ISD-R SHALL return the error within the next POST request to the SM-SR. The SM-SR SHALL delete the new Profile entry having the state “In-Creation“ from the EIS. The error SHALL be finally returned to the SM-DP and the procedure MAY end depending on the error.</w:t>
      </w:r>
    </w:p>
    <w:p w14:paraId="39D3ADE6" w14:textId="77777777" w:rsidR="00B97365" w:rsidRDefault="00000000">
      <w:pPr>
        <w:numPr>
          <w:ilvl w:val="0"/>
          <w:numId w:val="101"/>
        </w:numPr>
        <w:rPr>
          <w:rFonts w:cs="Arial"/>
        </w:rPr>
      </w:pPr>
      <w:r>
        <w:rPr>
          <w:rFonts w:cs="Arial"/>
        </w:rPr>
        <w:t>The eUICC SHALL return the “</w:t>
      </w:r>
      <w:r>
        <w:rPr>
          <w:rFonts w:cs="Arial"/>
          <w:b/>
        </w:rPr>
        <w:t>ES5.CreateISDP</w:t>
      </w:r>
      <w:r>
        <w:rPr>
          <w:rFonts w:cs="Arial"/>
        </w:rPr>
        <w:t>” function execution response within the POST request to the SM-SR.</w:t>
      </w:r>
    </w:p>
    <w:p w14:paraId="08C32C32" w14:textId="77777777" w:rsidR="00B97365" w:rsidRDefault="00000000">
      <w:pPr>
        <w:numPr>
          <w:ilvl w:val="0"/>
          <w:numId w:val="101"/>
        </w:numPr>
        <w:rPr>
          <w:rFonts w:cs="Arial"/>
        </w:rPr>
      </w:pPr>
      <w:r>
        <w:rPr>
          <w:rFonts w:cs="Arial"/>
        </w:rPr>
        <w:t>Assuming a successful ISD-P creation, the SM-SR SHALL update the state of the Profile in the EIS to “Created“.</w:t>
      </w:r>
    </w:p>
    <w:p w14:paraId="42833342" w14:textId="77777777" w:rsidR="00B97365" w:rsidRDefault="00000000">
      <w:pPr>
        <w:numPr>
          <w:ilvl w:val="0"/>
          <w:numId w:val="101"/>
        </w:numPr>
        <w:rPr>
          <w:rFonts w:cs="Arial"/>
        </w:rPr>
      </w:pPr>
      <w:r>
        <w:rPr>
          <w:rFonts w:cs="Arial"/>
        </w:rPr>
        <w:t>The SM-SR SHALL return to the SM-DP the “</w:t>
      </w:r>
      <w:r>
        <w:rPr>
          <w:rFonts w:cs="Arial"/>
          <w:b/>
        </w:rPr>
        <w:t>ES3.CreateISDP</w:t>
      </w:r>
      <w:r>
        <w:rPr>
          <w:rFonts w:cs="Arial"/>
        </w:rPr>
        <w:t>” function execution response.</w:t>
      </w:r>
    </w:p>
    <w:p w14:paraId="3E52548D" w14:textId="77777777" w:rsidR="00B97365" w:rsidRDefault="00000000">
      <w:pPr>
        <w:ind w:left="567" w:hanging="567"/>
        <w:jc w:val="left"/>
        <w:rPr>
          <w:rFonts w:cs="Arial"/>
        </w:rPr>
      </w:pPr>
      <w:r>
        <w:rPr>
          <w:rFonts w:cs="Arial"/>
        </w:rPr>
        <w:t>(13a)</w:t>
      </w:r>
      <w:r>
        <w:rPr>
          <w:rFonts w:cs="Arial"/>
        </w:rPr>
        <w:tab/>
        <w:t>In case the SM-SR does not receive a function execution response from the eUICC (e.g. due to a disrupted connection), the SM-SR SHALL trigger ES5.DeleteISDP function on the targeted ISD-P and update the EIS by removing the new Profile entry with status "In Creation" from the EIS accordingly.</w:t>
      </w:r>
    </w:p>
    <w:p w14:paraId="77827C70" w14:textId="77777777" w:rsidR="00B97365" w:rsidRDefault="00B97365">
      <w:pPr>
        <w:ind w:left="709" w:hanging="709"/>
        <w:rPr>
          <w:rFonts w:cs="Arial"/>
          <w:sz w:val="20"/>
        </w:rPr>
      </w:pPr>
    </w:p>
    <w:p w14:paraId="63ECBF02" w14:textId="77777777" w:rsidR="00B97365" w:rsidRDefault="00000000">
      <w:pPr>
        <w:spacing w:before="0" w:after="200" w:line="276" w:lineRule="auto"/>
        <w:jc w:val="left"/>
        <w:rPr>
          <w:rFonts w:cs="Arial"/>
          <w:szCs w:val="22"/>
          <w:lang w:eastAsia="en-GB" w:bidi="ar-SA"/>
        </w:rPr>
      </w:pPr>
      <w:r>
        <w:rPr>
          <w:rFonts w:cs="Arial"/>
          <w:szCs w:val="22"/>
          <w:lang w:eastAsia="en-GB" w:bidi="ar-SA"/>
        </w:rPr>
        <w:t>In this sample procedure, it is assumed that the SM-DP has indicated “more to do” in the “ES5.CreateISDP” call. In case the SM-DP did not indicate “more to do”, the SM-SR MAY end the HTTPS session.</w:t>
      </w:r>
    </w:p>
    <w:p w14:paraId="0C68A657"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527" w:name="_Toc448998216"/>
      <w:bookmarkStart w:id="1528" w:name="_Toc422150690"/>
      <w:bookmarkStart w:id="1529" w:name="_Toc421874270"/>
      <w:bookmarkStart w:id="1530" w:name="_Toc420594340"/>
      <w:bookmarkStart w:id="1531" w:name="_Toc398214811"/>
      <w:bookmarkStart w:id="1532" w:name="_Toc375158227"/>
      <w:bookmarkStart w:id="1533" w:name="_Toc368932205"/>
      <w:bookmarkStart w:id="1534" w:name="_Ref367973230"/>
      <w:bookmarkStart w:id="1535" w:name="_Ref367972235"/>
      <w:bookmarkStart w:id="1536" w:name="_Ref367970396"/>
      <w:bookmarkStart w:id="1537" w:name="_Ref367968150"/>
      <w:bookmarkStart w:id="1538" w:name="_Ref367967791"/>
      <w:bookmarkStart w:id="1539" w:name="_Toc353545714"/>
      <w:bookmarkStart w:id="1540" w:name="_Toc486332834"/>
      <w:bookmarkStart w:id="1541" w:name="_Toc1977255"/>
      <w:bookmarkStart w:id="1542" w:name="_Toc37062411"/>
      <w:bookmarkStart w:id="1543" w:name="_Toc88839516"/>
      <w:bookmarkStart w:id="1544" w:name="_Toc121503924"/>
      <w:r>
        <w:rPr>
          <w:rFonts w:eastAsia="Times New Roman" w:cs="Arial"/>
          <w:b/>
          <w:bCs/>
          <w:iCs/>
          <w:sz w:val="24"/>
          <w:szCs w:val="26"/>
          <w:lang w:eastAsia="en-US"/>
        </w:rPr>
        <w:t>Key Establishment with Scenario#3-Mutual Authentication</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25C21FB0"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 next figure describes the second step in the Profile Download and Installation procedure. </w:t>
      </w:r>
    </w:p>
    <w:p w14:paraId="234672BD" w14:textId="5743928F" w:rsidR="00B97365" w:rsidRDefault="00000000">
      <w:pPr>
        <w:spacing w:before="0" w:after="200" w:line="276" w:lineRule="auto"/>
        <w:jc w:val="left"/>
        <w:rPr>
          <w:szCs w:val="22"/>
          <w:lang w:eastAsia="en-GB" w:bidi="ar-SA"/>
        </w:rPr>
      </w:pPr>
      <w:r>
        <w:rPr>
          <w:rFonts w:cs="Arial"/>
          <w:szCs w:val="22"/>
          <w:lang w:eastAsia="en-GB" w:bidi="ar-SA"/>
        </w:rPr>
        <w:t xml:space="preserve">This sequence defines a new scenario called “Scenario#3-Mutual Authentication”. This sequence uses Scenario#3 based on ECKA EG (ElGamal) scheme as defined in GlobalPlatform Card Specification Amendment E </w:t>
      </w:r>
      <w:r>
        <w:rPr>
          <w:szCs w:val="22"/>
          <w:lang w:eastAsia="en-GB" w:bidi="ar-SA"/>
        </w:rPr>
        <w:fldChar w:fldCharType="begin"/>
      </w:r>
      <w:r>
        <w:rPr>
          <w:szCs w:val="22"/>
          <w:lang w:eastAsia="en-GB" w:bidi="ar-SA"/>
        </w:rPr>
        <w:instrText xml:space="preserve"> REF _Ref421632038 \r \h </w:instrText>
      </w:r>
      <w:r>
        <w:rPr>
          <w:szCs w:val="22"/>
          <w:lang w:eastAsia="en-GB" w:bidi="ar-SA"/>
        </w:rPr>
      </w:r>
      <w:r>
        <w:rPr>
          <w:szCs w:val="22"/>
          <w:lang w:eastAsia="en-GB" w:bidi="ar-SA"/>
        </w:rPr>
        <w:fldChar w:fldCharType="separate"/>
      </w:r>
      <w:r w:rsidR="001D5AD9">
        <w:rPr>
          <w:szCs w:val="22"/>
          <w:lang w:eastAsia="en-GB" w:bidi="ar-SA"/>
        </w:rPr>
        <w:t>[11]</w:t>
      </w:r>
      <w:r>
        <w:rPr>
          <w:szCs w:val="22"/>
          <w:lang w:eastAsia="en-GB" w:bidi="ar-SA"/>
        </w:rPr>
        <w:fldChar w:fldCharType="end"/>
      </w:r>
      <w:r>
        <w:rPr>
          <w:szCs w:val="22"/>
          <w:lang w:eastAsia="en-GB" w:bidi="ar-SA"/>
        </w:rPr>
        <w:t xml:space="preserve"> complemented by an SM-DP authentication step.</w:t>
      </w:r>
    </w:p>
    <w:p w14:paraId="60AC81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54E902C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0A1C28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754382B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160</w:t>
      </w:r>
    </w:p>
    <w:p w14:paraId="39FA97C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D9D52F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7854F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5035DCA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D5F623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0F47A6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4ACB8A7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7D8CBF4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1B92761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5CC8F08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“ISD-P” as ISDP #FFFFFF</w:t>
      </w:r>
    </w:p>
    <w:p w14:paraId="23BF356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ECASD #FFFFFF</w:t>
      </w:r>
    </w:p>
    <w:p w14:paraId="7971185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02BEE27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002158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(1) sendData(eid, sd-aid, ES8.EstablishISDPKeySet(CERT.DP.ECDSA))</w:t>
      </w:r>
    </w:p>
    <w:p w14:paraId="1B013F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w:t>
      </w:r>
    </w:p>
    <w:p w14:paraId="19DDBB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w:t>
      </w:r>
    </w:p>
    <w:p w14:paraId="6A5DEB4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conditions</w:t>
      </w:r>
    </w:p>
    <w:p w14:paraId="3018629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328B9D4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11DF6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6589454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w:t>
      </w:r>
    </w:p>
    <w:p w14:paraId="5E34D4B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BD17BB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SR, ISDR #C0C0C0</w:t>
      </w:r>
    </w:p>
    <w:p w14:paraId="1E83483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(2a) Conditional:</w:t>
      </w:r>
    </w:p>
    <w:p w14:paraId="2D7707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HTTPS Session opening</w:t>
      </w:r>
    </w:p>
    <w:p w14:paraId="4A5C34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4E6361D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5AC364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AAA900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w:t>
      </w:r>
    </w:p>
    <w:p w14:paraId="0C64B87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note over SR, ISDR</w:t>
      </w:r>
    </w:p>
    <w:p w14:paraId="0F053EC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**HTTP/1.1 200 CRLF**</w:t>
      </w:r>
    </w:p>
    <w:p w14:paraId="5745AC0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26E4BB8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2FFA9B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&lt;Body with ES8.EstablishISDPKeySet(CERT.DP.ECDSA)&gt;</w:t>
      </w:r>
    </w:p>
    <w:p w14:paraId="3C23FB5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note</w:t>
      </w:r>
    </w:p>
    <w:p w14:paraId="4B6D03F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03D83F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ISDR-&gt;ISDP: (3a) CERT.DP.ECDSA</w:t>
      </w:r>
    </w:p>
    <w:p w14:paraId="42FBF91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78FABD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ISDP</w:t>
      </w:r>
    </w:p>
    <w:p w14:paraId="3DC031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(3b) Verifies that it is</w:t>
      </w:r>
    </w:p>
    <w:p w14:paraId="113F444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an SM-DP certificate</w:t>
      </w:r>
    </w:p>
    <w:p w14:paraId="432BC7C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019C625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7760B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ISDP-&gt;ECASD: (4) CERT.DP.ECDSA</w:t>
      </w:r>
    </w:p>
    <w:p w14:paraId="36B59A1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FE5FCE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ECASD</w:t>
      </w:r>
    </w:p>
    <w:p w14:paraId="65236CB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verifies CERT.DP.ECDSA</w:t>
      </w:r>
    </w:p>
    <w:p w14:paraId="1B0DFFF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using PK.CI.ECDSA.</w:t>
      </w:r>
    </w:p>
    <w:p w14:paraId="0320B6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Continue if successful:</w:t>
      </w:r>
    </w:p>
    <w:p w14:paraId="1905AF8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extracts PK.DP.ECDSA</w:t>
      </w:r>
    </w:p>
    <w:p w14:paraId="0A2AB66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from CERT.DP.ECDSA.</w:t>
      </w:r>
    </w:p>
    <w:p w14:paraId="23A3F29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generates RC</w:t>
      </w:r>
    </w:p>
    <w:p w14:paraId="639E8A0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542151E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ECASD--&gt;ISDP:(6) RC or error</w:t>
      </w:r>
    </w:p>
    <w:p w14:paraId="1D5104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ISDP--&gt;ISDR: (7)</w:t>
      </w:r>
    </w:p>
    <w:p w14:paraId="481A480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34B17C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ISDR-&gt;&gt;SR:            </w:t>
      </w:r>
    </w:p>
    <w:p w14:paraId="62DC0D3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note over SR, ISDR</w:t>
      </w:r>
    </w:p>
    <w:p w14:paraId="2EF34A8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**POST /&lt;next-uri&gt; HTTP/1.1 CRLF**</w:t>
      </w:r>
    </w:p>
    <w:p w14:paraId="467FC1B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2E374F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**X-Admin-Script-Status:** &lt;script-status&gt; CRLF</w:t>
      </w:r>
    </w:p>
    <w:p w14:paraId="1AF8F45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5BC2B2E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&lt;Body with ES8.EstablishISDPKeySet response: RC or error&gt;</w:t>
      </w:r>
    </w:p>
    <w:p w14:paraId="5756271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End note</w:t>
      </w:r>
    </w:p>
    <w:p w14:paraId="1F25F7F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EA6A66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SR-&gt;&gt;DP:(8) sendData response with ES8.EstablishISDPKeySet response: RC or error</w:t>
      </w:r>
    </w:p>
    <w:p w14:paraId="2A4BB2C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516A74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OP, ISDP #C0C0C0</w:t>
      </w:r>
    </w:p>
    <w:p w14:paraId="411C3BF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(8a) Conditional: Error manageent, see 3.1.4</w:t>
      </w:r>
    </w:p>
    <w:p w14:paraId="73353F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5CC4C5D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3E76B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right of OP</w:t>
      </w:r>
    </w:p>
    <w:p w14:paraId="6006960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(9) Generates (eSK.DP.ECKA, ePK.DP.ECKA)</w:t>
      </w:r>
    </w:p>
    <w:p w14:paraId="77B662B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Signs RC and ePK.DP.ECKA with SK.DP.ECDSA</w:t>
      </w:r>
    </w:p>
    <w:p w14:paraId="2AF6981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51369E3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760DD0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(10) sendData( eid, sd-aid, ES8.keyEstablishISDPKeySet(ePK.DP.ECKA, signature))</w:t>
      </w:r>
    </w:p>
    <w:p w14:paraId="1A0D2E9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(11)</w:t>
      </w:r>
    </w:p>
    <w:p w14:paraId="06C11BC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Note over SR</w:t>
      </w:r>
    </w:p>
    <w:p w14:paraId="3953F26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**HTTP/1.1 200 CRLF**</w:t>
      </w:r>
    </w:p>
    <w:p w14:paraId="6487CB2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w:t>
      </w:r>
    </w:p>
    <w:p w14:paraId="4888D68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4499F61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&lt;Body with ES8.EstablishISDPKeySet(ePK.DP.ECKA, RC, signature)&gt;</w:t>
      </w:r>
    </w:p>
    <w:p w14:paraId="6181D6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note</w:t>
      </w:r>
    </w:p>
    <w:p w14:paraId="4D1DFE8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2BAA47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ISDR-&gt;ISDP:(12) ePK.DP.ECKA, signature</w:t>
      </w:r>
    </w:p>
    <w:p w14:paraId="1D4422C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ISDP-&gt;ECASD</w:t>
      </w:r>
    </w:p>
    <w:p w14:paraId="59F6F2F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ECASD</w:t>
      </w:r>
    </w:p>
    <w:p w14:paraId="71D3392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13) verifies signature</w:t>
      </w:r>
    </w:p>
    <w:p w14:paraId="4F43938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using PK.DP.ECDSA.</w:t>
      </w:r>
    </w:p>
    <w:p w14:paraId="6E80B66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Continue if successful:</w:t>
      </w:r>
    </w:p>
    <w:p w14:paraId="5AE37FD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 calculates ShS from</w:t>
      </w:r>
    </w:p>
    <w:p w14:paraId="64AD1C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ePK.DP.ECKA and</w:t>
      </w:r>
    </w:p>
    <w:p w14:paraId="60246A3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SK.ECASD.ECKA.</w:t>
      </w:r>
    </w:p>
    <w:p w14:paraId="700C173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1AE4C67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59EC9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ECASD--&gt;ISDP: (14) ShS or error</w:t>
      </w:r>
    </w:p>
    <w:p w14:paraId="47ADC02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FB0B0D7"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3C254C">
        <w:rPr>
          <w:rFonts w:ascii="Courier New" w:hAnsi="Courier New" w:cs="Courier New"/>
          <w:noProof/>
          <w:color w:val="008000"/>
          <w:sz w:val="18"/>
          <w:lang w:val="nl-NL"/>
        </w:rPr>
        <w:t>rnote over ISDP</w:t>
      </w:r>
    </w:p>
    <w:p w14:paraId="687D15CC"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3C254C">
        <w:rPr>
          <w:rFonts w:ascii="Courier New" w:hAnsi="Courier New" w:cs="Courier New"/>
          <w:noProof/>
          <w:color w:val="008000"/>
          <w:sz w:val="18"/>
          <w:lang w:val="nl-NL"/>
        </w:rPr>
        <w:t>(15) (Opt.) Generates DR</w:t>
      </w:r>
    </w:p>
    <w:p w14:paraId="21BA305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3C254C">
        <w:rPr>
          <w:rFonts w:ascii="Courier New" w:hAnsi="Courier New" w:cs="Courier New"/>
          <w:noProof/>
          <w:color w:val="008000"/>
          <w:sz w:val="18"/>
          <w:lang w:val="nl-NL"/>
        </w:rPr>
        <w:t xml:space="preserve"> </w:t>
      </w:r>
      <w:r>
        <w:rPr>
          <w:rFonts w:ascii="Courier New" w:hAnsi="Courier New" w:cs="Courier New"/>
          <w:noProof/>
          <w:color w:val="008000"/>
          <w:sz w:val="18"/>
        </w:rPr>
        <w:t>Derives keyset from ShS (and DR)</w:t>
      </w:r>
    </w:p>
    <w:p w14:paraId="7EDC5AE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Calculates receipt.</w:t>
      </w:r>
    </w:p>
    <w:p w14:paraId="66985B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7DEA342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CDE9C20"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Pr>
          <w:rFonts w:ascii="Courier New" w:hAnsi="Courier New" w:cs="Courier New"/>
          <w:noProof/>
          <w:color w:val="008000"/>
          <w:sz w:val="18"/>
        </w:rPr>
        <w:t xml:space="preserve">ISDP--&gt;ISDR: (16) Receipt (Opt. </w:t>
      </w:r>
      <w:r w:rsidRPr="003C254C">
        <w:rPr>
          <w:rFonts w:ascii="Courier New" w:hAnsi="Courier New" w:cs="Courier New"/>
          <w:noProof/>
          <w:color w:val="008000"/>
          <w:sz w:val="18"/>
          <w:lang w:val="de-DE"/>
        </w:rPr>
        <w:t>DR) or error</w:t>
      </w:r>
    </w:p>
    <w:p w14:paraId="23182BB4"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71515514"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ISDR-&gt;&gt;SR:(17)</w:t>
      </w:r>
    </w:p>
    <w:p w14:paraId="5839E56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Note over SR, ISDR</w:t>
      </w:r>
    </w:p>
    <w:p w14:paraId="4022E4C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**POST** /&lt;next-uri&gt; **HTTP/1.1** CRLF</w:t>
      </w:r>
    </w:p>
    <w:p w14:paraId="15B08FC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w:t>
      </w:r>
    </w:p>
    <w:p w14:paraId="3187753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**X-Admin-Script-Status:** &lt;script-status&gt; CRLF</w:t>
      </w:r>
    </w:p>
    <w:p w14:paraId="34A8AF3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4656FB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&lt;Body with ES8.EstablishISDPKeySet response: Receipt (Opt. DR) or error&gt;</w:t>
      </w:r>
    </w:p>
    <w:p w14:paraId="11F3411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note</w:t>
      </w:r>
    </w:p>
    <w:p w14:paraId="3C13F45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4911B7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SR-&gt;&gt;DP:(18) sendData response with ES8.keyEstablishISDPKeySet response: Receipt (Opt. DR) or error</w:t>
      </w:r>
    </w:p>
    <w:p w14:paraId="2DD7CC7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ACB02F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OP, ISDP #C0C0C0</w:t>
      </w:r>
    </w:p>
    <w:p w14:paraId="693C7C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(18a) Conditional: Error management see 3.1.4</w:t>
      </w:r>
    </w:p>
    <w:p w14:paraId="508676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hnote</w:t>
      </w:r>
    </w:p>
    <w:p w14:paraId="516B755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28243C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right of OP</w:t>
      </w:r>
    </w:p>
    <w:p w14:paraId="7A70199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(19) Calculates ShS from eSK.DP.ECKA</w:t>
      </w:r>
    </w:p>
    <w:p w14:paraId="3991A07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and PK.ECASD.ECKA.</w:t>
      </w:r>
    </w:p>
    <w:p w14:paraId="22C52E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Derives keyset from ShS (and DR)</w:t>
      </w:r>
    </w:p>
    <w:p w14:paraId="0192CC7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Verifies receipt</w:t>
      </w:r>
    </w:p>
    <w:p w14:paraId="77BB966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7286A43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3256EECE" w14:textId="77777777" w:rsidR="00B97365" w:rsidRDefault="00000000">
      <w:pPr>
        <w:rPr>
          <w:rFonts w:cs="Courier New"/>
          <w:noProof/>
          <w:color w:val="008000"/>
          <w:sz w:val="18"/>
          <w:lang w:eastAsia="en-GB" w:bidi="ar-SA"/>
        </w:rPr>
      </w:pPr>
      <w:r>
        <w:rPr>
          <w:rFonts w:cs="Courier New"/>
          <w:noProof/>
          <w:color w:val="008000"/>
          <w:sz w:val="18"/>
          <w:lang w:eastAsia="en-GB" w:bidi="ar-SA"/>
        </w:rPr>
        <w:lastRenderedPageBreak/>
        <w:drawing>
          <wp:inline distT="0" distB="0" distL="0" distR="0" wp14:anchorId="77DE4F6F" wp14:editId="269A3C6D">
            <wp:extent cx="5433060" cy="8382000"/>
            <wp:effectExtent l="0" t="0" r="0" b="0"/>
            <wp:docPr id="19" name="Picture 1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46">
                      <a:extLst>
                        <a:ext uri="{28A0092B-C50C-407E-A947-70E740481C1C}">
                          <a14:useLocalDpi xmlns:a14="http://schemas.microsoft.com/office/drawing/2010/main" val="0"/>
                        </a:ext>
                      </a:extLst>
                    </a:blip>
                    <a:stretch>
                      <a:fillRect/>
                    </a:stretch>
                  </pic:blipFill>
                  <pic:spPr>
                    <a:xfrm>
                      <a:off x="0" y="0"/>
                      <a:ext cx="5433716" cy="8383012"/>
                    </a:xfrm>
                    <a:prstGeom prst="rect">
                      <a:avLst/>
                    </a:prstGeom>
                  </pic:spPr>
                </pic:pic>
              </a:graphicData>
            </a:graphic>
          </wp:inline>
        </w:drawing>
      </w:r>
    </w:p>
    <w:p w14:paraId="4C14356B" w14:textId="77777777" w:rsidR="00B97365" w:rsidRDefault="00B97365">
      <w:pPr>
        <w:keepNext/>
        <w:rPr>
          <w:rFonts w:cs="Calibri"/>
        </w:rPr>
      </w:pPr>
    </w:p>
    <w:p w14:paraId="3E5228E1" w14:textId="77777777" w:rsidR="00B97365" w:rsidRDefault="00000000">
      <w:pPr>
        <w:numPr>
          <w:ilvl w:val="0"/>
          <w:numId w:val="13"/>
        </w:numPr>
        <w:tabs>
          <w:tab w:val="left" w:pos="1009"/>
        </w:tabs>
        <w:spacing w:before="0" w:after="200" w:line="276" w:lineRule="auto"/>
        <w:jc w:val="center"/>
        <w:rPr>
          <w:lang w:eastAsia="en-GB" w:bidi="ar-SA"/>
        </w:rPr>
      </w:pPr>
      <w:bookmarkStart w:id="1545" w:name="_Ref373941249"/>
      <w:r>
        <w:rPr>
          <w:rFonts w:cs="Arial"/>
          <w:b/>
          <w:szCs w:val="22"/>
          <w:lang w:val="en-US" w:eastAsia="en-GB" w:bidi="ar-SA"/>
        </w:rPr>
        <w:t>: Key Establishment, Scenario #3</w:t>
      </w:r>
      <w:bookmarkStart w:id="1546" w:name="_Toc420594341"/>
      <w:bookmarkEnd w:id="1545"/>
    </w:p>
    <w:p w14:paraId="70F725DD"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bookmarkEnd w:id="1546"/>
    </w:p>
    <w:p w14:paraId="54747F3A" w14:textId="63621425" w:rsidR="00B97365" w:rsidRDefault="00000000">
      <w:pPr>
        <w:spacing w:before="0" w:after="200" w:line="276" w:lineRule="auto"/>
        <w:jc w:val="left"/>
        <w:rPr>
          <w:szCs w:val="22"/>
          <w:lang w:eastAsia="en-GB" w:bidi="ar-SA"/>
        </w:rPr>
      </w:pPr>
      <w:r>
        <w:rPr>
          <w:rFonts w:cs="Arial"/>
          <w:szCs w:val="22"/>
          <w:lang w:eastAsia="en-GB" w:bidi="ar-SA"/>
        </w:rPr>
        <w:t xml:space="preserve">As a pre-condition, the ISD-P SHALL be created as defined in section </w:t>
      </w:r>
      <w:r>
        <w:fldChar w:fldCharType="begin"/>
      </w:r>
      <w:r>
        <w:instrText xml:space="preserve"> REF _Ref367970287 \r \h  \* MERGEFORMAT </w:instrText>
      </w:r>
      <w:r>
        <w:fldChar w:fldCharType="separate"/>
      </w:r>
      <w:r w:rsidR="001D5AD9" w:rsidRPr="001D5AD9">
        <w:rPr>
          <w:szCs w:val="22"/>
          <w:lang w:eastAsia="en-GB" w:bidi="ar-SA"/>
        </w:rPr>
        <w:t>3.1.1</w:t>
      </w:r>
      <w:r>
        <w:fldChar w:fldCharType="end"/>
      </w:r>
      <w:r>
        <w:rPr>
          <w:szCs w:val="22"/>
          <w:lang w:eastAsia="en-GB" w:bidi="ar-SA"/>
        </w:rPr>
        <w:t>, the eUICC/ECASD SHALL support the scenario#3-Mutual Authentication and SHALL be provisioned with the SK.ECASD.ECKA, PK.CI.ECDSA.</w:t>
      </w:r>
    </w:p>
    <w:p w14:paraId="1441BC4C"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547" w:name="_Toc420594342"/>
      <w:r>
        <w:rPr>
          <w:rFonts w:cs="Arial"/>
          <w:b/>
          <w:noProof/>
          <w:szCs w:val="22"/>
          <w:lang w:eastAsia="en-GB" w:bidi="ar-SA"/>
        </w:rPr>
        <w:t>Procedure:</w:t>
      </w:r>
      <w:bookmarkEnd w:id="1547"/>
    </w:p>
    <w:p w14:paraId="38E17C7D" w14:textId="77777777" w:rsidR="00B97365" w:rsidRDefault="00000000">
      <w:pPr>
        <w:numPr>
          <w:ilvl w:val="0"/>
          <w:numId w:val="102"/>
        </w:numPr>
      </w:pPr>
      <w:r>
        <w:t>The SM-DP SHALL call the “</w:t>
      </w:r>
      <w:r>
        <w:rPr>
          <w:b/>
        </w:rPr>
        <w:t>ES3.SendData</w:t>
      </w:r>
      <w:r>
        <w:t>” function specifying the targeted eUICC, the ISD-R, and the data containing the “</w:t>
      </w:r>
      <w:r>
        <w:rPr>
          <w:b/>
        </w:rPr>
        <w:t>ES8.EstablishISDPKeySet</w:t>
      </w:r>
      <w:r>
        <w:t xml:space="preserve">” function with the certificate identifying the SM-DP. The certificate SHALL be issued by the SM-DP Certificate Issuer. </w:t>
      </w:r>
    </w:p>
    <w:p w14:paraId="3D7188D3" w14:textId="0CFF2D7D" w:rsidR="00B97365" w:rsidRDefault="00000000">
      <w:pPr>
        <w:numPr>
          <w:ilvl w:val="0"/>
          <w:numId w:val="102"/>
        </w:numPr>
      </w:pPr>
      <w:r>
        <w:t xml:space="preserve">The SM-SR SHALL verify that the SM-DP request is acceptable (the verifications that the SM-SR SHALL perform are described in the section </w:t>
      </w:r>
      <w:r>
        <w:fldChar w:fldCharType="begin"/>
      </w:r>
      <w:r>
        <w:instrText xml:space="preserve"> REF _Ref367970327 \r \h  \* MERGEFORMAT </w:instrText>
      </w:r>
      <w:r>
        <w:fldChar w:fldCharType="separate"/>
      </w:r>
      <w:r w:rsidR="001D5AD9">
        <w:t>5.4.4</w:t>
      </w:r>
      <w:r>
        <w:fldChar w:fldCharType="end"/>
      </w:r>
      <w:r>
        <w:t>).</w:t>
      </w:r>
    </w:p>
    <w:p w14:paraId="479AD015" w14:textId="77777777" w:rsidR="00B97365" w:rsidRDefault="00000000">
      <w:pPr>
        <w:ind w:left="567"/>
        <w:rPr>
          <w:rFonts w:cs="Arial"/>
        </w:rPr>
      </w:pPr>
      <w:r>
        <w:rPr>
          <w:rFonts w:cs="Arial"/>
        </w:rPr>
        <w:t>If any of the conditions to be verified are not satisfied, the SM-SR SHALL return a response indicating a failure, and the procedure SHALL stop.</w:t>
      </w:r>
    </w:p>
    <w:p w14:paraId="192D8FC5" w14:textId="4D782A81" w:rsidR="00B97365" w:rsidRDefault="00000000">
      <w:pPr>
        <w:ind w:left="1276" w:hanging="709"/>
        <w:rPr>
          <w:rFonts w:cs="Arial"/>
        </w:rPr>
      </w:pPr>
      <w:r>
        <w:rPr>
          <w:rFonts w:cs="Arial"/>
        </w:rPr>
        <w:t>(2a)</w:t>
      </w:r>
      <w:r>
        <w:rPr>
          <w:rFonts w:cs="Arial"/>
        </w:rPr>
        <w:tab/>
        <w:t>The SM-SR SHALL trigger the HTTPS session with the ISD-R if not already opened as defined in section</w:t>
      </w:r>
      <w:r>
        <w:t xml:space="preserve"> </w:t>
      </w:r>
      <w:r>
        <w:fldChar w:fldCharType="begin"/>
      </w:r>
      <w:r>
        <w:instrText xml:space="preserve"> REF _Ref483300993 \r \h </w:instrText>
      </w:r>
      <w:r>
        <w:fldChar w:fldCharType="separate"/>
      </w:r>
      <w:r w:rsidR="001D5AD9">
        <w:t>2.4.4.5</w:t>
      </w:r>
      <w:r>
        <w:fldChar w:fldCharType="end"/>
      </w:r>
      <w:r>
        <w:rPr>
          <w:rFonts w:cs="Arial"/>
        </w:rPr>
        <w:t>.</w:t>
      </w:r>
    </w:p>
    <w:p w14:paraId="03F13FC1" w14:textId="77777777" w:rsidR="00B97365" w:rsidRDefault="00000000">
      <w:pPr>
        <w:numPr>
          <w:ilvl w:val="0"/>
          <w:numId w:val="102"/>
        </w:numPr>
      </w:pPr>
      <w:r>
        <w:t>The SM-SR SHALL return the HTTP POST response with a body containing the “</w:t>
      </w:r>
      <w:r>
        <w:rPr>
          <w:b/>
        </w:rPr>
        <w:t>ES8.EstablishISDPKeySet</w:t>
      </w:r>
      <w:r>
        <w:t xml:space="preserve">” function as provided by the SM-DP in (1). The X-Admin-Targeted-Application parameter SHALL be omitted as the command is targeting the ISD-R </w:t>
      </w:r>
    </w:p>
    <w:p w14:paraId="592771A7" w14:textId="77777777" w:rsidR="00B97365" w:rsidRDefault="00000000">
      <w:pPr>
        <w:ind w:left="1276" w:hanging="709"/>
        <w:rPr>
          <w:rFonts w:cs="Arial"/>
        </w:rPr>
      </w:pPr>
      <w:r>
        <w:rPr>
          <w:rFonts w:cs="Arial"/>
        </w:rPr>
        <w:t>(3a)</w:t>
      </w:r>
      <w:r>
        <w:rPr>
          <w:rFonts w:cs="Arial"/>
        </w:rPr>
        <w:tab/>
        <w:t>The ISD-R SHALL forward the content of the STORE DATA command contained in the HTTP response to the ISD-P.</w:t>
      </w:r>
    </w:p>
    <w:p w14:paraId="594009C1" w14:textId="77777777" w:rsidR="00B97365" w:rsidRDefault="00000000">
      <w:pPr>
        <w:tabs>
          <w:tab w:val="left" w:pos="1276"/>
        </w:tabs>
        <w:overflowPunct w:val="0"/>
        <w:autoSpaceDE w:val="0"/>
        <w:autoSpaceDN w:val="0"/>
        <w:adjustRightInd w:val="0"/>
        <w:spacing w:before="0" w:after="180"/>
        <w:ind w:left="567"/>
        <w:jc w:val="left"/>
        <w:textAlignment w:val="baseline"/>
        <w:rPr>
          <w:rFonts w:cs="Arial"/>
        </w:rPr>
      </w:pPr>
      <w:r>
        <w:rPr>
          <w:rFonts w:cs="Arial"/>
        </w:rPr>
        <w:t>(3b)</w:t>
      </w:r>
      <w:r>
        <w:rPr>
          <w:rFonts w:cs="Arial"/>
        </w:rPr>
        <w:tab/>
        <w:t>The ISD-P SHALL verify that it is an SM-DP certificate.</w:t>
      </w:r>
    </w:p>
    <w:p w14:paraId="08C31525" w14:textId="77777777" w:rsidR="00B97365" w:rsidRDefault="00000000">
      <w:pPr>
        <w:numPr>
          <w:ilvl w:val="0"/>
          <w:numId w:val="102"/>
        </w:numPr>
      </w:pPr>
      <w:r>
        <w:t>The ISD-P SHALL forward the CERT.DP.ECDSA to the ECASD for verification.</w:t>
      </w:r>
    </w:p>
    <w:p w14:paraId="3F0EF2B9" w14:textId="77777777" w:rsidR="00B97365" w:rsidRDefault="00000000">
      <w:pPr>
        <w:numPr>
          <w:ilvl w:val="0"/>
          <w:numId w:val="102"/>
        </w:numPr>
      </w:pPr>
      <w:r>
        <w:t>ECASD SHALL verify the provided CERT.DP.ECDSA with the PK.CI.ECDSA; if CERT.DP.ECDSA is valid, ECASD SHALL extract and store the PK.DP.ECDSA and generate a random challenge (RC). The length of the Random Challenge SHALL 16 or 32</w:t>
      </w:r>
    </w:p>
    <w:p w14:paraId="3B828B95" w14:textId="77777777" w:rsidR="00B97365" w:rsidRDefault="00000000">
      <w:pPr>
        <w:numPr>
          <w:ilvl w:val="0"/>
          <w:numId w:val="102"/>
        </w:numPr>
      </w:pPr>
      <w:r>
        <w:t>The Random Challenge (or error if any) SHALL be returned to the ISD-P which forwards it to the ISD-R.</w:t>
      </w:r>
    </w:p>
    <w:p w14:paraId="1A31ADF2" w14:textId="77777777" w:rsidR="00B97365" w:rsidRDefault="00000000">
      <w:pPr>
        <w:numPr>
          <w:ilvl w:val="0"/>
          <w:numId w:val="102"/>
        </w:numPr>
      </w:pPr>
      <w:r>
        <w:t xml:space="preserve">The ISD-R SHALL return the execution response (RC or error) within a new HTTP POST request addressed to the SM-SR. </w:t>
      </w:r>
    </w:p>
    <w:p w14:paraId="7EEAD615" w14:textId="77777777" w:rsidR="00B97365" w:rsidRDefault="00000000">
      <w:pPr>
        <w:numPr>
          <w:ilvl w:val="0"/>
          <w:numId w:val="102"/>
        </w:numPr>
      </w:pPr>
      <w:r>
        <w:t>The SM-SR SHALL return the content of the received HTTP POST (RC or error) to the SM-DP.</w:t>
      </w:r>
    </w:p>
    <w:p w14:paraId="1223D42D" w14:textId="1E1E4E85" w:rsidR="00B97365" w:rsidRDefault="00000000">
      <w:pPr>
        <w:ind w:left="1276" w:hanging="709"/>
      </w:pPr>
      <w:r>
        <w:rPr>
          <w:rFonts w:cs="Arial"/>
        </w:rPr>
        <w:t>(8a)</w:t>
      </w:r>
      <w:r>
        <w:rPr>
          <w:rFonts w:cs="Arial"/>
        </w:rPr>
        <w:tab/>
        <w:t xml:space="preserve">In case of failure during the key establishment procedure, error management procedure describes in section </w:t>
      </w:r>
      <w:r>
        <w:fldChar w:fldCharType="begin"/>
      </w:r>
      <w:r>
        <w:instrText xml:space="preserve"> REF _Ref367970347 \r \h  \* MERGEFORMAT </w:instrText>
      </w:r>
      <w:r>
        <w:fldChar w:fldCharType="separate"/>
      </w:r>
      <w:r w:rsidR="001D5AD9">
        <w:t>3.1.4</w:t>
      </w:r>
      <w:r>
        <w:fldChar w:fldCharType="end"/>
      </w:r>
      <w:r>
        <w:t xml:space="preserve"> SHALL be executed and the procedure SHALL stop.</w:t>
      </w:r>
    </w:p>
    <w:p w14:paraId="038F6F3C" w14:textId="77777777" w:rsidR="00B97365" w:rsidRDefault="00000000">
      <w:pPr>
        <w:numPr>
          <w:ilvl w:val="0"/>
          <w:numId w:val="102"/>
        </w:numPr>
      </w:pPr>
      <w:r>
        <w:t>The SM-DP SHALL generate an ephemeral key pair (related to the targeted ICCID), called ePK.DP.ECKA and eSK.DP.ECKA. The SM-DP signs the received Random Challenge(RC) and the generated ePK.DP.ECKA with the SK.DP.ECDSA.</w:t>
      </w:r>
    </w:p>
    <w:p w14:paraId="30AAFCB5" w14:textId="77777777" w:rsidR="00B97365" w:rsidRDefault="00000000">
      <w:pPr>
        <w:numPr>
          <w:ilvl w:val="0"/>
          <w:numId w:val="102"/>
        </w:numPr>
      </w:pPr>
      <w:r>
        <w:t>The SM-DP SHALL call the “</w:t>
      </w:r>
      <w:r>
        <w:rPr>
          <w:b/>
        </w:rPr>
        <w:t>ES3.SendData</w:t>
      </w:r>
      <w:r>
        <w:t>” function specifying the targeted eUICC, the ISD-R and the data containing the “</w:t>
      </w:r>
      <w:r>
        <w:rPr>
          <w:b/>
        </w:rPr>
        <w:t>ES8.EstablishISDPKeySet</w:t>
      </w:r>
      <w:r>
        <w:t xml:space="preserve">” function with the </w:t>
      </w:r>
      <w:r>
        <w:lastRenderedPageBreak/>
        <w:t>ePK.DP.ECKA and the previously computed signature on Random Challenge (RC) and ePK.DP.ECKA using SK.DP.ECDSA.</w:t>
      </w:r>
    </w:p>
    <w:p w14:paraId="2AAD702A" w14:textId="77777777" w:rsidR="00B97365" w:rsidRDefault="00000000">
      <w:pPr>
        <w:numPr>
          <w:ilvl w:val="0"/>
          <w:numId w:val="102"/>
        </w:numPr>
      </w:pPr>
      <w:r>
        <w:t>The SM-SR SHALL return the HTTP POST response with a body containing the “</w:t>
      </w:r>
      <w:r>
        <w:rPr>
          <w:b/>
        </w:rPr>
        <w:t>ES8.EstablishISDPKeySet</w:t>
      </w:r>
      <w:r>
        <w:t>” function as provided by the SM-DP in (10). The X-Admin-Targeted-Application parameter SHALL be omitted as the command is targeting the ISD-R.</w:t>
      </w:r>
    </w:p>
    <w:p w14:paraId="5AB4CEE0" w14:textId="77777777" w:rsidR="00B97365" w:rsidRDefault="00000000">
      <w:pPr>
        <w:numPr>
          <w:ilvl w:val="0"/>
          <w:numId w:val="102"/>
        </w:numPr>
      </w:pPr>
      <w:r>
        <w:t xml:space="preserve">The ISD-P SHALL forward the </w:t>
      </w:r>
      <w:r>
        <w:rPr>
          <w:rFonts w:cs="Arial"/>
        </w:rPr>
        <w:t>content of the STORE DATA command, containing</w:t>
      </w:r>
      <w:r>
        <w:t xml:space="preserve"> the ePK.DP.ECKA and signature to the ISD-P, which SHALL forward them to the ECASD for verification.</w:t>
      </w:r>
    </w:p>
    <w:p w14:paraId="65715C7C" w14:textId="77777777" w:rsidR="00B97365" w:rsidRDefault="00000000">
      <w:pPr>
        <w:numPr>
          <w:ilvl w:val="0"/>
          <w:numId w:val="102"/>
        </w:numPr>
      </w:pPr>
      <w:r>
        <w:t xml:space="preserve">The ECASD SHALL verify the signature using the previously stored PK.DP.ECDSA. If the signature is not verified, an error SHALL be returned. Else the ECASD SHALL calculate the ShS using the ePK.DP.ECKA and the SK.ECASD.ECKA.  </w:t>
      </w:r>
    </w:p>
    <w:p w14:paraId="48F5FD94" w14:textId="77777777" w:rsidR="00B97365" w:rsidRDefault="00000000">
      <w:pPr>
        <w:numPr>
          <w:ilvl w:val="0"/>
          <w:numId w:val="102"/>
        </w:numPr>
      </w:pPr>
      <w:r>
        <w:t>The ShS or an error SHALL be returned to the ISD-P.</w:t>
      </w:r>
    </w:p>
    <w:p w14:paraId="200DEC43" w14:textId="77777777" w:rsidR="00B97365" w:rsidRDefault="00000000">
      <w:pPr>
        <w:numPr>
          <w:ilvl w:val="0"/>
          <w:numId w:val="102"/>
        </w:numPr>
      </w:pPr>
      <w:r>
        <w:t>The ISD-P:</w:t>
      </w:r>
    </w:p>
    <w:p w14:paraId="512D837B"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MAY optionally compute a Derivation Random (DR, if requested by the SM-DP in the function call).</w:t>
      </w:r>
    </w:p>
    <w:p w14:paraId="5A19E7EA"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Derives the key set from ShS (and optionally DR).</w:t>
      </w:r>
    </w:p>
    <w:p w14:paraId="2EE2DADE"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Calculates the receipt to be returned to SM-DP.</w:t>
      </w:r>
    </w:p>
    <w:p w14:paraId="4FF34ED7"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In case of error at this step, the length of the returned receipt SHALL be 0.</w:t>
      </w:r>
    </w:p>
    <w:p w14:paraId="44245FED" w14:textId="77777777" w:rsidR="00B97365" w:rsidRDefault="00000000">
      <w:pPr>
        <w:numPr>
          <w:ilvl w:val="0"/>
          <w:numId w:val="102"/>
        </w:numPr>
      </w:pPr>
      <w:r>
        <w:t>The ISD-P SHALL return the calculated receipt (and optionally the DR) or the error to the ISD-R.</w:t>
      </w:r>
    </w:p>
    <w:p w14:paraId="4280EE6D" w14:textId="77777777" w:rsidR="00B97365" w:rsidRDefault="00000000">
      <w:pPr>
        <w:numPr>
          <w:ilvl w:val="0"/>
          <w:numId w:val="102"/>
        </w:numPr>
      </w:pPr>
      <w:r>
        <w:t xml:space="preserve">The ISD-R SHALL return the execution response to the ISD-P (receipt (opt. DR) or error) within a new HTTP POST request addressed to the SM-SR. </w:t>
      </w:r>
    </w:p>
    <w:p w14:paraId="67479194" w14:textId="77777777" w:rsidR="00B97365" w:rsidRDefault="00000000">
      <w:pPr>
        <w:numPr>
          <w:ilvl w:val="0"/>
          <w:numId w:val="102"/>
        </w:numPr>
      </w:pPr>
      <w:r>
        <w:t>The SM-SR SHALL return the content of the received HTTP POST (receipt (opt. DR) or error) to the SM-DP.</w:t>
      </w:r>
    </w:p>
    <w:p w14:paraId="3FA8CDA2" w14:textId="089172CA" w:rsidR="00B97365" w:rsidRDefault="00000000">
      <w:pPr>
        <w:ind w:left="1276" w:hanging="709"/>
      </w:pPr>
      <w:r>
        <w:rPr>
          <w:rFonts w:cs="Arial"/>
        </w:rPr>
        <w:t>(18a)</w:t>
      </w:r>
      <w:r>
        <w:rPr>
          <w:rFonts w:cs="Arial"/>
        </w:rPr>
        <w:tab/>
        <w:t xml:space="preserve">In case of failure during the Key Establishment procedure, the error management procedure described in section </w:t>
      </w:r>
      <w:r>
        <w:fldChar w:fldCharType="begin"/>
      </w:r>
      <w:r>
        <w:instrText xml:space="preserve"> REF _Ref367970360 \r \h  \* MERGEFORMAT </w:instrText>
      </w:r>
      <w:r>
        <w:fldChar w:fldCharType="separate"/>
      </w:r>
      <w:r w:rsidR="001D5AD9">
        <w:t>3.1.4</w:t>
      </w:r>
      <w:r>
        <w:fldChar w:fldCharType="end"/>
      </w:r>
      <w:r>
        <w:t xml:space="preserve"> SHALL be executed and the procedure SHALL stop.</w:t>
      </w:r>
    </w:p>
    <w:p w14:paraId="49E584C9" w14:textId="77777777" w:rsidR="00B97365" w:rsidRDefault="00000000">
      <w:pPr>
        <w:numPr>
          <w:ilvl w:val="0"/>
          <w:numId w:val="102"/>
        </w:numPr>
      </w:pPr>
      <w:r>
        <w:t xml:space="preserve">The SM-DP symmetrically SHALL: </w:t>
      </w:r>
    </w:p>
    <w:p w14:paraId="0523F10F"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Calculate the ShS using the eSK.DP.ECKA and the PK.ECASD.ECKA,</w:t>
      </w:r>
    </w:p>
    <w:p w14:paraId="4EE37E5A"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Derive the key set from ShS (and optionally DR), and</w:t>
      </w:r>
    </w:p>
    <w:p w14:paraId="08731B7D"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Verify the receipt received in the response to ensure that key set derivation is consistent with what has been performed by the ISD-P.</w:t>
      </w:r>
    </w:p>
    <w:p w14:paraId="42F24741" w14:textId="77777777" w:rsidR="00B97365" w:rsidRDefault="00000000">
      <w:pPr>
        <w:tabs>
          <w:tab w:val="left" w:pos="0"/>
        </w:tabs>
        <w:spacing w:before="0" w:after="200" w:line="276" w:lineRule="auto"/>
        <w:jc w:val="left"/>
        <w:rPr>
          <w:rFonts w:cs="Arial"/>
          <w:szCs w:val="22"/>
          <w:lang w:eastAsia="en-GB" w:bidi="ar-SA"/>
        </w:rPr>
      </w:pPr>
      <w:r>
        <w:rPr>
          <w:rFonts w:cs="Arial"/>
          <w:szCs w:val="22"/>
          <w:lang w:eastAsia="en-GB" w:bidi="ar-SA"/>
        </w:rPr>
        <w:t>The eUICC SHALL support key establishment with and without the DR. The SM-DP decides which option to use.</w:t>
      </w:r>
    </w:p>
    <w:p w14:paraId="63A44EF8" w14:textId="56F07DB7" w:rsidR="00B97365" w:rsidRDefault="00000000">
      <w:pPr>
        <w:tabs>
          <w:tab w:val="left" w:pos="0"/>
        </w:tabs>
        <w:spacing w:before="0" w:after="200" w:line="276" w:lineRule="auto"/>
        <w:jc w:val="left"/>
        <w:rPr>
          <w:szCs w:val="22"/>
          <w:lang w:eastAsia="en-GB" w:bidi="ar-SA"/>
        </w:rPr>
      </w:pPr>
      <w:r>
        <w:rPr>
          <w:rFonts w:cs="Arial"/>
          <w:szCs w:val="22"/>
          <w:lang w:eastAsia="en-GB" w:bidi="ar-SA"/>
        </w:rPr>
        <w:t xml:space="preserve">BSI TR-03111 </w:t>
      </w:r>
      <w:r>
        <w:rPr>
          <w:szCs w:val="22"/>
          <w:lang w:eastAsia="en-GB" w:bidi="ar-SA"/>
        </w:rPr>
        <w:fldChar w:fldCharType="begin"/>
      </w:r>
      <w:r>
        <w:rPr>
          <w:szCs w:val="22"/>
          <w:lang w:eastAsia="en-GB" w:bidi="ar-SA"/>
        </w:rPr>
        <w:instrText xml:space="preserve"> REF _Ref421632666 \r \h </w:instrText>
      </w:r>
      <w:r>
        <w:rPr>
          <w:szCs w:val="22"/>
          <w:lang w:eastAsia="en-GB" w:bidi="ar-SA"/>
        </w:rPr>
      </w:r>
      <w:r>
        <w:rPr>
          <w:szCs w:val="22"/>
          <w:lang w:eastAsia="en-GB" w:bidi="ar-SA"/>
        </w:rPr>
        <w:fldChar w:fldCharType="separate"/>
      </w:r>
      <w:r w:rsidR="001D5AD9">
        <w:rPr>
          <w:szCs w:val="22"/>
          <w:lang w:eastAsia="en-GB" w:bidi="ar-SA"/>
        </w:rPr>
        <w:t>[49]</w:t>
      </w:r>
      <w:r>
        <w:rPr>
          <w:szCs w:val="22"/>
          <w:lang w:eastAsia="en-GB" w:bidi="ar-SA"/>
        </w:rPr>
        <w:fldChar w:fldCharType="end"/>
      </w:r>
      <w:r>
        <w:rPr>
          <w:szCs w:val="22"/>
          <w:lang w:eastAsia="en-GB" w:bidi="ar-SA"/>
        </w:rPr>
        <w:t xml:space="preserve"> contains recommendations and requirements on the generation and validation of ephemeral keys. In addition, NIST SP 800-56A </w:t>
      </w:r>
      <w:r>
        <w:rPr>
          <w:szCs w:val="22"/>
          <w:lang w:eastAsia="en-GB" w:bidi="ar-SA"/>
        </w:rPr>
        <w:fldChar w:fldCharType="begin"/>
      </w:r>
      <w:r>
        <w:rPr>
          <w:szCs w:val="22"/>
          <w:lang w:eastAsia="en-GB" w:bidi="ar-SA"/>
        </w:rPr>
        <w:instrText xml:space="preserve"> REF _Ref421632677 \r \h </w:instrText>
      </w:r>
      <w:r>
        <w:rPr>
          <w:szCs w:val="22"/>
          <w:lang w:eastAsia="en-GB" w:bidi="ar-SA"/>
        </w:rPr>
      </w:r>
      <w:r>
        <w:rPr>
          <w:szCs w:val="22"/>
          <w:lang w:eastAsia="en-GB" w:bidi="ar-SA"/>
        </w:rPr>
        <w:fldChar w:fldCharType="separate"/>
      </w:r>
      <w:r w:rsidR="001D5AD9">
        <w:rPr>
          <w:szCs w:val="22"/>
          <w:lang w:eastAsia="en-GB" w:bidi="ar-SA"/>
        </w:rPr>
        <w:t>[50]</w:t>
      </w:r>
      <w:r>
        <w:rPr>
          <w:szCs w:val="22"/>
          <w:lang w:eastAsia="en-GB" w:bidi="ar-SA"/>
        </w:rPr>
        <w:fldChar w:fldCharType="end"/>
      </w:r>
      <w:r>
        <w:rPr>
          <w:szCs w:val="22"/>
          <w:lang w:eastAsia="en-GB" w:bidi="ar-SA"/>
        </w:rPr>
        <w:t xml:space="preserve"> provides requirements on the destruction of ephemeral keys and other intermediate secret data after their use.</w:t>
      </w:r>
    </w:p>
    <w:p w14:paraId="31766F7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548" w:name="_Toc368932206"/>
      <w:bookmarkStart w:id="1549" w:name="_Ref367967827"/>
      <w:bookmarkStart w:id="1550" w:name="_Toc353545715"/>
      <w:bookmarkStart w:id="1551" w:name="_Toc448998217"/>
      <w:bookmarkStart w:id="1552" w:name="_Toc422150691"/>
      <w:bookmarkStart w:id="1553" w:name="_Toc421874271"/>
      <w:bookmarkStart w:id="1554" w:name="_Toc420594343"/>
      <w:bookmarkStart w:id="1555" w:name="_Toc398214812"/>
      <w:bookmarkStart w:id="1556" w:name="_Toc375158228"/>
      <w:bookmarkStart w:id="1557" w:name="_Toc486332835"/>
      <w:bookmarkStart w:id="1558" w:name="_Toc1977256"/>
      <w:bookmarkStart w:id="1559" w:name="_Ref36797360"/>
      <w:bookmarkStart w:id="1560" w:name="_Ref36797367"/>
      <w:bookmarkStart w:id="1561" w:name="_Toc37062412"/>
      <w:bookmarkStart w:id="1562" w:name="_Toc88839517"/>
      <w:bookmarkStart w:id="1563" w:name="_Toc121503925"/>
      <w:r>
        <w:rPr>
          <w:rFonts w:eastAsia="Times New Roman" w:cs="Arial"/>
          <w:b/>
          <w:bCs/>
          <w:iCs/>
          <w:sz w:val="24"/>
          <w:szCs w:val="26"/>
          <w:lang w:eastAsia="en-US"/>
        </w:rPr>
        <w:t>Download</w:t>
      </w:r>
      <w:bookmarkEnd w:id="1548"/>
      <w:bookmarkEnd w:id="1549"/>
      <w:bookmarkEnd w:id="1550"/>
      <w:r>
        <w:rPr>
          <w:rFonts w:eastAsia="Times New Roman" w:cs="Arial"/>
          <w:b/>
          <w:bCs/>
          <w:iCs/>
          <w:sz w:val="24"/>
          <w:szCs w:val="26"/>
          <w:lang w:eastAsia="en-US"/>
        </w:rPr>
        <w:t xml:space="preserve"> and Installation of the Profile</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279DF262" w14:textId="77777777" w:rsidR="00B97365" w:rsidRDefault="00000000">
      <w:pPr>
        <w:spacing w:before="0" w:after="200" w:line="276" w:lineRule="auto"/>
        <w:jc w:val="left"/>
        <w:rPr>
          <w:rFonts w:cs="Arial"/>
          <w:szCs w:val="22"/>
          <w:lang w:eastAsia="en-GB" w:bidi="ar-SA"/>
        </w:rPr>
      </w:pPr>
      <w:r>
        <w:rPr>
          <w:rFonts w:cs="Arial"/>
          <w:szCs w:val="22"/>
          <w:lang w:eastAsia="en-GB" w:bidi="ar-SA"/>
        </w:rPr>
        <w:t>This section describes the third part of the procedure for the Profile Download and Installation step. The procedure illustrates the usage of RAM over HTTP as an example of the transport protocol.</w:t>
      </w:r>
    </w:p>
    <w:p w14:paraId="71685325" w14:textId="77777777" w:rsidR="00B97365" w:rsidRDefault="00B97365">
      <w:pPr>
        <w:keepNext/>
        <w:jc w:val="center"/>
        <w:rPr>
          <w:rFonts w:cs="Calibri"/>
        </w:rPr>
      </w:pPr>
    </w:p>
    <w:p w14:paraId="4A4A9F7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@startuml</w:t>
      </w:r>
    </w:p>
    <w:p w14:paraId="2BD456C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0C129D4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4128D6C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160</w:t>
      </w:r>
    </w:p>
    <w:p w14:paraId="56C57C2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7138731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DA3A5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2A1993E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324CF69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4D9DC71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38EC9AD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67FC4AB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54CB6C4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“ISD-P” as ISDP #FFFFFF</w:t>
      </w:r>
    </w:p>
    <w:p w14:paraId="1B05CE2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48C2EA1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89B3D1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DP-&gt;SR: (1) sendData(eid, isd-p-aid, [&lt;data1&gt;]&lt;sub&gt;scp03t&lt;/sub&gt;, moreTodo)</w:t>
      </w:r>
    </w:p>
    <w:p w14:paraId="768443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4B178D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w:t>
      </w:r>
    </w:p>
    <w:p w14:paraId="6191242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conditions</w:t>
      </w:r>
    </w:p>
    <w:p w14:paraId="182527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45784E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C9326D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SR, ISDR #C0C0C0</w:t>
      </w:r>
    </w:p>
    <w:p w14:paraId="0446603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(2b) Conditional: HTTPS</w:t>
      </w:r>
    </w:p>
    <w:p w14:paraId="1AE63B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session opening</w:t>
      </w:r>
    </w:p>
    <w:p w14:paraId="0D7930B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hnote</w:t>
      </w:r>
    </w:p>
    <w:p w14:paraId="7D4E067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55AC8FD"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3C254C">
        <w:rPr>
          <w:rFonts w:ascii="Courier New" w:hAnsi="Courier New" w:cs="Courier New"/>
          <w:noProof/>
          <w:color w:val="008000"/>
          <w:sz w:val="18"/>
        </w:rPr>
        <w:t>SR-&gt;&gt;ISDR: (3)</w:t>
      </w:r>
    </w:p>
    <w:p w14:paraId="76DD6FF1"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3C254C">
        <w:rPr>
          <w:rFonts w:ascii="Courier New" w:hAnsi="Courier New" w:cs="Courier New"/>
          <w:noProof/>
          <w:color w:val="008000"/>
          <w:sz w:val="18"/>
        </w:rPr>
        <w:t>note over SR,ISDR</w:t>
      </w:r>
    </w:p>
    <w:p w14:paraId="281C6F2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**HTTP/1.1 200 CRLF**</w:t>
      </w:r>
    </w:p>
    <w:p w14:paraId="65E210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w:t>
      </w:r>
    </w:p>
    <w:p w14:paraId="2CA5A17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**X-Admin-Targeted-Application:**//aid/&lt;rid&gt;/&lt;pix&gt; (of ISD-P-AID)CRLF</w:t>
      </w:r>
    </w:p>
    <w:p w14:paraId="692F76E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5CF0F8E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&lt;Body with [&lt;data1&gt;]&lt;sub&gt;scp03t&lt;/sub&gt; &gt;</w:t>
      </w:r>
    </w:p>
    <w:p w14:paraId="238A456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note</w:t>
      </w:r>
    </w:p>
    <w:p w14:paraId="0A949DA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2714D2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ISDR-&gt;ISDP: (4)</w:t>
      </w:r>
    </w:p>
    <w:p w14:paraId="4FAA05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ISDP</w:t>
      </w:r>
    </w:p>
    <w:p w14:paraId="48B1008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Unwrap</w:t>
      </w:r>
    </w:p>
    <w:p w14:paraId="496E1FD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SCP03t security</w:t>
      </w:r>
    </w:p>
    <w:p w14:paraId="20C7A0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2574305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56FF19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ISDP</w:t>
      </w:r>
    </w:p>
    <w:p w14:paraId="62951D1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(6) Process</w:t>
      </w:r>
    </w:p>
    <w:p w14:paraId="0D896A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Profile data</w:t>
      </w:r>
    </w:p>
    <w:p w14:paraId="6BCD28B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38A0AA9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6BDF5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ISDP--&gt;ISDR: (6a)</w:t>
      </w:r>
    </w:p>
    <w:p w14:paraId="40790B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(7)</w:t>
      </w:r>
    </w:p>
    <w:p w14:paraId="7EC1D13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C846E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Note left of ISDP</w:t>
      </w:r>
    </w:p>
    <w:p w14:paraId="2F97673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**POST** /&lt;next-uri&gt; **HTTP/1.1** CRLF</w:t>
      </w:r>
    </w:p>
    <w:p w14:paraId="5E5FD7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w:t>
      </w:r>
    </w:p>
    <w:p w14:paraId="1DD4F2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**X-Admin-Script-Status:** &lt;script-status&gt; CRLF</w:t>
      </w:r>
    </w:p>
    <w:p w14:paraId="0D57E26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7F963E6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&lt;Body with [data1 execution response] &lt;sub&gt;scp03t&lt;/sub&gt; &gt;</w:t>
      </w:r>
    </w:p>
    <w:p w14:paraId="41E592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note</w:t>
      </w:r>
    </w:p>
    <w:p w14:paraId="1F2D17F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FFCFCD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(8) SendData response + [data1 execution response]&lt;sub&gt;scp03t&lt;/sub&gt;</w:t>
      </w:r>
    </w:p>
    <w:p w14:paraId="477D11C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DP, ISDP #C0C0C0</w:t>
      </w:r>
    </w:p>
    <w:p w14:paraId="242016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(9) Optional: new data sending</w:t>
      </w:r>
    </w:p>
    <w:p w14:paraId="7E11B4D8"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3C254C">
        <w:rPr>
          <w:rFonts w:ascii="Courier New" w:hAnsi="Courier New" w:cs="Courier New"/>
          <w:noProof/>
          <w:color w:val="008000"/>
          <w:sz w:val="18"/>
          <w:lang w:val="nl-NL"/>
        </w:rPr>
        <w:t>End hnote</w:t>
      </w:r>
    </w:p>
    <w:p w14:paraId="0853BACF"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p>
    <w:p w14:paraId="0F323FE3"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3C254C">
        <w:rPr>
          <w:rFonts w:ascii="Courier New" w:hAnsi="Courier New" w:cs="Courier New"/>
          <w:noProof/>
          <w:color w:val="008000"/>
          <w:sz w:val="18"/>
          <w:lang w:val="nl-NL"/>
        </w:rPr>
        <w:t>Hnote over OP, ISDP #C0C0C0</w:t>
      </w:r>
    </w:p>
    <w:p w14:paraId="15C9B32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(9a) Conditional: Error management see 3.1.4</w:t>
      </w:r>
    </w:p>
    <w:p w14:paraId="75EA577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End hnote </w:t>
      </w:r>
    </w:p>
    <w:p w14:paraId="3A29BBC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E15BBC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DP-&gt;SR: (10) profileDownloadCompleted(eid, iccid, subdAddress, POL2)</w:t>
      </w:r>
    </w:p>
    <w:p w14:paraId="52D280A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09DCD0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w:t>
      </w:r>
    </w:p>
    <w:p w14:paraId="70D02B6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 Update</w:t>
      </w:r>
    </w:p>
    <w:p w14:paraId="7D1E444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EIS</w:t>
      </w:r>
    </w:p>
    <w:p w14:paraId="0D2DDEE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33CD746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BF657A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SR--&gt;DP</w:t>
      </w:r>
    </w:p>
    <w:p w14:paraId="648D4DC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BEE8AD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SR, ISDP #C0C0C0</w:t>
      </w:r>
    </w:p>
    <w:p w14:paraId="29520E8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(12) Optional: : Enable Profile see 3.3</w:t>
      </w:r>
    </w:p>
    <w:p w14:paraId="4C03835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hnote</w:t>
      </w:r>
    </w:p>
    <w:p w14:paraId="3DD292F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25C2EC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(13) Profile download &amp;installation success</w:t>
      </w:r>
    </w:p>
    <w:p w14:paraId="357C1CA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(14) Cond: HandleProfileDownloadedNotification (eid, iccid, enabled)</w:t>
      </w:r>
    </w:p>
    <w:p w14:paraId="7563222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7213D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513E7F19" w14:textId="77777777" w:rsidR="00B97365" w:rsidRDefault="00000000">
      <w:pPr>
        <w:rPr>
          <w:rFonts w:cs="Courier New"/>
          <w:noProof/>
          <w:color w:val="008000"/>
          <w:sz w:val="18"/>
        </w:rPr>
      </w:pPr>
      <w:r>
        <w:rPr>
          <w:rFonts w:cs="Courier New"/>
          <w:noProof/>
          <w:color w:val="008000"/>
          <w:sz w:val="18"/>
          <w:lang w:eastAsia="en-GB" w:bidi="ar-SA"/>
        </w:rPr>
        <w:lastRenderedPageBreak/>
        <w:drawing>
          <wp:inline distT="0" distB="0" distL="0" distR="0" wp14:anchorId="060CF90B" wp14:editId="3ABACD80">
            <wp:extent cx="5731510" cy="8479816"/>
            <wp:effectExtent l="0" t="0" r="2540" b="0"/>
            <wp:docPr id="295" name="Picture 29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8479816"/>
                    </a:xfrm>
                    <a:prstGeom prst="rect">
                      <a:avLst/>
                    </a:prstGeom>
                  </pic:spPr>
                </pic:pic>
              </a:graphicData>
            </a:graphic>
          </wp:inline>
        </w:drawing>
      </w:r>
    </w:p>
    <w:p w14:paraId="659ECFB3"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1564" w:name="_Ref373941353"/>
      <w:r>
        <w:rPr>
          <w:rFonts w:cs="Arial"/>
          <w:b/>
          <w:szCs w:val="22"/>
          <w:lang w:val="en-US" w:eastAsia="en-GB" w:bidi="ar-SA"/>
        </w:rPr>
        <w:t>: Download and Installation of the Profile</w:t>
      </w:r>
      <w:bookmarkEnd w:id="1564"/>
    </w:p>
    <w:p w14:paraId="1892FC44"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565" w:name="_Toc420594344"/>
      <w:r>
        <w:rPr>
          <w:rFonts w:cs="Arial"/>
          <w:b/>
          <w:noProof/>
          <w:szCs w:val="22"/>
          <w:lang w:eastAsia="en-GB" w:bidi="ar-SA"/>
        </w:rPr>
        <w:lastRenderedPageBreak/>
        <w:t>Start Conditions:</w:t>
      </w:r>
      <w:bookmarkEnd w:id="1565"/>
    </w:p>
    <w:p w14:paraId="59E4884E" w14:textId="71EC7763" w:rsidR="00B97365" w:rsidRDefault="00000000">
      <w:pPr>
        <w:spacing w:before="0" w:after="200" w:line="276" w:lineRule="auto"/>
        <w:jc w:val="left"/>
        <w:rPr>
          <w:szCs w:val="22"/>
          <w:lang w:eastAsia="en-GB" w:bidi="ar-SA"/>
        </w:rPr>
      </w:pPr>
      <w:r>
        <w:rPr>
          <w:rFonts w:cs="Arial"/>
          <w:szCs w:val="22"/>
          <w:lang w:eastAsia="en-GB" w:bidi="ar-SA"/>
        </w:rPr>
        <w:t xml:space="preserve">As a pre-condition, the ISD-P SHALL be created and personalized as defined in section </w:t>
      </w:r>
      <w:r>
        <w:fldChar w:fldCharType="begin"/>
      </w:r>
      <w:r>
        <w:instrText xml:space="preserve"> REF _Ref367970378 \r \h  \* MERGEFORMAT </w:instrText>
      </w:r>
      <w:r>
        <w:fldChar w:fldCharType="separate"/>
      </w:r>
      <w:r w:rsidR="001D5AD9" w:rsidRPr="001D5AD9">
        <w:rPr>
          <w:szCs w:val="22"/>
          <w:lang w:eastAsia="en-GB" w:bidi="ar-SA"/>
        </w:rPr>
        <w:t>3.1.1</w:t>
      </w:r>
      <w:r>
        <w:fldChar w:fldCharType="end"/>
      </w:r>
      <w:r>
        <w:rPr>
          <w:szCs w:val="22"/>
          <w:lang w:eastAsia="en-GB" w:bidi="ar-SA"/>
        </w:rPr>
        <w:t xml:space="preserve"> and section </w:t>
      </w:r>
      <w:r>
        <w:fldChar w:fldCharType="begin"/>
      </w:r>
      <w:r>
        <w:instrText xml:space="preserve"> REF _Ref367970396 \r \h  \* MERGEFORMAT </w:instrText>
      </w:r>
      <w:r>
        <w:fldChar w:fldCharType="separate"/>
      </w:r>
      <w:r w:rsidR="001D5AD9" w:rsidRPr="001D5AD9">
        <w:rPr>
          <w:szCs w:val="22"/>
          <w:lang w:eastAsia="en-GB" w:bidi="ar-SA"/>
        </w:rPr>
        <w:t>3.1.2</w:t>
      </w:r>
      <w:r>
        <w:fldChar w:fldCharType="end"/>
      </w:r>
      <w:r>
        <w:rPr>
          <w:szCs w:val="22"/>
          <w:lang w:eastAsia="en-GB" w:bidi="ar-SA"/>
        </w:rPr>
        <w:t>.</w:t>
      </w:r>
    </w:p>
    <w:p w14:paraId="2F4DFCBE"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566" w:name="_Toc420594345"/>
      <w:r>
        <w:rPr>
          <w:rFonts w:cs="Arial"/>
          <w:b/>
          <w:noProof/>
          <w:szCs w:val="22"/>
        </w:rPr>
        <w:t>Procedure</w:t>
      </w:r>
      <w:r>
        <w:rPr>
          <w:b/>
          <w:noProof/>
          <w:szCs w:val="22"/>
          <w:lang w:eastAsia="en-GB" w:bidi="ar-SA"/>
        </w:rPr>
        <w:t>:</w:t>
      </w:r>
      <w:bookmarkEnd w:id="1566"/>
    </w:p>
    <w:p w14:paraId="5DE5C7C8" w14:textId="1AAF9355" w:rsidR="00B97365" w:rsidRDefault="00000000">
      <w:pPr>
        <w:numPr>
          <w:ilvl w:val="0"/>
          <w:numId w:val="103"/>
        </w:numPr>
      </w:pPr>
      <w:r>
        <w:t>The SM-DP SHALL call the “</w:t>
      </w:r>
      <w:r>
        <w:rPr>
          <w:b/>
        </w:rPr>
        <w:t>ES3.SendData</w:t>
      </w:r>
      <w:r>
        <w:t xml:space="preserve">” function specifying the targeted eUICC, the ISD-P, and providing the Profile data to download as input data. The Profile data has to be given as specified in section </w:t>
      </w:r>
      <w:r>
        <w:fldChar w:fldCharType="begin"/>
      </w:r>
      <w:r>
        <w:instrText xml:space="preserve"> REF _Ref445910579 \r \h </w:instrText>
      </w:r>
      <w:r>
        <w:fldChar w:fldCharType="separate"/>
      </w:r>
      <w:r w:rsidR="001D5AD9">
        <w:t>4.1.3.1</w:t>
      </w:r>
      <w:r>
        <w:fldChar w:fldCharType="end"/>
      </w:r>
      <w:r>
        <w:t xml:space="preserve"> and </w:t>
      </w:r>
      <w:r>
        <w:fldChar w:fldCharType="begin"/>
      </w:r>
      <w:r>
        <w:instrText xml:space="preserve"> REF _Ref367970327 \r \h  \* MERGEFORMAT </w:instrText>
      </w:r>
      <w:r>
        <w:fldChar w:fldCharType="separate"/>
      </w:r>
      <w:r w:rsidR="001D5AD9">
        <w:t>5.4.4</w:t>
      </w:r>
      <w:r>
        <w:fldChar w:fldCharType="end"/>
      </w:r>
      <w:r>
        <w:t>.</w:t>
      </w:r>
    </w:p>
    <w:p w14:paraId="532E3DCA" w14:textId="7E0B452E" w:rsidR="00B97365" w:rsidRDefault="00000000">
      <w:pPr>
        <w:numPr>
          <w:ilvl w:val="0"/>
          <w:numId w:val="103"/>
        </w:numPr>
      </w:pPr>
      <w:r>
        <w:t xml:space="preserve">The SM-SR SHALL verify that the SM-DP request is acceptable (the verifications that the SM-SR SHALL perform are described in section </w:t>
      </w:r>
      <w:r>
        <w:fldChar w:fldCharType="begin"/>
      </w:r>
      <w:r>
        <w:instrText xml:space="preserve"> REF _Ref367970469 \r \h  \* MERGEFORMAT </w:instrText>
      </w:r>
      <w:r>
        <w:fldChar w:fldCharType="separate"/>
      </w:r>
      <w:r w:rsidR="001D5AD9">
        <w:t>5.4.4</w:t>
      </w:r>
      <w:r>
        <w:fldChar w:fldCharType="end"/>
      </w:r>
      <w:r>
        <w:t>).</w:t>
      </w:r>
    </w:p>
    <w:p w14:paraId="30054B12" w14:textId="77777777" w:rsidR="00B97365" w:rsidRDefault="00000000">
      <w:pPr>
        <w:ind w:left="709" w:hanging="709"/>
        <w:rPr>
          <w:rFonts w:cs="Arial"/>
        </w:rPr>
      </w:pPr>
      <w:r>
        <w:rPr>
          <w:rFonts w:cs="Arial"/>
        </w:rPr>
        <w:t>(2a)</w:t>
      </w:r>
      <w:r>
        <w:rPr>
          <w:rFonts w:cs="Arial"/>
        </w:rPr>
        <w:tab/>
        <w:t>Depending on the error, the procedure MAY stop and a global failure message SHALL be returned to the Operator.</w:t>
      </w:r>
    </w:p>
    <w:p w14:paraId="561DBF77" w14:textId="27039B3D" w:rsidR="00B97365" w:rsidRDefault="00000000">
      <w:pPr>
        <w:ind w:left="709" w:hanging="709"/>
        <w:rPr>
          <w:rFonts w:cs="Arial"/>
        </w:rPr>
      </w:pPr>
      <w:r>
        <w:rPr>
          <w:rFonts w:cs="Arial"/>
        </w:rPr>
        <w:t>(2b)</w:t>
      </w:r>
      <w:r>
        <w:rPr>
          <w:rFonts w:cs="Arial"/>
        </w:rPr>
        <w:tab/>
        <w:t>The SM-SR SHALL trigger the HTTPS session opening with the ISD-R if not already opened, as defined in section</w:t>
      </w:r>
      <w:r>
        <w:t xml:space="preserve"> </w:t>
      </w:r>
      <w:r>
        <w:fldChar w:fldCharType="begin"/>
      </w:r>
      <w:r>
        <w:instrText xml:space="preserve"> REF _Ref483300993 \r \h </w:instrText>
      </w:r>
      <w:r>
        <w:fldChar w:fldCharType="separate"/>
      </w:r>
      <w:r w:rsidR="001D5AD9">
        <w:t>2.4.4.5</w:t>
      </w:r>
      <w:r>
        <w:fldChar w:fldCharType="end"/>
      </w:r>
      <w:r>
        <w:rPr>
          <w:rFonts w:cs="Arial"/>
        </w:rPr>
        <w:t>.</w:t>
      </w:r>
    </w:p>
    <w:p w14:paraId="4E470E79" w14:textId="77777777" w:rsidR="00B97365" w:rsidRDefault="00000000">
      <w:pPr>
        <w:numPr>
          <w:ilvl w:val="0"/>
          <w:numId w:val="103"/>
        </w:numPr>
      </w:pPr>
      <w:r>
        <w:t>The SM-SR SHALL return the HTTP POST response containing the secure data as provided by the SM-DP. The X-Admin-Targeted-Application field SHALL contain the ISD-P-AID.</w:t>
      </w:r>
    </w:p>
    <w:p w14:paraId="1703146C" w14:textId="77777777" w:rsidR="00B97365" w:rsidRDefault="00000000">
      <w:pPr>
        <w:numPr>
          <w:ilvl w:val="0"/>
          <w:numId w:val="103"/>
        </w:numPr>
      </w:pPr>
      <w:r>
        <w:t>The ISD-R SHALL forward the received secure data to the ISD-P identified by the X-Admin-Targeted-Application field.</w:t>
      </w:r>
    </w:p>
    <w:p w14:paraId="6C332C41" w14:textId="77777777" w:rsidR="00B97365" w:rsidRDefault="00000000">
      <w:pPr>
        <w:numPr>
          <w:ilvl w:val="0"/>
          <w:numId w:val="103"/>
        </w:numPr>
      </w:pPr>
      <w:r>
        <w:t>The ISD-P SHALL process the security of the received data. The figure illustrates a success case; in case of security failure the error SHALL be returned within the next POST request to the SM-SR and finally returned to the SM-DP; and the procedure MAY end depending on the error.</w:t>
      </w:r>
    </w:p>
    <w:p w14:paraId="02359C39" w14:textId="77777777" w:rsidR="00B97365" w:rsidRDefault="00000000">
      <w:pPr>
        <w:numPr>
          <w:ilvl w:val="0"/>
          <w:numId w:val="103"/>
        </w:numPr>
      </w:pPr>
      <w:r>
        <w:t>The ISD-P SHALL process the received command TLV(s).</w:t>
      </w:r>
    </w:p>
    <w:p w14:paraId="5DB6EBAE" w14:textId="77777777" w:rsidR="00B97365" w:rsidRDefault="00000000">
      <w:pPr>
        <w:ind w:left="1276" w:hanging="709"/>
        <w:rPr>
          <w:rFonts w:cs="Arial"/>
        </w:rPr>
      </w:pPr>
      <w:r>
        <w:rPr>
          <w:rFonts w:cs="Arial"/>
        </w:rPr>
        <w:t>(6a)</w:t>
      </w:r>
      <w:r>
        <w:rPr>
          <w:rFonts w:cs="Arial"/>
        </w:rPr>
        <w:tab/>
        <w:t xml:space="preserve">The ISD-P SHALL return the response to the command TLV(s) to the ISD-R. </w:t>
      </w:r>
    </w:p>
    <w:p w14:paraId="4D7C5C29" w14:textId="77777777" w:rsidR="00B97365" w:rsidRDefault="00000000">
      <w:pPr>
        <w:numPr>
          <w:ilvl w:val="0"/>
          <w:numId w:val="103"/>
        </w:numPr>
      </w:pPr>
      <w:r>
        <w:t>The ISD-R SHALL return the ISD-P’s response within the next POST request to the SM-SR.</w:t>
      </w:r>
    </w:p>
    <w:p w14:paraId="36E87B98" w14:textId="77777777" w:rsidR="00B97365" w:rsidRDefault="00000000">
      <w:pPr>
        <w:numPr>
          <w:ilvl w:val="0"/>
          <w:numId w:val="103"/>
        </w:numPr>
      </w:pPr>
      <w:r>
        <w:t>The SM-SR SHALL return to the SM-DP the execution status of the “</w:t>
      </w:r>
      <w:r>
        <w:rPr>
          <w:b/>
        </w:rPr>
        <w:t>ES3.SendData</w:t>
      </w:r>
      <w:r>
        <w:t>” function.</w:t>
      </w:r>
    </w:p>
    <w:p w14:paraId="0FDA42E0" w14:textId="77777777" w:rsidR="00B97365" w:rsidRDefault="00000000">
      <w:pPr>
        <w:numPr>
          <w:ilvl w:val="0"/>
          <w:numId w:val="103"/>
        </w:numPr>
      </w:pPr>
      <w:r>
        <w:t>Optionally the SM-DP MAY call the same “</w:t>
      </w:r>
      <w:r>
        <w:rPr>
          <w:b/>
        </w:rPr>
        <w:t>ES3.SendData</w:t>
      </w:r>
      <w:r>
        <w:t>” function again if the download and installation of the Profile requires several steps. This optional step MAY be repeated as many times as required.</w:t>
      </w:r>
    </w:p>
    <w:p w14:paraId="434437E2" w14:textId="24D3F841" w:rsidR="00B97365" w:rsidRDefault="00000000">
      <w:pPr>
        <w:ind w:left="709" w:hanging="709"/>
      </w:pPr>
      <w:r>
        <w:rPr>
          <w:rFonts w:cs="Arial"/>
        </w:rPr>
        <w:t>(9a)</w:t>
      </w:r>
      <w:r>
        <w:rPr>
          <w:rFonts w:cs="Arial"/>
        </w:rPr>
        <w:tab/>
        <w:t xml:space="preserve">In case of failure during the Download and Installation procedure, the SM-DP SHALL execute the error management procedure described in section </w:t>
      </w:r>
      <w:r>
        <w:fldChar w:fldCharType="begin"/>
      </w:r>
      <w:r>
        <w:instrText xml:space="preserve"> REF _Ref367970486 \r \h  \* MERGEFORMAT </w:instrText>
      </w:r>
      <w:r>
        <w:fldChar w:fldCharType="separate"/>
      </w:r>
      <w:r w:rsidR="001D5AD9">
        <w:t>3.1.4</w:t>
      </w:r>
      <w:r>
        <w:fldChar w:fldCharType="end"/>
      </w:r>
      <w:r>
        <w:t>. If this error management procedure fails to delete the ISD-P because the POL1 of the Profile prevented the deletion, the SM-DP shall consider that the profile installation succeeded on the eUICC, and SHALL continue at step 10 below. Otherwise the SM-DP SHALL return the result as specified in section 3.1.4 and the procedure SHALL stop.</w:t>
      </w:r>
    </w:p>
    <w:p w14:paraId="2B20AEE5" w14:textId="77777777" w:rsidR="00B97365" w:rsidRDefault="00000000">
      <w:pPr>
        <w:numPr>
          <w:ilvl w:val="0"/>
          <w:numId w:val="103"/>
        </w:numPr>
      </w:pPr>
      <w:r>
        <w:t>When Profile download is completed the SM-DP SHALL call the “</w:t>
      </w:r>
      <w:r>
        <w:rPr>
          <w:b/>
        </w:rPr>
        <w:t>ES3.ProfileDownloadCompleted</w:t>
      </w:r>
      <w:r>
        <w:t>” function. This basically indicates to the SM-SR that the Profile is downloaded and installed. The SM-DP MAY take the opportunity to define a POL2 on the Profile. The Operator SHALL be able to specify the POL2 content even if it is empty.</w:t>
      </w:r>
    </w:p>
    <w:p w14:paraId="1FE26035" w14:textId="77777777" w:rsidR="00B97365" w:rsidRDefault="00000000">
      <w:pPr>
        <w:ind w:left="360"/>
        <w:rPr>
          <w:rFonts w:cs="Arial"/>
          <w:szCs w:val="22"/>
          <w:lang w:eastAsia="en-GB" w:bidi="ar-SA"/>
        </w:rPr>
      </w:pPr>
      <w:r>
        <w:rPr>
          <w:rFonts w:cs="Arial"/>
          <w:szCs w:val="22"/>
          <w:lang w:eastAsia="en-GB" w:bidi="ar-SA"/>
        </w:rPr>
        <w:t>As requested by the Operator, after Profile installation the SCP03 key set of the ISD-P MAY:</w:t>
      </w:r>
    </w:p>
    <w:p w14:paraId="4A91A300" w14:textId="77777777" w:rsidR="00B97365" w:rsidRDefault="00000000">
      <w:pPr>
        <w:numPr>
          <w:ilvl w:val="2"/>
          <w:numId w:val="12"/>
        </w:numPr>
        <w:tabs>
          <w:tab w:val="clear" w:pos="1700"/>
          <w:tab w:val="left" w:pos="1361"/>
        </w:tabs>
        <w:spacing w:before="0" w:after="200" w:line="276" w:lineRule="auto"/>
        <w:ind w:left="1361"/>
        <w:contextualSpacing/>
        <w:jc w:val="left"/>
        <w:rPr>
          <w:szCs w:val="22"/>
          <w:lang w:eastAsia="en-GB" w:bidi="ar-SA"/>
        </w:rPr>
      </w:pPr>
      <w:r>
        <w:rPr>
          <w:szCs w:val="22"/>
          <w:lang w:eastAsia="en-GB" w:bidi="ar-SA"/>
        </w:rPr>
        <w:lastRenderedPageBreak/>
        <w:t xml:space="preserve">Be retained by the SM-DP. In this case the Operator can instruct the SM-DP to hand over or delete the key set at a later point in time; </w:t>
      </w:r>
    </w:p>
    <w:p w14:paraId="5027175B" w14:textId="77777777" w:rsidR="00B97365" w:rsidRDefault="00000000">
      <w:pPr>
        <w:numPr>
          <w:ilvl w:val="2"/>
          <w:numId w:val="12"/>
        </w:numPr>
        <w:tabs>
          <w:tab w:val="clear" w:pos="1700"/>
          <w:tab w:val="left" w:pos="1361"/>
        </w:tabs>
        <w:spacing w:before="0" w:after="200" w:line="276" w:lineRule="auto"/>
        <w:ind w:left="1361"/>
        <w:contextualSpacing/>
        <w:jc w:val="left"/>
        <w:rPr>
          <w:szCs w:val="22"/>
          <w:lang w:eastAsia="en-GB" w:bidi="ar-SA"/>
        </w:rPr>
      </w:pPr>
      <w:r>
        <w:rPr>
          <w:szCs w:val="22"/>
          <w:lang w:eastAsia="en-GB" w:bidi="ar-SA"/>
        </w:rPr>
        <w:t>Be handed over to the Operator. The keys MAY be replaced by the Operator;</w:t>
      </w:r>
    </w:p>
    <w:p w14:paraId="06B7EE88" w14:textId="77777777" w:rsidR="00B97365" w:rsidRDefault="00000000">
      <w:pPr>
        <w:numPr>
          <w:ilvl w:val="2"/>
          <w:numId w:val="12"/>
        </w:numPr>
        <w:tabs>
          <w:tab w:val="clear" w:pos="1700"/>
          <w:tab w:val="left" w:pos="1361"/>
        </w:tabs>
        <w:spacing w:before="0" w:after="200" w:line="276" w:lineRule="auto"/>
        <w:ind w:left="1361"/>
        <w:contextualSpacing/>
        <w:jc w:val="left"/>
        <w:rPr>
          <w:rFonts w:cs="Arial"/>
          <w:szCs w:val="22"/>
          <w:lang w:eastAsia="en-GB" w:bidi="ar-SA"/>
        </w:rPr>
      </w:pPr>
      <w:r>
        <w:rPr>
          <w:rFonts w:cs="Arial"/>
          <w:szCs w:val="22"/>
          <w:lang w:eastAsia="en-GB" w:bidi="ar-SA"/>
        </w:rPr>
        <w:t>Be deleted from the eUICC by the SM-DP (using the GlobalPlatform DELETE command).</w:t>
      </w:r>
    </w:p>
    <w:p w14:paraId="59467D2B" w14:textId="77777777" w:rsidR="00B97365" w:rsidRDefault="00000000">
      <w:pPr>
        <w:numPr>
          <w:ilvl w:val="0"/>
          <w:numId w:val="103"/>
        </w:numPr>
      </w:pPr>
      <w:r>
        <w:t>The SM-SR SHALL update the EIS reflecting that the Profile is in “DISABLED” state, and POL2 if present.</w:t>
      </w:r>
    </w:p>
    <w:p w14:paraId="003CC972" w14:textId="77777777" w:rsidR="00B97365" w:rsidRDefault="00000000">
      <w:pPr>
        <w:numPr>
          <w:ilvl w:val="0"/>
          <w:numId w:val="103"/>
        </w:numPr>
      </w:pPr>
      <w:r>
        <w:t>If the Operator has initially requested the Profile to be enabled, the SM-DP SHALL request the SM-SR to enable the newly installed Profile following the procedure in section 3.3 with the following modifications:</w:t>
      </w:r>
    </w:p>
    <w:p w14:paraId="3708C054" w14:textId="77777777" w:rsidR="00B97365" w:rsidRDefault="00B97365">
      <w:pPr>
        <w:ind w:left="1276" w:hanging="709"/>
        <w:rPr>
          <w:rFonts w:cs="Arial"/>
        </w:rPr>
      </w:pPr>
    </w:p>
    <w:p w14:paraId="65C72CE8"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The procedure SHALL start with step (1)</w:t>
      </w:r>
    </w:p>
    <w:p w14:paraId="2512B911" w14:textId="77777777" w:rsidR="00B97365" w:rsidRDefault="00000000">
      <w:pPr>
        <w:spacing w:before="0" w:after="200" w:line="276" w:lineRule="auto"/>
        <w:ind w:left="567"/>
        <w:jc w:val="left"/>
        <w:rPr>
          <w:rFonts w:cs="Arial"/>
          <w:szCs w:val="22"/>
          <w:lang w:eastAsia="en-GB" w:bidi="ar-SA"/>
        </w:rPr>
      </w:pPr>
      <w:r>
        <w:rPr>
          <w:rFonts w:cs="Arial"/>
          <w:szCs w:val="22"/>
          <w:lang w:eastAsia="en-GB" w:bidi="ar-SA"/>
        </w:rPr>
        <w:t>For the Normal Case, described in section 3.3.1 the following modification SHALL apply:</w:t>
      </w:r>
    </w:p>
    <w:p w14:paraId="5A529385"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The SM-DP SHALL NOT perform step 17</w:t>
      </w:r>
    </w:p>
    <w:p w14:paraId="2CF2470F" w14:textId="77777777" w:rsidR="00B97365" w:rsidRDefault="00000000">
      <w:pPr>
        <w:ind w:left="1276" w:hanging="709"/>
        <w:rPr>
          <w:rFonts w:cs="Arial"/>
        </w:rPr>
      </w:pPr>
      <w:r>
        <w:rPr>
          <w:rFonts w:cs="Arial"/>
        </w:rPr>
        <w:t xml:space="preserve"> For the Failure Case, described in section 3.3.2 the following modification SHALL apply:</w:t>
      </w:r>
    </w:p>
    <w:p w14:paraId="659CD9F2"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The SM-DP SHALL NOT perform step (14)</w:t>
      </w:r>
    </w:p>
    <w:p w14:paraId="4D620E67"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When a M2M SP has a PLMA set to receive “Profile Download Notifications”, as described in section 5.7.1, it has to be considered that the M2M SP may receive the information of a successful Profile download, based on a notification sent by the SM-SR, earlier than the Operator who has initiated the Profile Download. The Operator does not receive the result of a Profile download until the Profile Enable procedure, as described in section 3.3, has been executed. The result of Profile Download, including the result of Profile Enabling, is sent as described by step (13) of this procedure.</w:t>
      </w:r>
    </w:p>
    <w:p w14:paraId="45CF5810" w14:textId="77777777" w:rsidR="00B97365" w:rsidRDefault="00000000">
      <w:pPr>
        <w:numPr>
          <w:ilvl w:val="0"/>
          <w:numId w:val="103"/>
        </w:numPr>
      </w:pPr>
      <w:r>
        <w:t>The SM-DP SHALL return the response to the “</w:t>
      </w:r>
      <w:r>
        <w:rPr>
          <w:b/>
        </w:rPr>
        <w:t>ES2.DownloadProfile</w:t>
      </w:r>
      <w:r>
        <w:t xml:space="preserve">” function call to the Operator. In case the </w:t>
      </w:r>
      <w:r>
        <w:rPr>
          <w:rFonts w:cs="Arial"/>
        </w:rPr>
        <w:t>Profile has been downloaded successfully but the optional step 12 failed or expired before completion of the Profile enabling, the function execution response SHALL include the execution status “Executed-WithWarning” indicating that the Profile has been downloaded.</w:t>
      </w:r>
    </w:p>
    <w:p w14:paraId="3E724510" w14:textId="77777777" w:rsidR="00B97365" w:rsidRDefault="00000000">
      <w:pPr>
        <w:numPr>
          <w:ilvl w:val="0"/>
          <w:numId w:val="103"/>
        </w:numPr>
      </w:pPr>
      <w:r>
        <w:t>If the profile has been successfully downloaded and installed, the SM-SR SHALL send the “</w:t>
      </w:r>
      <w:r>
        <w:rPr>
          <w:b/>
        </w:rPr>
        <w:t>ES4.HandleProfileDownloadedNotification</w:t>
      </w:r>
      <w:r>
        <w:t>” to a M2M SP, if authorised by the Operator owning the Profile, and SHALL indicate if the profile has been enabled as described in the optional step 12.</w:t>
      </w:r>
    </w:p>
    <w:p w14:paraId="40D05C31" w14:textId="77777777" w:rsidR="00B97365" w:rsidRDefault="00000000">
      <w:pPr>
        <w:ind w:left="360"/>
        <w:rPr>
          <w:rFonts w:cs="Arial"/>
          <w:szCs w:val="22"/>
          <w:lang w:eastAsia="en-GB" w:bidi="ar-SA"/>
        </w:rPr>
      </w:pPr>
      <w:r>
        <w:rPr>
          <w:rFonts w:cs="Arial"/>
          <w:szCs w:val="22"/>
          <w:lang w:eastAsia="en-GB" w:bidi="ar-SA"/>
        </w:rPr>
        <w:t>If the M2M SP is another Operator directly connected to the SM-SR and it is authorised by the Operator owning the Profile, the SM-SR SHALL send this notification to this other Operator by calling the “</w:t>
      </w:r>
      <w:r>
        <w:rPr>
          <w:rFonts w:cs="Arial"/>
          <w:b/>
          <w:szCs w:val="22"/>
          <w:lang w:eastAsia="en-GB" w:bidi="ar-SA"/>
        </w:rPr>
        <w:t>ES4.HandleProfileDownloadedNotification</w:t>
      </w:r>
      <w:r>
        <w:rPr>
          <w:rFonts w:cs="Arial"/>
          <w:szCs w:val="22"/>
          <w:lang w:eastAsia="en-GB" w:bidi="ar-SA"/>
        </w:rPr>
        <w:t>”.</w:t>
      </w:r>
    </w:p>
    <w:p w14:paraId="146D946D" w14:textId="77777777" w:rsidR="00B97365" w:rsidRDefault="00000000">
      <w:pPr>
        <w:ind w:left="360"/>
        <w:rPr>
          <w:rFonts w:cs="Arial"/>
          <w:szCs w:val="22"/>
          <w:lang w:eastAsia="en-GB" w:bidi="ar-SA"/>
        </w:rPr>
      </w:pPr>
      <w:r>
        <w:rPr>
          <w:rFonts w:cs="Arial"/>
          <w:szCs w:val="22"/>
          <w:lang w:eastAsia="en-GB" w:bidi="ar-SA"/>
        </w:rPr>
        <w:t>If the M2M SP is another Operator connected through its SM-DP and it is authorised by the Operator owning the Profile, the SM-SR SHALL send this notification to the SM-DP associated to this other Operator by calling the “</w:t>
      </w:r>
      <w:r>
        <w:rPr>
          <w:rFonts w:cs="Arial"/>
          <w:b/>
          <w:szCs w:val="22"/>
          <w:lang w:eastAsia="en-GB" w:bidi="ar-SA"/>
        </w:rPr>
        <w:t>ES3.HandleProfileDownloadedNotification</w:t>
      </w:r>
      <w:r>
        <w:rPr>
          <w:rFonts w:cs="Arial"/>
          <w:szCs w:val="22"/>
          <w:lang w:eastAsia="en-GB" w:bidi="ar-SA"/>
        </w:rPr>
        <w:t xml:space="preserve">”. </w:t>
      </w:r>
    </w:p>
    <w:p w14:paraId="4AE3DE28" w14:textId="77777777" w:rsidR="00B97365" w:rsidRDefault="00000000">
      <w:pPr>
        <w:ind w:left="360"/>
        <w:rPr>
          <w:rFonts w:cs="Arial"/>
          <w:szCs w:val="22"/>
          <w:lang w:eastAsia="en-GB" w:bidi="ar-SA"/>
        </w:rPr>
      </w:pPr>
      <w:r>
        <w:rPr>
          <w:rFonts w:cs="Arial"/>
          <w:szCs w:val="22"/>
          <w:lang w:eastAsia="en-GB" w:bidi="ar-SA"/>
        </w:rPr>
        <w:t>Then the SM-DP, on reception of this notification, SHALL forward it to the Operator, acting as the M2M SP, by calling the “</w:t>
      </w:r>
      <w:r>
        <w:rPr>
          <w:rFonts w:cs="Arial"/>
          <w:b/>
          <w:szCs w:val="22"/>
          <w:lang w:eastAsia="en-GB" w:bidi="ar-SA"/>
        </w:rPr>
        <w:t>ES2.HandleProfileDownloadedNotification</w:t>
      </w:r>
      <w:r>
        <w:rPr>
          <w:rFonts w:cs="Arial"/>
          <w:szCs w:val="22"/>
          <w:lang w:eastAsia="en-GB" w:bidi="ar-SA"/>
        </w:rPr>
        <w:t>”.</w:t>
      </w:r>
    </w:p>
    <w:p w14:paraId="22CE8617" w14:textId="77777777" w:rsidR="00B97365" w:rsidRDefault="00B97365">
      <w:pPr>
        <w:rPr>
          <w:rFonts w:cs="Arial"/>
          <w:sz w:val="20"/>
        </w:rPr>
      </w:pPr>
    </w:p>
    <w:p w14:paraId="67FAE6DC" w14:textId="77777777" w:rsidR="00B97365" w:rsidRDefault="00000000">
      <w:pPr>
        <w:spacing w:before="0" w:after="200" w:line="276" w:lineRule="auto"/>
        <w:jc w:val="left"/>
        <w:rPr>
          <w:rFonts w:cs="Arial"/>
          <w:szCs w:val="22"/>
          <w:lang w:eastAsia="en-GB" w:bidi="ar-SA"/>
        </w:rPr>
      </w:pPr>
      <w:r>
        <w:rPr>
          <w:rFonts w:cs="Arial"/>
          <w:szCs w:val="22"/>
          <w:lang w:eastAsia="en-GB" w:bidi="ar-SA"/>
        </w:rPr>
        <w:lastRenderedPageBreak/>
        <w:t xml:space="preserve">At the end of this procedure, if the Profile has been enabled, the Operator owning of the Profile is able to perform any remote management operation to the Profile using its own Remote Administration Server. </w:t>
      </w:r>
    </w:p>
    <w:p w14:paraId="1F77833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567" w:name="_Toc448998218"/>
      <w:bookmarkStart w:id="1568" w:name="_Toc422150692"/>
      <w:bookmarkStart w:id="1569" w:name="_Toc421874272"/>
      <w:bookmarkStart w:id="1570" w:name="_Toc420594346"/>
      <w:bookmarkStart w:id="1571" w:name="_Toc398214813"/>
      <w:bookmarkStart w:id="1572" w:name="_Toc375158229"/>
      <w:bookmarkStart w:id="1573" w:name="_Toc368932207"/>
      <w:bookmarkStart w:id="1574" w:name="_Ref367970486"/>
      <w:bookmarkStart w:id="1575" w:name="_Ref367970360"/>
      <w:bookmarkStart w:id="1576" w:name="_Ref367970347"/>
      <w:bookmarkStart w:id="1577" w:name="_Toc486332836"/>
      <w:bookmarkStart w:id="1578" w:name="_Toc1977257"/>
      <w:bookmarkStart w:id="1579" w:name="_Toc37062413"/>
      <w:bookmarkStart w:id="1580" w:name="_Toc88839518"/>
      <w:bookmarkStart w:id="1581" w:name="_Toc121503926"/>
      <w:r>
        <w:rPr>
          <w:rFonts w:eastAsia="Times New Roman" w:cs="Arial"/>
          <w:b/>
          <w:bCs/>
          <w:iCs/>
          <w:sz w:val="24"/>
          <w:szCs w:val="26"/>
          <w:lang w:eastAsia="en-US"/>
        </w:rPr>
        <w:t>Error Management Sub-Routine</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46F13057" w14:textId="77777777" w:rsidR="00B97365" w:rsidRDefault="00000000">
      <w:pPr>
        <w:spacing w:before="0" w:after="200" w:line="276" w:lineRule="auto"/>
        <w:jc w:val="left"/>
        <w:rPr>
          <w:rFonts w:cs="Arial"/>
          <w:szCs w:val="22"/>
          <w:lang w:eastAsia="en-GB" w:bidi="ar-SA"/>
        </w:rPr>
      </w:pPr>
      <w:r>
        <w:rPr>
          <w:rFonts w:cs="Arial"/>
          <w:szCs w:val="22"/>
          <w:lang w:eastAsia="en-GB" w:bidi="ar-SA"/>
        </w:rPr>
        <w:t>The next figure describes the flow for error management. This procedure is called when an error occurs during the key-establishment procedure or during the steps 1 to 11 of the Profile Download and Installation procedure (before the optional enabling of the Profile). The procedure illustrates the usage of RAM over HTTP as an example of the transport protocol.</w:t>
      </w:r>
    </w:p>
    <w:p w14:paraId="2DD85A44" w14:textId="77777777" w:rsidR="00B97365" w:rsidRDefault="00B97365">
      <w:pPr>
        <w:jc w:val="center"/>
        <w:rPr>
          <w:rFonts w:cs="Calibri"/>
        </w:rPr>
      </w:pPr>
    </w:p>
    <w:p w14:paraId="600BA25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395EDF6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07AE6F4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49EFDB5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160</w:t>
      </w:r>
    </w:p>
    <w:p w14:paraId="11BEB6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5C5A1C6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801ABC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43271EB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4ED2729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7A835E2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1CBFE0B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081C077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“ISD-P” as ISDP #FFFFFF</w:t>
      </w:r>
    </w:p>
    <w:p w14:paraId="36577BA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ECASD #FFFFFF</w:t>
      </w:r>
    </w:p>
    <w:p w14:paraId="552EC5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7E4A5D5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5EB8F6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(1) In case of failure, deleteISDP(iccid) function</w:t>
      </w:r>
    </w:p>
    <w:p w14:paraId="38E8155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A877E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SR, ISDR #C0C0C0</w:t>
      </w:r>
    </w:p>
    <w:p w14:paraId="7B13850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(1a) Conditional:</w:t>
      </w:r>
    </w:p>
    <w:p w14:paraId="36E3DAC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HTTPS session</w:t>
      </w:r>
    </w:p>
    <w:p w14:paraId="5E4DC2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opening</w:t>
      </w:r>
    </w:p>
    <w:p w14:paraId="6820865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hnote</w:t>
      </w:r>
    </w:p>
    <w:p w14:paraId="42CF2AB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0A7CB7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(2)</w:t>
      </w:r>
    </w:p>
    <w:p w14:paraId="603635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Note left of ISDP</w:t>
      </w:r>
    </w:p>
    <w:p w14:paraId="1AB621B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**HTTP/1.1 200** CRLF</w:t>
      </w:r>
    </w:p>
    <w:p w14:paraId="58372FB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w:t>
      </w:r>
    </w:p>
    <w:p w14:paraId="582F0E1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203D986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&lt;Body with ES5.DeleteProfile(isd-p-aid)&gt;</w:t>
      </w:r>
    </w:p>
    <w:p w14:paraId="760C52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note</w:t>
      </w:r>
    </w:p>
    <w:p w14:paraId="51C3037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1693E1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7D80630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Enforce POL1</w:t>
      </w:r>
    </w:p>
    <w:p w14:paraId="4163FFD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45B0ED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2455DE6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D41A5A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Alt Unless POL1 rejects deletion</w:t>
      </w:r>
    </w:p>
    <w:p w14:paraId="2A7DC7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(4) Delete ISD-P</w:t>
      </w:r>
    </w:p>
    <w:p w14:paraId="3660F11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400CD0C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6B20D3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(5)</w:t>
      </w:r>
    </w:p>
    <w:p w14:paraId="37B246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Note left of ISDP</w:t>
      </w:r>
    </w:p>
    <w:p w14:paraId="4D59EE0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**POST** /&lt;next-uri&gt; **HTTP/1.1** CRLF</w:t>
      </w:r>
    </w:p>
    <w:p w14:paraId="0E0CD9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w:t>
      </w:r>
    </w:p>
    <w:p w14:paraId="1DFA6F7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**X-Admin-Script-Status:** &lt;script-status&gt; CRLF</w:t>
      </w:r>
    </w:p>
    <w:p w14:paraId="2B92FD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CRLF</w:t>
      </w:r>
    </w:p>
    <w:p w14:paraId="4102A6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&lt;Body with ES5.DeleteProfile response &gt;</w:t>
      </w:r>
    </w:p>
    <w:p w14:paraId="1DC8C0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note</w:t>
      </w:r>
    </w:p>
    <w:p w14:paraId="3987585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855DFA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(6) ISD-P deletion result</w:t>
      </w:r>
    </w:p>
    <w:p w14:paraId="317294F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3C891A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Alt Deletion failed due to POL1</w:t>
      </w:r>
    </w:p>
    <w:p w14:paraId="1088A50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OP, SR #C0C0C0</w:t>
      </w:r>
    </w:p>
    <w:p w14:paraId="65301D4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(7a) Complete Download and Installation</w:t>
      </w:r>
    </w:p>
    <w:p w14:paraId="01E0839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procedure, see 3.1.3</w:t>
      </w:r>
    </w:p>
    <w:p w14:paraId="1D25EEC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hnote</w:t>
      </w:r>
    </w:p>
    <w:p w14:paraId="53474DB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17C95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Else Otherwise </w:t>
      </w:r>
    </w:p>
    <w:p w14:paraId="5392A2B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(7) Download failed</w:t>
      </w:r>
    </w:p>
    <w:p w14:paraId="3B79FD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51FF3DB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7EE84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uml</w:t>
      </w:r>
    </w:p>
    <w:p w14:paraId="245DC3C5" w14:textId="77777777" w:rsidR="00B97365" w:rsidRDefault="00000000">
      <w:pPr>
        <w:rPr>
          <w:rFonts w:cs="Courier New"/>
          <w:noProof/>
          <w:color w:val="008000"/>
          <w:sz w:val="18"/>
        </w:rPr>
      </w:pPr>
      <w:r>
        <w:rPr>
          <w:rFonts w:cs="Courier New"/>
          <w:noProof/>
          <w:color w:val="008000"/>
          <w:sz w:val="18"/>
          <w:lang w:eastAsia="en-GB" w:bidi="ar-SA"/>
        </w:rPr>
        <w:lastRenderedPageBreak/>
        <w:drawing>
          <wp:inline distT="0" distB="0" distL="0" distR="0" wp14:anchorId="2B6A6B50" wp14:editId="2CA39E4D">
            <wp:extent cx="5731510" cy="6774427"/>
            <wp:effectExtent l="0" t="0" r="2540" b="7620"/>
            <wp:docPr id="461" name="Picture 46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6774427"/>
                    </a:xfrm>
                    <a:prstGeom prst="rect">
                      <a:avLst/>
                    </a:prstGeom>
                  </pic:spPr>
                </pic:pic>
              </a:graphicData>
            </a:graphic>
          </wp:inline>
        </w:drawing>
      </w:r>
    </w:p>
    <w:p w14:paraId="3C2C28EB" w14:textId="77777777" w:rsidR="00B97365" w:rsidRDefault="00B97365">
      <w:pPr>
        <w:jc w:val="center"/>
        <w:rPr>
          <w:rFonts w:cs="Calibri"/>
        </w:rPr>
      </w:pPr>
    </w:p>
    <w:p w14:paraId="052A9CBC" w14:textId="77777777" w:rsidR="00B97365" w:rsidRDefault="00B97365">
      <w:pPr>
        <w:jc w:val="center"/>
        <w:rPr>
          <w:rFonts w:cs="Calibri"/>
        </w:rPr>
      </w:pPr>
    </w:p>
    <w:p w14:paraId="4ECB9836"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Error Management Sub-Routine</w:t>
      </w:r>
    </w:p>
    <w:p w14:paraId="739B2721" w14:textId="77777777" w:rsidR="00B97365" w:rsidRDefault="00000000">
      <w:pPr>
        <w:tabs>
          <w:tab w:val="left" w:pos="397"/>
          <w:tab w:val="right" w:pos="9015"/>
        </w:tabs>
        <w:spacing w:before="0" w:after="40" w:line="276" w:lineRule="auto"/>
        <w:ind w:left="397" w:right="680" w:hanging="397"/>
        <w:jc w:val="left"/>
        <w:rPr>
          <w:b/>
          <w:noProof/>
          <w:szCs w:val="22"/>
        </w:rPr>
      </w:pPr>
      <w:bookmarkStart w:id="1582" w:name="_Toc420594347"/>
      <w:r>
        <w:rPr>
          <w:rFonts w:cs="Arial"/>
          <w:b/>
          <w:noProof/>
          <w:szCs w:val="22"/>
        </w:rPr>
        <w:t>Procedure:</w:t>
      </w:r>
      <w:bookmarkEnd w:id="1582"/>
    </w:p>
    <w:p w14:paraId="22392330" w14:textId="77777777" w:rsidR="00B97365" w:rsidRDefault="00000000">
      <w:pPr>
        <w:numPr>
          <w:ilvl w:val="0"/>
          <w:numId w:val="104"/>
        </w:numPr>
      </w:pPr>
      <w:r>
        <w:t xml:space="preserve">In case of failure during the key establishment procedure or the Download Profile procedure, the SM-DP SHALL call the </w:t>
      </w:r>
      <w:r>
        <w:rPr>
          <w:b/>
        </w:rPr>
        <w:t>“ES3.DeleteISDP”</w:t>
      </w:r>
      <w:r>
        <w:t xml:space="preserve"> function with its relevant input data. </w:t>
      </w:r>
    </w:p>
    <w:p w14:paraId="0507A835" w14:textId="390CD74F" w:rsidR="00B97365" w:rsidRDefault="00000000">
      <w:pPr>
        <w:ind w:left="709" w:hanging="709"/>
        <w:rPr>
          <w:rFonts w:cs="Arial"/>
        </w:rPr>
      </w:pPr>
      <w:r>
        <w:rPr>
          <w:rFonts w:cs="Arial"/>
        </w:rPr>
        <w:lastRenderedPageBreak/>
        <w:t>(1a)</w:t>
      </w:r>
      <w:r>
        <w:rPr>
          <w:rFonts w:cs="Arial"/>
        </w:rPr>
        <w:tab/>
        <w:t>The SM-SR SHALL trigger the HTTP session with the ISD-R if not already opened as defined in section</w:t>
      </w:r>
      <w:r>
        <w:t xml:space="preserve"> </w:t>
      </w:r>
      <w:r>
        <w:fldChar w:fldCharType="begin"/>
      </w:r>
      <w:r>
        <w:instrText xml:space="preserve"> REF _Ref483300993 \r \h </w:instrText>
      </w:r>
      <w:r>
        <w:fldChar w:fldCharType="separate"/>
      </w:r>
      <w:r w:rsidR="001D5AD9">
        <w:t>2.4.4.5</w:t>
      </w:r>
      <w:r>
        <w:fldChar w:fldCharType="end"/>
      </w:r>
      <w:r>
        <w:rPr>
          <w:rFonts w:cs="Arial"/>
        </w:rPr>
        <w:t>.</w:t>
      </w:r>
    </w:p>
    <w:p w14:paraId="11CC9C79" w14:textId="77777777" w:rsidR="00B97365" w:rsidRDefault="00000000">
      <w:pPr>
        <w:numPr>
          <w:ilvl w:val="0"/>
          <w:numId w:val="104"/>
        </w:numPr>
      </w:pPr>
      <w:r>
        <w:t>The SM-SR SHALL return the HTTP POST response with a body containing the “</w:t>
      </w:r>
      <w:r>
        <w:rPr>
          <w:b/>
        </w:rPr>
        <w:t>ES5.DeleteProfile</w:t>
      </w:r>
      <w:r>
        <w:t xml:space="preserve">” function with the ICCID. The X-Admin-Targeted-Application parameter SHALL be omitted as the command is targeting the ISD-R.  </w:t>
      </w:r>
    </w:p>
    <w:p w14:paraId="719B8FAB" w14:textId="77777777" w:rsidR="00B97365" w:rsidRDefault="00000000">
      <w:pPr>
        <w:numPr>
          <w:ilvl w:val="0"/>
          <w:numId w:val="104"/>
        </w:numPr>
      </w:pPr>
      <w:r>
        <w:t>If the Profile is already completely installed, the ISD-R SHALL enforce POL1. If POL1 prevents the deletion of the target Profile, the ISD-R SHALL skip step 4.</w:t>
      </w:r>
    </w:p>
    <w:p w14:paraId="77E3786C" w14:textId="77777777" w:rsidR="00B97365" w:rsidRDefault="00000000">
      <w:pPr>
        <w:numPr>
          <w:ilvl w:val="0"/>
          <w:numId w:val="104"/>
        </w:numPr>
      </w:pPr>
      <w:r>
        <w:t>The ISD-R SHALL delete the targeted ISD-P.</w:t>
      </w:r>
    </w:p>
    <w:p w14:paraId="6C8FB740" w14:textId="77777777" w:rsidR="00B97365" w:rsidRDefault="00000000">
      <w:pPr>
        <w:numPr>
          <w:ilvl w:val="0"/>
          <w:numId w:val="104"/>
        </w:numPr>
      </w:pPr>
      <w:r>
        <w:t>The ISD-R SHALL return the execution response to the ISD-P deletion “</w:t>
      </w:r>
      <w:r>
        <w:rPr>
          <w:b/>
        </w:rPr>
        <w:t>ES5.DeleteProfile</w:t>
      </w:r>
      <w:r>
        <w:t>” within a new HTTP POST request addressed to the SM-SR.</w:t>
      </w:r>
    </w:p>
    <w:p w14:paraId="6076015E" w14:textId="77777777" w:rsidR="00B97365" w:rsidRDefault="00000000">
      <w:pPr>
        <w:numPr>
          <w:ilvl w:val="0"/>
          <w:numId w:val="104"/>
        </w:numPr>
      </w:pPr>
      <w:r>
        <w:t>The SM-SR SHALL forward the status of the “</w:t>
      </w:r>
      <w:r>
        <w:rPr>
          <w:b/>
        </w:rPr>
        <w:t>ES3.DeleteISDP</w:t>
      </w:r>
      <w:r>
        <w:t>”to the SM-DP.</w:t>
      </w:r>
    </w:p>
    <w:p w14:paraId="2A1F5B60" w14:textId="77777777" w:rsidR="00B97365" w:rsidRDefault="00000000">
      <w:pPr>
        <w:numPr>
          <w:ilvl w:val="0"/>
          <w:numId w:val="104"/>
        </w:numPr>
      </w:pPr>
      <w:r>
        <w:t>If the deletion of the ISD-P was successful, the response message indicating the failure of the download SHALL be returned to the Operator. In case of a timeout of the “</w:t>
      </w:r>
      <w:r>
        <w:rPr>
          <w:b/>
        </w:rPr>
        <w:t>ES5.DeleteProfile</w:t>
      </w:r>
      <w:r>
        <w:t>”, the status of the download SHALL be reported as ‘Expired’.</w:t>
      </w:r>
    </w:p>
    <w:p w14:paraId="10013EC1" w14:textId="4D9BACB3" w:rsidR="00B97365" w:rsidRDefault="00000000">
      <w:pPr>
        <w:numPr>
          <w:ilvl w:val="1"/>
          <w:numId w:val="104"/>
        </w:numPr>
      </w:pPr>
      <w:r>
        <w:t xml:space="preserve">If the deletion of the ISD-P was prevented by POL1, the SM-DP shall consider that the profile download and installation succeeded on the eUICC, and SHALL continue the procedure </w:t>
      </w:r>
      <w:r>
        <w:fldChar w:fldCharType="begin"/>
      </w:r>
      <w:r>
        <w:instrText xml:space="preserve"> REF _Ref36797367 \r \h </w:instrText>
      </w:r>
      <w:r>
        <w:fldChar w:fldCharType="separate"/>
      </w:r>
      <w:r w:rsidR="001D5AD9">
        <w:t>3.1.3</w:t>
      </w:r>
      <w:r>
        <w:fldChar w:fldCharType="end"/>
      </w:r>
      <w:r>
        <w:t>.</w:t>
      </w:r>
    </w:p>
    <w:p w14:paraId="1AD13387" w14:textId="77777777" w:rsidR="00B97365" w:rsidRDefault="00B97365">
      <w:pPr>
        <w:tabs>
          <w:tab w:val="left" w:pos="1560"/>
        </w:tabs>
        <w:spacing w:before="0" w:after="200" w:line="276" w:lineRule="auto"/>
        <w:ind w:left="1559" w:hanging="1202"/>
        <w:jc w:val="left"/>
        <w:rPr>
          <w:szCs w:val="22"/>
          <w:lang w:eastAsia="en-GB" w:bidi="ar-SA"/>
        </w:rPr>
      </w:pPr>
    </w:p>
    <w:p w14:paraId="66B28B78" w14:textId="0D0AE1B0" w:rsidR="00B97365" w:rsidRDefault="00000000">
      <w:pPr>
        <w:tabs>
          <w:tab w:val="left" w:pos="1560"/>
        </w:tabs>
        <w:spacing w:before="0" w:after="200" w:line="276" w:lineRule="auto"/>
        <w:ind w:left="1559" w:hanging="1202"/>
        <w:jc w:val="left"/>
        <w:rPr>
          <w:szCs w:val="22"/>
          <w:lang w:eastAsia="en-GB" w:bidi="ar-SA"/>
        </w:rPr>
      </w:pPr>
      <w:r>
        <w:rPr>
          <w:rFonts w:cs="Arial"/>
          <w:szCs w:val="22"/>
          <w:lang w:eastAsia="en-GB" w:bidi="ar-SA"/>
        </w:rPr>
        <w:t>NOTE:</w:t>
      </w:r>
      <w:r>
        <w:rPr>
          <w:rFonts w:cs="Arial"/>
          <w:szCs w:val="22"/>
          <w:lang w:eastAsia="en-GB" w:bidi="ar-SA"/>
        </w:rPr>
        <w:tab/>
        <w:t xml:space="preserve">In case the deletion of the ISD-P fails or expires (e.g. because the eUICC is out of coverage), or in case the SM-DP does not receive confirmation of the deletion (e.g. because sending the result (5) failed), the SM-DP will get a chance to delete the ISD-P and the potentially incomplete profile at the beginning of a subsequent Profile Download on the same eUICC, as described in section </w:t>
      </w:r>
      <w:r>
        <w:rPr>
          <w:rFonts w:cs="Arial"/>
          <w:szCs w:val="22"/>
          <w:lang w:eastAsia="en-GB" w:bidi="ar-SA"/>
        </w:rPr>
        <w:fldChar w:fldCharType="begin"/>
      </w:r>
      <w:r>
        <w:rPr>
          <w:rFonts w:cs="Arial"/>
          <w:szCs w:val="22"/>
          <w:lang w:eastAsia="en-GB" w:bidi="ar-SA"/>
        </w:rPr>
        <w:instrText xml:space="preserve"> REF _Ref36796615 \n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3.1.5</w:t>
      </w:r>
      <w:r>
        <w:rPr>
          <w:rFonts w:cs="Arial"/>
          <w:szCs w:val="22"/>
          <w:lang w:eastAsia="en-GB" w:bidi="ar-SA"/>
        </w:rPr>
        <w:fldChar w:fldCharType="end"/>
      </w:r>
      <w:r>
        <w:rPr>
          <w:rFonts w:cs="Arial"/>
          <w:szCs w:val="22"/>
          <w:lang w:eastAsia="en-GB" w:bidi="ar-SA"/>
        </w:rPr>
        <w:t>.</w:t>
      </w:r>
    </w:p>
    <w:p w14:paraId="6A9D7B18"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583" w:name="_Ref36796615"/>
      <w:bookmarkStart w:id="1584" w:name="_Toc37062414"/>
      <w:bookmarkStart w:id="1585" w:name="_Toc88839519"/>
      <w:bookmarkStart w:id="1586" w:name="_Toc121503927"/>
      <w:r>
        <w:rPr>
          <w:rFonts w:eastAsia="Times New Roman" w:cs="Arial"/>
          <w:b/>
          <w:bCs/>
          <w:iCs/>
          <w:sz w:val="24"/>
          <w:szCs w:val="26"/>
          <w:lang w:eastAsia="en-US"/>
        </w:rPr>
        <w:t>ISD-P Cleanup Sub-Routine</w:t>
      </w:r>
      <w:bookmarkEnd w:id="1583"/>
      <w:bookmarkEnd w:id="1584"/>
      <w:bookmarkEnd w:id="1585"/>
      <w:bookmarkEnd w:id="1586"/>
    </w:p>
    <w:p w14:paraId="36883544" w14:textId="77777777" w:rsidR="00B97365" w:rsidRDefault="00000000">
      <w:pPr>
        <w:spacing w:before="0" w:after="200" w:line="276" w:lineRule="auto"/>
        <w:jc w:val="left"/>
        <w:rPr>
          <w:rFonts w:cs="Arial"/>
          <w:szCs w:val="22"/>
          <w:lang w:eastAsia="en-GB" w:bidi="ar-SA"/>
        </w:rPr>
      </w:pPr>
      <w:r>
        <w:rPr>
          <w:rFonts w:cs="Arial"/>
          <w:szCs w:val="22"/>
          <w:lang w:eastAsia="en-GB" w:bidi="ar-SA"/>
        </w:rPr>
        <w:t>The next figure describes the alternate flow that an SM-DP SHALL follow to delete an ISD-P that it formerly failed to delete.</w:t>
      </w:r>
    </w:p>
    <w:p w14:paraId="22703A9C"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 1:</w:t>
      </w:r>
      <w:r>
        <w:rPr>
          <w:szCs w:val="22"/>
          <w:lang w:eastAsia="en-GB" w:bidi="ar-SA"/>
        </w:rPr>
        <w:tab/>
        <w:t xml:space="preserve">The case where a Cleanup fails due to POL1 is not covered here. </w:t>
      </w:r>
    </w:p>
    <w:p w14:paraId="46854265" w14:textId="77777777" w:rsidR="00B97365" w:rsidRDefault="00000000">
      <w:pPr>
        <w:tabs>
          <w:tab w:val="left" w:pos="1560"/>
        </w:tabs>
        <w:spacing w:before="0" w:after="200" w:line="276" w:lineRule="auto"/>
        <w:ind w:left="1559" w:hanging="1202"/>
        <w:jc w:val="left"/>
        <w:rPr>
          <w:szCs w:val="22"/>
          <w:lang w:eastAsia="en-US"/>
        </w:rPr>
      </w:pPr>
      <w:r>
        <w:rPr>
          <w:szCs w:val="22"/>
          <w:lang w:eastAsia="en-GB" w:bidi="ar-SA"/>
        </w:rPr>
        <w:t>NOTE 2:</w:t>
      </w:r>
      <w:r>
        <w:rPr>
          <w:szCs w:val="22"/>
          <w:lang w:eastAsia="en-GB" w:bidi="ar-SA"/>
        </w:rPr>
        <w:tab/>
        <w:t>The case where a Profile with the same ICCID was incompletely downloaded to a different eUICC is not covered here.</w:t>
      </w:r>
    </w:p>
    <w:p w14:paraId="015100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1B957F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5148C6C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6FFEF35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160</w:t>
      </w:r>
    </w:p>
    <w:p w14:paraId="22C9F20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3856AA9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FDC527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72540AE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1D33F76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6DA6BA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305468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313F6E1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“ISD-P” as ISDP #FFFFFF</w:t>
      </w:r>
    </w:p>
    <w:p w14:paraId="696E39C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44AB323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6B2B7F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OP-&gt;&gt;DP: (1) downloadProfile(srid, eid, iccid, final state, profileType)</w:t>
      </w:r>
    </w:p>
    <w:p w14:paraId="4148FB04"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DP-&gt;SR: (2) getEIS(eid)</w:t>
      </w:r>
    </w:p>
    <w:p w14:paraId="27D29269"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54478456"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Rnote over SR #FFFFF</w:t>
      </w:r>
    </w:p>
    <w:p w14:paraId="56ACA7F0"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(3) Retrieve EIS</w:t>
      </w:r>
    </w:p>
    <w:p w14:paraId="38B39414"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Endrnote</w:t>
      </w:r>
    </w:p>
    <w:p w14:paraId="5C44A0B3"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4FD5E046"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SR--&gt;DP: (4) Return EIS</w:t>
      </w:r>
    </w:p>
    <w:p w14:paraId="5B09B0D3"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1DD16ED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Alt [If the SM-DP detects an ISD-P that it created and still in an incomplete state]</w:t>
      </w:r>
    </w:p>
    <w:p w14:paraId="0696D07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2C7C6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Pr>
          <w:rFonts w:ascii="Courier New" w:hAnsi="Courier New" w:cs="Courier New"/>
          <w:noProof/>
          <w:color w:val="008000"/>
          <w:sz w:val="18"/>
          <w:lang w:val="de-DE"/>
        </w:rPr>
        <w:t>DP-&gt;&gt;SR: (5alt) DeleteProfile(eid, iccid)</w:t>
      </w:r>
    </w:p>
    <w:p w14:paraId="2517574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0B7CD1E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(6alt) Check initial conditions</w:t>
      </w:r>
    </w:p>
    <w:p w14:paraId="4E8E70B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98669A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44910C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(7alt) MT-SMS [ES5.DELETE command]SCP80</w:t>
      </w:r>
    </w:p>
    <w:p w14:paraId="0B8E187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54E0E9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7E934E0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(8alt) Delete ISD-P</w:t>
      </w:r>
    </w:p>
    <w:p w14:paraId="7425A78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398D46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919AF6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(9alt) MO-SMS [ES5.DELETE command response]SCP80</w:t>
      </w:r>
    </w:p>
    <w:p w14:paraId="696B453B"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Rnote over SR #FFFFFF</w:t>
      </w:r>
    </w:p>
    <w:p w14:paraId="534BCC76"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(10alt) Update EIS</w:t>
      </w:r>
    </w:p>
    <w:p w14:paraId="1DEFB784"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Endrnote</w:t>
      </w:r>
    </w:p>
    <w:p w14:paraId="106004F8"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SR--&gt;&gt;DP: (11alt) Profile deletion result</w:t>
      </w:r>
    </w:p>
    <w:p w14:paraId="4EAB528B"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1D8A7E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6511C31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575F61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DP #FFFFFF</w:t>
      </w:r>
    </w:p>
    <w:p w14:paraId="496E94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Check eUICC eligibility</w:t>
      </w:r>
    </w:p>
    <w:p w14:paraId="324B16F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5BC618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Failed</w:t>
      </w:r>
    </w:p>
    <w:p w14:paraId="26F5B46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B15EC9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(6) createISDP(eid, iccid, mno-id,…)</w:t>
      </w:r>
    </w:p>
    <w:p w14:paraId="53233B2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9A0DAC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7AF6B493" w14:textId="77777777" w:rsidR="00B97365" w:rsidRDefault="00000000">
      <w:pPr>
        <w:rPr>
          <w:rFonts w:cs="Courier New"/>
          <w:noProof/>
          <w:color w:val="008000"/>
          <w:sz w:val="18"/>
          <w:lang w:eastAsia="en-US"/>
        </w:rPr>
      </w:pPr>
      <w:r>
        <w:rPr>
          <w:rFonts w:cs="Courier New"/>
          <w:noProof/>
          <w:color w:val="008000"/>
          <w:sz w:val="18"/>
          <w:lang w:eastAsia="en-GB" w:bidi="ar-SA"/>
        </w:rPr>
        <w:lastRenderedPageBreak/>
        <w:drawing>
          <wp:inline distT="0" distB="0" distL="0" distR="0" wp14:anchorId="1BFCB954" wp14:editId="495E9EB0">
            <wp:extent cx="5731510" cy="6458771"/>
            <wp:effectExtent l="0" t="0" r="2540" b="0"/>
            <wp:docPr id="468" name="Picture 46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6458771"/>
                    </a:xfrm>
                    <a:prstGeom prst="rect">
                      <a:avLst/>
                    </a:prstGeom>
                  </pic:spPr>
                </pic:pic>
              </a:graphicData>
            </a:graphic>
          </wp:inline>
        </w:drawing>
      </w:r>
    </w:p>
    <w:p w14:paraId="657A5DE4" w14:textId="77777777" w:rsidR="00B97365" w:rsidRDefault="00B97365">
      <w:pPr>
        <w:spacing w:before="0" w:after="200" w:line="276" w:lineRule="auto"/>
        <w:jc w:val="left"/>
        <w:rPr>
          <w:szCs w:val="22"/>
          <w:lang w:eastAsia="en-US"/>
        </w:rPr>
      </w:pPr>
    </w:p>
    <w:p w14:paraId="2270E2A6"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315-A: ISD-P cleanup at the beginning of a subsequent profile download</w:t>
      </w:r>
    </w:p>
    <w:p w14:paraId="5FB3C695"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0ED61886" w14:textId="77777777" w:rsidR="00B97365" w:rsidRDefault="00000000">
      <w:pPr>
        <w:spacing w:before="0" w:after="200" w:line="276" w:lineRule="auto"/>
        <w:jc w:val="left"/>
        <w:rPr>
          <w:rFonts w:cs="Arial"/>
          <w:szCs w:val="22"/>
          <w:lang w:eastAsia="en-GB" w:bidi="ar-SA"/>
        </w:rPr>
      </w:pPr>
      <w:r>
        <w:rPr>
          <w:rFonts w:cs="Arial"/>
          <w:szCs w:val="22"/>
          <w:lang w:eastAsia="en-GB" w:bidi="ar-SA"/>
        </w:rPr>
        <w:t>(1) 2) (3) (4) See section 3.1.1.</w:t>
      </w:r>
    </w:p>
    <w:p w14:paraId="467790B7" w14:textId="77777777" w:rsidR="00B97365" w:rsidRDefault="00000000">
      <w:pPr>
        <w:spacing w:before="0" w:after="200" w:line="276" w:lineRule="auto"/>
        <w:jc w:val="left"/>
        <w:rPr>
          <w:rFonts w:cs="Arial"/>
          <w:szCs w:val="22"/>
          <w:lang w:eastAsia="en-GB" w:bidi="ar-SA"/>
        </w:rPr>
      </w:pPr>
      <w:r>
        <w:rPr>
          <w:rFonts w:cs="Arial"/>
          <w:szCs w:val="22"/>
          <w:lang w:eastAsia="en-GB" w:bidi="ar-SA"/>
        </w:rPr>
        <w:t>(5alt) As per the EIS, or by comparing the EIS with its own records, the SM-DP determines that an ISD-P associated to this SM-DP is in an incomplete state (the profile download procedure did not complete nominally). The SM-DP SHALL then send a request “</w:t>
      </w:r>
      <w:r>
        <w:rPr>
          <w:rFonts w:cs="Arial"/>
          <w:b/>
          <w:szCs w:val="22"/>
          <w:lang w:eastAsia="en-GB" w:bidi="ar-SA"/>
        </w:rPr>
        <w:t>ES3.DeleteISDP</w:t>
      </w:r>
      <w:r>
        <w:rPr>
          <w:rFonts w:cs="Arial"/>
          <w:szCs w:val="22"/>
          <w:lang w:eastAsia="en-GB" w:bidi="ar-SA"/>
        </w:rPr>
        <w:t>” to the SM-SR to delete the incomplete ISD-P.</w:t>
      </w:r>
    </w:p>
    <w:p w14:paraId="73F7939F" w14:textId="688652A9" w:rsidR="00B97365" w:rsidRDefault="00000000">
      <w:pPr>
        <w:spacing w:before="0" w:after="200" w:line="276" w:lineRule="auto"/>
        <w:ind w:left="624" w:hanging="624"/>
        <w:jc w:val="left"/>
        <w:rPr>
          <w:rFonts w:cs="Arial"/>
          <w:szCs w:val="22"/>
          <w:lang w:eastAsia="en-GB" w:bidi="ar-SA"/>
        </w:rPr>
      </w:pPr>
      <w:r>
        <w:rPr>
          <w:rFonts w:cs="Arial"/>
          <w:szCs w:val="22"/>
          <w:lang w:eastAsia="en-GB" w:bidi="ar-SA"/>
        </w:rPr>
        <w:lastRenderedPageBreak/>
        <w:t>(6alt) The SM-SR SHALL verify if the SM-DP request is acceptable (the verifications that the SM-SR SHALL perform are described in section</w:t>
      </w:r>
      <w:r>
        <w:rPr>
          <w:rFonts w:cs="Arial"/>
          <w:szCs w:val="22"/>
          <w:lang w:eastAsia="en-GB" w:bidi="ar-SA"/>
        </w:rPr>
        <w:fldChar w:fldCharType="begin"/>
      </w:r>
      <w:r>
        <w:rPr>
          <w:rFonts w:cs="Arial"/>
          <w:szCs w:val="22"/>
          <w:lang w:eastAsia="en-GB" w:bidi="ar-SA"/>
        </w:rPr>
        <w:instrText xml:space="preserve"> REF _Ref36799180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5.4.9</w:t>
      </w:r>
      <w:r>
        <w:rPr>
          <w:rFonts w:cs="Arial"/>
          <w:szCs w:val="22"/>
          <w:lang w:eastAsia="en-GB" w:bidi="ar-SA"/>
        </w:rPr>
        <w:fldChar w:fldCharType="end"/>
      </w:r>
      <w:r>
        <w:rPr>
          <w:rFonts w:cs="Arial"/>
          <w:szCs w:val="22"/>
          <w:lang w:eastAsia="en-GB" w:bidi="ar-SA"/>
        </w:rPr>
        <w:t>). If any of the conditions to be verified are not satisfied, the SM-SR SHALL return a response indicating a failure, and the procedure SHALL end.</w:t>
      </w:r>
    </w:p>
    <w:p w14:paraId="7BE71E1D" w14:textId="1284C6B4" w:rsidR="00B97365" w:rsidRDefault="00000000">
      <w:pPr>
        <w:spacing w:before="0" w:after="200" w:line="276" w:lineRule="auto"/>
        <w:ind w:left="624" w:hanging="624"/>
        <w:jc w:val="left"/>
        <w:rPr>
          <w:rFonts w:cs="Arial"/>
          <w:szCs w:val="22"/>
          <w:lang w:eastAsia="en-GB" w:bidi="ar-SA"/>
        </w:rPr>
      </w:pPr>
      <w:r>
        <w:rPr>
          <w:rFonts w:cs="Arial"/>
          <w:szCs w:val="22"/>
          <w:lang w:eastAsia="en-GB" w:bidi="ar-SA"/>
        </w:rPr>
        <w:t>(7alt)</w:t>
      </w:r>
      <w:r>
        <w:rPr>
          <w:rFonts w:cs="Arial"/>
          <w:szCs w:val="22"/>
          <w:lang w:eastAsia="en-GB" w:bidi="ar-SA"/>
        </w:rPr>
        <w:tab/>
        <w:t>The SM-SR SHALL send an MT-SMS containing the “</w:t>
      </w:r>
      <w:r>
        <w:rPr>
          <w:rFonts w:cs="Arial"/>
          <w:b/>
          <w:szCs w:val="22"/>
          <w:lang w:eastAsia="en-GB" w:bidi="ar-SA"/>
        </w:rPr>
        <w:t>ES5.DELETE</w:t>
      </w:r>
      <w:r>
        <w:rPr>
          <w:rFonts w:cs="Arial"/>
          <w:szCs w:val="22"/>
          <w:lang w:eastAsia="en-GB" w:bidi="ar-SA"/>
        </w:rPr>
        <w:t xml:space="preserve">” command with its relevant input data (see section </w:t>
      </w:r>
      <w:r>
        <w:rPr>
          <w:rFonts w:cs="Arial"/>
          <w:szCs w:val="22"/>
          <w:lang w:eastAsia="en-GB" w:bidi="ar-SA"/>
        </w:rPr>
        <w:fldChar w:fldCharType="begin"/>
      </w:r>
      <w:r>
        <w:rPr>
          <w:rFonts w:cs="Arial"/>
          <w:szCs w:val="22"/>
          <w:lang w:eastAsia="en-GB" w:bidi="ar-SA"/>
        </w:rPr>
        <w:instrText xml:space="preserve"> REF _Ref36798583 \n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4.1.1.4</w:t>
      </w:r>
      <w:r>
        <w:rPr>
          <w:rFonts w:cs="Arial"/>
          <w:szCs w:val="22"/>
          <w:lang w:eastAsia="en-GB" w:bidi="ar-SA"/>
        </w:rPr>
        <w:fldChar w:fldCharType="end"/>
      </w:r>
      <w:r>
        <w:rPr>
          <w:rFonts w:cs="Arial"/>
          <w:szCs w:val="22"/>
          <w:lang w:eastAsia="en-GB" w:bidi="ar-SA"/>
        </w:rPr>
        <w:t>) to the ISD-R. The SM-SR SHALL request a PoR to get the execution status of the “</w:t>
      </w:r>
      <w:r>
        <w:rPr>
          <w:rFonts w:cs="Arial"/>
          <w:b/>
          <w:szCs w:val="22"/>
          <w:lang w:eastAsia="en-GB" w:bidi="ar-SA"/>
        </w:rPr>
        <w:t>ES5.DELETE</w:t>
      </w:r>
      <w:r>
        <w:rPr>
          <w:rFonts w:cs="Arial"/>
          <w:szCs w:val="22"/>
          <w:lang w:eastAsia="en-GB" w:bidi="ar-SA"/>
        </w:rPr>
        <w:t>” command.</w:t>
      </w:r>
    </w:p>
    <w:p w14:paraId="6C7B3957" w14:textId="77777777" w:rsidR="00B97365" w:rsidRDefault="00000000">
      <w:pPr>
        <w:spacing w:before="0" w:after="200" w:line="276" w:lineRule="auto"/>
        <w:ind w:left="624" w:hanging="624"/>
        <w:jc w:val="left"/>
        <w:rPr>
          <w:rFonts w:cs="Arial"/>
          <w:szCs w:val="22"/>
          <w:lang w:eastAsia="en-GB" w:bidi="ar-SA"/>
        </w:rPr>
      </w:pPr>
      <w:r>
        <w:rPr>
          <w:rFonts w:cs="Arial"/>
          <w:szCs w:val="22"/>
          <w:lang w:eastAsia="en-GB" w:bidi="ar-SA"/>
        </w:rPr>
        <w:t xml:space="preserve"> (8alt)</w:t>
      </w:r>
      <w:r>
        <w:rPr>
          <w:rFonts w:cs="Arial"/>
          <w:szCs w:val="22"/>
          <w:lang w:eastAsia="en-GB" w:bidi="ar-SA"/>
        </w:rPr>
        <w:tab/>
        <w:t>The ISD-R SHALL delete the targeted ISD-P and the contained Profile.</w:t>
      </w:r>
    </w:p>
    <w:p w14:paraId="4E53B3B8" w14:textId="77777777" w:rsidR="00B97365" w:rsidRDefault="00000000">
      <w:pPr>
        <w:spacing w:before="0" w:after="200" w:line="276" w:lineRule="auto"/>
        <w:ind w:left="624" w:hanging="624"/>
        <w:jc w:val="left"/>
        <w:rPr>
          <w:rFonts w:cs="Arial"/>
          <w:szCs w:val="22"/>
          <w:lang w:eastAsia="en-GB" w:bidi="ar-SA"/>
        </w:rPr>
      </w:pPr>
      <w:r>
        <w:rPr>
          <w:rFonts w:cs="Arial"/>
          <w:szCs w:val="22"/>
          <w:lang w:eastAsia="en-GB" w:bidi="ar-SA"/>
        </w:rPr>
        <w:t>(9alt)</w:t>
      </w:r>
      <w:r>
        <w:rPr>
          <w:rFonts w:cs="Arial"/>
          <w:szCs w:val="22"/>
          <w:lang w:eastAsia="en-GB" w:bidi="ar-SA"/>
        </w:rPr>
        <w:tab/>
        <w:t>The ISD-R SHALL return the MO-SMS to the SM-SR containing the execution status of the “</w:t>
      </w:r>
      <w:r>
        <w:rPr>
          <w:rFonts w:cs="Arial"/>
          <w:b/>
          <w:szCs w:val="22"/>
          <w:lang w:eastAsia="en-GB" w:bidi="ar-SA"/>
        </w:rPr>
        <w:t>ES5.DELETE</w:t>
      </w:r>
      <w:r>
        <w:rPr>
          <w:rFonts w:cs="Arial"/>
          <w:szCs w:val="22"/>
          <w:lang w:eastAsia="en-GB" w:bidi="ar-SA"/>
        </w:rPr>
        <w:t xml:space="preserve">” command. </w:t>
      </w:r>
    </w:p>
    <w:p w14:paraId="7C227015" w14:textId="77777777" w:rsidR="00B97365" w:rsidRDefault="00000000">
      <w:pPr>
        <w:spacing w:before="0" w:after="200" w:line="276" w:lineRule="auto"/>
        <w:ind w:left="624" w:hanging="624"/>
        <w:jc w:val="left"/>
        <w:rPr>
          <w:rFonts w:cs="Arial"/>
          <w:szCs w:val="22"/>
          <w:lang w:eastAsia="en-GB" w:bidi="ar-SA"/>
        </w:rPr>
      </w:pPr>
      <w:r>
        <w:rPr>
          <w:rFonts w:cs="Arial"/>
          <w:szCs w:val="22"/>
          <w:lang w:eastAsia="en-GB" w:bidi="ar-SA"/>
        </w:rPr>
        <w:t>(10alt)</w:t>
      </w:r>
      <w:r>
        <w:rPr>
          <w:rFonts w:cs="Arial"/>
          <w:szCs w:val="22"/>
          <w:lang w:eastAsia="en-GB" w:bidi="ar-SA"/>
        </w:rPr>
        <w:tab/>
        <w:t>In case of successful execution, the SM-SR SHALL update the EIS to reflect the newly deleted Profile.</w:t>
      </w:r>
    </w:p>
    <w:p w14:paraId="5032D874" w14:textId="77777777" w:rsidR="00B97365" w:rsidRDefault="00000000">
      <w:pPr>
        <w:spacing w:before="0" w:after="200" w:line="276" w:lineRule="auto"/>
        <w:ind w:left="624" w:hanging="624"/>
        <w:jc w:val="left"/>
        <w:rPr>
          <w:rFonts w:cs="Arial"/>
          <w:szCs w:val="22"/>
          <w:lang w:eastAsia="en-GB" w:bidi="ar-SA"/>
        </w:rPr>
      </w:pPr>
      <w:r>
        <w:rPr>
          <w:rFonts w:cs="Arial"/>
          <w:szCs w:val="22"/>
          <w:lang w:eastAsia="en-GB" w:bidi="ar-SA"/>
        </w:rPr>
        <w:t>(11alt) The SM-SR SHALL return the response to the “</w:t>
      </w:r>
      <w:r>
        <w:rPr>
          <w:rFonts w:cs="Arial"/>
          <w:b/>
          <w:szCs w:val="22"/>
          <w:lang w:eastAsia="en-GB" w:bidi="ar-SA"/>
        </w:rPr>
        <w:t>ES3.DeleteISDP</w:t>
      </w:r>
      <w:r>
        <w:rPr>
          <w:rFonts w:cs="Arial"/>
          <w:szCs w:val="22"/>
          <w:lang w:eastAsia="en-GB" w:bidi="ar-SA"/>
        </w:rPr>
        <w:t>” function to the SM-DP.</w:t>
      </w:r>
    </w:p>
    <w:p w14:paraId="49A6B9AD" w14:textId="2A921A06" w:rsidR="00B97365" w:rsidRDefault="00000000">
      <w:pPr>
        <w:spacing w:before="0" w:after="200" w:line="276" w:lineRule="auto"/>
        <w:ind w:left="624" w:hanging="624"/>
        <w:jc w:val="left"/>
        <w:rPr>
          <w:rFonts w:cs="Arial"/>
          <w:szCs w:val="22"/>
          <w:lang w:eastAsia="en-US"/>
        </w:rPr>
      </w:pPr>
      <w:r>
        <w:rPr>
          <w:rFonts w:cs="Arial"/>
          <w:szCs w:val="22"/>
          <w:lang w:eastAsia="en-GB" w:bidi="ar-SA"/>
        </w:rPr>
        <w:t xml:space="preserve"> (5)(6)… The SM-DP and SM-SR SHALL resume the procedure described in section </w:t>
      </w:r>
      <w:r>
        <w:rPr>
          <w:rFonts w:cs="Arial"/>
          <w:szCs w:val="22"/>
          <w:lang w:eastAsia="en-GB" w:bidi="ar-SA"/>
        </w:rPr>
        <w:fldChar w:fldCharType="begin"/>
      </w:r>
      <w:r>
        <w:rPr>
          <w:rFonts w:cs="Arial"/>
          <w:szCs w:val="22"/>
          <w:lang w:eastAsia="en-GB" w:bidi="ar-SA"/>
        </w:rPr>
        <w:instrText xml:space="preserve"> REF _Ref36798620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3.1.1</w:t>
      </w:r>
      <w:r>
        <w:rPr>
          <w:rFonts w:cs="Arial"/>
          <w:szCs w:val="22"/>
          <w:lang w:eastAsia="en-GB" w:bidi="ar-SA"/>
        </w:rPr>
        <w:fldChar w:fldCharType="end"/>
      </w:r>
    </w:p>
    <w:p w14:paraId="1C2DEC07"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587" w:name="_Toc374345775"/>
      <w:bookmarkStart w:id="1588" w:name="_Toc374346121"/>
      <w:bookmarkStart w:id="1589" w:name="_Toc374346466"/>
      <w:bookmarkStart w:id="1590" w:name="_Toc374346812"/>
      <w:bookmarkStart w:id="1591" w:name="_Ref367967873"/>
      <w:bookmarkStart w:id="1592" w:name="_Ref367968025"/>
      <w:bookmarkStart w:id="1593" w:name="_Ref367971060"/>
      <w:bookmarkStart w:id="1594" w:name="_Ref367975150"/>
      <w:bookmarkStart w:id="1595" w:name="_Ref367975543"/>
      <w:bookmarkStart w:id="1596" w:name="_Toc368932208"/>
      <w:bookmarkStart w:id="1597" w:name="_Toc374348484"/>
      <w:bookmarkStart w:id="1598" w:name="_Toc375158230"/>
      <w:bookmarkStart w:id="1599" w:name="_Toc398214814"/>
      <w:bookmarkStart w:id="1600" w:name="_Toc420594348"/>
      <w:bookmarkStart w:id="1601" w:name="_Toc421874273"/>
      <w:bookmarkStart w:id="1602" w:name="_Toc422150693"/>
      <w:bookmarkStart w:id="1603" w:name="_Toc448998219"/>
      <w:bookmarkStart w:id="1604" w:name="_Toc486332837"/>
      <w:bookmarkStart w:id="1605" w:name="_Toc1977258"/>
      <w:bookmarkStart w:id="1606" w:name="_Toc37062415"/>
      <w:bookmarkStart w:id="1607" w:name="_Toc88839520"/>
      <w:bookmarkStart w:id="1608" w:name="_Toc121503928"/>
      <w:bookmarkEnd w:id="1587"/>
      <w:bookmarkEnd w:id="1588"/>
      <w:bookmarkEnd w:id="1589"/>
      <w:bookmarkEnd w:id="1590"/>
      <w:r>
        <w:rPr>
          <w:rFonts w:eastAsia="Times New Roman" w:cs="Arial"/>
          <w:b/>
          <w:bCs/>
          <w:iCs/>
          <w:sz w:val="24"/>
          <w:szCs w:val="28"/>
          <w:lang w:eastAsia="en-US"/>
        </w:rPr>
        <w:t>Profile Enabling</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28C49BA4" w14:textId="26C2DA87" w:rsidR="00B97365" w:rsidRDefault="00000000">
      <w:pPr>
        <w:spacing w:before="0" w:after="200" w:line="276" w:lineRule="auto"/>
        <w:jc w:val="left"/>
        <w:rPr>
          <w:szCs w:val="22"/>
          <w:lang w:eastAsia="en-GB" w:bidi="ar-SA"/>
        </w:rPr>
      </w:pPr>
      <w:r>
        <w:rPr>
          <w:rFonts w:cs="Arial"/>
          <w:szCs w:val="22"/>
          <w:lang w:eastAsia="en-GB" w:bidi="ar-SA"/>
        </w:rPr>
        <w:t xml:space="preserve">The Profile Enabling procedure between the Operator and the SM-SR is used to enable a Profile previously downloaded and installed on an eUICC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3.5.5). The procedure is initiated by the Operator owning the Profile to be enabled. The procedure illustrates the usage of SMS as a possible transport protocol between SM-SR and eUICC,</w:t>
      </w:r>
      <w:r>
        <w:rPr>
          <w:color w:val="FF0000"/>
          <w:szCs w:val="22"/>
          <w:lang w:eastAsia="en-GB" w:bidi="ar-SA"/>
        </w:rPr>
        <w:t xml:space="preserve"> </w:t>
      </w:r>
      <w:r>
        <w:rPr>
          <w:szCs w:val="22"/>
          <w:lang w:eastAsia="en-GB" w:bidi="ar-SA"/>
        </w:rPr>
        <w:t>but can also be performed using other transport protocols.</w:t>
      </w:r>
    </w:p>
    <w:p w14:paraId="1993A6EA"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609" w:name="_Toc448998220"/>
      <w:bookmarkStart w:id="1610" w:name="_Toc422150694"/>
      <w:bookmarkStart w:id="1611" w:name="_Toc421874274"/>
      <w:bookmarkStart w:id="1612" w:name="_Toc420594349"/>
      <w:bookmarkStart w:id="1613" w:name="_Toc398214815"/>
      <w:bookmarkStart w:id="1614" w:name="_Toc375158231"/>
      <w:bookmarkStart w:id="1615" w:name="_Toc368932209"/>
      <w:bookmarkStart w:id="1616" w:name="_Ref367971164"/>
      <w:bookmarkStart w:id="1617" w:name="_Ref367971142"/>
      <w:bookmarkStart w:id="1618" w:name="_Ref367971015"/>
      <w:bookmarkStart w:id="1619" w:name="_Ref367971003"/>
      <w:bookmarkStart w:id="1620" w:name="_Toc486332838"/>
      <w:bookmarkStart w:id="1621" w:name="_Toc1977259"/>
      <w:bookmarkStart w:id="1622" w:name="_Toc37062416"/>
      <w:bookmarkStart w:id="1623" w:name="_Toc88839521"/>
      <w:bookmarkStart w:id="1624" w:name="_Toc121503929"/>
      <w:r>
        <w:rPr>
          <w:rFonts w:eastAsia="Times New Roman" w:cs="Arial"/>
          <w:b/>
          <w:bCs/>
          <w:iCs/>
          <w:sz w:val="24"/>
          <w:szCs w:val="26"/>
          <w:lang w:eastAsia="en-US"/>
        </w:rPr>
        <w:t xml:space="preserve">Normal </w:t>
      </w:r>
      <w:r>
        <w:rPr>
          <w:rFonts w:eastAsia="Times New Roman" w:cs="Arial"/>
          <w:b/>
          <w:sz w:val="24"/>
          <w:szCs w:val="26"/>
          <w:lang w:eastAsia="en-US"/>
        </w:rPr>
        <w:t>Case</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50772BA9" w14:textId="4DC6ED09"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szCs w:val="22"/>
          <w:lang w:eastAsia="en-GB" w:bidi="ar-SA"/>
        </w:rPr>
        <w:fldChar w:fldCharType="begin"/>
      </w:r>
      <w:r>
        <w:rPr>
          <w:szCs w:val="22"/>
          <w:lang w:eastAsia="en-GB" w:bidi="ar-SA"/>
        </w:rPr>
        <w:instrText xml:space="preserve"> REF _Ref373940957 \r \h </w:instrText>
      </w:r>
      <w:r>
        <w:rPr>
          <w:szCs w:val="22"/>
          <w:lang w:eastAsia="en-GB" w:bidi="ar-SA"/>
        </w:rPr>
      </w:r>
      <w:r>
        <w:rPr>
          <w:szCs w:val="22"/>
          <w:lang w:eastAsia="en-GB" w:bidi="ar-SA"/>
        </w:rPr>
        <w:fldChar w:fldCharType="separate"/>
      </w:r>
      <w:r w:rsidR="001D5AD9">
        <w:rPr>
          <w:szCs w:val="22"/>
          <w:lang w:eastAsia="en-GB" w:bidi="ar-SA"/>
        </w:rPr>
        <w:t>Figure 15</w:t>
      </w:r>
      <w:r>
        <w:rPr>
          <w:szCs w:val="22"/>
          <w:lang w:eastAsia="en-GB" w:bidi="ar-SA"/>
        </w:rPr>
        <w:fldChar w:fldCharType="end"/>
      </w:r>
      <w:r>
        <w:rPr>
          <w:szCs w:val="22"/>
          <w:lang w:eastAsia="en-GB" w:bidi="ar-SA"/>
        </w:rPr>
        <w:t xml:space="preserve"> describes the normal case where the target Profile can successfully be enabled.</w:t>
      </w:r>
    </w:p>
    <w:p w14:paraId="06D2C54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5EE6977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4F4EBC2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1A94F5E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5FAAF25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3C20CA4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50FBEBB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B8FA07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000C5AF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50A65E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2AF46D9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“Operator2” as OP2 #FFFFFF</w:t>
      </w:r>
    </w:p>
    <w:p w14:paraId="7E1E23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“Operator1” as OP1 #FFFFFF</w:t>
      </w:r>
    </w:p>
    <w:p w14:paraId="6534D0E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363F9D9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“Device” as DEV #FFFFFF</w:t>
      </w:r>
    </w:p>
    <w:p w14:paraId="418E6C7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box “eUICC” #FFFFFF</w:t>
      </w:r>
    </w:p>
    <w:p w14:paraId="0FE5238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649087E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17BB441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62F50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OP1-&gt;&gt;SR: (1) EnableProfile(eid, iccid)</w:t>
      </w:r>
    </w:p>
    <w:p w14:paraId="602F9F1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1DF7A48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406FA11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583C53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Failed</w:t>
      </w:r>
    </w:p>
    <w:p w14:paraId="7B31FBB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 MT-SMS [ES5.STORE DATA command]SCP80</w:t>
      </w:r>
    </w:p>
    <w:p w14:paraId="479182E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34589ED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Enforce POL1</w:t>
      </w:r>
    </w:p>
    <w:p w14:paraId="46D217F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4EE164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[ES5.STORE DATA command Failed response]SCP80</w:t>
      </w:r>
    </w:p>
    <w:p w14:paraId="3CD885F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Failed</w:t>
      </w:r>
    </w:p>
    <w:p w14:paraId="59974F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1CD4E99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Enable ISD-P</w:t>
      </w:r>
    </w:p>
    <w:p w14:paraId="2F11EC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DB9D90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[ES5.STORE DATA command response]SCP80</w:t>
      </w:r>
    </w:p>
    <w:p w14:paraId="3DC767C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(6a) Failed</w:t>
      </w:r>
    </w:p>
    <w:p w14:paraId="25E4809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(7) REFRESH, (UICC reset)</w:t>
      </w:r>
    </w:p>
    <w:p w14:paraId="4A2668D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3E90D23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with the enabled profile</w:t>
      </w:r>
    </w:p>
    <w:p w14:paraId="54DDD7E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DB0BB2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6008487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SR #FFFFFF</w:t>
      </w:r>
    </w:p>
    <w:p w14:paraId="38CFF44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(9)                 Notification procedure over SMS                         </w:t>
      </w:r>
    </w:p>
    <w:p w14:paraId="1CDA86A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066DA0F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36C5292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44C9907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(10) Check POL2</w:t>
      </w:r>
    </w:p>
    <w:p w14:paraId="03B72A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4F4957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(11) Cond.:  MT-SMS [ES5.DELETE command]SCP80</w:t>
      </w:r>
    </w:p>
    <w:p w14:paraId="5616B1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3FAA08B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(11a) Enforce POL1</w:t>
      </w:r>
    </w:p>
    <w:p w14:paraId="791D456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2FC29A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[ES5.DELETE command FAILED response]SCP80</w:t>
      </w:r>
    </w:p>
    <w:p w14:paraId="4ED5DBB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Failed</w:t>
      </w:r>
    </w:p>
    <w:p w14:paraId="7D5B717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381CEEF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(11b) Delete disabled ISD-P</w:t>
      </w:r>
    </w:p>
    <w:p w14:paraId="490798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and contained profile</w:t>
      </w:r>
    </w:p>
    <w:p w14:paraId="43741C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876856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(11c) MO-SMS [ES5.DELETE command response]SCP80</w:t>
      </w:r>
    </w:p>
    <w:p w14:paraId="55E8F35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64CC6DE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(12) Update EIS</w:t>
      </w:r>
    </w:p>
    <w:p w14:paraId="11A034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A124FF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(13) Profile enabling result</w:t>
      </w:r>
    </w:p>
    <w:p w14:paraId="3B93165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SR-&gt;&gt;OP2: (14) HandleProfileDisabledNotification(eid, iccid2)</w:t>
      </w:r>
    </w:p>
    <w:p w14:paraId="14CBFBD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(15) HandleProfileEnabledNotification (eid, iccid)</w:t>
      </w:r>
    </w:p>
    <w:p w14:paraId="708A30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(16) HandleProfileDisabledNotification (eid, iccid2)</w:t>
      </w:r>
    </w:p>
    <w:p w14:paraId="006D586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DE4C59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4C7E6809" w14:textId="77777777" w:rsidR="00B97365" w:rsidRDefault="00000000">
      <w:pPr>
        <w:rPr>
          <w:rFonts w:cs="Courier New"/>
          <w:noProof/>
          <w:color w:val="008000"/>
          <w:sz w:val="18"/>
        </w:rPr>
      </w:pPr>
      <w:r>
        <w:rPr>
          <w:rFonts w:cs="Courier New"/>
          <w:noProof/>
          <w:color w:val="008000"/>
          <w:sz w:val="18"/>
          <w:lang w:eastAsia="en-GB" w:bidi="ar-SA"/>
        </w:rPr>
        <w:lastRenderedPageBreak/>
        <w:drawing>
          <wp:inline distT="0" distB="0" distL="0" distR="0" wp14:anchorId="4DFA913D" wp14:editId="20A2C00E">
            <wp:extent cx="5731510" cy="4757952"/>
            <wp:effectExtent l="0" t="0" r="2540" b="5080"/>
            <wp:docPr id="434" name="Picture 43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
                    <pic:cNvPicPr/>
                  </pic:nvPicPr>
                  <pic:blipFill>
                    <a:blip r:embed="rId50">
                      <a:extLst>
                        <a:ext uri="{28A0092B-C50C-407E-A947-70E740481C1C}">
                          <a14:useLocalDpi xmlns:a14="http://schemas.microsoft.com/office/drawing/2010/main" val="0"/>
                        </a:ext>
                      </a:extLst>
                    </a:blip>
                    <a:stretch>
                      <a:fillRect/>
                    </a:stretch>
                  </pic:blipFill>
                  <pic:spPr>
                    <a:xfrm>
                      <a:off x="0" y="0"/>
                      <a:ext cx="5731510" cy="4757952"/>
                    </a:xfrm>
                    <a:prstGeom prst="rect">
                      <a:avLst/>
                    </a:prstGeom>
                  </pic:spPr>
                </pic:pic>
              </a:graphicData>
            </a:graphic>
          </wp:inline>
        </w:drawing>
      </w:r>
    </w:p>
    <w:p w14:paraId="286A0FA4" w14:textId="77777777" w:rsidR="00B97365" w:rsidRDefault="00B97365">
      <w:pPr>
        <w:jc w:val="center"/>
        <w:rPr>
          <w:rFonts w:cs="Arial"/>
          <w:sz w:val="20"/>
        </w:rPr>
      </w:pPr>
    </w:p>
    <w:p w14:paraId="07E6CF6A"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1625" w:name="_Ref373940957"/>
      <w:r>
        <w:rPr>
          <w:rFonts w:cs="Arial"/>
          <w:b/>
          <w:szCs w:val="22"/>
          <w:lang w:val="en-US" w:eastAsia="en-GB" w:bidi="ar-SA"/>
        </w:rPr>
        <w:t>: Profile Enabling, Success Case</w:t>
      </w:r>
      <w:bookmarkEnd w:id="1625"/>
    </w:p>
    <w:p w14:paraId="3CAFB7E7"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626" w:name="_Toc420594350"/>
      <w:r>
        <w:rPr>
          <w:rFonts w:cs="Arial"/>
          <w:b/>
          <w:noProof/>
          <w:szCs w:val="22"/>
          <w:lang w:eastAsia="en-GB" w:bidi="ar-SA"/>
        </w:rPr>
        <w:t>Start Conditions:</w:t>
      </w:r>
      <w:bookmarkEnd w:id="1626"/>
    </w:p>
    <w:p w14:paraId="3C2EDAB5" w14:textId="4A063616"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6C8917A9" w14:textId="77777777" w:rsidR="00B97365" w:rsidRDefault="00000000">
      <w:pPr>
        <w:tabs>
          <w:tab w:val="left" w:pos="397"/>
          <w:tab w:val="right" w:pos="9015"/>
        </w:tabs>
        <w:spacing w:before="0" w:after="40" w:line="276" w:lineRule="auto"/>
        <w:ind w:left="397" w:right="680" w:hanging="397"/>
        <w:jc w:val="left"/>
        <w:rPr>
          <w:b/>
          <w:noProof/>
          <w:szCs w:val="22"/>
        </w:rPr>
      </w:pPr>
      <w:bookmarkStart w:id="1627" w:name="_Toc420594351"/>
      <w:r>
        <w:rPr>
          <w:rFonts w:cs="Arial"/>
          <w:b/>
          <w:noProof/>
          <w:szCs w:val="22"/>
        </w:rPr>
        <w:t>Procedure:</w:t>
      </w:r>
      <w:bookmarkEnd w:id="1627"/>
    </w:p>
    <w:p w14:paraId="625D9A4A" w14:textId="77777777" w:rsidR="00B97365" w:rsidRDefault="00000000">
      <w:pPr>
        <w:numPr>
          <w:ilvl w:val="0"/>
          <w:numId w:val="105"/>
        </w:numPr>
      </w:pPr>
      <w:r>
        <w:t xml:space="preserve">Operator1, of the target Profile SHALL call the </w:t>
      </w:r>
      <w:r>
        <w:rPr>
          <w:b/>
        </w:rPr>
        <w:t>“ES4.EnableProfile”</w:t>
      </w:r>
      <w:r>
        <w:t xml:space="preserve"> function with its relevant input data. </w:t>
      </w:r>
    </w:p>
    <w:p w14:paraId="3BF4F84D" w14:textId="56F2B545" w:rsidR="00B97365" w:rsidRDefault="00000000">
      <w:pPr>
        <w:numPr>
          <w:ilvl w:val="0"/>
          <w:numId w:val="105"/>
        </w:numPr>
      </w:pPr>
      <w:r>
        <w:t xml:space="preserve">The SM-SR SHALL verify that the Operator1 request is acceptable (the verifications that the SM-SR SHALL perform are described in the section </w:t>
      </w:r>
      <w:r>
        <w:fldChar w:fldCharType="begin"/>
      </w:r>
      <w:r>
        <w:instrText xml:space="preserve"> REF _Ref367970625 \r \h  \* MERGEFORMAT </w:instrText>
      </w:r>
      <w:r>
        <w:fldChar w:fldCharType="separate"/>
      </w:r>
      <w:r w:rsidR="001D5AD9">
        <w:t>5.5.5</w:t>
      </w:r>
      <w:r>
        <w:fldChar w:fldCharType="end"/>
      </w:r>
      <w:r>
        <w:t>), and in particular evaluates POL2 of the currently Enabled Profile. If any of the conditions to be verified are not satisfied, the SM-SR SHALL return a response indicating the failure, and the procedure SHALL end.</w:t>
      </w:r>
    </w:p>
    <w:p w14:paraId="3FE67FA2" w14:textId="655A0704" w:rsidR="00B97365" w:rsidRDefault="00000000">
      <w:pPr>
        <w:numPr>
          <w:ilvl w:val="0"/>
          <w:numId w:val="105"/>
        </w:numPr>
      </w:pPr>
      <w:r>
        <w:t>The SM-SR SHALL send an MT-SMS containing the “</w:t>
      </w:r>
      <w:r>
        <w:rPr>
          <w:b/>
        </w:rPr>
        <w:t>ES5.STORE DATA</w:t>
      </w:r>
      <w:r>
        <w:t xml:space="preserve">” command for Profile enabling with its relevant input data (see section </w:t>
      </w:r>
      <w:r>
        <w:fldChar w:fldCharType="begin"/>
      </w:r>
      <w:r>
        <w:instrText xml:space="preserve"> REF _Ref367970653 \r \h  \* MERGEFORMAT </w:instrText>
      </w:r>
      <w:r>
        <w:fldChar w:fldCharType="separate"/>
      </w:r>
      <w:r w:rsidR="001D5AD9">
        <w:t>4.1.1.2</w:t>
      </w:r>
      <w:r>
        <w:fldChar w:fldCharType="end"/>
      </w:r>
      <w:r>
        <w:t>) to the ISD-R. The SM-SR SHALL request a PoR to get the execution status of the “</w:t>
      </w:r>
      <w:r>
        <w:rPr>
          <w:b/>
        </w:rPr>
        <w:t>ES5.STORE DATA</w:t>
      </w:r>
      <w:r>
        <w:t>” command.</w:t>
      </w:r>
    </w:p>
    <w:p w14:paraId="08BB45A4" w14:textId="77777777" w:rsidR="00B97365" w:rsidRDefault="00000000">
      <w:pPr>
        <w:numPr>
          <w:ilvl w:val="0"/>
          <w:numId w:val="105"/>
        </w:numPr>
      </w:pPr>
      <w:r>
        <w:t>The ISD-R SHALL enforce POL1 of the currently Enabled Profile. If POL1 rejects enabling of the target Profile, the ISD-R SHALL return directly the MO-SMS containing the response indicating a failure, and the procedure SHALL end.</w:t>
      </w:r>
    </w:p>
    <w:p w14:paraId="136B6B9D" w14:textId="77777777" w:rsidR="00B97365" w:rsidRDefault="00000000">
      <w:pPr>
        <w:numPr>
          <w:ilvl w:val="0"/>
          <w:numId w:val="105"/>
        </w:numPr>
      </w:pPr>
      <w:r>
        <w:lastRenderedPageBreak/>
        <w:t>If POL1 allows, the ISD-R SHALL disable the currently enabled ISD-P and enable the targeted ISD-P.</w:t>
      </w:r>
    </w:p>
    <w:p w14:paraId="1B0C2102" w14:textId="366AE0EE" w:rsidR="00B97365" w:rsidRDefault="00000000">
      <w:pPr>
        <w:tabs>
          <w:tab w:val="left" w:pos="1560"/>
        </w:tabs>
        <w:ind w:left="1560" w:hanging="1220"/>
        <w:rPr>
          <w:lang w:eastAsia="en-GB"/>
        </w:rPr>
      </w:pPr>
      <w:r>
        <w:rPr>
          <w:rFonts w:cs="Arial"/>
          <w:lang w:eastAsia="en-GB"/>
        </w:rPr>
        <w:t xml:space="preserve">NOTE: </w:t>
      </w:r>
      <w:r>
        <w:rPr>
          <w:rFonts w:cs="Arial"/>
          <w:lang w:eastAsia="en-GB"/>
        </w:rPr>
        <w:tab/>
        <w:t xml:space="preserve">Profile change includes a change of the IMSI that is used to attach to the network. As indicated in 3GPP TS 31.102 </w:t>
      </w:r>
      <w:r>
        <w:rPr>
          <w:lang w:eastAsia="en-GB"/>
        </w:rPr>
        <w:fldChar w:fldCharType="begin"/>
      </w:r>
      <w:r>
        <w:rPr>
          <w:lang w:eastAsia="en-GB"/>
        </w:rPr>
        <w:instrText xml:space="preserve"> REF _Ref421632746 \r \h </w:instrText>
      </w:r>
      <w:r>
        <w:rPr>
          <w:lang w:eastAsia="en-GB"/>
        </w:rPr>
      </w:r>
      <w:r>
        <w:rPr>
          <w:lang w:eastAsia="en-GB"/>
        </w:rPr>
        <w:fldChar w:fldCharType="separate"/>
      </w:r>
      <w:r w:rsidR="001D5AD9">
        <w:rPr>
          <w:lang w:eastAsia="en-GB"/>
        </w:rPr>
        <w:t>[52]</w:t>
      </w:r>
      <w:r>
        <w:rPr>
          <w:lang w:eastAsia="en-GB"/>
        </w:rPr>
        <w:fldChar w:fldCharType="end"/>
      </w:r>
      <w:r>
        <w:rPr>
          <w:lang w:eastAsia="en-GB"/>
        </w:rPr>
        <w:t>, such a change requires special caution and should always be accompanied by a REFRESH command to avoid inconsistent information being read by the terminal. So while the targeted ISD-P is marked as enabled in this step, it MAY actually become effective after the terminal executes the REFRESH command.</w:t>
      </w:r>
    </w:p>
    <w:p w14:paraId="3B5AFB54" w14:textId="77777777" w:rsidR="00B97365" w:rsidRDefault="00000000">
      <w:pPr>
        <w:numPr>
          <w:ilvl w:val="0"/>
          <w:numId w:val="105"/>
        </w:numPr>
      </w:pPr>
      <w:r>
        <w:t>The ISD-R SHALL return the MO-SMS containing the execution status of the “</w:t>
      </w:r>
      <w:r>
        <w:rPr>
          <w:b/>
        </w:rPr>
        <w:t>ES5.STORE DATA</w:t>
      </w:r>
      <w:r>
        <w:t>” command to the SM-SR.</w:t>
      </w:r>
    </w:p>
    <w:p w14:paraId="2C68A8CC" w14:textId="77777777" w:rsidR="00B97365" w:rsidRDefault="00000000">
      <w:pPr>
        <w:ind w:left="709" w:hanging="709"/>
        <w:rPr>
          <w:rFonts w:cs="Arial"/>
        </w:rPr>
      </w:pPr>
      <w:r>
        <w:rPr>
          <w:rFonts w:cs="Arial"/>
        </w:rPr>
        <w:t>(6a)</w:t>
      </w:r>
      <w:r>
        <w:rPr>
          <w:rFonts w:cs="Arial"/>
        </w:rPr>
        <w:tab/>
        <w:t>If the response to the “</w:t>
      </w:r>
      <w:r>
        <w:rPr>
          <w:rFonts w:cs="Arial"/>
          <w:b/>
        </w:rPr>
        <w:t>ES5.STORE DATA</w:t>
      </w:r>
      <w:r>
        <w:rPr>
          <w:rFonts w:cs="Arial"/>
        </w:rPr>
        <w:t>” command indicates a failure, the SM-SR SHALL return a response indicating the failure to Operator1, and the procedure SHALL end.</w:t>
      </w:r>
    </w:p>
    <w:p w14:paraId="4620676F" w14:textId="77777777" w:rsidR="00B97365" w:rsidRDefault="00000000">
      <w:pPr>
        <w:numPr>
          <w:ilvl w:val="0"/>
          <w:numId w:val="105"/>
        </w:numPr>
      </w:pPr>
      <w:r>
        <w:t>The ISD-R SHALL send a REFRESH proactive command in UICC reset mode to the Device. This will trigger the execution of a network attach procedure.</w:t>
      </w:r>
    </w:p>
    <w:p w14:paraId="642CF88B" w14:textId="6F7ABC93" w:rsidR="00B97365" w:rsidRDefault="00000000">
      <w:pPr>
        <w:tabs>
          <w:tab w:val="left" w:pos="1560"/>
        </w:tabs>
        <w:spacing w:before="0" w:after="200" w:line="276" w:lineRule="auto"/>
        <w:ind w:left="1560" w:hanging="1276"/>
        <w:jc w:val="left"/>
      </w:pPr>
      <w:r>
        <w:rPr>
          <w:rFonts w:cs="Arial"/>
          <w:szCs w:val="22"/>
          <w:lang w:eastAsia="en-GB" w:bidi="ar-SA"/>
        </w:rPr>
        <w:t xml:space="preserve">NOTE: </w:t>
      </w:r>
      <w:r>
        <w:rPr>
          <w:rFonts w:cs="Arial"/>
          <w:szCs w:val="22"/>
          <w:lang w:eastAsia="en-GB" w:bidi="ar-SA"/>
        </w:rPr>
        <w:tab/>
        <w:t xml:space="preserve">In case of any error after this step, indicating that the currently Enabled Profile cannot provide connectivity, the ISD-R SHALL re-enable the </w:t>
      </w:r>
      <w:r>
        <w:t xml:space="preserve">previously Enabled Profile as described in section </w:t>
      </w:r>
      <w:r>
        <w:fldChar w:fldCharType="begin"/>
      </w:r>
      <w:r>
        <w:instrText xml:space="preserve"> REF _Ref367970690 \r \h  \* MERGEFORMAT </w:instrText>
      </w:r>
      <w:r>
        <w:fldChar w:fldCharType="separate"/>
      </w:r>
      <w:r w:rsidR="001D5AD9">
        <w:t>3.2.2</w:t>
      </w:r>
      <w:r>
        <w:fldChar w:fldCharType="end"/>
      </w:r>
      <w:r>
        <w:t>.</w:t>
      </w:r>
    </w:p>
    <w:p w14:paraId="2C47E9ED" w14:textId="77777777" w:rsidR="00B97365" w:rsidRDefault="00000000">
      <w:pPr>
        <w:numPr>
          <w:ilvl w:val="0"/>
          <w:numId w:val="105"/>
        </w:numPr>
      </w:pPr>
      <w:r>
        <w:t>The eUICC and the Device SHALL perform a network attach procedure with the newly Enabled Profile.</w:t>
      </w:r>
    </w:p>
    <w:p w14:paraId="5DE6057C" w14:textId="108484E8" w:rsidR="00B97365" w:rsidRDefault="00000000">
      <w:pPr>
        <w:numPr>
          <w:ilvl w:val="0"/>
          <w:numId w:val="105"/>
        </w:numPr>
      </w:pPr>
      <w:r>
        <w:t xml:space="preserve">The eUICC SHALL perform the notification procedure as described in section </w:t>
      </w:r>
      <w:r>
        <w:fldChar w:fldCharType="begin"/>
      </w:r>
      <w:r>
        <w:instrText xml:space="preserve"> REF _Ref367972946 \r \h  \* MERGEFORMAT </w:instrText>
      </w:r>
      <w:r>
        <w:fldChar w:fldCharType="separate"/>
      </w:r>
      <w:r w:rsidR="001D5AD9">
        <w:t>4.1.1.11</w:t>
      </w:r>
      <w:r>
        <w:fldChar w:fldCharType="end"/>
      </w:r>
      <w:r>
        <w:t>. During this procedure, if the ISD-R doesn’t succeed in sending the SMS notification (after having exhausted all possible retries), or doesn’t receive the SM-SR notification confirmation (“</w:t>
      </w:r>
      <w:r>
        <w:rPr>
          <w:b/>
        </w:rPr>
        <w:t>ES5.HandleNotificationConfirmation</w:t>
      </w:r>
      <w:r>
        <w:t>” command), the ISD-R SHALL consider this as an error, and the previous note SHALL apply.</w:t>
      </w:r>
      <w:r>
        <w:tab/>
        <w:t>After successfully verifying the content of the notification confirmation received from the SM-SR (which confirms that the newly Enabled Profile provides connectivity), the eUICC SHALL no longer attempt to re-enable the previously Enabled Profile.</w:t>
      </w:r>
      <w:r>
        <w:tab/>
      </w:r>
      <w:r>
        <w:br/>
        <w:t>After this verification, if POL1 of the now Disabled Profile contains the rule “Profile deletion is mandatory when it is disabled”, and this Profile does not have the Fall-Back Attribute set, the ISD-R SHALL delete the disabled ISD-P and the contained Profile. The eUICC SHALL send the response to the notification confirmation indicating whether the disabled ISD-P has been deleted or not.</w:t>
      </w:r>
    </w:p>
    <w:p w14:paraId="5C6D3E76" w14:textId="50892389" w:rsidR="00B97365" w:rsidRDefault="00000000">
      <w:pPr>
        <w:tabs>
          <w:tab w:val="left" w:pos="1560"/>
        </w:tabs>
        <w:spacing w:before="200"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 xml:space="preserve">If the SM-SR receives the notification after the expiration of the Validity Period (which was provided to the SM-SR for this function call), it will not send the notification confirmation (see section </w:t>
      </w:r>
      <w:r>
        <w:rPr>
          <w:szCs w:val="22"/>
          <w:lang w:eastAsia="en-GB" w:bidi="ar-SA"/>
        </w:rPr>
        <w:fldChar w:fldCharType="begin"/>
      </w:r>
      <w:r>
        <w:rPr>
          <w:szCs w:val="22"/>
          <w:lang w:eastAsia="en-GB" w:bidi="ar-SA"/>
        </w:rPr>
        <w:instrText xml:space="preserve"> REF _Ref40219745 \r \h </w:instrText>
      </w:r>
      <w:r>
        <w:rPr>
          <w:szCs w:val="22"/>
          <w:lang w:eastAsia="en-GB" w:bidi="ar-SA"/>
        </w:rPr>
      </w:r>
      <w:r>
        <w:rPr>
          <w:szCs w:val="22"/>
          <w:lang w:eastAsia="en-GB" w:bidi="ar-SA"/>
        </w:rPr>
        <w:fldChar w:fldCharType="separate"/>
      </w:r>
      <w:r w:rsidR="001D5AD9">
        <w:rPr>
          <w:szCs w:val="22"/>
          <w:lang w:eastAsia="en-GB" w:bidi="ar-SA"/>
        </w:rPr>
        <w:t>3.15.1</w:t>
      </w:r>
      <w:r>
        <w:rPr>
          <w:szCs w:val="22"/>
          <w:lang w:eastAsia="en-GB" w:bidi="ar-SA"/>
        </w:rPr>
        <w:fldChar w:fldCharType="end"/>
      </w:r>
      <w:r>
        <w:rPr>
          <w:szCs w:val="22"/>
          <w:lang w:eastAsia="en-GB" w:bidi="ar-SA"/>
        </w:rPr>
        <w:t>).</w:t>
      </w:r>
    </w:p>
    <w:p w14:paraId="66021B98" w14:textId="77777777" w:rsidR="00B97365" w:rsidRDefault="00000000">
      <w:pPr>
        <w:ind w:left="709" w:hanging="709"/>
      </w:pPr>
      <w:r>
        <w:t>(</w:t>
      </w:r>
      <w:r>
        <w:rPr>
          <w:rFonts w:cs="Arial"/>
        </w:rPr>
        <w:t>9a)</w:t>
      </w:r>
      <w:r>
        <w:rPr>
          <w:rFonts w:cs="Arial"/>
        </w:rPr>
        <w:tab/>
        <w:t>If the previously Enabled Profile (now Disabled) has the Fall-Back Attribute, and its POL1 contains the rule “Profile deletion is mandatory when its state is changed to disabled”, this rule SHALL be ignored according to Sections 2.4 and 3.6.3.2 in GSMA Remote Provisioning Architecture for the Embedded UICC [1], and the procedure SHALL continue at step 10.</w:t>
      </w:r>
    </w:p>
    <w:p w14:paraId="79E9712E" w14:textId="77777777" w:rsidR="00B97365" w:rsidRDefault="00000000">
      <w:pPr>
        <w:numPr>
          <w:ilvl w:val="0"/>
          <w:numId w:val="105"/>
        </w:numPr>
      </w:pPr>
      <w:r>
        <w:t>On reception of the “</w:t>
      </w:r>
      <w:r>
        <w:rPr>
          <w:b/>
        </w:rPr>
        <w:t>ES5.HandleNotificationConfirmation</w:t>
      </w:r>
      <w:r>
        <w:t>” response, and if this response indicates that the Disabled Profile has not been deleted, the SM-SR SHALL evaluate POL2 of the Disabled Profile. If POL2 of the Disabled Profile contains the rule “</w:t>
      </w:r>
      <w:r>
        <w:rPr>
          <w:rFonts w:eastAsia="Times New Roman" w:cs="Arial"/>
          <w:bCs/>
          <w:lang w:val="en-US"/>
        </w:rPr>
        <w:t>Profile deletion is mandatory when it is disabled</w:t>
      </w:r>
      <w:r>
        <w:t>”, the SM-SR SHALL perform step (11), else it SHALL jump to step (12).</w:t>
      </w:r>
    </w:p>
    <w:p w14:paraId="0BA7DF2F" w14:textId="03F6F5C9" w:rsidR="00B97365" w:rsidRDefault="00000000">
      <w:pPr>
        <w:numPr>
          <w:ilvl w:val="0"/>
          <w:numId w:val="105"/>
        </w:numPr>
      </w:pPr>
      <w:r>
        <w:lastRenderedPageBreak/>
        <w:t>The SM-SR SHALL send an MT-SMS containing the “</w:t>
      </w:r>
      <w:r>
        <w:rPr>
          <w:b/>
        </w:rPr>
        <w:t>ES5.DELETE</w:t>
      </w:r>
      <w:r>
        <w:t xml:space="preserve">” command with its relevant input data (see section </w:t>
      </w:r>
      <w:r>
        <w:fldChar w:fldCharType="begin"/>
      </w:r>
      <w:r>
        <w:instrText xml:space="preserve"> REF _Ref367970790 \r \h  \* MERGEFORMAT </w:instrText>
      </w:r>
      <w:r>
        <w:fldChar w:fldCharType="separate"/>
      </w:r>
      <w:r w:rsidR="001D5AD9">
        <w:t>4.1.1.4</w:t>
      </w:r>
      <w:r>
        <w:fldChar w:fldCharType="end"/>
      </w:r>
      <w:r>
        <w:t>) to the ISD-R, targeting the Disabled Profile. The SM-SR SHALL request a PoR to get the execution status of the “</w:t>
      </w:r>
      <w:r>
        <w:rPr>
          <w:b/>
        </w:rPr>
        <w:t>ES5.DELETE</w:t>
      </w:r>
      <w:r>
        <w:t>” command.</w:t>
      </w:r>
    </w:p>
    <w:p w14:paraId="4229D016" w14:textId="77777777" w:rsidR="00B97365" w:rsidRDefault="00000000">
      <w:pPr>
        <w:ind w:left="709" w:hanging="709"/>
        <w:rPr>
          <w:rFonts w:cs="Arial"/>
        </w:rPr>
      </w:pPr>
      <w:r>
        <w:rPr>
          <w:rFonts w:cs="Arial"/>
        </w:rPr>
        <w:t>(11a)</w:t>
      </w:r>
      <w:r>
        <w:rPr>
          <w:rFonts w:cs="Arial"/>
        </w:rPr>
        <w:tab/>
        <w:t xml:space="preserve">The ISD-R SHALL enforce POL1 of the target Profile. If POL1 rejects the deletion of the target Profile, the ISD-R SHALL return the MO-SMS containing the response indicating the corresponding failure, and the procedure SHALL end. </w:t>
      </w:r>
    </w:p>
    <w:p w14:paraId="5920B6CE" w14:textId="77777777" w:rsidR="00B97365" w:rsidRDefault="00000000">
      <w:pPr>
        <w:ind w:left="709" w:hanging="709"/>
        <w:rPr>
          <w:rFonts w:cs="Arial"/>
        </w:rPr>
      </w:pPr>
      <w:r>
        <w:rPr>
          <w:rFonts w:cs="Arial"/>
        </w:rPr>
        <w:t>(11b)</w:t>
      </w:r>
      <w:r>
        <w:rPr>
          <w:rFonts w:cs="Arial"/>
        </w:rPr>
        <w:tab/>
        <w:t>If POL1 allows its deletion, the ISD-R SHALL delete the targeted ISD-P and the contained Profile.</w:t>
      </w:r>
    </w:p>
    <w:p w14:paraId="5711DC5E" w14:textId="77777777" w:rsidR="00B97365" w:rsidRDefault="00000000">
      <w:pPr>
        <w:ind w:left="709" w:hanging="709"/>
        <w:rPr>
          <w:rFonts w:cs="Arial"/>
        </w:rPr>
      </w:pPr>
      <w:r>
        <w:rPr>
          <w:rFonts w:cs="Arial"/>
        </w:rPr>
        <w:t>(11c)</w:t>
      </w:r>
      <w:r>
        <w:rPr>
          <w:rFonts w:cs="Arial"/>
        </w:rPr>
        <w:tab/>
        <w:t>The ISD-R SHALL return the MO-SMS to the SM-SR containing the execution status of the “</w:t>
      </w:r>
      <w:r>
        <w:rPr>
          <w:rFonts w:cs="Arial"/>
          <w:b/>
        </w:rPr>
        <w:t>ES5.DELETE</w:t>
      </w:r>
      <w:r>
        <w:rPr>
          <w:rFonts w:cs="Arial"/>
        </w:rPr>
        <w:t xml:space="preserve">” command. </w:t>
      </w:r>
    </w:p>
    <w:p w14:paraId="633FF2B0" w14:textId="77777777" w:rsidR="00B97365" w:rsidRDefault="00000000">
      <w:pPr>
        <w:numPr>
          <w:ilvl w:val="0"/>
          <w:numId w:val="105"/>
        </w:numPr>
      </w:pPr>
      <w:r>
        <w:t>According to the executed sequence and the eUICC responses, the SM-SR SHALL update the EIS to reflect that:</w:t>
      </w:r>
    </w:p>
    <w:p w14:paraId="274E4366"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The target Profile has been enabled</w:t>
      </w:r>
    </w:p>
    <w:p w14:paraId="007C6465"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The previously Enabled Profile has been disabled or deleted.</w:t>
      </w:r>
    </w:p>
    <w:p w14:paraId="3F241CFB" w14:textId="77777777" w:rsidR="00B97365" w:rsidRDefault="00B97365">
      <w:pPr>
        <w:tabs>
          <w:tab w:val="left" w:pos="993"/>
        </w:tabs>
        <w:spacing w:before="0" w:after="200" w:line="276" w:lineRule="auto"/>
        <w:ind w:left="567"/>
        <w:contextualSpacing/>
        <w:jc w:val="left"/>
        <w:rPr>
          <w:rFonts w:cs="Arial"/>
          <w:szCs w:val="22"/>
          <w:lang w:eastAsia="en-GB" w:bidi="ar-SA"/>
        </w:rPr>
      </w:pPr>
    </w:p>
    <w:p w14:paraId="67789C0E" w14:textId="77777777" w:rsidR="00B97365" w:rsidRDefault="00000000">
      <w:pPr>
        <w:tabs>
          <w:tab w:val="left" w:pos="1560"/>
        </w:tabs>
        <w:spacing w:before="0" w:line="276" w:lineRule="auto"/>
        <w:ind w:left="1560" w:hanging="1203"/>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POL1 and POL2 MAY have different content. As a consequence, both the eUICC and the SM-SR have to ensure the ISD-P deletion based on their respective Policy. </w:t>
      </w:r>
    </w:p>
    <w:p w14:paraId="1907A658" w14:textId="77777777" w:rsidR="00B97365" w:rsidRDefault="00000000">
      <w:pPr>
        <w:numPr>
          <w:ilvl w:val="0"/>
          <w:numId w:val="105"/>
        </w:numPr>
      </w:pPr>
      <w:r>
        <w:t>The SM-SR SHALL return the response to the “</w:t>
      </w:r>
      <w:r>
        <w:rPr>
          <w:b/>
        </w:rPr>
        <w:t>ES4.EnableProfile</w:t>
      </w:r>
      <w:r>
        <w:t>” function to Operator1, indicating that the Profile has been enabled.</w:t>
      </w:r>
    </w:p>
    <w:p w14:paraId="55854EF7" w14:textId="77777777" w:rsidR="00B97365" w:rsidRDefault="00000000">
      <w:pPr>
        <w:numPr>
          <w:ilvl w:val="0"/>
          <w:numId w:val="105"/>
        </w:numPr>
      </w:pPr>
      <w:r>
        <w:t>Unless Operator2 has set an ONC (Operator Notifications Configuration) to not receive those notifications, the SM-SR SHALL send the “</w:t>
      </w:r>
      <w:r>
        <w:rPr>
          <w:b/>
        </w:rPr>
        <w:t>ES4.HandleProfileDisabledNotification</w:t>
      </w:r>
      <w:r>
        <w:t>” or “</w:t>
      </w:r>
      <w:r>
        <w:rPr>
          <w:b/>
        </w:rPr>
        <w:t>ES4.HandleProfileDeletedNotification</w:t>
      </w:r>
      <w:r>
        <w:t>” (if deletion was triggered by the evaluation of POL1 and POL2) to Operator2, the owner of the Profile that was enabled at the beginning of the procedure. In case Operator2 has no direct connection with the SM-SR (SM-SR SHALL be able to detect such a situation based on its own database), the SM-SR SHALL send this notification to the SM-DP authorised by Operator2 by calling the “</w:t>
      </w:r>
      <w:r>
        <w:rPr>
          <w:b/>
        </w:rPr>
        <w:t>ES3.HandleProfileDisabledNotification</w:t>
      </w:r>
      <w:r>
        <w:t>” or the “</w:t>
      </w:r>
      <w:r>
        <w:rPr>
          <w:b/>
        </w:rPr>
        <w:t>ES3.HandleProfileDeleted</w:t>
      </w:r>
      <w:r>
        <w:t>Notification”. The SM-SR can retrieve the SM-DP identity based on the EIS content. Then the SM-DP, on reception of this notification, SHALL forward it to Operator2 by calling the “</w:t>
      </w:r>
      <w:r>
        <w:rPr>
          <w:b/>
        </w:rPr>
        <w:t>ES2.HandleProfileDisabledNotification</w:t>
      </w:r>
      <w:r>
        <w:t>” or the “</w:t>
      </w:r>
      <w:r>
        <w:rPr>
          <w:b/>
        </w:rPr>
        <w:t>ES2.HandleProfileDeletedNotification</w:t>
      </w:r>
      <w:r>
        <w:t>”.</w:t>
      </w:r>
    </w:p>
    <w:p w14:paraId="76334121" w14:textId="77777777" w:rsidR="00B97365" w:rsidRDefault="00000000">
      <w:pPr>
        <w:numPr>
          <w:ilvl w:val="0"/>
          <w:numId w:val="105"/>
        </w:numPr>
      </w:pPr>
      <w:r>
        <w:t>The SM-SR SHALL send the "</w:t>
      </w:r>
      <w:r>
        <w:rPr>
          <w:b/>
        </w:rPr>
        <w:t>ES4.HandleProfileEnabledNotification</w:t>
      </w:r>
      <w:r>
        <w:t>" to a M2M SP, if authorised by Operator1 the owner of the Profile that was Disabled at the beginning of the procedure.</w:t>
      </w:r>
    </w:p>
    <w:p w14:paraId="2756824E" w14:textId="77777777" w:rsidR="00B97365" w:rsidRDefault="00000000">
      <w:pPr>
        <w:ind w:left="360"/>
        <w:rPr>
          <w:rFonts w:cs="Arial"/>
          <w:szCs w:val="22"/>
          <w:lang w:eastAsia="en-GB" w:bidi="ar-SA"/>
        </w:rPr>
      </w:pPr>
      <w:r>
        <w:rPr>
          <w:rFonts w:cs="Arial"/>
          <w:szCs w:val="22"/>
          <w:lang w:eastAsia="en-GB" w:bidi="ar-SA"/>
        </w:rPr>
        <w:t>If the M2M SP is another Operator directly connected to the SM-SR and it is authorised by Operator1, the SM-SR SHALL send this notification to this other Operator by calling the “</w:t>
      </w:r>
      <w:r>
        <w:rPr>
          <w:rFonts w:cs="Arial"/>
          <w:b/>
          <w:szCs w:val="22"/>
          <w:lang w:eastAsia="en-GB" w:bidi="ar-SA"/>
        </w:rPr>
        <w:t>ES4.HandleProfileEnabledNotification</w:t>
      </w:r>
      <w:r>
        <w:rPr>
          <w:rFonts w:cs="Arial"/>
          <w:szCs w:val="22"/>
          <w:lang w:eastAsia="en-GB" w:bidi="ar-SA"/>
        </w:rPr>
        <w:t>”.</w:t>
      </w:r>
    </w:p>
    <w:p w14:paraId="3CD1B2CB" w14:textId="77777777" w:rsidR="00B97365" w:rsidRDefault="00000000">
      <w:pPr>
        <w:ind w:left="360"/>
        <w:rPr>
          <w:rFonts w:cs="Arial"/>
          <w:szCs w:val="22"/>
          <w:lang w:eastAsia="en-GB" w:bidi="ar-SA"/>
        </w:rPr>
      </w:pPr>
      <w:r>
        <w:t>If the M2M SP is another Operator connected through its SM-DP and it is authorised by Operator1, the SM-SR SHALL send this notification to the SM-DP associated to this other Operator by calling the “</w:t>
      </w:r>
      <w:r>
        <w:rPr>
          <w:b/>
        </w:rPr>
        <w:t>ES3.HandleProfileEnabledNotification</w:t>
      </w:r>
      <w:r>
        <w:t>”.</w:t>
      </w:r>
    </w:p>
    <w:p w14:paraId="53C4E206" w14:textId="77777777" w:rsidR="00B97365" w:rsidRDefault="00000000">
      <w:pPr>
        <w:ind w:left="360"/>
        <w:rPr>
          <w:rFonts w:cs="Arial"/>
          <w:szCs w:val="22"/>
          <w:lang w:eastAsia="en-GB" w:bidi="ar-SA"/>
        </w:rPr>
      </w:pPr>
      <w:r>
        <w:rPr>
          <w:rFonts w:cs="Arial"/>
          <w:szCs w:val="22"/>
          <w:lang w:eastAsia="en-GB" w:bidi="ar-SA"/>
        </w:rPr>
        <w:t>Then the SM-DP, on reception of this notification, SHALL forward it to the Operator, acting as the M2M SP, by calling the “</w:t>
      </w:r>
      <w:r>
        <w:rPr>
          <w:rFonts w:cs="Arial"/>
          <w:b/>
          <w:szCs w:val="22"/>
          <w:lang w:eastAsia="en-GB" w:bidi="ar-SA"/>
        </w:rPr>
        <w:t>ES2.HandleProfileEnabledNotification</w:t>
      </w:r>
      <w:r>
        <w:rPr>
          <w:rFonts w:cs="Arial"/>
          <w:szCs w:val="22"/>
          <w:lang w:eastAsia="en-GB" w:bidi="ar-SA"/>
        </w:rPr>
        <w:t>”.</w:t>
      </w:r>
    </w:p>
    <w:p w14:paraId="431FD692" w14:textId="77777777" w:rsidR="00B97365" w:rsidRDefault="00000000">
      <w:pPr>
        <w:numPr>
          <w:ilvl w:val="0"/>
          <w:numId w:val="105"/>
        </w:numPr>
      </w:pPr>
      <w:r>
        <w:t>The SM-SR SHALL send the "</w:t>
      </w:r>
      <w:r>
        <w:rPr>
          <w:b/>
        </w:rPr>
        <w:t>ES4.HandleProfileDisabledNotification</w:t>
      </w:r>
      <w:r>
        <w:t>" or "</w:t>
      </w:r>
      <w:r>
        <w:rPr>
          <w:b/>
        </w:rPr>
        <w:t>ES4.HandleProfileDeletedNotification</w:t>
      </w:r>
      <w:r>
        <w:t xml:space="preserve">" (if deletion was triggered by the evaluation of </w:t>
      </w:r>
      <w:r>
        <w:lastRenderedPageBreak/>
        <w:t>POL1 and POL2) to a M2M SP, if authorised by Operator2 the owner of the Profile that was Enabled at the beginning of the procedure.</w:t>
      </w:r>
    </w:p>
    <w:p w14:paraId="37778970" w14:textId="77777777" w:rsidR="00B97365" w:rsidRDefault="00000000">
      <w:pPr>
        <w:ind w:left="360"/>
        <w:rPr>
          <w:rFonts w:cs="Arial"/>
          <w:szCs w:val="22"/>
          <w:lang w:eastAsia="en-GB" w:bidi="ar-SA"/>
        </w:rPr>
      </w:pPr>
      <w:r>
        <w:rPr>
          <w:rFonts w:cs="Arial"/>
          <w:szCs w:val="22"/>
          <w:lang w:eastAsia="en-GB" w:bidi="ar-SA"/>
        </w:rPr>
        <w:t>If the M2M SP is another Operator directly connected to the SM-SR and it is authorised by Operator2, the SM-SR SHALL send this notification to this other Operator by calling the “</w:t>
      </w:r>
      <w:r>
        <w:rPr>
          <w:rFonts w:cs="Arial"/>
          <w:b/>
          <w:szCs w:val="22"/>
          <w:lang w:eastAsia="en-GB" w:bidi="ar-SA"/>
        </w:rPr>
        <w:t>ES4.HandleProfileDisabledNotification</w:t>
      </w:r>
      <w:r>
        <w:rPr>
          <w:rFonts w:cs="Arial"/>
          <w:szCs w:val="22"/>
          <w:lang w:eastAsia="en-GB" w:bidi="ar-SA"/>
        </w:rPr>
        <w:t>” or “</w:t>
      </w:r>
      <w:r>
        <w:rPr>
          <w:rFonts w:cs="Arial"/>
          <w:b/>
          <w:szCs w:val="22"/>
          <w:lang w:eastAsia="en-GB" w:bidi="ar-SA"/>
        </w:rPr>
        <w:t>ES4.HandleProfileDeletedNotification</w:t>
      </w:r>
      <w:r>
        <w:rPr>
          <w:rFonts w:cs="Arial"/>
          <w:szCs w:val="22"/>
          <w:lang w:eastAsia="en-GB" w:bidi="ar-SA"/>
        </w:rPr>
        <w:t>”</w:t>
      </w:r>
    </w:p>
    <w:p w14:paraId="7FE064D3" w14:textId="77777777" w:rsidR="00B97365" w:rsidRDefault="00000000">
      <w:pPr>
        <w:ind w:left="360"/>
        <w:rPr>
          <w:rFonts w:cs="Arial"/>
          <w:szCs w:val="22"/>
          <w:lang w:eastAsia="en-GB" w:bidi="ar-SA"/>
        </w:rPr>
      </w:pPr>
      <w:r>
        <w:rPr>
          <w:rFonts w:cs="Arial"/>
          <w:szCs w:val="22"/>
          <w:lang w:eastAsia="en-GB" w:bidi="ar-SA"/>
        </w:rPr>
        <w:t>If the M2M SP is another Operator connected through its SM-DP and it is authorised by Operator2, the SM-SR SHALL send this notification to the SM-DP associated to this other Operator by calling the “</w:t>
      </w:r>
      <w:r>
        <w:rPr>
          <w:rFonts w:cs="Arial"/>
          <w:b/>
          <w:szCs w:val="22"/>
          <w:lang w:eastAsia="en-GB" w:bidi="ar-SA"/>
        </w:rPr>
        <w:t>ES3.HandleProfileDisabledNotification</w:t>
      </w:r>
      <w:r>
        <w:rPr>
          <w:rFonts w:cs="Arial"/>
          <w:szCs w:val="22"/>
          <w:lang w:eastAsia="en-GB" w:bidi="ar-SA"/>
        </w:rPr>
        <w:t>” or “</w:t>
      </w:r>
      <w:r>
        <w:rPr>
          <w:rFonts w:cs="Arial"/>
          <w:b/>
          <w:szCs w:val="22"/>
          <w:lang w:eastAsia="en-GB" w:bidi="ar-SA"/>
        </w:rPr>
        <w:t>ES3.HandleProfileDeletedNotification</w:t>
      </w:r>
      <w:r>
        <w:rPr>
          <w:rFonts w:cs="Arial"/>
          <w:szCs w:val="22"/>
          <w:lang w:eastAsia="en-GB" w:bidi="ar-SA"/>
        </w:rPr>
        <w:t>”.</w:t>
      </w:r>
    </w:p>
    <w:p w14:paraId="5E88FC5E" w14:textId="77777777" w:rsidR="00B97365" w:rsidRDefault="00000000">
      <w:pPr>
        <w:spacing w:before="0" w:after="200" w:line="276" w:lineRule="auto"/>
        <w:ind w:left="567"/>
        <w:jc w:val="left"/>
        <w:rPr>
          <w:rFonts w:cs="Arial"/>
          <w:szCs w:val="22"/>
          <w:lang w:eastAsia="en-GB" w:bidi="ar-SA"/>
        </w:rPr>
      </w:pPr>
      <w:r>
        <w:rPr>
          <w:rFonts w:cs="Arial"/>
          <w:szCs w:val="22"/>
          <w:lang w:eastAsia="en-GB" w:bidi="ar-SA"/>
        </w:rPr>
        <w:t>Then the SM-DP, on reception of this notification, SHALL forward it to the Operator, acting as the M2M SP, by calling the “</w:t>
      </w:r>
      <w:r>
        <w:rPr>
          <w:rFonts w:cs="Arial"/>
          <w:b/>
          <w:szCs w:val="22"/>
          <w:lang w:eastAsia="en-GB" w:bidi="ar-SA"/>
        </w:rPr>
        <w:t>ES2.HandleProfileDisabledNotification</w:t>
      </w:r>
      <w:r>
        <w:rPr>
          <w:rFonts w:cs="Arial"/>
          <w:szCs w:val="22"/>
          <w:lang w:eastAsia="en-GB" w:bidi="ar-SA"/>
        </w:rPr>
        <w:t>” or “</w:t>
      </w:r>
      <w:r>
        <w:rPr>
          <w:rFonts w:cs="Arial"/>
          <w:b/>
          <w:szCs w:val="22"/>
          <w:lang w:eastAsia="en-GB" w:bidi="ar-SA"/>
        </w:rPr>
        <w:t>ES2.HandleProfileDeletedNotification</w:t>
      </w:r>
      <w:r>
        <w:rPr>
          <w:rFonts w:cs="Arial"/>
          <w:szCs w:val="22"/>
          <w:lang w:eastAsia="en-GB" w:bidi="ar-SA"/>
        </w:rPr>
        <w:t>”</w:t>
      </w:r>
    </w:p>
    <w:p w14:paraId="48469CF5" w14:textId="77777777" w:rsidR="00B97365" w:rsidRDefault="00000000">
      <w:pPr>
        <w:tabs>
          <w:tab w:val="left" w:pos="1560"/>
        </w:tabs>
        <w:spacing w:before="0" w:after="200" w:line="276" w:lineRule="auto"/>
        <w:ind w:left="1560" w:hanging="1276"/>
        <w:jc w:val="left"/>
        <w:rPr>
          <w:rFonts w:cs="Arial"/>
          <w:szCs w:val="22"/>
          <w:lang w:val="en-US" w:eastAsia="en-GB" w:bidi="ar-SA"/>
        </w:rPr>
      </w:pPr>
      <w:r>
        <w:rPr>
          <w:rFonts w:cs="Arial"/>
          <w:szCs w:val="22"/>
          <w:lang w:val="en-US" w:eastAsia="en-GB" w:bidi="ar-SA"/>
        </w:rPr>
        <w:t>NOTE:</w:t>
      </w:r>
      <w:r>
        <w:rPr>
          <w:rFonts w:cs="Arial"/>
          <w:szCs w:val="22"/>
          <w:lang w:val="en-US" w:eastAsia="en-GB" w:bidi="ar-SA"/>
        </w:rPr>
        <w:tab/>
        <w:t>This M2M SP might be the same M2M SP as for Operator1 or any other M2M SP.</w:t>
      </w:r>
    </w:p>
    <w:p w14:paraId="580031AD" w14:textId="0F1A66E4" w:rsidR="00B97365" w:rsidRDefault="00000000">
      <w:pPr>
        <w:tabs>
          <w:tab w:val="left" w:pos="1560"/>
        </w:tabs>
        <w:spacing w:before="0" w:after="200" w:line="276" w:lineRule="auto"/>
        <w:ind w:left="1560" w:hanging="1276"/>
        <w:jc w:val="left"/>
        <w:rPr>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The MT-SMS and MO-SMS SHALL be secured according to section </w:t>
      </w:r>
      <w:r>
        <w:fldChar w:fldCharType="begin"/>
      </w:r>
      <w:r>
        <w:instrText xml:space="preserve"> REF _Ref367970988 \r \h  \* MERGEFORMAT </w:instrText>
      </w:r>
      <w:r>
        <w:fldChar w:fldCharType="separate"/>
      </w:r>
      <w:r w:rsidR="001D5AD9" w:rsidRPr="001D5AD9">
        <w:rPr>
          <w:szCs w:val="22"/>
          <w:lang w:val="en-US" w:eastAsia="en-GB" w:bidi="ar-SA"/>
        </w:rPr>
        <w:t>2.4</w:t>
      </w:r>
      <w:r>
        <w:fldChar w:fldCharType="end"/>
      </w:r>
      <w:r>
        <w:rPr>
          <w:szCs w:val="22"/>
          <w:lang w:val="en-US" w:eastAsia="en-GB" w:bidi="ar-SA"/>
        </w:rPr>
        <w:t>.</w:t>
      </w:r>
    </w:p>
    <w:p w14:paraId="1A7EAF6A"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628" w:name="_Toc448998221"/>
      <w:bookmarkStart w:id="1629" w:name="_Toc422150695"/>
      <w:bookmarkStart w:id="1630" w:name="_Toc421874275"/>
      <w:bookmarkStart w:id="1631" w:name="_Toc420594352"/>
      <w:bookmarkStart w:id="1632" w:name="_Toc398214816"/>
      <w:bookmarkStart w:id="1633" w:name="_Toc375158232"/>
      <w:bookmarkStart w:id="1634" w:name="_Toc368932210"/>
      <w:bookmarkStart w:id="1635" w:name="_Ref367971769"/>
      <w:bookmarkStart w:id="1636" w:name="_Ref367971583"/>
      <w:bookmarkStart w:id="1637" w:name="_Ref367970690"/>
      <w:bookmarkStart w:id="1638" w:name="_Toc486332839"/>
      <w:bookmarkStart w:id="1639" w:name="_Toc1977260"/>
      <w:bookmarkStart w:id="1640" w:name="_Toc37062417"/>
      <w:bookmarkStart w:id="1641" w:name="_Toc88839522"/>
      <w:bookmarkStart w:id="1642" w:name="_Toc121503930"/>
      <w:r>
        <w:rPr>
          <w:rFonts w:eastAsia="Times New Roman" w:cs="Arial"/>
          <w:b/>
          <w:bCs/>
          <w:iCs/>
          <w:sz w:val="24"/>
          <w:szCs w:val="26"/>
          <w:lang w:eastAsia="en-US"/>
        </w:rPr>
        <w:t xml:space="preserve">Connectivity </w:t>
      </w:r>
      <w:r>
        <w:rPr>
          <w:rFonts w:eastAsia="Times New Roman" w:cs="Arial"/>
          <w:b/>
          <w:sz w:val="24"/>
          <w:szCs w:val="26"/>
          <w:lang w:eastAsia="en-US"/>
        </w:rPr>
        <w:t>Failure Case</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r>
        <w:rPr>
          <w:rFonts w:eastAsia="Times New Roman" w:cs="Arial"/>
          <w:b/>
          <w:sz w:val="24"/>
          <w:szCs w:val="26"/>
          <w:lang w:eastAsia="en-US"/>
        </w:rPr>
        <w:t xml:space="preserve"> </w:t>
      </w:r>
    </w:p>
    <w:p w14:paraId="091C28C3" w14:textId="6351DB8C"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szCs w:val="22"/>
          <w:lang w:eastAsia="en-GB" w:bidi="ar-SA"/>
        </w:rPr>
        <w:fldChar w:fldCharType="begin"/>
      </w:r>
      <w:r>
        <w:rPr>
          <w:szCs w:val="22"/>
          <w:lang w:eastAsia="en-GB" w:bidi="ar-SA"/>
        </w:rPr>
        <w:instrText xml:space="preserve"> REF _Ref373941001 \r \h </w:instrText>
      </w:r>
      <w:r>
        <w:rPr>
          <w:szCs w:val="22"/>
          <w:lang w:eastAsia="en-GB" w:bidi="ar-SA"/>
        </w:rPr>
      </w:r>
      <w:r>
        <w:rPr>
          <w:szCs w:val="22"/>
          <w:lang w:eastAsia="en-GB" w:bidi="ar-SA"/>
        </w:rPr>
        <w:fldChar w:fldCharType="separate"/>
      </w:r>
      <w:r w:rsidR="001D5AD9">
        <w:rPr>
          <w:szCs w:val="22"/>
          <w:lang w:eastAsia="en-GB" w:bidi="ar-SA"/>
        </w:rPr>
        <w:t>Figure 16</w:t>
      </w:r>
      <w:r>
        <w:rPr>
          <w:szCs w:val="22"/>
          <w:lang w:eastAsia="en-GB" w:bidi="ar-SA"/>
        </w:rPr>
        <w:fldChar w:fldCharType="end"/>
      </w:r>
      <w:r>
        <w:rPr>
          <w:szCs w:val="22"/>
          <w:lang w:eastAsia="en-GB" w:bidi="ar-SA"/>
        </w:rPr>
        <w:t xml:space="preserve"> describes the case where the target Profile cannot provide connectivity after it is enabled, and when roll-back to the previously Enabled Profile occurs. </w:t>
      </w:r>
    </w:p>
    <w:p w14:paraId="18547D9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7C6389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118DF7E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0E6CA26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789F0D7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08D3F2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4602979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C7E30C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40213F1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67E539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“Operator1” as OP1 #FFFFFF</w:t>
      </w:r>
    </w:p>
    <w:p w14:paraId="475A63F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71BA8BF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“Device” as DEV #FFFFFF</w:t>
      </w:r>
    </w:p>
    <w:p w14:paraId="1C997A2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46EED20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52FB229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0769E2F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43563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OP1-&gt;&gt;SR: (1) EnableProfile(eid, iccid)</w:t>
      </w:r>
    </w:p>
    <w:p w14:paraId="0F38935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0879C4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428595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9CA759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Failed</w:t>
      </w:r>
    </w:p>
    <w:p w14:paraId="070EFB5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 MT-SMS [ES5.STORE DATA command]SCP80</w:t>
      </w:r>
    </w:p>
    <w:p w14:paraId="64CD741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38EAE8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Enforce POL1</w:t>
      </w:r>
    </w:p>
    <w:p w14:paraId="26E929E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9F9E0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[ES5.STORE DATA command Failed response]SCP80</w:t>
      </w:r>
    </w:p>
    <w:p w14:paraId="62146D9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Failed</w:t>
      </w:r>
    </w:p>
    <w:p w14:paraId="44BC4B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06AE7EA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Enable ISD-P</w:t>
      </w:r>
    </w:p>
    <w:p w14:paraId="6F3D058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30B30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[ES5.STORE DATA command response]SCP80</w:t>
      </w:r>
    </w:p>
    <w:p w14:paraId="2F57C5F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(6a) Failed</w:t>
      </w:r>
    </w:p>
    <w:p w14:paraId="5551D8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(7) REFRESH, (UICC reset)</w:t>
      </w:r>
    </w:p>
    <w:p w14:paraId="3FE54C0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5AA1D0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with the enabled profile **fails**</w:t>
      </w:r>
    </w:p>
    <w:p w14:paraId="0CD14DE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OR</w:t>
      </w:r>
    </w:p>
    <w:p w14:paraId="54A68B0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Notification procedure **fails**</w:t>
      </w:r>
    </w:p>
    <w:p w14:paraId="143186C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B0B7ED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130CF69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ISDR #FFFFFF</w:t>
      </w:r>
    </w:p>
    <w:p w14:paraId="735BB59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(9) Enable previous ISD-P</w:t>
      </w:r>
    </w:p>
    <w:p w14:paraId="20528CC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19EF217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(10) REFRESH, (UICC reset)</w:t>
      </w:r>
    </w:p>
    <w:p w14:paraId="05E4433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20F2DB5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(11) Network attachment with the enabled profile </w:t>
      </w:r>
    </w:p>
    <w:p w14:paraId="1FD63E7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92790E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7DEFE6A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SR #FFFFFF</w:t>
      </w:r>
    </w:p>
    <w:p w14:paraId="77709F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(12)                 Notification procedure over SMS                      </w:t>
      </w:r>
    </w:p>
    <w:p w14:paraId="36B56D9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693B2A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1DE303B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(13) Profile enabling failure</w:t>
      </w:r>
    </w:p>
    <w:p w14:paraId="2912CE7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5187612E" w14:textId="77777777" w:rsidR="00B97365" w:rsidRDefault="00000000">
      <w:pPr>
        <w:rPr>
          <w:rFonts w:cs="Courier New"/>
          <w:noProof/>
          <w:color w:val="008000"/>
          <w:sz w:val="18"/>
        </w:rPr>
      </w:pPr>
      <w:r>
        <w:rPr>
          <w:rFonts w:cs="Courier New"/>
          <w:noProof/>
          <w:color w:val="008000"/>
          <w:sz w:val="18"/>
          <w:lang w:eastAsia="en-GB" w:bidi="ar-SA"/>
        </w:rPr>
        <w:lastRenderedPageBreak/>
        <w:drawing>
          <wp:inline distT="0" distB="0" distL="0" distR="0" wp14:anchorId="1EAEAC55" wp14:editId="2E160B27">
            <wp:extent cx="5731510" cy="5516207"/>
            <wp:effectExtent l="0" t="0" r="2540" b="8890"/>
            <wp:docPr id="435" name="Picture 43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
                    <pic:cNvPicPr/>
                  </pic:nvPicPr>
                  <pic:blipFill>
                    <a:blip r:embed="rId51">
                      <a:extLst>
                        <a:ext uri="{28A0092B-C50C-407E-A947-70E740481C1C}">
                          <a14:useLocalDpi xmlns:a14="http://schemas.microsoft.com/office/drawing/2010/main" val="0"/>
                        </a:ext>
                      </a:extLst>
                    </a:blip>
                    <a:stretch>
                      <a:fillRect/>
                    </a:stretch>
                  </pic:blipFill>
                  <pic:spPr>
                    <a:xfrm>
                      <a:off x="0" y="0"/>
                      <a:ext cx="5731510" cy="5516207"/>
                    </a:xfrm>
                    <a:prstGeom prst="rect">
                      <a:avLst/>
                    </a:prstGeom>
                  </pic:spPr>
                </pic:pic>
              </a:graphicData>
            </a:graphic>
          </wp:inline>
        </w:drawing>
      </w:r>
    </w:p>
    <w:p w14:paraId="51A7F328" w14:textId="77777777" w:rsidR="00B97365" w:rsidRDefault="00B97365">
      <w:pPr>
        <w:keepNext/>
        <w:jc w:val="center"/>
        <w:rPr>
          <w:rFonts w:cs="Calibri"/>
        </w:rPr>
      </w:pPr>
    </w:p>
    <w:p w14:paraId="33283061" w14:textId="77777777" w:rsidR="00B97365" w:rsidRDefault="00B97365">
      <w:pPr>
        <w:keepNext/>
        <w:jc w:val="center"/>
        <w:rPr>
          <w:rFonts w:cs="Calibri"/>
        </w:rPr>
      </w:pPr>
    </w:p>
    <w:p w14:paraId="27D4D3D4"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1643" w:name="_Ref373941001"/>
      <w:r>
        <w:rPr>
          <w:rFonts w:cs="Arial"/>
          <w:b/>
          <w:szCs w:val="22"/>
          <w:lang w:val="en-US" w:eastAsia="en-GB" w:bidi="ar-SA"/>
        </w:rPr>
        <w:t>: Profile Enabling failure, with roll-back</w:t>
      </w:r>
      <w:bookmarkEnd w:id="1643"/>
    </w:p>
    <w:p w14:paraId="2ACF36A5"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644" w:name="_Toc420594353"/>
      <w:r>
        <w:rPr>
          <w:rFonts w:cs="Arial"/>
          <w:b/>
          <w:noProof/>
          <w:szCs w:val="22"/>
          <w:lang w:eastAsia="en-GB" w:bidi="ar-SA"/>
        </w:rPr>
        <w:t>Start Conditions:</w:t>
      </w:r>
      <w:bookmarkEnd w:id="1644"/>
    </w:p>
    <w:p w14:paraId="6A702E7B" w14:textId="504FD3FA"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identical to section </w:t>
      </w:r>
      <w:r>
        <w:fldChar w:fldCharType="begin"/>
      </w:r>
      <w:r>
        <w:instrText xml:space="preserve"> REF _Ref367971003 \r \h  \* MERGEFORMAT </w:instrText>
      </w:r>
      <w:r>
        <w:fldChar w:fldCharType="separate"/>
      </w:r>
      <w:r w:rsidR="001D5AD9" w:rsidRPr="001D5AD9">
        <w:rPr>
          <w:szCs w:val="22"/>
          <w:lang w:eastAsia="en-GB" w:bidi="ar-SA"/>
        </w:rPr>
        <w:t>3.2.1</w:t>
      </w:r>
      <w:r>
        <w:fldChar w:fldCharType="end"/>
      </w:r>
      <w:r>
        <w:rPr>
          <w:szCs w:val="22"/>
          <w:lang w:eastAsia="en-GB" w:bidi="ar-SA"/>
        </w:rPr>
        <w:t>.</w:t>
      </w:r>
    </w:p>
    <w:p w14:paraId="6CB41D04"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645" w:name="_Toc420594354"/>
      <w:r>
        <w:rPr>
          <w:rFonts w:cs="Arial"/>
          <w:b/>
          <w:noProof/>
          <w:szCs w:val="22"/>
          <w:lang w:eastAsia="en-GB" w:bidi="ar-SA"/>
        </w:rPr>
        <w:t>Procedure:</w:t>
      </w:r>
      <w:bookmarkEnd w:id="1645"/>
    </w:p>
    <w:p w14:paraId="54CA17B7" w14:textId="6280F4DF" w:rsidR="00B97365" w:rsidRDefault="00000000">
      <w:pPr>
        <w:spacing w:before="0" w:after="200" w:line="276" w:lineRule="auto"/>
        <w:jc w:val="left"/>
        <w:rPr>
          <w:szCs w:val="22"/>
          <w:lang w:eastAsia="en-GB" w:bidi="ar-SA"/>
        </w:rPr>
      </w:pPr>
      <w:r>
        <w:rPr>
          <w:rFonts w:cs="Arial"/>
          <w:szCs w:val="22"/>
          <w:lang w:eastAsia="en-GB" w:bidi="ar-SA"/>
        </w:rPr>
        <w:t xml:space="preserve">Steps (1), (2), (3), (4), (5), (6), (6a) and (7) are also identical to section </w:t>
      </w:r>
      <w:r>
        <w:fldChar w:fldCharType="begin"/>
      </w:r>
      <w:r>
        <w:instrText xml:space="preserve"> REF _Ref367971015 \r \h  \* MERGEFORMAT </w:instrText>
      </w:r>
      <w:r>
        <w:fldChar w:fldCharType="separate"/>
      </w:r>
      <w:r w:rsidR="001D5AD9" w:rsidRPr="001D5AD9">
        <w:rPr>
          <w:szCs w:val="22"/>
          <w:lang w:eastAsia="en-GB" w:bidi="ar-SA"/>
        </w:rPr>
        <w:t>3.2.1</w:t>
      </w:r>
      <w:r>
        <w:fldChar w:fldCharType="end"/>
      </w:r>
      <w:r>
        <w:rPr>
          <w:szCs w:val="22"/>
          <w:lang w:eastAsia="en-GB" w:bidi="ar-SA"/>
        </w:rPr>
        <w:t>.</w:t>
      </w:r>
    </w:p>
    <w:p w14:paraId="67FCABA8" w14:textId="77777777" w:rsidR="00B97365" w:rsidRDefault="00000000">
      <w:pPr>
        <w:numPr>
          <w:ilvl w:val="0"/>
          <w:numId w:val="106"/>
        </w:numPr>
      </w:pPr>
      <w:r>
        <w:t>A network attach failure occurs indicating that the Enabled Profile cannot provide connectivity, or the eUICC doesn’t succeed to send the SMS notification (after having exhausted all possible retries), or doesn’t receive the SM-SR notification confirmation.</w:t>
      </w:r>
    </w:p>
    <w:p w14:paraId="6352469D" w14:textId="77777777" w:rsidR="00B97365" w:rsidRDefault="00000000">
      <w:pPr>
        <w:numPr>
          <w:ilvl w:val="0"/>
          <w:numId w:val="106"/>
        </w:numPr>
      </w:pPr>
      <w:r>
        <w:t>The ISD-R SHALL enable the Profile that was previously enabled before the reception of the command, to re-establish connectivity.</w:t>
      </w:r>
    </w:p>
    <w:p w14:paraId="666BD52B" w14:textId="77777777" w:rsidR="00B97365" w:rsidRDefault="00B97365">
      <w:pPr>
        <w:ind w:left="567"/>
        <w:rPr>
          <w:rFonts w:cs="Arial"/>
          <w:sz w:val="20"/>
        </w:rPr>
      </w:pPr>
    </w:p>
    <w:p w14:paraId="51DDAE2F" w14:textId="7118BD9F" w:rsidR="00B97365" w:rsidRDefault="00000000">
      <w:pPr>
        <w:spacing w:before="0" w:after="200" w:line="276" w:lineRule="auto"/>
        <w:ind w:left="1560" w:hanging="1276"/>
        <w:jc w:val="left"/>
      </w:pPr>
      <w:r>
        <w:rPr>
          <w:rFonts w:cs="Arial"/>
        </w:rPr>
        <w:lastRenderedPageBreak/>
        <w:t xml:space="preserve">NOTE: </w:t>
      </w:r>
      <w:r>
        <w:rPr>
          <w:rFonts w:cs="Arial"/>
        </w:rPr>
        <w:tab/>
      </w:r>
      <w:r>
        <w:rPr>
          <w:szCs w:val="22"/>
          <w:lang w:eastAsia="en-GB" w:bidi="ar-SA"/>
        </w:rPr>
        <w:t>Profile</w:t>
      </w:r>
      <w:r>
        <w:t xml:space="preserve"> change includes a change of the IMSI that is used to attach to the network. As indicated in 3GPP TS 31.102 </w:t>
      </w:r>
      <w:r>
        <w:fldChar w:fldCharType="begin"/>
      </w:r>
      <w:r>
        <w:instrText xml:space="preserve"> REF _Ref421632746 \r \h </w:instrText>
      </w:r>
      <w:r>
        <w:fldChar w:fldCharType="separate"/>
      </w:r>
      <w:r w:rsidR="001D5AD9">
        <w:t>[52]</w:t>
      </w:r>
      <w:r>
        <w:fldChar w:fldCharType="end"/>
      </w:r>
      <w:r>
        <w:t>, such a change requires special caution and should always be accompanied by a REFRESH command to avoid inconsistent information being read by the terminal. So while the targeted ISD-P is marked as enabled in this step, it MAY actually become effective only after the terminal executes the REFRESH command.</w:t>
      </w:r>
    </w:p>
    <w:p w14:paraId="40701991" w14:textId="77777777" w:rsidR="00B97365" w:rsidRDefault="00000000">
      <w:pPr>
        <w:numPr>
          <w:ilvl w:val="0"/>
          <w:numId w:val="106"/>
        </w:numPr>
      </w:pPr>
      <w:r>
        <w:t xml:space="preserve">The ISD-R sends a REFRESH proactive command in UICC reset mode to the Device. This will trigger the execution of a new network attach procedure. </w:t>
      </w:r>
    </w:p>
    <w:p w14:paraId="27919702" w14:textId="77777777" w:rsidR="00B97365" w:rsidRDefault="00000000">
      <w:pPr>
        <w:numPr>
          <w:ilvl w:val="0"/>
          <w:numId w:val="106"/>
        </w:numPr>
      </w:pPr>
      <w:r>
        <w:t>The eUICC and the Device SHALL perform a new network attach procedure with the Profile Enabled before the start of the procedure.</w:t>
      </w:r>
    </w:p>
    <w:p w14:paraId="175AFE92" w14:textId="156AAB7B" w:rsidR="00B97365" w:rsidRDefault="00000000">
      <w:pPr>
        <w:numPr>
          <w:ilvl w:val="0"/>
          <w:numId w:val="106"/>
        </w:numPr>
      </w:pPr>
      <w:r>
        <w:t xml:space="preserve">The eUICC SHALL perform the notification procedure as described in section </w:t>
      </w:r>
      <w:r>
        <w:fldChar w:fldCharType="begin"/>
      </w:r>
      <w:r>
        <w:instrText xml:space="preserve"> REF _Ref367972946 \r \h </w:instrText>
      </w:r>
      <w:r>
        <w:fldChar w:fldCharType="separate"/>
      </w:r>
      <w:r w:rsidR="001D5AD9">
        <w:t>4.1.1.11</w:t>
      </w:r>
      <w:r>
        <w:fldChar w:fldCharType="end"/>
      </w:r>
      <w:r>
        <w:t>. On reception of the SMS notification, the SM-SR is informed that the target Profile has not been enabled. In order to minimize the notification retries on eUICC side, the SM-SR SHALL send the “</w:t>
      </w:r>
      <w:r>
        <w:rPr>
          <w:b/>
        </w:rPr>
        <w:t>ES5.HandleNotificationConfirmation</w:t>
      </w:r>
      <w:r>
        <w:t xml:space="preserve">” command defined in section </w:t>
      </w:r>
      <w:r>
        <w:fldChar w:fldCharType="begin"/>
      </w:r>
      <w:r>
        <w:instrText xml:space="preserve"> REF _Ref445910953 \r \h </w:instrText>
      </w:r>
      <w:r>
        <w:fldChar w:fldCharType="separate"/>
      </w:r>
      <w:r w:rsidR="001D5AD9">
        <w:t>4.1.1.12</w:t>
      </w:r>
      <w:r>
        <w:fldChar w:fldCharType="end"/>
      </w:r>
      <w:r>
        <w:t xml:space="preserve"> even if the Validity Period specified in the “</w:t>
      </w:r>
      <w:r>
        <w:rPr>
          <w:b/>
        </w:rPr>
        <w:t>ES4.EnableProfile</w:t>
      </w:r>
      <w:r>
        <w:t>” command has expired.</w:t>
      </w:r>
    </w:p>
    <w:p w14:paraId="18E4EE86" w14:textId="77777777" w:rsidR="00B97365" w:rsidRDefault="00000000">
      <w:pPr>
        <w:numPr>
          <w:ilvl w:val="0"/>
          <w:numId w:val="106"/>
        </w:numPr>
      </w:pPr>
      <w:r>
        <w:t>Finally, the SM-SR SHALL return the response to the “</w:t>
      </w:r>
      <w:r>
        <w:rPr>
          <w:b/>
        </w:rPr>
        <w:t>ES4.EnableProfile</w:t>
      </w:r>
      <w:r>
        <w:t>” function to Operator1; indicating a failure, the target Profile didn’t succeed to provide the connectivity.</w:t>
      </w:r>
    </w:p>
    <w:p w14:paraId="219F4919"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646" w:name="_Toc421885562"/>
      <w:bookmarkStart w:id="1647" w:name="_Toc421885941"/>
      <w:bookmarkStart w:id="1648" w:name="_Toc374345777"/>
      <w:bookmarkStart w:id="1649" w:name="_Toc374346123"/>
      <w:bookmarkStart w:id="1650" w:name="_Toc374346468"/>
      <w:bookmarkStart w:id="1651" w:name="_Toc374346814"/>
      <w:bookmarkStart w:id="1652" w:name="_Toc352772918"/>
      <w:bookmarkStart w:id="1653" w:name="_Ref367973937"/>
      <w:bookmarkStart w:id="1654" w:name="_Ref367974686"/>
      <w:bookmarkStart w:id="1655" w:name="_Toc368932211"/>
      <w:bookmarkStart w:id="1656" w:name="_Toc374348485"/>
      <w:bookmarkStart w:id="1657" w:name="_Toc375158233"/>
      <w:bookmarkStart w:id="1658" w:name="_Toc398214817"/>
      <w:bookmarkStart w:id="1659" w:name="_Toc420594355"/>
      <w:bookmarkStart w:id="1660" w:name="_Toc421874276"/>
      <w:bookmarkStart w:id="1661" w:name="_Toc422150696"/>
      <w:bookmarkStart w:id="1662" w:name="_Toc448998222"/>
      <w:bookmarkStart w:id="1663" w:name="_Toc486332840"/>
      <w:bookmarkStart w:id="1664" w:name="_Toc1977261"/>
      <w:bookmarkStart w:id="1665" w:name="_Toc37062418"/>
      <w:bookmarkStart w:id="1666" w:name="_Toc88839523"/>
      <w:bookmarkStart w:id="1667" w:name="_Toc121503931"/>
      <w:bookmarkEnd w:id="1646"/>
      <w:bookmarkEnd w:id="1647"/>
      <w:bookmarkEnd w:id="1648"/>
      <w:bookmarkEnd w:id="1649"/>
      <w:bookmarkEnd w:id="1650"/>
      <w:bookmarkEnd w:id="1651"/>
      <w:r>
        <w:rPr>
          <w:rFonts w:eastAsia="Times New Roman" w:cs="Arial"/>
          <w:b/>
          <w:bCs/>
          <w:iCs/>
          <w:sz w:val="24"/>
          <w:szCs w:val="28"/>
          <w:lang w:eastAsia="en-US"/>
        </w:rPr>
        <w:t xml:space="preserve">Profile Enabling </w:t>
      </w:r>
      <w:r>
        <w:rPr>
          <w:rFonts w:eastAsia="Times New Roman" w:cs="Arial"/>
          <w:b/>
          <w:sz w:val="24"/>
          <w:szCs w:val="28"/>
          <w:lang w:eastAsia="en-US"/>
        </w:rPr>
        <w:t>Via SM-DP</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76C40352" w14:textId="3D75B0A6" w:rsidR="00B97365" w:rsidRDefault="00000000">
      <w:pPr>
        <w:spacing w:before="0" w:after="200" w:line="276" w:lineRule="auto"/>
        <w:jc w:val="left"/>
        <w:rPr>
          <w:szCs w:val="22"/>
          <w:lang w:eastAsia="en-GB" w:bidi="ar-SA"/>
        </w:rPr>
      </w:pPr>
      <w:r>
        <w:rPr>
          <w:rFonts w:cs="Arial"/>
          <w:szCs w:val="22"/>
          <w:lang w:eastAsia="en-GB" w:bidi="ar-SA"/>
        </w:rPr>
        <w:t xml:space="preserve">The Profile Enabling procedure between the Operator and the SM-DP is used to enable a Profile previously downloaded and installed on an eUICC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3.5.5). The procedure is initiated by the Operator owning the Profile to be enabled. The procedure illustrates the usage of SMS as a possible transport protocol between SM-SR and eUICC, but can be also performed using other transport protocols.</w:t>
      </w:r>
    </w:p>
    <w:p w14:paraId="58C04651" w14:textId="05A32027" w:rsidR="00B97365" w:rsidRDefault="00000000">
      <w:pPr>
        <w:spacing w:before="0" w:after="200" w:line="276" w:lineRule="auto"/>
        <w:jc w:val="left"/>
        <w:rPr>
          <w:szCs w:val="22"/>
          <w:lang w:eastAsia="en-GB" w:bidi="ar-SA"/>
        </w:rPr>
      </w:pPr>
      <w:r>
        <w:rPr>
          <w:rFonts w:cs="Arial"/>
          <w:szCs w:val="22"/>
          <w:lang w:eastAsia="en-GB" w:bidi="ar-SA"/>
        </w:rPr>
        <w:t xml:space="preserve">This procedure is similar to the procedure “Enable Profile” described in section </w:t>
      </w:r>
      <w:r>
        <w:fldChar w:fldCharType="begin"/>
      </w:r>
      <w:r>
        <w:instrText xml:space="preserve"> REF _Ref367971060 \r \h  \* MERGEFORMAT </w:instrText>
      </w:r>
      <w:r>
        <w:fldChar w:fldCharType="separate"/>
      </w:r>
      <w:r w:rsidR="001D5AD9" w:rsidRPr="001D5AD9">
        <w:rPr>
          <w:szCs w:val="22"/>
          <w:lang w:eastAsia="en-GB" w:bidi="ar-SA"/>
        </w:rPr>
        <w:t>3.2</w:t>
      </w:r>
      <w:r>
        <w:fldChar w:fldCharType="end"/>
      </w:r>
      <w:r>
        <w:rPr>
          <w:szCs w:val="22"/>
          <w:lang w:eastAsia="en-GB" w:bidi="ar-SA"/>
        </w:rPr>
        <w:t>.</w:t>
      </w:r>
    </w:p>
    <w:p w14:paraId="6356700F"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668" w:name="_Toc448998223"/>
      <w:bookmarkStart w:id="1669" w:name="_Toc422150697"/>
      <w:bookmarkStart w:id="1670" w:name="_Toc421874277"/>
      <w:bookmarkStart w:id="1671" w:name="_Toc420594356"/>
      <w:bookmarkStart w:id="1672" w:name="_Toc398214818"/>
      <w:bookmarkStart w:id="1673" w:name="_Toc375158234"/>
      <w:bookmarkStart w:id="1674" w:name="_Toc368932212"/>
      <w:bookmarkStart w:id="1675" w:name="_Ref367971566"/>
      <w:bookmarkStart w:id="1676" w:name="_Ref367971551"/>
      <w:bookmarkStart w:id="1677" w:name="_Toc486332841"/>
      <w:bookmarkStart w:id="1678" w:name="_Toc1977262"/>
      <w:bookmarkStart w:id="1679" w:name="_Toc37062419"/>
      <w:bookmarkStart w:id="1680" w:name="_Toc88839524"/>
      <w:bookmarkStart w:id="1681" w:name="_Toc121503932"/>
      <w:r>
        <w:rPr>
          <w:rFonts w:eastAsia="Times New Roman" w:cs="Arial"/>
          <w:b/>
          <w:bCs/>
          <w:iCs/>
          <w:sz w:val="24"/>
          <w:szCs w:val="26"/>
          <w:lang w:eastAsia="en-US"/>
        </w:rPr>
        <w:t xml:space="preserve">Normal </w:t>
      </w:r>
      <w:r>
        <w:rPr>
          <w:rFonts w:eastAsia="Times New Roman" w:cs="Arial"/>
          <w:b/>
          <w:sz w:val="24"/>
          <w:szCs w:val="26"/>
          <w:lang w:eastAsia="en-US"/>
        </w:rPr>
        <w:t>Case</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0615D91A" w14:textId="6C57F4B3"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szCs w:val="22"/>
          <w:lang w:eastAsia="en-GB" w:bidi="ar-SA"/>
        </w:rPr>
        <w:fldChar w:fldCharType="begin"/>
      </w:r>
      <w:r>
        <w:rPr>
          <w:szCs w:val="22"/>
          <w:lang w:eastAsia="en-GB" w:bidi="ar-SA"/>
        </w:rPr>
        <w:instrText xml:space="preserve"> REF _Ref373941027 \r \h </w:instrText>
      </w:r>
      <w:r>
        <w:rPr>
          <w:szCs w:val="22"/>
          <w:lang w:eastAsia="en-GB" w:bidi="ar-SA"/>
        </w:rPr>
      </w:r>
      <w:r>
        <w:rPr>
          <w:szCs w:val="22"/>
          <w:lang w:eastAsia="en-GB" w:bidi="ar-SA"/>
        </w:rPr>
        <w:fldChar w:fldCharType="separate"/>
      </w:r>
      <w:r w:rsidR="001D5AD9">
        <w:rPr>
          <w:szCs w:val="22"/>
          <w:lang w:eastAsia="en-GB" w:bidi="ar-SA"/>
        </w:rPr>
        <w:t>0</w:t>
      </w:r>
      <w:r>
        <w:rPr>
          <w:szCs w:val="22"/>
          <w:lang w:eastAsia="en-GB" w:bidi="ar-SA"/>
        </w:rPr>
        <w:fldChar w:fldCharType="end"/>
      </w:r>
      <w:r>
        <w:rPr>
          <w:szCs w:val="22"/>
          <w:lang w:eastAsia="en-GB" w:bidi="ar-SA"/>
        </w:rPr>
        <w:t xml:space="preserve"> describes the normal case where the targeted Profile can successfully be enabled.</w:t>
      </w:r>
    </w:p>
    <w:p w14:paraId="0F367245" w14:textId="77777777" w:rsidR="00B97365" w:rsidRDefault="00B97365">
      <w:pPr>
        <w:spacing w:before="0" w:after="200" w:line="276" w:lineRule="auto"/>
        <w:jc w:val="left"/>
        <w:rPr>
          <w:rFonts w:cs="Arial"/>
          <w:szCs w:val="22"/>
          <w:lang w:eastAsia="en-GB" w:bidi="ar-SA"/>
        </w:rPr>
      </w:pPr>
    </w:p>
    <w:p w14:paraId="36CA80E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11C014D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10EBECF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45EECBC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750C31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6FC30D4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28E0336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C1FF61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312FBE3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FA2491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5FDA8E6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“Operator2” as OP2 #FFFFFF</w:t>
      </w:r>
    </w:p>
    <w:p w14:paraId="5E97101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“Operator1” as OP1 #FFFFFF</w:t>
      </w:r>
    </w:p>
    <w:p w14:paraId="64502A8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727D3CE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4996A0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“Device” as DEV #FFFFFF</w:t>
      </w:r>
    </w:p>
    <w:p w14:paraId="32A17AA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77EB4C8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18E2EA0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5438B71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ED45E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OP1-&gt;&gt;DP: (0) Cond.: EnableProfile(eid, smsr-id, iccid)</w:t>
      </w:r>
    </w:p>
    <w:p w14:paraId="54352FC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(1) EnableProfile(eid, iccid)</w:t>
      </w:r>
    </w:p>
    <w:p w14:paraId="1776301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2C1FE3E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5E7717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9C5743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470704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7332F3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 MT-SMS [ES5.STORE DATA command]SCP80</w:t>
      </w:r>
    </w:p>
    <w:p w14:paraId="04A46BB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32C4DAF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Enforce POL1</w:t>
      </w:r>
    </w:p>
    <w:p w14:paraId="45120CC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08010B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[ES5.STORE DATA command Failed response]SCP80</w:t>
      </w:r>
    </w:p>
    <w:p w14:paraId="2C0E3D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3949369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48C076B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1A97B40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Enable ISD-P</w:t>
      </w:r>
    </w:p>
    <w:p w14:paraId="48E2776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30BF58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[ES5.STORE DATA command response]SCP80</w:t>
      </w:r>
    </w:p>
    <w:p w14:paraId="6CD7E61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(6a) Failed</w:t>
      </w:r>
    </w:p>
    <w:p w14:paraId="31A389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69DA138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(7) REFRESH, (UICC reset)</w:t>
      </w:r>
    </w:p>
    <w:p w14:paraId="6E2CBC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4543728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with the enabled profile</w:t>
      </w:r>
    </w:p>
    <w:p w14:paraId="478DCC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5EB6FC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542C8D0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SR #FFFFFF</w:t>
      </w:r>
    </w:p>
    <w:p w14:paraId="4C2BD81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(9)                 Notification procedure over SMS                         </w:t>
      </w:r>
    </w:p>
    <w:p w14:paraId="490D657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21FB274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3B1FAC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4923204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(10) Check POL2</w:t>
      </w:r>
    </w:p>
    <w:p w14:paraId="639A371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E40F58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(11) Cond.:  MT-SMS [ES5.DELETE command]SCP80</w:t>
      </w:r>
    </w:p>
    <w:p w14:paraId="0D190DE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1536E4B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(11a) Enforce POL1</w:t>
      </w:r>
    </w:p>
    <w:p w14:paraId="75F0B76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EB9382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[ES5.DELETE command FAILED response]SCP80</w:t>
      </w:r>
    </w:p>
    <w:p w14:paraId="12ACC1B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0891034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3E381E5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09F12E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(11b) Delete disabled ISD-P</w:t>
      </w:r>
    </w:p>
    <w:p w14:paraId="049E1D1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and contained profile</w:t>
      </w:r>
    </w:p>
    <w:p w14:paraId="40CF877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48C1D2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(11c) MO-SMS [ES5.DELETE command response]SCP80</w:t>
      </w:r>
    </w:p>
    <w:p w14:paraId="3E47E50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6729C7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(12) Update EIS</w:t>
      </w:r>
    </w:p>
    <w:p w14:paraId="48E8E55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9B3CEB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(13) Profile enabling result</w:t>
      </w:r>
    </w:p>
    <w:p w14:paraId="720E299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SR-&gt;&gt;OP2: (14) HandleProfileDisabledNotification(eid, iccid2)</w:t>
      </w:r>
    </w:p>
    <w:p w14:paraId="245E10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(15) HandleProfileEnabledNotification (eid, iccid)</w:t>
      </w:r>
    </w:p>
    <w:p w14:paraId="47AE89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(16) HandleProfileDisabledNotification (eid, iccid2)</w:t>
      </w:r>
    </w:p>
    <w:p w14:paraId="0DF02CF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(17) Cond.: Profile enabling result</w:t>
      </w:r>
    </w:p>
    <w:p w14:paraId="51F9BDD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4F4F78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eastAsia="en-GB" w:bidi="ar-SA"/>
        </w:rPr>
      </w:pPr>
      <w:r>
        <w:rPr>
          <w:rFonts w:ascii="Courier New" w:hAnsi="Courier New" w:cs="Courier New"/>
          <w:noProof/>
          <w:color w:val="008000"/>
          <w:sz w:val="18"/>
        </w:rPr>
        <w:t xml:space="preserve">@enduml </w:t>
      </w:r>
      <w:bookmarkStart w:id="1682" w:name="_Ref373941027"/>
    </w:p>
    <w:p w14:paraId="74CA1EF5" w14:textId="77777777" w:rsidR="00B97365" w:rsidRDefault="00000000">
      <w:pPr>
        <w:tabs>
          <w:tab w:val="left" w:pos="1009"/>
        </w:tabs>
        <w:spacing w:before="0" w:after="200" w:line="276" w:lineRule="auto"/>
        <w:rPr>
          <w:rFonts w:cs="Arial"/>
          <w:b/>
          <w:szCs w:val="22"/>
          <w:lang w:val="en-US" w:eastAsia="en-GB" w:bidi="ar-SA"/>
        </w:rPr>
      </w:pPr>
      <w:r>
        <w:rPr>
          <w:noProof/>
          <w:lang w:eastAsia="en-GB" w:bidi="ar-SA"/>
        </w:rPr>
        <w:drawing>
          <wp:inline distT="0" distB="0" distL="0" distR="0" wp14:anchorId="1EB69B94" wp14:editId="5E7B5062">
            <wp:extent cx="5731510" cy="4590415"/>
            <wp:effectExtent l="0" t="0" r="2540" b="635"/>
            <wp:docPr id="32" name="Image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4590415"/>
                    </a:xfrm>
                    <a:prstGeom prst="rect">
                      <a:avLst/>
                    </a:prstGeom>
                  </pic:spPr>
                </pic:pic>
              </a:graphicData>
            </a:graphic>
          </wp:inline>
        </w:drawing>
      </w:r>
    </w:p>
    <w:p w14:paraId="0912A082"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Profile Enabling, Success Case</w:t>
      </w:r>
      <w:bookmarkEnd w:id="1682"/>
    </w:p>
    <w:p w14:paraId="2AA44650"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683" w:name="_Toc420594357"/>
      <w:r>
        <w:rPr>
          <w:rFonts w:cs="Arial"/>
          <w:b/>
          <w:noProof/>
          <w:szCs w:val="22"/>
          <w:lang w:eastAsia="en-GB" w:bidi="ar-SA"/>
        </w:rPr>
        <w:t>Start Conditions:</w:t>
      </w:r>
      <w:bookmarkEnd w:id="1683"/>
    </w:p>
    <w:p w14:paraId="7B2A2F8B" w14:textId="6A6E8E14"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p>
    <w:p w14:paraId="1C6EE873"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684" w:name="_Toc420594358"/>
      <w:r>
        <w:rPr>
          <w:rFonts w:cs="Arial"/>
          <w:b/>
          <w:noProof/>
          <w:szCs w:val="22"/>
          <w:lang w:val="en-US" w:eastAsia="en-GB" w:bidi="ar-SA"/>
        </w:rPr>
        <w:t>Procedure:</w:t>
      </w:r>
      <w:bookmarkEnd w:id="1684"/>
    </w:p>
    <w:p w14:paraId="65D84E7B" w14:textId="71468FF2" w:rsidR="00B97365" w:rsidRDefault="00000000">
      <w:pPr>
        <w:numPr>
          <w:ilvl w:val="0"/>
          <w:numId w:val="107"/>
        </w:numPr>
      </w:pPr>
      <w:r>
        <w:t xml:space="preserve">Operator1, the owner of the target Profile, SHALL call the </w:t>
      </w:r>
      <w:r>
        <w:rPr>
          <w:b/>
        </w:rPr>
        <w:t>“ES2.EnableProfile”</w:t>
      </w:r>
      <w:r>
        <w:t xml:space="preserve"> function with its relevant input data, see section </w:t>
      </w:r>
      <w:r>
        <w:fldChar w:fldCharType="begin"/>
      </w:r>
      <w:r>
        <w:instrText xml:space="preserve"> REF _Ref367971098 \r \h  \* MERGEFORMAT </w:instrText>
      </w:r>
      <w:r>
        <w:fldChar w:fldCharType="separate"/>
      </w:r>
      <w:r w:rsidR="001D5AD9">
        <w:t>5.3.5</w:t>
      </w:r>
      <w:r>
        <w:fldChar w:fldCharType="end"/>
      </w:r>
      <w:r>
        <w:t>, in particular the identification of the SM-SR in charge of the management of the target eUICC. If the Profile Enabling procedure has been requested during a Profile Download (see section 3.1.3), this step is not applicable.</w:t>
      </w:r>
    </w:p>
    <w:p w14:paraId="3647A232" w14:textId="017ED450" w:rsidR="00B97365" w:rsidRDefault="00000000">
      <w:pPr>
        <w:numPr>
          <w:ilvl w:val="0"/>
          <w:numId w:val="107"/>
        </w:numPr>
      </w:pPr>
      <w:r>
        <w:t>The SM-DP SHALL forward the request to the SM-SR provided by the Operator and SHALL call the function “</w:t>
      </w:r>
      <w:r>
        <w:rPr>
          <w:b/>
        </w:rPr>
        <w:t>ES3.EnabledProfile</w:t>
      </w:r>
      <w:r>
        <w:t xml:space="preserve">”. During this step the SM-DP may have to establish a link to the SM-SR (see section </w:t>
      </w:r>
      <w:r>
        <w:fldChar w:fldCharType="begin"/>
      </w:r>
      <w:r>
        <w:instrText xml:space="preserve"> REF _Ref445910821 \r \h </w:instrText>
      </w:r>
      <w:r>
        <w:fldChar w:fldCharType="separate"/>
      </w:r>
      <w:r w:rsidR="001D5AD9">
        <w:t>2.6</w:t>
      </w:r>
      <w:r>
        <w:fldChar w:fldCharType="end"/>
      </w:r>
      <w:r>
        <w:t>).</w:t>
      </w:r>
    </w:p>
    <w:p w14:paraId="75262603" w14:textId="77777777" w:rsidR="00B97365" w:rsidRDefault="00B97365">
      <w:pPr>
        <w:ind w:left="567"/>
        <w:rPr>
          <w:rFonts w:cs="Arial"/>
          <w:sz w:val="20"/>
        </w:rPr>
      </w:pPr>
    </w:p>
    <w:p w14:paraId="538D36BA" w14:textId="17520F52" w:rsidR="00B97365" w:rsidRDefault="00000000">
      <w:pPr>
        <w:spacing w:before="0" w:after="200" w:line="276" w:lineRule="auto"/>
        <w:jc w:val="left"/>
        <w:rPr>
          <w:szCs w:val="22"/>
          <w:lang w:val="en-US" w:eastAsia="en-GB" w:bidi="ar-SA"/>
        </w:rPr>
      </w:pPr>
      <w:r>
        <w:rPr>
          <w:rFonts w:cs="Arial"/>
          <w:szCs w:val="22"/>
          <w:lang w:val="en-US" w:eastAsia="en-GB" w:bidi="ar-SA"/>
        </w:rPr>
        <w:t xml:space="preserve">Steps (2) to (12) are the same as in the procedure “Profile Enabling” described in </w:t>
      </w:r>
      <w:r>
        <w:rPr>
          <w:szCs w:val="22"/>
          <w:lang w:eastAsia="en-GB" w:bidi="ar-SA"/>
        </w:rPr>
        <w:t>section</w:t>
      </w:r>
      <w:r>
        <w:rPr>
          <w:szCs w:val="22"/>
          <w:lang w:val="en-US" w:eastAsia="en-GB" w:bidi="ar-SA"/>
        </w:rPr>
        <w:t xml:space="preserve"> </w:t>
      </w:r>
      <w:r>
        <w:fldChar w:fldCharType="begin"/>
      </w:r>
      <w:r>
        <w:instrText xml:space="preserve"> REF _Ref367971142 \r \h  \* MERGEFORMAT </w:instrText>
      </w:r>
      <w:r>
        <w:fldChar w:fldCharType="separate"/>
      </w:r>
      <w:r w:rsidR="001D5AD9" w:rsidRPr="001D5AD9">
        <w:rPr>
          <w:szCs w:val="22"/>
          <w:lang w:val="en-US" w:eastAsia="en-GB" w:bidi="ar-SA"/>
        </w:rPr>
        <w:t>3.2.1</w:t>
      </w:r>
      <w:r>
        <w:fldChar w:fldCharType="end"/>
      </w:r>
      <w:r>
        <w:rPr>
          <w:szCs w:val="22"/>
          <w:lang w:val="en-US" w:eastAsia="en-GB" w:bidi="ar-SA"/>
        </w:rPr>
        <w:t>.</w:t>
      </w:r>
    </w:p>
    <w:p w14:paraId="6B795E4D" w14:textId="77777777" w:rsidR="00B97365" w:rsidRDefault="00000000">
      <w:pPr>
        <w:numPr>
          <w:ilvl w:val="0"/>
          <w:numId w:val="98"/>
        </w:numPr>
      </w:pPr>
      <w:r>
        <w:lastRenderedPageBreak/>
        <w:t>The SM-SR SHALL return the response to the “</w:t>
      </w:r>
      <w:r>
        <w:rPr>
          <w:b/>
        </w:rPr>
        <w:t>ES3.EnableProfile</w:t>
      </w:r>
      <w:r>
        <w:t>” function to the SM-DP, indicating that the Profile has been enabled.</w:t>
      </w:r>
    </w:p>
    <w:p w14:paraId="2A239CEC" w14:textId="3D5F3C34" w:rsidR="00B97365" w:rsidRDefault="00000000">
      <w:pPr>
        <w:numPr>
          <w:ilvl w:val="0"/>
          <w:numId w:val="98"/>
        </w:numPr>
      </w:pPr>
      <w:r>
        <w:t>Unless Operator2 has set an ONC to not receive those notifications, the SM-SR SHALL send the “</w:t>
      </w:r>
      <w:r>
        <w:rPr>
          <w:b/>
        </w:rPr>
        <w:t>ES4.HandleProfileDisabledNotification</w:t>
      </w:r>
      <w:r>
        <w:t>” or “</w:t>
      </w:r>
      <w:r>
        <w:rPr>
          <w:b/>
        </w:rPr>
        <w:t>ES4.HandleProfileDeletedNotification</w:t>
      </w:r>
      <w:r>
        <w:t xml:space="preserve">” (if deletion was triggered by the evaluation of POL1 and POL2) to Operator2, the owner of the Profile that was enabled at the beginning of the procedure. In case Operator2 has no direct connection with the SM-SR, the SM-SR SHALL apply the same process as described in point (14) of section </w:t>
      </w:r>
      <w:r>
        <w:fldChar w:fldCharType="begin"/>
      </w:r>
      <w:r>
        <w:instrText xml:space="preserve"> REF _Ref367971164 \r \h  \* MERGEFORMAT </w:instrText>
      </w:r>
      <w:r>
        <w:fldChar w:fldCharType="separate"/>
      </w:r>
      <w:r w:rsidR="001D5AD9">
        <w:t>3.2.1</w:t>
      </w:r>
      <w:r>
        <w:fldChar w:fldCharType="end"/>
      </w:r>
      <w:r>
        <w:t>.</w:t>
      </w:r>
    </w:p>
    <w:p w14:paraId="3347C168" w14:textId="77777777" w:rsidR="00B97365" w:rsidRDefault="00000000">
      <w:pPr>
        <w:numPr>
          <w:ilvl w:val="0"/>
          <w:numId w:val="98"/>
        </w:numPr>
      </w:pPr>
      <w:r>
        <w:t>The SM-SR SHALL send the "</w:t>
      </w:r>
      <w:r>
        <w:rPr>
          <w:b/>
        </w:rPr>
        <w:t>ES4.HandleProfileEnabledNotification</w:t>
      </w:r>
      <w:r>
        <w:t xml:space="preserve">" to a M2M SP, if authorised by Operator1 the owner of the Profile that was disabled at the beginning of the procedure. </w:t>
      </w:r>
    </w:p>
    <w:p w14:paraId="62D38B0C" w14:textId="77777777" w:rsidR="00B97365" w:rsidRDefault="00000000">
      <w:pPr>
        <w:numPr>
          <w:ilvl w:val="0"/>
          <w:numId w:val="98"/>
        </w:numPr>
      </w:pPr>
      <w:r>
        <w:t>The SM-SR SHALL send the "</w:t>
      </w:r>
      <w:r>
        <w:rPr>
          <w:b/>
        </w:rPr>
        <w:t>ES4.HandleProfileDisabledNotification</w:t>
      </w:r>
      <w:r>
        <w:t>" or "</w:t>
      </w:r>
      <w:r>
        <w:rPr>
          <w:b/>
        </w:rPr>
        <w:t>ES4.HandleProfileDeletedNotification</w:t>
      </w:r>
      <w:r>
        <w:t>" (if deletion was triggered by the evaluation of POL1 and POL2) to a M2M SP, if authorised by Operator2 the owner of the Profile that was enabled at the beginning of the procedure.</w:t>
      </w:r>
    </w:p>
    <w:p w14:paraId="688A2426" w14:textId="77777777" w:rsidR="00B97365" w:rsidRDefault="00000000">
      <w:pPr>
        <w:ind w:left="360"/>
      </w:pPr>
      <w:r>
        <w:t>If the M2M SP is another Operator directly connected to the SM-SR and it is authorised by Operator1, the SM-SR SHALL send this notification to this other Operator by calling the “</w:t>
      </w:r>
      <w:r>
        <w:rPr>
          <w:b/>
        </w:rPr>
        <w:t>ES4.HandleProfileEnabledNotification</w:t>
      </w:r>
      <w:r>
        <w:t>”.</w:t>
      </w:r>
    </w:p>
    <w:p w14:paraId="1699A903" w14:textId="77777777" w:rsidR="00B97365" w:rsidRDefault="00000000">
      <w:pPr>
        <w:ind w:left="360"/>
      </w:pPr>
      <w:r>
        <w:t>If the M2M SP is another Operator connected through its SM-DP and it is authorised by Operator1, the SM-SR SHALL send this notification to the SM-DP associated to this other Operator by calling the “</w:t>
      </w:r>
      <w:r>
        <w:rPr>
          <w:b/>
        </w:rPr>
        <w:t>ES3.HandleProfileEnabledNotification</w:t>
      </w:r>
      <w:r>
        <w:t>”.</w:t>
      </w:r>
    </w:p>
    <w:p w14:paraId="1FF59E73" w14:textId="77777777" w:rsidR="00B97365" w:rsidRDefault="00000000">
      <w:pPr>
        <w:ind w:left="360"/>
      </w:pPr>
      <w:r>
        <w:t>Then the SM-DP, on reception of this notification, SHALL forward it to the Operator, acting as the M2M SP, by calling the “</w:t>
      </w:r>
      <w:r>
        <w:rPr>
          <w:b/>
        </w:rPr>
        <w:t>ES2.HandleProfileEnabledNotification</w:t>
      </w:r>
      <w:r>
        <w:t>”.</w:t>
      </w:r>
    </w:p>
    <w:p w14:paraId="2CCC6AC2" w14:textId="77777777" w:rsidR="00B97365" w:rsidRDefault="00B97365">
      <w:pPr>
        <w:tabs>
          <w:tab w:val="left" w:pos="1560"/>
        </w:tabs>
        <w:spacing w:before="0" w:after="200" w:line="276" w:lineRule="auto"/>
        <w:ind w:left="1559" w:hanging="1202"/>
        <w:jc w:val="left"/>
        <w:rPr>
          <w:szCs w:val="22"/>
          <w:lang w:eastAsia="en-GB" w:bidi="ar-SA"/>
        </w:rPr>
      </w:pPr>
    </w:p>
    <w:p w14:paraId="39286B2B"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This M2M SP might be the same M2M SP as for Operator1 or any other M2M SP.</w:t>
      </w:r>
    </w:p>
    <w:p w14:paraId="5EA43087" w14:textId="77777777" w:rsidR="00B97365" w:rsidRDefault="00000000">
      <w:pPr>
        <w:numPr>
          <w:ilvl w:val="0"/>
          <w:numId w:val="98"/>
        </w:numPr>
      </w:pPr>
      <w:r>
        <w:t>Finally, the SM-DP SHALL return the response to the “</w:t>
      </w:r>
      <w:r>
        <w:rPr>
          <w:b/>
        </w:rPr>
        <w:t>ES2.EnableProfile</w:t>
      </w:r>
      <w:r>
        <w:t xml:space="preserve">” function call to Operator1. If the Profile Enabling procedure has been requested during a Profile Download (see section 3.1.3), then the SM-DP SHALL NOT execute this step.  </w:t>
      </w:r>
    </w:p>
    <w:p w14:paraId="5BE6981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685" w:name="_Toc448998224"/>
      <w:bookmarkStart w:id="1686" w:name="_Toc422150698"/>
      <w:bookmarkStart w:id="1687" w:name="_Toc421874278"/>
      <w:bookmarkStart w:id="1688" w:name="_Toc420594359"/>
      <w:bookmarkStart w:id="1689" w:name="_Toc398214819"/>
      <w:bookmarkStart w:id="1690" w:name="_Toc375158235"/>
      <w:bookmarkStart w:id="1691" w:name="_Toc368932213"/>
      <w:bookmarkStart w:id="1692" w:name="_Toc486332842"/>
      <w:bookmarkStart w:id="1693" w:name="_Toc1977263"/>
      <w:bookmarkStart w:id="1694" w:name="_Toc37062420"/>
      <w:bookmarkStart w:id="1695" w:name="_Toc88839525"/>
      <w:bookmarkStart w:id="1696" w:name="_Toc121503933"/>
      <w:r>
        <w:rPr>
          <w:rFonts w:eastAsia="Times New Roman" w:cs="Arial"/>
          <w:b/>
          <w:bCs/>
          <w:iCs/>
          <w:sz w:val="24"/>
          <w:szCs w:val="26"/>
          <w:lang w:eastAsia="en-US"/>
        </w:rPr>
        <w:t>Connectivity Failure Case</w:t>
      </w:r>
      <w:bookmarkEnd w:id="1685"/>
      <w:bookmarkEnd w:id="1686"/>
      <w:bookmarkEnd w:id="1687"/>
      <w:bookmarkEnd w:id="1688"/>
      <w:bookmarkEnd w:id="1689"/>
      <w:bookmarkEnd w:id="1690"/>
      <w:bookmarkEnd w:id="1691"/>
      <w:bookmarkEnd w:id="1692"/>
      <w:bookmarkEnd w:id="1693"/>
      <w:bookmarkEnd w:id="1694"/>
      <w:bookmarkEnd w:id="1695"/>
      <w:bookmarkEnd w:id="1696"/>
      <w:r>
        <w:rPr>
          <w:rFonts w:eastAsia="Times New Roman" w:cs="Arial"/>
          <w:b/>
          <w:bCs/>
          <w:iCs/>
          <w:sz w:val="24"/>
          <w:szCs w:val="26"/>
          <w:lang w:eastAsia="en-US"/>
        </w:rPr>
        <w:t xml:space="preserve"> </w:t>
      </w:r>
    </w:p>
    <w:p w14:paraId="386482AB" w14:textId="45F2BD85"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sequence flow in the </w:t>
      </w:r>
      <w:r>
        <w:rPr>
          <w:szCs w:val="22"/>
          <w:lang w:val="en-US" w:eastAsia="en-GB" w:bidi="ar-SA"/>
        </w:rPr>
        <w:fldChar w:fldCharType="begin"/>
      </w:r>
      <w:r>
        <w:rPr>
          <w:szCs w:val="22"/>
          <w:lang w:val="en-US" w:eastAsia="en-GB" w:bidi="ar-SA"/>
        </w:rPr>
        <w:instrText xml:space="preserve"> REF _Ref373941060 \r \h </w:instrText>
      </w:r>
      <w:r>
        <w:rPr>
          <w:szCs w:val="22"/>
          <w:lang w:val="en-US" w:eastAsia="en-GB" w:bidi="ar-SA"/>
        </w:rPr>
      </w:r>
      <w:r>
        <w:rPr>
          <w:szCs w:val="22"/>
          <w:lang w:val="en-US" w:eastAsia="en-GB" w:bidi="ar-SA"/>
        </w:rPr>
        <w:fldChar w:fldCharType="separate"/>
      </w:r>
      <w:r w:rsidR="001D5AD9">
        <w:rPr>
          <w:szCs w:val="22"/>
          <w:lang w:val="en-US" w:eastAsia="en-GB" w:bidi="ar-SA"/>
        </w:rPr>
        <w:t>Figure 18</w:t>
      </w:r>
      <w:r>
        <w:rPr>
          <w:szCs w:val="22"/>
          <w:lang w:val="en-US" w:eastAsia="en-GB" w:bidi="ar-SA"/>
        </w:rPr>
        <w:fldChar w:fldCharType="end"/>
      </w:r>
      <w:r>
        <w:rPr>
          <w:szCs w:val="22"/>
          <w:lang w:val="en-US" w:eastAsia="en-GB" w:bidi="ar-SA"/>
        </w:rPr>
        <w:t xml:space="preserve"> describes the case where the targeted Profile cannot provide connectivity after it is enabled, and when </w:t>
      </w:r>
      <w:r>
        <w:rPr>
          <w:szCs w:val="22"/>
          <w:lang w:eastAsia="en-GB" w:bidi="ar-SA"/>
        </w:rPr>
        <w:t>roll-back to the previously Enabled Profile occurs.</w:t>
      </w:r>
    </w:p>
    <w:p w14:paraId="02F5A05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241497E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451517A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5539F14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2AEA42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77F8BA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1C1F010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C78272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58834F1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07F429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“Operator1” as OP1 #FFFFFF</w:t>
      </w:r>
    </w:p>
    <w:p w14:paraId="6D2A44A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0999153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50D072C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“Device” as DEV #FFFFFF</w:t>
      </w:r>
    </w:p>
    <w:p w14:paraId="67D0A0F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49BC586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59977EF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23EEC1F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994F5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OP1-&gt;&gt;DP: (0) Cond.: EnableProfile(eid, smsr-id, iccid)</w:t>
      </w:r>
    </w:p>
    <w:p w14:paraId="028FB41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(1) EnableProfile(eid, iccid)</w:t>
      </w:r>
    </w:p>
    <w:p w14:paraId="5DFDAFC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684D26B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72D2CE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C3CD88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654AE1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04C333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 MT-SMS [ES5.STORE DATA command]SCP80</w:t>
      </w:r>
    </w:p>
    <w:p w14:paraId="4F8E46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2021FCE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Enforce POL1</w:t>
      </w:r>
    </w:p>
    <w:p w14:paraId="52EFC26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3026BE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[ES5.STORE DATA command Failed response]SCP80</w:t>
      </w:r>
    </w:p>
    <w:p w14:paraId="1EF3098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6CC1AD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5D2CD45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1BDA014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Enable ISD-P</w:t>
      </w:r>
    </w:p>
    <w:p w14:paraId="156F5F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CAABF4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[ES5.STORE DATA command response]SCP80</w:t>
      </w:r>
    </w:p>
    <w:p w14:paraId="6D7861E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(6a) Failed</w:t>
      </w:r>
    </w:p>
    <w:p w14:paraId="3E51B33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5F5511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(7) REFRESH, (UICC reset)</w:t>
      </w:r>
    </w:p>
    <w:p w14:paraId="5D7B47C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5D7CAD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with the enabled profile **fails**</w:t>
      </w:r>
    </w:p>
    <w:p w14:paraId="1327406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OR</w:t>
      </w:r>
    </w:p>
    <w:p w14:paraId="63DE2A3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Notification procedure **fails**</w:t>
      </w:r>
    </w:p>
    <w:p w14:paraId="5D079EA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85D8E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082A38C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ISDR #FFFFFF</w:t>
      </w:r>
    </w:p>
    <w:p w14:paraId="56D12B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(9) Enable previous ISD-P</w:t>
      </w:r>
    </w:p>
    <w:p w14:paraId="318619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00964BD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(10) REFRESH, (UICC reset)</w:t>
      </w:r>
    </w:p>
    <w:p w14:paraId="20E84B5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0A9E8F4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(11) Network attachment with the enabled profile </w:t>
      </w:r>
    </w:p>
    <w:p w14:paraId="7FEBCA9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3C79D4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6BE927E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SR #FFFFFF</w:t>
      </w:r>
    </w:p>
    <w:p w14:paraId="6AAD69F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(12)                 Notification procedure over SMS                      </w:t>
      </w:r>
    </w:p>
    <w:p w14:paraId="19C8066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29AB2C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26CBD85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(13) Profile enabling failure</w:t>
      </w:r>
    </w:p>
    <w:p w14:paraId="7536D7A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(14) Cond.: Profile enabling failure</w:t>
      </w:r>
    </w:p>
    <w:p w14:paraId="53FBB9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7B0AEDC7" w14:textId="77777777" w:rsidR="00B97365" w:rsidRDefault="00000000">
      <w:pPr>
        <w:keepNext/>
        <w:rPr>
          <w:rFonts w:cs="Calibri"/>
        </w:rPr>
      </w:pPr>
      <w:r>
        <w:rPr>
          <w:rFonts w:cs="Courier New"/>
          <w:noProof/>
          <w:color w:val="008000"/>
          <w:sz w:val="18"/>
          <w:lang w:eastAsia="en-GB" w:bidi="ar-SA"/>
        </w:rPr>
        <w:lastRenderedPageBreak/>
        <w:drawing>
          <wp:inline distT="0" distB="0" distL="0" distR="0" wp14:anchorId="3BC7B4B7" wp14:editId="776CA6A5">
            <wp:extent cx="5731510" cy="4927667"/>
            <wp:effectExtent l="0" t="0" r="2540" b="6350"/>
            <wp:docPr id="436" name="Picture 43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
                    <pic:cNvPicPr/>
                  </pic:nvPicPr>
                  <pic:blipFill>
                    <a:blip r:embed="rId53">
                      <a:extLst>
                        <a:ext uri="{28A0092B-C50C-407E-A947-70E740481C1C}">
                          <a14:useLocalDpi xmlns:a14="http://schemas.microsoft.com/office/drawing/2010/main" val="0"/>
                        </a:ext>
                      </a:extLst>
                    </a:blip>
                    <a:stretch>
                      <a:fillRect/>
                    </a:stretch>
                  </pic:blipFill>
                  <pic:spPr>
                    <a:xfrm>
                      <a:off x="0" y="0"/>
                      <a:ext cx="5731510" cy="4927667"/>
                    </a:xfrm>
                    <a:prstGeom prst="rect">
                      <a:avLst/>
                    </a:prstGeom>
                  </pic:spPr>
                </pic:pic>
              </a:graphicData>
            </a:graphic>
          </wp:inline>
        </w:drawing>
      </w:r>
    </w:p>
    <w:p w14:paraId="6D50E007"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1697" w:name="_Ref373941060"/>
      <w:r>
        <w:rPr>
          <w:rFonts w:cs="Arial"/>
          <w:b/>
          <w:szCs w:val="22"/>
          <w:lang w:val="en-US" w:eastAsia="en-GB" w:bidi="ar-SA"/>
        </w:rPr>
        <w:t>: Profile Enabling, With Roll-Back</w:t>
      </w:r>
      <w:bookmarkEnd w:id="1697"/>
    </w:p>
    <w:p w14:paraId="52AF6CBF"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698" w:name="_Toc420594360"/>
      <w:r>
        <w:rPr>
          <w:rFonts w:cs="Arial"/>
          <w:b/>
          <w:noProof/>
          <w:szCs w:val="22"/>
          <w:lang w:val="en-US" w:eastAsia="en-GB" w:bidi="ar-SA"/>
        </w:rPr>
        <w:t xml:space="preserve">Start </w:t>
      </w:r>
      <w:r>
        <w:rPr>
          <w:b/>
          <w:noProof/>
          <w:szCs w:val="22"/>
          <w:lang w:eastAsia="en-GB" w:bidi="ar-SA"/>
        </w:rPr>
        <w:t>Conditions</w:t>
      </w:r>
      <w:r>
        <w:rPr>
          <w:b/>
          <w:noProof/>
          <w:szCs w:val="22"/>
          <w:lang w:val="en-US" w:eastAsia="en-GB" w:bidi="ar-SA"/>
        </w:rPr>
        <w:t>:</w:t>
      </w:r>
      <w:bookmarkEnd w:id="1698"/>
    </w:p>
    <w:p w14:paraId="2EEBAD23" w14:textId="758BF711"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the same as in section </w:t>
      </w:r>
      <w:r>
        <w:fldChar w:fldCharType="begin"/>
      </w:r>
      <w:r>
        <w:instrText xml:space="preserve"> REF _Ref367971551 \r \h  \* MERGEFORMAT </w:instrText>
      </w:r>
      <w:r>
        <w:fldChar w:fldCharType="separate"/>
      </w:r>
      <w:r w:rsidR="001D5AD9" w:rsidRPr="001D5AD9">
        <w:rPr>
          <w:szCs w:val="22"/>
          <w:lang w:val="en-US" w:eastAsia="en-GB" w:bidi="ar-SA"/>
        </w:rPr>
        <w:t>3.3.1</w:t>
      </w:r>
      <w:r>
        <w:fldChar w:fldCharType="end"/>
      </w:r>
      <w:r>
        <w:rPr>
          <w:szCs w:val="22"/>
          <w:lang w:val="en-US" w:eastAsia="en-GB" w:bidi="ar-SA"/>
        </w:rPr>
        <w:t>.</w:t>
      </w:r>
    </w:p>
    <w:p w14:paraId="225DD1B6"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699" w:name="_Toc420594361"/>
      <w:r>
        <w:rPr>
          <w:rFonts w:cs="Arial"/>
          <w:b/>
          <w:noProof/>
          <w:szCs w:val="22"/>
          <w:lang w:eastAsia="en-GB" w:bidi="ar-SA"/>
        </w:rPr>
        <w:t>Procedure</w:t>
      </w:r>
      <w:r>
        <w:rPr>
          <w:b/>
          <w:noProof/>
          <w:szCs w:val="22"/>
          <w:lang w:val="en-US" w:eastAsia="en-GB" w:bidi="ar-SA"/>
        </w:rPr>
        <w:t>:</w:t>
      </w:r>
      <w:bookmarkEnd w:id="1699"/>
    </w:p>
    <w:p w14:paraId="0442FD3A" w14:textId="24C108E8" w:rsidR="00B97365" w:rsidRDefault="00000000">
      <w:pPr>
        <w:spacing w:before="0" w:after="200" w:line="276" w:lineRule="auto"/>
        <w:jc w:val="left"/>
        <w:rPr>
          <w:szCs w:val="22"/>
          <w:lang w:val="en-US" w:eastAsia="en-GB" w:bidi="ar-SA"/>
        </w:rPr>
      </w:pPr>
      <w:r>
        <w:rPr>
          <w:rFonts w:cs="Arial"/>
          <w:szCs w:val="22"/>
          <w:lang w:val="en-US" w:eastAsia="en-GB" w:bidi="ar-SA"/>
        </w:rPr>
        <w:t xml:space="preserve">Steps (0) and (1) are the same as in section </w:t>
      </w:r>
      <w:r>
        <w:fldChar w:fldCharType="begin"/>
      </w:r>
      <w:r>
        <w:instrText xml:space="preserve"> REF _Ref367971566 \r \h  \* MERGEFORMAT </w:instrText>
      </w:r>
      <w:r>
        <w:fldChar w:fldCharType="separate"/>
      </w:r>
      <w:r w:rsidR="001D5AD9" w:rsidRPr="001D5AD9">
        <w:rPr>
          <w:szCs w:val="22"/>
          <w:lang w:val="en-US" w:eastAsia="en-GB" w:bidi="ar-SA"/>
        </w:rPr>
        <w:t>3.3.1</w:t>
      </w:r>
      <w:r>
        <w:fldChar w:fldCharType="end"/>
      </w:r>
      <w:r>
        <w:rPr>
          <w:szCs w:val="22"/>
          <w:lang w:val="en-US" w:eastAsia="en-GB" w:bidi="ar-SA"/>
        </w:rPr>
        <w:t xml:space="preserve">. </w:t>
      </w:r>
      <w:r>
        <w:rPr>
          <w:rFonts w:cs="Arial"/>
          <w:lang w:val="en-US"/>
        </w:rPr>
        <w:t xml:space="preserve">If the Profile Enabling procedure has been requested during a Profile Download (see section 3.1.3), the step (0) is not applicable. </w:t>
      </w:r>
    </w:p>
    <w:p w14:paraId="18F93FD6" w14:textId="5E893BA3" w:rsidR="00B97365" w:rsidRDefault="00000000">
      <w:pPr>
        <w:rPr>
          <w:lang w:val="en-US"/>
        </w:rPr>
      </w:pPr>
      <w:r>
        <w:rPr>
          <w:rFonts w:cs="Arial"/>
          <w:lang w:val="en-US"/>
        </w:rPr>
        <w:t xml:space="preserve">Steps (2) to (12) are the same as in procedure “Connectivity failure case” as described in section </w:t>
      </w:r>
      <w:r>
        <w:fldChar w:fldCharType="begin"/>
      </w:r>
      <w:r>
        <w:instrText xml:space="preserve"> REF _Ref367971583 \r \h  \* MERGEFORMAT </w:instrText>
      </w:r>
      <w:r>
        <w:fldChar w:fldCharType="separate"/>
      </w:r>
      <w:r w:rsidR="001D5AD9" w:rsidRPr="001D5AD9">
        <w:rPr>
          <w:lang w:val="en-US"/>
        </w:rPr>
        <w:t>3.2.2</w:t>
      </w:r>
      <w:r>
        <w:fldChar w:fldCharType="end"/>
      </w:r>
      <w:r>
        <w:rPr>
          <w:lang w:val="en-US"/>
        </w:rPr>
        <w:t>.</w:t>
      </w:r>
    </w:p>
    <w:p w14:paraId="2D12BD33" w14:textId="77777777" w:rsidR="00B97365" w:rsidRDefault="00B97365">
      <w:pPr>
        <w:rPr>
          <w:lang w:val="en-US"/>
        </w:rPr>
      </w:pPr>
    </w:p>
    <w:p w14:paraId="42F119CE" w14:textId="77777777" w:rsidR="00B97365" w:rsidRDefault="00000000">
      <w:pPr>
        <w:numPr>
          <w:ilvl w:val="0"/>
          <w:numId w:val="108"/>
        </w:numPr>
      </w:pPr>
      <w:r>
        <w:t>The SM-SR SHALL return the response to the “</w:t>
      </w:r>
      <w:r>
        <w:rPr>
          <w:b/>
        </w:rPr>
        <w:t>ES3.EnableProfile</w:t>
      </w:r>
      <w:r>
        <w:t>” function to the SM-DP, indicating a failure, the target Profile didn’t succeed to provide the connectivity.</w:t>
      </w:r>
    </w:p>
    <w:p w14:paraId="3677CA3B" w14:textId="77777777" w:rsidR="00B97365" w:rsidRDefault="00B97365">
      <w:pPr>
        <w:spacing w:before="0" w:after="200" w:line="276" w:lineRule="auto"/>
        <w:ind w:left="360"/>
        <w:contextualSpacing/>
      </w:pPr>
    </w:p>
    <w:p w14:paraId="2C95FD78" w14:textId="77777777" w:rsidR="00B97365" w:rsidRDefault="00000000">
      <w:pPr>
        <w:numPr>
          <w:ilvl w:val="0"/>
          <w:numId w:val="108"/>
        </w:numPr>
      </w:pPr>
      <w:r>
        <w:t>Finally, the SM-DP SHALL return the response to the “</w:t>
      </w:r>
      <w:r>
        <w:rPr>
          <w:b/>
        </w:rPr>
        <w:t>ES2.EnableProfile</w:t>
      </w:r>
      <w:r>
        <w:t xml:space="preserve">” function to Operator1, indicating a failure, the target Profile didn’t succeed to provide the connectivity. If the Profile Enabling procedure has been requested during a Profile Download (see section 3.1.3), then the SM-DP SHALL NOT execute this step. </w:t>
      </w:r>
    </w:p>
    <w:p w14:paraId="1129BBBD" w14:textId="77777777" w:rsidR="00B97365" w:rsidRDefault="00B97365">
      <w:pPr>
        <w:ind w:left="567"/>
        <w:rPr>
          <w:lang w:val="en-US"/>
        </w:rPr>
      </w:pPr>
    </w:p>
    <w:p w14:paraId="0913FEA8" w14:textId="77777777" w:rsidR="00B97365" w:rsidRDefault="00000000">
      <w:pPr>
        <w:tabs>
          <w:tab w:val="left" w:pos="1560"/>
        </w:tabs>
        <w:spacing w:before="0" w:after="200" w:line="276" w:lineRule="auto"/>
        <w:ind w:left="1560" w:hanging="1276"/>
        <w:jc w:val="left"/>
        <w:rPr>
          <w:rFonts w:cs="Arial"/>
          <w:szCs w:val="22"/>
          <w:lang w:val="en-US" w:eastAsia="en-GB" w:bidi="ar-SA"/>
        </w:rPr>
      </w:pPr>
      <w:r>
        <w:rPr>
          <w:rFonts w:cs="Arial"/>
          <w:szCs w:val="22"/>
          <w:lang w:val="en-US" w:eastAsia="en-GB" w:bidi="ar-SA"/>
        </w:rPr>
        <w:lastRenderedPageBreak/>
        <w:t xml:space="preserve">NOTE: </w:t>
      </w:r>
      <w:r>
        <w:rPr>
          <w:rFonts w:cs="Arial"/>
          <w:szCs w:val="22"/>
          <w:lang w:val="en-US" w:eastAsia="en-GB" w:bidi="ar-SA"/>
        </w:rPr>
        <w:tab/>
        <w:t xml:space="preserve">In case the previously Enabled Profile can also not provide connectivity, the eUICC SHALL activate the Fall-Back Mechanism. </w:t>
      </w:r>
    </w:p>
    <w:p w14:paraId="5F1D20F6"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700" w:name="_Toc448998225"/>
      <w:bookmarkStart w:id="1701" w:name="_Toc422150699"/>
      <w:bookmarkStart w:id="1702" w:name="_Toc421874279"/>
      <w:bookmarkStart w:id="1703" w:name="_Toc420594362"/>
      <w:bookmarkStart w:id="1704" w:name="_Toc398214820"/>
      <w:bookmarkStart w:id="1705" w:name="_Toc375158236"/>
      <w:bookmarkStart w:id="1706" w:name="_Toc374348486"/>
      <w:bookmarkStart w:id="1707" w:name="_Toc368932214"/>
      <w:bookmarkStart w:id="1708" w:name="_Ref367975197"/>
      <w:bookmarkStart w:id="1709" w:name="_Ref367974746"/>
      <w:bookmarkStart w:id="1710" w:name="_Ref367971906"/>
      <w:bookmarkStart w:id="1711" w:name="_Ref367971850"/>
      <w:bookmarkStart w:id="1712" w:name="_Ref367967843"/>
      <w:bookmarkStart w:id="1713" w:name="_Toc352772919"/>
      <w:bookmarkStart w:id="1714" w:name="_Toc486332843"/>
      <w:bookmarkStart w:id="1715" w:name="_Toc1977264"/>
      <w:bookmarkStart w:id="1716" w:name="_Toc37062421"/>
      <w:bookmarkStart w:id="1717" w:name="_Toc88839526"/>
      <w:bookmarkStart w:id="1718" w:name="_Toc121503934"/>
      <w:r>
        <w:rPr>
          <w:rFonts w:eastAsia="Times New Roman" w:cs="Arial"/>
          <w:b/>
          <w:bCs/>
          <w:iCs/>
          <w:sz w:val="24"/>
          <w:szCs w:val="28"/>
          <w:lang w:eastAsia="en-US"/>
        </w:rPr>
        <w:t>Profile Disabling</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7B86647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Profile Disabling procedure is initiated by the Operator owning the Profile to be disabled. The procedure illustrated using SMS as a possible transport protocol between the SM-SR and the eUICC, but can be also performed using other transport protocols.</w:t>
      </w:r>
    </w:p>
    <w:p w14:paraId="6DC92708" w14:textId="11E78C70"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sequence flow in the </w:t>
      </w:r>
      <w:r>
        <w:rPr>
          <w:szCs w:val="22"/>
          <w:lang w:val="en-US" w:eastAsia="en-GB" w:bidi="ar-SA"/>
        </w:rPr>
        <w:fldChar w:fldCharType="begin"/>
      </w:r>
      <w:r>
        <w:rPr>
          <w:szCs w:val="22"/>
          <w:lang w:val="en-US" w:eastAsia="en-GB" w:bidi="ar-SA"/>
        </w:rPr>
        <w:instrText xml:space="preserve"> REF _Ref373941092 \r \h </w:instrText>
      </w:r>
      <w:r>
        <w:rPr>
          <w:szCs w:val="22"/>
          <w:lang w:val="en-US" w:eastAsia="en-GB" w:bidi="ar-SA"/>
        </w:rPr>
      </w:r>
      <w:r>
        <w:rPr>
          <w:szCs w:val="22"/>
          <w:lang w:val="en-US" w:eastAsia="en-GB" w:bidi="ar-SA"/>
        </w:rPr>
        <w:fldChar w:fldCharType="separate"/>
      </w:r>
      <w:r w:rsidR="001D5AD9">
        <w:rPr>
          <w:szCs w:val="22"/>
          <w:lang w:val="en-US" w:eastAsia="en-GB" w:bidi="ar-SA"/>
        </w:rPr>
        <w:t>0</w:t>
      </w:r>
      <w:r>
        <w:rPr>
          <w:szCs w:val="22"/>
          <w:lang w:val="en-US" w:eastAsia="en-GB" w:bidi="ar-SA"/>
        </w:rPr>
        <w:fldChar w:fldCharType="end"/>
      </w:r>
      <w:r>
        <w:rPr>
          <w:szCs w:val="22"/>
          <w:lang w:val="en-US" w:eastAsia="en-GB" w:bidi="ar-SA"/>
        </w:rPr>
        <w:t xml:space="preserve"> describes the case where the targeted Profile can successfully be disabled.</w:t>
      </w:r>
    </w:p>
    <w:p w14:paraId="58EB5D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5863AB7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02B6060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1C12999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109B9F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3D3C706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52B1B25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6132B3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286DA9A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2117E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participant “M2M SP” as M2MSP #FFFFFF </w:t>
      </w:r>
    </w:p>
    <w:p w14:paraId="4437550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“Operator2” as OP2 #FFFFFF</w:t>
      </w:r>
    </w:p>
    <w:p w14:paraId="19C4BA0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“Operator1” as OP1 #FFFFFF</w:t>
      </w:r>
    </w:p>
    <w:p w14:paraId="2B20FD3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2B9E6DE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“Device” as DEV #FFFFFF</w:t>
      </w:r>
    </w:p>
    <w:p w14:paraId="77EA679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box “eUICC” #FFFFFF</w:t>
      </w:r>
    </w:p>
    <w:p w14:paraId="7694182A"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3C254C">
        <w:rPr>
          <w:rFonts w:ascii="Courier New" w:hAnsi="Courier New" w:cs="Courier New"/>
          <w:noProof/>
          <w:color w:val="008000"/>
          <w:sz w:val="18"/>
          <w:lang w:val="fr-FR"/>
        </w:rPr>
        <w:t>participant “ISD-R” as ISDR #FFFFFF</w:t>
      </w:r>
    </w:p>
    <w:p w14:paraId="2A6FF214"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3C254C">
        <w:rPr>
          <w:rFonts w:ascii="Courier New" w:hAnsi="Courier New" w:cs="Courier New"/>
          <w:noProof/>
          <w:color w:val="008000"/>
          <w:sz w:val="18"/>
          <w:lang w:val="fr-FR"/>
        </w:rPr>
        <w:t>endbox</w:t>
      </w:r>
    </w:p>
    <w:p w14:paraId="23A6B59F"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4D924BC2"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3C254C">
        <w:rPr>
          <w:rFonts w:ascii="Courier New" w:hAnsi="Courier New" w:cs="Courier New"/>
          <w:noProof/>
          <w:color w:val="008000"/>
          <w:sz w:val="18"/>
          <w:lang w:val="fr-FR"/>
        </w:rPr>
        <w:t>OP1-&gt;&gt;SR: (1) DisableProfile(eid, iccid)</w:t>
      </w:r>
    </w:p>
    <w:p w14:paraId="007137C2"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3C254C">
        <w:rPr>
          <w:rFonts w:ascii="Courier New" w:hAnsi="Courier New" w:cs="Courier New"/>
          <w:noProof/>
          <w:color w:val="008000"/>
          <w:sz w:val="18"/>
          <w:lang w:val="fr-FR"/>
        </w:rPr>
        <w:t>Rnote over SR #FFFFF</w:t>
      </w:r>
    </w:p>
    <w:p w14:paraId="1274BEA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23C2065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579695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Failed</w:t>
      </w:r>
    </w:p>
    <w:p w14:paraId="7DCB263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 MT-SMS [ES5.STORE DATA command]SCP80</w:t>
      </w:r>
    </w:p>
    <w:p w14:paraId="75866BB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40DF340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Enforce POL1</w:t>
      </w:r>
    </w:p>
    <w:p w14:paraId="4DDAF33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3B056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[ES5.STORE DATA command Failed response]SCP80</w:t>
      </w:r>
    </w:p>
    <w:p w14:paraId="7EFAD7D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Failed</w:t>
      </w:r>
    </w:p>
    <w:p w14:paraId="7836F92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7001CAF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Disable ISD-P</w:t>
      </w:r>
    </w:p>
    <w:p w14:paraId="0FD3AE8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6DA902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[ES5.STORE DATA command response]SCP80</w:t>
      </w:r>
    </w:p>
    <w:p w14:paraId="49D9540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(6a) Failed</w:t>
      </w:r>
    </w:p>
    <w:p w14:paraId="317A6AC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(7) REFRESH, (UICC reset)</w:t>
      </w:r>
    </w:p>
    <w:p w14:paraId="405F88B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2C0CE3A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using profile with Fall-Back Attribute</w:t>
      </w:r>
    </w:p>
    <w:p w14:paraId="0586F56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580776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4C71C3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SR #FFFFFF</w:t>
      </w:r>
    </w:p>
    <w:p w14:paraId="43689C5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(9)                 Notification procedure over SMS                         </w:t>
      </w:r>
    </w:p>
    <w:p w14:paraId="1F43A44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01031C3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6F5EB9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1FFAB6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(10) Check POL2</w:t>
      </w:r>
    </w:p>
    <w:p w14:paraId="7026E0D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E8BB8C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(11) Cond.:  MT-SMS [ES5.DELETE command]SCP80</w:t>
      </w:r>
    </w:p>
    <w:p w14:paraId="713D422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561F96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(11a) Enforce POL1</w:t>
      </w:r>
    </w:p>
    <w:p w14:paraId="14CC607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F9CA23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[ES5.DELETE command FAILED response]SCP80</w:t>
      </w:r>
    </w:p>
    <w:p w14:paraId="3708300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Failed</w:t>
      </w:r>
    </w:p>
    <w:p w14:paraId="5026AB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7695A5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(11b) Delete disabled ISD-P</w:t>
      </w:r>
    </w:p>
    <w:p w14:paraId="660976E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and contained profile</w:t>
      </w:r>
    </w:p>
    <w:p w14:paraId="1422CD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639B00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(11c) MO-SMS [ES5.DELETE command response]SCP80</w:t>
      </w:r>
    </w:p>
    <w:p w14:paraId="3E21F2C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376A882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(12) Update EIS</w:t>
      </w:r>
    </w:p>
    <w:p w14:paraId="0CF699F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B7E33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(13) Profile disabling result</w:t>
      </w:r>
    </w:p>
    <w:p w14:paraId="638AEF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SR-&gt;&gt;OP2: (14) HandleProfileEnabledNotification(eid, iccid2)</w:t>
      </w:r>
    </w:p>
    <w:p w14:paraId="641A680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(15) HandleProfileDisabledNotification (eid, iccid)</w:t>
      </w:r>
    </w:p>
    <w:p w14:paraId="6416227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(16) HandleProfileEnabledNotification (eid, iccid2)</w:t>
      </w:r>
    </w:p>
    <w:p w14:paraId="40344EF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1C58A7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025D7D9A" w14:textId="77777777" w:rsidR="00B97365" w:rsidRDefault="00000000">
      <w:pPr>
        <w:rPr>
          <w:rFonts w:cs="Courier New"/>
          <w:noProof/>
          <w:color w:val="008000"/>
          <w:sz w:val="18"/>
          <w:lang w:val="en-US" w:eastAsia="en-GB" w:bidi="ar-SA"/>
        </w:rPr>
      </w:pPr>
      <w:bookmarkStart w:id="1719" w:name="_Ref373941092"/>
      <w:r>
        <w:rPr>
          <w:rFonts w:cs="Courier New"/>
          <w:noProof/>
          <w:color w:val="008000"/>
          <w:sz w:val="18"/>
          <w:lang w:eastAsia="en-GB" w:bidi="ar-SA"/>
        </w:rPr>
        <w:lastRenderedPageBreak/>
        <w:drawing>
          <wp:inline distT="0" distB="0" distL="0" distR="0" wp14:anchorId="1E4203CD" wp14:editId="65988CB0">
            <wp:extent cx="5731510" cy="4757952"/>
            <wp:effectExtent l="0" t="0" r="2540" b="5080"/>
            <wp:docPr id="437" name="Picture 43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
                    <pic:cNvPicPr/>
                  </pic:nvPicPr>
                  <pic:blipFill>
                    <a:blip r:embed="rId54">
                      <a:extLst>
                        <a:ext uri="{28A0092B-C50C-407E-A947-70E740481C1C}">
                          <a14:useLocalDpi xmlns:a14="http://schemas.microsoft.com/office/drawing/2010/main" val="0"/>
                        </a:ext>
                      </a:extLst>
                    </a:blip>
                    <a:stretch>
                      <a:fillRect/>
                    </a:stretch>
                  </pic:blipFill>
                  <pic:spPr>
                    <a:xfrm>
                      <a:off x="0" y="0"/>
                      <a:ext cx="5731510" cy="4757952"/>
                    </a:xfrm>
                    <a:prstGeom prst="rect">
                      <a:avLst/>
                    </a:prstGeom>
                  </pic:spPr>
                </pic:pic>
              </a:graphicData>
            </a:graphic>
          </wp:inline>
        </w:drawing>
      </w:r>
    </w:p>
    <w:p w14:paraId="57A84147"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Profile Disabling</w:t>
      </w:r>
      <w:bookmarkEnd w:id="1719"/>
    </w:p>
    <w:p w14:paraId="6CDD33CF"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720" w:name="_Toc420594363"/>
      <w:r>
        <w:rPr>
          <w:rFonts w:cs="Arial"/>
          <w:b/>
          <w:noProof/>
          <w:szCs w:val="22"/>
          <w:lang w:val="en-US" w:eastAsia="en-GB" w:bidi="ar-SA"/>
        </w:rPr>
        <w:t>Start Conditions:</w:t>
      </w:r>
      <w:bookmarkEnd w:id="1720"/>
    </w:p>
    <w:p w14:paraId="7D197612" w14:textId="4D035647"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p>
    <w:p w14:paraId="54D383B4"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721" w:name="_Toc420594364"/>
      <w:r>
        <w:rPr>
          <w:rFonts w:cs="Arial"/>
          <w:b/>
          <w:noProof/>
          <w:szCs w:val="22"/>
          <w:lang w:val="en-US" w:eastAsia="en-GB" w:bidi="ar-SA"/>
        </w:rPr>
        <w:t>Procedure:</w:t>
      </w:r>
      <w:bookmarkEnd w:id="1721"/>
    </w:p>
    <w:p w14:paraId="51707146" w14:textId="77777777" w:rsidR="00B97365" w:rsidRDefault="00000000">
      <w:pPr>
        <w:numPr>
          <w:ilvl w:val="0"/>
          <w:numId w:val="109"/>
        </w:numPr>
        <w:rPr>
          <w:lang w:val="en-US"/>
        </w:rPr>
      </w:pPr>
      <w:r>
        <w:rPr>
          <w:lang w:val="en-US"/>
        </w:rPr>
        <w:t>Operator1, the owner of the target Profile SHALL call the “</w:t>
      </w:r>
      <w:r>
        <w:rPr>
          <w:b/>
          <w:lang w:val="en-US"/>
        </w:rPr>
        <w:t>ES4.DisableProfile</w:t>
      </w:r>
      <w:r>
        <w:rPr>
          <w:lang w:val="en-US"/>
        </w:rPr>
        <w:t xml:space="preserve">” function with its relevant input data. </w:t>
      </w:r>
    </w:p>
    <w:p w14:paraId="61B65EF2" w14:textId="0A65E45A" w:rsidR="00B97365" w:rsidRDefault="00000000">
      <w:pPr>
        <w:numPr>
          <w:ilvl w:val="0"/>
          <w:numId w:val="109"/>
        </w:numPr>
        <w:rPr>
          <w:lang w:val="en-US"/>
        </w:rPr>
      </w:pPr>
      <w:r>
        <w:rPr>
          <w:lang w:val="en-US"/>
        </w:rPr>
        <w:t xml:space="preserve">The SM-SR SHALL verify that the Operator1 request is acceptable (the verifications that the SM-SR SHALL perform are described in the section </w:t>
      </w:r>
      <w:r>
        <w:fldChar w:fldCharType="begin"/>
      </w:r>
      <w:r>
        <w:instrText xml:space="preserve"> REF _Ref367971686 \r \h  \* MERGEFORMAT </w:instrText>
      </w:r>
      <w:r>
        <w:fldChar w:fldCharType="separate"/>
      </w:r>
      <w:r w:rsidR="001D5AD9" w:rsidRPr="001D5AD9">
        <w:rPr>
          <w:lang w:val="en-US"/>
        </w:rPr>
        <w:t>5.5.6</w:t>
      </w:r>
      <w:r>
        <w:fldChar w:fldCharType="end"/>
      </w:r>
      <w:r>
        <w:rPr>
          <w:lang w:val="en-US"/>
        </w:rPr>
        <w:t>, and in particular checks that Profile is enabled and Profile disabling is allowed in POL2. If any of the conditions to be verified are not satisfied, the SM-SR SHALL return a response indicating the failure, and the procedure SHALL end.</w:t>
      </w:r>
    </w:p>
    <w:p w14:paraId="2C6565EC" w14:textId="54B7ACEA" w:rsidR="00B97365" w:rsidRDefault="00000000">
      <w:pPr>
        <w:numPr>
          <w:ilvl w:val="0"/>
          <w:numId w:val="109"/>
        </w:numPr>
        <w:rPr>
          <w:lang w:val="en-US"/>
        </w:rPr>
      </w:pPr>
      <w:r>
        <w:rPr>
          <w:lang w:val="en-US"/>
        </w:rPr>
        <w:t>The SM-SR SHALL send an MT-SMS containing the “</w:t>
      </w:r>
      <w:r>
        <w:rPr>
          <w:b/>
          <w:lang w:val="en-US"/>
        </w:rPr>
        <w:t>ES5.STORE DATA</w:t>
      </w:r>
      <w:r>
        <w:rPr>
          <w:lang w:val="en-US"/>
        </w:rPr>
        <w:t xml:space="preserve">” command for Profile disabling with its relevant input data (see section </w:t>
      </w:r>
      <w:r>
        <w:fldChar w:fldCharType="begin"/>
      </w:r>
      <w:r>
        <w:instrText xml:space="preserve"> REF _Ref367971749 \r \h  \* MERGEFORMAT </w:instrText>
      </w:r>
      <w:r>
        <w:fldChar w:fldCharType="separate"/>
      </w:r>
      <w:r w:rsidR="001D5AD9" w:rsidRPr="001D5AD9">
        <w:rPr>
          <w:lang w:val="en-US"/>
        </w:rPr>
        <w:t>4.1.1.3</w:t>
      </w:r>
      <w:r>
        <w:fldChar w:fldCharType="end"/>
      </w:r>
      <w:r>
        <w:rPr>
          <w:lang w:val="en-US"/>
        </w:rPr>
        <w:t>) to the ISD-R. The SM-SR SHALL request a PoR to get the execution status of the “</w:t>
      </w:r>
      <w:r>
        <w:rPr>
          <w:b/>
          <w:lang w:val="en-US"/>
        </w:rPr>
        <w:t>ES5.STORE DATA</w:t>
      </w:r>
      <w:r>
        <w:rPr>
          <w:lang w:val="en-US"/>
        </w:rPr>
        <w:t>” command.</w:t>
      </w:r>
    </w:p>
    <w:p w14:paraId="4903D9D0" w14:textId="77777777" w:rsidR="00B97365" w:rsidRDefault="00000000">
      <w:pPr>
        <w:numPr>
          <w:ilvl w:val="0"/>
          <w:numId w:val="109"/>
        </w:numPr>
        <w:rPr>
          <w:lang w:val="en-US"/>
        </w:rPr>
      </w:pPr>
      <w:r>
        <w:rPr>
          <w:lang w:val="en-US"/>
        </w:rPr>
        <w:t>The ISD-R SHALL enforce POL1 of the currently Enabled Profile. In case POL1 rejects disabling, the ISD-R SHALL return PoR containing the response indicating a failure, and the procedure SHALL end.</w:t>
      </w:r>
    </w:p>
    <w:p w14:paraId="33C7DA8D" w14:textId="77777777" w:rsidR="00B97365" w:rsidRDefault="00000000">
      <w:pPr>
        <w:numPr>
          <w:ilvl w:val="0"/>
          <w:numId w:val="109"/>
        </w:numPr>
        <w:rPr>
          <w:lang w:val="en-US"/>
        </w:rPr>
      </w:pPr>
      <w:r>
        <w:rPr>
          <w:lang w:val="en-US"/>
        </w:rPr>
        <w:lastRenderedPageBreak/>
        <w:t>The ISD-R SHALL disable the targeted ISD-P and the contained Profile and SHALL enable the Profile with the Fall-Back Attribute set.</w:t>
      </w:r>
    </w:p>
    <w:p w14:paraId="151832D6" w14:textId="0E54CF8A" w:rsidR="00B97365" w:rsidRDefault="00000000">
      <w:pPr>
        <w:spacing w:after="200" w:line="276" w:lineRule="auto"/>
        <w:ind w:left="1560" w:hanging="1276"/>
        <w:jc w:val="left"/>
        <w:rPr>
          <w:lang w:val="en-US"/>
        </w:rPr>
      </w:pPr>
      <w:r>
        <w:rPr>
          <w:rFonts w:cs="Arial"/>
          <w:lang w:val="en-US"/>
        </w:rPr>
        <w:t xml:space="preserve">NOTE: </w:t>
      </w:r>
      <w:r>
        <w:rPr>
          <w:rFonts w:cs="Arial"/>
          <w:lang w:val="en-US"/>
        </w:rPr>
        <w:tab/>
        <w:t xml:space="preserve">Profile change includes a change of the IMSI that is used to attach to the network. As indicated in 3GPP TS 31.102 </w:t>
      </w:r>
      <w:r>
        <w:rPr>
          <w:lang w:val="en-US"/>
        </w:rPr>
        <w:fldChar w:fldCharType="begin"/>
      </w:r>
      <w:r>
        <w:rPr>
          <w:lang w:val="en-US"/>
        </w:rPr>
        <w:instrText xml:space="preserve"> REF _Ref421632746 \r \h </w:instrText>
      </w:r>
      <w:r>
        <w:rPr>
          <w:lang w:val="en-US"/>
        </w:rPr>
      </w:r>
      <w:r>
        <w:rPr>
          <w:lang w:val="en-US"/>
        </w:rPr>
        <w:fldChar w:fldCharType="separate"/>
      </w:r>
      <w:r w:rsidR="001D5AD9">
        <w:rPr>
          <w:lang w:val="en-US"/>
        </w:rPr>
        <w:t>[52]</w:t>
      </w:r>
      <w:r>
        <w:rPr>
          <w:lang w:val="en-US"/>
        </w:rPr>
        <w:fldChar w:fldCharType="end"/>
      </w:r>
      <w:r>
        <w:rPr>
          <w:lang w:val="en-US"/>
        </w:rPr>
        <w:t>, such a change requires special caution and should always be accompanied by a REFRESH command to avoid inconsistent information being read by the terminal. So while the targeted ISD-P is marked as enabled in this step, it MAY actually become effective only after the terminal executes the REFRESH command.</w:t>
      </w:r>
    </w:p>
    <w:p w14:paraId="5C62E686" w14:textId="77777777" w:rsidR="00B97365" w:rsidRDefault="00000000">
      <w:pPr>
        <w:numPr>
          <w:ilvl w:val="0"/>
          <w:numId w:val="109"/>
        </w:numPr>
        <w:rPr>
          <w:lang w:val="en-US"/>
        </w:rPr>
      </w:pPr>
      <w:r>
        <w:rPr>
          <w:lang w:val="en-US"/>
        </w:rPr>
        <w:t>The ISD-R SHALL return the MO-SMS containing the execution status of the “</w:t>
      </w:r>
      <w:r>
        <w:rPr>
          <w:b/>
          <w:lang w:val="en-US"/>
        </w:rPr>
        <w:t>ES5.STORE DATA</w:t>
      </w:r>
      <w:r>
        <w:rPr>
          <w:lang w:val="en-US"/>
        </w:rPr>
        <w:t>” command to the SM-SR.</w:t>
      </w:r>
    </w:p>
    <w:p w14:paraId="59329804" w14:textId="77777777" w:rsidR="00B97365" w:rsidRDefault="00000000">
      <w:pPr>
        <w:ind w:left="1276" w:hanging="709"/>
        <w:rPr>
          <w:rFonts w:cs="Arial"/>
        </w:rPr>
      </w:pPr>
      <w:r>
        <w:rPr>
          <w:rFonts w:cs="Arial"/>
        </w:rPr>
        <w:t>(6a)</w:t>
      </w:r>
      <w:r>
        <w:rPr>
          <w:rFonts w:cs="Arial"/>
        </w:rPr>
        <w:tab/>
        <w:t>If the response to the “</w:t>
      </w:r>
      <w:r>
        <w:rPr>
          <w:rFonts w:cs="Arial"/>
          <w:b/>
        </w:rPr>
        <w:t>ES5.STORE DATA</w:t>
      </w:r>
      <w:r>
        <w:rPr>
          <w:rFonts w:cs="Arial"/>
        </w:rPr>
        <w:t>” command indicates a failure, the SM-SR SHALL return a response indicating the failure to Operator1, and the procedure SHALL end.</w:t>
      </w:r>
    </w:p>
    <w:p w14:paraId="04FEBC88" w14:textId="77777777" w:rsidR="00B97365" w:rsidRDefault="00000000">
      <w:pPr>
        <w:numPr>
          <w:ilvl w:val="0"/>
          <w:numId w:val="109"/>
        </w:numPr>
        <w:rPr>
          <w:lang w:val="en-US"/>
        </w:rPr>
      </w:pPr>
      <w:r>
        <w:rPr>
          <w:lang w:val="en-US"/>
        </w:rPr>
        <w:t>The ISD-R sends a REFRESH proactive command in UICC reset mode to the Device. This will trigger the execution of a network attach procedure.</w:t>
      </w:r>
    </w:p>
    <w:p w14:paraId="3B93502C" w14:textId="3A644737" w:rsidR="00B97365" w:rsidRDefault="00000000">
      <w:pPr>
        <w:spacing w:after="200" w:line="276" w:lineRule="auto"/>
        <w:ind w:left="1560" w:hanging="1276"/>
        <w:jc w:val="left"/>
        <w:rPr>
          <w:lang w:val="en-US"/>
        </w:rPr>
      </w:pPr>
      <w:r>
        <w:rPr>
          <w:rFonts w:cs="Arial"/>
          <w:lang w:val="en-US"/>
        </w:rPr>
        <w:t xml:space="preserve">NOTE: </w:t>
      </w:r>
      <w:r>
        <w:rPr>
          <w:rFonts w:cs="Arial"/>
          <w:lang w:val="en-US"/>
        </w:rPr>
        <w:tab/>
        <w:t xml:space="preserve">In case of any error after this step indicating that the current Enabled Profile cannot provide connectivity, the ISD-R SHALL re-enable the previously Enabled Profile as described in section </w:t>
      </w:r>
      <w:r>
        <w:fldChar w:fldCharType="begin"/>
      </w:r>
      <w:r>
        <w:instrText xml:space="preserve"> REF _Ref367971769 \r \h  \* MERGEFORMAT </w:instrText>
      </w:r>
      <w:r>
        <w:fldChar w:fldCharType="separate"/>
      </w:r>
      <w:r w:rsidR="001D5AD9" w:rsidRPr="001D5AD9">
        <w:rPr>
          <w:lang w:val="en-US"/>
        </w:rPr>
        <w:t>3.2.2</w:t>
      </w:r>
      <w:r>
        <w:fldChar w:fldCharType="end"/>
      </w:r>
      <w:r>
        <w:rPr>
          <w:lang w:val="en-US"/>
        </w:rPr>
        <w:t xml:space="preserve">. </w:t>
      </w:r>
    </w:p>
    <w:p w14:paraId="1D778C9E" w14:textId="77777777" w:rsidR="00B97365" w:rsidRDefault="00000000">
      <w:pPr>
        <w:numPr>
          <w:ilvl w:val="0"/>
          <w:numId w:val="109"/>
        </w:numPr>
        <w:rPr>
          <w:lang w:val="en-US"/>
        </w:rPr>
      </w:pPr>
      <w:r>
        <w:rPr>
          <w:lang w:val="en-US"/>
        </w:rPr>
        <w:t>The eUICC and the Device SHALL perform a new network attach procedure with the Profile with the Fall-Back Attribute set.</w:t>
      </w:r>
    </w:p>
    <w:p w14:paraId="0E5A3AB4" w14:textId="6A10AA5E" w:rsidR="00B97365" w:rsidRDefault="00000000">
      <w:pPr>
        <w:numPr>
          <w:ilvl w:val="0"/>
          <w:numId w:val="109"/>
        </w:numPr>
        <w:rPr>
          <w:lang w:val="en-US"/>
        </w:rPr>
      </w:pPr>
      <w:r>
        <w:rPr>
          <w:lang w:val="en-US"/>
        </w:rPr>
        <w:t xml:space="preserve">The eUICC SHALL perform the notification procedure as described in section </w:t>
      </w:r>
      <w:r>
        <w:fldChar w:fldCharType="begin"/>
      </w:r>
      <w:r>
        <w:instrText xml:space="preserve"> REF _Ref367972946 \r \h </w:instrText>
      </w:r>
      <w:r>
        <w:fldChar w:fldCharType="separate"/>
      </w:r>
      <w:r w:rsidR="001D5AD9">
        <w:t>4.1.1.11</w:t>
      </w:r>
      <w:r>
        <w:fldChar w:fldCharType="end"/>
      </w:r>
      <w:r>
        <w:rPr>
          <w:lang w:val="en-US"/>
        </w:rPr>
        <w:t xml:space="preserve">. During this procedure, if ISD-R doesn’t succeed to send the SMS notification, or doesn’t receive the SM-SR notification confirmation </w:t>
      </w:r>
      <w:r>
        <w:t>(“</w:t>
      </w:r>
      <w:r>
        <w:rPr>
          <w:b/>
        </w:rPr>
        <w:t>ES5.HandleNotificationConfirmation</w:t>
      </w:r>
      <w:r>
        <w:t>” command)</w:t>
      </w:r>
      <w:r>
        <w:rPr>
          <w:lang w:val="en-US"/>
        </w:rPr>
        <w:t xml:space="preserve">, the ISD-R SHALL consider this as an error, and the previous note SHALL apply. </w:t>
      </w:r>
    </w:p>
    <w:p w14:paraId="368AD2CC" w14:textId="77777777" w:rsidR="00B97365" w:rsidRDefault="00000000">
      <w:pPr>
        <w:ind w:left="360"/>
        <w:rPr>
          <w:lang w:val="en-US"/>
        </w:rPr>
      </w:pPr>
      <w:r>
        <w:t>After successfully verifying the content of the notification confirmation received from the SM-SR (which confirms that the newly Enabled Profile provides connectivity), the eUICC SHALL no longer attempt to re-enable the previously Enabled Profile.</w:t>
      </w:r>
      <w:r>
        <w:tab/>
      </w:r>
      <w:r>
        <w:br/>
        <w:t>After this verification</w:t>
      </w:r>
      <w:r>
        <w:rPr>
          <w:rFonts w:cs="Arial"/>
          <w:lang w:val="en-US"/>
        </w:rPr>
        <w:t>, if POL1 of the Disabled Profile contains the rule “</w:t>
      </w:r>
      <w:r>
        <w:rPr>
          <w:rFonts w:eastAsia="Times New Roman" w:cs="Arial"/>
          <w:bCs/>
          <w:lang w:val="en-US"/>
        </w:rPr>
        <w:t>Profile deletion is mandatory when it is disabled</w:t>
      </w:r>
      <w:r>
        <w:rPr>
          <w:lang w:val="en-US"/>
        </w:rPr>
        <w:t>”, the ISD-R SHALL delete the disabled ISD-P and the contained Profile. The eUICC SHALL send the response to the notification confirmation indicating whether the disabled ISD-P has been deleted or not.</w:t>
      </w:r>
    </w:p>
    <w:p w14:paraId="06C5B9EC" w14:textId="632EAD7A" w:rsidR="00B97365" w:rsidRDefault="00000000">
      <w:pPr>
        <w:spacing w:after="200" w:line="276" w:lineRule="auto"/>
        <w:ind w:left="1560" w:hanging="1276"/>
        <w:jc w:val="left"/>
      </w:pPr>
      <w:r>
        <w:t xml:space="preserve">NOTE:     </w:t>
      </w:r>
      <w:r>
        <w:tab/>
        <w:t xml:space="preserve">If the SM-SR receives the notification after the expiration of the Validity Period (which was provided to the SM-SR for this function call), it will not send the notification confirmation (see section </w:t>
      </w:r>
      <w:r>
        <w:fldChar w:fldCharType="begin"/>
      </w:r>
      <w:r>
        <w:instrText xml:space="preserve"> REF _Ref40219745 \r \h  \* MERGEFORMAT </w:instrText>
      </w:r>
      <w:r>
        <w:fldChar w:fldCharType="separate"/>
      </w:r>
      <w:r w:rsidR="001D5AD9">
        <w:t>3.15.1</w:t>
      </w:r>
      <w:r>
        <w:fldChar w:fldCharType="end"/>
      </w:r>
      <w:r>
        <w:t>).</w:t>
      </w:r>
    </w:p>
    <w:p w14:paraId="6A7A5618" w14:textId="77777777" w:rsidR="00B97365" w:rsidRDefault="00000000">
      <w:pPr>
        <w:numPr>
          <w:ilvl w:val="0"/>
          <w:numId w:val="109"/>
        </w:numPr>
        <w:rPr>
          <w:lang w:val="en-US"/>
        </w:rPr>
      </w:pPr>
      <w:r>
        <w:rPr>
          <w:lang w:val="en-US"/>
        </w:rPr>
        <w:t xml:space="preserve">On reception of the </w:t>
      </w:r>
      <w:r>
        <w:rPr>
          <w:b/>
          <w:lang w:val="en-US"/>
        </w:rPr>
        <w:t>ES5.HandleNotificationConfirmation</w:t>
      </w:r>
      <w:r>
        <w:rPr>
          <w:lang w:val="en-US"/>
        </w:rPr>
        <w:t xml:space="preserve"> response, and if the </w:t>
      </w:r>
      <w:r>
        <w:rPr>
          <w:b/>
          <w:lang w:val="en-US"/>
        </w:rPr>
        <w:t>ES5.HandleNotificationConfirmation</w:t>
      </w:r>
      <w:r>
        <w:rPr>
          <w:lang w:val="en-US"/>
        </w:rPr>
        <w:t xml:space="preserve"> response indicates that the Disabled Profile has not been deleted, the SM-SR SHALL evaluate POL2 of the Disabled Profile. If POL2 of the Disabled Profile contains the rule “</w:t>
      </w:r>
      <w:r>
        <w:rPr>
          <w:rFonts w:eastAsia="Times New Roman" w:cs="Arial"/>
          <w:bCs/>
          <w:lang w:val="en-US"/>
        </w:rPr>
        <w:t>Profile deletion is mandatory when it is disabled</w:t>
      </w:r>
      <w:r>
        <w:rPr>
          <w:lang w:val="en-US"/>
        </w:rPr>
        <w:t xml:space="preserve">”, the SM-SR SHALL perform step (11), else it SHALL jump to step (12). </w:t>
      </w:r>
    </w:p>
    <w:p w14:paraId="7245BBDF" w14:textId="01F48A36" w:rsidR="00B97365" w:rsidRDefault="00000000">
      <w:pPr>
        <w:numPr>
          <w:ilvl w:val="0"/>
          <w:numId w:val="109"/>
        </w:numPr>
        <w:rPr>
          <w:lang w:val="en-US"/>
        </w:rPr>
      </w:pPr>
      <w:r>
        <w:rPr>
          <w:lang w:val="en-US"/>
        </w:rPr>
        <w:t>The SM-SR SHALL send an MT-SMS containing the “</w:t>
      </w:r>
      <w:r>
        <w:rPr>
          <w:b/>
          <w:lang w:val="en-US"/>
        </w:rPr>
        <w:t>ES5.DELETE</w:t>
      </w:r>
      <w:r>
        <w:rPr>
          <w:lang w:val="en-US"/>
        </w:rPr>
        <w:t xml:space="preserve">” command with its relevant input data (see section </w:t>
      </w:r>
      <w:r>
        <w:fldChar w:fldCharType="begin"/>
      </w:r>
      <w:r>
        <w:instrText xml:space="preserve"> REF _Ref367971816 \r \h  \* MERGEFORMAT </w:instrText>
      </w:r>
      <w:r>
        <w:fldChar w:fldCharType="separate"/>
      </w:r>
      <w:r w:rsidR="001D5AD9" w:rsidRPr="001D5AD9">
        <w:rPr>
          <w:lang w:val="en-US"/>
        </w:rPr>
        <w:t>4.1.1.4</w:t>
      </w:r>
      <w:r>
        <w:fldChar w:fldCharType="end"/>
      </w:r>
      <w:r>
        <w:rPr>
          <w:lang w:val="en-US"/>
        </w:rPr>
        <w:t>) to the ISD-R, targeting the Disabled Profile. The SM-SR SHALL request a PoR to get the execution status of the “</w:t>
      </w:r>
      <w:r>
        <w:rPr>
          <w:b/>
          <w:lang w:val="en-US"/>
        </w:rPr>
        <w:t>ES5.DELETE</w:t>
      </w:r>
      <w:r>
        <w:rPr>
          <w:lang w:val="en-US"/>
        </w:rPr>
        <w:t>” command.</w:t>
      </w:r>
    </w:p>
    <w:p w14:paraId="78453C17" w14:textId="77777777" w:rsidR="00B97365" w:rsidRDefault="00000000">
      <w:pPr>
        <w:ind w:left="709" w:hanging="709"/>
        <w:rPr>
          <w:rFonts w:cs="Arial"/>
        </w:rPr>
      </w:pPr>
      <w:r>
        <w:rPr>
          <w:rFonts w:cs="Arial"/>
        </w:rPr>
        <w:lastRenderedPageBreak/>
        <w:t>(11a)</w:t>
      </w:r>
      <w:r>
        <w:rPr>
          <w:rFonts w:cs="Arial"/>
        </w:rPr>
        <w:tab/>
        <w:t xml:space="preserve">The ISD-R SHALL enforce POL1 of the target Profile. If POL1 rejects the deletion of the target Profile, the ISD-R SHALL return the MO-SMS containing the response indicating the corresponding failure, and the procedure SHALL end. </w:t>
      </w:r>
    </w:p>
    <w:p w14:paraId="131F35B8" w14:textId="77777777" w:rsidR="00B97365" w:rsidRDefault="00000000">
      <w:pPr>
        <w:ind w:left="709" w:hanging="709"/>
        <w:rPr>
          <w:rFonts w:cs="Arial"/>
        </w:rPr>
      </w:pPr>
      <w:r>
        <w:rPr>
          <w:rFonts w:cs="Arial"/>
        </w:rPr>
        <w:t>(11b)</w:t>
      </w:r>
      <w:r>
        <w:rPr>
          <w:rFonts w:cs="Arial"/>
        </w:rPr>
        <w:tab/>
        <w:t>If POL1 allows its deletion, the ISD-R SHALL delete the targeted ISD-P and the contained Profile.</w:t>
      </w:r>
    </w:p>
    <w:p w14:paraId="2F5C94F5" w14:textId="77777777" w:rsidR="00B97365" w:rsidRDefault="00000000">
      <w:pPr>
        <w:ind w:left="709" w:hanging="709"/>
        <w:rPr>
          <w:rFonts w:cs="Arial"/>
        </w:rPr>
      </w:pPr>
      <w:r>
        <w:rPr>
          <w:rFonts w:cs="Arial"/>
        </w:rPr>
        <w:t>(11c)</w:t>
      </w:r>
      <w:r>
        <w:rPr>
          <w:rFonts w:cs="Arial"/>
        </w:rPr>
        <w:tab/>
        <w:t>The ISD-R SHALL return the MO-SMS to the SM-SR containing the execution status of the “</w:t>
      </w:r>
      <w:r>
        <w:rPr>
          <w:rFonts w:cs="Arial"/>
          <w:b/>
        </w:rPr>
        <w:t>ES5.DELETE</w:t>
      </w:r>
      <w:r>
        <w:rPr>
          <w:rFonts w:cs="Arial"/>
        </w:rPr>
        <w:t xml:space="preserve">” command. </w:t>
      </w:r>
    </w:p>
    <w:p w14:paraId="0DCB4EED" w14:textId="77777777" w:rsidR="00B97365" w:rsidRDefault="00000000">
      <w:pPr>
        <w:numPr>
          <w:ilvl w:val="0"/>
          <w:numId w:val="109"/>
        </w:numPr>
        <w:rPr>
          <w:lang w:val="en-US"/>
        </w:rPr>
      </w:pPr>
      <w:r>
        <w:rPr>
          <w:lang w:val="en-US"/>
        </w:rPr>
        <w:t>According to the executed sequence and the eUICC responses, the SM-SR SHALL update the EIS to reflect that:</w:t>
      </w:r>
    </w:p>
    <w:p w14:paraId="4B9F9E5B" w14:textId="77777777" w:rsidR="00B97365" w:rsidRDefault="00000000">
      <w:pPr>
        <w:numPr>
          <w:ilvl w:val="0"/>
          <w:numId w:val="38"/>
        </w:numPr>
        <w:tabs>
          <w:tab w:val="left" w:pos="1134"/>
        </w:tabs>
        <w:spacing w:before="0" w:after="200" w:line="276" w:lineRule="auto"/>
        <w:contextualSpacing/>
        <w:jc w:val="left"/>
        <w:rPr>
          <w:szCs w:val="22"/>
          <w:lang w:eastAsia="en-GB" w:bidi="ar-SA"/>
        </w:rPr>
      </w:pPr>
      <w:r>
        <w:rPr>
          <w:szCs w:val="22"/>
          <w:lang w:eastAsia="en-GB" w:bidi="ar-SA"/>
        </w:rPr>
        <w:t>The Profile having the Fall-Back Attribute has been enabled</w:t>
      </w:r>
    </w:p>
    <w:p w14:paraId="458AF51B"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The previously Enabled Profile has been disabled or deleted.</w:t>
      </w:r>
    </w:p>
    <w:p w14:paraId="7EE9E3CC" w14:textId="77777777" w:rsidR="00B97365" w:rsidRDefault="00B97365">
      <w:pPr>
        <w:tabs>
          <w:tab w:val="left" w:pos="1134"/>
        </w:tabs>
        <w:spacing w:before="0" w:after="200" w:line="276" w:lineRule="auto"/>
        <w:ind w:left="567"/>
        <w:contextualSpacing/>
        <w:jc w:val="left"/>
        <w:rPr>
          <w:rFonts w:cs="Arial"/>
          <w:szCs w:val="22"/>
          <w:lang w:eastAsia="en-GB" w:bidi="ar-SA"/>
        </w:rPr>
      </w:pPr>
    </w:p>
    <w:p w14:paraId="6DD504E3" w14:textId="77777777" w:rsidR="00B97365" w:rsidRDefault="00000000">
      <w:pPr>
        <w:tabs>
          <w:tab w:val="left" w:pos="1560"/>
        </w:tabs>
        <w:spacing w:before="0" w:line="276" w:lineRule="auto"/>
        <w:ind w:left="1560" w:hanging="1203"/>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POL1 and POL2 MAY have different content. As a consequence, both the eUICC and the SM-SR have to ensure the ISD-P deletion based on their respective Policy.</w:t>
      </w:r>
    </w:p>
    <w:p w14:paraId="20297B5E" w14:textId="77777777" w:rsidR="00B97365" w:rsidRDefault="00000000">
      <w:pPr>
        <w:numPr>
          <w:ilvl w:val="0"/>
          <w:numId w:val="109"/>
        </w:numPr>
        <w:rPr>
          <w:lang w:val="en-US"/>
        </w:rPr>
      </w:pPr>
      <w:r>
        <w:rPr>
          <w:lang w:val="en-US"/>
        </w:rPr>
        <w:t>The SM-SR SHALL return the response to the “</w:t>
      </w:r>
      <w:r>
        <w:rPr>
          <w:b/>
          <w:lang w:val="en-US"/>
        </w:rPr>
        <w:t>ES4.DisableProfile</w:t>
      </w:r>
      <w:r>
        <w:rPr>
          <w:lang w:val="en-US"/>
        </w:rPr>
        <w:t xml:space="preserve">” function to Operator1, indicating that the Profile has been disabled. In case the Profile has also been deleted because of POL1 or POL2, the function execution response SHALL include an execution status “Executed-WithWarning” indicating that the Profile has also been deleted.  </w:t>
      </w:r>
    </w:p>
    <w:p w14:paraId="726E8536" w14:textId="77777777" w:rsidR="00B97365" w:rsidRDefault="00000000">
      <w:pPr>
        <w:numPr>
          <w:ilvl w:val="0"/>
          <w:numId w:val="109"/>
        </w:numPr>
        <w:rPr>
          <w:lang w:val="en-US"/>
        </w:rPr>
      </w:pPr>
      <w:r>
        <w:t>Unless Operator2 has set an ONC to not receive those notifications, the</w:t>
      </w:r>
      <w:r>
        <w:rPr>
          <w:lang w:val="en-US"/>
        </w:rPr>
        <w:t xml:space="preserve"> SM-SR SHALL send the “</w:t>
      </w:r>
      <w:r>
        <w:rPr>
          <w:b/>
          <w:lang w:val="en-US"/>
        </w:rPr>
        <w:t>ES4.HandleProfileEnabledNotification</w:t>
      </w:r>
      <w:r>
        <w:rPr>
          <w:lang w:val="en-US"/>
        </w:rPr>
        <w:t>” to Operator2, the owner of Profile with Fall-Back Attribute set that is now enabled.  In case Operator2 has no direct connection with the SM-SR (SM-SR SHALL be able to detect such situation based on its own database), the SM-SR SHALL send this notification to the SM-DP authorised by Operator2 by calling the “</w:t>
      </w:r>
      <w:r>
        <w:rPr>
          <w:b/>
          <w:lang w:val="en-US"/>
        </w:rPr>
        <w:t>ES3.HandleProfileEnabledNotification</w:t>
      </w:r>
      <w:r>
        <w:rPr>
          <w:lang w:val="en-US"/>
        </w:rPr>
        <w:t>”. The SM-SR can retrieve the SM-DP identity based on the EIS content. Then the SM-DP, on reception of this notification, SHALL forward it to Operator2 by calling the “</w:t>
      </w:r>
      <w:r>
        <w:rPr>
          <w:b/>
          <w:lang w:val="en-US"/>
        </w:rPr>
        <w:t>ES2.HandleProfileEnabledNotification</w:t>
      </w:r>
      <w:r>
        <w:rPr>
          <w:lang w:val="en-US"/>
        </w:rPr>
        <w:t>”.</w:t>
      </w:r>
    </w:p>
    <w:p w14:paraId="14F94E13" w14:textId="77777777" w:rsidR="00B97365" w:rsidRDefault="00000000">
      <w:pPr>
        <w:numPr>
          <w:ilvl w:val="0"/>
          <w:numId w:val="109"/>
        </w:numPr>
        <w:spacing w:before="0" w:after="200" w:line="276" w:lineRule="auto"/>
        <w:contextualSpacing/>
        <w:rPr>
          <w:lang w:val="en-US"/>
        </w:rPr>
      </w:pPr>
      <w:r>
        <w:rPr>
          <w:lang w:val="en-US"/>
        </w:rPr>
        <w:t>The SM-SR SHALL send the "</w:t>
      </w:r>
      <w:r>
        <w:rPr>
          <w:b/>
          <w:lang w:val="en-US"/>
        </w:rPr>
        <w:t>ES4.HandleProfileDisabledNotification</w:t>
      </w:r>
      <w:r>
        <w:rPr>
          <w:lang w:val="en-US"/>
        </w:rPr>
        <w:t>" to a M2M SP, if authorised by Operator1 the owner of the Profile that was enabled at the beginning of the procedure.</w:t>
      </w:r>
    </w:p>
    <w:p w14:paraId="3B34E048" w14:textId="77777777" w:rsidR="00B97365" w:rsidRDefault="00000000">
      <w:pPr>
        <w:ind w:left="360"/>
      </w:pPr>
      <w:r>
        <w:t>If the M2M SP is another Operator directly connected to the SM-SR and it is authorised by Operator1, the SM-SR SHALL send this notification to this other Operator by calling the “</w:t>
      </w:r>
      <w:r>
        <w:rPr>
          <w:b/>
        </w:rPr>
        <w:t>ES4.HandleProfileDisabledNotification</w:t>
      </w:r>
      <w:r>
        <w:t>”.</w:t>
      </w:r>
    </w:p>
    <w:p w14:paraId="768CF887" w14:textId="77777777" w:rsidR="00B97365" w:rsidRDefault="00000000">
      <w:pPr>
        <w:ind w:left="360"/>
      </w:pPr>
      <w:r>
        <w:t>If the M2M SP is another Operator connected through its SM-DP and it is authorised by Operator1, the SM-SR SHALL send this notification to the SM-DP associated to this other Operator by calling the “</w:t>
      </w:r>
      <w:r>
        <w:rPr>
          <w:b/>
        </w:rPr>
        <w:t>ES3.HandleProfileDisabledNotification</w:t>
      </w:r>
      <w:r>
        <w:t xml:space="preserve">”. </w:t>
      </w:r>
      <w:r>
        <w:br/>
        <w:t>Then the SM-DP, on reception of this notification, SHALL forward it to the Operator, acting as the M2M SP, by calling the “</w:t>
      </w:r>
      <w:r>
        <w:rPr>
          <w:b/>
        </w:rPr>
        <w:t>ES2.HandleProfileDisabledNotification</w:t>
      </w:r>
      <w:r>
        <w:t>”</w:t>
      </w:r>
    </w:p>
    <w:p w14:paraId="19275319" w14:textId="77777777" w:rsidR="00B97365" w:rsidRDefault="00000000">
      <w:pPr>
        <w:numPr>
          <w:ilvl w:val="0"/>
          <w:numId w:val="109"/>
        </w:numPr>
        <w:rPr>
          <w:lang w:val="en-US"/>
        </w:rPr>
      </w:pPr>
      <w:r>
        <w:rPr>
          <w:lang w:val="en-US"/>
        </w:rPr>
        <w:t>The SM-SR SHALL send the "</w:t>
      </w:r>
      <w:r>
        <w:rPr>
          <w:b/>
          <w:lang w:val="en-US"/>
        </w:rPr>
        <w:t>ES4.HandleProfileEnabledNotification</w:t>
      </w:r>
      <w:r>
        <w:rPr>
          <w:lang w:val="en-US"/>
        </w:rPr>
        <w:t>" to a M2M SP, if authorised by Operator2 the owner of Profile with Fall-Back Attribute set that is now enabled.</w:t>
      </w:r>
    </w:p>
    <w:p w14:paraId="14ABA9E5" w14:textId="77777777" w:rsidR="00B97365" w:rsidRDefault="00000000">
      <w:pPr>
        <w:ind w:left="567"/>
        <w:rPr>
          <w:lang w:val="en-US"/>
        </w:rPr>
      </w:pPr>
      <w:r>
        <w:rPr>
          <w:lang w:val="en-US"/>
        </w:rPr>
        <w:t>If the M2M SP is another Operator directly connected to the SM-SR and it is authorised by Operator2, the SM-SR SHALL send this notification to this other Operator by calling the “</w:t>
      </w:r>
      <w:r>
        <w:rPr>
          <w:b/>
          <w:lang w:val="en-US"/>
        </w:rPr>
        <w:t>ES4.HandleProfileEnabledNotification</w:t>
      </w:r>
      <w:r>
        <w:rPr>
          <w:lang w:val="en-US"/>
        </w:rPr>
        <w:t>”.</w:t>
      </w:r>
    </w:p>
    <w:p w14:paraId="18A1786E" w14:textId="77777777" w:rsidR="00B97365" w:rsidRDefault="00000000">
      <w:pPr>
        <w:ind w:left="567"/>
        <w:rPr>
          <w:lang w:val="en-US"/>
        </w:rPr>
      </w:pPr>
      <w:r>
        <w:rPr>
          <w:lang w:val="en-US"/>
        </w:rPr>
        <w:tab/>
        <w:t>If the M2M SP is another Operator connected through its SM-DP and it is authorised by Operator2, the SM-SR SHALL send this notification to the SM-DP associated to this other Operator by calling the “</w:t>
      </w:r>
      <w:r>
        <w:rPr>
          <w:b/>
          <w:lang w:val="en-US"/>
        </w:rPr>
        <w:t>ES3.HandleProfileEnabledNotification</w:t>
      </w:r>
      <w:r>
        <w:rPr>
          <w:lang w:val="en-US"/>
        </w:rPr>
        <w:t>”.</w:t>
      </w:r>
    </w:p>
    <w:p w14:paraId="0595DD52" w14:textId="77777777" w:rsidR="00B97365" w:rsidRDefault="00000000">
      <w:pPr>
        <w:spacing w:before="0" w:after="200" w:line="276" w:lineRule="auto"/>
        <w:ind w:left="567"/>
        <w:jc w:val="left"/>
        <w:rPr>
          <w:rFonts w:cs="Arial"/>
          <w:szCs w:val="22"/>
          <w:lang w:val="en-US" w:eastAsia="en-GB" w:bidi="ar-SA"/>
        </w:rPr>
      </w:pPr>
      <w:r>
        <w:rPr>
          <w:rFonts w:cs="Arial"/>
          <w:szCs w:val="22"/>
          <w:lang w:eastAsia="en-GB" w:bidi="ar-SA"/>
        </w:rPr>
        <w:lastRenderedPageBreak/>
        <w:t>Then the SM-DP, on reception of this notification, SHALL forward it to the Operator, acting as the M2M SP, by calling the “</w:t>
      </w:r>
      <w:r>
        <w:rPr>
          <w:rFonts w:cs="Arial"/>
          <w:b/>
          <w:szCs w:val="22"/>
          <w:lang w:eastAsia="en-GB" w:bidi="ar-SA"/>
        </w:rPr>
        <w:t>ES2.HandleProfileEnabledNotification</w:t>
      </w:r>
      <w:r>
        <w:rPr>
          <w:rFonts w:cs="Arial"/>
          <w:szCs w:val="22"/>
          <w:lang w:eastAsia="en-GB" w:bidi="ar-SA"/>
        </w:rPr>
        <w:t>”.</w:t>
      </w:r>
    </w:p>
    <w:p w14:paraId="61583F98"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This M2M SP might be the same M2M SP as for Operator1 or any other M2M SP.</w:t>
      </w:r>
    </w:p>
    <w:p w14:paraId="118C9BE3" w14:textId="0ECDF87A"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 xml:space="preserve">NOTE: </w:t>
      </w:r>
      <w:r>
        <w:rPr>
          <w:szCs w:val="22"/>
          <w:lang w:val="en-US" w:eastAsia="en-GB" w:bidi="ar-SA"/>
        </w:rPr>
        <w:tab/>
        <w:t xml:space="preserve">The MT-SMS and MO-SMS SHALL be secured according to section </w:t>
      </w:r>
      <w:r>
        <w:rPr>
          <w:szCs w:val="22"/>
          <w:lang w:eastAsia="en-GB" w:bidi="ar-SA"/>
        </w:rPr>
        <w:fldChar w:fldCharType="begin"/>
      </w:r>
      <w:r>
        <w:rPr>
          <w:szCs w:val="22"/>
          <w:lang w:eastAsia="en-GB" w:bidi="ar-SA"/>
        </w:rPr>
        <w:instrText xml:space="preserve"> REF _Ref367971833 \r \h  \* MERGEFORMAT </w:instrText>
      </w:r>
      <w:r>
        <w:rPr>
          <w:szCs w:val="22"/>
          <w:lang w:eastAsia="en-GB" w:bidi="ar-SA"/>
        </w:rPr>
      </w:r>
      <w:r>
        <w:rPr>
          <w:szCs w:val="22"/>
          <w:lang w:eastAsia="en-GB" w:bidi="ar-SA"/>
        </w:rPr>
        <w:fldChar w:fldCharType="separate"/>
      </w:r>
      <w:r w:rsidR="001D5AD9" w:rsidRPr="001D5AD9">
        <w:rPr>
          <w:szCs w:val="22"/>
          <w:lang w:val="en-US" w:eastAsia="en-GB" w:bidi="ar-SA"/>
        </w:rPr>
        <w:t>2.4</w:t>
      </w:r>
      <w:r>
        <w:rPr>
          <w:szCs w:val="22"/>
          <w:lang w:eastAsia="en-GB" w:bidi="ar-SA"/>
        </w:rPr>
        <w:fldChar w:fldCharType="end"/>
      </w:r>
      <w:r>
        <w:rPr>
          <w:szCs w:val="22"/>
          <w:lang w:val="en-US" w:eastAsia="en-GB" w:bidi="ar-SA"/>
        </w:rPr>
        <w:t>.</w:t>
      </w:r>
    </w:p>
    <w:p w14:paraId="5A451BFF"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722" w:name="_Toc374345780"/>
      <w:bookmarkStart w:id="1723" w:name="_Toc374346126"/>
      <w:bookmarkStart w:id="1724" w:name="_Toc374346471"/>
      <w:bookmarkStart w:id="1725" w:name="_Toc374346817"/>
      <w:bookmarkStart w:id="1726" w:name="_Ref367974000"/>
      <w:bookmarkStart w:id="1727" w:name="_Toc368932215"/>
      <w:bookmarkStart w:id="1728" w:name="_Toc374348487"/>
      <w:bookmarkStart w:id="1729" w:name="_Toc375158237"/>
      <w:bookmarkStart w:id="1730" w:name="_Toc398214821"/>
      <w:bookmarkStart w:id="1731" w:name="_Toc420594365"/>
      <w:bookmarkStart w:id="1732" w:name="_Toc421874280"/>
      <w:bookmarkStart w:id="1733" w:name="_Toc422150700"/>
      <w:bookmarkStart w:id="1734" w:name="_Toc448998226"/>
      <w:bookmarkStart w:id="1735" w:name="_Toc486332844"/>
      <w:bookmarkStart w:id="1736" w:name="_Toc1977265"/>
      <w:bookmarkStart w:id="1737" w:name="_Toc37062422"/>
      <w:bookmarkStart w:id="1738" w:name="_Toc88839527"/>
      <w:bookmarkStart w:id="1739" w:name="_Toc121503935"/>
      <w:bookmarkEnd w:id="1722"/>
      <w:bookmarkEnd w:id="1723"/>
      <w:bookmarkEnd w:id="1724"/>
      <w:bookmarkEnd w:id="1725"/>
      <w:r>
        <w:rPr>
          <w:rFonts w:eastAsia="Times New Roman" w:cs="Arial"/>
          <w:b/>
          <w:bCs/>
          <w:iCs/>
          <w:sz w:val="24"/>
          <w:szCs w:val="28"/>
          <w:lang w:eastAsia="en-US"/>
        </w:rPr>
        <w:t xml:space="preserve">Profile Disabling </w:t>
      </w:r>
      <w:r>
        <w:rPr>
          <w:rFonts w:eastAsia="Times New Roman" w:cs="Arial"/>
          <w:b/>
          <w:sz w:val="24"/>
          <w:szCs w:val="28"/>
          <w:lang w:eastAsia="en-US"/>
        </w:rPr>
        <w:t>Via SM-DP</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284FD8E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Profile Disabling procedure is initiated by the Operator owning the Profile to be disabled through the SM-DP. The procedure illustrated using SMS as a possible transport protocol between SM-SR and eUICC, but can be also performed using other transport protocols.</w:t>
      </w:r>
    </w:p>
    <w:p w14:paraId="1A402860" w14:textId="470E0451"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procedure is similar to the procedure “Disable Profile” described in section </w:t>
      </w:r>
      <w:r>
        <w:fldChar w:fldCharType="begin"/>
      </w:r>
      <w:r>
        <w:instrText xml:space="preserve"> REF _Ref367971850 \r \h  \* MERGEFORMAT </w:instrText>
      </w:r>
      <w:r>
        <w:fldChar w:fldCharType="separate"/>
      </w:r>
      <w:r w:rsidR="001D5AD9" w:rsidRPr="001D5AD9">
        <w:rPr>
          <w:szCs w:val="22"/>
          <w:lang w:val="en-US" w:eastAsia="en-GB" w:bidi="ar-SA"/>
        </w:rPr>
        <w:t>3.4</w:t>
      </w:r>
      <w:r>
        <w:fldChar w:fldCharType="end"/>
      </w:r>
      <w:r>
        <w:rPr>
          <w:szCs w:val="22"/>
          <w:lang w:val="en-US" w:eastAsia="en-GB" w:bidi="ar-SA"/>
        </w:rPr>
        <w:t>.</w:t>
      </w:r>
    </w:p>
    <w:p w14:paraId="2A59AF49" w14:textId="457AA8B9"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sequence flow in the </w:t>
      </w:r>
      <w:r>
        <w:rPr>
          <w:szCs w:val="22"/>
          <w:lang w:val="en-US" w:eastAsia="en-GB" w:bidi="ar-SA"/>
        </w:rPr>
        <w:fldChar w:fldCharType="begin"/>
      </w:r>
      <w:r>
        <w:rPr>
          <w:szCs w:val="22"/>
          <w:lang w:val="en-US" w:eastAsia="en-GB" w:bidi="ar-SA"/>
        </w:rPr>
        <w:instrText xml:space="preserve"> REF _Ref373941120 \r \h </w:instrText>
      </w:r>
      <w:r>
        <w:rPr>
          <w:szCs w:val="22"/>
          <w:lang w:val="en-US" w:eastAsia="en-GB" w:bidi="ar-SA"/>
        </w:rPr>
      </w:r>
      <w:r>
        <w:rPr>
          <w:szCs w:val="22"/>
          <w:lang w:val="en-US" w:eastAsia="en-GB" w:bidi="ar-SA"/>
        </w:rPr>
        <w:fldChar w:fldCharType="separate"/>
      </w:r>
      <w:r w:rsidR="001D5AD9">
        <w:rPr>
          <w:szCs w:val="22"/>
          <w:lang w:val="en-US" w:eastAsia="en-GB" w:bidi="ar-SA"/>
        </w:rPr>
        <w:t>Figure 20</w:t>
      </w:r>
      <w:r>
        <w:rPr>
          <w:szCs w:val="22"/>
          <w:lang w:val="en-US" w:eastAsia="en-GB" w:bidi="ar-SA"/>
        </w:rPr>
        <w:fldChar w:fldCharType="end"/>
      </w:r>
      <w:r>
        <w:rPr>
          <w:szCs w:val="22"/>
          <w:lang w:val="en-US" w:eastAsia="en-GB" w:bidi="ar-SA"/>
        </w:rPr>
        <w:t xml:space="preserve"> describes the case where the targeted Profile can successfully be disabled.</w:t>
      </w:r>
    </w:p>
    <w:p w14:paraId="4DA65724" w14:textId="77777777" w:rsidR="00B97365" w:rsidRDefault="00B97365">
      <w:pPr>
        <w:spacing w:before="0" w:after="200" w:line="276" w:lineRule="auto"/>
        <w:jc w:val="left"/>
        <w:rPr>
          <w:rFonts w:cs="Arial"/>
          <w:szCs w:val="22"/>
          <w:lang w:val="en-US" w:eastAsia="en-GB" w:bidi="ar-SA"/>
        </w:rPr>
      </w:pPr>
    </w:p>
    <w:p w14:paraId="0169CED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533071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0472ED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4810C2A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46080E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3E13E2A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1BEC185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B6F518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08973BD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CDEE5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participant “M2M SP” as M2MSP #FFFFFF </w:t>
      </w:r>
    </w:p>
    <w:p w14:paraId="7E1EA1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“Operator2” as OP2 #FFFFFF</w:t>
      </w:r>
    </w:p>
    <w:p w14:paraId="782867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“Operator1” as OP1 #FFFFFF</w:t>
      </w:r>
    </w:p>
    <w:p w14:paraId="4114AC4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5121ADA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140FD0A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“Device” as DEV #FFFFFF</w:t>
      </w:r>
    </w:p>
    <w:p w14:paraId="3DC4B9F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3F1DFE2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7CAC39C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763204D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7F0EC7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OP1-&gt;&gt;DP: (0) DisableProfile(eid, smsr-id, iccid)</w:t>
      </w:r>
    </w:p>
    <w:p w14:paraId="70ABB5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(1) DisableProfile(eid, iccid)</w:t>
      </w:r>
    </w:p>
    <w:p w14:paraId="06681C4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6310C8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15EA820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08AC78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4714FAA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0AE0C17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 MT-SMS [ES5.STORE DATA command]SCP80</w:t>
      </w:r>
    </w:p>
    <w:p w14:paraId="6B6BDD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240B691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Enforce POL1</w:t>
      </w:r>
    </w:p>
    <w:p w14:paraId="64CAF0C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8837A8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[ES5.STORE DATA command Failed response]SCP80</w:t>
      </w:r>
    </w:p>
    <w:p w14:paraId="46FF5E8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4DDA860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5354E0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7A2482A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Disable ISD-P</w:t>
      </w:r>
    </w:p>
    <w:p w14:paraId="65B52D6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29B1E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[ES5.STORE DATA command response]SCP80</w:t>
      </w:r>
    </w:p>
    <w:p w14:paraId="43E9734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(6a) Failed</w:t>
      </w:r>
    </w:p>
    <w:p w14:paraId="6DF7AD4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51BF51C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(7) REFRESH, (UICC reset)</w:t>
      </w:r>
    </w:p>
    <w:p w14:paraId="33B07F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150808E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using profile with Fall-Back attribute</w:t>
      </w:r>
    </w:p>
    <w:p w14:paraId="704AF35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66728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3E84D2C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SR #FFFFFF</w:t>
      </w:r>
    </w:p>
    <w:p w14:paraId="0897D9D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(9)                 Notification procedure over SMS                         </w:t>
      </w:r>
    </w:p>
    <w:p w14:paraId="448CDF0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6B53F1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0E5CB27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153798E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(10) Check POL2</w:t>
      </w:r>
    </w:p>
    <w:p w14:paraId="10F1EB0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BD230D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(11) Cond.:  MT-SMS [ES5.DELETE command]SCP80</w:t>
      </w:r>
    </w:p>
    <w:p w14:paraId="39A8F5B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21E70AC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(11a) Enforce POL1</w:t>
      </w:r>
    </w:p>
    <w:p w14:paraId="37954E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602DE9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[ES5.DELETE command FAILED response]SCP80</w:t>
      </w:r>
    </w:p>
    <w:p w14:paraId="67228C5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336FC47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Failed</w:t>
      </w:r>
    </w:p>
    <w:p w14:paraId="61D2078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5177227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(11b) Delete disabled ISD-P</w:t>
      </w:r>
    </w:p>
    <w:p w14:paraId="62718B4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and contained profile</w:t>
      </w:r>
    </w:p>
    <w:p w14:paraId="38F8825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0AD779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(11c) MO-SMS [ES5.DELETE command response]SCP80</w:t>
      </w:r>
    </w:p>
    <w:p w14:paraId="09D1748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436F6FD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(12) Update EIS</w:t>
      </w:r>
    </w:p>
    <w:p w14:paraId="2522C2C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19647A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(13) Profile disabling result</w:t>
      </w:r>
    </w:p>
    <w:p w14:paraId="3D4857F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SR-&gt;&gt;OP2: (14) HandleProfileEnabledNotification(eid, iccid2)</w:t>
      </w:r>
    </w:p>
    <w:p w14:paraId="1B64823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(15) HandleProfileDisabledNotification (eid, iccid)</w:t>
      </w:r>
    </w:p>
    <w:p w14:paraId="79E3603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(16) HandleProfileEnabledNotification (eid, iccid2)</w:t>
      </w:r>
    </w:p>
    <w:p w14:paraId="22F057E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DP--&gt;&gt;OP1: (17) Profile disabling result</w:t>
      </w:r>
    </w:p>
    <w:p w14:paraId="7969456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569896B9" w14:textId="77777777" w:rsidR="00B97365" w:rsidRDefault="00000000">
      <w:pPr>
        <w:rPr>
          <w:rFonts w:cs="Courier New"/>
          <w:noProof/>
          <w:color w:val="008000"/>
          <w:sz w:val="18"/>
        </w:rPr>
      </w:pPr>
      <w:r>
        <w:rPr>
          <w:rFonts w:cs="Courier New"/>
          <w:noProof/>
          <w:color w:val="008000"/>
          <w:sz w:val="18"/>
          <w:lang w:eastAsia="en-GB" w:bidi="ar-SA"/>
        </w:rPr>
        <w:drawing>
          <wp:inline distT="0" distB="0" distL="0" distR="0" wp14:anchorId="285A2523" wp14:editId="254F8A74">
            <wp:extent cx="5731510" cy="4713959"/>
            <wp:effectExtent l="0" t="0" r="2540" b="0"/>
            <wp:docPr id="438" name="Picture 43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
                    <pic:cNvPicPr/>
                  </pic:nvPicPr>
                  <pic:blipFill>
                    <a:blip r:embed="rId55">
                      <a:extLst>
                        <a:ext uri="{28A0092B-C50C-407E-A947-70E740481C1C}">
                          <a14:useLocalDpi xmlns:a14="http://schemas.microsoft.com/office/drawing/2010/main" val="0"/>
                        </a:ext>
                      </a:extLst>
                    </a:blip>
                    <a:stretch>
                      <a:fillRect/>
                    </a:stretch>
                  </pic:blipFill>
                  <pic:spPr>
                    <a:xfrm>
                      <a:off x="0" y="0"/>
                      <a:ext cx="5731510" cy="4713959"/>
                    </a:xfrm>
                    <a:prstGeom prst="rect">
                      <a:avLst/>
                    </a:prstGeom>
                  </pic:spPr>
                </pic:pic>
              </a:graphicData>
            </a:graphic>
          </wp:inline>
        </w:drawing>
      </w:r>
    </w:p>
    <w:p w14:paraId="36DB1F6F"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1740" w:name="_Ref373941120"/>
      <w:r>
        <w:rPr>
          <w:rFonts w:cs="Arial"/>
          <w:b/>
          <w:szCs w:val="22"/>
          <w:lang w:val="en-US" w:eastAsia="en-GB" w:bidi="ar-SA"/>
        </w:rPr>
        <w:t>: Profile Disabling Via SM-DP</w:t>
      </w:r>
      <w:bookmarkEnd w:id="1740"/>
    </w:p>
    <w:p w14:paraId="0F51B234"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741" w:name="_Toc420594366"/>
      <w:r>
        <w:rPr>
          <w:rFonts w:cs="Arial"/>
          <w:b/>
          <w:noProof/>
          <w:szCs w:val="22"/>
          <w:lang w:val="en-US" w:eastAsia="en-GB" w:bidi="ar-SA"/>
        </w:rPr>
        <w:t>Start Conditions:</w:t>
      </w:r>
      <w:bookmarkEnd w:id="1741"/>
    </w:p>
    <w:p w14:paraId="4C2E364D" w14:textId="7238E9ED"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p>
    <w:p w14:paraId="23E617C5"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742" w:name="_Toc420594367"/>
      <w:r>
        <w:rPr>
          <w:rFonts w:cs="Arial"/>
          <w:b/>
          <w:noProof/>
          <w:szCs w:val="22"/>
          <w:lang w:val="en-US" w:eastAsia="en-GB" w:bidi="ar-SA"/>
        </w:rPr>
        <w:t>Procedure:</w:t>
      </w:r>
      <w:bookmarkEnd w:id="1742"/>
    </w:p>
    <w:p w14:paraId="4D2A9457" w14:textId="35A027C7" w:rsidR="00B97365" w:rsidRDefault="00000000">
      <w:pPr>
        <w:numPr>
          <w:ilvl w:val="0"/>
          <w:numId w:val="110"/>
        </w:numPr>
        <w:rPr>
          <w:lang w:val="en-US"/>
        </w:rPr>
      </w:pPr>
      <w:r>
        <w:rPr>
          <w:lang w:val="en-US"/>
        </w:rPr>
        <w:t>Operator1, the owner of the target Profile, SHALL call the “</w:t>
      </w:r>
      <w:r>
        <w:rPr>
          <w:b/>
          <w:lang w:val="en-US"/>
        </w:rPr>
        <w:t>ES2.DisableProfile</w:t>
      </w:r>
      <w:r>
        <w:rPr>
          <w:lang w:val="en-US"/>
        </w:rPr>
        <w:t xml:space="preserve">” function with its relevant input data, see section </w:t>
      </w:r>
      <w:r>
        <w:fldChar w:fldCharType="begin"/>
      </w:r>
      <w:r>
        <w:instrText xml:space="preserve"> REF _Ref367971884 \r \h  \* MERGEFORMAT </w:instrText>
      </w:r>
      <w:r>
        <w:fldChar w:fldCharType="separate"/>
      </w:r>
      <w:r w:rsidR="001D5AD9" w:rsidRPr="001D5AD9">
        <w:rPr>
          <w:lang w:val="en-US"/>
        </w:rPr>
        <w:t>5.3.6</w:t>
      </w:r>
      <w:r>
        <w:fldChar w:fldCharType="end"/>
      </w:r>
      <w:r>
        <w:rPr>
          <w:lang w:val="en-US"/>
        </w:rPr>
        <w:t xml:space="preserve">, in particular the identification of the SM-SR in charge of the management of the target eUICC. </w:t>
      </w:r>
    </w:p>
    <w:p w14:paraId="7589BB26" w14:textId="77777777" w:rsidR="00B97365" w:rsidRDefault="00000000">
      <w:pPr>
        <w:numPr>
          <w:ilvl w:val="0"/>
          <w:numId w:val="110"/>
        </w:numPr>
      </w:pPr>
      <w:r>
        <w:t>The SM-DP SHALL forward the request to the SM-SR identified by the Operator and SHALL call the “</w:t>
      </w:r>
      <w:r>
        <w:rPr>
          <w:b/>
        </w:rPr>
        <w:t>ES3.DisableProfile</w:t>
      </w:r>
      <w:r>
        <w:t xml:space="preserve">” function with its relevant input data. </w:t>
      </w:r>
    </w:p>
    <w:p w14:paraId="3FDD9013" w14:textId="3D67FEC2" w:rsidR="00B97365" w:rsidRDefault="00000000">
      <w:pPr>
        <w:rPr>
          <w:lang w:val="en-US"/>
        </w:rPr>
      </w:pPr>
      <w:r>
        <w:rPr>
          <w:rFonts w:cs="Arial"/>
          <w:lang w:val="en-US"/>
        </w:rPr>
        <w:t xml:space="preserve">Steps (2) to (12) are the same as in the procedure “Profile Disabling” described in section </w:t>
      </w:r>
      <w:r>
        <w:fldChar w:fldCharType="begin"/>
      </w:r>
      <w:r>
        <w:instrText xml:space="preserve"> REF _Ref367971906 \r \h  \* MERGEFORMAT </w:instrText>
      </w:r>
      <w:r>
        <w:fldChar w:fldCharType="separate"/>
      </w:r>
      <w:r w:rsidR="001D5AD9" w:rsidRPr="001D5AD9">
        <w:rPr>
          <w:lang w:val="en-US"/>
        </w:rPr>
        <w:t>3.4</w:t>
      </w:r>
      <w:r>
        <w:fldChar w:fldCharType="end"/>
      </w:r>
      <w:r>
        <w:rPr>
          <w:lang w:val="en-US"/>
        </w:rPr>
        <w:t>.</w:t>
      </w:r>
    </w:p>
    <w:p w14:paraId="31ECF8B4" w14:textId="77777777" w:rsidR="00B97365" w:rsidRDefault="00000000">
      <w:pPr>
        <w:numPr>
          <w:ilvl w:val="0"/>
          <w:numId w:val="111"/>
        </w:numPr>
        <w:rPr>
          <w:lang w:val="en-US"/>
        </w:rPr>
      </w:pPr>
      <w:r>
        <w:rPr>
          <w:lang w:val="en-US"/>
        </w:rPr>
        <w:t>The SM-SR SHALL return the response to the “</w:t>
      </w:r>
      <w:r>
        <w:rPr>
          <w:b/>
          <w:lang w:val="en-US"/>
        </w:rPr>
        <w:t>ES3.DisableProfile”</w:t>
      </w:r>
      <w:r>
        <w:rPr>
          <w:lang w:val="en-US"/>
        </w:rPr>
        <w:t xml:space="preserve"> function to the SM-DP, indicating that the Profile has been disabled. In case the Profile has also been deleted because of POL1 or POL2, the function execution response SHALL include an </w:t>
      </w:r>
      <w:r>
        <w:rPr>
          <w:lang w:val="en-US"/>
        </w:rPr>
        <w:lastRenderedPageBreak/>
        <w:t>execution status “Executed-With Warning” indicating that the Profile has also been deleted.</w:t>
      </w:r>
    </w:p>
    <w:p w14:paraId="6B0DD606" w14:textId="77777777" w:rsidR="00B97365" w:rsidRDefault="00000000">
      <w:pPr>
        <w:numPr>
          <w:ilvl w:val="0"/>
          <w:numId w:val="111"/>
        </w:numPr>
      </w:pPr>
      <w:r>
        <w:t>Unless Operator2 has set an ONC to not receive those notifications, the SM-SR SHALL send the “</w:t>
      </w:r>
      <w:r>
        <w:rPr>
          <w:b/>
        </w:rPr>
        <w:t>ES4.HandleProfileEnabledNotification</w:t>
      </w:r>
      <w:r>
        <w:t>” to Operator2, the owner of the Profile with Fall-Back Attribute set that is now enabled.</w:t>
      </w:r>
    </w:p>
    <w:p w14:paraId="0CD88CB5" w14:textId="77777777" w:rsidR="00B97365" w:rsidRDefault="00000000">
      <w:pPr>
        <w:numPr>
          <w:ilvl w:val="0"/>
          <w:numId w:val="111"/>
        </w:numPr>
        <w:rPr>
          <w:lang w:val="en-US"/>
        </w:rPr>
      </w:pPr>
      <w:r>
        <w:rPr>
          <w:lang w:val="en-US"/>
        </w:rPr>
        <w:t>The SM-SR SHALL send the "</w:t>
      </w:r>
      <w:r>
        <w:rPr>
          <w:b/>
          <w:lang w:val="en-US"/>
        </w:rPr>
        <w:t>ES4.HandleProfileDisabledNotification</w:t>
      </w:r>
      <w:r>
        <w:rPr>
          <w:lang w:val="en-US"/>
        </w:rPr>
        <w:t>" to a M2M SP, if authorised by Operator1 the owner of the Profile that was enabled at the beginning of the procedure.</w:t>
      </w:r>
    </w:p>
    <w:p w14:paraId="6A9ABE37" w14:textId="77777777" w:rsidR="00B97365" w:rsidRDefault="00000000">
      <w:pPr>
        <w:ind w:left="360"/>
      </w:pPr>
      <w:r>
        <w:t>If the M2M SP is another Operator directly connected to the SM-SR and it is authorised by Operator1, the SM-SR SHALL send this notification to this other Operator by calling the “</w:t>
      </w:r>
      <w:r>
        <w:rPr>
          <w:b/>
        </w:rPr>
        <w:t>ES4.HandleProfileDisabledNotification</w:t>
      </w:r>
      <w:r>
        <w:t>”.</w:t>
      </w:r>
    </w:p>
    <w:p w14:paraId="4D80223D" w14:textId="77777777" w:rsidR="00B97365" w:rsidRDefault="00000000">
      <w:pPr>
        <w:ind w:left="360"/>
      </w:pPr>
      <w:r>
        <w:t>If the M2M SP is another Operator connected through its SM-DP and it is authorised by Operator1, the SM-SR SHALL send this notification to the SM-DP associated to this other Operator by calling the “</w:t>
      </w:r>
      <w:r>
        <w:rPr>
          <w:b/>
        </w:rPr>
        <w:t>ES3.HandleProfileDisabledNotification</w:t>
      </w:r>
      <w:r>
        <w:t xml:space="preserve">”. </w:t>
      </w:r>
    </w:p>
    <w:p w14:paraId="47AE6B55" w14:textId="77777777" w:rsidR="00B97365" w:rsidRDefault="00000000">
      <w:pPr>
        <w:ind w:left="360"/>
        <w:rPr>
          <w:lang w:val="en-US"/>
        </w:rPr>
      </w:pPr>
      <w:r>
        <w:t>Then the SM-DP, on reception of this notification, SHALL forward it to the Operator, acting as the M2M SP, by calling the “</w:t>
      </w:r>
      <w:r>
        <w:rPr>
          <w:b/>
        </w:rPr>
        <w:t>ES2.HandleProfileDisabledNotification</w:t>
      </w:r>
      <w:r>
        <w:t>”</w:t>
      </w:r>
    </w:p>
    <w:p w14:paraId="0958684F" w14:textId="77777777" w:rsidR="00B97365" w:rsidRDefault="00000000">
      <w:pPr>
        <w:numPr>
          <w:ilvl w:val="0"/>
          <w:numId w:val="111"/>
        </w:numPr>
        <w:rPr>
          <w:lang w:val="en-US"/>
        </w:rPr>
      </w:pPr>
      <w:r>
        <w:rPr>
          <w:lang w:val="en-US"/>
        </w:rPr>
        <w:t>The SM-SR SHALL send the "</w:t>
      </w:r>
      <w:r>
        <w:rPr>
          <w:b/>
          <w:lang w:val="en-US"/>
        </w:rPr>
        <w:t>ES4.HandleProfileEnabledNotification</w:t>
      </w:r>
      <w:r>
        <w:rPr>
          <w:lang w:val="en-US"/>
        </w:rPr>
        <w:t>" to a M2M SP, if authorised by Operator2 the owner of Profile with Fall-Back Attribute set that is now enabled.</w:t>
      </w:r>
    </w:p>
    <w:p w14:paraId="1FA65CAB" w14:textId="77777777" w:rsidR="00B97365" w:rsidRDefault="00000000">
      <w:pPr>
        <w:ind w:left="360"/>
      </w:pPr>
      <w:r>
        <w:t>If the M2M SP is another Operator directly connected to the SM-SR and it is authorised by Operator2, the SM-SR SHALL send this notification to this other Operator by calling the “</w:t>
      </w:r>
      <w:r>
        <w:rPr>
          <w:b/>
        </w:rPr>
        <w:t>ES4.HandleProfileEnabledNotification</w:t>
      </w:r>
      <w:r>
        <w:t>”.</w:t>
      </w:r>
    </w:p>
    <w:p w14:paraId="4C3DC7EA" w14:textId="77777777" w:rsidR="00B97365" w:rsidRDefault="00000000">
      <w:pPr>
        <w:ind w:left="360"/>
        <w:rPr>
          <w:lang w:val="en-US"/>
        </w:rPr>
      </w:pPr>
      <w:r>
        <w:t>If the M2M SP is another Operator connected through its SM-DP and it is authorised by Operator2, the SM-SR SHALL send this notification to the SM-DP associated to this other Operator by calling the “</w:t>
      </w:r>
      <w:r>
        <w:rPr>
          <w:b/>
        </w:rPr>
        <w:t>ES3.HandleProfileEnabledNotification</w:t>
      </w:r>
      <w:r>
        <w:t>”.</w:t>
      </w:r>
    </w:p>
    <w:p w14:paraId="792B33E5" w14:textId="77777777" w:rsidR="00B97365" w:rsidRDefault="00000000">
      <w:pPr>
        <w:ind w:left="360"/>
      </w:pPr>
      <w:r>
        <w:t>Then the SM-DP, on reception of this notification, SHALL forward it to the Operator, acting as the M2M SP, by calling the “</w:t>
      </w:r>
      <w:r>
        <w:rPr>
          <w:b/>
        </w:rPr>
        <w:t>ES2.HandleProfileEnabledNotification</w:t>
      </w:r>
      <w:r>
        <w:t>”.</w:t>
      </w:r>
    </w:p>
    <w:p w14:paraId="0972DADF" w14:textId="77777777" w:rsidR="00B97365" w:rsidRDefault="00B97365">
      <w:pPr>
        <w:ind w:left="567"/>
        <w:rPr>
          <w:lang w:val="en-US"/>
        </w:rPr>
      </w:pPr>
    </w:p>
    <w:p w14:paraId="16434819"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This M2M SP might be the same M2M SP as for Operator1 or any other M2M SP.</w:t>
      </w:r>
    </w:p>
    <w:p w14:paraId="2E31AB91" w14:textId="77777777" w:rsidR="00B97365" w:rsidRDefault="00000000">
      <w:pPr>
        <w:numPr>
          <w:ilvl w:val="0"/>
          <w:numId w:val="111"/>
        </w:numPr>
        <w:rPr>
          <w:lang w:val="en-US"/>
        </w:rPr>
      </w:pPr>
      <w:r>
        <w:rPr>
          <w:lang w:val="en-US"/>
        </w:rPr>
        <w:t>Finally, the SM-DP SHALL return the response to the “</w:t>
      </w:r>
      <w:r>
        <w:rPr>
          <w:b/>
          <w:lang w:val="en-US"/>
        </w:rPr>
        <w:t>ES2.DisableProfile</w:t>
      </w:r>
      <w:r>
        <w:rPr>
          <w:lang w:val="en-US"/>
        </w:rPr>
        <w:t>” function call to Operator1.</w:t>
      </w:r>
    </w:p>
    <w:p w14:paraId="428FB444" w14:textId="77777777" w:rsidR="00B97365" w:rsidRDefault="00B97365">
      <w:pPr>
        <w:ind w:left="567"/>
        <w:rPr>
          <w:lang w:val="en-US"/>
        </w:rPr>
      </w:pPr>
    </w:p>
    <w:p w14:paraId="1E035F56" w14:textId="33A1A6EA" w:rsidR="00B97365" w:rsidRDefault="00000000">
      <w:pPr>
        <w:tabs>
          <w:tab w:val="left" w:pos="1560"/>
        </w:tabs>
        <w:spacing w:before="0" w:after="200" w:line="276" w:lineRule="auto"/>
        <w:ind w:left="1560" w:hanging="1276"/>
        <w:jc w:val="left"/>
        <w:rPr>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The MT-SMS and MO-SMS SHALL be secured according to section </w:t>
      </w:r>
      <w:r>
        <w:fldChar w:fldCharType="begin"/>
      </w:r>
      <w:r>
        <w:instrText xml:space="preserve"> REF _Ref367972055 \r \h  \* MERGEFORMAT </w:instrText>
      </w:r>
      <w:r>
        <w:fldChar w:fldCharType="separate"/>
      </w:r>
      <w:r w:rsidR="001D5AD9" w:rsidRPr="001D5AD9">
        <w:rPr>
          <w:szCs w:val="22"/>
          <w:lang w:val="en-US" w:eastAsia="en-GB" w:bidi="ar-SA"/>
        </w:rPr>
        <w:t>2.4</w:t>
      </w:r>
      <w:r>
        <w:fldChar w:fldCharType="end"/>
      </w:r>
      <w:r>
        <w:rPr>
          <w:szCs w:val="22"/>
          <w:lang w:val="en-US" w:eastAsia="en-GB" w:bidi="ar-SA"/>
        </w:rPr>
        <w:t>.</w:t>
      </w:r>
    </w:p>
    <w:p w14:paraId="026D166D"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743" w:name="_Toc374345782"/>
      <w:bookmarkStart w:id="1744" w:name="_Toc374346128"/>
      <w:bookmarkStart w:id="1745" w:name="_Toc374346473"/>
      <w:bookmarkStart w:id="1746" w:name="_Toc374346819"/>
      <w:bookmarkStart w:id="1747" w:name="_Toc352772920"/>
      <w:bookmarkStart w:id="1748" w:name="_Ref367972791"/>
      <w:bookmarkStart w:id="1749" w:name="_Ref367974800"/>
      <w:bookmarkStart w:id="1750" w:name="_Ref367975248"/>
      <w:bookmarkStart w:id="1751" w:name="_Toc368932216"/>
      <w:bookmarkStart w:id="1752" w:name="_Toc374348488"/>
      <w:bookmarkStart w:id="1753" w:name="_Toc375158238"/>
      <w:bookmarkStart w:id="1754" w:name="_Toc398214822"/>
      <w:bookmarkStart w:id="1755" w:name="_Toc420594368"/>
      <w:bookmarkStart w:id="1756" w:name="_Toc421874281"/>
      <w:bookmarkStart w:id="1757" w:name="_Toc422150701"/>
      <w:bookmarkStart w:id="1758" w:name="_Toc448998227"/>
      <w:bookmarkStart w:id="1759" w:name="_Toc486332845"/>
      <w:bookmarkStart w:id="1760" w:name="_Toc1977266"/>
      <w:bookmarkStart w:id="1761" w:name="_Toc37062423"/>
      <w:bookmarkStart w:id="1762" w:name="_Toc88839528"/>
      <w:bookmarkStart w:id="1763" w:name="_Toc121503936"/>
      <w:bookmarkEnd w:id="1743"/>
      <w:bookmarkEnd w:id="1744"/>
      <w:bookmarkEnd w:id="1745"/>
      <w:bookmarkEnd w:id="1746"/>
      <w:r>
        <w:rPr>
          <w:rFonts w:eastAsia="Times New Roman" w:cs="Arial"/>
          <w:b/>
          <w:bCs/>
          <w:iCs/>
          <w:sz w:val="24"/>
          <w:szCs w:val="28"/>
          <w:lang w:eastAsia="en-US"/>
        </w:rPr>
        <w:t>Profile and ISD-P Deletion</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2E01FF35" w14:textId="53381519" w:rsidR="00B97365" w:rsidRDefault="00000000">
      <w:pPr>
        <w:spacing w:before="0" w:after="200" w:line="276" w:lineRule="auto"/>
        <w:jc w:val="left"/>
        <w:rPr>
          <w:color w:val="000000"/>
          <w:szCs w:val="22"/>
          <w:lang w:eastAsia="en-GB" w:bidi="ar-SA"/>
        </w:rPr>
      </w:pPr>
      <w:r>
        <w:rPr>
          <w:rFonts w:cs="Arial"/>
          <w:szCs w:val="22"/>
          <w:lang w:eastAsia="en-GB" w:bidi="ar-SA"/>
        </w:rPr>
        <w:t xml:space="preserve">The Profile and ISD-P deletion procedure between the Operator and the SM-SR is used to delete the target ISD-P with its Profile on the eUICC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3.5.4). The procedure is initiated by the Operator owning the Profile to be deleted. The procedure illustrates the usage of SMS as a possible transport protocol between SM-SR and eUICC,</w:t>
      </w:r>
      <w:r>
        <w:rPr>
          <w:color w:val="FF0000"/>
          <w:szCs w:val="22"/>
          <w:lang w:val="en-US" w:eastAsia="en-GB" w:bidi="ar-SA"/>
        </w:rPr>
        <w:t xml:space="preserve"> </w:t>
      </w:r>
      <w:r>
        <w:rPr>
          <w:color w:val="000000"/>
          <w:szCs w:val="22"/>
          <w:lang w:val="en-US" w:eastAsia="en-GB" w:bidi="ar-SA"/>
        </w:rPr>
        <w:t xml:space="preserve">but can be also performed using other </w:t>
      </w:r>
      <w:r>
        <w:rPr>
          <w:szCs w:val="22"/>
          <w:lang w:eastAsia="en-GB" w:bidi="ar-SA"/>
        </w:rPr>
        <w:t>transport protocols</w:t>
      </w:r>
      <w:r>
        <w:rPr>
          <w:color w:val="000000"/>
          <w:szCs w:val="22"/>
          <w:lang w:eastAsia="en-GB" w:bidi="ar-SA"/>
        </w:rPr>
        <w:t>.</w:t>
      </w:r>
    </w:p>
    <w:p w14:paraId="1DA863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5FF0CA4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338CC9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3B2D60E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400</w:t>
      </w:r>
    </w:p>
    <w:p w14:paraId="56EB32A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18039F2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5DFDEE5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1AC6E0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7F05926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3CF4CE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participant “M2M SP” as M2MSP #FFFFFF </w:t>
      </w:r>
    </w:p>
    <w:p w14:paraId="12C6ADD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6B06C14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7D30B96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51454F5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6B020CA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48AD590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D3C8DD9"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3C254C">
        <w:rPr>
          <w:rFonts w:ascii="Courier New" w:hAnsi="Courier New" w:cs="Courier New"/>
          <w:noProof/>
          <w:color w:val="008000"/>
          <w:sz w:val="18"/>
          <w:lang w:val="nl-NL"/>
        </w:rPr>
        <w:t>OP-&gt;&gt;SR: (1) DeleteProfile(eid, iccid)</w:t>
      </w:r>
    </w:p>
    <w:p w14:paraId="571A9BC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32D78C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12245EE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859CD1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Failed</w:t>
      </w:r>
    </w:p>
    <w:p w14:paraId="481E9B6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ISDR #ADD1B2</w:t>
      </w:r>
    </w:p>
    <w:p w14:paraId="593D0F1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Optional: If targeted profile is enabled, then</w:t>
      </w:r>
    </w:p>
    <w:p w14:paraId="1678E08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execute function "ES4.DisableProfile"</w:t>
      </w:r>
    </w:p>
    <w:p w14:paraId="364AD9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07EA67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Failed</w:t>
      </w:r>
    </w:p>
    <w:p w14:paraId="45C571C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(4) MT-SMS [ES5.DELETE command]SCP80</w:t>
      </w:r>
    </w:p>
    <w:p w14:paraId="42ABE3C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574EDB8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Enforce POL1</w:t>
      </w:r>
    </w:p>
    <w:p w14:paraId="0748C2C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D64317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57CB7E4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34B8128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(6) Delete ISD-P</w:t>
      </w:r>
    </w:p>
    <w:p w14:paraId="14ACA43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E2552A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(7) MO-SMS [ES5.DELETE command response]SCP80</w:t>
      </w:r>
    </w:p>
    <w:p w14:paraId="38E1E8F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4DB2A943"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(8) Update EIS</w:t>
      </w:r>
    </w:p>
    <w:p w14:paraId="5A145A43"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Endrnote</w:t>
      </w:r>
    </w:p>
    <w:p w14:paraId="59D79DE5"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SR--&gt;&gt;OP: (9) Profile deletion result</w:t>
      </w:r>
    </w:p>
    <w:p w14:paraId="3FD1471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(10) Cond: HandleProfileDeletedNotification (eid, iccid)</w:t>
      </w:r>
    </w:p>
    <w:p w14:paraId="5AA007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48555F62" w14:textId="77777777" w:rsidR="00B97365" w:rsidRDefault="00000000">
      <w:pPr>
        <w:rPr>
          <w:rFonts w:cs="Courier New"/>
          <w:noProof/>
          <w:color w:val="008000"/>
          <w:sz w:val="18"/>
        </w:rPr>
      </w:pPr>
      <w:r>
        <w:rPr>
          <w:rFonts w:cs="Courier New"/>
          <w:noProof/>
          <w:color w:val="008000"/>
          <w:sz w:val="18"/>
          <w:lang w:eastAsia="en-GB" w:bidi="ar-SA"/>
        </w:rPr>
        <w:lastRenderedPageBreak/>
        <w:drawing>
          <wp:inline distT="0" distB="0" distL="0" distR="0" wp14:anchorId="777F5CB4" wp14:editId="6C145A0D">
            <wp:extent cx="5731510" cy="3321963"/>
            <wp:effectExtent l="0" t="0" r="2540" b="0"/>
            <wp:docPr id="440" name="Picture 44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
                    <pic:cNvPicPr/>
                  </pic:nvPicPr>
                  <pic:blipFill>
                    <a:blip r:embed="rId56">
                      <a:extLst>
                        <a:ext uri="{28A0092B-C50C-407E-A947-70E740481C1C}">
                          <a14:useLocalDpi xmlns:a14="http://schemas.microsoft.com/office/drawing/2010/main" val="0"/>
                        </a:ext>
                      </a:extLst>
                    </a:blip>
                    <a:stretch>
                      <a:fillRect/>
                    </a:stretch>
                  </pic:blipFill>
                  <pic:spPr>
                    <a:xfrm>
                      <a:off x="0" y="0"/>
                      <a:ext cx="5731510" cy="3321963"/>
                    </a:xfrm>
                    <a:prstGeom prst="rect">
                      <a:avLst/>
                    </a:prstGeom>
                  </pic:spPr>
                </pic:pic>
              </a:graphicData>
            </a:graphic>
          </wp:inline>
        </w:drawing>
      </w:r>
    </w:p>
    <w:p w14:paraId="0E391343"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Profile and ISD-P Deletion</w:t>
      </w:r>
    </w:p>
    <w:p w14:paraId="3EA4B0F4"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764" w:name="_Toc420594369"/>
      <w:r>
        <w:rPr>
          <w:rFonts w:cs="Arial"/>
          <w:b/>
          <w:noProof/>
          <w:szCs w:val="22"/>
          <w:lang w:val="en-US" w:eastAsia="en-GB" w:bidi="ar-SA"/>
        </w:rPr>
        <w:t>Start Conditions:</w:t>
      </w:r>
      <w:bookmarkEnd w:id="1764"/>
    </w:p>
    <w:p w14:paraId="4F2562A5" w14:textId="52FFE57F"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p>
    <w:p w14:paraId="68464442" w14:textId="77777777" w:rsidR="00B97365" w:rsidRDefault="00000000">
      <w:pPr>
        <w:tabs>
          <w:tab w:val="left" w:pos="397"/>
          <w:tab w:val="right" w:pos="9015"/>
        </w:tabs>
        <w:spacing w:before="0" w:after="40" w:line="276" w:lineRule="auto"/>
        <w:ind w:left="397" w:right="680" w:hanging="397"/>
        <w:jc w:val="left"/>
        <w:rPr>
          <w:b/>
          <w:noProof/>
          <w:szCs w:val="22"/>
          <w:lang w:val="en-US"/>
        </w:rPr>
      </w:pPr>
      <w:bookmarkStart w:id="1765" w:name="_Toc420594370"/>
      <w:r>
        <w:rPr>
          <w:rFonts w:cs="Arial"/>
          <w:b/>
          <w:noProof/>
          <w:szCs w:val="22"/>
          <w:lang w:val="en-US"/>
        </w:rPr>
        <w:t>Procedure:</w:t>
      </w:r>
      <w:bookmarkEnd w:id="1765"/>
    </w:p>
    <w:p w14:paraId="6AB57C87" w14:textId="77777777" w:rsidR="00B97365" w:rsidRDefault="00000000">
      <w:pPr>
        <w:numPr>
          <w:ilvl w:val="0"/>
          <w:numId w:val="112"/>
        </w:numPr>
        <w:rPr>
          <w:lang w:val="en-US"/>
        </w:rPr>
      </w:pPr>
      <w:r>
        <w:rPr>
          <w:lang w:val="en-US"/>
        </w:rPr>
        <w:t>The Operator owning the target Profile SHALL call the “</w:t>
      </w:r>
      <w:r>
        <w:rPr>
          <w:b/>
          <w:lang w:val="en-US"/>
        </w:rPr>
        <w:t>ES4.DeleteProfile</w:t>
      </w:r>
      <w:r>
        <w:rPr>
          <w:lang w:val="en-US"/>
        </w:rPr>
        <w:t xml:space="preserve">” function with its relevant input data. </w:t>
      </w:r>
    </w:p>
    <w:p w14:paraId="4F773E1A" w14:textId="24F79DAC" w:rsidR="00B97365" w:rsidRDefault="00000000">
      <w:pPr>
        <w:numPr>
          <w:ilvl w:val="0"/>
          <w:numId w:val="112"/>
        </w:numPr>
        <w:rPr>
          <w:lang w:val="en-US"/>
        </w:rPr>
      </w:pPr>
      <w:r>
        <w:rPr>
          <w:lang w:val="en-US"/>
        </w:rPr>
        <w:t xml:space="preserve">The SM-SR SHALL verify that the Operator request is acceptable (the verifications that the SM-SR SHALL perform are described in the section </w:t>
      </w:r>
      <w:r>
        <w:fldChar w:fldCharType="begin"/>
      </w:r>
      <w:r>
        <w:instrText xml:space="preserve"> REF _Ref367972106 \r \h  \* MERGEFORMAT </w:instrText>
      </w:r>
      <w:r>
        <w:fldChar w:fldCharType="separate"/>
      </w:r>
      <w:r w:rsidR="001D5AD9" w:rsidRPr="001D5AD9">
        <w:rPr>
          <w:lang w:val="en-US"/>
        </w:rPr>
        <w:t>5.4.7</w:t>
      </w:r>
      <w:r>
        <w:fldChar w:fldCharType="end"/>
      </w:r>
      <w:r>
        <w:rPr>
          <w:lang w:val="en-US"/>
        </w:rPr>
        <w:t>), and in particular SHALL evaluate POL2 of the target Profile. If any of the conditions to be verified are not satisfied, the SM-SR SHALL return a response indicating the failure, and the procedure SHALL end.</w:t>
      </w:r>
    </w:p>
    <w:p w14:paraId="2C965D56" w14:textId="77777777" w:rsidR="00B97365" w:rsidRDefault="00000000">
      <w:pPr>
        <w:numPr>
          <w:ilvl w:val="0"/>
          <w:numId w:val="112"/>
        </w:numPr>
        <w:rPr>
          <w:lang w:val="en-US"/>
        </w:rPr>
      </w:pPr>
      <w:r>
        <w:rPr>
          <w:lang w:val="en-US"/>
        </w:rPr>
        <w:t>The SM-SR SHALL check the state of the target Profile. If the target Profile is enabled and if POL2 of the target Profile allows it to be disabled, then the SM-SR SHALL execute the “</w:t>
      </w:r>
      <w:r>
        <w:rPr>
          <w:b/>
          <w:lang w:val="en-US"/>
        </w:rPr>
        <w:t>ES4.DisableProfile</w:t>
      </w:r>
      <w:r>
        <w:rPr>
          <w:lang w:val="en-US"/>
        </w:rPr>
        <w:t xml:space="preserve">” function to first disable the target Profile (and thus enable the Profile having the Fall-Back Attribute). In case of error, a response indicating the failure is returned to the Operator, and the procedure SHALL end. </w:t>
      </w:r>
    </w:p>
    <w:p w14:paraId="1F8789AE" w14:textId="2A715B21" w:rsidR="00B97365" w:rsidRDefault="00000000">
      <w:pPr>
        <w:spacing w:after="200" w:line="276" w:lineRule="auto"/>
        <w:ind w:left="1560" w:hanging="1276"/>
        <w:jc w:val="left"/>
        <w:rPr>
          <w:lang w:val="en-US"/>
        </w:rPr>
      </w:pPr>
      <w:r>
        <w:rPr>
          <w:rFonts w:cs="Arial"/>
          <w:lang w:val="en-US"/>
        </w:rPr>
        <w:t xml:space="preserve">NOTE: </w:t>
      </w:r>
      <w:r>
        <w:rPr>
          <w:rFonts w:cs="Arial"/>
          <w:lang w:val="en-US"/>
        </w:rPr>
        <w:tab/>
      </w:r>
      <w:r>
        <w:rPr>
          <w:szCs w:val="22"/>
          <w:lang w:eastAsia="en-GB" w:bidi="ar-SA"/>
        </w:rPr>
        <w:t>Profile</w:t>
      </w:r>
      <w:r>
        <w:rPr>
          <w:lang w:val="en-US"/>
        </w:rPr>
        <w:t xml:space="preserve"> change includes a change of the IMSI that is used to attach to the network. As indicated in 3GPP TS 31.102 </w:t>
      </w:r>
      <w:r>
        <w:rPr>
          <w:lang w:val="en-US"/>
        </w:rPr>
        <w:fldChar w:fldCharType="begin"/>
      </w:r>
      <w:r>
        <w:rPr>
          <w:lang w:val="en-US"/>
        </w:rPr>
        <w:instrText xml:space="preserve"> REF _Ref421632746 \r \h </w:instrText>
      </w:r>
      <w:r>
        <w:rPr>
          <w:lang w:val="en-US"/>
        </w:rPr>
      </w:r>
      <w:r>
        <w:rPr>
          <w:lang w:val="en-US"/>
        </w:rPr>
        <w:fldChar w:fldCharType="separate"/>
      </w:r>
      <w:r w:rsidR="001D5AD9">
        <w:rPr>
          <w:lang w:val="en-US"/>
        </w:rPr>
        <w:t>[52]</w:t>
      </w:r>
      <w:r>
        <w:rPr>
          <w:lang w:val="en-US"/>
        </w:rPr>
        <w:fldChar w:fldCharType="end"/>
      </w:r>
      <w:r>
        <w:rPr>
          <w:lang w:val="en-US"/>
        </w:rPr>
        <w:t>, such a change requires special caution and should always be accompanied by a REFRESH command to avoid inconsistent information being read by the terminal. So while the targeted ISD-P is marked as enabled in this step, it MAY actually become effective only after the terminal executes the REFRESH command.</w:t>
      </w:r>
    </w:p>
    <w:p w14:paraId="2DB99F18" w14:textId="7C1D3262" w:rsidR="00B97365" w:rsidRDefault="00000000">
      <w:pPr>
        <w:numPr>
          <w:ilvl w:val="0"/>
          <w:numId w:val="112"/>
        </w:numPr>
        <w:rPr>
          <w:lang w:val="en-US"/>
        </w:rPr>
      </w:pPr>
      <w:r>
        <w:rPr>
          <w:lang w:val="en-US"/>
        </w:rPr>
        <w:t>The SM-SR SHALL send an MT-SMS containing the “</w:t>
      </w:r>
      <w:r>
        <w:rPr>
          <w:b/>
          <w:lang w:val="en-US"/>
        </w:rPr>
        <w:t>ES5.DELETE</w:t>
      </w:r>
      <w:r>
        <w:rPr>
          <w:lang w:val="en-US"/>
        </w:rPr>
        <w:t xml:space="preserve">” command with its relevant input data (see section </w:t>
      </w:r>
      <w:r>
        <w:fldChar w:fldCharType="begin"/>
      </w:r>
      <w:r>
        <w:instrText xml:space="preserve"> REF _Ref367972122 \r \h  \* MERGEFORMAT </w:instrText>
      </w:r>
      <w:r>
        <w:fldChar w:fldCharType="separate"/>
      </w:r>
      <w:r w:rsidR="001D5AD9" w:rsidRPr="001D5AD9">
        <w:rPr>
          <w:lang w:val="en-US"/>
        </w:rPr>
        <w:t>4.1.1.4</w:t>
      </w:r>
      <w:r>
        <w:fldChar w:fldCharType="end"/>
      </w:r>
      <w:r>
        <w:rPr>
          <w:lang w:val="en-US"/>
        </w:rPr>
        <w:t>) to the ISD-R. The SM-SR SHALL request a PoR to get the execution status of the “</w:t>
      </w:r>
      <w:r>
        <w:rPr>
          <w:b/>
          <w:lang w:val="en-US"/>
        </w:rPr>
        <w:t>ES5.DELETE</w:t>
      </w:r>
      <w:r>
        <w:rPr>
          <w:lang w:val="en-US"/>
        </w:rPr>
        <w:t>” command.</w:t>
      </w:r>
    </w:p>
    <w:p w14:paraId="45192F1D" w14:textId="77777777" w:rsidR="00B97365" w:rsidRDefault="00000000">
      <w:pPr>
        <w:numPr>
          <w:ilvl w:val="0"/>
          <w:numId w:val="112"/>
        </w:numPr>
        <w:rPr>
          <w:lang w:val="en-US"/>
        </w:rPr>
      </w:pPr>
      <w:r>
        <w:rPr>
          <w:lang w:val="en-US"/>
        </w:rPr>
        <w:lastRenderedPageBreak/>
        <w:t>The ISD-R, SHALL enforce POL1. If POL1 rejects deletion of the target Profile, the ISD-R SHALL return directly the MO-SMS containing the response indicating a failure, and the procedure SHALL end.</w:t>
      </w:r>
    </w:p>
    <w:p w14:paraId="72314BBE" w14:textId="77777777" w:rsidR="00B97365" w:rsidRDefault="00000000">
      <w:pPr>
        <w:numPr>
          <w:ilvl w:val="0"/>
          <w:numId w:val="112"/>
        </w:numPr>
        <w:rPr>
          <w:lang w:val="en-US"/>
        </w:rPr>
      </w:pPr>
      <w:r>
        <w:rPr>
          <w:lang w:val="en-US"/>
        </w:rPr>
        <w:t>If POL1 allows, the ISD-R SHALL delete the targeted ISD-P and the contained Profile.</w:t>
      </w:r>
    </w:p>
    <w:p w14:paraId="68339A8D" w14:textId="77777777" w:rsidR="00B97365" w:rsidRDefault="00000000">
      <w:pPr>
        <w:numPr>
          <w:ilvl w:val="0"/>
          <w:numId w:val="112"/>
        </w:numPr>
        <w:rPr>
          <w:lang w:val="en-US"/>
        </w:rPr>
      </w:pPr>
      <w:r>
        <w:rPr>
          <w:lang w:val="en-US"/>
        </w:rPr>
        <w:t>The ISD-R SHALL return the MO-SMS containing the execution status of the “</w:t>
      </w:r>
      <w:r>
        <w:rPr>
          <w:b/>
          <w:lang w:val="en-US"/>
        </w:rPr>
        <w:t>ES5.DELETE</w:t>
      </w:r>
      <w:r>
        <w:rPr>
          <w:lang w:val="en-US"/>
        </w:rPr>
        <w:t>” command to the SM-SR.</w:t>
      </w:r>
    </w:p>
    <w:p w14:paraId="1EBD0E08" w14:textId="77777777" w:rsidR="00B97365" w:rsidRDefault="00000000">
      <w:pPr>
        <w:numPr>
          <w:ilvl w:val="0"/>
          <w:numId w:val="112"/>
        </w:numPr>
        <w:rPr>
          <w:lang w:val="en-US"/>
        </w:rPr>
      </w:pPr>
      <w:r>
        <w:rPr>
          <w:lang w:val="en-US"/>
        </w:rPr>
        <w:t>In case of successful execution, the SM-SR SHALL update the EIS to reflect the newly deleted Profile.</w:t>
      </w:r>
    </w:p>
    <w:p w14:paraId="55D01794" w14:textId="77777777" w:rsidR="00B97365" w:rsidRDefault="00000000">
      <w:pPr>
        <w:numPr>
          <w:ilvl w:val="0"/>
          <w:numId w:val="112"/>
        </w:numPr>
        <w:rPr>
          <w:lang w:val="en-US"/>
        </w:rPr>
      </w:pPr>
      <w:r>
        <w:rPr>
          <w:lang w:val="en-US"/>
        </w:rPr>
        <w:t>Finally, the SM-SR SHALL return the response to the “</w:t>
      </w:r>
      <w:r>
        <w:rPr>
          <w:b/>
          <w:lang w:val="en-US"/>
        </w:rPr>
        <w:t>ES4.DeleteProfile</w:t>
      </w:r>
      <w:r>
        <w:rPr>
          <w:lang w:val="en-US"/>
        </w:rPr>
        <w:t>” function to the caller Operator.</w:t>
      </w:r>
    </w:p>
    <w:p w14:paraId="2B257E54" w14:textId="77777777" w:rsidR="00B97365" w:rsidRDefault="00000000">
      <w:pPr>
        <w:numPr>
          <w:ilvl w:val="0"/>
          <w:numId w:val="112"/>
        </w:numPr>
        <w:rPr>
          <w:lang w:val="en-US"/>
        </w:rPr>
      </w:pPr>
      <w:r>
        <w:rPr>
          <w:lang w:val="en-US"/>
        </w:rPr>
        <w:t>The SM-SR SHALL send the "</w:t>
      </w:r>
      <w:r>
        <w:rPr>
          <w:b/>
          <w:lang w:val="en-US"/>
        </w:rPr>
        <w:t>ES4.HandleProfileDeletedNotification</w:t>
      </w:r>
      <w:r>
        <w:rPr>
          <w:lang w:val="en-US"/>
        </w:rPr>
        <w:t>" to a M2M SP, if authorised by the Operator who owns the Profile, indicating that the profile has been deleted.</w:t>
      </w:r>
    </w:p>
    <w:p w14:paraId="586C3621" w14:textId="77777777" w:rsidR="00B97365" w:rsidRDefault="00000000">
      <w:pPr>
        <w:ind w:left="360"/>
      </w:pPr>
      <w:r>
        <w:t xml:space="preserve">If the M2M SP is another Operator directly connected to the SM-SR and it is authorised by the </w:t>
      </w:r>
      <w:r>
        <w:rPr>
          <w:lang w:val="en-US"/>
        </w:rPr>
        <w:t xml:space="preserve">Operator </w:t>
      </w:r>
      <w:r>
        <w:t>owning the Profile, the SM-SR SHALL send this notification to this other Operator by calling the “</w:t>
      </w:r>
      <w:r>
        <w:rPr>
          <w:b/>
        </w:rPr>
        <w:t>ES4.</w:t>
      </w:r>
      <w:r>
        <w:rPr>
          <w:b/>
          <w:lang w:val="en-US"/>
        </w:rPr>
        <w:t>HandleProfileDeletedNotification</w:t>
      </w:r>
      <w:r>
        <w:t>”.</w:t>
      </w:r>
    </w:p>
    <w:p w14:paraId="4A65731E" w14:textId="77777777" w:rsidR="00B97365" w:rsidRDefault="00000000">
      <w:pPr>
        <w:ind w:left="360"/>
      </w:pPr>
      <w:r>
        <w:t xml:space="preserve">If the M2M SP is another Operator connected through its SM-DP and it is authorised by the </w:t>
      </w:r>
      <w:r>
        <w:rPr>
          <w:lang w:val="en-US"/>
        </w:rPr>
        <w:t xml:space="preserve">Operator </w:t>
      </w:r>
      <w:r>
        <w:t>owning the Profile, the SM-SR SHALL send this notification to the SM-DP associated to this other Operator by calling the “</w:t>
      </w:r>
      <w:r>
        <w:rPr>
          <w:b/>
        </w:rPr>
        <w:t>ES3.</w:t>
      </w:r>
      <w:r>
        <w:rPr>
          <w:b/>
          <w:lang w:val="en-US"/>
        </w:rPr>
        <w:t>HandleProfileDeletedNotification</w:t>
      </w:r>
      <w:r>
        <w:t>”.</w:t>
      </w:r>
    </w:p>
    <w:p w14:paraId="30FE2BA7" w14:textId="77777777" w:rsidR="00B97365" w:rsidRDefault="00000000">
      <w:pPr>
        <w:ind w:left="360"/>
        <w:rPr>
          <w:lang w:val="en-US"/>
        </w:rPr>
      </w:pPr>
      <w:r>
        <w:t>Then the SM-DP, on reception of this notification, SHALL forward it to the Operator, acting as the M2M SP, by calling the “</w:t>
      </w:r>
      <w:r>
        <w:rPr>
          <w:b/>
        </w:rPr>
        <w:t>ES2.</w:t>
      </w:r>
      <w:r>
        <w:rPr>
          <w:b/>
          <w:lang w:val="en-US"/>
        </w:rPr>
        <w:t>HandleProfileDeletedNotification</w:t>
      </w:r>
      <w:r>
        <w:t>”</w:t>
      </w:r>
    </w:p>
    <w:p w14:paraId="21DD72C5" w14:textId="77777777" w:rsidR="00B97365" w:rsidRDefault="00B97365">
      <w:pPr>
        <w:ind w:left="360"/>
        <w:rPr>
          <w:lang w:val="en-US"/>
        </w:rPr>
      </w:pPr>
    </w:p>
    <w:p w14:paraId="4788C5E2" w14:textId="5F4CA2AE" w:rsidR="00B97365" w:rsidRDefault="00000000">
      <w:pPr>
        <w:tabs>
          <w:tab w:val="left" w:pos="1560"/>
        </w:tabs>
        <w:spacing w:before="0" w:after="200" w:line="276" w:lineRule="auto"/>
        <w:ind w:left="1560" w:hanging="1276"/>
        <w:jc w:val="left"/>
        <w:rPr>
          <w:szCs w:val="22"/>
          <w:lang w:eastAsia="en-GB" w:bidi="ar-SA"/>
        </w:rPr>
      </w:pPr>
      <w:r>
        <w:rPr>
          <w:rFonts w:cs="Arial"/>
          <w:szCs w:val="22"/>
          <w:lang w:val="en-US" w:eastAsia="en-GB" w:bidi="ar-SA"/>
        </w:rPr>
        <w:t xml:space="preserve">NOTE: </w:t>
      </w:r>
      <w:r>
        <w:rPr>
          <w:rFonts w:cs="Arial"/>
          <w:szCs w:val="22"/>
          <w:lang w:val="en-US" w:eastAsia="en-GB" w:bidi="ar-SA"/>
        </w:rPr>
        <w:tab/>
      </w:r>
      <w:r>
        <w:rPr>
          <w:szCs w:val="22"/>
          <w:lang w:eastAsia="en-GB" w:bidi="ar-SA"/>
        </w:rPr>
        <w:t xml:space="preserve">The MT-SMS and MO-SMS SHALL be secured according to section </w:t>
      </w:r>
      <w:r>
        <w:fldChar w:fldCharType="begin"/>
      </w:r>
      <w:r>
        <w:instrText xml:space="preserve"> REF _Ref367972133 \r \h  \* MERGEFORMAT </w:instrText>
      </w:r>
      <w:r>
        <w:fldChar w:fldCharType="separate"/>
      </w:r>
      <w:r w:rsidR="001D5AD9" w:rsidRPr="001D5AD9">
        <w:rPr>
          <w:szCs w:val="22"/>
          <w:lang w:eastAsia="en-GB" w:bidi="ar-SA"/>
        </w:rPr>
        <w:t>2.4</w:t>
      </w:r>
      <w:r>
        <w:fldChar w:fldCharType="end"/>
      </w:r>
      <w:r>
        <w:rPr>
          <w:szCs w:val="22"/>
          <w:lang w:eastAsia="en-GB" w:bidi="ar-SA"/>
        </w:rPr>
        <w:t>.</w:t>
      </w:r>
    </w:p>
    <w:p w14:paraId="651C5288"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766" w:name="_Toc374345784"/>
      <w:bookmarkStart w:id="1767" w:name="_Toc374346130"/>
      <w:bookmarkStart w:id="1768" w:name="_Toc374346475"/>
      <w:bookmarkStart w:id="1769" w:name="_Toc374346821"/>
      <w:bookmarkStart w:id="1770" w:name="_Toc352772921"/>
      <w:bookmarkStart w:id="1771" w:name="_Toc368932217"/>
      <w:bookmarkStart w:id="1772" w:name="_Ref373939143"/>
      <w:bookmarkStart w:id="1773" w:name="_Toc374348489"/>
      <w:bookmarkStart w:id="1774" w:name="_Toc375158239"/>
      <w:bookmarkStart w:id="1775" w:name="_Toc398214823"/>
      <w:bookmarkStart w:id="1776" w:name="_Toc420594371"/>
      <w:bookmarkStart w:id="1777" w:name="_Toc421874282"/>
      <w:bookmarkStart w:id="1778" w:name="_Toc422150702"/>
      <w:bookmarkStart w:id="1779" w:name="_Toc448998228"/>
      <w:bookmarkStart w:id="1780" w:name="_Toc486332846"/>
      <w:bookmarkStart w:id="1781" w:name="_Toc1977267"/>
      <w:bookmarkStart w:id="1782" w:name="_Toc37062424"/>
      <w:bookmarkStart w:id="1783" w:name="_Toc88839529"/>
      <w:bookmarkStart w:id="1784" w:name="_Toc121503937"/>
      <w:bookmarkEnd w:id="1766"/>
      <w:bookmarkEnd w:id="1767"/>
      <w:bookmarkEnd w:id="1768"/>
      <w:bookmarkEnd w:id="1769"/>
      <w:r>
        <w:rPr>
          <w:rFonts w:eastAsia="Times New Roman" w:cs="Arial"/>
          <w:b/>
          <w:bCs/>
          <w:iCs/>
          <w:sz w:val="24"/>
          <w:szCs w:val="28"/>
          <w:lang w:eastAsia="en-US"/>
        </w:rPr>
        <w:t xml:space="preserve">Profile and ISD-P Deletion </w:t>
      </w:r>
      <w:r>
        <w:rPr>
          <w:rFonts w:eastAsia="Times New Roman" w:cs="Arial"/>
          <w:b/>
          <w:sz w:val="24"/>
          <w:szCs w:val="28"/>
          <w:lang w:eastAsia="en-US"/>
        </w:rPr>
        <w:t>Via SM-DP</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0A9706AC" w14:textId="09367512" w:rsidR="00B97365" w:rsidRDefault="00000000">
      <w:pPr>
        <w:spacing w:before="0" w:after="200" w:line="276" w:lineRule="auto"/>
        <w:jc w:val="left"/>
        <w:rPr>
          <w:szCs w:val="22"/>
          <w:lang w:eastAsia="en-GB" w:bidi="ar-SA"/>
        </w:rPr>
      </w:pPr>
      <w:r>
        <w:rPr>
          <w:rFonts w:cs="Arial"/>
          <w:szCs w:val="22"/>
          <w:lang w:eastAsia="en-GB" w:bidi="ar-SA"/>
        </w:rPr>
        <w:t xml:space="preserve">The Profile and ISD-P deletion procedure is used between the Operator and the SM-DP to delete the target ISD-P with its Profile on the eUICC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3.5.4). The procedure is initiated by the Operator owning the target Profile and is actually performed by the SM-SR in charge of the eUICC management. The procedure illustrates the usage of SMS as a possible transport protocol between SM-SR and eUICC, </w:t>
      </w:r>
      <w:r>
        <w:rPr>
          <w:color w:val="000000"/>
          <w:szCs w:val="22"/>
          <w:lang w:val="en-US" w:eastAsia="en-GB" w:bidi="ar-SA"/>
        </w:rPr>
        <w:t>but can be also performed using other transport protocols</w:t>
      </w:r>
      <w:r>
        <w:rPr>
          <w:szCs w:val="22"/>
          <w:lang w:eastAsia="en-GB" w:bidi="ar-SA"/>
        </w:rPr>
        <w:t>.</w:t>
      </w:r>
    </w:p>
    <w:p w14:paraId="5EE7B11A" w14:textId="77777777" w:rsidR="00B97365" w:rsidRDefault="00B97365">
      <w:pPr>
        <w:spacing w:before="0" w:after="200" w:line="276" w:lineRule="auto"/>
        <w:jc w:val="left"/>
        <w:rPr>
          <w:rFonts w:cs="Arial"/>
          <w:szCs w:val="22"/>
          <w:lang w:eastAsia="en-GB" w:bidi="ar-SA"/>
        </w:rPr>
      </w:pPr>
    </w:p>
    <w:p w14:paraId="79820A4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0CD081B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360BEC3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0271EB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400</w:t>
      </w:r>
    </w:p>
    <w:p w14:paraId="6761683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1EE832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4CDF359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A1734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574C966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031F6A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participant “M2M SP” as M2MSP #FFFFFF </w:t>
      </w:r>
    </w:p>
    <w:p w14:paraId="07D068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614D2A1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68547B6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0C0E664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1F77499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3E4E6FA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621F59E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OP-&gt;&gt;DP: (1) DeleteProfile(eid, iccid, smsr-id)</w:t>
      </w:r>
    </w:p>
    <w:p w14:paraId="67C8B7C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Pr>
          <w:rFonts w:ascii="Courier New" w:hAnsi="Courier New" w:cs="Courier New"/>
          <w:noProof/>
          <w:color w:val="008000"/>
          <w:sz w:val="18"/>
          <w:lang w:val="de-DE"/>
        </w:rPr>
        <w:t>DP-&gt;&gt;SR: (2) DeleteProfile(eid, iccid)</w:t>
      </w:r>
    </w:p>
    <w:p w14:paraId="1A3F245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0362B9D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Check initial conditions</w:t>
      </w:r>
    </w:p>
    <w:p w14:paraId="7D7F129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EF9F7C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26A2CEE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Failed</w:t>
      </w:r>
    </w:p>
    <w:p w14:paraId="4EE75BD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ISDR #ADD1B2</w:t>
      </w:r>
    </w:p>
    <w:p w14:paraId="1CBA1E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Optional: If targeted profile is enabled, then</w:t>
      </w:r>
    </w:p>
    <w:p w14:paraId="2B3A333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execute function "ES4.DisableProfile"</w:t>
      </w:r>
    </w:p>
    <w:p w14:paraId="72CCB1A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1C8559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6D8880D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Failed</w:t>
      </w:r>
    </w:p>
    <w:p w14:paraId="28C44D3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(5) MT-SMS [ES5.DELETE command]SCP80</w:t>
      </w:r>
    </w:p>
    <w:p w14:paraId="0DD21F8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51113A6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(6) Enforce POL1</w:t>
      </w:r>
    </w:p>
    <w:p w14:paraId="1CF9E3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9A5D2C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299497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449730A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(7) Delete ISD-P</w:t>
      </w:r>
    </w:p>
    <w:p w14:paraId="77335B6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846503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(8) MO-SMS [ES5.DELETE command response]SCP80</w:t>
      </w:r>
    </w:p>
    <w:p w14:paraId="0C811B7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50085064"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(9) Update EIS</w:t>
      </w:r>
    </w:p>
    <w:p w14:paraId="6A00FF31"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Endrnote</w:t>
      </w:r>
    </w:p>
    <w:p w14:paraId="434AE619"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SR--&gt;&gt;DP: (10) Profile deletion result</w:t>
      </w:r>
    </w:p>
    <w:p w14:paraId="2B6A2B1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(11) Cond: HandleProfileDeletedNotification (eid, iccid)</w:t>
      </w:r>
    </w:p>
    <w:p w14:paraId="2304F62B"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it-IT"/>
        </w:rPr>
      </w:pPr>
      <w:r w:rsidRPr="003C254C">
        <w:rPr>
          <w:rFonts w:ascii="Courier New" w:hAnsi="Courier New" w:cs="Courier New"/>
          <w:noProof/>
          <w:color w:val="008000"/>
          <w:sz w:val="18"/>
          <w:lang w:val="it-IT"/>
        </w:rPr>
        <w:t>DP--&gt;&gt;OP: (12) Profile deletion result</w:t>
      </w:r>
    </w:p>
    <w:p w14:paraId="1064820D"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it-IT"/>
        </w:rPr>
      </w:pPr>
      <w:r w:rsidRPr="003C254C">
        <w:rPr>
          <w:rFonts w:ascii="Courier New" w:hAnsi="Courier New" w:cs="Courier New"/>
          <w:noProof/>
          <w:color w:val="008000"/>
          <w:sz w:val="18"/>
          <w:lang w:val="it-IT"/>
        </w:rPr>
        <w:t>@enduml</w:t>
      </w:r>
    </w:p>
    <w:p w14:paraId="7ADDE990" w14:textId="77777777" w:rsidR="00B97365" w:rsidRDefault="00000000">
      <w:pPr>
        <w:rPr>
          <w:rFonts w:cs="Courier New"/>
          <w:noProof/>
          <w:color w:val="008000"/>
          <w:sz w:val="18"/>
          <w:lang w:val="en-US" w:eastAsia="en-GB" w:bidi="ar-SA"/>
        </w:rPr>
      </w:pPr>
      <w:r>
        <w:rPr>
          <w:rFonts w:cs="Courier New"/>
          <w:noProof/>
          <w:color w:val="008000"/>
          <w:sz w:val="18"/>
          <w:lang w:eastAsia="en-GB" w:bidi="ar-SA"/>
        </w:rPr>
        <w:lastRenderedPageBreak/>
        <w:drawing>
          <wp:inline distT="0" distB="0" distL="0" distR="0" wp14:anchorId="63CF9DE1" wp14:editId="2EE8B601">
            <wp:extent cx="5731510" cy="3273683"/>
            <wp:effectExtent l="0" t="0" r="2540" b="3175"/>
            <wp:docPr id="441" name="Picture 44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
                    <pic:cNvPicPr/>
                  </pic:nvPicPr>
                  <pic:blipFill>
                    <a:blip r:embed="rId57">
                      <a:extLst>
                        <a:ext uri="{28A0092B-C50C-407E-A947-70E740481C1C}">
                          <a14:useLocalDpi xmlns:a14="http://schemas.microsoft.com/office/drawing/2010/main" val="0"/>
                        </a:ext>
                      </a:extLst>
                    </a:blip>
                    <a:stretch>
                      <a:fillRect/>
                    </a:stretch>
                  </pic:blipFill>
                  <pic:spPr>
                    <a:xfrm>
                      <a:off x="0" y="0"/>
                      <a:ext cx="5731510" cy="3273683"/>
                    </a:xfrm>
                    <a:prstGeom prst="rect">
                      <a:avLst/>
                    </a:prstGeom>
                  </pic:spPr>
                </pic:pic>
              </a:graphicData>
            </a:graphic>
          </wp:inline>
        </w:drawing>
      </w:r>
    </w:p>
    <w:p w14:paraId="2E562609"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Profile and ISD-P Deletion via SM-DP</w:t>
      </w:r>
    </w:p>
    <w:p w14:paraId="39FDF053"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785" w:name="_Toc420594372"/>
      <w:r>
        <w:rPr>
          <w:rFonts w:cs="Arial"/>
          <w:b/>
          <w:noProof/>
          <w:szCs w:val="22"/>
          <w:lang w:val="en-US" w:eastAsia="en-GB" w:bidi="ar-SA"/>
        </w:rPr>
        <w:t>Start Conditions:</w:t>
      </w:r>
      <w:bookmarkEnd w:id="1785"/>
    </w:p>
    <w:p w14:paraId="5DF97DD0" w14:textId="7708924C"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475C7059"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786" w:name="_Toc420594373"/>
      <w:r>
        <w:rPr>
          <w:rFonts w:cs="Arial"/>
          <w:b/>
          <w:noProof/>
          <w:szCs w:val="22"/>
          <w:lang w:val="en-US" w:eastAsia="en-GB" w:bidi="ar-SA"/>
        </w:rPr>
        <w:t>Procedure:</w:t>
      </w:r>
      <w:bookmarkEnd w:id="1786"/>
    </w:p>
    <w:p w14:paraId="404EF3BA" w14:textId="77777777" w:rsidR="00B97365" w:rsidRDefault="00000000">
      <w:pPr>
        <w:numPr>
          <w:ilvl w:val="0"/>
          <w:numId w:val="113"/>
        </w:numPr>
        <w:rPr>
          <w:lang w:val="en-US"/>
        </w:rPr>
      </w:pPr>
      <w:r>
        <w:rPr>
          <w:lang w:val="en-US"/>
        </w:rPr>
        <w:t>The Operator owning the Profile which is to be deleted SHALL call the “</w:t>
      </w:r>
      <w:r>
        <w:rPr>
          <w:b/>
          <w:lang w:val="en-US"/>
        </w:rPr>
        <w:t>ES2.DeleteProfile</w:t>
      </w:r>
      <w:r>
        <w:rPr>
          <w:lang w:val="en-US"/>
        </w:rPr>
        <w:t>” function with its relevant input data (we assume that the Operator knows the identification and the address of the SM-SR, as the Operator has a Profile on the eUICC managed by this SM-SR). The identification and address of the SM-SR in charge of the management of the eUICC SHALL be provided at that time to the SM-DP.</w:t>
      </w:r>
    </w:p>
    <w:p w14:paraId="2FE907E7" w14:textId="77777777" w:rsidR="00B97365" w:rsidRDefault="00000000">
      <w:pPr>
        <w:numPr>
          <w:ilvl w:val="0"/>
          <w:numId w:val="113"/>
        </w:numPr>
        <w:rPr>
          <w:lang w:val="en-US"/>
        </w:rPr>
      </w:pPr>
      <w:r>
        <w:rPr>
          <w:lang w:val="en-US"/>
        </w:rPr>
        <w:t xml:space="preserve">The SM-DP SHALL forward the Operator request to the relevant SM-SR. </w:t>
      </w:r>
    </w:p>
    <w:p w14:paraId="19E100E3" w14:textId="4A94A6FE" w:rsidR="00B97365" w:rsidRDefault="00000000">
      <w:pPr>
        <w:numPr>
          <w:ilvl w:val="0"/>
          <w:numId w:val="113"/>
        </w:numPr>
        <w:rPr>
          <w:lang w:val="en-US"/>
        </w:rPr>
      </w:pPr>
      <w:r>
        <w:rPr>
          <w:lang w:val="en-US"/>
        </w:rPr>
        <w:t xml:space="preserve">The SM-SR SHALL verify if the SM-DP request is acceptable (the verifications that the SM-SR SHALL perform are described in section </w:t>
      </w:r>
      <w:r>
        <w:fldChar w:fldCharType="begin"/>
      </w:r>
      <w:r>
        <w:instrText xml:space="preserve"> REF _Ref367972179 \r \h  \* MERGEFORMAT </w:instrText>
      </w:r>
      <w:r>
        <w:fldChar w:fldCharType="separate"/>
      </w:r>
      <w:r w:rsidR="001D5AD9" w:rsidRPr="001D5AD9">
        <w:rPr>
          <w:lang w:val="en-US"/>
        </w:rPr>
        <w:t>5.4.9</w:t>
      </w:r>
      <w:r>
        <w:fldChar w:fldCharType="end"/>
      </w:r>
      <w:r>
        <w:rPr>
          <w:lang w:val="en-US"/>
        </w:rPr>
        <w:t>), and, in particular, SHALL evaluate POL2 of the target Profile. If any of the conditions to be verified are not satisfied, the SM-SR SHALL return a response indicating a failure, and the procedure SHALL end.</w:t>
      </w:r>
    </w:p>
    <w:p w14:paraId="67EBC161" w14:textId="77777777" w:rsidR="00B97365" w:rsidRDefault="00000000">
      <w:pPr>
        <w:numPr>
          <w:ilvl w:val="0"/>
          <w:numId w:val="113"/>
        </w:numPr>
        <w:rPr>
          <w:lang w:val="en-US"/>
        </w:rPr>
      </w:pPr>
      <w:r>
        <w:rPr>
          <w:lang w:val="en-US"/>
        </w:rPr>
        <w:t>The SM-SR SHALL check the state of the target Profile. If the target Profile is enabled and if POL2 of the target Profile allows it to be disabled, then the SM-SR SHALL execute the “</w:t>
      </w:r>
      <w:r>
        <w:rPr>
          <w:b/>
          <w:lang w:val="en-US"/>
        </w:rPr>
        <w:t>ES4.DisableProfile</w:t>
      </w:r>
      <w:r>
        <w:rPr>
          <w:lang w:val="en-US"/>
        </w:rPr>
        <w:t>” function to first disable the target Profile (and thus enable the Profile having the Fall-Back Attribute). In case of error, a response indicating the failure SHALL be returned to the SM-DP, who forwards it to the Operator, and the procedure SHALL end.</w:t>
      </w:r>
    </w:p>
    <w:p w14:paraId="5A6699ED" w14:textId="35D4FC93" w:rsidR="00B97365" w:rsidRDefault="00000000">
      <w:pPr>
        <w:ind w:left="1560" w:hanging="1276"/>
        <w:rPr>
          <w:lang w:val="en-US"/>
        </w:rPr>
      </w:pPr>
      <w:r>
        <w:rPr>
          <w:rFonts w:cs="Arial"/>
          <w:lang w:val="en-US"/>
        </w:rPr>
        <w:t xml:space="preserve">NOTE: </w:t>
      </w:r>
      <w:r>
        <w:rPr>
          <w:rFonts w:cs="Arial"/>
          <w:lang w:val="en-US"/>
        </w:rPr>
        <w:tab/>
        <w:t xml:space="preserve">Profile change includes a change of the IMSI that is used to attach to the network. As indicated in 3GPP TS 31.102 </w:t>
      </w:r>
      <w:r>
        <w:rPr>
          <w:lang w:val="en-US"/>
        </w:rPr>
        <w:fldChar w:fldCharType="begin"/>
      </w:r>
      <w:r>
        <w:rPr>
          <w:lang w:val="en-US"/>
        </w:rPr>
        <w:instrText xml:space="preserve"> REF _Ref421632746 \r \h </w:instrText>
      </w:r>
      <w:r>
        <w:rPr>
          <w:lang w:val="en-US"/>
        </w:rPr>
      </w:r>
      <w:r>
        <w:rPr>
          <w:lang w:val="en-US"/>
        </w:rPr>
        <w:fldChar w:fldCharType="separate"/>
      </w:r>
      <w:r w:rsidR="001D5AD9">
        <w:rPr>
          <w:lang w:val="en-US"/>
        </w:rPr>
        <w:t>[52]</w:t>
      </w:r>
      <w:r>
        <w:rPr>
          <w:lang w:val="en-US"/>
        </w:rPr>
        <w:fldChar w:fldCharType="end"/>
      </w:r>
      <w:r>
        <w:rPr>
          <w:lang w:val="en-US"/>
        </w:rPr>
        <w:t>, such a change requires special caution and should always be accompanied by a REFRESH command to avoid inconsistent information being read by the terminal. So while the targeted ISD-P is marked as enabled in this step, it MAY actually become effective only after the terminal executes the REFRESH command.</w:t>
      </w:r>
    </w:p>
    <w:p w14:paraId="2D2C0452" w14:textId="28DE272C" w:rsidR="00B97365" w:rsidRDefault="00000000">
      <w:pPr>
        <w:numPr>
          <w:ilvl w:val="0"/>
          <w:numId w:val="113"/>
        </w:numPr>
        <w:rPr>
          <w:lang w:val="en-US"/>
        </w:rPr>
      </w:pPr>
      <w:r>
        <w:rPr>
          <w:lang w:val="en-US"/>
        </w:rPr>
        <w:lastRenderedPageBreak/>
        <w:t>The SM-SR SHALL send an MT-SMS containing the “</w:t>
      </w:r>
      <w:r>
        <w:rPr>
          <w:b/>
          <w:lang w:val="en-US"/>
        </w:rPr>
        <w:t>ES5.DELETE</w:t>
      </w:r>
      <w:r>
        <w:rPr>
          <w:lang w:val="en-US"/>
        </w:rPr>
        <w:t xml:space="preserve">” command with its relevant input data (see section </w:t>
      </w:r>
      <w:r>
        <w:fldChar w:fldCharType="begin"/>
      </w:r>
      <w:r>
        <w:instrText xml:space="preserve"> REF _Ref367972197 \r \h  \* MERGEFORMAT </w:instrText>
      </w:r>
      <w:r>
        <w:fldChar w:fldCharType="separate"/>
      </w:r>
      <w:r w:rsidR="001D5AD9" w:rsidRPr="001D5AD9">
        <w:rPr>
          <w:lang w:val="en-US"/>
        </w:rPr>
        <w:t>4.1.1.4</w:t>
      </w:r>
      <w:r>
        <w:fldChar w:fldCharType="end"/>
      </w:r>
      <w:r>
        <w:rPr>
          <w:lang w:val="en-US"/>
        </w:rPr>
        <w:t>) to the ISD-R. The SM-SR SHALL request a PoR to get the execution status of the “</w:t>
      </w:r>
      <w:r>
        <w:rPr>
          <w:b/>
          <w:lang w:val="en-US"/>
        </w:rPr>
        <w:t>ES5.DELETE</w:t>
      </w:r>
      <w:r>
        <w:rPr>
          <w:lang w:val="en-US"/>
        </w:rPr>
        <w:t>” command.</w:t>
      </w:r>
    </w:p>
    <w:p w14:paraId="0CAE94DC" w14:textId="77777777" w:rsidR="00B97365" w:rsidRDefault="00000000">
      <w:pPr>
        <w:numPr>
          <w:ilvl w:val="0"/>
          <w:numId w:val="113"/>
        </w:numPr>
        <w:rPr>
          <w:lang w:val="en-US"/>
        </w:rPr>
      </w:pPr>
      <w:r>
        <w:rPr>
          <w:lang w:val="en-US"/>
        </w:rPr>
        <w:t xml:space="preserve">The ISD-R SHALL enforce POL1. If POL1 rejects the deletion of the target Profile, the ISD-R SHALL return the MO-SMS containing the response indicating a failure, and the procedure SHALL end. </w:t>
      </w:r>
    </w:p>
    <w:p w14:paraId="209171F3" w14:textId="77777777" w:rsidR="00B97365" w:rsidRDefault="00000000">
      <w:pPr>
        <w:numPr>
          <w:ilvl w:val="0"/>
          <w:numId w:val="113"/>
        </w:numPr>
        <w:rPr>
          <w:lang w:val="en-US"/>
        </w:rPr>
      </w:pPr>
      <w:r>
        <w:rPr>
          <w:lang w:val="en-US"/>
        </w:rPr>
        <w:t>If POL1 allows its deletion, the ISD-R SHALL delete the targeted ISD-P and the contained Profile.</w:t>
      </w:r>
    </w:p>
    <w:p w14:paraId="06CD2955" w14:textId="77777777" w:rsidR="00B97365" w:rsidRDefault="00000000">
      <w:pPr>
        <w:numPr>
          <w:ilvl w:val="0"/>
          <w:numId w:val="113"/>
        </w:numPr>
        <w:rPr>
          <w:lang w:val="en-US"/>
        </w:rPr>
      </w:pPr>
      <w:r>
        <w:rPr>
          <w:lang w:val="en-US"/>
        </w:rPr>
        <w:t>The ISD-R SHALL return the MO-SMS to the SM-SR containing the execution status of the “</w:t>
      </w:r>
      <w:r>
        <w:rPr>
          <w:b/>
          <w:lang w:val="en-US"/>
        </w:rPr>
        <w:t>ES5.DELETE</w:t>
      </w:r>
      <w:r>
        <w:rPr>
          <w:lang w:val="en-US"/>
        </w:rPr>
        <w:t xml:space="preserve">” command. </w:t>
      </w:r>
    </w:p>
    <w:p w14:paraId="07B7623F" w14:textId="77777777" w:rsidR="00B97365" w:rsidRDefault="00000000">
      <w:pPr>
        <w:numPr>
          <w:ilvl w:val="0"/>
          <w:numId w:val="113"/>
        </w:numPr>
        <w:rPr>
          <w:lang w:val="en-US"/>
        </w:rPr>
      </w:pPr>
      <w:r>
        <w:rPr>
          <w:lang w:val="en-US"/>
        </w:rPr>
        <w:t>In case of successful execution, the SM-SR SHALL update the EIS to reflect the newly deleted Profile.</w:t>
      </w:r>
    </w:p>
    <w:p w14:paraId="2140BF7D" w14:textId="77777777" w:rsidR="00B97365" w:rsidRDefault="00000000">
      <w:pPr>
        <w:numPr>
          <w:ilvl w:val="0"/>
          <w:numId w:val="113"/>
        </w:numPr>
        <w:rPr>
          <w:lang w:val="en-US"/>
        </w:rPr>
      </w:pPr>
      <w:r>
        <w:rPr>
          <w:lang w:val="en-US"/>
        </w:rPr>
        <w:t>The SM-SR SHALL return the response to the “</w:t>
      </w:r>
      <w:r>
        <w:rPr>
          <w:b/>
          <w:lang w:val="en-US"/>
        </w:rPr>
        <w:t>ES3.DeleteISDP</w:t>
      </w:r>
      <w:r>
        <w:rPr>
          <w:lang w:val="en-US"/>
        </w:rPr>
        <w:t>” function to the SM-DP.</w:t>
      </w:r>
    </w:p>
    <w:p w14:paraId="4BFEE584" w14:textId="77777777" w:rsidR="00B97365" w:rsidRDefault="00000000">
      <w:pPr>
        <w:numPr>
          <w:ilvl w:val="0"/>
          <w:numId w:val="113"/>
        </w:numPr>
        <w:rPr>
          <w:lang w:val="en-US"/>
        </w:rPr>
      </w:pPr>
      <w:r>
        <w:rPr>
          <w:lang w:val="en-US"/>
        </w:rPr>
        <w:t>The SM-SR SHALL send the "</w:t>
      </w:r>
      <w:r>
        <w:rPr>
          <w:b/>
          <w:lang w:val="en-US"/>
        </w:rPr>
        <w:t>ES4.HandleProfileDeletedNotification</w:t>
      </w:r>
      <w:r>
        <w:rPr>
          <w:lang w:val="en-US"/>
        </w:rPr>
        <w:t>" to a M2M SP, if authorised by the Operator owning the Profile, indicating that the profile has been deleted.</w:t>
      </w:r>
    </w:p>
    <w:p w14:paraId="0CB7E142" w14:textId="77777777" w:rsidR="00B97365" w:rsidRDefault="00000000">
      <w:pPr>
        <w:ind w:left="360"/>
      </w:pPr>
      <w:r>
        <w:t xml:space="preserve">If the M2M SP is another Operator directly connected to the SM-SR and it is authorised by the </w:t>
      </w:r>
      <w:r>
        <w:rPr>
          <w:lang w:val="en-US"/>
        </w:rPr>
        <w:t xml:space="preserve">Operator </w:t>
      </w:r>
      <w:r>
        <w:t>owning the Profile, the SM-SR SHALL send this notification to this other Operator by calling the “</w:t>
      </w:r>
      <w:r>
        <w:rPr>
          <w:b/>
        </w:rPr>
        <w:t>ES4.</w:t>
      </w:r>
      <w:r>
        <w:rPr>
          <w:b/>
          <w:lang w:val="en-US"/>
        </w:rPr>
        <w:t>HandleProfileDeletedNotification</w:t>
      </w:r>
      <w:r>
        <w:t>”.</w:t>
      </w:r>
    </w:p>
    <w:p w14:paraId="05494E76" w14:textId="77777777" w:rsidR="00B97365" w:rsidRDefault="00000000">
      <w:pPr>
        <w:ind w:left="360"/>
      </w:pPr>
      <w:r>
        <w:t xml:space="preserve">If the M2M SP is another Operator connected through its SM-DP and it is authorised by the </w:t>
      </w:r>
      <w:r>
        <w:rPr>
          <w:lang w:val="en-US"/>
        </w:rPr>
        <w:t xml:space="preserve">Operator </w:t>
      </w:r>
      <w:r>
        <w:t>owning the Profile, the SM-SR SHALL send this notification to the SM-DP associated to this other Operator by calling the “</w:t>
      </w:r>
      <w:r>
        <w:rPr>
          <w:b/>
        </w:rPr>
        <w:t>ES3.</w:t>
      </w:r>
      <w:r>
        <w:rPr>
          <w:b/>
          <w:lang w:val="en-US"/>
        </w:rPr>
        <w:t>HandleProfileDeletedNotification</w:t>
      </w:r>
      <w:r>
        <w:t>”.</w:t>
      </w:r>
    </w:p>
    <w:p w14:paraId="6853C228" w14:textId="77777777" w:rsidR="00B97365" w:rsidRDefault="00000000">
      <w:pPr>
        <w:ind w:left="360"/>
        <w:rPr>
          <w:highlight w:val="yellow"/>
          <w:lang w:val="en-US"/>
        </w:rPr>
      </w:pPr>
      <w:r>
        <w:t>Then the SM-DP, on reception of this notification, SHALL forward it to the Operator, acting as the M2M SP, by calling the “</w:t>
      </w:r>
      <w:r>
        <w:rPr>
          <w:b/>
        </w:rPr>
        <w:t>ES2.</w:t>
      </w:r>
      <w:r>
        <w:rPr>
          <w:b/>
          <w:lang w:val="en-US"/>
        </w:rPr>
        <w:t>HandleProfileDeletedNotification</w:t>
      </w:r>
      <w:r>
        <w:t>”</w:t>
      </w:r>
    </w:p>
    <w:p w14:paraId="704C68B2" w14:textId="77777777" w:rsidR="00B97365" w:rsidRDefault="00000000">
      <w:pPr>
        <w:numPr>
          <w:ilvl w:val="0"/>
          <w:numId w:val="113"/>
        </w:numPr>
        <w:rPr>
          <w:lang w:val="en-US"/>
        </w:rPr>
      </w:pPr>
      <w:r>
        <w:rPr>
          <w:lang w:val="en-US"/>
        </w:rPr>
        <w:t>Finally, the SM-DP SHALL forward the received response to the Operator.</w:t>
      </w:r>
    </w:p>
    <w:p w14:paraId="3E5971A5" w14:textId="77777777" w:rsidR="00B97365" w:rsidRDefault="00B97365">
      <w:pPr>
        <w:ind w:left="567"/>
        <w:rPr>
          <w:lang w:val="en-US"/>
        </w:rPr>
      </w:pPr>
    </w:p>
    <w:p w14:paraId="08699FE3" w14:textId="05C441A1" w:rsidR="00B97365" w:rsidRDefault="00000000">
      <w:pPr>
        <w:tabs>
          <w:tab w:val="left" w:pos="1560"/>
        </w:tabs>
        <w:spacing w:before="0" w:after="200" w:line="276" w:lineRule="auto"/>
        <w:ind w:left="1560" w:hanging="1276"/>
        <w:jc w:val="left"/>
        <w:rPr>
          <w:szCs w:val="22"/>
          <w:lang w:eastAsia="en-GB" w:bidi="ar-SA"/>
        </w:rPr>
      </w:pPr>
      <w:r>
        <w:rPr>
          <w:rFonts w:cs="Arial"/>
          <w:szCs w:val="22"/>
          <w:lang w:val="en-US" w:eastAsia="en-GB" w:bidi="ar-SA"/>
        </w:rPr>
        <w:t xml:space="preserve">NOTE: </w:t>
      </w:r>
      <w:r>
        <w:rPr>
          <w:rFonts w:cs="Arial"/>
          <w:szCs w:val="22"/>
          <w:lang w:val="en-US" w:eastAsia="en-GB" w:bidi="ar-SA"/>
        </w:rPr>
        <w:tab/>
      </w:r>
      <w:r>
        <w:rPr>
          <w:szCs w:val="22"/>
          <w:lang w:eastAsia="en-GB" w:bidi="ar-SA"/>
        </w:rPr>
        <w:t xml:space="preserve">The MT-SMS and MO-SMS SHALL be secured according to section </w:t>
      </w:r>
      <w:r>
        <w:fldChar w:fldCharType="begin"/>
      </w:r>
      <w:r>
        <w:instrText xml:space="preserve"> REF _Ref367972211 \r \h  \* MERGEFORMAT </w:instrText>
      </w:r>
      <w:r>
        <w:fldChar w:fldCharType="separate"/>
      </w:r>
      <w:r w:rsidR="001D5AD9" w:rsidRPr="001D5AD9">
        <w:rPr>
          <w:szCs w:val="22"/>
          <w:lang w:eastAsia="en-GB" w:bidi="ar-SA"/>
        </w:rPr>
        <w:t>2.4</w:t>
      </w:r>
      <w:r>
        <w:fldChar w:fldCharType="end"/>
      </w:r>
      <w:r>
        <w:rPr>
          <w:szCs w:val="22"/>
          <w:lang w:eastAsia="en-GB" w:bidi="ar-SA"/>
        </w:rPr>
        <w:t>.</w:t>
      </w:r>
    </w:p>
    <w:p w14:paraId="57276BE1"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787" w:name="_Toc374345786"/>
      <w:bookmarkStart w:id="1788" w:name="_Toc374346132"/>
      <w:bookmarkStart w:id="1789" w:name="_Toc374346477"/>
      <w:bookmarkStart w:id="1790" w:name="_Toc374346823"/>
      <w:bookmarkStart w:id="1791" w:name="_Ref367972637"/>
      <w:bookmarkStart w:id="1792" w:name="_Toc368932218"/>
      <w:bookmarkStart w:id="1793" w:name="_Toc374348490"/>
      <w:bookmarkStart w:id="1794" w:name="_Toc375158240"/>
      <w:bookmarkStart w:id="1795" w:name="_Toc398214824"/>
      <w:bookmarkStart w:id="1796" w:name="_Toc420594374"/>
      <w:bookmarkStart w:id="1797" w:name="_Toc421874283"/>
      <w:bookmarkStart w:id="1798" w:name="_Toc422150703"/>
      <w:bookmarkStart w:id="1799" w:name="_Toc448998229"/>
      <w:bookmarkStart w:id="1800" w:name="_Toc486332847"/>
      <w:bookmarkStart w:id="1801" w:name="_Toc1977268"/>
      <w:bookmarkStart w:id="1802" w:name="_Toc37062425"/>
      <w:bookmarkStart w:id="1803" w:name="_Toc88839530"/>
      <w:bookmarkStart w:id="1804" w:name="_Toc121503938"/>
      <w:bookmarkEnd w:id="1787"/>
      <w:bookmarkEnd w:id="1788"/>
      <w:bookmarkEnd w:id="1789"/>
      <w:bookmarkEnd w:id="1790"/>
      <w:r>
        <w:rPr>
          <w:rFonts w:eastAsia="Times New Roman" w:cs="Arial"/>
          <w:b/>
          <w:bCs/>
          <w:iCs/>
          <w:sz w:val="24"/>
          <w:szCs w:val="28"/>
          <w:lang w:eastAsia="en-US"/>
        </w:rPr>
        <w:t>SM-SR Change</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1E627B38" w14:textId="51AAB162" w:rsidR="00B97365" w:rsidRDefault="00000000">
      <w:pPr>
        <w:spacing w:before="0" w:after="200" w:line="276" w:lineRule="auto"/>
        <w:jc w:val="left"/>
        <w:rPr>
          <w:szCs w:val="22"/>
          <w:lang w:eastAsia="en-GB" w:bidi="ar-SA"/>
        </w:rPr>
      </w:pPr>
      <w:r>
        <w:rPr>
          <w:rFonts w:cs="Arial"/>
          <w:szCs w:val="22"/>
          <w:lang w:eastAsia="en-GB" w:bidi="ar-SA"/>
        </w:rPr>
        <w:t xml:space="preserve">The SM-SR Change procedure is used between the Initiator Operator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2.3.1) and the SM-SRs to change the SM-SR for the target eUICC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3.5.11) </w:t>
      </w:r>
      <w:r>
        <w:rPr>
          <w:rFonts w:cs="Calibri"/>
          <w:szCs w:val="22"/>
          <w:lang w:eastAsia="en-GB" w:bidi="ar-SA"/>
        </w:rPr>
        <w:t>from SM-SR1 to SM-SR2</w:t>
      </w:r>
      <w:r>
        <w:rPr>
          <w:szCs w:val="22"/>
          <w:lang w:eastAsia="en-GB" w:bidi="ar-SA"/>
        </w:rPr>
        <w:t>.</w:t>
      </w:r>
    </w:p>
    <w:p w14:paraId="431DDD13" w14:textId="3DAAB8C6" w:rsidR="00B97365" w:rsidRDefault="00000000">
      <w:pPr>
        <w:spacing w:before="0" w:after="200" w:line="276" w:lineRule="auto"/>
        <w:jc w:val="left"/>
        <w:rPr>
          <w:szCs w:val="22"/>
          <w:lang w:eastAsia="en-GB" w:bidi="ar-SA"/>
        </w:rPr>
      </w:pPr>
      <w:r>
        <w:rPr>
          <w:rFonts w:cs="Arial"/>
          <w:szCs w:val="22"/>
          <w:lang w:eastAsia="en-GB" w:bidi="ar-SA"/>
        </w:rPr>
        <w:t xml:space="preserve">This sequence uses the same key establishment mechanism as section </w:t>
      </w:r>
      <w:r>
        <w:fldChar w:fldCharType="begin"/>
      </w:r>
      <w:r>
        <w:instrText xml:space="preserve"> REF _Ref367972235 \r \h  \* MERGEFORMAT </w:instrText>
      </w:r>
      <w:r>
        <w:fldChar w:fldCharType="separate"/>
      </w:r>
      <w:r w:rsidR="001D5AD9" w:rsidRPr="001D5AD9">
        <w:rPr>
          <w:szCs w:val="22"/>
          <w:lang w:eastAsia="en-GB" w:bidi="ar-SA"/>
        </w:rPr>
        <w:t>3.1.2</w:t>
      </w:r>
      <w:r>
        <w:fldChar w:fldCharType="end"/>
      </w:r>
      <w:r>
        <w:rPr>
          <w:szCs w:val="22"/>
          <w:lang w:eastAsia="en-GB" w:bidi="ar-SA"/>
        </w:rPr>
        <w:t xml:space="preserve">. </w:t>
      </w:r>
    </w:p>
    <w:p w14:paraId="6BB6F18C" w14:textId="77777777" w:rsidR="00B97365" w:rsidRDefault="00B97365">
      <w:pPr>
        <w:rPr>
          <w:rFonts w:cs="Calibri"/>
        </w:rPr>
      </w:pPr>
    </w:p>
    <w:p w14:paraId="645D8B48" w14:textId="77777777" w:rsidR="00B97365" w:rsidRDefault="00000000">
      <w:pPr>
        <w:rPr>
          <w:rFonts w:cs="Calibri"/>
        </w:rPr>
      </w:pPr>
      <w:r>
        <w:rPr>
          <w:rFonts w:cs="Calibri"/>
        </w:rPr>
        <w:object w:dxaOrig="11040" w:dyaOrig="9193" w14:anchorId="309B021B">
          <v:shape id="_x0000_i1034" type="#_x0000_t75" style="width:533.7pt;height:473.95pt" o:ole="">
            <v:imagedata r:id="rId58" o:title="" croptop="-2048f" cropleft="1707f"/>
          </v:shape>
          <o:OLEObject Type="Embed" ProgID="PowerPoint.Slide.12" ShapeID="_x0000_i1034" DrawAspect="Content" ObjectID="_1738512079" r:id="rId59"/>
        </w:object>
      </w:r>
    </w:p>
    <w:p w14:paraId="73B53A12"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bookmarkStart w:id="1805" w:name="_Ref373941182"/>
      <w:r>
        <w:rPr>
          <w:rFonts w:cs="Arial"/>
          <w:b/>
          <w:szCs w:val="22"/>
          <w:lang w:val="en-US" w:eastAsia="en-GB" w:bidi="ar-SA"/>
        </w:rPr>
        <w:t>: SM-SR Change</w:t>
      </w:r>
      <w:bookmarkEnd w:id="1805"/>
    </w:p>
    <w:p w14:paraId="0A81BA7B" w14:textId="77777777" w:rsidR="00B97365" w:rsidRDefault="00000000">
      <w:pPr>
        <w:tabs>
          <w:tab w:val="left" w:pos="1560"/>
        </w:tabs>
        <w:spacing w:before="0" w:after="200" w:line="276" w:lineRule="auto"/>
        <w:ind w:left="1560" w:hanging="1203"/>
        <w:jc w:val="left"/>
        <w:rPr>
          <w:rFonts w:cs="Arial"/>
          <w:szCs w:val="22"/>
          <w:lang w:eastAsia="en-GB" w:bidi="ar-SA"/>
        </w:rPr>
      </w:pPr>
      <w:r>
        <w:rPr>
          <w:rFonts w:cs="Arial"/>
          <w:szCs w:val="22"/>
          <w:lang w:eastAsia="en-GB" w:bidi="ar-SA"/>
        </w:rPr>
        <w:t xml:space="preserve">NOTE1: </w:t>
      </w:r>
      <w:r>
        <w:rPr>
          <w:rFonts w:cs="Arial"/>
          <w:szCs w:val="22"/>
          <w:lang w:eastAsia="en-GB" w:bidi="ar-SA"/>
        </w:rPr>
        <w:tab/>
        <w:t>The same ISD-R is used by both SM-SRs.</w:t>
      </w:r>
    </w:p>
    <w:p w14:paraId="2DDBB090" w14:textId="77777777" w:rsidR="00B97365" w:rsidRDefault="00000000">
      <w:pPr>
        <w:tabs>
          <w:tab w:val="left" w:pos="1560"/>
        </w:tabs>
        <w:spacing w:before="0" w:after="200" w:line="276" w:lineRule="auto"/>
        <w:ind w:left="1560" w:hanging="1203"/>
        <w:jc w:val="left"/>
        <w:rPr>
          <w:rFonts w:cs="Arial"/>
          <w:szCs w:val="22"/>
          <w:lang w:eastAsia="en-GB" w:bidi="ar-SA"/>
        </w:rPr>
      </w:pPr>
      <w:r>
        <w:rPr>
          <w:rFonts w:cs="Arial"/>
          <w:szCs w:val="22"/>
          <w:lang w:eastAsia="en-GB" w:bidi="ar-SA"/>
        </w:rPr>
        <w:t xml:space="preserve">NOTE2: </w:t>
      </w:r>
      <w:r>
        <w:rPr>
          <w:rFonts w:cs="Arial"/>
          <w:szCs w:val="22"/>
          <w:lang w:eastAsia="en-GB" w:bidi="ar-SA"/>
        </w:rPr>
        <w:tab/>
        <w:t xml:space="preserve">The actions to perform in relationship to the Operator before the SM-SR change are out of scope of this specification. </w:t>
      </w:r>
    </w:p>
    <w:p w14:paraId="601160C6" w14:textId="77777777" w:rsidR="00B97365" w:rsidRDefault="00000000">
      <w:pPr>
        <w:tabs>
          <w:tab w:val="left" w:pos="1560"/>
        </w:tabs>
        <w:spacing w:before="0" w:after="200" w:line="276" w:lineRule="auto"/>
        <w:ind w:left="1560" w:hanging="1203"/>
        <w:jc w:val="left"/>
        <w:rPr>
          <w:rFonts w:cs="Arial"/>
          <w:szCs w:val="22"/>
          <w:lang w:eastAsia="en-GB" w:bidi="ar-SA"/>
        </w:rPr>
      </w:pPr>
      <w:r>
        <w:rPr>
          <w:rFonts w:cs="Arial"/>
          <w:szCs w:val="22"/>
          <w:lang w:eastAsia="en-GB" w:bidi="ar-SA"/>
        </w:rPr>
        <w:t xml:space="preserve">NOTE3: </w:t>
      </w:r>
      <w:r>
        <w:rPr>
          <w:rFonts w:cs="Arial"/>
          <w:szCs w:val="22"/>
          <w:lang w:eastAsia="en-GB" w:bidi="ar-SA"/>
        </w:rPr>
        <w:tab/>
        <w:t>The settings of the secure connections between the Operators and the SM-SRs are out of scope of this specification.</w:t>
      </w:r>
    </w:p>
    <w:p w14:paraId="15BA6B51" w14:textId="77777777" w:rsidR="00B97365" w:rsidRDefault="00000000">
      <w:pPr>
        <w:tabs>
          <w:tab w:val="left" w:pos="1560"/>
        </w:tabs>
        <w:spacing w:before="0" w:after="200" w:line="276" w:lineRule="auto"/>
        <w:ind w:left="1560" w:hanging="1203"/>
        <w:jc w:val="left"/>
        <w:rPr>
          <w:rFonts w:cs="Arial"/>
          <w:szCs w:val="22"/>
          <w:lang w:eastAsia="en-GB" w:bidi="ar-SA"/>
        </w:rPr>
      </w:pPr>
      <w:r>
        <w:rPr>
          <w:rFonts w:cs="Arial"/>
          <w:szCs w:val="22"/>
          <w:lang w:eastAsia="en-GB" w:bidi="ar-SA"/>
        </w:rPr>
        <w:t xml:space="preserve">NOTE4: </w:t>
      </w:r>
      <w:r>
        <w:rPr>
          <w:rFonts w:cs="Arial"/>
          <w:szCs w:val="22"/>
          <w:lang w:eastAsia="en-GB" w:bidi="ar-SA"/>
        </w:rPr>
        <w:tab/>
        <w:t>The interaction between CI and SM-SR2 is out of the scope of this procedure.</w:t>
      </w:r>
    </w:p>
    <w:p w14:paraId="2BB3BEAB" w14:textId="77777777" w:rsidR="00B97365" w:rsidRDefault="00000000">
      <w:pPr>
        <w:tabs>
          <w:tab w:val="left" w:pos="1560"/>
        </w:tabs>
        <w:spacing w:before="0" w:after="200" w:line="276" w:lineRule="auto"/>
        <w:ind w:left="1560" w:hanging="1203"/>
        <w:jc w:val="left"/>
        <w:rPr>
          <w:rFonts w:cs="Arial"/>
          <w:szCs w:val="22"/>
          <w:lang w:eastAsia="en-GB" w:bidi="ar-SA"/>
        </w:rPr>
      </w:pPr>
      <w:r>
        <w:rPr>
          <w:rFonts w:cs="Arial"/>
          <w:szCs w:val="22"/>
          <w:lang w:eastAsia="en-GB" w:bidi="ar-SA"/>
        </w:rPr>
        <w:t xml:space="preserve">NOTE5: </w:t>
      </w:r>
      <w:r>
        <w:rPr>
          <w:rFonts w:cs="Arial"/>
          <w:szCs w:val="22"/>
          <w:lang w:eastAsia="en-GB" w:bidi="ar-SA"/>
        </w:rPr>
        <w:tab/>
        <w:t xml:space="preserve">Profile Lifecycle Management Authorisations (PLMA, see chapter 3.20 for further details), on SM-SR1 SHALL NOT be taken into account during the change procedure to SM-SR2.  If necessary, the operator SHALL perform </w:t>
      </w:r>
      <w:r>
        <w:rPr>
          <w:rFonts w:cs="Arial"/>
          <w:szCs w:val="22"/>
          <w:lang w:eastAsia="en-GB" w:bidi="ar-SA"/>
        </w:rPr>
        <w:lastRenderedPageBreak/>
        <w:t>the procedures defined in 3.20.1 or 3.20.2 to configure PLMAs on the SM-SR2.</w:t>
      </w:r>
    </w:p>
    <w:p w14:paraId="29A68176" w14:textId="77777777" w:rsidR="00B97365" w:rsidRDefault="00000000">
      <w:pPr>
        <w:tabs>
          <w:tab w:val="left" w:pos="1560"/>
        </w:tabs>
        <w:spacing w:before="0" w:after="200" w:line="276" w:lineRule="auto"/>
        <w:ind w:left="1560" w:hanging="1203"/>
        <w:jc w:val="left"/>
        <w:rPr>
          <w:rFonts w:cs="Arial"/>
          <w:szCs w:val="22"/>
          <w:lang w:eastAsia="en-GB" w:bidi="ar-SA"/>
        </w:rPr>
      </w:pPr>
      <w:r>
        <w:rPr>
          <w:rFonts w:cs="Arial"/>
          <w:szCs w:val="22"/>
          <w:lang w:eastAsia="en-GB" w:bidi="ar-SA"/>
        </w:rPr>
        <w:t>NOTE6:</w:t>
      </w:r>
      <w:r>
        <w:rPr>
          <w:rFonts w:cs="Arial"/>
          <w:szCs w:val="22"/>
          <w:lang w:eastAsia="en-GB" w:bidi="ar-SA"/>
        </w:rPr>
        <w:tab/>
        <w:t>In this procedure, the Initiator should be the Operator1 as it is the one requesting the transfer from SM-SR1 to SM-SR2.</w:t>
      </w:r>
    </w:p>
    <w:p w14:paraId="73C14F73"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806" w:name="_Toc420594375"/>
      <w:r>
        <w:rPr>
          <w:rFonts w:cs="Arial"/>
          <w:b/>
          <w:noProof/>
          <w:szCs w:val="22"/>
          <w:lang w:eastAsia="en-GB" w:bidi="ar-SA"/>
        </w:rPr>
        <w:t>Start Conditions:</w:t>
      </w:r>
      <w:bookmarkEnd w:id="1806"/>
      <w:r>
        <w:rPr>
          <w:b/>
          <w:noProof/>
          <w:szCs w:val="22"/>
          <w:lang w:eastAsia="en-GB" w:bidi="ar-SA"/>
        </w:rPr>
        <w:t xml:space="preserve"> </w:t>
      </w:r>
    </w:p>
    <w:p w14:paraId="5A11E8D6" w14:textId="77777777" w:rsidR="00B97365" w:rsidRDefault="00000000">
      <w:pPr>
        <w:numPr>
          <w:ilvl w:val="1"/>
          <w:numId w:val="44"/>
        </w:numPr>
        <w:spacing w:before="0" w:after="200" w:line="276" w:lineRule="auto"/>
        <w:contextualSpacing/>
        <w:jc w:val="left"/>
        <w:rPr>
          <w:szCs w:val="22"/>
          <w:lang w:eastAsia="en-GB" w:bidi="ar-SA"/>
        </w:rPr>
      </w:pPr>
      <w:r>
        <w:rPr>
          <w:szCs w:val="22"/>
          <w:lang w:eastAsia="en-GB" w:bidi="ar-SA"/>
        </w:rPr>
        <w:t>The EID of the eUICC is known to the Initiator Operator.</w:t>
      </w:r>
    </w:p>
    <w:p w14:paraId="7C1E2F88"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The two OIDs of the SM-SR1 and SM-SR2 are known to the Initiator Operator.</w:t>
      </w:r>
    </w:p>
    <w:p w14:paraId="2D1273C9"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The ISD-R is personalised with the keys of SM-SR1.</w:t>
      </w:r>
    </w:p>
    <w:p w14:paraId="37F0B7C4"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The change of SM-SR is allowed.</w:t>
      </w:r>
    </w:p>
    <w:p w14:paraId="28C6BA90"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 xml:space="preserve">SM-SR2 has a certificate signed by the Certificate Issuer (CI). </w:t>
      </w:r>
    </w:p>
    <w:p w14:paraId="6AEFF06A"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The public key of the CI is stored in the ECASD.</w:t>
      </w:r>
    </w:p>
    <w:p w14:paraId="11E70500"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807" w:name="_Toc420594376"/>
      <w:r>
        <w:rPr>
          <w:rFonts w:cs="Arial"/>
          <w:b/>
          <w:noProof/>
          <w:szCs w:val="22"/>
          <w:lang w:eastAsia="en-GB" w:bidi="ar-SA"/>
        </w:rPr>
        <w:t>Procedure:</w:t>
      </w:r>
      <w:bookmarkEnd w:id="1807"/>
    </w:p>
    <w:p w14:paraId="66B79974" w14:textId="77777777" w:rsidR="00B97365" w:rsidRDefault="00000000">
      <w:pPr>
        <w:numPr>
          <w:ilvl w:val="0"/>
          <w:numId w:val="114"/>
        </w:numPr>
        <w:rPr>
          <w:lang w:val="en-US"/>
        </w:rPr>
      </w:pPr>
      <w:r>
        <w:rPr>
          <w:lang w:val="en-US"/>
        </w:rPr>
        <w:t>The Initiator Operator SHALL call the “</w:t>
      </w:r>
      <w:r>
        <w:rPr>
          <w:b/>
          <w:lang w:val="en-US"/>
        </w:rPr>
        <w:t>ES4.PrepareSMSRChange</w:t>
      </w:r>
      <w:r>
        <w:rPr>
          <w:lang w:val="en-US"/>
        </w:rPr>
        <w:t>” function addressing the new SM-SR with the EID as input data.</w:t>
      </w:r>
    </w:p>
    <w:p w14:paraId="2C86E9C8" w14:textId="77777777" w:rsidR="00B97365" w:rsidRDefault="00000000">
      <w:pPr>
        <w:numPr>
          <w:ilvl w:val="0"/>
          <w:numId w:val="114"/>
        </w:numPr>
        <w:rPr>
          <w:lang w:val="en-US"/>
        </w:rPr>
      </w:pPr>
      <w:r>
        <w:rPr>
          <w:lang w:val="en-US"/>
        </w:rPr>
        <w:t xml:space="preserve">SM-SR2 SHALL verify that it is prepared to manage this eUICC. A failure at this step will stop the procedure and the error information SHALL be returned to the Initiator Operator. </w:t>
      </w:r>
    </w:p>
    <w:p w14:paraId="4EC3740C" w14:textId="77777777" w:rsidR="00B97365" w:rsidRDefault="00000000">
      <w:pPr>
        <w:numPr>
          <w:ilvl w:val="0"/>
          <w:numId w:val="114"/>
        </w:numPr>
        <w:rPr>
          <w:lang w:val="en-US"/>
        </w:rPr>
      </w:pPr>
      <w:r>
        <w:rPr>
          <w:lang w:val="en-US"/>
        </w:rPr>
        <w:t>SM-SR2 SHALL return a response indicating a success.</w:t>
      </w:r>
    </w:p>
    <w:p w14:paraId="3B47DAC2" w14:textId="77777777" w:rsidR="00B97365" w:rsidRDefault="00000000">
      <w:pPr>
        <w:numPr>
          <w:ilvl w:val="0"/>
          <w:numId w:val="114"/>
        </w:numPr>
        <w:rPr>
          <w:lang w:val="en-US"/>
        </w:rPr>
      </w:pPr>
      <w:r>
        <w:rPr>
          <w:lang w:val="en-US"/>
        </w:rPr>
        <w:t>The Initiator Operator SHALL call the SM-SR1 “</w:t>
      </w:r>
      <w:r>
        <w:rPr>
          <w:b/>
          <w:lang w:val="en-US"/>
        </w:rPr>
        <w:t>ES4.SMSRChange</w:t>
      </w:r>
      <w:r>
        <w:rPr>
          <w:lang w:val="en-US"/>
        </w:rPr>
        <w:t xml:space="preserve">” function with its relevant input. SM-SR1 SHALL verify that there is no pending action for the eUICC. SM-SR1 SHALL also reject any new management requests for the target eUICC as long as the procedure is on-going. In case of pending action(s), SM-SR1 SHALL stop the SM-SR Change procedure and indicate that other actions are pending.. </w:t>
      </w:r>
    </w:p>
    <w:p w14:paraId="4EA01B9E" w14:textId="77777777" w:rsidR="00B97365" w:rsidRDefault="00000000">
      <w:pPr>
        <w:numPr>
          <w:ilvl w:val="0"/>
          <w:numId w:val="114"/>
        </w:numPr>
        <w:rPr>
          <w:lang w:val="en-US"/>
        </w:rPr>
      </w:pPr>
      <w:r>
        <w:rPr>
          <w:lang w:val="en-US"/>
        </w:rPr>
        <w:t>SM-SR1 SHALL call the SM-SR2 “</w:t>
      </w:r>
      <w:r>
        <w:rPr>
          <w:b/>
          <w:lang w:val="en-US"/>
        </w:rPr>
        <w:t>ES7.HandoverEUICC</w:t>
      </w:r>
      <w:r>
        <w:rPr>
          <w:lang w:val="en-US"/>
        </w:rPr>
        <w:t>” function with its relevant input data.</w:t>
      </w:r>
    </w:p>
    <w:p w14:paraId="6F505FC0" w14:textId="77777777" w:rsidR="00B97365" w:rsidRDefault="00000000">
      <w:pPr>
        <w:numPr>
          <w:ilvl w:val="0"/>
          <w:numId w:val="114"/>
        </w:numPr>
        <w:rPr>
          <w:lang w:val="en-US"/>
        </w:rPr>
      </w:pPr>
      <w:r>
        <w:rPr>
          <w:lang w:val="en-US"/>
        </w:rPr>
        <w:t>SM-SR2 SHALL verify that:</w:t>
      </w:r>
    </w:p>
    <w:p w14:paraId="79764368"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It has the capabilities to manage this eUICC.</w:t>
      </w:r>
    </w:p>
    <w:p w14:paraId="4904D3F5"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The ECASD certificate is valid, using the EUM Certificate and the CI’s Root Certificate. The ECASD certificate is part of the EIS and is provided in the HandoverEUICC function. SM-SR2 SHALL extract PK.ECASD.ECKA from the ECASD certificate.</w:t>
      </w:r>
    </w:p>
    <w:p w14:paraId="59443C7D" w14:textId="77777777" w:rsidR="00B97365" w:rsidRDefault="00000000">
      <w:pPr>
        <w:numPr>
          <w:ilvl w:val="0"/>
          <w:numId w:val="114"/>
        </w:numPr>
        <w:rPr>
          <w:lang w:val="en-US"/>
        </w:rPr>
      </w:pPr>
      <w:r>
        <w:rPr>
          <w:lang w:val="en-US"/>
        </w:rPr>
        <w:t>SM-SR2 SHALL call the “</w:t>
      </w:r>
      <w:r>
        <w:rPr>
          <w:b/>
          <w:lang w:val="en-US"/>
        </w:rPr>
        <w:t>ES7.AuthenticateSMSR</w:t>
      </w:r>
      <w:r>
        <w:rPr>
          <w:lang w:val="en-US"/>
        </w:rPr>
        <w:t>” function specifying the targeted eUICC and providing the certificate identifying SM-SR2, CERT.SR.ECDSA.</w:t>
      </w:r>
    </w:p>
    <w:p w14:paraId="29D16320" w14:textId="77777777" w:rsidR="00B97365" w:rsidRDefault="00000000">
      <w:pPr>
        <w:numPr>
          <w:ilvl w:val="1"/>
          <w:numId w:val="45"/>
        </w:numPr>
        <w:rPr>
          <w:lang w:val="en-US"/>
        </w:rPr>
      </w:pPr>
      <w:r>
        <w:rPr>
          <w:lang w:val="en-US"/>
        </w:rPr>
        <w:t>In case SM-SR1 does not receive call 7 before the expiration of the Validity Period specified by the Initiator Operator at step 4, SM-SR1 SHALL send an error (‘Execution Status’ indicating ‘Failed’) to the Operator.</w:t>
      </w:r>
    </w:p>
    <w:p w14:paraId="60D482B0" w14:textId="77777777" w:rsidR="00B97365" w:rsidRDefault="00000000">
      <w:pPr>
        <w:numPr>
          <w:ilvl w:val="0"/>
          <w:numId w:val="114"/>
        </w:numPr>
        <w:rPr>
          <w:lang w:val="en-US"/>
        </w:rPr>
      </w:pPr>
      <w:r>
        <w:rPr>
          <w:lang w:val="en-US"/>
        </w:rPr>
        <w:t>SM-SR1 SHALL call the “</w:t>
      </w:r>
      <w:r>
        <w:rPr>
          <w:b/>
          <w:lang w:val="en-US"/>
        </w:rPr>
        <w:t>ES5.EstablishISDRKeySet</w:t>
      </w:r>
      <w:r>
        <w:rPr>
          <w:lang w:val="en-US"/>
        </w:rPr>
        <w:t>” function with CERT.SR.ECDSA as input data to authenticate SM-SR2.</w:t>
      </w:r>
    </w:p>
    <w:p w14:paraId="53A67F64" w14:textId="77777777" w:rsidR="00B97365" w:rsidRDefault="00000000">
      <w:pPr>
        <w:ind w:left="1276" w:hanging="709"/>
        <w:rPr>
          <w:rFonts w:cs="Arial"/>
        </w:rPr>
      </w:pPr>
      <w:r>
        <w:rPr>
          <w:rFonts w:cs="Arial"/>
        </w:rPr>
        <w:t>(8a)</w:t>
      </w:r>
      <w:r>
        <w:rPr>
          <w:rFonts w:cs="Arial"/>
        </w:rPr>
        <w:tab/>
        <w:t>The ISD-R SHALL verify that it is an SM-SR certificate.</w:t>
      </w:r>
    </w:p>
    <w:p w14:paraId="3571F6EC" w14:textId="77777777" w:rsidR="00B97365" w:rsidRDefault="00000000">
      <w:pPr>
        <w:numPr>
          <w:ilvl w:val="0"/>
          <w:numId w:val="114"/>
        </w:numPr>
        <w:rPr>
          <w:lang w:val="en-US"/>
        </w:rPr>
      </w:pPr>
      <w:r>
        <w:rPr>
          <w:lang w:val="en-US"/>
        </w:rPr>
        <w:t>The ISD-R SHALL forward the CERT.SR.ECDSA to ECASD.</w:t>
      </w:r>
    </w:p>
    <w:p w14:paraId="701A7C2C" w14:textId="77777777" w:rsidR="00B97365" w:rsidRDefault="00000000">
      <w:pPr>
        <w:numPr>
          <w:ilvl w:val="0"/>
          <w:numId w:val="114"/>
        </w:numPr>
        <w:rPr>
          <w:lang w:val="en-US"/>
        </w:rPr>
      </w:pPr>
      <w:r>
        <w:rPr>
          <w:lang w:val="en-US"/>
        </w:rPr>
        <w:t>The ECASD SHALL:</w:t>
      </w:r>
    </w:p>
    <w:p w14:paraId="431A85EA"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 xml:space="preserve">Verify CERT.SR.ECDSA using PK.CI.ECDSA; </w:t>
      </w:r>
    </w:p>
    <w:p w14:paraId="6B904B6E"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Extract and store PK.SR.ECDSA from CERT.SR.ECDSA;</w:t>
      </w:r>
    </w:p>
    <w:p w14:paraId="19AAAA9B" w14:textId="77777777" w:rsidR="00B97365" w:rsidRDefault="00000000">
      <w:pPr>
        <w:numPr>
          <w:ilvl w:val="0"/>
          <w:numId w:val="38"/>
        </w:numPr>
        <w:tabs>
          <w:tab w:val="left" w:pos="993"/>
        </w:tabs>
        <w:spacing w:before="0" w:after="200" w:line="276" w:lineRule="auto"/>
        <w:contextualSpacing/>
        <w:jc w:val="left"/>
        <w:rPr>
          <w:szCs w:val="22"/>
          <w:lang w:eastAsia="en-GB" w:bidi="ar-SA"/>
        </w:rPr>
      </w:pPr>
      <w:r>
        <w:rPr>
          <w:szCs w:val="22"/>
          <w:lang w:eastAsia="en-GB" w:bidi="ar-SA"/>
        </w:rPr>
        <w:lastRenderedPageBreak/>
        <w:t>Generate a Random Challenge(RC). The length of the Random Challenge SHALL be 16 or 32.</w:t>
      </w:r>
    </w:p>
    <w:p w14:paraId="435FC8A9" w14:textId="77777777" w:rsidR="00B97365" w:rsidRDefault="00000000">
      <w:pPr>
        <w:numPr>
          <w:ilvl w:val="0"/>
          <w:numId w:val="114"/>
        </w:numPr>
        <w:rPr>
          <w:lang w:val="en-US"/>
        </w:rPr>
      </w:pPr>
      <w:r>
        <w:rPr>
          <w:lang w:val="en-US"/>
        </w:rPr>
        <w:t>The ECASD SHALL return the Random Challenge (RC) to the ISD-R.</w:t>
      </w:r>
    </w:p>
    <w:p w14:paraId="4CA1D8C1" w14:textId="77777777" w:rsidR="00B97365" w:rsidRDefault="00000000">
      <w:pPr>
        <w:numPr>
          <w:ilvl w:val="0"/>
          <w:numId w:val="114"/>
        </w:numPr>
        <w:rPr>
          <w:lang w:val="en-US"/>
        </w:rPr>
      </w:pPr>
      <w:r>
        <w:rPr>
          <w:lang w:val="en-US"/>
        </w:rPr>
        <w:t>The ISD-R SHALL return a response indicating a success with the generated Random Challenge RC.</w:t>
      </w:r>
    </w:p>
    <w:p w14:paraId="78054A63" w14:textId="77777777" w:rsidR="00B97365" w:rsidRDefault="00000000">
      <w:pPr>
        <w:numPr>
          <w:ilvl w:val="0"/>
          <w:numId w:val="114"/>
        </w:numPr>
        <w:rPr>
          <w:lang w:val="en-US"/>
        </w:rPr>
      </w:pPr>
      <w:r>
        <w:rPr>
          <w:lang w:val="en-US"/>
        </w:rPr>
        <w:t>SM-SR1 r SHALL forward the Random Challenge to SM-SR2.</w:t>
      </w:r>
    </w:p>
    <w:p w14:paraId="7E03B5D7" w14:textId="77777777" w:rsidR="00B97365" w:rsidRDefault="00000000">
      <w:pPr>
        <w:numPr>
          <w:ilvl w:val="1"/>
          <w:numId w:val="45"/>
        </w:numPr>
        <w:rPr>
          <w:lang w:val="en-US"/>
        </w:rPr>
      </w:pPr>
      <w:r>
        <w:rPr>
          <w:lang w:val="en-US"/>
        </w:rPr>
        <w:t>In case of failure or expiration in steps 8 to 13, the SM-SR2 SHALL abort the procedure and return an error in ES7.HandoverEuicc response. The SM-SR1 SHALL abort the procedure too and propagate the error to the Initiator Operator.</w:t>
      </w:r>
    </w:p>
    <w:p w14:paraId="6F63FF4D" w14:textId="77777777" w:rsidR="00B97365" w:rsidRDefault="00000000">
      <w:pPr>
        <w:numPr>
          <w:ilvl w:val="0"/>
          <w:numId w:val="114"/>
        </w:numPr>
        <w:rPr>
          <w:lang w:val="en-US"/>
        </w:rPr>
      </w:pPr>
      <w:r>
        <w:rPr>
          <w:lang w:val="en-US"/>
        </w:rPr>
        <w:t>SM-SR2 SHALL generate an ephemeral key pair (eSK.SR.ECKA, ePK.SR.ECKA) and sign the received Random Challenge (RC) and ePK.SR.ECKA with SK.SR.ECDSA.</w:t>
      </w:r>
    </w:p>
    <w:p w14:paraId="6A461319" w14:textId="77777777" w:rsidR="00B97365" w:rsidRDefault="00000000">
      <w:pPr>
        <w:numPr>
          <w:ilvl w:val="0"/>
          <w:numId w:val="114"/>
        </w:numPr>
        <w:rPr>
          <w:lang w:val="en-US"/>
        </w:rPr>
      </w:pPr>
      <w:r>
        <w:rPr>
          <w:lang w:val="en-US"/>
        </w:rPr>
        <w:t>SM-SR2 SHALL call the “</w:t>
      </w:r>
      <w:r>
        <w:rPr>
          <w:b/>
          <w:lang w:val="en-US"/>
        </w:rPr>
        <w:t>ES7.CreateAdditionalKeyset</w:t>
      </w:r>
      <w:r>
        <w:rPr>
          <w:lang w:val="en-US"/>
        </w:rPr>
        <w:t>” function specifying the targeted eUICC and providing the ePK.SR.ECKA and the previously generated signature.</w:t>
      </w:r>
    </w:p>
    <w:p w14:paraId="1D57961A" w14:textId="77777777" w:rsidR="00B97365" w:rsidRDefault="00000000">
      <w:pPr>
        <w:numPr>
          <w:ilvl w:val="1"/>
          <w:numId w:val="45"/>
        </w:numPr>
        <w:rPr>
          <w:lang w:val="en-US"/>
        </w:rPr>
      </w:pPr>
      <w:r>
        <w:rPr>
          <w:lang w:val="en-US"/>
        </w:rPr>
        <w:t>In case the Validity Period specified by SM-SR2 does not fit within the time remaining out of the Validity Period specified by the Initiator Operator in step 4, the SM-SR1 SHALL return an error to SM-SR2 indicating that the Validity Period is refused.SM-SR2 MAY then retry call 15 with an acceptable Validity Period</w:t>
      </w:r>
    </w:p>
    <w:p w14:paraId="44262C20" w14:textId="77777777" w:rsidR="00B97365" w:rsidRDefault="00000000">
      <w:pPr>
        <w:numPr>
          <w:ilvl w:val="1"/>
          <w:numId w:val="45"/>
        </w:numPr>
        <w:rPr>
          <w:lang w:val="en-US"/>
        </w:rPr>
      </w:pPr>
      <w:r>
        <w:rPr>
          <w:lang w:val="en-US"/>
        </w:rPr>
        <w:t xml:space="preserve">In case SM-SR1 does not receive an acceptable call 15 before the expiration of the Validity Period specified by the Initiator Operator at step 4, SM-SR1 SHALL send an error (‘Execution Status’ indicating ‘Failed’) to the Operator. </w:t>
      </w:r>
    </w:p>
    <w:p w14:paraId="0777A8D0" w14:textId="77777777" w:rsidR="00B97365" w:rsidRDefault="00000000">
      <w:pPr>
        <w:numPr>
          <w:ilvl w:val="0"/>
          <w:numId w:val="114"/>
        </w:numPr>
        <w:rPr>
          <w:lang w:val="en-US"/>
        </w:rPr>
      </w:pPr>
      <w:r>
        <w:rPr>
          <w:lang w:val="en-US"/>
        </w:rPr>
        <w:t>SM-SR1 SHALL call the “</w:t>
      </w:r>
      <w:r>
        <w:rPr>
          <w:b/>
          <w:lang w:val="en-US"/>
        </w:rPr>
        <w:t>ES5.EstablishISDRKeySet</w:t>
      </w:r>
      <w:r>
        <w:rPr>
          <w:lang w:val="en-US"/>
        </w:rPr>
        <w:t xml:space="preserve">” function with ePK.SR.ECKA and the signature as input data to request generation of an additional key set KS2. </w:t>
      </w:r>
    </w:p>
    <w:p w14:paraId="1493D73B" w14:textId="77777777" w:rsidR="00B97365" w:rsidRDefault="00000000">
      <w:pPr>
        <w:numPr>
          <w:ilvl w:val="0"/>
          <w:numId w:val="114"/>
        </w:numPr>
        <w:rPr>
          <w:lang w:val="en-US"/>
        </w:rPr>
      </w:pPr>
      <w:r>
        <w:rPr>
          <w:lang w:val="en-US"/>
        </w:rPr>
        <w:t>The ISD-R SHALL forward ePK.SR.ECKA and the signature to ECASD</w:t>
      </w:r>
    </w:p>
    <w:p w14:paraId="06B4B799" w14:textId="77777777" w:rsidR="00B97365" w:rsidRDefault="00000000">
      <w:pPr>
        <w:numPr>
          <w:ilvl w:val="0"/>
          <w:numId w:val="114"/>
        </w:numPr>
        <w:rPr>
          <w:lang w:val="en-US"/>
        </w:rPr>
      </w:pPr>
      <w:r>
        <w:rPr>
          <w:lang w:val="en-US"/>
        </w:rPr>
        <w:t>The ECASD SHALL:</w:t>
      </w:r>
    </w:p>
    <w:p w14:paraId="5DF40ECB"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Verify the signature using PK.SR.ECDSA. If unsuccessful an error SHALL be returned; else</w:t>
      </w:r>
    </w:p>
    <w:p w14:paraId="76E87402"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 xml:space="preserve">Calculate ShS from ePK.SR.ECKA and SK.ECASD.ECKA. </w:t>
      </w:r>
    </w:p>
    <w:p w14:paraId="4EB77101" w14:textId="77777777" w:rsidR="00B97365" w:rsidRDefault="00000000">
      <w:pPr>
        <w:numPr>
          <w:ilvl w:val="0"/>
          <w:numId w:val="114"/>
        </w:numPr>
        <w:rPr>
          <w:lang w:val="en-US"/>
        </w:rPr>
      </w:pPr>
      <w:r>
        <w:rPr>
          <w:lang w:val="en-US"/>
        </w:rPr>
        <w:t>The ECASD SHALL return the ShS to the ISD-R</w:t>
      </w:r>
    </w:p>
    <w:p w14:paraId="6E770C00" w14:textId="77777777" w:rsidR="00B97365" w:rsidRDefault="00000000">
      <w:pPr>
        <w:numPr>
          <w:ilvl w:val="0"/>
          <w:numId w:val="114"/>
        </w:numPr>
        <w:rPr>
          <w:lang w:val="en-US"/>
        </w:rPr>
      </w:pPr>
      <w:r>
        <w:rPr>
          <w:lang w:val="en-US"/>
        </w:rPr>
        <w:t>The ISD-R SHALL:</w:t>
      </w:r>
    </w:p>
    <w:p w14:paraId="681457A1"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 xml:space="preserve">Optional: generates DR; </w:t>
      </w:r>
    </w:p>
    <w:p w14:paraId="6F72B099"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 xml:space="preserve">Derive key set from ShS (and, if generated, DR); </w:t>
      </w:r>
    </w:p>
    <w:p w14:paraId="1DEDDA1E"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 xml:space="preserve">Calculate receipt. </w:t>
      </w:r>
    </w:p>
    <w:p w14:paraId="48D5602E" w14:textId="77777777" w:rsidR="00B97365" w:rsidRDefault="00000000">
      <w:pPr>
        <w:numPr>
          <w:ilvl w:val="0"/>
          <w:numId w:val="114"/>
        </w:numPr>
        <w:rPr>
          <w:lang w:val="en-US"/>
        </w:rPr>
      </w:pPr>
      <w:r>
        <w:rPr>
          <w:lang w:val="en-US"/>
        </w:rPr>
        <w:t>The ISD-R SHALL return a response indicating a success with the calculated receipt and optionally the DR.</w:t>
      </w:r>
    </w:p>
    <w:p w14:paraId="3CD78FCA" w14:textId="77777777" w:rsidR="00B97365" w:rsidRDefault="00000000">
      <w:pPr>
        <w:numPr>
          <w:ilvl w:val="0"/>
          <w:numId w:val="114"/>
        </w:numPr>
        <w:rPr>
          <w:lang w:val="en-US"/>
        </w:rPr>
      </w:pPr>
      <w:r>
        <w:rPr>
          <w:lang w:val="en-US"/>
        </w:rPr>
        <w:t>SM-SR1 receives and SHALL forward the response to SM-SR2.</w:t>
      </w:r>
    </w:p>
    <w:p w14:paraId="34B4125F" w14:textId="77777777" w:rsidR="00B97365" w:rsidRDefault="00B97365">
      <w:pPr>
        <w:tabs>
          <w:tab w:val="left" w:pos="1560"/>
        </w:tabs>
        <w:spacing w:before="0" w:after="200" w:line="276" w:lineRule="auto"/>
        <w:ind w:left="1559" w:hanging="1202"/>
        <w:jc w:val="left"/>
        <w:rPr>
          <w:szCs w:val="22"/>
          <w:lang w:val="en-US" w:eastAsia="en-GB" w:bidi="ar-SA"/>
        </w:rPr>
      </w:pPr>
    </w:p>
    <w:p w14:paraId="7B31A61E"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 xml:space="preserve">By checking the consistency of the Validity Period at step 15b, </w:t>
      </w:r>
      <w:r>
        <w:rPr>
          <w:szCs w:val="22"/>
          <w:lang w:eastAsia="en-GB" w:bidi="ar-SA"/>
        </w:rPr>
        <w:t>SM</w:t>
      </w:r>
      <w:r>
        <w:rPr>
          <w:szCs w:val="22"/>
          <w:lang w:val="en-US" w:eastAsia="en-GB" w:bidi="ar-SA"/>
        </w:rPr>
        <w:t>-SR1 ensures that its own Validity Period does not expire before step 22.</w:t>
      </w:r>
    </w:p>
    <w:p w14:paraId="3ABEC469" w14:textId="77777777" w:rsidR="00B97365" w:rsidRDefault="00000000">
      <w:pPr>
        <w:numPr>
          <w:ilvl w:val="0"/>
          <w:numId w:val="114"/>
        </w:numPr>
        <w:rPr>
          <w:lang w:val="en-US"/>
        </w:rPr>
      </w:pPr>
      <w:r>
        <w:rPr>
          <w:lang w:val="en-US"/>
        </w:rPr>
        <w:t>SM-SR2 SHALL:</w:t>
      </w:r>
    </w:p>
    <w:p w14:paraId="4381BF32"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Calculate the ShS from eSK.SR.ECKA and PK.ECASD.ECKA,</w:t>
      </w:r>
    </w:p>
    <w:p w14:paraId="6390ACD7"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Derive key set KS2 from ShS (and optional DR), and</w:t>
      </w:r>
    </w:p>
    <w:p w14:paraId="40439F7A"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lastRenderedPageBreak/>
        <w:t>Verify the receipt.</w:t>
      </w:r>
    </w:p>
    <w:p w14:paraId="7D49F052"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If the verification of the receipt fails, SM-SR2 SHALL send an error to SM-SR1 and SM-SR1 SHALL forward the error to the Initiator Operator.</w:t>
      </w:r>
    </w:p>
    <w:p w14:paraId="1895744D"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If for any reason the procedure fails or expires on SM-SR2 before starting step 24, SM-SR2 SHALL delete the EIS from its database and send an error to SM-SR1, and SM-SR1 SHALL forward the error to the Initiator Operator.</w:t>
      </w:r>
    </w:p>
    <w:p w14:paraId="389B60DA" w14:textId="06821D23" w:rsidR="00B97365" w:rsidRDefault="00000000">
      <w:pPr>
        <w:numPr>
          <w:ilvl w:val="0"/>
          <w:numId w:val="114"/>
        </w:numPr>
        <w:rPr>
          <w:lang w:val="en-US"/>
        </w:rPr>
      </w:pPr>
      <w:r>
        <w:rPr>
          <w:lang w:val="en-US"/>
        </w:rPr>
        <w:t>SM-SR2 SHALL open a secure channel (</w:t>
      </w:r>
      <w:r>
        <w:t xml:space="preserve">section </w:t>
      </w:r>
      <w:r>
        <w:fldChar w:fldCharType="begin"/>
      </w:r>
      <w:r>
        <w:instrText xml:space="preserve"> REF _Ref471395359 \r \h </w:instrText>
      </w:r>
      <w:r>
        <w:fldChar w:fldCharType="separate"/>
      </w:r>
      <w:r w:rsidR="001D5AD9">
        <w:t>2.2.5.1</w:t>
      </w:r>
      <w:r>
        <w:fldChar w:fldCharType="end"/>
      </w:r>
      <w:r>
        <w:rPr>
          <w:lang w:val="en-US"/>
        </w:rPr>
        <w:t>) using the newly created key set KS2.</w:t>
      </w:r>
    </w:p>
    <w:p w14:paraId="3BDF4B7C" w14:textId="77777777" w:rsidR="00B97365" w:rsidRDefault="00000000">
      <w:pPr>
        <w:numPr>
          <w:ilvl w:val="0"/>
          <w:numId w:val="114"/>
        </w:numPr>
        <w:rPr>
          <w:lang w:val="en-US"/>
        </w:rPr>
      </w:pPr>
      <w:r>
        <w:rPr>
          <w:lang w:val="en-US"/>
        </w:rPr>
        <w:t>SM-SR2 SHALL call the “</w:t>
      </w:r>
      <w:r>
        <w:rPr>
          <w:b/>
          <w:lang w:val="en-US"/>
        </w:rPr>
        <w:t>ES5.FinaliseISDRhandover</w:t>
      </w:r>
      <w:r>
        <w:rPr>
          <w:lang w:val="en-US"/>
        </w:rPr>
        <w:t xml:space="preserve">” to delete the keys of SM-SR1. </w:t>
      </w:r>
    </w:p>
    <w:p w14:paraId="005FA80C" w14:textId="77777777" w:rsidR="00B97365" w:rsidRDefault="00000000">
      <w:pPr>
        <w:numPr>
          <w:ilvl w:val="0"/>
          <w:numId w:val="114"/>
        </w:numPr>
        <w:rPr>
          <w:lang w:val="en-US"/>
        </w:rPr>
      </w:pPr>
      <w:r>
        <w:rPr>
          <w:lang w:val="en-US"/>
        </w:rPr>
        <w:t>Optionally, SM-SR2 MAY send other commands to update the ISD-R configuration (see NOTE below)</w:t>
      </w:r>
    </w:p>
    <w:p w14:paraId="70BE7939" w14:textId="77777777" w:rsidR="00B97365" w:rsidRDefault="00000000">
      <w:pPr>
        <w:numPr>
          <w:ilvl w:val="1"/>
          <w:numId w:val="11"/>
        </w:numPr>
        <w:tabs>
          <w:tab w:val="left" w:pos="1021"/>
        </w:tabs>
        <w:spacing w:before="0" w:after="200" w:line="276" w:lineRule="auto"/>
        <w:contextualSpacing/>
        <w:jc w:val="left"/>
        <w:rPr>
          <w:szCs w:val="22"/>
          <w:lang w:val="en-US" w:eastAsia="en-GB" w:bidi="ar-SA"/>
        </w:rPr>
      </w:pPr>
      <w:r>
        <w:rPr>
          <w:szCs w:val="22"/>
          <w:lang w:val="en-US" w:eastAsia="en-GB" w:bidi="ar-SA"/>
        </w:rPr>
        <w:t>Personalise other key sets to have the capability to use other secure channels using the PUT KEY command as specified in GlobalPlatform Card Specification v.2.2.1 [6]</w:t>
      </w:r>
    </w:p>
    <w:p w14:paraId="563D67A2" w14:textId="77777777" w:rsidR="00B97365" w:rsidRDefault="00000000">
      <w:pPr>
        <w:numPr>
          <w:ilvl w:val="1"/>
          <w:numId w:val="11"/>
        </w:numPr>
        <w:tabs>
          <w:tab w:val="left" w:pos="1021"/>
        </w:tabs>
        <w:spacing w:before="0" w:after="200" w:line="276" w:lineRule="auto"/>
        <w:contextualSpacing/>
        <w:jc w:val="left"/>
        <w:rPr>
          <w:szCs w:val="22"/>
          <w:lang w:val="en-US" w:eastAsia="en-GB" w:bidi="ar-SA"/>
        </w:rPr>
      </w:pPr>
      <w:r>
        <w:rPr>
          <w:szCs w:val="22"/>
          <w:lang w:val="en-US" w:eastAsia="en-GB" w:bidi="ar-SA"/>
        </w:rPr>
        <w:t>Update the HTTPS parameters of the admin agent in the ISD-R, as specified in GlobalPlatform Card Specification Amendment B [8]</w:t>
      </w:r>
    </w:p>
    <w:p w14:paraId="0CBD97AF" w14:textId="77777777" w:rsidR="00B97365" w:rsidRDefault="00000000">
      <w:pPr>
        <w:numPr>
          <w:ilvl w:val="1"/>
          <w:numId w:val="11"/>
        </w:numPr>
        <w:tabs>
          <w:tab w:val="left" w:pos="1021"/>
        </w:tabs>
        <w:spacing w:before="0" w:after="200" w:line="276" w:lineRule="auto"/>
        <w:contextualSpacing/>
        <w:jc w:val="left"/>
        <w:rPr>
          <w:szCs w:val="22"/>
          <w:lang w:val="en-US" w:eastAsia="en-GB" w:bidi="ar-SA"/>
        </w:rPr>
      </w:pPr>
      <w:r>
        <w:rPr>
          <w:szCs w:val="22"/>
          <w:lang w:val="en-US" w:eastAsia="en-GB" w:bidi="ar-SA"/>
        </w:rPr>
        <w:t>Update the DNS parameters if this feature is supported by the eUICC and SM-SR2</w:t>
      </w:r>
    </w:p>
    <w:p w14:paraId="6070C247" w14:textId="77777777" w:rsidR="00B97365" w:rsidRDefault="00000000">
      <w:pPr>
        <w:numPr>
          <w:ilvl w:val="1"/>
          <w:numId w:val="11"/>
        </w:numPr>
        <w:tabs>
          <w:tab w:val="left" w:pos="1021"/>
        </w:tabs>
        <w:spacing w:before="0" w:after="200" w:line="276" w:lineRule="auto"/>
        <w:contextualSpacing/>
        <w:jc w:val="left"/>
        <w:rPr>
          <w:szCs w:val="22"/>
          <w:lang w:val="en-US" w:eastAsia="en-GB" w:bidi="ar-SA"/>
        </w:rPr>
      </w:pPr>
      <w:r>
        <w:rPr>
          <w:szCs w:val="22"/>
          <w:lang w:val="en-US" w:eastAsia="en-GB" w:bidi="ar-SA"/>
        </w:rPr>
        <w:t>Erase the DNS parameters if this feature is not supported by SM-SR2.</w:t>
      </w:r>
    </w:p>
    <w:p w14:paraId="60DA165A" w14:textId="77777777" w:rsidR="00B97365" w:rsidRDefault="00000000">
      <w:pPr>
        <w:numPr>
          <w:ilvl w:val="1"/>
          <w:numId w:val="11"/>
        </w:numPr>
        <w:tabs>
          <w:tab w:val="left" w:pos="1021"/>
        </w:tabs>
        <w:spacing w:before="0" w:after="200" w:line="276" w:lineRule="auto"/>
        <w:contextualSpacing/>
        <w:jc w:val="left"/>
        <w:rPr>
          <w:szCs w:val="22"/>
          <w:lang w:val="en-US" w:eastAsia="en-GB" w:bidi="ar-SA"/>
        </w:rPr>
      </w:pPr>
      <w:r>
        <w:rPr>
          <w:szCs w:val="22"/>
          <w:lang w:val="en-US" w:eastAsia="en-GB" w:bidi="ar-SA"/>
        </w:rPr>
        <w:t>Update the SM-SR addressing parameters of the ISD-R using the function ES5.</w:t>
      </w:r>
    </w:p>
    <w:p w14:paraId="29985E80" w14:textId="77777777" w:rsidR="00B97365" w:rsidRDefault="00000000">
      <w:pPr>
        <w:numPr>
          <w:ilvl w:val="1"/>
          <w:numId w:val="11"/>
        </w:numPr>
        <w:tabs>
          <w:tab w:val="left" w:pos="1021"/>
        </w:tabs>
        <w:spacing w:before="0" w:after="200" w:line="276" w:lineRule="auto"/>
        <w:contextualSpacing/>
        <w:jc w:val="left"/>
        <w:rPr>
          <w:szCs w:val="22"/>
          <w:lang w:val="en-US" w:eastAsia="en-GB" w:bidi="ar-SA"/>
        </w:rPr>
      </w:pPr>
      <w:r>
        <w:rPr>
          <w:szCs w:val="22"/>
          <w:lang w:val="en-US" w:eastAsia="en-GB" w:bidi="ar-SA"/>
        </w:rPr>
        <w:t>UpdateSMSRAddressingParameters defined in section 4.1.1.10 This update is necessary before the eUICC sends a profile change notification, so SM-SR2 SHALL perform this update before sending any enable or disable profile command, and it SHOULD perform this update as soon as possible (to cover the activation of the Fall-Back Mechanism).</w:t>
      </w:r>
    </w:p>
    <w:p w14:paraId="556E2C3D"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SM-SR2 SHOULD perform steps 25 and 26 in a single command script. SM-SR2 MAY provide the corresponding commands in any order.</w:t>
      </w:r>
    </w:p>
    <w:p w14:paraId="7EA414E5" w14:textId="77777777" w:rsidR="00B97365" w:rsidRDefault="00000000">
      <w:pPr>
        <w:numPr>
          <w:ilvl w:val="0"/>
          <w:numId w:val="114"/>
        </w:numPr>
        <w:rPr>
          <w:lang w:val="en-US"/>
        </w:rPr>
      </w:pPr>
      <w:r>
        <w:rPr>
          <w:lang w:val="en-US"/>
        </w:rPr>
        <w:t>The ISD-R SHALL return the result of the keys deletion (and the result of optional operations that have been sent at step 26) to SM-SR2.</w:t>
      </w:r>
    </w:p>
    <w:p w14:paraId="77C2953E" w14:textId="77777777" w:rsidR="00B97365" w:rsidRDefault="00000000">
      <w:pPr>
        <w:numPr>
          <w:ilvl w:val="0"/>
          <w:numId w:val="114"/>
        </w:numPr>
        <w:rPr>
          <w:lang w:val="en-US"/>
        </w:rPr>
      </w:pPr>
      <w:r>
        <w:rPr>
          <w:lang w:val="en-US"/>
        </w:rPr>
        <w:t>SM-SR2 SHALL update the EIS to reflect that it now manages the eUICC.</w:t>
      </w:r>
    </w:p>
    <w:p w14:paraId="7EE455B1" w14:textId="77777777" w:rsidR="00B97365" w:rsidRDefault="00000000">
      <w:pPr>
        <w:numPr>
          <w:ilvl w:val="0"/>
          <w:numId w:val="114"/>
        </w:numPr>
        <w:rPr>
          <w:lang w:val="en-US"/>
        </w:rPr>
      </w:pPr>
      <w:r>
        <w:rPr>
          <w:lang w:val="en-US"/>
        </w:rPr>
        <w:t xml:space="preserve">SM-SR2 SHALL return to SM-SR1 that it has successfully registered the eUICC.  </w:t>
      </w:r>
    </w:p>
    <w:p w14:paraId="18B87657" w14:textId="77777777" w:rsidR="00B97365" w:rsidRDefault="00000000">
      <w:pPr>
        <w:numPr>
          <w:ilvl w:val="1"/>
          <w:numId w:val="45"/>
        </w:numPr>
        <w:spacing w:before="0" w:after="200" w:line="276" w:lineRule="auto"/>
        <w:contextualSpacing/>
        <w:rPr>
          <w:lang w:val="en-US"/>
        </w:rPr>
      </w:pPr>
      <w:r>
        <w:rPr>
          <w:lang w:val="en-US"/>
        </w:rPr>
        <w:t>If SM-SR2 has not received the result of the keys deletion at step 26, or if any of the optional operations failed or expired, SM-SR2 SHALL still return to SM-SR1 that it has registered the eUICC, but SHALL indicate a warning (status "Executed-WithWarning").</w:t>
      </w:r>
    </w:p>
    <w:p w14:paraId="77A0B800" w14:textId="77777777" w:rsidR="00B97365" w:rsidRDefault="00000000">
      <w:pPr>
        <w:numPr>
          <w:ilvl w:val="0"/>
          <w:numId w:val="114"/>
        </w:numPr>
        <w:rPr>
          <w:lang w:val="en-US"/>
        </w:rPr>
      </w:pPr>
      <w:r>
        <w:rPr>
          <w:lang w:val="en-US"/>
        </w:rPr>
        <w:t>SM-SR1 SHALL remove the EIS for the target eUICC, even if SM-SR2 indicated a warning at step 29-a.</w:t>
      </w:r>
    </w:p>
    <w:p w14:paraId="6BBFD461" w14:textId="77777777" w:rsidR="00B97365" w:rsidRDefault="00B97365">
      <w:pPr>
        <w:ind w:left="567"/>
      </w:pPr>
    </w:p>
    <w:p w14:paraId="39437B29" w14:textId="77777777" w:rsidR="00B97365" w:rsidRDefault="00000000">
      <w:pPr>
        <w:numPr>
          <w:ilvl w:val="0"/>
          <w:numId w:val="114"/>
        </w:numPr>
        <w:rPr>
          <w:lang w:val="en-US"/>
        </w:rPr>
      </w:pPr>
      <w:r>
        <w:rPr>
          <w:lang w:val="en-US"/>
        </w:rPr>
        <w:t>SM-SR1 SHALL return the result of the SM-SR change function to the Initiator Operator.</w:t>
      </w:r>
    </w:p>
    <w:p w14:paraId="6CD8995A" w14:textId="77777777" w:rsidR="00B97365" w:rsidRDefault="00000000">
      <w:pPr>
        <w:numPr>
          <w:ilvl w:val="1"/>
          <w:numId w:val="45"/>
        </w:numPr>
        <w:spacing w:before="0" w:after="200" w:line="276" w:lineRule="auto"/>
        <w:contextualSpacing/>
        <w:rPr>
          <w:lang w:val="en-US"/>
        </w:rPr>
      </w:pPr>
      <w:r>
        <w:rPr>
          <w:lang w:val="en-US"/>
        </w:rPr>
        <w:t>If SM-SR2 returned a warning at step 29, SM-SR1 SHALL also return a warning to the Operator</w:t>
      </w:r>
    </w:p>
    <w:p w14:paraId="4C7FFA25" w14:textId="77777777" w:rsidR="00B97365" w:rsidRDefault="00000000">
      <w:pPr>
        <w:numPr>
          <w:ilvl w:val="0"/>
          <w:numId w:val="114"/>
        </w:numPr>
        <w:rPr>
          <w:lang w:val="en-US"/>
        </w:rPr>
      </w:pPr>
      <w:r>
        <w:rPr>
          <w:lang w:val="en-US"/>
        </w:rPr>
        <w:t>SM-SR2 SHALL call the “</w:t>
      </w:r>
      <w:r>
        <w:rPr>
          <w:b/>
          <w:lang w:val="en-US"/>
        </w:rPr>
        <w:t>ES4.HandleSMSRChangeNotification</w:t>
      </w:r>
      <w:r>
        <w:rPr>
          <w:lang w:val="en-US"/>
        </w:rPr>
        <w:t xml:space="preserve">” function, with its relevant input data, to notify the Operators owning the Profiles on the eUICC. In case an Operator has no direct connection with SM-SR2 (SM-SR2 SHALL be able to detect such </w:t>
      </w:r>
      <w:r>
        <w:rPr>
          <w:lang w:val="en-US"/>
        </w:rPr>
        <w:lastRenderedPageBreak/>
        <w:t>situation based on its own database), SM-SR2 SHALL send this notification to the SM-DP authorised by such an Operator by calling the “</w:t>
      </w:r>
      <w:r>
        <w:rPr>
          <w:b/>
          <w:lang w:val="en-US"/>
        </w:rPr>
        <w:t>ES3.HandleSMSRChangeNotification</w:t>
      </w:r>
      <w:r>
        <w:rPr>
          <w:lang w:val="en-US"/>
        </w:rPr>
        <w:t>” function. SM-SR2 can retrieve the SM-DP identity based on the EIS content. Then the SM-DP, on reception of this notification, SHALL forward it to the Operator by calling the “</w:t>
      </w:r>
      <w:r>
        <w:rPr>
          <w:b/>
          <w:lang w:val="en-US"/>
        </w:rPr>
        <w:t>ES2.HandleSMSRChangeNotification</w:t>
      </w:r>
      <w:r>
        <w:rPr>
          <w:lang w:val="en-US"/>
        </w:rPr>
        <w:t>”.</w:t>
      </w:r>
    </w:p>
    <w:p w14:paraId="64AC3F5F" w14:textId="77777777" w:rsidR="00B97365" w:rsidRDefault="00000000">
      <w:pPr>
        <w:tabs>
          <w:tab w:val="left" w:pos="0"/>
        </w:tabs>
        <w:spacing w:after="200" w:line="276" w:lineRule="auto"/>
        <w:jc w:val="left"/>
        <w:rPr>
          <w:rFonts w:cs="Arial"/>
          <w:szCs w:val="22"/>
          <w:lang w:val="en-US" w:eastAsia="en-GB" w:bidi="ar-SA"/>
        </w:rPr>
      </w:pPr>
      <w:r>
        <w:rPr>
          <w:rFonts w:cs="Arial"/>
          <w:szCs w:val="22"/>
          <w:lang w:val="en-US" w:eastAsia="en-GB" w:bidi="ar-SA"/>
        </w:rPr>
        <w:t>The eUICC SHALL support key establishment with and without the DR. The SM-SR decides which option to use.</w:t>
      </w:r>
    </w:p>
    <w:p w14:paraId="3F0808DC" w14:textId="4B9EB636" w:rsidR="00B97365" w:rsidRDefault="00000000">
      <w:pPr>
        <w:spacing w:before="0" w:after="200" w:line="276" w:lineRule="auto"/>
        <w:jc w:val="left"/>
        <w:rPr>
          <w:szCs w:val="22"/>
          <w:lang w:val="en-US" w:eastAsia="en-GB" w:bidi="ar-SA"/>
        </w:rPr>
      </w:pPr>
      <w:r>
        <w:rPr>
          <w:rFonts w:cs="Arial"/>
          <w:szCs w:val="22"/>
          <w:lang w:val="en-US" w:eastAsia="en-GB" w:bidi="ar-SA"/>
        </w:rPr>
        <w:t xml:space="preserve">BSI TR-03111 </w:t>
      </w:r>
      <w:r>
        <w:rPr>
          <w:szCs w:val="22"/>
          <w:lang w:val="en-US" w:eastAsia="en-GB" w:bidi="ar-SA"/>
        </w:rPr>
        <w:fldChar w:fldCharType="begin"/>
      </w:r>
      <w:r>
        <w:rPr>
          <w:szCs w:val="22"/>
          <w:lang w:val="en-US" w:eastAsia="en-GB" w:bidi="ar-SA"/>
        </w:rPr>
        <w:instrText xml:space="preserve"> REF _Ref421632666 \r \h </w:instrText>
      </w:r>
      <w:r>
        <w:rPr>
          <w:szCs w:val="22"/>
          <w:lang w:val="en-US" w:eastAsia="en-GB" w:bidi="ar-SA"/>
        </w:rPr>
      </w:r>
      <w:r>
        <w:rPr>
          <w:szCs w:val="22"/>
          <w:lang w:val="en-US" w:eastAsia="en-GB" w:bidi="ar-SA"/>
        </w:rPr>
        <w:fldChar w:fldCharType="separate"/>
      </w:r>
      <w:r w:rsidR="001D5AD9">
        <w:rPr>
          <w:szCs w:val="22"/>
          <w:lang w:val="en-US" w:eastAsia="en-GB" w:bidi="ar-SA"/>
        </w:rPr>
        <w:t>[49]</w:t>
      </w:r>
      <w:r>
        <w:rPr>
          <w:szCs w:val="22"/>
          <w:lang w:val="en-US" w:eastAsia="en-GB" w:bidi="ar-SA"/>
        </w:rPr>
        <w:fldChar w:fldCharType="end"/>
      </w:r>
      <w:r>
        <w:rPr>
          <w:szCs w:val="22"/>
          <w:lang w:val="en-US" w:eastAsia="en-GB" w:bidi="ar-SA"/>
        </w:rPr>
        <w:t xml:space="preserve"> contains recommendations and requirements on the generation and validation of ephemeral keys. In addition, NIST SP 800-56A </w:t>
      </w:r>
      <w:r>
        <w:rPr>
          <w:szCs w:val="22"/>
          <w:lang w:val="en-US" w:eastAsia="en-GB" w:bidi="ar-SA"/>
        </w:rPr>
        <w:fldChar w:fldCharType="begin"/>
      </w:r>
      <w:r>
        <w:rPr>
          <w:szCs w:val="22"/>
          <w:lang w:val="en-US" w:eastAsia="en-GB" w:bidi="ar-SA"/>
        </w:rPr>
        <w:instrText xml:space="preserve"> REF _Ref421632677 \r \h </w:instrText>
      </w:r>
      <w:r>
        <w:rPr>
          <w:szCs w:val="22"/>
          <w:lang w:val="en-US" w:eastAsia="en-GB" w:bidi="ar-SA"/>
        </w:rPr>
      </w:r>
      <w:r>
        <w:rPr>
          <w:szCs w:val="22"/>
          <w:lang w:val="en-US" w:eastAsia="en-GB" w:bidi="ar-SA"/>
        </w:rPr>
        <w:fldChar w:fldCharType="separate"/>
      </w:r>
      <w:r w:rsidR="001D5AD9">
        <w:rPr>
          <w:szCs w:val="22"/>
          <w:lang w:val="en-US" w:eastAsia="en-GB" w:bidi="ar-SA"/>
        </w:rPr>
        <w:t>[50]</w:t>
      </w:r>
      <w:r>
        <w:rPr>
          <w:szCs w:val="22"/>
          <w:lang w:val="en-US" w:eastAsia="en-GB" w:bidi="ar-SA"/>
        </w:rPr>
        <w:fldChar w:fldCharType="end"/>
      </w:r>
      <w:r>
        <w:rPr>
          <w:szCs w:val="22"/>
          <w:lang w:val="en-US" w:eastAsia="en-GB" w:bidi="ar-SA"/>
        </w:rPr>
        <w:t xml:space="preserve"> provides requirements on the destruction of ephemeral keys and other intermediate secret data after their use.</w:t>
      </w:r>
    </w:p>
    <w:p w14:paraId="3248C899"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808" w:name="_Toc420594377"/>
      <w:r>
        <w:rPr>
          <w:rFonts w:cs="Arial"/>
          <w:b/>
          <w:noProof/>
          <w:szCs w:val="22"/>
          <w:lang w:eastAsia="en-GB" w:bidi="ar-SA"/>
        </w:rPr>
        <w:t>End Conditions:</w:t>
      </w:r>
      <w:bookmarkEnd w:id="1808"/>
      <w:r>
        <w:rPr>
          <w:b/>
          <w:noProof/>
          <w:szCs w:val="22"/>
          <w:lang w:eastAsia="en-GB" w:bidi="ar-SA"/>
        </w:rPr>
        <w:t xml:space="preserve"> </w:t>
      </w:r>
    </w:p>
    <w:p w14:paraId="2D4465E8" w14:textId="77777777" w:rsidR="00B97365" w:rsidRDefault="00000000">
      <w:pPr>
        <w:numPr>
          <w:ilvl w:val="1"/>
          <w:numId w:val="27"/>
        </w:numPr>
        <w:spacing w:before="0" w:after="200" w:line="276" w:lineRule="auto"/>
        <w:contextualSpacing/>
        <w:jc w:val="left"/>
        <w:rPr>
          <w:szCs w:val="22"/>
          <w:lang w:eastAsia="en-GB" w:bidi="ar-SA"/>
        </w:rPr>
      </w:pPr>
      <w:r>
        <w:rPr>
          <w:szCs w:val="22"/>
          <w:lang w:eastAsia="en-GB" w:bidi="ar-SA"/>
        </w:rPr>
        <w:t>The ISD-R is personalised with only the key set of SM-SR2</w:t>
      </w:r>
    </w:p>
    <w:p w14:paraId="34064455"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The eUICC is registered within SM-SR2</w:t>
      </w:r>
    </w:p>
    <w:p w14:paraId="6F783C8E"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The EIS and EID reside within SM-SR2</w:t>
      </w:r>
    </w:p>
    <w:p w14:paraId="72B7FEF5"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SM-SR1 is no longer related to the eUICC and its EIS record has been erased</w:t>
      </w:r>
    </w:p>
    <w:p w14:paraId="17BCE216"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The Operator(s) owning the Profile(s) are aware of the change</w:t>
      </w:r>
    </w:p>
    <w:p w14:paraId="443A1AD1" w14:textId="77777777" w:rsidR="00B97365" w:rsidRDefault="00000000">
      <w:pPr>
        <w:numPr>
          <w:ilvl w:val="1"/>
          <w:numId w:val="39"/>
        </w:numPr>
        <w:spacing w:before="0" w:after="200" w:line="276" w:lineRule="auto"/>
        <w:contextualSpacing/>
        <w:jc w:val="left"/>
        <w:rPr>
          <w:szCs w:val="22"/>
          <w:lang w:eastAsia="en-GB" w:bidi="ar-SA"/>
        </w:rPr>
      </w:pPr>
      <w:r>
        <w:rPr>
          <w:szCs w:val="22"/>
          <w:lang w:eastAsia="en-GB" w:bidi="ar-SA"/>
        </w:rPr>
        <w:t>The Initiator Operator is aware of the SM-SR change</w:t>
      </w:r>
    </w:p>
    <w:p w14:paraId="04239FF1" w14:textId="77777777" w:rsidR="00B97365" w:rsidRDefault="00B97365">
      <w:pPr>
        <w:tabs>
          <w:tab w:val="left" w:pos="1560"/>
        </w:tabs>
        <w:spacing w:before="0" w:line="276" w:lineRule="auto"/>
        <w:ind w:left="1560" w:hanging="1276"/>
        <w:jc w:val="left"/>
        <w:rPr>
          <w:rFonts w:cs="Arial"/>
          <w:szCs w:val="22"/>
          <w:lang w:eastAsia="en-GB" w:bidi="ar-SA"/>
        </w:rPr>
      </w:pPr>
    </w:p>
    <w:p w14:paraId="65BB961F" w14:textId="77777777" w:rsidR="00B97365" w:rsidRDefault="00000000">
      <w:pPr>
        <w:spacing w:before="0" w:after="200" w:line="276" w:lineRule="auto"/>
        <w:jc w:val="left"/>
        <w:rPr>
          <w:szCs w:val="22"/>
          <w:lang w:eastAsia="en-GB" w:bidi="ar-SA"/>
        </w:rPr>
      </w:pPr>
      <w:r>
        <w:rPr>
          <w:szCs w:val="22"/>
          <w:lang w:eastAsia="en-GB" w:bidi="ar-SA"/>
        </w:rPr>
        <w:t>Whatever the result and timing of these optional operations, successful completion of the ISD-R key establishment (steps 5 to 23 above), proven by successful verification of the receipt, ensures SM-SR2 is now able to manage the eUICC.</w:t>
      </w:r>
    </w:p>
    <w:p w14:paraId="687B1E97" w14:textId="77777777" w:rsidR="00B97365" w:rsidRDefault="00000000">
      <w:pPr>
        <w:spacing w:before="0" w:after="200" w:line="276" w:lineRule="auto"/>
        <w:jc w:val="left"/>
        <w:rPr>
          <w:szCs w:val="22"/>
          <w:lang w:eastAsia="en-GB" w:bidi="ar-SA"/>
        </w:rPr>
      </w:pPr>
      <w:r>
        <w:rPr>
          <w:szCs w:val="22"/>
          <w:lang w:eastAsia="en-GB" w:bidi="ar-SA"/>
        </w:rPr>
        <w:t>As soon as SM-SR2 has verified the receipt (step23 above), the management of the eUICC is ensured by the new SM-SR2. From this point, SM-SR2 SHALL only return a status “Executed-Success” or  “Executed-WithWarning”, and SM-SR1 SHALL forward this status to the Initiator Operator and SHALL remove the EIS from its database, so that the Initiator Operator knows with no ambiguity which SM-SR is now managing the eUICC.</w:t>
      </w:r>
    </w:p>
    <w:p w14:paraId="5651864F" w14:textId="77777777" w:rsidR="00B97365" w:rsidRDefault="00000000">
      <w:pPr>
        <w:spacing w:before="0" w:after="200" w:line="276" w:lineRule="auto"/>
        <w:jc w:val="left"/>
        <w:rPr>
          <w:szCs w:val="22"/>
          <w:lang w:eastAsia="en-GB" w:bidi="ar-SA"/>
        </w:rPr>
      </w:pPr>
      <w:r>
        <w:rPr>
          <w:szCs w:val="22"/>
          <w:lang w:eastAsia="en-GB" w:bidi="ar-SA"/>
        </w:rPr>
        <w:t>In case the deletion of SM-SR1 keys fails or does not complete (which only SM-SR2 knows), SM-SR2 is still responsible for the management of the eUICC.</w:t>
      </w:r>
    </w:p>
    <w:p w14:paraId="109A5D6B" w14:textId="77777777" w:rsidR="00B97365" w:rsidRDefault="00000000">
      <w:pPr>
        <w:spacing w:before="0" w:after="200" w:line="276" w:lineRule="auto"/>
        <w:jc w:val="left"/>
        <w:rPr>
          <w:szCs w:val="22"/>
          <w:lang w:eastAsia="en-GB" w:bidi="ar-SA"/>
        </w:rPr>
      </w:pPr>
      <w:r>
        <w:rPr>
          <w:szCs w:val="22"/>
          <w:lang w:eastAsia="en-GB" w:bidi="ar-SA"/>
        </w:rPr>
        <w:t>In case the procedure expires on SM-SR1 side after step 22, even before the procedure completes or expires on SM-SR2, SM-SR1 SHALL inform the Initiator Operator. The Operator MAY then retry the procedure from step 1 or from step 4.</w:t>
      </w:r>
    </w:p>
    <w:p w14:paraId="0CFE87BF" w14:textId="77777777" w:rsidR="00B97365" w:rsidRDefault="00000000">
      <w:pPr>
        <w:spacing w:before="0" w:after="200" w:line="276" w:lineRule="auto"/>
        <w:jc w:val="left"/>
        <w:rPr>
          <w:szCs w:val="22"/>
          <w:lang w:eastAsia="en-GB" w:bidi="ar-SA"/>
        </w:rPr>
      </w:pPr>
      <w:r>
        <w:rPr>
          <w:szCs w:val="22"/>
          <w:lang w:eastAsia="en-GB" w:bidi="ar-SA"/>
        </w:rPr>
        <w:t>When retrying the procedure, if SM-SR2 had indeed completed step (23) on its side during the first attempt:</w:t>
      </w:r>
    </w:p>
    <w:p w14:paraId="1BAA74DE"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SM-SR2 SHALL skip the steps (7) to (23)</w:t>
      </w:r>
    </w:p>
    <w:p w14:paraId="75523140"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SM-SR2 SHALL perform steps (24) to (28) (if not already done during the first attempt)</w:t>
      </w:r>
    </w:p>
    <w:p w14:paraId="6D3864D3"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SM-SR2 SHALL return the response (29) with an indication that the eUICC is already managed</w:t>
      </w:r>
    </w:p>
    <w:p w14:paraId="2780E72B" w14:textId="77777777" w:rsidR="00B97365" w:rsidRDefault="00000000">
      <w:pPr>
        <w:spacing w:before="0" w:after="200" w:line="276" w:lineRule="auto"/>
        <w:jc w:val="left"/>
        <w:rPr>
          <w:szCs w:val="22"/>
          <w:lang w:eastAsia="en-GB" w:bidi="ar-SA"/>
        </w:rPr>
      </w:pPr>
      <w:r>
        <w:rPr>
          <w:szCs w:val="22"/>
          <w:lang w:eastAsia="en-GB" w:bidi="ar-SA"/>
        </w:rPr>
        <w:t>The SM-SR1 SHALL then delete the EIS, and return the response (31) indicating a Success_WithWarning to the Initiator.</w:t>
      </w:r>
    </w:p>
    <w:p w14:paraId="1731217C"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809" w:name="_Toc421885571"/>
      <w:bookmarkStart w:id="1810" w:name="_Toc421885950"/>
      <w:bookmarkStart w:id="1811" w:name="_Toc374345788"/>
      <w:bookmarkStart w:id="1812" w:name="_Toc374346134"/>
      <w:bookmarkStart w:id="1813" w:name="_Toc374346479"/>
      <w:bookmarkStart w:id="1814" w:name="_Toc374346825"/>
      <w:bookmarkStart w:id="1815" w:name="_Toc368932219"/>
      <w:bookmarkStart w:id="1816" w:name="_Toc374348491"/>
      <w:bookmarkStart w:id="1817" w:name="_Toc375158241"/>
      <w:bookmarkStart w:id="1818" w:name="_Toc398214825"/>
      <w:bookmarkStart w:id="1819" w:name="_Toc420594378"/>
      <w:bookmarkStart w:id="1820" w:name="_Toc421874284"/>
      <w:bookmarkStart w:id="1821" w:name="_Toc422150704"/>
      <w:bookmarkStart w:id="1822" w:name="_Toc448998230"/>
      <w:bookmarkStart w:id="1823" w:name="_Toc486332848"/>
      <w:bookmarkStart w:id="1824" w:name="_Toc1977269"/>
      <w:bookmarkStart w:id="1825" w:name="_Toc37062426"/>
      <w:bookmarkStart w:id="1826" w:name="_Toc88839531"/>
      <w:bookmarkStart w:id="1827" w:name="_Toc121503939"/>
      <w:bookmarkEnd w:id="1809"/>
      <w:bookmarkEnd w:id="1810"/>
      <w:bookmarkEnd w:id="1811"/>
      <w:bookmarkEnd w:id="1812"/>
      <w:bookmarkEnd w:id="1813"/>
      <w:bookmarkEnd w:id="1814"/>
      <w:r>
        <w:rPr>
          <w:rFonts w:eastAsia="Times New Roman" w:cs="Arial"/>
          <w:b/>
          <w:bCs/>
          <w:iCs/>
          <w:sz w:val="24"/>
          <w:szCs w:val="28"/>
          <w:lang w:eastAsia="en-US"/>
        </w:rPr>
        <w:lastRenderedPageBreak/>
        <w:t>eUICC Registration at SM-SR: Register a New EIS</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52DE42C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procedure is used by the EUM to register an EIS representing an eUICC at the SM-SR. The EIS is required by the SM-SR to perform Platform Management functions and enable Profile Management functions on the eUICC. </w:t>
      </w:r>
    </w:p>
    <w:p w14:paraId="33B39C23" w14:textId="77777777" w:rsidR="00B97365" w:rsidRDefault="00000000">
      <w:pPr>
        <w:spacing w:before="0" w:after="200" w:line="276" w:lineRule="auto"/>
        <w:jc w:val="left"/>
        <w:rPr>
          <w:rFonts w:cs="Calibri"/>
          <w:szCs w:val="22"/>
          <w:lang w:val="en-US" w:eastAsia="en-GB" w:bidi="ar-SA"/>
        </w:rPr>
      </w:pPr>
      <w:r>
        <w:rPr>
          <w:rFonts w:cs="Arial"/>
          <w:szCs w:val="22"/>
          <w:lang w:val="en-US" w:eastAsia="en-GB" w:bidi="ar-SA"/>
        </w:rPr>
        <w:t xml:space="preserve"> </w:t>
      </w:r>
      <w:r>
        <w:rPr>
          <w:rFonts w:cs="Calibri"/>
          <w:szCs w:val="22"/>
          <w:lang w:eastAsia="en-GB" w:bidi="ar-SA"/>
        </w:rPr>
        <w:object w:dxaOrig="8868" w:dyaOrig="2760" w14:anchorId="45AC930F">
          <v:shape id="_x0000_i1035" type="#_x0000_t75" style="width:443.95pt;height:137.2pt" o:ole="">
            <v:imagedata r:id="rId60" o:title=""/>
          </v:shape>
          <o:OLEObject Type="Embed" ProgID="PowerPoint.Slide.12" ShapeID="_x0000_i1035" DrawAspect="Content" ObjectID="_1738512080" r:id="rId61"/>
        </w:object>
      </w:r>
    </w:p>
    <w:p w14:paraId="0C79C322" w14:textId="77777777" w:rsidR="00B97365" w:rsidRDefault="00000000">
      <w:pPr>
        <w:numPr>
          <w:ilvl w:val="0"/>
          <w:numId w:val="13"/>
        </w:numPr>
        <w:tabs>
          <w:tab w:val="left" w:pos="1009"/>
        </w:tabs>
        <w:spacing w:before="0" w:after="200" w:line="276" w:lineRule="auto"/>
        <w:jc w:val="center"/>
        <w:rPr>
          <w:rFonts w:cs="Arial"/>
          <w:b/>
          <w:bCs/>
          <w:szCs w:val="22"/>
          <w:lang w:val="en-US" w:eastAsia="en-GB" w:bidi="ar-SA"/>
        </w:rPr>
      </w:pPr>
      <w:r>
        <w:rPr>
          <w:rFonts w:cs="Arial"/>
          <w:b/>
          <w:szCs w:val="22"/>
          <w:lang w:val="en-US" w:eastAsia="en-GB" w:bidi="ar-SA"/>
        </w:rPr>
        <w:t>: EIS Registration at SM-SR</w:t>
      </w:r>
    </w:p>
    <w:p w14:paraId="363FAFB7"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828" w:name="_Toc420594379"/>
      <w:r>
        <w:rPr>
          <w:rFonts w:cs="Arial"/>
          <w:b/>
          <w:noProof/>
          <w:szCs w:val="22"/>
          <w:lang w:val="en-US" w:eastAsia="en-GB" w:bidi="ar-SA"/>
        </w:rPr>
        <w:t>Start Conditions:</w:t>
      </w:r>
      <w:bookmarkEnd w:id="1828"/>
    </w:p>
    <w:p w14:paraId="4444DA7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start conditions are described in GSMA Remote Provisioning Architecture for the Embedded UICC [1]. </w:t>
      </w:r>
    </w:p>
    <w:p w14:paraId="207D0E8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It is assumed that the EUM has been given the SM-SR identity and address by the entity that has ordered the eUICC.</w:t>
      </w:r>
    </w:p>
    <w:p w14:paraId="78A2EC9D" w14:textId="77777777" w:rsidR="00B97365" w:rsidRDefault="00000000">
      <w:pPr>
        <w:tabs>
          <w:tab w:val="left" w:pos="397"/>
          <w:tab w:val="right" w:pos="9015"/>
        </w:tabs>
        <w:spacing w:before="0" w:after="40" w:line="276" w:lineRule="auto"/>
        <w:ind w:left="397" w:right="680" w:hanging="397"/>
        <w:jc w:val="left"/>
        <w:rPr>
          <w:b/>
          <w:noProof/>
          <w:szCs w:val="22"/>
          <w:lang w:val="en-US"/>
        </w:rPr>
      </w:pPr>
      <w:bookmarkStart w:id="1829" w:name="_Toc420594380"/>
      <w:r>
        <w:rPr>
          <w:rFonts w:cs="Arial"/>
          <w:b/>
          <w:noProof/>
          <w:szCs w:val="22"/>
          <w:lang w:val="en-US"/>
        </w:rPr>
        <w:t>Procedure:</w:t>
      </w:r>
      <w:bookmarkEnd w:id="1829"/>
    </w:p>
    <w:p w14:paraId="1D5C3D3F" w14:textId="6691499C" w:rsidR="00B97365" w:rsidRDefault="00000000">
      <w:pPr>
        <w:numPr>
          <w:ilvl w:val="0"/>
          <w:numId w:val="115"/>
        </w:numPr>
        <w:rPr>
          <w:lang w:val="en-US"/>
        </w:rPr>
      </w:pPr>
      <w:r>
        <w:rPr>
          <w:lang w:val="en-US"/>
        </w:rPr>
        <w:t>The EUM that has manufactured the eUICC SHALL call the “</w:t>
      </w:r>
      <w:r>
        <w:rPr>
          <w:b/>
          <w:lang w:val="en-US"/>
        </w:rPr>
        <w:t>ES1.RegisterEIS</w:t>
      </w:r>
      <w:r>
        <w:rPr>
          <w:lang w:val="en-US"/>
        </w:rPr>
        <w:t xml:space="preserve">” function with the EIS data. The EIS SHALL include the data according to </w:t>
      </w:r>
      <w:r>
        <w:rPr>
          <w:lang w:val="en-US"/>
        </w:rPr>
        <w:fldChar w:fldCharType="begin"/>
      </w:r>
      <w:r>
        <w:rPr>
          <w:lang w:val="en-US"/>
        </w:rPr>
        <w:instrText xml:space="preserve"> REF _Ref421660610 \r \h </w:instrText>
      </w:r>
      <w:r>
        <w:rPr>
          <w:lang w:val="en-US"/>
        </w:rPr>
      </w:r>
      <w:r>
        <w:rPr>
          <w:lang w:val="en-US"/>
        </w:rPr>
        <w:fldChar w:fldCharType="separate"/>
      </w:r>
      <w:r w:rsidR="001D5AD9">
        <w:rPr>
          <w:lang w:val="en-US"/>
        </w:rPr>
        <w:t>Annex E</w:t>
      </w:r>
      <w:r>
        <w:rPr>
          <w:lang w:val="en-US"/>
        </w:rPr>
        <w:fldChar w:fldCharType="end"/>
      </w:r>
      <w:r>
        <w:rPr>
          <w:lang w:val="en-US"/>
        </w:rPr>
        <w:t>. The EIS SHALL be signed by the EUM.</w:t>
      </w:r>
    </w:p>
    <w:p w14:paraId="76A65740" w14:textId="1C6F18A6" w:rsidR="00B97365" w:rsidRDefault="00000000">
      <w:pPr>
        <w:numPr>
          <w:ilvl w:val="0"/>
          <w:numId w:val="115"/>
        </w:numPr>
        <w:rPr>
          <w:lang w:val="en-US"/>
        </w:rPr>
      </w:pPr>
      <w:r>
        <w:rPr>
          <w:lang w:val="en-US"/>
        </w:rPr>
        <w:t>The SM-SR SHALL verify that the EUM request is acceptable (the verifications that the SM-SR SHALL perform are described in the section</w:t>
      </w:r>
      <w:r>
        <w:fldChar w:fldCharType="begin"/>
      </w:r>
      <w:r>
        <w:instrText xml:space="preserve"> REF _Ref367978153 \r \h  \* MERGEFORMAT </w:instrText>
      </w:r>
      <w:r>
        <w:fldChar w:fldCharType="separate"/>
      </w:r>
      <w:r w:rsidR="001D5AD9" w:rsidRPr="001D5AD9">
        <w:rPr>
          <w:lang w:val="en-US"/>
        </w:rPr>
        <w:t>5.2.1</w:t>
      </w:r>
      <w:r>
        <w:fldChar w:fldCharType="end"/>
      </w:r>
      <w:r>
        <w:rPr>
          <w:lang w:val="en-US"/>
        </w:rPr>
        <w:t>). If any of the conditions to be verified is not satisfied, the SM-SR SHALL return a response indicating the failure, and the procedure SHALL end.</w:t>
      </w:r>
    </w:p>
    <w:p w14:paraId="666E2962" w14:textId="77777777" w:rsidR="00B97365" w:rsidRDefault="00000000">
      <w:pPr>
        <w:numPr>
          <w:ilvl w:val="0"/>
          <w:numId w:val="115"/>
        </w:numPr>
        <w:rPr>
          <w:lang w:val="en-US"/>
        </w:rPr>
      </w:pPr>
      <w:r>
        <w:rPr>
          <w:lang w:val="en-US"/>
        </w:rPr>
        <w:t>The SM-SR SHALL store the new EIS in its database.</w:t>
      </w:r>
    </w:p>
    <w:p w14:paraId="2B368D9D" w14:textId="77777777" w:rsidR="00B97365" w:rsidRDefault="00000000">
      <w:pPr>
        <w:numPr>
          <w:ilvl w:val="0"/>
          <w:numId w:val="115"/>
        </w:numPr>
        <w:rPr>
          <w:lang w:val="en-US"/>
        </w:rPr>
      </w:pPr>
      <w:r>
        <w:rPr>
          <w:lang w:val="en-US"/>
        </w:rPr>
        <w:t>The SM-SR SHALL return the successful response to the “</w:t>
      </w:r>
      <w:r>
        <w:rPr>
          <w:b/>
          <w:lang w:val="en-US"/>
        </w:rPr>
        <w:t>ES1.RegisterEIS</w:t>
      </w:r>
      <w:r>
        <w:rPr>
          <w:lang w:val="en-US"/>
        </w:rPr>
        <w:t>” function to the caller EUM.</w:t>
      </w:r>
    </w:p>
    <w:p w14:paraId="66E380EC"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830" w:name="_Toc448998231"/>
      <w:bookmarkStart w:id="1831" w:name="_Toc422150705"/>
      <w:bookmarkStart w:id="1832" w:name="_Toc421874285"/>
      <w:bookmarkStart w:id="1833" w:name="_Toc420594381"/>
      <w:bookmarkStart w:id="1834" w:name="_Toc398214826"/>
      <w:bookmarkStart w:id="1835" w:name="_Toc375158242"/>
      <w:bookmarkStart w:id="1836" w:name="_Toc374348492"/>
      <w:bookmarkStart w:id="1837" w:name="_Toc368932220"/>
      <w:bookmarkStart w:id="1838" w:name="_Toc486332849"/>
      <w:bookmarkStart w:id="1839" w:name="_Toc1977270"/>
      <w:bookmarkStart w:id="1840" w:name="_Toc37062427"/>
      <w:bookmarkStart w:id="1841" w:name="_Toc88839532"/>
      <w:bookmarkStart w:id="1842" w:name="_Toc121503940"/>
      <w:r>
        <w:rPr>
          <w:rFonts w:eastAsia="Times New Roman" w:cs="Arial"/>
          <w:b/>
          <w:bCs/>
          <w:iCs/>
          <w:sz w:val="24"/>
          <w:szCs w:val="28"/>
          <w:lang w:eastAsia="en-US"/>
        </w:rPr>
        <w:t>Master Delete Procedure</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40D5C31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procedure deletes an Orphaned Profile regardless of the Profile’s Policy Rules. The procedure illustrates the usage of SMS as a possible transport protocol between SM-SR and eUICC, but can be also performed using other transport protocols.</w:t>
      </w:r>
    </w:p>
    <w:p w14:paraId="63AB00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3231E97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3FD5E8B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0C4CE18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400</w:t>
      </w:r>
    </w:p>
    <w:p w14:paraId="7C751BA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33B3FD6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1B0C9FB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E575C9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0888AA9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“Initiator” as INI #FFFFFF</w:t>
      </w:r>
    </w:p>
    <w:p w14:paraId="7E03FA4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79A556D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5700BF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52B3428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420BB6F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5677FD7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“ISD-P” as ISDP #FFFFFF</w:t>
      </w:r>
    </w:p>
    <w:p w14:paraId="5443E4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4BA4982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INI-&gt;&gt;SR: (1) Request for Master Delete\n(eid, iccid)</w:t>
      </w:r>
    </w:p>
    <w:p w14:paraId="046E8F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207F22F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486DA72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1B1CD2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SR--&gt;&gt;INI: Failed</w:t>
      </w:r>
    </w:p>
    <w:p w14:paraId="0D17DFB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67EDDF5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(3) Request for Master Delete Authorisation</w:t>
      </w:r>
    </w:p>
    <w:p w14:paraId="2B9F175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14EC6D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group Authorisation</w:t>
      </w:r>
    </w:p>
    <w:p w14:paraId="162FBB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DP, OP #FFFFF</w:t>
      </w:r>
    </w:p>
    <w:p w14:paraId="403894E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Requests authorisation</w:t>
      </w:r>
    </w:p>
    <w:p w14:paraId="55B480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(out of scope)</w:t>
      </w:r>
    </w:p>
    <w:p w14:paraId="08A776D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1B875DD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DP  #FFFFF</w:t>
      </w:r>
    </w:p>
    <w:p w14:paraId="3328CAD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Check if the request is</w:t>
      </w:r>
    </w:p>
    <w:p w14:paraId="3EFB697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authorised and authenticated</w:t>
      </w:r>
    </w:p>
    <w:p w14:paraId="4E0A94C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6FABB9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5BFB37C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Refuse</w:t>
      </w:r>
    </w:p>
    <w:p w14:paraId="4F98397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SR--&gt;&gt;INI: Refuse</w:t>
      </w:r>
    </w:p>
    <w:p w14:paraId="1DE1787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(5) Master Delete Authorisation response\n (Delete Token)</w:t>
      </w:r>
    </w:p>
    <w:p w14:paraId="6DD6B5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(6) MT-SMS [ES5.MasterDelete command](Delete Token)</w:t>
      </w:r>
    </w:p>
    <w:p w14:paraId="60EBEB4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w:t>
      </w:r>
    </w:p>
    <w:p w14:paraId="55AD772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(7) Check conditions</w:t>
      </w:r>
    </w:p>
    <w:p w14:paraId="7AC1F3A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DAC521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Failed</w:t>
      </w:r>
    </w:p>
    <w:p w14:paraId="56D6E8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SR--&gt;&gt;INI: Failed</w:t>
      </w:r>
    </w:p>
    <w:p w14:paraId="0D9A63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ISDP #FFFFF</w:t>
      </w:r>
    </w:p>
    <w:p w14:paraId="76DF996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ISD-P verifies the Token</w:t>
      </w:r>
    </w:p>
    <w:p w14:paraId="7B0D9D0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and ISD-R deletes ISD-P and contained profile</w:t>
      </w:r>
    </w:p>
    <w:p w14:paraId="544DD27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88FC64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(9) MO-SMS [ES5.MasterDelete command response]</w:t>
      </w:r>
    </w:p>
    <w:p w14:paraId="4EB610E5"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Rnote over SR #FFFFFF</w:t>
      </w:r>
    </w:p>
    <w:p w14:paraId="39B2F423"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(10) Update EIS</w:t>
      </w:r>
    </w:p>
    <w:p w14:paraId="214CBF7A"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Endrnote</w:t>
      </w:r>
    </w:p>
    <w:p w14:paraId="185A8038"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SR--&gt;&gt;INI: (11) Profile deletion result</w:t>
      </w:r>
    </w:p>
    <w:p w14:paraId="62F5901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@enduml</w:t>
      </w:r>
    </w:p>
    <w:p w14:paraId="01A61249" w14:textId="77777777" w:rsidR="00B97365" w:rsidRDefault="00B97365">
      <w:pPr>
        <w:keepNext/>
        <w:spacing w:after="200"/>
        <w:jc w:val="center"/>
        <w:rPr>
          <w:rFonts w:eastAsia="Vodafone Rg" w:cs="Calibri"/>
          <w:kern w:val="22"/>
          <w:lang w:val="fr-FR"/>
        </w:rPr>
      </w:pPr>
    </w:p>
    <w:p w14:paraId="5B183004" w14:textId="77777777" w:rsidR="00B97365" w:rsidRDefault="00000000">
      <w:pPr>
        <w:keepNext/>
        <w:spacing w:after="200"/>
        <w:jc w:val="center"/>
        <w:rPr>
          <w:rFonts w:eastAsia="Vodafone Rg" w:cs="Calibri"/>
          <w:kern w:val="22"/>
        </w:rPr>
      </w:pPr>
      <w:r>
        <w:rPr>
          <w:rFonts w:eastAsia="Vodafone Rg" w:cs="Calibri"/>
          <w:noProof/>
          <w:kern w:val="22"/>
          <w:lang w:eastAsia="en-GB" w:bidi="ar-SA"/>
        </w:rPr>
        <w:lastRenderedPageBreak/>
        <w:drawing>
          <wp:inline distT="0" distB="0" distL="0" distR="0" wp14:anchorId="08928AB5" wp14:editId="78DFF693">
            <wp:extent cx="5731510" cy="3639754"/>
            <wp:effectExtent l="0" t="0" r="254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3639754"/>
                    </a:xfrm>
                    <a:prstGeom prst="rect">
                      <a:avLst/>
                    </a:prstGeom>
                  </pic:spPr>
                </pic:pic>
              </a:graphicData>
            </a:graphic>
          </wp:inline>
        </w:drawing>
      </w:r>
    </w:p>
    <w:p w14:paraId="49F6FDD1"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Master Delete</w:t>
      </w:r>
    </w:p>
    <w:p w14:paraId="2374239A"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843" w:name="_Toc420594382"/>
      <w:r>
        <w:rPr>
          <w:rFonts w:cs="Arial"/>
          <w:b/>
          <w:noProof/>
          <w:szCs w:val="22"/>
          <w:lang w:val="en-US" w:eastAsia="en-GB" w:bidi="ar-SA"/>
        </w:rPr>
        <w:t>Start Conditions:</w:t>
      </w:r>
      <w:bookmarkEnd w:id="1843"/>
      <w:r>
        <w:rPr>
          <w:b/>
          <w:noProof/>
          <w:szCs w:val="22"/>
          <w:lang w:val="en-US" w:eastAsia="en-GB" w:bidi="ar-SA"/>
        </w:rPr>
        <w:t xml:space="preserve"> </w:t>
      </w:r>
    </w:p>
    <w:p w14:paraId="39869B45" w14:textId="4DD3EF76"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 plus:</w:t>
      </w:r>
    </w:p>
    <w:p w14:paraId="7BFF751D" w14:textId="77777777" w:rsidR="00B97365" w:rsidRDefault="00000000">
      <w:pPr>
        <w:numPr>
          <w:ilvl w:val="1"/>
          <w:numId w:val="44"/>
        </w:numPr>
        <w:spacing w:before="0" w:after="200" w:line="276" w:lineRule="auto"/>
        <w:contextualSpacing/>
        <w:jc w:val="left"/>
        <w:rPr>
          <w:szCs w:val="22"/>
          <w:lang w:eastAsia="en-GB" w:bidi="ar-SA"/>
        </w:rPr>
      </w:pPr>
      <w:r>
        <w:rPr>
          <w:szCs w:val="22"/>
          <w:lang w:eastAsia="en-GB" w:bidi="ar-SA"/>
        </w:rPr>
        <w:t>The target Profile has been verified not to be the Profile which has the Fall-Back Attribute set.</w:t>
      </w:r>
    </w:p>
    <w:p w14:paraId="123CCB94"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844" w:name="_Toc420594383"/>
      <w:r>
        <w:rPr>
          <w:rFonts w:cs="Arial"/>
          <w:b/>
          <w:noProof/>
          <w:szCs w:val="22"/>
          <w:lang w:eastAsia="en-GB" w:bidi="ar-SA"/>
        </w:rPr>
        <w:t>Procedure:</w:t>
      </w:r>
      <w:bookmarkEnd w:id="1844"/>
    </w:p>
    <w:p w14:paraId="415AB1ED" w14:textId="77777777" w:rsidR="00B97365" w:rsidRDefault="00000000">
      <w:pPr>
        <w:numPr>
          <w:ilvl w:val="0"/>
          <w:numId w:val="116"/>
        </w:numPr>
      </w:pPr>
      <w:r>
        <w:t>The Initiator SHALL send a Master Delete request to the SM-SR containing at least ICCID and EID (the function used in this step is not covered in this specification).</w:t>
      </w:r>
    </w:p>
    <w:p w14:paraId="4F689DAC" w14:textId="77777777" w:rsidR="00B97365" w:rsidRDefault="00000000">
      <w:pPr>
        <w:numPr>
          <w:ilvl w:val="0"/>
          <w:numId w:val="116"/>
        </w:numPr>
      </w:pPr>
      <w:r>
        <w:t>The SM-SR SHALL verify that the request is acceptable (at least the preconditions are satisfied). If any of the verifications fails, the SM-SR SHALL return a response indicating the failure, and the procedure SHALL end.</w:t>
      </w:r>
    </w:p>
    <w:p w14:paraId="7B75C1BF" w14:textId="77777777" w:rsidR="00B97365" w:rsidRDefault="00000000">
      <w:pPr>
        <w:numPr>
          <w:ilvl w:val="0"/>
          <w:numId w:val="116"/>
        </w:numPr>
      </w:pPr>
      <w:r>
        <w:t>SM-SR SHALL send a request for Master Delete authorisation to the SM-DP, which is associated with the target Profile (the function used in this step is not covered in this specification).</w:t>
      </w:r>
    </w:p>
    <w:p w14:paraId="6F96BCA9" w14:textId="77777777" w:rsidR="00B97365" w:rsidRDefault="00000000">
      <w:pPr>
        <w:numPr>
          <w:ilvl w:val="0"/>
          <w:numId w:val="116"/>
        </w:numPr>
        <w:rPr>
          <w:bCs/>
          <w:kern w:val="22"/>
        </w:rPr>
      </w:pPr>
      <w:r>
        <w:t>SM-DP SHALL verify that the request is authenticated and authorised.</w:t>
      </w:r>
    </w:p>
    <w:p w14:paraId="04D09E67" w14:textId="77777777" w:rsidR="00B97365" w:rsidRDefault="00000000">
      <w:pPr>
        <w:ind w:firstLine="284"/>
        <w:rPr>
          <w:rFonts w:eastAsia="Vodafone Rg" w:cs="Arial"/>
          <w:bCs/>
          <w:kern w:val="22"/>
          <w:szCs w:val="22"/>
          <w:lang w:eastAsia="en-GB" w:bidi="ar-SA"/>
        </w:rPr>
      </w:pPr>
      <w:r>
        <w:rPr>
          <w:rFonts w:eastAsia="Vodafone Rg" w:cs="Arial"/>
          <w:bCs/>
          <w:kern w:val="22"/>
          <w:szCs w:val="22"/>
          <w:lang w:eastAsia="en-GB" w:bidi="ar-SA"/>
        </w:rPr>
        <w:t xml:space="preserve">The SM-DP also requests authorisation from the Operator owner of the target Profile. </w:t>
      </w:r>
    </w:p>
    <w:p w14:paraId="52598466" w14:textId="77777777" w:rsidR="00B97365" w:rsidRDefault="00B97365">
      <w:pPr>
        <w:ind w:firstLine="284"/>
        <w:rPr>
          <w:rFonts w:cs="Arial"/>
          <w:szCs w:val="22"/>
          <w:lang w:eastAsia="en-GB" w:bidi="ar-SA"/>
        </w:rPr>
      </w:pPr>
    </w:p>
    <w:p w14:paraId="4F39129F" w14:textId="77777777" w:rsidR="00B97365" w:rsidRDefault="00000000">
      <w:pPr>
        <w:spacing w:before="0" w:after="200" w:line="276" w:lineRule="auto"/>
        <w:ind w:left="1560" w:hanging="1276"/>
        <w:jc w:val="left"/>
        <w:rPr>
          <w:rFonts w:cs="Arial"/>
          <w:szCs w:val="22"/>
          <w:lang w:eastAsia="en-GB" w:bidi="ar-SA"/>
        </w:rPr>
      </w:pPr>
      <w:r>
        <w:rPr>
          <w:rFonts w:cs="Arial"/>
          <w:szCs w:val="22"/>
          <w:lang w:eastAsia="en-GB" w:bidi="ar-SA"/>
        </w:rPr>
        <w:t>NOTE:</w:t>
      </w:r>
      <w:r>
        <w:rPr>
          <w:rFonts w:cs="Arial"/>
          <w:szCs w:val="22"/>
          <w:lang w:eastAsia="en-GB" w:bidi="ar-SA"/>
        </w:rPr>
        <w:tab/>
        <w:t>The definition of this interface is out of the scope of this document.</w:t>
      </w:r>
    </w:p>
    <w:p w14:paraId="5B8C483C" w14:textId="77777777" w:rsidR="00B97365" w:rsidRDefault="00000000">
      <w:pPr>
        <w:spacing w:before="0" w:after="200" w:line="276" w:lineRule="auto"/>
        <w:ind w:left="284" w:firstLine="76"/>
        <w:jc w:val="left"/>
        <w:rPr>
          <w:szCs w:val="22"/>
          <w:lang w:eastAsia="en-GB" w:bidi="ar-SA"/>
        </w:rPr>
      </w:pPr>
      <w:r>
        <w:rPr>
          <w:rFonts w:eastAsia="Vodafone Rg" w:cs="Arial"/>
          <w:bCs/>
          <w:kern w:val="22"/>
          <w:szCs w:val="22"/>
          <w:lang w:eastAsia="en-GB" w:bidi="ar-SA"/>
        </w:rPr>
        <w:t>If the verification of the request from the SM-SR fails, or if the Operator does not give its authorisation, the SM-DP SHALL return that the deletion of target Profile is not allowed, and the procedure SHALL end.</w:t>
      </w:r>
    </w:p>
    <w:p w14:paraId="2FBC03E8" w14:textId="64345ECD" w:rsidR="00B97365" w:rsidRDefault="00000000">
      <w:pPr>
        <w:numPr>
          <w:ilvl w:val="0"/>
          <w:numId w:val="116"/>
        </w:numPr>
      </w:pPr>
      <w:r>
        <w:lastRenderedPageBreak/>
        <w:t xml:space="preserve">If deletion of the Profile is allowed, a delete token as defined in section </w:t>
      </w:r>
      <w:r>
        <w:fldChar w:fldCharType="begin"/>
      </w:r>
      <w:r>
        <w:instrText xml:space="preserve"> REF _Ref367972337 \r \h  \* MERGEFORMAT </w:instrText>
      </w:r>
      <w:r>
        <w:fldChar w:fldCharType="separate"/>
      </w:r>
      <w:r w:rsidR="001D5AD9">
        <w:t>4.1.1.6</w:t>
      </w:r>
      <w:r>
        <w:fldChar w:fldCharType="end"/>
      </w:r>
      <w:r>
        <w:t>, SHALL be returned to the SM-SR.</w:t>
      </w:r>
    </w:p>
    <w:p w14:paraId="5AEEBA84" w14:textId="6A72E2DA" w:rsidR="00B97365" w:rsidRDefault="00000000">
      <w:pPr>
        <w:numPr>
          <w:ilvl w:val="0"/>
          <w:numId w:val="116"/>
        </w:numPr>
      </w:pPr>
      <w:r>
        <w:t>The SM-SR SHALL send an MT-SMS containing the “</w:t>
      </w:r>
      <w:r>
        <w:rPr>
          <w:b/>
        </w:rPr>
        <w:t>ES5.MasterDelete</w:t>
      </w:r>
      <w:r>
        <w:t xml:space="preserve">” command with its relevant input data (see section </w:t>
      </w:r>
      <w:r>
        <w:fldChar w:fldCharType="begin"/>
      </w:r>
      <w:r>
        <w:instrText xml:space="preserve"> REF _Ref367972355 \r \h  \* MERGEFORMAT </w:instrText>
      </w:r>
      <w:r>
        <w:fldChar w:fldCharType="separate"/>
      </w:r>
      <w:r w:rsidR="001D5AD9">
        <w:t>4.1.1.6</w:t>
      </w:r>
      <w:r>
        <w:fldChar w:fldCharType="end"/>
      </w:r>
      <w:r>
        <w:t>) to the ISD-R. The SM-SR SHALL request a PoR to get the execution status of the “</w:t>
      </w:r>
      <w:r>
        <w:rPr>
          <w:b/>
        </w:rPr>
        <w:t>ES5.MasterDelete</w:t>
      </w:r>
      <w:r>
        <w:t>” command.</w:t>
      </w:r>
    </w:p>
    <w:p w14:paraId="13762EA0" w14:textId="43C9BB3F" w:rsidR="00B97365" w:rsidRDefault="00000000">
      <w:pPr>
        <w:numPr>
          <w:ilvl w:val="0"/>
          <w:numId w:val="116"/>
        </w:numPr>
      </w:pPr>
      <w:r>
        <w:t xml:space="preserve">The ISD-R SHALL execute the function as described in section </w:t>
      </w:r>
      <w:r>
        <w:fldChar w:fldCharType="begin"/>
      </w:r>
      <w:r>
        <w:instrText xml:space="preserve"> REF _Ref367972368 \r \h  \* MERGEFORMAT </w:instrText>
      </w:r>
      <w:r>
        <w:fldChar w:fldCharType="separate"/>
      </w:r>
      <w:r w:rsidR="001D5AD9">
        <w:t>4.1.1.6</w:t>
      </w:r>
      <w:r>
        <w:fldChar w:fldCharType="end"/>
      </w:r>
      <w:r>
        <w:t xml:space="preserve">. In case of an error, a response indicating the failure SHALL be returned (step 9) to the SM-SR and the procedure SHALL end. </w:t>
      </w:r>
    </w:p>
    <w:p w14:paraId="37E76D58" w14:textId="77777777" w:rsidR="00B97365" w:rsidRDefault="00000000">
      <w:pPr>
        <w:numPr>
          <w:ilvl w:val="0"/>
          <w:numId w:val="116"/>
        </w:numPr>
      </w:pPr>
      <w:r>
        <w:t>The ISD-P SHALL verify the token and if successful, the ISD-R SHALL delete the targeted ISD-P and the contained Profile.</w:t>
      </w:r>
    </w:p>
    <w:p w14:paraId="445A8BCE" w14:textId="77777777" w:rsidR="00B97365" w:rsidRDefault="00000000">
      <w:pPr>
        <w:numPr>
          <w:ilvl w:val="0"/>
          <w:numId w:val="116"/>
        </w:numPr>
      </w:pPr>
      <w:r>
        <w:t>The ISD-R SHALL return the MO-SMS containing the execution status of the “</w:t>
      </w:r>
      <w:r>
        <w:rPr>
          <w:b/>
        </w:rPr>
        <w:t>ES5.MasterDelete</w:t>
      </w:r>
      <w:r>
        <w:t>” command to the SM-SR.</w:t>
      </w:r>
    </w:p>
    <w:p w14:paraId="60B23893" w14:textId="77777777" w:rsidR="00B97365" w:rsidRDefault="00000000">
      <w:pPr>
        <w:numPr>
          <w:ilvl w:val="0"/>
          <w:numId w:val="116"/>
        </w:numPr>
      </w:pPr>
      <w:r>
        <w:t>In case of successful execution, the SM-SR SHALL update the EIS to reflect the deleted Profile.</w:t>
      </w:r>
    </w:p>
    <w:p w14:paraId="303137F8" w14:textId="77777777" w:rsidR="00B97365" w:rsidRDefault="00000000">
      <w:pPr>
        <w:numPr>
          <w:ilvl w:val="0"/>
          <w:numId w:val="116"/>
        </w:numPr>
      </w:pPr>
      <w:r>
        <w:t>Finally, the SM-SR SHALL return the response to the Master Delete request to the Initiator (the function used in this step is not covered in this specification).</w:t>
      </w:r>
    </w:p>
    <w:p w14:paraId="6B3CF364" w14:textId="77777777" w:rsidR="00B97365" w:rsidRDefault="00B97365">
      <w:pPr>
        <w:rPr>
          <w:rFonts w:cs="Arial"/>
          <w:sz w:val="20"/>
        </w:rPr>
      </w:pPr>
    </w:p>
    <w:p w14:paraId="1C523C6A" w14:textId="6DFE2E42" w:rsidR="00B97365" w:rsidRDefault="00000000">
      <w:pPr>
        <w:tabs>
          <w:tab w:val="left" w:pos="1560"/>
        </w:tabs>
        <w:spacing w:before="0" w:after="200" w:line="276" w:lineRule="auto"/>
        <w:ind w:left="1559" w:hanging="1202"/>
        <w:jc w:val="left"/>
        <w:rPr>
          <w:szCs w:val="22"/>
          <w:lang w:eastAsia="en-GB" w:bidi="ar-SA"/>
        </w:rPr>
      </w:pPr>
      <w:r>
        <w:rPr>
          <w:rFonts w:cs="Arial"/>
          <w:szCs w:val="22"/>
          <w:lang w:eastAsia="en-GB" w:bidi="ar-SA"/>
        </w:rPr>
        <w:t xml:space="preserve">NOTE 1: </w:t>
      </w:r>
      <w:r>
        <w:rPr>
          <w:rFonts w:cs="Arial"/>
          <w:szCs w:val="22"/>
          <w:lang w:eastAsia="en-GB" w:bidi="ar-SA"/>
        </w:rPr>
        <w:tab/>
        <w:t xml:space="preserve">The MT SMS and MO-SMS SHALL be secured according to section </w:t>
      </w:r>
      <w:r>
        <w:fldChar w:fldCharType="begin"/>
      </w:r>
      <w:r>
        <w:instrText xml:space="preserve"> REF _Ref367972382 \r \h  \* MERGEFORMAT </w:instrText>
      </w:r>
      <w:r>
        <w:fldChar w:fldCharType="separate"/>
      </w:r>
      <w:r w:rsidR="001D5AD9" w:rsidRPr="001D5AD9">
        <w:rPr>
          <w:szCs w:val="22"/>
          <w:lang w:eastAsia="en-GB" w:bidi="ar-SA"/>
        </w:rPr>
        <w:t>2.4</w:t>
      </w:r>
      <w:r>
        <w:fldChar w:fldCharType="end"/>
      </w:r>
      <w:r>
        <w:rPr>
          <w:szCs w:val="22"/>
          <w:lang w:eastAsia="en-GB" w:bidi="ar-SA"/>
        </w:rPr>
        <w:t>.</w:t>
      </w:r>
    </w:p>
    <w:p w14:paraId="19E4765E" w14:textId="77777777" w:rsidR="00B97365" w:rsidRDefault="00000000">
      <w:pPr>
        <w:tabs>
          <w:tab w:val="left" w:pos="1560"/>
        </w:tabs>
        <w:spacing w:before="0" w:after="200" w:line="276" w:lineRule="auto"/>
        <w:ind w:left="1559" w:hanging="1202"/>
        <w:jc w:val="left"/>
        <w:rPr>
          <w:rFonts w:cs="Arial"/>
          <w:szCs w:val="22"/>
          <w:lang w:val="en-US" w:eastAsia="en-GB" w:bidi="ar-SA"/>
        </w:rPr>
      </w:pPr>
      <w:r>
        <w:rPr>
          <w:rFonts w:cs="Arial"/>
          <w:szCs w:val="22"/>
          <w:lang w:val="en-US" w:eastAsia="en-GB" w:bidi="ar-SA"/>
        </w:rPr>
        <w:t xml:space="preserve">NOTE 2: </w:t>
      </w:r>
      <w:r>
        <w:rPr>
          <w:rFonts w:cs="Arial"/>
          <w:szCs w:val="22"/>
          <w:lang w:val="en-US" w:eastAsia="en-GB" w:bidi="ar-SA"/>
        </w:rPr>
        <w:tab/>
        <w:t>The token SHALL be usable only once.</w:t>
      </w:r>
    </w:p>
    <w:p w14:paraId="6C9DAF0A"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845" w:name="_Toc374345791"/>
      <w:bookmarkStart w:id="1846" w:name="_Toc374346137"/>
      <w:bookmarkStart w:id="1847" w:name="_Toc374346482"/>
      <w:bookmarkStart w:id="1848" w:name="_Toc374346828"/>
      <w:bookmarkStart w:id="1849" w:name="_Toc373757369"/>
      <w:bookmarkStart w:id="1850" w:name="_Toc374348494"/>
      <w:bookmarkStart w:id="1851" w:name="_Toc375158243"/>
      <w:bookmarkStart w:id="1852" w:name="_Toc398214827"/>
      <w:bookmarkStart w:id="1853" w:name="_Toc420594384"/>
      <w:bookmarkStart w:id="1854" w:name="_Toc421874286"/>
      <w:bookmarkStart w:id="1855" w:name="_Toc422150706"/>
      <w:bookmarkStart w:id="1856" w:name="_Toc448998232"/>
      <w:bookmarkStart w:id="1857" w:name="_Toc486332850"/>
      <w:bookmarkStart w:id="1858" w:name="_Toc1977271"/>
      <w:bookmarkStart w:id="1859" w:name="_Toc37062428"/>
      <w:bookmarkStart w:id="1860" w:name="_Toc88839533"/>
      <w:bookmarkStart w:id="1861" w:name="_Toc121503941"/>
      <w:bookmarkEnd w:id="1845"/>
      <w:bookmarkEnd w:id="1846"/>
      <w:bookmarkEnd w:id="1847"/>
      <w:bookmarkEnd w:id="1848"/>
      <w:r>
        <w:rPr>
          <w:rFonts w:eastAsia="Times New Roman" w:cs="Arial"/>
          <w:b/>
          <w:bCs/>
          <w:iCs/>
          <w:sz w:val="24"/>
          <w:szCs w:val="28"/>
          <w:lang w:eastAsia="en-US"/>
        </w:rPr>
        <w:t xml:space="preserve">POL2 Update </w:t>
      </w:r>
      <w:r>
        <w:rPr>
          <w:rFonts w:eastAsia="Times New Roman" w:cs="Arial"/>
          <w:b/>
          <w:sz w:val="24"/>
          <w:szCs w:val="28"/>
          <w:lang w:eastAsia="en-US"/>
        </w:rPr>
        <w:t>Via SM-DP</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785109FE" w14:textId="77777777" w:rsidR="00B97365" w:rsidRDefault="00000000">
      <w:pPr>
        <w:rPr>
          <w:rFonts w:eastAsia="Vodafone Rg" w:cs="Calibri"/>
          <w:bCs/>
          <w:kern w:val="22"/>
        </w:rPr>
      </w:pPr>
      <w:r>
        <w:rPr>
          <w:rFonts w:eastAsia="Vodafone Rg" w:cs="Calibri"/>
          <w:bCs/>
          <w:kern w:val="22"/>
        </w:rPr>
        <w:t>This procedure is used by the Operator to update POL2 via the SM-DP.</w:t>
      </w:r>
    </w:p>
    <w:p w14:paraId="57F93CC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0F9C65B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7DF81B9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32483DF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400</w:t>
      </w:r>
    </w:p>
    <w:p w14:paraId="187DDDD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2FB3271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06EE7AF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5F0FE2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0952C12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participant “M2M SP” as M2MSP #FFFFFF </w:t>
      </w:r>
    </w:p>
    <w:p w14:paraId="46C9151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2B39F87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69FE4F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5C31C43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C41B75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OP-&gt;&gt;DP: (1) UpdatePolicyRules(POL2)</w:t>
      </w:r>
    </w:p>
    <w:p w14:paraId="00236F6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(2) UpdatePolicyRules(POL2)</w:t>
      </w:r>
    </w:p>
    <w:p w14:paraId="6A74AFE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198E39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Update POL2</w:t>
      </w:r>
    </w:p>
    <w:p w14:paraId="004269E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EE6A08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(4) UpdatePolicyRules Result</w:t>
      </w:r>
    </w:p>
    <w:p w14:paraId="40A96FC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(5) Cond: HandleProfilePOL2UpdatedNotification (eid, iccid, POL2)</w:t>
      </w:r>
    </w:p>
    <w:p w14:paraId="3F31FC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(6) UpdatePolicyRules Result</w:t>
      </w:r>
    </w:p>
    <w:p w14:paraId="7BB0399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329E9BE4" w14:textId="77777777" w:rsidR="00B97365" w:rsidRDefault="00000000">
      <w:pPr>
        <w:rPr>
          <w:rFonts w:cs="Courier New"/>
          <w:noProof/>
          <w:color w:val="008000"/>
          <w:sz w:val="18"/>
        </w:rPr>
      </w:pPr>
      <w:r>
        <w:rPr>
          <w:rFonts w:cs="Courier New"/>
          <w:noProof/>
          <w:color w:val="008000"/>
          <w:sz w:val="18"/>
          <w:lang w:eastAsia="en-GB" w:bidi="ar-SA"/>
        </w:rPr>
        <w:drawing>
          <wp:inline distT="0" distB="0" distL="0" distR="0" wp14:anchorId="430367C7" wp14:editId="74B1193A">
            <wp:extent cx="5731510" cy="2021028"/>
            <wp:effectExtent l="0" t="0" r="2540" b="0"/>
            <wp:docPr id="442" name="Picture 44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
                    <pic:cNvPicPr/>
                  </pic:nvPicPr>
                  <pic:blipFill>
                    <a:blip r:embed="rId63">
                      <a:extLst>
                        <a:ext uri="{28A0092B-C50C-407E-A947-70E740481C1C}">
                          <a14:useLocalDpi xmlns:a14="http://schemas.microsoft.com/office/drawing/2010/main" val="0"/>
                        </a:ext>
                      </a:extLst>
                    </a:blip>
                    <a:stretch>
                      <a:fillRect/>
                    </a:stretch>
                  </pic:blipFill>
                  <pic:spPr>
                    <a:xfrm>
                      <a:off x="0" y="0"/>
                      <a:ext cx="5731510" cy="2021028"/>
                    </a:xfrm>
                    <a:prstGeom prst="rect">
                      <a:avLst/>
                    </a:prstGeom>
                  </pic:spPr>
                </pic:pic>
              </a:graphicData>
            </a:graphic>
          </wp:inline>
        </w:drawing>
      </w:r>
    </w:p>
    <w:p w14:paraId="09CF56AB" w14:textId="77777777" w:rsidR="00B97365" w:rsidRDefault="00000000">
      <w:pPr>
        <w:numPr>
          <w:ilvl w:val="0"/>
          <w:numId w:val="13"/>
        </w:numPr>
        <w:tabs>
          <w:tab w:val="left" w:pos="1009"/>
        </w:tabs>
        <w:spacing w:before="0" w:after="200" w:line="276" w:lineRule="auto"/>
        <w:jc w:val="center"/>
        <w:rPr>
          <w:rFonts w:cs="Arial"/>
          <w:lang w:eastAsia="en-GB"/>
        </w:rPr>
      </w:pPr>
      <w:r>
        <w:t>:</w:t>
      </w:r>
      <w:r>
        <w:rPr>
          <w:rFonts w:cs="Arial"/>
          <w:lang w:eastAsia="en-GB"/>
        </w:rPr>
        <w:t xml:space="preserve"> </w:t>
      </w:r>
      <w:r>
        <w:rPr>
          <w:rFonts w:cs="Arial"/>
          <w:b/>
          <w:szCs w:val="22"/>
          <w:lang w:val="en-US" w:eastAsia="en-GB" w:bidi="ar-SA"/>
        </w:rPr>
        <w:t>POL2 Update Via SM-DP</w:t>
      </w:r>
    </w:p>
    <w:p w14:paraId="723C939E" w14:textId="77777777" w:rsidR="00B97365" w:rsidRDefault="00000000">
      <w:pPr>
        <w:tabs>
          <w:tab w:val="left" w:pos="397"/>
          <w:tab w:val="right" w:pos="9015"/>
        </w:tabs>
        <w:spacing w:before="0" w:after="40" w:line="276" w:lineRule="auto"/>
        <w:ind w:left="397" w:right="680" w:hanging="397"/>
        <w:jc w:val="left"/>
        <w:rPr>
          <w:b/>
          <w:noProof/>
          <w:kern w:val="22"/>
          <w:szCs w:val="22"/>
        </w:rPr>
      </w:pPr>
      <w:bookmarkStart w:id="1862" w:name="_Toc420594385"/>
      <w:r>
        <w:rPr>
          <w:rFonts w:cs="Arial"/>
          <w:b/>
          <w:noProof/>
          <w:kern w:val="22"/>
          <w:szCs w:val="22"/>
        </w:rPr>
        <w:t>Start Conditions:</w:t>
      </w:r>
      <w:bookmarkEnd w:id="1862"/>
    </w:p>
    <w:p w14:paraId="18F808C4" w14:textId="2CBF3FBD" w:rsidR="00B97365" w:rsidRDefault="00000000">
      <w:pPr>
        <w:rPr>
          <w:rFonts w:eastAsia="Vodafone Rg" w:cs="Calibri"/>
          <w:bCs/>
          <w:kern w:val="22"/>
          <w:szCs w:val="22"/>
        </w:rPr>
      </w:pPr>
      <w:r>
        <w:rPr>
          <w:rFonts w:eastAsia="Vodafone Rg" w:cs="Calibri"/>
          <w:bCs/>
          <w:kern w:val="22"/>
          <w:szCs w:val="22"/>
        </w:rPr>
        <w:t xml:space="preserve">The start conditions are described in </w:t>
      </w:r>
      <w:r>
        <w:rPr>
          <w:szCs w:val="22"/>
          <w:lang w:val="en-US"/>
        </w:rPr>
        <w:t>GSMA Remote Provisioning Architecture for the Embedded UICC</w:t>
      </w:r>
      <w:r>
        <w:rPr>
          <w:rFonts w:eastAsia="Vodafone Rg" w:cs="Calibri"/>
          <w:bCs/>
          <w:kern w:val="22"/>
          <w:szCs w:val="22"/>
          <w:lang w:val="en-US"/>
        </w:rPr>
        <w:t xml:space="preserve"> </w:t>
      </w:r>
      <w:r>
        <w:rPr>
          <w:rFonts w:eastAsia="Vodafone Rg" w:cs="Calibri"/>
          <w:bCs/>
          <w:kern w:val="22"/>
          <w:szCs w:val="22"/>
        </w:rPr>
        <w:fldChar w:fldCharType="begin"/>
      </w:r>
      <w:r>
        <w:rPr>
          <w:rFonts w:eastAsia="Vodafone Rg" w:cs="Calibri"/>
          <w:bCs/>
          <w:kern w:val="22"/>
          <w:szCs w:val="22"/>
        </w:rPr>
        <w:instrText xml:space="preserve"> REF _Ref421631399 \r \h </w:instrText>
      </w:r>
      <w:r>
        <w:rPr>
          <w:rFonts w:eastAsia="Vodafone Rg" w:cs="Calibri"/>
          <w:bCs/>
          <w:kern w:val="22"/>
          <w:szCs w:val="22"/>
        </w:rPr>
      </w:r>
      <w:r>
        <w:rPr>
          <w:rFonts w:eastAsia="Vodafone Rg" w:cs="Calibri"/>
          <w:bCs/>
          <w:kern w:val="22"/>
          <w:szCs w:val="22"/>
        </w:rPr>
        <w:fldChar w:fldCharType="separate"/>
      </w:r>
      <w:r w:rsidR="001D5AD9">
        <w:rPr>
          <w:rFonts w:eastAsia="Vodafone Rg" w:cs="Calibri"/>
          <w:bCs/>
          <w:kern w:val="22"/>
          <w:szCs w:val="22"/>
        </w:rPr>
        <w:t>[1]</w:t>
      </w:r>
      <w:r>
        <w:rPr>
          <w:rFonts w:eastAsia="Vodafone Rg" w:cs="Calibri"/>
          <w:bCs/>
          <w:kern w:val="22"/>
          <w:szCs w:val="22"/>
        </w:rPr>
        <w:fldChar w:fldCharType="end"/>
      </w:r>
      <w:r>
        <w:rPr>
          <w:rFonts w:eastAsia="Vodafone Rg" w:cs="Calibri"/>
          <w:bCs/>
          <w:kern w:val="22"/>
          <w:szCs w:val="22"/>
        </w:rPr>
        <w:t>.</w:t>
      </w:r>
    </w:p>
    <w:p w14:paraId="7E74FE1F" w14:textId="77777777" w:rsidR="00B97365" w:rsidRDefault="00B97365">
      <w:pPr>
        <w:tabs>
          <w:tab w:val="left" w:pos="397"/>
          <w:tab w:val="right" w:pos="9015"/>
        </w:tabs>
        <w:spacing w:before="0" w:after="40" w:line="276" w:lineRule="auto"/>
        <w:ind w:left="397" w:right="680" w:hanging="397"/>
        <w:jc w:val="left"/>
        <w:rPr>
          <w:rFonts w:cs="Arial"/>
          <w:noProof/>
          <w:kern w:val="22"/>
          <w:szCs w:val="22"/>
        </w:rPr>
      </w:pPr>
      <w:bookmarkStart w:id="1863" w:name="_Toc420594386"/>
    </w:p>
    <w:p w14:paraId="6945F0EE" w14:textId="77777777" w:rsidR="00B97365" w:rsidRDefault="00000000">
      <w:pPr>
        <w:tabs>
          <w:tab w:val="left" w:pos="397"/>
          <w:tab w:val="right" w:pos="9015"/>
        </w:tabs>
        <w:spacing w:before="0" w:after="40" w:line="276" w:lineRule="auto"/>
        <w:ind w:left="397" w:right="680" w:hanging="397"/>
        <w:jc w:val="left"/>
        <w:rPr>
          <w:b/>
          <w:noProof/>
          <w:kern w:val="22"/>
          <w:szCs w:val="22"/>
        </w:rPr>
      </w:pPr>
      <w:r>
        <w:rPr>
          <w:rFonts w:cs="Arial"/>
          <w:b/>
          <w:noProof/>
          <w:kern w:val="22"/>
          <w:szCs w:val="22"/>
        </w:rPr>
        <w:t>Procedure:</w:t>
      </w:r>
      <w:bookmarkEnd w:id="1863"/>
    </w:p>
    <w:p w14:paraId="3B38DC76" w14:textId="677133E4" w:rsidR="00B97365" w:rsidRDefault="00000000">
      <w:pPr>
        <w:numPr>
          <w:ilvl w:val="0"/>
          <w:numId w:val="117"/>
        </w:numPr>
      </w:pPr>
      <w:r>
        <w:t>The Operator owner of the target Profile SHALL call the “</w:t>
      </w:r>
      <w:r>
        <w:rPr>
          <w:b/>
        </w:rPr>
        <w:t>ES2.UpdatePolicyRules</w:t>
      </w:r>
      <w:r>
        <w:t xml:space="preserve">” function with its relevant input data, as described in section </w:t>
      </w:r>
      <w:r>
        <w:fldChar w:fldCharType="begin"/>
      </w:r>
      <w:r>
        <w:instrText xml:space="preserve"> REF _Ref367978202 \r \h  \* MERGEFORMAT </w:instrText>
      </w:r>
      <w:r>
        <w:fldChar w:fldCharType="separate"/>
      </w:r>
      <w:r w:rsidR="001D5AD9">
        <w:t>5.3.3</w:t>
      </w:r>
      <w:r>
        <w:fldChar w:fldCharType="end"/>
      </w:r>
      <w:r>
        <w:t>, in particular the identification of the SM-SR in charge of the management of the target eUICC.</w:t>
      </w:r>
    </w:p>
    <w:p w14:paraId="0F6E7A54" w14:textId="4E4F45CD" w:rsidR="00B97365" w:rsidRDefault="00000000">
      <w:pPr>
        <w:numPr>
          <w:ilvl w:val="0"/>
          <w:numId w:val="117"/>
        </w:numPr>
      </w:pPr>
      <w:r>
        <w:t>The SM-DP SHALL forward the request to the SM-SR identified by the Operator and SHALL call the “</w:t>
      </w:r>
      <w:r>
        <w:rPr>
          <w:b/>
        </w:rPr>
        <w:t>ES3.UpdatePolicyRules</w:t>
      </w:r>
      <w:r>
        <w:t xml:space="preserve">” function with its relevant input data, as described in section </w:t>
      </w:r>
      <w:r>
        <w:fldChar w:fldCharType="begin"/>
      </w:r>
      <w:r>
        <w:instrText xml:space="preserve"> REF _Ref367972424 \r \h  \* MERGEFORMAT </w:instrText>
      </w:r>
      <w:r>
        <w:fldChar w:fldCharType="separate"/>
      </w:r>
      <w:r w:rsidR="001D5AD9">
        <w:t>5.4.6</w:t>
      </w:r>
      <w:r>
        <w:fldChar w:fldCharType="end"/>
      </w:r>
      <w:r>
        <w:t xml:space="preserve"> </w:t>
      </w:r>
    </w:p>
    <w:p w14:paraId="1C57ABBB" w14:textId="77777777" w:rsidR="00B97365" w:rsidRDefault="00000000">
      <w:pPr>
        <w:numPr>
          <w:ilvl w:val="0"/>
          <w:numId w:val="117"/>
        </w:numPr>
      </w:pPr>
      <w:r>
        <w:t>The SM-SR SHALL update the POL2 of the targeted eUICC’s EIS.</w:t>
      </w:r>
    </w:p>
    <w:p w14:paraId="6A63D5C9" w14:textId="77777777" w:rsidR="00B97365" w:rsidRDefault="00000000">
      <w:pPr>
        <w:numPr>
          <w:ilvl w:val="0"/>
          <w:numId w:val="117"/>
        </w:numPr>
      </w:pPr>
      <w:r>
        <w:t>The SM-SR SHALL return the execution status of the “</w:t>
      </w:r>
      <w:r>
        <w:rPr>
          <w:b/>
        </w:rPr>
        <w:t>ES3.UpdatePolicyRules</w:t>
      </w:r>
      <w:r>
        <w:t>” to the SM-DP.</w:t>
      </w:r>
    </w:p>
    <w:p w14:paraId="130D6A59" w14:textId="77777777" w:rsidR="00B97365" w:rsidRDefault="00000000">
      <w:pPr>
        <w:numPr>
          <w:ilvl w:val="0"/>
          <w:numId w:val="117"/>
        </w:numPr>
      </w:pPr>
      <w:r>
        <w:t>The SM-SR SHALL send the "</w:t>
      </w:r>
      <w:r>
        <w:rPr>
          <w:b/>
        </w:rPr>
        <w:t>ES4.HandleProfilePOL2UpdatedNotification</w:t>
      </w:r>
      <w:r>
        <w:t>" to a M2M SP, if authorised by Operator owning the Profile, indicating the updated POL2 rules according to chapter 5.1.1.2.2.</w:t>
      </w:r>
    </w:p>
    <w:p w14:paraId="04B58225" w14:textId="77777777" w:rsidR="00B97365" w:rsidRDefault="00000000">
      <w:pPr>
        <w:ind w:left="360"/>
      </w:pPr>
      <w:r>
        <w:lastRenderedPageBreak/>
        <w:t>If the M2M SP is another Operator directly connected to the SM-SR and it is authorised by the Operator owning the Profile, the SM-SR SHALL send this notification to this other Operator by calling the “</w:t>
      </w:r>
      <w:r>
        <w:rPr>
          <w:b/>
        </w:rPr>
        <w:t>ES4.</w:t>
      </w:r>
      <w:r>
        <w:rPr>
          <w:b/>
          <w:lang w:val="en-US"/>
        </w:rPr>
        <w:t>HandleProfilePOL2UpdatedNotification</w:t>
      </w:r>
      <w:r>
        <w:t>”.</w:t>
      </w:r>
    </w:p>
    <w:p w14:paraId="424E868E" w14:textId="77777777" w:rsidR="00B97365" w:rsidRDefault="00000000">
      <w:pPr>
        <w:ind w:left="360"/>
      </w:pPr>
      <w:r>
        <w:t>If the M2M SP is another Operator connected through its SM-DP and it is authorised by the Operator owning the Profile, the SM-SR SHALL send this notification to the SM-DP associated to this other Operator by calling the “</w:t>
      </w:r>
      <w:r>
        <w:rPr>
          <w:b/>
        </w:rPr>
        <w:t>ES3.</w:t>
      </w:r>
      <w:r>
        <w:rPr>
          <w:b/>
          <w:lang w:val="en-US"/>
        </w:rPr>
        <w:t>HandleProfilePOL2UpdatedNotification</w:t>
      </w:r>
      <w:r>
        <w:t>”.</w:t>
      </w:r>
    </w:p>
    <w:p w14:paraId="598CC981" w14:textId="77777777" w:rsidR="00B97365" w:rsidRDefault="00000000">
      <w:pPr>
        <w:ind w:left="360"/>
      </w:pPr>
      <w:r>
        <w:t>Then the SM-DP, on reception of this notification, SHALL forward it to the Operator, acting as the M2M SP, by calling the “</w:t>
      </w:r>
      <w:r>
        <w:rPr>
          <w:b/>
        </w:rPr>
        <w:t>ES2.</w:t>
      </w:r>
      <w:r>
        <w:rPr>
          <w:b/>
          <w:lang w:val="en-US"/>
        </w:rPr>
        <w:t>HandleProfilePOL2UpdatedNotification</w:t>
      </w:r>
      <w:r>
        <w:t>”</w:t>
      </w:r>
    </w:p>
    <w:p w14:paraId="091B447D" w14:textId="77777777" w:rsidR="00B97365" w:rsidRDefault="00000000">
      <w:pPr>
        <w:numPr>
          <w:ilvl w:val="0"/>
          <w:numId w:val="117"/>
        </w:numPr>
        <w:spacing w:before="0" w:after="200" w:line="276" w:lineRule="auto"/>
        <w:contextualSpacing/>
      </w:pPr>
      <w:r>
        <w:t>Finally, the SM-DP SHALL return the execution status of the “</w:t>
      </w:r>
      <w:r>
        <w:rPr>
          <w:b/>
        </w:rPr>
        <w:t>ES2.UpdatePolicyRules</w:t>
      </w:r>
      <w:r>
        <w:t>” command to the Operator.</w:t>
      </w:r>
    </w:p>
    <w:p w14:paraId="761F3517"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864" w:name="_Toc374345793"/>
      <w:bookmarkStart w:id="1865" w:name="_Toc374346139"/>
      <w:bookmarkStart w:id="1866" w:name="_Toc374346484"/>
      <w:bookmarkStart w:id="1867" w:name="_Toc374346830"/>
      <w:bookmarkStart w:id="1868" w:name="_Toc374345794"/>
      <w:bookmarkStart w:id="1869" w:name="_Toc374346140"/>
      <w:bookmarkStart w:id="1870" w:name="_Toc374346485"/>
      <w:bookmarkStart w:id="1871" w:name="_Toc374346831"/>
      <w:bookmarkStart w:id="1872" w:name="_Toc374345795"/>
      <w:bookmarkStart w:id="1873" w:name="_Toc374346141"/>
      <w:bookmarkStart w:id="1874" w:name="_Toc374346486"/>
      <w:bookmarkStart w:id="1875" w:name="_Toc374346832"/>
      <w:bookmarkStart w:id="1876" w:name="_Toc368932222"/>
      <w:bookmarkStart w:id="1877" w:name="_Toc374348495"/>
      <w:bookmarkStart w:id="1878" w:name="_Toc375158244"/>
      <w:bookmarkStart w:id="1879" w:name="_Toc398214828"/>
      <w:bookmarkStart w:id="1880" w:name="_Toc420594387"/>
      <w:bookmarkStart w:id="1881" w:name="_Toc421874287"/>
      <w:bookmarkStart w:id="1882" w:name="_Toc422150707"/>
      <w:bookmarkStart w:id="1883" w:name="_Toc448998233"/>
      <w:bookmarkStart w:id="1884" w:name="_Toc486332851"/>
      <w:bookmarkStart w:id="1885" w:name="_Toc1977272"/>
      <w:bookmarkStart w:id="1886" w:name="_Toc37062429"/>
      <w:bookmarkStart w:id="1887" w:name="_Toc88839534"/>
      <w:bookmarkStart w:id="1888" w:name="_Toc121503942"/>
      <w:bookmarkEnd w:id="1864"/>
      <w:bookmarkEnd w:id="1865"/>
      <w:bookmarkEnd w:id="1866"/>
      <w:bookmarkEnd w:id="1867"/>
      <w:bookmarkEnd w:id="1868"/>
      <w:bookmarkEnd w:id="1869"/>
      <w:bookmarkEnd w:id="1870"/>
      <w:bookmarkEnd w:id="1871"/>
      <w:bookmarkEnd w:id="1872"/>
      <w:bookmarkEnd w:id="1873"/>
      <w:bookmarkEnd w:id="1874"/>
      <w:bookmarkEnd w:id="1875"/>
      <w:r>
        <w:rPr>
          <w:rFonts w:eastAsia="Times New Roman" w:cs="Arial"/>
          <w:b/>
          <w:bCs/>
          <w:iCs/>
          <w:sz w:val="24"/>
          <w:szCs w:val="28"/>
          <w:lang w:eastAsia="en-US"/>
        </w:rPr>
        <w:t xml:space="preserve">POL1Update by </w:t>
      </w:r>
      <w:bookmarkEnd w:id="1876"/>
      <w:bookmarkEnd w:id="1877"/>
      <w:bookmarkEnd w:id="1878"/>
      <w:bookmarkEnd w:id="1879"/>
      <w:bookmarkEnd w:id="1880"/>
      <w:bookmarkEnd w:id="1881"/>
      <w:bookmarkEnd w:id="1882"/>
      <w:bookmarkEnd w:id="1883"/>
      <w:bookmarkEnd w:id="1884"/>
      <w:r>
        <w:rPr>
          <w:rFonts w:eastAsia="Times New Roman" w:cs="Arial"/>
          <w:b/>
          <w:bCs/>
          <w:iCs/>
          <w:sz w:val="24"/>
          <w:szCs w:val="28"/>
          <w:lang w:eastAsia="en-US"/>
        </w:rPr>
        <w:t>Operator</w:t>
      </w:r>
      <w:bookmarkEnd w:id="1885"/>
      <w:bookmarkEnd w:id="1886"/>
      <w:bookmarkEnd w:id="1887"/>
      <w:bookmarkEnd w:id="1888"/>
    </w:p>
    <w:p w14:paraId="2644B0B6" w14:textId="77777777" w:rsidR="00B97365" w:rsidRDefault="00000000">
      <w:pPr>
        <w:spacing w:before="0" w:after="200" w:line="276" w:lineRule="auto"/>
        <w:jc w:val="left"/>
        <w:rPr>
          <w:rFonts w:eastAsia="Vodafone Rg"/>
          <w:bCs/>
          <w:kern w:val="22"/>
          <w:szCs w:val="22"/>
          <w:lang w:eastAsia="en-GB" w:bidi="ar-SA"/>
        </w:rPr>
      </w:pPr>
      <w:r>
        <w:rPr>
          <w:rFonts w:eastAsia="Vodafone Rg" w:cs="Arial"/>
          <w:bCs/>
          <w:kern w:val="22"/>
          <w:szCs w:val="22"/>
          <w:lang w:eastAsia="en-GB" w:bidi="ar-SA"/>
        </w:rPr>
        <w:t>This procedure allows the Update of POL1 by the Operator via the ES6 interface.</w:t>
      </w:r>
      <w:r>
        <w:rPr>
          <w:szCs w:val="22"/>
          <w:lang w:val="en-US" w:eastAsia="en-GB" w:bidi="ar-SA"/>
        </w:rPr>
        <w:t xml:space="preserve"> For updating the POL1, the Operator SHALL use its OTA Keys hosted in the MNO-SD.</w:t>
      </w:r>
    </w:p>
    <w:p w14:paraId="343C0B9D" w14:textId="77777777" w:rsidR="00B97365" w:rsidRDefault="00000000">
      <w:pPr>
        <w:spacing w:before="0" w:after="200" w:line="276" w:lineRule="auto"/>
        <w:jc w:val="left"/>
        <w:rPr>
          <w:rFonts w:eastAsia="Vodafone Rg" w:cs="Arial"/>
          <w:bCs/>
          <w:kern w:val="22"/>
          <w:szCs w:val="22"/>
          <w:lang w:eastAsia="en-GB" w:bidi="ar-SA"/>
        </w:rPr>
      </w:pPr>
      <w:r>
        <w:rPr>
          <w:rFonts w:eastAsia="Vodafone Rg" w:cs="Arial"/>
          <w:bCs/>
          <w:kern w:val="22"/>
          <w:szCs w:val="22"/>
          <w:lang w:eastAsia="en-GB" w:bidi="ar-SA"/>
        </w:rPr>
        <w:t>The procedure illustrates the usage of SMS as a possible transport protocol between the Operator and eUICC, but can be also performed using other transport protocols.</w:t>
      </w:r>
    </w:p>
    <w:p w14:paraId="7E96432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@startuml</w:t>
      </w:r>
    </w:p>
    <w:p w14:paraId="659BF79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2B75C7B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607AFD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400</w:t>
      </w:r>
    </w:p>
    <w:p w14:paraId="694FE82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39896E6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685DC15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FCEB82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687B03E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5250E7F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04DFDA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“MNO-SD” as MNO #FFFFFF</w:t>
      </w:r>
    </w:p>
    <w:p w14:paraId="1ABC1C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“ISD-P” as ISDP #FFFFFF</w:t>
      </w:r>
    </w:p>
    <w:p w14:paraId="3DA132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6C0935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OP-&gt;&gt;MNO: (1) MT-SMS [POL1UpdateByMNO command]SCP80 (POL1)</w:t>
      </w:r>
    </w:p>
    <w:p w14:paraId="385DD0D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0222C16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MNO-&gt;&gt;ISDP: (2) POL1 Update command (POL1)</w:t>
      </w:r>
    </w:p>
    <w:p w14:paraId="0A61227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ISDP #FFFFF</w:t>
      </w:r>
    </w:p>
    <w:p w14:paraId="4B75127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ISD-P Update POL1</w:t>
      </w:r>
    </w:p>
    <w:p w14:paraId="6552562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2BF2B0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ISDP--&gt;&gt;MNO: (4) POL1 Update command response</w:t>
      </w:r>
    </w:p>
    <w:p w14:paraId="1AE2426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751A05E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MNO--&gt;&gt;OP: (5) MO-SMS [POL1UpdateByMNO command response]SCP80</w:t>
      </w:r>
    </w:p>
    <w:p w14:paraId="0260D6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58145151" w14:textId="77777777" w:rsidR="00B97365" w:rsidRDefault="00000000">
      <w:pPr>
        <w:jc w:val="center"/>
        <w:rPr>
          <w:rFonts w:eastAsia="Vodafone Rg" w:cs="Calibri"/>
          <w:kern w:val="22"/>
        </w:rPr>
      </w:pPr>
      <w:r>
        <w:rPr>
          <w:rFonts w:eastAsia="Vodafone Rg" w:cs="Calibri"/>
          <w:noProof/>
          <w:kern w:val="22"/>
          <w:lang w:eastAsia="en-GB" w:bidi="ar-SA"/>
        </w:rPr>
        <w:drawing>
          <wp:inline distT="0" distB="0" distL="0" distR="0" wp14:anchorId="4921C167" wp14:editId="2F0565A9">
            <wp:extent cx="5731510" cy="2087470"/>
            <wp:effectExtent l="0" t="0" r="2540" b="825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2087470"/>
                    </a:xfrm>
                    <a:prstGeom prst="rect">
                      <a:avLst/>
                    </a:prstGeom>
                  </pic:spPr>
                </pic:pic>
              </a:graphicData>
            </a:graphic>
          </wp:inline>
        </w:drawing>
      </w:r>
    </w:p>
    <w:p w14:paraId="1E8065B3"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POL1 Update Via Operator</w:t>
      </w:r>
    </w:p>
    <w:p w14:paraId="3ECA4344"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889" w:name="_Toc420594388"/>
      <w:r>
        <w:rPr>
          <w:rFonts w:cs="Arial"/>
          <w:b/>
          <w:noProof/>
          <w:szCs w:val="22"/>
          <w:lang w:eastAsia="en-GB" w:bidi="ar-SA"/>
        </w:rPr>
        <w:lastRenderedPageBreak/>
        <w:t>Start Conditions:</w:t>
      </w:r>
      <w:bookmarkEnd w:id="1889"/>
      <w:r>
        <w:rPr>
          <w:b/>
          <w:noProof/>
          <w:szCs w:val="22"/>
          <w:lang w:eastAsia="en-GB" w:bidi="ar-SA"/>
        </w:rPr>
        <w:t xml:space="preserve"> </w:t>
      </w:r>
    </w:p>
    <w:p w14:paraId="70836D3A" w14:textId="6DF80F0B"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p>
    <w:p w14:paraId="7D024EFD"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bookmarkStart w:id="1890" w:name="_Toc420594389"/>
      <w:r>
        <w:rPr>
          <w:rFonts w:cs="Arial"/>
          <w:b/>
          <w:noProof/>
          <w:szCs w:val="22"/>
          <w:lang w:eastAsia="en-GB" w:bidi="ar-SA"/>
        </w:rPr>
        <w:t>Procedure:</w:t>
      </w:r>
      <w:bookmarkEnd w:id="1890"/>
      <w:r>
        <w:rPr>
          <w:b/>
          <w:noProof/>
          <w:szCs w:val="22"/>
          <w:lang w:eastAsia="en-GB" w:bidi="ar-SA"/>
        </w:rPr>
        <w:t xml:space="preserve"> </w:t>
      </w:r>
    </w:p>
    <w:p w14:paraId="5C9D491A" w14:textId="46495DA3" w:rsidR="00B97365" w:rsidRDefault="00000000">
      <w:pPr>
        <w:numPr>
          <w:ilvl w:val="0"/>
          <w:numId w:val="118"/>
        </w:numPr>
      </w:pPr>
      <w:r>
        <w:t>The Operator owning the target Profile SHALL send a MT-SMS containing the “</w:t>
      </w:r>
      <w:r>
        <w:rPr>
          <w:b/>
        </w:rPr>
        <w:t>ES6.UpdatePOL1byMNO</w:t>
      </w:r>
      <w:r>
        <w:t xml:space="preserve">” function with its relevant input data (as described in section </w:t>
      </w:r>
      <w:r>
        <w:fldChar w:fldCharType="begin"/>
      </w:r>
      <w:r>
        <w:instrText xml:space="preserve"> REF _Ref367972492 \r \h  \* MERGEFORMAT </w:instrText>
      </w:r>
      <w:r>
        <w:fldChar w:fldCharType="separate"/>
      </w:r>
      <w:r w:rsidR="001D5AD9">
        <w:t>4.1.2.1</w:t>
      </w:r>
      <w:r>
        <w:fldChar w:fldCharType="end"/>
      </w:r>
      <w:r>
        <w:t xml:space="preserve">). </w:t>
      </w:r>
    </w:p>
    <w:p w14:paraId="190A5AC4" w14:textId="77777777" w:rsidR="00B97365" w:rsidRDefault="00000000">
      <w:pPr>
        <w:numPr>
          <w:ilvl w:val="0"/>
          <w:numId w:val="118"/>
        </w:numPr>
      </w:pPr>
      <w:r>
        <w:rPr>
          <w:lang w:val="en-US"/>
        </w:rPr>
        <w:t>The</w:t>
      </w:r>
      <w:r>
        <w:t xml:space="preserve"> MNO-SD receives this request and SHALL transfer it to the ISD-P with POL1 as input data.</w:t>
      </w:r>
    </w:p>
    <w:p w14:paraId="3D48CF65" w14:textId="77777777" w:rsidR="00B97365" w:rsidRDefault="00000000">
      <w:pPr>
        <w:numPr>
          <w:ilvl w:val="0"/>
          <w:numId w:val="118"/>
        </w:numPr>
      </w:pPr>
      <w:r>
        <w:t>The ISD-P SHALL process POL1 update of the target profile.</w:t>
      </w:r>
    </w:p>
    <w:p w14:paraId="2D492664" w14:textId="77777777" w:rsidR="00B97365" w:rsidRDefault="00000000">
      <w:pPr>
        <w:numPr>
          <w:ilvl w:val="0"/>
          <w:numId w:val="118"/>
        </w:numPr>
      </w:pPr>
      <w:r>
        <w:t>The ISD-P SHALL return the execution status of the “</w:t>
      </w:r>
      <w:r>
        <w:rPr>
          <w:b/>
        </w:rPr>
        <w:t>ES6.UpdatePOL1byMNO</w:t>
      </w:r>
      <w:r>
        <w:t>” to MNO-SD.</w:t>
      </w:r>
    </w:p>
    <w:p w14:paraId="6A5295DB" w14:textId="77777777" w:rsidR="00B97365" w:rsidRDefault="00000000">
      <w:pPr>
        <w:numPr>
          <w:ilvl w:val="0"/>
          <w:numId w:val="118"/>
        </w:numPr>
      </w:pPr>
      <w:r>
        <w:t>Finally, the MNO-SD SHALL return the MO-SMS containing the execution status of the “</w:t>
      </w:r>
      <w:r>
        <w:rPr>
          <w:b/>
        </w:rPr>
        <w:t>ES6.UpdatePOL1byMNO</w:t>
      </w:r>
      <w:r>
        <w:t>” command to the Operator.</w:t>
      </w:r>
    </w:p>
    <w:p w14:paraId="7D4BCFFE" w14:textId="77777777" w:rsidR="00B97365" w:rsidRDefault="00B97365">
      <w:pPr>
        <w:tabs>
          <w:tab w:val="left" w:pos="1560"/>
        </w:tabs>
        <w:spacing w:before="0" w:line="276" w:lineRule="auto"/>
        <w:ind w:left="1559" w:hanging="1202"/>
        <w:jc w:val="left"/>
        <w:rPr>
          <w:rFonts w:cs="Arial"/>
          <w:szCs w:val="22"/>
          <w:lang w:val="en-US" w:eastAsia="en-GB" w:bidi="ar-SA"/>
        </w:rPr>
      </w:pPr>
    </w:p>
    <w:p w14:paraId="60773084" w14:textId="3ED67EB2" w:rsidR="00B97365" w:rsidRDefault="00000000">
      <w:pPr>
        <w:tabs>
          <w:tab w:val="left" w:pos="1560"/>
        </w:tabs>
        <w:spacing w:before="0" w:after="200" w:line="276" w:lineRule="auto"/>
        <w:ind w:left="1559" w:hanging="1202"/>
        <w:jc w:val="left"/>
        <w:rPr>
          <w:szCs w:val="22"/>
          <w:lang w:eastAsia="en-GB" w:bidi="ar-SA"/>
        </w:rPr>
      </w:pPr>
      <w:r>
        <w:rPr>
          <w:rFonts w:cs="Arial"/>
          <w:szCs w:val="22"/>
          <w:lang w:val="en-US" w:eastAsia="en-GB" w:bidi="ar-SA"/>
        </w:rPr>
        <w:t xml:space="preserve">NOTE: </w:t>
      </w:r>
      <w:r>
        <w:rPr>
          <w:rFonts w:cs="Arial"/>
          <w:szCs w:val="22"/>
          <w:lang w:val="en-US" w:eastAsia="en-GB" w:bidi="ar-SA"/>
        </w:rPr>
        <w:tab/>
      </w:r>
      <w:r>
        <w:rPr>
          <w:szCs w:val="22"/>
          <w:lang w:eastAsia="en-GB" w:bidi="ar-SA"/>
        </w:rPr>
        <w:t xml:space="preserve">The MT-SMS and MO-SMS SHALL be secured according to section </w:t>
      </w:r>
      <w:r>
        <w:rPr>
          <w:szCs w:val="22"/>
          <w:lang w:eastAsia="en-GB" w:bidi="ar-SA"/>
        </w:rPr>
        <w:fldChar w:fldCharType="begin"/>
      </w:r>
      <w:r>
        <w:rPr>
          <w:szCs w:val="22"/>
          <w:lang w:eastAsia="en-GB" w:bidi="ar-SA"/>
        </w:rPr>
        <w:instrText xml:space="preserve"> REF _Ref367972506 \r \h  \* MERGEFORMAT </w:instrText>
      </w:r>
      <w:r>
        <w:rPr>
          <w:szCs w:val="22"/>
          <w:lang w:eastAsia="en-GB" w:bidi="ar-SA"/>
        </w:rPr>
      </w:r>
      <w:r>
        <w:rPr>
          <w:szCs w:val="22"/>
          <w:lang w:eastAsia="en-GB" w:bidi="ar-SA"/>
        </w:rPr>
        <w:fldChar w:fldCharType="separate"/>
      </w:r>
      <w:r w:rsidR="001D5AD9">
        <w:rPr>
          <w:szCs w:val="22"/>
          <w:lang w:eastAsia="en-GB" w:bidi="ar-SA"/>
        </w:rPr>
        <w:t>2.7</w:t>
      </w:r>
      <w:r>
        <w:rPr>
          <w:szCs w:val="22"/>
          <w:lang w:eastAsia="en-GB" w:bidi="ar-SA"/>
        </w:rPr>
        <w:fldChar w:fldCharType="end"/>
      </w:r>
      <w:r>
        <w:rPr>
          <w:szCs w:val="22"/>
          <w:lang w:eastAsia="en-GB" w:bidi="ar-SA"/>
        </w:rPr>
        <w:t>.</w:t>
      </w:r>
    </w:p>
    <w:p w14:paraId="578D31DC" w14:textId="77777777" w:rsidR="00B97365" w:rsidRDefault="00000000">
      <w:pPr>
        <w:tabs>
          <w:tab w:val="left" w:pos="1560"/>
        </w:tabs>
        <w:spacing w:before="0" w:after="200" w:line="276" w:lineRule="auto"/>
        <w:ind w:left="1559" w:hanging="1202"/>
        <w:jc w:val="left"/>
        <w:rPr>
          <w:szCs w:val="22"/>
          <w:lang w:eastAsia="en-GB" w:bidi="ar-SA"/>
        </w:rPr>
      </w:pPr>
      <w:r>
        <w:rPr>
          <w:rFonts w:cs="Arial"/>
          <w:szCs w:val="22"/>
          <w:lang w:val="en-US" w:eastAsia="en-GB" w:bidi="ar-SA"/>
        </w:rPr>
        <w:t>NOTE2:</w:t>
      </w:r>
      <w:r>
        <w:rPr>
          <w:szCs w:val="22"/>
          <w:lang w:eastAsia="en-GB" w:bidi="ar-SA"/>
        </w:rPr>
        <w:tab/>
        <w:t>If the ISD-P and its target profile has the Fall-Back Attribute set, POL1 with “Profile deletion is mandatory when it is disabled” set in this profile, then this POL1 rule will be ignored according to Sections 2.4 and 3.6.3.2 in GSMA Remote Provisioning Architecture for the Embedded UICC [1].</w:t>
      </w:r>
    </w:p>
    <w:p w14:paraId="5EBEB311"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891" w:name="_Toc448998234"/>
      <w:bookmarkStart w:id="1892" w:name="_Toc422150708"/>
      <w:bookmarkStart w:id="1893" w:name="_Toc421874288"/>
      <w:bookmarkStart w:id="1894" w:name="_Toc420594390"/>
      <w:bookmarkStart w:id="1895" w:name="_Toc398214829"/>
      <w:bookmarkStart w:id="1896" w:name="_Toc375158245"/>
      <w:bookmarkStart w:id="1897" w:name="_Toc374348496"/>
      <w:bookmarkStart w:id="1898" w:name="_Toc486332852"/>
      <w:bookmarkStart w:id="1899" w:name="_Toc1977273"/>
      <w:bookmarkStart w:id="1900" w:name="_Toc37062430"/>
      <w:bookmarkStart w:id="1901" w:name="_Toc88839535"/>
      <w:bookmarkStart w:id="1902" w:name="_Toc121503943"/>
      <w:r>
        <w:rPr>
          <w:rFonts w:eastAsia="Times New Roman" w:cs="Arial"/>
          <w:b/>
          <w:bCs/>
          <w:iCs/>
          <w:sz w:val="24"/>
          <w:szCs w:val="28"/>
          <w:lang w:eastAsia="en-US"/>
        </w:rPr>
        <w:t xml:space="preserve">Connectivity Parameters Update by </w:t>
      </w:r>
      <w:bookmarkEnd w:id="1891"/>
      <w:bookmarkEnd w:id="1892"/>
      <w:bookmarkEnd w:id="1893"/>
      <w:bookmarkEnd w:id="1894"/>
      <w:bookmarkEnd w:id="1895"/>
      <w:bookmarkEnd w:id="1896"/>
      <w:bookmarkEnd w:id="1897"/>
      <w:bookmarkEnd w:id="1898"/>
      <w:r>
        <w:rPr>
          <w:rFonts w:eastAsia="Times New Roman" w:cs="Arial"/>
          <w:b/>
          <w:bCs/>
          <w:iCs/>
          <w:sz w:val="24"/>
          <w:szCs w:val="28"/>
          <w:lang w:eastAsia="en-US"/>
        </w:rPr>
        <w:t>Operator</w:t>
      </w:r>
      <w:bookmarkEnd w:id="1899"/>
      <w:bookmarkEnd w:id="1900"/>
      <w:bookmarkEnd w:id="1901"/>
      <w:bookmarkEnd w:id="1902"/>
    </w:p>
    <w:p w14:paraId="54E86D7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procedure allows the update of the Connectivity Parameters by the Operator on the ES6 interface.</w:t>
      </w:r>
    </w:p>
    <w:p w14:paraId="73BC435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procedure illustrates the usage of SMS as a possible transport protocol between the Operator and eUICC, but can be also performed using other transport protocols.</w:t>
      </w:r>
    </w:p>
    <w:p w14:paraId="1870945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31F85DF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2039D7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65FBCD0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400</w:t>
      </w:r>
    </w:p>
    <w:p w14:paraId="07F5BEC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79A43F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2D2A59A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CBD7AC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1C1C502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053CC26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06FB1DD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“MNO-SD” as MNO #FFFFFF</w:t>
      </w:r>
    </w:p>
    <w:p w14:paraId="6AB4D0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“ISD-P” as ISDP #FFFFFF</w:t>
      </w:r>
    </w:p>
    <w:p w14:paraId="35A7AB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7C6B61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OP-&gt;&gt;MNO: (1) MT-SMS [Connectivity Parameters]SCP80</w:t>
      </w:r>
    </w:p>
    <w:p w14:paraId="3E7662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5EB52AF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MNO-&gt;&gt;ISDP: (2) Connectivity Parameters Update command</w:t>
      </w:r>
    </w:p>
    <w:p w14:paraId="673F34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ISDP #FFFFF</w:t>
      </w:r>
    </w:p>
    <w:p w14:paraId="7ECB37D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(3) ISD-P Update </w:t>
      </w:r>
    </w:p>
    <w:p w14:paraId="552A82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Connectivity Parameters</w:t>
      </w:r>
    </w:p>
    <w:p w14:paraId="5ADD86A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F845F5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ISDP--&gt;&gt;MNO: (4)  Connectivity Parameters Update response</w:t>
      </w:r>
    </w:p>
    <w:p w14:paraId="144A1A7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79E638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MNO--&gt;&gt;OP: (5) MO-SMS [Connectivity Parameters Update command response]SCP80</w:t>
      </w:r>
    </w:p>
    <w:p w14:paraId="100A992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01A1081E" w14:textId="77777777" w:rsidR="00B97365" w:rsidRDefault="00000000">
      <w:pPr>
        <w:jc w:val="center"/>
        <w:rPr>
          <w:rFonts w:cs="Calibri"/>
          <w:color w:val="0070C0"/>
          <w:u w:val="single"/>
          <w:lang w:val="en-US"/>
        </w:rPr>
      </w:pPr>
      <w:r>
        <w:rPr>
          <w:rFonts w:cs="Calibri"/>
          <w:noProof/>
          <w:color w:val="0070C0"/>
          <w:u w:val="single"/>
          <w:lang w:eastAsia="en-GB" w:bidi="ar-SA"/>
        </w:rPr>
        <w:drawing>
          <wp:inline distT="0" distB="0" distL="0" distR="0" wp14:anchorId="7D19C4AE" wp14:editId="609B4191">
            <wp:extent cx="5731510" cy="2250352"/>
            <wp:effectExtent l="0" t="0" r="254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2250352"/>
                    </a:xfrm>
                    <a:prstGeom prst="rect">
                      <a:avLst/>
                    </a:prstGeom>
                  </pic:spPr>
                </pic:pic>
              </a:graphicData>
            </a:graphic>
          </wp:inline>
        </w:drawing>
      </w:r>
    </w:p>
    <w:p w14:paraId="19C10FD0"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Connectivity Parameters Update by Operator</w:t>
      </w:r>
    </w:p>
    <w:p w14:paraId="1E8858C9"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903" w:name="_Toc420594391"/>
      <w:r>
        <w:rPr>
          <w:rFonts w:cs="Arial"/>
          <w:b/>
          <w:noProof/>
          <w:szCs w:val="22"/>
          <w:lang w:val="en-US" w:eastAsia="en-GB" w:bidi="ar-SA"/>
        </w:rPr>
        <w:t>Start condition:</w:t>
      </w:r>
      <w:bookmarkEnd w:id="1903"/>
    </w:p>
    <w:p w14:paraId="6FC2DB2A" w14:textId="77777777" w:rsidR="00B97365" w:rsidRDefault="00000000">
      <w:pPr>
        <w:rPr>
          <w:lang w:val="en-US" w:eastAsia="en-GB" w:bidi="ar-SA"/>
        </w:rPr>
      </w:pPr>
      <w:bookmarkStart w:id="1904" w:name="_Toc420594392"/>
      <w:r>
        <w:rPr>
          <w:rFonts w:cs="Arial"/>
          <w:lang w:val="en-US" w:eastAsia="en-GB" w:bidi="ar-SA"/>
        </w:rPr>
        <w:t>The Operator wants to update the Connectivity Parameters in their Profile</w:t>
      </w:r>
      <w:bookmarkEnd w:id="1904"/>
    </w:p>
    <w:p w14:paraId="215ECF09" w14:textId="77777777" w:rsidR="00B97365" w:rsidRDefault="00B97365">
      <w:pPr>
        <w:rPr>
          <w:lang w:val="en-US" w:eastAsia="en-GB" w:bidi="ar-SA"/>
        </w:rPr>
      </w:pPr>
    </w:p>
    <w:p w14:paraId="4D395660"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905" w:name="_Toc420594393"/>
      <w:r>
        <w:rPr>
          <w:rFonts w:cs="Arial"/>
          <w:b/>
          <w:noProof/>
          <w:szCs w:val="22"/>
          <w:lang w:val="en-US" w:eastAsia="en-GB" w:bidi="ar-SA"/>
        </w:rPr>
        <w:t>Procedure:</w:t>
      </w:r>
      <w:bookmarkEnd w:id="1905"/>
    </w:p>
    <w:p w14:paraId="2BB36D01" w14:textId="77777777" w:rsidR="00B97365" w:rsidRDefault="00000000">
      <w:pPr>
        <w:numPr>
          <w:ilvl w:val="0"/>
          <w:numId w:val="119"/>
        </w:numPr>
        <w:rPr>
          <w:rFonts w:cs="Arial"/>
          <w:lang w:val="en-US"/>
        </w:rPr>
      </w:pPr>
      <w:r>
        <w:rPr>
          <w:rFonts w:cs="Arial"/>
          <w:lang w:val="en-US"/>
        </w:rPr>
        <w:t>The Operator owning the target Profile SHALL send a MT-SMS containing the Connectivity Parameters to the MNO-SD.</w:t>
      </w:r>
    </w:p>
    <w:p w14:paraId="1D6987D2" w14:textId="77777777" w:rsidR="00B97365" w:rsidRDefault="00000000">
      <w:pPr>
        <w:numPr>
          <w:ilvl w:val="0"/>
          <w:numId w:val="119"/>
        </w:numPr>
        <w:rPr>
          <w:rFonts w:cs="Arial"/>
          <w:lang w:val="en-US"/>
        </w:rPr>
      </w:pPr>
      <w:r>
        <w:rPr>
          <w:rFonts w:cs="Arial"/>
          <w:lang w:val="en-US"/>
        </w:rPr>
        <w:t>The MNO-SD SHALL transfer the Connectivity Parameters to the ISD-P.</w:t>
      </w:r>
    </w:p>
    <w:p w14:paraId="748C4F90" w14:textId="77777777" w:rsidR="00B97365" w:rsidRDefault="00000000">
      <w:pPr>
        <w:numPr>
          <w:ilvl w:val="0"/>
          <w:numId w:val="119"/>
        </w:numPr>
        <w:rPr>
          <w:rFonts w:cs="Arial"/>
          <w:lang w:val="en-US"/>
        </w:rPr>
      </w:pPr>
      <w:r>
        <w:rPr>
          <w:rFonts w:cs="Arial"/>
          <w:lang w:val="en-US"/>
        </w:rPr>
        <w:t>The ISD-P SHALL update the Connectivity Parameters.</w:t>
      </w:r>
    </w:p>
    <w:p w14:paraId="45D54411" w14:textId="77777777" w:rsidR="00B97365" w:rsidRDefault="00000000">
      <w:pPr>
        <w:numPr>
          <w:ilvl w:val="0"/>
          <w:numId w:val="119"/>
        </w:numPr>
        <w:rPr>
          <w:rFonts w:cs="Arial"/>
          <w:lang w:val="en-US"/>
        </w:rPr>
      </w:pPr>
      <w:r>
        <w:rPr>
          <w:lang w:val="en-US"/>
        </w:rPr>
        <w:t>The</w:t>
      </w:r>
      <w:r>
        <w:rPr>
          <w:rFonts w:cs="Arial"/>
          <w:lang w:val="en-US"/>
        </w:rPr>
        <w:t xml:space="preserve"> ISD-P SHALL return the execution status to the MNO-SD.</w:t>
      </w:r>
    </w:p>
    <w:p w14:paraId="21A12AA7" w14:textId="77777777" w:rsidR="00B97365" w:rsidRDefault="00000000">
      <w:pPr>
        <w:numPr>
          <w:ilvl w:val="0"/>
          <w:numId w:val="119"/>
        </w:numPr>
        <w:rPr>
          <w:rFonts w:cs="Arial"/>
          <w:lang w:val="en-US"/>
        </w:rPr>
      </w:pPr>
      <w:r>
        <w:rPr>
          <w:rFonts w:cs="Arial"/>
          <w:lang w:val="en-US"/>
        </w:rPr>
        <w:t>The MNO-SD SHALL send the MO-SMS containing the execution status to the Operator.</w:t>
      </w:r>
    </w:p>
    <w:p w14:paraId="3EEE006A" w14:textId="77777777" w:rsidR="00B97365" w:rsidRDefault="00B97365">
      <w:pPr>
        <w:rPr>
          <w:rFonts w:cs="Arial"/>
          <w:lang w:val="en-US"/>
        </w:rPr>
      </w:pPr>
    </w:p>
    <w:p w14:paraId="4B92C1BE" w14:textId="07F477E1" w:rsidR="00B97365" w:rsidRDefault="00000000">
      <w:pPr>
        <w:tabs>
          <w:tab w:val="left" w:pos="1560"/>
        </w:tabs>
        <w:spacing w:before="0" w:after="200" w:line="276" w:lineRule="auto"/>
        <w:ind w:left="1559" w:hanging="1202"/>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The MT-SMS and MO-SMS SHALL be secured according to section </w:t>
      </w:r>
      <w:r>
        <w:fldChar w:fldCharType="begin"/>
      </w:r>
      <w:r>
        <w:instrText xml:space="preserve"> REF _Ref367972576 \r \h  \* MERGEFORMAT </w:instrText>
      </w:r>
      <w:r>
        <w:fldChar w:fldCharType="separate"/>
      </w:r>
      <w:r w:rsidR="001D5AD9" w:rsidRPr="001D5AD9">
        <w:rPr>
          <w:rFonts w:cs="Arial"/>
          <w:szCs w:val="22"/>
          <w:lang w:val="en-US" w:eastAsia="en-GB" w:bidi="ar-SA"/>
        </w:rPr>
        <w:t>2.7</w:t>
      </w:r>
      <w:r>
        <w:fldChar w:fldCharType="end"/>
      </w:r>
      <w:r>
        <w:rPr>
          <w:rFonts w:cs="Arial"/>
          <w:szCs w:val="22"/>
          <w:lang w:val="en-US" w:eastAsia="en-GB" w:bidi="ar-SA"/>
        </w:rPr>
        <w:t>.</w:t>
      </w:r>
    </w:p>
    <w:p w14:paraId="581F6AB1"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906" w:name="_Toc448998235"/>
      <w:bookmarkStart w:id="1907" w:name="_Toc422150709"/>
      <w:bookmarkStart w:id="1908" w:name="_Toc421874289"/>
      <w:bookmarkStart w:id="1909" w:name="_Toc420594394"/>
      <w:bookmarkStart w:id="1910" w:name="_Toc398214830"/>
      <w:bookmarkStart w:id="1911" w:name="_Toc375158246"/>
      <w:bookmarkStart w:id="1912" w:name="_Toc374348497"/>
      <w:bookmarkStart w:id="1913" w:name="_Toc373757372"/>
      <w:bookmarkStart w:id="1914" w:name="_Toc486332853"/>
      <w:bookmarkStart w:id="1915" w:name="_Toc1977274"/>
      <w:bookmarkStart w:id="1916" w:name="_Toc37062431"/>
      <w:bookmarkStart w:id="1917" w:name="_Toc88839536"/>
      <w:bookmarkStart w:id="1918" w:name="_Toc121503944"/>
      <w:r>
        <w:rPr>
          <w:rFonts w:eastAsia="Times New Roman" w:cs="Arial"/>
          <w:b/>
          <w:bCs/>
          <w:iCs/>
          <w:sz w:val="24"/>
          <w:szCs w:val="28"/>
          <w:lang w:eastAsia="en-US"/>
        </w:rPr>
        <w:lastRenderedPageBreak/>
        <w:t xml:space="preserve">Connectivity Parameters Update </w:t>
      </w:r>
      <w:r>
        <w:rPr>
          <w:rFonts w:eastAsia="Times New Roman" w:cs="Arial"/>
          <w:b/>
          <w:sz w:val="24"/>
          <w:szCs w:val="28"/>
          <w:lang w:eastAsia="en-US"/>
        </w:rPr>
        <w:t>Using SCP03</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484CEBE1" w14:textId="77777777" w:rsidR="00B97365" w:rsidRDefault="00000000">
      <w:pPr>
        <w:rPr>
          <w:rFonts w:cs="Calibri"/>
          <w:szCs w:val="22"/>
        </w:rPr>
      </w:pPr>
      <w:r>
        <w:rPr>
          <w:rFonts w:cs="Calibri"/>
          <w:szCs w:val="22"/>
        </w:rPr>
        <w:t>This procedure allows the update of the Connectivity Parameters using SCP03by the SM-DP on the ES8 interface.</w:t>
      </w:r>
    </w:p>
    <w:p w14:paraId="4A01FFF0" w14:textId="77777777" w:rsidR="00B97365" w:rsidRDefault="00000000">
      <w:pPr>
        <w:rPr>
          <w:rFonts w:cs="Calibri"/>
          <w:szCs w:val="22"/>
        </w:rPr>
      </w:pPr>
      <w:r>
        <w:rPr>
          <w:rFonts w:cs="Calibri"/>
          <w:szCs w:val="22"/>
        </w:rPr>
        <w:t>The procedure illustrates the usage of SMS as a possible transport protocol between the SM-SR and eUICC, where ISD-R is in charge of encapsulating the data in SCP80,. Other transport protocols such as HTTPS or CAT-TP can be used.</w:t>
      </w:r>
    </w:p>
    <w:p w14:paraId="49C474ED" w14:textId="77777777" w:rsidR="00B97365" w:rsidRDefault="00B97365">
      <w:pPr>
        <w:rPr>
          <w:rFonts w:cs="Calibri"/>
          <w:szCs w:val="22"/>
        </w:rPr>
      </w:pPr>
    </w:p>
    <w:p w14:paraId="10C680A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@startuml</w:t>
      </w:r>
    </w:p>
    <w:p w14:paraId="2A42C8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5F01BA2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604FF1D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400</w:t>
      </w:r>
    </w:p>
    <w:p w14:paraId="75FDA65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1EE40EC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2E17F62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84A4A4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051023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“Operator/SM-DP” as OP #FFFFFF</w:t>
      </w:r>
    </w:p>
    <w:p w14:paraId="573602F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4E1D548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5641078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17CB88C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“ISD-P” as ISDP #FFFFFF</w:t>
      </w:r>
    </w:p>
    <w:p w14:paraId="764A60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1E71838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OP-&gt;&gt;SR: (1) UpdateConnectivityParametersSCP03\nCommand(Connectivity Parameters SCP03)</w:t>
      </w:r>
    </w:p>
    <w:p w14:paraId="03CEA1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(2)  MT-SMS [Connectivity Parameters SCP03]SCP80</w:t>
      </w:r>
    </w:p>
    <w:p w14:paraId="290E5AE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ISDR-&gt;&gt;ISDP: (3) (Connectivity Parameters SCP03)</w:t>
      </w:r>
    </w:p>
    <w:p w14:paraId="26C2A45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ISDP #FFFFF</w:t>
      </w:r>
    </w:p>
    <w:p w14:paraId="142775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(4) ISD-P Update </w:t>
      </w:r>
    </w:p>
    <w:p w14:paraId="48D645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Connectivity Parameters</w:t>
      </w:r>
    </w:p>
    <w:p w14:paraId="5F2E281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8C5CBC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ISDP--&gt;&gt;ISDR: (5) Connectivity Parameters Update response</w:t>
      </w:r>
    </w:p>
    <w:p w14:paraId="2726A8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111CB8E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[Connectivity Parameters Update command response]SCP80</w:t>
      </w:r>
    </w:p>
    <w:p w14:paraId="15ED8E8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(7) UpdateConnectivityParametersSCP03 Result</w:t>
      </w:r>
    </w:p>
    <w:p w14:paraId="558144A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5B34A22C" w14:textId="77777777" w:rsidR="00B97365" w:rsidRDefault="00B97365">
      <w:pPr>
        <w:rPr>
          <w:rFonts w:cs="Calibri"/>
          <w:szCs w:val="22"/>
        </w:rPr>
      </w:pPr>
    </w:p>
    <w:p w14:paraId="0D3E5F75" w14:textId="77777777" w:rsidR="00B97365" w:rsidRDefault="00000000">
      <w:pPr>
        <w:rPr>
          <w:rFonts w:cs="Calibri"/>
          <w:szCs w:val="22"/>
        </w:rPr>
      </w:pPr>
      <w:r>
        <w:rPr>
          <w:rFonts w:cs="Calibri"/>
          <w:noProof/>
          <w:szCs w:val="22"/>
          <w:lang w:eastAsia="en-GB" w:bidi="ar-SA"/>
        </w:rPr>
        <w:drawing>
          <wp:inline distT="0" distB="0" distL="0" distR="0" wp14:anchorId="3F2F4958" wp14:editId="141D7D81">
            <wp:extent cx="5731510" cy="1913565"/>
            <wp:effectExtent l="0" t="0" r="254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1913565"/>
                    </a:xfrm>
                    <a:prstGeom prst="rect">
                      <a:avLst/>
                    </a:prstGeom>
                  </pic:spPr>
                </pic:pic>
              </a:graphicData>
            </a:graphic>
          </wp:inline>
        </w:drawing>
      </w:r>
    </w:p>
    <w:p w14:paraId="2CE0CD71"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Connectivity Parameters Update Using SCP03</w:t>
      </w:r>
    </w:p>
    <w:p w14:paraId="47363BE5" w14:textId="60F9D0A9" w:rsidR="00B97365" w:rsidRDefault="00000000">
      <w:pPr>
        <w:rPr>
          <w:rFonts w:cs="Calibri"/>
          <w:szCs w:val="22"/>
        </w:rPr>
      </w:pPr>
      <w:r>
        <w:rPr>
          <w:rFonts w:cs="Calibri"/>
          <w:szCs w:val="22"/>
        </w:rPr>
        <w:t xml:space="preserve">The start conditions are described in </w:t>
      </w:r>
      <w:r>
        <w:rPr>
          <w:rFonts w:cs="Calibri"/>
          <w:szCs w:val="22"/>
        </w:rPr>
        <w:fldChar w:fldCharType="begin"/>
      </w:r>
      <w:r>
        <w:rPr>
          <w:rFonts w:cs="Calibri"/>
          <w:szCs w:val="22"/>
        </w:rPr>
        <w:instrText xml:space="preserve"> REF _Ref421631399 \r \h </w:instrText>
      </w:r>
      <w:r>
        <w:rPr>
          <w:rFonts w:cs="Calibri"/>
          <w:szCs w:val="22"/>
        </w:rPr>
      </w:r>
      <w:r>
        <w:rPr>
          <w:rFonts w:cs="Calibri"/>
          <w:szCs w:val="22"/>
        </w:rPr>
        <w:fldChar w:fldCharType="separate"/>
      </w:r>
      <w:r w:rsidR="001D5AD9">
        <w:rPr>
          <w:rFonts w:cs="Calibri"/>
          <w:szCs w:val="22"/>
        </w:rPr>
        <w:t>[1]</w:t>
      </w:r>
      <w:r>
        <w:rPr>
          <w:rFonts w:cs="Calibri"/>
          <w:szCs w:val="22"/>
        </w:rPr>
        <w:fldChar w:fldCharType="end"/>
      </w:r>
      <w:r>
        <w:rPr>
          <w:rFonts w:cs="Calibri"/>
          <w:szCs w:val="22"/>
        </w:rPr>
        <w:t>.</w:t>
      </w:r>
    </w:p>
    <w:p w14:paraId="06A4A3DA" w14:textId="1C4DAE8D" w:rsidR="00B97365" w:rsidRDefault="00000000">
      <w:pPr>
        <w:numPr>
          <w:ilvl w:val="0"/>
          <w:numId w:val="120"/>
        </w:numPr>
        <w:rPr>
          <w:rFonts w:cs="Arial"/>
          <w:lang w:val="en-US"/>
        </w:rPr>
      </w:pPr>
      <w:r>
        <w:rPr>
          <w:rFonts w:cs="Arial"/>
          <w:lang w:val="en-US"/>
        </w:rPr>
        <w:t>The Operator, or the SM-DP, on behalf of the Operator owning the target Profile, SHALL send a request containing “</w:t>
      </w:r>
      <w:r>
        <w:rPr>
          <w:rFonts w:cs="Arial"/>
          <w:b/>
          <w:lang w:val="en-US"/>
        </w:rPr>
        <w:t>ES3.UpdateConnectivityParameters</w:t>
      </w:r>
      <w:r>
        <w:rPr>
          <w:rFonts w:cs="Arial"/>
          <w:lang w:val="en-US"/>
        </w:rPr>
        <w:t xml:space="preserve">” function with its relevant input data (as described in section </w:t>
      </w:r>
      <w:r>
        <w:fldChar w:fldCharType="begin"/>
      </w:r>
      <w:r>
        <w:instrText xml:space="preserve"> REF _Ref367972424 \r \h  \* MERGEFORMAT </w:instrText>
      </w:r>
      <w:r>
        <w:fldChar w:fldCharType="separate"/>
      </w:r>
      <w:r w:rsidR="001D5AD9" w:rsidRPr="001D5AD9">
        <w:rPr>
          <w:rFonts w:cs="Arial"/>
          <w:lang w:val="en-US"/>
        </w:rPr>
        <w:t>5.4.6</w:t>
      </w:r>
      <w:r>
        <w:fldChar w:fldCharType="end"/>
      </w:r>
      <w:r>
        <w:rPr>
          <w:rFonts w:cs="Arial"/>
          <w:lang w:val="en-US"/>
        </w:rPr>
        <w:t xml:space="preserve">). The &lt;data&gt; parameter SHALL contain an SCP03 script as defined in section </w:t>
      </w:r>
      <w:r>
        <w:fldChar w:fldCharType="begin"/>
      </w:r>
      <w:r>
        <w:instrText xml:space="preserve"> REF _Ref373503706 \r \h  \* MERGEFORMAT </w:instrText>
      </w:r>
      <w:r>
        <w:fldChar w:fldCharType="separate"/>
      </w:r>
      <w:r w:rsidR="001D5AD9" w:rsidRPr="001D5AD9">
        <w:rPr>
          <w:rFonts w:cs="Arial"/>
          <w:lang w:val="en-US"/>
        </w:rPr>
        <w:t>4.1.3.2</w:t>
      </w:r>
      <w:r>
        <w:fldChar w:fldCharType="end"/>
      </w:r>
      <w:r>
        <w:rPr>
          <w:rFonts w:cs="Arial"/>
          <w:lang w:val="en-US"/>
        </w:rPr>
        <w:t xml:space="preserve"> including the command “</w:t>
      </w:r>
      <w:r>
        <w:rPr>
          <w:rFonts w:cs="Arial"/>
          <w:b/>
          <w:lang w:val="en-US"/>
        </w:rPr>
        <w:t>ES8.UpdateConnectivityParametersSCP03</w:t>
      </w:r>
      <w:r>
        <w:rPr>
          <w:rFonts w:cs="Arial"/>
          <w:lang w:val="en-US"/>
        </w:rPr>
        <w:t>”</w:t>
      </w:r>
    </w:p>
    <w:p w14:paraId="752E85A2" w14:textId="77777777" w:rsidR="00B97365" w:rsidRDefault="00000000">
      <w:pPr>
        <w:numPr>
          <w:ilvl w:val="0"/>
          <w:numId w:val="120"/>
        </w:numPr>
        <w:rPr>
          <w:rFonts w:cs="Arial"/>
          <w:lang w:val="en-US"/>
        </w:rPr>
      </w:pPr>
      <w:r>
        <w:rPr>
          <w:lang w:val="en-US"/>
        </w:rPr>
        <w:lastRenderedPageBreak/>
        <w:t>The</w:t>
      </w:r>
      <w:r>
        <w:rPr>
          <w:rFonts w:cs="Arial"/>
          <w:lang w:val="en-US"/>
        </w:rPr>
        <w:t xml:space="preserve"> SM-SR SHALL send a ciphered MT-SMS using SCP80 containing the ciphered data provided by the SM-DP, to the ISD-P TAR according to section 2.5.</w:t>
      </w:r>
    </w:p>
    <w:p w14:paraId="14C994D6" w14:textId="77777777" w:rsidR="00B97365" w:rsidRDefault="00000000">
      <w:pPr>
        <w:numPr>
          <w:ilvl w:val="0"/>
          <w:numId w:val="120"/>
        </w:numPr>
        <w:rPr>
          <w:rFonts w:cs="Arial"/>
          <w:lang w:val="en-US"/>
        </w:rPr>
      </w:pPr>
      <w:r>
        <w:rPr>
          <w:rFonts w:cs="Arial"/>
          <w:lang w:val="en-US"/>
        </w:rPr>
        <w:t>The ISD-R SHALL transfer the &lt;data&gt; to the ISD-P.</w:t>
      </w:r>
    </w:p>
    <w:p w14:paraId="145F8852" w14:textId="77777777" w:rsidR="00B97365" w:rsidRDefault="00000000">
      <w:pPr>
        <w:numPr>
          <w:ilvl w:val="0"/>
          <w:numId w:val="120"/>
        </w:numPr>
        <w:rPr>
          <w:rFonts w:cs="Arial"/>
          <w:lang w:val="en-US"/>
        </w:rPr>
      </w:pPr>
      <w:r>
        <w:rPr>
          <w:rFonts w:cs="Arial"/>
          <w:lang w:val="en-US"/>
        </w:rPr>
        <w:t>The ISD-P SHALL update the Connectivity Parameters.</w:t>
      </w:r>
    </w:p>
    <w:p w14:paraId="2FFD7C92" w14:textId="77777777" w:rsidR="00B97365" w:rsidRDefault="00000000">
      <w:pPr>
        <w:numPr>
          <w:ilvl w:val="0"/>
          <w:numId w:val="120"/>
        </w:numPr>
        <w:rPr>
          <w:rFonts w:cs="Arial"/>
          <w:lang w:val="en-US"/>
        </w:rPr>
      </w:pPr>
      <w:r>
        <w:rPr>
          <w:rFonts w:cs="Arial"/>
          <w:lang w:val="en-US"/>
        </w:rPr>
        <w:t>The ISD-P SHALL return the execution status of the “</w:t>
      </w:r>
      <w:r>
        <w:rPr>
          <w:rFonts w:cs="Arial"/>
          <w:b/>
          <w:lang w:val="en-US"/>
        </w:rPr>
        <w:t>ES8.UpdateConnectivityParametersSCP03</w:t>
      </w:r>
      <w:r>
        <w:rPr>
          <w:rFonts w:cs="Arial"/>
          <w:lang w:val="en-US"/>
        </w:rPr>
        <w:t>” to ISD-R.</w:t>
      </w:r>
    </w:p>
    <w:p w14:paraId="2AA0AB28" w14:textId="77777777" w:rsidR="00B97365" w:rsidRDefault="00000000">
      <w:pPr>
        <w:numPr>
          <w:ilvl w:val="0"/>
          <w:numId w:val="120"/>
        </w:numPr>
        <w:rPr>
          <w:rFonts w:cs="Arial"/>
          <w:lang w:val="en-US"/>
        </w:rPr>
      </w:pPr>
      <w:r>
        <w:rPr>
          <w:rFonts w:cs="Arial"/>
          <w:lang w:val="en-US"/>
        </w:rPr>
        <w:t>The ISD-R SHALL send the ciphered MO-SMS containing the execution status of the “</w:t>
      </w:r>
      <w:r>
        <w:rPr>
          <w:rFonts w:cs="Arial"/>
          <w:b/>
          <w:lang w:val="en-US"/>
        </w:rPr>
        <w:t>ES8.UpdateConnectivityParametersSCP03</w:t>
      </w:r>
      <w:r>
        <w:rPr>
          <w:rFonts w:cs="Arial"/>
          <w:lang w:val="en-US"/>
        </w:rPr>
        <w:t>” command to the SM-SR. This execution status is sent from the ISD-P TAR and the ISD-R SHALL apply the security through the SCP80 to this MO-SMS.</w:t>
      </w:r>
    </w:p>
    <w:p w14:paraId="70D2E742" w14:textId="77777777" w:rsidR="00B97365" w:rsidRDefault="00000000">
      <w:pPr>
        <w:numPr>
          <w:ilvl w:val="0"/>
          <w:numId w:val="120"/>
        </w:numPr>
        <w:rPr>
          <w:rFonts w:cs="Arial"/>
          <w:lang w:val="en-US"/>
        </w:rPr>
      </w:pPr>
      <w:r>
        <w:rPr>
          <w:rFonts w:cs="Arial"/>
          <w:lang w:val="en-US"/>
        </w:rPr>
        <w:t>Finally, the SM-SR SHALL return the execution status of the “</w:t>
      </w:r>
      <w:r>
        <w:rPr>
          <w:rFonts w:cs="Arial"/>
          <w:b/>
          <w:lang w:val="en-US"/>
        </w:rPr>
        <w:t>ES3.UpdateConnectivityParameters</w:t>
      </w:r>
      <w:r>
        <w:rPr>
          <w:rFonts w:cs="Arial"/>
          <w:lang w:val="en-US"/>
        </w:rPr>
        <w:t>” command to the SM-DP.</w:t>
      </w:r>
    </w:p>
    <w:p w14:paraId="65FEC4FD" w14:textId="77777777" w:rsidR="00B97365" w:rsidRDefault="00B97365">
      <w:pPr>
        <w:tabs>
          <w:tab w:val="left" w:pos="1560"/>
        </w:tabs>
        <w:spacing w:before="0" w:line="276" w:lineRule="auto"/>
        <w:ind w:left="1559" w:hanging="1202"/>
        <w:jc w:val="left"/>
        <w:rPr>
          <w:rFonts w:cs="Arial"/>
          <w:szCs w:val="22"/>
          <w:lang w:val="en-US" w:eastAsia="en-GB" w:bidi="ar-SA"/>
        </w:rPr>
      </w:pPr>
    </w:p>
    <w:p w14:paraId="79D7FB0B" w14:textId="5FC7CD6C" w:rsidR="00B97365" w:rsidRDefault="00000000">
      <w:pPr>
        <w:tabs>
          <w:tab w:val="left" w:pos="1560"/>
        </w:tabs>
        <w:spacing w:before="0" w:after="200" w:line="276" w:lineRule="auto"/>
        <w:ind w:left="1559" w:hanging="1202"/>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The MT-SMS and MO-SMS SHALL be secured according to section </w:t>
      </w:r>
      <w:r>
        <w:fldChar w:fldCharType="begin"/>
      </w:r>
      <w:r>
        <w:instrText xml:space="preserve"> REF _Ref481766542 \r \h </w:instrText>
      </w:r>
      <w:r>
        <w:fldChar w:fldCharType="separate"/>
      </w:r>
      <w:r w:rsidR="001D5AD9">
        <w:t>2.2.5</w:t>
      </w:r>
      <w:r>
        <w:fldChar w:fldCharType="end"/>
      </w:r>
    </w:p>
    <w:p w14:paraId="6DC6CCBB"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919" w:name="_Toc374345799"/>
      <w:bookmarkStart w:id="1920" w:name="_Toc374346145"/>
      <w:bookmarkStart w:id="1921" w:name="_Toc374346490"/>
      <w:bookmarkStart w:id="1922" w:name="_Toc374346836"/>
      <w:bookmarkStart w:id="1923" w:name="_Ref373309612"/>
      <w:bookmarkStart w:id="1924" w:name="_Toc373757373"/>
      <w:bookmarkStart w:id="1925" w:name="_Toc374348498"/>
      <w:bookmarkStart w:id="1926" w:name="_Toc375158247"/>
      <w:bookmarkStart w:id="1927" w:name="_Toc398214831"/>
      <w:bookmarkStart w:id="1928" w:name="_Toc420594395"/>
      <w:bookmarkStart w:id="1929" w:name="_Toc421874290"/>
      <w:bookmarkStart w:id="1930" w:name="_Toc422150710"/>
      <w:bookmarkStart w:id="1931" w:name="_Toc448998236"/>
      <w:bookmarkStart w:id="1932" w:name="_Toc486332854"/>
      <w:bookmarkStart w:id="1933" w:name="_Toc1977275"/>
      <w:bookmarkStart w:id="1934" w:name="_Toc37062432"/>
      <w:bookmarkStart w:id="1935" w:name="_Toc88839537"/>
      <w:bookmarkStart w:id="1936" w:name="_Toc121503945"/>
      <w:bookmarkEnd w:id="1919"/>
      <w:bookmarkEnd w:id="1920"/>
      <w:bookmarkEnd w:id="1921"/>
      <w:bookmarkEnd w:id="1922"/>
      <w:r>
        <w:rPr>
          <w:rFonts w:eastAsia="Times New Roman" w:cs="Arial"/>
          <w:b/>
          <w:bCs/>
          <w:iCs/>
          <w:sz w:val="24"/>
          <w:szCs w:val="28"/>
          <w:lang w:eastAsia="en-US"/>
        </w:rPr>
        <w:t>Default Notification Procedure</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7EA905F6" w14:textId="77777777" w:rsidR="00B97365" w:rsidRDefault="00000000">
      <w:pPr>
        <w:rPr>
          <w:rFonts w:cs="Calibri"/>
          <w:szCs w:val="22"/>
        </w:rPr>
      </w:pPr>
      <w:r>
        <w:rPr>
          <w:rFonts w:cs="Calibri"/>
          <w:szCs w:val="22"/>
        </w:rPr>
        <w:t>This section provides a default notification procedure from the eUICC to the SM-SR. This default notification carries information about the eUICC and the Device.</w:t>
      </w:r>
    </w:p>
    <w:p w14:paraId="35569B17" w14:textId="77777777" w:rsidR="00B97365" w:rsidRDefault="00000000">
      <w:pPr>
        <w:rPr>
          <w:rFonts w:cs="Calibri"/>
          <w:szCs w:val="22"/>
        </w:rPr>
      </w:pPr>
      <w:r>
        <w:rPr>
          <w:rFonts w:cs="Calibri"/>
          <w:szCs w:val="22"/>
        </w:rPr>
        <w:t>This notification is initiated by the eUICC in some conditions:</w:t>
      </w:r>
    </w:p>
    <w:p w14:paraId="56888A6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First network attachment of the Device: this indicates to the SM-SR in charge of managing of the eUICC that the eUICC has been deployed on the field. The notification of “First network attachment” happens only once in the eUICC’s lifetime. It is triggered when the eUICC is network attached the very first time. Nevertheless, note that this notification will be retried until the effective reception by the SM-SR, including further network attachments if not succeeded during the first network attachment session.</w:t>
      </w:r>
    </w:p>
    <w:p w14:paraId="4F32BBC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After an explicit new Profile Enabling request: this indicates to the SM-SR which is the Profile which is currently enabled. This notification happens right after the network attachment:</w:t>
      </w:r>
    </w:p>
    <w:p w14:paraId="685BA99F"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With the newly Enabled Profile in case of successful attachment</w:t>
      </w:r>
    </w:p>
    <w:p w14:paraId="1F872629"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Or with the previously Enabled Profile or with the Profile having the Fall-Back Attribute, after the attachment with the requested Profile has failed.</w:t>
      </w:r>
    </w:p>
    <w:p w14:paraId="1ECFADD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After activation of the Fall-Back Mechanism: this indicates to the SM-SR that the Profile with the Fall-Back Attribute has been enabled. This notification happens right after the network attachment.</w:t>
      </w:r>
    </w:p>
    <w:p w14:paraId="204DCF41" w14:textId="77777777" w:rsidR="00B97365" w:rsidRDefault="00000000">
      <w:pPr>
        <w:rPr>
          <w:rFonts w:cs="Calibri"/>
          <w:szCs w:val="22"/>
        </w:rPr>
      </w:pPr>
      <w:r>
        <w:rPr>
          <w:rFonts w:cs="Calibri"/>
          <w:szCs w:val="22"/>
        </w:rPr>
        <w:t>The notification may happen either on SMS, CAT_TP or HTTPS. The content of the notification message is the same whatever protocol is used. The eUICC is free to select the most relevant protocol according to the Device’s capabilities.</w:t>
      </w:r>
    </w:p>
    <w:p w14:paraId="6414AD87" w14:textId="77777777" w:rsidR="00B97365" w:rsidRDefault="00000000">
      <w:pPr>
        <w:rPr>
          <w:rFonts w:cs="Calibri"/>
          <w:szCs w:val="22"/>
        </w:rPr>
      </w:pPr>
      <w:r>
        <w:rPr>
          <w:rFonts w:cs="Calibri"/>
          <w:szCs w:val="22"/>
        </w:rPr>
        <w:t>The notification has to be confirmed by the SM-SR. The confirmation will depend on the protocol used for notification.</w:t>
      </w:r>
    </w:p>
    <w:p w14:paraId="085207BC" w14:textId="707DBE4B" w:rsidR="00B97365" w:rsidRDefault="00000000">
      <w:pPr>
        <w:rPr>
          <w:rFonts w:cs="Calibri"/>
          <w:szCs w:val="22"/>
        </w:rPr>
      </w:pPr>
      <w:r>
        <w:rPr>
          <w:rFonts w:cs="Calibri"/>
          <w:szCs w:val="22"/>
        </w:rPr>
        <w:t xml:space="preserve">On reception of the SM-SR notification confirmation, the eUICC may perform any operation as specified in one of the procedures including the notification sequence (like for instance deletion of an ISD-P after its disabling, see section </w:t>
      </w:r>
      <w:r>
        <w:fldChar w:fldCharType="begin"/>
      </w:r>
      <w:r>
        <w:instrText xml:space="preserve"> REF _Ref367972791 \r \h  \* MERGEFORMAT </w:instrText>
      </w:r>
      <w:r>
        <w:fldChar w:fldCharType="separate"/>
      </w:r>
      <w:r w:rsidR="001D5AD9" w:rsidRPr="001D5AD9">
        <w:rPr>
          <w:rFonts w:cs="Calibri"/>
          <w:szCs w:val="22"/>
        </w:rPr>
        <w:t>3.6</w:t>
      </w:r>
      <w:r>
        <w:fldChar w:fldCharType="end"/>
      </w:r>
      <w:r>
        <w:rPr>
          <w:rFonts w:cs="Calibri"/>
          <w:szCs w:val="22"/>
        </w:rPr>
        <w:t>). After the eUICC has performed the follow-up activities, the eUICC SHALL respond to the SM-SR notification confirmation function, including the identification of the operation performed if any.</w:t>
      </w:r>
    </w:p>
    <w:p w14:paraId="4DFF7C28"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937" w:name="_Toc421885579"/>
      <w:bookmarkStart w:id="1938" w:name="_Toc421885958"/>
      <w:bookmarkStart w:id="1939" w:name="_Toc373757374"/>
      <w:bookmarkStart w:id="1940" w:name="_Toc375158248"/>
      <w:bookmarkStart w:id="1941" w:name="_Toc398214832"/>
      <w:bookmarkStart w:id="1942" w:name="_Toc420594396"/>
      <w:bookmarkStart w:id="1943" w:name="_Toc421874291"/>
      <w:bookmarkStart w:id="1944" w:name="_Toc422150711"/>
      <w:bookmarkStart w:id="1945" w:name="_Toc448998237"/>
      <w:bookmarkStart w:id="1946" w:name="_Toc486332855"/>
      <w:bookmarkStart w:id="1947" w:name="_Toc1977276"/>
      <w:bookmarkStart w:id="1948" w:name="_Toc37062433"/>
      <w:bookmarkStart w:id="1949" w:name="_Ref40219745"/>
      <w:bookmarkStart w:id="1950" w:name="_Ref40221016"/>
      <w:bookmarkStart w:id="1951" w:name="_Ref40222153"/>
      <w:bookmarkStart w:id="1952" w:name="_Ref40222824"/>
      <w:bookmarkStart w:id="1953" w:name="_Toc88839538"/>
      <w:bookmarkStart w:id="1954" w:name="_Toc121503946"/>
      <w:bookmarkEnd w:id="1937"/>
      <w:bookmarkEnd w:id="1938"/>
      <w:r>
        <w:rPr>
          <w:rFonts w:eastAsia="Times New Roman" w:cs="Arial"/>
          <w:b/>
          <w:bCs/>
          <w:iCs/>
          <w:sz w:val="24"/>
          <w:szCs w:val="26"/>
          <w:lang w:eastAsia="en-US"/>
        </w:rPr>
        <w:lastRenderedPageBreak/>
        <w:t xml:space="preserve">Notification </w:t>
      </w:r>
      <w:r>
        <w:rPr>
          <w:rFonts w:eastAsia="Times New Roman" w:cs="Arial"/>
          <w:b/>
          <w:sz w:val="24"/>
          <w:szCs w:val="26"/>
          <w:lang w:eastAsia="en-US"/>
        </w:rPr>
        <w:t>Using SMS</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14:paraId="5D4AE199" w14:textId="77777777" w:rsidR="00B97365" w:rsidRDefault="00000000">
      <w:r>
        <w:rPr>
          <w:rFonts w:cs="Arial"/>
        </w:rPr>
        <w:t>This figure describes the notification sequence over SMS. It is applicable either for first “power on” of the Device, or the enabling of a Profile (after explicit request or Fall-Back Mechanism)</w:t>
      </w:r>
      <w:r>
        <w:t>.</w:t>
      </w:r>
    </w:p>
    <w:p w14:paraId="1CBD86F9" w14:textId="77777777" w:rsidR="00B97365" w:rsidRDefault="00B97365">
      <w:pPr>
        <w:rPr>
          <w:rFonts w:cs="Arial"/>
          <w:sz w:val="20"/>
        </w:rPr>
      </w:pPr>
    </w:p>
    <w:p w14:paraId="2DEFB083" w14:textId="77777777" w:rsidR="00B97365" w:rsidRDefault="00000000">
      <w:pPr>
        <w:jc w:val="center"/>
        <w:rPr>
          <w:rFonts w:cs="Arial"/>
          <w:sz w:val="20"/>
        </w:rPr>
      </w:pPr>
      <w:r>
        <w:rPr>
          <w:rFonts w:cs="Arial"/>
          <w:sz w:val="20"/>
        </w:rPr>
        <w:object w:dxaOrig="6708" w:dyaOrig="4080" w14:anchorId="4A646ABF">
          <v:shape id="_x0000_i1036" type="#_x0000_t75" style="width:439.15pt;height:263.75pt" o:ole="">
            <v:imagedata r:id="rId67" o:title=""/>
          </v:shape>
          <o:OLEObject Type="Embed" ProgID="PowerPoint.Slide.12" ShapeID="_x0000_i1036" DrawAspect="Content" ObjectID="_1738512081" r:id="rId68"/>
        </w:object>
      </w:r>
    </w:p>
    <w:p w14:paraId="5F5351F4"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Sequence Flow of Notification Over SMS</w:t>
      </w:r>
    </w:p>
    <w:p w14:paraId="1A7BD89B" w14:textId="77777777" w:rsidR="00B97365" w:rsidRDefault="00000000">
      <w:pPr>
        <w:numPr>
          <w:ilvl w:val="0"/>
          <w:numId w:val="121"/>
        </w:numPr>
        <w:rPr>
          <w:rFonts w:cs="Arial"/>
          <w:lang w:val="en-US"/>
        </w:rPr>
      </w:pPr>
      <w:r>
        <w:rPr>
          <w:rFonts w:cs="Arial"/>
          <w:lang w:val="en-US"/>
        </w:rPr>
        <w:t>At the end of the start-up sequence, the eUICC detects a first “power on” or a situation where the Enabled Profile has changed compared to the previous eUICC reset.</w:t>
      </w:r>
    </w:p>
    <w:p w14:paraId="1C31796B" w14:textId="04FF7E93" w:rsidR="00B97365" w:rsidRDefault="00000000">
      <w:pPr>
        <w:numPr>
          <w:ilvl w:val="0"/>
          <w:numId w:val="121"/>
        </w:numPr>
        <w:rPr>
          <w:rFonts w:cs="Arial"/>
          <w:lang w:val="en-US"/>
        </w:rPr>
      </w:pPr>
      <w:r>
        <w:rPr>
          <w:rFonts w:cs="Arial"/>
          <w:lang w:val="en-US"/>
        </w:rPr>
        <w:t xml:space="preserve">The eUICC sends an MO-SMS envelop. The SMS contains a secure SCP 80 Command Packet (MO-SMS SHALL be formatted as defined in section </w:t>
      </w:r>
      <w:r>
        <w:fldChar w:fldCharType="begin"/>
      </w:r>
      <w:r>
        <w:instrText xml:space="preserve"> REF _Ref418158947 \r \h </w:instrText>
      </w:r>
      <w:r>
        <w:fldChar w:fldCharType="separate"/>
      </w:r>
      <w:r w:rsidR="001D5AD9">
        <w:t>2.4.3</w:t>
      </w:r>
      <w:r>
        <w:fldChar w:fldCharType="end"/>
      </w:r>
      <w:r>
        <w:rPr>
          <w:rFonts w:cs="Arial"/>
          <w:lang w:val="en-US"/>
        </w:rPr>
        <w:t xml:space="preserve"> with security set to cryptographic checksum and no ciphering, the counter value of the Command Packet SHALL be set to ‘0000000000’ and SPI set to “No counter available”) using the SCP80 keys of the ISD-R, and containing the notification data structure described in section </w:t>
      </w:r>
      <w:r>
        <w:fldChar w:fldCharType="begin"/>
      </w:r>
      <w:r>
        <w:instrText xml:space="preserve"> REF _Ref367972946 \r \h  \* MERGEFORMAT </w:instrText>
      </w:r>
      <w:r>
        <w:fldChar w:fldCharType="separate"/>
      </w:r>
      <w:r w:rsidR="001D5AD9" w:rsidRPr="001D5AD9">
        <w:rPr>
          <w:rFonts w:cs="Arial"/>
          <w:lang w:val="en-US"/>
        </w:rPr>
        <w:t>4.1.1.11</w:t>
      </w:r>
      <w:r>
        <w:fldChar w:fldCharType="end"/>
      </w:r>
      <w:r>
        <w:rPr>
          <w:rFonts w:cs="Arial"/>
          <w:lang w:val="en-US"/>
        </w:rPr>
        <w:t xml:space="preserve">. The secured data SHALL be coded as described in section </w:t>
      </w:r>
      <w:r>
        <w:fldChar w:fldCharType="begin"/>
      </w:r>
      <w:r>
        <w:instrText xml:space="preserve"> REF _Ref367972946 \r \h  \* MERGEFORMAT </w:instrText>
      </w:r>
      <w:r>
        <w:fldChar w:fldCharType="separate"/>
      </w:r>
      <w:r w:rsidR="001D5AD9" w:rsidRPr="001D5AD9">
        <w:rPr>
          <w:rFonts w:cs="Arial"/>
          <w:lang w:val="en-US"/>
        </w:rPr>
        <w:t>4.1.1.11</w:t>
      </w:r>
      <w:r>
        <w:fldChar w:fldCharType="end"/>
      </w:r>
      <w:r>
        <w:rPr>
          <w:rFonts w:cs="Arial"/>
          <w:lang w:val="en-US"/>
        </w:rPr>
        <w:t>.</w:t>
      </w:r>
    </w:p>
    <w:p w14:paraId="310BBFCF" w14:textId="2F834CD5" w:rsidR="00B97365" w:rsidRDefault="00000000">
      <w:pPr>
        <w:tabs>
          <w:tab w:val="left" w:pos="1560"/>
        </w:tabs>
        <w:ind w:left="1560" w:hanging="1276"/>
        <w:rPr>
          <w:rFonts w:cs="Arial"/>
          <w:lang w:val="en-US"/>
        </w:rPr>
      </w:pPr>
      <w:r>
        <w:rPr>
          <w:rFonts w:eastAsia="Vodafone Rg" w:cs="Arial"/>
          <w:bCs/>
          <w:kern w:val="22"/>
          <w:szCs w:val="22"/>
          <w:lang w:eastAsia="en-GB" w:bidi="ar-SA"/>
        </w:rPr>
        <w:t>NOTE</w:t>
      </w:r>
      <w:r>
        <w:rPr>
          <w:lang w:eastAsia="en-GB"/>
        </w:rPr>
        <w:t xml:space="preserve">: </w:t>
      </w:r>
      <w:r>
        <w:rPr>
          <w:lang w:eastAsia="en-GB"/>
        </w:rPr>
        <w:tab/>
        <w:t xml:space="preserve">This deviates from the typical secured packets generation defined in ETSI TS 102 225 </w:t>
      </w:r>
      <w:r>
        <w:rPr>
          <w:lang w:eastAsia="en-GB"/>
        </w:rPr>
        <w:fldChar w:fldCharType="begin"/>
      </w:r>
      <w:r>
        <w:rPr>
          <w:lang w:eastAsia="en-GB"/>
        </w:rPr>
        <w:instrText xml:space="preserve"> REF _Ref421631435 \r \h </w:instrText>
      </w:r>
      <w:r>
        <w:rPr>
          <w:lang w:eastAsia="en-GB"/>
        </w:rPr>
      </w:r>
      <w:r>
        <w:rPr>
          <w:lang w:eastAsia="en-GB"/>
        </w:rPr>
        <w:fldChar w:fldCharType="separate"/>
      </w:r>
      <w:r w:rsidR="001D5AD9">
        <w:rPr>
          <w:lang w:eastAsia="en-GB"/>
        </w:rPr>
        <w:t>[4]</w:t>
      </w:r>
      <w:r>
        <w:rPr>
          <w:lang w:eastAsia="en-GB"/>
        </w:rPr>
        <w:fldChar w:fldCharType="end"/>
      </w:r>
      <w:r>
        <w:rPr>
          <w:lang w:eastAsia="en-GB"/>
        </w:rPr>
        <w:t xml:space="preserve">. </w:t>
      </w:r>
    </w:p>
    <w:p w14:paraId="2ACA3C0C" w14:textId="77777777" w:rsidR="00B97365" w:rsidRDefault="00000000">
      <w:pPr>
        <w:tabs>
          <w:tab w:val="left" w:pos="567"/>
        </w:tabs>
        <w:ind w:left="567"/>
        <w:rPr>
          <w:rFonts w:eastAsia="Vodafone Rg" w:cs="Arial"/>
          <w:bCs/>
          <w:kern w:val="22"/>
          <w:szCs w:val="22"/>
          <w:lang w:eastAsia="en-GB" w:bidi="ar-SA"/>
        </w:rPr>
      </w:pPr>
      <w:r>
        <w:rPr>
          <w:rFonts w:eastAsia="Vodafone Rg" w:cs="Arial"/>
          <w:bCs/>
          <w:kern w:val="22"/>
          <w:szCs w:val="22"/>
          <w:lang w:eastAsia="en-GB" w:bidi="ar-SA"/>
        </w:rPr>
        <w:t>The eUICC SHALL use the network information of the Enabled Profile, and the addressing information configured for this profile in ISD-R. If there is no addressing information configured for this profile in ISD-R, the global addressing information configured in ISD-R SHALL be used.</w:t>
      </w:r>
    </w:p>
    <w:p w14:paraId="2B6E55A7" w14:textId="77777777" w:rsidR="00B97365" w:rsidRDefault="00B97365">
      <w:pPr>
        <w:tabs>
          <w:tab w:val="left" w:pos="567"/>
        </w:tabs>
        <w:ind w:left="567"/>
        <w:rPr>
          <w:rFonts w:cs="Arial"/>
          <w:lang w:val="en-US"/>
        </w:rPr>
      </w:pPr>
    </w:p>
    <w:p w14:paraId="42D8B179" w14:textId="77777777" w:rsidR="00B97365" w:rsidRDefault="00000000">
      <w:pPr>
        <w:tabs>
          <w:tab w:val="left" w:pos="1560"/>
        </w:tabs>
        <w:spacing w:before="0" w:after="200" w:line="276" w:lineRule="auto"/>
        <w:ind w:left="1559" w:hanging="1202"/>
        <w:jc w:val="left"/>
        <w:rPr>
          <w:rFonts w:eastAsia="Vodafone Rg" w:cs="Arial"/>
          <w:bCs/>
          <w:kern w:val="22"/>
          <w:szCs w:val="22"/>
          <w:lang w:val="en-US" w:eastAsia="en-GB" w:bidi="ar-SA"/>
        </w:rPr>
      </w:pPr>
      <w:r>
        <w:rPr>
          <w:rFonts w:eastAsia="Vodafone Rg" w:cs="Arial"/>
          <w:bCs/>
          <w:kern w:val="22"/>
          <w:szCs w:val="22"/>
          <w:lang w:eastAsia="en-GB" w:bidi="ar-SA"/>
        </w:rPr>
        <w:t>NOTE</w:t>
      </w:r>
      <w:r>
        <w:rPr>
          <w:szCs w:val="22"/>
          <w:lang w:eastAsia="en-GB" w:bidi="ar-SA"/>
        </w:rPr>
        <w:t xml:space="preserve">: </w:t>
      </w:r>
      <w:r>
        <w:rPr>
          <w:szCs w:val="22"/>
          <w:lang w:eastAsia="en-GB" w:bidi="ar-SA"/>
        </w:rPr>
        <w:tab/>
        <w:t>This allows using an internal address (network specific number) for the connection of the SM-SR Platform to the SMSC.</w:t>
      </w:r>
    </w:p>
    <w:p w14:paraId="0E1D4594" w14:textId="77777777" w:rsidR="00B97365" w:rsidRDefault="00000000">
      <w:pPr>
        <w:tabs>
          <w:tab w:val="left" w:pos="567"/>
        </w:tabs>
        <w:ind w:left="567"/>
        <w:rPr>
          <w:rFonts w:cs="Arial"/>
          <w:lang w:val="en-US"/>
        </w:rPr>
      </w:pPr>
      <w:r>
        <w:rPr>
          <w:rFonts w:eastAsia="Vodafone Rg" w:cs="Arial"/>
          <w:bCs/>
          <w:kern w:val="22"/>
          <w:szCs w:val="22"/>
          <w:lang w:eastAsia="en-GB" w:bidi="ar-SA"/>
        </w:rPr>
        <w:t>The eUICC SHALL retry sending until getting a successful response of the Device (‘0X’). Note, that the eUICC SHALL implement a mechanism to avoid attempting an infinite number of retries. Finally the eUICC SHALL use another protocol in case of final failure for sending the notification using SMS.</w:t>
      </w:r>
    </w:p>
    <w:p w14:paraId="1402F158" w14:textId="77777777" w:rsidR="00B97365" w:rsidRDefault="00000000">
      <w:pPr>
        <w:ind w:left="709" w:hanging="709"/>
        <w:rPr>
          <w:rFonts w:cs="Arial"/>
        </w:rPr>
      </w:pPr>
      <w:r>
        <w:rPr>
          <w:rFonts w:cs="Arial"/>
        </w:rPr>
        <w:lastRenderedPageBreak/>
        <w:t>(2a)</w:t>
      </w:r>
      <w:r>
        <w:rPr>
          <w:rFonts w:cs="Arial"/>
        </w:rPr>
        <w:tab/>
        <w:t>The eUICC SHALL wait for the SM-SR confirmation. If no confirmation is received by the eUICC after a certain amount of time (dependent on the configuration), eUICC SHALL restart from step (2) (with the same sequence number).</w:t>
      </w:r>
    </w:p>
    <w:p w14:paraId="4FF187BF" w14:textId="0C76C4CF" w:rsidR="00B97365" w:rsidRDefault="00000000">
      <w:pPr>
        <w:numPr>
          <w:ilvl w:val="0"/>
          <w:numId w:val="121"/>
        </w:numPr>
        <w:rPr>
          <w:rFonts w:cs="Arial"/>
          <w:lang w:val="en-US"/>
        </w:rPr>
      </w:pPr>
      <w:r>
        <w:rPr>
          <w:rFonts w:cs="Arial"/>
          <w:lang w:val="en-US"/>
        </w:rPr>
        <w:t>The SM-SR processes the notification. If the notification type indicates “Profile change succeeded” but the Validity Period of the corresponding function call has already expired on the SM-SR, the SM-SR SHALL NOT send the “</w:t>
      </w:r>
      <w:r>
        <w:rPr>
          <w:rFonts w:cs="Arial"/>
          <w:b/>
          <w:lang w:val="en-US"/>
        </w:rPr>
        <w:t>ES5.HandleNotificationConfirmation</w:t>
      </w:r>
      <w:r>
        <w:rPr>
          <w:rFonts w:cs="Arial"/>
          <w:lang w:val="en-US"/>
        </w:rPr>
        <w:t xml:space="preserve">” command defined in section </w:t>
      </w:r>
      <w:r>
        <w:rPr>
          <w:rFonts w:cs="Arial"/>
          <w:lang w:val="en-US"/>
        </w:rPr>
        <w:fldChar w:fldCharType="begin"/>
      </w:r>
      <w:r>
        <w:rPr>
          <w:rFonts w:cs="Arial"/>
          <w:lang w:val="en-US"/>
        </w:rPr>
        <w:instrText xml:space="preserve"> REF _Ref445910953 \r \h </w:instrText>
      </w:r>
      <w:r>
        <w:rPr>
          <w:rFonts w:cs="Arial"/>
          <w:lang w:val="en-US"/>
        </w:rPr>
      </w:r>
      <w:r>
        <w:rPr>
          <w:rFonts w:cs="Arial"/>
          <w:lang w:val="en-US"/>
        </w:rPr>
        <w:fldChar w:fldCharType="separate"/>
      </w:r>
      <w:r w:rsidR="001D5AD9">
        <w:rPr>
          <w:rFonts w:cs="Arial"/>
          <w:lang w:val="en-US"/>
        </w:rPr>
        <w:t>4.1.1.12</w:t>
      </w:r>
      <w:r>
        <w:rPr>
          <w:rFonts w:cs="Arial"/>
          <w:lang w:val="en-US"/>
        </w:rPr>
        <w:fldChar w:fldCharType="end"/>
      </w:r>
      <w:r>
        <w:rPr>
          <w:rFonts w:cs="Arial"/>
          <w:lang w:val="en-US"/>
        </w:rPr>
        <w:t>.</w:t>
      </w:r>
    </w:p>
    <w:p w14:paraId="7FF18EDD" w14:textId="77777777" w:rsidR="00B97365" w:rsidRDefault="00000000">
      <w:pPr>
        <w:tabs>
          <w:tab w:val="left" w:pos="1560"/>
        </w:tabs>
        <w:spacing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If the eUICC does not receive the confirmation from the SM-SR, the eUICC may retry sending the notification. After having exhausted all possible retries, the eUICC will roll-back to the previously Enabled Profile.</w:t>
      </w:r>
    </w:p>
    <w:p w14:paraId="7102A460" w14:textId="2D4943A1" w:rsidR="00B97365" w:rsidRDefault="00000000">
      <w:pPr>
        <w:numPr>
          <w:ilvl w:val="0"/>
          <w:numId w:val="121"/>
        </w:numPr>
        <w:rPr>
          <w:rFonts w:cs="Arial"/>
          <w:lang w:val="en-US"/>
        </w:rPr>
      </w:pPr>
      <w:r>
        <w:rPr>
          <w:rFonts w:cs="Arial"/>
          <w:lang w:val="en-US"/>
        </w:rPr>
        <w:t>The SM-SR sends an MT-SMS containing the “</w:t>
      </w:r>
      <w:r>
        <w:rPr>
          <w:rFonts w:cs="Arial"/>
          <w:b/>
          <w:lang w:val="en-US"/>
        </w:rPr>
        <w:t>ES5. HandleNotificationConfirmation</w:t>
      </w:r>
      <w:r>
        <w:rPr>
          <w:rFonts w:cs="Arial"/>
          <w:lang w:val="en-US"/>
        </w:rPr>
        <w:t xml:space="preserve">” command defined in section </w:t>
      </w:r>
      <w:r>
        <w:fldChar w:fldCharType="begin"/>
      </w:r>
      <w:r>
        <w:rPr>
          <w:rFonts w:cs="Arial"/>
          <w:lang w:val="en-US"/>
        </w:rPr>
        <w:instrText xml:space="preserve"> REF _Ref445910953 \r \h </w:instrText>
      </w:r>
      <w:r>
        <w:fldChar w:fldCharType="separate"/>
      </w:r>
      <w:r w:rsidR="001D5AD9">
        <w:rPr>
          <w:rFonts w:cs="Arial"/>
          <w:lang w:val="en-US"/>
        </w:rPr>
        <w:t>4.1.1.12</w:t>
      </w:r>
      <w:r>
        <w:fldChar w:fldCharType="end"/>
      </w:r>
      <w:r>
        <w:rPr>
          <w:rFonts w:cs="Arial"/>
          <w:lang w:val="en-US"/>
        </w:rPr>
        <w:t xml:space="preserve"> in a SCP80 command packet. This MT-SMS SHALL target the entity on the eUICC that has sent the notification. </w:t>
      </w:r>
    </w:p>
    <w:p w14:paraId="0D68ECE4" w14:textId="77777777" w:rsidR="00B97365" w:rsidRDefault="00000000">
      <w:pPr>
        <w:numPr>
          <w:ilvl w:val="0"/>
          <w:numId w:val="121"/>
        </w:numPr>
        <w:rPr>
          <w:rFonts w:cs="Arial"/>
          <w:lang w:val="en-US"/>
        </w:rPr>
      </w:pPr>
      <w:r>
        <w:rPr>
          <w:rFonts w:cs="Arial"/>
          <w:lang w:val="en-US"/>
        </w:rPr>
        <w:t>The ISD-R un-wraps the SCP80 security layer</w:t>
      </w:r>
    </w:p>
    <w:p w14:paraId="0D549D9B" w14:textId="77777777" w:rsidR="00B97365" w:rsidRDefault="00000000">
      <w:pPr>
        <w:numPr>
          <w:ilvl w:val="0"/>
          <w:numId w:val="121"/>
        </w:numPr>
        <w:rPr>
          <w:rFonts w:cs="Arial"/>
          <w:lang w:val="en-US"/>
        </w:rPr>
      </w:pPr>
      <w:r>
        <w:rPr>
          <w:rFonts w:cs="Arial"/>
          <w:lang w:val="en-US"/>
        </w:rPr>
        <w:t>The eUICC processes the notification confirmation data; this may include follow-up activities as required by the procedure where this sequence is used.</w:t>
      </w:r>
    </w:p>
    <w:p w14:paraId="022EEE52" w14:textId="167B76DF" w:rsidR="00B97365" w:rsidRDefault="00000000">
      <w:pPr>
        <w:numPr>
          <w:ilvl w:val="0"/>
          <w:numId w:val="121"/>
        </w:numPr>
        <w:rPr>
          <w:rFonts w:cs="Arial"/>
          <w:lang w:val="en-US"/>
        </w:rPr>
      </w:pPr>
      <w:r>
        <w:rPr>
          <w:rFonts w:cs="Arial"/>
          <w:lang w:val="en-US"/>
        </w:rPr>
        <w:t>The eUICC SHALL return the MO-SMS containing the response of the “</w:t>
      </w:r>
      <w:r>
        <w:rPr>
          <w:rFonts w:cs="Arial"/>
          <w:b/>
          <w:lang w:val="en-US"/>
        </w:rPr>
        <w:t>ES5.HandleNotificationConfirmation</w:t>
      </w:r>
      <w:r>
        <w:rPr>
          <w:rFonts w:cs="Arial"/>
          <w:lang w:val="en-US"/>
        </w:rPr>
        <w:t xml:space="preserve">” command. The MO-SMS SHALL be secured according to section </w:t>
      </w:r>
      <w:r>
        <w:rPr>
          <w:rFonts w:cs="Arial"/>
          <w:lang w:val="en-US"/>
        </w:rPr>
        <w:fldChar w:fldCharType="begin"/>
      </w:r>
      <w:r>
        <w:rPr>
          <w:rFonts w:cs="Arial"/>
          <w:lang w:val="en-US"/>
        </w:rPr>
        <w:instrText xml:space="preserve"> REF _Ref418158997 \r \h </w:instrText>
      </w:r>
      <w:r>
        <w:rPr>
          <w:rFonts w:cs="Arial"/>
          <w:lang w:val="en-US"/>
        </w:rPr>
      </w:r>
      <w:r>
        <w:rPr>
          <w:rFonts w:cs="Arial"/>
          <w:lang w:val="en-US"/>
        </w:rPr>
        <w:fldChar w:fldCharType="separate"/>
      </w:r>
      <w:r w:rsidR="001D5AD9">
        <w:rPr>
          <w:rFonts w:cs="Arial"/>
          <w:lang w:val="en-US"/>
        </w:rPr>
        <w:t>2.4.3</w:t>
      </w:r>
      <w:r>
        <w:rPr>
          <w:rFonts w:cs="Arial"/>
          <w:lang w:val="en-US"/>
        </w:rPr>
        <w:fldChar w:fldCharType="end"/>
      </w:r>
      <w:r>
        <w:t>.</w:t>
      </w:r>
      <w:r>
        <w:rPr>
          <w:rFonts w:cs="Arial"/>
          <w:lang w:val="en-US"/>
        </w:rPr>
        <w:t xml:space="preserve"> The eUICC SHALL retry sending until getting a successful response of the Device (‘0X’). Note, that the eUICC SHALL implement a mechanism to avoid attempting an infinite number of retries.</w:t>
      </w:r>
    </w:p>
    <w:p w14:paraId="5D797D4E"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955" w:name="_Toc421885581"/>
      <w:bookmarkStart w:id="1956" w:name="_Toc421885960"/>
      <w:bookmarkStart w:id="1957" w:name="_Toc373757375"/>
      <w:bookmarkStart w:id="1958" w:name="_Toc375158249"/>
      <w:bookmarkStart w:id="1959" w:name="_Toc398214833"/>
      <w:bookmarkStart w:id="1960" w:name="_Toc420594397"/>
      <w:bookmarkStart w:id="1961" w:name="_Toc421874292"/>
      <w:bookmarkStart w:id="1962" w:name="_Toc422150712"/>
      <w:bookmarkStart w:id="1963" w:name="_Toc448998238"/>
      <w:bookmarkStart w:id="1964" w:name="_Toc486332856"/>
      <w:bookmarkStart w:id="1965" w:name="_Toc1977277"/>
      <w:bookmarkStart w:id="1966" w:name="_Toc37062434"/>
      <w:bookmarkStart w:id="1967" w:name="_Toc88839539"/>
      <w:bookmarkStart w:id="1968" w:name="_Toc121503947"/>
      <w:bookmarkEnd w:id="1955"/>
      <w:bookmarkEnd w:id="1956"/>
      <w:r>
        <w:rPr>
          <w:rFonts w:eastAsia="Times New Roman" w:cs="Arial"/>
          <w:b/>
          <w:bCs/>
          <w:iCs/>
          <w:sz w:val="24"/>
          <w:szCs w:val="26"/>
          <w:lang w:eastAsia="en-US"/>
        </w:rPr>
        <w:t xml:space="preserve">Notification </w:t>
      </w:r>
      <w:r>
        <w:rPr>
          <w:rFonts w:eastAsia="Times New Roman" w:cs="Arial"/>
          <w:b/>
          <w:sz w:val="24"/>
          <w:szCs w:val="26"/>
          <w:lang w:eastAsia="en-US"/>
        </w:rPr>
        <w:t>Using HTTPS</w:t>
      </w:r>
      <w:bookmarkEnd w:id="1957"/>
      <w:bookmarkEnd w:id="1958"/>
      <w:bookmarkEnd w:id="1959"/>
      <w:bookmarkEnd w:id="1960"/>
      <w:bookmarkEnd w:id="1961"/>
      <w:bookmarkEnd w:id="1962"/>
      <w:bookmarkEnd w:id="1963"/>
      <w:bookmarkEnd w:id="1964"/>
      <w:bookmarkEnd w:id="1965"/>
      <w:bookmarkEnd w:id="1966"/>
      <w:bookmarkEnd w:id="1967"/>
      <w:bookmarkEnd w:id="1968"/>
    </w:p>
    <w:p w14:paraId="18C8F80D" w14:textId="77777777" w:rsidR="00B97365" w:rsidRDefault="00000000">
      <w:pPr>
        <w:rPr>
          <w:rFonts w:cs="Arial"/>
        </w:rPr>
      </w:pPr>
      <w:r>
        <w:rPr>
          <w:rFonts w:cs="Arial"/>
        </w:rPr>
        <w:t>This figure describes the notification sequence over HTTPS. It is applicable either for first “power on” of the Device, or the enabling of a Profile (after explicit request or Fall-Back Mechanism).</w:t>
      </w:r>
    </w:p>
    <w:p w14:paraId="70E0C59D" w14:textId="77777777" w:rsidR="00B97365" w:rsidRDefault="00000000">
      <w:pPr>
        <w:spacing w:after="120"/>
        <w:jc w:val="center"/>
        <w:rPr>
          <w:rFonts w:cs="Arial"/>
          <w:sz w:val="20"/>
        </w:rPr>
      </w:pPr>
      <w:r>
        <w:rPr>
          <w:rFonts w:cs="Arial"/>
          <w:sz w:val="20"/>
        </w:rPr>
        <w:object w:dxaOrig="6322" w:dyaOrig="5219" w14:anchorId="095FF3A9">
          <v:shape id="_x0000_i1037" type="#_x0000_t75" style="width:485.9pt;height:401.95pt" o:ole="">
            <v:imagedata r:id="rId69" o:title=""/>
          </v:shape>
          <o:OLEObject Type="Embed" ProgID="PowerPoint.Slide.12" ShapeID="_x0000_i1037" DrawAspect="Content" ObjectID="_1738512082" r:id="rId70"/>
        </w:object>
      </w:r>
    </w:p>
    <w:p w14:paraId="7A0A0F65"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Sequence Flow of Notification Over HTTPS</w:t>
      </w:r>
    </w:p>
    <w:p w14:paraId="6EFD7D2A" w14:textId="77777777" w:rsidR="00B97365" w:rsidRDefault="00000000">
      <w:pPr>
        <w:numPr>
          <w:ilvl w:val="0"/>
          <w:numId w:val="122"/>
        </w:numPr>
        <w:rPr>
          <w:lang w:val="en-US"/>
        </w:rPr>
      </w:pPr>
      <w:r>
        <w:rPr>
          <w:lang w:val="en-US"/>
        </w:rPr>
        <w:t>At the end of the start-up sequence, the eUICC detects a first “power on” or a situation where the Enabled Profile has changed compared to the last eUICC reset.</w:t>
      </w:r>
    </w:p>
    <w:p w14:paraId="0DB7AE9E" w14:textId="2C9B3F7A" w:rsidR="00B97365" w:rsidRDefault="00000000">
      <w:pPr>
        <w:numPr>
          <w:ilvl w:val="0"/>
          <w:numId w:val="122"/>
        </w:numPr>
        <w:rPr>
          <w:rFonts w:cs="Arial"/>
          <w:lang w:val="en-US"/>
        </w:rPr>
      </w:pPr>
      <w:r>
        <w:rPr>
          <w:lang w:val="en-US"/>
        </w:rPr>
        <w:t xml:space="preserve">If DNS resolution is supported and correctly configured on the eUICC, the ISD-R MAY request a DNS resolution first to retrieve the IP Address(es) of the SM-SR, as defined in section </w:t>
      </w:r>
      <w:r>
        <w:rPr>
          <w:lang w:val="en-US"/>
        </w:rPr>
        <w:fldChar w:fldCharType="begin"/>
      </w:r>
      <w:r>
        <w:rPr>
          <w:lang w:val="en-US"/>
        </w:rPr>
        <w:instrText xml:space="preserve"> REF _Ref483300482 \r \h </w:instrText>
      </w:r>
      <w:r>
        <w:rPr>
          <w:lang w:val="en-US"/>
        </w:rPr>
      </w:r>
      <w:r>
        <w:rPr>
          <w:lang w:val="en-US"/>
        </w:rPr>
        <w:fldChar w:fldCharType="separate"/>
      </w:r>
      <w:r w:rsidR="001D5AD9">
        <w:rPr>
          <w:lang w:val="en-US"/>
        </w:rPr>
        <w:t>2.4.5</w:t>
      </w:r>
      <w:r>
        <w:rPr>
          <w:lang w:val="en-US"/>
        </w:rPr>
        <w:fldChar w:fldCharType="end"/>
      </w:r>
      <w:r>
        <w:rPr>
          <w:lang w:val="en-US"/>
        </w:rPr>
        <w:t>.</w:t>
      </w:r>
    </w:p>
    <w:p w14:paraId="5AB2AEB3" w14:textId="77777777" w:rsidR="00B97365" w:rsidRDefault="00000000">
      <w:pPr>
        <w:numPr>
          <w:ilvl w:val="0"/>
          <w:numId w:val="122"/>
        </w:numPr>
        <w:rPr>
          <w:lang w:val="en-US"/>
        </w:rPr>
      </w:pPr>
      <w:r>
        <w:rPr>
          <w:lang w:val="en-US"/>
        </w:rPr>
        <w:t>The eUICC opens a BIP channel with the relevant parameters to address the SM-SR. This includes having access to the Network Access Name, User Login and User Password of the Enabled Profile.</w:t>
      </w:r>
    </w:p>
    <w:p w14:paraId="13E4F7ED" w14:textId="2A6E4034" w:rsidR="00B97365" w:rsidRDefault="00000000">
      <w:pPr>
        <w:numPr>
          <w:ilvl w:val="0"/>
          <w:numId w:val="122"/>
        </w:numPr>
        <w:rPr>
          <w:lang w:val="en-US"/>
        </w:rPr>
      </w:pPr>
      <w:r>
        <w:rPr>
          <w:lang w:val="en-US"/>
        </w:rPr>
        <w:t xml:space="preserve">The ISD-R of the eUICC negotiates the PSK-TLS handshake with the SM-SR. The TLS session SHALL be opened as defined in section </w:t>
      </w:r>
      <w:r>
        <w:fldChar w:fldCharType="begin"/>
      </w:r>
      <w:r>
        <w:instrText xml:space="preserve"> REF _Ref418159043 \r \h  \* MERGEFORMAT </w:instrText>
      </w:r>
      <w:r>
        <w:fldChar w:fldCharType="separate"/>
      </w:r>
      <w:r w:rsidR="001D5AD9">
        <w:t>2.4.3</w:t>
      </w:r>
      <w:r>
        <w:fldChar w:fldCharType="end"/>
      </w:r>
      <w:r>
        <w:rPr>
          <w:lang w:val="en-US"/>
        </w:rPr>
        <w:t xml:space="preserve">. The ISD-R SHALL apply the retry Policy as defined in GlobalPlatform Card Specification Amendment B </w:t>
      </w:r>
      <w:r>
        <w:fldChar w:fldCharType="begin"/>
      </w:r>
      <w:r>
        <w:instrText xml:space="preserve"> REF _Ref421632368 \r \h  \* MERGEFORMAT </w:instrText>
      </w:r>
      <w:r>
        <w:fldChar w:fldCharType="separate"/>
      </w:r>
      <w:r w:rsidR="001D5AD9" w:rsidRPr="001D5AD9">
        <w:rPr>
          <w:lang w:val="en-US"/>
        </w:rPr>
        <w:t>[8]</w:t>
      </w:r>
      <w:r>
        <w:fldChar w:fldCharType="end"/>
      </w:r>
      <w:r>
        <w:rPr>
          <w:lang w:val="en-US"/>
        </w:rPr>
        <w:t xml:space="preserve">. </w:t>
      </w:r>
    </w:p>
    <w:p w14:paraId="5207EBFB" w14:textId="0D81FBEC" w:rsidR="00B97365" w:rsidRDefault="00000000">
      <w:pPr>
        <w:numPr>
          <w:ilvl w:val="0"/>
          <w:numId w:val="122"/>
        </w:numPr>
        <w:rPr>
          <w:lang w:val="en-US"/>
        </w:rPr>
      </w:pPr>
      <w:r>
        <w:rPr>
          <w:lang w:val="en-US"/>
        </w:rPr>
        <w:t xml:space="preserve">The eUICC sends the first HTTP POST. The notification contains the SM-SR URL with the special query parameter “?msg” containing the data for eUICC notification defined in section </w:t>
      </w:r>
      <w:r>
        <w:fldChar w:fldCharType="begin"/>
      </w:r>
      <w:r>
        <w:instrText xml:space="preserve"> REF _Ref367972946 \r \h  \* MERGEFORMAT </w:instrText>
      </w:r>
      <w:r>
        <w:fldChar w:fldCharType="separate"/>
      </w:r>
      <w:r w:rsidR="001D5AD9" w:rsidRPr="001D5AD9">
        <w:rPr>
          <w:lang w:val="en-US"/>
        </w:rPr>
        <w:t>4.1.1.11</w:t>
      </w:r>
      <w:r>
        <w:fldChar w:fldCharType="end"/>
      </w:r>
      <w:r>
        <w:rPr>
          <w:lang w:val="en-US"/>
        </w:rPr>
        <w:t xml:space="preserve">. The data of the notification SHALL be coded as hexadecimal string (see section </w:t>
      </w:r>
      <w:r>
        <w:fldChar w:fldCharType="begin"/>
      </w:r>
      <w:r>
        <w:instrText xml:space="preserve"> REF _Ref445910989 \r \h </w:instrText>
      </w:r>
      <w:r>
        <w:fldChar w:fldCharType="separate"/>
      </w:r>
      <w:r w:rsidR="001D5AD9">
        <w:t>5.1.1.1</w:t>
      </w:r>
      <w:r>
        <w:fldChar w:fldCharType="end"/>
      </w:r>
      <w:r>
        <w:rPr>
          <w:lang w:val="en-US"/>
        </w:rPr>
        <w:t>) with no spaces.</w:t>
      </w:r>
    </w:p>
    <w:p w14:paraId="14F4CE75" w14:textId="733A9720" w:rsidR="00B97365" w:rsidRDefault="00000000">
      <w:pPr>
        <w:numPr>
          <w:ilvl w:val="1"/>
          <w:numId w:val="122"/>
        </w:numPr>
        <w:rPr>
          <w:lang w:val="en-US"/>
        </w:rPr>
      </w:pPr>
      <w:r>
        <w:rPr>
          <w:lang w:val="en-US"/>
        </w:rPr>
        <w:t xml:space="preserve">The ISD-R SHALL apply the retry Policy as defined in GlobalPlatform Card Specification Amendment B </w:t>
      </w:r>
      <w:r>
        <w:fldChar w:fldCharType="begin"/>
      </w:r>
      <w:r>
        <w:instrText xml:space="preserve"> REF _Ref421632368 \r \h  \* MERGEFORMAT </w:instrText>
      </w:r>
      <w:r>
        <w:fldChar w:fldCharType="separate"/>
      </w:r>
      <w:r w:rsidR="001D5AD9" w:rsidRPr="001D5AD9">
        <w:rPr>
          <w:lang w:val="en-US"/>
        </w:rPr>
        <w:t>[8]</w:t>
      </w:r>
      <w:r>
        <w:fldChar w:fldCharType="end"/>
      </w:r>
      <w:r>
        <w:rPr>
          <w:lang w:val="en-US"/>
        </w:rPr>
        <w:t>.</w:t>
      </w:r>
    </w:p>
    <w:p w14:paraId="0EA122EB" w14:textId="7547271B" w:rsidR="00B97365" w:rsidRDefault="00000000">
      <w:pPr>
        <w:numPr>
          <w:ilvl w:val="0"/>
          <w:numId w:val="122"/>
        </w:numPr>
        <w:rPr>
          <w:lang w:val="en-US"/>
        </w:rPr>
      </w:pPr>
      <w:r>
        <w:rPr>
          <w:lang w:val="en-US"/>
        </w:rPr>
        <w:lastRenderedPageBreak/>
        <w:t>The SM-SR processes the notification</w:t>
      </w:r>
      <w:r>
        <w:rPr>
          <w:rFonts w:cs="Arial"/>
          <w:lang w:val="en-US"/>
        </w:rPr>
        <w:t>. If the notification type indicates “Profile change succeeded” but the Validity Period of the corresponding function call has already expired on the SM-SR, the SM-SR SHALL NOT send the “</w:t>
      </w:r>
      <w:r>
        <w:rPr>
          <w:rFonts w:cs="Arial"/>
          <w:b/>
          <w:lang w:val="en-US"/>
        </w:rPr>
        <w:t>ES5.HandleNotificationConfirmation</w:t>
      </w:r>
      <w:r>
        <w:rPr>
          <w:rFonts w:cs="Arial"/>
          <w:lang w:val="en-US"/>
        </w:rPr>
        <w:t xml:space="preserve">” command defined in section </w:t>
      </w:r>
      <w:r>
        <w:rPr>
          <w:rFonts w:cs="Arial"/>
          <w:lang w:val="en-US"/>
        </w:rPr>
        <w:fldChar w:fldCharType="begin"/>
      </w:r>
      <w:r>
        <w:rPr>
          <w:rFonts w:cs="Arial"/>
          <w:lang w:val="en-US"/>
        </w:rPr>
        <w:instrText xml:space="preserve"> REF _Ref445910953 \r \h </w:instrText>
      </w:r>
      <w:r>
        <w:rPr>
          <w:rFonts w:cs="Arial"/>
          <w:lang w:val="en-US"/>
        </w:rPr>
      </w:r>
      <w:r>
        <w:rPr>
          <w:rFonts w:cs="Arial"/>
          <w:lang w:val="en-US"/>
        </w:rPr>
        <w:fldChar w:fldCharType="separate"/>
      </w:r>
      <w:r w:rsidR="001D5AD9">
        <w:rPr>
          <w:rFonts w:cs="Arial"/>
          <w:lang w:val="en-US"/>
        </w:rPr>
        <w:t>4.1.1.12</w:t>
      </w:r>
      <w:r>
        <w:rPr>
          <w:rFonts w:cs="Arial"/>
          <w:lang w:val="en-US"/>
        </w:rPr>
        <w:fldChar w:fldCharType="end"/>
      </w:r>
      <w:r>
        <w:rPr>
          <w:rFonts w:cs="Arial"/>
          <w:lang w:val="en-US"/>
        </w:rPr>
        <w:t>.</w:t>
      </w:r>
    </w:p>
    <w:p w14:paraId="56C53EA0" w14:textId="77777777" w:rsidR="00B97365" w:rsidRDefault="00000000">
      <w:pPr>
        <w:tabs>
          <w:tab w:val="left" w:pos="1560"/>
        </w:tabs>
        <w:spacing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If the eUICC does not receive the confirmation from the SM-SR, the eUICC may retry sending the notification. After having exhausted all possible retries, the eUICC will roll-back to the previously Enabled Profile.</w:t>
      </w:r>
    </w:p>
    <w:p w14:paraId="6800753C" w14:textId="77777777" w:rsidR="00B97365" w:rsidRDefault="00000000">
      <w:pPr>
        <w:numPr>
          <w:ilvl w:val="0"/>
          <w:numId w:val="122"/>
        </w:numPr>
        <w:rPr>
          <w:lang w:val="en-US"/>
        </w:rPr>
      </w:pPr>
      <w:r>
        <w:rPr>
          <w:lang w:val="en-US"/>
        </w:rPr>
        <w:t>The SM-SR SHALL return an HTTP response with a body containing the “</w:t>
      </w:r>
      <w:r>
        <w:rPr>
          <w:b/>
          <w:lang w:val="en-US"/>
        </w:rPr>
        <w:t>ES5.</w:t>
      </w:r>
      <w:r>
        <w:rPr>
          <w:rFonts w:cs="Arial"/>
          <w:b/>
          <w:lang w:val="en-US"/>
        </w:rPr>
        <w:t xml:space="preserve"> HandleNotificationConfirmation</w:t>
      </w:r>
      <w:r>
        <w:rPr>
          <w:lang w:val="en-US"/>
        </w:rPr>
        <w:t xml:space="preserve">” command acknowledging the reception of the notification. </w:t>
      </w:r>
    </w:p>
    <w:p w14:paraId="749E7B53" w14:textId="77777777" w:rsidR="00B97365" w:rsidRDefault="00000000">
      <w:pPr>
        <w:numPr>
          <w:ilvl w:val="0"/>
          <w:numId w:val="122"/>
        </w:numPr>
        <w:rPr>
          <w:lang w:val="en-US"/>
        </w:rPr>
      </w:pPr>
      <w:r>
        <w:rPr>
          <w:lang w:val="en-US"/>
        </w:rPr>
        <w:t>The eUICC processes the notification confirmation; this may include follow-up activities as required by the procedure where this sequence is used.</w:t>
      </w:r>
    </w:p>
    <w:p w14:paraId="7EEE1B01" w14:textId="77777777" w:rsidR="00B97365" w:rsidRDefault="00000000">
      <w:pPr>
        <w:numPr>
          <w:ilvl w:val="0"/>
          <w:numId w:val="122"/>
        </w:numPr>
        <w:rPr>
          <w:lang w:val="en-US"/>
        </w:rPr>
      </w:pPr>
      <w:r>
        <w:rPr>
          <w:lang w:val="en-US"/>
        </w:rPr>
        <w:t>The eUICC SHALL return the execution response of the “</w:t>
      </w:r>
      <w:r>
        <w:rPr>
          <w:b/>
          <w:lang w:val="en-US"/>
        </w:rPr>
        <w:t>ES5.</w:t>
      </w:r>
      <w:r>
        <w:rPr>
          <w:rFonts w:cs="Arial"/>
          <w:b/>
          <w:lang w:val="en-US"/>
        </w:rPr>
        <w:t xml:space="preserve"> HandleNotificationConfirmation</w:t>
      </w:r>
      <w:r>
        <w:rPr>
          <w:lang w:val="en-US"/>
        </w:rPr>
        <w:t>” command within a new HTTP POST request addressed to the SM-SR.</w:t>
      </w:r>
    </w:p>
    <w:p w14:paraId="0F8EFF4F" w14:textId="77777777" w:rsidR="00B97365" w:rsidRDefault="00000000">
      <w:pPr>
        <w:numPr>
          <w:ilvl w:val="0"/>
          <w:numId w:val="122"/>
        </w:numPr>
        <w:rPr>
          <w:lang w:val="en-US"/>
        </w:rPr>
      </w:pPr>
      <w:r>
        <w:rPr>
          <w:lang w:val="en-US"/>
        </w:rPr>
        <w:t>The SM-SR SHALL return an HTTP response “204 No content”.</w:t>
      </w:r>
    </w:p>
    <w:p w14:paraId="7BE53C9B"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969" w:name="_Toc421885583"/>
      <w:bookmarkStart w:id="1970" w:name="_Toc421885962"/>
      <w:bookmarkStart w:id="1971" w:name="_Toc374348499"/>
      <w:bookmarkStart w:id="1972" w:name="_Toc375158250"/>
      <w:bookmarkStart w:id="1973" w:name="_Toc398214834"/>
      <w:bookmarkStart w:id="1974" w:name="_Toc420594398"/>
      <w:bookmarkStart w:id="1975" w:name="_Toc421874293"/>
      <w:bookmarkStart w:id="1976" w:name="_Toc422150713"/>
      <w:bookmarkStart w:id="1977" w:name="_Toc448998239"/>
      <w:bookmarkStart w:id="1978" w:name="_Ref483406896"/>
      <w:bookmarkStart w:id="1979" w:name="_Toc486332857"/>
      <w:bookmarkStart w:id="1980" w:name="_Toc1977278"/>
      <w:bookmarkStart w:id="1981" w:name="_Toc37062435"/>
      <w:bookmarkStart w:id="1982" w:name="_Toc88839540"/>
      <w:bookmarkStart w:id="1983" w:name="_Toc121503948"/>
      <w:bookmarkEnd w:id="1969"/>
      <w:bookmarkEnd w:id="1970"/>
      <w:r>
        <w:rPr>
          <w:rFonts w:eastAsia="Times New Roman" w:cs="Arial"/>
          <w:b/>
          <w:bCs/>
          <w:iCs/>
          <w:sz w:val="24"/>
          <w:szCs w:val="28"/>
          <w:lang w:eastAsia="en-US"/>
        </w:rPr>
        <w:t>Fall-Back Activation Procedure</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24530E6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Fall-Back Mechanism SHALL be activated in case of loss of network connectivity by the current Enabled Profile. The eUICC SHALL disable the current Enabled Profile and enable the Profile with Fall-Back Attribute set.</w:t>
      </w:r>
    </w:p>
    <w:p w14:paraId="215B73A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the current enabled Profile is the Emergency Profile or the Test Profile, the eUICC SHALL NOT activate the Fall-Back Mechanism, until the Local Disable command is called.</w:t>
      </w:r>
    </w:p>
    <w:p w14:paraId="4C71CF40" w14:textId="77777777" w:rsidR="00B97365" w:rsidRDefault="00B97365">
      <w:pPr>
        <w:spacing w:before="0" w:after="200" w:line="276" w:lineRule="auto"/>
        <w:jc w:val="left"/>
        <w:rPr>
          <w:rFonts w:cs="Arial"/>
          <w:szCs w:val="22"/>
          <w:lang w:val="en-US" w:eastAsia="en-GB" w:bidi="ar-SA"/>
        </w:rPr>
      </w:pPr>
    </w:p>
    <w:p w14:paraId="45289973" w14:textId="77777777" w:rsidR="00B97365" w:rsidRDefault="00B97365">
      <w:pPr>
        <w:rPr>
          <w:rFonts w:cs="Calibri"/>
        </w:rPr>
      </w:pPr>
    </w:p>
    <w:p w14:paraId="4193AA6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58FCA17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6ECAEB4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79B0101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7265A5A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091088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participant “M2M SP” as M2MSP #FFFFFF </w:t>
      </w:r>
    </w:p>
    <w:p w14:paraId="17001B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“Operator1” as OP1 #FFFFFF</w:t>
      </w:r>
    </w:p>
    <w:p w14:paraId="7A1A818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“Operator2” as OP2 #FFFFFF</w:t>
      </w:r>
    </w:p>
    <w:p w14:paraId="65E941D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409078F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Device #FFFFFF</w:t>
      </w:r>
    </w:p>
    <w:p w14:paraId="017CEEE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box “eUICC” #FFFFFF</w:t>
      </w:r>
    </w:p>
    <w:p w14:paraId="30E6BC1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1ECB58F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7A21A69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8007AF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w:t>
      </w:r>
    </w:p>
    <w:p w14:paraId="4579DC8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 Triggering Fall-Back Mechanism</w:t>
      </w:r>
    </w:p>
    <w:p w14:paraId="6F0ED51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2711418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C0B82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w:t>
      </w:r>
    </w:p>
    <w:p w14:paraId="40A6CDF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Disable current Profile.</w:t>
      </w:r>
    </w:p>
    <w:p w14:paraId="5A394D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Enable Fall-Back Profile.</w:t>
      </w:r>
    </w:p>
    <w:p w14:paraId="637185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1522227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99179F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ISDR-&gt;&gt;Device: (3) REFRESH (UICC reset)</w:t>
      </w:r>
    </w:p>
    <w:p w14:paraId="3D01A65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3564F3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Device #C0C0C0</w:t>
      </w:r>
    </w:p>
    <w:p w14:paraId="212A9A8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Network attach</w:t>
      </w:r>
    </w:p>
    <w:p w14:paraId="7A76C57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with the</w:t>
      </w:r>
    </w:p>
    <w:p w14:paraId="39826E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enabled profile</w:t>
      </w:r>
    </w:p>
    <w:p w14:paraId="5BDCB3D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hnote</w:t>
      </w:r>
    </w:p>
    <w:p w14:paraId="3CEC4CD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04DD3F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SR, ISDR #C0C0C0</w:t>
      </w:r>
    </w:p>
    <w:p w14:paraId="54C9731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Notification procedure</w:t>
      </w:r>
    </w:p>
    <w:p w14:paraId="4F51E4D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hnote</w:t>
      </w:r>
    </w:p>
    <w:p w14:paraId="13C50CF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98FE3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w:t>
      </w:r>
    </w:p>
    <w:p w14:paraId="700C42E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(6) EIS Update</w:t>
      </w:r>
    </w:p>
    <w:p w14:paraId="217002F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 rnote</w:t>
      </w:r>
    </w:p>
    <w:p w14:paraId="612EB69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81F982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SR-&gt;OP2: (7) Cond: handleProfileEnabledNotification(eid, iccid2)</w:t>
      </w:r>
    </w:p>
    <w:p w14:paraId="4F1D973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SR-&gt;OP1: (8) Cond: handleProfileDisabledNotification(eid, iccid)</w:t>
      </w:r>
    </w:p>
    <w:p w14:paraId="3D3FF56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(9) Cond: HandleProfileEnabledNotification (eid, iccid2)</w:t>
      </w:r>
    </w:p>
    <w:p w14:paraId="59B615A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(10) Cond: HandleProfileDisabledNotification (eid, iccid)</w:t>
      </w:r>
    </w:p>
    <w:p w14:paraId="3969B27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6EF357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41E2508C" w14:textId="77777777" w:rsidR="00B97365" w:rsidRDefault="00000000">
      <w:pPr>
        <w:rPr>
          <w:rFonts w:cs="Courier New"/>
          <w:noProof/>
          <w:color w:val="008000"/>
          <w:sz w:val="18"/>
        </w:rPr>
      </w:pPr>
      <w:r>
        <w:rPr>
          <w:rFonts w:cs="Courier New"/>
          <w:noProof/>
          <w:color w:val="008000"/>
          <w:sz w:val="18"/>
          <w:lang w:eastAsia="en-GB" w:bidi="ar-SA"/>
        </w:rPr>
        <w:lastRenderedPageBreak/>
        <w:drawing>
          <wp:inline distT="0" distB="0" distL="0" distR="0" wp14:anchorId="41135ECE" wp14:editId="1F28D875">
            <wp:extent cx="5731510" cy="2881279"/>
            <wp:effectExtent l="0" t="0" r="2540" b="0"/>
            <wp:docPr id="443" name="Picture 44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
                    <pic:cNvPicPr/>
                  </pic:nvPicPr>
                  <pic:blipFill>
                    <a:blip r:embed="rId71">
                      <a:extLst>
                        <a:ext uri="{28A0092B-C50C-407E-A947-70E740481C1C}">
                          <a14:useLocalDpi xmlns:a14="http://schemas.microsoft.com/office/drawing/2010/main" val="0"/>
                        </a:ext>
                      </a:extLst>
                    </a:blip>
                    <a:stretch>
                      <a:fillRect/>
                    </a:stretch>
                  </pic:blipFill>
                  <pic:spPr>
                    <a:xfrm>
                      <a:off x="0" y="0"/>
                      <a:ext cx="5731510" cy="2881279"/>
                    </a:xfrm>
                    <a:prstGeom prst="rect">
                      <a:avLst/>
                    </a:prstGeom>
                  </pic:spPr>
                </pic:pic>
              </a:graphicData>
            </a:graphic>
          </wp:inline>
        </w:drawing>
      </w:r>
    </w:p>
    <w:p w14:paraId="2238E78C"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Fall-Back Activation Procedure </w:t>
      </w:r>
    </w:p>
    <w:p w14:paraId="7C17B3C8"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984" w:name="_Toc420594399"/>
      <w:r>
        <w:rPr>
          <w:rFonts w:cs="Arial"/>
          <w:b/>
          <w:noProof/>
          <w:szCs w:val="22"/>
          <w:lang w:val="en-US" w:eastAsia="en-GB" w:bidi="ar-SA"/>
        </w:rPr>
        <w:t>Start Conditions:</w:t>
      </w:r>
      <w:bookmarkEnd w:id="1984"/>
    </w:p>
    <w:p w14:paraId="3458FC43" w14:textId="2CA3EBF1"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p>
    <w:p w14:paraId="54D272E0" w14:textId="77777777" w:rsidR="00B97365" w:rsidRDefault="00000000">
      <w:pPr>
        <w:spacing w:before="0" w:after="200" w:line="276" w:lineRule="auto"/>
        <w:jc w:val="left"/>
        <w:rPr>
          <w:szCs w:val="22"/>
          <w:lang w:val="en-US" w:eastAsia="en-GB" w:bidi="ar-SA"/>
        </w:rPr>
      </w:pPr>
      <w:r>
        <w:rPr>
          <w:rFonts w:cs="Arial"/>
          <w:szCs w:val="22"/>
          <w:lang w:eastAsia="en-GB" w:bidi="ar-SA"/>
        </w:rPr>
        <w:t xml:space="preserve">The profile with </w:t>
      </w:r>
      <w:r>
        <w:rPr>
          <w:szCs w:val="22"/>
          <w:lang w:val="en-US" w:eastAsia="en-GB" w:bidi="ar-SA"/>
        </w:rPr>
        <w:t>Fall-Back Attribute set</w:t>
      </w:r>
      <w:r>
        <w:rPr>
          <w:szCs w:val="22"/>
          <w:lang w:eastAsia="en-GB" w:bidi="ar-SA"/>
        </w:rPr>
        <w:t xml:space="preserve"> has already been installed and is in disabled state</w:t>
      </w:r>
      <w:r>
        <w:rPr>
          <w:szCs w:val="22"/>
          <w:lang w:bidi="ar-SA"/>
        </w:rPr>
        <w:t xml:space="preserve">. </w:t>
      </w:r>
    </w:p>
    <w:p w14:paraId="288DE1BB"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bookmarkStart w:id="1985" w:name="_Toc420594400"/>
      <w:r>
        <w:rPr>
          <w:rFonts w:cs="Arial"/>
          <w:b/>
          <w:noProof/>
          <w:szCs w:val="22"/>
          <w:lang w:val="en-US" w:eastAsia="en-GB" w:bidi="ar-SA"/>
        </w:rPr>
        <w:t>Procedure:</w:t>
      </w:r>
      <w:bookmarkEnd w:id="1985"/>
    </w:p>
    <w:p w14:paraId="66197B0E" w14:textId="77777777" w:rsidR="00B97365" w:rsidRDefault="00000000">
      <w:pPr>
        <w:numPr>
          <w:ilvl w:val="0"/>
          <w:numId w:val="123"/>
        </w:numPr>
        <w:rPr>
          <w:lang w:val="en-US"/>
        </w:rPr>
      </w:pPr>
      <w:r>
        <w:rPr>
          <w:lang w:val="en-US"/>
        </w:rPr>
        <w:t>The Fall-Back Mechanism is triggered in accordance with the Start Conditions.</w:t>
      </w:r>
    </w:p>
    <w:p w14:paraId="7A92A3CB" w14:textId="77777777" w:rsidR="00B97365" w:rsidRDefault="00000000">
      <w:pPr>
        <w:numPr>
          <w:ilvl w:val="0"/>
          <w:numId w:val="123"/>
        </w:numPr>
        <w:rPr>
          <w:lang w:val="en-US"/>
        </w:rPr>
      </w:pPr>
      <w:r>
        <w:rPr>
          <w:lang w:val="en-US"/>
        </w:rPr>
        <w:t xml:space="preserve">Ignoring POL1 of the Enabled Profile, the ISD-R SHALL disable the currently Enabled Profile and SHALL enable the Profile with the Fall-Back Attribute set. </w:t>
      </w:r>
    </w:p>
    <w:p w14:paraId="66A2AF89" w14:textId="77777777" w:rsidR="00B97365" w:rsidRDefault="00000000">
      <w:pPr>
        <w:numPr>
          <w:ilvl w:val="0"/>
          <w:numId w:val="123"/>
        </w:numPr>
        <w:rPr>
          <w:lang w:val="en-US"/>
        </w:rPr>
      </w:pPr>
      <w:r>
        <w:rPr>
          <w:lang w:val="en-US"/>
        </w:rPr>
        <w:t>The ISD-R SHALL request the Device to perform the toolkit REFRESH command in UICC Reset mode. This will trigger the execution of the network attach procedure.</w:t>
      </w:r>
    </w:p>
    <w:p w14:paraId="0A35004D" w14:textId="77777777" w:rsidR="00B97365" w:rsidRDefault="00000000">
      <w:pPr>
        <w:numPr>
          <w:ilvl w:val="0"/>
          <w:numId w:val="123"/>
        </w:numPr>
        <w:rPr>
          <w:lang w:val="en-US"/>
        </w:rPr>
      </w:pPr>
      <w:r>
        <w:rPr>
          <w:lang w:val="en-US"/>
        </w:rPr>
        <w:t>The eUICC and the Device SHALL perform a new network attach procedure.</w:t>
      </w:r>
    </w:p>
    <w:p w14:paraId="2E59422C" w14:textId="22F95796" w:rsidR="00B97365" w:rsidRDefault="00000000">
      <w:pPr>
        <w:numPr>
          <w:ilvl w:val="0"/>
          <w:numId w:val="123"/>
        </w:numPr>
        <w:rPr>
          <w:lang w:val="en-US"/>
        </w:rPr>
      </w:pPr>
      <w:r>
        <w:rPr>
          <w:lang w:val="en-US"/>
        </w:rPr>
        <w:t xml:space="preserve">The eUICC SHALL perform the notification procedure as described in section </w:t>
      </w:r>
      <w:r>
        <w:rPr>
          <w:lang w:val="en-US"/>
        </w:rPr>
        <w:fldChar w:fldCharType="begin"/>
      </w:r>
      <w:r>
        <w:rPr>
          <w:lang w:val="en-US"/>
        </w:rPr>
        <w:instrText xml:space="preserve"> REF _Ref367972946 \r \h  \* MERGEFORMAT </w:instrText>
      </w:r>
      <w:r>
        <w:rPr>
          <w:lang w:val="en-US"/>
        </w:rPr>
      </w:r>
      <w:r>
        <w:rPr>
          <w:lang w:val="en-US"/>
        </w:rPr>
        <w:fldChar w:fldCharType="separate"/>
      </w:r>
      <w:r w:rsidR="001D5AD9">
        <w:rPr>
          <w:lang w:val="en-US"/>
        </w:rPr>
        <w:t>4.1.1.11</w:t>
      </w:r>
      <w:r>
        <w:rPr>
          <w:lang w:val="en-US"/>
        </w:rPr>
        <w:fldChar w:fldCharType="end"/>
      </w:r>
      <w:r>
        <w:rPr>
          <w:lang w:val="en-US"/>
        </w:rPr>
        <w:t>. The ISD-R SHALL ensure that all supported Default Notification mechanism will be used to inform SM-SR about the activation of the Fall-Back Mechanism. After having exhausted all possible retries to inform the SM-SR, the eUICC SHALL stay in this state and continue trying to notify the SM-SR. On reception of the notification, the SM-SR is informed that the Fall-Back Mechanism was triggered and the last Enabled Profile has been disabled.</w:t>
      </w:r>
    </w:p>
    <w:p w14:paraId="314C4E4E" w14:textId="77777777" w:rsidR="00B97365" w:rsidRDefault="00000000">
      <w:pPr>
        <w:numPr>
          <w:ilvl w:val="1"/>
          <w:numId w:val="46"/>
        </w:numPr>
        <w:spacing w:before="0" w:after="200" w:line="276" w:lineRule="auto"/>
        <w:contextualSpacing/>
        <w:rPr>
          <w:lang w:val="en-US"/>
        </w:rPr>
      </w:pPr>
      <w:r>
        <w:rPr>
          <w:lang w:val="en-US"/>
        </w:rPr>
        <w:t>If the previously Enabled Profile contains the rule "Profile deletion is mandatory when its state is changed to disabled", the eUICC SHALL NOT automatically delete this Profile.</w:t>
      </w:r>
    </w:p>
    <w:p w14:paraId="5764C247" w14:textId="77777777" w:rsidR="00B97365" w:rsidRDefault="00000000">
      <w:pPr>
        <w:numPr>
          <w:ilvl w:val="0"/>
          <w:numId w:val="123"/>
        </w:numPr>
        <w:rPr>
          <w:lang w:val="en-US"/>
        </w:rPr>
      </w:pPr>
      <w:r>
        <w:rPr>
          <w:lang w:val="en-US"/>
        </w:rPr>
        <w:t>The SM-SR SHALL update the EIS to reflect that:</w:t>
      </w:r>
    </w:p>
    <w:p w14:paraId="4F7E039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Profile having the Fall-Back Attribute set has been enabled</w:t>
      </w:r>
    </w:p>
    <w:p w14:paraId="305DBED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previously Enabled Profile has been disabled</w:t>
      </w:r>
    </w:p>
    <w:p w14:paraId="176EC394" w14:textId="77777777" w:rsidR="00B97365" w:rsidRDefault="00000000">
      <w:pPr>
        <w:numPr>
          <w:ilvl w:val="0"/>
          <w:numId w:val="123"/>
        </w:numPr>
      </w:pPr>
      <w:r>
        <w:t>Unless Operator1 has set an ONC to not receive those notifications, the SM-SR SHALL send the “</w:t>
      </w:r>
      <w:r>
        <w:rPr>
          <w:b/>
        </w:rPr>
        <w:t>ES4.HandleProfileEnabledNotification</w:t>
      </w:r>
      <w:r>
        <w:t xml:space="preserve">” to Operator2, the owner of Profile with the Fall-Back Attribute set that is now enabled. In case Operator2 has no direct connection with the SM-SR (SM-SR SHALL be able to detect such situation based on its own database), the SM-SR SHALL send this notification to the SM-DP that acts on behalf of </w:t>
      </w:r>
      <w:r>
        <w:lastRenderedPageBreak/>
        <w:t>Operator2 by calling the “</w:t>
      </w:r>
      <w:r>
        <w:rPr>
          <w:b/>
        </w:rPr>
        <w:t>ES3.HandleProfileEnabledNotification</w:t>
      </w:r>
      <w:r>
        <w:t>”. The SM-SR can retrieve the SM-DP identity based on the EIS content. Then the SM-DP, on reception of this notification, SHALL forward it to Operator2 by calling the “</w:t>
      </w:r>
      <w:r>
        <w:rPr>
          <w:b/>
        </w:rPr>
        <w:t>ES2.HandleProfileEnabledNotification</w:t>
      </w:r>
      <w:r>
        <w:t>”.</w:t>
      </w:r>
    </w:p>
    <w:p w14:paraId="0F51C236" w14:textId="77777777" w:rsidR="00B97365" w:rsidRDefault="00000000">
      <w:pPr>
        <w:numPr>
          <w:ilvl w:val="0"/>
          <w:numId w:val="123"/>
        </w:numPr>
        <w:rPr>
          <w:lang w:val="en-US"/>
        </w:rPr>
      </w:pPr>
      <w:r>
        <w:t>Unless Operator1 has set an ONC to not receive those notifications, the</w:t>
      </w:r>
      <w:r>
        <w:rPr>
          <w:lang w:val="en-US"/>
        </w:rPr>
        <w:t>he SM-SR SHALL send the “</w:t>
      </w:r>
      <w:r>
        <w:rPr>
          <w:b/>
          <w:lang w:val="en-US"/>
        </w:rPr>
        <w:t>ES4.HandleProfileDisabledNotification</w:t>
      </w:r>
      <w:r>
        <w:rPr>
          <w:lang w:val="en-US"/>
        </w:rPr>
        <w:t>” to Operator1, the owner of the Profile that was enabled at the beginning of the procedure. In case Operator1 has no direct connection with the SM-SR (SM-SR SHALL be able to detect such a situation based on its own database), the SM-SR SHALL send this notification to the SM-DP that acts on behalf of Operator1 by calling the “</w:t>
      </w:r>
      <w:r>
        <w:rPr>
          <w:b/>
          <w:lang w:val="en-US"/>
        </w:rPr>
        <w:t>ES3.HandleProfileDisabledNotification</w:t>
      </w:r>
      <w:r>
        <w:rPr>
          <w:lang w:val="en-US"/>
        </w:rPr>
        <w:t>”. The SM-SR can retrieve the SM-DP identity based on the EIS content. Then the SM-DP, on reception of this notification, SHALL forward it to Operator1 by calling the “</w:t>
      </w:r>
      <w:r>
        <w:rPr>
          <w:b/>
          <w:lang w:val="en-US"/>
        </w:rPr>
        <w:t>ES2.HandleProfileDisabledNotification</w:t>
      </w:r>
      <w:r>
        <w:rPr>
          <w:lang w:val="en-US"/>
        </w:rPr>
        <w:t>”.</w:t>
      </w:r>
    </w:p>
    <w:p w14:paraId="4E9442FF" w14:textId="77777777" w:rsidR="00B97365" w:rsidRDefault="00000000">
      <w:pPr>
        <w:numPr>
          <w:ilvl w:val="0"/>
          <w:numId w:val="123"/>
        </w:numPr>
        <w:rPr>
          <w:lang w:val="en-US"/>
        </w:rPr>
      </w:pPr>
      <w:r>
        <w:rPr>
          <w:lang w:val="en-US"/>
        </w:rPr>
        <w:t>The SM-SR SHALL send the "</w:t>
      </w:r>
      <w:r>
        <w:rPr>
          <w:b/>
          <w:lang w:val="en-US"/>
        </w:rPr>
        <w:t>ES4.HandleProfileEnabledNotification</w:t>
      </w:r>
      <w:r>
        <w:rPr>
          <w:lang w:val="en-US"/>
        </w:rPr>
        <w:t>" to an M2M SP, if authorised by Operator2 who owns the Profile with Fall-Back Attribute set that is now enabled.</w:t>
      </w:r>
    </w:p>
    <w:p w14:paraId="28DAFF03" w14:textId="77777777" w:rsidR="00B97365" w:rsidRDefault="00000000">
      <w:pPr>
        <w:spacing w:before="0" w:after="200" w:line="276" w:lineRule="auto"/>
        <w:ind w:left="567"/>
        <w:jc w:val="left"/>
        <w:rPr>
          <w:rFonts w:cs="Arial"/>
          <w:szCs w:val="22"/>
          <w:lang w:eastAsia="en-GB" w:bidi="ar-SA"/>
        </w:rPr>
      </w:pPr>
      <w:r>
        <w:rPr>
          <w:rFonts w:cs="Arial"/>
          <w:szCs w:val="22"/>
          <w:lang w:eastAsia="en-GB" w:bidi="ar-SA"/>
        </w:rPr>
        <w:t>If the M2M SP is another Operator directly connected to the SM-SR and it is authorised by Operator2, the SM-SR SHALL send this notification to this other Operator by calling the “</w:t>
      </w:r>
      <w:r>
        <w:rPr>
          <w:rFonts w:cs="Arial"/>
          <w:b/>
          <w:szCs w:val="22"/>
          <w:lang w:eastAsia="en-GB" w:bidi="ar-SA"/>
        </w:rPr>
        <w:t>ES4.HandleProfileEnabledNotification</w:t>
      </w:r>
      <w:r>
        <w:rPr>
          <w:rFonts w:cs="Arial"/>
          <w:szCs w:val="22"/>
          <w:lang w:eastAsia="en-GB" w:bidi="ar-SA"/>
        </w:rPr>
        <w:t>”.</w:t>
      </w:r>
    </w:p>
    <w:p w14:paraId="7475EFC7" w14:textId="77777777" w:rsidR="00B97365" w:rsidRDefault="00000000">
      <w:pPr>
        <w:spacing w:before="0" w:after="200" w:line="276" w:lineRule="auto"/>
        <w:ind w:left="567"/>
        <w:jc w:val="left"/>
        <w:rPr>
          <w:rFonts w:cs="Arial"/>
          <w:szCs w:val="22"/>
          <w:lang w:eastAsia="en-GB" w:bidi="ar-SA"/>
        </w:rPr>
      </w:pPr>
      <w:r>
        <w:rPr>
          <w:rFonts w:cs="Arial"/>
          <w:szCs w:val="22"/>
          <w:lang w:eastAsia="en-GB" w:bidi="ar-SA"/>
        </w:rPr>
        <w:t>If the M2M SP is another Operator connected through its SM-DP and it is authorised by Operator2, the SM-SR SHALL send this notification to the SM-DP associated to this other Operator by calling the “</w:t>
      </w:r>
      <w:r>
        <w:rPr>
          <w:rFonts w:cs="Arial"/>
          <w:b/>
          <w:szCs w:val="22"/>
          <w:lang w:eastAsia="en-GB" w:bidi="ar-SA"/>
        </w:rPr>
        <w:t>ES3.HandleProfileEnabledNotification</w:t>
      </w:r>
      <w:r>
        <w:rPr>
          <w:rFonts w:cs="Arial"/>
          <w:szCs w:val="22"/>
          <w:lang w:eastAsia="en-GB" w:bidi="ar-SA"/>
        </w:rPr>
        <w:t>”.</w:t>
      </w:r>
    </w:p>
    <w:p w14:paraId="6B7C8F64" w14:textId="77777777" w:rsidR="00B97365" w:rsidRDefault="00000000">
      <w:pPr>
        <w:spacing w:before="0" w:after="200" w:line="276" w:lineRule="auto"/>
        <w:ind w:left="567"/>
        <w:jc w:val="left"/>
        <w:rPr>
          <w:rFonts w:cs="Arial"/>
          <w:szCs w:val="22"/>
          <w:lang w:eastAsia="en-GB" w:bidi="ar-SA"/>
        </w:rPr>
      </w:pPr>
      <w:r>
        <w:rPr>
          <w:rFonts w:cs="Arial"/>
          <w:szCs w:val="22"/>
          <w:lang w:eastAsia="en-GB" w:bidi="ar-SA"/>
        </w:rPr>
        <w:t>Then the SM-DP, on reception of this notification, SHALL forward it to the Operator, acting as the M2M SP, by calling the “</w:t>
      </w:r>
      <w:r>
        <w:rPr>
          <w:rFonts w:cs="Arial"/>
          <w:b/>
          <w:szCs w:val="22"/>
          <w:lang w:eastAsia="en-GB" w:bidi="ar-SA"/>
        </w:rPr>
        <w:t>ES2.HandleProfileEnabledNotification</w:t>
      </w:r>
      <w:r>
        <w:rPr>
          <w:rFonts w:cs="Arial"/>
          <w:szCs w:val="22"/>
          <w:lang w:eastAsia="en-GB" w:bidi="ar-SA"/>
        </w:rPr>
        <w:t>”.</w:t>
      </w:r>
    </w:p>
    <w:p w14:paraId="2495D0F6" w14:textId="77777777" w:rsidR="00B97365" w:rsidRDefault="00000000">
      <w:pPr>
        <w:numPr>
          <w:ilvl w:val="0"/>
          <w:numId w:val="123"/>
        </w:numPr>
        <w:spacing w:before="0" w:after="200" w:line="276" w:lineRule="auto"/>
        <w:contextualSpacing/>
        <w:rPr>
          <w:lang w:val="en-US"/>
        </w:rPr>
      </w:pPr>
      <w:r>
        <w:rPr>
          <w:lang w:val="en-US"/>
        </w:rPr>
        <w:t>The SM-SR SHALL send the "</w:t>
      </w:r>
      <w:r>
        <w:rPr>
          <w:b/>
          <w:lang w:val="en-US"/>
        </w:rPr>
        <w:t>ES4.HandleProfileDisabledNotification</w:t>
      </w:r>
      <w:r>
        <w:rPr>
          <w:lang w:val="en-US"/>
        </w:rPr>
        <w:t>" to an M2M SP, if authorised by Operator1 who owns the Profile that was enabled at the beginning of the procedure.</w:t>
      </w:r>
    </w:p>
    <w:p w14:paraId="227E3AEC" w14:textId="77777777" w:rsidR="00B97365" w:rsidRDefault="00000000">
      <w:pPr>
        <w:ind w:left="567"/>
      </w:pPr>
      <w:r>
        <w:t>If the M2M SP is another Operator directly connected to the SM-SR and it is authorised by Operator1, the SM-SR SHALL send this notification to this other Operator by calling the “</w:t>
      </w:r>
      <w:r>
        <w:rPr>
          <w:b/>
        </w:rPr>
        <w:t>ES4.HandleProfileDisabledNotification</w:t>
      </w:r>
      <w:r>
        <w:t>”.</w:t>
      </w:r>
    </w:p>
    <w:p w14:paraId="5FA72322" w14:textId="77777777" w:rsidR="00B97365" w:rsidRDefault="00000000">
      <w:pPr>
        <w:ind w:left="567"/>
        <w:rPr>
          <w:lang w:val="en-US"/>
        </w:rPr>
      </w:pPr>
      <w:r>
        <w:t>If the M2M SP is another Operator connected through its SM-DP and it is authorised by Operator1, the SM-SR SHALL send this notification to the SM-DP associated to this other Operator by calling the “</w:t>
      </w:r>
      <w:r>
        <w:rPr>
          <w:b/>
        </w:rPr>
        <w:t>ES3.HandleProfileDisabledNotification</w:t>
      </w:r>
      <w:r>
        <w:t>”.</w:t>
      </w:r>
    </w:p>
    <w:p w14:paraId="29FBC06C" w14:textId="77777777" w:rsidR="00B97365" w:rsidRDefault="00000000">
      <w:pPr>
        <w:ind w:left="567"/>
      </w:pPr>
      <w:r>
        <w:t>Then the SM-DP, on reception of this notification, SHALL forward it to the Operator, acting as the M2M SP, by calling the “</w:t>
      </w:r>
      <w:r>
        <w:rPr>
          <w:b/>
        </w:rPr>
        <w:t>ES2.HandleProfileDisabledNotification</w:t>
      </w:r>
      <w:r>
        <w:t>”.</w:t>
      </w:r>
    </w:p>
    <w:p w14:paraId="3A11A662" w14:textId="77777777" w:rsidR="00B97365" w:rsidRDefault="00B97365">
      <w:pPr>
        <w:ind w:left="567"/>
      </w:pPr>
    </w:p>
    <w:p w14:paraId="5228CB74"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This M2M SP might be the same M2M SP as for Operator1 or any other M2M SP.</w:t>
      </w:r>
    </w:p>
    <w:p w14:paraId="0211F06B" w14:textId="77777777" w:rsidR="00B97365" w:rsidRDefault="00000000">
      <w:pPr>
        <w:spacing w:before="240" w:after="200" w:line="276" w:lineRule="auto"/>
        <w:jc w:val="left"/>
        <w:rPr>
          <w:rFonts w:cs="Arial"/>
          <w:szCs w:val="22"/>
          <w:lang w:val="en-US" w:eastAsia="en-GB" w:bidi="ar-SA"/>
        </w:rPr>
      </w:pPr>
      <w:r>
        <w:rPr>
          <w:rFonts w:cs="Arial"/>
          <w:szCs w:val="22"/>
          <w:lang w:val="en-US" w:eastAsia="en-GB" w:bidi="ar-SA"/>
        </w:rPr>
        <w:t>If the previously Enabled Profile has the POL1 rule “disable not allowed” or “Profile deletion is mandatory when its state is changed to disabled” set, then:</w:t>
      </w:r>
    </w:p>
    <w:p w14:paraId="0540F318"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eUICC SHALL only switch back to this Profile</w:t>
      </w:r>
    </w:p>
    <w:p w14:paraId="27BA985E"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The eUICC SHALL prevent the execution of the function </w:t>
      </w:r>
      <w:r>
        <w:rPr>
          <w:rFonts w:cs="Arial"/>
          <w:szCs w:val="22"/>
          <w:lang w:val="en-US" w:eastAsia="en-GB" w:bidi="ar-SA"/>
        </w:rPr>
        <w:t>“Set Fall-Back Attribute”</w:t>
      </w:r>
    </w:p>
    <w:p w14:paraId="3C7424E8"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it SHALL only be possible to delete this Profile by the Master Delete function. </w:t>
      </w:r>
    </w:p>
    <w:p w14:paraId="4EB8AFE9" w14:textId="24BE7739"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lastRenderedPageBreak/>
        <w:t xml:space="preserve">NOTE: </w:t>
      </w:r>
      <w:r>
        <w:rPr>
          <w:szCs w:val="22"/>
          <w:lang w:eastAsia="en-GB" w:bidi="ar-SA"/>
        </w:rPr>
        <w:tab/>
        <w:t xml:space="preserve">A mechanism MAY permit to request to the eUICC to switch back to the previously enabled profile once the network connectivity has been restored. In this case, after network attachment to the previously Enabled profile succeeds, the eUICC SHALL perform the notification procedure as described in section </w:t>
      </w:r>
      <w:r>
        <w:rPr>
          <w:szCs w:val="22"/>
          <w:lang w:eastAsia="en-GB" w:bidi="ar-SA"/>
        </w:rPr>
        <w:fldChar w:fldCharType="begin"/>
      </w:r>
      <w:r>
        <w:rPr>
          <w:szCs w:val="22"/>
          <w:lang w:eastAsia="en-GB" w:bidi="ar-SA"/>
        </w:rPr>
        <w:instrText xml:space="preserve"> REF _Ref481768760 \r \h  \* MERGEFORMAT </w:instrText>
      </w:r>
      <w:r>
        <w:rPr>
          <w:szCs w:val="22"/>
          <w:lang w:eastAsia="en-GB" w:bidi="ar-SA"/>
        </w:rPr>
      </w:r>
      <w:r>
        <w:rPr>
          <w:szCs w:val="22"/>
          <w:lang w:eastAsia="en-GB" w:bidi="ar-SA"/>
        </w:rPr>
        <w:fldChar w:fldCharType="separate"/>
      </w:r>
      <w:r w:rsidR="001D5AD9">
        <w:rPr>
          <w:szCs w:val="22"/>
          <w:lang w:eastAsia="en-GB" w:bidi="ar-SA"/>
        </w:rPr>
        <w:t>4.1.1.11</w:t>
      </w:r>
      <w:r>
        <w:rPr>
          <w:szCs w:val="22"/>
          <w:lang w:eastAsia="en-GB" w:bidi="ar-SA"/>
        </w:rPr>
        <w:fldChar w:fldCharType="end"/>
      </w:r>
      <w:r>
        <w:rPr>
          <w:szCs w:val="22"/>
          <w:lang w:eastAsia="en-GB" w:bidi="ar-SA"/>
        </w:rPr>
        <w:t>. The ISD-R SHALL ensure that all supported Default Notification mechanism will be used to inform SM-SR that the previously enabled profile has been enabled again. After having exhausted all possible retries to inform the SM-SR, the eUICC SHALL continue trying to notify the SM-SR. On reception of the notification, the SM-SR is informed that the Fall-Back Mechanism is cancelled, and SHALL update the EIS to reflect the new Enabled and Disabled profiles.</w:t>
      </w:r>
    </w:p>
    <w:p w14:paraId="1E4154B7" w14:textId="77777777" w:rsidR="00B97365" w:rsidRDefault="00000000">
      <w:pPr>
        <w:spacing w:before="240" w:after="200" w:line="276" w:lineRule="auto"/>
        <w:jc w:val="left"/>
        <w:rPr>
          <w:rFonts w:cs="Arial"/>
          <w:szCs w:val="22"/>
          <w:lang w:val="en-US" w:eastAsia="en-GB" w:bidi="ar-SA"/>
        </w:rPr>
      </w:pPr>
      <w:r>
        <w:rPr>
          <w:rFonts w:cs="Arial"/>
          <w:szCs w:val="22"/>
          <w:lang w:val="en-US" w:eastAsia="en-GB" w:bidi="ar-SA"/>
        </w:rPr>
        <w:t>The technical solution of the cancellation of the Fall-Back Mechanism mentioned above is out of scope.</w:t>
      </w:r>
    </w:p>
    <w:p w14:paraId="4B5BA681"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1986" w:name="_Ref532559561"/>
      <w:bookmarkStart w:id="1987" w:name="_Toc1977279"/>
      <w:bookmarkStart w:id="1988" w:name="_Toc37062436"/>
      <w:bookmarkStart w:id="1989" w:name="_Toc88839541"/>
      <w:bookmarkStart w:id="1990" w:name="_Toc121503949"/>
      <w:r>
        <w:rPr>
          <w:rFonts w:eastAsia="Times New Roman" w:cs="Arial"/>
          <w:b/>
          <w:bCs/>
          <w:iCs/>
          <w:sz w:val="24"/>
          <w:szCs w:val="28"/>
          <w:lang w:eastAsia="en-US"/>
        </w:rPr>
        <w:t xml:space="preserve">Profile Enabling via </w:t>
      </w:r>
      <w:bookmarkEnd w:id="1986"/>
      <w:r>
        <w:rPr>
          <w:rFonts w:eastAsia="Times New Roman" w:cs="Arial"/>
          <w:b/>
          <w:bCs/>
          <w:iCs/>
          <w:sz w:val="24"/>
          <w:szCs w:val="28"/>
          <w:lang w:eastAsia="en-US"/>
        </w:rPr>
        <w:t>M2M SP</w:t>
      </w:r>
      <w:bookmarkEnd w:id="1987"/>
      <w:bookmarkEnd w:id="1988"/>
      <w:bookmarkEnd w:id="1989"/>
      <w:bookmarkEnd w:id="1990"/>
    </w:p>
    <w:p w14:paraId="160F7B48" w14:textId="2C087C86" w:rsidR="00B97365" w:rsidRDefault="00000000">
      <w:pPr>
        <w:spacing w:before="0" w:after="200" w:line="276" w:lineRule="auto"/>
        <w:jc w:val="left"/>
        <w:rPr>
          <w:szCs w:val="22"/>
          <w:lang w:eastAsia="en-GB" w:bidi="ar-SA"/>
        </w:rPr>
      </w:pPr>
      <w:r>
        <w:rPr>
          <w:rFonts w:cs="Arial"/>
          <w:szCs w:val="22"/>
          <w:lang w:eastAsia="en-GB" w:bidi="ar-SA"/>
        </w:rPr>
        <w:t xml:space="preserve">The Profile Enabling procedure between the M2M SP and the SM-SR is used to enable a Profile previously downloaded and installed on an eUICC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3.5.16). The procedure is initiated by the M2M SP, based on prior authorisation of the Operator owning the Profile to be enabled, as defined in section </w:t>
      </w:r>
      <w:r>
        <w:rPr>
          <w:szCs w:val="22"/>
          <w:lang w:eastAsia="en-GB" w:bidi="ar-SA"/>
        </w:rPr>
        <w:fldChar w:fldCharType="begin"/>
      </w:r>
      <w:r>
        <w:rPr>
          <w:szCs w:val="22"/>
          <w:lang w:eastAsia="en-GB" w:bidi="ar-SA"/>
        </w:rPr>
        <w:instrText xml:space="preserve"> REF _Ref530152653 \r \h </w:instrText>
      </w:r>
      <w:r>
        <w:rPr>
          <w:szCs w:val="22"/>
          <w:lang w:eastAsia="en-GB" w:bidi="ar-SA"/>
        </w:rPr>
      </w:r>
      <w:r>
        <w:rPr>
          <w:szCs w:val="22"/>
          <w:lang w:eastAsia="en-GB" w:bidi="ar-SA"/>
        </w:rPr>
        <w:fldChar w:fldCharType="separate"/>
      </w:r>
      <w:r w:rsidR="001D5AD9">
        <w:rPr>
          <w:szCs w:val="22"/>
          <w:lang w:eastAsia="en-GB" w:bidi="ar-SA"/>
        </w:rPr>
        <w:t>3.20</w:t>
      </w:r>
      <w:r>
        <w:rPr>
          <w:szCs w:val="22"/>
          <w:lang w:eastAsia="en-GB" w:bidi="ar-SA"/>
        </w:rPr>
        <w:fldChar w:fldCharType="end"/>
      </w:r>
      <w:r>
        <w:rPr>
          <w:szCs w:val="22"/>
          <w:lang w:eastAsia="en-GB" w:bidi="ar-SA"/>
        </w:rPr>
        <w:t>. The procedure illustrates the usage of SMS as a possible transport protocol between SM-SR and eUICC,</w:t>
      </w:r>
      <w:r>
        <w:rPr>
          <w:color w:val="FF0000"/>
          <w:szCs w:val="22"/>
          <w:lang w:eastAsia="en-GB" w:bidi="ar-SA"/>
        </w:rPr>
        <w:t xml:space="preserve"> </w:t>
      </w:r>
      <w:r>
        <w:rPr>
          <w:szCs w:val="22"/>
          <w:lang w:eastAsia="en-GB" w:bidi="ar-SA"/>
        </w:rPr>
        <w:t>but can also be performed using other transport protocols.</w:t>
      </w:r>
    </w:p>
    <w:p w14:paraId="6AF9398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991" w:name="_Ref531614454"/>
      <w:bookmarkStart w:id="1992" w:name="_Toc1977280"/>
      <w:bookmarkStart w:id="1993" w:name="_Toc37062437"/>
      <w:bookmarkStart w:id="1994" w:name="_Toc88839542"/>
      <w:bookmarkStart w:id="1995" w:name="_Toc121503950"/>
      <w:r>
        <w:rPr>
          <w:rFonts w:eastAsia="Times New Roman" w:cs="Arial"/>
          <w:b/>
          <w:bCs/>
          <w:iCs/>
          <w:sz w:val="24"/>
          <w:szCs w:val="26"/>
          <w:lang w:eastAsia="en-US"/>
        </w:rPr>
        <w:t xml:space="preserve">Normal </w:t>
      </w:r>
      <w:r>
        <w:rPr>
          <w:rFonts w:eastAsia="Times New Roman" w:cs="Arial"/>
          <w:b/>
          <w:sz w:val="24"/>
          <w:szCs w:val="26"/>
          <w:lang w:eastAsia="en-US"/>
        </w:rPr>
        <w:t>Case</w:t>
      </w:r>
      <w:bookmarkEnd w:id="1991"/>
      <w:bookmarkEnd w:id="1992"/>
      <w:bookmarkEnd w:id="1993"/>
      <w:bookmarkEnd w:id="1994"/>
      <w:bookmarkEnd w:id="1995"/>
    </w:p>
    <w:p w14:paraId="76207E47" w14:textId="77777777"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figure below </w:t>
      </w:r>
      <w:r>
        <w:rPr>
          <w:szCs w:val="22"/>
          <w:lang w:eastAsia="en-GB" w:bidi="ar-SA"/>
        </w:rPr>
        <w:t>describes the normal case where the target Profile can successfully be enabled.</w:t>
      </w:r>
    </w:p>
    <w:p w14:paraId="5799576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30BB4D7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1C97541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74813D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1D151D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4E1C60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31B4AEC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BA0CB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62ADA4D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A9A4E1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4CB264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“Operator2” as OP2 #FFFFFF</w:t>
      </w:r>
    </w:p>
    <w:p w14:paraId="72C1B48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“Operator1” as OP1 #FFFFFF</w:t>
      </w:r>
    </w:p>
    <w:p w14:paraId="0C37905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4AA8FF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“Device” as DEV #FFFFFF</w:t>
      </w:r>
    </w:p>
    <w:p w14:paraId="5056C81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box “eUICC” #FFFFFF</w:t>
      </w:r>
    </w:p>
    <w:p w14:paraId="2C47377B"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3C254C">
        <w:rPr>
          <w:rFonts w:ascii="Courier New" w:hAnsi="Courier New" w:cs="Courier New"/>
          <w:noProof/>
          <w:color w:val="008000"/>
          <w:sz w:val="18"/>
          <w:lang w:val="fr-FR"/>
        </w:rPr>
        <w:t>participant “ISD-R” as ISDR #FFFFFF</w:t>
      </w:r>
    </w:p>
    <w:p w14:paraId="43283FB4"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3C254C">
        <w:rPr>
          <w:rFonts w:ascii="Courier New" w:hAnsi="Courier New" w:cs="Courier New"/>
          <w:noProof/>
          <w:color w:val="008000"/>
          <w:sz w:val="18"/>
          <w:lang w:val="fr-FR"/>
        </w:rPr>
        <w:t>endbox</w:t>
      </w:r>
    </w:p>
    <w:p w14:paraId="7A20A3F2" w14:textId="77777777" w:rsidR="00B97365" w:rsidRPr="003C254C"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513E66A9"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3C254C">
        <w:rPr>
          <w:rFonts w:ascii="Courier New" w:hAnsi="Courier New" w:cs="Courier New"/>
          <w:noProof/>
          <w:color w:val="008000"/>
          <w:sz w:val="18"/>
          <w:lang w:val="fr-FR"/>
        </w:rPr>
        <w:t>M2MSP-&gt;&gt;SR: (1) EnableProfile(eid, iccid)</w:t>
      </w:r>
    </w:p>
    <w:p w14:paraId="61F5430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1919310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767A5F9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FB2D8D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 M2MSP: Failed</w:t>
      </w:r>
    </w:p>
    <w:p w14:paraId="1B364D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 MT-SMS [ES5.STORE DATA command]SCP80</w:t>
      </w:r>
    </w:p>
    <w:p w14:paraId="0D3709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1380A12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Enforce POL1</w:t>
      </w:r>
    </w:p>
    <w:p w14:paraId="48B3CD5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4D9002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[ES5.STORE DATA command Failed response]SCP80</w:t>
      </w:r>
    </w:p>
    <w:p w14:paraId="03E6F26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 M2MSP: Failed</w:t>
      </w:r>
    </w:p>
    <w:p w14:paraId="4DEEB31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5959200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Enable ISD-P</w:t>
      </w:r>
    </w:p>
    <w:p w14:paraId="4B2E2F2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5D445C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[ES5.STORE DATA command response]SCP80</w:t>
      </w:r>
    </w:p>
    <w:p w14:paraId="7B86F1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 M2MSP: (6a) Failed</w:t>
      </w:r>
    </w:p>
    <w:p w14:paraId="02DBBF8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(7) REFRESH, (UICC reset)</w:t>
      </w:r>
    </w:p>
    <w:p w14:paraId="434E313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29C21E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with the enabled profile</w:t>
      </w:r>
    </w:p>
    <w:p w14:paraId="171E2B0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B65A73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05CE17D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SR #FFFFFF</w:t>
      </w:r>
    </w:p>
    <w:p w14:paraId="4E7497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(9)                 Notification procedure over SMS                         </w:t>
      </w:r>
    </w:p>
    <w:p w14:paraId="69E6C1E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54A9B84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0E0F2AD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76EBA35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(10) Check POL2</w:t>
      </w:r>
    </w:p>
    <w:p w14:paraId="48E7338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8AF942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(11) Cond.:  MT-SMS [ES5.DELETE command]SCP80</w:t>
      </w:r>
    </w:p>
    <w:p w14:paraId="32D2C60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5B02CC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(11a) Enforce POL1</w:t>
      </w:r>
    </w:p>
    <w:p w14:paraId="15600D4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0EA2D5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[ES5.DELETE command FAILED response]SCP80</w:t>
      </w:r>
    </w:p>
    <w:p w14:paraId="52DA468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Failed</w:t>
      </w:r>
    </w:p>
    <w:p w14:paraId="1AD1C1A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7BFE039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(11b) Delete disabled ISD-P</w:t>
      </w:r>
    </w:p>
    <w:p w14:paraId="5ADDC53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and contained profile</w:t>
      </w:r>
    </w:p>
    <w:p w14:paraId="08E318A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B35CAC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(11c) MO-SMS [ES5.DELETE command response]SCP80</w:t>
      </w:r>
    </w:p>
    <w:p w14:paraId="29B14E1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120ED1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(12) Update EIS</w:t>
      </w:r>
    </w:p>
    <w:p w14:paraId="5D8AFE3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8469F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(13) Profile enabling result</w:t>
      </w:r>
    </w:p>
    <w:p w14:paraId="085EFB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(14) Cond: HandleProfileEnabledNotification (eid, iccid)</w:t>
      </w:r>
    </w:p>
    <w:p w14:paraId="3EE634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SR-&gt;&gt;OP2: (15) Cond: HandleProfileDisabledNotification(eid2, iccid2)</w:t>
      </w:r>
    </w:p>
    <w:p w14:paraId="207C0D7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(16) Cond: HandleProfileDisabledNotification(eid2, iccid2)</w:t>
      </w:r>
    </w:p>
    <w:p w14:paraId="521DB08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809EF2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10288948" w14:textId="77777777" w:rsidR="00B97365" w:rsidRDefault="00000000">
      <w:pPr>
        <w:rPr>
          <w:rFonts w:cs="Courier New"/>
          <w:noProof/>
          <w:color w:val="008000"/>
          <w:sz w:val="18"/>
          <w:lang w:eastAsia="en-GB" w:bidi="ar-SA"/>
        </w:rPr>
      </w:pPr>
      <w:r>
        <w:rPr>
          <w:rFonts w:cs="Courier New"/>
          <w:noProof/>
          <w:color w:val="008000"/>
          <w:sz w:val="18"/>
          <w:lang w:eastAsia="en-GB" w:bidi="ar-SA"/>
        </w:rPr>
        <w:lastRenderedPageBreak/>
        <w:drawing>
          <wp:inline distT="0" distB="0" distL="0" distR="0" wp14:anchorId="7D04CF40" wp14:editId="3C8FC6C8">
            <wp:extent cx="5731510" cy="4188749"/>
            <wp:effectExtent l="0" t="0" r="2540" b="2540"/>
            <wp:docPr id="444" name="Picture 44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
                    <pic:cNvPicPr/>
                  </pic:nvPicPr>
                  <pic:blipFill>
                    <a:blip r:embed="rId72">
                      <a:extLst>
                        <a:ext uri="{28A0092B-C50C-407E-A947-70E740481C1C}">
                          <a14:useLocalDpi xmlns:a14="http://schemas.microsoft.com/office/drawing/2010/main" val="0"/>
                        </a:ext>
                      </a:extLst>
                    </a:blip>
                    <a:stretch>
                      <a:fillRect/>
                    </a:stretch>
                  </pic:blipFill>
                  <pic:spPr>
                    <a:xfrm>
                      <a:off x="0" y="0"/>
                      <a:ext cx="5731510" cy="4188749"/>
                    </a:xfrm>
                    <a:prstGeom prst="rect">
                      <a:avLst/>
                    </a:prstGeom>
                  </pic:spPr>
                </pic:pic>
              </a:graphicData>
            </a:graphic>
          </wp:inline>
        </w:drawing>
      </w:r>
    </w:p>
    <w:p w14:paraId="7E274806" w14:textId="77777777" w:rsidR="00B97365" w:rsidRDefault="00B97365">
      <w:pPr>
        <w:spacing w:before="0" w:after="200" w:line="276" w:lineRule="auto"/>
        <w:jc w:val="left"/>
        <w:rPr>
          <w:szCs w:val="22"/>
          <w:lang w:eastAsia="en-GB" w:bidi="ar-SA"/>
        </w:rPr>
      </w:pPr>
    </w:p>
    <w:p w14:paraId="44030936"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Profile Enabling via M2M SP, Success Case </w:t>
      </w:r>
    </w:p>
    <w:p w14:paraId="43854059"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6A02671A" w14:textId="332AB74B"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793A494D"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4C1B0EA6" w14:textId="77777777" w:rsidR="00B97365" w:rsidRDefault="00000000">
      <w:pPr>
        <w:numPr>
          <w:ilvl w:val="0"/>
          <w:numId w:val="124"/>
        </w:numPr>
      </w:pPr>
      <w:r>
        <w:t xml:space="preserve">To enable the targeted Profile of Operator1 the M2M SP SHALL call the </w:t>
      </w:r>
      <w:r>
        <w:rPr>
          <w:b/>
        </w:rPr>
        <w:t>“ES4.EnableProfile”</w:t>
      </w:r>
      <w:r>
        <w:t xml:space="preserve"> function with its relevant input data. </w:t>
      </w:r>
    </w:p>
    <w:p w14:paraId="450DE3ED" w14:textId="41612FE2" w:rsidR="00B97365" w:rsidRDefault="00000000">
      <w:pPr>
        <w:numPr>
          <w:ilvl w:val="0"/>
          <w:numId w:val="124"/>
        </w:numPr>
      </w:pPr>
      <w:r>
        <w:t xml:space="preserve">The SM-SR SHALL verify that the M2M SP request is acceptable (the verifications that the SM-SR SHALL perform are described in the section </w:t>
      </w:r>
      <w:r>
        <w:fldChar w:fldCharType="begin"/>
      </w:r>
      <w:r>
        <w:instrText xml:space="preserve"> REF _Ref367970625 \r \h  \* MERGEFORMAT </w:instrText>
      </w:r>
      <w:r>
        <w:fldChar w:fldCharType="separate"/>
      </w:r>
      <w:r w:rsidR="001D5AD9">
        <w:t>5.5.5</w:t>
      </w:r>
      <w:r>
        <w:fldChar w:fldCharType="end"/>
      </w:r>
      <w:r>
        <w:t>), and in particular checks that the M2M SP has the authorisation to enable the targeted profile, and evaluates POL2 of the currently Enabled Profile. If any of the conditions to be verified are not satisfied, the SM-SR SHALL return a response indicating the failure, and the procedure SHALL end.</w:t>
      </w:r>
    </w:p>
    <w:p w14:paraId="40EDCAF9" w14:textId="129BD6F9" w:rsidR="00B97365" w:rsidRDefault="00000000">
      <w:pPr>
        <w:numPr>
          <w:ilvl w:val="0"/>
          <w:numId w:val="124"/>
        </w:numPr>
      </w:pPr>
      <w:r>
        <w:t>The SM-SR SHALL send an MT-SMS containing the “</w:t>
      </w:r>
      <w:r>
        <w:rPr>
          <w:b/>
        </w:rPr>
        <w:t>ES5.STORE DATA</w:t>
      </w:r>
      <w:r>
        <w:t xml:space="preserve">” command for Profile enabling with its relevant input data (see section </w:t>
      </w:r>
      <w:r>
        <w:fldChar w:fldCharType="begin"/>
      </w:r>
      <w:r>
        <w:instrText xml:space="preserve"> REF _Ref367970653 \r \h  \* MERGEFORMAT </w:instrText>
      </w:r>
      <w:r>
        <w:fldChar w:fldCharType="separate"/>
      </w:r>
      <w:r w:rsidR="001D5AD9">
        <w:t>4.1.1.2</w:t>
      </w:r>
      <w:r>
        <w:fldChar w:fldCharType="end"/>
      </w:r>
      <w:r>
        <w:t>) to the ISD-R. The SM-SR SHALL request a PoR to get the execution status of the “</w:t>
      </w:r>
      <w:r>
        <w:rPr>
          <w:b/>
        </w:rPr>
        <w:t>ES5.STORE DATA</w:t>
      </w:r>
      <w:r>
        <w:t>” command.</w:t>
      </w:r>
    </w:p>
    <w:p w14:paraId="7D907E0E" w14:textId="77777777" w:rsidR="00B97365" w:rsidRDefault="00000000">
      <w:pPr>
        <w:numPr>
          <w:ilvl w:val="0"/>
          <w:numId w:val="124"/>
        </w:numPr>
      </w:pPr>
      <w:r>
        <w:t>The ISD-R SHALL enforce POL1 of the currently Enabled Profile. If POL1 rejects enabling of the target Profile, the ISD-R SHALL return directly the MO-SMS containing the response indicating a failure, and the procedure SHALL end.</w:t>
      </w:r>
    </w:p>
    <w:p w14:paraId="2B40E9DB" w14:textId="77777777" w:rsidR="00B97365" w:rsidRDefault="00000000">
      <w:pPr>
        <w:numPr>
          <w:ilvl w:val="0"/>
          <w:numId w:val="124"/>
        </w:numPr>
      </w:pPr>
      <w:r>
        <w:t>If POL1 allows, the ISD-R SHALL disable the currently enabled ISD-P and enable the targeted ISD-P.</w:t>
      </w:r>
    </w:p>
    <w:p w14:paraId="74583951" w14:textId="3D321378" w:rsidR="00B97365" w:rsidRDefault="00000000">
      <w:pPr>
        <w:tabs>
          <w:tab w:val="left" w:pos="1560"/>
        </w:tabs>
        <w:spacing w:before="0" w:after="200" w:line="276" w:lineRule="auto"/>
        <w:ind w:left="1559" w:hanging="1202"/>
        <w:jc w:val="left"/>
        <w:rPr>
          <w:szCs w:val="22"/>
          <w:lang w:eastAsia="en-GB" w:bidi="ar-SA"/>
        </w:rPr>
      </w:pPr>
      <w:r>
        <w:rPr>
          <w:rFonts w:cs="Arial"/>
          <w:szCs w:val="22"/>
          <w:lang w:eastAsia="en-GB" w:bidi="ar-SA"/>
        </w:rPr>
        <w:lastRenderedPageBreak/>
        <w:t xml:space="preserve">NOTE: </w:t>
      </w:r>
      <w:r>
        <w:rPr>
          <w:rFonts w:cs="Arial"/>
          <w:szCs w:val="22"/>
          <w:lang w:eastAsia="en-GB" w:bidi="ar-SA"/>
        </w:rPr>
        <w:tab/>
        <w:t xml:space="preserve">Profile change includes a change of the IMSI that is used to attach to the network. As indicated in 3GPP TS 31.102 </w:t>
      </w:r>
      <w:r>
        <w:rPr>
          <w:szCs w:val="22"/>
          <w:lang w:eastAsia="en-GB" w:bidi="ar-SA"/>
        </w:rPr>
        <w:fldChar w:fldCharType="begin"/>
      </w:r>
      <w:r>
        <w:rPr>
          <w:szCs w:val="22"/>
          <w:lang w:eastAsia="en-GB" w:bidi="ar-SA"/>
        </w:rPr>
        <w:instrText xml:space="preserve"> REF _Ref421632746 \r \h  \* MERGEFORMAT </w:instrText>
      </w:r>
      <w:r>
        <w:rPr>
          <w:szCs w:val="22"/>
          <w:lang w:eastAsia="en-GB" w:bidi="ar-SA"/>
        </w:rPr>
      </w:r>
      <w:r>
        <w:rPr>
          <w:szCs w:val="22"/>
          <w:lang w:eastAsia="en-GB" w:bidi="ar-SA"/>
        </w:rPr>
        <w:fldChar w:fldCharType="separate"/>
      </w:r>
      <w:r w:rsidR="001D5AD9">
        <w:rPr>
          <w:szCs w:val="22"/>
          <w:lang w:eastAsia="en-GB" w:bidi="ar-SA"/>
        </w:rPr>
        <w:t>[52]</w:t>
      </w:r>
      <w:r>
        <w:rPr>
          <w:szCs w:val="22"/>
          <w:lang w:eastAsia="en-GB" w:bidi="ar-SA"/>
        </w:rPr>
        <w:fldChar w:fldCharType="end"/>
      </w:r>
      <w:r>
        <w:rPr>
          <w:szCs w:val="22"/>
          <w:lang w:eastAsia="en-GB" w:bidi="ar-SA"/>
        </w:rPr>
        <w:t>, such a change requires special caution and should always be accompanied by a REFRESH command to avoid inconsistent information being read by the terminal. So while the targeted ISD-P is marked as enabled in this step, it MAY actually become effective after the terminal executes the REFRESH command.</w:t>
      </w:r>
    </w:p>
    <w:p w14:paraId="779BD28E" w14:textId="77777777" w:rsidR="00B97365" w:rsidRDefault="00000000">
      <w:pPr>
        <w:numPr>
          <w:ilvl w:val="0"/>
          <w:numId w:val="124"/>
        </w:numPr>
      </w:pPr>
      <w:r>
        <w:t>The ISD-R SHALL return the MO-SMS containing the execution status of the “</w:t>
      </w:r>
      <w:r>
        <w:rPr>
          <w:b/>
        </w:rPr>
        <w:t>ES5.STORE DATA</w:t>
      </w:r>
      <w:r>
        <w:t>” command to the SM-SR.</w:t>
      </w:r>
    </w:p>
    <w:p w14:paraId="2FE994C9" w14:textId="77777777" w:rsidR="00B97365" w:rsidRDefault="00000000">
      <w:pPr>
        <w:ind w:left="709" w:hanging="709"/>
        <w:rPr>
          <w:rFonts w:cs="Arial"/>
        </w:rPr>
      </w:pPr>
      <w:r>
        <w:rPr>
          <w:rFonts w:cs="Arial"/>
        </w:rPr>
        <w:t>(6a)</w:t>
      </w:r>
      <w:r>
        <w:rPr>
          <w:rFonts w:cs="Arial"/>
        </w:rPr>
        <w:tab/>
        <w:t>If the response to the “</w:t>
      </w:r>
      <w:r>
        <w:rPr>
          <w:rFonts w:cs="Arial"/>
          <w:b/>
        </w:rPr>
        <w:t>ES5.STORE DATA</w:t>
      </w:r>
      <w:r>
        <w:rPr>
          <w:rFonts w:cs="Arial"/>
        </w:rPr>
        <w:t>” command indicates a failure, the SM-SR SHALL return a response indicating the failure to M2M SP, and the procedure SHALL end.</w:t>
      </w:r>
    </w:p>
    <w:p w14:paraId="2EFDBEF5" w14:textId="77777777" w:rsidR="00B97365" w:rsidRDefault="00000000">
      <w:pPr>
        <w:numPr>
          <w:ilvl w:val="0"/>
          <w:numId w:val="124"/>
        </w:numPr>
      </w:pPr>
      <w:r>
        <w:t>The ISD-R SHALL send a REFRESH proactive command in UICC reset mode to the Device. This will trigger the execution of a network attach procedure.</w:t>
      </w:r>
    </w:p>
    <w:p w14:paraId="579391F9" w14:textId="3A46BFFF" w:rsidR="00B97365" w:rsidRDefault="00000000">
      <w:pPr>
        <w:tabs>
          <w:tab w:val="left" w:pos="1560"/>
        </w:tabs>
        <w:spacing w:before="0" w:after="200" w:line="276" w:lineRule="auto"/>
        <w:ind w:left="1559" w:hanging="1202"/>
        <w:jc w:val="left"/>
        <w:rPr>
          <w:rFonts w:cs="Arial"/>
          <w:szCs w:val="22"/>
          <w:lang w:eastAsia="en-GB" w:bidi="ar-SA"/>
        </w:rPr>
      </w:pPr>
      <w:r>
        <w:rPr>
          <w:rFonts w:cs="Arial"/>
          <w:szCs w:val="22"/>
          <w:lang w:eastAsia="en-GB" w:bidi="ar-SA"/>
        </w:rPr>
        <w:t xml:space="preserve">NOTE: </w:t>
      </w:r>
      <w:r>
        <w:rPr>
          <w:rFonts w:cs="Arial"/>
          <w:szCs w:val="22"/>
          <w:lang w:eastAsia="en-GB" w:bidi="ar-SA"/>
        </w:rPr>
        <w:tab/>
        <w:t xml:space="preserve">In case of any error after this step, indicating that the currently Enabled Profile cannot provide connectivity, the ISD-R SHALL re-enable the previously Enabled Profile as described in section </w:t>
      </w:r>
      <w:r>
        <w:rPr>
          <w:rFonts w:cs="Arial"/>
          <w:szCs w:val="22"/>
          <w:lang w:eastAsia="en-GB" w:bidi="ar-SA"/>
        </w:rPr>
        <w:fldChar w:fldCharType="begin"/>
      </w:r>
      <w:r>
        <w:rPr>
          <w:rFonts w:cs="Arial"/>
          <w:szCs w:val="22"/>
          <w:lang w:eastAsia="en-GB" w:bidi="ar-SA"/>
        </w:rPr>
        <w:instrText xml:space="preserve"> REF _Ref367970690 \r \h  \* MERGEFORMAT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3.2.2</w:t>
      </w:r>
      <w:r>
        <w:rPr>
          <w:rFonts w:cs="Arial"/>
          <w:szCs w:val="22"/>
          <w:lang w:eastAsia="en-GB" w:bidi="ar-SA"/>
        </w:rPr>
        <w:fldChar w:fldCharType="end"/>
      </w:r>
      <w:r>
        <w:rPr>
          <w:rFonts w:cs="Arial"/>
          <w:szCs w:val="22"/>
          <w:lang w:eastAsia="en-GB" w:bidi="ar-SA"/>
        </w:rPr>
        <w:t>.</w:t>
      </w:r>
    </w:p>
    <w:p w14:paraId="5353D68C" w14:textId="77777777" w:rsidR="00B97365" w:rsidRDefault="00000000">
      <w:pPr>
        <w:numPr>
          <w:ilvl w:val="0"/>
          <w:numId w:val="124"/>
        </w:numPr>
      </w:pPr>
      <w:r>
        <w:t>The eUICC and the Device SHALL perform a network attach procedure with the newly Enabled Profile.</w:t>
      </w:r>
    </w:p>
    <w:p w14:paraId="525A9193" w14:textId="0E89A1C5" w:rsidR="00B97365" w:rsidRDefault="00000000">
      <w:pPr>
        <w:numPr>
          <w:ilvl w:val="0"/>
          <w:numId w:val="124"/>
        </w:numPr>
      </w:pPr>
      <w:r>
        <w:t xml:space="preserve">The eUICC SHALL perform the notification procedure as described in section </w:t>
      </w:r>
      <w:r>
        <w:fldChar w:fldCharType="begin"/>
      </w:r>
      <w:r>
        <w:instrText xml:space="preserve"> REF _Ref367972946 \r \h  \* MERGEFORMAT </w:instrText>
      </w:r>
      <w:r>
        <w:fldChar w:fldCharType="separate"/>
      </w:r>
      <w:r w:rsidR="001D5AD9">
        <w:t>4.1.1.11</w:t>
      </w:r>
      <w:r>
        <w:fldChar w:fldCharType="end"/>
      </w:r>
      <w:r>
        <w:t>. During this procedure, if the ISD-R doesn’t succeed in sending the SMS notification (after having exhausted all possible retries), or doesn’t receive the SM-SR notification confirmation (“</w:t>
      </w:r>
      <w:r>
        <w:rPr>
          <w:b/>
        </w:rPr>
        <w:t>ES5.HandleNotificationConfirmation</w:t>
      </w:r>
      <w:r>
        <w:t>” command), the ISD-R SHALL consider this as an error, and the previous note SHALL apply.</w:t>
      </w:r>
      <w:r>
        <w:br/>
        <w:t>After successfully verifying the content of the notification confirmation received from the SM-SR (which confirms that the newly Enabled Profile provides connectivity), the eUICC SHALL no longer attempt to re-enable the previously Enabled Profile.</w:t>
      </w:r>
      <w:r>
        <w:tab/>
      </w:r>
      <w:r>
        <w:br/>
        <w:t>After this verification, if POL1 of the now Disabled Profile contains the rule “Profile deletion is mandatory when it is disabled”, and this Profile does not have the Fall-Back Attribute set, the ISD-R SHALL delete the disabled ISD-P and the contained Profile. The eUICC SHALL send the response to the notification confirmation indicating whether the disabled ISD-P has been deleted or not.</w:t>
      </w:r>
    </w:p>
    <w:p w14:paraId="778F90A3" w14:textId="666AEBC4" w:rsidR="00B97365" w:rsidRDefault="00000000">
      <w:pPr>
        <w:tabs>
          <w:tab w:val="left" w:pos="1560"/>
        </w:tabs>
        <w:spacing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 xml:space="preserve">If the SM-SR receives the notification after the expiration of the Validity Period (which was provided to the SM-SR for this function call), it will not send the notification confirmation (see section </w:t>
      </w:r>
      <w:r>
        <w:rPr>
          <w:szCs w:val="22"/>
          <w:lang w:eastAsia="en-GB" w:bidi="ar-SA"/>
        </w:rPr>
        <w:fldChar w:fldCharType="begin"/>
      </w:r>
      <w:r>
        <w:rPr>
          <w:szCs w:val="22"/>
          <w:lang w:eastAsia="en-GB" w:bidi="ar-SA"/>
        </w:rPr>
        <w:instrText xml:space="preserve"> REF _Ref40222153 \r \h </w:instrText>
      </w:r>
      <w:r>
        <w:rPr>
          <w:szCs w:val="22"/>
          <w:lang w:eastAsia="en-GB" w:bidi="ar-SA"/>
        </w:rPr>
      </w:r>
      <w:r>
        <w:rPr>
          <w:szCs w:val="22"/>
          <w:lang w:eastAsia="en-GB" w:bidi="ar-SA"/>
        </w:rPr>
        <w:fldChar w:fldCharType="separate"/>
      </w:r>
      <w:r w:rsidR="001D5AD9">
        <w:rPr>
          <w:szCs w:val="22"/>
          <w:lang w:eastAsia="en-GB" w:bidi="ar-SA"/>
        </w:rPr>
        <w:t>3.15.1</w:t>
      </w:r>
      <w:r>
        <w:rPr>
          <w:szCs w:val="22"/>
          <w:lang w:eastAsia="en-GB" w:bidi="ar-SA"/>
        </w:rPr>
        <w:fldChar w:fldCharType="end"/>
      </w:r>
      <w:r>
        <w:rPr>
          <w:szCs w:val="22"/>
          <w:lang w:eastAsia="en-GB" w:bidi="ar-SA"/>
        </w:rPr>
        <w:t>).</w:t>
      </w:r>
    </w:p>
    <w:p w14:paraId="59ACAE0E" w14:textId="77777777" w:rsidR="00B97365" w:rsidRDefault="00000000">
      <w:pPr>
        <w:ind w:left="709" w:hanging="709"/>
      </w:pPr>
      <w:r>
        <w:t>(</w:t>
      </w:r>
      <w:r>
        <w:rPr>
          <w:rFonts w:cs="Arial"/>
        </w:rPr>
        <w:t>9a)</w:t>
      </w:r>
      <w:r>
        <w:rPr>
          <w:rFonts w:cs="Arial"/>
        </w:rPr>
        <w:tab/>
        <w:t>If the previously Enabled Profile (now Disabled) has the Fall-Back Attribute, and its POL1 contains the rule “Profile deletion is mandatory when its state is changed to disabled”, this rule SHALL be ignored according to Sections 2.4 and 3.6.3.2 in GSMA Remote Provisioning Architecture for the Embedded UICC [1], and the procedure SHALL continue at step 10.</w:t>
      </w:r>
    </w:p>
    <w:p w14:paraId="509E3E34" w14:textId="77777777" w:rsidR="00B97365" w:rsidRDefault="00000000">
      <w:pPr>
        <w:numPr>
          <w:ilvl w:val="0"/>
          <w:numId w:val="124"/>
        </w:numPr>
      </w:pPr>
      <w:r>
        <w:t>On reception of the “</w:t>
      </w:r>
      <w:r>
        <w:rPr>
          <w:b/>
        </w:rPr>
        <w:t>ES5.HandleNotificationConfirmation</w:t>
      </w:r>
      <w:r>
        <w:t>” response, and if this response indicates that the Disabled Profile has not been deleted, the SM-SR SHALL evaluate POL2 of the Disabled Profile. If POL2 of the Disabled Profile contains the rule “</w:t>
      </w:r>
      <w:r>
        <w:rPr>
          <w:rFonts w:eastAsia="Times New Roman" w:cs="Arial"/>
          <w:bCs/>
          <w:lang w:val="en-US"/>
        </w:rPr>
        <w:t>Profile deletion is mandatory when it is disabled</w:t>
      </w:r>
      <w:r>
        <w:t>”, the SM-SR SHALL perform step (11), else it SHALL jump to step (12).</w:t>
      </w:r>
    </w:p>
    <w:p w14:paraId="61C5390A" w14:textId="6D5AE382" w:rsidR="00B97365" w:rsidRDefault="00000000">
      <w:pPr>
        <w:numPr>
          <w:ilvl w:val="0"/>
          <w:numId w:val="124"/>
        </w:numPr>
      </w:pPr>
      <w:r>
        <w:t>The SM-SR SHALL send an MT-SMS containing the “</w:t>
      </w:r>
      <w:r>
        <w:rPr>
          <w:b/>
        </w:rPr>
        <w:t>ES5.DELETE</w:t>
      </w:r>
      <w:r>
        <w:t xml:space="preserve">” command with its relevant input data (see section </w:t>
      </w:r>
      <w:r>
        <w:fldChar w:fldCharType="begin"/>
      </w:r>
      <w:r>
        <w:instrText xml:space="preserve"> REF _Ref367970790 \r \h  \* MERGEFORMAT </w:instrText>
      </w:r>
      <w:r>
        <w:fldChar w:fldCharType="separate"/>
      </w:r>
      <w:r w:rsidR="001D5AD9">
        <w:t>4.1.1.4</w:t>
      </w:r>
      <w:r>
        <w:fldChar w:fldCharType="end"/>
      </w:r>
      <w:r>
        <w:t xml:space="preserve">) to the ISD-R, targeting the Disabled Profile. </w:t>
      </w:r>
      <w:r>
        <w:lastRenderedPageBreak/>
        <w:t>The SM-SR SHALL request a PoR to get the execution status of the “</w:t>
      </w:r>
      <w:r>
        <w:rPr>
          <w:b/>
        </w:rPr>
        <w:t>ES5.DELETE</w:t>
      </w:r>
      <w:r>
        <w:t>” command.</w:t>
      </w:r>
    </w:p>
    <w:p w14:paraId="662A20E7" w14:textId="77777777" w:rsidR="00B97365" w:rsidRDefault="00000000">
      <w:pPr>
        <w:ind w:left="709" w:hanging="709"/>
        <w:rPr>
          <w:rFonts w:cs="Arial"/>
        </w:rPr>
      </w:pPr>
      <w:r>
        <w:rPr>
          <w:rFonts w:cs="Arial"/>
        </w:rPr>
        <w:t>(11a)</w:t>
      </w:r>
      <w:r>
        <w:rPr>
          <w:rFonts w:cs="Arial"/>
        </w:rPr>
        <w:tab/>
        <w:t xml:space="preserve">The ISD-R SHALL enforce POL1 of the target Profile. If POL1 rejects the deletion of the target Profile, the ISD-R SHALL return the MO-SMS containing the response indicating the corresponding failure, and the procedure SHALL end. </w:t>
      </w:r>
    </w:p>
    <w:p w14:paraId="793D29D0" w14:textId="77777777" w:rsidR="00B97365" w:rsidRDefault="00000000">
      <w:pPr>
        <w:ind w:left="709" w:hanging="709"/>
        <w:rPr>
          <w:rFonts w:cs="Arial"/>
        </w:rPr>
      </w:pPr>
      <w:r>
        <w:rPr>
          <w:rFonts w:cs="Arial"/>
        </w:rPr>
        <w:t>(11b)</w:t>
      </w:r>
      <w:r>
        <w:rPr>
          <w:rFonts w:cs="Arial"/>
        </w:rPr>
        <w:tab/>
        <w:t>If POL1 allows its deletion, the ISD-R SHALL delete the targeted ISD-P and the contained Profile.</w:t>
      </w:r>
    </w:p>
    <w:p w14:paraId="3A79FFFB" w14:textId="77777777" w:rsidR="00B97365" w:rsidRDefault="00000000">
      <w:pPr>
        <w:ind w:left="709" w:hanging="709"/>
        <w:rPr>
          <w:rFonts w:cs="Arial"/>
        </w:rPr>
      </w:pPr>
      <w:r>
        <w:rPr>
          <w:rFonts w:cs="Arial"/>
        </w:rPr>
        <w:t>(11c)</w:t>
      </w:r>
      <w:r>
        <w:rPr>
          <w:rFonts w:cs="Arial"/>
        </w:rPr>
        <w:tab/>
        <w:t>The ISD-R SHALL return the MO-SMS to the SM-SR containing the execution status of the “</w:t>
      </w:r>
      <w:r>
        <w:rPr>
          <w:rFonts w:cs="Arial"/>
          <w:b/>
        </w:rPr>
        <w:t>ES5.DELETE</w:t>
      </w:r>
      <w:r>
        <w:rPr>
          <w:rFonts w:cs="Arial"/>
        </w:rPr>
        <w:t xml:space="preserve">” command. </w:t>
      </w:r>
    </w:p>
    <w:p w14:paraId="755E1DEA" w14:textId="77777777" w:rsidR="00B97365" w:rsidRDefault="00000000">
      <w:pPr>
        <w:numPr>
          <w:ilvl w:val="0"/>
          <w:numId w:val="124"/>
        </w:numPr>
      </w:pPr>
      <w:r>
        <w:t>According to the executed sequence and the eUICC responses, the SM-SR SHALL update the EIS to reflect that:</w:t>
      </w:r>
    </w:p>
    <w:p w14:paraId="36AEA321"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The target Profile has been enabled</w:t>
      </w:r>
    </w:p>
    <w:p w14:paraId="64B4EC0C" w14:textId="77777777" w:rsidR="00B97365" w:rsidRDefault="00000000">
      <w:pPr>
        <w:numPr>
          <w:ilvl w:val="0"/>
          <w:numId w:val="38"/>
        </w:numPr>
        <w:tabs>
          <w:tab w:val="left" w:pos="993"/>
        </w:tabs>
        <w:spacing w:before="0" w:after="200" w:line="276" w:lineRule="auto"/>
        <w:ind w:left="993" w:hanging="426"/>
        <w:contextualSpacing/>
        <w:jc w:val="left"/>
        <w:rPr>
          <w:szCs w:val="22"/>
          <w:lang w:eastAsia="en-GB" w:bidi="ar-SA"/>
        </w:rPr>
      </w:pPr>
      <w:r>
        <w:rPr>
          <w:szCs w:val="22"/>
          <w:lang w:eastAsia="en-GB" w:bidi="ar-SA"/>
        </w:rPr>
        <w:t>The previously Enabled Profile has been disabled or deleted.</w:t>
      </w:r>
    </w:p>
    <w:p w14:paraId="0BD07802" w14:textId="77777777" w:rsidR="00B97365" w:rsidRDefault="00B97365">
      <w:pPr>
        <w:tabs>
          <w:tab w:val="left" w:pos="993"/>
        </w:tabs>
        <w:spacing w:before="0" w:after="200" w:line="276" w:lineRule="auto"/>
        <w:ind w:left="567"/>
        <w:contextualSpacing/>
        <w:jc w:val="left"/>
        <w:rPr>
          <w:rFonts w:cs="Arial"/>
          <w:szCs w:val="22"/>
          <w:lang w:eastAsia="en-GB" w:bidi="ar-SA"/>
        </w:rPr>
      </w:pPr>
    </w:p>
    <w:p w14:paraId="57988A90" w14:textId="77777777" w:rsidR="00B97365" w:rsidRDefault="00000000">
      <w:pPr>
        <w:tabs>
          <w:tab w:val="left" w:pos="1560"/>
        </w:tabs>
        <w:spacing w:before="0" w:after="200" w:line="276" w:lineRule="auto"/>
        <w:ind w:left="1559" w:hanging="1202"/>
        <w:jc w:val="left"/>
      </w:pPr>
      <w:r>
        <w:rPr>
          <w:szCs w:val="22"/>
          <w:lang w:val="en-US" w:eastAsia="en-GB" w:bidi="ar-SA"/>
        </w:rPr>
        <w:t xml:space="preserve">NOTE: </w:t>
      </w:r>
      <w:r>
        <w:rPr>
          <w:szCs w:val="22"/>
          <w:lang w:val="en-US" w:eastAsia="en-GB" w:bidi="ar-SA"/>
        </w:rPr>
        <w:tab/>
        <w:t xml:space="preserve">POL1 and POL2 MAY have different content. As a consequence, both the eUICC and the SM-SR have to ensure the ISD-P deletion based on their </w:t>
      </w:r>
      <w:r>
        <w:t xml:space="preserve">respective Policy. </w:t>
      </w:r>
    </w:p>
    <w:p w14:paraId="1208AC1A" w14:textId="77777777" w:rsidR="00B97365" w:rsidRDefault="00000000">
      <w:pPr>
        <w:numPr>
          <w:ilvl w:val="0"/>
          <w:numId w:val="124"/>
        </w:numPr>
      </w:pPr>
      <w:r>
        <w:t>The SM-SR SHALL return the response to the “</w:t>
      </w:r>
      <w:r>
        <w:rPr>
          <w:b/>
        </w:rPr>
        <w:t>ES4.EnableProfile</w:t>
      </w:r>
      <w:r>
        <w:t>” function to the M2M SP, indicating that the Profile has been enabled.</w:t>
      </w:r>
    </w:p>
    <w:p w14:paraId="71BF2999" w14:textId="77777777" w:rsidR="00B97365" w:rsidRDefault="00000000">
      <w:pPr>
        <w:numPr>
          <w:ilvl w:val="0"/>
          <w:numId w:val="124"/>
        </w:numPr>
      </w:pPr>
      <w:r>
        <w:t>Unless Operator1 has set an ONC to not receive those notifications, the SM-SR SHALL send the “</w:t>
      </w:r>
      <w:r>
        <w:rPr>
          <w:b/>
        </w:rPr>
        <w:t>ES4.HandleProfileEnabledNotification</w:t>
      </w:r>
      <w:r>
        <w:t>” to Operator1, the owner of the Profile that was disabled at the beginning of the procedure. In case Operator1 has no direct connection with the SM-SR (SM-SR SHALL be able to detect such a situation based on its own database), the SM-SR SHALL send this notification to the SM-DP authorised by Operator1 by calling the “</w:t>
      </w:r>
      <w:r>
        <w:rPr>
          <w:b/>
        </w:rPr>
        <w:t>ES3.HandleProfileEnabledNotification</w:t>
      </w:r>
      <w:r>
        <w:t>”. The SM-SR can retrieve the SM-DP identity based on the EIS content. Then the SM-DP, on reception of this notification, SHALL forward it to Operator1 by calling the “</w:t>
      </w:r>
      <w:r>
        <w:rPr>
          <w:b/>
        </w:rPr>
        <w:t>ES2.HandleProfileEnabledNotification</w:t>
      </w:r>
      <w:r>
        <w:t>”.</w:t>
      </w:r>
    </w:p>
    <w:p w14:paraId="4DABCFB6" w14:textId="77777777" w:rsidR="00B97365" w:rsidRDefault="00000000">
      <w:pPr>
        <w:numPr>
          <w:ilvl w:val="0"/>
          <w:numId w:val="124"/>
        </w:numPr>
      </w:pPr>
      <w:r>
        <w:t>Unless Operator1 has set an ONC to not receive those notifications, the SM-SR SHALL send the “</w:t>
      </w:r>
      <w:r>
        <w:rPr>
          <w:b/>
        </w:rPr>
        <w:t>ES4.HandleProfileDisabledNotification</w:t>
      </w:r>
      <w:r>
        <w:t>” or “</w:t>
      </w:r>
      <w:r>
        <w:rPr>
          <w:b/>
        </w:rPr>
        <w:t>ES4.HandleProfileDeletedNotification</w:t>
      </w:r>
      <w:r>
        <w:t>” (if deletion was triggered by the evaluation of POL1 and POL2) to Operator2, the owner of the Profile that was enabled at the beginning of the procedure. In case Operator2 has no direct connection with the SM-SR (SM-SR SHALL be able to detect such a situation based on its own database), the SM-SR SHALL send this notification to the SM-DP authorised by Operator2 by calling the “</w:t>
      </w:r>
      <w:r>
        <w:rPr>
          <w:b/>
        </w:rPr>
        <w:t>ES3.HandleProfileDisabledNotification</w:t>
      </w:r>
      <w:r>
        <w:t>” or the “</w:t>
      </w:r>
      <w:r>
        <w:rPr>
          <w:b/>
        </w:rPr>
        <w:t>ES3.HandleProfileDeleted</w:t>
      </w:r>
      <w:r>
        <w:t>Notification”. The SM-SR can retrieve the SM-DP identity based on the EIS content. Then the SM-DP, on reception of this notification, SHALL forward it to Operator2 by calling the “</w:t>
      </w:r>
      <w:r>
        <w:rPr>
          <w:b/>
        </w:rPr>
        <w:t>ES2.HandleProfileDisabledNotification</w:t>
      </w:r>
      <w:r>
        <w:t>” or the “</w:t>
      </w:r>
      <w:r>
        <w:rPr>
          <w:b/>
        </w:rPr>
        <w:t>ES2.HandleProfileDeletedNotification</w:t>
      </w:r>
      <w:r>
        <w:t>”.</w:t>
      </w:r>
    </w:p>
    <w:p w14:paraId="534C6025" w14:textId="77777777" w:rsidR="00B97365" w:rsidRDefault="00000000">
      <w:pPr>
        <w:numPr>
          <w:ilvl w:val="0"/>
          <w:numId w:val="124"/>
        </w:numPr>
        <w:spacing w:before="0" w:after="200" w:line="276" w:lineRule="auto"/>
        <w:contextualSpacing/>
      </w:pPr>
      <w:r>
        <w:t xml:space="preserve">The SM-SR SHALL send the </w:t>
      </w:r>
      <w:r>
        <w:rPr>
          <w:b/>
        </w:rPr>
        <w:t>“ES4.HandleProfileDisabledNotification”</w:t>
      </w:r>
      <w:r>
        <w:t xml:space="preserve"> or </w:t>
      </w:r>
      <w:r>
        <w:rPr>
          <w:b/>
        </w:rPr>
        <w:t>“ES4.HandleProfileDeletedNotification”</w:t>
      </w:r>
      <w:r>
        <w:t xml:space="preserve"> (if deletion was triggered by the evaluation of POL1 and POL2) to a M2M SP, if authorised by Operator2 the owner of the Profile that was enabled at the beginning of the procedure.</w:t>
      </w:r>
    </w:p>
    <w:p w14:paraId="34113BEA" w14:textId="77777777" w:rsidR="00B97365" w:rsidRDefault="00000000">
      <w:pPr>
        <w:ind w:left="360"/>
      </w:pPr>
      <w:r>
        <w:t>If the M2M SP is another Operator directly connected to the SM-SR and it is authorised by Operator2, the SM-SR SHALL send this notification to this other Operator by calling the “</w:t>
      </w:r>
      <w:r>
        <w:rPr>
          <w:b/>
        </w:rPr>
        <w:t>ES4.HandleProfileDisabledNotification</w:t>
      </w:r>
      <w:r>
        <w:t>” or “</w:t>
      </w:r>
      <w:r>
        <w:rPr>
          <w:b/>
        </w:rPr>
        <w:t>ES4.HandleProfileDeletedNotification</w:t>
      </w:r>
      <w:r>
        <w:t>”.</w:t>
      </w:r>
    </w:p>
    <w:p w14:paraId="14345CFF" w14:textId="77777777" w:rsidR="00B97365" w:rsidRDefault="00000000">
      <w:pPr>
        <w:ind w:left="360"/>
      </w:pPr>
      <w:r>
        <w:lastRenderedPageBreak/>
        <w:t>If the M2M SP is another Operator connected through its SM-DP and it is authorised by Operator2, the SM-SR SHALL send this notification to the SM-DP associated to this other Operator by calling the “</w:t>
      </w:r>
      <w:r>
        <w:rPr>
          <w:b/>
        </w:rPr>
        <w:t>ES3.HandleProfileDisabledNotification</w:t>
      </w:r>
      <w:r>
        <w:t>” or “</w:t>
      </w:r>
      <w:r>
        <w:rPr>
          <w:b/>
        </w:rPr>
        <w:t>ES3.HandleProfileDeletedNotification</w:t>
      </w:r>
      <w:r>
        <w:t xml:space="preserve">”. </w:t>
      </w:r>
      <w:r>
        <w:br/>
        <w:t>Then the SM-DP, on reception of this notification, SHALL forward it to the Operator, acting as the M2M SP, by calling the “</w:t>
      </w:r>
      <w:r>
        <w:rPr>
          <w:b/>
        </w:rPr>
        <w:t>ES2.HandleProfileDisabledNotification</w:t>
      </w:r>
      <w:r>
        <w:t>” or “</w:t>
      </w:r>
      <w:r>
        <w:rPr>
          <w:b/>
        </w:rPr>
        <w:t>ES2.HandleProfileDeletedNotification</w:t>
      </w:r>
      <w:r>
        <w:t>”.</w:t>
      </w:r>
      <w:r>
        <w:br/>
      </w:r>
    </w:p>
    <w:p w14:paraId="37E06613"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This M2M SP might be the same M2M SP as for Operator1 or any other M2M SP.</w:t>
      </w:r>
    </w:p>
    <w:p w14:paraId="36B8ACA9" w14:textId="1A7E3EF4"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 xml:space="preserve">NOTE: </w:t>
      </w:r>
      <w:r>
        <w:rPr>
          <w:szCs w:val="22"/>
          <w:lang w:val="en-US" w:eastAsia="en-GB" w:bidi="ar-SA"/>
        </w:rPr>
        <w:tab/>
        <w:t xml:space="preserve">The MT-SMS and MO-SMS SHALL be secured according to section </w:t>
      </w:r>
      <w:r>
        <w:rPr>
          <w:szCs w:val="22"/>
          <w:lang w:eastAsia="en-GB" w:bidi="ar-SA"/>
        </w:rPr>
        <w:fldChar w:fldCharType="begin"/>
      </w:r>
      <w:r>
        <w:rPr>
          <w:szCs w:val="22"/>
          <w:lang w:eastAsia="en-GB" w:bidi="ar-SA"/>
        </w:rPr>
        <w:instrText xml:space="preserve"> REF _Ref367970988 \r \h  \* MERGEFORMAT </w:instrText>
      </w:r>
      <w:r>
        <w:rPr>
          <w:szCs w:val="22"/>
          <w:lang w:eastAsia="en-GB" w:bidi="ar-SA"/>
        </w:rPr>
      </w:r>
      <w:r>
        <w:rPr>
          <w:szCs w:val="22"/>
          <w:lang w:eastAsia="en-GB" w:bidi="ar-SA"/>
        </w:rPr>
        <w:fldChar w:fldCharType="separate"/>
      </w:r>
      <w:r w:rsidR="001D5AD9" w:rsidRPr="001D5AD9">
        <w:rPr>
          <w:szCs w:val="22"/>
          <w:lang w:val="en-US" w:eastAsia="en-GB" w:bidi="ar-SA"/>
        </w:rPr>
        <w:t>2.4</w:t>
      </w:r>
      <w:r>
        <w:rPr>
          <w:szCs w:val="22"/>
          <w:lang w:eastAsia="en-GB" w:bidi="ar-SA"/>
        </w:rPr>
        <w:fldChar w:fldCharType="end"/>
      </w:r>
      <w:r>
        <w:rPr>
          <w:szCs w:val="22"/>
          <w:lang w:val="en-US" w:eastAsia="en-GB" w:bidi="ar-SA"/>
        </w:rPr>
        <w:t>.</w:t>
      </w:r>
    </w:p>
    <w:p w14:paraId="65C4AD5A" w14:textId="77777777" w:rsidR="00B97365" w:rsidRDefault="00000000">
      <w:pPr>
        <w:spacing w:before="0" w:after="160" w:line="259" w:lineRule="auto"/>
        <w:jc w:val="left"/>
        <w:rPr>
          <w:lang w:val="en-US"/>
        </w:rPr>
      </w:pPr>
      <w:r>
        <w:rPr>
          <w:lang w:val="en-US"/>
        </w:rPr>
        <w:br w:type="page"/>
      </w:r>
    </w:p>
    <w:p w14:paraId="453B4D5B"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1996" w:name="_Toc1977281"/>
      <w:bookmarkStart w:id="1997" w:name="_Toc37062438"/>
      <w:bookmarkStart w:id="1998" w:name="_Toc88839543"/>
      <w:bookmarkStart w:id="1999" w:name="_Toc121503951"/>
      <w:r>
        <w:rPr>
          <w:rFonts w:eastAsia="Times New Roman" w:cs="Arial"/>
          <w:b/>
          <w:bCs/>
          <w:iCs/>
          <w:sz w:val="24"/>
          <w:szCs w:val="26"/>
          <w:lang w:eastAsia="en-US"/>
        </w:rPr>
        <w:lastRenderedPageBreak/>
        <w:t>Connectivity Failure Case</w:t>
      </w:r>
      <w:bookmarkEnd w:id="1996"/>
      <w:bookmarkEnd w:id="1997"/>
      <w:bookmarkEnd w:id="1998"/>
      <w:bookmarkEnd w:id="1999"/>
    </w:p>
    <w:p w14:paraId="0F1378F9" w14:textId="77777777"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szCs w:val="22"/>
          <w:lang w:eastAsia="en-GB" w:bidi="ar-SA"/>
        </w:rPr>
        <w:t>figure below describes the case where the target Profile cannot provide connectivity after it is enabled, and when roll-back to the previously Enabled Profile occurs.</w:t>
      </w:r>
    </w:p>
    <w:p w14:paraId="7914A4E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2807E1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5175118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132F575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1A368DE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39EDD27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73AF33D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3654D9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005EB5E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C76530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725B74F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OP1 #FFFFFF</w:t>
      </w:r>
    </w:p>
    <w:p w14:paraId="39A38FB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52CCFA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“Device” as DEV #FFFFFF</w:t>
      </w:r>
    </w:p>
    <w:p w14:paraId="1CAE3D1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636AA41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0D263FE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0F6D6AB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3A2B48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M2MSP-&gt;&gt;SR: (1) EnableProfile(eid, iccid)</w:t>
      </w:r>
    </w:p>
    <w:p w14:paraId="43F3BF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7906C7C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142BDA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1717C4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Failed</w:t>
      </w:r>
    </w:p>
    <w:p w14:paraId="29B8E68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 MT-SMS [ES5.STORE DATA command]SCP80</w:t>
      </w:r>
    </w:p>
    <w:p w14:paraId="3570173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28377AD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Enforce POL1</w:t>
      </w:r>
    </w:p>
    <w:p w14:paraId="7370461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53F00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[ES5.STORE DATA command Failed response]SCP80</w:t>
      </w:r>
    </w:p>
    <w:p w14:paraId="4CF20F6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Failed</w:t>
      </w:r>
    </w:p>
    <w:p w14:paraId="7D458E9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707D706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Enable ISD-P</w:t>
      </w:r>
    </w:p>
    <w:p w14:paraId="174E2F5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D7B8D5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[ES5.STORE DATA command response]SCP80</w:t>
      </w:r>
    </w:p>
    <w:p w14:paraId="77EA809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(6a) Failed</w:t>
      </w:r>
    </w:p>
    <w:p w14:paraId="7A55462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(7) REFRESH, (UICC reset)</w:t>
      </w:r>
    </w:p>
    <w:p w14:paraId="3472144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178098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with the enabled profile **fails**</w:t>
      </w:r>
    </w:p>
    <w:p w14:paraId="3B757BE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OR</w:t>
      </w:r>
    </w:p>
    <w:p w14:paraId="251E2A8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Notification procedure **fails**</w:t>
      </w:r>
    </w:p>
    <w:p w14:paraId="1153257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DD0E93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129002E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over ISDR #FFFFFF</w:t>
      </w:r>
    </w:p>
    <w:p w14:paraId="39CB3D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(9) Enable previous ISD-P</w:t>
      </w:r>
    </w:p>
    <w:p w14:paraId="44F1978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034EE9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(10) REFRESH, (UICC reset)</w:t>
      </w:r>
    </w:p>
    <w:p w14:paraId="05588E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315258F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(11) Network attachment with the enabled profile </w:t>
      </w:r>
    </w:p>
    <w:p w14:paraId="3F2B002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FB2280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20B78CA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SR #FFFFFF</w:t>
      </w:r>
    </w:p>
    <w:p w14:paraId="3C9CE91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(12)                 Notification procedure over SMS                      </w:t>
      </w:r>
    </w:p>
    <w:p w14:paraId="6AA8120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4CC90A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579C67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(13) Profile enabling failure</w:t>
      </w:r>
    </w:p>
    <w:p w14:paraId="2640BF3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1CF57E00" w14:textId="77777777" w:rsidR="00B97365" w:rsidRDefault="00000000">
      <w:pPr>
        <w:rPr>
          <w:rFonts w:cs="Courier New"/>
          <w:noProof/>
          <w:color w:val="008000"/>
          <w:sz w:val="18"/>
          <w:lang w:eastAsia="en-GB" w:bidi="ar-SA"/>
        </w:rPr>
      </w:pPr>
      <w:r>
        <w:rPr>
          <w:rFonts w:cs="Courier New"/>
          <w:noProof/>
          <w:color w:val="008000"/>
          <w:sz w:val="18"/>
          <w:lang w:eastAsia="en-GB" w:bidi="ar-SA"/>
        </w:rPr>
        <w:lastRenderedPageBreak/>
        <w:drawing>
          <wp:inline distT="0" distB="0" distL="0" distR="0" wp14:anchorId="72C9BC4C" wp14:editId="4049A10D">
            <wp:extent cx="5731510" cy="4511135"/>
            <wp:effectExtent l="0" t="0" r="2540" b="3810"/>
            <wp:docPr id="446" name="Picture 44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
                    <pic:cNvPicPr/>
                  </pic:nvPicPr>
                  <pic:blipFill>
                    <a:blip r:embed="rId73">
                      <a:extLst>
                        <a:ext uri="{28A0092B-C50C-407E-A947-70E740481C1C}">
                          <a14:useLocalDpi xmlns:a14="http://schemas.microsoft.com/office/drawing/2010/main" val="0"/>
                        </a:ext>
                      </a:extLst>
                    </a:blip>
                    <a:stretch>
                      <a:fillRect/>
                    </a:stretch>
                  </pic:blipFill>
                  <pic:spPr>
                    <a:xfrm>
                      <a:off x="0" y="0"/>
                      <a:ext cx="5731510" cy="4511135"/>
                    </a:xfrm>
                    <a:prstGeom prst="rect">
                      <a:avLst/>
                    </a:prstGeom>
                  </pic:spPr>
                </pic:pic>
              </a:graphicData>
            </a:graphic>
          </wp:inline>
        </w:drawing>
      </w:r>
    </w:p>
    <w:p w14:paraId="10EF7CA0" w14:textId="77777777" w:rsidR="00B97365" w:rsidRDefault="00B97365">
      <w:pPr>
        <w:spacing w:before="0" w:after="200" w:line="276" w:lineRule="auto"/>
        <w:jc w:val="left"/>
        <w:rPr>
          <w:szCs w:val="22"/>
          <w:lang w:eastAsia="en-GB" w:bidi="ar-SA"/>
        </w:rPr>
      </w:pPr>
    </w:p>
    <w:p w14:paraId="4E8CC98F"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Profile Enabling via M2M SP, Failure Case with roll-back </w:t>
      </w:r>
    </w:p>
    <w:p w14:paraId="0A1D5F13"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23D51380" w14:textId="1004C64A"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identical to section </w:t>
      </w:r>
      <w:r>
        <w:rPr>
          <w:rFonts w:cs="Arial"/>
          <w:szCs w:val="22"/>
          <w:lang w:eastAsia="en-GB" w:bidi="ar-SA"/>
        </w:rPr>
        <w:fldChar w:fldCharType="begin"/>
      </w:r>
      <w:r>
        <w:rPr>
          <w:rFonts w:cs="Arial"/>
          <w:szCs w:val="22"/>
          <w:lang w:eastAsia="en-GB" w:bidi="ar-SA"/>
        </w:rPr>
        <w:instrText xml:space="preserve"> REF _Ref531614454 \n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3.17.1</w:t>
      </w:r>
      <w:r>
        <w:rPr>
          <w:rFonts w:cs="Arial"/>
          <w:szCs w:val="22"/>
          <w:lang w:eastAsia="en-GB" w:bidi="ar-SA"/>
        </w:rPr>
        <w:fldChar w:fldCharType="end"/>
      </w:r>
    </w:p>
    <w:p w14:paraId="4059E6CC"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Procedure:</w:t>
      </w:r>
    </w:p>
    <w:p w14:paraId="53F7FD05" w14:textId="4D6C4152" w:rsidR="00B97365" w:rsidRDefault="00000000">
      <w:pPr>
        <w:spacing w:before="0" w:after="200" w:line="276" w:lineRule="auto"/>
        <w:jc w:val="left"/>
        <w:rPr>
          <w:szCs w:val="22"/>
          <w:lang w:eastAsia="en-GB" w:bidi="ar-SA"/>
        </w:rPr>
      </w:pPr>
      <w:r>
        <w:rPr>
          <w:rFonts w:cs="Arial"/>
          <w:szCs w:val="22"/>
          <w:lang w:eastAsia="en-GB" w:bidi="ar-SA"/>
        </w:rPr>
        <w:t>Steps (1), (2), (3), (4), (5), (6), (6a) and (7) are also identical to section</w:t>
      </w:r>
      <w:r>
        <w:t xml:space="preserve"> </w:t>
      </w:r>
      <w:r>
        <w:fldChar w:fldCharType="begin"/>
      </w:r>
      <w:r>
        <w:instrText xml:space="preserve"> REF _Ref531614454 \n \h </w:instrText>
      </w:r>
      <w:r>
        <w:fldChar w:fldCharType="separate"/>
      </w:r>
      <w:r w:rsidR="001D5AD9">
        <w:t>3.17.1</w:t>
      </w:r>
      <w:r>
        <w:fldChar w:fldCharType="end"/>
      </w:r>
      <w:r>
        <w:rPr>
          <w:szCs w:val="22"/>
          <w:lang w:eastAsia="en-GB" w:bidi="ar-SA"/>
        </w:rPr>
        <w:t>.</w:t>
      </w:r>
    </w:p>
    <w:p w14:paraId="6BB28BA5" w14:textId="77777777" w:rsidR="00B97365" w:rsidRDefault="00000000">
      <w:pPr>
        <w:numPr>
          <w:ilvl w:val="0"/>
          <w:numId w:val="125"/>
        </w:numPr>
      </w:pPr>
      <w:r>
        <w:t>A network attach failure occurs indicating that the Enabled Profile cannot provide connectivity, or the eUICC doesn’t succeed to send the SMS notification (after having exhausted all possible retries), or doesn’t receive the SM-SR notification confirmation.</w:t>
      </w:r>
    </w:p>
    <w:p w14:paraId="3BA4292F" w14:textId="77777777" w:rsidR="00B97365" w:rsidRDefault="00000000">
      <w:pPr>
        <w:numPr>
          <w:ilvl w:val="0"/>
          <w:numId w:val="125"/>
        </w:numPr>
      </w:pPr>
      <w:r>
        <w:t>The ISD-R SHALL enable the Profile that was previously enabled before the reception of the command, to re-establish connectivity.</w:t>
      </w:r>
    </w:p>
    <w:p w14:paraId="23CCCDD0" w14:textId="77777777" w:rsidR="00B97365" w:rsidRDefault="00B97365">
      <w:pPr>
        <w:ind w:left="567"/>
        <w:rPr>
          <w:rFonts w:cs="Arial"/>
          <w:sz w:val="20"/>
        </w:rPr>
      </w:pPr>
    </w:p>
    <w:p w14:paraId="030060F5" w14:textId="62553F17" w:rsidR="00B97365" w:rsidRDefault="00000000">
      <w:pPr>
        <w:tabs>
          <w:tab w:val="left" w:pos="1560"/>
        </w:tabs>
        <w:spacing w:before="0" w:after="200" w:line="276" w:lineRule="auto"/>
        <w:ind w:left="1559" w:hanging="1202"/>
        <w:jc w:val="left"/>
        <w:rPr>
          <w:szCs w:val="22"/>
          <w:lang w:eastAsia="en-GB" w:bidi="ar-SA"/>
        </w:rPr>
      </w:pPr>
      <w:r>
        <w:rPr>
          <w:rFonts w:cs="Arial"/>
          <w:szCs w:val="22"/>
          <w:lang w:eastAsia="en-GB" w:bidi="ar-SA"/>
        </w:rPr>
        <w:t xml:space="preserve">NOTE: </w:t>
      </w:r>
      <w:r>
        <w:rPr>
          <w:rFonts w:cs="Arial"/>
          <w:szCs w:val="22"/>
          <w:lang w:eastAsia="en-GB" w:bidi="ar-SA"/>
        </w:rPr>
        <w:tab/>
      </w:r>
      <w:r>
        <w:rPr>
          <w:szCs w:val="22"/>
          <w:lang w:eastAsia="en-GB" w:bidi="ar-SA"/>
        </w:rPr>
        <w:t xml:space="preserve">Profile change includes a change of the IMSI that is used to attach to the network. As indicated in 3GPP TS 31.102 </w:t>
      </w:r>
      <w:r>
        <w:rPr>
          <w:szCs w:val="22"/>
          <w:lang w:eastAsia="en-GB" w:bidi="ar-SA"/>
        </w:rPr>
        <w:fldChar w:fldCharType="begin"/>
      </w:r>
      <w:r>
        <w:rPr>
          <w:szCs w:val="22"/>
          <w:lang w:eastAsia="en-GB" w:bidi="ar-SA"/>
        </w:rPr>
        <w:instrText xml:space="preserve"> REF _Ref421632746 \r \h  \* MERGEFORMAT </w:instrText>
      </w:r>
      <w:r>
        <w:rPr>
          <w:szCs w:val="22"/>
          <w:lang w:eastAsia="en-GB" w:bidi="ar-SA"/>
        </w:rPr>
      </w:r>
      <w:r>
        <w:rPr>
          <w:szCs w:val="22"/>
          <w:lang w:eastAsia="en-GB" w:bidi="ar-SA"/>
        </w:rPr>
        <w:fldChar w:fldCharType="separate"/>
      </w:r>
      <w:r w:rsidR="001D5AD9">
        <w:rPr>
          <w:szCs w:val="22"/>
          <w:lang w:eastAsia="en-GB" w:bidi="ar-SA"/>
        </w:rPr>
        <w:t>[52]</w:t>
      </w:r>
      <w:r>
        <w:rPr>
          <w:szCs w:val="22"/>
          <w:lang w:eastAsia="en-GB" w:bidi="ar-SA"/>
        </w:rPr>
        <w:fldChar w:fldCharType="end"/>
      </w:r>
      <w:r>
        <w:rPr>
          <w:szCs w:val="22"/>
          <w:lang w:eastAsia="en-GB" w:bidi="ar-SA"/>
        </w:rPr>
        <w:t>, such a change requires special caution and should always be accompanied by a REFRESH command to avoid inconsistent information being read by the terminal. So while the targeted ISD-P is marked as enabled in this step, it MAY actually become effective only after the terminal executes the REFRESH command.</w:t>
      </w:r>
    </w:p>
    <w:p w14:paraId="409459EA" w14:textId="77777777" w:rsidR="00B97365" w:rsidRDefault="00000000">
      <w:pPr>
        <w:numPr>
          <w:ilvl w:val="0"/>
          <w:numId w:val="125"/>
        </w:numPr>
      </w:pPr>
      <w:r>
        <w:lastRenderedPageBreak/>
        <w:t xml:space="preserve">The ISD-R sends a REFRESH proactive command in UICC reset mode to the Device. This will trigger the execution of a new network attach procedure. </w:t>
      </w:r>
    </w:p>
    <w:p w14:paraId="164A47B8" w14:textId="77777777" w:rsidR="00B97365" w:rsidRDefault="00000000">
      <w:pPr>
        <w:numPr>
          <w:ilvl w:val="0"/>
          <w:numId w:val="125"/>
        </w:numPr>
      </w:pPr>
      <w:r>
        <w:t>The eUICC and the Device SHALL perform a new network attach procedure with the Profile Enabled before the start of the procedure.</w:t>
      </w:r>
    </w:p>
    <w:p w14:paraId="3AAE22EE" w14:textId="03AA636A" w:rsidR="00B97365" w:rsidRDefault="00000000">
      <w:pPr>
        <w:numPr>
          <w:ilvl w:val="0"/>
          <w:numId w:val="125"/>
        </w:numPr>
      </w:pPr>
      <w:r>
        <w:t xml:space="preserve">The eUICC SHALL perform the notification procedure as described in section </w:t>
      </w:r>
      <w:r>
        <w:fldChar w:fldCharType="begin"/>
      </w:r>
      <w:r>
        <w:instrText xml:space="preserve"> REF _Ref367972946 \r \h </w:instrText>
      </w:r>
      <w:r>
        <w:fldChar w:fldCharType="separate"/>
      </w:r>
      <w:r w:rsidR="001D5AD9">
        <w:t>4.1.1.11</w:t>
      </w:r>
      <w:r>
        <w:fldChar w:fldCharType="end"/>
      </w:r>
      <w:r>
        <w:t>. On reception of the SMS notification, the SM-SR is informed that the target Profile has not been enabled. In order to minimize the notification retries on eUICC side, the SM-SR SHALL send the “</w:t>
      </w:r>
      <w:r>
        <w:rPr>
          <w:b/>
        </w:rPr>
        <w:t>ES5.HandleNotificationConfirmation</w:t>
      </w:r>
      <w:r>
        <w:t xml:space="preserve">” command defined in section </w:t>
      </w:r>
      <w:r>
        <w:fldChar w:fldCharType="begin"/>
      </w:r>
      <w:r>
        <w:instrText xml:space="preserve"> REF _Ref445910953 \r \h </w:instrText>
      </w:r>
      <w:r>
        <w:fldChar w:fldCharType="separate"/>
      </w:r>
      <w:r w:rsidR="001D5AD9">
        <w:t>4.1.1.12</w:t>
      </w:r>
      <w:r>
        <w:fldChar w:fldCharType="end"/>
      </w:r>
      <w:r>
        <w:t xml:space="preserve"> even if the Validity Period specified in the “</w:t>
      </w:r>
      <w:r>
        <w:rPr>
          <w:b/>
        </w:rPr>
        <w:t>ES4.EnableProfile</w:t>
      </w:r>
      <w:r>
        <w:t xml:space="preserve">” command has expired. </w:t>
      </w:r>
    </w:p>
    <w:p w14:paraId="457ECA12" w14:textId="77777777" w:rsidR="00B97365" w:rsidRDefault="00000000">
      <w:pPr>
        <w:numPr>
          <w:ilvl w:val="0"/>
          <w:numId w:val="125"/>
        </w:numPr>
        <w:spacing w:before="0" w:after="200" w:line="276" w:lineRule="auto"/>
        <w:contextualSpacing/>
      </w:pPr>
      <w:r>
        <w:t>Finally, the SM-SR SHALL return the response to the “</w:t>
      </w:r>
      <w:r>
        <w:rPr>
          <w:b/>
        </w:rPr>
        <w:t>ES4.EnableProfile</w:t>
      </w:r>
      <w:r>
        <w:t>” function to the M2M SP, indicating a failure, the target Profile didn’t succeed to provide the connectivity.</w:t>
      </w:r>
    </w:p>
    <w:p w14:paraId="2C1AE490"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000" w:name="_Ref532559593"/>
      <w:bookmarkStart w:id="2001" w:name="_Toc1977282"/>
      <w:bookmarkStart w:id="2002" w:name="_Toc37062439"/>
      <w:bookmarkStart w:id="2003" w:name="_Toc88839544"/>
      <w:bookmarkStart w:id="2004" w:name="_Toc121503952"/>
      <w:r>
        <w:rPr>
          <w:rFonts w:eastAsia="Times New Roman" w:cs="Arial"/>
          <w:b/>
          <w:bCs/>
          <w:iCs/>
          <w:sz w:val="24"/>
          <w:szCs w:val="28"/>
          <w:lang w:eastAsia="en-US"/>
        </w:rPr>
        <w:t xml:space="preserve">Profile Disabling via </w:t>
      </w:r>
      <w:bookmarkEnd w:id="2000"/>
      <w:r>
        <w:rPr>
          <w:rFonts w:eastAsia="Times New Roman" w:cs="Arial"/>
          <w:b/>
          <w:bCs/>
          <w:iCs/>
          <w:sz w:val="24"/>
          <w:szCs w:val="28"/>
          <w:lang w:eastAsia="en-US"/>
        </w:rPr>
        <w:t>M2M SP</w:t>
      </w:r>
      <w:bookmarkEnd w:id="2001"/>
      <w:bookmarkEnd w:id="2002"/>
      <w:bookmarkEnd w:id="2003"/>
      <w:bookmarkEnd w:id="2004"/>
    </w:p>
    <w:p w14:paraId="1EBF41DB" w14:textId="100DBC28" w:rsidR="00B97365" w:rsidRDefault="00000000">
      <w:pPr>
        <w:spacing w:before="0" w:after="200" w:line="276" w:lineRule="auto"/>
        <w:jc w:val="left"/>
        <w:rPr>
          <w:szCs w:val="22"/>
          <w:lang w:eastAsia="en-GB" w:bidi="ar-SA"/>
        </w:rPr>
      </w:pPr>
      <w:r>
        <w:rPr>
          <w:rFonts w:cs="Arial"/>
          <w:szCs w:val="22"/>
          <w:lang w:eastAsia="en-GB" w:bidi="ar-SA"/>
        </w:rPr>
        <w:t xml:space="preserve">The Profile Disabling procedure between the M2M SP and the SM-SR is used to disable a Profile previously downloaded and installed on an eUICC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3.5.17). The procedure is initiated by the M2M SP, based on prior authorisation of the Operator owning the Profile to be disabled, as defined in section </w:t>
      </w:r>
      <w:r>
        <w:rPr>
          <w:szCs w:val="22"/>
          <w:lang w:eastAsia="en-GB" w:bidi="ar-SA"/>
        </w:rPr>
        <w:fldChar w:fldCharType="begin"/>
      </w:r>
      <w:r>
        <w:rPr>
          <w:szCs w:val="22"/>
          <w:lang w:eastAsia="en-GB" w:bidi="ar-SA"/>
        </w:rPr>
        <w:instrText xml:space="preserve"> REF _Ref530152653 \r \h </w:instrText>
      </w:r>
      <w:r>
        <w:rPr>
          <w:szCs w:val="22"/>
          <w:lang w:eastAsia="en-GB" w:bidi="ar-SA"/>
        </w:rPr>
      </w:r>
      <w:r>
        <w:rPr>
          <w:szCs w:val="22"/>
          <w:lang w:eastAsia="en-GB" w:bidi="ar-SA"/>
        </w:rPr>
        <w:fldChar w:fldCharType="separate"/>
      </w:r>
      <w:r w:rsidR="001D5AD9">
        <w:rPr>
          <w:szCs w:val="22"/>
          <w:lang w:eastAsia="en-GB" w:bidi="ar-SA"/>
        </w:rPr>
        <w:t>3.20</w:t>
      </w:r>
      <w:r>
        <w:rPr>
          <w:szCs w:val="22"/>
          <w:lang w:eastAsia="en-GB" w:bidi="ar-SA"/>
        </w:rPr>
        <w:fldChar w:fldCharType="end"/>
      </w:r>
      <w:r>
        <w:rPr>
          <w:szCs w:val="22"/>
          <w:lang w:eastAsia="en-GB" w:bidi="ar-SA"/>
        </w:rPr>
        <w:t>. The procedure illustrates the usage of SMS as a possible transport protocol between SM-SR and eUICC,</w:t>
      </w:r>
      <w:r>
        <w:rPr>
          <w:color w:val="FF0000"/>
          <w:szCs w:val="22"/>
          <w:lang w:eastAsia="en-GB" w:bidi="ar-SA"/>
        </w:rPr>
        <w:t xml:space="preserve"> </w:t>
      </w:r>
      <w:r>
        <w:rPr>
          <w:szCs w:val="22"/>
          <w:lang w:eastAsia="en-GB" w:bidi="ar-SA"/>
        </w:rPr>
        <w:t>but can also be performed using other transport protocols.</w:t>
      </w:r>
    </w:p>
    <w:p w14:paraId="2A4E245C" w14:textId="77777777"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szCs w:val="22"/>
          <w:lang w:eastAsia="en-GB" w:bidi="ar-SA"/>
        </w:rPr>
        <w:t>figure below describes the normal case where the target Profile can successfully be disabled.</w:t>
      </w:r>
    </w:p>
    <w:p w14:paraId="12D5A0E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288BBD8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13F3A41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04E9CB7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18302D7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0B4BEFE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7B3FAFC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54697D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103B0DF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493527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62CF464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“Operator2” as OP2 #FFFFFF</w:t>
      </w:r>
    </w:p>
    <w:p w14:paraId="44C790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“Operator1” as OP1 #FFFFFF</w:t>
      </w:r>
    </w:p>
    <w:p w14:paraId="370E742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408A3F7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“Device” as DEV #FFFFFF</w:t>
      </w:r>
    </w:p>
    <w:p w14:paraId="12B2003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box “eUICC” #FFFFFF</w:t>
      </w:r>
    </w:p>
    <w:p w14:paraId="51BF101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29D9924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1ACDB00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FE67DD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M2MSP-&gt;&gt;SR: (1) DisableProfile(eid, iccid)</w:t>
      </w:r>
    </w:p>
    <w:p w14:paraId="2875982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425A4F0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1D97ABD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EA85C8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Failed</w:t>
      </w:r>
    </w:p>
    <w:p w14:paraId="7BF37A5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(3) MT-SMS [ES5.STORE DATA command]SCP80</w:t>
      </w:r>
    </w:p>
    <w:p w14:paraId="46A8613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44A7966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Enforce POL1</w:t>
      </w:r>
    </w:p>
    <w:p w14:paraId="6C4222E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041827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[ES5.STORE DATA command Failed response]SCP80</w:t>
      </w:r>
    </w:p>
    <w:p w14:paraId="2C379A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Failed</w:t>
      </w:r>
    </w:p>
    <w:p w14:paraId="6C1DB7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4B1ED7C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Disable ISD-P</w:t>
      </w:r>
    </w:p>
    <w:p w14:paraId="7947D7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434D1D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(6) MO-SMS [ES5.STORE DATA command response]SCP80</w:t>
      </w:r>
    </w:p>
    <w:p w14:paraId="0962AD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(6a) Failed</w:t>
      </w:r>
    </w:p>
    <w:p w14:paraId="29AF67C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(7) REFRESH, (UICC reset)</w:t>
      </w:r>
    </w:p>
    <w:p w14:paraId="492D016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5E9BAA8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using profile with Fall-Back attribute</w:t>
      </w:r>
    </w:p>
    <w:p w14:paraId="14E9DC4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AB4647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257EE67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Hnote right of SR #FFFFFF</w:t>
      </w:r>
    </w:p>
    <w:p w14:paraId="105B8C9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(9)                 Notification procedure over SMS                         </w:t>
      </w:r>
    </w:p>
    <w:p w14:paraId="232E3DC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Endhnote</w:t>
      </w:r>
    </w:p>
    <w:p w14:paraId="4004AD7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0E80AF7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79D72E6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(10) Check POL2</w:t>
      </w:r>
    </w:p>
    <w:p w14:paraId="4F1C3A0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8E9F35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SR-&gt;&gt;ISDR: (11) Cond.:  MT-SMS [ES5.DELETE command]SCP80</w:t>
      </w:r>
    </w:p>
    <w:p w14:paraId="1228DBD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4486D0C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(11a) Enforce POL1</w:t>
      </w:r>
    </w:p>
    <w:p w14:paraId="0303231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A657B2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MO-SMS [ES5.DELETE command FAILED response]SCP80</w:t>
      </w:r>
    </w:p>
    <w:p w14:paraId="123151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Failed</w:t>
      </w:r>
    </w:p>
    <w:p w14:paraId="0917E6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74F9E3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(11b) Delete disabled ISD-P</w:t>
      </w:r>
    </w:p>
    <w:p w14:paraId="319F3ED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and contained profile</w:t>
      </w:r>
    </w:p>
    <w:p w14:paraId="453B329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B10E5A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(11c) MO-SMS [ES5.DELETE command response]SCP80</w:t>
      </w:r>
    </w:p>
    <w:p w14:paraId="224742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22C3E5D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(12) Update EIS</w:t>
      </w:r>
    </w:p>
    <w:p w14:paraId="505522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D27C6E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(13) Profile disabling result</w:t>
      </w:r>
    </w:p>
    <w:p w14:paraId="2A07BDA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SR-&gt;&gt;OP1: (14) Cond: HandleProfileDisabledNotification(eid, iccid)</w:t>
      </w:r>
    </w:p>
    <w:p w14:paraId="0604839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SR-&gt;&gt;OP2: (15) Cond: HandleProfileEnabledNotification(eid, iccid2)</w:t>
      </w:r>
    </w:p>
    <w:p w14:paraId="763A22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(16) Cond: HandleProfileEnabledNotification(eid, iccid2)</w:t>
      </w:r>
    </w:p>
    <w:p w14:paraId="2F3F34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26E0400D" w14:textId="77777777" w:rsidR="00B97365" w:rsidRDefault="00000000">
      <w:pPr>
        <w:rPr>
          <w:rFonts w:cs="Courier New"/>
          <w:noProof/>
          <w:color w:val="008000"/>
          <w:sz w:val="18"/>
          <w:lang w:eastAsia="en-GB" w:bidi="ar-SA"/>
        </w:rPr>
      </w:pPr>
      <w:r>
        <w:rPr>
          <w:rFonts w:cs="Courier New"/>
          <w:noProof/>
          <w:color w:val="008000"/>
          <w:sz w:val="18"/>
          <w:lang w:eastAsia="en-GB" w:bidi="ar-SA"/>
        </w:rPr>
        <w:lastRenderedPageBreak/>
        <w:drawing>
          <wp:inline distT="0" distB="0" distL="0" distR="0" wp14:anchorId="63B449DC" wp14:editId="16826A78">
            <wp:extent cx="5731510" cy="4191964"/>
            <wp:effectExtent l="0" t="0" r="2540" b="0"/>
            <wp:docPr id="460" name="Picture 46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74">
                      <a:extLst>
                        <a:ext uri="{28A0092B-C50C-407E-A947-70E740481C1C}">
                          <a14:useLocalDpi xmlns:a14="http://schemas.microsoft.com/office/drawing/2010/main" val="0"/>
                        </a:ext>
                      </a:extLst>
                    </a:blip>
                    <a:stretch>
                      <a:fillRect/>
                    </a:stretch>
                  </pic:blipFill>
                  <pic:spPr>
                    <a:xfrm>
                      <a:off x="0" y="0"/>
                      <a:ext cx="5731510" cy="4191964"/>
                    </a:xfrm>
                    <a:prstGeom prst="rect">
                      <a:avLst/>
                    </a:prstGeom>
                  </pic:spPr>
                </pic:pic>
              </a:graphicData>
            </a:graphic>
          </wp:inline>
        </w:drawing>
      </w:r>
    </w:p>
    <w:p w14:paraId="0405F56A" w14:textId="77777777" w:rsidR="00B97365" w:rsidRDefault="00B97365">
      <w:pPr>
        <w:spacing w:before="0" w:after="200" w:line="276" w:lineRule="auto"/>
        <w:jc w:val="left"/>
        <w:rPr>
          <w:szCs w:val="22"/>
          <w:lang w:eastAsia="en-GB" w:bidi="ar-SA"/>
        </w:rPr>
      </w:pPr>
    </w:p>
    <w:p w14:paraId="73A489F1"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Profile Disabling via M2M SP </w:t>
      </w:r>
    </w:p>
    <w:p w14:paraId="0A4CE9BA" w14:textId="77777777" w:rsidR="00B97365" w:rsidRDefault="00B97365">
      <w:pPr>
        <w:rPr>
          <w:lang w:val="en-US"/>
        </w:rPr>
      </w:pPr>
    </w:p>
    <w:p w14:paraId="43AF2BC2"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r>
        <w:rPr>
          <w:rFonts w:cs="Arial"/>
          <w:b/>
          <w:noProof/>
          <w:szCs w:val="22"/>
          <w:lang w:val="en-US" w:eastAsia="en-GB" w:bidi="ar-SA"/>
        </w:rPr>
        <w:t>Start Conditions:</w:t>
      </w:r>
    </w:p>
    <w:p w14:paraId="322E8B3E" w14:textId="3BA44FB5"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p>
    <w:p w14:paraId="3EA0943A"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r>
        <w:rPr>
          <w:rFonts w:cs="Arial"/>
          <w:b/>
          <w:noProof/>
          <w:szCs w:val="22"/>
          <w:lang w:val="en-US" w:eastAsia="en-GB" w:bidi="ar-SA"/>
        </w:rPr>
        <w:t>Procedure:</w:t>
      </w:r>
    </w:p>
    <w:p w14:paraId="31635295" w14:textId="77777777" w:rsidR="00B97365" w:rsidRDefault="00000000">
      <w:pPr>
        <w:numPr>
          <w:ilvl w:val="0"/>
          <w:numId w:val="126"/>
        </w:numPr>
        <w:rPr>
          <w:lang w:val="en-US"/>
        </w:rPr>
      </w:pPr>
      <w:r>
        <w:rPr>
          <w:lang w:val="en-US"/>
        </w:rPr>
        <w:t xml:space="preserve">To disable the targeted Profile of Operator1 the M2M SP SHALL call the </w:t>
      </w:r>
      <w:r>
        <w:rPr>
          <w:b/>
          <w:lang w:val="en-US"/>
        </w:rPr>
        <w:t>“ES4.Disable.Profile”</w:t>
      </w:r>
      <w:r>
        <w:rPr>
          <w:lang w:val="en-US"/>
        </w:rPr>
        <w:t xml:space="preserve"> function with its relevant input data.</w:t>
      </w:r>
    </w:p>
    <w:p w14:paraId="4A63EBFB" w14:textId="79D4A1D2" w:rsidR="00B97365" w:rsidRDefault="00000000">
      <w:pPr>
        <w:numPr>
          <w:ilvl w:val="0"/>
          <w:numId w:val="126"/>
        </w:numPr>
        <w:rPr>
          <w:lang w:val="en-US"/>
        </w:rPr>
      </w:pPr>
      <w:r>
        <w:rPr>
          <w:lang w:val="en-US"/>
        </w:rPr>
        <w:t xml:space="preserve">The SM-SR SHALL verify that the M2M SP request is acceptable (the verifications that the SM-SR SHALL perform are described in the section </w:t>
      </w:r>
      <w:r>
        <w:fldChar w:fldCharType="begin"/>
      </w:r>
      <w:r>
        <w:instrText xml:space="preserve"> REF _Ref367971686 \r \h  \* MERGEFORMAT </w:instrText>
      </w:r>
      <w:r>
        <w:fldChar w:fldCharType="separate"/>
      </w:r>
      <w:r w:rsidR="001D5AD9" w:rsidRPr="001D5AD9">
        <w:rPr>
          <w:lang w:val="en-US"/>
        </w:rPr>
        <w:t>5.5.6</w:t>
      </w:r>
      <w:r>
        <w:fldChar w:fldCharType="end"/>
      </w:r>
      <w:r>
        <w:rPr>
          <w:lang w:val="en-US"/>
        </w:rPr>
        <w:t xml:space="preserve">, and in particular checks that the targeted Profile is enabled, that </w:t>
      </w:r>
      <w:r>
        <w:t>the M2M SP has the authorisation to disable the targeted profile,</w:t>
      </w:r>
      <w:r>
        <w:rPr>
          <w:lang w:val="en-US"/>
        </w:rPr>
        <w:t xml:space="preserve"> and that Profile disabling is allowed in POL2. If any of the conditions to be verified are not satisfied, the SM-SR SHALL return a response indicating the failure, and the procedure SHALL end.</w:t>
      </w:r>
    </w:p>
    <w:p w14:paraId="7660CB74" w14:textId="545A065E" w:rsidR="00B97365" w:rsidRDefault="00000000">
      <w:pPr>
        <w:numPr>
          <w:ilvl w:val="0"/>
          <w:numId w:val="126"/>
        </w:numPr>
        <w:rPr>
          <w:lang w:val="en-US"/>
        </w:rPr>
      </w:pPr>
      <w:r>
        <w:rPr>
          <w:lang w:val="en-US"/>
        </w:rPr>
        <w:t>The SM-SR SHALL send an MT-SMS containing the “</w:t>
      </w:r>
      <w:r>
        <w:rPr>
          <w:b/>
          <w:lang w:val="en-US"/>
        </w:rPr>
        <w:t>ES5.STORE DATA</w:t>
      </w:r>
      <w:r>
        <w:rPr>
          <w:lang w:val="en-US"/>
        </w:rPr>
        <w:t xml:space="preserve">” command for Profile disabling with its relevant input data (see section </w:t>
      </w:r>
      <w:r>
        <w:fldChar w:fldCharType="begin"/>
      </w:r>
      <w:r>
        <w:instrText xml:space="preserve"> REF _Ref367971749 \r \h  \* MERGEFORMAT </w:instrText>
      </w:r>
      <w:r>
        <w:fldChar w:fldCharType="separate"/>
      </w:r>
      <w:r w:rsidR="001D5AD9" w:rsidRPr="001D5AD9">
        <w:rPr>
          <w:lang w:val="en-US"/>
        </w:rPr>
        <w:t>4.1.1.3</w:t>
      </w:r>
      <w:r>
        <w:fldChar w:fldCharType="end"/>
      </w:r>
      <w:r>
        <w:rPr>
          <w:lang w:val="en-US"/>
        </w:rPr>
        <w:t>) to the ISD-R. The SM-SR SHALL request a PoR to get the execution status of the “</w:t>
      </w:r>
      <w:r>
        <w:rPr>
          <w:b/>
          <w:lang w:val="en-US"/>
        </w:rPr>
        <w:t>ES5.STORE DATA</w:t>
      </w:r>
      <w:r>
        <w:rPr>
          <w:lang w:val="en-US"/>
        </w:rPr>
        <w:t>” command.</w:t>
      </w:r>
    </w:p>
    <w:p w14:paraId="7A6A2815" w14:textId="77777777" w:rsidR="00B97365" w:rsidRDefault="00000000">
      <w:pPr>
        <w:numPr>
          <w:ilvl w:val="0"/>
          <w:numId w:val="126"/>
        </w:numPr>
        <w:rPr>
          <w:lang w:val="en-US"/>
        </w:rPr>
      </w:pPr>
      <w:r>
        <w:rPr>
          <w:lang w:val="en-US"/>
        </w:rPr>
        <w:t>The ISD-R SHALL enforce POL1 of the currently Enabled Profile. In case POL1 rejects disabling, the ISD-R SHALL return PoR containing the response indicating a failure, and the procedure SHALL end.</w:t>
      </w:r>
    </w:p>
    <w:p w14:paraId="5590B313" w14:textId="77777777" w:rsidR="00B97365" w:rsidRDefault="00000000">
      <w:pPr>
        <w:numPr>
          <w:ilvl w:val="0"/>
          <w:numId w:val="126"/>
        </w:numPr>
        <w:rPr>
          <w:lang w:val="en-US"/>
        </w:rPr>
      </w:pPr>
      <w:r>
        <w:rPr>
          <w:lang w:val="en-US"/>
        </w:rPr>
        <w:lastRenderedPageBreak/>
        <w:t>The ISD-R SHALL disable the targeted ISD-P and the contained Profile and SHALL enable the Profile with the Fall-Back Attribute set.</w:t>
      </w:r>
    </w:p>
    <w:p w14:paraId="2B32CD13" w14:textId="77777777" w:rsidR="00B97365" w:rsidRDefault="00B97365">
      <w:pPr>
        <w:tabs>
          <w:tab w:val="left" w:pos="1560"/>
        </w:tabs>
        <w:spacing w:before="0" w:after="200" w:line="276" w:lineRule="auto"/>
        <w:ind w:left="1559" w:hanging="1202"/>
        <w:jc w:val="left"/>
        <w:rPr>
          <w:rFonts w:cs="Arial"/>
          <w:szCs w:val="22"/>
          <w:lang w:val="en-US" w:eastAsia="en-GB" w:bidi="ar-SA"/>
        </w:rPr>
      </w:pPr>
    </w:p>
    <w:p w14:paraId="56F21E54" w14:textId="1E8C84D8" w:rsidR="00B97365" w:rsidRDefault="00000000">
      <w:pPr>
        <w:tabs>
          <w:tab w:val="left" w:pos="1560"/>
        </w:tabs>
        <w:spacing w:before="0" w:after="200" w:line="276" w:lineRule="auto"/>
        <w:ind w:left="1559" w:hanging="1202"/>
        <w:jc w:val="left"/>
        <w:rPr>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Profile change includes a change of the IMSI that is used to attach to the network. As indicated in 3GPP TS 31.102 </w:t>
      </w:r>
      <w:r>
        <w:rPr>
          <w:szCs w:val="22"/>
          <w:lang w:val="en-US" w:eastAsia="en-GB" w:bidi="ar-SA"/>
        </w:rPr>
        <w:fldChar w:fldCharType="begin"/>
      </w:r>
      <w:r>
        <w:rPr>
          <w:szCs w:val="22"/>
          <w:lang w:val="en-US" w:eastAsia="en-GB" w:bidi="ar-SA"/>
        </w:rPr>
        <w:instrText xml:space="preserve"> REF _Ref421632746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[52]</w:t>
      </w:r>
      <w:r>
        <w:rPr>
          <w:szCs w:val="22"/>
          <w:lang w:val="en-US" w:eastAsia="en-GB" w:bidi="ar-SA"/>
        </w:rPr>
        <w:fldChar w:fldCharType="end"/>
      </w:r>
      <w:r>
        <w:rPr>
          <w:szCs w:val="22"/>
          <w:lang w:val="en-US" w:eastAsia="en-GB" w:bidi="ar-SA"/>
        </w:rPr>
        <w:t>, such a change requires special caution and should always be accompanied by a REFRESH command to avoid inconsistent information being read by the terminal. So while the targeted ISD-P is marked as enabled in this step, it MAY actually become effective only after the terminal executes the REFRESH command.</w:t>
      </w:r>
    </w:p>
    <w:p w14:paraId="218260D9" w14:textId="77777777" w:rsidR="00B97365" w:rsidRDefault="00000000">
      <w:pPr>
        <w:numPr>
          <w:ilvl w:val="0"/>
          <w:numId w:val="126"/>
        </w:numPr>
        <w:rPr>
          <w:lang w:val="en-US"/>
        </w:rPr>
      </w:pPr>
      <w:r>
        <w:rPr>
          <w:lang w:val="en-US"/>
        </w:rPr>
        <w:t>The ISD-R SHALL return the MO-SMS containing the execution status of the “</w:t>
      </w:r>
      <w:r>
        <w:rPr>
          <w:b/>
          <w:lang w:val="en-US"/>
        </w:rPr>
        <w:t>ES5.STORE DATA</w:t>
      </w:r>
      <w:r>
        <w:rPr>
          <w:lang w:val="en-US"/>
        </w:rPr>
        <w:t>” command to the SM-SR.</w:t>
      </w:r>
    </w:p>
    <w:p w14:paraId="21CA20A1" w14:textId="77777777" w:rsidR="00B97365" w:rsidRDefault="00000000">
      <w:pPr>
        <w:ind w:left="709" w:hanging="709"/>
        <w:rPr>
          <w:rFonts w:cs="Arial"/>
        </w:rPr>
      </w:pPr>
      <w:r>
        <w:rPr>
          <w:rFonts w:cs="Arial"/>
        </w:rPr>
        <w:t>(6a)</w:t>
      </w:r>
      <w:r>
        <w:rPr>
          <w:rFonts w:cs="Arial"/>
        </w:rPr>
        <w:tab/>
        <w:t>If the response to the “</w:t>
      </w:r>
      <w:r>
        <w:rPr>
          <w:rFonts w:cs="Arial"/>
          <w:b/>
        </w:rPr>
        <w:t>ES5.STORE DATA</w:t>
      </w:r>
      <w:r>
        <w:rPr>
          <w:rFonts w:cs="Arial"/>
        </w:rPr>
        <w:t>” command indicates a failure, the SM-SR SHALL return a response indicating the failure to M2M SP, and the procedure SHALL end.</w:t>
      </w:r>
    </w:p>
    <w:p w14:paraId="62527204" w14:textId="77777777" w:rsidR="00B97365" w:rsidRDefault="00000000">
      <w:pPr>
        <w:numPr>
          <w:ilvl w:val="0"/>
          <w:numId w:val="126"/>
        </w:numPr>
        <w:rPr>
          <w:lang w:val="en-US"/>
        </w:rPr>
      </w:pPr>
      <w:r>
        <w:rPr>
          <w:lang w:val="en-US"/>
        </w:rPr>
        <w:t>The ISD-R sends a REFRESH proactive command in UICC reset mode to the Device. This will trigger the execution of a network attach procedure.</w:t>
      </w:r>
    </w:p>
    <w:p w14:paraId="0FECDFC5" w14:textId="77777777" w:rsidR="00B97365" w:rsidRDefault="00B97365">
      <w:pPr>
        <w:tabs>
          <w:tab w:val="left" w:pos="1560"/>
        </w:tabs>
        <w:spacing w:before="0" w:after="200" w:line="276" w:lineRule="auto"/>
        <w:ind w:left="1559" w:hanging="1202"/>
        <w:jc w:val="left"/>
        <w:rPr>
          <w:rFonts w:cs="Arial"/>
          <w:szCs w:val="22"/>
          <w:lang w:val="en-US" w:eastAsia="en-GB" w:bidi="ar-SA"/>
        </w:rPr>
      </w:pPr>
    </w:p>
    <w:p w14:paraId="0D5133A7" w14:textId="6208D922" w:rsidR="00B97365" w:rsidRDefault="00000000">
      <w:pPr>
        <w:tabs>
          <w:tab w:val="left" w:pos="1560"/>
        </w:tabs>
        <w:spacing w:before="0" w:after="200" w:line="276" w:lineRule="auto"/>
        <w:ind w:left="1559" w:hanging="1202"/>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In case of any error after this step indicating that the current Enabled Profile cannot provide connectivity, the ISD-R SHALL re-enable the previously Enabled Profile as described in section </w:t>
      </w:r>
      <w:r>
        <w:rPr>
          <w:szCs w:val="22"/>
          <w:lang w:eastAsia="en-GB" w:bidi="ar-SA"/>
        </w:rPr>
        <w:fldChar w:fldCharType="begin"/>
      </w:r>
      <w:r>
        <w:rPr>
          <w:szCs w:val="22"/>
          <w:lang w:eastAsia="en-GB" w:bidi="ar-SA"/>
        </w:rPr>
        <w:instrText xml:space="preserve"> REF _Ref367971769 \r \h  \* MERGEFORMAT </w:instrText>
      </w:r>
      <w:r>
        <w:rPr>
          <w:szCs w:val="22"/>
          <w:lang w:eastAsia="en-GB" w:bidi="ar-SA"/>
        </w:rPr>
      </w:r>
      <w:r>
        <w:rPr>
          <w:szCs w:val="22"/>
          <w:lang w:eastAsia="en-GB" w:bidi="ar-SA"/>
        </w:rPr>
        <w:fldChar w:fldCharType="separate"/>
      </w:r>
      <w:r w:rsidR="001D5AD9" w:rsidRPr="001D5AD9">
        <w:rPr>
          <w:rFonts w:cs="Arial"/>
          <w:szCs w:val="22"/>
          <w:lang w:val="en-US" w:eastAsia="en-GB" w:bidi="ar-SA"/>
        </w:rPr>
        <w:t>3.2.2</w:t>
      </w:r>
      <w:r>
        <w:rPr>
          <w:szCs w:val="22"/>
          <w:lang w:eastAsia="en-GB" w:bidi="ar-SA"/>
        </w:rPr>
        <w:fldChar w:fldCharType="end"/>
      </w:r>
      <w:r>
        <w:rPr>
          <w:rFonts w:cs="Arial"/>
          <w:szCs w:val="22"/>
          <w:lang w:val="en-US" w:eastAsia="en-GB" w:bidi="ar-SA"/>
        </w:rPr>
        <w:t xml:space="preserve">. </w:t>
      </w:r>
    </w:p>
    <w:p w14:paraId="7F375226" w14:textId="77777777" w:rsidR="00B97365" w:rsidRDefault="00000000">
      <w:pPr>
        <w:numPr>
          <w:ilvl w:val="0"/>
          <w:numId w:val="126"/>
        </w:numPr>
        <w:rPr>
          <w:lang w:val="en-US"/>
        </w:rPr>
      </w:pPr>
      <w:r>
        <w:rPr>
          <w:lang w:val="en-US"/>
        </w:rPr>
        <w:t>The eUICC and the Device SHALL perform a new network attach procedure with the Profile with the Fall-Back Attribute set.</w:t>
      </w:r>
    </w:p>
    <w:p w14:paraId="08577CC3" w14:textId="075DFE6B" w:rsidR="00B97365" w:rsidRDefault="00000000">
      <w:pPr>
        <w:numPr>
          <w:ilvl w:val="0"/>
          <w:numId w:val="126"/>
        </w:numPr>
        <w:rPr>
          <w:lang w:val="en-US"/>
        </w:rPr>
      </w:pPr>
      <w:r>
        <w:rPr>
          <w:lang w:val="en-US"/>
        </w:rPr>
        <w:t xml:space="preserve">The eUICC SHALL perform the notification procedure as described in section </w:t>
      </w:r>
      <w:r>
        <w:fldChar w:fldCharType="begin"/>
      </w:r>
      <w:r>
        <w:instrText xml:space="preserve"> REF _Ref367972946 \r \h </w:instrText>
      </w:r>
      <w:r>
        <w:fldChar w:fldCharType="separate"/>
      </w:r>
      <w:r w:rsidR="001D5AD9">
        <w:t>4.1.1.11</w:t>
      </w:r>
      <w:r>
        <w:fldChar w:fldCharType="end"/>
      </w:r>
      <w:r>
        <w:rPr>
          <w:lang w:val="en-US"/>
        </w:rPr>
        <w:t xml:space="preserve">. During this procedure, if ISD-R doesn’t succeed to send the SMS notification, or doesn’t receive the SM-SR notification confirmation  </w:t>
      </w:r>
      <w:r>
        <w:t>(“</w:t>
      </w:r>
      <w:r>
        <w:rPr>
          <w:b/>
        </w:rPr>
        <w:t>ES5.HandleNotificationConfirmation</w:t>
      </w:r>
      <w:r>
        <w:t>” command)</w:t>
      </w:r>
      <w:r>
        <w:rPr>
          <w:lang w:val="en-US"/>
        </w:rPr>
        <w:t>, the ISD-R SHALL consider this as an error, and the previous note SHALL apply</w:t>
      </w:r>
      <w:r>
        <w:t>.</w:t>
      </w:r>
      <w:r>
        <w:br/>
        <w:t>After successfully verifying the content of the notification confirmation received from the SM-SR (which confirms that the newly Enabled Profile provides connectivity), the eUICC SHALL no longer attempt to re-enable the previously Enabled Profile.</w:t>
      </w:r>
      <w:r>
        <w:tab/>
      </w:r>
      <w:r>
        <w:br/>
        <w:t>After this verification, if POL1 of the Disabled Profile contains the rule “Profile deletion is mandatory when it is disabled”, the ISD-R SHALL delete the disabled ISD-P and the contained Profile. The eUICC SHALL send the response to the notification confirmation indicating whether the disabled ISD-P has been deleted or not.</w:t>
      </w:r>
    </w:p>
    <w:p w14:paraId="1F59E92F" w14:textId="68435C50" w:rsidR="00B97365" w:rsidRDefault="00000000">
      <w:pPr>
        <w:tabs>
          <w:tab w:val="left" w:pos="1560"/>
        </w:tabs>
        <w:spacing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 xml:space="preserve">If the SM-SR receives the notification after the expiration of the Validity Period (which was provided to the SM-SR for this function call), it will not send the notification confirmation (see section </w:t>
      </w:r>
      <w:r>
        <w:rPr>
          <w:szCs w:val="22"/>
          <w:lang w:eastAsia="en-GB" w:bidi="ar-SA"/>
        </w:rPr>
        <w:fldChar w:fldCharType="begin"/>
      </w:r>
      <w:r>
        <w:rPr>
          <w:szCs w:val="22"/>
          <w:lang w:eastAsia="en-GB" w:bidi="ar-SA"/>
        </w:rPr>
        <w:instrText xml:space="preserve"> REF _Ref40222824 \r \h </w:instrText>
      </w:r>
      <w:r>
        <w:rPr>
          <w:szCs w:val="22"/>
          <w:lang w:eastAsia="en-GB" w:bidi="ar-SA"/>
        </w:rPr>
      </w:r>
      <w:r>
        <w:rPr>
          <w:szCs w:val="22"/>
          <w:lang w:eastAsia="en-GB" w:bidi="ar-SA"/>
        </w:rPr>
        <w:fldChar w:fldCharType="separate"/>
      </w:r>
      <w:r w:rsidR="001D5AD9">
        <w:rPr>
          <w:szCs w:val="22"/>
          <w:lang w:eastAsia="en-GB" w:bidi="ar-SA"/>
        </w:rPr>
        <w:t>3.15.1</w:t>
      </w:r>
      <w:r>
        <w:rPr>
          <w:szCs w:val="22"/>
          <w:lang w:eastAsia="en-GB" w:bidi="ar-SA"/>
        </w:rPr>
        <w:fldChar w:fldCharType="end"/>
      </w:r>
      <w:r>
        <w:rPr>
          <w:szCs w:val="22"/>
          <w:lang w:eastAsia="en-GB" w:bidi="ar-SA"/>
        </w:rPr>
        <w:t>).</w:t>
      </w:r>
    </w:p>
    <w:p w14:paraId="57536738" w14:textId="77777777" w:rsidR="00B97365" w:rsidRDefault="00000000">
      <w:pPr>
        <w:numPr>
          <w:ilvl w:val="0"/>
          <w:numId w:val="126"/>
        </w:numPr>
        <w:rPr>
          <w:lang w:val="en-US"/>
        </w:rPr>
      </w:pPr>
      <w:r>
        <w:rPr>
          <w:lang w:val="en-US"/>
        </w:rPr>
        <w:t xml:space="preserve">On reception of the </w:t>
      </w:r>
      <w:r>
        <w:rPr>
          <w:b/>
          <w:lang w:val="en-US"/>
        </w:rPr>
        <w:t>ES5.HandleNotificationConfirmation</w:t>
      </w:r>
      <w:r>
        <w:rPr>
          <w:lang w:val="en-US"/>
        </w:rPr>
        <w:t xml:space="preserve"> response, and if the </w:t>
      </w:r>
      <w:r>
        <w:rPr>
          <w:b/>
          <w:lang w:val="en-US"/>
        </w:rPr>
        <w:t>ES5.HandleNotificationConfirmation</w:t>
      </w:r>
      <w:r>
        <w:rPr>
          <w:lang w:val="en-US"/>
        </w:rPr>
        <w:t xml:space="preserve"> response indicates that the Disabled Profile has not been deleted, the SM-SR SHALL evaluate POL2 of the Disabled Profile. If POL2 of the Disabled Profile contains the rule “</w:t>
      </w:r>
      <w:r>
        <w:rPr>
          <w:rFonts w:eastAsia="Times New Roman" w:cs="Arial"/>
          <w:bCs/>
          <w:lang w:val="en-US"/>
        </w:rPr>
        <w:t>Profile deletion is mandatory when it is disabled</w:t>
      </w:r>
      <w:r>
        <w:rPr>
          <w:lang w:val="en-US"/>
        </w:rPr>
        <w:t xml:space="preserve">”, the SM-SR SHALL perform step (11), else it SHALL jump to step (12). </w:t>
      </w:r>
    </w:p>
    <w:p w14:paraId="35ABC38F" w14:textId="60499842" w:rsidR="00B97365" w:rsidRDefault="00000000">
      <w:pPr>
        <w:numPr>
          <w:ilvl w:val="0"/>
          <w:numId w:val="126"/>
        </w:numPr>
        <w:rPr>
          <w:lang w:val="en-US"/>
        </w:rPr>
      </w:pPr>
      <w:r>
        <w:rPr>
          <w:lang w:val="en-US"/>
        </w:rPr>
        <w:t>The SM-SR SHALL send an MT-SMS containing the “</w:t>
      </w:r>
      <w:r>
        <w:rPr>
          <w:b/>
          <w:lang w:val="en-US"/>
        </w:rPr>
        <w:t>ES5.DELETE</w:t>
      </w:r>
      <w:r>
        <w:rPr>
          <w:lang w:val="en-US"/>
        </w:rPr>
        <w:t xml:space="preserve">” command with its relevant input data (see section </w:t>
      </w:r>
      <w:r>
        <w:fldChar w:fldCharType="begin"/>
      </w:r>
      <w:r>
        <w:instrText xml:space="preserve"> REF _Ref367971816 \r \h  \* MERGEFORMAT </w:instrText>
      </w:r>
      <w:r>
        <w:fldChar w:fldCharType="separate"/>
      </w:r>
      <w:r w:rsidR="001D5AD9" w:rsidRPr="001D5AD9">
        <w:rPr>
          <w:lang w:val="en-US"/>
        </w:rPr>
        <w:t>4.1.1.4</w:t>
      </w:r>
      <w:r>
        <w:fldChar w:fldCharType="end"/>
      </w:r>
      <w:r>
        <w:rPr>
          <w:lang w:val="en-US"/>
        </w:rPr>
        <w:t xml:space="preserve">) to the ISD-R, targeting the Disabled Profile. </w:t>
      </w:r>
      <w:r>
        <w:rPr>
          <w:lang w:val="en-US"/>
        </w:rPr>
        <w:lastRenderedPageBreak/>
        <w:t>The SM-SR SHALL request a PoR to get the execution status of the “</w:t>
      </w:r>
      <w:r>
        <w:rPr>
          <w:b/>
          <w:lang w:val="en-US"/>
        </w:rPr>
        <w:t>ES5.DELETE</w:t>
      </w:r>
      <w:r>
        <w:rPr>
          <w:lang w:val="en-US"/>
        </w:rPr>
        <w:t>” command.</w:t>
      </w:r>
    </w:p>
    <w:p w14:paraId="197A143A" w14:textId="77777777" w:rsidR="00B97365" w:rsidRDefault="00000000">
      <w:pPr>
        <w:ind w:left="709" w:hanging="709"/>
        <w:rPr>
          <w:rFonts w:cs="Arial"/>
        </w:rPr>
      </w:pPr>
      <w:r>
        <w:rPr>
          <w:rFonts w:cs="Arial"/>
        </w:rPr>
        <w:t>(11a)</w:t>
      </w:r>
      <w:r>
        <w:rPr>
          <w:rFonts w:cs="Arial"/>
        </w:rPr>
        <w:tab/>
        <w:t xml:space="preserve">The ISD-R SHALL enforce POL1 of the target Profile. If POL1 rejects the deletion of the target Profile, the ISD-R SHALL return the MO-SMS containing the response indicating the corresponding failure, and the procedure SHALL end. </w:t>
      </w:r>
    </w:p>
    <w:p w14:paraId="7B66AF49" w14:textId="77777777" w:rsidR="00B97365" w:rsidRDefault="00000000">
      <w:pPr>
        <w:ind w:left="709" w:hanging="709"/>
        <w:rPr>
          <w:rFonts w:cs="Arial"/>
        </w:rPr>
      </w:pPr>
      <w:r>
        <w:rPr>
          <w:rFonts w:cs="Arial"/>
        </w:rPr>
        <w:t>(11b)</w:t>
      </w:r>
      <w:r>
        <w:rPr>
          <w:rFonts w:cs="Arial"/>
        </w:rPr>
        <w:tab/>
        <w:t>If POL1 allows its deletion, the ISD-R SHALL delete the targeted ISD-P and the contained Profile.</w:t>
      </w:r>
    </w:p>
    <w:p w14:paraId="2D5F88E5" w14:textId="77777777" w:rsidR="00B97365" w:rsidRDefault="00000000">
      <w:pPr>
        <w:ind w:left="709" w:hanging="709"/>
        <w:rPr>
          <w:rFonts w:cs="Arial"/>
        </w:rPr>
      </w:pPr>
      <w:r>
        <w:rPr>
          <w:rFonts w:cs="Arial"/>
        </w:rPr>
        <w:t>(11c)</w:t>
      </w:r>
      <w:r>
        <w:rPr>
          <w:rFonts w:cs="Arial"/>
        </w:rPr>
        <w:tab/>
        <w:t>The ISD-R SHALL return the MO-SMS to the SM-SR containing the execution status of the “</w:t>
      </w:r>
      <w:r>
        <w:rPr>
          <w:rFonts w:cs="Arial"/>
          <w:b/>
        </w:rPr>
        <w:t>ES5.DELETE</w:t>
      </w:r>
      <w:r>
        <w:rPr>
          <w:rFonts w:cs="Arial"/>
        </w:rPr>
        <w:t xml:space="preserve">” command. </w:t>
      </w:r>
    </w:p>
    <w:p w14:paraId="451378F5" w14:textId="77777777" w:rsidR="00B97365" w:rsidRDefault="00000000">
      <w:pPr>
        <w:numPr>
          <w:ilvl w:val="0"/>
          <w:numId w:val="126"/>
        </w:numPr>
        <w:rPr>
          <w:lang w:val="en-US"/>
        </w:rPr>
      </w:pPr>
      <w:r>
        <w:rPr>
          <w:lang w:val="en-US"/>
        </w:rPr>
        <w:t>According to the executed sequence and the eUICC responses, the SM-SR SHALL update the EIS to reflect that:</w:t>
      </w:r>
    </w:p>
    <w:p w14:paraId="17141896"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The Profile having the fall-back attribute has been enabled</w:t>
      </w:r>
    </w:p>
    <w:p w14:paraId="78FFF433" w14:textId="77777777" w:rsidR="00B97365" w:rsidRDefault="00000000">
      <w:pPr>
        <w:numPr>
          <w:ilvl w:val="0"/>
          <w:numId w:val="38"/>
        </w:numPr>
        <w:tabs>
          <w:tab w:val="left" w:pos="1134"/>
        </w:tabs>
        <w:spacing w:before="0" w:after="200" w:line="276" w:lineRule="auto"/>
        <w:ind w:left="993" w:hanging="426"/>
        <w:contextualSpacing/>
        <w:jc w:val="left"/>
        <w:rPr>
          <w:szCs w:val="22"/>
          <w:lang w:eastAsia="en-GB" w:bidi="ar-SA"/>
        </w:rPr>
      </w:pPr>
      <w:r>
        <w:rPr>
          <w:szCs w:val="22"/>
          <w:lang w:eastAsia="en-GB" w:bidi="ar-SA"/>
        </w:rPr>
        <w:t>The previously Enabled Profile has been disabled or deleted.</w:t>
      </w:r>
    </w:p>
    <w:p w14:paraId="0E485432" w14:textId="77777777" w:rsidR="00B97365" w:rsidRDefault="00B97365">
      <w:pPr>
        <w:tabs>
          <w:tab w:val="left" w:pos="1134"/>
        </w:tabs>
        <w:spacing w:before="0" w:after="200" w:line="276" w:lineRule="auto"/>
        <w:ind w:left="567"/>
        <w:contextualSpacing/>
        <w:jc w:val="left"/>
        <w:rPr>
          <w:rFonts w:cs="Arial"/>
          <w:szCs w:val="22"/>
          <w:lang w:eastAsia="en-GB" w:bidi="ar-SA"/>
        </w:rPr>
      </w:pPr>
    </w:p>
    <w:p w14:paraId="07D2CBD3"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 xml:space="preserve">NOTE: </w:t>
      </w:r>
      <w:r>
        <w:rPr>
          <w:szCs w:val="22"/>
          <w:lang w:val="en-US" w:eastAsia="en-GB" w:bidi="ar-SA"/>
        </w:rPr>
        <w:tab/>
        <w:t>POL1 and POL2 MAY have different content. As a consequence, both the eUICC and the SM-SR have to ensure the ISD-P deletion based on their respective Policy.</w:t>
      </w:r>
    </w:p>
    <w:p w14:paraId="3CE1FFF8" w14:textId="77777777" w:rsidR="00B97365" w:rsidRDefault="00000000">
      <w:pPr>
        <w:numPr>
          <w:ilvl w:val="0"/>
          <w:numId w:val="126"/>
        </w:numPr>
        <w:rPr>
          <w:lang w:val="en-US"/>
        </w:rPr>
      </w:pPr>
      <w:r>
        <w:rPr>
          <w:lang w:val="en-US"/>
        </w:rPr>
        <w:t>The SM-SR SHALL return the response to the “</w:t>
      </w:r>
      <w:r>
        <w:rPr>
          <w:b/>
          <w:lang w:val="en-US"/>
        </w:rPr>
        <w:t>ES4.DisableProfile</w:t>
      </w:r>
      <w:r>
        <w:rPr>
          <w:lang w:val="en-US"/>
        </w:rPr>
        <w:t xml:space="preserve">” function to M2M SP, indicating that the Profile has been disabled. In case the Profile has also been deleted because of POL1 or POL2, the function execution response SHALL include an execution status “Executed-WithWarning” indicating that the Profile has also been deleted.  </w:t>
      </w:r>
    </w:p>
    <w:p w14:paraId="4525AE47" w14:textId="77777777" w:rsidR="00B97365" w:rsidRDefault="00000000">
      <w:pPr>
        <w:numPr>
          <w:ilvl w:val="0"/>
          <w:numId w:val="126"/>
        </w:numPr>
        <w:rPr>
          <w:lang w:val="en-US"/>
        </w:rPr>
      </w:pPr>
      <w:r>
        <w:t xml:space="preserve">Unless Operator1 has set an ONC to not receive those notifications, the </w:t>
      </w:r>
      <w:r>
        <w:rPr>
          <w:lang w:val="en-US"/>
        </w:rPr>
        <w:t xml:space="preserve">SM-SR SHALL send the “ES4.HandleProfileDisabledNotification” to Operator1, the owner of the Profile that was enabled at the beginning of the procedure. In case the Profile has also been deleted because of POL1 or POL2, the function execution response SHALL include an execution status “Executed-WithWarning” indicating that the Profile has also been deleted.  In case Operator1 has no direct connection with the SM-SR (SM-SR SHALL be able to detect such a situation based on its own database), the SM-SR SHALL send this notification to the SM-DP authorised by Operator1 by calling the “ES3.HandleProfileEnabledNotification”. The SM-SR can retrieve the SM-DP identity based on the EIS content. Then the SM-DP, on reception of this notification, SHALL forward it to Operator1 by calling the “ES2.HandleProfileEnabledNotification”. </w:t>
      </w:r>
    </w:p>
    <w:p w14:paraId="519BA3D2" w14:textId="77777777" w:rsidR="00B97365" w:rsidRDefault="00000000">
      <w:pPr>
        <w:numPr>
          <w:ilvl w:val="0"/>
          <w:numId w:val="126"/>
        </w:numPr>
        <w:rPr>
          <w:lang w:val="en-US"/>
        </w:rPr>
      </w:pPr>
      <w:r>
        <w:t>Unless Operator2 has set an ONC to not receive those notifications, the</w:t>
      </w:r>
      <w:r>
        <w:rPr>
          <w:lang w:val="en-US"/>
        </w:rPr>
        <w:t xml:space="preserve"> SM-SR SHALL send the “</w:t>
      </w:r>
      <w:r>
        <w:rPr>
          <w:b/>
          <w:lang w:val="en-US"/>
        </w:rPr>
        <w:t>ES4.HandleProfileEnabledNotification</w:t>
      </w:r>
      <w:r>
        <w:rPr>
          <w:lang w:val="en-US"/>
        </w:rPr>
        <w:t>” to Operator2, the owner of Profile with Fall-Back Attribute set that is now enabled.  In case Operator2 has no direct connection with the SM-SR (SM-SR SHALL be able to detect such situation based on its own database), the SM-SR SHALL send this notification to the SM-DP authorised by Operator2 by calling the “</w:t>
      </w:r>
      <w:r>
        <w:rPr>
          <w:b/>
          <w:lang w:val="en-US"/>
        </w:rPr>
        <w:t>ES3.HandleProfileEnabledNotification</w:t>
      </w:r>
      <w:r>
        <w:rPr>
          <w:lang w:val="en-US"/>
        </w:rPr>
        <w:t>”. The SM-SR can retrieve the SM-DP identity based on the EIS content. Then the SM-DP, on reception of this notification, SHALL forward it to Operator2 by calling the “</w:t>
      </w:r>
      <w:r>
        <w:rPr>
          <w:b/>
          <w:lang w:val="en-US"/>
        </w:rPr>
        <w:t>ES2.HandleProfileEnabledNotification</w:t>
      </w:r>
      <w:r>
        <w:rPr>
          <w:lang w:val="en-US"/>
        </w:rPr>
        <w:t>”.</w:t>
      </w:r>
    </w:p>
    <w:p w14:paraId="5AE89ACF" w14:textId="77777777" w:rsidR="00B97365" w:rsidRDefault="00B97365">
      <w:pPr>
        <w:spacing w:before="0"/>
        <w:ind w:left="1560" w:hanging="1276"/>
        <w:rPr>
          <w:lang w:val="en-US"/>
        </w:rPr>
      </w:pPr>
    </w:p>
    <w:p w14:paraId="2887EA24" w14:textId="77777777" w:rsidR="00B97365" w:rsidRDefault="00000000">
      <w:pPr>
        <w:numPr>
          <w:ilvl w:val="0"/>
          <w:numId w:val="126"/>
        </w:numPr>
        <w:rPr>
          <w:lang w:val="en-US"/>
        </w:rPr>
      </w:pPr>
      <w:r>
        <w:rPr>
          <w:lang w:val="en-US"/>
        </w:rPr>
        <w:t xml:space="preserve">The SM-SR SHALL also send the </w:t>
      </w:r>
      <w:r>
        <w:rPr>
          <w:b/>
          <w:lang w:val="en-US"/>
        </w:rPr>
        <w:t>“ES4.HandleProfileEnabledNotification”</w:t>
      </w:r>
      <w:r>
        <w:rPr>
          <w:lang w:val="en-US"/>
        </w:rPr>
        <w:t xml:space="preserve"> to a M2M SP, if authorised by Operator2 the owner of Profile with Fall-Back Attribute set that is now enabled.</w:t>
      </w:r>
    </w:p>
    <w:p w14:paraId="012E32FC" w14:textId="77777777" w:rsidR="00B97365" w:rsidRDefault="00000000">
      <w:pPr>
        <w:ind w:left="360"/>
      </w:pPr>
      <w:r>
        <w:t>If the M2M SP is another Operator directly connected to the SM-SR and it is authorised by Operator2, the SM-SR SHALL send this notification to this other Operator by calling the “</w:t>
      </w:r>
      <w:r>
        <w:rPr>
          <w:b/>
        </w:rPr>
        <w:t>ES4.HandleProfileEnabledNotification</w:t>
      </w:r>
      <w:r>
        <w:t>”.</w:t>
      </w:r>
    </w:p>
    <w:p w14:paraId="6466A118" w14:textId="77777777" w:rsidR="00B97365" w:rsidRDefault="00000000">
      <w:pPr>
        <w:ind w:left="360"/>
      </w:pPr>
      <w:r>
        <w:lastRenderedPageBreak/>
        <w:t>If the M2M SP is another Operator connected through its SM-DP and it is authorised by Operator2, the SM-SR SHALL send this notification to the SM-DP associated to this other Operator by calling the “</w:t>
      </w:r>
      <w:r>
        <w:rPr>
          <w:b/>
        </w:rPr>
        <w:t>ES3.HandleProfileEnabledNotification</w:t>
      </w:r>
      <w:r>
        <w:t>”.</w:t>
      </w:r>
    </w:p>
    <w:p w14:paraId="503F14B9" w14:textId="77777777" w:rsidR="00B97365" w:rsidRDefault="00000000">
      <w:pPr>
        <w:ind w:left="360"/>
        <w:rPr>
          <w:lang w:val="en-US"/>
        </w:rPr>
      </w:pPr>
      <w:r>
        <w:t>Then the SM-DP, on reception of this notification, SHALL forward it to the Operator, acting as the M2M SP, by calling the “</w:t>
      </w:r>
      <w:r>
        <w:rPr>
          <w:b/>
        </w:rPr>
        <w:t>ES2.HandleProfileEnabledNotification</w:t>
      </w:r>
      <w:r>
        <w:t>”.</w:t>
      </w:r>
      <w:r>
        <w:rPr>
          <w:lang w:val="en-US"/>
        </w:rPr>
        <w:t xml:space="preserve"> </w:t>
      </w:r>
    </w:p>
    <w:p w14:paraId="1F0ADDF1"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r>
      <w:r>
        <w:rPr>
          <w:szCs w:val="22"/>
          <w:lang w:eastAsia="en-GB" w:bidi="ar-SA"/>
        </w:rPr>
        <w:t>This M2M SP might be the same M2M SP as for Operator1 or any other M2M SP.</w:t>
      </w:r>
    </w:p>
    <w:p w14:paraId="7EF12D21" w14:textId="2CE6FD49"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 xml:space="preserve">NOTE: </w:t>
      </w:r>
      <w:r>
        <w:rPr>
          <w:szCs w:val="22"/>
          <w:lang w:val="en-US" w:eastAsia="en-GB" w:bidi="ar-SA"/>
        </w:rPr>
        <w:tab/>
        <w:t xml:space="preserve">The MT-SMS and MO-SMS SHALL be secured according to section </w:t>
      </w:r>
      <w:r>
        <w:rPr>
          <w:szCs w:val="22"/>
          <w:lang w:eastAsia="en-GB" w:bidi="ar-SA"/>
        </w:rPr>
        <w:fldChar w:fldCharType="begin"/>
      </w:r>
      <w:r>
        <w:rPr>
          <w:szCs w:val="22"/>
          <w:lang w:eastAsia="en-GB" w:bidi="ar-SA"/>
        </w:rPr>
        <w:instrText xml:space="preserve"> REF _Ref367971833 \r \h  \* MERGEFORMAT </w:instrText>
      </w:r>
      <w:r>
        <w:rPr>
          <w:szCs w:val="22"/>
          <w:lang w:eastAsia="en-GB" w:bidi="ar-SA"/>
        </w:rPr>
      </w:r>
      <w:r>
        <w:rPr>
          <w:szCs w:val="22"/>
          <w:lang w:eastAsia="en-GB" w:bidi="ar-SA"/>
        </w:rPr>
        <w:fldChar w:fldCharType="separate"/>
      </w:r>
      <w:r w:rsidR="001D5AD9" w:rsidRPr="001D5AD9">
        <w:rPr>
          <w:szCs w:val="22"/>
          <w:lang w:val="en-US" w:eastAsia="en-GB" w:bidi="ar-SA"/>
        </w:rPr>
        <w:t>2.4</w:t>
      </w:r>
      <w:r>
        <w:rPr>
          <w:szCs w:val="22"/>
          <w:lang w:eastAsia="en-GB" w:bidi="ar-SA"/>
        </w:rPr>
        <w:fldChar w:fldCharType="end"/>
      </w:r>
      <w:r>
        <w:rPr>
          <w:szCs w:val="22"/>
          <w:lang w:val="en-US" w:eastAsia="en-GB" w:bidi="ar-SA"/>
        </w:rPr>
        <w:t>.</w:t>
      </w:r>
    </w:p>
    <w:p w14:paraId="055D4F3E" w14:textId="77777777" w:rsidR="00B97365" w:rsidRDefault="00000000">
      <w:pPr>
        <w:spacing w:before="0" w:after="160" w:line="259" w:lineRule="auto"/>
        <w:jc w:val="left"/>
        <w:rPr>
          <w:szCs w:val="22"/>
          <w:lang w:val="en-US" w:eastAsia="en-GB" w:bidi="ar-SA"/>
        </w:rPr>
      </w:pPr>
      <w:r>
        <w:rPr>
          <w:szCs w:val="22"/>
          <w:lang w:val="en-US" w:eastAsia="en-GB" w:bidi="ar-SA"/>
        </w:rPr>
        <w:br w:type="page"/>
      </w:r>
    </w:p>
    <w:p w14:paraId="67B5A190"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005" w:name="_Ref532559614"/>
      <w:bookmarkStart w:id="2006" w:name="_Ref536542358"/>
      <w:bookmarkStart w:id="2007" w:name="_Toc1977283"/>
      <w:bookmarkStart w:id="2008" w:name="_Toc37062440"/>
      <w:bookmarkStart w:id="2009" w:name="_Toc88839545"/>
      <w:bookmarkStart w:id="2010" w:name="_Toc121503953"/>
      <w:r>
        <w:rPr>
          <w:rFonts w:eastAsia="Times New Roman" w:cs="Arial"/>
          <w:b/>
          <w:bCs/>
          <w:iCs/>
          <w:sz w:val="24"/>
          <w:szCs w:val="28"/>
          <w:lang w:eastAsia="en-US"/>
        </w:rPr>
        <w:lastRenderedPageBreak/>
        <w:t>Profile and ISD-P Deletion</w:t>
      </w:r>
      <w:bookmarkEnd w:id="2005"/>
      <w:r>
        <w:rPr>
          <w:rFonts w:eastAsia="Times New Roman" w:cs="Arial"/>
          <w:b/>
          <w:bCs/>
          <w:iCs/>
          <w:sz w:val="24"/>
          <w:szCs w:val="28"/>
          <w:lang w:eastAsia="en-US"/>
        </w:rPr>
        <w:t xml:space="preserve"> via M2M SP</w:t>
      </w:r>
      <w:bookmarkEnd w:id="2006"/>
      <w:bookmarkEnd w:id="2007"/>
      <w:bookmarkEnd w:id="2008"/>
      <w:bookmarkEnd w:id="2009"/>
      <w:bookmarkEnd w:id="2010"/>
    </w:p>
    <w:p w14:paraId="3E03F950" w14:textId="1C6D737D" w:rsidR="00B97365" w:rsidRDefault="00000000">
      <w:pPr>
        <w:spacing w:before="0" w:after="200" w:line="276" w:lineRule="auto"/>
        <w:jc w:val="left"/>
        <w:rPr>
          <w:color w:val="000000"/>
          <w:szCs w:val="22"/>
          <w:lang w:eastAsia="en-GB" w:bidi="ar-SA"/>
        </w:rPr>
      </w:pPr>
      <w:r>
        <w:rPr>
          <w:rFonts w:cs="Arial"/>
          <w:szCs w:val="22"/>
          <w:lang w:eastAsia="en-GB" w:bidi="ar-SA"/>
        </w:rPr>
        <w:t xml:space="preserve">The Profile and ISD-P deletion procedure between the M2M SP and the SM-SR is used to delete the target ISD-P with its Profile on the eUICC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3.5.18). The procedure is initiated by the M2M SP, based on prior authorisation of the Operator owning the Profile to be deleted, as defined in section </w:t>
      </w:r>
      <w:r>
        <w:rPr>
          <w:szCs w:val="22"/>
          <w:lang w:eastAsia="en-GB" w:bidi="ar-SA"/>
        </w:rPr>
        <w:fldChar w:fldCharType="begin"/>
      </w:r>
      <w:r>
        <w:rPr>
          <w:szCs w:val="22"/>
          <w:lang w:eastAsia="en-GB" w:bidi="ar-SA"/>
        </w:rPr>
        <w:instrText xml:space="preserve"> REF _Ref530152653 \r \h </w:instrText>
      </w:r>
      <w:r>
        <w:rPr>
          <w:szCs w:val="22"/>
          <w:lang w:eastAsia="en-GB" w:bidi="ar-SA"/>
        </w:rPr>
      </w:r>
      <w:r>
        <w:rPr>
          <w:szCs w:val="22"/>
          <w:lang w:eastAsia="en-GB" w:bidi="ar-SA"/>
        </w:rPr>
        <w:fldChar w:fldCharType="separate"/>
      </w:r>
      <w:r w:rsidR="001D5AD9">
        <w:rPr>
          <w:szCs w:val="22"/>
          <w:lang w:eastAsia="en-GB" w:bidi="ar-SA"/>
        </w:rPr>
        <w:t>3.20</w:t>
      </w:r>
      <w:r>
        <w:rPr>
          <w:szCs w:val="22"/>
          <w:lang w:eastAsia="en-GB" w:bidi="ar-SA"/>
        </w:rPr>
        <w:fldChar w:fldCharType="end"/>
      </w:r>
      <w:r>
        <w:rPr>
          <w:szCs w:val="22"/>
          <w:lang w:eastAsia="en-GB" w:bidi="ar-SA"/>
        </w:rPr>
        <w:t>. The procedure illustrates the usage of SMS as a possible transport protocol between SM-SR and eUICC,</w:t>
      </w:r>
      <w:r>
        <w:rPr>
          <w:color w:val="FF0000"/>
          <w:szCs w:val="22"/>
          <w:lang w:val="en-US" w:eastAsia="en-GB" w:bidi="ar-SA"/>
        </w:rPr>
        <w:t xml:space="preserve"> </w:t>
      </w:r>
      <w:r>
        <w:rPr>
          <w:color w:val="000000"/>
          <w:szCs w:val="22"/>
          <w:lang w:val="en-US" w:eastAsia="en-GB" w:bidi="ar-SA"/>
        </w:rPr>
        <w:t xml:space="preserve">but can be also performed using other </w:t>
      </w:r>
      <w:r>
        <w:rPr>
          <w:szCs w:val="22"/>
          <w:lang w:eastAsia="en-GB" w:bidi="ar-SA"/>
        </w:rPr>
        <w:t>transport protocols</w:t>
      </w:r>
      <w:r>
        <w:rPr>
          <w:color w:val="000000"/>
          <w:szCs w:val="22"/>
          <w:lang w:eastAsia="en-GB" w:bidi="ar-SA"/>
        </w:rPr>
        <w:t>.</w:t>
      </w:r>
    </w:p>
    <w:p w14:paraId="39805066" w14:textId="77777777"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szCs w:val="22"/>
          <w:lang w:eastAsia="en-GB" w:bidi="ar-SA"/>
        </w:rPr>
        <w:t>figure below describes the normal case where the target Profile can successfully be deleted.</w:t>
      </w:r>
    </w:p>
    <w:p w14:paraId="0A9926D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307381B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5A42FB4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56AEB1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400</w:t>
      </w:r>
    </w:p>
    <w:p w14:paraId="06D98C4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62E62B1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330F37B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9DA44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758578F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C7F8DF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64758FD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0D1C593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1398581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box “eUICC” #FFFFFF</w:t>
      </w:r>
    </w:p>
    <w:p w14:paraId="56786F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“ISD-R” as ISDR #FFFFFF</w:t>
      </w:r>
    </w:p>
    <w:p w14:paraId="6568D87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endbox</w:t>
      </w:r>
    </w:p>
    <w:p w14:paraId="0244286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BCE46CB"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M2MSP-&gt;&gt;SR: (1) DeleteProfile(eid, iccid)</w:t>
      </w:r>
    </w:p>
    <w:p w14:paraId="037E91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29A644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6AA8077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B3430E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Failed</w:t>
      </w:r>
    </w:p>
    <w:p w14:paraId="2C442C3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ISDR #ADD1B2</w:t>
      </w:r>
    </w:p>
    <w:p w14:paraId="4E60F2D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Optional: If targeted profile is enabled, then</w:t>
      </w:r>
    </w:p>
    <w:p w14:paraId="785169D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execute function "ES4.DisableProfile"</w:t>
      </w:r>
    </w:p>
    <w:p w14:paraId="665726D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87AD58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Failed</w:t>
      </w:r>
    </w:p>
    <w:p w14:paraId="5B5FB0A8"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SR-&gt;&gt;ISDR: (4) MT-SMS [ES5.DELETE command]SCP80</w:t>
      </w:r>
    </w:p>
    <w:p w14:paraId="0108F17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4F24A3F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Enforce POL1</w:t>
      </w:r>
    </w:p>
    <w:p w14:paraId="4BB43CD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C8EC2D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6BD4CD6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#FFFFFF</w:t>
      </w:r>
    </w:p>
    <w:p w14:paraId="5DD8BD7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(6) Delete ISD-P</w:t>
      </w:r>
    </w:p>
    <w:p w14:paraId="5EE9380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416339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ISDR--&gt;&gt;SR: (7) MO-SMS [ES5.DELETE command response]SCP80</w:t>
      </w:r>
    </w:p>
    <w:p w14:paraId="52C4F3C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68C9ED2A"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(8) Update EIS</w:t>
      </w:r>
    </w:p>
    <w:p w14:paraId="259C6177"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Endrnote</w:t>
      </w:r>
    </w:p>
    <w:p w14:paraId="7B53D9B5" w14:textId="77777777" w:rsidR="00B97365" w:rsidRPr="003C254C"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3C254C">
        <w:rPr>
          <w:rFonts w:ascii="Courier New" w:hAnsi="Courier New" w:cs="Courier New"/>
          <w:noProof/>
          <w:color w:val="008000"/>
          <w:sz w:val="18"/>
          <w:lang w:val="de-DE"/>
        </w:rPr>
        <w:t>SR--&gt;&gt;M2MSP: (9) Profile deletion result</w:t>
      </w:r>
    </w:p>
    <w:p w14:paraId="5AD3FF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(10) HandleProfileDeletedNotification(eid, iccid)</w:t>
      </w:r>
    </w:p>
    <w:p w14:paraId="120CD9D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120F0626" w14:textId="77777777" w:rsidR="00B97365" w:rsidRDefault="00000000">
      <w:pPr>
        <w:rPr>
          <w:rFonts w:cs="Courier New"/>
          <w:noProof/>
          <w:color w:val="008000"/>
          <w:sz w:val="18"/>
          <w:lang w:eastAsia="en-GB" w:bidi="ar-SA"/>
        </w:rPr>
      </w:pPr>
      <w:r>
        <w:rPr>
          <w:rFonts w:cs="Courier New"/>
          <w:noProof/>
          <w:color w:val="008000"/>
          <w:sz w:val="18"/>
          <w:lang w:eastAsia="en-GB" w:bidi="ar-SA"/>
        </w:rPr>
        <w:drawing>
          <wp:inline distT="0" distB="0" distL="0" distR="0" wp14:anchorId="243B4680" wp14:editId="110C6C3A">
            <wp:extent cx="5731510" cy="2939673"/>
            <wp:effectExtent l="0" t="0" r="2540" b="0"/>
            <wp:docPr id="459" name="Picture 45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
                    <pic:cNvPicPr/>
                  </pic:nvPicPr>
                  <pic:blipFill>
                    <a:blip r:embed="rId75">
                      <a:extLst>
                        <a:ext uri="{28A0092B-C50C-407E-A947-70E740481C1C}">
                          <a14:useLocalDpi xmlns:a14="http://schemas.microsoft.com/office/drawing/2010/main" val="0"/>
                        </a:ext>
                      </a:extLst>
                    </a:blip>
                    <a:stretch>
                      <a:fillRect/>
                    </a:stretch>
                  </pic:blipFill>
                  <pic:spPr>
                    <a:xfrm>
                      <a:off x="0" y="0"/>
                      <a:ext cx="5731510" cy="2939673"/>
                    </a:xfrm>
                    <a:prstGeom prst="rect">
                      <a:avLst/>
                    </a:prstGeom>
                  </pic:spPr>
                </pic:pic>
              </a:graphicData>
            </a:graphic>
          </wp:inline>
        </w:drawing>
      </w:r>
    </w:p>
    <w:p w14:paraId="656B93E1" w14:textId="77777777" w:rsidR="00B97365" w:rsidRDefault="00B97365">
      <w:pPr>
        <w:spacing w:before="0" w:after="200" w:line="276" w:lineRule="auto"/>
        <w:jc w:val="left"/>
        <w:rPr>
          <w:szCs w:val="22"/>
          <w:lang w:eastAsia="en-GB" w:bidi="ar-SA"/>
        </w:rPr>
      </w:pPr>
    </w:p>
    <w:p w14:paraId="6B1501CB"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lastRenderedPageBreak/>
        <w:t xml:space="preserve">: Profile and ISD-P Deletion via M2M SP </w:t>
      </w:r>
    </w:p>
    <w:p w14:paraId="1FF2A788"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r>
        <w:rPr>
          <w:rFonts w:cs="Arial"/>
          <w:b/>
          <w:noProof/>
          <w:szCs w:val="22"/>
          <w:lang w:val="en-US" w:eastAsia="en-GB" w:bidi="ar-SA"/>
        </w:rPr>
        <w:t>Start Conditions:</w:t>
      </w:r>
    </w:p>
    <w:p w14:paraId="3B11DDB4" w14:textId="0CE980F6"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p>
    <w:p w14:paraId="37731F4D" w14:textId="77777777" w:rsidR="00B97365" w:rsidRDefault="00000000">
      <w:pPr>
        <w:tabs>
          <w:tab w:val="left" w:pos="397"/>
          <w:tab w:val="right" w:pos="9015"/>
        </w:tabs>
        <w:spacing w:before="0" w:after="40" w:line="276" w:lineRule="auto"/>
        <w:ind w:left="397" w:right="680" w:hanging="397"/>
        <w:jc w:val="left"/>
        <w:rPr>
          <w:b/>
          <w:noProof/>
          <w:szCs w:val="22"/>
          <w:lang w:val="en-US"/>
        </w:rPr>
      </w:pPr>
      <w:r>
        <w:rPr>
          <w:rFonts w:cs="Arial"/>
          <w:b/>
          <w:noProof/>
          <w:szCs w:val="22"/>
          <w:lang w:val="en-US"/>
        </w:rPr>
        <w:t>Procedure:</w:t>
      </w:r>
    </w:p>
    <w:p w14:paraId="5684AFCD" w14:textId="77777777" w:rsidR="00B97365" w:rsidRDefault="00000000">
      <w:pPr>
        <w:numPr>
          <w:ilvl w:val="0"/>
          <w:numId w:val="127"/>
        </w:numPr>
      </w:pPr>
      <w:r>
        <w:t xml:space="preserve">To delete the targeted Profile of the Operator the M2M SP SHALL call the </w:t>
      </w:r>
      <w:r>
        <w:rPr>
          <w:lang w:val="en-US"/>
        </w:rPr>
        <w:t>“</w:t>
      </w:r>
      <w:r>
        <w:rPr>
          <w:b/>
          <w:lang w:val="en-US"/>
        </w:rPr>
        <w:t>ES4.DeleteProfile</w:t>
      </w:r>
      <w:r>
        <w:rPr>
          <w:lang w:val="en-US"/>
        </w:rPr>
        <w:t xml:space="preserve">” </w:t>
      </w:r>
      <w:r>
        <w:t xml:space="preserve">function with its relevant input data. </w:t>
      </w:r>
    </w:p>
    <w:p w14:paraId="3B593BB7" w14:textId="5E3D31E3" w:rsidR="00B97365" w:rsidRDefault="00000000">
      <w:pPr>
        <w:numPr>
          <w:ilvl w:val="0"/>
          <w:numId w:val="127"/>
        </w:numPr>
      </w:pPr>
      <w:r>
        <w:t xml:space="preserve">The SM-SR SHALL verify that the M2M SP request is acceptable (the verifications that the SM-SR SHALL perform are described in the section </w:t>
      </w:r>
      <w:r>
        <w:fldChar w:fldCharType="begin"/>
      </w:r>
      <w:r>
        <w:instrText xml:space="preserve"> REF _Ref367972106 \r \h  \* MERGEFORMAT </w:instrText>
      </w:r>
      <w:r>
        <w:fldChar w:fldCharType="separate"/>
      </w:r>
      <w:r w:rsidR="001D5AD9">
        <w:t>5.4.7</w:t>
      </w:r>
      <w:r>
        <w:fldChar w:fldCharType="end"/>
      </w:r>
      <w:r>
        <w:t>), and in particular checks that the M2M SP has the authorisation to enable the targeted profile, and evaluates POL2 of the target Profile. If any of the conditions to be verified are not satisfied, the SM-SR SHALL return a response indicating the failure, and the procedure SHALL end.</w:t>
      </w:r>
    </w:p>
    <w:p w14:paraId="6954B910" w14:textId="77777777" w:rsidR="00B97365" w:rsidRDefault="00000000">
      <w:pPr>
        <w:numPr>
          <w:ilvl w:val="0"/>
          <w:numId w:val="127"/>
        </w:numPr>
      </w:pPr>
      <w:r>
        <w:t xml:space="preserve">The SM-SR SHALL check the state of the target Profile. If the target Profile is enabled and if POL2 of the target Profile allows it to be disabled, then the SM-SR SHALL execute the </w:t>
      </w:r>
      <w:r>
        <w:rPr>
          <w:b/>
        </w:rPr>
        <w:t>“ES4.DisableProfile”</w:t>
      </w:r>
      <w:r>
        <w:t xml:space="preserve"> function to first disable the target Profile (and thus enable the Profile having the Fall-Back Attribute). In case of error, a response indicating the failure is returned to the M2M SP, and the procedure SHALL end. </w:t>
      </w:r>
    </w:p>
    <w:p w14:paraId="724C95FE" w14:textId="77777777" w:rsidR="00B97365" w:rsidRDefault="00B97365">
      <w:pPr>
        <w:ind w:left="567"/>
      </w:pPr>
    </w:p>
    <w:p w14:paraId="7F2322C9" w14:textId="29F564E4" w:rsidR="00B97365" w:rsidRDefault="00000000">
      <w:pPr>
        <w:tabs>
          <w:tab w:val="left" w:pos="1560"/>
        </w:tabs>
        <w:spacing w:before="0" w:after="200" w:line="276" w:lineRule="auto"/>
        <w:ind w:left="1559" w:hanging="1202"/>
        <w:jc w:val="left"/>
        <w:rPr>
          <w:szCs w:val="22"/>
          <w:lang w:val="en-US" w:eastAsia="en-GB" w:bidi="ar-SA"/>
        </w:rPr>
      </w:pPr>
      <w:r>
        <w:rPr>
          <w:rFonts w:cs="Arial"/>
          <w:szCs w:val="22"/>
          <w:lang w:val="en-US" w:eastAsia="en-GB" w:bidi="ar-SA"/>
        </w:rPr>
        <w:t xml:space="preserve">NOTE: </w:t>
      </w:r>
      <w:r>
        <w:rPr>
          <w:rFonts w:cs="Arial"/>
          <w:szCs w:val="22"/>
          <w:lang w:val="en-US" w:eastAsia="en-GB" w:bidi="ar-SA"/>
        </w:rPr>
        <w:tab/>
      </w:r>
      <w:r>
        <w:rPr>
          <w:szCs w:val="22"/>
          <w:lang w:eastAsia="en-GB" w:bidi="ar-SA"/>
        </w:rPr>
        <w:t>Profile</w:t>
      </w:r>
      <w:r>
        <w:rPr>
          <w:szCs w:val="22"/>
          <w:lang w:val="en-US" w:eastAsia="en-GB" w:bidi="ar-SA"/>
        </w:rPr>
        <w:t xml:space="preserve"> change includes a change of the IMSI that is used to attach to the network. As indicated in 3GPP TS 31.102 </w:t>
      </w:r>
      <w:r>
        <w:rPr>
          <w:szCs w:val="22"/>
          <w:lang w:val="en-US" w:eastAsia="en-GB" w:bidi="ar-SA"/>
        </w:rPr>
        <w:fldChar w:fldCharType="begin"/>
      </w:r>
      <w:r>
        <w:rPr>
          <w:szCs w:val="22"/>
          <w:lang w:val="en-US" w:eastAsia="en-GB" w:bidi="ar-SA"/>
        </w:rPr>
        <w:instrText xml:space="preserve"> REF _Ref421632746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[52]</w:t>
      </w:r>
      <w:r>
        <w:rPr>
          <w:szCs w:val="22"/>
          <w:lang w:val="en-US" w:eastAsia="en-GB" w:bidi="ar-SA"/>
        </w:rPr>
        <w:fldChar w:fldCharType="end"/>
      </w:r>
      <w:r>
        <w:rPr>
          <w:szCs w:val="22"/>
          <w:lang w:val="en-US" w:eastAsia="en-GB" w:bidi="ar-SA"/>
        </w:rPr>
        <w:t>, such a change requires special caution and should always be accompanied by a REFRESH command to avoid inconsistent information being read by the terminal. So while the targeted ISD-P is marked as enabled in this step, it MAY actually become effective only after the terminal executes the REFRESH command.</w:t>
      </w:r>
    </w:p>
    <w:p w14:paraId="01FA806B" w14:textId="29C91E0B" w:rsidR="00B97365" w:rsidRDefault="00000000">
      <w:pPr>
        <w:numPr>
          <w:ilvl w:val="0"/>
          <w:numId w:val="127"/>
        </w:numPr>
      </w:pPr>
      <w:r>
        <w:t xml:space="preserve">The SM-SR SHALL send an MT-SMS containing the </w:t>
      </w:r>
      <w:r>
        <w:rPr>
          <w:b/>
        </w:rPr>
        <w:t>“ES5.delete”</w:t>
      </w:r>
      <w:r>
        <w:t xml:space="preserve"> command with its relevant input data (see section </w:t>
      </w:r>
      <w:r>
        <w:fldChar w:fldCharType="begin"/>
      </w:r>
      <w:r>
        <w:instrText xml:space="preserve"> REF _Ref367972122 \r \h  \* MERGEFORMAT </w:instrText>
      </w:r>
      <w:r>
        <w:fldChar w:fldCharType="separate"/>
      </w:r>
      <w:r w:rsidR="001D5AD9">
        <w:t>4.1.1.4</w:t>
      </w:r>
      <w:r>
        <w:fldChar w:fldCharType="end"/>
      </w:r>
      <w:r>
        <w:t xml:space="preserve">) to the ISD-R. The SM-SR SHALL request a PoR to get the execution status of the </w:t>
      </w:r>
      <w:r>
        <w:rPr>
          <w:b/>
        </w:rPr>
        <w:t>“ES5.delete”</w:t>
      </w:r>
      <w:r>
        <w:t xml:space="preserve"> command.</w:t>
      </w:r>
    </w:p>
    <w:p w14:paraId="021D450B" w14:textId="77777777" w:rsidR="00B97365" w:rsidRDefault="00000000">
      <w:pPr>
        <w:numPr>
          <w:ilvl w:val="0"/>
          <w:numId w:val="127"/>
        </w:numPr>
      </w:pPr>
      <w:r>
        <w:t>The ISD-R, SHALL enforce POL1. If POL1 rejects deletion of the target Profile, the ISD-R SHALL return directly the MO-SMS containing the response indicating a failure, and the procedure SHALL end.</w:t>
      </w:r>
    </w:p>
    <w:p w14:paraId="37EE6501" w14:textId="77777777" w:rsidR="00B97365" w:rsidRDefault="00000000">
      <w:pPr>
        <w:numPr>
          <w:ilvl w:val="0"/>
          <w:numId w:val="127"/>
        </w:numPr>
      </w:pPr>
      <w:r>
        <w:t>If POL1 allows, the ISD-R SHALL delete the targeted ISD-P and the contained Profile.</w:t>
      </w:r>
    </w:p>
    <w:p w14:paraId="4FA5B611" w14:textId="77777777" w:rsidR="00B97365" w:rsidRDefault="00000000">
      <w:pPr>
        <w:numPr>
          <w:ilvl w:val="0"/>
          <w:numId w:val="127"/>
        </w:numPr>
      </w:pPr>
      <w:r>
        <w:t>The ISD-R SHALL return the MO-SMS containing the execution status of the “ES5.DELETE” command to the SM-SR.</w:t>
      </w:r>
    </w:p>
    <w:p w14:paraId="23469327" w14:textId="77777777" w:rsidR="00B97365" w:rsidRDefault="00000000">
      <w:pPr>
        <w:numPr>
          <w:ilvl w:val="0"/>
          <w:numId w:val="127"/>
        </w:numPr>
      </w:pPr>
      <w:r>
        <w:t>In case of successful execution, the SM-SR SHALL update the EIS to reflect the newly deleted Profile.</w:t>
      </w:r>
    </w:p>
    <w:p w14:paraId="65880500" w14:textId="77777777" w:rsidR="00B97365" w:rsidRDefault="00000000">
      <w:pPr>
        <w:numPr>
          <w:ilvl w:val="0"/>
          <w:numId w:val="127"/>
        </w:numPr>
      </w:pPr>
      <w:r>
        <w:t xml:space="preserve">The SM-SR SHALL return the response to the </w:t>
      </w:r>
      <w:r>
        <w:rPr>
          <w:b/>
        </w:rPr>
        <w:t>“ES4.DeleteProfile”</w:t>
      </w:r>
      <w:r>
        <w:t xml:space="preserve"> function to the </w:t>
      </w:r>
      <w:r>
        <w:rPr>
          <w:lang w:val="en-US"/>
        </w:rPr>
        <w:t>M2M SP, indicating that the Profile has been deleted.</w:t>
      </w:r>
    </w:p>
    <w:p w14:paraId="2E34B5EE" w14:textId="77777777" w:rsidR="00B97365" w:rsidRDefault="00000000">
      <w:pPr>
        <w:numPr>
          <w:ilvl w:val="0"/>
          <w:numId w:val="127"/>
        </w:numPr>
      </w:pPr>
      <w:r>
        <w:t xml:space="preserve">Unless the Operator has set an ONC to not receive those notifications, the SM-SR SHALL send the </w:t>
      </w:r>
      <w:r>
        <w:rPr>
          <w:b/>
        </w:rPr>
        <w:t>“ES4.HandleProfileDeletedNotification”</w:t>
      </w:r>
      <w:r>
        <w:t xml:space="preserve"> to the Operator, the owner of the Profile. In case the Operator has no direct connection with the SM-SR (SM-SR SHALL be able to detect such a situation based on its own database), the SM-SR SHALL send this notification to the SM-DP authorised by the Operator by calling the </w:t>
      </w:r>
      <w:r>
        <w:rPr>
          <w:b/>
        </w:rPr>
        <w:t>“ES3.HandleProfileDeletedNotification”</w:t>
      </w:r>
      <w:r>
        <w:t xml:space="preserve">. The SM-SR can retrieve the SM-DP identity </w:t>
      </w:r>
      <w:r>
        <w:lastRenderedPageBreak/>
        <w:t xml:space="preserve">based on the EIS content. Then the SM-DP, on reception of this notification, SHALL forward it to the Operator by calling the </w:t>
      </w:r>
      <w:r>
        <w:rPr>
          <w:b/>
        </w:rPr>
        <w:t>“ES2.HandleProfileDeletedNotification”</w:t>
      </w:r>
      <w:r>
        <w:t>.</w:t>
      </w:r>
    </w:p>
    <w:p w14:paraId="373438A3" w14:textId="77777777" w:rsidR="00B97365" w:rsidRDefault="00B97365">
      <w:pPr>
        <w:rPr>
          <w:lang w:val="en-US"/>
        </w:rPr>
      </w:pPr>
    </w:p>
    <w:p w14:paraId="696DA280" w14:textId="3ED2FD06" w:rsidR="00B97365" w:rsidRDefault="00000000">
      <w:pPr>
        <w:tabs>
          <w:tab w:val="left" w:pos="1560"/>
        </w:tabs>
        <w:spacing w:before="0" w:after="200" w:line="276" w:lineRule="auto"/>
        <w:ind w:left="1559" w:hanging="1202"/>
        <w:jc w:val="left"/>
        <w:rPr>
          <w:szCs w:val="22"/>
          <w:lang w:eastAsia="en-GB" w:bidi="ar-SA"/>
        </w:rPr>
      </w:pPr>
      <w:r>
        <w:rPr>
          <w:rFonts w:cs="Arial"/>
          <w:szCs w:val="22"/>
          <w:lang w:val="en-US" w:eastAsia="en-GB" w:bidi="ar-SA"/>
        </w:rPr>
        <w:t xml:space="preserve">NOTE: </w:t>
      </w:r>
      <w:r>
        <w:rPr>
          <w:rFonts w:cs="Arial"/>
          <w:szCs w:val="22"/>
          <w:lang w:val="en-US" w:eastAsia="en-GB" w:bidi="ar-SA"/>
        </w:rPr>
        <w:tab/>
      </w:r>
      <w:r>
        <w:rPr>
          <w:szCs w:val="22"/>
          <w:lang w:eastAsia="en-GB" w:bidi="ar-SA"/>
        </w:rPr>
        <w:t xml:space="preserve">The MT-SMS and MO-SMS SHALL be secured according to section </w:t>
      </w:r>
      <w:r>
        <w:rPr>
          <w:szCs w:val="22"/>
          <w:lang w:eastAsia="en-GB" w:bidi="ar-SA"/>
        </w:rPr>
        <w:fldChar w:fldCharType="begin"/>
      </w:r>
      <w:r>
        <w:rPr>
          <w:szCs w:val="22"/>
          <w:lang w:eastAsia="en-GB" w:bidi="ar-SA"/>
        </w:rPr>
        <w:instrText xml:space="preserve"> REF _Ref367972133 \r \h  \* MERGEFORMAT </w:instrText>
      </w:r>
      <w:r>
        <w:rPr>
          <w:szCs w:val="22"/>
          <w:lang w:eastAsia="en-GB" w:bidi="ar-SA"/>
        </w:rPr>
      </w:r>
      <w:r>
        <w:rPr>
          <w:szCs w:val="22"/>
          <w:lang w:eastAsia="en-GB" w:bidi="ar-SA"/>
        </w:rPr>
        <w:fldChar w:fldCharType="separate"/>
      </w:r>
      <w:r w:rsidR="001D5AD9">
        <w:rPr>
          <w:szCs w:val="22"/>
          <w:lang w:eastAsia="en-GB" w:bidi="ar-SA"/>
        </w:rPr>
        <w:t>2.4</w:t>
      </w:r>
      <w:r>
        <w:rPr>
          <w:szCs w:val="22"/>
          <w:lang w:eastAsia="en-GB" w:bidi="ar-SA"/>
        </w:rPr>
        <w:fldChar w:fldCharType="end"/>
      </w:r>
      <w:r>
        <w:rPr>
          <w:szCs w:val="22"/>
          <w:lang w:eastAsia="en-GB" w:bidi="ar-SA"/>
        </w:rPr>
        <w:t>.</w:t>
      </w:r>
    </w:p>
    <w:p w14:paraId="2DFFE7CF"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011" w:name="_Ref530152653"/>
      <w:bookmarkStart w:id="2012" w:name="_Toc1977284"/>
      <w:bookmarkStart w:id="2013" w:name="_Ref2165643"/>
      <w:bookmarkStart w:id="2014" w:name="_Ref2165685"/>
      <w:bookmarkStart w:id="2015" w:name="_Toc37062441"/>
      <w:bookmarkStart w:id="2016" w:name="_Ref40224077"/>
      <w:bookmarkStart w:id="2017" w:name="_Ref40224146"/>
      <w:bookmarkStart w:id="2018" w:name="_Toc88839546"/>
      <w:bookmarkStart w:id="2019" w:name="_Toc121503954"/>
      <w:r>
        <w:rPr>
          <w:rFonts w:eastAsia="Times New Roman" w:cs="Arial"/>
          <w:b/>
          <w:bCs/>
          <w:iCs/>
          <w:sz w:val="24"/>
          <w:szCs w:val="28"/>
          <w:lang w:eastAsia="en-US"/>
        </w:rPr>
        <w:t xml:space="preserve">Profile Lifecycle Management Authorisation </w:t>
      </w:r>
      <w:bookmarkEnd w:id="2011"/>
      <w:r>
        <w:rPr>
          <w:rFonts w:eastAsia="Times New Roman" w:cs="Arial"/>
          <w:b/>
          <w:bCs/>
          <w:iCs/>
          <w:sz w:val="24"/>
          <w:szCs w:val="28"/>
          <w:lang w:eastAsia="en-US"/>
        </w:rPr>
        <w:t>(PLMA)</w:t>
      </w:r>
      <w:bookmarkEnd w:id="2012"/>
      <w:bookmarkEnd w:id="2013"/>
      <w:bookmarkEnd w:id="2014"/>
      <w:bookmarkEnd w:id="2015"/>
      <w:bookmarkEnd w:id="2016"/>
      <w:bookmarkEnd w:id="2017"/>
      <w:bookmarkEnd w:id="2018"/>
      <w:bookmarkEnd w:id="2019"/>
    </w:p>
    <w:p w14:paraId="4D6CCBD6" w14:textId="5360091C" w:rsidR="00B97365" w:rsidRDefault="00000000">
      <w:pPr>
        <w:rPr>
          <w:rFonts w:cs="Arial"/>
          <w:szCs w:val="22"/>
          <w:lang w:val="en-US" w:eastAsia="en-GB" w:bidi="ar-SA"/>
        </w:rPr>
      </w:pPr>
      <w:r>
        <w:t xml:space="preserve">The Profile Lifecycle Management Authorisation (PLMA) mechanisms described in this section </w:t>
      </w:r>
      <w:r>
        <w:rPr>
          <w:rFonts w:cs="Arial"/>
          <w:szCs w:val="22"/>
          <w:lang w:val="en-US" w:eastAsia="en-GB" w:bidi="ar-SA"/>
        </w:rPr>
        <w:t xml:space="preserve">allows the Operator and owner of Profiles to grant authorisations to an M2M SP to perform certain operations, or receive certain notifications, related to a set of Profiles, identified by a Profile Type. A list of available operations and notification for the M2M SP can be found in section </w:t>
      </w:r>
      <w:r>
        <w:rPr>
          <w:rFonts w:cs="Arial"/>
          <w:szCs w:val="22"/>
          <w:lang w:val="en-US" w:eastAsia="en-GB" w:bidi="ar-SA"/>
        </w:rPr>
        <w:fldChar w:fldCharType="begin"/>
      </w:r>
      <w:r>
        <w:rPr>
          <w:rFonts w:cs="Arial"/>
          <w:szCs w:val="22"/>
          <w:lang w:val="en-US" w:eastAsia="en-GB" w:bidi="ar-SA"/>
        </w:rPr>
        <w:instrText xml:space="preserve"> REF _Ref536518899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5.1.1.2.14</w:t>
      </w:r>
      <w:r>
        <w:rPr>
          <w:rFonts w:cs="Arial"/>
          <w:szCs w:val="22"/>
          <w:lang w:val="en-US" w:eastAsia="en-GB" w:bidi="ar-SA"/>
        </w:rPr>
        <w:fldChar w:fldCharType="end"/>
      </w:r>
      <w:r>
        <w:rPr>
          <w:rFonts w:cs="Arial"/>
          <w:szCs w:val="22"/>
          <w:lang w:val="en-US" w:eastAsia="en-GB" w:bidi="ar-SA"/>
        </w:rPr>
        <w:t>.</w:t>
      </w:r>
    </w:p>
    <w:p w14:paraId="61D4B033" w14:textId="642A50E3" w:rsidR="00B97365" w:rsidRDefault="00000000">
      <w:pPr>
        <w:rPr>
          <w:rFonts w:cs="Arial"/>
          <w:szCs w:val="22"/>
          <w:lang w:val="en-US" w:eastAsia="en-GB" w:bidi="ar-SA"/>
        </w:rPr>
      </w:pPr>
      <w:r>
        <w:rPr>
          <w:rFonts w:cs="Arial"/>
          <w:szCs w:val="22"/>
          <w:lang w:val="en-US" w:eastAsia="en-GB" w:bidi="ar-SA"/>
        </w:rPr>
        <w:t xml:space="preserve">The Operator can manage the PLMA for its own Profiles through a dedicated Operator / SM-SR interface, as described in section </w:t>
      </w:r>
      <w:r>
        <w:rPr>
          <w:rFonts w:cs="Arial"/>
          <w:szCs w:val="22"/>
          <w:lang w:val="en-US" w:eastAsia="en-GB" w:bidi="ar-SA"/>
        </w:rPr>
        <w:fldChar w:fldCharType="begin"/>
      </w:r>
      <w:r>
        <w:rPr>
          <w:rFonts w:cs="Arial"/>
          <w:szCs w:val="22"/>
          <w:lang w:val="en-US" w:eastAsia="en-GB" w:bidi="ar-SA"/>
        </w:rPr>
        <w:instrText xml:space="preserve"> REF _Ref536546047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5.7</w:t>
      </w:r>
      <w:r>
        <w:rPr>
          <w:rFonts w:cs="Arial"/>
          <w:szCs w:val="22"/>
          <w:lang w:val="en-US" w:eastAsia="en-GB" w:bidi="ar-SA"/>
        </w:rPr>
        <w:fldChar w:fldCharType="end"/>
      </w:r>
      <w:r>
        <w:rPr>
          <w:rFonts w:cs="Arial"/>
          <w:szCs w:val="22"/>
          <w:lang w:val="en-US" w:eastAsia="en-GB" w:bidi="ar-SA"/>
        </w:rPr>
        <w:t xml:space="preserve"> or through its Operator / SM-DP interface as described in sections </w:t>
      </w:r>
      <w:r>
        <w:rPr>
          <w:rFonts w:cs="Arial"/>
          <w:szCs w:val="22"/>
          <w:lang w:val="en-US" w:eastAsia="en-GB" w:bidi="ar-SA"/>
        </w:rPr>
        <w:fldChar w:fldCharType="begin"/>
      </w:r>
      <w:r>
        <w:rPr>
          <w:rFonts w:cs="Arial"/>
          <w:szCs w:val="22"/>
          <w:lang w:val="en-US" w:eastAsia="en-GB" w:bidi="ar-SA"/>
        </w:rPr>
        <w:instrText xml:space="preserve"> REF _Ref536546073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5.3.13</w:t>
      </w:r>
      <w:r>
        <w:rPr>
          <w:rFonts w:cs="Arial"/>
          <w:szCs w:val="22"/>
          <w:lang w:val="en-US" w:eastAsia="en-GB" w:bidi="ar-SA"/>
        </w:rPr>
        <w:fldChar w:fldCharType="end"/>
      </w:r>
      <w:r>
        <w:rPr>
          <w:rFonts w:cs="Arial"/>
          <w:szCs w:val="22"/>
          <w:lang w:val="en-US" w:eastAsia="en-GB" w:bidi="ar-SA"/>
        </w:rPr>
        <w:t xml:space="preserve"> and </w:t>
      </w:r>
      <w:r>
        <w:rPr>
          <w:rFonts w:cs="Arial"/>
          <w:szCs w:val="22"/>
          <w:lang w:val="en-US" w:eastAsia="en-GB" w:bidi="ar-SA"/>
        </w:rPr>
        <w:fldChar w:fldCharType="begin"/>
      </w:r>
      <w:r>
        <w:rPr>
          <w:rFonts w:cs="Arial"/>
          <w:szCs w:val="22"/>
          <w:lang w:val="en-US" w:eastAsia="en-GB" w:bidi="ar-SA"/>
        </w:rPr>
        <w:instrText xml:space="preserve"> REF _Ref536546077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5.3.14</w:t>
      </w:r>
      <w:r>
        <w:rPr>
          <w:rFonts w:cs="Arial"/>
          <w:szCs w:val="22"/>
          <w:lang w:val="en-US" w:eastAsia="en-GB" w:bidi="ar-SA"/>
        </w:rPr>
        <w:fldChar w:fldCharType="end"/>
      </w:r>
      <w:r>
        <w:rPr>
          <w:rFonts w:cs="Arial"/>
          <w:szCs w:val="22"/>
          <w:lang w:val="en-US" w:eastAsia="en-GB" w:bidi="ar-SA"/>
        </w:rPr>
        <w:t>.</w:t>
      </w:r>
    </w:p>
    <w:p w14:paraId="37787E1A" w14:textId="77777777" w:rsidR="00B97365" w:rsidRDefault="00000000">
      <w:pPr>
        <w:rPr>
          <w:rFonts w:cs="Arial"/>
          <w:szCs w:val="22"/>
          <w:lang w:val="en-US" w:eastAsia="en-GB" w:bidi="ar-SA"/>
        </w:rPr>
      </w:pPr>
      <w:r>
        <w:rPr>
          <w:rFonts w:cs="Arial"/>
          <w:szCs w:val="22"/>
          <w:lang w:val="en-US" w:eastAsia="en-GB" w:bidi="ar-SA"/>
        </w:rPr>
        <w:t>A “PLMA” is a combination of identifiers and authorised actions:</w:t>
      </w:r>
    </w:p>
    <w:p w14:paraId="248A82AA" w14:textId="05DCCFA9" w:rsidR="00B97365" w:rsidRDefault="00000000">
      <w:pPr>
        <w:numPr>
          <w:ilvl w:val="0"/>
          <w:numId w:val="57"/>
        </w:numPr>
        <w:contextualSpacing/>
        <w:rPr>
          <w:rFonts w:cs="Arial"/>
          <w:szCs w:val="22"/>
          <w:lang w:val="en-US" w:eastAsia="en-GB" w:bidi="ar-SA"/>
        </w:rPr>
      </w:pPr>
      <w:r>
        <w:rPr>
          <w:rFonts w:cs="Arial"/>
          <w:b/>
          <w:szCs w:val="22"/>
          <w:lang w:val="en-US" w:eastAsia="en-GB" w:bidi="ar-SA"/>
        </w:rPr>
        <w:t>Identifiers</w:t>
      </w:r>
      <w:r>
        <w:rPr>
          <w:rFonts w:cs="Arial"/>
          <w:szCs w:val="22"/>
          <w:lang w:val="en-US" w:eastAsia="en-GB" w:bidi="ar-SA"/>
        </w:rPr>
        <w:t xml:space="preserve">: List of identifiers to identify the Operator, M2M SP and Profile Type; see section </w:t>
      </w:r>
      <w:r>
        <w:rPr>
          <w:rFonts w:cs="Arial"/>
          <w:szCs w:val="22"/>
          <w:lang w:val="en-US" w:eastAsia="en-GB" w:bidi="ar-SA"/>
        </w:rPr>
        <w:fldChar w:fldCharType="begin"/>
      </w:r>
      <w:r>
        <w:rPr>
          <w:rFonts w:cs="Arial"/>
          <w:szCs w:val="22"/>
          <w:lang w:val="en-US" w:eastAsia="en-GB" w:bidi="ar-SA"/>
        </w:rPr>
        <w:instrText xml:space="preserve"> REF _Ref536518899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5.1.1.2.14</w:t>
      </w:r>
      <w:r>
        <w:rPr>
          <w:rFonts w:cs="Arial"/>
          <w:szCs w:val="22"/>
          <w:lang w:val="en-US" w:eastAsia="en-GB" w:bidi="ar-SA"/>
        </w:rPr>
        <w:fldChar w:fldCharType="end"/>
      </w:r>
      <w:r>
        <w:rPr>
          <w:rFonts w:cs="Arial"/>
          <w:szCs w:val="22"/>
          <w:lang w:val="en-US" w:eastAsia="en-GB" w:bidi="ar-SA"/>
        </w:rPr>
        <w:t xml:space="preserve"> for details</w:t>
      </w:r>
    </w:p>
    <w:p w14:paraId="70C377B7" w14:textId="77777777" w:rsidR="00B97365" w:rsidRDefault="00B97365">
      <w:pPr>
        <w:spacing w:before="0" w:after="200" w:line="276" w:lineRule="auto"/>
        <w:ind w:left="720"/>
        <w:contextualSpacing/>
        <w:rPr>
          <w:rFonts w:cs="Arial"/>
          <w:szCs w:val="22"/>
          <w:lang w:val="en-US" w:eastAsia="en-GB" w:bidi="ar-SA"/>
        </w:rPr>
      </w:pPr>
    </w:p>
    <w:p w14:paraId="15D49E05" w14:textId="2FCB9263" w:rsidR="00B97365" w:rsidRDefault="00000000">
      <w:pPr>
        <w:numPr>
          <w:ilvl w:val="0"/>
          <w:numId w:val="57"/>
        </w:numPr>
        <w:contextualSpacing/>
        <w:rPr>
          <w:rFonts w:cs="Arial"/>
          <w:szCs w:val="22"/>
          <w:lang w:val="en-US" w:eastAsia="en-GB" w:bidi="ar-SA"/>
        </w:rPr>
      </w:pPr>
      <w:r>
        <w:rPr>
          <w:rFonts w:cs="Arial"/>
          <w:b/>
          <w:szCs w:val="22"/>
          <w:lang w:val="en-US" w:eastAsia="en-GB" w:bidi="ar-SA"/>
        </w:rPr>
        <w:t>Authorised actions:</w:t>
      </w:r>
      <w:r>
        <w:rPr>
          <w:rFonts w:cs="Arial"/>
          <w:szCs w:val="22"/>
          <w:lang w:val="en-US" w:eastAsia="en-GB" w:bidi="ar-SA"/>
        </w:rPr>
        <w:t xml:space="preserve"> List of operations and notifications; see section </w:t>
      </w:r>
      <w:r>
        <w:rPr>
          <w:rFonts w:cs="Arial"/>
          <w:szCs w:val="22"/>
          <w:lang w:val="en-US" w:eastAsia="en-GB" w:bidi="ar-SA"/>
        </w:rPr>
        <w:fldChar w:fldCharType="begin"/>
      </w:r>
      <w:r>
        <w:rPr>
          <w:rFonts w:cs="Arial"/>
          <w:szCs w:val="22"/>
          <w:lang w:val="en-US" w:eastAsia="en-GB" w:bidi="ar-SA"/>
        </w:rPr>
        <w:instrText xml:space="preserve"> REF _Ref536518899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5.1.1.2.14</w:t>
      </w:r>
      <w:r>
        <w:rPr>
          <w:rFonts w:cs="Arial"/>
          <w:szCs w:val="22"/>
          <w:lang w:val="en-US" w:eastAsia="en-GB" w:bidi="ar-SA"/>
        </w:rPr>
        <w:fldChar w:fldCharType="end"/>
      </w:r>
      <w:r>
        <w:rPr>
          <w:rFonts w:cs="Arial"/>
          <w:szCs w:val="22"/>
          <w:lang w:val="en-US" w:eastAsia="en-GB" w:bidi="ar-SA"/>
        </w:rPr>
        <w:t xml:space="preserve"> for details</w:t>
      </w:r>
    </w:p>
    <w:p w14:paraId="18BEE715" w14:textId="77777777" w:rsidR="00B97365" w:rsidRDefault="00B97365">
      <w:pPr>
        <w:rPr>
          <w:lang w:val="en-US"/>
        </w:rPr>
      </w:pPr>
    </w:p>
    <w:p w14:paraId="6EB3CC1F"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It should be considered that the role of a M2M SP can also be played by a partner Operator or affiliate from the Operator, who is responsible to provide Profile Lifecycle Management Authorisations to its own profile(s).</w:t>
      </w:r>
    </w:p>
    <w:p w14:paraId="02AAA3A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020" w:name="_Toc536552184"/>
      <w:bookmarkStart w:id="2021" w:name="_Ref531802296"/>
      <w:bookmarkStart w:id="2022" w:name="_Toc1977285"/>
      <w:bookmarkStart w:id="2023" w:name="_Toc37062442"/>
      <w:bookmarkStart w:id="2024" w:name="_Toc88839547"/>
      <w:bookmarkStart w:id="2025" w:name="_Toc121503955"/>
      <w:bookmarkEnd w:id="2020"/>
      <w:r>
        <w:rPr>
          <w:rFonts w:eastAsia="Times New Roman" w:cs="Arial"/>
          <w:b/>
          <w:sz w:val="24"/>
          <w:szCs w:val="26"/>
          <w:lang w:eastAsia="en-US"/>
        </w:rPr>
        <w:t>Set Profile Lifecycle Management Authorisation</w:t>
      </w:r>
      <w:bookmarkEnd w:id="2021"/>
      <w:bookmarkEnd w:id="2022"/>
      <w:bookmarkEnd w:id="2023"/>
      <w:bookmarkEnd w:id="2024"/>
      <w:bookmarkEnd w:id="2025"/>
    </w:p>
    <w:p w14:paraId="6754B772" w14:textId="6C0A883E" w:rsidR="00B97365" w:rsidRDefault="00000000">
      <w:pPr>
        <w:spacing w:before="0" w:after="200" w:line="276" w:lineRule="auto"/>
        <w:jc w:val="left"/>
        <w:rPr>
          <w:szCs w:val="22"/>
          <w:lang w:eastAsia="en-GB" w:bidi="ar-SA"/>
        </w:rPr>
      </w:pPr>
      <w:r>
        <w:rPr>
          <w:rFonts w:cs="Arial"/>
          <w:szCs w:val="22"/>
          <w:lang w:eastAsia="en-GB" w:bidi="ar-SA"/>
        </w:rPr>
        <w:t xml:space="preserve">The Set Profile Lifecycle Management Authorisation (PLMA) procedure between the Operator and the SM-SR is used to authorise the M2M SP for the profile lifecycle management of the Operator owned Profile installed on an eUICC, and to authorise the reception of notifications when the status of the authorised Profile on the eUICC has changed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3.5.15.1). The PLMA contains the authorised operations and notifications and will be provided as input parameters by the Operator owning the Profile to the SM-SR, see section </w:t>
      </w:r>
      <w:r>
        <w:rPr>
          <w:szCs w:val="22"/>
          <w:lang w:eastAsia="en-GB" w:bidi="ar-SA"/>
        </w:rPr>
        <w:fldChar w:fldCharType="begin"/>
      </w:r>
      <w:r>
        <w:rPr>
          <w:szCs w:val="22"/>
          <w:lang w:eastAsia="en-GB" w:bidi="ar-SA"/>
        </w:rPr>
        <w:instrText xml:space="preserve"> REF _Ref536518899 \r \h  \* MERGEFORMAT </w:instrText>
      </w:r>
      <w:r>
        <w:rPr>
          <w:szCs w:val="22"/>
          <w:lang w:eastAsia="en-GB" w:bidi="ar-SA"/>
        </w:rPr>
      </w:r>
      <w:r>
        <w:rPr>
          <w:szCs w:val="22"/>
          <w:lang w:eastAsia="en-GB" w:bidi="ar-SA"/>
        </w:rPr>
        <w:fldChar w:fldCharType="separate"/>
      </w:r>
      <w:r w:rsidR="001D5AD9">
        <w:rPr>
          <w:szCs w:val="22"/>
          <w:lang w:eastAsia="en-GB" w:bidi="ar-SA"/>
        </w:rPr>
        <w:t>5.1.1.2.14</w:t>
      </w:r>
      <w:r>
        <w:rPr>
          <w:szCs w:val="22"/>
          <w:lang w:eastAsia="en-GB" w:bidi="ar-SA"/>
        </w:rPr>
        <w:fldChar w:fldCharType="end"/>
      </w:r>
      <w:r>
        <w:rPr>
          <w:szCs w:val="22"/>
          <w:lang w:eastAsia="en-GB" w:bidi="ar-SA"/>
        </w:rPr>
        <w:t>.</w:t>
      </w:r>
    </w:p>
    <w:p w14:paraId="380E8DB3" w14:textId="77777777" w:rsidR="00B97365" w:rsidRDefault="00000000">
      <w:pPr>
        <w:spacing w:before="0" w:after="200" w:line="276" w:lineRule="auto"/>
        <w:jc w:val="left"/>
        <w:rPr>
          <w:szCs w:val="22"/>
          <w:lang w:eastAsia="en-GB" w:bidi="ar-SA"/>
        </w:rPr>
      </w:pPr>
      <w:r>
        <w:rPr>
          <w:szCs w:val="22"/>
          <w:lang w:eastAsia="en-GB" w:bidi="ar-SA"/>
        </w:rPr>
        <w:t xml:space="preserve">NOTES: </w:t>
      </w:r>
    </w:p>
    <w:p w14:paraId="215ECB1F" w14:textId="77777777" w:rsidR="00B97365" w:rsidRDefault="00000000">
      <w:pPr>
        <w:numPr>
          <w:ilvl w:val="0"/>
          <w:numId w:val="56"/>
        </w:numPr>
        <w:spacing w:before="0" w:after="200" w:line="276" w:lineRule="auto"/>
        <w:contextualSpacing/>
        <w:jc w:val="left"/>
        <w:rPr>
          <w:szCs w:val="22"/>
          <w:lang w:eastAsia="en-GB" w:bidi="ar-SA"/>
        </w:rPr>
      </w:pPr>
      <w:r>
        <w:rPr>
          <w:szCs w:val="22"/>
          <w:lang w:eastAsia="en-GB" w:bidi="ar-SA"/>
        </w:rPr>
        <w:t>The management of POL2 cannot be authorised to a M2M SP</w:t>
      </w:r>
    </w:p>
    <w:p w14:paraId="4CA3157D" w14:textId="77777777" w:rsidR="00B97365" w:rsidRDefault="00000000">
      <w:pPr>
        <w:numPr>
          <w:ilvl w:val="0"/>
          <w:numId w:val="56"/>
        </w:numPr>
        <w:spacing w:before="0" w:after="200" w:line="276" w:lineRule="auto"/>
        <w:contextualSpacing/>
        <w:jc w:val="left"/>
        <w:rPr>
          <w:szCs w:val="22"/>
          <w:lang w:eastAsia="en-GB" w:bidi="ar-SA"/>
        </w:rPr>
      </w:pPr>
      <w:r>
        <w:rPr>
          <w:szCs w:val="22"/>
          <w:lang w:eastAsia="en-GB" w:bidi="ar-SA"/>
        </w:rPr>
        <w:t>If no PLMA is configured in the SM-SR for a given set of identifiers, then no authorisations SHALL be granted to any other function caller apart from the Operator who is owning the targeted Profiles.</w:t>
      </w:r>
    </w:p>
    <w:p w14:paraId="277C4337" w14:textId="77777777" w:rsidR="00B97365" w:rsidRDefault="00000000">
      <w:pPr>
        <w:jc w:val="left"/>
        <w:rPr>
          <w:szCs w:val="22"/>
          <w:lang w:eastAsia="en-GB" w:bidi="ar-SA"/>
        </w:rPr>
      </w:pPr>
      <w:r>
        <w:rPr>
          <w:rFonts w:cs="Arial"/>
          <w:szCs w:val="22"/>
          <w:lang w:eastAsia="en-GB" w:bidi="ar-SA"/>
        </w:rPr>
        <w:t xml:space="preserve">The sequence flow in the </w:t>
      </w:r>
      <w:r>
        <w:rPr>
          <w:szCs w:val="22"/>
          <w:lang w:eastAsia="en-GB" w:bidi="ar-SA"/>
        </w:rPr>
        <w:t>figure below describes the procedure.</w:t>
      </w:r>
    </w:p>
    <w:p w14:paraId="652B50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49BDF4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174E7DE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3941E3C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2FCC651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4F4E2F3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05763C5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3F62DB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3644002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9C7712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234C9E7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4D68F98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4F397AE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B2C8E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OP-&gt;&gt;SR: (1) SetPLMA(identifiers, PLMA)</w:t>
      </w:r>
    </w:p>
    <w:p w14:paraId="2768EF3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7FACD48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24626C4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EE0B7D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Failed</w:t>
      </w:r>
    </w:p>
    <w:p w14:paraId="3DF950A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2096F9D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Store PLMA</w:t>
      </w:r>
    </w:p>
    <w:p w14:paraId="5AFBA6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334ACE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(4) SetPLMA result</w:t>
      </w:r>
    </w:p>
    <w:p w14:paraId="16D922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(5) HandlePLMAChangedNotification (identifiers)</w:t>
      </w:r>
    </w:p>
    <w:p w14:paraId="2312741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5FCCC5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1E38A0C4" w14:textId="77777777" w:rsidR="00B97365" w:rsidRDefault="00000000">
      <w:pPr>
        <w:spacing w:before="0" w:after="200" w:line="276" w:lineRule="auto"/>
        <w:jc w:val="left"/>
        <w:rPr>
          <w:szCs w:val="22"/>
          <w:lang w:eastAsia="en-GB" w:bidi="ar-SA"/>
        </w:rPr>
      </w:pPr>
      <w:r>
        <w:rPr>
          <w:noProof/>
          <w:lang w:eastAsia="en-GB" w:bidi="ar-SA"/>
        </w:rPr>
        <w:drawing>
          <wp:inline distT="0" distB="0" distL="0" distR="0" wp14:anchorId="24A0AABD" wp14:editId="42C2DAF1">
            <wp:extent cx="5457825" cy="2476500"/>
            <wp:effectExtent l="0" t="0" r="9525" b="0"/>
            <wp:docPr id="300" name="Image 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6">
                      <a:extLst>
                        <a:ext uri="{28A0092B-C50C-407E-A947-70E740481C1C}">
                          <a14:useLocalDpi xmlns:a14="http://schemas.microsoft.com/office/drawing/2010/main" val="0"/>
                        </a:ext>
                      </a:extLst>
                    </a:blip>
                    <a:stretch>
                      <a:fillRect/>
                    </a:stretch>
                  </pic:blipFill>
                  <pic:spPr>
                    <a:xfrm>
                      <a:off x="0" y="0"/>
                      <a:ext cx="5457825" cy="2476500"/>
                    </a:xfrm>
                    <a:prstGeom prst="rect">
                      <a:avLst/>
                    </a:prstGeom>
                  </pic:spPr>
                </pic:pic>
              </a:graphicData>
            </a:graphic>
          </wp:inline>
        </w:drawing>
      </w:r>
    </w:p>
    <w:p w14:paraId="7D7C53A5"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Set PLMA </w:t>
      </w:r>
    </w:p>
    <w:p w14:paraId="25A1D5FB"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4C9ACD88" w14:textId="53E77B85"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69CBC1F4"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48DCAEE4" w14:textId="60007EF9" w:rsidR="00B97365" w:rsidRDefault="00000000">
      <w:pPr>
        <w:numPr>
          <w:ilvl w:val="0"/>
          <w:numId w:val="128"/>
        </w:numPr>
      </w:pPr>
      <w:r>
        <w:t>To set a PLMA for a M2M SP, an Operator SHALL call the “</w:t>
      </w:r>
      <w:r>
        <w:rPr>
          <w:b/>
        </w:rPr>
        <w:t>ES4A.SetPLMA</w:t>
      </w:r>
      <w:r>
        <w:t xml:space="preserve">” function with its relevant input parameters, see section </w:t>
      </w:r>
      <w:r>
        <w:fldChar w:fldCharType="begin"/>
      </w:r>
      <w:r>
        <w:instrText xml:space="preserve"> REF _Ref536546923 \r \h </w:instrText>
      </w:r>
      <w:r>
        <w:fldChar w:fldCharType="separate"/>
      </w:r>
      <w:r w:rsidR="001D5AD9">
        <w:t>5.7.1</w:t>
      </w:r>
      <w:r>
        <w:fldChar w:fldCharType="end"/>
      </w:r>
      <w:r>
        <w:t xml:space="preserve">, and the list of authorised operations and notifications, see section </w:t>
      </w:r>
      <w:r>
        <w:rPr>
          <w:rFonts w:cs="Arial"/>
          <w:szCs w:val="22"/>
          <w:lang w:val="en-US" w:eastAsia="en-GB" w:bidi="ar-SA"/>
        </w:rPr>
        <w:fldChar w:fldCharType="begin"/>
      </w:r>
      <w:r>
        <w:rPr>
          <w:rFonts w:cs="Arial"/>
          <w:szCs w:val="22"/>
          <w:lang w:val="en-US" w:eastAsia="en-GB" w:bidi="ar-SA"/>
        </w:rPr>
        <w:instrText xml:space="preserve"> REF _Ref536518899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5.1.1.2.14</w:t>
      </w:r>
      <w:r>
        <w:rPr>
          <w:rFonts w:cs="Arial"/>
          <w:szCs w:val="22"/>
          <w:lang w:val="en-US" w:eastAsia="en-GB" w:bidi="ar-SA"/>
        </w:rPr>
        <w:fldChar w:fldCharType="end"/>
      </w:r>
      <w:r>
        <w:t>.</w:t>
      </w:r>
    </w:p>
    <w:p w14:paraId="552E4754" w14:textId="3251B31B" w:rsidR="00B97365" w:rsidRDefault="00000000">
      <w:pPr>
        <w:numPr>
          <w:ilvl w:val="0"/>
          <w:numId w:val="128"/>
        </w:numPr>
      </w:pPr>
      <w:r>
        <w:t xml:space="preserve">The SM-SR SHALL verify that the Operator request is acceptable (the verifications that the SM-SR SHALL perform are described in the section </w:t>
      </w:r>
      <w:r>
        <w:fldChar w:fldCharType="begin"/>
      </w:r>
      <w:r>
        <w:instrText xml:space="preserve"> REF _Ref536546923 \r \h </w:instrText>
      </w:r>
      <w:r>
        <w:fldChar w:fldCharType="separate"/>
      </w:r>
      <w:r w:rsidR="001D5AD9">
        <w:t>5.7.1</w:t>
      </w:r>
      <w:r>
        <w:fldChar w:fldCharType="end"/>
      </w:r>
      <w:r>
        <w:t>, and in particular checks that the function caller is the Operator owning the targeted Profile Type. If any of the conditions to be verified are not satisfied, the SM-SR SHALL return a response indicating the failure, and the procedure SHALL end.</w:t>
      </w:r>
    </w:p>
    <w:p w14:paraId="6B734DEF" w14:textId="77777777" w:rsidR="00B97365" w:rsidRDefault="00000000">
      <w:pPr>
        <w:numPr>
          <w:ilvl w:val="0"/>
          <w:numId w:val="128"/>
        </w:numPr>
      </w:pPr>
      <w:r>
        <w:lastRenderedPageBreak/>
        <w:t>The SM-SR creates and stores the PLMA based on the input parameters provided in the function call by the Operator. In case a PLMA already exists for the set of identifiers provided as input parameters, the PLMA is overwritten with new authorisations and the SM-SR SHALL indicate a success but with warning.</w:t>
      </w:r>
    </w:p>
    <w:p w14:paraId="4181C3A8" w14:textId="77777777" w:rsidR="00B97365" w:rsidRDefault="00000000">
      <w:pPr>
        <w:ind w:left="360"/>
      </w:pPr>
      <w:r>
        <w:t>It SHALL be possible to set a PLMA for a given Profile Type even if this Profile Type is not referenced in an EIS in the SM-SR. In that case, the PLMA referencing this Profile Type SHALL become applicable as soon as the Profile Type reference is added to any EIS and the SM-SR SHALL indicate a success and optionally with warning.</w:t>
      </w:r>
    </w:p>
    <w:p w14:paraId="2A3BEB5C" w14:textId="77777777" w:rsidR="00B97365" w:rsidRDefault="00000000">
      <w:pPr>
        <w:numPr>
          <w:ilvl w:val="0"/>
          <w:numId w:val="128"/>
        </w:numPr>
      </w:pPr>
      <w:r>
        <w:t xml:space="preserve">The SM-SR SHALL return the response to the </w:t>
      </w:r>
      <w:r>
        <w:rPr>
          <w:b/>
        </w:rPr>
        <w:t>“ES4A.SetPLMA”</w:t>
      </w:r>
      <w:r>
        <w:t xml:space="preserve"> function to the Operator, indicating that the PLMA have been set.</w:t>
      </w:r>
    </w:p>
    <w:p w14:paraId="57C0EE67" w14:textId="77777777" w:rsidR="00B97365" w:rsidRDefault="00000000">
      <w:pPr>
        <w:numPr>
          <w:ilvl w:val="0"/>
          <w:numId w:val="128"/>
        </w:numPr>
      </w:pPr>
      <w:r>
        <w:t>The SM-SR SHALL send the “</w:t>
      </w:r>
      <w:r>
        <w:rPr>
          <w:b/>
        </w:rPr>
        <w:t>ES4.HandlePLMAChangedNotification</w:t>
      </w:r>
      <w:r>
        <w:t>” to the M2M SP indicating the identifiers and the applied authorisations of the “</w:t>
      </w:r>
      <w:r>
        <w:rPr>
          <w:b/>
        </w:rPr>
        <w:t>ES4A.SetPLMA</w:t>
      </w:r>
      <w:r>
        <w:t>” function.</w:t>
      </w:r>
    </w:p>
    <w:p w14:paraId="1F86D849" w14:textId="77777777" w:rsidR="00B97365" w:rsidRDefault="00000000">
      <w:pPr>
        <w:ind w:left="360"/>
      </w:pPr>
      <w:r>
        <w:t>If the M2M SP is another Operator connected through its SM-DP, the SM-SR SHALL send this notification to the SM-DP associated to this other Operator by calling the “</w:t>
      </w:r>
      <w:r>
        <w:rPr>
          <w:b/>
        </w:rPr>
        <w:t>ES3.HandlePLMAChangedNotification</w:t>
      </w:r>
      <w:r>
        <w:t xml:space="preserve">”. </w:t>
      </w:r>
      <w:r>
        <w:br/>
        <w:t>Then the SM-DP, on reception of this notification, SHALL forward it to the Operator, acting as the M2M SP, by calling the “</w:t>
      </w:r>
      <w:r>
        <w:rPr>
          <w:b/>
        </w:rPr>
        <w:t>ES2.HandlePLMAChangedNotification</w:t>
      </w:r>
      <w:r>
        <w:t>”</w:t>
      </w:r>
    </w:p>
    <w:p w14:paraId="13242D75" w14:textId="77777777" w:rsidR="00B97365" w:rsidRDefault="00B97365">
      <w:pPr>
        <w:spacing w:before="0" w:after="200" w:line="276" w:lineRule="auto"/>
        <w:jc w:val="left"/>
        <w:rPr>
          <w:lang w:val="en-US"/>
        </w:rPr>
      </w:pPr>
    </w:p>
    <w:p w14:paraId="6DF0992C" w14:textId="77777777" w:rsidR="00B97365" w:rsidRDefault="00000000">
      <w:pPr>
        <w:spacing w:before="0" w:after="200" w:line="276" w:lineRule="auto"/>
        <w:jc w:val="left"/>
        <w:rPr>
          <w:lang w:val="en-US"/>
        </w:rPr>
      </w:pPr>
      <w:r>
        <w:rPr>
          <w:lang w:val="en-US"/>
        </w:rPr>
        <w:t>Once the PLMA is set in the SM-SR, the M2M SP is able to call authorised Profile Lifecycle Management functions and to receive authorised notifications on Profile status changes for the Profiles addressed by this PLMA via the SM-SR. When the M2M SP is an Operator, it is also able to call authorised Profile Lifecycle Management functions and to receive authorised notifications on Profile status changes for the Profiles addressed by this PLMA via its SM-DP. The list of authorised operations and notifications can be found in Table 511214-B: List of Operation Eligible to PLMA.</w:t>
      </w:r>
    </w:p>
    <w:p w14:paraId="42312B9D" w14:textId="77777777" w:rsidR="00B97365" w:rsidRDefault="00000000">
      <w:pPr>
        <w:keepNext/>
        <w:keepLines/>
        <w:numPr>
          <w:ilvl w:val="2"/>
          <w:numId w:val="1"/>
        </w:numPr>
        <w:spacing w:before="240" w:after="60" w:line="276" w:lineRule="auto"/>
        <w:jc w:val="left"/>
        <w:outlineLvl w:val="2"/>
        <w:rPr>
          <w:rFonts w:eastAsia="Times New Roman" w:cs="Arial"/>
          <w:b/>
          <w:sz w:val="24"/>
          <w:szCs w:val="26"/>
          <w:lang w:eastAsia="en-US"/>
        </w:rPr>
      </w:pPr>
      <w:bookmarkStart w:id="2026" w:name="_Ref532540464"/>
      <w:bookmarkStart w:id="2027" w:name="_Toc1977286"/>
      <w:bookmarkStart w:id="2028" w:name="_Toc37062443"/>
      <w:bookmarkStart w:id="2029" w:name="_Toc88839548"/>
      <w:bookmarkStart w:id="2030" w:name="_Toc121503956"/>
      <w:r>
        <w:rPr>
          <w:rFonts w:eastAsia="Times New Roman" w:cs="Arial"/>
          <w:b/>
          <w:sz w:val="24"/>
          <w:szCs w:val="26"/>
          <w:lang w:eastAsia="en-US"/>
        </w:rPr>
        <w:t>Set Profile Lifecycle Management Authorisation rules via SM-DP</w:t>
      </w:r>
      <w:bookmarkEnd w:id="2026"/>
      <w:bookmarkEnd w:id="2027"/>
      <w:bookmarkEnd w:id="2028"/>
      <w:bookmarkEnd w:id="2029"/>
      <w:bookmarkEnd w:id="2030"/>
    </w:p>
    <w:p w14:paraId="7362FEF9" w14:textId="64EEBA10" w:rsidR="00B97365" w:rsidRDefault="00000000">
      <w:pPr>
        <w:spacing w:before="0" w:after="200" w:line="276" w:lineRule="auto"/>
        <w:jc w:val="left"/>
        <w:rPr>
          <w:szCs w:val="22"/>
          <w:lang w:eastAsia="en-GB" w:bidi="ar-SA"/>
        </w:rPr>
      </w:pPr>
      <w:r>
        <w:rPr>
          <w:rFonts w:cs="Arial"/>
          <w:szCs w:val="22"/>
          <w:lang w:eastAsia="en-GB" w:bidi="ar-SA"/>
        </w:rPr>
        <w:t xml:space="preserve">The Set Profile Lifecycle Management Authorisation procedure between the Operator and the SM-SR is done through the SM-DP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3.5.15.1). The procedure is initiated by the Operator owning the targeted Profile Type </w:t>
      </w:r>
      <w:r>
        <w:rPr>
          <w:szCs w:val="22"/>
        </w:rPr>
        <w:t xml:space="preserve">and is similar to the procedure “Set Profile Lifecycle Management Authorisation rules” described in section </w:t>
      </w:r>
      <w:r>
        <w:rPr>
          <w:szCs w:val="22"/>
        </w:rPr>
        <w:fldChar w:fldCharType="begin"/>
      </w:r>
      <w:r>
        <w:rPr>
          <w:szCs w:val="22"/>
        </w:rPr>
        <w:instrText xml:space="preserve"> REF _Ref531802296 \r \h </w:instrText>
      </w:r>
      <w:r>
        <w:rPr>
          <w:szCs w:val="22"/>
        </w:rPr>
      </w:r>
      <w:r>
        <w:rPr>
          <w:szCs w:val="22"/>
        </w:rPr>
        <w:fldChar w:fldCharType="separate"/>
      </w:r>
      <w:r w:rsidR="001D5AD9">
        <w:rPr>
          <w:szCs w:val="22"/>
        </w:rPr>
        <w:t>3.20.1</w:t>
      </w:r>
      <w:r>
        <w:rPr>
          <w:szCs w:val="22"/>
        </w:rPr>
        <w:fldChar w:fldCharType="end"/>
      </w:r>
      <w:r>
        <w:rPr>
          <w:szCs w:val="22"/>
        </w:rPr>
        <w:t xml:space="preserve">. </w:t>
      </w:r>
    </w:p>
    <w:p w14:paraId="37DC8799" w14:textId="77777777"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szCs w:val="22"/>
          <w:lang w:eastAsia="en-GB" w:bidi="ar-SA"/>
        </w:rPr>
        <w:t>figure below describes the procedure.</w:t>
      </w:r>
    </w:p>
    <w:p w14:paraId="224ADD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2D1538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221D0FE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4FF8D4E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180CB20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3A15B58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6DE16B0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BD4093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10717D3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CDE37F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24150DE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56C2A8B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04CE3F0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7753E5B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8A1CF2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OP-&gt;&gt;DP: (1) SetPLMA(identifiers, PLMA)</w:t>
      </w:r>
    </w:p>
    <w:p w14:paraId="229564F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(2) SetPLMA(identifiers, PLMA)</w:t>
      </w:r>
    </w:p>
    <w:p w14:paraId="584FF2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0E1752B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Check initial conditions</w:t>
      </w:r>
    </w:p>
    <w:p w14:paraId="2FCC5EF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E63FD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6D03D40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Failed</w:t>
      </w:r>
    </w:p>
    <w:p w14:paraId="46EB0D4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42684D4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Store PLMA</w:t>
      </w:r>
    </w:p>
    <w:p w14:paraId="366A893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01FFC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(5) SetPLMA result</w:t>
      </w:r>
    </w:p>
    <w:p w14:paraId="5628455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(6) HandlePLMAChangedNotification (identifiers)</w:t>
      </w:r>
    </w:p>
    <w:p w14:paraId="61F953E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(7) SetPLMA result</w:t>
      </w:r>
    </w:p>
    <w:p w14:paraId="3514A65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43D9D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7AC03426" w14:textId="77777777" w:rsidR="00B97365" w:rsidRDefault="00000000">
      <w:pPr>
        <w:jc w:val="center"/>
        <w:rPr>
          <w:rFonts w:cs="Arial"/>
          <w:sz w:val="20"/>
        </w:rPr>
      </w:pPr>
      <w:r>
        <w:rPr>
          <w:noProof/>
          <w:lang w:eastAsia="en-GB" w:bidi="ar-SA"/>
        </w:rPr>
        <w:drawing>
          <wp:inline distT="0" distB="0" distL="0" distR="0" wp14:anchorId="485637ED" wp14:editId="2EAC59EA">
            <wp:extent cx="5760720" cy="2595245"/>
            <wp:effectExtent l="0" t="0" r="0" b="0"/>
            <wp:docPr id="301" name="Image 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7">
                      <a:extLst>
                        <a:ext uri="{28A0092B-C50C-407E-A947-70E740481C1C}">
                          <a14:useLocalDpi xmlns:a14="http://schemas.microsoft.com/office/drawing/2010/main" val="0"/>
                        </a:ext>
                      </a:extLst>
                    </a:blip>
                    <a:stretch>
                      <a:fillRect/>
                    </a:stretch>
                  </pic:blipFill>
                  <pic:spPr>
                    <a:xfrm>
                      <a:off x="0" y="0"/>
                      <a:ext cx="5760720" cy="2595245"/>
                    </a:xfrm>
                    <a:prstGeom prst="rect">
                      <a:avLst/>
                    </a:prstGeom>
                  </pic:spPr>
                </pic:pic>
              </a:graphicData>
            </a:graphic>
          </wp:inline>
        </w:drawing>
      </w:r>
    </w:p>
    <w:p w14:paraId="3A9D8A05"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Set PLMA via SM-DP </w:t>
      </w:r>
    </w:p>
    <w:p w14:paraId="48C4B12A" w14:textId="77777777" w:rsidR="00B97365" w:rsidRDefault="00B97365">
      <w:pPr>
        <w:jc w:val="center"/>
        <w:rPr>
          <w:rFonts w:cs="Arial"/>
          <w:sz w:val="20"/>
          <w:lang w:val="en-US"/>
        </w:rPr>
      </w:pPr>
    </w:p>
    <w:p w14:paraId="3CCD7FCF"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32AD0317" w14:textId="7CF04A1B"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325C497F"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197C5333" w14:textId="77777777" w:rsidR="00B97365" w:rsidRDefault="00000000">
      <w:pPr>
        <w:numPr>
          <w:ilvl w:val="0"/>
          <w:numId w:val="129"/>
        </w:numPr>
      </w:pPr>
      <w:r>
        <w:t>To set a PLMA for a M2M SP, an Operator SHALL call the “</w:t>
      </w:r>
      <w:r>
        <w:rPr>
          <w:b/>
        </w:rPr>
        <w:t>ES2.SetPLMA</w:t>
      </w:r>
      <w:r>
        <w:t xml:space="preserve">” function with its relevant input parameters, see section and the list of authorised operations and notifications </w:t>
      </w:r>
    </w:p>
    <w:p w14:paraId="519078A2" w14:textId="77777777" w:rsidR="00B97365" w:rsidRDefault="00000000">
      <w:pPr>
        <w:numPr>
          <w:ilvl w:val="0"/>
          <w:numId w:val="129"/>
        </w:numPr>
      </w:pPr>
      <w:r>
        <w:lastRenderedPageBreak/>
        <w:t>The SM-DP SHALL forward the request to the SM-SR identified by the Operator and SHALL call the “</w:t>
      </w:r>
      <w:r>
        <w:rPr>
          <w:b/>
        </w:rPr>
        <w:t>ES3.SetPLMA</w:t>
      </w:r>
      <w:r>
        <w:t xml:space="preserve">” function with its relevant input data. </w:t>
      </w:r>
    </w:p>
    <w:p w14:paraId="2E70C607" w14:textId="2C1C48CE" w:rsidR="00B97365" w:rsidRDefault="00000000">
      <w:pPr>
        <w:numPr>
          <w:ilvl w:val="0"/>
          <w:numId w:val="129"/>
        </w:numPr>
      </w:pPr>
      <w:r>
        <w:t xml:space="preserve">The SM-SR SHALL verify that the Operator request is acceptable (the verifications that the SM-SR SHALL perform are described in the section </w:t>
      </w:r>
      <w:r>
        <w:fldChar w:fldCharType="begin"/>
      </w:r>
      <w:r>
        <w:instrText xml:space="preserve"> REF _Ref536547006 \r \h </w:instrText>
      </w:r>
      <w:r>
        <w:fldChar w:fldCharType="separate"/>
      </w:r>
      <w:r w:rsidR="001D5AD9">
        <w:t>5.4.16</w:t>
      </w:r>
      <w:r>
        <w:fldChar w:fldCharType="end"/>
      </w:r>
      <w:r>
        <w:t>), and in particular checks that the function calling SM-DP is belonging to the Operator owning the targeted Profile Type. If any of the conditions to be verified are not satisfied, the SM-SR SHALL return a response indicating the failure, and the procedure SHALL end.</w:t>
      </w:r>
    </w:p>
    <w:p w14:paraId="3769D8F4" w14:textId="77777777" w:rsidR="00B97365" w:rsidRDefault="00000000">
      <w:pPr>
        <w:numPr>
          <w:ilvl w:val="0"/>
          <w:numId w:val="129"/>
        </w:numPr>
      </w:pPr>
      <w:r>
        <w:t xml:space="preserve">The SM-SR creates and stores the PLMA based on the input parameters provided in the function call by the Operator. In case a PLMA already exists for the set of identifiers provided as input parameters, the PLMA is overwritten with new authorisations and the SM-SR SHALL indicate a success but with warning. </w:t>
      </w:r>
    </w:p>
    <w:p w14:paraId="72B4DD62" w14:textId="77777777" w:rsidR="00B97365" w:rsidRDefault="00000000">
      <w:pPr>
        <w:ind w:left="360"/>
      </w:pPr>
      <w:r>
        <w:t>It SHALL be possible to set a PLMA for a given Profile Type even if this Profile Type is not referenced in an EIS in the SM-SR. In that case, the PLMA referencing this Profile Type SHALL become applicable as soon as the Profile Type reference is added to any EIS and the SM-SR SHALL indicate a success and optionally with warning.</w:t>
      </w:r>
    </w:p>
    <w:p w14:paraId="1F9DE327" w14:textId="77777777" w:rsidR="00B97365" w:rsidRDefault="00000000">
      <w:pPr>
        <w:numPr>
          <w:ilvl w:val="0"/>
          <w:numId w:val="129"/>
        </w:numPr>
      </w:pPr>
      <w:r>
        <w:rPr>
          <w:szCs w:val="22"/>
        </w:rPr>
        <w:t>The SM-SR SHALL return the response to the “</w:t>
      </w:r>
      <w:r>
        <w:rPr>
          <w:b/>
          <w:bCs/>
          <w:szCs w:val="22"/>
        </w:rPr>
        <w:t xml:space="preserve">ES3.SetPLMA” </w:t>
      </w:r>
      <w:r>
        <w:rPr>
          <w:szCs w:val="22"/>
        </w:rPr>
        <w:t>function to the SM-DP, indicating that the PLMA have been set.</w:t>
      </w:r>
    </w:p>
    <w:p w14:paraId="07200E09" w14:textId="77777777" w:rsidR="00B97365" w:rsidRDefault="00000000">
      <w:pPr>
        <w:numPr>
          <w:ilvl w:val="0"/>
          <w:numId w:val="129"/>
        </w:numPr>
      </w:pPr>
      <w:r>
        <w:t>The SM-SR SHALL send the “</w:t>
      </w:r>
      <w:r>
        <w:rPr>
          <w:b/>
        </w:rPr>
        <w:t>ES4.HandlePLMAChangedNotification</w:t>
      </w:r>
      <w:r>
        <w:t>” to the M2M SP indicating the identifiers and the applied authorisations of the “</w:t>
      </w:r>
      <w:r>
        <w:rPr>
          <w:b/>
        </w:rPr>
        <w:t>ES2.SetPLMA</w:t>
      </w:r>
      <w:r>
        <w:t>” function.</w:t>
      </w:r>
    </w:p>
    <w:p w14:paraId="73C731F4" w14:textId="77777777" w:rsidR="00B97365" w:rsidRDefault="00000000">
      <w:pPr>
        <w:spacing w:before="0" w:after="200" w:line="276" w:lineRule="auto"/>
        <w:ind w:left="360"/>
        <w:jc w:val="left"/>
        <w:rPr>
          <w:rFonts w:cs="Arial"/>
          <w:szCs w:val="22"/>
          <w:lang w:eastAsia="en-GB" w:bidi="ar-SA"/>
        </w:rPr>
      </w:pPr>
      <w:r>
        <w:rPr>
          <w:rFonts w:cs="Arial"/>
          <w:szCs w:val="22"/>
          <w:lang w:eastAsia="en-GB" w:bidi="ar-SA"/>
        </w:rPr>
        <w:t>If the M2M SP is another Operator directly connected to the SM-SR and it is authorised by the Operator owning the Profile, the SM-SR SHALL send this notification to this other Operator by calling the “</w:t>
      </w:r>
      <w:r>
        <w:rPr>
          <w:rFonts w:cs="Arial"/>
          <w:b/>
          <w:szCs w:val="22"/>
          <w:lang w:eastAsia="en-GB" w:bidi="ar-SA"/>
        </w:rPr>
        <w:t>ES4.HandlePLMAChangedNotification</w:t>
      </w:r>
      <w:r>
        <w:rPr>
          <w:rFonts w:cs="Arial"/>
          <w:szCs w:val="22"/>
          <w:lang w:eastAsia="en-GB" w:bidi="ar-SA"/>
        </w:rPr>
        <w:t>”.</w:t>
      </w:r>
    </w:p>
    <w:p w14:paraId="3BD450CE" w14:textId="77777777" w:rsidR="00B97365" w:rsidRDefault="00000000">
      <w:pPr>
        <w:spacing w:before="0" w:after="200" w:line="276" w:lineRule="auto"/>
        <w:ind w:left="360"/>
        <w:jc w:val="left"/>
        <w:rPr>
          <w:rFonts w:cs="Arial"/>
          <w:szCs w:val="22"/>
          <w:lang w:eastAsia="en-GB" w:bidi="ar-SA"/>
        </w:rPr>
      </w:pPr>
      <w:r>
        <w:rPr>
          <w:rFonts w:cs="Arial"/>
          <w:szCs w:val="22"/>
          <w:lang w:eastAsia="en-GB" w:bidi="ar-SA"/>
        </w:rPr>
        <w:t xml:space="preserve">If the M2M SP is another Operator connected through its SM-DP and it is authorised by the </w:t>
      </w:r>
      <w:r>
        <w:rPr>
          <w:rFonts w:cs="Arial"/>
          <w:szCs w:val="22"/>
          <w:lang w:val="en-US" w:eastAsia="en-GB" w:bidi="ar-SA"/>
        </w:rPr>
        <w:t xml:space="preserve">Operator </w:t>
      </w:r>
      <w:r>
        <w:rPr>
          <w:rFonts w:cs="Arial"/>
          <w:szCs w:val="22"/>
          <w:lang w:eastAsia="en-GB" w:bidi="ar-SA"/>
        </w:rPr>
        <w:t>owning the Profile, the SM-SR SHALL send this notification to the SM-DP associated to this other Operator by calling the “</w:t>
      </w:r>
      <w:r>
        <w:rPr>
          <w:rFonts w:cs="Arial"/>
          <w:b/>
          <w:szCs w:val="22"/>
          <w:lang w:eastAsia="en-GB" w:bidi="ar-SA"/>
        </w:rPr>
        <w:t>ES3.HandlePLMAChangedNotification</w:t>
      </w:r>
      <w:r>
        <w:rPr>
          <w:rFonts w:cs="Arial"/>
          <w:szCs w:val="22"/>
          <w:lang w:eastAsia="en-GB" w:bidi="ar-SA"/>
        </w:rPr>
        <w:t xml:space="preserve">”.  </w:t>
      </w:r>
      <w:r>
        <w:rPr>
          <w:rFonts w:cs="Arial"/>
          <w:szCs w:val="22"/>
          <w:lang w:eastAsia="en-GB" w:bidi="ar-SA"/>
        </w:rPr>
        <w:br/>
        <w:t>Then the SM-DP, on reception of this notification, SHALL forward it to the Operator, acting as the M2M SP, by calling the “</w:t>
      </w:r>
      <w:r>
        <w:rPr>
          <w:rFonts w:cs="Arial"/>
          <w:b/>
          <w:szCs w:val="22"/>
          <w:lang w:eastAsia="en-GB" w:bidi="ar-SA"/>
        </w:rPr>
        <w:t>ES2.HandlePLMAChangedNotification</w:t>
      </w:r>
      <w:r>
        <w:rPr>
          <w:rFonts w:cs="Arial"/>
          <w:szCs w:val="22"/>
          <w:lang w:eastAsia="en-GB" w:bidi="ar-SA"/>
        </w:rPr>
        <w:t>”.</w:t>
      </w:r>
    </w:p>
    <w:p w14:paraId="5B2CCFB8" w14:textId="77777777" w:rsidR="00B97365" w:rsidRDefault="00000000">
      <w:pPr>
        <w:numPr>
          <w:ilvl w:val="0"/>
          <w:numId w:val="129"/>
        </w:numPr>
      </w:pPr>
      <w:r>
        <w:rPr>
          <w:szCs w:val="22"/>
        </w:rPr>
        <w:t>Finally, the SM-DP SHALL return the response to the “</w:t>
      </w:r>
      <w:r>
        <w:rPr>
          <w:b/>
          <w:bCs/>
          <w:szCs w:val="22"/>
        </w:rPr>
        <w:t>ES2.SetPLMA</w:t>
      </w:r>
      <w:r>
        <w:rPr>
          <w:szCs w:val="22"/>
        </w:rPr>
        <w:t>” function call to the Operator.</w:t>
      </w:r>
    </w:p>
    <w:p w14:paraId="61299A5C" w14:textId="77777777" w:rsidR="00B97365" w:rsidRDefault="00B97365">
      <w:pPr>
        <w:spacing w:before="0" w:after="200" w:line="276" w:lineRule="auto"/>
        <w:jc w:val="left"/>
        <w:rPr>
          <w:szCs w:val="22"/>
          <w:lang w:eastAsia="en-US"/>
        </w:rPr>
      </w:pPr>
    </w:p>
    <w:p w14:paraId="1413B76E" w14:textId="77777777" w:rsidR="00B97365" w:rsidRDefault="00000000">
      <w:pPr>
        <w:spacing w:before="0" w:after="200" w:line="276" w:lineRule="auto"/>
        <w:jc w:val="left"/>
        <w:rPr>
          <w:lang w:eastAsia="en-US"/>
        </w:rPr>
      </w:pPr>
      <w:r>
        <w:rPr>
          <w:lang w:val="en-US"/>
        </w:rPr>
        <w:t>Once the PLMA is set in the SM-SR, the M2M SP is able to call authorised Profile Lifecycle Management functions and to receive authorised notifications on Profile status changes for the Profiles addressed by this PLMA via the SM-SR. When the M2M SP is an Operator, it is also able to call authorised Profile Lifecycle Management functions and to receive authorised notifications on Profile status changes for the Profiles addressed by this PLMA via its SM-DP. The list of authorised operations and notifications can be found in Table 511214-B: List of Operation Eligible to PLMA.</w:t>
      </w:r>
    </w:p>
    <w:p w14:paraId="5370C20A"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031" w:name="_Ref531807243"/>
      <w:bookmarkStart w:id="2032" w:name="_Toc1977287"/>
      <w:bookmarkStart w:id="2033" w:name="_Toc37062444"/>
      <w:bookmarkStart w:id="2034" w:name="_Toc88839549"/>
      <w:bookmarkStart w:id="2035" w:name="_Toc121503957"/>
      <w:r>
        <w:rPr>
          <w:rFonts w:eastAsia="Times New Roman" w:cs="Arial"/>
          <w:b/>
          <w:sz w:val="24"/>
          <w:szCs w:val="26"/>
          <w:lang w:eastAsia="en-US"/>
        </w:rPr>
        <w:t>Retrieve Profile Lifecycle Management Authorisation by Operator</w:t>
      </w:r>
      <w:bookmarkEnd w:id="2031"/>
      <w:bookmarkEnd w:id="2032"/>
      <w:bookmarkEnd w:id="2033"/>
      <w:bookmarkEnd w:id="2034"/>
      <w:bookmarkEnd w:id="2035"/>
      <w:r>
        <w:rPr>
          <w:rFonts w:eastAsia="Times New Roman" w:cs="Arial"/>
          <w:b/>
          <w:sz w:val="24"/>
          <w:szCs w:val="26"/>
          <w:lang w:eastAsia="en-US"/>
        </w:rPr>
        <w:t xml:space="preserve"> </w:t>
      </w:r>
    </w:p>
    <w:p w14:paraId="27D0D3A0" w14:textId="3164CDA7" w:rsidR="00B97365" w:rsidRDefault="00000000">
      <w:pPr>
        <w:spacing w:before="0" w:after="200" w:line="276" w:lineRule="auto"/>
        <w:jc w:val="left"/>
        <w:rPr>
          <w:szCs w:val="22"/>
          <w:lang w:eastAsia="en-GB" w:bidi="ar-SA"/>
        </w:rPr>
      </w:pPr>
      <w:r>
        <w:rPr>
          <w:rFonts w:cs="Arial"/>
          <w:szCs w:val="22"/>
          <w:lang w:eastAsia="en-GB" w:bidi="ar-SA"/>
        </w:rPr>
        <w:t xml:space="preserve">The Retrieve PLMA procedure between the Operator and the SM-SR is used to retrieve the list of PLMA granted by the Operator to a M2M SP or the PLMA granted by the Operator for a Profile Type or the PLMA for a dedicated Operator owned single Profile,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3.5.15.2). The result of the function call provides back the granted PLMA(s) based on the provided input parameters. </w:t>
      </w:r>
    </w:p>
    <w:p w14:paraId="11535A60" w14:textId="77777777" w:rsidR="00B97365" w:rsidRDefault="00000000">
      <w:pPr>
        <w:spacing w:before="0" w:after="200" w:line="276" w:lineRule="auto"/>
        <w:jc w:val="left"/>
        <w:rPr>
          <w:szCs w:val="22"/>
          <w:lang w:eastAsia="en-GB" w:bidi="ar-SA"/>
        </w:rPr>
      </w:pPr>
      <w:r>
        <w:rPr>
          <w:rFonts w:cs="Arial"/>
          <w:szCs w:val="22"/>
          <w:lang w:eastAsia="en-GB" w:bidi="ar-SA"/>
        </w:rPr>
        <w:lastRenderedPageBreak/>
        <w:t xml:space="preserve">The sequence flow in the </w:t>
      </w:r>
      <w:r>
        <w:rPr>
          <w:szCs w:val="22"/>
          <w:lang w:eastAsia="en-GB" w:bidi="ar-SA"/>
        </w:rPr>
        <w:t>figure below describes the procedure.</w:t>
      </w:r>
    </w:p>
    <w:p w14:paraId="45BEBFA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@startuml</w:t>
      </w:r>
    </w:p>
    <w:p w14:paraId="41CB85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37C8523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1B071DD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7B107F5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42F3372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0798A74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655C77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23D1684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39991E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257E3FC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7761835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2F9915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OP-&gt;&gt;SR: (1) GetPLMA(identifiers)</w:t>
      </w:r>
    </w:p>
    <w:p w14:paraId="6B4917C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6E2347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5A760C5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DC501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Failed</w:t>
      </w:r>
    </w:p>
    <w:p w14:paraId="09CC3BA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7B1930A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Retrieve PLMA</w:t>
      </w:r>
    </w:p>
    <w:p w14:paraId="106BB52F" w14:textId="77777777" w:rsidR="00B97365" w:rsidRPr="0061688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616885">
        <w:rPr>
          <w:rFonts w:ascii="Courier New" w:hAnsi="Courier New" w:cs="Courier New"/>
          <w:noProof/>
          <w:color w:val="008000"/>
          <w:sz w:val="18"/>
          <w:lang w:val="nl-NL"/>
        </w:rPr>
        <w:t>Endrnote</w:t>
      </w:r>
    </w:p>
    <w:p w14:paraId="0F128925" w14:textId="77777777" w:rsidR="00B97365" w:rsidRPr="0061688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616885">
        <w:rPr>
          <w:rFonts w:ascii="Courier New" w:hAnsi="Courier New" w:cs="Courier New"/>
          <w:noProof/>
          <w:color w:val="008000"/>
          <w:sz w:val="18"/>
          <w:lang w:val="nl-NL"/>
        </w:rPr>
        <w:t>SR--&gt;&gt;OP: (4) GetPLMA result (PLMA)</w:t>
      </w:r>
    </w:p>
    <w:p w14:paraId="5524055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61EDBD96" w14:textId="77777777" w:rsidR="00B97365" w:rsidRDefault="00000000">
      <w:pPr>
        <w:jc w:val="center"/>
        <w:rPr>
          <w:rFonts w:cs="Courier New"/>
          <w:noProof/>
          <w:color w:val="008000"/>
          <w:sz w:val="18"/>
        </w:rPr>
      </w:pPr>
      <w:r>
        <w:rPr>
          <w:rFonts w:cs="Courier New"/>
          <w:noProof/>
          <w:color w:val="008000"/>
          <w:sz w:val="18"/>
          <w:lang w:eastAsia="en-GB" w:bidi="ar-SA"/>
        </w:rPr>
        <w:drawing>
          <wp:inline distT="0" distB="0" distL="0" distR="0" wp14:anchorId="25021F2E" wp14:editId="5D72F1E3">
            <wp:extent cx="3524250" cy="2190750"/>
            <wp:effectExtent l="0" t="0" r="0" b="0"/>
            <wp:docPr id="458" name="Picture 45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
                    <pic:cNvPicPr/>
                  </pic:nvPicPr>
                  <pic:blipFill>
                    <a:blip r:embed="rId78">
                      <a:extLst>
                        <a:ext uri="{28A0092B-C50C-407E-A947-70E740481C1C}">
                          <a14:useLocalDpi xmlns:a14="http://schemas.microsoft.com/office/drawing/2010/main" val="0"/>
                        </a:ext>
                      </a:extLst>
                    </a:blip>
                    <a:stretch>
                      <a:fillRect/>
                    </a:stretch>
                  </pic:blipFill>
                  <pic:spPr>
                    <a:xfrm>
                      <a:off x="0" y="0"/>
                      <a:ext cx="3524250" cy="2190750"/>
                    </a:xfrm>
                    <a:prstGeom prst="rect">
                      <a:avLst/>
                    </a:prstGeom>
                  </pic:spPr>
                </pic:pic>
              </a:graphicData>
            </a:graphic>
          </wp:inline>
        </w:drawing>
      </w:r>
    </w:p>
    <w:p w14:paraId="788EFB4E"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Retrieve PLMA by Operator </w:t>
      </w:r>
    </w:p>
    <w:p w14:paraId="204BDB0B"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191F0AA4" w14:textId="3B141F42"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56E800A8"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1D6E0706" w14:textId="30D3F307" w:rsidR="00B97365" w:rsidRDefault="00000000">
      <w:pPr>
        <w:numPr>
          <w:ilvl w:val="0"/>
          <w:numId w:val="84"/>
        </w:numPr>
      </w:pPr>
      <w:r>
        <w:t>To retrieve the PLMA(s) an Operator SHALL call the “</w:t>
      </w:r>
      <w:r>
        <w:rPr>
          <w:b/>
        </w:rPr>
        <w:t>ES4A.GetPLMA</w:t>
      </w:r>
      <w:r>
        <w:t>” or the “</w:t>
      </w:r>
      <w:r>
        <w:rPr>
          <w:b/>
        </w:rPr>
        <w:t>ES4.GetPLMA</w:t>
      </w:r>
      <w:r>
        <w:t xml:space="preserve">” function with its relevant input parameters, see section </w:t>
      </w:r>
      <w:r>
        <w:fldChar w:fldCharType="begin"/>
      </w:r>
      <w:r>
        <w:instrText xml:space="preserve"> REF _Ref536547036 \r \h </w:instrText>
      </w:r>
      <w:r>
        <w:fldChar w:fldCharType="separate"/>
      </w:r>
      <w:r w:rsidR="001D5AD9">
        <w:t>5.7.2</w:t>
      </w:r>
      <w:r>
        <w:fldChar w:fldCharType="end"/>
      </w:r>
      <w:r>
        <w:t xml:space="preserve"> and </w:t>
      </w:r>
      <w:r>
        <w:fldChar w:fldCharType="begin"/>
      </w:r>
      <w:r>
        <w:instrText xml:space="preserve"> REF _Ref536547832 \r \h </w:instrText>
      </w:r>
      <w:r>
        <w:fldChar w:fldCharType="separate"/>
      </w:r>
      <w:r w:rsidR="001D5AD9">
        <w:t>5.5.17</w:t>
      </w:r>
      <w:r>
        <w:fldChar w:fldCharType="end"/>
      </w:r>
      <w:r>
        <w:t xml:space="preserve">. </w:t>
      </w:r>
    </w:p>
    <w:p w14:paraId="21102A6D" w14:textId="1DAC93CF" w:rsidR="00B97365" w:rsidRDefault="00000000">
      <w:pPr>
        <w:numPr>
          <w:ilvl w:val="0"/>
          <w:numId w:val="84"/>
        </w:numPr>
      </w:pPr>
      <w:r>
        <w:t xml:space="preserve">The SM-SR SHALL verify that the Operator request is acceptable (the verifications that the SM-SR SHALL perform are described in the section </w:t>
      </w:r>
      <w:r>
        <w:fldChar w:fldCharType="begin"/>
      </w:r>
      <w:r>
        <w:instrText xml:space="preserve"> REF _Ref536547036 \r \h </w:instrText>
      </w:r>
      <w:r>
        <w:fldChar w:fldCharType="separate"/>
      </w:r>
      <w:r w:rsidR="001D5AD9">
        <w:t>5.7.2</w:t>
      </w:r>
      <w:r>
        <w:fldChar w:fldCharType="end"/>
      </w:r>
      <w:r>
        <w:t>). If any of the conditions to be verified are not satisfied, the SM-SR SHALL return a response indicating the failure, and the procedure SHALL end.</w:t>
      </w:r>
    </w:p>
    <w:p w14:paraId="043868C0" w14:textId="74220D84"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 xml:space="preserve">If the function caller is an Operator that is not the owner of the targeted Profile or Profile Type, the call may still be valid, but in this case the calling Operator is merely acting as an M2M SP,  similar to the procedure described in section </w:t>
      </w:r>
      <w:r>
        <w:rPr>
          <w:szCs w:val="22"/>
          <w:lang w:eastAsia="en-GB" w:bidi="ar-SA"/>
        </w:rPr>
        <w:fldChar w:fldCharType="begin"/>
      </w:r>
      <w:r>
        <w:rPr>
          <w:szCs w:val="22"/>
          <w:lang w:eastAsia="en-GB" w:bidi="ar-SA"/>
        </w:rPr>
        <w:instrText xml:space="preserve"> REF _Ref451034 \r \h </w:instrText>
      </w:r>
      <w:r>
        <w:rPr>
          <w:szCs w:val="22"/>
          <w:lang w:eastAsia="en-GB" w:bidi="ar-SA"/>
        </w:rPr>
      </w:r>
      <w:r>
        <w:rPr>
          <w:szCs w:val="22"/>
          <w:lang w:eastAsia="en-GB" w:bidi="ar-SA"/>
        </w:rPr>
        <w:fldChar w:fldCharType="separate"/>
      </w:r>
      <w:r w:rsidR="001D5AD9">
        <w:rPr>
          <w:szCs w:val="22"/>
          <w:lang w:eastAsia="en-GB" w:bidi="ar-SA"/>
        </w:rPr>
        <w:t>3.20.5</w:t>
      </w:r>
      <w:r>
        <w:rPr>
          <w:szCs w:val="22"/>
          <w:lang w:eastAsia="en-GB" w:bidi="ar-SA"/>
        </w:rPr>
        <w:fldChar w:fldCharType="end"/>
      </w:r>
      <w:r>
        <w:rPr>
          <w:szCs w:val="22"/>
          <w:lang w:eastAsia="en-GB" w:bidi="ar-SA"/>
        </w:rPr>
        <w:t xml:space="preserve">. The checks the SM-SR shall perform in this case are described in section </w:t>
      </w:r>
      <w:r>
        <w:rPr>
          <w:szCs w:val="22"/>
          <w:lang w:eastAsia="en-GB" w:bidi="ar-SA"/>
        </w:rPr>
        <w:fldChar w:fldCharType="begin"/>
      </w:r>
      <w:r>
        <w:rPr>
          <w:szCs w:val="22"/>
          <w:lang w:eastAsia="en-GB" w:bidi="ar-SA"/>
        </w:rPr>
        <w:instrText xml:space="preserve"> REF _Ref536547832 \r \h </w:instrText>
      </w:r>
      <w:r>
        <w:rPr>
          <w:szCs w:val="22"/>
          <w:lang w:eastAsia="en-GB" w:bidi="ar-SA"/>
        </w:rPr>
      </w:r>
      <w:r>
        <w:rPr>
          <w:szCs w:val="22"/>
          <w:lang w:eastAsia="en-GB" w:bidi="ar-SA"/>
        </w:rPr>
        <w:fldChar w:fldCharType="separate"/>
      </w:r>
      <w:r w:rsidR="001D5AD9">
        <w:rPr>
          <w:szCs w:val="22"/>
          <w:lang w:eastAsia="en-GB" w:bidi="ar-SA"/>
        </w:rPr>
        <w:t>5.5.17</w:t>
      </w:r>
      <w:r>
        <w:rPr>
          <w:szCs w:val="22"/>
          <w:lang w:eastAsia="en-GB" w:bidi="ar-SA"/>
        </w:rPr>
        <w:fldChar w:fldCharType="end"/>
      </w:r>
      <w:r>
        <w:rPr>
          <w:szCs w:val="22"/>
          <w:lang w:eastAsia="en-GB" w:bidi="ar-SA"/>
        </w:rPr>
        <w:t>.</w:t>
      </w:r>
    </w:p>
    <w:p w14:paraId="0317365D" w14:textId="77777777" w:rsidR="00B97365" w:rsidRDefault="00000000">
      <w:pPr>
        <w:numPr>
          <w:ilvl w:val="0"/>
          <w:numId w:val="84"/>
        </w:numPr>
      </w:pPr>
      <w:r>
        <w:lastRenderedPageBreak/>
        <w:t xml:space="preserve">The SM-SR retrieves the PLMA(s) matching with the identifiers set as input parameters by the Operator. In case no PLMA exists for the provided identifier, the SM-SR SHALL return an empty result.  </w:t>
      </w:r>
    </w:p>
    <w:p w14:paraId="2C8D527F" w14:textId="77777777" w:rsidR="00B97365" w:rsidRDefault="00000000">
      <w:pPr>
        <w:numPr>
          <w:ilvl w:val="0"/>
          <w:numId w:val="84"/>
        </w:numPr>
      </w:pPr>
      <w:r>
        <w:t xml:space="preserve">The SM-SR SHALL return the response to the </w:t>
      </w:r>
      <w:r>
        <w:rPr>
          <w:b/>
        </w:rPr>
        <w:t>“ES4.GetPLMA”</w:t>
      </w:r>
      <w:r>
        <w:t xml:space="preserve"> function call to the Operator.</w:t>
      </w:r>
    </w:p>
    <w:p w14:paraId="44A29B45" w14:textId="77777777" w:rsidR="00B97365" w:rsidRDefault="00B97365">
      <w:pPr>
        <w:spacing w:before="0" w:after="200" w:line="276" w:lineRule="auto"/>
        <w:jc w:val="left"/>
        <w:rPr>
          <w:szCs w:val="22"/>
          <w:lang w:eastAsia="en-US"/>
        </w:rPr>
      </w:pPr>
    </w:p>
    <w:p w14:paraId="2D2B7B5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036" w:name="_Toc1977288"/>
      <w:bookmarkStart w:id="2037" w:name="_Toc37062445"/>
      <w:bookmarkStart w:id="2038" w:name="_Toc88839550"/>
      <w:bookmarkStart w:id="2039" w:name="_Toc121503958"/>
      <w:r>
        <w:rPr>
          <w:rFonts w:eastAsia="Times New Roman" w:cs="Arial"/>
          <w:b/>
          <w:sz w:val="24"/>
          <w:szCs w:val="26"/>
          <w:lang w:eastAsia="en-US"/>
        </w:rPr>
        <w:t>Retrieve Profile Lifecycle Management Authorisation by Operator via SM-DP</w:t>
      </w:r>
      <w:bookmarkEnd w:id="2036"/>
      <w:bookmarkEnd w:id="2037"/>
      <w:bookmarkEnd w:id="2038"/>
      <w:bookmarkEnd w:id="2039"/>
    </w:p>
    <w:p w14:paraId="782760D7" w14:textId="1C0E54C2" w:rsidR="00B97365" w:rsidRDefault="00000000">
      <w:pPr>
        <w:spacing w:before="0" w:after="200" w:line="276" w:lineRule="auto"/>
        <w:jc w:val="left"/>
        <w:rPr>
          <w:szCs w:val="22"/>
          <w:lang w:eastAsia="en-GB" w:bidi="ar-SA"/>
        </w:rPr>
      </w:pPr>
      <w:r>
        <w:rPr>
          <w:rFonts w:cs="Arial"/>
          <w:szCs w:val="22"/>
          <w:lang w:eastAsia="en-GB" w:bidi="ar-SA"/>
        </w:rPr>
        <w:t xml:space="preserve">The Retrieve Profile Lifecycle Management Authorisation procedure between the Operator and the SM-SR is done through the SM-DP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3.5.15.2). The procedure is initiated by the Operator </w:t>
      </w:r>
      <w:r>
        <w:rPr>
          <w:szCs w:val="22"/>
        </w:rPr>
        <w:t xml:space="preserve">is similar to the procedure “Set Profile Lifecycle Management Authorisation Rules” described in section </w:t>
      </w:r>
      <w:r>
        <w:rPr>
          <w:szCs w:val="22"/>
        </w:rPr>
        <w:fldChar w:fldCharType="begin"/>
      </w:r>
      <w:r>
        <w:rPr>
          <w:szCs w:val="22"/>
        </w:rPr>
        <w:instrText xml:space="preserve"> REF _Ref531807243 \r \h </w:instrText>
      </w:r>
      <w:r>
        <w:rPr>
          <w:szCs w:val="22"/>
        </w:rPr>
      </w:r>
      <w:r>
        <w:rPr>
          <w:szCs w:val="22"/>
        </w:rPr>
        <w:fldChar w:fldCharType="separate"/>
      </w:r>
      <w:r w:rsidR="001D5AD9">
        <w:rPr>
          <w:szCs w:val="22"/>
        </w:rPr>
        <w:t>3.20.3</w:t>
      </w:r>
      <w:r>
        <w:rPr>
          <w:szCs w:val="22"/>
        </w:rPr>
        <w:fldChar w:fldCharType="end"/>
      </w:r>
      <w:r>
        <w:rPr>
          <w:szCs w:val="22"/>
        </w:rPr>
        <w:t xml:space="preserve">. </w:t>
      </w:r>
      <w:r>
        <w:rPr>
          <w:szCs w:val="22"/>
          <w:lang w:eastAsia="en-GB" w:bidi="ar-SA"/>
        </w:rPr>
        <w:t>The result of the function call provides back the granted PLMA (s) based on the provided input parameters</w:t>
      </w:r>
    </w:p>
    <w:p w14:paraId="19BB06B4" w14:textId="77777777"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szCs w:val="22"/>
          <w:lang w:eastAsia="en-GB" w:bidi="ar-SA"/>
        </w:rPr>
        <w:t>figure below describes the procedure.</w:t>
      </w:r>
    </w:p>
    <w:p w14:paraId="36FCDEC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1DFAC19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37E1CD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6C953C7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343E0F2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4BD733B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19E8AFD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EAE2D8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4B14B7B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4D9632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52BE211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6309543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77F187E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7F8217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OP-&gt;&gt;DP: (1) GetPLMA(identifiers)</w:t>
      </w:r>
    </w:p>
    <w:p w14:paraId="55284C4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(2) GetPLMA(identifiers)</w:t>
      </w:r>
    </w:p>
    <w:p w14:paraId="060465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71B650B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Check initial conditions</w:t>
      </w:r>
    </w:p>
    <w:p w14:paraId="7A4444D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810DDF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2A20370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Failed</w:t>
      </w:r>
    </w:p>
    <w:p w14:paraId="30ECE44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0AFD9F7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Retrieve PLMA</w:t>
      </w:r>
    </w:p>
    <w:p w14:paraId="3EDAF91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1919F1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(5) GetPLMA result (PLMA)</w:t>
      </w:r>
    </w:p>
    <w:p w14:paraId="7A9061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(6) GetPLMA result (PLMA)</w:t>
      </w:r>
    </w:p>
    <w:p w14:paraId="0FFC8E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66F8C048" w14:textId="77777777" w:rsidR="00B97365" w:rsidRDefault="00000000">
      <w:pPr>
        <w:rPr>
          <w:rFonts w:cs="Courier New"/>
          <w:noProof/>
          <w:color w:val="008000"/>
          <w:sz w:val="18"/>
        </w:rPr>
      </w:pPr>
      <w:r>
        <w:rPr>
          <w:rFonts w:cs="Courier New"/>
          <w:noProof/>
          <w:color w:val="008000"/>
          <w:sz w:val="18"/>
          <w:lang w:eastAsia="en-GB" w:bidi="ar-SA"/>
        </w:rPr>
        <w:drawing>
          <wp:inline distT="0" distB="0" distL="0" distR="0" wp14:anchorId="1DB68AED" wp14:editId="7EFC6A6E">
            <wp:extent cx="5276850" cy="3057525"/>
            <wp:effectExtent l="0" t="0" r="0" b="9525"/>
            <wp:docPr id="457" name="Picture 45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
                    <pic:cNvPicPr/>
                  </pic:nvPicPr>
                  <pic:blipFill>
                    <a:blip r:embed="rId79">
                      <a:extLst>
                        <a:ext uri="{28A0092B-C50C-407E-A947-70E740481C1C}">
                          <a14:useLocalDpi xmlns:a14="http://schemas.microsoft.com/office/drawing/2010/main" val="0"/>
                        </a:ext>
                      </a:extLst>
                    </a:blip>
                    <a:stretch>
                      <a:fillRect/>
                    </a:stretch>
                  </pic:blipFill>
                  <pic:spPr>
                    <a:xfrm>
                      <a:off x="0" y="0"/>
                      <a:ext cx="5276850" cy="3057525"/>
                    </a:xfrm>
                    <a:prstGeom prst="rect">
                      <a:avLst/>
                    </a:prstGeom>
                  </pic:spPr>
                </pic:pic>
              </a:graphicData>
            </a:graphic>
          </wp:inline>
        </w:drawing>
      </w:r>
    </w:p>
    <w:p w14:paraId="6FF5656B" w14:textId="77777777" w:rsidR="00B97365" w:rsidRDefault="00B97365">
      <w:pPr>
        <w:rPr>
          <w:rFonts w:cs="Courier New"/>
          <w:noProof/>
          <w:color w:val="008000"/>
          <w:sz w:val="18"/>
        </w:rPr>
      </w:pPr>
    </w:p>
    <w:p w14:paraId="34409CDA"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Retrieve PLMA by Operator via SM-DP</w:t>
      </w:r>
    </w:p>
    <w:p w14:paraId="2DCE2F16"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59F13B4D" w14:textId="7455C202"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167CF0C9"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522E1381" w14:textId="4B7B05A0" w:rsidR="00B97365" w:rsidRDefault="00000000">
      <w:pPr>
        <w:numPr>
          <w:ilvl w:val="0"/>
          <w:numId w:val="85"/>
        </w:numPr>
      </w:pPr>
      <w:r>
        <w:t>To retrieve the PLMA(s) an Operator SHALL call the “</w:t>
      </w:r>
      <w:r>
        <w:rPr>
          <w:b/>
        </w:rPr>
        <w:t>ES2.GetPLMA</w:t>
      </w:r>
      <w:r>
        <w:t xml:space="preserve">” function of its SM-DP with its relevant input parameters, see section </w:t>
      </w:r>
      <w:r>
        <w:fldChar w:fldCharType="begin"/>
      </w:r>
      <w:r>
        <w:instrText xml:space="preserve"> REF _Ref536546077 \r \h  \* MERGEFORMAT </w:instrText>
      </w:r>
      <w:r>
        <w:fldChar w:fldCharType="separate"/>
      </w:r>
      <w:r w:rsidR="001D5AD9">
        <w:t>5.3.14</w:t>
      </w:r>
      <w:r>
        <w:fldChar w:fldCharType="end"/>
      </w:r>
      <w:r>
        <w:t>.</w:t>
      </w:r>
    </w:p>
    <w:p w14:paraId="4CAF1673" w14:textId="77777777" w:rsidR="00B97365" w:rsidRDefault="00000000">
      <w:pPr>
        <w:numPr>
          <w:ilvl w:val="0"/>
          <w:numId w:val="85"/>
        </w:numPr>
      </w:pPr>
      <w:r>
        <w:lastRenderedPageBreak/>
        <w:t>The SM-DP SHALL forward the request to the SM-SR identified by the Operator and SHALL call the “</w:t>
      </w:r>
      <w:r>
        <w:rPr>
          <w:b/>
        </w:rPr>
        <w:t>ES3.GetPLMA</w:t>
      </w:r>
      <w:r>
        <w:t xml:space="preserve">” function with its relevant input data. </w:t>
      </w:r>
    </w:p>
    <w:p w14:paraId="73FD2AC4" w14:textId="3FD90D27" w:rsidR="00B97365" w:rsidRDefault="00000000">
      <w:pPr>
        <w:numPr>
          <w:ilvl w:val="0"/>
          <w:numId w:val="85"/>
        </w:numPr>
      </w:pPr>
      <w:r>
        <w:t xml:space="preserve">The SM-SR SHALL verify that the Operator request is acceptable (the verifications that the SM-SR SHALL perform are described in the section </w:t>
      </w:r>
      <w:r>
        <w:fldChar w:fldCharType="begin"/>
      </w:r>
      <w:r>
        <w:instrText xml:space="preserve"> REF _Ref536547806 \r \h </w:instrText>
      </w:r>
      <w:r>
        <w:fldChar w:fldCharType="separate"/>
      </w:r>
      <w:r w:rsidR="001D5AD9">
        <w:t>5.4.17</w:t>
      </w:r>
      <w:r>
        <w:fldChar w:fldCharType="end"/>
      </w:r>
      <w:r>
        <w:t>). If any of the conditions to be verified are not satisfied, the SM-SR SHALL return a response indicating the failure, and the procedure SHALL end.</w:t>
      </w:r>
    </w:p>
    <w:p w14:paraId="525E9E1C" w14:textId="4AE0568B"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 xml:space="preserve">If the SM-DP has sent the request on behalf of an Operator that is not the owner of the targeted Profile or Profile Type, the call may still be valid, but in this case this Operator is merely acting as an M2M SP. The checks the SM-SR shall perform are described in section </w:t>
      </w:r>
      <w:r>
        <w:rPr>
          <w:szCs w:val="22"/>
          <w:lang w:eastAsia="en-GB" w:bidi="ar-SA"/>
        </w:rPr>
        <w:fldChar w:fldCharType="begin"/>
      </w:r>
      <w:r>
        <w:rPr>
          <w:szCs w:val="22"/>
          <w:lang w:eastAsia="en-GB" w:bidi="ar-SA"/>
        </w:rPr>
        <w:instrText xml:space="preserve"> REF _Ref536547806 \r \h </w:instrText>
      </w:r>
      <w:r>
        <w:rPr>
          <w:szCs w:val="22"/>
          <w:lang w:eastAsia="en-GB" w:bidi="ar-SA"/>
        </w:rPr>
      </w:r>
      <w:r>
        <w:rPr>
          <w:szCs w:val="22"/>
          <w:lang w:eastAsia="en-GB" w:bidi="ar-SA"/>
        </w:rPr>
        <w:fldChar w:fldCharType="separate"/>
      </w:r>
      <w:r w:rsidR="001D5AD9">
        <w:rPr>
          <w:szCs w:val="22"/>
          <w:lang w:eastAsia="en-GB" w:bidi="ar-SA"/>
        </w:rPr>
        <w:t>5.4.17</w:t>
      </w:r>
      <w:r>
        <w:rPr>
          <w:szCs w:val="22"/>
          <w:lang w:eastAsia="en-GB" w:bidi="ar-SA"/>
        </w:rPr>
        <w:fldChar w:fldCharType="end"/>
      </w:r>
      <w:r>
        <w:rPr>
          <w:szCs w:val="22"/>
          <w:lang w:eastAsia="en-GB" w:bidi="ar-SA"/>
        </w:rPr>
        <w:t>.</w:t>
      </w:r>
    </w:p>
    <w:p w14:paraId="12E46A39" w14:textId="77777777" w:rsidR="00B97365" w:rsidRDefault="00000000">
      <w:pPr>
        <w:numPr>
          <w:ilvl w:val="0"/>
          <w:numId w:val="85"/>
        </w:numPr>
      </w:pPr>
      <w:r>
        <w:t xml:space="preserve">The SM-SR retrieves the PLMA(s) matching with the identifiers set as input parameters by the Operator. In case no PLMA exists for provided identifier, the SM-SR SHALL return an empty result.  </w:t>
      </w:r>
    </w:p>
    <w:p w14:paraId="5FCBBC36" w14:textId="77777777" w:rsidR="00B97365" w:rsidRDefault="00000000">
      <w:pPr>
        <w:numPr>
          <w:ilvl w:val="0"/>
          <w:numId w:val="85"/>
        </w:numPr>
      </w:pPr>
      <w:r>
        <w:t xml:space="preserve">The SM-SR SHALL return the response to the </w:t>
      </w:r>
      <w:r>
        <w:rPr>
          <w:b/>
        </w:rPr>
        <w:t>“ES3.RetrivePLMA”</w:t>
      </w:r>
      <w:r>
        <w:t xml:space="preserve"> function to the SM-DP.</w:t>
      </w:r>
    </w:p>
    <w:p w14:paraId="2600439A" w14:textId="77777777" w:rsidR="00B97365" w:rsidRDefault="00000000">
      <w:pPr>
        <w:numPr>
          <w:ilvl w:val="0"/>
          <w:numId w:val="85"/>
        </w:numPr>
      </w:pPr>
      <w:r>
        <w:t>Finally, the SM-DP SHALL return the response to the “</w:t>
      </w:r>
      <w:r>
        <w:rPr>
          <w:b/>
        </w:rPr>
        <w:t>ES2.GetPLMA</w:t>
      </w:r>
      <w:r>
        <w:t>” function call to the Operator.</w:t>
      </w:r>
    </w:p>
    <w:p w14:paraId="732E3891" w14:textId="77777777" w:rsidR="00B97365" w:rsidRDefault="00B97365">
      <w:pPr>
        <w:ind w:left="567"/>
        <w:rPr>
          <w:lang w:eastAsia="en-US"/>
        </w:rPr>
      </w:pPr>
    </w:p>
    <w:p w14:paraId="4F3D19C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040" w:name="_Ref451034"/>
      <w:bookmarkStart w:id="2041" w:name="_Toc1977289"/>
      <w:bookmarkStart w:id="2042" w:name="_Toc37062446"/>
      <w:bookmarkStart w:id="2043" w:name="_Toc88839551"/>
      <w:bookmarkStart w:id="2044" w:name="_Toc121503959"/>
      <w:r>
        <w:rPr>
          <w:rFonts w:eastAsia="Times New Roman" w:cs="Arial"/>
          <w:b/>
          <w:sz w:val="24"/>
          <w:szCs w:val="26"/>
          <w:lang w:eastAsia="en-US"/>
        </w:rPr>
        <w:t>Retrieve Profile Lifecycle Management Authorisation by M2M SP</w:t>
      </w:r>
      <w:bookmarkEnd w:id="2040"/>
      <w:bookmarkEnd w:id="2041"/>
      <w:bookmarkEnd w:id="2042"/>
      <w:bookmarkEnd w:id="2043"/>
      <w:bookmarkEnd w:id="2044"/>
    </w:p>
    <w:p w14:paraId="76128796" w14:textId="0B7D7D64" w:rsidR="00B97365" w:rsidRDefault="00000000">
      <w:pPr>
        <w:spacing w:before="0" w:after="200" w:line="276" w:lineRule="auto"/>
        <w:jc w:val="left"/>
        <w:rPr>
          <w:szCs w:val="22"/>
          <w:lang w:eastAsia="en-GB" w:bidi="ar-SA"/>
        </w:rPr>
      </w:pPr>
      <w:r>
        <w:rPr>
          <w:rFonts w:cs="Arial"/>
          <w:szCs w:val="22"/>
          <w:lang w:eastAsia="en-GB" w:bidi="ar-SA"/>
        </w:rPr>
        <w:t xml:space="preserve">The Retrieve PLMA procedure between the M2M SP and the SM-SR is used to retrieve the list of PLMA granted by an Operator to a M2M SP or the PLMA granted by an Operator for a Profile Type or the PLMA for a dedicated Operator owned single Profile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3.5.15.2). The result of the function call provides back the granted PLMA (s) based on the provided input parameters. </w:t>
      </w:r>
    </w:p>
    <w:p w14:paraId="3FE86A59" w14:textId="77777777" w:rsidR="00B97365" w:rsidRDefault="00000000">
      <w:pPr>
        <w:spacing w:before="0" w:after="200" w:line="276" w:lineRule="auto"/>
        <w:jc w:val="left"/>
        <w:rPr>
          <w:szCs w:val="22"/>
          <w:lang w:eastAsia="en-GB" w:bidi="ar-SA"/>
        </w:rPr>
      </w:pPr>
      <w:r>
        <w:rPr>
          <w:rFonts w:cs="Arial"/>
          <w:szCs w:val="22"/>
          <w:lang w:eastAsia="en-GB" w:bidi="ar-SA"/>
        </w:rPr>
        <w:t xml:space="preserve">The sequence flow in the </w:t>
      </w:r>
      <w:r>
        <w:rPr>
          <w:szCs w:val="22"/>
          <w:lang w:eastAsia="en-GB" w:bidi="ar-SA"/>
        </w:rPr>
        <w:t>figure below describes the procedure.</w:t>
      </w:r>
    </w:p>
    <w:p w14:paraId="52449EB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2D88B54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709F61D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2D79A1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2E3EBCA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37D9441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2515066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2A2BF0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28868EA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D1BC88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M2MSP #FFFFFF</w:t>
      </w:r>
    </w:p>
    <w:p w14:paraId="3DE9BD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4B0F813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CDD2A2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M2MSP-&gt;&gt;SR: (1) GetPLMA(identifiers)</w:t>
      </w:r>
    </w:p>
    <w:p w14:paraId="3BA791E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269451E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2317241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9CFAAD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Failed</w:t>
      </w:r>
    </w:p>
    <w:p w14:paraId="3EDAE8C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6F21FEB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Retrieve PLMA</w:t>
      </w:r>
    </w:p>
    <w:p w14:paraId="063601E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0F30C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(4) GetPLMA result (PLMA)</w:t>
      </w:r>
    </w:p>
    <w:p w14:paraId="673541B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01269759" w14:textId="77777777" w:rsidR="00B97365" w:rsidRDefault="00000000">
      <w:pPr>
        <w:jc w:val="center"/>
        <w:rPr>
          <w:rFonts w:cs="Courier New"/>
          <w:noProof/>
          <w:color w:val="008000"/>
          <w:sz w:val="18"/>
          <w:lang w:eastAsia="en-GB" w:bidi="ar-SA"/>
        </w:rPr>
      </w:pPr>
      <w:r>
        <w:rPr>
          <w:rFonts w:cs="Courier New"/>
          <w:noProof/>
          <w:color w:val="008000"/>
          <w:sz w:val="18"/>
          <w:lang w:eastAsia="en-GB" w:bidi="ar-SA"/>
        </w:rPr>
        <w:drawing>
          <wp:inline distT="0" distB="0" distL="0" distR="0" wp14:anchorId="348BF0FA" wp14:editId="77A879C3">
            <wp:extent cx="3495675" cy="2190750"/>
            <wp:effectExtent l="0" t="0" r="9525" b="0"/>
            <wp:docPr id="456" name="Picture 45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
                    <pic:cNvPicPr/>
                  </pic:nvPicPr>
                  <pic:blipFill>
                    <a:blip r:embed="rId80">
                      <a:extLst>
                        <a:ext uri="{28A0092B-C50C-407E-A947-70E740481C1C}">
                          <a14:useLocalDpi xmlns:a14="http://schemas.microsoft.com/office/drawing/2010/main" val="0"/>
                        </a:ext>
                      </a:extLst>
                    </a:blip>
                    <a:stretch>
                      <a:fillRect/>
                    </a:stretch>
                  </pic:blipFill>
                  <pic:spPr>
                    <a:xfrm>
                      <a:off x="0" y="0"/>
                      <a:ext cx="3495675" cy="2190750"/>
                    </a:xfrm>
                    <a:prstGeom prst="rect">
                      <a:avLst/>
                    </a:prstGeom>
                  </pic:spPr>
                </pic:pic>
              </a:graphicData>
            </a:graphic>
          </wp:inline>
        </w:drawing>
      </w:r>
    </w:p>
    <w:p w14:paraId="4088D599" w14:textId="77777777" w:rsidR="00B97365" w:rsidRDefault="00B97365">
      <w:pPr>
        <w:rPr>
          <w:rFonts w:cs="Courier New"/>
          <w:noProof/>
          <w:color w:val="008000"/>
          <w:sz w:val="18"/>
          <w:lang w:eastAsia="en-GB" w:bidi="ar-SA"/>
        </w:rPr>
      </w:pPr>
    </w:p>
    <w:p w14:paraId="5C772520"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Retrieve PLMA by M2M SP</w:t>
      </w:r>
    </w:p>
    <w:p w14:paraId="61D81A0F"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3A6C9EB2" w14:textId="7CAE57E5"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7410E60E"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4756ADA8" w14:textId="041F5FA6" w:rsidR="00B97365" w:rsidRDefault="00000000">
      <w:pPr>
        <w:numPr>
          <w:ilvl w:val="0"/>
          <w:numId w:val="86"/>
        </w:numPr>
      </w:pPr>
      <w:r>
        <w:t>To retrieve the PLMA(s) the M2M SP SHALL call the “</w:t>
      </w:r>
      <w:r>
        <w:rPr>
          <w:b/>
        </w:rPr>
        <w:t>ES4.GetPLMA</w:t>
      </w:r>
      <w:r>
        <w:t xml:space="preserve">” function with its relevant input parameters, see section </w:t>
      </w:r>
      <w:r>
        <w:fldChar w:fldCharType="begin"/>
      </w:r>
      <w:r>
        <w:instrText xml:space="preserve"> REF _Ref536547832 \r \h  \* MERGEFORMAT </w:instrText>
      </w:r>
      <w:r>
        <w:fldChar w:fldCharType="separate"/>
      </w:r>
      <w:r w:rsidR="001D5AD9">
        <w:t>5.5.17</w:t>
      </w:r>
      <w:r>
        <w:fldChar w:fldCharType="end"/>
      </w:r>
      <w:r>
        <w:t>.</w:t>
      </w:r>
    </w:p>
    <w:p w14:paraId="6350E88F" w14:textId="51F1EDA1" w:rsidR="00B97365" w:rsidRDefault="00000000">
      <w:pPr>
        <w:numPr>
          <w:ilvl w:val="0"/>
          <w:numId w:val="86"/>
        </w:numPr>
      </w:pPr>
      <w:r>
        <w:t xml:space="preserve">The SM-SR SHALL verify that the M2M SP request is acceptable (the verifications that the SM-SR SHALL perform are described in the section </w:t>
      </w:r>
      <w:r>
        <w:fldChar w:fldCharType="begin"/>
      </w:r>
      <w:r>
        <w:instrText xml:space="preserve"> REF _Ref536547832 \r \h  \* MERGEFORMAT </w:instrText>
      </w:r>
      <w:r>
        <w:fldChar w:fldCharType="separate"/>
      </w:r>
      <w:r w:rsidR="001D5AD9">
        <w:t>5.5.17</w:t>
      </w:r>
      <w:r>
        <w:fldChar w:fldCharType="end"/>
      </w:r>
      <w:r>
        <w:t>. If a Profile Type or a single Profile is indicated in the input parameters, the SM-SR SHALL check that the M2M SP is authorised for the targeted Profile Type or single Profile. If any of the conditions to be verified are not satisfied, the SM-SR SHALL return a response indicating the failure, and the procedure SHALL end.</w:t>
      </w:r>
    </w:p>
    <w:p w14:paraId="31F6B0AF" w14:textId="77777777" w:rsidR="00B97365" w:rsidRDefault="00000000">
      <w:pPr>
        <w:numPr>
          <w:ilvl w:val="0"/>
          <w:numId w:val="86"/>
        </w:numPr>
      </w:pPr>
      <w:r>
        <w:t xml:space="preserve">The SM-SR retrieves the PLMA(s) for the requesting M2M SP matching with the identifiers set as input parameters by the M2M SP. In case no PLMA(s) exists for the provided identifier, the SM-SR SHALL return an empty result.  </w:t>
      </w:r>
    </w:p>
    <w:p w14:paraId="5FE4F147" w14:textId="77777777" w:rsidR="00B97365" w:rsidRDefault="00000000">
      <w:pPr>
        <w:numPr>
          <w:ilvl w:val="0"/>
          <w:numId w:val="86"/>
        </w:numPr>
      </w:pPr>
      <w:r>
        <w:lastRenderedPageBreak/>
        <w:t>The SM-SR SHALL return the response to the “</w:t>
      </w:r>
      <w:r>
        <w:rPr>
          <w:b/>
        </w:rPr>
        <w:t>ES4.GetPLMA</w:t>
      </w:r>
      <w:r>
        <w:t>” function call to the M2M SP.</w:t>
      </w:r>
    </w:p>
    <w:p w14:paraId="6D092A79" w14:textId="77777777" w:rsidR="00B97365" w:rsidRDefault="00B97365">
      <w:pPr>
        <w:spacing w:before="0" w:after="200" w:line="276" w:lineRule="auto"/>
        <w:jc w:val="left"/>
        <w:rPr>
          <w:szCs w:val="22"/>
          <w:lang w:eastAsia="en-US"/>
        </w:rPr>
      </w:pPr>
    </w:p>
    <w:p w14:paraId="13AF6390" w14:textId="77777777" w:rsidR="00B97365" w:rsidRDefault="00000000">
      <w:pPr>
        <w:keepNext/>
        <w:keepLines/>
        <w:numPr>
          <w:ilvl w:val="1"/>
          <w:numId w:val="61"/>
        </w:numPr>
        <w:spacing w:before="240" w:after="60" w:line="276" w:lineRule="auto"/>
        <w:jc w:val="left"/>
        <w:outlineLvl w:val="1"/>
        <w:rPr>
          <w:rFonts w:eastAsia="Times New Roman" w:cs="Arial"/>
          <w:b/>
          <w:bCs/>
          <w:iCs/>
          <w:sz w:val="24"/>
          <w:szCs w:val="28"/>
          <w:lang w:eastAsia="en-US"/>
        </w:rPr>
      </w:pPr>
      <w:bookmarkStart w:id="2045" w:name="_Ref536172994"/>
      <w:bookmarkStart w:id="2046" w:name="_Toc1977290"/>
      <w:bookmarkStart w:id="2047" w:name="_Toc37062447"/>
      <w:bookmarkStart w:id="2048" w:name="_Toc88839552"/>
      <w:bookmarkStart w:id="2049" w:name="_Toc121503960"/>
      <w:r>
        <w:rPr>
          <w:rFonts w:eastAsia="Times New Roman" w:cs="Arial"/>
          <w:b/>
          <w:bCs/>
          <w:iCs/>
          <w:sz w:val="24"/>
          <w:szCs w:val="28"/>
          <w:lang w:eastAsia="en-US"/>
        </w:rPr>
        <w:t>Operator Notifications Configuration (ONC)</w:t>
      </w:r>
      <w:bookmarkEnd w:id="2045"/>
      <w:bookmarkEnd w:id="2046"/>
      <w:bookmarkEnd w:id="2047"/>
      <w:bookmarkEnd w:id="2048"/>
      <w:bookmarkEnd w:id="2049"/>
    </w:p>
    <w:p w14:paraId="4A8B4BAD" w14:textId="77777777" w:rsidR="00B97365" w:rsidRDefault="00000000">
      <w:pPr>
        <w:rPr>
          <w:rFonts w:cs="Arial"/>
          <w:szCs w:val="22"/>
          <w:lang w:eastAsia="en-GB" w:bidi="ar-SA"/>
        </w:rPr>
      </w:pPr>
      <w:bookmarkStart w:id="2050" w:name="_Ref532121783"/>
      <w:r>
        <w:t xml:space="preserve">The Operator Notifications Configuration (ONC) mechanisms described in this section </w:t>
      </w:r>
      <w:r>
        <w:rPr>
          <w:rFonts w:cs="Arial"/>
          <w:szCs w:val="22"/>
          <w:lang w:val="en-US" w:eastAsia="en-GB" w:bidi="ar-SA"/>
        </w:rPr>
        <w:t xml:space="preserve">allows the Operator and owner of Profiles to define which notifications it would like to receive or not for a dedicated set of its Profiles, whenever the status of its Profiles has changed; </w:t>
      </w:r>
      <w:r>
        <w:rPr>
          <w:rFonts w:cs="Arial"/>
          <w:szCs w:val="22"/>
          <w:lang w:eastAsia="en-GB" w:bidi="ar-SA"/>
        </w:rPr>
        <w:t>whatever the origin of the status change is.</w:t>
      </w:r>
    </w:p>
    <w:p w14:paraId="5CE306CF" w14:textId="77777777" w:rsidR="00B97365" w:rsidRDefault="00000000">
      <w:pPr>
        <w:rPr>
          <w:rFonts w:cs="Arial"/>
          <w:szCs w:val="22"/>
          <w:lang w:eastAsia="en-GB" w:bidi="ar-SA"/>
        </w:rPr>
      </w:pPr>
      <w:r>
        <w:rPr>
          <w:rFonts w:cs="Arial"/>
          <w:szCs w:val="22"/>
          <w:lang w:eastAsia="en-GB" w:bidi="ar-SA"/>
        </w:rPr>
        <w:t>The support of this functionality by the SM-SR is optional:</w:t>
      </w:r>
    </w:p>
    <w:p w14:paraId="0C8920AC"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If the SM-SR supports this functionality, the SM-SR SHALL implement it as specified in this section and its subsections, and following the specification of the related functions SetONC and GetONC of the off-card interfaces.</w:t>
      </w:r>
    </w:p>
    <w:p w14:paraId="03B7286D" w14:textId="787C34FE"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If the SM-SR does not support this functionality, the SM-SR SHALL NOT accept calls to setONC, and the SM-SR SHALL send the notifications to the Operator owning a Profile as specified in the procedures of sections </w:t>
      </w:r>
      <w:r>
        <w:rPr>
          <w:szCs w:val="22"/>
          <w:lang w:eastAsia="en-GB" w:bidi="ar-SA"/>
        </w:rPr>
        <w:fldChar w:fldCharType="begin"/>
      </w:r>
      <w:r>
        <w:rPr>
          <w:szCs w:val="22"/>
          <w:lang w:eastAsia="en-GB" w:bidi="ar-SA"/>
        </w:rPr>
        <w:instrText xml:space="preserve"> REF _Ref367967873 \r \h </w:instrText>
      </w:r>
      <w:r>
        <w:rPr>
          <w:szCs w:val="22"/>
          <w:lang w:eastAsia="en-GB" w:bidi="ar-SA"/>
        </w:rPr>
      </w:r>
      <w:r>
        <w:rPr>
          <w:szCs w:val="22"/>
          <w:lang w:eastAsia="en-GB" w:bidi="ar-SA"/>
        </w:rPr>
        <w:fldChar w:fldCharType="separate"/>
      </w:r>
      <w:r w:rsidR="001D5AD9">
        <w:rPr>
          <w:szCs w:val="22"/>
          <w:lang w:eastAsia="en-GB" w:bidi="ar-SA"/>
        </w:rPr>
        <w:t>3.2</w:t>
      </w:r>
      <w:r>
        <w:rPr>
          <w:szCs w:val="22"/>
          <w:lang w:eastAsia="en-GB" w:bidi="ar-SA"/>
        </w:rPr>
        <w:fldChar w:fldCharType="end"/>
      </w:r>
      <w:r>
        <w:rPr>
          <w:szCs w:val="22"/>
          <w:lang w:eastAsia="en-GB" w:bidi="ar-SA"/>
        </w:rPr>
        <w:t xml:space="preserve"> to </w:t>
      </w:r>
      <w:r>
        <w:rPr>
          <w:szCs w:val="22"/>
          <w:lang w:eastAsia="en-GB" w:bidi="ar-SA"/>
        </w:rPr>
        <w:fldChar w:fldCharType="begin"/>
      </w:r>
      <w:r>
        <w:rPr>
          <w:szCs w:val="22"/>
          <w:lang w:eastAsia="en-GB" w:bidi="ar-SA"/>
        </w:rPr>
        <w:instrText xml:space="preserve"> REF _Ref536542358 \r \h </w:instrText>
      </w:r>
      <w:r>
        <w:rPr>
          <w:szCs w:val="22"/>
          <w:lang w:eastAsia="en-GB" w:bidi="ar-SA"/>
        </w:rPr>
      </w:r>
      <w:r>
        <w:rPr>
          <w:szCs w:val="22"/>
          <w:lang w:eastAsia="en-GB" w:bidi="ar-SA"/>
        </w:rPr>
        <w:fldChar w:fldCharType="separate"/>
      </w:r>
      <w:r w:rsidR="001D5AD9">
        <w:rPr>
          <w:szCs w:val="22"/>
          <w:lang w:eastAsia="en-GB" w:bidi="ar-SA"/>
        </w:rPr>
        <w:t>3.19</w:t>
      </w:r>
      <w:r>
        <w:rPr>
          <w:szCs w:val="22"/>
          <w:lang w:eastAsia="en-GB" w:bidi="ar-SA"/>
        </w:rPr>
        <w:fldChar w:fldCharType="end"/>
      </w:r>
      <w:r>
        <w:rPr>
          <w:szCs w:val="22"/>
          <w:lang w:eastAsia="en-GB" w:bidi="ar-SA"/>
        </w:rPr>
        <w:t>, considering that the Operator has not set an ONC.</w:t>
      </w:r>
    </w:p>
    <w:p w14:paraId="24968B15" w14:textId="18A574D8" w:rsidR="00B97365" w:rsidRDefault="00000000">
      <w:pPr>
        <w:rPr>
          <w:rFonts w:cs="Arial"/>
          <w:szCs w:val="22"/>
          <w:lang w:val="en-US" w:eastAsia="en-GB" w:bidi="ar-SA"/>
        </w:rPr>
      </w:pPr>
      <w:r>
        <w:rPr>
          <w:rFonts w:cs="Arial"/>
          <w:szCs w:val="22"/>
          <w:lang w:val="en-US" w:eastAsia="en-GB" w:bidi="ar-SA"/>
        </w:rPr>
        <w:t xml:space="preserve">The Operator can manage the Operator Notifications Configuration for its own Profiles through a dedicated Operator / SM-SR interface, as described in section 5.7.3 and 5.7.4 or through its Operator / SM-DP interface as described in section </w:t>
      </w:r>
      <w:r>
        <w:rPr>
          <w:rFonts w:cs="Arial"/>
          <w:szCs w:val="22"/>
          <w:lang w:val="en-US" w:eastAsia="en-GB" w:bidi="ar-SA"/>
        </w:rPr>
        <w:fldChar w:fldCharType="begin"/>
      </w:r>
      <w:r>
        <w:rPr>
          <w:rFonts w:cs="Arial"/>
          <w:szCs w:val="22"/>
          <w:lang w:val="en-US" w:eastAsia="en-GB" w:bidi="ar-SA"/>
        </w:rPr>
        <w:instrText xml:space="preserve"> REF _Ref536547875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5.3.18</w:t>
      </w:r>
      <w:r>
        <w:rPr>
          <w:rFonts w:cs="Arial"/>
          <w:szCs w:val="22"/>
          <w:lang w:val="en-US" w:eastAsia="en-GB" w:bidi="ar-SA"/>
        </w:rPr>
        <w:fldChar w:fldCharType="end"/>
      </w:r>
      <w:r>
        <w:rPr>
          <w:rFonts w:cs="Arial"/>
          <w:szCs w:val="22"/>
          <w:lang w:val="en-US" w:eastAsia="en-GB" w:bidi="ar-SA"/>
        </w:rPr>
        <w:t xml:space="preserve"> and </w:t>
      </w:r>
      <w:r>
        <w:rPr>
          <w:rFonts w:cs="Arial"/>
          <w:szCs w:val="22"/>
          <w:lang w:val="en-US" w:eastAsia="en-GB" w:bidi="ar-SA"/>
        </w:rPr>
        <w:fldChar w:fldCharType="begin"/>
      </w:r>
      <w:r>
        <w:rPr>
          <w:rFonts w:cs="Arial"/>
          <w:szCs w:val="22"/>
          <w:lang w:val="en-US" w:eastAsia="en-GB" w:bidi="ar-SA"/>
        </w:rPr>
        <w:instrText xml:space="preserve"> REF _Ref536548077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5.3.19</w:t>
      </w:r>
      <w:r>
        <w:rPr>
          <w:rFonts w:cs="Arial"/>
          <w:szCs w:val="22"/>
          <w:lang w:val="en-US" w:eastAsia="en-GB" w:bidi="ar-SA"/>
        </w:rPr>
        <w:fldChar w:fldCharType="end"/>
      </w:r>
      <w:r>
        <w:rPr>
          <w:rFonts w:cs="Arial"/>
          <w:szCs w:val="22"/>
          <w:lang w:val="en-US" w:eastAsia="en-GB" w:bidi="ar-SA"/>
        </w:rPr>
        <w:t>.</w:t>
      </w:r>
    </w:p>
    <w:p w14:paraId="3E6261EC" w14:textId="77777777" w:rsidR="00B97365" w:rsidRDefault="00000000">
      <w:pPr>
        <w:rPr>
          <w:rFonts w:cs="Arial"/>
          <w:szCs w:val="22"/>
          <w:lang w:val="en-US" w:eastAsia="en-GB" w:bidi="ar-SA"/>
        </w:rPr>
      </w:pPr>
      <w:r>
        <w:rPr>
          <w:rFonts w:cs="Arial"/>
          <w:szCs w:val="22"/>
          <w:lang w:val="en-US" w:eastAsia="en-GB" w:bidi="ar-SA"/>
        </w:rPr>
        <w:t>An ONC is a combination of identifiers and discarded notifications:</w:t>
      </w:r>
    </w:p>
    <w:p w14:paraId="5F53648A" w14:textId="77777777" w:rsidR="00B97365" w:rsidRDefault="00000000">
      <w:pPr>
        <w:numPr>
          <w:ilvl w:val="0"/>
          <w:numId w:val="57"/>
        </w:numPr>
        <w:contextualSpacing/>
        <w:rPr>
          <w:rFonts w:cs="Arial"/>
          <w:szCs w:val="22"/>
          <w:lang w:val="en-US" w:eastAsia="en-GB" w:bidi="ar-SA"/>
        </w:rPr>
      </w:pPr>
      <w:r>
        <w:rPr>
          <w:rFonts w:cs="Arial"/>
          <w:b/>
          <w:szCs w:val="22"/>
          <w:lang w:val="en-US" w:eastAsia="en-GB" w:bidi="ar-SA"/>
        </w:rPr>
        <w:t>Identifiers</w:t>
      </w:r>
      <w:r>
        <w:rPr>
          <w:rFonts w:cs="Arial"/>
          <w:szCs w:val="22"/>
          <w:lang w:val="en-US" w:eastAsia="en-GB" w:bidi="ar-SA"/>
        </w:rPr>
        <w:t xml:space="preserve">: List of identifiers to identify the Operator and Profile Type; see section </w:t>
      </w:r>
      <w:r>
        <w:t xml:space="preserve">5.1.1.2.15 </w:t>
      </w:r>
      <w:r>
        <w:rPr>
          <w:rFonts w:cs="Arial"/>
          <w:szCs w:val="22"/>
          <w:lang w:val="en-US" w:eastAsia="en-GB" w:bidi="ar-SA"/>
        </w:rPr>
        <w:t>for details</w:t>
      </w:r>
    </w:p>
    <w:p w14:paraId="1D44D8C1" w14:textId="77777777" w:rsidR="00B97365" w:rsidRDefault="00B97365">
      <w:pPr>
        <w:spacing w:before="0" w:after="200" w:line="276" w:lineRule="auto"/>
        <w:ind w:left="720"/>
        <w:contextualSpacing/>
        <w:rPr>
          <w:rFonts w:cs="Arial"/>
          <w:szCs w:val="22"/>
          <w:lang w:val="en-US" w:eastAsia="en-GB" w:bidi="ar-SA"/>
        </w:rPr>
      </w:pPr>
    </w:p>
    <w:p w14:paraId="753C16B0" w14:textId="77777777" w:rsidR="00B97365" w:rsidRDefault="00000000">
      <w:pPr>
        <w:numPr>
          <w:ilvl w:val="0"/>
          <w:numId w:val="57"/>
        </w:numPr>
        <w:contextualSpacing/>
        <w:rPr>
          <w:rFonts w:cs="Arial"/>
          <w:szCs w:val="22"/>
          <w:lang w:val="en-US" w:eastAsia="en-GB" w:bidi="ar-SA"/>
        </w:rPr>
      </w:pPr>
      <w:r>
        <w:rPr>
          <w:rFonts w:cs="Arial"/>
          <w:b/>
          <w:szCs w:val="22"/>
          <w:lang w:val="en-US" w:eastAsia="en-GB" w:bidi="ar-SA"/>
        </w:rPr>
        <w:t>Discarded notifications:</w:t>
      </w:r>
      <w:r>
        <w:rPr>
          <w:rFonts w:cs="Arial"/>
          <w:szCs w:val="22"/>
          <w:lang w:val="en-US" w:eastAsia="en-GB" w:bidi="ar-SA"/>
        </w:rPr>
        <w:t xml:space="preserve"> List of notifications which SHALL NOT be sent to the Operator; see section </w:t>
      </w:r>
      <w:r>
        <w:t xml:space="preserve">5.1.1.2.15 </w:t>
      </w:r>
      <w:r>
        <w:rPr>
          <w:rFonts w:cs="Arial"/>
          <w:szCs w:val="22"/>
          <w:lang w:val="en-US" w:eastAsia="en-GB" w:bidi="ar-SA"/>
        </w:rPr>
        <w:t>for details</w:t>
      </w:r>
    </w:p>
    <w:p w14:paraId="1D3F4F1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051" w:name="_Ref536809227"/>
      <w:bookmarkStart w:id="2052" w:name="_Toc1977291"/>
      <w:bookmarkStart w:id="2053" w:name="_Toc37062448"/>
      <w:bookmarkStart w:id="2054" w:name="_Toc88839553"/>
      <w:bookmarkStart w:id="2055" w:name="_Toc121503961"/>
      <w:r>
        <w:rPr>
          <w:rFonts w:eastAsia="Times New Roman" w:cs="Arial"/>
          <w:b/>
          <w:bCs/>
          <w:iCs/>
          <w:sz w:val="24"/>
          <w:szCs w:val="26"/>
          <w:lang w:eastAsia="en-US"/>
        </w:rPr>
        <w:t>Set Operator Notifications Configuration</w:t>
      </w:r>
      <w:bookmarkEnd w:id="2050"/>
      <w:bookmarkEnd w:id="2051"/>
      <w:bookmarkEnd w:id="2052"/>
      <w:bookmarkEnd w:id="2053"/>
      <w:bookmarkEnd w:id="2054"/>
      <w:bookmarkEnd w:id="2055"/>
    </w:p>
    <w:p w14:paraId="20C996E6"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The Set Operator Notification Configuration procedure between the Operator and the SM-SR is used to configure Profile status change notifications received by the Operator for its Profiles; whatever the origin of the status change is. The procedure provides to the SM-SR a </w:t>
      </w:r>
      <w:r>
        <w:rPr>
          <w:rFonts w:cs="Arial"/>
          <w:szCs w:val="22"/>
          <w:lang w:val="en-US" w:eastAsia="en-GB" w:bidi="ar-SA"/>
        </w:rPr>
        <w:t xml:space="preserve">Profile Type </w:t>
      </w:r>
      <w:r>
        <w:rPr>
          <w:rFonts w:cs="Arial"/>
          <w:szCs w:val="22"/>
          <w:lang w:eastAsia="en-GB" w:bidi="ar-SA"/>
        </w:rPr>
        <w:t>and a list of notifications to indicate which notifications SHALL be send to the Operator in case of any Profile status change of the targeted Profile Type.</w:t>
      </w:r>
    </w:p>
    <w:p w14:paraId="70AEA6DB"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r>
      <w:r>
        <w:rPr>
          <w:szCs w:val="22"/>
          <w:lang w:val="en-US" w:eastAsia="en-GB" w:bidi="ar-SA"/>
        </w:rPr>
        <w:t>If no Operator Notification Configuration has yet been set in the SM-SR for a given Profile Type, then the Operator will receive all notifications for status changes for its own Profiles, associated with this Profile Type.</w:t>
      </w:r>
    </w:p>
    <w:p w14:paraId="77440D53" w14:textId="77777777" w:rsidR="00B97365" w:rsidRDefault="00000000">
      <w:pPr>
        <w:spacing w:before="0" w:after="200" w:line="276" w:lineRule="auto"/>
        <w:jc w:val="left"/>
        <w:rPr>
          <w:rFonts w:cs="Arial"/>
          <w:szCs w:val="22"/>
          <w:lang w:eastAsia="en-GB" w:bidi="ar-SA"/>
        </w:rPr>
      </w:pPr>
      <w:r>
        <w:rPr>
          <w:rFonts w:cs="Arial"/>
          <w:szCs w:val="22"/>
          <w:lang w:eastAsia="en-GB" w:bidi="ar-SA"/>
        </w:rPr>
        <w:t>The sequence flow in the figure below describes the procedure.</w:t>
      </w:r>
    </w:p>
    <w:p w14:paraId="08C02D6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4F9A92D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77FF6A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1C9D773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5FF36D3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18B0E67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5585374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2A6311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6CB58C0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BC9D89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5985D51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7E4BD55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E43BD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OP-&gt;&gt;SR: (1) SetONC (identifiers, notifications list)</w:t>
      </w:r>
    </w:p>
    <w:p w14:paraId="47C6C4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2F61F54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5C0B7E5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FFA5F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Failed</w:t>
      </w:r>
    </w:p>
    <w:p w14:paraId="031CEC8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07AA03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Store Operator Notification Configuration</w:t>
      </w:r>
    </w:p>
    <w:p w14:paraId="2066817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782345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(4) SetONC result</w:t>
      </w:r>
    </w:p>
    <w:p w14:paraId="791F21C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3A5F662F" w14:textId="77777777" w:rsidR="00B97365" w:rsidRDefault="00000000">
      <w:pPr>
        <w:rPr>
          <w:rFonts w:cs="Courier New"/>
          <w:noProof/>
          <w:color w:val="008000"/>
          <w:sz w:val="18"/>
        </w:rPr>
      </w:pPr>
      <w:r>
        <w:rPr>
          <w:rFonts w:cs="Courier New"/>
          <w:noProof/>
          <w:color w:val="008000"/>
          <w:sz w:val="18"/>
          <w:lang w:eastAsia="en-GB" w:bidi="ar-SA"/>
        </w:rPr>
        <w:drawing>
          <wp:inline distT="0" distB="0" distL="0" distR="0" wp14:anchorId="155430F8" wp14:editId="59E748C6">
            <wp:extent cx="4676775" cy="2190750"/>
            <wp:effectExtent l="0" t="0" r="9525" b="0"/>
            <wp:docPr id="455" name="Picture 45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
                    <pic:cNvPicPr/>
                  </pic:nvPicPr>
                  <pic:blipFill>
                    <a:blip r:embed="rId81">
                      <a:extLst>
                        <a:ext uri="{28A0092B-C50C-407E-A947-70E740481C1C}">
                          <a14:useLocalDpi xmlns:a14="http://schemas.microsoft.com/office/drawing/2010/main" val="0"/>
                        </a:ext>
                      </a:extLst>
                    </a:blip>
                    <a:stretch>
                      <a:fillRect/>
                    </a:stretch>
                  </pic:blipFill>
                  <pic:spPr>
                    <a:xfrm>
                      <a:off x="0" y="0"/>
                      <a:ext cx="4676775" cy="2190750"/>
                    </a:xfrm>
                    <a:prstGeom prst="rect">
                      <a:avLst/>
                    </a:prstGeom>
                  </pic:spPr>
                </pic:pic>
              </a:graphicData>
            </a:graphic>
          </wp:inline>
        </w:drawing>
      </w:r>
    </w:p>
    <w:p w14:paraId="78DFF29C" w14:textId="77777777" w:rsidR="00B97365" w:rsidRDefault="00000000">
      <w:pPr>
        <w:tabs>
          <w:tab w:val="left" w:pos="1009"/>
        </w:tabs>
        <w:spacing w:before="0" w:after="200" w:line="276" w:lineRule="auto"/>
        <w:ind w:left="360"/>
        <w:jc w:val="center"/>
        <w:rPr>
          <w:rFonts w:cs="Arial"/>
          <w:b/>
          <w:szCs w:val="22"/>
          <w:lang w:val="en-US" w:eastAsia="en-GB" w:bidi="ar-SA"/>
        </w:rPr>
      </w:pPr>
      <w:r>
        <w:rPr>
          <w:rFonts w:cs="Arial"/>
          <w:b/>
          <w:szCs w:val="22"/>
          <w:lang w:val="en-US" w:eastAsia="en-GB" w:bidi="ar-SA"/>
        </w:rPr>
        <w:t>Figure 3211-A: Set Operator Notification Configuration</w:t>
      </w:r>
    </w:p>
    <w:p w14:paraId="426B4D32" w14:textId="77777777" w:rsidR="00B97365" w:rsidRDefault="00B97365">
      <w:pPr>
        <w:tabs>
          <w:tab w:val="left" w:pos="397"/>
          <w:tab w:val="right" w:pos="9015"/>
        </w:tabs>
        <w:spacing w:before="0" w:after="40" w:line="276" w:lineRule="auto"/>
        <w:ind w:left="397" w:right="680" w:hanging="397"/>
        <w:jc w:val="left"/>
        <w:rPr>
          <w:rFonts w:cs="Arial"/>
          <w:noProof/>
          <w:szCs w:val="22"/>
          <w:lang w:val="en-US" w:eastAsia="en-GB" w:bidi="ar-SA"/>
        </w:rPr>
      </w:pPr>
    </w:p>
    <w:p w14:paraId="297D6130"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4A06491A" w14:textId="5FFAD8DB"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6E2F3C0A" w14:textId="77777777" w:rsidR="00B97365" w:rsidRDefault="00B97365">
      <w:pPr>
        <w:tabs>
          <w:tab w:val="left" w:pos="397"/>
          <w:tab w:val="right" w:pos="9015"/>
        </w:tabs>
        <w:spacing w:before="0" w:after="40" w:line="276" w:lineRule="auto"/>
        <w:ind w:right="680"/>
        <w:jc w:val="left"/>
        <w:rPr>
          <w:rFonts w:cs="Arial"/>
          <w:noProof/>
          <w:szCs w:val="22"/>
          <w:lang w:eastAsia="en-GB" w:bidi="ar-SA"/>
        </w:rPr>
      </w:pPr>
    </w:p>
    <w:p w14:paraId="251F446B" w14:textId="77777777" w:rsidR="00B97365" w:rsidRDefault="00000000">
      <w:pPr>
        <w:tabs>
          <w:tab w:val="left" w:pos="397"/>
          <w:tab w:val="right" w:pos="9015"/>
        </w:tabs>
        <w:spacing w:before="0" w:after="40" w:line="276" w:lineRule="auto"/>
        <w:ind w:left="397" w:right="680" w:hanging="397"/>
        <w:jc w:val="left"/>
        <w:rPr>
          <w:rFonts w:cs="Arial"/>
          <w:noProof/>
          <w:szCs w:val="22"/>
          <w:lang w:val="en-US" w:eastAsia="en-GB" w:bidi="ar-SA"/>
        </w:rPr>
      </w:pPr>
      <w:r>
        <w:rPr>
          <w:rFonts w:cs="Arial"/>
          <w:noProof/>
          <w:szCs w:val="22"/>
          <w:lang w:val="en-US" w:eastAsia="en-GB" w:bidi="ar-SA"/>
        </w:rPr>
        <w:t>Procedure:</w:t>
      </w:r>
    </w:p>
    <w:p w14:paraId="3B908F38" w14:textId="7A9A2E08" w:rsidR="00B97365" w:rsidRDefault="00000000">
      <w:pPr>
        <w:numPr>
          <w:ilvl w:val="0"/>
          <w:numId w:val="87"/>
        </w:numPr>
      </w:pPr>
      <w:r>
        <w:t>To set its own Operator Notification Configuration, an Operator SHALL call the “</w:t>
      </w:r>
      <w:r>
        <w:rPr>
          <w:b/>
        </w:rPr>
        <w:t>ES4A.SetONC</w:t>
      </w:r>
      <w:r>
        <w:t xml:space="preserve">” function with its relevant input parameters, in particular the targeted Profile Type and the list of notifications, see in detail section </w:t>
      </w:r>
      <w:r>
        <w:fldChar w:fldCharType="begin"/>
      </w:r>
      <w:r>
        <w:instrText xml:space="preserve"> REF _Ref536546744 \r \h  \* MERGEFORMAT </w:instrText>
      </w:r>
      <w:r>
        <w:fldChar w:fldCharType="separate"/>
      </w:r>
      <w:r w:rsidR="001D5AD9">
        <w:t>5.7.3</w:t>
      </w:r>
      <w:r>
        <w:fldChar w:fldCharType="end"/>
      </w:r>
      <w:r>
        <w:t>.</w:t>
      </w:r>
    </w:p>
    <w:p w14:paraId="33D322B9" w14:textId="700414A1" w:rsidR="00B97365" w:rsidRDefault="00000000">
      <w:pPr>
        <w:numPr>
          <w:ilvl w:val="0"/>
          <w:numId w:val="87"/>
        </w:numPr>
      </w:pPr>
      <w:r>
        <w:t xml:space="preserve">The SM-SR SHALL verify that the Operator request is acceptable (the verifications that the SM-SR SHALL perform are described in the section </w:t>
      </w:r>
      <w:r>
        <w:fldChar w:fldCharType="begin"/>
      </w:r>
      <w:r>
        <w:instrText xml:space="preserve"> REF _Ref536546744 \r \h  \* MERGEFORMAT </w:instrText>
      </w:r>
      <w:r>
        <w:fldChar w:fldCharType="separate"/>
      </w:r>
      <w:r w:rsidR="001D5AD9">
        <w:t>5.7.3</w:t>
      </w:r>
      <w:r>
        <w:fldChar w:fldCharType="end"/>
      </w:r>
      <w:r>
        <w:t>). If any of the conditions to be verified are not satisfied, the SM-SR SHALL return a response indicating the failure, and the procedure SHALL end.</w:t>
      </w:r>
    </w:p>
    <w:p w14:paraId="45E7E2B5" w14:textId="77777777" w:rsidR="00B97365" w:rsidRDefault="00000000">
      <w:pPr>
        <w:numPr>
          <w:ilvl w:val="0"/>
          <w:numId w:val="87"/>
        </w:numPr>
      </w:pPr>
      <w:r>
        <w:t xml:space="preserve">The SM-SR creates and store the Operator Notification Configurations based on the input parameters provided in the function call by the Operator. In case a configuration already exists for the Operator and the targeted Profile Type, the configuration is overwritten with </w:t>
      </w:r>
      <w:r>
        <w:lastRenderedPageBreak/>
        <w:t>the new configuration provided as input parameters and the SM-SR SHALL indicate a success but with warning.</w:t>
      </w:r>
    </w:p>
    <w:p w14:paraId="6BF108E0" w14:textId="77777777" w:rsidR="00B97365" w:rsidRDefault="00000000">
      <w:pPr>
        <w:ind w:left="360"/>
      </w:pPr>
      <w:r>
        <w:t>It SHALL be possible to set the Operator Notification Configurations for a given Profile Type even if this Profile Type is not referenced in an EIS in the SM-SR. In that case, the Operator Notification Configuration referencing this Profile Type SHALL become applicable as soon as the Profile Type reference is added to any EIS and the SM-SR SHALL indicate a success and optionally with warning.</w:t>
      </w:r>
    </w:p>
    <w:p w14:paraId="18EE7263" w14:textId="77777777" w:rsidR="00B97365" w:rsidRDefault="00000000">
      <w:pPr>
        <w:numPr>
          <w:ilvl w:val="0"/>
          <w:numId w:val="87"/>
        </w:numPr>
      </w:pPr>
      <w:r>
        <w:t>The SM-SR SHALL return the response to the “</w:t>
      </w:r>
      <w:r>
        <w:rPr>
          <w:b/>
        </w:rPr>
        <w:t>ES4A.SetONC</w:t>
      </w:r>
      <w:r>
        <w:t>” function to the Operator, indicating that the Notification Configuration has been set.</w:t>
      </w:r>
    </w:p>
    <w:p w14:paraId="0EA700EE" w14:textId="77777777" w:rsidR="00B97365" w:rsidRDefault="00B97365">
      <w:pPr>
        <w:spacing w:before="0" w:after="200" w:line="276" w:lineRule="auto"/>
        <w:jc w:val="left"/>
        <w:rPr>
          <w:szCs w:val="22"/>
          <w:lang w:val="en-US" w:eastAsia="en-US"/>
        </w:rPr>
      </w:pPr>
    </w:p>
    <w:p w14:paraId="37DB7072"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056" w:name="_Toc1977292"/>
      <w:bookmarkStart w:id="2057" w:name="_Toc37062449"/>
      <w:bookmarkStart w:id="2058" w:name="_Toc88839554"/>
      <w:bookmarkStart w:id="2059" w:name="_Toc121503962"/>
      <w:r>
        <w:rPr>
          <w:rFonts w:eastAsia="Times New Roman" w:cs="Arial"/>
          <w:b/>
          <w:bCs/>
          <w:iCs/>
          <w:sz w:val="24"/>
          <w:szCs w:val="26"/>
          <w:lang w:eastAsia="en-US"/>
        </w:rPr>
        <w:t>Set Operator Notifications Configuration via SM-DP</w:t>
      </w:r>
      <w:bookmarkEnd w:id="2056"/>
      <w:bookmarkEnd w:id="2057"/>
      <w:bookmarkEnd w:id="2058"/>
      <w:bookmarkEnd w:id="2059"/>
    </w:p>
    <w:p w14:paraId="787591EA" w14:textId="595C2E80" w:rsidR="00B97365" w:rsidRDefault="00000000">
      <w:pPr>
        <w:spacing w:before="0" w:after="200" w:line="276" w:lineRule="auto"/>
        <w:jc w:val="left"/>
        <w:rPr>
          <w:rFonts w:cs="Arial"/>
          <w:szCs w:val="22"/>
          <w:lang w:eastAsia="en-GB" w:bidi="ar-SA"/>
        </w:rPr>
      </w:pPr>
      <w:r>
        <w:rPr>
          <w:rFonts w:cs="Arial"/>
          <w:szCs w:val="22"/>
          <w:lang w:eastAsia="en-GB" w:bidi="ar-SA"/>
        </w:rPr>
        <w:t xml:space="preserve">The Set Operator Notification Configuration procedure between the Operator and the SM-SR is done through the SM-DP (see GSMA Remote Provisioning Architecture for Embedded UICC [1] section 3.5.15.1). The procedure is initiated by the Operator owning the targeted Profile Type and is similar to the procedure “Set Operator Notification Configuration” described in section </w:t>
      </w:r>
      <w:r>
        <w:rPr>
          <w:rFonts w:cs="Arial"/>
          <w:szCs w:val="22"/>
          <w:lang w:eastAsia="en-GB" w:bidi="ar-SA"/>
        </w:rPr>
        <w:fldChar w:fldCharType="begin"/>
      </w:r>
      <w:r>
        <w:rPr>
          <w:rFonts w:cs="Arial"/>
          <w:szCs w:val="22"/>
          <w:lang w:eastAsia="en-GB" w:bidi="ar-SA"/>
        </w:rPr>
        <w:instrText xml:space="preserve"> REF _Ref536809227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3.21.1</w:t>
      </w:r>
      <w:r>
        <w:rPr>
          <w:rFonts w:cs="Arial"/>
          <w:szCs w:val="22"/>
          <w:lang w:eastAsia="en-GB" w:bidi="ar-SA"/>
        </w:rPr>
        <w:fldChar w:fldCharType="end"/>
      </w:r>
      <w:r>
        <w:rPr>
          <w:rFonts w:cs="Arial"/>
          <w:szCs w:val="22"/>
          <w:lang w:eastAsia="en-GB" w:bidi="ar-SA"/>
        </w:rPr>
        <w:t>.</w:t>
      </w:r>
    </w:p>
    <w:p w14:paraId="516BA94E" w14:textId="77777777" w:rsidR="00B97365" w:rsidRDefault="00000000">
      <w:pPr>
        <w:spacing w:before="0" w:after="200" w:line="276" w:lineRule="auto"/>
        <w:jc w:val="left"/>
        <w:rPr>
          <w:rFonts w:cs="Arial"/>
          <w:szCs w:val="22"/>
          <w:lang w:eastAsia="en-GB" w:bidi="ar-SA"/>
        </w:rPr>
      </w:pPr>
      <w:r>
        <w:rPr>
          <w:rFonts w:cs="Arial"/>
          <w:szCs w:val="22"/>
          <w:lang w:eastAsia="en-GB" w:bidi="ar-SA"/>
        </w:rPr>
        <w:t>The sequence flow in the figure below describes the procedure.</w:t>
      </w:r>
    </w:p>
    <w:p w14:paraId="2A4AF3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18675BC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5038BA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2B479AD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750BCA1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605510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3A63FC7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8D8428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0B7D403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F1430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249C42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19AB3B7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5913F40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D84ACA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OP-&gt;&gt;DP: (1) SetONC (identifiers, notifications list)</w:t>
      </w:r>
    </w:p>
    <w:p w14:paraId="15E101F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(2) SetONC(identifiers, notifications list)</w:t>
      </w:r>
    </w:p>
    <w:p w14:paraId="74149B6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559B576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Check initial conditions</w:t>
      </w:r>
    </w:p>
    <w:p w14:paraId="4374C3E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18BC18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198BCDE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Failed</w:t>
      </w:r>
    </w:p>
    <w:p w14:paraId="2367E9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6470A7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Store Operator Notification Configuration</w:t>
      </w:r>
    </w:p>
    <w:p w14:paraId="50C5406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A45002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(5) SetONC result</w:t>
      </w:r>
    </w:p>
    <w:p w14:paraId="04244D6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(6) SetONC result</w:t>
      </w:r>
    </w:p>
    <w:p w14:paraId="7FBA7C2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303AABAE" w14:textId="77777777" w:rsidR="00B97365" w:rsidRDefault="00000000">
      <w:pPr>
        <w:rPr>
          <w:rFonts w:cs="Courier New"/>
          <w:noProof/>
          <w:color w:val="008000"/>
          <w:sz w:val="18"/>
        </w:rPr>
      </w:pPr>
      <w:r>
        <w:rPr>
          <w:rFonts w:cs="Courier New"/>
          <w:noProof/>
          <w:color w:val="008000"/>
          <w:sz w:val="18"/>
          <w:lang w:eastAsia="en-GB" w:bidi="ar-SA"/>
        </w:rPr>
        <w:drawing>
          <wp:inline distT="0" distB="0" distL="0" distR="0" wp14:anchorId="18DFB3FE" wp14:editId="5908C581">
            <wp:extent cx="5731510" cy="2476198"/>
            <wp:effectExtent l="0" t="0" r="2540" b="635"/>
            <wp:docPr id="454" name="Picture 45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
                    <pic:cNvPicPr/>
                  </pic:nvPicPr>
                  <pic:blipFill>
                    <a:blip r:embed="rId82">
                      <a:extLst>
                        <a:ext uri="{28A0092B-C50C-407E-A947-70E740481C1C}">
                          <a14:useLocalDpi xmlns:a14="http://schemas.microsoft.com/office/drawing/2010/main" val="0"/>
                        </a:ext>
                      </a:extLst>
                    </a:blip>
                    <a:stretch>
                      <a:fillRect/>
                    </a:stretch>
                  </pic:blipFill>
                  <pic:spPr>
                    <a:xfrm>
                      <a:off x="0" y="0"/>
                      <a:ext cx="5731510" cy="2476198"/>
                    </a:xfrm>
                    <a:prstGeom prst="rect">
                      <a:avLst/>
                    </a:prstGeom>
                  </pic:spPr>
                </pic:pic>
              </a:graphicData>
            </a:graphic>
          </wp:inline>
        </w:drawing>
      </w:r>
    </w:p>
    <w:p w14:paraId="55D90A40" w14:textId="77777777" w:rsidR="00B97365" w:rsidRDefault="00B97365">
      <w:pPr>
        <w:jc w:val="center"/>
        <w:rPr>
          <w:rFonts w:cs="Arial"/>
          <w:sz w:val="20"/>
        </w:rPr>
      </w:pPr>
    </w:p>
    <w:p w14:paraId="026B2381"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Set Operator Notification Configuration via SM-DP</w:t>
      </w:r>
    </w:p>
    <w:p w14:paraId="633DAEB4" w14:textId="77777777" w:rsidR="00B97365" w:rsidRDefault="00B97365">
      <w:pPr>
        <w:tabs>
          <w:tab w:val="left" w:pos="397"/>
          <w:tab w:val="right" w:pos="9015"/>
        </w:tabs>
        <w:spacing w:before="0" w:after="40" w:line="276" w:lineRule="auto"/>
        <w:ind w:left="397" w:right="680" w:hanging="397"/>
        <w:jc w:val="left"/>
        <w:rPr>
          <w:rFonts w:cs="Arial"/>
          <w:noProof/>
          <w:szCs w:val="22"/>
          <w:lang w:val="en-US" w:eastAsia="en-GB" w:bidi="ar-SA"/>
        </w:rPr>
      </w:pPr>
    </w:p>
    <w:p w14:paraId="50641AFD"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2B6C4676" w14:textId="441CD4EB"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73D7DB94" w14:textId="77777777" w:rsidR="00B97365" w:rsidRDefault="00B97365">
      <w:pPr>
        <w:tabs>
          <w:tab w:val="left" w:pos="397"/>
          <w:tab w:val="right" w:pos="9015"/>
        </w:tabs>
        <w:spacing w:before="0" w:after="40" w:line="276" w:lineRule="auto"/>
        <w:ind w:left="397" w:right="680" w:hanging="397"/>
        <w:jc w:val="left"/>
        <w:rPr>
          <w:rFonts w:cs="Arial"/>
          <w:noProof/>
          <w:szCs w:val="22"/>
          <w:lang w:val="en-US" w:eastAsia="en-GB" w:bidi="ar-SA"/>
        </w:rPr>
      </w:pPr>
    </w:p>
    <w:p w14:paraId="3B0FBE3E" w14:textId="77777777" w:rsidR="00B97365" w:rsidRDefault="00000000">
      <w:pPr>
        <w:tabs>
          <w:tab w:val="left" w:pos="397"/>
          <w:tab w:val="right" w:pos="9015"/>
        </w:tabs>
        <w:spacing w:before="0" w:after="40" w:line="276" w:lineRule="auto"/>
        <w:ind w:left="397" w:right="680" w:hanging="397"/>
        <w:jc w:val="left"/>
        <w:rPr>
          <w:rFonts w:cs="Arial"/>
          <w:b/>
          <w:noProof/>
          <w:szCs w:val="22"/>
          <w:lang w:val="en-US" w:eastAsia="en-GB" w:bidi="ar-SA"/>
        </w:rPr>
      </w:pPr>
      <w:r>
        <w:rPr>
          <w:rFonts w:cs="Arial"/>
          <w:b/>
          <w:noProof/>
          <w:szCs w:val="22"/>
          <w:lang w:val="en-US" w:eastAsia="en-GB" w:bidi="ar-SA"/>
        </w:rPr>
        <w:t>Procedure:</w:t>
      </w:r>
    </w:p>
    <w:p w14:paraId="66022591" w14:textId="0E0960DA" w:rsidR="00B97365" w:rsidRDefault="00000000">
      <w:pPr>
        <w:numPr>
          <w:ilvl w:val="0"/>
          <w:numId w:val="58"/>
        </w:numPr>
      </w:pPr>
      <w:r>
        <w:t xml:space="preserve">To set its own Operator Notification Configuration, an Operator SHALL call the </w:t>
      </w:r>
      <w:r>
        <w:rPr>
          <w:b/>
        </w:rPr>
        <w:t>“ES2.SetONC”</w:t>
      </w:r>
      <w:r>
        <w:t xml:space="preserve"> function of its SM-DP with its relevant input parameters, in particular the targeted Profile Type and the list of notifications, see in detail section </w:t>
      </w:r>
      <w:r>
        <w:fldChar w:fldCharType="begin"/>
      </w:r>
      <w:r>
        <w:instrText xml:space="preserve"> REF _Ref536547875 \r \h </w:instrText>
      </w:r>
      <w:r>
        <w:fldChar w:fldCharType="separate"/>
      </w:r>
      <w:r w:rsidR="001D5AD9">
        <w:t>5.3.18</w:t>
      </w:r>
      <w:r>
        <w:fldChar w:fldCharType="end"/>
      </w:r>
      <w:r>
        <w:t>.</w:t>
      </w:r>
    </w:p>
    <w:p w14:paraId="7B680BBB" w14:textId="77777777" w:rsidR="00B97365" w:rsidRDefault="00000000">
      <w:pPr>
        <w:numPr>
          <w:ilvl w:val="0"/>
          <w:numId w:val="58"/>
        </w:numPr>
      </w:pPr>
      <w:r>
        <w:lastRenderedPageBreak/>
        <w:t xml:space="preserve">The SM-DP SHALL forward the request to the SM-SR identified by the Operator and SHALL call the </w:t>
      </w:r>
      <w:r>
        <w:rPr>
          <w:b/>
        </w:rPr>
        <w:t xml:space="preserve">“ES3.SetONC” </w:t>
      </w:r>
      <w:r>
        <w:t xml:space="preserve">function with its relevant input data. </w:t>
      </w:r>
    </w:p>
    <w:p w14:paraId="6196FFE4" w14:textId="48A9B475" w:rsidR="00B97365" w:rsidRDefault="00000000">
      <w:pPr>
        <w:numPr>
          <w:ilvl w:val="0"/>
          <w:numId w:val="58"/>
        </w:numPr>
      </w:pPr>
      <w:r>
        <w:t xml:space="preserve">The SM-SR SHALL verify that the Operator request is acceptable (the verifications that the SM-SR SHALL perform are described in the section </w:t>
      </w:r>
      <w:r>
        <w:fldChar w:fldCharType="begin"/>
      </w:r>
      <w:r>
        <w:instrText xml:space="preserve"> REF _Ref536547875 \r \h </w:instrText>
      </w:r>
      <w:r>
        <w:fldChar w:fldCharType="separate"/>
      </w:r>
      <w:r w:rsidR="001D5AD9">
        <w:t>5.3.18</w:t>
      </w:r>
      <w:r>
        <w:fldChar w:fldCharType="end"/>
      </w:r>
      <w:r>
        <w:t>). If any of the conditions to be verified are not satisfied, the SM-SR SHALL return a response indicating the failure, and the procedure SHALL end.</w:t>
      </w:r>
    </w:p>
    <w:p w14:paraId="78E3AA83" w14:textId="77777777" w:rsidR="00B97365" w:rsidRDefault="00000000">
      <w:pPr>
        <w:numPr>
          <w:ilvl w:val="0"/>
          <w:numId w:val="58"/>
        </w:numPr>
      </w:pPr>
      <w:r>
        <w:t>The SM-SR creates and store the Operator Notification Configurations based on the input parameters provided in the function call by the Operator. In case a configuration already exists for the Operator and the targeted Profile Type, the configuration is overwritten with the new configuration provided as input parameters and the SM-SR SHALL indicate a success but with warning.</w:t>
      </w:r>
    </w:p>
    <w:p w14:paraId="511157E1" w14:textId="77777777" w:rsidR="00B97365" w:rsidRDefault="00000000">
      <w:pPr>
        <w:tabs>
          <w:tab w:val="left" w:pos="397"/>
          <w:tab w:val="right" w:pos="9015"/>
        </w:tabs>
        <w:spacing w:before="0" w:after="40" w:line="276" w:lineRule="auto"/>
        <w:ind w:left="311" w:right="680"/>
        <w:jc w:val="left"/>
        <w:rPr>
          <w:rFonts w:cs="Arial"/>
          <w:noProof/>
          <w:szCs w:val="22"/>
          <w:lang w:val="en-US" w:eastAsia="en-GB" w:bidi="ar-SA"/>
        </w:rPr>
      </w:pPr>
      <w:r>
        <w:rPr>
          <w:rFonts w:cs="Arial"/>
          <w:noProof/>
          <w:szCs w:val="22"/>
          <w:lang w:val="en-US" w:eastAsia="en-GB" w:bidi="ar-SA"/>
        </w:rPr>
        <w:t>It SHALL be possible to set the Operator Notification Configurations for a given Profile Type even if this Profile Type is not referenced in an EIS in the SM-SR. In that case, the Operator Notification Configuration referencing this Profile Type SHALL become applicable as soon as the Profile Type reference is added to any EIS and the SM-SR SHALL indicate a success and optionally with warning.</w:t>
      </w:r>
    </w:p>
    <w:p w14:paraId="216528FC" w14:textId="77777777" w:rsidR="00B97365" w:rsidRDefault="00000000">
      <w:pPr>
        <w:numPr>
          <w:ilvl w:val="0"/>
          <w:numId w:val="58"/>
        </w:numPr>
      </w:pPr>
      <w:r>
        <w:rPr>
          <w:szCs w:val="22"/>
        </w:rPr>
        <w:t>The SM-SR SHALL return the response to the “</w:t>
      </w:r>
      <w:r>
        <w:rPr>
          <w:b/>
        </w:rPr>
        <w:t>ES3.SetONC</w:t>
      </w:r>
      <w:r>
        <w:rPr>
          <w:b/>
          <w:bCs/>
          <w:szCs w:val="22"/>
        </w:rPr>
        <w:t xml:space="preserve">” </w:t>
      </w:r>
      <w:r>
        <w:rPr>
          <w:szCs w:val="22"/>
        </w:rPr>
        <w:t xml:space="preserve">function to the SM-DP, indicating that the </w:t>
      </w:r>
      <w:r>
        <w:t xml:space="preserve">Notification Configuration </w:t>
      </w:r>
      <w:r>
        <w:rPr>
          <w:szCs w:val="22"/>
        </w:rPr>
        <w:t>has been set.</w:t>
      </w:r>
    </w:p>
    <w:p w14:paraId="40E201A5" w14:textId="77777777" w:rsidR="00B97365" w:rsidRDefault="00000000">
      <w:pPr>
        <w:numPr>
          <w:ilvl w:val="0"/>
          <w:numId w:val="58"/>
        </w:numPr>
        <w:rPr>
          <w:lang w:eastAsia="en-US"/>
        </w:rPr>
      </w:pPr>
      <w:r>
        <w:rPr>
          <w:szCs w:val="22"/>
        </w:rPr>
        <w:t>Finally, the SM-DP SHALL return the response to the “</w:t>
      </w:r>
      <w:r>
        <w:rPr>
          <w:b/>
        </w:rPr>
        <w:t>ES2.SetONC</w:t>
      </w:r>
      <w:r>
        <w:rPr>
          <w:szCs w:val="22"/>
        </w:rPr>
        <w:t>” function call to the Operator.</w:t>
      </w:r>
    </w:p>
    <w:p w14:paraId="3965F65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060" w:name="_Toc37062450"/>
      <w:bookmarkStart w:id="2061" w:name="_Toc88839555"/>
      <w:bookmarkStart w:id="2062" w:name="_Toc121503963"/>
      <w:bookmarkStart w:id="2063" w:name="_Toc1977293"/>
      <w:r>
        <w:rPr>
          <w:rFonts w:eastAsia="Times New Roman" w:cs="Arial"/>
          <w:b/>
          <w:bCs/>
          <w:iCs/>
          <w:sz w:val="24"/>
          <w:szCs w:val="26"/>
          <w:lang w:eastAsia="en-US"/>
        </w:rPr>
        <w:t>Retrieve Operator Notifications Configuration</w:t>
      </w:r>
      <w:bookmarkEnd w:id="2060"/>
      <w:bookmarkEnd w:id="2061"/>
      <w:bookmarkEnd w:id="2062"/>
      <w:r>
        <w:rPr>
          <w:rFonts w:eastAsia="Times New Roman" w:cs="Arial"/>
          <w:b/>
          <w:bCs/>
          <w:iCs/>
          <w:sz w:val="24"/>
          <w:szCs w:val="26"/>
          <w:lang w:eastAsia="en-US"/>
        </w:rPr>
        <w:t xml:space="preserve"> </w:t>
      </w:r>
      <w:bookmarkEnd w:id="2063"/>
    </w:p>
    <w:p w14:paraId="17A7B0C3" w14:textId="1A6D542B" w:rsidR="00B97365" w:rsidRDefault="00000000">
      <w:pPr>
        <w:spacing w:before="0" w:after="200" w:line="276" w:lineRule="auto"/>
        <w:jc w:val="left"/>
        <w:rPr>
          <w:szCs w:val="22"/>
          <w:lang w:eastAsia="en-GB" w:bidi="ar-SA"/>
        </w:rPr>
      </w:pPr>
      <w:r>
        <w:rPr>
          <w:rFonts w:cs="Arial"/>
          <w:szCs w:val="22"/>
          <w:lang w:eastAsia="en-GB" w:bidi="ar-SA"/>
        </w:rPr>
        <w:t xml:space="preserve">The Retrieve Operator Notification Configuration procedure between the Operator and the SM-SR is used to retrieve the list of notifications an Operator would like not to receive for a dedicated Operator owned Profile Type (see GSMA Remote Provisioning Architecture for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 xml:space="preserve"> section 3.5.15)</w:t>
      </w:r>
      <w:r>
        <w:rPr>
          <w:rFonts w:cs="Arial"/>
          <w:szCs w:val="22"/>
          <w:lang w:eastAsia="en-GB" w:bidi="ar-SA"/>
        </w:rPr>
        <w:t xml:space="preserve">. </w:t>
      </w:r>
      <w:r>
        <w:rPr>
          <w:szCs w:val="22"/>
          <w:lang w:eastAsia="en-GB" w:bidi="ar-SA"/>
        </w:rPr>
        <w:t>The result of the function call provides back the discarded notifications based on the provided input parameters.</w:t>
      </w:r>
    </w:p>
    <w:p w14:paraId="1734DDD1" w14:textId="77777777" w:rsidR="00B97365" w:rsidRDefault="00000000">
      <w:pPr>
        <w:tabs>
          <w:tab w:val="left" w:pos="1560"/>
        </w:tabs>
        <w:spacing w:before="0" w:after="200" w:line="276" w:lineRule="auto"/>
        <w:ind w:left="1559" w:hanging="1202"/>
        <w:jc w:val="left"/>
        <w:rPr>
          <w:szCs w:val="22"/>
          <w:lang w:eastAsia="en-GB" w:bidi="ar-SA"/>
        </w:rPr>
      </w:pPr>
      <w:r>
        <w:rPr>
          <w:rFonts w:cs="Arial"/>
          <w:szCs w:val="22"/>
          <w:lang w:eastAsia="en-GB" w:bidi="ar-SA"/>
        </w:rPr>
        <w:t>NOTE:</w:t>
      </w:r>
      <w:r>
        <w:rPr>
          <w:rFonts w:cs="Arial"/>
          <w:szCs w:val="22"/>
          <w:lang w:eastAsia="en-GB" w:bidi="ar-SA"/>
        </w:rPr>
        <w:tab/>
      </w:r>
      <w:r>
        <w:rPr>
          <w:szCs w:val="22"/>
          <w:lang w:eastAsia="en-GB" w:bidi="ar-SA"/>
        </w:rPr>
        <w:t>If no Operator Notification Configuration has yet been set in the SM-SR for a given Profile Type, then the output data of this function will return an empty result, as all notifications will be sent for Profiles assigned with this Profile Type, see also section 5.7.4 for details.</w:t>
      </w:r>
    </w:p>
    <w:p w14:paraId="622E5E82" w14:textId="77777777" w:rsidR="00B97365" w:rsidRDefault="00000000">
      <w:pPr>
        <w:spacing w:before="0" w:after="200" w:line="276" w:lineRule="auto"/>
        <w:jc w:val="left"/>
        <w:rPr>
          <w:rFonts w:cs="Arial"/>
          <w:szCs w:val="22"/>
          <w:lang w:eastAsia="en-GB" w:bidi="ar-SA"/>
        </w:rPr>
      </w:pPr>
      <w:r>
        <w:rPr>
          <w:rFonts w:cs="Arial"/>
          <w:szCs w:val="22"/>
          <w:lang w:eastAsia="en-GB" w:bidi="ar-SA"/>
        </w:rPr>
        <w:t>The sequence flow in the figure below describes the procedure.</w:t>
      </w:r>
    </w:p>
    <w:p w14:paraId="27EC9B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3B0E153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265197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2322A22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02B25F4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0FFCC18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6E989F5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02510B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58FFF78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EC8D4C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2997E07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428AE69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5BDBD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OP-&gt;&gt;SR: (1) GetONC (identifiers, notifications list)</w:t>
      </w:r>
    </w:p>
    <w:p w14:paraId="3B0A4F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1587697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initial conditions</w:t>
      </w:r>
    </w:p>
    <w:p w14:paraId="06E58F2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FB0FF3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Failed</w:t>
      </w:r>
    </w:p>
    <w:p w14:paraId="343ACD9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4EEE356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Retrieve Operator Notification Configuration</w:t>
      </w:r>
    </w:p>
    <w:p w14:paraId="2383B3E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E9A0FB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(4) GetONC result</w:t>
      </w:r>
    </w:p>
    <w:p w14:paraId="475ACFE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01E6AFA2" w14:textId="77777777" w:rsidR="00B97365" w:rsidRDefault="00000000">
      <w:pPr>
        <w:rPr>
          <w:rFonts w:cs="Courier New"/>
          <w:noProof/>
          <w:color w:val="008000"/>
          <w:sz w:val="18"/>
          <w:lang w:eastAsia="en-US"/>
        </w:rPr>
      </w:pPr>
      <w:r>
        <w:rPr>
          <w:rFonts w:cs="Courier New"/>
          <w:noProof/>
          <w:color w:val="008000"/>
          <w:sz w:val="18"/>
          <w:lang w:eastAsia="en-GB" w:bidi="ar-SA"/>
        </w:rPr>
        <w:drawing>
          <wp:inline distT="0" distB="0" distL="0" distR="0" wp14:anchorId="408DC27A" wp14:editId="196A8948">
            <wp:extent cx="4752975" cy="2190750"/>
            <wp:effectExtent l="0" t="0" r="9525" b="0"/>
            <wp:docPr id="453" name="Picture 45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
                    <pic:cNvPicPr/>
                  </pic:nvPicPr>
                  <pic:blipFill>
                    <a:blip r:embed="rId83">
                      <a:extLst>
                        <a:ext uri="{28A0092B-C50C-407E-A947-70E740481C1C}">
                          <a14:useLocalDpi xmlns:a14="http://schemas.microsoft.com/office/drawing/2010/main" val="0"/>
                        </a:ext>
                      </a:extLst>
                    </a:blip>
                    <a:stretch>
                      <a:fillRect/>
                    </a:stretch>
                  </pic:blipFill>
                  <pic:spPr>
                    <a:xfrm>
                      <a:off x="0" y="0"/>
                      <a:ext cx="4752975" cy="2190750"/>
                    </a:xfrm>
                    <a:prstGeom prst="rect">
                      <a:avLst/>
                    </a:prstGeom>
                  </pic:spPr>
                </pic:pic>
              </a:graphicData>
            </a:graphic>
          </wp:inline>
        </w:drawing>
      </w:r>
    </w:p>
    <w:p w14:paraId="09EC7DBF"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Retrieve Operator Notification Configuration</w:t>
      </w:r>
    </w:p>
    <w:p w14:paraId="50A0BC17"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415C9590" w14:textId="6FAAE438"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17E2905A" w14:textId="77777777" w:rsidR="00B97365" w:rsidRDefault="00B97365">
      <w:pPr>
        <w:spacing w:before="0" w:after="200" w:line="276" w:lineRule="auto"/>
        <w:jc w:val="left"/>
        <w:rPr>
          <w:szCs w:val="22"/>
          <w:lang w:eastAsia="en-US"/>
        </w:rPr>
      </w:pPr>
    </w:p>
    <w:p w14:paraId="69C89AC5" w14:textId="77777777" w:rsidR="00B97365" w:rsidRDefault="00000000">
      <w:pPr>
        <w:spacing w:before="0" w:after="200" w:line="276" w:lineRule="auto"/>
        <w:jc w:val="left"/>
        <w:rPr>
          <w:b/>
          <w:szCs w:val="22"/>
          <w:u w:val="single"/>
          <w:lang w:eastAsia="en-US"/>
        </w:rPr>
      </w:pPr>
      <w:r>
        <w:rPr>
          <w:b/>
          <w:szCs w:val="22"/>
          <w:u w:val="single"/>
          <w:lang w:eastAsia="en-US"/>
        </w:rPr>
        <w:t>Procedure:</w:t>
      </w:r>
    </w:p>
    <w:p w14:paraId="4FE65BBF" w14:textId="115FEEB2" w:rsidR="00B97365" w:rsidRDefault="00000000">
      <w:pPr>
        <w:numPr>
          <w:ilvl w:val="0"/>
          <w:numId w:val="59"/>
        </w:numPr>
        <w:rPr>
          <w:szCs w:val="22"/>
        </w:rPr>
      </w:pPr>
      <w:r>
        <w:rPr>
          <w:szCs w:val="22"/>
        </w:rPr>
        <w:t xml:space="preserve">To retrieve the Operator Notifications Configuration list, an Operator SHALL call the </w:t>
      </w:r>
      <w:r>
        <w:rPr>
          <w:b/>
          <w:szCs w:val="22"/>
        </w:rPr>
        <w:t>“ES4A.GetONC”</w:t>
      </w:r>
      <w:r>
        <w:rPr>
          <w:szCs w:val="22"/>
        </w:rPr>
        <w:t xml:space="preserve"> function with its relevant input parameters, see section </w:t>
      </w:r>
      <w:r>
        <w:rPr>
          <w:szCs w:val="22"/>
        </w:rPr>
        <w:fldChar w:fldCharType="begin"/>
      </w:r>
      <w:r>
        <w:rPr>
          <w:szCs w:val="22"/>
        </w:rPr>
        <w:instrText xml:space="preserve"> REF _Ref536547022 \r \h </w:instrText>
      </w:r>
      <w:r>
        <w:rPr>
          <w:szCs w:val="22"/>
        </w:rPr>
      </w:r>
      <w:r>
        <w:rPr>
          <w:szCs w:val="22"/>
        </w:rPr>
        <w:fldChar w:fldCharType="separate"/>
      </w:r>
      <w:r w:rsidR="001D5AD9">
        <w:rPr>
          <w:szCs w:val="22"/>
        </w:rPr>
        <w:t>5.7.4</w:t>
      </w:r>
      <w:r>
        <w:rPr>
          <w:szCs w:val="22"/>
        </w:rPr>
        <w:fldChar w:fldCharType="end"/>
      </w:r>
      <w:r>
        <w:rPr>
          <w:szCs w:val="22"/>
        </w:rPr>
        <w:t xml:space="preserve">. </w:t>
      </w:r>
    </w:p>
    <w:p w14:paraId="535A829B" w14:textId="5CCFB068" w:rsidR="00B97365" w:rsidRDefault="00000000">
      <w:pPr>
        <w:numPr>
          <w:ilvl w:val="0"/>
          <w:numId w:val="59"/>
        </w:numPr>
        <w:rPr>
          <w:szCs w:val="22"/>
        </w:rPr>
      </w:pPr>
      <w:r>
        <w:rPr>
          <w:szCs w:val="22"/>
        </w:rPr>
        <w:t xml:space="preserve">The SM-SR SHALL verify that the Operator request is acceptable (the verifications that the SM-SR SHALL perform are described in the section </w:t>
      </w:r>
      <w:r>
        <w:rPr>
          <w:szCs w:val="22"/>
        </w:rPr>
        <w:fldChar w:fldCharType="begin"/>
      </w:r>
      <w:r>
        <w:rPr>
          <w:szCs w:val="22"/>
        </w:rPr>
        <w:instrText xml:space="preserve"> REF _Ref536547022 \r \h </w:instrText>
      </w:r>
      <w:r>
        <w:rPr>
          <w:szCs w:val="22"/>
        </w:rPr>
      </w:r>
      <w:r>
        <w:rPr>
          <w:szCs w:val="22"/>
        </w:rPr>
        <w:fldChar w:fldCharType="separate"/>
      </w:r>
      <w:r w:rsidR="001D5AD9">
        <w:rPr>
          <w:szCs w:val="22"/>
        </w:rPr>
        <w:t>5.7.4</w:t>
      </w:r>
      <w:r>
        <w:rPr>
          <w:szCs w:val="22"/>
        </w:rPr>
        <w:fldChar w:fldCharType="end"/>
      </w:r>
      <w:r>
        <w:rPr>
          <w:szCs w:val="22"/>
        </w:rPr>
        <w:t>), and in particular checks that the function caller is the Operator owning the targeted Profile Type. If any of the conditions to be verified are not satisfied, the SM-SR SHALL return a response indicating the failure, and the procedure SHALL end.</w:t>
      </w:r>
    </w:p>
    <w:p w14:paraId="52515471" w14:textId="77777777" w:rsidR="00B97365" w:rsidRDefault="00000000">
      <w:pPr>
        <w:numPr>
          <w:ilvl w:val="0"/>
          <w:numId w:val="59"/>
        </w:numPr>
        <w:rPr>
          <w:szCs w:val="22"/>
        </w:rPr>
      </w:pPr>
      <w:r>
        <w:rPr>
          <w:szCs w:val="22"/>
        </w:rPr>
        <w:t xml:space="preserve">The SM-SR retrieves the list of Operator Notifications Configuration matching with the identifiers set as input parameters by the Operator. In case no ONC exists for the provided identifier, the SM-SR SHALL return an empty result.  </w:t>
      </w:r>
    </w:p>
    <w:p w14:paraId="15214E9E" w14:textId="77777777" w:rsidR="00B97365" w:rsidRDefault="00000000">
      <w:pPr>
        <w:numPr>
          <w:ilvl w:val="0"/>
          <w:numId w:val="59"/>
        </w:numPr>
      </w:pPr>
      <w:r>
        <w:rPr>
          <w:szCs w:val="22"/>
        </w:rPr>
        <w:lastRenderedPageBreak/>
        <w:t xml:space="preserve">The SM-SR SHALL return the response to the </w:t>
      </w:r>
      <w:r>
        <w:rPr>
          <w:b/>
          <w:szCs w:val="22"/>
        </w:rPr>
        <w:t>“ES4.GetONC”</w:t>
      </w:r>
      <w:r>
        <w:rPr>
          <w:szCs w:val="22"/>
        </w:rPr>
        <w:t xml:space="preserve"> function call to the Operator, indicating the list of notifications for the targeted profile.</w:t>
      </w:r>
    </w:p>
    <w:p w14:paraId="39D1B587" w14:textId="77777777" w:rsidR="00B97365" w:rsidRDefault="00B97365">
      <w:pPr>
        <w:spacing w:before="0" w:after="200" w:line="276" w:lineRule="auto"/>
        <w:jc w:val="left"/>
        <w:rPr>
          <w:szCs w:val="22"/>
          <w:lang w:eastAsia="en-US"/>
        </w:rPr>
      </w:pPr>
    </w:p>
    <w:p w14:paraId="3D2DC36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064" w:name="_Toc1977294"/>
      <w:bookmarkStart w:id="2065" w:name="_Toc37062451"/>
      <w:bookmarkStart w:id="2066" w:name="_Toc88839556"/>
      <w:bookmarkStart w:id="2067" w:name="_Toc121503964"/>
      <w:r>
        <w:rPr>
          <w:rFonts w:eastAsia="Times New Roman" w:cs="Arial"/>
          <w:b/>
          <w:bCs/>
          <w:iCs/>
          <w:sz w:val="24"/>
          <w:szCs w:val="26"/>
          <w:lang w:eastAsia="en-US"/>
        </w:rPr>
        <w:t>Retrieve Operator Notifications Configuration via SM-DP</w:t>
      </w:r>
      <w:bookmarkEnd w:id="2064"/>
      <w:bookmarkEnd w:id="2065"/>
      <w:bookmarkEnd w:id="2066"/>
      <w:bookmarkEnd w:id="2067"/>
    </w:p>
    <w:p w14:paraId="1FAD10B8" w14:textId="77777777" w:rsidR="00B97365" w:rsidRDefault="00000000">
      <w:pPr>
        <w:spacing w:before="0" w:after="200" w:line="276" w:lineRule="auto"/>
        <w:jc w:val="left"/>
        <w:rPr>
          <w:szCs w:val="22"/>
          <w:lang w:eastAsia="en-GB" w:bidi="ar-SA"/>
        </w:rPr>
      </w:pPr>
      <w:r>
        <w:rPr>
          <w:rFonts w:cs="Arial"/>
          <w:szCs w:val="22"/>
          <w:lang w:eastAsia="en-GB" w:bidi="ar-SA"/>
        </w:rPr>
        <w:t xml:space="preserve">The Retrieve Operator Notification Configuration procedure between the Operator and the SM-SR is done through the SM-DP (see GSMA Remote Provisioning Architecture for Embedded UICC [1] section 3.5.15.1). The procedure is initiated by the Operator owning the targeted Profile Type and is similar to the procedure “Retrieve Operator Notification Configuration” described in section 3.21.1. </w:t>
      </w:r>
      <w:r>
        <w:rPr>
          <w:szCs w:val="22"/>
          <w:lang w:eastAsia="en-GB" w:bidi="ar-SA"/>
        </w:rPr>
        <w:t>The result of the function call provides back the discarded notifications based on the provided input parameters.</w:t>
      </w:r>
    </w:p>
    <w:p w14:paraId="4D672A53" w14:textId="35919348" w:rsidR="00B97365" w:rsidRDefault="00000000">
      <w:pPr>
        <w:tabs>
          <w:tab w:val="left" w:pos="1560"/>
        </w:tabs>
        <w:spacing w:before="0" w:after="200" w:line="276" w:lineRule="auto"/>
        <w:ind w:left="1559" w:hanging="1202"/>
        <w:jc w:val="left"/>
        <w:rPr>
          <w:rFonts w:cs="Arial"/>
          <w:szCs w:val="22"/>
          <w:lang w:eastAsia="en-GB" w:bidi="ar-SA"/>
        </w:rPr>
      </w:pPr>
      <w:r>
        <w:rPr>
          <w:rFonts w:cs="Arial"/>
          <w:szCs w:val="22"/>
          <w:lang w:eastAsia="en-GB" w:bidi="ar-SA"/>
        </w:rPr>
        <w:t>NOTE:</w:t>
      </w:r>
      <w:r>
        <w:rPr>
          <w:rFonts w:cs="Arial"/>
          <w:szCs w:val="22"/>
          <w:lang w:eastAsia="en-GB" w:bidi="ar-SA"/>
        </w:rPr>
        <w:tab/>
      </w:r>
      <w:r>
        <w:rPr>
          <w:szCs w:val="22"/>
          <w:lang w:eastAsia="en-GB" w:bidi="ar-SA"/>
        </w:rPr>
        <w:t xml:space="preserve">If no Operator Notification Configuration has yet been set in the SM-SR for a given Profile Type, then the output data of this function will return an empty result, as all notifications will be sent for Profiles assigned with this Profile Type, see also section </w:t>
      </w:r>
      <w:r>
        <w:rPr>
          <w:szCs w:val="22"/>
          <w:lang w:eastAsia="en-GB" w:bidi="ar-SA"/>
        </w:rPr>
        <w:fldChar w:fldCharType="begin"/>
      </w:r>
      <w:r>
        <w:rPr>
          <w:szCs w:val="22"/>
          <w:lang w:eastAsia="en-GB" w:bidi="ar-SA"/>
        </w:rPr>
        <w:instrText xml:space="preserve"> REF _Ref536547022 \r \h </w:instrText>
      </w:r>
      <w:r>
        <w:rPr>
          <w:szCs w:val="22"/>
          <w:lang w:eastAsia="en-GB" w:bidi="ar-SA"/>
        </w:rPr>
      </w:r>
      <w:r>
        <w:rPr>
          <w:szCs w:val="22"/>
          <w:lang w:eastAsia="en-GB" w:bidi="ar-SA"/>
        </w:rPr>
        <w:fldChar w:fldCharType="separate"/>
      </w:r>
      <w:r w:rsidR="001D5AD9">
        <w:rPr>
          <w:szCs w:val="22"/>
          <w:lang w:eastAsia="en-GB" w:bidi="ar-SA"/>
        </w:rPr>
        <w:t>5.7.4</w:t>
      </w:r>
      <w:r>
        <w:rPr>
          <w:szCs w:val="22"/>
          <w:lang w:eastAsia="en-GB" w:bidi="ar-SA"/>
        </w:rPr>
        <w:fldChar w:fldCharType="end"/>
      </w:r>
      <w:r>
        <w:rPr>
          <w:szCs w:val="22"/>
          <w:lang w:eastAsia="en-GB" w:bidi="ar-SA"/>
        </w:rPr>
        <w:t xml:space="preserve"> for details.</w:t>
      </w:r>
    </w:p>
    <w:p w14:paraId="09CF96EF" w14:textId="77777777" w:rsidR="00B97365" w:rsidRDefault="00000000">
      <w:pPr>
        <w:spacing w:before="0" w:after="200" w:line="276" w:lineRule="auto"/>
        <w:jc w:val="left"/>
        <w:rPr>
          <w:rFonts w:cs="Arial"/>
          <w:szCs w:val="22"/>
          <w:lang w:eastAsia="en-GB" w:bidi="ar-SA"/>
        </w:rPr>
      </w:pPr>
      <w:r>
        <w:rPr>
          <w:rFonts w:cs="Arial"/>
          <w:szCs w:val="22"/>
          <w:lang w:eastAsia="en-GB" w:bidi="ar-SA"/>
        </w:rPr>
        <w:t>The sequence flow in the figure below describes the procedure.</w:t>
      </w:r>
    </w:p>
    <w:p w14:paraId="7BDE0E0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10CE615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5879253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3A967EC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3A8BA96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1AEDFAC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36BB816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25F708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326DDD4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BCE3FD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7273CF2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5FDFFAC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2EA4102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70BEDD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OP-&gt;&gt;DP: (1) GetONC (identifiers, notifications list)</w:t>
      </w:r>
    </w:p>
    <w:p w14:paraId="4FB1781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DP-&gt;&gt;SR: (2) GetONC (identifiers, notifications list)</w:t>
      </w:r>
    </w:p>
    <w:p w14:paraId="6658589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664BF4C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Check initial conditions</w:t>
      </w:r>
    </w:p>
    <w:p w14:paraId="0AFA07D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50B16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SR--&gt;&gt;DP: Failed</w:t>
      </w:r>
    </w:p>
    <w:p w14:paraId="057769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DP--&gt;&gt;OP: Failed</w:t>
      </w:r>
    </w:p>
    <w:p w14:paraId="5107089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15E191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Retrieve Operator Notification Configuration</w:t>
      </w:r>
    </w:p>
    <w:p w14:paraId="0992E7C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3D22683"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D639F6">
        <w:rPr>
          <w:rFonts w:ascii="Courier New" w:hAnsi="Courier New" w:cs="Courier New"/>
          <w:noProof/>
          <w:color w:val="008000"/>
          <w:sz w:val="18"/>
          <w:lang w:val="nl-NL"/>
        </w:rPr>
        <w:t>SR--&gt;&gt;DP: (5) GetONC result</w:t>
      </w:r>
    </w:p>
    <w:p w14:paraId="101C6767"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D639F6">
        <w:rPr>
          <w:rFonts w:ascii="Courier New" w:hAnsi="Courier New" w:cs="Courier New"/>
          <w:noProof/>
          <w:color w:val="008000"/>
          <w:sz w:val="18"/>
          <w:lang w:val="nl-NL"/>
        </w:rPr>
        <w:t>DP--&gt;&gt;OP: (6) GetONC result</w:t>
      </w:r>
    </w:p>
    <w:p w14:paraId="2CB79EE7"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nl-NL"/>
        </w:rPr>
      </w:pPr>
      <w:r w:rsidRPr="00D639F6">
        <w:rPr>
          <w:rFonts w:ascii="Courier New" w:hAnsi="Courier New" w:cs="Courier New"/>
          <w:noProof/>
          <w:color w:val="008000"/>
          <w:sz w:val="18"/>
          <w:lang w:val="nl-NL"/>
        </w:rPr>
        <w:t>@enduml</w:t>
      </w:r>
    </w:p>
    <w:p w14:paraId="1B57DE82" w14:textId="77777777" w:rsidR="00B97365" w:rsidRDefault="00000000">
      <w:pPr>
        <w:rPr>
          <w:rFonts w:cs="Courier New"/>
          <w:noProof/>
          <w:color w:val="008000"/>
          <w:sz w:val="18"/>
        </w:rPr>
      </w:pPr>
      <w:r>
        <w:rPr>
          <w:rFonts w:cs="Courier New"/>
          <w:noProof/>
          <w:color w:val="008000"/>
          <w:sz w:val="18"/>
          <w:lang w:eastAsia="en-GB" w:bidi="ar-SA"/>
        </w:rPr>
        <w:drawing>
          <wp:inline distT="0" distB="0" distL="0" distR="0" wp14:anchorId="27214329" wp14:editId="421A319E">
            <wp:extent cx="5731510" cy="2433617"/>
            <wp:effectExtent l="0" t="0" r="2540" b="5080"/>
            <wp:docPr id="452" name="Picture 45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
                    <pic:cNvPicPr/>
                  </pic:nvPicPr>
                  <pic:blipFill>
                    <a:blip r:embed="rId84">
                      <a:extLst>
                        <a:ext uri="{28A0092B-C50C-407E-A947-70E740481C1C}">
                          <a14:useLocalDpi xmlns:a14="http://schemas.microsoft.com/office/drawing/2010/main" val="0"/>
                        </a:ext>
                      </a:extLst>
                    </a:blip>
                    <a:stretch>
                      <a:fillRect/>
                    </a:stretch>
                  </pic:blipFill>
                  <pic:spPr>
                    <a:xfrm>
                      <a:off x="0" y="0"/>
                      <a:ext cx="5731510" cy="2433617"/>
                    </a:xfrm>
                    <a:prstGeom prst="rect">
                      <a:avLst/>
                    </a:prstGeom>
                  </pic:spPr>
                </pic:pic>
              </a:graphicData>
            </a:graphic>
          </wp:inline>
        </w:drawing>
      </w:r>
    </w:p>
    <w:p w14:paraId="14FFEBDC" w14:textId="77777777" w:rsidR="00B97365" w:rsidRDefault="00B97365">
      <w:pPr>
        <w:rPr>
          <w:rFonts w:cs="Courier New"/>
          <w:noProof/>
          <w:color w:val="008000"/>
          <w:sz w:val="18"/>
        </w:rPr>
      </w:pPr>
    </w:p>
    <w:p w14:paraId="3908071A" w14:textId="77777777" w:rsidR="00B97365" w:rsidRPr="00D639F6" w:rsidRDefault="00000000">
      <w:pPr>
        <w:numPr>
          <w:ilvl w:val="0"/>
          <w:numId w:val="13"/>
        </w:numPr>
        <w:tabs>
          <w:tab w:val="left" w:pos="1009"/>
        </w:tabs>
        <w:spacing w:before="0" w:after="200" w:line="276" w:lineRule="auto"/>
        <w:jc w:val="center"/>
        <w:rPr>
          <w:rFonts w:cs="Arial"/>
          <w:b/>
          <w:szCs w:val="22"/>
          <w:lang w:val="it-IT" w:eastAsia="en-GB" w:bidi="ar-SA"/>
        </w:rPr>
      </w:pPr>
      <w:r w:rsidRPr="00D639F6">
        <w:rPr>
          <w:rFonts w:cs="Arial"/>
          <w:b/>
          <w:szCs w:val="22"/>
          <w:lang w:val="it-IT" w:eastAsia="en-GB" w:bidi="ar-SA"/>
        </w:rPr>
        <w:t>: Retrieve Operator Notification Configuration via SM-DP</w:t>
      </w:r>
    </w:p>
    <w:p w14:paraId="0405426C"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58D1D1C5" w14:textId="29E0150B"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046956AD" w14:textId="77777777" w:rsidR="00B97365" w:rsidRDefault="00000000">
      <w:pPr>
        <w:spacing w:before="0" w:after="200" w:line="276" w:lineRule="auto"/>
        <w:jc w:val="left"/>
        <w:rPr>
          <w:b/>
          <w:szCs w:val="22"/>
          <w:u w:val="single"/>
          <w:lang w:eastAsia="en-GB" w:bidi="ar-SA"/>
        </w:rPr>
      </w:pPr>
      <w:r>
        <w:rPr>
          <w:b/>
          <w:szCs w:val="22"/>
          <w:u w:val="single"/>
          <w:lang w:eastAsia="en-GB" w:bidi="ar-SA"/>
        </w:rPr>
        <w:t>Procedure:</w:t>
      </w:r>
    </w:p>
    <w:p w14:paraId="582ED1BC" w14:textId="112FA9C1" w:rsidR="00B97365" w:rsidRDefault="00000000">
      <w:pPr>
        <w:numPr>
          <w:ilvl w:val="0"/>
          <w:numId w:val="60"/>
        </w:numPr>
        <w:rPr>
          <w:szCs w:val="22"/>
        </w:rPr>
      </w:pPr>
      <w:r>
        <w:rPr>
          <w:szCs w:val="22"/>
        </w:rPr>
        <w:t xml:space="preserve">To retrieve the Operator Notifications Configuration list, an Operator SHALL call the </w:t>
      </w:r>
      <w:r>
        <w:rPr>
          <w:b/>
          <w:szCs w:val="22"/>
        </w:rPr>
        <w:t>“ES2.GetONC”</w:t>
      </w:r>
      <w:r>
        <w:rPr>
          <w:szCs w:val="22"/>
        </w:rPr>
        <w:t xml:space="preserve"> function of its SM-DP with its relevant input parameters, see section </w:t>
      </w:r>
      <w:r>
        <w:rPr>
          <w:szCs w:val="22"/>
        </w:rPr>
        <w:fldChar w:fldCharType="begin"/>
      </w:r>
      <w:r>
        <w:rPr>
          <w:szCs w:val="22"/>
        </w:rPr>
        <w:instrText xml:space="preserve"> REF _Ref536548077 \r \h </w:instrText>
      </w:r>
      <w:r>
        <w:rPr>
          <w:szCs w:val="22"/>
        </w:rPr>
      </w:r>
      <w:r>
        <w:rPr>
          <w:szCs w:val="22"/>
        </w:rPr>
        <w:fldChar w:fldCharType="separate"/>
      </w:r>
      <w:r w:rsidR="001D5AD9">
        <w:rPr>
          <w:szCs w:val="22"/>
        </w:rPr>
        <w:t>5.3.19</w:t>
      </w:r>
      <w:r>
        <w:rPr>
          <w:szCs w:val="22"/>
        </w:rPr>
        <w:fldChar w:fldCharType="end"/>
      </w:r>
      <w:r>
        <w:rPr>
          <w:szCs w:val="22"/>
        </w:rPr>
        <w:t xml:space="preserve">. </w:t>
      </w:r>
    </w:p>
    <w:p w14:paraId="1730FD8E" w14:textId="77777777" w:rsidR="00B97365" w:rsidRDefault="00000000">
      <w:pPr>
        <w:numPr>
          <w:ilvl w:val="0"/>
          <w:numId w:val="60"/>
        </w:numPr>
      </w:pPr>
      <w:r>
        <w:t xml:space="preserve">The SM-DP SHALL forward the request to the SM-SR identified by the Operator and SHALL call the </w:t>
      </w:r>
      <w:r>
        <w:rPr>
          <w:b/>
        </w:rPr>
        <w:t>“ES3.</w:t>
      </w:r>
      <w:r>
        <w:rPr>
          <w:b/>
          <w:szCs w:val="22"/>
        </w:rPr>
        <w:t>GetONC</w:t>
      </w:r>
      <w:r>
        <w:rPr>
          <w:b/>
        </w:rPr>
        <w:t xml:space="preserve">” </w:t>
      </w:r>
      <w:r>
        <w:t xml:space="preserve">function with its relevant input data. </w:t>
      </w:r>
    </w:p>
    <w:p w14:paraId="4D7BE569" w14:textId="6D7FB5D8" w:rsidR="00B97365" w:rsidRDefault="00000000">
      <w:pPr>
        <w:numPr>
          <w:ilvl w:val="0"/>
          <w:numId w:val="60"/>
        </w:numPr>
        <w:rPr>
          <w:szCs w:val="22"/>
        </w:rPr>
      </w:pPr>
      <w:r>
        <w:rPr>
          <w:szCs w:val="22"/>
        </w:rPr>
        <w:lastRenderedPageBreak/>
        <w:t xml:space="preserve">The SM-SR SHALL verify that the Operator request is acceptable (the verifications that the SM-SR SHALL perform are described in the section </w:t>
      </w:r>
      <w:r>
        <w:rPr>
          <w:szCs w:val="22"/>
        </w:rPr>
        <w:fldChar w:fldCharType="begin"/>
      </w:r>
      <w:r>
        <w:rPr>
          <w:szCs w:val="22"/>
        </w:rPr>
        <w:instrText xml:space="preserve"> REF _Ref536548102 \r \h </w:instrText>
      </w:r>
      <w:r>
        <w:rPr>
          <w:szCs w:val="22"/>
        </w:rPr>
      </w:r>
      <w:r>
        <w:rPr>
          <w:szCs w:val="22"/>
        </w:rPr>
        <w:fldChar w:fldCharType="separate"/>
      </w:r>
      <w:r w:rsidR="001D5AD9">
        <w:rPr>
          <w:szCs w:val="22"/>
        </w:rPr>
        <w:t>5.4.22</w:t>
      </w:r>
      <w:r>
        <w:rPr>
          <w:szCs w:val="22"/>
        </w:rPr>
        <w:fldChar w:fldCharType="end"/>
      </w:r>
      <w:r>
        <w:rPr>
          <w:szCs w:val="22"/>
        </w:rPr>
        <w:t>), and in particular checks that the function calling SM-DP is belonging to the Operator owning the targeted Profile Type. If any of the conditions to be verified are not satisfied, the SM-SR SHALL return a response indicating the failure, and the procedure SHALL end.</w:t>
      </w:r>
    </w:p>
    <w:p w14:paraId="251CC929" w14:textId="77777777" w:rsidR="00B97365" w:rsidRDefault="00000000">
      <w:pPr>
        <w:numPr>
          <w:ilvl w:val="0"/>
          <w:numId w:val="60"/>
        </w:numPr>
        <w:rPr>
          <w:szCs w:val="22"/>
        </w:rPr>
      </w:pPr>
      <w:r>
        <w:rPr>
          <w:szCs w:val="22"/>
        </w:rPr>
        <w:t xml:space="preserve">The SM-SR retrieves Operator Notifications Configuration list matching with the identifiers set as input parameters by the Operator. In case no ONC exists for the provided identifier, the SM-SR SHALL return an empty result.  </w:t>
      </w:r>
    </w:p>
    <w:p w14:paraId="5C5DDF78" w14:textId="77777777" w:rsidR="00B97365" w:rsidRDefault="00000000">
      <w:pPr>
        <w:numPr>
          <w:ilvl w:val="0"/>
          <w:numId w:val="60"/>
        </w:numPr>
      </w:pPr>
      <w:r>
        <w:rPr>
          <w:szCs w:val="22"/>
        </w:rPr>
        <w:t>The SM-SR SHALL return the response to the “</w:t>
      </w:r>
      <w:r>
        <w:rPr>
          <w:b/>
        </w:rPr>
        <w:t>ES3.GetONC</w:t>
      </w:r>
      <w:r>
        <w:rPr>
          <w:b/>
          <w:bCs/>
          <w:szCs w:val="22"/>
        </w:rPr>
        <w:t xml:space="preserve">” </w:t>
      </w:r>
      <w:r>
        <w:rPr>
          <w:szCs w:val="22"/>
        </w:rPr>
        <w:t>function to the SM-DP, indicating the list of notifications for the targeted profile.</w:t>
      </w:r>
    </w:p>
    <w:p w14:paraId="1852D391" w14:textId="77777777" w:rsidR="00B97365" w:rsidRDefault="00000000">
      <w:pPr>
        <w:numPr>
          <w:ilvl w:val="0"/>
          <w:numId w:val="60"/>
        </w:numPr>
      </w:pPr>
      <w:r>
        <w:rPr>
          <w:szCs w:val="22"/>
        </w:rPr>
        <w:t>Finally, the SM-DP SHALL return the response to the “</w:t>
      </w:r>
      <w:r>
        <w:rPr>
          <w:b/>
        </w:rPr>
        <w:t>ES2.GetONC</w:t>
      </w:r>
      <w:r>
        <w:rPr>
          <w:szCs w:val="22"/>
        </w:rPr>
        <w:t>” function call to the Operator.</w:t>
      </w:r>
    </w:p>
    <w:p w14:paraId="3C8B1467" w14:textId="77777777" w:rsidR="00B97365" w:rsidRDefault="00B97365">
      <w:pPr>
        <w:spacing w:before="0" w:after="160" w:line="259" w:lineRule="auto"/>
        <w:jc w:val="left"/>
      </w:pPr>
    </w:p>
    <w:p w14:paraId="3E9A8C22"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068" w:name="_Toc1977295"/>
      <w:bookmarkStart w:id="2069" w:name="_Toc37062452"/>
      <w:bookmarkStart w:id="2070" w:name="_Toc88839557"/>
      <w:bookmarkStart w:id="2071" w:name="_Toc121503965"/>
      <w:r>
        <w:rPr>
          <w:rFonts w:eastAsia="Times New Roman" w:cs="Arial"/>
          <w:b/>
          <w:bCs/>
          <w:iCs/>
          <w:sz w:val="24"/>
          <w:szCs w:val="28"/>
          <w:lang w:eastAsia="en-US"/>
        </w:rPr>
        <w:lastRenderedPageBreak/>
        <w:t>Local Enable for Test Profile</w:t>
      </w:r>
      <w:bookmarkEnd w:id="2068"/>
      <w:bookmarkEnd w:id="2069"/>
      <w:bookmarkEnd w:id="2070"/>
      <w:bookmarkEnd w:id="2071"/>
    </w:p>
    <w:p w14:paraId="49FED09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@startuml</w:t>
      </w:r>
    </w:p>
    <w:p w14:paraId="4F94FB5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217ADAD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012A91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590B478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120</w:t>
      </w:r>
    </w:p>
    <w:p w14:paraId="20C331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7B4A0B6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2A5A02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06FECC1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7E978B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“Device” as DEV #FFFFFF</w:t>
      </w:r>
    </w:p>
    <w:p w14:paraId="52C8A17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“eUICC” as eUICC #FFFFFF</w:t>
      </w:r>
    </w:p>
    <w:p w14:paraId="75E7AA8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386A5E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F97A89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DEV-&gt;&gt;eUICC : (1) ESx.LocalEnableTestProfile</w:t>
      </w:r>
    </w:p>
    <w:p w14:paraId="282BBDF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eUICC #FFFFF</w:t>
      </w:r>
    </w:p>
    <w:p w14:paraId="3123723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Verify that the Test Profile exists</w:t>
      </w:r>
    </w:p>
    <w:p w14:paraId="37E083E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B307D3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eUICC--&gt;&gt;DEV : Error</w:t>
      </w:r>
    </w:p>
    <w:p w14:paraId="4E41B54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eUICC #FFFFF</w:t>
      </w:r>
    </w:p>
    <w:p w14:paraId="49D5158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Verify that the currently Enabled Profile</w:t>
      </w:r>
    </w:p>
    <w:p w14:paraId="0EA7AB9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is NOT the Emergency Profile</w:t>
      </w:r>
    </w:p>
    <w:p w14:paraId="516FA2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2B98A4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eUICC--&gt;&gt;DEV : Error</w:t>
      </w:r>
    </w:p>
    <w:p w14:paraId="62FB6D3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29A78A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eUICC #FFFFF</w:t>
      </w:r>
    </w:p>
    <w:p w14:paraId="5B13810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lang w:val="en-US"/>
        </w:rPr>
        <w:t xml:space="preserve"> </w:t>
      </w:r>
      <w:r>
        <w:rPr>
          <w:rFonts w:ascii="Courier New" w:hAnsi="Courier New" w:cs="Courier New"/>
          <w:noProof/>
          <w:color w:val="008000"/>
          <w:sz w:val="18"/>
        </w:rPr>
        <w:t>(4) Verify that the currently Enabled Profile</w:t>
      </w:r>
    </w:p>
    <w:p w14:paraId="164A96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is NOT the Test Profile</w:t>
      </w:r>
    </w:p>
    <w:p w14:paraId="466F4C7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36D5DD4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eUICC--&gt;&gt;DEV : Error</w:t>
      </w:r>
    </w:p>
    <w:p w14:paraId="4595E6E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2C7C8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Group Profile switch</w:t>
      </w:r>
    </w:p>
    <w:p w14:paraId="656AFE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eUICC #FFFFF</w:t>
      </w:r>
    </w:p>
    <w:p w14:paraId="54B42F4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Enable Test Profile</w:t>
      </w:r>
    </w:p>
    <w:p w14:paraId="1F87932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F246A5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eUICC--&gt;&gt;DEV : (6) Success</w:t>
      </w:r>
    </w:p>
    <w:p w14:paraId="2310C0D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54C37A4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eUICC--&gt;&gt;DEV: (7) REFRESH, (UICC reset)</w:t>
      </w:r>
    </w:p>
    <w:p w14:paraId="6A37FFF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01647E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eUICC #FFFFFF</w:t>
      </w:r>
    </w:p>
    <w:p w14:paraId="074A5CF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(8) Network attachment with the Enabled Profile</w:t>
      </w:r>
    </w:p>
    <w:p w14:paraId="4ADC716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5F758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7D04002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1D85D0A0" w14:textId="77777777" w:rsidR="00B97365" w:rsidRDefault="00000000">
      <w:pPr>
        <w:rPr>
          <w:rFonts w:cs="Courier New"/>
          <w:noProof/>
          <w:color w:val="008000"/>
          <w:sz w:val="18"/>
        </w:rPr>
      </w:pPr>
      <w:r>
        <w:rPr>
          <w:rFonts w:cs="Courier New"/>
          <w:noProof/>
          <w:color w:val="008000"/>
          <w:sz w:val="18"/>
          <w:lang w:eastAsia="en-GB" w:bidi="ar-SA"/>
        </w:rPr>
        <w:lastRenderedPageBreak/>
        <w:drawing>
          <wp:inline distT="0" distB="0" distL="0" distR="0" wp14:anchorId="01EE5D4F" wp14:editId="307E4A2F">
            <wp:extent cx="5731510" cy="4738165"/>
            <wp:effectExtent l="0" t="0" r="2540" b="5715"/>
            <wp:docPr id="469" name="Picture 46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
                    <pic:cNvPicPr/>
                  </pic:nvPicPr>
                  <pic:blipFill>
                    <a:blip r:embed="rId85">
                      <a:extLst>
                        <a:ext uri="{28A0092B-C50C-407E-A947-70E740481C1C}">
                          <a14:useLocalDpi xmlns:a14="http://schemas.microsoft.com/office/drawing/2010/main" val="0"/>
                        </a:ext>
                      </a:extLst>
                    </a:blip>
                    <a:stretch>
                      <a:fillRect/>
                    </a:stretch>
                  </pic:blipFill>
                  <pic:spPr>
                    <a:xfrm>
                      <a:off x="0" y="0"/>
                      <a:ext cx="5731510" cy="4738165"/>
                    </a:xfrm>
                    <a:prstGeom prst="rect">
                      <a:avLst/>
                    </a:prstGeom>
                  </pic:spPr>
                </pic:pic>
              </a:graphicData>
            </a:graphic>
          </wp:inline>
        </w:drawing>
      </w:r>
    </w:p>
    <w:p w14:paraId="31A14D7D" w14:textId="77777777" w:rsidR="00B97365" w:rsidRDefault="00B97365">
      <w:pPr>
        <w:spacing w:before="0" w:after="200" w:line="276" w:lineRule="auto"/>
        <w:jc w:val="left"/>
        <w:rPr>
          <w:szCs w:val="22"/>
        </w:rPr>
      </w:pPr>
    </w:p>
    <w:p w14:paraId="14267334"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322: Local Enable of Test Profile</w:t>
      </w:r>
    </w:p>
    <w:p w14:paraId="221E4D9C"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7F942A97" w14:textId="7E7F94A6"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7232E9A6"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263A7CD1" w14:textId="77777777" w:rsidR="00B97365" w:rsidRDefault="00000000">
      <w:pPr>
        <w:numPr>
          <w:ilvl w:val="0"/>
          <w:numId w:val="88"/>
        </w:numPr>
      </w:pPr>
      <w:r>
        <w:t xml:space="preserve">The Device SHALL call the </w:t>
      </w:r>
      <w:r>
        <w:rPr>
          <w:b/>
        </w:rPr>
        <w:t>“ESx.LocalEnableTestProfile”</w:t>
      </w:r>
      <w:r>
        <w:t xml:space="preserve"> function. </w:t>
      </w:r>
    </w:p>
    <w:p w14:paraId="2CD32CFA" w14:textId="04CB89FA" w:rsidR="00B97365" w:rsidRDefault="00000000">
      <w:pPr>
        <w:numPr>
          <w:ilvl w:val="0"/>
          <w:numId w:val="88"/>
        </w:numPr>
      </w:pPr>
      <w:r>
        <w:t xml:space="preserve">The eUICC SHALL verify that the Test Profile exists (including Flag and NAA keys as described in EUICC23 in SGP.01 </w:t>
      </w:r>
      <w:r>
        <w:fldChar w:fldCharType="begin"/>
      </w:r>
      <w:r>
        <w:instrText xml:space="preserve"> REF _Ref483303259 \r \h  \* MERGEFORMAT </w:instrText>
      </w:r>
      <w:r>
        <w:fldChar w:fldCharType="separate"/>
      </w:r>
      <w:r w:rsidR="001D5AD9">
        <w:t>[1]</w:t>
      </w:r>
      <w:r>
        <w:fldChar w:fldCharType="end"/>
      </w:r>
      <w:r>
        <w:t>). If any of the conditions to be verified are not satisfied, the eUICC SHALL return a response indicating the failure, and the procedure SHALL end.</w:t>
      </w:r>
    </w:p>
    <w:p w14:paraId="3C713E80" w14:textId="77777777" w:rsidR="00B97365" w:rsidRDefault="00000000">
      <w:pPr>
        <w:numPr>
          <w:ilvl w:val="0"/>
          <w:numId w:val="88"/>
        </w:numPr>
      </w:pPr>
      <w:r>
        <w:t>The eUICC SHALL verify that the current enabled Profile is NOT the Emergency Profile. If the condition to be verified is not satisfied, the eUICC SHALL return a response indicating the failure, and the procedure SHALL end.</w:t>
      </w:r>
    </w:p>
    <w:p w14:paraId="5F777982" w14:textId="77777777" w:rsidR="00B97365" w:rsidRDefault="00000000">
      <w:pPr>
        <w:numPr>
          <w:ilvl w:val="0"/>
          <w:numId w:val="88"/>
        </w:numPr>
      </w:pPr>
      <w:r>
        <w:t>The eUICC SHALL verify that the currently enabled Profile is NOT the Test Profile. If the condition to be verified is not satisfied, the eUICC SHALL return a response indicating that the Test Profile is already Enabled, and the procedure SHALL end.</w:t>
      </w:r>
    </w:p>
    <w:p w14:paraId="057D553C" w14:textId="77777777" w:rsidR="00B97365" w:rsidRDefault="00000000">
      <w:pPr>
        <w:numPr>
          <w:ilvl w:val="0"/>
          <w:numId w:val="88"/>
        </w:numPr>
      </w:pPr>
      <w:r>
        <w:lastRenderedPageBreak/>
        <w:t>The eUICC SHALL NOT enforce POL1 of the currently Enabled Profile, and SHALL disable the currently enabled Profile, and enable the Test Profile.</w:t>
      </w:r>
    </w:p>
    <w:p w14:paraId="343B8C94" w14:textId="2C2817CD" w:rsidR="00B97365" w:rsidRDefault="00000000">
      <w:pPr>
        <w:tabs>
          <w:tab w:val="left" w:pos="1560"/>
        </w:tabs>
        <w:ind w:left="1560" w:hanging="1220"/>
        <w:rPr>
          <w:lang w:eastAsia="en-GB"/>
        </w:rPr>
      </w:pPr>
      <w:r>
        <w:rPr>
          <w:rFonts w:cs="Arial"/>
          <w:lang w:eastAsia="en-GB"/>
        </w:rPr>
        <w:t xml:space="preserve">NOTE: </w:t>
      </w:r>
      <w:r>
        <w:rPr>
          <w:rFonts w:cs="Arial"/>
          <w:lang w:eastAsia="en-GB"/>
        </w:rPr>
        <w:tab/>
        <w:t xml:space="preserve">Profile change includes a change of the IMSI that is used to attach to the network. As indicated in 3GPP TS 31.102 </w:t>
      </w:r>
      <w:r>
        <w:rPr>
          <w:lang w:eastAsia="en-GB"/>
        </w:rPr>
        <w:fldChar w:fldCharType="begin"/>
      </w:r>
      <w:r>
        <w:rPr>
          <w:lang w:eastAsia="en-GB"/>
        </w:rPr>
        <w:instrText xml:space="preserve"> REF _Ref421632746 \r \h </w:instrText>
      </w:r>
      <w:r>
        <w:rPr>
          <w:lang w:eastAsia="en-GB"/>
        </w:rPr>
      </w:r>
      <w:r>
        <w:rPr>
          <w:lang w:eastAsia="en-GB"/>
        </w:rPr>
        <w:fldChar w:fldCharType="separate"/>
      </w:r>
      <w:r w:rsidR="001D5AD9">
        <w:rPr>
          <w:lang w:eastAsia="en-GB"/>
        </w:rPr>
        <w:t>[52]</w:t>
      </w:r>
      <w:r>
        <w:rPr>
          <w:lang w:eastAsia="en-GB"/>
        </w:rPr>
        <w:fldChar w:fldCharType="end"/>
      </w:r>
      <w:r>
        <w:rPr>
          <w:lang w:eastAsia="en-GB"/>
        </w:rPr>
        <w:t>, such a change requires special caution and should always be accompanied by a REFRESH command to avoid inconsistent information being read by the terminal. So while the Profile is marked as enabled in this step, it MAY actually become effective after the terminal executes the REFRESH command.</w:t>
      </w:r>
    </w:p>
    <w:p w14:paraId="6B8CE2EE" w14:textId="77777777" w:rsidR="00B97365" w:rsidRDefault="00000000">
      <w:pPr>
        <w:numPr>
          <w:ilvl w:val="0"/>
          <w:numId w:val="88"/>
        </w:numPr>
      </w:pPr>
      <w:r>
        <w:t>The eUICC SHALL return the execution status of the “</w:t>
      </w:r>
      <w:r>
        <w:rPr>
          <w:b/>
        </w:rPr>
        <w:t>ESx. LocalEnableTestProfile</w:t>
      </w:r>
      <w:r>
        <w:t>” command to the Device.</w:t>
      </w:r>
    </w:p>
    <w:p w14:paraId="16EAA426" w14:textId="77777777" w:rsidR="00B97365" w:rsidRDefault="00000000">
      <w:pPr>
        <w:numPr>
          <w:ilvl w:val="0"/>
          <w:numId w:val="88"/>
        </w:numPr>
      </w:pPr>
      <w:r>
        <w:t>The eUICC SHALL send a REFRESH proactive command in UICC reset mode to the Device. This will trigger the execution of a network attach procedure.</w:t>
      </w:r>
    </w:p>
    <w:p w14:paraId="42A7F7A2" w14:textId="77777777" w:rsidR="00B97365" w:rsidRDefault="00000000">
      <w:pPr>
        <w:numPr>
          <w:ilvl w:val="0"/>
          <w:numId w:val="88"/>
        </w:numPr>
      </w:pPr>
      <w:r>
        <w:t>The Device SHALL perform a network attach procedure with the newly enabled Profile.</w:t>
      </w:r>
    </w:p>
    <w:p w14:paraId="40D3D3AC" w14:textId="77777777" w:rsidR="00B97365" w:rsidRDefault="00B97365">
      <w:pPr>
        <w:tabs>
          <w:tab w:val="left" w:pos="1560"/>
        </w:tabs>
        <w:ind w:left="1560" w:hanging="1220"/>
        <w:rPr>
          <w:rFonts w:cs="Arial"/>
          <w:lang w:eastAsia="en-GB"/>
        </w:rPr>
      </w:pPr>
    </w:p>
    <w:p w14:paraId="196C54D0" w14:textId="77777777" w:rsidR="00B97365" w:rsidRDefault="00000000">
      <w:pPr>
        <w:tabs>
          <w:tab w:val="left" w:pos="1560"/>
        </w:tabs>
        <w:ind w:left="1560" w:hanging="1220"/>
        <w:rPr>
          <w:rFonts w:cs="Arial"/>
          <w:lang w:eastAsia="en-GB"/>
        </w:rPr>
      </w:pPr>
      <w:r>
        <w:rPr>
          <w:rFonts w:cs="Arial"/>
          <w:lang w:eastAsia="en-GB"/>
        </w:rPr>
        <w:t xml:space="preserve">NOTE: </w:t>
      </w:r>
      <w:r>
        <w:rPr>
          <w:rFonts w:cs="Arial"/>
          <w:lang w:eastAsia="en-GB"/>
        </w:rPr>
        <w:tab/>
        <w:t xml:space="preserve">Whether the Test Profile provides connectivity to a test network or not, the eUICC will not attempt to enable automatically the previously Enabled Profile. This is in contrast to the remote enable procedures (for example in section 3.2.2). </w:t>
      </w:r>
    </w:p>
    <w:p w14:paraId="6BFE758B" w14:textId="77777777" w:rsidR="00B97365" w:rsidRDefault="00B97365"/>
    <w:p w14:paraId="1BF0485D"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072" w:name="_Toc1977296"/>
      <w:bookmarkStart w:id="2073" w:name="_Toc37062453"/>
      <w:bookmarkStart w:id="2074" w:name="_Toc88839558"/>
      <w:bookmarkStart w:id="2075" w:name="_Toc121503966"/>
      <w:r>
        <w:rPr>
          <w:rFonts w:eastAsia="Times New Roman" w:cs="Arial"/>
          <w:b/>
          <w:bCs/>
          <w:iCs/>
          <w:sz w:val="24"/>
          <w:szCs w:val="28"/>
          <w:lang w:eastAsia="en-US"/>
        </w:rPr>
        <w:lastRenderedPageBreak/>
        <w:t>Local Disable for Test Profile</w:t>
      </w:r>
      <w:bookmarkEnd w:id="2072"/>
      <w:bookmarkEnd w:id="2073"/>
      <w:bookmarkEnd w:id="2074"/>
      <w:bookmarkEnd w:id="2075"/>
    </w:p>
    <w:p w14:paraId="6C14DCC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@startuml</w:t>
      </w:r>
    </w:p>
    <w:p w14:paraId="77673CB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4E9265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615BDB6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1BFDF19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100</w:t>
      </w:r>
    </w:p>
    <w:p w14:paraId="782AE80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2114462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1D36E4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hide footbox</w:t>
      </w:r>
    </w:p>
    <w:p w14:paraId="473A712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281403C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“Device” as DEV #FFFFFF</w:t>
      </w:r>
    </w:p>
    <w:p w14:paraId="22E24AA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“eUICC” as ISDR #FFFFFF</w:t>
      </w:r>
    </w:p>
    <w:p w14:paraId="5E57B71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61720C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DEV-&gt;&gt;ISDR : (1) ESx.LocalDisableTestProfile</w:t>
      </w:r>
    </w:p>
    <w:p w14:paraId="20515A1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w:t>
      </w:r>
    </w:p>
    <w:p w14:paraId="6BF92DF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Verify that the currently Enabled Profile</w:t>
      </w:r>
    </w:p>
    <w:p w14:paraId="51655D3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is the Test Profile</w:t>
      </w:r>
    </w:p>
    <w:p w14:paraId="38B68E0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E747E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 Error</w:t>
      </w:r>
    </w:p>
    <w:p w14:paraId="66376EF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7A9047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group Profile switch</w:t>
      </w:r>
    </w:p>
    <w:p w14:paraId="2A1E654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w:t>
      </w:r>
    </w:p>
    <w:p w14:paraId="6B1F8F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(3) Disable Test Profile and </w:t>
      </w:r>
    </w:p>
    <w:p w14:paraId="34C4E1B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enable previously Enabled Profile</w:t>
      </w:r>
    </w:p>
    <w:p w14:paraId="00148CE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F6DC50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 (4) Success</w:t>
      </w:r>
    </w:p>
    <w:p w14:paraId="212C218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350E9E1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(5) REFRESH, (UICC reset)</w:t>
      </w:r>
    </w:p>
    <w:p w14:paraId="0CD4C49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5986603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13271B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(6) Network attachment with the Enabled Profile</w:t>
      </w:r>
    </w:p>
    <w:p w14:paraId="5E600D1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5E3B0C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2B01B8A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7C16C4BF" w14:textId="77777777" w:rsidR="00B97365" w:rsidRDefault="00000000">
      <w:pPr>
        <w:rPr>
          <w:rFonts w:cs="Courier New"/>
          <w:noProof/>
          <w:color w:val="008000"/>
          <w:sz w:val="18"/>
        </w:rPr>
      </w:pPr>
      <w:r>
        <w:rPr>
          <w:rFonts w:cs="Courier New"/>
          <w:noProof/>
          <w:color w:val="008000"/>
          <w:sz w:val="18"/>
          <w:lang w:eastAsia="en-GB" w:bidi="ar-SA"/>
        </w:rPr>
        <w:drawing>
          <wp:inline distT="0" distB="0" distL="0" distR="0" wp14:anchorId="77F0C68A" wp14:editId="6AFD8854">
            <wp:extent cx="5448300" cy="3905250"/>
            <wp:effectExtent l="0" t="0" r="0" b="0"/>
            <wp:docPr id="471" name="Picture 47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
                    <pic:cNvPicPr/>
                  </pic:nvPicPr>
                  <pic:blipFill>
                    <a:blip r:embed="rId86">
                      <a:extLst>
                        <a:ext uri="{28A0092B-C50C-407E-A947-70E740481C1C}">
                          <a14:useLocalDpi xmlns:a14="http://schemas.microsoft.com/office/drawing/2010/main" val="0"/>
                        </a:ext>
                      </a:extLst>
                    </a:blip>
                    <a:stretch>
                      <a:fillRect/>
                    </a:stretch>
                  </pic:blipFill>
                  <pic:spPr>
                    <a:xfrm>
                      <a:off x="0" y="0"/>
                      <a:ext cx="5448300" cy="3905250"/>
                    </a:xfrm>
                    <a:prstGeom prst="rect">
                      <a:avLst/>
                    </a:prstGeom>
                  </pic:spPr>
                </pic:pic>
              </a:graphicData>
            </a:graphic>
          </wp:inline>
        </w:drawing>
      </w:r>
    </w:p>
    <w:p w14:paraId="1086D5EA" w14:textId="77777777" w:rsidR="00B97365" w:rsidRDefault="00000000">
      <w:pPr>
        <w:spacing w:after="320" w:line="276" w:lineRule="auto"/>
        <w:jc w:val="center"/>
        <w:rPr>
          <w:rFonts w:cs="Arial"/>
          <w:b/>
          <w:szCs w:val="22"/>
          <w:lang w:eastAsia="de-DE" w:bidi="ar-SA"/>
        </w:rPr>
      </w:pPr>
      <w:r>
        <w:rPr>
          <w:rFonts w:cs="Arial"/>
          <w:b/>
          <w:szCs w:val="22"/>
          <w:lang w:eastAsia="de-DE" w:bidi="ar-SA"/>
        </w:rPr>
        <w:lastRenderedPageBreak/>
        <w:t>Figure 323: Local Disable of Test Profile</w:t>
      </w:r>
    </w:p>
    <w:p w14:paraId="1FC935AC" w14:textId="77777777" w:rsidR="00B97365" w:rsidRDefault="00B97365">
      <w:pPr>
        <w:spacing w:before="0"/>
        <w:jc w:val="left"/>
        <w:rPr>
          <w:szCs w:val="22"/>
          <w:lang w:eastAsia="en-GB" w:bidi="ar-SA"/>
        </w:rPr>
      </w:pPr>
    </w:p>
    <w:p w14:paraId="051CBBCA"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r>
        <w:rPr>
          <w:rFonts w:cs="Arial"/>
          <w:b/>
          <w:noProof/>
          <w:szCs w:val="22"/>
          <w:lang w:val="en-US" w:eastAsia="en-GB" w:bidi="ar-SA"/>
        </w:rPr>
        <w:t>Start Conditions:</w:t>
      </w:r>
    </w:p>
    <w:p w14:paraId="3A5CDF9E" w14:textId="5E5BAFC0"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p>
    <w:p w14:paraId="17FB82D3"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26D684A3" w14:textId="77777777" w:rsidR="00B97365" w:rsidRDefault="00000000">
      <w:pPr>
        <w:numPr>
          <w:ilvl w:val="0"/>
          <w:numId w:val="89"/>
        </w:numPr>
      </w:pPr>
      <w:r>
        <w:t xml:space="preserve">The Device SHALL call the </w:t>
      </w:r>
      <w:r>
        <w:rPr>
          <w:b/>
        </w:rPr>
        <w:t>“ESx.LocalDisableTestProfile”</w:t>
      </w:r>
      <w:r>
        <w:t xml:space="preserve"> function. </w:t>
      </w:r>
    </w:p>
    <w:p w14:paraId="0EAB2C99" w14:textId="77777777" w:rsidR="00B97365" w:rsidRDefault="00000000">
      <w:pPr>
        <w:numPr>
          <w:ilvl w:val="0"/>
          <w:numId w:val="89"/>
        </w:numPr>
      </w:pPr>
      <w:r>
        <w:t>The eUICC SHALL verify that the currently Enabled Profile is the Test Profile (including Flag and NAA keys as described in EUICC23 in SGP.01[1]). If any of the conditions to be verified are not satisfied, the eUICC SHALL return a response indicating that the currently Enabled Profile is not the Test Profile, and the procedure SHALL end.</w:t>
      </w:r>
    </w:p>
    <w:p w14:paraId="57DA92B7" w14:textId="77777777" w:rsidR="00B97365" w:rsidRDefault="00000000">
      <w:pPr>
        <w:numPr>
          <w:ilvl w:val="0"/>
          <w:numId w:val="89"/>
        </w:numPr>
      </w:pPr>
      <w:r>
        <w:t xml:space="preserve">The eUICC SHALL disable the Test Profile and enable the previously enabled Profile. </w:t>
      </w:r>
    </w:p>
    <w:p w14:paraId="773B6BF7" w14:textId="77777777" w:rsidR="00B97365" w:rsidRDefault="00000000">
      <w:pPr>
        <w:numPr>
          <w:ilvl w:val="0"/>
          <w:numId w:val="89"/>
        </w:numPr>
      </w:pPr>
      <w:r>
        <w:t>The eUICC SHALL return the execution status of the “</w:t>
      </w:r>
      <w:r>
        <w:rPr>
          <w:b/>
        </w:rPr>
        <w:t>ESx.LocalDisableTestProfile</w:t>
      </w:r>
      <w:r>
        <w:t>” command to the Device.</w:t>
      </w:r>
    </w:p>
    <w:p w14:paraId="3DA9DBBD" w14:textId="77777777" w:rsidR="00B97365" w:rsidRDefault="00000000">
      <w:pPr>
        <w:numPr>
          <w:ilvl w:val="0"/>
          <w:numId w:val="89"/>
        </w:numPr>
      </w:pPr>
      <w:r>
        <w:t>The eUICC SHALL send a REFRESH proactive command in UICC reset mode to the Device. This will trigger the execution of a network attach procedure.</w:t>
      </w:r>
    </w:p>
    <w:p w14:paraId="385FC8FD" w14:textId="77777777" w:rsidR="00B97365" w:rsidRDefault="00B97365">
      <w:pPr>
        <w:ind w:left="360"/>
      </w:pPr>
    </w:p>
    <w:p w14:paraId="4DAE57E5" w14:textId="77777777" w:rsidR="00B97365" w:rsidRDefault="00000000">
      <w:pPr>
        <w:tabs>
          <w:tab w:val="left" w:pos="1560"/>
        </w:tabs>
        <w:spacing w:before="0" w:after="200" w:line="276" w:lineRule="auto"/>
        <w:ind w:left="1560" w:hanging="1276"/>
        <w:jc w:val="left"/>
        <w:rPr>
          <w:szCs w:val="22"/>
          <w:lang w:eastAsia="en-GB" w:bidi="ar-SA"/>
        </w:rPr>
      </w:pPr>
      <w:r>
        <w:rPr>
          <w:rFonts w:cs="Arial"/>
          <w:szCs w:val="22"/>
          <w:lang w:eastAsia="en-GB" w:bidi="ar-SA"/>
        </w:rPr>
        <w:t xml:space="preserve">NOTE: </w:t>
      </w:r>
      <w:r>
        <w:rPr>
          <w:rFonts w:cs="Arial"/>
          <w:szCs w:val="22"/>
          <w:lang w:eastAsia="en-GB" w:bidi="ar-SA"/>
        </w:rPr>
        <w:tab/>
        <w:t xml:space="preserve">In case of any error after this step, indicating that the currently Enabled Profile cannot provide connectivity, the eUICC will </w:t>
      </w:r>
      <w:r>
        <w:t xml:space="preserve">trigger the Fall-Back Mechanism and will ensure that the previously enabled Profile is the Profile that was enabled before the Local Enable. </w:t>
      </w:r>
    </w:p>
    <w:p w14:paraId="346EB8B2" w14:textId="77777777" w:rsidR="00B97365" w:rsidRDefault="00000000">
      <w:pPr>
        <w:numPr>
          <w:ilvl w:val="0"/>
          <w:numId w:val="89"/>
        </w:numPr>
      </w:pPr>
      <w:r>
        <w:t>The eUICC and the Device SHALL perform a network attach procedure with the newly Enabled Profile.</w:t>
      </w:r>
    </w:p>
    <w:p w14:paraId="16B0499A" w14:textId="77777777" w:rsidR="00B97365" w:rsidRDefault="00B97365">
      <w:pPr>
        <w:spacing w:before="0"/>
        <w:jc w:val="left"/>
        <w:rPr>
          <w:szCs w:val="22"/>
          <w:lang w:eastAsia="en-GB" w:bidi="ar-SA"/>
        </w:rPr>
      </w:pPr>
    </w:p>
    <w:p w14:paraId="0404509F" w14:textId="77777777" w:rsidR="00B97365" w:rsidRDefault="00000000">
      <w:pPr>
        <w:spacing w:before="0" w:after="160" w:line="259" w:lineRule="auto"/>
        <w:jc w:val="left"/>
        <w:rPr>
          <w:szCs w:val="22"/>
        </w:rPr>
      </w:pPr>
      <w:r>
        <w:rPr>
          <w:szCs w:val="22"/>
        </w:rPr>
        <w:t xml:space="preserve">Dependent on the configuration of the eUICC, the eUICC MAY send a Notification about the </w:t>
      </w:r>
      <w:r>
        <w:rPr>
          <w:lang w:val="en-US" w:eastAsia="en-GB"/>
        </w:rPr>
        <w:t>Profile change after Test Profile disabling</w:t>
      </w:r>
      <w:r>
        <w:rPr>
          <w:szCs w:val="22"/>
        </w:rPr>
        <w:t xml:space="preserve"> to the SM-SR.</w:t>
      </w:r>
    </w:p>
    <w:p w14:paraId="349595AA"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val="en-US" w:eastAsia="en-US"/>
        </w:rPr>
      </w:pPr>
      <w:bookmarkStart w:id="2076" w:name="_Toc1977297"/>
      <w:bookmarkStart w:id="2077" w:name="_Toc37062454"/>
      <w:bookmarkStart w:id="2078" w:name="_Toc88839559"/>
      <w:bookmarkStart w:id="2079" w:name="_Toc121503967"/>
      <w:r>
        <w:rPr>
          <w:rFonts w:eastAsia="Times New Roman" w:cs="Arial"/>
          <w:b/>
          <w:bCs/>
          <w:iCs/>
          <w:sz w:val="24"/>
          <w:szCs w:val="28"/>
          <w:lang w:val="en-US" w:eastAsia="en-US"/>
        </w:rPr>
        <w:t>POL2 Update</w:t>
      </w:r>
      <w:bookmarkEnd w:id="2076"/>
      <w:bookmarkEnd w:id="2077"/>
      <w:bookmarkEnd w:id="2078"/>
      <w:bookmarkEnd w:id="2079"/>
    </w:p>
    <w:p w14:paraId="699B738C" w14:textId="77777777" w:rsidR="00B97365" w:rsidRDefault="00000000">
      <w:pPr>
        <w:rPr>
          <w:rFonts w:eastAsia="Vodafone Rg" w:cs="Calibri"/>
          <w:bCs/>
          <w:kern w:val="22"/>
        </w:rPr>
      </w:pPr>
      <w:r>
        <w:rPr>
          <w:rFonts w:eastAsia="Vodafone Rg" w:cs="Calibri"/>
          <w:bCs/>
          <w:kern w:val="22"/>
        </w:rPr>
        <w:t>This procedure is used by the Operator to update POL2 via the SM-SR.</w:t>
      </w:r>
    </w:p>
    <w:p w14:paraId="0BACA511" w14:textId="77777777" w:rsidR="00B97365" w:rsidRDefault="00B97365">
      <w:pPr>
        <w:jc w:val="center"/>
        <w:rPr>
          <w:rFonts w:eastAsia="Vodafone Rg" w:cs="Calibri"/>
          <w:kern w:val="22"/>
          <w:szCs w:val="22"/>
        </w:rPr>
      </w:pPr>
    </w:p>
    <w:p w14:paraId="7945438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713CA7B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3EFC479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6F5359C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400</w:t>
      </w:r>
    </w:p>
    <w:p w14:paraId="6BA7EC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50</w:t>
      </w:r>
    </w:p>
    <w:p w14:paraId="242F8A7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4EE05E3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08BFD9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658B480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participant “M2M SP” as M2MSP #FFFFFF </w:t>
      </w:r>
    </w:p>
    <w:p w14:paraId="2B569EF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as OP #FFFFFF</w:t>
      </w:r>
    </w:p>
    <w:p w14:paraId="351D37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3CEA1E6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C9D35F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OP-&gt;&gt;SR: (1) UpdatePolicyRules(POL2)</w:t>
      </w:r>
    </w:p>
    <w:p w14:paraId="362D7D0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w:t>
      </w:r>
    </w:p>
    <w:p w14:paraId="0A219BD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Update POL2</w:t>
      </w:r>
    </w:p>
    <w:p w14:paraId="4664EA2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287728C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SR--&gt;&gt;OP: (3) UpdatePolicyRules Result</w:t>
      </w:r>
    </w:p>
    <w:p w14:paraId="7E64B2A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SR-&gt;&gt;M2MSP: (4) Cond: HandleProfilePOL2UpdatedNotification (eid, iccid, POL2)</w:t>
      </w:r>
    </w:p>
    <w:p w14:paraId="7827D39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2AED36FA" w14:textId="77777777" w:rsidR="00B97365" w:rsidRDefault="00000000">
      <w:pPr>
        <w:rPr>
          <w:rFonts w:cs="Courier New"/>
          <w:noProof/>
          <w:color w:val="008000"/>
          <w:sz w:val="18"/>
        </w:rPr>
      </w:pPr>
      <w:r>
        <w:rPr>
          <w:rFonts w:cs="Courier New"/>
          <w:noProof/>
          <w:color w:val="008000"/>
          <w:sz w:val="18"/>
          <w:lang w:eastAsia="en-GB" w:bidi="ar-SA"/>
        </w:rPr>
        <w:drawing>
          <wp:inline distT="0" distB="0" distL="0" distR="0" wp14:anchorId="1B63E372" wp14:editId="621959AA">
            <wp:extent cx="5353050" cy="1866900"/>
            <wp:effectExtent l="0" t="0" r="0" b="0"/>
            <wp:docPr id="449" name="Picture 44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
                    <pic:cNvPicPr/>
                  </pic:nvPicPr>
                  <pic:blipFill>
                    <a:blip r:embed="rId87">
                      <a:extLst>
                        <a:ext uri="{28A0092B-C50C-407E-A947-70E740481C1C}">
                          <a14:useLocalDpi xmlns:a14="http://schemas.microsoft.com/office/drawing/2010/main" val="0"/>
                        </a:ext>
                      </a:extLst>
                    </a:blip>
                    <a:stretch>
                      <a:fillRect/>
                    </a:stretch>
                  </pic:blipFill>
                  <pic:spPr>
                    <a:xfrm>
                      <a:off x="0" y="0"/>
                      <a:ext cx="5353050" cy="1866900"/>
                    </a:xfrm>
                    <a:prstGeom prst="rect">
                      <a:avLst/>
                    </a:prstGeom>
                  </pic:spPr>
                </pic:pic>
              </a:graphicData>
            </a:graphic>
          </wp:inline>
        </w:drawing>
      </w:r>
    </w:p>
    <w:p w14:paraId="6962D6AE" w14:textId="77777777" w:rsidR="00B97365" w:rsidRDefault="00B97365">
      <w:pPr>
        <w:jc w:val="center"/>
        <w:rPr>
          <w:rFonts w:eastAsia="Vodafone Rg" w:cs="Calibri"/>
          <w:kern w:val="22"/>
          <w:szCs w:val="22"/>
        </w:rPr>
      </w:pPr>
    </w:p>
    <w:p w14:paraId="0FD2C474" w14:textId="77777777" w:rsidR="00B97365" w:rsidRDefault="00B97365">
      <w:pPr>
        <w:spacing w:before="0"/>
        <w:jc w:val="left"/>
        <w:rPr>
          <w:lang w:val="en-US"/>
        </w:rPr>
      </w:pPr>
    </w:p>
    <w:p w14:paraId="23C7578E" w14:textId="77777777" w:rsidR="00B97365" w:rsidRDefault="00000000">
      <w:pPr>
        <w:tabs>
          <w:tab w:val="left" w:pos="1009"/>
        </w:tabs>
        <w:spacing w:before="0" w:after="200" w:line="276" w:lineRule="auto"/>
        <w:ind w:left="360"/>
        <w:jc w:val="center"/>
        <w:rPr>
          <w:rFonts w:cs="Arial"/>
          <w:b/>
          <w:szCs w:val="22"/>
          <w:lang w:val="en-US" w:eastAsia="en-GB" w:bidi="ar-SA"/>
        </w:rPr>
      </w:pPr>
      <w:r>
        <w:rPr>
          <w:rFonts w:cs="Arial"/>
          <w:b/>
          <w:szCs w:val="22"/>
          <w:lang w:val="en-US" w:eastAsia="en-GB" w:bidi="ar-SA"/>
        </w:rPr>
        <w:t>Figure 324: POL2 Update</w:t>
      </w:r>
    </w:p>
    <w:p w14:paraId="3176AC04" w14:textId="77777777" w:rsidR="00B97365" w:rsidRDefault="00000000">
      <w:pPr>
        <w:tabs>
          <w:tab w:val="left" w:pos="397"/>
          <w:tab w:val="right" w:pos="9015"/>
        </w:tabs>
        <w:spacing w:before="0" w:after="40" w:line="276" w:lineRule="auto"/>
        <w:ind w:left="397" w:right="680" w:hanging="397"/>
        <w:jc w:val="left"/>
        <w:rPr>
          <w:b/>
          <w:noProof/>
          <w:kern w:val="22"/>
          <w:szCs w:val="22"/>
        </w:rPr>
      </w:pPr>
      <w:r>
        <w:rPr>
          <w:rFonts w:cs="Arial"/>
          <w:b/>
          <w:noProof/>
          <w:kern w:val="22"/>
          <w:szCs w:val="22"/>
        </w:rPr>
        <w:t>Start Conditions:</w:t>
      </w:r>
    </w:p>
    <w:p w14:paraId="30B1EF98" w14:textId="01C5F198" w:rsidR="00B97365" w:rsidRDefault="00000000">
      <w:pPr>
        <w:rPr>
          <w:rFonts w:eastAsia="Vodafone Rg" w:cs="Calibri"/>
          <w:bCs/>
          <w:kern w:val="22"/>
          <w:szCs w:val="22"/>
        </w:rPr>
      </w:pPr>
      <w:r>
        <w:rPr>
          <w:rFonts w:eastAsia="Vodafone Rg" w:cs="Calibri"/>
          <w:bCs/>
          <w:kern w:val="22"/>
          <w:szCs w:val="22"/>
        </w:rPr>
        <w:t xml:space="preserve">The start conditions are described in </w:t>
      </w:r>
      <w:r>
        <w:rPr>
          <w:szCs w:val="22"/>
          <w:lang w:val="en-US"/>
        </w:rPr>
        <w:t>GSMA Remote Provisioning Architecture for the Embedded UICC</w:t>
      </w:r>
      <w:r>
        <w:rPr>
          <w:rFonts w:eastAsia="Vodafone Rg" w:cs="Calibri"/>
          <w:bCs/>
          <w:kern w:val="22"/>
          <w:szCs w:val="22"/>
          <w:lang w:val="en-US"/>
        </w:rPr>
        <w:t xml:space="preserve"> </w:t>
      </w:r>
      <w:r>
        <w:rPr>
          <w:rFonts w:eastAsia="Vodafone Rg" w:cs="Calibri"/>
          <w:bCs/>
          <w:kern w:val="22"/>
          <w:szCs w:val="22"/>
        </w:rPr>
        <w:fldChar w:fldCharType="begin"/>
      </w:r>
      <w:r>
        <w:rPr>
          <w:rFonts w:eastAsia="Vodafone Rg" w:cs="Calibri"/>
          <w:bCs/>
          <w:kern w:val="22"/>
          <w:szCs w:val="22"/>
        </w:rPr>
        <w:instrText xml:space="preserve"> REF _Ref421631399 \r \h </w:instrText>
      </w:r>
      <w:r>
        <w:rPr>
          <w:rFonts w:eastAsia="Vodafone Rg" w:cs="Calibri"/>
          <w:bCs/>
          <w:kern w:val="22"/>
          <w:szCs w:val="22"/>
        </w:rPr>
      </w:r>
      <w:r>
        <w:rPr>
          <w:rFonts w:eastAsia="Vodafone Rg" w:cs="Calibri"/>
          <w:bCs/>
          <w:kern w:val="22"/>
          <w:szCs w:val="22"/>
        </w:rPr>
        <w:fldChar w:fldCharType="separate"/>
      </w:r>
      <w:r w:rsidR="001D5AD9">
        <w:rPr>
          <w:rFonts w:eastAsia="Vodafone Rg" w:cs="Calibri"/>
          <w:bCs/>
          <w:kern w:val="22"/>
          <w:szCs w:val="22"/>
        </w:rPr>
        <w:t>[1]</w:t>
      </w:r>
      <w:r>
        <w:rPr>
          <w:rFonts w:eastAsia="Vodafone Rg" w:cs="Calibri"/>
          <w:bCs/>
          <w:kern w:val="22"/>
          <w:szCs w:val="22"/>
        </w:rPr>
        <w:fldChar w:fldCharType="end"/>
      </w:r>
      <w:r>
        <w:rPr>
          <w:rFonts w:eastAsia="Vodafone Rg" w:cs="Calibri"/>
          <w:bCs/>
          <w:kern w:val="22"/>
          <w:szCs w:val="22"/>
        </w:rPr>
        <w:t>.</w:t>
      </w:r>
    </w:p>
    <w:p w14:paraId="35416167" w14:textId="77777777" w:rsidR="00B97365" w:rsidRDefault="00B97365">
      <w:pPr>
        <w:tabs>
          <w:tab w:val="left" w:pos="397"/>
          <w:tab w:val="right" w:pos="9015"/>
        </w:tabs>
        <w:spacing w:before="0" w:after="40" w:line="276" w:lineRule="auto"/>
        <w:ind w:left="397" w:right="680" w:hanging="397"/>
        <w:jc w:val="left"/>
        <w:rPr>
          <w:rFonts w:cs="Arial"/>
          <w:noProof/>
          <w:kern w:val="22"/>
          <w:szCs w:val="22"/>
        </w:rPr>
      </w:pPr>
    </w:p>
    <w:p w14:paraId="28427553" w14:textId="77777777" w:rsidR="00B97365" w:rsidRDefault="00000000">
      <w:pPr>
        <w:tabs>
          <w:tab w:val="left" w:pos="397"/>
          <w:tab w:val="right" w:pos="9015"/>
        </w:tabs>
        <w:spacing w:before="0" w:after="40" w:line="276" w:lineRule="auto"/>
        <w:ind w:left="397" w:right="680" w:hanging="397"/>
        <w:jc w:val="left"/>
        <w:rPr>
          <w:b/>
          <w:noProof/>
          <w:kern w:val="22"/>
          <w:szCs w:val="22"/>
        </w:rPr>
      </w:pPr>
      <w:r>
        <w:rPr>
          <w:rFonts w:cs="Arial"/>
          <w:b/>
          <w:noProof/>
          <w:kern w:val="22"/>
          <w:szCs w:val="22"/>
        </w:rPr>
        <w:t>Procedure:</w:t>
      </w:r>
    </w:p>
    <w:p w14:paraId="189BC0E1" w14:textId="1360F39D" w:rsidR="00B97365" w:rsidRDefault="00000000">
      <w:pPr>
        <w:numPr>
          <w:ilvl w:val="0"/>
          <w:numId w:val="90"/>
        </w:numPr>
      </w:pPr>
      <w:r>
        <w:t>The Operator owner of the target Profile SHALL call the “</w:t>
      </w:r>
      <w:r>
        <w:rPr>
          <w:b/>
        </w:rPr>
        <w:t>ES4.UpdatePolicyRules</w:t>
      </w:r>
      <w:r>
        <w:t xml:space="preserve">” function with its relevant input data, as described in section </w:t>
      </w:r>
      <w:r>
        <w:fldChar w:fldCharType="begin"/>
      </w:r>
      <w:r>
        <w:instrText xml:space="preserve"> REF _Ref367978202 \r \h  \* MERGEFORMAT </w:instrText>
      </w:r>
      <w:r>
        <w:fldChar w:fldCharType="separate"/>
      </w:r>
      <w:r w:rsidR="001D5AD9">
        <w:t>5.3.3</w:t>
      </w:r>
      <w:r>
        <w:fldChar w:fldCharType="end"/>
      </w:r>
      <w:r>
        <w:t>.</w:t>
      </w:r>
    </w:p>
    <w:p w14:paraId="2A433568" w14:textId="77777777" w:rsidR="00B97365" w:rsidRDefault="00000000">
      <w:pPr>
        <w:numPr>
          <w:ilvl w:val="0"/>
          <w:numId w:val="90"/>
        </w:numPr>
      </w:pPr>
      <w:r>
        <w:t>The SM-SR SHALL update the POL2 of the targeted eUICC’s EIS.</w:t>
      </w:r>
    </w:p>
    <w:p w14:paraId="6F649D10" w14:textId="77777777" w:rsidR="00B97365" w:rsidRDefault="00000000">
      <w:pPr>
        <w:numPr>
          <w:ilvl w:val="0"/>
          <w:numId w:val="90"/>
        </w:numPr>
      </w:pPr>
      <w:r>
        <w:t>The SM-SR SHALL return the execution status of the “</w:t>
      </w:r>
      <w:r>
        <w:rPr>
          <w:b/>
        </w:rPr>
        <w:t>ES4.UpdatePolicyRules</w:t>
      </w:r>
      <w:r>
        <w:t xml:space="preserve">” to the Operator. </w:t>
      </w:r>
    </w:p>
    <w:p w14:paraId="01EA5731" w14:textId="77777777" w:rsidR="00B97365" w:rsidRDefault="00000000">
      <w:pPr>
        <w:numPr>
          <w:ilvl w:val="0"/>
          <w:numId w:val="90"/>
        </w:numPr>
      </w:pPr>
      <w:r>
        <w:t xml:space="preserve">The SM-SR SHALL send the </w:t>
      </w:r>
      <w:r>
        <w:rPr>
          <w:b/>
        </w:rPr>
        <w:t>“ES4.HandleProfilePOL2UpdatedNotification”</w:t>
      </w:r>
      <w:r>
        <w:t xml:space="preserve"> to a M2M SP, if authorised by the Operator owning the Profile, indicating the updated POL2 rules according to chapter 5.1.1.2.2. </w:t>
      </w:r>
    </w:p>
    <w:p w14:paraId="161FA754" w14:textId="77777777" w:rsidR="00B97365" w:rsidRDefault="00000000">
      <w:pPr>
        <w:ind w:left="360"/>
      </w:pPr>
      <w:r>
        <w:t>If the M2M SP is another Operator directly connected to the SM-SR and it is authorised by the Operator owning the Profile, the SM-SR SHALL send this notification to this other Operator by calling the “</w:t>
      </w:r>
      <w:r>
        <w:rPr>
          <w:b/>
        </w:rPr>
        <w:t>ES4.HandleProfilePOL2UpdatedNotification</w:t>
      </w:r>
      <w:r>
        <w:t>”.</w:t>
      </w:r>
    </w:p>
    <w:p w14:paraId="576301A8" w14:textId="77777777" w:rsidR="00B97365" w:rsidRDefault="00000000">
      <w:pPr>
        <w:ind w:left="360"/>
        <w:rPr>
          <w:rFonts w:eastAsia="Vodafone Rg" w:cs="Calibri"/>
          <w:bCs/>
          <w:kern w:val="22"/>
        </w:rPr>
      </w:pPr>
      <w:r>
        <w:t xml:space="preserve">If the M2M SP is another Operator connected through its SM-DP and it is authorised by the Operator owning the Profile, the SM-SR SHALL send this notification to the SM-DP </w:t>
      </w:r>
      <w:r>
        <w:lastRenderedPageBreak/>
        <w:t>associated to this other Operator by calling the “</w:t>
      </w:r>
      <w:r>
        <w:rPr>
          <w:b/>
        </w:rPr>
        <w:t>ES3.HandleProfilePOL2UpdatedNotification</w:t>
      </w:r>
      <w:r>
        <w:t>”.</w:t>
      </w:r>
      <w:r>
        <w:br/>
        <w:t>Then the SM-DP, on reception of this notification, SHALL forward it to the Operator, acting as the M2M SP, by calling the “</w:t>
      </w:r>
      <w:r>
        <w:rPr>
          <w:b/>
        </w:rPr>
        <w:t>ES2.HandleProfilePOL2UpdatedNotification</w:t>
      </w:r>
      <w:r>
        <w:t>”</w:t>
      </w:r>
    </w:p>
    <w:p w14:paraId="0C436718" w14:textId="77777777" w:rsidR="00B97365" w:rsidRDefault="00000000">
      <w:pPr>
        <w:keepNext/>
        <w:keepLines/>
        <w:numPr>
          <w:ilvl w:val="1"/>
          <w:numId w:val="1"/>
        </w:numPr>
        <w:spacing w:before="240" w:after="60" w:line="276" w:lineRule="auto"/>
        <w:jc w:val="left"/>
        <w:outlineLvl w:val="1"/>
        <w:rPr>
          <w:rFonts w:eastAsia="Vodafone Rg" w:cs="Arial"/>
          <w:b/>
          <w:bCs/>
          <w:iCs/>
          <w:sz w:val="24"/>
          <w:szCs w:val="28"/>
          <w:lang w:eastAsia="en-US"/>
        </w:rPr>
      </w:pPr>
      <w:bookmarkStart w:id="2080" w:name="_Ref536172225"/>
      <w:bookmarkStart w:id="2081" w:name="_Toc1977298"/>
      <w:bookmarkStart w:id="2082" w:name="_Toc37062455"/>
      <w:bookmarkStart w:id="2083" w:name="_Toc88839560"/>
      <w:bookmarkStart w:id="2084" w:name="_Toc121503968"/>
      <w:r>
        <w:rPr>
          <w:rFonts w:eastAsia="Vodafone Rg" w:cs="Arial"/>
          <w:b/>
          <w:bCs/>
          <w:iCs/>
          <w:sz w:val="24"/>
          <w:szCs w:val="28"/>
          <w:lang w:eastAsia="en-US"/>
        </w:rPr>
        <w:t>Emergency Profile Attribute Management</w:t>
      </w:r>
      <w:bookmarkEnd w:id="2080"/>
      <w:bookmarkEnd w:id="2081"/>
      <w:bookmarkEnd w:id="2082"/>
      <w:bookmarkEnd w:id="2083"/>
      <w:bookmarkEnd w:id="2084"/>
    </w:p>
    <w:p w14:paraId="10D6CE20" w14:textId="77777777" w:rsidR="00B97365" w:rsidRDefault="00000000">
      <w:pPr>
        <w:rPr>
          <w:lang w:eastAsia="en-US"/>
        </w:rPr>
      </w:pPr>
      <w:r>
        <w:rPr>
          <w:lang w:eastAsia="en-US"/>
        </w:rPr>
        <w:t>This procedure specifies setting the Emergency Profile Attribute for a Profile when no other Profile has the Emergency Profile Attribute set (case 1), or, a change regarding the Profile that has the Emergency Profile Attribute set (case 2). For case 2, the Operator1 owning the Profile that currently has the Emergency Profile Attribute set and the Operator2 that wants to set the Emergency Profile Attribute on its own Profile SHALL have an agreement. This agreement is materialized by the Operator1 setting a PLMA where it MAY grant Operator2 the authorisation to unset the Emergency Profile Attribute on this Operator1 Profile.</w:t>
      </w:r>
    </w:p>
    <w:p w14:paraId="1BAE6344" w14:textId="77777777" w:rsidR="00B97365" w:rsidRDefault="00000000">
      <w:pPr>
        <w:rPr>
          <w:lang w:eastAsia="en-US"/>
        </w:rPr>
      </w:pPr>
      <w:r>
        <w:rPr>
          <w:lang w:eastAsia="en-US"/>
        </w:rPr>
        <w:t>NOTE</w:t>
      </w:r>
      <w:r>
        <w:rPr>
          <w:lang w:eastAsia="en-US"/>
        </w:rPr>
        <w:tab/>
        <w:t>There is no operation that explicitly unsets the Emergency Profile Attribute on a Profile. The Emergency Profile Attribute is only unset as a consequence of setting the Emergency Profile Attribute on another Profile.</w:t>
      </w:r>
    </w:p>
    <w:p w14:paraId="0C22DFAE" w14:textId="77777777" w:rsidR="00B97365" w:rsidRDefault="00B97365">
      <w:pPr>
        <w:rPr>
          <w:lang w:eastAsia="en-US"/>
        </w:rPr>
      </w:pPr>
    </w:p>
    <w:p w14:paraId="30EBBDA0" w14:textId="77777777" w:rsidR="00B97365" w:rsidRDefault="00000000">
      <w:pPr>
        <w:rPr>
          <w:lang w:eastAsia="en-US"/>
        </w:rPr>
      </w:pPr>
      <w:r>
        <w:rPr>
          <w:lang w:eastAsia="en-US"/>
        </w:rPr>
        <w:t>For case 1 the procedure below applies:</w:t>
      </w:r>
    </w:p>
    <w:p w14:paraId="5ED66B6E" w14:textId="77777777" w:rsidR="00B97365" w:rsidRDefault="00B97365">
      <w:pPr>
        <w:rPr>
          <w:lang w:eastAsia="en-US"/>
        </w:rPr>
      </w:pPr>
    </w:p>
    <w:p w14:paraId="62E43FA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696B3B6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51D254F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0D12D90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71BE19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73A9483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04496A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SP #FFFFFF</w:t>
      </w:r>
    </w:p>
    <w:p w14:paraId="2254B73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1\n&lt;size:10&gt;(owning Profile A)&lt;/size&gt;” as OP1 #FFFFFF</w:t>
      </w:r>
    </w:p>
    <w:p w14:paraId="2705D9C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2\n&lt;size:10&gt;(owning Profile B)&lt;/size&gt;” as OP2 #FFFFFF</w:t>
      </w:r>
    </w:p>
    <w:p w14:paraId="268079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29C1943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025FD9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“eUICC” as EUICC #FFFFFF</w:t>
      </w:r>
    </w:p>
    <w:p w14:paraId="32305C9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45C99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Alt [via SM-SR]</w:t>
      </w:r>
    </w:p>
    <w:p w14:paraId="6F85E80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OP2-&gt;SR: [1.a] ES4.SetEmergencyProfileAttribute(EID,ICCID)\non Profile B Request</w:t>
      </w:r>
    </w:p>
    <w:p w14:paraId="7F232D1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38659A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Else [via SM-DP]</w:t>
      </w:r>
    </w:p>
    <w:p w14:paraId="5429097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OP2-&gt;DP: [1.b] ES2.SetEmergencyProfileAttribute(EID,SMSR-ID,ICCID)\non Profile B Request</w:t>
      </w:r>
    </w:p>
    <w:p w14:paraId="455E13B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52757B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DP #FFFFFF</w:t>
      </w:r>
    </w:p>
    <w:p w14:paraId="115D6B4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Identify SM-SR</w:t>
      </w:r>
    </w:p>
    <w:p w14:paraId="47E8CA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8A880F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368778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DP&lt;-&gt;SR: Mutual Authentication</w:t>
      </w:r>
    </w:p>
    <w:p w14:paraId="59BD0EF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4F3EC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DP-&gt;SR: [1.c] ES3.SetEmergencyProfileAttribute(EID,ICCID)\non Profile B Request</w:t>
      </w:r>
    </w:p>
    <w:p w14:paraId="5CCB859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6D186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2F243AC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BF080F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SR-&gt;EUICC: [2] ES5.SetEmergencyProfileAttribute(ISD-P AID)\non Profile B</w:t>
      </w:r>
    </w:p>
    <w:p w14:paraId="748F9FC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4F1634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EUICC #FFFFFF</w:t>
      </w:r>
    </w:p>
    <w:p w14:paraId="7B7B118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[3a] Verify if Profile B has not set Fall-Back Attribute</w:t>
      </w:r>
    </w:p>
    <w:p w14:paraId="3B5C6DB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3E9E11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EUICC--&gt;SR: [3.a] Send STORE DATA response indicating an error</w:t>
      </w:r>
    </w:p>
    <w:p w14:paraId="1E6E1B5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11C5B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EUICC #FFFFFF</w:t>
      </w:r>
    </w:p>
    <w:p w14:paraId="37F42D1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[3b] Set Emergency Profile Attribute on Profile B</w:t>
      </w:r>
    </w:p>
    <w:p w14:paraId="2D71CF8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02323D2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C60472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EUICC-&gt;SR: [4] SetEmergencyProfileAttribute response  </w:t>
      </w:r>
    </w:p>
    <w:p w14:paraId="74974C8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B60F82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021D6A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[5] EIS Update(AdditionalProperty)</w:t>
      </w:r>
    </w:p>
    <w:p w14:paraId="3D9CEAAF"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 xml:space="preserve">Endrnote </w:t>
      </w:r>
    </w:p>
    <w:p w14:paraId="47E3FF76"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0CC3214"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Alt [via SM-SR]</w:t>
      </w:r>
    </w:p>
    <w:p w14:paraId="04A9E570"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SR-&gt;OP2: 6.a] ES4.HandleEmergencyProfileAttributeSetNotification\non Profile B Request</w:t>
      </w:r>
    </w:p>
    <w:p w14:paraId="04D3A7B3"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SR-&gt;OP1</w:t>
      </w:r>
    </w:p>
    <w:p w14:paraId="46D51F5F"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92152D4"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Else [via SM-DP]</w:t>
      </w:r>
    </w:p>
    <w:p w14:paraId="0E738E9F"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2332A21"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SR-&gt;DP: [6.b] ES3.SetEmergencyProfileAttribute(EID,ICCID)\non Profile B Request</w:t>
      </w:r>
    </w:p>
    <w:p w14:paraId="7FE3E896"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55EAFF6"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DP-&gt;OP2: [6.c] ES2.HandleEmergencyProfileAttributeSetNotification\non Profile B Request</w:t>
      </w:r>
    </w:p>
    <w:p w14:paraId="7C916FAB"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275E44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2FC2C2F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DBE7BD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Opt [If if requested by Operator 2]</w:t>
      </w:r>
    </w:p>
    <w:p w14:paraId="6FA18F1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SR-&gt;SP: [7] HandleEmergencyProfileAttributeSetNotification of Profile B</w:t>
      </w:r>
    </w:p>
    <w:p w14:paraId="23FC4B9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20ECA3A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314F995C" w14:textId="77777777" w:rsidR="00B97365" w:rsidRDefault="00000000">
      <w:pPr>
        <w:rPr>
          <w:rFonts w:cs="Courier New"/>
          <w:noProof/>
          <w:color w:val="008000"/>
          <w:sz w:val="18"/>
          <w:lang w:eastAsia="en-US"/>
        </w:rPr>
      </w:pPr>
      <w:r>
        <w:rPr>
          <w:rFonts w:cs="Courier New"/>
          <w:noProof/>
          <w:color w:val="008000"/>
          <w:sz w:val="18"/>
          <w:lang w:eastAsia="en-GB" w:bidi="ar-SA"/>
        </w:rPr>
        <w:lastRenderedPageBreak/>
        <w:drawing>
          <wp:inline distT="0" distB="0" distL="0" distR="0" wp14:anchorId="0191B304" wp14:editId="4D8D5547">
            <wp:extent cx="5731510" cy="3177207"/>
            <wp:effectExtent l="0" t="0" r="2540" b="4445"/>
            <wp:docPr id="463" name="Picture 46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3177207"/>
                    </a:xfrm>
                    <a:prstGeom prst="rect">
                      <a:avLst/>
                    </a:prstGeom>
                  </pic:spPr>
                </pic:pic>
              </a:graphicData>
            </a:graphic>
          </wp:inline>
        </w:drawing>
      </w:r>
    </w:p>
    <w:p w14:paraId="55BB27C7"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325-A: Emergency Profile Attribute Management (case 1: first Emergency Profile)</w:t>
      </w:r>
    </w:p>
    <w:p w14:paraId="07F1D078" w14:textId="77777777" w:rsidR="00B97365" w:rsidRDefault="00000000">
      <w:pPr>
        <w:rPr>
          <w:b/>
        </w:rPr>
      </w:pPr>
      <w:r>
        <w:rPr>
          <w:b/>
        </w:rPr>
        <w:t>Start Conditions (case 1):</w:t>
      </w:r>
    </w:p>
    <w:p w14:paraId="62D73088" w14:textId="77777777" w:rsidR="00B97365" w:rsidRDefault="00000000">
      <w:pPr>
        <w:numPr>
          <w:ilvl w:val="0"/>
          <w:numId w:val="70"/>
        </w:numPr>
        <w:spacing w:before="0"/>
        <w:contextualSpacing/>
        <w:rPr>
          <w:szCs w:val="22"/>
          <w:lang w:eastAsia="en-GB" w:bidi="ar-SA"/>
        </w:rPr>
      </w:pPr>
      <w:r>
        <w:rPr>
          <w:szCs w:val="22"/>
          <w:lang w:eastAsia="en-GB" w:bidi="ar-SA"/>
        </w:rPr>
        <w:t>No Profile with Emergency Profile Attribute set exists.</w:t>
      </w:r>
    </w:p>
    <w:p w14:paraId="746DC04C" w14:textId="77777777" w:rsidR="00B97365" w:rsidRDefault="00000000">
      <w:pPr>
        <w:numPr>
          <w:ilvl w:val="0"/>
          <w:numId w:val="70"/>
        </w:numPr>
        <w:contextualSpacing/>
        <w:rPr>
          <w:szCs w:val="22"/>
          <w:lang w:eastAsia="en-GB" w:bidi="ar-SA"/>
        </w:rPr>
      </w:pPr>
      <w:r>
        <w:rPr>
          <w:szCs w:val="22"/>
          <w:lang w:eastAsia="en-GB" w:bidi="ar-SA"/>
        </w:rPr>
        <w:t>Profile B, targeted to have the Emergency Profile Attribute set is present on the eUICC and disabled</w:t>
      </w:r>
    </w:p>
    <w:p w14:paraId="31771D38" w14:textId="77777777" w:rsidR="00B97365" w:rsidRDefault="00000000">
      <w:pPr>
        <w:numPr>
          <w:ilvl w:val="0"/>
          <w:numId w:val="70"/>
        </w:numPr>
        <w:contextualSpacing/>
        <w:rPr>
          <w:szCs w:val="22"/>
          <w:lang w:eastAsia="en-GB" w:bidi="ar-SA"/>
        </w:rPr>
      </w:pPr>
      <w:r>
        <w:rPr>
          <w:szCs w:val="22"/>
          <w:lang w:eastAsia="en-GB" w:bidi="ar-SA"/>
        </w:rPr>
        <w:t>Profile B does not have the Fall-Back Attribute set.</w:t>
      </w:r>
    </w:p>
    <w:p w14:paraId="41A8BFB1" w14:textId="77777777" w:rsidR="00B97365" w:rsidRDefault="00000000">
      <w:pPr>
        <w:rPr>
          <w:b/>
        </w:rPr>
      </w:pPr>
      <w:r>
        <w:rPr>
          <w:b/>
        </w:rPr>
        <w:t>Procedure (case 1):</w:t>
      </w:r>
    </w:p>
    <w:p w14:paraId="01CEB4AF" w14:textId="77777777" w:rsidR="00B97365" w:rsidRDefault="00000000">
      <w:pPr>
        <w:numPr>
          <w:ilvl w:val="0"/>
          <w:numId w:val="91"/>
        </w:numPr>
        <w:rPr>
          <w:szCs w:val="22"/>
        </w:rPr>
      </w:pPr>
      <w:r>
        <w:rPr>
          <w:szCs w:val="22"/>
        </w:rPr>
        <w:t>The Operator2 owning Profile B requests setting of the Emergency Profile Attribute on Profile B to the SM-SR, either directly (1.a) by calling the “</w:t>
      </w:r>
      <w:r>
        <w:rPr>
          <w:b/>
          <w:szCs w:val="22"/>
        </w:rPr>
        <w:t>ES4.SetEmergencyProfileAttribute”</w:t>
      </w:r>
      <w:r>
        <w:rPr>
          <w:szCs w:val="22"/>
        </w:rPr>
        <w:t xml:space="preserve"> function with the relevant input parameters or through its SM-DP (1.b) by calling the “</w:t>
      </w:r>
      <w:r>
        <w:rPr>
          <w:b/>
          <w:szCs w:val="22"/>
        </w:rPr>
        <w:t>ES2.SetEmergencyProfileAttribute”</w:t>
      </w:r>
      <w:r>
        <w:rPr>
          <w:szCs w:val="22"/>
        </w:rPr>
        <w:t xml:space="preserve"> function with the relevant input parameters and the SM-DP forwarding the request to the SM-SR (1c) by calling the “</w:t>
      </w:r>
      <w:r>
        <w:rPr>
          <w:b/>
          <w:szCs w:val="22"/>
        </w:rPr>
        <w:t xml:space="preserve">ES3.SetEmergencyProfileAttribute” </w:t>
      </w:r>
      <w:r>
        <w:rPr>
          <w:szCs w:val="22"/>
        </w:rPr>
        <w:t>function with the relevant input parameters.</w:t>
      </w:r>
    </w:p>
    <w:p w14:paraId="71F646B5" w14:textId="77777777" w:rsidR="00B97365" w:rsidRDefault="00000000">
      <w:pPr>
        <w:numPr>
          <w:ilvl w:val="0"/>
          <w:numId w:val="91"/>
        </w:numPr>
        <w:rPr>
          <w:szCs w:val="22"/>
        </w:rPr>
      </w:pPr>
      <w:r>
        <w:rPr>
          <w:szCs w:val="22"/>
        </w:rPr>
        <w:t>The SM-SR, by calling the “</w:t>
      </w:r>
      <w:r>
        <w:rPr>
          <w:b/>
          <w:szCs w:val="22"/>
        </w:rPr>
        <w:t>ES5.SetEmergencyProfileAttribute”</w:t>
      </w:r>
      <w:r>
        <w:rPr>
          <w:szCs w:val="22"/>
        </w:rPr>
        <w:t xml:space="preserve"> function, requests the eUICC to set the Emergency Profile Attribute to the Profile B.</w:t>
      </w:r>
    </w:p>
    <w:p w14:paraId="1003833F" w14:textId="77777777" w:rsidR="00B97365" w:rsidRDefault="00000000">
      <w:pPr>
        <w:numPr>
          <w:ilvl w:val="0"/>
          <w:numId w:val="91"/>
        </w:numPr>
        <w:rPr>
          <w:szCs w:val="22"/>
        </w:rPr>
      </w:pPr>
      <w:r>
        <w:rPr>
          <w:szCs w:val="22"/>
        </w:rPr>
        <w:t xml:space="preserve">The eUICC SHALL verify that Profile B does not have the Fall-Back Attribute set (3a) and SHALL then set the Emergency Profile Attribute to Profile B (3b). </w:t>
      </w:r>
    </w:p>
    <w:p w14:paraId="71CECB3F" w14:textId="77777777" w:rsidR="00B97365" w:rsidRDefault="00000000">
      <w:pPr>
        <w:numPr>
          <w:ilvl w:val="1"/>
          <w:numId w:val="71"/>
        </w:numPr>
        <w:spacing w:before="0"/>
        <w:rPr>
          <w:rFonts w:eastAsia="Calibri"/>
          <w:szCs w:val="22"/>
          <w:lang w:eastAsia="en-US" w:bidi="ar-SA"/>
        </w:rPr>
      </w:pPr>
      <w:r>
        <w:rPr>
          <w:rFonts w:eastAsia="Calibri"/>
          <w:szCs w:val="22"/>
          <w:lang w:eastAsia="en-US" w:bidi="ar-SA"/>
        </w:rPr>
        <w:t>If the conditions (3a) is not true, the eUICC SHALL abort the procedure and SHALL send an error response to the SM-SR as detailed in the “</w:t>
      </w:r>
      <w:r>
        <w:rPr>
          <w:rFonts w:eastAsia="Calibri"/>
          <w:b/>
          <w:szCs w:val="22"/>
          <w:lang w:eastAsia="en-US" w:bidi="ar-SA"/>
        </w:rPr>
        <w:t>ES5.SetEmergencyProfileAttribute”</w:t>
      </w:r>
      <w:r>
        <w:rPr>
          <w:rFonts w:eastAsia="Calibri"/>
          <w:szCs w:val="22"/>
          <w:lang w:eastAsia="en-US" w:bidi="ar-SA"/>
        </w:rPr>
        <w:t xml:space="preserve"> function.</w:t>
      </w:r>
    </w:p>
    <w:p w14:paraId="2558150B" w14:textId="77777777" w:rsidR="00B97365" w:rsidRDefault="00000000">
      <w:pPr>
        <w:numPr>
          <w:ilvl w:val="0"/>
          <w:numId w:val="91"/>
        </w:numPr>
        <w:rPr>
          <w:szCs w:val="22"/>
        </w:rPr>
      </w:pPr>
      <w:r>
        <w:rPr>
          <w:szCs w:val="22"/>
        </w:rPr>
        <w:t>The eUICC SHALL send the “</w:t>
      </w:r>
      <w:r>
        <w:rPr>
          <w:b/>
          <w:szCs w:val="22"/>
        </w:rPr>
        <w:t>ES5.SetEmergencyProfileAttribute”</w:t>
      </w:r>
      <w:r>
        <w:rPr>
          <w:szCs w:val="22"/>
        </w:rPr>
        <w:t xml:space="preserve"> response to the SM-SR</w:t>
      </w:r>
    </w:p>
    <w:p w14:paraId="3F2C02DD" w14:textId="77777777" w:rsidR="00B97365" w:rsidRDefault="00000000">
      <w:pPr>
        <w:numPr>
          <w:ilvl w:val="0"/>
          <w:numId w:val="91"/>
        </w:numPr>
        <w:rPr>
          <w:szCs w:val="22"/>
        </w:rPr>
      </w:pPr>
      <w:r>
        <w:rPr>
          <w:szCs w:val="22"/>
        </w:rPr>
        <w:t xml:space="preserve">The SM-SR SHALL update the EIS accordingly by adding the information that the Emergency Profile has been set on Profile B in the AdditionalProperty field. </w:t>
      </w:r>
    </w:p>
    <w:p w14:paraId="1676B726" w14:textId="77777777" w:rsidR="00B97365" w:rsidRDefault="00000000">
      <w:pPr>
        <w:numPr>
          <w:ilvl w:val="0"/>
          <w:numId w:val="91"/>
        </w:numPr>
        <w:rPr>
          <w:szCs w:val="22"/>
        </w:rPr>
      </w:pPr>
      <w:r>
        <w:rPr>
          <w:szCs w:val="22"/>
        </w:rPr>
        <w:t xml:space="preserve">Based on ONC, the SM-SR SHALL notify to all Operators, having a Profile on this eUICC, either directly (6a) by calling the </w:t>
      </w:r>
      <w:r>
        <w:rPr>
          <w:szCs w:val="22"/>
        </w:rPr>
        <w:lastRenderedPageBreak/>
        <w:t>“</w:t>
      </w:r>
      <w:r>
        <w:rPr>
          <w:b/>
          <w:szCs w:val="22"/>
        </w:rPr>
        <w:t>ES4.</w:t>
      </w:r>
      <w:r>
        <w:rPr>
          <w:b/>
          <w:szCs w:val="22"/>
          <w:lang w:val="en-US" w:eastAsia="en-GB"/>
        </w:rPr>
        <w:t>Handle</w:t>
      </w:r>
      <w:r>
        <w:rPr>
          <w:rFonts w:cs="Arial"/>
          <w:b/>
          <w:szCs w:val="22"/>
          <w:lang w:val="en-US" w:eastAsia="en-GB"/>
        </w:rPr>
        <w:t>EmergencyProfile</w:t>
      </w:r>
      <w:r>
        <w:rPr>
          <w:b/>
          <w:szCs w:val="22"/>
          <w:lang w:val="en-US" w:eastAsia="en-GB"/>
        </w:rPr>
        <w:t>AttributeSetNotification”</w:t>
      </w:r>
      <w:r>
        <w:rPr>
          <w:szCs w:val="22"/>
          <w:lang w:val="en-US" w:eastAsia="en-GB"/>
        </w:rPr>
        <w:t>, or via the SM-DP (6b) by calling the “</w:t>
      </w:r>
      <w:r>
        <w:rPr>
          <w:b/>
          <w:szCs w:val="22"/>
          <w:lang w:val="en-US" w:eastAsia="en-GB"/>
        </w:rPr>
        <w:t>ES3.Handle</w:t>
      </w:r>
      <w:r>
        <w:rPr>
          <w:rFonts w:cs="Arial"/>
          <w:b/>
          <w:szCs w:val="22"/>
          <w:lang w:val="en-US" w:eastAsia="en-GB"/>
        </w:rPr>
        <w:t>EmergencyProfile</w:t>
      </w:r>
      <w:r>
        <w:rPr>
          <w:b/>
          <w:szCs w:val="22"/>
          <w:lang w:val="en-US" w:eastAsia="en-GB"/>
        </w:rPr>
        <w:t>AttributeSetNotification”</w:t>
      </w:r>
      <w:r>
        <w:rPr>
          <w:szCs w:val="22"/>
          <w:lang w:val="en-US" w:eastAsia="en-GB"/>
        </w:rPr>
        <w:t xml:space="preserve"> and the SM-DP SHALL forward the notification (6c) by calling the “</w:t>
      </w:r>
      <w:r>
        <w:rPr>
          <w:b/>
          <w:szCs w:val="22"/>
          <w:lang w:val="en-US" w:eastAsia="en-GB"/>
        </w:rPr>
        <w:t>ES2.Handle</w:t>
      </w:r>
      <w:r>
        <w:rPr>
          <w:rFonts w:cs="Arial"/>
          <w:b/>
          <w:szCs w:val="22"/>
          <w:lang w:val="en-US" w:eastAsia="en-GB"/>
        </w:rPr>
        <w:t>EmergencyProfile</w:t>
      </w:r>
      <w:r>
        <w:rPr>
          <w:b/>
          <w:szCs w:val="22"/>
          <w:lang w:val="en-US" w:eastAsia="en-GB"/>
        </w:rPr>
        <w:t>AttributeSetNotification”</w:t>
      </w:r>
      <w:r>
        <w:rPr>
          <w:szCs w:val="22"/>
          <w:lang w:val="en-US" w:eastAsia="en-GB"/>
        </w:rPr>
        <w:t>,</w:t>
      </w:r>
      <w:r>
        <w:rPr>
          <w:szCs w:val="22"/>
        </w:rPr>
        <w:t xml:space="preserve"> that a Profile now has the Emergency Profile Attribute set. This notification MAY include the Profile ID.</w:t>
      </w:r>
    </w:p>
    <w:p w14:paraId="635CDEA1" w14:textId="72878C70" w:rsidR="00B97365" w:rsidRDefault="00000000">
      <w:pPr>
        <w:numPr>
          <w:ilvl w:val="0"/>
          <w:numId w:val="91"/>
        </w:numPr>
        <w:rPr>
          <w:szCs w:val="22"/>
        </w:rPr>
      </w:pPr>
      <w:r>
        <w:rPr>
          <w:szCs w:val="22"/>
        </w:rPr>
        <w:t>The SM-SR SHALL notify the M2M SP by calling the “</w:t>
      </w:r>
      <w:r>
        <w:rPr>
          <w:b/>
          <w:szCs w:val="22"/>
        </w:rPr>
        <w:t>ES4.</w:t>
      </w:r>
      <w:r>
        <w:rPr>
          <w:b/>
          <w:szCs w:val="22"/>
          <w:lang w:val="en-US" w:eastAsia="en-GB"/>
        </w:rPr>
        <w:t>Handle</w:t>
      </w:r>
      <w:r>
        <w:rPr>
          <w:rFonts w:cs="Arial"/>
          <w:b/>
          <w:szCs w:val="22"/>
          <w:lang w:val="en-US" w:eastAsia="en-GB"/>
        </w:rPr>
        <w:t>EmergencyProfile</w:t>
      </w:r>
      <w:r>
        <w:rPr>
          <w:b/>
          <w:szCs w:val="22"/>
          <w:lang w:val="en-US" w:eastAsia="en-GB"/>
        </w:rPr>
        <w:t>AttributeSetNotification”</w:t>
      </w:r>
      <w:r>
        <w:rPr>
          <w:szCs w:val="22"/>
          <w:lang w:val="en-US" w:eastAsia="en-GB"/>
        </w:rPr>
        <w:t>,</w:t>
      </w:r>
      <w:r>
        <w:rPr>
          <w:szCs w:val="22"/>
        </w:rPr>
        <w:t xml:space="preserve"> that the Profile B has the Emergency Profile Attribute set, if requested by the Operator2 during Platform Lifecycle Management Authorisation registration (see section </w:t>
      </w:r>
      <w:r>
        <w:rPr>
          <w:szCs w:val="22"/>
        </w:rPr>
        <w:fldChar w:fldCharType="begin"/>
      </w:r>
      <w:r>
        <w:rPr>
          <w:szCs w:val="22"/>
        </w:rPr>
        <w:instrText xml:space="preserve"> REF _Ref2165685 \r \h </w:instrText>
      </w:r>
      <w:r>
        <w:rPr>
          <w:szCs w:val="22"/>
        </w:rPr>
      </w:r>
      <w:r>
        <w:rPr>
          <w:szCs w:val="22"/>
        </w:rPr>
        <w:fldChar w:fldCharType="separate"/>
      </w:r>
      <w:r w:rsidR="001D5AD9">
        <w:rPr>
          <w:szCs w:val="22"/>
        </w:rPr>
        <w:t>3.20</w:t>
      </w:r>
      <w:r>
        <w:rPr>
          <w:szCs w:val="22"/>
        </w:rPr>
        <w:fldChar w:fldCharType="end"/>
      </w:r>
      <w:r>
        <w:rPr>
          <w:szCs w:val="22"/>
        </w:rPr>
        <w:t>).</w:t>
      </w:r>
    </w:p>
    <w:p w14:paraId="7CD5BEAB" w14:textId="77777777" w:rsidR="00B97365" w:rsidRDefault="00000000">
      <w:pPr>
        <w:ind w:left="360"/>
        <w:rPr>
          <w:szCs w:val="22"/>
        </w:rPr>
      </w:pPr>
      <w:r>
        <w:rPr>
          <w:szCs w:val="22"/>
        </w:rPr>
        <w:t>If the M2M SP is another Operator directly connected to the SM-SR and it is authorised by Operator2, the SM-SR SHALL send this notification to this other Operator by calling the “</w:t>
      </w:r>
      <w:r>
        <w:rPr>
          <w:b/>
          <w:szCs w:val="22"/>
        </w:rPr>
        <w:t>ES4.</w:t>
      </w:r>
      <w:r>
        <w:rPr>
          <w:b/>
          <w:szCs w:val="22"/>
          <w:lang w:val="en-US" w:eastAsia="en-GB"/>
        </w:rPr>
        <w:t>Handle</w:t>
      </w:r>
      <w:r>
        <w:rPr>
          <w:rFonts w:cs="Arial"/>
          <w:b/>
          <w:szCs w:val="22"/>
          <w:lang w:val="en-US" w:eastAsia="en-GB"/>
        </w:rPr>
        <w:t>EmergencyProfile</w:t>
      </w:r>
      <w:r>
        <w:rPr>
          <w:b/>
          <w:szCs w:val="22"/>
          <w:lang w:val="en-US" w:eastAsia="en-GB"/>
        </w:rPr>
        <w:t>AttributeSetNotification</w:t>
      </w:r>
      <w:r>
        <w:rPr>
          <w:szCs w:val="22"/>
        </w:rPr>
        <w:t>”.</w:t>
      </w:r>
    </w:p>
    <w:p w14:paraId="2F00B3D0" w14:textId="77777777" w:rsidR="00B97365" w:rsidRDefault="00B97365">
      <w:pPr>
        <w:spacing w:before="0" w:line="276" w:lineRule="auto"/>
        <w:ind w:firstLine="360"/>
        <w:jc w:val="left"/>
        <w:rPr>
          <w:rFonts w:eastAsia="Calibri"/>
          <w:szCs w:val="22"/>
          <w:lang w:eastAsia="en-US" w:bidi="ar-SA"/>
        </w:rPr>
      </w:pPr>
    </w:p>
    <w:p w14:paraId="48FEF89F" w14:textId="77777777" w:rsidR="00B97365" w:rsidRDefault="00000000">
      <w:pPr>
        <w:spacing w:before="0" w:line="276" w:lineRule="auto"/>
        <w:ind w:left="360"/>
        <w:jc w:val="left"/>
        <w:rPr>
          <w:rFonts w:eastAsia="Calibri"/>
          <w:sz w:val="20"/>
          <w:szCs w:val="24"/>
          <w:lang w:eastAsia="en-US" w:bidi="ar-SA"/>
        </w:rPr>
      </w:pPr>
      <w:r>
        <w:rPr>
          <w:rFonts w:eastAsia="Calibri"/>
          <w:szCs w:val="22"/>
          <w:lang w:eastAsia="en-US" w:bidi="ar-SA"/>
        </w:rPr>
        <w:t>If the M2M SP is another Operator connected through its SM-DP and it is authorised by Operator2, the SM-SR SHALL send this notification to the SM-DP associated to this other Operator by calling the “</w:t>
      </w:r>
      <w:r>
        <w:rPr>
          <w:rFonts w:eastAsia="Calibri"/>
          <w:b/>
          <w:szCs w:val="22"/>
          <w:lang w:eastAsia="en-US" w:bidi="ar-SA"/>
        </w:rPr>
        <w:t>ES3.</w:t>
      </w:r>
      <w:r>
        <w:rPr>
          <w:rFonts w:eastAsia="Calibri"/>
          <w:b/>
          <w:szCs w:val="22"/>
          <w:lang w:val="en-US" w:eastAsia="en-GB" w:bidi="ar-SA"/>
        </w:rPr>
        <w:t>Handle</w:t>
      </w:r>
      <w:r>
        <w:rPr>
          <w:rFonts w:eastAsia="Calibri" w:cs="Arial"/>
          <w:b/>
          <w:szCs w:val="22"/>
          <w:lang w:val="en-US" w:eastAsia="en-GB" w:bidi="ar-SA"/>
        </w:rPr>
        <w:t>EmergencyProfile</w:t>
      </w:r>
      <w:r>
        <w:rPr>
          <w:rFonts w:eastAsia="Calibri"/>
          <w:b/>
          <w:szCs w:val="22"/>
          <w:lang w:val="en-US" w:eastAsia="en-GB" w:bidi="ar-SA"/>
        </w:rPr>
        <w:t>AttributeSetNotification</w:t>
      </w:r>
      <w:r>
        <w:rPr>
          <w:rFonts w:eastAsia="Calibri"/>
          <w:szCs w:val="22"/>
          <w:lang w:eastAsia="en-US" w:bidi="ar-SA"/>
        </w:rPr>
        <w:t>”. Then the SM-DP, on reception of this notification, SHALL forward it to the Operator, acting as the M2M SP, by calling the “</w:t>
      </w:r>
      <w:r>
        <w:rPr>
          <w:rFonts w:eastAsia="Calibri"/>
          <w:b/>
          <w:szCs w:val="22"/>
          <w:lang w:eastAsia="en-US" w:bidi="ar-SA"/>
        </w:rPr>
        <w:t>ES2.</w:t>
      </w:r>
      <w:r>
        <w:rPr>
          <w:rFonts w:eastAsia="Calibri"/>
          <w:b/>
          <w:szCs w:val="22"/>
          <w:lang w:val="en-US" w:eastAsia="en-GB" w:bidi="ar-SA"/>
        </w:rPr>
        <w:t>Handle</w:t>
      </w:r>
      <w:r>
        <w:rPr>
          <w:rFonts w:eastAsia="Calibri" w:cs="Arial"/>
          <w:b/>
          <w:szCs w:val="22"/>
          <w:lang w:val="en-US" w:eastAsia="en-GB" w:bidi="ar-SA"/>
        </w:rPr>
        <w:t>EmergencyProfile</w:t>
      </w:r>
      <w:r>
        <w:rPr>
          <w:rFonts w:eastAsia="Calibri"/>
          <w:b/>
          <w:szCs w:val="22"/>
          <w:lang w:val="en-US" w:eastAsia="en-GB" w:bidi="ar-SA"/>
        </w:rPr>
        <w:t>AttributeSetNotification</w:t>
      </w:r>
      <w:r>
        <w:rPr>
          <w:rFonts w:eastAsia="Calibri"/>
          <w:szCs w:val="22"/>
          <w:lang w:eastAsia="en-US" w:bidi="ar-SA"/>
        </w:rPr>
        <w:t>”.</w:t>
      </w:r>
      <w:r>
        <w:rPr>
          <w:rFonts w:eastAsia="Calibri"/>
          <w:sz w:val="20"/>
          <w:lang w:eastAsia="en-US" w:bidi="ar-SA"/>
        </w:rPr>
        <w:t xml:space="preserve"> </w:t>
      </w:r>
    </w:p>
    <w:p w14:paraId="7894BF3B" w14:textId="77777777" w:rsidR="00B97365" w:rsidRDefault="00000000">
      <w:pPr>
        <w:rPr>
          <w:b/>
        </w:rPr>
      </w:pPr>
      <w:r>
        <w:rPr>
          <w:b/>
        </w:rPr>
        <w:t>End Conditions (case 1):</w:t>
      </w:r>
    </w:p>
    <w:p w14:paraId="7D79219B" w14:textId="77777777" w:rsidR="00B97365" w:rsidRDefault="00000000">
      <w:pPr>
        <w:spacing w:line="276" w:lineRule="auto"/>
        <w:jc w:val="left"/>
        <w:rPr>
          <w:rFonts w:eastAsia="Calibri"/>
          <w:szCs w:val="22"/>
          <w:lang w:eastAsia="en-US" w:bidi="ar-SA"/>
        </w:rPr>
      </w:pPr>
      <w:r>
        <w:rPr>
          <w:rFonts w:eastAsia="Calibri"/>
          <w:szCs w:val="22"/>
          <w:lang w:eastAsia="en-US" w:bidi="ar-SA"/>
        </w:rPr>
        <w:t xml:space="preserve">The Profile B has the Emergency Profile Attribute set. </w:t>
      </w:r>
    </w:p>
    <w:p w14:paraId="2B0B3C28" w14:textId="77777777" w:rsidR="00B97365" w:rsidRDefault="00000000">
      <w:pPr>
        <w:rPr>
          <w:b/>
        </w:rPr>
      </w:pPr>
      <w:r>
        <w:rPr>
          <w:b/>
        </w:rPr>
        <w:t>For case 2 the procedure below applies</w:t>
      </w:r>
    </w:p>
    <w:p w14:paraId="690FA651" w14:textId="77777777" w:rsidR="00B97365" w:rsidRDefault="00B97365">
      <w:pPr>
        <w:rPr>
          <w:b/>
        </w:rPr>
      </w:pPr>
    </w:p>
    <w:p w14:paraId="186C5E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107E7FA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5FF2CE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00F198D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F81B08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3D5DC98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20995A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SP #FFFFFF</w:t>
      </w:r>
    </w:p>
    <w:p w14:paraId="54BF6F2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1\n&lt;size:10&gt;(owning Profile A)&lt;/size&gt;” as OP1 #FFFFFF</w:t>
      </w:r>
    </w:p>
    <w:p w14:paraId="4F170C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2\n&lt;size:10&gt;(owning Profile B)&lt;/size&gt;” as OP2 #FFFFFF</w:t>
      </w:r>
    </w:p>
    <w:p w14:paraId="424EDBF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665A2BC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2C4EA4A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“eUICC” as EUICC #FFFFFF</w:t>
      </w:r>
    </w:p>
    <w:p w14:paraId="60102E7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7D3EFE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Alt [via SM-SR]</w:t>
      </w:r>
    </w:p>
    <w:p w14:paraId="48A7A5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OP2-&gt;SR: [1.a] ES4.SetEmergencyProfileAttribute(EID,ICCID)\non Profile B Request</w:t>
      </w:r>
    </w:p>
    <w:p w14:paraId="6287A96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97ACCA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Else [via SM-DP]</w:t>
      </w:r>
    </w:p>
    <w:p w14:paraId="470AF72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OP2-&gt;DP: [1.b] ES2.SetEmergencyProfileAttribute(EID,SMSR-ID,ICCID)\non Profile B Request</w:t>
      </w:r>
    </w:p>
    <w:p w14:paraId="0AB8084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12365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DP #FFFFFF</w:t>
      </w:r>
    </w:p>
    <w:p w14:paraId="55EEB06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Identify SM-SR</w:t>
      </w:r>
    </w:p>
    <w:p w14:paraId="40F1DC1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9966B6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AA3159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DP&lt;-&gt;SR: Mutual Authentication</w:t>
      </w:r>
    </w:p>
    <w:p w14:paraId="1D807DD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568E3E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DP-&gt;SR: [1.c] ES3.SetEmergencyProfileAttribute(EID,ICCID)\non Profile B Request</w:t>
      </w:r>
    </w:p>
    <w:p w14:paraId="03FC926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B893FB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2B5D9E6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192B03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337FA6F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Check PLMA for SetmergencyProfileAttribute for Operator 2</w:t>
      </w:r>
    </w:p>
    <w:p w14:paraId="4335424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6D3C4A8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D03E1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SR--&gt;OP2: [2.a] Send error response with authorisation conflict</w:t>
      </w:r>
    </w:p>
    <w:p w14:paraId="58EA12E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SR-&gt;EUICC: [3] ES5.SetEmergencyProfileAttribute(ISD-P AID)\non Profile B</w:t>
      </w:r>
    </w:p>
    <w:p w14:paraId="26E387B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1D9B3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EUICC #FFFFFF</w:t>
      </w:r>
    </w:p>
    <w:p w14:paraId="17D4584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[4a] Verify if Profile B has not set Fall-Back Attribute</w:t>
      </w:r>
    </w:p>
    <w:p w14:paraId="484C7A1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8F46EF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EUICC--&gt;SR: [4.a] send STORE DATA error response</w:t>
      </w:r>
    </w:p>
    <w:p w14:paraId="1452C75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6B5150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EUICC #FFFFFF</w:t>
      </w:r>
    </w:p>
    <w:p w14:paraId="2BF402D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[4b] Unset Emergency Profile Attribute on Profile A</w:t>
      </w:r>
    </w:p>
    <w:p w14:paraId="4B1D91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by Setting Emergency Profile Attribute on Profile B</w:t>
      </w:r>
    </w:p>
    <w:p w14:paraId="48527A3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F2839D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53F07F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EUICC-&gt;SR: [5] SetEmergencyProfileAttribute response </w:t>
      </w:r>
    </w:p>
    <w:p w14:paraId="3E20ED3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03A0F9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SR #FFFFFF</w:t>
      </w:r>
    </w:p>
    <w:p w14:paraId="1E74997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[6] EIS Update(AdditionalProperty)</w:t>
      </w:r>
    </w:p>
    <w:p w14:paraId="7A30A8B2"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 xml:space="preserve">Endrnote  </w:t>
      </w:r>
    </w:p>
    <w:p w14:paraId="37C4AA87"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ECECC3F"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SR-&gt;OP1: [7] ES4.HandleEmergencyProfileAttributeUnsetNotification\non Profile A</w:t>
      </w:r>
    </w:p>
    <w:p w14:paraId="2E7E4024"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C6F61D8"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Alt [via SM-SR]</w:t>
      </w:r>
    </w:p>
    <w:p w14:paraId="18098139"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SR-&gt;OP2: [8.a] ES4.HandleEmergencyProfileAttributeSetNotification\non Profile B</w:t>
      </w:r>
    </w:p>
    <w:p w14:paraId="3FAF34CF"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SR-&gt;OP1</w:t>
      </w:r>
    </w:p>
    <w:p w14:paraId="3F89BF84"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2850E63"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Else [via SM-DP]</w:t>
      </w:r>
    </w:p>
    <w:p w14:paraId="6585A0DD"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52792144"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SR-&gt;DP: [8.b] ES3.HandleEmergencyProfileAttributeSetNotification\non Profile B</w:t>
      </w:r>
    </w:p>
    <w:p w14:paraId="0BFE0586"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B2694A9"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DP-&gt;OP2: [8.c] ES2.HandleEmergencyProfileAttributeSetNotification\non Profile B</w:t>
      </w:r>
    </w:p>
    <w:p w14:paraId="0221ECF7"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A8C83D7" w14:textId="77777777" w:rsidR="00B97365" w:rsidRPr="00D639F6"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sidRPr="00D639F6">
        <w:rPr>
          <w:rFonts w:ascii="Courier New" w:hAnsi="Courier New" w:cs="Courier New"/>
          <w:noProof/>
          <w:color w:val="008000"/>
          <w:sz w:val="18"/>
        </w:rPr>
        <w:t>end</w:t>
      </w:r>
    </w:p>
    <w:p w14:paraId="2BAAAD38" w14:textId="77777777" w:rsidR="00B97365" w:rsidRPr="00D639F6"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4DC40D3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Opt [If if requested by Operator 1]</w:t>
      </w:r>
    </w:p>
    <w:p w14:paraId="753BE8F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SR-&gt;SP: [9] HandleEmergencyProfileAttributeUnsetNotification of Profile A</w:t>
      </w:r>
    </w:p>
    <w:p w14:paraId="166470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End </w:t>
      </w:r>
    </w:p>
    <w:p w14:paraId="2635BC8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68F40F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Opt [If if requested by Operator 2]</w:t>
      </w:r>
    </w:p>
    <w:p w14:paraId="70BD2C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SR-&gt;SP: [10] HandleEmergencyProfileAttributeSetNotification of Profile B</w:t>
      </w:r>
    </w:p>
    <w:p w14:paraId="2472A7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5D8B9E6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5049E7A2" w14:textId="77777777" w:rsidR="00B97365" w:rsidRDefault="00000000">
      <w:pPr>
        <w:rPr>
          <w:rFonts w:cs="Courier New"/>
          <w:noProof/>
          <w:color w:val="008000"/>
          <w:sz w:val="18"/>
        </w:rPr>
      </w:pPr>
      <w:r>
        <w:rPr>
          <w:rFonts w:cs="Courier New"/>
          <w:noProof/>
          <w:color w:val="008000"/>
          <w:sz w:val="18"/>
          <w:lang w:eastAsia="en-GB" w:bidi="ar-SA"/>
        </w:rPr>
        <w:drawing>
          <wp:inline distT="0" distB="0" distL="0" distR="0" wp14:anchorId="420D60CE" wp14:editId="1647A63D">
            <wp:extent cx="5731510" cy="3888269"/>
            <wp:effectExtent l="0" t="0" r="2540" b="0"/>
            <wp:docPr id="464" name="Picture 46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3888269"/>
                    </a:xfrm>
                    <a:prstGeom prst="rect">
                      <a:avLst/>
                    </a:prstGeom>
                  </pic:spPr>
                </pic:pic>
              </a:graphicData>
            </a:graphic>
          </wp:inline>
        </w:drawing>
      </w:r>
    </w:p>
    <w:p w14:paraId="3E480D7D"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325-B: Emergency Profile Attribute Management (case 2: change of Emergency Profile)</w:t>
      </w:r>
    </w:p>
    <w:p w14:paraId="6D3A53DE" w14:textId="77777777" w:rsidR="00B97365" w:rsidRDefault="00000000">
      <w:pPr>
        <w:rPr>
          <w:b/>
        </w:rPr>
      </w:pPr>
      <w:r>
        <w:rPr>
          <w:b/>
        </w:rPr>
        <w:t>Start Conditions (case 2):</w:t>
      </w:r>
    </w:p>
    <w:p w14:paraId="71B05538" w14:textId="77777777" w:rsidR="00B97365" w:rsidRDefault="00000000">
      <w:pPr>
        <w:numPr>
          <w:ilvl w:val="0"/>
          <w:numId w:val="72"/>
        </w:numPr>
        <w:spacing w:before="0"/>
        <w:contextualSpacing/>
        <w:rPr>
          <w:szCs w:val="22"/>
          <w:lang w:eastAsia="en-GB" w:bidi="ar-SA"/>
        </w:rPr>
      </w:pPr>
      <w:r>
        <w:rPr>
          <w:szCs w:val="22"/>
          <w:lang w:eastAsia="en-GB" w:bidi="ar-SA"/>
        </w:rPr>
        <w:t>Profile A with Emergency Profile Attribute set.</w:t>
      </w:r>
    </w:p>
    <w:p w14:paraId="14C24300" w14:textId="77777777" w:rsidR="00B97365" w:rsidRDefault="00000000">
      <w:pPr>
        <w:numPr>
          <w:ilvl w:val="0"/>
          <w:numId w:val="72"/>
        </w:numPr>
        <w:contextualSpacing/>
        <w:rPr>
          <w:szCs w:val="22"/>
          <w:lang w:eastAsia="en-GB" w:bidi="ar-SA"/>
        </w:rPr>
      </w:pPr>
      <w:r>
        <w:rPr>
          <w:szCs w:val="22"/>
          <w:lang w:eastAsia="en-GB" w:bidi="ar-SA"/>
        </w:rPr>
        <w:t>Profile B, targeted to have the Emergency Profile Attribute set, present on the eUICC.</w:t>
      </w:r>
    </w:p>
    <w:p w14:paraId="7B912200" w14:textId="77777777" w:rsidR="00B97365" w:rsidRDefault="00000000">
      <w:pPr>
        <w:numPr>
          <w:ilvl w:val="0"/>
          <w:numId w:val="72"/>
        </w:numPr>
        <w:contextualSpacing/>
        <w:rPr>
          <w:szCs w:val="22"/>
          <w:lang w:eastAsia="en-GB" w:bidi="ar-SA"/>
        </w:rPr>
      </w:pPr>
      <w:r>
        <w:rPr>
          <w:szCs w:val="22"/>
          <w:lang w:eastAsia="en-GB" w:bidi="ar-SA"/>
        </w:rPr>
        <w:t>Profile A owner Operator1 has configured a PLMA authorising Operator2 to unset the Emergency Profile Attribute on Profile A.</w:t>
      </w:r>
    </w:p>
    <w:p w14:paraId="09D25363" w14:textId="77777777" w:rsidR="00B97365" w:rsidRDefault="00000000">
      <w:pPr>
        <w:rPr>
          <w:b/>
        </w:rPr>
      </w:pPr>
      <w:r>
        <w:rPr>
          <w:b/>
        </w:rPr>
        <w:t>Procedure (case 2):</w:t>
      </w:r>
    </w:p>
    <w:p w14:paraId="64D5BA54" w14:textId="77777777" w:rsidR="00B97365" w:rsidRDefault="00000000">
      <w:pPr>
        <w:numPr>
          <w:ilvl w:val="0"/>
          <w:numId w:val="92"/>
        </w:numPr>
      </w:pPr>
      <w:r>
        <w:rPr>
          <w:szCs w:val="22"/>
        </w:rPr>
        <w:t>The</w:t>
      </w:r>
      <w:r>
        <w:t xml:space="preserve"> Operator2 owning Profile B requests setting of the Emergency Profile Attribute on Profile B to the SM-SR, either directly (1.a) by calling the “</w:t>
      </w:r>
      <w:r>
        <w:rPr>
          <w:b/>
        </w:rPr>
        <w:t>ES4.SetEmergencyProfileAttribute”</w:t>
      </w:r>
      <w:r>
        <w:t xml:space="preserve"> function with the relevant input parameters or through its SM-DP (1.b) by calling the “</w:t>
      </w:r>
      <w:r>
        <w:rPr>
          <w:b/>
        </w:rPr>
        <w:t>ES2.SetEmergencyProfileAttribute”</w:t>
      </w:r>
      <w:r>
        <w:t xml:space="preserve"> function with the relevant input parameters and the SM-DP forwarding the request to the SM-SR (1c) by calling the “</w:t>
      </w:r>
      <w:r>
        <w:rPr>
          <w:b/>
        </w:rPr>
        <w:t xml:space="preserve">ES3.SetEmergencyProfileAttribute” </w:t>
      </w:r>
      <w:r>
        <w:t>function with the relevant input parameters.</w:t>
      </w:r>
    </w:p>
    <w:p w14:paraId="765A1FA6" w14:textId="77777777" w:rsidR="00B97365" w:rsidRDefault="00000000">
      <w:pPr>
        <w:numPr>
          <w:ilvl w:val="0"/>
          <w:numId w:val="92"/>
        </w:numPr>
        <w:rPr>
          <w:b/>
        </w:rPr>
      </w:pPr>
      <w:r>
        <w:t xml:space="preserve">The SM-SR checks if Operator2 has PLMA configured to unset the Emergency Profile </w:t>
      </w:r>
      <w:r>
        <w:rPr>
          <w:szCs w:val="22"/>
        </w:rPr>
        <w:t>Attribute</w:t>
      </w:r>
      <w:r>
        <w:t xml:space="preserve"> from the Operator1 owning the Profile that currently has the Emergency Profile Attribute set.</w:t>
      </w:r>
    </w:p>
    <w:p w14:paraId="7A7D1C29" w14:textId="77777777" w:rsidR="00B97365" w:rsidRDefault="00000000">
      <w:pPr>
        <w:numPr>
          <w:ilvl w:val="1"/>
          <w:numId w:val="73"/>
        </w:numPr>
        <w:contextualSpacing/>
        <w:rPr>
          <w:b/>
        </w:rPr>
      </w:pPr>
      <w:r>
        <w:lastRenderedPageBreak/>
        <w:t>If there is a conflict with the authorisation, the SM-SR aborts the procedure and informs the Operator 2.</w:t>
      </w:r>
    </w:p>
    <w:p w14:paraId="2CAE50A6" w14:textId="77777777" w:rsidR="00B97365" w:rsidRDefault="00000000">
      <w:pPr>
        <w:numPr>
          <w:ilvl w:val="0"/>
          <w:numId w:val="92"/>
        </w:numPr>
      </w:pPr>
      <w:r>
        <w:t>The SM-SR, by calling the “</w:t>
      </w:r>
      <w:r>
        <w:rPr>
          <w:b/>
        </w:rPr>
        <w:t>ES5.SetEmergencyProfileAttribute”</w:t>
      </w:r>
      <w:r>
        <w:t xml:space="preserve"> function, requests the eUICC to set the Emergency Profile Attribute to the Profile B.</w:t>
      </w:r>
    </w:p>
    <w:p w14:paraId="3658BE9B" w14:textId="77777777" w:rsidR="00B97365" w:rsidRDefault="00000000">
      <w:pPr>
        <w:numPr>
          <w:ilvl w:val="0"/>
          <w:numId w:val="92"/>
        </w:numPr>
      </w:pPr>
      <w:r>
        <w:t>The eUICC verifies that Profile B does not have the Fall-Back Attribute set (4a) and performs the operation (4b). This will remove the Emergency profile Attribute from Profile A.</w:t>
      </w:r>
    </w:p>
    <w:p w14:paraId="05951309" w14:textId="77777777" w:rsidR="00B97365" w:rsidRDefault="00000000">
      <w:pPr>
        <w:numPr>
          <w:ilvl w:val="1"/>
          <w:numId w:val="73"/>
        </w:numPr>
        <w:spacing w:before="0"/>
        <w:rPr>
          <w:rFonts w:eastAsia="Calibri"/>
          <w:szCs w:val="22"/>
          <w:lang w:eastAsia="en-US" w:bidi="ar-SA"/>
        </w:rPr>
      </w:pPr>
      <w:r>
        <w:rPr>
          <w:rFonts w:eastAsia="Calibri"/>
          <w:szCs w:val="22"/>
          <w:lang w:eastAsia="en-US" w:bidi="ar-SA"/>
        </w:rPr>
        <w:t>If the conditions (4a) is not true, the eUICC aborts the procedure and return an error to the SM-SR as detailed in the “</w:t>
      </w:r>
      <w:r>
        <w:rPr>
          <w:rFonts w:eastAsia="Calibri"/>
          <w:b/>
          <w:szCs w:val="22"/>
          <w:lang w:eastAsia="en-US" w:bidi="ar-SA"/>
        </w:rPr>
        <w:t>ES5.SetEmergencyProfileAttribute”</w:t>
      </w:r>
      <w:r>
        <w:rPr>
          <w:rFonts w:eastAsia="Calibri"/>
          <w:szCs w:val="22"/>
          <w:lang w:eastAsia="en-US" w:bidi="ar-SA"/>
        </w:rPr>
        <w:t xml:space="preserve"> function.</w:t>
      </w:r>
    </w:p>
    <w:p w14:paraId="4307E1C3" w14:textId="77777777" w:rsidR="00B97365" w:rsidRDefault="00000000">
      <w:pPr>
        <w:numPr>
          <w:ilvl w:val="0"/>
          <w:numId w:val="92"/>
        </w:numPr>
      </w:pPr>
      <w:r>
        <w:t>The eUICC SHALL send the “</w:t>
      </w:r>
      <w:r>
        <w:rPr>
          <w:b/>
        </w:rPr>
        <w:t>ES5.SetEmergencyProfileAttribute”</w:t>
      </w:r>
      <w:r>
        <w:t xml:space="preserve"> response to the SM-SR.</w:t>
      </w:r>
    </w:p>
    <w:p w14:paraId="206CD719" w14:textId="77777777" w:rsidR="00B97365" w:rsidRDefault="00000000">
      <w:pPr>
        <w:numPr>
          <w:ilvl w:val="0"/>
          <w:numId w:val="92"/>
        </w:numPr>
      </w:pPr>
      <w:r>
        <w:t xml:space="preserve">The SM-SR updates the EIS accordingly by adding the information that the Emergency Profile has been set on Profile B in the AdditionalProperty field. </w:t>
      </w:r>
    </w:p>
    <w:p w14:paraId="0A84AB15" w14:textId="77777777" w:rsidR="00B97365" w:rsidRDefault="00000000">
      <w:pPr>
        <w:numPr>
          <w:ilvl w:val="0"/>
          <w:numId w:val="92"/>
        </w:numPr>
      </w:pPr>
      <w:r>
        <w:t>Based on ONC, the SM-SR notifies Operator1, whose Profile has the Emergency Profile Attribute Unset, by calling the "</w:t>
      </w:r>
      <w:r>
        <w:rPr>
          <w:b/>
        </w:rPr>
        <w:t>ES4.HandleEmergencyProfileAttributeUnsetNotification</w:t>
      </w:r>
      <w:r>
        <w:t>" that its Profile now has the Emergency Profile Attribute unset.</w:t>
      </w:r>
    </w:p>
    <w:p w14:paraId="1EA405AB" w14:textId="77777777" w:rsidR="00B97365" w:rsidRDefault="00000000">
      <w:pPr>
        <w:numPr>
          <w:ilvl w:val="0"/>
          <w:numId w:val="92"/>
        </w:numPr>
      </w:pPr>
      <w:r>
        <w:t>Based on ONC, the SM-SR notifies all Operators, having a Profile on this eUICC either directly (8a) by calling the “</w:t>
      </w:r>
      <w:r>
        <w:rPr>
          <w:b/>
        </w:rPr>
        <w:t>ES4.</w:t>
      </w:r>
      <w:r>
        <w:rPr>
          <w:b/>
          <w:szCs w:val="22"/>
          <w:lang w:val="en-US" w:eastAsia="en-GB"/>
        </w:rPr>
        <w:t>Handle</w:t>
      </w:r>
      <w:r>
        <w:rPr>
          <w:rFonts w:cs="Arial"/>
          <w:b/>
          <w:szCs w:val="22"/>
          <w:lang w:val="en-US" w:eastAsia="en-GB"/>
        </w:rPr>
        <w:t>EmergencyProfile</w:t>
      </w:r>
      <w:r>
        <w:rPr>
          <w:b/>
          <w:szCs w:val="22"/>
          <w:lang w:val="en-US" w:eastAsia="en-GB"/>
        </w:rPr>
        <w:t>AttributeSetNotification”</w:t>
      </w:r>
      <w:r>
        <w:rPr>
          <w:szCs w:val="22"/>
          <w:lang w:val="en-US" w:eastAsia="en-GB"/>
        </w:rPr>
        <w:t>, or via the SM-DP (8b) by calling the “</w:t>
      </w:r>
      <w:r>
        <w:rPr>
          <w:b/>
          <w:szCs w:val="22"/>
          <w:lang w:val="en-US" w:eastAsia="en-GB"/>
        </w:rPr>
        <w:t>ES3.Handle</w:t>
      </w:r>
      <w:r>
        <w:rPr>
          <w:rFonts w:cs="Arial"/>
          <w:b/>
          <w:szCs w:val="22"/>
          <w:lang w:val="en-US" w:eastAsia="en-GB"/>
        </w:rPr>
        <w:t>EmergencyProfile</w:t>
      </w:r>
      <w:r>
        <w:rPr>
          <w:b/>
          <w:szCs w:val="22"/>
          <w:lang w:val="en-US" w:eastAsia="en-GB"/>
        </w:rPr>
        <w:t>AttributeSetNotification”</w:t>
      </w:r>
      <w:r>
        <w:rPr>
          <w:szCs w:val="22"/>
          <w:lang w:val="en-US" w:eastAsia="en-GB"/>
        </w:rPr>
        <w:t xml:space="preserve"> and the SM-DP SHALL forward the notification (8c) by calling the “</w:t>
      </w:r>
      <w:r>
        <w:rPr>
          <w:b/>
          <w:szCs w:val="22"/>
          <w:lang w:val="en-US" w:eastAsia="en-GB"/>
        </w:rPr>
        <w:t>ES2.Handle</w:t>
      </w:r>
      <w:r>
        <w:rPr>
          <w:rFonts w:cs="Arial"/>
          <w:b/>
          <w:szCs w:val="22"/>
          <w:lang w:val="en-US" w:eastAsia="en-GB"/>
        </w:rPr>
        <w:t>EmergencyProfile</w:t>
      </w:r>
      <w:r>
        <w:rPr>
          <w:b/>
          <w:szCs w:val="22"/>
          <w:lang w:val="en-US" w:eastAsia="en-GB"/>
        </w:rPr>
        <w:t>AttributeSetNotification”</w:t>
      </w:r>
      <w:r>
        <w:rPr>
          <w:szCs w:val="22"/>
          <w:lang w:val="en-US" w:eastAsia="en-GB"/>
        </w:rPr>
        <w:t>,</w:t>
      </w:r>
      <w:r>
        <w:t xml:space="preserve"> that a Profile now has the Emergency Profile Attribute set. This notification MAY include the Profile ID.</w:t>
      </w:r>
    </w:p>
    <w:p w14:paraId="157A3E13" w14:textId="4F0FE379" w:rsidR="00B97365" w:rsidRDefault="00000000">
      <w:pPr>
        <w:numPr>
          <w:ilvl w:val="0"/>
          <w:numId w:val="92"/>
        </w:numPr>
      </w:pPr>
      <w:r>
        <w:t>The SM-SR SHALL notify the M2M SP that the Profile A has the Emergency Profile Attribute unset by calling the “</w:t>
      </w:r>
      <w:r>
        <w:rPr>
          <w:b/>
        </w:rPr>
        <w:t>ES4.</w:t>
      </w:r>
      <w:r>
        <w:rPr>
          <w:b/>
          <w:lang w:val="en-US" w:eastAsia="en-GB"/>
        </w:rPr>
        <w:t>Handle</w:t>
      </w:r>
      <w:r>
        <w:rPr>
          <w:rFonts w:cs="Arial"/>
          <w:b/>
          <w:lang w:val="en-US" w:eastAsia="en-GB"/>
        </w:rPr>
        <w:t>EmergencyProfile</w:t>
      </w:r>
      <w:r>
        <w:rPr>
          <w:b/>
          <w:lang w:val="en-US" w:eastAsia="en-GB"/>
        </w:rPr>
        <w:t>AttributeUnsetNotification”</w:t>
      </w:r>
      <w:r>
        <w:t xml:space="preserve">, if requested by the Operator1 during Platform Lifecycle Management Authorisation registration (see section </w:t>
      </w:r>
      <w:r>
        <w:fldChar w:fldCharType="begin"/>
      </w:r>
      <w:r>
        <w:instrText xml:space="preserve"> REF _Ref40224146 \r \h </w:instrText>
      </w:r>
      <w:r>
        <w:fldChar w:fldCharType="separate"/>
      </w:r>
      <w:r w:rsidR="001D5AD9">
        <w:t>3.20</w:t>
      </w:r>
      <w:r>
        <w:fldChar w:fldCharType="end"/>
      </w:r>
      <w:r>
        <w:t>).</w:t>
      </w:r>
    </w:p>
    <w:p w14:paraId="0DAC2749" w14:textId="77777777" w:rsidR="00B97365" w:rsidRDefault="00000000">
      <w:pPr>
        <w:ind w:left="360"/>
        <w:rPr>
          <w:szCs w:val="22"/>
        </w:rPr>
      </w:pPr>
      <w:r>
        <w:rPr>
          <w:szCs w:val="22"/>
        </w:rPr>
        <w:t>If the M2M SP is another Operator directly connected to the SM-SR and it is authorised by Operator1, the SM-SR SHALL send this notification to this other Operator by calling the “</w:t>
      </w:r>
      <w:r>
        <w:rPr>
          <w:b/>
          <w:szCs w:val="22"/>
        </w:rPr>
        <w:t>ES4.</w:t>
      </w:r>
      <w:r>
        <w:rPr>
          <w:b/>
          <w:szCs w:val="22"/>
          <w:lang w:val="en-US" w:eastAsia="en-GB"/>
        </w:rPr>
        <w:t xml:space="preserve"> Handle</w:t>
      </w:r>
      <w:r>
        <w:rPr>
          <w:rFonts w:cs="Arial"/>
          <w:b/>
          <w:szCs w:val="22"/>
          <w:lang w:val="en-US" w:eastAsia="en-GB"/>
        </w:rPr>
        <w:t>EmergencyProfile</w:t>
      </w:r>
      <w:r>
        <w:rPr>
          <w:b/>
          <w:szCs w:val="22"/>
          <w:lang w:val="en-US" w:eastAsia="en-GB"/>
        </w:rPr>
        <w:t>AttributeUnsetNotification</w:t>
      </w:r>
      <w:r>
        <w:rPr>
          <w:szCs w:val="22"/>
        </w:rPr>
        <w:t>”.</w:t>
      </w:r>
    </w:p>
    <w:p w14:paraId="206BE0D5" w14:textId="77777777" w:rsidR="00B97365" w:rsidRDefault="00B97365">
      <w:pPr>
        <w:spacing w:before="0" w:line="276" w:lineRule="auto"/>
        <w:ind w:left="360"/>
        <w:jc w:val="left"/>
        <w:rPr>
          <w:rFonts w:eastAsia="Calibri"/>
          <w:szCs w:val="22"/>
          <w:lang w:eastAsia="en-US" w:bidi="ar-SA"/>
        </w:rPr>
      </w:pPr>
    </w:p>
    <w:p w14:paraId="659CFF87" w14:textId="77777777" w:rsidR="00B97365" w:rsidRDefault="00000000">
      <w:pPr>
        <w:spacing w:before="0" w:line="276" w:lineRule="auto"/>
        <w:ind w:left="360"/>
        <w:jc w:val="left"/>
        <w:rPr>
          <w:rFonts w:eastAsia="Calibri"/>
          <w:szCs w:val="22"/>
          <w:lang w:eastAsia="en-US" w:bidi="ar-SA"/>
        </w:rPr>
      </w:pPr>
      <w:r>
        <w:rPr>
          <w:rFonts w:eastAsia="Calibri"/>
          <w:szCs w:val="22"/>
          <w:lang w:eastAsia="en-US" w:bidi="ar-SA"/>
        </w:rPr>
        <w:t>If the M2M SP is another Operator connected through its SM-DP and it is authorised by Operator1, the SM-SR SHALL send this notification to the SM-DP associated to this other Operator by calling the “</w:t>
      </w:r>
      <w:r>
        <w:rPr>
          <w:rFonts w:eastAsia="Calibri"/>
          <w:b/>
          <w:szCs w:val="22"/>
          <w:lang w:eastAsia="en-US" w:bidi="ar-SA"/>
        </w:rPr>
        <w:t>ES3.</w:t>
      </w:r>
      <w:r>
        <w:rPr>
          <w:rFonts w:eastAsia="Calibri"/>
          <w:b/>
          <w:szCs w:val="22"/>
          <w:lang w:val="en-US" w:eastAsia="en-GB" w:bidi="ar-SA"/>
        </w:rPr>
        <w:t xml:space="preserve"> Handle</w:t>
      </w:r>
      <w:r>
        <w:rPr>
          <w:rFonts w:eastAsia="Calibri" w:cs="Arial"/>
          <w:b/>
          <w:szCs w:val="22"/>
          <w:lang w:val="en-US" w:eastAsia="en-GB" w:bidi="ar-SA"/>
        </w:rPr>
        <w:t>EmergencyProfile</w:t>
      </w:r>
      <w:r>
        <w:rPr>
          <w:rFonts w:eastAsia="Calibri"/>
          <w:b/>
          <w:szCs w:val="22"/>
          <w:lang w:val="en-US" w:eastAsia="en-GB" w:bidi="ar-SA"/>
        </w:rPr>
        <w:t>AttributeUnsetNotification</w:t>
      </w:r>
      <w:r>
        <w:rPr>
          <w:rFonts w:eastAsia="Calibri"/>
          <w:szCs w:val="22"/>
          <w:lang w:eastAsia="en-US" w:bidi="ar-SA"/>
        </w:rPr>
        <w:t>”. Then the SM-DP, on reception of this notification, SHALL forward it to the Operator, acting as the M2M SP, by calling the “</w:t>
      </w:r>
      <w:r>
        <w:rPr>
          <w:rFonts w:eastAsia="Calibri"/>
          <w:b/>
          <w:szCs w:val="22"/>
          <w:lang w:eastAsia="en-US" w:bidi="ar-SA"/>
        </w:rPr>
        <w:t>ES2.</w:t>
      </w:r>
      <w:r>
        <w:rPr>
          <w:rFonts w:eastAsia="Calibri"/>
          <w:b/>
          <w:szCs w:val="22"/>
          <w:lang w:val="en-US" w:eastAsia="en-GB" w:bidi="ar-SA"/>
        </w:rPr>
        <w:t xml:space="preserve"> Handle</w:t>
      </w:r>
      <w:r>
        <w:rPr>
          <w:rFonts w:eastAsia="Calibri" w:cs="Arial"/>
          <w:b/>
          <w:szCs w:val="22"/>
          <w:lang w:val="en-US" w:eastAsia="en-GB" w:bidi="ar-SA"/>
        </w:rPr>
        <w:t>EmergencyProfile</w:t>
      </w:r>
      <w:r>
        <w:rPr>
          <w:rFonts w:eastAsia="Calibri"/>
          <w:b/>
          <w:szCs w:val="22"/>
          <w:lang w:val="en-US" w:eastAsia="en-GB" w:bidi="ar-SA"/>
        </w:rPr>
        <w:t>AttributeUnsetNotification</w:t>
      </w:r>
      <w:r>
        <w:rPr>
          <w:rFonts w:eastAsia="Calibri"/>
          <w:szCs w:val="22"/>
          <w:lang w:eastAsia="en-US" w:bidi="ar-SA"/>
        </w:rPr>
        <w:t>”.</w:t>
      </w:r>
    </w:p>
    <w:p w14:paraId="5303C811" w14:textId="3D034826" w:rsidR="00B97365" w:rsidRDefault="00000000">
      <w:pPr>
        <w:numPr>
          <w:ilvl w:val="0"/>
          <w:numId w:val="92"/>
        </w:numPr>
      </w:pPr>
      <w:r>
        <w:t>The SM-SR SHALL notify the M2M SP that the Profile B has the Emergency Profile Attribute set by calling the “</w:t>
      </w:r>
      <w:r>
        <w:rPr>
          <w:b/>
        </w:rPr>
        <w:t>ES4.</w:t>
      </w:r>
      <w:r>
        <w:rPr>
          <w:b/>
          <w:lang w:val="en-US" w:eastAsia="en-GB"/>
        </w:rPr>
        <w:t>Handle</w:t>
      </w:r>
      <w:r>
        <w:rPr>
          <w:rFonts w:cs="Arial"/>
          <w:b/>
          <w:lang w:val="en-US" w:eastAsia="en-GB"/>
        </w:rPr>
        <w:t>EmergencyProfile</w:t>
      </w:r>
      <w:r>
        <w:rPr>
          <w:b/>
          <w:lang w:val="en-US" w:eastAsia="en-GB"/>
        </w:rPr>
        <w:t>AttributeSetNotification”</w:t>
      </w:r>
      <w:r>
        <w:t xml:space="preserve">, if requested by the Operator2 during Platform Lifecycle Management Authorisation registration (see section </w:t>
      </w:r>
      <w:r>
        <w:fldChar w:fldCharType="begin"/>
      </w:r>
      <w:r>
        <w:instrText xml:space="preserve"> REF _Ref40224077 \r \h </w:instrText>
      </w:r>
      <w:r>
        <w:fldChar w:fldCharType="separate"/>
      </w:r>
      <w:r w:rsidR="001D5AD9">
        <w:t>3.20</w:t>
      </w:r>
      <w:r>
        <w:fldChar w:fldCharType="end"/>
      </w:r>
      <w:r>
        <w:t>).</w:t>
      </w:r>
    </w:p>
    <w:p w14:paraId="531F0ED7" w14:textId="77777777" w:rsidR="00B97365" w:rsidRDefault="00000000">
      <w:pPr>
        <w:spacing w:before="0" w:after="200" w:line="276" w:lineRule="auto"/>
        <w:ind w:left="360"/>
        <w:contextualSpacing/>
        <w:rPr>
          <w:szCs w:val="22"/>
        </w:rPr>
      </w:pPr>
      <w:r>
        <w:rPr>
          <w:szCs w:val="22"/>
        </w:rPr>
        <w:t>If the M2M SP is another Operator directly connected to the SM-SR and it is authorised by Operator2, the SM-SR SHALL send this notification to this other Operator by calling the “</w:t>
      </w:r>
      <w:r>
        <w:rPr>
          <w:b/>
          <w:szCs w:val="22"/>
        </w:rPr>
        <w:t>ES4.</w:t>
      </w:r>
      <w:r>
        <w:rPr>
          <w:b/>
          <w:szCs w:val="22"/>
          <w:lang w:val="en-US" w:eastAsia="en-GB"/>
        </w:rPr>
        <w:t>Handle</w:t>
      </w:r>
      <w:r>
        <w:rPr>
          <w:rFonts w:cs="Arial"/>
          <w:b/>
          <w:szCs w:val="22"/>
          <w:lang w:val="en-US" w:eastAsia="en-GB"/>
        </w:rPr>
        <w:t>EmergencyProfile</w:t>
      </w:r>
      <w:r>
        <w:rPr>
          <w:b/>
          <w:szCs w:val="22"/>
          <w:lang w:val="en-US" w:eastAsia="en-GB"/>
        </w:rPr>
        <w:t>AttributeSetNotification</w:t>
      </w:r>
      <w:r>
        <w:rPr>
          <w:szCs w:val="22"/>
        </w:rPr>
        <w:t>”.</w:t>
      </w:r>
    </w:p>
    <w:p w14:paraId="69891FB3" w14:textId="77777777" w:rsidR="00B97365" w:rsidRDefault="00000000">
      <w:pPr>
        <w:spacing w:before="0"/>
        <w:ind w:left="360"/>
        <w:rPr>
          <w:rFonts w:eastAsia="Calibri"/>
          <w:szCs w:val="22"/>
          <w:lang w:eastAsia="en-US" w:bidi="ar-SA"/>
        </w:rPr>
      </w:pPr>
      <w:r>
        <w:rPr>
          <w:rFonts w:eastAsia="Calibri"/>
          <w:szCs w:val="22"/>
          <w:lang w:eastAsia="en-US" w:bidi="ar-SA"/>
        </w:rPr>
        <w:lastRenderedPageBreak/>
        <w:t>If the M2M SP is another Operator connected through its SM-DP and it is authorised by Operator2, the SM-SR SHALL send this notification to the SM-DP associated to this other Operator by calling the “</w:t>
      </w:r>
      <w:r>
        <w:rPr>
          <w:rFonts w:eastAsia="Calibri"/>
          <w:b/>
          <w:szCs w:val="22"/>
          <w:lang w:eastAsia="en-US" w:bidi="ar-SA"/>
        </w:rPr>
        <w:t>ES3.</w:t>
      </w:r>
      <w:r>
        <w:rPr>
          <w:rFonts w:eastAsia="Calibri"/>
          <w:b/>
          <w:szCs w:val="22"/>
          <w:lang w:val="en-US" w:eastAsia="en-GB" w:bidi="ar-SA"/>
        </w:rPr>
        <w:t>Handle</w:t>
      </w:r>
      <w:r>
        <w:rPr>
          <w:rFonts w:eastAsia="Calibri" w:cs="Arial"/>
          <w:b/>
          <w:szCs w:val="22"/>
          <w:lang w:val="en-US" w:eastAsia="en-GB" w:bidi="ar-SA"/>
        </w:rPr>
        <w:t>EmergencyProfile</w:t>
      </w:r>
      <w:r>
        <w:rPr>
          <w:rFonts w:eastAsia="Calibri"/>
          <w:b/>
          <w:szCs w:val="22"/>
          <w:lang w:val="en-US" w:eastAsia="en-GB" w:bidi="ar-SA"/>
        </w:rPr>
        <w:t>AttributeSetNotification</w:t>
      </w:r>
      <w:r>
        <w:rPr>
          <w:rFonts w:eastAsia="Calibri"/>
          <w:szCs w:val="22"/>
          <w:lang w:eastAsia="en-US" w:bidi="ar-SA"/>
        </w:rPr>
        <w:t>”. Then the SM-DP, on reception of this notification, SHALL forward it to the Operator, acting as the M2M SP, by calling the “</w:t>
      </w:r>
      <w:r>
        <w:rPr>
          <w:rFonts w:eastAsia="Calibri"/>
          <w:b/>
          <w:szCs w:val="22"/>
          <w:lang w:eastAsia="en-US" w:bidi="ar-SA"/>
        </w:rPr>
        <w:t>ES2.</w:t>
      </w:r>
      <w:r>
        <w:rPr>
          <w:rFonts w:eastAsia="Calibri"/>
          <w:b/>
          <w:szCs w:val="22"/>
          <w:lang w:val="en-US" w:eastAsia="en-GB" w:bidi="ar-SA"/>
        </w:rPr>
        <w:t>Handle</w:t>
      </w:r>
      <w:r>
        <w:rPr>
          <w:rFonts w:eastAsia="Calibri" w:cs="Arial"/>
          <w:b/>
          <w:szCs w:val="22"/>
          <w:lang w:val="en-US" w:eastAsia="en-GB" w:bidi="ar-SA"/>
        </w:rPr>
        <w:t>EmergencyProfile</w:t>
      </w:r>
      <w:r>
        <w:rPr>
          <w:rFonts w:eastAsia="Calibri"/>
          <w:b/>
          <w:szCs w:val="22"/>
          <w:lang w:val="en-US" w:eastAsia="en-GB" w:bidi="ar-SA"/>
        </w:rPr>
        <w:t>AttributeSetNotification</w:t>
      </w:r>
      <w:r>
        <w:rPr>
          <w:rFonts w:eastAsia="Calibri"/>
          <w:szCs w:val="22"/>
          <w:lang w:eastAsia="en-US" w:bidi="ar-SA"/>
        </w:rPr>
        <w:t>”.</w:t>
      </w:r>
    </w:p>
    <w:p w14:paraId="4C920ED0" w14:textId="77777777" w:rsidR="00B97365" w:rsidRDefault="00000000">
      <w:pPr>
        <w:rPr>
          <w:b/>
        </w:rPr>
      </w:pPr>
      <w:r>
        <w:rPr>
          <w:b/>
        </w:rPr>
        <w:t>End Conditions (case 2):</w:t>
      </w:r>
    </w:p>
    <w:p w14:paraId="1A4F13E9" w14:textId="77777777" w:rsidR="00B97365" w:rsidRDefault="00000000">
      <w:r>
        <w:t>The Profile A has the Emergency Profile Attribute unset. The Profile B has the Emergency Profile Attribute set.</w:t>
      </w:r>
    </w:p>
    <w:p w14:paraId="66BB9D05"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bidi="ar-SA"/>
        </w:rPr>
      </w:pPr>
      <w:bookmarkStart w:id="2085" w:name="_Ref536173294"/>
      <w:bookmarkStart w:id="2086" w:name="_Toc1977299"/>
      <w:bookmarkStart w:id="2087" w:name="_Toc37062456"/>
      <w:bookmarkStart w:id="2088" w:name="_Toc88839561"/>
      <w:bookmarkStart w:id="2089" w:name="_Toc121503969"/>
      <w:r>
        <w:rPr>
          <w:rFonts w:eastAsia="Times New Roman" w:cs="Arial"/>
          <w:b/>
          <w:bCs/>
          <w:iCs/>
          <w:sz w:val="24"/>
          <w:szCs w:val="28"/>
          <w:lang w:eastAsia="en-US" w:bidi="ar-SA"/>
        </w:rPr>
        <w:t>Emergency Profile Attribute Management via the M2M SP</w:t>
      </w:r>
      <w:bookmarkEnd w:id="2085"/>
      <w:bookmarkEnd w:id="2086"/>
      <w:bookmarkEnd w:id="2087"/>
      <w:bookmarkEnd w:id="2088"/>
      <w:bookmarkEnd w:id="2089"/>
    </w:p>
    <w:p w14:paraId="4683BEAE" w14:textId="77777777" w:rsidR="00B97365" w:rsidRDefault="00000000">
      <w:pPr>
        <w:rPr>
          <w:lang w:eastAsia="en-US"/>
        </w:rPr>
      </w:pPr>
      <w:r>
        <w:rPr>
          <w:lang w:eastAsia="en-US"/>
        </w:rPr>
        <w:t xml:space="preserve">Operators may also authorise an M2M SP to change which Profile has the </w:t>
      </w:r>
      <w:r>
        <w:t xml:space="preserve">Emergency Profile </w:t>
      </w:r>
      <w:r>
        <w:rPr>
          <w:lang w:eastAsia="en-US"/>
        </w:rPr>
        <w:t>Attribute set.</w:t>
      </w:r>
    </w:p>
    <w:p w14:paraId="4736E856" w14:textId="77777777" w:rsidR="00B97365" w:rsidRDefault="00000000">
      <w:pPr>
        <w:rPr>
          <w:lang w:eastAsia="en-US"/>
        </w:rPr>
      </w:pPr>
      <w:r>
        <w:rPr>
          <w:lang w:eastAsia="en-US"/>
        </w:rPr>
        <w:t>This procedure specifies setting the Emergency Profile Attribute for a Profile when no other Profile has the Emergency Profile Attribute set (case 1), or, a change regarding the Profile that has the Emergency Profile Attribute set (case 2).</w:t>
      </w:r>
    </w:p>
    <w:p w14:paraId="207BFDE4" w14:textId="77777777" w:rsidR="00B97365" w:rsidRDefault="00000000">
      <w:pPr>
        <w:rPr>
          <w:lang w:eastAsia="en-US"/>
        </w:rPr>
      </w:pPr>
      <w:r>
        <w:rPr>
          <w:lang w:eastAsia="en-US"/>
        </w:rPr>
        <w:t xml:space="preserve">For case 1 the Operator2 that agrees to have the </w:t>
      </w:r>
      <w:r>
        <w:t xml:space="preserve">Emergency Profile </w:t>
      </w:r>
      <w:r>
        <w:rPr>
          <w:lang w:eastAsia="en-US"/>
        </w:rPr>
        <w:t xml:space="preserve">Attribute set on its own Profile need to have an agreement with the M2M SP. This agreement is materialized by the Operator2 setting PLMAs where Operator2 MAY grant the M2M SP the authorisation to set the </w:t>
      </w:r>
      <w:r>
        <w:t xml:space="preserve">Emergency Profile </w:t>
      </w:r>
      <w:r>
        <w:rPr>
          <w:lang w:eastAsia="en-US"/>
        </w:rPr>
        <w:t>Attribute on its respective Profile.</w:t>
      </w:r>
    </w:p>
    <w:p w14:paraId="4FC7D4B7" w14:textId="77777777" w:rsidR="00B97365" w:rsidRDefault="00000000">
      <w:pPr>
        <w:rPr>
          <w:lang w:eastAsia="en-US"/>
        </w:rPr>
      </w:pPr>
      <w:r>
        <w:rPr>
          <w:lang w:eastAsia="en-US"/>
        </w:rPr>
        <w:t xml:space="preserve">For case 2. the Operator1 owning the Profile that currently has the </w:t>
      </w:r>
      <w:r>
        <w:t xml:space="preserve">Emergency Profile </w:t>
      </w:r>
      <w:r>
        <w:rPr>
          <w:lang w:eastAsia="en-US"/>
        </w:rPr>
        <w:t xml:space="preserve">Attribute set and the Operator2 that agree to have the </w:t>
      </w:r>
      <w:r>
        <w:t xml:space="preserve">Emergency Profile </w:t>
      </w:r>
      <w:r>
        <w:rPr>
          <w:lang w:eastAsia="en-US"/>
        </w:rPr>
        <w:t xml:space="preserve">Attribute set on its own Profile need to have an agreement with the M2M SP. This agreement is materialized by the Operator2 and Operator1 setting PLMAs where Operator2 MAY grant the M2M SP the authorisation to set the </w:t>
      </w:r>
      <w:r>
        <w:t xml:space="preserve">Emergency Profile </w:t>
      </w:r>
      <w:r>
        <w:rPr>
          <w:lang w:eastAsia="en-US"/>
        </w:rPr>
        <w:t xml:space="preserve">Attribute on its respective Profile and where Operator1 MAY grant the M2M SP the authorisation to un-set the </w:t>
      </w:r>
      <w:r>
        <w:t xml:space="preserve">Emergency Profile </w:t>
      </w:r>
      <w:r>
        <w:rPr>
          <w:lang w:eastAsia="en-US"/>
        </w:rPr>
        <w:t>Attribute on its respective Profile</w:t>
      </w:r>
    </w:p>
    <w:p w14:paraId="403855DC" w14:textId="77777777" w:rsidR="00B97365" w:rsidRDefault="00B97365">
      <w:pPr>
        <w:rPr>
          <w:sz w:val="20"/>
          <w:szCs w:val="25"/>
        </w:rPr>
      </w:pPr>
    </w:p>
    <w:p w14:paraId="4C42A98B" w14:textId="77777777" w:rsidR="00B97365" w:rsidRDefault="00000000">
      <w:pPr>
        <w:ind w:left="1440" w:hanging="1080"/>
      </w:pPr>
      <w:r>
        <w:t>NOTE</w:t>
      </w:r>
      <w:r>
        <w:tab/>
        <w:t>There is no operation that explicitly unsets the Emergency Profile Attribute on a Profile. The Emergency Profile Attribute is only unset as a consequence of setting the Emergency Profile Attribute on another Profile.</w:t>
      </w:r>
    </w:p>
    <w:p w14:paraId="346F246B" w14:textId="77777777" w:rsidR="00B97365" w:rsidRDefault="00B97365">
      <w:pPr>
        <w:rPr>
          <w:lang w:eastAsia="en-US"/>
        </w:rPr>
      </w:pPr>
    </w:p>
    <w:p w14:paraId="26D4FE6E" w14:textId="77777777" w:rsidR="00B97365" w:rsidRDefault="00000000">
      <w:pPr>
        <w:rPr>
          <w:lang w:eastAsia="en-US"/>
        </w:rPr>
      </w:pPr>
      <w:r>
        <w:rPr>
          <w:lang w:eastAsia="en-US"/>
        </w:rPr>
        <w:t>For case 1 the procedure below applies:</w:t>
      </w:r>
    </w:p>
    <w:p w14:paraId="54318878" w14:textId="77777777" w:rsidR="00B97365" w:rsidRDefault="00B97365">
      <w:pPr>
        <w:rPr>
          <w:lang w:eastAsia="en-US"/>
        </w:rPr>
      </w:pPr>
    </w:p>
    <w:p w14:paraId="0B4D3A8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lastRenderedPageBreak/>
        <w:t>startuml</w:t>
      </w:r>
    </w:p>
    <w:p w14:paraId="2CCA820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skinparam monochrome true</w:t>
      </w:r>
    </w:p>
    <w:p w14:paraId="6FEB9A4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skinparam ArrowColor Black</w:t>
      </w:r>
    </w:p>
    <w:p w14:paraId="3C8AEED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8FA500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hide footbox</w:t>
      </w:r>
    </w:p>
    <w:p w14:paraId="75DC074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15105B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“M2M SP” as SP #FFFFFF</w:t>
      </w:r>
    </w:p>
    <w:p w14:paraId="2FA470C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“Operator 1\n&lt;size:10&gt;(owning Profile A)&lt;/size&gt;” as OP1 #FFFFFF</w:t>
      </w:r>
    </w:p>
    <w:p w14:paraId="5287C45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“Operator 2\n&lt;size:10&gt;(owning Profile B)&lt;/size&gt;” as OP2 #FFFFFF</w:t>
      </w:r>
    </w:p>
    <w:p w14:paraId="3D84C22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“SM-SR” as SR #FFFFFF</w:t>
      </w:r>
    </w:p>
    <w:p w14:paraId="29185B7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“eUICC” as EUICC #FFFFFF</w:t>
      </w:r>
    </w:p>
    <w:p w14:paraId="267A625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401A6EB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SP-&gt;SR: [1] ES4.SetEmergencyProfileAttribute(EID,ICCID)\non Profile B Request</w:t>
      </w:r>
    </w:p>
    <w:p w14:paraId="5116C35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7150BE6A"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1D5AD9">
        <w:rPr>
          <w:rFonts w:ascii="Courier New" w:hAnsi="Courier New" w:cs="Courier New"/>
          <w:noProof/>
          <w:color w:val="008000"/>
          <w:sz w:val="18"/>
          <w:lang w:val="fr-FR"/>
        </w:rPr>
        <w:t>Rnote over SR #FFFFFF</w:t>
      </w:r>
    </w:p>
    <w:p w14:paraId="41A5D23B"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1D5AD9">
        <w:rPr>
          <w:rFonts w:ascii="Courier New" w:hAnsi="Courier New" w:cs="Courier New"/>
          <w:noProof/>
          <w:color w:val="008000"/>
          <w:sz w:val="18"/>
          <w:lang w:val="fr-FR"/>
        </w:rPr>
        <w:t>[2] Check PLMA for Setting Emergency Profile</w:t>
      </w:r>
    </w:p>
    <w:p w14:paraId="117F06A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Attribute from Operator 2</w:t>
      </w:r>
    </w:p>
    <w:p w14:paraId="512F6A7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2313643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SR--&gt;SP: [2.a] Send response indicating authorisation conflict</w:t>
      </w:r>
    </w:p>
    <w:p w14:paraId="39F872C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0B587CF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SR-&gt;EUICC: [3] ES5.SetEmergencyProfileAttribute(ISD-P AID)\non Profile B</w:t>
      </w:r>
    </w:p>
    <w:p w14:paraId="5CBDB69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512898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EUICC #FFFFFF</w:t>
      </w:r>
    </w:p>
    <w:p w14:paraId="6334107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[4a] Verify if Profile B has not set Fall-Back Attribute</w:t>
      </w:r>
    </w:p>
    <w:p w14:paraId="5F684CB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3F53FE1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EUICC--&gt;SR: [4.a] send STORE DATA response with herror</w:t>
      </w:r>
    </w:p>
    <w:p w14:paraId="1448A57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42013EB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EUICC #FFFFFF</w:t>
      </w:r>
    </w:p>
    <w:p w14:paraId="44CEF26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[4b] Set Emergency Profile Attribute on Profile B</w:t>
      </w:r>
    </w:p>
    <w:p w14:paraId="52372F8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2A27A93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4E933B8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EUICC-&gt;SR: [5] </w:t>
      </w:r>
      <w:r>
        <w:rPr>
          <w:rFonts w:ascii="Courier New" w:hAnsi="Courier New" w:cs="Courier New"/>
          <w:noProof/>
          <w:color w:val="008000"/>
          <w:sz w:val="18"/>
        </w:rPr>
        <w:t>SetEmergencyProfileAttribute response</w:t>
      </w:r>
      <w:r>
        <w:rPr>
          <w:rFonts w:ascii="Courier New" w:hAnsi="Courier New" w:cs="Courier New"/>
          <w:noProof/>
          <w:color w:val="008000"/>
          <w:sz w:val="18"/>
          <w:lang w:val="en-US"/>
        </w:rPr>
        <w:t xml:space="preserve"> </w:t>
      </w:r>
    </w:p>
    <w:p w14:paraId="0160A69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3E450F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SR #FFFFFF</w:t>
      </w:r>
    </w:p>
    <w:p w14:paraId="1903DB1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[6] EIS Update(AdditionalProperty)</w:t>
      </w:r>
    </w:p>
    <w:p w14:paraId="43F8FD5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Endrnote </w:t>
      </w:r>
    </w:p>
    <w:p w14:paraId="421CA3D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5FC72F4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SR-&gt;OP2: [7] ES4.HandleEmergencyProfileAttributeSetNotification of Profile B</w:t>
      </w:r>
    </w:p>
    <w:p w14:paraId="776D700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C7000C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SR-&gt;OP1</w:t>
      </w:r>
    </w:p>
    <w:p w14:paraId="2FDAC7B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72C366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SR-&gt;SP: [8] ES4.HandleEmergencyProfileAttributeSetNotification of Profile B</w:t>
      </w:r>
    </w:p>
    <w:p w14:paraId="7631055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@enduml</w:t>
      </w:r>
    </w:p>
    <w:p w14:paraId="51A672F5" w14:textId="77777777" w:rsidR="00B97365" w:rsidRDefault="00000000">
      <w:pPr>
        <w:rPr>
          <w:noProof/>
          <w:lang w:val="de-DE" w:eastAsia="de-DE" w:bidi="ar-SA"/>
        </w:rPr>
      </w:pPr>
      <w:r>
        <w:rPr>
          <w:noProof/>
          <w:lang w:eastAsia="en-GB" w:bidi="ar-SA"/>
        </w:rPr>
        <w:drawing>
          <wp:inline distT="0" distB="0" distL="0" distR="0" wp14:anchorId="55C13F1C" wp14:editId="719F03EA">
            <wp:extent cx="5731510" cy="2042795"/>
            <wp:effectExtent l="0" t="0" r="254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2042795"/>
                    </a:xfrm>
                    <a:prstGeom prst="rect">
                      <a:avLst/>
                    </a:prstGeom>
                  </pic:spPr>
                </pic:pic>
              </a:graphicData>
            </a:graphic>
          </wp:inline>
        </w:drawing>
      </w:r>
    </w:p>
    <w:p w14:paraId="7994FC30"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326-A: Emergency Profile Attribute Management by M2M SP (case 1: first Emergency Profile)</w:t>
      </w:r>
    </w:p>
    <w:p w14:paraId="639BBFD0" w14:textId="77777777" w:rsidR="00B97365" w:rsidRDefault="00B97365">
      <w:pPr>
        <w:rPr>
          <w:lang w:eastAsia="en-US"/>
        </w:rPr>
      </w:pPr>
    </w:p>
    <w:p w14:paraId="691A6A7F" w14:textId="77777777" w:rsidR="00B97365" w:rsidRDefault="00B97365">
      <w:pPr>
        <w:rPr>
          <w:lang w:eastAsia="en-US"/>
        </w:rPr>
      </w:pPr>
    </w:p>
    <w:p w14:paraId="35748578" w14:textId="77777777" w:rsidR="00B97365" w:rsidRDefault="00000000">
      <w:pPr>
        <w:rPr>
          <w:b/>
          <w:szCs w:val="22"/>
        </w:rPr>
      </w:pPr>
      <w:r>
        <w:rPr>
          <w:b/>
        </w:rPr>
        <w:t>Start</w:t>
      </w:r>
      <w:r>
        <w:rPr>
          <w:b/>
          <w:szCs w:val="22"/>
        </w:rPr>
        <w:t xml:space="preserve"> Conditions:</w:t>
      </w:r>
    </w:p>
    <w:p w14:paraId="523125AF" w14:textId="77777777" w:rsidR="00B97365" w:rsidRDefault="00000000">
      <w:pPr>
        <w:numPr>
          <w:ilvl w:val="0"/>
          <w:numId w:val="74"/>
        </w:numPr>
        <w:contextualSpacing/>
        <w:rPr>
          <w:szCs w:val="22"/>
          <w:lang w:eastAsia="en-GB" w:bidi="ar-SA"/>
        </w:rPr>
      </w:pPr>
      <w:r>
        <w:rPr>
          <w:szCs w:val="22"/>
          <w:lang w:eastAsia="en-GB" w:bidi="ar-SA"/>
        </w:rPr>
        <w:t>Profile B, targeted to have the Emergency Profile Attribute set, present on the eUICC.</w:t>
      </w:r>
    </w:p>
    <w:p w14:paraId="427F834A" w14:textId="77777777" w:rsidR="00B97365" w:rsidRDefault="00000000">
      <w:pPr>
        <w:numPr>
          <w:ilvl w:val="0"/>
          <w:numId w:val="74"/>
        </w:numPr>
        <w:contextualSpacing/>
        <w:rPr>
          <w:szCs w:val="22"/>
          <w:lang w:eastAsia="en-GB" w:bidi="ar-SA"/>
        </w:rPr>
      </w:pPr>
      <w:r>
        <w:rPr>
          <w:szCs w:val="22"/>
          <w:lang w:eastAsia="en-GB" w:bidi="ar-SA"/>
        </w:rPr>
        <w:t>Profile B owner Operator2 has configured a PLMA authorising the M2M SP to set the Emergency Profile Attribute.</w:t>
      </w:r>
    </w:p>
    <w:p w14:paraId="30DC8A1F" w14:textId="77777777" w:rsidR="00B97365" w:rsidRDefault="00000000">
      <w:pPr>
        <w:rPr>
          <w:b/>
          <w:szCs w:val="22"/>
        </w:rPr>
      </w:pPr>
      <w:r>
        <w:rPr>
          <w:b/>
          <w:szCs w:val="22"/>
        </w:rPr>
        <w:t>Procedure:</w:t>
      </w:r>
    </w:p>
    <w:p w14:paraId="17AB91BE" w14:textId="77777777" w:rsidR="00B97365" w:rsidRDefault="00000000">
      <w:pPr>
        <w:numPr>
          <w:ilvl w:val="0"/>
          <w:numId w:val="93"/>
        </w:numPr>
        <w:rPr>
          <w:b/>
          <w:szCs w:val="22"/>
        </w:rPr>
      </w:pPr>
      <w:r>
        <w:rPr>
          <w:szCs w:val="22"/>
        </w:rPr>
        <w:t xml:space="preserve">The M2M SP requests setting of the </w:t>
      </w:r>
      <w:r>
        <w:rPr>
          <w:szCs w:val="22"/>
          <w:lang w:eastAsia="en-GB" w:bidi="ar-SA"/>
        </w:rPr>
        <w:t xml:space="preserve">Emergency Profile </w:t>
      </w:r>
      <w:r>
        <w:rPr>
          <w:szCs w:val="22"/>
        </w:rPr>
        <w:t>Attribute on Profile B to the SM-SR by calling the “</w:t>
      </w:r>
      <w:r>
        <w:rPr>
          <w:b/>
          <w:szCs w:val="22"/>
        </w:rPr>
        <w:t>ES4.SetEmergencyProfileAttribute”</w:t>
      </w:r>
      <w:r>
        <w:rPr>
          <w:szCs w:val="22"/>
        </w:rPr>
        <w:t xml:space="preserve"> function with the relevant input parameters.</w:t>
      </w:r>
    </w:p>
    <w:p w14:paraId="2C02EEA1" w14:textId="77777777" w:rsidR="00B97365" w:rsidRDefault="00000000">
      <w:pPr>
        <w:numPr>
          <w:ilvl w:val="0"/>
          <w:numId w:val="93"/>
        </w:numPr>
        <w:rPr>
          <w:szCs w:val="22"/>
        </w:rPr>
      </w:pPr>
      <w:r>
        <w:rPr>
          <w:szCs w:val="22"/>
        </w:rPr>
        <w:t>The SM-SR checks if a PLMA from Operator2 that authorises the M2M SP to set the Emergency</w:t>
      </w:r>
      <w:r>
        <w:rPr>
          <w:szCs w:val="22"/>
          <w:lang w:eastAsia="en-GB" w:bidi="ar-SA"/>
        </w:rPr>
        <w:t xml:space="preserve"> Profile </w:t>
      </w:r>
      <w:r>
        <w:rPr>
          <w:szCs w:val="22"/>
        </w:rPr>
        <w:t>Attribute on Profile B is configured</w:t>
      </w:r>
    </w:p>
    <w:p w14:paraId="078970B5" w14:textId="77777777" w:rsidR="00B97365" w:rsidRDefault="00000000">
      <w:pPr>
        <w:numPr>
          <w:ilvl w:val="1"/>
          <w:numId w:val="75"/>
        </w:numPr>
        <w:spacing w:before="0"/>
        <w:rPr>
          <w:rFonts w:eastAsia="Calibri"/>
          <w:sz w:val="20"/>
          <w:szCs w:val="22"/>
          <w:lang w:eastAsia="en-US" w:bidi="ar-SA"/>
        </w:rPr>
      </w:pPr>
      <w:r>
        <w:rPr>
          <w:rFonts w:eastAsia="Calibri"/>
          <w:szCs w:val="22"/>
          <w:lang w:eastAsia="en-US" w:bidi="ar-SA"/>
        </w:rPr>
        <w:t>If there is a conflict with the authorisation, the SM-SR aborts the procedure and informs the M2M SP.</w:t>
      </w:r>
    </w:p>
    <w:p w14:paraId="3EB5778B" w14:textId="77777777" w:rsidR="00B97365" w:rsidRDefault="00000000">
      <w:pPr>
        <w:numPr>
          <w:ilvl w:val="0"/>
          <w:numId w:val="93"/>
        </w:numPr>
        <w:rPr>
          <w:szCs w:val="22"/>
        </w:rPr>
      </w:pPr>
      <w:r>
        <w:rPr>
          <w:szCs w:val="22"/>
        </w:rPr>
        <w:t>The SM-SR, by calling the “</w:t>
      </w:r>
      <w:r>
        <w:rPr>
          <w:b/>
          <w:szCs w:val="22"/>
        </w:rPr>
        <w:t>ES5.SetEmergencyProfileAttribute”</w:t>
      </w:r>
      <w:r>
        <w:rPr>
          <w:szCs w:val="22"/>
        </w:rPr>
        <w:t xml:space="preserve"> function, requests the eUICC to set the Emergency Profile Attribute to the Profile B.</w:t>
      </w:r>
    </w:p>
    <w:p w14:paraId="52B7D448" w14:textId="77777777" w:rsidR="00B97365" w:rsidRDefault="00000000">
      <w:pPr>
        <w:numPr>
          <w:ilvl w:val="0"/>
          <w:numId w:val="93"/>
        </w:numPr>
        <w:rPr>
          <w:szCs w:val="22"/>
        </w:rPr>
      </w:pPr>
      <w:r>
        <w:rPr>
          <w:szCs w:val="22"/>
        </w:rPr>
        <w:t xml:space="preserve">The eUICC verifies that Profile B does not have the Fall-Back Attribute set (4a) and then sets the </w:t>
      </w:r>
      <w:r>
        <w:rPr>
          <w:szCs w:val="22"/>
          <w:lang w:eastAsia="en-GB"/>
        </w:rPr>
        <w:t xml:space="preserve">Emergency Profile </w:t>
      </w:r>
      <w:r>
        <w:rPr>
          <w:szCs w:val="22"/>
        </w:rPr>
        <w:t>Attribute to the Profile B (4b).</w:t>
      </w:r>
    </w:p>
    <w:p w14:paraId="71579E40" w14:textId="77777777" w:rsidR="00B97365" w:rsidRDefault="00000000">
      <w:pPr>
        <w:numPr>
          <w:ilvl w:val="1"/>
          <w:numId w:val="75"/>
        </w:numPr>
        <w:spacing w:before="0"/>
        <w:rPr>
          <w:rFonts w:eastAsia="Calibri"/>
          <w:szCs w:val="22"/>
          <w:lang w:eastAsia="en-US" w:bidi="ar-SA"/>
        </w:rPr>
      </w:pPr>
      <w:r>
        <w:rPr>
          <w:rFonts w:eastAsia="Calibri"/>
          <w:szCs w:val="22"/>
          <w:lang w:eastAsia="en-US" w:bidi="ar-SA"/>
        </w:rPr>
        <w:t>If the conditions (4a) is not true, the eUICC aborts the procedure and sends an error to the SM-SR as detailed in the “</w:t>
      </w:r>
      <w:r>
        <w:rPr>
          <w:rFonts w:eastAsia="Calibri"/>
          <w:b/>
          <w:szCs w:val="22"/>
          <w:lang w:eastAsia="en-US" w:bidi="ar-SA"/>
        </w:rPr>
        <w:t>ES5.SetEmergencyProfileAttribute”</w:t>
      </w:r>
      <w:r>
        <w:rPr>
          <w:rFonts w:eastAsia="Calibri"/>
          <w:szCs w:val="22"/>
          <w:lang w:eastAsia="en-US" w:bidi="ar-SA"/>
        </w:rPr>
        <w:t xml:space="preserve"> function.</w:t>
      </w:r>
    </w:p>
    <w:p w14:paraId="495F041F" w14:textId="77777777" w:rsidR="00B97365" w:rsidRDefault="00000000">
      <w:pPr>
        <w:numPr>
          <w:ilvl w:val="0"/>
          <w:numId w:val="93"/>
        </w:numPr>
        <w:rPr>
          <w:szCs w:val="22"/>
        </w:rPr>
      </w:pPr>
      <w:r>
        <w:rPr>
          <w:szCs w:val="22"/>
        </w:rPr>
        <w:t>The eUICC SHALL send the “</w:t>
      </w:r>
      <w:r>
        <w:rPr>
          <w:b/>
          <w:szCs w:val="22"/>
        </w:rPr>
        <w:t>ES5.SetEmergencyProfileAttribute”</w:t>
      </w:r>
      <w:r>
        <w:rPr>
          <w:szCs w:val="22"/>
        </w:rPr>
        <w:t xml:space="preserve"> response to the SM-SR.</w:t>
      </w:r>
    </w:p>
    <w:p w14:paraId="5D2DF14D" w14:textId="77777777" w:rsidR="00B97365" w:rsidRDefault="00000000">
      <w:pPr>
        <w:numPr>
          <w:ilvl w:val="0"/>
          <w:numId w:val="93"/>
        </w:numPr>
        <w:rPr>
          <w:szCs w:val="22"/>
        </w:rPr>
      </w:pPr>
      <w:r>
        <w:rPr>
          <w:szCs w:val="22"/>
        </w:rPr>
        <w:t xml:space="preserve">The SM-SR updates the EIS accordingly by adding the information that the Emergency Profile has been set on Profile B in the AdditionalProperty field. </w:t>
      </w:r>
    </w:p>
    <w:p w14:paraId="468F0139" w14:textId="77777777" w:rsidR="00B97365" w:rsidRDefault="00000000">
      <w:pPr>
        <w:numPr>
          <w:ilvl w:val="0"/>
          <w:numId w:val="93"/>
        </w:numPr>
        <w:rPr>
          <w:szCs w:val="22"/>
        </w:rPr>
      </w:pPr>
      <w:r>
        <w:rPr>
          <w:szCs w:val="22"/>
        </w:rPr>
        <w:t>Based on ONC, the SM-SR notify all Operators, having a Profile on this eUICC, by calling the “</w:t>
      </w:r>
      <w:r>
        <w:rPr>
          <w:b/>
          <w:szCs w:val="22"/>
        </w:rPr>
        <w:t>ES4.</w:t>
      </w:r>
      <w:r>
        <w:rPr>
          <w:b/>
          <w:szCs w:val="22"/>
          <w:lang w:val="en-US" w:eastAsia="en-GB"/>
        </w:rPr>
        <w:t>Handle</w:t>
      </w:r>
      <w:r>
        <w:rPr>
          <w:rFonts w:cs="Arial"/>
          <w:b/>
          <w:szCs w:val="22"/>
          <w:lang w:val="en-US" w:eastAsia="en-GB"/>
        </w:rPr>
        <w:t>EmergencyProfile</w:t>
      </w:r>
      <w:r>
        <w:rPr>
          <w:b/>
          <w:szCs w:val="22"/>
          <w:lang w:val="en-US" w:eastAsia="en-GB"/>
        </w:rPr>
        <w:t>AttributeSetNotification”</w:t>
      </w:r>
      <w:r>
        <w:rPr>
          <w:szCs w:val="22"/>
        </w:rPr>
        <w:t xml:space="preserve"> that a Profile now has the </w:t>
      </w:r>
      <w:r>
        <w:rPr>
          <w:szCs w:val="22"/>
          <w:lang w:eastAsia="en-GB"/>
        </w:rPr>
        <w:t xml:space="preserve">Emergency Profile </w:t>
      </w:r>
      <w:r>
        <w:rPr>
          <w:szCs w:val="22"/>
        </w:rPr>
        <w:t>Attribute set. This notification MAY include the Profile ID.</w:t>
      </w:r>
    </w:p>
    <w:p w14:paraId="772EB0E9" w14:textId="77777777" w:rsidR="00B97365" w:rsidRDefault="00000000">
      <w:pPr>
        <w:numPr>
          <w:ilvl w:val="0"/>
          <w:numId w:val="93"/>
        </w:numPr>
        <w:rPr>
          <w:szCs w:val="22"/>
        </w:rPr>
      </w:pPr>
      <w:r>
        <w:rPr>
          <w:szCs w:val="22"/>
        </w:rPr>
        <w:t>The SM-SR notifies the M2M SP by calling the “</w:t>
      </w:r>
      <w:r>
        <w:rPr>
          <w:b/>
          <w:szCs w:val="22"/>
        </w:rPr>
        <w:t>ES4.</w:t>
      </w:r>
      <w:r>
        <w:rPr>
          <w:b/>
          <w:szCs w:val="22"/>
          <w:lang w:val="en-US" w:eastAsia="en-GB"/>
        </w:rPr>
        <w:t>Handle</w:t>
      </w:r>
      <w:r>
        <w:rPr>
          <w:rFonts w:cs="Arial"/>
          <w:b/>
          <w:szCs w:val="22"/>
          <w:lang w:val="en-US" w:eastAsia="en-GB"/>
        </w:rPr>
        <w:t>EmergencyProfile</w:t>
      </w:r>
      <w:r>
        <w:rPr>
          <w:b/>
          <w:szCs w:val="22"/>
          <w:lang w:val="en-US" w:eastAsia="en-GB"/>
        </w:rPr>
        <w:t xml:space="preserve">AttributeSetNotification” </w:t>
      </w:r>
      <w:r>
        <w:rPr>
          <w:szCs w:val="22"/>
        </w:rPr>
        <w:t xml:space="preserve">that the </w:t>
      </w:r>
      <w:r>
        <w:rPr>
          <w:szCs w:val="22"/>
          <w:lang w:eastAsia="en-GB"/>
        </w:rPr>
        <w:t xml:space="preserve">Emergency Profile </w:t>
      </w:r>
      <w:r>
        <w:rPr>
          <w:szCs w:val="22"/>
        </w:rPr>
        <w:t>Attribute is now set for Profile B.</w:t>
      </w:r>
    </w:p>
    <w:p w14:paraId="5545C63E" w14:textId="77777777" w:rsidR="00B97365" w:rsidRDefault="00000000">
      <w:pPr>
        <w:ind w:left="360"/>
        <w:rPr>
          <w:szCs w:val="22"/>
        </w:rPr>
      </w:pPr>
      <w:r>
        <w:rPr>
          <w:szCs w:val="22"/>
        </w:rPr>
        <w:t>If the M2M SP is another Operator directly connected to the SM-SR and it is authorised by Operator, the SM-SR SHALL send this notification to this other Operator by calling the “</w:t>
      </w:r>
      <w:r>
        <w:rPr>
          <w:b/>
          <w:szCs w:val="22"/>
        </w:rPr>
        <w:t>ES4.</w:t>
      </w:r>
      <w:r>
        <w:rPr>
          <w:b/>
          <w:szCs w:val="22"/>
          <w:lang w:val="en-US" w:eastAsia="en-GB"/>
        </w:rPr>
        <w:t>Handle</w:t>
      </w:r>
      <w:r>
        <w:rPr>
          <w:rFonts w:cs="Arial"/>
          <w:b/>
          <w:szCs w:val="22"/>
          <w:lang w:val="en-US" w:eastAsia="en-GB"/>
        </w:rPr>
        <w:t>EmergencyProfile</w:t>
      </w:r>
      <w:r>
        <w:rPr>
          <w:b/>
          <w:szCs w:val="22"/>
          <w:lang w:val="en-US" w:eastAsia="en-GB"/>
        </w:rPr>
        <w:t>AttributeSetNotification</w:t>
      </w:r>
      <w:r>
        <w:rPr>
          <w:szCs w:val="22"/>
        </w:rPr>
        <w:t>”.</w:t>
      </w:r>
    </w:p>
    <w:p w14:paraId="70D30C11" w14:textId="77777777" w:rsidR="00B97365" w:rsidRDefault="00B97365">
      <w:pPr>
        <w:spacing w:before="0"/>
        <w:ind w:left="360"/>
        <w:rPr>
          <w:rFonts w:eastAsia="Calibri"/>
          <w:szCs w:val="22"/>
          <w:lang w:eastAsia="en-US" w:bidi="ar-SA"/>
        </w:rPr>
      </w:pPr>
    </w:p>
    <w:p w14:paraId="6B82D651" w14:textId="77777777" w:rsidR="00B97365" w:rsidRDefault="00000000">
      <w:pPr>
        <w:spacing w:before="0"/>
        <w:ind w:left="360"/>
        <w:rPr>
          <w:rFonts w:eastAsia="Calibri"/>
          <w:szCs w:val="22"/>
          <w:lang w:eastAsia="en-US" w:bidi="ar-SA"/>
        </w:rPr>
      </w:pPr>
      <w:r>
        <w:rPr>
          <w:rFonts w:eastAsia="Calibri"/>
          <w:szCs w:val="22"/>
          <w:lang w:eastAsia="en-US" w:bidi="ar-SA"/>
        </w:rPr>
        <w:t>If the M2M SP is another Operator connected through its SM-DP and it is authorised by Operator, the SM-SR SHALL send this notification to the SM-DP associated to this other Operator by calling the “</w:t>
      </w:r>
      <w:r>
        <w:rPr>
          <w:rFonts w:eastAsia="Calibri"/>
          <w:b/>
          <w:szCs w:val="22"/>
          <w:lang w:eastAsia="en-US" w:bidi="ar-SA"/>
        </w:rPr>
        <w:t>ES3.</w:t>
      </w:r>
      <w:r>
        <w:rPr>
          <w:rFonts w:eastAsia="Calibri"/>
          <w:b/>
          <w:szCs w:val="22"/>
          <w:lang w:val="en-US" w:eastAsia="en-GB" w:bidi="ar-SA"/>
        </w:rPr>
        <w:t>Handle</w:t>
      </w:r>
      <w:r>
        <w:rPr>
          <w:rFonts w:eastAsia="Calibri" w:cs="Arial"/>
          <w:b/>
          <w:szCs w:val="22"/>
          <w:lang w:val="en-US" w:eastAsia="en-GB" w:bidi="ar-SA"/>
        </w:rPr>
        <w:t>EmergencyProfile</w:t>
      </w:r>
      <w:r>
        <w:rPr>
          <w:rFonts w:eastAsia="Calibri"/>
          <w:b/>
          <w:szCs w:val="22"/>
          <w:lang w:val="en-US" w:eastAsia="en-GB" w:bidi="ar-SA"/>
        </w:rPr>
        <w:t>AttributeSetNotification</w:t>
      </w:r>
      <w:r>
        <w:rPr>
          <w:rFonts w:eastAsia="Calibri"/>
          <w:szCs w:val="22"/>
          <w:lang w:eastAsia="en-US" w:bidi="ar-SA"/>
        </w:rPr>
        <w:t>”. Then the SM-DP, on reception of this notification, SHALL forward it to the Operator, acting as the M2M SP, by calling the “</w:t>
      </w:r>
      <w:r>
        <w:rPr>
          <w:rFonts w:eastAsia="Calibri"/>
          <w:b/>
          <w:szCs w:val="22"/>
          <w:lang w:eastAsia="en-US" w:bidi="ar-SA"/>
        </w:rPr>
        <w:t>ES2.</w:t>
      </w:r>
      <w:r>
        <w:rPr>
          <w:rFonts w:eastAsia="Calibri"/>
          <w:b/>
          <w:szCs w:val="22"/>
          <w:lang w:val="en-US" w:eastAsia="en-GB" w:bidi="ar-SA"/>
        </w:rPr>
        <w:t>Handle</w:t>
      </w:r>
      <w:r>
        <w:rPr>
          <w:rFonts w:eastAsia="Calibri" w:cs="Arial"/>
          <w:b/>
          <w:szCs w:val="22"/>
          <w:lang w:val="en-US" w:eastAsia="en-GB" w:bidi="ar-SA"/>
        </w:rPr>
        <w:t>EmergencyProfile</w:t>
      </w:r>
      <w:r>
        <w:rPr>
          <w:rFonts w:eastAsia="Calibri"/>
          <w:b/>
          <w:szCs w:val="22"/>
          <w:lang w:val="en-US" w:eastAsia="en-GB" w:bidi="ar-SA"/>
        </w:rPr>
        <w:t>AttributeSetNotification</w:t>
      </w:r>
      <w:r>
        <w:rPr>
          <w:rFonts w:eastAsia="Calibri"/>
          <w:szCs w:val="22"/>
          <w:lang w:eastAsia="en-US" w:bidi="ar-SA"/>
        </w:rPr>
        <w:t>”</w:t>
      </w:r>
    </w:p>
    <w:p w14:paraId="1564E23B" w14:textId="77777777" w:rsidR="00B97365" w:rsidRDefault="00000000">
      <w:pPr>
        <w:rPr>
          <w:b/>
          <w:szCs w:val="22"/>
        </w:rPr>
      </w:pPr>
      <w:r>
        <w:rPr>
          <w:b/>
          <w:szCs w:val="22"/>
        </w:rPr>
        <w:t>End Conditions:</w:t>
      </w:r>
    </w:p>
    <w:p w14:paraId="5A47AE33" w14:textId="77777777" w:rsidR="00B97365" w:rsidRDefault="00000000">
      <w:pPr>
        <w:spacing w:line="276" w:lineRule="auto"/>
        <w:jc w:val="left"/>
        <w:rPr>
          <w:rFonts w:eastAsia="Calibri"/>
          <w:sz w:val="20"/>
          <w:szCs w:val="22"/>
          <w:lang w:eastAsia="en-US" w:bidi="ar-SA"/>
        </w:rPr>
      </w:pPr>
      <w:r>
        <w:rPr>
          <w:rFonts w:eastAsia="Calibri"/>
          <w:szCs w:val="22"/>
          <w:lang w:eastAsia="en-US" w:bidi="ar-SA"/>
        </w:rPr>
        <w:t xml:space="preserve">The Profile B has the </w:t>
      </w:r>
      <w:r>
        <w:rPr>
          <w:rFonts w:eastAsia="Calibri"/>
          <w:szCs w:val="22"/>
          <w:lang w:eastAsia="en-GB" w:bidi="ar-SA"/>
        </w:rPr>
        <w:t xml:space="preserve">Emergency Profile </w:t>
      </w:r>
      <w:r>
        <w:rPr>
          <w:rFonts w:eastAsia="Calibri"/>
          <w:szCs w:val="22"/>
          <w:lang w:eastAsia="en-US" w:bidi="ar-SA"/>
        </w:rPr>
        <w:t xml:space="preserve">Attribute set. </w:t>
      </w:r>
    </w:p>
    <w:p w14:paraId="0AF2C049" w14:textId="77777777" w:rsidR="00B97365" w:rsidRDefault="00000000">
      <w:pPr>
        <w:rPr>
          <w:szCs w:val="22"/>
          <w:lang w:eastAsia="en-US"/>
        </w:rPr>
      </w:pPr>
      <w:r>
        <w:rPr>
          <w:szCs w:val="22"/>
          <w:lang w:eastAsia="en-US"/>
        </w:rPr>
        <w:t>For case 2 the procedure below applies:</w:t>
      </w:r>
    </w:p>
    <w:p w14:paraId="1DC75743" w14:textId="77777777" w:rsidR="00B97365" w:rsidRDefault="00B97365">
      <w:pPr>
        <w:rPr>
          <w:lang w:eastAsia="en-US"/>
        </w:rPr>
      </w:pPr>
    </w:p>
    <w:p w14:paraId="036B554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47B401A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@startuml</w:t>
      </w:r>
    </w:p>
    <w:p w14:paraId="5FB1251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skinparam monochrome true</w:t>
      </w:r>
    </w:p>
    <w:p w14:paraId="29E9862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skinparam ArrowColor Black</w:t>
      </w:r>
    </w:p>
    <w:p w14:paraId="7ECC5DF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013E61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hide footbox</w:t>
      </w:r>
    </w:p>
    <w:p w14:paraId="513E3D7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5BC9160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“M2M SP” as SP #FFFFFF</w:t>
      </w:r>
    </w:p>
    <w:p w14:paraId="4C5F3CB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“Operator 1\n&lt;size:10&gt;(owning Profile A)&lt;/size&gt;” as OP1 #FFFFFF</w:t>
      </w:r>
    </w:p>
    <w:p w14:paraId="7CA95CC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“Operator 2\n&lt;size:10&gt;(owning Profile B)&lt;/size&gt;” as OP2 #FFFFFF</w:t>
      </w:r>
    </w:p>
    <w:p w14:paraId="0859E4E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“SM-DP” as DP #FFFFFF</w:t>
      </w:r>
    </w:p>
    <w:p w14:paraId="7BAFA0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“SM-SR” as SR #FFFFFF</w:t>
      </w:r>
    </w:p>
    <w:p w14:paraId="1BB010C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“eUICC” as EUICC #FFFFFF</w:t>
      </w:r>
    </w:p>
    <w:p w14:paraId="4C7F7E9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5227ABA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SP-&gt;SR: [1] ES4.SetEmergencyProfileAttribute(EID,ICCID)\non Profile B Request</w:t>
      </w:r>
    </w:p>
    <w:p w14:paraId="56F15F9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04EC0A1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SR #FFFFFF</w:t>
      </w:r>
    </w:p>
    <w:p w14:paraId="6E4C6BC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[2] Check PLMA for Setting Emergency Profile</w:t>
      </w:r>
    </w:p>
    <w:p w14:paraId="04CF6D1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Attribute from Operator 2</w:t>
      </w:r>
    </w:p>
    <w:p w14:paraId="2498BD0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1298C6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SR--&gt;SP: [2.a] Send response indicating authorisation conflict</w:t>
      </w:r>
    </w:p>
    <w:p w14:paraId="09F6B5B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SR #FFFFFF</w:t>
      </w:r>
    </w:p>
    <w:p w14:paraId="58A6D8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[3] Check PLMA for Unsetting Emergency Profile</w:t>
      </w:r>
    </w:p>
    <w:p w14:paraId="13DB9CB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Attribute from Operator 1</w:t>
      </w:r>
    </w:p>
    <w:p w14:paraId="6B18C67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3081B75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SR--&gt;SP: [3.a] Send response indicating authorisation conflict</w:t>
      </w:r>
    </w:p>
    <w:p w14:paraId="7B6359C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2D78D51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SR-&gt;EUICC: [4] ES5.SetEmergencyProfileAttribute(ISD-P AID)\non Profile B</w:t>
      </w:r>
    </w:p>
    <w:p w14:paraId="0F94392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4461B74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EUICC #FFFFFF</w:t>
      </w:r>
    </w:p>
    <w:p w14:paraId="73C01EE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[5a] Verify if Profile B has not set Fall-Back Attribute</w:t>
      </w:r>
    </w:p>
    <w:p w14:paraId="2C6DE85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0F7757C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EUICC--&gt;SR: [5.a] send error response</w:t>
      </w:r>
    </w:p>
    <w:p w14:paraId="7070398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1C5BB2A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EUICC #FFFFFF</w:t>
      </w:r>
    </w:p>
    <w:p w14:paraId="04E19CF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[5b] Unset Emergency Profile Attribute on Profile A</w:t>
      </w:r>
    </w:p>
    <w:p w14:paraId="5E4E8F1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by Setting Emergency Profile Attribute on Profile B</w:t>
      </w:r>
    </w:p>
    <w:p w14:paraId="06D408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0F45920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AFFA59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EUICC-&gt;SR: [6] </w:t>
      </w:r>
      <w:r>
        <w:rPr>
          <w:rFonts w:ascii="Courier New" w:hAnsi="Courier New" w:cs="Courier New"/>
          <w:noProof/>
          <w:color w:val="008000"/>
          <w:sz w:val="18"/>
        </w:rPr>
        <w:t>SetEmergencyProfileAttribute response</w:t>
      </w:r>
      <w:r>
        <w:rPr>
          <w:rFonts w:ascii="Courier New" w:hAnsi="Courier New" w:cs="Courier New"/>
          <w:noProof/>
          <w:color w:val="008000"/>
          <w:sz w:val="18"/>
          <w:lang w:val="en-US"/>
        </w:rPr>
        <w:t xml:space="preserve"> </w:t>
      </w:r>
    </w:p>
    <w:p w14:paraId="3C80F25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9DDD4F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SR #FFFFFF</w:t>
      </w:r>
    </w:p>
    <w:p w14:paraId="0E3ED3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[7] EIS Update(AdditionalProperty)</w:t>
      </w:r>
    </w:p>
    <w:p w14:paraId="1B37627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Endrnote </w:t>
      </w:r>
    </w:p>
    <w:p w14:paraId="36C8A31B"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4A2607A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SR-&gt;OP1: [8] ES4.HandleEmergencyProfileAttributeUnsetNotification\non Profile A</w:t>
      </w:r>
    </w:p>
    <w:p w14:paraId="3001023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1BDC7D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Alt [via SM-SR]</w:t>
      </w:r>
    </w:p>
    <w:p w14:paraId="58A7C21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SR-&gt;OP2: [9.a] ES4.HandleEmergencyProfileAttributeSetNotification\non Profile B</w:t>
      </w:r>
    </w:p>
    <w:p w14:paraId="36CCECE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SR-&gt;OP1</w:t>
      </w:r>
    </w:p>
    <w:p w14:paraId="6EA934E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6C5E893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Else [via SM-DP]</w:t>
      </w:r>
    </w:p>
    <w:p w14:paraId="01C29EA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224C61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SR-&gt;DP: [9.b] ES3.HandleEmergencyProfileAttributeSetNotification\non Profile B</w:t>
      </w:r>
    </w:p>
    <w:p w14:paraId="6740866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170144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DP-&gt;OP2: [9.c] ES2.HandleEmergencyProfileAttributeSetNotification\non Profile B</w:t>
      </w:r>
    </w:p>
    <w:p w14:paraId="33C7986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0B2D82E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w:t>
      </w:r>
    </w:p>
    <w:p w14:paraId="6C02A9B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D3578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Opt [If if requested by Operator 1]</w:t>
      </w:r>
    </w:p>
    <w:p w14:paraId="476BB1A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SR-&gt;SP: [10] HandleEmergencyProfileAttributeUnsetNotification of Profile A</w:t>
      </w:r>
    </w:p>
    <w:p w14:paraId="098AF99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End </w:t>
      </w:r>
    </w:p>
    <w:p w14:paraId="33959F8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0E159BB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Opt [If if requested by Operator 2]</w:t>
      </w:r>
    </w:p>
    <w:p w14:paraId="6E03929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SR-&gt;SP: [11] HandleEmergencyProfileAttributeSetNotification of Profile B</w:t>
      </w:r>
    </w:p>
    <w:p w14:paraId="1A1CC11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w:t>
      </w:r>
    </w:p>
    <w:p w14:paraId="5C29705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CC7AEA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lastRenderedPageBreak/>
        <w:t>@enduml</w:t>
      </w:r>
    </w:p>
    <w:p w14:paraId="5383BF24" w14:textId="77777777" w:rsidR="00B97365" w:rsidRDefault="00000000">
      <w:pPr>
        <w:rPr>
          <w:rFonts w:cs="Courier New"/>
          <w:noProof/>
          <w:color w:val="008000"/>
          <w:sz w:val="18"/>
          <w:lang w:eastAsia="en-US"/>
        </w:rPr>
      </w:pPr>
      <w:r>
        <w:rPr>
          <w:rFonts w:cs="Courier New"/>
          <w:noProof/>
          <w:color w:val="008000"/>
          <w:sz w:val="18"/>
          <w:lang w:eastAsia="en-GB" w:bidi="ar-SA"/>
        </w:rPr>
        <w:drawing>
          <wp:inline distT="0" distB="0" distL="0" distR="0" wp14:anchorId="7C6613AD" wp14:editId="730DD4CC">
            <wp:extent cx="5731510" cy="3512861"/>
            <wp:effectExtent l="0" t="0" r="2540" b="0"/>
            <wp:docPr id="465" name="Picture 46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1510" cy="3512861"/>
                    </a:xfrm>
                    <a:prstGeom prst="rect">
                      <a:avLst/>
                    </a:prstGeom>
                  </pic:spPr>
                </pic:pic>
              </a:graphicData>
            </a:graphic>
          </wp:inline>
        </w:drawing>
      </w:r>
    </w:p>
    <w:p w14:paraId="0048A1B2"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326-B: Emergency Profile Attribute Management by M2M SP (case 2: change of Emergency Profile)</w:t>
      </w:r>
    </w:p>
    <w:p w14:paraId="7D6FE66D" w14:textId="77777777" w:rsidR="00B97365" w:rsidRDefault="00000000">
      <w:pPr>
        <w:rPr>
          <w:b/>
          <w:szCs w:val="22"/>
        </w:rPr>
      </w:pPr>
      <w:r>
        <w:rPr>
          <w:b/>
          <w:szCs w:val="22"/>
        </w:rPr>
        <w:t>Start Conditions:</w:t>
      </w:r>
    </w:p>
    <w:p w14:paraId="48E7EFB7" w14:textId="77777777" w:rsidR="00B97365" w:rsidRDefault="00000000">
      <w:pPr>
        <w:numPr>
          <w:ilvl w:val="0"/>
          <w:numId w:val="76"/>
        </w:numPr>
        <w:spacing w:before="0"/>
        <w:contextualSpacing/>
        <w:rPr>
          <w:szCs w:val="22"/>
          <w:lang w:eastAsia="en-GB" w:bidi="ar-SA"/>
        </w:rPr>
      </w:pPr>
      <w:r>
        <w:rPr>
          <w:szCs w:val="22"/>
          <w:lang w:eastAsia="en-GB" w:bidi="ar-SA"/>
        </w:rPr>
        <w:t>Profile A with Emergency Profile Attribute set.</w:t>
      </w:r>
    </w:p>
    <w:p w14:paraId="04E41AF9" w14:textId="77777777" w:rsidR="00B97365" w:rsidRDefault="00000000">
      <w:pPr>
        <w:numPr>
          <w:ilvl w:val="0"/>
          <w:numId w:val="76"/>
        </w:numPr>
        <w:contextualSpacing/>
        <w:rPr>
          <w:szCs w:val="22"/>
          <w:lang w:eastAsia="en-GB" w:bidi="ar-SA"/>
        </w:rPr>
      </w:pPr>
      <w:r>
        <w:rPr>
          <w:szCs w:val="22"/>
          <w:lang w:eastAsia="en-GB" w:bidi="ar-SA"/>
        </w:rPr>
        <w:t>Profile B, targeted to have the Emergency Profile Attribute set, present on the eUICC.</w:t>
      </w:r>
    </w:p>
    <w:p w14:paraId="3DEB6D9E" w14:textId="77777777" w:rsidR="00B97365" w:rsidRDefault="00000000">
      <w:pPr>
        <w:numPr>
          <w:ilvl w:val="0"/>
          <w:numId w:val="76"/>
        </w:numPr>
        <w:contextualSpacing/>
        <w:rPr>
          <w:szCs w:val="22"/>
          <w:lang w:eastAsia="en-GB" w:bidi="ar-SA"/>
        </w:rPr>
      </w:pPr>
      <w:r>
        <w:rPr>
          <w:szCs w:val="22"/>
          <w:lang w:eastAsia="en-GB" w:bidi="ar-SA"/>
        </w:rPr>
        <w:t>Profile A owner Operator1 has configured a PLMA authorising the M2M SP to unset the Emergency Profile Attribute.</w:t>
      </w:r>
    </w:p>
    <w:p w14:paraId="0BD911DB" w14:textId="77777777" w:rsidR="00B97365" w:rsidRDefault="00000000">
      <w:pPr>
        <w:numPr>
          <w:ilvl w:val="0"/>
          <w:numId w:val="76"/>
        </w:numPr>
        <w:contextualSpacing/>
        <w:rPr>
          <w:szCs w:val="22"/>
          <w:lang w:eastAsia="en-GB" w:bidi="ar-SA"/>
        </w:rPr>
      </w:pPr>
      <w:r>
        <w:rPr>
          <w:szCs w:val="22"/>
          <w:lang w:eastAsia="en-GB" w:bidi="ar-SA"/>
        </w:rPr>
        <w:t>Profile B owner Operator2 has configured a PLMA authorising the M2M SP to set the Emergency Profile Attribute.</w:t>
      </w:r>
    </w:p>
    <w:p w14:paraId="218EAEAA" w14:textId="77777777" w:rsidR="00B97365" w:rsidRDefault="00000000">
      <w:pPr>
        <w:rPr>
          <w:b/>
          <w:szCs w:val="22"/>
        </w:rPr>
      </w:pPr>
      <w:r>
        <w:rPr>
          <w:b/>
          <w:szCs w:val="22"/>
        </w:rPr>
        <w:t>Procedure:</w:t>
      </w:r>
    </w:p>
    <w:p w14:paraId="79CF7AC2" w14:textId="77777777" w:rsidR="00B97365" w:rsidRDefault="00000000">
      <w:pPr>
        <w:numPr>
          <w:ilvl w:val="0"/>
          <w:numId w:val="94"/>
        </w:numPr>
        <w:rPr>
          <w:b/>
          <w:szCs w:val="22"/>
        </w:rPr>
      </w:pPr>
      <w:r>
        <w:t>The</w:t>
      </w:r>
      <w:r>
        <w:rPr>
          <w:szCs w:val="22"/>
        </w:rPr>
        <w:t xml:space="preserve"> M2M SP requests setting of the </w:t>
      </w:r>
      <w:r>
        <w:rPr>
          <w:szCs w:val="22"/>
          <w:lang w:eastAsia="en-GB" w:bidi="ar-SA"/>
        </w:rPr>
        <w:t xml:space="preserve">Emergency Profile </w:t>
      </w:r>
      <w:r>
        <w:rPr>
          <w:szCs w:val="22"/>
        </w:rPr>
        <w:t>Attribute on Profile B to the SM-SR by calling the “</w:t>
      </w:r>
      <w:r>
        <w:rPr>
          <w:b/>
          <w:szCs w:val="22"/>
        </w:rPr>
        <w:t>ES4.SetEmergencyProfileAttribute”</w:t>
      </w:r>
      <w:r>
        <w:rPr>
          <w:szCs w:val="22"/>
        </w:rPr>
        <w:t xml:space="preserve"> function with the relevant input parameters.</w:t>
      </w:r>
    </w:p>
    <w:p w14:paraId="27A55DDD" w14:textId="77777777" w:rsidR="00B97365" w:rsidRDefault="00000000">
      <w:pPr>
        <w:numPr>
          <w:ilvl w:val="0"/>
          <w:numId w:val="94"/>
        </w:numPr>
        <w:rPr>
          <w:szCs w:val="22"/>
        </w:rPr>
      </w:pPr>
      <w:r>
        <w:rPr>
          <w:szCs w:val="22"/>
        </w:rPr>
        <w:t xml:space="preserve">The SM-SR checks if a PLMA from Operator2 that authorises the M2M SP to set the </w:t>
      </w:r>
      <w:r>
        <w:t>Emergency</w:t>
      </w:r>
      <w:r>
        <w:rPr>
          <w:szCs w:val="22"/>
          <w:lang w:eastAsia="en-GB" w:bidi="ar-SA"/>
        </w:rPr>
        <w:t xml:space="preserve"> Profile </w:t>
      </w:r>
      <w:r>
        <w:rPr>
          <w:szCs w:val="22"/>
        </w:rPr>
        <w:t>Attribute on Profile B is configured.</w:t>
      </w:r>
    </w:p>
    <w:p w14:paraId="0E0EA4A8" w14:textId="77777777" w:rsidR="00B97365" w:rsidRDefault="00000000">
      <w:pPr>
        <w:numPr>
          <w:ilvl w:val="1"/>
          <w:numId w:val="77"/>
        </w:numPr>
        <w:contextualSpacing/>
        <w:rPr>
          <w:b/>
          <w:szCs w:val="22"/>
        </w:rPr>
      </w:pPr>
      <w:r>
        <w:rPr>
          <w:szCs w:val="22"/>
        </w:rPr>
        <w:t>If there is a conflict with the authorisation, the SM-SR aborts the procedure and informs the M2M SP.</w:t>
      </w:r>
    </w:p>
    <w:p w14:paraId="62CF6B70" w14:textId="77777777" w:rsidR="00B97365" w:rsidRDefault="00000000">
      <w:pPr>
        <w:numPr>
          <w:ilvl w:val="0"/>
          <w:numId w:val="94"/>
        </w:numPr>
        <w:rPr>
          <w:b/>
          <w:szCs w:val="22"/>
        </w:rPr>
      </w:pPr>
      <w:r>
        <w:t>The</w:t>
      </w:r>
      <w:r>
        <w:rPr>
          <w:szCs w:val="22"/>
        </w:rPr>
        <w:t xml:space="preserve"> SM-SR checks if a PLMA from Operator1 that authorises the M2M SP to unset the </w:t>
      </w:r>
      <w:r>
        <w:rPr>
          <w:szCs w:val="22"/>
          <w:lang w:eastAsia="en-GB" w:bidi="ar-SA"/>
        </w:rPr>
        <w:t xml:space="preserve">Emergency Profile </w:t>
      </w:r>
      <w:r>
        <w:rPr>
          <w:szCs w:val="22"/>
        </w:rPr>
        <w:t>Attribute on Profile A is configured.</w:t>
      </w:r>
    </w:p>
    <w:p w14:paraId="4A59A08C" w14:textId="77777777" w:rsidR="00B97365" w:rsidRDefault="00000000">
      <w:pPr>
        <w:numPr>
          <w:ilvl w:val="1"/>
          <w:numId w:val="77"/>
        </w:numPr>
        <w:contextualSpacing/>
        <w:rPr>
          <w:b/>
          <w:szCs w:val="22"/>
        </w:rPr>
      </w:pPr>
      <w:r>
        <w:rPr>
          <w:szCs w:val="22"/>
        </w:rPr>
        <w:t>If there is a conflict with the authorisation, the SM-SR aborts the procedure and informs the M2M SP.</w:t>
      </w:r>
    </w:p>
    <w:p w14:paraId="6B70F42C" w14:textId="77777777" w:rsidR="00B97365" w:rsidRDefault="00000000">
      <w:pPr>
        <w:numPr>
          <w:ilvl w:val="0"/>
          <w:numId w:val="94"/>
        </w:numPr>
        <w:rPr>
          <w:szCs w:val="22"/>
        </w:rPr>
      </w:pPr>
      <w:r>
        <w:t>The</w:t>
      </w:r>
      <w:r>
        <w:rPr>
          <w:szCs w:val="22"/>
        </w:rPr>
        <w:t xml:space="preserve"> SM-SR, by calling the “</w:t>
      </w:r>
      <w:r>
        <w:rPr>
          <w:b/>
          <w:szCs w:val="22"/>
        </w:rPr>
        <w:t>ES5.SetEmergencyProfileAttribute”</w:t>
      </w:r>
      <w:r>
        <w:rPr>
          <w:szCs w:val="22"/>
        </w:rPr>
        <w:t xml:space="preserve"> function, requests the eUICC to set the Emergency Profile Attribute to the Profile B. </w:t>
      </w:r>
    </w:p>
    <w:p w14:paraId="6754299A" w14:textId="77777777" w:rsidR="00B97365" w:rsidRDefault="00000000">
      <w:pPr>
        <w:numPr>
          <w:ilvl w:val="0"/>
          <w:numId w:val="94"/>
        </w:numPr>
        <w:rPr>
          <w:szCs w:val="22"/>
        </w:rPr>
      </w:pPr>
      <w:r>
        <w:rPr>
          <w:szCs w:val="22"/>
        </w:rPr>
        <w:lastRenderedPageBreak/>
        <w:t xml:space="preserve">The </w:t>
      </w:r>
      <w:r>
        <w:t>eUICC</w:t>
      </w:r>
      <w:r>
        <w:rPr>
          <w:szCs w:val="22"/>
        </w:rPr>
        <w:t xml:space="preserve"> verifies that Profile B does not have the Fall-Back Attribute set (5a) and then sets the </w:t>
      </w:r>
      <w:r>
        <w:rPr>
          <w:szCs w:val="22"/>
          <w:lang w:eastAsia="en-GB"/>
        </w:rPr>
        <w:t xml:space="preserve">Emergency Profile </w:t>
      </w:r>
      <w:r>
        <w:rPr>
          <w:szCs w:val="22"/>
        </w:rPr>
        <w:t xml:space="preserve">Attribute to the Profile B (5b). This will remove the </w:t>
      </w:r>
      <w:r>
        <w:rPr>
          <w:szCs w:val="22"/>
          <w:lang w:eastAsia="en-GB"/>
        </w:rPr>
        <w:t xml:space="preserve">Emergency Profile </w:t>
      </w:r>
      <w:r>
        <w:rPr>
          <w:szCs w:val="22"/>
        </w:rPr>
        <w:t>Attribute from Profile A.</w:t>
      </w:r>
    </w:p>
    <w:p w14:paraId="22CCEF42" w14:textId="77777777" w:rsidR="00B97365" w:rsidRDefault="00000000">
      <w:pPr>
        <w:numPr>
          <w:ilvl w:val="1"/>
          <w:numId w:val="77"/>
        </w:numPr>
        <w:spacing w:before="0"/>
        <w:rPr>
          <w:rFonts w:eastAsia="Calibri"/>
          <w:szCs w:val="22"/>
          <w:lang w:eastAsia="en-US" w:bidi="ar-SA"/>
        </w:rPr>
      </w:pPr>
      <w:r>
        <w:rPr>
          <w:rFonts w:eastAsia="Calibri"/>
          <w:szCs w:val="22"/>
          <w:lang w:eastAsia="en-US" w:bidi="ar-SA"/>
        </w:rPr>
        <w:t>If the conditions (5a) is not true, the eUICC aborts the procedure and returns an error to the SM-SR.</w:t>
      </w:r>
    </w:p>
    <w:p w14:paraId="2B03898D" w14:textId="77777777" w:rsidR="00B97365" w:rsidRDefault="00000000">
      <w:pPr>
        <w:numPr>
          <w:ilvl w:val="0"/>
          <w:numId w:val="94"/>
        </w:numPr>
        <w:rPr>
          <w:szCs w:val="22"/>
        </w:rPr>
      </w:pPr>
      <w:r>
        <w:t>The</w:t>
      </w:r>
      <w:r>
        <w:rPr>
          <w:szCs w:val="22"/>
        </w:rPr>
        <w:t xml:space="preserve"> eUICC SHALL send the “</w:t>
      </w:r>
      <w:r>
        <w:rPr>
          <w:b/>
          <w:szCs w:val="22"/>
        </w:rPr>
        <w:t>ES5.SetEmergencyProfileAttribute”</w:t>
      </w:r>
      <w:r>
        <w:rPr>
          <w:szCs w:val="22"/>
        </w:rPr>
        <w:t xml:space="preserve"> response to the SM-SR.</w:t>
      </w:r>
    </w:p>
    <w:p w14:paraId="41C0A024" w14:textId="77777777" w:rsidR="00B97365" w:rsidRDefault="00000000">
      <w:pPr>
        <w:numPr>
          <w:ilvl w:val="0"/>
          <w:numId w:val="94"/>
        </w:numPr>
        <w:rPr>
          <w:szCs w:val="22"/>
        </w:rPr>
      </w:pPr>
      <w:r>
        <w:rPr>
          <w:szCs w:val="22"/>
        </w:rPr>
        <w:t>The SM-SR updates the EIS accordingly by adding the information that the Emergency Profile has been set on Profile B in the AdditionalProperty field.</w:t>
      </w:r>
    </w:p>
    <w:p w14:paraId="15CC6E94" w14:textId="77777777" w:rsidR="00B97365" w:rsidRDefault="00000000">
      <w:pPr>
        <w:numPr>
          <w:ilvl w:val="0"/>
          <w:numId w:val="94"/>
        </w:numPr>
        <w:rPr>
          <w:szCs w:val="22"/>
        </w:rPr>
      </w:pPr>
      <w:r>
        <w:rPr>
          <w:szCs w:val="22"/>
        </w:rPr>
        <w:t>Based on ONC, the SM-SR notifies Operator1, whose Profile has the Emergency Profile Attribute Unset, by calling the “</w:t>
      </w:r>
      <w:r>
        <w:rPr>
          <w:b/>
          <w:szCs w:val="22"/>
        </w:rPr>
        <w:t>ES4.HandleEmergencyProfileAttributeUnsetNotification</w:t>
      </w:r>
      <w:r>
        <w:rPr>
          <w:szCs w:val="22"/>
        </w:rPr>
        <w:t xml:space="preserve">” that its Profile now has the Emergency Profile Attribute unset. </w:t>
      </w:r>
    </w:p>
    <w:p w14:paraId="5EBAF403" w14:textId="77777777" w:rsidR="00B97365" w:rsidRDefault="00000000">
      <w:pPr>
        <w:numPr>
          <w:ilvl w:val="0"/>
          <w:numId w:val="94"/>
        </w:numPr>
        <w:rPr>
          <w:szCs w:val="22"/>
        </w:rPr>
      </w:pPr>
      <w:r>
        <w:rPr>
          <w:szCs w:val="22"/>
        </w:rPr>
        <w:t>Based on ONC, the SM-SR notifies all Operators, having a Profile on this eUICC, by calling the “</w:t>
      </w:r>
      <w:r>
        <w:rPr>
          <w:b/>
          <w:szCs w:val="22"/>
        </w:rPr>
        <w:t>ES4.</w:t>
      </w:r>
      <w:r>
        <w:rPr>
          <w:b/>
          <w:szCs w:val="22"/>
          <w:lang w:val="en-US" w:eastAsia="en-GB"/>
        </w:rPr>
        <w:t>Handle</w:t>
      </w:r>
      <w:r>
        <w:rPr>
          <w:rFonts w:cs="Arial"/>
          <w:b/>
          <w:szCs w:val="22"/>
          <w:lang w:val="en-US" w:eastAsia="en-GB"/>
        </w:rPr>
        <w:t>EmergencyProfile</w:t>
      </w:r>
      <w:r>
        <w:rPr>
          <w:b/>
          <w:szCs w:val="22"/>
          <w:lang w:val="en-US" w:eastAsia="en-GB"/>
        </w:rPr>
        <w:t>AttributeSetNotification”</w:t>
      </w:r>
      <w:r>
        <w:rPr>
          <w:szCs w:val="22"/>
        </w:rPr>
        <w:t xml:space="preserve"> that a Profile now has the </w:t>
      </w:r>
      <w:r>
        <w:rPr>
          <w:szCs w:val="22"/>
          <w:lang w:eastAsia="en-GB"/>
        </w:rPr>
        <w:t xml:space="preserve">Emergency Profile </w:t>
      </w:r>
      <w:r>
        <w:rPr>
          <w:szCs w:val="22"/>
        </w:rPr>
        <w:t>Attribute set. This notification MAY include the Profile ID.</w:t>
      </w:r>
    </w:p>
    <w:p w14:paraId="45300589" w14:textId="77777777" w:rsidR="00B97365" w:rsidRDefault="00000000">
      <w:pPr>
        <w:numPr>
          <w:ilvl w:val="0"/>
          <w:numId w:val="94"/>
        </w:numPr>
        <w:rPr>
          <w:szCs w:val="22"/>
        </w:rPr>
      </w:pPr>
      <w:r>
        <w:rPr>
          <w:szCs w:val="22"/>
        </w:rPr>
        <w:t>The SM-SR notifies the M2M SP by calling the "</w:t>
      </w:r>
      <w:r>
        <w:rPr>
          <w:b/>
          <w:szCs w:val="22"/>
        </w:rPr>
        <w:t>ES4.HandleEmergencyProfileAttributeUnsetNotification</w:t>
      </w:r>
      <w:r>
        <w:rPr>
          <w:szCs w:val="22"/>
        </w:rPr>
        <w:t>" that the Emergency Profile Attribute is now unset for Profile A.</w:t>
      </w:r>
    </w:p>
    <w:p w14:paraId="5E512891" w14:textId="77777777" w:rsidR="00B97365" w:rsidRDefault="00000000">
      <w:pPr>
        <w:spacing w:before="0"/>
        <w:ind w:left="360"/>
        <w:rPr>
          <w:rFonts w:eastAsia="Calibri"/>
          <w:sz w:val="20"/>
          <w:szCs w:val="22"/>
          <w:lang w:eastAsia="en-US" w:bidi="ar-SA"/>
        </w:rPr>
      </w:pPr>
      <w:r>
        <w:rPr>
          <w:rFonts w:eastAsia="Calibri"/>
          <w:szCs w:val="22"/>
          <w:lang w:eastAsia="en-US" w:bidi="ar-SA"/>
        </w:rPr>
        <w:t>If the M2M SP is another Operator directly connected to the SM-SR and it is authorised by Operator1, the SM-SR SHALL send this notification to this other Operator by calling the "</w:t>
      </w:r>
      <w:r>
        <w:rPr>
          <w:rFonts w:eastAsia="Calibri"/>
          <w:b/>
          <w:szCs w:val="22"/>
          <w:lang w:eastAsia="en-US" w:bidi="ar-SA"/>
        </w:rPr>
        <w:t>ES4.HandleEmergencyProfileAttributeUnsetNotification</w:t>
      </w:r>
      <w:r>
        <w:rPr>
          <w:rFonts w:eastAsia="Calibri"/>
          <w:szCs w:val="22"/>
          <w:lang w:eastAsia="en-US" w:bidi="ar-SA"/>
        </w:rPr>
        <w:t>".</w:t>
      </w:r>
    </w:p>
    <w:p w14:paraId="6A8E2DAC" w14:textId="77777777" w:rsidR="00B97365" w:rsidRDefault="00000000">
      <w:pPr>
        <w:spacing w:before="0"/>
        <w:ind w:left="360"/>
        <w:rPr>
          <w:rFonts w:eastAsia="Calibri"/>
          <w:szCs w:val="22"/>
          <w:lang w:eastAsia="en-US" w:bidi="ar-SA"/>
        </w:rPr>
      </w:pPr>
      <w:r>
        <w:rPr>
          <w:rFonts w:eastAsia="Calibri"/>
          <w:szCs w:val="22"/>
          <w:lang w:eastAsia="en-US" w:bidi="ar-SA"/>
        </w:rPr>
        <w:t>If the M2M SP is another Operator connected through its SM-DP and it is authorised by Operator1, the SM-SR SHALL send this notification to the SM-DP associated to this other Operator by calling the "</w:t>
      </w:r>
      <w:r>
        <w:rPr>
          <w:rFonts w:eastAsia="Calibri"/>
          <w:b/>
          <w:szCs w:val="22"/>
          <w:lang w:eastAsia="en-US" w:bidi="ar-SA"/>
        </w:rPr>
        <w:t>ES3.HandleEmergencyProfileAttributeUnsetNotification</w:t>
      </w:r>
      <w:r>
        <w:rPr>
          <w:rFonts w:eastAsia="Calibri"/>
          <w:szCs w:val="22"/>
          <w:lang w:eastAsia="en-US" w:bidi="ar-SA"/>
        </w:rPr>
        <w:t>". Then the SM-DP, on reception of this notification, SHALL forward it to the Operator, acting as the M2M SP, by calling the "</w:t>
      </w:r>
      <w:r>
        <w:rPr>
          <w:rFonts w:eastAsia="Calibri"/>
          <w:b/>
          <w:szCs w:val="22"/>
          <w:lang w:eastAsia="en-US" w:bidi="ar-SA"/>
        </w:rPr>
        <w:t>ES2.HandleEmergencyProfileAttributeUnsetNotification</w:t>
      </w:r>
      <w:r>
        <w:rPr>
          <w:rFonts w:eastAsia="Calibri"/>
          <w:szCs w:val="22"/>
          <w:lang w:eastAsia="en-US" w:bidi="ar-SA"/>
        </w:rPr>
        <w:t>"</w:t>
      </w:r>
    </w:p>
    <w:p w14:paraId="6B7B0802" w14:textId="77777777" w:rsidR="00B97365" w:rsidRDefault="00000000">
      <w:pPr>
        <w:numPr>
          <w:ilvl w:val="0"/>
          <w:numId w:val="94"/>
        </w:numPr>
        <w:rPr>
          <w:szCs w:val="22"/>
        </w:rPr>
      </w:pPr>
      <w:r>
        <w:rPr>
          <w:szCs w:val="22"/>
        </w:rPr>
        <w:t>The SM-SR notifies the M2M SP by calling the “</w:t>
      </w:r>
      <w:r>
        <w:rPr>
          <w:b/>
          <w:szCs w:val="22"/>
        </w:rPr>
        <w:t>ES4.</w:t>
      </w:r>
      <w:r>
        <w:rPr>
          <w:b/>
          <w:szCs w:val="22"/>
          <w:lang w:val="en-US" w:eastAsia="en-GB"/>
        </w:rPr>
        <w:t>Handle</w:t>
      </w:r>
      <w:r>
        <w:rPr>
          <w:rFonts w:cs="Arial"/>
          <w:b/>
          <w:szCs w:val="22"/>
          <w:lang w:val="en-US" w:eastAsia="en-GB"/>
        </w:rPr>
        <w:t>EmergencyProfile</w:t>
      </w:r>
      <w:r>
        <w:rPr>
          <w:b/>
          <w:szCs w:val="22"/>
          <w:lang w:val="en-US" w:eastAsia="en-GB"/>
        </w:rPr>
        <w:t xml:space="preserve">AttributeSetNotification” </w:t>
      </w:r>
      <w:r>
        <w:rPr>
          <w:szCs w:val="22"/>
        </w:rPr>
        <w:t xml:space="preserve">that the </w:t>
      </w:r>
      <w:r>
        <w:rPr>
          <w:szCs w:val="22"/>
          <w:lang w:eastAsia="en-GB"/>
        </w:rPr>
        <w:t xml:space="preserve">Emergency Profile </w:t>
      </w:r>
      <w:r>
        <w:rPr>
          <w:szCs w:val="22"/>
        </w:rPr>
        <w:t>Attribute is now set for Profile B.</w:t>
      </w:r>
    </w:p>
    <w:p w14:paraId="69EF1D79" w14:textId="77777777" w:rsidR="00B97365" w:rsidRDefault="00000000">
      <w:pPr>
        <w:ind w:left="360"/>
        <w:rPr>
          <w:szCs w:val="22"/>
        </w:rPr>
      </w:pPr>
      <w:r>
        <w:rPr>
          <w:szCs w:val="22"/>
        </w:rPr>
        <w:t>If the M2M SP is another Operator directly connected to the SM-SR and it is authorised by Operator2, the SM-SR SHALL send this notification to this other Operator by calling the “</w:t>
      </w:r>
      <w:r>
        <w:rPr>
          <w:b/>
          <w:szCs w:val="22"/>
        </w:rPr>
        <w:t>ES4.</w:t>
      </w:r>
      <w:r>
        <w:rPr>
          <w:b/>
          <w:szCs w:val="22"/>
          <w:lang w:val="en-US" w:eastAsia="en-GB"/>
        </w:rPr>
        <w:t>Handle</w:t>
      </w:r>
      <w:r>
        <w:rPr>
          <w:rFonts w:cs="Arial"/>
          <w:b/>
          <w:szCs w:val="22"/>
          <w:lang w:val="en-US" w:eastAsia="en-GB"/>
        </w:rPr>
        <w:t>EmergencyProfile</w:t>
      </w:r>
      <w:r>
        <w:rPr>
          <w:b/>
          <w:szCs w:val="22"/>
          <w:lang w:val="en-US" w:eastAsia="en-GB"/>
        </w:rPr>
        <w:t>AttributeSetNotification</w:t>
      </w:r>
      <w:r>
        <w:rPr>
          <w:szCs w:val="22"/>
        </w:rPr>
        <w:t>”.</w:t>
      </w:r>
    </w:p>
    <w:p w14:paraId="154AA8C4" w14:textId="77777777" w:rsidR="00B97365" w:rsidRDefault="00B97365">
      <w:pPr>
        <w:spacing w:before="0"/>
        <w:ind w:left="360"/>
        <w:rPr>
          <w:rFonts w:eastAsia="Calibri"/>
          <w:szCs w:val="22"/>
          <w:lang w:eastAsia="en-US" w:bidi="ar-SA"/>
        </w:rPr>
      </w:pPr>
    </w:p>
    <w:p w14:paraId="6C3919B4" w14:textId="77777777" w:rsidR="00B97365" w:rsidRDefault="00000000">
      <w:pPr>
        <w:spacing w:before="0"/>
        <w:ind w:left="360"/>
        <w:rPr>
          <w:rFonts w:eastAsia="Calibri"/>
          <w:szCs w:val="22"/>
          <w:lang w:eastAsia="en-US" w:bidi="ar-SA"/>
        </w:rPr>
      </w:pPr>
      <w:r>
        <w:rPr>
          <w:rFonts w:eastAsia="Calibri"/>
          <w:szCs w:val="22"/>
          <w:lang w:eastAsia="en-US" w:bidi="ar-SA"/>
        </w:rPr>
        <w:t>If the M2M SP is another Operator connected through its SM-DP and it is authorised by Operator2, the SM-SR SHALL send this notification to the SM-DP associated to this other Operator by calling the “</w:t>
      </w:r>
      <w:r>
        <w:rPr>
          <w:rFonts w:eastAsia="Calibri"/>
          <w:b/>
          <w:szCs w:val="22"/>
          <w:lang w:eastAsia="en-US" w:bidi="ar-SA"/>
        </w:rPr>
        <w:t>ES3.</w:t>
      </w:r>
      <w:r>
        <w:rPr>
          <w:rFonts w:eastAsia="Calibri"/>
          <w:b/>
          <w:szCs w:val="22"/>
          <w:lang w:val="en-US" w:eastAsia="en-GB" w:bidi="ar-SA"/>
        </w:rPr>
        <w:t>Handle</w:t>
      </w:r>
      <w:r>
        <w:rPr>
          <w:rFonts w:eastAsia="Calibri" w:cs="Arial"/>
          <w:b/>
          <w:szCs w:val="22"/>
          <w:lang w:val="en-US" w:eastAsia="en-GB" w:bidi="ar-SA"/>
        </w:rPr>
        <w:t>EmergencyProfile</w:t>
      </w:r>
      <w:r>
        <w:rPr>
          <w:rFonts w:eastAsia="Calibri"/>
          <w:b/>
          <w:szCs w:val="22"/>
          <w:lang w:val="en-US" w:eastAsia="en-GB" w:bidi="ar-SA"/>
        </w:rPr>
        <w:t>AttributeSetNotification</w:t>
      </w:r>
      <w:r>
        <w:rPr>
          <w:rFonts w:eastAsia="Calibri"/>
          <w:szCs w:val="22"/>
          <w:lang w:eastAsia="en-US" w:bidi="ar-SA"/>
        </w:rPr>
        <w:t>”. Then the SM-DP, on reception of this notification, SHALL forward it to the Operator, acting as the M2M SP, by calling the “</w:t>
      </w:r>
      <w:r>
        <w:rPr>
          <w:rFonts w:eastAsia="Calibri"/>
          <w:b/>
          <w:szCs w:val="22"/>
          <w:lang w:eastAsia="en-US" w:bidi="ar-SA"/>
        </w:rPr>
        <w:t>ES2.</w:t>
      </w:r>
      <w:r>
        <w:rPr>
          <w:rFonts w:eastAsia="Calibri"/>
          <w:b/>
          <w:szCs w:val="22"/>
          <w:lang w:val="en-US" w:eastAsia="en-GB" w:bidi="ar-SA"/>
        </w:rPr>
        <w:t>Handle</w:t>
      </w:r>
      <w:r>
        <w:rPr>
          <w:rFonts w:eastAsia="Calibri" w:cs="Arial"/>
          <w:b/>
          <w:szCs w:val="22"/>
          <w:lang w:val="en-US" w:eastAsia="en-GB" w:bidi="ar-SA"/>
        </w:rPr>
        <w:t>EmergencyProfile</w:t>
      </w:r>
      <w:r>
        <w:rPr>
          <w:rFonts w:eastAsia="Calibri"/>
          <w:b/>
          <w:szCs w:val="22"/>
          <w:lang w:val="en-US" w:eastAsia="en-GB" w:bidi="ar-SA"/>
        </w:rPr>
        <w:t>AttributeSetNotification</w:t>
      </w:r>
      <w:r>
        <w:rPr>
          <w:rFonts w:eastAsia="Calibri"/>
          <w:szCs w:val="22"/>
          <w:lang w:eastAsia="en-US" w:bidi="ar-SA"/>
        </w:rPr>
        <w:t>”</w:t>
      </w:r>
    </w:p>
    <w:p w14:paraId="659BF890" w14:textId="77777777" w:rsidR="00B97365" w:rsidRDefault="00000000">
      <w:pPr>
        <w:rPr>
          <w:b/>
          <w:szCs w:val="22"/>
        </w:rPr>
      </w:pPr>
      <w:r>
        <w:rPr>
          <w:b/>
          <w:szCs w:val="22"/>
        </w:rPr>
        <w:t>End Conditions:</w:t>
      </w:r>
    </w:p>
    <w:p w14:paraId="2B9B94FD" w14:textId="77777777" w:rsidR="00B97365" w:rsidRDefault="00000000">
      <w:pPr>
        <w:spacing w:before="0" w:after="200" w:line="276" w:lineRule="auto"/>
        <w:jc w:val="left"/>
        <w:rPr>
          <w:szCs w:val="22"/>
          <w:lang w:eastAsia="en-GB" w:bidi="ar-SA"/>
        </w:rPr>
      </w:pPr>
      <w:r>
        <w:rPr>
          <w:szCs w:val="22"/>
          <w:lang w:eastAsia="en-GB" w:bidi="ar-SA"/>
        </w:rPr>
        <w:t>The Profile A has the Emergency Profile Attribute unset. The Profile B has the Emergency Profile Attribute set.</w:t>
      </w:r>
    </w:p>
    <w:p w14:paraId="0AAF7E3D"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090" w:name="_Ref536175310"/>
      <w:bookmarkStart w:id="2091" w:name="_Toc1977300"/>
      <w:bookmarkStart w:id="2092" w:name="_Toc37062457"/>
      <w:bookmarkStart w:id="2093" w:name="_Toc88839562"/>
      <w:bookmarkStart w:id="2094" w:name="_Toc121503970"/>
      <w:r>
        <w:rPr>
          <w:rFonts w:eastAsia="Times New Roman" w:cs="Arial"/>
          <w:b/>
          <w:bCs/>
          <w:iCs/>
          <w:sz w:val="24"/>
          <w:szCs w:val="28"/>
          <w:lang w:eastAsia="en-US"/>
        </w:rPr>
        <w:t>Fall-Back Attribute Management</w:t>
      </w:r>
      <w:bookmarkEnd w:id="2090"/>
      <w:bookmarkEnd w:id="2091"/>
      <w:bookmarkEnd w:id="2092"/>
      <w:bookmarkEnd w:id="2093"/>
      <w:bookmarkEnd w:id="2094"/>
    </w:p>
    <w:p w14:paraId="098A92DA" w14:textId="77777777" w:rsidR="00B97365" w:rsidRDefault="00000000">
      <w:pPr>
        <w:rPr>
          <w:lang w:eastAsia="en-US"/>
        </w:rPr>
      </w:pPr>
      <w:r>
        <w:rPr>
          <w:lang w:eastAsia="en-US"/>
        </w:rPr>
        <w:t xml:space="preserve">This procedure contains the steps needed to change the Fall-Back Attribute from one Profile to another. </w:t>
      </w:r>
    </w:p>
    <w:p w14:paraId="24305A83" w14:textId="77777777" w:rsidR="00B97365" w:rsidRDefault="00000000">
      <w:pPr>
        <w:rPr>
          <w:lang w:eastAsia="en-US"/>
        </w:rPr>
      </w:pPr>
      <w:r>
        <w:rPr>
          <w:lang w:eastAsia="en-US"/>
        </w:rPr>
        <w:lastRenderedPageBreak/>
        <w:t>The Operator1 needs to grant PLMA for Operator2 in order to authorise to set the Fall-Back Attribute in Operator1 owned Profile, as a consequence, Operator2 owned Profile has the Fall-Back Attribute un-set (see GSMA Remote Provisioning Architecture for Embedded UICC [1] section 3.5.19).</w:t>
      </w:r>
    </w:p>
    <w:p w14:paraId="6E0D1899" w14:textId="77777777" w:rsidR="00B97365" w:rsidRDefault="00000000">
      <w:pPr>
        <w:rPr>
          <w:lang w:eastAsia="en-US"/>
        </w:rPr>
      </w:pPr>
      <w:r>
        <w:rPr>
          <w:lang w:eastAsia="en-US"/>
        </w:rPr>
        <w:t>NOTE</w:t>
      </w:r>
      <w:r>
        <w:rPr>
          <w:lang w:eastAsia="en-US"/>
        </w:rPr>
        <w:tab/>
        <w:t>There is no operation that explicitly un-sets the Fall-Back Attribute on a Profile. The Fall-Back Attribute is only un-set as the consequence of setting the Fall-Back Attribute on another Profile.</w:t>
      </w:r>
    </w:p>
    <w:p w14:paraId="07758A97" w14:textId="77777777" w:rsidR="00B97365" w:rsidRDefault="00000000">
      <w:pPr>
        <w:rPr>
          <w:lang w:eastAsia="en-US"/>
        </w:rPr>
      </w:pPr>
      <w:r>
        <w:rPr>
          <w:lang w:eastAsia="en-US"/>
        </w:rPr>
        <w:t>The sequence flow below describes the procedure.</w:t>
      </w:r>
    </w:p>
    <w:p w14:paraId="435270A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4CB7F6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4873C6E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1CA323D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9A32D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440410C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B059AC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lang w:val="en-US"/>
        </w:rPr>
        <w:t>Participant “M2M SP” as SP #FFFFFF</w:t>
      </w:r>
    </w:p>
    <w:p w14:paraId="5110C73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1\n&lt;size:10&gt;(owning Profile A)&lt;/size&gt;” as OP1 #FFFFFF</w:t>
      </w:r>
    </w:p>
    <w:p w14:paraId="0BB7AF4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2\n&lt;size:10&gt;(owning Profile B)&lt;/size&gt;” as OP2 #FFFFFF</w:t>
      </w:r>
    </w:p>
    <w:p w14:paraId="20CAE00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“SM-SR” as SR #FFFFFF</w:t>
      </w:r>
    </w:p>
    <w:p w14:paraId="2202163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“eUICC” as EUICC #FFFFFF</w:t>
      </w:r>
    </w:p>
    <w:p w14:paraId="451BC88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55E89685"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1D5AD9">
        <w:rPr>
          <w:rFonts w:ascii="Courier New" w:hAnsi="Courier New" w:cs="Courier New"/>
          <w:noProof/>
          <w:color w:val="008000"/>
          <w:sz w:val="18"/>
          <w:lang w:val="fr-FR"/>
        </w:rPr>
        <w:t>OP2-&gt;SR: [1] ES4.SetFallBackAttribute(EID, ICCID) \non Profile B Request</w:t>
      </w:r>
    </w:p>
    <w:p w14:paraId="56E33DFD"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66CDEC4C"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1D5AD9">
        <w:rPr>
          <w:rFonts w:ascii="Courier New" w:hAnsi="Courier New" w:cs="Courier New"/>
          <w:noProof/>
          <w:color w:val="008000"/>
          <w:sz w:val="18"/>
          <w:lang w:val="fr-FR"/>
        </w:rPr>
        <w:t>Rnote over SR #FFFFFF</w:t>
      </w:r>
    </w:p>
    <w:p w14:paraId="04EF1434"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sidRPr="001D5AD9">
        <w:rPr>
          <w:rFonts w:ascii="Courier New" w:hAnsi="Courier New" w:cs="Courier New"/>
          <w:noProof/>
          <w:color w:val="008000"/>
          <w:sz w:val="18"/>
          <w:lang w:val="fr-FR"/>
        </w:rPr>
        <w:t>[2] Check PLMA for un-setting Fall-Back</w:t>
      </w:r>
    </w:p>
    <w:p w14:paraId="62E6B44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Attribute from Operator1</w:t>
      </w:r>
    </w:p>
    <w:p w14:paraId="479EFA2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38EECB3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BF7915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SR--&gt;OP2: [2.a] Return response indicating the PLMA conflict</w:t>
      </w:r>
    </w:p>
    <w:p w14:paraId="238EA61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285CB9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SR-&gt;EUICC: [3] ES5.SetFallBackAttribute on Profile B request</w:t>
      </w:r>
    </w:p>
    <w:p w14:paraId="51E1466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4A5623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EUICC #FFFFFF</w:t>
      </w:r>
    </w:p>
    <w:p w14:paraId="659F8F8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[4] Unset Fall-Back Attribute on Profile A</w:t>
      </w:r>
    </w:p>
    <w:p w14:paraId="3552E33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by Setting Fall-Back Attribute on Profile B</w:t>
      </w:r>
    </w:p>
    <w:p w14:paraId="47E2E03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65C14D4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43BEF48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EUICC-&gt;SR: [5] ES5.SetFallBackAttribute response (euiccResponseData)</w:t>
      </w:r>
    </w:p>
    <w:p w14:paraId="0FB71D4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EEA346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Rnote over SR #FFFFFF </w:t>
      </w:r>
    </w:p>
    <w:p w14:paraId="79E8716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[6] Update EIS</w:t>
      </w:r>
    </w:p>
    <w:p w14:paraId="6553B2D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5701D3E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C2A216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SR-&gt;OP2: [7] </w:t>
      </w:r>
      <w:r>
        <w:rPr>
          <w:rFonts w:ascii="Courier New" w:hAnsi="Courier New" w:cs="Courier New"/>
          <w:noProof/>
          <w:color w:val="008000"/>
          <w:sz w:val="18"/>
        </w:rPr>
        <w:t>ES4.SetFallBackAttribute response</w:t>
      </w:r>
    </w:p>
    <w:p w14:paraId="77511F6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E2E6CE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SR-&gt;OP1: [8] Cond: ES4.HandleProfileFallBackAttributeUnSetNotification Report</w:t>
      </w:r>
    </w:p>
    <w:p w14:paraId="561607C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2635605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SR-&gt;SP: [9] </w:t>
      </w:r>
      <w:r>
        <w:rPr>
          <w:rFonts w:ascii="Courier New" w:hAnsi="Courier New" w:cs="Courier New"/>
          <w:noProof/>
          <w:color w:val="008000"/>
          <w:sz w:val="18"/>
          <w:lang w:val="en-US"/>
        </w:rPr>
        <w:t xml:space="preserve">Cond: </w:t>
      </w:r>
      <w:r>
        <w:rPr>
          <w:rFonts w:ascii="Courier New" w:hAnsi="Courier New" w:cs="Courier New"/>
          <w:noProof/>
          <w:color w:val="008000"/>
          <w:sz w:val="18"/>
        </w:rPr>
        <w:t>HandleProfileFallBackAttributeUnsetNotification of Profile A</w:t>
      </w:r>
    </w:p>
    <w:p w14:paraId="68BDDDE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56F6706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SR-&gt;OP2: [10] Cond: ES4.HandleProfileFallBackAttributeSetNotification Report</w:t>
      </w:r>
    </w:p>
    <w:p w14:paraId="47442EC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DC3B46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SR-&gt;SP: [11] </w:t>
      </w:r>
      <w:r>
        <w:rPr>
          <w:rFonts w:ascii="Courier New" w:hAnsi="Courier New" w:cs="Courier New"/>
          <w:noProof/>
          <w:color w:val="008000"/>
          <w:sz w:val="18"/>
          <w:lang w:val="en-US"/>
        </w:rPr>
        <w:t xml:space="preserve">Cond: </w:t>
      </w:r>
      <w:r>
        <w:rPr>
          <w:rFonts w:ascii="Courier New" w:hAnsi="Courier New" w:cs="Courier New"/>
          <w:noProof/>
          <w:color w:val="008000"/>
          <w:sz w:val="18"/>
        </w:rPr>
        <w:t>HandleProfileFallBackAttributeSetNotification of Profile B</w:t>
      </w:r>
    </w:p>
    <w:p w14:paraId="77ECB60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4F0FDF8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@enduml</w:t>
      </w:r>
    </w:p>
    <w:p w14:paraId="2EFEB4FA" w14:textId="77777777" w:rsidR="00B97365" w:rsidRDefault="00000000">
      <w:pPr>
        <w:rPr>
          <w:rFonts w:cs="Courier New"/>
          <w:noProof/>
          <w:color w:val="008000"/>
          <w:sz w:val="18"/>
          <w:lang w:eastAsia="en-US"/>
        </w:rPr>
      </w:pPr>
      <w:r>
        <w:rPr>
          <w:rFonts w:cs="Courier New"/>
          <w:noProof/>
          <w:color w:val="008000"/>
          <w:sz w:val="18"/>
          <w:lang w:eastAsia="en-GB" w:bidi="ar-SA"/>
        </w:rPr>
        <w:drawing>
          <wp:inline distT="0" distB="0" distL="0" distR="0" wp14:anchorId="74A9872C" wp14:editId="26B3A6EF">
            <wp:extent cx="5731510" cy="2461206"/>
            <wp:effectExtent l="0" t="0" r="2540" b="0"/>
            <wp:docPr id="428" name="Picture 42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92">
                      <a:extLst>
                        <a:ext uri="{28A0092B-C50C-407E-A947-70E740481C1C}">
                          <a14:useLocalDpi xmlns:a14="http://schemas.microsoft.com/office/drawing/2010/main" val="0"/>
                        </a:ext>
                      </a:extLst>
                    </a:blip>
                    <a:stretch>
                      <a:fillRect/>
                    </a:stretch>
                  </pic:blipFill>
                  <pic:spPr>
                    <a:xfrm>
                      <a:off x="0" y="0"/>
                      <a:ext cx="5731510" cy="2461206"/>
                    </a:xfrm>
                    <a:prstGeom prst="rect">
                      <a:avLst/>
                    </a:prstGeom>
                  </pic:spPr>
                </pic:pic>
              </a:graphicData>
            </a:graphic>
          </wp:inline>
        </w:drawing>
      </w:r>
    </w:p>
    <w:p w14:paraId="7C71B57B"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327: Fall Back Attribute Management Procedure</w:t>
      </w:r>
    </w:p>
    <w:p w14:paraId="314C27A5" w14:textId="77777777" w:rsidR="00B97365" w:rsidRDefault="00B97365">
      <w:pPr>
        <w:jc w:val="center"/>
        <w:rPr>
          <w:lang w:eastAsia="en-US"/>
        </w:rPr>
      </w:pPr>
    </w:p>
    <w:p w14:paraId="5199B770" w14:textId="77777777" w:rsidR="00B97365" w:rsidRDefault="00000000">
      <w:pPr>
        <w:rPr>
          <w:b/>
        </w:rPr>
      </w:pPr>
      <w:r>
        <w:rPr>
          <w:b/>
        </w:rPr>
        <w:t>Start Conditions:</w:t>
      </w:r>
    </w:p>
    <w:p w14:paraId="111F1D01" w14:textId="77777777" w:rsidR="00B97365" w:rsidRDefault="00000000">
      <w:pPr>
        <w:rPr>
          <w:u w:val="single"/>
        </w:rPr>
      </w:pPr>
      <w:r>
        <w:rPr>
          <w:u w:val="single"/>
        </w:rPr>
        <w:t>The start conditions are described in GSMA Remote Provisioning Architecture for Embedded UICC [1].</w:t>
      </w:r>
    </w:p>
    <w:p w14:paraId="71A8769E" w14:textId="77777777" w:rsidR="00B97365" w:rsidRDefault="00000000">
      <w:pPr>
        <w:rPr>
          <w:b/>
        </w:rPr>
      </w:pPr>
      <w:r>
        <w:rPr>
          <w:b/>
        </w:rPr>
        <w:t>Procedure:</w:t>
      </w:r>
    </w:p>
    <w:p w14:paraId="66DB81A2" w14:textId="77777777" w:rsidR="00B97365" w:rsidRDefault="00000000">
      <w:pPr>
        <w:numPr>
          <w:ilvl w:val="0"/>
          <w:numId w:val="95"/>
        </w:numPr>
      </w:pPr>
      <w:r>
        <w:rPr>
          <w:szCs w:val="22"/>
        </w:rPr>
        <w:t>The</w:t>
      </w:r>
      <w:r>
        <w:t xml:space="preserve"> Operator2 owning Profile B call “</w:t>
      </w:r>
      <w:r>
        <w:rPr>
          <w:b/>
        </w:rPr>
        <w:t xml:space="preserve">ES4.SetFallBackAttribute” </w:t>
      </w:r>
      <w:r>
        <w:t>function, providing the eid and the iccid of the targeted Profile, in order to set the Fall-Back Attribute to its Profile.</w:t>
      </w:r>
    </w:p>
    <w:p w14:paraId="0E0915F9" w14:textId="77777777" w:rsidR="00B97365" w:rsidRDefault="00000000">
      <w:pPr>
        <w:numPr>
          <w:ilvl w:val="0"/>
          <w:numId w:val="95"/>
        </w:numPr>
        <w:rPr>
          <w:b/>
        </w:rPr>
      </w:pPr>
      <w:r>
        <w:t xml:space="preserve">The SM-SR checks if Operator1 </w:t>
      </w:r>
      <w:r>
        <w:rPr>
          <w:szCs w:val="22"/>
          <w:lang w:eastAsia="en-GB" w:bidi="ar-SA"/>
        </w:rPr>
        <w:t>has configured a PLMA authorising Operator2 to unset the Fall-Back Attribute on Profile A</w:t>
      </w:r>
      <w:r>
        <w:t>.</w:t>
      </w:r>
    </w:p>
    <w:p w14:paraId="0D9C9713" w14:textId="77777777" w:rsidR="00B97365" w:rsidRDefault="00000000">
      <w:pPr>
        <w:numPr>
          <w:ilvl w:val="1"/>
          <w:numId w:val="78"/>
        </w:numPr>
        <w:contextualSpacing/>
        <w:jc w:val="left"/>
        <w:rPr>
          <w:b/>
        </w:rPr>
      </w:pPr>
      <w:r>
        <w:t>If there is a conflict with the authorisation, the SM-SR aborts the procedure and informs the Operator 2.</w:t>
      </w:r>
    </w:p>
    <w:p w14:paraId="4B5C6E6C" w14:textId="77777777" w:rsidR="00B97365" w:rsidRDefault="00000000">
      <w:pPr>
        <w:numPr>
          <w:ilvl w:val="0"/>
          <w:numId w:val="95"/>
        </w:numPr>
        <w:rPr>
          <w:szCs w:val="22"/>
          <w:lang w:eastAsia="en-GB"/>
        </w:rPr>
      </w:pPr>
      <w:r>
        <w:t>The</w:t>
      </w:r>
      <w:r>
        <w:rPr>
          <w:szCs w:val="22"/>
          <w:lang w:eastAsia="en-GB"/>
        </w:rPr>
        <w:t xml:space="preserve"> SM-SR, by calling “</w:t>
      </w:r>
      <w:r>
        <w:rPr>
          <w:b/>
          <w:szCs w:val="22"/>
          <w:lang w:eastAsia="en-GB"/>
        </w:rPr>
        <w:t>ES5.SetFallBackAttribute”</w:t>
      </w:r>
      <w:r>
        <w:rPr>
          <w:szCs w:val="22"/>
          <w:lang w:eastAsia="en-GB"/>
        </w:rPr>
        <w:t xml:space="preserve"> function (see section 4.11.7), requests the eUICC to set the Fall-Back Attribute to the Profile B.</w:t>
      </w:r>
    </w:p>
    <w:p w14:paraId="3404F9C1" w14:textId="77777777" w:rsidR="00B97365" w:rsidRDefault="00000000">
      <w:pPr>
        <w:numPr>
          <w:ilvl w:val="0"/>
          <w:numId w:val="95"/>
        </w:numPr>
        <w:rPr>
          <w:szCs w:val="22"/>
          <w:lang w:eastAsia="en-GB"/>
        </w:rPr>
      </w:pPr>
      <w:r>
        <w:t>The</w:t>
      </w:r>
      <w:r>
        <w:rPr>
          <w:szCs w:val="22"/>
          <w:lang w:eastAsia="en-GB"/>
        </w:rPr>
        <w:t xml:space="preserve"> eUICC performs the operation. This will remove the Fall-Back Attribute from Profile A.</w:t>
      </w:r>
    </w:p>
    <w:p w14:paraId="3DEE36C2" w14:textId="77777777" w:rsidR="00B97365" w:rsidRDefault="00000000">
      <w:pPr>
        <w:numPr>
          <w:ilvl w:val="0"/>
          <w:numId w:val="95"/>
        </w:numPr>
        <w:rPr>
          <w:szCs w:val="22"/>
          <w:lang w:eastAsia="en-GB"/>
        </w:rPr>
      </w:pPr>
      <w:r>
        <w:t>The</w:t>
      </w:r>
      <w:r>
        <w:rPr>
          <w:szCs w:val="22"/>
          <w:lang w:eastAsia="en-GB"/>
        </w:rPr>
        <w:t xml:space="preserve"> eUICC sends the “</w:t>
      </w:r>
      <w:r>
        <w:rPr>
          <w:b/>
          <w:szCs w:val="22"/>
          <w:lang w:eastAsia="en-GB"/>
        </w:rPr>
        <w:t>ES5.SetFallBackAttribute</w:t>
      </w:r>
      <w:r>
        <w:rPr>
          <w:szCs w:val="22"/>
          <w:lang w:eastAsia="en-GB"/>
        </w:rPr>
        <w:t>” response to the SM-SR by providing the euiccResponseData.</w:t>
      </w:r>
    </w:p>
    <w:p w14:paraId="76B77B8D" w14:textId="77777777" w:rsidR="00B97365" w:rsidRDefault="00000000">
      <w:pPr>
        <w:numPr>
          <w:ilvl w:val="0"/>
          <w:numId w:val="95"/>
        </w:numPr>
        <w:rPr>
          <w:szCs w:val="22"/>
          <w:lang w:eastAsia="en-GB"/>
        </w:rPr>
      </w:pPr>
      <w:r>
        <w:t>According</w:t>
      </w:r>
      <w:r>
        <w:rPr>
          <w:szCs w:val="22"/>
          <w:lang w:eastAsia="en-GB"/>
        </w:rPr>
        <w:t xml:space="preserve"> to the execution status provided by the eUICC, the SM-SR SHALL update the EIS to reflect that the Fall-Back Attribute is now set for Profile B. </w:t>
      </w:r>
    </w:p>
    <w:p w14:paraId="780BD092" w14:textId="77777777" w:rsidR="00B97365" w:rsidRDefault="00000000">
      <w:pPr>
        <w:numPr>
          <w:ilvl w:val="0"/>
          <w:numId w:val="95"/>
        </w:numPr>
        <w:rPr>
          <w:szCs w:val="22"/>
          <w:lang w:eastAsia="en-GB"/>
        </w:rPr>
      </w:pPr>
      <w:r>
        <w:t>The</w:t>
      </w:r>
      <w:r>
        <w:rPr>
          <w:szCs w:val="22"/>
          <w:lang w:eastAsia="en-GB"/>
        </w:rPr>
        <w:t xml:space="preserve"> SM-SR SHALL send the “</w:t>
      </w:r>
      <w:r>
        <w:rPr>
          <w:b/>
          <w:szCs w:val="22"/>
          <w:lang w:eastAsia="en-GB"/>
        </w:rPr>
        <w:t>ES4.SetFallBackAttribute</w:t>
      </w:r>
      <w:r>
        <w:rPr>
          <w:szCs w:val="22"/>
          <w:lang w:eastAsia="en-GB"/>
        </w:rPr>
        <w:t>” response to the Operator2.</w:t>
      </w:r>
    </w:p>
    <w:p w14:paraId="784D7715" w14:textId="77777777" w:rsidR="00B97365" w:rsidRDefault="00000000">
      <w:pPr>
        <w:numPr>
          <w:ilvl w:val="0"/>
          <w:numId w:val="95"/>
        </w:numPr>
        <w:rPr>
          <w:szCs w:val="22"/>
          <w:lang w:eastAsia="en-GB"/>
        </w:rPr>
      </w:pPr>
      <w:r>
        <w:t>Unless</w:t>
      </w:r>
      <w:r>
        <w:rPr>
          <w:szCs w:val="22"/>
          <w:lang w:eastAsia="en-GB"/>
        </w:rPr>
        <w:t xml:space="preserve"> Operator1 has set an ONC to not receive those notifications, the SM-SR SHALL call the “</w:t>
      </w:r>
      <w:r>
        <w:rPr>
          <w:b/>
          <w:szCs w:val="22"/>
          <w:lang w:eastAsia="en-GB"/>
        </w:rPr>
        <w:t>ES4.HandleProfileFallBackAttributeUnsetNotification”</w:t>
      </w:r>
      <w:r>
        <w:rPr>
          <w:szCs w:val="22"/>
          <w:lang w:eastAsia="en-GB"/>
        </w:rPr>
        <w:t xml:space="preserve"> to notify the un-setting of the Fall-Back Attribute to the Operator1. In case Operator1 has no direct connection with the SM-SR, the SM-SR SHALL send this notification to the SM-DP authorised by Operator1 by calling the “</w:t>
      </w:r>
      <w:r>
        <w:rPr>
          <w:b/>
          <w:szCs w:val="22"/>
          <w:lang w:eastAsia="en-GB"/>
        </w:rPr>
        <w:t>ES3.HandleProfileFallBackAttributeUnsetNotification”</w:t>
      </w:r>
      <w:r>
        <w:rPr>
          <w:szCs w:val="22"/>
          <w:lang w:eastAsia="en-GB"/>
        </w:rPr>
        <w:t>. Then the SM-DP, on reception of this notification, SHALL forward it to Operator1 by calling the “</w:t>
      </w:r>
      <w:r>
        <w:rPr>
          <w:b/>
          <w:szCs w:val="22"/>
          <w:lang w:eastAsia="en-GB"/>
        </w:rPr>
        <w:t>ES2.HandleProfileFallBackAttributeUnsetNotification”</w:t>
      </w:r>
      <w:r>
        <w:rPr>
          <w:szCs w:val="22"/>
          <w:lang w:eastAsia="en-GB"/>
        </w:rPr>
        <w:t>.</w:t>
      </w:r>
    </w:p>
    <w:p w14:paraId="4EDE5F2F" w14:textId="77777777" w:rsidR="00B97365" w:rsidRDefault="00000000">
      <w:pPr>
        <w:numPr>
          <w:ilvl w:val="0"/>
          <w:numId w:val="95"/>
        </w:numPr>
        <w:rPr>
          <w:szCs w:val="22"/>
          <w:lang w:eastAsia="en-GB"/>
        </w:rPr>
      </w:pPr>
      <w:r>
        <w:t>Unless</w:t>
      </w:r>
      <w:r>
        <w:rPr>
          <w:szCs w:val="22"/>
          <w:lang w:eastAsia="en-GB"/>
        </w:rPr>
        <w:t xml:space="preserve"> Operator2 has set an ONC to not receive those notifications, the SM-SR sends the response back to Operator2</w:t>
      </w:r>
    </w:p>
    <w:p w14:paraId="43F65FF9" w14:textId="77777777" w:rsidR="00B97365" w:rsidRDefault="00000000">
      <w:pPr>
        <w:numPr>
          <w:ilvl w:val="0"/>
          <w:numId w:val="95"/>
        </w:numPr>
        <w:rPr>
          <w:szCs w:val="22"/>
          <w:lang w:eastAsia="en-GB"/>
        </w:rPr>
      </w:pPr>
      <w:r>
        <w:t>The</w:t>
      </w:r>
      <w:r>
        <w:rPr>
          <w:szCs w:val="22"/>
          <w:lang w:eastAsia="en-GB"/>
        </w:rPr>
        <w:t xml:space="preserve"> SM-SR SHALL send the "</w:t>
      </w:r>
      <w:r>
        <w:rPr>
          <w:b/>
          <w:szCs w:val="22"/>
          <w:lang w:eastAsia="en-GB"/>
        </w:rPr>
        <w:t>ES4.HandleProfileFallBackAttributeUnsetNotification</w:t>
      </w:r>
      <w:r>
        <w:rPr>
          <w:szCs w:val="22"/>
          <w:lang w:eastAsia="en-GB"/>
        </w:rPr>
        <w:t xml:space="preserve">" to an M2M SP, if authorised by Operator1 owning the Profile A. </w:t>
      </w:r>
    </w:p>
    <w:p w14:paraId="5DCC9B63" w14:textId="77777777" w:rsidR="00B97365" w:rsidRDefault="00000000">
      <w:pPr>
        <w:ind w:left="360"/>
      </w:pPr>
      <w:r>
        <w:t>If the M2M SP is another Operator directly connected to the SM-SR and it is authorised by Operator1, the SM-SR SHALL send this notification to this other Operator by calling the “</w:t>
      </w:r>
      <w:r>
        <w:rPr>
          <w:b/>
        </w:rPr>
        <w:t>ES4.HandleProfileFallBackAttributeUnsetNotification</w:t>
      </w:r>
      <w:r>
        <w:t>”.</w:t>
      </w:r>
    </w:p>
    <w:p w14:paraId="0D720D32" w14:textId="77777777" w:rsidR="00B97365" w:rsidRDefault="00000000">
      <w:pPr>
        <w:ind w:left="360"/>
      </w:pPr>
      <w:r>
        <w:t>If the M2M SP is another Operator connected through its SM-DP and it is authorised by Operator1, the SM-SR SHALL send this notification to the SM-DP associated to this other Operator by calling the “</w:t>
      </w:r>
      <w:r>
        <w:rPr>
          <w:b/>
          <w:szCs w:val="22"/>
          <w:lang w:eastAsia="en-GB"/>
        </w:rPr>
        <w:t>ES3.HandleProfileFallBackAttributeUnsetNotification</w:t>
      </w:r>
      <w:r>
        <w:t>”. Then the SM-DP, on reception of this notification, SHALL forward it to the Operator, acting as the M2M SP, by calling the “</w:t>
      </w:r>
      <w:r>
        <w:rPr>
          <w:b/>
          <w:szCs w:val="22"/>
          <w:lang w:eastAsia="en-GB"/>
        </w:rPr>
        <w:t>ES2.HandleProfileFallBackAttributeUnsetNotification</w:t>
      </w:r>
      <w:r>
        <w:t>”.</w:t>
      </w:r>
    </w:p>
    <w:p w14:paraId="6B70DDAD" w14:textId="77777777" w:rsidR="00B97365" w:rsidRDefault="00000000">
      <w:pPr>
        <w:numPr>
          <w:ilvl w:val="0"/>
          <w:numId w:val="95"/>
        </w:numPr>
        <w:rPr>
          <w:szCs w:val="22"/>
          <w:lang w:eastAsia="en-GB"/>
        </w:rPr>
      </w:pPr>
      <w:r>
        <w:rPr>
          <w:szCs w:val="22"/>
          <w:lang w:eastAsia="en-GB"/>
        </w:rPr>
        <w:t>The SM-SR SHALL send the "</w:t>
      </w:r>
      <w:r>
        <w:rPr>
          <w:b/>
          <w:szCs w:val="22"/>
          <w:lang w:eastAsia="en-GB"/>
        </w:rPr>
        <w:t>ES4.HandleProfileFallBackAttributeSetNotification</w:t>
      </w:r>
      <w:r>
        <w:rPr>
          <w:szCs w:val="22"/>
          <w:lang w:eastAsia="en-GB"/>
        </w:rPr>
        <w:t xml:space="preserve">" to an M2M SP, if authorised by Operator2 owning the Profile B. </w:t>
      </w:r>
    </w:p>
    <w:p w14:paraId="63F51D9F" w14:textId="77777777" w:rsidR="00B97365" w:rsidRDefault="00000000">
      <w:pPr>
        <w:ind w:left="360"/>
      </w:pPr>
      <w:r>
        <w:t>If the M2M SP is another Operator directly connected to the SM-SR and it is authorised by Operator2, the SM-SR SHALL send this notification to this other Operator by calling the “</w:t>
      </w:r>
      <w:r>
        <w:rPr>
          <w:b/>
          <w:szCs w:val="22"/>
          <w:lang w:eastAsia="en-GB"/>
        </w:rPr>
        <w:t>ES4.HandleProfileFallBackAttributeSetNotification</w:t>
      </w:r>
      <w:r>
        <w:t>”.</w:t>
      </w:r>
    </w:p>
    <w:p w14:paraId="4D7E4CA1" w14:textId="77777777" w:rsidR="00B97365" w:rsidRDefault="00000000">
      <w:pPr>
        <w:ind w:left="360"/>
        <w:rPr>
          <w:lang w:eastAsia="en-GB"/>
        </w:rPr>
      </w:pPr>
      <w:r>
        <w:lastRenderedPageBreak/>
        <w:t>If the M2M SP is another Operator connected through its SM-DP and it is authorised by Operator2, the SM-SR SHALL send this notification to the SM-DP associated to this other Operator by calling the “</w:t>
      </w:r>
      <w:r>
        <w:rPr>
          <w:b/>
          <w:szCs w:val="22"/>
          <w:lang w:eastAsia="en-GB"/>
        </w:rPr>
        <w:t>ES3.HandleProfileFallBackAttributeSetNotification</w:t>
      </w:r>
      <w:r>
        <w:t>”. Then the SM-DP, on reception of this notification, SHALL forward it to the Operator, acting as the M2M SP, by calling the “</w:t>
      </w:r>
      <w:r>
        <w:rPr>
          <w:b/>
          <w:szCs w:val="22"/>
          <w:lang w:eastAsia="en-GB"/>
        </w:rPr>
        <w:t>ES2.HandleProfileFallBackAttributeSetNotification</w:t>
      </w:r>
      <w:r>
        <w:t>”.</w:t>
      </w:r>
    </w:p>
    <w:p w14:paraId="014E9D99" w14:textId="77777777" w:rsidR="00B97365" w:rsidRDefault="00000000">
      <w:pPr>
        <w:jc w:val="left"/>
        <w:rPr>
          <w:b/>
        </w:rPr>
      </w:pPr>
      <w:r>
        <w:rPr>
          <w:b/>
        </w:rPr>
        <w:t>End Conditions:</w:t>
      </w:r>
    </w:p>
    <w:p w14:paraId="4000B9A5" w14:textId="77777777" w:rsidR="00B97365" w:rsidRDefault="00000000">
      <w:pPr>
        <w:spacing w:before="0" w:after="200" w:line="276" w:lineRule="auto"/>
        <w:jc w:val="left"/>
        <w:rPr>
          <w:szCs w:val="22"/>
          <w:lang w:eastAsia="en-GB" w:bidi="ar-SA"/>
        </w:rPr>
      </w:pPr>
      <w:r>
        <w:rPr>
          <w:szCs w:val="22"/>
          <w:lang w:eastAsia="en-GB" w:bidi="ar-SA"/>
        </w:rPr>
        <w:t>The Profile B has the Fall-Back Attribute set. The Profile A has the Fall-Back Attribute un-set.</w:t>
      </w:r>
    </w:p>
    <w:p w14:paraId="76DEB838"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095" w:name="_Ref536175354"/>
      <w:bookmarkStart w:id="2096" w:name="_Toc1977301"/>
      <w:bookmarkStart w:id="2097" w:name="_Toc37062458"/>
      <w:bookmarkStart w:id="2098" w:name="_Toc88839563"/>
      <w:bookmarkStart w:id="2099" w:name="_Toc121503971"/>
      <w:r>
        <w:rPr>
          <w:rFonts w:eastAsia="Times New Roman" w:cs="Arial"/>
          <w:b/>
          <w:bCs/>
          <w:iCs/>
          <w:sz w:val="24"/>
          <w:szCs w:val="28"/>
          <w:lang w:eastAsia="en-US"/>
        </w:rPr>
        <w:t>Fall-Back Attribute Management via SM-DP</w:t>
      </w:r>
      <w:bookmarkEnd w:id="2095"/>
      <w:bookmarkEnd w:id="2096"/>
      <w:bookmarkEnd w:id="2097"/>
      <w:bookmarkEnd w:id="2098"/>
      <w:bookmarkEnd w:id="2099"/>
    </w:p>
    <w:p w14:paraId="594E3A5F" w14:textId="77777777" w:rsidR="00B97365" w:rsidRDefault="00000000">
      <w:pPr>
        <w:rPr>
          <w:lang w:eastAsia="en-US"/>
        </w:rPr>
      </w:pPr>
      <w:r>
        <w:rPr>
          <w:lang w:eastAsia="en-US"/>
        </w:rPr>
        <w:t>This procedure contains the steps needed to change the Fall-Back Attribute from one Profile to another via SM-DP (see GSMA Remote Provisioning Architecture for Embedded UICC [1] section 3.5.19).</w:t>
      </w:r>
    </w:p>
    <w:p w14:paraId="29223C6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217533B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284D883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41704BB3"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C14ED1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19D7734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796D426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SP #FFFFFF</w:t>
      </w:r>
    </w:p>
    <w:p w14:paraId="6F9A4A2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1\n&lt;size:10&gt;(owning Profile A)&lt;/size&gt;” as OP1 #FFFFFF</w:t>
      </w:r>
    </w:p>
    <w:p w14:paraId="0D1CA6D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2\n&lt;size:10&gt;(owning Profile B)&lt;/size&gt;” as OP2 #FFFFFF</w:t>
      </w:r>
    </w:p>
    <w:p w14:paraId="1F39881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“SM-DP” as DP #FFFFFF</w:t>
      </w:r>
    </w:p>
    <w:p w14:paraId="7D27534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“SM-SR” as SR #FFFFFF</w:t>
      </w:r>
    </w:p>
    <w:p w14:paraId="68B2414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“eUICC” as EUICC #FFFFFF</w:t>
      </w:r>
    </w:p>
    <w:p w14:paraId="197F1816"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BCBCEE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OP2-&gt;DP: [1] ES2.SetFallBackAttribute on Profile B\nRequest (SMSR-ID, EID, ICCID)</w:t>
      </w:r>
    </w:p>
    <w:p w14:paraId="14CDFFC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DDAA9D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DP #FFFFFF</w:t>
      </w:r>
    </w:p>
    <w:p w14:paraId="08B3A06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[2] Identify SM-SR</w:t>
      </w:r>
    </w:p>
    <w:p w14:paraId="6E1DB22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0448BCD1"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580636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DP-&gt;SR: [3] ES3.SetFallBackAttibute on Profile B Request (EID, ICCID)</w:t>
      </w:r>
    </w:p>
    <w:p w14:paraId="59718F0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489C7A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SR #FFFFFF</w:t>
      </w:r>
    </w:p>
    <w:p w14:paraId="64BD3B0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[4] Check PLMA for unsetting Fall-Back</w:t>
      </w:r>
    </w:p>
    <w:p w14:paraId="4A8DF14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426E0F0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134452E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SR--&gt;DP: [4.a] Return response indicating PLMA conflict</w:t>
      </w:r>
    </w:p>
    <w:p w14:paraId="3F2CE79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8BE7CB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DP-&gt;OP2: [4.b] Return response indicating PLMA conflict</w:t>
      </w:r>
    </w:p>
    <w:p w14:paraId="7EC3CDB9"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8B8307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SR-&gt;EUICC: [5] ES5.SetFallBackAttribute on Profile B request</w:t>
      </w:r>
    </w:p>
    <w:p w14:paraId="0D27FB4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51DEC50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EUICC #FFFFFF</w:t>
      </w:r>
    </w:p>
    <w:p w14:paraId="6A39844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[6] Unset Fall-Back Attribute on Profile A</w:t>
      </w:r>
    </w:p>
    <w:p w14:paraId="3B94260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by Setting Fall-Back Attribute on Profile B</w:t>
      </w:r>
    </w:p>
    <w:p w14:paraId="3D83C80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039D036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997E72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EUICC-&gt;SR: [7] ES5.SetFallBackAttribute response (euiccResponseData)</w:t>
      </w:r>
    </w:p>
    <w:p w14:paraId="138C66A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0C4A6B6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SR #FFFFFF</w:t>
      </w:r>
    </w:p>
    <w:p w14:paraId="1E066539"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1D5AD9">
        <w:rPr>
          <w:rFonts w:ascii="Courier New" w:hAnsi="Courier New" w:cs="Courier New"/>
          <w:noProof/>
          <w:color w:val="008000"/>
          <w:sz w:val="18"/>
          <w:lang w:val="de-DE"/>
        </w:rPr>
        <w:t>[8] Update EIS</w:t>
      </w:r>
    </w:p>
    <w:p w14:paraId="7665EE48"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1D5AD9">
        <w:rPr>
          <w:rFonts w:ascii="Courier New" w:hAnsi="Courier New" w:cs="Courier New"/>
          <w:noProof/>
          <w:color w:val="008000"/>
          <w:sz w:val="18"/>
          <w:lang w:val="de-DE"/>
        </w:rPr>
        <w:t>Endrnote</w:t>
      </w:r>
    </w:p>
    <w:p w14:paraId="3F73314C"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4137153D"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1D5AD9">
        <w:rPr>
          <w:rFonts w:ascii="Courier New" w:hAnsi="Courier New" w:cs="Courier New"/>
          <w:noProof/>
          <w:color w:val="008000"/>
          <w:sz w:val="18"/>
          <w:lang w:val="de-DE"/>
        </w:rPr>
        <w:t>SR</w:t>
      </w:r>
      <w:r>
        <w:rPr>
          <w:rFonts w:ascii="Courier New" w:hAnsi="Courier New" w:cs="Courier New"/>
          <w:noProof/>
          <w:color w:val="008000"/>
          <w:sz w:val="18"/>
          <w:lang w:val="en-US"/>
        </w:rPr>
        <w:sym w:font="Wingdings" w:char="F0E0"/>
      </w:r>
      <w:r w:rsidRPr="001D5AD9">
        <w:rPr>
          <w:rFonts w:ascii="Courier New" w:hAnsi="Courier New" w:cs="Courier New"/>
          <w:noProof/>
          <w:color w:val="008000"/>
          <w:sz w:val="18"/>
          <w:lang w:val="de-DE"/>
        </w:rPr>
        <w:t>DP: [9] ES3.SetFallBackAttibute response</w:t>
      </w:r>
    </w:p>
    <w:p w14:paraId="79369CD3"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3F2B386C"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1D5AD9">
        <w:rPr>
          <w:rFonts w:ascii="Courier New" w:hAnsi="Courier New" w:cs="Courier New"/>
          <w:noProof/>
          <w:color w:val="008000"/>
          <w:sz w:val="18"/>
          <w:lang w:val="de-DE"/>
        </w:rPr>
        <w:t>DP</w:t>
      </w:r>
      <w:r>
        <w:rPr>
          <w:rFonts w:ascii="Courier New" w:hAnsi="Courier New" w:cs="Courier New"/>
          <w:noProof/>
          <w:color w:val="008000"/>
          <w:sz w:val="18"/>
          <w:lang w:val="en-US"/>
        </w:rPr>
        <w:sym w:font="Wingdings" w:char="F0E0"/>
      </w:r>
      <w:r w:rsidRPr="001D5AD9">
        <w:rPr>
          <w:rFonts w:ascii="Courier New" w:hAnsi="Courier New" w:cs="Courier New"/>
          <w:noProof/>
          <w:color w:val="008000"/>
          <w:sz w:val="18"/>
          <w:lang w:val="de-DE"/>
        </w:rPr>
        <w:t>OP2: [10] ES2.SetFallBackAttribute response</w:t>
      </w:r>
    </w:p>
    <w:p w14:paraId="7820651E"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0DD42098"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1DF321E4"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1D5AD9">
        <w:rPr>
          <w:rFonts w:ascii="Courier New" w:hAnsi="Courier New" w:cs="Courier New"/>
          <w:noProof/>
          <w:color w:val="008000"/>
          <w:sz w:val="18"/>
          <w:lang w:val="de-DE"/>
        </w:rPr>
        <w:t>SR-&gt;OP1: [11] Cond: ES4.HandleProfileFallBackAttributeUnsetNotification Report</w:t>
      </w:r>
    </w:p>
    <w:p w14:paraId="1367E3EC"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139FA223"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1D5AD9">
        <w:rPr>
          <w:rFonts w:ascii="Courier New" w:hAnsi="Courier New" w:cs="Courier New"/>
          <w:noProof/>
          <w:color w:val="008000"/>
          <w:sz w:val="18"/>
          <w:lang w:val="de-DE"/>
        </w:rPr>
        <w:t>SR-&gt;SP: [12] Cond: ES4.HandleProfileFallBackAttributeUnsetNotification of Profile A</w:t>
      </w:r>
    </w:p>
    <w:p w14:paraId="6E1BE48A"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3F1B7B71"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1C5B7AE4"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1D5AD9">
        <w:rPr>
          <w:rFonts w:ascii="Courier New" w:hAnsi="Courier New" w:cs="Courier New"/>
          <w:noProof/>
          <w:color w:val="008000"/>
          <w:sz w:val="18"/>
          <w:lang w:val="de-DE"/>
        </w:rPr>
        <w:t>SR-&gt;DP: [13] Cond: ES4.HandleProfileFallBackAttributeSetNotification\nof Profile B</w:t>
      </w:r>
    </w:p>
    <w:p w14:paraId="7C863253"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43458E84" w14:textId="77777777" w:rsidR="00B97365" w:rsidRPr="001D5AD9"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r w:rsidRPr="001D5AD9">
        <w:rPr>
          <w:rFonts w:ascii="Courier New" w:hAnsi="Courier New" w:cs="Courier New"/>
          <w:noProof/>
          <w:color w:val="008000"/>
          <w:sz w:val="18"/>
          <w:lang w:val="de-DE"/>
        </w:rPr>
        <w:t xml:space="preserve">SR-&gt;SP: [14] Cond: ES4.HandleProfileFallBackAttributeSetNotification of Profile B </w:t>
      </w:r>
    </w:p>
    <w:p w14:paraId="5E793B3D" w14:textId="77777777" w:rsidR="00B97365" w:rsidRPr="001D5AD9"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de-DE"/>
        </w:rPr>
      </w:pPr>
    </w:p>
    <w:p w14:paraId="6BE2727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@enduml</w:t>
      </w:r>
    </w:p>
    <w:p w14:paraId="694E413B" w14:textId="77777777" w:rsidR="00B97365" w:rsidRDefault="00000000">
      <w:pPr>
        <w:rPr>
          <w:rFonts w:cs="Courier New"/>
          <w:noProof/>
          <w:color w:val="008000"/>
          <w:sz w:val="18"/>
          <w:lang w:eastAsia="en-US"/>
        </w:rPr>
      </w:pPr>
      <w:r>
        <w:rPr>
          <w:rFonts w:cs="Courier New"/>
          <w:noProof/>
          <w:color w:val="008000"/>
          <w:sz w:val="18"/>
          <w:lang w:eastAsia="en-GB" w:bidi="ar-SA"/>
        </w:rPr>
        <w:lastRenderedPageBreak/>
        <w:drawing>
          <wp:inline distT="0" distB="0" distL="0" distR="0" wp14:anchorId="5517F3B8" wp14:editId="12EDABF8">
            <wp:extent cx="5731510" cy="2817045"/>
            <wp:effectExtent l="0" t="0" r="2540" b="2540"/>
            <wp:docPr id="430" name="Picture 43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2817045"/>
                    </a:xfrm>
                    <a:prstGeom prst="rect">
                      <a:avLst/>
                    </a:prstGeom>
                  </pic:spPr>
                </pic:pic>
              </a:graphicData>
            </a:graphic>
          </wp:inline>
        </w:drawing>
      </w:r>
    </w:p>
    <w:p w14:paraId="7A2953F7"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328: Fall-Back Attribute Management via SM-DP</w:t>
      </w:r>
    </w:p>
    <w:p w14:paraId="1E871B46" w14:textId="77777777" w:rsidR="00B97365" w:rsidRDefault="00B97365">
      <w:pPr>
        <w:rPr>
          <w:lang w:eastAsia="en-US"/>
        </w:rPr>
      </w:pPr>
    </w:p>
    <w:p w14:paraId="402E1FAD" w14:textId="77777777" w:rsidR="00B97365" w:rsidRDefault="00000000">
      <w:pPr>
        <w:rPr>
          <w:b/>
        </w:rPr>
      </w:pPr>
      <w:r>
        <w:rPr>
          <w:b/>
        </w:rPr>
        <w:t>Start Conditions:</w:t>
      </w:r>
    </w:p>
    <w:p w14:paraId="4482021E" w14:textId="77777777" w:rsidR="00B97365" w:rsidRDefault="00000000">
      <w:pPr>
        <w:rPr>
          <w:u w:val="single"/>
        </w:rPr>
      </w:pPr>
      <w:r>
        <w:rPr>
          <w:u w:val="single"/>
        </w:rPr>
        <w:t>The start conditions are described in GSMA Remote Provisioning Architecture for Embedded UICC [1].</w:t>
      </w:r>
    </w:p>
    <w:p w14:paraId="4A9823AC" w14:textId="77777777" w:rsidR="00B97365" w:rsidRDefault="00000000">
      <w:pPr>
        <w:rPr>
          <w:b/>
        </w:rPr>
      </w:pPr>
      <w:r>
        <w:rPr>
          <w:b/>
        </w:rPr>
        <w:t>Procedure:</w:t>
      </w:r>
    </w:p>
    <w:p w14:paraId="499D511B" w14:textId="77777777" w:rsidR="00B97365" w:rsidRDefault="00000000">
      <w:pPr>
        <w:numPr>
          <w:ilvl w:val="0"/>
          <w:numId w:val="96"/>
        </w:numPr>
      </w:pPr>
      <w:r>
        <w:rPr>
          <w:szCs w:val="22"/>
        </w:rPr>
        <w:t>The</w:t>
      </w:r>
      <w:r>
        <w:t xml:space="preserve"> Operator2 owning Profile B calls “</w:t>
      </w:r>
      <w:r>
        <w:rPr>
          <w:b/>
        </w:rPr>
        <w:t>ES2.SetFallBackAttribute”</w:t>
      </w:r>
      <w:r>
        <w:t xml:space="preserve"> function providing the smsr-id of the SM-SR which will manage the operation and the eid and iccid of the targeted Profile.</w:t>
      </w:r>
    </w:p>
    <w:p w14:paraId="333D478F" w14:textId="77777777" w:rsidR="00B97365" w:rsidRDefault="00000000">
      <w:pPr>
        <w:numPr>
          <w:ilvl w:val="0"/>
          <w:numId w:val="96"/>
        </w:numPr>
      </w:pPr>
      <w:r>
        <w:rPr>
          <w:szCs w:val="22"/>
        </w:rPr>
        <w:t>The</w:t>
      </w:r>
      <w:r>
        <w:t xml:space="preserve"> SM-DP identifies the SM-SR.</w:t>
      </w:r>
    </w:p>
    <w:p w14:paraId="50EF0F1E" w14:textId="77777777" w:rsidR="00B97365" w:rsidRDefault="00000000">
      <w:pPr>
        <w:numPr>
          <w:ilvl w:val="0"/>
          <w:numId w:val="96"/>
        </w:numPr>
      </w:pPr>
      <w:r>
        <w:rPr>
          <w:szCs w:val="22"/>
        </w:rPr>
        <w:t>The</w:t>
      </w:r>
      <w:r>
        <w:t xml:space="preserve"> SM-DP calls “</w:t>
      </w:r>
      <w:r>
        <w:rPr>
          <w:b/>
        </w:rPr>
        <w:t>ES3.SetFallBackAttribute”</w:t>
      </w:r>
      <w:r>
        <w:t xml:space="preserve"> function providing the eid and the iccid of the targeted Profile.</w:t>
      </w:r>
    </w:p>
    <w:p w14:paraId="7E23C763" w14:textId="77777777" w:rsidR="00B97365" w:rsidRDefault="00000000">
      <w:pPr>
        <w:numPr>
          <w:ilvl w:val="0"/>
          <w:numId w:val="96"/>
        </w:numPr>
        <w:rPr>
          <w:b/>
        </w:rPr>
      </w:pPr>
      <w:r>
        <w:t xml:space="preserve">The SM-SR checks if Operator1 </w:t>
      </w:r>
      <w:r>
        <w:rPr>
          <w:szCs w:val="22"/>
          <w:lang w:eastAsia="en-GB" w:bidi="ar-SA"/>
        </w:rPr>
        <w:t xml:space="preserve">has configured a PLMA authorising Operator2 to </w:t>
      </w:r>
      <w:r>
        <w:rPr>
          <w:szCs w:val="22"/>
        </w:rPr>
        <w:t>unset</w:t>
      </w:r>
      <w:r>
        <w:rPr>
          <w:szCs w:val="22"/>
          <w:lang w:eastAsia="en-GB" w:bidi="ar-SA"/>
        </w:rPr>
        <w:t xml:space="preserve"> the Fall-Back Attribute on Profile A</w:t>
      </w:r>
      <w:r>
        <w:t>.</w:t>
      </w:r>
    </w:p>
    <w:p w14:paraId="3DA52AD5" w14:textId="77777777" w:rsidR="00B97365" w:rsidRDefault="00000000">
      <w:pPr>
        <w:numPr>
          <w:ilvl w:val="1"/>
          <w:numId w:val="79"/>
        </w:numPr>
        <w:contextualSpacing/>
        <w:jc w:val="left"/>
        <w:rPr>
          <w:b/>
        </w:rPr>
      </w:pPr>
      <w:r>
        <w:t>If there is a conflict with the authorisation, the SM-SR aborts the procedure and informs the SM-DP.</w:t>
      </w:r>
    </w:p>
    <w:p w14:paraId="04690F9D" w14:textId="77777777" w:rsidR="00B97365" w:rsidRDefault="00000000">
      <w:pPr>
        <w:numPr>
          <w:ilvl w:val="1"/>
          <w:numId w:val="79"/>
        </w:numPr>
        <w:contextualSpacing/>
        <w:jc w:val="left"/>
        <w:rPr>
          <w:b/>
        </w:rPr>
      </w:pPr>
      <w:r>
        <w:t>The SM-DP informs the Operator2 accordingly</w:t>
      </w:r>
    </w:p>
    <w:p w14:paraId="4D88B288" w14:textId="77777777" w:rsidR="00B97365" w:rsidRDefault="00000000">
      <w:pPr>
        <w:numPr>
          <w:ilvl w:val="0"/>
          <w:numId w:val="96"/>
        </w:numPr>
        <w:rPr>
          <w:szCs w:val="22"/>
          <w:lang w:eastAsia="en-GB"/>
        </w:rPr>
      </w:pPr>
      <w:r>
        <w:rPr>
          <w:szCs w:val="22"/>
        </w:rPr>
        <w:t>The</w:t>
      </w:r>
      <w:r>
        <w:rPr>
          <w:szCs w:val="22"/>
          <w:lang w:eastAsia="en-GB"/>
        </w:rPr>
        <w:t xml:space="preserve"> SM-SR, by calling “</w:t>
      </w:r>
      <w:r>
        <w:rPr>
          <w:b/>
          <w:szCs w:val="22"/>
          <w:lang w:eastAsia="en-GB"/>
        </w:rPr>
        <w:t>ES5.SetFallBackAttribute”</w:t>
      </w:r>
      <w:r>
        <w:rPr>
          <w:szCs w:val="22"/>
          <w:lang w:eastAsia="en-GB"/>
        </w:rPr>
        <w:t xml:space="preserve"> function (see section 4.11.7), requests the eUICC to set the Fall-Back Attribute to the Profile B.</w:t>
      </w:r>
    </w:p>
    <w:p w14:paraId="1035E39A" w14:textId="77777777" w:rsidR="00B97365" w:rsidRDefault="00000000">
      <w:pPr>
        <w:numPr>
          <w:ilvl w:val="0"/>
          <w:numId w:val="96"/>
        </w:numPr>
        <w:rPr>
          <w:szCs w:val="22"/>
          <w:lang w:eastAsia="en-GB"/>
        </w:rPr>
      </w:pPr>
      <w:r>
        <w:rPr>
          <w:szCs w:val="22"/>
        </w:rPr>
        <w:t>The</w:t>
      </w:r>
      <w:r>
        <w:rPr>
          <w:szCs w:val="22"/>
          <w:lang w:eastAsia="en-GB"/>
        </w:rPr>
        <w:t xml:space="preserve"> eUICC performs the operation. This will remove the Fall-Back Attribute from Profile A.</w:t>
      </w:r>
    </w:p>
    <w:p w14:paraId="7E693666" w14:textId="77777777" w:rsidR="00B97365" w:rsidRDefault="00000000">
      <w:pPr>
        <w:numPr>
          <w:ilvl w:val="0"/>
          <w:numId w:val="96"/>
        </w:numPr>
        <w:rPr>
          <w:szCs w:val="22"/>
          <w:lang w:eastAsia="en-GB"/>
        </w:rPr>
      </w:pPr>
      <w:r>
        <w:rPr>
          <w:szCs w:val="22"/>
          <w:lang w:eastAsia="en-GB"/>
        </w:rPr>
        <w:t>The eUICC sends the “</w:t>
      </w:r>
      <w:r>
        <w:rPr>
          <w:b/>
          <w:szCs w:val="22"/>
          <w:lang w:eastAsia="en-GB"/>
        </w:rPr>
        <w:t>ES5.SetFallBackAttribute</w:t>
      </w:r>
      <w:r>
        <w:rPr>
          <w:szCs w:val="22"/>
          <w:lang w:eastAsia="en-GB"/>
        </w:rPr>
        <w:t>” response to the SM-SR by providing the euiccResponseData.</w:t>
      </w:r>
    </w:p>
    <w:p w14:paraId="2558F4BF" w14:textId="77777777" w:rsidR="00B97365" w:rsidRDefault="00000000">
      <w:pPr>
        <w:numPr>
          <w:ilvl w:val="0"/>
          <w:numId w:val="96"/>
        </w:numPr>
        <w:rPr>
          <w:szCs w:val="22"/>
          <w:lang w:eastAsia="en-GB"/>
        </w:rPr>
      </w:pPr>
      <w:r>
        <w:rPr>
          <w:szCs w:val="22"/>
          <w:lang w:eastAsia="en-GB"/>
        </w:rPr>
        <w:t>According to the execution status provided by the eUICC, the SM-SR SHALL update the EIS to reflect that the Fall-Back Attribute is now set for Profile B.</w:t>
      </w:r>
    </w:p>
    <w:p w14:paraId="60B20971" w14:textId="77777777" w:rsidR="00B97365" w:rsidRDefault="00000000">
      <w:pPr>
        <w:numPr>
          <w:ilvl w:val="0"/>
          <w:numId w:val="96"/>
        </w:numPr>
        <w:rPr>
          <w:szCs w:val="22"/>
          <w:lang w:eastAsia="en-GB"/>
        </w:rPr>
      </w:pPr>
      <w:r>
        <w:rPr>
          <w:szCs w:val="22"/>
          <w:lang w:eastAsia="en-GB"/>
        </w:rPr>
        <w:t>The SM-SR SHALL send the “</w:t>
      </w:r>
      <w:r>
        <w:rPr>
          <w:b/>
          <w:szCs w:val="22"/>
          <w:lang w:eastAsia="en-GB"/>
        </w:rPr>
        <w:t>ES3.SetFallBackAttibute</w:t>
      </w:r>
      <w:r>
        <w:rPr>
          <w:szCs w:val="22"/>
          <w:lang w:eastAsia="en-GB"/>
        </w:rPr>
        <w:t>” response to the SM-DP.</w:t>
      </w:r>
    </w:p>
    <w:p w14:paraId="29212DE3" w14:textId="77777777" w:rsidR="00B97365" w:rsidRDefault="00000000">
      <w:pPr>
        <w:numPr>
          <w:ilvl w:val="0"/>
          <w:numId w:val="96"/>
        </w:numPr>
        <w:rPr>
          <w:szCs w:val="22"/>
          <w:lang w:eastAsia="en-GB"/>
        </w:rPr>
      </w:pPr>
      <w:r>
        <w:rPr>
          <w:szCs w:val="22"/>
          <w:lang w:eastAsia="en-GB"/>
        </w:rPr>
        <w:t>The SM-DP SHALL send the “</w:t>
      </w:r>
      <w:r>
        <w:rPr>
          <w:b/>
          <w:szCs w:val="22"/>
          <w:lang w:eastAsia="en-GB"/>
        </w:rPr>
        <w:t>ES2.SetFallBackAttibute</w:t>
      </w:r>
      <w:r>
        <w:rPr>
          <w:szCs w:val="22"/>
          <w:lang w:eastAsia="en-GB"/>
        </w:rPr>
        <w:t>” response to the Operator2, informing that the Profile B has the Fall-Back Attribute set.</w:t>
      </w:r>
    </w:p>
    <w:p w14:paraId="78EA1E46" w14:textId="77777777" w:rsidR="00B97365" w:rsidRDefault="00000000">
      <w:pPr>
        <w:numPr>
          <w:ilvl w:val="0"/>
          <w:numId w:val="96"/>
        </w:numPr>
        <w:rPr>
          <w:szCs w:val="22"/>
          <w:lang w:eastAsia="en-GB"/>
        </w:rPr>
      </w:pPr>
      <w:r>
        <w:rPr>
          <w:szCs w:val="22"/>
          <w:lang w:eastAsia="en-GB"/>
        </w:rPr>
        <w:lastRenderedPageBreak/>
        <w:t>Unless Operator1 has set an ONC to not receive those notifications, the SM-SR SHALL call the “</w:t>
      </w:r>
      <w:r>
        <w:rPr>
          <w:b/>
          <w:szCs w:val="22"/>
          <w:lang w:eastAsia="en-GB"/>
        </w:rPr>
        <w:t xml:space="preserve">ES4.HandleProfileFallBackAttributeUnsetNotification” </w:t>
      </w:r>
      <w:r>
        <w:rPr>
          <w:szCs w:val="22"/>
          <w:lang w:eastAsia="en-GB"/>
        </w:rPr>
        <w:t xml:space="preserve">function to notify the Fall-Back Attribute un-setting in Profile A to </w:t>
      </w:r>
      <w:r>
        <w:t>the Operator1. In case Operator1 has no direct connection with the SM-SR, the SM-SR SHALL send this notification to the SM-DP authorised by Operator1 by calling the “</w:t>
      </w:r>
      <w:r>
        <w:rPr>
          <w:b/>
        </w:rPr>
        <w:t>ES3.HandleProfileFallBackAttributeUnsetNotification”</w:t>
      </w:r>
      <w:r>
        <w:t xml:space="preserve">. Then the SM-DP, on reception of this notification, SHALL forward it to Operator1 by calling the </w:t>
      </w:r>
      <w:r>
        <w:rPr>
          <w:b/>
        </w:rPr>
        <w:t>ES2.HandleProfileFallBackAttributeUnsetNotification</w:t>
      </w:r>
      <w:r>
        <w:t>.</w:t>
      </w:r>
    </w:p>
    <w:p w14:paraId="48986834" w14:textId="77777777" w:rsidR="00B97365" w:rsidRDefault="00000000">
      <w:pPr>
        <w:numPr>
          <w:ilvl w:val="0"/>
          <w:numId w:val="96"/>
        </w:numPr>
        <w:rPr>
          <w:szCs w:val="22"/>
          <w:lang w:eastAsia="en-GB"/>
        </w:rPr>
      </w:pPr>
      <w:r>
        <w:rPr>
          <w:szCs w:val="22"/>
          <w:lang w:eastAsia="en-GB"/>
        </w:rPr>
        <w:t>The SM-SR SHALL send the “</w:t>
      </w:r>
      <w:r>
        <w:rPr>
          <w:b/>
          <w:szCs w:val="22"/>
          <w:lang w:eastAsia="en-GB"/>
        </w:rPr>
        <w:t>ES4.HandleProfileFallBackAttributeUnsetNotification</w:t>
      </w:r>
      <w:r>
        <w:rPr>
          <w:szCs w:val="22"/>
          <w:lang w:eastAsia="en-GB"/>
        </w:rPr>
        <w:t xml:space="preserve">” to an M2M SP, if authorised by Operator1 owning the Profile A. </w:t>
      </w:r>
    </w:p>
    <w:p w14:paraId="19E267A3" w14:textId="77777777" w:rsidR="00B97365" w:rsidRDefault="00000000">
      <w:pPr>
        <w:ind w:left="360"/>
      </w:pPr>
      <w:r>
        <w:t>If the M2M SP is another Operator directly connected to the SM-SR and it is authorised by Operator1, the SM-SR SHALL send this notification to this other Operator by calling the “</w:t>
      </w:r>
      <w:r>
        <w:rPr>
          <w:b/>
          <w:szCs w:val="22"/>
          <w:lang w:eastAsia="en-GB"/>
        </w:rPr>
        <w:t>ES4.HandleProfileFallBackAttributeUnsetNotification</w:t>
      </w:r>
      <w:r>
        <w:t>”.</w:t>
      </w:r>
    </w:p>
    <w:p w14:paraId="1DAE9C67" w14:textId="77777777" w:rsidR="00B97365" w:rsidRDefault="00000000">
      <w:pPr>
        <w:ind w:left="360"/>
      </w:pPr>
      <w:r>
        <w:t>If the M2M SP is another Operator connected through its SM-DP and it is authorised by Operator1, the SM-SR SHALL send this notification to the SM-DP associated to this other Operator by calling the “</w:t>
      </w:r>
      <w:r>
        <w:rPr>
          <w:b/>
          <w:szCs w:val="22"/>
          <w:lang w:eastAsia="en-GB"/>
        </w:rPr>
        <w:t>ES3.HandleProfileFallBackAttributeUnsetNotification</w:t>
      </w:r>
      <w:r>
        <w:t>”. Then the SM-DP, on reception of this notification, SHALL forward it to the Operator, acting as the M2M SP, by calling the “</w:t>
      </w:r>
      <w:r>
        <w:rPr>
          <w:b/>
          <w:szCs w:val="22"/>
          <w:lang w:eastAsia="en-GB"/>
        </w:rPr>
        <w:t>ES2.HandleProfileFallBackAttributeUnsetNotification</w:t>
      </w:r>
      <w:r>
        <w:t>”.</w:t>
      </w:r>
    </w:p>
    <w:p w14:paraId="4EB2DA22" w14:textId="77777777" w:rsidR="00B97365" w:rsidRDefault="00000000">
      <w:pPr>
        <w:numPr>
          <w:ilvl w:val="0"/>
          <w:numId w:val="96"/>
        </w:numPr>
        <w:rPr>
          <w:szCs w:val="22"/>
          <w:lang w:eastAsia="en-GB"/>
        </w:rPr>
      </w:pPr>
      <w:r>
        <w:rPr>
          <w:szCs w:val="22"/>
          <w:lang w:eastAsia="en-GB"/>
        </w:rPr>
        <w:t>Unless Operator2 has set an ONC to not receive those notifications, the SM-SR SHALL call the “</w:t>
      </w:r>
      <w:r>
        <w:rPr>
          <w:b/>
          <w:szCs w:val="22"/>
          <w:lang w:eastAsia="en-GB"/>
        </w:rPr>
        <w:t xml:space="preserve">ES4.HandleProfileFallBackAttributeSetNotification” </w:t>
      </w:r>
      <w:r>
        <w:rPr>
          <w:szCs w:val="22"/>
          <w:lang w:eastAsia="en-GB"/>
        </w:rPr>
        <w:t xml:space="preserve">function to notify the Fall-Back Attribute un-setting in Profile B to </w:t>
      </w:r>
      <w:r>
        <w:t>the Operator1. In case Operator1 has no direct connection with the SM-SR, the SM-SR SHALL send this notification to the SM-DP authorised by Operator2 by calling the “</w:t>
      </w:r>
      <w:r>
        <w:rPr>
          <w:b/>
        </w:rPr>
        <w:t>ES3.HandleProfileFallBackAttributeSetNotification”</w:t>
      </w:r>
      <w:r>
        <w:t xml:space="preserve">. Then the SM-DP, on reception of this notification, SHALL forward it to Operator2 by calling the </w:t>
      </w:r>
      <w:r>
        <w:rPr>
          <w:b/>
        </w:rPr>
        <w:t>ES2.HandleProfileFallBackAttributeSetNotification</w:t>
      </w:r>
      <w:r>
        <w:t>.</w:t>
      </w:r>
    </w:p>
    <w:p w14:paraId="3E672577" w14:textId="77777777" w:rsidR="00B97365" w:rsidRDefault="00000000">
      <w:pPr>
        <w:numPr>
          <w:ilvl w:val="0"/>
          <w:numId w:val="96"/>
        </w:numPr>
        <w:rPr>
          <w:szCs w:val="22"/>
          <w:lang w:eastAsia="en-GB"/>
        </w:rPr>
      </w:pPr>
      <w:r>
        <w:rPr>
          <w:szCs w:val="22"/>
          <w:lang w:eastAsia="en-GB"/>
        </w:rPr>
        <w:t>The SM-SR SHALL send the "</w:t>
      </w:r>
      <w:r>
        <w:rPr>
          <w:b/>
          <w:szCs w:val="22"/>
          <w:lang w:eastAsia="en-GB"/>
        </w:rPr>
        <w:t>ES4.HandleProfileFallBackAttributeSetNotification</w:t>
      </w:r>
      <w:r>
        <w:rPr>
          <w:szCs w:val="22"/>
          <w:lang w:eastAsia="en-GB"/>
        </w:rPr>
        <w:t xml:space="preserve">” to an M2M SP, if authorised by Operator2 owning the Profile B. </w:t>
      </w:r>
    </w:p>
    <w:p w14:paraId="16151B47" w14:textId="77777777" w:rsidR="00B97365" w:rsidRDefault="00000000">
      <w:pPr>
        <w:ind w:left="360"/>
      </w:pPr>
      <w:r>
        <w:t>If the M2M SP is another Operator directly connected to the SM-SR and it is authorised by Operator2, the SM-SR SHALL send this notification to this other Operator by calling the “</w:t>
      </w:r>
      <w:r>
        <w:rPr>
          <w:b/>
          <w:szCs w:val="22"/>
          <w:lang w:eastAsia="en-GB"/>
        </w:rPr>
        <w:t>ES4.HandleProfileFallBackAttributeSetNotification</w:t>
      </w:r>
      <w:r>
        <w:t>”.</w:t>
      </w:r>
    </w:p>
    <w:p w14:paraId="42C42C7D" w14:textId="77777777" w:rsidR="00B97365" w:rsidRDefault="00000000">
      <w:pPr>
        <w:ind w:left="360"/>
        <w:rPr>
          <w:lang w:eastAsia="en-GB"/>
        </w:rPr>
      </w:pPr>
      <w:r>
        <w:t>If the M2M SP is another Operator connected through its SM-DP and it is authorised by Operator2, the SM-SR SHALL send this notification to the SM-DP associated to this other Operator by calling the “</w:t>
      </w:r>
      <w:r>
        <w:rPr>
          <w:b/>
          <w:szCs w:val="22"/>
          <w:lang w:eastAsia="en-GB"/>
        </w:rPr>
        <w:t>ES3.HandleProfileFallBackAttributeSetNotification</w:t>
      </w:r>
      <w:r>
        <w:t>”. Then the SM-DP, on reception of this notification, SHALL forward it to the Operator, acting as the M2M SP, by calling the “</w:t>
      </w:r>
      <w:r>
        <w:rPr>
          <w:b/>
          <w:szCs w:val="22"/>
          <w:lang w:eastAsia="en-GB"/>
        </w:rPr>
        <w:t>ES2.HandleProfileFallBackAttributeSetNotification</w:t>
      </w:r>
      <w:r>
        <w:t>”.</w:t>
      </w:r>
    </w:p>
    <w:p w14:paraId="7AEB8C00" w14:textId="77777777" w:rsidR="00B97365" w:rsidRDefault="00000000">
      <w:pPr>
        <w:rPr>
          <w:b/>
        </w:rPr>
      </w:pPr>
      <w:r>
        <w:rPr>
          <w:b/>
        </w:rPr>
        <w:t>End Conditions:</w:t>
      </w:r>
    </w:p>
    <w:p w14:paraId="3966DEFA" w14:textId="77777777" w:rsidR="00B97365" w:rsidRDefault="00000000">
      <w:pPr>
        <w:spacing w:before="0" w:after="200" w:line="276" w:lineRule="auto"/>
        <w:jc w:val="left"/>
        <w:rPr>
          <w:szCs w:val="22"/>
          <w:lang w:eastAsia="en-GB" w:bidi="ar-SA"/>
        </w:rPr>
      </w:pPr>
      <w:r>
        <w:rPr>
          <w:szCs w:val="22"/>
          <w:lang w:eastAsia="en-GB" w:bidi="ar-SA"/>
        </w:rPr>
        <w:t>The Profile B has the Fall-Back Attribute set. The Profile A has the Fall-Back Attribute unset.</w:t>
      </w:r>
    </w:p>
    <w:p w14:paraId="3A84E3C7"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100" w:name="_Ref536175313"/>
      <w:bookmarkStart w:id="2101" w:name="_Toc1977302"/>
      <w:bookmarkStart w:id="2102" w:name="_Toc37062459"/>
      <w:bookmarkStart w:id="2103" w:name="_Toc88839564"/>
      <w:bookmarkStart w:id="2104" w:name="_Toc121503972"/>
      <w:r>
        <w:rPr>
          <w:rFonts w:eastAsia="Times New Roman" w:cs="Arial"/>
          <w:b/>
          <w:bCs/>
          <w:iCs/>
          <w:sz w:val="24"/>
          <w:szCs w:val="28"/>
          <w:lang w:eastAsia="en-US"/>
        </w:rPr>
        <w:t>Fall-Back Attribute Management via M2M SP</w:t>
      </w:r>
      <w:bookmarkEnd w:id="2100"/>
      <w:bookmarkEnd w:id="2101"/>
      <w:bookmarkEnd w:id="2102"/>
      <w:bookmarkEnd w:id="2103"/>
      <w:bookmarkEnd w:id="2104"/>
    </w:p>
    <w:p w14:paraId="172323A9" w14:textId="77777777" w:rsidR="00B97365" w:rsidRDefault="00000000">
      <w:pPr>
        <w:rPr>
          <w:lang w:eastAsia="en-US"/>
        </w:rPr>
      </w:pPr>
      <w:r>
        <w:rPr>
          <w:lang w:eastAsia="en-US"/>
        </w:rPr>
        <w:t>Operators may also authorise an M2M SP to change the Fall-Back Attribute from one Profile to another. This procedure contains the steps needed to execute such an operation.</w:t>
      </w:r>
    </w:p>
    <w:p w14:paraId="3A1BC01E" w14:textId="77777777" w:rsidR="00B97365" w:rsidRDefault="00000000">
      <w:pPr>
        <w:rPr>
          <w:lang w:eastAsia="en-US"/>
        </w:rPr>
      </w:pPr>
      <w:r>
        <w:rPr>
          <w:lang w:eastAsia="en-US"/>
        </w:rPr>
        <w:t>The Operator1 SHALL authorise the M2M SP the un-setting of the Fall-Back Attribute on its Profile. Operator2 SHALL authorise the M2M SP the setting of the Fall-Back Attribute on its Profile. Such authorisations are granted via PLMA (see GSMA Remote Provisioning Architecture for Embedded UICC [1] section 3.5.20).</w:t>
      </w:r>
    </w:p>
    <w:p w14:paraId="55A621C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lastRenderedPageBreak/>
        <w:t>@startuml</w:t>
      </w:r>
    </w:p>
    <w:p w14:paraId="616BACA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7ACC8F0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149847D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10857B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hide footbox</w:t>
      </w:r>
    </w:p>
    <w:p w14:paraId="281A278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E6B3F4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“M2M SP” as SP #FFFFFF</w:t>
      </w:r>
    </w:p>
    <w:p w14:paraId="436793C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1\n&lt;size:10&gt;(owning Profile A)&lt;/size&gt;” as OP1 #FFFFFF</w:t>
      </w:r>
    </w:p>
    <w:p w14:paraId="779E403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Participant “Operator 2\n&lt;size:10&gt;(owning Profile B)&lt;/size&gt;” as OP2 #FFFFFF</w:t>
      </w:r>
    </w:p>
    <w:p w14:paraId="0D11896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“SM-SR” as SR #FFFFFF</w:t>
      </w:r>
    </w:p>
    <w:p w14:paraId="74D0A94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“eUICC” as EUICC #FFFFFF</w:t>
      </w:r>
    </w:p>
    <w:p w14:paraId="03F9F9F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27F7E43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rPr>
        <w:t>SP-&gt;SR: [1] ES4.S</w:t>
      </w:r>
      <w:r>
        <w:rPr>
          <w:rFonts w:ascii="Courier New" w:hAnsi="Courier New" w:cs="Courier New"/>
          <w:noProof/>
          <w:color w:val="008000"/>
          <w:sz w:val="18"/>
          <w:lang w:val="en-US"/>
        </w:rPr>
        <w:t>etFallBackAttribute (EID, ICCID) on Profile B Request</w:t>
      </w:r>
    </w:p>
    <w:p w14:paraId="6BFB814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2A9C46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SR #FFFFFF</w:t>
      </w:r>
    </w:p>
    <w:p w14:paraId="485AF2B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[2] Check PLMA for Setting Fall-Back </w:t>
      </w:r>
    </w:p>
    <w:p w14:paraId="641DCB1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Attribute from Operator 2</w:t>
      </w:r>
    </w:p>
    <w:p w14:paraId="66051A2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6CCA34F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SR--&gt;SP: [2.a] Send response indicating authorisation conflict</w:t>
      </w:r>
    </w:p>
    <w:p w14:paraId="245EFB4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6ADA2C3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SR #FFFFFF</w:t>
      </w:r>
    </w:p>
    <w:p w14:paraId="4EDEB23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[3] Check PLMA for Unsetting Fall-Back </w:t>
      </w:r>
    </w:p>
    <w:p w14:paraId="5066B97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Attribute from Operator 1</w:t>
      </w:r>
    </w:p>
    <w:p w14:paraId="0FE62F3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0CAE768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SR--&gt;SP: [3.a] Send response indicating authorisation conflict</w:t>
      </w:r>
    </w:p>
    <w:p w14:paraId="1C04C95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EACFB5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SR-&gt;EUICC: [4] ES5.SetFallBackAttribute on Profile B request</w:t>
      </w:r>
    </w:p>
    <w:p w14:paraId="4D328E7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279174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EUICC #FFFFFF</w:t>
      </w:r>
    </w:p>
    <w:p w14:paraId="124188A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[5] Unset Fall-Back Attribute on Profile A</w:t>
      </w:r>
    </w:p>
    <w:p w14:paraId="7724C68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by Setting Fall-Back Attribute on Profile B</w:t>
      </w:r>
    </w:p>
    <w:p w14:paraId="58E15B5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Endrnote</w:t>
      </w:r>
    </w:p>
    <w:p w14:paraId="587B310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09152B3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EUICC-&gt;SR: [6] ES5.SetFallBackAttribute response (euiccResponseData)</w:t>
      </w:r>
    </w:p>
    <w:p w14:paraId="0C26D97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497225F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SR #FFFFFF</w:t>
      </w:r>
    </w:p>
    <w:p w14:paraId="3B2840B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[7] EIS Update</w:t>
      </w:r>
    </w:p>
    <w:p w14:paraId="124866B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Endrnote </w:t>
      </w:r>
    </w:p>
    <w:p w14:paraId="7E99E62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11E63C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SR-&gt;SP: [8] </w:t>
      </w:r>
      <w:r>
        <w:rPr>
          <w:rFonts w:ascii="Courier New" w:hAnsi="Courier New" w:cs="Courier New"/>
          <w:noProof/>
          <w:color w:val="008000"/>
          <w:sz w:val="18"/>
        </w:rPr>
        <w:t>ES4.</w:t>
      </w:r>
      <w:r>
        <w:rPr>
          <w:rFonts w:ascii="Courier New" w:hAnsi="Courier New" w:cs="Courier New"/>
          <w:noProof/>
          <w:color w:val="008000"/>
          <w:sz w:val="18"/>
          <w:lang w:val="en-US"/>
        </w:rPr>
        <w:t xml:space="preserve">SetFallBackAttribute response </w:t>
      </w:r>
    </w:p>
    <w:p w14:paraId="35E73A7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02BB9BD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SR-&gt;OP1: [9] Cond: </w:t>
      </w:r>
      <w:r>
        <w:rPr>
          <w:rFonts w:ascii="Courier New" w:hAnsi="Courier New" w:cs="Courier New"/>
          <w:noProof/>
          <w:color w:val="008000"/>
          <w:sz w:val="18"/>
        </w:rPr>
        <w:t>ES4.HandleProfileFallBackAttributeUnsetNotification</w:t>
      </w:r>
      <w:r>
        <w:rPr>
          <w:rFonts w:ascii="Courier New" w:hAnsi="Courier New" w:cs="Courier New"/>
          <w:noProof/>
          <w:color w:val="008000"/>
          <w:sz w:val="18"/>
          <w:lang w:val="en-US"/>
        </w:rPr>
        <w:t xml:space="preserve"> of Profile A</w:t>
      </w:r>
    </w:p>
    <w:p w14:paraId="72572794"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14963EC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SR-&gt;SP: [10] </w:t>
      </w:r>
      <w:r>
        <w:rPr>
          <w:rFonts w:ascii="Courier New" w:hAnsi="Courier New" w:cs="Courier New"/>
          <w:noProof/>
          <w:color w:val="008000"/>
          <w:sz w:val="18"/>
          <w:lang w:val="en-US"/>
        </w:rPr>
        <w:t xml:space="preserve">Cond: </w:t>
      </w:r>
      <w:r>
        <w:rPr>
          <w:rFonts w:ascii="Courier New" w:hAnsi="Courier New" w:cs="Courier New"/>
          <w:noProof/>
          <w:color w:val="008000"/>
          <w:sz w:val="18"/>
        </w:rPr>
        <w:t>ES4.HandleProfileFallBackAttributeUnsetNotification of Profile A</w:t>
      </w:r>
    </w:p>
    <w:p w14:paraId="62F1F80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77C5322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 xml:space="preserve">SR-&gt;OP2: [11] Cond: </w:t>
      </w:r>
      <w:r>
        <w:rPr>
          <w:rFonts w:ascii="Courier New" w:hAnsi="Courier New" w:cs="Courier New"/>
          <w:noProof/>
          <w:color w:val="008000"/>
          <w:sz w:val="18"/>
        </w:rPr>
        <w:t>ES4.HandleProfileFallBackAttributeSetNotification</w:t>
      </w:r>
      <w:r>
        <w:rPr>
          <w:rFonts w:ascii="Courier New" w:hAnsi="Courier New" w:cs="Courier New"/>
          <w:noProof/>
          <w:color w:val="008000"/>
          <w:sz w:val="18"/>
          <w:lang w:val="en-US"/>
        </w:rPr>
        <w:t xml:space="preserve"> of Profile B</w:t>
      </w:r>
    </w:p>
    <w:p w14:paraId="63220DE8"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2C7C745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SR-&gt;SP: [12] </w:t>
      </w:r>
      <w:r>
        <w:rPr>
          <w:rFonts w:ascii="Courier New" w:hAnsi="Courier New" w:cs="Courier New"/>
          <w:noProof/>
          <w:color w:val="008000"/>
          <w:sz w:val="18"/>
          <w:lang w:val="en-US"/>
        </w:rPr>
        <w:t xml:space="preserve">Cond: </w:t>
      </w:r>
      <w:r>
        <w:rPr>
          <w:rFonts w:ascii="Courier New" w:hAnsi="Courier New" w:cs="Courier New"/>
          <w:noProof/>
          <w:color w:val="008000"/>
          <w:sz w:val="18"/>
        </w:rPr>
        <w:t>ES4.HandleProfileFallBackAttributeSetNotification of Profile B</w:t>
      </w:r>
    </w:p>
    <w:p w14:paraId="3D881F7F"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2A2D289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@enduml</w:t>
      </w:r>
    </w:p>
    <w:p w14:paraId="217A5649" w14:textId="77777777" w:rsidR="00B97365" w:rsidRDefault="00000000">
      <w:pPr>
        <w:rPr>
          <w:rFonts w:cs="Courier New"/>
          <w:noProof/>
          <w:color w:val="008000"/>
          <w:sz w:val="18"/>
          <w:lang w:eastAsia="en-US"/>
        </w:rPr>
      </w:pPr>
      <w:r>
        <w:rPr>
          <w:rFonts w:cs="Courier New"/>
          <w:noProof/>
          <w:color w:val="008000"/>
          <w:sz w:val="18"/>
          <w:lang w:eastAsia="en-GB" w:bidi="ar-SA"/>
        </w:rPr>
        <w:lastRenderedPageBreak/>
        <w:drawing>
          <wp:inline distT="0" distB="0" distL="0" distR="0" wp14:anchorId="42EAFF91" wp14:editId="4C5B398A">
            <wp:extent cx="5731510" cy="2720924"/>
            <wp:effectExtent l="0" t="0" r="2540" b="3810"/>
            <wp:docPr id="447" name="Picture 44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
                    <pic:cNvPicPr/>
                  </pic:nvPicPr>
                  <pic:blipFill>
                    <a:blip r:embed="rId94">
                      <a:extLst>
                        <a:ext uri="{28A0092B-C50C-407E-A947-70E740481C1C}">
                          <a14:useLocalDpi xmlns:a14="http://schemas.microsoft.com/office/drawing/2010/main" val="0"/>
                        </a:ext>
                      </a:extLst>
                    </a:blip>
                    <a:stretch>
                      <a:fillRect/>
                    </a:stretch>
                  </pic:blipFill>
                  <pic:spPr>
                    <a:xfrm>
                      <a:off x="0" y="0"/>
                      <a:ext cx="5731510" cy="2720924"/>
                    </a:xfrm>
                    <a:prstGeom prst="rect">
                      <a:avLst/>
                    </a:prstGeom>
                  </pic:spPr>
                </pic:pic>
              </a:graphicData>
            </a:graphic>
          </wp:inline>
        </w:drawing>
      </w:r>
    </w:p>
    <w:p w14:paraId="6D4D01EA"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329: Fall-Back Attribute Management via M2M SP</w:t>
      </w:r>
    </w:p>
    <w:p w14:paraId="3E4F4E37" w14:textId="77777777" w:rsidR="00B97365" w:rsidRDefault="00000000">
      <w:pPr>
        <w:rPr>
          <w:b/>
        </w:rPr>
      </w:pPr>
      <w:r>
        <w:rPr>
          <w:b/>
        </w:rPr>
        <w:t>Start Conditions:</w:t>
      </w:r>
    </w:p>
    <w:p w14:paraId="03787684" w14:textId="77777777" w:rsidR="00B97365" w:rsidRDefault="00000000">
      <w:pPr>
        <w:rPr>
          <w:u w:val="single"/>
        </w:rPr>
      </w:pPr>
      <w:r>
        <w:rPr>
          <w:u w:val="single"/>
        </w:rPr>
        <w:t>The start conditions are described in GSMA Remote Provisioning Architecture for Embedded UICC [1].</w:t>
      </w:r>
    </w:p>
    <w:p w14:paraId="3F6753F6" w14:textId="77777777" w:rsidR="00B97365" w:rsidRDefault="00000000">
      <w:pPr>
        <w:rPr>
          <w:b/>
        </w:rPr>
      </w:pPr>
      <w:r>
        <w:rPr>
          <w:b/>
        </w:rPr>
        <w:t>Procedure:</w:t>
      </w:r>
    </w:p>
    <w:p w14:paraId="7A0CCC12" w14:textId="77777777" w:rsidR="00B97365" w:rsidRDefault="00000000">
      <w:pPr>
        <w:numPr>
          <w:ilvl w:val="0"/>
          <w:numId w:val="97"/>
        </w:numPr>
        <w:rPr>
          <w:b/>
        </w:rPr>
      </w:pPr>
      <w:r>
        <w:t>The M2M SP calls the “</w:t>
      </w:r>
      <w:r>
        <w:rPr>
          <w:b/>
        </w:rPr>
        <w:t>ES4.SetFallBackAttribute”</w:t>
      </w:r>
      <w:r>
        <w:t xml:space="preserve"> on Profile B to the SM-SR, by providing the eid and iccid of the targeted Profile.</w:t>
      </w:r>
    </w:p>
    <w:p w14:paraId="57FDC839" w14:textId="77777777" w:rsidR="00B97365" w:rsidRDefault="00000000">
      <w:pPr>
        <w:numPr>
          <w:ilvl w:val="0"/>
          <w:numId w:val="97"/>
        </w:numPr>
      </w:pPr>
      <w:r>
        <w:t>The SM-SR checks if a PLMA from Operator2 authorises the M2M SP to set the Fall-Back Attribute on Profile B</w:t>
      </w:r>
    </w:p>
    <w:p w14:paraId="3DF70BF2" w14:textId="77777777" w:rsidR="00B97365" w:rsidRDefault="00000000">
      <w:pPr>
        <w:numPr>
          <w:ilvl w:val="1"/>
          <w:numId w:val="80"/>
        </w:numPr>
        <w:contextualSpacing/>
        <w:jc w:val="left"/>
      </w:pPr>
      <w:r>
        <w:t>If there is a conflict with the authorisation, the SM-SR aborts the procedure and informs the M2M SP.</w:t>
      </w:r>
    </w:p>
    <w:p w14:paraId="49922991" w14:textId="77777777" w:rsidR="00B97365" w:rsidRDefault="00000000">
      <w:pPr>
        <w:numPr>
          <w:ilvl w:val="0"/>
          <w:numId w:val="97"/>
        </w:numPr>
      </w:pPr>
      <w:r>
        <w:t>The SM-SR checks if a PLMA from Operator1 authorises the M2M SP to unset the Fall-Back Attribute on Profile A.</w:t>
      </w:r>
    </w:p>
    <w:p w14:paraId="075173AD" w14:textId="77777777" w:rsidR="00B97365" w:rsidRDefault="00000000">
      <w:pPr>
        <w:numPr>
          <w:ilvl w:val="1"/>
          <w:numId w:val="80"/>
        </w:numPr>
        <w:contextualSpacing/>
        <w:jc w:val="left"/>
      </w:pPr>
      <w:r>
        <w:t>If there is a conflict with the authorisation, the SM-SR aborts the procedure and informs the M2M SP.</w:t>
      </w:r>
    </w:p>
    <w:p w14:paraId="5ACF58B6" w14:textId="77777777" w:rsidR="00B97365" w:rsidRDefault="00000000">
      <w:pPr>
        <w:numPr>
          <w:ilvl w:val="0"/>
          <w:numId w:val="97"/>
        </w:numPr>
      </w:pPr>
      <w:r>
        <w:t>The SM-SR, by calling “</w:t>
      </w:r>
      <w:r>
        <w:rPr>
          <w:b/>
        </w:rPr>
        <w:t>ES5.SetFallBackAttribute”</w:t>
      </w:r>
      <w:r>
        <w:t xml:space="preserve"> function, requests the eUICC to set the Fall-Back Attribute to the Profile B. </w:t>
      </w:r>
    </w:p>
    <w:p w14:paraId="5F8B260B" w14:textId="77777777" w:rsidR="00B97365" w:rsidRDefault="00000000">
      <w:pPr>
        <w:numPr>
          <w:ilvl w:val="0"/>
          <w:numId w:val="97"/>
        </w:numPr>
      </w:pPr>
      <w:r>
        <w:t>The eUICC Sets the Fall-Back Attribute on the Profile B. This will remove the Fall-Back Attribute from Profile A.</w:t>
      </w:r>
    </w:p>
    <w:p w14:paraId="783F4B5C" w14:textId="77777777" w:rsidR="00B97365" w:rsidRDefault="00000000">
      <w:pPr>
        <w:numPr>
          <w:ilvl w:val="0"/>
          <w:numId w:val="97"/>
        </w:numPr>
      </w:pPr>
      <w:r>
        <w:t>The eUICC sends the “</w:t>
      </w:r>
      <w:r>
        <w:rPr>
          <w:b/>
        </w:rPr>
        <w:t xml:space="preserve">ES5.SetFallBackAttribute” </w:t>
      </w:r>
      <w:r>
        <w:t>response</w:t>
      </w:r>
      <w:r>
        <w:rPr>
          <w:b/>
        </w:rPr>
        <w:t xml:space="preserve"> </w:t>
      </w:r>
      <w:r>
        <w:t>to the SM-SR by providing the euiccResponseData.</w:t>
      </w:r>
    </w:p>
    <w:p w14:paraId="2F3B00AF" w14:textId="77777777" w:rsidR="00B97365" w:rsidRDefault="00000000">
      <w:pPr>
        <w:numPr>
          <w:ilvl w:val="0"/>
          <w:numId w:val="97"/>
        </w:numPr>
        <w:rPr>
          <w:szCs w:val="22"/>
        </w:rPr>
      </w:pPr>
      <w:r>
        <w:t>The</w:t>
      </w:r>
      <w:r>
        <w:rPr>
          <w:szCs w:val="22"/>
        </w:rPr>
        <w:t xml:space="preserve"> SM-SR update the EIS accordingly. </w:t>
      </w:r>
    </w:p>
    <w:p w14:paraId="05960196" w14:textId="77777777" w:rsidR="00B97365" w:rsidRDefault="00000000">
      <w:pPr>
        <w:numPr>
          <w:ilvl w:val="0"/>
          <w:numId w:val="97"/>
        </w:numPr>
      </w:pPr>
      <w:r>
        <w:t>The</w:t>
      </w:r>
      <w:r>
        <w:rPr>
          <w:szCs w:val="22"/>
        </w:rPr>
        <w:t xml:space="preserve"> SM-SR SHALL send the </w:t>
      </w:r>
      <w:r>
        <w:t>“</w:t>
      </w:r>
      <w:r>
        <w:rPr>
          <w:b/>
        </w:rPr>
        <w:t xml:space="preserve">ES4.SetFallBackAttribute” </w:t>
      </w:r>
      <w:r>
        <w:t xml:space="preserve">response to the M2M SP. </w:t>
      </w:r>
    </w:p>
    <w:p w14:paraId="66C779F5" w14:textId="77777777" w:rsidR="00B97365" w:rsidRDefault="00000000">
      <w:pPr>
        <w:numPr>
          <w:ilvl w:val="0"/>
          <w:numId w:val="97"/>
        </w:numPr>
      </w:pPr>
      <w:r>
        <w:rPr>
          <w:szCs w:val="22"/>
        </w:rPr>
        <w:t xml:space="preserve"> </w:t>
      </w:r>
      <w:r>
        <w:t>Unless</w:t>
      </w:r>
      <w:r>
        <w:rPr>
          <w:szCs w:val="22"/>
        </w:rPr>
        <w:t xml:space="preserve"> Operator1 has set an ONC to not receive those notifications, the SM-SR SHALL send the “</w:t>
      </w:r>
      <w:r>
        <w:rPr>
          <w:b/>
          <w:szCs w:val="22"/>
          <w:lang w:eastAsia="en-GB"/>
        </w:rPr>
        <w:t>ES4.HandleProfileFallBackAttributeUnsetNotification”</w:t>
      </w:r>
      <w:r>
        <w:rPr>
          <w:szCs w:val="22"/>
          <w:lang w:eastAsia="en-GB"/>
        </w:rPr>
        <w:t xml:space="preserve"> to inform</w:t>
      </w:r>
      <w:r>
        <w:rPr>
          <w:szCs w:val="22"/>
        </w:rPr>
        <w:t xml:space="preserve"> the Operator1 that the Profile A now has the Fall-Back Attribute unset. In case Operator1 has no direct connection with the SM-SR, the SM-SR SHALL send this notification to the SM-DP authorised by</w:t>
      </w:r>
      <w:r>
        <w:t xml:space="preserve"> Operator1 by calling the “</w:t>
      </w:r>
      <w:r>
        <w:rPr>
          <w:b/>
        </w:rPr>
        <w:t>ES3.HandleProfileFallBackAttributeUnsetNotification”</w:t>
      </w:r>
      <w:r>
        <w:t xml:space="preserve">. Then the SM-DP, on </w:t>
      </w:r>
      <w:r>
        <w:lastRenderedPageBreak/>
        <w:t>reception of this notification, SHALL forward it to Operator1 by calling the “</w:t>
      </w:r>
      <w:r>
        <w:rPr>
          <w:b/>
        </w:rPr>
        <w:t>ES2.HandleProfileFallBackAttributeUnsetNotification”</w:t>
      </w:r>
      <w:r>
        <w:t>.</w:t>
      </w:r>
    </w:p>
    <w:p w14:paraId="0D9E9B20" w14:textId="77777777" w:rsidR="00B97365" w:rsidRDefault="00000000">
      <w:pPr>
        <w:numPr>
          <w:ilvl w:val="0"/>
          <w:numId w:val="97"/>
        </w:numPr>
      </w:pPr>
      <w:r>
        <w:t>If configured by the Operator1, the SM-SR SHALL call the “</w:t>
      </w:r>
      <w:r>
        <w:rPr>
          <w:b/>
        </w:rPr>
        <w:t>ES4.HandleProfileFallBackAttributeUnsetNotification”</w:t>
      </w:r>
      <w:r>
        <w:t xml:space="preserve"> to inform the M2M SP. </w:t>
      </w:r>
    </w:p>
    <w:p w14:paraId="18B1DC6A" w14:textId="77777777" w:rsidR="00B97365" w:rsidRDefault="00000000">
      <w:pPr>
        <w:ind w:left="360"/>
      </w:pPr>
      <w:r>
        <w:t>If the M2M SP is another Operator directly connected to the SM-SR and it is authorised by Operator1, the SM-SR SHALL send this notification to this other Operator by calling the “</w:t>
      </w:r>
      <w:r>
        <w:rPr>
          <w:b/>
        </w:rPr>
        <w:t>ES4.HandleProfileFallBackAttributeUnsetNotification</w:t>
      </w:r>
      <w:r>
        <w:t>”.</w:t>
      </w:r>
    </w:p>
    <w:p w14:paraId="7A61946A" w14:textId="77777777" w:rsidR="00B97365" w:rsidRDefault="00000000">
      <w:pPr>
        <w:ind w:left="360"/>
      </w:pPr>
      <w:r>
        <w:t>If the M2M SP is another Operator connected through its SM-DP and it is authorised by Operator1, the SM-SR SHALL send this notification to the SM-DP associated to this other Operator by calling the “</w:t>
      </w:r>
      <w:r>
        <w:rPr>
          <w:b/>
        </w:rPr>
        <w:t>ES3.HandleProfileFallBackAttributeUnsetNotification</w:t>
      </w:r>
      <w:r>
        <w:t>”. Then the SM-DP, on reception of this notification, SHALL forward it to the Operator, acting as the M2M SP, by calling the “</w:t>
      </w:r>
      <w:r>
        <w:rPr>
          <w:b/>
        </w:rPr>
        <w:t>ES2.HandleProfileFallBackAttributeUnsetNotification</w:t>
      </w:r>
      <w:r>
        <w:t>”.</w:t>
      </w:r>
    </w:p>
    <w:p w14:paraId="0C879268" w14:textId="77777777" w:rsidR="00B97365" w:rsidRDefault="00000000">
      <w:pPr>
        <w:numPr>
          <w:ilvl w:val="0"/>
          <w:numId w:val="97"/>
        </w:numPr>
      </w:pPr>
      <w:r>
        <w:t>Unless Operator2 has set an ONC to not receive those notifications, the SM-SR SHALL send the “</w:t>
      </w:r>
      <w:r>
        <w:rPr>
          <w:b/>
        </w:rPr>
        <w:t>ES4.HandleProfileFallBackAttributeSetNotification”</w:t>
      </w:r>
      <w:r>
        <w:t xml:space="preserve"> to inform the Operator2 that the Profile B now has the Fall-Back Attribute set. In case Operator2 has no direct connection with the SM-SR, the SM-SR SHALL send this notification to the SM-DP authorised by Operator2 by calling the “</w:t>
      </w:r>
      <w:r>
        <w:rPr>
          <w:b/>
        </w:rPr>
        <w:t>ES3.HandleProfileFallBackAttributeSetNotification”</w:t>
      </w:r>
      <w:r>
        <w:t>. Then the SM-DP, on reception of this notification, SHALL forward it to Operator2 by calling the “</w:t>
      </w:r>
      <w:r>
        <w:rPr>
          <w:b/>
        </w:rPr>
        <w:t>ES2.HandleProfileFallBackAttributeSetNotification”</w:t>
      </w:r>
      <w:r>
        <w:t>.</w:t>
      </w:r>
    </w:p>
    <w:p w14:paraId="480868D6" w14:textId="77777777" w:rsidR="00B97365" w:rsidRDefault="00000000">
      <w:pPr>
        <w:numPr>
          <w:ilvl w:val="0"/>
          <w:numId w:val="97"/>
        </w:numPr>
      </w:pPr>
      <w:r>
        <w:t>If configured by the Operator2, the SM-SR SHALL call the “</w:t>
      </w:r>
      <w:r>
        <w:rPr>
          <w:b/>
        </w:rPr>
        <w:t>ES4.HandleProfileFallBackAttributeSetNotification”</w:t>
      </w:r>
      <w:r>
        <w:t xml:space="preserve"> to inform the M2M SP. </w:t>
      </w:r>
    </w:p>
    <w:p w14:paraId="05AAB768" w14:textId="77777777" w:rsidR="00B97365" w:rsidRDefault="00000000">
      <w:pPr>
        <w:ind w:left="360"/>
      </w:pPr>
      <w:r>
        <w:t>If the M2M SP is another Operator directly connected to the SM-SR and it is authorised by Operator2, the SM-SR SHALL send this notification to this other Operator by calling the “</w:t>
      </w:r>
      <w:r>
        <w:rPr>
          <w:b/>
        </w:rPr>
        <w:t>ES4.HandleProfileFallBackAttributeSetNotification</w:t>
      </w:r>
      <w:r>
        <w:t>”.</w:t>
      </w:r>
    </w:p>
    <w:p w14:paraId="014AC636" w14:textId="77777777" w:rsidR="00B97365" w:rsidRDefault="00000000">
      <w:pPr>
        <w:ind w:left="360"/>
      </w:pPr>
      <w:r>
        <w:t>If the M2M SP is another Operator connected through its SM-DP and it is authorised by Operator2, the SM-SR SHALL send this notification to the SM-DP associated to this other Operator by calling the “</w:t>
      </w:r>
      <w:r>
        <w:rPr>
          <w:b/>
        </w:rPr>
        <w:t>ES3.HandleProfileFallBackAttributeSetNotification</w:t>
      </w:r>
      <w:r>
        <w:t>”. Then the SM-DP, on reception of this notification, SHALL forward it to the Operator, acting as the M2M SP, by calling the “</w:t>
      </w:r>
      <w:r>
        <w:rPr>
          <w:b/>
        </w:rPr>
        <w:t>ES2.HandleProfileFallBackAttributeSetNotification</w:t>
      </w:r>
      <w:r>
        <w:t>”.</w:t>
      </w:r>
    </w:p>
    <w:p w14:paraId="2CA2A64A" w14:textId="77777777" w:rsidR="00B97365" w:rsidRDefault="00000000">
      <w:pPr>
        <w:jc w:val="left"/>
        <w:rPr>
          <w:b/>
        </w:rPr>
      </w:pPr>
      <w:r>
        <w:rPr>
          <w:b/>
        </w:rPr>
        <w:t>End Conditions:</w:t>
      </w:r>
    </w:p>
    <w:p w14:paraId="76D21FD9" w14:textId="77777777" w:rsidR="00B97365" w:rsidRDefault="00000000">
      <w:pPr>
        <w:spacing w:before="0" w:after="200" w:line="276" w:lineRule="auto"/>
        <w:jc w:val="left"/>
        <w:rPr>
          <w:szCs w:val="22"/>
          <w:lang w:eastAsia="en-GB" w:bidi="ar-SA"/>
        </w:rPr>
      </w:pPr>
      <w:r>
        <w:rPr>
          <w:szCs w:val="22"/>
          <w:lang w:eastAsia="en-GB" w:bidi="ar-SA"/>
        </w:rPr>
        <w:t>The Profile B has the Fall-Back Attribute set. The Profile A has the Fall-Back Attribute unset.</w:t>
      </w:r>
    </w:p>
    <w:p w14:paraId="761CD1A9"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105" w:name="_Toc37062460"/>
      <w:bookmarkStart w:id="2106" w:name="_Toc88839565"/>
      <w:bookmarkStart w:id="2107" w:name="_Toc121503973"/>
      <w:r>
        <w:rPr>
          <w:rFonts w:eastAsia="Times New Roman" w:cs="Arial"/>
          <w:b/>
          <w:bCs/>
          <w:iCs/>
          <w:sz w:val="24"/>
          <w:szCs w:val="28"/>
          <w:lang w:eastAsia="en-US"/>
        </w:rPr>
        <w:lastRenderedPageBreak/>
        <w:t>Local Enable for Emergency Profile</w:t>
      </w:r>
      <w:bookmarkEnd w:id="2105"/>
      <w:bookmarkEnd w:id="2106"/>
      <w:bookmarkEnd w:id="2107"/>
    </w:p>
    <w:p w14:paraId="4AA4325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@startuml</w:t>
      </w:r>
    </w:p>
    <w:p w14:paraId="182CD7E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0B6382A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0397E9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75F712B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120</w:t>
      </w:r>
    </w:p>
    <w:p w14:paraId="22954DC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54D64CD2"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C4DF99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hide footbox</w:t>
      </w:r>
    </w:p>
    <w:p w14:paraId="166D05E0"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6F872B0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“Device” as DEV #FFFFFF</w:t>
      </w:r>
    </w:p>
    <w:p w14:paraId="2F8B994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“eUICC” as eUICC #FFFFFF</w:t>
      </w:r>
    </w:p>
    <w:p w14:paraId="1983B62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6CF0821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61BC5AF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DEV-&gt;&gt;eUICC : (1) ESx.LocalEnableEmergencyProfile</w:t>
      </w:r>
    </w:p>
    <w:p w14:paraId="11FB8EA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Rnote over eUICC #FFFFF</w:t>
      </w:r>
    </w:p>
    <w:p w14:paraId="7A9B6D7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Verify that the Emergency Profile exists</w:t>
      </w:r>
    </w:p>
    <w:p w14:paraId="37C4145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84C8BB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eUICC--&gt;&gt;DEV : Error</w:t>
      </w:r>
    </w:p>
    <w:p w14:paraId="2B99DED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eUICC #FFFFF</w:t>
      </w:r>
    </w:p>
    <w:p w14:paraId="490626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(3) Verify that the currently Enabled Profile</w:t>
      </w:r>
    </w:p>
    <w:p w14:paraId="0C030B7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is NOT the Emergency Profile</w:t>
      </w:r>
    </w:p>
    <w:p w14:paraId="6BDC2FF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792A19F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eUICC--&gt;&gt;DEV : Error</w:t>
      </w:r>
    </w:p>
    <w:p w14:paraId="5F32C16A"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3932F1A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group Profile switch</w:t>
      </w:r>
    </w:p>
    <w:p w14:paraId="726C531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eUICC #FFFFF</w:t>
      </w:r>
    </w:p>
    <w:p w14:paraId="40BCED54"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(4) Enable Emergency Profile</w:t>
      </w:r>
    </w:p>
    <w:p w14:paraId="2AE9841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B7E02C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eUICC--&gt;&gt;DEV : (5) Success</w:t>
      </w:r>
    </w:p>
    <w:p w14:paraId="0C3D9FF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332F142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eUICC-&gt;&gt;DEV: (6) REFRESH, (UICC reset)</w:t>
      </w:r>
    </w:p>
    <w:p w14:paraId="30262B2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4352A6CD"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eUICC #FFFFFF</w:t>
      </w:r>
    </w:p>
    <w:p w14:paraId="54D5D7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(7) Network attachment with the Emergency Profile</w:t>
      </w:r>
    </w:p>
    <w:p w14:paraId="2AB23E4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130B18C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2BC384D5"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06CBABB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4E88024B" w14:textId="77777777" w:rsidR="00B97365" w:rsidRDefault="00000000">
      <w:pPr>
        <w:rPr>
          <w:rFonts w:cs="Courier New"/>
          <w:noProof/>
          <w:color w:val="008000"/>
          <w:sz w:val="18"/>
          <w:lang w:eastAsia="en-US"/>
        </w:rPr>
      </w:pPr>
      <w:r>
        <w:rPr>
          <w:rFonts w:cs="Courier New"/>
          <w:noProof/>
          <w:color w:val="008000"/>
          <w:sz w:val="18"/>
          <w:lang w:eastAsia="en-GB" w:bidi="ar-SA"/>
        </w:rPr>
        <w:lastRenderedPageBreak/>
        <w:drawing>
          <wp:inline distT="0" distB="0" distL="0" distR="0" wp14:anchorId="62BB3122" wp14:editId="4258C290">
            <wp:extent cx="5731510" cy="4026122"/>
            <wp:effectExtent l="0" t="0" r="2540" b="0"/>
            <wp:docPr id="472" name="Picture 47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r:embed="rId95">
                      <a:extLst>
                        <a:ext uri="{28A0092B-C50C-407E-A947-70E740481C1C}">
                          <a14:useLocalDpi xmlns:a14="http://schemas.microsoft.com/office/drawing/2010/main" val="0"/>
                        </a:ext>
                      </a:extLst>
                    </a:blip>
                    <a:stretch>
                      <a:fillRect/>
                    </a:stretch>
                  </pic:blipFill>
                  <pic:spPr>
                    <a:xfrm>
                      <a:off x="0" y="0"/>
                      <a:ext cx="5731510" cy="4026122"/>
                    </a:xfrm>
                    <a:prstGeom prst="rect">
                      <a:avLst/>
                    </a:prstGeom>
                  </pic:spPr>
                </pic:pic>
              </a:graphicData>
            </a:graphic>
          </wp:inline>
        </w:drawing>
      </w:r>
    </w:p>
    <w:p w14:paraId="52CCDD86"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330: Local Enable of Emergency Profile</w:t>
      </w:r>
    </w:p>
    <w:p w14:paraId="185B3533" w14:textId="77777777" w:rsidR="00B97365" w:rsidRDefault="00000000">
      <w:pPr>
        <w:tabs>
          <w:tab w:val="left" w:pos="397"/>
          <w:tab w:val="right" w:pos="9015"/>
        </w:tabs>
        <w:spacing w:before="0" w:after="40" w:line="276" w:lineRule="auto"/>
        <w:ind w:left="397" w:right="680" w:hanging="397"/>
        <w:jc w:val="left"/>
        <w:rPr>
          <w:b/>
          <w:noProof/>
          <w:szCs w:val="22"/>
          <w:lang w:eastAsia="en-GB" w:bidi="ar-SA"/>
        </w:rPr>
      </w:pPr>
      <w:r>
        <w:rPr>
          <w:rFonts w:cs="Arial"/>
          <w:b/>
          <w:noProof/>
          <w:szCs w:val="22"/>
          <w:lang w:eastAsia="en-GB" w:bidi="ar-SA"/>
        </w:rPr>
        <w:t>Start Conditions:</w:t>
      </w:r>
    </w:p>
    <w:p w14:paraId="7E149EFE" w14:textId="3BB00497" w:rsidR="00B97365" w:rsidRDefault="00000000">
      <w:pPr>
        <w:spacing w:before="0" w:after="200" w:line="276" w:lineRule="auto"/>
        <w:jc w:val="left"/>
        <w:rPr>
          <w:szCs w:val="22"/>
          <w:lang w:eastAsia="en-GB" w:bidi="ar-SA"/>
        </w:rPr>
      </w:pPr>
      <w:r>
        <w:rPr>
          <w:rFonts w:cs="Arial"/>
          <w:szCs w:val="22"/>
          <w:lang w:eastAsia="en-GB" w:bidi="ar-SA"/>
        </w:rPr>
        <w:t xml:space="preserve">The start conditions are described in </w:t>
      </w:r>
      <w:r>
        <w:rPr>
          <w:szCs w:val="22"/>
          <w:lang w:val="en-US" w:eastAsia="en-GB" w:bidi="ar-SA"/>
        </w:rPr>
        <w:t xml:space="preserve">GSMA Remote Provisioning Architecture for the Embedded UICC </w:t>
      </w:r>
      <w:r>
        <w:rPr>
          <w:szCs w:val="22"/>
          <w:lang w:eastAsia="en-GB" w:bidi="ar-SA"/>
        </w:rPr>
        <w:fldChar w:fldCharType="begin"/>
      </w:r>
      <w:r>
        <w:rPr>
          <w:szCs w:val="22"/>
          <w:lang w:eastAsia="en-GB" w:bidi="ar-SA"/>
        </w:rPr>
        <w:instrText xml:space="preserve"> REF _Ref421631399 \r \h </w:instrText>
      </w:r>
      <w:r>
        <w:rPr>
          <w:szCs w:val="22"/>
          <w:lang w:eastAsia="en-GB" w:bidi="ar-SA"/>
        </w:rPr>
      </w:r>
      <w:r>
        <w:rPr>
          <w:szCs w:val="22"/>
          <w:lang w:eastAsia="en-GB" w:bidi="ar-SA"/>
        </w:rPr>
        <w:fldChar w:fldCharType="separate"/>
      </w:r>
      <w:r w:rsidR="001D5AD9">
        <w:rPr>
          <w:szCs w:val="22"/>
          <w:lang w:eastAsia="en-GB" w:bidi="ar-SA"/>
        </w:rPr>
        <w:t>[1]</w:t>
      </w:r>
      <w:r>
        <w:rPr>
          <w:szCs w:val="22"/>
          <w:lang w:eastAsia="en-GB" w:bidi="ar-SA"/>
        </w:rPr>
        <w:fldChar w:fldCharType="end"/>
      </w:r>
      <w:r>
        <w:rPr>
          <w:szCs w:val="22"/>
          <w:lang w:eastAsia="en-GB" w:bidi="ar-SA"/>
        </w:rPr>
        <w:t>.</w:t>
      </w:r>
    </w:p>
    <w:p w14:paraId="782482B0"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2BB68310" w14:textId="77777777" w:rsidR="00B97365" w:rsidRDefault="00000000">
      <w:pPr>
        <w:ind w:left="720" w:hanging="360"/>
        <w:rPr>
          <w:lang w:val="en-US"/>
        </w:rPr>
      </w:pPr>
      <w:r>
        <w:rPr>
          <w:lang w:val="en-US"/>
        </w:rPr>
        <w:t xml:space="preserve">The Device SHALL call the </w:t>
      </w:r>
      <w:r>
        <w:rPr>
          <w:b/>
          <w:lang w:val="en-US"/>
        </w:rPr>
        <w:t>“ESx.LocalEnableEmergencyProfile”</w:t>
      </w:r>
      <w:r>
        <w:rPr>
          <w:lang w:val="en-US"/>
        </w:rPr>
        <w:t xml:space="preserve"> function. </w:t>
      </w:r>
    </w:p>
    <w:p w14:paraId="13CED0A9" w14:textId="77777777" w:rsidR="00B97365" w:rsidRDefault="00000000">
      <w:pPr>
        <w:ind w:left="720" w:hanging="360"/>
        <w:rPr>
          <w:lang w:val="en-US"/>
        </w:rPr>
      </w:pPr>
      <w:r>
        <w:rPr>
          <w:lang w:val="en-US"/>
        </w:rPr>
        <w:t>The eUICC SHALL verify that the Emergency Profile (Profile with the Emergency Profile Attribute set) exists on this eUICC. If the condition to be verified is not satisfied, the eUICC SHALL return a response indicating the failure, and the procedure SHALL end.</w:t>
      </w:r>
    </w:p>
    <w:p w14:paraId="0027A0B1" w14:textId="77777777" w:rsidR="00B97365" w:rsidRDefault="00000000">
      <w:pPr>
        <w:ind w:left="720" w:hanging="360"/>
        <w:rPr>
          <w:lang w:val="en-US"/>
        </w:rPr>
      </w:pPr>
      <w:r>
        <w:rPr>
          <w:lang w:val="en-US"/>
        </w:rPr>
        <w:t>The eUICC SHALL verify that the current Enabled Profile is NOT already the Emergency Profile. If the condition to be verified is not satisfied, the eUICC SHALL return a response indicating that the Emergency Profile is already Enabled, and the procedure SHALL end.</w:t>
      </w:r>
    </w:p>
    <w:p w14:paraId="0B4C49BF" w14:textId="77777777" w:rsidR="00B97365" w:rsidRDefault="00000000">
      <w:pPr>
        <w:ind w:left="720" w:hanging="360"/>
        <w:rPr>
          <w:lang w:val="en-US"/>
        </w:rPr>
      </w:pPr>
      <w:r>
        <w:rPr>
          <w:lang w:val="en-US"/>
        </w:rPr>
        <w:t>The eUICC SHALL NOT enforce POL1 of the currently Enabled Profile, and SHALL disable the currently Enabled Profile and enable the Emergency Profile.</w:t>
      </w:r>
    </w:p>
    <w:p w14:paraId="08B5D4A5" w14:textId="77777777" w:rsidR="00B97365" w:rsidRDefault="00B97365">
      <w:pPr>
        <w:ind w:left="360"/>
      </w:pPr>
    </w:p>
    <w:p w14:paraId="42AB7EE5" w14:textId="06D819A4" w:rsidR="00B97365" w:rsidRDefault="00000000">
      <w:pPr>
        <w:tabs>
          <w:tab w:val="left" w:pos="1560"/>
        </w:tabs>
        <w:spacing w:before="0" w:after="200" w:line="276" w:lineRule="auto"/>
        <w:ind w:left="1559" w:hanging="1202"/>
        <w:jc w:val="left"/>
        <w:rPr>
          <w:szCs w:val="22"/>
          <w:lang w:eastAsia="en-GB" w:bidi="ar-SA"/>
        </w:rPr>
      </w:pPr>
      <w:r>
        <w:rPr>
          <w:rFonts w:cs="Arial"/>
          <w:szCs w:val="22"/>
          <w:lang w:eastAsia="en-GB" w:bidi="ar-SA"/>
        </w:rPr>
        <w:t xml:space="preserve">NOTE: </w:t>
      </w:r>
      <w:r>
        <w:rPr>
          <w:rFonts w:cs="Arial"/>
          <w:szCs w:val="22"/>
          <w:lang w:eastAsia="en-GB" w:bidi="ar-SA"/>
        </w:rPr>
        <w:tab/>
        <w:t xml:space="preserve">Profile change includes a change of the IMSI that is used to attach to the network. As indicated in 3GPP TS 31.102 </w:t>
      </w:r>
      <w:r>
        <w:rPr>
          <w:szCs w:val="22"/>
          <w:lang w:eastAsia="en-GB" w:bidi="ar-SA"/>
        </w:rPr>
        <w:fldChar w:fldCharType="begin"/>
      </w:r>
      <w:r>
        <w:rPr>
          <w:szCs w:val="22"/>
          <w:lang w:eastAsia="en-GB" w:bidi="ar-SA"/>
        </w:rPr>
        <w:instrText xml:space="preserve"> REF _Ref421632746 \r \h  \* MERGEFORMAT </w:instrText>
      </w:r>
      <w:r>
        <w:rPr>
          <w:szCs w:val="22"/>
          <w:lang w:eastAsia="en-GB" w:bidi="ar-SA"/>
        </w:rPr>
      </w:r>
      <w:r>
        <w:rPr>
          <w:szCs w:val="22"/>
          <w:lang w:eastAsia="en-GB" w:bidi="ar-SA"/>
        </w:rPr>
        <w:fldChar w:fldCharType="separate"/>
      </w:r>
      <w:r w:rsidR="001D5AD9">
        <w:rPr>
          <w:szCs w:val="22"/>
          <w:lang w:eastAsia="en-GB" w:bidi="ar-SA"/>
        </w:rPr>
        <w:t>[52]</w:t>
      </w:r>
      <w:r>
        <w:rPr>
          <w:szCs w:val="22"/>
          <w:lang w:eastAsia="en-GB" w:bidi="ar-SA"/>
        </w:rPr>
        <w:fldChar w:fldCharType="end"/>
      </w:r>
      <w:r>
        <w:rPr>
          <w:szCs w:val="22"/>
          <w:lang w:eastAsia="en-GB" w:bidi="ar-SA"/>
        </w:rPr>
        <w:t>, such a change requires special caution and should always be accompanied by a REFRESH command to avoid inconsistent information being read by the terminal. So while the Profile is marked as enabled in this step, it MAY actually become effective after the terminal executes the REFRESH command.</w:t>
      </w:r>
    </w:p>
    <w:p w14:paraId="482FF448" w14:textId="77777777" w:rsidR="00B97365" w:rsidRDefault="00000000">
      <w:pPr>
        <w:ind w:left="720" w:hanging="360"/>
        <w:rPr>
          <w:lang w:val="en-US"/>
        </w:rPr>
      </w:pPr>
      <w:r>
        <w:rPr>
          <w:lang w:val="en-US"/>
        </w:rPr>
        <w:lastRenderedPageBreak/>
        <w:t>The eUICC SHALL return the successful execution status of the “</w:t>
      </w:r>
      <w:r>
        <w:rPr>
          <w:b/>
          <w:lang w:val="en-US"/>
        </w:rPr>
        <w:t>ESx. LocalEnableEmergencyProfile</w:t>
      </w:r>
      <w:r>
        <w:rPr>
          <w:lang w:val="en-US"/>
        </w:rPr>
        <w:t>” command to the Device.</w:t>
      </w:r>
    </w:p>
    <w:p w14:paraId="72BB3FFA" w14:textId="77777777" w:rsidR="00B97365" w:rsidRDefault="00000000">
      <w:pPr>
        <w:ind w:left="720" w:hanging="360"/>
        <w:rPr>
          <w:lang w:val="en-US"/>
        </w:rPr>
      </w:pPr>
      <w:r>
        <w:rPr>
          <w:lang w:val="en-US"/>
        </w:rPr>
        <w:t>The eUICC SHALL send a REFRESH proactive command in UICC reset mode to the Device. This will trigger the execution of a network attach procedure.</w:t>
      </w:r>
    </w:p>
    <w:p w14:paraId="14924126" w14:textId="77777777" w:rsidR="00B97365" w:rsidRDefault="00000000">
      <w:pPr>
        <w:ind w:left="720" w:hanging="360"/>
        <w:rPr>
          <w:lang w:val="en-US"/>
        </w:rPr>
      </w:pPr>
      <w:r>
        <w:rPr>
          <w:lang w:val="en-US"/>
        </w:rPr>
        <w:t>The Device SHALL perform a network attach procedure with the newly enabled Profile.</w:t>
      </w:r>
    </w:p>
    <w:p w14:paraId="49DA14DD" w14:textId="77777777" w:rsidR="00B97365" w:rsidRDefault="00B97365">
      <w:pPr>
        <w:tabs>
          <w:tab w:val="left" w:pos="1560"/>
        </w:tabs>
        <w:ind w:left="1560" w:hanging="1220"/>
        <w:rPr>
          <w:rFonts w:cs="Arial"/>
          <w:lang w:eastAsia="en-GB"/>
        </w:rPr>
      </w:pPr>
    </w:p>
    <w:p w14:paraId="4E5F35C1"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Whether the Emergency Profile provides connectivity to a test network or not, the eUICC will not attempt to enable automatically the previously Enabled Profile. This is in contrast to the remote enable procedures (for example in section 3.2.2).</w:t>
      </w:r>
    </w:p>
    <w:p w14:paraId="359E144A"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108" w:name="_Toc37062461"/>
      <w:bookmarkStart w:id="2109" w:name="_Toc88839566"/>
      <w:bookmarkStart w:id="2110" w:name="_Toc121503974"/>
      <w:r>
        <w:rPr>
          <w:rFonts w:eastAsia="Times New Roman" w:cs="Arial"/>
          <w:b/>
          <w:bCs/>
          <w:iCs/>
          <w:sz w:val="24"/>
          <w:szCs w:val="28"/>
          <w:lang w:eastAsia="en-US"/>
        </w:rPr>
        <w:lastRenderedPageBreak/>
        <w:t>Local Disable for Emergency Profile</w:t>
      </w:r>
      <w:bookmarkEnd w:id="2108"/>
      <w:bookmarkEnd w:id="2109"/>
      <w:bookmarkEnd w:id="2110"/>
    </w:p>
    <w:p w14:paraId="0C7D394C"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@startuml</w:t>
      </w:r>
    </w:p>
    <w:p w14:paraId="3B0BC6FE"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monochrome true</w:t>
      </w:r>
    </w:p>
    <w:p w14:paraId="4DDDC27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ArrowColor Black</w:t>
      </w:r>
    </w:p>
    <w:p w14:paraId="4F79E795"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maxmessagesize 450</w:t>
      </w:r>
    </w:p>
    <w:p w14:paraId="12B61A3F"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ParticipantPadding 100</w:t>
      </w:r>
    </w:p>
    <w:p w14:paraId="6F19919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skinparam sequenceArrowThickness 1</w:t>
      </w:r>
    </w:p>
    <w:p w14:paraId="42F247BC"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63B6CC0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hide footbox</w:t>
      </w:r>
    </w:p>
    <w:p w14:paraId="76BE862E"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p>
    <w:p w14:paraId="062E77CB"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fr-FR"/>
        </w:rPr>
      </w:pPr>
      <w:r>
        <w:rPr>
          <w:rFonts w:ascii="Courier New" w:hAnsi="Courier New" w:cs="Courier New"/>
          <w:noProof/>
          <w:color w:val="008000"/>
          <w:sz w:val="18"/>
          <w:lang w:val="fr-FR"/>
        </w:rPr>
        <w:t>participant “Device” as DEV #FFFFFF</w:t>
      </w:r>
    </w:p>
    <w:p w14:paraId="3FB65B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participant “eUICC” as ISDR #FFFFFF</w:t>
      </w:r>
    </w:p>
    <w:p w14:paraId="51E3CC0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2B17EAA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DEV-&gt;&gt;ISDR : (1) ESx.LocalDisableEmergencyProfile</w:t>
      </w:r>
    </w:p>
    <w:p w14:paraId="4F922A5D"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p>
    <w:p w14:paraId="35700AE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lang w:val="en-US"/>
        </w:rPr>
      </w:pPr>
      <w:r>
        <w:rPr>
          <w:rFonts w:ascii="Courier New" w:hAnsi="Courier New" w:cs="Courier New"/>
          <w:noProof/>
          <w:color w:val="008000"/>
          <w:sz w:val="18"/>
          <w:lang w:val="en-US"/>
        </w:rPr>
        <w:t>Rnote over ISDR  #FFFFF</w:t>
      </w:r>
    </w:p>
    <w:p w14:paraId="265E0C1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(2) Verify that the currently Enabled profile</w:t>
      </w:r>
    </w:p>
    <w:p w14:paraId="0102AA9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is the Emergency  Profile</w:t>
      </w:r>
    </w:p>
    <w:p w14:paraId="5E5753B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5732C2A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 Error</w:t>
      </w:r>
    </w:p>
    <w:p w14:paraId="5161A687" w14:textId="77777777" w:rsidR="00B97365" w:rsidRDefault="00B97365">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p>
    <w:p w14:paraId="2A3E758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group Profile switch</w:t>
      </w:r>
    </w:p>
    <w:p w14:paraId="3930099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ISDR  #FFFFF</w:t>
      </w:r>
    </w:p>
    <w:p w14:paraId="02EC091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(3) Disable Emergency Profile and </w:t>
      </w:r>
    </w:p>
    <w:p w14:paraId="3425BC81"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 xml:space="preserve">      enable previously Enabled Profile</w:t>
      </w:r>
    </w:p>
    <w:p w14:paraId="26BD7217"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4CCEA2F0"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 (4) Sucess</w:t>
      </w:r>
    </w:p>
    <w:p w14:paraId="2E4DAF1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7542363A"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ISDR-&gt;&gt;DEV: (5) REFRESH, (UICC reset)</w:t>
      </w:r>
    </w:p>
    <w:p w14:paraId="08275678"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w:t>
      </w:r>
    </w:p>
    <w:p w14:paraId="682CF5C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Rnote over DEV, ISDR #FFFFFF</w:t>
      </w:r>
    </w:p>
    <w:p w14:paraId="1FDD0E36"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(6) Network attachment with the Enabled Profile</w:t>
      </w:r>
    </w:p>
    <w:p w14:paraId="7E76F552"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Endrnote</w:t>
      </w:r>
    </w:p>
    <w:p w14:paraId="34AE4479"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w:t>
      </w:r>
    </w:p>
    <w:p w14:paraId="1C85AF33" w14:textId="77777777" w:rsidR="00B97365" w:rsidRDefault="00000000">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hAnsi="Courier New" w:cs="Courier New"/>
          <w:noProof/>
          <w:color w:val="008000"/>
          <w:sz w:val="18"/>
        </w:rPr>
      </w:pPr>
      <w:r>
        <w:rPr>
          <w:rFonts w:ascii="Courier New" w:hAnsi="Courier New" w:cs="Courier New"/>
          <w:noProof/>
          <w:color w:val="008000"/>
          <w:sz w:val="18"/>
        </w:rPr>
        <w:t>@enduml</w:t>
      </w:r>
    </w:p>
    <w:p w14:paraId="4F9EF7D1" w14:textId="77777777" w:rsidR="00B97365" w:rsidRDefault="00000000">
      <w:pPr>
        <w:keepNext/>
        <w:rPr>
          <w:rFonts w:cs="Courier New"/>
          <w:noProof/>
          <w:color w:val="008000"/>
          <w:sz w:val="18"/>
          <w:lang w:eastAsia="en-US"/>
        </w:rPr>
      </w:pPr>
      <w:r>
        <w:rPr>
          <w:rFonts w:cs="Courier New"/>
          <w:noProof/>
          <w:color w:val="008000"/>
          <w:sz w:val="18"/>
          <w:lang w:eastAsia="en-GB" w:bidi="ar-SA"/>
        </w:rPr>
        <w:drawing>
          <wp:inline distT="0" distB="0" distL="0" distR="0" wp14:anchorId="622CE6A7" wp14:editId="6F99746C">
            <wp:extent cx="5448300" cy="3905250"/>
            <wp:effectExtent l="0" t="0" r="0" b="0"/>
            <wp:docPr id="473" name="Picture 47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
                    <pic:cNvPicPr/>
                  </pic:nvPicPr>
                  <pic:blipFill>
                    <a:blip r:embed="rId96">
                      <a:extLst>
                        <a:ext uri="{28A0092B-C50C-407E-A947-70E740481C1C}">
                          <a14:useLocalDpi xmlns:a14="http://schemas.microsoft.com/office/drawing/2010/main" val="0"/>
                        </a:ext>
                      </a:extLst>
                    </a:blip>
                    <a:stretch>
                      <a:fillRect/>
                    </a:stretch>
                  </pic:blipFill>
                  <pic:spPr>
                    <a:xfrm>
                      <a:off x="0" y="0"/>
                      <a:ext cx="5448300" cy="3905250"/>
                    </a:xfrm>
                    <a:prstGeom prst="rect">
                      <a:avLst/>
                    </a:prstGeom>
                  </pic:spPr>
                </pic:pic>
              </a:graphicData>
            </a:graphic>
          </wp:inline>
        </w:drawing>
      </w:r>
    </w:p>
    <w:p w14:paraId="2095E0EC" w14:textId="77777777" w:rsidR="00B97365" w:rsidRDefault="00000000">
      <w:pPr>
        <w:keepNext/>
        <w:spacing w:after="320" w:line="276" w:lineRule="auto"/>
        <w:jc w:val="center"/>
        <w:rPr>
          <w:rFonts w:cs="Arial"/>
          <w:b/>
          <w:szCs w:val="22"/>
          <w:lang w:eastAsia="de-DE" w:bidi="ar-SA"/>
        </w:rPr>
      </w:pPr>
      <w:r>
        <w:rPr>
          <w:rFonts w:cs="Arial"/>
          <w:b/>
          <w:szCs w:val="22"/>
          <w:lang w:eastAsia="de-DE" w:bidi="ar-SA"/>
        </w:rPr>
        <w:lastRenderedPageBreak/>
        <w:t>Figure 331: Local Disable of Emergency Profile</w:t>
      </w:r>
    </w:p>
    <w:p w14:paraId="30E288F7" w14:textId="77777777" w:rsidR="00B97365" w:rsidRDefault="00000000">
      <w:pPr>
        <w:tabs>
          <w:tab w:val="left" w:pos="397"/>
          <w:tab w:val="right" w:pos="9015"/>
        </w:tabs>
        <w:spacing w:before="0" w:after="40" w:line="276" w:lineRule="auto"/>
        <w:ind w:left="397" w:right="680" w:hanging="397"/>
        <w:jc w:val="left"/>
        <w:rPr>
          <w:b/>
          <w:noProof/>
          <w:szCs w:val="22"/>
          <w:lang w:val="en-US" w:eastAsia="en-GB" w:bidi="ar-SA"/>
        </w:rPr>
      </w:pPr>
      <w:r>
        <w:rPr>
          <w:rFonts w:cs="Arial"/>
          <w:b/>
          <w:noProof/>
          <w:szCs w:val="22"/>
          <w:lang w:val="en-US" w:eastAsia="en-GB" w:bidi="ar-SA"/>
        </w:rPr>
        <w:t>Start Conditions:</w:t>
      </w:r>
    </w:p>
    <w:p w14:paraId="7DAD2D4A" w14:textId="13861CC4"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start conditions are described in GSMA Remote Provisioning Architecture for the Embedded UICC </w:t>
      </w:r>
      <w:r>
        <w:rPr>
          <w:szCs w:val="22"/>
          <w:lang w:val="en-US" w:eastAsia="en-GB" w:bidi="ar-SA"/>
        </w:rPr>
        <w:fldChar w:fldCharType="begin"/>
      </w:r>
      <w:r>
        <w:rPr>
          <w:szCs w:val="22"/>
          <w:lang w:val="en-US" w:eastAsia="en-GB" w:bidi="ar-SA"/>
        </w:rPr>
        <w:instrText xml:space="preserve"> REF _Ref421631399 \r \h </w:instrText>
      </w:r>
      <w:r>
        <w:rPr>
          <w:szCs w:val="22"/>
          <w:lang w:val="en-US" w:eastAsia="en-GB" w:bidi="ar-SA"/>
        </w:rPr>
      </w:r>
      <w:r>
        <w:rPr>
          <w:szCs w:val="22"/>
          <w:lang w:val="en-US" w:eastAsia="en-GB" w:bidi="ar-SA"/>
        </w:rPr>
        <w:fldChar w:fldCharType="separate"/>
      </w:r>
      <w:r w:rsidR="001D5AD9">
        <w:rPr>
          <w:szCs w:val="22"/>
          <w:lang w:val="en-US" w:eastAsia="en-GB" w:bidi="ar-SA"/>
        </w:rPr>
        <w:t>[1]</w:t>
      </w:r>
      <w:r>
        <w:rPr>
          <w:szCs w:val="22"/>
          <w:lang w:val="en-US" w:eastAsia="en-GB" w:bidi="ar-SA"/>
        </w:rPr>
        <w:fldChar w:fldCharType="end"/>
      </w:r>
      <w:r>
        <w:rPr>
          <w:szCs w:val="22"/>
          <w:lang w:val="en-US" w:eastAsia="en-GB" w:bidi="ar-SA"/>
        </w:rPr>
        <w:t>.</w:t>
      </w:r>
    </w:p>
    <w:p w14:paraId="77AF6D9C" w14:textId="77777777" w:rsidR="00B97365" w:rsidRDefault="00000000">
      <w:pPr>
        <w:tabs>
          <w:tab w:val="left" w:pos="397"/>
          <w:tab w:val="right" w:pos="9015"/>
        </w:tabs>
        <w:spacing w:before="0" w:after="40" w:line="276" w:lineRule="auto"/>
        <w:ind w:left="397" w:right="680" w:hanging="397"/>
        <w:jc w:val="left"/>
        <w:rPr>
          <w:b/>
          <w:noProof/>
          <w:szCs w:val="22"/>
        </w:rPr>
      </w:pPr>
      <w:r>
        <w:rPr>
          <w:rFonts w:cs="Arial"/>
          <w:b/>
          <w:noProof/>
          <w:szCs w:val="22"/>
        </w:rPr>
        <w:t>Procedure:</w:t>
      </w:r>
    </w:p>
    <w:p w14:paraId="200CF215" w14:textId="77777777" w:rsidR="00B97365" w:rsidRDefault="00000000">
      <w:pPr>
        <w:numPr>
          <w:ilvl w:val="0"/>
          <w:numId w:val="130"/>
        </w:numPr>
        <w:rPr>
          <w:lang w:val="en-US"/>
        </w:rPr>
      </w:pPr>
      <w:r>
        <w:rPr>
          <w:lang w:val="en-US"/>
        </w:rPr>
        <w:t xml:space="preserve">The Device SHALL call the </w:t>
      </w:r>
      <w:r>
        <w:rPr>
          <w:b/>
          <w:lang w:val="en-US"/>
        </w:rPr>
        <w:t>“ESx.LocalDisableEmergencyProfile”</w:t>
      </w:r>
      <w:r>
        <w:rPr>
          <w:lang w:val="en-US"/>
        </w:rPr>
        <w:t xml:space="preserve"> function. </w:t>
      </w:r>
    </w:p>
    <w:p w14:paraId="2BAFE593" w14:textId="77777777" w:rsidR="00B97365" w:rsidRDefault="00000000">
      <w:pPr>
        <w:ind w:left="720" w:hanging="360"/>
        <w:rPr>
          <w:lang w:val="en-US"/>
        </w:rPr>
      </w:pPr>
      <w:r>
        <w:rPr>
          <w:lang w:val="en-US"/>
        </w:rPr>
        <w:t>The eUICC SHALL verify that the currently Enabled Profile is the Emergency Profile (Emergency Profile attribute set). If the condition to be verified is not satisfied, the eUICC SHALL return a response indicating that the Emergency Profile is not Enabled, and the procedure SHALL end.</w:t>
      </w:r>
    </w:p>
    <w:p w14:paraId="1606F8FE" w14:textId="77777777" w:rsidR="00B97365" w:rsidRDefault="00000000">
      <w:pPr>
        <w:ind w:left="720" w:hanging="360"/>
        <w:rPr>
          <w:lang w:val="en-US"/>
        </w:rPr>
      </w:pPr>
      <w:r>
        <w:rPr>
          <w:lang w:val="en-US"/>
        </w:rPr>
        <w:t xml:space="preserve">The eUICC SHALL NOT enforce POL1 of the Enabled Emergency Profile, and SHALL disable the Emergency Profile and enable the previously Enabled Profile. </w:t>
      </w:r>
    </w:p>
    <w:p w14:paraId="248AF1C8" w14:textId="77777777" w:rsidR="00B97365" w:rsidRDefault="00B97365">
      <w:pPr>
        <w:tabs>
          <w:tab w:val="left" w:pos="1560"/>
        </w:tabs>
        <w:ind w:left="1560" w:hanging="1220"/>
        <w:rPr>
          <w:rFonts w:cs="Arial"/>
          <w:lang w:eastAsia="en-GB"/>
        </w:rPr>
      </w:pPr>
    </w:p>
    <w:p w14:paraId="016A4067"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The previously Enabled Profile is the Profile that was Enabled, before the Emergency Profile was enabled by the “ESx.LocalEnableEmergencyProfile”  command.</w:t>
      </w:r>
    </w:p>
    <w:p w14:paraId="6435727A" w14:textId="77777777" w:rsidR="00B97365" w:rsidRDefault="00000000">
      <w:pPr>
        <w:ind w:left="720" w:hanging="360"/>
        <w:rPr>
          <w:lang w:val="en-US"/>
        </w:rPr>
      </w:pPr>
      <w:r>
        <w:rPr>
          <w:lang w:val="en-US"/>
        </w:rPr>
        <w:t>The eUICC SHALL return the successful execution status of the “</w:t>
      </w:r>
      <w:r>
        <w:rPr>
          <w:b/>
          <w:lang w:val="en-US"/>
        </w:rPr>
        <w:t>ESx.LocalDisableEmergencyProfile</w:t>
      </w:r>
      <w:r>
        <w:rPr>
          <w:lang w:val="en-US"/>
        </w:rPr>
        <w:t>” command to the Device.</w:t>
      </w:r>
    </w:p>
    <w:p w14:paraId="7175A1F6" w14:textId="77777777" w:rsidR="00B97365" w:rsidRDefault="00000000">
      <w:pPr>
        <w:ind w:left="720" w:hanging="360"/>
        <w:rPr>
          <w:lang w:val="en-US"/>
        </w:rPr>
      </w:pPr>
      <w:r>
        <w:rPr>
          <w:lang w:val="en-US"/>
        </w:rPr>
        <w:t>The eUICC SHALL send a REFRESH proactive command in UICC reset mode to the Device. This will trigger the execution of a network attach procedure.</w:t>
      </w:r>
    </w:p>
    <w:p w14:paraId="48D35865" w14:textId="77777777" w:rsidR="00B97365" w:rsidRDefault="00000000">
      <w:pPr>
        <w:ind w:left="720" w:hanging="360"/>
        <w:rPr>
          <w:lang w:val="en-US"/>
        </w:rPr>
      </w:pPr>
      <w:r>
        <w:rPr>
          <w:lang w:val="en-US"/>
        </w:rPr>
        <w:t>The eUICC and the Device SHALL perform a network attach procedure with the newly Enabled Profile.</w:t>
      </w:r>
    </w:p>
    <w:p w14:paraId="6EF3089C" w14:textId="77777777" w:rsidR="00B97365" w:rsidRDefault="00000000">
      <w:pPr>
        <w:spacing w:before="0" w:after="160" w:line="259" w:lineRule="auto"/>
        <w:jc w:val="left"/>
        <w:rPr>
          <w:szCs w:val="22"/>
        </w:rPr>
      </w:pPr>
      <w:r>
        <w:rPr>
          <w:szCs w:val="22"/>
        </w:rPr>
        <w:t xml:space="preserve">Dependent on the configuration of the eUICC, the eUICC MAY send a Notification about the </w:t>
      </w:r>
      <w:r>
        <w:rPr>
          <w:lang w:val="en-US" w:eastAsia="en-GB"/>
        </w:rPr>
        <w:t>Profile change after Emergency Profile disabling</w:t>
      </w:r>
      <w:r>
        <w:rPr>
          <w:szCs w:val="22"/>
        </w:rPr>
        <w:t xml:space="preserve"> to the SM-SR.</w:t>
      </w:r>
    </w:p>
    <w:p w14:paraId="7C9E346A" w14:textId="77777777" w:rsidR="00B97365" w:rsidRDefault="00000000">
      <w:pPr>
        <w:keepNext/>
        <w:keepLines/>
        <w:numPr>
          <w:ilvl w:val="0"/>
          <w:numId w:val="1"/>
        </w:numPr>
        <w:spacing w:before="360" w:after="60" w:line="276" w:lineRule="auto"/>
        <w:jc w:val="left"/>
        <w:outlineLvl w:val="0"/>
        <w:rPr>
          <w:rFonts w:eastAsia="Times New Roman" w:cs="Arial"/>
          <w:sz w:val="28"/>
          <w:szCs w:val="32"/>
          <w:lang w:eastAsia="en-US"/>
        </w:rPr>
      </w:pPr>
      <w:bookmarkStart w:id="2111" w:name="_Toc421885585"/>
      <w:bookmarkStart w:id="2112" w:name="_Toc421885964"/>
      <w:bookmarkStart w:id="2113" w:name="_Ref367967900"/>
      <w:bookmarkStart w:id="2114" w:name="_Toc368932224"/>
      <w:bookmarkStart w:id="2115" w:name="_Toc374348500"/>
      <w:bookmarkStart w:id="2116" w:name="_Toc375158251"/>
      <w:bookmarkStart w:id="2117" w:name="_Toc398214835"/>
      <w:bookmarkStart w:id="2118" w:name="_Toc420594401"/>
      <w:bookmarkStart w:id="2119" w:name="_Toc421874294"/>
      <w:bookmarkStart w:id="2120" w:name="_Toc422150714"/>
      <w:bookmarkStart w:id="2121" w:name="_Toc448998240"/>
      <w:bookmarkStart w:id="2122" w:name="_Toc486332858"/>
      <w:bookmarkStart w:id="2123" w:name="_Toc1977303"/>
      <w:bookmarkStart w:id="2124" w:name="_Toc37062462"/>
      <w:bookmarkStart w:id="2125" w:name="_Toc88839567"/>
      <w:bookmarkStart w:id="2126" w:name="_Toc121503975"/>
      <w:bookmarkStart w:id="2127" w:name="_Toc353545716"/>
      <w:bookmarkEnd w:id="2111"/>
      <w:bookmarkEnd w:id="2112"/>
      <w:r>
        <w:rPr>
          <w:rFonts w:eastAsia="Times New Roman" w:cs="Arial"/>
          <w:b/>
          <w:bCs/>
          <w:sz w:val="28"/>
          <w:szCs w:val="32"/>
          <w:lang w:eastAsia="en-US"/>
        </w:rPr>
        <w:t>eUICC Interface Descriptions</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5C4DCE8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section contains the technical descriptions of those interfaces within the Remote Provisioning and Management system involving the eUICC directly, including the following:</w:t>
      </w:r>
    </w:p>
    <w:p w14:paraId="2FF7F86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ES5, interface between the SM-SR and the eUICC.</w:t>
      </w:r>
    </w:p>
    <w:p w14:paraId="5701D44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ES6, interface between the Operator and the eUICC</w:t>
      </w:r>
    </w:p>
    <w:p w14:paraId="7C394C2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ES8, interface between the SM-DP and the eUICC.</w:t>
      </w:r>
    </w:p>
    <w:p w14:paraId="3D2A91D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ESx, interface between the Device and the eUICC.</w:t>
      </w:r>
    </w:p>
    <w:p w14:paraId="252A9923" w14:textId="77777777" w:rsidR="00B97365" w:rsidRDefault="00B97365">
      <w:pPr>
        <w:spacing w:before="0" w:line="276" w:lineRule="auto"/>
        <w:jc w:val="left"/>
        <w:rPr>
          <w:rFonts w:cs="Arial"/>
          <w:szCs w:val="22"/>
          <w:lang w:val="en-US" w:eastAsia="en-GB" w:bidi="ar-SA"/>
        </w:rPr>
      </w:pPr>
    </w:p>
    <w:p w14:paraId="6E41A2F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table presents the normative list of all the functions that are defined in this section.</w:t>
      </w:r>
    </w:p>
    <w:p w14:paraId="6716A47E" w14:textId="77777777" w:rsidR="00B97365" w:rsidRDefault="00000000">
      <w:pPr>
        <w:spacing w:before="0" w:line="276" w:lineRule="auto"/>
        <w:jc w:val="left"/>
        <w:rPr>
          <w:rFonts w:cs="Arial"/>
          <w:szCs w:val="22"/>
          <w:lang w:val="en-US" w:eastAsia="en-GB" w:bidi="ar-SA"/>
        </w:rPr>
      </w:pPr>
      <w:r>
        <w:rPr>
          <w:rFonts w:cs="Arial"/>
          <w:szCs w:val="22"/>
          <w:lang w:val="en-US" w:eastAsia="en-GB" w:bidi="ar-SA"/>
        </w:rPr>
        <w:t>Request-response functions:</w:t>
      </w:r>
    </w:p>
    <w:tbl>
      <w:tblPr>
        <w:tblpPr w:leftFromText="180" w:rightFromText="180" w:vertAnchor="text" w:horzAnchor="margin" w:tblpY="3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890"/>
        <w:gridCol w:w="3422"/>
        <w:gridCol w:w="2600"/>
      </w:tblGrid>
      <w:tr w:rsidR="00B97365" w14:paraId="1FA640CE" w14:textId="77777777">
        <w:trPr>
          <w:cantSplit/>
          <w:trHeight w:val="54"/>
        </w:trPr>
        <w:tc>
          <w:tcPr>
            <w:tcW w:w="612"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6AB154DB" w14:textId="77777777" w:rsidR="00B97365" w:rsidRDefault="00000000">
            <w:pPr>
              <w:jc w:val="center"/>
              <w:rPr>
                <w:rFonts w:cs="Calibri"/>
                <w:b/>
                <w:color w:val="FFFFFF"/>
                <w:sz w:val="16"/>
                <w:szCs w:val="16"/>
              </w:rPr>
            </w:pPr>
            <w:r>
              <w:rPr>
                <w:rFonts w:cs="Calibri"/>
                <w:b/>
                <w:color w:val="FFFFFF"/>
                <w:sz w:val="16"/>
                <w:szCs w:val="16"/>
              </w:rPr>
              <w:t>Interface</w:t>
            </w:r>
          </w:p>
        </w:tc>
        <w:tc>
          <w:tcPr>
            <w:tcW w:w="1048"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301142A8" w14:textId="77777777" w:rsidR="00B97365" w:rsidRDefault="00000000">
            <w:pPr>
              <w:jc w:val="center"/>
              <w:rPr>
                <w:rFonts w:cs="Calibri"/>
                <w:b/>
                <w:color w:val="FFFFFF"/>
                <w:sz w:val="16"/>
                <w:szCs w:val="16"/>
              </w:rPr>
            </w:pPr>
            <w:r>
              <w:rPr>
                <w:rFonts w:cs="Calibri"/>
                <w:b/>
                <w:color w:val="FFFFFF"/>
                <w:sz w:val="16"/>
                <w:szCs w:val="16"/>
              </w:rPr>
              <w:t>Function group</w:t>
            </w:r>
          </w:p>
        </w:tc>
        <w:tc>
          <w:tcPr>
            <w:tcW w:w="1898"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2136EC7E" w14:textId="77777777" w:rsidR="00B97365" w:rsidRDefault="00000000">
            <w:pPr>
              <w:jc w:val="center"/>
              <w:rPr>
                <w:rFonts w:cs="Calibri"/>
                <w:b/>
                <w:color w:val="FFFFFF"/>
                <w:sz w:val="16"/>
                <w:szCs w:val="16"/>
              </w:rPr>
            </w:pPr>
            <w:r>
              <w:rPr>
                <w:rFonts w:cs="Calibri"/>
                <w:b/>
                <w:color w:val="FFFFFF"/>
                <w:sz w:val="16"/>
                <w:szCs w:val="16"/>
              </w:rPr>
              <w:t xml:space="preserve">Functions </w:t>
            </w:r>
          </w:p>
        </w:tc>
        <w:tc>
          <w:tcPr>
            <w:tcW w:w="1442"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531B5FDC" w14:textId="77777777" w:rsidR="00B97365" w:rsidRDefault="00000000">
            <w:pPr>
              <w:jc w:val="center"/>
              <w:rPr>
                <w:rFonts w:cs="Calibri"/>
                <w:b/>
                <w:color w:val="FFFFFF"/>
                <w:sz w:val="16"/>
                <w:szCs w:val="16"/>
              </w:rPr>
            </w:pPr>
            <w:r>
              <w:rPr>
                <w:rFonts w:cs="Calibri"/>
                <w:b/>
                <w:color w:val="FFFFFF"/>
                <w:sz w:val="16"/>
                <w:szCs w:val="16"/>
              </w:rPr>
              <w:t>Function</w:t>
            </w:r>
          </w:p>
          <w:p w14:paraId="5C395CB4" w14:textId="77777777" w:rsidR="00B97365" w:rsidRDefault="00000000">
            <w:pPr>
              <w:jc w:val="center"/>
              <w:rPr>
                <w:rFonts w:cs="Calibri"/>
                <w:b/>
                <w:color w:val="FFFFFF"/>
                <w:sz w:val="16"/>
                <w:szCs w:val="16"/>
              </w:rPr>
            </w:pPr>
            <w:r>
              <w:rPr>
                <w:rFonts w:cs="Calibri"/>
                <w:b/>
                <w:color w:val="FFFFFF"/>
                <w:sz w:val="16"/>
                <w:szCs w:val="16"/>
              </w:rPr>
              <w:t>provider entity</w:t>
            </w:r>
          </w:p>
        </w:tc>
      </w:tr>
      <w:tr w:rsidR="00B97365" w14:paraId="26314FAA" w14:textId="77777777">
        <w:trPr>
          <w:cantSplit/>
          <w:trHeight w:val="277"/>
        </w:trPr>
        <w:tc>
          <w:tcPr>
            <w:tcW w:w="612" w:type="pct"/>
            <w:vMerge w:val="restart"/>
            <w:tcBorders>
              <w:top w:val="single" w:sz="4" w:space="0" w:color="auto"/>
              <w:left w:val="single" w:sz="4" w:space="0" w:color="auto"/>
              <w:bottom w:val="single" w:sz="4" w:space="0" w:color="auto"/>
              <w:right w:val="single" w:sz="4" w:space="0" w:color="auto"/>
            </w:tcBorders>
            <w:vAlign w:val="center"/>
            <w:hideMark/>
          </w:tcPr>
          <w:p w14:paraId="4810E964" w14:textId="77777777" w:rsidR="00B97365" w:rsidRDefault="00000000">
            <w:pPr>
              <w:rPr>
                <w:rFonts w:cs="Calibri"/>
                <w:sz w:val="16"/>
                <w:szCs w:val="16"/>
              </w:rPr>
            </w:pPr>
            <w:r>
              <w:rPr>
                <w:rFonts w:cs="Calibri"/>
                <w:sz w:val="16"/>
                <w:szCs w:val="16"/>
              </w:rPr>
              <w:t>ES5</w:t>
            </w:r>
          </w:p>
        </w:tc>
        <w:tc>
          <w:tcPr>
            <w:tcW w:w="1048" w:type="pct"/>
            <w:vMerge w:val="restart"/>
            <w:tcBorders>
              <w:top w:val="single" w:sz="4" w:space="0" w:color="auto"/>
              <w:left w:val="single" w:sz="4" w:space="0" w:color="auto"/>
              <w:right w:val="single" w:sz="4" w:space="0" w:color="auto"/>
            </w:tcBorders>
            <w:vAlign w:val="center"/>
            <w:hideMark/>
          </w:tcPr>
          <w:p w14:paraId="4BD670E7" w14:textId="77777777" w:rsidR="00B97365" w:rsidRDefault="00000000">
            <w:pPr>
              <w:rPr>
                <w:rFonts w:cs="Calibri"/>
                <w:sz w:val="16"/>
                <w:szCs w:val="16"/>
              </w:rPr>
            </w:pPr>
            <w:r>
              <w:rPr>
                <w:rFonts w:cs="Calibri"/>
                <w:sz w:val="16"/>
                <w:szCs w:val="16"/>
              </w:rPr>
              <w:t>Platform Management</w:t>
            </w:r>
          </w:p>
        </w:tc>
        <w:tc>
          <w:tcPr>
            <w:tcW w:w="1898" w:type="pct"/>
            <w:tcBorders>
              <w:top w:val="single" w:sz="4" w:space="0" w:color="auto"/>
              <w:left w:val="single" w:sz="4" w:space="0" w:color="auto"/>
              <w:bottom w:val="single" w:sz="4" w:space="0" w:color="auto"/>
              <w:right w:val="single" w:sz="4" w:space="0" w:color="auto"/>
            </w:tcBorders>
            <w:vAlign w:val="center"/>
            <w:hideMark/>
          </w:tcPr>
          <w:p w14:paraId="7CB62402" w14:textId="77777777" w:rsidR="00B97365" w:rsidRDefault="00000000">
            <w:pPr>
              <w:rPr>
                <w:rFonts w:cs="Calibri"/>
                <w:sz w:val="16"/>
                <w:szCs w:val="16"/>
              </w:rPr>
            </w:pPr>
            <w:r>
              <w:rPr>
                <w:rFonts w:cs="Calibri"/>
                <w:sz w:val="16"/>
                <w:szCs w:val="16"/>
              </w:rPr>
              <w:t>CreateISDP</w:t>
            </w:r>
          </w:p>
        </w:tc>
        <w:tc>
          <w:tcPr>
            <w:tcW w:w="1442" w:type="pct"/>
            <w:vMerge w:val="restart"/>
            <w:tcBorders>
              <w:top w:val="single" w:sz="4" w:space="0" w:color="auto"/>
              <w:left w:val="single" w:sz="4" w:space="0" w:color="auto"/>
              <w:bottom w:val="single" w:sz="4" w:space="0" w:color="auto"/>
              <w:right w:val="single" w:sz="4" w:space="0" w:color="auto"/>
            </w:tcBorders>
            <w:vAlign w:val="center"/>
            <w:hideMark/>
          </w:tcPr>
          <w:p w14:paraId="7290559D" w14:textId="77777777" w:rsidR="00B97365" w:rsidRDefault="00000000">
            <w:pPr>
              <w:jc w:val="center"/>
              <w:rPr>
                <w:rFonts w:cs="Calibri"/>
                <w:sz w:val="16"/>
                <w:szCs w:val="16"/>
              </w:rPr>
            </w:pPr>
            <w:r>
              <w:rPr>
                <w:rFonts w:cs="Calibri"/>
                <w:sz w:val="16"/>
                <w:szCs w:val="16"/>
              </w:rPr>
              <w:t>ISD-R</w:t>
            </w:r>
          </w:p>
        </w:tc>
      </w:tr>
      <w:tr w:rsidR="00B97365" w14:paraId="1BBA3F68" w14:textId="77777777">
        <w:trPr>
          <w:cantSplit/>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9E853" w14:textId="77777777" w:rsidR="00B97365" w:rsidRDefault="00B97365">
            <w:pPr>
              <w:spacing w:before="0"/>
              <w:jc w:val="left"/>
              <w:rPr>
                <w:rFonts w:cs="Calibri"/>
                <w:sz w:val="16"/>
                <w:szCs w:val="16"/>
              </w:rPr>
            </w:pPr>
          </w:p>
        </w:tc>
        <w:tc>
          <w:tcPr>
            <w:tcW w:w="0" w:type="auto"/>
            <w:vMerge/>
            <w:tcBorders>
              <w:left w:val="single" w:sz="4" w:space="0" w:color="auto"/>
              <w:right w:val="single" w:sz="4" w:space="0" w:color="auto"/>
            </w:tcBorders>
            <w:vAlign w:val="center"/>
            <w:hideMark/>
          </w:tcPr>
          <w:p w14:paraId="78E2A180"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295A942D" w14:textId="77777777" w:rsidR="00B97365" w:rsidRDefault="00000000">
            <w:pPr>
              <w:rPr>
                <w:rFonts w:cs="Calibri"/>
                <w:sz w:val="16"/>
                <w:szCs w:val="16"/>
              </w:rPr>
            </w:pPr>
            <w:r>
              <w:rPr>
                <w:rFonts w:cs="Calibri"/>
                <w:sz w:val="16"/>
                <w:szCs w:val="16"/>
              </w:rPr>
              <w:t>EnableProfile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352C0" w14:textId="77777777" w:rsidR="00B97365" w:rsidRDefault="00B97365">
            <w:pPr>
              <w:spacing w:before="0"/>
              <w:jc w:val="left"/>
              <w:rPr>
                <w:rFonts w:cs="Calibri"/>
                <w:sz w:val="16"/>
                <w:szCs w:val="16"/>
              </w:rPr>
            </w:pPr>
          </w:p>
        </w:tc>
      </w:tr>
      <w:tr w:rsidR="00B97365" w14:paraId="513A5557" w14:textId="77777777">
        <w:trPr>
          <w:cantSplit/>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F4056" w14:textId="77777777" w:rsidR="00B97365" w:rsidRDefault="00B97365">
            <w:pPr>
              <w:spacing w:before="0"/>
              <w:jc w:val="left"/>
              <w:rPr>
                <w:rFonts w:cs="Calibri"/>
                <w:sz w:val="16"/>
                <w:szCs w:val="16"/>
              </w:rPr>
            </w:pPr>
          </w:p>
        </w:tc>
        <w:tc>
          <w:tcPr>
            <w:tcW w:w="0" w:type="auto"/>
            <w:vMerge/>
            <w:tcBorders>
              <w:left w:val="single" w:sz="4" w:space="0" w:color="auto"/>
              <w:right w:val="single" w:sz="4" w:space="0" w:color="auto"/>
            </w:tcBorders>
            <w:vAlign w:val="center"/>
            <w:hideMark/>
          </w:tcPr>
          <w:p w14:paraId="70F40EFD"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5DEFE164" w14:textId="77777777" w:rsidR="00B97365" w:rsidRDefault="00000000">
            <w:pPr>
              <w:rPr>
                <w:rFonts w:cs="Calibri"/>
                <w:sz w:val="16"/>
                <w:szCs w:val="16"/>
              </w:rPr>
            </w:pPr>
            <w:r>
              <w:rPr>
                <w:rFonts w:cs="Calibri"/>
                <w:sz w:val="16"/>
                <w:szCs w:val="16"/>
              </w:rPr>
              <w:t>DisableProfile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69F4E" w14:textId="77777777" w:rsidR="00B97365" w:rsidRDefault="00B97365">
            <w:pPr>
              <w:spacing w:before="0"/>
              <w:jc w:val="left"/>
              <w:rPr>
                <w:rFonts w:cs="Calibri"/>
                <w:sz w:val="16"/>
                <w:szCs w:val="16"/>
              </w:rPr>
            </w:pPr>
          </w:p>
        </w:tc>
      </w:tr>
      <w:tr w:rsidR="00B97365" w14:paraId="1622F078" w14:textId="77777777">
        <w:trPr>
          <w:cantSplit/>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DAEC" w14:textId="77777777" w:rsidR="00B97365" w:rsidRDefault="00B97365">
            <w:pPr>
              <w:spacing w:before="0"/>
              <w:jc w:val="left"/>
              <w:rPr>
                <w:rFonts w:cs="Calibri"/>
                <w:sz w:val="16"/>
                <w:szCs w:val="16"/>
              </w:rPr>
            </w:pPr>
          </w:p>
        </w:tc>
        <w:tc>
          <w:tcPr>
            <w:tcW w:w="0" w:type="auto"/>
            <w:vMerge/>
            <w:tcBorders>
              <w:left w:val="single" w:sz="4" w:space="0" w:color="auto"/>
              <w:right w:val="single" w:sz="4" w:space="0" w:color="auto"/>
            </w:tcBorders>
            <w:vAlign w:val="center"/>
            <w:hideMark/>
          </w:tcPr>
          <w:p w14:paraId="1123744B"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18310B95" w14:textId="77777777" w:rsidR="00B97365" w:rsidRDefault="00000000">
            <w:pPr>
              <w:rPr>
                <w:rFonts w:cs="Calibri"/>
                <w:sz w:val="16"/>
                <w:szCs w:val="16"/>
              </w:rPr>
            </w:pPr>
            <w:r>
              <w:rPr>
                <w:rFonts w:cs="Calibri"/>
                <w:sz w:val="16"/>
                <w:szCs w:val="16"/>
              </w:rPr>
              <w:t>DeleteProfile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61EA8" w14:textId="77777777" w:rsidR="00B97365" w:rsidRDefault="00B97365">
            <w:pPr>
              <w:spacing w:before="0"/>
              <w:jc w:val="left"/>
              <w:rPr>
                <w:rFonts w:cs="Calibri"/>
                <w:sz w:val="16"/>
                <w:szCs w:val="16"/>
              </w:rPr>
            </w:pPr>
          </w:p>
        </w:tc>
      </w:tr>
      <w:tr w:rsidR="00B97365" w14:paraId="33638EF7" w14:textId="77777777">
        <w:trPr>
          <w:cantSplit/>
          <w:trHeight w:val="4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FF27A" w14:textId="77777777" w:rsidR="00B97365" w:rsidRDefault="00B97365">
            <w:pPr>
              <w:spacing w:before="0"/>
              <w:jc w:val="left"/>
              <w:rPr>
                <w:rFonts w:cs="Calibri"/>
                <w:sz w:val="16"/>
                <w:szCs w:val="16"/>
              </w:rPr>
            </w:pPr>
          </w:p>
        </w:tc>
        <w:tc>
          <w:tcPr>
            <w:tcW w:w="0" w:type="auto"/>
            <w:vMerge/>
            <w:tcBorders>
              <w:left w:val="single" w:sz="4" w:space="0" w:color="auto"/>
              <w:right w:val="single" w:sz="4" w:space="0" w:color="auto"/>
            </w:tcBorders>
            <w:vAlign w:val="center"/>
            <w:hideMark/>
          </w:tcPr>
          <w:p w14:paraId="42B605B7"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5C061DB0" w14:textId="77777777" w:rsidR="00B97365" w:rsidRDefault="00000000">
            <w:pPr>
              <w:rPr>
                <w:rFonts w:cs="Calibri"/>
                <w:sz w:val="16"/>
                <w:szCs w:val="16"/>
              </w:rPr>
            </w:pPr>
            <w:r>
              <w:rPr>
                <w:rFonts w:cs="Calibri"/>
                <w:sz w:val="16"/>
                <w:szCs w:val="16"/>
              </w:rPr>
              <w:t xml:space="preserve">eUICCCapabilityAudit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ADCB77" w14:textId="77777777" w:rsidR="00B97365" w:rsidRDefault="00B97365">
            <w:pPr>
              <w:spacing w:before="0"/>
              <w:jc w:val="left"/>
              <w:rPr>
                <w:rFonts w:cs="Calibri"/>
                <w:sz w:val="16"/>
                <w:szCs w:val="16"/>
              </w:rPr>
            </w:pPr>
          </w:p>
        </w:tc>
      </w:tr>
      <w:tr w:rsidR="00B97365" w14:paraId="0C187E56" w14:textId="77777777">
        <w:trPr>
          <w:cantSplit/>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06197" w14:textId="77777777" w:rsidR="00B97365" w:rsidRDefault="00B97365">
            <w:pPr>
              <w:spacing w:before="0"/>
              <w:jc w:val="left"/>
              <w:rPr>
                <w:rFonts w:cs="Calibri"/>
                <w:sz w:val="16"/>
                <w:szCs w:val="16"/>
              </w:rPr>
            </w:pPr>
          </w:p>
        </w:tc>
        <w:tc>
          <w:tcPr>
            <w:tcW w:w="0" w:type="auto"/>
            <w:vMerge/>
            <w:tcBorders>
              <w:left w:val="single" w:sz="4" w:space="0" w:color="auto"/>
              <w:right w:val="single" w:sz="4" w:space="0" w:color="auto"/>
            </w:tcBorders>
            <w:vAlign w:val="center"/>
            <w:hideMark/>
          </w:tcPr>
          <w:p w14:paraId="2B5C98C0"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1A5CCEC0" w14:textId="77777777" w:rsidR="00B97365" w:rsidRDefault="00000000">
            <w:pPr>
              <w:rPr>
                <w:rFonts w:cs="Calibri"/>
                <w:sz w:val="16"/>
                <w:szCs w:val="16"/>
              </w:rPr>
            </w:pPr>
            <w:r>
              <w:rPr>
                <w:rFonts w:cs="Calibri"/>
                <w:sz w:val="16"/>
                <w:szCs w:val="16"/>
              </w:rPr>
              <w:t>MasterDelete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745CC9" w14:textId="77777777" w:rsidR="00B97365" w:rsidRDefault="00B97365">
            <w:pPr>
              <w:spacing w:before="0"/>
              <w:jc w:val="left"/>
              <w:rPr>
                <w:rFonts w:cs="Calibri"/>
                <w:sz w:val="16"/>
                <w:szCs w:val="16"/>
              </w:rPr>
            </w:pPr>
          </w:p>
        </w:tc>
      </w:tr>
      <w:tr w:rsidR="00B97365" w14:paraId="11FC983D" w14:textId="77777777">
        <w:trPr>
          <w:cantSplit/>
          <w:trHeight w:val="4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371B3" w14:textId="77777777" w:rsidR="00B97365" w:rsidRDefault="00B97365">
            <w:pPr>
              <w:spacing w:before="0"/>
              <w:jc w:val="left"/>
              <w:rPr>
                <w:rFonts w:cs="Calibri"/>
                <w:sz w:val="16"/>
                <w:szCs w:val="16"/>
              </w:rPr>
            </w:pPr>
          </w:p>
        </w:tc>
        <w:tc>
          <w:tcPr>
            <w:tcW w:w="0" w:type="auto"/>
            <w:vMerge/>
            <w:tcBorders>
              <w:left w:val="single" w:sz="4" w:space="0" w:color="auto"/>
              <w:right w:val="single" w:sz="4" w:space="0" w:color="auto"/>
            </w:tcBorders>
            <w:vAlign w:val="center"/>
            <w:hideMark/>
          </w:tcPr>
          <w:p w14:paraId="591DAC4E"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626802BA" w14:textId="77777777" w:rsidR="00B97365" w:rsidRDefault="00000000">
            <w:pPr>
              <w:rPr>
                <w:rFonts w:cs="Calibri"/>
                <w:sz w:val="16"/>
                <w:szCs w:val="16"/>
              </w:rPr>
            </w:pPr>
            <w:r>
              <w:rPr>
                <w:rFonts w:cs="Calibri"/>
                <w:sz w:val="16"/>
                <w:szCs w:val="16"/>
              </w:rPr>
              <w:t>SetFallbackAttribute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D83F8" w14:textId="77777777" w:rsidR="00B97365" w:rsidRDefault="00B97365">
            <w:pPr>
              <w:spacing w:before="0"/>
              <w:jc w:val="left"/>
              <w:rPr>
                <w:rFonts w:cs="Calibri"/>
                <w:sz w:val="16"/>
                <w:szCs w:val="16"/>
              </w:rPr>
            </w:pPr>
          </w:p>
        </w:tc>
      </w:tr>
      <w:tr w:rsidR="00B97365" w14:paraId="550F7FB5" w14:textId="77777777">
        <w:trPr>
          <w:cantSplit/>
          <w:trHeight w:val="445"/>
        </w:trPr>
        <w:tc>
          <w:tcPr>
            <w:tcW w:w="0" w:type="auto"/>
            <w:vMerge/>
            <w:tcBorders>
              <w:top w:val="single" w:sz="4" w:space="0" w:color="auto"/>
              <w:left w:val="single" w:sz="4" w:space="0" w:color="auto"/>
              <w:bottom w:val="single" w:sz="4" w:space="0" w:color="auto"/>
              <w:right w:val="single" w:sz="4" w:space="0" w:color="auto"/>
            </w:tcBorders>
            <w:vAlign w:val="center"/>
          </w:tcPr>
          <w:p w14:paraId="22691927" w14:textId="77777777" w:rsidR="00B97365" w:rsidRDefault="00B97365">
            <w:pPr>
              <w:spacing w:before="0"/>
              <w:jc w:val="left"/>
              <w:rPr>
                <w:rFonts w:cs="Calibri"/>
                <w:sz w:val="16"/>
                <w:szCs w:val="16"/>
              </w:rPr>
            </w:pPr>
          </w:p>
        </w:tc>
        <w:tc>
          <w:tcPr>
            <w:tcW w:w="0" w:type="auto"/>
            <w:vMerge/>
            <w:tcBorders>
              <w:left w:val="single" w:sz="4" w:space="0" w:color="auto"/>
              <w:bottom w:val="single" w:sz="4" w:space="0" w:color="auto"/>
              <w:right w:val="single" w:sz="4" w:space="0" w:color="auto"/>
            </w:tcBorders>
            <w:vAlign w:val="center"/>
          </w:tcPr>
          <w:p w14:paraId="34F6C177"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tcPr>
          <w:p w14:paraId="7968B2F7" w14:textId="77777777" w:rsidR="00B97365" w:rsidRDefault="00000000">
            <w:pPr>
              <w:rPr>
                <w:rFonts w:cs="Calibri"/>
                <w:sz w:val="16"/>
                <w:szCs w:val="16"/>
              </w:rPr>
            </w:pPr>
            <w:r>
              <w:rPr>
                <w:rFonts w:cs="Calibri"/>
                <w:sz w:val="16"/>
                <w:szCs w:val="16"/>
              </w:rPr>
              <w:t>SetEmergencyProfileAttribute</w:t>
            </w:r>
          </w:p>
        </w:tc>
        <w:tc>
          <w:tcPr>
            <w:tcW w:w="0" w:type="auto"/>
            <w:vMerge/>
            <w:tcBorders>
              <w:top w:val="single" w:sz="4" w:space="0" w:color="auto"/>
              <w:left w:val="single" w:sz="4" w:space="0" w:color="auto"/>
              <w:bottom w:val="single" w:sz="4" w:space="0" w:color="auto"/>
              <w:right w:val="single" w:sz="4" w:space="0" w:color="auto"/>
            </w:tcBorders>
            <w:vAlign w:val="center"/>
          </w:tcPr>
          <w:p w14:paraId="40A6AB89" w14:textId="77777777" w:rsidR="00B97365" w:rsidRDefault="00B97365">
            <w:pPr>
              <w:spacing w:before="0"/>
              <w:jc w:val="left"/>
              <w:rPr>
                <w:rFonts w:cs="Calibri"/>
                <w:sz w:val="16"/>
                <w:szCs w:val="16"/>
              </w:rPr>
            </w:pPr>
          </w:p>
        </w:tc>
      </w:tr>
      <w:tr w:rsidR="00B97365" w14:paraId="2065728D" w14:textId="77777777">
        <w:trPr>
          <w:cantSplit/>
          <w:trHeight w:val="4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333E5" w14:textId="77777777" w:rsidR="00B97365" w:rsidRDefault="00B97365">
            <w:pPr>
              <w:spacing w:before="0"/>
              <w:jc w:val="left"/>
              <w:rPr>
                <w:rFonts w:cs="Calibri"/>
                <w:sz w:val="16"/>
                <w:szCs w:val="16"/>
              </w:rPr>
            </w:pPr>
          </w:p>
        </w:tc>
        <w:tc>
          <w:tcPr>
            <w:tcW w:w="1048" w:type="pct"/>
            <w:vMerge w:val="restart"/>
            <w:tcBorders>
              <w:top w:val="single" w:sz="4" w:space="0" w:color="auto"/>
              <w:left w:val="single" w:sz="4" w:space="0" w:color="auto"/>
              <w:bottom w:val="single" w:sz="4" w:space="0" w:color="auto"/>
              <w:right w:val="single" w:sz="4" w:space="0" w:color="auto"/>
            </w:tcBorders>
            <w:vAlign w:val="center"/>
            <w:hideMark/>
          </w:tcPr>
          <w:p w14:paraId="660ABCAB" w14:textId="77777777" w:rsidR="00B97365" w:rsidRDefault="00000000">
            <w:pPr>
              <w:rPr>
                <w:rFonts w:cs="Calibri"/>
                <w:sz w:val="16"/>
                <w:szCs w:val="16"/>
              </w:rPr>
            </w:pPr>
            <w:r>
              <w:rPr>
                <w:rFonts w:cs="Calibri"/>
                <w:sz w:val="16"/>
                <w:szCs w:val="16"/>
              </w:rPr>
              <w:t>eUICC Management</w:t>
            </w:r>
          </w:p>
        </w:tc>
        <w:tc>
          <w:tcPr>
            <w:tcW w:w="1898" w:type="pct"/>
            <w:tcBorders>
              <w:top w:val="single" w:sz="4" w:space="0" w:color="auto"/>
              <w:left w:val="single" w:sz="4" w:space="0" w:color="auto"/>
              <w:bottom w:val="single" w:sz="4" w:space="0" w:color="auto"/>
              <w:right w:val="single" w:sz="4" w:space="0" w:color="auto"/>
            </w:tcBorders>
            <w:vAlign w:val="center"/>
            <w:hideMark/>
          </w:tcPr>
          <w:p w14:paraId="44F4DC37" w14:textId="77777777" w:rsidR="00B97365" w:rsidRDefault="00000000">
            <w:pPr>
              <w:rPr>
                <w:rFonts w:cs="Calibri"/>
                <w:sz w:val="16"/>
                <w:szCs w:val="16"/>
              </w:rPr>
            </w:pPr>
            <w:r>
              <w:rPr>
                <w:rFonts w:cs="Calibri"/>
                <w:sz w:val="16"/>
                <w:szCs w:val="16"/>
              </w:rPr>
              <w:t>EstablishISDRKeySet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0F9A2" w14:textId="77777777" w:rsidR="00B97365" w:rsidRDefault="00B97365">
            <w:pPr>
              <w:spacing w:before="0"/>
              <w:jc w:val="left"/>
              <w:rPr>
                <w:rFonts w:cs="Calibri"/>
                <w:sz w:val="16"/>
                <w:szCs w:val="16"/>
              </w:rPr>
            </w:pPr>
          </w:p>
        </w:tc>
      </w:tr>
      <w:tr w:rsidR="00B97365" w14:paraId="72B03EF7" w14:textId="77777777">
        <w:trPr>
          <w:cantSplit/>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855A0" w14:textId="77777777" w:rsidR="00B97365" w:rsidRDefault="00B97365">
            <w:pPr>
              <w:spacing w:before="0"/>
              <w:jc w:val="left"/>
              <w:rPr>
                <w:rFonts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9CEA0"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78E8BD24" w14:textId="77777777" w:rsidR="00B97365" w:rsidRDefault="00000000">
            <w:pPr>
              <w:rPr>
                <w:rFonts w:cs="Calibri"/>
                <w:sz w:val="16"/>
                <w:szCs w:val="16"/>
              </w:rPr>
            </w:pPr>
            <w:r>
              <w:rPr>
                <w:rFonts w:cs="Calibri"/>
                <w:sz w:val="16"/>
                <w:szCs w:val="16"/>
              </w:rPr>
              <w:t xml:space="preserve">FinaliseISDRhandover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D194C" w14:textId="77777777" w:rsidR="00B97365" w:rsidRDefault="00B97365">
            <w:pPr>
              <w:spacing w:before="0"/>
              <w:jc w:val="left"/>
              <w:rPr>
                <w:rFonts w:cs="Calibri"/>
                <w:sz w:val="16"/>
                <w:szCs w:val="16"/>
              </w:rPr>
            </w:pPr>
          </w:p>
        </w:tc>
      </w:tr>
      <w:tr w:rsidR="00B97365" w14:paraId="3151D418" w14:textId="77777777">
        <w:trPr>
          <w:cantSplit/>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6C7912" w14:textId="77777777" w:rsidR="00B97365" w:rsidRDefault="00B97365">
            <w:pPr>
              <w:spacing w:before="0"/>
              <w:jc w:val="left"/>
              <w:rPr>
                <w:rFonts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6DA4BE"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5355FAF1" w14:textId="77777777" w:rsidR="00B97365" w:rsidRDefault="00000000">
            <w:pPr>
              <w:rPr>
                <w:rFonts w:cs="Calibri"/>
                <w:sz w:val="16"/>
                <w:szCs w:val="16"/>
              </w:rPr>
            </w:pPr>
            <w:r>
              <w:rPr>
                <w:rFonts w:cs="Calibri"/>
                <w:sz w:val="16"/>
                <w:szCs w:val="16"/>
              </w:rPr>
              <w:t>UpdateSMSRAddressingParameters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8DB4D" w14:textId="77777777" w:rsidR="00B97365" w:rsidRDefault="00B97365">
            <w:pPr>
              <w:spacing w:before="0"/>
              <w:jc w:val="left"/>
              <w:rPr>
                <w:rFonts w:cs="Calibri"/>
                <w:sz w:val="16"/>
                <w:szCs w:val="16"/>
              </w:rPr>
            </w:pPr>
          </w:p>
        </w:tc>
      </w:tr>
      <w:tr w:rsidR="00B97365" w14:paraId="1A235801" w14:textId="77777777">
        <w:trPr>
          <w:cantSplit/>
          <w:trHeight w:val="606"/>
        </w:trPr>
        <w:tc>
          <w:tcPr>
            <w:tcW w:w="612" w:type="pct"/>
            <w:vMerge w:val="restart"/>
            <w:tcBorders>
              <w:top w:val="single" w:sz="4" w:space="0" w:color="auto"/>
              <w:left w:val="single" w:sz="4" w:space="0" w:color="auto"/>
              <w:bottom w:val="single" w:sz="4" w:space="0" w:color="auto"/>
              <w:right w:val="single" w:sz="4" w:space="0" w:color="auto"/>
            </w:tcBorders>
            <w:vAlign w:val="center"/>
            <w:hideMark/>
          </w:tcPr>
          <w:p w14:paraId="2B425C42" w14:textId="77777777" w:rsidR="00B97365" w:rsidRDefault="00000000">
            <w:pPr>
              <w:rPr>
                <w:rFonts w:cs="Calibri"/>
                <w:sz w:val="16"/>
                <w:szCs w:val="16"/>
              </w:rPr>
            </w:pPr>
            <w:r>
              <w:rPr>
                <w:rFonts w:cs="Calibri"/>
                <w:sz w:val="16"/>
                <w:szCs w:val="16"/>
              </w:rPr>
              <w:t>ES6</w:t>
            </w:r>
          </w:p>
        </w:tc>
        <w:tc>
          <w:tcPr>
            <w:tcW w:w="1048" w:type="pct"/>
            <w:vMerge w:val="restart"/>
            <w:tcBorders>
              <w:top w:val="single" w:sz="4" w:space="0" w:color="auto"/>
              <w:left w:val="single" w:sz="4" w:space="0" w:color="auto"/>
              <w:bottom w:val="single" w:sz="4" w:space="0" w:color="auto"/>
              <w:right w:val="single" w:sz="4" w:space="0" w:color="auto"/>
            </w:tcBorders>
            <w:vAlign w:val="center"/>
            <w:hideMark/>
          </w:tcPr>
          <w:p w14:paraId="2BDA2B04" w14:textId="77777777" w:rsidR="00B97365" w:rsidRDefault="00000000">
            <w:pPr>
              <w:rPr>
                <w:rFonts w:cs="Calibri"/>
                <w:sz w:val="16"/>
                <w:szCs w:val="16"/>
              </w:rPr>
            </w:pPr>
            <w:r>
              <w:rPr>
                <w:rFonts w:cs="Calibri"/>
                <w:sz w:val="16"/>
                <w:szCs w:val="16"/>
              </w:rPr>
              <w:t>Profile Management</w:t>
            </w:r>
          </w:p>
        </w:tc>
        <w:tc>
          <w:tcPr>
            <w:tcW w:w="1898" w:type="pct"/>
            <w:tcBorders>
              <w:top w:val="single" w:sz="4" w:space="0" w:color="auto"/>
              <w:left w:val="single" w:sz="4" w:space="0" w:color="auto"/>
              <w:bottom w:val="single" w:sz="4" w:space="0" w:color="auto"/>
              <w:right w:val="single" w:sz="4" w:space="0" w:color="auto"/>
            </w:tcBorders>
            <w:vAlign w:val="center"/>
            <w:hideMark/>
          </w:tcPr>
          <w:p w14:paraId="6BB10687" w14:textId="77777777" w:rsidR="00B97365" w:rsidRDefault="00000000">
            <w:pPr>
              <w:rPr>
                <w:rFonts w:cs="Calibri"/>
                <w:sz w:val="16"/>
                <w:szCs w:val="16"/>
              </w:rPr>
            </w:pPr>
            <w:r>
              <w:rPr>
                <w:rFonts w:cs="Calibri"/>
                <w:sz w:val="16"/>
                <w:szCs w:val="16"/>
              </w:rPr>
              <w:t>UpdatePOL1byMNO</w:t>
            </w:r>
          </w:p>
        </w:tc>
        <w:tc>
          <w:tcPr>
            <w:tcW w:w="1442" w:type="pct"/>
            <w:vMerge w:val="restart"/>
            <w:tcBorders>
              <w:top w:val="single" w:sz="4" w:space="0" w:color="auto"/>
              <w:left w:val="single" w:sz="4" w:space="0" w:color="auto"/>
              <w:bottom w:val="single" w:sz="4" w:space="0" w:color="auto"/>
              <w:right w:val="single" w:sz="4" w:space="0" w:color="auto"/>
            </w:tcBorders>
            <w:vAlign w:val="center"/>
            <w:hideMark/>
          </w:tcPr>
          <w:p w14:paraId="01544D3A" w14:textId="77777777" w:rsidR="00B97365" w:rsidRDefault="00000000">
            <w:pPr>
              <w:jc w:val="center"/>
              <w:rPr>
                <w:rFonts w:cs="Calibri"/>
                <w:sz w:val="16"/>
                <w:szCs w:val="16"/>
              </w:rPr>
            </w:pPr>
            <w:r>
              <w:rPr>
                <w:rFonts w:cs="Calibri"/>
                <w:sz w:val="16"/>
                <w:szCs w:val="16"/>
              </w:rPr>
              <w:t>MNO-SD</w:t>
            </w:r>
          </w:p>
        </w:tc>
      </w:tr>
      <w:tr w:rsidR="00B97365" w14:paraId="2DCA549C" w14:textId="77777777">
        <w:trPr>
          <w:cantSplit/>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3DF1A" w14:textId="77777777" w:rsidR="00B97365" w:rsidRDefault="00B97365">
            <w:pPr>
              <w:spacing w:before="0"/>
              <w:jc w:val="left"/>
              <w:rPr>
                <w:rFonts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2CB64"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32017C84" w14:textId="77777777" w:rsidR="00B97365" w:rsidRDefault="00000000">
            <w:pPr>
              <w:rPr>
                <w:rFonts w:cs="Calibri"/>
                <w:sz w:val="16"/>
                <w:szCs w:val="16"/>
              </w:rPr>
            </w:pPr>
            <w:r>
              <w:rPr>
                <w:rFonts w:cs="Calibri"/>
                <w:sz w:val="16"/>
                <w:szCs w:val="16"/>
              </w:rPr>
              <w:t>UpdateConnectivityParametersByMNO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2AED6" w14:textId="77777777" w:rsidR="00B97365" w:rsidRDefault="00B97365">
            <w:pPr>
              <w:spacing w:before="0"/>
              <w:jc w:val="left"/>
              <w:rPr>
                <w:rFonts w:cs="Calibri"/>
                <w:sz w:val="16"/>
                <w:szCs w:val="16"/>
              </w:rPr>
            </w:pPr>
          </w:p>
        </w:tc>
      </w:tr>
      <w:tr w:rsidR="00B97365" w14:paraId="7274733B" w14:textId="77777777">
        <w:trPr>
          <w:cantSplit/>
          <w:trHeight w:val="746"/>
        </w:trPr>
        <w:tc>
          <w:tcPr>
            <w:tcW w:w="612" w:type="pct"/>
            <w:vMerge w:val="restart"/>
            <w:tcBorders>
              <w:top w:val="single" w:sz="4" w:space="0" w:color="auto"/>
              <w:left w:val="single" w:sz="4" w:space="0" w:color="auto"/>
              <w:bottom w:val="single" w:sz="4" w:space="0" w:color="auto"/>
              <w:right w:val="single" w:sz="4" w:space="0" w:color="auto"/>
            </w:tcBorders>
            <w:vAlign w:val="center"/>
            <w:hideMark/>
          </w:tcPr>
          <w:p w14:paraId="461CAABB" w14:textId="77777777" w:rsidR="00B97365" w:rsidRDefault="00000000">
            <w:pPr>
              <w:rPr>
                <w:rFonts w:cs="Calibri"/>
                <w:sz w:val="16"/>
                <w:szCs w:val="16"/>
              </w:rPr>
            </w:pPr>
            <w:r>
              <w:rPr>
                <w:rFonts w:cs="Calibri"/>
                <w:sz w:val="16"/>
                <w:szCs w:val="16"/>
              </w:rPr>
              <w:t>ES8</w:t>
            </w:r>
          </w:p>
        </w:tc>
        <w:tc>
          <w:tcPr>
            <w:tcW w:w="1048" w:type="pct"/>
            <w:vMerge w:val="restart"/>
            <w:tcBorders>
              <w:top w:val="single" w:sz="4" w:space="0" w:color="auto"/>
              <w:left w:val="single" w:sz="4" w:space="0" w:color="auto"/>
              <w:bottom w:val="single" w:sz="4" w:space="0" w:color="auto"/>
              <w:right w:val="single" w:sz="4" w:space="0" w:color="auto"/>
            </w:tcBorders>
            <w:vAlign w:val="center"/>
            <w:hideMark/>
          </w:tcPr>
          <w:p w14:paraId="54CE9B67" w14:textId="77777777" w:rsidR="00B97365" w:rsidRDefault="00000000">
            <w:pPr>
              <w:rPr>
                <w:rFonts w:cs="Calibri"/>
                <w:sz w:val="16"/>
                <w:szCs w:val="16"/>
              </w:rPr>
            </w:pPr>
            <w:r>
              <w:rPr>
                <w:rFonts w:cs="Calibri"/>
                <w:sz w:val="16"/>
                <w:szCs w:val="16"/>
              </w:rPr>
              <w:t xml:space="preserve">Profile Management  </w:t>
            </w:r>
          </w:p>
        </w:tc>
        <w:tc>
          <w:tcPr>
            <w:tcW w:w="1898" w:type="pct"/>
            <w:tcBorders>
              <w:top w:val="single" w:sz="4" w:space="0" w:color="auto"/>
              <w:left w:val="single" w:sz="4" w:space="0" w:color="auto"/>
              <w:bottom w:val="single" w:sz="4" w:space="0" w:color="auto"/>
              <w:right w:val="single" w:sz="4" w:space="0" w:color="auto"/>
            </w:tcBorders>
            <w:vAlign w:val="center"/>
            <w:hideMark/>
          </w:tcPr>
          <w:p w14:paraId="152CA599" w14:textId="77777777" w:rsidR="00B97365" w:rsidRDefault="00000000">
            <w:pPr>
              <w:rPr>
                <w:rFonts w:cs="Calibri"/>
                <w:sz w:val="16"/>
                <w:szCs w:val="16"/>
              </w:rPr>
            </w:pPr>
            <w:r>
              <w:rPr>
                <w:rFonts w:cs="Calibri"/>
                <w:sz w:val="16"/>
                <w:szCs w:val="16"/>
              </w:rPr>
              <w:t>DownloadAndInstallation</w:t>
            </w:r>
          </w:p>
        </w:tc>
        <w:tc>
          <w:tcPr>
            <w:tcW w:w="1442" w:type="pct"/>
            <w:vMerge w:val="restart"/>
            <w:tcBorders>
              <w:top w:val="single" w:sz="4" w:space="0" w:color="auto"/>
              <w:left w:val="single" w:sz="4" w:space="0" w:color="auto"/>
              <w:bottom w:val="single" w:sz="4" w:space="0" w:color="auto"/>
              <w:right w:val="single" w:sz="4" w:space="0" w:color="auto"/>
            </w:tcBorders>
            <w:vAlign w:val="center"/>
            <w:hideMark/>
          </w:tcPr>
          <w:p w14:paraId="6CD996A0" w14:textId="77777777" w:rsidR="00B97365" w:rsidRDefault="00000000">
            <w:pPr>
              <w:jc w:val="center"/>
              <w:rPr>
                <w:rFonts w:cs="Calibri"/>
                <w:sz w:val="16"/>
                <w:szCs w:val="16"/>
              </w:rPr>
            </w:pPr>
            <w:r>
              <w:rPr>
                <w:rFonts w:cs="Calibri"/>
                <w:sz w:val="16"/>
                <w:szCs w:val="16"/>
              </w:rPr>
              <w:t>ISD-P</w:t>
            </w:r>
          </w:p>
        </w:tc>
      </w:tr>
      <w:tr w:rsidR="00B97365" w14:paraId="35AED698" w14:textId="77777777">
        <w:trPr>
          <w:cantSplit/>
          <w:trHeight w:val="8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75890E" w14:textId="77777777" w:rsidR="00B97365" w:rsidRDefault="00B97365">
            <w:pPr>
              <w:spacing w:before="0"/>
              <w:jc w:val="left"/>
              <w:rPr>
                <w:rFonts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17CA35"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3BB5314A" w14:textId="77777777" w:rsidR="00B97365" w:rsidRDefault="00000000">
            <w:pPr>
              <w:rPr>
                <w:rFonts w:cs="Calibri"/>
                <w:sz w:val="16"/>
                <w:szCs w:val="16"/>
              </w:rPr>
            </w:pPr>
            <w:r>
              <w:rPr>
                <w:rFonts w:cs="Calibri"/>
                <w:sz w:val="16"/>
                <w:szCs w:val="16"/>
              </w:rPr>
              <w:t>EstablishISDPKeySet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0BC26" w14:textId="77777777" w:rsidR="00B97365" w:rsidRDefault="00B97365">
            <w:pPr>
              <w:spacing w:before="0"/>
              <w:jc w:val="left"/>
              <w:rPr>
                <w:rFonts w:cs="Calibri"/>
                <w:sz w:val="16"/>
                <w:szCs w:val="16"/>
              </w:rPr>
            </w:pPr>
          </w:p>
        </w:tc>
      </w:tr>
      <w:tr w:rsidR="00B97365" w14:paraId="78251C11" w14:textId="77777777">
        <w:trPr>
          <w:cantSplit/>
          <w:trHeight w:val="8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B686D" w14:textId="77777777" w:rsidR="00B97365" w:rsidRDefault="00B97365">
            <w:pPr>
              <w:spacing w:before="0"/>
              <w:jc w:val="left"/>
              <w:rPr>
                <w:rFonts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1E3F5"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hideMark/>
          </w:tcPr>
          <w:p w14:paraId="45E2F6FC" w14:textId="77777777" w:rsidR="00B97365" w:rsidRDefault="00000000">
            <w:pPr>
              <w:rPr>
                <w:rFonts w:cs="Calibri"/>
                <w:sz w:val="16"/>
                <w:szCs w:val="16"/>
              </w:rPr>
            </w:pPr>
            <w:r>
              <w:rPr>
                <w:rFonts w:cs="Calibri"/>
                <w:sz w:val="16"/>
                <w:szCs w:val="16"/>
              </w:rPr>
              <w:t>UpdateConnectivityParameters SCP03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29F83E" w14:textId="77777777" w:rsidR="00B97365" w:rsidRDefault="00B97365">
            <w:pPr>
              <w:spacing w:before="0"/>
              <w:jc w:val="left"/>
              <w:rPr>
                <w:rFonts w:cs="Calibri"/>
                <w:sz w:val="16"/>
                <w:szCs w:val="16"/>
              </w:rPr>
            </w:pPr>
          </w:p>
        </w:tc>
      </w:tr>
      <w:tr w:rsidR="00B97365" w14:paraId="3380CEA1" w14:textId="77777777">
        <w:trPr>
          <w:cantSplit/>
          <w:trHeight w:val="841"/>
        </w:trPr>
        <w:tc>
          <w:tcPr>
            <w:tcW w:w="0" w:type="auto"/>
            <w:vMerge w:val="restart"/>
            <w:tcBorders>
              <w:top w:val="single" w:sz="4" w:space="0" w:color="auto"/>
              <w:left w:val="single" w:sz="4" w:space="0" w:color="auto"/>
              <w:right w:val="single" w:sz="4" w:space="0" w:color="auto"/>
            </w:tcBorders>
            <w:vAlign w:val="center"/>
          </w:tcPr>
          <w:p w14:paraId="42B2A532" w14:textId="77777777" w:rsidR="00B97365" w:rsidRDefault="00000000">
            <w:pPr>
              <w:spacing w:before="0"/>
              <w:jc w:val="left"/>
              <w:rPr>
                <w:rFonts w:cs="Calibri"/>
                <w:sz w:val="16"/>
                <w:szCs w:val="16"/>
              </w:rPr>
            </w:pPr>
            <w:r>
              <w:rPr>
                <w:rFonts w:cs="Calibri"/>
                <w:sz w:val="16"/>
                <w:szCs w:val="16"/>
              </w:rPr>
              <w:t>ESx</w:t>
            </w:r>
          </w:p>
        </w:tc>
        <w:tc>
          <w:tcPr>
            <w:tcW w:w="0" w:type="auto"/>
            <w:vMerge w:val="restart"/>
            <w:tcBorders>
              <w:top w:val="single" w:sz="4" w:space="0" w:color="auto"/>
              <w:left w:val="single" w:sz="4" w:space="0" w:color="auto"/>
              <w:right w:val="single" w:sz="4" w:space="0" w:color="auto"/>
            </w:tcBorders>
            <w:vAlign w:val="center"/>
          </w:tcPr>
          <w:p w14:paraId="5A785417" w14:textId="77777777" w:rsidR="00B97365" w:rsidRDefault="00000000">
            <w:pPr>
              <w:spacing w:before="0"/>
              <w:jc w:val="left"/>
              <w:rPr>
                <w:rFonts w:cs="Calibri"/>
                <w:sz w:val="16"/>
                <w:szCs w:val="16"/>
              </w:rPr>
            </w:pPr>
            <w:r>
              <w:rPr>
                <w:rFonts w:cs="Calibri"/>
                <w:sz w:val="16"/>
                <w:szCs w:val="16"/>
              </w:rPr>
              <w:t>Local Management</w:t>
            </w:r>
          </w:p>
        </w:tc>
        <w:tc>
          <w:tcPr>
            <w:tcW w:w="1898" w:type="pct"/>
            <w:tcBorders>
              <w:top w:val="single" w:sz="4" w:space="0" w:color="auto"/>
              <w:left w:val="single" w:sz="4" w:space="0" w:color="auto"/>
              <w:bottom w:val="single" w:sz="4" w:space="0" w:color="auto"/>
              <w:right w:val="single" w:sz="4" w:space="0" w:color="auto"/>
            </w:tcBorders>
            <w:vAlign w:val="center"/>
          </w:tcPr>
          <w:p w14:paraId="553EE9E5" w14:textId="77777777" w:rsidR="00B97365" w:rsidRDefault="00000000">
            <w:pPr>
              <w:rPr>
                <w:rFonts w:cs="Calibri"/>
                <w:sz w:val="16"/>
                <w:szCs w:val="16"/>
              </w:rPr>
            </w:pPr>
            <w:r>
              <w:rPr>
                <w:rFonts w:cs="Calibri"/>
                <w:sz w:val="16"/>
                <w:szCs w:val="16"/>
              </w:rPr>
              <w:t>LocalEnableEmergencyProfile</w:t>
            </w:r>
          </w:p>
        </w:tc>
        <w:tc>
          <w:tcPr>
            <w:tcW w:w="0" w:type="auto"/>
            <w:tcBorders>
              <w:top w:val="single" w:sz="4" w:space="0" w:color="auto"/>
              <w:left w:val="single" w:sz="4" w:space="0" w:color="auto"/>
              <w:bottom w:val="single" w:sz="4" w:space="0" w:color="auto"/>
              <w:right w:val="single" w:sz="4" w:space="0" w:color="auto"/>
            </w:tcBorders>
            <w:vAlign w:val="center"/>
          </w:tcPr>
          <w:p w14:paraId="699FD37A" w14:textId="77777777" w:rsidR="00B97365" w:rsidRDefault="00B97365">
            <w:pPr>
              <w:spacing w:before="0"/>
              <w:jc w:val="left"/>
              <w:rPr>
                <w:rFonts w:cs="Calibri"/>
                <w:sz w:val="16"/>
                <w:szCs w:val="16"/>
              </w:rPr>
            </w:pPr>
          </w:p>
        </w:tc>
      </w:tr>
      <w:tr w:rsidR="00B97365" w14:paraId="43E433EA" w14:textId="77777777">
        <w:trPr>
          <w:cantSplit/>
          <w:trHeight w:val="841"/>
        </w:trPr>
        <w:tc>
          <w:tcPr>
            <w:tcW w:w="0" w:type="auto"/>
            <w:vMerge/>
            <w:tcBorders>
              <w:left w:val="single" w:sz="4" w:space="0" w:color="auto"/>
              <w:right w:val="single" w:sz="4" w:space="0" w:color="auto"/>
            </w:tcBorders>
            <w:vAlign w:val="center"/>
          </w:tcPr>
          <w:p w14:paraId="6F83D21F" w14:textId="77777777" w:rsidR="00B97365" w:rsidRDefault="00B97365">
            <w:pPr>
              <w:spacing w:before="0"/>
              <w:jc w:val="left"/>
              <w:rPr>
                <w:rFonts w:cs="Calibri"/>
                <w:sz w:val="16"/>
                <w:szCs w:val="16"/>
              </w:rPr>
            </w:pPr>
          </w:p>
        </w:tc>
        <w:tc>
          <w:tcPr>
            <w:tcW w:w="0" w:type="auto"/>
            <w:vMerge/>
            <w:tcBorders>
              <w:left w:val="single" w:sz="4" w:space="0" w:color="auto"/>
              <w:right w:val="single" w:sz="4" w:space="0" w:color="auto"/>
            </w:tcBorders>
            <w:vAlign w:val="center"/>
          </w:tcPr>
          <w:p w14:paraId="2F20F516"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tcPr>
          <w:p w14:paraId="1E67105B" w14:textId="77777777" w:rsidR="00B97365" w:rsidRDefault="00000000">
            <w:pPr>
              <w:rPr>
                <w:rFonts w:cs="Calibri"/>
                <w:sz w:val="16"/>
                <w:szCs w:val="16"/>
              </w:rPr>
            </w:pPr>
            <w:r>
              <w:rPr>
                <w:rFonts w:cs="Calibri"/>
                <w:sz w:val="16"/>
                <w:szCs w:val="16"/>
              </w:rPr>
              <w:t>LocalDisableEmergencyProfile</w:t>
            </w:r>
          </w:p>
        </w:tc>
        <w:tc>
          <w:tcPr>
            <w:tcW w:w="0" w:type="auto"/>
            <w:tcBorders>
              <w:top w:val="single" w:sz="4" w:space="0" w:color="auto"/>
              <w:left w:val="single" w:sz="4" w:space="0" w:color="auto"/>
              <w:bottom w:val="single" w:sz="4" w:space="0" w:color="auto"/>
              <w:right w:val="single" w:sz="4" w:space="0" w:color="auto"/>
            </w:tcBorders>
            <w:vAlign w:val="center"/>
          </w:tcPr>
          <w:p w14:paraId="72EB31D9" w14:textId="77777777" w:rsidR="00B97365" w:rsidRDefault="00B97365">
            <w:pPr>
              <w:spacing w:before="0"/>
              <w:jc w:val="left"/>
              <w:rPr>
                <w:rFonts w:cs="Calibri"/>
                <w:sz w:val="16"/>
                <w:szCs w:val="16"/>
              </w:rPr>
            </w:pPr>
          </w:p>
        </w:tc>
      </w:tr>
      <w:tr w:rsidR="00B97365" w14:paraId="45272A30" w14:textId="77777777">
        <w:trPr>
          <w:cantSplit/>
          <w:trHeight w:val="841"/>
        </w:trPr>
        <w:tc>
          <w:tcPr>
            <w:tcW w:w="0" w:type="auto"/>
            <w:vMerge/>
            <w:tcBorders>
              <w:left w:val="single" w:sz="4" w:space="0" w:color="auto"/>
              <w:right w:val="single" w:sz="4" w:space="0" w:color="auto"/>
            </w:tcBorders>
            <w:vAlign w:val="center"/>
          </w:tcPr>
          <w:p w14:paraId="24A86902" w14:textId="77777777" w:rsidR="00B97365" w:rsidRDefault="00B97365">
            <w:pPr>
              <w:spacing w:before="0"/>
              <w:jc w:val="left"/>
              <w:rPr>
                <w:rFonts w:cs="Calibri"/>
                <w:sz w:val="16"/>
                <w:szCs w:val="16"/>
              </w:rPr>
            </w:pPr>
          </w:p>
        </w:tc>
        <w:tc>
          <w:tcPr>
            <w:tcW w:w="0" w:type="auto"/>
            <w:vMerge/>
            <w:tcBorders>
              <w:left w:val="single" w:sz="4" w:space="0" w:color="auto"/>
              <w:right w:val="single" w:sz="4" w:space="0" w:color="auto"/>
            </w:tcBorders>
            <w:vAlign w:val="center"/>
          </w:tcPr>
          <w:p w14:paraId="6BD132C3"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tcPr>
          <w:p w14:paraId="53955627" w14:textId="77777777" w:rsidR="00B97365" w:rsidRDefault="00000000">
            <w:pPr>
              <w:rPr>
                <w:rFonts w:cs="Calibri"/>
                <w:sz w:val="16"/>
                <w:szCs w:val="16"/>
              </w:rPr>
            </w:pPr>
            <w:r>
              <w:rPr>
                <w:rFonts w:cs="Calibri"/>
                <w:sz w:val="16"/>
                <w:szCs w:val="16"/>
              </w:rPr>
              <w:t>LocalEnableTestProfile</w:t>
            </w:r>
          </w:p>
        </w:tc>
        <w:tc>
          <w:tcPr>
            <w:tcW w:w="0" w:type="auto"/>
            <w:tcBorders>
              <w:top w:val="single" w:sz="4" w:space="0" w:color="auto"/>
              <w:left w:val="single" w:sz="4" w:space="0" w:color="auto"/>
              <w:bottom w:val="single" w:sz="4" w:space="0" w:color="auto"/>
              <w:right w:val="single" w:sz="4" w:space="0" w:color="auto"/>
            </w:tcBorders>
            <w:vAlign w:val="center"/>
          </w:tcPr>
          <w:p w14:paraId="231704FD" w14:textId="77777777" w:rsidR="00B97365" w:rsidRDefault="00B97365">
            <w:pPr>
              <w:spacing w:before="0"/>
              <w:jc w:val="left"/>
              <w:rPr>
                <w:rFonts w:cs="Calibri"/>
                <w:sz w:val="16"/>
                <w:szCs w:val="16"/>
              </w:rPr>
            </w:pPr>
          </w:p>
        </w:tc>
      </w:tr>
      <w:tr w:rsidR="00B97365" w14:paraId="23D123A3" w14:textId="77777777">
        <w:trPr>
          <w:cantSplit/>
          <w:trHeight w:val="841"/>
        </w:trPr>
        <w:tc>
          <w:tcPr>
            <w:tcW w:w="0" w:type="auto"/>
            <w:vMerge/>
            <w:tcBorders>
              <w:left w:val="single" w:sz="4" w:space="0" w:color="auto"/>
              <w:bottom w:val="single" w:sz="4" w:space="0" w:color="auto"/>
              <w:right w:val="single" w:sz="4" w:space="0" w:color="auto"/>
            </w:tcBorders>
            <w:vAlign w:val="center"/>
          </w:tcPr>
          <w:p w14:paraId="0A8A49D5" w14:textId="77777777" w:rsidR="00B97365" w:rsidRDefault="00B97365">
            <w:pPr>
              <w:spacing w:before="0"/>
              <w:jc w:val="left"/>
              <w:rPr>
                <w:rFonts w:cs="Calibri"/>
                <w:sz w:val="16"/>
                <w:szCs w:val="16"/>
              </w:rPr>
            </w:pPr>
          </w:p>
        </w:tc>
        <w:tc>
          <w:tcPr>
            <w:tcW w:w="0" w:type="auto"/>
            <w:vMerge/>
            <w:tcBorders>
              <w:left w:val="single" w:sz="4" w:space="0" w:color="auto"/>
              <w:bottom w:val="single" w:sz="4" w:space="0" w:color="auto"/>
              <w:right w:val="single" w:sz="4" w:space="0" w:color="auto"/>
            </w:tcBorders>
            <w:vAlign w:val="center"/>
          </w:tcPr>
          <w:p w14:paraId="763F3469" w14:textId="77777777" w:rsidR="00B97365" w:rsidRDefault="00B97365">
            <w:pPr>
              <w:spacing w:before="0"/>
              <w:jc w:val="left"/>
              <w:rPr>
                <w:rFonts w:cs="Calibri"/>
                <w:sz w:val="16"/>
                <w:szCs w:val="16"/>
              </w:rPr>
            </w:pPr>
          </w:p>
        </w:tc>
        <w:tc>
          <w:tcPr>
            <w:tcW w:w="1898" w:type="pct"/>
            <w:tcBorders>
              <w:top w:val="single" w:sz="4" w:space="0" w:color="auto"/>
              <w:left w:val="single" w:sz="4" w:space="0" w:color="auto"/>
              <w:bottom w:val="single" w:sz="4" w:space="0" w:color="auto"/>
              <w:right w:val="single" w:sz="4" w:space="0" w:color="auto"/>
            </w:tcBorders>
            <w:vAlign w:val="center"/>
          </w:tcPr>
          <w:p w14:paraId="71CA9DA6" w14:textId="77777777" w:rsidR="00B97365" w:rsidRDefault="00000000">
            <w:pPr>
              <w:rPr>
                <w:rFonts w:cs="Calibri"/>
                <w:sz w:val="16"/>
                <w:szCs w:val="16"/>
              </w:rPr>
            </w:pPr>
            <w:r>
              <w:rPr>
                <w:rFonts w:cs="Calibri"/>
                <w:sz w:val="16"/>
                <w:szCs w:val="16"/>
              </w:rPr>
              <w:t>LocalDisableTestProfile</w:t>
            </w:r>
          </w:p>
        </w:tc>
        <w:tc>
          <w:tcPr>
            <w:tcW w:w="0" w:type="auto"/>
            <w:tcBorders>
              <w:top w:val="single" w:sz="4" w:space="0" w:color="auto"/>
              <w:left w:val="single" w:sz="4" w:space="0" w:color="auto"/>
              <w:bottom w:val="single" w:sz="4" w:space="0" w:color="auto"/>
              <w:right w:val="single" w:sz="4" w:space="0" w:color="auto"/>
            </w:tcBorders>
            <w:vAlign w:val="center"/>
          </w:tcPr>
          <w:p w14:paraId="050ECCBD" w14:textId="77777777" w:rsidR="00B97365" w:rsidRDefault="00B97365">
            <w:pPr>
              <w:spacing w:before="0"/>
              <w:jc w:val="left"/>
              <w:rPr>
                <w:rFonts w:cs="Calibri"/>
                <w:sz w:val="16"/>
                <w:szCs w:val="16"/>
              </w:rPr>
            </w:pPr>
          </w:p>
        </w:tc>
      </w:tr>
    </w:tbl>
    <w:p w14:paraId="2950E7CD" w14:textId="77777777" w:rsidR="00B97365" w:rsidRDefault="00000000">
      <w:pPr>
        <w:rPr>
          <w:rFonts w:asciiTheme="minorHAnsi" w:hAnsiTheme="minorHAnsi" w:cstheme="minorHAnsi"/>
          <w:b/>
        </w:rPr>
      </w:pPr>
      <w:r>
        <w:rPr>
          <w:rFonts w:cs="Arial"/>
          <w:b/>
          <w:lang w:eastAsia="de-DE" w:bidi="ar-SA"/>
        </w:rPr>
        <w:t xml:space="preserve"> </w:t>
      </w:r>
    </w:p>
    <w:p w14:paraId="1FD9772B" w14:textId="77777777" w:rsidR="00B97365" w:rsidRDefault="00000000">
      <w:pPr>
        <w:numPr>
          <w:ilvl w:val="0"/>
          <w:numId w:val="14"/>
        </w:numPr>
        <w:tabs>
          <w:tab w:val="left" w:pos="1009"/>
        </w:tabs>
        <w:spacing w:after="200" w:line="276" w:lineRule="auto"/>
        <w:jc w:val="center"/>
        <w:rPr>
          <w:rFonts w:cs="Arial"/>
          <w:b/>
          <w:lang w:eastAsia="de-DE" w:bidi="ar-SA"/>
        </w:rPr>
      </w:pPr>
      <w:r>
        <w:rPr>
          <w:lang w:val="en-US"/>
        </w:rPr>
        <w:t>:</w:t>
      </w:r>
      <w:r>
        <w:rPr>
          <w:rFonts w:cs="Arial"/>
          <w:b/>
          <w:lang w:eastAsia="de-DE" w:bidi="ar-SA"/>
        </w:rPr>
        <w:t>: Request Response Functions</w:t>
      </w:r>
    </w:p>
    <w:p w14:paraId="74BD8256" w14:textId="77777777" w:rsidR="00B97365" w:rsidRDefault="00B97365">
      <w:pPr>
        <w:tabs>
          <w:tab w:val="left" w:pos="1009"/>
        </w:tabs>
        <w:spacing w:after="200" w:line="276" w:lineRule="auto"/>
        <w:rPr>
          <w:rFonts w:cs="Arial"/>
          <w:b/>
          <w:lang w:val="en-US" w:eastAsia="de-DE" w:bidi="ar-SA"/>
        </w:rPr>
      </w:pPr>
    </w:p>
    <w:p w14:paraId="253E15A7" w14:textId="77777777" w:rsidR="00B97365" w:rsidRDefault="00B97365">
      <w:pPr>
        <w:spacing w:before="0" w:after="200" w:line="276" w:lineRule="auto"/>
        <w:jc w:val="left"/>
        <w:rPr>
          <w:rFonts w:cs="Arial"/>
          <w:szCs w:val="22"/>
          <w:lang w:val="en-US" w:eastAsia="en-GB" w:bidi="ar-SA"/>
        </w:rPr>
      </w:pPr>
    </w:p>
    <w:p w14:paraId="59D17D9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Notification handler functions:</w:t>
      </w:r>
    </w:p>
    <w:p w14:paraId="54CCB09F" w14:textId="77777777" w:rsidR="00B97365" w:rsidRDefault="00B97365">
      <w:pPr>
        <w:rPr>
          <w:rFonts w:cs="Calibri"/>
          <w:b/>
          <w:vanish/>
          <w:color w:val="00000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28"/>
        <w:gridCol w:w="1989"/>
        <w:gridCol w:w="4640"/>
        <w:gridCol w:w="1459"/>
      </w:tblGrid>
      <w:tr w:rsidR="00B97365" w14:paraId="212E34F6" w14:textId="77777777">
        <w:trPr>
          <w:trHeight w:val="327"/>
        </w:trPr>
        <w:tc>
          <w:tcPr>
            <w:tcW w:w="515" w:type="pct"/>
            <w:tcBorders>
              <w:top w:val="single" w:sz="4" w:space="0" w:color="auto"/>
              <w:left w:val="single" w:sz="4" w:space="0" w:color="auto"/>
              <w:bottom w:val="single" w:sz="6" w:space="0" w:color="auto"/>
              <w:right w:val="single" w:sz="6" w:space="0" w:color="auto"/>
            </w:tcBorders>
            <w:shd w:val="clear" w:color="auto" w:fill="C00000"/>
            <w:vAlign w:val="center"/>
            <w:hideMark/>
          </w:tcPr>
          <w:p w14:paraId="4BA0B3A1" w14:textId="77777777" w:rsidR="00B97365" w:rsidRDefault="00000000">
            <w:pPr>
              <w:jc w:val="center"/>
              <w:rPr>
                <w:rFonts w:cs="Calibri"/>
                <w:b/>
                <w:color w:val="FFFFFF"/>
                <w:sz w:val="16"/>
                <w:szCs w:val="16"/>
              </w:rPr>
            </w:pPr>
            <w:r>
              <w:rPr>
                <w:rFonts w:cs="Calibri"/>
                <w:b/>
                <w:color w:val="FFFFFF"/>
                <w:sz w:val="16"/>
                <w:szCs w:val="16"/>
              </w:rPr>
              <w:t>Interface</w:t>
            </w:r>
          </w:p>
        </w:tc>
        <w:tc>
          <w:tcPr>
            <w:tcW w:w="1103" w:type="pct"/>
            <w:tcBorders>
              <w:top w:val="single" w:sz="4" w:space="0" w:color="auto"/>
              <w:left w:val="single" w:sz="6" w:space="0" w:color="auto"/>
              <w:bottom w:val="single" w:sz="6" w:space="0" w:color="auto"/>
              <w:right w:val="single" w:sz="6" w:space="0" w:color="auto"/>
            </w:tcBorders>
            <w:shd w:val="clear" w:color="auto" w:fill="C00000"/>
            <w:vAlign w:val="center"/>
            <w:hideMark/>
          </w:tcPr>
          <w:p w14:paraId="6F180898" w14:textId="77777777" w:rsidR="00B97365" w:rsidRDefault="00000000">
            <w:pPr>
              <w:jc w:val="center"/>
              <w:rPr>
                <w:rFonts w:cs="Calibri"/>
                <w:b/>
                <w:color w:val="FFFFFF"/>
                <w:sz w:val="16"/>
                <w:szCs w:val="16"/>
              </w:rPr>
            </w:pPr>
            <w:r>
              <w:rPr>
                <w:rFonts w:cs="Calibri"/>
                <w:b/>
                <w:color w:val="FFFFFF"/>
                <w:sz w:val="16"/>
                <w:szCs w:val="16"/>
              </w:rPr>
              <w:t>Function group</w:t>
            </w:r>
          </w:p>
        </w:tc>
        <w:tc>
          <w:tcPr>
            <w:tcW w:w="2573" w:type="pct"/>
            <w:tcBorders>
              <w:top w:val="single" w:sz="4" w:space="0" w:color="auto"/>
              <w:left w:val="single" w:sz="6" w:space="0" w:color="auto"/>
              <w:bottom w:val="single" w:sz="6" w:space="0" w:color="auto"/>
              <w:right w:val="single" w:sz="6" w:space="0" w:color="auto"/>
            </w:tcBorders>
            <w:shd w:val="clear" w:color="auto" w:fill="C00000"/>
            <w:vAlign w:val="center"/>
            <w:hideMark/>
          </w:tcPr>
          <w:p w14:paraId="080E98A6" w14:textId="77777777" w:rsidR="00B97365" w:rsidRDefault="00000000">
            <w:pPr>
              <w:jc w:val="center"/>
              <w:rPr>
                <w:rFonts w:cs="Calibri"/>
                <w:b/>
                <w:color w:val="FFFFFF"/>
                <w:sz w:val="16"/>
                <w:szCs w:val="16"/>
              </w:rPr>
            </w:pPr>
            <w:r>
              <w:rPr>
                <w:rFonts w:cs="Calibri"/>
                <w:b/>
                <w:color w:val="FFFFFF"/>
                <w:sz w:val="16"/>
                <w:szCs w:val="16"/>
              </w:rPr>
              <w:t>Notification handler functions</w:t>
            </w:r>
          </w:p>
        </w:tc>
        <w:tc>
          <w:tcPr>
            <w:tcW w:w="809" w:type="pct"/>
            <w:tcBorders>
              <w:top w:val="single" w:sz="4" w:space="0" w:color="auto"/>
              <w:left w:val="single" w:sz="6" w:space="0" w:color="auto"/>
              <w:bottom w:val="single" w:sz="6" w:space="0" w:color="auto"/>
              <w:right w:val="single" w:sz="4" w:space="0" w:color="auto"/>
            </w:tcBorders>
            <w:shd w:val="clear" w:color="auto" w:fill="C00000"/>
            <w:vAlign w:val="center"/>
            <w:hideMark/>
          </w:tcPr>
          <w:p w14:paraId="3302BB4C" w14:textId="77777777" w:rsidR="00B97365" w:rsidRDefault="00000000">
            <w:pPr>
              <w:jc w:val="center"/>
              <w:rPr>
                <w:rFonts w:cs="Calibri"/>
                <w:b/>
                <w:color w:val="FFFFFF"/>
                <w:sz w:val="16"/>
                <w:szCs w:val="16"/>
              </w:rPr>
            </w:pPr>
            <w:r>
              <w:rPr>
                <w:rFonts w:cs="Calibri"/>
                <w:b/>
                <w:color w:val="FFFFFF"/>
                <w:sz w:val="16"/>
                <w:szCs w:val="16"/>
              </w:rPr>
              <w:t>Function</w:t>
            </w:r>
          </w:p>
          <w:p w14:paraId="0AD825C9" w14:textId="77777777" w:rsidR="00B97365" w:rsidRDefault="00000000">
            <w:pPr>
              <w:jc w:val="center"/>
              <w:rPr>
                <w:rFonts w:cs="Calibri"/>
                <w:b/>
                <w:color w:val="FFFFFF"/>
                <w:sz w:val="16"/>
                <w:szCs w:val="16"/>
              </w:rPr>
            </w:pPr>
            <w:r>
              <w:rPr>
                <w:rFonts w:cs="Calibri"/>
                <w:b/>
                <w:color w:val="FFFFFF"/>
                <w:sz w:val="16"/>
                <w:szCs w:val="16"/>
              </w:rPr>
              <w:t>provider Role</w:t>
            </w:r>
          </w:p>
        </w:tc>
      </w:tr>
      <w:tr w:rsidR="00B97365" w14:paraId="7F7031AE" w14:textId="77777777">
        <w:trPr>
          <w:trHeight w:val="270"/>
        </w:trPr>
        <w:tc>
          <w:tcPr>
            <w:tcW w:w="515" w:type="pct"/>
            <w:tcBorders>
              <w:top w:val="single" w:sz="6" w:space="0" w:color="auto"/>
              <w:left w:val="single" w:sz="4" w:space="0" w:color="auto"/>
              <w:bottom w:val="single" w:sz="4" w:space="0" w:color="auto"/>
              <w:right w:val="single" w:sz="6" w:space="0" w:color="auto"/>
            </w:tcBorders>
            <w:vAlign w:val="center"/>
            <w:hideMark/>
          </w:tcPr>
          <w:p w14:paraId="04B289E7" w14:textId="77777777" w:rsidR="00B97365" w:rsidRDefault="00000000">
            <w:pPr>
              <w:rPr>
                <w:rFonts w:cs="Calibri"/>
                <w:sz w:val="16"/>
                <w:szCs w:val="16"/>
              </w:rPr>
            </w:pPr>
            <w:r>
              <w:rPr>
                <w:rFonts w:cs="Calibri"/>
                <w:sz w:val="16"/>
                <w:szCs w:val="16"/>
              </w:rPr>
              <w:t>ES5</w:t>
            </w:r>
          </w:p>
        </w:tc>
        <w:tc>
          <w:tcPr>
            <w:tcW w:w="1103" w:type="pct"/>
            <w:tcBorders>
              <w:top w:val="single" w:sz="6" w:space="0" w:color="auto"/>
              <w:left w:val="single" w:sz="6" w:space="0" w:color="auto"/>
              <w:bottom w:val="single" w:sz="4" w:space="0" w:color="auto"/>
              <w:right w:val="single" w:sz="6" w:space="0" w:color="auto"/>
            </w:tcBorders>
            <w:vAlign w:val="center"/>
            <w:hideMark/>
          </w:tcPr>
          <w:p w14:paraId="50610FCD" w14:textId="77777777" w:rsidR="00B97365" w:rsidRDefault="00000000">
            <w:pPr>
              <w:rPr>
                <w:rFonts w:cs="Calibri"/>
                <w:sz w:val="16"/>
                <w:szCs w:val="16"/>
              </w:rPr>
            </w:pPr>
            <w:r>
              <w:rPr>
                <w:rFonts w:cs="Calibri"/>
                <w:sz w:val="16"/>
                <w:szCs w:val="16"/>
              </w:rPr>
              <w:t>Platform Management</w:t>
            </w:r>
          </w:p>
        </w:tc>
        <w:tc>
          <w:tcPr>
            <w:tcW w:w="2573" w:type="pct"/>
            <w:tcBorders>
              <w:top w:val="single" w:sz="6" w:space="0" w:color="auto"/>
              <w:left w:val="single" w:sz="6" w:space="0" w:color="auto"/>
              <w:bottom w:val="single" w:sz="4" w:space="0" w:color="auto"/>
              <w:right w:val="single" w:sz="6" w:space="0" w:color="auto"/>
            </w:tcBorders>
            <w:vAlign w:val="center"/>
            <w:hideMark/>
          </w:tcPr>
          <w:p w14:paraId="36A7FDBF" w14:textId="77777777" w:rsidR="00B97365" w:rsidRDefault="00000000">
            <w:pPr>
              <w:rPr>
                <w:rFonts w:ascii="Courier New" w:hAnsi="Courier New" w:cs="Courier New"/>
                <w:sz w:val="16"/>
                <w:szCs w:val="16"/>
              </w:rPr>
            </w:pPr>
            <w:r>
              <w:rPr>
                <w:rFonts w:ascii="Courier New" w:hAnsi="Courier New" w:cs="Courier New"/>
                <w:sz w:val="16"/>
                <w:szCs w:val="16"/>
              </w:rPr>
              <w:t>HandleDefaultNotification</w:t>
            </w:r>
          </w:p>
          <w:p w14:paraId="65BE4CCB" w14:textId="77777777" w:rsidR="00B97365" w:rsidRDefault="00000000">
            <w:pPr>
              <w:rPr>
                <w:rFonts w:ascii="Courier New" w:hAnsi="Courier New" w:cs="Courier New"/>
                <w:sz w:val="16"/>
                <w:szCs w:val="16"/>
              </w:rPr>
            </w:pPr>
            <w:r>
              <w:rPr>
                <w:rFonts w:ascii="Courier New" w:hAnsi="Courier New" w:cs="Courier New"/>
                <w:sz w:val="16"/>
                <w:szCs w:val="16"/>
              </w:rPr>
              <w:t>HandleNotificationConfirmation</w:t>
            </w:r>
          </w:p>
        </w:tc>
        <w:tc>
          <w:tcPr>
            <w:tcW w:w="809" w:type="pct"/>
            <w:tcBorders>
              <w:top w:val="single" w:sz="6" w:space="0" w:color="auto"/>
              <w:left w:val="single" w:sz="6" w:space="0" w:color="auto"/>
              <w:bottom w:val="single" w:sz="4" w:space="0" w:color="auto"/>
              <w:right w:val="single" w:sz="4" w:space="0" w:color="auto"/>
            </w:tcBorders>
            <w:vAlign w:val="center"/>
            <w:hideMark/>
          </w:tcPr>
          <w:p w14:paraId="509501BB" w14:textId="77777777" w:rsidR="00B97365" w:rsidRDefault="00000000">
            <w:pPr>
              <w:jc w:val="center"/>
              <w:rPr>
                <w:sz w:val="16"/>
                <w:szCs w:val="16"/>
              </w:rPr>
            </w:pPr>
            <w:r>
              <w:rPr>
                <w:rFonts w:cs="Calibri"/>
                <w:sz w:val="16"/>
                <w:szCs w:val="16"/>
              </w:rPr>
              <w:t>SM-SR</w:t>
            </w:r>
          </w:p>
        </w:tc>
      </w:tr>
    </w:tbl>
    <w:p w14:paraId="0E2EDCBF"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Notification Handler Functions</w:t>
      </w:r>
    </w:p>
    <w:p w14:paraId="36D73AAB"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128" w:name="_Toc448998241"/>
      <w:bookmarkStart w:id="2129" w:name="_Toc422150715"/>
      <w:bookmarkStart w:id="2130" w:name="_Toc421874295"/>
      <w:bookmarkStart w:id="2131" w:name="_Toc420594402"/>
      <w:bookmarkStart w:id="2132" w:name="_Toc398214836"/>
      <w:bookmarkStart w:id="2133" w:name="_Toc375158252"/>
      <w:bookmarkStart w:id="2134" w:name="_Toc374348501"/>
      <w:bookmarkStart w:id="2135" w:name="_Toc368932225"/>
      <w:bookmarkStart w:id="2136" w:name="_Toc486332859"/>
      <w:bookmarkStart w:id="2137" w:name="_Toc1977304"/>
      <w:bookmarkStart w:id="2138" w:name="_Toc37062463"/>
      <w:bookmarkStart w:id="2139" w:name="_Toc88839568"/>
      <w:bookmarkStart w:id="2140" w:name="_Toc121503976"/>
      <w:r>
        <w:rPr>
          <w:rFonts w:eastAsia="Times New Roman" w:cs="Arial"/>
          <w:b/>
          <w:bCs/>
          <w:iCs/>
          <w:sz w:val="24"/>
          <w:szCs w:val="28"/>
          <w:lang w:eastAsia="en-US"/>
        </w:rPr>
        <w:t xml:space="preserve">Functions </w:t>
      </w:r>
      <w:r>
        <w:rPr>
          <w:rFonts w:eastAsia="Times New Roman" w:cs="Arial"/>
          <w:b/>
          <w:sz w:val="24"/>
          <w:szCs w:val="28"/>
          <w:lang w:eastAsia="en-US"/>
        </w:rPr>
        <w:t>Description</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14:paraId="79F27D32" w14:textId="77777777" w:rsidR="00B97365" w:rsidRDefault="00000000">
      <w:pPr>
        <w:spacing w:before="0" w:after="200" w:line="276" w:lineRule="auto"/>
        <w:ind w:left="1560" w:hanging="1276"/>
        <w:jc w:val="left"/>
      </w:pPr>
      <w:r>
        <w:rPr>
          <w:rFonts w:cs="Arial"/>
          <w:szCs w:val="22"/>
          <w:lang w:val="en-US" w:eastAsia="en-GB" w:bidi="ar-SA"/>
        </w:rPr>
        <w:t xml:space="preserve">NOTE: </w:t>
      </w:r>
      <w:r>
        <w:rPr>
          <w:rFonts w:cs="Arial"/>
          <w:szCs w:val="22"/>
          <w:lang w:val="en-US" w:eastAsia="en-GB" w:bidi="ar-SA"/>
        </w:rPr>
        <w:tab/>
        <w:t xml:space="preserve">If </w:t>
      </w:r>
      <w:r>
        <w:rPr>
          <w:szCs w:val="22"/>
          <w:lang w:eastAsia="en-GB" w:bidi="ar-SA"/>
        </w:rPr>
        <w:t>any</w:t>
      </w:r>
      <w:r>
        <w:rPr>
          <w:szCs w:val="22"/>
          <w:lang w:val="en-US" w:eastAsia="en-GB" w:bidi="ar-SA"/>
        </w:rPr>
        <w:t xml:space="preserve"> command, such as Profile Enabling, Profile Disabling, and Profile Download and Installation does not complete successfully, the eUICC SHALL maintain the state it was in before it received the command.</w:t>
      </w:r>
      <w:bookmarkStart w:id="2141" w:name="_Toc421885588"/>
      <w:bookmarkStart w:id="2142" w:name="_Toc421885967"/>
      <w:bookmarkEnd w:id="2141"/>
      <w:bookmarkEnd w:id="2142"/>
    </w:p>
    <w:p w14:paraId="66B9E78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143" w:name="_Toc448998242"/>
      <w:bookmarkStart w:id="2144" w:name="_Toc422150716"/>
      <w:bookmarkStart w:id="2145" w:name="_Toc421874296"/>
      <w:bookmarkStart w:id="2146" w:name="_Toc420594403"/>
      <w:bookmarkStart w:id="2147" w:name="_Toc398214837"/>
      <w:bookmarkStart w:id="2148" w:name="_Toc375158253"/>
      <w:bookmarkStart w:id="2149" w:name="_Toc368932226"/>
      <w:bookmarkStart w:id="2150" w:name="_Ref481750157"/>
      <w:bookmarkStart w:id="2151" w:name="_Toc486332860"/>
      <w:bookmarkStart w:id="2152" w:name="_Toc1977305"/>
      <w:bookmarkStart w:id="2153" w:name="_Toc37062464"/>
      <w:bookmarkStart w:id="2154" w:name="_Toc88839569"/>
      <w:bookmarkStart w:id="2155" w:name="_Toc121503977"/>
      <w:r>
        <w:rPr>
          <w:rFonts w:eastAsia="Times New Roman" w:cs="Arial"/>
          <w:b/>
          <w:bCs/>
          <w:iCs/>
          <w:sz w:val="24"/>
          <w:szCs w:val="26"/>
          <w:lang w:eastAsia="en-US"/>
        </w:rPr>
        <w:t>ES5 (SM-SR–eUICC) Interface Description</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r>
        <w:rPr>
          <w:rFonts w:eastAsia="Times New Roman" w:cs="Arial"/>
          <w:b/>
          <w:bCs/>
          <w:iCs/>
          <w:sz w:val="24"/>
          <w:szCs w:val="26"/>
          <w:lang w:eastAsia="en-US"/>
        </w:rPr>
        <w:t xml:space="preserve"> </w:t>
      </w:r>
    </w:p>
    <w:p w14:paraId="04F392A4"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156" w:name="_Toc374345804"/>
      <w:bookmarkStart w:id="2157" w:name="_Toc374346150"/>
      <w:bookmarkStart w:id="2158" w:name="_Toc374346495"/>
      <w:bookmarkStart w:id="2159" w:name="_Toc374346841"/>
      <w:bookmarkStart w:id="2160" w:name="_Toc374347300"/>
      <w:bookmarkStart w:id="2161" w:name="_Toc374347530"/>
      <w:bookmarkStart w:id="2162" w:name="_Toc374347759"/>
      <w:bookmarkStart w:id="2163" w:name="_Toc374348502"/>
      <w:bookmarkStart w:id="2164" w:name="_Toc375054829"/>
      <w:bookmarkStart w:id="2165" w:name="_Toc375157912"/>
      <w:bookmarkStart w:id="2166" w:name="_Toc375158254"/>
      <w:bookmarkStart w:id="2167" w:name="_Toc378865410"/>
      <w:bookmarkStart w:id="2168" w:name="_Toc396149140"/>
      <w:bookmarkStart w:id="2169" w:name="_Toc396149708"/>
      <w:bookmarkStart w:id="2170" w:name="_Toc396150149"/>
      <w:bookmarkStart w:id="2171" w:name="_Toc398214838"/>
      <w:bookmarkStart w:id="2172" w:name="_Toc398291528"/>
      <w:bookmarkStart w:id="2173" w:name="_Toc398291871"/>
      <w:bookmarkStart w:id="2174" w:name="_Toc398292980"/>
      <w:bookmarkStart w:id="2175" w:name="_Toc400964110"/>
      <w:bookmarkStart w:id="2176" w:name="_Toc420594404"/>
      <w:bookmarkStart w:id="2177" w:name="_Toc420928385"/>
      <w:bookmarkStart w:id="2178" w:name="_Toc421106706"/>
      <w:bookmarkStart w:id="2179" w:name="_Toc421172990"/>
      <w:bookmarkStart w:id="2180" w:name="_Toc421874297"/>
      <w:bookmarkStart w:id="2181" w:name="_Toc422028838"/>
      <w:bookmarkStart w:id="2182" w:name="_Toc422029750"/>
      <w:bookmarkStart w:id="2183" w:name="_Toc374345805"/>
      <w:bookmarkStart w:id="2184" w:name="_Toc374346151"/>
      <w:bookmarkStart w:id="2185" w:name="_Toc374346496"/>
      <w:bookmarkStart w:id="2186" w:name="_Toc374346842"/>
      <w:bookmarkStart w:id="2187" w:name="_Toc374347301"/>
      <w:bookmarkStart w:id="2188" w:name="_Toc374347531"/>
      <w:bookmarkStart w:id="2189" w:name="_Toc374347760"/>
      <w:bookmarkStart w:id="2190" w:name="_Toc374348503"/>
      <w:bookmarkStart w:id="2191" w:name="_Toc375054830"/>
      <w:bookmarkStart w:id="2192" w:name="_Toc375157913"/>
      <w:bookmarkStart w:id="2193" w:name="_Toc375158255"/>
      <w:bookmarkStart w:id="2194" w:name="_Toc378865411"/>
      <w:bookmarkStart w:id="2195" w:name="_Toc396149141"/>
      <w:bookmarkStart w:id="2196" w:name="_Toc396149709"/>
      <w:bookmarkStart w:id="2197" w:name="_Toc396150150"/>
      <w:bookmarkStart w:id="2198" w:name="_Toc398214839"/>
      <w:bookmarkStart w:id="2199" w:name="_Toc398291529"/>
      <w:bookmarkStart w:id="2200" w:name="_Toc398291872"/>
      <w:bookmarkStart w:id="2201" w:name="_Toc398292981"/>
      <w:bookmarkStart w:id="2202" w:name="_Toc400964111"/>
      <w:bookmarkStart w:id="2203" w:name="_Toc420594405"/>
      <w:bookmarkStart w:id="2204" w:name="_Toc420928386"/>
      <w:bookmarkStart w:id="2205" w:name="_Toc421106707"/>
      <w:bookmarkStart w:id="2206" w:name="_Toc421172991"/>
      <w:bookmarkStart w:id="2207" w:name="_Toc421874298"/>
      <w:bookmarkStart w:id="2208" w:name="_Toc422028839"/>
      <w:bookmarkStart w:id="2209" w:name="_Toc422029751"/>
      <w:bookmarkStart w:id="2210" w:name="_Toc374345806"/>
      <w:bookmarkStart w:id="2211" w:name="_Toc374346152"/>
      <w:bookmarkStart w:id="2212" w:name="_Toc374346497"/>
      <w:bookmarkStart w:id="2213" w:name="_Toc374346843"/>
      <w:bookmarkStart w:id="2214" w:name="_Toc374347302"/>
      <w:bookmarkStart w:id="2215" w:name="_Toc374347532"/>
      <w:bookmarkStart w:id="2216" w:name="_Toc374347761"/>
      <w:bookmarkStart w:id="2217" w:name="_Toc374348504"/>
      <w:bookmarkStart w:id="2218" w:name="_Toc375054831"/>
      <w:bookmarkStart w:id="2219" w:name="_Toc375157914"/>
      <w:bookmarkStart w:id="2220" w:name="_Toc375158256"/>
      <w:bookmarkStart w:id="2221" w:name="_Toc378865412"/>
      <w:bookmarkStart w:id="2222" w:name="_Toc396149142"/>
      <w:bookmarkStart w:id="2223" w:name="_Toc396149710"/>
      <w:bookmarkStart w:id="2224" w:name="_Toc396150151"/>
      <w:bookmarkStart w:id="2225" w:name="_Toc398214840"/>
      <w:bookmarkStart w:id="2226" w:name="_Toc398291530"/>
      <w:bookmarkStart w:id="2227" w:name="_Toc398291873"/>
      <w:bookmarkStart w:id="2228" w:name="_Toc398292982"/>
      <w:bookmarkStart w:id="2229" w:name="_Toc400964112"/>
      <w:bookmarkStart w:id="2230" w:name="_Toc420594406"/>
      <w:bookmarkStart w:id="2231" w:name="_Toc420928387"/>
      <w:bookmarkStart w:id="2232" w:name="_Toc421106708"/>
      <w:bookmarkStart w:id="2233" w:name="_Toc421172992"/>
      <w:bookmarkStart w:id="2234" w:name="_Toc421874299"/>
      <w:bookmarkStart w:id="2235" w:name="_Toc422028840"/>
      <w:bookmarkStart w:id="2236" w:name="_Toc422029752"/>
      <w:bookmarkStart w:id="2237" w:name="_Toc375054832"/>
      <w:bookmarkStart w:id="2238" w:name="_Toc375157915"/>
      <w:bookmarkStart w:id="2239" w:name="_Toc375158257"/>
      <w:bookmarkStart w:id="2240" w:name="_Toc378865413"/>
      <w:bookmarkStart w:id="2241" w:name="_Toc396149143"/>
      <w:bookmarkStart w:id="2242" w:name="_Toc396149711"/>
      <w:bookmarkStart w:id="2243" w:name="_Toc396150152"/>
      <w:bookmarkStart w:id="2244" w:name="_Toc398214841"/>
      <w:bookmarkStart w:id="2245" w:name="_Toc398291531"/>
      <w:bookmarkStart w:id="2246" w:name="_Toc398291874"/>
      <w:bookmarkStart w:id="2247" w:name="_Toc398292983"/>
      <w:bookmarkStart w:id="2248" w:name="_Toc400964113"/>
      <w:bookmarkStart w:id="2249" w:name="_Toc420594407"/>
      <w:bookmarkStart w:id="2250" w:name="_Toc420928388"/>
      <w:bookmarkStart w:id="2251" w:name="_Toc421106709"/>
      <w:bookmarkStart w:id="2252" w:name="_Toc421172993"/>
      <w:bookmarkStart w:id="2253" w:name="_Toc421874300"/>
      <w:bookmarkStart w:id="2254" w:name="_Toc422028841"/>
      <w:bookmarkStart w:id="2255" w:name="_Toc422029753"/>
      <w:bookmarkStart w:id="2256" w:name="_Toc368932227"/>
      <w:bookmarkStart w:id="2257" w:name="_Ref373915906"/>
      <w:bookmarkStart w:id="2258" w:name="_Toc1977306"/>
      <w:bookmarkStart w:id="2259" w:name="_Toc3706246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r>
        <w:rPr>
          <w:rFonts w:ascii="Arial Bold" w:eastAsia="Times New Roman" w:hAnsi="Arial Bold" w:cs="Arial"/>
          <w:szCs w:val="28"/>
          <w:lang w:eastAsia="en-US"/>
        </w:rPr>
        <w:t>ISD-P Creation</w:t>
      </w:r>
      <w:bookmarkEnd w:id="2256"/>
      <w:bookmarkEnd w:id="2257"/>
      <w:bookmarkEnd w:id="2258"/>
      <w:bookmarkEnd w:id="2259"/>
    </w:p>
    <w:p w14:paraId="0F4D4F55" w14:textId="77777777" w:rsidR="00B97365" w:rsidRDefault="00000000">
      <w:pPr>
        <w:spacing w:before="0" w:after="200" w:line="276" w:lineRule="auto"/>
        <w:jc w:val="left"/>
        <w:rPr>
          <w:szCs w:val="22"/>
          <w:lang w:val="en-US" w:eastAsia="en-GB" w:bidi="ar-SA"/>
        </w:rPr>
      </w:pPr>
      <w:bookmarkStart w:id="2260" w:name="_Toc420594408"/>
      <w:r>
        <w:rPr>
          <w:rFonts w:cs="Arial"/>
          <w:b/>
          <w:szCs w:val="22"/>
          <w:lang w:val="en-US" w:eastAsia="en-GB" w:bidi="ar-SA"/>
        </w:rPr>
        <w:t>Function name:</w:t>
      </w:r>
      <w:r>
        <w:rPr>
          <w:szCs w:val="22"/>
          <w:lang w:val="en-US" w:eastAsia="en-GB" w:bidi="ar-SA"/>
        </w:rPr>
        <w:t xml:space="preserve"> CreateISDP</w:t>
      </w:r>
      <w:bookmarkEnd w:id="2260"/>
    </w:p>
    <w:p w14:paraId="23E93ABC" w14:textId="77777777" w:rsidR="00B97365" w:rsidRDefault="00000000">
      <w:pPr>
        <w:spacing w:before="0" w:after="200" w:line="276" w:lineRule="auto"/>
        <w:jc w:val="left"/>
        <w:rPr>
          <w:szCs w:val="22"/>
          <w:lang w:val="en-US" w:eastAsia="en-GB" w:bidi="ar-SA"/>
        </w:rPr>
      </w:pPr>
      <w:bookmarkStart w:id="2261" w:name="_Toc420594409"/>
      <w:r>
        <w:rPr>
          <w:rFonts w:cs="Arial"/>
          <w:b/>
          <w:szCs w:val="22"/>
          <w:lang w:val="en-US" w:eastAsia="en-GB" w:bidi="ar-SA"/>
        </w:rPr>
        <w:t>Related Procedures:</w:t>
      </w:r>
      <w:r>
        <w:rPr>
          <w:szCs w:val="22"/>
          <w:lang w:val="en-US" w:eastAsia="en-GB" w:bidi="ar-SA"/>
        </w:rPr>
        <w:t xml:space="preserve"> ISD-P creation</w:t>
      </w:r>
      <w:bookmarkEnd w:id="2261"/>
    </w:p>
    <w:p w14:paraId="457F0361" w14:textId="77777777" w:rsidR="00B97365" w:rsidRDefault="00000000">
      <w:pPr>
        <w:spacing w:before="0" w:after="200" w:line="276" w:lineRule="auto"/>
        <w:jc w:val="left"/>
        <w:rPr>
          <w:szCs w:val="22"/>
          <w:lang w:val="en-US" w:eastAsia="en-GB" w:bidi="ar-SA"/>
        </w:rPr>
      </w:pPr>
      <w:bookmarkStart w:id="2262" w:name="_Toc420594410"/>
      <w:r>
        <w:rPr>
          <w:rFonts w:cs="Arial"/>
          <w:b/>
          <w:szCs w:val="22"/>
          <w:lang w:val="en-US" w:eastAsia="en-GB" w:bidi="ar-SA"/>
        </w:rPr>
        <w:t>Function group:</w:t>
      </w:r>
      <w:r>
        <w:rPr>
          <w:szCs w:val="22"/>
          <w:lang w:val="en-US" w:eastAsia="en-GB" w:bidi="ar-SA"/>
        </w:rPr>
        <w:t xml:space="preserve"> Platform Management</w:t>
      </w:r>
      <w:bookmarkEnd w:id="2262"/>
    </w:p>
    <w:p w14:paraId="34B18C36" w14:textId="77777777" w:rsidR="00B97365" w:rsidRDefault="00000000">
      <w:pPr>
        <w:spacing w:before="0" w:after="200" w:line="276" w:lineRule="auto"/>
        <w:jc w:val="left"/>
        <w:rPr>
          <w:szCs w:val="22"/>
          <w:lang w:val="en-US" w:eastAsia="en-GB" w:bidi="ar-SA"/>
        </w:rPr>
      </w:pPr>
      <w:bookmarkStart w:id="2263" w:name="_Toc420594411"/>
      <w:r>
        <w:rPr>
          <w:rFonts w:cs="Arial"/>
          <w:b/>
          <w:szCs w:val="22"/>
          <w:lang w:val="en-US" w:eastAsia="en-GB" w:bidi="ar-SA"/>
        </w:rPr>
        <w:t>Function Provider entity:</w:t>
      </w:r>
      <w:r>
        <w:rPr>
          <w:szCs w:val="22"/>
          <w:lang w:val="en-US" w:eastAsia="en-GB" w:bidi="ar-SA"/>
        </w:rPr>
        <w:t xml:space="preserve"> ISD-R</w:t>
      </w:r>
      <w:bookmarkEnd w:id="2263"/>
    </w:p>
    <w:p w14:paraId="1A5CC3A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creates an ISD-P on the eUICC.</w:t>
      </w:r>
    </w:p>
    <w:p w14:paraId="73CA441D" w14:textId="77777777" w:rsidR="00B97365" w:rsidRDefault="00000000">
      <w:pPr>
        <w:spacing w:before="0" w:after="200" w:line="276" w:lineRule="auto"/>
        <w:jc w:val="left"/>
        <w:rPr>
          <w:b/>
          <w:szCs w:val="22"/>
          <w:u w:val="single"/>
          <w:lang w:val="en-US" w:eastAsia="en-GB" w:bidi="ar-SA"/>
        </w:rPr>
      </w:pPr>
      <w:bookmarkStart w:id="2264" w:name="_Toc420594412"/>
      <w:r>
        <w:rPr>
          <w:rFonts w:cs="Arial"/>
          <w:b/>
          <w:szCs w:val="22"/>
          <w:u w:val="single"/>
          <w:lang w:val="en-US" w:eastAsia="en-GB" w:bidi="ar-SA"/>
        </w:rPr>
        <w:t>Parameters:</w:t>
      </w:r>
      <w:bookmarkEnd w:id="2264"/>
    </w:p>
    <w:p w14:paraId="31A40F1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ISD-P-AID </w:t>
      </w:r>
    </w:p>
    <w:p w14:paraId="7DE29C7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Cumulative Granted Non Volatile Memory for the ISD-P (optional)</w:t>
      </w:r>
    </w:p>
    <w:p w14:paraId="7999A89E" w14:textId="77777777" w:rsidR="00B97365" w:rsidRDefault="00000000">
      <w:pPr>
        <w:spacing w:before="0" w:after="200" w:line="276" w:lineRule="auto"/>
        <w:jc w:val="left"/>
        <w:rPr>
          <w:b/>
          <w:szCs w:val="22"/>
          <w:u w:val="single"/>
          <w:lang w:val="en-US" w:eastAsia="en-GB" w:bidi="ar-SA"/>
        </w:rPr>
      </w:pPr>
      <w:bookmarkStart w:id="2265" w:name="_Toc420594413"/>
      <w:r>
        <w:rPr>
          <w:rFonts w:cs="Arial"/>
          <w:b/>
          <w:szCs w:val="22"/>
          <w:u w:val="single"/>
          <w:lang w:val="en-US" w:eastAsia="en-GB" w:bidi="ar-SA"/>
        </w:rPr>
        <w:t>Prerequisite:</w:t>
      </w:r>
      <w:bookmarkEnd w:id="2265"/>
    </w:p>
    <w:p w14:paraId="16E6AD8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SM-SR has assigned an ISD-P-AID. </w:t>
      </w:r>
    </w:p>
    <w:p w14:paraId="2A9B34A9" w14:textId="77777777" w:rsidR="00B97365" w:rsidRDefault="00000000">
      <w:pPr>
        <w:spacing w:before="0" w:after="200" w:line="276" w:lineRule="auto"/>
        <w:jc w:val="left"/>
        <w:rPr>
          <w:b/>
          <w:szCs w:val="22"/>
          <w:u w:val="single"/>
          <w:lang w:val="en-US" w:eastAsia="en-GB" w:bidi="ar-SA"/>
        </w:rPr>
      </w:pPr>
      <w:bookmarkStart w:id="2266" w:name="_Toc420594414"/>
      <w:r>
        <w:rPr>
          <w:rFonts w:cs="Arial"/>
          <w:b/>
          <w:szCs w:val="22"/>
          <w:u w:val="single"/>
          <w:lang w:val="en-US" w:eastAsia="en-GB" w:bidi="ar-SA"/>
        </w:rPr>
        <w:t>Command Description:</w:t>
      </w:r>
      <w:bookmarkEnd w:id="2266"/>
    </w:p>
    <w:p w14:paraId="1F400878" w14:textId="77777777" w:rsidR="00B97365" w:rsidRDefault="00000000">
      <w:pPr>
        <w:spacing w:before="0" w:after="200" w:line="276" w:lineRule="auto"/>
        <w:jc w:val="left"/>
        <w:rPr>
          <w:b/>
          <w:i/>
          <w:szCs w:val="22"/>
          <w:lang w:val="en-US" w:eastAsia="en-GB" w:bidi="ar-SA"/>
        </w:rPr>
      </w:pPr>
      <w:bookmarkStart w:id="2267" w:name="_Toc420594415"/>
      <w:r>
        <w:rPr>
          <w:rFonts w:cs="Arial"/>
          <w:b/>
          <w:i/>
          <w:szCs w:val="22"/>
          <w:lang w:val="en-US" w:eastAsia="en-GB" w:bidi="ar-SA"/>
        </w:rPr>
        <w:t>INSTALL COMMAND</w:t>
      </w:r>
      <w:bookmarkEnd w:id="2267"/>
    </w:p>
    <w:p w14:paraId="7691AB99" w14:textId="755AF0A0" w:rsidR="00B97365" w:rsidRDefault="00000000">
      <w:pPr>
        <w:spacing w:before="0" w:after="200" w:line="276" w:lineRule="auto"/>
        <w:jc w:val="left"/>
        <w:rPr>
          <w:szCs w:val="22"/>
          <w:lang w:val="en-US" w:eastAsia="en-GB" w:bidi="ar-SA"/>
        </w:rPr>
      </w:pPr>
      <w:r>
        <w:rPr>
          <w:rFonts w:cs="Arial"/>
          <w:szCs w:val="22"/>
          <w:lang w:val="en-US" w:eastAsia="en-GB" w:bidi="ar-SA"/>
        </w:rPr>
        <w:t xml:space="preserve">The command is an Install command 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4D70FBC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tables describe the installation command and the specific parameters within the data field:</w:t>
      </w:r>
    </w:p>
    <w:p w14:paraId="0277CA0D" w14:textId="77777777" w:rsidR="00B97365" w:rsidRDefault="00B97365">
      <w:pPr>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485"/>
        <w:gridCol w:w="970"/>
        <w:gridCol w:w="4245"/>
      </w:tblGrid>
      <w:tr w:rsidR="00B97365" w14:paraId="1ECB8BA0"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88F1682" w14:textId="77777777" w:rsidR="00B97365" w:rsidRDefault="00000000">
            <w:pPr>
              <w:spacing w:line="276" w:lineRule="auto"/>
              <w:jc w:val="center"/>
              <w:rPr>
                <w:rFonts w:ascii="Calibri" w:eastAsia="Times New Roman" w:hAnsi="Calibri" w:cs="Calibri"/>
                <w:b/>
                <w:sz w:val="16"/>
                <w:szCs w:val="16"/>
                <w:lang w:eastAsia="en-GB" w:bidi="ar-SA"/>
              </w:rPr>
            </w:pPr>
            <w:r>
              <w:rPr>
                <w:rFonts w:ascii="Calibri" w:eastAsia="Times New Roman" w:hAnsi="Calibri"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45F6580" w14:textId="77777777" w:rsidR="00B97365" w:rsidRDefault="00000000">
            <w:pPr>
              <w:spacing w:line="276" w:lineRule="auto"/>
              <w:jc w:val="center"/>
              <w:rPr>
                <w:rFonts w:ascii="Calibri" w:eastAsia="Times New Roman" w:hAnsi="Calibri" w:cs="Calibri"/>
                <w:b/>
                <w:sz w:val="16"/>
                <w:szCs w:val="16"/>
                <w:lang w:eastAsia="en-GB" w:bidi="ar-SA"/>
              </w:rPr>
            </w:pPr>
            <w:r>
              <w:rPr>
                <w:rFonts w:ascii="Calibri" w:eastAsia="Times New Roman" w:hAnsi="Calibri" w:cs="Calibri"/>
                <w:b/>
                <w:sz w:val="16"/>
                <w:szCs w:val="16"/>
                <w:lang w:eastAsia="en-GB" w:bidi="ar-SA"/>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AC5BC09" w14:textId="77777777" w:rsidR="00B97365" w:rsidRDefault="00000000">
            <w:pPr>
              <w:spacing w:line="276" w:lineRule="auto"/>
              <w:jc w:val="center"/>
              <w:rPr>
                <w:rFonts w:ascii="Calibri" w:eastAsia="Times New Roman" w:hAnsi="Calibri" w:cs="Calibri"/>
                <w:b/>
                <w:sz w:val="16"/>
                <w:szCs w:val="16"/>
                <w:lang w:eastAsia="en-GB" w:bidi="ar-SA"/>
              </w:rPr>
            </w:pPr>
            <w:r>
              <w:rPr>
                <w:rFonts w:ascii="Calibri" w:eastAsia="Times New Roman" w:hAnsi="Calibri" w:cs="Calibri"/>
                <w:b/>
                <w:sz w:val="16"/>
                <w:szCs w:val="16"/>
                <w:lang w:eastAsia="en-GB" w:bidi="ar-SA"/>
              </w:rPr>
              <w:t>Meaning</w:t>
            </w:r>
          </w:p>
        </w:tc>
      </w:tr>
      <w:tr w:rsidR="00B97365" w14:paraId="0907EE30" w14:textId="77777777">
        <w:trPr>
          <w:cantSplit/>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1B83140" w14:textId="77777777" w:rsidR="00B97365" w:rsidRDefault="00000000">
            <w:pPr>
              <w:spacing w:line="276" w:lineRule="auto"/>
              <w:ind w:hanging="43"/>
              <w:jc w:val="center"/>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CLA</w:t>
            </w:r>
          </w:p>
        </w:tc>
        <w:tc>
          <w:tcPr>
            <w:tcW w:w="0" w:type="auto"/>
            <w:tcBorders>
              <w:top w:val="single" w:sz="6" w:space="0" w:color="auto"/>
              <w:left w:val="single" w:sz="6" w:space="0" w:color="auto"/>
              <w:bottom w:val="single" w:sz="6" w:space="0" w:color="auto"/>
              <w:right w:val="single" w:sz="6" w:space="0" w:color="auto"/>
            </w:tcBorders>
            <w:vAlign w:val="center"/>
            <w:hideMark/>
          </w:tcPr>
          <w:p w14:paraId="1246199A"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‘80’</w:t>
            </w:r>
          </w:p>
        </w:tc>
        <w:tc>
          <w:tcPr>
            <w:tcW w:w="0" w:type="auto"/>
            <w:tcBorders>
              <w:top w:val="single" w:sz="6" w:space="0" w:color="auto"/>
              <w:left w:val="single" w:sz="6" w:space="0" w:color="auto"/>
              <w:bottom w:val="single" w:sz="6" w:space="0" w:color="auto"/>
              <w:right w:val="single" w:sz="4" w:space="0" w:color="auto"/>
            </w:tcBorders>
            <w:vAlign w:val="center"/>
            <w:hideMark/>
          </w:tcPr>
          <w:p w14:paraId="2650E903"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See GlobalPlatform Card Specification section 11.1</w:t>
            </w:r>
          </w:p>
        </w:tc>
      </w:tr>
      <w:tr w:rsidR="00B97365" w14:paraId="6B7D838D" w14:textId="77777777">
        <w:trPr>
          <w:cantSplit/>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0494F9A" w14:textId="77777777" w:rsidR="00B97365" w:rsidRDefault="00000000">
            <w:pPr>
              <w:spacing w:line="276" w:lineRule="auto"/>
              <w:ind w:hanging="43"/>
              <w:jc w:val="center"/>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677F8835"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‘E6’</w:t>
            </w:r>
          </w:p>
        </w:tc>
        <w:tc>
          <w:tcPr>
            <w:tcW w:w="0" w:type="auto"/>
            <w:tcBorders>
              <w:top w:val="single" w:sz="6" w:space="0" w:color="auto"/>
              <w:left w:val="single" w:sz="6" w:space="0" w:color="auto"/>
              <w:bottom w:val="single" w:sz="6" w:space="0" w:color="auto"/>
              <w:right w:val="single" w:sz="4" w:space="0" w:color="auto"/>
            </w:tcBorders>
            <w:vAlign w:val="center"/>
            <w:hideMark/>
          </w:tcPr>
          <w:p w14:paraId="22993B1D"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INSTALL</w:t>
            </w:r>
          </w:p>
        </w:tc>
      </w:tr>
      <w:tr w:rsidR="00B97365" w14:paraId="7BC3D936" w14:textId="77777777">
        <w:trPr>
          <w:cantSplit/>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92CA505" w14:textId="77777777" w:rsidR="00B97365" w:rsidRDefault="00000000">
            <w:pPr>
              <w:spacing w:line="276" w:lineRule="auto"/>
              <w:ind w:hanging="43"/>
              <w:jc w:val="center"/>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P1</w:t>
            </w:r>
          </w:p>
        </w:tc>
        <w:tc>
          <w:tcPr>
            <w:tcW w:w="0" w:type="auto"/>
            <w:tcBorders>
              <w:top w:val="single" w:sz="6" w:space="0" w:color="auto"/>
              <w:left w:val="single" w:sz="6" w:space="0" w:color="auto"/>
              <w:bottom w:val="single" w:sz="6" w:space="0" w:color="auto"/>
              <w:right w:val="single" w:sz="6" w:space="0" w:color="auto"/>
            </w:tcBorders>
            <w:vAlign w:val="center"/>
            <w:hideMark/>
          </w:tcPr>
          <w:p w14:paraId="50C380C4"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‘0C’</w:t>
            </w:r>
          </w:p>
        </w:tc>
        <w:tc>
          <w:tcPr>
            <w:tcW w:w="0" w:type="auto"/>
            <w:tcBorders>
              <w:top w:val="single" w:sz="6" w:space="0" w:color="auto"/>
              <w:left w:val="single" w:sz="6" w:space="0" w:color="auto"/>
              <w:bottom w:val="single" w:sz="6" w:space="0" w:color="auto"/>
              <w:right w:val="single" w:sz="4" w:space="0" w:color="auto"/>
            </w:tcBorders>
            <w:vAlign w:val="center"/>
            <w:hideMark/>
          </w:tcPr>
          <w:p w14:paraId="772FB1C5" w14:textId="4D45FE29"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 xml:space="preserve">See </w:t>
            </w:r>
            <w:r>
              <w:rPr>
                <w:rFonts w:ascii="Calibri" w:eastAsia="Times New Roman" w:hAnsi="Calibri" w:cs="Calibri"/>
                <w:sz w:val="16"/>
                <w:szCs w:val="16"/>
                <w:lang w:eastAsia="en-GB" w:bidi="ar-SA"/>
              </w:rPr>
              <w:t xml:space="preserve">GlobalPlatform </w:t>
            </w:r>
            <w:r>
              <w:rPr>
                <w:rFonts w:ascii="Calibri" w:eastAsia="Times New Roman" w:hAnsi="Calibri" w:cs="Calibri"/>
                <w:color w:val="000000"/>
                <w:sz w:val="16"/>
                <w:szCs w:val="16"/>
                <w:lang w:eastAsia="en-GB" w:bidi="ar-SA"/>
              </w:rPr>
              <w:t xml:space="preserve">Card Specification </w:t>
            </w:r>
            <w:r>
              <w:fldChar w:fldCharType="begin"/>
            </w:r>
            <w:r>
              <w:rPr>
                <w:rFonts w:ascii="Calibri" w:eastAsia="Times New Roman" w:hAnsi="Calibri" w:cs="Calibri"/>
                <w:color w:val="000000"/>
                <w:sz w:val="16"/>
                <w:szCs w:val="16"/>
                <w:lang w:eastAsia="en-GB" w:bidi="ar-SA"/>
              </w:rPr>
              <w:instrText xml:space="preserve"> REF _Ref421631311 \r \h </w:instrText>
            </w:r>
            <w:r>
              <w:fldChar w:fldCharType="separate"/>
            </w:r>
            <w:r w:rsidR="001D5AD9">
              <w:rPr>
                <w:rFonts w:ascii="Calibri" w:eastAsia="Times New Roman" w:hAnsi="Calibri" w:cs="Calibri"/>
                <w:color w:val="000000"/>
                <w:sz w:val="16"/>
                <w:szCs w:val="16"/>
                <w:lang w:eastAsia="en-GB" w:bidi="ar-SA"/>
              </w:rPr>
              <w:t>[6]</w:t>
            </w:r>
            <w:r>
              <w:fldChar w:fldCharType="end"/>
            </w:r>
            <w:r>
              <w:rPr>
                <w:rFonts w:ascii="Calibri" w:eastAsia="Times New Roman" w:hAnsi="Calibri" w:cs="Calibri"/>
                <w:sz w:val="16"/>
                <w:szCs w:val="16"/>
                <w:lang w:eastAsia="en-GB" w:bidi="ar-SA"/>
              </w:rPr>
              <w:t xml:space="preserve"> </w:t>
            </w:r>
            <w:r>
              <w:rPr>
                <w:rFonts w:ascii="Calibri" w:eastAsia="Times New Roman" w:hAnsi="Calibri" w:cs="Calibri"/>
                <w:color w:val="000000"/>
                <w:sz w:val="16"/>
                <w:szCs w:val="16"/>
                <w:lang w:eastAsia="en-GB" w:bidi="ar-SA"/>
              </w:rPr>
              <w:t>section 11.5.2.1</w:t>
            </w:r>
          </w:p>
        </w:tc>
      </w:tr>
      <w:tr w:rsidR="00B97365" w14:paraId="53BBB85B" w14:textId="77777777">
        <w:trPr>
          <w:cantSplit/>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370D631" w14:textId="77777777" w:rsidR="00B97365" w:rsidRDefault="00000000">
            <w:pPr>
              <w:spacing w:line="276" w:lineRule="auto"/>
              <w:ind w:hanging="43"/>
              <w:jc w:val="center"/>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lastRenderedPageBreak/>
              <w:t>P2</w:t>
            </w:r>
          </w:p>
        </w:tc>
        <w:tc>
          <w:tcPr>
            <w:tcW w:w="0" w:type="auto"/>
            <w:tcBorders>
              <w:top w:val="single" w:sz="6" w:space="0" w:color="auto"/>
              <w:left w:val="single" w:sz="6" w:space="0" w:color="auto"/>
              <w:bottom w:val="single" w:sz="6" w:space="0" w:color="auto"/>
              <w:right w:val="single" w:sz="6" w:space="0" w:color="auto"/>
            </w:tcBorders>
            <w:vAlign w:val="center"/>
            <w:hideMark/>
          </w:tcPr>
          <w:p w14:paraId="3AD5ED18"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3BF57CA6" w14:textId="1D3AD21A"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 xml:space="preserve">See </w:t>
            </w:r>
            <w:r>
              <w:rPr>
                <w:rFonts w:ascii="Calibri" w:eastAsia="Times New Roman" w:hAnsi="Calibri" w:cs="Calibri"/>
                <w:sz w:val="16"/>
                <w:szCs w:val="16"/>
                <w:lang w:eastAsia="en-GB" w:bidi="ar-SA"/>
              </w:rPr>
              <w:t xml:space="preserve">GlobalPlatform </w:t>
            </w:r>
            <w:r>
              <w:rPr>
                <w:rFonts w:ascii="Calibri" w:eastAsia="Times New Roman" w:hAnsi="Calibri" w:cs="Calibri"/>
                <w:color w:val="000000"/>
                <w:sz w:val="16"/>
                <w:szCs w:val="16"/>
                <w:lang w:eastAsia="en-GB" w:bidi="ar-SA"/>
              </w:rPr>
              <w:t xml:space="preserve">Card Specification </w:t>
            </w:r>
            <w:r>
              <w:fldChar w:fldCharType="begin"/>
            </w:r>
            <w:r>
              <w:rPr>
                <w:rFonts w:ascii="Calibri" w:eastAsia="Times New Roman" w:hAnsi="Calibri" w:cs="Calibri"/>
                <w:color w:val="000000"/>
                <w:sz w:val="16"/>
                <w:szCs w:val="16"/>
                <w:lang w:eastAsia="en-GB" w:bidi="ar-SA"/>
              </w:rPr>
              <w:instrText xml:space="preserve"> REF _Ref421631311 \r \h </w:instrText>
            </w:r>
            <w:r>
              <w:fldChar w:fldCharType="separate"/>
            </w:r>
            <w:r w:rsidR="001D5AD9">
              <w:rPr>
                <w:rFonts w:ascii="Calibri" w:eastAsia="Times New Roman" w:hAnsi="Calibri" w:cs="Calibri"/>
                <w:color w:val="000000"/>
                <w:sz w:val="16"/>
                <w:szCs w:val="16"/>
                <w:lang w:eastAsia="en-GB" w:bidi="ar-SA"/>
              </w:rPr>
              <w:t>[6]</w:t>
            </w:r>
            <w:r>
              <w:fldChar w:fldCharType="end"/>
            </w:r>
            <w:r>
              <w:rPr>
                <w:rFonts w:ascii="Calibri" w:eastAsia="Times New Roman" w:hAnsi="Calibri" w:cs="Calibri"/>
                <w:sz w:val="16"/>
                <w:szCs w:val="16"/>
                <w:lang w:eastAsia="en-GB" w:bidi="ar-SA"/>
              </w:rPr>
              <w:t xml:space="preserve"> </w:t>
            </w:r>
            <w:r>
              <w:rPr>
                <w:rFonts w:ascii="Calibri" w:eastAsia="Times New Roman" w:hAnsi="Calibri" w:cs="Calibri"/>
                <w:color w:val="000000"/>
                <w:sz w:val="16"/>
                <w:szCs w:val="16"/>
                <w:lang w:eastAsia="en-GB" w:bidi="ar-SA"/>
              </w:rPr>
              <w:t>section 11.5.2.2</w:t>
            </w:r>
          </w:p>
        </w:tc>
      </w:tr>
      <w:tr w:rsidR="00B97365" w14:paraId="14DF2A04" w14:textId="77777777">
        <w:trPr>
          <w:cantSplit/>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39C62E8" w14:textId="77777777" w:rsidR="00B97365" w:rsidRDefault="00000000">
            <w:pPr>
              <w:spacing w:line="276" w:lineRule="auto"/>
              <w:ind w:hanging="43"/>
              <w:jc w:val="center"/>
              <w:rPr>
                <w:rFonts w:ascii="Calibri" w:eastAsia="Times New Roman" w:hAnsi="Calibri" w:cs="Calibri"/>
                <w:sz w:val="16"/>
                <w:szCs w:val="16"/>
                <w:lang w:eastAsia="en-GB" w:bidi="ar-SA"/>
              </w:rPr>
            </w:pPr>
            <w:r>
              <w:rPr>
                <w:rFonts w:ascii="Calibri" w:eastAsia="Times New Roman" w:hAnsi="Calibri" w:cs="Calibri"/>
                <w:color w:val="000000"/>
                <w:sz w:val="16"/>
                <w:szCs w:val="16"/>
                <w:lang w:eastAsia="en-GB" w:bidi="ar-SA"/>
              </w:rPr>
              <w:t>Lc</w:t>
            </w:r>
          </w:p>
        </w:tc>
        <w:tc>
          <w:tcPr>
            <w:tcW w:w="0" w:type="auto"/>
            <w:tcBorders>
              <w:top w:val="single" w:sz="6" w:space="0" w:color="auto"/>
              <w:left w:val="single" w:sz="6" w:space="0" w:color="auto"/>
              <w:bottom w:val="single" w:sz="6" w:space="0" w:color="auto"/>
              <w:right w:val="single" w:sz="6" w:space="0" w:color="auto"/>
            </w:tcBorders>
            <w:vAlign w:val="center"/>
            <w:hideMark/>
          </w:tcPr>
          <w:p w14:paraId="018B550C"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‘xx’</w:t>
            </w:r>
          </w:p>
        </w:tc>
        <w:tc>
          <w:tcPr>
            <w:tcW w:w="0" w:type="auto"/>
            <w:tcBorders>
              <w:top w:val="single" w:sz="6" w:space="0" w:color="auto"/>
              <w:left w:val="single" w:sz="6" w:space="0" w:color="auto"/>
              <w:bottom w:val="single" w:sz="6" w:space="0" w:color="auto"/>
              <w:right w:val="single" w:sz="4" w:space="0" w:color="auto"/>
            </w:tcBorders>
            <w:vAlign w:val="center"/>
            <w:hideMark/>
          </w:tcPr>
          <w:p w14:paraId="594A5D03"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Data Field Length</w:t>
            </w:r>
          </w:p>
        </w:tc>
      </w:tr>
      <w:tr w:rsidR="00B97365" w14:paraId="5A055DEA" w14:textId="77777777">
        <w:trPr>
          <w:cantSplit/>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05B85F0" w14:textId="77777777" w:rsidR="00B97365" w:rsidRDefault="00000000">
            <w:pPr>
              <w:spacing w:line="276" w:lineRule="auto"/>
              <w:ind w:hanging="43"/>
              <w:jc w:val="center"/>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622E21A6"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‘xxxx…’</w:t>
            </w:r>
          </w:p>
        </w:tc>
        <w:tc>
          <w:tcPr>
            <w:tcW w:w="0" w:type="auto"/>
            <w:tcBorders>
              <w:top w:val="single" w:sz="6" w:space="0" w:color="auto"/>
              <w:left w:val="single" w:sz="6" w:space="0" w:color="auto"/>
              <w:bottom w:val="single" w:sz="6" w:space="0" w:color="auto"/>
              <w:right w:val="single" w:sz="4" w:space="0" w:color="auto"/>
            </w:tcBorders>
            <w:vAlign w:val="center"/>
            <w:hideMark/>
          </w:tcPr>
          <w:p w14:paraId="1ECDD8DD" w14:textId="758D2311"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 xml:space="preserve">See </w:t>
            </w:r>
            <w:r>
              <w:rPr>
                <w:rFonts w:ascii="Calibri" w:eastAsia="Times New Roman" w:hAnsi="Calibri" w:cs="Calibri"/>
                <w:sz w:val="16"/>
                <w:szCs w:val="16"/>
                <w:lang w:eastAsia="en-GB" w:bidi="ar-SA"/>
              </w:rPr>
              <w:t xml:space="preserve">GlobalPlatform </w:t>
            </w:r>
            <w:r>
              <w:rPr>
                <w:rFonts w:ascii="Calibri" w:eastAsia="Times New Roman" w:hAnsi="Calibri" w:cs="Calibri"/>
                <w:color w:val="000000"/>
                <w:sz w:val="16"/>
                <w:szCs w:val="16"/>
                <w:lang w:eastAsia="en-GB" w:bidi="ar-SA"/>
              </w:rPr>
              <w:t xml:space="preserve">Card Specification </w:t>
            </w:r>
            <w:r>
              <w:fldChar w:fldCharType="begin"/>
            </w:r>
            <w:r>
              <w:rPr>
                <w:rFonts w:ascii="Calibri" w:eastAsia="Times New Roman" w:hAnsi="Calibri" w:cs="Calibri"/>
                <w:color w:val="000000"/>
                <w:sz w:val="16"/>
                <w:szCs w:val="16"/>
                <w:lang w:eastAsia="en-GB" w:bidi="ar-SA"/>
              </w:rPr>
              <w:instrText xml:space="preserve"> REF _Ref421631311 \r \h </w:instrText>
            </w:r>
            <w:r>
              <w:fldChar w:fldCharType="separate"/>
            </w:r>
            <w:r w:rsidR="001D5AD9">
              <w:rPr>
                <w:rFonts w:ascii="Calibri" w:eastAsia="Times New Roman" w:hAnsi="Calibri" w:cs="Calibri"/>
                <w:color w:val="000000"/>
                <w:sz w:val="16"/>
                <w:szCs w:val="16"/>
                <w:lang w:eastAsia="en-GB" w:bidi="ar-SA"/>
              </w:rPr>
              <w:t>[6]</w:t>
            </w:r>
            <w:r>
              <w:fldChar w:fldCharType="end"/>
            </w:r>
            <w:r>
              <w:rPr>
                <w:rFonts w:ascii="Calibri" w:eastAsia="Times New Roman" w:hAnsi="Calibri" w:cs="Calibri"/>
                <w:sz w:val="16"/>
                <w:szCs w:val="16"/>
                <w:lang w:eastAsia="en-GB" w:bidi="ar-SA"/>
              </w:rPr>
              <w:t xml:space="preserve"> </w:t>
            </w:r>
            <w:r>
              <w:rPr>
                <w:rFonts w:ascii="Calibri" w:eastAsia="Times New Roman" w:hAnsi="Calibri" w:cs="Calibri"/>
                <w:color w:val="000000"/>
                <w:sz w:val="16"/>
                <w:szCs w:val="16"/>
                <w:lang w:eastAsia="en-GB" w:bidi="ar-SA"/>
              </w:rPr>
              <w:t>section 11.5.2.3</w:t>
            </w:r>
          </w:p>
        </w:tc>
      </w:tr>
      <w:tr w:rsidR="00B97365" w14:paraId="18354A29" w14:textId="77777777">
        <w:trPr>
          <w:cantSplit/>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AF0CCBA" w14:textId="77777777" w:rsidR="00B97365" w:rsidRDefault="00000000">
            <w:pPr>
              <w:spacing w:line="276" w:lineRule="auto"/>
              <w:ind w:hanging="43"/>
              <w:jc w:val="center"/>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Le</w:t>
            </w:r>
          </w:p>
        </w:tc>
        <w:tc>
          <w:tcPr>
            <w:tcW w:w="0" w:type="auto"/>
            <w:tcBorders>
              <w:top w:val="single" w:sz="6" w:space="0" w:color="auto"/>
              <w:left w:val="single" w:sz="6" w:space="0" w:color="auto"/>
              <w:bottom w:val="single" w:sz="4" w:space="0" w:color="auto"/>
              <w:right w:val="single" w:sz="6" w:space="0" w:color="auto"/>
            </w:tcBorders>
            <w:vAlign w:val="center"/>
            <w:hideMark/>
          </w:tcPr>
          <w:p w14:paraId="22EAB292" w14:textId="77777777" w:rsidR="00B97365" w:rsidRDefault="00000000">
            <w:pPr>
              <w:spacing w:line="276" w:lineRule="auto"/>
              <w:ind w:left="360"/>
              <w:jc w:val="left"/>
              <w:rPr>
                <w:rFonts w:ascii="Calibri" w:eastAsia="Times New Roman" w:hAnsi="Calibri" w:cs="Calibri"/>
                <w:color w:val="000000"/>
                <w:sz w:val="16"/>
                <w:szCs w:val="16"/>
                <w:lang w:eastAsia="en-GB" w:bidi="ar-SA"/>
              </w:rPr>
            </w:pPr>
            <w:r>
              <w:rPr>
                <w:rFonts w:ascii="Calibri" w:eastAsia="Times New Roman" w:hAnsi="Calibri" w:cs="Calibri"/>
                <w:color w:val="000000"/>
                <w:sz w:val="16"/>
                <w:szCs w:val="16"/>
                <w:lang w:eastAsia="en-GB" w:bidi="ar-SA"/>
              </w:rPr>
              <w:t>‘00’</w:t>
            </w:r>
          </w:p>
        </w:tc>
        <w:tc>
          <w:tcPr>
            <w:tcW w:w="0" w:type="auto"/>
            <w:tcBorders>
              <w:top w:val="single" w:sz="6" w:space="0" w:color="auto"/>
              <w:left w:val="single" w:sz="6" w:space="0" w:color="auto"/>
              <w:bottom w:val="single" w:sz="4" w:space="0" w:color="auto"/>
              <w:right w:val="single" w:sz="4" w:space="0" w:color="auto"/>
            </w:tcBorders>
            <w:vAlign w:val="center"/>
          </w:tcPr>
          <w:p w14:paraId="20D14AF5" w14:textId="77777777" w:rsidR="00B97365" w:rsidRDefault="00B97365">
            <w:pPr>
              <w:spacing w:line="276" w:lineRule="auto"/>
              <w:ind w:left="360"/>
              <w:jc w:val="left"/>
              <w:rPr>
                <w:rFonts w:ascii="Calibri" w:eastAsia="Times New Roman" w:hAnsi="Calibri" w:cs="Calibri"/>
                <w:color w:val="000000"/>
                <w:sz w:val="16"/>
                <w:szCs w:val="16"/>
                <w:lang w:eastAsia="en-GB" w:bidi="ar-SA"/>
              </w:rPr>
            </w:pPr>
          </w:p>
        </w:tc>
      </w:tr>
    </w:tbl>
    <w:p w14:paraId="4F6AC05D"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xml:space="preserve">: INSTALL Command Message </w:t>
      </w:r>
    </w:p>
    <w:p w14:paraId="4D6295D6"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 xml:space="preserve">Reference Control Parameter P1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20"/>
        <w:gridCol w:w="320"/>
        <w:gridCol w:w="320"/>
        <w:gridCol w:w="320"/>
        <w:gridCol w:w="320"/>
        <w:gridCol w:w="320"/>
        <w:gridCol w:w="320"/>
        <w:gridCol w:w="320"/>
        <w:gridCol w:w="1583"/>
      </w:tblGrid>
      <w:tr w:rsidR="00B97365" w14:paraId="2F62498A"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A1B1BB7" w14:textId="77777777" w:rsidR="00B97365" w:rsidRDefault="00000000">
            <w:pPr>
              <w:rPr>
                <w:rFonts w:cs="Calibri"/>
                <w:color w:val="FFFFFF"/>
                <w:sz w:val="16"/>
                <w:szCs w:val="16"/>
              </w:rPr>
            </w:pPr>
            <w:r>
              <w:rPr>
                <w:rFonts w:cs="Calibri"/>
                <w:color w:val="FFFFFF"/>
                <w:sz w:val="16"/>
                <w:szCs w:val="16"/>
              </w:rPr>
              <w:t xml:space="preserve">b8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D0327AD" w14:textId="77777777" w:rsidR="00B97365" w:rsidRDefault="00000000">
            <w:pPr>
              <w:rPr>
                <w:rFonts w:cs="Calibri"/>
                <w:color w:val="FFFFFF"/>
                <w:sz w:val="16"/>
                <w:szCs w:val="16"/>
              </w:rPr>
            </w:pPr>
            <w:r>
              <w:rPr>
                <w:rFonts w:cs="Calibri"/>
                <w:color w:val="FFFFFF"/>
                <w:sz w:val="16"/>
                <w:szCs w:val="16"/>
              </w:rPr>
              <w:t xml:space="preserve">b7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D15FCC6" w14:textId="77777777" w:rsidR="00B97365" w:rsidRDefault="00000000">
            <w:pPr>
              <w:rPr>
                <w:rFonts w:cs="Calibri"/>
                <w:color w:val="FFFFFF"/>
                <w:sz w:val="16"/>
                <w:szCs w:val="16"/>
              </w:rPr>
            </w:pPr>
            <w:r>
              <w:rPr>
                <w:rFonts w:cs="Calibri"/>
                <w:color w:val="FFFFFF"/>
                <w:sz w:val="16"/>
                <w:szCs w:val="16"/>
              </w:rPr>
              <w:t xml:space="preserve">b6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F8F2B78" w14:textId="77777777" w:rsidR="00B97365" w:rsidRDefault="00000000">
            <w:pPr>
              <w:rPr>
                <w:rFonts w:cs="Calibri"/>
                <w:color w:val="FFFFFF"/>
                <w:sz w:val="16"/>
                <w:szCs w:val="16"/>
              </w:rPr>
            </w:pPr>
            <w:r>
              <w:rPr>
                <w:rFonts w:cs="Calibri"/>
                <w:color w:val="FFFFFF"/>
                <w:sz w:val="16"/>
                <w:szCs w:val="16"/>
              </w:rPr>
              <w:t xml:space="preserve">b5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28377E2" w14:textId="77777777" w:rsidR="00B97365" w:rsidRDefault="00000000">
            <w:pPr>
              <w:rPr>
                <w:rFonts w:cs="Calibri"/>
                <w:color w:val="FFFFFF"/>
                <w:sz w:val="16"/>
                <w:szCs w:val="16"/>
              </w:rPr>
            </w:pPr>
            <w:r>
              <w:rPr>
                <w:rFonts w:cs="Calibri"/>
                <w:color w:val="FFFFFF"/>
                <w:sz w:val="16"/>
                <w:szCs w:val="16"/>
              </w:rPr>
              <w:t xml:space="preserve">b4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89AD20C" w14:textId="77777777" w:rsidR="00B97365" w:rsidRDefault="00000000">
            <w:pPr>
              <w:rPr>
                <w:rFonts w:cs="Calibri"/>
                <w:color w:val="FFFFFF"/>
                <w:sz w:val="16"/>
                <w:szCs w:val="16"/>
              </w:rPr>
            </w:pPr>
            <w:r>
              <w:rPr>
                <w:rFonts w:cs="Calibri"/>
                <w:color w:val="FFFFFF"/>
                <w:sz w:val="16"/>
                <w:szCs w:val="16"/>
              </w:rPr>
              <w:t xml:space="preserve">b3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678F1FF" w14:textId="77777777" w:rsidR="00B97365" w:rsidRDefault="00000000">
            <w:pPr>
              <w:rPr>
                <w:rFonts w:cs="Calibri"/>
                <w:color w:val="FFFFFF"/>
                <w:sz w:val="16"/>
                <w:szCs w:val="16"/>
              </w:rPr>
            </w:pPr>
            <w:r>
              <w:rPr>
                <w:rFonts w:cs="Calibri"/>
                <w:color w:val="FFFFFF"/>
                <w:sz w:val="16"/>
                <w:szCs w:val="16"/>
              </w:rPr>
              <w:t xml:space="preserve">b2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8E8A318" w14:textId="77777777" w:rsidR="00B97365" w:rsidRDefault="00000000">
            <w:pPr>
              <w:rPr>
                <w:rFonts w:cs="Calibri"/>
                <w:color w:val="FFFFFF"/>
                <w:sz w:val="16"/>
                <w:szCs w:val="16"/>
              </w:rPr>
            </w:pPr>
            <w:r>
              <w:rPr>
                <w:rFonts w:cs="Calibri"/>
                <w:color w:val="FFFFFF"/>
                <w:sz w:val="16"/>
                <w:szCs w:val="16"/>
              </w:rPr>
              <w:t xml:space="preserve">b1 </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FC5B94C" w14:textId="77777777" w:rsidR="00B97365" w:rsidRDefault="00000000">
            <w:pPr>
              <w:rPr>
                <w:rFonts w:cs="Calibri"/>
                <w:color w:val="FFFFFF"/>
                <w:sz w:val="16"/>
                <w:szCs w:val="16"/>
              </w:rPr>
            </w:pPr>
            <w:r>
              <w:rPr>
                <w:rFonts w:cs="Calibri"/>
                <w:color w:val="FFFFFF"/>
                <w:sz w:val="16"/>
                <w:szCs w:val="16"/>
              </w:rPr>
              <w:t xml:space="preserve">Meaning </w:t>
            </w:r>
          </w:p>
        </w:tc>
      </w:tr>
      <w:tr w:rsidR="00B97365" w14:paraId="4C6B8FA7" w14:textId="77777777">
        <w:trPr>
          <w:tblHeade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8ABFE0F"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293E77DE" w14:textId="77777777" w:rsidR="00B97365" w:rsidRDefault="00000000">
            <w:pPr>
              <w:rPr>
                <w:rFonts w:cs="Calibri"/>
                <w:b/>
                <w:color w:val="000000"/>
                <w:sz w:val="16"/>
                <w:szCs w:val="16"/>
              </w:rPr>
            </w:pPr>
            <w:r>
              <w:rPr>
                <w:rFonts w:cs="Calibri"/>
                <w:color w:val="000000"/>
                <w:sz w:val="16"/>
                <w:szCs w:val="16"/>
              </w:rPr>
              <w:t xml:space="preserve"> 0 </w:t>
            </w:r>
          </w:p>
        </w:tc>
        <w:tc>
          <w:tcPr>
            <w:tcW w:w="0" w:type="auto"/>
            <w:tcBorders>
              <w:top w:val="single" w:sz="6" w:space="0" w:color="auto"/>
              <w:left w:val="single" w:sz="6" w:space="0" w:color="auto"/>
              <w:bottom w:val="single" w:sz="6" w:space="0" w:color="auto"/>
              <w:right w:val="single" w:sz="6" w:space="0" w:color="auto"/>
            </w:tcBorders>
            <w:vAlign w:val="center"/>
            <w:hideMark/>
          </w:tcPr>
          <w:p w14:paraId="5C894122"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1894AC1E"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1A9BAA8E" w14:textId="77777777" w:rsidR="00B97365" w:rsidRDefault="00000000">
            <w:pPr>
              <w:rPr>
                <w:rFonts w:cs="Calibri"/>
                <w:b/>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60EAD124"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2B663DD4"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0C5EA923"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6" w:space="0" w:color="auto"/>
              <w:right w:val="single" w:sz="4" w:space="0" w:color="auto"/>
            </w:tcBorders>
            <w:vAlign w:val="center"/>
            <w:hideMark/>
          </w:tcPr>
          <w:p w14:paraId="268B6342" w14:textId="77777777" w:rsidR="00B97365" w:rsidRDefault="00000000">
            <w:pPr>
              <w:rPr>
                <w:rFonts w:cs="Calibri"/>
                <w:b/>
                <w:color w:val="000000"/>
                <w:sz w:val="16"/>
                <w:szCs w:val="16"/>
              </w:rPr>
            </w:pPr>
            <w:r>
              <w:rPr>
                <w:rFonts w:cs="Calibri"/>
                <w:color w:val="000000"/>
                <w:sz w:val="16"/>
                <w:szCs w:val="16"/>
              </w:rPr>
              <w:t>For make selectable</w:t>
            </w:r>
          </w:p>
        </w:tc>
      </w:tr>
      <w:tr w:rsidR="00B97365" w14:paraId="410E6483" w14:textId="77777777">
        <w:trPr>
          <w:tblHeade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572C7BE"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2F65A834" w14:textId="77777777" w:rsidR="00B97365" w:rsidRDefault="00000000">
            <w:pPr>
              <w:rPr>
                <w:rFonts w:cs="Calibri"/>
                <w:b/>
                <w:color w:val="000000"/>
                <w:sz w:val="16"/>
                <w:szCs w:val="16"/>
              </w:rPr>
            </w:pPr>
            <w:r>
              <w:rPr>
                <w:rFonts w:cs="Calibri"/>
                <w:color w:val="000000"/>
                <w:sz w:val="16"/>
                <w:szCs w:val="16"/>
              </w:rPr>
              <w:t xml:space="preserve"> 0</w:t>
            </w:r>
          </w:p>
        </w:tc>
        <w:tc>
          <w:tcPr>
            <w:tcW w:w="0" w:type="auto"/>
            <w:tcBorders>
              <w:top w:val="single" w:sz="6" w:space="0" w:color="auto"/>
              <w:left w:val="single" w:sz="6" w:space="0" w:color="auto"/>
              <w:bottom w:val="single" w:sz="4" w:space="0" w:color="auto"/>
              <w:right w:val="single" w:sz="6" w:space="0" w:color="auto"/>
            </w:tcBorders>
            <w:vAlign w:val="center"/>
            <w:hideMark/>
          </w:tcPr>
          <w:p w14:paraId="69F2A71C"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1D01BD4F"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66C834E5"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29A2340C" w14:textId="77777777" w:rsidR="00B97365" w:rsidRDefault="00000000">
            <w:pPr>
              <w:rPr>
                <w:rFonts w:cs="Calibri"/>
                <w:b/>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4" w:space="0" w:color="auto"/>
              <w:right w:val="single" w:sz="6" w:space="0" w:color="auto"/>
            </w:tcBorders>
            <w:vAlign w:val="center"/>
            <w:hideMark/>
          </w:tcPr>
          <w:p w14:paraId="4EB377B1"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56039824"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4" w:space="0" w:color="auto"/>
            </w:tcBorders>
            <w:vAlign w:val="center"/>
            <w:hideMark/>
          </w:tcPr>
          <w:p w14:paraId="62F08AEC" w14:textId="77777777" w:rsidR="00B97365" w:rsidRDefault="00000000">
            <w:pPr>
              <w:rPr>
                <w:rFonts w:cs="Calibri"/>
                <w:b/>
                <w:color w:val="000000"/>
                <w:sz w:val="16"/>
                <w:szCs w:val="16"/>
              </w:rPr>
            </w:pPr>
            <w:r>
              <w:rPr>
                <w:rFonts w:cs="Calibri"/>
                <w:color w:val="000000"/>
                <w:sz w:val="16"/>
                <w:szCs w:val="16"/>
              </w:rPr>
              <w:t>For Install</w:t>
            </w:r>
          </w:p>
        </w:tc>
      </w:tr>
    </w:tbl>
    <w:p w14:paraId="6032DB31"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INSTALL Reference Control Parameter P1</w:t>
      </w:r>
    </w:p>
    <w:p w14:paraId="1A0FCC55"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P2 – ISD-P State Coding</w:t>
      </w:r>
    </w:p>
    <w:p w14:paraId="6B1E9113" w14:textId="589E4417" w:rsidR="00B97365" w:rsidRDefault="00000000">
      <w:pPr>
        <w:spacing w:before="0" w:after="200" w:line="276" w:lineRule="auto"/>
        <w:jc w:val="left"/>
        <w:rPr>
          <w:szCs w:val="22"/>
          <w:lang w:val="en-US" w:eastAsia="en-GB" w:bidi="ar-SA"/>
        </w:rPr>
      </w:pPr>
      <w:r>
        <w:rPr>
          <w:rFonts w:cs="Arial"/>
          <w:szCs w:val="22"/>
          <w:lang w:val="en-US" w:eastAsia="en-GB" w:bidi="ar-SA"/>
        </w:rPr>
        <w:t xml:space="preserve">P2 is set to ‘00’; according to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11.5, this means no information provided. </w:t>
      </w:r>
    </w:p>
    <w:p w14:paraId="0EB06896" w14:textId="77777777" w:rsidR="00B97365" w:rsidRDefault="00000000">
      <w:pPr>
        <w:spacing w:before="0" w:after="200" w:line="276" w:lineRule="auto"/>
        <w:jc w:val="left"/>
        <w:rPr>
          <w:b/>
          <w:i/>
          <w:szCs w:val="22"/>
          <w:lang w:val="en-US" w:eastAsia="en-GB" w:bidi="ar-SA"/>
        </w:rPr>
      </w:pPr>
      <w:bookmarkStart w:id="2268" w:name="_Toc420594416"/>
      <w:r>
        <w:rPr>
          <w:rFonts w:cs="Arial"/>
          <w:b/>
          <w:i/>
          <w:szCs w:val="22"/>
          <w:lang w:val="en-US" w:eastAsia="en-GB" w:bidi="ar-SA"/>
        </w:rPr>
        <w:t>Data Field</w:t>
      </w:r>
      <w:bookmarkEnd w:id="226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2704"/>
        <w:gridCol w:w="819"/>
        <w:gridCol w:w="1957"/>
        <w:gridCol w:w="516"/>
      </w:tblGrid>
      <w:tr w:rsidR="00B97365" w14:paraId="33DBCE3C"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0A8FE83" w14:textId="77777777" w:rsidR="00B97365" w:rsidRDefault="00000000">
            <w:pPr>
              <w:rPr>
                <w:rFonts w:cs="Calibri"/>
                <w:b/>
                <w:color w:val="FFFFFF"/>
                <w:sz w:val="16"/>
                <w:szCs w:val="16"/>
              </w:rPr>
            </w:pPr>
            <w:r>
              <w:rPr>
                <w:rFonts w:cs="Calibri"/>
                <w:b/>
                <w:color w:val="FFFFFF"/>
                <w:sz w:val="16"/>
                <w:szCs w:val="16"/>
              </w:rPr>
              <w:t>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E38AE07" w14:textId="77777777" w:rsidR="00B97365" w:rsidRDefault="00000000">
            <w:pPr>
              <w:rPr>
                <w:rFonts w:cs="Calibri"/>
                <w:b/>
                <w:color w:val="FFFFFF"/>
                <w:sz w:val="16"/>
                <w:szCs w:val="16"/>
              </w:rPr>
            </w:pPr>
            <w:r>
              <w:rPr>
                <w:rFonts w:cs="Calibri"/>
                <w:b/>
                <w:color w:val="FFFFFF"/>
                <w:sz w:val="16"/>
                <w:szCs w:val="16"/>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F78EC21" w14:textId="77777777" w:rsidR="00B97365" w:rsidRDefault="00000000">
            <w:pPr>
              <w:rPr>
                <w:rFonts w:cs="Calibri"/>
                <w:b/>
                <w:color w:val="FFFFFF"/>
                <w:sz w:val="16"/>
                <w:szCs w:val="16"/>
              </w:rPr>
            </w:pPr>
            <w:r>
              <w:rPr>
                <w:rFonts w:cs="Calibri"/>
                <w:b/>
                <w:color w:val="FFFFFF"/>
                <w:sz w:val="16"/>
                <w:szCs w:val="16"/>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D07808F" w14:textId="77777777" w:rsidR="00B97365" w:rsidRDefault="00000000">
            <w:pPr>
              <w:rPr>
                <w:rFonts w:cs="Calibri"/>
                <w:b/>
                <w:color w:val="FFFFFF"/>
                <w:sz w:val="16"/>
                <w:szCs w:val="16"/>
              </w:rPr>
            </w:pPr>
            <w:r>
              <w:rPr>
                <w:rFonts w:cs="Calibri"/>
                <w:b/>
                <w:color w:val="FFFFFF"/>
                <w:sz w:val="16"/>
                <w:szCs w:val="16"/>
              </w:rPr>
              <w:t>MOC</w:t>
            </w:r>
          </w:p>
        </w:tc>
      </w:tr>
      <w:tr w:rsidR="00B97365" w14:paraId="2E32BCF8"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28396F0" w14:textId="77777777" w:rsidR="00B97365" w:rsidRDefault="00000000">
            <w:pPr>
              <w:rPr>
                <w:rFonts w:cs="Calibri"/>
                <w:color w:val="000000"/>
                <w:sz w:val="16"/>
                <w:szCs w:val="16"/>
              </w:rPr>
            </w:pPr>
            <w:r>
              <w:rPr>
                <w:rFonts w:cs="Calibri"/>
                <w:color w:val="000000"/>
                <w:sz w:val="16"/>
                <w:szCs w:val="16"/>
              </w:rPr>
              <w:t xml:space="preserve"> Length of Executable Load File 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D421F12"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4CAEE3FC"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4" w:space="0" w:color="auto"/>
            </w:tcBorders>
            <w:vAlign w:val="center"/>
            <w:hideMark/>
          </w:tcPr>
          <w:p w14:paraId="6C6D0A58" w14:textId="77777777" w:rsidR="00B97365" w:rsidRDefault="00000000">
            <w:pPr>
              <w:rPr>
                <w:rFonts w:cs="Calibri"/>
                <w:color w:val="000000"/>
                <w:sz w:val="16"/>
                <w:szCs w:val="16"/>
              </w:rPr>
            </w:pPr>
            <w:r>
              <w:rPr>
                <w:rFonts w:cs="Calibri"/>
                <w:color w:val="000000"/>
                <w:sz w:val="16"/>
                <w:szCs w:val="16"/>
              </w:rPr>
              <w:t>M</w:t>
            </w:r>
          </w:p>
        </w:tc>
      </w:tr>
      <w:tr w:rsidR="00B97365" w14:paraId="4E29B4FF"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B883841" w14:textId="77777777" w:rsidR="00B97365" w:rsidRDefault="00000000">
            <w:pPr>
              <w:rPr>
                <w:rFonts w:cs="Calibri"/>
                <w:color w:val="000000"/>
                <w:sz w:val="16"/>
                <w:szCs w:val="16"/>
              </w:rPr>
            </w:pPr>
            <w:r>
              <w:rPr>
                <w:rFonts w:cs="Calibri"/>
                <w:color w:val="000000"/>
                <w:sz w:val="16"/>
                <w:szCs w:val="16"/>
              </w:rPr>
              <w:t>Executable Load File 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3E2FE5C"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6" w:space="0" w:color="auto"/>
            </w:tcBorders>
            <w:vAlign w:val="center"/>
            <w:hideMark/>
          </w:tcPr>
          <w:p w14:paraId="16450D3B" w14:textId="77777777" w:rsidR="00B97365" w:rsidRDefault="00000000">
            <w:pPr>
              <w:rPr>
                <w:rFonts w:cs="Calibri"/>
                <w:color w:val="000000"/>
                <w:sz w:val="16"/>
                <w:szCs w:val="16"/>
              </w:rPr>
            </w:pPr>
            <w:r>
              <w:rPr>
                <w:rFonts w:cs="Calibri"/>
                <w:color w:val="000000"/>
                <w:sz w:val="16"/>
                <w:szCs w:val="16"/>
              </w:rPr>
              <w:t xml:space="preserve">‘xxxx’ </w:t>
            </w:r>
          </w:p>
        </w:tc>
        <w:tc>
          <w:tcPr>
            <w:tcW w:w="0" w:type="auto"/>
            <w:tcBorders>
              <w:top w:val="single" w:sz="6" w:space="0" w:color="auto"/>
              <w:left w:val="single" w:sz="6" w:space="0" w:color="auto"/>
              <w:bottom w:val="single" w:sz="6" w:space="0" w:color="auto"/>
              <w:right w:val="single" w:sz="4" w:space="0" w:color="auto"/>
            </w:tcBorders>
            <w:vAlign w:val="center"/>
            <w:hideMark/>
          </w:tcPr>
          <w:p w14:paraId="721942EF" w14:textId="77777777" w:rsidR="00B97365" w:rsidRDefault="00000000">
            <w:pPr>
              <w:rPr>
                <w:rFonts w:cs="Calibri"/>
                <w:color w:val="000000"/>
                <w:sz w:val="16"/>
                <w:szCs w:val="16"/>
              </w:rPr>
            </w:pPr>
            <w:r>
              <w:rPr>
                <w:rFonts w:cs="Calibri"/>
                <w:color w:val="000000"/>
                <w:sz w:val="16"/>
                <w:szCs w:val="16"/>
              </w:rPr>
              <w:t>M</w:t>
            </w:r>
          </w:p>
        </w:tc>
      </w:tr>
      <w:tr w:rsidR="00B97365" w14:paraId="12180F5D"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1118350" w14:textId="77777777" w:rsidR="00B97365" w:rsidRDefault="00000000">
            <w:pPr>
              <w:rPr>
                <w:rFonts w:cs="Calibri"/>
                <w:color w:val="000000"/>
                <w:sz w:val="16"/>
                <w:szCs w:val="16"/>
              </w:rPr>
            </w:pPr>
            <w:r>
              <w:rPr>
                <w:rFonts w:cs="Calibri"/>
                <w:color w:val="000000"/>
                <w:sz w:val="16"/>
                <w:szCs w:val="16"/>
              </w:rPr>
              <w:t>Length of Executable Module 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7E76464"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5302F903"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4" w:space="0" w:color="auto"/>
            </w:tcBorders>
            <w:vAlign w:val="center"/>
            <w:hideMark/>
          </w:tcPr>
          <w:p w14:paraId="3417DA22" w14:textId="77777777" w:rsidR="00B97365" w:rsidRDefault="00000000">
            <w:pPr>
              <w:rPr>
                <w:rFonts w:cs="Calibri"/>
                <w:color w:val="000000"/>
                <w:sz w:val="16"/>
                <w:szCs w:val="16"/>
              </w:rPr>
            </w:pPr>
            <w:r>
              <w:rPr>
                <w:rFonts w:cs="Calibri"/>
                <w:color w:val="000000"/>
                <w:sz w:val="16"/>
                <w:szCs w:val="16"/>
              </w:rPr>
              <w:t>M</w:t>
            </w:r>
          </w:p>
        </w:tc>
      </w:tr>
      <w:tr w:rsidR="00B97365" w14:paraId="438ACA61"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012216D" w14:textId="77777777" w:rsidR="00B97365" w:rsidRDefault="00000000">
            <w:pPr>
              <w:rPr>
                <w:rFonts w:cs="Calibri"/>
                <w:color w:val="000000"/>
                <w:sz w:val="16"/>
                <w:szCs w:val="16"/>
              </w:rPr>
            </w:pPr>
            <w:r>
              <w:rPr>
                <w:rFonts w:cs="Calibri"/>
                <w:color w:val="000000"/>
                <w:sz w:val="16"/>
                <w:szCs w:val="16"/>
              </w:rPr>
              <w:t>Executable Module 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29926BF"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6" w:space="0" w:color="auto"/>
            </w:tcBorders>
            <w:vAlign w:val="center"/>
            <w:hideMark/>
          </w:tcPr>
          <w:p w14:paraId="18702031" w14:textId="77777777" w:rsidR="00B97365" w:rsidRDefault="00000000">
            <w:pPr>
              <w:rPr>
                <w:rFonts w:cs="Calibri"/>
                <w:color w:val="000000"/>
                <w:sz w:val="16"/>
                <w:szCs w:val="16"/>
              </w:rPr>
            </w:pPr>
            <w:r>
              <w:rPr>
                <w:rFonts w:cs="Calibri"/>
                <w:color w:val="000000"/>
                <w:sz w:val="16"/>
                <w:szCs w:val="16"/>
              </w:rPr>
              <w:t xml:space="preserve">‘xxxx’ </w:t>
            </w:r>
          </w:p>
        </w:tc>
        <w:tc>
          <w:tcPr>
            <w:tcW w:w="0" w:type="auto"/>
            <w:tcBorders>
              <w:top w:val="single" w:sz="6" w:space="0" w:color="auto"/>
              <w:left w:val="single" w:sz="6" w:space="0" w:color="auto"/>
              <w:bottom w:val="single" w:sz="6" w:space="0" w:color="auto"/>
              <w:right w:val="single" w:sz="4" w:space="0" w:color="auto"/>
            </w:tcBorders>
            <w:vAlign w:val="center"/>
            <w:hideMark/>
          </w:tcPr>
          <w:p w14:paraId="208FB120" w14:textId="77777777" w:rsidR="00B97365" w:rsidRDefault="00000000">
            <w:pPr>
              <w:rPr>
                <w:rFonts w:cs="Calibri"/>
                <w:color w:val="000000"/>
                <w:sz w:val="16"/>
                <w:szCs w:val="16"/>
              </w:rPr>
            </w:pPr>
            <w:r>
              <w:rPr>
                <w:rFonts w:cs="Calibri"/>
                <w:color w:val="000000"/>
                <w:sz w:val="16"/>
                <w:szCs w:val="16"/>
              </w:rPr>
              <w:t>M</w:t>
            </w:r>
          </w:p>
        </w:tc>
      </w:tr>
      <w:tr w:rsidR="00B97365" w14:paraId="2539FE3B"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E82B618" w14:textId="77777777" w:rsidR="00B97365" w:rsidRDefault="00000000">
            <w:pPr>
              <w:rPr>
                <w:rFonts w:cs="Calibri"/>
                <w:color w:val="000000"/>
                <w:sz w:val="16"/>
                <w:szCs w:val="16"/>
              </w:rPr>
            </w:pPr>
            <w:r>
              <w:rPr>
                <w:rFonts w:cs="Calibri"/>
                <w:color w:val="000000"/>
                <w:sz w:val="16"/>
                <w:szCs w:val="16"/>
              </w:rPr>
              <w:t>Length of Application 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7907BCE"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3CEA5372"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4" w:space="0" w:color="auto"/>
            </w:tcBorders>
            <w:vAlign w:val="center"/>
            <w:hideMark/>
          </w:tcPr>
          <w:p w14:paraId="04900C71" w14:textId="77777777" w:rsidR="00B97365" w:rsidRDefault="00000000">
            <w:pPr>
              <w:rPr>
                <w:rFonts w:cs="Calibri"/>
                <w:color w:val="000000"/>
                <w:sz w:val="16"/>
                <w:szCs w:val="16"/>
              </w:rPr>
            </w:pPr>
            <w:r>
              <w:rPr>
                <w:rFonts w:cs="Calibri"/>
                <w:color w:val="000000"/>
                <w:sz w:val="16"/>
                <w:szCs w:val="16"/>
              </w:rPr>
              <w:t>M</w:t>
            </w:r>
          </w:p>
        </w:tc>
      </w:tr>
      <w:tr w:rsidR="00B97365" w14:paraId="1020B070"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CDAD33C" w14:textId="77777777" w:rsidR="00B97365" w:rsidRDefault="00000000">
            <w:pPr>
              <w:rPr>
                <w:rFonts w:cs="Calibri"/>
                <w:color w:val="000000"/>
                <w:sz w:val="16"/>
                <w:szCs w:val="16"/>
              </w:rPr>
            </w:pPr>
            <w:r>
              <w:rPr>
                <w:rFonts w:cs="Calibri"/>
                <w:color w:val="000000"/>
                <w:sz w:val="16"/>
                <w:szCs w:val="16"/>
              </w:rPr>
              <w:t>Application AID (ISD-P-AID)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1E6684F"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6" w:space="0" w:color="auto"/>
            </w:tcBorders>
            <w:vAlign w:val="center"/>
            <w:hideMark/>
          </w:tcPr>
          <w:p w14:paraId="6F3C6B6C" w14:textId="77777777" w:rsidR="00B97365" w:rsidRDefault="00000000">
            <w:pPr>
              <w:rPr>
                <w:rFonts w:cs="Calibri"/>
                <w:color w:val="000000"/>
                <w:sz w:val="16"/>
                <w:szCs w:val="16"/>
              </w:rPr>
            </w:pPr>
            <w:r>
              <w:rPr>
                <w:rFonts w:cs="Calibri"/>
                <w:color w:val="000000"/>
                <w:sz w:val="16"/>
                <w:szCs w:val="16"/>
              </w:rPr>
              <w:t xml:space="preserve">‘xxxx’ </w:t>
            </w:r>
          </w:p>
        </w:tc>
        <w:tc>
          <w:tcPr>
            <w:tcW w:w="0" w:type="auto"/>
            <w:tcBorders>
              <w:top w:val="single" w:sz="6" w:space="0" w:color="auto"/>
              <w:left w:val="single" w:sz="6" w:space="0" w:color="auto"/>
              <w:bottom w:val="single" w:sz="6" w:space="0" w:color="auto"/>
              <w:right w:val="single" w:sz="4" w:space="0" w:color="auto"/>
            </w:tcBorders>
            <w:vAlign w:val="center"/>
            <w:hideMark/>
          </w:tcPr>
          <w:p w14:paraId="7BF20E6F" w14:textId="77777777" w:rsidR="00B97365" w:rsidRDefault="00000000">
            <w:pPr>
              <w:rPr>
                <w:rFonts w:cs="Calibri"/>
                <w:color w:val="000000"/>
                <w:sz w:val="16"/>
                <w:szCs w:val="16"/>
              </w:rPr>
            </w:pPr>
            <w:r>
              <w:rPr>
                <w:rFonts w:cs="Calibri"/>
                <w:color w:val="000000"/>
                <w:sz w:val="16"/>
                <w:szCs w:val="16"/>
              </w:rPr>
              <w:t>M</w:t>
            </w:r>
          </w:p>
        </w:tc>
      </w:tr>
      <w:tr w:rsidR="00B97365" w14:paraId="016B6B55"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11D72C2" w14:textId="77777777" w:rsidR="00B97365" w:rsidRDefault="00000000">
            <w:pPr>
              <w:rPr>
                <w:rFonts w:cs="Calibri"/>
                <w:color w:val="000000"/>
                <w:sz w:val="16"/>
                <w:szCs w:val="16"/>
              </w:rPr>
            </w:pPr>
            <w:r>
              <w:rPr>
                <w:rFonts w:cs="Calibri"/>
                <w:color w:val="000000"/>
                <w:sz w:val="16"/>
                <w:szCs w:val="16"/>
              </w:rPr>
              <w:t>Length of Privileges</w:t>
            </w:r>
          </w:p>
        </w:tc>
        <w:tc>
          <w:tcPr>
            <w:tcW w:w="0" w:type="auto"/>
            <w:tcBorders>
              <w:top w:val="single" w:sz="6" w:space="0" w:color="auto"/>
              <w:left w:val="single" w:sz="6" w:space="0" w:color="auto"/>
              <w:bottom w:val="single" w:sz="6" w:space="0" w:color="auto"/>
              <w:right w:val="single" w:sz="6" w:space="0" w:color="auto"/>
            </w:tcBorders>
            <w:vAlign w:val="center"/>
            <w:hideMark/>
          </w:tcPr>
          <w:p w14:paraId="71C84D8C"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2C53E23B" w14:textId="77777777" w:rsidR="00B97365" w:rsidRDefault="00000000">
            <w:pPr>
              <w:rPr>
                <w:rFonts w:cs="Calibri"/>
                <w:color w:val="000000"/>
                <w:sz w:val="16"/>
                <w:szCs w:val="16"/>
              </w:rPr>
            </w:pPr>
            <w:r>
              <w:rPr>
                <w:rFonts w:cs="Calibri"/>
                <w:color w:val="000000"/>
                <w:sz w:val="16"/>
                <w:szCs w:val="16"/>
              </w:rPr>
              <w:t>‘01’ - ‘03’</w:t>
            </w:r>
          </w:p>
        </w:tc>
        <w:tc>
          <w:tcPr>
            <w:tcW w:w="0" w:type="auto"/>
            <w:tcBorders>
              <w:top w:val="single" w:sz="6" w:space="0" w:color="auto"/>
              <w:left w:val="single" w:sz="6" w:space="0" w:color="auto"/>
              <w:bottom w:val="single" w:sz="6" w:space="0" w:color="auto"/>
              <w:right w:val="single" w:sz="4" w:space="0" w:color="auto"/>
            </w:tcBorders>
            <w:vAlign w:val="center"/>
            <w:hideMark/>
          </w:tcPr>
          <w:p w14:paraId="291ABA57" w14:textId="77777777" w:rsidR="00B97365" w:rsidRDefault="00000000">
            <w:pPr>
              <w:rPr>
                <w:rFonts w:cs="Calibri"/>
                <w:color w:val="000000"/>
                <w:sz w:val="16"/>
                <w:szCs w:val="16"/>
              </w:rPr>
            </w:pPr>
            <w:r>
              <w:rPr>
                <w:rFonts w:cs="Calibri"/>
                <w:color w:val="000000"/>
                <w:sz w:val="16"/>
                <w:szCs w:val="16"/>
              </w:rPr>
              <w:t>M</w:t>
            </w:r>
          </w:p>
        </w:tc>
      </w:tr>
      <w:tr w:rsidR="00B97365" w14:paraId="4EE2ED32"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101598C" w14:textId="77777777" w:rsidR="00B97365" w:rsidRDefault="00000000">
            <w:pPr>
              <w:rPr>
                <w:rFonts w:cs="Arial"/>
                <w:color w:val="000000"/>
                <w:sz w:val="16"/>
                <w:szCs w:val="16"/>
              </w:rPr>
            </w:pPr>
            <w:r>
              <w:rPr>
                <w:rFonts w:cs="Arial"/>
                <w:color w:val="000000"/>
                <w:sz w:val="16"/>
                <w:szCs w:val="16"/>
              </w:rPr>
              <w:t>Privileges</w:t>
            </w:r>
          </w:p>
        </w:tc>
        <w:tc>
          <w:tcPr>
            <w:tcW w:w="0" w:type="auto"/>
            <w:tcBorders>
              <w:top w:val="single" w:sz="6" w:space="0" w:color="auto"/>
              <w:left w:val="single" w:sz="6" w:space="0" w:color="auto"/>
              <w:bottom w:val="single" w:sz="6" w:space="0" w:color="auto"/>
              <w:right w:val="single" w:sz="6" w:space="0" w:color="auto"/>
            </w:tcBorders>
            <w:vAlign w:val="center"/>
            <w:hideMark/>
          </w:tcPr>
          <w:p w14:paraId="7BD51624" w14:textId="77777777" w:rsidR="00B97365" w:rsidRDefault="00000000">
            <w:pPr>
              <w:rPr>
                <w:rFonts w:cs="Arial"/>
                <w:color w:val="000000"/>
                <w:sz w:val="16"/>
                <w:szCs w:val="16"/>
              </w:rPr>
            </w:pPr>
            <w:r>
              <w:rPr>
                <w:rFonts w:cs="Arial"/>
                <w:color w:val="000000"/>
                <w:sz w:val="16"/>
                <w:szCs w:val="16"/>
              </w:rPr>
              <w:t>‘1’or ‘3’</w:t>
            </w:r>
          </w:p>
        </w:tc>
        <w:tc>
          <w:tcPr>
            <w:tcW w:w="0" w:type="auto"/>
            <w:tcBorders>
              <w:top w:val="single" w:sz="6" w:space="0" w:color="auto"/>
              <w:left w:val="single" w:sz="6" w:space="0" w:color="auto"/>
              <w:bottom w:val="single" w:sz="6" w:space="0" w:color="auto"/>
              <w:right w:val="single" w:sz="6" w:space="0" w:color="auto"/>
            </w:tcBorders>
            <w:vAlign w:val="center"/>
            <w:hideMark/>
          </w:tcPr>
          <w:p w14:paraId="38BF56F5" w14:textId="04F2E201" w:rsidR="00B97365" w:rsidRDefault="00000000">
            <w:pPr>
              <w:rPr>
                <w:rFonts w:cs="Arial"/>
                <w:color w:val="000000"/>
                <w:sz w:val="16"/>
                <w:szCs w:val="16"/>
              </w:rPr>
            </w:pPr>
            <w:r>
              <w:rPr>
                <w:rFonts w:cs="Arial"/>
                <w:color w:val="000000"/>
                <w:sz w:val="16"/>
                <w:szCs w:val="16"/>
              </w:rPr>
              <w:t xml:space="preserve">See </w:t>
            </w:r>
            <w:r>
              <w:fldChar w:fldCharType="begin"/>
            </w:r>
            <w:r>
              <w:instrText xml:space="preserve"> REF _Ref421631311 \r \h  \* MERGEFORMAT </w:instrText>
            </w:r>
            <w:r>
              <w:fldChar w:fldCharType="separate"/>
            </w:r>
            <w:r w:rsidR="001D5AD9" w:rsidRPr="001D5AD9">
              <w:rPr>
                <w:rFonts w:eastAsia="Times New Roman" w:cs="Arial"/>
                <w:color w:val="000000"/>
                <w:sz w:val="16"/>
                <w:szCs w:val="16"/>
                <w:lang w:eastAsia="en-GB" w:bidi="ar-SA"/>
              </w:rPr>
              <w:t>[6]</w:t>
            </w:r>
            <w:r>
              <w:fldChar w:fldCharType="end"/>
            </w:r>
            <w:r>
              <w:rPr>
                <w:rFonts w:eastAsia="Times New Roman" w:cs="Arial"/>
                <w:sz w:val="16"/>
                <w:szCs w:val="16"/>
                <w:lang w:eastAsia="en-GB" w:bidi="ar-SA"/>
              </w:rPr>
              <w:t xml:space="preserve"> </w:t>
            </w:r>
            <w:r>
              <w:rPr>
                <w:rFonts w:cs="Arial"/>
                <w:color w:val="000000"/>
                <w:sz w:val="16"/>
                <w:szCs w:val="16"/>
              </w:rPr>
              <w:t>section 11.1.2</w:t>
            </w:r>
          </w:p>
        </w:tc>
        <w:tc>
          <w:tcPr>
            <w:tcW w:w="0" w:type="auto"/>
            <w:tcBorders>
              <w:top w:val="single" w:sz="6" w:space="0" w:color="auto"/>
              <w:left w:val="single" w:sz="6" w:space="0" w:color="auto"/>
              <w:bottom w:val="single" w:sz="6" w:space="0" w:color="auto"/>
              <w:right w:val="single" w:sz="4" w:space="0" w:color="auto"/>
            </w:tcBorders>
            <w:vAlign w:val="center"/>
            <w:hideMark/>
          </w:tcPr>
          <w:p w14:paraId="1F77B838" w14:textId="77777777" w:rsidR="00B97365" w:rsidRDefault="00000000">
            <w:pPr>
              <w:rPr>
                <w:rFonts w:cs="Arial"/>
                <w:color w:val="000000"/>
                <w:sz w:val="16"/>
                <w:szCs w:val="16"/>
              </w:rPr>
            </w:pPr>
            <w:r>
              <w:rPr>
                <w:rFonts w:cs="Arial"/>
                <w:color w:val="000000"/>
                <w:sz w:val="16"/>
                <w:szCs w:val="16"/>
              </w:rPr>
              <w:t>M</w:t>
            </w:r>
          </w:p>
        </w:tc>
      </w:tr>
      <w:tr w:rsidR="00B97365" w14:paraId="56DFE079" w14:textId="77777777">
        <w:trPr>
          <w:trHeight w:val="65"/>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2B2817C" w14:textId="77777777" w:rsidR="00B97365" w:rsidRDefault="00000000">
            <w:pPr>
              <w:rPr>
                <w:rFonts w:cs="Arial"/>
                <w:color w:val="000000"/>
                <w:sz w:val="16"/>
                <w:szCs w:val="16"/>
              </w:rPr>
            </w:pPr>
            <w:r>
              <w:rPr>
                <w:rFonts w:cs="Arial"/>
                <w:color w:val="000000"/>
                <w:sz w:val="16"/>
                <w:szCs w:val="16"/>
              </w:rPr>
              <w:t>Length of Install Parameters field</w:t>
            </w:r>
          </w:p>
        </w:tc>
        <w:tc>
          <w:tcPr>
            <w:tcW w:w="0" w:type="auto"/>
            <w:tcBorders>
              <w:top w:val="single" w:sz="6" w:space="0" w:color="auto"/>
              <w:left w:val="single" w:sz="6" w:space="0" w:color="auto"/>
              <w:bottom w:val="single" w:sz="6" w:space="0" w:color="auto"/>
              <w:right w:val="single" w:sz="6" w:space="0" w:color="auto"/>
            </w:tcBorders>
            <w:vAlign w:val="center"/>
            <w:hideMark/>
          </w:tcPr>
          <w:p w14:paraId="451E6895" w14:textId="77777777" w:rsidR="00B97365" w:rsidRDefault="00000000">
            <w:pPr>
              <w:rPr>
                <w:rFonts w:cs="Arial"/>
                <w:color w:val="000000"/>
                <w:sz w:val="16"/>
                <w:szCs w:val="16"/>
              </w:rPr>
            </w:pPr>
            <w:r>
              <w:rPr>
                <w:rFonts w:cs="Arial"/>
                <w:color w:val="000000"/>
                <w:sz w:val="16"/>
                <w:szCs w:val="16"/>
              </w:rPr>
              <w:t>’2’-‘n’</w:t>
            </w:r>
          </w:p>
        </w:tc>
        <w:tc>
          <w:tcPr>
            <w:tcW w:w="0" w:type="auto"/>
            <w:tcBorders>
              <w:top w:val="single" w:sz="6" w:space="0" w:color="auto"/>
              <w:left w:val="single" w:sz="6" w:space="0" w:color="auto"/>
              <w:bottom w:val="single" w:sz="6" w:space="0" w:color="auto"/>
              <w:right w:val="single" w:sz="6" w:space="0" w:color="auto"/>
            </w:tcBorders>
            <w:vAlign w:val="center"/>
          </w:tcPr>
          <w:p w14:paraId="3A9F03C1"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hideMark/>
          </w:tcPr>
          <w:p w14:paraId="015FE4F9" w14:textId="77777777" w:rsidR="00B97365" w:rsidRDefault="00000000">
            <w:pPr>
              <w:rPr>
                <w:rFonts w:cs="Arial"/>
                <w:color w:val="000000"/>
                <w:sz w:val="16"/>
                <w:szCs w:val="16"/>
              </w:rPr>
            </w:pPr>
            <w:r>
              <w:rPr>
                <w:rFonts w:cs="Arial"/>
                <w:color w:val="000000"/>
                <w:sz w:val="16"/>
                <w:szCs w:val="16"/>
              </w:rPr>
              <w:t>M</w:t>
            </w:r>
          </w:p>
        </w:tc>
      </w:tr>
      <w:tr w:rsidR="00B97365" w14:paraId="56C21B9F" w14:textId="77777777">
        <w:trPr>
          <w:trHeight w:val="65"/>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5B36EC1" w14:textId="77777777" w:rsidR="00B97365" w:rsidRDefault="00000000">
            <w:pPr>
              <w:rPr>
                <w:rFonts w:cs="Arial"/>
                <w:color w:val="000000"/>
                <w:sz w:val="16"/>
                <w:szCs w:val="16"/>
              </w:rPr>
            </w:pPr>
            <w:r>
              <w:rPr>
                <w:rFonts w:cs="Arial"/>
                <w:color w:val="000000"/>
                <w:sz w:val="16"/>
                <w:szCs w:val="16"/>
              </w:rPr>
              <w:t>Install Parameters field</w:t>
            </w:r>
          </w:p>
        </w:tc>
        <w:tc>
          <w:tcPr>
            <w:tcW w:w="0" w:type="auto"/>
            <w:tcBorders>
              <w:top w:val="single" w:sz="6" w:space="0" w:color="auto"/>
              <w:left w:val="single" w:sz="6" w:space="0" w:color="auto"/>
              <w:bottom w:val="single" w:sz="6" w:space="0" w:color="auto"/>
              <w:right w:val="single" w:sz="6" w:space="0" w:color="auto"/>
            </w:tcBorders>
            <w:vAlign w:val="center"/>
            <w:hideMark/>
          </w:tcPr>
          <w:p w14:paraId="2FACBD87" w14:textId="77777777" w:rsidR="00B97365" w:rsidRDefault="00000000">
            <w:pPr>
              <w:rPr>
                <w:rFonts w:cs="Arial"/>
                <w:color w:val="000000"/>
                <w:sz w:val="16"/>
                <w:szCs w:val="16"/>
              </w:rPr>
            </w:pPr>
            <w:r>
              <w:rPr>
                <w:rFonts w:cs="Arial"/>
                <w:color w:val="000000"/>
                <w:sz w:val="16"/>
                <w:szCs w:val="16"/>
              </w:rPr>
              <w:t>‘0-n’</w:t>
            </w:r>
          </w:p>
        </w:tc>
        <w:tc>
          <w:tcPr>
            <w:tcW w:w="0" w:type="auto"/>
            <w:tcBorders>
              <w:top w:val="single" w:sz="6" w:space="0" w:color="auto"/>
              <w:left w:val="single" w:sz="6" w:space="0" w:color="auto"/>
              <w:bottom w:val="single" w:sz="6" w:space="0" w:color="auto"/>
              <w:right w:val="single" w:sz="6" w:space="0" w:color="auto"/>
            </w:tcBorders>
            <w:vAlign w:val="center"/>
            <w:hideMark/>
          </w:tcPr>
          <w:p w14:paraId="10EFAE9A" w14:textId="25B2D246" w:rsidR="00B97365" w:rsidRDefault="00000000">
            <w:pPr>
              <w:rPr>
                <w:rFonts w:cs="Arial"/>
                <w:color w:val="000000"/>
                <w:sz w:val="16"/>
                <w:szCs w:val="16"/>
              </w:rPr>
            </w:pPr>
            <w:r>
              <w:rPr>
                <w:rFonts w:cs="Arial"/>
                <w:color w:val="000000"/>
                <w:sz w:val="16"/>
                <w:szCs w:val="16"/>
              </w:rPr>
              <w:t xml:space="preserve">See </w:t>
            </w:r>
            <w:r>
              <w:fldChar w:fldCharType="begin"/>
            </w:r>
            <w:r>
              <w:instrText xml:space="preserve"> REF _Ref421631311 \r \h  \* MERGEFORMAT </w:instrText>
            </w:r>
            <w:r>
              <w:fldChar w:fldCharType="separate"/>
            </w:r>
            <w:r w:rsidR="001D5AD9" w:rsidRPr="001D5AD9">
              <w:rPr>
                <w:rFonts w:eastAsia="Times New Roman" w:cs="Arial"/>
                <w:color w:val="000000"/>
                <w:sz w:val="16"/>
                <w:szCs w:val="16"/>
                <w:lang w:eastAsia="en-GB" w:bidi="ar-SA"/>
              </w:rPr>
              <w:t>[6]</w:t>
            </w:r>
            <w:r>
              <w:fldChar w:fldCharType="end"/>
            </w:r>
            <w:r>
              <w:rPr>
                <w:rFonts w:cs="Arial"/>
                <w:color w:val="000000"/>
                <w:sz w:val="16"/>
                <w:szCs w:val="16"/>
              </w:rPr>
              <w:t xml:space="preserve"> section 11.5.2.3.7</w:t>
            </w:r>
          </w:p>
        </w:tc>
        <w:tc>
          <w:tcPr>
            <w:tcW w:w="0" w:type="auto"/>
            <w:tcBorders>
              <w:top w:val="single" w:sz="6" w:space="0" w:color="auto"/>
              <w:left w:val="single" w:sz="6" w:space="0" w:color="auto"/>
              <w:bottom w:val="single" w:sz="6" w:space="0" w:color="auto"/>
              <w:right w:val="single" w:sz="4" w:space="0" w:color="auto"/>
            </w:tcBorders>
            <w:vAlign w:val="center"/>
            <w:hideMark/>
          </w:tcPr>
          <w:p w14:paraId="5609F328" w14:textId="77777777" w:rsidR="00B97365" w:rsidRDefault="00000000">
            <w:pPr>
              <w:rPr>
                <w:rFonts w:cs="Arial"/>
                <w:color w:val="000000"/>
                <w:sz w:val="16"/>
                <w:szCs w:val="16"/>
              </w:rPr>
            </w:pPr>
            <w:r>
              <w:rPr>
                <w:rFonts w:cs="Arial"/>
                <w:color w:val="000000"/>
                <w:sz w:val="16"/>
                <w:szCs w:val="16"/>
              </w:rPr>
              <w:t>M</w:t>
            </w:r>
          </w:p>
        </w:tc>
      </w:tr>
      <w:tr w:rsidR="00B97365" w14:paraId="79FEFC64" w14:textId="77777777">
        <w:trPr>
          <w:trHeight w:val="65"/>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FAA97A6" w14:textId="77777777" w:rsidR="00B97365" w:rsidRDefault="00000000">
            <w:pPr>
              <w:rPr>
                <w:rFonts w:cs="Calibri"/>
                <w:color w:val="000000"/>
                <w:sz w:val="16"/>
                <w:szCs w:val="16"/>
              </w:rPr>
            </w:pPr>
            <w:r>
              <w:rPr>
                <w:rFonts w:cs="Calibri"/>
                <w:color w:val="000000"/>
                <w:sz w:val="16"/>
                <w:szCs w:val="16"/>
              </w:rPr>
              <w:t>Length of Install Token</w:t>
            </w:r>
          </w:p>
        </w:tc>
        <w:tc>
          <w:tcPr>
            <w:tcW w:w="0" w:type="auto"/>
            <w:tcBorders>
              <w:top w:val="single" w:sz="6" w:space="0" w:color="auto"/>
              <w:left w:val="single" w:sz="6" w:space="0" w:color="auto"/>
              <w:bottom w:val="single" w:sz="4" w:space="0" w:color="auto"/>
              <w:right w:val="single" w:sz="6" w:space="0" w:color="auto"/>
            </w:tcBorders>
            <w:vAlign w:val="center"/>
            <w:hideMark/>
          </w:tcPr>
          <w:p w14:paraId="7E88A2ED"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4" w:space="0" w:color="auto"/>
              <w:right w:val="single" w:sz="6" w:space="0" w:color="auto"/>
            </w:tcBorders>
            <w:vAlign w:val="center"/>
            <w:hideMark/>
          </w:tcPr>
          <w:p w14:paraId="5ADF6664"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4" w:space="0" w:color="auto"/>
              <w:right w:val="single" w:sz="4" w:space="0" w:color="auto"/>
            </w:tcBorders>
            <w:vAlign w:val="center"/>
            <w:hideMark/>
          </w:tcPr>
          <w:p w14:paraId="4767F3C1" w14:textId="77777777" w:rsidR="00B97365" w:rsidRDefault="00000000">
            <w:pPr>
              <w:rPr>
                <w:rFonts w:cs="Calibri"/>
                <w:color w:val="000000"/>
                <w:sz w:val="16"/>
                <w:szCs w:val="16"/>
              </w:rPr>
            </w:pPr>
            <w:r>
              <w:rPr>
                <w:rFonts w:cs="Calibri"/>
                <w:color w:val="000000"/>
                <w:sz w:val="16"/>
                <w:szCs w:val="16"/>
              </w:rPr>
              <w:t>M</w:t>
            </w:r>
          </w:p>
        </w:tc>
      </w:tr>
    </w:tbl>
    <w:p w14:paraId="46257AE5"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INSTALL Command Data Field</w:t>
      </w:r>
    </w:p>
    <w:p w14:paraId="26E872B1" w14:textId="77777777" w:rsidR="00B97365" w:rsidRDefault="00000000">
      <w:pPr>
        <w:spacing w:before="0" w:after="200" w:line="276" w:lineRule="auto"/>
        <w:jc w:val="left"/>
        <w:rPr>
          <w:b/>
          <w:i/>
          <w:szCs w:val="22"/>
          <w:lang w:val="en-US" w:eastAsia="en-GB" w:bidi="ar-SA"/>
        </w:rPr>
      </w:pPr>
      <w:bookmarkStart w:id="2269" w:name="_Toc420594417"/>
      <w:r>
        <w:rPr>
          <w:rFonts w:cs="Arial"/>
          <w:b/>
          <w:i/>
          <w:szCs w:val="22"/>
          <w:lang w:val="en-US" w:eastAsia="en-GB" w:bidi="ar-SA"/>
        </w:rPr>
        <w:t>Privileges</w:t>
      </w:r>
      <w:bookmarkEnd w:id="2269"/>
    </w:p>
    <w:p w14:paraId="3E84BF6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Privileges granted to the ISD-P, as specified in Annex C, SHALL be at least:</w:t>
      </w:r>
    </w:p>
    <w:p w14:paraId="05B08B3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Security Domain</w:t>
      </w:r>
    </w:p>
    <w:p w14:paraId="60DAB0C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Trusted Path</w:t>
      </w:r>
    </w:p>
    <w:p w14:paraId="40BC814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Authorized Management</w:t>
      </w:r>
    </w:p>
    <w:p w14:paraId="1AB98453" w14:textId="77777777" w:rsidR="00B97365" w:rsidRDefault="00B97365">
      <w:pPr>
        <w:spacing w:before="0" w:line="276" w:lineRule="auto"/>
        <w:jc w:val="left"/>
        <w:rPr>
          <w:rFonts w:cs="Arial"/>
          <w:b/>
          <w:i/>
          <w:szCs w:val="22"/>
          <w:lang w:val="en-US" w:eastAsia="en-GB" w:bidi="ar-SA"/>
        </w:rPr>
      </w:pPr>
      <w:bookmarkStart w:id="2270" w:name="_Toc420594418"/>
    </w:p>
    <w:p w14:paraId="5A1628B6"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Install Parameters</w:t>
      </w:r>
      <w:bookmarkEnd w:id="227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568"/>
        <w:gridCol w:w="676"/>
        <w:gridCol w:w="480"/>
        <w:gridCol w:w="780"/>
        <w:gridCol w:w="5103"/>
        <w:gridCol w:w="1409"/>
      </w:tblGrid>
      <w:tr w:rsidR="00B97365" w14:paraId="68ABA7B9" w14:textId="77777777">
        <w:trPr>
          <w:jc w:val="center"/>
        </w:trPr>
        <w:tc>
          <w:tcPr>
            <w:tcW w:w="568" w:type="dxa"/>
            <w:tcBorders>
              <w:top w:val="single" w:sz="6" w:space="0" w:color="auto"/>
              <w:left w:val="single" w:sz="4" w:space="0" w:color="auto"/>
              <w:bottom w:val="single" w:sz="6" w:space="0" w:color="auto"/>
              <w:right w:val="single" w:sz="6" w:space="0" w:color="auto"/>
            </w:tcBorders>
            <w:shd w:val="clear" w:color="auto" w:fill="C00000"/>
            <w:hideMark/>
          </w:tcPr>
          <w:p w14:paraId="1F24AFAD" w14:textId="77777777" w:rsidR="00B97365" w:rsidRDefault="00000000">
            <w:pPr>
              <w:jc w:val="center"/>
              <w:rPr>
                <w:rFonts w:cs="Arial"/>
                <w:b/>
                <w:sz w:val="16"/>
                <w:szCs w:val="16"/>
              </w:rPr>
            </w:pPr>
            <w:r>
              <w:rPr>
                <w:rFonts w:cs="Arial"/>
                <w:b/>
                <w:sz w:val="16"/>
                <w:szCs w:val="16"/>
              </w:rPr>
              <w:lastRenderedPageBreak/>
              <w:t>Tag</w:t>
            </w:r>
          </w:p>
        </w:tc>
        <w:tc>
          <w:tcPr>
            <w:tcW w:w="0" w:type="auto"/>
            <w:tcBorders>
              <w:top w:val="single" w:sz="6" w:space="0" w:color="auto"/>
              <w:left w:val="single" w:sz="6" w:space="0" w:color="auto"/>
              <w:bottom w:val="single" w:sz="6" w:space="0" w:color="auto"/>
              <w:right w:val="single" w:sz="6" w:space="0" w:color="auto"/>
            </w:tcBorders>
            <w:shd w:val="clear" w:color="auto" w:fill="C00000"/>
            <w:vAlign w:val="center"/>
            <w:hideMark/>
          </w:tcPr>
          <w:p w14:paraId="5D74465B" w14:textId="77777777" w:rsidR="00B97365" w:rsidRDefault="00000000">
            <w:pPr>
              <w:jc w:val="center"/>
              <w:rPr>
                <w:rFonts w:cs="Arial"/>
                <w:b/>
                <w:sz w:val="16"/>
                <w:szCs w:val="16"/>
              </w:rPr>
            </w:pPr>
            <w:r>
              <w:rPr>
                <w:rFonts w:cs="Arial"/>
                <w:b/>
                <w:sz w:val="16"/>
                <w:szCs w:val="16"/>
              </w:rPr>
              <w:t>Length</w:t>
            </w:r>
          </w:p>
        </w:tc>
        <w:tc>
          <w:tcPr>
            <w:tcW w:w="0" w:type="auto"/>
            <w:gridSpan w:val="3"/>
            <w:tcBorders>
              <w:top w:val="single" w:sz="6" w:space="0" w:color="auto"/>
              <w:left w:val="single" w:sz="6" w:space="0" w:color="auto"/>
              <w:bottom w:val="single" w:sz="6" w:space="0" w:color="auto"/>
              <w:right w:val="single" w:sz="6" w:space="0" w:color="auto"/>
            </w:tcBorders>
            <w:shd w:val="clear" w:color="auto" w:fill="C00000"/>
            <w:vAlign w:val="center"/>
            <w:hideMark/>
          </w:tcPr>
          <w:p w14:paraId="50BBE7FA" w14:textId="77777777" w:rsidR="00B97365" w:rsidRDefault="00000000">
            <w:pPr>
              <w:jc w:val="center"/>
              <w:rPr>
                <w:rFonts w:cs="Arial"/>
                <w:b/>
                <w:noProof/>
                <w:sz w:val="16"/>
                <w:szCs w:val="16"/>
              </w:rPr>
            </w:pPr>
            <w:r>
              <w:rPr>
                <w:rFonts w:cs="Arial"/>
                <w:b/>
                <w:noProof/>
                <w:sz w:val="16"/>
                <w:szCs w:val="16"/>
              </w:rPr>
              <w:t>Value Description</w:t>
            </w:r>
          </w:p>
        </w:tc>
        <w:tc>
          <w:tcPr>
            <w:tcW w:w="0" w:type="auto"/>
            <w:tcBorders>
              <w:top w:val="single" w:sz="6" w:space="0" w:color="auto"/>
              <w:left w:val="single" w:sz="6" w:space="0" w:color="auto"/>
              <w:bottom w:val="single" w:sz="6" w:space="0" w:color="auto"/>
              <w:right w:val="single" w:sz="4" w:space="0" w:color="auto"/>
            </w:tcBorders>
            <w:shd w:val="clear" w:color="auto" w:fill="C00000"/>
            <w:vAlign w:val="center"/>
            <w:hideMark/>
          </w:tcPr>
          <w:p w14:paraId="53BF3045" w14:textId="77777777" w:rsidR="00B97365" w:rsidRDefault="00000000">
            <w:pPr>
              <w:jc w:val="center"/>
              <w:rPr>
                <w:rFonts w:cs="Arial"/>
                <w:b/>
                <w:color w:val="000000"/>
                <w:sz w:val="16"/>
                <w:szCs w:val="16"/>
              </w:rPr>
            </w:pPr>
            <w:r>
              <w:rPr>
                <w:rFonts w:cs="Arial"/>
                <w:b/>
                <w:color w:val="FFFFFF"/>
                <w:sz w:val="16"/>
                <w:szCs w:val="16"/>
              </w:rPr>
              <w:t>MOC</w:t>
            </w:r>
          </w:p>
        </w:tc>
      </w:tr>
      <w:tr w:rsidR="00B97365" w14:paraId="50742B46" w14:textId="77777777">
        <w:trPr>
          <w:jc w:val="center"/>
        </w:trPr>
        <w:tc>
          <w:tcPr>
            <w:tcW w:w="568" w:type="dxa"/>
            <w:tcBorders>
              <w:top w:val="single" w:sz="6" w:space="0" w:color="auto"/>
              <w:left w:val="single" w:sz="4" w:space="0" w:color="auto"/>
              <w:bottom w:val="single" w:sz="6" w:space="0" w:color="auto"/>
              <w:right w:val="single" w:sz="6" w:space="0" w:color="auto"/>
            </w:tcBorders>
            <w:hideMark/>
          </w:tcPr>
          <w:p w14:paraId="1C4E4A30" w14:textId="77777777" w:rsidR="00B97365" w:rsidRDefault="00000000">
            <w:pPr>
              <w:rPr>
                <w:rFonts w:cs="Arial"/>
                <w:color w:val="000000"/>
                <w:sz w:val="16"/>
                <w:szCs w:val="16"/>
              </w:rPr>
            </w:pPr>
            <w:r>
              <w:rPr>
                <w:rFonts w:cs="Arial"/>
                <w:color w:val="000000"/>
                <w:sz w:val="16"/>
                <w:szCs w:val="16"/>
              </w:rPr>
              <w:t>‘C9’</w:t>
            </w:r>
          </w:p>
        </w:tc>
        <w:tc>
          <w:tcPr>
            <w:tcW w:w="0" w:type="auto"/>
            <w:tcBorders>
              <w:top w:val="single" w:sz="6" w:space="0" w:color="auto"/>
              <w:left w:val="single" w:sz="6" w:space="0" w:color="auto"/>
              <w:bottom w:val="single" w:sz="6" w:space="0" w:color="auto"/>
              <w:right w:val="single" w:sz="6" w:space="0" w:color="auto"/>
            </w:tcBorders>
            <w:vAlign w:val="center"/>
            <w:hideMark/>
          </w:tcPr>
          <w:p w14:paraId="0280CF16" w14:textId="77777777" w:rsidR="00B97365" w:rsidRDefault="00000000">
            <w:pPr>
              <w:rPr>
                <w:rFonts w:cs="Arial"/>
                <w:color w:val="000000"/>
                <w:sz w:val="16"/>
                <w:szCs w:val="16"/>
              </w:rPr>
            </w:pPr>
            <w:r>
              <w:rPr>
                <w:rFonts w:cs="Arial"/>
                <w:color w:val="000000"/>
                <w:sz w:val="16"/>
                <w:szCs w:val="16"/>
              </w:rPr>
              <w:t>‘1-n’</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22952296" w14:textId="34D8B228" w:rsidR="00B97365" w:rsidRDefault="00000000">
            <w:pPr>
              <w:tabs>
                <w:tab w:val="left" w:pos="592"/>
              </w:tabs>
              <w:rPr>
                <w:szCs w:val="22"/>
                <w:lang w:val="en-US" w:eastAsia="en-GB" w:bidi="ar-SA"/>
              </w:rPr>
            </w:pPr>
            <w:r>
              <w:rPr>
                <w:rFonts w:cs="Arial"/>
                <w:noProof/>
                <w:sz w:val="16"/>
                <w:szCs w:val="16"/>
              </w:rPr>
              <w:t xml:space="preserve">Application Specific Parameters: see </w:t>
            </w:r>
            <w:r>
              <w:rPr>
                <w:sz w:val="16"/>
                <w:szCs w:val="16"/>
                <w:lang w:val="en-US" w:eastAsia="en-GB" w:bidi="ar-SA"/>
              </w:rPr>
              <w:t xml:space="preserve">GlobalPlatform Card Specification </w:t>
            </w:r>
            <w:r>
              <w:fldChar w:fldCharType="begin"/>
            </w:r>
            <w:r>
              <w:instrText xml:space="preserve"> REF _Ref421631311 \r \h  \* MERGEFORMAT </w:instrText>
            </w:r>
            <w:r>
              <w:fldChar w:fldCharType="separate"/>
            </w:r>
            <w:r w:rsidR="001D5AD9" w:rsidRPr="001D5AD9">
              <w:rPr>
                <w:sz w:val="16"/>
                <w:szCs w:val="16"/>
                <w:lang w:val="en-US" w:eastAsia="en-GB" w:bidi="ar-SA"/>
              </w:rPr>
              <w:t>[6]</w:t>
            </w:r>
            <w:r>
              <w:fldChar w:fldCharType="end"/>
            </w:r>
            <w:r>
              <w:rPr>
                <w:sz w:val="16"/>
                <w:szCs w:val="16"/>
                <w:lang w:val="en-US" w:eastAsia="en-GB" w:bidi="ar-SA"/>
              </w:rPr>
              <w:t xml:space="preserve"> section 11.5.3.2.</w:t>
            </w:r>
          </w:p>
        </w:tc>
        <w:tc>
          <w:tcPr>
            <w:tcW w:w="0" w:type="auto"/>
            <w:tcBorders>
              <w:top w:val="single" w:sz="6" w:space="0" w:color="auto"/>
              <w:left w:val="single" w:sz="6" w:space="0" w:color="auto"/>
              <w:bottom w:val="single" w:sz="6" w:space="0" w:color="auto"/>
              <w:right w:val="single" w:sz="4" w:space="0" w:color="auto"/>
            </w:tcBorders>
            <w:vAlign w:val="center"/>
            <w:hideMark/>
          </w:tcPr>
          <w:p w14:paraId="4E5C92AF" w14:textId="77777777" w:rsidR="00B97365" w:rsidRDefault="00000000">
            <w:pPr>
              <w:spacing w:after="120" w:line="276" w:lineRule="auto"/>
              <w:jc w:val="center"/>
              <w:rPr>
                <w:rFonts w:cs="Arial"/>
                <w:color w:val="000000"/>
                <w:sz w:val="16"/>
                <w:szCs w:val="16"/>
              </w:rPr>
            </w:pPr>
            <w:r>
              <w:rPr>
                <w:rFonts w:cs="Arial"/>
                <w:color w:val="000000"/>
                <w:sz w:val="16"/>
                <w:szCs w:val="16"/>
              </w:rPr>
              <w:t>M</w:t>
            </w:r>
          </w:p>
        </w:tc>
      </w:tr>
      <w:tr w:rsidR="00B97365" w14:paraId="392A9414" w14:textId="77777777">
        <w:trPr>
          <w:jc w:val="center"/>
        </w:trPr>
        <w:tc>
          <w:tcPr>
            <w:tcW w:w="568" w:type="dxa"/>
            <w:tcBorders>
              <w:top w:val="single" w:sz="6" w:space="0" w:color="auto"/>
              <w:left w:val="single" w:sz="4" w:space="0" w:color="auto"/>
              <w:bottom w:val="single" w:sz="6" w:space="0" w:color="auto"/>
              <w:right w:val="single" w:sz="6" w:space="0" w:color="auto"/>
            </w:tcBorders>
          </w:tcPr>
          <w:p w14:paraId="13AD0542"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6FAF6CDF"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C00000"/>
            <w:hideMark/>
          </w:tcPr>
          <w:p w14:paraId="37F0942F" w14:textId="77777777" w:rsidR="00B97365" w:rsidRDefault="00000000">
            <w:pPr>
              <w:spacing w:after="120" w:line="276" w:lineRule="auto"/>
              <w:jc w:val="center"/>
              <w:rPr>
                <w:rFonts w:eastAsia="Calibri" w:cs="Arial"/>
                <w:b/>
                <w:noProof/>
                <w:color w:val="000000"/>
                <w:sz w:val="16"/>
                <w:szCs w:val="16"/>
                <w:lang w:eastAsia="de-DE"/>
              </w:rPr>
            </w:pPr>
            <w:r>
              <w:rPr>
                <w:rFonts w:cs="Arial"/>
                <w:b/>
                <w:sz w:val="16"/>
                <w:szCs w:val="16"/>
              </w:rPr>
              <w:t>Tag</w:t>
            </w:r>
          </w:p>
        </w:tc>
        <w:tc>
          <w:tcPr>
            <w:tcW w:w="0" w:type="auto"/>
            <w:tcBorders>
              <w:top w:val="single" w:sz="6" w:space="0" w:color="auto"/>
              <w:left w:val="single" w:sz="6" w:space="0" w:color="auto"/>
              <w:bottom w:val="single" w:sz="6" w:space="0" w:color="auto"/>
              <w:right w:val="single" w:sz="6" w:space="0" w:color="auto"/>
            </w:tcBorders>
            <w:shd w:val="clear" w:color="auto" w:fill="C00000"/>
            <w:vAlign w:val="center"/>
            <w:hideMark/>
          </w:tcPr>
          <w:p w14:paraId="23719B94" w14:textId="77777777" w:rsidR="00B97365" w:rsidRDefault="00000000">
            <w:pPr>
              <w:spacing w:after="120" w:line="276" w:lineRule="auto"/>
              <w:jc w:val="center"/>
              <w:rPr>
                <w:rFonts w:cs="Arial"/>
                <w:b/>
                <w:noProof/>
                <w:color w:val="000000"/>
                <w:sz w:val="16"/>
                <w:szCs w:val="16"/>
                <w:lang w:eastAsia="en-US"/>
              </w:rPr>
            </w:pPr>
            <w:r>
              <w:rPr>
                <w:rFonts w:cs="Arial"/>
                <w:b/>
                <w:sz w:val="16"/>
                <w:szCs w:val="16"/>
              </w:rPr>
              <w:t>Length</w:t>
            </w:r>
          </w:p>
        </w:tc>
        <w:tc>
          <w:tcPr>
            <w:tcW w:w="0" w:type="auto"/>
            <w:tcBorders>
              <w:top w:val="single" w:sz="6" w:space="0" w:color="auto"/>
              <w:left w:val="single" w:sz="6" w:space="0" w:color="auto"/>
              <w:bottom w:val="single" w:sz="6" w:space="0" w:color="auto"/>
              <w:right w:val="single" w:sz="6" w:space="0" w:color="auto"/>
            </w:tcBorders>
            <w:shd w:val="clear" w:color="auto" w:fill="C00000"/>
            <w:vAlign w:val="center"/>
            <w:hideMark/>
          </w:tcPr>
          <w:p w14:paraId="586A41B3" w14:textId="77777777" w:rsidR="00B97365" w:rsidRDefault="00000000">
            <w:pPr>
              <w:spacing w:after="120" w:line="276" w:lineRule="auto"/>
              <w:jc w:val="center"/>
              <w:rPr>
                <w:rFonts w:cs="Arial"/>
                <w:b/>
                <w:noProof/>
                <w:color w:val="000000"/>
                <w:sz w:val="16"/>
                <w:szCs w:val="16"/>
                <w:lang w:eastAsia="en-US"/>
              </w:rPr>
            </w:pPr>
            <w:r>
              <w:rPr>
                <w:rFonts w:cs="Arial"/>
                <w:b/>
                <w:sz w:val="16"/>
                <w:szCs w:val="16"/>
              </w:rPr>
              <w:t>Value Description</w:t>
            </w:r>
          </w:p>
        </w:tc>
        <w:tc>
          <w:tcPr>
            <w:tcW w:w="0" w:type="auto"/>
            <w:tcBorders>
              <w:top w:val="single" w:sz="6" w:space="0" w:color="auto"/>
              <w:left w:val="single" w:sz="6" w:space="0" w:color="auto"/>
              <w:bottom w:val="single" w:sz="6" w:space="0" w:color="auto"/>
              <w:right w:val="single" w:sz="4" w:space="0" w:color="auto"/>
            </w:tcBorders>
            <w:shd w:val="clear" w:color="auto" w:fill="C00000"/>
            <w:vAlign w:val="center"/>
            <w:hideMark/>
          </w:tcPr>
          <w:p w14:paraId="7F674E0F" w14:textId="77777777" w:rsidR="00B97365" w:rsidRDefault="00000000">
            <w:pPr>
              <w:jc w:val="center"/>
              <w:rPr>
                <w:rFonts w:cs="Arial"/>
                <w:b/>
                <w:color w:val="000000"/>
                <w:sz w:val="16"/>
                <w:szCs w:val="16"/>
              </w:rPr>
            </w:pPr>
            <w:r>
              <w:rPr>
                <w:rFonts w:cs="Arial"/>
                <w:b/>
                <w:sz w:val="16"/>
                <w:szCs w:val="16"/>
              </w:rPr>
              <w:t>MOC</w:t>
            </w:r>
          </w:p>
        </w:tc>
      </w:tr>
      <w:tr w:rsidR="00B97365" w14:paraId="0EFD4E08" w14:textId="77777777">
        <w:trPr>
          <w:jc w:val="center"/>
        </w:trPr>
        <w:tc>
          <w:tcPr>
            <w:tcW w:w="568" w:type="dxa"/>
            <w:tcBorders>
              <w:top w:val="single" w:sz="6" w:space="0" w:color="auto"/>
              <w:left w:val="single" w:sz="4" w:space="0" w:color="auto"/>
              <w:bottom w:val="single" w:sz="6" w:space="0" w:color="auto"/>
              <w:right w:val="single" w:sz="6" w:space="0" w:color="auto"/>
            </w:tcBorders>
          </w:tcPr>
          <w:p w14:paraId="317F9C35"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7986809"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CDBDF62" w14:textId="77777777" w:rsidR="00B97365" w:rsidRDefault="00000000">
            <w:pPr>
              <w:spacing w:after="120" w:line="276" w:lineRule="auto"/>
              <w:rPr>
                <w:rFonts w:cs="Arial"/>
                <w:noProof/>
                <w:color w:val="000000"/>
                <w:sz w:val="16"/>
                <w:szCs w:val="16"/>
                <w:lang w:eastAsia="en-US"/>
              </w:rPr>
            </w:pPr>
            <w:r>
              <w:rPr>
                <w:rFonts w:cs="Arial"/>
                <w:noProof/>
                <w:color w:val="000000"/>
                <w:sz w:val="16"/>
                <w:szCs w:val="16"/>
              </w:rPr>
              <w:t>'81'</w:t>
            </w:r>
          </w:p>
        </w:tc>
        <w:tc>
          <w:tcPr>
            <w:tcW w:w="0" w:type="auto"/>
            <w:tcBorders>
              <w:top w:val="single" w:sz="6" w:space="0" w:color="auto"/>
              <w:left w:val="single" w:sz="6" w:space="0" w:color="auto"/>
              <w:bottom w:val="single" w:sz="6" w:space="0" w:color="auto"/>
              <w:right w:val="single" w:sz="6" w:space="0" w:color="auto"/>
            </w:tcBorders>
            <w:vAlign w:val="center"/>
            <w:hideMark/>
          </w:tcPr>
          <w:p w14:paraId="1A15A2B2" w14:textId="77777777" w:rsidR="00B97365" w:rsidRDefault="00000000">
            <w:pPr>
              <w:spacing w:after="120" w:line="276" w:lineRule="auto"/>
              <w:rPr>
                <w:rFonts w:cs="Arial"/>
                <w:noProof/>
                <w:color w:val="000000"/>
                <w:sz w:val="16"/>
                <w:szCs w:val="16"/>
                <w:lang w:eastAsia="en-US"/>
              </w:rPr>
            </w:pPr>
            <w:r>
              <w:rPr>
                <w:rFonts w:cs="Arial"/>
                <w:noProof/>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4B0F5650" w14:textId="77777777" w:rsidR="00B97365" w:rsidRDefault="00000000">
            <w:pPr>
              <w:spacing w:after="120" w:line="276" w:lineRule="auto"/>
              <w:rPr>
                <w:rFonts w:cs="Arial"/>
                <w:noProof/>
                <w:color w:val="000000"/>
                <w:sz w:val="16"/>
                <w:szCs w:val="16"/>
                <w:lang w:eastAsia="en-US"/>
              </w:rPr>
            </w:pPr>
            <w:r>
              <w:rPr>
                <w:rFonts w:cs="Arial"/>
                <w:color w:val="000000"/>
                <w:sz w:val="16"/>
                <w:szCs w:val="16"/>
              </w:rPr>
              <w:t>Secure Channel Protocol Identifier and Implementation Option “i”</w:t>
            </w:r>
          </w:p>
        </w:tc>
        <w:tc>
          <w:tcPr>
            <w:tcW w:w="0" w:type="auto"/>
            <w:tcBorders>
              <w:top w:val="single" w:sz="6" w:space="0" w:color="auto"/>
              <w:left w:val="single" w:sz="6" w:space="0" w:color="auto"/>
              <w:bottom w:val="single" w:sz="6" w:space="0" w:color="auto"/>
              <w:right w:val="single" w:sz="4" w:space="0" w:color="auto"/>
            </w:tcBorders>
            <w:vAlign w:val="center"/>
            <w:hideMark/>
          </w:tcPr>
          <w:p w14:paraId="266F1820" w14:textId="77777777" w:rsidR="00B97365" w:rsidRDefault="00000000">
            <w:pPr>
              <w:spacing w:after="120" w:line="276" w:lineRule="auto"/>
              <w:jc w:val="center"/>
              <w:rPr>
                <w:rFonts w:cs="Arial"/>
                <w:color w:val="000000"/>
                <w:sz w:val="16"/>
                <w:szCs w:val="16"/>
              </w:rPr>
            </w:pPr>
            <w:r>
              <w:rPr>
                <w:rFonts w:cs="Arial"/>
                <w:color w:val="000000"/>
                <w:sz w:val="16"/>
                <w:szCs w:val="16"/>
              </w:rPr>
              <w:t>M (n occurrences)</w:t>
            </w:r>
          </w:p>
        </w:tc>
      </w:tr>
      <w:tr w:rsidR="00B97365" w14:paraId="4A2CC930" w14:textId="77777777">
        <w:trPr>
          <w:jc w:val="center"/>
        </w:trPr>
        <w:tc>
          <w:tcPr>
            <w:tcW w:w="568" w:type="dxa"/>
            <w:tcBorders>
              <w:top w:val="single" w:sz="6" w:space="0" w:color="auto"/>
              <w:left w:val="single" w:sz="4" w:space="0" w:color="auto"/>
              <w:bottom w:val="single" w:sz="6" w:space="0" w:color="auto"/>
              <w:right w:val="single" w:sz="6" w:space="0" w:color="auto"/>
            </w:tcBorders>
            <w:hideMark/>
          </w:tcPr>
          <w:p w14:paraId="26A74A8C" w14:textId="77777777" w:rsidR="00B97365" w:rsidRDefault="00000000">
            <w:pPr>
              <w:rPr>
                <w:rFonts w:cs="Arial"/>
                <w:color w:val="000000"/>
                <w:sz w:val="16"/>
                <w:szCs w:val="16"/>
              </w:rPr>
            </w:pPr>
            <w:r>
              <w:rPr>
                <w:rFonts w:cs="Arial"/>
                <w:color w:val="000000"/>
                <w:sz w:val="16"/>
                <w:szCs w:val="16"/>
              </w:rPr>
              <w:t>‘EF’</w:t>
            </w:r>
          </w:p>
        </w:tc>
        <w:tc>
          <w:tcPr>
            <w:tcW w:w="0" w:type="auto"/>
            <w:tcBorders>
              <w:top w:val="single" w:sz="6" w:space="0" w:color="auto"/>
              <w:left w:val="single" w:sz="6" w:space="0" w:color="auto"/>
              <w:bottom w:val="single" w:sz="6" w:space="0" w:color="auto"/>
              <w:right w:val="single" w:sz="6" w:space="0" w:color="auto"/>
            </w:tcBorders>
            <w:vAlign w:val="center"/>
            <w:hideMark/>
          </w:tcPr>
          <w:p w14:paraId="7AE394D4" w14:textId="77777777" w:rsidR="00B97365" w:rsidRDefault="00000000">
            <w:pPr>
              <w:spacing w:after="120" w:line="276" w:lineRule="auto"/>
              <w:rPr>
                <w:rFonts w:cs="Arial"/>
                <w:color w:val="000000"/>
                <w:sz w:val="16"/>
                <w:szCs w:val="16"/>
              </w:rPr>
            </w:pPr>
            <w:r>
              <w:rPr>
                <w:rFonts w:cs="Arial"/>
                <w:color w:val="000000"/>
                <w:sz w:val="16"/>
                <w:szCs w:val="16"/>
              </w:rPr>
              <w:t>‘1-n’</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07D17D29" w14:textId="77777777" w:rsidR="00B97365" w:rsidRDefault="00000000">
            <w:pPr>
              <w:spacing w:after="120" w:line="276" w:lineRule="auto"/>
              <w:rPr>
                <w:rFonts w:cs="Arial"/>
                <w:noProof/>
                <w:color w:val="000000"/>
                <w:sz w:val="16"/>
                <w:szCs w:val="16"/>
                <w:lang w:eastAsia="en-US"/>
              </w:rPr>
            </w:pPr>
            <w:r>
              <w:rPr>
                <w:rFonts w:cs="Arial"/>
                <w:noProof/>
                <w:color w:val="000000"/>
                <w:sz w:val="16"/>
                <w:szCs w:val="16"/>
              </w:rPr>
              <w:t>System Specific Parameters</w:t>
            </w:r>
          </w:p>
        </w:tc>
        <w:tc>
          <w:tcPr>
            <w:tcW w:w="0" w:type="auto"/>
            <w:tcBorders>
              <w:top w:val="single" w:sz="6" w:space="0" w:color="auto"/>
              <w:left w:val="single" w:sz="6" w:space="0" w:color="auto"/>
              <w:bottom w:val="single" w:sz="6" w:space="0" w:color="auto"/>
              <w:right w:val="single" w:sz="4" w:space="0" w:color="auto"/>
            </w:tcBorders>
            <w:vAlign w:val="center"/>
            <w:hideMark/>
          </w:tcPr>
          <w:p w14:paraId="0ABB2FFE" w14:textId="77777777" w:rsidR="00B97365" w:rsidRDefault="00000000">
            <w:pPr>
              <w:spacing w:after="120" w:line="276" w:lineRule="auto"/>
              <w:jc w:val="center"/>
              <w:rPr>
                <w:rFonts w:cs="Arial"/>
                <w:color w:val="000000"/>
                <w:sz w:val="16"/>
                <w:szCs w:val="16"/>
              </w:rPr>
            </w:pPr>
            <w:r>
              <w:rPr>
                <w:rFonts w:cs="Arial"/>
                <w:color w:val="000000"/>
                <w:sz w:val="16"/>
                <w:szCs w:val="16"/>
              </w:rPr>
              <w:t>O</w:t>
            </w:r>
          </w:p>
        </w:tc>
      </w:tr>
      <w:tr w:rsidR="00B97365" w14:paraId="305A9C02" w14:textId="77777777">
        <w:trPr>
          <w:jc w:val="center"/>
        </w:trPr>
        <w:tc>
          <w:tcPr>
            <w:tcW w:w="568" w:type="dxa"/>
            <w:tcBorders>
              <w:top w:val="single" w:sz="6" w:space="0" w:color="auto"/>
              <w:left w:val="single" w:sz="4" w:space="0" w:color="auto"/>
              <w:bottom w:val="single" w:sz="6" w:space="0" w:color="auto"/>
              <w:right w:val="single" w:sz="6" w:space="0" w:color="auto"/>
            </w:tcBorders>
          </w:tcPr>
          <w:p w14:paraId="332F0CD5"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F0C0B6A"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C00000"/>
            <w:hideMark/>
          </w:tcPr>
          <w:p w14:paraId="7C1EB8A5" w14:textId="77777777" w:rsidR="00B97365" w:rsidRDefault="00000000">
            <w:pPr>
              <w:spacing w:after="120" w:line="276" w:lineRule="auto"/>
              <w:jc w:val="center"/>
              <w:rPr>
                <w:rFonts w:cs="Arial"/>
                <w:b/>
                <w:noProof/>
                <w:color w:val="000000"/>
                <w:sz w:val="16"/>
                <w:szCs w:val="16"/>
                <w:lang w:eastAsia="en-US"/>
              </w:rPr>
            </w:pPr>
            <w:r>
              <w:rPr>
                <w:rFonts w:cs="Arial"/>
                <w:b/>
                <w:sz w:val="16"/>
                <w:szCs w:val="16"/>
              </w:rPr>
              <w:t>Tag</w:t>
            </w:r>
          </w:p>
        </w:tc>
        <w:tc>
          <w:tcPr>
            <w:tcW w:w="0" w:type="auto"/>
            <w:tcBorders>
              <w:top w:val="single" w:sz="6" w:space="0" w:color="auto"/>
              <w:left w:val="single" w:sz="6" w:space="0" w:color="auto"/>
              <w:bottom w:val="single" w:sz="6" w:space="0" w:color="auto"/>
              <w:right w:val="single" w:sz="6" w:space="0" w:color="auto"/>
            </w:tcBorders>
            <w:shd w:val="clear" w:color="auto" w:fill="C00000"/>
            <w:vAlign w:val="center"/>
            <w:hideMark/>
          </w:tcPr>
          <w:p w14:paraId="419E9BA9" w14:textId="77777777" w:rsidR="00B97365" w:rsidRDefault="00000000">
            <w:pPr>
              <w:spacing w:after="120" w:line="276" w:lineRule="auto"/>
              <w:jc w:val="center"/>
              <w:rPr>
                <w:rFonts w:cs="Arial"/>
                <w:b/>
                <w:noProof/>
                <w:color w:val="000000"/>
                <w:sz w:val="16"/>
                <w:szCs w:val="16"/>
                <w:lang w:eastAsia="en-US"/>
              </w:rPr>
            </w:pPr>
            <w:r>
              <w:rPr>
                <w:rFonts w:cs="Arial"/>
                <w:b/>
                <w:sz w:val="16"/>
                <w:szCs w:val="16"/>
              </w:rPr>
              <w:t>Length</w:t>
            </w:r>
          </w:p>
        </w:tc>
        <w:tc>
          <w:tcPr>
            <w:tcW w:w="0" w:type="auto"/>
            <w:tcBorders>
              <w:top w:val="single" w:sz="6" w:space="0" w:color="auto"/>
              <w:left w:val="single" w:sz="6" w:space="0" w:color="auto"/>
              <w:bottom w:val="single" w:sz="6" w:space="0" w:color="auto"/>
              <w:right w:val="single" w:sz="6" w:space="0" w:color="auto"/>
            </w:tcBorders>
            <w:shd w:val="clear" w:color="auto" w:fill="C00000"/>
            <w:vAlign w:val="center"/>
            <w:hideMark/>
          </w:tcPr>
          <w:p w14:paraId="7CC676D6" w14:textId="77777777" w:rsidR="00B97365" w:rsidRDefault="00000000">
            <w:pPr>
              <w:spacing w:after="120" w:line="276" w:lineRule="auto"/>
              <w:jc w:val="center"/>
              <w:rPr>
                <w:rFonts w:cs="Arial"/>
                <w:b/>
                <w:noProof/>
                <w:color w:val="000000"/>
                <w:sz w:val="16"/>
                <w:szCs w:val="16"/>
                <w:lang w:eastAsia="en-US"/>
              </w:rPr>
            </w:pPr>
            <w:r>
              <w:rPr>
                <w:rFonts w:cs="Arial"/>
                <w:b/>
                <w:sz w:val="16"/>
                <w:szCs w:val="16"/>
              </w:rPr>
              <w:t>Value Description</w:t>
            </w:r>
          </w:p>
        </w:tc>
        <w:tc>
          <w:tcPr>
            <w:tcW w:w="0" w:type="auto"/>
            <w:tcBorders>
              <w:top w:val="single" w:sz="6" w:space="0" w:color="auto"/>
              <w:left w:val="single" w:sz="6" w:space="0" w:color="auto"/>
              <w:bottom w:val="single" w:sz="6" w:space="0" w:color="auto"/>
              <w:right w:val="single" w:sz="4" w:space="0" w:color="auto"/>
            </w:tcBorders>
            <w:shd w:val="clear" w:color="auto" w:fill="C00000"/>
            <w:vAlign w:val="center"/>
            <w:hideMark/>
          </w:tcPr>
          <w:p w14:paraId="64C9E4C7" w14:textId="77777777" w:rsidR="00B97365" w:rsidRDefault="00000000">
            <w:pPr>
              <w:spacing w:after="120" w:line="276" w:lineRule="auto"/>
              <w:jc w:val="center"/>
              <w:rPr>
                <w:rFonts w:cs="Arial"/>
                <w:b/>
                <w:color w:val="000000"/>
                <w:sz w:val="16"/>
                <w:szCs w:val="16"/>
              </w:rPr>
            </w:pPr>
            <w:r>
              <w:rPr>
                <w:rFonts w:cs="Arial"/>
                <w:b/>
                <w:sz w:val="16"/>
                <w:szCs w:val="16"/>
              </w:rPr>
              <w:t>MOC</w:t>
            </w:r>
          </w:p>
        </w:tc>
      </w:tr>
      <w:tr w:rsidR="00B97365" w14:paraId="42F4DF7B" w14:textId="77777777">
        <w:trPr>
          <w:jc w:val="center"/>
        </w:trPr>
        <w:tc>
          <w:tcPr>
            <w:tcW w:w="568" w:type="dxa"/>
            <w:tcBorders>
              <w:top w:val="single" w:sz="6" w:space="0" w:color="auto"/>
              <w:left w:val="single" w:sz="4" w:space="0" w:color="auto"/>
              <w:bottom w:val="single" w:sz="4" w:space="0" w:color="auto"/>
              <w:right w:val="single" w:sz="6" w:space="0" w:color="auto"/>
            </w:tcBorders>
          </w:tcPr>
          <w:p w14:paraId="1F1FB9EB"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4" w:space="0" w:color="auto"/>
              <w:right w:val="single" w:sz="6" w:space="0" w:color="auto"/>
            </w:tcBorders>
            <w:vAlign w:val="center"/>
          </w:tcPr>
          <w:p w14:paraId="1F2C20E6"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4" w:space="0" w:color="auto"/>
              <w:right w:val="single" w:sz="6" w:space="0" w:color="auto"/>
            </w:tcBorders>
            <w:vAlign w:val="center"/>
            <w:hideMark/>
          </w:tcPr>
          <w:p w14:paraId="7AF6D7B1" w14:textId="77777777" w:rsidR="00B97365" w:rsidRDefault="00000000">
            <w:pPr>
              <w:spacing w:after="120" w:line="276" w:lineRule="auto"/>
              <w:rPr>
                <w:rFonts w:cs="Arial"/>
                <w:noProof/>
                <w:color w:val="000000"/>
                <w:sz w:val="16"/>
                <w:szCs w:val="16"/>
                <w:lang w:eastAsia="en-US"/>
              </w:rPr>
            </w:pPr>
            <w:r>
              <w:rPr>
                <w:rFonts w:cs="Arial"/>
                <w:noProof/>
                <w:color w:val="000000"/>
                <w:sz w:val="16"/>
                <w:szCs w:val="16"/>
              </w:rPr>
              <w:t>'83'</w:t>
            </w:r>
          </w:p>
        </w:tc>
        <w:tc>
          <w:tcPr>
            <w:tcW w:w="0" w:type="auto"/>
            <w:tcBorders>
              <w:top w:val="single" w:sz="6" w:space="0" w:color="auto"/>
              <w:left w:val="single" w:sz="6" w:space="0" w:color="auto"/>
              <w:bottom w:val="single" w:sz="4" w:space="0" w:color="auto"/>
              <w:right w:val="single" w:sz="6" w:space="0" w:color="auto"/>
            </w:tcBorders>
            <w:vAlign w:val="center"/>
            <w:hideMark/>
          </w:tcPr>
          <w:p w14:paraId="6ABD8DB8" w14:textId="77777777" w:rsidR="00B97365" w:rsidRDefault="00000000">
            <w:pPr>
              <w:spacing w:after="120" w:line="276" w:lineRule="auto"/>
              <w:rPr>
                <w:rFonts w:cs="Arial"/>
                <w:noProof/>
                <w:color w:val="000000"/>
                <w:sz w:val="16"/>
                <w:szCs w:val="16"/>
                <w:lang w:eastAsia="en-US"/>
              </w:rPr>
            </w:pPr>
            <w:r>
              <w:rPr>
                <w:rFonts w:cs="Arial"/>
                <w:color w:val="000000"/>
                <w:sz w:val="16"/>
                <w:szCs w:val="16"/>
              </w:rPr>
              <w:t>‘2’ or ‘4’</w:t>
            </w:r>
          </w:p>
        </w:tc>
        <w:tc>
          <w:tcPr>
            <w:tcW w:w="0" w:type="auto"/>
            <w:tcBorders>
              <w:top w:val="single" w:sz="6" w:space="0" w:color="auto"/>
              <w:left w:val="single" w:sz="6" w:space="0" w:color="auto"/>
              <w:bottom w:val="single" w:sz="4" w:space="0" w:color="auto"/>
              <w:right w:val="single" w:sz="6" w:space="0" w:color="auto"/>
            </w:tcBorders>
            <w:vAlign w:val="center"/>
            <w:hideMark/>
          </w:tcPr>
          <w:p w14:paraId="04F2C5C2" w14:textId="77777777" w:rsidR="00B97365" w:rsidRDefault="00000000">
            <w:pPr>
              <w:spacing w:after="120" w:line="276" w:lineRule="auto"/>
              <w:rPr>
                <w:rFonts w:cs="Arial"/>
                <w:noProof/>
                <w:color w:val="000000"/>
                <w:sz w:val="16"/>
                <w:szCs w:val="16"/>
                <w:lang w:eastAsia="en-US"/>
              </w:rPr>
            </w:pPr>
            <w:r>
              <w:rPr>
                <w:rFonts w:cs="Arial"/>
                <w:noProof/>
                <w:sz w:val="16"/>
                <w:szCs w:val="16"/>
              </w:rPr>
              <w:t>Cumulative Granted Non Volatile Memory</w:t>
            </w:r>
            <w:r>
              <w:rPr>
                <w:rFonts w:cs="Arial"/>
                <w:color w:val="000000"/>
                <w:sz w:val="16"/>
                <w:szCs w:val="16"/>
                <w:lang w:eastAsia="ja-JP"/>
              </w:rPr>
              <w:t xml:space="preserve"> </w:t>
            </w:r>
          </w:p>
        </w:tc>
        <w:tc>
          <w:tcPr>
            <w:tcW w:w="0" w:type="auto"/>
            <w:tcBorders>
              <w:top w:val="single" w:sz="6" w:space="0" w:color="auto"/>
              <w:left w:val="single" w:sz="6" w:space="0" w:color="auto"/>
              <w:bottom w:val="single" w:sz="4" w:space="0" w:color="auto"/>
              <w:right w:val="single" w:sz="4" w:space="0" w:color="auto"/>
            </w:tcBorders>
            <w:vAlign w:val="center"/>
            <w:hideMark/>
          </w:tcPr>
          <w:p w14:paraId="709944E4" w14:textId="77777777" w:rsidR="00B97365" w:rsidRDefault="00000000">
            <w:pPr>
              <w:spacing w:after="120" w:line="276" w:lineRule="auto"/>
              <w:jc w:val="center"/>
              <w:rPr>
                <w:rFonts w:cs="Arial"/>
                <w:color w:val="000000"/>
                <w:sz w:val="16"/>
                <w:szCs w:val="16"/>
              </w:rPr>
            </w:pPr>
            <w:r>
              <w:rPr>
                <w:rFonts w:cs="Arial"/>
                <w:color w:val="000000"/>
                <w:sz w:val="16"/>
                <w:szCs w:val="16"/>
              </w:rPr>
              <w:t>O</w:t>
            </w:r>
          </w:p>
        </w:tc>
      </w:tr>
    </w:tbl>
    <w:p w14:paraId="472E46E0"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INSTALL Parameters</w:t>
      </w:r>
    </w:p>
    <w:p w14:paraId="5561ED5E" w14:textId="77777777" w:rsidR="00B97365" w:rsidRDefault="00000000">
      <w:pPr>
        <w:spacing w:before="0" w:after="200" w:line="276" w:lineRule="auto"/>
        <w:jc w:val="left"/>
        <w:rPr>
          <w:b/>
          <w:szCs w:val="22"/>
          <w:lang w:val="en-US" w:eastAsia="en-GB" w:bidi="ar-SA"/>
        </w:rPr>
      </w:pPr>
      <w:bookmarkStart w:id="2271" w:name="_Toc420594419"/>
      <w:r>
        <w:rPr>
          <w:rFonts w:cs="Arial"/>
          <w:b/>
          <w:szCs w:val="22"/>
          <w:lang w:val="en-US" w:eastAsia="en-GB" w:bidi="ar-SA"/>
        </w:rPr>
        <w:t xml:space="preserve">Data </w:t>
      </w:r>
      <w:r>
        <w:rPr>
          <w:rFonts w:cs="Arial"/>
          <w:b/>
          <w:i/>
          <w:szCs w:val="22"/>
          <w:lang w:val="en-US" w:eastAsia="en-GB" w:bidi="ar-SA"/>
        </w:rPr>
        <w:t>Returned</w:t>
      </w:r>
      <w:bookmarkEnd w:id="2271"/>
    </w:p>
    <w:p w14:paraId="28DC21DE" w14:textId="77777777" w:rsidR="00B97365" w:rsidRDefault="00000000">
      <w:pPr>
        <w:spacing w:before="0" w:after="200" w:line="276" w:lineRule="auto"/>
        <w:jc w:val="left"/>
        <w:rPr>
          <w:szCs w:val="22"/>
          <w:lang w:val="en-US" w:eastAsia="en-GB" w:bidi="ar-SA"/>
        </w:rPr>
      </w:pPr>
      <w:bookmarkStart w:id="2272" w:name="_Toc420594420"/>
      <w:r>
        <w:rPr>
          <w:rFonts w:cs="Arial"/>
          <w:szCs w:val="22"/>
          <w:lang w:val="en-US" w:eastAsia="en-GB" w:bidi="ar-SA"/>
        </w:rPr>
        <w:t>None</w:t>
      </w:r>
      <w:bookmarkEnd w:id="2272"/>
    </w:p>
    <w:p w14:paraId="200BF8A6" w14:textId="77777777" w:rsidR="00B97365" w:rsidRDefault="00000000">
      <w:pPr>
        <w:spacing w:before="0" w:after="200" w:line="276" w:lineRule="auto"/>
        <w:jc w:val="left"/>
        <w:rPr>
          <w:b/>
          <w:szCs w:val="22"/>
          <w:lang w:val="en-US" w:eastAsia="en-GB" w:bidi="ar-SA"/>
        </w:rPr>
      </w:pPr>
      <w:bookmarkStart w:id="2273" w:name="_Toc420594421"/>
      <w:r>
        <w:rPr>
          <w:rFonts w:cs="Arial"/>
          <w:b/>
          <w:i/>
          <w:szCs w:val="22"/>
          <w:lang w:val="en-US" w:eastAsia="en-GB" w:bidi="ar-SA"/>
        </w:rPr>
        <w:t>Response</w:t>
      </w:r>
      <w:r>
        <w:rPr>
          <w:b/>
          <w:szCs w:val="22"/>
          <w:lang w:val="en-US" w:eastAsia="en-GB" w:bidi="ar-SA"/>
        </w:rPr>
        <w:t xml:space="preserve"> Message</w:t>
      </w:r>
      <w:bookmarkEnd w:id="2273"/>
    </w:p>
    <w:p w14:paraId="064EB839" w14:textId="77777777" w:rsidR="00B97365" w:rsidRDefault="00000000">
      <w:pPr>
        <w:spacing w:before="0" w:after="200" w:line="276" w:lineRule="auto"/>
        <w:jc w:val="left"/>
        <w:rPr>
          <w:b/>
          <w:szCs w:val="22"/>
          <w:lang w:val="en-US" w:eastAsia="en-GB" w:bidi="ar-SA"/>
        </w:rPr>
      </w:pPr>
      <w:bookmarkStart w:id="2274" w:name="_Toc420594422"/>
      <w:r>
        <w:rPr>
          <w:rFonts w:cs="Arial"/>
          <w:b/>
          <w:szCs w:val="22"/>
          <w:lang w:val="en-US" w:eastAsia="en-GB" w:bidi="ar-SA"/>
        </w:rPr>
        <w:t>Data Field Returned in the Response Message:</w:t>
      </w:r>
      <w:bookmarkEnd w:id="2274"/>
    </w:p>
    <w:p w14:paraId="14FE13DD" w14:textId="008C367D" w:rsidR="00B97365" w:rsidRDefault="00000000">
      <w:pPr>
        <w:rPr>
          <w:lang w:eastAsia="en-GB"/>
        </w:rPr>
      </w:pPr>
      <w:r>
        <w:rPr>
          <w:rFonts w:cs="Arial"/>
          <w:lang w:val="en-US" w:eastAsia="en-GB"/>
        </w:rPr>
        <w:t xml:space="preserve"> </w:t>
      </w:r>
      <w:r>
        <w:rPr>
          <w:lang w:eastAsia="en-GB"/>
        </w:rPr>
        <w:t xml:space="preserve">A single byte of '00' SHALL be returned indicating that no additional data is present, as defined in the GlobalPlatform Card Specification </w:t>
      </w:r>
      <w:r>
        <w:fldChar w:fldCharType="begin"/>
      </w:r>
      <w:r>
        <w:rPr>
          <w:lang w:eastAsia="en-GB"/>
        </w:rPr>
        <w:instrText xml:space="preserve"> REF _Ref421631311 \r \h </w:instrText>
      </w:r>
      <w:r>
        <w:fldChar w:fldCharType="separate"/>
      </w:r>
      <w:r w:rsidR="001D5AD9">
        <w:rPr>
          <w:lang w:eastAsia="en-GB"/>
        </w:rPr>
        <w:t>[6]</w:t>
      </w:r>
      <w:r>
        <w:fldChar w:fldCharType="end"/>
      </w:r>
      <w:r>
        <w:rPr>
          <w:lang w:eastAsia="en-GB"/>
        </w:rPr>
        <w:t xml:space="preserve"> section 11.5.3.1.</w:t>
      </w:r>
    </w:p>
    <w:p w14:paraId="724CBEC1" w14:textId="77777777" w:rsidR="00B97365" w:rsidRDefault="00B97365">
      <w:pPr>
        <w:spacing w:before="0" w:line="276" w:lineRule="auto"/>
        <w:jc w:val="left"/>
        <w:rPr>
          <w:rFonts w:cs="Arial"/>
          <w:szCs w:val="22"/>
          <w:lang w:eastAsia="en-GB" w:bidi="ar-SA"/>
        </w:rPr>
      </w:pPr>
    </w:p>
    <w:p w14:paraId="053ED82B" w14:textId="77777777" w:rsidR="00B97365" w:rsidRDefault="00000000">
      <w:pPr>
        <w:spacing w:before="0" w:after="200" w:line="276" w:lineRule="auto"/>
        <w:jc w:val="left"/>
        <w:rPr>
          <w:b/>
          <w:szCs w:val="22"/>
          <w:lang w:val="en-US" w:eastAsia="en-GB" w:bidi="ar-SA"/>
        </w:rPr>
      </w:pPr>
      <w:bookmarkStart w:id="2275" w:name="_Toc420594423"/>
      <w:r>
        <w:rPr>
          <w:rFonts w:cs="Arial"/>
          <w:b/>
          <w:szCs w:val="22"/>
          <w:lang w:val="en-US" w:eastAsia="en-GB" w:bidi="ar-SA"/>
        </w:rPr>
        <w:t>Processing State returned in the Response Message:</w:t>
      </w:r>
      <w:bookmarkEnd w:id="2275"/>
    </w:p>
    <w:p w14:paraId="56F7AC62" w14:textId="58B1D6DD" w:rsidR="00B97365" w:rsidRDefault="00000000">
      <w:pPr>
        <w:spacing w:before="0" w:after="200" w:line="276" w:lineRule="auto"/>
        <w:jc w:val="left"/>
        <w:rPr>
          <w:szCs w:val="22"/>
          <w:lang w:val="en-US" w:eastAsia="en-GB" w:bidi="ar-SA"/>
        </w:rPr>
      </w:pPr>
      <w:bookmarkStart w:id="2276" w:name="_Toc420594424"/>
      <w:r>
        <w:rPr>
          <w:rFonts w:cs="Arial"/>
          <w:szCs w:val="22"/>
          <w:lang w:val="en-US" w:eastAsia="en-GB" w:bidi="ar-SA"/>
        </w:rPr>
        <w:t xml:space="preserve">See GlobalPlatform Card Specification </w:t>
      </w:r>
      <w:r>
        <w:fldChar w:fldCharType="begin"/>
      </w:r>
      <w:r>
        <w:instrText xml:space="preserve"> REF _Ref421631311 \r \h  \* MERGEFORMAT </w:instrText>
      </w:r>
      <w:r>
        <w:fldChar w:fldCharType="separate"/>
      </w:r>
      <w:r w:rsidR="001D5AD9" w:rsidRPr="001D5AD9">
        <w:rPr>
          <w:szCs w:val="22"/>
          <w:lang w:val="en-US" w:eastAsia="en-GB" w:bidi="ar-SA"/>
        </w:rPr>
        <w:t>[6]</w:t>
      </w:r>
      <w:r>
        <w:fldChar w:fldCharType="end"/>
      </w:r>
      <w:r>
        <w:rPr>
          <w:szCs w:val="22"/>
          <w:lang w:val="en-US" w:eastAsia="en-GB" w:bidi="ar-SA"/>
        </w:rPr>
        <w:t xml:space="preserve"> section 11.5.3.2.</w:t>
      </w:r>
      <w:bookmarkEnd w:id="2276"/>
    </w:p>
    <w:p w14:paraId="769CFF5E" w14:textId="77777777" w:rsidR="00B97365" w:rsidRDefault="00000000">
      <w:pPr>
        <w:keepNext/>
        <w:keepLines/>
        <w:numPr>
          <w:ilvl w:val="3"/>
          <w:numId w:val="1"/>
        </w:numPr>
        <w:spacing w:before="240" w:after="60" w:line="276" w:lineRule="auto"/>
        <w:jc w:val="left"/>
        <w:outlineLvl w:val="3"/>
        <w:rPr>
          <w:rFonts w:ascii="Arial Bold" w:eastAsia="Times New Roman" w:hAnsi="Arial Bold" w:cs="Calibri"/>
          <w:b/>
          <w:iCs/>
          <w:szCs w:val="28"/>
          <w:lang w:eastAsia="en-US"/>
        </w:rPr>
      </w:pPr>
      <w:bookmarkStart w:id="2277" w:name="_Toc368932228"/>
      <w:bookmarkStart w:id="2278" w:name="_Ref367970653"/>
      <w:bookmarkStart w:id="2279" w:name="_Toc1977307"/>
      <w:bookmarkStart w:id="2280" w:name="_Toc37062466"/>
      <w:r>
        <w:rPr>
          <w:rFonts w:ascii="Arial Bold" w:eastAsia="Calibri" w:hAnsi="Arial Bold" w:cs="Arial"/>
          <w:szCs w:val="28"/>
          <w:lang w:eastAsia="en-US"/>
        </w:rPr>
        <w:t>Profile Enabling</w:t>
      </w:r>
      <w:bookmarkEnd w:id="2277"/>
      <w:bookmarkEnd w:id="2278"/>
      <w:bookmarkEnd w:id="2279"/>
      <w:bookmarkEnd w:id="2280"/>
    </w:p>
    <w:p w14:paraId="7FFDBC32" w14:textId="77777777" w:rsidR="00B97365" w:rsidRDefault="00000000">
      <w:pPr>
        <w:spacing w:before="0" w:after="200" w:line="276" w:lineRule="auto"/>
        <w:jc w:val="left"/>
        <w:rPr>
          <w:b/>
          <w:szCs w:val="22"/>
          <w:lang w:val="en-US" w:eastAsia="en-GB" w:bidi="ar-SA"/>
        </w:rPr>
      </w:pPr>
      <w:bookmarkStart w:id="2281" w:name="_Toc420594425"/>
      <w:r>
        <w:rPr>
          <w:rFonts w:cs="Arial"/>
          <w:b/>
          <w:szCs w:val="22"/>
          <w:lang w:val="en-US" w:eastAsia="en-GB" w:bidi="ar-SA"/>
        </w:rPr>
        <w:t xml:space="preserve">Function name: </w:t>
      </w:r>
      <w:r>
        <w:rPr>
          <w:szCs w:val="22"/>
          <w:lang w:val="en-US" w:eastAsia="en-GB" w:bidi="ar-SA"/>
        </w:rPr>
        <w:t>EnableProfile</w:t>
      </w:r>
      <w:bookmarkEnd w:id="2281"/>
    </w:p>
    <w:p w14:paraId="4429BE87" w14:textId="77777777" w:rsidR="00B97365" w:rsidRDefault="00000000">
      <w:pPr>
        <w:spacing w:before="0" w:after="200" w:line="276" w:lineRule="auto"/>
        <w:jc w:val="left"/>
        <w:rPr>
          <w:szCs w:val="22"/>
          <w:lang w:val="en-US" w:eastAsia="en-GB" w:bidi="ar-SA"/>
        </w:rPr>
      </w:pPr>
      <w:bookmarkStart w:id="2282" w:name="_Toc420594426"/>
      <w:r>
        <w:rPr>
          <w:rFonts w:cs="Arial"/>
          <w:b/>
          <w:szCs w:val="22"/>
          <w:lang w:val="en-US" w:eastAsia="en-GB" w:bidi="ar-SA"/>
        </w:rPr>
        <w:t>Related Procedures</w:t>
      </w:r>
      <w:r>
        <w:rPr>
          <w:szCs w:val="22"/>
          <w:lang w:val="en-US" w:eastAsia="en-GB" w:bidi="ar-SA"/>
        </w:rPr>
        <w:t>: Profile Enabling</w:t>
      </w:r>
      <w:bookmarkEnd w:id="2282"/>
    </w:p>
    <w:p w14:paraId="107F1E55" w14:textId="77777777" w:rsidR="00B97365" w:rsidRDefault="00000000">
      <w:pPr>
        <w:spacing w:before="0" w:after="200" w:line="276" w:lineRule="auto"/>
        <w:jc w:val="left"/>
        <w:rPr>
          <w:szCs w:val="22"/>
          <w:lang w:val="en-US" w:eastAsia="en-GB" w:bidi="ar-SA"/>
        </w:rPr>
      </w:pPr>
      <w:bookmarkStart w:id="2283" w:name="_Toc420594427"/>
      <w:r>
        <w:rPr>
          <w:rFonts w:cs="Arial"/>
          <w:b/>
          <w:szCs w:val="22"/>
          <w:lang w:val="en-US" w:eastAsia="en-GB" w:bidi="ar-SA"/>
        </w:rPr>
        <w:t>Function group:</w:t>
      </w:r>
      <w:r>
        <w:rPr>
          <w:szCs w:val="22"/>
          <w:lang w:val="en-US" w:eastAsia="en-GB" w:bidi="ar-SA"/>
        </w:rPr>
        <w:t xml:space="preserve"> Platform Management</w:t>
      </w:r>
      <w:bookmarkEnd w:id="2283"/>
    </w:p>
    <w:p w14:paraId="77BB5BD2" w14:textId="77777777" w:rsidR="00B97365" w:rsidRDefault="00000000">
      <w:pPr>
        <w:spacing w:before="0" w:after="200" w:line="276" w:lineRule="auto"/>
        <w:jc w:val="left"/>
        <w:rPr>
          <w:szCs w:val="22"/>
          <w:lang w:val="en-US" w:eastAsia="en-GB" w:bidi="ar-SA"/>
        </w:rPr>
      </w:pPr>
      <w:bookmarkStart w:id="2284" w:name="_Toc420594428"/>
      <w:r>
        <w:rPr>
          <w:rFonts w:cs="Arial"/>
          <w:b/>
          <w:szCs w:val="22"/>
          <w:lang w:val="en-US" w:eastAsia="en-GB" w:bidi="ar-SA"/>
        </w:rPr>
        <w:t>Function Provider entity:</w:t>
      </w:r>
      <w:r>
        <w:rPr>
          <w:szCs w:val="22"/>
          <w:lang w:val="en-US" w:eastAsia="en-GB" w:bidi="ar-SA"/>
        </w:rPr>
        <w:t xml:space="preserve"> ISD-R</w:t>
      </w:r>
      <w:bookmarkEnd w:id="2284"/>
    </w:p>
    <w:p w14:paraId="69BE894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is used to enable a Profile on the eUICC.</w:t>
      </w:r>
    </w:p>
    <w:p w14:paraId="4DA5BB6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function makes the target Profile enabled, and disables implicitly the currently Enabled Profile.</w:t>
      </w:r>
    </w:p>
    <w:p w14:paraId="6A13C20C" w14:textId="77777777" w:rsidR="00B97365" w:rsidRDefault="00000000">
      <w:pPr>
        <w:spacing w:before="0" w:after="200" w:line="276" w:lineRule="auto"/>
        <w:jc w:val="left"/>
        <w:rPr>
          <w:b/>
          <w:szCs w:val="22"/>
          <w:u w:val="single"/>
          <w:lang w:val="en-US" w:eastAsia="en-GB" w:bidi="ar-SA"/>
        </w:rPr>
      </w:pPr>
      <w:bookmarkStart w:id="2285" w:name="_Toc420594429"/>
      <w:r>
        <w:rPr>
          <w:rFonts w:cs="Arial"/>
          <w:b/>
          <w:szCs w:val="22"/>
          <w:u w:val="single"/>
          <w:lang w:val="en-US" w:eastAsia="en-GB" w:bidi="ar-SA"/>
        </w:rPr>
        <w:t>Parameters:</w:t>
      </w:r>
      <w:bookmarkEnd w:id="2285"/>
    </w:p>
    <w:p w14:paraId="13083FD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ISD-P-AID  </w:t>
      </w:r>
    </w:p>
    <w:p w14:paraId="3E851FA0" w14:textId="77777777" w:rsidR="00B97365" w:rsidRDefault="00B97365">
      <w:pPr>
        <w:tabs>
          <w:tab w:val="left" w:pos="680"/>
        </w:tabs>
        <w:spacing w:before="0" w:after="200" w:line="276" w:lineRule="auto"/>
        <w:contextualSpacing/>
        <w:jc w:val="left"/>
        <w:rPr>
          <w:rFonts w:cs="Arial"/>
          <w:szCs w:val="22"/>
          <w:lang w:eastAsia="en-GB" w:bidi="ar-SA"/>
        </w:rPr>
      </w:pPr>
    </w:p>
    <w:p w14:paraId="141B09C8" w14:textId="77777777" w:rsidR="00B97365" w:rsidRDefault="00000000">
      <w:pPr>
        <w:spacing w:before="0" w:after="200" w:line="276" w:lineRule="auto"/>
        <w:jc w:val="left"/>
        <w:rPr>
          <w:b/>
          <w:szCs w:val="22"/>
          <w:u w:val="single"/>
          <w:lang w:val="en-US" w:eastAsia="en-GB" w:bidi="ar-SA"/>
        </w:rPr>
      </w:pPr>
      <w:bookmarkStart w:id="2286" w:name="_Toc420594430"/>
      <w:r>
        <w:rPr>
          <w:rFonts w:cs="Arial"/>
          <w:b/>
          <w:szCs w:val="22"/>
          <w:u w:val="single"/>
          <w:lang w:val="en-US" w:eastAsia="en-GB" w:bidi="ar-SA"/>
        </w:rPr>
        <w:t>Prerequisites:</w:t>
      </w:r>
      <w:bookmarkEnd w:id="2286"/>
    </w:p>
    <w:p w14:paraId="6C52EA2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SM-SR has checked that POL2 of both the currently Enabled Profile and the target Profile allow this action.</w:t>
      </w:r>
    </w:p>
    <w:p w14:paraId="43EE230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The target Profile SHALL NOT be the Test Profile</w:t>
      </w:r>
    </w:p>
    <w:p w14:paraId="21C382D1" w14:textId="77777777" w:rsidR="00B97365" w:rsidRDefault="00B97365">
      <w:pPr>
        <w:spacing w:before="0" w:line="276" w:lineRule="auto"/>
        <w:jc w:val="left"/>
        <w:rPr>
          <w:rFonts w:cs="Arial"/>
          <w:b/>
          <w:szCs w:val="22"/>
          <w:u w:val="single"/>
          <w:lang w:val="en-US" w:eastAsia="en-GB" w:bidi="ar-SA"/>
        </w:rPr>
      </w:pPr>
      <w:bookmarkStart w:id="2287" w:name="_Toc420594431"/>
    </w:p>
    <w:p w14:paraId="647E3E47" w14:textId="77777777" w:rsidR="00B97365" w:rsidRDefault="00000000">
      <w:pPr>
        <w:spacing w:before="0" w:after="200" w:line="276" w:lineRule="auto"/>
        <w:jc w:val="left"/>
        <w:rPr>
          <w:b/>
          <w:szCs w:val="22"/>
          <w:u w:val="single"/>
          <w:lang w:val="en-US" w:eastAsia="en-GB" w:bidi="ar-SA"/>
        </w:rPr>
      </w:pPr>
      <w:r>
        <w:rPr>
          <w:rFonts w:cs="Arial"/>
          <w:b/>
          <w:szCs w:val="22"/>
          <w:u w:val="single"/>
          <w:lang w:val="en-US" w:eastAsia="en-GB" w:bidi="ar-SA"/>
        </w:rPr>
        <w:t>Function Flow</w:t>
      </w:r>
      <w:bookmarkEnd w:id="2287"/>
    </w:p>
    <w:p w14:paraId="5A28060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Profile Enabling command, the eUICC SHALL:</w:t>
      </w:r>
    </w:p>
    <w:p w14:paraId="4C7C2B62"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Verify that the target Profile is in the disabled state</w:t>
      </w:r>
    </w:p>
    <w:p w14:paraId="52993D92"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Verify that POL1 of the currently Enabled Profile allows its disabling</w:t>
      </w:r>
    </w:p>
    <w:p w14:paraId="5BDBE440"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Verify that the target Profile is not the Test Profile</w:t>
      </w:r>
    </w:p>
    <w:p w14:paraId="1DD05FC4"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If any of these verifications fail, terminate the command with an error status word</w:t>
      </w:r>
    </w:p>
    <w:p w14:paraId="5DF6A6FC"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If the current profile has been enabled by the activation of the Fall-Back Mechanism then</w:t>
      </w:r>
    </w:p>
    <w:p w14:paraId="5A710802"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 xml:space="preserve">If the target Profile is not the previously Enabled profile and the POL1 of the previously enabled profile does not allow its own disabling, or contains the </w:t>
      </w:r>
      <w:r>
        <w:rPr>
          <w:rFonts w:cs="Arial"/>
          <w:szCs w:val="22"/>
          <w:lang w:val="en-US" w:eastAsia="en-GB" w:bidi="ar-SA"/>
        </w:rPr>
        <w:t xml:space="preserve">rule “Profile deletion is mandatory when its state is changed to disabled”, </w:t>
      </w:r>
      <w:r>
        <w:rPr>
          <w:szCs w:val="22"/>
          <w:lang w:eastAsia="en-GB" w:bidi="ar-SA"/>
        </w:rPr>
        <w:t>terminate the command with an error status word</w:t>
      </w:r>
    </w:p>
    <w:p w14:paraId="3D4D153C"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Disable the currently Enabled Profile and Enable the target Profile</w:t>
      </w:r>
    </w:p>
    <w:p w14:paraId="513476D6" w14:textId="6AC716A2"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Send the REFRESH command in “UICC Reset” mode to the Device according to ETSI TS 102 223 </w:t>
      </w:r>
      <w:r>
        <w:rPr>
          <w:szCs w:val="22"/>
          <w:lang w:eastAsia="en-GB" w:bidi="ar-SA"/>
        </w:rPr>
        <w:fldChar w:fldCharType="begin"/>
      </w:r>
      <w:r>
        <w:rPr>
          <w:szCs w:val="22"/>
          <w:lang w:eastAsia="en-GB" w:bidi="ar-SA"/>
        </w:rPr>
        <w:instrText xml:space="preserve"> REF _Ref421633137 \r \h  \* MERGEFORMAT </w:instrText>
      </w:r>
      <w:r>
        <w:rPr>
          <w:szCs w:val="22"/>
          <w:lang w:eastAsia="en-GB" w:bidi="ar-SA"/>
        </w:rPr>
      </w:r>
      <w:r>
        <w:rPr>
          <w:szCs w:val="22"/>
          <w:lang w:eastAsia="en-GB" w:bidi="ar-SA"/>
        </w:rPr>
        <w:fldChar w:fldCharType="separate"/>
      </w:r>
      <w:r w:rsidR="001D5AD9">
        <w:rPr>
          <w:szCs w:val="22"/>
          <w:lang w:eastAsia="en-GB" w:bidi="ar-SA"/>
        </w:rPr>
        <w:t>[3]</w:t>
      </w:r>
      <w:r>
        <w:rPr>
          <w:szCs w:val="22"/>
          <w:lang w:eastAsia="en-GB" w:bidi="ar-SA"/>
        </w:rPr>
        <w:fldChar w:fldCharType="end"/>
      </w:r>
    </w:p>
    <w:p w14:paraId="64BFD9FD"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The eUICC SHALL send the command response (over SMS PoR or HTTP POST or CAT-TP SDU) before issuing the proactive command REFRESH. So it is possible but not required that the eUICC send the REFRESH command immediately. However the eUICC SHALL issue the REFRESH command within a time interval of 10 STATUS events after receiving the enable command.</w:t>
      </w:r>
    </w:p>
    <w:p w14:paraId="2F1AAE7B"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Send notification.</w:t>
      </w:r>
    </w:p>
    <w:p w14:paraId="2DA469EB" w14:textId="77777777" w:rsidR="00B97365" w:rsidRDefault="00B97365">
      <w:pPr>
        <w:rPr>
          <w:rFonts w:asciiTheme="minorHAnsi" w:hAnsiTheme="minorHAnsi" w:cstheme="minorHAnsi"/>
          <w:b/>
          <w:u w:val="single"/>
        </w:rPr>
      </w:pPr>
    </w:p>
    <w:p w14:paraId="17802FEB" w14:textId="77777777" w:rsidR="00B97365" w:rsidRDefault="00000000">
      <w:pPr>
        <w:spacing w:before="0" w:after="200" w:line="276" w:lineRule="auto"/>
        <w:jc w:val="left"/>
        <w:rPr>
          <w:b/>
          <w:szCs w:val="22"/>
          <w:u w:val="single"/>
          <w:lang w:val="en-US" w:eastAsia="en-GB" w:bidi="ar-SA"/>
        </w:rPr>
      </w:pPr>
      <w:bookmarkStart w:id="2288" w:name="_Toc420594432"/>
      <w:r>
        <w:rPr>
          <w:rFonts w:cs="Arial"/>
          <w:b/>
          <w:szCs w:val="22"/>
          <w:u w:val="single"/>
          <w:lang w:val="en-US" w:eastAsia="en-GB" w:bidi="ar-SA"/>
        </w:rPr>
        <w:t>Command Description:</w:t>
      </w:r>
      <w:bookmarkEnd w:id="2288"/>
    </w:p>
    <w:p w14:paraId="2BBB1227" w14:textId="77777777" w:rsidR="00B97365" w:rsidRDefault="00000000">
      <w:pPr>
        <w:spacing w:before="0" w:after="200" w:line="276" w:lineRule="auto"/>
        <w:jc w:val="left"/>
        <w:rPr>
          <w:b/>
          <w:i/>
          <w:szCs w:val="22"/>
          <w:lang w:val="en-US" w:eastAsia="en-GB" w:bidi="ar-SA"/>
        </w:rPr>
      </w:pPr>
      <w:bookmarkStart w:id="2289" w:name="_Toc420594433"/>
      <w:r>
        <w:rPr>
          <w:rFonts w:cs="Arial"/>
          <w:b/>
          <w:i/>
          <w:szCs w:val="22"/>
          <w:lang w:val="en-US" w:eastAsia="en-GB" w:bidi="ar-SA"/>
        </w:rPr>
        <w:t>STORE DATA COMMAND</w:t>
      </w:r>
      <w:bookmarkEnd w:id="2289"/>
    </w:p>
    <w:p w14:paraId="42B43C75" w14:textId="37B2A9E0"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command is a STORE DATA command, as described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178029A0" w14:textId="77777777" w:rsidR="00B97365" w:rsidRDefault="00B97365">
      <w:pPr>
        <w:rPr>
          <w:rFonts w:asciiTheme="minorHAnsi" w:hAnsiTheme="minorHAnsi" w:cstheme="minorHAnsi"/>
        </w:rPr>
      </w:pPr>
    </w:p>
    <w:tbl>
      <w:tblPr>
        <w:tblW w:w="7656" w:type="dxa"/>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560"/>
        <w:gridCol w:w="1559"/>
        <w:gridCol w:w="4537"/>
      </w:tblGrid>
      <w:tr w:rsidR="00B97365" w14:paraId="780A8C4B" w14:textId="77777777">
        <w:trPr>
          <w:trHeight w:val="195"/>
          <w:tblHeader/>
        </w:trPr>
        <w:tc>
          <w:tcPr>
            <w:tcW w:w="155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AC99FCA" w14:textId="77777777" w:rsidR="00B97365" w:rsidRDefault="00000000">
            <w:pPr>
              <w:jc w:val="center"/>
              <w:rPr>
                <w:rFonts w:cs="Calibri"/>
                <w:b/>
                <w:color w:val="FFFFFF"/>
                <w:sz w:val="16"/>
                <w:szCs w:val="16"/>
              </w:rPr>
            </w:pPr>
            <w:r>
              <w:rPr>
                <w:rFonts w:cs="Calibri"/>
                <w:b/>
                <w:color w:val="FFFFFF"/>
                <w:sz w:val="16"/>
                <w:szCs w:val="16"/>
              </w:rPr>
              <w:t>Code</w:t>
            </w:r>
          </w:p>
        </w:tc>
        <w:tc>
          <w:tcPr>
            <w:tcW w:w="155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403D8DC" w14:textId="77777777" w:rsidR="00B97365" w:rsidRDefault="00000000">
            <w:pPr>
              <w:jc w:val="center"/>
              <w:rPr>
                <w:rFonts w:cs="Calibri"/>
                <w:b/>
                <w:color w:val="FFFFFF"/>
                <w:sz w:val="16"/>
                <w:szCs w:val="16"/>
              </w:rPr>
            </w:pPr>
            <w:r>
              <w:rPr>
                <w:rFonts w:cs="Calibri"/>
                <w:b/>
                <w:color w:val="FFFFFF"/>
                <w:sz w:val="16"/>
                <w:szCs w:val="16"/>
              </w:rPr>
              <w:t>Value</w:t>
            </w:r>
          </w:p>
        </w:tc>
        <w:tc>
          <w:tcPr>
            <w:tcW w:w="453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2A3268B" w14:textId="77777777" w:rsidR="00B97365" w:rsidRDefault="00000000">
            <w:pPr>
              <w:jc w:val="center"/>
              <w:rPr>
                <w:rFonts w:cs="Calibri"/>
                <w:b/>
                <w:color w:val="FFFFFF"/>
                <w:sz w:val="16"/>
                <w:szCs w:val="16"/>
              </w:rPr>
            </w:pPr>
            <w:r>
              <w:rPr>
                <w:rFonts w:cs="Calibri"/>
                <w:b/>
                <w:color w:val="FFFFFF"/>
                <w:sz w:val="16"/>
                <w:szCs w:val="16"/>
              </w:rPr>
              <w:t>Meaning</w:t>
            </w:r>
          </w:p>
        </w:tc>
      </w:tr>
      <w:tr w:rsidR="00B97365" w14:paraId="10C40666" w14:textId="77777777">
        <w:trPr>
          <w:trHeight w:val="195"/>
        </w:trPr>
        <w:tc>
          <w:tcPr>
            <w:tcW w:w="1559" w:type="dxa"/>
            <w:tcBorders>
              <w:top w:val="single" w:sz="6" w:space="0" w:color="auto"/>
              <w:left w:val="single" w:sz="4" w:space="0" w:color="auto"/>
              <w:bottom w:val="single" w:sz="6" w:space="0" w:color="auto"/>
              <w:right w:val="single" w:sz="6" w:space="0" w:color="auto"/>
            </w:tcBorders>
            <w:vAlign w:val="center"/>
            <w:hideMark/>
          </w:tcPr>
          <w:p w14:paraId="47B5055E" w14:textId="77777777" w:rsidR="00B97365" w:rsidRDefault="00000000">
            <w:pPr>
              <w:rPr>
                <w:rFonts w:cs="Calibri"/>
                <w:sz w:val="16"/>
                <w:szCs w:val="16"/>
              </w:rPr>
            </w:pPr>
            <w:r>
              <w:rPr>
                <w:rFonts w:cs="Calibri"/>
                <w:sz w:val="16"/>
                <w:szCs w:val="16"/>
              </w:rPr>
              <w:t>CLA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69BC530" w14:textId="77777777" w:rsidR="00B97365" w:rsidRDefault="00000000">
            <w:pPr>
              <w:rPr>
                <w:rFonts w:cs="Calibri"/>
                <w:sz w:val="16"/>
                <w:szCs w:val="16"/>
              </w:rPr>
            </w:pPr>
            <w:r>
              <w:rPr>
                <w:rFonts w:cs="Calibri"/>
                <w:sz w:val="16"/>
                <w:szCs w:val="16"/>
              </w:rPr>
              <w:t xml:space="preserve">‘80’ </w:t>
            </w:r>
          </w:p>
        </w:tc>
        <w:tc>
          <w:tcPr>
            <w:tcW w:w="4536" w:type="dxa"/>
            <w:tcBorders>
              <w:top w:val="single" w:sz="6" w:space="0" w:color="auto"/>
              <w:left w:val="single" w:sz="6" w:space="0" w:color="auto"/>
              <w:bottom w:val="single" w:sz="6" w:space="0" w:color="auto"/>
              <w:right w:val="single" w:sz="4" w:space="0" w:color="auto"/>
            </w:tcBorders>
            <w:vAlign w:val="center"/>
          </w:tcPr>
          <w:p w14:paraId="20E87458" w14:textId="77777777" w:rsidR="00B97365" w:rsidRDefault="00B97365">
            <w:pPr>
              <w:rPr>
                <w:rFonts w:cs="Calibri"/>
                <w:sz w:val="16"/>
                <w:szCs w:val="16"/>
              </w:rPr>
            </w:pPr>
          </w:p>
        </w:tc>
      </w:tr>
      <w:tr w:rsidR="00B97365" w14:paraId="29D179C1" w14:textId="77777777">
        <w:trPr>
          <w:trHeight w:val="196"/>
        </w:trPr>
        <w:tc>
          <w:tcPr>
            <w:tcW w:w="1559" w:type="dxa"/>
            <w:tcBorders>
              <w:top w:val="single" w:sz="6" w:space="0" w:color="auto"/>
              <w:left w:val="single" w:sz="4" w:space="0" w:color="auto"/>
              <w:bottom w:val="single" w:sz="6" w:space="0" w:color="auto"/>
              <w:right w:val="single" w:sz="6" w:space="0" w:color="auto"/>
            </w:tcBorders>
            <w:vAlign w:val="center"/>
            <w:hideMark/>
          </w:tcPr>
          <w:p w14:paraId="4B3633E5" w14:textId="77777777" w:rsidR="00B97365" w:rsidRDefault="00000000">
            <w:pPr>
              <w:rPr>
                <w:rFonts w:cs="Calibri"/>
                <w:sz w:val="16"/>
                <w:szCs w:val="16"/>
              </w:rPr>
            </w:pPr>
            <w:r>
              <w:rPr>
                <w:rFonts w:cs="Calibri"/>
                <w:sz w:val="16"/>
                <w:szCs w:val="16"/>
              </w:rPr>
              <w:t>INS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971C4E9" w14:textId="77777777" w:rsidR="00B97365" w:rsidRDefault="00000000">
            <w:pPr>
              <w:rPr>
                <w:rFonts w:cs="Calibri"/>
                <w:sz w:val="16"/>
                <w:szCs w:val="16"/>
              </w:rPr>
            </w:pPr>
            <w:r>
              <w:rPr>
                <w:rFonts w:cs="Calibri"/>
                <w:sz w:val="16"/>
                <w:szCs w:val="16"/>
              </w:rPr>
              <w:t>‘E2’</w:t>
            </w:r>
          </w:p>
        </w:tc>
        <w:tc>
          <w:tcPr>
            <w:tcW w:w="4536" w:type="dxa"/>
            <w:tcBorders>
              <w:top w:val="single" w:sz="6" w:space="0" w:color="auto"/>
              <w:left w:val="single" w:sz="6" w:space="0" w:color="auto"/>
              <w:bottom w:val="single" w:sz="6" w:space="0" w:color="auto"/>
              <w:right w:val="single" w:sz="4" w:space="0" w:color="auto"/>
            </w:tcBorders>
            <w:vAlign w:val="center"/>
            <w:hideMark/>
          </w:tcPr>
          <w:p w14:paraId="1C9C0DFE" w14:textId="77777777" w:rsidR="00B97365" w:rsidRDefault="00000000">
            <w:pPr>
              <w:rPr>
                <w:rFonts w:cs="Calibri"/>
                <w:sz w:val="16"/>
                <w:szCs w:val="16"/>
              </w:rPr>
            </w:pPr>
            <w:r>
              <w:rPr>
                <w:rFonts w:cs="Calibri"/>
                <w:sz w:val="16"/>
                <w:szCs w:val="16"/>
              </w:rPr>
              <w:t>STORE DATA</w:t>
            </w:r>
          </w:p>
        </w:tc>
      </w:tr>
      <w:tr w:rsidR="00B97365" w14:paraId="7C6AC0AF" w14:textId="77777777">
        <w:trPr>
          <w:trHeight w:val="195"/>
        </w:trPr>
        <w:tc>
          <w:tcPr>
            <w:tcW w:w="1559" w:type="dxa"/>
            <w:tcBorders>
              <w:top w:val="single" w:sz="6" w:space="0" w:color="auto"/>
              <w:left w:val="single" w:sz="4" w:space="0" w:color="auto"/>
              <w:bottom w:val="single" w:sz="6" w:space="0" w:color="auto"/>
              <w:right w:val="single" w:sz="6" w:space="0" w:color="auto"/>
            </w:tcBorders>
            <w:vAlign w:val="center"/>
            <w:hideMark/>
          </w:tcPr>
          <w:p w14:paraId="6438A898" w14:textId="77777777" w:rsidR="00B97365" w:rsidRDefault="00000000">
            <w:pPr>
              <w:rPr>
                <w:rFonts w:cs="Calibri"/>
                <w:sz w:val="16"/>
                <w:szCs w:val="16"/>
              </w:rPr>
            </w:pPr>
            <w:r>
              <w:rPr>
                <w:rFonts w:cs="Calibri"/>
                <w:sz w:val="16"/>
                <w:szCs w:val="16"/>
              </w:rPr>
              <w:t>P1</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CA8B3FF" w14:textId="77777777" w:rsidR="00B97365" w:rsidRDefault="00000000">
            <w:pPr>
              <w:rPr>
                <w:rFonts w:cs="Calibri"/>
                <w:sz w:val="16"/>
                <w:szCs w:val="16"/>
              </w:rPr>
            </w:pPr>
            <w:r>
              <w:rPr>
                <w:rFonts w:cs="Calibri"/>
                <w:sz w:val="16"/>
                <w:szCs w:val="16"/>
              </w:rPr>
              <w:t>‘88’</w:t>
            </w:r>
          </w:p>
        </w:tc>
        <w:tc>
          <w:tcPr>
            <w:tcW w:w="4536" w:type="dxa"/>
            <w:tcBorders>
              <w:top w:val="single" w:sz="6" w:space="0" w:color="auto"/>
              <w:left w:val="single" w:sz="6" w:space="0" w:color="auto"/>
              <w:bottom w:val="single" w:sz="6" w:space="0" w:color="auto"/>
              <w:right w:val="single" w:sz="4" w:space="0" w:color="auto"/>
            </w:tcBorders>
            <w:vAlign w:val="center"/>
            <w:hideMark/>
          </w:tcPr>
          <w:p w14:paraId="1F0E233E" w14:textId="14814674" w:rsidR="00B97365" w:rsidRDefault="00000000">
            <w:pPr>
              <w:rPr>
                <w:rFonts w:cs="Calibri"/>
                <w:sz w:val="16"/>
                <w:szCs w:val="16"/>
              </w:rPr>
            </w:pPr>
            <w:r>
              <w:rPr>
                <w:rFonts w:cs="Calibri"/>
                <w:sz w:val="16"/>
                <w:szCs w:val="16"/>
              </w:rPr>
              <w:t xml:space="preserve">Reference Control Parameter P1 </w:t>
            </w:r>
            <w:r>
              <w:fldChar w:fldCharType="begin"/>
            </w:r>
            <w:r>
              <w:instrText xml:space="preserve"> REF _Ref340070179 \r \h  \* MERGEFORMAT </w:instrText>
            </w:r>
            <w:r>
              <w:fldChar w:fldCharType="separate"/>
            </w:r>
            <w:r w:rsidR="001D5AD9">
              <w:t>0</w:t>
            </w:r>
            <w:r>
              <w:fldChar w:fldCharType="end"/>
            </w:r>
          </w:p>
        </w:tc>
      </w:tr>
      <w:tr w:rsidR="00B97365" w14:paraId="28D5250B" w14:textId="77777777">
        <w:trPr>
          <w:trHeight w:val="195"/>
        </w:trPr>
        <w:tc>
          <w:tcPr>
            <w:tcW w:w="1559" w:type="dxa"/>
            <w:tcBorders>
              <w:top w:val="single" w:sz="6" w:space="0" w:color="auto"/>
              <w:left w:val="single" w:sz="4" w:space="0" w:color="auto"/>
              <w:bottom w:val="single" w:sz="6" w:space="0" w:color="auto"/>
              <w:right w:val="single" w:sz="6" w:space="0" w:color="auto"/>
            </w:tcBorders>
            <w:vAlign w:val="center"/>
            <w:hideMark/>
          </w:tcPr>
          <w:p w14:paraId="266EFE80" w14:textId="77777777" w:rsidR="00B97365" w:rsidRDefault="00000000">
            <w:pPr>
              <w:rPr>
                <w:rFonts w:cs="Calibri"/>
                <w:sz w:val="16"/>
                <w:szCs w:val="16"/>
              </w:rPr>
            </w:pPr>
            <w:r>
              <w:rPr>
                <w:rFonts w:cs="Calibri"/>
                <w:sz w:val="16"/>
                <w:szCs w:val="16"/>
              </w:rPr>
              <w:t>P2</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B2630F8" w14:textId="77777777" w:rsidR="00B97365" w:rsidRDefault="00000000">
            <w:pPr>
              <w:rPr>
                <w:rFonts w:cs="Calibri"/>
                <w:sz w:val="16"/>
                <w:szCs w:val="16"/>
              </w:rPr>
            </w:pPr>
            <w:r>
              <w:rPr>
                <w:rFonts w:cs="Calibri"/>
                <w:sz w:val="16"/>
                <w:szCs w:val="16"/>
              </w:rPr>
              <w:t>‘00’</w:t>
            </w:r>
          </w:p>
        </w:tc>
        <w:tc>
          <w:tcPr>
            <w:tcW w:w="4536" w:type="dxa"/>
            <w:tcBorders>
              <w:top w:val="single" w:sz="6" w:space="0" w:color="auto"/>
              <w:left w:val="single" w:sz="6" w:space="0" w:color="auto"/>
              <w:bottom w:val="single" w:sz="6" w:space="0" w:color="auto"/>
              <w:right w:val="single" w:sz="4" w:space="0" w:color="auto"/>
            </w:tcBorders>
            <w:vAlign w:val="center"/>
            <w:hideMark/>
          </w:tcPr>
          <w:p w14:paraId="533163F9" w14:textId="77777777" w:rsidR="00B97365" w:rsidRDefault="00000000">
            <w:pPr>
              <w:rPr>
                <w:rFonts w:cs="Calibri"/>
                <w:sz w:val="16"/>
                <w:szCs w:val="16"/>
              </w:rPr>
            </w:pPr>
            <w:r>
              <w:rPr>
                <w:rFonts w:cs="Calibri"/>
                <w:sz w:val="16"/>
                <w:szCs w:val="16"/>
              </w:rPr>
              <w:t xml:space="preserve">Block Number (Not used for Enable command) </w:t>
            </w:r>
          </w:p>
        </w:tc>
      </w:tr>
      <w:tr w:rsidR="00B97365" w14:paraId="71A42231" w14:textId="77777777">
        <w:trPr>
          <w:trHeight w:val="196"/>
        </w:trPr>
        <w:tc>
          <w:tcPr>
            <w:tcW w:w="1559" w:type="dxa"/>
            <w:tcBorders>
              <w:top w:val="single" w:sz="6" w:space="0" w:color="auto"/>
              <w:left w:val="single" w:sz="4" w:space="0" w:color="auto"/>
              <w:bottom w:val="single" w:sz="6" w:space="0" w:color="auto"/>
              <w:right w:val="single" w:sz="6" w:space="0" w:color="auto"/>
            </w:tcBorders>
            <w:vAlign w:val="center"/>
            <w:hideMark/>
          </w:tcPr>
          <w:p w14:paraId="13FAEBD1" w14:textId="77777777" w:rsidR="00B97365" w:rsidRDefault="00000000">
            <w:pPr>
              <w:rPr>
                <w:rFonts w:cs="Calibri"/>
                <w:sz w:val="16"/>
                <w:szCs w:val="16"/>
              </w:rPr>
            </w:pPr>
            <w:r>
              <w:rPr>
                <w:rFonts w:cs="Calibri"/>
                <w:sz w:val="16"/>
                <w:szCs w:val="16"/>
              </w:rPr>
              <w:t>Lc</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C357C15" w14:textId="77777777" w:rsidR="00B97365" w:rsidRDefault="00000000">
            <w:pPr>
              <w:rPr>
                <w:rFonts w:cs="Calibri"/>
                <w:sz w:val="16"/>
                <w:szCs w:val="16"/>
              </w:rPr>
            </w:pPr>
            <w:r>
              <w:rPr>
                <w:rFonts w:cs="Calibri"/>
                <w:sz w:val="16"/>
                <w:szCs w:val="16"/>
              </w:rPr>
              <w:t>‘XX’</w:t>
            </w:r>
          </w:p>
        </w:tc>
        <w:tc>
          <w:tcPr>
            <w:tcW w:w="4536" w:type="dxa"/>
            <w:tcBorders>
              <w:top w:val="single" w:sz="6" w:space="0" w:color="auto"/>
              <w:left w:val="single" w:sz="6" w:space="0" w:color="auto"/>
              <w:bottom w:val="single" w:sz="6" w:space="0" w:color="auto"/>
              <w:right w:val="single" w:sz="4" w:space="0" w:color="auto"/>
            </w:tcBorders>
            <w:vAlign w:val="center"/>
            <w:hideMark/>
          </w:tcPr>
          <w:p w14:paraId="4AE5EC39" w14:textId="77777777" w:rsidR="00B97365" w:rsidRDefault="00000000">
            <w:pPr>
              <w:rPr>
                <w:rFonts w:cs="Calibri"/>
                <w:sz w:val="16"/>
                <w:szCs w:val="16"/>
              </w:rPr>
            </w:pPr>
            <w:r>
              <w:rPr>
                <w:rFonts w:cs="Calibri"/>
                <w:sz w:val="16"/>
                <w:szCs w:val="16"/>
              </w:rPr>
              <w:t>Length of data field</w:t>
            </w:r>
          </w:p>
        </w:tc>
      </w:tr>
      <w:tr w:rsidR="00B97365" w14:paraId="79BDB71C" w14:textId="77777777">
        <w:trPr>
          <w:trHeight w:val="195"/>
        </w:trPr>
        <w:tc>
          <w:tcPr>
            <w:tcW w:w="1559" w:type="dxa"/>
            <w:tcBorders>
              <w:top w:val="single" w:sz="6" w:space="0" w:color="auto"/>
              <w:left w:val="single" w:sz="4" w:space="0" w:color="auto"/>
              <w:bottom w:val="single" w:sz="6" w:space="0" w:color="auto"/>
              <w:right w:val="single" w:sz="6" w:space="0" w:color="auto"/>
            </w:tcBorders>
            <w:vAlign w:val="center"/>
            <w:hideMark/>
          </w:tcPr>
          <w:p w14:paraId="40C0A9B0" w14:textId="77777777" w:rsidR="00B97365" w:rsidRDefault="00000000">
            <w:pPr>
              <w:rPr>
                <w:rFonts w:cs="Calibri"/>
                <w:sz w:val="16"/>
                <w:szCs w:val="16"/>
              </w:rPr>
            </w:pPr>
            <w:r>
              <w:rPr>
                <w:rFonts w:cs="Calibri"/>
                <w:sz w:val="16"/>
                <w:szCs w:val="16"/>
              </w:rPr>
              <w:t>Data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A3A9064" w14:textId="77777777" w:rsidR="00B97365" w:rsidRDefault="00000000">
            <w:pPr>
              <w:rPr>
                <w:rFonts w:cs="Calibri"/>
                <w:sz w:val="16"/>
                <w:szCs w:val="16"/>
              </w:rPr>
            </w:pPr>
            <w:r>
              <w:rPr>
                <w:rFonts w:cs="Calibri"/>
                <w:sz w:val="16"/>
                <w:szCs w:val="16"/>
              </w:rPr>
              <w:t>‘XX’</w:t>
            </w:r>
          </w:p>
        </w:tc>
        <w:tc>
          <w:tcPr>
            <w:tcW w:w="4536" w:type="dxa"/>
            <w:tcBorders>
              <w:top w:val="single" w:sz="6" w:space="0" w:color="auto"/>
              <w:left w:val="single" w:sz="6" w:space="0" w:color="auto"/>
              <w:bottom w:val="single" w:sz="6" w:space="0" w:color="auto"/>
              <w:right w:val="single" w:sz="4" w:space="0" w:color="auto"/>
            </w:tcBorders>
            <w:vAlign w:val="center"/>
            <w:hideMark/>
          </w:tcPr>
          <w:p w14:paraId="73C222CB" w14:textId="77777777" w:rsidR="00B97365" w:rsidRDefault="00000000">
            <w:pPr>
              <w:rPr>
                <w:rFonts w:cs="Calibri"/>
                <w:sz w:val="16"/>
                <w:szCs w:val="16"/>
              </w:rPr>
            </w:pPr>
            <w:r>
              <w:rPr>
                <w:rFonts w:cs="Calibri"/>
                <w:sz w:val="16"/>
                <w:szCs w:val="16"/>
              </w:rPr>
              <w:t>Application Data and MAC (if present)</w:t>
            </w:r>
          </w:p>
        </w:tc>
      </w:tr>
      <w:tr w:rsidR="00B97365" w14:paraId="2FF6B5FD" w14:textId="77777777">
        <w:trPr>
          <w:trHeight w:val="196"/>
        </w:trPr>
        <w:tc>
          <w:tcPr>
            <w:tcW w:w="1559" w:type="dxa"/>
            <w:tcBorders>
              <w:top w:val="single" w:sz="6" w:space="0" w:color="auto"/>
              <w:left w:val="single" w:sz="4" w:space="0" w:color="auto"/>
              <w:bottom w:val="single" w:sz="4" w:space="0" w:color="auto"/>
              <w:right w:val="single" w:sz="6" w:space="0" w:color="auto"/>
            </w:tcBorders>
            <w:vAlign w:val="center"/>
            <w:hideMark/>
          </w:tcPr>
          <w:p w14:paraId="7E26A6A1" w14:textId="77777777" w:rsidR="00B97365" w:rsidRDefault="00000000">
            <w:pPr>
              <w:rPr>
                <w:rFonts w:cs="Calibri"/>
                <w:sz w:val="16"/>
                <w:szCs w:val="16"/>
              </w:rPr>
            </w:pPr>
            <w:r>
              <w:rPr>
                <w:rFonts w:cs="Calibri"/>
                <w:sz w:val="16"/>
                <w:szCs w:val="16"/>
              </w:rPr>
              <w:t>Le</w:t>
            </w:r>
          </w:p>
        </w:tc>
        <w:tc>
          <w:tcPr>
            <w:tcW w:w="1559" w:type="dxa"/>
            <w:tcBorders>
              <w:top w:val="single" w:sz="6" w:space="0" w:color="auto"/>
              <w:left w:val="single" w:sz="6" w:space="0" w:color="auto"/>
              <w:bottom w:val="single" w:sz="4" w:space="0" w:color="auto"/>
              <w:right w:val="single" w:sz="6" w:space="0" w:color="auto"/>
            </w:tcBorders>
            <w:vAlign w:val="center"/>
            <w:hideMark/>
          </w:tcPr>
          <w:p w14:paraId="2BD35943" w14:textId="77777777" w:rsidR="00B97365" w:rsidRDefault="00000000">
            <w:pPr>
              <w:rPr>
                <w:rFonts w:cs="Calibri"/>
                <w:sz w:val="16"/>
                <w:szCs w:val="16"/>
              </w:rPr>
            </w:pPr>
            <w:r>
              <w:rPr>
                <w:rFonts w:cs="Calibri"/>
                <w:sz w:val="16"/>
                <w:szCs w:val="16"/>
              </w:rPr>
              <w:t>Not present</w:t>
            </w:r>
          </w:p>
        </w:tc>
        <w:tc>
          <w:tcPr>
            <w:tcW w:w="4536" w:type="dxa"/>
            <w:tcBorders>
              <w:top w:val="single" w:sz="6" w:space="0" w:color="auto"/>
              <w:left w:val="single" w:sz="6" w:space="0" w:color="auto"/>
              <w:bottom w:val="single" w:sz="4" w:space="0" w:color="auto"/>
              <w:right w:val="single" w:sz="4" w:space="0" w:color="auto"/>
            </w:tcBorders>
            <w:vAlign w:val="center"/>
          </w:tcPr>
          <w:p w14:paraId="66143308" w14:textId="77777777" w:rsidR="00B97365" w:rsidRDefault="00B97365">
            <w:pPr>
              <w:rPr>
                <w:rFonts w:cs="Calibri"/>
                <w:sz w:val="16"/>
                <w:szCs w:val="16"/>
              </w:rPr>
            </w:pPr>
          </w:p>
        </w:tc>
      </w:tr>
    </w:tbl>
    <w:p w14:paraId="26B07CF5"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COMMAND Message</w:t>
      </w:r>
    </w:p>
    <w:p w14:paraId="5BB698DF" w14:textId="77777777" w:rsidR="00B97365" w:rsidRDefault="00000000">
      <w:pPr>
        <w:spacing w:before="0" w:after="200" w:line="276" w:lineRule="auto"/>
        <w:jc w:val="left"/>
        <w:rPr>
          <w:b/>
          <w:i/>
          <w:szCs w:val="22"/>
          <w:lang w:val="en-US" w:eastAsia="en-GB" w:bidi="ar-SA"/>
        </w:rPr>
      </w:pPr>
      <w:bookmarkStart w:id="2290" w:name="_Toc420594434"/>
      <w:r>
        <w:rPr>
          <w:rFonts w:cs="Arial"/>
          <w:b/>
          <w:i/>
          <w:szCs w:val="22"/>
          <w:lang w:val="en-US" w:eastAsia="en-GB" w:bidi="ar-SA"/>
        </w:rPr>
        <w:t>Parameter P1 is coded according to the following table:</w:t>
      </w:r>
      <w:bookmarkEnd w:id="229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29"/>
        <w:gridCol w:w="329"/>
        <w:gridCol w:w="329"/>
        <w:gridCol w:w="329"/>
        <w:gridCol w:w="329"/>
        <w:gridCol w:w="329"/>
        <w:gridCol w:w="329"/>
        <w:gridCol w:w="329"/>
        <w:gridCol w:w="4154"/>
      </w:tblGrid>
      <w:tr w:rsidR="00B97365" w14:paraId="2EEB8063"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7138300" w14:textId="77777777" w:rsidR="00B97365" w:rsidRDefault="00000000">
            <w:pPr>
              <w:rPr>
                <w:rFonts w:cs="Calibri"/>
                <w:b/>
                <w:color w:val="FFFFFF"/>
                <w:sz w:val="16"/>
                <w:szCs w:val="16"/>
              </w:rPr>
            </w:pPr>
            <w:r>
              <w:rPr>
                <w:rFonts w:cs="Calibri"/>
                <w:b/>
                <w:color w:val="FFFFFF"/>
                <w:sz w:val="16"/>
                <w:szCs w:val="16"/>
              </w:rPr>
              <w:lastRenderedPageBreak/>
              <w:t xml:space="preserve">b8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2953E44" w14:textId="77777777" w:rsidR="00B97365" w:rsidRDefault="00000000">
            <w:pPr>
              <w:rPr>
                <w:rFonts w:cs="Calibri"/>
                <w:b/>
                <w:color w:val="FFFFFF"/>
                <w:sz w:val="16"/>
                <w:szCs w:val="16"/>
              </w:rPr>
            </w:pPr>
            <w:r>
              <w:rPr>
                <w:rFonts w:cs="Calibri"/>
                <w:b/>
                <w:color w:val="FFFFFF"/>
                <w:sz w:val="16"/>
                <w:szCs w:val="16"/>
              </w:rPr>
              <w:t xml:space="preserve">b7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2827114" w14:textId="77777777" w:rsidR="00B97365" w:rsidRDefault="00000000">
            <w:pPr>
              <w:rPr>
                <w:rFonts w:cs="Calibri"/>
                <w:b/>
                <w:color w:val="FFFFFF"/>
                <w:sz w:val="16"/>
                <w:szCs w:val="16"/>
              </w:rPr>
            </w:pPr>
            <w:r>
              <w:rPr>
                <w:rFonts w:cs="Calibri"/>
                <w:b/>
                <w:color w:val="FFFFFF"/>
                <w:sz w:val="16"/>
                <w:szCs w:val="16"/>
              </w:rPr>
              <w:t xml:space="preserve">b6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138AC7C" w14:textId="77777777" w:rsidR="00B97365" w:rsidRDefault="00000000">
            <w:pPr>
              <w:rPr>
                <w:rFonts w:cs="Calibri"/>
                <w:b/>
                <w:color w:val="FFFFFF"/>
                <w:sz w:val="16"/>
                <w:szCs w:val="16"/>
              </w:rPr>
            </w:pPr>
            <w:r>
              <w:rPr>
                <w:rFonts w:cs="Calibri"/>
                <w:b/>
                <w:color w:val="FFFFFF"/>
                <w:sz w:val="16"/>
                <w:szCs w:val="16"/>
              </w:rPr>
              <w:t xml:space="preserve">b5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63DEEEF" w14:textId="77777777" w:rsidR="00B97365" w:rsidRDefault="00000000">
            <w:pPr>
              <w:rPr>
                <w:rFonts w:cs="Calibri"/>
                <w:b/>
                <w:color w:val="FFFFFF"/>
                <w:sz w:val="16"/>
                <w:szCs w:val="16"/>
              </w:rPr>
            </w:pPr>
            <w:r>
              <w:rPr>
                <w:rFonts w:cs="Calibri"/>
                <w:b/>
                <w:color w:val="FFFFFF"/>
                <w:sz w:val="16"/>
                <w:szCs w:val="16"/>
              </w:rPr>
              <w:t xml:space="preserve">b4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1042829" w14:textId="77777777" w:rsidR="00B97365" w:rsidRDefault="00000000">
            <w:pPr>
              <w:rPr>
                <w:rFonts w:cs="Calibri"/>
                <w:b/>
                <w:color w:val="FFFFFF"/>
                <w:sz w:val="16"/>
                <w:szCs w:val="16"/>
              </w:rPr>
            </w:pPr>
            <w:r>
              <w:rPr>
                <w:rFonts w:cs="Calibri"/>
                <w:b/>
                <w:color w:val="FFFFFF"/>
                <w:sz w:val="16"/>
                <w:szCs w:val="16"/>
              </w:rPr>
              <w:t xml:space="preserve">b3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7855E7F" w14:textId="77777777" w:rsidR="00B97365" w:rsidRDefault="00000000">
            <w:pPr>
              <w:rPr>
                <w:rFonts w:cs="Calibri"/>
                <w:b/>
                <w:color w:val="FFFFFF"/>
                <w:sz w:val="16"/>
                <w:szCs w:val="16"/>
              </w:rPr>
            </w:pPr>
            <w:r>
              <w:rPr>
                <w:rFonts w:cs="Calibri"/>
                <w:b/>
                <w:color w:val="FFFFFF"/>
                <w:sz w:val="16"/>
                <w:szCs w:val="16"/>
              </w:rPr>
              <w:t xml:space="preserve">b2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287116B" w14:textId="77777777" w:rsidR="00B97365" w:rsidRDefault="00000000">
            <w:pPr>
              <w:rPr>
                <w:rFonts w:cs="Calibri"/>
                <w:b/>
                <w:color w:val="FFFFFF"/>
                <w:sz w:val="16"/>
                <w:szCs w:val="16"/>
              </w:rPr>
            </w:pPr>
            <w:r>
              <w:rPr>
                <w:rFonts w:cs="Calibri"/>
                <w:b/>
                <w:color w:val="FFFFFF"/>
                <w:sz w:val="16"/>
                <w:szCs w:val="16"/>
              </w:rPr>
              <w:t xml:space="preserve">b1 </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2B40332" w14:textId="77777777" w:rsidR="00B97365" w:rsidRDefault="00000000">
            <w:pPr>
              <w:rPr>
                <w:rFonts w:cs="Calibri"/>
                <w:b/>
                <w:color w:val="FFFFFF"/>
                <w:sz w:val="16"/>
                <w:szCs w:val="16"/>
              </w:rPr>
            </w:pPr>
            <w:r>
              <w:rPr>
                <w:rFonts w:cs="Calibri"/>
                <w:b/>
                <w:color w:val="FFFFFF"/>
                <w:sz w:val="16"/>
                <w:szCs w:val="16"/>
              </w:rPr>
              <w:t xml:space="preserve">Meaning </w:t>
            </w:r>
          </w:p>
        </w:tc>
      </w:tr>
      <w:tr w:rsidR="00B97365" w14:paraId="6C5A9DE0"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1BA92D09" w14:textId="77777777" w:rsidR="00B97365" w:rsidRDefault="00000000">
            <w:pPr>
              <w:rPr>
                <w:rFonts w:cs="Calibri"/>
                <w:b/>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4431684B"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67ADDAA"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2968320"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331173B"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D54D32E"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A364DA7"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04DC424"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226A8AC6" w14:textId="77777777" w:rsidR="00B97365" w:rsidRDefault="00000000">
            <w:pPr>
              <w:rPr>
                <w:rFonts w:cs="Calibri"/>
                <w:b/>
                <w:sz w:val="16"/>
                <w:szCs w:val="16"/>
              </w:rPr>
            </w:pPr>
            <w:r>
              <w:rPr>
                <w:rFonts w:cs="Calibri"/>
                <w:sz w:val="16"/>
                <w:szCs w:val="16"/>
              </w:rPr>
              <w:t>Last block</w:t>
            </w:r>
          </w:p>
        </w:tc>
      </w:tr>
      <w:tr w:rsidR="00B97365" w14:paraId="0EBABDC8"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6B67934F"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F8B1E21" w14:textId="77777777" w:rsidR="00B97365" w:rsidRDefault="00000000">
            <w:pPr>
              <w:rPr>
                <w:rFonts w:cs="Calibri"/>
                <w:b/>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170FCF80" w14:textId="77777777" w:rsidR="00B97365" w:rsidRDefault="00000000">
            <w:pPr>
              <w:rPr>
                <w:rFonts w:cs="Calibri"/>
                <w:b/>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5498308C"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D8B5CE6"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677CEEE"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D4A3F2E"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4667C75"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1AC18FEA" w14:textId="77777777" w:rsidR="00B97365" w:rsidRDefault="00000000">
            <w:pPr>
              <w:rPr>
                <w:rFonts w:cs="Calibri"/>
                <w:b/>
                <w:sz w:val="16"/>
                <w:szCs w:val="16"/>
              </w:rPr>
            </w:pPr>
            <w:r>
              <w:rPr>
                <w:rFonts w:cs="Calibri"/>
                <w:sz w:val="16"/>
                <w:szCs w:val="16"/>
              </w:rPr>
              <w:t xml:space="preserve">No general encryption information or non-encrypted data </w:t>
            </w:r>
          </w:p>
        </w:tc>
      </w:tr>
      <w:tr w:rsidR="00B97365" w14:paraId="15DC7537"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2D0F56DB"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083E80D"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F6A020F"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0DDA9EE" w14:textId="77777777" w:rsidR="00B97365" w:rsidRDefault="00000000">
            <w:pPr>
              <w:rPr>
                <w:rFonts w:cs="Calibri"/>
                <w:b/>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12CCD6F2" w14:textId="77777777" w:rsidR="00B97365" w:rsidRDefault="00000000">
            <w:pPr>
              <w:rPr>
                <w:rFonts w:cs="Calibri"/>
                <w:b/>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575EC054"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9053C1E"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8E0306E"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1BAEA429" w14:textId="77777777" w:rsidR="00B97365" w:rsidRDefault="00000000">
            <w:pPr>
              <w:rPr>
                <w:rFonts w:cs="Calibri"/>
                <w:b/>
                <w:sz w:val="16"/>
                <w:szCs w:val="16"/>
              </w:rPr>
            </w:pPr>
            <w:r>
              <w:rPr>
                <w:rFonts w:cs="Calibri"/>
                <w:sz w:val="16"/>
                <w:szCs w:val="16"/>
              </w:rPr>
              <w:t>DGI format of the command data field</w:t>
            </w:r>
          </w:p>
        </w:tc>
      </w:tr>
      <w:tr w:rsidR="00B97365" w14:paraId="61FCF186" w14:textId="77777777">
        <w:trPr>
          <w:tblHeader/>
          <w:jc w:val="center"/>
        </w:trPr>
        <w:tc>
          <w:tcPr>
            <w:tcW w:w="0" w:type="auto"/>
            <w:tcBorders>
              <w:top w:val="single" w:sz="6" w:space="0" w:color="auto"/>
              <w:left w:val="single" w:sz="4" w:space="0" w:color="auto"/>
              <w:bottom w:val="single" w:sz="4" w:space="0" w:color="auto"/>
              <w:right w:val="single" w:sz="6" w:space="0" w:color="auto"/>
            </w:tcBorders>
            <w:hideMark/>
          </w:tcPr>
          <w:p w14:paraId="45897AEC"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63D9590"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39F8962"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5A6646CC"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20B6E3EB"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23525FC0" w14:textId="77777777" w:rsidR="00B97365" w:rsidRDefault="00000000">
            <w:pPr>
              <w:rPr>
                <w:rFonts w:cs="Calibri"/>
                <w:b/>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2A301720" w14:textId="77777777" w:rsidR="00B97365" w:rsidRDefault="00000000">
            <w:pPr>
              <w:rPr>
                <w:rFonts w:cs="Calibri"/>
                <w:b/>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11F40051" w14:textId="77777777" w:rsidR="00B97365" w:rsidRDefault="00000000">
            <w:pPr>
              <w:rPr>
                <w:rFonts w:cs="Calibri"/>
                <w:b/>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4" w:space="0" w:color="auto"/>
            </w:tcBorders>
            <w:hideMark/>
          </w:tcPr>
          <w:p w14:paraId="58BCE729" w14:textId="77777777" w:rsidR="00B97365" w:rsidRDefault="00000000">
            <w:pPr>
              <w:rPr>
                <w:rFonts w:cs="Calibri"/>
                <w:b/>
                <w:sz w:val="16"/>
                <w:szCs w:val="16"/>
              </w:rPr>
            </w:pPr>
            <w:r>
              <w:rPr>
                <w:rFonts w:cs="Calibri"/>
                <w:sz w:val="16"/>
                <w:szCs w:val="16"/>
              </w:rPr>
              <w:t>RFU</w:t>
            </w:r>
          </w:p>
        </w:tc>
      </w:tr>
    </w:tbl>
    <w:p w14:paraId="3FCA9585"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Reference Control Parameter P1</w:t>
      </w:r>
    </w:p>
    <w:p w14:paraId="59D6E21C" w14:textId="77777777" w:rsidR="00B97365" w:rsidRDefault="00000000">
      <w:pPr>
        <w:spacing w:before="0" w:after="200" w:line="276" w:lineRule="auto"/>
        <w:jc w:val="left"/>
        <w:rPr>
          <w:rFonts w:cs="Arial"/>
          <w:b/>
          <w:i/>
          <w:lang w:eastAsia="en-GB" w:bidi="ar-SA"/>
        </w:rPr>
      </w:pPr>
      <w:bookmarkStart w:id="2291" w:name="_Toc420594435"/>
      <w:r>
        <w:rPr>
          <w:rFonts w:cs="Arial"/>
          <w:b/>
          <w:i/>
          <w:lang w:eastAsia="en-GB" w:bidi="ar-SA"/>
        </w:rPr>
        <w:t xml:space="preserve">Data </w:t>
      </w:r>
      <w:r>
        <w:rPr>
          <w:b/>
          <w:i/>
          <w:szCs w:val="22"/>
          <w:lang w:val="en-US" w:eastAsia="en-GB" w:bidi="ar-SA"/>
        </w:rPr>
        <w:t>Field</w:t>
      </w:r>
      <w:r>
        <w:rPr>
          <w:rFonts w:cs="Arial"/>
          <w:b/>
          <w:i/>
          <w:lang w:eastAsia="en-GB" w:bidi="ar-SA"/>
        </w:rPr>
        <w:t xml:space="preserve"> Sent in the Command Message</w:t>
      </w:r>
      <w:bookmarkEnd w:id="229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9"/>
        <w:gridCol w:w="1387"/>
        <w:gridCol w:w="936"/>
        <w:gridCol w:w="1387"/>
        <w:gridCol w:w="2891"/>
        <w:gridCol w:w="1136"/>
      </w:tblGrid>
      <w:tr w:rsidR="00B97365" w14:paraId="682E9DD4" w14:textId="77777777">
        <w:trPr>
          <w:cantSplit/>
          <w:tblHeader/>
        </w:trPr>
        <w:tc>
          <w:tcPr>
            <w:tcW w:w="710" w:type="pct"/>
            <w:tcBorders>
              <w:top w:val="single" w:sz="4" w:space="0" w:color="auto"/>
              <w:left w:val="single" w:sz="4" w:space="0" w:color="auto"/>
              <w:bottom w:val="single" w:sz="6" w:space="0" w:color="auto"/>
              <w:right w:val="single" w:sz="6" w:space="0" w:color="auto"/>
            </w:tcBorders>
            <w:shd w:val="clear" w:color="auto" w:fill="C00000"/>
            <w:hideMark/>
          </w:tcPr>
          <w:p w14:paraId="23AD415D" w14:textId="77777777" w:rsidR="00B97365" w:rsidRDefault="00000000">
            <w:pPr>
              <w:jc w:val="center"/>
              <w:rPr>
                <w:rFonts w:cs="Calibri"/>
                <w:b/>
                <w:color w:val="FFFFFF"/>
                <w:sz w:val="16"/>
                <w:szCs w:val="16"/>
              </w:rPr>
            </w:pPr>
            <w:r>
              <w:rPr>
                <w:rFonts w:cs="Calibri"/>
                <w:b/>
                <w:color w:val="FFFFFF"/>
                <w:sz w:val="16"/>
                <w:szCs w:val="16"/>
              </w:rPr>
              <w:t>DGI</w:t>
            </w:r>
          </w:p>
        </w:tc>
        <w:tc>
          <w:tcPr>
            <w:tcW w:w="769" w:type="pct"/>
            <w:tcBorders>
              <w:top w:val="single" w:sz="4" w:space="0" w:color="auto"/>
              <w:left w:val="single" w:sz="6" w:space="0" w:color="auto"/>
              <w:bottom w:val="single" w:sz="6" w:space="0" w:color="auto"/>
              <w:right w:val="single" w:sz="6" w:space="0" w:color="auto"/>
            </w:tcBorders>
            <w:shd w:val="clear" w:color="auto" w:fill="C00000"/>
            <w:hideMark/>
          </w:tcPr>
          <w:p w14:paraId="48B1438F" w14:textId="77777777" w:rsidR="00B97365" w:rsidRDefault="00000000">
            <w:pPr>
              <w:jc w:val="center"/>
              <w:rPr>
                <w:rFonts w:cs="Calibri"/>
                <w:b/>
                <w:color w:val="FFFFFF"/>
                <w:sz w:val="16"/>
                <w:szCs w:val="16"/>
              </w:rPr>
            </w:pPr>
            <w:r>
              <w:rPr>
                <w:rFonts w:cs="Calibri"/>
                <w:b/>
                <w:color w:val="FFFFFF"/>
                <w:sz w:val="16"/>
                <w:szCs w:val="16"/>
              </w:rPr>
              <w:t>Length</w:t>
            </w:r>
          </w:p>
        </w:tc>
        <w:tc>
          <w:tcPr>
            <w:tcW w:w="2890"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53799652" w14:textId="77777777" w:rsidR="00B97365" w:rsidRDefault="00000000">
            <w:pPr>
              <w:jc w:val="center"/>
              <w:rPr>
                <w:rFonts w:cs="Calibri"/>
                <w:b/>
                <w:color w:val="FFFFFF"/>
                <w:sz w:val="16"/>
                <w:szCs w:val="16"/>
              </w:rPr>
            </w:pPr>
            <w:r>
              <w:rPr>
                <w:rFonts w:cs="Calibri"/>
                <w:b/>
                <w:color w:val="FFFFFF"/>
                <w:sz w:val="16"/>
                <w:szCs w:val="16"/>
              </w:rPr>
              <w:t>Value Description</w:t>
            </w:r>
          </w:p>
        </w:tc>
        <w:tc>
          <w:tcPr>
            <w:tcW w:w="632" w:type="pct"/>
            <w:tcBorders>
              <w:top w:val="single" w:sz="4" w:space="0" w:color="auto"/>
              <w:left w:val="single" w:sz="6" w:space="0" w:color="auto"/>
              <w:bottom w:val="single" w:sz="6" w:space="0" w:color="auto"/>
              <w:right w:val="single" w:sz="4" w:space="0" w:color="auto"/>
            </w:tcBorders>
            <w:shd w:val="clear" w:color="auto" w:fill="C00000"/>
            <w:hideMark/>
          </w:tcPr>
          <w:p w14:paraId="7A88ABAA"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8021589" w14:textId="77777777">
        <w:trPr>
          <w:cantSplit/>
        </w:trPr>
        <w:tc>
          <w:tcPr>
            <w:tcW w:w="710" w:type="pct"/>
            <w:tcBorders>
              <w:top w:val="single" w:sz="6" w:space="0" w:color="auto"/>
              <w:left w:val="single" w:sz="4" w:space="0" w:color="auto"/>
              <w:bottom w:val="single" w:sz="6" w:space="0" w:color="auto"/>
              <w:right w:val="single" w:sz="6" w:space="0" w:color="auto"/>
            </w:tcBorders>
            <w:hideMark/>
          </w:tcPr>
          <w:p w14:paraId="5F69BEA2" w14:textId="77777777" w:rsidR="00B97365" w:rsidRDefault="00000000">
            <w:pPr>
              <w:rPr>
                <w:rFonts w:cs="Calibri"/>
                <w:sz w:val="16"/>
                <w:szCs w:val="16"/>
              </w:rPr>
            </w:pPr>
            <w:r>
              <w:rPr>
                <w:rFonts w:cs="Calibri"/>
                <w:sz w:val="16"/>
                <w:szCs w:val="16"/>
              </w:rPr>
              <w:t>'3A03'</w:t>
            </w:r>
          </w:p>
        </w:tc>
        <w:tc>
          <w:tcPr>
            <w:tcW w:w="769" w:type="pct"/>
            <w:tcBorders>
              <w:top w:val="single" w:sz="6" w:space="0" w:color="auto"/>
              <w:left w:val="single" w:sz="6" w:space="0" w:color="auto"/>
              <w:bottom w:val="single" w:sz="6" w:space="0" w:color="auto"/>
              <w:right w:val="single" w:sz="6" w:space="0" w:color="auto"/>
            </w:tcBorders>
            <w:hideMark/>
          </w:tcPr>
          <w:p w14:paraId="76C326EA" w14:textId="77777777" w:rsidR="00B97365" w:rsidRDefault="00000000">
            <w:pPr>
              <w:rPr>
                <w:rFonts w:cs="Calibri"/>
                <w:sz w:val="16"/>
                <w:szCs w:val="16"/>
              </w:rPr>
            </w:pPr>
            <w:r>
              <w:rPr>
                <w:rFonts w:cs="Calibri"/>
                <w:sz w:val="16"/>
                <w:szCs w:val="16"/>
              </w:rPr>
              <w:t>Var</w:t>
            </w:r>
          </w:p>
        </w:tc>
        <w:tc>
          <w:tcPr>
            <w:tcW w:w="2890" w:type="pct"/>
            <w:gridSpan w:val="3"/>
            <w:tcBorders>
              <w:top w:val="single" w:sz="6" w:space="0" w:color="auto"/>
              <w:left w:val="single" w:sz="6" w:space="0" w:color="auto"/>
              <w:bottom w:val="single" w:sz="6" w:space="0" w:color="auto"/>
              <w:right w:val="single" w:sz="6" w:space="0" w:color="auto"/>
            </w:tcBorders>
            <w:hideMark/>
          </w:tcPr>
          <w:p w14:paraId="37B8C596" w14:textId="77777777" w:rsidR="00B97365" w:rsidRDefault="00000000">
            <w:pPr>
              <w:rPr>
                <w:rFonts w:cs="Calibri"/>
                <w:sz w:val="16"/>
                <w:szCs w:val="16"/>
              </w:rPr>
            </w:pPr>
            <w:r>
              <w:rPr>
                <w:rFonts w:cs="Calibri"/>
                <w:sz w:val="16"/>
                <w:szCs w:val="16"/>
              </w:rPr>
              <w:t>Enable Profile</w:t>
            </w:r>
          </w:p>
        </w:tc>
        <w:tc>
          <w:tcPr>
            <w:tcW w:w="632" w:type="pct"/>
            <w:tcBorders>
              <w:top w:val="single" w:sz="6" w:space="0" w:color="auto"/>
              <w:left w:val="single" w:sz="6" w:space="0" w:color="auto"/>
              <w:bottom w:val="single" w:sz="6" w:space="0" w:color="auto"/>
              <w:right w:val="single" w:sz="4" w:space="0" w:color="auto"/>
            </w:tcBorders>
            <w:hideMark/>
          </w:tcPr>
          <w:p w14:paraId="4680D898" w14:textId="77777777" w:rsidR="00B97365" w:rsidRDefault="00000000">
            <w:pPr>
              <w:jc w:val="center"/>
              <w:rPr>
                <w:rFonts w:cs="Calibri"/>
                <w:sz w:val="16"/>
                <w:szCs w:val="16"/>
              </w:rPr>
            </w:pPr>
            <w:r>
              <w:rPr>
                <w:rFonts w:cs="Calibri"/>
                <w:sz w:val="16"/>
                <w:szCs w:val="16"/>
              </w:rPr>
              <w:t>M</w:t>
            </w:r>
          </w:p>
        </w:tc>
      </w:tr>
      <w:tr w:rsidR="00B97365" w14:paraId="5E771D66" w14:textId="77777777">
        <w:trPr>
          <w:cantSplit/>
        </w:trPr>
        <w:tc>
          <w:tcPr>
            <w:tcW w:w="710" w:type="pct"/>
            <w:tcBorders>
              <w:top w:val="single" w:sz="6" w:space="0" w:color="auto"/>
              <w:left w:val="single" w:sz="4" w:space="0" w:color="auto"/>
              <w:bottom w:val="single" w:sz="6" w:space="0" w:color="auto"/>
              <w:right w:val="single" w:sz="6" w:space="0" w:color="auto"/>
            </w:tcBorders>
          </w:tcPr>
          <w:p w14:paraId="63010C33" w14:textId="77777777" w:rsidR="00B97365" w:rsidRDefault="00B97365">
            <w:pPr>
              <w:rPr>
                <w:rFonts w:cs="Calibri"/>
                <w:sz w:val="16"/>
                <w:szCs w:val="16"/>
              </w:rPr>
            </w:pPr>
          </w:p>
        </w:tc>
        <w:tc>
          <w:tcPr>
            <w:tcW w:w="769" w:type="pct"/>
            <w:tcBorders>
              <w:top w:val="single" w:sz="6" w:space="0" w:color="auto"/>
              <w:left w:val="single" w:sz="6" w:space="0" w:color="auto"/>
              <w:bottom w:val="single" w:sz="6" w:space="0" w:color="auto"/>
              <w:right w:val="single" w:sz="6" w:space="0" w:color="auto"/>
            </w:tcBorders>
          </w:tcPr>
          <w:p w14:paraId="3A3DDBCA"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shd w:val="clear" w:color="auto" w:fill="C00000"/>
            <w:hideMark/>
          </w:tcPr>
          <w:p w14:paraId="7225B75C" w14:textId="77777777" w:rsidR="00B97365" w:rsidRDefault="00000000">
            <w:pPr>
              <w:spacing w:after="120" w:line="276" w:lineRule="auto"/>
              <w:jc w:val="center"/>
              <w:rPr>
                <w:rFonts w:cs="Calibri"/>
                <w:b/>
                <w:color w:val="FFFFFF"/>
                <w:sz w:val="16"/>
                <w:szCs w:val="16"/>
              </w:rPr>
            </w:pPr>
            <w:r>
              <w:rPr>
                <w:rFonts w:cs="Calibri"/>
                <w:b/>
                <w:color w:val="FFFFFF"/>
                <w:sz w:val="16"/>
                <w:szCs w:val="16"/>
              </w:rPr>
              <w:t>Tag</w:t>
            </w:r>
          </w:p>
        </w:tc>
        <w:tc>
          <w:tcPr>
            <w:tcW w:w="769" w:type="pct"/>
            <w:tcBorders>
              <w:top w:val="single" w:sz="6" w:space="0" w:color="auto"/>
              <w:left w:val="single" w:sz="6" w:space="0" w:color="auto"/>
              <w:bottom w:val="single" w:sz="6" w:space="0" w:color="auto"/>
              <w:right w:val="single" w:sz="6" w:space="0" w:color="auto"/>
            </w:tcBorders>
            <w:shd w:val="clear" w:color="auto" w:fill="C00000"/>
            <w:hideMark/>
          </w:tcPr>
          <w:p w14:paraId="2BF8429A" w14:textId="77777777" w:rsidR="00B97365" w:rsidRDefault="00000000">
            <w:pPr>
              <w:spacing w:after="120" w:line="276" w:lineRule="auto"/>
              <w:jc w:val="center"/>
              <w:rPr>
                <w:rFonts w:cs="Calibri"/>
                <w:b/>
                <w:color w:val="FFFFFF"/>
                <w:sz w:val="16"/>
                <w:szCs w:val="16"/>
              </w:rPr>
            </w:pPr>
            <w:r>
              <w:rPr>
                <w:rFonts w:cs="Calibri"/>
                <w:b/>
                <w:color w:val="FFFFFF"/>
                <w:sz w:val="16"/>
                <w:szCs w:val="16"/>
              </w:rPr>
              <w:t>Length</w:t>
            </w:r>
          </w:p>
        </w:tc>
        <w:tc>
          <w:tcPr>
            <w:tcW w:w="1603" w:type="pct"/>
            <w:tcBorders>
              <w:top w:val="single" w:sz="6" w:space="0" w:color="auto"/>
              <w:left w:val="single" w:sz="6" w:space="0" w:color="auto"/>
              <w:bottom w:val="single" w:sz="6" w:space="0" w:color="auto"/>
              <w:right w:val="single" w:sz="6" w:space="0" w:color="auto"/>
            </w:tcBorders>
            <w:shd w:val="clear" w:color="auto" w:fill="C00000"/>
            <w:hideMark/>
          </w:tcPr>
          <w:p w14:paraId="6E1FE349" w14:textId="77777777" w:rsidR="00B97365" w:rsidRDefault="00000000">
            <w:pPr>
              <w:spacing w:after="120" w:line="276" w:lineRule="auto"/>
              <w:jc w:val="center"/>
              <w:rPr>
                <w:rFonts w:cs="Calibri"/>
                <w:b/>
                <w:color w:val="FFFFFF"/>
                <w:sz w:val="16"/>
                <w:szCs w:val="16"/>
              </w:rPr>
            </w:pPr>
            <w:r>
              <w:rPr>
                <w:rFonts w:cs="Calibri"/>
                <w:b/>
                <w:color w:val="FFFFFF"/>
                <w:sz w:val="16"/>
                <w:szCs w:val="16"/>
              </w:rPr>
              <w:t>Value Description</w:t>
            </w:r>
          </w:p>
        </w:tc>
        <w:tc>
          <w:tcPr>
            <w:tcW w:w="632" w:type="pct"/>
            <w:tcBorders>
              <w:top w:val="single" w:sz="6" w:space="0" w:color="auto"/>
              <w:left w:val="single" w:sz="6" w:space="0" w:color="auto"/>
              <w:bottom w:val="single" w:sz="6" w:space="0" w:color="auto"/>
              <w:right w:val="single" w:sz="4" w:space="0" w:color="auto"/>
            </w:tcBorders>
            <w:shd w:val="clear" w:color="auto" w:fill="C00000"/>
            <w:hideMark/>
          </w:tcPr>
          <w:p w14:paraId="585F6373"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1504725" w14:textId="77777777">
        <w:trPr>
          <w:cantSplit/>
        </w:trPr>
        <w:tc>
          <w:tcPr>
            <w:tcW w:w="710" w:type="pct"/>
            <w:tcBorders>
              <w:top w:val="single" w:sz="6" w:space="0" w:color="auto"/>
              <w:left w:val="single" w:sz="4" w:space="0" w:color="auto"/>
              <w:bottom w:val="single" w:sz="4" w:space="0" w:color="auto"/>
              <w:right w:val="single" w:sz="6" w:space="0" w:color="auto"/>
            </w:tcBorders>
          </w:tcPr>
          <w:p w14:paraId="1AAFBE1B" w14:textId="77777777" w:rsidR="00B97365" w:rsidRDefault="00B97365">
            <w:pPr>
              <w:rPr>
                <w:rFonts w:cs="Calibri"/>
                <w:sz w:val="16"/>
                <w:szCs w:val="16"/>
              </w:rPr>
            </w:pPr>
          </w:p>
        </w:tc>
        <w:tc>
          <w:tcPr>
            <w:tcW w:w="769" w:type="pct"/>
            <w:tcBorders>
              <w:top w:val="single" w:sz="6" w:space="0" w:color="auto"/>
              <w:left w:val="single" w:sz="6" w:space="0" w:color="auto"/>
              <w:bottom w:val="single" w:sz="4" w:space="0" w:color="auto"/>
              <w:right w:val="single" w:sz="6" w:space="0" w:color="auto"/>
            </w:tcBorders>
          </w:tcPr>
          <w:p w14:paraId="631CC26F" w14:textId="77777777" w:rsidR="00B97365" w:rsidRDefault="00B97365">
            <w:pPr>
              <w:rPr>
                <w:rFonts w:cs="Calibri"/>
                <w:sz w:val="16"/>
                <w:szCs w:val="16"/>
              </w:rPr>
            </w:pPr>
          </w:p>
        </w:tc>
        <w:tc>
          <w:tcPr>
            <w:tcW w:w="519" w:type="pct"/>
            <w:tcBorders>
              <w:top w:val="single" w:sz="6" w:space="0" w:color="auto"/>
              <w:left w:val="single" w:sz="6" w:space="0" w:color="auto"/>
              <w:bottom w:val="single" w:sz="4" w:space="0" w:color="auto"/>
              <w:right w:val="single" w:sz="6" w:space="0" w:color="auto"/>
            </w:tcBorders>
            <w:hideMark/>
          </w:tcPr>
          <w:p w14:paraId="615C181B" w14:textId="77777777" w:rsidR="00B97365" w:rsidRDefault="00000000">
            <w:pPr>
              <w:rPr>
                <w:rFonts w:cs="Calibri"/>
                <w:sz w:val="16"/>
                <w:szCs w:val="16"/>
              </w:rPr>
            </w:pPr>
            <w:r>
              <w:rPr>
                <w:rFonts w:cs="Calibri"/>
                <w:sz w:val="16"/>
                <w:szCs w:val="16"/>
              </w:rPr>
              <w:t>'4F'</w:t>
            </w:r>
          </w:p>
        </w:tc>
        <w:tc>
          <w:tcPr>
            <w:tcW w:w="769" w:type="pct"/>
            <w:tcBorders>
              <w:top w:val="single" w:sz="6" w:space="0" w:color="auto"/>
              <w:left w:val="single" w:sz="6" w:space="0" w:color="auto"/>
              <w:bottom w:val="single" w:sz="4" w:space="0" w:color="auto"/>
              <w:right w:val="single" w:sz="6" w:space="0" w:color="auto"/>
            </w:tcBorders>
            <w:hideMark/>
          </w:tcPr>
          <w:p w14:paraId="2515A059" w14:textId="77777777" w:rsidR="00B97365" w:rsidRDefault="00000000">
            <w:pPr>
              <w:rPr>
                <w:rFonts w:cs="Calibri"/>
                <w:sz w:val="16"/>
                <w:szCs w:val="16"/>
              </w:rPr>
            </w:pPr>
            <w:r>
              <w:rPr>
                <w:rFonts w:cs="Calibri"/>
                <w:sz w:val="16"/>
                <w:szCs w:val="16"/>
              </w:rPr>
              <w:t>5-16</w:t>
            </w:r>
          </w:p>
        </w:tc>
        <w:tc>
          <w:tcPr>
            <w:tcW w:w="1603" w:type="pct"/>
            <w:tcBorders>
              <w:top w:val="single" w:sz="6" w:space="0" w:color="auto"/>
              <w:left w:val="single" w:sz="6" w:space="0" w:color="auto"/>
              <w:bottom w:val="single" w:sz="4" w:space="0" w:color="auto"/>
              <w:right w:val="single" w:sz="6" w:space="0" w:color="auto"/>
            </w:tcBorders>
            <w:hideMark/>
          </w:tcPr>
          <w:p w14:paraId="49B53652" w14:textId="77777777" w:rsidR="00B97365" w:rsidRDefault="00000000">
            <w:pPr>
              <w:rPr>
                <w:rFonts w:cs="Calibri"/>
                <w:sz w:val="16"/>
                <w:szCs w:val="16"/>
              </w:rPr>
            </w:pPr>
            <w:r>
              <w:rPr>
                <w:rFonts w:cs="Calibri"/>
                <w:sz w:val="16"/>
                <w:szCs w:val="16"/>
              </w:rPr>
              <w:t>ISD-P-AID</w:t>
            </w:r>
          </w:p>
        </w:tc>
        <w:tc>
          <w:tcPr>
            <w:tcW w:w="632" w:type="pct"/>
            <w:tcBorders>
              <w:top w:val="single" w:sz="6" w:space="0" w:color="auto"/>
              <w:left w:val="single" w:sz="6" w:space="0" w:color="auto"/>
              <w:bottom w:val="single" w:sz="4" w:space="0" w:color="auto"/>
              <w:right w:val="single" w:sz="4" w:space="0" w:color="auto"/>
            </w:tcBorders>
            <w:hideMark/>
          </w:tcPr>
          <w:p w14:paraId="47F1C646" w14:textId="77777777" w:rsidR="00B97365" w:rsidRDefault="00000000">
            <w:pPr>
              <w:jc w:val="center"/>
              <w:rPr>
                <w:rFonts w:cs="Calibri"/>
                <w:sz w:val="16"/>
                <w:szCs w:val="16"/>
              </w:rPr>
            </w:pPr>
            <w:r>
              <w:rPr>
                <w:rFonts w:cs="Calibri"/>
                <w:sz w:val="16"/>
                <w:szCs w:val="16"/>
              </w:rPr>
              <w:t>M</w:t>
            </w:r>
          </w:p>
        </w:tc>
      </w:tr>
    </w:tbl>
    <w:p w14:paraId="1FC6168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Enable Attribute Data Field</w:t>
      </w:r>
    </w:p>
    <w:p w14:paraId="0D5A3852" w14:textId="77777777" w:rsidR="00B97365" w:rsidRDefault="00000000">
      <w:pPr>
        <w:spacing w:before="0" w:after="200" w:line="276" w:lineRule="auto"/>
        <w:jc w:val="left"/>
        <w:rPr>
          <w:b/>
          <w:szCs w:val="22"/>
          <w:lang w:val="en-US" w:eastAsia="en-GB" w:bidi="ar-SA"/>
        </w:rPr>
      </w:pPr>
      <w:bookmarkStart w:id="2292" w:name="_Toc420594436"/>
      <w:r>
        <w:rPr>
          <w:rFonts w:cs="Arial"/>
          <w:b/>
          <w:szCs w:val="22"/>
          <w:lang w:val="en-US" w:eastAsia="en-GB" w:bidi="ar-SA"/>
        </w:rPr>
        <w:t>Response Message</w:t>
      </w:r>
      <w:bookmarkEnd w:id="2292"/>
    </w:p>
    <w:p w14:paraId="592F5304" w14:textId="77777777" w:rsidR="00B97365" w:rsidRDefault="00000000">
      <w:pPr>
        <w:spacing w:before="0" w:after="200" w:line="276" w:lineRule="auto"/>
        <w:jc w:val="left"/>
        <w:rPr>
          <w:b/>
          <w:szCs w:val="22"/>
          <w:lang w:val="en-US" w:eastAsia="en-GB" w:bidi="ar-SA"/>
        </w:rPr>
      </w:pPr>
      <w:bookmarkStart w:id="2293" w:name="_Toc420594437"/>
      <w:r>
        <w:rPr>
          <w:rFonts w:cs="Arial"/>
          <w:b/>
          <w:szCs w:val="22"/>
          <w:lang w:val="en-US" w:eastAsia="en-GB" w:bidi="ar-SA"/>
        </w:rPr>
        <w:t>Data Field Returned in the Response Message:</w:t>
      </w:r>
      <w:bookmarkEnd w:id="2293"/>
    </w:p>
    <w:p w14:paraId="0790A742" w14:textId="77777777" w:rsidR="00B97365" w:rsidRDefault="00000000">
      <w:pPr>
        <w:spacing w:before="0" w:after="200" w:line="276" w:lineRule="auto"/>
        <w:jc w:val="left"/>
        <w:rPr>
          <w:szCs w:val="22"/>
          <w:lang w:val="en-US" w:eastAsia="en-GB" w:bidi="ar-SA"/>
        </w:rPr>
      </w:pPr>
      <w:bookmarkStart w:id="2294" w:name="_Toc420594438"/>
      <w:r>
        <w:rPr>
          <w:rFonts w:cs="Arial"/>
          <w:szCs w:val="22"/>
          <w:lang w:val="en-US" w:eastAsia="en-GB" w:bidi="ar-SA"/>
        </w:rPr>
        <w:t>The data field of the response message SHALL NOT be present.</w:t>
      </w:r>
      <w:bookmarkEnd w:id="2294"/>
    </w:p>
    <w:p w14:paraId="536D4A8B" w14:textId="77777777" w:rsidR="00B97365" w:rsidRDefault="00B97365">
      <w:pPr>
        <w:rPr>
          <w:rFonts w:asciiTheme="minorHAnsi" w:hAnsiTheme="minorHAnsi" w:cstheme="minorHAnsi"/>
        </w:rPr>
      </w:pPr>
    </w:p>
    <w:p w14:paraId="22D19FD9" w14:textId="77777777" w:rsidR="00B97365" w:rsidRDefault="00000000">
      <w:pPr>
        <w:spacing w:before="0" w:after="200" w:line="276" w:lineRule="auto"/>
        <w:jc w:val="left"/>
        <w:rPr>
          <w:b/>
          <w:szCs w:val="22"/>
          <w:lang w:val="en-US" w:eastAsia="en-GB" w:bidi="ar-SA"/>
        </w:rPr>
      </w:pPr>
      <w:bookmarkStart w:id="2295" w:name="_Toc420594439"/>
      <w:r>
        <w:rPr>
          <w:rFonts w:cs="Arial"/>
          <w:b/>
          <w:szCs w:val="22"/>
          <w:lang w:val="en-US" w:eastAsia="en-GB" w:bidi="ar-SA"/>
        </w:rPr>
        <w:t>Processing State returned in the Response Message:</w:t>
      </w:r>
      <w:bookmarkEnd w:id="2295"/>
    </w:p>
    <w:p w14:paraId="5EEE0A24" w14:textId="319A47D8" w:rsidR="00B97365" w:rsidRDefault="00000000">
      <w:pPr>
        <w:spacing w:before="0" w:after="200" w:line="276" w:lineRule="auto"/>
        <w:jc w:val="left"/>
        <w:rPr>
          <w:szCs w:val="22"/>
          <w:lang w:val="en-US" w:eastAsia="en-GB" w:bidi="ar-SA"/>
        </w:rPr>
      </w:pPr>
      <w:bookmarkStart w:id="2296" w:name="_Toc420594440"/>
      <w:r>
        <w:rPr>
          <w:rFonts w:cs="Arial"/>
          <w:szCs w:val="22"/>
          <w:lang w:val="en-US" w:eastAsia="en-GB" w:bidi="ar-SA"/>
        </w:rPr>
        <w:t xml:space="preserve">See GlobalPlatform Card Specification </w:t>
      </w:r>
      <w:r>
        <w:fldChar w:fldCharType="begin"/>
      </w:r>
      <w:r>
        <w:instrText xml:space="preserve"> REF _Ref421631311 \r \h  \* MERGEFORMAT </w:instrText>
      </w:r>
      <w:r>
        <w:fldChar w:fldCharType="separate"/>
      </w:r>
      <w:r w:rsidR="001D5AD9" w:rsidRPr="001D5AD9">
        <w:rPr>
          <w:szCs w:val="22"/>
          <w:lang w:val="en-US" w:eastAsia="en-GB" w:bidi="ar-SA"/>
        </w:rPr>
        <w:t>[6]</w:t>
      </w:r>
      <w:r>
        <w:fldChar w:fldCharType="end"/>
      </w:r>
      <w:r>
        <w:rPr>
          <w:szCs w:val="22"/>
          <w:lang w:val="en-US" w:eastAsia="en-GB" w:bidi="ar-SA"/>
        </w:rPr>
        <w:t xml:space="preserve"> section 11.11.3.2.</w:t>
      </w:r>
      <w:bookmarkEnd w:id="2296"/>
    </w:p>
    <w:p w14:paraId="6D07FDC3" w14:textId="77777777" w:rsidR="00B97365" w:rsidRDefault="00B97365">
      <w:pPr>
        <w:spacing w:before="0"/>
        <w:rPr>
          <w:rFonts w:asciiTheme="minorHAnsi" w:hAnsiTheme="minorHAnsi" w:cstheme="minorHAnsi"/>
        </w:rPr>
      </w:pPr>
    </w:p>
    <w:p w14:paraId="669F1740" w14:textId="77777777" w:rsidR="00B97365" w:rsidRDefault="00000000">
      <w:pPr>
        <w:spacing w:before="0" w:after="200" w:line="276" w:lineRule="auto"/>
        <w:jc w:val="left"/>
        <w:rPr>
          <w:b/>
          <w:szCs w:val="22"/>
          <w:lang w:val="en-US" w:eastAsia="en-GB" w:bidi="ar-SA"/>
        </w:rPr>
      </w:pPr>
      <w:bookmarkStart w:id="2297" w:name="_Toc420594441"/>
      <w:r>
        <w:rPr>
          <w:rFonts w:cs="Arial"/>
          <w:b/>
          <w:szCs w:val="22"/>
          <w:lang w:val="en-US" w:eastAsia="en-GB" w:bidi="ar-SA"/>
        </w:rPr>
        <w:t>Specific Processing State returned in response Message:</w:t>
      </w:r>
      <w:bookmarkEnd w:id="2297"/>
      <w:r>
        <w:rPr>
          <w:b/>
          <w:szCs w:val="22"/>
          <w:lang w:val="en-US" w:eastAsia="en-GB" w:bidi="ar-SA"/>
        </w:rPr>
        <w:t xml:space="preserve"> </w:t>
      </w:r>
    </w:p>
    <w:p w14:paraId="004BE45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’69 85’: Profile is not in the Disabled state, or Profile is the Test Profile.</w:t>
      </w:r>
    </w:p>
    <w:p w14:paraId="7A84B61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’69 E1’: POL1 of the currently Enabled Profile or of the previously enabled profile prevents this action. </w:t>
      </w:r>
    </w:p>
    <w:p w14:paraId="504BCA82" w14:textId="77777777" w:rsidR="00B97365" w:rsidRDefault="00B97365">
      <w:pPr>
        <w:rPr>
          <w:rFonts w:asciiTheme="minorHAnsi" w:hAnsiTheme="minorHAnsi" w:cstheme="minorHAnsi"/>
          <w:bCs/>
        </w:rPr>
      </w:pPr>
    </w:p>
    <w:p w14:paraId="06A4C036" w14:textId="77777777" w:rsidR="00B97365" w:rsidRDefault="00000000">
      <w:pPr>
        <w:keepNext/>
        <w:keepLines/>
        <w:numPr>
          <w:ilvl w:val="3"/>
          <w:numId w:val="1"/>
        </w:numPr>
        <w:spacing w:before="240" w:after="60" w:line="276" w:lineRule="auto"/>
        <w:jc w:val="left"/>
        <w:outlineLvl w:val="3"/>
        <w:rPr>
          <w:rFonts w:ascii="Arial Bold" w:eastAsia="Times New Roman" w:hAnsi="Arial Bold" w:cs="Calibri"/>
          <w:b/>
          <w:iCs/>
          <w:szCs w:val="28"/>
          <w:lang w:eastAsia="en-US"/>
        </w:rPr>
      </w:pPr>
      <w:bookmarkStart w:id="2298" w:name="_Toc368932229"/>
      <w:bookmarkStart w:id="2299" w:name="_Ref367975272"/>
      <w:bookmarkStart w:id="2300" w:name="_Ref367974819"/>
      <w:bookmarkStart w:id="2301" w:name="_Ref367971749"/>
      <w:bookmarkStart w:id="2302" w:name="_Toc1977308"/>
      <w:bookmarkStart w:id="2303" w:name="_Toc37062467"/>
      <w:r>
        <w:rPr>
          <w:rFonts w:ascii="Arial Bold" w:eastAsia="Calibri" w:hAnsi="Arial Bold" w:cs="Arial"/>
          <w:szCs w:val="28"/>
          <w:lang w:eastAsia="en-US"/>
        </w:rPr>
        <w:t>Profile Disabling</w:t>
      </w:r>
      <w:bookmarkEnd w:id="2298"/>
      <w:bookmarkEnd w:id="2299"/>
      <w:bookmarkEnd w:id="2300"/>
      <w:bookmarkEnd w:id="2301"/>
      <w:bookmarkEnd w:id="2302"/>
      <w:bookmarkEnd w:id="2303"/>
    </w:p>
    <w:p w14:paraId="796E8911" w14:textId="77777777" w:rsidR="00B97365" w:rsidRDefault="00000000">
      <w:pPr>
        <w:spacing w:before="0" w:after="200" w:line="276" w:lineRule="auto"/>
        <w:jc w:val="left"/>
        <w:rPr>
          <w:b/>
          <w:szCs w:val="22"/>
          <w:lang w:val="en-US" w:eastAsia="en-GB" w:bidi="ar-SA"/>
        </w:rPr>
      </w:pPr>
      <w:bookmarkStart w:id="2304" w:name="_Toc420594442"/>
      <w:r>
        <w:rPr>
          <w:rFonts w:cs="Arial"/>
          <w:b/>
          <w:szCs w:val="22"/>
          <w:lang w:val="en-US" w:eastAsia="en-GB" w:bidi="ar-SA"/>
        </w:rPr>
        <w:t>Function name:</w:t>
      </w:r>
      <w:r>
        <w:rPr>
          <w:szCs w:val="22"/>
          <w:lang w:val="en-US" w:eastAsia="en-GB" w:bidi="ar-SA"/>
        </w:rPr>
        <w:t xml:space="preserve"> DisableProfile</w:t>
      </w:r>
      <w:bookmarkEnd w:id="2304"/>
    </w:p>
    <w:p w14:paraId="208D4CE2" w14:textId="77777777" w:rsidR="00B97365" w:rsidRDefault="00000000">
      <w:pPr>
        <w:spacing w:before="0" w:after="200" w:line="276" w:lineRule="auto"/>
        <w:jc w:val="left"/>
        <w:rPr>
          <w:szCs w:val="22"/>
          <w:lang w:val="en-US" w:eastAsia="en-GB" w:bidi="ar-SA"/>
        </w:rPr>
      </w:pPr>
      <w:bookmarkStart w:id="2305" w:name="_Toc420594443"/>
      <w:r>
        <w:rPr>
          <w:rFonts w:cs="Arial"/>
          <w:b/>
          <w:szCs w:val="22"/>
          <w:lang w:val="en-US" w:eastAsia="en-GB" w:bidi="ar-SA"/>
        </w:rPr>
        <w:t xml:space="preserve">Related Procedures: </w:t>
      </w:r>
      <w:r>
        <w:rPr>
          <w:szCs w:val="22"/>
          <w:lang w:val="en-US" w:eastAsia="en-GB" w:bidi="ar-SA"/>
        </w:rPr>
        <w:t>Profile Disabling</w:t>
      </w:r>
      <w:bookmarkEnd w:id="2305"/>
    </w:p>
    <w:p w14:paraId="67CB4FBE" w14:textId="77777777" w:rsidR="00B97365" w:rsidRDefault="00000000">
      <w:pPr>
        <w:spacing w:before="0" w:after="200" w:line="276" w:lineRule="auto"/>
        <w:jc w:val="left"/>
        <w:rPr>
          <w:b/>
          <w:szCs w:val="22"/>
          <w:lang w:val="en-US" w:eastAsia="en-GB" w:bidi="ar-SA"/>
        </w:rPr>
      </w:pPr>
      <w:bookmarkStart w:id="2306" w:name="_Toc420594444"/>
      <w:r>
        <w:rPr>
          <w:rFonts w:cs="Arial"/>
          <w:b/>
          <w:szCs w:val="22"/>
          <w:lang w:val="en-US" w:eastAsia="en-GB" w:bidi="ar-SA"/>
        </w:rPr>
        <w:t xml:space="preserve">Function group: </w:t>
      </w:r>
      <w:r>
        <w:rPr>
          <w:szCs w:val="22"/>
          <w:lang w:val="en-US" w:eastAsia="en-GB" w:bidi="ar-SA"/>
        </w:rPr>
        <w:t>Platform Management</w:t>
      </w:r>
      <w:bookmarkEnd w:id="2306"/>
    </w:p>
    <w:p w14:paraId="7DBF1D76" w14:textId="77777777" w:rsidR="00B97365" w:rsidRDefault="00000000">
      <w:pPr>
        <w:spacing w:before="0" w:after="200" w:line="276" w:lineRule="auto"/>
        <w:jc w:val="left"/>
        <w:rPr>
          <w:b/>
          <w:szCs w:val="22"/>
          <w:lang w:val="en-US" w:eastAsia="en-GB" w:bidi="ar-SA"/>
        </w:rPr>
      </w:pPr>
      <w:bookmarkStart w:id="2307" w:name="_Toc420594445"/>
      <w:r>
        <w:rPr>
          <w:rFonts w:cs="Arial"/>
          <w:b/>
          <w:szCs w:val="22"/>
          <w:lang w:val="en-US" w:eastAsia="en-GB" w:bidi="ar-SA"/>
        </w:rPr>
        <w:t xml:space="preserve">Function Provider entity: </w:t>
      </w:r>
      <w:r>
        <w:rPr>
          <w:szCs w:val="22"/>
          <w:lang w:val="en-US" w:eastAsia="en-GB" w:bidi="ar-SA"/>
        </w:rPr>
        <w:t>ISD-R</w:t>
      </w:r>
      <w:bookmarkEnd w:id="2307"/>
    </w:p>
    <w:p w14:paraId="27DA3839" w14:textId="77777777" w:rsidR="00B97365" w:rsidRDefault="00000000">
      <w:pPr>
        <w:spacing w:before="0" w:after="200" w:line="276" w:lineRule="auto"/>
        <w:jc w:val="left"/>
        <w:rPr>
          <w:b/>
          <w:szCs w:val="22"/>
          <w:lang w:val="en-US" w:eastAsia="en-GB" w:bidi="ar-SA"/>
        </w:rPr>
      </w:pPr>
      <w:r>
        <w:rPr>
          <w:rFonts w:cs="Arial"/>
          <w:b/>
          <w:szCs w:val="22"/>
          <w:lang w:val="en-US" w:eastAsia="en-GB" w:bidi="ar-SA"/>
        </w:rPr>
        <w:t xml:space="preserve">Description: </w:t>
      </w:r>
      <w:r>
        <w:rPr>
          <w:szCs w:val="22"/>
          <w:lang w:val="en-US" w:eastAsia="en-GB" w:bidi="ar-SA"/>
        </w:rPr>
        <w:t>This function is used to disable a Profile on the eUICC.</w:t>
      </w:r>
    </w:p>
    <w:p w14:paraId="79AB9C0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makes the target Profile Disabled, and implicitly enables the Profile which has the Fall-Back Attribute set.</w:t>
      </w:r>
    </w:p>
    <w:p w14:paraId="478D90A9" w14:textId="77777777" w:rsidR="00B97365" w:rsidRDefault="00000000">
      <w:pPr>
        <w:spacing w:before="0" w:after="200" w:line="276" w:lineRule="auto"/>
        <w:jc w:val="left"/>
        <w:rPr>
          <w:b/>
          <w:szCs w:val="22"/>
          <w:u w:val="single"/>
          <w:lang w:val="en-US" w:eastAsia="en-GB" w:bidi="ar-SA"/>
        </w:rPr>
      </w:pPr>
      <w:bookmarkStart w:id="2308" w:name="_Toc420594446"/>
      <w:r>
        <w:rPr>
          <w:rFonts w:cs="Arial"/>
          <w:b/>
          <w:szCs w:val="22"/>
          <w:u w:val="single"/>
          <w:lang w:val="en-US" w:eastAsia="en-GB" w:bidi="ar-SA"/>
        </w:rPr>
        <w:lastRenderedPageBreak/>
        <w:t>Parameters:</w:t>
      </w:r>
      <w:bookmarkEnd w:id="2308"/>
    </w:p>
    <w:p w14:paraId="1CF36E4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ISD-P-AID   of the currently Enabled Profile</w:t>
      </w:r>
    </w:p>
    <w:p w14:paraId="41D95256" w14:textId="77777777" w:rsidR="00B97365" w:rsidRDefault="00000000">
      <w:pPr>
        <w:spacing w:before="0" w:after="200" w:line="276" w:lineRule="auto"/>
        <w:jc w:val="left"/>
        <w:rPr>
          <w:b/>
          <w:szCs w:val="22"/>
          <w:u w:val="single"/>
          <w:lang w:val="en-US" w:eastAsia="en-GB" w:bidi="ar-SA"/>
        </w:rPr>
      </w:pPr>
      <w:bookmarkStart w:id="2309" w:name="_Toc420594447"/>
      <w:r>
        <w:rPr>
          <w:rFonts w:cs="Arial"/>
          <w:b/>
          <w:szCs w:val="22"/>
          <w:u w:val="single"/>
          <w:lang w:val="en-US" w:eastAsia="en-GB" w:bidi="ar-SA"/>
        </w:rPr>
        <w:t>Prerequisites:</w:t>
      </w:r>
      <w:bookmarkEnd w:id="2309"/>
    </w:p>
    <w:p w14:paraId="493872D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SM-SR has checked that POL2 allows this action</w:t>
      </w:r>
    </w:p>
    <w:p w14:paraId="159AE53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target Profile SHALL NOT be the Test Profile</w:t>
      </w:r>
    </w:p>
    <w:p w14:paraId="72586EE1" w14:textId="77777777" w:rsidR="00B97365" w:rsidRDefault="00000000">
      <w:pPr>
        <w:spacing w:before="0" w:after="200" w:line="276" w:lineRule="auto"/>
        <w:jc w:val="left"/>
        <w:rPr>
          <w:b/>
          <w:szCs w:val="22"/>
          <w:u w:val="single"/>
          <w:lang w:val="en-US" w:eastAsia="en-GB" w:bidi="ar-SA"/>
        </w:rPr>
      </w:pPr>
      <w:bookmarkStart w:id="2310" w:name="_Toc420594448"/>
      <w:r>
        <w:rPr>
          <w:rFonts w:cs="Arial"/>
          <w:b/>
          <w:szCs w:val="22"/>
          <w:u w:val="single"/>
          <w:lang w:val="en-US" w:eastAsia="en-GB" w:bidi="ar-SA"/>
        </w:rPr>
        <w:t>Function flow</w:t>
      </w:r>
      <w:bookmarkEnd w:id="2310"/>
    </w:p>
    <w:p w14:paraId="45A2B043" w14:textId="77777777" w:rsidR="00B97365" w:rsidRDefault="00000000">
      <w:pPr>
        <w:rPr>
          <w:rFonts w:cs="Arial"/>
        </w:rPr>
      </w:pPr>
      <w:r>
        <w:rPr>
          <w:rFonts w:cs="Arial"/>
        </w:rPr>
        <w:t>Upon reception of the Profile Disabling command, the eUICC SHALL:</w:t>
      </w:r>
    </w:p>
    <w:p w14:paraId="0D50E45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the target Profile is in Enabled state</w:t>
      </w:r>
    </w:p>
    <w:p w14:paraId="73559E7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POL1 of the currently Enabled Profile allows its disabling</w:t>
      </w:r>
    </w:p>
    <w:p w14:paraId="36AC736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the target Profile is not the Test Profile</w:t>
      </w:r>
    </w:p>
    <w:p w14:paraId="10D2FC6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the target Profile is not the Profile with Fall-Back Attribute set</w:t>
      </w:r>
    </w:p>
    <w:p w14:paraId="0928A1D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If any of these verifications fail, terminate the command with an error status word.</w:t>
      </w:r>
    </w:p>
    <w:p w14:paraId="76D5094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Disable the target Profile and enable the Profile with the Fall-Back Attribute set</w:t>
      </w:r>
    </w:p>
    <w:p w14:paraId="65D1924D" w14:textId="035FB3FF"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Send the REFRESH command in “UICC Reset” mode to the Device according to ETSI TS 102 223 </w:t>
      </w:r>
      <w:r>
        <w:fldChar w:fldCharType="begin"/>
      </w:r>
      <w:r>
        <w:rPr>
          <w:szCs w:val="22"/>
          <w:lang w:eastAsia="en-GB" w:bidi="ar-SA"/>
        </w:rPr>
        <w:instrText xml:space="preserve"> REF _Ref421633137 \r \h </w:instrText>
      </w:r>
      <w:r>
        <w:fldChar w:fldCharType="separate"/>
      </w:r>
      <w:r w:rsidR="001D5AD9">
        <w:rPr>
          <w:szCs w:val="22"/>
          <w:lang w:eastAsia="en-GB" w:bidi="ar-SA"/>
        </w:rPr>
        <w:t>[3]</w:t>
      </w:r>
      <w:r>
        <w:fldChar w:fldCharType="end"/>
      </w:r>
      <w:r>
        <w:rPr>
          <w:szCs w:val="22"/>
          <w:lang w:eastAsia="en-GB" w:bidi="ar-SA"/>
        </w:rPr>
        <w:t>.</w:t>
      </w:r>
    </w:p>
    <w:p w14:paraId="33E68617"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The same note about deferred REFRESH as for enable command applies as well to disable: The eUICC SHALL issue the REFRESH command within a time interval of 10 STATUS events after receiving the disable command.</w:t>
      </w:r>
    </w:p>
    <w:p w14:paraId="2DB2EC56" w14:textId="77777777" w:rsidR="00B97365" w:rsidRDefault="00B97365">
      <w:pPr>
        <w:rPr>
          <w:rFonts w:asciiTheme="minorHAnsi" w:hAnsiTheme="minorHAnsi" w:cstheme="minorHAnsi"/>
        </w:rPr>
      </w:pPr>
    </w:p>
    <w:p w14:paraId="442159C3" w14:textId="77777777" w:rsidR="00B97365" w:rsidRDefault="00000000">
      <w:pPr>
        <w:spacing w:before="0" w:after="200" w:line="276" w:lineRule="auto"/>
        <w:jc w:val="left"/>
        <w:rPr>
          <w:b/>
          <w:szCs w:val="22"/>
          <w:u w:val="single"/>
          <w:lang w:val="en-US" w:eastAsia="en-GB" w:bidi="ar-SA"/>
        </w:rPr>
      </w:pPr>
      <w:bookmarkStart w:id="2311" w:name="_Toc420594449"/>
      <w:r>
        <w:rPr>
          <w:rFonts w:cs="Arial"/>
          <w:b/>
          <w:szCs w:val="22"/>
          <w:u w:val="single"/>
          <w:lang w:val="en-US" w:eastAsia="en-GB" w:bidi="ar-SA"/>
        </w:rPr>
        <w:t>Command Description:</w:t>
      </w:r>
      <w:bookmarkEnd w:id="2311"/>
    </w:p>
    <w:p w14:paraId="4E7D625C" w14:textId="77777777" w:rsidR="00B97365" w:rsidRDefault="00000000">
      <w:pPr>
        <w:spacing w:before="0" w:after="200" w:line="276" w:lineRule="auto"/>
        <w:jc w:val="left"/>
        <w:rPr>
          <w:b/>
          <w:i/>
          <w:szCs w:val="22"/>
          <w:lang w:val="en-US" w:eastAsia="en-GB" w:bidi="ar-SA"/>
        </w:rPr>
      </w:pPr>
      <w:bookmarkStart w:id="2312" w:name="_Toc420594450"/>
      <w:r>
        <w:rPr>
          <w:rFonts w:cs="Arial"/>
          <w:b/>
          <w:i/>
          <w:szCs w:val="22"/>
          <w:lang w:val="en-US" w:eastAsia="en-GB" w:bidi="ar-SA"/>
        </w:rPr>
        <w:t>STORE DATA COMMAND</w:t>
      </w:r>
      <w:bookmarkEnd w:id="2312"/>
    </w:p>
    <w:p w14:paraId="3B333911" w14:textId="62EA95FC"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command is a STORE DATA command, as described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37210C41" w14:textId="77777777" w:rsidR="00B97365" w:rsidRDefault="00B97365">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542"/>
        <w:gridCol w:w="970"/>
        <w:gridCol w:w="3459"/>
      </w:tblGrid>
      <w:tr w:rsidR="00B97365" w14:paraId="1CF43D59"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9DFF39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F913A8D" w14:textId="77777777" w:rsidR="00B97365" w:rsidRDefault="00000000">
            <w:pPr>
              <w:jc w:val="center"/>
              <w:rPr>
                <w:rFonts w:cs="Calibri"/>
                <w:b/>
                <w:color w:val="FFFFFF"/>
                <w:sz w:val="16"/>
                <w:szCs w:val="16"/>
              </w:rPr>
            </w:pPr>
            <w:r>
              <w:rPr>
                <w:rFonts w:cs="Calibri"/>
                <w:b/>
                <w:color w:val="FFFFFF"/>
                <w:sz w:val="16"/>
                <w:szCs w:val="16"/>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1802ABC" w14:textId="77777777" w:rsidR="00B97365" w:rsidRDefault="00000000">
            <w:pPr>
              <w:jc w:val="center"/>
              <w:rPr>
                <w:rFonts w:cs="Calibri"/>
                <w:b/>
                <w:color w:val="FFFFFF"/>
                <w:sz w:val="16"/>
                <w:szCs w:val="16"/>
              </w:rPr>
            </w:pPr>
            <w:r>
              <w:rPr>
                <w:rFonts w:cs="Calibri"/>
                <w:b/>
                <w:color w:val="FFFFFF"/>
                <w:sz w:val="16"/>
                <w:szCs w:val="16"/>
              </w:rPr>
              <w:t>Meaning</w:t>
            </w:r>
          </w:p>
        </w:tc>
      </w:tr>
      <w:tr w:rsidR="00B97365" w14:paraId="30302323"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0E24B02" w14:textId="77777777" w:rsidR="00B97365" w:rsidRDefault="00000000">
            <w:pPr>
              <w:rPr>
                <w:rFonts w:cs="Calibri"/>
                <w:sz w:val="16"/>
                <w:szCs w:val="16"/>
              </w:rPr>
            </w:pPr>
            <w:r>
              <w:rPr>
                <w:rFonts w:cs="Calibri"/>
                <w:sz w:val="16"/>
                <w:szCs w:val="16"/>
              </w:rPr>
              <w:t>CLA</w:t>
            </w:r>
          </w:p>
        </w:tc>
        <w:tc>
          <w:tcPr>
            <w:tcW w:w="0" w:type="auto"/>
            <w:tcBorders>
              <w:top w:val="single" w:sz="6" w:space="0" w:color="auto"/>
              <w:left w:val="single" w:sz="6" w:space="0" w:color="auto"/>
              <w:bottom w:val="single" w:sz="6" w:space="0" w:color="auto"/>
              <w:right w:val="single" w:sz="6" w:space="0" w:color="auto"/>
            </w:tcBorders>
            <w:vAlign w:val="center"/>
            <w:hideMark/>
          </w:tcPr>
          <w:p w14:paraId="64647719" w14:textId="77777777" w:rsidR="00B97365" w:rsidRDefault="00000000">
            <w:pPr>
              <w:rPr>
                <w:rFonts w:cs="Calibri"/>
                <w:sz w:val="16"/>
                <w:szCs w:val="16"/>
              </w:rPr>
            </w:pPr>
            <w:r>
              <w:rPr>
                <w:rFonts w:cs="Calibri"/>
                <w:sz w:val="16"/>
                <w:szCs w:val="16"/>
              </w:rPr>
              <w:t xml:space="preserve">‘80’ </w:t>
            </w:r>
          </w:p>
        </w:tc>
        <w:tc>
          <w:tcPr>
            <w:tcW w:w="0" w:type="auto"/>
            <w:tcBorders>
              <w:top w:val="single" w:sz="6" w:space="0" w:color="auto"/>
              <w:left w:val="single" w:sz="6" w:space="0" w:color="auto"/>
              <w:bottom w:val="single" w:sz="6" w:space="0" w:color="auto"/>
              <w:right w:val="single" w:sz="4" w:space="0" w:color="auto"/>
            </w:tcBorders>
            <w:vAlign w:val="center"/>
          </w:tcPr>
          <w:p w14:paraId="7D39DF15" w14:textId="77777777" w:rsidR="00B97365" w:rsidRDefault="00B97365">
            <w:pPr>
              <w:rPr>
                <w:rFonts w:cs="Calibri"/>
                <w:sz w:val="16"/>
                <w:szCs w:val="16"/>
              </w:rPr>
            </w:pPr>
          </w:p>
        </w:tc>
      </w:tr>
      <w:tr w:rsidR="00B97365" w14:paraId="60BFB7C0"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1C0CEF4" w14:textId="77777777" w:rsidR="00B97365" w:rsidRDefault="00000000">
            <w:pPr>
              <w:rPr>
                <w:rFonts w:cs="Calibri"/>
                <w:sz w:val="16"/>
                <w:szCs w:val="16"/>
              </w:rPr>
            </w:pPr>
            <w:r>
              <w:rPr>
                <w:rFonts w:cs="Calibri"/>
                <w:sz w:val="16"/>
                <w:szCs w:val="16"/>
              </w:rPr>
              <w:t>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1CD04D4B" w14:textId="77777777" w:rsidR="00B97365" w:rsidRDefault="00000000">
            <w:pPr>
              <w:rPr>
                <w:rFonts w:cs="Calibri"/>
                <w:sz w:val="16"/>
                <w:szCs w:val="16"/>
              </w:rPr>
            </w:pPr>
            <w:r>
              <w:rPr>
                <w:rFonts w:cs="Calibri"/>
                <w:sz w:val="16"/>
                <w:szCs w:val="16"/>
              </w:rPr>
              <w:t>‘E2’</w:t>
            </w:r>
          </w:p>
        </w:tc>
        <w:tc>
          <w:tcPr>
            <w:tcW w:w="0" w:type="auto"/>
            <w:tcBorders>
              <w:top w:val="single" w:sz="6" w:space="0" w:color="auto"/>
              <w:left w:val="single" w:sz="6" w:space="0" w:color="auto"/>
              <w:bottom w:val="single" w:sz="6" w:space="0" w:color="auto"/>
              <w:right w:val="single" w:sz="4" w:space="0" w:color="auto"/>
            </w:tcBorders>
            <w:vAlign w:val="center"/>
            <w:hideMark/>
          </w:tcPr>
          <w:p w14:paraId="7E320A3D" w14:textId="77777777" w:rsidR="00B97365" w:rsidRDefault="00000000">
            <w:pPr>
              <w:rPr>
                <w:rFonts w:cs="Calibri"/>
                <w:sz w:val="16"/>
                <w:szCs w:val="16"/>
              </w:rPr>
            </w:pPr>
            <w:r>
              <w:rPr>
                <w:rFonts w:cs="Calibri"/>
                <w:sz w:val="16"/>
                <w:szCs w:val="16"/>
              </w:rPr>
              <w:t>STORE DATA</w:t>
            </w:r>
          </w:p>
        </w:tc>
      </w:tr>
      <w:tr w:rsidR="00B97365" w14:paraId="6B509EAB"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35F928AD" w14:textId="77777777" w:rsidR="00B97365" w:rsidRDefault="00000000">
            <w:pPr>
              <w:rPr>
                <w:rFonts w:cs="Calibri"/>
                <w:sz w:val="16"/>
                <w:szCs w:val="16"/>
              </w:rPr>
            </w:pPr>
            <w:r>
              <w:rPr>
                <w:rFonts w:cs="Calibri"/>
                <w:sz w:val="16"/>
                <w:szCs w:val="16"/>
              </w:rPr>
              <w:t>P1</w:t>
            </w:r>
          </w:p>
        </w:tc>
        <w:tc>
          <w:tcPr>
            <w:tcW w:w="0" w:type="auto"/>
            <w:tcBorders>
              <w:top w:val="single" w:sz="6" w:space="0" w:color="auto"/>
              <w:left w:val="single" w:sz="6" w:space="0" w:color="auto"/>
              <w:bottom w:val="single" w:sz="6" w:space="0" w:color="auto"/>
              <w:right w:val="single" w:sz="6" w:space="0" w:color="auto"/>
            </w:tcBorders>
            <w:hideMark/>
          </w:tcPr>
          <w:p w14:paraId="329A4C37" w14:textId="77777777" w:rsidR="00B97365" w:rsidRDefault="00000000">
            <w:pPr>
              <w:rPr>
                <w:rFonts w:cs="Calibri"/>
                <w:sz w:val="16"/>
                <w:szCs w:val="16"/>
              </w:rPr>
            </w:pPr>
            <w:r>
              <w:rPr>
                <w:rFonts w:cs="Calibri"/>
                <w:sz w:val="16"/>
                <w:szCs w:val="16"/>
              </w:rPr>
              <w:t>'88'</w:t>
            </w:r>
          </w:p>
        </w:tc>
        <w:tc>
          <w:tcPr>
            <w:tcW w:w="0" w:type="auto"/>
            <w:tcBorders>
              <w:top w:val="single" w:sz="6" w:space="0" w:color="auto"/>
              <w:left w:val="single" w:sz="6" w:space="0" w:color="auto"/>
              <w:bottom w:val="single" w:sz="6" w:space="0" w:color="auto"/>
              <w:right w:val="single" w:sz="4" w:space="0" w:color="auto"/>
            </w:tcBorders>
            <w:hideMark/>
          </w:tcPr>
          <w:p w14:paraId="646AABE0" w14:textId="77777777" w:rsidR="00B97365" w:rsidRDefault="00000000">
            <w:pPr>
              <w:rPr>
                <w:rFonts w:cs="Calibri"/>
                <w:sz w:val="16"/>
                <w:szCs w:val="16"/>
              </w:rPr>
            </w:pPr>
            <w:r>
              <w:rPr>
                <w:rFonts w:cs="Calibri"/>
                <w:sz w:val="16"/>
                <w:szCs w:val="16"/>
              </w:rPr>
              <w:t>Reference control parameter P1</w:t>
            </w:r>
          </w:p>
        </w:tc>
      </w:tr>
      <w:tr w:rsidR="00B97365" w14:paraId="2EDD5C3A"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EE3EE5A" w14:textId="77777777" w:rsidR="00B97365" w:rsidRDefault="00000000">
            <w:pPr>
              <w:rPr>
                <w:rFonts w:cs="Calibri"/>
                <w:sz w:val="16"/>
                <w:szCs w:val="16"/>
              </w:rPr>
            </w:pPr>
            <w:r>
              <w:rPr>
                <w:rFonts w:cs="Calibri"/>
                <w:sz w:val="16"/>
                <w:szCs w:val="16"/>
              </w:rPr>
              <w:t>P2</w:t>
            </w:r>
          </w:p>
        </w:tc>
        <w:tc>
          <w:tcPr>
            <w:tcW w:w="0" w:type="auto"/>
            <w:tcBorders>
              <w:top w:val="single" w:sz="6" w:space="0" w:color="auto"/>
              <w:left w:val="single" w:sz="6" w:space="0" w:color="auto"/>
              <w:bottom w:val="single" w:sz="6" w:space="0" w:color="auto"/>
              <w:right w:val="single" w:sz="6" w:space="0" w:color="auto"/>
            </w:tcBorders>
            <w:vAlign w:val="center"/>
            <w:hideMark/>
          </w:tcPr>
          <w:p w14:paraId="593B9948" w14:textId="77777777" w:rsidR="00B97365" w:rsidRDefault="00000000">
            <w:pPr>
              <w:rPr>
                <w:rFonts w:cs="Calibri"/>
                <w:sz w:val="16"/>
                <w:szCs w:val="16"/>
              </w:rPr>
            </w:pPr>
            <w:r>
              <w:rPr>
                <w:rFonts w:cs="Calibri"/>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5E744DE6" w14:textId="77777777" w:rsidR="00B97365" w:rsidRDefault="00000000">
            <w:pPr>
              <w:rPr>
                <w:rFonts w:cs="Calibri"/>
                <w:sz w:val="16"/>
                <w:szCs w:val="16"/>
              </w:rPr>
            </w:pPr>
            <w:r>
              <w:rPr>
                <w:rFonts w:cs="Calibri"/>
                <w:sz w:val="16"/>
                <w:szCs w:val="16"/>
              </w:rPr>
              <w:t xml:space="preserve">Block Number (Not used for Enable command) </w:t>
            </w:r>
          </w:p>
        </w:tc>
      </w:tr>
      <w:tr w:rsidR="00B97365" w14:paraId="0C97C7DA"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D27F795" w14:textId="77777777" w:rsidR="00B97365" w:rsidRDefault="00000000">
            <w:pPr>
              <w:rPr>
                <w:rFonts w:cs="Calibri"/>
                <w:sz w:val="16"/>
                <w:szCs w:val="16"/>
              </w:rPr>
            </w:pPr>
            <w:r>
              <w:rPr>
                <w:rFonts w:cs="Calibri"/>
                <w:sz w:val="16"/>
                <w:szCs w:val="16"/>
              </w:rPr>
              <w:t>Lc</w:t>
            </w:r>
          </w:p>
        </w:tc>
        <w:tc>
          <w:tcPr>
            <w:tcW w:w="0" w:type="auto"/>
            <w:tcBorders>
              <w:top w:val="single" w:sz="6" w:space="0" w:color="auto"/>
              <w:left w:val="single" w:sz="6" w:space="0" w:color="auto"/>
              <w:bottom w:val="single" w:sz="6" w:space="0" w:color="auto"/>
              <w:right w:val="single" w:sz="6" w:space="0" w:color="auto"/>
            </w:tcBorders>
            <w:vAlign w:val="center"/>
            <w:hideMark/>
          </w:tcPr>
          <w:p w14:paraId="0151F928" w14:textId="77777777" w:rsidR="00B97365" w:rsidRDefault="00000000">
            <w:pPr>
              <w:rPr>
                <w:rFonts w:cs="Calibri"/>
                <w:sz w:val="16"/>
                <w:szCs w:val="16"/>
              </w:rPr>
            </w:pPr>
            <w:r>
              <w:rPr>
                <w:rFonts w:cs="Calibri"/>
                <w:sz w:val="16"/>
                <w:szCs w:val="16"/>
              </w:rPr>
              <w:t>‘xx’</w:t>
            </w:r>
          </w:p>
        </w:tc>
        <w:tc>
          <w:tcPr>
            <w:tcW w:w="0" w:type="auto"/>
            <w:tcBorders>
              <w:top w:val="single" w:sz="6" w:space="0" w:color="auto"/>
              <w:left w:val="single" w:sz="6" w:space="0" w:color="auto"/>
              <w:bottom w:val="single" w:sz="6" w:space="0" w:color="auto"/>
              <w:right w:val="single" w:sz="4" w:space="0" w:color="auto"/>
            </w:tcBorders>
            <w:vAlign w:val="center"/>
            <w:hideMark/>
          </w:tcPr>
          <w:p w14:paraId="40D027E8" w14:textId="77777777" w:rsidR="00B97365" w:rsidRDefault="00000000">
            <w:pPr>
              <w:rPr>
                <w:rFonts w:cs="Calibri"/>
                <w:sz w:val="16"/>
                <w:szCs w:val="16"/>
              </w:rPr>
            </w:pPr>
            <w:r>
              <w:rPr>
                <w:rFonts w:cs="Calibri"/>
                <w:sz w:val="16"/>
                <w:szCs w:val="16"/>
              </w:rPr>
              <w:t>Length of data field</w:t>
            </w:r>
          </w:p>
        </w:tc>
      </w:tr>
      <w:tr w:rsidR="00B97365" w14:paraId="1D789BC2"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5DAA999" w14:textId="77777777" w:rsidR="00B97365" w:rsidRDefault="00000000">
            <w:pPr>
              <w:rPr>
                <w:rFonts w:cs="Calibri"/>
                <w:sz w:val="16"/>
                <w:szCs w:val="16"/>
              </w:rPr>
            </w:pPr>
            <w:r>
              <w:rPr>
                <w:rFonts w:cs="Calibri"/>
                <w:sz w:val="16"/>
                <w:szCs w:val="16"/>
              </w:rPr>
              <w:t>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20A91D4A" w14:textId="77777777" w:rsidR="00B97365" w:rsidRDefault="00000000">
            <w:pPr>
              <w:rPr>
                <w:rFonts w:cs="Calibri"/>
                <w:sz w:val="16"/>
                <w:szCs w:val="16"/>
              </w:rPr>
            </w:pPr>
            <w:r>
              <w:rPr>
                <w:rFonts w:cs="Calibri"/>
                <w:sz w:val="16"/>
                <w:szCs w:val="16"/>
              </w:rPr>
              <w:t>‘xx’</w:t>
            </w:r>
          </w:p>
        </w:tc>
        <w:tc>
          <w:tcPr>
            <w:tcW w:w="0" w:type="auto"/>
            <w:tcBorders>
              <w:top w:val="single" w:sz="6" w:space="0" w:color="auto"/>
              <w:left w:val="single" w:sz="6" w:space="0" w:color="auto"/>
              <w:bottom w:val="single" w:sz="6" w:space="0" w:color="auto"/>
              <w:right w:val="single" w:sz="4" w:space="0" w:color="auto"/>
            </w:tcBorders>
            <w:vAlign w:val="center"/>
            <w:hideMark/>
          </w:tcPr>
          <w:p w14:paraId="12D55708" w14:textId="77777777" w:rsidR="00B97365" w:rsidRDefault="00000000">
            <w:pPr>
              <w:rPr>
                <w:rFonts w:cs="Calibri"/>
                <w:sz w:val="16"/>
                <w:szCs w:val="16"/>
              </w:rPr>
            </w:pPr>
            <w:r>
              <w:rPr>
                <w:rFonts w:cs="Calibri"/>
                <w:sz w:val="16"/>
                <w:szCs w:val="16"/>
              </w:rPr>
              <w:t>Application Data and MAC (if present)</w:t>
            </w:r>
          </w:p>
        </w:tc>
      </w:tr>
      <w:tr w:rsidR="00B97365" w14:paraId="562C7F97" w14:textId="77777777">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36FC30C0" w14:textId="77777777" w:rsidR="00B97365" w:rsidRDefault="00000000">
            <w:pPr>
              <w:rPr>
                <w:rFonts w:cs="Calibri"/>
                <w:sz w:val="16"/>
                <w:szCs w:val="16"/>
              </w:rPr>
            </w:pPr>
            <w:r>
              <w:rPr>
                <w:rFonts w:cs="Calibri"/>
                <w:sz w:val="16"/>
                <w:szCs w:val="16"/>
              </w:rPr>
              <w:t>Le</w:t>
            </w:r>
          </w:p>
        </w:tc>
        <w:tc>
          <w:tcPr>
            <w:tcW w:w="0" w:type="auto"/>
            <w:tcBorders>
              <w:top w:val="single" w:sz="6" w:space="0" w:color="auto"/>
              <w:left w:val="single" w:sz="6" w:space="0" w:color="auto"/>
              <w:bottom w:val="single" w:sz="4" w:space="0" w:color="auto"/>
              <w:right w:val="single" w:sz="6" w:space="0" w:color="auto"/>
            </w:tcBorders>
            <w:vAlign w:val="center"/>
            <w:hideMark/>
          </w:tcPr>
          <w:p w14:paraId="03E71656" w14:textId="77777777" w:rsidR="00B97365" w:rsidRDefault="00000000">
            <w:pPr>
              <w:rPr>
                <w:rFonts w:cs="Calibri"/>
                <w:sz w:val="16"/>
                <w:szCs w:val="16"/>
              </w:rPr>
            </w:pPr>
            <w:r>
              <w:rPr>
                <w:rFonts w:cs="Calibri"/>
                <w:sz w:val="16"/>
                <w:szCs w:val="16"/>
              </w:rPr>
              <w:t>Not present</w:t>
            </w:r>
          </w:p>
        </w:tc>
        <w:tc>
          <w:tcPr>
            <w:tcW w:w="0" w:type="auto"/>
            <w:tcBorders>
              <w:top w:val="single" w:sz="6" w:space="0" w:color="auto"/>
              <w:left w:val="single" w:sz="6" w:space="0" w:color="auto"/>
              <w:bottom w:val="single" w:sz="4" w:space="0" w:color="auto"/>
              <w:right w:val="single" w:sz="4" w:space="0" w:color="auto"/>
            </w:tcBorders>
            <w:vAlign w:val="center"/>
          </w:tcPr>
          <w:p w14:paraId="535099E3" w14:textId="77777777" w:rsidR="00B97365" w:rsidRDefault="00B97365">
            <w:pPr>
              <w:rPr>
                <w:rFonts w:eastAsia="MS Mincho" w:cs="Calibri"/>
                <w:sz w:val="16"/>
                <w:szCs w:val="16"/>
                <w:lang w:eastAsia="fr-FR"/>
              </w:rPr>
            </w:pPr>
          </w:p>
        </w:tc>
      </w:tr>
    </w:tbl>
    <w:p w14:paraId="0427B3CD"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STORE DATA Command Message</w:t>
      </w:r>
    </w:p>
    <w:p w14:paraId="02298130"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3"/>
        <w:gridCol w:w="403"/>
        <w:gridCol w:w="403"/>
        <w:gridCol w:w="403"/>
        <w:gridCol w:w="403"/>
        <w:gridCol w:w="403"/>
        <w:gridCol w:w="403"/>
        <w:gridCol w:w="403"/>
        <w:gridCol w:w="4228"/>
      </w:tblGrid>
      <w:tr w:rsidR="00B97365" w14:paraId="3C7B8A8C"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0D4DCD61"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CCCCBE4"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57B6EFDD"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01CE08E"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0EDF775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DF0F5B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100FCD38"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9409F5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4F2E40DF"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451622B8"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6A7EE709"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21723DBB"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6B6F345"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39F6AB8"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5CDE7B7"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73F2D46"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DB8AF73"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12F7A2A"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156E5741" w14:textId="77777777" w:rsidR="00B97365" w:rsidRDefault="00000000">
            <w:pPr>
              <w:rPr>
                <w:rFonts w:cs="Calibri"/>
                <w:sz w:val="16"/>
                <w:szCs w:val="16"/>
              </w:rPr>
            </w:pPr>
            <w:r>
              <w:rPr>
                <w:rFonts w:cs="Calibri"/>
                <w:sz w:val="16"/>
                <w:szCs w:val="16"/>
              </w:rPr>
              <w:t>Last block</w:t>
            </w:r>
          </w:p>
        </w:tc>
      </w:tr>
      <w:tr w:rsidR="00B97365" w14:paraId="6E47C542"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7D3EC478"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C042D05"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77401BB7"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717421E8"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F45A6D0"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E1D31D5"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10DA207"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30DC4E1"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0246B985" w14:textId="77777777" w:rsidR="00B97365" w:rsidRDefault="00000000">
            <w:pPr>
              <w:rPr>
                <w:rFonts w:cs="Calibri"/>
                <w:sz w:val="16"/>
                <w:szCs w:val="16"/>
              </w:rPr>
            </w:pPr>
            <w:r>
              <w:rPr>
                <w:rFonts w:cs="Calibri"/>
                <w:sz w:val="16"/>
                <w:szCs w:val="16"/>
              </w:rPr>
              <w:t xml:space="preserve">No general encryption information or non-encrypted data </w:t>
            </w:r>
          </w:p>
        </w:tc>
      </w:tr>
      <w:tr w:rsidR="00B97365" w14:paraId="695D1356"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526759AF"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1E85DEC"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A680E49"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4F8E168"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0AEC3949"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235E6B94"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851E03C"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81444F8"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3CA6E2F1" w14:textId="77777777" w:rsidR="00B97365" w:rsidRDefault="00000000">
            <w:pPr>
              <w:rPr>
                <w:rFonts w:cs="Calibri"/>
                <w:sz w:val="16"/>
                <w:szCs w:val="16"/>
              </w:rPr>
            </w:pPr>
            <w:r>
              <w:rPr>
                <w:rFonts w:cs="Calibri"/>
                <w:sz w:val="16"/>
                <w:szCs w:val="16"/>
              </w:rPr>
              <w:t>DGI format of the command data field</w:t>
            </w:r>
          </w:p>
        </w:tc>
      </w:tr>
      <w:tr w:rsidR="00B97365" w14:paraId="72D5B409"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32BBB7A3" w14:textId="77777777" w:rsidR="00B97365" w:rsidRDefault="00000000">
            <w:pPr>
              <w:keepNext/>
              <w:rPr>
                <w:rFonts w:cs="Calibri"/>
                <w:sz w:val="16"/>
                <w:szCs w:val="16"/>
              </w:rPr>
            </w:pPr>
            <w:r>
              <w:rPr>
                <w:rFonts w:cs="Calibri"/>
                <w:sz w:val="16"/>
                <w:szCs w:val="16"/>
              </w:rPr>
              <w:lastRenderedPageBreak/>
              <w:t>-</w:t>
            </w:r>
          </w:p>
        </w:tc>
        <w:tc>
          <w:tcPr>
            <w:tcW w:w="0" w:type="auto"/>
            <w:tcBorders>
              <w:top w:val="single" w:sz="6" w:space="0" w:color="auto"/>
              <w:left w:val="single" w:sz="6" w:space="0" w:color="auto"/>
              <w:bottom w:val="single" w:sz="4" w:space="0" w:color="auto"/>
              <w:right w:val="single" w:sz="6" w:space="0" w:color="auto"/>
            </w:tcBorders>
            <w:hideMark/>
          </w:tcPr>
          <w:p w14:paraId="6680C98B"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75C0D7D2"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2249CF0"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51A54A39"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D1D5EE6"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7ACE8780"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6031338E"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4" w:space="0" w:color="auto"/>
            </w:tcBorders>
            <w:hideMark/>
          </w:tcPr>
          <w:p w14:paraId="5A93CABE" w14:textId="77777777" w:rsidR="00B97365" w:rsidRDefault="00000000">
            <w:pPr>
              <w:keepNext/>
              <w:rPr>
                <w:rFonts w:cs="Calibri"/>
                <w:sz w:val="16"/>
                <w:szCs w:val="16"/>
              </w:rPr>
            </w:pPr>
            <w:r>
              <w:rPr>
                <w:rFonts w:cs="Calibri"/>
                <w:sz w:val="16"/>
                <w:szCs w:val="16"/>
              </w:rPr>
              <w:t>RFU</w:t>
            </w:r>
          </w:p>
        </w:tc>
      </w:tr>
    </w:tbl>
    <w:p w14:paraId="0B68B56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Reference Control Parameter P1</w:t>
      </w:r>
    </w:p>
    <w:p w14:paraId="4B032AAC" w14:textId="77777777" w:rsidR="00B97365" w:rsidRDefault="00B97365">
      <w:pPr>
        <w:rPr>
          <w:rFonts w:asciiTheme="minorHAnsi" w:hAnsiTheme="minorHAnsi" w:cstheme="minorHAnsi"/>
        </w:rPr>
      </w:pPr>
    </w:p>
    <w:p w14:paraId="5388D98E" w14:textId="77777777" w:rsidR="00B97365" w:rsidRDefault="00000000">
      <w:pPr>
        <w:spacing w:before="0" w:after="200" w:line="276" w:lineRule="auto"/>
        <w:jc w:val="left"/>
        <w:rPr>
          <w:b/>
          <w:i/>
          <w:szCs w:val="22"/>
          <w:lang w:val="en-US" w:eastAsia="en-GB" w:bidi="ar-SA"/>
        </w:rPr>
      </w:pPr>
      <w:bookmarkStart w:id="2313" w:name="_Toc420594451"/>
      <w:r>
        <w:rPr>
          <w:rFonts w:cs="Arial"/>
          <w:b/>
          <w:i/>
          <w:szCs w:val="22"/>
          <w:lang w:val="en-US" w:eastAsia="en-GB" w:bidi="ar-SA"/>
        </w:rPr>
        <w:t>Data Field Sent in the Command Message</w:t>
      </w:r>
      <w:bookmarkEnd w:id="231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87"/>
        <w:gridCol w:w="1394"/>
        <w:gridCol w:w="806"/>
        <w:gridCol w:w="1259"/>
        <w:gridCol w:w="2910"/>
        <w:gridCol w:w="1360"/>
      </w:tblGrid>
      <w:tr w:rsidR="00B97365" w14:paraId="09F7DBCB" w14:textId="77777777">
        <w:trPr>
          <w:cantSplit/>
          <w:tblHeader/>
        </w:trPr>
        <w:tc>
          <w:tcPr>
            <w:tcW w:w="714" w:type="pct"/>
            <w:tcBorders>
              <w:top w:val="single" w:sz="4" w:space="0" w:color="auto"/>
              <w:left w:val="single" w:sz="4" w:space="0" w:color="auto"/>
              <w:bottom w:val="single" w:sz="6" w:space="0" w:color="auto"/>
              <w:right w:val="single" w:sz="6" w:space="0" w:color="auto"/>
            </w:tcBorders>
            <w:shd w:val="clear" w:color="auto" w:fill="C00000"/>
            <w:hideMark/>
          </w:tcPr>
          <w:p w14:paraId="440F0AF5" w14:textId="77777777" w:rsidR="00B97365" w:rsidRDefault="00000000">
            <w:pPr>
              <w:jc w:val="center"/>
              <w:rPr>
                <w:rFonts w:cs="Calibri"/>
                <w:b/>
                <w:color w:val="FFFFFF"/>
                <w:sz w:val="16"/>
                <w:szCs w:val="16"/>
              </w:rPr>
            </w:pPr>
            <w:r>
              <w:rPr>
                <w:rFonts w:cs="Calibri"/>
                <w:b/>
                <w:color w:val="FFFFFF"/>
                <w:sz w:val="16"/>
                <w:szCs w:val="16"/>
              </w:rPr>
              <w:t>DGI</w:t>
            </w:r>
          </w:p>
        </w:tc>
        <w:tc>
          <w:tcPr>
            <w:tcW w:w="773" w:type="pct"/>
            <w:tcBorders>
              <w:top w:val="single" w:sz="4" w:space="0" w:color="auto"/>
              <w:left w:val="single" w:sz="6" w:space="0" w:color="auto"/>
              <w:bottom w:val="single" w:sz="6" w:space="0" w:color="auto"/>
              <w:right w:val="single" w:sz="6" w:space="0" w:color="auto"/>
            </w:tcBorders>
            <w:shd w:val="clear" w:color="auto" w:fill="C00000"/>
            <w:hideMark/>
          </w:tcPr>
          <w:p w14:paraId="102421D6" w14:textId="77777777" w:rsidR="00B97365" w:rsidRDefault="00000000">
            <w:pPr>
              <w:jc w:val="center"/>
              <w:rPr>
                <w:rFonts w:cs="Calibri"/>
                <w:b/>
                <w:color w:val="FFFFFF"/>
                <w:sz w:val="16"/>
                <w:szCs w:val="16"/>
              </w:rPr>
            </w:pPr>
            <w:r>
              <w:rPr>
                <w:rFonts w:cs="Calibri"/>
                <w:b/>
                <w:color w:val="FFFFFF"/>
                <w:sz w:val="16"/>
                <w:szCs w:val="16"/>
              </w:rPr>
              <w:t>Length</w:t>
            </w:r>
          </w:p>
        </w:tc>
        <w:tc>
          <w:tcPr>
            <w:tcW w:w="2759"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5532D77F" w14:textId="77777777" w:rsidR="00B97365" w:rsidRDefault="00000000">
            <w:pPr>
              <w:jc w:val="center"/>
              <w:rPr>
                <w:rFonts w:cs="Calibri"/>
                <w:b/>
                <w:color w:val="FFFFFF"/>
                <w:sz w:val="16"/>
                <w:szCs w:val="16"/>
              </w:rPr>
            </w:pPr>
            <w:r>
              <w:rPr>
                <w:rFonts w:cs="Calibri"/>
                <w:b/>
                <w:color w:val="FFFFFF"/>
                <w:sz w:val="16"/>
                <w:szCs w:val="16"/>
              </w:rPr>
              <w:t>Value Description</w:t>
            </w:r>
          </w:p>
        </w:tc>
        <w:tc>
          <w:tcPr>
            <w:tcW w:w="754" w:type="pct"/>
            <w:tcBorders>
              <w:top w:val="single" w:sz="4" w:space="0" w:color="auto"/>
              <w:left w:val="single" w:sz="6" w:space="0" w:color="auto"/>
              <w:bottom w:val="single" w:sz="6" w:space="0" w:color="auto"/>
              <w:right w:val="single" w:sz="4" w:space="0" w:color="auto"/>
            </w:tcBorders>
            <w:shd w:val="clear" w:color="auto" w:fill="C00000"/>
            <w:hideMark/>
          </w:tcPr>
          <w:p w14:paraId="1A820B4A"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A6D3A29" w14:textId="77777777">
        <w:trPr>
          <w:cantSplit/>
        </w:trPr>
        <w:tc>
          <w:tcPr>
            <w:tcW w:w="714" w:type="pct"/>
            <w:tcBorders>
              <w:top w:val="single" w:sz="6" w:space="0" w:color="auto"/>
              <w:left w:val="single" w:sz="4" w:space="0" w:color="auto"/>
              <w:bottom w:val="single" w:sz="6" w:space="0" w:color="auto"/>
              <w:right w:val="single" w:sz="6" w:space="0" w:color="auto"/>
            </w:tcBorders>
            <w:hideMark/>
          </w:tcPr>
          <w:p w14:paraId="04B7C049" w14:textId="77777777" w:rsidR="00B97365" w:rsidRDefault="00000000">
            <w:pPr>
              <w:rPr>
                <w:rFonts w:cs="Calibri"/>
                <w:sz w:val="16"/>
                <w:szCs w:val="16"/>
              </w:rPr>
            </w:pPr>
            <w:r>
              <w:rPr>
                <w:rFonts w:cs="Calibri"/>
                <w:sz w:val="16"/>
                <w:szCs w:val="16"/>
              </w:rPr>
              <w:t>'3A04'</w:t>
            </w:r>
          </w:p>
        </w:tc>
        <w:tc>
          <w:tcPr>
            <w:tcW w:w="773" w:type="pct"/>
            <w:tcBorders>
              <w:top w:val="single" w:sz="6" w:space="0" w:color="auto"/>
              <w:left w:val="single" w:sz="6" w:space="0" w:color="auto"/>
              <w:bottom w:val="single" w:sz="6" w:space="0" w:color="auto"/>
              <w:right w:val="single" w:sz="6" w:space="0" w:color="auto"/>
            </w:tcBorders>
            <w:hideMark/>
          </w:tcPr>
          <w:p w14:paraId="18585337" w14:textId="77777777" w:rsidR="00B97365" w:rsidRDefault="00000000">
            <w:pPr>
              <w:rPr>
                <w:rFonts w:cs="Calibri"/>
                <w:sz w:val="16"/>
                <w:szCs w:val="16"/>
              </w:rPr>
            </w:pPr>
            <w:r>
              <w:rPr>
                <w:rFonts w:cs="Calibri"/>
                <w:sz w:val="16"/>
                <w:szCs w:val="16"/>
              </w:rPr>
              <w:t>Var</w:t>
            </w:r>
          </w:p>
        </w:tc>
        <w:tc>
          <w:tcPr>
            <w:tcW w:w="2759" w:type="pct"/>
            <w:gridSpan w:val="3"/>
            <w:tcBorders>
              <w:top w:val="single" w:sz="6" w:space="0" w:color="auto"/>
              <w:left w:val="single" w:sz="6" w:space="0" w:color="auto"/>
              <w:bottom w:val="single" w:sz="6" w:space="0" w:color="auto"/>
              <w:right w:val="single" w:sz="6" w:space="0" w:color="auto"/>
            </w:tcBorders>
            <w:hideMark/>
          </w:tcPr>
          <w:p w14:paraId="0F7D1C48" w14:textId="77777777" w:rsidR="00B97365" w:rsidRDefault="00000000">
            <w:pPr>
              <w:rPr>
                <w:rFonts w:cs="Calibri"/>
                <w:sz w:val="16"/>
                <w:szCs w:val="16"/>
              </w:rPr>
            </w:pPr>
            <w:r>
              <w:rPr>
                <w:rFonts w:cs="Calibri"/>
                <w:sz w:val="16"/>
                <w:szCs w:val="16"/>
              </w:rPr>
              <w:t>Disable Profile</w:t>
            </w:r>
          </w:p>
        </w:tc>
        <w:tc>
          <w:tcPr>
            <w:tcW w:w="754" w:type="pct"/>
            <w:tcBorders>
              <w:top w:val="single" w:sz="6" w:space="0" w:color="auto"/>
              <w:left w:val="single" w:sz="6" w:space="0" w:color="auto"/>
              <w:bottom w:val="single" w:sz="6" w:space="0" w:color="auto"/>
              <w:right w:val="single" w:sz="4" w:space="0" w:color="auto"/>
            </w:tcBorders>
            <w:hideMark/>
          </w:tcPr>
          <w:p w14:paraId="4DB2AB94" w14:textId="77777777" w:rsidR="00B97365" w:rsidRDefault="00000000">
            <w:pPr>
              <w:jc w:val="center"/>
              <w:rPr>
                <w:rFonts w:cs="Calibri"/>
                <w:sz w:val="16"/>
                <w:szCs w:val="16"/>
              </w:rPr>
            </w:pPr>
            <w:r>
              <w:rPr>
                <w:rFonts w:cs="Calibri"/>
                <w:sz w:val="16"/>
                <w:szCs w:val="16"/>
              </w:rPr>
              <w:t>M</w:t>
            </w:r>
          </w:p>
        </w:tc>
      </w:tr>
      <w:tr w:rsidR="00B97365" w14:paraId="1B497A0E" w14:textId="77777777">
        <w:trPr>
          <w:cantSplit/>
        </w:trPr>
        <w:tc>
          <w:tcPr>
            <w:tcW w:w="714" w:type="pct"/>
            <w:tcBorders>
              <w:top w:val="single" w:sz="6" w:space="0" w:color="auto"/>
              <w:left w:val="single" w:sz="4" w:space="0" w:color="auto"/>
              <w:bottom w:val="single" w:sz="6" w:space="0" w:color="auto"/>
              <w:right w:val="single" w:sz="6" w:space="0" w:color="auto"/>
            </w:tcBorders>
          </w:tcPr>
          <w:p w14:paraId="2B5D183A" w14:textId="77777777" w:rsidR="00B97365" w:rsidRDefault="00B97365">
            <w:pPr>
              <w:rPr>
                <w:rFonts w:cs="Calibri"/>
                <w:sz w:val="16"/>
                <w:szCs w:val="16"/>
              </w:rPr>
            </w:pPr>
          </w:p>
        </w:tc>
        <w:tc>
          <w:tcPr>
            <w:tcW w:w="773" w:type="pct"/>
            <w:tcBorders>
              <w:top w:val="single" w:sz="6" w:space="0" w:color="auto"/>
              <w:left w:val="single" w:sz="6" w:space="0" w:color="auto"/>
              <w:bottom w:val="single" w:sz="6" w:space="0" w:color="auto"/>
              <w:right w:val="single" w:sz="6" w:space="0" w:color="auto"/>
            </w:tcBorders>
          </w:tcPr>
          <w:p w14:paraId="2D77410A" w14:textId="77777777" w:rsidR="00B97365" w:rsidRDefault="00B97365">
            <w:pPr>
              <w:rPr>
                <w:rFonts w:cs="Calibri"/>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C00000"/>
            <w:hideMark/>
          </w:tcPr>
          <w:p w14:paraId="5306D98C" w14:textId="77777777" w:rsidR="00B97365" w:rsidRDefault="00000000">
            <w:pPr>
              <w:spacing w:after="120" w:line="276" w:lineRule="auto"/>
              <w:jc w:val="center"/>
              <w:rPr>
                <w:rFonts w:cs="Calibri"/>
                <w:b/>
                <w:color w:val="FFFFFF"/>
                <w:sz w:val="16"/>
                <w:szCs w:val="16"/>
              </w:rPr>
            </w:pPr>
            <w:r>
              <w:rPr>
                <w:rFonts w:cs="Calibri"/>
                <w:b/>
                <w:color w:val="FFFFFF"/>
                <w:sz w:val="16"/>
                <w:szCs w:val="16"/>
              </w:rPr>
              <w:t>Tag</w:t>
            </w:r>
          </w:p>
        </w:tc>
        <w:tc>
          <w:tcPr>
            <w:tcW w:w="698" w:type="pct"/>
            <w:tcBorders>
              <w:top w:val="single" w:sz="6" w:space="0" w:color="auto"/>
              <w:left w:val="single" w:sz="6" w:space="0" w:color="auto"/>
              <w:bottom w:val="single" w:sz="6" w:space="0" w:color="auto"/>
              <w:right w:val="single" w:sz="6" w:space="0" w:color="auto"/>
            </w:tcBorders>
            <w:shd w:val="clear" w:color="auto" w:fill="C00000"/>
            <w:hideMark/>
          </w:tcPr>
          <w:p w14:paraId="48D4C38C" w14:textId="77777777" w:rsidR="00B97365" w:rsidRDefault="00000000">
            <w:pPr>
              <w:spacing w:after="120" w:line="276" w:lineRule="auto"/>
              <w:jc w:val="center"/>
              <w:rPr>
                <w:rFonts w:cs="Calibri"/>
                <w:b/>
                <w:color w:val="FFFFFF"/>
                <w:sz w:val="16"/>
                <w:szCs w:val="16"/>
              </w:rPr>
            </w:pPr>
            <w:r>
              <w:rPr>
                <w:rFonts w:cs="Calibri"/>
                <w:b/>
                <w:color w:val="FFFFFF"/>
                <w:sz w:val="16"/>
                <w:szCs w:val="16"/>
              </w:rPr>
              <w:t>Length</w:t>
            </w:r>
          </w:p>
        </w:tc>
        <w:tc>
          <w:tcPr>
            <w:tcW w:w="1614" w:type="pct"/>
            <w:tcBorders>
              <w:top w:val="single" w:sz="6" w:space="0" w:color="auto"/>
              <w:left w:val="single" w:sz="6" w:space="0" w:color="auto"/>
              <w:bottom w:val="single" w:sz="6" w:space="0" w:color="auto"/>
              <w:right w:val="single" w:sz="6" w:space="0" w:color="auto"/>
            </w:tcBorders>
            <w:shd w:val="clear" w:color="auto" w:fill="C00000"/>
            <w:hideMark/>
          </w:tcPr>
          <w:p w14:paraId="255EBD15" w14:textId="77777777" w:rsidR="00B97365" w:rsidRDefault="00000000">
            <w:pPr>
              <w:spacing w:after="120" w:line="276" w:lineRule="auto"/>
              <w:jc w:val="center"/>
              <w:rPr>
                <w:rFonts w:cs="Calibri"/>
                <w:b/>
                <w:color w:val="FFFFFF"/>
                <w:sz w:val="16"/>
                <w:szCs w:val="16"/>
              </w:rPr>
            </w:pPr>
            <w:r>
              <w:rPr>
                <w:rFonts w:cs="Calibri"/>
                <w:b/>
                <w:color w:val="FFFFFF"/>
                <w:sz w:val="16"/>
                <w:szCs w:val="16"/>
              </w:rPr>
              <w:t>Value Description</w:t>
            </w:r>
          </w:p>
        </w:tc>
        <w:tc>
          <w:tcPr>
            <w:tcW w:w="754" w:type="pct"/>
            <w:tcBorders>
              <w:top w:val="single" w:sz="6" w:space="0" w:color="auto"/>
              <w:left w:val="single" w:sz="6" w:space="0" w:color="auto"/>
              <w:bottom w:val="single" w:sz="6" w:space="0" w:color="auto"/>
              <w:right w:val="single" w:sz="4" w:space="0" w:color="auto"/>
            </w:tcBorders>
            <w:shd w:val="clear" w:color="auto" w:fill="C00000"/>
            <w:hideMark/>
          </w:tcPr>
          <w:p w14:paraId="3E88A5B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B0D98BE" w14:textId="77777777">
        <w:trPr>
          <w:cantSplit/>
        </w:trPr>
        <w:tc>
          <w:tcPr>
            <w:tcW w:w="714" w:type="pct"/>
            <w:tcBorders>
              <w:top w:val="single" w:sz="6" w:space="0" w:color="auto"/>
              <w:left w:val="single" w:sz="4" w:space="0" w:color="auto"/>
              <w:bottom w:val="single" w:sz="4" w:space="0" w:color="auto"/>
              <w:right w:val="single" w:sz="6" w:space="0" w:color="auto"/>
            </w:tcBorders>
          </w:tcPr>
          <w:p w14:paraId="6CDC1D23" w14:textId="77777777" w:rsidR="00B97365" w:rsidRDefault="00B97365">
            <w:pPr>
              <w:rPr>
                <w:rFonts w:cs="Calibri"/>
                <w:sz w:val="16"/>
                <w:szCs w:val="16"/>
              </w:rPr>
            </w:pPr>
          </w:p>
        </w:tc>
        <w:tc>
          <w:tcPr>
            <w:tcW w:w="773" w:type="pct"/>
            <w:tcBorders>
              <w:top w:val="single" w:sz="6" w:space="0" w:color="auto"/>
              <w:left w:val="single" w:sz="6" w:space="0" w:color="auto"/>
              <w:bottom w:val="single" w:sz="4" w:space="0" w:color="auto"/>
              <w:right w:val="single" w:sz="6" w:space="0" w:color="auto"/>
            </w:tcBorders>
          </w:tcPr>
          <w:p w14:paraId="5356AE71" w14:textId="77777777" w:rsidR="00B97365" w:rsidRDefault="00B97365">
            <w:pPr>
              <w:rPr>
                <w:rFonts w:cs="Calibri"/>
                <w:sz w:val="16"/>
                <w:szCs w:val="16"/>
              </w:rPr>
            </w:pPr>
          </w:p>
        </w:tc>
        <w:tc>
          <w:tcPr>
            <w:tcW w:w="447" w:type="pct"/>
            <w:tcBorders>
              <w:top w:val="single" w:sz="6" w:space="0" w:color="auto"/>
              <w:left w:val="single" w:sz="6" w:space="0" w:color="auto"/>
              <w:bottom w:val="single" w:sz="4" w:space="0" w:color="auto"/>
              <w:right w:val="single" w:sz="6" w:space="0" w:color="auto"/>
            </w:tcBorders>
            <w:hideMark/>
          </w:tcPr>
          <w:p w14:paraId="3F6F0017" w14:textId="77777777" w:rsidR="00B97365" w:rsidRDefault="00000000">
            <w:pPr>
              <w:rPr>
                <w:rFonts w:cs="Calibri"/>
                <w:sz w:val="16"/>
                <w:szCs w:val="16"/>
              </w:rPr>
            </w:pPr>
            <w:r>
              <w:rPr>
                <w:rFonts w:cs="Calibri"/>
                <w:sz w:val="16"/>
                <w:szCs w:val="16"/>
              </w:rPr>
              <w:t>'4F'</w:t>
            </w:r>
          </w:p>
        </w:tc>
        <w:tc>
          <w:tcPr>
            <w:tcW w:w="698" w:type="pct"/>
            <w:tcBorders>
              <w:top w:val="single" w:sz="6" w:space="0" w:color="auto"/>
              <w:left w:val="single" w:sz="6" w:space="0" w:color="auto"/>
              <w:bottom w:val="single" w:sz="4" w:space="0" w:color="auto"/>
              <w:right w:val="single" w:sz="6" w:space="0" w:color="auto"/>
            </w:tcBorders>
            <w:hideMark/>
          </w:tcPr>
          <w:p w14:paraId="2063406F" w14:textId="77777777" w:rsidR="00B97365" w:rsidRDefault="00000000">
            <w:pPr>
              <w:rPr>
                <w:rFonts w:cs="Calibri"/>
                <w:sz w:val="16"/>
                <w:szCs w:val="16"/>
              </w:rPr>
            </w:pPr>
            <w:r>
              <w:rPr>
                <w:rFonts w:cs="Calibri"/>
                <w:sz w:val="16"/>
                <w:szCs w:val="16"/>
              </w:rPr>
              <w:t>5-16</w:t>
            </w:r>
          </w:p>
        </w:tc>
        <w:tc>
          <w:tcPr>
            <w:tcW w:w="1614" w:type="pct"/>
            <w:tcBorders>
              <w:top w:val="single" w:sz="6" w:space="0" w:color="auto"/>
              <w:left w:val="single" w:sz="6" w:space="0" w:color="auto"/>
              <w:bottom w:val="single" w:sz="4" w:space="0" w:color="auto"/>
              <w:right w:val="single" w:sz="6" w:space="0" w:color="auto"/>
            </w:tcBorders>
            <w:hideMark/>
          </w:tcPr>
          <w:p w14:paraId="1AABA025" w14:textId="77777777" w:rsidR="00B97365" w:rsidRDefault="00000000">
            <w:pPr>
              <w:rPr>
                <w:rFonts w:cs="Calibri"/>
                <w:sz w:val="16"/>
                <w:szCs w:val="16"/>
              </w:rPr>
            </w:pPr>
            <w:r>
              <w:rPr>
                <w:rFonts w:cs="Calibri"/>
                <w:sz w:val="16"/>
                <w:szCs w:val="16"/>
              </w:rPr>
              <w:t>ISD-P-AID</w:t>
            </w:r>
          </w:p>
        </w:tc>
        <w:tc>
          <w:tcPr>
            <w:tcW w:w="754" w:type="pct"/>
            <w:tcBorders>
              <w:top w:val="single" w:sz="6" w:space="0" w:color="auto"/>
              <w:left w:val="single" w:sz="6" w:space="0" w:color="auto"/>
              <w:bottom w:val="single" w:sz="4" w:space="0" w:color="auto"/>
              <w:right w:val="single" w:sz="4" w:space="0" w:color="auto"/>
            </w:tcBorders>
            <w:hideMark/>
          </w:tcPr>
          <w:p w14:paraId="452B594C" w14:textId="77777777" w:rsidR="00B97365" w:rsidRDefault="00000000">
            <w:pPr>
              <w:jc w:val="center"/>
              <w:rPr>
                <w:rFonts w:cs="Calibri"/>
                <w:sz w:val="16"/>
                <w:szCs w:val="16"/>
              </w:rPr>
            </w:pPr>
            <w:r>
              <w:rPr>
                <w:rFonts w:cs="Calibri"/>
                <w:sz w:val="16"/>
                <w:szCs w:val="16"/>
              </w:rPr>
              <w:t>M</w:t>
            </w:r>
          </w:p>
        </w:tc>
      </w:tr>
    </w:tbl>
    <w:p w14:paraId="43A98C96"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Disable Attribute Data Field</w:t>
      </w:r>
    </w:p>
    <w:p w14:paraId="5A832EFB" w14:textId="77777777" w:rsidR="00B97365" w:rsidRDefault="00000000">
      <w:pPr>
        <w:spacing w:before="0" w:after="200" w:line="276" w:lineRule="auto"/>
        <w:jc w:val="left"/>
        <w:rPr>
          <w:b/>
          <w:i/>
          <w:szCs w:val="22"/>
          <w:lang w:val="en-US" w:eastAsia="en-GB" w:bidi="ar-SA"/>
        </w:rPr>
      </w:pPr>
      <w:bookmarkStart w:id="2314" w:name="_Toc420594452"/>
      <w:r>
        <w:rPr>
          <w:rFonts w:cs="Arial"/>
          <w:b/>
          <w:i/>
          <w:szCs w:val="22"/>
          <w:lang w:val="en-US" w:eastAsia="en-GB" w:bidi="ar-SA"/>
        </w:rPr>
        <w:t>Response Message</w:t>
      </w:r>
      <w:bookmarkEnd w:id="2314"/>
    </w:p>
    <w:p w14:paraId="75AE40E0" w14:textId="77777777" w:rsidR="00B97365" w:rsidRDefault="00000000">
      <w:pPr>
        <w:spacing w:before="0" w:after="200" w:line="276" w:lineRule="auto"/>
        <w:jc w:val="left"/>
        <w:rPr>
          <w:b/>
          <w:i/>
          <w:szCs w:val="22"/>
          <w:lang w:val="en-US" w:eastAsia="en-GB" w:bidi="ar-SA"/>
        </w:rPr>
      </w:pPr>
      <w:bookmarkStart w:id="2315" w:name="_Toc420594453"/>
      <w:r>
        <w:rPr>
          <w:rFonts w:cs="Arial"/>
          <w:b/>
          <w:i/>
          <w:szCs w:val="22"/>
          <w:lang w:val="en-US" w:eastAsia="en-GB" w:bidi="ar-SA"/>
        </w:rPr>
        <w:t>Data Field Returned in the Response Message:</w:t>
      </w:r>
      <w:bookmarkEnd w:id="2315"/>
    </w:p>
    <w:p w14:paraId="38FBCE95" w14:textId="77777777" w:rsidR="00B97365" w:rsidRDefault="00000000">
      <w:pPr>
        <w:spacing w:before="0" w:after="200" w:line="276" w:lineRule="auto"/>
        <w:jc w:val="left"/>
        <w:rPr>
          <w:szCs w:val="22"/>
          <w:lang w:val="en-US" w:eastAsia="en-GB" w:bidi="ar-SA"/>
        </w:rPr>
      </w:pPr>
      <w:bookmarkStart w:id="2316" w:name="_Toc420594454"/>
      <w:r>
        <w:rPr>
          <w:rFonts w:cs="Arial"/>
          <w:szCs w:val="22"/>
          <w:lang w:val="en-US" w:eastAsia="en-GB" w:bidi="ar-SA"/>
        </w:rPr>
        <w:t>The data field of the response message SHALL NOT be present.</w:t>
      </w:r>
      <w:bookmarkEnd w:id="2316"/>
    </w:p>
    <w:p w14:paraId="2F30F1B0" w14:textId="77777777" w:rsidR="00B97365" w:rsidRDefault="00B97365">
      <w:pPr>
        <w:rPr>
          <w:rFonts w:asciiTheme="minorHAnsi" w:hAnsiTheme="minorHAnsi" w:cstheme="minorHAnsi"/>
        </w:rPr>
      </w:pPr>
    </w:p>
    <w:p w14:paraId="03B4B253" w14:textId="77777777" w:rsidR="00B97365" w:rsidRDefault="00000000">
      <w:pPr>
        <w:spacing w:before="0" w:after="200" w:line="276" w:lineRule="auto"/>
        <w:jc w:val="left"/>
        <w:rPr>
          <w:b/>
          <w:i/>
          <w:szCs w:val="22"/>
          <w:lang w:val="en-US" w:eastAsia="en-GB" w:bidi="ar-SA"/>
        </w:rPr>
      </w:pPr>
      <w:bookmarkStart w:id="2317" w:name="_Toc420594455"/>
      <w:r>
        <w:rPr>
          <w:rFonts w:cs="Arial"/>
          <w:b/>
          <w:i/>
          <w:szCs w:val="22"/>
          <w:lang w:val="en-US" w:eastAsia="en-GB" w:bidi="ar-SA"/>
        </w:rPr>
        <w:t>Processing State returned in the Response Message:</w:t>
      </w:r>
      <w:bookmarkEnd w:id="2317"/>
    </w:p>
    <w:p w14:paraId="4629D545" w14:textId="082D08E9" w:rsidR="00B97365" w:rsidRDefault="00000000">
      <w:pPr>
        <w:spacing w:before="0" w:after="200" w:line="276" w:lineRule="auto"/>
        <w:jc w:val="left"/>
        <w:rPr>
          <w:szCs w:val="22"/>
          <w:lang w:val="en-US" w:eastAsia="en-GB" w:bidi="ar-SA"/>
        </w:rPr>
      </w:pPr>
      <w:bookmarkStart w:id="2318" w:name="_Toc420594456"/>
      <w:r>
        <w:rPr>
          <w:rFonts w:cs="Arial"/>
          <w:szCs w:val="22"/>
          <w:lang w:val="en-US" w:eastAsia="en-GB" w:bidi="ar-SA"/>
        </w:rPr>
        <w:t xml:space="preserve">See GlobalPlatform Card Specification </w:t>
      </w:r>
      <w:r>
        <w:fldChar w:fldCharType="begin"/>
      </w:r>
      <w:r>
        <w:instrText xml:space="preserve"> REF _Ref421631311 \r \h  \* MERGEFORMAT </w:instrText>
      </w:r>
      <w:r>
        <w:fldChar w:fldCharType="separate"/>
      </w:r>
      <w:r w:rsidR="001D5AD9" w:rsidRPr="001D5AD9">
        <w:rPr>
          <w:szCs w:val="22"/>
          <w:lang w:val="en-US" w:eastAsia="en-GB" w:bidi="ar-SA"/>
        </w:rPr>
        <w:t>[6]</w:t>
      </w:r>
      <w:r>
        <w:fldChar w:fldCharType="end"/>
      </w:r>
      <w:r>
        <w:rPr>
          <w:szCs w:val="22"/>
          <w:lang w:val="en-US" w:eastAsia="en-GB" w:bidi="ar-SA"/>
        </w:rPr>
        <w:t xml:space="preserve"> section 11.11.3.2.</w:t>
      </w:r>
      <w:bookmarkEnd w:id="2318"/>
    </w:p>
    <w:p w14:paraId="4DE79DF8" w14:textId="77777777" w:rsidR="00B97365" w:rsidRDefault="00B97365">
      <w:pPr>
        <w:rPr>
          <w:rFonts w:asciiTheme="minorHAnsi" w:hAnsiTheme="minorHAnsi" w:cstheme="minorHAnsi"/>
        </w:rPr>
      </w:pPr>
    </w:p>
    <w:p w14:paraId="49A40E22" w14:textId="77777777" w:rsidR="00B97365" w:rsidRDefault="00000000">
      <w:pPr>
        <w:spacing w:before="0" w:after="200" w:line="276" w:lineRule="auto"/>
        <w:jc w:val="left"/>
        <w:rPr>
          <w:b/>
          <w:i/>
          <w:szCs w:val="22"/>
          <w:lang w:val="en-US" w:eastAsia="en-GB" w:bidi="ar-SA"/>
        </w:rPr>
      </w:pPr>
      <w:bookmarkStart w:id="2319" w:name="_Toc420594457"/>
      <w:r>
        <w:rPr>
          <w:rFonts w:cs="Arial"/>
          <w:b/>
          <w:i/>
          <w:szCs w:val="22"/>
          <w:lang w:val="en-US" w:eastAsia="en-GB" w:bidi="ar-SA"/>
        </w:rPr>
        <w:t>Specific Processing State returned in response Message:</w:t>
      </w:r>
      <w:bookmarkEnd w:id="2319"/>
      <w:r>
        <w:rPr>
          <w:b/>
          <w:i/>
          <w:szCs w:val="22"/>
          <w:lang w:val="en-US" w:eastAsia="en-GB" w:bidi="ar-SA"/>
        </w:rPr>
        <w:t xml:space="preserve"> </w:t>
      </w:r>
    </w:p>
    <w:p w14:paraId="35BEFC6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’69 85’: Profile is not in the Enabled state or Profile has the Fall-Back Attribute set or Profile is the Test Profile.</w:t>
      </w:r>
    </w:p>
    <w:p w14:paraId="7AE6C5C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’69 E1’: POL1 of the Profile prevents disabling.</w:t>
      </w:r>
    </w:p>
    <w:p w14:paraId="023E3784" w14:textId="77777777" w:rsidR="00B97365" w:rsidRDefault="00B97365">
      <w:pPr>
        <w:rPr>
          <w:rFonts w:cs="Calibri"/>
        </w:rPr>
      </w:pPr>
    </w:p>
    <w:p w14:paraId="27E47CBA" w14:textId="77777777" w:rsidR="00B97365" w:rsidRDefault="00000000">
      <w:pPr>
        <w:keepNext/>
        <w:keepLines/>
        <w:numPr>
          <w:ilvl w:val="3"/>
          <w:numId w:val="1"/>
        </w:numPr>
        <w:spacing w:before="240" w:after="60" w:line="276" w:lineRule="auto"/>
        <w:jc w:val="left"/>
        <w:outlineLvl w:val="3"/>
        <w:rPr>
          <w:rFonts w:ascii="Arial Bold" w:eastAsia="Times New Roman" w:hAnsi="Arial Bold" w:cs="Calibri"/>
          <w:b/>
          <w:iCs/>
          <w:szCs w:val="28"/>
          <w:lang w:eastAsia="en-US"/>
        </w:rPr>
      </w:pPr>
      <w:bookmarkStart w:id="2320" w:name="_Toc368932230"/>
      <w:bookmarkStart w:id="2321" w:name="_Ref367972197"/>
      <w:bookmarkStart w:id="2322" w:name="_Ref367972122"/>
      <w:bookmarkStart w:id="2323" w:name="_Ref367971816"/>
      <w:bookmarkStart w:id="2324" w:name="_Ref367970790"/>
      <w:bookmarkStart w:id="2325" w:name="_Toc1977309"/>
      <w:bookmarkStart w:id="2326" w:name="_Ref36798583"/>
      <w:bookmarkStart w:id="2327" w:name="_Toc37062468"/>
      <w:r>
        <w:rPr>
          <w:rFonts w:ascii="Arial Bold" w:eastAsia="Calibri" w:hAnsi="Arial Bold" w:cs="Arial"/>
          <w:szCs w:val="28"/>
          <w:lang w:eastAsia="en-US"/>
        </w:rPr>
        <w:t>Profile Deletion</w:t>
      </w:r>
      <w:bookmarkEnd w:id="2320"/>
      <w:bookmarkEnd w:id="2321"/>
      <w:bookmarkEnd w:id="2322"/>
      <w:bookmarkEnd w:id="2323"/>
      <w:bookmarkEnd w:id="2324"/>
      <w:bookmarkEnd w:id="2325"/>
      <w:bookmarkEnd w:id="2326"/>
      <w:bookmarkEnd w:id="2327"/>
    </w:p>
    <w:p w14:paraId="0391A0C7" w14:textId="77777777" w:rsidR="00B97365" w:rsidRDefault="00000000">
      <w:pPr>
        <w:spacing w:before="0" w:after="200" w:line="276" w:lineRule="auto"/>
        <w:jc w:val="left"/>
        <w:rPr>
          <w:szCs w:val="22"/>
          <w:lang w:val="en-US" w:eastAsia="en-GB" w:bidi="ar-SA"/>
        </w:rPr>
      </w:pPr>
      <w:bookmarkStart w:id="2328" w:name="_Toc420594458"/>
      <w:r>
        <w:rPr>
          <w:rFonts w:cs="Arial"/>
          <w:b/>
          <w:szCs w:val="22"/>
          <w:lang w:val="en-US" w:eastAsia="en-GB" w:bidi="ar-SA"/>
        </w:rPr>
        <w:t>Function name:</w:t>
      </w:r>
      <w:r>
        <w:rPr>
          <w:szCs w:val="22"/>
          <w:lang w:val="en-US" w:eastAsia="en-GB" w:bidi="ar-SA"/>
        </w:rPr>
        <w:t xml:space="preserve"> DeleteProfile</w:t>
      </w:r>
      <w:bookmarkEnd w:id="2328"/>
    </w:p>
    <w:p w14:paraId="04D1951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Profile and ISD-P deletion, Profile and ISD-P deletion via SM-DP</w:t>
      </w:r>
    </w:p>
    <w:p w14:paraId="77504513" w14:textId="77777777" w:rsidR="00B97365" w:rsidRDefault="00000000">
      <w:pPr>
        <w:spacing w:before="0" w:after="200" w:line="276" w:lineRule="auto"/>
        <w:jc w:val="left"/>
        <w:rPr>
          <w:szCs w:val="22"/>
          <w:lang w:val="en-US" w:eastAsia="en-GB" w:bidi="ar-SA"/>
        </w:rPr>
      </w:pPr>
      <w:bookmarkStart w:id="2329" w:name="_Toc420594459"/>
      <w:r>
        <w:rPr>
          <w:rFonts w:cs="Arial"/>
          <w:b/>
          <w:szCs w:val="22"/>
          <w:lang w:val="en-US" w:eastAsia="en-GB" w:bidi="ar-SA"/>
        </w:rPr>
        <w:t>Function group:</w:t>
      </w:r>
      <w:r>
        <w:rPr>
          <w:szCs w:val="22"/>
          <w:lang w:val="en-US" w:eastAsia="en-GB" w:bidi="ar-SA"/>
        </w:rPr>
        <w:t xml:space="preserve"> Platform Management</w:t>
      </w:r>
      <w:bookmarkEnd w:id="2329"/>
    </w:p>
    <w:p w14:paraId="5D76E7EE" w14:textId="77777777" w:rsidR="00B97365" w:rsidRDefault="00000000">
      <w:pPr>
        <w:spacing w:before="0" w:after="200" w:line="276" w:lineRule="auto"/>
        <w:jc w:val="left"/>
        <w:rPr>
          <w:szCs w:val="22"/>
          <w:lang w:val="en-US" w:eastAsia="en-GB" w:bidi="ar-SA"/>
        </w:rPr>
      </w:pPr>
      <w:bookmarkStart w:id="2330" w:name="_Toc420594460"/>
      <w:r>
        <w:rPr>
          <w:rFonts w:cs="Arial"/>
          <w:b/>
          <w:szCs w:val="22"/>
          <w:lang w:val="en-US" w:eastAsia="en-GB" w:bidi="ar-SA"/>
        </w:rPr>
        <w:t>Function Provider entity:</w:t>
      </w:r>
      <w:r>
        <w:rPr>
          <w:szCs w:val="22"/>
          <w:lang w:val="en-US" w:eastAsia="en-GB" w:bidi="ar-SA"/>
        </w:rPr>
        <w:t xml:space="preserve"> ISD-R</w:t>
      </w:r>
      <w:bookmarkEnd w:id="2330"/>
    </w:p>
    <w:p w14:paraId="35AC836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is used to delete a Profile from the eUICC.</w:t>
      </w:r>
    </w:p>
    <w:p w14:paraId="36390BF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deletes the ISD-P and its associated Profile.</w:t>
      </w:r>
    </w:p>
    <w:p w14:paraId="458DA407" w14:textId="77777777" w:rsidR="00B97365" w:rsidRDefault="00000000">
      <w:pPr>
        <w:spacing w:before="0" w:after="200" w:line="276" w:lineRule="auto"/>
        <w:jc w:val="left"/>
        <w:rPr>
          <w:b/>
          <w:szCs w:val="22"/>
          <w:u w:val="single"/>
          <w:lang w:val="en-US" w:eastAsia="en-GB" w:bidi="ar-SA"/>
        </w:rPr>
      </w:pPr>
      <w:bookmarkStart w:id="2331" w:name="_Toc420594461"/>
      <w:r>
        <w:rPr>
          <w:rFonts w:cs="Arial"/>
          <w:b/>
          <w:szCs w:val="22"/>
          <w:u w:val="single"/>
          <w:lang w:val="en-US" w:eastAsia="en-GB" w:bidi="ar-SA"/>
        </w:rPr>
        <w:t>Parameters:</w:t>
      </w:r>
      <w:bookmarkEnd w:id="2331"/>
    </w:p>
    <w:p w14:paraId="65DA867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ISD-P-AID</w:t>
      </w:r>
    </w:p>
    <w:p w14:paraId="0B649E75" w14:textId="77777777" w:rsidR="00B97365" w:rsidRDefault="00000000">
      <w:pPr>
        <w:spacing w:before="0" w:after="200" w:line="276" w:lineRule="auto"/>
        <w:jc w:val="left"/>
        <w:rPr>
          <w:b/>
          <w:szCs w:val="22"/>
          <w:u w:val="single"/>
          <w:lang w:val="en-US" w:eastAsia="en-GB" w:bidi="ar-SA"/>
        </w:rPr>
      </w:pPr>
      <w:bookmarkStart w:id="2332" w:name="_Toc420594462"/>
      <w:r>
        <w:rPr>
          <w:rFonts w:cs="Arial"/>
          <w:b/>
          <w:szCs w:val="22"/>
          <w:u w:val="single"/>
          <w:lang w:val="en-US" w:eastAsia="en-GB" w:bidi="ar-SA"/>
        </w:rPr>
        <w:t>Prerequisites:</w:t>
      </w:r>
      <w:bookmarkEnd w:id="2332"/>
    </w:p>
    <w:p w14:paraId="2E1F963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SM-SR SHALL check that POL2 allows this action</w:t>
      </w:r>
    </w:p>
    <w:p w14:paraId="0CD2A02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target Profile SHALL NOT be the Profile with the Fall-Back Attribute set</w:t>
      </w:r>
    </w:p>
    <w:p w14:paraId="0757191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target Profile SHALL NOT be the Test Profile</w:t>
      </w:r>
    </w:p>
    <w:p w14:paraId="336B4DAB" w14:textId="77777777" w:rsidR="00B97365" w:rsidRDefault="00000000">
      <w:pPr>
        <w:spacing w:before="0" w:after="200" w:line="276" w:lineRule="auto"/>
        <w:jc w:val="left"/>
        <w:rPr>
          <w:b/>
          <w:szCs w:val="22"/>
          <w:u w:val="single"/>
          <w:lang w:val="en-US" w:eastAsia="en-GB" w:bidi="ar-SA"/>
        </w:rPr>
      </w:pPr>
      <w:bookmarkStart w:id="2333" w:name="_Toc420594463"/>
      <w:r>
        <w:rPr>
          <w:rFonts w:cs="Arial"/>
          <w:b/>
          <w:szCs w:val="22"/>
          <w:u w:val="single"/>
          <w:lang w:val="en-US" w:eastAsia="en-GB" w:bidi="ar-SA"/>
        </w:rPr>
        <w:t>Function flow</w:t>
      </w:r>
      <w:bookmarkEnd w:id="2333"/>
    </w:p>
    <w:p w14:paraId="368F74A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DELETE command, the eUICC SHALL:</w:t>
      </w:r>
    </w:p>
    <w:p w14:paraId="387C361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If the Profile is in Disabled state:</w:t>
      </w:r>
    </w:p>
    <w:p w14:paraId="1032F183" w14:textId="31D8451F" w:rsidR="00B97365" w:rsidRDefault="00000000">
      <w:pPr>
        <w:numPr>
          <w:ilvl w:val="1"/>
          <w:numId w:val="38"/>
        </w:numPr>
        <w:tabs>
          <w:tab w:val="left" w:pos="680"/>
        </w:tabs>
        <w:spacing w:before="0" w:after="200" w:line="276" w:lineRule="auto"/>
        <w:contextualSpacing/>
        <w:jc w:val="left"/>
        <w:rPr>
          <w:szCs w:val="22"/>
          <w:lang w:eastAsia="en-GB" w:bidi="ar-SA"/>
        </w:rPr>
      </w:pPr>
      <w:r>
        <w:rPr>
          <w:szCs w:val="22"/>
          <w:lang w:eastAsia="en-GB" w:bidi="ar-SA"/>
        </w:rPr>
        <w:t xml:space="preserve">Verify that POL1 of the target Profile allows its deletion. This includes, if the target Profile has been Disabled </w:t>
      </w:r>
      <w:r>
        <w:t>by the activation of the Fall-Back Mechanism</w:t>
      </w:r>
      <w:r>
        <w:rPr>
          <w:szCs w:val="22"/>
          <w:lang w:eastAsia="en-GB" w:bidi="ar-SA"/>
        </w:rPr>
        <w:t xml:space="preserve"> described in section </w:t>
      </w:r>
      <w:r>
        <w:rPr>
          <w:szCs w:val="22"/>
          <w:lang w:eastAsia="en-GB" w:bidi="ar-SA"/>
        </w:rPr>
        <w:fldChar w:fldCharType="begin"/>
      </w:r>
      <w:r>
        <w:rPr>
          <w:szCs w:val="22"/>
          <w:lang w:eastAsia="en-GB" w:bidi="ar-SA"/>
        </w:rPr>
        <w:instrText xml:space="preserve"> REF _Ref483406896 \r \h </w:instrText>
      </w:r>
      <w:r>
        <w:rPr>
          <w:szCs w:val="22"/>
          <w:lang w:eastAsia="en-GB" w:bidi="ar-SA"/>
        </w:rPr>
      </w:r>
      <w:r>
        <w:rPr>
          <w:szCs w:val="22"/>
          <w:lang w:eastAsia="en-GB" w:bidi="ar-SA"/>
        </w:rPr>
        <w:fldChar w:fldCharType="separate"/>
      </w:r>
      <w:r w:rsidR="001D5AD9">
        <w:rPr>
          <w:szCs w:val="22"/>
          <w:lang w:eastAsia="en-GB" w:bidi="ar-SA"/>
        </w:rPr>
        <w:t>3.16</w:t>
      </w:r>
      <w:r>
        <w:rPr>
          <w:szCs w:val="22"/>
          <w:lang w:eastAsia="en-GB" w:bidi="ar-SA"/>
        </w:rPr>
        <w:fldChar w:fldCharType="end"/>
      </w:r>
      <w:r>
        <w:rPr>
          <w:szCs w:val="22"/>
          <w:lang w:eastAsia="en-GB" w:bidi="ar-SA"/>
        </w:rPr>
        <w:t>, verify that POL1 of the target Profile allows Disabling.</w:t>
      </w:r>
    </w:p>
    <w:p w14:paraId="0D67DF1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the target Profile is not the Profile with Fall-Back Attribute set</w:t>
      </w:r>
    </w:p>
    <w:p w14:paraId="64E57D0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the target Profile is not the Test Profile</w:t>
      </w:r>
    </w:p>
    <w:p w14:paraId="52FA0D9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the target Profile is not in the Enabled state</w:t>
      </w:r>
    </w:p>
    <w:p w14:paraId="5DE865D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If any of these verifications fail, terminate the command with an error status word</w:t>
      </w:r>
    </w:p>
    <w:p w14:paraId="37970ED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Delete the ISD-P with its Profile.</w:t>
      </w:r>
    </w:p>
    <w:p w14:paraId="3920467C" w14:textId="77777777" w:rsidR="00B97365" w:rsidRDefault="00B97365">
      <w:pPr>
        <w:ind w:left="340"/>
        <w:jc w:val="left"/>
        <w:rPr>
          <w:rFonts w:cs="Arial"/>
          <w:szCs w:val="22"/>
          <w:lang w:eastAsia="en-GB" w:bidi="ar-SA"/>
        </w:rPr>
      </w:pPr>
    </w:p>
    <w:p w14:paraId="263CE5BB"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 xml:space="preserve">An incomplete Profile (i.e. the ISD-P is still in state SELECTABLE or </w:t>
      </w:r>
      <w:r>
        <w:rPr>
          <w:sz w:val="20"/>
          <w:szCs w:val="22"/>
          <w:lang w:val="en-US" w:eastAsia="de-DE" w:bidi="ar-SA"/>
        </w:rPr>
        <w:t>PERSONALIZED) can always be deleted</w:t>
      </w:r>
      <w:r>
        <w:rPr>
          <w:szCs w:val="22"/>
          <w:lang w:eastAsia="en-GB" w:bidi="ar-SA"/>
        </w:rPr>
        <w:t>.</w:t>
      </w:r>
    </w:p>
    <w:p w14:paraId="0945F2E1" w14:textId="77777777" w:rsidR="00B97365" w:rsidRDefault="00000000">
      <w:pPr>
        <w:spacing w:before="0" w:after="200" w:line="276" w:lineRule="auto"/>
        <w:jc w:val="left"/>
        <w:rPr>
          <w:b/>
          <w:szCs w:val="22"/>
          <w:u w:val="single"/>
          <w:lang w:val="en-US" w:eastAsia="en-GB" w:bidi="ar-SA"/>
        </w:rPr>
      </w:pPr>
      <w:bookmarkStart w:id="2334" w:name="_Toc420594464"/>
      <w:r>
        <w:rPr>
          <w:rFonts w:cs="Arial"/>
          <w:b/>
          <w:szCs w:val="22"/>
          <w:u w:val="single"/>
          <w:lang w:val="en-US" w:eastAsia="en-GB" w:bidi="ar-SA"/>
        </w:rPr>
        <w:t>Command Description:</w:t>
      </w:r>
      <w:bookmarkEnd w:id="2334"/>
    </w:p>
    <w:p w14:paraId="5B836134" w14:textId="77777777" w:rsidR="00B97365" w:rsidRDefault="00000000">
      <w:pPr>
        <w:spacing w:before="0" w:after="200" w:line="276" w:lineRule="auto"/>
        <w:jc w:val="left"/>
        <w:rPr>
          <w:b/>
          <w:i/>
          <w:szCs w:val="22"/>
          <w:lang w:val="en-US" w:eastAsia="en-GB" w:bidi="ar-SA"/>
        </w:rPr>
      </w:pPr>
      <w:bookmarkStart w:id="2335" w:name="_Toc420594465"/>
      <w:r>
        <w:rPr>
          <w:rFonts w:cs="Arial"/>
          <w:b/>
          <w:i/>
          <w:szCs w:val="22"/>
          <w:lang w:val="en-US" w:eastAsia="en-GB" w:bidi="ar-SA"/>
        </w:rPr>
        <w:t>DELETE COMMAND</w:t>
      </w:r>
      <w:bookmarkEnd w:id="2335"/>
    </w:p>
    <w:p w14:paraId="5A34DBF5" w14:textId="4F812416"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is realised through the GlobalPlatform DELETE command as defined in GlobalPlatform Card Specification Amendment C </w:t>
      </w:r>
      <w:r>
        <w:fldChar w:fldCharType="begin"/>
      </w:r>
      <w:r>
        <w:rPr>
          <w:szCs w:val="22"/>
          <w:lang w:val="en-US" w:eastAsia="en-GB" w:bidi="ar-SA"/>
        </w:rPr>
        <w:instrText xml:space="preserve"> REF _Ref421633218 \r \h </w:instrText>
      </w:r>
      <w:r>
        <w:fldChar w:fldCharType="separate"/>
      </w:r>
      <w:r w:rsidR="001D5AD9">
        <w:rPr>
          <w:szCs w:val="22"/>
          <w:lang w:val="en-US" w:eastAsia="en-GB" w:bidi="ar-SA"/>
        </w:rPr>
        <w:t>[9]</w:t>
      </w:r>
      <w:r>
        <w:fldChar w:fldCharType="end"/>
      </w:r>
      <w:r>
        <w:rPr>
          <w:szCs w:val="22"/>
          <w:lang w:val="en-US" w:eastAsia="en-GB" w:bidi="ar-SA"/>
        </w:rPr>
        <w:t>.</w:t>
      </w:r>
    </w:p>
    <w:p w14:paraId="38E73E90" w14:textId="77777777" w:rsidR="00B97365" w:rsidRDefault="00000000">
      <w:pPr>
        <w:spacing w:before="0" w:after="200" w:line="276" w:lineRule="auto"/>
        <w:jc w:val="left"/>
        <w:rPr>
          <w:b/>
          <w:i/>
          <w:szCs w:val="22"/>
          <w:lang w:val="en-US" w:eastAsia="en-GB" w:bidi="ar-SA"/>
        </w:rPr>
      </w:pPr>
      <w:bookmarkStart w:id="2336" w:name="_Toc420594466"/>
      <w:r>
        <w:rPr>
          <w:rFonts w:cs="Arial"/>
          <w:b/>
          <w:i/>
          <w:szCs w:val="22"/>
          <w:lang w:val="en-US" w:eastAsia="en-GB" w:bidi="ar-SA"/>
        </w:rPr>
        <w:t>Command Message</w:t>
      </w:r>
      <w:bookmarkEnd w:id="2336"/>
    </w:p>
    <w:p w14:paraId="1A57FE1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DELETE command message SHALL be coded according to the following table: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16"/>
        <w:gridCol w:w="2512"/>
        <w:gridCol w:w="4388"/>
      </w:tblGrid>
      <w:tr w:rsidR="00B97365" w14:paraId="374E379D"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3CBC9CA4"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AD20DF4"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576E2354"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782E9C0F"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4EB863AB" w14:textId="77777777" w:rsidR="00B97365" w:rsidRDefault="00000000">
            <w:pPr>
              <w:rPr>
                <w:rFonts w:cs="Calibri"/>
                <w:sz w:val="16"/>
                <w:szCs w:val="16"/>
              </w:rPr>
            </w:pPr>
            <w:r>
              <w:rPr>
                <w:rFonts w:cs="Calibri"/>
                <w:sz w:val="16"/>
                <w:szCs w:val="16"/>
              </w:rPr>
              <w:t>CLA</w:t>
            </w:r>
          </w:p>
        </w:tc>
        <w:tc>
          <w:tcPr>
            <w:tcW w:w="0" w:type="auto"/>
            <w:tcBorders>
              <w:top w:val="single" w:sz="6" w:space="0" w:color="auto"/>
              <w:left w:val="single" w:sz="6" w:space="0" w:color="auto"/>
              <w:bottom w:val="single" w:sz="6" w:space="0" w:color="auto"/>
              <w:right w:val="single" w:sz="6" w:space="0" w:color="auto"/>
            </w:tcBorders>
            <w:hideMark/>
          </w:tcPr>
          <w:p w14:paraId="12D4649A" w14:textId="77777777" w:rsidR="00B97365" w:rsidRDefault="00000000">
            <w:pPr>
              <w:rPr>
                <w:rFonts w:cs="Calibri"/>
                <w:sz w:val="16"/>
                <w:szCs w:val="16"/>
              </w:rPr>
            </w:pPr>
            <w:r>
              <w:rPr>
                <w:rFonts w:cs="Calibri"/>
                <w:sz w:val="16"/>
                <w:szCs w:val="16"/>
              </w:rPr>
              <w:t>'80' </w:t>
            </w:r>
            <w:r>
              <w:rPr>
                <w:rFonts w:cs="Calibri"/>
                <w:sz w:val="16"/>
                <w:szCs w:val="16"/>
              </w:rPr>
              <w:noBreakHyphen/>
              <w:t> '8F', 'C0' </w:t>
            </w:r>
            <w:r>
              <w:rPr>
                <w:rFonts w:cs="Calibri"/>
                <w:sz w:val="16"/>
                <w:szCs w:val="16"/>
              </w:rPr>
              <w:noBreakHyphen/>
              <w:t> 'CF' or 'E0' </w:t>
            </w:r>
            <w:r>
              <w:rPr>
                <w:rFonts w:cs="Calibri"/>
                <w:sz w:val="16"/>
                <w:szCs w:val="16"/>
              </w:rPr>
              <w:noBreakHyphen/>
              <w:t> 'EF'</w:t>
            </w:r>
          </w:p>
        </w:tc>
        <w:tc>
          <w:tcPr>
            <w:tcW w:w="0" w:type="auto"/>
            <w:tcBorders>
              <w:top w:val="single" w:sz="6" w:space="0" w:color="auto"/>
              <w:left w:val="single" w:sz="6" w:space="0" w:color="auto"/>
              <w:bottom w:val="single" w:sz="6" w:space="0" w:color="auto"/>
              <w:right w:val="single" w:sz="4" w:space="0" w:color="auto"/>
            </w:tcBorders>
            <w:hideMark/>
          </w:tcPr>
          <w:p w14:paraId="79241460" w14:textId="75CC2EAF" w:rsidR="00B97365" w:rsidRDefault="00000000">
            <w:pPr>
              <w:rPr>
                <w:rFonts w:cs="Calibri"/>
                <w:sz w:val="16"/>
                <w:szCs w:val="16"/>
              </w:rPr>
            </w:pPr>
            <w:r>
              <w:rPr>
                <w:rFonts w:cs="Calibri"/>
                <w:sz w:val="16"/>
                <w:szCs w:val="16"/>
              </w:rPr>
              <w:t xml:space="preserve">See section 11.1.4 of </w:t>
            </w:r>
            <w:r>
              <w:rPr>
                <w:sz w:val="16"/>
                <w:szCs w:val="16"/>
              </w:rPr>
              <w:t xml:space="preserve">GlobalPlatform Card Specification </w:t>
            </w:r>
            <w:r>
              <w:fldChar w:fldCharType="begin"/>
            </w:r>
            <w:r>
              <w:instrText xml:space="preserve"> REF _Ref421631311 \r \h  \* MERGEFORMAT </w:instrText>
            </w:r>
            <w:r>
              <w:fldChar w:fldCharType="separate"/>
            </w:r>
            <w:r w:rsidR="001D5AD9" w:rsidRPr="001D5AD9">
              <w:rPr>
                <w:sz w:val="16"/>
                <w:szCs w:val="16"/>
              </w:rPr>
              <w:t>[6]</w:t>
            </w:r>
            <w:r>
              <w:fldChar w:fldCharType="end"/>
            </w:r>
          </w:p>
        </w:tc>
      </w:tr>
      <w:tr w:rsidR="00B97365" w14:paraId="700E80AC"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2F25EEF3" w14:textId="77777777" w:rsidR="00B97365" w:rsidRDefault="00000000">
            <w:pPr>
              <w:rPr>
                <w:rFonts w:cs="Calibri"/>
                <w:sz w:val="16"/>
                <w:szCs w:val="16"/>
              </w:rPr>
            </w:pPr>
            <w:r>
              <w:rPr>
                <w:rFonts w:cs="Calibri"/>
                <w:sz w:val="16"/>
                <w:szCs w:val="16"/>
              </w:rPr>
              <w:t>INS</w:t>
            </w:r>
          </w:p>
        </w:tc>
        <w:tc>
          <w:tcPr>
            <w:tcW w:w="0" w:type="auto"/>
            <w:tcBorders>
              <w:top w:val="single" w:sz="6" w:space="0" w:color="auto"/>
              <w:left w:val="single" w:sz="6" w:space="0" w:color="auto"/>
              <w:bottom w:val="single" w:sz="6" w:space="0" w:color="auto"/>
              <w:right w:val="single" w:sz="6" w:space="0" w:color="auto"/>
            </w:tcBorders>
            <w:hideMark/>
          </w:tcPr>
          <w:p w14:paraId="5D4CB1B9" w14:textId="77777777" w:rsidR="00B97365" w:rsidRDefault="00000000">
            <w:pPr>
              <w:rPr>
                <w:rFonts w:cs="Calibri"/>
                <w:sz w:val="16"/>
                <w:szCs w:val="16"/>
              </w:rPr>
            </w:pPr>
            <w:r>
              <w:rPr>
                <w:rFonts w:cs="Calibri"/>
                <w:sz w:val="16"/>
                <w:szCs w:val="16"/>
              </w:rPr>
              <w:t>'E4'</w:t>
            </w:r>
          </w:p>
        </w:tc>
        <w:tc>
          <w:tcPr>
            <w:tcW w:w="0" w:type="auto"/>
            <w:tcBorders>
              <w:top w:val="single" w:sz="6" w:space="0" w:color="auto"/>
              <w:left w:val="single" w:sz="6" w:space="0" w:color="auto"/>
              <w:bottom w:val="single" w:sz="6" w:space="0" w:color="auto"/>
              <w:right w:val="single" w:sz="4" w:space="0" w:color="auto"/>
            </w:tcBorders>
            <w:hideMark/>
          </w:tcPr>
          <w:p w14:paraId="624AF10E" w14:textId="77777777" w:rsidR="00B97365" w:rsidRDefault="00000000">
            <w:pPr>
              <w:rPr>
                <w:rFonts w:cs="Calibri"/>
                <w:sz w:val="16"/>
                <w:szCs w:val="16"/>
              </w:rPr>
            </w:pPr>
            <w:r>
              <w:rPr>
                <w:rFonts w:cs="Calibri"/>
                <w:sz w:val="16"/>
                <w:szCs w:val="16"/>
              </w:rPr>
              <w:t>DELETE</w:t>
            </w:r>
          </w:p>
        </w:tc>
      </w:tr>
      <w:tr w:rsidR="00B97365" w14:paraId="600E63BF"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776B3779" w14:textId="77777777" w:rsidR="00B97365" w:rsidRDefault="00000000">
            <w:pPr>
              <w:rPr>
                <w:rFonts w:cs="Calibri"/>
                <w:sz w:val="16"/>
                <w:szCs w:val="16"/>
              </w:rPr>
            </w:pPr>
            <w:r>
              <w:rPr>
                <w:rFonts w:cs="Calibri"/>
                <w:sz w:val="16"/>
                <w:szCs w:val="16"/>
              </w:rPr>
              <w:t>P1</w:t>
            </w:r>
          </w:p>
        </w:tc>
        <w:tc>
          <w:tcPr>
            <w:tcW w:w="0" w:type="auto"/>
            <w:tcBorders>
              <w:top w:val="single" w:sz="6" w:space="0" w:color="auto"/>
              <w:left w:val="single" w:sz="6" w:space="0" w:color="auto"/>
              <w:bottom w:val="single" w:sz="6" w:space="0" w:color="auto"/>
              <w:right w:val="single" w:sz="6" w:space="0" w:color="auto"/>
            </w:tcBorders>
            <w:hideMark/>
          </w:tcPr>
          <w:p w14:paraId="673C19DC" w14:textId="77777777" w:rsidR="00B97365" w:rsidRDefault="00000000">
            <w:pPr>
              <w:rPr>
                <w:rFonts w:cs="Calibri"/>
                <w:sz w:val="16"/>
                <w:szCs w:val="16"/>
              </w:rPr>
            </w:pPr>
            <w:r>
              <w:rPr>
                <w:rFonts w:cs="Calibri"/>
                <w:sz w:val="16"/>
                <w:szCs w:val="16"/>
              </w:rPr>
              <w:t>'00'</w:t>
            </w:r>
          </w:p>
        </w:tc>
        <w:tc>
          <w:tcPr>
            <w:tcW w:w="0" w:type="auto"/>
            <w:tcBorders>
              <w:top w:val="single" w:sz="6" w:space="0" w:color="auto"/>
              <w:left w:val="single" w:sz="6" w:space="0" w:color="auto"/>
              <w:bottom w:val="single" w:sz="6" w:space="0" w:color="auto"/>
              <w:right w:val="single" w:sz="4" w:space="0" w:color="auto"/>
            </w:tcBorders>
            <w:hideMark/>
          </w:tcPr>
          <w:p w14:paraId="07B90556" w14:textId="77777777" w:rsidR="00B97365" w:rsidRDefault="00000000">
            <w:pPr>
              <w:rPr>
                <w:rFonts w:cs="Calibri"/>
                <w:sz w:val="16"/>
                <w:szCs w:val="16"/>
              </w:rPr>
            </w:pPr>
            <w:r>
              <w:rPr>
                <w:rFonts w:cs="Calibri"/>
                <w:sz w:val="16"/>
                <w:szCs w:val="16"/>
              </w:rPr>
              <w:t>Reference control parameter P1</w:t>
            </w:r>
          </w:p>
        </w:tc>
      </w:tr>
      <w:tr w:rsidR="00B97365" w14:paraId="0B856D5D"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2315765F" w14:textId="77777777" w:rsidR="00B97365" w:rsidRDefault="00000000">
            <w:pPr>
              <w:rPr>
                <w:rFonts w:cs="Calibri"/>
                <w:sz w:val="16"/>
                <w:szCs w:val="16"/>
              </w:rPr>
            </w:pPr>
            <w:r>
              <w:rPr>
                <w:rFonts w:cs="Calibri"/>
                <w:sz w:val="16"/>
                <w:szCs w:val="16"/>
              </w:rPr>
              <w:t>P2</w:t>
            </w:r>
          </w:p>
        </w:tc>
        <w:tc>
          <w:tcPr>
            <w:tcW w:w="0" w:type="auto"/>
            <w:tcBorders>
              <w:top w:val="single" w:sz="6" w:space="0" w:color="auto"/>
              <w:left w:val="single" w:sz="6" w:space="0" w:color="auto"/>
              <w:bottom w:val="single" w:sz="6" w:space="0" w:color="auto"/>
              <w:right w:val="single" w:sz="6" w:space="0" w:color="auto"/>
            </w:tcBorders>
            <w:hideMark/>
          </w:tcPr>
          <w:p w14:paraId="096AE824" w14:textId="77777777" w:rsidR="00B97365" w:rsidRDefault="00000000">
            <w:pPr>
              <w:rPr>
                <w:rFonts w:cs="Calibri"/>
                <w:sz w:val="16"/>
                <w:szCs w:val="16"/>
              </w:rPr>
            </w:pPr>
            <w:r>
              <w:rPr>
                <w:rFonts w:cs="Calibri"/>
                <w:sz w:val="16"/>
                <w:szCs w:val="16"/>
              </w:rPr>
              <w:t>'40'</w:t>
            </w:r>
          </w:p>
        </w:tc>
        <w:tc>
          <w:tcPr>
            <w:tcW w:w="0" w:type="auto"/>
            <w:tcBorders>
              <w:top w:val="single" w:sz="6" w:space="0" w:color="auto"/>
              <w:left w:val="single" w:sz="6" w:space="0" w:color="auto"/>
              <w:bottom w:val="single" w:sz="6" w:space="0" w:color="auto"/>
              <w:right w:val="single" w:sz="4" w:space="0" w:color="auto"/>
            </w:tcBorders>
            <w:hideMark/>
          </w:tcPr>
          <w:p w14:paraId="65586772" w14:textId="77777777" w:rsidR="00B97365" w:rsidRDefault="00000000">
            <w:pPr>
              <w:rPr>
                <w:rFonts w:cs="Calibri"/>
                <w:sz w:val="16"/>
                <w:szCs w:val="16"/>
              </w:rPr>
            </w:pPr>
            <w:r>
              <w:rPr>
                <w:rFonts w:cs="Calibri"/>
                <w:sz w:val="16"/>
                <w:szCs w:val="16"/>
              </w:rPr>
              <w:t>Reference control parameter P2</w:t>
            </w:r>
          </w:p>
        </w:tc>
      </w:tr>
      <w:tr w:rsidR="00B97365" w14:paraId="4A59ABDC"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18C1404F" w14:textId="77777777" w:rsidR="00B97365" w:rsidRDefault="00000000">
            <w:pPr>
              <w:rPr>
                <w:rFonts w:cs="Calibri"/>
                <w:sz w:val="16"/>
                <w:szCs w:val="16"/>
              </w:rPr>
            </w:pPr>
            <w:r>
              <w:rPr>
                <w:rFonts w:cs="Calibri"/>
                <w:sz w:val="16"/>
                <w:szCs w:val="16"/>
              </w:rPr>
              <w:t>Lc</w:t>
            </w:r>
          </w:p>
        </w:tc>
        <w:tc>
          <w:tcPr>
            <w:tcW w:w="0" w:type="auto"/>
            <w:tcBorders>
              <w:top w:val="single" w:sz="6" w:space="0" w:color="auto"/>
              <w:left w:val="single" w:sz="6" w:space="0" w:color="auto"/>
              <w:bottom w:val="single" w:sz="6" w:space="0" w:color="auto"/>
              <w:right w:val="single" w:sz="6" w:space="0" w:color="auto"/>
            </w:tcBorders>
            <w:hideMark/>
          </w:tcPr>
          <w:p w14:paraId="48CCE107" w14:textId="77777777" w:rsidR="00B97365" w:rsidRDefault="00000000">
            <w:pPr>
              <w:rPr>
                <w:rFonts w:cs="Calibri"/>
                <w:sz w:val="16"/>
                <w:szCs w:val="16"/>
              </w:rPr>
            </w:pPr>
            <w:r>
              <w:rPr>
                <w:rFonts w:cs="Calibri"/>
                <w:sz w:val="16"/>
                <w:szCs w:val="16"/>
              </w:rPr>
              <w:t>'xx'</w:t>
            </w:r>
          </w:p>
        </w:tc>
        <w:tc>
          <w:tcPr>
            <w:tcW w:w="0" w:type="auto"/>
            <w:tcBorders>
              <w:top w:val="single" w:sz="6" w:space="0" w:color="auto"/>
              <w:left w:val="single" w:sz="6" w:space="0" w:color="auto"/>
              <w:bottom w:val="single" w:sz="6" w:space="0" w:color="auto"/>
              <w:right w:val="single" w:sz="4" w:space="0" w:color="auto"/>
            </w:tcBorders>
            <w:hideMark/>
          </w:tcPr>
          <w:p w14:paraId="76E1AA92" w14:textId="77777777" w:rsidR="00B97365" w:rsidRDefault="00000000">
            <w:pPr>
              <w:rPr>
                <w:rFonts w:cs="Calibri"/>
                <w:sz w:val="16"/>
                <w:szCs w:val="16"/>
              </w:rPr>
            </w:pPr>
            <w:r>
              <w:rPr>
                <w:rFonts w:cs="Calibri"/>
                <w:sz w:val="16"/>
                <w:szCs w:val="16"/>
              </w:rPr>
              <w:t>Length of data field</w:t>
            </w:r>
          </w:p>
        </w:tc>
      </w:tr>
      <w:tr w:rsidR="00B97365" w14:paraId="3BCFA5F9"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6D22E478" w14:textId="77777777" w:rsidR="00B97365" w:rsidRDefault="00000000">
            <w:pPr>
              <w:rPr>
                <w:rFonts w:cs="Calibri"/>
                <w:sz w:val="16"/>
                <w:szCs w:val="16"/>
              </w:rPr>
            </w:pPr>
            <w:r>
              <w:rPr>
                <w:rFonts w:cs="Calibri"/>
                <w:sz w:val="16"/>
                <w:szCs w:val="16"/>
              </w:rPr>
              <w:t>Data</w:t>
            </w:r>
          </w:p>
        </w:tc>
        <w:tc>
          <w:tcPr>
            <w:tcW w:w="0" w:type="auto"/>
            <w:tcBorders>
              <w:top w:val="single" w:sz="6" w:space="0" w:color="auto"/>
              <w:left w:val="single" w:sz="6" w:space="0" w:color="auto"/>
              <w:bottom w:val="single" w:sz="6" w:space="0" w:color="auto"/>
              <w:right w:val="single" w:sz="6" w:space="0" w:color="auto"/>
            </w:tcBorders>
            <w:hideMark/>
          </w:tcPr>
          <w:p w14:paraId="6EA3CFB8" w14:textId="77777777" w:rsidR="00B97365" w:rsidRDefault="00000000">
            <w:pPr>
              <w:rPr>
                <w:rFonts w:cs="Calibri"/>
                <w:sz w:val="16"/>
                <w:szCs w:val="16"/>
              </w:rPr>
            </w:pPr>
            <w:r>
              <w:rPr>
                <w:rFonts w:cs="Calibri"/>
                <w:sz w:val="16"/>
                <w:szCs w:val="16"/>
              </w:rPr>
              <w:t>'xxxx…'</w:t>
            </w:r>
          </w:p>
        </w:tc>
        <w:tc>
          <w:tcPr>
            <w:tcW w:w="0" w:type="auto"/>
            <w:tcBorders>
              <w:top w:val="single" w:sz="6" w:space="0" w:color="auto"/>
              <w:left w:val="single" w:sz="6" w:space="0" w:color="auto"/>
              <w:bottom w:val="single" w:sz="6" w:space="0" w:color="auto"/>
              <w:right w:val="single" w:sz="4" w:space="0" w:color="auto"/>
            </w:tcBorders>
            <w:hideMark/>
          </w:tcPr>
          <w:p w14:paraId="1D64B710" w14:textId="77777777" w:rsidR="00B97365" w:rsidRDefault="00000000">
            <w:pPr>
              <w:rPr>
                <w:rFonts w:cs="Calibri"/>
                <w:sz w:val="16"/>
                <w:szCs w:val="16"/>
              </w:rPr>
            </w:pPr>
            <w:r>
              <w:rPr>
                <w:rFonts w:cs="Calibri"/>
                <w:sz w:val="16"/>
                <w:szCs w:val="16"/>
              </w:rPr>
              <w:t>TLV coded objects (and MAC if present)</w:t>
            </w:r>
          </w:p>
        </w:tc>
      </w:tr>
      <w:tr w:rsidR="00B97365" w14:paraId="33FCB032"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281F0E09" w14:textId="77777777" w:rsidR="00B97365" w:rsidRDefault="00000000">
            <w:pPr>
              <w:keepNext/>
              <w:rPr>
                <w:rFonts w:cs="Calibri"/>
                <w:sz w:val="16"/>
                <w:szCs w:val="16"/>
              </w:rPr>
            </w:pPr>
            <w:r>
              <w:rPr>
                <w:rFonts w:cs="Calibri"/>
                <w:sz w:val="16"/>
                <w:szCs w:val="16"/>
              </w:rPr>
              <w:t>Le</w:t>
            </w:r>
          </w:p>
        </w:tc>
        <w:tc>
          <w:tcPr>
            <w:tcW w:w="0" w:type="auto"/>
            <w:tcBorders>
              <w:top w:val="single" w:sz="6" w:space="0" w:color="auto"/>
              <w:left w:val="single" w:sz="6" w:space="0" w:color="auto"/>
              <w:bottom w:val="single" w:sz="4" w:space="0" w:color="auto"/>
              <w:right w:val="single" w:sz="6" w:space="0" w:color="auto"/>
            </w:tcBorders>
            <w:hideMark/>
          </w:tcPr>
          <w:p w14:paraId="4A6A3B2C" w14:textId="77777777" w:rsidR="00B97365" w:rsidRDefault="00000000">
            <w:pPr>
              <w:keepNext/>
              <w:rPr>
                <w:rFonts w:cs="Calibri"/>
                <w:sz w:val="16"/>
                <w:szCs w:val="16"/>
              </w:rPr>
            </w:pPr>
            <w:r>
              <w:rPr>
                <w:rFonts w:cs="Calibri"/>
                <w:sz w:val="16"/>
                <w:szCs w:val="16"/>
              </w:rPr>
              <w:t>'00'</w:t>
            </w:r>
          </w:p>
        </w:tc>
        <w:tc>
          <w:tcPr>
            <w:tcW w:w="0" w:type="auto"/>
            <w:tcBorders>
              <w:top w:val="single" w:sz="6" w:space="0" w:color="auto"/>
              <w:left w:val="single" w:sz="6" w:space="0" w:color="auto"/>
              <w:bottom w:val="single" w:sz="4" w:space="0" w:color="auto"/>
              <w:right w:val="single" w:sz="4" w:space="0" w:color="auto"/>
            </w:tcBorders>
          </w:tcPr>
          <w:p w14:paraId="686CE0E5" w14:textId="77777777" w:rsidR="00B97365" w:rsidRDefault="00B97365">
            <w:pPr>
              <w:keepNext/>
              <w:rPr>
                <w:rFonts w:cs="Calibri"/>
                <w:sz w:val="16"/>
                <w:szCs w:val="16"/>
              </w:rPr>
            </w:pPr>
          </w:p>
        </w:tc>
      </w:tr>
    </w:tbl>
    <w:p w14:paraId="00004370" w14:textId="77777777" w:rsidR="00B97365" w:rsidRDefault="00000000">
      <w:pPr>
        <w:numPr>
          <w:ilvl w:val="0"/>
          <w:numId w:val="14"/>
        </w:numPr>
        <w:tabs>
          <w:tab w:val="left" w:pos="1009"/>
        </w:tabs>
        <w:spacing w:after="200" w:line="276" w:lineRule="auto"/>
        <w:jc w:val="center"/>
        <w:rPr>
          <w:rFonts w:asciiTheme="minorHAnsi" w:hAnsiTheme="minorHAnsi" w:cstheme="minorHAnsi"/>
          <w:lang w:eastAsia="de-DE" w:bidi="ar-SA"/>
        </w:rPr>
      </w:pPr>
      <w:r>
        <w:rPr>
          <w:rFonts w:cs="Arial"/>
          <w:b/>
          <w:lang w:eastAsia="de-DE" w:bidi="ar-SA"/>
        </w:rPr>
        <w:t>: DELETE Command Message</w:t>
      </w:r>
    </w:p>
    <w:p w14:paraId="2527C7ED"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3"/>
        <w:gridCol w:w="403"/>
        <w:gridCol w:w="403"/>
        <w:gridCol w:w="403"/>
        <w:gridCol w:w="403"/>
        <w:gridCol w:w="403"/>
        <w:gridCol w:w="403"/>
        <w:gridCol w:w="403"/>
        <w:gridCol w:w="1897"/>
      </w:tblGrid>
      <w:tr w:rsidR="00B97365" w14:paraId="72EB4F5A"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022D9756"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A135D0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3E51536"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66B9B86"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93A348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8FDF88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0233686D"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0939BEDF"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075C170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1E721777"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48502403"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458264D3"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662D569"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8A1E00F"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51D5ACB"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230F232"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AC81079"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82CE784"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1DBAB302" w14:textId="77777777" w:rsidR="00B97365" w:rsidRDefault="00000000">
            <w:pPr>
              <w:rPr>
                <w:rFonts w:cs="Calibri"/>
                <w:sz w:val="16"/>
                <w:szCs w:val="16"/>
              </w:rPr>
            </w:pPr>
            <w:r>
              <w:rPr>
                <w:rFonts w:cs="Calibri"/>
                <w:sz w:val="16"/>
                <w:szCs w:val="16"/>
              </w:rPr>
              <w:t>Last (or only) command</w:t>
            </w:r>
          </w:p>
        </w:tc>
      </w:tr>
      <w:tr w:rsidR="00B97365" w14:paraId="43A50D7F" w14:textId="77777777">
        <w:trPr>
          <w:tblHeader/>
          <w:jc w:val="center"/>
        </w:trPr>
        <w:tc>
          <w:tcPr>
            <w:tcW w:w="0" w:type="auto"/>
            <w:tcBorders>
              <w:top w:val="single" w:sz="6" w:space="0" w:color="auto"/>
              <w:left w:val="single" w:sz="4" w:space="0" w:color="auto"/>
              <w:bottom w:val="single" w:sz="4" w:space="0" w:color="auto"/>
              <w:right w:val="single" w:sz="6" w:space="0" w:color="auto"/>
            </w:tcBorders>
            <w:hideMark/>
          </w:tcPr>
          <w:p w14:paraId="19FAEB80"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A295AFA"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2F93FB9E"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5B28AB39"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423D86D8"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4D6ADDD7"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17CD64FD"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3DA7F642"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4" w:space="0" w:color="auto"/>
            </w:tcBorders>
            <w:hideMark/>
          </w:tcPr>
          <w:p w14:paraId="6F9F0C3A" w14:textId="77777777" w:rsidR="00B97365" w:rsidRDefault="00000000">
            <w:pPr>
              <w:keepNext/>
              <w:rPr>
                <w:rFonts w:cs="Calibri"/>
                <w:sz w:val="16"/>
                <w:szCs w:val="16"/>
              </w:rPr>
            </w:pPr>
            <w:r>
              <w:rPr>
                <w:rFonts w:cs="Calibri"/>
                <w:sz w:val="16"/>
                <w:szCs w:val="16"/>
              </w:rPr>
              <w:t>RFU</w:t>
            </w:r>
          </w:p>
        </w:tc>
      </w:tr>
    </w:tbl>
    <w:p w14:paraId="2E03A7DD"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Reference Control Parameter P1</w:t>
      </w:r>
    </w:p>
    <w:p w14:paraId="5D4BA43F"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lastRenderedPageBreak/>
        <w:t>Reference Control Parameter P2</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4"/>
        <w:gridCol w:w="394"/>
        <w:gridCol w:w="394"/>
        <w:gridCol w:w="394"/>
        <w:gridCol w:w="394"/>
        <w:gridCol w:w="394"/>
        <w:gridCol w:w="394"/>
        <w:gridCol w:w="394"/>
        <w:gridCol w:w="4530"/>
      </w:tblGrid>
      <w:tr w:rsidR="00B97365" w14:paraId="738889DE"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9E8F25C" w14:textId="77777777" w:rsidR="00B97365" w:rsidRDefault="00000000">
            <w:pPr>
              <w:rPr>
                <w:rFonts w:eastAsia="PMingLiU" w:cs="Calibri"/>
                <w:bCs/>
                <w:color w:val="FFFFFF"/>
                <w:sz w:val="16"/>
                <w:szCs w:val="16"/>
              </w:rPr>
            </w:pPr>
            <w:r>
              <w:rPr>
                <w:rFonts w:eastAsia="PMingLiU" w:cs="Calibri"/>
                <w:bCs/>
                <w:color w:val="FFFFFF"/>
                <w:sz w:val="16"/>
                <w:szCs w:val="16"/>
              </w:rPr>
              <w:t>b8</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8A6755C" w14:textId="77777777" w:rsidR="00B97365" w:rsidRDefault="00000000">
            <w:pPr>
              <w:rPr>
                <w:rFonts w:eastAsia="PMingLiU" w:cs="Calibri"/>
                <w:bCs/>
                <w:color w:val="FFFFFF"/>
                <w:sz w:val="16"/>
                <w:szCs w:val="16"/>
              </w:rPr>
            </w:pPr>
            <w:r>
              <w:rPr>
                <w:rFonts w:eastAsia="PMingLiU" w:cs="Calibri"/>
                <w:bCs/>
                <w:color w:val="FFFFFF"/>
                <w:sz w:val="16"/>
                <w:szCs w:val="16"/>
              </w:rPr>
              <w:t>b7</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4F11E44" w14:textId="77777777" w:rsidR="00B97365" w:rsidRDefault="00000000">
            <w:pPr>
              <w:rPr>
                <w:rFonts w:eastAsia="PMingLiU" w:cs="Calibri"/>
                <w:bCs/>
                <w:color w:val="FFFFFF"/>
                <w:sz w:val="16"/>
                <w:szCs w:val="16"/>
              </w:rPr>
            </w:pPr>
            <w:r>
              <w:rPr>
                <w:rFonts w:eastAsia="PMingLiU" w:cs="Calibri"/>
                <w:bCs/>
                <w:color w:val="FFFFFF"/>
                <w:sz w:val="16"/>
                <w:szCs w:val="16"/>
              </w:rPr>
              <w:t>b6</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122FA5C" w14:textId="77777777" w:rsidR="00B97365" w:rsidRDefault="00000000">
            <w:pPr>
              <w:rPr>
                <w:rFonts w:eastAsia="PMingLiU" w:cs="Calibri"/>
                <w:bCs/>
                <w:color w:val="FFFFFF"/>
                <w:sz w:val="16"/>
                <w:szCs w:val="16"/>
              </w:rPr>
            </w:pPr>
            <w:r>
              <w:rPr>
                <w:rFonts w:eastAsia="PMingLiU" w:cs="Calibri"/>
                <w:bCs/>
                <w:color w:val="FFFFFF"/>
                <w:sz w:val="16"/>
                <w:szCs w:val="16"/>
              </w:rPr>
              <w:t>b5</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5EB653B" w14:textId="77777777" w:rsidR="00B97365" w:rsidRDefault="00000000">
            <w:pPr>
              <w:rPr>
                <w:rFonts w:eastAsia="PMingLiU" w:cs="Calibri"/>
                <w:bCs/>
                <w:color w:val="FFFFFF"/>
                <w:sz w:val="16"/>
                <w:szCs w:val="16"/>
              </w:rPr>
            </w:pPr>
            <w:r>
              <w:rPr>
                <w:rFonts w:eastAsia="PMingLiU" w:cs="Calibri"/>
                <w:bCs/>
                <w:color w:val="FFFFFF"/>
                <w:sz w:val="16"/>
                <w:szCs w:val="16"/>
              </w:rPr>
              <w:t>b4</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29738B0" w14:textId="77777777" w:rsidR="00B97365" w:rsidRDefault="00000000">
            <w:pPr>
              <w:rPr>
                <w:rFonts w:eastAsia="PMingLiU" w:cs="Calibri"/>
                <w:bCs/>
                <w:color w:val="FFFFFF"/>
                <w:sz w:val="16"/>
                <w:szCs w:val="16"/>
              </w:rPr>
            </w:pPr>
            <w:r>
              <w:rPr>
                <w:rFonts w:eastAsia="PMingLiU" w:cs="Calibri"/>
                <w:bCs/>
                <w:color w:val="FFFFFF"/>
                <w:sz w:val="16"/>
                <w:szCs w:val="16"/>
              </w:rPr>
              <w:t>b3</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E6690E0" w14:textId="77777777" w:rsidR="00B97365" w:rsidRDefault="00000000">
            <w:pPr>
              <w:rPr>
                <w:rFonts w:eastAsia="PMingLiU" w:cs="Calibri"/>
                <w:bCs/>
                <w:color w:val="FFFFFF"/>
                <w:sz w:val="16"/>
                <w:szCs w:val="16"/>
              </w:rPr>
            </w:pPr>
            <w:r>
              <w:rPr>
                <w:rFonts w:eastAsia="PMingLiU" w:cs="Calibri"/>
                <w:bCs/>
                <w:color w:val="FFFFFF"/>
                <w:sz w:val="16"/>
                <w:szCs w:val="16"/>
              </w:rPr>
              <w:t>b2</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FD0D284" w14:textId="77777777" w:rsidR="00B97365" w:rsidRDefault="00000000">
            <w:pPr>
              <w:rPr>
                <w:rFonts w:eastAsia="PMingLiU" w:cs="Calibri"/>
                <w:bCs/>
                <w:color w:val="FFFFFF"/>
                <w:sz w:val="16"/>
                <w:szCs w:val="16"/>
              </w:rPr>
            </w:pPr>
            <w:r>
              <w:rPr>
                <w:rFonts w:eastAsia="PMingLiU" w:cs="Calibri"/>
                <w:bCs/>
                <w:color w:val="FFFFFF"/>
                <w:sz w:val="16"/>
                <w:szCs w:val="16"/>
              </w:rPr>
              <w:t>b1</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928F695" w14:textId="77777777" w:rsidR="00B97365" w:rsidRDefault="00000000">
            <w:pPr>
              <w:jc w:val="center"/>
              <w:rPr>
                <w:rFonts w:eastAsia="PMingLiU" w:cs="Calibri"/>
                <w:bCs/>
                <w:color w:val="FFFFFF"/>
                <w:sz w:val="16"/>
                <w:szCs w:val="16"/>
              </w:rPr>
            </w:pPr>
            <w:r>
              <w:rPr>
                <w:rFonts w:eastAsia="PMingLiU" w:cs="Calibri"/>
                <w:bCs/>
                <w:color w:val="FFFFFF"/>
                <w:sz w:val="16"/>
                <w:szCs w:val="16"/>
              </w:rPr>
              <w:t>Meaning</w:t>
            </w:r>
          </w:p>
        </w:tc>
      </w:tr>
      <w:tr w:rsidR="00B97365" w14:paraId="26DD2AFB"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581DFE63" w14:textId="77777777" w:rsidR="00B97365" w:rsidRDefault="00000000">
            <w:pPr>
              <w:rPr>
                <w:rFonts w:eastAsia="PMingLiU" w:cs="Calibri"/>
                <w:bCs/>
                <w:sz w:val="16"/>
                <w:szCs w:val="16"/>
              </w:rPr>
            </w:pPr>
            <w:r>
              <w:rPr>
                <w:rFonts w:eastAsia="PMingLiU" w:cs="Calibri"/>
                <w:bCs/>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11B4F5CF" w14:textId="77777777" w:rsidR="00B97365" w:rsidRDefault="00000000">
            <w:pPr>
              <w:rPr>
                <w:rFonts w:eastAsia="PMingLiU" w:cs="Calibri"/>
                <w:bCs/>
                <w:sz w:val="16"/>
                <w:szCs w:val="16"/>
              </w:rPr>
            </w:pPr>
            <w:r>
              <w:rPr>
                <w:rFonts w:eastAsia="PMingLiU" w:cs="Calibri"/>
                <w:bCs/>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6646B181"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114A19E"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F88F89F"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4B6DDE0"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66ACCB8"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A3C695D"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0AA2E94F" w14:textId="77777777" w:rsidR="00B97365" w:rsidRDefault="00000000">
            <w:pPr>
              <w:rPr>
                <w:rFonts w:eastAsia="PMingLiU" w:cs="Calibri"/>
                <w:bCs/>
                <w:sz w:val="16"/>
                <w:szCs w:val="16"/>
              </w:rPr>
            </w:pPr>
            <w:r>
              <w:rPr>
                <w:rFonts w:eastAsia="PMingLiU" w:cs="Calibri"/>
                <w:bCs/>
                <w:sz w:val="16"/>
                <w:szCs w:val="16"/>
              </w:rPr>
              <w:t>Delete a root security domain and all associated Applications</w:t>
            </w:r>
          </w:p>
        </w:tc>
      </w:tr>
      <w:tr w:rsidR="00B97365" w14:paraId="5EEC3327"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0DC6AA44"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197EA655"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2ABFC420"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19D3D0C6"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6DFD0AE7"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1F982AFE"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2BB61B7B"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044902EC"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4" w:space="0" w:color="auto"/>
            </w:tcBorders>
            <w:hideMark/>
          </w:tcPr>
          <w:p w14:paraId="0001C4EC" w14:textId="77777777" w:rsidR="00B97365" w:rsidRDefault="00000000">
            <w:pPr>
              <w:rPr>
                <w:rFonts w:eastAsia="PMingLiU" w:cs="Calibri"/>
                <w:bCs/>
                <w:sz w:val="16"/>
                <w:szCs w:val="16"/>
              </w:rPr>
            </w:pPr>
            <w:r>
              <w:rPr>
                <w:rFonts w:eastAsia="PMingLiU" w:cs="Calibri"/>
                <w:bCs/>
                <w:sz w:val="16"/>
                <w:szCs w:val="16"/>
              </w:rPr>
              <w:t>RFU</w:t>
            </w:r>
          </w:p>
        </w:tc>
      </w:tr>
    </w:tbl>
    <w:p w14:paraId="26733976" w14:textId="77777777" w:rsidR="00B97365" w:rsidRDefault="00000000">
      <w:pPr>
        <w:numPr>
          <w:ilvl w:val="0"/>
          <w:numId w:val="14"/>
        </w:numPr>
        <w:tabs>
          <w:tab w:val="left" w:pos="1009"/>
        </w:tabs>
        <w:spacing w:after="200" w:line="276" w:lineRule="auto"/>
        <w:jc w:val="center"/>
        <w:rPr>
          <w:rFonts w:asciiTheme="minorHAnsi" w:eastAsia="PMingLiU" w:hAnsiTheme="minorHAnsi" w:cstheme="minorHAnsi"/>
          <w:b/>
          <w:bCs/>
          <w:lang w:eastAsia="de-DE" w:bidi="ar-SA"/>
        </w:rPr>
      </w:pPr>
      <w:r>
        <w:rPr>
          <w:rFonts w:cs="Arial"/>
          <w:b/>
          <w:lang w:eastAsia="de-DE" w:bidi="ar-SA"/>
        </w:rPr>
        <w:t>:  DELETE Command Reference Control Parameter P2</w:t>
      </w:r>
    </w:p>
    <w:p w14:paraId="2D70207C" w14:textId="77777777" w:rsidR="00B97365" w:rsidRDefault="00000000">
      <w:pPr>
        <w:spacing w:before="0" w:after="200" w:line="276" w:lineRule="auto"/>
        <w:jc w:val="left"/>
        <w:rPr>
          <w:b/>
          <w:i/>
          <w:szCs w:val="22"/>
          <w:lang w:val="en-US" w:eastAsia="en-GB" w:bidi="ar-SA"/>
        </w:rPr>
      </w:pPr>
      <w:bookmarkStart w:id="2337" w:name="_Toc420594467"/>
      <w:r>
        <w:rPr>
          <w:rFonts w:cs="Arial"/>
          <w:b/>
          <w:i/>
          <w:szCs w:val="22"/>
          <w:lang w:val="en-US" w:eastAsia="en-GB" w:bidi="ar-SA"/>
        </w:rPr>
        <w:t>Data Field Sent in the Command Message</w:t>
      </w:r>
      <w:bookmarkEnd w:id="2337"/>
    </w:p>
    <w:p w14:paraId="419B0CD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data field of the DELETE command message SHALL contain the TLV coded name(s) of the object to be deleted.</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1"/>
        <w:gridCol w:w="750"/>
        <w:gridCol w:w="1568"/>
        <w:gridCol w:w="590"/>
      </w:tblGrid>
      <w:tr w:rsidR="00B97365" w14:paraId="73E53676"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74494FA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B80A90F"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51E268B5"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75D7D3C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MOC</w:t>
            </w:r>
          </w:p>
        </w:tc>
      </w:tr>
      <w:tr w:rsidR="00B97365" w14:paraId="0DC7FD33"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3B6748B9" w14:textId="77777777" w:rsidR="00B97365" w:rsidRDefault="00000000">
            <w:pPr>
              <w:tabs>
                <w:tab w:val="left" w:pos="276"/>
              </w:tabs>
              <w:rPr>
                <w:rFonts w:cs="Calibri"/>
                <w:sz w:val="16"/>
                <w:szCs w:val="16"/>
              </w:rPr>
            </w:pPr>
            <w:r>
              <w:rPr>
                <w:rFonts w:cs="Calibri"/>
                <w:sz w:val="16"/>
                <w:szCs w:val="16"/>
              </w:rPr>
              <w:t>'4F'</w:t>
            </w:r>
          </w:p>
        </w:tc>
        <w:tc>
          <w:tcPr>
            <w:tcW w:w="0" w:type="auto"/>
            <w:tcBorders>
              <w:top w:val="single" w:sz="6" w:space="0" w:color="auto"/>
              <w:left w:val="single" w:sz="6" w:space="0" w:color="auto"/>
              <w:bottom w:val="single" w:sz="4" w:space="0" w:color="auto"/>
              <w:right w:val="single" w:sz="6" w:space="0" w:color="auto"/>
            </w:tcBorders>
            <w:hideMark/>
          </w:tcPr>
          <w:p w14:paraId="045DC4CA" w14:textId="77777777" w:rsidR="00B97365" w:rsidRDefault="00000000">
            <w:pPr>
              <w:rPr>
                <w:rFonts w:cs="Calibri"/>
                <w:sz w:val="16"/>
                <w:szCs w:val="16"/>
              </w:rPr>
            </w:pPr>
            <w:r>
              <w:rPr>
                <w:rFonts w:cs="Calibri"/>
                <w:sz w:val="16"/>
                <w:szCs w:val="16"/>
              </w:rPr>
              <w:t>5-16</w:t>
            </w:r>
          </w:p>
        </w:tc>
        <w:tc>
          <w:tcPr>
            <w:tcW w:w="0" w:type="auto"/>
            <w:tcBorders>
              <w:top w:val="single" w:sz="6" w:space="0" w:color="auto"/>
              <w:left w:val="single" w:sz="6" w:space="0" w:color="auto"/>
              <w:bottom w:val="single" w:sz="4" w:space="0" w:color="auto"/>
              <w:right w:val="single" w:sz="6" w:space="0" w:color="auto"/>
            </w:tcBorders>
            <w:hideMark/>
          </w:tcPr>
          <w:p w14:paraId="1C533C39" w14:textId="77777777" w:rsidR="00B97365" w:rsidRDefault="00000000">
            <w:pPr>
              <w:rPr>
                <w:rFonts w:cs="Calibri"/>
                <w:sz w:val="16"/>
                <w:szCs w:val="16"/>
              </w:rPr>
            </w:pPr>
            <w:r>
              <w:rPr>
                <w:rFonts w:cs="Calibri"/>
                <w:sz w:val="16"/>
                <w:szCs w:val="16"/>
              </w:rPr>
              <w:t>ISD-P-AID</w:t>
            </w:r>
          </w:p>
        </w:tc>
        <w:tc>
          <w:tcPr>
            <w:tcW w:w="0" w:type="auto"/>
            <w:tcBorders>
              <w:top w:val="single" w:sz="6" w:space="0" w:color="auto"/>
              <w:left w:val="single" w:sz="6" w:space="0" w:color="auto"/>
              <w:bottom w:val="single" w:sz="4" w:space="0" w:color="auto"/>
              <w:right w:val="single" w:sz="4" w:space="0" w:color="auto"/>
            </w:tcBorders>
            <w:hideMark/>
          </w:tcPr>
          <w:p w14:paraId="403A0B15" w14:textId="77777777" w:rsidR="00B97365" w:rsidRDefault="00000000">
            <w:pPr>
              <w:jc w:val="center"/>
              <w:rPr>
                <w:rFonts w:cs="Calibri"/>
                <w:sz w:val="16"/>
                <w:szCs w:val="16"/>
              </w:rPr>
            </w:pPr>
            <w:r>
              <w:rPr>
                <w:rFonts w:cs="Calibri"/>
                <w:sz w:val="16"/>
                <w:szCs w:val="16"/>
              </w:rPr>
              <w:t>M</w:t>
            </w:r>
          </w:p>
        </w:tc>
      </w:tr>
    </w:tbl>
    <w:p w14:paraId="4C493577"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[card content] Command Data Field</w:t>
      </w:r>
    </w:p>
    <w:p w14:paraId="2F94E8F4" w14:textId="77777777" w:rsidR="00B97365" w:rsidRDefault="00000000">
      <w:pPr>
        <w:spacing w:before="0" w:after="200" w:line="276" w:lineRule="auto"/>
        <w:jc w:val="left"/>
        <w:rPr>
          <w:b/>
          <w:szCs w:val="22"/>
          <w:lang w:val="en-US" w:eastAsia="en-GB" w:bidi="ar-SA"/>
        </w:rPr>
      </w:pPr>
      <w:bookmarkStart w:id="2338" w:name="_Toc420594468"/>
      <w:r>
        <w:rPr>
          <w:rFonts w:cs="Arial"/>
          <w:b/>
          <w:szCs w:val="22"/>
          <w:lang w:val="en-US" w:eastAsia="en-GB" w:bidi="ar-SA"/>
        </w:rPr>
        <w:t>Response Message</w:t>
      </w:r>
      <w:bookmarkEnd w:id="2338"/>
    </w:p>
    <w:p w14:paraId="7EB9A07E" w14:textId="77777777" w:rsidR="00B97365" w:rsidRDefault="00000000">
      <w:pPr>
        <w:spacing w:before="0" w:after="200" w:line="276" w:lineRule="auto"/>
        <w:jc w:val="left"/>
        <w:rPr>
          <w:b/>
          <w:szCs w:val="22"/>
          <w:lang w:val="en-US" w:eastAsia="en-GB" w:bidi="ar-SA"/>
        </w:rPr>
      </w:pPr>
      <w:bookmarkStart w:id="2339" w:name="_Toc420594469"/>
      <w:r>
        <w:rPr>
          <w:rFonts w:cs="Arial"/>
          <w:b/>
          <w:szCs w:val="22"/>
          <w:lang w:val="en-US" w:eastAsia="en-GB" w:bidi="ar-SA"/>
        </w:rPr>
        <w:t>Data Field Returned in the Response Message:</w:t>
      </w:r>
      <w:bookmarkEnd w:id="2339"/>
    </w:p>
    <w:p w14:paraId="324F096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 single byte of '00' SHALL be returned indicating that no additional data is present.</w:t>
      </w:r>
    </w:p>
    <w:p w14:paraId="1D2838D7" w14:textId="77777777" w:rsidR="00B97365" w:rsidRDefault="00000000">
      <w:pPr>
        <w:spacing w:before="0" w:after="200" w:line="276" w:lineRule="auto"/>
        <w:jc w:val="left"/>
        <w:rPr>
          <w:b/>
          <w:szCs w:val="22"/>
          <w:lang w:val="en-US" w:eastAsia="en-GB" w:bidi="ar-SA"/>
        </w:rPr>
      </w:pPr>
      <w:bookmarkStart w:id="2340" w:name="_Toc420594470"/>
      <w:r>
        <w:rPr>
          <w:rFonts w:cs="Arial"/>
          <w:b/>
          <w:szCs w:val="22"/>
          <w:lang w:val="en-US" w:eastAsia="en-GB" w:bidi="ar-SA"/>
        </w:rPr>
        <w:t>Processing State Returned in the Response Message:</w:t>
      </w:r>
      <w:bookmarkEnd w:id="2340"/>
    </w:p>
    <w:p w14:paraId="2B195F15" w14:textId="5945EA1B" w:rsidR="00B97365" w:rsidRDefault="00000000">
      <w:pPr>
        <w:spacing w:before="0" w:after="200" w:line="276" w:lineRule="auto"/>
        <w:jc w:val="left"/>
        <w:rPr>
          <w:szCs w:val="22"/>
          <w:lang w:val="en-US" w:eastAsia="en-GB" w:bidi="ar-SA"/>
        </w:rPr>
      </w:pPr>
      <w:bookmarkStart w:id="2341" w:name="_Toc420594471"/>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11.2.3.2.</w:t>
      </w:r>
      <w:bookmarkEnd w:id="2341"/>
      <w:r>
        <w:rPr>
          <w:szCs w:val="22"/>
          <w:lang w:val="en-US" w:eastAsia="en-GB" w:bidi="ar-SA"/>
        </w:rPr>
        <w:t xml:space="preserve"> </w:t>
      </w:r>
    </w:p>
    <w:p w14:paraId="07616D58" w14:textId="77777777" w:rsidR="00B97365" w:rsidRDefault="00B97365">
      <w:pPr>
        <w:rPr>
          <w:rFonts w:asciiTheme="minorHAnsi" w:eastAsia="PMingLiU" w:hAnsiTheme="minorHAnsi" w:cstheme="minorHAnsi"/>
          <w:bCs/>
        </w:rPr>
      </w:pPr>
    </w:p>
    <w:p w14:paraId="3FAC6BBC" w14:textId="77777777" w:rsidR="00B97365" w:rsidRDefault="00000000">
      <w:pPr>
        <w:spacing w:before="0" w:after="200" w:line="276" w:lineRule="auto"/>
        <w:jc w:val="left"/>
        <w:rPr>
          <w:b/>
          <w:szCs w:val="22"/>
          <w:lang w:val="en-US" w:eastAsia="en-GB" w:bidi="ar-SA"/>
        </w:rPr>
      </w:pPr>
      <w:bookmarkStart w:id="2342" w:name="_Toc420594472"/>
      <w:r>
        <w:rPr>
          <w:rFonts w:cs="Arial"/>
          <w:b/>
          <w:szCs w:val="22"/>
          <w:lang w:val="en-US" w:eastAsia="en-GB" w:bidi="ar-SA"/>
        </w:rPr>
        <w:t>Specific Processing State returned in response Message:</w:t>
      </w:r>
      <w:bookmarkEnd w:id="2342"/>
      <w:r>
        <w:rPr>
          <w:b/>
          <w:szCs w:val="22"/>
          <w:lang w:val="en-US" w:eastAsia="en-GB" w:bidi="ar-SA"/>
        </w:rPr>
        <w:t xml:space="preserve"> </w:t>
      </w:r>
    </w:p>
    <w:p w14:paraId="54ADEFE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’69 85’: Profile is in Enabled State or Profile has the Fall-Back Attribute or Profile is the Test Profile.</w:t>
      </w:r>
    </w:p>
    <w:p w14:paraId="2FDA2EC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’69 E1’: POL1 of the Profile prevents deletion (including the case where the Profile has been Disabled </w:t>
      </w:r>
      <w:r>
        <w:t xml:space="preserve">by the activation of the Fall-Back Mechanism, </w:t>
      </w:r>
      <w:r>
        <w:rPr>
          <w:rFonts w:cs="Arial"/>
          <w:szCs w:val="22"/>
          <w:lang w:val="en-US" w:eastAsia="en-GB" w:bidi="ar-SA"/>
        </w:rPr>
        <w:t>and its POL1 prevents disabling).</w:t>
      </w:r>
    </w:p>
    <w:p w14:paraId="6040DC9C" w14:textId="77777777" w:rsidR="00B97365" w:rsidRDefault="00000000">
      <w:pPr>
        <w:keepNext/>
        <w:keepLines/>
        <w:numPr>
          <w:ilvl w:val="3"/>
          <w:numId w:val="1"/>
        </w:numPr>
        <w:spacing w:before="240" w:after="60" w:line="276" w:lineRule="auto"/>
        <w:jc w:val="left"/>
        <w:outlineLvl w:val="3"/>
        <w:rPr>
          <w:rFonts w:ascii="Arial Bold" w:eastAsia="Calibri" w:hAnsi="Arial Bold" w:cs="Arial"/>
          <w:b/>
          <w:iCs/>
          <w:szCs w:val="28"/>
          <w:lang w:eastAsia="en-US"/>
        </w:rPr>
      </w:pPr>
      <w:bookmarkStart w:id="2343" w:name="_Toc368932231"/>
      <w:bookmarkStart w:id="2344" w:name="_Ref367973247"/>
      <w:bookmarkStart w:id="2345" w:name="_Ref367972708"/>
      <w:bookmarkStart w:id="2346" w:name="_Toc1977310"/>
      <w:bookmarkStart w:id="2347" w:name="_Toc37062469"/>
      <w:r>
        <w:rPr>
          <w:rFonts w:ascii="Arial Bold" w:eastAsia="Calibri" w:hAnsi="Arial Bold" w:cs="Arial"/>
          <w:szCs w:val="28"/>
          <w:lang w:eastAsia="en-US"/>
        </w:rPr>
        <w:t>eUICC Capability Audit</w:t>
      </w:r>
      <w:bookmarkEnd w:id="2343"/>
      <w:bookmarkEnd w:id="2344"/>
      <w:bookmarkEnd w:id="2345"/>
      <w:bookmarkEnd w:id="2346"/>
      <w:bookmarkEnd w:id="2347"/>
    </w:p>
    <w:p w14:paraId="335C2A7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eUICCCapabilityAudit</w:t>
      </w:r>
    </w:p>
    <w:p w14:paraId="71D69A6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w:t>
      </w:r>
    </w:p>
    <w:p w14:paraId="50EE6CEF" w14:textId="77777777" w:rsidR="00B97365" w:rsidRDefault="00000000">
      <w:pPr>
        <w:spacing w:before="0" w:after="200" w:line="276" w:lineRule="auto"/>
        <w:ind w:left="1560" w:hanging="1276"/>
        <w:jc w:val="left"/>
        <w:rPr>
          <w:rFonts w:cs="Arial"/>
          <w:b/>
          <w:szCs w:val="22"/>
          <w:lang w:val="en-US" w:eastAsia="en-GB" w:bidi="ar-SA"/>
        </w:rPr>
      </w:pPr>
      <w:r>
        <w:rPr>
          <w:rFonts w:cs="Arial"/>
          <w:szCs w:val="22"/>
          <w:lang w:val="en-US" w:eastAsia="en-GB" w:bidi="ar-SA"/>
        </w:rPr>
        <w:t xml:space="preserve">NOTE: </w:t>
      </w:r>
      <w:r>
        <w:rPr>
          <w:rFonts w:cs="Arial"/>
          <w:szCs w:val="22"/>
          <w:lang w:val="en-US" w:eastAsia="en-GB" w:bidi="ar-SA"/>
        </w:rPr>
        <w:tab/>
        <w:t>This function is not present in any procedure, however, it MAY be used and requested at any point of time by the Profile owner or SM-SR.</w:t>
      </w:r>
      <w:bookmarkStart w:id="2348" w:name="_Toc420594473"/>
    </w:p>
    <w:p w14:paraId="65D5EF0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Platform Management</w:t>
      </w:r>
      <w:bookmarkEnd w:id="2348"/>
    </w:p>
    <w:p w14:paraId="5B40CAF2" w14:textId="77777777" w:rsidR="00B97365" w:rsidRDefault="00000000">
      <w:pPr>
        <w:spacing w:before="0" w:after="200" w:line="276" w:lineRule="auto"/>
        <w:jc w:val="left"/>
        <w:rPr>
          <w:szCs w:val="22"/>
          <w:lang w:val="en-US" w:eastAsia="en-GB" w:bidi="ar-SA"/>
        </w:rPr>
      </w:pPr>
      <w:bookmarkStart w:id="2349" w:name="_Toc420594474"/>
      <w:r>
        <w:rPr>
          <w:rFonts w:cs="Arial"/>
          <w:b/>
          <w:szCs w:val="22"/>
          <w:lang w:val="en-US" w:eastAsia="en-GB" w:bidi="ar-SA"/>
        </w:rPr>
        <w:t>Function Provider entity:</w:t>
      </w:r>
      <w:r>
        <w:rPr>
          <w:szCs w:val="22"/>
          <w:lang w:val="en-US" w:eastAsia="en-GB" w:bidi="ar-SA"/>
        </w:rPr>
        <w:t xml:space="preserve"> ISD-R</w:t>
      </w:r>
      <w:bookmarkEnd w:id="2349"/>
    </w:p>
    <w:p w14:paraId="5FB67E1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is used to query the status of the eUICC.</w:t>
      </w:r>
    </w:p>
    <w:p w14:paraId="7710A3A1" w14:textId="77777777" w:rsidR="00B97365" w:rsidRDefault="00000000">
      <w:pPr>
        <w:spacing w:before="0" w:after="200" w:line="276" w:lineRule="auto"/>
        <w:jc w:val="left"/>
        <w:rPr>
          <w:b/>
          <w:szCs w:val="22"/>
          <w:u w:val="single"/>
          <w:lang w:val="en-US" w:eastAsia="en-GB" w:bidi="ar-SA"/>
        </w:rPr>
      </w:pPr>
      <w:bookmarkStart w:id="2350" w:name="_Toc420594475"/>
      <w:r>
        <w:rPr>
          <w:rFonts w:cs="Arial"/>
          <w:b/>
          <w:szCs w:val="22"/>
          <w:u w:val="single"/>
          <w:lang w:val="en-US" w:eastAsia="en-GB" w:bidi="ar-SA"/>
        </w:rPr>
        <w:t>Parameters:</w:t>
      </w:r>
      <w:bookmarkEnd w:id="2350"/>
    </w:p>
    <w:p w14:paraId="54623ED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It may be used to ensure the data within the SM-SR’s EIS database is up to date. This function uses two commands which SHALL be implemented as an extension of the GlobalPlatform functions GET DATA and GET STATUS.</w:t>
      </w:r>
    </w:p>
    <w:p w14:paraId="58109DFC" w14:textId="77777777" w:rsidR="00B97365" w:rsidRDefault="00000000">
      <w:pPr>
        <w:spacing w:before="0" w:after="200" w:line="276" w:lineRule="auto"/>
        <w:jc w:val="left"/>
        <w:rPr>
          <w:rFonts w:cs="Arial"/>
          <w:b/>
          <w:i/>
          <w:szCs w:val="22"/>
          <w:lang w:val="en-US" w:eastAsia="en-GB" w:bidi="ar-SA"/>
        </w:rPr>
      </w:pPr>
      <w:bookmarkStart w:id="2351" w:name="_Toc420594476"/>
      <w:r>
        <w:rPr>
          <w:rFonts w:cs="Arial"/>
          <w:b/>
          <w:i/>
          <w:szCs w:val="22"/>
          <w:lang w:val="en-US" w:eastAsia="en-GB" w:bidi="ar-SA"/>
        </w:rPr>
        <w:t>GET DATA</w:t>
      </w:r>
      <w:bookmarkEnd w:id="2351"/>
    </w:p>
    <w:p w14:paraId="1089A00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can return:</w:t>
      </w:r>
    </w:p>
    <w:p w14:paraId="0ACCA0A2" w14:textId="77777777" w:rsidR="00B97365" w:rsidRDefault="00000000">
      <w:pPr>
        <w:numPr>
          <w:ilvl w:val="0"/>
          <w:numId w:val="38"/>
        </w:numPr>
        <w:tabs>
          <w:tab w:val="left" w:pos="680"/>
        </w:tabs>
        <w:spacing w:before="0" w:after="200" w:line="276" w:lineRule="auto"/>
        <w:contextualSpacing/>
        <w:jc w:val="left"/>
        <w:rPr>
          <w:rFonts w:cs="Arial"/>
          <w:szCs w:val="22"/>
          <w:lang w:eastAsia="en-GB" w:bidi="ar-SA"/>
        </w:rPr>
      </w:pPr>
      <w:r>
        <w:rPr>
          <w:rFonts w:cs="Arial"/>
          <w:szCs w:val="22"/>
          <w:lang w:eastAsia="en-GB" w:bidi="ar-SA"/>
        </w:rPr>
        <w:t>Number of installed ISD-P and available not allocated memory</w:t>
      </w:r>
    </w:p>
    <w:p w14:paraId="673B1EE5" w14:textId="77777777" w:rsidR="00B97365" w:rsidRDefault="00000000">
      <w:pPr>
        <w:numPr>
          <w:ilvl w:val="0"/>
          <w:numId w:val="38"/>
        </w:numPr>
        <w:tabs>
          <w:tab w:val="left" w:pos="680"/>
        </w:tabs>
        <w:spacing w:before="0" w:after="200" w:line="276" w:lineRule="auto"/>
        <w:contextualSpacing/>
        <w:jc w:val="left"/>
        <w:rPr>
          <w:rFonts w:cs="Arial"/>
          <w:szCs w:val="22"/>
          <w:lang w:eastAsia="en-GB" w:bidi="ar-SA"/>
        </w:rPr>
      </w:pPr>
      <w:r>
        <w:rPr>
          <w:rFonts w:cs="Arial"/>
          <w:szCs w:val="22"/>
          <w:lang w:eastAsia="en-GB" w:bidi="ar-SA"/>
        </w:rPr>
        <w:t>ECASD Certificate</w:t>
      </w:r>
    </w:p>
    <w:p w14:paraId="621D324C" w14:textId="77777777" w:rsidR="00B97365" w:rsidRDefault="00B97365">
      <w:pPr>
        <w:ind w:left="360"/>
        <w:rPr>
          <w:rFonts w:cs="Arial"/>
        </w:rPr>
      </w:pPr>
    </w:p>
    <w:p w14:paraId="151F7829" w14:textId="77777777" w:rsidR="00B97365" w:rsidRDefault="00000000">
      <w:pPr>
        <w:spacing w:before="0" w:after="200" w:line="276" w:lineRule="auto"/>
        <w:jc w:val="left"/>
        <w:rPr>
          <w:rFonts w:cs="Arial"/>
          <w:b/>
          <w:bCs/>
          <w:i/>
        </w:rPr>
      </w:pPr>
      <w:bookmarkStart w:id="2352" w:name="_Toc420594477"/>
      <w:r>
        <w:rPr>
          <w:rFonts w:cs="Arial"/>
          <w:b/>
          <w:bCs/>
          <w:i/>
        </w:rPr>
        <w:t xml:space="preserve">GET </w:t>
      </w:r>
      <w:r>
        <w:rPr>
          <w:rFonts w:cs="Arial"/>
          <w:b/>
          <w:i/>
          <w:szCs w:val="22"/>
          <w:lang w:val="en-US" w:eastAsia="en-GB" w:bidi="ar-SA"/>
        </w:rPr>
        <w:t>STATUS</w:t>
      </w:r>
      <w:bookmarkEnd w:id="2352"/>
    </w:p>
    <w:p w14:paraId="73517B9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can return:</w:t>
      </w:r>
    </w:p>
    <w:p w14:paraId="17FFEACA" w14:textId="77777777" w:rsidR="00B97365" w:rsidRDefault="00000000">
      <w:pPr>
        <w:numPr>
          <w:ilvl w:val="0"/>
          <w:numId w:val="38"/>
        </w:numPr>
        <w:tabs>
          <w:tab w:val="left" w:pos="680"/>
        </w:tabs>
        <w:spacing w:before="0" w:after="200" w:line="276" w:lineRule="auto"/>
        <w:contextualSpacing/>
        <w:jc w:val="left"/>
        <w:rPr>
          <w:rFonts w:cs="Arial"/>
          <w:szCs w:val="22"/>
          <w:lang w:eastAsia="en-GB" w:bidi="ar-SA"/>
        </w:rPr>
      </w:pPr>
      <w:r>
        <w:rPr>
          <w:rFonts w:cs="Arial"/>
          <w:szCs w:val="22"/>
          <w:lang w:eastAsia="en-GB" w:bidi="ar-SA"/>
        </w:rPr>
        <w:t xml:space="preserve">Each ISD-P-AID </w:t>
      </w:r>
    </w:p>
    <w:p w14:paraId="4FDEF610" w14:textId="77777777" w:rsidR="00B97365" w:rsidRDefault="00000000">
      <w:pPr>
        <w:numPr>
          <w:ilvl w:val="0"/>
          <w:numId w:val="38"/>
        </w:numPr>
        <w:tabs>
          <w:tab w:val="left" w:pos="680"/>
        </w:tabs>
        <w:spacing w:before="0" w:after="200" w:line="276" w:lineRule="auto"/>
        <w:contextualSpacing/>
        <w:jc w:val="left"/>
        <w:rPr>
          <w:rFonts w:cs="Arial"/>
          <w:szCs w:val="22"/>
          <w:lang w:eastAsia="en-GB" w:bidi="ar-SA"/>
        </w:rPr>
      </w:pPr>
      <w:r>
        <w:rPr>
          <w:rFonts w:cs="Arial"/>
          <w:szCs w:val="22"/>
          <w:lang w:eastAsia="en-GB" w:bidi="ar-SA"/>
        </w:rPr>
        <w:t>State of the ISD-Ps / Profiles</w:t>
      </w:r>
    </w:p>
    <w:p w14:paraId="3792A3DF" w14:textId="77777777" w:rsidR="00B97365" w:rsidRDefault="00B97365">
      <w:pPr>
        <w:rPr>
          <w:rFonts w:cs="Arial"/>
        </w:rPr>
      </w:pPr>
    </w:p>
    <w:p w14:paraId="0FA5769C" w14:textId="77777777" w:rsidR="00B97365" w:rsidRDefault="00000000">
      <w:pPr>
        <w:spacing w:before="0" w:after="200" w:line="276" w:lineRule="auto"/>
        <w:jc w:val="left"/>
        <w:rPr>
          <w:rFonts w:cs="Arial"/>
          <w:b/>
          <w:szCs w:val="22"/>
          <w:u w:val="single"/>
          <w:lang w:val="en-US" w:eastAsia="en-GB" w:bidi="ar-SA"/>
        </w:rPr>
      </w:pPr>
      <w:bookmarkStart w:id="2353" w:name="_Toc420594478"/>
      <w:r>
        <w:rPr>
          <w:rFonts w:cs="Arial"/>
          <w:b/>
          <w:szCs w:val="22"/>
          <w:u w:val="single"/>
          <w:lang w:val="en-US" w:eastAsia="en-GB" w:bidi="ar-SA"/>
        </w:rPr>
        <w:t>Prerequisites:</w:t>
      </w:r>
      <w:bookmarkEnd w:id="2353"/>
    </w:p>
    <w:p w14:paraId="59C3F4EB" w14:textId="77777777" w:rsidR="00B97365" w:rsidRDefault="00000000">
      <w:pPr>
        <w:numPr>
          <w:ilvl w:val="0"/>
          <w:numId w:val="38"/>
        </w:numPr>
        <w:tabs>
          <w:tab w:val="left" w:pos="680"/>
        </w:tabs>
        <w:spacing w:before="0" w:after="200" w:line="276" w:lineRule="auto"/>
        <w:contextualSpacing/>
        <w:jc w:val="left"/>
        <w:rPr>
          <w:rFonts w:cs="Arial"/>
          <w:szCs w:val="22"/>
          <w:lang w:eastAsia="en-GB" w:bidi="ar-SA"/>
        </w:rPr>
      </w:pPr>
      <w:r>
        <w:rPr>
          <w:rFonts w:cs="Arial"/>
          <w:szCs w:val="22"/>
          <w:lang w:eastAsia="en-GB" w:bidi="ar-SA"/>
        </w:rPr>
        <w:t>None</w:t>
      </w:r>
    </w:p>
    <w:p w14:paraId="4D97C8B1" w14:textId="77777777" w:rsidR="00B97365" w:rsidRDefault="00B97365">
      <w:pPr>
        <w:rPr>
          <w:rFonts w:cs="Arial"/>
        </w:rPr>
      </w:pPr>
    </w:p>
    <w:p w14:paraId="52FB08AA" w14:textId="77777777" w:rsidR="00B97365" w:rsidRDefault="00000000">
      <w:pPr>
        <w:spacing w:before="0" w:after="200" w:line="276" w:lineRule="auto"/>
        <w:jc w:val="left"/>
        <w:rPr>
          <w:rFonts w:cs="Arial"/>
          <w:b/>
          <w:szCs w:val="22"/>
          <w:u w:val="single"/>
          <w:lang w:val="en-US" w:eastAsia="en-GB" w:bidi="ar-SA"/>
        </w:rPr>
      </w:pPr>
      <w:bookmarkStart w:id="2354" w:name="_Toc420594479"/>
      <w:r>
        <w:rPr>
          <w:rFonts w:cs="Arial"/>
          <w:b/>
          <w:szCs w:val="22"/>
          <w:u w:val="single"/>
          <w:lang w:val="en-US" w:eastAsia="en-GB" w:bidi="ar-SA"/>
        </w:rPr>
        <w:t>Commands Description:</w:t>
      </w:r>
      <w:bookmarkEnd w:id="2354"/>
    </w:p>
    <w:p w14:paraId="03883DD9" w14:textId="77777777" w:rsidR="00B97365" w:rsidRDefault="00000000">
      <w:pPr>
        <w:spacing w:before="0" w:after="200" w:line="276" w:lineRule="auto"/>
        <w:jc w:val="left"/>
        <w:rPr>
          <w:rFonts w:cs="Arial"/>
          <w:b/>
          <w:i/>
          <w:szCs w:val="22"/>
          <w:lang w:val="en-US" w:eastAsia="en-GB" w:bidi="ar-SA"/>
        </w:rPr>
      </w:pPr>
      <w:bookmarkStart w:id="2355" w:name="_Toc420594480"/>
      <w:r>
        <w:rPr>
          <w:rFonts w:cs="Arial"/>
          <w:b/>
          <w:i/>
          <w:szCs w:val="22"/>
          <w:lang w:val="en-US" w:eastAsia="en-GB" w:bidi="ar-SA"/>
        </w:rPr>
        <w:t>GET DATA</w:t>
      </w:r>
      <w:bookmarkEnd w:id="2355"/>
    </w:p>
    <w:p w14:paraId="1CB96A6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GET DATA command is coded according to the following table:</w:t>
      </w:r>
    </w:p>
    <w:p w14:paraId="1032B5BA" w14:textId="77777777" w:rsidR="00B97365" w:rsidRDefault="00B97365">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542"/>
        <w:gridCol w:w="610"/>
        <w:gridCol w:w="4545"/>
      </w:tblGrid>
      <w:tr w:rsidR="00B97365" w14:paraId="0378AED3"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47253A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100C2AE"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53954D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Meaning</w:t>
            </w:r>
          </w:p>
        </w:tc>
      </w:tr>
      <w:tr w:rsidR="00B97365" w14:paraId="79F265C5"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7D78BA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CLA</w:t>
            </w:r>
          </w:p>
        </w:tc>
        <w:tc>
          <w:tcPr>
            <w:tcW w:w="0" w:type="auto"/>
            <w:tcBorders>
              <w:top w:val="single" w:sz="6" w:space="0" w:color="auto"/>
              <w:left w:val="single" w:sz="6" w:space="0" w:color="auto"/>
              <w:bottom w:val="single" w:sz="6" w:space="0" w:color="auto"/>
              <w:right w:val="single" w:sz="6" w:space="0" w:color="auto"/>
            </w:tcBorders>
            <w:vAlign w:val="center"/>
            <w:hideMark/>
          </w:tcPr>
          <w:p w14:paraId="33154595" w14:textId="77777777" w:rsidR="00B97365" w:rsidRDefault="00000000">
            <w:pPr>
              <w:spacing w:before="0" w:after="200" w:line="276" w:lineRule="auto"/>
              <w:jc w:val="left"/>
              <w:rPr>
                <w:rFonts w:ascii="Calibri" w:hAnsi="Calibri" w:cs="Calibri"/>
                <w:sz w:val="16"/>
                <w:szCs w:val="16"/>
                <w:lang w:eastAsia="en-GB" w:bidi="ar-SA"/>
              </w:rPr>
            </w:pPr>
            <w:r>
              <w:rPr>
                <w:rFonts w:ascii="Calibri" w:hAnsi="Calibri" w:cs="Calibri"/>
                <w:sz w:val="16"/>
                <w:szCs w:val="16"/>
                <w:lang w:eastAsia="en-GB" w:bidi="ar-SA"/>
              </w:rPr>
              <w:t>‘80’</w:t>
            </w:r>
          </w:p>
        </w:tc>
        <w:tc>
          <w:tcPr>
            <w:tcW w:w="0" w:type="auto"/>
            <w:tcBorders>
              <w:top w:val="single" w:sz="6" w:space="0" w:color="auto"/>
              <w:left w:val="single" w:sz="6" w:space="0" w:color="auto"/>
              <w:bottom w:val="single" w:sz="6" w:space="0" w:color="auto"/>
              <w:right w:val="single" w:sz="4" w:space="0" w:color="auto"/>
            </w:tcBorders>
            <w:vAlign w:val="center"/>
            <w:hideMark/>
          </w:tcPr>
          <w:p w14:paraId="521B3CA5" w14:textId="77777777" w:rsidR="00B97365" w:rsidRDefault="00000000">
            <w:pPr>
              <w:spacing w:before="0" w:after="200" w:line="276" w:lineRule="auto"/>
              <w:jc w:val="left"/>
              <w:rPr>
                <w:rFonts w:cs="Calibri"/>
                <w:sz w:val="16"/>
                <w:szCs w:val="16"/>
                <w:highlight w:val="yellow"/>
                <w:lang w:eastAsia="en-GB" w:bidi="ar-SA"/>
              </w:rPr>
            </w:pPr>
            <w:r>
              <w:rPr>
                <w:rFonts w:cs="Calibri"/>
                <w:sz w:val="16"/>
                <w:szCs w:val="16"/>
                <w:lang w:eastAsia="en-GB" w:bidi="ar-SA"/>
              </w:rPr>
              <w:t xml:space="preserve">See GlobalPlatform </w:t>
            </w:r>
            <w:r>
              <w:rPr>
                <w:rFonts w:cs="Calibri"/>
                <w:color w:val="000000"/>
                <w:sz w:val="16"/>
                <w:szCs w:val="16"/>
                <w:lang w:eastAsia="en-GB" w:bidi="ar-SA"/>
              </w:rPr>
              <w:t xml:space="preserve">Card Specification </w:t>
            </w:r>
            <w:r>
              <w:rPr>
                <w:rFonts w:cs="Calibri"/>
                <w:sz w:val="16"/>
                <w:szCs w:val="16"/>
                <w:lang w:eastAsia="en-GB" w:bidi="ar-SA"/>
              </w:rPr>
              <w:t xml:space="preserve"> section 11.1.4.1</w:t>
            </w:r>
          </w:p>
        </w:tc>
      </w:tr>
      <w:tr w:rsidR="00B97365" w14:paraId="3F8E1A48"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33742F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5A11804F" w14:textId="77777777" w:rsidR="00B97365" w:rsidRDefault="00000000">
            <w:pPr>
              <w:spacing w:before="0" w:after="200" w:line="276" w:lineRule="auto"/>
              <w:jc w:val="left"/>
              <w:rPr>
                <w:rFonts w:ascii="Calibri" w:hAnsi="Calibri" w:cs="Calibri"/>
                <w:sz w:val="16"/>
                <w:szCs w:val="16"/>
                <w:lang w:eastAsia="en-GB" w:bidi="ar-SA"/>
              </w:rPr>
            </w:pPr>
            <w:r>
              <w:rPr>
                <w:rFonts w:ascii="Calibri" w:hAnsi="Calibri" w:cs="Calibri"/>
                <w:sz w:val="16"/>
                <w:szCs w:val="16"/>
                <w:lang w:eastAsia="en-GB" w:bidi="ar-SA"/>
              </w:rPr>
              <w:t>‘CA’</w:t>
            </w:r>
          </w:p>
        </w:tc>
        <w:tc>
          <w:tcPr>
            <w:tcW w:w="0" w:type="auto"/>
            <w:tcBorders>
              <w:top w:val="single" w:sz="6" w:space="0" w:color="auto"/>
              <w:left w:val="single" w:sz="6" w:space="0" w:color="auto"/>
              <w:bottom w:val="single" w:sz="6" w:space="0" w:color="auto"/>
              <w:right w:val="single" w:sz="4" w:space="0" w:color="auto"/>
            </w:tcBorders>
            <w:vAlign w:val="center"/>
            <w:hideMark/>
          </w:tcPr>
          <w:p w14:paraId="6C742A7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GET DATA</w:t>
            </w:r>
          </w:p>
        </w:tc>
      </w:tr>
      <w:tr w:rsidR="00B97365" w14:paraId="3B4F618B"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9930A2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P1</w:t>
            </w:r>
          </w:p>
        </w:tc>
        <w:tc>
          <w:tcPr>
            <w:tcW w:w="0" w:type="auto"/>
            <w:tcBorders>
              <w:top w:val="single" w:sz="6" w:space="0" w:color="auto"/>
              <w:left w:val="single" w:sz="6" w:space="0" w:color="auto"/>
              <w:bottom w:val="single" w:sz="6" w:space="0" w:color="auto"/>
              <w:right w:val="single" w:sz="6" w:space="0" w:color="auto"/>
            </w:tcBorders>
            <w:vAlign w:val="center"/>
            <w:hideMark/>
          </w:tcPr>
          <w:p w14:paraId="28F97DB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‘xx’</w:t>
            </w:r>
          </w:p>
        </w:tc>
        <w:tc>
          <w:tcPr>
            <w:tcW w:w="0" w:type="auto"/>
            <w:tcBorders>
              <w:top w:val="single" w:sz="6" w:space="0" w:color="auto"/>
              <w:left w:val="single" w:sz="6" w:space="0" w:color="auto"/>
              <w:bottom w:val="single" w:sz="6" w:space="0" w:color="auto"/>
              <w:right w:val="single" w:sz="4" w:space="0" w:color="auto"/>
            </w:tcBorders>
            <w:vAlign w:val="center"/>
            <w:hideMark/>
          </w:tcPr>
          <w:p w14:paraId="0659BA5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See below</w:t>
            </w:r>
          </w:p>
        </w:tc>
      </w:tr>
      <w:tr w:rsidR="00B97365" w14:paraId="499DF27A"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F5DF094"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P2</w:t>
            </w:r>
          </w:p>
        </w:tc>
        <w:tc>
          <w:tcPr>
            <w:tcW w:w="0" w:type="auto"/>
            <w:tcBorders>
              <w:top w:val="single" w:sz="6" w:space="0" w:color="auto"/>
              <w:left w:val="single" w:sz="6" w:space="0" w:color="auto"/>
              <w:bottom w:val="single" w:sz="6" w:space="0" w:color="auto"/>
              <w:right w:val="single" w:sz="6" w:space="0" w:color="auto"/>
            </w:tcBorders>
            <w:vAlign w:val="center"/>
            <w:hideMark/>
          </w:tcPr>
          <w:p w14:paraId="01E34ADE" w14:textId="77777777" w:rsidR="00B97365" w:rsidRDefault="00000000">
            <w:pPr>
              <w:spacing w:before="0" w:after="200" w:line="276" w:lineRule="auto"/>
              <w:jc w:val="left"/>
              <w:rPr>
                <w:rFonts w:ascii="Calibri" w:hAnsi="Calibri" w:cs="Calibri"/>
                <w:sz w:val="16"/>
                <w:szCs w:val="16"/>
                <w:lang w:eastAsia="en-GB" w:bidi="ar-SA"/>
              </w:rPr>
            </w:pPr>
            <w:r>
              <w:rPr>
                <w:rFonts w:ascii="Calibri" w:hAnsi="Calibri" w:cs="Calibri"/>
                <w:sz w:val="16"/>
                <w:szCs w:val="16"/>
                <w:lang w:eastAsia="en-GB" w:bidi="ar-SA"/>
              </w:rPr>
              <w:t>‘xx’</w:t>
            </w:r>
          </w:p>
        </w:tc>
        <w:tc>
          <w:tcPr>
            <w:tcW w:w="0" w:type="auto"/>
            <w:tcBorders>
              <w:top w:val="single" w:sz="6" w:space="0" w:color="auto"/>
              <w:left w:val="single" w:sz="6" w:space="0" w:color="auto"/>
              <w:bottom w:val="single" w:sz="6" w:space="0" w:color="auto"/>
              <w:right w:val="single" w:sz="4" w:space="0" w:color="auto"/>
            </w:tcBorders>
            <w:vAlign w:val="center"/>
            <w:hideMark/>
          </w:tcPr>
          <w:p w14:paraId="07BBC5B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See below</w:t>
            </w:r>
          </w:p>
        </w:tc>
      </w:tr>
      <w:tr w:rsidR="00B97365" w14:paraId="6A4D8A97"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B6C04B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Lc</w:t>
            </w:r>
          </w:p>
        </w:tc>
        <w:tc>
          <w:tcPr>
            <w:tcW w:w="0" w:type="auto"/>
            <w:tcBorders>
              <w:top w:val="single" w:sz="6" w:space="0" w:color="auto"/>
              <w:left w:val="single" w:sz="6" w:space="0" w:color="auto"/>
              <w:bottom w:val="single" w:sz="6" w:space="0" w:color="auto"/>
              <w:right w:val="single" w:sz="6" w:space="0" w:color="auto"/>
            </w:tcBorders>
            <w:vAlign w:val="center"/>
            <w:hideMark/>
          </w:tcPr>
          <w:p w14:paraId="09FE635C" w14:textId="77777777" w:rsidR="00B97365" w:rsidRDefault="00000000">
            <w:pPr>
              <w:spacing w:before="0" w:after="200" w:line="276" w:lineRule="auto"/>
              <w:jc w:val="left"/>
              <w:rPr>
                <w:rFonts w:ascii="Calibri" w:hAnsi="Calibri" w:cs="Calibri"/>
                <w:sz w:val="16"/>
                <w:szCs w:val="16"/>
                <w:lang w:eastAsia="en-GB" w:bidi="ar-SA"/>
              </w:rPr>
            </w:pPr>
            <w:r>
              <w:rPr>
                <w:rFonts w:ascii="Calibri" w:hAnsi="Calibri" w:cs="Calibri"/>
                <w:sz w:val="16"/>
                <w:szCs w:val="16"/>
                <w:lang w:eastAsia="en-GB" w:bidi="ar-SA"/>
              </w:rPr>
              <w:t>‘xx’</w:t>
            </w:r>
          </w:p>
        </w:tc>
        <w:tc>
          <w:tcPr>
            <w:tcW w:w="0" w:type="auto"/>
            <w:tcBorders>
              <w:top w:val="single" w:sz="6" w:space="0" w:color="auto"/>
              <w:left w:val="single" w:sz="6" w:space="0" w:color="auto"/>
              <w:bottom w:val="single" w:sz="6" w:space="0" w:color="auto"/>
              <w:right w:val="single" w:sz="4" w:space="0" w:color="auto"/>
            </w:tcBorders>
            <w:vAlign w:val="center"/>
            <w:hideMark/>
          </w:tcPr>
          <w:p w14:paraId="7F3689B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Not present if no command data, otherwise length of data field</w:t>
            </w:r>
          </w:p>
        </w:tc>
      </w:tr>
      <w:tr w:rsidR="00B97365" w14:paraId="1BC086FD"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BCAB8B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6B1D39F7" w14:textId="77777777" w:rsidR="00B97365" w:rsidRDefault="00000000">
            <w:pPr>
              <w:spacing w:before="0" w:after="200" w:line="276" w:lineRule="auto"/>
              <w:jc w:val="left"/>
              <w:rPr>
                <w:rFonts w:ascii="Calibri" w:hAnsi="Calibri" w:cs="Calibri"/>
                <w:sz w:val="16"/>
                <w:szCs w:val="16"/>
                <w:lang w:eastAsia="en-GB" w:bidi="ar-SA"/>
              </w:rPr>
            </w:pPr>
            <w:r>
              <w:rPr>
                <w:rFonts w:ascii="Calibri" w:hAnsi="Calibri" w:cs="Calibri"/>
                <w:sz w:val="16"/>
                <w:szCs w:val="16"/>
                <w:lang w:eastAsia="en-GB" w:bidi="ar-SA"/>
              </w:rPr>
              <w:t>‘xxxx…’</w:t>
            </w:r>
          </w:p>
        </w:tc>
        <w:tc>
          <w:tcPr>
            <w:tcW w:w="0" w:type="auto"/>
            <w:tcBorders>
              <w:top w:val="single" w:sz="6" w:space="0" w:color="auto"/>
              <w:left w:val="single" w:sz="6" w:space="0" w:color="auto"/>
              <w:bottom w:val="single" w:sz="6" w:space="0" w:color="auto"/>
              <w:right w:val="single" w:sz="4" w:space="0" w:color="auto"/>
            </w:tcBorders>
            <w:vAlign w:val="center"/>
            <w:hideMark/>
          </w:tcPr>
          <w:p w14:paraId="5B45B1B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Not present, or command data</w:t>
            </w:r>
          </w:p>
        </w:tc>
      </w:tr>
      <w:tr w:rsidR="00B97365" w14:paraId="52716E9E" w14:textId="77777777">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4075DE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Le</w:t>
            </w:r>
          </w:p>
        </w:tc>
        <w:tc>
          <w:tcPr>
            <w:tcW w:w="0" w:type="auto"/>
            <w:tcBorders>
              <w:top w:val="single" w:sz="6" w:space="0" w:color="auto"/>
              <w:left w:val="single" w:sz="6" w:space="0" w:color="auto"/>
              <w:bottom w:val="single" w:sz="4" w:space="0" w:color="auto"/>
              <w:right w:val="single" w:sz="6" w:space="0" w:color="auto"/>
            </w:tcBorders>
            <w:vAlign w:val="center"/>
            <w:hideMark/>
          </w:tcPr>
          <w:p w14:paraId="69A9E6B1" w14:textId="77777777" w:rsidR="00B97365" w:rsidRDefault="00000000">
            <w:pPr>
              <w:spacing w:before="0" w:after="200" w:line="276" w:lineRule="auto"/>
              <w:jc w:val="left"/>
              <w:rPr>
                <w:rFonts w:ascii="Calibri" w:hAnsi="Calibri" w:cs="Calibri"/>
                <w:sz w:val="16"/>
                <w:szCs w:val="16"/>
                <w:lang w:eastAsia="en-GB" w:bidi="ar-SA"/>
              </w:rPr>
            </w:pPr>
            <w:r>
              <w:rPr>
                <w:rFonts w:ascii="Calibri" w:hAnsi="Calibri" w:cs="Calibri"/>
                <w:sz w:val="16"/>
                <w:szCs w:val="16"/>
                <w:lang w:eastAsia="en-GB" w:bidi="ar-SA"/>
              </w:rPr>
              <w:t>‘00’</w:t>
            </w:r>
          </w:p>
        </w:tc>
        <w:tc>
          <w:tcPr>
            <w:tcW w:w="0" w:type="auto"/>
            <w:tcBorders>
              <w:top w:val="single" w:sz="6" w:space="0" w:color="auto"/>
              <w:left w:val="single" w:sz="6" w:space="0" w:color="auto"/>
              <w:bottom w:val="single" w:sz="4" w:space="0" w:color="auto"/>
              <w:right w:val="single" w:sz="4" w:space="0" w:color="auto"/>
            </w:tcBorders>
            <w:vAlign w:val="center"/>
          </w:tcPr>
          <w:p w14:paraId="3603FF99" w14:textId="77777777" w:rsidR="00B97365" w:rsidRDefault="00B97365">
            <w:pPr>
              <w:spacing w:before="0" w:after="200" w:line="276" w:lineRule="auto"/>
              <w:jc w:val="left"/>
              <w:rPr>
                <w:rFonts w:cs="Calibri"/>
                <w:sz w:val="16"/>
                <w:szCs w:val="16"/>
                <w:lang w:eastAsia="en-GB" w:bidi="ar-SA"/>
              </w:rPr>
            </w:pPr>
          </w:p>
        </w:tc>
      </w:tr>
    </w:tbl>
    <w:p w14:paraId="64AD7BA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GET DATA Command Message</w:t>
      </w:r>
    </w:p>
    <w:p w14:paraId="6E6E018C" w14:textId="77777777" w:rsidR="00B97365" w:rsidRDefault="00B97365">
      <w:pPr>
        <w:rPr>
          <w:rFonts w:asciiTheme="minorHAnsi" w:hAnsiTheme="minorHAnsi" w:cstheme="minorHAnsi"/>
        </w:rPr>
      </w:pPr>
    </w:p>
    <w:p w14:paraId="0D3E3B11" w14:textId="77777777" w:rsidR="00B97365" w:rsidRDefault="00000000">
      <w:pPr>
        <w:spacing w:before="0" w:after="200" w:line="276" w:lineRule="auto"/>
        <w:jc w:val="left"/>
        <w:rPr>
          <w:b/>
          <w:i/>
          <w:szCs w:val="22"/>
          <w:lang w:val="en-US" w:eastAsia="en-GB" w:bidi="ar-SA"/>
        </w:rPr>
      </w:pPr>
      <w:bookmarkStart w:id="2356" w:name="_Toc420594481"/>
      <w:r>
        <w:rPr>
          <w:rFonts w:cs="Arial"/>
          <w:b/>
          <w:i/>
          <w:szCs w:val="22"/>
          <w:lang w:val="en-US" w:eastAsia="en-GB" w:bidi="ar-SA"/>
        </w:rPr>
        <w:t>Parameter</w:t>
      </w:r>
      <w:r>
        <w:rPr>
          <w:b/>
          <w:i/>
          <w:szCs w:val="22"/>
          <w:lang w:val="en-US" w:eastAsia="en-GB" w:bidi="ar-SA"/>
        </w:rPr>
        <w:t xml:space="preserve"> P1 and P2</w:t>
      </w:r>
      <w:bookmarkEnd w:id="2356"/>
    </w:p>
    <w:p w14:paraId="276CC18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P1 and P2 parameters define the tag of the data object to be read.</w:t>
      </w:r>
    </w:p>
    <w:p w14:paraId="12496DC1" w14:textId="406320A8" w:rsidR="00B97365" w:rsidRDefault="00000000">
      <w:pPr>
        <w:spacing w:before="0" w:after="200" w:line="276" w:lineRule="auto"/>
        <w:jc w:val="left"/>
        <w:rPr>
          <w:szCs w:val="22"/>
          <w:lang w:val="en-US" w:eastAsia="en-GB" w:bidi="ar-SA"/>
        </w:rPr>
      </w:pPr>
      <w:r>
        <w:rPr>
          <w:rFonts w:cs="Arial"/>
          <w:szCs w:val="22"/>
          <w:lang w:val="en-US" w:eastAsia="en-GB" w:bidi="ar-SA"/>
        </w:rPr>
        <w:t xml:space="preserve">Tag ‘FF 21’: Extended Card Resources Information available for Card Content Management, as defined in ETSI TS 102 226 </w:t>
      </w:r>
      <w:r>
        <w:fldChar w:fldCharType="begin"/>
      </w:r>
      <w:r>
        <w:rPr>
          <w:szCs w:val="22"/>
          <w:lang w:val="en-US" w:eastAsia="en-GB" w:bidi="ar-SA"/>
        </w:rPr>
        <w:instrText xml:space="preserve"> REF _Ref421631444 \r \h </w:instrText>
      </w:r>
      <w:r>
        <w:fldChar w:fldCharType="separate"/>
      </w:r>
      <w:r w:rsidR="001D5AD9">
        <w:rPr>
          <w:szCs w:val="22"/>
          <w:lang w:val="en-US" w:eastAsia="en-GB" w:bidi="ar-SA"/>
        </w:rPr>
        <w:t>[5]</w:t>
      </w:r>
      <w:r>
        <w:fldChar w:fldCharType="end"/>
      </w:r>
      <w:r>
        <w:rPr>
          <w:szCs w:val="22"/>
          <w:lang w:val="en-US" w:eastAsia="en-GB" w:bidi="ar-SA"/>
        </w:rPr>
        <w:t xml:space="preserve">. </w:t>
      </w:r>
    </w:p>
    <w:p w14:paraId="26043572" w14:textId="36400E40"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 xml:space="preserve">Tag ‘BF 30’: Forwarded CASD Data mechanism as defined in GlobalPlatform Card Specification Amendment C </w:t>
      </w:r>
      <w:r>
        <w:fldChar w:fldCharType="begin"/>
      </w:r>
      <w:r>
        <w:rPr>
          <w:rFonts w:cs="Arial"/>
          <w:szCs w:val="22"/>
          <w:lang w:val="en-US" w:eastAsia="en-GB" w:bidi="ar-SA"/>
        </w:rPr>
        <w:instrText xml:space="preserve"> REF _Ref421633218 \r \h </w:instrText>
      </w:r>
      <w:r>
        <w:fldChar w:fldCharType="separate"/>
      </w:r>
      <w:r w:rsidR="001D5AD9">
        <w:rPr>
          <w:rFonts w:cs="Arial"/>
          <w:szCs w:val="22"/>
          <w:lang w:val="en-US" w:eastAsia="en-GB" w:bidi="ar-SA"/>
        </w:rPr>
        <w:t>[9]</w:t>
      </w:r>
      <w:r>
        <w:fldChar w:fldCharType="end"/>
      </w:r>
      <w:r>
        <w:rPr>
          <w:rFonts w:cs="Arial"/>
          <w:szCs w:val="22"/>
          <w:lang w:val="en-US" w:eastAsia="en-GB" w:bidi="ar-SA"/>
        </w:rPr>
        <w:t>.</w:t>
      </w:r>
    </w:p>
    <w:p w14:paraId="0A830FF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mechanism allows to retrieves ECASD data through the ISD-R.</w:t>
      </w:r>
    </w:p>
    <w:p w14:paraId="61081706" w14:textId="77777777" w:rsidR="00B97365" w:rsidRDefault="00000000">
      <w:pPr>
        <w:spacing w:before="0" w:after="200" w:line="276" w:lineRule="auto"/>
        <w:jc w:val="left"/>
        <w:rPr>
          <w:rFonts w:cs="Arial"/>
          <w:b/>
          <w:i/>
          <w:szCs w:val="22"/>
          <w:lang w:val="en-US" w:eastAsia="en-GB" w:bidi="ar-SA"/>
        </w:rPr>
      </w:pPr>
      <w:bookmarkStart w:id="2357" w:name="_Toc420594482"/>
      <w:r>
        <w:rPr>
          <w:rFonts w:cs="Arial"/>
          <w:b/>
          <w:i/>
          <w:szCs w:val="22"/>
          <w:lang w:val="en-US" w:eastAsia="en-GB" w:bidi="ar-SA"/>
        </w:rPr>
        <w:t>Data field</w:t>
      </w:r>
      <w:bookmarkEnd w:id="2357"/>
    </w:p>
    <w:p w14:paraId="0E68260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the P1 and P2 parameters are set to ‘BF 30’, the data field SHALL include one (and only one) of the following requests:</w:t>
      </w:r>
    </w:p>
    <w:p w14:paraId="4C87ED7A" w14:textId="77777777" w:rsidR="00B97365" w:rsidRDefault="00000000">
      <w:pPr>
        <w:numPr>
          <w:ilvl w:val="0"/>
          <w:numId w:val="38"/>
        </w:numPr>
        <w:tabs>
          <w:tab w:val="left" w:pos="680"/>
        </w:tabs>
        <w:spacing w:before="0" w:after="200" w:line="276" w:lineRule="auto"/>
        <w:contextualSpacing/>
        <w:jc w:val="left"/>
        <w:rPr>
          <w:rFonts w:cs="Arial"/>
          <w:szCs w:val="22"/>
          <w:lang w:eastAsia="en-GB" w:bidi="ar-SA"/>
        </w:rPr>
      </w:pPr>
      <w:r>
        <w:rPr>
          <w:rFonts w:cs="Arial"/>
          <w:szCs w:val="22"/>
          <w:lang w:eastAsia="en-GB" w:bidi="ar-SA"/>
        </w:rPr>
        <w:t>ECASD recognition data: ‘5C 01 66’</w:t>
      </w:r>
    </w:p>
    <w:p w14:paraId="15AE42BB" w14:textId="77777777" w:rsidR="00B97365" w:rsidRDefault="00000000">
      <w:pPr>
        <w:numPr>
          <w:ilvl w:val="0"/>
          <w:numId w:val="38"/>
        </w:numPr>
        <w:tabs>
          <w:tab w:val="left" w:pos="680"/>
        </w:tabs>
        <w:spacing w:before="0" w:after="200" w:line="276" w:lineRule="auto"/>
        <w:contextualSpacing/>
        <w:jc w:val="left"/>
        <w:rPr>
          <w:rFonts w:cs="Arial"/>
          <w:szCs w:val="22"/>
          <w:lang w:eastAsia="en-GB" w:bidi="ar-SA"/>
        </w:rPr>
      </w:pPr>
      <w:r>
        <w:rPr>
          <w:rFonts w:cs="Arial"/>
          <w:szCs w:val="22"/>
          <w:lang w:eastAsia="en-GB" w:bidi="ar-SA"/>
        </w:rPr>
        <w:t>ECASD Certificate Store (containing ECASD Public Key Certificates): ‘5C 02 7F 21’</w:t>
      </w:r>
    </w:p>
    <w:p w14:paraId="5942B881" w14:textId="77777777" w:rsidR="00B97365" w:rsidRDefault="00000000">
      <w:pPr>
        <w:spacing w:before="0" w:after="200" w:line="276" w:lineRule="auto"/>
        <w:jc w:val="left"/>
        <w:rPr>
          <w:b/>
          <w:i/>
          <w:szCs w:val="22"/>
          <w:lang w:val="en-US" w:eastAsia="en-GB" w:bidi="ar-SA"/>
        </w:rPr>
      </w:pPr>
      <w:bookmarkStart w:id="2358" w:name="_Toc420594483"/>
      <w:r>
        <w:rPr>
          <w:rFonts w:cs="Arial"/>
          <w:b/>
          <w:i/>
          <w:szCs w:val="22"/>
          <w:lang w:val="en-US" w:eastAsia="en-GB" w:bidi="ar-SA"/>
        </w:rPr>
        <w:t>Response</w:t>
      </w:r>
      <w:r>
        <w:rPr>
          <w:b/>
          <w:i/>
          <w:szCs w:val="22"/>
          <w:lang w:val="en-US" w:eastAsia="en-GB" w:bidi="ar-SA"/>
        </w:rPr>
        <w:t xml:space="preserve"> Message</w:t>
      </w:r>
      <w:bookmarkEnd w:id="2358"/>
    </w:p>
    <w:p w14:paraId="6FAD0C0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certificate data is requested, the certificate SHALL be returned TLV-coded as follows: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2236"/>
        <w:gridCol w:w="730"/>
        <w:gridCol w:w="4266"/>
        <w:gridCol w:w="516"/>
      </w:tblGrid>
      <w:tr w:rsidR="00B97365" w14:paraId="2B783835" w14:textId="77777777">
        <w:trPr>
          <w:trHeight w:val="239"/>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5CB30FE1" w14:textId="77777777" w:rsidR="00B97365" w:rsidRDefault="00000000">
            <w:pPr>
              <w:rPr>
                <w:rFonts w:cs="Calibri"/>
                <w:b/>
                <w:color w:val="FFFFFF"/>
                <w:sz w:val="16"/>
                <w:szCs w:val="16"/>
              </w:rPr>
            </w:pPr>
            <w:r>
              <w:rPr>
                <w:rFonts w:cs="Calibri"/>
                <w:b/>
                <w:color w:val="FFFFFF"/>
                <w:sz w:val="16"/>
                <w:szCs w:val="16"/>
              </w:rPr>
              <w:t>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C751283" w14:textId="77777777" w:rsidR="00B97365" w:rsidRDefault="00000000">
            <w:pPr>
              <w:rPr>
                <w:rFonts w:cs="Calibri"/>
                <w:b/>
                <w:color w:val="FFFFFF"/>
                <w:sz w:val="16"/>
                <w:szCs w:val="16"/>
              </w:rPr>
            </w:pPr>
            <w:r>
              <w:rPr>
                <w:rFonts w:cs="Calibri"/>
                <w:b/>
                <w:color w:val="FFFFFF"/>
                <w:sz w:val="16"/>
                <w:szCs w:val="16"/>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2541B63" w14:textId="77777777" w:rsidR="00B97365" w:rsidRDefault="00000000">
            <w:pPr>
              <w:rPr>
                <w:rFonts w:cs="Calibri"/>
                <w:b/>
                <w:color w:val="FFFFFF"/>
                <w:sz w:val="16"/>
                <w:szCs w:val="16"/>
              </w:rPr>
            </w:pPr>
            <w:r>
              <w:rPr>
                <w:rFonts w:cs="Arial"/>
                <w:b/>
                <w:color w:val="FFFFFF"/>
                <w:sz w:val="16"/>
                <w:szCs w:val="16"/>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FAB58BE" w14:textId="77777777" w:rsidR="00B97365" w:rsidRDefault="00000000">
            <w:pPr>
              <w:tabs>
                <w:tab w:val="right" w:pos="7938"/>
              </w:tabs>
              <w:rPr>
                <w:rFonts w:cs="Calibri"/>
                <w:b/>
                <w:color w:val="FFFFFF"/>
                <w:sz w:val="16"/>
                <w:szCs w:val="16"/>
              </w:rPr>
            </w:pPr>
            <w:r>
              <w:rPr>
                <w:rFonts w:cs="Calibri"/>
                <w:b/>
                <w:color w:val="FFFFFF"/>
                <w:sz w:val="16"/>
                <w:szCs w:val="16"/>
              </w:rPr>
              <w:t>MOC</w:t>
            </w:r>
          </w:p>
        </w:tc>
      </w:tr>
      <w:tr w:rsidR="00B97365" w14:paraId="06727BE7"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hideMark/>
          </w:tcPr>
          <w:p w14:paraId="3E111229" w14:textId="77777777" w:rsidR="00B97365" w:rsidRDefault="00000000">
            <w:pPr>
              <w:tabs>
                <w:tab w:val="left" w:pos="70"/>
              </w:tabs>
              <w:spacing w:after="60"/>
              <w:ind w:firstLine="70"/>
              <w:rPr>
                <w:rFonts w:cs="Calibri"/>
                <w:sz w:val="16"/>
                <w:szCs w:val="16"/>
              </w:rPr>
            </w:pPr>
            <w:r>
              <w:rPr>
                <w:rFonts w:cs="Calibri"/>
                <w:sz w:val="16"/>
                <w:szCs w:val="16"/>
              </w:rPr>
              <w:t>Forwarded CASD Data tag</w:t>
            </w:r>
          </w:p>
        </w:tc>
        <w:tc>
          <w:tcPr>
            <w:tcW w:w="0" w:type="auto"/>
            <w:tcBorders>
              <w:top w:val="single" w:sz="6" w:space="0" w:color="auto"/>
              <w:left w:val="single" w:sz="6" w:space="0" w:color="auto"/>
              <w:bottom w:val="single" w:sz="6" w:space="0" w:color="auto"/>
              <w:right w:val="single" w:sz="6" w:space="0" w:color="auto"/>
            </w:tcBorders>
            <w:vAlign w:val="center"/>
            <w:hideMark/>
          </w:tcPr>
          <w:p w14:paraId="2FF27E9F" w14:textId="77777777" w:rsidR="00B97365" w:rsidRDefault="00000000">
            <w:pPr>
              <w:spacing w:after="60"/>
              <w:rPr>
                <w:rFonts w:cs="Calibri"/>
                <w:sz w:val="16"/>
                <w:szCs w:val="16"/>
              </w:rPr>
            </w:pPr>
            <w:r>
              <w:rPr>
                <w:rFonts w:cs="Calibri"/>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04F0576E" w14:textId="77777777" w:rsidR="00B97365" w:rsidRDefault="00000000">
            <w:pPr>
              <w:spacing w:after="60"/>
              <w:rPr>
                <w:rFonts w:cs="Calibri"/>
                <w:sz w:val="16"/>
                <w:szCs w:val="16"/>
              </w:rPr>
            </w:pPr>
            <w:r>
              <w:rPr>
                <w:rFonts w:cs="Calibri"/>
                <w:sz w:val="16"/>
                <w:szCs w:val="16"/>
              </w:rPr>
              <w:t>‘BF 30’</w:t>
            </w:r>
          </w:p>
        </w:tc>
        <w:tc>
          <w:tcPr>
            <w:tcW w:w="0" w:type="auto"/>
            <w:tcBorders>
              <w:top w:val="single" w:sz="6" w:space="0" w:color="auto"/>
              <w:left w:val="single" w:sz="6" w:space="0" w:color="auto"/>
              <w:bottom w:val="single" w:sz="6" w:space="0" w:color="auto"/>
              <w:right w:val="single" w:sz="4" w:space="0" w:color="auto"/>
            </w:tcBorders>
            <w:vAlign w:val="center"/>
            <w:hideMark/>
          </w:tcPr>
          <w:p w14:paraId="1356DD3F" w14:textId="77777777" w:rsidR="00B97365" w:rsidRDefault="00000000">
            <w:pPr>
              <w:tabs>
                <w:tab w:val="right" w:pos="7938"/>
              </w:tabs>
              <w:spacing w:after="60"/>
              <w:rPr>
                <w:rFonts w:cs="Calibri"/>
                <w:sz w:val="16"/>
                <w:szCs w:val="16"/>
              </w:rPr>
            </w:pPr>
            <w:r>
              <w:rPr>
                <w:rFonts w:cs="Calibri"/>
                <w:sz w:val="16"/>
                <w:szCs w:val="16"/>
              </w:rPr>
              <w:t>C</w:t>
            </w:r>
          </w:p>
        </w:tc>
      </w:tr>
      <w:tr w:rsidR="00B97365" w14:paraId="1B969DD8"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hideMark/>
          </w:tcPr>
          <w:p w14:paraId="7108015D" w14:textId="77777777" w:rsidR="00B97365" w:rsidRDefault="00000000">
            <w:pPr>
              <w:tabs>
                <w:tab w:val="left" w:pos="70"/>
              </w:tabs>
              <w:spacing w:after="60"/>
              <w:ind w:firstLine="70"/>
              <w:rPr>
                <w:rFonts w:cs="Calibri"/>
                <w:sz w:val="16"/>
                <w:szCs w:val="16"/>
              </w:rPr>
            </w:pPr>
            <w:r>
              <w:rPr>
                <w:rFonts w:cs="Calibri"/>
                <w:sz w:val="16"/>
                <w:szCs w:val="16"/>
              </w:rPr>
              <w:t>Length of the response</w:t>
            </w:r>
          </w:p>
        </w:tc>
        <w:tc>
          <w:tcPr>
            <w:tcW w:w="0" w:type="auto"/>
            <w:tcBorders>
              <w:top w:val="single" w:sz="6" w:space="0" w:color="auto"/>
              <w:left w:val="single" w:sz="6" w:space="0" w:color="auto"/>
              <w:bottom w:val="single" w:sz="6" w:space="0" w:color="auto"/>
              <w:right w:val="single" w:sz="6" w:space="0" w:color="auto"/>
            </w:tcBorders>
            <w:vAlign w:val="center"/>
            <w:hideMark/>
          </w:tcPr>
          <w:p w14:paraId="5B2952AE" w14:textId="77777777" w:rsidR="00B97365" w:rsidRDefault="00000000">
            <w:pPr>
              <w:spacing w:after="60"/>
              <w:rPr>
                <w:rFonts w:cs="Calibri"/>
                <w:sz w:val="16"/>
                <w:szCs w:val="16"/>
              </w:rPr>
            </w:pPr>
            <w:r>
              <w:rPr>
                <w:rFonts w:cs="Calibri"/>
                <w:sz w:val="16"/>
                <w:szCs w:val="16"/>
              </w:rPr>
              <w:t>1, 2 or 3</w:t>
            </w:r>
          </w:p>
        </w:tc>
        <w:tc>
          <w:tcPr>
            <w:tcW w:w="0" w:type="auto"/>
            <w:tcBorders>
              <w:top w:val="single" w:sz="6" w:space="0" w:color="auto"/>
              <w:left w:val="single" w:sz="6" w:space="0" w:color="auto"/>
              <w:bottom w:val="single" w:sz="6" w:space="0" w:color="auto"/>
              <w:right w:val="single" w:sz="6" w:space="0" w:color="auto"/>
            </w:tcBorders>
            <w:vAlign w:val="center"/>
            <w:hideMark/>
          </w:tcPr>
          <w:p w14:paraId="5B55CDD4" w14:textId="77777777" w:rsidR="00B97365" w:rsidRDefault="00000000">
            <w:pPr>
              <w:spacing w:after="60"/>
              <w:rPr>
                <w:rFonts w:cs="Calibri"/>
                <w:sz w:val="16"/>
                <w:szCs w:val="16"/>
              </w:rPr>
            </w:pPr>
            <w:r>
              <w:rPr>
                <w:rFonts w:cs="Calibri"/>
                <w:sz w:val="16"/>
                <w:szCs w:val="16"/>
              </w:rPr>
              <w:t>'00' - '7F', or '81 80' - '81 FF' or '82 01 00' - '82 FF FF'</w:t>
            </w:r>
          </w:p>
        </w:tc>
        <w:tc>
          <w:tcPr>
            <w:tcW w:w="0" w:type="auto"/>
            <w:tcBorders>
              <w:top w:val="single" w:sz="6" w:space="0" w:color="auto"/>
              <w:left w:val="single" w:sz="6" w:space="0" w:color="auto"/>
              <w:bottom w:val="single" w:sz="6" w:space="0" w:color="auto"/>
              <w:right w:val="single" w:sz="4" w:space="0" w:color="auto"/>
            </w:tcBorders>
            <w:vAlign w:val="center"/>
            <w:hideMark/>
          </w:tcPr>
          <w:p w14:paraId="05C61815" w14:textId="77777777" w:rsidR="00B97365" w:rsidRDefault="00000000">
            <w:pPr>
              <w:tabs>
                <w:tab w:val="right" w:pos="7938"/>
              </w:tabs>
              <w:spacing w:after="60"/>
              <w:rPr>
                <w:rFonts w:cs="Calibri"/>
                <w:sz w:val="16"/>
                <w:szCs w:val="16"/>
              </w:rPr>
            </w:pPr>
            <w:r>
              <w:rPr>
                <w:rFonts w:cs="Calibri"/>
                <w:sz w:val="16"/>
                <w:szCs w:val="16"/>
              </w:rPr>
              <w:t>C</w:t>
            </w:r>
          </w:p>
        </w:tc>
      </w:tr>
      <w:tr w:rsidR="00B97365" w14:paraId="77D8F6FC"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hideMark/>
          </w:tcPr>
          <w:p w14:paraId="7C32347E" w14:textId="77777777" w:rsidR="00B97365" w:rsidRDefault="00000000">
            <w:pPr>
              <w:tabs>
                <w:tab w:val="left" w:pos="70"/>
              </w:tabs>
              <w:spacing w:after="60"/>
              <w:ind w:firstLine="70"/>
              <w:rPr>
                <w:rFonts w:cs="Calibri"/>
                <w:sz w:val="16"/>
                <w:szCs w:val="16"/>
              </w:rPr>
            </w:pPr>
            <w:r>
              <w:rPr>
                <w:rFonts w:cs="Calibri"/>
                <w:sz w:val="16"/>
                <w:szCs w:val="16"/>
              </w:rPr>
              <w:t>Certificate store tag</w:t>
            </w:r>
          </w:p>
        </w:tc>
        <w:tc>
          <w:tcPr>
            <w:tcW w:w="0" w:type="auto"/>
            <w:tcBorders>
              <w:top w:val="single" w:sz="6" w:space="0" w:color="auto"/>
              <w:left w:val="single" w:sz="6" w:space="0" w:color="auto"/>
              <w:bottom w:val="single" w:sz="6" w:space="0" w:color="auto"/>
              <w:right w:val="single" w:sz="6" w:space="0" w:color="auto"/>
            </w:tcBorders>
            <w:vAlign w:val="center"/>
            <w:hideMark/>
          </w:tcPr>
          <w:p w14:paraId="2D14BB7D" w14:textId="77777777" w:rsidR="00B97365" w:rsidRDefault="00000000">
            <w:pPr>
              <w:spacing w:after="60"/>
              <w:rPr>
                <w:rFonts w:cs="Calibri"/>
                <w:sz w:val="16"/>
                <w:szCs w:val="16"/>
              </w:rPr>
            </w:pPr>
            <w:r>
              <w:rPr>
                <w:rFonts w:cs="Calibri"/>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0F696BAD" w14:textId="77777777" w:rsidR="00B97365" w:rsidRDefault="00000000">
            <w:pPr>
              <w:spacing w:after="60"/>
              <w:rPr>
                <w:rFonts w:cs="Calibri"/>
                <w:sz w:val="16"/>
                <w:szCs w:val="16"/>
              </w:rPr>
            </w:pPr>
            <w:r>
              <w:rPr>
                <w:rFonts w:cs="Calibri"/>
                <w:sz w:val="16"/>
                <w:szCs w:val="16"/>
              </w:rPr>
              <w:t>‘7F 21‘</w:t>
            </w:r>
          </w:p>
        </w:tc>
        <w:tc>
          <w:tcPr>
            <w:tcW w:w="0" w:type="auto"/>
            <w:tcBorders>
              <w:top w:val="single" w:sz="6" w:space="0" w:color="auto"/>
              <w:left w:val="single" w:sz="6" w:space="0" w:color="auto"/>
              <w:bottom w:val="single" w:sz="6" w:space="0" w:color="auto"/>
              <w:right w:val="single" w:sz="4" w:space="0" w:color="auto"/>
            </w:tcBorders>
            <w:vAlign w:val="center"/>
            <w:hideMark/>
          </w:tcPr>
          <w:p w14:paraId="5A548757" w14:textId="77777777" w:rsidR="00B97365" w:rsidRDefault="00000000">
            <w:pPr>
              <w:tabs>
                <w:tab w:val="right" w:pos="7938"/>
              </w:tabs>
              <w:spacing w:after="140" w:line="260" w:lineRule="atLeast"/>
              <w:rPr>
                <w:rFonts w:cs="Calibri"/>
                <w:sz w:val="16"/>
                <w:szCs w:val="16"/>
              </w:rPr>
            </w:pPr>
            <w:r>
              <w:rPr>
                <w:rFonts w:cs="Calibri"/>
                <w:sz w:val="16"/>
                <w:szCs w:val="16"/>
              </w:rPr>
              <w:t>M</w:t>
            </w:r>
          </w:p>
        </w:tc>
      </w:tr>
      <w:tr w:rsidR="00B97365" w14:paraId="615237F3"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hideMark/>
          </w:tcPr>
          <w:p w14:paraId="59880E57" w14:textId="77777777" w:rsidR="00B97365" w:rsidRDefault="00000000">
            <w:pPr>
              <w:tabs>
                <w:tab w:val="left" w:pos="70"/>
              </w:tabs>
              <w:spacing w:after="140" w:line="260" w:lineRule="atLeast"/>
              <w:ind w:left="360" w:firstLine="70"/>
              <w:rPr>
                <w:rFonts w:cs="Calibri"/>
                <w:sz w:val="16"/>
                <w:szCs w:val="16"/>
              </w:rPr>
            </w:pPr>
            <w:r>
              <w:rPr>
                <w:rFonts w:cs="Calibri"/>
                <w:sz w:val="16"/>
                <w:szCs w:val="16"/>
              </w:rPr>
              <w:t>Length of the certificate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539B15EB" w14:textId="77777777" w:rsidR="00B97365" w:rsidRDefault="00000000">
            <w:pPr>
              <w:spacing w:after="140" w:line="260" w:lineRule="atLeast"/>
              <w:rPr>
                <w:rFonts w:cs="Calibri"/>
                <w:sz w:val="16"/>
                <w:szCs w:val="16"/>
              </w:rPr>
            </w:pPr>
            <w:r>
              <w:rPr>
                <w:rFonts w:cs="Calibri"/>
                <w:sz w:val="16"/>
                <w:szCs w:val="16"/>
              </w:rPr>
              <w:t>1, 2 or 3</w:t>
            </w:r>
          </w:p>
        </w:tc>
        <w:tc>
          <w:tcPr>
            <w:tcW w:w="0" w:type="auto"/>
            <w:tcBorders>
              <w:top w:val="single" w:sz="6" w:space="0" w:color="auto"/>
              <w:left w:val="single" w:sz="6" w:space="0" w:color="auto"/>
              <w:bottom w:val="single" w:sz="6" w:space="0" w:color="auto"/>
              <w:right w:val="single" w:sz="6" w:space="0" w:color="auto"/>
            </w:tcBorders>
            <w:vAlign w:val="center"/>
            <w:hideMark/>
          </w:tcPr>
          <w:p w14:paraId="7FA4AAF0" w14:textId="77777777" w:rsidR="00B97365" w:rsidRDefault="00000000">
            <w:pPr>
              <w:spacing w:after="140" w:line="260" w:lineRule="atLeast"/>
              <w:ind w:left="360"/>
              <w:rPr>
                <w:rFonts w:cs="Calibri"/>
                <w:sz w:val="16"/>
                <w:szCs w:val="16"/>
              </w:rPr>
            </w:pPr>
            <w:r>
              <w:rPr>
                <w:rFonts w:cs="Calibri"/>
                <w:sz w:val="16"/>
                <w:szCs w:val="16"/>
              </w:rPr>
              <w:t>'00' - '7F', or '81 80' - '81 FF' or '82 01 00' - '82 FF FF'</w:t>
            </w:r>
          </w:p>
        </w:tc>
        <w:tc>
          <w:tcPr>
            <w:tcW w:w="0" w:type="auto"/>
            <w:tcBorders>
              <w:top w:val="single" w:sz="6" w:space="0" w:color="auto"/>
              <w:left w:val="single" w:sz="6" w:space="0" w:color="auto"/>
              <w:bottom w:val="single" w:sz="6" w:space="0" w:color="auto"/>
              <w:right w:val="single" w:sz="4" w:space="0" w:color="auto"/>
            </w:tcBorders>
            <w:vAlign w:val="center"/>
            <w:hideMark/>
          </w:tcPr>
          <w:p w14:paraId="6B3EBFD5" w14:textId="77777777" w:rsidR="00B97365" w:rsidRDefault="00000000">
            <w:pPr>
              <w:tabs>
                <w:tab w:val="left" w:pos="638"/>
                <w:tab w:val="right" w:pos="7938"/>
              </w:tabs>
              <w:rPr>
                <w:rFonts w:cs="Calibri"/>
                <w:sz w:val="16"/>
                <w:szCs w:val="16"/>
              </w:rPr>
            </w:pPr>
            <w:r>
              <w:rPr>
                <w:rFonts w:cs="Calibri"/>
                <w:sz w:val="16"/>
                <w:szCs w:val="16"/>
              </w:rPr>
              <w:t>M</w:t>
            </w:r>
          </w:p>
        </w:tc>
      </w:tr>
      <w:tr w:rsidR="00B97365" w14:paraId="448AEA71" w14:textId="77777777">
        <w:trPr>
          <w:trHeight w:val="239"/>
          <w:jc w:val="center"/>
        </w:trPr>
        <w:tc>
          <w:tcPr>
            <w:tcW w:w="0" w:type="auto"/>
            <w:tcBorders>
              <w:top w:val="single" w:sz="6" w:space="0" w:color="auto"/>
              <w:left w:val="single" w:sz="4" w:space="0" w:color="auto"/>
              <w:bottom w:val="single" w:sz="4" w:space="0" w:color="auto"/>
              <w:right w:val="single" w:sz="6" w:space="0" w:color="auto"/>
            </w:tcBorders>
            <w:hideMark/>
          </w:tcPr>
          <w:p w14:paraId="2A3962EF" w14:textId="77777777" w:rsidR="00B97365" w:rsidRDefault="00000000">
            <w:pPr>
              <w:tabs>
                <w:tab w:val="left" w:pos="70"/>
              </w:tabs>
              <w:spacing w:after="140" w:line="260" w:lineRule="atLeast"/>
              <w:ind w:left="360" w:firstLine="70"/>
              <w:rPr>
                <w:rFonts w:cs="Calibri"/>
                <w:sz w:val="16"/>
                <w:szCs w:val="16"/>
              </w:rPr>
            </w:pPr>
            <w:r>
              <w:rPr>
                <w:rFonts w:cs="Calibri"/>
                <w:sz w:val="16"/>
                <w:szCs w:val="16"/>
              </w:rPr>
              <w:t>Certificate 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769535C0" w14:textId="77777777" w:rsidR="00B97365" w:rsidRDefault="00000000">
            <w:pPr>
              <w:spacing w:after="140" w:line="260" w:lineRule="atLeast"/>
              <w:rPr>
                <w:rFonts w:cs="Calibri"/>
                <w:sz w:val="16"/>
                <w:szCs w:val="16"/>
              </w:rPr>
            </w:pPr>
            <w:r>
              <w:rPr>
                <w:rFonts w:cs="Calibri"/>
                <w:sz w:val="16"/>
                <w:szCs w:val="16"/>
              </w:rPr>
              <w:t>n</w:t>
            </w:r>
          </w:p>
        </w:tc>
        <w:tc>
          <w:tcPr>
            <w:tcW w:w="0" w:type="auto"/>
            <w:tcBorders>
              <w:top w:val="single" w:sz="6" w:space="0" w:color="auto"/>
              <w:left w:val="single" w:sz="6" w:space="0" w:color="auto"/>
              <w:bottom w:val="single" w:sz="4" w:space="0" w:color="auto"/>
              <w:right w:val="single" w:sz="6" w:space="0" w:color="auto"/>
            </w:tcBorders>
            <w:vAlign w:val="center"/>
            <w:hideMark/>
          </w:tcPr>
          <w:p w14:paraId="553BF92A" w14:textId="77777777" w:rsidR="00B97365" w:rsidRDefault="00000000">
            <w:pPr>
              <w:spacing w:after="140" w:line="260" w:lineRule="atLeast"/>
              <w:ind w:left="360"/>
              <w:rPr>
                <w:rFonts w:cs="Calibri"/>
                <w:sz w:val="16"/>
                <w:szCs w:val="16"/>
              </w:rPr>
            </w:pPr>
            <w:r>
              <w:rPr>
                <w:rFonts w:cs="Calibri"/>
                <w:sz w:val="16"/>
                <w:szCs w:val="16"/>
              </w:rPr>
              <w:t>‘xxxx…’</w:t>
            </w:r>
          </w:p>
        </w:tc>
        <w:tc>
          <w:tcPr>
            <w:tcW w:w="0" w:type="auto"/>
            <w:tcBorders>
              <w:top w:val="single" w:sz="6" w:space="0" w:color="auto"/>
              <w:left w:val="single" w:sz="6" w:space="0" w:color="auto"/>
              <w:bottom w:val="single" w:sz="4" w:space="0" w:color="auto"/>
              <w:right w:val="single" w:sz="4" w:space="0" w:color="auto"/>
            </w:tcBorders>
            <w:vAlign w:val="center"/>
            <w:hideMark/>
          </w:tcPr>
          <w:p w14:paraId="78D2A82E" w14:textId="77777777" w:rsidR="00B97365" w:rsidRDefault="00000000">
            <w:pPr>
              <w:tabs>
                <w:tab w:val="left" w:pos="638"/>
                <w:tab w:val="right" w:pos="7938"/>
              </w:tabs>
              <w:rPr>
                <w:rFonts w:cs="Calibri"/>
                <w:sz w:val="16"/>
                <w:szCs w:val="16"/>
              </w:rPr>
            </w:pPr>
            <w:r>
              <w:rPr>
                <w:rFonts w:cs="Calibri"/>
                <w:sz w:val="16"/>
                <w:szCs w:val="16"/>
              </w:rPr>
              <w:t>M</w:t>
            </w:r>
          </w:p>
        </w:tc>
      </w:tr>
    </w:tbl>
    <w:p w14:paraId="2050C319"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GET DATA Command Data Field</w:t>
      </w:r>
    </w:p>
    <w:p w14:paraId="55596BF3" w14:textId="77777777" w:rsidR="00B97365" w:rsidRDefault="00000000">
      <w:pPr>
        <w:spacing w:before="0" w:after="200" w:line="276" w:lineRule="auto"/>
        <w:jc w:val="left"/>
        <w:rPr>
          <w:b/>
          <w:i/>
          <w:szCs w:val="22"/>
          <w:lang w:val="en-US" w:eastAsia="en-GB" w:bidi="ar-SA"/>
        </w:rPr>
      </w:pPr>
      <w:bookmarkStart w:id="2359" w:name="_Toc420594484"/>
      <w:r>
        <w:rPr>
          <w:rFonts w:cs="Arial"/>
          <w:b/>
          <w:i/>
          <w:szCs w:val="22"/>
          <w:lang w:val="en-US" w:eastAsia="en-GB" w:bidi="ar-SA"/>
        </w:rPr>
        <w:t>Certificate</w:t>
      </w:r>
      <w:r>
        <w:rPr>
          <w:b/>
          <w:i/>
          <w:szCs w:val="22"/>
          <w:lang w:val="en-US" w:eastAsia="en-GB" w:bidi="ar-SA"/>
        </w:rPr>
        <w:t xml:space="preserve"> Data</w:t>
      </w:r>
      <w:bookmarkEnd w:id="2359"/>
    </w:p>
    <w:p w14:paraId="628F294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table describes the certificate data which will be returned by the eUICC Capability Audit command.</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30"/>
        <w:gridCol w:w="990"/>
        <w:gridCol w:w="848"/>
        <w:gridCol w:w="1273"/>
        <w:gridCol w:w="3592"/>
        <w:gridCol w:w="1183"/>
      </w:tblGrid>
      <w:tr w:rsidR="00B97365" w14:paraId="66CEF9B8" w14:textId="77777777">
        <w:trPr>
          <w:cantSplit/>
          <w:jc w:val="center"/>
        </w:trPr>
        <w:tc>
          <w:tcPr>
            <w:tcW w:w="627" w:type="pct"/>
            <w:tcBorders>
              <w:top w:val="single" w:sz="4" w:space="0" w:color="auto"/>
              <w:left w:val="single" w:sz="4" w:space="0" w:color="auto"/>
              <w:bottom w:val="single" w:sz="6" w:space="0" w:color="auto"/>
              <w:right w:val="single" w:sz="6" w:space="0" w:color="auto"/>
            </w:tcBorders>
            <w:shd w:val="clear" w:color="auto" w:fill="C00000"/>
            <w:hideMark/>
          </w:tcPr>
          <w:p w14:paraId="292EBCF8" w14:textId="77777777" w:rsidR="00B97365" w:rsidRDefault="00000000">
            <w:pPr>
              <w:rPr>
                <w:rFonts w:cs="Calibri"/>
                <w:b/>
                <w:sz w:val="16"/>
                <w:szCs w:val="16"/>
              </w:rPr>
            </w:pPr>
            <w:r>
              <w:rPr>
                <w:rFonts w:cs="Calibri"/>
                <w:b/>
                <w:sz w:val="16"/>
                <w:szCs w:val="16"/>
              </w:rPr>
              <w:t>Tag</w:t>
            </w:r>
          </w:p>
        </w:tc>
        <w:tc>
          <w:tcPr>
            <w:tcW w:w="549" w:type="pct"/>
            <w:tcBorders>
              <w:top w:val="single" w:sz="4" w:space="0" w:color="auto"/>
              <w:left w:val="single" w:sz="6" w:space="0" w:color="auto"/>
              <w:bottom w:val="single" w:sz="6" w:space="0" w:color="auto"/>
              <w:right w:val="single" w:sz="6" w:space="0" w:color="auto"/>
            </w:tcBorders>
            <w:shd w:val="clear" w:color="auto" w:fill="C00000"/>
            <w:hideMark/>
          </w:tcPr>
          <w:p w14:paraId="01143078" w14:textId="77777777" w:rsidR="00B97365" w:rsidRDefault="00000000">
            <w:pPr>
              <w:rPr>
                <w:rFonts w:cs="Calibri"/>
                <w:b/>
                <w:sz w:val="16"/>
                <w:szCs w:val="16"/>
              </w:rPr>
            </w:pPr>
            <w:r>
              <w:rPr>
                <w:rFonts w:cs="Calibri"/>
                <w:b/>
                <w:sz w:val="16"/>
                <w:szCs w:val="16"/>
              </w:rPr>
              <w:t>Length</w:t>
            </w:r>
          </w:p>
        </w:tc>
        <w:tc>
          <w:tcPr>
            <w:tcW w:w="3168"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7E940BCF" w14:textId="77777777" w:rsidR="00B97365" w:rsidRDefault="00000000">
            <w:pPr>
              <w:rPr>
                <w:rFonts w:cs="Calibri"/>
                <w:b/>
                <w:sz w:val="16"/>
                <w:szCs w:val="16"/>
              </w:rPr>
            </w:pPr>
            <w:r>
              <w:rPr>
                <w:rFonts w:cs="Calibri"/>
                <w:b/>
                <w:sz w:val="16"/>
                <w:szCs w:val="16"/>
              </w:rPr>
              <w:t>Value Description</w:t>
            </w:r>
          </w:p>
        </w:tc>
        <w:tc>
          <w:tcPr>
            <w:tcW w:w="656" w:type="pct"/>
            <w:tcBorders>
              <w:top w:val="single" w:sz="4" w:space="0" w:color="auto"/>
              <w:left w:val="single" w:sz="6" w:space="0" w:color="auto"/>
              <w:bottom w:val="single" w:sz="6" w:space="0" w:color="auto"/>
              <w:right w:val="single" w:sz="4" w:space="0" w:color="auto"/>
            </w:tcBorders>
            <w:shd w:val="clear" w:color="auto" w:fill="C00000"/>
            <w:hideMark/>
          </w:tcPr>
          <w:p w14:paraId="10960874" w14:textId="77777777" w:rsidR="00B97365" w:rsidRDefault="00000000">
            <w:pPr>
              <w:jc w:val="center"/>
              <w:rPr>
                <w:rFonts w:cs="Calibri"/>
                <w:b/>
                <w:sz w:val="16"/>
                <w:szCs w:val="16"/>
              </w:rPr>
            </w:pPr>
            <w:r>
              <w:rPr>
                <w:rFonts w:cs="Calibri"/>
                <w:b/>
                <w:color w:val="FFFFFF"/>
                <w:sz w:val="16"/>
                <w:szCs w:val="16"/>
              </w:rPr>
              <w:t>MOC</w:t>
            </w:r>
          </w:p>
        </w:tc>
      </w:tr>
      <w:tr w:rsidR="00B97365" w14:paraId="57DB3124" w14:textId="77777777">
        <w:trPr>
          <w:cantSplit/>
          <w:jc w:val="center"/>
        </w:trPr>
        <w:tc>
          <w:tcPr>
            <w:tcW w:w="627" w:type="pct"/>
            <w:tcBorders>
              <w:top w:val="single" w:sz="6" w:space="0" w:color="auto"/>
              <w:left w:val="single" w:sz="4" w:space="0" w:color="auto"/>
              <w:bottom w:val="single" w:sz="6" w:space="0" w:color="auto"/>
              <w:right w:val="single" w:sz="6" w:space="0" w:color="auto"/>
            </w:tcBorders>
            <w:hideMark/>
          </w:tcPr>
          <w:p w14:paraId="2D4EEECC" w14:textId="77777777" w:rsidR="00B97365" w:rsidRDefault="00000000">
            <w:pPr>
              <w:rPr>
                <w:rFonts w:cs="Calibri"/>
                <w:sz w:val="16"/>
                <w:szCs w:val="16"/>
              </w:rPr>
            </w:pPr>
            <w:r>
              <w:rPr>
                <w:rFonts w:cs="Calibri"/>
                <w:sz w:val="16"/>
                <w:szCs w:val="16"/>
              </w:rPr>
              <w:t>'7F21'</w:t>
            </w:r>
          </w:p>
        </w:tc>
        <w:tc>
          <w:tcPr>
            <w:tcW w:w="549" w:type="pct"/>
            <w:tcBorders>
              <w:top w:val="single" w:sz="6" w:space="0" w:color="auto"/>
              <w:left w:val="single" w:sz="6" w:space="0" w:color="auto"/>
              <w:bottom w:val="single" w:sz="6" w:space="0" w:color="auto"/>
              <w:right w:val="single" w:sz="6" w:space="0" w:color="auto"/>
            </w:tcBorders>
            <w:hideMark/>
          </w:tcPr>
          <w:p w14:paraId="482BD19D" w14:textId="77777777" w:rsidR="00B97365" w:rsidRDefault="00000000">
            <w:pPr>
              <w:rPr>
                <w:rFonts w:cs="Calibri"/>
                <w:sz w:val="16"/>
                <w:szCs w:val="16"/>
              </w:rPr>
            </w:pPr>
            <w:r>
              <w:rPr>
                <w:rFonts w:cs="Calibri"/>
                <w:sz w:val="16"/>
                <w:szCs w:val="16"/>
              </w:rPr>
              <w:t>Var.</w:t>
            </w:r>
          </w:p>
        </w:tc>
        <w:tc>
          <w:tcPr>
            <w:tcW w:w="3168" w:type="pct"/>
            <w:gridSpan w:val="3"/>
            <w:tcBorders>
              <w:top w:val="single" w:sz="6" w:space="0" w:color="auto"/>
              <w:left w:val="single" w:sz="6" w:space="0" w:color="auto"/>
              <w:bottom w:val="single" w:sz="6" w:space="0" w:color="auto"/>
              <w:right w:val="single" w:sz="6" w:space="0" w:color="auto"/>
            </w:tcBorders>
            <w:hideMark/>
          </w:tcPr>
          <w:p w14:paraId="54155524" w14:textId="77777777" w:rsidR="00B97365" w:rsidRDefault="00000000">
            <w:pPr>
              <w:rPr>
                <w:rFonts w:cs="Calibri"/>
                <w:sz w:val="16"/>
                <w:szCs w:val="16"/>
              </w:rPr>
            </w:pPr>
            <w:r>
              <w:rPr>
                <w:rFonts w:cs="Calibri"/>
                <w:sz w:val="16"/>
                <w:szCs w:val="16"/>
              </w:rPr>
              <w:t>Certificate</w:t>
            </w:r>
          </w:p>
        </w:tc>
        <w:tc>
          <w:tcPr>
            <w:tcW w:w="656" w:type="pct"/>
            <w:tcBorders>
              <w:top w:val="single" w:sz="6" w:space="0" w:color="auto"/>
              <w:left w:val="single" w:sz="6" w:space="0" w:color="auto"/>
              <w:bottom w:val="single" w:sz="6" w:space="0" w:color="auto"/>
              <w:right w:val="single" w:sz="4" w:space="0" w:color="auto"/>
            </w:tcBorders>
            <w:vAlign w:val="center"/>
            <w:hideMark/>
          </w:tcPr>
          <w:p w14:paraId="51702F80" w14:textId="77777777" w:rsidR="00B97365" w:rsidRDefault="00000000">
            <w:pPr>
              <w:jc w:val="center"/>
              <w:rPr>
                <w:rFonts w:cs="Calibri"/>
                <w:sz w:val="16"/>
                <w:szCs w:val="16"/>
              </w:rPr>
            </w:pPr>
            <w:r>
              <w:rPr>
                <w:rFonts w:cs="Calibri"/>
                <w:sz w:val="16"/>
                <w:szCs w:val="16"/>
              </w:rPr>
              <w:t>M</w:t>
            </w:r>
          </w:p>
        </w:tc>
      </w:tr>
      <w:tr w:rsidR="00B97365" w14:paraId="19AAD52B" w14:textId="77777777">
        <w:trPr>
          <w:cantSplit/>
          <w:jc w:val="center"/>
        </w:trPr>
        <w:tc>
          <w:tcPr>
            <w:tcW w:w="627" w:type="pct"/>
            <w:tcBorders>
              <w:top w:val="single" w:sz="6" w:space="0" w:color="auto"/>
              <w:left w:val="single" w:sz="4" w:space="0" w:color="auto"/>
              <w:bottom w:val="single" w:sz="6" w:space="0" w:color="auto"/>
              <w:right w:val="single" w:sz="6" w:space="0" w:color="auto"/>
            </w:tcBorders>
          </w:tcPr>
          <w:p w14:paraId="0EF924A6"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06FF9D5F"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shd w:val="clear" w:color="auto" w:fill="C00000"/>
            <w:hideMark/>
          </w:tcPr>
          <w:p w14:paraId="1744E74F" w14:textId="77777777" w:rsidR="00B97365" w:rsidRDefault="00000000">
            <w:pPr>
              <w:spacing w:after="120" w:line="276" w:lineRule="auto"/>
              <w:rPr>
                <w:rFonts w:cs="Calibri"/>
                <w:b/>
                <w:color w:val="FFFFFF"/>
                <w:sz w:val="16"/>
                <w:szCs w:val="16"/>
              </w:rPr>
            </w:pPr>
            <w:r>
              <w:rPr>
                <w:rFonts w:cs="Calibri"/>
                <w:b/>
                <w:color w:val="FFFFFF"/>
                <w:sz w:val="16"/>
                <w:szCs w:val="16"/>
              </w:rPr>
              <w:t>Tag</w:t>
            </w:r>
          </w:p>
        </w:tc>
        <w:tc>
          <w:tcPr>
            <w:tcW w:w="706" w:type="pct"/>
            <w:tcBorders>
              <w:top w:val="single" w:sz="6" w:space="0" w:color="auto"/>
              <w:left w:val="single" w:sz="6" w:space="0" w:color="auto"/>
              <w:bottom w:val="single" w:sz="6" w:space="0" w:color="auto"/>
              <w:right w:val="single" w:sz="6" w:space="0" w:color="auto"/>
            </w:tcBorders>
            <w:shd w:val="clear" w:color="auto" w:fill="C00000"/>
            <w:hideMark/>
          </w:tcPr>
          <w:p w14:paraId="496A721A" w14:textId="77777777" w:rsidR="00B97365" w:rsidRDefault="00000000">
            <w:pPr>
              <w:spacing w:after="120" w:line="276" w:lineRule="auto"/>
              <w:rPr>
                <w:rFonts w:cs="Calibri"/>
                <w:b/>
                <w:color w:val="FFFFFF"/>
                <w:sz w:val="16"/>
                <w:szCs w:val="16"/>
              </w:rPr>
            </w:pPr>
            <w:r>
              <w:rPr>
                <w:rFonts w:cs="Calibri"/>
                <w:b/>
                <w:color w:val="FFFFFF"/>
                <w:sz w:val="16"/>
                <w:szCs w:val="16"/>
              </w:rPr>
              <w:t>Length</w:t>
            </w:r>
          </w:p>
        </w:tc>
        <w:tc>
          <w:tcPr>
            <w:tcW w:w="1992" w:type="pct"/>
            <w:tcBorders>
              <w:top w:val="single" w:sz="6" w:space="0" w:color="auto"/>
              <w:left w:val="single" w:sz="6" w:space="0" w:color="auto"/>
              <w:bottom w:val="single" w:sz="6" w:space="0" w:color="auto"/>
              <w:right w:val="single" w:sz="6" w:space="0" w:color="auto"/>
            </w:tcBorders>
            <w:shd w:val="clear" w:color="auto" w:fill="C00000"/>
            <w:hideMark/>
          </w:tcPr>
          <w:p w14:paraId="13A83653" w14:textId="77777777" w:rsidR="00B97365" w:rsidRDefault="00000000">
            <w:pPr>
              <w:spacing w:after="120" w:line="276" w:lineRule="auto"/>
              <w:jc w:val="center"/>
              <w:rPr>
                <w:rFonts w:cs="Calibri"/>
                <w:b/>
                <w:color w:val="FFFFFF"/>
                <w:sz w:val="16"/>
                <w:szCs w:val="16"/>
              </w:rPr>
            </w:pPr>
            <w:r>
              <w:rPr>
                <w:rFonts w:cs="Calibri"/>
                <w:b/>
                <w:color w:val="FFFFFF"/>
                <w:sz w:val="16"/>
                <w:szCs w:val="16"/>
              </w:rPr>
              <w:t>Value Description</w:t>
            </w:r>
          </w:p>
        </w:tc>
        <w:tc>
          <w:tcPr>
            <w:tcW w:w="656" w:type="pct"/>
            <w:tcBorders>
              <w:top w:val="single" w:sz="6" w:space="0" w:color="auto"/>
              <w:left w:val="single" w:sz="6" w:space="0" w:color="auto"/>
              <w:bottom w:val="single" w:sz="6" w:space="0" w:color="auto"/>
              <w:right w:val="single" w:sz="4" w:space="0" w:color="auto"/>
            </w:tcBorders>
            <w:shd w:val="clear" w:color="auto" w:fill="C00000"/>
            <w:hideMark/>
          </w:tcPr>
          <w:p w14:paraId="3738D0B1"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D0B8FC8" w14:textId="77777777">
        <w:trPr>
          <w:cantSplit/>
          <w:jc w:val="center"/>
        </w:trPr>
        <w:tc>
          <w:tcPr>
            <w:tcW w:w="627" w:type="pct"/>
            <w:tcBorders>
              <w:top w:val="single" w:sz="6" w:space="0" w:color="auto"/>
              <w:left w:val="single" w:sz="4" w:space="0" w:color="auto"/>
              <w:bottom w:val="single" w:sz="6" w:space="0" w:color="auto"/>
              <w:right w:val="single" w:sz="6" w:space="0" w:color="auto"/>
            </w:tcBorders>
          </w:tcPr>
          <w:p w14:paraId="49C0954F"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7C2CC47F"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hideMark/>
          </w:tcPr>
          <w:p w14:paraId="5C7B434E" w14:textId="77777777" w:rsidR="00B97365" w:rsidRDefault="00000000">
            <w:pPr>
              <w:rPr>
                <w:rFonts w:cs="Calibri"/>
                <w:sz w:val="16"/>
                <w:szCs w:val="16"/>
              </w:rPr>
            </w:pPr>
            <w:r>
              <w:rPr>
                <w:rFonts w:cs="Calibri"/>
                <w:sz w:val="16"/>
                <w:szCs w:val="16"/>
              </w:rPr>
              <w:t>'93'</w:t>
            </w:r>
          </w:p>
        </w:tc>
        <w:tc>
          <w:tcPr>
            <w:tcW w:w="706" w:type="pct"/>
            <w:tcBorders>
              <w:top w:val="single" w:sz="6" w:space="0" w:color="auto"/>
              <w:left w:val="single" w:sz="6" w:space="0" w:color="auto"/>
              <w:bottom w:val="single" w:sz="6" w:space="0" w:color="auto"/>
              <w:right w:val="single" w:sz="6" w:space="0" w:color="auto"/>
            </w:tcBorders>
            <w:hideMark/>
          </w:tcPr>
          <w:p w14:paraId="7FD1FB3F" w14:textId="77777777" w:rsidR="00B97365" w:rsidRDefault="00000000">
            <w:pPr>
              <w:rPr>
                <w:rFonts w:cs="Calibri"/>
                <w:sz w:val="16"/>
                <w:szCs w:val="16"/>
              </w:rPr>
            </w:pPr>
            <w:r>
              <w:rPr>
                <w:rFonts w:cs="Calibri"/>
                <w:sz w:val="16"/>
                <w:szCs w:val="16"/>
              </w:rPr>
              <w:t>1-16</w:t>
            </w:r>
          </w:p>
        </w:tc>
        <w:tc>
          <w:tcPr>
            <w:tcW w:w="1992" w:type="pct"/>
            <w:tcBorders>
              <w:top w:val="single" w:sz="6" w:space="0" w:color="auto"/>
              <w:left w:val="single" w:sz="6" w:space="0" w:color="auto"/>
              <w:bottom w:val="single" w:sz="6" w:space="0" w:color="auto"/>
              <w:right w:val="single" w:sz="6" w:space="0" w:color="auto"/>
            </w:tcBorders>
            <w:hideMark/>
          </w:tcPr>
          <w:p w14:paraId="35A0A004" w14:textId="77777777" w:rsidR="00B97365" w:rsidRDefault="00000000">
            <w:pPr>
              <w:rPr>
                <w:rFonts w:cs="Calibri"/>
                <w:sz w:val="16"/>
                <w:szCs w:val="16"/>
              </w:rPr>
            </w:pPr>
            <w:r>
              <w:rPr>
                <w:rFonts w:cs="Calibri"/>
                <w:sz w:val="16"/>
                <w:szCs w:val="16"/>
              </w:rPr>
              <w:t>Certificate Serial Number</w:t>
            </w:r>
          </w:p>
        </w:tc>
        <w:tc>
          <w:tcPr>
            <w:tcW w:w="656" w:type="pct"/>
            <w:tcBorders>
              <w:top w:val="single" w:sz="6" w:space="0" w:color="auto"/>
              <w:left w:val="single" w:sz="6" w:space="0" w:color="auto"/>
              <w:bottom w:val="single" w:sz="6" w:space="0" w:color="auto"/>
              <w:right w:val="single" w:sz="4" w:space="0" w:color="auto"/>
            </w:tcBorders>
            <w:vAlign w:val="center"/>
            <w:hideMark/>
          </w:tcPr>
          <w:p w14:paraId="6E27844E" w14:textId="77777777" w:rsidR="00B97365" w:rsidRDefault="00000000">
            <w:pPr>
              <w:jc w:val="center"/>
              <w:rPr>
                <w:rFonts w:cs="Calibri"/>
                <w:sz w:val="16"/>
                <w:szCs w:val="16"/>
              </w:rPr>
            </w:pPr>
            <w:r>
              <w:rPr>
                <w:rFonts w:cs="Calibri"/>
                <w:sz w:val="16"/>
                <w:szCs w:val="16"/>
              </w:rPr>
              <w:t>M</w:t>
            </w:r>
          </w:p>
        </w:tc>
      </w:tr>
      <w:tr w:rsidR="00B97365" w14:paraId="1944EA3F" w14:textId="77777777">
        <w:trPr>
          <w:cantSplit/>
          <w:jc w:val="center"/>
        </w:trPr>
        <w:tc>
          <w:tcPr>
            <w:tcW w:w="627" w:type="pct"/>
            <w:tcBorders>
              <w:top w:val="single" w:sz="6" w:space="0" w:color="auto"/>
              <w:left w:val="single" w:sz="4" w:space="0" w:color="auto"/>
              <w:bottom w:val="single" w:sz="6" w:space="0" w:color="auto"/>
              <w:right w:val="single" w:sz="6" w:space="0" w:color="auto"/>
            </w:tcBorders>
          </w:tcPr>
          <w:p w14:paraId="3F97D7C7"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3F3DCB54"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hideMark/>
          </w:tcPr>
          <w:p w14:paraId="40AE2DC8" w14:textId="77777777" w:rsidR="00B97365" w:rsidRDefault="00000000">
            <w:pPr>
              <w:rPr>
                <w:rFonts w:cs="Calibri"/>
                <w:sz w:val="16"/>
                <w:szCs w:val="16"/>
              </w:rPr>
            </w:pPr>
            <w:r>
              <w:rPr>
                <w:rFonts w:cs="Calibri"/>
                <w:sz w:val="16"/>
                <w:szCs w:val="16"/>
              </w:rPr>
              <w:t>'42'</w:t>
            </w:r>
          </w:p>
        </w:tc>
        <w:tc>
          <w:tcPr>
            <w:tcW w:w="706" w:type="pct"/>
            <w:tcBorders>
              <w:top w:val="single" w:sz="6" w:space="0" w:color="auto"/>
              <w:left w:val="single" w:sz="6" w:space="0" w:color="auto"/>
              <w:bottom w:val="single" w:sz="6" w:space="0" w:color="auto"/>
              <w:right w:val="single" w:sz="6" w:space="0" w:color="auto"/>
            </w:tcBorders>
            <w:hideMark/>
          </w:tcPr>
          <w:p w14:paraId="751F2A72" w14:textId="77777777" w:rsidR="00B97365" w:rsidRDefault="00000000">
            <w:pPr>
              <w:rPr>
                <w:rFonts w:cs="Calibri"/>
                <w:sz w:val="16"/>
                <w:szCs w:val="16"/>
              </w:rPr>
            </w:pPr>
            <w:r>
              <w:rPr>
                <w:rFonts w:cs="Calibri"/>
                <w:sz w:val="16"/>
                <w:szCs w:val="16"/>
              </w:rPr>
              <w:t>1-16</w:t>
            </w:r>
          </w:p>
        </w:tc>
        <w:tc>
          <w:tcPr>
            <w:tcW w:w="1992" w:type="pct"/>
            <w:tcBorders>
              <w:top w:val="single" w:sz="6" w:space="0" w:color="auto"/>
              <w:left w:val="single" w:sz="6" w:space="0" w:color="auto"/>
              <w:bottom w:val="single" w:sz="6" w:space="0" w:color="auto"/>
              <w:right w:val="single" w:sz="6" w:space="0" w:color="auto"/>
            </w:tcBorders>
            <w:hideMark/>
          </w:tcPr>
          <w:p w14:paraId="47AC3A9E" w14:textId="77777777" w:rsidR="00B97365" w:rsidRDefault="00000000">
            <w:pPr>
              <w:rPr>
                <w:rFonts w:cs="Calibri"/>
                <w:sz w:val="16"/>
                <w:szCs w:val="16"/>
              </w:rPr>
            </w:pPr>
            <w:r>
              <w:rPr>
                <w:rFonts w:cs="Calibri"/>
                <w:sz w:val="16"/>
                <w:szCs w:val="16"/>
              </w:rPr>
              <w:t>CA Identifier (value part of the DER-TLV encoding of the EUM OID e.g. bytes= 2B06010401… for OID=1.3.6.1.4.1….).</w:t>
            </w:r>
          </w:p>
        </w:tc>
        <w:tc>
          <w:tcPr>
            <w:tcW w:w="656" w:type="pct"/>
            <w:tcBorders>
              <w:top w:val="single" w:sz="6" w:space="0" w:color="auto"/>
              <w:left w:val="single" w:sz="6" w:space="0" w:color="auto"/>
              <w:bottom w:val="single" w:sz="6" w:space="0" w:color="auto"/>
              <w:right w:val="single" w:sz="4" w:space="0" w:color="auto"/>
            </w:tcBorders>
            <w:hideMark/>
          </w:tcPr>
          <w:p w14:paraId="3551AC1F" w14:textId="77777777" w:rsidR="00B97365" w:rsidRDefault="00000000">
            <w:pPr>
              <w:jc w:val="center"/>
              <w:rPr>
                <w:rFonts w:cs="Calibri"/>
                <w:sz w:val="16"/>
                <w:szCs w:val="16"/>
              </w:rPr>
            </w:pPr>
            <w:r>
              <w:rPr>
                <w:rFonts w:cs="Calibri"/>
                <w:sz w:val="16"/>
                <w:szCs w:val="16"/>
              </w:rPr>
              <w:t>M</w:t>
            </w:r>
          </w:p>
        </w:tc>
      </w:tr>
      <w:tr w:rsidR="00B97365" w14:paraId="76080CFC" w14:textId="77777777">
        <w:trPr>
          <w:cantSplit/>
          <w:jc w:val="center"/>
        </w:trPr>
        <w:tc>
          <w:tcPr>
            <w:tcW w:w="627" w:type="pct"/>
            <w:tcBorders>
              <w:top w:val="single" w:sz="6" w:space="0" w:color="auto"/>
              <w:left w:val="single" w:sz="4" w:space="0" w:color="auto"/>
              <w:bottom w:val="single" w:sz="6" w:space="0" w:color="auto"/>
              <w:right w:val="single" w:sz="6" w:space="0" w:color="auto"/>
            </w:tcBorders>
          </w:tcPr>
          <w:p w14:paraId="03DB2338"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08E2D4E4"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hideMark/>
          </w:tcPr>
          <w:p w14:paraId="010DF57D" w14:textId="77777777" w:rsidR="00B97365" w:rsidRDefault="00000000">
            <w:pPr>
              <w:rPr>
                <w:rFonts w:cs="Calibri"/>
                <w:sz w:val="16"/>
                <w:szCs w:val="16"/>
              </w:rPr>
            </w:pPr>
            <w:r>
              <w:rPr>
                <w:rFonts w:cs="Calibri"/>
                <w:sz w:val="16"/>
                <w:szCs w:val="16"/>
              </w:rPr>
              <w:t>'5F20'</w:t>
            </w:r>
          </w:p>
        </w:tc>
        <w:tc>
          <w:tcPr>
            <w:tcW w:w="706" w:type="pct"/>
            <w:tcBorders>
              <w:top w:val="single" w:sz="6" w:space="0" w:color="auto"/>
              <w:left w:val="single" w:sz="6" w:space="0" w:color="auto"/>
              <w:bottom w:val="single" w:sz="6" w:space="0" w:color="auto"/>
              <w:right w:val="single" w:sz="6" w:space="0" w:color="auto"/>
            </w:tcBorders>
            <w:hideMark/>
          </w:tcPr>
          <w:p w14:paraId="0F8F7AE7" w14:textId="77777777" w:rsidR="00B97365" w:rsidRDefault="00000000">
            <w:pPr>
              <w:rPr>
                <w:rFonts w:cs="Calibri"/>
                <w:sz w:val="16"/>
                <w:szCs w:val="16"/>
              </w:rPr>
            </w:pPr>
            <w:r>
              <w:rPr>
                <w:rFonts w:cs="Calibri"/>
                <w:sz w:val="16"/>
                <w:szCs w:val="16"/>
              </w:rPr>
              <w:t>16</w:t>
            </w:r>
          </w:p>
        </w:tc>
        <w:tc>
          <w:tcPr>
            <w:tcW w:w="1992" w:type="pct"/>
            <w:tcBorders>
              <w:top w:val="single" w:sz="6" w:space="0" w:color="auto"/>
              <w:left w:val="single" w:sz="6" w:space="0" w:color="auto"/>
              <w:bottom w:val="single" w:sz="6" w:space="0" w:color="auto"/>
              <w:right w:val="single" w:sz="6" w:space="0" w:color="auto"/>
            </w:tcBorders>
            <w:hideMark/>
          </w:tcPr>
          <w:p w14:paraId="0E6AB621" w14:textId="77777777" w:rsidR="00B97365" w:rsidRDefault="00000000">
            <w:pPr>
              <w:rPr>
                <w:rFonts w:cs="Calibri"/>
                <w:sz w:val="16"/>
                <w:szCs w:val="16"/>
              </w:rPr>
            </w:pPr>
            <w:r>
              <w:rPr>
                <w:rFonts w:cs="Calibri"/>
                <w:sz w:val="16"/>
                <w:szCs w:val="16"/>
              </w:rPr>
              <w:t>Subject Identifier (EID</w:t>
            </w:r>
          </w:p>
        </w:tc>
        <w:tc>
          <w:tcPr>
            <w:tcW w:w="656" w:type="pct"/>
            <w:tcBorders>
              <w:top w:val="single" w:sz="6" w:space="0" w:color="auto"/>
              <w:left w:val="single" w:sz="6" w:space="0" w:color="auto"/>
              <w:bottom w:val="single" w:sz="6" w:space="0" w:color="auto"/>
              <w:right w:val="single" w:sz="4" w:space="0" w:color="auto"/>
            </w:tcBorders>
            <w:hideMark/>
          </w:tcPr>
          <w:p w14:paraId="2ED9D689" w14:textId="77777777" w:rsidR="00B97365" w:rsidRDefault="00000000">
            <w:pPr>
              <w:jc w:val="center"/>
              <w:rPr>
                <w:rFonts w:cs="Calibri"/>
                <w:sz w:val="16"/>
                <w:szCs w:val="16"/>
              </w:rPr>
            </w:pPr>
            <w:r>
              <w:rPr>
                <w:rFonts w:cs="Calibri"/>
                <w:sz w:val="16"/>
                <w:szCs w:val="16"/>
              </w:rPr>
              <w:t>M</w:t>
            </w:r>
          </w:p>
        </w:tc>
      </w:tr>
      <w:tr w:rsidR="00B97365" w14:paraId="4CD2DE93" w14:textId="77777777">
        <w:trPr>
          <w:cantSplit/>
          <w:trHeight w:val="1006"/>
          <w:jc w:val="center"/>
        </w:trPr>
        <w:tc>
          <w:tcPr>
            <w:tcW w:w="627" w:type="pct"/>
            <w:tcBorders>
              <w:top w:val="single" w:sz="6" w:space="0" w:color="auto"/>
              <w:left w:val="single" w:sz="4" w:space="0" w:color="auto"/>
              <w:bottom w:val="single" w:sz="6" w:space="0" w:color="auto"/>
              <w:right w:val="single" w:sz="6" w:space="0" w:color="auto"/>
            </w:tcBorders>
          </w:tcPr>
          <w:p w14:paraId="2DE7257C"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1795C092"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hideMark/>
          </w:tcPr>
          <w:p w14:paraId="67094F31" w14:textId="77777777" w:rsidR="00B97365" w:rsidRDefault="00000000">
            <w:pPr>
              <w:rPr>
                <w:rFonts w:cs="Calibri"/>
                <w:sz w:val="16"/>
                <w:szCs w:val="16"/>
              </w:rPr>
            </w:pPr>
            <w:r>
              <w:rPr>
                <w:rFonts w:cs="Calibri"/>
                <w:sz w:val="16"/>
                <w:szCs w:val="16"/>
              </w:rPr>
              <w:t>'95'</w:t>
            </w:r>
          </w:p>
        </w:tc>
        <w:tc>
          <w:tcPr>
            <w:tcW w:w="706" w:type="pct"/>
            <w:tcBorders>
              <w:top w:val="single" w:sz="6" w:space="0" w:color="auto"/>
              <w:left w:val="single" w:sz="6" w:space="0" w:color="auto"/>
              <w:bottom w:val="single" w:sz="6" w:space="0" w:color="auto"/>
              <w:right w:val="single" w:sz="6" w:space="0" w:color="auto"/>
            </w:tcBorders>
            <w:hideMark/>
          </w:tcPr>
          <w:p w14:paraId="6B3006CE" w14:textId="77777777" w:rsidR="00B97365" w:rsidRDefault="00000000">
            <w:pPr>
              <w:rPr>
                <w:rFonts w:cs="Calibri"/>
                <w:sz w:val="16"/>
                <w:szCs w:val="16"/>
              </w:rPr>
            </w:pPr>
            <w:r>
              <w:rPr>
                <w:rFonts w:cs="Calibri"/>
                <w:sz w:val="16"/>
                <w:szCs w:val="16"/>
              </w:rPr>
              <w:t>2</w:t>
            </w:r>
          </w:p>
        </w:tc>
        <w:tc>
          <w:tcPr>
            <w:tcW w:w="1992" w:type="pct"/>
            <w:tcBorders>
              <w:top w:val="single" w:sz="6" w:space="0" w:color="auto"/>
              <w:left w:val="single" w:sz="6" w:space="0" w:color="auto"/>
              <w:bottom w:val="single" w:sz="6" w:space="0" w:color="auto"/>
              <w:right w:val="single" w:sz="6" w:space="0" w:color="auto"/>
            </w:tcBorders>
          </w:tcPr>
          <w:p w14:paraId="2C81FE47" w14:textId="77777777" w:rsidR="00B97365" w:rsidRDefault="00000000">
            <w:pPr>
              <w:rPr>
                <w:rFonts w:cs="Calibri"/>
                <w:sz w:val="16"/>
                <w:szCs w:val="16"/>
              </w:rPr>
            </w:pPr>
            <w:r>
              <w:rPr>
                <w:rFonts w:cs="Calibri"/>
                <w:sz w:val="16"/>
                <w:szCs w:val="16"/>
              </w:rPr>
              <w:t>Key Usage</w:t>
            </w:r>
          </w:p>
          <w:p w14:paraId="1204C3EF" w14:textId="77777777" w:rsidR="00B97365" w:rsidRDefault="00000000">
            <w:pPr>
              <w:rPr>
                <w:rFonts w:cs="Calibri"/>
                <w:sz w:val="16"/>
                <w:szCs w:val="16"/>
              </w:rPr>
            </w:pPr>
            <w:r>
              <w:rPr>
                <w:rFonts w:cs="Calibri"/>
                <w:sz w:val="16"/>
                <w:szCs w:val="16"/>
              </w:rPr>
              <w:t>‘0080’: Key Agreement</w:t>
            </w:r>
          </w:p>
          <w:p w14:paraId="5BDD6F01" w14:textId="77777777" w:rsidR="00B97365" w:rsidRDefault="00B97365">
            <w:pPr>
              <w:rPr>
                <w:rFonts w:cs="Calibri"/>
                <w:sz w:val="16"/>
                <w:szCs w:val="16"/>
              </w:rPr>
            </w:pPr>
          </w:p>
        </w:tc>
        <w:tc>
          <w:tcPr>
            <w:tcW w:w="656" w:type="pct"/>
            <w:tcBorders>
              <w:top w:val="single" w:sz="6" w:space="0" w:color="auto"/>
              <w:left w:val="single" w:sz="6" w:space="0" w:color="auto"/>
              <w:bottom w:val="single" w:sz="6" w:space="0" w:color="auto"/>
              <w:right w:val="single" w:sz="4" w:space="0" w:color="auto"/>
            </w:tcBorders>
            <w:hideMark/>
          </w:tcPr>
          <w:p w14:paraId="58F868A1" w14:textId="77777777" w:rsidR="00B97365" w:rsidRDefault="00000000">
            <w:pPr>
              <w:jc w:val="center"/>
              <w:rPr>
                <w:rFonts w:cs="Calibri"/>
                <w:sz w:val="16"/>
                <w:szCs w:val="16"/>
              </w:rPr>
            </w:pPr>
            <w:r>
              <w:rPr>
                <w:rFonts w:cs="Calibri"/>
                <w:sz w:val="16"/>
                <w:szCs w:val="16"/>
              </w:rPr>
              <w:t>M</w:t>
            </w:r>
          </w:p>
        </w:tc>
      </w:tr>
      <w:tr w:rsidR="00B97365" w14:paraId="5947B24E" w14:textId="77777777">
        <w:trPr>
          <w:cantSplit/>
          <w:jc w:val="center"/>
        </w:trPr>
        <w:tc>
          <w:tcPr>
            <w:tcW w:w="627" w:type="pct"/>
            <w:tcBorders>
              <w:top w:val="single" w:sz="6" w:space="0" w:color="auto"/>
              <w:left w:val="single" w:sz="4" w:space="0" w:color="auto"/>
              <w:bottom w:val="single" w:sz="6" w:space="0" w:color="auto"/>
              <w:right w:val="single" w:sz="6" w:space="0" w:color="auto"/>
            </w:tcBorders>
          </w:tcPr>
          <w:p w14:paraId="50B1916E"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4725159B"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hideMark/>
          </w:tcPr>
          <w:p w14:paraId="74BAC3AE" w14:textId="77777777" w:rsidR="00B97365" w:rsidRDefault="00000000">
            <w:pPr>
              <w:rPr>
                <w:rFonts w:cs="Calibri"/>
                <w:sz w:val="16"/>
                <w:szCs w:val="16"/>
              </w:rPr>
            </w:pPr>
            <w:r>
              <w:rPr>
                <w:rFonts w:cs="Calibri"/>
                <w:sz w:val="16"/>
                <w:szCs w:val="16"/>
              </w:rPr>
              <w:t>'5F25'</w:t>
            </w:r>
          </w:p>
        </w:tc>
        <w:tc>
          <w:tcPr>
            <w:tcW w:w="706" w:type="pct"/>
            <w:tcBorders>
              <w:top w:val="single" w:sz="6" w:space="0" w:color="auto"/>
              <w:left w:val="single" w:sz="6" w:space="0" w:color="auto"/>
              <w:bottom w:val="single" w:sz="6" w:space="0" w:color="auto"/>
              <w:right w:val="single" w:sz="6" w:space="0" w:color="auto"/>
            </w:tcBorders>
            <w:hideMark/>
          </w:tcPr>
          <w:p w14:paraId="3BF1EB63" w14:textId="77777777" w:rsidR="00B97365" w:rsidRDefault="00000000">
            <w:pPr>
              <w:rPr>
                <w:rFonts w:cs="Calibri"/>
                <w:sz w:val="16"/>
                <w:szCs w:val="16"/>
              </w:rPr>
            </w:pPr>
            <w:r>
              <w:rPr>
                <w:rFonts w:cs="Calibri"/>
                <w:sz w:val="16"/>
                <w:szCs w:val="16"/>
              </w:rPr>
              <w:t>4</w:t>
            </w:r>
          </w:p>
        </w:tc>
        <w:tc>
          <w:tcPr>
            <w:tcW w:w="1992" w:type="pct"/>
            <w:tcBorders>
              <w:top w:val="single" w:sz="6" w:space="0" w:color="auto"/>
              <w:left w:val="single" w:sz="6" w:space="0" w:color="auto"/>
              <w:bottom w:val="single" w:sz="6" w:space="0" w:color="auto"/>
              <w:right w:val="single" w:sz="6" w:space="0" w:color="auto"/>
            </w:tcBorders>
            <w:hideMark/>
          </w:tcPr>
          <w:p w14:paraId="4AE01480" w14:textId="77777777" w:rsidR="00B97365" w:rsidRDefault="00000000">
            <w:pPr>
              <w:rPr>
                <w:rFonts w:cs="Calibri"/>
                <w:sz w:val="16"/>
                <w:szCs w:val="16"/>
              </w:rPr>
            </w:pPr>
            <w:r>
              <w:rPr>
                <w:rFonts w:cs="Calibri"/>
                <w:sz w:val="16"/>
                <w:szCs w:val="16"/>
              </w:rPr>
              <w:t>Effective Date (YYYYMMDD, BCD format)</w:t>
            </w:r>
          </w:p>
        </w:tc>
        <w:tc>
          <w:tcPr>
            <w:tcW w:w="656" w:type="pct"/>
            <w:tcBorders>
              <w:top w:val="single" w:sz="6" w:space="0" w:color="auto"/>
              <w:left w:val="single" w:sz="6" w:space="0" w:color="auto"/>
              <w:bottom w:val="single" w:sz="6" w:space="0" w:color="auto"/>
              <w:right w:val="single" w:sz="4" w:space="0" w:color="auto"/>
            </w:tcBorders>
            <w:hideMark/>
          </w:tcPr>
          <w:p w14:paraId="117F3CAF" w14:textId="77777777" w:rsidR="00B97365" w:rsidRDefault="00000000">
            <w:pPr>
              <w:jc w:val="center"/>
              <w:rPr>
                <w:rFonts w:cs="Calibri"/>
                <w:sz w:val="16"/>
                <w:szCs w:val="16"/>
              </w:rPr>
            </w:pPr>
            <w:r>
              <w:rPr>
                <w:rFonts w:cs="Calibri"/>
                <w:sz w:val="16"/>
                <w:szCs w:val="16"/>
              </w:rPr>
              <w:t>M</w:t>
            </w:r>
          </w:p>
        </w:tc>
      </w:tr>
      <w:tr w:rsidR="00B97365" w14:paraId="0D88F38B" w14:textId="77777777">
        <w:trPr>
          <w:cantSplit/>
          <w:jc w:val="center"/>
        </w:trPr>
        <w:tc>
          <w:tcPr>
            <w:tcW w:w="627" w:type="pct"/>
            <w:tcBorders>
              <w:top w:val="single" w:sz="6" w:space="0" w:color="auto"/>
              <w:left w:val="single" w:sz="4" w:space="0" w:color="auto"/>
              <w:bottom w:val="single" w:sz="6" w:space="0" w:color="auto"/>
              <w:right w:val="single" w:sz="6" w:space="0" w:color="auto"/>
            </w:tcBorders>
          </w:tcPr>
          <w:p w14:paraId="2E904509"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6FB536EB"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hideMark/>
          </w:tcPr>
          <w:p w14:paraId="1608CE9C" w14:textId="77777777" w:rsidR="00B97365" w:rsidRDefault="00000000">
            <w:pPr>
              <w:rPr>
                <w:rFonts w:cs="Calibri"/>
                <w:sz w:val="16"/>
                <w:szCs w:val="16"/>
              </w:rPr>
            </w:pPr>
            <w:r>
              <w:rPr>
                <w:rFonts w:cs="Calibri"/>
                <w:sz w:val="16"/>
                <w:szCs w:val="16"/>
              </w:rPr>
              <w:t>'5F24'</w:t>
            </w:r>
          </w:p>
        </w:tc>
        <w:tc>
          <w:tcPr>
            <w:tcW w:w="706" w:type="pct"/>
            <w:tcBorders>
              <w:top w:val="single" w:sz="6" w:space="0" w:color="auto"/>
              <w:left w:val="single" w:sz="6" w:space="0" w:color="auto"/>
              <w:bottom w:val="single" w:sz="6" w:space="0" w:color="auto"/>
              <w:right w:val="single" w:sz="6" w:space="0" w:color="auto"/>
            </w:tcBorders>
            <w:hideMark/>
          </w:tcPr>
          <w:p w14:paraId="6AEAE640" w14:textId="77777777" w:rsidR="00B97365" w:rsidRDefault="00000000">
            <w:pPr>
              <w:rPr>
                <w:rFonts w:cs="Calibri"/>
                <w:sz w:val="16"/>
                <w:szCs w:val="16"/>
              </w:rPr>
            </w:pPr>
            <w:r>
              <w:rPr>
                <w:rFonts w:cs="Calibri"/>
                <w:sz w:val="16"/>
                <w:szCs w:val="16"/>
              </w:rPr>
              <w:t>4</w:t>
            </w:r>
          </w:p>
        </w:tc>
        <w:tc>
          <w:tcPr>
            <w:tcW w:w="1992" w:type="pct"/>
            <w:tcBorders>
              <w:top w:val="single" w:sz="6" w:space="0" w:color="auto"/>
              <w:left w:val="single" w:sz="6" w:space="0" w:color="auto"/>
              <w:bottom w:val="single" w:sz="6" w:space="0" w:color="auto"/>
              <w:right w:val="single" w:sz="6" w:space="0" w:color="auto"/>
            </w:tcBorders>
            <w:hideMark/>
          </w:tcPr>
          <w:p w14:paraId="50900C33" w14:textId="77777777" w:rsidR="00B97365" w:rsidRDefault="00000000">
            <w:pPr>
              <w:rPr>
                <w:rFonts w:cs="Calibri"/>
                <w:sz w:val="16"/>
                <w:szCs w:val="16"/>
                <w:lang w:val="fr-FR"/>
              </w:rPr>
            </w:pPr>
            <w:r>
              <w:rPr>
                <w:rFonts w:cs="Calibri"/>
                <w:sz w:val="16"/>
                <w:szCs w:val="16"/>
                <w:lang w:val="fr-FR"/>
              </w:rPr>
              <w:t>Expiration Date (YYYYMMDD, BCD format)</w:t>
            </w:r>
          </w:p>
        </w:tc>
        <w:tc>
          <w:tcPr>
            <w:tcW w:w="656" w:type="pct"/>
            <w:tcBorders>
              <w:top w:val="single" w:sz="6" w:space="0" w:color="auto"/>
              <w:left w:val="single" w:sz="6" w:space="0" w:color="auto"/>
              <w:bottom w:val="single" w:sz="6" w:space="0" w:color="auto"/>
              <w:right w:val="single" w:sz="4" w:space="0" w:color="auto"/>
            </w:tcBorders>
            <w:hideMark/>
          </w:tcPr>
          <w:p w14:paraId="4130F08C" w14:textId="77777777" w:rsidR="00B97365" w:rsidRDefault="00000000">
            <w:pPr>
              <w:jc w:val="center"/>
              <w:rPr>
                <w:rFonts w:cs="Calibri"/>
                <w:sz w:val="16"/>
                <w:szCs w:val="16"/>
              </w:rPr>
            </w:pPr>
            <w:r>
              <w:rPr>
                <w:rFonts w:cs="Calibri"/>
                <w:sz w:val="16"/>
                <w:szCs w:val="16"/>
              </w:rPr>
              <w:t>M</w:t>
            </w:r>
          </w:p>
        </w:tc>
      </w:tr>
      <w:tr w:rsidR="00B97365" w14:paraId="0FADD7CC" w14:textId="77777777">
        <w:trPr>
          <w:cantSplit/>
          <w:jc w:val="center"/>
        </w:trPr>
        <w:tc>
          <w:tcPr>
            <w:tcW w:w="627" w:type="pct"/>
            <w:tcBorders>
              <w:top w:val="single" w:sz="6" w:space="0" w:color="auto"/>
              <w:left w:val="single" w:sz="4" w:space="0" w:color="auto"/>
              <w:bottom w:val="single" w:sz="6" w:space="0" w:color="auto"/>
              <w:right w:val="single" w:sz="6" w:space="0" w:color="auto"/>
            </w:tcBorders>
          </w:tcPr>
          <w:p w14:paraId="59F3D650"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7A71AB74"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hideMark/>
          </w:tcPr>
          <w:p w14:paraId="75CB6CA9" w14:textId="77777777" w:rsidR="00B97365" w:rsidRDefault="00000000">
            <w:pPr>
              <w:rPr>
                <w:rFonts w:cs="Calibri"/>
                <w:sz w:val="16"/>
                <w:szCs w:val="16"/>
              </w:rPr>
            </w:pPr>
            <w:r>
              <w:rPr>
                <w:rFonts w:cs="Calibri"/>
                <w:sz w:val="16"/>
                <w:szCs w:val="16"/>
              </w:rPr>
              <w:t>‘45’</w:t>
            </w:r>
          </w:p>
        </w:tc>
        <w:tc>
          <w:tcPr>
            <w:tcW w:w="706" w:type="pct"/>
            <w:tcBorders>
              <w:top w:val="single" w:sz="6" w:space="0" w:color="auto"/>
              <w:left w:val="single" w:sz="6" w:space="0" w:color="auto"/>
              <w:bottom w:val="single" w:sz="6" w:space="0" w:color="auto"/>
              <w:right w:val="single" w:sz="6" w:space="0" w:color="auto"/>
            </w:tcBorders>
            <w:hideMark/>
          </w:tcPr>
          <w:p w14:paraId="1814826A" w14:textId="77777777" w:rsidR="00B97365" w:rsidRDefault="00000000">
            <w:pPr>
              <w:rPr>
                <w:rFonts w:cs="Calibri"/>
                <w:sz w:val="16"/>
                <w:szCs w:val="16"/>
              </w:rPr>
            </w:pPr>
            <w:r>
              <w:rPr>
                <w:rFonts w:cs="Calibri"/>
                <w:sz w:val="16"/>
                <w:szCs w:val="16"/>
              </w:rPr>
              <w:t>1-16</w:t>
            </w:r>
          </w:p>
        </w:tc>
        <w:tc>
          <w:tcPr>
            <w:tcW w:w="1992" w:type="pct"/>
            <w:tcBorders>
              <w:top w:val="single" w:sz="6" w:space="0" w:color="auto"/>
              <w:left w:val="single" w:sz="6" w:space="0" w:color="auto"/>
              <w:bottom w:val="single" w:sz="6" w:space="0" w:color="auto"/>
              <w:right w:val="single" w:sz="6" w:space="0" w:color="auto"/>
            </w:tcBorders>
            <w:hideMark/>
          </w:tcPr>
          <w:p w14:paraId="65DBC917" w14:textId="77777777" w:rsidR="00B97365" w:rsidRDefault="00000000">
            <w:pPr>
              <w:rPr>
                <w:rFonts w:cs="Calibri"/>
                <w:sz w:val="16"/>
                <w:szCs w:val="16"/>
              </w:rPr>
            </w:pPr>
            <w:r>
              <w:rPr>
                <w:rFonts w:cs="Calibri"/>
                <w:sz w:val="16"/>
                <w:szCs w:val="16"/>
              </w:rPr>
              <w:t>ECASD Image Number (ISDN)</w:t>
            </w:r>
          </w:p>
        </w:tc>
        <w:tc>
          <w:tcPr>
            <w:tcW w:w="656" w:type="pct"/>
            <w:tcBorders>
              <w:top w:val="single" w:sz="6" w:space="0" w:color="auto"/>
              <w:left w:val="single" w:sz="6" w:space="0" w:color="auto"/>
              <w:bottom w:val="single" w:sz="6" w:space="0" w:color="auto"/>
              <w:right w:val="single" w:sz="4" w:space="0" w:color="auto"/>
            </w:tcBorders>
            <w:hideMark/>
          </w:tcPr>
          <w:p w14:paraId="3BBE541E" w14:textId="77777777" w:rsidR="00B97365" w:rsidRDefault="00000000">
            <w:pPr>
              <w:jc w:val="center"/>
              <w:rPr>
                <w:rFonts w:cs="Calibri"/>
                <w:sz w:val="16"/>
                <w:szCs w:val="16"/>
              </w:rPr>
            </w:pPr>
            <w:r>
              <w:rPr>
                <w:rFonts w:cs="Calibri"/>
                <w:sz w:val="16"/>
                <w:szCs w:val="16"/>
              </w:rPr>
              <w:t>M</w:t>
            </w:r>
          </w:p>
        </w:tc>
      </w:tr>
      <w:tr w:rsidR="00B97365" w14:paraId="2C674EF0" w14:textId="77777777">
        <w:trPr>
          <w:cantSplit/>
          <w:jc w:val="center"/>
        </w:trPr>
        <w:tc>
          <w:tcPr>
            <w:tcW w:w="627" w:type="pct"/>
            <w:tcBorders>
              <w:top w:val="single" w:sz="6" w:space="0" w:color="auto"/>
              <w:left w:val="single" w:sz="4" w:space="0" w:color="auto"/>
              <w:bottom w:val="single" w:sz="6" w:space="0" w:color="auto"/>
              <w:right w:val="single" w:sz="6" w:space="0" w:color="auto"/>
            </w:tcBorders>
          </w:tcPr>
          <w:p w14:paraId="1B3C58DF"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752A197B"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hideMark/>
          </w:tcPr>
          <w:p w14:paraId="6B2085E8" w14:textId="77777777" w:rsidR="00B97365" w:rsidRDefault="00000000">
            <w:pPr>
              <w:rPr>
                <w:rFonts w:cs="Calibri"/>
                <w:sz w:val="16"/>
                <w:szCs w:val="16"/>
              </w:rPr>
            </w:pPr>
            <w:r>
              <w:rPr>
                <w:rFonts w:cs="Calibri"/>
                <w:sz w:val="16"/>
                <w:szCs w:val="16"/>
              </w:rPr>
              <w:t>'73'</w:t>
            </w:r>
          </w:p>
        </w:tc>
        <w:tc>
          <w:tcPr>
            <w:tcW w:w="706" w:type="pct"/>
            <w:tcBorders>
              <w:top w:val="single" w:sz="6" w:space="0" w:color="auto"/>
              <w:left w:val="single" w:sz="6" w:space="0" w:color="auto"/>
              <w:bottom w:val="single" w:sz="6" w:space="0" w:color="auto"/>
              <w:right w:val="single" w:sz="6" w:space="0" w:color="auto"/>
            </w:tcBorders>
            <w:hideMark/>
          </w:tcPr>
          <w:p w14:paraId="59BE09CB" w14:textId="77777777" w:rsidR="00B97365" w:rsidRDefault="00000000">
            <w:pPr>
              <w:rPr>
                <w:rFonts w:cs="Calibri"/>
                <w:sz w:val="16"/>
                <w:szCs w:val="16"/>
              </w:rPr>
            </w:pPr>
            <w:r>
              <w:rPr>
                <w:rFonts w:cs="Calibri"/>
                <w:sz w:val="16"/>
                <w:szCs w:val="16"/>
              </w:rPr>
              <w:t>Var.</w:t>
            </w:r>
          </w:p>
        </w:tc>
        <w:tc>
          <w:tcPr>
            <w:tcW w:w="1992" w:type="pct"/>
            <w:tcBorders>
              <w:top w:val="single" w:sz="6" w:space="0" w:color="auto"/>
              <w:left w:val="single" w:sz="6" w:space="0" w:color="auto"/>
              <w:bottom w:val="single" w:sz="6" w:space="0" w:color="auto"/>
              <w:right w:val="single" w:sz="6" w:space="0" w:color="auto"/>
            </w:tcBorders>
            <w:hideMark/>
          </w:tcPr>
          <w:p w14:paraId="6A8A9BF7" w14:textId="77777777" w:rsidR="00B97365" w:rsidRDefault="00000000">
            <w:pPr>
              <w:rPr>
                <w:rFonts w:cs="Calibri"/>
                <w:sz w:val="16"/>
                <w:szCs w:val="16"/>
              </w:rPr>
            </w:pPr>
            <w:r>
              <w:rPr>
                <w:rFonts w:cs="Calibri"/>
                <w:sz w:val="16"/>
                <w:szCs w:val="16"/>
              </w:rPr>
              <w:t>Discretionary Data:</w:t>
            </w:r>
          </w:p>
          <w:p w14:paraId="628E5029" w14:textId="77777777" w:rsidR="00B97365" w:rsidRDefault="00B97365">
            <w:pPr>
              <w:rPr>
                <w:rFonts w:cs="Calibri"/>
                <w:sz w:val="16"/>
                <w:szCs w:val="16"/>
              </w:rPr>
            </w:pPr>
          </w:p>
          <w:p w14:paraId="08A61149" w14:textId="77777777" w:rsidR="00B97365" w:rsidRDefault="00B97365">
            <w:pPr>
              <w:rPr>
                <w:rFonts w:cs="Calibri"/>
                <w:sz w:val="16"/>
                <w:szCs w:val="16"/>
              </w:rPr>
            </w:pPr>
          </w:p>
          <w:tbl>
            <w:tblPr>
              <w:tblStyle w:val="TableGrid"/>
              <w:tblW w:w="0" w:type="auto"/>
              <w:tblLook w:val="04A0" w:firstRow="1" w:lastRow="0" w:firstColumn="1" w:lastColumn="0" w:noHBand="0" w:noVBand="1"/>
            </w:tblPr>
            <w:tblGrid>
              <w:gridCol w:w="666"/>
              <w:gridCol w:w="750"/>
              <w:gridCol w:w="1950"/>
            </w:tblGrid>
            <w:tr w:rsidR="00B97365" w14:paraId="36B094BB" w14:textId="77777777">
              <w:tc>
                <w:tcPr>
                  <w:tcW w:w="821" w:type="dxa"/>
                  <w:shd w:val="clear" w:color="auto" w:fill="A50021"/>
                </w:tcPr>
                <w:p w14:paraId="65F1CF92" w14:textId="77777777" w:rsidR="00B97365" w:rsidRDefault="00000000">
                  <w:pPr>
                    <w:rPr>
                      <w:rFonts w:cs="Calibri"/>
                      <w:sz w:val="16"/>
                      <w:szCs w:val="16"/>
                    </w:rPr>
                  </w:pPr>
                  <w:r>
                    <w:rPr>
                      <w:rFonts w:cs="Calibri"/>
                      <w:b/>
                      <w:color w:val="FFFFFF"/>
                      <w:sz w:val="16"/>
                      <w:szCs w:val="16"/>
                    </w:rPr>
                    <w:t>Tag</w:t>
                  </w:r>
                </w:p>
              </w:tc>
              <w:tc>
                <w:tcPr>
                  <w:tcW w:w="750" w:type="dxa"/>
                  <w:shd w:val="clear" w:color="auto" w:fill="A50021"/>
                </w:tcPr>
                <w:p w14:paraId="08B4FAC5" w14:textId="77777777" w:rsidR="00B97365" w:rsidRDefault="00000000">
                  <w:pPr>
                    <w:rPr>
                      <w:rFonts w:cs="Calibri"/>
                      <w:sz w:val="16"/>
                      <w:szCs w:val="16"/>
                    </w:rPr>
                  </w:pPr>
                  <w:r>
                    <w:rPr>
                      <w:rFonts w:cs="Calibri"/>
                      <w:b/>
                      <w:color w:val="FFFFFF"/>
                      <w:sz w:val="16"/>
                      <w:szCs w:val="16"/>
                    </w:rPr>
                    <w:t>Length</w:t>
                  </w:r>
                </w:p>
              </w:tc>
              <w:tc>
                <w:tcPr>
                  <w:tcW w:w="2710" w:type="dxa"/>
                  <w:shd w:val="clear" w:color="auto" w:fill="A50021"/>
                </w:tcPr>
                <w:p w14:paraId="22050C2B" w14:textId="77777777" w:rsidR="00B97365" w:rsidRDefault="00000000">
                  <w:pPr>
                    <w:rPr>
                      <w:rFonts w:cs="Calibri"/>
                      <w:sz w:val="16"/>
                      <w:szCs w:val="16"/>
                    </w:rPr>
                  </w:pPr>
                  <w:r>
                    <w:rPr>
                      <w:rFonts w:cs="Calibri"/>
                      <w:b/>
                      <w:color w:val="FFFFFF"/>
                      <w:sz w:val="16"/>
                      <w:szCs w:val="16"/>
                    </w:rPr>
                    <w:t>Value Description</w:t>
                  </w:r>
                </w:p>
              </w:tc>
            </w:tr>
            <w:tr w:rsidR="00B97365" w14:paraId="1A9B2DCA" w14:textId="77777777">
              <w:tc>
                <w:tcPr>
                  <w:tcW w:w="821" w:type="dxa"/>
                </w:tcPr>
                <w:p w14:paraId="2F468BDF" w14:textId="77777777" w:rsidR="00B97365" w:rsidRDefault="00000000">
                  <w:pPr>
                    <w:rPr>
                      <w:rFonts w:cs="Calibri"/>
                      <w:sz w:val="16"/>
                      <w:szCs w:val="16"/>
                    </w:rPr>
                  </w:pPr>
                  <w:r>
                    <w:rPr>
                      <w:rFonts w:cs="Calibri"/>
                      <w:sz w:val="16"/>
                      <w:szCs w:val="16"/>
                    </w:rPr>
                    <w:t>'C0'</w:t>
                  </w:r>
                </w:p>
              </w:tc>
              <w:tc>
                <w:tcPr>
                  <w:tcW w:w="750" w:type="dxa"/>
                </w:tcPr>
                <w:p w14:paraId="4070BDDB" w14:textId="77777777" w:rsidR="00B97365" w:rsidRDefault="00000000">
                  <w:pPr>
                    <w:rPr>
                      <w:rFonts w:cs="Calibri"/>
                      <w:sz w:val="16"/>
                      <w:szCs w:val="16"/>
                    </w:rPr>
                  </w:pPr>
                  <w:r>
                    <w:rPr>
                      <w:rFonts w:cs="Calibri"/>
                      <w:sz w:val="16"/>
                      <w:szCs w:val="16"/>
                    </w:rPr>
                    <w:t xml:space="preserve">var </w:t>
                  </w:r>
                </w:p>
              </w:tc>
              <w:tc>
                <w:tcPr>
                  <w:tcW w:w="2710" w:type="dxa"/>
                </w:tcPr>
                <w:p w14:paraId="40305E37" w14:textId="77777777" w:rsidR="00B97365" w:rsidRDefault="00000000">
                  <w:pPr>
                    <w:rPr>
                      <w:rFonts w:cs="Calibri"/>
                      <w:sz w:val="16"/>
                      <w:szCs w:val="16"/>
                    </w:rPr>
                  </w:pPr>
                  <w:r>
                    <w:rPr>
                      <w:rFonts w:cs="Calibri"/>
                      <w:sz w:val="16"/>
                      <w:szCs w:val="16"/>
                    </w:rPr>
                    <w:t>eUICC Supplier Identifier</w:t>
                  </w:r>
                </w:p>
              </w:tc>
            </w:tr>
            <w:tr w:rsidR="00B97365" w14:paraId="17BD3C2E" w14:textId="77777777">
              <w:tc>
                <w:tcPr>
                  <w:tcW w:w="821" w:type="dxa"/>
                </w:tcPr>
                <w:p w14:paraId="4E384EA3" w14:textId="77777777" w:rsidR="00B97365" w:rsidRDefault="00000000">
                  <w:pPr>
                    <w:rPr>
                      <w:rFonts w:cs="Calibri"/>
                      <w:sz w:val="16"/>
                      <w:szCs w:val="16"/>
                    </w:rPr>
                  </w:pPr>
                  <w:r>
                    <w:rPr>
                      <w:rFonts w:cs="Calibri"/>
                      <w:sz w:val="16"/>
                      <w:szCs w:val="16"/>
                    </w:rPr>
                    <w:t>'C1'</w:t>
                  </w:r>
                </w:p>
              </w:tc>
              <w:tc>
                <w:tcPr>
                  <w:tcW w:w="750" w:type="dxa"/>
                </w:tcPr>
                <w:p w14:paraId="612D9C27" w14:textId="77777777" w:rsidR="00B97365" w:rsidRDefault="00000000">
                  <w:pPr>
                    <w:rPr>
                      <w:rFonts w:cs="Calibri"/>
                      <w:sz w:val="16"/>
                      <w:szCs w:val="16"/>
                    </w:rPr>
                  </w:pPr>
                  <w:r>
                    <w:rPr>
                      <w:rFonts w:cs="Calibri"/>
                      <w:sz w:val="16"/>
                      <w:szCs w:val="16"/>
                    </w:rPr>
                    <w:t xml:space="preserve">var </w:t>
                  </w:r>
                </w:p>
              </w:tc>
              <w:tc>
                <w:tcPr>
                  <w:tcW w:w="2710" w:type="dxa"/>
                </w:tcPr>
                <w:p w14:paraId="2DCC7550" w14:textId="77777777" w:rsidR="00B97365" w:rsidRDefault="00000000">
                  <w:pPr>
                    <w:rPr>
                      <w:rFonts w:cs="Calibri"/>
                      <w:sz w:val="16"/>
                      <w:szCs w:val="16"/>
                    </w:rPr>
                  </w:pPr>
                  <w:r>
                    <w:rPr>
                      <w:rFonts w:cs="Calibri"/>
                      <w:sz w:val="16"/>
                      <w:szCs w:val="16"/>
                    </w:rPr>
                    <w:t>eUICC Product Line Identifier</w:t>
                  </w:r>
                </w:p>
              </w:tc>
            </w:tr>
            <w:tr w:rsidR="00B97365" w14:paraId="342FBCE9" w14:textId="77777777">
              <w:tc>
                <w:tcPr>
                  <w:tcW w:w="821" w:type="dxa"/>
                </w:tcPr>
                <w:p w14:paraId="51BA7A71" w14:textId="77777777" w:rsidR="00B97365" w:rsidRDefault="00000000">
                  <w:pPr>
                    <w:rPr>
                      <w:rFonts w:cs="Calibri"/>
                      <w:sz w:val="16"/>
                      <w:szCs w:val="16"/>
                    </w:rPr>
                  </w:pPr>
                  <w:r>
                    <w:rPr>
                      <w:rFonts w:cs="Calibri"/>
                      <w:sz w:val="16"/>
                      <w:szCs w:val="16"/>
                    </w:rPr>
                    <w:t>'C2'</w:t>
                  </w:r>
                </w:p>
              </w:tc>
              <w:tc>
                <w:tcPr>
                  <w:tcW w:w="750" w:type="dxa"/>
                </w:tcPr>
                <w:p w14:paraId="79F810B2" w14:textId="77777777" w:rsidR="00B97365" w:rsidRDefault="00000000">
                  <w:pPr>
                    <w:rPr>
                      <w:rFonts w:cs="Calibri"/>
                      <w:sz w:val="16"/>
                      <w:szCs w:val="16"/>
                    </w:rPr>
                  </w:pPr>
                  <w:r>
                    <w:rPr>
                      <w:rFonts w:cs="Calibri"/>
                      <w:sz w:val="16"/>
                      <w:szCs w:val="16"/>
                    </w:rPr>
                    <w:t xml:space="preserve">var </w:t>
                  </w:r>
                </w:p>
              </w:tc>
              <w:tc>
                <w:tcPr>
                  <w:tcW w:w="2710" w:type="dxa"/>
                </w:tcPr>
                <w:p w14:paraId="3CA58017" w14:textId="77777777" w:rsidR="00B97365" w:rsidRDefault="00000000">
                  <w:pPr>
                    <w:rPr>
                      <w:rFonts w:cs="Calibri"/>
                      <w:sz w:val="16"/>
                      <w:szCs w:val="16"/>
                    </w:rPr>
                  </w:pPr>
                  <w:r>
                    <w:rPr>
                      <w:rFonts w:cs="Calibri"/>
                      <w:sz w:val="16"/>
                      <w:szCs w:val="16"/>
                    </w:rPr>
                    <w:t>eUICC Extended GSMA SAS Accreditation Serial Number</w:t>
                  </w:r>
                </w:p>
              </w:tc>
            </w:tr>
            <w:tr w:rsidR="00B97365" w14:paraId="7D96823D" w14:textId="77777777">
              <w:tc>
                <w:tcPr>
                  <w:tcW w:w="821" w:type="dxa"/>
                </w:tcPr>
                <w:p w14:paraId="266F0638" w14:textId="77777777" w:rsidR="00B97365" w:rsidRDefault="00000000">
                  <w:pPr>
                    <w:rPr>
                      <w:rFonts w:cs="Calibri"/>
                      <w:sz w:val="16"/>
                      <w:szCs w:val="16"/>
                    </w:rPr>
                  </w:pPr>
                  <w:r>
                    <w:rPr>
                      <w:rFonts w:cs="Calibri"/>
                      <w:sz w:val="16"/>
                      <w:szCs w:val="16"/>
                    </w:rPr>
                    <w:t>‘C9’</w:t>
                  </w:r>
                </w:p>
              </w:tc>
              <w:tc>
                <w:tcPr>
                  <w:tcW w:w="750" w:type="dxa"/>
                </w:tcPr>
                <w:p w14:paraId="0C4E6871" w14:textId="77777777" w:rsidR="00B97365" w:rsidRDefault="00000000">
                  <w:pPr>
                    <w:rPr>
                      <w:rFonts w:cs="Calibri"/>
                      <w:sz w:val="16"/>
                      <w:szCs w:val="16"/>
                    </w:rPr>
                  </w:pPr>
                  <w:r>
                    <w:rPr>
                      <w:rFonts w:cs="Calibri"/>
                      <w:sz w:val="16"/>
                      <w:szCs w:val="16"/>
                    </w:rPr>
                    <w:t>20</w:t>
                  </w:r>
                </w:p>
              </w:tc>
              <w:tc>
                <w:tcPr>
                  <w:tcW w:w="2710" w:type="dxa"/>
                </w:tcPr>
                <w:p w14:paraId="37095F37" w14:textId="77777777" w:rsidR="00B97365" w:rsidRDefault="00000000">
                  <w:pPr>
                    <w:rPr>
                      <w:rFonts w:cs="Calibri"/>
                      <w:sz w:val="16"/>
                      <w:szCs w:val="16"/>
                    </w:rPr>
                  </w:pPr>
                  <w:r>
                    <w:rPr>
                      <w:rFonts w:cs="Calibri"/>
                      <w:sz w:val="16"/>
                      <w:szCs w:val="16"/>
                    </w:rPr>
                    <w:t>Authority key identifier (value of the Subject Key Identifier extension of the EUM certificate)</w:t>
                  </w:r>
                </w:p>
              </w:tc>
            </w:tr>
          </w:tbl>
          <w:p w14:paraId="120F6662" w14:textId="77777777" w:rsidR="00B97365" w:rsidRDefault="00000000">
            <w:pPr>
              <w:rPr>
                <w:rFonts w:cs="Calibri"/>
                <w:sz w:val="16"/>
                <w:szCs w:val="16"/>
              </w:rPr>
            </w:pPr>
            <w:r>
              <w:rPr>
                <w:rFonts w:cs="Calibri"/>
                <w:sz w:val="16"/>
                <w:szCs w:val="16"/>
              </w:rPr>
              <w:t>Other TLVs MAY be present</w:t>
            </w:r>
          </w:p>
        </w:tc>
        <w:tc>
          <w:tcPr>
            <w:tcW w:w="656" w:type="pct"/>
            <w:tcBorders>
              <w:top w:val="single" w:sz="6" w:space="0" w:color="auto"/>
              <w:left w:val="single" w:sz="6" w:space="0" w:color="auto"/>
              <w:bottom w:val="single" w:sz="6" w:space="0" w:color="auto"/>
              <w:right w:val="single" w:sz="4" w:space="0" w:color="auto"/>
            </w:tcBorders>
            <w:hideMark/>
          </w:tcPr>
          <w:p w14:paraId="73D779C4" w14:textId="77777777" w:rsidR="00B97365" w:rsidRDefault="00000000">
            <w:pPr>
              <w:jc w:val="center"/>
              <w:rPr>
                <w:rFonts w:cs="Calibri"/>
                <w:sz w:val="16"/>
                <w:szCs w:val="16"/>
              </w:rPr>
            </w:pPr>
            <w:r>
              <w:rPr>
                <w:rFonts w:cs="Calibri"/>
                <w:sz w:val="16"/>
                <w:szCs w:val="16"/>
              </w:rPr>
              <w:t>M</w:t>
            </w:r>
          </w:p>
        </w:tc>
      </w:tr>
      <w:tr w:rsidR="00B97365" w14:paraId="4C2762DC" w14:textId="77777777">
        <w:trPr>
          <w:cantSplit/>
          <w:jc w:val="center"/>
        </w:trPr>
        <w:tc>
          <w:tcPr>
            <w:tcW w:w="627" w:type="pct"/>
            <w:tcBorders>
              <w:top w:val="single" w:sz="6" w:space="0" w:color="auto"/>
              <w:left w:val="single" w:sz="4" w:space="0" w:color="auto"/>
              <w:bottom w:val="single" w:sz="6" w:space="0" w:color="auto"/>
              <w:right w:val="single" w:sz="6" w:space="0" w:color="auto"/>
            </w:tcBorders>
          </w:tcPr>
          <w:p w14:paraId="124C150C" w14:textId="77777777" w:rsidR="00B97365" w:rsidRDefault="00B97365">
            <w:pPr>
              <w:rPr>
                <w:rFonts w:cs="Calibri"/>
                <w:sz w:val="16"/>
                <w:szCs w:val="16"/>
              </w:rPr>
            </w:pPr>
          </w:p>
        </w:tc>
        <w:tc>
          <w:tcPr>
            <w:tcW w:w="549" w:type="pct"/>
            <w:tcBorders>
              <w:top w:val="single" w:sz="6" w:space="0" w:color="auto"/>
              <w:left w:val="single" w:sz="6" w:space="0" w:color="auto"/>
              <w:bottom w:val="single" w:sz="6" w:space="0" w:color="auto"/>
              <w:right w:val="single" w:sz="6" w:space="0" w:color="auto"/>
            </w:tcBorders>
          </w:tcPr>
          <w:p w14:paraId="0BD02842" w14:textId="77777777" w:rsidR="00B97365" w:rsidRDefault="00B97365">
            <w:pPr>
              <w:rPr>
                <w:rFonts w:cs="Calibri"/>
                <w:sz w:val="16"/>
                <w:szCs w:val="16"/>
              </w:rPr>
            </w:pPr>
          </w:p>
        </w:tc>
        <w:tc>
          <w:tcPr>
            <w:tcW w:w="470" w:type="pct"/>
            <w:tcBorders>
              <w:top w:val="single" w:sz="6" w:space="0" w:color="auto"/>
              <w:left w:val="single" w:sz="6" w:space="0" w:color="auto"/>
              <w:bottom w:val="single" w:sz="6" w:space="0" w:color="auto"/>
              <w:right w:val="single" w:sz="6" w:space="0" w:color="auto"/>
            </w:tcBorders>
            <w:hideMark/>
          </w:tcPr>
          <w:p w14:paraId="4BA5169C" w14:textId="77777777" w:rsidR="00B97365" w:rsidRDefault="00000000">
            <w:pPr>
              <w:rPr>
                <w:rFonts w:cs="Calibri"/>
                <w:sz w:val="16"/>
                <w:szCs w:val="16"/>
              </w:rPr>
            </w:pPr>
            <w:r>
              <w:rPr>
                <w:rFonts w:cs="Calibri"/>
                <w:sz w:val="16"/>
                <w:szCs w:val="16"/>
              </w:rPr>
              <w:t>'7F49'</w:t>
            </w:r>
          </w:p>
        </w:tc>
        <w:tc>
          <w:tcPr>
            <w:tcW w:w="706" w:type="pct"/>
            <w:tcBorders>
              <w:top w:val="single" w:sz="6" w:space="0" w:color="auto"/>
              <w:left w:val="single" w:sz="6" w:space="0" w:color="auto"/>
              <w:bottom w:val="single" w:sz="6" w:space="0" w:color="auto"/>
              <w:right w:val="single" w:sz="6" w:space="0" w:color="auto"/>
            </w:tcBorders>
            <w:hideMark/>
          </w:tcPr>
          <w:p w14:paraId="17614613" w14:textId="77777777" w:rsidR="00B97365" w:rsidRDefault="00000000">
            <w:pPr>
              <w:rPr>
                <w:rFonts w:cs="Calibri"/>
                <w:sz w:val="16"/>
                <w:szCs w:val="16"/>
              </w:rPr>
            </w:pPr>
            <w:r>
              <w:rPr>
                <w:rFonts w:cs="Calibri"/>
                <w:sz w:val="16"/>
                <w:szCs w:val="16"/>
              </w:rPr>
              <w:t>Var.</w:t>
            </w:r>
          </w:p>
        </w:tc>
        <w:tc>
          <w:tcPr>
            <w:tcW w:w="1992" w:type="pct"/>
            <w:tcBorders>
              <w:top w:val="single" w:sz="6" w:space="0" w:color="auto"/>
              <w:left w:val="single" w:sz="6" w:space="0" w:color="auto"/>
              <w:bottom w:val="single" w:sz="6" w:space="0" w:color="auto"/>
              <w:right w:val="single" w:sz="6" w:space="0" w:color="auto"/>
            </w:tcBorders>
            <w:hideMark/>
          </w:tcPr>
          <w:p w14:paraId="09CA13DB" w14:textId="77777777" w:rsidR="00B97365" w:rsidRDefault="00000000">
            <w:pPr>
              <w:rPr>
                <w:rFonts w:cs="Calibri"/>
                <w:sz w:val="16"/>
                <w:szCs w:val="16"/>
              </w:rPr>
            </w:pPr>
            <w:r>
              <w:rPr>
                <w:rFonts w:cs="Calibri"/>
                <w:sz w:val="16"/>
                <w:szCs w:val="16"/>
              </w:rPr>
              <w:t xml:space="preserve">Public Key </w:t>
            </w:r>
          </w:p>
        </w:tc>
        <w:tc>
          <w:tcPr>
            <w:tcW w:w="656" w:type="pct"/>
            <w:tcBorders>
              <w:top w:val="single" w:sz="6" w:space="0" w:color="auto"/>
              <w:left w:val="single" w:sz="6" w:space="0" w:color="auto"/>
              <w:bottom w:val="single" w:sz="6" w:space="0" w:color="auto"/>
              <w:right w:val="single" w:sz="4" w:space="0" w:color="auto"/>
            </w:tcBorders>
            <w:hideMark/>
          </w:tcPr>
          <w:p w14:paraId="286880F1" w14:textId="77777777" w:rsidR="00B97365" w:rsidRDefault="00000000">
            <w:pPr>
              <w:jc w:val="center"/>
              <w:rPr>
                <w:rFonts w:cs="Calibri"/>
                <w:sz w:val="16"/>
                <w:szCs w:val="16"/>
              </w:rPr>
            </w:pPr>
            <w:r>
              <w:rPr>
                <w:rFonts w:cs="Calibri"/>
                <w:sz w:val="16"/>
                <w:szCs w:val="16"/>
              </w:rPr>
              <w:t>M</w:t>
            </w:r>
          </w:p>
        </w:tc>
      </w:tr>
      <w:tr w:rsidR="00B97365" w14:paraId="263DBFAE" w14:textId="77777777">
        <w:trPr>
          <w:cantSplit/>
          <w:jc w:val="center"/>
        </w:trPr>
        <w:tc>
          <w:tcPr>
            <w:tcW w:w="627" w:type="pct"/>
            <w:tcBorders>
              <w:top w:val="single" w:sz="6" w:space="0" w:color="auto"/>
              <w:left w:val="single" w:sz="4" w:space="0" w:color="auto"/>
              <w:bottom w:val="single" w:sz="4" w:space="0" w:color="auto"/>
              <w:right w:val="single" w:sz="6" w:space="0" w:color="auto"/>
            </w:tcBorders>
          </w:tcPr>
          <w:p w14:paraId="1E086C70" w14:textId="77777777" w:rsidR="00B97365" w:rsidRDefault="00B97365">
            <w:pPr>
              <w:rPr>
                <w:rFonts w:cs="Calibri"/>
                <w:sz w:val="16"/>
                <w:szCs w:val="16"/>
              </w:rPr>
            </w:pPr>
          </w:p>
        </w:tc>
        <w:tc>
          <w:tcPr>
            <w:tcW w:w="549" w:type="pct"/>
            <w:tcBorders>
              <w:top w:val="single" w:sz="6" w:space="0" w:color="auto"/>
              <w:left w:val="single" w:sz="6" w:space="0" w:color="auto"/>
              <w:bottom w:val="single" w:sz="4" w:space="0" w:color="auto"/>
              <w:right w:val="single" w:sz="6" w:space="0" w:color="auto"/>
            </w:tcBorders>
          </w:tcPr>
          <w:p w14:paraId="4434C859" w14:textId="77777777" w:rsidR="00B97365" w:rsidRDefault="00B97365">
            <w:pPr>
              <w:rPr>
                <w:rFonts w:cs="Calibri"/>
                <w:sz w:val="16"/>
                <w:szCs w:val="16"/>
              </w:rPr>
            </w:pPr>
          </w:p>
        </w:tc>
        <w:tc>
          <w:tcPr>
            <w:tcW w:w="470" w:type="pct"/>
            <w:tcBorders>
              <w:top w:val="single" w:sz="6" w:space="0" w:color="auto"/>
              <w:left w:val="single" w:sz="6" w:space="0" w:color="auto"/>
              <w:bottom w:val="single" w:sz="4" w:space="0" w:color="auto"/>
              <w:right w:val="single" w:sz="6" w:space="0" w:color="auto"/>
            </w:tcBorders>
            <w:hideMark/>
          </w:tcPr>
          <w:p w14:paraId="37F6D8FF" w14:textId="77777777" w:rsidR="00B97365" w:rsidRDefault="00000000">
            <w:pPr>
              <w:rPr>
                <w:rFonts w:cs="Calibri"/>
                <w:sz w:val="16"/>
                <w:szCs w:val="16"/>
              </w:rPr>
            </w:pPr>
            <w:r>
              <w:rPr>
                <w:rFonts w:cs="Calibri"/>
                <w:sz w:val="16"/>
                <w:szCs w:val="16"/>
              </w:rPr>
              <w:t>'5F37'</w:t>
            </w:r>
          </w:p>
        </w:tc>
        <w:tc>
          <w:tcPr>
            <w:tcW w:w="706" w:type="pct"/>
            <w:tcBorders>
              <w:top w:val="single" w:sz="6" w:space="0" w:color="auto"/>
              <w:left w:val="single" w:sz="6" w:space="0" w:color="auto"/>
              <w:bottom w:val="single" w:sz="4" w:space="0" w:color="auto"/>
              <w:right w:val="single" w:sz="6" w:space="0" w:color="auto"/>
            </w:tcBorders>
            <w:hideMark/>
          </w:tcPr>
          <w:p w14:paraId="13EF803D" w14:textId="77777777" w:rsidR="00B97365" w:rsidRDefault="00000000">
            <w:pPr>
              <w:rPr>
                <w:rFonts w:cs="Calibri"/>
                <w:sz w:val="16"/>
                <w:szCs w:val="16"/>
              </w:rPr>
            </w:pPr>
            <w:r>
              <w:rPr>
                <w:rFonts w:cs="Calibri"/>
                <w:sz w:val="16"/>
                <w:szCs w:val="16"/>
              </w:rPr>
              <w:t>Var.</w:t>
            </w:r>
          </w:p>
        </w:tc>
        <w:tc>
          <w:tcPr>
            <w:tcW w:w="1992" w:type="pct"/>
            <w:tcBorders>
              <w:top w:val="single" w:sz="6" w:space="0" w:color="auto"/>
              <w:left w:val="single" w:sz="6" w:space="0" w:color="auto"/>
              <w:bottom w:val="single" w:sz="4" w:space="0" w:color="auto"/>
              <w:right w:val="single" w:sz="6" w:space="0" w:color="auto"/>
            </w:tcBorders>
            <w:hideMark/>
          </w:tcPr>
          <w:p w14:paraId="66175037" w14:textId="18E98E33" w:rsidR="00B97365" w:rsidRDefault="00000000">
            <w:pPr>
              <w:rPr>
                <w:rFonts w:cs="Calibri"/>
                <w:sz w:val="16"/>
                <w:szCs w:val="16"/>
              </w:rPr>
            </w:pPr>
            <w:r>
              <w:rPr>
                <w:rFonts w:cs="Calibri"/>
                <w:sz w:val="16"/>
                <w:szCs w:val="16"/>
              </w:rPr>
              <w:t xml:space="preserve">Signature (to be computed as described in GlobalPlatform Card Specification Amendment E </w:t>
            </w:r>
            <w:r>
              <w:fldChar w:fldCharType="begin"/>
            </w:r>
            <w:r>
              <w:rPr>
                <w:rFonts w:cs="Calibri"/>
                <w:sz w:val="16"/>
                <w:szCs w:val="16"/>
              </w:rPr>
              <w:instrText xml:space="preserve"> REF _Ref421632038 \r \h </w:instrText>
            </w:r>
            <w:r>
              <w:fldChar w:fldCharType="separate"/>
            </w:r>
            <w:r w:rsidR="001D5AD9">
              <w:rPr>
                <w:rFonts w:cs="Calibri"/>
                <w:sz w:val="16"/>
                <w:szCs w:val="16"/>
              </w:rPr>
              <w:t>[11]</w:t>
            </w:r>
            <w:r>
              <w:fldChar w:fldCharType="end"/>
            </w:r>
            <w:r>
              <w:rPr>
                <w:rFonts w:cs="Calibri"/>
                <w:sz w:val="16"/>
                <w:szCs w:val="16"/>
              </w:rPr>
              <w:t xml:space="preserve"> and the signature SHALL include all the field starting from tag '93' to tag '7F49')</w:t>
            </w:r>
          </w:p>
        </w:tc>
        <w:tc>
          <w:tcPr>
            <w:tcW w:w="656" w:type="pct"/>
            <w:tcBorders>
              <w:top w:val="single" w:sz="6" w:space="0" w:color="auto"/>
              <w:left w:val="single" w:sz="6" w:space="0" w:color="auto"/>
              <w:bottom w:val="single" w:sz="4" w:space="0" w:color="auto"/>
              <w:right w:val="single" w:sz="4" w:space="0" w:color="auto"/>
            </w:tcBorders>
            <w:hideMark/>
          </w:tcPr>
          <w:p w14:paraId="276D46B1" w14:textId="77777777" w:rsidR="00B97365" w:rsidRDefault="00000000">
            <w:pPr>
              <w:jc w:val="center"/>
              <w:rPr>
                <w:rFonts w:cs="Calibri"/>
                <w:sz w:val="16"/>
                <w:szCs w:val="16"/>
              </w:rPr>
            </w:pPr>
            <w:r>
              <w:rPr>
                <w:rFonts w:cs="Calibri"/>
                <w:sz w:val="16"/>
                <w:szCs w:val="16"/>
              </w:rPr>
              <w:t>M</w:t>
            </w:r>
          </w:p>
        </w:tc>
      </w:tr>
    </w:tbl>
    <w:p w14:paraId="29EF45B6"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eUICC Certificate Data Fields</w:t>
      </w:r>
    </w:p>
    <w:p w14:paraId="5B52263D" w14:textId="77777777" w:rsidR="00B97365" w:rsidRDefault="00000000">
      <w:pPr>
        <w:spacing w:before="0" w:after="200" w:line="276" w:lineRule="auto"/>
        <w:jc w:val="left"/>
        <w:rPr>
          <w:b/>
          <w:i/>
          <w:szCs w:val="22"/>
          <w:lang w:val="en-US" w:eastAsia="en-GB" w:bidi="ar-SA"/>
        </w:rPr>
      </w:pPr>
      <w:bookmarkStart w:id="2360" w:name="_Toc420594485"/>
      <w:r>
        <w:rPr>
          <w:rFonts w:cs="Arial"/>
          <w:b/>
          <w:i/>
          <w:szCs w:val="22"/>
          <w:lang w:val="en-US" w:eastAsia="en-GB" w:bidi="ar-SA"/>
        </w:rPr>
        <w:t>Public</w:t>
      </w:r>
      <w:r>
        <w:rPr>
          <w:b/>
          <w:i/>
          <w:szCs w:val="22"/>
          <w:lang w:val="en-US" w:eastAsia="en-GB" w:bidi="ar-SA"/>
        </w:rPr>
        <w:t xml:space="preserve"> Key Data Object</w:t>
      </w:r>
      <w:bookmarkEnd w:id="2360"/>
    </w:p>
    <w:p w14:paraId="7991EB2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public key data object contains an elliptic curves (EC) public key and the corresponding domain parameters.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27"/>
        <w:gridCol w:w="1075"/>
        <w:gridCol w:w="920"/>
        <w:gridCol w:w="1381"/>
        <w:gridCol w:w="2927"/>
        <w:gridCol w:w="1486"/>
      </w:tblGrid>
      <w:tr w:rsidR="00B97365" w14:paraId="3E319461" w14:textId="77777777">
        <w:trPr>
          <w:cantSplit/>
          <w:jc w:val="center"/>
        </w:trPr>
        <w:tc>
          <w:tcPr>
            <w:tcW w:w="681" w:type="pct"/>
            <w:tcBorders>
              <w:top w:val="single" w:sz="4" w:space="0" w:color="auto"/>
              <w:left w:val="single" w:sz="4" w:space="0" w:color="auto"/>
              <w:bottom w:val="single" w:sz="6" w:space="0" w:color="auto"/>
              <w:right w:val="single" w:sz="6" w:space="0" w:color="auto"/>
            </w:tcBorders>
            <w:shd w:val="clear" w:color="auto" w:fill="C00000"/>
            <w:hideMark/>
          </w:tcPr>
          <w:p w14:paraId="6DF7B7DF" w14:textId="77777777" w:rsidR="00B97365" w:rsidRDefault="00000000">
            <w:pPr>
              <w:jc w:val="center"/>
              <w:rPr>
                <w:rFonts w:cs="Calibri"/>
                <w:b/>
                <w:sz w:val="16"/>
                <w:szCs w:val="16"/>
              </w:rPr>
            </w:pPr>
            <w:r>
              <w:rPr>
                <w:rFonts w:cs="Calibri"/>
                <w:b/>
                <w:sz w:val="16"/>
                <w:szCs w:val="16"/>
              </w:rPr>
              <w:t>Tag</w:t>
            </w:r>
          </w:p>
        </w:tc>
        <w:tc>
          <w:tcPr>
            <w:tcW w:w="596" w:type="pct"/>
            <w:tcBorders>
              <w:top w:val="single" w:sz="4" w:space="0" w:color="auto"/>
              <w:left w:val="single" w:sz="6" w:space="0" w:color="auto"/>
              <w:bottom w:val="single" w:sz="6" w:space="0" w:color="auto"/>
              <w:right w:val="single" w:sz="6" w:space="0" w:color="auto"/>
            </w:tcBorders>
            <w:shd w:val="clear" w:color="auto" w:fill="C00000"/>
            <w:hideMark/>
          </w:tcPr>
          <w:p w14:paraId="5355CB8A" w14:textId="77777777" w:rsidR="00B97365" w:rsidRDefault="00000000">
            <w:pPr>
              <w:jc w:val="center"/>
              <w:rPr>
                <w:rFonts w:cs="Calibri"/>
                <w:b/>
                <w:sz w:val="16"/>
                <w:szCs w:val="16"/>
              </w:rPr>
            </w:pPr>
            <w:r>
              <w:rPr>
                <w:rFonts w:cs="Calibri"/>
                <w:b/>
                <w:sz w:val="16"/>
                <w:szCs w:val="16"/>
              </w:rPr>
              <w:t>Length</w:t>
            </w:r>
          </w:p>
        </w:tc>
        <w:tc>
          <w:tcPr>
            <w:tcW w:w="2899"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1D6E4BC5" w14:textId="77777777" w:rsidR="00B97365" w:rsidRDefault="00000000">
            <w:pPr>
              <w:jc w:val="center"/>
              <w:rPr>
                <w:rFonts w:cs="Calibri"/>
                <w:b/>
                <w:sz w:val="16"/>
                <w:szCs w:val="16"/>
              </w:rPr>
            </w:pPr>
            <w:r>
              <w:rPr>
                <w:rFonts w:cs="Calibri"/>
                <w:b/>
                <w:sz w:val="16"/>
                <w:szCs w:val="16"/>
              </w:rPr>
              <w:t>Value Description</w:t>
            </w:r>
          </w:p>
        </w:tc>
        <w:tc>
          <w:tcPr>
            <w:tcW w:w="825" w:type="pct"/>
            <w:tcBorders>
              <w:top w:val="single" w:sz="4" w:space="0" w:color="auto"/>
              <w:left w:val="single" w:sz="6" w:space="0" w:color="auto"/>
              <w:bottom w:val="single" w:sz="6" w:space="0" w:color="auto"/>
              <w:right w:val="single" w:sz="4" w:space="0" w:color="auto"/>
            </w:tcBorders>
            <w:shd w:val="clear" w:color="auto" w:fill="C00000"/>
            <w:hideMark/>
          </w:tcPr>
          <w:p w14:paraId="2B5D87DB" w14:textId="77777777" w:rsidR="00B97365" w:rsidRDefault="00000000">
            <w:pPr>
              <w:jc w:val="center"/>
              <w:rPr>
                <w:rFonts w:cs="Calibri"/>
                <w:b/>
                <w:sz w:val="16"/>
                <w:szCs w:val="16"/>
              </w:rPr>
            </w:pPr>
            <w:r>
              <w:rPr>
                <w:rFonts w:cs="Calibri"/>
                <w:b/>
                <w:color w:val="FFFFFF"/>
                <w:sz w:val="16"/>
                <w:szCs w:val="16"/>
              </w:rPr>
              <w:t>MOC</w:t>
            </w:r>
          </w:p>
        </w:tc>
      </w:tr>
      <w:tr w:rsidR="00B97365" w14:paraId="6D4E11E8" w14:textId="77777777">
        <w:trPr>
          <w:cantSplit/>
          <w:jc w:val="center"/>
        </w:trPr>
        <w:tc>
          <w:tcPr>
            <w:tcW w:w="681" w:type="pct"/>
            <w:tcBorders>
              <w:top w:val="single" w:sz="6" w:space="0" w:color="auto"/>
              <w:left w:val="single" w:sz="4" w:space="0" w:color="auto"/>
              <w:bottom w:val="single" w:sz="6" w:space="0" w:color="auto"/>
              <w:right w:val="single" w:sz="6" w:space="0" w:color="auto"/>
            </w:tcBorders>
            <w:hideMark/>
          </w:tcPr>
          <w:p w14:paraId="0F163372" w14:textId="77777777" w:rsidR="00B97365" w:rsidRDefault="00000000">
            <w:pPr>
              <w:rPr>
                <w:rFonts w:cs="Calibri"/>
                <w:sz w:val="16"/>
                <w:szCs w:val="16"/>
              </w:rPr>
            </w:pPr>
            <w:r>
              <w:rPr>
                <w:rFonts w:cs="Calibri"/>
                <w:sz w:val="16"/>
                <w:szCs w:val="16"/>
              </w:rPr>
              <w:t>'7F49'</w:t>
            </w:r>
          </w:p>
        </w:tc>
        <w:tc>
          <w:tcPr>
            <w:tcW w:w="596" w:type="pct"/>
            <w:tcBorders>
              <w:top w:val="single" w:sz="6" w:space="0" w:color="auto"/>
              <w:left w:val="single" w:sz="6" w:space="0" w:color="auto"/>
              <w:bottom w:val="single" w:sz="6" w:space="0" w:color="auto"/>
              <w:right w:val="single" w:sz="6" w:space="0" w:color="auto"/>
            </w:tcBorders>
            <w:hideMark/>
          </w:tcPr>
          <w:p w14:paraId="61C04699" w14:textId="77777777" w:rsidR="00B97365" w:rsidRDefault="00000000">
            <w:pPr>
              <w:rPr>
                <w:rFonts w:cs="Calibri"/>
                <w:sz w:val="16"/>
                <w:szCs w:val="16"/>
              </w:rPr>
            </w:pPr>
            <w:r>
              <w:rPr>
                <w:rFonts w:cs="Calibri"/>
                <w:sz w:val="16"/>
                <w:szCs w:val="16"/>
              </w:rPr>
              <w:t>Var.</w:t>
            </w:r>
          </w:p>
        </w:tc>
        <w:tc>
          <w:tcPr>
            <w:tcW w:w="2899" w:type="pct"/>
            <w:gridSpan w:val="3"/>
            <w:tcBorders>
              <w:top w:val="single" w:sz="6" w:space="0" w:color="auto"/>
              <w:left w:val="single" w:sz="6" w:space="0" w:color="auto"/>
              <w:bottom w:val="single" w:sz="6" w:space="0" w:color="auto"/>
              <w:right w:val="single" w:sz="6" w:space="0" w:color="auto"/>
            </w:tcBorders>
            <w:hideMark/>
          </w:tcPr>
          <w:p w14:paraId="28613F8A" w14:textId="77777777" w:rsidR="00B97365" w:rsidRDefault="00000000">
            <w:pPr>
              <w:rPr>
                <w:rFonts w:cs="Calibri"/>
                <w:sz w:val="16"/>
                <w:szCs w:val="16"/>
              </w:rPr>
            </w:pPr>
            <w:r>
              <w:rPr>
                <w:rFonts w:cs="Calibri"/>
                <w:sz w:val="16"/>
                <w:szCs w:val="16"/>
              </w:rPr>
              <w:t>Public Key Data Object</w:t>
            </w:r>
          </w:p>
        </w:tc>
        <w:tc>
          <w:tcPr>
            <w:tcW w:w="825" w:type="pct"/>
            <w:tcBorders>
              <w:top w:val="single" w:sz="6" w:space="0" w:color="auto"/>
              <w:left w:val="single" w:sz="6" w:space="0" w:color="auto"/>
              <w:bottom w:val="single" w:sz="6" w:space="0" w:color="auto"/>
              <w:right w:val="single" w:sz="4" w:space="0" w:color="auto"/>
            </w:tcBorders>
            <w:hideMark/>
          </w:tcPr>
          <w:p w14:paraId="35CF5073" w14:textId="77777777" w:rsidR="00B97365" w:rsidRDefault="00000000">
            <w:pPr>
              <w:jc w:val="center"/>
              <w:rPr>
                <w:rFonts w:cs="Calibri"/>
                <w:sz w:val="16"/>
                <w:szCs w:val="16"/>
              </w:rPr>
            </w:pPr>
            <w:r>
              <w:rPr>
                <w:rFonts w:cs="Calibri"/>
                <w:sz w:val="16"/>
                <w:szCs w:val="16"/>
              </w:rPr>
              <w:t>M</w:t>
            </w:r>
          </w:p>
        </w:tc>
      </w:tr>
      <w:tr w:rsidR="00B97365" w14:paraId="3740A17F" w14:textId="77777777">
        <w:trPr>
          <w:cantSplit/>
          <w:jc w:val="center"/>
        </w:trPr>
        <w:tc>
          <w:tcPr>
            <w:tcW w:w="681" w:type="pct"/>
            <w:tcBorders>
              <w:top w:val="single" w:sz="6" w:space="0" w:color="auto"/>
              <w:left w:val="single" w:sz="4" w:space="0" w:color="auto"/>
              <w:bottom w:val="single" w:sz="6" w:space="0" w:color="auto"/>
              <w:right w:val="single" w:sz="6" w:space="0" w:color="auto"/>
            </w:tcBorders>
          </w:tcPr>
          <w:p w14:paraId="6711F215" w14:textId="77777777" w:rsidR="00B97365" w:rsidRDefault="00B97365">
            <w:pPr>
              <w:rPr>
                <w:rFonts w:cs="Calibri"/>
                <w:sz w:val="16"/>
                <w:szCs w:val="16"/>
              </w:rPr>
            </w:pPr>
          </w:p>
        </w:tc>
        <w:tc>
          <w:tcPr>
            <w:tcW w:w="596" w:type="pct"/>
            <w:tcBorders>
              <w:top w:val="single" w:sz="6" w:space="0" w:color="auto"/>
              <w:left w:val="single" w:sz="6" w:space="0" w:color="auto"/>
              <w:bottom w:val="single" w:sz="6" w:space="0" w:color="auto"/>
              <w:right w:val="single" w:sz="6" w:space="0" w:color="auto"/>
            </w:tcBorders>
          </w:tcPr>
          <w:p w14:paraId="3680F2C3" w14:textId="77777777" w:rsidR="00B97365" w:rsidRDefault="00B97365">
            <w:pPr>
              <w:rPr>
                <w:rFonts w:cs="Calibri"/>
                <w:sz w:val="16"/>
                <w:szCs w:val="16"/>
              </w:rPr>
            </w:pPr>
          </w:p>
        </w:tc>
        <w:tc>
          <w:tcPr>
            <w:tcW w:w="510" w:type="pct"/>
            <w:tcBorders>
              <w:top w:val="single" w:sz="6" w:space="0" w:color="auto"/>
              <w:left w:val="single" w:sz="6" w:space="0" w:color="auto"/>
              <w:bottom w:val="single" w:sz="6" w:space="0" w:color="auto"/>
              <w:right w:val="single" w:sz="6" w:space="0" w:color="auto"/>
            </w:tcBorders>
            <w:shd w:val="clear" w:color="auto" w:fill="C00000"/>
            <w:hideMark/>
          </w:tcPr>
          <w:p w14:paraId="0BEDE23C" w14:textId="77777777" w:rsidR="00B97365" w:rsidRDefault="00000000">
            <w:pPr>
              <w:spacing w:after="120" w:line="276" w:lineRule="auto"/>
              <w:rPr>
                <w:rFonts w:cs="Calibri"/>
                <w:b/>
                <w:color w:val="FFFFFF"/>
                <w:sz w:val="16"/>
                <w:szCs w:val="16"/>
              </w:rPr>
            </w:pPr>
            <w:r>
              <w:rPr>
                <w:rFonts w:cs="Calibri"/>
                <w:b/>
                <w:color w:val="FFFFFF"/>
                <w:sz w:val="16"/>
                <w:szCs w:val="16"/>
              </w:rPr>
              <w:t>Tag</w:t>
            </w:r>
          </w:p>
        </w:tc>
        <w:tc>
          <w:tcPr>
            <w:tcW w:w="766" w:type="pct"/>
            <w:tcBorders>
              <w:top w:val="single" w:sz="6" w:space="0" w:color="auto"/>
              <w:left w:val="single" w:sz="6" w:space="0" w:color="auto"/>
              <w:bottom w:val="single" w:sz="6" w:space="0" w:color="auto"/>
              <w:right w:val="single" w:sz="6" w:space="0" w:color="auto"/>
            </w:tcBorders>
            <w:shd w:val="clear" w:color="auto" w:fill="C00000"/>
            <w:hideMark/>
          </w:tcPr>
          <w:p w14:paraId="400CBE89" w14:textId="77777777" w:rsidR="00B97365" w:rsidRDefault="00000000">
            <w:pPr>
              <w:spacing w:after="120" w:line="276" w:lineRule="auto"/>
              <w:rPr>
                <w:rFonts w:cs="Calibri"/>
                <w:b/>
                <w:color w:val="FFFFFF"/>
                <w:sz w:val="16"/>
                <w:szCs w:val="16"/>
              </w:rPr>
            </w:pPr>
            <w:r>
              <w:rPr>
                <w:rFonts w:cs="Calibri"/>
                <w:b/>
                <w:color w:val="FFFFFF"/>
                <w:sz w:val="16"/>
                <w:szCs w:val="16"/>
              </w:rPr>
              <w:t>Length</w:t>
            </w:r>
          </w:p>
        </w:tc>
        <w:tc>
          <w:tcPr>
            <w:tcW w:w="1622" w:type="pct"/>
            <w:tcBorders>
              <w:top w:val="single" w:sz="6" w:space="0" w:color="auto"/>
              <w:left w:val="single" w:sz="6" w:space="0" w:color="auto"/>
              <w:bottom w:val="single" w:sz="6" w:space="0" w:color="auto"/>
              <w:right w:val="single" w:sz="6" w:space="0" w:color="auto"/>
            </w:tcBorders>
            <w:shd w:val="clear" w:color="auto" w:fill="C00000"/>
            <w:hideMark/>
          </w:tcPr>
          <w:p w14:paraId="43F66416" w14:textId="77777777" w:rsidR="00B97365" w:rsidRDefault="00000000">
            <w:pPr>
              <w:spacing w:after="120" w:line="276" w:lineRule="auto"/>
              <w:jc w:val="center"/>
              <w:rPr>
                <w:rFonts w:cs="Calibri"/>
                <w:b/>
                <w:color w:val="FFFFFF"/>
                <w:sz w:val="16"/>
                <w:szCs w:val="16"/>
              </w:rPr>
            </w:pPr>
            <w:r>
              <w:rPr>
                <w:rFonts w:cs="Calibri"/>
                <w:b/>
                <w:color w:val="FFFFFF"/>
                <w:sz w:val="16"/>
                <w:szCs w:val="16"/>
              </w:rPr>
              <w:t>Value Description</w:t>
            </w:r>
          </w:p>
        </w:tc>
        <w:tc>
          <w:tcPr>
            <w:tcW w:w="825" w:type="pct"/>
            <w:tcBorders>
              <w:top w:val="single" w:sz="6" w:space="0" w:color="auto"/>
              <w:left w:val="single" w:sz="6" w:space="0" w:color="auto"/>
              <w:bottom w:val="single" w:sz="6" w:space="0" w:color="auto"/>
              <w:right w:val="single" w:sz="4" w:space="0" w:color="auto"/>
            </w:tcBorders>
            <w:shd w:val="clear" w:color="auto" w:fill="C00000"/>
            <w:hideMark/>
          </w:tcPr>
          <w:p w14:paraId="5E6A836C"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6D9D56F" w14:textId="77777777">
        <w:trPr>
          <w:cantSplit/>
          <w:jc w:val="center"/>
        </w:trPr>
        <w:tc>
          <w:tcPr>
            <w:tcW w:w="681" w:type="pct"/>
            <w:tcBorders>
              <w:top w:val="single" w:sz="6" w:space="0" w:color="auto"/>
              <w:left w:val="single" w:sz="4" w:space="0" w:color="auto"/>
              <w:bottom w:val="single" w:sz="6" w:space="0" w:color="auto"/>
              <w:right w:val="single" w:sz="6" w:space="0" w:color="auto"/>
            </w:tcBorders>
          </w:tcPr>
          <w:p w14:paraId="4580681E" w14:textId="77777777" w:rsidR="00B97365" w:rsidRDefault="00B97365">
            <w:pPr>
              <w:rPr>
                <w:rFonts w:cs="Calibri"/>
                <w:sz w:val="16"/>
                <w:szCs w:val="16"/>
              </w:rPr>
            </w:pPr>
          </w:p>
        </w:tc>
        <w:tc>
          <w:tcPr>
            <w:tcW w:w="596" w:type="pct"/>
            <w:tcBorders>
              <w:top w:val="single" w:sz="6" w:space="0" w:color="auto"/>
              <w:left w:val="single" w:sz="6" w:space="0" w:color="auto"/>
              <w:bottom w:val="single" w:sz="6" w:space="0" w:color="auto"/>
              <w:right w:val="single" w:sz="6" w:space="0" w:color="auto"/>
            </w:tcBorders>
          </w:tcPr>
          <w:p w14:paraId="6A271EB6" w14:textId="77777777" w:rsidR="00B97365" w:rsidRDefault="00B97365">
            <w:pPr>
              <w:rPr>
                <w:rFonts w:cs="Calibri"/>
                <w:sz w:val="16"/>
                <w:szCs w:val="16"/>
              </w:rPr>
            </w:pPr>
          </w:p>
        </w:tc>
        <w:tc>
          <w:tcPr>
            <w:tcW w:w="510" w:type="pct"/>
            <w:tcBorders>
              <w:top w:val="single" w:sz="6" w:space="0" w:color="auto"/>
              <w:left w:val="single" w:sz="6" w:space="0" w:color="auto"/>
              <w:bottom w:val="single" w:sz="6" w:space="0" w:color="auto"/>
              <w:right w:val="single" w:sz="6" w:space="0" w:color="auto"/>
            </w:tcBorders>
            <w:hideMark/>
          </w:tcPr>
          <w:p w14:paraId="79D227D2" w14:textId="77777777" w:rsidR="00B97365" w:rsidRDefault="00000000">
            <w:pPr>
              <w:rPr>
                <w:rFonts w:cs="Calibri"/>
                <w:sz w:val="16"/>
                <w:szCs w:val="16"/>
              </w:rPr>
            </w:pPr>
            <w:r>
              <w:rPr>
                <w:rFonts w:cs="Calibri"/>
                <w:sz w:val="16"/>
                <w:szCs w:val="16"/>
              </w:rPr>
              <w:t>'B0'</w:t>
            </w:r>
          </w:p>
        </w:tc>
        <w:tc>
          <w:tcPr>
            <w:tcW w:w="766" w:type="pct"/>
            <w:tcBorders>
              <w:top w:val="single" w:sz="6" w:space="0" w:color="auto"/>
              <w:left w:val="single" w:sz="6" w:space="0" w:color="auto"/>
              <w:bottom w:val="single" w:sz="6" w:space="0" w:color="auto"/>
              <w:right w:val="single" w:sz="6" w:space="0" w:color="auto"/>
            </w:tcBorders>
            <w:hideMark/>
          </w:tcPr>
          <w:p w14:paraId="0E4E9F39" w14:textId="77777777" w:rsidR="00B97365" w:rsidRDefault="00000000">
            <w:pPr>
              <w:rPr>
                <w:rFonts w:cs="Calibri"/>
                <w:sz w:val="16"/>
                <w:szCs w:val="16"/>
              </w:rPr>
            </w:pPr>
            <w:r>
              <w:rPr>
                <w:rFonts w:cs="Calibri"/>
                <w:sz w:val="16"/>
                <w:szCs w:val="16"/>
              </w:rPr>
              <w:t>Var</w:t>
            </w:r>
          </w:p>
        </w:tc>
        <w:tc>
          <w:tcPr>
            <w:tcW w:w="1622" w:type="pct"/>
            <w:tcBorders>
              <w:top w:val="single" w:sz="6" w:space="0" w:color="auto"/>
              <w:left w:val="single" w:sz="6" w:space="0" w:color="auto"/>
              <w:bottom w:val="single" w:sz="6" w:space="0" w:color="auto"/>
              <w:right w:val="single" w:sz="6" w:space="0" w:color="auto"/>
            </w:tcBorders>
            <w:hideMark/>
          </w:tcPr>
          <w:p w14:paraId="793F11F7" w14:textId="77777777" w:rsidR="00B97365" w:rsidRDefault="00000000">
            <w:pPr>
              <w:rPr>
                <w:rFonts w:cs="Calibri"/>
                <w:sz w:val="16"/>
                <w:szCs w:val="16"/>
              </w:rPr>
            </w:pPr>
            <w:r>
              <w:rPr>
                <w:rFonts w:cs="Calibri"/>
                <w:sz w:val="16"/>
                <w:szCs w:val="16"/>
              </w:rPr>
              <w:t>Public key – Q</w:t>
            </w:r>
          </w:p>
        </w:tc>
        <w:tc>
          <w:tcPr>
            <w:tcW w:w="825" w:type="pct"/>
            <w:tcBorders>
              <w:top w:val="single" w:sz="6" w:space="0" w:color="auto"/>
              <w:left w:val="single" w:sz="6" w:space="0" w:color="auto"/>
              <w:bottom w:val="single" w:sz="6" w:space="0" w:color="auto"/>
              <w:right w:val="single" w:sz="4" w:space="0" w:color="auto"/>
            </w:tcBorders>
            <w:hideMark/>
          </w:tcPr>
          <w:p w14:paraId="03A11CC8" w14:textId="77777777" w:rsidR="00B97365" w:rsidRDefault="00000000">
            <w:pPr>
              <w:jc w:val="center"/>
              <w:rPr>
                <w:rFonts w:cs="Calibri"/>
                <w:sz w:val="16"/>
                <w:szCs w:val="16"/>
              </w:rPr>
            </w:pPr>
            <w:r>
              <w:rPr>
                <w:rFonts w:cs="Calibri"/>
                <w:sz w:val="16"/>
                <w:szCs w:val="16"/>
              </w:rPr>
              <w:t>M</w:t>
            </w:r>
          </w:p>
        </w:tc>
      </w:tr>
      <w:tr w:rsidR="00B97365" w14:paraId="2E2C5F8F" w14:textId="77777777">
        <w:trPr>
          <w:cantSplit/>
          <w:jc w:val="center"/>
        </w:trPr>
        <w:tc>
          <w:tcPr>
            <w:tcW w:w="681" w:type="pct"/>
            <w:tcBorders>
              <w:top w:val="single" w:sz="6" w:space="0" w:color="auto"/>
              <w:left w:val="single" w:sz="4" w:space="0" w:color="auto"/>
              <w:bottom w:val="single" w:sz="4" w:space="0" w:color="auto"/>
              <w:right w:val="single" w:sz="6" w:space="0" w:color="auto"/>
            </w:tcBorders>
          </w:tcPr>
          <w:p w14:paraId="7DDDE6AD" w14:textId="77777777" w:rsidR="00B97365" w:rsidRDefault="00B97365">
            <w:pPr>
              <w:rPr>
                <w:rFonts w:cs="Calibri"/>
                <w:sz w:val="16"/>
                <w:szCs w:val="16"/>
              </w:rPr>
            </w:pPr>
          </w:p>
        </w:tc>
        <w:tc>
          <w:tcPr>
            <w:tcW w:w="596" w:type="pct"/>
            <w:tcBorders>
              <w:top w:val="single" w:sz="6" w:space="0" w:color="auto"/>
              <w:left w:val="single" w:sz="6" w:space="0" w:color="auto"/>
              <w:bottom w:val="single" w:sz="4" w:space="0" w:color="auto"/>
              <w:right w:val="single" w:sz="6" w:space="0" w:color="auto"/>
            </w:tcBorders>
          </w:tcPr>
          <w:p w14:paraId="44E77581" w14:textId="77777777" w:rsidR="00B97365" w:rsidRDefault="00B97365">
            <w:pPr>
              <w:rPr>
                <w:rFonts w:cs="Calibri"/>
                <w:sz w:val="16"/>
                <w:szCs w:val="16"/>
              </w:rPr>
            </w:pPr>
          </w:p>
        </w:tc>
        <w:tc>
          <w:tcPr>
            <w:tcW w:w="510" w:type="pct"/>
            <w:tcBorders>
              <w:top w:val="single" w:sz="6" w:space="0" w:color="auto"/>
              <w:left w:val="single" w:sz="6" w:space="0" w:color="auto"/>
              <w:bottom w:val="single" w:sz="4" w:space="0" w:color="auto"/>
              <w:right w:val="single" w:sz="6" w:space="0" w:color="auto"/>
            </w:tcBorders>
            <w:hideMark/>
          </w:tcPr>
          <w:p w14:paraId="7E93BD09" w14:textId="77777777" w:rsidR="00B97365" w:rsidRDefault="00000000">
            <w:pPr>
              <w:rPr>
                <w:rFonts w:cs="Calibri"/>
                <w:sz w:val="16"/>
                <w:szCs w:val="16"/>
              </w:rPr>
            </w:pPr>
            <w:r>
              <w:rPr>
                <w:rFonts w:cs="Calibri"/>
                <w:sz w:val="16"/>
                <w:szCs w:val="16"/>
              </w:rPr>
              <w:t>'F0'</w:t>
            </w:r>
          </w:p>
        </w:tc>
        <w:tc>
          <w:tcPr>
            <w:tcW w:w="766" w:type="pct"/>
            <w:tcBorders>
              <w:top w:val="single" w:sz="6" w:space="0" w:color="auto"/>
              <w:left w:val="single" w:sz="6" w:space="0" w:color="auto"/>
              <w:bottom w:val="single" w:sz="4" w:space="0" w:color="auto"/>
              <w:right w:val="single" w:sz="6" w:space="0" w:color="auto"/>
            </w:tcBorders>
            <w:hideMark/>
          </w:tcPr>
          <w:p w14:paraId="04C8070C" w14:textId="77777777" w:rsidR="00B97365" w:rsidRDefault="00000000">
            <w:pPr>
              <w:rPr>
                <w:rFonts w:cs="Calibri"/>
                <w:sz w:val="16"/>
                <w:szCs w:val="16"/>
              </w:rPr>
            </w:pPr>
            <w:r>
              <w:rPr>
                <w:rFonts w:cs="Calibri"/>
                <w:sz w:val="16"/>
                <w:szCs w:val="16"/>
              </w:rPr>
              <w:t xml:space="preserve">'01' </w:t>
            </w:r>
          </w:p>
        </w:tc>
        <w:tc>
          <w:tcPr>
            <w:tcW w:w="1622" w:type="pct"/>
            <w:tcBorders>
              <w:top w:val="single" w:sz="6" w:space="0" w:color="auto"/>
              <w:left w:val="single" w:sz="6" w:space="0" w:color="auto"/>
              <w:bottom w:val="single" w:sz="4" w:space="0" w:color="auto"/>
              <w:right w:val="single" w:sz="6" w:space="0" w:color="auto"/>
            </w:tcBorders>
            <w:hideMark/>
          </w:tcPr>
          <w:p w14:paraId="08C305BE" w14:textId="77777777" w:rsidR="00B97365" w:rsidRDefault="00000000">
            <w:pPr>
              <w:rPr>
                <w:rFonts w:cs="Calibri"/>
                <w:sz w:val="16"/>
                <w:szCs w:val="16"/>
              </w:rPr>
            </w:pPr>
            <w:r>
              <w:rPr>
                <w:rFonts w:cs="Calibri"/>
                <w:sz w:val="16"/>
                <w:szCs w:val="16"/>
              </w:rPr>
              <w:t>Key Parameter Reference</w:t>
            </w:r>
          </w:p>
          <w:p w14:paraId="3CC00E35" w14:textId="77777777" w:rsidR="00B97365" w:rsidRDefault="00000000">
            <w:pPr>
              <w:rPr>
                <w:rFonts w:cs="Calibri"/>
                <w:sz w:val="16"/>
                <w:szCs w:val="16"/>
              </w:rPr>
            </w:pPr>
            <w:r>
              <w:rPr>
                <w:rFonts w:cs="Calibri"/>
                <w:sz w:val="16"/>
                <w:szCs w:val="16"/>
              </w:rPr>
              <w:t>‘00’: NIST P-256</w:t>
            </w:r>
          </w:p>
          <w:p w14:paraId="2EEDEC55" w14:textId="77777777" w:rsidR="00B97365" w:rsidRDefault="00000000">
            <w:pPr>
              <w:rPr>
                <w:rFonts w:cs="Calibri"/>
                <w:sz w:val="16"/>
                <w:szCs w:val="16"/>
              </w:rPr>
            </w:pPr>
            <w:r>
              <w:rPr>
                <w:rFonts w:cs="Calibri"/>
                <w:sz w:val="16"/>
                <w:szCs w:val="16"/>
              </w:rPr>
              <w:t>‘03’: brainpoolP256r1</w:t>
            </w:r>
          </w:p>
          <w:p w14:paraId="789053FD" w14:textId="6502562E" w:rsidR="00B97365" w:rsidRDefault="00000000">
            <w:pPr>
              <w:rPr>
                <w:rFonts w:cs="Calibri"/>
                <w:sz w:val="16"/>
                <w:szCs w:val="16"/>
              </w:rPr>
            </w:pPr>
            <w:r>
              <w:rPr>
                <w:rFonts w:eastAsia="Calibri" w:cs="Calibri"/>
                <w:sz w:val="16"/>
                <w:szCs w:val="16"/>
              </w:rPr>
              <w:t xml:space="preserve">‘40’: FRP256V1 </w:t>
            </w:r>
            <w:r>
              <w:fldChar w:fldCharType="begin"/>
            </w:r>
            <w:r>
              <w:rPr>
                <w:rFonts w:eastAsia="Calibri" w:cs="Calibri"/>
                <w:sz w:val="16"/>
                <w:szCs w:val="16"/>
              </w:rPr>
              <w:instrText xml:space="preserve"> REF _Ref421633305 \r \h </w:instrText>
            </w:r>
            <w:r>
              <w:fldChar w:fldCharType="separate"/>
            </w:r>
            <w:r w:rsidR="001D5AD9">
              <w:rPr>
                <w:rFonts w:eastAsia="Calibri" w:cs="Calibri"/>
                <w:sz w:val="16"/>
                <w:szCs w:val="16"/>
              </w:rPr>
              <w:t>[51]</w:t>
            </w:r>
            <w:r>
              <w:fldChar w:fldCharType="end"/>
            </w:r>
          </w:p>
        </w:tc>
        <w:tc>
          <w:tcPr>
            <w:tcW w:w="825" w:type="pct"/>
            <w:tcBorders>
              <w:top w:val="single" w:sz="6" w:space="0" w:color="auto"/>
              <w:left w:val="single" w:sz="6" w:space="0" w:color="auto"/>
              <w:bottom w:val="single" w:sz="4" w:space="0" w:color="auto"/>
              <w:right w:val="single" w:sz="4" w:space="0" w:color="auto"/>
            </w:tcBorders>
            <w:hideMark/>
          </w:tcPr>
          <w:p w14:paraId="53F30C51" w14:textId="77777777" w:rsidR="00B97365" w:rsidRDefault="00000000">
            <w:pPr>
              <w:jc w:val="center"/>
              <w:rPr>
                <w:rFonts w:cs="Calibri"/>
                <w:sz w:val="16"/>
                <w:szCs w:val="16"/>
              </w:rPr>
            </w:pPr>
            <w:r>
              <w:rPr>
                <w:rFonts w:cs="Calibri"/>
                <w:sz w:val="16"/>
                <w:szCs w:val="16"/>
              </w:rPr>
              <w:t>M</w:t>
            </w:r>
          </w:p>
        </w:tc>
      </w:tr>
    </w:tbl>
    <w:p w14:paraId="775ACC8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Public Key Data Object Data Field</w:t>
      </w:r>
    </w:p>
    <w:p w14:paraId="71649614" w14:textId="162DECD9" w:rsidR="00B97365" w:rsidRDefault="00000000">
      <w:pPr>
        <w:spacing w:before="0" w:after="200" w:line="276" w:lineRule="auto"/>
        <w:jc w:val="left"/>
        <w:rPr>
          <w:szCs w:val="22"/>
          <w:lang w:val="en-US" w:eastAsia="en-GB" w:bidi="ar-SA"/>
        </w:rPr>
      </w:pPr>
      <w:r>
        <w:rPr>
          <w:rFonts w:cs="Arial"/>
          <w:szCs w:val="22"/>
          <w:lang w:val="en-US" w:eastAsia="en-GB" w:bidi="ar-SA"/>
        </w:rPr>
        <w:t xml:space="preserve">An ECASD SHALL have at least one set of elliptic curve parameters preloaded (see GlobalPlatform Card Specification Amendment E </w:t>
      </w:r>
      <w:r>
        <w:fldChar w:fldCharType="begin"/>
      </w:r>
      <w:r>
        <w:rPr>
          <w:szCs w:val="22"/>
          <w:lang w:val="en-US" w:eastAsia="en-GB" w:bidi="ar-SA"/>
        </w:rPr>
        <w:instrText xml:space="preserve"> REF _Ref421632038 \r \h </w:instrText>
      </w:r>
      <w:r>
        <w:fldChar w:fldCharType="separate"/>
      </w:r>
      <w:r w:rsidR="001D5AD9">
        <w:rPr>
          <w:szCs w:val="22"/>
          <w:lang w:val="en-US" w:eastAsia="en-GB" w:bidi="ar-SA"/>
        </w:rPr>
        <w:t>[11]</w:t>
      </w:r>
      <w:r>
        <w:fldChar w:fldCharType="end"/>
      </w:r>
      <w:r>
        <w:rPr>
          <w:szCs w:val="22"/>
          <w:lang w:val="en-US" w:eastAsia="en-GB" w:bidi="ar-SA"/>
        </w:rPr>
        <w:t xml:space="preserve">) as defined in the table above.  </w:t>
      </w:r>
    </w:p>
    <w:p w14:paraId="3ADE6B09" w14:textId="77777777" w:rsidR="00B97365" w:rsidRDefault="00B97365">
      <w:pPr>
        <w:rPr>
          <w:rFonts w:asciiTheme="minorHAnsi" w:hAnsiTheme="minorHAnsi" w:cstheme="minorHAnsi"/>
        </w:rPr>
      </w:pPr>
    </w:p>
    <w:p w14:paraId="01BD1629" w14:textId="77777777" w:rsidR="00B97365" w:rsidRDefault="00000000">
      <w:pPr>
        <w:spacing w:before="0" w:after="200" w:line="276" w:lineRule="auto"/>
        <w:jc w:val="left"/>
        <w:rPr>
          <w:b/>
          <w:i/>
          <w:szCs w:val="22"/>
          <w:lang w:val="en-US" w:eastAsia="en-GB" w:bidi="ar-SA"/>
        </w:rPr>
      </w:pPr>
      <w:bookmarkStart w:id="2361" w:name="_Toc420594486"/>
      <w:r>
        <w:rPr>
          <w:rFonts w:cs="Arial"/>
          <w:b/>
          <w:i/>
          <w:szCs w:val="22"/>
          <w:lang w:val="en-US" w:eastAsia="en-GB" w:bidi="ar-SA"/>
        </w:rPr>
        <w:t>GET</w:t>
      </w:r>
      <w:r>
        <w:rPr>
          <w:b/>
          <w:i/>
          <w:szCs w:val="22"/>
          <w:lang w:val="en-US" w:eastAsia="en-GB" w:bidi="ar-SA"/>
        </w:rPr>
        <w:t xml:space="preserve"> STATUS</w:t>
      </w:r>
      <w:bookmarkEnd w:id="2361"/>
    </w:p>
    <w:p w14:paraId="4E07C6D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GET STATUS command is coded according to the following table: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542"/>
        <w:gridCol w:w="809"/>
        <w:gridCol w:w="7198"/>
      </w:tblGrid>
      <w:tr w:rsidR="00B97365" w14:paraId="41BD624F"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B64C6F5" w14:textId="77777777" w:rsidR="00B97365" w:rsidRDefault="00000000">
            <w:pPr>
              <w:tabs>
                <w:tab w:val="left" w:pos="7093"/>
              </w:tabs>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431781A" w14:textId="77777777" w:rsidR="00B97365" w:rsidRDefault="00000000">
            <w:pPr>
              <w:tabs>
                <w:tab w:val="left" w:pos="7093"/>
              </w:tabs>
              <w:jc w:val="center"/>
              <w:rPr>
                <w:rFonts w:cs="Calibri"/>
                <w:b/>
                <w:color w:val="FFFFFF"/>
                <w:sz w:val="16"/>
                <w:szCs w:val="16"/>
              </w:rPr>
            </w:pPr>
            <w:r>
              <w:rPr>
                <w:rFonts w:cs="Calibri"/>
                <w:b/>
                <w:color w:val="FFFFFF"/>
                <w:sz w:val="16"/>
                <w:szCs w:val="16"/>
              </w:rPr>
              <w:t>Value</w:t>
            </w:r>
          </w:p>
        </w:tc>
        <w:tc>
          <w:tcPr>
            <w:tcW w:w="719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8D941C7" w14:textId="77777777" w:rsidR="00B97365" w:rsidRDefault="00000000">
            <w:pPr>
              <w:tabs>
                <w:tab w:val="left" w:pos="7093"/>
              </w:tabs>
              <w:jc w:val="center"/>
              <w:rPr>
                <w:rFonts w:cs="Calibri"/>
                <w:b/>
                <w:color w:val="FFFFFF"/>
                <w:sz w:val="16"/>
                <w:szCs w:val="16"/>
              </w:rPr>
            </w:pPr>
            <w:r>
              <w:rPr>
                <w:rFonts w:cs="Calibri"/>
                <w:b/>
                <w:color w:val="FFFFFF"/>
                <w:sz w:val="16"/>
                <w:szCs w:val="16"/>
              </w:rPr>
              <w:t>Meaning</w:t>
            </w:r>
          </w:p>
        </w:tc>
      </w:tr>
      <w:tr w:rsidR="00B97365" w14:paraId="0FF0ADA5"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97143A6" w14:textId="77777777" w:rsidR="00B97365" w:rsidRDefault="00000000">
            <w:pPr>
              <w:tabs>
                <w:tab w:val="left" w:pos="7093"/>
              </w:tabs>
              <w:rPr>
                <w:rFonts w:cs="Calibri"/>
                <w:sz w:val="16"/>
                <w:szCs w:val="16"/>
              </w:rPr>
            </w:pPr>
            <w:r>
              <w:rPr>
                <w:rFonts w:cs="Calibri"/>
                <w:sz w:val="16"/>
                <w:szCs w:val="16"/>
              </w:rPr>
              <w:t>CLA</w:t>
            </w:r>
          </w:p>
        </w:tc>
        <w:tc>
          <w:tcPr>
            <w:tcW w:w="0" w:type="auto"/>
            <w:tcBorders>
              <w:top w:val="single" w:sz="6" w:space="0" w:color="auto"/>
              <w:left w:val="single" w:sz="6" w:space="0" w:color="auto"/>
              <w:bottom w:val="single" w:sz="6" w:space="0" w:color="auto"/>
              <w:right w:val="single" w:sz="6" w:space="0" w:color="auto"/>
            </w:tcBorders>
            <w:vAlign w:val="center"/>
            <w:hideMark/>
          </w:tcPr>
          <w:p w14:paraId="293CEDB4" w14:textId="77777777" w:rsidR="00B97365" w:rsidRDefault="00000000">
            <w:pPr>
              <w:tabs>
                <w:tab w:val="left" w:pos="7093"/>
              </w:tabs>
              <w:rPr>
                <w:rFonts w:cs="Calibri"/>
                <w:sz w:val="16"/>
                <w:szCs w:val="16"/>
              </w:rPr>
            </w:pPr>
            <w:r>
              <w:rPr>
                <w:rFonts w:cs="Calibri"/>
                <w:sz w:val="16"/>
                <w:szCs w:val="16"/>
              </w:rPr>
              <w:t>‘80’</w:t>
            </w:r>
          </w:p>
        </w:tc>
        <w:tc>
          <w:tcPr>
            <w:tcW w:w="7198" w:type="dxa"/>
            <w:tcBorders>
              <w:top w:val="single" w:sz="6" w:space="0" w:color="auto"/>
              <w:left w:val="single" w:sz="6" w:space="0" w:color="auto"/>
              <w:bottom w:val="single" w:sz="6" w:space="0" w:color="auto"/>
              <w:right w:val="single" w:sz="4" w:space="0" w:color="auto"/>
            </w:tcBorders>
            <w:vAlign w:val="center"/>
            <w:hideMark/>
          </w:tcPr>
          <w:p w14:paraId="2177E749" w14:textId="188490D4" w:rsidR="00B97365" w:rsidRDefault="00000000">
            <w:pPr>
              <w:tabs>
                <w:tab w:val="left" w:pos="7093"/>
              </w:tabs>
              <w:rPr>
                <w:rFonts w:cs="Calibri"/>
                <w:sz w:val="16"/>
                <w:szCs w:val="16"/>
              </w:rPr>
            </w:pPr>
            <w:r>
              <w:rPr>
                <w:rFonts w:cs="Calibri"/>
                <w:sz w:val="16"/>
                <w:szCs w:val="16"/>
              </w:rPr>
              <w:t xml:space="preserve">See GlobalPlatform </w:t>
            </w:r>
            <w:r>
              <w:rPr>
                <w:rFonts w:cs="Calibri"/>
                <w:color w:val="000000"/>
                <w:sz w:val="16"/>
                <w:szCs w:val="16"/>
              </w:rPr>
              <w:t xml:space="preserve">Card Specification </w:t>
            </w:r>
            <w:r>
              <w:fldChar w:fldCharType="begin"/>
            </w:r>
            <w:r>
              <w:rPr>
                <w:rFonts w:cs="Calibri"/>
                <w:color w:val="000000"/>
                <w:sz w:val="16"/>
                <w:szCs w:val="16"/>
              </w:rPr>
              <w:instrText xml:space="preserve"> REF _Ref421631311 \r \h </w:instrText>
            </w:r>
            <w:r>
              <w:fldChar w:fldCharType="separate"/>
            </w:r>
            <w:r w:rsidR="001D5AD9">
              <w:rPr>
                <w:rFonts w:cs="Calibri"/>
                <w:color w:val="000000"/>
                <w:sz w:val="16"/>
                <w:szCs w:val="16"/>
              </w:rPr>
              <w:t>[6]</w:t>
            </w:r>
            <w:r>
              <w:fldChar w:fldCharType="end"/>
            </w:r>
            <w:r>
              <w:rPr>
                <w:rFonts w:cs="Calibri"/>
                <w:sz w:val="16"/>
                <w:szCs w:val="16"/>
              </w:rPr>
              <w:t xml:space="preserve"> section 11.1.4.1</w:t>
            </w:r>
          </w:p>
        </w:tc>
      </w:tr>
      <w:tr w:rsidR="00B97365" w14:paraId="4B99BBCD"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F42496B" w14:textId="77777777" w:rsidR="00B97365" w:rsidRDefault="00000000">
            <w:pPr>
              <w:tabs>
                <w:tab w:val="left" w:pos="7093"/>
              </w:tabs>
              <w:rPr>
                <w:rFonts w:cs="Calibri"/>
                <w:sz w:val="16"/>
                <w:szCs w:val="16"/>
              </w:rPr>
            </w:pPr>
            <w:r>
              <w:rPr>
                <w:rFonts w:cs="Calibri"/>
                <w:sz w:val="16"/>
                <w:szCs w:val="16"/>
              </w:rPr>
              <w:t>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4D07435F" w14:textId="77777777" w:rsidR="00B97365" w:rsidRDefault="00000000">
            <w:pPr>
              <w:tabs>
                <w:tab w:val="left" w:pos="7093"/>
              </w:tabs>
              <w:rPr>
                <w:rFonts w:cs="Calibri"/>
                <w:sz w:val="16"/>
                <w:szCs w:val="16"/>
              </w:rPr>
            </w:pPr>
            <w:r>
              <w:rPr>
                <w:rFonts w:cs="Calibri"/>
                <w:sz w:val="16"/>
                <w:szCs w:val="16"/>
              </w:rPr>
              <w:t>‘F2’</w:t>
            </w:r>
          </w:p>
        </w:tc>
        <w:tc>
          <w:tcPr>
            <w:tcW w:w="7198" w:type="dxa"/>
            <w:tcBorders>
              <w:top w:val="single" w:sz="6" w:space="0" w:color="auto"/>
              <w:left w:val="single" w:sz="6" w:space="0" w:color="auto"/>
              <w:bottom w:val="single" w:sz="6" w:space="0" w:color="auto"/>
              <w:right w:val="single" w:sz="4" w:space="0" w:color="auto"/>
            </w:tcBorders>
            <w:vAlign w:val="center"/>
            <w:hideMark/>
          </w:tcPr>
          <w:p w14:paraId="2AB06184" w14:textId="77777777" w:rsidR="00B97365" w:rsidRDefault="00000000">
            <w:pPr>
              <w:tabs>
                <w:tab w:val="left" w:pos="7093"/>
              </w:tabs>
              <w:rPr>
                <w:rFonts w:cs="Calibri"/>
                <w:sz w:val="16"/>
                <w:szCs w:val="16"/>
              </w:rPr>
            </w:pPr>
            <w:r>
              <w:rPr>
                <w:rFonts w:cs="Calibri"/>
                <w:sz w:val="16"/>
                <w:szCs w:val="16"/>
              </w:rPr>
              <w:t>GET STATUS</w:t>
            </w:r>
          </w:p>
        </w:tc>
      </w:tr>
      <w:tr w:rsidR="00B97365" w14:paraId="710DFE1B"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3C67FD0" w14:textId="77777777" w:rsidR="00B97365" w:rsidRDefault="00000000">
            <w:pPr>
              <w:tabs>
                <w:tab w:val="left" w:pos="7093"/>
              </w:tabs>
              <w:rPr>
                <w:rFonts w:cs="Calibri"/>
                <w:sz w:val="16"/>
                <w:szCs w:val="16"/>
              </w:rPr>
            </w:pPr>
            <w:r>
              <w:rPr>
                <w:rFonts w:cs="Calibri"/>
                <w:sz w:val="16"/>
                <w:szCs w:val="16"/>
              </w:rPr>
              <w:lastRenderedPageBreak/>
              <w:t>P1</w:t>
            </w:r>
          </w:p>
        </w:tc>
        <w:tc>
          <w:tcPr>
            <w:tcW w:w="0" w:type="auto"/>
            <w:tcBorders>
              <w:top w:val="single" w:sz="6" w:space="0" w:color="auto"/>
              <w:left w:val="single" w:sz="6" w:space="0" w:color="auto"/>
              <w:bottom w:val="single" w:sz="6" w:space="0" w:color="auto"/>
              <w:right w:val="single" w:sz="6" w:space="0" w:color="auto"/>
            </w:tcBorders>
            <w:vAlign w:val="center"/>
            <w:hideMark/>
          </w:tcPr>
          <w:p w14:paraId="51222E52" w14:textId="77777777" w:rsidR="00B97365" w:rsidRDefault="00000000">
            <w:pPr>
              <w:tabs>
                <w:tab w:val="left" w:pos="7093"/>
              </w:tabs>
              <w:rPr>
                <w:rFonts w:cs="Calibri"/>
                <w:sz w:val="16"/>
                <w:szCs w:val="16"/>
              </w:rPr>
            </w:pPr>
            <w:r>
              <w:rPr>
                <w:rFonts w:cs="Calibri"/>
                <w:sz w:val="16"/>
                <w:szCs w:val="16"/>
              </w:rPr>
              <w:t>‘40’</w:t>
            </w:r>
          </w:p>
        </w:tc>
        <w:tc>
          <w:tcPr>
            <w:tcW w:w="7198" w:type="dxa"/>
            <w:tcBorders>
              <w:top w:val="single" w:sz="6" w:space="0" w:color="auto"/>
              <w:left w:val="single" w:sz="6" w:space="0" w:color="auto"/>
              <w:bottom w:val="single" w:sz="6" w:space="0" w:color="auto"/>
              <w:right w:val="single" w:sz="4" w:space="0" w:color="auto"/>
            </w:tcBorders>
            <w:vAlign w:val="center"/>
            <w:hideMark/>
          </w:tcPr>
          <w:p w14:paraId="2757DEE0" w14:textId="231D5435" w:rsidR="00B97365" w:rsidRDefault="00000000">
            <w:pPr>
              <w:tabs>
                <w:tab w:val="left" w:pos="7093"/>
              </w:tabs>
              <w:rPr>
                <w:rFonts w:cs="Calibri"/>
                <w:sz w:val="16"/>
                <w:szCs w:val="16"/>
                <w:lang w:val="en-US"/>
              </w:rPr>
            </w:pPr>
            <w:r>
              <w:rPr>
                <w:rFonts w:cs="Calibri"/>
                <w:sz w:val="16"/>
                <w:szCs w:val="16"/>
                <w:lang w:val="en-US"/>
              </w:rPr>
              <w:t xml:space="preserve">See GlobalPlatform </w:t>
            </w:r>
            <w:r>
              <w:rPr>
                <w:rFonts w:cs="Calibri"/>
                <w:color w:val="000000"/>
                <w:sz w:val="16"/>
                <w:szCs w:val="16"/>
                <w:lang w:val="en-US"/>
              </w:rPr>
              <w:t xml:space="preserve">Card Specification </w:t>
            </w:r>
            <w:r>
              <w:fldChar w:fldCharType="begin"/>
            </w:r>
            <w:r>
              <w:instrText xml:space="preserve"> REF _Ref421631311 \r \h  \* MERGEFORMAT </w:instrText>
            </w:r>
            <w:r>
              <w:fldChar w:fldCharType="separate"/>
            </w:r>
            <w:r w:rsidR="001D5AD9" w:rsidRPr="001D5AD9">
              <w:rPr>
                <w:rFonts w:cs="Calibri"/>
                <w:color w:val="000000"/>
                <w:sz w:val="16"/>
                <w:szCs w:val="16"/>
                <w:lang w:val="en-US"/>
              </w:rPr>
              <w:t>[6]</w:t>
            </w:r>
            <w:r>
              <w:fldChar w:fldCharType="end"/>
            </w:r>
            <w:r>
              <w:rPr>
                <w:rFonts w:cs="Calibri"/>
                <w:sz w:val="16"/>
                <w:szCs w:val="16"/>
                <w:lang w:val="en-US"/>
              </w:rPr>
              <w:t xml:space="preserve"> section 11.4.2.1</w:t>
            </w:r>
            <w:r>
              <w:rPr>
                <w:rFonts w:cs="Calibri"/>
                <w:sz w:val="16"/>
                <w:szCs w:val="16"/>
              </w:rPr>
              <w:t>.</w:t>
            </w:r>
          </w:p>
        </w:tc>
      </w:tr>
      <w:tr w:rsidR="00B97365" w14:paraId="542D6065"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0DA3DA1" w14:textId="77777777" w:rsidR="00B97365" w:rsidRDefault="00000000">
            <w:pPr>
              <w:tabs>
                <w:tab w:val="left" w:pos="7093"/>
              </w:tabs>
              <w:rPr>
                <w:rFonts w:cs="Calibri"/>
                <w:sz w:val="16"/>
                <w:szCs w:val="16"/>
              </w:rPr>
            </w:pPr>
            <w:r>
              <w:rPr>
                <w:rFonts w:cs="Calibri"/>
                <w:sz w:val="16"/>
                <w:szCs w:val="16"/>
              </w:rPr>
              <w:t>P2</w:t>
            </w:r>
          </w:p>
        </w:tc>
        <w:tc>
          <w:tcPr>
            <w:tcW w:w="0" w:type="auto"/>
            <w:tcBorders>
              <w:top w:val="single" w:sz="6" w:space="0" w:color="auto"/>
              <w:left w:val="single" w:sz="6" w:space="0" w:color="auto"/>
              <w:bottom w:val="single" w:sz="6" w:space="0" w:color="auto"/>
              <w:right w:val="single" w:sz="6" w:space="0" w:color="auto"/>
            </w:tcBorders>
            <w:vAlign w:val="center"/>
            <w:hideMark/>
          </w:tcPr>
          <w:p w14:paraId="0F7B3204" w14:textId="77777777" w:rsidR="00B97365" w:rsidRDefault="00000000">
            <w:pPr>
              <w:tabs>
                <w:tab w:val="left" w:pos="7093"/>
              </w:tabs>
              <w:rPr>
                <w:rFonts w:cs="Calibri"/>
                <w:sz w:val="16"/>
                <w:szCs w:val="16"/>
              </w:rPr>
            </w:pPr>
            <w:r>
              <w:rPr>
                <w:rFonts w:cs="Calibri"/>
                <w:sz w:val="16"/>
                <w:szCs w:val="16"/>
              </w:rPr>
              <w:t>‘xx’</w:t>
            </w:r>
          </w:p>
        </w:tc>
        <w:tc>
          <w:tcPr>
            <w:tcW w:w="7198" w:type="dxa"/>
            <w:tcBorders>
              <w:top w:val="single" w:sz="6" w:space="0" w:color="auto"/>
              <w:left w:val="single" w:sz="6" w:space="0" w:color="auto"/>
              <w:bottom w:val="single" w:sz="6" w:space="0" w:color="auto"/>
              <w:right w:val="single" w:sz="4" w:space="0" w:color="auto"/>
            </w:tcBorders>
            <w:vAlign w:val="center"/>
            <w:hideMark/>
          </w:tcPr>
          <w:p w14:paraId="043A85D8" w14:textId="66E3216A" w:rsidR="00B97365" w:rsidRDefault="00000000">
            <w:pPr>
              <w:tabs>
                <w:tab w:val="left" w:pos="7093"/>
              </w:tabs>
              <w:rPr>
                <w:rFonts w:cs="Calibri"/>
                <w:sz w:val="16"/>
                <w:szCs w:val="16"/>
                <w:lang w:val="en-US"/>
              </w:rPr>
            </w:pPr>
            <w:r>
              <w:rPr>
                <w:rFonts w:cs="Calibri"/>
                <w:sz w:val="16"/>
                <w:szCs w:val="16"/>
                <w:lang w:val="en-US"/>
              </w:rPr>
              <w:t xml:space="preserve">See GlobalPlatform </w:t>
            </w:r>
            <w:r>
              <w:rPr>
                <w:rFonts w:cs="Calibri"/>
                <w:color w:val="000000"/>
                <w:sz w:val="16"/>
                <w:szCs w:val="16"/>
                <w:lang w:val="en-US"/>
              </w:rPr>
              <w:t xml:space="preserve">Card Specification </w:t>
            </w:r>
            <w:r>
              <w:fldChar w:fldCharType="begin"/>
            </w:r>
            <w:r>
              <w:rPr>
                <w:rFonts w:cs="Calibri"/>
                <w:color w:val="000000"/>
                <w:sz w:val="16"/>
                <w:szCs w:val="16"/>
                <w:lang w:val="en-US"/>
              </w:rPr>
              <w:instrText xml:space="preserve"> REF _Ref421631311 \r \h </w:instrText>
            </w:r>
            <w:r>
              <w:fldChar w:fldCharType="separate"/>
            </w:r>
            <w:r w:rsidR="001D5AD9">
              <w:rPr>
                <w:rFonts w:cs="Calibri"/>
                <w:color w:val="000000"/>
                <w:sz w:val="16"/>
                <w:szCs w:val="16"/>
                <w:lang w:val="en-US"/>
              </w:rPr>
              <w:t>[6]</w:t>
            </w:r>
            <w:r>
              <w:fldChar w:fldCharType="end"/>
            </w:r>
            <w:r>
              <w:rPr>
                <w:rFonts w:cs="Calibri"/>
                <w:sz w:val="16"/>
                <w:szCs w:val="16"/>
                <w:lang w:val="en-US"/>
              </w:rPr>
              <w:t xml:space="preserve"> section 11.4.2..2.</w:t>
            </w:r>
          </w:p>
        </w:tc>
      </w:tr>
      <w:tr w:rsidR="00B97365" w14:paraId="4217B998"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BD7F3FB" w14:textId="77777777" w:rsidR="00B97365" w:rsidRDefault="00000000">
            <w:pPr>
              <w:tabs>
                <w:tab w:val="left" w:pos="7093"/>
              </w:tabs>
              <w:rPr>
                <w:rFonts w:cs="Calibri"/>
                <w:sz w:val="16"/>
                <w:szCs w:val="16"/>
              </w:rPr>
            </w:pPr>
            <w:r>
              <w:rPr>
                <w:rFonts w:cs="Calibri"/>
                <w:sz w:val="16"/>
                <w:szCs w:val="16"/>
              </w:rPr>
              <w:t>Lc</w:t>
            </w:r>
          </w:p>
        </w:tc>
        <w:tc>
          <w:tcPr>
            <w:tcW w:w="0" w:type="auto"/>
            <w:tcBorders>
              <w:top w:val="single" w:sz="6" w:space="0" w:color="auto"/>
              <w:left w:val="single" w:sz="6" w:space="0" w:color="auto"/>
              <w:bottom w:val="single" w:sz="6" w:space="0" w:color="auto"/>
              <w:right w:val="single" w:sz="6" w:space="0" w:color="auto"/>
            </w:tcBorders>
            <w:vAlign w:val="center"/>
            <w:hideMark/>
          </w:tcPr>
          <w:p w14:paraId="56B7D699" w14:textId="77777777" w:rsidR="00B97365" w:rsidRDefault="00000000">
            <w:pPr>
              <w:tabs>
                <w:tab w:val="left" w:pos="7093"/>
              </w:tabs>
              <w:rPr>
                <w:rFonts w:cs="Calibri"/>
                <w:sz w:val="16"/>
                <w:szCs w:val="16"/>
              </w:rPr>
            </w:pPr>
            <w:r>
              <w:rPr>
                <w:rFonts w:cs="Calibri"/>
                <w:sz w:val="16"/>
                <w:szCs w:val="16"/>
              </w:rPr>
              <w:t>‘xx’</w:t>
            </w:r>
          </w:p>
        </w:tc>
        <w:tc>
          <w:tcPr>
            <w:tcW w:w="7198" w:type="dxa"/>
            <w:tcBorders>
              <w:top w:val="single" w:sz="6" w:space="0" w:color="auto"/>
              <w:left w:val="single" w:sz="6" w:space="0" w:color="auto"/>
              <w:bottom w:val="single" w:sz="6" w:space="0" w:color="auto"/>
              <w:right w:val="single" w:sz="4" w:space="0" w:color="auto"/>
            </w:tcBorders>
            <w:vAlign w:val="center"/>
            <w:hideMark/>
          </w:tcPr>
          <w:p w14:paraId="65B09381" w14:textId="77777777" w:rsidR="00B97365" w:rsidRDefault="00000000">
            <w:pPr>
              <w:tabs>
                <w:tab w:val="left" w:pos="7093"/>
              </w:tabs>
              <w:rPr>
                <w:rFonts w:cs="Calibri"/>
                <w:sz w:val="16"/>
                <w:szCs w:val="16"/>
              </w:rPr>
            </w:pPr>
            <w:r>
              <w:rPr>
                <w:rFonts w:cs="Calibri"/>
                <w:sz w:val="16"/>
                <w:szCs w:val="16"/>
              </w:rPr>
              <w:t xml:space="preserve">Length of the data field </w:t>
            </w:r>
          </w:p>
        </w:tc>
      </w:tr>
      <w:tr w:rsidR="00B97365" w14:paraId="6A43EC66"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337CE1E" w14:textId="77777777" w:rsidR="00B97365" w:rsidRDefault="00000000">
            <w:pPr>
              <w:tabs>
                <w:tab w:val="left" w:pos="7093"/>
              </w:tabs>
              <w:rPr>
                <w:rFonts w:cs="Calibri"/>
                <w:sz w:val="16"/>
                <w:szCs w:val="16"/>
              </w:rPr>
            </w:pPr>
            <w:r>
              <w:rPr>
                <w:rFonts w:cs="Calibri"/>
                <w:sz w:val="16"/>
                <w:szCs w:val="16"/>
              </w:rPr>
              <w:t>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2EEB1CD5" w14:textId="77777777" w:rsidR="00B97365" w:rsidRDefault="00000000">
            <w:pPr>
              <w:tabs>
                <w:tab w:val="left" w:pos="7093"/>
              </w:tabs>
              <w:rPr>
                <w:rFonts w:cs="Calibri"/>
                <w:sz w:val="16"/>
                <w:szCs w:val="16"/>
              </w:rPr>
            </w:pPr>
            <w:r>
              <w:rPr>
                <w:rFonts w:cs="Calibri"/>
                <w:sz w:val="16"/>
                <w:szCs w:val="16"/>
              </w:rPr>
              <w:t>‘4F xx …’</w:t>
            </w:r>
          </w:p>
        </w:tc>
        <w:tc>
          <w:tcPr>
            <w:tcW w:w="7198" w:type="dxa"/>
            <w:tcBorders>
              <w:top w:val="single" w:sz="6" w:space="0" w:color="auto"/>
              <w:left w:val="single" w:sz="6" w:space="0" w:color="auto"/>
              <w:bottom w:val="single" w:sz="6" w:space="0" w:color="auto"/>
              <w:right w:val="single" w:sz="4" w:space="0" w:color="auto"/>
            </w:tcBorders>
            <w:vAlign w:val="center"/>
            <w:hideMark/>
          </w:tcPr>
          <w:p w14:paraId="0CBDD93F" w14:textId="51F8BC6A" w:rsidR="00B97365" w:rsidRDefault="00000000">
            <w:pPr>
              <w:tabs>
                <w:tab w:val="left" w:pos="7093"/>
              </w:tabs>
              <w:rPr>
                <w:rFonts w:cs="Calibri"/>
                <w:sz w:val="16"/>
                <w:szCs w:val="16"/>
                <w:lang w:val="en-US"/>
              </w:rPr>
            </w:pPr>
            <w:r>
              <w:rPr>
                <w:rFonts w:cs="Calibri"/>
                <w:sz w:val="16"/>
                <w:szCs w:val="16"/>
                <w:lang w:val="en-US"/>
              </w:rPr>
              <w:t xml:space="preserve">See GlobalPlatform </w:t>
            </w:r>
            <w:r>
              <w:rPr>
                <w:rFonts w:cs="Calibri"/>
                <w:color w:val="000000"/>
                <w:sz w:val="16"/>
                <w:szCs w:val="16"/>
                <w:lang w:val="en-US"/>
              </w:rPr>
              <w:t xml:space="preserve">Card Specification </w:t>
            </w:r>
            <w:r>
              <w:fldChar w:fldCharType="begin"/>
            </w:r>
            <w:r>
              <w:rPr>
                <w:rFonts w:cs="Calibri"/>
                <w:color w:val="000000"/>
                <w:sz w:val="16"/>
                <w:szCs w:val="16"/>
                <w:lang w:val="en-US"/>
              </w:rPr>
              <w:instrText xml:space="preserve"> REF _Ref421631311 \r \h </w:instrText>
            </w:r>
            <w:r>
              <w:fldChar w:fldCharType="separate"/>
            </w:r>
            <w:r w:rsidR="001D5AD9">
              <w:rPr>
                <w:rFonts w:cs="Calibri"/>
                <w:color w:val="000000"/>
                <w:sz w:val="16"/>
                <w:szCs w:val="16"/>
                <w:lang w:val="en-US"/>
              </w:rPr>
              <w:t>[6]</w:t>
            </w:r>
            <w:r>
              <w:fldChar w:fldCharType="end"/>
            </w:r>
            <w:r>
              <w:rPr>
                <w:rFonts w:cs="Calibri"/>
                <w:sz w:val="16"/>
                <w:szCs w:val="16"/>
                <w:lang w:val="en-US"/>
              </w:rPr>
              <w:t xml:space="preserve"> section 11.4.2.3.</w:t>
            </w:r>
          </w:p>
        </w:tc>
      </w:tr>
      <w:tr w:rsidR="00B97365" w14:paraId="5295C3C9" w14:textId="77777777">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AD0ECD4" w14:textId="77777777" w:rsidR="00B97365" w:rsidRDefault="00000000">
            <w:pPr>
              <w:tabs>
                <w:tab w:val="left" w:pos="7093"/>
              </w:tabs>
              <w:rPr>
                <w:rFonts w:cs="Calibri"/>
                <w:sz w:val="16"/>
                <w:szCs w:val="16"/>
              </w:rPr>
            </w:pPr>
            <w:r>
              <w:rPr>
                <w:rFonts w:cs="Calibri"/>
                <w:sz w:val="16"/>
                <w:szCs w:val="16"/>
              </w:rPr>
              <w:t>Le</w:t>
            </w:r>
          </w:p>
        </w:tc>
        <w:tc>
          <w:tcPr>
            <w:tcW w:w="0" w:type="auto"/>
            <w:tcBorders>
              <w:top w:val="single" w:sz="6" w:space="0" w:color="auto"/>
              <w:left w:val="single" w:sz="6" w:space="0" w:color="auto"/>
              <w:bottom w:val="single" w:sz="4" w:space="0" w:color="auto"/>
              <w:right w:val="single" w:sz="6" w:space="0" w:color="auto"/>
            </w:tcBorders>
            <w:vAlign w:val="center"/>
            <w:hideMark/>
          </w:tcPr>
          <w:p w14:paraId="4C1A70CF" w14:textId="77777777" w:rsidR="00B97365" w:rsidRDefault="00000000">
            <w:pPr>
              <w:tabs>
                <w:tab w:val="left" w:pos="7093"/>
              </w:tabs>
              <w:rPr>
                <w:rFonts w:cs="Calibri"/>
                <w:sz w:val="16"/>
                <w:szCs w:val="16"/>
              </w:rPr>
            </w:pPr>
            <w:r>
              <w:rPr>
                <w:rFonts w:cs="Calibri"/>
                <w:sz w:val="16"/>
                <w:szCs w:val="16"/>
              </w:rPr>
              <w:t>‘00’</w:t>
            </w:r>
          </w:p>
        </w:tc>
        <w:tc>
          <w:tcPr>
            <w:tcW w:w="7198" w:type="dxa"/>
            <w:tcBorders>
              <w:top w:val="single" w:sz="6" w:space="0" w:color="auto"/>
              <w:left w:val="single" w:sz="6" w:space="0" w:color="auto"/>
              <w:bottom w:val="single" w:sz="4" w:space="0" w:color="auto"/>
              <w:right w:val="single" w:sz="4" w:space="0" w:color="auto"/>
            </w:tcBorders>
            <w:vAlign w:val="center"/>
          </w:tcPr>
          <w:p w14:paraId="2D668F57" w14:textId="77777777" w:rsidR="00B97365" w:rsidRDefault="00B97365">
            <w:pPr>
              <w:tabs>
                <w:tab w:val="left" w:pos="7093"/>
              </w:tabs>
              <w:rPr>
                <w:rFonts w:cs="Calibri"/>
                <w:sz w:val="16"/>
                <w:szCs w:val="16"/>
              </w:rPr>
            </w:pPr>
          </w:p>
        </w:tc>
      </w:tr>
    </w:tbl>
    <w:p w14:paraId="5684E54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GET STATUS Command Message</w:t>
      </w:r>
    </w:p>
    <w:p w14:paraId="435D179B" w14:textId="77777777" w:rsidR="00B97365" w:rsidRDefault="00000000">
      <w:pPr>
        <w:spacing w:before="0" w:after="200" w:line="276" w:lineRule="auto"/>
        <w:jc w:val="left"/>
        <w:rPr>
          <w:b/>
          <w:i/>
          <w:szCs w:val="22"/>
          <w:lang w:val="en-US" w:eastAsia="en-GB" w:bidi="ar-SA"/>
        </w:rPr>
      </w:pPr>
      <w:bookmarkStart w:id="2362" w:name="_Toc420594487"/>
      <w:r>
        <w:rPr>
          <w:rFonts w:cs="Arial"/>
          <w:b/>
          <w:i/>
          <w:szCs w:val="22"/>
          <w:lang w:val="en-US" w:eastAsia="en-GB" w:bidi="ar-SA"/>
        </w:rPr>
        <w:t>Parameter</w:t>
      </w:r>
      <w:r>
        <w:rPr>
          <w:b/>
          <w:i/>
          <w:szCs w:val="22"/>
          <w:lang w:val="en-US" w:eastAsia="en-GB" w:bidi="ar-SA"/>
        </w:rPr>
        <w:t xml:space="preserve"> P1</w:t>
      </w:r>
      <w:bookmarkEnd w:id="2362"/>
    </w:p>
    <w:p w14:paraId="655F795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value will be used for P1:</w:t>
      </w:r>
    </w:p>
    <w:p w14:paraId="1ABEC4E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‘40’</w:t>
      </w:r>
      <w:r>
        <w:rPr>
          <w:szCs w:val="22"/>
          <w:lang w:val="en-US" w:eastAsia="en-GB" w:bidi="ar-SA"/>
        </w:rPr>
        <w:t xml:space="preserve"> – Applications and Supplementary Security Domains only</w:t>
      </w:r>
    </w:p>
    <w:p w14:paraId="239420D8" w14:textId="77777777" w:rsidR="00B97365" w:rsidRDefault="00000000">
      <w:pPr>
        <w:spacing w:before="0" w:after="200" w:line="276" w:lineRule="auto"/>
        <w:jc w:val="left"/>
        <w:rPr>
          <w:b/>
          <w:i/>
          <w:szCs w:val="22"/>
          <w:lang w:val="en-US" w:eastAsia="en-GB" w:bidi="ar-SA"/>
        </w:rPr>
      </w:pPr>
      <w:bookmarkStart w:id="2363" w:name="_Toc420594488"/>
      <w:r>
        <w:rPr>
          <w:rFonts w:cs="Arial"/>
          <w:b/>
          <w:i/>
          <w:szCs w:val="22"/>
          <w:lang w:val="en-US" w:eastAsia="en-GB" w:bidi="ar-SA"/>
        </w:rPr>
        <w:t>Parameter</w:t>
      </w:r>
      <w:r>
        <w:rPr>
          <w:b/>
          <w:i/>
          <w:szCs w:val="22"/>
          <w:lang w:val="en-US" w:eastAsia="en-GB" w:bidi="ar-SA"/>
        </w:rPr>
        <w:t xml:space="preserve"> P2</w:t>
      </w:r>
      <w:bookmarkEnd w:id="2363"/>
    </w:p>
    <w:p w14:paraId="04BCB2EC" w14:textId="77777777" w:rsidR="00B97365" w:rsidRDefault="00000000">
      <w:pPr>
        <w:spacing w:before="0" w:after="200" w:line="276" w:lineRule="auto"/>
        <w:jc w:val="left"/>
        <w:rPr>
          <w:szCs w:val="22"/>
          <w:lang w:val="en-US" w:eastAsia="en-GB" w:bidi="ar-SA"/>
        </w:rPr>
      </w:pPr>
      <w:bookmarkStart w:id="2364" w:name="_Toc420594489"/>
      <w:r>
        <w:rPr>
          <w:rFonts w:cs="Arial"/>
          <w:szCs w:val="22"/>
          <w:lang w:val="en-US" w:eastAsia="en-GB" w:bidi="ar-SA"/>
        </w:rPr>
        <w:t>The parameter P2 controls the number of consecutive GET STATUS commands.</w:t>
      </w:r>
      <w:bookmarkEnd w:id="2364"/>
    </w:p>
    <w:p w14:paraId="5628C0E7" w14:textId="77777777" w:rsidR="00B97365" w:rsidRDefault="00B97365">
      <w:pPr>
        <w:rPr>
          <w:rFonts w:asciiTheme="minorHAnsi" w:hAnsiTheme="minorHAnsi" w:cstheme="minorHAnsi"/>
        </w:rPr>
      </w:pPr>
    </w:p>
    <w:tbl>
      <w:tblPr>
        <w:tblW w:w="7656" w:type="dxa"/>
        <w:tblInd w:w="10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26"/>
        <w:gridCol w:w="425"/>
        <w:gridCol w:w="425"/>
        <w:gridCol w:w="425"/>
        <w:gridCol w:w="426"/>
        <w:gridCol w:w="425"/>
        <w:gridCol w:w="425"/>
        <w:gridCol w:w="426"/>
        <w:gridCol w:w="4253"/>
      </w:tblGrid>
      <w:tr w:rsidR="00B97365" w14:paraId="14030FC9" w14:textId="77777777">
        <w:trPr>
          <w:trHeight w:val="239"/>
          <w:tblHeader/>
        </w:trPr>
        <w:tc>
          <w:tcPr>
            <w:tcW w:w="425" w:type="dxa"/>
            <w:tcBorders>
              <w:top w:val="single" w:sz="4" w:space="0" w:color="auto"/>
              <w:left w:val="single" w:sz="4" w:space="0" w:color="auto"/>
              <w:bottom w:val="single" w:sz="6" w:space="0" w:color="auto"/>
              <w:right w:val="single" w:sz="6" w:space="0" w:color="auto"/>
            </w:tcBorders>
            <w:shd w:val="clear" w:color="auto" w:fill="C00000"/>
            <w:hideMark/>
          </w:tcPr>
          <w:p w14:paraId="747D4E75" w14:textId="77777777" w:rsidR="00B97365" w:rsidRDefault="00000000">
            <w:pPr>
              <w:jc w:val="center"/>
              <w:rPr>
                <w:rFonts w:cs="Calibri"/>
                <w:b/>
                <w:color w:val="FFFFFF"/>
                <w:sz w:val="16"/>
                <w:szCs w:val="16"/>
              </w:rPr>
            </w:pPr>
            <w:r>
              <w:rPr>
                <w:rFonts w:cs="Calibri"/>
                <w:b/>
                <w:color w:val="FFFFFF"/>
                <w:sz w:val="16"/>
                <w:szCs w:val="16"/>
              </w:rPr>
              <w:t>b8</w:t>
            </w:r>
          </w:p>
        </w:tc>
        <w:tc>
          <w:tcPr>
            <w:tcW w:w="425" w:type="dxa"/>
            <w:tcBorders>
              <w:top w:val="single" w:sz="4" w:space="0" w:color="auto"/>
              <w:left w:val="single" w:sz="6" w:space="0" w:color="auto"/>
              <w:bottom w:val="single" w:sz="6" w:space="0" w:color="auto"/>
              <w:right w:val="single" w:sz="6" w:space="0" w:color="auto"/>
            </w:tcBorders>
            <w:shd w:val="clear" w:color="auto" w:fill="C00000"/>
            <w:hideMark/>
          </w:tcPr>
          <w:p w14:paraId="0637D7F7" w14:textId="77777777" w:rsidR="00B97365" w:rsidRDefault="00000000">
            <w:pPr>
              <w:jc w:val="center"/>
              <w:rPr>
                <w:rFonts w:cs="Calibri"/>
                <w:b/>
                <w:color w:val="FFFFFF"/>
                <w:sz w:val="16"/>
                <w:szCs w:val="16"/>
              </w:rPr>
            </w:pPr>
            <w:r>
              <w:rPr>
                <w:rFonts w:cs="Calibri"/>
                <w:b/>
                <w:color w:val="FFFFFF"/>
                <w:sz w:val="16"/>
                <w:szCs w:val="16"/>
              </w:rPr>
              <w:t>b7</w:t>
            </w:r>
          </w:p>
        </w:tc>
        <w:tc>
          <w:tcPr>
            <w:tcW w:w="425" w:type="dxa"/>
            <w:tcBorders>
              <w:top w:val="single" w:sz="4" w:space="0" w:color="auto"/>
              <w:left w:val="single" w:sz="6" w:space="0" w:color="auto"/>
              <w:bottom w:val="single" w:sz="6" w:space="0" w:color="auto"/>
              <w:right w:val="single" w:sz="6" w:space="0" w:color="auto"/>
            </w:tcBorders>
            <w:shd w:val="clear" w:color="auto" w:fill="C00000"/>
            <w:hideMark/>
          </w:tcPr>
          <w:p w14:paraId="2764E324" w14:textId="77777777" w:rsidR="00B97365" w:rsidRDefault="00000000">
            <w:pPr>
              <w:jc w:val="center"/>
              <w:rPr>
                <w:rFonts w:cs="Calibri"/>
                <w:b/>
                <w:color w:val="FFFFFF"/>
                <w:sz w:val="16"/>
                <w:szCs w:val="16"/>
              </w:rPr>
            </w:pPr>
            <w:r>
              <w:rPr>
                <w:rFonts w:cs="Calibri"/>
                <w:b/>
                <w:color w:val="FFFFFF"/>
                <w:sz w:val="16"/>
                <w:szCs w:val="16"/>
              </w:rPr>
              <w:t>b6</w:t>
            </w:r>
          </w:p>
        </w:tc>
        <w:tc>
          <w:tcPr>
            <w:tcW w:w="425" w:type="dxa"/>
            <w:tcBorders>
              <w:top w:val="single" w:sz="4" w:space="0" w:color="auto"/>
              <w:left w:val="single" w:sz="6" w:space="0" w:color="auto"/>
              <w:bottom w:val="single" w:sz="6" w:space="0" w:color="auto"/>
              <w:right w:val="single" w:sz="6" w:space="0" w:color="auto"/>
            </w:tcBorders>
            <w:shd w:val="clear" w:color="auto" w:fill="C00000"/>
            <w:hideMark/>
          </w:tcPr>
          <w:p w14:paraId="646AAFB2" w14:textId="77777777" w:rsidR="00B97365" w:rsidRDefault="00000000">
            <w:pPr>
              <w:jc w:val="center"/>
              <w:rPr>
                <w:rFonts w:cs="Calibri"/>
                <w:b/>
                <w:color w:val="FFFFFF"/>
                <w:sz w:val="16"/>
                <w:szCs w:val="16"/>
              </w:rPr>
            </w:pPr>
            <w:r>
              <w:rPr>
                <w:rFonts w:cs="Calibri"/>
                <w:b/>
                <w:color w:val="FFFFFF"/>
                <w:sz w:val="16"/>
                <w:szCs w:val="16"/>
              </w:rPr>
              <w:t>b5</w:t>
            </w:r>
          </w:p>
        </w:tc>
        <w:tc>
          <w:tcPr>
            <w:tcW w:w="426" w:type="dxa"/>
            <w:tcBorders>
              <w:top w:val="single" w:sz="4" w:space="0" w:color="auto"/>
              <w:left w:val="single" w:sz="6" w:space="0" w:color="auto"/>
              <w:bottom w:val="single" w:sz="6" w:space="0" w:color="auto"/>
              <w:right w:val="single" w:sz="6" w:space="0" w:color="auto"/>
            </w:tcBorders>
            <w:shd w:val="clear" w:color="auto" w:fill="C00000"/>
            <w:hideMark/>
          </w:tcPr>
          <w:p w14:paraId="6BE334C6" w14:textId="77777777" w:rsidR="00B97365" w:rsidRDefault="00000000">
            <w:pPr>
              <w:jc w:val="center"/>
              <w:rPr>
                <w:rFonts w:cs="Calibri"/>
                <w:b/>
                <w:color w:val="FFFFFF"/>
                <w:sz w:val="16"/>
                <w:szCs w:val="16"/>
              </w:rPr>
            </w:pPr>
            <w:r>
              <w:rPr>
                <w:rFonts w:cs="Calibri"/>
                <w:b/>
                <w:color w:val="FFFFFF"/>
                <w:sz w:val="16"/>
                <w:szCs w:val="16"/>
              </w:rPr>
              <w:t>b4</w:t>
            </w:r>
          </w:p>
        </w:tc>
        <w:tc>
          <w:tcPr>
            <w:tcW w:w="425" w:type="dxa"/>
            <w:tcBorders>
              <w:top w:val="single" w:sz="4" w:space="0" w:color="auto"/>
              <w:left w:val="single" w:sz="6" w:space="0" w:color="auto"/>
              <w:bottom w:val="single" w:sz="6" w:space="0" w:color="auto"/>
              <w:right w:val="single" w:sz="6" w:space="0" w:color="auto"/>
            </w:tcBorders>
            <w:shd w:val="clear" w:color="auto" w:fill="C00000"/>
            <w:hideMark/>
          </w:tcPr>
          <w:p w14:paraId="066C8C77" w14:textId="77777777" w:rsidR="00B97365" w:rsidRDefault="00000000">
            <w:pPr>
              <w:jc w:val="center"/>
              <w:rPr>
                <w:rFonts w:cs="Calibri"/>
                <w:b/>
                <w:color w:val="FFFFFF"/>
                <w:sz w:val="16"/>
                <w:szCs w:val="16"/>
              </w:rPr>
            </w:pPr>
            <w:r>
              <w:rPr>
                <w:rFonts w:cs="Calibri"/>
                <w:b/>
                <w:color w:val="FFFFFF"/>
                <w:sz w:val="16"/>
                <w:szCs w:val="16"/>
              </w:rPr>
              <w:t>b3</w:t>
            </w:r>
          </w:p>
        </w:tc>
        <w:tc>
          <w:tcPr>
            <w:tcW w:w="42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D556083" w14:textId="77777777" w:rsidR="00B97365" w:rsidRDefault="00000000">
            <w:pPr>
              <w:jc w:val="center"/>
              <w:rPr>
                <w:rFonts w:cs="Calibri"/>
                <w:b/>
                <w:color w:val="FFFFFF"/>
                <w:sz w:val="16"/>
                <w:szCs w:val="16"/>
              </w:rPr>
            </w:pPr>
            <w:r>
              <w:rPr>
                <w:rFonts w:cs="Calibri"/>
                <w:b/>
                <w:color w:val="FFFFFF"/>
                <w:sz w:val="16"/>
                <w:szCs w:val="16"/>
              </w:rPr>
              <w:t>b2</w:t>
            </w:r>
          </w:p>
        </w:tc>
        <w:tc>
          <w:tcPr>
            <w:tcW w:w="42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F644CAC" w14:textId="77777777" w:rsidR="00B97365" w:rsidRDefault="00000000">
            <w:pPr>
              <w:jc w:val="center"/>
              <w:rPr>
                <w:rFonts w:cs="Calibri"/>
                <w:b/>
                <w:color w:val="FFFFFF"/>
                <w:sz w:val="16"/>
                <w:szCs w:val="16"/>
              </w:rPr>
            </w:pPr>
            <w:r>
              <w:rPr>
                <w:rFonts w:cs="Calibri"/>
                <w:b/>
                <w:color w:val="FFFFFF"/>
                <w:sz w:val="16"/>
                <w:szCs w:val="16"/>
              </w:rPr>
              <w:t>b1</w:t>
            </w:r>
          </w:p>
        </w:tc>
        <w:tc>
          <w:tcPr>
            <w:tcW w:w="4252"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5DE161C" w14:textId="77777777" w:rsidR="00B97365" w:rsidRDefault="00000000">
            <w:pPr>
              <w:jc w:val="center"/>
              <w:rPr>
                <w:rFonts w:cs="Calibri"/>
                <w:b/>
                <w:color w:val="FFFFFF"/>
                <w:sz w:val="16"/>
                <w:szCs w:val="16"/>
              </w:rPr>
            </w:pPr>
            <w:r>
              <w:rPr>
                <w:rFonts w:cs="Calibri"/>
                <w:b/>
                <w:color w:val="FFFFFF"/>
                <w:sz w:val="16"/>
                <w:szCs w:val="16"/>
              </w:rPr>
              <w:t>Meaning</w:t>
            </w:r>
          </w:p>
        </w:tc>
      </w:tr>
      <w:tr w:rsidR="00B97365" w14:paraId="191DC758" w14:textId="77777777">
        <w:trPr>
          <w:trHeight w:val="239"/>
        </w:trPr>
        <w:tc>
          <w:tcPr>
            <w:tcW w:w="425" w:type="dxa"/>
            <w:tcBorders>
              <w:top w:val="single" w:sz="6" w:space="0" w:color="auto"/>
              <w:left w:val="single" w:sz="4" w:space="0" w:color="auto"/>
              <w:bottom w:val="single" w:sz="6" w:space="0" w:color="auto"/>
              <w:right w:val="single" w:sz="6" w:space="0" w:color="auto"/>
            </w:tcBorders>
            <w:hideMark/>
          </w:tcPr>
          <w:p w14:paraId="54813CCD" w14:textId="77777777" w:rsidR="00B97365" w:rsidRDefault="00000000">
            <w:pPr>
              <w:rPr>
                <w:rFonts w:cs="Calibri"/>
                <w:sz w:val="16"/>
                <w:szCs w:val="16"/>
              </w:rPr>
            </w:pPr>
            <w:r>
              <w:rPr>
                <w:rFonts w:cs="Calibri"/>
                <w:sz w:val="16"/>
                <w:szCs w:val="16"/>
              </w:rPr>
              <w:t>X</w:t>
            </w:r>
          </w:p>
        </w:tc>
        <w:tc>
          <w:tcPr>
            <w:tcW w:w="425" w:type="dxa"/>
            <w:tcBorders>
              <w:top w:val="single" w:sz="6" w:space="0" w:color="auto"/>
              <w:left w:val="single" w:sz="6" w:space="0" w:color="auto"/>
              <w:bottom w:val="single" w:sz="6" w:space="0" w:color="auto"/>
              <w:right w:val="single" w:sz="6" w:space="0" w:color="auto"/>
            </w:tcBorders>
            <w:hideMark/>
          </w:tcPr>
          <w:p w14:paraId="7D0679CF" w14:textId="77777777" w:rsidR="00B97365" w:rsidRDefault="00000000">
            <w:pPr>
              <w:rPr>
                <w:rFonts w:cs="Calibri"/>
                <w:sz w:val="16"/>
                <w:szCs w:val="16"/>
              </w:rPr>
            </w:pPr>
            <w:r>
              <w:rPr>
                <w:rFonts w:cs="Calibri"/>
                <w:sz w:val="16"/>
                <w:szCs w:val="16"/>
              </w:rPr>
              <w:t>X</w:t>
            </w:r>
          </w:p>
        </w:tc>
        <w:tc>
          <w:tcPr>
            <w:tcW w:w="425" w:type="dxa"/>
            <w:tcBorders>
              <w:top w:val="single" w:sz="6" w:space="0" w:color="auto"/>
              <w:left w:val="single" w:sz="6" w:space="0" w:color="auto"/>
              <w:bottom w:val="single" w:sz="6" w:space="0" w:color="auto"/>
              <w:right w:val="single" w:sz="6" w:space="0" w:color="auto"/>
            </w:tcBorders>
            <w:hideMark/>
          </w:tcPr>
          <w:p w14:paraId="7C7BE545" w14:textId="77777777" w:rsidR="00B97365" w:rsidRDefault="00000000">
            <w:pPr>
              <w:rPr>
                <w:rFonts w:cs="Calibri"/>
                <w:sz w:val="16"/>
                <w:szCs w:val="16"/>
              </w:rPr>
            </w:pPr>
            <w:r>
              <w:rPr>
                <w:rFonts w:cs="Calibri"/>
                <w:sz w:val="16"/>
                <w:szCs w:val="16"/>
              </w:rPr>
              <w:t>X</w:t>
            </w:r>
          </w:p>
        </w:tc>
        <w:tc>
          <w:tcPr>
            <w:tcW w:w="425" w:type="dxa"/>
            <w:tcBorders>
              <w:top w:val="single" w:sz="6" w:space="0" w:color="auto"/>
              <w:left w:val="single" w:sz="6" w:space="0" w:color="auto"/>
              <w:bottom w:val="single" w:sz="6" w:space="0" w:color="auto"/>
              <w:right w:val="single" w:sz="6" w:space="0" w:color="auto"/>
            </w:tcBorders>
            <w:hideMark/>
          </w:tcPr>
          <w:p w14:paraId="381777A3" w14:textId="77777777" w:rsidR="00B97365" w:rsidRDefault="00000000">
            <w:pPr>
              <w:rPr>
                <w:rFonts w:cs="Calibri"/>
                <w:sz w:val="16"/>
                <w:szCs w:val="16"/>
              </w:rPr>
            </w:pPr>
            <w:r>
              <w:rPr>
                <w:rFonts w:cs="Calibri"/>
                <w:sz w:val="16"/>
                <w:szCs w:val="16"/>
              </w:rPr>
              <w:t>X</w:t>
            </w:r>
          </w:p>
        </w:tc>
        <w:tc>
          <w:tcPr>
            <w:tcW w:w="426" w:type="dxa"/>
            <w:tcBorders>
              <w:top w:val="single" w:sz="6" w:space="0" w:color="auto"/>
              <w:left w:val="single" w:sz="6" w:space="0" w:color="auto"/>
              <w:bottom w:val="single" w:sz="6" w:space="0" w:color="auto"/>
              <w:right w:val="single" w:sz="6" w:space="0" w:color="auto"/>
            </w:tcBorders>
            <w:hideMark/>
          </w:tcPr>
          <w:p w14:paraId="77556D85" w14:textId="77777777" w:rsidR="00B97365" w:rsidRDefault="00000000">
            <w:pPr>
              <w:rPr>
                <w:rFonts w:cs="Calibri"/>
                <w:sz w:val="16"/>
                <w:szCs w:val="16"/>
              </w:rPr>
            </w:pPr>
            <w:r>
              <w:rPr>
                <w:rFonts w:cs="Calibri"/>
                <w:sz w:val="16"/>
                <w:szCs w:val="16"/>
              </w:rPr>
              <w:t>X</w:t>
            </w:r>
          </w:p>
        </w:tc>
        <w:tc>
          <w:tcPr>
            <w:tcW w:w="425" w:type="dxa"/>
            <w:tcBorders>
              <w:top w:val="single" w:sz="6" w:space="0" w:color="auto"/>
              <w:left w:val="single" w:sz="6" w:space="0" w:color="auto"/>
              <w:bottom w:val="single" w:sz="6" w:space="0" w:color="auto"/>
              <w:right w:val="single" w:sz="6" w:space="0" w:color="auto"/>
            </w:tcBorders>
            <w:hideMark/>
          </w:tcPr>
          <w:p w14:paraId="23578832" w14:textId="77777777" w:rsidR="00B97365" w:rsidRDefault="00000000">
            <w:pPr>
              <w:rPr>
                <w:rFonts w:cs="Calibri"/>
                <w:sz w:val="16"/>
                <w:szCs w:val="16"/>
              </w:rPr>
            </w:pPr>
            <w:r>
              <w:rPr>
                <w:rFonts w:cs="Calibri"/>
                <w:sz w:val="16"/>
                <w:szCs w:val="16"/>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7010A9D2" w14:textId="77777777" w:rsidR="00B97365" w:rsidRDefault="00000000">
            <w:pPr>
              <w:rPr>
                <w:rFonts w:cs="Calibri"/>
                <w:sz w:val="16"/>
                <w:szCs w:val="16"/>
              </w:rPr>
            </w:pPr>
            <w:r>
              <w:rPr>
                <w:rFonts w:cs="Calibri"/>
                <w:sz w:val="16"/>
                <w:szCs w:val="16"/>
              </w:rPr>
              <w:t>-</w:t>
            </w:r>
          </w:p>
        </w:tc>
        <w:tc>
          <w:tcPr>
            <w:tcW w:w="426" w:type="dxa"/>
            <w:tcBorders>
              <w:top w:val="single" w:sz="6" w:space="0" w:color="auto"/>
              <w:left w:val="single" w:sz="6" w:space="0" w:color="auto"/>
              <w:bottom w:val="single" w:sz="6" w:space="0" w:color="auto"/>
              <w:right w:val="single" w:sz="6" w:space="0" w:color="auto"/>
            </w:tcBorders>
            <w:vAlign w:val="center"/>
            <w:hideMark/>
          </w:tcPr>
          <w:p w14:paraId="4A4FDE51" w14:textId="77777777" w:rsidR="00B97365" w:rsidRDefault="00000000">
            <w:pPr>
              <w:rPr>
                <w:rFonts w:cs="Calibri"/>
                <w:sz w:val="16"/>
                <w:szCs w:val="16"/>
              </w:rPr>
            </w:pPr>
            <w:r>
              <w:rPr>
                <w:rFonts w:cs="Calibri"/>
                <w:sz w:val="16"/>
                <w:szCs w:val="16"/>
              </w:rPr>
              <w:t>-</w:t>
            </w:r>
          </w:p>
        </w:tc>
        <w:tc>
          <w:tcPr>
            <w:tcW w:w="4252" w:type="dxa"/>
            <w:tcBorders>
              <w:top w:val="single" w:sz="6" w:space="0" w:color="auto"/>
              <w:left w:val="single" w:sz="6" w:space="0" w:color="auto"/>
              <w:bottom w:val="single" w:sz="6" w:space="0" w:color="auto"/>
              <w:right w:val="single" w:sz="4" w:space="0" w:color="auto"/>
            </w:tcBorders>
            <w:vAlign w:val="center"/>
            <w:hideMark/>
          </w:tcPr>
          <w:p w14:paraId="75109B2B" w14:textId="77777777" w:rsidR="00B97365" w:rsidRDefault="00000000">
            <w:pPr>
              <w:rPr>
                <w:rFonts w:cs="Calibri"/>
                <w:sz w:val="16"/>
                <w:szCs w:val="16"/>
              </w:rPr>
            </w:pPr>
            <w:r>
              <w:rPr>
                <w:rFonts w:cs="Calibri"/>
                <w:sz w:val="16"/>
                <w:szCs w:val="16"/>
              </w:rPr>
              <w:t>RFU</w:t>
            </w:r>
          </w:p>
        </w:tc>
      </w:tr>
      <w:tr w:rsidR="00B97365" w14:paraId="2BF416CD" w14:textId="77777777">
        <w:trPr>
          <w:trHeight w:val="239"/>
        </w:trPr>
        <w:tc>
          <w:tcPr>
            <w:tcW w:w="425" w:type="dxa"/>
            <w:tcBorders>
              <w:top w:val="single" w:sz="6" w:space="0" w:color="auto"/>
              <w:left w:val="single" w:sz="4" w:space="0" w:color="auto"/>
              <w:bottom w:val="single" w:sz="6" w:space="0" w:color="auto"/>
              <w:right w:val="single" w:sz="6" w:space="0" w:color="auto"/>
            </w:tcBorders>
            <w:hideMark/>
          </w:tcPr>
          <w:p w14:paraId="26754539"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hideMark/>
          </w:tcPr>
          <w:p w14:paraId="7BED75C4"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hideMark/>
          </w:tcPr>
          <w:p w14:paraId="5FCBED24"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hideMark/>
          </w:tcPr>
          <w:p w14:paraId="2D55718B" w14:textId="77777777" w:rsidR="00B97365" w:rsidRDefault="00000000">
            <w:pPr>
              <w:rPr>
                <w:rFonts w:cs="Calibri"/>
                <w:sz w:val="16"/>
                <w:szCs w:val="16"/>
              </w:rPr>
            </w:pPr>
            <w:r>
              <w:rPr>
                <w:rFonts w:cs="Calibri"/>
                <w:sz w:val="16"/>
                <w:szCs w:val="16"/>
              </w:rPr>
              <w:t>-</w:t>
            </w:r>
          </w:p>
        </w:tc>
        <w:tc>
          <w:tcPr>
            <w:tcW w:w="426" w:type="dxa"/>
            <w:tcBorders>
              <w:top w:val="single" w:sz="6" w:space="0" w:color="auto"/>
              <w:left w:val="single" w:sz="6" w:space="0" w:color="auto"/>
              <w:bottom w:val="single" w:sz="6" w:space="0" w:color="auto"/>
              <w:right w:val="single" w:sz="6" w:space="0" w:color="auto"/>
            </w:tcBorders>
            <w:hideMark/>
          </w:tcPr>
          <w:p w14:paraId="41F1B7D0"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hideMark/>
          </w:tcPr>
          <w:p w14:paraId="712589FD"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82BB089" w14:textId="77777777" w:rsidR="00B97365" w:rsidRDefault="00000000">
            <w:pPr>
              <w:rPr>
                <w:rFonts w:cs="Calibri"/>
                <w:sz w:val="16"/>
                <w:szCs w:val="16"/>
              </w:rPr>
            </w:pPr>
            <w:r>
              <w:rPr>
                <w:rFonts w:cs="Calibri"/>
                <w:sz w:val="16"/>
                <w:szCs w:val="16"/>
              </w:rPr>
              <w:t>1</w:t>
            </w:r>
          </w:p>
        </w:tc>
        <w:tc>
          <w:tcPr>
            <w:tcW w:w="426" w:type="dxa"/>
            <w:tcBorders>
              <w:top w:val="single" w:sz="6" w:space="0" w:color="auto"/>
              <w:left w:val="single" w:sz="6" w:space="0" w:color="auto"/>
              <w:bottom w:val="single" w:sz="6" w:space="0" w:color="auto"/>
              <w:right w:val="single" w:sz="6" w:space="0" w:color="auto"/>
            </w:tcBorders>
            <w:vAlign w:val="center"/>
            <w:hideMark/>
          </w:tcPr>
          <w:p w14:paraId="4F205AE6" w14:textId="77777777" w:rsidR="00B97365" w:rsidRDefault="00000000">
            <w:pPr>
              <w:rPr>
                <w:rFonts w:cs="Calibri"/>
                <w:sz w:val="16"/>
                <w:szCs w:val="16"/>
              </w:rPr>
            </w:pPr>
            <w:r>
              <w:rPr>
                <w:rFonts w:cs="Calibri"/>
                <w:sz w:val="16"/>
                <w:szCs w:val="16"/>
              </w:rPr>
              <w:t>-</w:t>
            </w:r>
          </w:p>
        </w:tc>
        <w:tc>
          <w:tcPr>
            <w:tcW w:w="4252" w:type="dxa"/>
            <w:tcBorders>
              <w:top w:val="single" w:sz="6" w:space="0" w:color="auto"/>
              <w:left w:val="single" w:sz="6" w:space="0" w:color="auto"/>
              <w:bottom w:val="single" w:sz="6" w:space="0" w:color="auto"/>
              <w:right w:val="single" w:sz="4" w:space="0" w:color="auto"/>
            </w:tcBorders>
            <w:vAlign w:val="center"/>
            <w:hideMark/>
          </w:tcPr>
          <w:p w14:paraId="274C0F4F" w14:textId="7B11556F" w:rsidR="00B97365" w:rsidRDefault="00000000">
            <w:pPr>
              <w:rPr>
                <w:rFonts w:cs="Calibri"/>
                <w:sz w:val="16"/>
                <w:szCs w:val="16"/>
              </w:rPr>
            </w:pPr>
            <w:r>
              <w:rPr>
                <w:rFonts w:cs="Calibri"/>
                <w:sz w:val="16"/>
                <w:szCs w:val="16"/>
              </w:rPr>
              <w:t xml:space="preserve">Response Data Structure according to table 11-36 of GlobalPlatform Card Specification </w:t>
            </w:r>
            <w:r>
              <w:fldChar w:fldCharType="begin"/>
            </w:r>
            <w:r>
              <w:rPr>
                <w:rFonts w:cs="Calibri"/>
                <w:sz w:val="16"/>
                <w:szCs w:val="16"/>
              </w:rPr>
              <w:instrText xml:space="preserve"> REF _Ref421631311 \r \h </w:instrText>
            </w:r>
            <w:r>
              <w:fldChar w:fldCharType="separate"/>
            </w:r>
            <w:r w:rsidR="001D5AD9">
              <w:rPr>
                <w:rFonts w:cs="Calibri"/>
                <w:sz w:val="16"/>
                <w:szCs w:val="16"/>
              </w:rPr>
              <w:t>[6]</w:t>
            </w:r>
            <w:r>
              <w:fldChar w:fldCharType="end"/>
            </w:r>
            <w:r>
              <w:rPr>
                <w:rFonts w:cs="Calibri"/>
                <w:sz w:val="16"/>
                <w:szCs w:val="16"/>
              </w:rPr>
              <w:t>.</w:t>
            </w:r>
          </w:p>
        </w:tc>
      </w:tr>
      <w:tr w:rsidR="00B97365" w14:paraId="2BAC2BE0" w14:textId="77777777">
        <w:trPr>
          <w:trHeight w:val="239"/>
        </w:trPr>
        <w:tc>
          <w:tcPr>
            <w:tcW w:w="425" w:type="dxa"/>
            <w:tcBorders>
              <w:top w:val="single" w:sz="6" w:space="0" w:color="auto"/>
              <w:left w:val="single" w:sz="4" w:space="0" w:color="auto"/>
              <w:bottom w:val="single" w:sz="6" w:space="0" w:color="auto"/>
              <w:right w:val="single" w:sz="6" w:space="0" w:color="auto"/>
            </w:tcBorders>
            <w:hideMark/>
          </w:tcPr>
          <w:p w14:paraId="4E1B8CCA"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hideMark/>
          </w:tcPr>
          <w:p w14:paraId="11F504D1"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hideMark/>
          </w:tcPr>
          <w:p w14:paraId="7FC67AD2"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hideMark/>
          </w:tcPr>
          <w:p w14:paraId="7C62D3A1" w14:textId="77777777" w:rsidR="00B97365" w:rsidRDefault="00000000">
            <w:pPr>
              <w:rPr>
                <w:rFonts w:cs="Calibri"/>
                <w:sz w:val="16"/>
                <w:szCs w:val="16"/>
              </w:rPr>
            </w:pPr>
            <w:r>
              <w:rPr>
                <w:rFonts w:cs="Calibri"/>
                <w:sz w:val="16"/>
                <w:szCs w:val="16"/>
              </w:rPr>
              <w:t>-</w:t>
            </w:r>
          </w:p>
        </w:tc>
        <w:tc>
          <w:tcPr>
            <w:tcW w:w="426" w:type="dxa"/>
            <w:tcBorders>
              <w:top w:val="single" w:sz="6" w:space="0" w:color="auto"/>
              <w:left w:val="single" w:sz="6" w:space="0" w:color="auto"/>
              <w:bottom w:val="single" w:sz="6" w:space="0" w:color="auto"/>
              <w:right w:val="single" w:sz="6" w:space="0" w:color="auto"/>
            </w:tcBorders>
            <w:hideMark/>
          </w:tcPr>
          <w:p w14:paraId="765DC5BD"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hideMark/>
          </w:tcPr>
          <w:p w14:paraId="0677E66A"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6" w:space="0" w:color="auto"/>
              <w:right w:val="single" w:sz="6" w:space="0" w:color="auto"/>
            </w:tcBorders>
            <w:hideMark/>
          </w:tcPr>
          <w:p w14:paraId="40CF22A3" w14:textId="77777777" w:rsidR="00B97365" w:rsidRDefault="00000000">
            <w:pPr>
              <w:rPr>
                <w:rFonts w:cs="Calibri"/>
                <w:sz w:val="16"/>
                <w:szCs w:val="16"/>
              </w:rPr>
            </w:pPr>
            <w:r>
              <w:rPr>
                <w:rFonts w:cs="Calibri"/>
                <w:sz w:val="16"/>
                <w:szCs w:val="16"/>
              </w:rPr>
              <w:t>-</w:t>
            </w:r>
          </w:p>
        </w:tc>
        <w:tc>
          <w:tcPr>
            <w:tcW w:w="426" w:type="dxa"/>
            <w:tcBorders>
              <w:top w:val="single" w:sz="6" w:space="0" w:color="auto"/>
              <w:left w:val="single" w:sz="6" w:space="0" w:color="auto"/>
              <w:bottom w:val="single" w:sz="6" w:space="0" w:color="auto"/>
              <w:right w:val="single" w:sz="6" w:space="0" w:color="auto"/>
            </w:tcBorders>
            <w:vAlign w:val="center"/>
            <w:hideMark/>
          </w:tcPr>
          <w:p w14:paraId="65708E8B" w14:textId="77777777" w:rsidR="00B97365" w:rsidRDefault="00000000">
            <w:pPr>
              <w:rPr>
                <w:rFonts w:cs="Calibri"/>
                <w:sz w:val="16"/>
                <w:szCs w:val="16"/>
              </w:rPr>
            </w:pPr>
            <w:r>
              <w:rPr>
                <w:rFonts w:cs="Calibri"/>
                <w:sz w:val="16"/>
                <w:szCs w:val="16"/>
              </w:rPr>
              <w:t>0</w:t>
            </w:r>
          </w:p>
        </w:tc>
        <w:tc>
          <w:tcPr>
            <w:tcW w:w="4252" w:type="dxa"/>
            <w:tcBorders>
              <w:top w:val="single" w:sz="6" w:space="0" w:color="auto"/>
              <w:left w:val="single" w:sz="6" w:space="0" w:color="auto"/>
              <w:bottom w:val="single" w:sz="6" w:space="0" w:color="auto"/>
              <w:right w:val="single" w:sz="4" w:space="0" w:color="auto"/>
            </w:tcBorders>
            <w:vAlign w:val="center"/>
            <w:hideMark/>
          </w:tcPr>
          <w:p w14:paraId="2A1967B4" w14:textId="77777777" w:rsidR="00B97365" w:rsidRDefault="00000000">
            <w:pPr>
              <w:rPr>
                <w:rFonts w:cs="Calibri"/>
                <w:sz w:val="16"/>
                <w:szCs w:val="16"/>
              </w:rPr>
            </w:pPr>
            <w:r>
              <w:rPr>
                <w:rFonts w:cs="Calibri"/>
                <w:sz w:val="16"/>
                <w:szCs w:val="16"/>
              </w:rPr>
              <w:t>Get first or all occurrence(s)</w:t>
            </w:r>
          </w:p>
        </w:tc>
      </w:tr>
      <w:tr w:rsidR="00B97365" w14:paraId="4F850D6C" w14:textId="77777777">
        <w:trPr>
          <w:trHeight w:val="239"/>
        </w:trPr>
        <w:tc>
          <w:tcPr>
            <w:tcW w:w="425" w:type="dxa"/>
            <w:tcBorders>
              <w:top w:val="single" w:sz="6" w:space="0" w:color="auto"/>
              <w:left w:val="single" w:sz="4" w:space="0" w:color="auto"/>
              <w:bottom w:val="single" w:sz="4" w:space="0" w:color="auto"/>
              <w:right w:val="single" w:sz="6" w:space="0" w:color="auto"/>
            </w:tcBorders>
            <w:hideMark/>
          </w:tcPr>
          <w:p w14:paraId="071BEECB"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4" w:space="0" w:color="auto"/>
              <w:right w:val="single" w:sz="6" w:space="0" w:color="auto"/>
            </w:tcBorders>
            <w:hideMark/>
          </w:tcPr>
          <w:p w14:paraId="55A4A0FC"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4" w:space="0" w:color="auto"/>
              <w:right w:val="single" w:sz="6" w:space="0" w:color="auto"/>
            </w:tcBorders>
            <w:hideMark/>
          </w:tcPr>
          <w:p w14:paraId="27C0C914"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4" w:space="0" w:color="auto"/>
              <w:right w:val="single" w:sz="6" w:space="0" w:color="auto"/>
            </w:tcBorders>
            <w:hideMark/>
          </w:tcPr>
          <w:p w14:paraId="29EEBC77" w14:textId="77777777" w:rsidR="00B97365" w:rsidRDefault="00000000">
            <w:pPr>
              <w:rPr>
                <w:rFonts w:cs="Calibri"/>
                <w:sz w:val="16"/>
                <w:szCs w:val="16"/>
              </w:rPr>
            </w:pPr>
            <w:r>
              <w:rPr>
                <w:rFonts w:cs="Calibri"/>
                <w:sz w:val="16"/>
                <w:szCs w:val="16"/>
              </w:rPr>
              <w:t>-</w:t>
            </w:r>
          </w:p>
        </w:tc>
        <w:tc>
          <w:tcPr>
            <w:tcW w:w="426" w:type="dxa"/>
            <w:tcBorders>
              <w:top w:val="single" w:sz="6" w:space="0" w:color="auto"/>
              <w:left w:val="single" w:sz="6" w:space="0" w:color="auto"/>
              <w:bottom w:val="single" w:sz="4" w:space="0" w:color="auto"/>
              <w:right w:val="single" w:sz="6" w:space="0" w:color="auto"/>
            </w:tcBorders>
            <w:hideMark/>
          </w:tcPr>
          <w:p w14:paraId="46C0DD8C"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4" w:space="0" w:color="auto"/>
              <w:right w:val="single" w:sz="6" w:space="0" w:color="auto"/>
            </w:tcBorders>
            <w:hideMark/>
          </w:tcPr>
          <w:p w14:paraId="7000262A" w14:textId="77777777" w:rsidR="00B97365" w:rsidRDefault="00000000">
            <w:pPr>
              <w:rPr>
                <w:rFonts w:cs="Calibri"/>
                <w:sz w:val="16"/>
                <w:szCs w:val="16"/>
              </w:rPr>
            </w:pPr>
            <w:r>
              <w:rPr>
                <w:rFonts w:cs="Calibri"/>
                <w:sz w:val="16"/>
                <w:szCs w:val="16"/>
              </w:rPr>
              <w:t>-</w:t>
            </w:r>
          </w:p>
        </w:tc>
        <w:tc>
          <w:tcPr>
            <w:tcW w:w="425" w:type="dxa"/>
            <w:tcBorders>
              <w:top w:val="single" w:sz="6" w:space="0" w:color="auto"/>
              <w:left w:val="single" w:sz="6" w:space="0" w:color="auto"/>
              <w:bottom w:val="single" w:sz="4" w:space="0" w:color="auto"/>
              <w:right w:val="single" w:sz="6" w:space="0" w:color="auto"/>
            </w:tcBorders>
            <w:hideMark/>
          </w:tcPr>
          <w:p w14:paraId="50C4FF16" w14:textId="77777777" w:rsidR="00B97365" w:rsidRDefault="00000000">
            <w:pPr>
              <w:rPr>
                <w:rFonts w:cs="Calibri"/>
                <w:sz w:val="16"/>
                <w:szCs w:val="16"/>
              </w:rPr>
            </w:pPr>
            <w:r>
              <w:rPr>
                <w:rFonts w:cs="Calibri"/>
                <w:sz w:val="16"/>
                <w:szCs w:val="16"/>
              </w:rPr>
              <w:t>-</w:t>
            </w:r>
          </w:p>
        </w:tc>
        <w:tc>
          <w:tcPr>
            <w:tcW w:w="426" w:type="dxa"/>
            <w:tcBorders>
              <w:top w:val="single" w:sz="6" w:space="0" w:color="auto"/>
              <w:left w:val="single" w:sz="6" w:space="0" w:color="auto"/>
              <w:bottom w:val="single" w:sz="4" w:space="0" w:color="auto"/>
              <w:right w:val="single" w:sz="6" w:space="0" w:color="auto"/>
            </w:tcBorders>
            <w:vAlign w:val="center"/>
            <w:hideMark/>
          </w:tcPr>
          <w:p w14:paraId="307AC323" w14:textId="77777777" w:rsidR="00B97365" w:rsidRDefault="00000000">
            <w:pPr>
              <w:rPr>
                <w:rFonts w:cs="Calibri"/>
                <w:sz w:val="16"/>
                <w:szCs w:val="16"/>
              </w:rPr>
            </w:pPr>
            <w:r>
              <w:rPr>
                <w:rFonts w:cs="Calibri"/>
                <w:sz w:val="16"/>
                <w:szCs w:val="16"/>
              </w:rPr>
              <w:t>1</w:t>
            </w:r>
          </w:p>
        </w:tc>
        <w:tc>
          <w:tcPr>
            <w:tcW w:w="4252" w:type="dxa"/>
            <w:tcBorders>
              <w:top w:val="single" w:sz="6" w:space="0" w:color="auto"/>
              <w:left w:val="single" w:sz="6" w:space="0" w:color="auto"/>
              <w:bottom w:val="single" w:sz="4" w:space="0" w:color="auto"/>
              <w:right w:val="single" w:sz="4" w:space="0" w:color="auto"/>
            </w:tcBorders>
            <w:vAlign w:val="center"/>
            <w:hideMark/>
          </w:tcPr>
          <w:p w14:paraId="709CEEE0" w14:textId="77777777" w:rsidR="00B97365" w:rsidRDefault="00000000">
            <w:pPr>
              <w:rPr>
                <w:rFonts w:cs="Calibri"/>
                <w:sz w:val="16"/>
                <w:szCs w:val="16"/>
              </w:rPr>
            </w:pPr>
            <w:r>
              <w:rPr>
                <w:rFonts w:cs="Calibri"/>
                <w:sz w:val="16"/>
                <w:szCs w:val="16"/>
              </w:rPr>
              <w:t>Get next occurrence(s)</w:t>
            </w:r>
          </w:p>
        </w:tc>
      </w:tr>
    </w:tbl>
    <w:p w14:paraId="3E60C06D"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GET STATUS Command Reference Control Parameter P2</w:t>
      </w:r>
    </w:p>
    <w:p w14:paraId="20C2E76C" w14:textId="77777777" w:rsidR="00B97365" w:rsidRDefault="00000000">
      <w:pPr>
        <w:spacing w:before="0" w:after="200" w:line="276" w:lineRule="auto"/>
        <w:jc w:val="left"/>
        <w:rPr>
          <w:b/>
          <w:i/>
          <w:szCs w:val="22"/>
          <w:lang w:val="en-US" w:eastAsia="en-GB" w:bidi="ar-SA"/>
        </w:rPr>
      </w:pPr>
      <w:bookmarkStart w:id="2365" w:name="_Toc420594490"/>
      <w:r>
        <w:rPr>
          <w:rFonts w:cs="Arial"/>
          <w:b/>
          <w:i/>
          <w:szCs w:val="22"/>
          <w:lang w:val="en-US" w:eastAsia="en-GB" w:bidi="ar-SA"/>
        </w:rPr>
        <w:t>Data field</w:t>
      </w:r>
      <w:r>
        <w:rPr>
          <w:b/>
          <w:i/>
          <w:szCs w:val="22"/>
          <w:lang w:val="en-US" w:eastAsia="en-GB" w:bidi="ar-SA"/>
        </w:rPr>
        <w:t xml:space="preserve"> sent in the Command Message</w:t>
      </w:r>
      <w:bookmarkEnd w:id="2365"/>
    </w:p>
    <w:p w14:paraId="7034DB3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GET STATUS command message data field SHALL contain at least one TLV coded search qualifier: the AID (tag ‘4F’). It SHALL be possible to search for all the occurrences that match the selection criteria according to the reference control parameter P1 using a search criteria of ‘4F 00’.</w:t>
      </w:r>
    </w:p>
    <w:p w14:paraId="36C9F98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search is limited to the ISD-P instances.</w:t>
      </w:r>
    </w:p>
    <w:p w14:paraId="7D75E33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following other search criteria SHALL be supported: Life Cycle State (tag ‘9F70’) and ISD-P Attributes (tag ‘53’).  </w:t>
      </w:r>
    </w:p>
    <w:p w14:paraId="2E9B946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tag list (tag ‘5C’) indicates to the UICC how to construct the response data for each eUICC entity matching the search criteria. </w:t>
      </w:r>
    </w:p>
    <w:p w14:paraId="2198BCA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data field is structured as follows:</w:t>
      </w:r>
    </w:p>
    <w:tbl>
      <w:tblPr>
        <w:tblW w:w="6948" w:type="dxa"/>
        <w:tblInd w:w="10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913"/>
        <w:gridCol w:w="1915"/>
        <w:gridCol w:w="1914"/>
        <w:gridCol w:w="1206"/>
      </w:tblGrid>
      <w:tr w:rsidR="00B97365" w14:paraId="431AE5AB" w14:textId="77777777">
        <w:trPr>
          <w:trHeight w:val="239"/>
          <w:tblHeader/>
        </w:trPr>
        <w:tc>
          <w:tcPr>
            <w:tcW w:w="1913" w:type="dxa"/>
            <w:tcBorders>
              <w:top w:val="single" w:sz="4" w:space="0" w:color="auto"/>
              <w:left w:val="single" w:sz="4" w:space="0" w:color="auto"/>
              <w:bottom w:val="single" w:sz="6" w:space="0" w:color="auto"/>
              <w:right w:val="single" w:sz="6" w:space="0" w:color="auto"/>
            </w:tcBorders>
            <w:shd w:val="clear" w:color="auto" w:fill="C00000"/>
            <w:hideMark/>
          </w:tcPr>
          <w:p w14:paraId="7B8979CD" w14:textId="77777777" w:rsidR="00B97365" w:rsidRDefault="00000000">
            <w:pPr>
              <w:jc w:val="center"/>
              <w:rPr>
                <w:rFonts w:cs="Calibri"/>
                <w:b/>
                <w:color w:val="FFFFFF"/>
                <w:sz w:val="16"/>
                <w:szCs w:val="16"/>
              </w:rPr>
            </w:pPr>
            <w:r>
              <w:rPr>
                <w:rFonts w:cs="Calibri"/>
                <w:b/>
                <w:color w:val="FFFFFF"/>
                <w:sz w:val="16"/>
                <w:szCs w:val="16"/>
              </w:rPr>
              <w:t>Tag</w:t>
            </w:r>
          </w:p>
        </w:tc>
        <w:tc>
          <w:tcPr>
            <w:tcW w:w="191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4129D57" w14:textId="77777777" w:rsidR="00B97365" w:rsidRDefault="00000000">
            <w:pPr>
              <w:jc w:val="center"/>
              <w:rPr>
                <w:rFonts w:cs="Calibri"/>
                <w:b/>
                <w:color w:val="FFFFFF"/>
                <w:sz w:val="16"/>
                <w:szCs w:val="16"/>
              </w:rPr>
            </w:pPr>
            <w:r>
              <w:rPr>
                <w:rFonts w:cs="Calibri"/>
                <w:b/>
                <w:color w:val="FFFFFF"/>
                <w:sz w:val="16"/>
                <w:szCs w:val="16"/>
              </w:rPr>
              <w:t>Length</w:t>
            </w:r>
          </w:p>
        </w:tc>
        <w:tc>
          <w:tcPr>
            <w:tcW w:w="1913"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92AF3CA" w14:textId="77777777" w:rsidR="00B97365" w:rsidRDefault="00000000">
            <w:pPr>
              <w:jc w:val="center"/>
              <w:rPr>
                <w:rFonts w:cs="Calibri"/>
                <w:b/>
                <w:color w:val="FFFFFF"/>
                <w:sz w:val="16"/>
                <w:szCs w:val="16"/>
              </w:rPr>
            </w:pPr>
            <w:r>
              <w:rPr>
                <w:rFonts w:cs="Calibri"/>
                <w:b/>
                <w:color w:val="FFFFFF"/>
                <w:sz w:val="16"/>
                <w:szCs w:val="16"/>
              </w:rPr>
              <w:t>Value Description</w:t>
            </w:r>
          </w:p>
        </w:tc>
        <w:tc>
          <w:tcPr>
            <w:tcW w:w="1205"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FD7566A"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EB35D1C" w14:textId="77777777">
        <w:trPr>
          <w:trHeight w:val="239"/>
        </w:trPr>
        <w:tc>
          <w:tcPr>
            <w:tcW w:w="1913" w:type="dxa"/>
            <w:tcBorders>
              <w:top w:val="single" w:sz="6" w:space="0" w:color="auto"/>
              <w:left w:val="single" w:sz="4" w:space="0" w:color="auto"/>
              <w:bottom w:val="single" w:sz="6" w:space="0" w:color="auto"/>
              <w:right w:val="single" w:sz="6" w:space="0" w:color="auto"/>
            </w:tcBorders>
            <w:hideMark/>
          </w:tcPr>
          <w:p w14:paraId="79E99DB2" w14:textId="77777777" w:rsidR="00B97365" w:rsidRDefault="00000000">
            <w:pPr>
              <w:rPr>
                <w:rFonts w:cs="Calibri"/>
                <w:sz w:val="16"/>
                <w:szCs w:val="16"/>
              </w:rPr>
            </w:pPr>
            <w:r>
              <w:rPr>
                <w:rFonts w:cs="Calibri"/>
                <w:sz w:val="16"/>
                <w:szCs w:val="16"/>
              </w:rPr>
              <w:t>‘4F’</w:t>
            </w:r>
          </w:p>
        </w:tc>
        <w:tc>
          <w:tcPr>
            <w:tcW w:w="1914" w:type="dxa"/>
            <w:tcBorders>
              <w:top w:val="single" w:sz="6" w:space="0" w:color="auto"/>
              <w:left w:val="single" w:sz="6" w:space="0" w:color="auto"/>
              <w:bottom w:val="single" w:sz="6" w:space="0" w:color="auto"/>
              <w:right w:val="single" w:sz="6" w:space="0" w:color="auto"/>
            </w:tcBorders>
            <w:vAlign w:val="center"/>
            <w:hideMark/>
          </w:tcPr>
          <w:p w14:paraId="1253A7EF" w14:textId="77777777" w:rsidR="00B97365" w:rsidRDefault="00000000">
            <w:pPr>
              <w:rPr>
                <w:rFonts w:cs="Calibri"/>
                <w:sz w:val="16"/>
                <w:szCs w:val="16"/>
              </w:rPr>
            </w:pPr>
            <w:r>
              <w:rPr>
                <w:rFonts w:cs="Calibri"/>
                <w:sz w:val="16"/>
                <w:szCs w:val="16"/>
              </w:rPr>
              <w:t>0-16</w:t>
            </w:r>
          </w:p>
        </w:tc>
        <w:tc>
          <w:tcPr>
            <w:tcW w:w="1913" w:type="dxa"/>
            <w:tcBorders>
              <w:top w:val="single" w:sz="6" w:space="0" w:color="auto"/>
              <w:left w:val="single" w:sz="6" w:space="0" w:color="auto"/>
              <w:bottom w:val="single" w:sz="6" w:space="0" w:color="auto"/>
              <w:right w:val="single" w:sz="6" w:space="0" w:color="auto"/>
            </w:tcBorders>
            <w:vAlign w:val="center"/>
            <w:hideMark/>
          </w:tcPr>
          <w:p w14:paraId="2E5E2F74" w14:textId="77777777" w:rsidR="00B97365" w:rsidRDefault="00000000">
            <w:pPr>
              <w:rPr>
                <w:rFonts w:cs="Calibri"/>
                <w:sz w:val="16"/>
                <w:szCs w:val="16"/>
              </w:rPr>
            </w:pPr>
            <w:r>
              <w:rPr>
                <w:rFonts w:cs="Calibri"/>
                <w:sz w:val="16"/>
                <w:szCs w:val="16"/>
              </w:rPr>
              <w:t>Application AID</w:t>
            </w:r>
          </w:p>
        </w:tc>
        <w:tc>
          <w:tcPr>
            <w:tcW w:w="1205" w:type="dxa"/>
            <w:tcBorders>
              <w:top w:val="single" w:sz="6" w:space="0" w:color="auto"/>
              <w:left w:val="single" w:sz="6" w:space="0" w:color="auto"/>
              <w:bottom w:val="single" w:sz="6" w:space="0" w:color="auto"/>
              <w:right w:val="single" w:sz="4" w:space="0" w:color="auto"/>
            </w:tcBorders>
            <w:vAlign w:val="center"/>
            <w:hideMark/>
          </w:tcPr>
          <w:p w14:paraId="6E4F2E62" w14:textId="77777777" w:rsidR="00B97365" w:rsidRDefault="00000000">
            <w:pPr>
              <w:jc w:val="center"/>
              <w:rPr>
                <w:rFonts w:cs="Calibri"/>
                <w:sz w:val="16"/>
                <w:szCs w:val="16"/>
              </w:rPr>
            </w:pPr>
            <w:r>
              <w:rPr>
                <w:rFonts w:cs="Calibri"/>
                <w:sz w:val="16"/>
                <w:szCs w:val="16"/>
              </w:rPr>
              <w:t>M</w:t>
            </w:r>
          </w:p>
        </w:tc>
      </w:tr>
      <w:tr w:rsidR="00B97365" w14:paraId="4215BD08" w14:textId="77777777">
        <w:trPr>
          <w:trHeight w:val="239"/>
        </w:trPr>
        <w:tc>
          <w:tcPr>
            <w:tcW w:w="1913" w:type="dxa"/>
            <w:tcBorders>
              <w:top w:val="single" w:sz="6" w:space="0" w:color="auto"/>
              <w:left w:val="single" w:sz="4" w:space="0" w:color="auto"/>
              <w:bottom w:val="single" w:sz="6" w:space="0" w:color="auto"/>
              <w:right w:val="single" w:sz="6" w:space="0" w:color="auto"/>
            </w:tcBorders>
            <w:hideMark/>
          </w:tcPr>
          <w:p w14:paraId="7207F095" w14:textId="77777777" w:rsidR="00B97365" w:rsidRDefault="00000000">
            <w:pPr>
              <w:rPr>
                <w:rFonts w:cs="Calibri"/>
                <w:sz w:val="16"/>
                <w:szCs w:val="16"/>
              </w:rPr>
            </w:pPr>
            <w:r>
              <w:rPr>
                <w:rFonts w:cs="Calibri"/>
                <w:sz w:val="16"/>
                <w:szCs w:val="16"/>
              </w:rPr>
              <w:t>‘xx’ or ‘xxxx’</w:t>
            </w:r>
          </w:p>
        </w:tc>
        <w:tc>
          <w:tcPr>
            <w:tcW w:w="1914" w:type="dxa"/>
            <w:tcBorders>
              <w:top w:val="single" w:sz="6" w:space="0" w:color="auto"/>
              <w:left w:val="single" w:sz="6" w:space="0" w:color="auto"/>
              <w:bottom w:val="single" w:sz="6" w:space="0" w:color="auto"/>
              <w:right w:val="single" w:sz="6" w:space="0" w:color="auto"/>
            </w:tcBorders>
            <w:vAlign w:val="center"/>
            <w:hideMark/>
          </w:tcPr>
          <w:p w14:paraId="35A5763F" w14:textId="77777777" w:rsidR="00B97365" w:rsidRDefault="00000000">
            <w:pPr>
              <w:rPr>
                <w:rFonts w:cs="Calibri"/>
                <w:sz w:val="16"/>
                <w:szCs w:val="16"/>
              </w:rPr>
            </w:pPr>
            <w:r>
              <w:rPr>
                <w:rFonts w:cs="Calibri"/>
                <w:sz w:val="16"/>
                <w:szCs w:val="16"/>
              </w:rPr>
              <w:t>0-n</w:t>
            </w:r>
          </w:p>
        </w:tc>
        <w:tc>
          <w:tcPr>
            <w:tcW w:w="1913" w:type="dxa"/>
            <w:tcBorders>
              <w:top w:val="single" w:sz="6" w:space="0" w:color="auto"/>
              <w:left w:val="single" w:sz="6" w:space="0" w:color="auto"/>
              <w:bottom w:val="single" w:sz="6" w:space="0" w:color="auto"/>
              <w:right w:val="single" w:sz="6" w:space="0" w:color="auto"/>
            </w:tcBorders>
            <w:vAlign w:val="center"/>
            <w:hideMark/>
          </w:tcPr>
          <w:p w14:paraId="27B61AF1" w14:textId="77777777" w:rsidR="00B97365" w:rsidRDefault="00000000">
            <w:pPr>
              <w:rPr>
                <w:rFonts w:cs="Calibri"/>
                <w:sz w:val="16"/>
                <w:szCs w:val="16"/>
              </w:rPr>
            </w:pPr>
            <w:r>
              <w:rPr>
                <w:rFonts w:cs="Calibri"/>
                <w:sz w:val="16"/>
                <w:szCs w:val="16"/>
              </w:rPr>
              <w:t>Other search criteria</w:t>
            </w:r>
          </w:p>
        </w:tc>
        <w:tc>
          <w:tcPr>
            <w:tcW w:w="1205" w:type="dxa"/>
            <w:tcBorders>
              <w:top w:val="single" w:sz="6" w:space="0" w:color="auto"/>
              <w:left w:val="single" w:sz="6" w:space="0" w:color="auto"/>
              <w:bottom w:val="single" w:sz="6" w:space="0" w:color="auto"/>
              <w:right w:val="single" w:sz="4" w:space="0" w:color="auto"/>
            </w:tcBorders>
            <w:vAlign w:val="center"/>
            <w:hideMark/>
          </w:tcPr>
          <w:p w14:paraId="1034510B" w14:textId="77777777" w:rsidR="00B97365" w:rsidRDefault="00000000">
            <w:pPr>
              <w:jc w:val="center"/>
              <w:rPr>
                <w:rFonts w:cs="Calibri"/>
                <w:sz w:val="16"/>
                <w:szCs w:val="16"/>
              </w:rPr>
            </w:pPr>
            <w:r>
              <w:rPr>
                <w:rFonts w:cs="Calibri"/>
                <w:sz w:val="16"/>
                <w:szCs w:val="16"/>
              </w:rPr>
              <w:t>O</w:t>
            </w:r>
          </w:p>
        </w:tc>
      </w:tr>
      <w:tr w:rsidR="00B97365" w14:paraId="0634608F" w14:textId="77777777">
        <w:trPr>
          <w:trHeight w:val="239"/>
        </w:trPr>
        <w:tc>
          <w:tcPr>
            <w:tcW w:w="1913" w:type="dxa"/>
            <w:tcBorders>
              <w:top w:val="single" w:sz="6" w:space="0" w:color="auto"/>
              <w:left w:val="single" w:sz="4" w:space="0" w:color="auto"/>
              <w:bottom w:val="single" w:sz="6" w:space="0" w:color="auto"/>
              <w:right w:val="single" w:sz="6" w:space="0" w:color="auto"/>
            </w:tcBorders>
            <w:hideMark/>
          </w:tcPr>
          <w:p w14:paraId="5701B1EC" w14:textId="77777777" w:rsidR="00B97365" w:rsidRDefault="00000000">
            <w:pPr>
              <w:rPr>
                <w:rFonts w:cs="Calibri"/>
                <w:sz w:val="16"/>
                <w:szCs w:val="16"/>
              </w:rPr>
            </w:pPr>
            <w:r>
              <w:rPr>
                <w:rFonts w:cs="Calibri"/>
                <w:sz w:val="16"/>
                <w:szCs w:val="16"/>
              </w:rPr>
              <w:t>…</w:t>
            </w:r>
          </w:p>
        </w:tc>
        <w:tc>
          <w:tcPr>
            <w:tcW w:w="1914" w:type="dxa"/>
            <w:tcBorders>
              <w:top w:val="single" w:sz="6" w:space="0" w:color="auto"/>
              <w:left w:val="single" w:sz="6" w:space="0" w:color="auto"/>
              <w:bottom w:val="single" w:sz="6" w:space="0" w:color="auto"/>
              <w:right w:val="single" w:sz="6" w:space="0" w:color="auto"/>
            </w:tcBorders>
            <w:vAlign w:val="center"/>
            <w:hideMark/>
          </w:tcPr>
          <w:p w14:paraId="771398A7" w14:textId="77777777" w:rsidR="00B97365" w:rsidRDefault="00000000">
            <w:pPr>
              <w:rPr>
                <w:rFonts w:cs="Calibri"/>
                <w:sz w:val="16"/>
                <w:szCs w:val="16"/>
              </w:rPr>
            </w:pPr>
            <w:r>
              <w:rPr>
                <w:rFonts w:cs="Calibri"/>
                <w:sz w:val="16"/>
                <w:szCs w:val="16"/>
              </w:rPr>
              <w:t>…</w:t>
            </w:r>
          </w:p>
        </w:tc>
        <w:tc>
          <w:tcPr>
            <w:tcW w:w="1913" w:type="dxa"/>
            <w:tcBorders>
              <w:top w:val="single" w:sz="6" w:space="0" w:color="auto"/>
              <w:left w:val="single" w:sz="6" w:space="0" w:color="auto"/>
              <w:bottom w:val="single" w:sz="6" w:space="0" w:color="auto"/>
              <w:right w:val="single" w:sz="6" w:space="0" w:color="auto"/>
            </w:tcBorders>
            <w:vAlign w:val="center"/>
            <w:hideMark/>
          </w:tcPr>
          <w:p w14:paraId="45D42A6A" w14:textId="77777777" w:rsidR="00B97365" w:rsidRDefault="00000000">
            <w:pPr>
              <w:rPr>
                <w:rFonts w:cs="Calibri"/>
                <w:sz w:val="16"/>
                <w:szCs w:val="16"/>
              </w:rPr>
            </w:pPr>
            <w:r>
              <w:rPr>
                <w:rFonts w:cs="Calibri"/>
                <w:sz w:val="16"/>
                <w:szCs w:val="16"/>
              </w:rPr>
              <w:t>…</w:t>
            </w:r>
          </w:p>
        </w:tc>
        <w:tc>
          <w:tcPr>
            <w:tcW w:w="1205" w:type="dxa"/>
            <w:tcBorders>
              <w:top w:val="single" w:sz="6" w:space="0" w:color="auto"/>
              <w:left w:val="single" w:sz="6" w:space="0" w:color="auto"/>
              <w:bottom w:val="single" w:sz="6" w:space="0" w:color="auto"/>
              <w:right w:val="single" w:sz="4" w:space="0" w:color="auto"/>
            </w:tcBorders>
            <w:vAlign w:val="center"/>
            <w:hideMark/>
          </w:tcPr>
          <w:p w14:paraId="776C0623" w14:textId="77777777" w:rsidR="00B97365" w:rsidRDefault="00000000">
            <w:pPr>
              <w:jc w:val="center"/>
              <w:rPr>
                <w:rFonts w:cs="Calibri"/>
                <w:sz w:val="16"/>
                <w:szCs w:val="16"/>
              </w:rPr>
            </w:pPr>
            <w:r>
              <w:rPr>
                <w:rFonts w:cs="Calibri"/>
                <w:sz w:val="16"/>
                <w:szCs w:val="16"/>
              </w:rPr>
              <w:t>…</w:t>
            </w:r>
          </w:p>
        </w:tc>
      </w:tr>
      <w:tr w:rsidR="00B97365" w14:paraId="31F3EDBD" w14:textId="77777777">
        <w:trPr>
          <w:trHeight w:val="239"/>
        </w:trPr>
        <w:tc>
          <w:tcPr>
            <w:tcW w:w="1913" w:type="dxa"/>
            <w:tcBorders>
              <w:top w:val="single" w:sz="6" w:space="0" w:color="auto"/>
              <w:left w:val="single" w:sz="4" w:space="0" w:color="auto"/>
              <w:bottom w:val="single" w:sz="4" w:space="0" w:color="auto"/>
              <w:right w:val="single" w:sz="6" w:space="0" w:color="auto"/>
            </w:tcBorders>
            <w:hideMark/>
          </w:tcPr>
          <w:p w14:paraId="2268FA89" w14:textId="77777777" w:rsidR="00B97365" w:rsidRDefault="00000000">
            <w:pPr>
              <w:rPr>
                <w:rFonts w:cs="Calibri"/>
                <w:sz w:val="16"/>
                <w:szCs w:val="16"/>
              </w:rPr>
            </w:pPr>
            <w:r>
              <w:rPr>
                <w:rFonts w:cs="Calibri"/>
                <w:sz w:val="16"/>
                <w:szCs w:val="16"/>
              </w:rPr>
              <w:t>‘5C’</w:t>
            </w:r>
          </w:p>
        </w:tc>
        <w:tc>
          <w:tcPr>
            <w:tcW w:w="1914" w:type="dxa"/>
            <w:tcBorders>
              <w:top w:val="single" w:sz="6" w:space="0" w:color="auto"/>
              <w:left w:val="single" w:sz="6" w:space="0" w:color="auto"/>
              <w:bottom w:val="single" w:sz="4" w:space="0" w:color="auto"/>
              <w:right w:val="single" w:sz="6" w:space="0" w:color="auto"/>
            </w:tcBorders>
            <w:vAlign w:val="center"/>
            <w:hideMark/>
          </w:tcPr>
          <w:p w14:paraId="3060102B" w14:textId="77777777" w:rsidR="00B97365" w:rsidRDefault="00000000">
            <w:pPr>
              <w:rPr>
                <w:rFonts w:cs="Calibri"/>
                <w:sz w:val="16"/>
                <w:szCs w:val="16"/>
              </w:rPr>
            </w:pPr>
            <w:r>
              <w:rPr>
                <w:rFonts w:cs="Calibri"/>
                <w:sz w:val="16"/>
                <w:szCs w:val="16"/>
              </w:rPr>
              <w:t>1-n</w:t>
            </w:r>
          </w:p>
        </w:tc>
        <w:tc>
          <w:tcPr>
            <w:tcW w:w="1913" w:type="dxa"/>
            <w:tcBorders>
              <w:top w:val="single" w:sz="6" w:space="0" w:color="auto"/>
              <w:left w:val="single" w:sz="6" w:space="0" w:color="auto"/>
              <w:bottom w:val="single" w:sz="4" w:space="0" w:color="auto"/>
              <w:right w:val="single" w:sz="6" w:space="0" w:color="auto"/>
            </w:tcBorders>
            <w:vAlign w:val="center"/>
            <w:hideMark/>
          </w:tcPr>
          <w:p w14:paraId="70591683" w14:textId="77777777" w:rsidR="00B97365" w:rsidRDefault="00000000">
            <w:pPr>
              <w:rPr>
                <w:rFonts w:cs="Calibri"/>
                <w:sz w:val="16"/>
                <w:szCs w:val="16"/>
              </w:rPr>
            </w:pPr>
            <w:r>
              <w:rPr>
                <w:rFonts w:cs="Calibri"/>
                <w:sz w:val="16"/>
                <w:szCs w:val="16"/>
              </w:rPr>
              <w:t>Tag list</w:t>
            </w:r>
          </w:p>
        </w:tc>
        <w:tc>
          <w:tcPr>
            <w:tcW w:w="1205" w:type="dxa"/>
            <w:tcBorders>
              <w:top w:val="single" w:sz="6" w:space="0" w:color="auto"/>
              <w:left w:val="single" w:sz="6" w:space="0" w:color="auto"/>
              <w:bottom w:val="single" w:sz="4" w:space="0" w:color="auto"/>
              <w:right w:val="single" w:sz="4" w:space="0" w:color="auto"/>
            </w:tcBorders>
            <w:vAlign w:val="center"/>
            <w:hideMark/>
          </w:tcPr>
          <w:p w14:paraId="24C19814" w14:textId="77777777" w:rsidR="00B97365" w:rsidRDefault="00000000">
            <w:pPr>
              <w:jc w:val="center"/>
              <w:rPr>
                <w:rFonts w:cs="Calibri"/>
                <w:sz w:val="16"/>
                <w:szCs w:val="16"/>
              </w:rPr>
            </w:pPr>
            <w:r>
              <w:rPr>
                <w:rFonts w:cs="Calibri"/>
                <w:sz w:val="16"/>
                <w:szCs w:val="16"/>
              </w:rPr>
              <w:t>M</w:t>
            </w:r>
          </w:p>
        </w:tc>
      </w:tr>
    </w:tbl>
    <w:p w14:paraId="75F44785"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lastRenderedPageBreak/>
        <w:t>: GET STATUS Command Data Field</w:t>
      </w:r>
    </w:p>
    <w:p w14:paraId="3768ADAE" w14:textId="77777777" w:rsidR="00B97365" w:rsidRDefault="00000000">
      <w:pPr>
        <w:spacing w:before="0" w:after="200" w:line="276" w:lineRule="auto"/>
        <w:jc w:val="left"/>
        <w:rPr>
          <w:b/>
          <w:i/>
          <w:szCs w:val="22"/>
          <w:lang w:val="en-US" w:eastAsia="en-GB" w:bidi="ar-SA"/>
        </w:rPr>
      </w:pPr>
      <w:bookmarkStart w:id="2366" w:name="_Toc420594491"/>
      <w:r>
        <w:rPr>
          <w:rFonts w:cs="Arial"/>
          <w:b/>
          <w:i/>
          <w:szCs w:val="22"/>
          <w:lang w:val="en-US" w:eastAsia="en-GB" w:bidi="ar-SA"/>
        </w:rPr>
        <w:t>Response</w:t>
      </w:r>
      <w:r>
        <w:rPr>
          <w:b/>
          <w:i/>
          <w:szCs w:val="22"/>
          <w:lang w:val="en-US" w:eastAsia="en-GB" w:bidi="ar-SA"/>
        </w:rPr>
        <w:t xml:space="preserve"> Message</w:t>
      </w:r>
      <w:bookmarkEnd w:id="2366"/>
    </w:p>
    <w:p w14:paraId="45DBC97F" w14:textId="77777777" w:rsidR="00B97365" w:rsidRDefault="00000000">
      <w:pPr>
        <w:spacing w:before="0" w:after="200" w:line="276" w:lineRule="auto"/>
        <w:jc w:val="left"/>
        <w:rPr>
          <w:b/>
          <w:i/>
          <w:szCs w:val="22"/>
          <w:lang w:val="en-US" w:eastAsia="en-GB" w:bidi="ar-SA"/>
        </w:rPr>
      </w:pPr>
      <w:bookmarkStart w:id="2367" w:name="_Toc420594492"/>
      <w:r>
        <w:rPr>
          <w:rFonts w:cs="Arial"/>
          <w:b/>
          <w:i/>
          <w:szCs w:val="22"/>
          <w:lang w:val="en-US" w:eastAsia="en-GB" w:bidi="ar-SA"/>
        </w:rPr>
        <w:t>Data</w:t>
      </w:r>
      <w:r>
        <w:rPr>
          <w:b/>
          <w:i/>
          <w:szCs w:val="22"/>
          <w:lang w:val="en-US" w:eastAsia="en-GB" w:bidi="ar-SA"/>
        </w:rPr>
        <w:t xml:space="preserve"> Field Returned in the Response Message:</w:t>
      </w:r>
      <w:bookmarkEnd w:id="2367"/>
    </w:p>
    <w:p w14:paraId="1BCDEC7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tag list (tag ‘5C’) identifies the extended information for ISD-P. The coding of the response message is defined as followed: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427"/>
        <w:gridCol w:w="730"/>
        <w:gridCol w:w="568"/>
        <w:gridCol w:w="676"/>
        <w:gridCol w:w="6099"/>
        <w:gridCol w:w="516"/>
      </w:tblGrid>
      <w:tr w:rsidR="00B97365" w14:paraId="6DAF769E" w14:textId="77777777">
        <w:trPr>
          <w:trHeight w:val="239"/>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45F4AD0D" w14:textId="77777777" w:rsidR="00B97365" w:rsidRDefault="00000000">
            <w:pPr>
              <w:jc w:val="center"/>
              <w:rPr>
                <w:rFonts w:cs="Calibri"/>
                <w:b/>
                <w:color w:val="FFFFFF"/>
                <w:sz w:val="16"/>
                <w:szCs w:val="16"/>
              </w:rPr>
            </w:pPr>
            <w:r>
              <w:rPr>
                <w:rFonts w:cs="Calibri"/>
                <w:b/>
                <w:color w:val="FFFFFF"/>
                <w:sz w:val="16"/>
                <w:szCs w:val="16"/>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69FAB2E" w14:textId="77777777" w:rsidR="00B97365" w:rsidRDefault="00000000">
            <w:pPr>
              <w:jc w:val="center"/>
              <w:rPr>
                <w:rFonts w:cs="Calibri"/>
                <w:b/>
                <w:color w:val="FFFFFF"/>
                <w:sz w:val="16"/>
                <w:szCs w:val="16"/>
              </w:rPr>
            </w:pPr>
            <w:r>
              <w:rPr>
                <w:rFonts w:cs="Calibri"/>
                <w:b/>
                <w:color w:val="FFFFFF"/>
                <w:sz w:val="16"/>
                <w:szCs w:val="16"/>
              </w:rPr>
              <w:t>Length</w:t>
            </w:r>
          </w:p>
        </w:tc>
        <w:tc>
          <w:tcPr>
            <w:tcW w:w="0" w:type="auto"/>
            <w:gridSpan w:val="3"/>
            <w:tcBorders>
              <w:top w:val="single" w:sz="4" w:space="0" w:color="auto"/>
              <w:left w:val="single" w:sz="6" w:space="0" w:color="auto"/>
              <w:bottom w:val="single" w:sz="6" w:space="0" w:color="auto"/>
              <w:right w:val="single" w:sz="6" w:space="0" w:color="auto"/>
            </w:tcBorders>
            <w:shd w:val="clear" w:color="auto" w:fill="C00000"/>
            <w:vAlign w:val="center"/>
            <w:hideMark/>
          </w:tcPr>
          <w:p w14:paraId="4676ED49" w14:textId="77777777" w:rsidR="00B97365" w:rsidRDefault="00000000">
            <w:pPr>
              <w:jc w:val="center"/>
              <w:rPr>
                <w:rFonts w:cs="Calibri"/>
                <w:b/>
                <w:color w:val="FFFFFF"/>
                <w:sz w:val="16"/>
                <w:szCs w:val="16"/>
              </w:rPr>
            </w:pPr>
            <w:r>
              <w:rPr>
                <w:rFonts w:cs="Calibri"/>
                <w:b/>
                <w:color w:val="FFFFFF"/>
                <w:sz w:val="16"/>
                <w:szCs w:val="16"/>
              </w:rPr>
              <w:t>Name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B79E0BC"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349C11F"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hideMark/>
          </w:tcPr>
          <w:p w14:paraId="7F6681EE" w14:textId="77777777" w:rsidR="00B97365" w:rsidRDefault="00000000">
            <w:pPr>
              <w:rPr>
                <w:rFonts w:cs="Calibri"/>
                <w:sz w:val="16"/>
                <w:szCs w:val="16"/>
              </w:rPr>
            </w:pPr>
            <w:r>
              <w:rPr>
                <w:rFonts w:cs="Calibri"/>
                <w:sz w:val="16"/>
                <w:szCs w:val="16"/>
              </w:rPr>
              <w:t>‘E3’</w:t>
            </w:r>
          </w:p>
        </w:tc>
        <w:tc>
          <w:tcPr>
            <w:tcW w:w="0" w:type="auto"/>
            <w:tcBorders>
              <w:top w:val="single" w:sz="6" w:space="0" w:color="auto"/>
              <w:left w:val="single" w:sz="6" w:space="0" w:color="auto"/>
              <w:bottom w:val="single" w:sz="6" w:space="0" w:color="auto"/>
              <w:right w:val="single" w:sz="6" w:space="0" w:color="auto"/>
            </w:tcBorders>
            <w:vAlign w:val="center"/>
            <w:hideMark/>
          </w:tcPr>
          <w:p w14:paraId="1A939574" w14:textId="77777777" w:rsidR="00B97365" w:rsidRDefault="00000000">
            <w:pPr>
              <w:rPr>
                <w:rFonts w:cs="Calibri"/>
                <w:sz w:val="16"/>
                <w:szCs w:val="16"/>
              </w:rPr>
            </w:pPr>
            <w:r>
              <w:rPr>
                <w:rFonts w:cs="Calibri"/>
                <w:sz w:val="16"/>
                <w:szCs w:val="16"/>
              </w:rPr>
              <w:t>Variable</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2AD93EB6" w14:textId="77777777" w:rsidR="00B97365" w:rsidRDefault="00000000">
            <w:pPr>
              <w:rPr>
                <w:rFonts w:cs="Calibri"/>
                <w:sz w:val="16"/>
                <w:szCs w:val="16"/>
              </w:rPr>
            </w:pPr>
            <w:r>
              <w:rPr>
                <w:rFonts w:cs="Calibri"/>
                <w:sz w:val="16"/>
                <w:szCs w:val="16"/>
              </w:rPr>
              <w:t>GlobalPlatform Registry related data</w:t>
            </w:r>
          </w:p>
        </w:tc>
        <w:tc>
          <w:tcPr>
            <w:tcW w:w="0" w:type="auto"/>
            <w:tcBorders>
              <w:top w:val="single" w:sz="6" w:space="0" w:color="auto"/>
              <w:left w:val="single" w:sz="6" w:space="0" w:color="auto"/>
              <w:bottom w:val="single" w:sz="6" w:space="0" w:color="auto"/>
              <w:right w:val="single" w:sz="4" w:space="0" w:color="auto"/>
            </w:tcBorders>
            <w:vAlign w:val="center"/>
            <w:hideMark/>
          </w:tcPr>
          <w:p w14:paraId="6B478F1A" w14:textId="77777777" w:rsidR="00B97365" w:rsidRDefault="00000000">
            <w:pPr>
              <w:jc w:val="center"/>
              <w:rPr>
                <w:rFonts w:cs="Calibri"/>
                <w:sz w:val="16"/>
                <w:szCs w:val="16"/>
              </w:rPr>
            </w:pPr>
            <w:r>
              <w:rPr>
                <w:rFonts w:cs="Calibri"/>
                <w:sz w:val="16"/>
                <w:szCs w:val="16"/>
              </w:rPr>
              <w:t>M</w:t>
            </w:r>
          </w:p>
        </w:tc>
      </w:tr>
      <w:tr w:rsidR="00B97365" w14:paraId="2BB4D353"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tcPr>
          <w:p w14:paraId="2F8292A9"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3F41336A"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C00000"/>
            <w:hideMark/>
          </w:tcPr>
          <w:p w14:paraId="435E3111" w14:textId="77777777" w:rsidR="00B97365" w:rsidRDefault="00000000">
            <w:pPr>
              <w:jc w:val="center"/>
              <w:rPr>
                <w:rFonts w:cs="Calibri"/>
                <w:sz w:val="16"/>
                <w:szCs w:val="16"/>
              </w:rPr>
            </w:pPr>
            <w:r>
              <w:rPr>
                <w:rFonts w:cs="Calibri"/>
                <w:b/>
                <w:color w:val="FFFFFF"/>
                <w:sz w:val="16"/>
                <w:szCs w:val="16"/>
              </w:rPr>
              <w:t>Tag</w:t>
            </w:r>
          </w:p>
        </w:tc>
        <w:tc>
          <w:tcPr>
            <w:tcW w:w="0" w:type="auto"/>
            <w:tcBorders>
              <w:top w:val="single" w:sz="6" w:space="0" w:color="auto"/>
              <w:left w:val="single" w:sz="6" w:space="0" w:color="auto"/>
              <w:bottom w:val="single" w:sz="6" w:space="0" w:color="auto"/>
              <w:right w:val="single" w:sz="6" w:space="0" w:color="auto"/>
            </w:tcBorders>
            <w:shd w:val="clear" w:color="auto" w:fill="C00000"/>
            <w:vAlign w:val="center"/>
            <w:hideMark/>
          </w:tcPr>
          <w:p w14:paraId="0F8D1E90" w14:textId="77777777" w:rsidR="00B97365" w:rsidRDefault="00000000">
            <w:pPr>
              <w:jc w:val="center"/>
              <w:rPr>
                <w:rFonts w:cs="Calibri"/>
                <w:sz w:val="16"/>
                <w:szCs w:val="16"/>
              </w:rPr>
            </w:pPr>
            <w:r>
              <w:rPr>
                <w:rFonts w:cs="Calibri"/>
                <w:b/>
                <w:color w:val="FFFFFF"/>
                <w:sz w:val="16"/>
                <w:szCs w:val="16"/>
              </w:rPr>
              <w:t>Length</w:t>
            </w:r>
          </w:p>
        </w:tc>
        <w:tc>
          <w:tcPr>
            <w:tcW w:w="0" w:type="auto"/>
            <w:tcBorders>
              <w:top w:val="single" w:sz="6" w:space="0" w:color="auto"/>
              <w:left w:val="single" w:sz="6" w:space="0" w:color="auto"/>
              <w:bottom w:val="single" w:sz="6" w:space="0" w:color="auto"/>
              <w:right w:val="single" w:sz="6" w:space="0" w:color="auto"/>
            </w:tcBorders>
            <w:shd w:val="clear" w:color="auto" w:fill="C00000"/>
            <w:vAlign w:val="center"/>
            <w:hideMark/>
          </w:tcPr>
          <w:p w14:paraId="33DA356F" w14:textId="77777777" w:rsidR="00B97365" w:rsidRDefault="00000000">
            <w:pPr>
              <w:jc w:val="center"/>
              <w:rPr>
                <w:rFonts w:cs="Calibri"/>
                <w:sz w:val="16"/>
                <w:szCs w:val="16"/>
              </w:rPr>
            </w:pPr>
            <w:r>
              <w:rPr>
                <w:rFonts w:cs="Calibri"/>
                <w:b/>
                <w:color w:val="FFFFFF"/>
                <w:sz w:val="16"/>
                <w:szCs w:val="16"/>
              </w:rPr>
              <w:t>Name</w:t>
            </w:r>
          </w:p>
        </w:tc>
        <w:tc>
          <w:tcPr>
            <w:tcW w:w="0" w:type="auto"/>
            <w:tcBorders>
              <w:top w:val="single" w:sz="6" w:space="0" w:color="auto"/>
              <w:left w:val="single" w:sz="6" w:space="0" w:color="auto"/>
              <w:bottom w:val="single" w:sz="6" w:space="0" w:color="auto"/>
              <w:right w:val="single" w:sz="4" w:space="0" w:color="auto"/>
            </w:tcBorders>
            <w:shd w:val="clear" w:color="auto" w:fill="C00000"/>
            <w:vAlign w:val="center"/>
            <w:hideMark/>
          </w:tcPr>
          <w:p w14:paraId="5540A2DD" w14:textId="77777777" w:rsidR="00B97365" w:rsidRDefault="00000000">
            <w:pPr>
              <w:jc w:val="center"/>
              <w:rPr>
                <w:rFonts w:cs="Calibri"/>
                <w:sz w:val="16"/>
                <w:szCs w:val="16"/>
              </w:rPr>
            </w:pPr>
            <w:r>
              <w:rPr>
                <w:rFonts w:cs="Calibri"/>
                <w:b/>
                <w:color w:val="FFFFFF"/>
                <w:sz w:val="16"/>
                <w:szCs w:val="16"/>
              </w:rPr>
              <w:t>MOC</w:t>
            </w:r>
          </w:p>
        </w:tc>
      </w:tr>
      <w:tr w:rsidR="00B97365" w14:paraId="1D9818CE"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tcPr>
          <w:p w14:paraId="531BE53A"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7035C63F"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5A035978" w14:textId="77777777" w:rsidR="00B97365" w:rsidRDefault="00000000">
            <w:pPr>
              <w:rPr>
                <w:rFonts w:cs="Calibri"/>
                <w:b/>
                <w:color w:val="FFFFFF"/>
                <w:sz w:val="16"/>
                <w:szCs w:val="16"/>
              </w:rPr>
            </w:pPr>
            <w:r>
              <w:rPr>
                <w:rFonts w:cs="Calibri"/>
                <w:sz w:val="16"/>
                <w:szCs w:val="16"/>
              </w:rPr>
              <w:t xml:space="preserve">'4F' </w:t>
            </w:r>
          </w:p>
        </w:tc>
        <w:tc>
          <w:tcPr>
            <w:tcW w:w="0" w:type="auto"/>
            <w:tcBorders>
              <w:top w:val="single" w:sz="6" w:space="0" w:color="auto"/>
              <w:left w:val="single" w:sz="6" w:space="0" w:color="auto"/>
              <w:bottom w:val="single" w:sz="6" w:space="0" w:color="auto"/>
              <w:right w:val="single" w:sz="6" w:space="0" w:color="auto"/>
            </w:tcBorders>
            <w:hideMark/>
          </w:tcPr>
          <w:p w14:paraId="4D8C30BA" w14:textId="77777777" w:rsidR="00B97365" w:rsidRDefault="00000000">
            <w:pPr>
              <w:rPr>
                <w:rFonts w:cs="Calibri"/>
                <w:b/>
                <w:color w:val="FFFFFF"/>
                <w:sz w:val="16"/>
                <w:szCs w:val="16"/>
              </w:rPr>
            </w:pPr>
            <w:r>
              <w:rPr>
                <w:rFonts w:cs="Calibri"/>
                <w:sz w:val="16"/>
                <w:szCs w:val="16"/>
              </w:rPr>
              <w:t xml:space="preserve">5-16 </w:t>
            </w:r>
          </w:p>
        </w:tc>
        <w:tc>
          <w:tcPr>
            <w:tcW w:w="0" w:type="auto"/>
            <w:tcBorders>
              <w:top w:val="single" w:sz="6" w:space="0" w:color="auto"/>
              <w:left w:val="single" w:sz="6" w:space="0" w:color="auto"/>
              <w:bottom w:val="single" w:sz="6" w:space="0" w:color="auto"/>
              <w:right w:val="single" w:sz="6" w:space="0" w:color="auto"/>
            </w:tcBorders>
            <w:hideMark/>
          </w:tcPr>
          <w:p w14:paraId="16362B23" w14:textId="77777777" w:rsidR="00B97365" w:rsidRDefault="00000000">
            <w:pPr>
              <w:rPr>
                <w:rFonts w:cs="Calibri"/>
                <w:b/>
                <w:color w:val="FFFFFF"/>
                <w:sz w:val="16"/>
                <w:szCs w:val="16"/>
              </w:rPr>
            </w:pPr>
            <w:r>
              <w:rPr>
                <w:rFonts w:cs="Calibri"/>
                <w:sz w:val="16"/>
                <w:szCs w:val="16"/>
              </w:rPr>
              <w:t xml:space="preserve">AID </w:t>
            </w:r>
          </w:p>
        </w:tc>
        <w:tc>
          <w:tcPr>
            <w:tcW w:w="0" w:type="auto"/>
            <w:tcBorders>
              <w:top w:val="single" w:sz="6" w:space="0" w:color="auto"/>
              <w:left w:val="single" w:sz="6" w:space="0" w:color="auto"/>
              <w:bottom w:val="single" w:sz="6" w:space="0" w:color="auto"/>
              <w:right w:val="single" w:sz="4" w:space="0" w:color="auto"/>
            </w:tcBorders>
            <w:hideMark/>
          </w:tcPr>
          <w:p w14:paraId="37218FD8" w14:textId="77777777" w:rsidR="00B97365" w:rsidRDefault="00000000">
            <w:pPr>
              <w:jc w:val="center"/>
              <w:rPr>
                <w:rFonts w:cs="Calibri"/>
                <w:sz w:val="16"/>
                <w:szCs w:val="16"/>
              </w:rPr>
            </w:pPr>
            <w:r>
              <w:rPr>
                <w:rFonts w:cs="Calibri"/>
                <w:sz w:val="16"/>
                <w:szCs w:val="16"/>
              </w:rPr>
              <w:t>M</w:t>
            </w:r>
          </w:p>
        </w:tc>
      </w:tr>
      <w:tr w:rsidR="00B97365" w14:paraId="2C6AF29F"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tcPr>
          <w:p w14:paraId="6EFC4750"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5F48B5E8"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03776A37" w14:textId="77777777" w:rsidR="00B97365" w:rsidRDefault="00000000">
            <w:pPr>
              <w:rPr>
                <w:rFonts w:cs="Calibri"/>
                <w:b/>
                <w:color w:val="FFFFFF"/>
                <w:sz w:val="16"/>
                <w:szCs w:val="16"/>
              </w:rPr>
            </w:pPr>
            <w:r>
              <w:rPr>
                <w:rFonts w:cs="Calibri"/>
                <w:sz w:val="16"/>
                <w:szCs w:val="16"/>
              </w:rPr>
              <w:t xml:space="preserve">'9F70' </w:t>
            </w:r>
          </w:p>
        </w:tc>
        <w:tc>
          <w:tcPr>
            <w:tcW w:w="0" w:type="auto"/>
            <w:tcBorders>
              <w:top w:val="single" w:sz="6" w:space="0" w:color="auto"/>
              <w:left w:val="single" w:sz="6" w:space="0" w:color="auto"/>
              <w:bottom w:val="single" w:sz="6" w:space="0" w:color="auto"/>
              <w:right w:val="single" w:sz="6" w:space="0" w:color="auto"/>
            </w:tcBorders>
            <w:hideMark/>
          </w:tcPr>
          <w:p w14:paraId="173266CC" w14:textId="77777777" w:rsidR="00B97365" w:rsidRDefault="00000000">
            <w:pPr>
              <w:rPr>
                <w:rFonts w:cs="Calibri"/>
                <w:b/>
                <w:color w:val="FFFFFF"/>
                <w:sz w:val="16"/>
                <w:szCs w:val="16"/>
              </w:rPr>
            </w:pPr>
            <w:r>
              <w:rPr>
                <w:rFonts w:cs="Calibri"/>
                <w:sz w:val="16"/>
                <w:szCs w:val="16"/>
              </w:rPr>
              <w:t xml:space="preserve">1 </w:t>
            </w:r>
          </w:p>
        </w:tc>
        <w:tc>
          <w:tcPr>
            <w:tcW w:w="0" w:type="auto"/>
            <w:tcBorders>
              <w:top w:val="single" w:sz="6" w:space="0" w:color="auto"/>
              <w:left w:val="single" w:sz="6" w:space="0" w:color="auto"/>
              <w:bottom w:val="single" w:sz="6" w:space="0" w:color="auto"/>
              <w:right w:val="single" w:sz="6" w:space="0" w:color="auto"/>
            </w:tcBorders>
            <w:hideMark/>
          </w:tcPr>
          <w:p w14:paraId="039E5709" w14:textId="77777777" w:rsidR="00B97365" w:rsidRDefault="00000000">
            <w:pPr>
              <w:rPr>
                <w:rFonts w:cs="Calibri"/>
                <w:b/>
                <w:color w:val="FFFFFF"/>
                <w:sz w:val="16"/>
                <w:szCs w:val="16"/>
              </w:rPr>
            </w:pPr>
            <w:r>
              <w:rPr>
                <w:rFonts w:cs="Calibri"/>
                <w:sz w:val="16"/>
                <w:szCs w:val="16"/>
              </w:rPr>
              <w:t xml:space="preserve">Life Cycle State </w:t>
            </w:r>
          </w:p>
        </w:tc>
        <w:tc>
          <w:tcPr>
            <w:tcW w:w="0" w:type="auto"/>
            <w:tcBorders>
              <w:top w:val="single" w:sz="6" w:space="0" w:color="auto"/>
              <w:left w:val="single" w:sz="6" w:space="0" w:color="auto"/>
              <w:bottom w:val="single" w:sz="6" w:space="0" w:color="auto"/>
              <w:right w:val="single" w:sz="4" w:space="0" w:color="auto"/>
            </w:tcBorders>
            <w:hideMark/>
          </w:tcPr>
          <w:p w14:paraId="6C7DAD36" w14:textId="77777777" w:rsidR="00B97365" w:rsidRDefault="00000000">
            <w:pPr>
              <w:jc w:val="center"/>
              <w:rPr>
                <w:rFonts w:cs="Calibri"/>
                <w:sz w:val="16"/>
                <w:szCs w:val="16"/>
              </w:rPr>
            </w:pPr>
            <w:r>
              <w:rPr>
                <w:rFonts w:cs="Calibri"/>
                <w:sz w:val="16"/>
                <w:szCs w:val="16"/>
              </w:rPr>
              <w:t>C</w:t>
            </w:r>
          </w:p>
        </w:tc>
      </w:tr>
      <w:tr w:rsidR="00B97365" w14:paraId="0E93B2F2"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tcPr>
          <w:p w14:paraId="1DEA76EF"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46E17901"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52EBEE75" w14:textId="77777777" w:rsidR="00B97365" w:rsidRDefault="00000000">
            <w:pPr>
              <w:rPr>
                <w:rFonts w:cs="Calibri"/>
                <w:b/>
                <w:color w:val="FFFFFF"/>
                <w:sz w:val="16"/>
                <w:szCs w:val="16"/>
              </w:rPr>
            </w:pPr>
            <w:r>
              <w:rPr>
                <w:rFonts w:cs="Calibri"/>
                <w:sz w:val="16"/>
                <w:szCs w:val="16"/>
              </w:rPr>
              <w:t xml:space="preserve">'53' </w:t>
            </w:r>
          </w:p>
        </w:tc>
        <w:tc>
          <w:tcPr>
            <w:tcW w:w="0" w:type="auto"/>
            <w:tcBorders>
              <w:top w:val="single" w:sz="6" w:space="0" w:color="auto"/>
              <w:left w:val="single" w:sz="6" w:space="0" w:color="auto"/>
              <w:bottom w:val="single" w:sz="6" w:space="0" w:color="auto"/>
              <w:right w:val="single" w:sz="6" w:space="0" w:color="auto"/>
            </w:tcBorders>
            <w:hideMark/>
          </w:tcPr>
          <w:p w14:paraId="4027E934" w14:textId="77777777" w:rsidR="00B97365" w:rsidRDefault="00000000">
            <w:pPr>
              <w:rPr>
                <w:rFonts w:cs="Calibri"/>
                <w:b/>
                <w:color w:val="FFFFFF"/>
                <w:sz w:val="16"/>
                <w:szCs w:val="16"/>
              </w:rPr>
            </w:pPr>
            <w:r>
              <w:rPr>
                <w:rFonts w:cs="Calibri"/>
                <w:sz w:val="16"/>
                <w:szCs w:val="16"/>
              </w:rPr>
              <w:t xml:space="preserve">1 </w:t>
            </w:r>
          </w:p>
        </w:tc>
        <w:tc>
          <w:tcPr>
            <w:tcW w:w="0" w:type="auto"/>
            <w:tcBorders>
              <w:top w:val="single" w:sz="6" w:space="0" w:color="auto"/>
              <w:left w:val="single" w:sz="6" w:space="0" w:color="auto"/>
              <w:bottom w:val="single" w:sz="6" w:space="0" w:color="auto"/>
              <w:right w:val="single" w:sz="6" w:space="0" w:color="auto"/>
            </w:tcBorders>
            <w:hideMark/>
          </w:tcPr>
          <w:p w14:paraId="562A3C8B" w14:textId="2F6DC4E6" w:rsidR="00B97365" w:rsidRDefault="00000000">
            <w:pPr>
              <w:rPr>
                <w:rFonts w:cs="Calibri"/>
                <w:b/>
                <w:color w:val="FFFFFF"/>
                <w:sz w:val="16"/>
                <w:szCs w:val="16"/>
              </w:rPr>
            </w:pPr>
            <w:r>
              <w:rPr>
                <w:rFonts w:cs="Calibri"/>
                <w:sz w:val="16"/>
                <w:szCs w:val="16"/>
              </w:rPr>
              <w:t xml:space="preserve">ISD-P Properties (see  </w:t>
            </w:r>
            <w:r>
              <w:fldChar w:fldCharType="begin"/>
            </w:r>
            <w:r>
              <w:rPr>
                <w:rFonts w:cs="Calibri"/>
                <w:sz w:val="16"/>
                <w:szCs w:val="16"/>
              </w:rPr>
              <w:instrText xml:space="preserve"> REF _Ref373937199 \r \h </w:instrText>
            </w:r>
            <w:r>
              <w:fldChar w:fldCharType="separate"/>
            </w:r>
            <w:r w:rsidR="001D5AD9">
              <w:rPr>
                <w:rFonts w:cs="Calibri"/>
                <w:sz w:val="16"/>
                <w:szCs w:val="16"/>
              </w:rPr>
              <w:t>Table 29</w:t>
            </w:r>
            <w:r>
              <w:fldChar w:fldCharType="end"/>
            </w: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2D61735E" w14:textId="77777777" w:rsidR="00B97365" w:rsidRDefault="00000000">
            <w:pPr>
              <w:jc w:val="center"/>
              <w:rPr>
                <w:rFonts w:cs="Calibri"/>
                <w:sz w:val="16"/>
                <w:szCs w:val="16"/>
              </w:rPr>
            </w:pPr>
            <w:r>
              <w:rPr>
                <w:rFonts w:cs="Calibri"/>
                <w:sz w:val="16"/>
                <w:szCs w:val="16"/>
              </w:rPr>
              <w:t>C</w:t>
            </w:r>
          </w:p>
        </w:tc>
      </w:tr>
      <w:tr w:rsidR="00B97365" w14:paraId="532A419C" w14:textId="77777777">
        <w:trPr>
          <w:trHeight w:val="239"/>
          <w:jc w:val="center"/>
        </w:trPr>
        <w:tc>
          <w:tcPr>
            <w:tcW w:w="0" w:type="auto"/>
            <w:tcBorders>
              <w:top w:val="single" w:sz="6" w:space="0" w:color="auto"/>
              <w:left w:val="single" w:sz="4" w:space="0" w:color="auto"/>
              <w:bottom w:val="single" w:sz="6" w:space="0" w:color="auto"/>
              <w:right w:val="single" w:sz="6" w:space="0" w:color="auto"/>
            </w:tcBorders>
          </w:tcPr>
          <w:p w14:paraId="5344A091"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0AD0AC6D"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tcPr>
          <w:p w14:paraId="02738B99" w14:textId="77777777" w:rsidR="00B97365" w:rsidRDefault="00000000">
            <w:pPr>
              <w:rPr>
                <w:rFonts w:cs="Calibri"/>
                <w:sz w:val="16"/>
                <w:szCs w:val="16"/>
              </w:rPr>
            </w:pPr>
            <w:r>
              <w:rPr>
                <w:rFonts w:cs="Calibri"/>
                <w:sz w:val="16"/>
                <w:szCs w:val="16"/>
              </w:rPr>
              <w:t>‘8F’</w:t>
            </w:r>
          </w:p>
        </w:tc>
        <w:tc>
          <w:tcPr>
            <w:tcW w:w="0" w:type="auto"/>
            <w:tcBorders>
              <w:top w:val="single" w:sz="6" w:space="0" w:color="auto"/>
              <w:left w:val="single" w:sz="6" w:space="0" w:color="auto"/>
              <w:bottom w:val="single" w:sz="6" w:space="0" w:color="auto"/>
              <w:right w:val="single" w:sz="6" w:space="0" w:color="auto"/>
            </w:tcBorders>
          </w:tcPr>
          <w:p w14:paraId="25BF1053" w14:textId="77777777" w:rsidR="00B97365" w:rsidRDefault="00000000">
            <w:pPr>
              <w:rPr>
                <w:rFonts w:cs="Calibri"/>
                <w:sz w:val="16"/>
                <w:szCs w:val="16"/>
              </w:rPr>
            </w:pPr>
            <w:r>
              <w:rPr>
                <w:rFonts w:cs="Calibri"/>
                <w:sz w:val="16"/>
                <w:szCs w:val="16"/>
              </w:rPr>
              <w:t>2 or 4</w:t>
            </w:r>
          </w:p>
        </w:tc>
        <w:tc>
          <w:tcPr>
            <w:tcW w:w="0" w:type="auto"/>
            <w:tcBorders>
              <w:top w:val="single" w:sz="6" w:space="0" w:color="auto"/>
              <w:left w:val="single" w:sz="6" w:space="0" w:color="auto"/>
              <w:bottom w:val="single" w:sz="6" w:space="0" w:color="auto"/>
              <w:right w:val="single" w:sz="6" w:space="0" w:color="auto"/>
            </w:tcBorders>
          </w:tcPr>
          <w:p w14:paraId="2DE20C49" w14:textId="77777777" w:rsidR="00B97365" w:rsidRDefault="00000000">
            <w:pPr>
              <w:rPr>
                <w:rFonts w:cs="Calibri"/>
                <w:sz w:val="16"/>
                <w:szCs w:val="16"/>
              </w:rPr>
            </w:pPr>
            <w:r>
              <w:rPr>
                <w:rFonts w:cs="Calibri"/>
                <w:sz w:val="16"/>
                <w:szCs w:val="16"/>
              </w:rPr>
              <w:t>Cumulative Granted Non-Volatile Memory as defined in GlobalPlatform Specification v2.2 amendment C [9]</w:t>
            </w:r>
          </w:p>
        </w:tc>
        <w:tc>
          <w:tcPr>
            <w:tcW w:w="0" w:type="auto"/>
            <w:tcBorders>
              <w:top w:val="single" w:sz="6" w:space="0" w:color="auto"/>
              <w:left w:val="single" w:sz="6" w:space="0" w:color="auto"/>
              <w:bottom w:val="single" w:sz="6" w:space="0" w:color="auto"/>
              <w:right w:val="single" w:sz="4" w:space="0" w:color="auto"/>
            </w:tcBorders>
          </w:tcPr>
          <w:p w14:paraId="53FE059D" w14:textId="77777777" w:rsidR="00B97365" w:rsidRDefault="00000000">
            <w:pPr>
              <w:jc w:val="center"/>
              <w:rPr>
                <w:rFonts w:cs="Calibri"/>
                <w:sz w:val="16"/>
                <w:szCs w:val="16"/>
              </w:rPr>
            </w:pPr>
            <w:r>
              <w:rPr>
                <w:rFonts w:cs="Calibri"/>
                <w:sz w:val="16"/>
                <w:szCs w:val="16"/>
              </w:rPr>
              <w:t>C</w:t>
            </w:r>
          </w:p>
        </w:tc>
      </w:tr>
      <w:tr w:rsidR="00B97365" w14:paraId="14A63EA3" w14:textId="77777777">
        <w:trPr>
          <w:trHeight w:val="239"/>
          <w:jc w:val="center"/>
        </w:trPr>
        <w:tc>
          <w:tcPr>
            <w:tcW w:w="0" w:type="auto"/>
            <w:tcBorders>
              <w:top w:val="single" w:sz="6" w:space="0" w:color="auto"/>
              <w:left w:val="single" w:sz="4" w:space="0" w:color="auto"/>
              <w:bottom w:val="single" w:sz="4" w:space="0" w:color="auto"/>
              <w:right w:val="single" w:sz="6" w:space="0" w:color="auto"/>
            </w:tcBorders>
          </w:tcPr>
          <w:p w14:paraId="1723D4E4" w14:textId="77777777" w:rsidR="00B97365" w:rsidRDefault="00B97365">
            <w:pPr>
              <w:rPr>
                <w:rFonts w:cs="Calibri"/>
                <w:sz w:val="16"/>
                <w:szCs w:val="16"/>
              </w:rPr>
            </w:pPr>
          </w:p>
        </w:tc>
        <w:tc>
          <w:tcPr>
            <w:tcW w:w="0" w:type="auto"/>
            <w:tcBorders>
              <w:top w:val="single" w:sz="6" w:space="0" w:color="auto"/>
              <w:left w:val="single" w:sz="6" w:space="0" w:color="auto"/>
              <w:bottom w:val="single" w:sz="4" w:space="0" w:color="auto"/>
              <w:right w:val="single" w:sz="6" w:space="0" w:color="auto"/>
            </w:tcBorders>
            <w:vAlign w:val="center"/>
          </w:tcPr>
          <w:p w14:paraId="54AAF2CA" w14:textId="77777777" w:rsidR="00B97365" w:rsidRDefault="00B97365">
            <w:pPr>
              <w:rPr>
                <w:rFonts w:cs="Calibri"/>
                <w:sz w:val="16"/>
                <w:szCs w:val="16"/>
              </w:rPr>
            </w:pPr>
          </w:p>
        </w:tc>
        <w:tc>
          <w:tcPr>
            <w:tcW w:w="0" w:type="auto"/>
            <w:tcBorders>
              <w:top w:val="single" w:sz="6" w:space="0" w:color="auto"/>
              <w:left w:val="single" w:sz="6" w:space="0" w:color="auto"/>
              <w:bottom w:val="single" w:sz="4" w:space="0" w:color="auto"/>
              <w:right w:val="single" w:sz="6" w:space="0" w:color="auto"/>
            </w:tcBorders>
          </w:tcPr>
          <w:p w14:paraId="3D30FF8E" w14:textId="77777777" w:rsidR="00B97365" w:rsidRDefault="00000000">
            <w:pPr>
              <w:rPr>
                <w:rFonts w:cs="Calibri"/>
                <w:sz w:val="16"/>
                <w:szCs w:val="16"/>
              </w:rPr>
            </w:pPr>
            <w:r>
              <w:rPr>
                <w:rFonts w:cs="Calibri"/>
                <w:sz w:val="16"/>
                <w:szCs w:val="16"/>
              </w:rPr>
              <w:t>‘91’</w:t>
            </w:r>
          </w:p>
        </w:tc>
        <w:tc>
          <w:tcPr>
            <w:tcW w:w="0" w:type="auto"/>
            <w:tcBorders>
              <w:top w:val="single" w:sz="6" w:space="0" w:color="auto"/>
              <w:left w:val="single" w:sz="6" w:space="0" w:color="auto"/>
              <w:bottom w:val="single" w:sz="4" w:space="0" w:color="auto"/>
              <w:right w:val="single" w:sz="6" w:space="0" w:color="auto"/>
            </w:tcBorders>
          </w:tcPr>
          <w:p w14:paraId="1BC8D210" w14:textId="77777777" w:rsidR="00B97365" w:rsidRDefault="00000000">
            <w:pPr>
              <w:rPr>
                <w:rFonts w:cs="Calibri"/>
                <w:sz w:val="16"/>
                <w:szCs w:val="16"/>
              </w:rPr>
            </w:pPr>
            <w:r>
              <w:rPr>
                <w:rFonts w:cs="Calibri"/>
                <w:sz w:val="16"/>
                <w:szCs w:val="16"/>
              </w:rPr>
              <w:t>2 or 4</w:t>
            </w:r>
          </w:p>
        </w:tc>
        <w:tc>
          <w:tcPr>
            <w:tcW w:w="0" w:type="auto"/>
            <w:tcBorders>
              <w:top w:val="single" w:sz="6" w:space="0" w:color="auto"/>
              <w:left w:val="single" w:sz="6" w:space="0" w:color="auto"/>
              <w:bottom w:val="single" w:sz="4" w:space="0" w:color="auto"/>
              <w:right w:val="single" w:sz="6" w:space="0" w:color="auto"/>
            </w:tcBorders>
          </w:tcPr>
          <w:p w14:paraId="022F83BC" w14:textId="77777777" w:rsidR="00B97365" w:rsidRDefault="00000000">
            <w:pPr>
              <w:rPr>
                <w:rFonts w:cs="Calibri"/>
                <w:sz w:val="16"/>
                <w:szCs w:val="16"/>
              </w:rPr>
            </w:pPr>
            <w:r>
              <w:rPr>
                <w:rFonts w:cs="Calibri"/>
                <w:sz w:val="16"/>
                <w:szCs w:val="16"/>
              </w:rPr>
              <w:t>Cumulative Remaining Non-Volatile Memory as defined in GlobalPlatform Specification v2.2 amendment C [9]</w:t>
            </w:r>
          </w:p>
        </w:tc>
        <w:tc>
          <w:tcPr>
            <w:tcW w:w="0" w:type="auto"/>
            <w:tcBorders>
              <w:top w:val="single" w:sz="6" w:space="0" w:color="auto"/>
              <w:left w:val="single" w:sz="6" w:space="0" w:color="auto"/>
              <w:bottom w:val="single" w:sz="4" w:space="0" w:color="auto"/>
              <w:right w:val="single" w:sz="4" w:space="0" w:color="auto"/>
            </w:tcBorders>
          </w:tcPr>
          <w:p w14:paraId="73DD878E" w14:textId="77777777" w:rsidR="00B97365" w:rsidRDefault="00000000">
            <w:pPr>
              <w:jc w:val="center"/>
              <w:rPr>
                <w:rFonts w:cs="Calibri"/>
                <w:sz w:val="16"/>
                <w:szCs w:val="16"/>
              </w:rPr>
            </w:pPr>
            <w:r>
              <w:rPr>
                <w:rFonts w:cs="Calibri"/>
                <w:sz w:val="16"/>
                <w:szCs w:val="16"/>
              </w:rPr>
              <w:t>C</w:t>
            </w:r>
          </w:p>
        </w:tc>
      </w:tr>
    </w:tbl>
    <w:p w14:paraId="48BDBAEC"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GET STATUS Command Data Field Return</w:t>
      </w:r>
    </w:p>
    <w:p w14:paraId="31B8C30E" w14:textId="77777777" w:rsidR="00B97365" w:rsidRDefault="00000000">
      <w:pPr>
        <w:spacing w:before="0" w:after="200" w:line="276" w:lineRule="auto"/>
        <w:jc w:val="left"/>
      </w:pPr>
      <w:r>
        <w:rPr>
          <w:lang w:val="en-US"/>
        </w:rPr>
        <w:t>If an ISD-P that matches the search criteria was installed without Cumulative Granted Memory option, the related tags ‘8F’ and ‘91’ SHALL be absent in the response, even if they were requested in the tag list of the command.</w:t>
      </w:r>
    </w:p>
    <w:tbl>
      <w:tblPr>
        <w:tblW w:w="7656" w:type="dxa"/>
        <w:tblInd w:w="10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26"/>
        <w:gridCol w:w="425"/>
        <w:gridCol w:w="425"/>
        <w:gridCol w:w="425"/>
        <w:gridCol w:w="426"/>
        <w:gridCol w:w="425"/>
        <w:gridCol w:w="425"/>
        <w:gridCol w:w="426"/>
        <w:gridCol w:w="4253"/>
      </w:tblGrid>
      <w:tr w:rsidR="00B97365" w14:paraId="1A994199" w14:textId="77777777">
        <w:trPr>
          <w:trHeight w:val="239"/>
          <w:tblHeader/>
        </w:trPr>
        <w:tc>
          <w:tcPr>
            <w:tcW w:w="426" w:type="dxa"/>
            <w:tcBorders>
              <w:top w:val="single" w:sz="4" w:space="0" w:color="auto"/>
              <w:left w:val="single" w:sz="4" w:space="0" w:color="auto"/>
              <w:bottom w:val="single" w:sz="6" w:space="0" w:color="auto"/>
              <w:right w:val="single" w:sz="6" w:space="0" w:color="auto"/>
            </w:tcBorders>
            <w:shd w:val="clear" w:color="auto" w:fill="C00000"/>
            <w:hideMark/>
          </w:tcPr>
          <w:p w14:paraId="181FC954" w14:textId="77777777" w:rsidR="00B97365" w:rsidRDefault="00000000">
            <w:pPr>
              <w:jc w:val="center"/>
              <w:rPr>
                <w:rFonts w:cs="Calibri"/>
                <w:b/>
                <w:color w:val="FFFFFF"/>
              </w:rPr>
            </w:pPr>
            <w:r>
              <w:rPr>
                <w:rFonts w:cs="Calibri"/>
                <w:b/>
                <w:color w:val="FFFFFF"/>
              </w:rPr>
              <w:t>b8</w:t>
            </w:r>
          </w:p>
        </w:tc>
        <w:tc>
          <w:tcPr>
            <w:tcW w:w="425" w:type="dxa"/>
            <w:tcBorders>
              <w:top w:val="single" w:sz="4" w:space="0" w:color="auto"/>
              <w:left w:val="single" w:sz="6" w:space="0" w:color="auto"/>
              <w:bottom w:val="single" w:sz="6" w:space="0" w:color="auto"/>
              <w:right w:val="single" w:sz="6" w:space="0" w:color="auto"/>
            </w:tcBorders>
            <w:shd w:val="clear" w:color="auto" w:fill="C00000"/>
            <w:hideMark/>
          </w:tcPr>
          <w:p w14:paraId="167B5BCF" w14:textId="77777777" w:rsidR="00B97365" w:rsidRDefault="00000000">
            <w:pPr>
              <w:jc w:val="center"/>
              <w:rPr>
                <w:rFonts w:cs="Calibri"/>
                <w:b/>
                <w:color w:val="FFFFFF"/>
              </w:rPr>
            </w:pPr>
            <w:r>
              <w:rPr>
                <w:rFonts w:cs="Calibri"/>
                <w:b/>
                <w:color w:val="FFFFFF"/>
              </w:rPr>
              <w:t>b7</w:t>
            </w:r>
          </w:p>
        </w:tc>
        <w:tc>
          <w:tcPr>
            <w:tcW w:w="425" w:type="dxa"/>
            <w:tcBorders>
              <w:top w:val="single" w:sz="4" w:space="0" w:color="auto"/>
              <w:left w:val="single" w:sz="6" w:space="0" w:color="auto"/>
              <w:bottom w:val="single" w:sz="6" w:space="0" w:color="auto"/>
              <w:right w:val="single" w:sz="6" w:space="0" w:color="auto"/>
            </w:tcBorders>
            <w:shd w:val="clear" w:color="auto" w:fill="C00000"/>
            <w:hideMark/>
          </w:tcPr>
          <w:p w14:paraId="157DC1D5" w14:textId="77777777" w:rsidR="00B97365" w:rsidRDefault="00000000">
            <w:pPr>
              <w:jc w:val="center"/>
              <w:rPr>
                <w:rFonts w:cs="Calibri"/>
                <w:b/>
                <w:color w:val="FFFFFF"/>
              </w:rPr>
            </w:pPr>
            <w:r>
              <w:rPr>
                <w:rFonts w:cs="Calibri"/>
                <w:b/>
                <w:color w:val="FFFFFF"/>
              </w:rPr>
              <w:t>b6</w:t>
            </w:r>
          </w:p>
        </w:tc>
        <w:tc>
          <w:tcPr>
            <w:tcW w:w="425" w:type="dxa"/>
            <w:tcBorders>
              <w:top w:val="single" w:sz="4" w:space="0" w:color="auto"/>
              <w:left w:val="single" w:sz="6" w:space="0" w:color="auto"/>
              <w:bottom w:val="single" w:sz="6" w:space="0" w:color="auto"/>
              <w:right w:val="single" w:sz="6" w:space="0" w:color="auto"/>
            </w:tcBorders>
            <w:shd w:val="clear" w:color="auto" w:fill="C00000"/>
            <w:hideMark/>
          </w:tcPr>
          <w:p w14:paraId="1481D39C" w14:textId="77777777" w:rsidR="00B97365" w:rsidRDefault="00000000">
            <w:pPr>
              <w:jc w:val="center"/>
              <w:rPr>
                <w:rFonts w:cs="Calibri"/>
                <w:b/>
                <w:color w:val="FFFFFF"/>
              </w:rPr>
            </w:pPr>
            <w:r>
              <w:rPr>
                <w:rFonts w:cs="Calibri"/>
                <w:b/>
                <w:color w:val="FFFFFF"/>
              </w:rPr>
              <w:t>b5</w:t>
            </w:r>
          </w:p>
        </w:tc>
        <w:tc>
          <w:tcPr>
            <w:tcW w:w="426" w:type="dxa"/>
            <w:tcBorders>
              <w:top w:val="single" w:sz="4" w:space="0" w:color="auto"/>
              <w:left w:val="single" w:sz="6" w:space="0" w:color="auto"/>
              <w:bottom w:val="single" w:sz="6" w:space="0" w:color="auto"/>
              <w:right w:val="single" w:sz="6" w:space="0" w:color="auto"/>
            </w:tcBorders>
            <w:shd w:val="clear" w:color="auto" w:fill="C00000"/>
            <w:hideMark/>
          </w:tcPr>
          <w:p w14:paraId="539FC93C" w14:textId="77777777" w:rsidR="00B97365" w:rsidRDefault="00000000">
            <w:pPr>
              <w:jc w:val="center"/>
              <w:rPr>
                <w:rFonts w:cs="Calibri"/>
                <w:b/>
                <w:color w:val="FFFFFF"/>
              </w:rPr>
            </w:pPr>
            <w:r>
              <w:rPr>
                <w:rFonts w:cs="Calibri"/>
                <w:b/>
                <w:color w:val="FFFFFF"/>
              </w:rPr>
              <w:t>b4</w:t>
            </w:r>
          </w:p>
        </w:tc>
        <w:tc>
          <w:tcPr>
            <w:tcW w:w="425" w:type="dxa"/>
            <w:tcBorders>
              <w:top w:val="single" w:sz="4" w:space="0" w:color="auto"/>
              <w:left w:val="single" w:sz="6" w:space="0" w:color="auto"/>
              <w:bottom w:val="single" w:sz="6" w:space="0" w:color="auto"/>
              <w:right w:val="single" w:sz="6" w:space="0" w:color="auto"/>
            </w:tcBorders>
            <w:shd w:val="clear" w:color="auto" w:fill="C00000"/>
            <w:hideMark/>
          </w:tcPr>
          <w:p w14:paraId="33F7DA2A" w14:textId="77777777" w:rsidR="00B97365" w:rsidRDefault="00000000">
            <w:pPr>
              <w:jc w:val="center"/>
              <w:rPr>
                <w:rFonts w:cs="Calibri"/>
                <w:b/>
                <w:color w:val="FFFFFF"/>
              </w:rPr>
            </w:pPr>
            <w:r>
              <w:rPr>
                <w:rFonts w:cs="Calibri"/>
                <w:b/>
                <w:color w:val="FFFFFF"/>
              </w:rPr>
              <w:t>b3</w:t>
            </w:r>
          </w:p>
        </w:tc>
        <w:tc>
          <w:tcPr>
            <w:tcW w:w="42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6794F28" w14:textId="77777777" w:rsidR="00B97365" w:rsidRDefault="00000000">
            <w:pPr>
              <w:jc w:val="center"/>
              <w:rPr>
                <w:rFonts w:cs="Calibri"/>
                <w:b/>
                <w:color w:val="FFFFFF"/>
              </w:rPr>
            </w:pPr>
            <w:r>
              <w:rPr>
                <w:rFonts w:cs="Calibri"/>
                <w:b/>
                <w:color w:val="FFFFFF"/>
              </w:rPr>
              <w:t>b2</w:t>
            </w:r>
          </w:p>
        </w:tc>
        <w:tc>
          <w:tcPr>
            <w:tcW w:w="42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6DE7977" w14:textId="77777777" w:rsidR="00B97365" w:rsidRDefault="00000000">
            <w:pPr>
              <w:jc w:val="center"/>
              <w:rPr>
                <w:rFonts w:cs="Calibri"/>
                <w:b/>
                <w:color w:val="FFFFFF"/>
              </w:rPr>
            </w:pPr>
            <w:r>
              <w:rPr>
                <w:rFonts w:cs="Calibri"/>
                <w:b/>
                <w:color w:val="FFFFFF"/>
              </w:rPr>
              <w:t>b1</w:t>
            </w:r>
          </w:p>
        </w:tc>
        <w:tc>
          <w:tcPr>
            <w:tcW w:w="4253"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FE68C18" w14:textId="77777777" w:rsidR="00B97365" w:rsidRDefault="00000000">
            <w:pPr>
              <w:jc w:val="center"/>
              <w:rPr>
                <w:rFonts w:cs="Calibri"/>
                <w:b/>
                <w:color w:val="FFFFFF"/>
              </w:rPr>
            </w:pPr>
            <w:r>
              <w:rPr>
                <w:rFonts w:cs="Calibri"/>
                <w:b/>
                <w:color w:val="FFFFFF"/>
              </w:rPr>
              <w:t>Meaning</w:t>
            </w:r>
          </w:p>
        </w:tc>
      </w:tr>
      <w:tr w:rsidR="00B97365" w14:paraId="19918452" w14:textId="77777777">
        <w:trPr>
          <w:trHeight w:val="239"/>
        </w:trPr>
        <w:tc>
          <w:tcPr>
            <w:tcW w:w="426" w:type="dxa"/>
            <w:tcBorders>
              <w:top w:val="single" w:sz="6" w:space="0" w:color="auto"/>
              <w:left w:val="single" w:sz="4" w:space="0" w:color="auto"/>
              <w:bottom w:val="single" w:sz="6" w:space="0" w:color="auto"/>
              <w:right w:val="single" w:sz="6" w:space="0" w:color="auto"/>
            </w:tcBorders>
            <w:hideMark/>
          </w:tcPr>
          <w:p w14:paraId="04764C00" w14:textId="77777777" w:rsidR="00B97365" w:rsidRDefault="00000000">
            <w:pPr>
              <w:rPr>
                <w:rFonts w:cs="Calibri"/>
              </w:rPr>
            </w:pPr>
            <w:r>
              <w:rPr>
                <w:rFonts w:cs="Calibri"/>
              </w:rPr>
              <w:t>X</w:t>
            </w:r>
          </w:p>
        </w:tc>
        <w:tc>
          <w:tcPr>
            <w:tcW w:w="425" w:type="dxa"/>
            <w:tcBorders>
              <w:top w:val="single" w:sz="6" w:space="0" w:color="auto"/>
              <w:left w:val="single" w:sz="6" w:space="0" w:color="auto"/>
              <w:bottom w:val="single" w:sz="6" w:space="0" w:color="auto"/>
              <w:right w:val="single" w:sz="6" w:space="0" w:color="auto"/>
            </w:tcBorders>
            <w:hideMark/>
          </w:tcPr>
          <w:p w14:paraId="494E3F11" w14:textId="77777777" w:rsidR="00B97365" w:rsidRDefault="00000000">
            <w:pPr>
              <w:rPr>
                <w:rFonts w:cs="Calibri"/>
              </w:rPr>
            </w:pPr>
            <w:r>
              <w:rPr>
                <w:rFonts w:cs="Calibri"/>
              </w:rPr>
              <w:t>X</w:t>
            </w:r>
          </w:p>
        </w:tc>
        <w:tc>
          <w:tcPr>
            <w:tcW w:w="425" w:type="dxa"/>
            <w:tcBorders>
              <w:top w:val="single" w:sz="6" w:space="0" w:color="auto"/>
              <w:left w:val="single" w:sz="6" w:space="0" w:color="auto"/>
              <w:bottom w:val="single" w:sz="6" w:space="0" w:color="auto"/>
              <w:right w:val="single" w:sz="6" w:space="0" w:color="auto"/>
            </w:tcBorders>
            <w:hideMark/>
          </w:tcPr>
          <w:p w14:paraId="59D64950" w14:textId="77777777" w:rsidR="00B97365" w:rsidRDefault="00000000">
            <w:pPr>
              <w:rPr>
                <w:rFonts w:cs="Calibri"/>
              </w:rPr>
            </w:pPr>
            <w:r>
              <w:rPr>
                <w:rFonts w:cs="Calibri"/>
              </w:rPr>
              <w:t>X</w:t>
            </w:r>
          </w:p>
        </w:tc>
        <w:tc>
          <w:tcPr>
            <w:tcW w:w="425" w:type="dxa"/>
            <w:tcBorders>
              <w:top w:val="single" w:sz="6" w:space="0" w:color="auto"/>
              <w:left w:val="single" w:sz="6" w:space="0" w:color="auto"/>
              <w:bottom w:val="single" w:sz="6" w:space="0" w:color="auto"/>
              <w:right w:val="single" w:sz="6" w:space="0" w:color="auto"/>
            </w:tcBorders>
            <w:hideMark/>
          </w:tcPr>
          <w:p w14:paraId="0CC76F9C" w14:textId="77777777" w:rsidR="00B97365" w:rsidRDefault="00000000">
            <w:pPr>
              <w:rPr>
                <w:rFonts w:cs="Calibri"/>
              </w:rPr>
            </w:pPr>
            <w:r>
              <w:rPr>
                <w:rFonts w:cs="Calibri"/>
              </w:rPr>
              <w:t>X</w:t>
            </w:r>
          </w:p>
        </w:tc>
        <w:tc>
          <w:tcPr>
            <w:tcW w:w="426" w:type="dxa"/>
            <w:tcBorders>
              <w:top w:val="single" w:sz="6" w:space="0" w:color="auto"/>
              <w:left w:val="single" w:sz="6" w:space="0" w:color="auto"/>
              <w:bottom w:val="single" w:sz="6" w:space="0" w:color="auto"/>
              <w:right w:val="single" w:sz="6" w:space="0" w:color="auto"/>
            </w:tcBorders>
            <w:hideMark/>
          </w:tcPr>
          <w:p w14:paraId="5A117C93" w14:textId="77777777" w:rsidR="00B97365" w:rsidRDefault="00000000">
            <w:pPr>
              <w:rPr>
                <w:rFonts w:cs="Calibri"/>
              </w:rPr>
            </w:pPr>
            <w:r>
              <w:rPr>
                <w:rFonts w:cs="Calibri"/>
              </w:rPr>
              <w:t>X</w:t>
            </w:r>
          </w:p>
        </w:tc>
        <w:tc>
          <w:tcPr>
            <w:tcW w:w="425" w:type="dxa"/>
            <w:tcBorders>
              <w:top w:val="single" w:sz="6" w:space="0" w:color="auto"/>
              <w:left w:val="single" w:sz="6" w:space="0" w:color="auto"/>
              <w:bottom w:val="single" w:sz="6" w:space="0" w:color="auto"/>
              <w:right w:val="single" w:sz="6" w:space="0" w:color="auto"/>
            </w:tcBorders>
            <w:hideMark/>
          </w:tcPr>
          <w:p w14:paraId="6BE5097D"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CA9E470" w14:textId="77777777" w:rsidR="00B97365" w:rsidRDefault="00000000">
            <w:pPr>
              <w:rPr>
                <w:rFonts w:cs="Calibri"/>
              </w:rPr>
            </w:pPr>
            <w:r>
              <w:rPr>
                <w:rFonts w:cs="Calibri"/>
              </w:rPr>
              <w:t>-</w:t>
            </w:r>
          </w:p>
        </w:tc>
        <w:tc>
          <w:tcPr>
            <w:tcW w:w="426" w:type="dxa"/>
            <w:tcBorders>
              <w:top w:val="single" w:sz="6" w:space="0" w:color="auto"/>
              <w:left w:val="single" w:sz="6" w:space="0" w:color="auto"/>
              <w:bottom w:val="single" w:sz="6" w:space="0" w:color="auto"/>
              <w:right w:val="single" w:sz="6" w:space="0" w:color="auto"/>
            </w:tcBorders>
            <w:vAlign w:val="center"/>
            <w:hideMark/>
          </w:tcPr>
          <w:p w14:paraId="2CAD8969" w14:textId="77777777" w:rsidR="00B97365" w:rsidRDefault="00000000">
            <w:pPr>
              <w:rPr>
                <w:rFonts w:cs="Calibri"/>
              </w:rPr>
            </w:pPr>
            <w:r>
              <w:rPr>
                <w:rFonts w:cs="Calibri"/>
              </w:rPr>
              <w:t>-</w:t>
            </w:r>
          </w:p>
        </w:tc>
        <w:tc>
          <w:tcPr>
            <w:tcW w:w="4253" w:type="dxa"/>
            <w:tcBorders>
              <w:top w:val="single" w:sz="6" w:space="0" w:color="auto"/>
              <w:left w:val="single" w:sz="6" w:space="0" w:color="auto"/>
              <w:bottom w:val="single" w:sz="6" w:space="0" w:color="auto"/>
              <w:right w:val="single" w:sz="4" w:space="0" w:color="auto"/>
            </w:tcBorders>
            <w:vAlign w:val="center"/>
            <w:hideMark/>
          </w:tcPr>
          <w:p w14:paraId="187D4A21" w14:textId="77777777" w:rsidR="00B97365" w:rsidRDefault="00000000">
            <w:pPr>
              <w:rPr>
                <w:rFonts w:cs="Calibri"/>
              </w:rPr>
            </w:pPr>
            <w:r>
              <w:rPr>
                <w:rFonts w:cs="Calibri"/>
              </w:rPr>
              <w:t>RFU</w:t>
            </w:r>
          </w:p>
        </w:tc>
      </w:tr>
      <w:tr w:rsidR="00B97365" w14:paraId="477B4C33" w14:textId="77777777">
        <w:trPr>
          <w:trHeight w:val="239"/>
        </w:trPr>
        <w:tc>
          <w:tcPr>
            <w:tcW w:w="426" w:type="dxa"/>
            <w:tcBorders>
              <w:top w:val="single" w:sz="6" w:space="0" w:color="auto"/>
              <w:left w:val="single" w:sz="4" w:space="0" w:color="auto"/>
              <w:bottom w:val="single" w:sz="6" w:space="0" w:color="auto"/>
              <w:right w:val="single" w:sz="6" w:space="0" w:color="auto"/>
            </w:tcBorders>
            <w:hideMark/>
          </w:tcPr>
          <w:p w14:paraId="7E8DF755"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hideMark/>
          </w:tcPr>
          <w:p w14:paraId="275664E7"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hideMark/>
          </w:tcPr>
          <w:p w14:paraId="3869B07C"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hideMark/>
          </w:tcPr>
          <w:p w14:paraId="49A45239" w14:textId="77777777" w:rsidR="00B97365" w:rsidRDefault="00000000">
            <w:pPr>
              <w:rPr>
                <w:rFonts w:cs="Calibri"/>
              </w:rPr>
            </w:pPr>
            <w:r>
              <w:rPr>
                <w:rFonts w:cs="Calibri"/>
              </w:rPr>
              <w:t>-</w:t>
            </w:r>
          </w:p>
        </w:tc>
        <w:tc>
          <w:tcPr>
            <w:tcW w:w="426" w:type="dxa"/>
            <w:tcBorders>
              <w:top w:val="single" w:sz="6" w:space="0" w:color="auto"/>
              <w:left w:val="single" w:sz="6" w:space="0" w:color="auto"/>
              <w:bottom w:val="single" w:sz="6" w:space="0" w:color="auto"/>
              <w:right w:val="single" w:sz="6" w:space="0" w:color="auto"/>
            </w:tcBorders>
            <w:hideMark/>
          </w:tcPr>
          <w:p w14:paraId="3FF331FE"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hideMark/>
          </w:tcPr>
          <w:p w14:paraId="6FD1BC94" w14:textId="77777777" w:rsidR="00B97365" w:rsidRDefault="00000000">
            <w:pPr>
              <w:rPr>
                <w:rFonts w:cs="Calibri"/>
              </w:rPr>
            </w:pPr>
            <w:r>
              <w:rPr>
                <w:rFonts w:cs="Calibri"/>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5C3C7BC4" w14:textId="77777777" w:rsidR="00B97365" w:rsidRDefault="00000000">
            <w:pPr>
              <w:rPr>
                <w:rFonts w:cs="Calibri"/>
              </w:rPr>
            </w:pPr>
            <w:r>
              <w:rPr>
                <w:rFonts w:cs="Calibri"/>
              </w:rPr>
              <w:t>X</w:t>
            </w:r>
          </w:p>
        </w:tc>
        <w:tc>
          <w:tcPr>
            <w:tcW w:w="426" w:type="dxa"/>
            <w:tcBorders>
              <w:top w:val="single" w:sz="6" w:space="0" w:color="auto"/>
              <w:left w:val="single" w:sz="6" w:space="0" w:color="auto"/>
              <w:bottom w:val="single" w:sz="6" w:space="0" w:color="auto"/>
              <w:right w:val="single" w:sz="6" w:space="0" w:color="auto"/>
            </w:tcBorders>
            <w:vAlign w:val="center"/>
            <w:hideMark/>
          </w:tcPr>
          <w:p w14:paraId="1764EDBD" w14:textId="77777777" w:rsidR="00B97365" w:rsidRDefault="00000000">
            <w:pPr>
              <w:rPr>
                <w:rFonts w:cs="Calibri"/>
              </w:rPr>
            </w:pPr>
            <w:r>
              <w:rPr>
                <w:rFonts w:cs="Calibri"/>
              </w:rPr>
              <w:t>0</w:t>
            </w:r>
          </w:p>
        </w:tc>
        <w:tc>
          <w:tcPr>
            <w:tcW w:w="4253" w:type="dxa"/>
            <w:tcBorders>
              <w:top w:val="single" w:sz="6" w:space="0" w:color="auto"/>
              <w:left w:val="single" w:sz="6" w:space="0" w:color="auto"/>
              <w:bottom w:val="single" w:sz="6" w:space="0" w:color="auto"/>
              <w:right w:val="single" w:sz="4" w:space="0" w:color="auto"/>
            </w:tcBorders>
            <w:vAlign w:val="center"/>
            <w:hideMark/>
          </w:tcPr>
          <w:p w14:paraId="160135D8" w14:textId="77777777" w:rsidR="00B97365" w:rsidRDefault="00000000">
            <w:pPr>
              <w:rPr>
                <w:rFonts w:cs="Calibri"/>
              </w:rPr>
            </w:pPr>
            <w:r>
              <w:rPr>
                <w:rFonts w:cs="Calibri"/>
              </w:rPr>
              <w:t xml:space="preserve">Fall-Back Attribute not set </w:t>
            </w:r>
          </w:p>
        </w:tc>
      </w:tr>
      <w:tr w:rsidR="00B97365" w14:paraId="36E30BBF" w14:textId="77777777">
        <w:trPr>
          <w:trHeight w:val="239"/>
        </w:trPr>
        <w:tc>
          <w:tcPr>
            <w:tcW w:w="426" w:type="dxa"/>
            <w:tcBorders>
              <w:top w:val="single" w:sz="6" w:space="0" w:color="auto"/>
              <w:left w:val="single" w:sz="4" w:space="0" w:color="auto"/>
              <w:bottom w:val="single" w:sz="6" w:space="0" w:color="auto"/>
              <w:right w:val="single" w:sz="6" w:space="0" w:color="auto"/>
            </w:tcBorders>
            <w:hideMark/>
          </w:tcPr>
          <w:p w14:paraId="60272B39"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hideMark/>
          </w:tcPr>
          <w:p w14:paraId="59B21CB9"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hideMark/>
          </w:tcPr>
          <w:p w14:paraId="2104B814"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hideMark/>
          </w:tcPr>
          <w:p w14:paraId="4D16AD0F" w14:textId="77777777" w:rsidR="00B97365" w:rsidRDefault="00000000">
            <w:pPr>
              <w:rPr>
                <w:rFonts w:cs="Calibri"/>
              </w:rPr>
            </w:pPr>
            <w:r>
              <w:rPr>
                <w:rFonts w:cs="Calibri"/>
              </w:rPr>
              <w:t>-</w:t>
            </w:r>
          </w:p>
        </w:tc>
        <w:tc>
          <w:tcPr>
            <w:tcW w:w="426" w:type="dxa"/>
            <w:tcBorders>
              <w:top w:val="single" w:sz="6" w:space="0" w:color="auto"/>
              <w:left w:val="single" w:sz="6" w:space="0" w:color="auto"/>
              <w:bottom w:val="single" w:sz="6" w:space="0" w:color="auto"/>
              <w:right w:val="single" w:sz="6" w:space="0" w:color="auto"/>
            </w:tcBorders>
            <w:hideMark/>
          </w:tcPr>
          <w:p w14:paraId="79F9F176"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hideMark/>
          </w:tcPr>
          <w:p w14:paraId="04B133FB" w14:textId="77777777" w:rsidR="00B97365" w:rsidRDefault="00000000">
            <w:pPr>
              <w:rPr>
                <w:rFonts w:cs="Calibri"/>
              </w:rPr>
            </w:pPr>
            <w:r>
              <w:rPr>
                <w:rFonts w:cs="Calibri"/>
              </w:rPr>
              <w:t>0</w:t>
            </w:r>
          </w:p>
        </w:tc>
        <w:tc>
          <w:tcPr>
            <w:tcW w:w="425" w:type="dxa"/>
            <w:tcBorders>
              <w:top w:val="single" w:sz="6" w:space="0" w:color="auto"/>
              <w:left w:val="single" w:sz="6" w:space="0" w:color="auto"/>
              <w:bottom w:val="single" w:sz="6" w:space="0" w:color="auto"/>
              <w:right w:val="single" w:sz="6" w:space="0" w:color="auto"/>
            </w:tcBorders>
            <w:vAlign w:val="center"/>
            <w:hideMark/>
          </w:tcPr>
          <w:p w14:paraId="1D23DE41" w14:textId="77777777" w:rsidR="00B97365" w:rsidRDefault="00000000">
            <w:pPr>
              <w:rPr>
                <w:rFonts w:cs="Calibri"/>
              </w:rPr>
            </w:pPr>
            <w:r>
              <w:rPr>
                <w:rFonts w:cs="Calibri"/>
              </w:rPr>
              <w:t>0</w:t>
            </w:r>
          </w:p>
        </w:tc>
        <w:tc>
          <w:tcPr>
            <w:tcW w:w="426" w:type="dxa"/>
            <w:tcBorders>
              <w:top w:val="single" w:sz="6" w:space="0" w:color="auto"/>
              <w:left w:val="single" w:sz="6" w:space="0" w:color="auto"/>
              <w:bottom w:val="single" w:sz="6" w:space="0" w:color="auto"/>
              <w:right w:val="single" w:sz="6" w:space="0" w:color="auto"/>
            </w:tcBorders>
            <w:vAlign w:val="center"/>
            <w:hideMark/>
          </w:tcPr>
          <w:p w14:paraId="041234B1" w14:textId="77777777" w:rsidR="00B97365" w:rsidRDefault="00000000">
            <w:pPr>
              <w:rPr>
                <w:rFonts w:cs="Calibri"/>
              </w:rPr>
            </w:pPr>
            <w:r>
              <w:rPr>
                <w:rFonts w:cs="Calibri"/>
              </w:rPr>
              <w:t>1</w:t>
            </w:r>
          </w:p>
        </w:tc>
        <w:tc>
          <w:tcPr>
            <w:tcW w:w="4253" w:type="dxa"/>
            <w:tcBorders>
              <w:top w:val="single" w:sz="6" w:space="0" w:color="auto"/>
              <w:left w:val="single" w:sz="6" w:space="0" w:color="auto"/>
              <w:bottom w:val="single" w:sz="6" w:space="0" w:color="auto"/>
              <w:right w:val="single" w:sz="4" w:space="0" w:color="auto"/>
            </w:tcBorders>
            <w:vAlign w:val="center"/>
            <w:hideMark/>
          </w:tcPr>
          <w:p w14:paraId="497C0BF1" w14:textId="77777777" w:rsidR="00B97365" w:rsidRDefault="00000000">
            <w:pPr>
              <w:rPr>
                <w:rFonts w:cs="Calibri"/>
              </w:rPr>
            </w:pPr>
            <w:r>
              <w:rPr>
                <w:rFonts w:cs="Calibri"/>
              </w:rPr>
              <w:t>Fall-Back Attribute set</w:t>
            </w:r>
          </w:p>
        </w:tc>
      </w:tr>
      <w:tr w:rsidR="00B97365" w14:paraId="34618389" w14:textId="77777777">
        <w:trPr>
          <w:trHeight w:val="239"/>
        </w:trPr>
        <w:tc>
          <w:tcPr>
            <w:tcW w:w="426" w:type="dxa"/>
            <w:tcBorders>
              <w:top w:val="single" w:sz="6" w:space="0" w:color="auto"/>
              <w:left w:val="single" w:sz="4" w:space="0" w:color="auto"/>
              <w:bottom w:val="single" w:sz="6" w:space="0" w:color="auto"/>
              <w:right w:val="single" w:sz="6" w:space="0" w:color="auto"/>
            </w:tcBorders>
          </w:tcPr>
          <w:p w14:paraId="3F466724"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0AEFB83B"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297B7558"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00517682" w14:textId="77777777" w:rsidR="00B97365" w:rsidRDefault="00000000">
            <w:pPr>
              <w:rPr>
                <w:rFonts w:cs="Calibri"/>
              </w:rPr>
            </w:pPr>
            <w:r>
              <w:rPr>
                <w:rFonts w:cs="Calibri"/>
              </w:rPr>
              <w:t>-</w:t>
            </w:r>
          </w:p>
        </w:tc>
        <w:tc>
          <w:tcPr>
            <w:tcW w:w="426" w:type="dxa"/>
            <w:tcBorders>
              <w:top w:val="single" w:sz="6" w:space="0" w:color="auto"/>
              <w:left w:val="single" w:sz="6" w:space="0" w:color="auto"/>
              <w:bottom w:val="single" w:sz="6" w:space="0" w:color="auto"/>
              <w:right w:val="single" w:sz="6" w:space="0" w:color="auto"/>
            </w:tcBorders>
          </w:tcPr>
          <w:p w14:paraId="503BFBEB"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283C4409" w14:textId="77777777" w:rsidR="00B97365" w:rsidRDefault="00000000">
            <w:pPr>
              <w:rPr>
                <w:rFonts w:cs="Calibri"/>
              </w:rPr>
            </w:pPr>
            <w:r>
              <w:rPr>
                <w:rFonts w:cs="Calibri"/>
              </w:rPr>
              <w:t>X</w:t>
            </w:r>
          </w:p>
        </w:tc>
        <w:tc>
          <w:tcPr>
            <w:tcW w:w="425" w:type="dxa"/>
            <w:tcBorders>
              <w:top w:val="single" w:sz="6" w:space="0" w:color="auto"/>
              <w:left w:val="single" w:sz="6" w:space="0" w:color="auto"/>
              <w:bottom w:val="single" w:sz="6" w:space="0" w:color="auto"/>
              <w:right w:val="single" w:sz="6" w:space="0" w:color="auto"/>
            </w:tcBorders>
          </w:tcPr>
          <w:p w14:paraId="2B0AD115" w14:textId="77777777" w:rsidR="00B97365" w:rsidRDefault="00000000">
            <w:pPr>
              <w:rPr>
                <w:rFonts w:cs="Calibri"/>
              </w:rPr>
            </w:pPr>
            <w:r>
              <w:rPr>
                <w:rFonts w:cs="Calibri"/>
              </w:rPr>
              <w:t>0</w:t>
            </w:r>
          </w:p>
        </w:tc>
        <w:tc>
          <w:tcPr>
            <w:tcW w:w="426" w:type="dxa"/>
            <w:tcBorders>
              <w:top w:val="single" w:sz="6" w:space="0" w:color="auto"/>
              <w:left w:val="single" w:sz="6" w:space="0" w:color="auto"/>
              <w:bottom w:val="single" w:sz="6" w:space="0" w:color="auto"/>
              <w:right w:val="single" w:sz="6" w:space="0" w:color="auto"/>
            </w:tcBorders>
            <w:vAlign w:val="center"/>
          </w:tcPr>
          <w:p w14:paraId="5903D4DD" w14:textId="77777777" w:rsidR="00B97365" w:rsidRDefault="00000000">
            <w:pPr>
              <w:rPr>
                <w:rFonts w:cs="Calibri"/>
              </w:rPr>
            </w:pPr>
            <w:r>
              <w:rPr>
                <w:rFonts w:cs="Calibri"/>
              </w:rPr>
              <w:t>X</w:t>
            </w:r>
          </w:p>
        </w:tc>
        <w:tc>
          <w:tcPr>
            <w:tcW w:w="4253" w:type="dxa"/>
            <w:tcBorders>
              <w:top w:val="single" w:sz="6" w:space="0" w:color="auto"/>
              <w:left w:val="single" w:sz="6" w:space="0" w:color="auto"/>
              <w:bottom w:val="single" w:sz="6" w:space="0" w:color="auto"/>
              <w:right w:val="single" w:sz="4" w:space="0" w:color="auto"/>
            </w:tcBorders>
            <w:vAlign w:val="center"/>
          </w:tcPr>
          <w:p w14:paraId="030A1202" w14:textId="77777777" w:rsidR="00B97365" w:rsidRDefault="00000000">
            <w:pPr>
              <w:rPr>
                <w:rFonts w:cs="Calibri"/>
              </w:rPr>
            </w:pPr>
            <w:r>
              <w:rPr>
                <w:rFonts w:cs="Calibri"/>
              </w:rPr>
              <w:t xml:space="preserve">Emergency Profile Attribute not set </w:t>
            </w:r>
          </w:p>
        </w:tc>
      </w:tr>
      <w:tr w:rsidR="00B97365" w14:paraId="1CCECC56" w14:textId="77777777">
        <w:trPr>
          <w:trHeight w:val="239"/>
        </w:trPr>
        <w:tc>
          <w:tcPr>
            <w:tcW w:w="426" w:type="dxa"/>
            <w:tcBorders>
              <w:top w:val="single" w:sz="6" w:space="0" w:color="auto"/>
              <w:left w:val="single" w:sz="4" w:space="0" w:color="auto"/>
              <w:bottom w:val="single" w:sz="6" w:space="0" w:color="auto"/>
              <w:right w:val="single" w:sz="6" w:space="0" w:color="auto"/>
            </w:tcBorders>
          </w:tcPr>
          <w:p w14:paraId="1BFFEA14"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43C3BA70"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46D424DE"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53972BBE" w14:textId="77777777" w:rsidR="00B97365" w:rsidRDefault="00000000">
            <w:pPr>
              <w:rPr>
                <w:rFonts w:cs="Calibri"/>
              </w:rPr>
            </w:pPr>
            <w:r>
              <w:rPr>
                <w:rFonts w:cs="Calibri"/>
              </w:rPr>
              <w:t>-</w:t>
            </w:r>
          </w:p>
        </w:tc>
        <w:tc>
          <w:tcPr>
            <w:tcW w:w="426" w:type="dxa"/>
            <w:tcBorders>
              <w:top w:val="single" w:sz="6" w:space="0" w:color="auto"/>
              <w:left w:val="single" w:sz="6" w:space="0" w:color="auto"/>
              <w:bottom w:val="single" w:sz="6" w:space="0" w:color="auto"/>
              <w:right w:val="single" w:sz="6" w:space="0" w:color="auto"/>
            </w:tcBorders>
          </w:tcPr>
          <w:p w14:paraId="697602B8"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6F533FDB" w14:textId="77777777" w:rsidR="00B97365" w:rsidRDefault="00000000">
            <w:pPr>
              <w:rPr>
                <w:rFonts w:cs="Calibri"/>
              </w:rPr>
            </w:pPr>
            <w:r>
              <w:rPr>
                <w:rFonts w:cs="Calibri"/>
              </w:rPr>
              <w:t>0</w:t>
            </w:r>
          </w:p>
        </w:tc>
        <w:tc>
          <w:tcPr>
            <w:tcW w:w="425" w:type="dxa"/>
            <w:tcBorders>
              <w:top w:val="single" w:sz="6" w:space="0" w:color="auto"/>
              <w:left w:val="single" w:sz="6" w:space="0" w:color="auto"/>
              <w:bottom w:val="single" w:sz="6" w:space="0" w:color="auto"/>
              <w:right w:val="single" w:sz="6" w:space="0" w:color="auto"/>
            </w:tcBorders>
          </w:tcPr>
          <w:p w14:paraId="67C5ADCA" w14:textId="77777777" w:rsidR="00B97365" w:rsidRDefault="00000000">
            <w:pPr>
              <w:rPr>
                <w:rFonts w:cs="Calibri"/>
              </w:rPr>
            </w:pPr>
            <w:r>
              <w:rPr>
                <w:rFonts w:cs="Calibri"/>
              </w:rPr>
              <w:t>1</w:t>
            </w:r>
          </w:p>
        </w:tc>
        <w:tc>
          <w:tcPr>
            <w:tcW w:w="426" w:type="dxa"/>
            <w:tcBorders>
              <w:top w:val="single" w:sz="6" w:space="0" w:color="auto"/>
              <w:left w:val="single" w:sz="6" w:space="0" w:color="auto"/>
              <w:bottom w:val="single" w:sz="6" w:space="0" w:color="auto"/>
              <w:right w:val="single" w:sz="6" w:space="0" w:color="auto"/>
            </w:tcBorders>
            <w:vAlign w:val="center"/>
          </w:tcPr>
          <w:p w14:paraId="25A91AB1" w14:textId="77777777" w:rsidR="00B97365" w:rsidRDefault="00000000">
            <w:pPr>
              <w:rPr>
                <w:rFonts w:cs="Calibri"/>
              </w:rPr>
            </w:pPr>
            <w:r>
              <w:rPr>
                <w:rFonts w:cs="Calibri"/>
              </w:rPr>
              <w:t>0</w:t>
            </w:r>
          </w:p>
        </w:tc>
        <w:tc>
          <w:tcPr>
            <w:tcW w:w="4253" w:type="dxa"/>
            <w:tcBorders>
              <w:top w:val="single" w:sz="6" w:space="0" w:color="auto"/>
              <w:left w:val="single" w:sz="6" w:space="0" w:color="auto"/>
              <w:bottom w:val="single" w:sz="6" w:space="0" w:color="auto"/>
              <w:right w:val="single" w:sz="4" w:space="0" w:color="auto"/>
            </w:tcBorders>
            <w:vAlign w:val="center"/>
          </w:tcPr>
          <w:p w14:paraId="6371B8E3" w14:textId="77777777" w:rsidR="00B97365" w:rsidRDefault="00000000">
            <w:pPr>
              <w:rPr>
                <w:rFonts w:cs="Calibri"/>
              </w:rPr>
            </w:pPr>
            <w:r>
              <w:rPr>
                <w:rFonts w:cs="Calibri"/>
              </w:rPr>
              <w:t>Emergency Profile Attribute set</w:t>
            </w:r>
          </w:p>
        </w:tc>
      </w:tr>
      <w:tr w:rsidR="00B97365" w14:paraId="69C052A2" w14:textId="77777777">
        <w:trPr>
          <w:trHeight w:val="239"/>
        </w:trPr>
        <w:tc>
          <w:tcPr>
            <w:tcW w:w="426" w:type="dxa"/>
            <w:tcBorders>
              <w:top w:val="single" w:sz="6" w:space="0" w:color="auto"/>
              <w:left w:val="single" w:sz="4" w:space="0" w:color="auto"/>
              <w:bottom w:val="single" w:sz="6" w:space="0" w:color="auto"/>
              <w:right w:val="single" w:sz="6" w:space="0" w:color="auto"/>
            </w:tcBorders>
          </w:tcPr>
          <w:p w14:paraId="4481B9FC"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3FC8E1F9"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1891D6BD"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2DE7DCDD" w14:textId="77777777" w:rsidR="00B97365" w:rsidRDefault="00000000">
            <w:pPr>
              <w:rPr>
                <w:rFonts w:cs="Calibri"/>
              </w:rPr>
            </w:pPr>
            <w:r>
              <w:rPr>
                <w:rFonts w:cs="Calibri"/>
              </w:rPr>
              <w:t>-</w:t>
            </w:r>
          </w:p>
        </w:tc>
        <w:tc>
          <w:tcPr>
            <w:tcW w:w="426" w:type="dxa"/>
            <w:tcBorders>
              <w:top w:val="single" w:sz="6" w:space="0" w:color="auto"/>
              <w:left w:val="single" w:sz="6" w:space="0" w:color="auto"/>
              <w:bottom w:val="single" w:sz="6" w:space="0" w:color="auto"/>
              <w:right w:val="single" w:sz="6" w:space="0" w:color="auto"/>
            </w:tcBorders>
          </w:tcPr>
          <w:p w14:paraId="3310D9B6"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6" w:space="0" w:color="auto"/>
              <w:right w:val="single" w:sz="6" w:space="0" w:color="auto"/>
            </w:tcBorders>
          </w:tcPr>
          <w:p w14:paraId="287CE346" w14:textId="77777777" w:rsidR="00B97365" w:rsidRDefault="00000000">
            <w:pPr>
              <w:rPr>
                <w:rFonts w:cs="Calibri"/>
              </w:rPr>
            </w:pPr>
            <w:r>
              <w:rPr>
                <w:rFonts w:cs="Calibri"/>
              </w:rPr>
              <w:t>0</w:t>
            </w:r>
          </w:p>
        </w:tc>
        <w:tc>
          <w:tcPr>
            <w:tcW w:w="425" w:type="dxa"/>
            <w:tcBorders>
              <w:top w:val="single" w:sz="6" w:space="0" w:color="auto"/>
              <w:left w:val="single" w:sz="6" w:space="0" w:color="auto"/>
              <w:bottom w:val="single" w:sz="6" w:space="0" w:color="auto"/>
              <w:right w:val="single" w:sz="6" w:space="0" w:color="auto"/>
            </w:tcBorders>
            <w:vAlign w:val="center"/>
          </w:tcPr>
          <w:p w14:paraId="5A27CB32" w14:textId="77777777" w:rsidR="00B97365" w:rsidRDefault="00000000">
            <w:pPr>
              <w:rPr>
                <w:rFonts w:cs="Calibri"/>
              </w:rPr>
            </w:pPr>
            <w:r>
              <w:rPr>
                <w:rFonts w:cs="Calibri"/>
              </w:rPr>
              <w:t>X</w:t>
            </w:r>
          </w:p>
        </w:tc>
        <w:tc>
          <w:tcPr>
            <w:tcW w:w="426" w:type="dxa"/>
            <w:tcBorders>
              <w:top w:val="single" w:sz="6" w:space="0" w:color="auto"/>
              <w:left w:val="single" w:sz="6" w:space="0" w:color="auto"/>
              <w:bottom w:val="single" w:sz="6" w:space="0" w:color="auto"/>
              <w:right w:val="single" w:sz="6" w:space="0" w:color="auto"/>
            </w:tcBorders>
            <w:vAlign w:val="center"/>
          </w:tcPr>
          <w:p w14:paraId="43AB240A" w14:textId="77777777" w:rsidR="00B97365" w:rsidRDefault="00000000">
            <w:pPr>
              <w:rPr>
                <w:rFonts w:cs="Calibri"/>
              </w:rPr>
            </w:pPr>
            <w:r>
              <w:rPr>
                <w:rFonts w:cs="Calibri"/>
              </w:rPr>
              <w:t>X</w:t>
            </w:r>
          </w:p>
        </w:tc>
        <w:tc>
          <w:tcPr>
            <w:tcW w:w="4253" w:type="dxa"/>
            <w:tcBorders>
              <w:top w:val="single" w:sz="6" w:space="0" w:color="auto"/>
              <w:left w:val="single" w:sz="6" w:space="0" w:color="auto"/>
              <w:bottom w:val="single" w:sz="6" w:space="0" w:color="auto"/>
              <w:right w:val="single" w:sz="4" w:space="0" w:color="auto"/>
            </w:tcBorders>
            <w:vAlign w:val="center"/>
          </w:tcPr>
          <w:p w14:paraId="17927C89" w14:textId="77777777" w:rsidR="00B97365" w:rsidRDefault="00000000">
            <w:pPr>
              <w:rPr>
                <w:rFonts w:cs="Calibri"/>
              </w:rPr>
            </w:pPr>
            <w:r>
              <w:rPr>
                <w:rFonts w:cs="Calibri"/>
              </w:rPr>
              <w:t>Test Profile Flag not set</w:t>
            </w:r>
          </w:p>
        </w:tc>
      </w:tr>
      <w:tr w:rsidR="00B97365" w14:paraId="5D06299C" w14:textId="77777777">
        <w:trPr>
          <w:trHeight w:val="239"/>
        </w:trPr>
        <w:tc>
          <w:tcPr>
            <w:tcW w:w="426" w:type="dxa"/>
            <w:tcBorders>
              <w:top w:val="single" w:sz="6" w:space="0" w:color="auto"/>
              <w:left w:val="single" w:sz="4" w:space="0" w:color="auto"/>
              <w:bottom w:val="single" w:sz="4" w:space="0" w:color="auto"/>
              <w:right w:val="single" w:sz="6" w:space="0" w:color="auto"/>
            </w:tcBorders>
          </w:tcPr>
          <w:p w14:paraId="122EF9E7"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4" w:space="0" w:color="auto"/>
              <w:right w:val="single" w:sz="6" w:space="0" w:color="auto"/>
            </w:tcBorders>
          </w:tcPr>
          <w:p w14:paraId="2F35DFB9"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4" w:space="0" w:color="auto"/>
              <w:right w:val="single" w:sz="6" w:space="0" w:color="auto"/>
            </w:tcBorders>
          </w:tcPr>
          <w:p w14:paraId="40D476A7"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4" w:space="0" w:color="auto"/>
              <w:right w:val="single" w:sz="6" w:space="0" w:color="auto"/>
            </w:tcBorders>
          </w:tcPr>
          <w:p w14:paraId="31D8B238" w14:textId="77777777" w:rsidR="00B97365" w:rsidRDefault="00000000">
            <w:pPr>
              <w:rPr>
                <w:rFonts w:cs="Calibri"/>
              </w:rPr>
            </w:pPr>
            <w:r>
              <w:rPr>
                <w:rFonts w:cs="Calibri"/>
              </w:rPr>
              <w:t>-</w:t>
            </w:r>
          </w:p>
        </w:tc>
        <w:tc>
          <w:tcPr>
            <w:tcW w:w="426" w:type="dxa"/>
            <w:tcBorders>
              <w:top w:val="single" w:sz="6" w:space="0" w:color="auto"/>
              <w:left w:val="single" w:sz="6" w:space="0" w:color="auto"/>
              <w:bottom w:val="single" w:sz="4" w:space="0" w:color="auto"/>
              <w:right w:val="single" w:sz="6" w:space="0" w:color="auto"/>
            </w:tcBorders>
          </w:tcPr>
          <w:p w14:paraId="6139E81B" w14:textId="77777777" w:rsidR="00B97365" w:rsidRDefault="00000000">
            <w:pPr>
              <w:rPr>
                <w:rFonts w:cs="Calibri"/>
              </w:rPr>
            </w:pPr>
            <w:r>
              <w:rPr>
                <w:rFonts w:cs="Calibri"/>
              </w:rPr>
              <w:t>-</w:t>
            </w:r>
          </w:p>
        </w:tc>
        <w:tc>
          <w:tcPr>
            <w:tcW w:w="425" w:type="dxa"/>
            <w:tcBorders>
              <w:top w:val="single" w:sz="6" w:space="0" w:color="auto"/>
              <w:left w:val="single" w:sz="6" w:space="0" w:color="auto"/>
              <w:bottom w:val="single" w:sz="4" w:space="0" w:color="auto"/>
              <w:right w:val="single" w:sz="6" w:space="0" w:color="auto"/>
            </w:tcBorders>
          </w:tcPr>
          <w:p w14:paraId="058A44E1" w14:textId="77777777" w:rsidR="00B97365" w:rsidRDefault="00000000">
            <w:pPr>
              <w:rPr>
                <w:rFonts w:cs="Calibri"/>
              </w:rPr>
            </w:pPr>
            <w:r>
              <w:rPr>
                <w:rFonts w:cs="Calibri"/>
              </w:rPr>
              <w:t>1</w:t>
            </w:r>
          </w:p>
        </w:tc>
        <w:tc>
          <w:tcPr>
            <w:tcW w:w="425" w:type="dxa"/>
            <w:tcBorders>
              <w:top w:val="single" w:sz="6" w:space="0" w:color="auto"/>
              <w:left w:val="single" w:sz="6" w:space="0" w:color="auto"/>
              <w:bottom w:val="single" w:sz="4" w:space="0" w:color="auto"/>
              <w:right w:val="single" w:sz="6" w:space="0" w:color="auto"/>
            </w:tcBorders>
            <w:vAlign w:val="center"/>
          </w:tcPr>
          <w:p w14:paraId="248122E3" w14:textId="77777777" w:rsidR="00B97365" w:rsidRDefault="00000000">
            <w:pPr>
              <w:rPr>
                <w:rFonts w:cs="Calibri"/>
              </w:rPr>
            </w:pPr>
            <w:r>
              <w:rPr>
                <w:rFonts w:cs="Calibri"/>
              </w:rPr>
              <w:t>0</w:t>
            </w:r>
          </w:p>
        </w:tc>
        <w:tc>
          <w:tcPr>
            <w:tcW w:w="426" w:type="dxa"/>
            <w:tcBorders>
              <w:top w:val="single" w:sz="6" w:space="0" w:color="auto"/>
              <w:left w:val="single" w:sz="6" w:space="0" w:color="auto"/>
              <w:bottom w:val="single" w:sz="4" w:space="0" w:color="auto"/>
              <w:right w:val="single" w:sz="6" w:space="0" w:color="auto"/>
            </w:tcBorders>
            <w:vAlign w:val="center"/>
          </w:tcPr>
          <w:p w14:paraId="09242C52" w14:textId="77777777" w:rsidR="00B97365" w:rsidRDefault="00000000">
            <w:pPr>
              <w:rPr>
                <w:rFonts w:cs="Calibri"/>
              </w:rPr>
            </w:pPr>
            <w:r>
              <w:rPr>
                <w:rFonts w:cs="Calibri"/>
              </w:rPr>
              <w:t>0</w:t>
            </w:r>
          </w:p>
        </w:tc>
        <w:tc>
          <w:tcPr>
            <w:tcW w:w="4253" w:type="dxa"/>
            <w:tcBorders>
              <w:top w:val="single" w:sz="6" w:space="0" w:color="auto"/>
              <w:left w:val="single" w:sz="6" w:space="0" w:color="auto"/>
              <w:bottom w:val="single" w:sz="4" w:space="0" w:color="auto"/>
              <w:right w:val="single" w:sz="4" w:space="0" w:color="auto"/>
            </w:tcBorders>
            <w:vAlign w:val="center"/>
          </w:tcPr>
          <w:p w14:paraId="4BC4EEB3" w14:textId="77777777" w:rsidR="00B97365" w:rsidRDefault="00000000">
            <w:pPr>
              <w:rPr>
                <w:rFonts w:cs="Calibri"/>
              </w:rPr>
            </w:pPr>
            <w:r>
              <w:rPr>
                <w:rFonts w:cs="Calibri"/>
              </w:rPr>
              <w:t>Test Profile Flag set</w:t>
            </w:r>
          </w:p>
        </w:tc>
      </w:tr>
    </w:tbl>
    <w:p w14:paraId="507724AE" w14:textId="77777777" w:rsidR="00B97365" w:rsidRDefault="00000000">
      <w:pPr>
        <w:numPr>
          <w:ilvl w:val="0"/>
          <w:numId w:val="14"/>
        </w:numPr>
        <w:tabs>
          <w:tab w:val="left" w:pos="1009"/>
        </w:tabs>
        <w:spacing w:after="200" w:line="276" w:lineRule="auto"/>
        <w:jc w:val="center"/>
        <w:rPr>
          <w:rFonts w:asciiTheme="minorHAnsi" w:hAnsiTheme="minorHAnsi" w:cstheme="minorHAnsi"/>
          <w:b/>
          <w:lang w:eastAsia="de-DE" w:bidi="ar-SA"/>
        </w:rPr>
      </w:pPr>
      <w:bookmarkStart w:id="2368" w:name="_Ref373937199"/>
      <w:r>
        <w:rPr>
          <w:rFonts w:cs="Arial"/>
          <w:b/>
          <w:lang w:eastAsia="de-DE" w:bidi="ar-SA"/>
        </w:rPr>
        <w:t xml:space="preserve">: ISD-P </w:t>
      </w:r>
      <w:bookmarkEnd w:id="2368"/>
      <w:r>
        <w:rPr>
          <w:rFonts w:cs="Arial"/>
          <w:b/>
          <w:lang w:eastAsia="de-DE" w:bidi="ar-SA"/>
        </w:rPr>
        <w:t>Properties</w:t>
      </w:r>
    </w:p>
    <w:p w14:paraId="05C70D58" w14:textId="77777777" w:rsidR="00B97365" w:rsidRDefault="00000000">
      <w:pPr>
        <w:spacing w:before="0" w:after="200" w:line="276" w:lineRule="auto"/>
        <w:jc w:val="left"/>
        <w:rPr>
          <w:b/>
          <w:i/>
          <w:szCs w:val="22"/>
          <w:lang w:val="en-US" w:eastAsia="en-GB" w:bidi="ar-SA"/>
        </w:rPr>
      </w:pPr>
      <w:bookmarkStart w:id="2369" w:name="_Toc420594493"/>
      <w:r>
        <w:rPr>
          <w:rFonts w:cs="Arial"/>
          <w:b/>
          <w:i/>
          <w:szCs w:val="22"/>
          <w:lang w:val="en-US" w:eastAsia="en-GB" w:bidi="ar-SA"/>
        </w:rPr>
        <w:t>ISD-P State</w:t>
      </w:r>
      <w:r>
        <w:rPr>
          <w:b/>
          <w:i/>
          <w:szCs w:val="22"/>
          <w:lang w:val="en-US" w:eastAsia="en-GB" w:bidi="ar-SA"/>
        </w:rPr>
        <w:t xml:space="preserve"> Coding</w:t>
      </w:r>
      <w:bookmarkEnd w:id="2369"/>
    </w:p>
    <w:p w14:paraId="40578C2F" w14:textId="024F7B39" w:rsidR="00B97365" w:rsidRDefault="00000000">
      <w:pPr>
        <w:spacing w:before="0" w:after="200" w:line="276" w:lineRule="auto"/>
        <w:jc w:val="left"/>
        <w:rPr>
          <w:szCs w:val="22"/>
          <w:lang w:val="en-US" w:eastAsia="en-GB" w:bidi="ar-SA"/>
        </w:rPr>
      </w:pPr>
      <w:r>
        <w:rPr>
          <w:rFonts w:cs="Arial"/>
          <w:szCs w:val="22"/>
          <w:lang w:val="en-US" w:eastAsia="en-GB" w:bidi="ar-SA"/>
        </w:rPr>
        <w:t xml:space="preserve">The life cycle of the ISD-P is coded as define in section </w:t>
      </w:r>
      <w:r>
        <w:fldChar w:fldCharType="begin"/>
      </w:r>
      <w:r>
        <w:rPr>
          <w:szCs w:val="22"/>
          <w:lang w:val="en-US" w:eastAsia="en-GB" w:bidi="ar-SA"/>
        </w:rPr>
        <w:instrText xml:space="preserve"> REF _Ref367973299 \r \h </w:instrText>
      </w:r>
      <w:r>
        <w:fldChar w:fldCharType="separate"/>
      </w:r>
      <w:r w:rsidR="001D5AD9">
        <w:rPr>
          <w:szCs w:val="22"/>
          <w:lang w:val="en-US" w:eastAsia="en-GB" w:bidi="ar-SA"/>
        </w:rPr>
        <w:t>2.2.1.3</w:t>
      </w:r>
      <w:r>
        <w:fldChar w:fldCharType="end"/>
      </w:r>
      <w:r>
        <w:rPr>
          <w:szCs w:val="22"/>
          <w:lang w:val="en-US" w:eastAsia="en-GB" w:bidi="ar-SA"/>
        </w:rPr>
        <w:t>.</w:t>
      </w:r>
    </w:p>
    <w:p w14:paraId="79A9CF25" w14:textId="77777777" w:rsidR="00B97365" w:rsidRDefault="00000000">
      <w:pPr>
        <w:spacing w:before="0" w:after="200" w:line="276" w:lineRule="auto"/>
        <w:jc w:val="left"/>
        <w:rPr>
          <w:b/>
          <w:i/>
          <w:szCs w:val="22"/>
          <w:lang w:val="en-US" w:eastAsia="en-GB" w:bidi="ar-SA"/>
        </w:rPr>
      </w:pPr>
      <w:bookmarkStart w:id="2370" w:name="_Toc420594494"/>
      <w:r>
        <w:rPr>
          <w:rFonts w:cs="Arial"/>
          <w:b/>
          <w:i/>
          <w:szCs w:val="22"/>
          <w:lang w:val="en-US" w:eastAsia="en-GB" w:bidi="ar-SA"/>
        </w:rPr>
        <w:t>Processing</w:t>
      </w:r>
      <w:r>
        <w:rPr>
          <w:b/>
          <w:i/>
          <w:szCs w:val="22"/>
          <w:lang w:val="en-US" w:eastAsia="en-GB" w:bidi="ar-SA"/>
        </w:rPr>
        <w:t xml:space="preserve"> State returned in the Response Message:</w:t>
      </w:r>
      <w:bookmarkEnd w:id="2370"/>
    </w:p>
    <w:p w14:paraId="027CCA1D" w14:textId="5D07CC4E" w:rsidR="00B97365" w:rsidRDefault="00000000">
      <w:pPr>
        <w:spacing w:before="0" w:after="200" w:line="276" w:lineRule="auto"/>
        <w:jc w:val="left"/>
        <w:rPr>
          <w:szCs w:val="22"/>
          <w:lang w:val="en-US" w:eastAsia="en-GB" w:bidi="ar-SA"/>
        </w:rPr>
      </w:pPr>
      <w:bookmarkStart w:id="2371" w:name="_Toc420594495"/>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11.3.3.2.</w:t>
      </w:r>
      <w:bookmarkEnd w:id="2371"/>
    </w:p>
    <w:p w14:paraId="08625DD5" w14:textId="77777777" w:rsidR="00B97365" w:rsidRDefault="00000000">
      <w:pPr>
        <w:keepNext/>
        <w:keepLines/>
        <w:numPr>
          <w:ilvl w:val="3"/>
          <w:numId w:val="1"/>
        </w:numPr>
        <w:spacing w:before="240" w:after="60" w:line="276" w:lineRule="auto"/>
        <w:jc w:val="left"/>
        <w:outlineLvl w:val="3"/>
        <w:rPr>
          <w:rFonts w:ascii="Arial Bold" w:eastAsia="Calibri" w:hAnsi="Arial Bold" w:cs="Arial"/>
          <w:b/>
          <w:iCs/>
          <w:szCs w:val="28"/>
          <w:lang w:eastAsia="en-US"/>
        </w:rPr>
      </w:pPr>
      <w:bookmarkStart w:id="2372" w:name="_Toc368932232"/>
      <w:bookmarkStart w:id="2373" w:name="_Ref367972368"/>
      <w:bookmarkStart w:id="2374" w:name="_Ref367972355"/>
      <w:bookmarkStart w:id="2375" w:name="_Ref367972337"/>
      <w:bookmarkStart w:id="2376" w:name="_Toc1977311"/>
      <w:bookmarkStart w:id="2377" w:name="_Toc37062470"/>
      <w:r>
        <w:rPr>
          <w:rFonts w:ascii="Arial Bold" w:eastAsia="Calibri" w:hAnsi="Arial Bold" w:cs="Arial"/>
          <w:szCs w:val="28"/>
          <w:lang w:eastAsia="en-US"/>
        </w:rPr>
        <w:t>Master Delete</w:t>
      </w:r>
      <w:bookmarkEnd w:id="2372"/>
      <w:bookmarkEnd w:id="2373"/>
      <w:bookmarkEnd w:id="2374"/>
      <w:bookmarkEnd w:id="2375"/>
      <w:bookmarkEnd w:id="2376"/>
      <w:bookmarkEnd w:id="2377"/>
    </w:p>
    <w:p w14:paraId="40B656B3" w14:textId="77777777" w:rsidR="00B97365" w:rsidRDefault="00000000">
      <w:pPr>
        <w:spacing w:before="0" w:after="200" w:line="276" w:lineRule="auto"/>
        <w:jc w:val="left"/>
        <w:rPr>
          <w:szCs w:val="22"/>
          <w:lang w:val="en-US" w:eastAsia="en-GB" w:bidi="ar-SA"/>
        </w:rPr>
      </w:pPr>
      <w:bookmarkStart w:id="2378" w:name="_Toc420594496"/>
      <w:r>
        <w:rPr>
          <w:rFonts w:cs="Arial"/>
          <w:b/>
          <w:szCs w:val="22"/>
          <w:lang w:val="en-US" w:eastAsia="en-GB" w:bidi="ar-SA"/>
        </w:rPr>
        <w:t>Function name:</w:t>
      </w:r>
      <w:r>
        <w:rPr>
          <w:szCs w:val="22"/>
          <w:lang w:val="en-US" w:eastAsia="en-GB" w:bidi="ar-SA"/>
        </w:rPr>
        <w:t xml:space="preserve"> MasterDelete</w:t>
      </w:r>
      <w:bookmarkEnd w:id="2378"/>
    </w:p>
    <w:p w14:paraId="2E28E2D7" w14:textId="77777777" w:rsidR="00B97365" w:rsidRDefault="00000000">
      <w:pPr>
        <w:spacing w:before="0" w:after="200" w:line="276" w:lineRule="auto"/>
        <w:jc w:val="left"/>
        <w:rPr>
          <w:szCs w:val="22"/>
          <w:lang w:val="en-US" w:eastAsia="en-GB" w:bidi="ar-SA"/>
        </w:rPr>
      </w:pPr>
      <w:bookmarkStart w:id="2379" w:name="_Toc420594497"/>
      <w:r>
        <w:rPr>
          <w:rFonts w:cs="Arial"/>
          <w:b/>
          <w:szCs w:val="22"/>
          <w:lang w:val="en-US" w:eastAsia="en-GB" w:bidi="ar-SA"/>
        </w:rPr>
        <w:t>Related Procedures:</w:t>
      </w:r>
      <w:r>
        <w:rPr>
          <w:szCs w:val="22"/>
          <w:lang w:val="en-US" w:eastAsia="en-GB" w:bidi="ar-SA"/>
        </w:rPr>
        <w:t xml:space="preserve"> Master Delete Procedure</w:t>
      </w:r>
      <w:bookmarkEnd w:id="2379"/>
      <w:r>
        <w:rPr>
          <w:szCs w:val="22"/>
          <w:lang w:val="en-US" w:eastAsia="en-GB" w:bidi="ar-SA"/>
        </w:rPr>
        <w:t xml:space="preserve"> </w:t>
      </w:r>
    </w:p>
    <w:p w14:paraId="71932A25" w14:textId="77777777" w:rsidR="00B97365" w:rsidRDefault="00000000">
      <w:pPr>
        <w:spacing w:before="0" w:after="200" w:line="276" w:lineRule="auto"/>
        <w:jc w:val="left"/>
        <w:rPr>
          <w:szCs w:val="22"/>
          <w:lang w:val="en-US" w:eastAsia="en-GB" w:bidi="ar-SA"/>
        </w:rPr>
      </w:pPr>
      <w:bookmarkStart w:id="2380" w:name="_Toc420594498"/>
      <w:r>
        <w:rPr>
          <w:rFonts w:cs="Arial"/>
          <w:b/>
          <w:szCs w:val="22"/>
          <w:lang w:val="en-US" w:eastAsia="en-GB" w:bidi="ar-SA"/>
        </w:rPr>
        <w:lastRenderedPageBreak/>
        <w:t>Function group:</w:t>
      </w:r>
      <w:r>
        <w:rPr>
          <w:szCs w:val="22"/>
          <w:lang w:val="en-US" w:eastAsia="en-GB" w:bidi="ar-SA"/>
        </w:rPr>
        <w:t xml:space="preserve"> Platform Management</w:t>
      </w:r>
      <w:bookmarkEnd w:id="2380"/>
    </w:p>
    <w:p w14:paraId="35C4B7B1" w14:textId="77777777" w:rsidR="00B97365" w:rsidRDefault="00000000">
      <w:pPr>
        <w:spacing w:before="0" w:after="200" w:line="276" w:lineRule="auto"/>
        <w:jc w:val="left"/>
        <w:rPr>
          <w:szCs w:val="22"/>
          <w:lang w:val="en-US" w:eastAsia="en-GB" w:bidi="ar-SA"/>
        </w:rPr>
      </w:pPr>
      <w:bookmarkStart w:id="2381" w:name="_Toc420594499"/>
      <w:r>
        <w:rPr>
          <w:rFonts w:cs="Arial"/>
          <w:b/>
          <w:szCs w:val="22"/>
          <w:lang w:val="en-US" w:eastAsia="en-GB" w:bidi="ar-SA"/>
        </w:rPr>
        <w:t>Function Provider entity:</w:t>
      </w:r>
      <w:r>
        <w:rPr>
          <w:szCs w:val="22"/>
          <w:lang w:val="en-US" w:eastAsia="en-GB" w:bidi="ar-SA"/>
        </w:rPr>
        <w:t xml:space="preserve"> ISD-R</w:t>
      </w:r>
      <w:bookmarkEnd w:id="2381"/>
    </w:p>
    <w:p w14:paraId="56C7CAA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deletes a target Profile on the target eUICC regardless of POL1 rules. This function SHALL use the ISD-P token verification key</w:t>
      </w:r>
      <w:r>
        <w:rPr>
          <w:lang w:eastAsia="en-GB"/>
        </w:rPr>
        <w:t>(AES key with key version number ‘70’ and key identifier ‘01’)</w:t>
      </w:r>
      <w:r>
        <w:rPr>
          <w:szCs w:val="22"/>
          <w:lang w:val="en-US" w:eastAsia="en-GB" w:bidi="ar-SA"/>
        </w:rPr>
        <w:t xml:space="preserve"> in order to authenticate the source of the command. </w:t>
      </w:r>
    </w:p>
    <w:p w14:paraId="49B66234" w14:textId="77777777" w:rsidR="00B97365" w:rsidRDefault="00000000">
      <w:pPr>
        <w:spacing w:before="0" w:after="200" w:line="276" w:lineRule="auto"/>
        <w:jc w:val="left"/>
        <w:rPr>
          <w:b/>
          <w:szCs w:val="22"/>
          <w:u w:val="single"/>
          <w:lang w:val="en-US" w:eastAsia="en-GB" w:bidi="ar-SA"/>
        </w:rPr>
      </w:pPr>
      <w:bookmarkStart w:id="2382" w:name="_Toc420594500"/>
      <w:r>
        <w:rPr>
          <w:rFonts w:cs="Arial"/>
          <w:b/>
          <w:szCs w:val="22"/>
          <w:u w:val="single"/>
          <w:lang w:val="en-US" w:eastAsia="en-GB" w:bidi="ar-SA"/>
        </w:rPr>
        <w:t>Parameter:</w:t>
      </w:r>
      <w:bookmarkEnd w:id="2382"/>
    </w:p>
    <w:p w14:paraId="74E2303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ISD-P-AID</w:t>
      </w:r>
    </w:p>
    <w:p w14:paraId="245FB6B2" w14:textId="1C7EEC9F"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Delete Token</w:t>
      </w:r>
      <w:r>
        <w:rPr>
          <w:lang w:eastAsia="en-GB"/>
        </w:rPr>
        <w:t>, calculated</w:t>
      </w:r>
      <w:r>
        <w:rPr>
          <w:szCs w:val="22"/>
          <w:lang w:eastAsia="en-GB" w:bidi="ar-SA"/>
        </w:rPr>
        <w:t xml:space="preserve"> as defined in GlobalPlatform Card Specification </w:t>
      </w:r>
      <w:r>
        <w:rPr>
          <w:lang w:eastAsia="en-GB"/>
        </w:rPr>
        <w:t xml:space="preserve">Amendment D </w:t>
      </w:r>
      <w:r>
        <w:fldChar w:fldCharType="begin"/>
      </w:r>
      <w:r>
        <w:rPr>
          <w:lang w:eastAsia="en-GB"/>
        </w:rPr>
        <w:instrText xml:space="preserve"> REF _Ref421631938 \r \h </w:instrText>
      </w:r>
      <w:r>
        <w:fldChar w:fldCharType="separate"/>
      </w:r>
      <w:r w:rsidR="001D5AD9">
        <w:rPr>
          <w:lang w:eastAsia="en-GB"/>
        </w:rPr>
        <w:t>[10]</w:t>
      </w:r>
      <w:r>
        <w:fldChar w:fldCharType="end"/>
      </w:r>
      <w:r>
        <w:rPr>
          <w:szCs w:val="22"/>
          <w:lang w:eastAsia="en-GB" w:bidi="ar-SA"/>
        </w:rPr>
        <w:t xml:space="preserve"> , provided by the SM-DP</w:t>
      </w:r>
    </w:p>
    <w:p w14:paraId="06F09DEA" w14:textId="77777777" w:rsidR="00B97365" w:rsidRDefault="00000000">
      <w:pPr>
        <w:spacing w:before="0" w:after="200" w:line="276" w:lineRule="auto"/>
        <w:jc w:val="left"/>
        <w:rPr>
          <w:b/>
          <w:szCs w:val="22"/>
          <w:u w:val="single"/>
          <w:lang w:val="en-US" w:eastAsia="en-GB" w:bidi="ar-SA"/>
        </w:rPr>
      </w:pPr>
      <w:bookmarkStart w:id="2383" w:name="_Toc420594501"/>
      <w:r>
        <w:rPr>
          <w:rFonts w:cs="Arial"/>
          <w:b/>
          <w:szCs w:val="22"/>
          <w:u w:val="single"/>
          <w:lang w:val="en-US" w:eastAsia="en-GB" w:bidi="ar-SA"/>
        </w:rPr>
        <w:t>Prerequisites:</w:t>
      </w:r>
      <w:bookmarkEnd w:id="2383"/>
    </w:p>
    <w:p w14:paraId="57E6C5E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target Profile SHALL NOT be the Profile which has the Fall-Back Attribute set.</w:t>
      </w:r>
    </w:p>
    <w:p w14:paraId="4B438CC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target Profile SHALL be in the Disabled state.</w:t>
      </w:r>
    </w:p>
    <w:p w14:paraId="797CA846" w14:textId="77777777" w:rsidR="00B97365" w:rsidRDefault="00000000">
      <w:pPr>
        <w:spacing w:before="0" w:after="200" w:line="276" w:lineRule="auto"/>
        <w:jc w:val="left"/>
        <w:rPr>
          <w:b/>
          <w:szCs w:val="22"/>
          <w:u w:val="single"/>
          <w:lang w:val="en-US" w:eastAsia="en-GB" w:bidi="ar-SA"/>
        </w:rPr>
      </w:pPr>
      <w:bookmarkStart w:id="2384" w:name="_Toc420594502"/>
      <w:r>
        <w:rPr>
          <w:rFonts w:cs="Arial"/>
          <w:b/>
          <w:szCs w:val="22"/>
          <w:u w:val="single"/>
          <w:lang w:val="en-US" w:eastAsia="en-GB" w:bidi="ar-SA"/>
        </w:rPr>
        <w:t>Function flow</w:t>
      </w:r>
      <w:bookmarkEnd w:id="2384"/>
    </w:p>
    <w:p w14:paraId="3E507A8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Master Delete command, the eUICC SHALL:</w:t>
      </w:r>
    </w:p>
    <w:p w14:paraId="3079FCB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the target Profile is in the Disabled state</w:t>
      </w:r>
    </w:p>
    <w:p w14:paraId="52E1BB1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the target Profile is not the Profile with Fall-Back Attribute set</w:t>
      </w:r>
    </w:p>
    <w:p w14:paraId="38D473A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the Token (actually performed by the ISD-P). This includes verifying the signature of the Token, and verifying that the values of tags 42, 45, and 5F20 in the Token match the corresponding values in the ISD-P.</w:t>
      </w:r>
    </w:p>
    <w:p w14:paraId="4965638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If any of these verifications fail, terminate the command with an error status word.</w:t>
      </w:r>
    </w:p>
    <w:p w14:paraId="51A8CD3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Delete the ISD-P with its Profile, regardless of POL1.</w:t>
      </w:r>
    </w:p>
    <w:p w14:paraId="53D4E11D" w14:textId="77777777" w:rsidR="00B97365" w:rsidRDefault="00B97365">
      <w:pPr>
        <w:tabs>
          <w:tab w:val="left" w:pos="680"/>
        </w:tabs>
        <w:spacing w:before="0" w:after="200" w:line="276" w:lineRule="auto"/>
        <w:ind w:left="680"/>
        <w:contextualSpacing/>
        <w:jc w:val="left"/>
        <w:rPr>
          <w:rFonts w:cs="Arial"/>
          <w:szCs w:val="22"/>
          <w:lang w:eastAsia="en-GB" w:bidi="ar-SA"/>
        </w:rPr>
      </w:pPr>
    </w:p>
    <w:p w14:paraId="28CCE93B" w14:textId="77777777" w:rsidR="00B97365" w:rsidRDefault="00000000">
      <w:pPr>
        <w:rPr>
          <w:rFonts w:cs="Arial"/>
          <w:lang w:eastAsia="en-GB"/>
        </w:rPr>
      </w:pPr>
      <w:r>
        <w:rPr>
          <w:rFonts w:cs="Arial"/>
          <w:lang w:eastAsia="en-GB"/>
        </w:rPr>
        <w:t>As token protection is only used by this command, this token SHALL be processed by the ISD-P even though the ISD-P does not have the token verification privilege. No receipt SHALL be generated by the command.</w:t>
      </w:r>
    </w:p>
    <w:p w14:paraId="581C5227" w14:textId="403DAEED" w:rsidR="00B97365" w:rsidRDefault="00000000">
      <w:pPr>
        <w:rPr>
          <w:rFonts w:cs="Arial"/>
          <w:lang w:eastAsia="en-GB"/>
        </w:rPr>
      </w:pPr>
      <w:r>
        <w:rPr>
          <w:rFonts w:cs="Arial"/>
          <w:lang w:eastAsia="en-GB"/>
        </w:rPr>
        <w:t xml:space="preserve">The eUICC SHALL support setting the value of tags 42, 45, and 5F20 by a STORE DATA command defined in GlobalPlatform Card Specification </w:t>
      </w:r>
      <w:r>
        <w:rPr>
          <w:rFonts w:cs="Arial"/>
          <w:lang w:eastAsia="en-GB"/>
        </w:rPr>
        <w:fldChar w:fldCharType="begin"/>
      </w:r>
      <w:r>
        <w:rPr>
          <w:rFonts w:cs="Arial"/>
          <w:lang w:eastAsia="en-GB"/>
        </w:rPr>
        <w:instrText xml:space="preserve"> REF _Ref471395513 \r \h </w:instrText>
      </w:r>
      <w:r>
        <w:rPr>
          <w:rFonts w:cs="Arial"/>
          <w:lang w:eastAsia="en-GB"/>
        </w:rPr>
      </w:r>
      <w:r>
        <w:rPr>
          <w:rFonts w:cs="Arial"/>
          <w:lang w:eastAsia="en-GB"/>
        </w:rPr>
        <w:fldChar w:fldCharType="separate"/>
      </w:r>
      <w:r w:rsidR="001D5AD9">
        <w:rPr>
          <w:rFonts w:cs="Arial"/>
          <w:lang w:eastAsia="en-GB"/>
        </w:rPr>
        <w:t>[6]</w:t>
      </w:r>
      <w:r>
        <w:rPr>
          <w:rFonts w:cs="Arial"/>
          <w:lang w:eastAsia="en-GB"/>
        </w:rPr>
        <w:fldChar w:fldCharType="end"/>
      </w:r>
      <w:r>
        <w:rPr>
          <w:rFonts w:cs="Arial"/>
          <w:lang w:eastAsia="en-GB"/>
        </w:rPr>
        <w:t xml:space="preserve">. If the value of tag 5F20 is not set by the SM-DP, the default value SHALL be the value of the RID of ISD-P defined in section </w:t>
      </w:r>
      <w:r>
        <w:rPr>
          <w:rFonts w:cs="Arial"/>
          <w:lang w:eastAsia="en-GB"/>
        </w:rPr>
        <w:fldChar w:fldCharType="begin"/>
      </w:r>
      <w:r>
        <w:rPr>
          <w:rFonts w:cs="Arial"/>
          <w:lang w:eastAsia="en-GB"/>
        </w:rPr>
        <w:instrText xml:space="preserve"> REF _Ref481770429 \r \h </w:instrText>
      </w:r>
      <w:r>
        <w:rPr>
          <w:rFonts w:cs="Arial"/>
          <w:lang w:eastAsia="en-GB"/>
        </w:rPr>
      </w:r>
      <w:r>
        <w:rPr>
          <w:rFonts w:cs="Arial"/>
          <w:lang w:eastAsia="en-GB"/>
        </w:rPr>
        <w:fldChar w:fldCharType="separate"/>
      </w:r>
      <w:r w:rsidR="001D5AD9">
        <w:rPr>
          <w:rFonts w:cs="Arial"/>
          <w:lang w:eastAsia="en-GB"/>
        </w:rPr>
        <w:t>2.2.3</w:t>
      </w:r>
      <w:r>
        <w:rPr>
          <w:rFonts w:cs="Arial"/>
          <w:lang w:eastAsia="en-GB"/>
        </w:rPr>
        <w:fldChar w:fldCharType="end"/>
      </w:r>
      <w:r>
        <w:rPr>
          <w:rFonts w:cs="Arial"/>
          <w:lang w:eastAsia="en-GB"/>
        </w:rPr>
        <w:t>.</w:t>
      </w:r>
    </w:p>
    <w:p w14:paraId="51887437" w14:textId="77777777" w:rsidR="00B97365" w:rsidRDefault="00B97365">
      <w:pPr>
        <w:rPr>
          <w:rFonts w:cs="Arial"/>
          <w:lang w:eastAsia="en-GB"/>
        </w:rPr>
      </w:pPr>
    </w:p>
    <w:p w14:paraId="7ADF37D8" w14:textId="77777777" w:rsidR="00B97365" w:rsidRDefault="00000000">
      <w:pPr>
        <w:tabs>
          <w:tab w:val="left" w:pos="1560"/>
        </w:tabs>
        <w:spacing w:before="0" w:after="200" w:line="276" w:lineRule="auto"/>
        <w:ind w:left="1559" w:hanging="1202"/>
        <w:jc w:val="left"/>
        <w:rPr>
          <w:szCs w:val="22"/>
          <w:lang w:eastAsia="en-GB" w:bidi="ar-SA"/>
        </w:rPr>
      </w:pPr>
      <w:r>
        <w:rPr>
          <w:rFonts w:cs="Arial"/>
          <w:szCs w:val="22"/>
          <w:lang w:eastAsia="en-GB" w:bidi="ar-SA"/>
        </w:rPr>
        <w:t>NOTE1:</w:t>
      </w:r>
      <w:r>
        <w:rPr>
          <w:rFonts w:cs="Arial"/>
          <w:szCs w:val="22"/>
          <w:lang w:eastAsia="en-GB" w:bidi="ar-SA"/>
        </w:rPr>
        <w:tab/>
        <w:t xml:space="preserve">This </w:t>
      </w:r>
      <w:r>
        <w:rPr>
          <w:szCs w:val="22"/>
          <w:lang w:eastAsia="en-GB" w:bidi="ar-SA"/>
        </w:rPr>
        <w:t xml:space="preserve">deviates from the typical handling of tokens by SDs. </w:t>
      </w:r>
    </w:p>
    <w:p w14:paraId="606E5FD0" w14:textId="77777777" w:rsidR="00B97365" w:rsidRDefault="00000000">
      <w:pPr>
        <w:tabs>
          <w:tab w:val="left" w:pos="1560"/>
        </w:tabs>
        <w:spacing w:before="0" w:after="200" w:line="276" w:lineRule="auto"/>
        <w:ind w:left="1559" w:hanging="1202"/>
        <w:jc w:val="left"/>
        <w:rPr>
          <w:rFonts w:cs="Arial"/>
          <w:szCs w:val="22"/>
          <w:lang w:eastAsia="en-GB" w:bidi="ar-SA"/>
        </w:rPr>
      </w:pPr>
      <w:r>
        <w:rPr>
          <w:rFonts w:cs="Arial"/>
          <w:szCs w:val="22"/>
          <w:lang w:eastAsia="en-GB" w:bidi="ar-SA"/>
        </w:rPr>
        <w:t>NOTE 2:</w:t>
      </w:r>
      <w:r>
        <w:rPr>
          <w:rFonts w:cs="Arial"/>
          <w:szCs w:val="22"/>
          <w:lang w:eastAsia="en-GB" w:bidi="ar-SA"/>
        </w:rPr>
        <w:tab/>
        <w:t>The SM-DP MAY set the values of tags 42, 45 and 5F20 during profile download.</w:t>
      </w:r>
    </w:p>
    <w:p w14:paraId="055EA2A1" w14:textId="77777777" w:rsidR="00B97365" w:rsidRDefault="00000000">
      <w:pPr>
        <w:spacing w:before="0" w:after="200" w:line="276" w:lineRule="auto"/>
        <w:jc w:val="left"/>
        <w:rPr>
          <w:b/>
          <w:szCs w:val="22"/>
          <w:u w:val="single"/>
          <w:lang w:val="en-US" w:eastAsia="en-GB" w:bidi="ar-SA"/>
        </w:rPr>
      </w:pPr>
      <w:bookmarkStart w:id="2385" w:name="_Toc420594503"/>
      <w:r>
        <w:rPr>
          <w:rFonts w:cs="Arial"/>
          <w:b/>
          <w:szCs w:val="22"/>
          <w:u w:val="single"/>
          <w:lang w:val="en-US" w:eastAsia="en-GB" w:bidi="ar-SA"/>
        </w:rPr>
        <w:t>Command Description:</w:t>
      </w:r>
      <w:bookmarkEnd w:id="2385"/>
    </w:p>
    <w:p w14:paraId="1A91BBD4" w14:textId="7482BAB8"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is realised through the GlobalPlatform DELETE command as defined in GlobalPlatform Card Specification Amendment C </w:t>
      </w:r>
      <w:r>
        <w:fldChar w:fldCharType="begin"/>
      </w:r>
      <w:r>
        <w:rPr>
          <w:szCs w:val="22"/>
          <w:lang w:val="en-US" w:eastAsia="en-GB" w:bidi="ar-SA"/>
        </w:rPr>
        <w:instrText xml:space="preserve"> REF _Ref421633218 \r \h </w:instrText>
      </w:r>
      <w:r>
        <w:fldChar w:fldCharType="separate"/>
      </w:r>
      <w:r w:rsidR="001D5AD9">
        <w:rPr>
          <w:szCs w:val="22"/>
          <w:lang w:val="en-US" w:eastAsia="en-GB" w:bidi="ar-SA"/>
        </w:rPr>
        <w:t>[9]</w:t>
      </w:r>
      <w:r>
        <w:fldChar w:fldCharType="end"/>
      </w:r>
      <w:r>
        <w:rPr>
          <w:szCs w:val="22"/>
          <w:lang w:val="en-US" w:eastAsia="en-GB" w:bidi="ar-SA"/>
        </w:rPr>
        <w:t>.</w:t>
      </w:r>
    </w:p>
    <w:p w14:paraId="63DF767A" w14:textId="77777777" w:rsidR="00B97365" w:rsidRDefault="00000000">
      <w:pPr>
        <w:spacing w:before="0" w:after="200" w:line="276" w:lineRule="auto"/>
        <w:jc w:val="left"/>
        <w:rPr>
          <w:b/>
          <w:i/>
          <w:szCs w:val="22"/>
          <w:lang w:val="en-US" w:eastAsia="en-GB" w:bidi="ar-SA"/>
        </w:rPr>
      </w:pPr>
      <w:bookmarkStart w:id="2386" w:name="_Toc420594504"/>
      <w:r>
        <w:rPr>
          <w:rFonts w:cs="Arial"/>
          <w:b/>
          <w:i/>
          <w:szCs w:val="22"/>
          <w:lang w:val="en-US" w:eastAsia="en-GB" w:bidi="ar-SA"/>
        </w:rPr>
        <w:t>Command</w:t>
      </w:r>
      <w:r>
        <w:rPr>
          <w:b/>
          <w:i/>
          <w:szCs w:val="22"/>
          <w:lang w:val="en-US" w:eastAsia="en-GB" w:bidi="ar-SA"/>
        </w:rPr>
        <w:t xml:space="preserve"> Message</w:t>
      </w:r>
      <w:bookmarkEnd w:id="2386"/>
    </w:p>
    <w:p w14:paraId="0ED10495" w14:textId="77777777" w:rsidR="00B97365" w:rsidRDefault="00000000">
      <w:pPr>
        <w:spacing w:before="0" w:after="200" w:line="276" w:lineRule="auto"/>
        <w:jc w:val="left"/>
        <w:rPr>
          <w:b/>
          <w:i/>
          <w:szCs w:val="22"/>
          <w:lang w:val="en-US" w:eastAsia="en-GB" w:bidi="ar-SA"/>
        </w:rPr>
      </w:pPr>
      <w:bookmarkStart w:id="2387" w:name="_Toc420594505"/>
      <w:r>
        <w:rPr>
          <w:rFonts w:cs="Arial"/>
          <w:b/>
          <w:i/>
          <w:szCs w:val="22"/>
          <w:lang w:val="en-US" w:eastAsia="en-GB" w:bidi="ar-SA"/>
        </w:rPr>
        <w:t>DELETE</w:t>
      </w:r>
      <w:r>
        <w:rPr>
          <w:b/>
          <w:i/>
          <w:szCs w:val="22"/>
          <w:lang w:val="en-US" w:eastAsia="en-GB" w:bidi="ar-SA"/>
        </w:rPr>
        <w:t xml:space="preserve"> COMMAND</w:t>
      </w:r>
      <w:bookmarkEnd w:id="2387"/>
    </w:p>
    <w:p w14:paraId="03A98EF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The DELETE command message SHALL be coded according to the following table: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16"/>
        <w:gridCol w:w="2679"/>
        <w:gridCol w:w="4388"/>
      </w:tblGrid>
      <w:tr w:rsidR="00B97365" w14:paraId="4566A271"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1ADD599E"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8C3C05D"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48B791F1"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076EE0C0"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D72A55E" w14:textId="77777777" w:rsidR="00B97365" w:rsidRDefault="00000000">
            <w:pPr>
              <w:rPr>
                <w:rFonts w:cs="Calibri"/>
                <w:sz w:val="16"/>
                <w:szCs w:val="16"/>
              </w:rPr>
            </w:pPr>
            <w:r>
              <w:rPr>
                <w:rFonts w:cs="Calibri"/>
                <w:sz w:val="16"/>
                <w:szCs w:val="16"/>
              </w:rPr>
              <w:t>CLA</w:t>
            </w:r>
          </w:p>
        </w:tc>
        <w:tc>
          <w:tcPr>
            <w:tcW w:w="0" w:type="auto"/>
            <w:tcBorders>
              <w:top w:val="single" w:sz="6" w:space="0" w:color="auto"/>
              <w:left w:val="single" w:sz="6" w:space="0" w:color="auto"/>
              <w:bottom w:val="single" w:sz="6" w:space="0" w:color="auto"/>
              <w:right w:val="single" w:sz="6" w:space="0" w:color="auto"/>
            </w:tcBorders>
            <w:hideMark/>
          </w:tcPr>
          <w:p w14:paraId="023EB23C" w14:textId="77777777" w:rsidR="00B97365" w:rsidRDefault="00000000">
            <w:pPr>
              <w:rPr>
                <w:rFonts w:cs="Calibri"/>
                <w:sz w:val="16"/>
                <w:szCs w:val="16"/>
              </w:rPr>
            </w:pPr>
            <w:r>
              <w:rPr>
                <w:rFonts w:cs="Calibri"/>
                <w:sz w:val="16"/>
                <w:szCs w:val="16"/>
              </w:rPr>
              <w:t>‘80’ – ‘8F’, ‘C0’ – ‘CF’ or ‘E0’ – ‘EF’</w:t>
            </w:r>
          </w:p>
        </w:tc>
        <w:tc>
          <w:tcPr>
            <w:tcW w:w="0" w:type="auto"/>
            <w:tcBorders>
              <w:top w:val="single" w:sz="6" w:space="0" w:color="auto"/>
              <w:left w:val="single" w:sz="6" w:space="0" w:color="auto"/>
              <w:bottom w:val="single" w:sz="6" w:space="0" w:color="auto"/>
              <w:right w:val="single" w:sz="4" w:space="0" w:color="auto"/>
            </w:tcBorders>
            <w:hideMark/>
          </w:tcPr>
          <w:p w14:paraId="3A486C48" w14:textId="42A54E55" w:rsidR="00B97365" w:rsidRDefault="00000000">
            <w:pPr>
              <w:rPr>
                <w:rFonts w:cs="Calibri"/>
                <w:sz w:val="16"/>
                <w:szCs w:val="16"/>
              </w:rPr>
            </w:pPr>
            <w:r>
              <w:rPr>
                <w:rFonts w:cs="Calibri"/>
                <w:sz w:val="16"/>
                <w:szCs w:val="16"/>
              </w:rPr>
              <w:t xml:space="preserve">See section 11.1.4 of </w:t>
            </w:r>
            <w:r>
              <w:rPr>
                <w:sz w:val="16"/>
                <w:szCs w:val="16"/>
              </w:rPr>
              <w:t xml:space="preserve">GlobalPlatform Card Specification </w:t>
            </w:r>
            <w:r>
              <w:fldChar w:fldCharType="begin"/>
            </w:r>
            <w:r>
              <w:rPr>
                <w:sz w:val="16"/>
                <w:szCs w:val="16"/>
              </w:rPr>
              <w:instrText xml:space="preserve"> REF _Ref421631311 \r \h </w:instrText>
            </w:r>
            <w:r>
              <w:fldChar w:fldCharType="separate"/>
            </w:r>
            <w:r w:rsidR="001D5AD9">
              <w:rPr>
                <w:sz w:val="16"/>
                <w:szCs w:val="16"/>
              </w:rPr>
              <w:t>[6]</w:t>
            </w:r>
            <w:r>
              <w:fldChar w:fldCharType="end"/>
            </w:r>
          </w:p>
        </w:tc>
      </w:tr>
      <w:tr w:rsidR="00B97365" w14:paraId="6C255EE5"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43B0E105" w14:textId="77777777" w:rsidR="00B97365" w:rsidRDefault="00000000">
            <w:pPr>
              <w:rPr>
                <w:rFonts w:cs="Calibri"/>
                <w:sz w:val="16"/>
                <w:szCs w:val="16"/>
              </w:rPr>
            </w:pPr>
            <w:r>
              <w:rPr>
                <w:rFonts w:cs="Calibri"/>
                <w:sz w:val="16"/>
                <w:szCs w:val="16"/>
              </w:rPr>
              <w:t>INS</w:t>
            </w:r>
          </w:p>
        </w:tc>
        <w:tc>
          <w:tcPr>
            <w:tcW w:w="0" w:type="auto"/>
            <w:tcBorders>
              <w:top w:val="single" w:sz="6" w:space="0" w:color="auto"/>
              <w:left w:val="single" w:sz="6" w:space="0" w:color="auto"/>
              <w:bottom w:val="single" w:sz="6" w:space="0" w:color="auto"/>
              <w:right w:val="single" w:sz="6" w:space="0" w:color="auto"/>
            </w:tcBorders>
            <w:hideMark/>
          </w:tcPr>
          <w:p w14:paraId="73B54A4A" w14:textId="77777777" w:rsidR="00B97365" w:rsidRDefault="00000000">
            <w:pPr>
              <w:rPr>
                <w:rFonts w:cs="Calibri"/>
                <w:sz w:val="16"/>
                <w:szCs w:val="16"/>
              </w:rPr>
            </w:pPr>
            <w:r>
              <w:rPr>
                <w:rFonts w:cs="Calibri"/>
                <w:sz w:val="16"/>
                <w:szCs w:val="16"/>
              </w:rPr>
              <w:t>‘E4’</w:t>
            </w:r>
          </w:p>
        </w:tc>
        <w:tc>
          <w:tcPr>
            <w:tcW w:w="0" w:type="auto"/>
            <w:tcBorders>
              <w:top w:val="single" w:sz="6" w:space="0" w:color="auto"/>
              <w:left w:val="single" w:sz="6" w:space="0" w:color="auto"/>
              <w:bottom w:val="single" w:sz="6" w:space="0" w:color="auto"/>
              <w:right w:val="single" w:sz="4" w:space="0" w:color="auto"/>
            </w:tcBorders>
            <w:hideMark/>
          </w:tcPr>
          <w:p w14:paraId="0CEFF20C" w14:textId="77777777" w:rsidR="00B97365" w:rsidRDefault="00000000">
            <w:pPr>
              <w:rPr>
                <w:rFonts w:cs="Calibri"/>
                <w:sz w:val="16"/>
                <w:szCs w:val="16"/>
              </w:rPr>
            </w:pPr>
            <w:r>
              <w:rPr>
                <w:rFonts w:cs="Calibri"/>
                <w:sz w:val="16"/>
                <w:szCs w:val="16"/>
              </w:rPr>
              <w:t>DELETE</w:t>
            </w:r>
          </w:p>
        </w:tc>
      </w:tr>
      <w:tr w:rsidR="00B97365" w14:paraId="667CDC67"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70B65B4B" w14:textId="77777777" w:rsidR="00B97365" w:rsidRDefault="00000000">
            <w:pPr>
              <w:rPr>
                <w:rFonts w:cs="Calibri"/>
                <w:sz w:val="16"/>
                <w:szCs w:val="16"/>
              </w:rPr>
            </w:pPr>
            <w:r>
              <w:rPr>
                <w:rFonts w:cs="Calibri"/>
                <w:sz w:val="16"/>
                <w:szCs w:val="16"/>
              </w:rPr>
              <w:t>P1</w:t>
            </w:r>
          </w:p>
        </w:tc>
        <w:tc>
          <w:tcPr>
            <w:tcW w:w="0" w:type="auto"/>
            <w:tcBorders>
              <w:top w:val="single" w:sz="6" w:space="0" w:color="auto"/>
              <w:left w:val="single" w:sz="6" w:space="0" w:color="auto"/>
              <w:bottom w:val="single" w:sz="6" w:space="0" w:color="auto"/>
              <w:right w:val="single" w:sz="6" w:space="0" w:color="auto"/>
            </w:tcBorders>
            <w:hideMark/>
          </w:tcPr>
          <w:p w14:paraId="1ED93FDD" w14:textId="77777777" w:rsidR="00B97365" w:rsidRDefault="00000000">
            <w:pPr>
              <w:rPr>
                <w:rFonts w:cs="Calibri"/>
                <w:sz w:val="16"/>
                <w:szCs w:val="16"/>
              </w:rPr>
            </w:pPr>
            <w:r>
              <w:rPr>
                <w:rFonts w:cs="Calibri"/>
                <w:sz w:val="16"/>
                <w:szCs w:val="16"/>
              </w:rPr>
              <w:t>‘00’</w:t>
            </w:r>
          </w:p>
        </w:tc>
        <w:tc>
          <w:tcPr>
            <w:tcW w:w="0" w:type="auto"/>
            <w:tcBorders>
              <w:top w:val="single" w:sz="6" w:space="0" w:color="auto"/>
              <w:left w:val="single" w:sz="6" w:space="0" w:color="auto"/>
              <w:bottom w:val="single" w:sz="6" w:space="0" w:color="auto"/>
              <w:right w:val="single" w:sz="4" w:space="0" w:color="auto"/>
            </w:tcBorders>
            <w:hideMark/>
          </w:tcPr>
          <w:p w14:paraId="0F73BF41" w14:textId="77777777" w:rsidR="00B97365" w:rsidRDefault="00000000">
            <w:pPr>
              <w:rPr>
                <w:rFonts w:cs="Calibri"/>
                <w:sz w:val="16"/>
                <w:szCs w:val="16"/>
              </w:rPr>
            </w:pPr>
            <w:r>
              <w:rPr>
                <w:rFonts w:cs="Calibri"/>
                <w:sz w:val="16"/>
                <w:szCs w:val="16"/>
              </w:rPr>
              <w:t>Reference control parameter P1</w:t>
            </w:r>
          </w:p>
        </w:tc>
      </w:tr>
      <w:tr w:rsidR="00B97365" w14:paraId="1BB01883"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5F2059AC" w14:textId="77777777" w:rsidR="00B97365" w:rsidRDefault="00000000">
            <w:pPr>
              <w:rPr>
                <w:rFonts w:cs="Calibri"/>
                <w:sz w:val="16"/>
                <w:szCs w:val="16"/>
              </w:rPr>
            </w:pPr>
            <w:r>
              <w:rPr>
                <w:rFonts w:cs="Calibri"/>
                <w:sz w:val="16"/>
                <w:szCs w:val="16"/>
              </w:rPr>
              <w:t>P2</w:t>
            </w:r>
          </w:p>
        </w:tc>
        <w:tc>
          <w:tcPr>
            <w:tcW w:w="0" w:type="auto"/>
            <w:tcBorders>
              <w:top w:val="single" w:sz="6" w:space="0" w:color="auto"/>
              <w:left w:val="single" w:sz="6" w:space="0" w:color="auto"/>
              <w:bottom w:val="single" w:sz="6" w:space="0" w:color="auto"/>
              <w:right w:val="single" w:sz="6" w:space="0" w:color="auto"/>
            </w:tcBorders>
            <w:hideMark/>
          </w:tcPr>
          <w:p w14:paraId="771CF7CB" w14:textId="77777777" w:rsidR="00B97365" w:rsidRDefault="00000000">
            <w:pPr>
              <w:rPr>
                <w:rFonts w:cs="Calibri"/>
                <w:sz w:val="16"/>
                <w:szCs w:val="16"/>
              </w:rPr>
            </w:pPr>
            <w:r>
              <w:rPr>
                <w:rFonts w:cs="Calibri"/>
                <w:sz w:val="16"/>
                <w:szCs w:val="16"/>
              </w:rPr>
              <w:t>‘40’</w:t>
            </w:r>
          </w:p>
        </w:tc>
        <w:tc>
          <w:tcPr>
            <w:tcW w:w="0" w:type="auto"/>
            <w:tcBorders>
              <w:top w:val="single" w:sz="6" w:space="0" w:color="auto"/>
              <w:left w:val="single" w:sz="6" w:space="0" w:color="auto"/>
              <w:bottom w:val="single" w:sz="6" w:space="0" w:color="auto"/>
              <w:right w:val="single" w:sz="4" w:space="0" w:color="auto"/>
            </w:tcBorders>
            <w:hideMark/>
          </w:tcPr>
          <w:p w14:paraId="2D5B1E8F" w14:textId="77777777" w:rsidR="00B97365" w:rsidRDefault="00000000">
            <w:pPr>
              <w:rPr>
                <w:rFonts w:cs="Calibri"/>
                <w:sz w:val="16"/>
                <w:szCs w:val="16"/>
              </w:rPr>
            </w:pPr>
            <w:r>
              <w:rPr>
                <w:rFonts w:cs="Calibri"/>
                <w:sz w:val="16"/>
                <w:szCs w:val="16"/>
              </w:rPr>
              <w:t>Reference control parameter P2</w:t>
            </w:r>
          </w:p>
        </w:tc>
      </w:tr>
      <w:tr w:rsidR="00B97365" w14:paraId="516709D1"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4DA914C8" w14:textId="77777777" w:rsidR="00B97365" w:rsidRDefault="00000000">
            <w:pPr>
              <w:rPr>
                <w:rFonts w:cs="Calibri"/>
                <w:sz w:val="16"/>
                <w:szCs w:val="16"/>
              </w:rPr>
            </w:pPr>
            <w:r>
              <w:rPr>
                <w:rFonts w:cs="Calibri"/>
                <w:sz w:val="16"/>
                <w:szCs w:val="16"/>
              </w:rPr>
              <w:t>Lc</w:t>
            </w:r>
          </w:p>
        </w:tc>
        <w:tc>
          <w:tcPr>
            <w:tcW w:w="0" w:type="auto"/>
            <w:tcBorders>
              <w:top w:val="single" w:sz="6" w:space="0" w:color="auto"/>
              <w:left w:val="single" w:sz="6" w:space="0" w:color="auto"/>
              <w:bottom w:val="single" w:sz="6" w:space="0" w:color="auto"/>
              <w:right w:val="single" w:sz="6" w:space="0" w:color="auto"/>
            </w:tcBorders>
            <w:hideMark/>
          </w:tcPr>
          <w:p w14:paraId="6A8F2986" w14:textId="77777777" w:rsidR="00B97365" w:rsidRDefault="00000000">
            <w:pPr>
              <w:rPr>
                <w:rFonts w:cs="Calibri"/>
                <w:sz w:val="16"/>
                <w:szCs w:val="16"/>
              </w:rPr>
            </w:pPr>
            <w:r>
              <w:rPr>
                <w:rFonts w:cs="Calibri"/>
                <w:sz w:val="16"/>
                <w:szCs w:val="16"/>
              </w:rPr>
              <w:t>‘xx’</w:t>
            </w:r>
          </w:p>
        </w:tc>
        <w:tc>
          <w:tcPr>
            <w:tcW w:w="0" w:type="auto"/>
            <w:tcBorders>
              <w:top w:val="single" w:sz="6" w:space="0" w:color="auto"/>
              <w:left w:val="single" w:sz="6" w:space="0" w:color="auto"/>
              <w:bottom w:val="single" w:sz="6" w:space="0" w:color="auto"/>
              <w:right w:val="single" w:sz="4" w:space="0" w:color="auto"/>
            </w:tcBorders>
            <w:hideMark/>
          </w:tcPr>
          <w:p w14:paraId="1138F6F7" w14:textId="77777777" w:rsidR="00B97365" w:rsidRDefault="00000000">
            <w:pPr>
              <w:rPr>
                <w:rFonts w:cs="Calibri"/>
                <w:sz w:val="16"/>
                <w:szCs w:val="16"/>
              </w:rPr>
            </w:pPr>
            <w:r>
              <w:rPr>
                <w:rFonts w:cs="Calibri"/>
                <w:sz w:val="16"/>
                <w:szCs w:val="16"/>
              </w:rPr>
              <w:t>Length of data field</w:t>
            </w:r>
          </w:p>
        </w:tc>
      </w:tr>
      <w:tr w:rsidR="00B97365" w14:paraId="58A7F1C0"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78F07795" w14:textId="77777777" w:rsidR="00B97365" w:rsidRDefault="00000000">
            <w:pPr>
              <w:rPr>
                <w:rFonts w:cs="Calibri"/>
                <w:sz w:val="16"/>
                <w:szCs w:val="16"/>
              </w:rPr>
            </w:pPr>
            <w:r>
              <w:rPr>
                <w:rFonts w:cs="Calibri"/>
                <w:sz w:val="16"/>
                <w:szCs w:val="16"/>
              </w:rPr>
              <w:t>Data</w:t>
            </w:r>
          </w:p>
        </w:tc>
        <w:tc>
          <w:tcPr>
            <w:tcW w:w="0" w:type="auto"/>
            <w:tcBorders>
              <w:top w:val="single" w:sz="6" w:space="0" w:color="auto"/>
              <w:left w:val="single" w:sz="6" w:space="0" w:color="auto"/>
              <w:bottom w:val="single" w:sz="6" w:space="0" w:color="auto"/>
              <w:right w:val="single" w:sz="6" w:space="0" w:color="auto"/>
            </w:tcBorders>
            <w:hideMark/>
          </w:tcPr>
          <w:p w14:paraId="3C28751B" w14:textId="77777777" w:rsidR="00B97365" w:rsidRDefault="00000000">
            <w:pPr>
              <w:rPr>
                <w:rFonts w:cs="Calibri"/>
                <w:sz w:val="16"/>
                <w:szCs w:val="16"/>
              </w:rPr>
            </w:pPr>
            <w:r>
              <w:rPr>
                <w:rFonts w:cs="Calibri"/>
                <w:sz w:val="16"/>
                <w:szCs w:val="16"/>
              </w:rPr>
              <w:t>‘xxxx…’</w:t>
            </w:r>
          </w:p>
        </w:tc>
        <w:tc>
          <w:tcPr>
            <w:tcW w:w="0" w:type="auto"/>
            <w:tcBorders>
              <w:top w:val="single" w:sz="6" w:space="0" w:color="auto"/>
              <w:left w:val="single" w:sz="6" w:space="0" w:color="auto"/>
              <w:bottom w:val="single" w:sz="6" w:space="0" w:color="auto"/>
              <w:right w:val="single" w:sz="4" w:space="0" w:color="auto"/>
            </w:tcBorders>
            <w:hideMark/>
          </w:tcPr>
          <w:p w14:paraId="77216EE3" w14:textId="77777777" w:rsidR="00B97365" w:rsidRDefault="00000000">
            <w:pPr>
              <w:rPr>
                <w:rFonts w:cs="Calibri"/>
                <w:sz w:val="16"/>
                <w:szCs w:val="16"/>
              </w:rPr>
            </w:pPr>
            <w:r>
              <w:rPr>
                <w:rFonts w:cs="Calibri"/>
                <w:sz w:val="16"/>
                <w:szCs w:val="16"/>
              </w:rPr>
              <w:t>TLV coded objects (and MAC if present)</w:t>
            </w:r>
          </w:p>
        </w:tc>
      </w:tr>
      <w:tr w:rsidR="00B97365" w14:paraId="356EA465"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3DF2332F" w14:textId="77777777" w:rsidR="00B97365" w:rsidRDefault="00000000">
            <w:pPr>
              <w:keepNext/>
              <w:rPr>
                <w:rFonts w:cs="Calibri"/>
                <w:sz w:val="16"/>
                <w:szCs w:val="16"/>
              </w:rPr>
            </w:pPr>
            <w:r>
              <w:rPr>
                <w:rFonts w:cs="Calibri"/>
                <w:sz w:val="16"/>
                <w:szCs w:val="16"/>
              </w:rPr>
              <w:t>Le</w:t>
            </w:r>
          </w:p>
        </w:tc>
        <w:tc>
          <w:tcPr>
            <w:tcW w:w="0" w:type="auto"/>
            <w:tcBorders>
              <w:top w:val="single" w:sz="6" w:space="0" w:color="auto"/>
              <w:left w:val="single" w:sz="6" w:space="0" w:color="auto"/>
              <w:bottom w:val="single" w:sz="4" w:space="0" w:color="auto"/>
              <w:right w:val="single" w:sz="6" w:space="0" w:color="auto"/>
            </w:tcBorders>
            <w:hideMark/>
          </w:tcPr>
          <w:p w14:paraId="0FA26326" w14:textId="77777777" w:rsidR="00B97365" w:rsidRDefault="00000000">
            <w:pPr>
              <w:keepNext/>
              <w:rPr>
                <w:rFonts w:cs="Calibri"/>
                <w:sz w:val="16"/>
                <w:szCs w:val="16"/>
              </w:rPr>
            </w:pPr>
            <w:r>
              <w:rPr>
                <w:rFonts w:cs="Calibri"/>
                <w:sz w:val="16"/>
                <w:szCs w:val="16"/>
              </w:rPr>
              <w:t>‘00’</w:t>
            </w:r>
          </w:p>
        </w:tc>
        <w:tc>
          <w:tcPr>
            <w:tcW w:w="0" w:type="auto"/>
            <w:tcBorders>
              <w:top w:val="single" w:sz="6" w:space="0" w:color="auto"/>
              <w:left w:val="single" w:sz="6" w:space="0" w:color="auto"/>
              <w:bottom w:val="single" w:sz="4" w:space="0" w:color="auto"/>
              <w:right w:val="single" w:sz="4" w:space="0" w:color="auto"/>
            </w:tcBorders>
          </w:tcPr>
          <w:p w14:paraId="63C270CF" w14:textId="77777777" w:rsidR="00B97365" w:rsidRDefault="00B97365">
            <w:pPr>
              <w:keepNext/>
              <w:rPr>
                <w:rFonts w:cs="Calibri"/>
                <w:sz w:val="16"/>
                <w:szCs w:val="16"/>
              </w:rPr>
            </w:pPr>
          </w:p>
        </w:tc>
      </w:tr>
    </w:tbl>
    <w:p w14:paraId="70A57F7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Command Message</w:t>
      </w:r>
    </w:p>
    <w:p w14:paraId="18172091"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3"/>
        <w:gridCol w:w="403"/>
        <w:gridCol w:w="403"/>
        <w:gridCol w:w="403"/>
        <w:gridCol w:w="403"/>
        <w:gridCol w:w="403"/>
        <w:gridCol w:w="403"/>
        <w:gridCol w:w="403"/>
        <w:gridCol w:w="1897"/>
      </w:tblGrid>
      <w:tr w:rsidR="00B97365" w14:paraId="74241BA5"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4A4920B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2799FC4"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EF30961"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0CBBACB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16DE10E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603BEDC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61E908F"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0D9CBBE8"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50E173C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3EA0CCA4"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28456E2C"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0AA050C0"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3468328"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3227239"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B849C45"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96BD951"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97C9F2B"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CF2E494"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5D37BED5" w14:textId="77777777" w:rsidR="00B97365" w:rsidRDefault="00000000">
            <w:pPr>
              <w:rPr>
                <w:rFonts w:cs="Calibri"/>
                <w:sz w:val="16"/>
                <w:szCs w:val="16"/>
              </w:rPr>
            </w:pPr>
            <w:r>
              <w:rPr>
                <w:rFonts w:cs="Calibri"/>
                <w:sz w:val="16"/>
                <w:szCs w:val="16"/>
              </w:rPr>
              <w:t>Last (or only) command</w:t>
            </w:r>
          </w:p>
        </w:tc>
      </w:tr>
      <w:tr w:rsidR="00B97365" w14:paraId="478C67EC" w14:textId="77777777">
        <w:trPr>
          <w:tblHeader/>
          <w:jc w:val="center"/>
        </w:trPr>
        <w:tc>
          <w:tcPr>
            <w:tcW w:w="0" w:type="auto"/>
            <w:tcBorders>
              <w:top w:val="single" w:sz="6" w:space="0" w:color="auto"/>
              <w:left w:val="single" w:sz="4" w:space="0" w:color="auto"/>
              <w:bottom w:val="single" w:sz="4" w:space="0" w:color="auto"/>
              <w:right w:val="single" w:sz="6" w:space="0" w:color="auto"/>
            </w:tcBorders>
            <w:hideMark/>
          </w:tcPr>
          <w:p w14:paraId="39D7928F"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1E1E4FC4"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0BE6E78D"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344DBB6E"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251C2F13"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4546A3A6"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4200F68A"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39FEE0CD"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4" w:space="0" w:color="auto"/>
            </w:tcBorders>
            <w:hideMark/>
          </w:tcPr>
          <w:p w14:paraId="0202FC0E" w14:textId="77777777" w:rsidR="00B97365" w:rsidRDefault="00000000">
            <w:pPr>
              <w:keepNext/>
              <w:rPr>
                <w:rFonts w:cs="Calibri"/>
                <w:sz w:val="16"/>
                <w:szCs w:val="16"/>
              </w:rPr>
            </w:pPr>
            <w:r>
              <w:rPr>
                <w:rFonts w:cs="Calibri"/>
                <w:sz w:val="16"/>
                <w:szCs w:val="16"/>
              </w:rPr>
              <w:t>RFU</w:t>
            </w:r>
          </w:p>
        </w:tc>
      </w:tr>
    </w:tbl>
    <w:p w14:paraId="707BA37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Reference Control Parameter P1</w:t>
      </w:r>
    </w:p>
    <w:p w14:paraId="523B4886"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P2</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3"/>
        <w:gridCol w:w="403"/>
        <w:gridCol w:w="403"/>
        <w:gridCol w:w="403"/>
        <w:gridCol w:w="403"/>
        <w:gridCol w:w="403"/>
        <w:gridCol w:w="403"/>
        <w:gridCol w:w="403"/>
        <w:gridCol w:w="4530"/>
      </w:tblGrid>
      <w:tr w:rsidR="00B97365" w14:paraId="57ED1C01"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75A285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8CADF35"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9E1DE4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9192474"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4986E1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6C4ADF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251CFDD"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7A03EE8"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99A1A3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3DEAEF23"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3E5832A6" w14:textId="77777777" w:rsidR="00B97365" w:rsidRDefault="00000000">
            <w:pPr>
              <w:rPr>
                <w:rFonts w:eastAsia="PMingLiU" w:cs="Calibri"/>
                <w:bCs/>
                <w:sz w:val="16"/>
                <w:szCs w:val="16"/>
              </w:rPr>
            </w:pPr>
            <w:r>
              <w:rPr>
                <w:rFonts w:eastAsia="PMingLiU" w:cs="Calibri"/>
                <w:bCs/>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589BCD70" w14:textId="77777777" w:rsidR="00B97365" w:rsidRDefault="00000000">
            <w:pPr>
              <w:rPr>
                <w:rFonts w:eastAsia="PMingLiU" w:cs="Calibri"/>
                <w:bCs/>
                <w:sz w:val="16"/>
                <w:szCs w:val="16"/>
              </w:rPr>
            </w:pPr>
            <w:r>
              <w:rPr>
                <w:rFonts w:eastAsia="PMingLiU" w:cs="Calibri"/>
                <w:bCs/>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6C25384C"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AEDAA0D"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AA1AB09"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72B4AEA"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2E5DA43"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6F2FB5B"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72A1A2AE" w14:textId="77777777" w:rsidR="00B97365" w:rsidRDefault="00000000">
            <w:pPr>
              <w:rPr>
                <w:rFonts w:eastAsia="PMingLiU" w:cs="Calibri"/>
                <w:bCs/>
                <w:sz w:val="16"/>
                <w:szCs w:val="16"/>
              </w:rPr>
            </w:pPr>
            <w:r>
              <w:rPr>
                <w:rFonts w:eastAsia="PMingLiU" w:cs="Calibri"/>
                <w:bCs/>
                <w:sz w:val="16"/>
                <w:szCs w:val="16"/>
              </w:rPr>
              <w:t>Delete a root security domain and all associated Applications</w:t>
            </w:r>
          </w:p>
        </w:tc>
      </w:tr>
      <w:tr w:rsidR="00B97365" w14:paraId="26DC37F0"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78E4EA5A"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0FF7A55" w14:textId="77777777" w:rsidR="00B97365" w:rsidRDefault="00000000">
            <w:pPr>
              <w:rPr>
                <w:rFonts w:eastAsia="PMingLiU" w:cs="Calibri"/>
                <w:bCs/>
                <w:sz w:val="16"/>
                <w:szCs w:val="16"/>
              </w:rPr>
            </w:pPr>
            <w:r>
              <w:rPr>
                <w:rFonts w:eastAsia="PMingLiU" w:cs="Calibri"/>
                <w:bCs/>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6404B743"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23F781E0"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693E28F7"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10B68D96"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46625EA7"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46D5F81F" w14:textId="77777777" w:rsidR="00B97365" w:rsidRDefault="00000000">
            <w:pPr>
              <w:rPr>
                <w:rFonts w:eastAsia="PMingLiU" w:cs="Calibri"/>
                <w:bCs/>
                <w:sz w:val="16"/>
                <w:szCs w:val="16"/>
              </w:rPr>
            </w:pPr>
            <w:r>
              <w:rPr>
                <w:rFonts w:eastAsia="PMingLiU" w:cs="Calibri"/>
                <w:bCs/>
                <w:sz w:val="16"/>
                <w:szCs w:val="16"/>
              </w:rPr>
              <w:t>X</w:t>
            </w:r>
          </w:p>
        </w:tc>
        <w:tc>
          <w:tcPr>
            <w:tcW w:w="0" w:type="auto"/>
            <w:tcBorders>
              <w:top w:val="single" w:sz="6" w:space="0" w:color="auto"/>
              <w:left w:val="single" w:sz="6" w:space="0" w:color="auto"/>
              <w:bottom w:val="single" w:sz="4" w:space="0" w:color="auto"/>
              <w:right w:val="single" w:sz="4" w:space="0" w:color="auto"/>
            </w:tcBorders>
            <w:hideMark/>
          </w:tcPr>
          <w:p w14:paraId="199C93BB" w14:textId="77777777" w:rsidR="00B97365" w:rsidRDefault="00000000">
            <w:pPr>
              <w:rPr>
                <w:rFonts w:eastAsia="PMingLiU" w:cs="Calibri"/>
                <w:bCs/>
                <w:sz w:val="16"/>
                <w:szCs w:val="16"/>
              </w:rPr>
            </w:pPr>
            <w:r>
              <w:rPr>
                <w:rFonts w:eastAsia="PMingLiU" w:cs="Calibri"/>
                <w:bCs/>
                <w:sz w:val="16"/>
                <w:szCs w:val="16"/>
              </w:rPr>
              <w:t>RFU</w:t>
            </w:r>
          </w:p>
        </w:tc>
      </w:tr>
    </w:tbl>
    <w:p w14:paraId="695AC535"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Command Reference Control Parameter P2</w:t>
      </w:r>
    </w:p>
    <w:p w14:paraId="5A4C65F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Delete [card content] Data Field SHALL contain the following parameters:</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1680"/>
        <w:gridCol w:w="1681"/>
        <w:gridCol w:w="1069"/>
        <w:gridCol w:w="918"/>
        <w:gridCol w:w="2445"/>
        <w:gridCol w:w="1223"/>
      </w:tblGrid>
      <w:tr w:rsidR="00B97365" w14:paraId="0EB956F4" w14:textId="77777777">
        <w:trPr>
          <w:tblHeader/>
          <w:jc w:val="center"/>
        </w:trPr>
        <w:tc>
          <w:tcPr>
            <w:tcW w:w="932" w:type="pct"/>
            <w:tcBorders>
              <w:top w:val="single" w:sz="4" w:space="0" w:color="auto"/>
              <w:left w:val="single" w:sz="4" w:space="0" w:color="auto"/>
              <w:bottom w:val="single" w:sz="6" w:space="0" w:color="auto"/>
              <w:right w:val="single" w:sz="6" w:space="0" w:color="auto"/>
            </w:tcBorders>
            <w:shd w:val="clear" w:color="auto" w:fill="C00000"/>
            <w:vAlign w:val="center"/>
            <w:hideMark/>
          </w:tcPr>
          <w:p w14:paraId="3FF1455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Tag</w:t>
            </w:r>
          </w:p>
        </w:tc>
        <w:tc>
          <w:tcPr>
            <w:tcW w:w="932" w:type="pct"/>
            <w:tcBorders>
              <w:top w:val="single" w:sz="4" w:space="0" w:color="auto"/>
              <w:left w:val="single" w:sz="6" w:space="0" w:color="auto"/>
              <w:bottom w:val="single" w:sz="6" w:space="0" w:color="auto"/>
              <w:right w:val="single" w:sz="6" w:space="0" w:color="auto"/>
            </w:tcBorders>
            <w:shd w:val="clear" w:color="auto" w:fill="C00000"/>
            <w:vAlign w:val="center"/>
            <w:hideMark/>
          </w:tcPr>
          <w:p w14:paraId="25FD2D4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Length</w:t>
            </w:r>
          </w:p>
        </w:tc>
        <w:tc>
          <w:tcPr>
            <w:tcW w:w="2458" w:type="pct"/>
            <w:gridSpan w:val="3"/>
            <w:tcBorders>
              <w:top w:val="single" w:sz="4" w:space="0" w:color="auto"/>
              <w:left w:val="single" w:sz="6" w:space="0" w:color="auto"/>
              <w:bottom w:val="single" w:sz="6" w:space="0" w:color="auto"/>
              <w:right w:val="single" w:sz="6" w:space="0" w:color="auto"/>
            </w:tcBorders>
            <w:shd w:val="clear" w:color="auto" w:fill="C00000"/>
            <w:vAlign w:val="center"/>
            <w:hideMark/>
          </w:tcPr>
          <w:p w14:paraId="7CBF22D5" w14:textId="77777777" w:rsidR="00B97365" w:rsidRDefault="00000000">
            <w:pPr>
              <w:spacing w:before="0" w:after="200" w:line="276" w:lineRule="auto"/>
              <w:jc w:val="center"/>
              <w:rPr>
                <w:rFonts w:cs="Calibri"/>
                <w:b/>
                <w:sz w:val="16"/>
                <w:szCs w:val="16"/>
                <w:lang w:eastAsia="en-GB" w:bidi="ar-SA"/>
              </w:rPr>
            </w:pPr>
            <w:r>
              <w:rPr>
                <w:rFonts w:cs="Calibri"/>
                <w:b/>
                <w:color w:val="FFFFFF"/>
                <w:sz w:val="16"/>
                <w:szCs w:val="16"/>
                <w:lang w:eastAsia="en-GB" w:bidi="ar-SA"/>
              </w:rPr>
              <w:t>Value Description</w:t>
            </w:r>
          </w:p>
        </w:tc>
        <w:tc>
          <w:tcPr>
            <w:tcW w:w="678" w:type="pct"/>
            <w:tcBorders>
              <w:top w:val="single" w:sz="4" w:space="0" w:color="auto"/>
              <w:left w:val="single" w:sz="6" w:space="0" w:color="auto"/>
              <w:bottom w:val="single" w:sz="6" w:space="0" w:color="auto"/>
              <w:right w:val="single" w:sz="4" w:space="0" w:color="auto"/>
            </w:tcBorders>
            <w:shd w:val="clear" w:color="auto" w:fill="C00000"/>
            <w:vAlign w:val="center"/>
            <w:hideMark/>
          </w:tcPr>
          <w:p w14:paraId="4BA83300"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24C66A4A" w14:textId="77777777">
        <w:trPr>
          <w:jc w:val="center"/>
        </w:trPr>
        <w:tc>
          <w:tcPr>
            <w:tcW w:w="932" w:type="pct"/>
            <w:tcBorders>
              <w:top w:val="single" w:sz="6" w:space="0" w:color="auto"/>
              <w:left w:val="single" w:sz="4" w:space="0" w:color="auto"/>
              <w:bottom w:val="single" w:sz="6" w:space="0" w:color="auto"/>
              <w:right w:val="single" w:sz="6" w:space="0" w:color="auto"/>
            </w:tcBorders>
            <w:vAlign w:val="center"/>
            <w:hideMark/>
          </w:tcPr>
          <w:p w14:paraId="77497AD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‘4F’</w:t>
            </w:r>
          </w:p>
        </w:tc>
        <w:tc>
          <w:tcPr>
            <w:tcW w:w="932" w:type="pct"/>
            <w:tcBorders>
              <w:top w:val="single" w:sz="6" w:space="0" w:color="auto"/>
              <w:left w:val="single" w:sz="6" w:space="0" w:color="auto"/>
              <w:bottom w:val="single" w:sz="6" w:space="0" w:color="auto"/>
              <w:right w:val="single" w:sz="6" w:space="0" w:color="auto"/>
            </w:tcBorders>
            <w:vAlign w:val="center"/>
            <w:hideMark/>
          </w:tcPr>
          <w:p w14:paraId="58FAB71D" w14:textId="77777777" w:rsidR="00B97365" w:rsidRDefault="00000000">
            <w:pPr>
              <w:spacing w:before="0" w:after="200" w:line="276" w:lineRule="auto"/>
              <w:jc w:val="left"/>
              <w:rPr>
                <w:rFonts w:ascii="Calibri" w:hAnsi="Calibri" w:cs="Calibri"/>
                <w:sz w:val="16"/>
                <w:szCs w:val="16"/>
                <w:lang w:eastAsia="en-GB" w:bidi="ar-SA"/>
              </w:rPr>
            </w:pPr>
            <w:r>
              <w:rPr>
                <w:rFonts w:ascii="Calibri" w:hAnsi="Calibri" w:cs="Calibri"/>
                <w:sz w:val="16"/>
                <w:szCs w:val="16"/>
                <w:lang w:eastAsia="en-GB" w:bidi="ar-SA"/>
              </w:rPr>
              <w:t>5-16</w:t>
            </w:r>
          </w:p>
        </w:tc>
        <w:tc>
          <w:tcPr>
            <w:tcW w:w="2458" w:type="pct"/>
            <w:gridSpan w:val="3"/>
            <w:tcBorders>
              <w:top w:val="single" w:sz="6" w:space="0" w:color="auto"/>
              <w:left w:val="single" w:sz="6" w:space="0" w:color="auto"/>
              <w:bottom w:val="single" w:sz="6" w:space="0" w:color="auto"/>
              <w:right w:val="single" w:sz="6" w:space="0" w:color="auto"/>
            </w:tcBorders>
            <w:vAlign w:val="center"/>
            <w:hideMark/>
          </w:tcPr>
          <w:p w14:paraId="254FBD1C" w14:textId="77777777" w:rsidR="00B97365" w:rsidRDefault="00000000">
            <w:pPr>
              <w:spacing w:before="0" w:after="200" w:line="276" w:lineRule="auto"/>
              <w:jc w:val="left"/>
              <w:rPr>
                <w:rFonts w:cs="Calibri"/>
                <w:sz w:val="16"/>
                <w:szCs w:val="16"/>
                <w:highlight w:val="yellow"/>
                <w:lang w:eastAsia="en-GB" w:bidi="ar-SA"/>
              </w:rPr>
            </w:pPr>
            <w:r>
              <w:rPr>
                <w:rFonts w:cs="Calibri"/>
                <w:sz w:val="16"/>
                <w:szCs w:val="16"/>
                <w:lang w:eastAsia="en-GB" w:bidi="ar-SA"/>
              </w:rPr>
              <w:t>ISD-P-AID to be deleted</w:t>
            </w:r>
          </w:p>
        </w:tc>
        <w:tc>
          <w:tcPr>
            <w:tcW w:w="678" w:type="pct"/>
            <w:tcBorders>
              <w:top w:val="single" w:sz="6" w:space="0" w:color="auto"/>
              <w:left w:val="single" w:sz="6" w:space="0" w:color="auto"/>
              <w:bottom w:val="single" w:sz="6" w:space="0" w:color="auto"/>
              <w:right w:val="single" w:sz="4" w:space="0" w:color="auto"/>
            </w:tcBorders>
            <w:vAlign w:val="center"/>
            <w:hideMark/>
          </w:tcPr>
          <w:p w14:paraId="7F16B263" w14:textId="77777777" w:rsidR="00B97365" w:rsidRDefault="00000000">
            <w:pPr>
              <w:spacing w:before="0" w:after="200" w:line="276" w:lineRule="auto"/>
              <w:jc w:val="center"/>
              <w:rPr>
                <w:rFonts w:cs="Calibri"/>
                <w:sz w:val="16"/>
                <w:szCs w:val="16"/>
                <w:highlight w:val="yellow"/>
                <w:lang w:eastAsia="en-GB" w:bidi="ar-SA"/>
              </w:rPr>
            </w:pPr>
            <w:r>
              <w:rPr>
                <w:rFonts w:cs="Calibri"/>
                <w:sz w:val="16"/>
                <w:szCs w:val="16"/>
                <w:lang w:eastAsia="en-GB" w:bidi="ar-SA"/>
              </w:rPr>
              <w:t>M</w:t>
            </w:r>
          </w:p>
        </w:tc>
      </w:tr>
      <w:tr w:rsidR="00B97365" w14:paraId="06066B3B" w14:textId="77777777">
        <w:trPr>
          <w:jc w:val="center"/>
        </w:trPr>
        <w:tc>
          <w:tcPr>
            <w:tcW w:w="932" w:type="pct"/>
            <w:tcBorders>
              <w:top w:val="single" w:sz="6" w:space="0" w:color="auto"/>
              <w:left w:val="single" w:sz="4" w:space="0" w:color="auto"/>
              <w:bottom w:val="single" w:sz="6" w:space="0" w:color="auto"/>
              <w:right w:val="single" w:sz="6" w:space="0" w:color="auto"/>
            </w:tcBorders>
            <w:vAlign w:val="center"/>
            <w:hideMark/>
          </w:tcPr>
          <w:p w14:paraId="6AE8692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‘B6’</w:t>
            </w:r>
          </w:p>
        </w:tc>
        <w:tc>
          <w:tcPr>
            <w:tcW w:w="932" w:type="pct"/>
            <w:tcBorders>
              <w:top w:val="single" w:sz="6" w:space="0" w:color="auto"/>
              <w:left w:val="single" w:sz="6" w:space="0" w:color="auto"/>
              <w:bottom w:val="single" w:sz="6" w:space="0" w:color="auto"/>
              <w:right w:val="single" w:sz="6" w:space="0" w:color="auto"/>
            </w:tcBorders>
            <w:vAlign w:val="center"/>
            <w:hideMark/>
          </w:tcPr>
          <w:p w14:paraId="7116056E" w14:textId="77777777" w:rsidR="00B97365" w:rsidRDefault="00000000">
            <w:pPr>
              <w:spacing w:before="0" w:after="200" w:line="276" w:lineRule="auto"/>
              <w:jc w:val="left"/>
              <w:rPr>
                <w:rFonts w:ascii="Calibri" w:hAnsi="Calibri" w:cs="Calibri"/>
                <w:sz w:val="16"/>
                <w:szCs w:val="16"/>
                <w:lang w:eastAsia="en-GB" w:bidi="ar-SA"/>
              </w:rPr>
            </w:pPr>
            <w:r>
              <w:rPr>
                <w:rFonts w:ascii="Calibri" w:hAnsi="Calibri" w:cs="Calibri"/>
                <w:sz w:val="16"/>
                <w:szCs w:val="16"/>
                <w:lang w:eastAsia="en-GB" w:bidi="ar-SA"/>
              </w:rPr>
              <w:t>Var.</w:t>
            </w:r>
          </w:p>
        </w:tc>
        <w:tc>
          <w:tcPr>
            <w:tcW w:w="2458" w:type="pct"/>
            <w:gridSpan w:val="3"/>
            <w:tcBorders>
              <w:top w:val="single" w:sz="6" w:space="0" w:color="auto"/>
              <w:left w:val="single" w:sz="6" w:space="0" w:color="auto"/>
              <w:bottom w:val="single" w:sz="6" w:space="0" w:color="auto"/>
              <w:right w:val="single" w:sz="6" w:space="0" w:color="auto"/>
            </w:tcBorders>
            <w:vAlign w:val="center"/>
            <w:hideMark/>
          </w:tcPr>
          <w:p w14:paraId="74DB434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Control Reference Template for Digital Signature</w:t>
            </w:r>
          </w:p>
        </w:tc>
        <w:tc>
          <w:tcPr>
            <w:tcW w:w="678" w:type="pct"/>
            <w:tcBorders>
              <w:top w:val="single" w:sz="6" w:space="0" w:color="auto"/>
              <w:left w:val="single" w:sz="6" w:space="0" w:color="auto"/>
              <w:bottom w:val="single" w:sz="6" w:space="0" w:color="auto"/>
              <w:right w:val="single" w:sz="4" w:space="0" w:color="auto"/>
            </w:tcBorders>
            <w:vAlign w:val="center"/>
            <w:hideMark/>
          </w:tcPr>
          <w:p w14:paraId="1AB0A71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51AF8031" w14:textId="77777777">
        <w:trPr>
          <w:jc w:val="center"/>
        </w:trPr>
        <w:tc>
          <w:tcPr>
            <w:tcW w:w="932" w:type="pct"/>
            <w:tcBorders>
              <w:top w:val="single" w:sz="6" w:space="0" w:color="auto"/>
              <w:left w:val="single" w:sz="4" w:space="0" w:color="auto"/>
              <w:bottom w:val="single" w:sz="6" w:space="0" w:color="auto"/>
              <w:right w:val="single" w:sz="6" w:space="0" w:color="auto"/>
            </w:tcBorders>
            <w:vAlign w:val="center"/>
          </w:tcPr>
          <w:p w14:paraId="3F4C7C6B" w14:textId="77777777" w:rsidR="00B97365" w:rsidRDefault="00B97365">
            <w:pPr>
              <w:spacing w:before="0" w:after="200" w:line="276" w:lineRule="auto"/>
              <w:jc w:val="left"/>
              <w:rPr>
                <w:rFonts w:cs="Calibri"/>
                <w:sz w:val="16"/>
                <w:szCs w:val="16"/>
                <w:lang w:eastAsia="en-GB" w:bidi="ar-SA"/>
              </w:rPr>
            </w:pPr>
          </w:p>
        </w:tc>
        <w:tc>
          <w:tcPr>
            <w:tcW w:w="932" w:type="pct"/>
            <w:tcBorders>
              <w:top w:val="single" w:sz="6" w:space="0" w:color="auto"/>
              <w:left w:val="single" w:sz="6" w:space="0" w:color="auto"/>
              <w:bottom w:val="single" w:sz="6" w:space="0" w:color="auto"/>
              <w:right w:val="single" w:sz="6" w:space="0" w:color="auto"/>
            </w:tcBorders>
            <w:vAlign w:val="center"/>
          </w:tcPr>
          <w:p w14:paraId="744DE15F" w14:textId="77777777" w:rsidR="00B97365" w:rsidRDefault="00B97365">
            <w:pPr>
              <w:spacing w:before="0" w:after="200" w:line="276" w:lineRule="auto"/>
              <w:jc w:val="left"/>
              <w:rPr>
                <w:rFonts w:ascii="Calibri" w:eastAsia="MS Mincho" w:hAnsi="Calibri" w:cs="Calibri"/>
                <w:sz w:val="16"/>
                <w:szCs w:val="16"/>
                <w:lang w:eastAsia="fr-FR" w:bidi="ar-SA"/>
              </w:rPr>
            </w:pPr>
          </w:p>
        </w:tc>
        <w:tc>
          <w:tcPr>
            <w:tcW w:w="593" w:type="pct"/>
            <w:tcBorders>
              <w:top w:val="single" w:sz="6" w:space="0" w:color="auto"/>
              <w:left w:val="single" w:sz="6" w:space="0" w:color="auto"/>
              <w:bottom w:val="single" w:sz="6" w:space="0" w:color="auto"/>
              <w:right w:val="single" w:sz="6" w:space="0" w:color="auto"/>
            </w:tcBorders>
            <w:shd w:val="clear" w:color="auto" w:fill="C00000"/>
            <w:vAlign w:val="center"/>
            <w:hideMark/>
          </w:tcPr>
          <w:p w14:paraId="6ACBE4CF" w14:textId="77777777" w:rsidR="00B97365" w:rsidRDefault="00000000">
            <w:pPr>
              <w:spacing w:before="0" w:after="200" w:line="276" w:lineRule="auto"/>
              <w:jc w:val="center"/>
              <w:rPr>
                <w:rFonts w:eastAsia="MS Mincho" w:cs="Calibri"/>
                <w:b/>
                <w:sz w:val="16"/>
                <w:szCs w:val="16"/>
                <w:lang w:eastAsia="fr-FR" w:bidi="ar-SA"/>
              </w:rPr>
            </w:pPr>
            <w:r>
              <w:rPr>
                <w:rFonts w:cs="Calibri"/>
                <w:b/>
                <w:sz w:val="16"/>
                <w:szCs w:val="16"/>
                <w:lang w:eastAsia="en-GB" w:bidi="ar-SA"/>
              </w:rPr>
              <w:t>Tag</w:t>
            </w:r>
          </w:p>
        </w:tc>
        <w:tc>
          <w:tcPr>
            <w:tcW w:w="509" w:type="pct"/>
            <w:tcBorders>
              <w:top w:val="single" w:sz="6" w:space="0" w:color="auto"/>
              <w:left w:val="single" w:sz="6" w:space="0" w:color="auto"/>
              <w:bottom w:val="single" w:sz="6" w:space="0" w:color="auto"/>
              <w:right w:val="single" w:sz="6" w:space="0" w:color="auto"/>
            </w:tcBorders>
            <w:shd w:val="clear" w:color="auto" w:fill="C00000"/>
            <w:vAlign w:val="center"/>
            <w:hideMark/>
          </w:tcPr>
          <w:p w14:paraId="2B15B73C" w14:textId="77777777" w:rsidR="00B97365" w:rsidRDefault="00000000">
            <w:pPr>
              <w:spacing w:before="0" w:after="200" w:line="276" w:lineRule="auto"/>
              <w:jc w:val="center"/>
              <w:rPr>
                <w:rFonts w:eastAsia="MS Mincho" w:cs="Calibri"/>
                <w:b/>
                <w:sz w:val="16"/>
                <w:szCs w:val="16"/>
                <w:lang w:eastAsia="fr-FR" w:bidi="ar-SA"/>
              </w:rPr>
            </w:pPr>
            <w:r>
              <w:rPr>
                <w:rFonts w:cs="Calibri"/>
                <w:b/>
                <w:sz w:val="16"/>
                <w:szCs w:val="16"/>
                <w:lang w:eastAsia="en-GB" w:bidi="ar-SA"/>
              </w:rPr>
              <w:t>Length</w:t>
            </w:r>
          </w:p>
        </w:tc>
        <w:tc>
          <w:tcPr>
            <w:tcW w:w="1356" w:type="pct"/>
            <w:tcBorders>
              <w:top w:val="single" w:sz="6" w:space="0" w:color="auto"/>
              <w:left w:val="single" w:sz="6" w:space="0" w:color="auto"/>
              <w:bottom w:val="single" w:sz="6" w:space="0" w:color="auto"/>
              <w:right w:val="single" w:sz="6" w:space="0" w:color="auto"/>
            </w:tcBorders>
            <w:shd w:val="clear" w:color="auto" w:fill="C00000"/>
            <w:vAlign w:val="center"/>
            <w:hideMark/>
          </w:tcPr>
          <w:p w14:paraId="7B235122" w14:textId="77777777" w:rsidR="00B97365" w:rsidRDefault="00000000">
            <w:pPr>
              <w:spacing w:before="0" w:after="200" w:line="276" w:lineRule="auto"/>
              <w:jc w:val="center"/>
              <w:rPr>
                <w:rFonts w:eastAsia="MS Mincho" w:cs="Calibri"/>
                <w:b/>
                <w:sz w:val="16"/>
                <w:szCs w:val="16"/>
                <w:lang w:eastAsia="fr-FR" w:bidi="ar-SA"/>
              </w:rPr>
            </w:pPr>
            <w:r>
              <w:rPr>
                <w:rFonts w:cs="Calibri"/>
                <w:b/>
                <w:color w:val="FFFFFF"/>
                <w:sz w:val="16"/>
                <w:szCs w:val="16"/>
                <w:lang w:eastAsia="en-GB" w:bidi="ar-SA"/>
              </w:rPr>
              <w:t>Value Description</w:t>
            </w:r>
          </w:p>
        </w:tc>
        <w:tc>
          <w:tcPr>
            <w:tcW w:w="678" w:type="pct"/>
            <w:tcBorders>
              <w:top w:val="single" w:sz="6" w:space="0" w:color="auto"/>
              <w:left w:val="single" w:sz="6" w:space="0" w:color="auto"/>
              <w:bottom w:val="single" w:sz="6" w:space="0" w:color="auto"/>
              <w:right w:val="single" w:sz="4" w:space="0" w:color="auto"/>
            </w:tcBorders>
            <w:shd w:val="clear" w:color="auto" w:fill="C00000"/>
            <w:vAlign w:val="center"/>
            <w:hideMark/>
          </w:tcPr>
          <w:p w14:paraId="14EC8B7A" w14:textId="77777777" w:rsidR="00B97365" w:rsidRDefault="00000000">
            <w:pPr>
              <w:spacing w:before="0" w:after="200" w:line="276" w:lineRule="auto"/>
              <w:jc w:val="center"/>
              <w:rPr>
                <w:rFonts w:eastAsia="MS Mincho" w:cs="Calibri"/>
                <w:b/>
                <w:sz w:val="16"/>
                <w:szCs w:val="16"/>
                <w:lang w:eastAsia="fr-FR" w:bidi="ar-SA"/>
              </w:rPr>
            </w:pPr>
            <w:r>
              <w:rPr>
                <w:rFonts w:eastAsia="MS Mincho" w:cs="Calibri"/>
                <w:b/>
                <w:sz w:val="16"/>
                <w:szCs w:val="16"/>
                <w:lang w:eastAsia="fr-FR" w:bidi="ar-SA"/>
              </w:rPr>
              <w:t>MOC</w:t>
            </w:r>
          </w:p>
        </w:tc>
      </w:tr>
      <w:tr w:rsidR="00B97365" w14:paraId="62A2D6AD" w14:textId="77777777">
        <w:trPr>
          <w:jc w:val="center"/>
        </w:trPr>
        <w:tc>
          <w:tcPr>
            <w:tcW w:w="932" w:type="pct"/>
            <w:tcBorders>
              <w:top w:val="single" w:sz="6" w:space="0" w:color="auto"/>
              <w:left w:val="single" w:sz="4" w:space="0" w:color="auto"/>
              <w:bottom w:val="single" w:sz="6" w:space="0" w:color="auto"/>
              <w:right w:val="single" w:sz="6" w:space="0" w:color="auto"/>
            </w:tcBorders>
            <w:vAlign w:val="center"/>
          </w:tcPr>
          <w:p w14:paraId="54D5AC78" w14:textId="77777777" w:rsidR="00B97365" w:rsidRDefault="00B97365">
            <w:pPr>
              <w:spacing w:before="0" w:after="200" w:line="276" w:lineRule="auto"/>
              <w:jc w:val="left"/>
              <w:rPr>
                <w:rFonts w:cs="Calibri"/>
                <w:sz w:val="16"/>
                <w:szCs w:val="16"/>
                <w:lang w:eastAsia="en-GB" w:bidi="ar-SA"/>
              </w:rPr>
            </w:pPr>
          </w:p>
        </w:tc>
        <w:tc>
          <w:tcPr>
            <w:tcW w:w="932" w:type="pct"/>
            <w:tcBorders>
              <w:top w:val="single" w:sz="6" w:space="0" w:color="auto"/>
              <w:left w:val="single" w:sz="6" w:space="0" w:color="auto"/>
              <w:bottom w:val="single" w:sz="6" w:space="0" w:color="auto"/>
              <w:right w:val="single" w:sz="6" w:space="0" w:color="auto"/>
            </w:tcBorders>
            <w:vAlign w:val="center"/>
          </w:tcPr>
          <w:p w14:paraId="24465B2D" w14:textId="77777777" w:rsidR="00B97365" w:rsidRDefault="00B97365">
            <w:pPr>
              <w:spacing w:before="0" w:after="200" w:line="276" w:lineRule="auto"/>
              <w:jc w:val="left"/>
              <w:rPr>
                <w:rFonts w:ascii="Calibri" w:eastAsia="MS Mincho" w:hAnsi="Calibri" w:cs="Calibri"/>
                <w:sz w:val="16"/>
                <w:szCs w:val="16"/>
                <w:lang w:eastAsia="fr-FR" w:bidi="ar-SA"/>
              </w:rPr>
            </w:pPr>
          </w:p>
        </w:tc>
        <w:tc>
          <w:tcPr>
            <w:tcW w:w="593" w:type="pct"/>
            <w:tcBorders>
              <w:top w:val="single" w:sz="6" w:space="0" w:color="auto"/>
              <w:left w:val="single" w:sz="6" w:space="0" w:color="auto"/>
              <w:bottom w:val="single" w:sz="6" w:space="0" w:color="auto"/>
              <w:right w:val="single" w:sz="6" w:space="0" w:color="auto"/>
            </w:tcBorders>
            <w:vAlign w:val="center"/>
            <w:hideMark/>
          </w:tcPr>
          <w:p w14:paraId="3A24902F" w14:textId="77777777" w:rsidR="00B97365" w:rsidRDefault="00000000">
            <w:pPr>
              <w:spacing w:before="0" w:after="200" w:line="276" w:lineRule="auto"/>
              <w:jc w:val="left"/>
              <w:rPr>
                <w:rFonts w:eastAsia="MS Mincho" w:cs="Calibri"/>
                <w:sz w:val="16"/>
                <w:szCs w:val="16"/>
                <w:lang w:eastAsia="fr-FR" w:bidi="ar-SA"/>
              </w:rPr>
            </w:pPr>
            <w:r>
              <w:rPr>
                <w:rFonts w:cs="Calibri"/>
                <w:sz w:val="16"/>
                <w:szCs w:val="16"/>
                <w:lang w:eastAsia="en-GB" w:bidi="ar-SA"/>
              </w:rPr>
              <w:t>‘42’</w:t>
            </w:r>
          </w:p>
        </w:tc>
        <w:tc>
          <w:tcPr>
            <w:tcW w:w="509" w:type="pct"/>
            <w:tcBorders>
              <w:top w:val="single" w:sz="6" w:space="0" w:color="auto"/>
              <w:left w:val="single" w:sz="6" w:space="0" w:color="auto"/>
              <w:bottom w:val="single" w:sz="6" w:space="0" w:color="auto"/>
              <w:right w:val="single" w:sz="6" w:space="0" w:color="auto"/>
            </w:tcBorders>
            <w:vAlign w:val="center"/>
            <w:hideMark/>
          </w:tcPr>
          <w:p w14:paraId="27BC35D0" w14:textId="77777777" w:rsidR="00B97365" w:rsidRDefault="00000000">
            <w:pPr>
              <w:spacing w:before="0" w:after="200" w:line="276" w:lineRule="auto"/>
              <w:jc w:val="left"/>
              <w:rPr>
                <w:rFonts w:eastAsia="MS Mincho" w:cs="Calibri"/>
                <w:sz w:val="16"/>
                <w:szCs w:val="16"/>
                <w:lang w:eastAsia="fr-FR" w:bidi="ar-SA"/>
              </w:rPr>
            </w:pPr>
            <w:r>
              <w:rPr>
                <w:rFonts w:ascii="Calibri" w:hAnsi="Calibri" w:cs="Calibri"/>
                <w:sz w:val="16"/>
                <w:szCs w:val="16"/>
                <w:lang w:eastAsia="en-GB" w:bidi="ar-SA"/>
              </w:rPr>
              <w:t>1-n</w:t>
            </w:r>
          </w:p>
        </w:tc>
        <w:tc>
          <w:tcPr>
            <w:tcW w:w="1356" w:type="pct"/>
            <w:tcBorders>
              <w:top w:val="single" w:sz="6" w:space="0" w:color="auto"/>
              <w:left w:val="single" w:sz="6" w:space="0" w:color="auto"/>
              <w:bottom w:val="single" w:sz="6" w:space="0" w:color="auto"/>
              <w:right w:val="single" w:sz="6" w:space="0" w:color="auto"/>
            </w:tcBorders>
            <w:vAlign w:val="center"/>
            <w:hideMark/>
          </w:tcPr>
          <w:p w14:paraId="7A694520" w14:textId="77777777" w:rsidR="00B97365" w:rsidRDefault="00000000">
            <w:pPr>
              <w:spacing w:before="0" w:after="200" w:line="276" w:lineRule="auto"/>
              <w:jc w:val="left"/>
              <w:rPr>
                <w:rFonts w:eastAsia="MS Mincho" w:cs="Calibri"/>
                <w:sz w:val="16"/>
                <w:szCs w:val="16"/>
                <w:lang w:eastAsia="fr-FR" w:bidi="ar-SA"/>
              </w:rPr>
            </w:pPr>
            <w:r>
              <w:rPr>
                <w:rFonts w:cs="Calibri"/>
                <w:sz w:val="16"/>
                <w:szCs w:val="16"/>
                <w:lang w:eastAsia="fr-FR" w:bidi="ar-SA"/>
              </w:rPr>
              <w:t>Identification Number of the ISD-P</w:t>
            </w:r>
          </w:p>
        </w:tc>
        <w:tc>
          <w:tcPr>
            <w:tcW w:w="678" w:type="pct"/>
            <w:tcBorders>
              <w:top w:val="single" w:sz="6" w:space="0" w:color="auto"/>
              <w:left w:val="single" w:sz="6" w:space="0" w:color="auto"/>
              <w:bottom w:val="single" w:sz="6" w:space="0" w:color="auto"/>
              <w:right w:val="single" w:sz="4" w:space="0" w:color="auto"/>
            </w:tcBorders>
            <w:vAlign w:val="center"/>
            <w:hideMark/>
          </w:tcPr>
          <w:p w14:paraId="338DD14A" w14:textId="77777777" w:rsidR="00B97365" w:rsidRDefault="00000000">
            <w:pPr>
              <w:spacing w:before="0" w:after="200" w:line="276" w:lineRule="auto"/>
              <w:jc w:val="center"/>
              <w:rPr>
                <w:rFonts w:eastAsia="MS Mincho" w:cs="Calibri"/>
                <w:sz w:val="16"/>
                <w:szCs w:val="16"/>
                <w:lang w:eastAsia="fr-FR" w:bidi="ar-SA"/>
              </w:rPr>
            </w:pPr>
            <w:r>
              <w:rPr>
                <w:rFonts w:eastAsia="MS Mincho" w:cs="Calibri"/>
                <w:sz w:val="16"/>
                <w:szCs w:val="16"/>
                <w:lang w:eastAsia="fr-FR" w:bidi="ar-SA"/>
              </w:rPr>
              <w:t>M</w:t>
            </w:r>
          </w:p>
        </w:tc>
      </w:tr>
      <w:tr w:rsidR="00B97365" w14:paraId="2176F5D0" w14:textId="77777777">
        <w:trPr>
          <w:jc w:val="center"/>
        </w:trPr>
        <w:tc>
          <w:tcPr>
            <w:tcW w:w="932" w:type="pct"/>
            <w:tcBorders>
              <w:top w:val="single" w:sz="6" w:space="0" w:color="auto"/>
              <w:left w:val="single" w:sz="4" w:space="0" w:color="auto"/>
              <w:bottom w:val="single" w:sz="6" w:space="0" w:color="auto"/>
              <w:right w:val="single" w:sz="6" w:space="0" w:color="auto"/>
            </w:tcBorders>
            <w:vAlign w:val="center"/>
          </w:tcPr>
          <w:p w14:paraId="1C12A00A" w14:textId="77777777" w:rsidR="00B97365" w:rsidRDefault="00B97365">
            <w:pPr>
              <w:spacing w:before="0" w:after="200" w:line="276" w:lineRule="auto"/>
              <w:jc w:val="left"/>
              <w:rPr>
                <w:rFonts w:cs="Calibri"/>
                <w:sz w:val="16"/>
                <w:szCs w:val="16"/>
                <w:lang w:eastAsia="en-GB" w:bidi="ar-SA"/>
              </w:rPr>
            </w:pPr>
          </w:p>
        </w:tc>
        <w:tc>
          <w:tcPr>
            <w:tcW w:w="932" w:type="pct"/>
            <w:tcBorders>
              <w:top w:val="single" w:sz="6" w:space="0" w:color="auto"/>
              <w:left w:val="single" w:sz="6" w:space="0" w:color="auto"/>
              <w:bottom w:val="single" w:sz="6" w:space="0" w:color="auto"/>
              <w:right w:val="single" w:sz="6" w:space="0" w:color="auto"/>
            </w:tcBorders>
            <w:vAlign w:val="center"/>
          </w:tcPr>
          <w:p w14:paraId="11925669" w14:textId="77777777" w:rsidR="00B97365" w:rsidRDefault="00B97365">
            <w:pPr>
              <w:spacing w:before="0" w:after="200" w:line="276" w:lineRule="auto"/>
              <w:jc w:val="left"/>
              <w:rPr>
                <w:rFonts w:ascii="Calibri" w:eastAsia="MS Mincho" w:hAnsi="Calibri" w:cs="Calibri"/>
                <w:sz w:val="16"/>
                <w:szCs w:val="16"/>
                <w:lang w:eastAsia="fr-FR" w:bidi="ar-SA"/>
              </w:rPr>
            </w:pPr>
          </w:p>
        </w:tc>
        <w:tc>
          <w:tcPr>
            <w:tcW w:w="593" w:type="pct"/>
            <w:tcBorders>
              <w:top w:val="single" w:sz="6" w:space="0" w:color="auto"/>
              <w:left w:val="single" w:sz="6" w:space="0" w:color="auto"/>
              <w:bottom w:val="single" w:sz="6" w:space="0" w:color="auto"/>
              <w:right w:val="single" w:sz="6" w:space="0" w:color="auto"/>
            </w:tcBorders>
            <w:vAlign w:val="center"/>
            <w:hideMark/>
          </w:tcPr>
          <w:p w14:paraId="3609A528" w14:textId="77777777" w:rsidR="00B97365" w:rsidRDefault="00000000">
            <w:pPr>
              <w:spacing w:before="0" w:after="200" w:line="276" w:lineRule="auto"/>
              <w:jc w:val="left"/>
              <w:rPr>
                <w:rFonts w:eastAsia="MS Mincho" w:cs="Calibri"/>
                <w:sz w:val="16"/>
                <w:szCs w:val="16"/>
                <w:lang w:eastAsia="fr-FR" w:bidi="ar-SA"/>
              </w:rPr>
            </w:pPr>
            <w:r>
              <w:rPr>
                <w:rFonts w:cs="Calibri"/>
                <w:sz w:val="16"/>
                <w:szCs w:val="16"/>
                <w:lang w:eastAsia="en-GB" w:bidi="ar-SA"/>
              </w:rPr>
              <w:t>‘45’</w:t>
            </w:r>
          </w:p>
        </w:tc>
        <w:tc>
          <w:tcPr>
            <w:tcW w:w="509" w:type="pct"/>
            <w:tcBorders>
              <w:top w:val="single" w:sz="6" w:space="0" w:color="auto"/>
              <w:left w:val="single" w:sz="6" w:space="0" w:color="auto"/>
              <w:bottom w:val="single" w:sz="6" w:space="0" w:color="auto"/>
              <w:right w:val="single" w:sz="6" w:space="0" w:color="auto"/>
            </w:tcBorders>
            <w:vAlign w:val="center"/>
            <w:hideMark/>
          </w:tcPr>
          <w:p w14:paraId="2B11AD0D" w14:textId="77777777" w:rsidR="00B97365" w:rsidRDefault="00000000">
            <w:pPr>
              <w:spacing w:before="0" w:after="200" w:line="276" w:lineRule="auto"/>
              <w:jc w:val="left"/>
              <w:rPr>
                <w:rFonts w:eastAsia="MS Mincho" w:cs="Calibri"/>
                <w:sz w:val="16"/>
                <w:szCs w:val="16"/>
                <w:lang w:eastAsia="fr-FR" w:bidi="ar-SA"/>
              </w:rPr>
            </w:pPr>
            <w:r>
              <w:rPr>
                <w:rFonts w:ascii="Calibri" w:hAnsi="Calibri" w:cs="Calibri"/>
                <w:sz w:val="16"/>
                <w:szCs w:val="16"/>
                <w:lang w:eastAsia="en-GB" w:bidi="ar-SA"/>
              </w:rPr>
              <w:t>1-n</w:t>
            </w:r>
          </w:p>
        </w:tc>
        <w:tc>
          <w:tcPr>
            <w:tcW w:w="1356" w:type="pct"/>
            <w:tcBorders>
              <w:top w:val="single" w:sz="6" w:space="0" w:color="auto"/>
              <w:left w:val="single" w:sz="6" w:space="0" w:color="auto"/>
              <w:bottom w:val="single" w:sz="6" w:space="0" w:color="auto"/>
              <w:right w:val="single" w:sz="6" w:space="0" w:color="auto"/>
            </w:tcBorders>
            <w:vAlign w:val="center"/>
            <w:hideMark/>
          </w:tcPr>
          <w:p w14:paraId="60288411" w14:textId="77777777" w:rsidR="00B97365" w:rsidRDefault="00000000">
            <w:pPr>
              <w:spacing w:before="0" w:after="200" w:line="276" w:lineRule="auto"/>
              <w:jc w:val="left"/>
              <w:rPr>
                <w:rFonts w:eastAsia="MS Mincho" w:cs="Calibri"/>
                <w:sz w:val="16"/>
                <w:szCs w:val="16"/>
                <w:lang w:eastAsia="fr-FR" w:bidi="ar-SA"/>
              </w:rPr>
            </w:pPr>
            <w:r>
              <w:rPr>
                <w:rFonts w:cs="Calibri"/>
                <w:sz w:val="16"/>
                <w:szCs w:val="16"/>
                <w:lang w:eastAsia="fr-FR" w:bidi="ar-SA"/>
              </w:rPr>
              <w:t>Image Number of the ISD-P</w:t>
            </w:r>
          </w:p>
        </w:tc>
        <w:tc>
          <w:tcPr>
            <w:tcW w:w="678" w:type="pct"/>
            <w:tcBorders>
              <w:top w:val="single" w:sz="6" w:space="0" w:color="auto"/>
              <w:left w:val="single" w:sz="6" w:space="0" w:color="auto"/>
              <w:bottom w:val="single" w:sz="6" w:space="0" w:color="auto"/>
              <w:right w:val="single" w:sz="4" w:space="0" w:color="auto"/>
            </w:tcBorders>
            <w:vAlign w:val="center"/>
            <w:hideMark/>
          </w:tcPr>
          <w:p w14:paraId="0D5F70CC" w14:textId="77777777" w:rsidR="00B97365" w:rsidRDefault="00000000">
            <w:pPr>
              <w:spacing w:before="0" w:after="200" w:line="276" w:lineRule="auto"/>
              <w:jc w:val="center"/>
              <w:rPr>
                <w:rFonts w:eastAsia="MS Mincho" w:cs="Calibri"/>
                <w:sz w:val="16"/>
                <w:szCs w:val="16"/>
                <w:lang w:eastAsia="fr-FR" w:bidi="ar-SA"/>
              </w:rPr>
            </w:pPr>
            <w:r>
              <w:rPr>
                <w:rFonts w:eastAsia="MS Mincho" w:cs="Calibri"/>
                <w:sz w:val="16"/>
                <w:szCs w:val="16"/>
                <w:lang w:eastAsia="fr-FR" w:bidi="ar-SA"/>
              </w:rPr>
              <w:t>M</w:t>
            </w:r>
          </w:p>
        </w:tc>
      </w:tr>
      <w:tr w:rsidR="00B97365" w14:paraId="00AD835B" w14:textId="77777777">
        <w:trPr>
          <w:jc w:val="center"/>
        </w:trPr>
        <w:tc>
          <w:tcPr>
            <w:tcW w:w="932" w:type="pct"/>
            <w:tcBorders>
              <w:top w:val="single" w:sz="6" w:space="0" w:color="auto"/>
              <w:left w:val="single" w:sz="4" w:space="0" w:color="auto"/>
              <w:bottom w:val="single" w:sz="6" w:space="0" w:color="auto"/>
              <w:right w:val="single" w:sz="6" w:space="0" w:color="auto"/>
            </w:tcBorders>
            <w:vAlign w:val="center"/>
          </w:tcPr>
          <w:p w14:paraId="6BC0ECC6" w14:textId="77777777" w:rsidR="00B97365" w:rsidRDefault="00B97365">
            <w:pPr>
              <w:spacing w:before="0" w:after="200" w:line="276" w:lineRule="auto"/>
              <w:jc w:val="left"/>
              <w:rPr>
                <w:rFonts w:cs="Calibri"/>
                <w:sz w:val="16"/>
                <w:szCs w:val="16"/>
                <w:lang w:eastAsia="en-GB" w:bidi="ar-SA"/>
              </w:rPr>
            </w:pPr>
          </w:p>
        </w:tc>
        <w:tc>
          <w:tcPr>
            <w:tcW w:w="932" w:type="pct"/>
            <w:tcBorders>
              <w:top w:val="single" w:sz="6" w:space="0" w:color="auto"/>
              <w:left w:val="single" w:sz="6" w:space="0" w:color="auto"/>
              <w:bottom w:val="single" w:sz="6" w:space="0" w:color="auto"/>
              <w:right w:val="single" w:sz="6" w:space="0" w:color="auto"/>
            </w:tcBorders>
            <w:vAlign w:val="center"/>
          </w:tcPr>
          <w:p w14:paraId="63485B51" w14:textId="77777777" w:rsidR="00B97365" w:rsidRDefault="00B97365">
            <w:pPr>
              <w:spacing w:before="0" w:after="200" w:line="276" w:lineRule="auto"/>
              <w:jc w:val="left"/>
              <w:rPr>
                <w:rFonts w:ascii="Calibri" w:eastAsia="MS Mincho" w:hAnsi="Calibri" w:cs="Calibri"/>
                <w:sz w:val="16"/>
                <w:szCs w:val="16"/>
                <w:lang w:eastAsia="fr-FR" w:bidi="ar-SA"/>
              </w:rPr>
            </w:pPr>
          </w:p>
        </w:tc>
        <w:tc>
          <w:tcPr>
            <w:tcW w:w="593" w:type="pct"/>
            <w:tcBorders>
              <w:top w:val="single" w:sz="6" w:space="0" w:color="auto"/>
              <w:left w:val="single" w:sz="6" w:space="0" w:color="auto"/>
              <w:bottom w:val="single" w:sz="6" w:space="0" w:color="auto"/>
              <w:right w:val="single" w:sz="6" w:space="0" w:color="auto"/>
            </w:tcBorders>
            <w:vAlign w:val="center"/>
            <w:hideMark/>
          </w:tcPr>
          <w:p w14:paraId="69E42823" w14:textId="77777777" w:rsidR="00B97365" w:rsidRDefault="00000000">
            <w:pPr>
              <w:spacing w:before="0" w:after="200" w:line="276" w:lineRule="auto"/>
              <w:jc w:val="left"/>
              <w:rPr>
                <w:rFonts w:eastAsia="MS Mincho" w:cs="Calibri"/>
                <w:sz w:val="16"/>
                <w:szCs w:val="16"/>
                <w:lang w:eastAsia="fr-FR" w:bidi="ar-SA"/>
              </w:rPr>
            </w:pPr>
            <w:r>
              <w:rPr>
                <w:rFonts w:cs="Calibri"/>
                <w:sz w:val="16"/>
                <w:szCs w:val="16"/>
                <w:lang w:eastAsia="en-GB" w:bidi="ar-SA"/>
              </w:rPr>
              <w:t>‘5F20’</w:t>
            </w:r>
          </w:p>
        </w:tc>
        <w:tc>
          <w:tcPr>
            <w:tcW w:w="509" w:type="pct"/>
            <w:tcBorders>
              <w:top w:val="single" w:sz="6" w:space="0" w:color="auto"/>
              <w:left w:val="single" w:sz="6" w:space="0" w:color="auto"/>
              <w:bottom w:val="single" w:sz="6" w:space="0" w:color="auto"/>
              <w:right w:val="single" w:sz="6" w:space="0" w:color="auto"/>
            </w:tcBorders>
            <w:vAlign w:val="center"/>
            <w:hideMark/>
          </w:tcPr>
          <w:p w14:paraId="70E4AE43" w14:textId="77777777" w:rsidR="00B97365" w:rsidRDefault="00000000">
            <w:pPr>
              <w:spacing w:before="0" w:after="200" w:line="276" w:lineRule="auto"/>
              <w:jc w:val="left"/>
              <w:rPr>
                <w:rFonts w:eastAsia="MS Mincho" w:cs="Calibri"/>
                <w:sz w:val="16"/>
                <w:szCs w:val="16"/>
                <w:lang w:eastAsia="fr-FR" w:bidi="ar-SA"/>
              </w:rPr>
            </w:pPr>
            <w:r>
              <w:rPr>
                <w:rFonts w:ascii="Calibri" w:hAnsi="Calibri" w:cs="Calibri"/>
                <w:sz w:val="16"/>
                <w:szCs w:val="16"/>
                <w:lang w:eastAsia="en-GB" w:bidi="ar-SA"/>
              </w:rPr>
              <w:t>1-n</w:t>
            </w:r>
          </w:p>
        </w:tc>
        <w:tc>
          <w:tcPr>
            <w:tcW w:w="1356" w:type="pct"/>
            <w:tcBorders>
              <w:top w:val="single" w:sz="6" w:space="0" w:color="auto"/>
              <w:left w:val="single" w:sz="6" w:space="0" w:color="auto"/>
              <w:bottom w:val="single" w:sz="6" w:space="0" w:color="auto"/>
              <w:right w:val="single" w:sz="6" w:space="0" w:color="auto"/>
            </w:tcBorders>
            <w:vAlign w:val="center"/>
            <w:hideMark/>
          </w:tcPr>
          <w:p w14:paraId="0FFE4198" w14:textId="77777777" w:rsidR="00B97365" w:rsidRDefault="00000000">
            <w:pPr>
              <w:spacing w:before="0" w:after="200" w:line="276" w:lineRule="auto"/>
              <w:jc w:val="left"/>
              <w:rPr>
                <w:rFonts w:eastAsia="MS Mincho" w:cs="Calibri"/>
                <w:sz w:val="16"/>
                <w:szCs w:val="16"/>
                <w:lang w:eastAsia="fr-FR" w:bidi="ar-SA"/>
              </w:rPr>
            </w:pPr>
            <w:r>
              <w:rPr>
                <w:rFonts w:cs="Calibri"/>
                <w:sz w:val="16"/>
                <w:szCs w:val="16"/>
                <w:lang w:eastAsia="en-GB" w:bidi="ar-SA"/>
              </w:rPr>
              <w:t>Application Provider identifier</w:t>
            </w:r>
          </w:p>
        </w:tc>
        <w:tc>
          <w:tcPr>
            <w:tcW w:w="678" w:type="pct"/>
            <w:tcBorders>
              <w:top w:val="single" w:sz="6" w:space="0" w:color="auto"/>
              <w:left w:val="single" w:sz="6" w:space="0" w:color="auto"/>
              <w:bottom w:val="single" w:sz="6" w:space="0" w:color="auto"/>
              <w:right w:val="single" w:sz="4" w:space="0" w:color="auto"/>
            </w:tcBorders>
            <w:vAlign w:val="center"/>
            <w:hideMark/>
          </w:tcPr>
          <w:p w14:paraId="2827246F" w14:textId="77777777" w:rsidR="00B97365" w:rsidRDefault="00000000">
            <w:pPr>
              <w:spacing w:before="0" w:after="200" w:line="276" w:lineRule="auto"/>
              <w:jc w:val="center"/>
              <w:rPr>
                <w:rFonts w:eastAsia="MS Mincho" w:cs="Calibri"/>
                <w:sz w:val="16"/>
                <w:szCs w:val="16"/>
                <w:lang w:eastAsia="fr-FR" w:bidi="ar-SA"/>
              </w:rPr>
            </w:pPr>
            <w:r>
              <w:rPr>
                <w:rFonts w:eastAsia="MS Mincho" w:cs="Calibri"/>
                <w:sz w:val="16"/>
                <w:szCs w:val="16"/>
                <w:lang w:eastAsia="fr-FR" w:bidi="ar-SA"/>
              </w:rPr>
              <w:t>M</w:t>
            </w:r>
          </w:p>
        </w:tc>
      </w:tr>
      <w:tr w:rsidR="00B97365" w14:paraId="5E48C03E" w14:textId="77777777">
        <w:trPr>
          <w:jc w:val="center"/>
        </w:trPr>
        <w:tc>
          <w:tcPr>
            <w:tcW w:w="932" w:type="pct"/>
            <w:tcBorders>
              <w:top w:val="single" w:sz="6" w:space="0" w:color="auto"/>
              <w:left w:val="single" w:sz="4" w:space="0" w:color="auto"/>
              <w:bottom w:val="single" w:sz="6" w:space="0" w:color="auto"/>
              <w:right w:val="single" w:sz="6" w:space="0" w:color="auto"/>
            </w:tcBorders>
            <w:vAlign w:val="center"/>
          </w:tcPr>
          <w:p w14:paraId="1B94E30C" w14:textId="77777777" w:rsidR="00B97365" w:rsidRDefault="00B97365">
            <w:pPr>
              <w:spacing w:before="0" w:after="200" w:line="276" w:lineRule="auto"/>
              <w:jc w:val="left"/>
              <w:rPr>
                <w:rFonts w:cs="Calibri"/>
                <w:sz w:val="16"/>
                <w:szCs w:val="16"/>
                <w:lang w:eastAsia="en-GB" w:bidi="ar-SA"/>
              </w:rPr>
            </w:pPr>
          </w:p>
        </w:tc>
        <w:tc>
          <w:tcPr>
            <w:tcW w:w="932" w:type="pct"/>
            <w:tcBorders>
              <w:top w:val="single" w:sz="6" w:space="0" w:color="auto"/>
              <w:left w:val="single" w:sz="6" w:space="0" w:color="auto"/>
              <w:bottom w:val="single" w:sz="6" w:space="0" w:color="auto"/>
              <w:right w:val="single" w:sz="6" w:space="0" w:color="auto"/>
            </w:tcBorders>
            <w:vAlign w:val="center"/>
          </w:tcPr>
          <w:p w14:paraId="39D7048D" w14:textId="77777777" w:rsidR="00B97365" w:rsidRDefault="00B97365">
            <w:pPr>
              <w:spacing w:before="0" w:after="200" w:line="276" w:lineRule="auto"/>
              <w:jc w:val="left"/>
              <w:rPr>
                <w:rFonts w:ascii="Calibri" w:eastAsia="MS Mincho" w:hAnsi="Calibri" w:cs="Calibri"/>
                <w:sz w:val="16"/>
                <w:szCs w:val="16"/>
                <w:lang w:eastAsia="fr-FR" w:bidi="ar-SA"/>
              </w:rPr>
            </w:pPr>
          </w:p>
        </w:tc>
        <w:tc>
          <w:tcPr>
            <w:tcW w:w="593" w:type="pct"/>
            <w:tcBorders>
              <w:top w:val="single" w:sz="6" w:space="0" w:color="auto"/>
              <w:left w:val="single" w:sz="6" w:space="0" w:color="auto"/>
              <w:bottom w:val="single" w:sz="6" w:space="0" w:color="auto"/>
              <w:right w:val="single" w:sz="6" w:space="0" w:color="auto"/>
            </w:tcBorders>
            <w:vAlign w:val="center"/>
            <w:hideMark/>
          </w:tcPr>
          <w:p w14:paraId="08D65541" w14:textId="77777777" w:rsidR="00B97365" w:rsidRDefault="00000000">
            <w:pPr>
              <w:spacing w:before="0" w:after="200" w:line="276" w:lineRule="auto"/>
              <w:jc w:val="left"/>
              <w:rPr>
                <w:rFonts w:eastAsia="MS Mincho" w:cs="Calibri"/>
                <w:sz w:val="16"/>
                <w:szCs w:val="16"/>
                <w:lang w:eastAsia="fr-FR" w:bidi="ar-SA"/>
              </w:rPr>
            </w:pPr>
            <w:r>
              <w:rPr>
                <w:rFonts w:cs="Calibri"/>
                <w:sz w:val="16"/>
                <w:szCs w:val="16"/>
                <w:lang w:eastAsia="en-GB" w:bidi="ar-SA"/>
              </w:rPr>
              <w:t>‘93’</w:t>
            </w:r>
          </w:p>
        </w:tc>
        <w:tc>
          <w:tcPr>
            <w:tcW w:w="509" w:type="pct"/>
            <w:tcBorders>
              <w:top w:val="single" w:sz="6" w:space="0" w:color="auto"/>
              <w:left w:val="single" w:sz="6" w:space="0" w:color="auto"/>
              <w:bottom w:val="single" w:sz="6" w:space="0" w:color="auto"/>
              <w:right w:val="single" w:sz="6" w:space="0" w:color="auto"/>
            </w:tcBorders>
            <w:vAlign w:val="center"/>
            <w:hideMark/>
          </w:tcPr>
          <w:p w14:paraId="21914714" w14:textId="77777777" w:rsidR="00B97365" w:rsidRDefault="00000000">
            <w:pPr>
              <w:spacing w:before="0" w:after="200" w:line="276" w:lineRule="auto"/>
              <w:jc w:val="left"/>
              <w:rPr>
                <w:rFonts w:eastAsia="MS Mincho" w:cs="Calibri"/>
                <w:sz w:val="16"/>
                <w:szCs w:val="16"/>
                <w:lang w:eastAsia="fr-FR" w:bidi="ar-SA"/>
              </w:rPr>
            </w:pPr>
            <w:r>
              <w:rPr>
                <w:rFonts w:ascii="Calibri" w:hAnsi="Calibri" w:cs="Calibri"/>
                <w:sz w:val="16"/>
                <w:szCs w:val="16"/>
                <w:lang w:eastAsia="fr-FR" w:bidi="ar-SA"/>
              </w:rPr>
              <w:t>1-n</w:t>
            </w:r>
          </w:p>
        </w:tc>
        <w:tc>
          <w:tcPr>
            <w:tcW w:w="1356" w:type="pct"/>
            <w:tcBorders>
              <w:top w:val="single" w:sz="6" w:space="0" w:color="auto"/>
              <w:left w:val="single" w:sz="6" w:space="0" w:color="auto"/>
              <w:bottom w:val="single" w:sz="6" w:space="0" w:color="auto"/>
              <w:right w:val="single" w:sz="6" w:space="0" w:color="auto"/>
            </w:tcBorders>
            <w:vAlign w:val="center"/>
            <w:hideMark/>
          </w:tcPr>
          <w:p w14:paraId="5D608109" w14:textId="77777777" w:rsidR="00B97365" w:rsidRDefault="00000000">
            <w:pPr>
              <w:spacing w:before="0" w:after="200" w:line="276" w:lineRule="auto"/>
              <w:jc w:val="left"/>
              <w:rPr>
                <w:rFonts w:eastAsia="MS Mincho" w:cs="Calibri"/>
                <w:sz w:val="16"/>
                <w:szCs w:val="16"/>
                <w:lang w:eastAsia="fr-FR" w:bidi="ar-SA"/>
              </w:rPr>
            </w:pPr>
            <w:r>
              <w:rPr>
                <w:rFonts w:cs="Calibri"/>
                <w:sz w:val="16"/>
                <w:szCs w:val="16"/>
                <w:lang w:eastAsia="fr-FR" w:bidi="ar-SA"/>
              </w:rPr>
              <w:t>Token identifier number</w:t>
            </w:r>
          </w:p>
        </w:tc>
        <w:tc>
          <w:tcPr>
            <w:tcW w:w="678" w:type="pct"/>
            <w:tcBorders>
              <w:top w:val="single" w:sz="6" w:space="0" w:color="auto"/>
              <w:left w:val="single" w:sz="6" w:space="0" w:color="auto"/>
              <w:bottom w:val="single" w:sz="6" w:space="0" w:color="auto"/>
              <w:right w:val="single" w:sz="4" w:space="0" w:color="auto"/>
            </w:tcBorders>
            <w:vAlign w:val="center"/>
            <w:hideMark/>
          </w:tcPr>
          <w:p w14:paraId="5A432E01" w14:textId="77777777" w:rsidR="00B97365" w:rsidRDefault="00000000">
            <w:pPr>
              <w:spacing w:before="0" w:after="200" w:line="276" w:lineRule="auto"/>
              <w:jc w:val="center"/>
              <w:rPr>
                <w:rFonts w:eastAsia="MS Mincho" w:cs="Calibri"/>
                <w:sz w:val="16"/>
                <w:szCs w:val="16"/>
                <w:lang w:eastAsia="fr-FR" w:bidi="ar-SA"/>
              </w:rPr>
            </w:pPr>
            <w:r>
              <w:rPr>
                <w:rFonts w:eastAsia="MS Mincho" w:cs="Calibri"/>
                <w:sz w:val="16"/>
                <w:szCs w:val="16"/>
                <w:lang w:eastAsia="fr-FR" w:bidi="ar-SA"/>
              </w:rPr>
              <w:t>M</w:t>
            </w:r>
          </w:p>
        </w:tc>
      </w:tr>
      <w:tr w:rsidR="00B97365" w14:paraId="7D59D89B" w14:textId="77777777">
        <w:trPr>
          <w:jc w:val="center"/>
        </w:trPr>
        <w:tc>
          <w:tcPr>
            <w:tcW w:w="932" w:type="pct"/>
            <w:tcBorders>
              <w:top w:val="single" w:sz="6" w:space="0" w:color="auto"/>
              <w:left w:val="single" w:sz="4" w:space="0" w:color="auto"/>
              <w:bottom w:val="single" w:sz="4" w:space="0" w:color="auto"/>
              <w:right w:val="single" w:sz="6" w:space="0" w:color="auto"/>
            </w:tcBorders>
            <w:vAlign w:val="center"/>
            <w:hideMark/>
          </w:tcPr>
          <w:p w14:paraId="2803E93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‘9E’</w:t>
            </w:r>
          </w:p>
        </w:tc>
        <w:tc>
          <w:tcPr>
            <w:tcW w:w="932" w:type="pct"/>
            <w:tcBorders>
              <w:top w:val="single" w:sz="6" w:space="0" w:color="auto"/>
              <w:left w:val="single" w:sz="6" w:space="0" w:color="auto"/>
              <w:bottom w:val="single" w:sz="4" w:space="0" w:color="auto"/>
              <w:right w:val="single" w:sz="6" w:space="0" w:color="auto"/>
            </w:tcBorders>
            <w:vAlign w:val="center"/>
            <w:hideMark/>
          </w:tcPr>
          <w:p w14:paraId="39176D0D" w14:textId="77777777" w:rsidR="00B97365" w:rsidRDefault="00000000">
            <w:pPr>
              <w:spacing w:before="0" w:after="200" w:line="276" w:lineRule="auto"/>
              <w:jc w:val="left"/>
              <w:rPr>
                <w:rFonts w:ascii="Calibri" w:hAnsi="Calibri" w:cs="Calibri"/>
                <w:sz w:val="16"/>
                <w:szCs w:val="16"/>
                <w:lang w:eastAsia="en-GB" w:bidi="ar-SA"/>
              </w:rPr>
            </w:pPr>
            <w:r>
              <w:rPr>
                <w:rFonts w:ascii="Calibri" w:hAnsi="Calibri" w:cs="Calibri"/>
                <w:sz w:val="16"/>
                <w:szCs w:val="16"/>
                <w:lang w:eastAsia="en-GB" w:bidi="ar-SA"/>
              </w:rPr>
              <w:t>1-n</w:t>
            </w:r>
          </w:p>
        </w:tc>
        <w:tc>
          <w:tcPr>
            <w:tcW w:w="2458" w:type="pct"/>
            <w:gridSpan w:val="3"/>
            <w:tcBorders>
              <w:top w:val="single" w:sz="6" w:space="0" w:color="auto"/>
              <w:left w:val="single" w:sz="6" w:space="0" w:color="auto"/>
              <w:bottom w:val="single" w:sz="4" w:space="0" w:color="auto"/>
              <w:right w:val="single" w:sz="6" w:space="0" w:color="auto"/>
            </w:tcBorders>
            <w:vAlign w:val="center"/>
            <w:hideMark/>
          </w:tcPr>
          <w:p w14:paraId="52BF65C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Delete Token</w:t>
            </w:r>
          </w:p>
        </w:tc>
        <w:tc>
          <w:tcPr>
            <w:tcW w:w="678" w:type="pct"/>
            <w:tcBorders>
              <w:top w:val="single" w:sz="6" w:space="0" w:color="auto"/>
              <w:left w:val="single" w:sz="6" w:space="0" w:color="auto"/>
              <w:bottom w:val="single" w:sz="4" w:space="0" w:color="auto"/>
              <w:right w:val="single" w:sz="4" w:space="0" w:color="auto"/>
            </w:tcBorders>
            <w:vAlign w:val="center"/>
            <w:hideMark/>
          </w:tcPr>
          <w:p w14:paraId="13B0B69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7AD7A805"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DELETE [card content] Command Data Field</w:t>
      </w:r>
    </w:p>
    <w:p w14:paraId="3E55AF71" w14:textId="77777777" w:rsidR="00B97365" w:rsidRDefault="00000000">
      <w:pPr>
        <w:spacing w:before="0" w:after="200" w:line="276" w:lineRule="auto"/>
        <w:jc w:val="left"/>
        <w:rPr>
          <w:b/>
          <w:i/>
          <w:szCs w:val="22"/>
          <w:lang w:val="en-US" w:eastAsia="en-GB" w:bidi="ar-SA"/>
        </w:rPr>
      </w:pPr>
      <w:bookmarkStart w:id="2388" w:name="_Toc420594506"/>
      <w:r>
        <w:rPr>
          <w:rFonts w:cs="Arial"/>
          <w:b/>
          <w:i/>
          <w:szCs w:val="22"/>
          <w:lang w:val="en-US" w:eastAsia="en-GB" w:bidi="ar-SA"/>
        </w:rPr>
        <w:t>Response</w:t>
      </w:r>
      <w:r>
        <w:rPr>
          <w:b/>
          <w:i/>
          <w:szCs w:val="22"/>
          <w:lang w:val="en-US" w:eastAsia="en-GB" w:bidi="ar-SA"/>
        </w:rPr>
        <w:t xml:space="preserve"> Message</w:t>
      </w:r>
      <w:bookmarkEnd w:id="2388"/>
    </w:p>
    <w:p w14:paraId="783863FB" w14:textId="77777777" w:rsidR="00B97365" w:rsidRDefault="00000000">
      <w:pPr>
        <w:spacing w:before="0" w:after="200" w:line="276" w:lineRule="auto"/>
        <w:jc w:val="left"/>
        <w:rPr>
          <w:b/>
          <w:i/>
          <w:szCs w:val="22"/>
          <w:lang w:val="en-US" w:eastAsia="en-GB" w:bidi="ar-SA"/>
        </w:rPr>
      </w:pPr>
      <w:bookmarkStart w:id="2389" w:name="_Toc420594507"/>
      <w:r>
        <w:rPr>
          <w:rFonts w:cs="Arial"/>
          <w:b/>
          <w:i/>
          <w:szCs w:val="22"/>
          <w:lang w:val="en-US" w:eastAsia="en-GB" w:bidi="ar-SA"/>
        </w:rPr>
        <w:t>Data Field</w:t>
      </w:r>
      <w:r>
        <w:rPr>
          <w:b/>
          <w:i/>
          <w:szCs w:val="22"/>
          <w:lang w:val="en-US" w:eastAsia="en-GB" w:bidi="ar-SA"/>
        </w:rPr>
        <w:t xml:space="preserve"> Returned in the Response Message:</w:t>
      </w:r>
      <w:bookmarkEnd w:id="2389"/>
    </w:p>
    <w:p w14:paraId="26607D8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A single byte of ‘00’ SHALL be returned indicating that no additional data is present.</w:t>
      </w:r>
    </w:p>
    <w:p w14:paraId="5EBCB33B" w14:textId="77777777" w:rsidR="00B97365" w:rsidRDefault="00000000">
      <w:pPr>
        <w:spacing w:before="0" w:after="200" w:line="276" w:lineRule="auto"/>
        <w:jc w:val="left"/>
        <w:rPr>
          <w:b/>
          <w:i/>
          <w:szCs w:val="22"/>
          <w:lang w:val="en-US" w:eastAsia="en-GB" w:bidi="ar-SA"/>
        </w:rPr>
      </w:pPr>
      <w:bookmarkStart w:id="2390" w:name="_Toc420594508"/>
      <w:r>
        <w:rPr>
          <w:rFonts w:cs="Arial"/>
          <w:b/>
          <w:i/>
          <w:szCs w:val="22"/>
          <w:lang w:val="en-US" w:eastAsia="en-GB" w:bidi="ar-SA"/>
        </w:rPr>
        <w:t>Processing</w:t>
      </w:r>
      <w:r>
        <w:rPr>
          <w:b/>
          <w:i/>
          <w:szCs w:val="22"/>
          <w:lang w:val="en-US" w:eastAsia="en-GB" w:bidi="ar-SA"/>
        </w:rPr>
        <w:t xml:space="preserve"> State Returned in the Response Message:</w:t>
      </w:r>
      <w:bookmarkEnd w:id="2390"/>
    </w:p>
    <w:p w14:paraId="0834BCB2" w14:textId="4D5D9FF1" w:rsidR="00B97365" w:rsidRDefault="00000000">
      <w:pPr>
        <w:spacing w:before="0" w:after="200" w:line="276" w:lineRule="auto"/>
        <w:jc w:val="left"/>
        <w:rPr>
          <w:szCs w:val="22"/>
          <w:lang w:val="en-US" w:eastAsia="en-GB" w:bidi="ar-SA"/>
        </w:rPr>
      </w:pPr>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11.2.3.2.</w:t>
      </w:r>
    </w:p>
    <w:p w14:paraId="6A37BF78" w14:textId="77777777" w:rsidR="00B97365" w:rsidRDefault="00000000">
      <w:pPr>
        <w:spacing w:before="0" w:after="200" w:line="276" w:lineRule="auto"/>
        <w:jc w:val="left"/>
        <w:rPr>
          <w:b/>
          <w:i/>
          <w:szCs w:val="22"/>
          <w:lang w:val="en-US" w:eastAsia="en-GB" w:bidi="ar-SA"/>
        </w:rPr>
      </w:pPr>
      <w:bookmarkStart w:id="2391" w:name="_Toc420594509"/>
      <w:r>
        <w:rPr>
          <w:rFonts w:cs="Arial"/>
          <w:b/>
          <w:i/>
          <w:szCs w:val="22"/>
          <w:lang w:val="en-US" w:eastAsia="en-GB" w:bidi="ar-SA"/>
        </w:rPr>
        <w:t>Specific Processing</w:t>
      </w:r>
      <w:r>
        <w:rPr>
          <w:b/>
          <w:i/>
          <w:szCs w:val="22"/>
          <w:lang w:val="en-US" w:eastAsia="en-GB" w:bidi="ar-SA"/>
        </w:rPr>
        <w:t xml:space="preserve"> State returned in response Message:</w:t>
      </w:r>
      <w:bookmarkEnd w:id="2391"/>
      <w:r>
        <w:rPr>
          <w:b/>
          <w:i/>
          <w:szCs w:val="22"/>
          <w:lang w:val="en-US" w:eastAsia="en-GB" w:bidi="ar-SA"/>
        </w:rPr>
        <w:t xml:space="preserve"> </w:t>
      </w:r>
    </w:p>
    <w:p w14:paraId="77B9516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’69 85’: Profile is not in the Disabled state or Profile has the Fall-Back Attribute set.</w:t>
      </w:r>
    </w:p>
    <w:p w14:paraId="1B7400EF"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392" w:name="_Toc368932233"/>
      <w:bookmarkStart w:id="2393" w:name="_Toc1977312"/>
      <w:bookmarkStart w:id="2394" w:name="_Toc37062471"/>
      <w:r>
        <w:rPr>
          <w:rFonts w:ascii="Arial Bold" w:eastAsia="Times New Roman" w:hAnsi="Arial Bold" w:cs="Arial"/>
          <w:szCs w:val="28"/>
          <w:lang w:eastAsia="en-US"/>
        </w:rPr>
        <w:t>Set Fall-Back Attribute</w:t>
      </w:r>
      <w:bookmarkEnd w:id="2392"/>
      <w:bookmarkEnd w:id="2393"/>
      <w:bookmarkEnd w:id="2394"/>
    </w:p>
    <w:p w14:paraId="4C548CB1" w14:textId="77777777" w:rsidR="00B97365" w:rsidRDefault="00000000">
      <w:pPr>
        <w:spacing w:before="0" w:after="200" w:line="276" w:lineRule="auto"/>
        <w:jc w:val="left"/>
        <w:rPr>
          <w:szCs w:val="22"/>
          <w:lang w:val="en-US" w:eastAsia="en-GB" w:bidi="ar-SA"/>
        </w:rPr>
      </w:pPr>
      <w:bookmarkStart w:id="2395" w:name="_Toc420594510"/>
      <w:r>
        <w:rPr>
          <w:rFonts w:cs="Arial"/>
          <w:b/>
          <w:szCs w:val="22"/>
          <w:lang w:val="en-US" w:eastAsia="en-GB" w:bidi="ar-SA"/>
        </w:rPr>
        <w:t>Function name:</w:t>
      </w:r>
      <w:r>
        <w:rPr>
          <w:szCs w:val="22"/>
          <w:lang w:val="en-US" w:eastAsia="en-GB" w:bidi="ar-SA"/>
        </w:rPr>
        <w:t xml:space="preserve"> SetFallbackAttribute</w:t>
      </w:r>
      <w:bookmarkEnd w:id="2395"/>
    </w:p>
    <w:p w14:paraId="62A64129" w14:textId="77777777" w:rsidR="00B97365" w:rsidRDefault="00000000">
      <w:pPr>
        <w:spacing w:before="0" w:after="200" w:line="276" w:lineRule="auto"/>
        <w:jc w:val="left"/>
        <w:rPr>
          <w:szCs w:val="22"/>
          <w:lang w:val="en-US" w:eastAsia="en-GB" w:bidi="ar-SA"/>
        </w:rPr>
      </w:pPr>
      <w:bookmarkStart w:id="2396" w:name="_Toc420594511"/>
      <w:r>
        <w:rPr>
          <w:rFonts w:cs="Arial"/>
          <w:b/>
          <w:szCs w:val="22"/>
          <w:lang w:val="en-US" w:eastAsia="en-GB" w:bidi="ar-SA"/>
        </w:rPr>
        <w:t>Related Procedures:</w:t>
      </w:r>
      <w:r>
        <w:rPr>
          <w:szCs w:val="22"/>
          <w:lang w:val="en-US" w:eastAsia="en-GB" w:bidi="ar-SA"/>
        </w:rPr>
        <w:t xml:space="preserve"> -</w:t>
      </w:r>
      <w:bookmarkEnd w:id="2396"/>
    </w:p>
    <w:p w14:paraId="1F1E9A16" w14:textId="77777777" w:rsidR="00B97365" w:rsidRDefault="00000000">
      <w:pPr>
        <w:spacing w:before="0" w:after="200" w:line="276" w:lineRule="auto"/>
        <w:jc w:val="left"/>
        <w:rPr>
          <w:szCs w:val="22"/>
          <w:lang w:val="en-US" w:eastAsia="en-GB" w:bidi="ar-SA"/>
        </w:rPr>
      </w:pPr>
      <w:bookmarkStart w:id="2397" w:name="_Toc420594512"/>
      <w:r>
        <w:rPr>
          <w:rFonts w:cs="Arial"/>
          <w:b/>
          <w:szCs w:val="22"/>
          <w:lang w:val="en-US" w:eastAsia="en-GB" w:bidi="ar-SA"/>
        </w:rPr>
        <w:t>Function group:</w:t>
      </w:r>
      <w:r>
        <w:rPr>
          <w:szCs w:val="22"/>
          <w:lang w:val="en-US" w:eastAsia="en-GB" w:bidi="ar-SA"/>
        </w:rPr>
        <w:t xml:space="preserve"> Platform Management</w:t>
      </w:r>
      <w:bookmarkEnd w:id="2397"/>
    </w:p>
    <w:p w14:paraId="740A0FD0" w14:textId="77777777" w:rsidR="00B97365" w:rsidRDefault="00000000">
      <w:pPr>
        <w:spacing w:before="0" w:after="200" w:line="276" w:lineRule="auto"/>
        <w:jc w:val="left"/>
        <w:rPr>
          <w:szCs w:val="22"/>
          <w:lang w:val="en-US" w:eastAsia="en-GB" w:bidi="ar-SA"/>
        </w:rPr>
      </w:pPr>
      <w:bookmarkStart w:id="2398" w:name="_Toc420594513"/>
      <w:r>
        <w:rPr>
          <w:rFonts w:cs="Arial"/>
          <w:b/>
          <w:szCs w:val="22"/>
          <w:lang w:val="en-US" w:eastAsia="en-GB" w:bidi="ar-SA"/>
        </w:rPr>
        <w:t>Function Provider entity:</w:t>
      </w:r>
      <w:r>
        <w:rPr>
          <w:szCs w:val="22"/>
          <w:lang w:val="en-US" w:eastAsia="en-GB" w:bidi="ar-SA"/>
        </w:rPr>
        <w:t xml:space="preserve"> ISD-R</w:t>
      </w:r>
      <w:bookmarkEnd w:id="2398"/>
    </w:p>
    <w:p w14:paraId="410D85E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sets the Fall-Back Attribute for one Profile on the target eUICC.</w:t>
      </w:r>
    </w:p>
    <w:p w14:paraId="3ED641E3" w14:textId="77777777" w:rsidR="00B97365" w:rsidRDefault="00000000">
      <w:pPr>
        <w:spacing w:before="0" w:after="200" w:line="276" w:lineRule="auto"/>
        <w:jc w:val="left"/>
        <w:rPr>
          <w:b/>
          <w:szCs w:val="22"/>
          <w:u w:val="single"/>
          <w:lang w:val="en-US" w:eastAsia="en-GB" w:bidi="ar-SA"/>
        </w:rPr>
      </w:pPr>
      <w:bookmarkStart w:id="2399" w:name="_Toc420594514"/>
      <w:r>
        <w:rPr>
          <w:rFonts w:cs="Arial"/>
          <w:b/>
          <w:szCs w:val="22"/>
          <w:u w:val="single"/>
          <w:lang w:val="en-US" w:eastAsia="en-GB" w:bidi="ar-SA"/>
        </w:rPr>
        <w:t>Parameters:</w:t>
      </w:r>
      <w:bookmarkEnd w:id="2399"/>
    </w:p>
    <w:p w14:paraId="3CAA74E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ISD-P-AID</w:t>
      </w:r>
    </w:p>
    <w:p w14:paraId="7254DBFF" w14:textId="77777777" w:rsidR="00B97365" w:rsidRDefault="00000000">
      <w:pPr>
        <w:spacing w:before="0" w:after="200" w:line="276" w:lineRule="auto"/>
        <w:jc w:val="left"/>
        <w:rPr>
          <w:b/>
          <w:szCs w:val="22"/>
          <w:u w:val="single"/>
          <w:lang w:val="en-US" w:eastAsia="en-GB" w:bidi="ar-SA"/>
        </w:rPr>
      </w:pPr>
      <w:bookmarkStart w:id="2400" w:name="_Toc420594515"/>
      <w:r>
        <w:rPr>
          <w:rFonts w:cs="Arial"/>
          <w:b/>
          <w:szCs w:val="22"/>
          <w:u w:val="single"/>
          <w:lang w:val="en-US" w:eastAsia="en-GB" w:bidi="ar-SA"/>
        </w:rPr>
        <w:t>Prerequisites:</w:t>
      </w:r>
      <w:bookmarkEnd w:id="2400"/>
    </w:p>
    <w:p w14:paraId="3C88CA6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Profile to be assigned the Fall-Back Attribute must have Provisioning capability.</w:t>
      </w:r>
    </w:p>
    <w:p w14:paraId="66C9F2E3" w14:textId="77777777" w:rsidR="00B97365" w:rsidRDefault="00000000">
      <w:pPr>
        <w:spacing w:before="0" w:after="200" w:line="276" w:lineRule="auto"/>
        <w:jc w:val="left"/>
        <w:rPr>
          <w:b/>
          <w:szCs w:val="22"/>
          <w:u w:val="single"/>
          <w:lang w:val="en-US" w:eastAsia="en-GB" w:bidi="ar-SA"/>
        </w:rPr>
      </w:pPr>
      <w:bookmarkStart w:id="2401" w:name="_Toc420594516"/>
      <w:r>
        <w:rPr>
          <w:rFonts w:cs="Arial"/>
          <w:b/>
          <w:szCs w:val="22"/>
          <w:u w:val="single"/>
          <w:lang w:val="en-US" w:eastAsia="en-GB" w:bidi="ar-SA"/>
        </w:rPr>
        <w:t>Function flow</w:t>
      </w:r>
      <w:bookmarkEnd w:id="2401"/>
    </w:p>
    <w:p w14:paraId="6C77D90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STORE DATA command, the eUICC SHALL:</w:t>
      </w:r>
    </w:p>
    <w:p w14:paraId="4CCD2D2B"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Set the Fall-Back Attribute for the target Profile</w:t>
      </w:r>
    </w:p>
    <w:p w14:paraId="764AA5C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Remove the Fall-Back Attribute from the Profile that has the attribute currently assigned</w:t>
      </w:r>
    </w:p>
    <w:p w14:paraId="28C7D237" w14:textId="77777777" w:rsidR="00B97365" w:rsidRDefault="00B97365">
      <w:pPr>
        <w:tabs>
          <w:tab w:val="left" w:pos="680"/>
        </w:tabs>
        <w:spacing w:before="0" w:after="200" w:line="276" w:lineRule="auto"/>
        <w:contextualSpacing/>
        <w:jc w:val="left"/>
        <w:rPr>
          <w:szCs w:val="22"/>
          <w:lang w:eastAsia="en-GB" w:bidi="ar-SA"/>
        </w:rPr>
      </w:pPr>
    </w:p>
    <w:p w14:paraId="14D83D8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Setting of the Fall-Back Attribute is done via ISD-R.</w:t>
      </w:r>
    </w:p>
    <w:p w14:paraId="46BE458E" w14:textId="77777777" w:rsidR="00B97365" w:rsidRDefault="00000000">
      <w:pPr>
        <w:spacing w:before="0" w:after="200" w:line="276" w:lineRule="auto"/>
        <w:jc w:val="left"/>
        <w:rPr>
          <w:rFonts w:cs="Arial"/>
          <w:b/>
          <w:szCs w:val="22"/>
          <w:u w:val="single"/>
          <w:lang w:val="en-US" w:eastAsia="en-GB" w:bidi="ar-SA"/>
        </w:rPr>
      </w:pPr>
      <w:r>
        <w:rPr>
          <w:rFonts w:cs="Arial"/>
          <w:szCs w:val="22"/>
          <w:lang w:val="en-US" w:eastAsia="en-GB" w:bidi="ar-SA"/>
        </w:rPr>
        <w:t>If the currently Enabled profile is the Profile with the Fall-Back Attribute set, and has been Enabled by the activation of the Fall-Back Mechanism, and the previously Enabled Profile has either of the POL1 rules “Disable not allowed” or “Profile deletion is mandatory when its state is changed to Disabled” set, then the eUICC SHALL prevent the execution of the function “Set Fall-Back Attribute”.</w:t>
      </w:r>
      <w:bookmarkStart w:id="2402" w:name="_Toc420594517"/>
    </w:p>
    <w:p w14:paraId="0C7F31AE" w14:textId="77777777" w:rsidR="00B97365" w:rsidRDefault="00000000">
      <w:pPr>
        <w:spacing w:before="0" w:after="200" w:line="276" w:lineRule="auto"/>
        <w:jc w:val="left"/>
        <w:rPr>
          <w:b/>
          <w:szCs w:val="22"/>
          <w:u w:val="single"/>
          <w:lang w:val="en-US" w:eastAsia="en-GB" w:bidi="ar-SA"/>
        </w:rPr>
      </w:pPr>
      <w:r>
        <w:rPr>
          <w:rFonts w:cs="Arial"/>
          <w:b/>
          <w:szCs w:val="22"/>
          <w:u w:val="single"/>
          <w:lang w:val="en-US" w:eastAsia="en-GB" w:bidi="ar-SA"/>
        </w:rPr>
        <w:t>Command Description:</w:t>
      </w:r>
      <w:bookmarkEnd w:id="2402"/>
    </w:p>
    <w:p w14:paraId="06A19291" w14:textId="77777777" w:rsidR="00B97365" w:rsidRDefault="00000000">
      <w:pPr>
        <w:spacing w:before="0" w:after="200" w:line="276" w:lineRule="auto"/>
        <w:jc w:val="left"/>
        <w:rPr>
          <w:b/>
          <w:i/>
          <w:szCs w:val="22"/>
          <w:lang w:val="en-US" w:eastAsia="en-GB" w:bidi="ar-SA"/>
        </w:rPr>
      </w:pPr>
      <w:bookmarkStart w:id="2403" w:name="_Toc420594518"/>
      <w:r>
        <w:rPr>
          <w:rFonts w:cs="Arial"/>
          <w:b/>
          <w:i/>
          <w:szCs w:val="22"/>
          <w:lang w:val="en-US" w:eastAsia="en-GB" w:bidi="ar-SA"/>
        </w:rPr>
        <w:t>STORE</w:t>
      </w:r>
      <w:r>
        <w:rPr>
          <w:b/>
          <w:i/>
          <w:szCs w:val="22"/>
          <w:lang w:val="en-US" w:eastAsia="en-GB" w:bidi="ar-SA"/>
        </w:rPr>
        <w:t xml:space="preserve"> DATA Command</w:t>
      </w:r>
      <w:bookmarkEnd w:id="2403"/>
    </w:p>
    <w:p w14:paraId="7F807A8C" w14:textId="3EFB79EC"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is realised through the GlobalPlatform STORE DATA command 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7EEA3DB3" w14:textId="77777777" w:rsidR="00B97365" w:rsidRDefault="00000000">
      <w:pPr>
        <w:spacing w:before="0" w:after="200" w:line="276" w:lineRule="auto"/>
        <w:jc w:val="left"/>
        <w:rPr>
          <w:b/>
          <w:i/>
          <w:szCs w:val="22"/>
          <w:lang w:val="en-US" w:eastAsia="en-GB" w:bidi="ar-SA"/>
        </w:rPr>
      </w:pPr>
      <w:bookmarkStart w:id="2404" w:name="_Toc420594519"/>
      <w:r>
        <w:rPr>
          <w:rFonts w:cs="Arial"/>
          <w:b/>
          <w:i/>
          <w:szCs w:val="22"/>
          <w:lang w:val="en-US" w:eastAsia="en-GB" w:bidi="ar-SA"/>
        </w:rPr>
        <w:t>Command</w:t>
      </w:r>
      <w:r>
        <w:rPr>
          <w:b/>
          <w:i/>
          <w:szCs w:val="22"/>
          <w:lang w:val="en-US" w:eastAsia="en-GB" w:bidi="ar-SA"/>
        </w:rPr>
        <w:t xml:space="preserve"> Message</w:t>
      </w:r>
      <w:bookmarkEnd w:id="2404"/>
    </w:p>
    <w:p w14:paraId="7B4DEB2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The STORE DATA command message SHALL be coded according to the following table: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540"/>
        <w:gridCol w:w="2603"/>
        <w:gridCol w:w="4312"/>
      </w:tblGrid>
      <w:tr w:rsidR="00B97365" w14:paraId="62B0C1B2" w14:textId="77777777">
        <w:trPr>
          <w:cantSplit/>
          <w:tblHeader/>
          <w:jc w:val="center"/>
        </w:trPr>
        <w:tc>
          <w:tcPr>
            <w:tcW w:w="0" w:type="auto"/>
            <w:tcBorders>
              <w:top w:val="single" w:sz="4" w:space="0" w:color="000000"/>
              <w:left w:val="single" w:sz="4" w:space="0" w:color="000000"/>
              <w:bottom w:val="single" w:sz="6" w:space="0" w:color="000000"/>
              <w:right w:val="single" w:sz="6" w:space="0" w:color="000000"/>
            </w:tcBorders>
            <w:shd w:val="clear" w:color="auto" w:fill="C00000"/>
            <w:hideMark/>
          </w:tcPr>
          <w:p w14:paraId="7742D2A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Code</w:t>
            </w:r>
          </w:p>
        </w:tc>
        <w:tc>
          <w:tcPr>
            <w:tcW w:w="0" w:type="auto"/>
            <w:tcBorders>
              <w:top w:val="single" w:sz="4" w:space="0" w:color="000000"/>
              <w:left w:val="single" w:sz="6" w:space="0" w:color="000000"/>
              <w:bottom w:val="single" w:sz="6" w:space="0" w:color="000000"/>
              <w:right w:val="single" w:sz="6" w:space="0" w:color="000000"/>
            </w:tcBorders>
            <w:shd w:val="clear" w:color="auto" w:fill="C00000"/>
            <w:hideMark/>
          </w:tcPr>
          <w:p w14:paraId="5998B71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Value</w:t>
            </w:r>
          </w:p>
        </w:tc>
        <w:tc>
          <w:tcPr>
            <w:tcW w:w="0" w:type="auto"/>
            <w:tcBorders>
              <w:top w:val="single" w:sz="4" w:space="0" w:color="000000"/>
              <w:left w:val="single" w:sz="6" w:space="0" w:color="000000"/>
              <w:bottom w:val="single" w:sz="6" w:space="0" w:color="000000"/>
              <w:right w:val="single" w:sz="4" w:space="0" w:color="000000"/>
            </w:tcBorders>
            <w:shd w:val="clear" w:color="auto" w:fill="C00000"/>
            <w:hideMark/>
          </w:tcPr>
          <w:p w14:paraId="52B41C5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7839339B"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3203C66C" w14:textId="77777777" w:rsidR="00B97365" w:rsidRDefault="00000000">
            <w:pPr>
              <w:rPr>
                <w:rFonts w:cs="Calibri"/>
                <w:sz w:val="16"/>
                <w:szCs w:val="16"/>
              </w:rPr>
            </w:pPr>
            <w:r>
              <w:rPr>
                <w:rFonts w:cs="Calibri"/>
                <w:sz w:val="16"/>
                <w:szCs w:val="16"/>
              </w:rPr>
              <w:t>CLA</w:t>
            </w:r>
          </w:p>
        </w:tc>
        <w:tc>
          <w:tcPr>
            <w:tcW w:w="0" w:type="auto"/>
            <w:tcBorders>
              <w:top w:val="single" w:sz="6" w:space="0" w:color="000000"/>
              <w:left w:val="single" w:sz="6" w:space="0" w:color="000000"/>
              <w:bottom w:val="single" w:sz="6" w:space="0" w:color="000000"/>
              <w:right w:val="single" w:sz="6" w:space="0" w:color="000000"/>
            </w:tcBorders>
            <w:hideMark/>
          </w:tcPr>
          <w:p w14:paraId="55DFE145" w14:textId="77777777" w:rsidR="00B97365" w:rsidRDefault="00000000">
            <w:pPr>
              <w:rPr>
                <w:rFonts w:cs="Calibri"/>
                <w:sz w:val="16"/>
                <w:szCs w:val="16"/>
              </w:rPr>
            </w:pPr>
            <w:r>
              <w:rPr>
                <w:rFonts w:cs="Calibri"/>
                <w:sz w:val="16"/>
                <w:szCs w:val="16"/>
              </w:rPr>
              <w:t>‘80’ – ‘8F’, ‘C0’ – ‘CF’ or ‘E0’ – ‘EF’</w:t>
            </w:r>
          </w:p>
        </w:tc>
        <w:tc>
          <w:tcPr>
            <w:tcW w:w="0" w:type="auto"/>
            <w:tcBorders>
              <w:top w:val="single" w:sz="6" w:space="0" w:color="000000"/>
              <w:left w:val="single" w:sz="6" w:space="0" w:color="000000"/>
              <w:bottom w:val="single" w:sz="6" w:space="0" w:color="000000"/>
              <w:right w:val="single" w:sz="4" w:space="0" w:color="000000"/>
            </w:tcBorders>
            <w:hideMark/>
          </w:tcPr>
          <w:p w14:paraId="08D1EB36" w14:textId="77777777" w:rsidR="00B97365" w:rsidRDefault="00000000">
            <w:pPr>
              <w:rPr>
                <w:rFonts w:cs="Calibri"/>
                <w:sz w:val="16"/>
                <w:szCs w:val="16"/>
              </w:rPr>
            </w:pPr>
            <w:r>
              <w:rPr>
                <w:rFonts w:cs="Calibri"/>
                <w:sz w:val="16"/>
                <w:szCs w:val="16"/>
              </w:rPr>
              <w:t>See section 11.1.4 of GlobalPlatform Card Specification [6]</w:t>
            </w:r>
          </w:p>
        </w:tc>
      </w:tr>
      <w:tr w:rsidR="00B97365" w14:paraId="0E00960C"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457DBBF7" w14:textId="77777777" w:rsidR="00B97365" w:rsidRDefault="00000000">
            <w:pPr>
              <w:rPr>
                <w:rFonts w:cs="Calibri"/>
                <w:sz w:val="16"/>
                <w:szCs w:val="16"/>
              </w:rPr>
            </w:pPr>
            <w:r>
              <w:rPr>
                <w:rFonts w:cs="Calibri"/>
                <w:sz w:val="16"/>
                <w:szCs w:val="16"/>
              </w:rPr>
              <w:t>INS</w:t>
            </w:r>
          </w:p>
        </w:tc>
        <w:tc>
          <w:tcPr>
            <w:tcW w:w="0" w:type="auto"/>
            <w:tcBorders>
              <w:top w:val="single" w:sz="6" w:space="0" w:color="000000"/>
              <w:left w:val="single" w:sz="6" w:space="0" w:color="000000"/>
              <w:bottom w:val="single" w:sz="6" w:space="0" w:color="000000"/>
              <w:right w:val="single" w:sz="6" w:space="0" w:color="000000"/>
            </w:tcBorders>
            <w:hideMark/>
          </w:tcPr>
          <w:p w14:paraId="03A0D9E9" w14:textId="77777777" w:rsidR="00B97365" w:rsidRDefault="00000000">
            <w:pPr>
              <w:rPr>
                <w:rFonts w:cs="Calibri"/>
                <w:sz w:val="16"/>
                <w:szCs w:val="16"/>
              </w:rPr>
            </w:pPr>
            <w:r>
              <w:rPr>
                <w:rFonts w:cs="Calibri"/>
                <w:sz w:val="16"/>
                <w:szCs w:val="16"/>
              </w:rPr>
              <w:t>‘E2’</w:t>
            </w:r>
          </w:p>
        </w:tc>
        <w:tc>
          <w:tcPr>
            <w:tcW w:w="0" w:type="auto"/>
            <w:tcBorders>
              <w:top w:val="single" w:sz="6" w:space="0" w:color="000000"/>
              <w:left w:val="single" w:sz="6" w:space="0" w:color="000000"/>
              <w:bottom w:val="single" w:sz="6" w:space="0" w:color="000000"/>
              <w:right w:val="single" w:sz="4" w:space="0" w:color="000000"/>
            </w:tcBorders>
            <w:hideMark/>
          </w:tcPr>
          <w:p w14:paraId="4CD477B1" w14:textId="77777777" w:rsidR="00B97365" w:rsidRDefault="00000000">
            <w:pPr>
              <w:rPr>
                <w:rFonts w:cs="Calibri"/>
                <w:sz w:val="16"/>
                <w:szCs w:val="16"/>
              </w:rPr>
            </w:pPr>
            <w:r>
              <w:rPr>
                <w:rFonts w:cs="Calibri"/>
                <w:sz w:val="16"/>
                <w:szCs w:val="16"/>
              </w:rPr>
              <w:t>STORE DATA</w:t>
            </w:r>
          </w:p>
        </w:tc>
      </w:tr>
      <w:tr w:rsidR="00B97365" w14:paraId="61053DFF"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47890E8B" w14:textId="77777777" w:rsidR="00B97365" w:rsidRDefault="00000000">
            <w:pPr>
              <w:rPr>
                <w:rFonts w:cs="Calibri"/>
                <w:sz w:val="16"/>
                <w:szCs w:val="16"/>
              </w:rPr>
            </w:pPr>
            <w:r>
              <w:rPr>
                <w:rFonts w:cs="Calibri"/>
                <w:sz w:val="16"/>
                <w:szCs w:val="16"/>
              </w:rPr>
              <w:t>P1</w:t>
            </w:r>
          </w:p>
        </w:tc>
        <w:tc>
          <w:tcPr>
            <w:tcW w:w="0" w:type="auto"/>
            <w:tcBorders>
              <w:top w:val="single" w:sz="6" w:space="0" w:color="000000"/>
              <w:left w:val="single" w:sz="6" w:space="0" w:color="000000"/>
              <w:bottom w:val="single" w:sz="6" w:space="0" w:color="000000"/>
              <w:right w:val="single" w:sz="6" w:space="0" w:color="000000"/>
            </w:tcBorders>
            <w:hideMark/>
          </w:tcPr>
          <w:p w14:paraId="6FFFCF92" w14:textId="77777777" w:rsidR="00B97365" w:rsidRDefault="00000000">
            <w:pPr>
              <w:rPr>
                <w:rFonts w:cs="Calibri"/>
                <w:sz w:val="16"/>
                <w:szCs w:val="16"/>
              </w:rPr>
            </w:pPr>
            <w:r>
              <w:rPr>
                <w:rFonts w:cs="Calibri"/>
                <w:sz w:val="16"/>
                <w:szCs w:val="16"/>
              </w:rPr>
              <w:t>‘88’</w:t>
            </w:r>
          </w:p>
        </w:tc>
        <w:tc>
          <w:tcPr>
            <w:tcW w:w="0" w:type="auto"/>
            <w:tcBorders>
              <w:top w:val="single" w:sz="6" w:space="0" w:color="000000"/>
              <w:left w:val="single" w:sz="6" w:space="0" w:color="000000"/>
              <w:bottom w:val="single" w:sz="6" w:space="0" w:color="000000"/>
              <w:right w:val="single" w:sz="4" w:space="0" w:color="000000"/>
            </w:tcBorders>
            <w:hideMark/>
          </w:tcPr>
          <w:p w14:paraId="43CB1584" w14:textId="77777777" w:rsidR="00B97365" w:rsidRDefault="00000000">
            <w:pPr>
              <w:rPr>
                <w:rFonts w:cs="Calibri"/>
                <w:sz w:val="16"/>
                <w:szCs w:val="16"/>
              </w:rPr>
            </w:pPr>
            <w:r>
              <w:rPr>
                <w:rFonts w:cs="Calibri"/>
                <w:sz w:val="16"/>
                <w:szCs w:val="16"/>
              </w:rPr>
              <w:t>Reference control parameter P1</w:t>
            </w:r>
          </w:p>
        </w:tc>
      </w:tr>
      <w:tr w:rsidR="00B97365" w14:paraId="1229ABD1"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21283FB2" w14:textId="77777777" w:rsidR="00B97365" w:rsidRDefault="00000000">
            <w:pPr>
              <w:rPr>
                <w:rFonts w:cs="Calibri"/>
                <w:sz w:val="16"/>
                <w:szCs w:val="16"/>
              </w:rPr>
            </w:pPr>
            <w:r>
              <w:rPr>
                <w:rFonts w:cs="Calibri"/>
                <w:sz w:val="16"/>
                <w:szCs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20206443" w14:textId="77777777" w:rsidR="00B97365" w:rsidRDefault="00000000">
            <w:pPr>
              <w:rPr>
                <w:rFonts w:cs="Calibri"/>
                <w:sz w:val="16"/>
                <w:szCs w:val="16"/>
              </w:rPr>
            </w:pPr>
            <w:r>
              <w:rPr>
                <w:rFonts w:cs="Calibri"/>
                <w:sz w:val="16"/>
                <w:szCs w:val="16"/>
              </w:rPr>
              <w:t>‘00’</w:t>
            </w:r>
          </w:p>
        </w:tc>
        <w:tc>
          <w:tcPr>
            <w:tcW w:w="0" w:type="auto"/>
            <w:tcBorders>
              <w:top w:val="single" w:sz="6" w:space="0" w:color="000000"/>
              <w:left w:val="single" w:sz="6" w:space="0" w:color="000000"/>
              <w:bottom w:val="single" w:sz="6" w:space="0" w:color="000000"/>
              <w:right w:val="single" w:sz="4" w:space="0" w:color="000000"/>
            </w:tcBorders>
            <w:hideMark/>
          </w:tcPr>
          <w:p w14:paraId="15B31497" w14:textId="77777777" w:rsidR="00B97365" w:rsidRDefault="00000000">
            <w:pPr>
              <w:rPr>
                <w:rFonts w:cs="Calibri"/>
                <w:sz w:val="16"/>
                <w:szCs w:val="16"/>
              </w:rPr>
            </w:pPr>
            <w:r>
              <w:rPr>
                <w:rFonts w:cs="Calibri"/>
                <w:sz w:val="16"/>
                <w:szCs w:val="16"/>
              </w:rPr>
              <w:t>Block number</w:t>
            </w:r>
          </w:p>
        </w:tc>
      </w:tr>
      <w:tr w:rsidR="00B97365" w14:paraId="190E9B09"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63B124ED" w14:textId="77777777" w:rsidR="00B97365" w:rsidRDefault="00000000">
            <w:pPr>
              <w:rPr>
                <w:rFonts w:cs="Calibri"/>
                <w:sz w:val="16"/>
                <w:szCs w:val="16"/>
              </w:rPr>
            </w:pPr>
            <w:r>
              <w:rPr>
                <w:rFonts w:cs="Calibri"/>
                <w:sz w:val="16"/>
                <w:szCs w:val="16"/>
              </w:rPr>
              <w:t>Lc</w:t>
            </w:r>
          </w:p>
        </w:tc>
        <w:tc>
          <w:tcPr>
            <w:tcW w:w="0" w:type="auto"/>
            <w:tcBorders>
              <w:top w:val="single" w:sz="6" w:space="0" w:color="000000"/>
              <w:left w:val="single" w:sz="6" w:space="0" w:color="000000"/>
              <w:bottom w:val="single" w:sz="6" w:space="0" w:color="000000"/>
              <w:right w:val="single" w:sz="6" w:space="0" w:color="000000"/>
            </w:tcBorders>
            <w:hideMark/>
          </w:tcPr>
          <w:p w14:paraId="1DE27430" w14:textId="77777777" w:rsidR="00B97365" w:rsidRDefault="00000000">
            <w:pPr>
              <w:rPr>
                <w:rFonts w:cs="Calibri"/>
                <w:sz w:val="16"/>
                <w:szCs w:val="16"/>
              </w:rPr>
            </w:pPr>
            <w:r>
              <w:rPr>
                <w:rFonts w:cs="Calibri"/>
                <w:sz w:val="16"/>
                <w:szCs w:val="16"/>
              </w:rPr>
              <w:t>‘xx’</w:t>
            </w:r>
          </w:p>
        </w:tc>
        <w:tc>
          <w:tcPr>
            <w:tcW w:w="0" w:type="auto"/>
            <w:tcBorders>
              <w:top w:val="single" w:sz="6" w:space="0" w:color="000000"/>
              <w:left w:val="single" w:sz="6" w:space="0" w:color="000000"/>
              <w:bottom w:val="single" w:sz="6" w:space="0" w:color="000000"/>
              <w:right w:val="single" w:sz="4" w:space="0" w:color="000000"/>
            </w:tcBorders>
            <w:hideMark/>
          </w:tcPr>
          <w:p w14:paraId="139011FC" w14:textId="77777777" w:rsidR="00B97365" w:rsidRDefault="00000000">
            <w:pPr>
              <w:rPr>
                <w:rFonts w:cs="Calibri"/>
                <w:sz w:val="16"/>
                <w:szCs w:val="16"/>
              </w:rPr>
            </w:pPr>
            <w:r>
              <w:rPr>
                <w:rFonts w:cs="Calibri"/>
                <w:sz w:val="16"/>
                <w:szCs w:val="16"/>
              </w:rPr>
              <w:t>Length of data field</w:t>
            </w:r>
          </w:p>
        </w:tc>
      </w:tr>
      <w:tr w:rsidR="00B97365" w14:paraId="71A1AD50"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605E5B5E" w14:textId="77777777" w:rsidR="00B97365" w:rsidRDefault="00000000">
            <w:pPr>
              <w:rPr>
                <w:rFonts w:cs="Calibri"/>
                <w:sz w:val="16"/>
                <w:szCs w:val="16"/>
              </w:rPr>
            </w:pPr>
            <w:r>
              <w:rPr>
                <w:rFonts w:cs="Calibri"/>
                <w:sz w:val="16"/>
                <w:szCs w:val="16"/>
              </w:rPr>
              <w:t>Data</w:t>
            </w:r>
          </w:p>
        </w:tc>
        <w:tc>
          <w:tcPr>
            <w:tcW w:w="0" w:type="auto"/>
            <w:tcBorders>
              <w:top w:val="single" w:sz="6" w:space="0" w:color="000000"/>
              <w:left w:val="single" w:sz="6" w:space="0" w:color="000000"/>
              <w:bottom w:val="single" w:sz="6" w:space="0" w:color="000000"/>
              <w:right w:val="single" w:sz="6" w:space="0" w:color="000000"/>
            </w:tcBorders>
            <w:hideMark/>
          </w:tcPr>
          <w:p w14:paraId="1EE420B5" w14:textId="77777777" w:rsidR="00B97365" w:rsidRDefault="00000000">
            <w:pPr>
              <w:rPr>
                <w:rFonts w:cs="Calibri"/>
                <w:sz w:val="16"/>
                <w:szCs w:val="16"/>
              </w:rPr>
            </w:pPr>
            <w:r>
              <w:rPr>
                <w:rFonts w:cs="Calibri"/>
                <w:sz w:val="16"/>
                <w:szCs w:val="16"/>
              </w:rPr>
              <w:t>‘xxxxx…’</w:t>
            </w:r>
          </w:p>
        </w:tc>
        <w:tc>
          <w:tcPr>
            <w:tcW w:w="0" w:type="auto"/>
            <w:tcBorders>
              <w:top w:val="single" w:sz="6" w:space="0" w:color="000000"/>
              <w:left w:val="single" w:sz="6" w:space="0" w:color="000000"/>
              <w:bottom w:val="single" w:sz="6" w:space="0" w:color="000000"/>
              <w:right w:val="single" w:sz="4" w:space="0" w:color="000000"/>
            </w:tcBorders>
            <w:hideMark/>
          </w:tcPr>
          <w:p w14:paraId="30C78763" w14:textId="77777777" w:rsidR="00B97365" w:rsidRDefault="00000000">
            <w:pPr>
              <w:rPr>
                <w:rFonts w:cs="Calibri"/>
                <w:sz w:val="16"/>
                <w:szCs w:val="16"/>
              </w:rPr>
            </w:pPr>
            <w:r>
              <w:rPr>
                <w:rFonts w:cs="Calibri"/>
                <w:sz w:val="16"/>
                <w:szCs w:val="16"/>
              </w:rPr>
              <w:t>Application data and MAC (if present)</w:t>
            </w:r>
          </w:p>
        </w:tc>
      </w:tr>
      <w:tr w:rsidR="00B97365" w14:paraId="3BBC183D" w14:textId="77777777">
        <w:trPr>
          <w:cantSplit/>
          <w:jc w:val="center"/>
        </w:trPr>
        <w:tc>
          <w:tcPr>
            <w:tcW w:w="0" w:type="auto"/>
            <w:tcBorders>
              <w:top w:val="single" w:sz="6" w:space="0" w:color="000000"/>
              <w:left w:val="single" w:sz="4" w:space="0" w:color="000000"/>
              <w:bottom w:val="single" w:sz="4" w:space="0" w:color="000000"/>
              <w:right w:val="single" w:sz="6" w:space="0" w:color="000000"/>
            </w:tcBorders>
            <w:hideMark/>
          </w:tcPr>
          <w:p w14:paraId="6282D9C9" w14:textId="77777777" w:rsidR="00B97365" w:rsidRDefault="00000000">
            <w:pPr>
              <w:keepNext/>
              <w:rPr>
                <w:rFonts w:cs="Calibri"/>
                <w:sz w:val="16"/>
                <w:szCs w:val="16"/>
              </w:rPr>
            </w:pPr>
            <w:r>
              <w:rPr>
                <w:rFonts w:cs="Calibri"/>
                <w:sz w:val="16"/>
                <w:szCs w:val="16"/>
              </w:rPr>
              <w:t>Le</w:t>
            </w:r>
          </w:p>
        </w:tc>
        <w:tc>
          <w:tcPr>
            <w:tcW w:w="0" w:type="auto"/>
            <w:tcBorders>
              <w:top w:val="single" w:sz="6" w:space="0" w:color="000000"/>
              <w:left w:val="single" w:sz="6" w:space="0" w:color="000000"/>
              <w:bottom w:val="single" w:sz="4" w:space="0" w:color="000000"/>
              <w:right w:val="single" w:sz="6" w:space="0" w:color="000000"/>
            </w:tcBorders>
            <w:hideMark/>
          </w:tcPr>
          <w:p w14:paraId="50E9DA72" w14:textId="77777777" w:rsidR="00B97365" w:rsidRDefault="00000000">
            <w:pPr>
              <w:keepNext/>
              <w:rPr>
                <w:rFonts w:cs="Calibri"/>
                <w:sz w:val="16"/>
                <w:szCs w:val="16"/>
              </w:rPr>
            </w:pPr>
            <w:r>
              <w:rPr>
                <w:rFonts w:cs="Calibri"/>
                <w:sz w:val="16"/>
                <w:szCs w:val="16"/>
              </w:rPr>
              <w:t xml:space="preserve"> </w:t>
            </w:r>
          </w:p>
        </w:tc>
        <w:tc>
          <w:tcPr>
            <w:tcW w:w="0" w:type="auto"/>
            <w:tcBorders>
              <w:top w:val="single" w:sz="6" w:space="0" w:color="000000"/>
              <w:left w:val="single" w:sz="6" w:space="0" w:color="000000"/>
              <w:bottom w:val="single" w:sz="4" w:space="0" w:color="000000"/>
              <w:right w:val="single" w:sz="4" w:space="0" w:color="000000"/>
            </w:tcBorders>
            <w:hideMark/>
          </w:tcPr>
          <w:p w14:paraId="366E2CDE" w14:textId="77777777" w:rsidR="00B97365" w:rsidRDefault="00000000">
            <w:pPr>
              <w:keepNext/>
              <w:rPr>
                <w:rFonts w:cs="Calibri"/>
                <w:sz w:val="16"/>
                <w:szCs w:val="16"/>
              </w:rPr>
            </w:pPr>
            <w:r>
              <w:rPr>
                <w:rFonts w:cs="Calibri"/>
                <w:sz w:val="16"/>
                <w:szCs w:val="16"/>
              </w:rPr>
              <w:t>Not present</w:t>
            </w:r>
          </w:p>
        </w:tc>
      </w:tr>
    </w:tbl>
    <w:p w14:paraId="39FAC2F6"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Command Message</w:t>
      </w:r>
    </w:p>
    <w:p w14:paraId="6416394C"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3"/>
        <w:gridCol w:w="403"/>
        <w:gridCol w:w="403"/>
        <w:gridCol w:w="403"/>
        <w:gridCol w:w="403"/>
        <w:gridCol w:w="403"/>
        <w:gridCol w:w="403"/>
        <w:gridCol w:w="403"/>
        <w:gridCol w:w="4228"/>
      </w:tblGrid>
      <w:tr w:rsidR="00B97365" w14:paraId="1E94553E"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43A101F5"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12D4FCAF"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0FEE6F8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939A9D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434A8F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342F71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B0E857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672260E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2CED16E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3FD81BA6"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3B96DD47"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25B3B7A6"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A992063"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F7C61EF"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1C60449"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49F4506"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D27F595"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1053F61"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115D3572" w14:textId="77777777" w:rsidR="00B97365" w:rsidRDefault="00000000">
            <w:pPr>
              <w:rPr>
                <w:rFonts w:cs="Calibri"/>
                <w:sz w:val="16"/>
                <w:szCs w:val="16"/>
              </w:rPr>
            </w:pPr>
            <w:r>
              <w:rPr>
                <w:rFonts w:cs="Calibri"/>
                <w:sz w:val="16"/>
                <w:szCs w:val="16"/>
              </w:rPr>
              <w:t>Last block</w:t>
            </w:r>
          </w:p>
        </w:tc>
      </w:tr>
      <w:tr w:rsidR="00B97365" w14:paraId="438C2BE2"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60A982D9"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20DACFA"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41B1CD1C"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5D16804A"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3447DE9"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59F241E"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5396FE3"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7861AE6"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6EC2D5AC" w14:textId="77777777" w:rsidR="00B97365" w:rsidRDefault="00000000">
            <w:pPr>
              <w:rPr>
                <w:rFonts w:cs="Calibri"/>
                <w:sz w:val="16"/>
                <w:szCs w:val="16"/>
              </w:rPr>
            </w:pPr>
            <w:r>
              <w:rPr>
                <w:rFonts w:cs="Calibri"/>
                <w:sz w:val="16"/>
                <w:szCs w:val="16"/>
              </w:rPr>
              <w:t xml:space="preserve">No general encryption information or non-encrypted data </w:t>
            </w:r>
          </w:p>
        </w:tc>
      </w:tr>
      <w:tr w:rsidR="00B97365" w14:paraId="4F23180F"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737C5570"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3E6AFD0"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3F3776F"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E39B1FE"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366E40DB"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3EBAD478"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075E14D"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5511B6A"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7395A68B" w14:textId="77777777" w:rsidR="00B97365" w:rsidRDefault="00000000">
            <w:pPr>
              <w:rPr>
                <w:rFonts w:cs="Calibri"/>
                <w:sz w:val="16"/>
                <w:szCs w:val="16"/>
              </w:rPr>
            </w:pPr>
            <w:r>
              <w:rPr>
                <w:rFonts w:cs="Calibri"/>
                <w:sz w:val="16"/>
                <w:szCs w:val="16"/>
              </w:rPr>
              <w:t>DGI format of the command data field</w:t>
            </w:r>
          </w:p>
        </w:tc>
      </w:tr>
      <w:tr w:rsidR="00B97365" w14:paraId="317162AC"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105ED124"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208A15D1"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6C73AE31"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2CEE81A4"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54F04386"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205B4871"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68F6EBF1"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63C67509"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4" w:space="0" w:color="auto"/>
            </w:tcBorders>
            <w:hideMark/>
          </w:tcPr>
          <w:p w14:paraId="4F84B71B" w14:textId="77777777" w:rsidR="00B97365" w:rsidRDefault="00000000">
            <w:pPr>
              <w:keepNext/>
              <w:rPr>
                <w:rFonts w:cs="Calibri"/>
                <w:sz w:val="16"/>
                <w:szCs w:val="16"/>
              </w:rPr>
            </w:pPr>
            <w:r>
              <w:rPr>
                <w:rFonts w:cs="Calibri"/>
                <w:sz w:val="16"/>
                <w:szCs w:val="16"/>
              </w:rPr>
              <w:t>RFU</w:t>
            </w:r>
          </w:p>
        </w:tc>
      </w:tr>
    </w:tbl>
    <w:p w14:paraId="65E32E7C"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STORE DATA Reference Control Parameter P1</w:t>
      </w:r>
    </w:p>
    <w:p w14:paraId="577B2842" w14:textId="77777777" w:rsidR="00B97365" w:rsidRDefault="00000000">
      <w:pPr>
        <w:spacing w:before="0" w:after="200" w:line="276" w:lineRule="auto"/>
        <w:jc w:val="left"/>
        <w:rPr>
          <w:b/>
          <w:i/>
          <w:szCs w:val="22"/>
          <w:lang w:val="en-US" w:eastAsia="en-GB" w:bidi="ar-SA"/>
        </w:rPr>
      </w:pPr>
      <w:bookmarkStart w:id="2405" w:name="_Toc420594520"/>
      <w:r>
        <w:rPr>
          <w:rFonts w:cs="Arial"/>
          <w:b/>
          <w:i/>
          <w:szCs w:val="22"/>
          <w:lang w:val="en-US" w:eastAsia="en-GB" w:bidi="ar-SA"/>
        </w:rPr>
        <w:t>Data Field</w:t>
      </w:r>
      <w:r>
        <w:rPr>
          <w:b/>
          <w:i/>
          <w:szCs w:val="22"/>
          <w:lang w:val="en-US" w:eastAsia="en-GB" w:bidi="ar-SA"/>
        </w:rPr>
        <w:t xml:space="preserve"> Sent in the Command Message</w:t>
      </w:r>
      <w:bookmarkEnd w:id="240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80"/>
        <w:gridCol w:w="1257"/>
        <w:gridCol w:w="842"/>
        <w:gridCol w:w="1176"/>
        <w:gridCol w:w="2826"/>
        <w:gridCol w:w="1735"/>
      </w:tblGrid>
      <w:tr w:rsidR="00B97365" w14:paraId="38B791F3" w14:textId="77777777">
        <w:trPr>
          <w:cantSplit/>
          <w:tblHeader/>
        </w:trPr>
        <w:tc>
          <w:tcPr>
            <w:tcW w:w="655" w:type="pct"/>
            <w:tcBorders>
              <w:top w:val="single" w:sz="4" w:space="0" w:color="auto"/>
              <w:left w:val="single" w:sz="4" w:space="0" w:color="auto"/>
              <w:bottom w:val="single" w:sz="6" w:space="0" w:color="auto"/>
              <w:right w:val="single" w:sz="6" w:space="0" w:color="auto"/>
            </w:tcBorders>
            <w:shd w:val="clear" w:color="auto" w:fill="C00000"/>
            <w:hideMark/>
          </w:tcPr>
          <w:p w14:paraId="2AC44452" w14:textId="77777777" w:rsidR="00B97365" w:rsidRDefault="00000000">
            <w:pPr>
              <w:jc w:val="center"/>
              <w:rPr>
                <w:rFonts w:cs="Calibri"/>
                <w:color w:val="FFFFFF"/>
                <w:sz w:val="16"/>
                <w:szCs w:val="16"/>
              </w:rPr>
            </w:pPr>
            <w:r>
              <w:rPr>
                <w:rFonts w:cs="Calibri"/>
                <w:color w:val="FFFFFF"/>
                <w:sz w:val="16"/>
                <w:szCs w:val="16"/>
              </w:rPr>
              <w:t>DGI</w:t>
            </w:r>
          </w:p>
        </w:tc>
        <w:tc>
          <w:tcPr>
            <w:tcW w:w="697" w:type="pct"/>
            <w:tcBorders>
              <w:top w:val="single" w:sz="4" w:space="0" w:color="auto"/>
              <w:left w:val="single" w:sz="6" w:space="0" w:color="auto"/>
              <w:bottom w:val="single" w:sz="6" w:space="0" w:color="auto"/>
              <w:right w:val="single" w:sz="6" w:space="0" w:color="auto"/>
            </w:tcBorders>
            <w:shd w:val="clear" w:color="auto" w:fill="C00000"/>
            <w:hideMark/>
          </w:tcPr>
          <w:p w14:paraId="467DB72F" w14:textId="77777777" w:rsidR="00B97365" w:rsidRDefault="00000000">
            <w:pPr>
              <w:jc w:val="center"/>
              <w:rPr>
                <w:rFonts w:cs="Calibri"/>
                <w:color w:val="FFFFFF"/>
                <w:sz w:val="16"/>
                <w:szCs w:val="16"/>
              </w:rPr>
            </w:pPr>
            <w:r>
              <w:rPr>
                <w:rFonts w:cs="Calibri"/>
                <w:color w:val="FFFFFF"/>
                <w:sz w:val="16"/>
                <w:szCs w:val="16"/>
              </w:rPr>
              <w:t>Length</w:t>
            </w:r>
          </w:p>
        </w:tc>
        <w:tc>
          <w:tcPr>
            <w:tcW w:w="2686"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5FE96528" w14:textId="77777777" w:rsidR="00B97365" w:rsidRDefault="00000000">
            <w:pPr>
              <w:jc w:val="center"/>
              <w:rPr>
                <w:rFonts w:cs="Calibri"/>
                <w:color w:val="FFFFFF"/>
                <w:sz w:val="16"/>
                <w:szCs w:val="16"/>
              </w:rPr>
            </w:pPr>
            <w:r>
              <w:rPr>
                <w:rFonts w:cs="Calibri"/>
                <w:color w:val="FFFFFF"/>
                <w:sz w:val="16"/>
                <w:szCs w:val="16"/>
              </w:rPr>
              <w:t>Value Description</w:t>
            </w:r>
          </w:p>
        </w:tc>
        <w:tc>
          <w:tcPr>
            <w:tcW w:w="962" w:type="pct"/>
            <w:tcBorders>
              <w:top w:val="single" w:sz="4" w:space="0" w:color="auto"/>
              <w:left w:val="single" w:sz="6" w:space="0" w:color="auto"/>
              <w:bottom w:val="single" w:sz="6" w:space="0" w:color="auto"/>
              <w:right w:val="single" w:sz="4" w:space="0" w:color="auto"/>
            </w:tcBorders>
            <w:shd w:val="clear" w:color="auto" w:fill="C00000"/>
            <w:hideMark/>
          </w:tcPr>
          <w:p w14:paraId="17DA9CA1" w14:textId="77777777" w:rsidR="00B97365" w:rsidRDefault="00000000">
            <w:pPr>
              <w:jc w:val="center"/>
              <w:rPr>
                <w:rFonts w:cs="Calibri"/>
                <w:color w:val="FFFFFF"/>
                <w:sz w:val="16"/>
                <w:szCs w:val="16"/>
              </w:rPr>
            </w:pPr>
            <w:r>
              <w:rPr>
                <w:rFonts w:cs="Calibri"/>
                <w:color w:val="FFFFFF"/>
                <w:sz w:val="16"/>
                <w:szCs w:val="16"/>
              </w:rPr>
              <w:t>MOC</w:t>
            </w:r>
          </w:p>
        </w:tc>
      </w:tr>
      <w:tr w:rsidR="00B97365" w14:paraId="203DF41C" w14:textId="77777777">
        <w:trPr>
          <w:cantSplit/>
        </w:trPr>
        <w:tc>
          <w:tcPr>
            <w:tcW w:w="655" w:type="pct"/>
            <w:tcBorders>
              <w:top w:val="single" w:sz="6" w:space="0" w:color="auto"/>
              <w:left w:val="single" w:sz="4" w:space="0" w:color="auto"/>
              <w:bottom w:val="single" w:sz="6" w:space="0" w:color="auto"/>
              <w:right w:val="single" w:sz="6" w:space="0" w:color="auto"/>
            </w:tcBorders>
            <w:hideMark/>
          </w:tcPr>
          <w:p w14:paraId="7566D95C" w14:textId="77777777" w:rsidR="00B97365" w:rsidRDefault="00000000">
            <w:pPr>
              <w:rPr>
                <w:rFonts w:cs="Calibri"/>
                <w:sz w:val="16"/>
                <w:szCs w:val="16"/>
              </w:rPr>
            </w:pPr>
            <w:r>
              <w:rPr>
                <w:rFonts w:cs="Calibri"/>
                <w:sz w:val="16"/>
                <w:szCs w:val="16"/>
              </w:rPr>
              <w:t>‘3A05’</w:t>
            </w:r>
          </w:p>
        </w:tc>
        <w:tc>
          <w:tcPr>
            <w:tcW w:w="697" w:type="pct"/>
            <w:tcBorders>
              <w:top w:val="single" w:sz="6" w:space="0" w:color="auto"/>
              <w:left w:val="single" w:sz="6" w:space="0" w:color="auto"/>
              <w:bottom w:val="single" w:sz="6" w:space="0" w:color="auto"/>
              <w:right w:val="single" w:sz="6" w:space="0" w:color="auto"/>
            </w:tcBorders>
            <w:hideMark/>
          </w:tcPr>
          <w:p w14:paraId="05ADA692" w14:textId="77777777" w:rsidR="00B97365" w:rsidRDefault="00000000">
            <w:pPr>
              <w:rPr>
                <w:rFonts w:cs="Calibri"/>
                <w:sz w:val="16"/>
                <w:szCs w:val="16"/>
              </w:rPr>
            </w:pPr>
            <w:r>
              <w:rPr>
                <w:rFonts w:cs="Calibri"/>
                <w:sz w:val="16"/>
                <w:szCs w:val="16"/>
              </w:rPr>
              <w:t>Var</w:t>
            </w:r>
          </w:p>
        </w:tc>
        <w:tc>
          <w:tcPr>
            <w:tcW w:w="2686" w:type="pct"/>
            <w:gridSpan w:val="3"/>
            <w:tcBorders>
              <w:top w:val="single" w:sz="6" w:space="0" w:color="auto"/>
              <w:left w:val="single" w:sz="6" w:space="0" w:color="auto"/>
              <w:bottom w:val="single" w:sz="6" w:space="0" w:color="auto"/>
              <w:right w:val="single" w:sz="6" w:space="0" w:color="auto"/>
            </w:tcBorders>
            <w:hideMark/>
          </w:tcPr>
          <w:p w14:paraId="71DBE429" w14:textId="77777777" w:rsidR="00B97365" w:rsidRDefault="00000000">
            <w:pPr>
              <w:rPr>
                <w:rFonts w:cs="Calibri"/>
                <w:sz w:val="16"/>
                <w:szCs w:val="16"/>
              </w:rPr>
            </w:pPr>
            <w:r>
              <w:rPr>
                <w:rFonts w:cs="Calibri"/>
                <w:sz w:val="16"/>
                <w:szCs w:val="16"/>
              </w:rPr>
              <w:t>Set Fall-Back Attribute</w:t>
            </w:r>
          </w:p>
        </w:tc>
        <w:tc>
          <w:tcPr>
            <w:tcW w:w="962" w:type="pct"/>
            <w:tcBorders>
              <w:top w:val="single" w:sz="6" w:space="0" w:color="auto"/>
              <w:left w:val="single" w:sz="6" w:space="0" w:color="auto"/>
              <w:bottom w:val="single" w:sz="6" w:space="0" w:color="auto"/>
              <w:right w:val="single" w:sz="4" w:space="0" w:color="auto"/>
            </w:tcBorders>
            <w:hideMark/>
          </w:tcPr>
          <w:p w14:paraId="1BCCF0C8" w14:textId="77777777" w:rsidR="00B97365" w:rsidRDefault="00000000">
            <w:pPr>
              <w:jc w:val="center"/>
              <w:rPr>
                <w:rFonts w:cs="Calibri"/>
                <w:sz w:val="16"/>
                <w:szCs w:val="16"/>
              </w:rPr>
            </w:pPr>
            <w:r>
              <w:rPr>
                <w:rFonts w:cs="Calibri"/>
                <w:sz w:val="16"/>
                <w:szCs w:val="16"/>
              </w:rPr>
              <w:t>M</w:t>
            </w:r>
          </w:p>
        </w:tc>
      </w:tr>
      <w:tr w:rsidR="00B97365" w14:paraId="5AD04B7A" w14:textId="77777777">
        <w:trPr>
          <w:cantSplit/>
        </w:trPr>
        <w:tc>
          <w:tcPr>
            <w:tcW w:w="655" w:type="pct"/>
            <w:tcBorders>
              <w:top w:val="single" w:sz="6" w:space="0" w:color="auto"/>
              <w:left w:val="single" w:sz="4" w:space="0" w:color="auto"/>
              <w:bottom w:val="single" w:sz="6" w:space="0" w:color="auto"/>
              <w:right w:val="single" w:sz="6" w:space="0" w:color="auto"/>
            </w:tcBorders>
          </w:tcPr>
          <w:p w14:paraId="03CAACA5" w14:textId="77777777" w:rsidR="00B97365" w:rsidRDefault="00B97365">
            <w:pPr>
              <w:rPr>
                <w:rFonts w:cs="Calibri"/>
                <w:sz w:val="16"/>
                <w:szCs w:val="16"/>
              </w:rPr>
            </w:pPr>
          </w:p>
        </w:tc>
        <w:tc>
          <w:tcPr>
            <w:tcW w:w="697" w:type="pct"/>
            <w:tcBorders>
              <w:top w:val="single" w:sz="6" w:space="0" w:color="auto"/>
              <w:left w:val="single" w:sz="6" w:space="0" w:color="auto"/>
              <w:bottom w:val="single" w:sz="6" w:space="0" w:color="auto"/>
              <w:right w:val="single" w:sz="6" w:space="0" w:color="auto"/>
            </w:tcBorders>
          </w:tcPr>
          <w:p w14:paraId="114DDA96" w14:textId="77777777" w:rsidR="00B97365" w:rsidRDefault="00B97365">
            <w:pPr>
              <w:rPr>
                <w:rFonts w:cs="Calibri"/>
                <w:sz w:val="16"/>
                <w:szCs w:val="16"/>
              </w:rPr>
            </w:pPr>
          </w:p>
        </w:tc>
        <w:tc>
          <w:tcPr>
            <w:tcW w:w="467" w:type="pct"/>
            <w:tcBorders>
              <w:top w:val="single" w:sz="6" w:space="0" w:color="auto"/>
              <w:left w:val="single" w:sz="6" w:space="0" w:color="auto"/>
              <w:bottom w:val="single" w:sz="6" w:space="0" w:color="auto"/>
              <w:right w:val="single" w:sz="6" w:space="0" w:color="auto"/>
            </w:tcBorders>
            <w:shd w:val="clear" w:color="auto" w:fill="C00000"/>
            <w:hideMark/>
          </w:tcPr>
          <w:p w14:paraId="72C75926" w14:textId="77777777" w:rsidR="00B97365" w:rsidRDefault="00000000">
            <w:pPr>
              <w:jc w:val="center"/>
              <w:rPr>
                <w:rFonts w:cs="Calibri"/>
                <w:color w:val="FFFFFF"/>
                <w:sz w:val="16"/>
                <w:szCs w:val="16"/>
              </w:rPr>
            </w:pPr>
            <w:r>
              <w:rPr>
                <w:rFonts w:cs="Calibri"/>
                <w:color w:val="FFFFFF"/>
                <w:sz w:val="16"/>
                <w:szCs w:val="16"/>
              </w:rPr>
              <w:t>Tag</w:t>
            </w:r>
          </w:p>
        </w:tc>
        <w:tc>
          <w:tcPr>
            <w:tcW w:w="652" w:type="pct"/>
            <w:tcBorders>
              <w:top w:val="single" w:sz="6" w:space="0" w:color="auto"/>
              <w:left w:val="single" w:sz="6" w:space="0" w:color="auto"/>
              <w:bottom w:val="single" w:sz="6" w:space="0" w:color="auto"/>
              <w:right w:val="single" w:sz="6" w:space="0" w:color="auto"/>
            </w:tcBorders>
            <w:shd w:val="clear" w:color="auto" w:fill="C00000"/>
            <w:hideMark/>
          </w:tcPr>
          <w:p w14:paraId="64B3EA88" w14:textId="77777777" w:rsidR="00B97365" w:rsidRDefault="00000000">
            <w:pPr>
              <w:jc w:val="center"/>
              <w:rPr>
                <w:rFonts w:cs="Calibri"/>
                <w:color w:val="FFFFFF"/>
                <w:sz w:val="16"/>
                <w:szCs w:val="16"/>
              </w:rPr>
            </w:pPr>
            <w:r>
              <w:rPr>
                <w:rFonts w:cs="Calibri"/>
                <w:color w:val="FFFFFF"/>
                <w:sz w:val="16"/>
                <w:szCs w:val="16"/>
              </w:rPr>
              <w:t>Length</w:t>
            </w:r>
          </w:p>
        </w:tc>
        <w:tc>
          <w:tcPr>
            <w:tcW w:w="1567" w:type="pct"/>
            <w:tcBorders>
              <w:top w:val="single" w:sz="6" w:space="0" w:color="auto"/>
              <w:left w:val="single" w:sz="6" w:space="0" w:color="auto"/>
              <w:bottom w:val="single" w:sz="6" w:space="0" w:color="auto"/>
              <w:right w:val="single" w:sz="6" w:space="0" w:color="auto"/>
            </w:tcBorders>
            <w:shd w:val="clear" w:color="auto" w:fill="C00000"/>
            <w:hideMark/>
          </w:tcPr>
          <w:p w14:paraId="65395A9D" w14:textId="77777777" w:rsidR="00B97365" w:rsidRDefault="00000000">
            <w:pPr>
              <w:jc w:val="center"/>
              <w:rPr>
                <w:rFonts w:cs="Calibri"/>
                <w:color w:val="FFFFFF"/>
                <w:sz w:val="16"/>
                <w:szCs w:val="16"/>
              </w:rPr>
            </w:pPr>
            <w:r>
              <w:rPr>
                <w:rFonts w:cs="Calibri"/>
                <w:color w:val="FFFFFF"/>
                <w:sz w:val="16"/>
                <w:szCs w:val="16"/>
              </w:rPr>
              <w:t>Value Description</w:t>
            </w:r>
          </w:p>
        </w:tc>
        <w:tc>
          <w:tcPr>
            <w:tcW w:w="962" w:type="pct"/>
            <w:tcBorders>
              <w:top w:val="single" w:sz="6" w:space="0" w:color="auto"/>
              <w:left w:val="single" w:sz="6" w:space="0" w:color="auto"/>
              <w:bottom w:val="single" w:sz="6" w:space="0" w:color="auto"/>
              <w:right w:val="single" w:sz="4" w:space="0" w:color="auto"/>
            </w:tcBorders>
            <w:shd w:val="clear" w:color="auto" w:fill="C00000"/>
            <w:hideMark/>
          </w:tcPr>
          <w:p w14:paraId="645638DC" w14:textId="77777777" w:rsidR="00B97365" w:rsidRDefault="00000000">
            <w:pPr>
              <w:jc w:val="center"/>
              <w:rPr>
                <w:rFonts w:cs="Calibri"/>
                <w:color w:val="FFFFFF"/>
                <w:sz w:val="16"/>
                <w:szCs w:val="16"/>
              </w:rPr>
            </w:pPr>
            <w:r>
              <w:rPr>
                <w:rFonts w:cs="Calibri"/>
                <w:color w:val="FFFFFF"/>
                <w:sz w:val="16"/>
                <w:szCs w:val="16"/>
              </w:rPr>
              <w:t>MOC</w:t>
            </w:r>
          </w:p>
        </w:tc>
      </w:tr>
      <w:tr w:rsidR="00B97365" w14:paraId="17F4BEE0" w14:textId="77777777">
        <w:trPr>
          <w:cantSplit/>
        </w:trPr>
        <w:tc>
          <w:tcPr>
            <w:tcW w:w="655" w:type="pct"/>
            <w:tcBorders>
              <w:top w:val="single" w:sz="6" w:space="0" w:color="auto"/>
              <w:left w:val="single" w:sz="4" w:space="0" w:color="auto"/>
              <w:bottom w:val="single" w:sz="4" w:space="0" w:color="auto"/>
              <w:right w:val="single" w:sz="6" w:space="0" w:color="auto"/>
            </w:tcBorders>
          </w:tcPr>
          <w:p w14:paraId="03EC7552" w14:textId="77777777" w:rsidR="00B97365" w:rsidRDefault="00B97365">
            <w:pPr>
              <w:rPr>
                <w:rFonts w:cs="Calibri"/>
                <w:sz w:val="16"/>
                <w:szCs w:val="16"/>
              </w:rPr>
            </w:pPr>
          </w:p>
        </w:tc>
        <w:tc>
          <w:tcPr>
            <w:tcW w:w="697" w:type="pct"/>
            <w:tcBorders>
              <w:top w:val="single" w:sz="6" w:space="0" w:color="auto"/>
              <w:left w:val="single" w:sz="6" w:space="0" w:color="auto"/>
              <w:bottom w:val="single" w:sz="4" w:space="0" w:color="auto"/>
              <w:right w:val="single" w:sz="6" w:space="0" w:color="auto"/>
            </w:tcBorders>
          </w:tcPr>
          <w:p w14:paraId="215D70C8" w14:textId="77777777" w:rsidR="00B97365" w:rsidRDefault="00B97365">
            <w:pPr>
              <w:rPr>
                <w:rFonts w:cs="Calibri"/>
                <w:sz w:val="16"/>
                <w:szCs w:val="16"/>
              </w:rPr>
            </w:pPr>
          </w:p>
        </w:tc>
        <w:tc>
          <w:tcPr>
            <w:tcW w:w="467" w:type="pct"/>
            <w:tcBorders>
              <w:top w:val="single" w:sz="6" w:space="0" w:color="auto"/>
              <w:left w:val="single" w:sz="6" w:space="0" w:color="auto"/>
              <w:bottom w:val="single" w:sz="4" w:space="0" w:color="auto"/>
              <w:right w:val="single" w:sz="6" w:space="0" w:color="auto"/>
            </w:tcBorders>
            <w:hideMark/>
          </w:tcPr>
          <w:p w14:paraId="18BC5FA8" w14:textId="77777777" w:rsidR="00B97365" w:rsidRDefault="00000000">
            <w:pPr>
              <w:rPr>
                <w:rFonts w:cs="Calibri"/>
                <w:sz w:val="16"/>
                <w:szCs w:val="16"/>
              </w:rPr>
            </w:pPr>
            <w:r>
              <w:rPr>
                <w:rFonts w:cs="Calibri"/>
                <w:sz w:val="16"/>
                <w:szCs w:val="16"/>
              </w:rPr>
              <w:t>‘4F’</w:t>
            </w:r>
          </w:p>
        </w:tc>
        <w:tc>
          <w:tcPr>
            <w:tcW w:w="652" w:type="pct"/>
            <w:tcBorders>
              <w:top w:val="single" w:sz="6" w:space="0" w:color="auto"/>
              <w:left w:val="single" w:sz="6" w:space="0" w:color="auto"/>
              <w:bottom w:val="single" w:sz="4" w:space="0" w:color="auto"/>
              <w:right w:val="single" w:sz="6" w:space="0" w:color="auto"/>
            </w:tcBorders>
            <w:hideMark/>
          </w:tcPr>
          <w:p w14:paraId="0DAE6FF3" w14:textId="77777777" w:rsidR="00B97365" w:rsidRDefault="00000000">
            <w:pPr>
              <w:rPr>
                <w:rFonts w:cs="Calibri"/>
                <w:sz w:val="16"/>
                <w:szCs w:val="16"/>
              </w:rPr>
            </w:pPr>
            <w:r>
              <w:rPr>
                <w:rFonts w:cs="Calibri"/>
                <w:sz w:val="16"/>
                <w:szCs w:val="16"/>
              </w:rPr>
              <w:t>5-16</w:t>
            </w:r>
          </w:p>
        </w:tc>
        <w:tc>
          <w:tcPr>
            <w:tcW w:w="1567" w:type="pct"/>
            <w:tcBorders>
              <w:top w:val="single" w:sz="6" w:space="0" w:color="auto"/>
              <w:left w:val="single" w:sz="6" w:space="0" w:color="auto"/>
              <w:bottom w:val="single" w:sz="4" w:space="0" w:color="auto"/>
              <w:right w:val="single" w:sz="6" w:space="0" w:color="auto"/>
            </w:tcBorders>
            <w:hideMark/>
          </w:tcPr>
          <w:p w14:paraId="78096E6D" w14:textId="77777777" w:rsidR="00B97365" w:rsidRDefault="00000000">
            <w:pPr>
              <w:rPr>
                <w:rFonts w:cs="Calibri"/>
                <w:sz w:val="16"/>
                <w:szCs w:val="16"/>
              </w:rPr>
            </w:pPr>
            <w:r>
              <w:rPr>
                <w:rFonts w:cs="Calibri"/>
                <w:sz w:val="16"/>
                <w:szCs w:val="16"/>
              </w:rPr>
              <w:t>ISD-P-AID</w:t>
            </w:r>
          </w:p>
        </w:tc>
        <w:tc>
          <w:tcPr>
            <w:tcW w:w="962" w:type="pct"/>
            <w:tcBorders>
              <w:top w:val="single" w:sz="6" w:space="0" w:color="auto"/>
              <w:left w:val="single" w:sz="6" w:space="0" w:color="auto"/>
              <w:bottom w:val="single" w:sz="4" w:space="0" w:color="auto"/>
              <w:right w:val="single" w:sz="4" w:space="0" w:color="auto"/>
            </w:tcBorders>
            <w:hideMark/>
          </w:tcPr>
          <w:p w14:paraId="1CDE51CC" w14:textId="77777777" w:rsidR="00B97365" w:rsidRDefault="00000000">
            <w:pPr>
              <w:jc w:val="center"/>
              <w:rPr>
                <w:rFonts w:cs="Calibri"/>
                <w:sz w:val="16"/>
                <w:szCs w:val="16"/>
              </w:rPr>
            </w:pPr>
            <w:r>
              <w:rPr>
                <w:rFonts w:cs="Calibri"/>
                <w:sz w:val="16"/>
                <w:szCs w:val="16"/>
              </w:rPr>
              <w:t>M</w:t>
            </w:r>
          </w:p>
        </w:tc>
      </w:tr>
    </w:tbl>
    <w:p w14:paraId="234B60F5"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Set Fall-Back Attribute Data Field</w:t>
      </w:r>
    </w:p>
    <w:p w14:paraId="1DD358B8" w14:textId="77777777" w:rsidR="00B97365" w:rsidRDefault="00000000">
      <w:pPr>
        <w:spacing w:before="0" w:after="200" w:line="276" w:lineRule="auto"/>
        <w:jc w:val="left"/>
        <w:rPr>
          <w:b/>
          <w:i/>
          <w:szCs w:val="22"/>
          <w:lang w:val="en-US" w:eastAsia="en-GB" w:bidi="ar-SA"/>
        </w:rPr>
      </w:pPr>
      <w:bookmarkStart w:id="2406" w:name="_Toc420594521"/>
      <w:r>
        <w:rPr>
          <w:rFonts w:cs="Arial"/>
          <w:b/>
          <w:i/>
          <w:szCs w:val="22"/>
          <w:lang w:val="en-US" w:eastAsia="en-GB" w:bidi="ar-SA"/>
        </w:rPr>
        <w:t>Response</w:t>
      </w:r>
      <w:r>
        <w:rPr>
          <w:b/>
          <w:i/>
          <w:szCs w:val="22"/>
          <w:lang w:val="en-US" w:eastAsia="en-GB" w:bidi="ar-SA"/>
        </w:rPr>
        <w:t xml:space="preserve"> Message</w:t>
      </w:r>
      <w:bookmarkEnd w:id="2406"/>
    </w:p>
    <w:p w14:paraId="4FFF49C8" w14:textId="77777777" w:rsidR="00B97365" w:rsidRDefault="00000000">
      <w:pPr>
        <w:spacing w:before="0" w:after="200" w:line="276" w:lineRule="auto"/>
        <w:jc w:val="left"/>
        <w:rPr>
          <w:b/>
          <w:i/>
          <w:szCs w:val="22"/>
          <w:lang w:val="en-US" w:eastAsia="en-GB" w:bidi="ar-SA"/>
        </w:rPr>
      </w:pPr>
      <w:bookmarkStart w:id="2407" w:name="_Toc420594522"/>
      <w:r>
        <w:rPr>
          <w:rFonts w:cs="Arial"/>
          <w:b/>
          <w:i/>
          <w:szCs w:val="22"/>
          <w:lang w:val="en-US" w:eastAsia="en-GB" w:bidi="ar-SA"/>
        </w:rPr>
        <w:t>Data Field</w:t>
      </w:r>
      <w:r>
        <w:rPr>
          <w:b/>
          <w:i/>
          <w:szCs w:val="22"/>
          <w:lang w:val="en-US" w:eastAsia="en-GB" w:bidi="ar-SA"/>
        </w:rPr>
        <w:t xml:space="preserve"> Returned in the Response Message:</w:t>
      </w:r>
      <w:bookmarkEnd w:id="2407"/>
    </w:p>
    <w:p w14:paraId="0FBE6DAD" w14:textId="77777777" w:rsidR="00B97365" w:rsidRDefault="00000000">
      <w:pPr>
        <w:spacing w:before="0" w:after="200" w:line="276" w:lineRule="auto"/>
        <w:jc w:val="left"/>
        <w:rPr>
          <w:rFonts w:asciiTheme="minorHAnsi" w:hAnsiTheme="minorHAnsi" w:cstheme="minorHAnsi"/>
        </w:rPr>
      </w:pPr>
      <w:bookmarkStart w:id="2408" w:name="_Toc420594523"/>
      <w:r>
        <w:rPr>
          <w:rFonts w:cs="Arial"/>
          <w:szCs w:val="22"/>
          <w:lang w:val="en-US" w:eastAsia="en-GB" w:bidi="ar-SA"/>
        </w:rPr>
        <w:t>The data field of the response message SHALL NOT be present.</w:t>
      </w:r>
      <w:bookmarkEnd w:id="2408"/>
    </w:p>
    <w:p w14:paraId="17824E88" w14:textId="77777777" w:rsidR="00B97365" w:rsidRDefault="00000000">
      <w:pPr>
        <w:spacing w:before="0" w:after="200" w:line="276" w:lineRule="auto"/>
        <w:jc w:val="left"/>
        <w:rPr>
          <w:b/>
          <w:i/>
          <w:szCs w:val="22"/>
          <w:lang w:val="en-US" w:eastAsia="en-GB" w:bidi="ar-SA"/>
        </w:rPr>
      </w:pPr>
      <w:bookmarkStart w:id="2409" w:name="_Toc420594524"/>
      <w:r>
        <w:rPr>
          <w:rFonts w:cs="Arial"/>
          <w:b/>
          <w:i/>
          <w:szCs w:val="22"/>
          <w:lang w:val="en-US" w:eastAsia="en-GB" w:bidi="ar-SA"/>
        </w:rPr>
        <w:t>Processing</w:t>
      </w:r>
      <w:r>
        <w:rPr>
          <w:b/>
          <w:i/>
          <w:szCs w:val="22"/>
          <w:lang w:val="en-US" w:eastAsia="en-GB" w:bidi="ar-SA"/>
        </w:rPr>
        <w:t xml:space="preserve"> State Returned in the Response Message:</w:t>
      </w:r>
      <w:bookmarkEnd w:id="2409"/>
    </w:p>
    <w:p w14:paraId="7D0B7239" w14:textId="063EB916" w:rsidR="00B97365" w:rsidRDefault="00000000">
      <w:pPr>
        <w:spacing w:before="240" w:after="200" w:line="276" w:lineRule="auto"/>
        <w:jc w:val="left"/>
        <w:rPr>
          <w:szCs w:val="22"/>
          <w:lang w:val="en-US" w:eastAsia="en-GB" w:bidi="ar-SA"/>
        </w:rPr>
      </w:pPr>
      <w:bookmarkStart w:id="2410" w:name="_Toc420594525"/>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11.11.3.2</w:t>
      </w:r>
      <w:bookmarkEnd w:id="2410"/>
      <w:r>
        <w:rPr>
          <w:szCs w:val="22"/>
          <w:lang w:val="en-US" w:eastAsia="en-GB" w:bidi="ar-SA"/>
        </w:rPr>
        <w:t>, with the following addition:</w:t>
      </w:r>
    </w:p>
    <w:p w14:paraId="3B29E51A" w14:textId="77777777" w:rsidR="00B97365" w:rsidRDefault="00000000">
      <w:pPr>
        <w:rPr>
          <w:rFonts w:cs="Calibri"/>
          <w:b/>
          <w:bCs/>
        </w:rPr>
      </w:pPr>
      <w:r>
        <w:rPr>
          <w:szCs w:val="22"/>
        </w:rPr>
        <w:t>’69 E1’: POL1 of the Profile Disabled by the activation of the Fall-Back Mechanism prevents this action.</w:t>
      </w:r>
    </w:p>
    <w:p w14:paraId="5146DB9A"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411" w:name="_Toc368932234"/>
      <w:bookmarkStart w:id="2412" w:name="_Ref367975529"/>
      <w:bookmarkStart w:id="2413" w:name="_Ref367975499"/>
      <w:bookmarkStart w:id="2414" w:name="_Toc1977313"/>
      <w:bookmarkStart w:id="2415" w:name="_Toc37062472"/>
      <w:r>
        <w:rPr>
          <w:rFonts w:ascii="Arial Bold" w:eastAsia="Times New Roman" w:hAnsi="Arial Bold" w:cs="Arial"/>
          <w:b/>
          <w:iCs/>
          <w:szCs w:val="28"/>
          <w:lang w:eastAsia="en-US"/>
        </w:rPr>
        <w:t>ISD-R Key Set Establishment</w:t>
      </w:r>
      <w:bookmarkEnd w:id="2411"/>
      <w:bookmarkEnd w:id="2412"/>
      <w:bookmarkEnd w:id="2413"/>
      <w:bookmarkEnd w:id="2414"/>
      <w:bookmarkEnd w:id="2415"/>
      <w:r>
        <w:rPr>
          <w:rFonts w:ascii="Arial Bold" w:eastAsia="Times New Roman" w:hAnsi="Arial Bold" w:cs="Arial"/>
          <w:b/>
          <w:iCs/>
          <w:szCs w:val="28"/>
          <w:lang w:eastAsia="en-US"/>
        </w:rPr>
        <w:t xml:space="preserve"> </w:t>
      </w:r>
    </w:p>
    <w:p w14:paraId="266395E3" w14:textId="77777777" w:rsidR="00B97365" w:rsidRDefault="00000000">
      <w:pPr>
        <w:spacing w:before="0" w:after="200" w:line="276" w:lineRule="auto"/>
        <w:jc w:val="left"/>
        <w:rPr>
          <w:szCs w:val="22"/>
          <w:lang w:val="en-US" w:eastAsia="en-GB" w:bidi="ar-SA"/>
        </w:rPr>
      </w:pPr>
      <w:bookmarkStart w:id="2416" w:name="_Toc420594526"/>
      <w:r>
        <w:rPr>
          <w:rFonts w:cs="Arial"/>
          <w:b/>
          <w:szCs w:val="22"/>
          <w:lang w:val="en-US" w:eastAsia="en-GB" w:bidi="ar-SA"/>
        </w:rPr>
        <w:t>Function name:</w:t>
      </w:r>
      <w:r>
        <w:rPr>
          <w:szCs w:val="22"/>
          <w:lang w:val="en-US" w:eastAsia="en-GB" w:bidi="ar-SA"/>
        </w:rPr>
        <w:t xml:space="preserve"> </w:t>
      </w:r>
      <w:bookmarkEnd w:id="2416"/>
      <w:r>
        <w:rPr>
          <w:szCs w:val="22"/>
          <w:lang w:val="en-US" w:eastAsia="en-GB" w:bidi="ar-SA"/>
        </w:rPr>
        <w:t>EstablishISDRKeySet</w:t>
      </w:r>
    </w:p>
    <w:p w14:paraId="5579F15E" w14:textId="77777777" w:rsidR="00B97365" w:rsidRDefault="00000000">
      <w:pPr>
        <w:spacing w:before="0" w:after="200" w:line="276" w:lineRule="auto"/>
        <w:jc w:val="left"/>
        <w:rPr>
          <w:szCs w:val="22"/>
          <w:lang w:val="en-US" w:eastAsia="en-GB" w:bidi="ar-SA"/>
        </w:rPr>
      </w:pPr>
      <w:bookmarkStart w:id="2417" w:name="_Toc420594527"/>
      <w:r>
        <w:rPr>
          <w:rFonts w:cs="Arial"/>
          <w:b/>
          <w:szCs w:val="22"/>
          <w:lang w:val="en-US" w:eastAsia="en-GB" w:bidi="ar-SA"/>
        </w:rPr>
        <w:t>Related Procedures:</w:t>
      </w:r>
      <w:r>
        <w:rPr>
          <w:szCs w:val="22"/>
          <w:lang w:val="en-US" w:eastAsia="en-GB" w:bidi="ar-SA"/>
        </w:rPr>
        <w:t xml:space="preserve"> SM-SR Change</w:t>
      </w:r>
      <w:bookmarkEnd w:id="2417"/>
    </w:p>
    <w:p w14:paraId="422D7D10" w14:textId="77777777" w:rsidR="00B97365" w:rsidRDefault="00000000">
      <w:pPr>
        <w:spacing w:before="0" w:after="200" w:line="276" w:lineRule="auto"/>
        <w:jc w:val="left"/>
        <w:rPr>
          <w:szCs w:val="22"/>
          <w:lang w:val="en-US" w:eastAsia="en-GB" w:bidi="ar-SA"/>
        </w:rPr>
      </w:pPr>
      <w:bookmarkStart w:id="2418" w:name="_Toc420594528"/>
      <w:r>
        <w:rPr>
          <w:rFonts w:cs="Arial"/>
          <w:b/>
          <w:szCs w:val="22"/>
          <w:lang w:val="en-US" w:eastAsia="en-GB" w:bidi="ar-SA"/>
        </w:rPr>
        <w:lastRenderedPageBreak/>
        <w:t>Function group:</w:t>
      </w:r>
      <w:r>
        <w:rPr>
          <w:szCs w:val="22"/>
          <w:lang w:val="en-US" w:eastAsia="en-GB" w:bidi="ar-SA"/>
        </w:rPr>
        <w:t xml:space="preserve"> eUICC Management</w:t>
      </w:r>
      <w:bookmarkEnd w:id="2418"/>
    </w:p>
    <w:p w14:paraId="6623A773" w14:textId="77777777" w:rsidR="00B97365" w:rsidRDefault="00000000">
      <w:pPr>
        <w:spacing w:before="0" w:after="200" w:line="276" w:lineRule="auto"/>
        <w:jc w:val="left"/>
        <w:rPr>
          <w:szCs w:val="22"/>
          <w:lang w:val="en-US" w:eastAsia="en-GB" w:bidi="ar-SA"/>
        </w:rPr>
      </w:pPr>
      <w:bookmarkStart w:id="2419" w:name="_Toc420594529"/>
      <w:r>
        <w:rPr>
          <w:rFonts w:cs="Arial"/>
          <w:b/>
          <w:szCs w:val="22"/>
          <w:lang w:val="en-US" w:eastAsia="en-GB" w:bidi="ar-SA"/>
        </w:rPr>
        <w:t>Function Provider entity:</w:t>
      </w:r>
      <w:r>
        <w:rPr>
          <w:szCs w:val="22"/>
          <w:lang w:val="en-US" w:eastAsia="en-GB" w:bidi="ar-SA"/>
        </w:rPr>
        <w:t xml:space="preserve"> ISD-R</w:t>
      </w:r>
      <w:bookmarkEnd w:id="2419"/>
    </w:p>
    <w:p w14:paraId="00DBE26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is used to perform mutual authentication between the new SM-SR and the eUICC and to establish a shared secret key set between the new SM-SR and the ISD-R.</w:t>
      </w:r>
    </w:p>
    <w:p w14:paraId="0E89A4BF" w14:textId="0E713C30"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is based on Scenario 3 as defined in “GlobalPlatform Card Specification Amendment E </w:t>
      </w:r>
      <w:r>
        <w:fldChar w:fldCharType="begin"/>
      </w:r>
      <w:r>
        <w:rPr>
          <w:szCs w:val="22"/>
          <w:lang w:val="en-US" w:eastAsia="en-GB" w:bidi="ar-SA"/>
        </w:rPr>
        <w:instrText xml:space="preserve"> REF _Ref421632038 \r \h </w:instrText>
      </w:r>
      <w:r>
        <w:fldChar w:fldCharType="separate"/>
      </w:r>
      <w:r w:rsidR="001D5AD9">
        <w:rPr>
          <w:szCs w:val="22"/>
          <w:lang w:val="en-US" w:eastAsia="en-GB" w:bidi="ar-SA"/>
        </w:rPr>
        <w:t>[11]</w:t>
      </w:r>
      <w:r>
        <w:fldChar w:fldCharType="end"/>
      </w:r>
      <w:r>
        <w:rPr>
          <w:szCs w:val="22"/>
          <w:lang w:val="en-US" w:eastAsia="en-GB" w:bidi="ar-SA"/>
        </w:rPr>
        <w:t>. Scenario 3 is modified by adding the additional step of authentication of the new SM-SR to the eUICC.</w:t>
      </w:r>
    </w:p>
    <w:p w14:paraId="5181FB9E" w14:textId="0EE441DA" w:rsidR="00B97365" w:rsidRDefault="00000000">
      <w:pPr>
        <w:spacing w:before="0" w:after="200" w:line="276" w:lineRule="auto"/>
        <w:jc w:val="left"/>
        <w:rPr>
          <w:rFonts w:asciiTheme="minorHAnsi" w:hAnsiTheme="minorHAnsi" w:cstheme="minorHAnsi"/>
        </w:rPr>
      </w:pPr>
      <w:r>
        <w:rPr>
          <w:rFonts w:cs="Arial"/>
          <w:szCs w:val="22"/>
          <w:lang w:val="en-US" w:eastAsia="en-GB" w:bidi="ar-SA"/>
        </w:rPr>
        <w:t xml:space="preserve">Adding this step to Scenario 3 requires an additional STORE DATA command to precede the command defined for Scenario 3. This new command provides the eUICC with the certificate of the new SM-SR and retrieves a random challenge from the eUICC. This random challenge then has to be signed by the new SM-SR and sent to the eUICC in the second command to prove to the eUICC that the new SM-SR is in possession of the private key related to the certificate presented. The sequence is pictured in </w:t>
      </w:r>
      <w:r>
        <w:fldChar w:fldCharType="begin"/>
      </w:r>
      <w:r>
        <w:rPr>
          <w:szCs w:val="22"/>
          <w:lang w:val="en-US" w:eastAsia="en-GB" w:bidi="ar-SA"/>
        </w:rPr>
        <w:instrText xml:space="preserve"> REF _Ref373941182 \r \h </w:instrText>
      </w:r>
      <w:r>
        <w:fldChar w:fldCharType="separate"/>
      </w:r>
      <w:r w:rsidR="001D5AD9">
        <w:rPr>
          <w:szCs w:val="22"/>
          <w:lang w:val="en-US" w:eastAsia="en-GB" w:bidi="ar-SA"/>
        </w:rPr>
        <w:t>Figure 23</w:t>
      </w:r>
      <w:r>
        <w:fldChar w:fldCharType="end"/>
      </w:r>
      <w:r>
        <w:rPr>
          <w:szCs w:val="22"/>
          <w:lang w:val="en-US" w:eastAsia="en-GB" w:bidi="ar-SA"/>
        </w:rPr>
        <w:t xml:space="preserve"> of section </w:t>
      </w:r>
      <w:r>
        <w:fldChar w:fldCharType="begin"/>
      </w:r>
      <w:r>
        <w:instrText xml:space="preserve"> REF _Ref367972637 \r \h  \* MERGEFORMAT </w:instrText>
      </w:r>
      <w:r>
        <w:fldChar w:fldCharType="separate"/>
      </w:r>
      <w:r w:rsidR="001D5AD9" w:rsidRPr="001D5AD9">
        <w:rPr>
          <w:szCs w:val="22"/>
          <w:lang w:val="en-US" w:eastAsia="en-GB" w:bidi="ar-SA"/>
        </w:rPr>
        <w:t>3.8</w:t>
      </w:r>
      <w:r>
        <w:fldChar w:fldCharType="end"/>
      </w:r>
      <w:r>
        <w:rPr>
          <w:szCs w:val="22"/>
          <w:lang w:val="en-US" w:eastAsia="en-GB" w:bidi="ar-SA"/>
        </w:rPr>
        <w:t>.</w:t>
      </w:r>
    </w:p>
    <w:p w14:paraId="029EC5A4" w14:textId="77777777" w:rsidR="00B97365" w:rsidRDefault="00000000">
      <w:pPr>
        <w:spacing w:before="0" w:after="200" w:line="276" w:lineRule="auto"/>
        <w:jc w:val="left"/>
        <w:rPr>
          <w:b/>
          <w:szCs w:val="22"/>
          <w:u w:val="single"/>
          <w:lang w:val="en-US" w:eastAsia="en-GB" w:bidi="ar-SA"/>
        </w:rPr>
      </w:pPr>
      <w:bookmarkStart w:id="2420" w:name="_Toc420594530"/>
      <w:r>
        <w:rPr>
          <w:rFonts w:cs="Arial"/>
          <w:b/>
          <w:szCs w:val="22"/>
          <w:u w:val="single"/>
          <w:lang w:val="en-US" w:eastAsia="en-GB" w:bidi="ar-SA"/>
        </w:rPr>
        <w:t>Parameters:</w:t>
      </w:r>
      <w:bookmarkEnd w:id="2420"/>
    </w:p>
    <w:p w14:paraId="2010C94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Ephemeral public key of the new SM-SR</w:t>
      </w:r>
    </w:p>
    <w:p w14:paraId="3F071C3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Certificate for the new SM-SR</w:t>
      </w:r>
    </w:p>
    <w:p w14:paraId="0ED32069" w14:textId="77777777" w:rsidR="00B97365" w:rsidRDefault="00000000">
      <w:pPr>
        <w:spacing w:before="0" w:after="200" w:line="276" w:lineRule="auto"/>
        <w:jc w:val="left"/>
        <w:rPr>
          <w:b/>
          <w:szCs w:val="22"/>
          <w:u w:val="single"/>
          <w:lang w:val="en-US" w:eastAsia="en-GB" w:bidi="ar-SA"/>
        </w:rPr>
      </w:pPr>
      <w:bookmarkStart w:id="2421" w:name="_Toc420594531"/>
      <w:r>
        <w:rPr>
          <w:rFonts w:cs="Arial"/>
          <w:b/>
          <w:szCs w:val="22"/>
          <w:u w:val="single"/>
          <w:lang w:val="en-US" w:eastAsia="en-GB" w:bidi="ar-SA"/>
        </w:rPr>
        <w:t>Prerequisites:</w:t>
      </w:r>
      <w:bookmarkEnd w:id="2421"/>
    </w:p>
    <w:p w14:paraId="548F243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ECASD certificate was provided to and verified by the new SM-SR</w:t>
      </w:r>
    </w:p>
    <w:p w14:paraId="126D94D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new SM-SR has generated an ephemeral key pair</w:t>
      </w:r>
    </w:p>
    <w:p w14:paraId="10F4F3A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new SM-SR has a signature from the CI.</w:t>
      </w:r>
    </w:p>
    <w:p w14:paraId="2033E978" w14:textId="77777777" w:rsidR="00B97365" w:rsidRDefault="00000000">
      <w:pPr>
        <w:spacing w:before="0" w:after="200" w:line="276" w:lineRule="auto"/>
        <w:jc w:val="left"/>
        <w:rPr>
          <w:b/>
          <w:szCs w:val="22"/>
          <w:u w:val="single"/>
          <w:lang w:val="en-US" w:eastAsia="en-GB" w:bidi="ar-SA"/>
        </w:rPr>
      </w:pPr>
      <w:bookmarkStart w:id="2422" w:name="_Toc420594532"/>
      <w:r>
        <w:rPr>
          <w:rFonts w:cs="Arial"/>
          <w:b/>
          <w:szCs w:val="22"/>
          <w:u w:val="single"/>
          <w:lang w:val="en-US" w:eastAsia="en-GB" w:bidi="ar-SA"/>
        </w:rPr>
        <w:t>Command Description:</w:t>
      </w:r>
      <w:bookmarkEnd w:id="2422"/>
    </w:p>
    <w:p w14:paraId="029062FC" w14:textId="6B9B9DB7"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is realised through GlobalPlatform STORE DATA commands 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78320E79" w14:textId="77777777" w:rsidR="00B97365" w:rsidRDefault="00000000">
      <w:pPr>
        <w:spacing w:before="0" w:after="200" w:line="276" w:lineRule="auto"/>
        <w:jc w:val="left"/>
        <w:rPr>
          <w:b/>
          <w:i/>
          <w:szCs w:val="22"/>
          <w:lang w:val="en-US" w:eastAsia="en-GB" w:bidi="ar-SA"/>
        </w:rPr>
      </w:pPr>
      <w:bookmarkStart w:id="2423" w:name="_Toc420594533"/>
      <w:r>
        <w:rPr>
          <w:rFonts w:cs="Arial"/>
          <w:b/>
          <w:i/>
          <w:szCs w:val="22"/>
          <w:lang w:val="en-US" w:eastAsia="en-GB" w:bidi="ar-SA"/>
        </w:rPr>
        <w:t>First STORE DATA command</w:t>
      </w:r>
      <w:bookmarkEnd w:id="2423"/>
    </w:p>
    <w:p w14:paraId="33622941" w14:textId="77777777" w:rsidR="00B97365" w:rsidRDefault="00000000">
      <w:pPr>
        <w:spacing w:before="0" w:after="200" w:line="276" w:lineRule="auto"/>
        <w:jc w:val="left"/>
        <w:rPr>
          <w:b/>
          <w:i/>
          <w:szCs w:val="22"/>
          <w:lang w:val="en-US" w:eastAsia="en-GB" w:bidi="ar-SA"/>
        </w:rPr>
      </w:pPr>
      <w:bookmarkStart w:id="2424" w:name="_Toc420594534"/>
      <w:r>
        <w:rPr>
          <w:rFonts w:cs="Arial"/>
          <w:b/>
          <w:i/>
          <w:lang w:eastAsia="en-GB" w:bidi="ar-SA"/>
        </w:rPr>
        <w:t>Command</w:t>
      </w:r>
      <w:r>
        <w:rPr>
          <w:b/>
          <w:i/>
          <w:szCs w:val="22"/>
          <w:lang w:val="en-US" w:eastAsia="en-GB" w:bidi="ar-SA"/>
        </w:rPr>
        <w:t xml:space="preserve"> Message</w:t>
      </w:r>
      <w:bookmarkEnd w:id="2424"/>
    </w:p>
    <w:p w14:paraId="57D55F6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command message SHALL be coded according to the following table: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540"/>
        <w:gridCol w:w="2603"/>
        <w:gridCol w:w="4312"/>
      </w:tblGrid>
      <w:tr w:rsidR="00B97365" w14:paraId="576B2A3B" w14:textId="77777777">
        <w:trPr>
          <w:cantSplit/>
          <w:tblHeader/>
          <w:jc w:val="center"/>
        </w:trPr>
        <w:tc>
          <w:tcPr>
            <w:tcW w:w="0" w:type="auto"/>
            <w:tcBorders>
              <w:top w:val="single" w:sz="4" w:space="0" w:color="000000"/>
              <w:left w:val="single" w:sz="4" w:space="0" w:color="000000"/>
              <w:bottom w:val="single" w:sz="6" w:space="0" w:color="000000"/>
              <w:right w:val="single" w:sz="6" w:space="0" w:color="000000"/>
            </w:tcBorders>
            <w:shd w:val="clear" w:color="auto" w:fill="C00000"/>
            <w:vAlign w:val="center"/>
            <w:hideMark/>
          </w:tcPr>
          <w:p w14:paraId="2FB8F1FE"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Code</w:t>
            </w:r>
          </w:p>
        </w:tc>
        <w:tc>
          <w:tcPr>
            <w:tcW w:w="0" w:type="auto"/>
            <w:tcBorders>
              <w:top w:val="single" w:sz="4" w:space="0" w:color="000000"/>
              <w:left w:val="single" w:sz="6" w:space="0" w:color="000000"/>
              <w:bottom w:val="single" w:sz="6" w:space="0" w:color="000000"/>
              <w:right w:val="single" w:sz="6" w:space="0" w:color="000000"/>
            </w:tcBorders>
            <w:shd w:val="clear" w:color="auto" w:fill="C00000"/>
            <w:vAlign w:val="center"/>
            <w:hideMark/>
          </w:tcPr>
          <w:p w14:paraId="65286A5F"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Value</w:t>
            </w:r>
          </w:p>
        </w:tc>
        <w:tc>
          <w:tcPr>
            <w:tcW w:w="0" w:type="auto"/>
            <w:tcBorders>
              <w:top w:val="single" w:sz="4" w:space="0" w:color="000000"/>
              <w:left w:val="single" w:sz="6" w:space="0" w:color="000000"/>
              <w:bottom w:val="single" w:sz="6" w:space="0" w:color="000000"/>
              <w:right w:val="single" w:sz="4" w:space="0" w:color="000000"/>
            </w:tcBorders>
            <w:shd w:val="clear" w:color="auto" w:fill="C00000"/>
            <w:vAlign w:val="center"/>
            <w:hideMark/>
          </w:tcPr>
          <w:p w14:paraId="5A85BB31"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2FD79FD2"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453FF4B2" w14:textId="77777777" w:rsidR="00B97365" w:rsidRDefault="00000000">
            <w:pPr>
              <w:rPr>
                <w:rFonts w:cs="Arial"/>
                <w:bCs/>
                <w:sz w:val="16"/>
                <w:szCs w:val="16"/>
              </w:rPr>
            </w:pPr>
            <w:r>
              <w:rPr>
                <w:rFonts w:cs="Arial"/>
                <w:sz w:val="16"/>
                <w:szCs w:val="16"/>
              </w:rPr>
              <w:t>CLA</w:t>
            </w:r>
          </w:p>
        </w:tc>
        <w:tc>
          <w:tcPr>
            <w:tcW w:w="0" w:type="auto"/>
            <w:tcBorders>
              <w:top w:val="single" w:sz="6" w:space="0" w:color="000000"/>
              <w:left w:val="single" w:sz="6" w:space="0" w:color="000000"/>
              <w:bottom w:val="single" w:sz="6" w:space="0" w:color="000000"/>
              <w:right w:val="single" w:sz="6" w:space="0" w:color="000000"/>
            </w:tcBorders>
            <w:hideMark/>
          </w:tcPr>
          <w:p w14:paraId="419B33A5" w14:textId="77777777" w:rsidR="00B97365" w:rsidRDefault="00000000">
            <w:pPr>
              <w:rPr>
                <w:rFonts w:cs="Arial"/>
                <w:bCs/>
                <w:sz w:val="16"/>
                <w:szCs w:val="16"/>
              </w:rPr>
            </w:pPr>
            <w:r>
              <w:rPr>
                <w:rFonts w:cs="Arial"/>
                <w:sz w:val="16"/>
                <w:szCs w:val="16"/>
              </w:rPr>
              <w:t>‘80’ – ‘8F’, ‘C0’ – ‘CF’ or ‘E0’ – ‘EF’</w:t>
            </w:r>
          </w:p>
        </w:tc>
        <w:tc>
          <w:tcPr>
            <w:tcW w:w="0" w:type="auto"/>
            <w:tcBorders>
              <w:top w:val="single" w:sz="6" w:space="0" w:color="000000"/>
              <w:left w:val="single" w:sz="6" w:space="0" w:color="000000"/>
              <w:bottom w:val="single" w:sz="6" w:space="0" w:color="000000"/>
              <w:right w:val="single" w:sz="4" w:space="0" w:color="000000"/>
            </w:tcBorders>
            <w:hideMark/>
          </w:tcPr>
          <w:p w14:paraId="7A1918C1" w14:textId="770D64E9" w:rsidR="00B97365" w:rsidRDefault="00000000">
            <w:pPr>
              <w:rPr>
                <w:bCs/>
                <w:sz w:val="16"/>
                <w:szCs w:val="16"/>
              </w:rPr>
            </w:pPr>
            <w:r>
              <w:rPr>
                <w:rFonts w:cs="Arial"/>
                <w:sz w:val="16"/>
                <w:szCs w:val="16"/>
              </w:rPr>
              <w:t xml:space="preserve">See section 11.1.4 of GlobalPlatform Card Specification </w:t>
            </w:r>
            <w:r>
              <w:fldChar w:fldCharType="begin"/>
            </w:r>
            <w:r>
              <w:rPr>
                <w:sz w:val="16"/>
                <w:szCs w:val="16"/>
              </w:rPr>
              <w:instrText xml:space="preserve"> REF _Ref421631311 \r \h </w:instrText>
            </w:r>
            <w:r>
              <w:fldChar w:fldCharType="separate"/>
            </w:r>
            <w:r w:rsidR="001D5AD9">
              <w:rPr>
                <w:sz w:val="16"/>
                <w:szCs w:val="16"/>
              </w:rPr>
              <w:t>[6]</w:t>
            </w:r>
            <w:r>
              <w:fldChar w:fldCharType="end"/>
            </w:r>
          </w:p>
        </w:tc>
      </w:tr>
      <w:tr w:rsidR="00B97365" w14:paraId="32BDA1B5"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7E1B10EE" w14:textId="77777777" w:rsidR="00B97365" w:rsidRDefault="00000000">
            <w:pPr>
              <w:rPr>
                <w:rFonts w:cs="Arial"/>
                <w:bCs/>
                <w:sz w:val="16"/>
                <w:szCs w:val="16"/>
              </w:rPr>
            </w:pPr>
            <w:r>
              <w:rPr>
                <w:rFonts w:cs="Arial"/>
                <w:sz w:val="16"/>
                <w:szCs w:val="16"/>
              </w:rPr>
              <w:t>INS</w:t>
            </w:r>
          </w:p>
        </w:tc>
        <w:tc>
          <w:tcPr>
            <w:tcW w:w="0" w:type="auto"/>
            <w:tcBorders>
              <w:top w:val="single" w:sz="6" w:space="0" w:color="000000"/>
              <w:left w:val="single" w:sz="6" w:space="0" w:color="000000"/>
              <w:bottom w:val="single" w:sz="6" w:space="0" w:color="000000"/>
              <w:right w:val="single" w:sz="6" w:space="0" w:color="000000"/>
            </w:tcBorders>
            <w:hideMark/>
          </w:tcPr>
          <w:p w14:paraId="6F656BE6" w14:textId="77777777" w:rsidR="00B97365" w:rsidRDefault="00000000">
            <w:pPr>
              <w:rPr>
                <w:rFonts w:cs="Arial"/>
                <w:bCs/>
                <w:sz w:val="16"/>
                <w:szCs w:val="16"/>
              </w:rPr>
            </w:pPr>
            <w:r>
              <w:rPr>
                <w:rFonts w:cs="Arial"/>
                <w:sz w:val="16"/>
                <w:szCs w:val="16"/>
              </w:rPr>
              <w:t>‘E2’</w:t>
            </w:r>
          </w:p>
        </w:tc>
        <w:tc>
          <w:tcPr>
            <w:tcW w:w="0" w:type="auto"/>
            <w:tcBorders>
              <w:top w:val="single" w:sz="6" w:space="0" w:color="000000"/>
              <w:left w:val="single" w:sz="6" w:space="0" w:color="000000"/>
              <w:bottom w:val="single" w:sz="6" w:space="0" w:color="000000"/>
              <w:right w:val="single" w:sz="4" w:space="0" w:color="000000"/>
            </w:tcBorders>
            <w:hideMark/>
          </w:tcPr>
          <w:p w14:paraId="20E9570F" w14:textId="77777777" w:rsidR="00B97365" w:rsidRDefault="00000000">
            <w:pPr>
              <w:rPr>
                <w:rFonts w:cs="Arial"/>
                <w:bCs/>
                <w:sz w:val="16"/>
                <w:szCs w:val="16"/>
              </w:rPr>
            </w:pPr>
            <w:r>
              <w:rPr>
                <w:rFonts w:cs="Arial"/>
                <w:sz w:val="16"/>
                <w:szCs w:val="16"/>
              </w:rPr>
              <w:t>STORE DATA</w:t>
            </w:r>
          </w:p>
        </w:tc>
      </w:tr>
      <w:tr w:rsidR="00B97365" w14:paraId="132DA19B"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2FF16CA1" w14:textId="77777777" w:rsidR="00B97365" w:rsidRDefault="00000000">
            <w:pPr>
              <w:rPr>
                <w:rFonts w:cs="Arial"/>
                <w:bCs/>
                <w:sz w:val="16"/>
                <w:szCs w:val="16"/>
              </w:rPr>
            </w:pPr>
            <w:r>
              <w:rPr>
                <w:rFonts w:cs="Arial"/>
                <w:sz w:val="16"/>
                <w:szCs w:val="16"/>
              </w:rPr>
              <w:t>P1</w:t>
            </w:r>
          </w:p>
        </w:tc>
        <w:tc>
          <w:tcPr>
            <w:tcW w:w="0" w:type="auto"/>
            <w:tcBorders>
              <w:top w:val="single" w:sz="6" w:space="0" w:color="000000"/>
              <w:left w:val="single" w:sz="6" w:space="0" w:color="000000"/>
              <w:bottom w:val="single" w:sz="6" w:space="0" w:color="000000"/>
              <w:right w:val="single" w:sz="6" w:space="0" w:color="000000"/>
            </w:tcBorders>
            <w:hideMark/>
          </w:tcPr>
          <w:p w14:paraId="5BE12817" w14:textId="77777777" w:rsidR="00B97365" w:rsidRDefault="00000000">
            <w:pPr>
              <w:rPr>
                <w:rFonts w:cs="Arial"/>
                <w:bCs/>
                <w:sz w:val="16"/>
                <w:szCs w:val="16"/>
              </w:rPr>
            </w:pPr>
            <w:r>
              <w:rPr>
                <w:rFonts w:cs="Arial"/>
                <w:sz w:val="16"/>
                <w:szCs w:val="16"/>
              </w:rPr>
              <w:t>‘09’</w:t>
            </w:r>
          </w:p>
        </w:tc>
        <w:tc>
          <w:tcPr>
            <w:tcW w:w="0" w:type="auto"/>
            <w:tcBorders>
              <w:top w:val="single" w:sz="6" w:space="0" w:color="000000"/>
              <w:left w:val="single" w:sz="6" w:space="0" w:color="000000"/>
              <w:bottom w:val="single" w:sz="6" w:space="0" w:color="000000"/>
              <w:right w:val="single" w:sz="4" w:space="0" w:color="000000"/>
            </w:tcBorders>
            <w:hideMark/>
          </w:tcPr>
          <w:p w14:paraId="67CBDEC2" w14:textId="77777777" w:rsidR="00B97365" w:rsidRDefault="00000000">
            <w:pPr>
              <w:rPr>
                <w:rFonts w:cs="Arial"/>
                <w:bCs/>
                <w:sz w:val="16"/>
                <w:szCs w:val="16"/>
              </w:rPr>
            </w:pPr>
            <w:r>
              <w:rPr>
                <w:rFonts w:cs="Arial"/>
                <w:sz w:val="16"/>
                <w:szCs w:val="16"/>
              </w:rPr>
              <w:t>Reference control parameter P1</w:t>
            </w:r>
          </w:p>
        </w:tc>
      </w:tr>
      <w:tr w:rsidR="00B97365" w14:paraId="7132F919"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589D64B7" w14:textId="77777777" w:rsidR="00B97365" w:rsidRDefault="00000000">
            <w:pPr>
              <w:rPr>
                <w:rFonts w:cs="Arial"/>
                <w:bCs/>
                <w:sz w:val="16"/>
                <w:szCs w:val="16"/>
              </w:rPr>
            </w:pPr>
            <w:r>
              <w:rPr>
                <w:rFonts w:cs="Arial"/>
                <w:sz w:val="16"/>
                <w:szCs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292D9D2B" w14:textId="77777777" w:rsidR="00B97365" w:rsidRDefault="00000000">
            <w:pPr>
              <w:rPr>
                <w:rFonts w:cs="Arial"/>
                <w:bCs/>
                <w:sz w:val="16"/>
                <w:szCs w:val="16"/>
              </w:rPr>
            </w:pPr>
            <w:r>
              <w:rPr>
                <w:rFonts w:cs="Arial"/>
                <w:sz w:val="16"/>
                <w:szCs w:val="16"/>
              </w:rPr>
              <w:t>‘00’</w:t>
            </w:r>
          </w:p>
        </w:tc>
        <w:tc>
          <w:tcPr>
            <w:tcW w:w="0" w:type="auto"/>
            <w:tcBorders>
              <w:top w:val="single" w:sz="6" w:space="0" w:color="000000"/>
              <w:left w:val="single" w:sz="6" w:space="0" w:color="000000"/>
              <w:bottom w:val="single" w:sz="6" w:space="0" w:color="000000"/>
              <w:right w:val="single" w:sz="4" w:space="0" w:color="000000"/>
            </w:tcBorders>
            <w:hideMark/>
          </w:tcPr>
          <w:p w14:paraId="55F3488C" w14:textId="77777777" w:rsidR="00B97365" w:rsidRDefault="00000000">
            <w:pPr>
              <w:rPr>
                <w:rFonts w:cs="Arial"/>
                <w:bCs/>
                <w:sz w:val="16"/>
                <w:szCs w:val="16"/>
              </w:rPr>
            </w:pPr>
            <w:r>
              <w:rPr>
                <w:rFonts w:cs="Arial"/>
                <w:sz w:val="16"/>
                <w:szCs w:val="16"/>
              </w:rPr>
              <w:t>Block number</w:t>
            </w:r>
          </w:p>
        </w:tc>
      </w:tr>
      <w:tr w:rsidR="00B97365" w14:paraId="64E513E7"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4B8B36E8" w14:textId="77777777" w:rsidR="00B97365" w:rsidRDefault="00000000">
            <w:pPr>
              <w:rPr>
                <w:rFonts w:cs="Arial"/>
                <w:bCs/>
                <w:sz w:val="16"/>
                <w:szCs w:val="16"/>
              </w:rPr>
            </w:pPr>
            <w:r>
              <w:rPr>
                <w:rFonts w:cs="Arial"/>
                <w:sz w:val="16"/>
                <w:szCs w:val="16"/>
              </w:rPr>
              <w:t>Lc</w:t>
            </w:r>
          </w:p>
        </w:tc>
        <w:tc>
          <w:tcPr>
            <w:tcW w:w="0" w:type="auto"/>
            <w:tcBorders>
              <w:top w:val="single" w:sz="6" w:space="0" w:color="000000"/>
              <w:left w:val="single" w:sz="6" w:space="0" w:color="000000"/>
              <w:bottom w:val="single" w:sz="6" w:space="0" w:color="000000"/>
              <w:right w:val="single" w:sz="6" w:space="0" w:color="000000"/>
            </w:tcBorders>
            <w:hideMark/>
          </w:tcPr>
          <w:p w14:paraId="36C641D1" w14:textId="77777777" w:rsidR="00B97365" w:rsidRDefault="00000000">
            <w:pPr>
              <w:rPr>
                <w:rFonts w:cs="Arial"/>
                <w:bCs/>
                <w:sz w:val="16"/>
                <w:szCs w:val="16"/>
              </w:rPr>
            </w:pPr>
            <w:r>
              <w:rPr>
                <w:rFonts w:cs="Arial"/>
                <w:sz w:val="16"/>
                <w:szCs w:val="16"/>
              </w:rPr>
              <w:t>‘xx’</w:t>
            </w:r>
          </w:p>
        </w:tc>
        <w:tc>
          <w:tcPr>
            <w:tcW w:w="0" w:type="auto"/>
            <w:tcBorders>
              <w:top w:val="single" w:sz="6" w:space="0" w:color="000000"/>
              <w:left w:val="single" w:sz="6" w:space="0" w:color="000000"/>
              <w:bottom w:val="single" w:sz="6" w:space="0" w:color="000000"/>
              <w:right w:val="single" w:sz="4" w:space="0" w:color="000000"/>
            </w:tcBorders>
            <w:hideMark/>
          </w:tcPr>
          <w:p w14:paraId="6ED7B91A" w14:textId="77777777" w:rsidR="00B97365" w:rsidRDefault="00000000">
            <w:pPr>
              <w:rPr>
                <w:rFonts w:cs="Arial"/>
                <w:bCs/>
                <w:sz w:val="16"/>
                <w:szCs w:val="16"/>
              </w:rPr>
            </w:pPr>
            <w:r>
              <w:rPr>
                <w:rFonts w:cs="Arial"/>
                <w:sz w:val="16"/>
                <w:szCs w:val="16"/>
              </w:rPr>
              <w:t>Length of data field</w:t>
            </w:r>
          </w:p>
        </w:tc>
      </w:tr>
      <w:tr w:rsidR="00B97365" w14:paraId="13987338"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43396FB1" w14:textId="77777777" w:rsidR="00B97365" w:rsidRDefault="00000000">
            <w:pPr>
              <w:rPr>
                <w:rFonts w:cs="Arial"/>
                <w:bCs/>
                <w:sz w:val="16"/>
                <w:szCs w:val="16"/>
              </w:rPr>
            </w:pPr>
            <w:r>
              <w:rPr>
                <w:rFonts w:cs="Arial"/>
                <w:sz w:val="16"/>
                <w:szCs w:val="16"/>
              </w:rPr>
              <w:t>Data</w:t>
            </w:r>
          </w:p>
        </w:tc>
        <w:tc>
          <w:tcPr>
            <w:tcW w:w="0" w:type="auto"/>
            <w:tcBorders>
              <w:top w:val="single" w:sz="6" w:space="0" w:color="000000"/>
              <w:left w:val="single" w:sz="6" w:space="0" w:color="000000"/>
              <w:bottom w:val="single" w:sz="6" w:space="0" w:color="000000"/>
              <w:right w:val="single" w:sz="6" w:space="0" w:color="000000"/>
            </w:tcBorders>
            <w:hideMark/>
          </w:tcPr>
          <w:p w14:paraId="0D7EACED" w14:textId="77777777" w:rsidR="00B97365" w:rsidRDefault="00000000">
            <w:pPr>
              <w:rPr>
                <w:rFonts w:cs="Arial"/>
                <w:bCs/>
                <w:sz w:val="16"/>
                <w:szCs w:val="16"/>
              </w:rPr>
            </w:pPr>
            <w:r>
              <w:rPr>
                <w:rFonts w:cs="Arial"/>
                <w:sz w:val="16"/>
                <w:szCs w:val="16"/>
              </w:rPr>
              <w:t>‘xxxxx…’</w:t>
            </w:r>
          </w:p>
        </w:tc>
        <w:tc>
          <w:tcPr>
            <w:tcW w:w="0" w:type="auto"/>
            <w:tcBorders>
              <w:top w:val="single" w:sz="6" w:space="0" w:color="000000"/>
              <w:left w:val="single" w:sz="6" w:space="0" w:color="000000"/>
              <w:bottom w:val="single" w:sz="6" w:space="0" w:color="000000"/>
              <w:right w:val="single" w:sz="4" w:space="0" w:color="000000"/>
            </w:tcBorders>
            <w:hideMark/>
          </w:tcPr>
          <w:p w14:paraId="4FBCA87C" w14:textId="77777777" w:rsidR="00B97365" w:rsidRDefault="00000000">
            <w:pPr>
              <w:rPr>
                <w:rFonts w:cs="Arial"/>
                <w:bCs/>
                <w:sz w:val="16"/>
                <w:szCs w:val="16"/>
              </w:rPr>
            </w:pPr>
            <w:r>
              <w:rPr>
                <w:rFonts w:cs="Arial"/>
                <w:sz w:val="16"/>
                <w:szCs w:val="16"/>
              </w:rPr>
              <w:t>Application data and MAC (if present)</w:t>
            </w:r>
          </w:p>
        </w:tc>
      </w:tr>
      <w:tr w:rsidR="00B97365" w14:paraId="48B979F1" w14:textId="77777777">
        <w:trPr>
          <w:cantSplit/>
          <w:jc w:val="center"/>
        </w:trPr>
        <w:tc>
          <w:tcPr>
            <w:tcW w:w="0" w:type="auto"/>
            <w:tcBorders>
              <w:top w:val="single" w:sz="6" w:space="0" w:color="000000"/>
              <w:left w:val="single" w:sz="4" w:space="0" w:color="000000"/>
              <w:bottom w:val="single" w:sz="4" w:space="0" w:color="000000"/>
              <w:right w:val="single" w:sz="6" w:space="0" w:color="000000"/>
            </w:tcBorders>
            <w:hideMark/>
          </w:tcPr>
          <w:p w14:paraId="5A88DA79" w14:textId="77777777" w:rsidR="00B97365" w:rsidRDefault="00000000">
            <w:pPr>
              <w:keepNext/>
              <w:rPr>
                <w:rFonts w:cs="Arial"/>
                <w:bCs/>
                <w:sz w:val="16"/>
                <w:szCs w:val="16"/>
              </w:rPr>
            </w:pPr>
            <w:r>
              <w:rPr>
                <w:rFonts w:cs="Arial"/>
                <w:sz w:val="16"/>
                <w:szCs w:val="16"/>
              </w:rPr>
              <w:t>Le</w:t>
            </w:r>
          </w:p>
        </w:tc>
        <w:tc>
          <w:tcPr>
            <w:tcW w:w="0" w:type="auto"/>
            <w:tcBorders>
              <w:top w:val="single" w:sz="6" w:space="0" w:color="000000"/>
              <w:left w:val="single" w:sz="6" w:space="0" w:color="000000"/>
              <w:bottom w:val="single" w:sz="4" w:space="0" w:color="000000"/>
              <w:right w:val="single" w:sz="6" w:space="0" w:color="000000"/>
            </w:tcBorders>
            <w:hideMark/>
          </w:tcPr>
          <w:p w14:paraId="4F323776" w14:textId="77777777" w:rsidR="00B97365" w:rsidRDefault="00000000">
            <w:pPr>
              <w:keepNext/>
              <w:rPr>
                <w:rFonts w:cs="Arial"/>
                <w:bCs/>
                <w:sz w:val="16"/>
                <w:szCs w:val="16"/>
              </w:rPr>
            </w:pPr>
            <w:r>
              <w:rPr>
                <w:rFonts w:cs="Arial"/>
                <w:sz w:val="16"/>
                <w:szCs w:val="16"/>
              </w:rPr>
              <w:t xml:space="preserve"> ‘00’</w:t>
            </w:r>
          </w:p>
        </w:tc>
        <w:tc>
          <w:tcPr>
            <w:tcW w:w="0" w:type="auto"/>
            <w:tcBorders>
              <w:top w:val="single" w:sz="6" w:space="0" w:color="000000"/>
              <w:left w:val="single" w:sz="6" w:space="0" w:color="000000"/>
              <w:bottom w:val="single" w:sz="4" w:space="0" w:color="000000"/>
              <w:right w:val="single" w:sz="4" w:space="0" w:color="000000"/>
            </w:tcBorders>
          </w:tcPr>
          <w:p w14:paraId="54868C19" w14:textId="77777777" w:rsidR="00B97365" w:rsidRDefault="00B97365">
            <w:pPr>
              <w:keepNext/>
              <w:rPr>
                <w:rFonts w:cs="Arial"/>
                <w:bCs/>
                <w:sz w:val="16"/>
                <w:szCs w:val="16"/>
              </w:rPr>
            </w:pPr>
          </w:p>
        </w:tc>
      </w:tr>
    </w:tbl>
    <w:p w14:paraId="0E87EABF" w14:textId="77777777" w:rsidR="00B97365" w:rsidRDefault="00000000">
      <w:pPr>
        <w:numPr>
          <w:ilvl w:val="0"/>
          <w:numId w:val="14"/>
        </w:numPr>
        <w:tabs>
          <w:tab w:val="left" w:pos="1009"/>
        </w:tabs>
        <w:spacing w:after="200" w:line="276" w:lineRule="auto"/>
        <w:jc w:val="center"/>
        <w:rPr>
          <w:rFonts w:cs="Calibri"/>
          <w:b/>
          <w:lang w:eastAsia="de-DE" w:bidi="ar-SA"/>
        </w:rPr>
      </w:pPr>
      <w:r>
        <w:rPr>
          <w:rFonts w:cs="Arial"/>
          <w:b/>
          <w:lang w:eastAsia="de-DE" w:bidi="ar-SA"/>
        </w:rPr>
        <w:t>: STORE DATA Command Message</w:t>
      </w:r>
    </w:p>
    <w:p w14:paraId="0F454CD9"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lastRenderedPageBreak/>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3"/>
        <w:gridCol w:w="403"/>
        <w:gridCol w:w="403"/>
        <w:gridCol w:w="403"/>
        <w:gridCol w:w="403"/>
        <w:gridCol w:w="403"/>
        <w:gridCol w:w="403"/>
        <w:gridCol w:w="403"/>
        <w:gridCol w:w="4894"/>
      </w:tblGrid>
      <w:tr w:rsidR="00B97365" w14:paraId="0822E98B"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0A1E1C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D601519"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A16065F"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9FF3D61"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FE2AE65"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64931C8"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1079E6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C537EC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A32563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08E62E21"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3E663C08"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7319E422"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351D567"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5749D5F"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5C60DE4"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A0FCF80"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B983C04"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A43291D"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5D8D1832" w14:textId="77777777" w:rsidR="00B97365" w:rsidRDefault="00000000">
            <w:pPr>
              <w:rPr>
                <w:rFonts w:cs="Arial"/>
                <w:bCs/>
                <w:sz w:val="16"/>
                <w:szCs w:val="16"/>
              </w:rPr>
            </w:pPr>
            <w:r>
              <w:rPr>
                <w:rFonts w:cs="Arial"/>
                <w:sz w:val="16"/>
                <w:szCs w:val="16"/>
              </w:rPr>
              <w:t>More blocks</w:t>
            </w:r>
          </w:p>
        </w:tc>
      </w:tr>
      <w:tr w:rsidR="00B97365" w14:paraId="407241DE"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184540D"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C9922B5"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29D54522"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75CA0450"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2145E88"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27B6FC8"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47C2679"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9DCA920"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2151212B" w14:textId="77777777" w:rsidR="00B97365" w:rsidRDefault="00000000">
            <w:pPr>
              <w:rPr>
                <w:rFonts w:cs="Arial"/>
                <w:bCs/>
                <w:sz w:val="16"/>
                <w:szCs w:val="16"/>
              </w:rPr>
            </w:pPr>
            <w:r>
              <w:rPr>
                <w:rFonts w:cs="Arial"/>
                <w:sz w:val="16"/>
                <w:szCs w:val="16"/>
              </w:rPr>
              <w:t xml:space="preserve">No general encryption information or non-encrypted data </w:t>
            </w:r>
          </w:p>
        </w:tc>
      </w:tr>
      <w:tr w:rsidR="00B97365" w14:paraId="2E1D36C7"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7A55B3EB"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4E42925"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00B4424"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B41C86F"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35B31C5F" w14:textId="77777777" w:rsidR="00B97365" w:rsidRDefault="00000000">
            <w:pPr>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33544C05"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3F517AF"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C9A736F"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3C4B4184" w14:textId="77777777" w:rsidR="00B97365" w:rsidRDefault="00000000">
            <w:pPr>
              <w:rPr>
                <w:rFonts w:cs="Arial"/>
                <w:bCs/>
                <w:sz w:val="16"/>
                <w:szCs w:val="16"/>
              </w:rPr>
            </w:pPr>
            <w:r>
              <w:rPr>
                <w:rFonts w:cs="Arial"/>
                <w:sz w:val="16"/>
                <w:szCs w:val="16"/>
              </w:rPr>
              <w:t>DGI format of the command data field</w:t>
            </w:r>
          </w:p>
        </w:tc>
      </w:tr>
      <w:tr w:rsidR="00B97365" w14:paraId="12E729DA"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31CB3142"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B2D76F5"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A3987DE"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C1E3AF3"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EC833F2"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617DC98B" w14:textId="77777777" w:rsidR="00B97365" w:rsidRDefault="00B97365">
            <w:pPr>
              <w:keepNext/>
              <w:rPr>
                <w:rFonts w:cs="Arial"/>
                <w:bCs/>
                <w:sz w:val="16"/>
                <w:szCs w:val="16"/>
              </w:rPr>
            </w:pPr>
          </w:p>
        </w:tc>
        <w:tc>
          <w:tcPr>
            <w:tcW w:w="0" w:type="auto"/>
            <w:tcBorders>
              <w:top w:val="single" w:sz="6" w:space="0" w:color="auto"/>
              <w:left w:val="single" w:sz="6" w:space="0" w:color="auto"/>
              <w:bottom w:val="single" w:sz="6" w:space="0" w:color="auto"/>
              <w:right w:val="single" w:sz="6" w:space="0" w:color="auto"/>
            </w:tcBorders>
          </w:tcPr>
          <w:p w14:paraId="31A9B270" w14:textId="77777777" w:rsidR="00B97365" w:rsidRDefault="00B97365">
            <w:pPr>
              <w:keepNext/>
              <w:rPr>
                <w:rFonts w:cs="Arial"/>
                <w:bCs/>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562F3D77" w14:textId="77777777" w:rsidR="00B97365" w:rsidRDefault="00000000">
            <w:pPr>
              <w:keepNext/>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4" w:space="0" w:color="auto"/>
            </w:tcBorders>
            <w:hideMark/>
          </w:tcPr>
          <w:p w14:paraId="6D55E2B5" w14:textId="0C9B2B58" w:rsidR="00B97365" w:rsidRDefault="00000000">
            <w:pPr>
              <w:keepNext/>
              <w:rPr>
                <w:bCs/>
                <w:sz w:val="16"/>
                <w:szCs w:val="16"/>
              </w:rPr>
            </w:pPr>
            <w:r>
              <w:rPr>
                <w:rFonts w:cs="Arial"/>
                <w:sz w:val="16"/>
                <w:szCs w:val="16"/>
              </w:rPr>
              <w:t xml:space="preserve">Case 4 command as defined in GlobalPlatform Amendment A </w:t>
            </w:r>
            <w:r>
              <w:fldChar w:fldCharType="begin"/>
            </w:r>
            <w:r>
              <w:rPr>
                <w:sz w:val="16"/>
                <w:szCs w:val="16"/>
              </w:rPr>
              <w:instrText xml:space="preserve"> REF _Ref421633516 \r \h </w:instrText>
            </w:r>
            <w:r>
              <w:fldChar w:fldCharType="separate"/>
            </w:r>
            <w:r w:rsidR="001D5AD9">
              <w:rPr>
                <w:sz w:val="16"/>
                <w:szCs w:val="16"/>
              </w:rPr>
              <w:t>[54]</w:t>
            </w:r>
            <w:r>
              <w:fldChar w:fldCharType="end"/>
            </w:r>
          </w:p>
        </w:tc>
      </w:tr>
      <w:tr w:rsidR="00B97365" w14:paraId="40743F27"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493D397B"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CD300BE"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55D069CA"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37775262"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77A057EF"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5D5A5FF6" w14:textId="77777777" w:rsidR="00B97365" w:rsidRDefault="00000000">
            <w:pPr>
              <w:keepNext/>
              <w:rPr>
                <w:rFonts w:cs="Arial"/>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6F204F2F" w14:textId="77777777" w:rsidR="00B97365" w:rsidRDefault="00000000">
            <w:pPr>
              <w:keepNext/>
              <w:rPr>
                <w:rFonts w:cs="Arial"/>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458AB0B7"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4" w:space="0" w:color="auto"/>
            </w:tcBorders>
            <w:hideMark/>
          </w:tcPr>
          <w:p w14:paraId="74AA3305" w14:textId="77777777" w:rsidR="00B97365" w:rsidRDefault="00000000">
            <w:pPr>
              <w:keepNext/>
              <w:rPr>
                <w:rFonts w:cs="Arial"/>
                <w:sz w:val="16"/>
                <w:szCs w:val="16"/>
              </w:rPr>
            </w:pPr>
            <w:r>
              <w:rPr>
                <w:rFonts w:cs="Arial"/>
                <w:sz w:val="16"/>
                <w:szCs w:val="16"/>
              </w:rPr>
              <w:t>RFU</w:t>
            </w:r>
          </w:p>
        </w:tc>
      </w:tr>
    </w:tbl>
    <w:p w14:paraId="46A78A38" w14:textId="77777777" w:rsidR="00B97365" w:rsidRDefault="00000000">
      <w:pPr>
        <w:numPr>
          <w:ilvl w:val="0"/>
          <w:numId w:val="14"/>
        </w:numPr>
        <w:tabs>
          <w:tab w:val="left" w:pos="1009"/>
        </w:tabs>
        <w:spacing w:after="200" w:line="276" w:lineRule="auto"/>
        <w:jc w:val="center"/>
        <w:rPr>
          <w:rFonts w:asciiTheme="minorHAnsi" w:hAnsiTheme="minorHAnsi" w:cstheme="minorHAnsi"/>
          <w:b/>
          <w:lang w:eastAsia="de-DE" w:bidi="ar-SA"/>
        </w:rPr>
      </w:pPr>
      <w:r>
        <w:rPr>
          <w:rFonts w:cs="Arial"/>
          <w:b/>
          <w:lang w:eastAsia="de-DE" w:bidi="ar-SA"/>
        </w:rPr>
        <w:t>: STORE DATA Reference Control Parameter P1</w:t>
      </w:r>
    </w:p>
    <w:p w14:paraId="246E5206" w14:textId="77777777" w:rsidR="00B97365" w:rsidRDefault="00000000">
      <w:pPr>
        <w:spacing w:before="0" w:after="200" w:line="276" w:lineRule="auto"/>
        <w:jc w:val="left"/>
        <w:rPr>
          <w:b/>
          <w:i/>
          <w:szCs w:val="22"/>
          <w:lang w:val="en-US" w:eastAsia="en-GB" w:bidi="ar-SA"/>
        </w:rPr>
      </w:pPr>
      <w:bookmarkStart w:id="2425" w:name="_Toc420594535"/>
      <w:r>
        <w:rPr>
          <w:rFonts w:cs="Arial"/>
          <w:b/>
          <w:i/>
          <w:szCs w:val="22"/>
          <w:lang w:val="en-US" w:eastAsia="en-GB" w:bidi="ar-SA"/>
        </w:rPr>
        <w:t xml:space="preserve">Data Field Sent in </w:t>
      </w:r>
      <w:r>
        <w:rPr>
          <w:rFonts w:cs="Arial"/>
          <w:b/>
          <w:i/>
          <w:lang w:eastAsia="en-GB" w:bidi="ar-SA"/>
        </w:rPr>
        <w:t>the</w:t>
      </w:r>
      <w:r>
        <w:rPr>
          <w:b/>
          <w:i/>
          <w:szCs w:val="22"/>
          <w:lang w:val="en-US" w:eastAsia="en-GB" w:bidi="ar-SA"/>
        </w:rPr>
        <w:t xml:space="preserve"> Command Message</w:t>
      </w:r>
      <w:bookmarkEnd w:id="2425"/>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41"/>
        <w:gridCol w:w="792"/>
        <w:gridCol w:w="730"/>
        <w:gridCol w:w="709"/>
        <w:gridCol w:w="851"/>
        <w:gridCol w:w="849"/>
        <w:gridCol w:w="3367"/>
        <w:gridCol w:w="977"/>
      </w:tblGrid>
      <w:tr w:rsidR="00B97365" w14:paraId="01A01F34" w14:textId="77777777">
        <w:trPr>
          <w:cantSplit/>
          <w:jc w:val="center"/>
        </w:trPr>
        <w:tc>
          <w:tcPr>
            <w:tcW w:w="411" w:type="pct"/>
            <w:tcBorders>
              <w:top w:val="single" w:sz="4" w:space="0" w:color="auto"/>
              <w:left w:val="single" w:sz="4" w:space="0" w:color="auto"/>
              <w:bottom w:val="single" w:sz="6" w:space="0" w:color="auto"/>
              <w:right w:val="single" w:sz="6" w:space="0" w:color="auto"/>
            </w:tcBorders>
            <w:shd w:val="clear" w:color="auto" w:fill="C00000"/>
            <w:vAlign w:val="center"/>
            <w:hideMark/>
          </w:tcPr>
          <w:p w14:paraId="374D7531" w14:textId="77777777" w:rsidR="00B97365" w:rsidRDefault="00000000">
            <w:pPr>
              <w:jc w:val="center"/>
              <w:rPr>
                <w:rFonts w:cs="Calibri"/>
                <w:sz w:val="16"/>
                <w:szCs w:val="16"/>
              </w:rPr>
            </w:pPr>
            <w:r>
              <w:rPr>
                <w:rFonts w:cs="Calibri"/>
                <w:sz w:val="16"/>
                <w:szCs w:val="16"/>
              </w:rPr>
              <w:t>DGI</w:t>
            </w:r>
          </w:p>
        </w:tc>
        <w:tc>
          <w:tcPr>
            <w:tcW w:w="439" w:type="pct"/>
            <w:tcBorders>
              <w:top w:val="single" w:sz="4" w:space="0" w:color="auto"/>
              <w:left w:val="single" w:sz="6" w:space="0" w:color="auto"/>
              <w:bottom w:val="single" w:sz="6" w:space="0" w:color="auto"/>
              <w:right w:val="single" w:sz="6" w:space="0" w:color="auto"/>
            </w:tcBorders>
            <w:shd w:val="clear" w:color="auto" w:fill="C00000"/>
            <w:vAlign w:val="center"/>
            <w:hideMark/>
          </w:tcPr>
          <w:p w14:paraId="31959771" w14:textId="77777777" w:rsidR="00B97365" w:rsidRDefault="00000000">
            <w:pPr>
              <w:jc w:val="center"/>
              <w:rPr>
                <w:rFonts w:cs="Calibri"/>
                <w:sz w:val="16"/>
                <w:szCs w:val="16"/>
              </w:rPr>
            </w:pPr>
            <w:r>
              <w:rPr>
                <w:rFonts w:cs="Calibri"/>
                <w:sz w:val="16"/>
                <w:szCs w:val="16"/>
              </w:rPr>
              <w:t>Length</w:t>
            </w:r>
          </w:p>
        </w:tc>
        <w:tc>
          <w:tcPr>
            <w:tcW w:w="3608" w:type="pct"/>
            <w:gridSpan w:val="5"/>
            <w:tcBorders>
              <w:top w:val="single" w:sz="4" w:space="0" w:color="auto"/>
              <w:left w:val="single" w:sz="6" w:space="0" w:color="auto"/>
              <w:bottom w:val="single" w:sz="6" w:space="0" w:color="auto"/>
              <w:right w:val="single" w:sz="6" w:space="0" w:color="auto"/>
            </w:tcBorders>
            <w:shd w:val="clear" w:color="auto" w:fill="C00000"/>
            <w:vAlign w:val="center"/>
            <w:hideMark/>
          </w:tcPr>
          <w:p w14:paraId="52DF9E32" w14:textId="77777777" w:rsidR="00B97365" w:rsidRDefault="00000000">
            <w:pPr>
              <w:jc w:val="center"/>
              <w:rPr>
                <w:rFonts w:cs="Calibri"/>
                <w:sz w:val="16"/>
                <w:szCs w:val="16"/>
              </w:rPr>
            </w:pPr>
            <w:r>
              <w:rPr>
                <w:rFonts w:cs="Calibri"/>
                <w:sz w:val="16"/>
                <w:szCs w:val="16"/>
              </w:rPr>
              <w:t>Value Description</w:t>
            </w:r>
          </w:p>
        </w:tc>
        <w:tc>
          <w:tcPr>
            <w:tcW w:w="542" w:type="pct"/>
            <w:tcBorders>
              <w:top w:val="single" w:sz="4" w:space="0" w:color="auto"/>
              <w:left w:val="single" w:sz="6" w:space="0" w:color="auto"/>
              <w:bottom w:val="single" w:sz="6" w:space="0" w:color="auto"/>
              <w:right w:val="single" w:sz="4" w:space="0" w:color="auto"/>
            </w:tcBorders>
            <w:shd w:val="clear" w:color="auto" w:fill="C00000"/>
            <w:vAlign w:val="center"/>
            <w:hideMark/>
          </w:tcPr>
          <w:p w14:paraId="67C4BD54" w14:textId="77777777" w:rsidR="00B97365" w:rsidRDefault="00000000">
            <w:pPr>
              <w:jc w:val="center"/>
              <w:rPr>
                <w:rFonts w:cs="Calibri"/>
                <w:sz w:val="16"/>
                <w:szCs w:val="16"/>
              </w:rPr>
            </w:pPr>
            <w:r>
              <w:rPr>
                <w:rFonts w:cs="Calibri"/>
                <w:sz w:val="16"/>
                <w:szCs w:val="16"/>
              </w:rPr>
              <w:t>MOC</w:t>
            </w:r>
          </w:p>
        </w:tc>
      </w:tr>
      <w:tr w:rsidR="00B97365" w14:paraId="1BD6C202" w14:textId="77777777">
        <w:trPr>
          <w:cantSplit/>
          <w:jc w:val="center"/>
        </w:trPr>
        <w:tc>
          <w:tcPr>
            <w:tcW w:w="411" w:type="pct"/>
            <w:tcBorders>
              <w:top w:val="single" w:sz="6" w:space="0" w:color="auto"/>
              <w:left w:val="single" w:sz="4" w:space="0" w:color="auto"/>
              <w:bottom w:val="single" w:sz="6" w:space="0" w:color="auto"/>
              <w:right w:val="single" w:sz="6" w:space="0" w:color="auto"/>
            </w:tcBorders>
            <w:hideMark/>
          </w:tcPr>
          <w:p w14:paraId="76D9BFA4" w14:textId="77777777" w:rsidR="00B97365" w:rsidRDefault="00000000">
            <w:pPr>
              <w:rPr>
                <w:rFonts w:cs="Calibri"/>
                <w:sz w:val="16"/>
                <w:szCs w:val="16"/>
              </w:rPr>
            </w:pPr>
            <w:r>
              <w:rPr>
                <w:rFonts w:cs="Calibri"/>
                <w:sz w:val="16"/>
                <w:szCs w:val="16"/>
              </w:rPr>
              <w:t>‘3A01’</w:t>
            </w:r>
          </w:p>
        </w:tc>
        <w:tc>
          <w:tcPr>
            <w:tcW w:w="439" w:type="pct"/>
            <w:tcBorders>
              <w:top w:val="single" w:sz="6" w:space="0" w:color="auto"/>
              <w:left w:val="single" w:sz="6" w:space="0" w:color="auto"/>
              <w:bottom w:val="single" w:sz="6" w:space="0" w:color="auto"/>
              <w:right w:val="single" w:sz="6" w:space="0" w:color="auto"/>
            </w:tcBorders>
            <w:hideMark/>
          </w:tcPr>
          <w:p w14:paraId="1A99E7CC" w14:textId="77777777" w:rsidR="00B97365" w:rsidRDefault="00000000">
            <w:pPr>
              <w:rPr>
                <w:rFonts w:cs="Calibri"/>
                <w:sz w:val="16"/>
                <w:szCs w:val="16"/>
              </w:rPr>
            </w:pPr>
            <w:r>
              <w:rPr>
                <w:rFonts w:cs="Calibri"/>
                <w:sz w:val="16"/>
                <w:szCs w:val="16"/>
              </w:rPr>
              <w:t>Var</w:t>
            </w:r>
          </w:p>
        </w:tc>
        <w:tc>
          <w:tcPr>
            <w:tcW w:w="3608" w:type="pct"/>
            <w:gridSpan w:val="5"/>
            <w:tcBorders>
              <w:top w:val="single" w:sz="6" w:space="0" w:color="auto"/>
              <w:left w:val="single" w:sz="6" w:space="0" w:color="auto"/>
              <w:bottom w:val="single" w:sz="6" w:space="0" w:color="auto"/>
              <w:right w:val="single" w:sz="6" w:space="0" w:color="auto"/>
            </w:tcBorders>
            <w:hideMark/>
          </w:tcPr>
          <w:p w14:paraId="1D5E4DCF" w14:textId="77777777" w:rsidR="00B97365" w:rsidRDefault="00000000">
            <w:pPr>
              <w:rPr>
                <w:rFonts w:cs="Calibri"/>
                <w:sz w:val="16"/>
                <w:szCs w:val="16"/>
              </w:rPr>
            </w:pPr>
            <w:r>
              <w:rPr>
                <w:rFonts w:cs="Calibri"/>
                <w:sz w:val="16"/>
                <w:szCs w:val="16"/>
              </w:rPr>
              <w:t>Certificate of off-card entity</w:t>
            </w:r>
          </w:p>
        </w:tc>
        <w:tc>
          <w:tcPr>
            <w:tcW w:w="542" w:type="pct"/>
            <w:tcBorders>
              <w:top w:val="single" w:sz="6" w:space="0" w:color="auto"/>
              <w:left w:val="single" w:sz="6" w:space="0" w:color="auto"/>
              <w:bottom w:val="single" w:sz="6" w:space="0" w:color="auto"/>
              <w:right w:val="single" w:sz="4" w:space="0" w:color="auto"/>
            </w:tcBorders>
            <w:hideMark/>
          </w:tcPr>
          <w:p w14:paraId="45DBC9BA" w14:textId="77777777" w:rsidR="00B97365" w:rsidRDefault="00000000">
            <w:pPr>
              <w:jc w:val="center"/>
              <w:rPr>
                <w:rFonts w:cs="Calibri"/>
                <w:sz w:val="16"/>
                <w:szCs w:val="16"/>
              </w:rPr>
            </w:pPr>
            <w:r>
              <w:rPr>
                <w:rFonts w:cs="Calibri"/>
                <w:sz w:val="16"/>
                <w:szCs w:val="16"/>
              </w:rPr>
              <w:t>M</w:t>
            </w:r>
          </w:p>
        </w:tc>
      </w:tr>
      <w:tr w:rsidR="00B97365" w14:paraId="7FC09F66"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18DD8D9D" w14:textId="77777777" w:rsidR="00B97365" w:rsidRDefault="00B97365">
            <w:pPr>
              <w:rPr>
                <w:rFonts w:cs="Calibri"/>
                <w:b/>
                <w:sz w:val="16"/>
                <w:szCs w:val="16"/>
              </w:rPr>
            </w:pPr>
          </w:p>
        </w:tc>
        <w:tc>
          <w:tcPr>
            <w:tcW w:w="439" w:type="pct"/>
            <w:tcBorders>
              <w:top w:val="single" w:sz="6" w:space="0" w:color="auto"/>
              <w:left w:val="single" w:sz="6" w:space="0" w:color="auto"/>
              <w:bottom w:val="single" w:sz="6" w:space="0" w:color="auto"/>
              <w:right w:val="single" w:sz="6" w:space="0" w:color="auto"/>
            </w:tcBorders>
          </w:tcPr>
          <w:p w14:paraId="068E6D12" w14:textId="77777777" w:rsidR="00B97365" w:rsidRDefault="00B97365">
            <w:pPr>
              <w:rPr>
                <w:rFonts w:cs="Calibri"/>
                <w:b/>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C00000"/>
            <w:hideMark/>
          </w:tcPr>
          <w:p w14:paraId="20FB0563" w14:textId="77777777" w:rsidR="00B97365" w:rsidRDefault="00000000">
            <w:pPr>
              <w:rPr>
                <w:rFonts w:cs="Calibri"/>
                <w:sz w:val="16"/>
                <w:szCs w:val="16"/>
              </w:rPr>
            </w:pPr>
            <w:r>
              <w:rPr>
                <w:rFonts w:cs="Calibri"/>
                <w:sz w:val="16"/>
                <w:szCs w:val="16"/>
              </w:rPr>
              <w:t>Tag</w:t>
            </w:r>
          </w:p>
        </w:tc>
        <w:tc>
          <w:tcPr>
            <w:tcW w:w="393" w:type="pct"/>
            <w:tcBorders>
              <w:top w:val="single" w:sz="6" w:space="0" w:color="auto"/>
              <w:left w:val="single" w:sz="6" w:space="0" w:color="auto"/>
              <w:bottom w:val="single" w:sz="6" w:space="0" w:color="auto"/>
              <w:right w:val="single" w:sz="6" w:space="0" w:color="auto"/>
            </w:tcBorders>
            <w:shd w:val="clear" w:color="auto" w:fill="C00000"/>
            <w:hideMark/>
          </w:tcPr>
          <w:p w14:paraId="590A6322" w14:textId="77777777" w:rsidR="00B97365" w:rsidRDefault="00000000">
            <w:pPr>
              <w:rPr>
                <w:rFonts w:cs="Calibri"/>
                <w:sz w:val="16"/>
                <w:szCs w:val="16"/>
              </w:rPr>
            </w:pPr>
            <w:r>
              <w:rPr>
                <w:rFonts w:cs="Calibri"/>
                <w:sz w:val="16"/>
                <w:szCs w:val="16"/>
              </w:rPr>
              <w:t>Length</w:t>
            </w:r>
          </w:p>
        </w:tc>
        <w:tc>
          <w:tcPr>
            <w:tcW w:w="2810" w:type="pct"/>
            <w:gridSpan w:val="3"/>
            <w:tcBorders>
              <w:top w:val="single" w:sz="6" w:space="0" w:color="auto"/>
              <w:left w:val="single" w:sz="6" w:space="0" w:color="auto"/>
              <w:bottom w:val="single" w:sz="6" w:space="0" w:color="auto"/>
              <w:right w:val="single" w:sz="6" w:space="0" w:color="auto"/>
            </w:tcBorders>
            <w:shd w:val="clear" w:color="auto" w:fill="C00000"/>
            <w:hideMark/>
          </w:tcPr>
          <w:p w14:paraId="7E89E3B8" w14:textId="77777777" w:rsidR="00B97365" w:rsidRDefault="00000000">
            <w:pPr>
              <w:rPr>
                <w:rFonts w:cs="Calibri"/>
                <w:sz w:val="16"/>
                <w:szCs w:val="16"/>
              </w:rPr>
            </w:pPr>
            <w:r>
              <w:rPr>
                <w:rFonts w:cs="Calibri"/>
                <w:sz w:val="16"/>
                <w:szCs w:val="16"/>
              </w:rPr>
              <w:t>Value Description</w:t>
            </w:r>
          </w:p>
        </w:tc>
        <w:tc>
          <w:tcPr>
            <w:tcW w:w="542" w:type="pct"/>
            <w:tcBorders>
              <w:top w:val="single" w:sz="6" w:space="0" w:color="auto"/>
              <w:left w:val="single" w:sz="6" w:space="0" w:color="auto"/>
              <w:bottom w:val="single" w:sz="6" w:space="0" w:color="auto"/>
              <w:right w:val="single" w:sz="4" w:space="0" w:color="auto"/>
            </w:tcBorders>
            <w:shd w:val="clear" w:color="auto" w:fill="C00000"/>
            <w:hideMark/>
          </w:tcPr>
          <w:p w14:paraId="0AF1F7EB" w14:textId="77777777" w:rsidR="00B97365" w:rsidRDefault="00000000">
            <w:pPr>
              <w:jc w:val="center"/>
              <w:rPr>
                <w:rFonts w:cs="Calibri"/>
                <w:sz w:val="16"/>
                <w:szCs w:val="16"/>
              </w:rPr>
            </w:pPr>
            <w:r>
              <w:rPr>
                <w:rFonts w:cs="Calibri"/>
                <w:sz w:val="16"/>
                <w:szCs w:val="16"/>
              </w:rPr>
              <w:t>MOC</w:t>
            </w:r>
          </w:p>
        </w:tc>
      </w:tr>
      <w:tr w:rsidR="00B97365" w14:paraId="3E27A7D2"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1BB012A1"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4CC766A8"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hideMark/>
          </w:tcPr>
          <w:p w14:paraId="18BA0F67" w14:textId="77777777" w:rsidR="00B97365" w:rsidRDefault="00000000">
            <w:pPr>
              <w:rPr>
                <w:rFonts w:cs="Calibri"/>
                <w:sz w:val="16"/>
                <w:szCs w:val="16"/>
              </w:rPr>
            </w:pPr>
            <w:r>
              <w:rPr>
                <w:rFonts w:cs="Calibri"/>
                <w:sz w:val="16"/>
                <w:szCs w:val="16"/>
              </w:rPr>
              <w:t>‘7F21’</w:t>
            </w:r>
          </w:p>
        </w:tc>
        <w:tc>
          <w:tcPr>
            <w:tcW w:w="393" w:type="pct"/>
            <w:tcBorders>
              <w:top w:val="single" w:sz="6" w:space="0" w:color="auto"/>
              <w:left w:val="single" w:sz="6" w:space="0" w:color="auto"/>
              <w:bottom w:val="single" w:sz="6" w:space="0" w:color="auto"/>
              <w:right w:val="single" w:sz="6" w:space="0" w:color="auto"/>
            </w:tcBorders>
            <w:hideMark/>
          </w:tcPr>
          <w:p w14:paraId="34EDAA20" w14:textId="77777777" w:rsidR="00B97365" w:rsidRDefault="00000000">
            <w:pPr>
              <w:rPr>
                <w:rFonts w:cs="Calibri"/>
                <w:sz w:val="16"/>
                <w:szCs w:val="16"/>
              </w:rPr>
            </w:pPr>
            <w:r>
              <w:rPr>
                <w:rFonts w:cs="Calibri"/>
                <w:sz w:val="16"/>
                <w:szCs w:val="16"/>
              </w:rPr>
              <w:t>Var.</w:t>
            </w:r>
          </w:p>
        </w:tc>
        <w:tc>
          <w:tcPr>
            <w:tcW w:w="2810" w:type="pct"/>
            <w:gridSpan w:val="3"/>
            <w:tcBorders>
              <w:top w:val="single" w:sz="6" w:space="0" w:color="auto"/>
              <w:left w:val="single" w:sz="6" w:space="0" w:color="auto"/>
              <w:bottom w:val="single" w:sz="6" w:space="0" w:color="auto"/>
              <w:right w:val="single" w:sz="6" w:space="0" w:color="auto"/>
            </w:tcBorders>
            <w:hideMark/>
          </w:tcPr>
          <w:p w14:paraId="1CA460F3" w14:textId="77777777" w:rsidR="00B97365" w:rsidRDefault="00000000">
            <w:pPr>
              <w:rPr>
                <w:rFonts w:cs="Calibri"/>
                <w:sz w:val="16"/>
                <w:szCs w:val="16"/>
              </w:rPr>
            </w:pPr>
            <w:r>
              <w:rPr>
                <w:rFonts w:cs="Calibri"/>
                <w:sz w:val="16"/>
                <w:szCs w:val="16"/>
              </w:rPr>
              <w:t>Certificate</w:t>
            </w:r>
          </w:p>
        </w:tc>
        <w:tc>
          <w:tcPr>
            <w:tcW w:w="542" w:type="pct"/>
            <w:tcBorders>
              <w:top w:val="single" w:sz="6" w:space="0" w:color="auto"/>
              <w:left w:val="single" w:sz="6" w:space="0" w:color="auto"/>
              <w:bottom w:val="single" w:sz="6" w:space="0" w:color="auto"/>
              <w:right w:val="single" w:sz="4" w:space="0" w:color="auto"/>
            </w:tcBorders>
            <w:hideMark/>
          </w:tcPr>
          <w:p w14:paraId="6927FD27" w14:textId="77777777" w:rsidR="00B97365" w:rsidRDefault="00000000">
            <w:pPr>
              <w:jc w:val="center"/>
              <w:rPr>
                <w:rFonts w:cs="Calibri"/>
                <w:sz w:val="16"/>
                <w:szCs w:val="16"/>
              </w:rPr>
            </w:pPr>
            <w:r>
              <w:rPr>
                <w:rFonts w:cs="Calibri"/>
                <w:sz w:val="16"/>
                <w:szCs w:val="16"/>
              </w:rPr>
              <w:t>M</w:t>
            </w:r>
          </w:p>
        </w:tc>
      </w:tr>
      <w:tr w:rsidR="00B97365" w14:paraId="5BE5C9F2"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125DF749"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39E476C0"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tcPr>
          <w:p w14:paraId="0CAC6551" w14:textId="77777777" w:rsidR="00B97365" w:rsidRDefault="00B97365">
            <w:pPr>
              <w:rPr>
                <w:rFonts w:cs="Calibri"/>
                <w:sz w:val="16"/>
                <w:szCs w:val="16"/>
              </w:rPr>
            </w:pPr>
          </w:p>
        </w:tc>
        <w:tc>
          <w:tcPr>
            <w:tcW w:w="393" w:type="pct"/>
            <w:tcBorders>
              <w:top w:val="single" w:sz="6" w:space="0" w:color="auto"/>
              <w:left w:val="single" w:sz="6" w:space="0" w:color="auto"/>
              <w:bottom w:val="single" w:sz="6" w:space="0" w:color="auto"/>
              <w:right w:val="single" w:sz="6" w:space="0" w:color="auto"/>
            </w:tcBorders>
          </w:tcPr>
          <w:p w14:paraId="4CB7856E" w14:textId="77777777" w:rsidR="00B97365" w:rsidRDefault="00B97365">
            <w:pPr>
              <w:rPr>
                <w:rFonts w:cs="Calibri"/>
                <w:sz w:val="16"/>
                <w:szCs w:val="16"/>
              </w:rPr>
            </w:pPr>
          </w:p>
        </w:tc>
        <w:tc>
          <w:tcPr>
            <w:tcW w:w="472" w:type="pct"/>
            <w:tcBorders>
              <w:top w:val="single" w:sz="6" w:space="0" w:color="auto"/>
              <w:left w:val="single" w:sz="6" w:space="0" w:color="auto"/>
              <w:bottom w:val="single" w:sz="6" w:space="0" w:color="auto"/>
              <w:right w:val="single" w:sz="6" w:space="0" w:color="auto"/>
            </w:tcBorders>
            <w:shd w:val="clear" w:color="auto" w:fill="C00000"/>
            <w:hideMark/>
          </w:tcPr>
          <w:p w14:paraId="37869EDC" w14:textId="77777777" w:rsidR="00B97365" w:rsidRDefault="00000000">
            <w:pPr>
              <w:rPr>
                <w:rFonts w:cs="Calibri"/>
                <w:color w:val="FFFFFF"/>
                <w:sz w:val="16"/>
                <w:szCs w:val="16"/>
              </w:rPr>
            </w:pPr>
            <w:r>
              <w:rPr>
                <w:rFonts w:cs="Calibri"/>
                <w:color w:val="FFFFFF"/>
                <w:sz w:val="16"/>
                <w:szCs w:val="16"/>
              </w:rPr>
              <w:t>Tag</w:t>
            </w:r>
          </w:p>
        </w:tc>
        <w:tc>
          <w:tcPr>
            <w:tcW w:w="471" w:type="pct"/>
            <w:tcBorders>
              <w:top w:val="single" w:sz="6" w:space="0" w:color="auto"/>
              <w:left w:val="single" w:sz="6" w:space="0" w:color="auto"/>
              <w:bottom w:val="single" w:sz="6" w:space="0" w:color="auto"/>
              <w:right w:val="single" w:sz="6" w:space="0" w:color="auto"/>
            </w:tcBorders>
            <w:shd w:val="clear" w:color="auto" w:fill="C00000"/>
            <w:hideMark/>
          </w:tcPr>
          <w:p w14:paraId="428925DA" w14:textId="77777777" w:rsidR="00B97365" w:rsidRDefault="00000000">
            <w:pPr>
              <w:rPr>
                <w:rFonts w:cs="Calibri"/>
                <w:color w:val="FFFFFF"/>
                <w:sz w:val="16"/>
                <w:szCs w:val="16"/>
              </w:rPr>
            </w:pPr>
            <w:r>
              <w:rPr>
                <w:rFonts w:cs="Calibri"/>
                <w:color w:val="FFFFFF"/>
                <w:sz w:val="16"/>
                <w:szCs w:val="16"/>
              </w:rPr>
              <w:t>Length</w:t>
            </w:r>
          </w:p>
        </w:tc>
        <w:tc>
          <w:tcPr>
            <w:tcW w:w="1867" w:type="pct"/>
            <w:tcBorders>
              <w:top w:val="single" w:sz="6" w:space="0" w:color="auto"/>
              <w:left w:val="single" w:sz="6" w:space="0" w:color="auto"/>
              <w:bottom w:val="single" w:sz="6" w:space="0" w:color="auto"/>
              <w:right w:val="single" w:sz="6" w:space="0" w:color="auto"/>
            </w:tcBorders>
            <w:shd w:val="clear" w:color="auto" w:fill="C00000"/>
            <w:hideMark/>
          </w:tcPr>
          <w:p w14:paraId="227E046C" w14:textId="77777777" w:rsidR="00B97365" w:rsidRDefault="00000000">
            <w:pPr>
              <w:jc w:val="center"/>
              <w:rPr>
                <w:rFonts w:cs="Calibri"/>
                <w:color w:val="FFFFFF"/>
                <w:sz w:val="16"/>
                <w:szCs w:val="16"/>
              </w:rPr>
            </w:pPr>
            <w:r>
              <w:rPr>
                <w:rFonts w:cs="Calibri"/>
                <w:color w:val="FFFFFF"/>
                <w:sz w:val="16"/>
                <w:szCs w:val="16"/>
              </w:rPr>
              <w:t>Value Description</w:t>
            </w:r>
          </w:p>
        </w:tc>
        <w:tc>
          <w:tcPr>
            <w:tcW w:w="542" w:type="pct"/>
            <w:tcBorders>
              <w:top w:val="single" w:sz="6" w:space="0" w:color="auto"/>
              <w:left w:val="single" w:sz="6" w:space="0" w:color="auto"/>
              <w:bottom w:val="single" w:sz="6" w:space="0" w:color="auto"/>
              <w:right w:val="single" w:sz="4" w:space="0" w:color="auto"/>
            </w:tcBorders>
            <w:shd w:val="clear" w:color="auto" w:fill="C00000"/>
            <w:hideMark/>
          </w:tcPr>
          <w:p w14:paraId="577C701C" w14:textId="77777777" w:rsidR="00B97365" w:rsidRDefault="00000000">
            <w:pPr>
              <w:jc w:val="center"/>
              <w:rPr>
                <w:rFonts w:cs="Calibri"/>
                <w:color w:val="FFFFFF"/>
                <w:sz w:val="16"/>
                <w:szCs w:val="16"/>
              </w:rPr>
            </w:pPr>
            <w:r>
              <w:rPr>
                <w:rFonts w:cs="Calibri"/>
                <w:color w:val="FFFFFF"/>
                <w:sz w:val="16"/>
                <w:szCs w:val="16"/>
              </w:rPr>
              <w:t>MOC</w:t>
            </w:r>
          </w:p>
        </w:tc>
      </w:tr>
      <w:tr w:rsidR="00B97365" w14:paraId="44007A91"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198138B6"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0D6951E5"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tcPr>
          <w:p w14:paraId="1C778560" w14:textId="77777777" w:rsidR="00B97365" w:rsidRDefault="00B97365">
            <w:pPr>
              <w:rPr>
                <w:rFonts w:cs="Calibri"/>
                <w:sz w:val="16"/>
                <w:szCs w:val="16"/>
              </w:rPr>
            </w:pPr>
          </w:p>
        </w:tc>
        <w:tc>
          <w:tcPr>
            <w:tcW w:w="393" w:type="pct"/>
            <w:tcBorders>
              <w:top w:val="single" w:sz="6" w:space="0" w:color="auto"/>
              <w:left w:val="single" w:sz="6" w:space="0" w:color="auto"/>
              <w:bottom w:val="single" w:sz="6" w:space="0" w:color="auto"/>
              <w:right w:val="single" w:sz="6" w:space="0" w:color="auto"/>
            </w:tcBorders>
          </w:tcPr>
          <w:p w14:paraId="30447CC8" w14:textId="77777777" w:rsidR="00B97365" w:rsidRDefault="00B97365">
            <w:pPr>
              <w:rPr>
                <w:rFonts w:cs="Calibri"/>
                <w:sz w:val="16"/>
                <w:szCs w:val="16"/>
              </w:rPr>
            </w:pPr>
          </w:p>
        </w:tc>
        <w:tc>
          <w:tcPr>
            <w:tcW w:w="472" w:type="pct"/>
            <w:tcBorders>
              <w:top w:val="single" w:sz="6" w:space="0" w:color="auto"/>
              <w:left w:val="single" w:sz="6" w:space="0" w:color="auto"/>
              <w:bottom w:val="single" w:sz="6" w:space="0" w:color="auto"/>
              <w:right w:val="single" w:sz="6" w:space="0" w:color="auto"/>
            </w:tcBorders>
            <w:hideMark/>
          </w:tcPr>
          <w:p w14:paraId="4E73D461" w14:textId="77777777" w:rsidR="00B97365" w:rsidRDefault="00000000">
            <w:pPr>
              <w:rPr>
                <w:rFonts w:cs="Calibri"/>
                <w:sz w:val="16"/>
                <w:szCs w:val="16"/>
              </w:rPr>
            </w:pPr>
            <w:r>
              <w:rPr>
                <w:rFonts w:cs="Calibri"/>
                <w:sz w:val="16"/>
                <w:szCs w:val="16"/>
              </w:rPr>
              <w:t>‘93’</w:t>
            </w:r>
          </w:p>
        </w:tc>
        <w:tc>
          <w:tcPr>
            <w:tcW w:w="471" w:type="pct"/>
            <w:tcBorders>
              <w:top w:val="single" w:sz="6" w:space="0" w:color="auto"/>
              <w:left w:val="single" w:sz="6" w:space="0" w:color="auto"/>
              <w:bottom w:val="single" w:sz="6" w:space="0" w:color="auto"/>
              <w:right w:val="single" w:sz="6" w:space="0" w:color="auto"/>
            </w:tcBorders>
            <w:hideMark/>
          </w:tcPr>
          <w:p w14:paraId="4CA77144" w14:textId="77777777" w:rsidR="00B97365" w:rsidRDefault="00000000">
            <w:pPr>
              <w:rPr>
                <w:rFonts w:cs="Calibri"/>
                <w:sz w:val="16"/>
                <w:szCs w:val="16"/>
              </w:rPr>
            </w:pPr>
            <w:r>
              <w:rPr>
                <w:rFonts w:cs="Calibri"/>
                <w:sz w:val="16"/>
                <w:szCs w:val="16"/>
              </w:rPr>
              <w:t>1-16</w:t>
            </w:r>
          </w:p>
        </w:tc>
        <w:tc>
          <w:tcPr>
            <w:tcW w:w="1867" w:type="pct"/>
            <w:tcBorders>
              <w:top w:val="single" w:sz="6" w:space="0" w:color="auto"/>
              <w:left w:val="single" w:sz="6" w:space="0" w:color="auto"/>
              <w:bottom w:val="single" w:sz="6" w:space="0" w:color="auto"/>
              <w:right w:val="single" w:sz="6" w:space="0" w:color="auto"/>
            </w:tcBorders>
            <w:hideMark/>
          </w:tcPr>
          <w:p w14:paraId="4EB12A59" w14:textId="77777777" w:rsidR="00B97365" w:rsidRDefault="00000000">
            <w:pPr>
              <w:rPr>
                <w:rFonts w:cs="Calibri"/>
                <w:sz w:val="16"/>
                <w:szCs w:val="16"/>
              </w:rPr>
            </w:pPr>
            <w:r>
              <w:rPr>
                <w:rFonts w:cs="Calibri"/>
                <w:sz w:val="16"/>
                <w:szCs w:val="16"/>
              </w:rPr>
              <w:t>Certificate Serial Number</w:t>
            </w:r>
          </w:p>
        </w:tc>
        <w:tc>
          <w:tcPr>
            <w:tcW w:w="542" w:type="pct"/>
            <w:tcBorders>
              <w:top w:val="single" w:sz="6" w:space="0" w:color="auto"/>
              <w:left w:val="single" w:sz="6" w:space="0" w:color="auto"/>
              <w:bottom w:val="single" w:sz="6" w:space="0" w:color="auto"/>
              <w:right w:val="single" w:sz="4" w:space="0" w:color="auto"/>
            </w:tcBorders>
            <w:hideMark/>
          </w:tcPr>
          <w:p w14:paraId="7DB280B4" w14:textId="77777777" w:rsidR="00B97365" w:rsidRDefault="00000000">
            <w:pPr>
              <w:jc w:val="center"/>
              <w:rPr>
                <w:rFonts w:cs="Calibri"/>
                <w:sz w:val="16"/>
                <w:szCs w:val="16"/>
              </w:rPr>
            </w:pPr>
            <w:r>
              <w:rPr>
                <w:rFonts w:cs="Calibri"/>
                <w:sz w:val="16"/>
                <w:szCs w:val="16"/>
              </w:rPr>
              <w:t>M</w:t>
            </w:r>
          </w:p>
        </w:tc>
      </w:tr>
      <w:tr w:rsidR="00B97365" w14:paraId="4389A647"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616AEC35"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5DF49DCB"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tcPr>
          <w:p w14:paraId="0C566E35" w14:textId="77777777" w:rsidR="00B97365" w:rsidRDefault="00B97365">
            <w:pPr>
              <w:rPr>
                <w:rFonts w:cs="Calibri"/>
                <w:sz w:val="16"/>
                <w:szCs w:val="16"/>
              </w:rPr>
            </w:pPr>
          </w:p>
        </w:tc>
        <w:tc>
          <w:tcPr>
            <w:tcW w:w="393" w:type="pct"/>
            <w:tcBorders>
              <w:top w:val="single" w:sz="6" w:space="0" w:color="auto"/>
              <w:left w:val="single" w:sz="6" w:space="0" w:color="auto"/>
              <w:bottom w:val="single" w:sz="6" w:space="0" w:color="auto"/>
              <w:right w:val="single" w:sz="6" w:space="0" w:color="auto"/>
            </w:tcBorders>
          </w:tcPr>
          <w:p w14:paraId="6ACEAB96" w14:textId="77777777" w:rsidR="00B97365" w:rsidRDefault="00B97365">
            <w:pPr>
              <w:rPr>
                <w:rFonts w:cs="Calibri"/>
                <w:sz w:val="16"/>
                <w:szCs w:val="16"/>
              </w:rPr>
            </w:pPr>
          </w:p>
        </w:tc>
        <w:tc>
          <w:tcPr>
            <w:tcW w:w="472" w:type="pct"/>
            <w:tcBorders>
              <w:top w:val="single" w:sz="6" w:space="0" w:color="auto"/>
              <w:left w:val="single" w:sz="6" w:space="0" w:color="auto"/>
              <w:bottom w:val="single" w:sz="6" w:space="0" w:color="auto"/>
              <w:right w:val="single" w:sz="6" w:space="0" w:color="auto"/>
            </w:tcBorders>
            <w:hideMark/>
          </w:tcPr>
          <w:p w14:paraId="15998C83" w14:textId="77777777" w:rsidR="00B97365" w:rsidRDefault="00000000">
            <w:pPr>
              <w:rPr>
                <w:rFonts w:cs="Calibri"/>
                <w:sz w:val="16"/>
                <w:szCs w:val="16"/>
              </w:rPr>
            </w:pPr>
            <w:r>
              <w:rPr>
                <w:rFonts w:cs="Calibri"/>
                <w:sz w:val="16"/>
                <w:szCs w:val="16"/>
              </w:rPr>
              <w:t>‘42’</w:t>
            </w:r>
          </w:p>
        </w:tc>
        <w:tc>
          <w:tcPr>
            <w:tcW w:w="471" w:type="pct"/>
            <w:tcBorders>
              <w:top w:val="single" w:sz="6" w:space="0" w:color="auto"/>
              <w:left w:val="single" w:sz="6" w:space="0" w:color="auto"/>
              <w:bottom w:val="single" w:sz="6" w:space="0" w:color="auto"/>
              <w:right w:val="single" w:sz="6" w:space="0" w:color="auto"/>
            </w:tcBorders>
            <w:hideMark/>
          </w:tcPr>
          <w:p w14:paraId="3EB02A2C" w14:textId="77777777" w:rsidR="00B97365" w:rsidRDefault="00000000">
            <w:pPr>
              <w:rPr>
                <w:rFonts w:cs="Calibri"/>
                <w:sz w:val="16"/>
                <w:szCs w:val="16"/>
              </w:rPr>
            </w:pPr>
            <w:r>
              <w:rPr>
                <w:rFonts w:cs="Calibri"/>
                <w:sz w:val="16"/>
                <w:szCs w:val="16"/>
              </w:rPr>
              <w:t>1-16</w:t>
            </w:r>
          </w:p>
        </w:tc>
        <w:tc>
          <w:tcPr>
            <w:tcW w:w="1867" w:type="pct"/>
            <w:tcBorders>
              <w:top w:val="single" w:sz="6" w:space="0" w:color="auto"/>
              <w:left w:val="single" w:sz="6" w:space="0" w:color="auto"/>
              <w:bottom w:val="single" w:sz="6" w:space="0" w:color="auto"/>
              <w:right w:val="single" w:sz="6" w:space="0" w:color="auto"/>
            </w:tcBorders>
            <w:hideMark/>
          </w:tcPr>
          <w:p w14:paraId="074EB6C0" w14:textId="77777777" w:rsidR="00B97365" w:rsidRDefault="00000000">
            <w:pPr>
              <w:rPr>
                <w:rFonts w:cs="Calibri"/>
                <w:sz w:val="16"/>
                <w:szCs w:val="16"/>
              </w:rPr>
            </w:pPr>
            <w:r>
              <w:rPr>
                <w:rFonts w:cs="Calibri"/>
                <w:sz w:val="16"/>
                <w:szCs w:val="16"/>
              </w:rPr>
              <w:t>CA Identifier</w:t>
            </w:r>
          </w:p>
        </w:tc>
        <w:tc>
          <w:tcPr>
            <w:tcW w:w="542" w:type="pct"/>
            <w:tcBorders>
              <w:top w:val="single" w:sz="6" w:space="0" w:color="auto"/>
              <w:left w:val="single" w:sz="6" w:space="0" w:color="auto"/>
              <w:bottom w:val="single" w:sz="6" w:space="0" w:color="auto"/>
              <w:right w:val="single" w:sz="4" w:space="0" w:color="auto"/>
            </w:tcBorders>
            <w:hideMark/>
          </w:tcPr>
          <w:p w14:paraId="71C59247" w14:textId="77777777" w:rsidR="00B97365" w:rsidRDefault="00000000">
            <w:pPr>
              <w:jc w:val="center"/>
              <w:rPr>
                <w:rFonts w:cs="Calibri"/>
                <w:sz w:val="16"/>
                <w:szCs w:val="16"/>
              </w:rPr>
            </w:pPr>
            <w:r>
              <w:rPr>
                <w:rFonts w:cs="Calibri"/>
                <w:sz w:val="16"/>
                <w:szCs w:val="16"/>
              </w:rPr>
              <w:t>M</w:t>
            </w:r>
          </w:p>
        </w:tc>
      </w:tr>
      <w:tr w:rsidR="00B97365" w14:paraId="02D3B021"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12BCCEA2"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704FD259"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tcPr>
          <w:p w14:paraId="414594B2" w14:textId="77777777" w:rsidR="00B97365" w:rsidRDefault="00B97365">
            <w:pPr>
              <w:rPr>
                <w:rFonts w:cs="Calibri"/>
                <w:sz w:val="16"/>
                <w:szCs w:val="16"/>
              </w:rPr>
            </w:pPr>
          </w:p>
        </w:tc>
        <w:tc>
          <w:tcPr>
            <w:tcW w:w="393" w:type="pct"/>
            <w:tcBorders>
              <w:top w:val="single" w:sz="6" w:space="0" w:color="auto"/>
              <w:left w:val="single" w:sz="6" w:space="0" w:color="auto"/>
              <w:bottom w:val="single" w:sz="6" w:space="0" w:color="auto"/>
              <w:right w:val="single" w:sz="6" w:space="0" w:color="auto"/>
            </w:tcBorders>
          </w:tcPr>
          <w:p w14:paraId="25664DF4" w14:textId="77777777" w:rsidR="00B97365" w:rsidRDefault="00B97365">
            <w:pPr>
              <w:rPr>
                <w:rFonts w:cs="Calibri"/>
                <w:sz w:val="16"/>
                <w:szCs w:val="16"/>
              </w:rPr>
            </w:pPr>
          </w:p>
        </w:tc>
        <w:tc>
          <w:tcPr>
            <w:tcW w:w="472" w:type="pct"/>
            <w:tcBorders>
              <w:top w:val="single" w:sz="6" w:space="0" w:color="auto"/>
              <w:left w:val="single" w:sz="6" w:space="0" w:color="auto"/>
              <w:bottom w:val="single" w:sz="6" w:space="0" w:color="auto"/>
              <w:right w:val="single" w:sz="6" w:space="0" w:color="auto"/>
            </w:tcBorders>
            <w:hideMark/>
          </w:tcPr>
          <w:p w14:paraId="60C94296" w14:textId="77777777" w:rsidR="00B97365" w:rsidRDefault="00000000">
            <w:pPr>
              <w:rPr>
                <w:rFonts w:cs="Calibri"/>
                <w:sz w:val="16"/>
                <w:szCs w:val="16"/>
              </w:rPr>
            </w:pPr>
            <w:r>
              <w:rPr>
                <w:rFonts w:cs="Calibri"/>
                <w:sz w:val="16"/>
                <w:szCs w:val="16"/>
              </w:rPr>
              <w:t>‘5F20’</w:t>
            </w:r>
          </w:p>
        </w:tc>
        <w:tc>
          <w:tcPr>
            <w:tcW w:w="471" w:type="pct"/>
            <w:tcBorders>
              <w:top w:val="single" w:sz="6" w:space="0" w:color="auto"/>
              <w:left w:val="single" w:sz="6" w:space="0" w:color="auto"/>
              <w:bottom w:val="single" w:sz="6" w:space="0" w:color="auto"/>
              <w:right w:val="single" w:sz="6" w:space="0" w:color="auto"/>
            </w:tcBorders>
            <w:hideMark/>
          </w:tcPr>
          <w:p w14:paraId="240C5022" w14:textId="77777777" w:rsidR="00B97365" w:rsidRDefault="00000000">
            <w:pPr>
              <w:rPr>
                <w:rFonts w:cs="Calibri"/>
                <w:sz w:val="16"/>
                <w:szCs w:val="16"/>
              </w:rPr>
            </w:pPr>
            <w:r>
              <w:rPr>
                <w:rFonts w:cs="Calibri"/>
                <w:sz w:val="16"/>
                <w:szCs w:val="16"/>
              </w:rPr>
              <w:t>1-16</w:t>
            </w:r>
          </w:p>
        </w:tc>
        <w:tc>
          <w:tcPr>
            <w:tcW w:w="1867" w:type="pct"/>
            <w:tcBorders>
              <w:top w:val="single" w:sz="6" w:space="0" w:color="auto"/>
              <w:left w:val="single" w:sz="6" w:space="0" w:color="auto"/>
              <w:bottom w:val="single" w:sz="6" w:space="0" w:color="auto"/>
              <w:right w:val="single" w:sz="6" w:space="0" w:color="auto"/>
            </w:tcBorders>
            <w:hideMark/>
          </w:tcPr>
          <w:p w14:paraId="076AE173" w14:textId="77777777" w:rsidR="00B97365" w:rsidRDefault="00000000">
            <w:pPr>
              <w:rPr>
                <w:rFonts w:cs="Calibri"/>
                <w:sz w:val="16"/>
                <w:szCs w:val="16"/>
              </w:rPr>
            </w:pPr>
            <w:r>
              <w:rPr>
                <w:rFonts w:cs="Calibri"/>
                <w:sz w:val="16"/>
                <w:szCs w:val="16"/>
              </w:rPr>
              <w:t>Subject Identifier</w:t>
            </w:r>
          </w:p>
        </w:tc>
        <w:tc>
          <w:tcPr>
            <w:tcW w:w="542" w:type="pct"/>
            <w:tcBorders>
              <w:top w:val="single" w:sz="6" w:space="0" w:color="auto"/>
              <w:left w:val="single" w:sz="6" w:space="0" w:color="auto"/>
              <w:bottom w:val="single" w:sz="6" w:space="0" w:color="auto"/>
              <w:right w:val="single" w:sz="4" w:space="0" w:color="auto"/>
            </w:tcBorders>
            <w:hideMark/>
          </w:tcPr>
          <w:p w14:paraId="2A57BBFD" w14:textId="77777777" w:rsidR="00B97365" w:rsidRDefault="00000000">
            <w:pPr>
              <w:jc w:val="center"/>
              <w:rPr>
                <w:rFonts w:cs="Calibri"/>
                <w:sz w:val="16"/>
                <w:szCs w:val="16"/>
              </w:rPr>
            </w:pPr>
            <w:r>
              <w:rPr>
                <w:rFonts w:cs="Calibri"/>
                <w:sz w:val="16"/>
                <w:szCs w:val="16"/>
              </w:rPr>
              <w:t>M</w:t>
            </w:r>
          </w:p>
        </w:tc>
      </w:tr>
      <w:tr w:rsidR="00B97365" w14:paraId="79527759"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0E18A5F4"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62A32B73"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tcPr>
          <w:p w14:paraId="28C6D942" w14:textId="77777777" w:rsidR="00B97365" w:rsidRDefault="00B97365">
            <w:pPr>
              <w:rPr>
                <w:rFonts w:cs="Calibri"/>
                <w:sz w:val="16"/>
                <w:szCs w:val="16"/>
              </w:rPr>
            </w:pPr>
          </w:p>
        </w:tc>
        <w:tc>
          <w:tcPr>
            <w:tcW w:w="393" w:type="pct"/>
            <w:tcBorders>
              <w:top w:val="single" w:sz="6" w:space="0" w:color="auto"/>
              <w:left w:val="single" w:sz="6" w:space="0" w:color="auto"/>
              <w:bottom w:val="single" w:sz="6" w:space="0" w:color="auto"/>
              <w:right w:val="single" w:sz="6" w:space="0" w:color="auto"/>
            </w:tcBorders>
          </w:tcPr>
          <w:p w14:paraId="6F8983D4" w14:textId="77777777" w:rsidR="00B97365" w:rsidRDefault="00B97365">
            <w:pPr>
              <w:rPr>
                <w:rFonts w:cs="Calibri"/>
                <w:sz w:val="16"/>
                <w:szCs w:val="16"/>
              </w:rPr>
            </w:pPr>
          </w:p>
        </w:tc>
        <w:tc>
          <w:tcPr>
            <w:tcW w:w="472" w:type="pct"/>
            <w:tcBorders>
              <w:top w:val="single" w:sz="6" w:space="0" w:color="auto"/>
              <w:left w:val="single" w:sz="6" w:space="0" w:color="auto"/>
              <w:bottom w:val="single" w:sz="6" w:space="0" w:color="auto"/>
              <w:right w:val="single" w:sz="6" w:space="0" w:color="auto"/>
            </w:tcBorders>
            <w:hideMark/>
          </w:tcPr>
          <w:p w14:paraId="09934777" w14:textId="77777777" w:rsidR="00B97365" w:rsidRDefault="00000000">
            <w:pPr>
              <w:rPr>
                <w:rFonts w:cs="Calibri"/>
                <w:sz w:val="16"/>
                <w:szCs w:val="16"/>
              </w:rPr>
            </w:pPr>
            <w:r>
              <w:rPr>
                <w:rFonts w:cs="Calibri"/>
                <w:sz w:val="16"/>
                <w:szCs w:val="16"/>
              </w:rPr>
              <w:t>‘95’</w:t>
            </w:r>
          </w:p>
        </w:tc>
        <w:tc>
          <w:tcPr>
            <w:tcW w:w="471" w:type="pct"/>
            <w:tcBorders>
              <w:top w:val="single" w:sz="6" w:space="0" w:color="auto"/>
              <w:left w:val="single" w:sz="6" w:space="0" w:color="auto"/>
              <w:bottom w:val="single" w:sz="6" w:space="0" w:color="auto"/>
              <w:right w:val="single" w:sz="6" w:space="0" w:color="auto"/>
            </w:tcBorders>
            <w:hideMark/>
          </w:tcPr>
          <w:p w14:paraId="722965FC" w14:textId="77777777" w:rsidR="00B97365" w:rsidRDefault="00000000">
            <w:pPr>
              <w:rPr>
                <w:rFonts w:cs="Calibri"/>
                <w:sz w:val="16"/>
                <w:szCs w:val="16"/>
              </w:rPr>
            </w:pPr>
            <w:r>
              <w:rPr>
                <w:rFonts w:cs="Calibri"/>
                <w:sz w:val="16"/>
                <w:szCs w:val="16"/>
              </w:rPr>
              <w:t>1</w:t>
            </w:r>
          </w:p>
        </w:tc>
        <w:tc>
          <w:tcPr>
            <w:tcW w:w="1867" w:type="pct"/>
            <w:tcBorders>
              <w:top w:val="single" w:sz="6" w:space="0" w:color="auto"/>
              <w:left w:val="single" w:sz="6" w:space="0" w:color="auto"/>
              <w:bottom w:val="single" w:sz="6" w:space="0" w:color="auto"/>
              <w:right w:val="single" w:sz="6" w:space="0" w:color="auto"/>
            </w:tcBorders>
            <w:hideMark/>
          </w:tcPr>
          <w:p w14:paraId="393A78DF" w14:textId="77777777" w:rsidR="00B97365" w:rsidRDefault="00000000">
            <w:pPr>
              <w:rPr>
                <w:rFonts w:cs="Calibri"/>
                <w:sz w:val="16"/>
                <w:szCs w:val="16"/>
              </w:rPr>
            </w:pPr>
            <w:r>
              <w:rPr>
                <w:rFonts w:cs="Calibri"/>
                <w:sz w:val="16"/>
                <w:szCs w:val="16"/>
              </w:rPr>
              <w:t xml:space="preserve">Key Usage, Signature Verification </w:t>
            </w:r>
          </w:p>
        </w:tc>
        <w:tc>
          <w:tcPr>
            <w:tcW w:w="542" w:type="pct"/>
            <w:tcBorders>
              <w:top w:val="single" w:sz="6" w:space="0" w:color="auto"/>
              <w:left w:val="single" w:sz="6" w:space="0" w:color="auto"/>
              <w:bottom w:val="single" w:sz="6" w:space="0" w:color="auto"/>
              <w:right w:val="single" w:sz="4" w:space="0" w:color="auto"/>
            </w:tcBorders>
            <w:hideMark/>
          </w:tcPr>
          <w:p w14:paraId="133BD476" w14:textId="77777777" w:rsidR="00B97365" w:rsidRDefault="00000000">
            <w:pPr>
              <w:jc w:val="center"/>
              <w:rPr>
                <w:rFonts w:cs="Calibri"/>
                <w:sz w:val="16"/>
                <w:szCs w:val="16"/>
              </w:rPr>
            </w:pPr>
            <w:r>
              <w:rPr>
                <w:rFonts w:cs="Calibri"/>
                <w:sz w:val="16"/>
                <w:szCs w:val="16"/>
              </w:rPr>
              <w:t>M</w:t>
            </w:r>
          </w:p>
        </w:tc>
      </w:tr>
      <w:tr w:rsidR="00B97365" w14:paraId="29F42A83"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6BB99248"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492DC539"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tcPr>
          <w:p w14:paraId="7BF3F94A" w14:textId="77777777" w:rsidR="00B97365" w:rsidRDefault="00B97365">
            <w:pPr>
              <w:rPr>
                <w:rFonts w:cs="Calibri"/>
                <w:sz w:val="16"/>
                <w:szCs w:val="16"/>
              </w:rPr>
            </w:pPr>
          </w:p>
        </w:tc>
        <w:tc>
          <w:tcPr>
            <w:tcW w:w="393" w:type="pct"/>
            <w:tcBorders>
              <w:top w:val="single" w:sz="6" w:space="0" w:color="auto"/>
              <w:left w:val="single" w:sz="6" w:space="0" w:color="auto"/>
              <w:bottom w:val="single" w:sz="6" w:space="0" w:color="auto"/>
              <w:right w:val="single" w:sz="6" w:space="0" w:color="auto"/>
            </w:tcBorders>
          </w:tcPr>
          <w:p w14:paraId="59AF8710" w14:textId="77777777" w:rsidR="00B97365" w:rsidRDefault="00B97365">
            <w:pPr>
              <w:rPr>
                <w:rFonts w:cs="Calibri"/>
                <w:sz w:val="16"/>
                <w:szCs w:val="16"/>
              </w:rPr>
            </w:pPr>
          </w:p>
        </w:tc>
        <w:tc>
          <w:tcPr>
            <w:tcW w:w="472" w:type="pct"/>
            <w:tcBorders>
              <w:top w:val="single" w:sz="6" w:space="0" w:color="auto"/>
              <w:left w:val="single" w:sz="6" w:space="0" w:color="auto"/>
              <w:bottom w:val="single" w:sz="6" w:space="0" w:color="auto"/>
              <w:right w:val="single" w:sz="6" w:space="0" w:color="auto"/>
            </w:tcBorders>
            <w:hideMark/>
          </w:tcPr>
          <w:p w14:paraId="3DDD6254" w14:textId="77777777" w:rsidR="00B97365" w:rsidRDefault="00000000">
            <w:pPr>
              <w:rPr>
                <w:rFonts w:cs="Calibri"/>
                <w:sz w:val="16"/>
                <w:szCs w:val="16"/>
              </w:rPr>
            </w:pPr>
            <w:r>
              <w:rPr>
                <w:rFonts w:cs="Calibri"/>
                <w:sz w:val="16"/>
                <w:szCs w:val="16"/>
              </w:rPr>
              <w:t>‘5F25’</w:t>
            </w:r>
          </w:p>
        </w:tc>
        <w:tc>
          <w:tcPr>
            <w:tcW w:w="471" w:type="pct"/>
            <w:tcBorders>
              <w:top w:val="single" w:sz="6" w:space="0" w:color="auto"/>
              <w:left w:val="single" w:sz="6" w:space="0" w:color="auto"/>
              <w:bottom w:val="single" w:sz="6" w:space="0" w:color="auto"/>
              <w:right w:val="single" w:sz="6" w:space="0" w:color="auto"/>
            </w:tcBorders>
            <w:hideMark/>
          </w:tcPr>
          <w:p w14:paraId="71121178" w14:textId="77777777" w:rsidR="00B97365" w:rsidRDefault="00000000">
            <w:pPr>
              <w:rPr>
                <w:rFonts w:cs="Calibri"/>
                <w:sz w:val="16"/>
                <w:szCs w:val="16"/>
              </w:rPr>
            </w:pPr>
            <w:r>
              <w:rPr>
                <w:rFonts w:cs="Calibri"/>
                <w:sz w:val="16"/>
                <w:szCs w:val="16"/>
              </w:rPr>
              <w:t>4</w:t>
            </w:r>
          </w:p>
        </w:tc>
        <w:tc>
          <w:tcPr>
            <w:tcW w:w="1867" w:type="pct"/>
            <w:tcBorders>
              <w:top w:val="single" w:sz="6" w:space="0" w:color="auto"/>
              <w:left w:val="single" w:sz="6" w:space="0" w:color="auto"/>
              <w:bottom w:val="single" w:sz="6" w:space="0" w:color="auto"/>
              <w:right w:val="single" w:sz="6" w:space="0" w:color="auto"/>
            </w:tcBorders>
            <w:hideMark/>
          </w:tcPr>
          <w:p w14:paraId="5D352A71" w14:textId="77777777" w:rsidR="00B97365" w:rsidRDefault="00000000">
            <w:pPr>
              <w:rPr>
                <w:rFonts w:cs="Calibri"/>
                <w:sz w:val="16"/>
                <w:szCs w:val="16"/>
              </w:rPr>
            </w:pPr>
            <w:r>
              <w:rPr>
                <w:rFonts w:cs="Calibri"/>
                <w:sz w:val="16"/>
                <w:szCs w:val="16"/>
              </w:rPr>
              <w:t xml:space="preserve">Effective Date (YYYYMMDD, BCD format) </w:t>
            </w:r>
          </w:p>
        </w:tc>
        <w:tc>
          <w:tcPr>
            <w:tcW w:w="542" w:type="pct"/>
            <w:tcBorders>
              <w:top w:val="single" w:sz="6" w:space="0" w:color="auto"/>
              <w:left w:val="single" w:sz="6" w:space="0" w:color="auto"/>
              <w:bottom w:val="single" w:sz="6" w:space="0" w:color="auto"/>
              <w:right w:val="single" w:sz="4" w:space="0" w:color="auto"/>
            </w:tcBorders>
            <w:hideMark/>
          </w:tcPr>
          <w:p w14:paraId="5BAA2902" w14:textId="77777777" w:rsidR="00B97365" w:rsidRDefault="00000000">
            <w:pPr>
              <w:jc w:val="center"/>
              <w:rPr>
                <w:rFonts w:cs="Calibri"/>
                <w:sz w:val="16"/>
                <w:szCs w:val="16"/>
              </w:rPr>
            </w:pPr>
            <w:r>
              <w:rPr>
                <w:rFonts w:cs="Calibri"/>
                <w:sz w:val="16"/>
                <w:szCs w:val="16"/>
              </w:rPr>
              <w:t>O</w:t>
            </w:r>
          </w:p>
        </w:tc>
      </w:tr>
      <w:tr w:rsidR="00B97365" w14:paraId="5FB9F2D2"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170FB5F0"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50C38391"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tcPr>
          <w:p w14:paraId="779B212C" w14:textId="77777777" w:rsidR="00B97365" w:rsidRDefault="00B97365">
            <w:pPr>
              <w:rPr>
                <w:rFonts w:cs="Calibri"/>
                <w:sz w:val="16"/>
                <w:szCs w:val="16"/>
              </w:rPr>
            </w:pPr>
          </w:p>
        </w:tc>
        <w:tc>
          <w:tcPr>
            <w:tcW w:w="393" w:type="pct"/>
            <w:tcBorders>
              <w:top w:val="single" w:sz="6" w:space="0" w:color="auto"/>
              <w:left w:val="single" w:sz="6" w:space="0" w:color="auto"/>
              <w:bottom w:val="single" w:sz="6" w:space="0" w:color="auto"/>
              <w:right w:val="single" w:sz="6" w:space="0" w:color="auto"/>
            </w:tcBorders>
          </w:tcPr>
          <w:p w14:paraId="15548A7A" w14:textId="77777777" w:rsidR="00B97365" w:rsidRDefault="00B97365">
            <w:pPr>
              <w:rPr>
                <w:rFonts w:cs="Calibri"/>
                <w:sz w:val="16"/>
                <w:szCs w:val="16"/>
              </w:rPr>
            </w:pPr>
          </w:p>
        </w:tc>
        <w:tc>
          <w:tcPr>
            <w:tcW w:w="472" w:type="pct"/>
            <w:tcBorders>
              <w:top w:val="single" w:sz="6" w:space="0" w:color="auto"/>
              <w:left w:val="single" w:sz="6" w:space="0" w:color="auto"/>
              <w:bottom w:val="single" w:sz="6" w:space="0" w:color="auto"/>
              <w:right w:val="single" w:sz="6" w:space="0" w:color="auto"/>
            </w:tcBorders>
            <w:hideMark/>
          </w:tcPr>
          <w:p w14:paraId="6751169A" w14:textId="77777777" w:rsidR="00B97365" w:rsidRDefault="00000000">
            <w:pPr>
              <w:rPr>
                <w:rFonts w:cs="Calibri"/>
                <w:sz w:val="16"/>
                <w:szCs w:val="16"/>
              </w:rPr>
            </w:pPr>
            <w:r>
              <w:rPr>
                <w:rFonts w:cs="Calibri"/>
                <w:sz w:val="16"/>
                <w:szCs w:val="16"/>
              </w:rPr>
              <w:t>‘5F24’</w:t>
            </w:r>
          </w:p>
        </w:tc>
        <w:tc>
          <w:tcPr>
            <w:tcW w:w="471" w:type="pct"/>
            <w:tcBorders>
              <w:top w:val="single" w:sz="6" w:space="0" w:color="auto"/>
              <w:left w:val="single" w:sz="6" w:space="0" w:color="auto"/>
              <w:bottom w:val="single" w:sz="6" w:space="0" w:color="auto"/>
              <w:right w:val="single" w:sz="6" w:space="0" w:color="auto"/>
            </w:tcBorders>
            <w:hideMark/>
          </w:tcPr>
          <w:p w14:paraId="2CDCF933" w14:textId="77777777" w:rsidR="00B97365" w:rsidRDefault="00000000">
            <w:pPr>
              <w:rPr>
                <w:rFonts w:cs="Calibri"/>
                <w:sz w:val="16"/>
                <w:szCs w:val="16"/>
              </w:rPr>
            </w:pPr>
            <w:r>
              <w:rPr>
                <w:rFonts w:cs="Calibri"/>
                <w:sz w:val="16"/>
                <w:szCs w:val="16"/>
              </w:rPr>
              <w:t>4</w:t>
            </w:r>
          </w:p>
        </w:tc>
        <w:tc>
          <w:tcPr>
            <w:tcW w:w="1867" w:type="pct"/>
            <w:tcBorders>
              <w:top w:val="single" w:sz="6" w:space="0" w:color="auto"/>
              <w:left w:val="single" w:sz="6" w:space="0" w:color="auto"/>
              <w:bottom w:val="single" w:sz="6" w:space="0" w:color="auto"/>
              <w:right w:val="single" w:sz="6" w:space="0" w:color="auto"/>
            </w:tcBorders>
            <w:hideMark/>
          </w:tcPr>
          <w:p w14:paraId="3450D88B" w14:textId="77777777" w:rsidR="00B97365" w:rsidRDefault="00000000">
            <w:pPr>
              <w:rPr>
                <w:rFonts w:cs="Calibri"/>
                <w:sz w:val="16"/>
                <w:szCs w:val="16"/>
                <w:lang w:val="fr-FR"/>
              </w:rPr>
            </w:pPr>
            <w:r>
              <w:rPr>
                <w:rFonts w:cs="Calibri"/>
                <w:sz w:val="16"/>
                <w:szCs w:val="16"/>
                <w:lang w:val="fr-FR"/>
              </w:rPr>
              <w:t>Expiration Date (YYYYMMDD, BCD format)</w:t>
            </w:r>
          </w:p>
        </w:tc>
        <w:tc>
          <w:tcPr>
            <w:tcW w:w="542" w:type="pct"/>
            <w:tcBorders>
              <w:top w:val="single" w:sz="6" w:space="0" w:color="auto"/>
              <w:left w:val="single" w:sz="6" w:space="0" w:color="auto"/>
              <w:bottom w:val="single" w:sz="6" w:space="0" w:color="auto"/>
              <w:right w:val="single" w:sz="4" w:space="0" w:color="auto"/>
            </w:tcBorders>
            <w:hideMark/>
          </w:tcPr>
          <w:p w14:paraId="1C901D1F" w14:textId="77777777" w:rsidR="00B97365" w:rsidRDefault="00000000">
            <w:pPr>
              <w:jc w:val="center"/>
              <w:rPr>
                <w:rFonts w:cs="Calibri"/>
                <w:sz w:val="16"/>
                <w:szCs w:val="16"/>
              </w:rPr>
            </w:pPr>
            <w:r>
              <w:rPr>
                <w:rFonts w:cs="Calibri"/>
                <w:sz w:val="16"/>
                <w:szCs w:val="16"/>
              </w:rPr>
              <w:t>M</w:t>
            </w:r>
          </w:p>
        </w:tc>
      </w:tr>
      <w:tr w:rsidR="00B97365" w14:paraId="7FDC1B14"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7BA543D8"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0E28A258"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tcPr>
          <w:p w14:paraId="47E8BA99" w14:textId="77777777" w:rsidR="00B97365" w:rsidRDefault="00B97365">
            <w:pPr>
              <w:rPr>
                <w:rFonts w:cs="Calibri"/>
                <w:sz w:val="16"/>
                <w:szCs w:val="16"/>
              </w:rPr>
            </w:pPr>
          </w:p>
        </w:tc>
        <w:tc>
          <w:tcPr>
            <w:tcW w:w="393" w:type="pct"/>
            <w:tcBorders>
              <w:top w:val="single" w:sz="6" w:space="0" w:color="auto"/>
              <w:left w:val="single" w:sz="6" w:space="0" w:color="auto"/>
              <w:bottom w:val="single" w:sz="6" w:space="0" w:color="auto"/>
              <w:right w:val="single" w:sz="6" w:space="0" w:color="auto"/>
            </w:tcBorders>
          </w:tcPr>
          <w:p w14:paraId="464B5500" w14:textId="77777777" w:rsidR="00B97365" w:rsidRDefault="00B97365">
            <w:pPr>
              <w:rPr>
                <w:rFonts w:cs="Calibri"/>
                <w:sz w:val="16"/>
                <w:szCs w:val="16"/>
              </w:rPr>
            </w:pPr>
          </w:p>
        </w:tc>
        <w:tc>
          <w:tcPr>
            <w:tcW w:w="472" w:type="pct"/>
            <w:tcBorders>
              <w:top w:val="single" w:sz="6" w:space="0" w:color="auto"/>
              <w:left w:val="single" w:sz="6" w:space="0" w:color="auto"/>
              <w:bottom w:val="single" w:sz="6" w:space="0" w:color="auto"/>
              <w:right w:val="single" w:sz="6" w:space="0" w:color="auto"/>
            </w:tcBorders>
            <w:hideMark/>
          </w:tcPr>
          <w:p w14:paraId="5308BD89" w14:textId="77777777" w:rsidR="00B97365" w:rsidRDefault="00000000">
            <w:pPr>
              <w:rPr>
                <w:rFonts w:cs="Calibri"/>
                <w:sz w:val="16"/>
                <w:szCs w:val="16"/>
              </w:rPr>
            </w:pPr>
            <w:r>
              <w:rPr>
                <w:rFonts w:cs="Calibri"/>
                <w:sz w:val="16"/>
                <w:szCs w:val="16"/>
              </w:rPr>
              <w:t>‘73’</w:t>
            </w:r>
          </w:p>
        </w:tc>
        <w:tc>
          <w:tcPr>
            <w:tcW w:w="471" w:type="pct"/>
            <w:tcBorders>
              <w:top w:val="single" w:sz="6" w:space="0" w:color="auto"/>
              <w:left w:val="single" w:sz="6" w:space="0" w:color="auto"/>
              <w:bottom w:val="single" w:sz="6" w:space="0" w:color="auto"/>
              <w:right w:val="single" w:sz="6" w:space="0" w:color="auto"/>
            </w:tcBorders>
            <w:hideMark/>
          </w:tcPr>
          <w:p w14:paraId="115C1720" w14:textId="77777777" w:rsidR="00B97365" w:rsidRDefault="00000000">
            <w:pPr>
              <w:rPr>
                <w:rFonts w:cs="Calibri"/>
                <w:sz w:val="16"/>
                <w:szCs w:val="16"/>
              </w:rPr>
            </w:pPr>
            <w:r>
              <w:rPr>
                <w:rFonts w:cs="Calibri"/>
                <w:sz w:val="16"/>
                <w:szCs w:val="16"/>
              </w:rPr>
              <w:t>3-127</w:t>
            </w:r>
          </w:p>
        </w:tc>
        <w:tc>
          <w:tcPr>
            <w:tcW w:w="1867" w:type="pct"/>
            <w:tcBorders>
              <w:top w:val="single" w:sz="6" w:space="0" w:color="auto"/>
              <w:left w:val="single" w:sz="6" w:space="0" w:color="auto"/>
              <w:bottom w:val="single" w:sz="6" w:space="0" w:color="auto"/>
              <w:right w:val="single" w:sz="6" w:space="0" w:color="auto"/>
            </w:tcBorders>
            <w:hideMark/>
          </w:tcPr>
          <w:p w14:paraId="14EFDEC0" w14:textId="77777777" w:rsidR="00B97365" w:rsidRDefault="00000000">
            <w:pPr>
              <w:rPr>
                <w:rFonts w:cs="Calibri"/>
                <w:sz w:val="16"/>
                <w:szCs w:val="16"/>
              </w:rPr>
            </w:pPr>
            <w:r>
              <w:rPr>
                <w:rFonts w:cs="Calibri"/>
                <w:sz w:val="16"/>
                <w:szCs w:val="16"/>
              </w:rPr>
              <w:t>Discretionary Data</w:t>
            </w:r>
          </w:p>
          <w:tbl>
            <w:tblPr>
              <w:tblW w:w="0" w:type="auto"/>
              <w:tblLook w:val="04A0" w:firstRow="1" w:lastRow="0" w:firstColumn="1" w:lastColumn="0" w:noHBand="0" w:noVBand="1"/>
            </w:tblPr>
            <w:tblGrid>
              <w:gridCol w:w="650"/>
              <w:gridCol w:w="750"/>
              <w:gridCol w:w="1741"/>
            </w:tblGrid>
            <w:tr w:rsidR="00B97365" w14:paraId="1419FCCE" w14:textId="77777777">
              <w:tc>
                <w:tcPr>
                  <w:tcW w:w="650" w:type="dxa"/>
                  <w:shd w:val="clear" w:color="auto" w:fill="A50021"/>
                </w:tcPr>
                <w:p w14:paraId="51412119" w14:textId="77777777" w:rsidR="00B97365" w:rsidRDefault="00000000">
                  <w:pPr>
                    <w:rPr>
                      <w:rFonts w:cs="Calibri"/>
                      <w:sz w:val="16"/>
                      <w:szCs w:val="16"/>
                    </w:rPr>
                  </w:pPr>
                  <w:r>
                    <w:rPr>
                      <w:rFonts w:cs="Calibri"/>
                      <w:color w:val="FFFFFF"/>
                      <w:sz w:val="16"/>
                      <w:szCs w:val="16"/>
                    </w:rPr>
                    <w:t>Tag</w:t>
                  </w:r>
                </w:p>
              </w:tc>
              <w:tc>
                <w:tcPr>
                  <w:tcW w:w="750" w:type="dxa"/>
                  <w:shd w:val="clear" w:color="auto" w:fill="A50021"/>
                </w:tcPr>
                <w:p w14:paraId="4A9FA282" w14:textId="77777777" w:rsidR="00B97365" w:rsidRDefault="00000000">
                  <w:pPr>
                    <w:rPr>
                      <w:rFonts w:cs="Calibri"/>
                      <w:sz w:val="16"/>
                      <w:szCs w:val="16"/>
                    </w:rPr>
                  </w:pPr>
                  <w:r>
                    <w:rPr>
                      <w:rFonts w:cs="Calibri"/>
                      <w:color w:val="FFFFFF"/>
                      <w:sz w:val="16"/>
                      <w:szCs w:val="16"/>
                    </w:rPr>
                    <w:t>Length</w:t>
                  </w:r>
                </w:p>
              </w:tc>
              <w:tc>
                <w:tcPr>
                  <w:tcW w:w="1741" w:type="dxa"/>
                  <w:shd w:val="clear" w:color="auto" w:fill="A50021"/>
                </w:tcPr>
                <w:p w14:paraId="692A3AAD" w14:textId="77777777" w:rsidR="00B97365" w:rsidRDefault="00000000">
                  <w:pPr>
                    <w:rPr>
                      <w:rFonts w:cs="Calibri"/>
                      <w:sz w:val="16"/>
                      <w:szCs w:val="16"/>
                    </w:rPr>
                  </w:pPr>
                  <w:r>
                    <w:rPr>
                      <w:rFonts w:cs="Calibri"/>
                      <w:color w:val="FFFFFF"/>
                      <w:sz w:val="16"/>
                      <w:szCs w:val="16"/>
                    </w:rPr>
                    <w:t>Value Description</w:t>
                  </w:r>
                </w:p>
              </w:tc>
            </w:tr>
            <w:tr w:rsidR="00B97365" w14:paraId="58728664" w14:textId="77777777">
              <w:tc>
                <w:tcPr>
                  <w:tcW w:w="650" w:type="dxa"/>
                </w:tcPr>
                <w:p w14:paraId="44042B46" w14:textId="77777777" w:rsidR="00B97365" w:rsidRDefault="00000000">
                  <w:pPr>
                    <w:rPr>
                      <w:rFonts w:cs="Calibri"/>
                      <w:sz w:val="16"/>
                      <w:szCs w:val="16"/>
                    </w:rPr>
                  </w:pPr>
                  <w:r>
                    <w:rPr>
                      <w:rFonts w:cs="Calibri"/>
                      <w:sz w:val="16"/>
                      <w:szCs w:val="16"/>
                    </w:rPr>
                    <w:t>'C8'</w:t>
                  </w:r>
                </w:p>
              </w:tc>
              <w:tc>
                <w:tcPr>
                  <w:tcW w:w="750" w:type="dxa"/>
                </w:tcPr>
                <w:p w14:paraId="6EFCFE5C" w14:textId="77777777" w:rsidR="00B97365" w:rsidRDefault="00000000">
                  <w:pPr>
                    <w:rPr>
                      <w:rFonts w:cs="Calibri"/>
                      <w:sz w:val="16"/>
                      <w:szCs w:val="16"/>
                    </w:rPr>
                  </w:pPr>
                  <w:r>
                    <w:rPr>
                      <w:rFonts w:cs="Calibri"/>
                      <w:sz w:val="16"/>
                      <w:szCs w:val="16"/>
                    </w:rPr>
                    <w:t>1</w:t>
                  </w:r>
                </w:p>
              </w:tc>
              <w:tc>
                <w:tcPr>
                  <w:tcW w:w="1741" w:type="dxa"/>
                </w:tcPr>
                <w:p w14:paraId="7AB6F8C5" w14:textId="77777777" w:rsidR="00B97365" w:rsidRDefault="00000000">
                  <w:pPr>
                    <w:rPr>
                      <w:rFonts w:cs="Calibri"/>
                      <w:sz w:val="16"/>
                      <w:szCs w:val="16"/>
                    </w:rPr>
                  </w:pPr>
                  <w:r>
                    <w:rPr>
                      <w:rFonts w:cs="Calibri"/>
                      <w:sz w:val="16"/>
                      <w:szCs w:val="16"/>
                    </w:rPr>
                    <w:t>‘02’, denoting an SM-SR certificate</w:t>
                  </w:r>
                </w:p>
              </w:tc>
            </w:tr>
            <w:tr w:rsidR="00B97365" w14:paraId="75C7349A" w14:textId="77777777">
              <w:tc>
                <w:tcPr>
                  <w:tcW w:w="650" w:type="dxa"/>
                </w:tcPr>
                <w:p w14:paraId="3C9A88AA" w14:textId="77777777" w:rsidR="00B97365" w:rsidRDefault="00000000">
                  <w:pPr>
                    <w:rPr>
                      <w:rFonts w:cs="Calibri"/>
                      <w:sz w:val="16"/>
                      <w:szCs w:val="16"/>
                    </w:rPr>
                  </w:pPr>
                  <w:r>
                    <w:rPr>
                      <w:rFonts w:cs="Calibri"/>
                      <w:sz w:val="16"/>
                      <w:szCs w:val="16"/>
                    </w:rPr>
                    <w:t>‘C9’</w:t>
                  </w:r>
                </w:p>
              </w:tc>
              <w:tc>
                <w:tcPr>
                  <w:tcW w:w="750" w:type="dxa"/>
                </w:tcPr>
                <w:p w14:paraId="0F79AF89" w14:textId="77777777" w:rsidR="00B97365" w:rsidRDefault="00000000">
                  <w:pPr>
                    <w:rPr>
                      <w:rFonts w:cs="Calibri"/>
                      <w:sz w:val="16"/>
                      <w:szCs w:val="16"/>
                    </w:rPr>
                  </w:pPr>
                  <w:r>
                    <w:rPr>
                      <w:rFonts w:cs="Calibri"/>
                      <w:sz w:val="16"/>
                      <w:szCs w:val="16"/>
                    </w:rPr>
                    <w:t>20</w:t>
                  </w:r>
                </w:p>
              </w:tc>
              <w:tc>
                <w:tcPr>
                  <w:tcW w:w="1741" w:type="dxa"/>
                </w:tcPr>
                <w:p w14:paraId="4A4FE313" w14:textId="77777777" w:rsidR="00B97365" w:rsidRDefault="00000000">
                  <w:pPr>
                    <w:rPr>
                      <w:rFonts w:cs="Calibri"/>
                      <w:sz w:val="16"/>
                      <w:szCs w:val="16"/>
                    </w:rPr>
                  </w:pPr>
                  <w:r>
                    <w:rPr>
                      <w:rFonts w:cs="Calibri"/>
                      <w:sz w:val="16"/>
                      <w:szCs w:val="16"/>
                    </w:rPr>
                    <w:t>Authority key identifier (value of the Subject Key Identifier extension of the Root certificate)</w:t>
                  </w:r>
                </w:p>
              </w:tc>
            </w:tr>
          </w:tbl>
          <w:p w14:paraId="7639FCF1" w14:textId="77777777" w:rsidR="00B97365" w:rsidRDefault="00B97365">
            <w:pPr>
              <w:rPr>
                <w:rFonts w:cs="Calibri"/>
                <w:sz w:val="16"/>
                <w:szCs w:val="16"/>
              </w:rPr>
            </w:pPr>
          </w:p>
          <w:p w14:paraId="29A99347" w14:textId="77777777" w:rsidR="00B97365" w:rsidRDefault="00000000">
            <w:pPr>
              <w:rPr>
                <w:rFonts w:cs="Calibri"/>
                <w:sz w:val="16"/>
                <w:szCs w:val="16"/>
              </w:rPr>
            </w:pPr>
            <w:r>
              <w:rPr>
                <w:rFonts w:cs="Calibri"/>
                <w:sz w:val="16"/>
                <w:szCs w:val="16"/>
              </w:rPr>
              <w:t>other TLVs MAY be present</w:t>
            </w:r>
          </w:p>
        </w:tc>
        <w:tc>
          <w:tcPr>
            <w:tcW w:w="542" w:type="pct"/>
            <w:tcBorders>
              <w:top w:val="single" w:sz="6" w:space="0" w:color="auto"/>
              <w:left w:val="single" w:sz="6" w:space="0" w:color="auto"/>
              <w:bottom w:val="single" w:sz="6" w:space="0" w:color="auto"/>
              <w:right w:val="single" w:sz="4" w:space="0" w:color="auto"/>
            </w:tcBorders>
            <w:hideMark/>
          </w:tcPr>
          <w:p w14:paraId="6983C9A8" w14:textId="77777777" w:rsidR="00B97365" w:rsidRDefault="00000000">
            <w:pPr>
              <w:jc w:val="center"/>
              <w:rPr>
                <w:rFonts w:cs="Calibri"/>
                <w:sz w:val="16"/>
                <w:szCs w:val="16"/>
              </w:rPr>
            </w:pPr>
            <w:r>
              <w:rPr>
                <w:rFonts w:cs="Calibri"/>
                <w:sz w:val="16"/>
                <w:szCs w:val="16"/>
              </w:rPr>
              <w:t>M</w:t>
            </w:r>
          </w:p>
        </w:tc>
      </w:tr>
      <w:tr w:rsidR="00B97365" w14:paraId="7D15A3C0" w14:textId="77777777">
        <w:trPr>
          <w:cantSplit/>
          <w:jc w:val="center"/>
        </w:trPr>
        <w:tc>
          <w:tcPr>
            <w:tcW w:w="411" w:type="pct"/>
            <w:tcBorders>
              <w:top w:val="single" w:sz="6" w:space="0" w:color="auto"/>
              <w:left w:val="single" w:sz="4" w:space="0" w:color="auto"/>
              <w:bottom w:val="single" w:sz="6" w:space="0" w:color="auto"/>
              <w:right w:val="single" w:sz="6" w:space="0" w:color="auto"/>
            </w:tcBorders>
          </w:tcPr>
          <w:p w14:paraId="3A07C16E" w14:textId="77777777" w:rsidR="00B97365" w:rsidRDefault="00B97365">
            <w:pPr>
              <w:rPr>
                <w:rFonts w:cs="Calibri"/>
                <w:sz w:val="16"/>
                <w:szCs w:val="16"/>
              </w:rPr>
            </w:pPr>
          </w:p>
        </w:tc>
        <w:tc>
          <w:tcPr>
            <w:tcW w:w="439" w:type="pct"/>
            <w:tcBorders>
              <w:top w:val="single" w:sz="6" w:space="0" w:color="auto"/>
              <w:left w:val="single" w:sz="6" w:space="0" w:color="auto"/>
              <w:bottom w:val="single" w:sz="6" w:space="0" w:color="auto"/>
              <w:right w:val="single" w:sz="6" w:space="0" w:color="auto"/>
            </w:tcBorders>
          </w:tcPr>
          <w:p w14:paraId="569479D8" w14:textId="77777777" w:rsidR="00B97365" w:rsidRDefault="00B97365">
            <w:pPr>
              <w:rPr>
                <w:rFonts w:cs="Calibri"/>
                <w:sz w:val="16"/>
                <w:szCs w:val="16"/>
              </w:rPr>
            </w:pPr>
          </w:p>
        </w:tc>
        <w:tc>
          <w:tcPr>
            <w:tcW w:w="405" w:type="pct"/>
            <w:tcBorders>
              <w:top w:val="single" w:sz="6" w:space="0" w:color="auto"/>
              <w:left w:val="single" w:sz="6" w:space="0" w:color="auto"/>
              <w:bottom w:val="single" w:sz="6" w:space="0" w:color="auto"/>
              <w:right w:val="single" w:sz="6" w:space="0" w:color="auto"/>
            </w:tcBorders>
          </w:tcPr>
          <w:p w14:paraId="191327FE" w14:textId="77777777" w:rsidR="00B97365" w:rsidRDefault="00B97365">
            <w:pPr>
              <w:rPr>
                <w:rFonts w:cs="Calibri"/>
                <w:sz w:val="16"/>
                <w:szCs w:val="16"/>
              </w:rPr>
            </w:pPr>
          </w:p>
        </w:tc>
        <w:tc>
          <w:tcPr>
            <w:tcW w:w="393" w:type="pct"/>
            <w:tcBorders>
              <w:top w:val="single" w:sz="6" w:space="0" w:color="auto"/>
              <w:left w:val="single" w:sz="6" w:space="0" w:color="auto"/>
              <w:bottom w:val="single" w:sz="6" w:space="0" w:color="auto"/>
              <w:right w:val="single" w:sz="6" w:space="0" w:color="auto"/>
            </w:tcBorders>
          </w:tcPr>
          <w:p w14:paraId="0EF1EA8E" w14:textId="77777777" w:rsidR="00B97365" w:rsidRDefault="00B97365">
            <w:pPr>
              <w:rPr>
                <w:rFonts w:cs="Calibri"/>
                <w:sz w:val="16"/>
                <w:szCs w:val="16"/>
              </w:rPr>
            </w:pPr>
          </w:p>
        </w:tc>
        <w:tc>
          <w:tcPr>
            <w:tcW w:w="472" w:type="pct"/>
            <w:tcBorders>
              <w:top w:val="single" w:sz="6" w:space="0" w:color="auto"/>
              <w:left w:val="single" w:sz="6" w:space="0" w:color="auto"/>
              <w:bottom w:val="single" w:sz="6" w:space="0" w:color="auto"/>
              <w:right w:val="single" w:sz="6" w:space="0" w:color="auto"/>
            </w:tcBorders>
            <w:hideMark/>
          </w:tcPr>
          <w:p w14:paraId="71C014A9" w14:textId="77777777" w:rsidR="00B97365" w:rsidRDefault="00000000">
            <w:pPr>
              <w:rPr>
                <w:rFonts w:cs="Calibri"/>
                <w:sz w:val="16"/>
                <w:szCs w:val="16"/>
              </w:rPr>
            </w:pPr>
            <w:r>
              <w:rPr>
                <w:rFonts w:cs="Calibri"/>
                <w:sz w:val="16"/>
                <w:szCs w:val="16"/>
              </w:rPr>
              <w:t>‘7F49’</w:t>
            </w:r>
          </w:p>
        </w:tc>
        <w:tc>
          <w:tcPr>
            <w:tcW w:w="471" w:type="pct"/>
            <w:tcBorders>
              <w:top w:val="single" w:sz="6" w:space="0" w:color="auto"/>
              <w:left w:val="single" w:sz="6" w:space="0" w:color="auto"/>
              <w:bottom w:val="single" w:sz="6" w:space="0" w:color="auto"/>
              <w:right w:val="single" w:sz="6" w:space="0" w:color="auto"/>
            </w:tcBorders>
            <w:hideMark/>
          </w:tcPr>
          <w:p w14:paraId="70E597BE" w14:textId="77777777" w:rsidR="00B97365" w:rsidRDefault="00000000">
            <w:pPr>
              <w:rPr>
                <w:rFonts w:cs="Calibri"/>
                <w:sz w:val="16"/>
                <w:szCs w:val="16"/>
              </w:rPr>
            </w:pPr>
            <w:r>
              <w:rPr>
                <w:rFonts w:cs="Calibri"/>
                <w:sz w:val="16"/>
                <w:szCs w:val="16"/>
              </w:rPr>
              <w:t>Var.</w:t>
            </w:r>
          </w:p>
        </w:tc>
        <w:tc>
          <w:tcPr>
            <w:tcW w:w="1867" w:type="pct"/>
            <w:tcBorders>
              <w:top w:val="single" w:sz="6" w:space="0" w:color="auto"/>
              <w:left w:val="single" w:sz="6" w:space="0" w:color="auto"/>
              <w:bottom w:val="single" w:sz="6" w:space="0" w:color="auto"/>
              <w:right w:val="single" w:sz="6" w:space="0" w:color="auto"/>
            </w:tcBorders>
            <w:hideMark/>
          </w:tcPr>
          <w:p w14:paraId="32FB5A12" w14:textId="77777777" w:rsidR="00B97365" w:rsidRDefault="00000000">
            <w:pPr>
              <w:rPr>
                <w:rFonts w:cs="Calibri"/>
                <w:sz w:val="16"/>
                <w:szCs w:val="16"/>
              </w:rPr>
            </w:pPr>
            <w:r>
              <w:rPr>
                <w:rFonts w:cs="Calibri"/>
                <w:sz w:val="16"/>
                <w:szCs w:val="16"/>
              </w:rPr>
              <w:t>Public Key – details see tables below</w:t>
            </w:r>
          </w:p>
        </w:tc>
        <w:tc>
          <w:tcPr>
            <w:tcW w:w="542" w:type="pct"/>
            <w:tcBorders>
              <w:top w:val="single" w:sz="6" w:space="0" w:color="auto"/>
              <w:left w:val="single" w:sz="6" w:space="0" w:color="auto"/>
              <w:bottom w:val="single" w:sz="6" w:space="0" w:color="auto"/>
              <w:right w:val="single" w:sz="4" w:space="0" w:color="auto"/>
            </w:tcBorders>
            <w:hideMark/>
          </w:tcPr>
          <w:p w14:paraId="6FBB3CBA" w14:textId="77777777" w:rsidR="00B97365" w:rsidRDefault="00000000">
            <w:pPr>
              <w:jc w:val="center"/>
              <w:rPr>
                <w:rFonts w:cs="Calibri"/>
                <w:sz w:val="16"/>
                <w:szCs w:val="16"/>
              </w:rPr>
            </w:pPr>
            <w:r>
              <w:rPr>
                <w:rFonts w:cs="Calibri"/>
                <w:sz w:val="16"/>
                <w:szCs w:val="16"/>
              </w:rPr>
              <w:t>M</w:t>
            </w:r>
          </w:p>
        </w:tc>
      </w:tr>
      <w:tr w:rsidR="00B97365" w14:paraId="4AB08039" w14:textId="77777777">
        <w:trPr>
          <w:cantSplit/>
          <w:jc w:val="center"/>
        </w:trPr>
        <w:tc>
          <w:tcPr>
            <w:tcW w:w="411" w:type="pct"/>
            <w:tcBorders>
              <w:top w:val="single" w:sz="6" w:space="0" w:color="auto"/>
              <w:left w:val="single" w:sz="4" w:space="0" w:color="auto"/>
              <w:bottom w:val="single" w:sz="4" w:space="0" w:color="auto"/>
              <w:right w:val="single" w:sz="6" w:space="0" w:color="auto"/>
            </w:tcBorders>
          </w:tcPr>
          <w:p w14:paraId="42380A71" w14:textId="77777777" w:rsidR="00B97365" w:rsidRDefault="00B97365">
            <w:pPr>
              <w:rPr>
                <w:rFonts w:cs="Calibri"/>
                <w:sz w:val="16"/>
                <w:szCs w:val="16"/>
              </w:rPr>
            </w:pPr>
          </w:p>
        </w:tc>
        <w:tc>
          <w:tcPr>
            <w:tcW w:w="439" w:type="pct"/>
            <w:tcBorders>
              <w:top w:val="single" w:sz="6" w:space="0" w:color="auto"/>
              <w:left w:val="single" w:sz="6" w:space="0" w:color="auto"/>
              <w:bottom w:val="single" w:sz="4" w:space="0" w:color="auto"/>
              <w:right w:val="single" w:sz="6" w:space="0" w:color="auto"/>
            </w:tcBorders>
          </w:tcPr>
          <w:p w14:paraId="7AF5571B" w14:textId="77777777" w:rsidR="00B97365" w:rsidRDefault="00B97365">
            <w:pPr>
              <w:rPr>
                <w:rFonts w:cs="Calibri"/>
                <w:sz w:val="16"/>
                <w:szCs w:val="16"/>
              </w:rPr>
            </w:pPr>
          </w:p>
        </w:tc>
        <w:tc>
          <w:tcPr>
            <w:tcW w:w="405" w:type="pct"/>
            <w:tcBorders>
              <w:top w:val="single" w:sz="6" w:space="0" w:color="auto"/>
              <w:left w:val="single" w:sz="6" w:space="0" w:color="auto"/>
              <w:bottom w:val="single" w:sz="4" w:space="0" w:color="auto"/>
              <w:right w:val="single" w:sz="6" w:space="0" w:color="auto"/>
            </w:tcBorders>
          </w:tcPr>
          <w:p w14:paraId="311BA0A5" w14:textId="77777777" w:rsidR="00B97365" w:rsidRDefault="00B97365">
            <w:pPr>
              <w:rPr>
                <w:rFonts w:cs="Calibri"/>
                <w:sz w:val="16"/>
                <w:szCs w:val="16"/>
              </w:rPr>
            </w:pPr>
          </w:p>
        </w:tc>
        <w:tc>
          <w:tcPr>
            <w:tcW w:w="393" w:type="pct"/>
            <w:tcBorders>
              <w:top w:val="single" w:sz="6" w:space="0" w:color="auto"/>
              <w:left w:val="single" w:sz="6" w:space="0" w:color="auto"/>
              <w:bottom w:val="single" w:sz="4" w:space="0" w:color="auto"/>
              <w:right w:val="single" w:sz="6" w:space="0" w:color="auto"/>
            </w:tcBorders>
          </w:tcPr>
          <w:p w14:paraId="0BEE9AE8" w14:textId="77777777" w:rsidR="00B97365" w:rsidRDefault="00B97365">
            <w:pPr>
              <w:rPr>
                <w:rFonts w:cs="Calibri"/>
                <w:sz w:val="16"/>
                <w:szCs w:val="16"/>
              </w:rPr>
            </w:pPr>
          </w:p>
        </w:tc>
        <w:tc>
          <w:tcPr>
            <w:tcW w:w="472" w:type="pct"/>
            <w:tcBorders>
              <w:top w:val="single" w:sz="6" w:space="0" w:color="auto"/>
              <w:left w:val="single" w:sz="6" w:space="0" w:color="auto"/>
              <w:bottom w:val="single" w:sz="4" w:space="0" w:color="auto"/>
              <w:right w:val="single" w:sz="6" w:space="0" w:color="auto"/>
            </w:tcBorders>
            <w:hideMark/>
          </w:tcPr>
          <w:p w14:paraId="5BB97C43" w14:textId="77777777" w:rsidR="00B97365" w:rsidRDefault="00000000">
            <w:pPr>
              <w:rPr>
                <w:rFonts w:cs="Calibri"/>
                <w:sz w:val="16"/>
                <w:szCs w:val="16"/>
              </w:rPr>
            </w:pPr>
            <w:r>
              <w:rPr>
                <w:rFonts w:cs="Calibri"/>
                <w:sz w:val="16"/>
                <w:szCs w:val="16"/>
              </w:rPr>
              <w:t>‘5F37’</w:t>
            </w:r>
          </w:p>
        </w:tc>
        <w:tc>
          <w:tcPr>
            <w:tcW w:w="471" w:type="pct"/>
            <w:tcBorders>
              <w:top w:val="single" w:sz="6" w:space="0" w:color="auto"/>
              <w:left w:val="single" w:sz="6" w:space="0" w:color="auto"/>
              <w:bottom w:val="single" w:sz="4" w:space="0" w:color="auto"/>
              <w:right w:val="single" w:sz="6" w:space="0" w:color="auto"/>
            </w:tcBorders>
            <w:hideMark/>
          </w:tcPr>
          <w:p w14:paraId="75E10934" w14:textId="77777777" w:rsidR="00B97365" w:rsidRDefault="00000000">
            <w:pPr>
              <w:rPr>
                <w:rFonts w:cs="Calibri"/>
                <w:sz w:val="16"/>
                <w:szCs w:val="16"/>
              </w:rPr>
            </w:pPr>
            <w:r>
              <w:rPr>
                <w:rFonts w:cs="Calibri"/>
                <w:sz w:val="16"/>
                <w:szCs w:val="16"/>
              </w:rPr>
              <w:t>Var.</w:t>
            </w:r>
          </w:p>
        </w:tc>
        <w:tc>
          <w:tcPr>
            <w:tcW w:w="1867" w:type="pct"/>
            <w:tcBorders>
              <w:top w:val="single" w:sz="6" w:space="0" w:color="auto"/>
              <w:left w:val="single" w:sz="6" w:space="0" w:color="auto"/>
              <w:bottom w:val="single" w:sz="4" w:space="0" w:color="auto"/>
              <w:right w:val="single" w:sz="6" w:space="0" w:color="auto"/>
            </w:tcBorders>
            <w:hideMark/>
          </w:tcPr>
          <w:p w14:paraId="552AFB30" w14:textId="77777777" w:rsidR="00B97365" w:rsidRDefault="00000000">
            <w:pPr>
              <w:rPr>
                <w:rFonts w:cs="Calibri"/>
                <w:sz w:val="16"/>
                <w:szCs w:val="16"/>
              </w:rPr>
            </w:pPr>
            <w:r>
              <w:rPr>
                <w:rFonts w:cs="Calibri"/>
                <w:sz w:val="16"/>
                <w:szCs w:val="16"/>
              </w:rPr>
              <w:t>Signature</w:t>
            </w:r>
          </w:p>
        </w:tc>
        <w:tc>
          <w:tcPr>
            <w:tcW w:w="542" w:type="pct"/>
            <w:tcBorders>
              <w:top w:val="single" w:sz="6" w:space="0" w:color="auto"/>
              <w:left w:val="single" w:sz="6" w:space="0" w:color="auto"/>
              <w:bottom w:val="single" w:sz="4" w:space="0" w:color="auto"/>
              <w:right w:val="single" w:sz="4" w:space="0" w:color="auto"/>
            </w:tcBorders>
            <w:hideMark/>
          </w:tcPr>
          <w:p w14:paraId="6CF33E78" w14:textId="77777777" w:rsidR="00B97365" w:rsidRDefault="00000000">
            <w:pPr>
              <w:jc w:val="center"/>
              <w:rPr>
                <w:rFonts w:cs="Calibri"/>
                <w:sz w:val="16"/>
                <w:szCs w:val="16"/>
              </w:rPr>
            </w:pPr>
            <w:r>
              <w:rPr>
                <w:rFonts w:cs="Calibri"/>
                <w:sz w:val="16"/>
                <w:szCs w:val="16"/>
              </w:rPr>
              <w:t>M</w:t>
            </w:r>
          </w:p>
        </w:tc>
      </w:tr>
    </w:tbl>
    <w:p w14:paraId="7033E3A5" w14:textId="77777777" w:rsidR="00B97365" w:rsidRDefault="00000000">
      <w:pPr>
        <w:numPr>
          <w:ilvl w:val="0"/>
          <w:numId w:val="14"/>
        </w:numPr>
        <w:tabs>
          <w:tab w:val="left" w:pos="1009"/>
        </w:tabs>
        <w:spacing w:after="200" w:line="276" w:lineRule="auto"/>
        <w:jc w:val="center"/>
        <w:rPr>
          <w:rFonts w:cs="Arial"/>
          <w:lang w:eastAsia="de-DE" w:bidi="ar-SA"/>
        </w:rPr>
      </w:pPr>
      <w:bookmarkStart w:id="2426" w:name="_Ref373942738"/>
      <w:r>
        <w:rPr>
          <w:rFonts w:cs="Arial"/>
          <w:b/>
          <w:lang w:eastAsia="de-DE" w:bidi="ar-SA"/>
        </w:rPr>
        <w:t>:  Data Field</w:t>
      </w:r>
      <w:bookmarkEnd w:id="2426"/>
      <w:r>
        <w:rPr>
          <w:rFonts w:cs="Arial"/>
          <w:b/>
          <w:lang w:eastAsia="de-DE" w:bidi="ar-SA"/>
        </w:rPr>
        <w:t>s for Send SM-SR Certificate for ISD-R Key Establishment</w:t>
      </w:r>
    </w:p>
    <w:p w14:paraId="11B12216" w14:textId="558BB86C" w:rsidR="00B97365" w:rsidRDefault="00000000">
      <w:pPr>
        <w:spacing w:before="0" w:after="200" w:line="276" w:lineRule="auto"/>
        <w:jc w:val="left"/>
        <w:rPr>
          <w:rFonts w:asciiTheme="minorHAnsi" w:hAnsiTheme="minorHAnsi" w:cstheme="minorHAnsi"/>
        </w:rPr>
      </w:pPr>
      <w:r>
        <w:rPr>
          <w:rFonts w:cs="Arial"/>
          <w:szCs w:val="22"/>
          <w:lang w:val="en-US" w:eastAsia="en-GB" w:bidi="ar-SA"/>
        </w:rPr>
        <w:t xml:space="preserve">The following TLV-encoded data are signed off-card with SK.CI.ECDSA to generate the content of tag ‘5F37’ (signature), as described in GlobalPlatform Card Specification Amendment E </w:t>
      </w:r>
      <w:r>
        <w:fldChar w:fldCharType="begin"/>
      </w:r>
      <w:r>
        <w:rPr>
          <w:szCs w:val="22"/>
          <w:lang w:val="en-US" w:eastAsia="en-GB" w:bidi="ar-SA"/>
        </w:rPr>
        <w:instrText xml:space="preserve"> REF _Ref421632038 \r \h </w:instrText>
      </w:r>
      <w:r>
        <w:fldChar w:fldCharType="separate"/>
      </w:r>
      <w:r w:rsidR="001D5AD9">
        <w:rPr>
          <w:szCs w:val="22"/>
          <w:lang w:val="en-US" w:eastAsia="en-GB" w:bidi="ar-SA"/>
        </w:rPr>
        <w:t>[11]</w:t>
      </w:r>
      <w:r>
        <w:fldChar w:fldCharType="end"/>
      </w:r>
      <w:r>
        <w:rPr>
          <w:szCs w:val="22"/>
          <w:lang w:val="en-US" w:eastAsia="en-GB" w:bidi="ar-SA"/>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52"/>
        <w:gridCol w:w="750"/>
        <w:gridCol w:w="4049"/>
        <w:gridCol w:w="590"/>
      </w:tblGrid>
      <w:tr w:rsidR="00B97365" w14:paraId="5F9AC6CD" w14:textId="77777777">
        <w:trPr>
          <w:cantSplit/>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53756442" w14:textId="77777777" w:rsidR="00B97365" w:rsidRDefault="00000000">
            <w:pPr>
              <w:rPr>
                <w:rFonts w:cs="Calibri"/>
                <w:b/>
                <w:color w:val="FFFFFF"/>
                <w:sz w:val="16"/>
                <w:szCs w:val="16"/>
              </w:rPr>
            </w:pPr>
            <w:r>
              <w:rPr>
                <w:rFonts w:cs="Calibri"/>
                <w:b/>
                <w:color w:val="FFFFFF"/>
                <w:sz w:val="16"/>
                <w:szCs w:val="16"/>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59940FA4" w14:textId="77777777" w:rsidR="00B97365" w:rsidRDefault="00000000">
            <w:pPr>
              <w:rPr>
                <w:rFonts w:cs="Calibri"/>
                <w:b/>
                <w:color w:val="FFFFFF"/>
                <w:sz w:val="16"/>
                <w:szCs w:val="16"/>
              </w:rPr>
            </w:pPr>
            <w:r>
              <w:rPr>
                <w:rFonts w:cs="Calibri"/>
                <w:b/>
                <w:color w:val="FFFFFF"/>
                <w:sz w:val="16"/>
                <w:szCs w:val="16"/>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028F45A" w14:textId="77777777" w:rsidR="00B97365" w:rsidRDefault="00000000">
            <w:pPr>
              <w:rPr>
                <w:rFonts w:cs="Calibri"/>
                <w:b/>
                <w:color w:val="FFFFFF"/>
                <w:sz w:val="16"/>
                <w:szCs w:val="16"/>
              </w:rPr>
            </w:pPr>
            <w:r>
              <w:rPr>
                <w:rFonts w:cs="Calibri"/>
                <w:b/>
                <w:color w:val="FFFFFF"/>
                <w:sz w:val="16"/>
                <w:szCs w:val="16"/>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5E32D824"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1555FBB"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4FC98BA0" w14:textId="77777777" w:rsidR="00B97365" w:rsidRDefault="00000000">
            <w:pPr>
              <w:rPr>
                <w:rFonts w:cs="Calibri"/>
                <w:sz w:val="16"/>
                <w:szCs w:val="16"/>
              </w:rPr>
            </w:pPr>
            <w:r>
              <w:rPr>
                <w:rFonts w:cs="Calibri"/>
                <w:sz w:val="16"/>
                <w:szCs w:val="16"/>
              </w:rPr>
              <w:t>‘93’</w:t>
            </w:r>
          </w:p>
        </w:tc>
        <w:tc>
          <w:tcPr>
            <w:tcW w:w="0" w:type="auto"/>
            <w:tcBorders>
              <w:top w:val="single" w:sz="6" w:space="0" w:color="auto"/>
              <w:left w:val="single" w:sz="6" w:space="0" w:color="auto"/>
              <w:bottom w:val="single" w:sz="6" w:space="0" w:color="auto"/>
              <w:right w:val="single" w:sz="6" w:space="0" w:color="auto"/>
            </w:tcBorders>
            <w:hideMark/>
          </w:tcPr>
          <w:p w14:paraId="01FE5B36" w14:textId="77777777" w:rsidR="00B97365" w:rsidRDefault="00000000">
            <w:pPr>
              <w:rPr>
                <w:rFonts w:cs="Calibri"/>
                <w:sz w:val="16"/>
                <w:szCs w:val="16"/>
              </w:rPr>
            </w:pPr>
            <w:r>
              <w:rPr>
                <w:rFonts w:cs="Calibri"/>
                <w:sz w:val="16"/>
                <w:szCs w:val="16"/>
              </w:rPr>
              <w:t>1-16</w:t>
            </w:r>
          </w:p>
        </w:tc>
        <w:tc>
          <w:tcPr>
            <w:tcW w:w="0" w:type="auto"/>
            <w:tcBorders>
              <w:top w:val="single" w:sz="6" w:space="0" w:color="auto"/>
              <w:left w:val="single" w:sz="6" w:space="0" w:color="auto"/>
              <w:bottom w:val="single" w:sz="6" w:space="0" w:color="auto"/>
              <w:right w:val="single" w:sz="6" w:space="0" w:color="auto"/>
            </w:tcBorders>
            <w:hideMark/>
          </w:tcPr>
          <w:p w14:paraId="15FDD12E" w14:textId="77777777" w:rsidR="00B97365" w:rsidRDefault="00000000">
            <w:pPr>
              <w:rPr>
                <w:rFonts w:cs="Calibri"/>
                <w:sz w:val="16"/>
                <w:szCs w:val="16"/>
              </w:rPr>
            </w:pPr>
            <w:r>
              <w:rPr>
                <w:rFonts w:cs="Calibri"/>
                <w:sz w:val="16"/>
                <w:szCs w:val="16"/>
              </w:rPr>
              <w:t>Certificate Serial Number</w:t>
            </w:r>
          </w:p>
        </w:tc>
        <w:tc>
          <w:tcPr>
            <w:tcW w:w="0" w:type="auto"/>
            <w:tcBorders>
              <w:top w:val="single" w:sz="6" w:space="0" w:color="auto"/>
              <w:left w:val="single" w:sz="6" w:space="0" w:color="auto"/>
              <w:bottom w:val="single" w:sz="6" w:space="0" w:color="auto"/>
              <w:right w:val="single" w:sz="4" w:space="0" w:color="auto"/>
            </w:tcBorders>
            <w:hideMark/>
          </w:tcPr>
          <w:p w14:paraId="454E8BC8" w14:textId="77777777" w:rsidR="00B97365" w:rsidRDefault="00000000">
            <w:pPr>
              <w:jc w:val="center"/>
              <w:rPr>
                <w:rFonts w:cs="Calibri"/>
                <w:sz w:val="16"/>
                <w:szCs w:val="16"/>
              </w:rPr>
            </w:pPr>
            <w:r>
              <w:rPr>
                <w:rFonts w:cs="Calibri"/>
                <w:sz w:val="16"/>
                <w:szCs w:val="16"/>
              </w:rPr>
              <w:t>M</w:t>
            </w:r>
          </w:p>
        </w:tc>
      </w:tr>
      <w:tr w:rsidR="00B97365" w14:paraId="3EB29D90"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73466E3C" w14:textId="77777777" w:rsidR="00B97365" w:rsidRDefault="00000000">
            <w:pPr>
              <w:rPr>
                <w:rFonts w:cs="Calibri"/>
                <w:sz w:val="16"/>
                <w:szCs w:val="16"/>
              </w:rPr>
            </w:pPr>
            <w:r>
              <w:rPr>
                <w:rFonts w:cs="Calibri"/>
                <w:sz w:val="16"/>
                <w:szCs w:val="16"/>
              </w:rPr>
              <w:t>‘42’</w:t>
            </w:r>
          </w:p>
        </w:tc>
        <w:tc>
          <w:tcPr>
            <w:tcW w:w="0" w:type="auto"/>
            <w:tcBorders>
              <w:top w:val="single" w:sz="6" w:space="0" w:color="auto"/>
              <w:left w:val="single" w:sz="6" w:space="0" w:color="auto"/>
              <w:bottom w:val="single" w:sz="6" w:space="0" w:color="auto"/>
              <w:right w:val="single" w:sz="6" w:space="0" w:color="auto"/>
            </w:tcBorders>
            <w:hideMark/>
          </w:tcPr>
          <w:p w14:paraId="6FFFE3D0" w14:textId="77777777" w:rsidR="00B97365" w:rsidRDefault="00000000">
            <w:pPr>
              <w:rPr>
                <w:rFonts w:cs="Calibri"/>
                <w:sz w:val="16"/>
                <w:szCs w:val="16"/>
              </w:rPr>
            </w:pPr>
            <w:r>
              <w:rPr>
                <w:rFonts w:cs="Calibri"/>
                <w:sz w:val="16"/>
                <w:szCs w:val="16"/>
              </w:rPr>
              <w:t>1-16</w:t>
            </w:r>
          </w:p>
        </w:tc>
        <w:tc>
          <w:tcPr>
            <w:tcW w:w="0" w:type="auto"/>
            <w:tcBorders>
              <w:top w:val="single" w:sz="6" w:space="0" w:color="auto"/>
              <w:left w:val="single" w:sz="6" w:space="0" w:color="auto"/>
              <w:bottom w:val="single" w:sz="6" w:space="0" w:color="auto"/>
              <w:right w:val="single" w:sz="6" w:space="0" w:color="auto"/>
            </w:tcBorders>
            <w:hideMark/>
          </w:tcPr>
          <w:p w14:paraId="46D391AE" w14:textId="77777777" w:rsidR="00B97365" w:rsidRDefault="00000000">
            <w:pPr>
              <w:rPr>
                <w:rFonts w:cs="Calibri"/>
                <w:sz w:val="16"/>
                <w:szCs w:val="16"/>
              </w:rPr>
            </w:pPr>
            <w:r>
              <w:rPr>
                <w:rFonts w:cs="Calibri"/>
                <w:sz w:val="16"/>
                <w:szCs w:val="16"/>
              </w:rPr>
              <w:t>CA Identifier</w:t>
            </w:r>
          </w:p>
        </w:tc>
        <w:tc>
          <w:tcPr>
            <w:tcW w:w="0" w:type="auto"/>
            <w:tcBorders>
              <w:top w:val="single" w:sz="6" w:space="0" w:color="auto"/>
              <w:left w:val="single" w:sz="6" w:space="0" w:color="auto"/>
              <w:bottom w:val="single" w:sz="6" w:space="0" w:color="auto"/>
              <w:right w:val="single" w:sz="4" w:space="0" w:color="auto"/>
            </w:tcBorders>
            <w:hideMark/>
          </w:tcPr>
          <w:p w14:paraId="3D88A870" w14:textId="77777777" w:rsidR="00B97365" w:rsidRDefault="00000000">
            <w:pPr>
              <w:jc w:val="center"/>
              <w:rPr>
                <w:rFonts w:cs="Calibri"/>
                <w:sz w:val="16"/>
                <w:szCs w:val="16"/>
              </w:rPr>
            </w:pPr>
            <w:r>
              <w:rPr>
                <w:rFonts w:cs="Calibri"/>
                <w:sz w:val="16"/>
                <w:szCs w:val="16"/>
              </w:rPr>
              <w:t>M</w:t>
            </w:r>
          </w:p>
        </w:tc>
      </w:tr>
      <w:tr w:rsidR="00B97365" w14:paraId="5FA5C12B"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65538516" w14:textId="77777777" w:rsidR="00B97365" w:rsidRDefault="00000000">
            <w:pPr>
              <w:rPr>
                <w:rFonts w:cs="Calibri"/>
                <w:sz w:val="16"/>
                <w:szCs w:val="16"/>
              </w:rPr>
            </w:pPr>
            <w:r>
              <w:rPr>
                <w:rFonts w:cs="Calibri"/>
                <w:sz w:val="16"/>
                <w:szCs w:val="16"/>
              </w:rPr>
              <w:t>‘5F20’</w:t>
            </w:r>
          </w:p>
        </w:tc>
        <w:tc>
          <w:tcPr>
            <w:tcW w:w="0" w:type="auto"/>
            <w:tcBorders>
              <w:top w:val="single" w:sz="6" w:space="0" w:color="auto"/>
              <w:left w:val="single" w:sz="6" w:space="0" w:color="auto"/>
              <w:bottom w:val="single" w:sz="6" w:space="0" w:color="auto"/>
              <w:right w:val="single" w:sz="6" w:space="0" w:color="auto"/>
            </w:tcBorders>
            <w:hideMark/>
          </w:tcPr>
          <w:p w14:paraId="50258CC9" w14:textId="77777777" w:rsidR="00B97365" w:rsidRDefault="00000000">
            <w:pPr>
              <w:rPr>
                <w:rFonts w:cs="Calibri"/>
                <w:sz w:val="16"/>
                <w:szCs w:val="16"/>
              </w:rPr>
            </w:pPr>
            <w:r>
              <w:rPr>
                <w:rFonts w:cs="Calibri"/>
                <w:sz w:val="16"/>
                <w:szCs w:val="16"/>
              </w:rPr>
              <w:t>1-16</w:t>
            </w:r>
          </w:p>
        </w:tc>
        <w:tc>
          <w:tcPr>
            <w:tcW w:w="0" w:type="auto"/>
            <w:tcBorders>
              <w:top w:val="single" w:sz="6" w:space="0" w:color="auto"/>
              <w:left w:val="single" w:sz="6" w:space="0" w:color="auto"/>
              <w:bottom w:val="single" w:sz="6" w:space="0" w:color="auto"/>
              <w:right w:val="single" w:sz="6" w:space="0" w:color="auto"/>
            </w:tcBorders>
            <w:hideMark/>
          </w:tcPr>
          <w:p w14:paraId="4B96D528" w14:textId="77777777" w:rsidR="00B97365" w:rsidRDefault="00000000">
            <w:pPr>
              <w:rPr>
                <w:rFonts w:cs="Calibri"/>
                <w:sz w:val="16"/>
                <w:szCs w:val="16"/>
              </w:rPr>
            </w:pPr>
            <w:r>
              <w:rPr>
                <w:rFonts w:cs="Calibri"/>
                <w:sz w:val="16"/>
                <w:szCs w:val="16"/>
              </w:rPr>
              <w:t>Subject Identifier</w:t>
            </w:r>
          </w:p>
        </w:tc>
        <w:tc>
          <w:tcPr>
            <w:tcW w:w="0" w:type="auto"/>
            <w:tcBorders>
              <w:top w:val="single" w:sz="6" w:space="0" w:color="auto"/>
              <w:left w:val="single" w:sz="6" w:space="0" w:color="auto"/>
              <w:bottom w:val="single" w:sz="6" w:space="0" w:color="auto"/>
              <w:right w:val="single" w:sz="4" w:space="0" w:color="auto"/>
            </w:tcBorders>
            <w:hideMark/>
          </w:tcPr>
          <w:p w14:paraId="747C4D13" w14:textId="77777777" w:rsidR="00B97365" w:rsidRDefault="00000000">
            <w:pPr>
              <w:jc w:val="center"/>
              <w:rPr>
                <w:rFonts w:cs="Calibri"/>
                <w:sz w:val="16"/>
                <w:szCs w:val="16"/>
              </w:rPr>
            </w:pPr>
            <w:r>
              <w:rPr>
                <w:rFonts w:cs="Calibri"/>
                <w:sz w:val="16"/>
                <w:szCs w:val="16"/>
              </w:rPr>
              <w:t>M</w:t>
            </w:r>
          </w:p>
        </w:tc>
      </w:tr>
      <w:tr w:rsidR="00B97365" w14:paraId="75DF1283"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74F084C8" w14:textId="77777777" w:rsidR="00B97365" w:rsidRDefault="00000000">
            <w:pPr>
              <w:rPr>
                <w:rFonts w:cs="Calibri"/>
                <w:sz w:val="16"/>
                <w:szCs w:val="16"/>
              </w:rPr>
            </w:pPr>
            <w:r>
              <w:rPr>
                <w:rFonts w:cs="Calibri"/>
                <w:sz w:val="16"/>
                <w:szCs w:val="16"/>
              </w:rPr>
              <w:t>‘95’</w:t>
            </w:r>
          </w:p>
        </w:tc>
        <w:tc>
          <w:tcPr>
            <w:tcW w:w="0" w:type="auto"/>
            <w:tcBorders>
              <w:top w:val="single" w:sz="6" w:space="0" w:color="auto"/>
              <w:left w:val="single" w:sz="6" w:space="0" w:color="auto"/>
              <w:bottom w:val="single" w:sz="6" w:space="0" w:color="auto"/>
              <w:right w:val="single" w:sz="6" w:space="0" w:color="auto"/>
            </w:tcBorders>
            <w:hideMark/>
          </w:tcPr>
          <w:p w14:paraId="4A22D7A7"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35B80A32" w14:textId="77777777" w:rsidR="00B97365" w:rsidRDefault="00000000">
            <w:pPr>
              <w:rPr>
                <w:rFonts w:cs="Calibri"/>
                <w:sz w:val="16"/>
                <w:szCs w:val="16"/>
              </w:rPr>
            </w:pPr>
            <w:r>
              <w:rPr>
                <w:rFonts w:cs="Calibri"/>
                <w:sz w:val="16"/>
                <w:szCs w:val="16"/>
              </w:rPr>
              <w:t>Key Usage, Signature Verification</w:t>
            </w:r>
          </w:p>
        </w:tc>
        <w:tc>
          <w:tcPr>
            <w:tcW w:w="0" w:type="auto"/>
            <w:tcBorders>
              <w:top w:val="single" w:sz="6" w:space="0" w:color="auto"/>
              <w:left w:val="single" w:sz="6" w:space="0" w:color="auto"/>
              <w:bottom w:val="single" w:sz="6" w:space="0" w:color="auto"/>
              <w:right w:val="single" w:sz="4" w:space="0" w:color="auto"/>
            </w:tcBorders>
            <w:hideMark/>
          </w:tcPr>
          <w:p w14:paraId="706BE28C" w14:textId="77777777" w:rsidR="00B97365" w:rsidRDefault="00000000">
            <w:pPr>
              <w:jc w:val="center"/>
              <w:rPr>
                <w:rFonts w:cs="Calibri"/>
                <w:sz w:val="16"/>
                <w:szCs w:val="16"/>
              </w:rPr>
            </w:pPr>
            <w:r>
              <w:rPr>
                <w:rFonts w:cs="Calibri"/>
                <w:sz w:val="16"/>
                <w:szCs w:val="16"/>
              </w:rPr>
              <w:t>M</w:t>
            </w:r>
          </w:p>
        </w:tc>
      </w:tr>
      <w:tr w:rsidR="00B97365" w14:paraId="1D927993"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09D61CF6" w14:textId="77777777" w:rsidR="00B97365" w:rsidRDefault="00000000">
            <w:pPr>
              <w:rPr>
                <w:rFonts w:cs="Calibri"/>
                <w:sz w:val="16"/>
                <w:szCs w:val="16"/>
              </w:rPr>
            </w:pPr>
            <w:r>
              <w:rPr>
                <w:rFonts w:cs="Calibri"/>
                <w:sz w:val="16"/>
                <w:szCs w:val="16"/>
              </w:rPr>
              <w:lastRenderedPageBreak/>
              <w:t>‘5F25’</w:t>
            </w:r>
          </w:p>
        </w:tc>
        <w:tc>
          <w:tcPr>
            <w:tcW w:w="0" w:type="auto"/>
            <w:tcBorders>
              <w:top w:val="single" w:sz="6" w:space="0" w:color="auto"/>
              <w:left w:val="single" w:sz="6" w:space="0" w:color="auto"/>
              <w:bottom w:val="single" w:sz="6" w:space="0" w:color="auto"/>
              <w:right w:val="single" w:sz="6" w:space="0" w:color="auto"/>
            </w:tcBorders>
            <w:hideMark/>
          </w:tcPr>
          <w:p w14:paraId="7621B619" w14:textId="77777777" w:rsidR="00B97365" w:rsidRDefault="00000000">
            <w:pPr>
              <w:rPr>
                <w:rFonts w:cs="Calibri"/>
                <w:sz w:val="16"/>
                <w:szCs w:val="16"/>
              </w:rPr>
            </w:pPr>
            <w:r>
              <w:rPr>
                <w:rFonts w:cs="Calibri"/>
                <w:sz w:val="16"/>
                <w:szCs w:val="16"/>
              </w:rPr>
              <w:t>4</w:t>
            </w:r>
          </w:p>
        </w:tc>
        <w:tc>
          <w:tcPr>
            <w:tcW w:w="0" w:type="auto"/>
            <w:tcBorders>
              <w:top w:val="single" w:sz="6" w:space="0" w:color="auto"/>
              <w:left w:val="single" w:sz="6" w:space="0" w:color="auto"/>
              <w:bottom w:val="single" w:sz="6" w:space="0" w:color="auto"/>
              <w:right w:val="single" w:sz="6" w:space="0" w:color="auto"/>
            </w:tcBorders>
            <w:hideMark/>
          </w:tcPr>
          <w:p w14:paraId="0653C7C9" w14:textId="77777777" w:rsidR="00B97365" w:rsidRDefault="00000000">
            <w:pPr>
              <w:rPr>
                <w:rFonts w:cs="Calibri"/>
                <w:sz w:val="16"/>
                <w:szCs w:val="16"/>
              </w:rPr>
            </w:pPr>
            <w:r>
              <w:rPr>
                <w:rFonts w:cs="Calibri"/>
                <w:sz w:val="16"/>
                <w:szCs w:val="16"/>
              </w:rPr>
              <w:t>Effective Date (YYYYMMDD, BCD format) – if present</w:t>
            </w:r>
          </w:p>
        </w:tc>
        <w:tc>
          <w:tcPr>
            <w:tcW w:w="0" w:type="auto"/>
            <w:tcBorders>
              <w:top w:val="single" w:sz="6" w:space="0" w:color="auto"/>
              <w:left w:val="single" w:sz="6" w:space="0" w:color="auto"/>
              <w:bottom w:val="single" w:sz="6" w:space="0" w:color="auto"/>
              <w:right w:val="single" w:sz="4" w:space="0" w:color="auto"/>
            </w:tcBorders>
            <w:hideMark/>
          </w:tcPr>
          <w:p w14:paraId="5724104F" w14:textId="77777777" w:rsidR="00B97365" w:rsidRDefault="00000000">
            <w:pPr>
              <w:jc w:val="center"/>
              <w:rPr>
                <w:rFonts w:cs="Calibri"/>
                <w:sz w:val="16"/>
                <w:szCs w:val="16"/>
              </w:rPr>
            </w:pPr>
            <w:r>
              <w:rPr>
                <w:rFonts w:cs="Calibri"/>
                <w:sz w:val="16"/>
                <w:szCs w:val="16"/>
              </w:rPr>
              <w:t>C</w:t>
            </w:r>
          </w:p>
        </w:tc>
      </w:tr>
      <w:tr w:rsidR="00B97365" w14:paraId="6F07FE76"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174EABD6" w14:textId="77777777" w:rsidR="00B97365" w:rsidRDefault="00000000">
            <w:pPr>
              <w:rPr>
                <w:rFonts w:cs="Calibri"/>
                <w:sz w:val="16"/>
                <w:szCs w:val="16"/>
              </w:rPr>
            </w:pPr>
            <w:r>
              <w:rPr>
                <w:rFonts w:cs="Calibri"/>
                <w:sz w:val="16"/>
                <w:szCs w:val="16"/>
              </w:rPr>
              <w:t>‘5F24’</w:t>
            </w:r>
          </w:p>
        </w:tc>
        <w:tc>
          <w:tcPr>
            <w:tcW w:w="0" w:type="auto"/>
            <w:tcBorders>
              <w:top w:val="single" w:sz="6" w:space="0" w:color="auto"/>
              <w:left w:val="single" w:sz="6" w:space="0" w:color="auto"/>
              <w:bottom w:val="single" w:sz="6" w:space="0" w:color="auto"/>
              <w:right w:val="single" w:sz="6" w:space="0" w:color="auto"/>
            </w:tcBorders>
            <w:hideMark/>
          </w:tcPr>
          <w:p w14:paraId="4022E365" w14:textId="77777777" w:rsidR="00B97365" w:rsidRDefault="00000000">
            <w:pPr>
              <w:rPr>
                <w:rFonts w:cs="Calibri"/>
                <w:sz w:val="16"/>
                <w:szCs w:val="16"/>
              </w:rPr>
            </w:pPr>
            <w:r>
              <w:rPr>
                <w:rFonts w:cs="Calibri"/>
                <w:sz w:val="16"/>
                <w:szCs w:val="16"/>
              </w:rPr>
              <w:t>4</w:t>
            </w:r>
          </w:p>
        </w:tc>
        <w:tc>
          <w:tcPr>
            <w:tcW w:w="0" w:type="auto"/>
            <w:tcBorders>
              <w:top w:val="single" w:sz="6" w:space="0" w:color="auto"/>
              <w:left w:val="single" w:sz="6" w:space="0" w:color="auto"/>
              <w:bottom w:val="single" w:sz="6" w:space="0" w:color="auto"/>
              <w:right w:val="single" w:sz="6" w:space="0" w:color="auto"/>
            </w:tcBorders>
            <w:hideMark/>
          </w:tcPr>
          <w:p w14:paraId="157A6B71" w14:textId="77777777" w:rsidR="00B97365" w:rsidRDefault="00000000">
            <w:pPr>
              <w:rPr>
                <w:rFonts w:cs="Calibri"/>
                <w:sz w:val="16"/>
                <w:szCs w:val="16"/>
                <w:lang w:val="fr-FR"/>
              </w:rPr>
            </w:pPr>
            <w:r>
              <w:rPr>
                <w:rFonts w:cs="Calibri"/>
                <w:sz w:val="16"/>
                <w:szCs w:val="16"/>
                <w:lang w:val="fr-FR"/>
              </w:rPr>
              <w:t>Expiration Date (YYYYMMDD, BCD format)</w:t>
            </w:r>
          </w:p>
        </w:tc>
        <w:tc>
          <w:tcPr>
            <w:tcW w:w="0" w:type="auto"/>
            <w:tcBorders>
              <w:top w:val="single" w:sz="6" w:space="0" w:color="auto"/>
              <w:left w:val="single" w:sz="6" w:space="0" w:color="auto"/>
              <w:bottom w:val="single" w:sz="6" w:space="0" w:color="auto"/>
              <w:right w:val="single" w:sz="4" w:space="0" w:color="auto"/>
            </w:tcBorders>
            <w:hideMark/>
          </w:tcPr>
          <w:p w14:paraId="1478880C" w14:textId="77777777" w:rsidR="00B97365" w:rsidRDefault="00000000">
            <w:pPr>
              <w:jc w:val="center"/>
              <w:rPr>
                <w:rFonts w:cs="Calibri"/>
                <w:sz w:val="16"/>
                <w:szCs w:val="16"/>
              </w:rPr>
            </w:pPr>
            <w:r>
              <w:rPr>
                <w:rFonts w:cs="Calibri"/>
                <w:sz w:val="16"/>
                <w:szCs w:val="16"/>
              </w:rPr>
              <w:t>M</w:t>
            </w:r>
          </w:p>
        </w:tc>
      </w:tr>
      <w:tr w:rsidR="00B97365" w14:paraId="4805ABDE"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20B9E75C" w14:textId="77777777" w:rsidR="00B97365" w:rsidRDefault="00000000">
            <w:pPr>
              <w:rPr>
                <w:rFonts w:cs="Calibri"/>
                <w:sz w:val="16"/>
                <w:szCs w:val="16"/>
              </w:rPr>
            </w:pPr>
            <w:r>
              <w:rPr>
                <w:rFonts w:cs="Calibri"/>
                <w:sz w:val="16"/>
                <w:szCs w:val="16"/>
              </w:rPr>
              <w:t>‘73’</w:t>
            </w:r>
          </w:p>
        </w:tc>
        <w:tc>
          <w:tcPr>
            <w:tcW w:w="0" w:type="auto"/>
            <w:tcBorders>
              <w:top w:val="single" w:sz="6" w:space="0" w:color="auto"/>
              <w:left w:val="single" w:sz="6" w:space="0" w:color="auto"/>
              <w:bottom w:val="single" w:sz="6" w:space="0" w:color="auto"/>
              <w:right w:val="single" w:sz="6" w:space="0" w:color="auto"/>
            </w:tcBorders>
            <w:hideMark/>
          </w:tcPr>
          <w:p w14:paraId="16ED7CE1" w14:textId="77777777" w:rsidR="00B97365" w:rsidRDefault="00000000">
            <w:pPr>
              <w:rPr>
                <w:rFonts w:cs="Calibri"/>
                <w:sz w:val="16"/>
                <w:szCs w:val="16"/>
              </w:rPr>
            </w:pPr>
            <w:r>
              <w:rPr>
                <w:rFonts w:cs="Calibri"/>
                <w:sz w:val="16"/>
                <w:szCs w:val="16"/>
              </w:rPr>
              <w:t>3-127</w:t>
            </w:r>
          </w:p>
        </w:tc>
        <w:tc>
          <w:tcPr>
            <w:tcW w:w="0" w:type="auto"/>
            <w:tcBorders>
              <w:top w:val="single" w:sz="6" w:space="0" w:color="auto"/>
              <w:left w:val="single" w:sz="6" w:space="0" w:color="auto"/>
              <w:bottom w:val="single" w:sz="6" w:space="0" w:color="auto"/>
              <w:right w:val="single" w:sz="6" w:space="0" w:color="auto"/>
            </w:tcBorders>
            <w:hideMark/>
          </w:tcPr>
          <w:p w14:paraId="2FDC9004" w14:textId="77777777" w:rsidR="00B97365" w:rsidRDefault="00000000">
            <w:pPr>
              <w:rPr>
                <w:rFonts w:cs="Calibri"/>
                <w:sz w:val="16"/>
                <w:szCs w:val="16"/>
              </w:rPr>
            </w:pPr>
            <w:r>
              <w:rPr>
                <w:rFonts w:cs="Calibri"/>
                <w:sz w:val="16"/>
                <w:szCs w:val="16"/>
              </w:rPr>
              <w:t xml:space="preserve">Discretionary Data </w:t>
            </w:r>
          </w:p>
        </w:tc>
        <w:tc>
          <w:tcPr>
            <w:tcW w:w="0" w:type="auto"/>
            <w:tcBorders>
              <w:top w:val="single" w:sz="6" w:space="0" w:color="auto"/>
              <w:left w:val="single" w:sz="6" w:space="0" w:color="auto"/>
              <w:bottom w:val="single" w:sz="6" w:space="0" w:color="auto"/>
              <w:right w:val="single" w:sz="4" w:space="0" w:color="auto"/>
            </w:tcBorders>
            <w:hideMark/>
          </w:tcPr>
          <w:p w14:paraId="3B8DBFD9" w14:textId="77777777" w:rsidR="00B97365" w:rsidRDefault="00000000">
            <w:pPr>
              <w:jc w:val="center"/>
              <w:rPr>
                <w:rFonts w:cs="Calibri"/>
                <w:sz w:val="16"/>
                <w:szCs w:val="16"/>
              </w:rPr>
            </w:pPr>
            <w:r>
              <w:rPr>
                <w:rFonts w:cs="Calibri"/>
                <w:sz w:val="16"/>
                <w:szCs w:val="16"/>
              </w:rPr>
              <w:t>M</w:t>
            </w:r>
          </w:p>
        </w:tc>
      </w:tr>
      <w:tr w:rsidR="00B97365" w14:paraId="47948377"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1C9F3ACB" w14:textId="77777777" w:rsidR="00B97365" w:rsidRDefault="00000000">
            <w:pPr>
              <w:rPr>
                <w:rFonts w:cs="Calibri"/>
                <w:sz w:val="16"/>
                <w:szCs w:val="16"/>
              </w:rPr>
            </w:pPr>
            <w:r>
              <w:rPr>
                <w:rFonts w:cs="Calibri"/>
                <w:sz w:val="16"/>
                <w:szCs w:val="16"/>
              </w:rPr>
              <w:t>‘7F49’</w:t>
            </w:r>
          </w:p>
        </w:tc>
        <w:tc>
          <w:tcPr>
            <w:tcW w:w="0" w:type="auto"/>
            <w:tcBorders>
              <w:top w:val="single" w:sz="6" w:space="0" w:color="auto"/>
              <w:left w:val="single" w:sz="6" w:space="0" w:color="auto"/>
              <w:bottom w:val="single" w:sz="4" w:space="0" w:color="auto"/>
              <w:right w:val="single" w:sz="6" w:space="0" w:color="auto"/>
            </w:tcBorders>
            <w:hideMark/>
          </w:tcPr>
          <w:p w14:paraId="239F3ABD" w14:textId="77777777" w:rsidR="00B97365" w:rsidRDefault="00000000">
            <w:pPr>
              <w:rPr>
                <w:rFonts w:cs="Calibri"/>
                <w:sz w:val="16"/>
                <w:szCs w:val="16"/>
              </w:rPr>
            </w:pPr>
            <w:r>
              <w:rPr>
                <w:rFonts w:cs="Calibri"/>
                <w:sz w:val="16"/>
                <w:szCs w:val="16"/>
              </w:rPr>
              <w:t>Var.</w:t>
            </w:r>
          </w:p>
        </w:tc>
        <w:tc>
          <w:tcPr>
            <w:tcW w:w="0" w:type="auto"/>
            <w:tcBorders>
              <w:top w:val="single" w:sz="6" w:space="0" w:color="auto"/>
              <w:left w:val="single" w:sz="6" w:space="0" w:color="auto"/>
              <w:bottom w:val="single" w:sz="4" w:space="0" w:color="auto"/>
              <w:right w:val="single" w:sz="6" w:space="0" w:color="auto"/>
            </w:tcBorders>
            <w:hideMark/>
          </w:tcPr>
          <w:p w14:paraId="2E9D38F5" w14:textId="77777777" w:rsidR="00B97365" w:rsidRDefault="00000000">
            <w:pPr>
              <w:rPr>
                <w:rFonts w:cs="Calibri"/>
                <w:sz w:val="16"/>
                <w:szCs w:val="16"/>
              </w:rPr>
            </w:pPr>
            <w:r>
              <w:rPr>
                <w:rFonts w:cs="Calibri"/>
                <w:sz w:val="16"/>
                <w:szCs w:val="16"/>
              </w:rPr>
              <w:t>Public Key</w:t>
            </w:r>
          </w:p>
        </w:tc>
        <w:tc>
          <w:tcPr>
            <w:tcW w:w="0" w:type="auto"/>
            <w:tcBorders>
              <w:top w:val="single" w:sz="6" w:space="0" w:color="auto"/>
              <w:left w:val="single" w:sz="6" w:space="0" w:color="auto"/>
              <w:bottom w:val="single" w:sz="4" w:space="0" w:color="auto"/>
              <w:right w:val="single" w:sz="4" w:space="0" w:color="auto"/>
            </w:tcBorders>
            <w:hideMark/>
          </w:tcPr>
          <w:p w14:paraId="609ECFBE" w14:textId="77777777" w:rsidR="00B97365" w:rsidRDefault="00000000">
            <w:pPr>
              <w:jc w:val="center"/>
              <w:rPr>
                <w:rFonts w:cs="Calibri"/>
                <w:sz w:val="16"/>
                <w:szCs w:val="16"/>
              </w:rPr>
            </w:pPr>
            <w:r>
              <w:rPr>
                <w:rFonts w:cs="Calibri"/>
                <w:sz w:val="16"/>
                <w:szCs w:val="16"/>
              </w:rPr>
              <w:t>M</w:t>
            </w:r>
          </w:p>
        </w:tc>
      </w:tr>
    </w:tbl>
    <w:p w14:paraId="2784451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Data Signed to Generate the SM-SR Certificate</w:t>
      </w:r>
    </w:p>
    <w:p w14:paraId="185B93E5" w14:textId="5C49D569" w:rsidR="00B97365" w:rsidRDefault="00000000">
      <w:pPr>
        <w:spacing w:before="0" w:after="200" w:line="276" w:lineRule="auto"/>
        <w:jc w:val="left"/>
        <w:rPr>
          <w:szCs w:val="22"/>
          <w:lang w:val="en-US" w:eastAsia="en-GB" w:bidi="ar-SA"/>
        </w:rPr>
      </w:pPr>
      <w:r>
        <w:rPr>
          <w:rFonts w:cs="Arial"/>
          <w:szCs w:val="22"/>
          <w:lang w:val="en-US" w:eastAsia="en-GB" w:bidi="ar-SA"/>
        </w:rPr>
        <w:t xml:space="preserve">Key format is defined in section </w:t>
      </w:r>
      <w:r>
        <w:fldChar w:fldCharType="begin"/>
      </w:r>
      <w:r>
        <w:instrText xml:space="preserve"> REF _Ref367972708 \r \h  \* MERGEFORMAT </w:instrText>
      </w:r>
      <w:r>
        <w:fldChar w:fldCharType="separate"/>
      </w:r>
      <w:r w:rsidR="001D5AD9" w:rsidRPr="001D5AD9">
        <w:rPr>
          <w:szCs w:val="22"/>
          <w:lang w:val="en-US" w:eastAsia="en-GB" w:bidi="ar-SA"/>
        </w:rPr>
        <w:t>4.1.1.5</w:t>
      </w:r>
      <w:r>
        <w:fldChar w:fldCharType="end"/>
      </w:r>
      <w:r>
        <w:rPr>
          <w:szCs w:val="22"/>
          <w:lang w:val="en-US" w:eastAsia="en-GB" w:bidi="ar-SA"/>
        </w:rPr>
        <w:t>.</w:t>
      </w:r>
    </w:p>
    <w:p w14:paraId="0C457A6E" w14:textId="77777777" w:rsidR="00B97365" w:rsidRDefault="00000000">
      <w:pPr>
        <w:spacing w:before="0" w:after="200" w:line="276" w:lineRule="auto"/>
        <w:jc w:val="left"/>
        <w:rPr>
          <w:b/>
          <w:i/>
          <w:szCs w:val="22"/>
          <w:lang w:val="en-US" w:eastAsia="en-GB" w:bidi="ar-SA"/>
        </w:rPr>
      </w:pPr>
      <w:bookmarkStart w:id="2427" w:name="_Toc420594536"/>
      <w:r>
        <w:rPr>
          <w:rFonts w:cs="Arial"/>
          <w:b/>
          <w:i/>
          <w:szCs w:val="22"/>
          <w:lang w:val="en-US" w:eastAsia="en-GB" w:bidi="ar-SA"/>
        </w:rPr>
        <w:t>Response Message</w:t>
      </w:r>
      <w:bookmarkEnd w:id="2427"/>
    </w:p>
    <w:p w14:paraId="60769750" w14:textId="77777777" w:rsidR="00B97365" w:rsidRDefault="00000000">
      <w:pPr>
        <w:spacing w:before="0" w:after="200" w:line="276" w:lineRule="auto"/>
        <w:jc w:val="left"/>
        <w:rPr>
          <w:b/>
          <w:i/>
          <w:szCs w:val="22"/>
          <w:lang w:val="en-US" w:eastAsia="en-GB" w:bidi="ar-SA"/>
        </w:rPr>
      </w:pPr>
      <w:bookmarkStart w:id="2428" w:name="_Toc420594537"/>
      <w:r>
        <w:rPr>
          <w:rFonts w:cs="Arial"/>
          <w:b/>
          <w:i/>
          <w:szCs w:val="22"/>
          <w:lang w:val="en-US" w:eastAsia="en-GB" w:bidi="ar-SA"/>
        </w:rPr>
        <w:t>Data Field Returned in the Response Message:</w:t>
      </w:r>
      <w:bookmarkEnd w:id="2428"/>
    </w:p>
    <w:p w14:paraId="4097D19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response SHALL contain the following data:</w:t>
      </w:r>
    </w:p>
    <w:p w14:paraId="1B50A5E3" w14:textId="77777777" w:rsidR="00B97365" w:rsidRDefault="00B97365">
      <w:pPr>
        <w:keepNext/>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1"/>
        <w:gridCol w:w="804"/>
        <w:gridCol w:w="1586"/>
      </w:tblGrid>
      <w:tr w:rsidR="00B97365" w14:paraId="436EB928"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FF8BDFE"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49DB2E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Length</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0E45A7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Data Element</w:t>
            </w:r>
          </w:p>
        </w:tc>
      </w:tr>
      <w:tr w:rsidR="00B97365" w14:paraId="53937A8C"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09C20309" w14:textId="77777777" w:rsidR="00B97365" w:rsidRDefault="00000000">
            <w:pPr>
              <w:keepNext/>
              <w:spacing w:before="60" w:line="276" w:lineRule="auto"/>
              <w:jc w:val="left"/>
              <w:rPr>
                <w:rFonts w:cs="Arial"/>
                <w:sz w:val="16"/>
                <w:szCs w:val="16"/>
                <w:lang w:val="en-US" w:eastAsia="en-GB" w:bidi="ar-SA"/>
              </w:rPr>
            </w:pPr>
            <w:r>
              <w:rPr>
                <w:rFonts w:cs="Arial"/>
                <w:sz w:val="16"/>
                <w:szCs w:val="16"/>
                <w:lang w:val="en-US" w:eastAsia="en-GB" w:bidi="ar-SA"/>
              </w:rPr>
              <w:t>'85'</w:t>
            </w:r>
          </w:p>
        </w:tc>
        <w:tc>
          <w:tcPr>
            <w:tcW w:w="0" w:type="auto"/>
            <w:tcBorders>
              <w:top w:val="single" w:sz="6" w:space="0" w:color="auto"/>
              <w:left w:val="single" w:sz="6" w:space="0" w:color="auto"/>
              <w:bottom w:val="single" w:sz="4" w:space="0" w:color="auto"/>
              <w:right w:val="single" w:sz="6" w:space="0" w:color="auto"/>
            </w:tcBorders>
            <w:hideMark/>
          </w:tcPr>
          <w:p w14:paraId="72FB1907" w14:textId="77777777" w:rsidR="00B97365" w:rsidRDefault="00000000">
            <w:pPr>
              <w:keepNext/>
              <w:spacing w:before="60" w:line="276" w:lineRule="auto"/>
              <w:jc w:val="left"/>
              <w:rPr>
                <w:rFonts w:cs="Arial"/>
                <w:sz w:val="16"/>
                <w:szCs w:val="16"/>
                <w:lang w:val="en-US" w:eastAsia="en-GB" w:bidi="ar-SA"/>
              </w:rPr>
            </w:pPr>
            <w:r>
              <w:rPr>
                <w:rFonts w:cs="Arial"/>
                <w:sz w:val="16"/>
                <w:szCs w:val="16"/>
                <w:lang w:val="en-US" w:eastAsia="en-GB" w:bidi="ar-SA"/>
              </w:rPr>
              <w:t>Variable</w:t>
            </w:r>
          </w:p>
        </w:tc>
        <w:tc>
          <w:tcPr>
            <w:tcW w:w="0" w:type="auto"/>
            <w:tcBorders>
              <w:top w:val="single" w:sz="6" w:space="0" w:color="auto"/>
              <w:left w:val="single" w:sz="6" w:space="0" w:color="auto"/>
              <w:bottom w:val="single" w:sz="4" w:space="0" w:color="auto"/>
              <w:right w:val="single" w:sz="4" w:space="0" w:color="auto"/>
            </w:tcBorders>
            <w:hideMark/>
          </w:tcPr>
          <w:p w14:paraId="25FC1A8E" w14:textId="77777777" w:rsidR="00B97365" w:rsidRDefault="00000000">
            <w:pPr>
              <w:keepNext/>
              <w:spacing w:before="60" w:line="276" w:lineRule="auto"/>
              <w:jc w:val="left"/>
              <w:rPr>
                <w:rFonts w:cs="Arial"/>
                <w:sz w:val="16"/>
                <w:szCs w:val="16"/>
                <w:lang w:val="en-US" w:eastAsia="en-GB" w:bidi="ar-SA"/>
              </w:rPr>
            </w:pPr>
            <w:r>
              <w:rPr>
                <w:rFonts w:cs="Arial"/>
                <w:sz w:val="16"/>
                <w:szCs w:val="16"/>
                <w:lang w:val="en-US" w:eastAsia="en-GB" w:bidi="ar-SA"/>
              </w:rPr>
              <w:t>Random Challenge</w:t>
            </w:r>
          </w:p>
        </w:tc>
      </w:tr>
    </w:tbl>
    <w:p w14:paraId="5BD13934" w14:textId="77777777" w:rsidR="00B97365" w:rsidRDefault="00000000">
      <w:pPr>
        <w:numPr>
          <w:ilvl w:val="0"/>
          <w:numId w:val="14"/>
        </w:numPr>
        <w:tabs>
          <w:tab w:val="left" w:pos="1009"/>
        </w:tabs>
        <w:spacing w:after="200" w:line="276" w:lineRule="auto"/>
        <w:jc w:val="center"/>
        <w:rPr>
          <w:rFonts w:asciiTheme="minorHAnsi" w:hAnsiTheme="minorHAnsi" w:cstheme="minorHAnsi"/>
          <w:i/>
          <w:sz w:val="20"/>
          <w:lang w:eastAsia="de-DE" w:bidi="ar-SA"/>
        </w:rPr>
      </w:pPr>
      <w:r>
        <w:rPr>
          <w:rFonts w:cs="Arial"/>
          <w:b/>
          <w:lang w:eastAsia="de-DE" w:bidi="ar-SA"/>
        </w:rPr>
        <w:t>: Response Data for Send SM-SR Certificate</w:t>
      </w:r>
    </w:p>
    <w:p w14:paraId="048C72C2" w14:textId="77777777" w:rsidR="00B97365" w:rsidRDefault="00000000">
      <w:pPr>
        <w:spacing w:before="0" w:after="200" w:line="276" w:lineRule="auto"/>
        <w:jc w:val="left"/>
        <w:rPr>
          <w:b/>
          <w:i/>
          <w:szCs w:val="22"/>
          <w:lang w:val="en-US" w:eastAsia="en-GB" w:bidi="ar-SA"/>
        </w:rPr>
      </w:pPr>
      <w:bookmarkStart w:id="2429" w:name="_Toc420594538"/>
      <w:r>
        <w:rPr>
          <w:rFonts w:cs="Arial"/>
          <w:b/>
          <w:i/>
          <w:szCs w:val="22"/>
          <w:lang w:val="en-US" w:eastAsia="en-GB" w:bidi="ar-SA"/>
        </w:rPr>
        <w:t>Processing State Returned in the Response Message:</w:t>
      </w:r>
      <w:bookmarkEnd w:id="2429"/>
    </w:p>
    <w:p w14:paraId="1B1B416A" w14:textId="18B4D326" w:rsidR="00B97365" w:rsidRDefault="00000000">
      <w:pPr>
        <w:spacing w:before="0" w:after="200" w:line="276" w:lineRule="auto"/>
        <w:jc w:val="left"/>
        <w:rPr>
          <w:szCs w:val="22"/>
          <w:lang w:eastAsia="en-GB" w:bidi="ar-SA"/>
        </w:rPr>
      </w:pPr>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11.11.3.2.</w:t>
      </w:r>
    </w:p>
    <w:p w14:paraId="7FA9372D" w14:textId="77777777" w:rsidR="00B97365" w:rsidRDefault="00000000">
      <w:pPr>
        <w:spacing w:before="0" w:after="200" w:line="276" w:lineRule="auto"/>
        <w:jc w:val="left"/>
        <w:rPr>
          <w:rFonts w:cs="Arial"/>
          <w:b/>
          <w:i/>
          <w:szCs w:val="22"/>
          <w:lang w:val="en-US" w:eastAsia="en-GB" w:bidi="ar-SA"/>
        </w:rPr>
      </w:pPr>
      <w:bookmarkStart w:id="2430" w:name="_Toc420594539"/>
      <w:r>
        <w:rPr>
          <w:rFonts w:cs="Arial"/>
          <w:b/>
          <w:i/>
          <w:szCs w:val="22"/>
          <w:lang w:val="en-US" w:eastAsia="en-GB" w:bidi="ar-SA"/>
        </w:rPr>
        <w:t>Second STORE DATA command</w:t>
      </w:r>
    </w:p>
    <w:p w14:paraId="19B6B7FB"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Command Message</w:t>
      </w:r>
      <w:bookmarkEnd w:id="2430"/>
    </w:p>
    <w:p w14:paraId="11BCCAC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command message SHALL be coded according to the following table: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540"/>
        <w:gridCol w:w="2436"/>
        <w:gridCol w:w="4312"/>
      </w:tblGrid>
      <w:tr w:rsidR="00B97365" w14:paraId="637D7A3E" w14:textId="77777777">
        <w:trPr>
          <w:cantSplit/>
          <w:tblHeader/>
          <w:jc w:val="center"/>
        </w:trPr>
        <w:tc>
          <w:tcPr>
            <w:tcW w:w="0" w:type="auto"/>
            <w:tcBorders>
              <w:top w:val="single" w:sz="4" w:space="0" w:color="000000"/>
              <w:left w:val="single" w:sz="4" w:space="0" w:color="000000"/>
              <w:bottom w:val="single" w:sz="6" w:space="0" w:color="000000"/>
              <w:right w:val="single" w:sz="6" w:space="0" w:color="000000"/>
            </w:tcBorders>
            <w:shd w:val="clear" w:color="auto" w:fill="C00000"/>
            <w:vAlign w:val="center"/>
            <w:hideMark/>
          </w:tcPr>
          <w:p w14:paraId="12BB659F" w14:textId="77777777" w:rsidR="00B97365" w:rsidRDefault="00000000">
            <w:pPr>
              <w:rPr>
                <w:rFonts w:cs="Calibri"/>
                <w:b/>
                <w:color w:val="FFFFFF"/>
                <w:sz w:val="16"/>
                <w:szCs w:val="16"/>
              </w:rPr>
            </w:pPr>
            <w:r>
              <w:rPr>
                <w:rFonts w:cs="Calibri"/>
                <w:b/>
                <w:color w:val="FFFFFF"/>
                <w:sz w:val="16"/>
                <w:szCs w:val="16"/>
              </w:rPr>
              <w:t>Code</w:t>
            </w:r>
          </w:p>
        </w:tc>
        <w:tc>
          <w:tcPr>
            <w:tcW w:w="0" w:type="auto"/>
            <w:tcBorders>
              <w:top w:val="single" w:sz="4" w:space="0" w:color="000000"/>
              <w:left w:val="single" w:sz="6" w:space="0" w:color="000000"/>
              <w:bottom w:val="single" w:sz="6" w:space="0" w:color="000000"/>
              <w:right w:val="single" w:sz="6" w:space="0" w:color="000000"/>
            </w:tcBorders>
            <w:shd w:val="clear" w:color="auto" w:fill="C00000"/>
            <w:vAlign w:val="center"/>
            <w:hideMark/>
          </w:tcPr>
          <w:p w14:paraId="3A3642E1" w14:textId="77777777" w:rsidR="00B97365" w:rsidRDefault="00000000">
            <w:pPr>
              <w:rPr>
                <w:rFonts w:cs="Calibri"/>
                <w:b/>
                <w:color w:val="FFFFFF"/>
                <w:sz w:val="16"/>
                <w:szCs w:val="16"/>
              </w:rPr>
            </w:pPr>
            <w:r>
              <w:rPr>
                <w:rFonts w:cs="Calibri"/>
                <w:b/>
                <w:color w:val="FFFFFF"/>
                <w:sz w:val="16"/>
                <w:szCs w:val="16"/>
              </w:rPr>
              <w:t>Value</w:t>
            </w:r>
          </w:p>
        </w:tc>
        <w:tc>
          <w:tcPr>
            <w:tcW w:w="0" w:type="auto"/>
            <w:tcBorders>
              <w:top w:val="single" w:sz="4" w:space="0" w:color="000000"/>
              <w:left w:val="single" w:sz="6" w:space="0" w:color="000000"/>
              <w:bottom w:val="single" w:sz="6" w:space="0" w:color="000000"/>
              <w:right w:val="single" w:sz="4" w:space="0" w:color="000000"/>
            </w:tcBorders>
            <w:shd w:val="clear" w:color="auto" w:fill="C00000"/>
            <w:vAlign w:val="center"/>
            <w:hideMark/>
          </w:tcPr>
          <w:p w14:paraId="4EB07B78" w14:textId="77777777" w:rsidR="00B97365" w:rsidRDefault="00000000">
            <w:pPr>
              <w:rPr>
                <w:rFonts w:cs="Calibri"/>
                <w:b/>
                <w:color w:val="FFFFFF"/>
                <w:sz w:val="16"/>
                <w:szCs w:val="16"/>
              </w:rPr>
            </w:pPr>
            <w:r>
              <w:rPr>
                <w:rFonts w:cs="Calibri"/>
                <w:b/>
                <w:color w:val="FFFFFF"/>
                <w:sz w:val="16"/>
                <w:szCs w:val="16"/>
              </w:rPr>
              <w:t>Meaning</w:t>
            </w:r>
          </w:p>
        </w:tc>
      </w:tr>
      <w:tr w:rsidR="00B97365" w14:paraId="0203AC24"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5FC77995" w14:textId="77777777" w:rsidR="00B97365" w:rsidRDefault="00000000">
            <w:pPr>
              <w:rPr>
                <w:rFonts w:cs="Calibri"/>
                <w:sz w:val="16"/>
                <w:szCs w:val="16"/>
              </w:rPr>
            </w:pPr>
            <w:r>
              <w:rPr>
                <w:rFonts w:cs="Calibri"/>
                <w:sz w:val="16"/>
                <w:szCs w:val="16"/>
              </w:rPr>
              <w:t>CLA</w:t>
            </w:r>
          </w:p>
        </w:tc>
        <w:tc>
          <w:tcPr>
            <w:tcW w:w="0" w:type="auto"/>
            <w:tcBorders>
              <w:top w:val="single" w:sz="6" w:space="0" w:color="000000"/>
              <w:left w:val="single" w:sz="6" w:space="0" w:color="000000"/>
              <w:bottom w:val="single" w:sz="6" w:space="0" w:color="000000"/>
              <w:right w:val="single" w:sz="6" w:space="0" w:color="000000"/>
            </w:tcBorders>
            <w:hideMark/>
          </w:tcPr>
          <w:p w14:paraId="029039E6" w14:textId="77777777" w:rsidR="00B97365" w:rsidRDefault="00000000">
            <w:pPr>
              <w:rPr>
                <w:rFonts w:cs="Calibri"/>
                <w:sz w:val="16"/>
                <w:szCs w:val="16"/>
              </w:rPr>
            </w:pPr>
            <w:r>
              <w:rPr>
                <w:rFonts w:cs="Calibri"/>
                <w:sz w:val="16"/>
                <w:szCs w:val="16"/>
              </w:rPr>
              <w:t>'80' </w:t>
            </w:r>
            <w:r>
              <w:rPr>
                <w:rFonts w:cs="Calibri"/>
                <w:sz w:val="16"/>
                <w:szCs w:val="16"/>
              </w:rPr>
              <w:noBreakHyphen/>
              <w:t> '8F', 'C0' </w:t>
            </w:r>
            <w:r>
              <w:rPr>
                <w:rFonts w:cs="Calibri"/>
                <w:sz w:val="16"/>
                <w:szCs w:val="16"/>
              </w:rPr>
              <w:noBreakHyphen/>
              <w:t> 'CF' or 'E0' </w:t>
            </w:r>
            <w:r>
              <w:rPr>
                <w:rFonts w:cs="Calibri"/>
                <w:sz w:val="16"/>
                <w:szCs w:val="16"/>
              </w:rPr>
              <w:noBreakHyphen/>
              <w:t> 'EF'</w:t>
            </w:r>
          </w:p>
        </w:tc>
        <w:tc>
          <w:tcPr>
            <w:tcW w:w="0" w:type="auto"/>
            <w:tcBorders>
              <w:top w:val="single" w:sz="6" w:space="0" w:color="000000"/>
              <w:left w:val="single" w:sz="6" w:space="0" w:color="000000"/>
              <w:bottom w:val="single" w:sz="6" w:space="0" w:color="000000"/>
              <w:right w:val="single" w:sz="4" w:space="0" w:color="000000"/>
            </w:tcBorders>
            <w:hideMark/>
          </w:tcPr>
          <w:p w14:paraId="7209EE30" w14:textId="0084A0D0" w:rsidR="00B97365" w:rsidRDefault="00000000">
            <w:pPr>
              <w:rPr>
                <w:rFonts w:cs="Calibri"/>
                <w:sz w:val="16"/>
                <w:szCs w:val="16"/>
              </w:rPr>
            </w:pPr>
            <w:r>
              <w:rPr>
                <w:rFonts w:cs="Calibri"/>
                <w:sz w:val="16"/>
                <w:szCs w:val="16"/>
              </w:rPr>
              <w:t xml:space="preserve">See section 11.1.4 of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p>
        </w:tc>
      </w:tr>
      <w:tr w:rsidR="00B97365" w14:paraId="69EC4846"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61EF9F7E" w14:textId="77777777" w:rsidR="00B97365" w:rsidRDefault="00000000">
            <w:pPr>
              <w:rPr>
                <w:rFonts w:cs="Calibri"/>
                <w:sz w:val="16"/>
                <w:szCs w:val="16"/>
              </w:rPr>
            </w:pPr>
            <w:r>
              <w:rPr>
                <w:rFonts w:cs="Calibri"/>
                <w:sz w:val="16"/>
                <w:szCs w:val="16"/>
              </w:rPr>
              <w:t>INS</w:t>
            </w:r>
          </w:p>
        </w:tc>
        <w:tc>
          <w:tcPr>
            <w:tcW w:w="0" w:type="auto"/>
            <w:tcBorders>
              <w:top w:val="single" w:sz="6" w:space="0" w:color="000000"/>
              <w:left w:val="single" w:sz="6" w:space="0" w:color="000000"/>
              <w:bottom w:val="single" w:sz="6" w:space="0" w:color="000000"/>
              <w:right w:val="single" w:sz="6" w:space="0" w:color="000000"/>
            </w:tcBorders>
            <w:hideMark/>
          </w:tcPr>
          <w:p w14:paraId="40C68A61" w14:textId="77777777" w:rsidR="00B97365" w:rsidRDefault="00000000">
            <w:pPr>
              <w:rPr>
                <w:rFonts w:cs="Calibri"/>
                <w:sz w:val="16"/>
                <w:szCs w:val="16"/>
              </w:rPr>
            </w:pPr>
            <w:r>
              <w:rPr>
                <w:rFonts w:cs="Calibri"/>
                <w:sz w:val="16"/>
                <w:szCs w:val="16"/>
              </w:rPr>
              <w:t>'E2'</w:t>
            </w:r>
          </w:p>
        </w:tc>
        <w:tc>
          <w:tcPr>
            <w:tcW w:w="0" w:type="auto"/>
            <w:tcBorders>
              <w:top w:val="single" w:sz="6" w:space="0" w:color="000000"/>
              <w:left w:val="single" w:sz="6" w:space="0" w:color="000000"/>
              <w:bottom w:val="single" w:sz="6" w:space="0" w:color="000000"/>
              <w:right w:val="single" w:sz="4" w:space="0" w:color="000000"/>
            </w:tcBorders>
            <w:hideMark/>
          </w:tcPr>
          <w:p w14:paraId="1BB78169" w14:textId="77777777" w:rsidR="00B97365" w:rsidRDefault="00000000">
            <w:pPr>
              <w:rPr>
                <w:rFonts w:cs="Calibri"/>
                <w:sz w:val="16"/>
                <w:szCs w:val="16"/>
              </w:rPr>
            </w:pPr>
            <w:r>
              <w:rPr>
                <w:rFonts w:cs="Calibri"/>
                <w:sz w:val="16"/>
                <w:szCs w:val="16"/>
              </w:rPr>
              <w:t>STORE DATA</w:t>
            </w:r>
          </w:p>
        </w:tc>
      </w:tr>
      <w:tr w:rsidR="00B97365" w14:paraId="78020A1A"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289D88F0" w14:textId="77777777" w:rsidR="00B97365" w:rsidRDefault="00000000">
            <w:pPr>
              <w:rPr>
                <w:rFonts w:cs="Calibri"/>
                <w:sz w:val="16"/>
                <w:szCs w:val="16"/>
              </w:rPr>
            </w:pPr>
            <w:r>
              <w:rPr>
                <w:rFonts w:cs="Calibri"/>
                <w:sz w:val="16"/>
                <w:szCs w:val="16"/>
              </w:rPr>
              <w:t>P1</w:t>
            </w:r>
          </w:p>
        </w:tc>
        <w:tc>
          <w:tcPr>
            <w:tcW w:w="0" w:type="auto"/>
            <w:tcBorders>
              <w:top w:val="single" w:sz="6" w:space="0" w:color="000000"/>
              <w:left w:val="single" w:sz="6" w:space="0" w:color="000000"/>
              <w:bottom w:val="single" w:sz="6" w:space="0" w:color="000000"/>
              <w:right w:val="single" w:sz="6" w:space="0" w:color="000000"/>
            </w:tcBorders>
            <w:hideMark/>
          </w:tcPr>
          <w:p w14:paraId="3E9B1B0E" w14:textId="77777777" w:rsidR="00B97365" w:rsidRDefault="00000000">
            <w:pPr>
              <w:rPr>
                <w:rFonts w:cs="Calibri"/>
                <w:sz w:val="16"/>
                <w:szCs w:val="16"/>
              </w:rPr>
            </w:pPr>
            <w:r>
              <w:rPr>
                <w:rFonts w:cs="Calibri"/>
                <w:sz w:val="16"/>
                <w:szCs w:val="16"/>
              </w:rPr>
              <w:t>'89'</w:t>
            </w:r>
          </w:p>
        </w:tc>
        <w:tc>
          <w:tcPr>
            <w:tcW w:w="0" w:type="auto"/>
            <w:tcBorders>
              <w:top w:val="single" w:sz="6" w:space="0" w:color="000000"/>
              <w:left w:val="single" w:sz="6" w:space="0" w:color="000000"/>
              <w:bottom w:val="single" w:sz="6" w:space="0" w:color="000000"/>
              <w:right w:val="single" w:sz="4" w:space="0" w:color="000000"/>
            </w:tcBorders>
            <w:hideMark/>
          </w:tcPr>
          <w:p w14:paraId="5F69C6F2" w14:textId="77777777" w:rsidR="00B97365" w:rsidRDefault="00000000">
            <w:pPr>
              <w:rPr>
                <w:rFonts w:cs="Calibri"/>
                <w:sz w:val="16"/>
                <w:szCs w:val="16"/>
              </w:rPr>
            </w:pPr>
            <w:r>
              <w:rPr>
                <w:rFonts w:cs="Calibri"/>
                <w:sz w:val="16"/>
                <w:szCs w:val="16"/>
              </w:rPr>
              <w:t>Reference control parameter P1</w:t>
            </w:r>
          </w:p>
        </w:tc>
      </w:tr>
      <w:tr w:rsidR="00B97365" w14:paraId="4B8817A6"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014A7FA2" w14:textId="77777777" w:rsidR="00B97365" w:rsidRDefault="00000000">
            <w:pPr>
              <w:rPr>
                <w:rFonts w:cs="Calibri"/>
                <w:sz w:val="16"/>
                <w:szCs w:val="16"/>
              </w:rPr>
            </w:pPr>
            <w:r>
              <w:rPr>
                <w:rFonts w:cs="Calibri"/>
                <w:sz w:val="16"/>
                <w:szCs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220F2AD1" w14:textId="77777777" w:rsidR="00B97365" w:rsidRDefault="00000000">
            <w:pPr>
              <w:rPr>
                <w:rFonts w:cs="Calibri"/>
                <w:sz w:val="16"/>
                <w:szCs w:val="16"/>
              </w:rPr>
            </w:pPr>
            <w:r>
              <w:rPr>
                <w:rFonts w:cs="Calibri"/>
                <w:sz w:val="16"/>
                <w:szCs w:val="16"/>
              </w:rPr>
              <w:t>'01'</w:t>
            </w:r>
          </w:p>
        </w:tc>
        <w:tc>
          <w:tcPr>
            <w:tcW w:w="0" w:type="auto"/>
            <w:tcBorders>
              <w:top w:val="single" w:sz="6" w:space="0" w:color="000000"/>
              <w:left w:val="single" w:sz="6" w:space="0" w:color="000000"/>
              <w:bottom w:val="single" w:sz="6" w:space="0" w:color="000000"/>
              <w:right w:val="single" w:sz="4" w:space="0" w:color="000000"/>
            </w:tcBorders>
            <w:hideMark/>
          </w:tcPr>
          <w:p w14:paraId="3AEA59E9" w14:textId="77777777" w:rsidR="00B97365" w:rsidRDefault="00000000">
            <w:pPr>
              <w:rPr>
                <w:rFonts w:cs="Calibri"/>
                <w:sz w:val="16"/>
                <w:szCs w:val="16"/>
              </w:rPr>
            </w:pPr>
            <w:r>
              <w:rPr>
                <w:rFonts w:cs="Calibri"/>
                <w:sz w:val="16"/>
                <w:szCs w:val="16"/>
              </w:rPr>
              <w:t>Block number</w:t>
            </w:r>
          </w:p>
        </w:tc>
      </w:tr>
      <w:tr w:rsidR="00B97365" w14:paraId="39738C7F"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3F000EED" w14:textId="77777777" w:rsidR="00B97365" w:rsidRDefault="00000000">
            <w:pPr>
              <w:rPr>
                <w:rFonts w:cs="Calibri"/>
                <w:sz w:val="16"/>
                <w:szCs w:val="16"/>
              </w:rPr>
            </w:pPr>
            <w:r>
              <w:rPr>
                <w:rFonts w:cs="Calibri"/>
                <w:sz w:val="16"/>
                <w:szCs w:val="16"/>
              </w:rPr>
              <w:t>Lc</w:t>
            </w:r>
          </w:p>
        </w:tc>
        <w:tc>
          <w:tcPr>
            <w:tcW w:w="0" w:type="auto"/>
            <w:tcBorders>
              <w:top w:val="single" w:sz="6" w:space="0" w:color="000000"/>
              <w:left w:val="single" w:sz="6" w:space="0" w:color="000000"/>
              <w:bottom w:val="single" w:sz="6" w:space="0" w:color="000000"/>
              <w:right w:val="single" w:sz="6" w:space="0" w:color="000000"/>
            </w:tcBorders>
            <w:hideMark/>
          </w:tcPr>
          <w:p w14:paraId="004968DA" w14:textId="77777777" w:rsidR="00B97365" w:rsidRDefault="00000000">
            <w:pPr>
              <w:rPr>
                <w:rFonts w:cs="Calibri"/>
                <w:sz w:val="16"/>
                <w:szCs w:val="16"/>
              </w:rPr>
            </w:pPr>
            <w:r>
              <w:rPr>
                <w:rFonts w:cs="Calibri"/>
                <w:sz w:val="16"/>
                <w:szCs w:val="16"/>
              </w:rPr>
              <w:t>'xx'</w:t>
            </w:r>
          </w:p>
        </w:tc>
        <w:tc>
          <w:tcPr>
            <w:tcW w:w="0" w:type="auto"/>
            <w:tcBorders>
              <w:top w:val="single" w:sz="6" w:space="0" w:color="000000"/>
              <w:left w:val="single" w:sz="6" w:space="0" w:color="000000"/>
              <w:bottom w:val="single" w:sz="6" w:space="0" w:color="000000"/>
              <w:right w:val="single" w:sz="4" w:space="0" w:color="000000"/>
            </w:tcBorders>
            <w:hideMark/>
          </w:tcPr>
          <w:p w14:paraId="1B482301" w14:textId="77777777" w:rsidR="00B97365" w:rsidRDefault="00000000">
            <w:pPr>
              <w:rPr>
                <w:rFonts w:cs="Calibri"/>
                <w:sz w:val="16"/>
                <w:szCs w:val="16"/>
              </w:rPr>
            </w:pPr>
            <w:r>
              <w:rPr>
                <w:rFonts w:cs="Calibri"/>
                <w:sz w:val="16"/>
                <w:szCs w:val="16"/>
              </w:rPr>
              <w:t>Length of data field</w:t>
            </w:r>
          </w:p>
        </w:tc>
      </w:tr>
      <w:tr w:rsidR="00B97365" w14:paraId="2E1F6AC2" w14:textId="77777777">
        <w:trPr>
          <w:cantSplit/>
          <w:trHeight w:val="65"/>
          <w:jc w:val="center"/>
        </w:trPr>
        <w:tc>
          <w:tcPr>
            <w:tcW w:w="0" w:type="auto"/>
            <w:tcBorders>
              <w:top w:val="single" w:sz="6" w:space="0" w:color="000000"/>
              <w:left w:val="single" w:sz="4" w:space="0" w:color="000000"/>
              <w:bottom w:val="single" w:sz="6" w:space="0" w:color="000000"/>
              <w:right w:val="single" w:sz="6" w:space="0" w:color="000000"/>
            </w:tcBorders>
            <w:hideMark/>
          </w:tcPr>
          <w:p w14:paraId="20E1AFAB" w14:textId="77777777" w:rsidR="00B97365" w:rsidRDefault="00000000">
            <w:pPr>
              <w:rPr>
                <w:rFonts w:cs="Calibri"/>
                <w:sz w:val="16"/>
                <w:szCs w:val="16"/>
              </w:rPr>
            </w:pPr>
            <w:r>
              <w:rPr>
                <w:rFonts w:cs="Calibri"/>
                <w:sz w:val="16"/>
                <w:szCs w:val="16"/>
              </w:rPr>
              <w:t>Data</w:t>
            </w:r>
          </w:p>
        </w:tc>
        <w:tc>
          <w:tcPr>
            <w:tcW w:w="0" w:type="auto"/>
            <w:tcBorders>
              <w:top w:val="single" w:sz="6" w:space="0" w:color="000000"/>
              <w:left w:val="single" w:sz="6" w:space="0" w:color="000000"/>
              <w:bottom w:val="single" w:sz="6" w:space="0" w:color="000000"/>
              <w:right w:val="single" w:sz="6" w:space="0" w:color="000000"/>
            </w:tcBorders>
            <w:hideMark/>
          </w:tcPr>
          <w:p w14:paraId="0D1CEA32" w14:textId="77777777" w:rsidR="00B97365" w:rsidRDefault="00000000">
            <w:pPr>
              <w:rPr>
                <w:rFonts w:cs="Calibri"/>
                <w:sz w:val="16"/>
                <w:szCs w:val="16"/>
              </w:rPr>
            </w:pPr>
            <w:r>
              <w:rPr>
                <w:rFonts w:cs="Calibri"/>
                <w:sz w:val="16"/>
                <w:szCs w:val="16"/>
              </w:rPr>
              <w:t>'xxxxx…'</w:t>
            </w:r>
          </w:p>
        </w:tc>
        <w:tc>
          <w:tcPr>
            <w:tcW w:w="0" w:type="auto"/>
            <w:tcBorders>
              <w:top w:val="single" w:sz="6" w:space="0" w:color="000000"/>
              <w:left w:val="single" w:sz="6" w:space="0" w:color="000000"/>
              <w:bottom w:val="single" w:sz="6" w:space="0" w:color="000000"/>
              <w:right w:val="single" w:sz="4" w:space="0" w:color="000000"/>
            </w:tcBorders>
            <w:hideMark/>
          </w:tcPr>
          <w:p w14:paraId="2951470C" w14:textId="77777777" w:rsidR="00B97365" w:rsidRDefault="00000000">
            <w:pPr>
              <w:rPr>
                <w:rFonts w:cs="Calibri"/>
                <w:sz w:val="16"/>
                <w:szCs w:val="16"/>
              </w:rPr>
            </w:pPr>
            <w:r>
              <w:rPr>
                <w:rFonts w:cs="Calibri"/>
                <w:sz w:val="16"/>
                <w:szCs w:val="16"/>
              </w:rPr>
              <w:t>Application data and MAC (if present)</w:t>
            </w:r>
          </w:p>
        </w:tc>
      </w:tr>
      <w:tr w:rsidR="00B97365" w14:paraId="3C62E49A" w14:textId="77777777">
        <w:trPr>
          <w:cantSplit/>
          <w:jc w:val="center"/>
        </w:trPr>
        <w:tc>
          <w:tcPr>
            <w:tcW w:w="0" w:type="auto"/>
            <w:tcBorders>
              <w:top w:val="single" w:sz="6" w:space="0" w:color="000000"/>
              <w:left w:val="single" w:sz="4" w:space="0" w:color="000000"/>
              <w:bottom w:val="single" w:sz="4" w:space="0" w:color="000000"/>
              <w:right w:val="single" w:sz="6" w:space="0" w:color="000000"/>
            </w:tcBorders>
            <w:hideMark/>
          </w:tcPr>
          <w:p w14:paraId="064F4E53" w14:textId="77777777" w:rsidR="00B97365" w:rsidRDefault="00000000">
            <w:pPr>
              <w:rPr>
                <w:rFonts w:cs="Calibri"/>
                <w:sz w:val="16"/>
                <w:szCs w:val="16"/>
              </w:rPr>
            </w:pPr>
            <w:r>
              <w:rPr>
                <w:rFonts w:cs="Calibri"/>
                <w:sz w:val="16"/>
                <w:szCs w:val="16"/>
              </w:rPr>
              <w:t>Le</w:t>
            </w:r>
          </w:p>
        </w:tc>
        <w:tc>
          <w:tcPr>
            <w:tcW w:w="0" w:type="auto"/>
            <w:tcBorders>
              <w:top w:val="single" w:sz="6" w:space="0" w:color="000000"/>
              <w:left w:val="single" w:sz="6" w:space="0" w:color="000000"/>
              <w:bottom w:val="single" w:sz="4" w:space="0" w:color="000000"/>
              <w:right w:val="single" w:sz="6" w:space="0" w:color="000000"/>
            </w:tcBorders>
            <w:hideMark/>
          </w:tcPr>
          <w:p w14:paraId="2B7C8252" w14:textId="77777777" w:rsidR="00B97365" w:rsidRDefault="00000000">
            <w:pPr>
              <w:rPr>
                <w:rFonts w:cs="Calibri"/>
                <w:sz w:val="16"/>
                <w:szCs w:val="16"/>
              </w:rPr>
            </w:pPr>
            <w:r>
              <w:rPr>
                <w:rFonts w:cs="Calibri"/>
                <w:sz w:val="16"/>
                <w:szCs w:val="16"/>
              </w:rPr>
              <w:t>‘00’</w:t>
            </w:r>
          </w:p>
        </w:tc>
        <w:tc>
          <w:tcPr>
            <w:tcW w:w="0" w:type="auto"/>
            <w:tcBorders>
              <w:top w:val="single" w:sz="6" w:space="0" w:color="000000"/>
              <w:left w:val="single" w:sz="6" w:space="0" w:color="000000"/>
              <w:bottom w:val="single" w:sz="4" w:space="0" w:color="000000"/>
              <w:right w:val="single" w:sz="4" w:space="0" w:color="000000"/>
            </w:tcBorders>
          </w:tcPr>
          <w:p w14:paraId="62A05828" w14:textId="77777777" w:rsidR="00B97365" w:rsidRDefault="00B97365">
            <w:pPr>
              <w:rPr>
                <w:rFonts w:cs="Calibri"/>
                <w:sz w:val="16"/>
                <w:szCs w:val="16"/>
              </w:rPr>
            </w:pPr>
          </w:p>
        </w:tc>
      </w:tr>
    </w:tbl>
    <w:p w14:paraId="38E8BB44" w14:textId="77777777" w:rsidR="00B97365" w:rsidRDefault="00000000">
      <w:pPr>
        <w:numPr>
          <w:ilvl w:val="0"/>
          <w:numId w:val="14"/>
        </w:numPr>
        <w:tabs>
          <w:tab w:val="left" w:pos="1009"/>
        </w:tabs>
        <w:spacing w:after="200" w:line="276" w:lineRule="auto"/>
        <w:jc w:val="center"/>
        <w:rPr>
          <w:rFonts w:cs="Arial"/>
          <w:lang w:eastAsia="de-DE" w:bidi="ar-SA"/>
        </w:rPr>
      </w:pPr>
      <w:bookmarkStart w:id="2431" w:name="_Ref373942623"/>
      <w:r>
        <w:rPr>
          <w:rFonts w:cs="Arial"/>
          <w:b/>
          <w:lang w:eastAsia="de-DE" w:bidi="ar-SA"/>
        </w:rPr>
        <w:t>: STORE DATA Command Message</w:t>
      </w:r>
      <w:bookmarkEnd w:id="2431"/>
    </w:p>
    <w:p w14:paraId="5364F8F1"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3"/>
        <w:gridCol w:w="403"/>
        <w:gridCol w:w="403"/>
        <w:gridCol w:w="403"/>
        <w:gridCol w:w="403"/>
        <w:gridCol w:w="403"/>
        <w:gridCol w:w="403"/>
        <w:gridCol w:w="403"/>
        <w:gridCol w:w="4894"/>
      </w:tblGrid>
      <w:tr w:rsidR="00B97365" w14:paraId="6E895A77"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63AF1C3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FD9CAE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14931B1"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0043B3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5D60F78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6C043574"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8838D5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69D11EB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1695091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428D5FAC"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26607527" w14:textId="77777777" w:rsidR="00B97365" w:rsidRDefault="00000000">
            <w:pPr>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5D7B1EA0"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752C893"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DE59130"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AFF937E"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9C9ECF8"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2948F4E"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84A796E"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1C213F7D" w14:textId="77777777" w:rsidR="00B97365" w:rsidRDefault="00000000">
            <w:pPr>
              <w:rPr>
                <w:rFonts w:cs="Arial"/>
                <w:bCs/>
                <w:sz w:val="16"/>
                <w:szCs w:val="16"/>
              </w:rPr>
            </w:pPr>
            <w:r>
              <w:rPr>
                <w:rFonts w:cs="Arial"/>
                <w:sz w:val="16"/>
                <w:szCs w:val="16"/>
              </w:rPr>
              <w:t>Last block</w:t>
            </w:r>
          </w:p>
        </w:tc>
      </w:tr>
      <w:tr w:rsidR="00B97365" w14:paraId="5E045338"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449C2B57"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6378AFD"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0BDBD259"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0B2149EC"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71D8EF2"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40193D5"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B913BE1"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DB2F6FC"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55BA0FFD" w14:textId="77777777" w:rsidR="00B97365" w:rsidRDefault="00000000">
            <w:pPr>
              <w:rPr>
                <w:rFonts w:cs="Arial"/>
                <w:bCs/>
                <w:sz w:val="16"/>
                <w:szCs w:val="16"/>
              </w:rPr>
            </w:pPr>
            <w:r>
              <w:rPr>
                <w:rFonts w:cs="Arial"/>
                <w:sz w:val="16"/>
                <w:szCs w:val="16"/>
              </w:rPr>
              <w:t xml:space="preserve">No general encryption information or non-encrypted data </w:t>
            </w:r>
          </w:p>
        </w:tc>
      </w:tr>
      <w:tr w:rsidR="00B97365" w14:paraId="1BD36B20"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66F98447"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D547814"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C8F5A66"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28BF1AB"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6DC2F546" w14:textId="77777777" w:rsidR="00B97365" w:rsidRDefault="00000000">
            <w:pPr>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6B487B8F"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6B903F9"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2DA5E5F"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5E63201A" w14:textId="77777777" w:rsidR="00B97365" w:rsidRDefault="00000000">
            <w:pPr>
              <w:rPr>
                <w:rFonts w:cs="Arial"/>
                <w:bCs/>
                <w:sz w:val="16"/>
                <w:szCs w:val="16"/>
              </w:rPr>
            </w:pPr>
            <w:r>
              <w:rPr>
                <w:rFonts w:cs="Arial"/>
                <w:sz w:val="16"/>
                <w:szCs w:val="16"/>
              </w:rPr>
              <w:t>DGI format of the command data field</w:t>
            </w:r>
          </w:p>
        </w:tc>
      </w:tr>
      <w:tr w:rsidR="00B97365" w14:paraId="50B2E008"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18C170C3"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00F9CEA"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203A011"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0206498"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5C012CE"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49E55C8"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94DB78C"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58719D4" w14:textId="77777777" w:rsidR="00B97365" w:rsidRDefault="00000000">
            <w:pPr>
              <w:keepNext/>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4" w:space="0" w:color="auto"/>
            </w:tcBorders>
            <w:hideMark/>
          </w:tcPr>
          <w:p w14:paraId="2AF694B0" w14:textId="2E967D1A" w:rsidR="00B97365" w:rsidRDefault="00000000">
            <w:pPr>
              <w:keepNext/>
              <w:rPr>
                <w:bCs/>
                <w:sz w:val="16"/>
                <w:szCs w:val="16"/>
              </w:rPr>
            </w:pPr>
            <w:r>
              <w:rPr>
                <w:rFonts w:cs="Arial"/>
                <w:sz w:val="16"/>
                <w:szCs w:val="16"/>
              </w:rPr>
              <w:t xml:space="preserve">Case 4 command as defined in GlobalPlatform Amendment A </w:t>
            </w:r>
            <w:r>
              <w:fldChar w:fldCharType="begin"/>
            </w:r>
            <w:r>
              <w:rPr>
                <w:sz w:val="16"/>
                <w:szCs w:val="16"/>
              </w:rPr>
              <w:instrText xml:space="preserve"> REF _Ref421633516 \r \h </w:instrText>
            </w:r>
            <w:r>
              <w:fldChar w:fldCharType="separate"/>
            </w:r>
            <w:r w:rsidR="001D5AD9">
              <w:rPr>
                <w:sz w:val="16"/>
                <w:szCs w:val="16"/>
              </w:rPr>
              <w:t>[54]</w:t>
            </w:r>
            <w:r>
              <w:fldChar w:fldCharType="end"/>
            </w:r>
          </w:p>
        </w:tc>
      </w:tr>
      <w:tr w:rsidR="00B97365" w14:paraId="01783F06"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7949604E"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F008288"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219C47FE"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38291AD"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31B4861"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8B4835D" w14:textId="77777777" w:rsidR="00B97365" w:rsidRDefault="00000000">
            <w:pPr>
              <w:keepNext/>
              <w:rPr>
                <w:rFonts w:cs="Arial"/>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10203D43" w14:textId="77777777" w:rsidR="00B97365" w:rsidRDefault="00000000">
            <w:pPr>
              <w:keepNext/>
              <w:rPr>
                <w:rFonts w:cs="Arial"/>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3FDAE8D7"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4" w:space="0" w:color="auto"/>
            </w:tcBorders>
            <w:hideMark/>
          </w:tcPr>
          <w:p w14:paraId="4C234E1B" w14:textId="77777777" w:rsidR="00B97365" w:rsidRDefault="00000000">
            <w:pPr>
              <w:keepNext/>
              <w:rPr>
                <w:rFonts w:cs="Arial"/>
                <w:sz w:val="16"/>
                <w:szCs w:val="16"/>
              </w:rPr>
            </w:pPr>
            <w:r>
              <w:rPr>
                <w:rFonts w:cs="Arial"/>
                <w:sz w:val="16"/>
                <w:szCs w:val="16"/>
              </w:rPr>
              <w:t>RFU</w:t>
            </w:r>
          </w:p>
        </w:tc>
      </w:tr>
    </w:tbl>
    <w:p w14:paraId="7D167B27"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Reference Control Parameter P1</w:t>
      </w:r>
    </w:p>
    <w:p w14:paraId="627F8D4A" w14:textId="77777777" w:rsidR="00B97365" w:rsidRDefault="00000000">
      <w:pPr>
        <w:spacing w:before="0" w:after="200" w:line="276" w:lineRule="auto"/>
        <w:jc w:val="left"/>
        <w:rPr>
          <w:b/>
          <w:i/>
          <w:szCs w:val="22"/>
          <w:lang w:val="en-US" w:eastAsia="en-GB" w:bidi="ar-SA"/>
        </w:rPr>
      </w:pPr>
      <w:bookmarkStart w:id="2432" w:name="_Toc420594540"/>
      <w:r>
        <w:rPr>
          <w:rFonts w:cs="Arial"/>
          <w:b/>
          <w:i/>
          <w:szCs w:val="22"/>
          <w:lang w:val="en-US" w:eastAsia="en-GB" w:bidi="ar-SA"/>
        </w:rPr>
        <w:lastRenderedPageBreak/>
        <w:t>Data Field</w:t>
      </w:r>
      <w:r>
        <w:rPr>
          <w:b/>
          <w:i/>
          <w:szCs w:val="22"/>
          <w:lang w:val="en-US" w:eastAsia="en-GB" w:bidi="ar-SA"/>
        </w:rPr>
        <w:t xml:space="preserve"> Sent in the Command Message</w:t>
      </w:r>
      <w:bookmarkEnd w:id="243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63"/>
        <w:gridCol w:w="936"/>
        <w:gridCol w:w="660"/>
        <w:gridCol w:w="790"/>
        <w:gridCol w:w="665"/>
        <w:gridCol w:w="844"/>
        <w:gridCol w:w="3540"/>
        <w:gridCol w:w="718"/>
      </w:tblGrid>
      <w:tr w:rsidR="00B97365" w14:paraId="2AB84064" w14:textId="77777777">
        <w:trPr>
          <w:cantSplit/>
          <w:tblHeader/>
        </w:trPr>
        <w:tc>
          <w:tcPr>
            <w:tcW w:w="479" w:type="pct"/>
            <w:tcBorders>
              <w:top w:val="single" w:sz="4" w:space="0" w:color="auto"/>
              <w:left w:val="single" w:sz="4" w:space="0" w:color="auto"/>
              <w:bottom w:val="single" w:sz="6" w:space="0" w:color="auto"/>
              <w:right w:val="single" w:sz="6" w:space="0" w:color="auto"/>
            </w:tcBorders>
            <w:shd w:val="clear" w:color="auto" w:fill="C00000"/>
            <w:hideMark/>
          </w:tcPr>
          <w:p w14:paraId="525C3A81" w14:textId="77777777" w:rsidR="00B97365" w:rsidRDefault="00000000">
            <w:pPr>
              <w:rPr>
                <w:rFonts w:cs="Calibri"/>
                <w:b/>
                <w:color w:val="FFFFFF"/>
                <w:sz w:val="16"/>
                <w:szCs w:val="16"/>
              </w:rPr>
            </w:pPr>
            <w:r>
              <w:rPr>
                <w:rFonts w:cs="Calibri"/>
                <w:b/>
                <w:color w:val="FFFFFF"/>
                <w:sz w:val="16"/>
                <w:szCs w:val="16"/>
              </w:rPr>
              <w:t>DGI</w:t>
            </w:r>
          </w:p>
        </w:tc>
        <w:tc>
          <w:tcPr>
            <w:tcW w:w="519" w:type="pct"/>
            <w:tcBorders>
              <w:top w:val="single" w:sz="4" w:space="0" w:color="auto"/>
              <w:left w:val="single" w:sz="6" w:space="0" w:color="auto"/>
              <w:bottom w:val="single" w:sz="6" w:space="0" w:color="auto"/>
              <w:right w:val="single" w:sz="6" w:space="0" w:color="auto"/>
            </w:tcBorders>
            <w:shd w:val="clear" w:color="auto" w:fill="C00000"/>
            <w:hideMark/>
          </w:tcPr>
          <w:p w14:paraId="373D52E9" w14:textId="77777777" w:rsidR="00B97365" w:rsidRDefault="00000000">
            <w:pPr>
              <w:jc w:val="center"/>
              <w:rPr>
                <w:rFonts w:cs="Calibri"/>
                <w:b/>
                <w:color w:val="FFFFFF"/>
                <w:sz w:val="16"/>
                <w:szCs w:val="16"/>
              </w:rPr>
            </w:pPr>
            <w:r>
              <w:rPr>
                <w:rFonts w:cs="Calibri"/>
                <w:b/>
                <w:color w:val="FFFFFF"/>
                <w:sz w:val="16"/>
                <w:szCs w:val="16"/>
              </w:rPr>
              <w:t>Length</w:t>
            </w:r>
          </w:p>
        </w:tc>
        <w:tc>
          <w:tcPr>
            <w:tcW w:w="3604" w:type="pct"/>
            <w:gridSpan w:val="5"/>
            <w:tcBorders>
              <w:top w:val="single" w:sz="4" w:space="0" w:color="auto"/>
              <w:left w:val="single" w:sz="6" w:space="0" w:color="auto"/>
              <w:bottom w:val="single" w:sz="6" w:space="0" w:color="auto"/>
              <w:right w:val="single" w:sz="6" w:space="0" w:color="auto"/>
            </w:tcBorders>
            <w:shd w:val="clear" w:color="auto" w:fill="C00000"/>
            <w:hideMark/>
          </w:tcPr>
          <w:p w14:paraId="46A28BA3" w14:textId="77777777" w:rsidR="00B97365" w:rsidRDefault="00000000">
            <w:pPr>
              <w:rPr>
                <w:rFonts w:cs="Calibri"/>
                <w:b/>
                <w:color w:val="FFFFFF"/>
                <w:sz w:val="16"/>
                <w:szCs w:val="16"/>
              </w:rPr>
            </w:pPr>
            <w:r>
              <w:rPr>
                <w:rFonts w:cs="Calibri"/>
                <w:b/>
                <w:color w:val="FFFFFF"/>
                <w:sz w:val="16"/>
                <w:szCs w:val="16"/>
              </w:rPr>
              <w:t>Value Description</w:t>
            </w:r>
          </w:p>
        </w:tc>
        <w:tc>
          <w:tcPr>
            <w:tcW w:w="398" w:type="pct"/>
            <w:tcBorders>
              <w:top w:val="single" w:sz="4" w:space="0" w:color="auto"/>
              <w:left w:val="single" w:sz="6" w:space="0" w:color="auto"/>
              <w:bottom w:val="single" w:sz="6" w:space="0" w:color="auto"/>
              <w:right w:val="single" w:sz="4" w:space="0" w:color="auto"/>
            </w:tcBorders>
            <w:shd w:val="clear" w:color="auto" w:fill="C00000"/>
            <w:hideMark/>
          </w:tcPr>
          <w:p w14:paraId="64D3C1A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330E064" w14:textId="77777777">
        <w:trPr>
          <w:cantSplit/>
        </w:trPr>
        <w:tc>
          <w:tcPr>
            <w:tcW w:w="479" w:type="pct"/>
            <w:tcBorders>
              <w:top w:val="single" w:sz="6" w:space="0" w:color="auto"/>
              <w:left w:val="single" w:sz="4" w:space="0" w:color="auto"/>
              <w:bottom w:val="single" w:sz="6" w:space="0" w:color="auto"/>
              <w:right w:val="single" w:sz="6" w:space="0" w:color="auto"/>
            </w:tcBorders>
            <w:hideMark/>
          </w:tcPr>
          <w:p w14:paraId="798AFC50" w14:textId="77777777" w:rsidR="00B97365" w:rsidRDefault="00000000">
            <w:pPr>
              <w:rPr>
                <w:rFonts w:cs="Calibri"/>
                <w:sz w:val="16"/>
                <w:szCs w:val="16"/>
              </w:rPr>
            </w:pPr>
            <w:r>
              <w:rPr>
                <w:rFonts w:cs="Calibri"/>
                <w:sz w:val="16"/>
                <w:szCs w:val="16"/>
              </w:rPr>
              <w:t>'3A02'</w:t>
            </w:r>
          </w:p>
        </w:tc>
        <w:tc>
          <w:tcPr>
            <w:tcW w:w="519" w:type="pct"/>
            <w:tcBorders>
              <w:top w:val="single" w:sz="6" w:space="0" w:color="auto"/>
              <w:left w:val="single" w:sz="6" w:space="0" w:color="auto"/>
              <w:bottom w:val="single" w:sz="6" w:space="0" w:color="auto"/>
              <w:right w:val="single" w:sz="6" w:space="0" w:color="auto"/>
            </w:tcBorders>
            <w:hideMark/>
          </w:tcPr>
          <w:p w14:paraId="63FE8DE9" w14:textId="77777777" w:rsidR="00B97365" w:rsidRDefault="00000000">
            <w:pPr>
              <w:rPr>
                <w:rFonts w:cs="Calibri"/>
                <w:sz w:val="16"/>
                <w:szCs w:val="16"/>
              </w:rPr>
            </w:pPr>
            <w:r>
              <w:rPr>
                <w:rFonts w:cs="Calibri"/>
                <w:sz w:val="16"/>
                <w:szCs w:val="16"/>
              </w:rPr>
              <w:t>Var</w:t>
            </w:r>
          </w:p>
        </w:tc>
        <w:tc>
          <w:tcPr>
            <w:tcW w:w="3604" w:type="pct"/>
            <w:gridSpan w:val="5"/>
            <w:tcBorders>
              <w:top w:val="single" w:sz="6" w:space="0" w:color="auto"/>
              <w:left w:val="single" w:sz="6" w:space="0" w:color="auto"/>
              <w:bottom w:val="single" w:sz="6" w:space="0" w:color="auto"/>
              <w:right w:val="single" w:sz="6" w:space="0" w:color="auto"/>
            </w:tcBorders>
            <w:hideMark/>
          </w:tcPr>
          <w:p w14:paraId="3796FF6F" w14:textId="77777777" w:rsidR="00B97365" w:rsidRDefault="00000000">
            <w:pPr>
              <w:rPr>
                <w:rFonts w:cs="Calibri"/>
                <w:sz w:val="16"/>
                <w:szCs w:val="16"/>
              </w:rPr>
            </w:pPr>
            <w:r>
              <w:rPr>
                <w:rFonts w:cs="Calibri"/>
                <w:sz w:val="16"/>
                <w:szCs w:val="16"/>
              </w:rPr>
              <w:t>Key Establishment</w:t>
            </w:r>
          </w:p>
        </w:tc>
        <w:tc>
          <w:tcPr>
            <w:tcW w:w="398" w:type="pct"/>
            <w:tcBorders>
              <w:top w:val="single" w:sz="6" w:space="0" w:color="auto"/>
              <w:left w:val="single" w:sz="6" w:space="0" w:color="auto"/>
              <w:bottom w:val="single" w:sz="6" w:space="0" w:color="auto"/>
              <w:right w:val="single" w:sz="4" w:space="0" w:color="auto"/>
            </w:tcBorders>
            <w:hideMark/>
          </w:tcPr>
          <w:p w14:paraId="36D20C5B" w14:textId="77777777" w:rsidR="00B97365" w:rsidRDefault="00000000">
            <w:pPr>
              <w:jc w:val="center"/>
              <w:rPr>
                <w:rFonts w:cs="Calibri"/>
                <w:sz w:val="16"/>
                <w:szCs w:val="16"/>
              </w:rPr>
            </w:pPr>
            <w:r>
              <w:rPr>
                <w:rFonts w:cs="Calibri"/>
                <w:sz w:val="16"/>
                <w:szCs w:val="16"/>
              </w:rPr>
              <w:t>M</w:t>
            </w:r>
          </w:p>
        </w:tc>
      </w:tr>
      <w:tr w:rsidR="00B97365" w14:paraId="44EDA628" w14:textId="77777777">
        <w:trPr>
          <w:cantSplit/>
        </w:trPr>
        <w:tc>
          <w:tcPr>
            <w:tcW w:w="479" w:type="pct"/>
            <w:tcBorders>
              <w:top w:val="single" w:sz="6" w:space="0" w:color="auto"/>
              <w:left w:val="single" w:sz="4" w:space="0" w:color="auto"/>
              <w:bottom w:val="single" w:sz="6" w:space="0" w:color="auto"/>
              <w:right w:val="single" w:sz="6" w:space="0" w:color="auto"/>
            </w:tcBorders>
          </w:tcPr>
          <w:p w14:paraId="751D344B"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7C6C0486"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shd w:val="clear" w:color="auto" w:fill="C00000"/>
            <w:hideMark/>
          </w:tcPr>
          <w:p w14:paraId="56F67C71" w14:textId="77777777" w:rsidR="00B97365" w:rsidRDefault="00000000">
            <w:pPr>
              <w:jc w:val="center"/>
              <w:rPr>
                <w:rFonts w:cs="Calibri"/>
                <w:b/>
                <w:sz w:val="16"/>
                <w:szCs w:val="16"/>
              </w:rPr>
            </w:pPr>
            <w:r>
              <w:rPr>
                <w:rFonts w:cs="Calibri"/>
                <w:b/>
                <w:color w:val="FFFFFF"/>
                <w:sz w:val="16"/>
                <w:szCs w:val="16"/>
              </w:rPr>
              <w:t>Tag</w:t>
            </w:r>
          </w:p>
        </w:tc>
        <w:tc>
          <w:tcPr>
            <w:tcW w:w="438" w:type="pct"/>
            <w:tcBorders>
              <w:top w:val="single" w:sz="6" w:space="0" w:color="auto"/>
              <w:left w:val="single" w:sz="6" w:space="0" w:color="auto"/>
              <w:bottom w:val="single" w:sz="6" w:space="0" w:color="auto"/>
              <w:right w:val="single" w:sz="6" w:space="0" w:color="auto"/>
            </w:tcBorders>
            <w:shd w:val="clear" w:color="auto" w:fill="C00000"/>
            <w:hideMark/>
          </w:tcPr>
          <w:p w14:paraId="4910ED51" w14:textId="77777777" w:rsidR="00B97365" w:rsidRDefault="00000000">
            <w:pPr>
              <w:jc w:val="center"/>
              <w:rPr>
                <w:rFonts w:cs="Calibri"/>
                <w:b/>
                <w:sz w:val="16"/>
                <w:szCs w:val="16"/>
              </w:rPr>
            </w:pPr>
            <w:r>
              <w:rPr>
                <w:rFonts w:cs="Calibri"/>
                <w:b/>
                <w:color w:val="FFFFFF"/>
                <w:sz w:val="16"/>
                <w:szCs w:val="16"/>
              </w:rPr>
              <w:t>Length</w:t>
            </w:r>
          </w:p>
        </w:tc>
        <w:tc>
          <w:tcPr>
            <w:tcW w:w="2800" w:type="pct"/>
            <w:gridSpan w:val="3"/>
            <w:tcBorders>
              <w:top w:val="single" w:sz="6" w:space="0" w:color="auto"/>
              <w:left w:val="single" w:sz="6" w:space="0" w:color="auto"/>
              <w:bottom w:val="single" w:sz="6" w:space="0" w:color="auto"/>
              <w:right w:val="single" w:sz="6" w:space="0" w:color="auto"/>
            </w:tcBorders>
            <w:shd w:val="clear" w:color="auto" w:fill="C00000"/>
            <w:hideMark/>
          </w:tcPr>
          <w:p w14:paraId="296D1657" w14:textId="77777777" w:rsidR="00B97365" w:rsidRDefault="00000000">
            <w:pPr>
              <w:jc w:val="center"/>
              <w:rPr>
                <w:rFonts w:cs="Calibri"/>
                <w:b/>
                <w:sz w:val="16"/>
                <w:szCs w:val="16"/>
              </w:rPr>
            </w:pPr>
            <w:r>
              <w:rPr>
                <w:rFonts w:cs="Calibri"/>
                <w:b/>
                <w:color w:val="FFFFFF"/>
                <w:sz w:val="16"/>
                <w:szCs w:val="16"/>
              </w:rPr>
              <w:t>Value Description</w:t>
            </w:r>
          </w:p>
        </w:tc>
        <w:tc>
          <w:tcPr>
            <w:tcW w:w="398" w:type="pct"/>
            <w:tcBorders>
              <w:top w:val="single" w:sz="6" w:space="0" w:color="auto"/>
              <w:left w:val="single" w:sz="6" w:space="0" w:color="auto"/>
              <w:bottom w:val="single" w:sz="6" w:space="0" w:color="auto"/>
              <w:right w:val="single" w:sz="4" w:space="0" w:color="auto"/>
            </w:tcBorders>
            <w:shd w:val="clear" w:color="auto" w:fill="C00000"/>
            <w:hideMark/>
          </w:tcPr>
          <w:p w14:paraId="58FEE03F" w14:textId="77777777" w:rsidR="00B97365" w:rsidRDefault="00000000">
            <w:pPr>
              <w:jc w:val="center"/>
              <w:rPr>
                <w:rFonts w:cs="Calibri"/>
                <w:b/>
                <w:sz w:val="16"/>
                <w:szCs w:val="16"/>
              </w:rPr>
            </w:pPr>
            <w:r>
              <w:rPr>
                <w:rFonts w:cs="Calibri"/>
                <w:b/>
                <w:color w:val="FFFFFF"/>
                <w:sz w:val="16"/>
                <w:szCs w:val="16"/>
              </w:rPr>
              <w:t>MOC</w:t>
            </w:r>
          </w:p>
        </w:tc>
      </w:tr>
      <w:tr w:rsidR="00B97365" w14:paraId="20D4D8A7" w14:textId="77777777">
        <w:trPr>
          <w:cantSplit/>
        </w:trPr>
        <w:tc>
          <w:tcPr>
            <w:tcW w:w="479" w:type="pct"/>
            <w:tcBorders>
              <w:top w:val="single" w:sz="6" w:space="0" w:color="auto"/>
              <w:left w:val="single" w:sz="4" w:space="0" w:color="auto"/>
              <w:bottom w:val="single" w:sz="6" w:space="0" w:color="auto"/>
              <w:right w:val="single" w:sz="6" w:space="0" w:color="auto"/>
            </w:tcBorders>
          </w:tcPr>
          <w:p w14:paraId="6C0C1B21"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2779AF96"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hideMark/>
          </w:tcPr>
          <w:p w14:paraId="0251C4DE" w14:textId="77777777" w:rsidR="00B97365" w:rsidRDefault="00000000">
            <w:pPr>
              <w:rPr>
                <w:rFonts w:cs="Calibri"/>
                <w:color w:val="FFFFFF"/>
                <w:sz w:val="16"/>
                <w:szCs w:val="16"/>
              </w:rPr>
            </w:pPr>
            <w:r>
              <w:rPr>
                <w:rFonts w:cs="Calibri"/>
                <w:sz w:val="16"/>
                <w:szCs w:val="16"/>
              </w:rPr>
              <w:t>'A6'</w:t>
            </w:r>
          </w:p>
        </w:tc>
        <w:tc>
          <w:tcPr>
            <w:tcW w:w="438" w:type="pct"/>
            <w:tcBorders>
              <w:top w:val="single" w:sz="6" w:space="0" w:color="auto"/>
              <w:left w:val="single" w:sz="6" w:space="0" w:color="auto"/>
              <w:bottom w:val="single" w:sz="6" w:space="0" w:color="auto"/>
              <w:right w:val="single" w:sz="6" w:space="0" w:color="auto"/>
            </w:tcBorders>
            <w:hideMark/>
          </w:tcPr>
          <w:p w14:paraId="15FA350B" w14:textId="77777777" w:rsidR="00B97365" w:rsidRDefault="00000000">
            <w:pPr>
              <w:rPr>
                <w:rFonts w:cs="Calibri"/>
                <w:color w:val="FFFFFF"/>
                <w:sz w:val="16"/>
                <w:szCs w:val="16"/>
              </w:rPr>
            </w:pPr>
            <w:r>
              <w:rPr>
                <w:rFonts w:cs="Calibri"/>
                <w:sz w:val="16"/>
                <w:szCs w:val="16"/>
              </w:rPr>
              <w:t>Var</w:t>
            </w:r>
          </w:p>
        </w:tc>
        <w:tc>
          <w:tcPr>
            <w:tcW w:w="2800" w:type="pct"/>
            <w:gridSpan w:val="3"/>
            <w:tcBorders>
              <w:top w:val="single" w:sz="6" w:space="0" w:color="auto"/>
              <w:left w:val="single" w:sz="6" w:space="0" w:color="auto"/>
              <w:bottom w:val="single" w:sz="6" w:space="0" w:color="auto"/>
              <w:right w:val="single" w:sz="6" w:space="0" w:color="auto"/>
            </w:tcBorders>
            <w:hideMark/>
          </w:tcPr>
          <w:p w14:paraId="3AD1A9E9" w14:textId="77777777" w:rsidR="00B97365" w:rsidRDefault="00000000">
            <w:pPr>
              <w:rPr>
                <w:rFonts w:cs="Calibri"/>
                <w:color w:val="FFFFFF"/>
                <w:sz w:val="16"/>
                <w:szCs w:val="16"/>
              </w:rPr>
            </w:pPr>
            <w:r>
              <w:rPr>
                <w:rFonts w:cs="Calibri"/>
                <w:sz w:val="16"/>
                <w:szCs w:val="16"/>
              </w:rPr>
              <w:t>CRT tag (KAT)</w:t>
            </w:r>
          </w:p>
        </w:tc>
        <w:tc>
          <w:tcPr>
            <w:tcW w:w="398" w:type="pct"/>
            <w:tcBorders>
              <w:top w:val="single" w:sz="6" w:space="0" w:color="auto"/>
              <w:left w:val="single" w:sz="6" w:space="0" w:color="auto"/>
              <w:bottom w:val="single" w:sz="6" w:space="0" w:color="auto"/>
              <w:right w:val="single" w:sz="4" w:space="0" w:color="auto"/>
            </w:tcBorders>
            <w:hideMark/>
          </w:tcPr>
          <w:p w14:paraId="187021FE" w14:textId="77777777" w:rsidR="00B97365" w:rsidRDefault="00000000">
            <w:pPr>
              <w:jc w:val="center"/>
              <w:rPr>
                <w:rFonts w:cs="Calibri"/>
                <w:color w:val="FFFFFF"/>
                <w:sz w:val="16"/>
                <w:szCs w:val="16"/>
              </w:rPr>
            </w:pPr>
            <w:r>
              <w:rPr>
                <w:rFonts w:cs="Calibri"/>
                <w:color w:val="FFFFFF"/>
                <w:sz w:val="16"/>
                <w:szCs w:val="16"/>
              </w:rPr>
              <w:t>XM</w:t>
            </w:r>
          </w:p>
        </w:tc>
      </w:tr>
      <w:tr w:rsidR="00B97365" w14:paraId="4F963E15" w14:textId="77777777">
        <w:trPr>
          <w:cantSplit/>
        </w:trPr>
        <w:tc>
          <w:tcPr>
            <w:tcW w:w="479" w:type="pct"/>
            <w:tcBorders>
              <w:top w:val="single" w:sz="6" w:space="0" w:color="auto"/>
              <w:left w:val="single" w:sz="4" w:space="0" w:color="auto"/>
              <w:bottom w:val="single" w:sz="6" w:space="0" w:color="auto"/>
              <w:right w:val="single" w:sz="6" w:space="0" w:color="auto"/>
            </w:tcBorders>
          </w:tcPr>
          <w:p w14:paraId="20884E2B" w14:textId="77777777" w:rsidR="00B97365" w:rsidRDefault="00B97365">
            <w:pPr>
              <w:rPr>
                <w:rFonts w:cs="Calibri"/>
                <w:b/>
                <w:sz w:val="16"/>
                <w:szCs w:val="16"/>
              </w:rPr>
            </w:pPr>
          </w:p>
        </w:tc>
        <w:tc>
          <w:tcPr>
            <w:tcW w:w="519" w:type="pct"/>
            <w:tcBorders>
              <w:top w:val="single" w:sz="6" w:space="0" w:color="auto"/>
              <w:left w:val="single" w:sz="6" w:space="0" w:color="auto"/>
              <w:bottom w:val="single" w:sz="6" w:space="0" w:color="auto"/>
              <w:right w:val="single" w:sz="6" w:space="0" w:color="auto"/>
            </w:tcBorders>
          </w:tcPr>
          <w:p w14:paraId="282B96BF" w14:textId="77777777" w:rsidR="00B97365" w:rsidRDefault="00B97365">
            <w:pPr>
              <w:rPr>
                <w:rFonts w:cs="Calibri"/>
                <w:b/>
                <w:sz w:val="16"/>
                <w:szCs w:val="16"/>
              </w:rPr>
            </w:pPr>
          </w:p>
        </w:tc>
        <w:tc>
          <w:tcPr>
            <w:tcW w:w="366" w:type="pct"/>
            <w:tcBorders>
              <w:top w:val="single" w:sz="6" w:space="0" w:color="auto"/>
              <w:left w:val="single" w:sz="6" w:space="0" w:color="auto"/>
              <w:bottom w:val="single" w:sz="6" w:space="0" w:color="auto"/>
              <w:right w:val="single" w:sz="6" w:space="0" w:color="auto"/>
            </w:tcBorders>
            <w:shd w:val="clear" w:color="auto" w:fill="FFFFFF"/>
          </w:tcPr>
          <w:p w14:paraId="2B42F009" w14:textId="77777777" w:rsidR="00B97365" w:rsidRDefault="00B97365">
            <w:pPr>
              <w:jc w:val="center"/>
              <w:rPr>
                <w:rFonts w:cs="Calibri"/>
                <w:color w:val="FFFFFF"/>
                <w:sz w:val="16"/>
                <w:szCs w:val="16"/>
              </w:rPr>
            </w:pPr>
          </w:p>
        </w:tc>
        <w:tc>
          <w:tcPr>
            <w:tcW w:w="438" w:type="pct"/>
            <w:tcBorders>
              <w:top w:val="single" w:sz="6" w:space="0" w:color="auto"/>
              <w:left w:val="single" w:sz="6" w:space="0" w:color="auto"/>
              <w:bottom w:val="single" w:sz="6" w:space="0" w:color="auto"/>
              <w:right w:val="single" w:sz="6" w:space="0" w:color="auto"/>
            </w:tcBorders>
            <w:shd w:val="clear" w:color="auto" w:fill="FFFFFF"/>
          </w:tcPr>
          <w:p w14:paraId="41FF4A28" w14:textId="77777777" w:rsidR="00B97365" w:rsidRDefault="00B97365">
            <w:pPr>
              <w:jc w:val="center"/>
              <w:rPr>
                <w:rFonts w:cs="Calibri"/>
                <w:color w:val="FFFFFF"/>
                <w:sz w:val="16"/>
                <w:szCs w:val="16"/>
              </w:rPr>
            </w:pPr>
          </w:p>
        </w:tc>
        <w:tc>
          <w:tcPr>
            <w:tcW w:w="369" w:type="pct"/>
            <w:tcBorders>
              <w:top w:val="single" w:sz="6" w:space="0" w:color="auto"/>
              <w:left w:val="single" w:sz="6" w:space="0" w:color="auto"/>
              <w:bottom w:val="single" w:sz="6" w:space="0" w:color="auto"/>
              <w:right w:val="single" w:sz="6" w:space="0" w:color="auto"/>
            </w:tcBorders>
            <w:shd w:val="clear" w:color="auto" w:fill="C00000"/>
            <w:hideMark/>
          </w:tcPr>
          <w:p w14:paraId="79CCC5E8" w14:textId="77777777" w:rsidR="00B97365" w:rsidRDefault="00000000">
            <w:pPr>
              <w:spacing w:after="120" w:line="276" w:lineRule="auto"/>
              <w:jc w:val="center"/>
              <w:rPr>
                <w:rFonts w:cs="Calibri"/>
                <w:b/>
                <w:color w:val="FFFFFF"/>
                <w:sz w:val="16"/>
                <w:szCs w:val="16"/>
              </w:rPr>
            </w:pPr>
            <w:r>
              <w:rPr>
                <w:rFonts w:cs="Calibri"/>
                <w:b/>
                <w:color w:val="FFFFFF"/>
                <w:sz w:val="16"/>
                <w:szCs w:val="16"/>
              </w:rPr>
              <w:t>Tag</w:t>
            </w:r>
          </w:p>
        </w:tc>
        <w:tc>
          <w:tcPr>
            <w:tcW w:w="468" w:type="pct"/>
            <w:tcBorders>
              <w:top w:val="single" w:sz="6" w:space="0" w:color="auto"/>
              <w:left w:val="single" w:sz="6" w:space="0" w:color="auto"/>
              <w:bottom w:val="single" w:sz="6" w:space="0" w:color="auto"/>
              <w:right w:val="single" w:sz="6" w:space="0" w:color="auto"/>
            </w:tcBorders>
            <w:shd w:val="clear" w:color="auto" w:fill="C00000"/>
            <w:hideMark/>
          </w:tcPr>
          <w:p w14:paraId="3FD14C45" w14:textId="77777777" w:rsidR="00B97365" w:rsidRDefault="00000000">
            <w:pPr>
              <w:spacing w:after="120" w:line="276" w:lineRule="auto"/>
              <w:jc w:val="center"/>
              <w:rPr>
                <w:rFonts w:cs="Calibri"/>
                <w:b/>
                <w:color w:val="FFFFFF"/>
                <w:sz w:val="16"/>
                <w:szCs w:val="16"/>
              </w:rPr>
            </w:pPr>
            <w:r>
              <w:rPr>
                <w:rFonts w:cs="Calibri"/>
                <w:b/>
                <w:color w:val="FFFFFF"/>
                <w:sz w:val="16"/>
                <w:szCs w:val="16"/>
              </w:rPr>
              <w:t>Length</w:t>
            </w:r>
          </w:p>
        </w:tc>
        <w:tc>
          <w:tcPr>
            <w:tcW w:w="1963" w:type="pct"/>
            <w:tcBorders>
              <w:top w:val="single" w:sz="6" w:space="0" w:color="auto"/>
              <w:left w:val="single" w:sz="6" w:space="0" w:color="auto"/>
              <w:bottom w:val="single" w:sz="6" w:space="0" w:color="auto"/>
              <w:right w:val="single" w:sz="6" w:space="0" w:color="auto"/>
            </w:tcBorders>
            <w:shd w:val="clear" w:color="auto" w:fill="C00000"/>
            <w:hideMark/>
          </w:tcPr>
          <w:p w14:paraId="5B67B7A0" w14:textId="77777777" w:rsidR="00B97365" w:rsidRDefault="00000000">
            <w:pPr>
              <w:spacing w:after="120" w:line="276" w:lineRule="auto"/>
              <w:rPr>
                <w:rFonts w:cs="Calibri"/>
                <w:b/>
                <w:color w:val="FFFFFF"/>
                <w:sz w:val="16"/>
                <w:szCs w:val="16"/>
              </w:rPr>
            </w:pPr>
            <w:r>
              <w:rPr>
                <w:rFonts w:cs="Calibri"/>
                <w:b/>
                <w:color w:val="FFFFFF"/>
                <w:sz w:val="16"/>
                <w:szCs w:val="16"/>
              </w:rPr>
              <w:t>Value Description</w:t>
            </w:r>
          </w:p>
        </w:tc>
        <w:tc>
          <w:tcPr>
            <w:tcW w:w="398" w:type="pct"/>
            <w:tcBorders>
              <w:top w:val="single" w:sz="6" w:space="0" w:color="auto"/>
              <w:left w:val="single" w:sz="6" w:space="0" w:color="auto"/>
              <w:bottom w:val="single" w:sz="6" w:space="0" w:color="auto"/>
              <w:right w:val="single" w:sz="4" w:space="0" w:color="auto"/>
            </w:tcBorders>
            <w:shd w:val="clear" w:color="auto" w:fill="C00000"/>
            <w:hideMark/>
          </w:tcPr>
          <w:p w14:paraId="34FC56AF"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1EC1A30" w14:textId="77777777">
        <w:trPr>
          <w:cantSplit/>
        </w:trPr>
        <w:tc>
          <w:tcPr>
            <w:tcW w:w="479" w:type="pct"/>
            <w:tcBorders>
              <w:top w:val="single" w:sz="6" w:space="0" w:color="auto"/>
              <w:left w:val="single" w:sz="4" w:space="0" w:color="auto"/>
              <w:bottom w:val="single" w:sz="6" w:space="0" w:color="auto"/>
              <w:right w:val="single" w:sz="6" w:space="0" w:color="auto"/>
            </w:tcBorders>
          </w:tcPr>
          <w:p w14:paraId="51D8828C"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7A15034E"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132CCE5C"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38F55F30"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38517E05" w14:textId="77777777" w:rsidR="00B97365" w:rsidRDefault="00000000">
            <w:pPr>
              <w:rPr>
                <w:rFonts w:cs="Calibri"/>
                <w:sz w:val="16"/>
                <w:szCs w:val="16"/>
              </w:rPr>
            </w:pPr>
            <w:r>
              <w:rPr>
                <w:rFonts w:cs="Calibri"/>
                <w:sz w:val="16"/>
                <w:szCs w:val="16"/>
              </w:rPr>
              <w:t>'90'</w:t>
            </w:r>
          </w:p>
        </w:tc>
        <w:tc>
          <w:tcPr>
            <w:tcW w:w="468" w:type="pct"/>
            <w:tcBorders>
              <w:top w:val="single" w:sz="6" w:space="0" w:color="auto"/>
              <w:left w:val="single" w:sz="6" w:space="0" w:color="auto"/>
              <w:bottom w:val="single" w:sz="6" w:space="0" w:color="auto"/>
              <w:right w:val="single" w:sz="6" w:space="0" w:color="auto"/>
            </w:tcBorders>
            <w:hideMark/>
          </w:tcPr>
          <w:p w14:paraId="295C4788" w14:textId="77777777" w:rsidR="00B97365" w:rsidRDefault="00000000">
            <w:pPr>
              <w:rPr>
                <w:rFonts w:cs="Calibri"/>
                <w:sz w:val="16"/>
                <w:szCs w:val="16"/>
              </w:rPr>
            </w:pPr>
            <w:r>
              <w:rPr>
                <w:rFonts w:cs="Calibri"/>
                <w:sz w:val="16"/>
                <w:szCs w:val="16"/>
              </w:rPr>
              <w:t>2</w:t>
            </w:r>
          </w:p>
        </w:tc>
        <w:tc>
          <w:tcPr>
            <w:tcW w:w="1963" w:type="pct"/>
            <w:tcBorders>
              <w:top w:val="single" w:sz="6" w:space="0" w:color="auto"/>
              <w:left w:val="single" w:sz="6" w:space="0" w:color="auto"/>
              <w:bottom w:val="single" w:sz="6" w:space="0" w:color="auto"/>
              <w:right w:val="single" w:sz="6" w:space="0" w:color="auto"/>
            </w:tcBorders>
            <w:hideMark/>
          </w:tcPr>
          <w:p w14:paraId="5430EB58" w14:textId="5BA26517" w:rsidR="00B97365" w:rsidRDefault="00000000">
            <w:pPr>
              <w:rPr>
                <w:rFonts w:cs="Calibri"/>
                <w:sz w:val="16"/>
                <w:szCs w:val="16"/>
              </w:rPr>
            </w:pPr>
            <w:r>
              <w:rPr>
                <w:rFonts w:cs="Calibri"/>
                <w:sz w:val="16"/>
                <w:szCs w:val="16"/>
              </w:rPr>
              <w:t xml:space="preserve">Scenario identifier ‘03’ (see GlobalPlatform Card Specification Amendment E: Security Upgrade for Card Content Management  </w:t>
            </w:r>
            <w:r>
              <w:fldChar w:fldCharType="begin"/>
            </w:r>
            <w:r>
              <w:rPr>
                <w:rFonts w:cs="Calibri"/>
                <w:sz w:val="16"/>
                <w:szCs w:val="16"/>
              </w:rPr>
              <w:instrText xml:space="preserve"> REF _Ref421632038 \r \h </w:instrText>
            </w:r>
            <w:r>
              <w:fldChar w:fldCharType="separate"/>
            </w:r>
            <w:r w:rsidR="001D5AD9">
              <w:rPr>
                <w:rFonts w:cs="Calibri"/>
                <w:sz w:val="16"/>
                <w:szCs w:val="16"/>
              </w:rPr>
              <w:t>[11]</w:t>
            </w:r>
            <w:r>
              <w:fldChar w:fldCharType="end"/>
            </w:r>
            <w:r>
              <w:rPr>
                <w:rFonts w:cs="Calibri"/>
                <w:sz w:val="16"/>
                <w:szCs w:val="16"/>
              </w:rPr>
              <w:t xml:space="preserve"> section 4.8.1)</w:t>
            </w:r>
          </w:p>
          <w:p w14:paraId="73C17EFC" w14:textId="0F42E2DB" w:rsidR="00B97365" w:rsidRDefault="00000000">
            <w:pPr>
              <w:rPr>
                <w:rFonts w:cs="Calibri"/>
                <w:sz w:val="16"/>
                <w:szCs w:val="16"/>
              </w:rPr>
            </w:pPr>
            <w:r>
              <w:rPr>
                <w:rFonts w:cs="Calibri"/>
                <w:sz w:val="16"/>
                <w:szCs w:val="16"/>
              </w:rPr>
              <w:t xml:space="preserve">Scenario Parameters ‘0X’ (See </w:t>
            </w:r>
            <w:r>
              <w:fldChar w:fldCharType="begin"/>
            </w:r>
            <w:r>
              <w:rPr>
                <w:rFonts w:cs="Calibri"/>
                <w:sz w:val="16"/>
                <w:szCs w:val="16"/>
              </w:rPr>
              <w:instrText xml:space="preserve"> REF _Ref421658560 \r \h </w:instrText>
            </w:r>
            <w:r>
              <w:fldChar w:fldCharType="separate"/>
            </w:r>
            <w:r w:rsidR="001D5AD9">
              <w:rPr>
                <w:rFonts w:cs="Calibri"/>
                <w:sz w:val="16"/>
                <w:szCs w:val="16"/>
              </w:rPr>
              <w:t>Table 45</w:t>
            </w:r>
            <w:r>
              <w:fldChar w:fldCharType="end"/>
            </w:r>
            <w:r>
              <w:rPr>
                <w:rFonts w:cs="Calibri"/>
                <w:sz w:val="16"/>
                <w:szCs w:val="16"/>
              </w:rPr>
              <w:t>)</w:t>
            </w:r>
          </w:p>
        </w:tc>
        <w:tc>
          <w:tcPr>
            <w:tcW w:w="398" w:type="pct"/>
            <w:tcBorders>
              <w:top w:val="single" w:sz="6" w:space="0" w:color="auto"/>
              <w:left w:val="single" w:sz="6" w:space="0" w:color="auto"/>
              <w:bottom w:val="single" w:sz="6" w:space="0" w:color="auto"/>
              <w:right w:val="single" w:sz="4" w:space="0" w:color="auto"/>
            </w:tcBorders>
            <w:hideMark/>
          </w:tcPr>
          <w:p w14:paraId="61317897" w14:textId="77777777" w:rsidR="00B97365" w:rsidRDefault="00000000">
            <w:pPr>
              <w:jc w:val="center"/>
              <w:rPr>
                <w:rFonts w:cs="Calibri"/>
                <w:sz w:val="16"/>
                <w:szCs w:val="16"/>
              </w:rPr>
            </w:pPr>
            <w:r>
              <w:rPr>
                <w:rFonts w:cs="Calibri"/>
                <w:sz w:val="16"/>
                <w:szCs w:val="16"/>
              </w:rPr>
              <w:t>M</w:t>
            </w:r>
          </w:p>
        </w:tc>
      </w:tr>
      <w:tr w:rsidR="00B97365" w14:paraId="274100AA" w14:textId="77777777">
        <w:trPr>
          <w:cantSplit/>
        </w:trPr>
        <w:tc>
          <w:tcPr>
            <w:tcW w:w="479" w:type="pct"/>
            <w:tcBorders>
              <w:top w:val="single" w:sz="6" w:space="0" w:color="auto"/>
              <w:left w:val="single" w:sz="4" w:space="0" w:color="auto"/>
              <w:bottom w:val="single" w:sz="6" w:space="0" w:color="auto"/>
              <w:right w:val="single" w:sz="6" w:space="0" w:color="auto"/>
            </w:tcBorders>
          </w:tcPr>
          <w:p w14:paraId="19B57B68"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624C01B2"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18E9FD5B"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63A950EA"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71921E6F" w14:textId="77777777" w:rsidR="00B97365" w:rsidRDefault="00000000">
            <w:pPr>
              <w:rPr>
                <w:rFonts w:cs="Calibri"/>
                <w:sz w:val="16"/>
                <w:szCs w:val="16"/>
              </w:rPr>
            </w:pPr>
            <w:r>
              <w:rPr>
                <w:rFonts w:cs="Calibri"/>
                <w:sz w:val="16"/>
                <w:szCs w:val="16"/>
              </w:rPr>
              <w:t>'95'</w:t>
            </w:r>
          </w:p>
        </w:tc>
        <w:tc>
          <w:tcPr>
            <w:tcW w:w="468" w:type="pct"/>
            <w:tcBorders>
              <w:top w:val="single" w:sz="6" w:space="0" w:color="auto"/>
              <w:left w:val="single" w:sz="6" w:space="0" w:color="auto"/>
              <w:bottom w:val="single" w:sz="6" w:space="0" w:color="auto"/>
              <w:right w:val="single" w:sz="6" w:space="0" w:color="auto"/>
            </w:tcBorders>
            <w:hideMark/>
          </w:tcPr>
          <w:p w14:paraId="0DA68B14"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49323064" w14:textId="77777777" w:rsidR="00B97365" w:rsidRDefault="00000000">
            <w:pPr>
              <w:rPr>
                <w:rFonts w:cs="Calibri"/>
                <w:bCs/>
                <w:sz w:val="16"/>
                <w:szCs w:val="16"/>
              </w:rPr>
            </w:pPr>
            <w:r>
              <w:rPr>
                <w:rFonts w:cs="Calibri"/>
                <w:sz w:val="16"/>
                <w:szCs w:val="16"/>
              </w:rPr>
              <w:t>Key Usage Qualifier</w:t>
            </w:r>
            <w:r>
              <w:rPr>
                <w:rFonts w:cs="Calibri"/>
                <w:sz w:val="16"/>
                <w:szCs w:val="16"/>
              </w:rPr>
              <w:br/>
              <w:t xml:space="preserve">   '5C' (1 secure channel base key) or</w:t>
            </w:r>
          </w:p>
          <w:p w14:paraId="25775A06" w14:textId="35208DB4" w:rsidR="00B97365" w:rsidRDefault="00000000">
            <w:pPr>
              <w:rPr>
                <w:rFonts w:cs="Calibri"/>
                <w:sz w:val="16"/>
                <w:szCs w:val="16"/>
              </w:rPr>
            </w:pPr>
            <w:r>
              <w:rPr>
                <w:rFonts w:cs="Calibri"/>
                <w:sz w:val="16"/>
                <w:szCs w:val="16"/>
              </w:rPr>
              <w:t xml:space="preserve">   '10' (3 secure channel keys)</w:t>
            </w:r>
            <w:r>
              <w:rPr>
                <w:rFonts w:cs="Calibri"/>
                <w:sz w:val="16"/>
                <w:szCs w:val="16"/>
              </w:rPr>
              <w:br/>
              <w:t xml:space="preserve">   (see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11-17)</w:t>
            </w:r>
          </w:p>
        </w:tc>
        <w:tc>
          <w:tcPr>
            <w:tcW w:w="398" w:type="pct"/>
            <w:tcBorders>
              <w:top w:val="single" w:sz="6" w:space="0" w:color="auto"/>
              <w:left w:val="single" w:sz="6" w:space="0" w:color="auto"/>
              <w:bottom w:val="single" w:sz="6" w:space="0" w:color="auto"/>
              <w:right w:val="single" w:sz="4" w:space="0" w:color="auto"/>
            </w:tcBorders>
            <w:hideMark/>
          </w:tcPr>
          <w:p w14:paraId="6EC56F05" w14:textId="77777777" w:rsidR="00B97365" w:rsidRDefault="00000000">
            <w:pPr>
              <w:jc w:val="center"/>
              <w:rPr>
                <w:rFonts w:cs="Calibri"/>
                <w:sz w:val="16"/>
                <w:szCs w:val="16"/>
              </w:rPr>
            </w:pPr>
            <w:r>
              <w:rPr>
                <w:rFonts w:cs="Calibri"/>
                <w:sz w:val="16"/>
                <w:szCs w:val="16"/>
              </w:rPr>
              <w:t>M</w:t>
            </w:r>
          </w:p>
        </w:tc>
      </w:tr>
      <w:tr w:rsidR="00B97365" w14:paraId="44353DE8" w14:textId="77777777">
        <w:trPr>
          <w:cantSplit/>
        </w:trPr>
        <w:tc>
          <w:tcPr>
            <w:tcW w:w="479" w:type="pct"/>
            <w:tcBorders>
              <w:top w:val="single" w:sz="6" w:space="0" w:color="auto"/>
              <w:left w:val="single" w:sz="4" w:space="0" w:color="auto"/>
              <w:bottom w:val="single" w:sz="6" w:space="0" w:color="auto"/>
              <w:right w:val="single" w:sz="6" w:space="0" w:color="auto"/>
            </w:tcBorders>
          </w:tcPr>
          <w:p w14:paraId="03C33854"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73549553"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0EF194CE"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64E65BDB"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745EC329" w14:textId="77777777" w:rsidR="00B97365" w:rsidRDefault="00000000">
            <w:pPr>
              <w:rPr>
                <w:rFonts w:cs="Calibri"/>
                <w:sz w:val="16"/>
                <w:szCs w:val="16"/>
              </w:rPr>
            </w:pPr>
            <w:r>
              <w:rPr>
                <w:rFonts w:cs="Calibri"/>
                <w:sz w:val="16"/>
                <w:szCs w:val="16"/>
              </w:rPr>
              <w:t>'96'</w:t>
            </w:r>
          </w:p>
        </w:tc>
        <w:tc>
          <w:tcPr>
            <w:tcW w:w="468" w:type="pct"/>
            <w:tcBorders>
              <w:top w:val="single" w:sz="6" w:space="0" w:color="auto"/>
              <w:left w:val="single" w:sz="6" w:space="0" w:color="auto"/>
              <w:bottom w:val="single" w:sz="6" w:space="0" w:color="auto"/>
              <w:right w:val="single" w:sz="6" w:space="0" w:color="auto"/>
            </w:tcBorders>
            <w:hideMark/>
          </w:tcPr>
          <w:p w14:paraId="7271FD98"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1A1A9A3F" w14:textId="52D864F1" w:rsidR="00B97365" w:rsidRDefault="00000000">
            <w:pPr>
              <w:rPr>
                <w:rFonts w:cs="Calibri"/>
                <w:sz w:val="16"/>
                <w:szCs w:val="16"/>
              </w:rPr>
            </w:pPr>
            <w:r>
              <w:rPr>
                <w:rFonts w:cs="Calibri"/>
                <w:sz w:val="16"/>
                <w:szCs w:val="16"/>
              </w:rPr>
              <w:t xml:space="preserve">Key Access according to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11-18</w:t>
            </w:r>
          </w:p>
        </w:tc>
        <w:tc>
          <w:tcPr>
            <w:tcW w:w="398" w:type="pct"/>
            <w:tcBorders>
              <w:top w:val="single" w:sz="6" w:space="0" w:color="auto"/>
              <w:left w:val="single" w:sz="6" w:space="0" w:color="auto"/>
              <w:bottom w:val="single" w:sz="6" w:space="0" w:color="auto"/>
              <w:right w:val="single" w:sz="4" w:space="0" w:color="auto"/>
            </w:tcBorders>
            <w:hideMark/>
          </w:tcPr>
          <w:p w14:paraId="099C1744" w14:textId="77777777" w:rsidR="00B97365" w:rsidRDefault="00000000">
            <w:pPr>
              <w:jc w:val="center"/>
              <w:rPr>
                <w:rFonts w:cs="Calibri"/>
                <w:sz w:val="16"/>
                <w:szCs w:val="16"/>
              </w:rPr>
            </w:pPr>
            <w:r>
              <w:rPr>
                <w:rFonts w:cs="Calibri"/>
                <w:sz w:val="16"/>
                <w:szCs w:val="16"/>
              </w:rPr>
              <w:t>O</w:t>
            </w:r>
          </w:p>
        </w:tc>
      </w:tr>
      <w:tr w:rsidR="00B97365" w14:paraId="0F82EA0F" w14:textId="77777777">
        <w:trPr>
          <w:cantSplit/>
        </w:trPr>
        <w:tc>
          <w:tcPr>
            <w:tcW w:w="479" w:type="pct"/>
            <w:tcBorders>
              <w:top w:val="single" w:sz="6" w:space="0" w:color="auto"/>
              <w:left w:val="single" w:sz="4" w:space="0" w:color="auto"/>
              <w:bottom w:val="single" w:sz="6" w:space="0" w:color="auto"/>
              <w:right w:val="single" w:sz="6" w:space="0" w:color="auto"/>
            </w:tcBorders>
          </w:tcPr>
          <w:p w14:paraId="4994BB95"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69ED15D9"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476C140D"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184A17FB"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6D86C92E" w14:textId="77777777" w:rsidR="00B97365" w:rsidRDefault="00000000">
            <w:pPr>
              <w:rPr>
                <w:rFonts w:cs="Calibri"/>
                <w:sz w:val="16"/>
                <w:szCs w:val="16"/>
              </w:rPr>
            </w:pPr>
            <w:r>
              <w:rPr>
                <w:rFonts w:cs="Calibri"/>
                <w:sz w:val="16"/>
                <w:szCs w:val="16"/>
              </w:rPr>
              <w:t>'80'</w:t>
            </w:r>
          </w:p>
        </w:tc>
        <w:tc>
          <w:tcPr>
            <w:tcW w:w="468" w:type="pct"/>
            <w:tcBorders>
              <w:top w:val="single" w:sz="6" w:space="0" w:color="auto"/>
              <w:left w:val="single" w:sz="6" w:space="0" w:color="auto"/>
              <w:bottom w:val="single" w:sz="6" w:space="0" w:color="auto"/>
              <w:right w:val="single" w:sz="6" w:space="0" w:color="auto"/>
            </w:tcBorders>
            <w:hideMark/>
          </w:tcPr>
          <w:p w14:paraId="66E0D11C"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59C3127C" w14:textId="2CFBEDF7" w:rsidR="00B97365" w:rsidRDefault="00000000">
            <w:pPr>
              <w:rPr>
                <w:rFonts w:cs="Calibri"/>
                <w:sz w:val="16"/>
                <w:szCs w:val="16"/>
              </w:rPr>
            </w:pPr>
            <w:r>
              <w:rPr>
                <w:rFonts w:cs="Calibri"/>
                <w:sz w:val="16"/>
                <w:szCs w:val="16"/>
              </w:rPr>
              <w:t xml:space="preserve">Key Type according to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11-16</w:t>
            </w:r>
          </w:p>
        </w:tc>
        <w:tc>
          <w:tcPr>
            <w:tcW w:w="398" w:type="pct"/>
            <w:tcBorders>
              <w:top w:val="single" w:sz="6" w:space="0" w:color="auto"/>
              <w:left w:val="single" w:sz="6" w:space="0" w:color="auto"/>
              <w:bottom w:val="single" w:sz="6" w:space="0" w:color="auto"/>
              <w:right w:val="single" w:sz="4" w:space="0" w:color="auto"/>
            </w:tcBorders>
            <w:hideMark/>
          </w:tcPr>
          <w:p w14:paraId="2BA90DCB" w14:textId="77777777" w:rsidR="00B97365" w:rsidRDefault="00000000">
            <w:pPr>
              <w:jc w:val="center"/>
              <w:rPr>
                <w:rFonts w:cs="Calibri"/>
                <w:sz w:val="16"/>
                <w:szCs w:val="16"/>
              </w:rPr>
            </w:pPr>
            <w:r>
              <w:rPr>
                <w:rFonts w:cs="Calibri"/>
                <w:sz w:val="16"/>
                <w:szCs w:val="16"/>
              </w:rPr>
              <w:t>M</w:t>
            </w:r>
          </w:p>
        </w:tc>
      </w:tr>
      <w:tr w:rsidR="00B97365" w14:paraId="6DEED9A7" w14:textId="77777777">
        <w:trPr>
          <w:cantSplit/>
        </w:trPr>
        <w:tc>
          <w:tcPr>
            <w:tcW w:w="479" w:type="pct"/>
            <w:tcBorders>
              <w:top w:val="single" w:sz="6" w:space="0" w:color="auto"/>
              <w:left w:val="single" w:sz="4" w:space="0" w:color="auto"/>
              <w:bottom w:val="single" w:sz="6" w:space="0" w:color="auto"/>
              <w:right w:val="single" w:sz="6" w:space="0" w:color="auto"/>
            </w:tcBorders>
          </w:tcPr>
          <w:p w14:paraId="2C59F59A"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122FD89C"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50958CF9"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144DFE0F"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0F183183" w14:textId="77777777" w:rsidR="00B97365" w:rsidRDefault="00000000">
            <w:pPr>
              <w:rPr>
                <w:rFonts w:cs="Calibri"/>
                <w:sz w:val="16"/>
                <w:szCs w:val="16"/>
              </w:rPr>
            </w:pPr>
            <w:r>
              <w:rPr>
                <w:rFonts w:cs="Calibri"/>
                <w:sz w:val="16"/>
                <w:szCs w:val="16"/>
              </w:rPr>
              <w:t>'81'</w:t>
            </w:r>
          </w:p>
        </w:tc>
        <w:tc>
          <w:tcPr>
            <w:tcW w:w="468" w:type="pct"/>
            <w:tcBorders>
              <w:top w:val="single" w:sz="6" w:space="0" w:color="auto"/>
              <w:left w:val="single" w:sz="6" w:space="0" w:color="auto"/>
              <w:bottom w:val="single" w:sz="6" w:space="0" w:color="auto"/>
              <w:right w:val="single" w:sz="6" w:space="0" w:color="auto"/>
            </w:tcBorders>
            <w:hideMark/>
          </w:tcPr>
          <w:p w14:paraId="2E301A93"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067844C9" w14:textId="77777777" w:rsidR="00B97365" w:rsidRDefault="00000000">
            <w:pPr>
              <w:rPr>
                <w:rFonts w:cs="Calibri"/>
                <w:sz w:val="16"/>
                <w:szCs w:val="16"/>
              </w:rPr>
            </w:pPr>
            <w:r>
              <w:rPr>
                <w:rFonts w:cs="Calibri"/>
                <w:sz w:val="16"/>
                <w:szCs w:val="16"/>
              </w:rPr>
              <w:t>Key Length (in bytes)</w:t>
            </w:r>
          </w:p>
        </w:tc>
        <w:tc>
          <w:tcPr>
            <w:tcW w:w="398" w:type="pct"/>
            <w:tcBorders>
              <w:top w:val="single" w:sz="6" w:space="0" w:color="auto"/>
              <w:left w:val="single" w:sz="6" w:space="0" w:color="auto"/>
              <w:bottom w:val="single" w:sz="6" w:space="0" w:color="auto"/>
              <w:right w:val="single" w:sz="4" w:space="0" w:color="auto"/>
            </w:tcBorders>
            <w:hideMark/>
          </w:tcPr>
          <w:p w14:paraId="4EF37C28" w14:textId="77777777" w:rsidR="00B97365" w:rsidRDefault="00000000">
            <w:pPr>
              <w:jc w:val="center"/>
              <w:rPr>
                <w:rFonts w:cs="Calibri"/>
                <w:sz w:val="16"/>
                <w:szCs w:val="16"/>
              </w:rPr>
            </w:pPr>
            <w:r>
              <w:rPr>
                <w:rFonts w:cs="Calibri"/>
                <w:sz w:val="16"/>
                <w:szCs w:val="16"/>
              </w:rPr>
              <w:t>M</w:t>
            </w:r>
          </w:p>
        </w:tc>
      </w:tr>
      <w:tr w:rsidR="00B97365" w14:paraId="19DCF6AE" w14:textId="77777777">
        <w:trPr>
          <w:cantSplit/>
        </w:trPr>
        <w:tc>
          <w:tcPr>
            <w:tcW w:w="479" w:type="pct"/>
            <w:tcBorders>
              <w:top w:val="single" w:sz="6" w:space="0" w:color="auto"/>
              <w:left w:val="single" w:sz="4" w:space="0" w:color="auto"/>
              <w:bottom w:val="single" w:sz="6" w:space="0" w:color="auto"/>
              <w:right w:val="single" w:sz="6" w:space="0" w:color="auto"/>
            </w:tcBorders>
          </w:tcPr>
          <w:p w14:paraId="7F20D4AC"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298BD82D"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74F0FC67"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5C0FF540"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6B407F93" w14:textId="77777777" w:rsidR="00B97365" w:rsidRDefault="00000000">
            <w:pPr>
              <w:rPr>
                <w:rFonts w:cs="Calibri"/>
                <w:sz w:val="16"/>
                <w:szCs w:val="16"/>
              </w:rPr>
            </w:pPr>
            <w:r>
              <w:rPr>
                <w:rFonts w:cs="Calibri"/>
                <w:sz w:val="16"/>
                <w:szCs w:val="16"/>
              </w:rPr>
              <w:t>'82'</w:t>
            </w:r>
          </w:p>
        </w:tc>
        <w:tc>
          <w:tcPr>
            <w:tcW w:w="468" w:type="pct"/>
            <w:tcBorders>
              <w:top w:val="single" w:sz="6" w:space="0" w:color="auto"/>
              <w:left w:val="single" w:sz="6" w:space="0" w:color="auto"/>
              <w:bottom w:val="single" w:sz="6" w:space="0" w:color="auto"/>
              <w:right w:val="single" w:sz="6" w:space="0" w:color="auto"/>
            </w:tcBorders>
            <w:hideMark/>
          </w:tcPr>
          <w:p w14:paraId="246B16C0"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3B549067" w14:textId="77777777" w:rsidR="00B97365" w:rsidRDefault="00000000">
            <w:pPr>
              <w:rPr>
                <w:rFonts w:cs="Calibri"/>
                <w:sz w:val="16"/>
                <w:szCs w:val="16"/>
              </w:rPr>
            </w:pPr>
            <w:r>
              <w:rPr>
                <w:rFonts w:cs="Calibri"/>
                <w:sz w:val="16"/>
                <w:szCs w:val="16"/>
              </w:rPr>
              <w:t>Key Identifier = '00' - '7F'</w:t>
            </w:r>
          </w:p>
        </w:tc>
        <w:tc>
          <w:tcPr>
            <w:tcW w:w="398" w:type="pct"/>
            <w:tcBorders>
              <w:top w:val="single" w:sz="6" w:space="0" w:color="auto"/>
              <w:left w:val="single" w:sz="6" w:space="0" w:color="auto"/>
              <w:bottom w:val="single" w:sz="6" w:space="0" w:color="auto"/>
              <w:right w:val="single" w:sz="4" w:space="0" w:color="auto"/>
            </w:tcBorders>
            <w:hideMark/>
          </w:tcPr>
          <w:p w14:paraId="3634924A" w14:textId="77777777" w:rsidR="00B97365" w:rsidRDefault="00000000">
            <w:pPr>
              <w:jc w:val="center"/>
              <w:rPr>
                <w:rFonts w:cs="Calibri"/>
                <w:sz w:val="16"/>
                <w:szCs w:val="16"/>
              </w:rPr>
            </w:pPr>
            <w:r>
              <w:rPr>
                <w:rFonts w:cs="Calibri"/>
                <w:sz w:val="16"/>
                <w:szCs w:val="16"/>
              </w:rPr>
              <w:t>M</w:t>
            </w:r>
          </w:p>
        </w:tc>
      </w:tr>
      <w:tr w:rsidR="00B97365" w14:paraId="753E3713" w14:textId="77777777">
        <w:trPr>
          <w:cantSplit/>
        </w:trPr>
        <w:tc>
          <w:tcPr>
            <w:tcW w:w="479" w:type="pct"/>
            <w:tcBorders>
              <w:top w:val="single" w:sz="6" w:space="0" w:color="auto"/>
              <w:left w:val="single" w:sz="4" w:space="0" w:color="auto"/>
              <w:bottom w:val="single" w:sz="6" w:space="0" w:color="auto"/>
              <w:right w:val="single" w:sz="6" w:space="0" w:color="auto"/>
            </w:tcBorders>
          </w:tcPr>
          <w:p w14:paraId="4CF023DD"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339CA708"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1BC0BE44"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4C5000CF"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343BD154" w14:textId="77777777" w:rsidR="00B97365" w:rsidRDefault="00000000">
            <w:pPr>
              <w:rPr>
                <w:rFonts w:cs="Calibri"/>
                <w:sz w:val="16"/>
                <w:szCs w:val="16"/>
              </w:rPr>
            </w:pPr>
            <w:r>
              <w:rPr>
                <w:rFonts w:cs="Calibri"/>
                <w:sz w:val="16"/>
                <w:szCs w:val="16"/>
              </w:rPr>
              <w:t>'83'</w:t>
            </w:r>
          </w:p>
        </w:tc>
        <w:tc>
          <w:tcPr>
            <w:tcW w:w="468" w:type="pct"/>
            <w:tcBorders>
              <w:top w:val="single" w:sz="6" w:space="0" w:color="auto"/>
              <w:left w:val="single" w:sz="6" w:space="0" w:color="auto"/>
              <w:bottom w:val="single" w:sz="6" w:space="0" w:color="auto"/>
              <w:right w:val="single" w:sz="6" w:space="0" w:color="auto"/>
            </w:tcBorders>
            <w:hideMark/>
          </w:tcPr>
          <w:p w14:paraId="75DA4BF8"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52A15BBC" w14:textId="77777777" w:rsidR="00B97365" w:rsidRDefault="00000000">
            <w:pPr>
              <w:rPr>
                <w:rFonts w:cs="Calibri"/>
                <w:sz w:val="16"/>
                <w:szCs w:val="16"/>
              </w:rPr>
            </w:pPr>
            <w:r>
              <w:rPr>
                <w:rFonts w:cs="Calibri"/>
                <w:sz w:val="16"/>
                <w:szCs w:val="16"/>
              </w:rPr>
              <w:t>Key Version Number = '01' - '7F'</w:t>
            </w:r>
          </w:p>
        </w:tc>
        <w:tc>
          <w:tcPr>
            <w:tcW w:w="398" w:type="pct"/>
            <w:tcBorders>
              <w:top w:val="single" w:sz="6" w:space="0" w:color="auto"/>
              <w:left w:val="single" w:sz="6" w:space="0" w:color="auto"/>
              <w:bottom w:val="single" w:sz="6" w:space="0" w:color="auto"/>
              <w:right w:val="single" w:sz="4" w:space="0" w:color="auto"/>
            </w:tcBorders>
            <w:hideMark/>
          </w:tcPr>
          <w:p w14:paraId="134911D8" w14:textId="77777777" w:rsidR="00B97365" w:rsidRDefault="00000000">
            <w:pPr>
              <w:jc w:val="center"/>
              <w:rPr>
                <w:rFonts w:cs="Calibri"/>
                <w:sz w:val="16"/>
                <w:szCs w:val="16"/>
              </w:rPr>
            </w:pPr>
            <w:r>
              <w:rPr>
                <w:rFonts w:cs="Calibri"/>
                <w:sz w:val="16"/>
                <w:szCs w:val="16"/>
              </w:rPr>
              <w:t>M</w:t>
            </w:r>
          </w:p>
        </w:tc>
      </w:tr>
      <w:tr w:rsidR="00B97365" w14:paraId="3FC65000" w14:textId="77777777">
        <w:trPr>
          <w:cantSplit/>
        </w:trPr>
        <w:tc>
          <w:tcPr>
            <w:tcW w:w="479" w:type="pct"/>
            <w:tcBorders>
              <w:top w:val="single" w:sz="6" w:space="0" w:color="auto"/>
              <w:left w:val="single" w:sz="4" w:space="0" w:color="auto"/>
              <w:bottom w:val="single" w:sz="6" w:space="0" w:color="auto"/>
              <w:right w:val="single" w:sz="6" w:space="0" w:color="auto"/>
            </w:tcBorders>
          </w:tcPr>
          <w:p w14:paraId="6ED3C92A"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4DD93470"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20BD80FC"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210A044A"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18533BF7" w14:textId="77777777" w:rsidR="00B97365" w:rsidRDefault="00000000">
            <w:pPr>
              <w:rPr>
                <w:rFonts w:cs="Calibri"/>
                <w:sz w:val="16"/>
                <w:szCs w:val="16"/>
              </w:rPr>
            </w:pPr>
            <w:r>
              <w:rPr>
                <w:rFonts w:cs="Calibri"/>
                <w:sz w:val="16"/>
                <w:szCs w:val="16"/>
              </w:rPr>
              <w:t>'91'</w:t>
            </w:r>
          </w:p>
        </w:tc>
        <w:tc>
          <w:tcPr>
            <w:tcW w:w="468" w:type="pct"/>
            <w:tcBorders>
              <w:top w:val="single" w:sz="6" w:space="0" w:color="auto"/>
              <w:left w:val="single" w:sz="6" w:space="0" w:color="auto"/>
              <w:bottom w:val="single" w:sz="6" w:space="0" w:color="auto"/>
              <w:right w:val="single" w:sz="6" w:space="0" w:color="auto"/>
            </w:tcBorders>
            <w:hideMark/>
          </w:tcPr>
          <w:p w14:paraId="4C30253B" w14:textId="77777777" w:rsidR="00B97365" w:rsidRDefault="00000000">
            <w:pPr>
              <w:rPr>
                <w:rFonts w:cs="Calibri"/>
                <w:sz w:val="16"/>
                <w:szCs w:val="16"/>
              </w:rPr>
            </w:pPr>
            <w:r>
              <w:rPr>
                <w:rFonts w:cs="Calibri"/>
                <w:sz w:val="16"/>
                <w:szCs w:val="16"/>
              </w:rPr>
              <w:t xml:space="preserve">'00', '02', </w:t>
            </w:r>
            <w:r>
              <w:rPr>
                <w:sz w:val="16"/>
                <w:szCs w:val="16"/>
              </w:rPr>
              <w:t xml:space="preserve">‘03’, </w:t>
            </w:r>
            <w:r>
              <w:rPr>
                <w:rFonts w:cs="Calibri"/>
                <w:sz w:val="16"/>
                <w:szCs w:val="16"/>
              </w:rPr>
              <w:t>'05' or '08'</w:t>
            </w:r>
          </w:p>
        </w:tc>
        <w:tc>
          <w:tcPr>
            <w:tcW w:w="1963" w:type="pct"/>
            <w:tcBorders>
              <w:top w:val="single" w:sz="6" w:space="0" w:color="auto"/>
              <w:left w:val="single" w:sz="6" w:space="0" w:color="auto"/>
              <w:bottom w:val="single" w:sz="6" w:space="0" w:color="auto"/>
              <w:right w:val="single" w:sz="6" w:space="0" w:color="auto"/>
            </w:tcBorders>
            <w:hideMark/>
          </w:tcPr>
          <w:p w14:paraId="6E11329B" w14:textId="77777777" w:rsidR="00B97365" w:rsidRDefault="00000000">
            <w:pPr>
              <w:rPr>
                <w:rFonts w:cs="Calibri"/>
                <w:sz w:val="16"/>
                <w:szCs w:val="16"/>
              </w:rPr>
            </w:pPr>
            <w:r>
              <w:rPr>
                <w:rFonts w:cs="Calibri"/>
                <w:sz w:val="16"/>
                <w:szCs w:val="16"/>
              </w:rPr>
              <w:t>Initial value of sequence counter</w:t>
            </w:r>
          </w:p>
        </w:tc>
        <w:tc>
          <w:tcPr>
            <w:tcW w:w="398" w:type="pct"/>
            <w:tcBorders>
              <w:top w:val="single" w:sz="6" w:space="0" w:color="auto"/>
              <w:left w:val="single" w:sz="6" w:space="0" w:color="auto"/>
              <w:bottom w:val="single" w:sz="6" w:space="0" w:color="auto"/>
              <w:right w:val="single" w:sz="4" w:space="0" w:color="auto"/>
            </w:tcBorders>
            <w:hideMark/>
          </w:tcPr>
          <w:p w14:paraId="24CF4CE9" w14:textId="77777777" w:rsidR="00B97365" w:rsidRDefault="00000000">
            <w:pPr>
              <w:jc w:val="center"/>
              <w:rPr>
                <w:rFonts w:cs="Calibri"/>
                <w:sz w:val="16"/>
                <w:szCs w:val="16"/>
              </w:rPr>
            </w:pPr>
            <w:r>
              <w:rPr>
                <w:rFonts w:cs="Calibri"/>
                <w:sz w:val="16"/>
                <w:szCs w:val="16"/>
              </w:rPr>
              <w:t>M</w:t>
            </w:r>
          </w:p>
        </w:tc>
      </w:tr>
      <w:tr w:rsidR="00B97365" w14:paraId="5B979EEA" w14:textId="77777777">
        <w:trPr>
          <w:cantSplit/>
        </w:trPr>
        <w:tc>
          <w:tcPr>
            <w:tcW w:w="479" w:type="pct"/>
            <w:tcBorders>
              <w:top w:val="single" w:sz="6" w:space="0" w:color="auto"/>
              <w:left w:val="single" w:sz="4" w:space="0" w:color="auto"/>
              <w:bottom w:val="single" w:sz="6" w:space="0" w:color="auto"/>
              <w:right w:val="single" w:sz="6" w:space="0" w:color="auto"/>
            </w:tcBorders>
          </w:tcPr>
          <w:p w14:paraId="35F7E32C"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01D2DA4B"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110D116B"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3D61E2C2"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6F44EF63" w14:textId="77777777" w:rsidR="00B97365" w:rsidRDefault="00000000">
            <w:pPr>
              <w:rPr>
                <w:rFonts w:cs="Calibri"/>
                <w:sz w:val="16"/>
                <w:szCs w:val="16"/>
              </w:rPr>
            </w:pPr>
            <w:r>
              <w:rPr>
                <w:rFonts w:cs="Calibri"/>
                <w:sz w:val="16"/>
                <w:szCs w:val="16"/>
              </w:rPr>
              <w:t>'45'</w:t>
            </w:r>
          </w:p>
        </w:tc>
        <w:tc>
          <w:tcPr>
            <w:tcW w:w="468" w:type="pct"/>
            <w:tcBorders>
              <w:top w:val="single" w:sz="6" w:space="0" w:color="auto"/>
              <w:left w:val="single" w:sz="6" w:space="0" w:color="auto"/>
              <w:bottom w:val="single" w:sz="6" w:space="0" w:color="auto"/>
              <w:right w:val="single" w:sz="6" w:space="0" w:color="auto"/>
            </w:tcBorders>
            <w:hideMark/>
          </w:tcPr>
          <w:p w14:paraId="42A08AAC" w14:textId="77777777" w:rsidR="00B97365" w:rsidRDefault="00000000">
            <w:pPr>
              <w:rPr>
                <w:rFonts w:cs="Calibri"/>
                <w:sz w:val="16"/>
                <w:szCs w:val="16"/>
              </w:rPr>
            </w:pPr>
            <w:r>
              <w:rPr>
                <w:rFonts w:cs="Calibri"/>
                <w:sz w:val="16"/>
                <w:szCs w:val="16"/>
              </w:rPr>
              <w:t>1-n</w:t>
            </w:r>
          </w:p>
        </w:tc>
        <w:tc>
          <w:tcPr>
            <w:tcW w:w="1963" w:type="pct"/>
            <w:tcBorders>
              <w:top w:val="single" w:sz="6" w:space="0" w:color="auto"/>
              <w:left w:val="single" w:sz="6" w:space="0" w:color="auto"/>
              <w:bottom w:val="single" w:sz="6" w:space="0" w:color="auto"/>
              <w:right w:val="single" w:sz="6" w:space="0" w:color="auto"/>
            </w:tcBorders>
            <w:hideMark/>
          </w:tcPr>
          <w:p w14:paraId="23F4BCEE" w14:textId="77777777" w:rsidR="00B97365" w:rsidRDefault="00000000">
            <w:pPr>
              <w:rPr>
                <w:rFonts w:cs="Calibri"/>
                <w:sz w:val="16"/>
                <w:szCs w:val="16"/>
              </w:rPr>
            </w:pPr>
            <w:r>
              <w:rPr>
                <w:rFonts w:cs="Calibri"/>
                <w:sz w:val="16"/>
                <w:szCs w:val="16"/>
              </w:rPr>
              <w:t>Security Domain Image Number (SDIN)</w:t>
            </w:r>
          </w:p>
        </w:tc>
        <w:tc>
          <w:tcPr>
            <w:tcW w:w="398" w:type="pct"/>
            <w:tcBorders>
              <w:top w:val="single" w:sz="6" w:space="0" w:color="auto"/>
              <w:left w:val="single" w:sz="6" w:space="0" w:color="auto"/>
              <w:bottom w:val="single" w:sz="6" w:space="0" w:color="auto"/>
              <w:right w:val="single" w:sz="4" w:space="0" w:color="auto"/>
            </w:tcBorders>
            <w:hideMark/>
          </w:tcPr>
          <w:p w14:paraId="7F00C522" w14:textId="77777777" w:rsidR="00B97365" w:rsidRDefault="00000000">
            <w:pPr>
              <w:jc w:val="center"/>
              <w:rPr>
                <w:rFonts w:cs="Calibri"/>
                <w:sz w:val="16"/>
                <w:szCs w:val="16"/>
              </w:rPr>
            </w:pPr>
            <w:r>
              <w:rPr>
                <w:rFonts w:cs="Calibri"/>
                <w:sz w:val="16"/>
                <w:szCs w:val="16"/>
              </w:rPr>
              <w:t>O</w:t>
            </w:r>
          </w:p>
        </w:tc>
      </w:tr>
      <w:tr w:rsidR="00B97365" w14:paraId="39E3E94D" w14:textId="77777777">
        <w:trPr>
          <w:cantSplit/>
        </w:trPr>
        <w:tc>
          <w:tcPr>
            <w:tcW w:w="479" w:type="pct"/>
            <w:tcBorders>
              <w:top w:val="single" w:sz="6" w:space="0" w:color="auto"/>
              <w:left w:val="single" w:sz="4" w:space="0" w:color="auto"/>
              <w:bottom w:val="single" w:sz="6" w:space="0" w:color="auto"/>
              <w:right w:val="single" w:sz="6" w:space="0" w:color="auto"/>
            </w:tcBorders>
          </w:tcPr>
          <w:p w14:paraId="62B850B2"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53FCA6C3"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1E966879"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0B32B770"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33B3F01F" w14:textId="77777777" w:rsidR="00B97365" w:rsidRDefault="00000000">
            <w:pPr>
              <w:rPr>
                <w:rFonts w:cs="Calibri"/>
                <w:sz w:val="16"/>
                <w:szCs w:val="16"/>
              </w:rPr>
            </w:pPr>
            <w:r>
              <w:rPr>
                <w:rFonts w:cs="Calibri"/>
                <w:sz w:val="16"/>
                <w:szCs w:val="16"/>
              </w:rPr>
              <w:t>'84'</w:t>
            </w:r>
          </w:p>
        </w:tc>
        <w:tc>
          <w:tcPr>
            <w:tcW w:w="468" w:type="pct"/>
            <w:tcBorders>
              <w:top w:val="single" w:sz="6" w:space="0" w:color="auto"/>
              <w:left w:val="single" w:sz="6" w:space="0" w:color="auto"/>
              <w:bottom w:val="single" w:sz="6" w:space="0" w:color="auto"/>
              <w:right w:val="single" w:sz="6" w:space="0" w:color="auto"/>
            </w:tcBorders>
            <w:hideMark/>
          </w:tcPr>
          <w:p w14:paraId="190FA417" w14:textId="77777777" w:rsidR="00B97365" w:rsidRDefault="00000000">
            <w:pPr>
              <w:rPr>
                <w:rFonts w:cs="Calibri"/>
                <w:sz w:val="16"/>
                <w:szCs w:val="16"/>
              </w:rPr>
            </w:pPr>
            <w:r>
              <w:rPr>
                <w:rFonts w:cs="Calibri"/>
                <w:sz w:val="16"/>
                <w:szCs w:val="16"/>
              </w:rPr>
              <w:t>1-n</w:t>
            </w:r>
          </w:p>
        </w:tc>
        <w:tc>
          <w:tcPr>
            <w:tcW w:w="1963" w:type="pct"/>
            <w:tcBorders>
              <w:top w:val="single" w:sz="6" w:space="0" w:color="auto"/>
              <w:left w:val="single" w:sz="6" w:space="0" w:color="auto"/>
              <w:bottom w:val="single" w:sz="6" w:space="0" w:color="auto"/>
              <w:right w:val="single" w:sz="6" w:space="0" w:color="auto"/>
            </w:tcBorders>
            <w:hideMark/>
          </w:tcPr>
          <w:p w14:paraId="0816BD22" w14:textId="77777777" w:rsidR="00B97365" w:rsidRDefault="00000000">
            <w:pPr>
              <w:rPr>
                <w:rFonts w:cs="Calibri"/>
                <w:sz w:val="16"/>
                <w:szCs w:val="16"/>
              </w:rPr>
            </w:pPr>
            <w:r>
              <w:rPr>
                <w:rFonts w:cs="Calibri"/>
                <w:sz w:val="16"/>
                <w:szCs w:val="16"/>
              </w:rPr>
              <w:t>HostID (SHALL only be present if scenario parameter b3 is set)</w:t>
            </w:r>
          </w:p>
        </w:tc>
        <w:tc>
          <w:tcPr>
            <w:tcW w:w="398" w:type="pct"/>
            <w:tcBorders>
              <w:top w:val="single" w:sz="6" w:space="0" w:color="auto"/>
              <w:left w:val="single" w:sz="6" w:space="0" w:color="auto"/>
              <w:bottom w:val="single" w:sz="6" w:space="0" w:color="auto"/>
              <w:right w:val="single" w:sz="4" w:space="0" w:color="auto"/>
            </w:tcBorders>
            <w:hideMark/>
          </w:tcPr>
          <w:p w14:paraId="6B626C5C" w14:textId="77777777" w:rsidR="00B97365" w:rsidRDefault="00000000">
            <w:pPr>
              <w:jc w:val="center"/>
              <w:rPr>
                <w:rFonts w:cs="Calibri"/>
                <w:sz w:val="16"/>
                <w:szCs w:val="16"/>
              </w:rPr>
            </w:pPr>
            <w:r>
              <w:rPr>
                <w:rFonts w:cs="Calibri"/>
                <w:sz w:val="16"/>
                <w:szCs w:val="16"/>
              </w:rPr>
              <w:t>C</w:t>
            </w:r>
          </w:p>
        </w:tc>
      </w:tr>
      <w:tr w:rsidR="00B97365" w14:paraId="117D0DE6" w14:textId="77777777">
        <w:trPr>
          <w:cantSplit/>
        </w:trPr>
        <w:tc>
          <w:tcPr>
            <w:tcW w:w="479" w:type="pct"/>
            <w:tcBorders>
              <w:top w:val="single" w:sz="6" w:space="0" w:color="auto"/>
              <w:left w:val="single" w:sz="4" w:space="0" w:color="auto"/>
              <w:bottom w:val="single" w:sz="6" w:space="0" w:color="auto"/>
              <w:right w:val="single" w:sz="6" w:space="0" w:color="auto"/>
            </w:tcBorders>
          </w:tcPr>
          <w:p w14:paraId="777A0DC1"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206E9CB3"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4E7E54F8"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5F8E950B"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tcPr>
          <w:p w14:paraId="7BF8B6DC" w14:textId="77777777" w:rsidR="00B97365" w:rsidRDefault="00B97365">
            <w:pPr>
              <w:rPr>
                <w:rFonts w:cs="Calibri"/>
                <w:sz w:val="16"/>
                <w:szCs w:val="16"/>
              </w:rPr>
            </w:pPr>
          </w:p>
        </w:tc>
        <w:tc>
          <w:tcPr>
            <w:tcW w:w="468" w:type="pct"/>
            <w:tcBorders>
              <w:top w:val="single" w:sz="6" w:space="0" w:color="auto"/>
              <w:left w:val="single" w:sz="6" w:space="0" w:color="auto"/>
              <w:bottom w:val="single" w:sz="6" w:space="0" w:color="auto"/>
              <w:right w:val="single" w:sz="6" w:space="0" w:color="auto"/>
            </w:tcBorders>
          </w:tcPr>
          <w:p w14:paraId="0F8C1D65" w14:textId="77777777" w:rsidR="00B97365" w:rsidRDefault="00B97365">
            <w:pPr>
              <w:rPr>
                <w:rFonts w:cs="Calibri"/>
                <w:sz w:val="16"/>
                <w:szCs w:val="16"/>
              </w:rPr>
            </w:pPr>
          </w:p>
        </w:tc>
        <w:tc>
          <w:tcPr>
            <w:tcW w:w="1963" w:type="pct"/>
            <w:tcBorders>
              <w:top w:val="single" w:sz="6" w:space="0" w:color="auto"/>
              <w:left w:val="single" w:sz="6" w:space="0" w:color="auto"/>
              <w:bottom w:val="single" w:sz="6" w:space="0" w:color="auto"/>
              <w:right w:val="single" w:sz="6" w:space="0" w:color="auto"/>
            </w:tcBorders>
          </w:tcPr>
          <w:p w14:paraId="0D506EC1" w14:textId="77777777" w:rsidR="00B97365" w:rsidRDefault="00B97365">
            <w:pPr>
              <w:rPr>
                <w:rFonts w:cs="Calibri"/>
                <w:sz w:val="16"/>
                <w:szCs w:val="16"/>
              </w:rPr>
            </w:pPr>
          </w:p>
        </w:tc>
        <w:tc>
          <w:tcPr>
            <w:tcW w:w="398" w:type="pct"/>
            <w:tcBorders>
              <w:top w:val="single" w:sz="6" w:space="0" w:color="auto"/>
              <w:left w:val="single" w:sz="6" w:space="0" w:color="auto"/>
              <w:bottom w:val="single" w:sz="6" w:space="0" w:color="auto"/>
              <w:right w:val="single" w:sz="4" w:space="0" w:color="auto"/>
            </w:tcBorders>
          </w:tcPr>
          <w:p w14:paraId="61B5AB64" w14:textId="77777777" w:rsidR="00B97365" w:rsidRDefault="00B97365">
            <w:pPr>
              <w:jc w:val="center"/>
              <w:rPr>
                <w:rFonts w:cs="Calibri"/>
                <w:sz w:val="16"/>
                <w:szCs w:val="16"/>
              </w:rPr>
            </w:pPr>
          </w:p>
        </w:tc>
      </w:tr>
      <w:tr w:rsidR="00B97365" w14:paraId="3422C0F1" w14:textId="77777777">
        <w:trPr>
          <w:cantSplit/>
        </w:trPr>
        <w:tc>
          <w:tcPr>
            <w:tcW w:w="479" w:type="pct"/>
            <w:tcBorders>
              <w:top w:val="single" w:sz="6" w:space="0" w:color="auto"/>
              <w:left w:val="single" w:sz="4" w:space="0" w:color="auto"/>
              <w:bottom w:val="single" w:sz="6" w:space="0" w:color="auto"/>
              <w:right w:val="single" w:sz="6" w:space="0" w:color="auto"/>
            </w:tcBorders>
            <w:hideMark/>
          </w:tcPr>
          <w:p w14:paraId="058AD99F" w14:textId="77777777" w:rsidR="00B97365" w:rsidRDefault="00000000">
            <w:pPr>
              <w:rPr>
                <w:rFonts w:cs="Calibri"/>
                <w:sz w:val="16"/>
                <w:szCs w:val="16"/>
              </w:rPr>
            </w:pPr>
            <w:r>
              <w:rPr>
                <w:rFonts w:cs="Calibri"/>
                <w:sz w:val="16"/>
                <w:szCs w:val="16"/>
              </w:rPr>
              <w:t>'7F49'</w:t>
            </w:r>
          </w:p>
        </w:tc>
        <w:tc>
          <w:tcPr>
            <w:tcW w:w="519" w:type="pct"/>
            <w:tcBorders>
              <w:top w:val="single" w:sz="6" w:space="0" w:color="auto"/>
              <w:left w:val="single" w:sz="6" w:space="0" w:color="auto"/>
              <w:bottom w:val="single" w:sz="6" w:space="0" w:color="auto"/>
              <w:right w:val="single" w:sz="6" w:space="0" w:color="auto"/>
            </w:tcBorders>
            <w:hideMark/>
          </w:tcPr>
          <w:p w14:paraId="3ACB4A8E" w14:textId="77777777" w:rsidR="00B97365" w:rsidRDefault="00000000">
            <w:pPr>
              <w:rPr>
                <w:rFonts w:cs="Calibri"/>
                <w:sz w:val="16"/>
                <w:szCs w:val="16"/>
              </w:rPr>
            </w:pPr>
            <w:r>
              <w:rPr>
                <w:rFonts w:cs="Calibri"/>
                <w:sz w:val="16"/>
                <w:szCs w:val="16"/>
              </w:rPr>
              <w:t>Var</w:t>
            </w:r>
          </w:p>
        </w:tc>
        <w:tc>
          <w:tcPr>
            <w:tcW w:w="3604" w:type="pct"/>
            <w:gridSpan w:val="5"/>
            <w:tcBorders>
              <w:top w:val="single" w:sz="6" w:space="0" w:color="auto"/>
              <w:left w:val="single" w:sz="6" w:space="0" w:color="auto"/>
              <w:bottom w:val="single" w:sz="6" w:space="0" w:color="auto"/>
              <w:right w:val="single" w:sz="6" w:space="0" w:color="auto"/>
            </w:tcBorders>
            <w:hideMark/>
          </w:tcPr>
          <w:p w14:paraId="23F8005B" w14:textId="77777777" w:rsidR="00B97365" w:rsidRDefault="00000000">
            <w:pPr>
              <w:rPr>
                <w:rFonts w:cs="Calibri"/>
                <w:sz w:val="16"/>
                <w:szCs w:val="16"/>
              </w:rPr>
            </w:pPr>
            <w:r>
              <w:rPr>
                <w:rFonts w:cs="Calibri"/>
                <w:sz w:val="16"/>
                <w:szCs w:val="16"/>
              </w:rPr>
              <w:t>ePK.SR.ECKA</w:t>
            </w:r>
          </w:p>
        </w:tc>
        <w:tc>
          <w:tcPr>
            <w:tcW w:w="398" w:type="pct"/>
            <w:tcBorders>
              <w:top w:val="single" w:sz="6" w:space="0" w:color="auto"/>
              <w:left w:val="single" w:sz="6" w:space="0" w:color="auto"/>
              <w:bottom w:val="single" w:sz="6" w:space="0" w:color="auto"/>
              <w:right w:val="single" w:sz="4" w:space="0" w:color="auto"/>
            </w:tcBorders>
            <w:hideMark/>
          </w:tcPr>
          <w:p w14:paraId="7C326392" w14:textId="77777777" w:rsidR="00B97365" w:rsidRDefault="00000000">
            <w:pPr>
              <w:jc w:val="center"/>
              <w:rPr>
                <w:rFonts w:cs="Calibri"/>
                <w:sz w:val="16"/>
                <w:szCs w:val="16"/>
              </w:rPr>
            </w:pPr>
            <w:r>
              <w:rPr>
                <w:rFonts w:cs="Calibri"/>
                <w:sz w:val="16"/>
                <w:szCs w:val="16"/>
              </w:rPr>
              <w:t>M</w:t>
            </w:r>
          </w:p>
        </w:tc>
      </w:tr>
      <w:tr w:rsidR="00B97365" w14:paraId="7C54667F" w14:textId="77777777">
        <w:trPr>
          <w:cantSplit/>
        </w:trPr>
        <w:tc>
          <w:tcPr>
            <w:tcW w:w="479" w:type="pct"/>
            <w:tcBorders>
              <w:top w:val="single" w:sz="6" w:space="0" w:color="auto"/>
              <w:left w:val="single" w:sz="4" w:space="0" w:color="auto"/>
              <w:bottom w:val="single" w:sz="4" w:space="0" w:color="auto"/>
              <w:right w:val="single" w:sz="6" w:space="0" w:color="auto"/>
            </w:tcBorders>
            <w:hideMark/>
          </w:tcPr>
          <w:p w14:paraId="34509C6B" w14:textId="77777777" w:rsidR="00B97365" w:rsidRDefault="00000000">
            <w:pPr>
              <w:rPr>
                <w:rFonts w:cs="Calibri"/>
                <w:sz w:val="16"/>
                <w:szCs w:val="16"/>
              </w:rPr>
            </w:pPr>
            <w:r>
              <w:rPr>
                <w:rFonts w:cs="Calibri"/>
                <w:sz w:val="16"/>
                <w:szCs w:val="16"/>
              </w:rPr>
              <w:t>'5F37'</w:t>
            </w:r>
          </w:p>
        </w:tc>
        <w:tc>
          <w:tcPr>
            <w:tcW w:w="519" w:type="pct"/>
            <w:tcBorders>
              <w:top w:val="single" w:sz="6" w:space="0" w:color="auto"/>
              <w:left w:val="single" w:sz="6" w:space="0" w:color="auto"/>
              <w:bottom w:val="single" w:sz="4" w:space="0" w:color="auto"/>
              <w:right w:val="single" w:sz="6" w:space="0" w:color="auto"/>
            </w:tcBorders>
            <w:hideMark/>
          </w:tcPr>
          <w:p w14:paraId="138D778F" w14:textId="77777777" w:rsidR="00B97365" w:rsidRDefault="00000000">
            <w:pPr>
              <w:rPr>
                <w:rFonts w:cs="Calibri"/>
                <w:sz w:val="16"/>
                <w:szCs w:val="16"/>
              </w:rPr>
            </w:pPr>
            <w:r>
              <w:rPr>
                <w:rFonts w:cs="Calibri"/>
                <w:sz w:val="16"/>
                <w:szCs w:val="16"/>
              </w:rPr>
              <w:t>Var.</w:t>
            </w:r>
          </w:p>
        </w:tc>
        <w:tc>
          <w:tcPr>
            <w:tcW w:w="3604" w:type="pct"/>
            <w:gridSpan w:val="5"/>
            <w:tcBorders>
              <w:top w:val="single" w:sz="6" w:space="0" w:color="auto"/>
              <w:left w:val="single" w:sz="6" w:space="0" w:color="auto"/>
              <w:bottom w:val="single" w:sz="4" w:space="0" w:color="auto"/>
              <w:right w:val="single" w:sz="6" w:space="0" w:color="auto"/>
            </w:tcBorders>
            <w:hideMark/>
          </w:tcPr>
          <w:p w14:paraId="353075C0" w14:textId="77777777" w:rsidR="00B97365" w:rsidRDefault="00000000">
            <w:pPr>
              <w:rPr>
                <w:rFonts w:cs="Calibri"/>
                <w:sz w:val="16"/>
                <w:szCs w:val="16"/>
              </w:rPr>
            </w:pPr>
            <w:r>
              <w:rPr>
                <w:rFonts w:cs="Calibri"/>
                <w:sz w:val="16"/>
                <w:szCs w:val="16"/>
              </w:rPr>
              <w:t>Signature</w:t>
            </w:r>
          </w:p>
        </w:tc>
        <w:tc>
          <w:tcPr>
            <w:tcW w:w="398" w:type="pct"/>
            <w:tcBorders>
              <w:top w:val="single" w:sz="6" w:space="0" w:color="auto"/>
              <w:left w:val="single" w:sz="6" w:space="0" w:color="auto"/>
              <w:bottom w:val="single" w:sz="4" w:space="0" w:color="auto"/>
              <w:right w:val="single" w:sz="4" w:space="0" w:color="auto"/>
            </w:tcBorders>
            <w:hideMark/>
          </w:tcPr>
          <w:p w14:paraId="1F22278F" w14:textId="77777777" w:rsidR="00B97365" w:rsidRDefault="00000000">
            <w:pPr>
              <w:jc w:val="center"/>
              <w:rPr>
                <w:rFonts w:cs="Calibri"/>
                <w:sz w:val="16"/>
                <w:szCs w:val="16"/>
              </w:rPr>
            </w:pPr>
            <w:r>
              <w:rPr>
                <w:rFonts w:cs="Calibri"/>
                <w:sz w:val="16"/>
                <w:szCs w:val="16"/>
              </w:rPr>
              <w:t>M</w:t>
            </w:r>
          </w:p>
        </w:tc>
      </w:tr>
    </w:tbl>
    <w:p w14:paraId="4CED1643" w14:textId="77777777" w:rsidR="00B97365" w:rsidRDefault="00000000">
      <w:pPr>
        <w:numPr>
          <w:ilvl w:val="0"/>
          <w:numId w:val="14"/>
        </w:numPr>
        <w:tabs>
          <w:tab w:val="left" w:pos="1009"/>
        </w:tabs>
        <w:spacing w:after="200" w:line="276" w:lineRule="auto"/>
        <w:jc w:val="center"/>
        <w:rPr>
          <w:rFonts w:cs="Arial"/>
          <w:lang w:eastAsia="de-DE" w:bidi="ar-SA"/>
        </w:rPr>
      </w:pPr>
      <w:bookmarkStart w:id="2433" w:name="_Ref479348633"/>
      <w:r>
        <w:rPr>
          <w:rFonts w:cs="Arial"/>
          <w:b/>
          <w:lang w:eastAsia="de-DE" w:bidi="ar-SA"/>
        </w:rPr>
        <w:t>:  Data Field for Key Establishment</w:t>
      </w:r>
      <w:bookmarkEnd w:id="2433"/>
    </w:p>
    <w:p w14:paraId="3E7BF98F" w14:textId="77777777" w:rsidR="00B97365" w:rsidRDefault="00B97365">
      <w:pPr>
        <w:spacing w:before="0" w:after="200" w:line="276" w:lineRule="auto"/>
        <w:jc w:val="left"/>
        <w:rPr>
          <w:rFonts w:cs="Arial"/>
          <w:szCs w:val="22"/>
          <w:lang w:val="en-US" w:eastAsia="en-GB" w:bidi="ar-SA"/>
        </w:rPr>
      </w:pPr>
    </w:p>
    <w:tbl>
      <w:tblPr>
        <w:tblpPr w:leftFromText="180" w:rightFromText="180" w:vertAnchor="text" w:horzAnchor="margin" w:tblpY="9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52"/>
        <w:gridCol w:w="851"/>
        <w:gridCol w:w="851"/>
        <w:gridCol w:w="850"/>
        <w:gridCol w:w="709"/>
        <w:gridCol w:w="709"/>
        <w:gridCol w:w="709"/>
        <w:gridCol w:w="3227"/>
      </w:tblGrid>
      <w:tr w:rsidR="00B97365" w14:paraId="516F7687" w14:textId="77777777">
        <w:trPr>
          <w:trHeight w:val="141"/>
          <w:tblHeader/>
        </w:trPr>
        <w:tc>
          <w:tcPr>
            <w:tcW w:w="710" w:type="dxa"/>
            <w:tcBorders>
              <w:top w:val="single" w:sz="4" w:space="0" w:color="auto"/>
              <w:left w:val="single" w:sz="4" w:space="0" w:color="auto"/>
              <w:bottom w:val="single" w:sz="4" w:space="0" w:color="auto"/>
              <w:right w:val="single" w:sz="4" w:space="0" w:color="auto"/>
            </w:tcBorders>
            <w:shd w:val="clear" w:color="auto" w:fill="C00000"/>
            <w:hideMark/>
          </w:tcPr>
          <w:p w14:paraId="3521A809"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b8</w:t>
            </w:r>
          </w:p>
        </w:tc>
        <w:tc>
          <w:tcPr>
            <w:tcW w:w="852" w:type="dxa"/>
            <w:tcBorders>
              <w:top w:val="single" w:sz="4" w:space="0" w:color="auto"/>
              <w:left w:val="single" w:sz="4" w:space="0" w:color="auto"/>
              <w:bottom w:val="single" w:sz="4" w:space="0" w:color="auto"/>
              <w:right w:val="single" w:sz="4" w:space="0" w:color="auto"/>
            </w:tcBorders>
            <w:shd w:val="clear" w:color="auto" w:fill="C00000"/>
            <w:hideMark/>
          </w:tcPr>
          <w:p w14:paraId="673826E0"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 xml:space="preserve">b7 </w:t>
            </w:r>
          </w:p>
        </w:tc>
        <w:tc>
          <w:tcPr>
            <w:tcW w:w="851" w:type="dxa"/>
            <w:tcBorders>
              <w:top w:val="single" w:sz="4" w:space="0" w:color="auto"/>
              <w:left w:val="single" w:sz="4" w:space="0" w:color="auto"/>
              <w:bottom w:val="single" w:sz="4" w:space="0" w:color="auto"/>
              <w:right w:val="single" w:sz="4" w:space="0" w:color="auto"/>
            </w:tcBorders>
            <w:shd w:val="clear" w:color="auto" w:fill="C00000"/>
            <w:hideMark/>
          </w:tcPr>
          <w:p w14:paraId="703855C2"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 xml:space="preserve">b6 </w:t>
            </w:r>
          </w:p>
        </w:tc>
        <w:tc>
          <w:tcPr>
            <w:tcW w:w="851" w:type="dxa"/>
            <w:tcBorders>
              <w:top w:val="single" w:sz="4" w:space="0" w:color="auto"/>
              <w:left w:val="single" w:sz="4" w:space="0" w:color="auto"/>
              <w:bottom w:val="single" w:sz="4" w:space="0" w:color="auto"/>
              <w:right w:val="single" w:sz="4" w:space="0" w:color="auto"/>
            </w:tcBorders>
            <w:shd w:val="clear" w:color="auto" w:fill="C00000"/>
            <w:hideMark/>
          </w:tcPr>
          <w:p w14:paraId="3C3EF361"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 xml:space="preserve">b5 </w:t>
            </w:r>
          </w:p>
        </w:tc>
        <w:tc>
          <w:tcPr>
            <w:tcW w:w="850" w:type="dxa"/>
            <w:tcBorders>
              <w:top w:val="single" w:sz="4" w:space="0" w:color="auto"/>
              <w:left w:val="single" w:sz="4" w:space="0" w:color="auto"/>
              <w:bottom w:val="single" w:sz="4" w:space="0" w:color="auto"/>
              <w:right w:val="single" w:sz="4" w:space="0" w:color="auto"/>
            </w:tcBorders>
            <w:shd w:val="clear" w:color="auto" w:fill="C00000"/>
            <w:hideMark/>
          </w:tcPr>
          <w:p w14:paraId="560BAC79"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b4</w:t>
            </w:r>
          </w:p>
        </w:tc>
        <w:tc>
          <w:tcPr>
            <w:tcW w:w="709" w:type="dxa"/>
            <w:tcBorders>
              <w:top w:val="single" w:sz="4" w:space="0" w:color="auto"/>
              <w:left w:val="single" w:sz="4" w:space="0" w:color="auto"/>
              <w:bottom w:val="single" w:sz="4" w:space="0" w:color="auto"/>
              <w:right w:val="single" w:sz="4" w:space="0" w:color="auto"/>
            </w:tcBorders>
            <w:shd w:val="clear" w:color="auto" w:fill="C00000"/>
            <w:hideMark/>
          </w:tcPr>
          <w:p w14:paraId="18E48ECD"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 xml:space="preserve">b3 </w:t>
            </w:r>
          </w:p>
        </w:tc>
        <w:tc>
          <w:tcPr>
            <w:tcW w:w="709" w:type="dxa"/>
            <w:tcBorders>
              <w:top w:val="single" w:sz="4" w:space="0" w:color="auto"/>
              <w:left w:val="single" w:sz="4" w:space="0" w:color="auto"/>
              <w:bottom w:val="single" w:sz="4" w:space="0" w:color="auto"/>
              <w:right w:val="single" w:sz="4" w:space="0" w:color="auto"/>
            </w:tcBorders>
            <w:shd w:val="clear" w:color="auto" w:fill="C00000"/>
            <w:hideMark/>
          </w:tcPr>
          <w:p w14:paraId="13471715"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 xml:space="preserve">b2 </w:t>
            </w:r>
          </w:p>
        </w:tc>
        <w:tc>
          <w:tcPr>
            <w:tcW w:w="709" w:type="dxa"/>
            <w:tcBorders>
              <w:top w:val="single" w:sz="4" w:space="0" w:color="auto"/>
              <w:left w:val="single" w:sz="4" w:space="0" w:color="auto"/>
              <w:bottom w:val="single" w:sz="4" w:space="0" w:color="auto"/>
              <w:right w:val="single" w:sz="4" w:space="0" w:color="auto"/>
            </w:tcBorders>
            <w:shd w:val="clear" w:color="auto" w:fill="C00000"/>
            <w:hideMark/>
          </w:tcPr>
          <w:p w14:paraId="294D347B"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 xml:space="preserve">b1 </w:t>
            </w:r>
          </w:p>
        </w:tc>
        <w:tc>
          <w:tcPr>
            <w:tcW w:w="3227" w:type="dxa"/>
            <w:tcBorders>
              <w:top w:val="single" w:sz="4" w:space="0" w:color="auto"/>
              <w:left w:val="single" w:sz="4" w:space="0" w:color="auto"/>
              <w:bottom w:val="single" w:sz="4" w:space="0" w:color="auto"/>
              <w:right w:val="single" w:sz="4" w:space="0" w:color="auto"/>
            </w:tcBorders>
            <w:shd w:val="clear" w:color="auto" w:fill="C00000"/>
            <w:hideMark/>
          </w:tcPr>
          <w:p w14:paraId="11E320D6"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 xml:space="preserve">Description </w:t>
            </w:r>
          </w:p>
        </w:tc>
      </w:tr>
      <w:tr w:rsidR="00B97365" w14:paraId="5AEC8312" w14:textId="77777777">
        <w:trPr>
          <w:cantSplit/>
          <w:trHeight w:val="194"/>
        </w:trPr>
        <w:tc>
          <w:tcPr>
            <w:tcW w:w="710" w:type="dxa"/>
            <w:tcBorders>
              <w:top w:val="single" w:sz="4" w:space="0" w:color="auto"/>
              <w:left w:val="single" w:sz="4" w:space="0" w:color="auto"/>
              <w:bottom w:val="single" w:sz="4" w:space="0" w:color="auto"/>
              <w:right w:val="single" w:sz="4" w:space="0" w:color="auto"/>
            </w:tcBorders>
            <w:vAlign w:val="center"/>
          </w:tcPr>
          <w:p w14:paraId="3C22E924"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2" w:type="dxa"/>
            <w:tcBorders>
              <w:top w:val="single" w:sz="4" w:space="0" w:color="auto"/>
              <w:left w:val="single" w:sz="4" w:space="0" w:color="auto"/>
              <w:bottom w:val="single" w:sz="4" w:space="0" w:color="auto"/>
              <w:right w:val="single" w:sz="4" w:space="0" w:color="auto"/>
            </w:tcBorders>
            <w:vAlign w:val="center"/>
          </w:tcPr>
          <w:p w14:paraId="2256EA97"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1" w:type="dxa"/>
            <w:tcBorders>
              <w:top w:val="single" w:sz="4" w:space="0" w:color="auto"/>
              <w:left w:val="single" w:sz="4" w:space="0" w:color="auto"/>
              <w:bottom w:val="single" w:sz="4" w:space="0" w:color="auto"/>
              <w:right w:val="single" w:sz="4" w:space="0" w:color="auto"/>
            </w:tcBorders>
            <w:vAlign w:val="center"/>
          </w:tcPr>
          <w:p w14:paraId="7B725488"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1" w:type="dxa"/>
            <w:tcBorders>
              <w:top w:val="single" w:sz="4" w:space="0" w:color="auto"/>
              <w:left w:val="single" w:sz="4" w:space="0" w:color="auto"/>
              <w:bottom w:val="single" w:sz="4" w:space="0" w:color="auto"/>
              <w:right w:val="single" w:sz="4" w:space="0" w:color="auto"/>
            </w:tcBorders>
            <w:vAlign w:val="center"/>
          </w:tcPr>
          <w:p w14:paraId="6C21CFA7"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0" w:type="dxa"/>
            <w:tcBorders>
              <w:top w:val="single" w:sz="4" w:space="0" w:color="auto"/>
              <w:left w:val="single" w:sz="4" w:space="0" w:color="auto"/>
              <w:bottom w:val="single" w:sz="4" w:space="0" w:color="auto"/>
              <w:right w:val="single" w:sz="4" w:space="0" w:color="auto"/>
            </w:tcBorders>
            <w:vAlign w:val="center"/>
          </w:tcPr>
          <w:p w14:paraId="68282962"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vAlign w:val="center"/>
          </w:tcPr>
          <w:p w14:paraId="67C88E35"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vAlign w:val="center"/>
          </w:tcPr>
          <w:p w14:paraId="14047FE4"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vAlign w:val="center"/>
          </w:tcPr>
          <w:p w14:paraId="0BAB123E" w14:textId="77777777" w:rsidR="00B97365" w:rsidRDefault="00000000">
            <w:pPr>
              <w:spacing w:before="0"/>
              <w:jc w:val="left"/>
              <w:rPr>
                <w:b/>
                <w:sz w:val="20"/>
                <w:szCs w:val="22"/>
                <w:lang w:eastAsia="de-DE" w:bidi="ar-SA"/>
              </w:rPr>
            </w:pPr>
            <w:r>
              <w:rPr>
                <w:b/>
                <w:sz w:val="20"/>
                <w:szCs w:val="22"/>
                <w:lang w:eastAsia="de-DE" w:bidi="ar-SA"/>
              </w:rPr>
              <w:t>1</w:t>
            </w:r>
          </w:p>
        </w:tc>
        <w:tc>
          <w:tcPr>
            <w:tcW w:w="3227" w:type="dxa"/>
            <w:tcBorders>
              <w:top w:val="single" w:sz="4" w:space="0" w:color="auto"/>
              <w:left w:val="single" w:sz="4" w:space="0" w:color="auto"/>
              <w:bottom w:val="single" w:sz="4" w:space="0" w:color="auto"/>
              <w:right w:val="single" w:sz="4" w:space="0" w:color="auto"/>
            </w:tcBorders>
          </w:tcPr>
          <w:p w14:paraId="3CE781C8" w14:textId="77777777" w:rsidR="00B97365" w:rsidRDefault="00000000">
            <w:pPr>
              <w:spacing w:before="40" w:after="40" w:line="276" w:lineRule="auto"/>
              <w:jc w:val="left"/>
              <w:rPr>
                <w:sz w:val="18"/>
                <w:szCs w:val="18"/>
                <w:lang w:eastAsia="de-DE" w:bidi="ar-SA"/>
              </w:rPr>
            </w:pPr>
            <w:r>
              <w:rPr>
                <w:sz w:val="18"/>
                <w:szCs w:val="18"/>
                <w:lang w:eastAsia="de-DE" w:bidi="ar-SA"/>
              </w:rPr>
              <w:t xml:space="preserve">Do not delete existing keys </w:t>
            </w:r>
          </w:p>
          <w:p w14:paraId="186AA469" w14:textId="01450539" w:rsidR="00B97365" w:rsidRDefault="00000000">
            <w:pPr>
              <w:spacing w:before="40" w:after="40" w:line="276" w:lineRule="auto"/>
              <w:jc w:val="left"/>
              <w:rPr>
                <w:sz w:val="18"/>
                <w:szCs w:val="18"/>
                <w:lang w:eastAsia="de-DE" w:bidi="ar-SA"/>
              </w:rPr>
            </w:pPr>
            <w:r>
              <w:rPr>
                <w:sz w:val="18"/>
                <w:szCs w:val="18"/>
                <w:lang w:eastAsia="de-DE" w:bidi="ar-SA"/>
              </w:rPr>
              <w:t xml:space="preserve">(as defined in GlobalPlatform Card Specification Amendment E: Security Upgrade for Card Content Management  </w:t>
            </w:r>
            <w:r>
              <w:rPr>
                <w:sz w:val="18"/>
                <w:szCs w:val="18"/>
                <w:lang w:eastAsia="de-DE" w:bidi="ar-SA"/>
              </w:rPr>
              <w:fldChar w:fldCharType="begin"/>
            </w:r>
            <w:r>
              <w:rPr>
                <w:sz w:val="18"/>
                <w:szCs w:val="18"/>
                <w:lang w:eastAsia="de-DE" w:bidi="ar-SA"/>
              </w:rPr>
              <w:instrText xml:space="preserve"> REF _Ref421632038 \r \h  \* MERGEFORMAT </w:instrText>
            </w:r>
            <w:r>
              <w:rPr>
                <w:sz w:val="18"/>
                <w:szCs w:val="18"/>
                <w:lang w:eastAsia="de-DE" w:bidi="ar-SA"/>
              </w:rPr>
            </w:r>
            <w:r>
              <w:rPr>
                <w:sz w:val="18"/>
                <w:szCs w:val="18"/>
                <w:lang w:eastAsia="de-DE" w:bidi="ar-SA"/>
              </w:rPr>
              <w:fldChar w:fldCharType="separate"/>
            </w:r>
            <w:r w:rsidR="001D5AD9">
              <w:rPr>
                <w:sz w:val="18"/>
                <w:szCs w:val="18"/>
                <w:lang w:eastAsia="de-DE" w:bidi="ar-SA"/>
              </w:rPr>
              <w:t>[11]</w:t>
            </w:r>
            <w:r>
              <w:rPr>
                <w:sz w:val="18"/>
                <w:szCs w:val="18"/>
                <w:lang w:eastAsia="de-DE" w:bidi="ar-SA"/>
              </w:rPr>
              <w:fldChar w:fldCharType="end"/>
            </w:r>
            <w:r>
              <w:rPr>
                <w:sz w:val="18"/>
                <w:szCs w:val="18"/>
                <w:lang w:eastAsia="de-DE" w:bidi="ar-SA"/>
              </w:rPr>
              <w:t xml:space="preserve"> section 4.8.1)</w:t>
            </w:r>
          </w:p>
          <w:p w14:paraId="4E31FFF3" w14:textId="77777777" w:rsidR="00B97365" w:rsidRDefault="00B97365">
            <w:pPr>
              <w:spacing w:before="40" w:after="40" w:line="276" w:lineRule="auto"/>
              <w:jc w:val="left"/>
              <w:rPr>
                <w:sz w:val="18"/>
                <w:szCs w:val="18"/>
                <w:lang w:eastAsia="de-DE" w:bidi="ar-SA"/>
              </w:rPr>
            </w:pPr>
          </w:p>
          <w:p w14:paraId="6F34E2C5" w14:textId="77777777" w:rsidR="00B97365" w:rsidRDefault="00000000">
            <w:pPr>
              <w:spacing w:before="40" w:after="40" w:line="276" w:lineRule="auto"/>
              <w:jc w:val="left"/>
              <w:rPr>
                <w:sz w:val="18"/>
                <w:szCs w:val="18"/>
                <w:lang w:eastAsia="de-DE" w:bidi="ar-SA"/>
              </w:rPr>
            </w:pPr>
            <w:r>
              <w:rPr>
                <w:sz w:val="18"/>
                <w:szCs w:val="18"/>
                <w:lang w:eastAsia="de-DE" w:bidi="ar-SA"/>
              </w:rPr>
              <w:t>In the context of the ISD-R keyset establishment process, this option SHALL always be used by the SM-SR (see NOTE 1).</w:t>
            </w:r>
          </w:p>
        </w:tc>
      </w:tr>
      <w:tr w:rsidR="00B97365" w14:paraId="0B8DF9C8" w14:textId="77777777">
        <w:trPr>
          <w:cantSplit/>
          <w:trHeight w:val="194"/>
        </w:trPr>
        <w:tc>
          <w:tcPr>
            <w:tcW w:w="710" w:type="dxa"/>
            <w:tcBorders>
              <w:top w:val="single" w:sz="4" w:space="0" w:color="auto"/>
              <w:left w:val="single" w:sz="4" w:space="0" w:color="auto"/>
              <w:bottom w:val="single" w:sz="4" w:space="0" w:color="auto"/>
              <w:right w:val="single" w:sz="4" w:space="0" w:color="auto"/>
            </w:tcBorders>
            <w:vAlign w:val="center"/>
          </w:tcPr>
          <w:p w14:paraId="3E6D2BC5"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2" w:type="dxa"/>
            <w:tcBorders>
              <w:top w:val="single" w:sz="4" w:space="0" w:color="auto"/>
              <w:left w:val="single" w:sz="4" w:space="0" w:color="auto"/>
              <w:bottom w:val="single" w:sz="4" w:space="0" w:color="auto"/>
              <w:right w:val="single" w:sz="4" w:space="0" w:color="auto"/>
            </w:tcBorders>
            <w:vAlign w:val="center"/>
          </w:tcPr>
          <w:p w14:paraId="7D35036C"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1" w:type="dxa"/>
            <w:tcBorders>
              <w:top w:val="single" w:sz="4" w:space="0" w:color="auto"/>
              <w:left w:val="single" w:sz="4" w:space="0" w:color="auto"/>
              <w:bottom w:val="single" w:sz="4" w:space="0" w:color="auto"/>
              <w:right w:val="single" w:sz="4" w:space="0" w:color="auto"/>
            </w:tcBorders>
            <w:vAlign w:val="center"/>
          </w:tcPr>
          <w:p w14:paraId="75D144C9"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1" w:type="dxa"/>
            <w:tcBorders>
              <w:top w:val="single" w:sz="4" w:space="0" w:color="auto"/>
              <w:left w:val="single" w:sz="4" w:space="0" w:color="auto"/>
              <w:bottom w:val="single" w:sz="4" w:space="0" w:color="auto"/>
              <w:right w:val="single" w:sz="4" w:space="0" w:color="auto"/>
            </w:tcBorders>
            <w:vAlign w:val="center"/>
          </w:tcPr>
          <w:p w14:paraId="7848CB47"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0" w:type="dxa"/>
            <w:tcBorders>
              <w:top w:val="single" w:sz="4" w:space="0" w:color="auto"/>
              <w:left w:val="single" w:sz="4" w:space="0" w:color="auto"/>
              <w:bottom w:val="single" w:sz="4" w:space="0" w:color="auto"/>
              <w:right w:val="single" w:sz="4" w:space="0" w:color="auto"/>
            </w:tcBorders>
            <w:vAlign w:val="center"/>
          </w:tcPr>
          <w:p w14:paraId="1BAB512A"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vAlign w:val="center"/>
          </w:tcPr>
          <w:p w14:paraId="1655812A"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vAlign w:val="center"/>
          </w:tcPr>
          <w:p w14:paraId="6948F7FB" w14:textId="77777777" w:rsidR="00B97365" w:rsidRDefault="00000000">
            <w:pPr>
              <w:spacing w:before="40" w:after="40" w:line="276" w:lineRule="auto"/>
              <w:jc w:val="left"/>
              <w:rPr>
                <w:sz w:val="20"/>
                <w:szCs w:val="22"/>
                <w:lang w:eastAsia="de-DE" w:bidi="ar-SA"/>
              </w:rPr>
            </w:pPr>
            <w:r>
              <w:rPr>
                <w:sz w:val="20"/>
                <w:szCs w:val="22"/>
                <w:lang w:eastAsia="de-DE" w:bidi="ar-SA"/>
              </w:rPr>
              <w:t>X</w:t>
            </w:r>
          </w:p>
        </w:tc>
        <w:tc>
          <w:tcPr>
            <w:tcW w:w="709" w:type="dxa"/>
            <w:tcBorders>
              <w:top w:val="single" w:sz="4" w:space="0" w:color="auto"/>
              <w:left w:val="single" w:sz="4" w:space="0" w:color="auto"/>
              <w:bottom w:val="single" w:sz="4" w:space="0" w:color="auto"/>
              <w:right w:val="single" w:sz="4" w:space="0" w:color="auto"/>
            </w:tcBorders>
            <w:vAlign w:val="center"/>
          </w:tcPr>
          <w:p w14:paraId="2F5E3C37"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3227" w:type="dxa"/>
            <w:tcBorders>
              <w:top w:val="single" w:sz="4" w:space="0" w:color="auto"/>
              <w:left w:val="single" w:sz="4" w:space="0" w:color="auto"/>
              <w:bottom w:val="single" w:sz="4" w:space="0" w:color="auto"/>
              <w:right w:val="single" w:sz="4" w:space="0" w:color="auto"/>
            </w:tcBorders>
          </w:tcPr>
          <w:p w14:paraId="4D38D043" w14:textId="77777777" w:rsidR="00B97365" w:rsidRDefault="00000000">
            <w:pPr>
              <w:spacing w:before="40" w:after="40" w:line="276" w:lineRule="auto"/>
              <w:jc w:val="left"/>
              <w:rPr>
                <w:sz w:val="18"/>
                <w:szCs w:val="18"/>
                <w:lang w:eastAsia="de-DE" w:bidi="ar-SA"/>
              </w:rPr>
            </w:pPr>
            <w:r>
              <w:rPr>
                <w:sz w:val="18"/>
                <w:szCs w:val="18"/>
                <w:lang w:eastAsia="de-DE" w:bidi="ar-SA"/>
              </w:rPr>
              <w:t>Include DR in key derivation process</w:t>
            </w:r>
          </w:p>
          <w:p w14:paraId="179A82B8" w14:textId="77777777" w:rsidR="00B97365" w:rsidRDefault="00B97365">
            <w:pPr>
              <w:spacing w:before="40" w:after="40" w:line="276" w:lineRule="auto"/>
              <w:jc w:val="left"/>
              <w:rPr>
                <w:sz w:val="18"/>
                <w:szCs w:val="18"/>
                <w:lang w:eastAsia="de-DE" w:bidi="ar-SA"/>
              </w:rPr>
            </w:pPr>
          </w:p>
          <w:p w14:paraId="1D95814C" w14:textId="4596EA21" w:rsidR="00B97365" w:rsidRDefault="00000000">
            <w:pPr>
              <w:spacing w:before="40" w:after="40" w:line="276" w:lineRule="auto"/>
              <w:jc w:val="left"/>
              <w:rPr>
                <w:sz w:val="18"/>
                <w:szCs w:val="18"/>
                <w:lang w:eastAsia="de-DE" w:bidi="ar-SA"/>
              </w:rPr>
            </w:pPr>
            <w:r>
              <w:rPr>
                <w:sz w:val="18"/>
                <w:szCs w:val="18"/>
                <w:lang w:eastAsia="de-DE" w:bidi="ar-SA"/>
              </w:rPr>
              <w:t xml:space="preserve">(as defined in GlobalPlatform Card Specification Amendment E: Security Upgrade for Card Content Management  </w:t>
            </w:r>
            <w:r>
              <w:rPr>
                <w:sz w:val="18"/>
                <w:szCs w:val="18"/>
                <w:lang w:eastAsia="de-DE" w:bidi="ar-SA"/>
              </w:rPr>
              <w:fldChar w:fldCharType="begin"/>
            </w:r>
            <w:r>
              <w:rPr>
                <w:sz w:val="18"/>
                <w:szCs w:val="18"/>
                <w:lang w:eastAsia="de-DE" w:bidi="ar-SA"/>
              </w:rPr>
              <w:instrText xml:space="preserve"> REF _Ref421632038 \r \h  \* MERGEFORMAT </w:instrText>
            </w:r>
            <w:r>
              <w:rPr>
                <w:sz w:val="18"/>
                <w:szCs w:val="18"/>
                <w:lang w:eastAsia="de-DE" w:bidi="ar-SA"/>
              </w:rPr>
            </w:r>
            <w:r>
              <w:rPr>
                <w:sz w:val="18"/>
                <w:szCs w:val="18"/>
                <w:lang w:eastAsia="de-DE" w:bidi="ar-SA"/>
              </w:rPr>
              <w:fldChar w:fldCharType="separate"/>
            </w:r>
            <w:r w:rsidR="001D5AD9">
              <w:rPr>
                <w:sz w:val="18"/>
                <w:szCs w:val="18"/>
                <w:lang w:eastAsia="de-DE" w:bidi="ar-SA"/>
              </w:rPr>
              <w:t>[11]</w:t>
            </w:r>
            <w:r>
              <w:rPr>
                <w:sz w:val="18"/>
                <w:szCs w:val="18"/>
                <w:lang w:eastAsia="de-DE" w:bidi="ar-SA"/>
              </w:rPr>
              <w:fldChar w:fldCharType="end"/>
            </w:r>
            <w:r>
              <w:rPr>
                <w:sz w:val="18"/>
                <w:szCs w:val="18"/>
                <w:lang w:eastAsia="de-DE" w:bidi="ar-SA"/>
              </w:rPr>
              <w:t xml:space="preserve"> section 4.8.1)</w:t>
            </w:r>
          </w:p>
        </w:tc>
      </w:tr>
      <w:tr w:rsidR="00B97365" w14:paraId="1916529A" w14:textId="77777777">
        <w:trPr>
          <w:cantSplit/>
          <w:trHeight w:val="194"/>
        </w:trPr>
        <w:tc>
          <w:tcPr>
            <w:tcW w:w="710" w:type="dxa"/>
            <w:tcBorders>
              <w:top w:val="single" w:sz="4" w:space="0" w:color="auto"/>
              <w:left w:val="single" w:sz="4" w:space="0" w:color="auto"/>
              <w:bottom w:val="single" w:sz="4" w:space="0" w:color="auto"/>
              <w:right w:val="single" w:sz="4" w:space="0" w:color="auto"/>
            </w:tcBorders>
            <w:vAlign w:val="center"/>
          </w:tcPr>
          <w:p w14:paraId="60B437D5"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2" w:type="dxa"/>
            <w:tcBorders>
              <w:top w:val="single" w:sz="4" w:space="0" w:color="auto"/>
              <w:left w:val="single" w:sz="4" w:space="0" w:color="auto"/>
              <w:bottom w:val="single" w:sz="4" w:space="0" w:color="auto"/>
              <w:right w:val="single" w:sz="4" w:space="0" w:color="auto"/>
            </w:tcBorders>
            <w:vAlign w:val="center"/>
          </w:tcPr>
          <w:p w14:paraId="7CCEDFD6"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1" w:type="dxa"/>
            <w:tcBorders>
              <w:top w:val="single" w:sz="4" w:space="0" w:color="auto"/>
              <w:left w:val="single" w:sz="4" w:space="0" w:color="auto"/>
              <w:bottom w:val="single" w:sz="4" w:space="0" w:color="auto"/>
              <w:right w:val="single" w:sz="4" w:space="0" w:color="auto"/>
            </w:tcBorders>
            <w:vAlign w:val="center"/>
          </w:tcPr>
          <w:p w14:paraId="276DFF71"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1" w:type="dxa"/>
            <w:tcBorders>
              <w:top w:val="single" w:sz="4" w:space="0" w:color="auto"/>
              <w:left w:val="single" w:sz="4" w:space="0" w:color="auto"/>
              <w:bottom w:val="single" w:sz="4" w:space="0" w:color="auto"/>
              <w:right w:val="single" w:sz="4" w:space="0" w:color="auto"/>
            </w:tcBorders>
            <w:vAlign w:val="center"/>
          </w:tcPr>
          <w:p w14:paraId="41ED5EB4"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0" w:type="dxa"/>
            <w:tcBorders>
              <w:top w:val="single" w:sz="4" w:space="0" w:color="auto"/>
              <w:left w:val="single" w:sz="4" w:space="0" w:color="auto"/>
              <w:bottom w:val="single" w:sz="4" w:space="0" w:color="auto"/>
              <w:right w:val="single" w:sz="4" w:space="0" w:color="auto"/>
            </w:tcBorders>
            <w:vAlign w:val="center"/>
          </w:tcPr>
          <w:p w14:paraId="4A56F243"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vAlign w:val="center"/>
          </w:tcPr>
          <w:p w14:paraId="0498CA23" w14:textId="77777777" w:rsidR="00B97365" w:rsidRDefault="00000000">
            <w:pPr>
              <w:spacing w:before="40" w:after="40" w:line="276" w:lineRule="auto"/>
              <w:jc w:val="left"/>
              <w:rPr>
                <w:sz w:val="20"/>
                <w:szCs w:val="22"/>
                <w:lang w:eastAsia="de-DE" w:bidi="ar-SA"/>
              </w:rPr>
            </w:pPr>
            <w:r>
              <w:rPr>
                <w:sz w:val="20"/>
                <w:szCs w:val="22"/>
                <w:lang w:eastAsia="de-DE" w:bidi="ar-SA"/>
              </w:rPr>
              <w:t>X</w:t>
            </w:r>
          </w:p>
        </w:tc>
        <w:tc>
          <w:tcPr>
            <w:tcW w:w="709" w:type="dxa"/>
            <w:tcBorders>
              <w:top w:val="single" w:sz="4" w:space="0" w:color="auto"/>
              <w:left w:val="single" w:sz="4" w:space="0" w:color="auto"/>
              <w:bottom w:val="single" w:sz="4" w:space="0" w:color="auto"/>
              <w:right w:val="single" w:sz="4" w:space="0" w:color="auto"/>
            </w:tcBorders>
            <w:vAlign w:val="center"/>
          </w:tcPr>
          <w:p w14:paraId="748F535D"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vAlign w:val="center"/>
          </w:tcPr>
          <w:p w14:paraId="397E0EE5"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3227" w:type="dxa"/>
            <w:tcBorders>
              <w:top w:val="single" w:sz="4" w:space="0" w:color="auto"/>
              <w:left w:val="single" w:sz="4" w:space="0" w:color="auto"/>
              <w:bottom w:val="single" w:sz="4" w:space="0" w:color="auto"/>
              <w:right w:val="single" w:sz="4" w:space="0" w:color="auto"/>
            </w:tcBorders>
          </w:tcPr>
          <w:p w14:paraId="340E47A0" w14:textId="77777777" w:rsidR="00B97365" w:rsidRDefault="00000000">
            <w:pPr>
              <w:spacing w:before="40" w:after="40" w:line="276" w:lineRule="auto"/>
              <w:jc w:val="left"/>
              <w:rPr>
                <w:sz w:val="18"/>
                <w:szCs w:val="18"/>
                <w:lang w:eastAsia="de-DE" w:bidi="ar-SA"/>
              </w:rPr>
            </w:pPr>
            <w:r>
              <w:rPr>
                <w:sz w:val="18"/>
                <w:szCs w:val="18"/>
                <w:lang w:eastAsia="de-DE" w:bidi="ar-SA"/>
              </w:rPr>
              <w:t>Include Host and Card ID in key derivation process</w:t>
            </w:r>
          </w:p>
          <w:p w14:paraId="22DE9633" w14:textId="77777777" w:rsidR="00B97365" w:rsidRDefault="00B97365">
            <w:pPr>
              <w:spacing w:before="40" w:after="40" w:line="276" w:lineRule="auto"/>
              <w:jc w:val="left"/>
              <w:rPr>
                <w:sz w:val="18"/>
                <w:szCs w:val="18"/>
                <w:lang w:eastAsia="de-DE" w:bidi="ar-SA"/>
              </w:rPr>
            </w:pPr>
          </w:p>
          <w:p w14:paraId="5034EA88" w14:textId="3A2D225E" w:rsidR="00B97365" w:rsidRDefault="00000000">
            <w:pPr>
              <w:spacing w:before="40" w:after="40" w:line="276" w:lineRule="auto"/>
              <w:jc w:val="left"/>
              <w:rPr>
                <w:sz w:val="18"/>
                <w:szCs w:val="18"/>
                <w:lang w:eastAsia="de-DE" w:bidi="ar-SA"/>
              </w:rPr>
            </w:pPr>
            <w:r>
              <w:rPr>
                <w:sz w:val="18"/>
                <w:szCs w:val="18"/>
                <w:lang w:eastAsia="de-DE" w:bidi="ar-SA"/>
              </w:rPr>
              <w:t xml:space="preserve">(as defined in GlobalPlatform Card Specification Amendment E: Security Upgrade for Card Content Management  </w:t>
            </w:r>
            <w:r>
              <w:rPr>
                <w:sz w:val="18"/>
                <w:szCs w:val="18"/>
                <w:lang w:eastAsia="de-DE" w:bidi="ar-SA"/>
              </w:rPr>
              <w:fldChar w:fldCharType="begin"/>
            </w:r>
            <w:r>
              <w:rPr>
                <w:sz w:val="18"/>
                <w:szCs w:val="18"/>
                <w:lang w:eastAsia="de-DE" w:bidi="ar-SA"/>
              </w:rPr>
              <w:instrText xml:space="preserve"> REF _Ref421632038 \r \h  \* MERGEFORMAT </w:instrText>
            </w:r>
            <w:r>
              <w:rPr>
                <w:sz w:val="18"/>
                <w:szCs w:val="18"/>
                <w:lang w:eastAsia="de-DE" w:bidi="ar-SA"/>
              </w:rPr>
            </w:r>
            <w:r>
              <w:rPr>
                <w:sz w:val="18"/>
                <w:szCs w:val="18"/>
                <w:lang w:eastAsia="de-DE" w:bidi="ar-SA"/>
              </w:rPr>
              <w:fldChar w:fldCharType="separate"/>
            </w:r>
            <w:r w:rsidR="001D5AD9">
              <w:rPr>
                <w:sz w:val="18"/>
                <w:szCs w:val="18"/>
                <w:lang w:eastAsia="de-DE" w:bidi="ar-SA"/>
              </w:rPr>
              <w:t>[11]</w:t>
            </w:r>
            <w:r>
              <w:rPr>
                <w:sz w:val="18"/>
                <w:szCs w:val="18"/>
                <w:lang w:eastAsia="de-DE" w:bidi="ar-SA"/>
              </w:rPr>
              <w:fldChar w:fldCharType="end"/>
            </w:r>
            <w:r>
              <w:rPr>
                <w:sz w:val="18"/>
                <w:szCs w:val="18"/>
                <w:lang w:eastAsia="de-DE" w:bidi="ar-SA"/>
              </w:rPr>
              <w:t xml:space="preserve"> section 4.8.1)</w:t>
            </w:r>
          </w:p>
        </w:tc>
      </w:tr>
      <w:tr w:rsidR="00B97365" w14:paraId="4D774D6D" w14:textId="77777777">
        <w:trPr>
          <w:cantSplit/>
          <w:trHeight w:val="194"/>
        </w:trPr>
        <w:tc>
          <w:tcPr>
            <w:tcW w:w="710" w:type="dxa"/>
            <w:tcBorders>
              <w:top w:val="single" w:sz="4" w:space="0" w:color="auto"/>
              <w:left w:val="single" w:sz="4" w:space="0" w:color="auto"/>
              <w:bottom w:val="single" w:sz="4" w:space="0" w:color="auto"/>
              <w:right w:val="single" w:sz="4" w:space="0" w:color="auto"/>
            </w:tcBorders>
            <w:hideMark/>
          </w:tcPr>
          <w:p w14:paraId="086BA6B4"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2" w:type="dxa"/>
            <w:tcBorders>
              <w:top w:val="single" w:sz="4" w:space="0" w:color="auto"/>
              <w:left w:val="single" w:sz="4" w:space="0" w:color="auto"/>
              <w:bottom w:val="single" w:sz="4" w:space="0" w:color="auto"/>
              <w:right w:val="single" w:sz="4" w:space="0" w:color="auto"/>
            </w:tcBorders>
            <w:hideMark/>
          </w:tcPr>
          <w:p w14:paraId="24E7092E"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1" w:type="dxa"/>
            <w:tcBorders>
              <w:top w:val="single" w:sz="4" w:space="0" w:color="auto"/>
              <w:left w:val="single" w:sz="4" w:space="0" w:color="auto"/>
              <w:bottom w:val="single" w:sz="4" w:space="0" w:color="auto"/>
              <w:right w:val="single" w:sz="4" w:space="0" w:color="auto"/>
            </w:tcBorders>
            <w:hideMark/>
          </w:tcPr>
          <w:p w14:paraId="4E57EF9E"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1" w:type="dxa"/>
            <w:tcBorders>
              <w:top w:val="single" w:sz="4" w:space="0" w:color="auto"/>
              <w:left w:val="single" w:sz="4" w:space="0" w:color="auto"/>
              <w:bottom w:val="single" w:sz="4" w:space="0" w:color="auto"/>
              <w:right w:val="single" w:sz="4" w:space="0" w:color="auto"/>
            </w:tcBorders>
            <w:hideMark/>
          </w:tcPr>
          <w:p w14:paraId="1E906C4C"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850" w:type="dxa"/>
            <w:tcBorders>
              <w:top w:val="single" w:sz="4" w:space="0" w:color="auto"/>
              <w:left w:val="single" w:sz="4" w:space="0" w:color="auto"/>
              <w:bottom w:val="single" w:sz="4" w:space="0" w:color="auto"/>
              <w:right w:val="single" w:sz="4" w:space="0" w:color="auto"/>
            </w:tcBorders>
            <w:hideMark/>
          </w:tcPr>
          <w:p w14:paraId="259768AB" w14:textId="77777777" w:rsidR="00B97365" w:rsidRDefault="00000000">
            <w:pPr>
              <w:spacing w:before="0"/>
              <w:jc w:val="left"/>
              <w:rPr>
                <w:b/>
                <w:sz w:val="20"/>
                <w:szCs w:val="22"/>
                <w:lang w:eastAsia="de-DE" w:bidi="ar-SA"/>
              </w:rPr>
            </w:pPr>
            <w:r>
              <w:rPr>
                <w:b/>
                <w:sz w:val="20"/>
                <w:szCs w:val="22"/>
                <w:lang w:eastAsia="de-DE" w:bidi="ar-SA"/>
              </w:rPr>
              <w:t>1</w:t>
            </w:r>
          </w:p>
        </w:tc>
        <w:tc>
          <w:tcPr>
            <w:tcW w:w="709" w:type="dxa"/>
            <w:tcBorders>
              <w:top w:val="single" w:sz="4" w:space="0" w:color="auto"/>
              <w:left w:val="single" w:sz="4" w:space="0" w:color="auto"/>
              <w:bottom w:val="single" w:sz="4" w:space="0" w:color="auto"/>
              <w:right w:val="single" w:sz="4" w:space="0" w:color="auto"/>
            </w:tcBorders>
            <w:hideMark/>
          </w:tcPr>
          <w:p w14:paraId="3C971F6B" w14:textId="77777777" w:rsidR="00B97365" w:rsidRDefault="00000000">
            <w:pPr>
              <w:spacing w:before="40" w:after="40" w:line="276" w:lineRule="auto"/>
              <w:jc w:val="left"/>
              <w:rPr>
                <w:sz w:val="20"/>
                <w:szCs w:val="22"/>
                <w:lang w:eastAsia="de-DE" w:bidi="ar-SA"/>
              </w:rPr>
            </w:pPr>
            <w:r>
              <w:rPr>
                <w:sz w:val="20"/>
                <w:szCs w:val="22"/>
                <w:lang w:eastAsia="de-DE" w:bidi="ar-SA"/>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0C9D27A9" w14:textId="77777777" w:rsidR="00B97365" w:rsidRDefault="00000000">
            <w:pPr>
              <w:spacing w:before="40" w:after="40" w:line="276" w:lineRule="auto"/>
              <w:jc w:val="left"/>
              <w:rPr>
                <w:sz w:val="20"/>
                <w:szCs w:val="22"/>
                <w:lang w:eastAsia="de-DE" w:bidi="ar-SA"/>
              </w:rPr>
            </w:pPr>
            <w:r>
              <w:rPr>
                <w:sz w:val="20"/>
                <w:szCs w:val="22"/>
                <w:lang w:eastAsia="de-DE" w:bidi="ar-SA"/>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0407456E" w14:textId="77777777" w:rsidR="00B97365" w:rsidRDefault="00000000">
            <w:pPr>
              <w:spacing w:before="40" w:after="40" w:line="276" w:lineRule="auto"/>
              <w:jc w:val="left"/>
              <w:rPr>
                <w:sz w:val="20"/>
                <w:szCs w:val="22"/>
                <w:lang w:eastAsia="de-DE" w:bidi="ar-SA"/>
              </w:rPr>
            </w:pPr>
            <w:r>
              <w:rPr>
                <w:sz w:val="20"/>
                <w:szCs w:val="22"/>
                <w:lang w:eastAsia="de-DE" w:bidi="ar-SA"/>
              </w:rPr>
              <w:t xml:space="preserve">– </w:t>
            </w:r>
          </w:p>
        </w:tc>
        <w:tc>
          <w:tcPr>
            <w:tcW w:w="3227" w:type="dxa"/>
            <w:tcBorders>
              <w:top w:val="single" w:sz="4" w:space="0" w:color="auto"/>
              <w:left w:val="single" w:sz="4" w:space="0" w:color="auto"/>
              <w:bottom w:val="single" w:sz="4" w:space="0" w:color="auto"/>
              <w:right w:val="single" w:sz="4" w:space="0" w:color="auto"/>
            </w:tcBorders>
            <w:hideMark/>
          </w:tcPr>
          <w:p w14:paraId="25FF47EE" w14:textId="77777777" w:rsidR="00B97365" w:rsidRDefault="00000000">
            <w:pPr>
              <w:spacing w:before="40" w:after="40" w:line="276" w:lineRule="auto"/>
              <w:jc w:val="left"/>
              <w:rPr>
                <w:sz w:val="18"/>
                <w:szCs w:val="18"/>
                <w:lang w:eastAsia="de-DE" w:bidi="ar-SA"/>
              </w:rPr>
            </w:pPr>
            <w:r>
              <w:rPr>
                <w:sz w:val="18"/>
                <w:szCs w:val="18"/>
                <w:lang w:eastAsia="de-DE" w:bidi="ar-SA"/>
              </w:rPr>
              <w:t>Certificate Verification precedes Key Establishment</w:t>
            </w:r>
          </w:p>
        </w:tc>
      </w:tr>
      <w:tr w:rsidR="00B97365" w14:paraId="24116584" w14:textId="77777777">
        <w:trPr>
          <w:cantSplit/>
          <w:trHeight w:val="194"/>
        </w:trPr>
        <w:tc>
          <w:tcPr>
            <w:tcW w:w="710" w:type="dxa"/>
            <w:tcBorders>
              <w:top w:val="single" w:sz="4" w:space="0" w:color="auto"/>
              <w:left w:val="single" w:sz="4" w:space="0" w:color="auto"/>
              <w:bottom w:val="single" w:sz="4" w:space="0" w:color="auto"/>
              <w:right w:val="single" w:sz="4" w:space="0" w:color="auto"/>
            </w:tcBorders>
          </w:tcPr>
          <w:p w14:paraId="74E231E0" w14:textId="77777777" w:rsidR="00B97365" w:rsidRDefault="00000000">
            <w:pPr>
              <w:spacing w:before="40" w:after="40" w:line="276" w:lineRule="auto"/>
              <w:jc w:val="left"/>
              <w:rPr>
                <w:sz w:val="20"/>
                <w:szCs w:val="22"/>
                <w:lang w:eastAsia="de-DE" w:bidi="ar-SA"/>
              </w:rPr>
            </w:pPr>
            <w:r>
              <w:rPr>
                <w:sz w:val="20"/>
                <w:szCs w:val="22"/>
                <w:lang w:eastAsia="de-DE" w:bidi="ar-SA"/>
              </w:rPr>
              <w:t>X</w:t>
            </w:r>
          </w:p>
        </w:tc>
        <w:tc>
          <w:tcPr>
            <w:tcW w:w="852" w:type="dxa"/>
            <w:tcBorders>
              <w:top w:val="single" w:sz="4" w:space="0" w:color="auto"/>
              <w:left w:val="single" w:sz="4" w:space="0" w:color="auto"/>
              <w:bottom w:val="single" w:sz="4" w:space="0" w:color="auto"/>
              <w:right w:val="single" w:sz="4" w:space="0" w:color="auto"/>
            </w:tcBorders>
          </w:tcPr>
          <w:p w14:paraId="24A05211" w14:textId="77777777" w:rsidR="00B97365" w:rsidRDefault="00000000">
            <w:pPr>
              <w:spacing w:before="40" w:after="40" w:line="276" w:lineRule="auto"/>
              <w:jc w:val="left"/>
              <w:rPr>
                <w:sz w:val="20"/>
                <w:szCs w:val="22"/>
                <w:lang w:eastAsia="de-DE" w:bidi="ar-SA"/>
              </w:rPr>
            </w:pPr>
            <w:r>
              <w:rPr>
                <w:sz w:val="20"/>
                <w:szCs w:val="22"/>
                <w:lang w:eastAsia="de-DE" w:bidi="ar-SA"/>
              </w:rPr>
              <w:t>X</w:t>
            </w:r>
          </w:p>
        </w:tc>
        <w:tc>
          <w:tcPr>
            <w:tcW w:w="851" w:type="dxa"/>
            <w:tcBorders>
              <w:top w:val="single" w:sz="4" w:space="0" w:color="auto"/>
              <w:left w:val="single" w:sz="4" w:space="0" w:color="auto"/>
              <w:bottom w:val="single" w:sz="4" w:space="0" w:color="auto"/>
              <w:right w:val="single" w:sz="4" w:space="0" w:color="auto"/>
            </w:tcBorders>
          </w:tcPr>
          <w:p w14:paraId="35791B09" w14:textId="77777777" w:rsidR="00B97365" w:rsidRDefault="00000000">
            <w:pPr>
              <w:spacing w:before="40" w:after="40" w:line="276" w:lineRule="auto"/>
              <w:jc w:val="left"/>
              <w:rPr>
                <w:sz w:val="20"/>
                <w:szCs w:val="22"/>
                <w:lang w:eastAsia="de-DE" w:bidi="ar-SA"/>
              </w:rPr>
            </w:pPr>
            <w:r>
              <w:rPr>
                <w:sz w:val="20"/>
                <w:szCs w:val="22"/>
                <w:lang w:eastAsia="de-DE" w:bidi="ar-SA"/>
              </w:rPr>
              <w:t>X</w:t>
            </w:r>
          </w:p>
        </w:tc>
        <w:tc>
          <w:tcPr>
            <w:tcW w:w="851" w:type="dxa"/>
            <w:tcBorders>
              <w:top w:val="single" w:sz="4" w:space="0" w:color="auto"/>
              <w:left w:val="single" w:sz="4" w:space="0" w:color="auto"/>
              <w:bottom w:val="single" w:sz="4" w:space="0" w:color="auto"/>
              <w:right w:val="single" w:sz="4" w:space="0" w:color="auto"/>
            </w:tcBorders>
          </w:tcPr>
          <w:p w14:paraId="020EFF57" w14:textId="77777777" w:rsidR="00B97365" w:rsidRDefault="00000000">
            <w:pPr>
              <w:spacing w:before="40" w:after="40" w:line="276" w:lineRule="auto"/>
              <w:jc w:val="left"/>
              <w:rPr>
                <w:sz w:val="20"/>
                <w:szCs w:val="22"/>
                <w:lang w:eastAsia="de-DE" w:bidi="ar-SA"/>
              </w:rPr>
            </w:pPr>
            <w:r>
              <w:rPr>
                <w:sz w:val="20"/>
                <w:szCs w:val="22"/>
                <w:lang w:eastAsia="de-DE" w:bidi="ar-SA"/>
              </w:rPr>
              <w:t>X</w:t>
            </w:r>
          </w:p>
        </w:tc>
        <w:tc>
          <w:tcPr>
            <w:tcW w:w="850" w:type="dxa"/>
            <w:tcBorders>
              <w:top w:val="single" w:sz="4" w:space="0" w:color="auto"/>
              <w:left w:val="single" w:sz="4" w:space="0" w:color="auto"/>
              <w:bottom w:val="single" w:sz="4" w:space="0" w:color="auto"/>
              <w:right w:val="single" w:sz="4" w:space="0" w:color="auto"/>
            </w:tcBorders>
          </w:tcPr>
          <w:p w14:paraId="146662A2"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tcPr>
          <w:p w14:paraId="36E292E8"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tcPr>
          <w:p w14:paraId="2D2AA5A6"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709" w:type="dxa"/>
            <w:tcBorders>
              <w:top w:val="single" w:sz="4" w:space="0" w:color="auto"/>
              <w:left w:val="single" w:sz="4" w:space="0" w:color="auto"/>
              <w:bottom w:val="single" w:sz="4" w:space="0" w:color="auto"/>
              <w:right w:val="single" w:sz="4" w:space="0" w:color="auto"/>
            </w:tcBorders>
          </w:tcPr>
          <w:p w14:paraId="5821A333" w14:textId="77777777" w:rsidR="00B97365" w:rsidRDefault="00000000">
            <w:pPr>
              <w:spacing w:before="40" w:after="40" w:line="276" w:lineRule="auto"/>
              <w:jc w:val="left"/>
              <w:rPr>
                <w:sz w:val="20"/>
                <w:szCs w:val="22"/>
                <w:lang w:eastAsia="de-DE" w:bidi="ar-SA"/>
              </w:rPr>
            </w:pPr>
            <w:r>
              <w:rPr>
                <w:sz w:val="20"/>
                <w:szCs w:val="22"/>
                <w:lang w:eastAsia="de-DE" w:bidi="ar-SA"/>
              </w:rPr>
              <w:t>–</w:t>
            </w:r>
          </w:p>
        </w:tc>
        <w:tc>
          <w:tcPr>
            <w:tcW w:w="3227" w:type="dxa"/>
            <w:tcBorders>
              <w:top w:val="single" w:sz="4" w:space="0" w:color="auto"/>
              <w:left w:val="single" w:sz="4" w:space="0" w:color="auto"/>
              <w:bottom w:val="single" w:sz="4" w:space="0" w:color="auto"/>
              <w:right w:val="single" w:sz="4" w:space="0" w:color="auto"/>
            </w:tcBorders>
          </w:tcPr>
          <w:p w14:paraId="1D7EC9D3" w14:textId="77777777" w:rsidR="00B97365" w:rsidRDefault="00000000">
            <w:pPr>
              <w:spacing w:before="40" w:after="40" w:line="276" w:lineRule="auto"/>
              <w:jc w:val="left"/>
              <w:rPr>
                <w:sz w:val="18"/>
                <w:szCs w:val="18"/>
                <w:lang w:eastAsia="de-DE" w:bidi="ar-SA"/>
              </w:rPr>
            </w:pPr>
            <w:r>
              <w:rPr>
                <w:sz w:val="18"/>
                <w:szCs w:val="18"/>
                <w:lang w:eastAsia="de-DE" w:bidi="ar-SA"/>
              </w:rPr>
              <w:t>RFU</w:t>
            </w:r>
          </w:p>
        </w:tc>
      </w:tr>
    </w:tbl>
    <w:p w14:paraId="4A7045D4" w14:textId="77777777" w:rsidR="00B97365" w:rsidRDefault="00000000">
      <w:pPr>
        <w:numPr>
          <w:ilvl w:val="0"/>
          <w:numId w:val="14"/>
        </w:numPr>
        <w:tabs>
          <w:tab w:val="left" w:pos="1009"/>
        </w:tabs>
        <w:spacing w:after="200" w:line="276" w:lineRule="auto"/>
        <w:jc w:val="center"/>
      </w:pPr>
      <w:bookmarkStart w:id="2434" w:name="_Ref421658560"/>
      <w:r>
        <w:rPr>
          <w:rFonts w:cs="Arial"/>
          <w:b/>
          <w:lang w:bidi="ar-SA"/>
        </w:rPr>
        <w:t>:</w:t>
      </w:r>
      <w:r>
        <w:rPr>
          <w:rFonts w:cs="Arial"/>
          <w:b/>
          <w:lang w:eastAsia="de-DE" w:bidi="ar-SA"/>
        </w:rPr>
        <w:t xml:space="preserve">  Scenario Parameters</w:t>
      </w:r>
      <w:bookmarkEnd w:id="2434"/>
    </w:p>
    <w:p w14:paraId="5033BDCA"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 1:</w:t>
      </w:r>
      <w:r>
        <w:rPr>
          <w:szCs w:val="22"/>
          <w:lang w:val="en-US" w:eastAsia="en-GB" w:bidi="ar-SA"/>
        </w:rPr>
        <w:tab/>
        <w:t>Deletion of other keysets, belonging to the former SM-SR, can be realized by the new SM-SR using the dedicated command “FinaliseISDRhandover” defined in section 4.1.1.9, only after it has received confirmation of the proper completion of ISD-R keyset establishment.</w:t>
      </w:r>
    </w:p>
    <w:p w14:paraId="6C04DE2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case the scenario parameter specifies usage of HostID+CardID (bit b3=1), then the SM-SR and the eUICC SHALL use the SIN-LV and SDIN-LV of ISD-R, in lieu of the IIN-LV and CIN-LV of the card; this deviates from GP Amendment E [11].</w:t>
      </w:r>
    </w:p>
    <w:p w14:paraId="11CC3E7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knows the SIN and SDIN of ISD-R as per the EIS.</w:t>
      </w:r>
    </w:p>
    <w:p w14:paraId="638608AA" w14:textId="508F25A0" w:rsidR="00B97365" w:rsidRDefault="00000000">
      <w:pPr>
        <w:spacing w:before="0" w:after="200" w:line="276" w:lineRule="auto"/>
        <w:jc w:val="left"/>
        <w:rPr>
          <w:szCs w:val="22"/>
          <w:lang w:val="en-US" w:eastAsia="en-GB" w:bidi="ar-SA"/>
        </w:rPr>
      </w:pPr>
      <w:r>
        <w:rPr>
          <w:rFonts w:cs="Arial"/>
          <w:szCs w:val="22"/>
          <w:lang w:val="en-US" w:eastAsia="en-GB" w:bidi="ar-SA"/>
        </w:rPr>
        <w:t xml:space="preserve">The following TLV-encoded data are signed off-card with SK.SR. ECDSA to generate the content of DGI '5F37' (signature), as described in GlobalPlatform Card Specification Amendment E </w:t>
      </w:r>
      <w:r>
        <w:fldChar w:fldCharType="begin"/>
      </w:r>
      <w:r>
        <w:rPr>
          <w:szCs w:val="22"/>
          <w:lang w:val="en-US" w:eastAsia="en-GB" w:bidi="ar-SA"/>
        </w:rPr>
        <w:instrText xml:space="preserve"> REF _Ref421632038 \r \h </w:instrText>
      </w:r>
      <w:r>
        <w:fldChar w:fldCharType="separate"/>
      </w:r>
      <w:r w:rsidR="001D5AD9">
        <w:rPr>
          <w:szCs w:val="22"/>
          <w:lang w:val="en-US" w:eastAsia="en-GB" w:bidi="ar-SA"/>
        </w:rPr>
        <w:t>[11]</w:t>
      </w:r>
      <w:r>
        <w:fldChar w:fldCharType="end"/>
      </w:r>
      <w:r>
        <w:rPr>
          <w:szCs w:val="22"/>
          <w:lang w:val="en-US" w:eastAsia="en-GB" w:bidi="ar-SA"/>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37"/>
        <w:gridCol w:w="799"/>
        <w:gridCol w:w="577"/>
        <w:gridCol w:w="835"/>
        <w:gridCol w:w="1028"/>
        <w:gridCol w:w="1248"/>
        <w:gridCol w:w="2838"/>
        <w:gridCol w:w="954"/>
      </w:tblGrid>
      <w:tr w:rsidR="00B97365" w14:paraId="1EF55E76" w14:textId="77777777">
        <w:trPr>
          <w:cantSplit/>
          <w:tblHeader/>
          <w:jc w:val="center"/>
        </w:trPr>
        <w:tc>
          <w:tcPr>
            <w:tcW w:w="409" w:type="pct"/>
            <w:tcBorders>
              <w:top w:val="single" w:sz="4" w:space="0" w:color="auto"/>
              <w:left w:val="single" w:sz="4" w:space="0" w:color="auto"/>
              <w:bottom w:val="single" w:sz="6" w:space="0" w:color="auto"/>
              <w:right w:val="single" w:sz="6" w:space="0" w:color="auto"/>
            </w:tcBorders>
            <w:shd w:val="clear" w:color="auto" w:fill="C00000"/>
            <w:hideMark/>
          </w:tcPr>
          <w:p w14:paraId="280757FF" w14:textId="77777777" w:rsidR="00B97365" w:rsidRDefault="00000000">
            <w:pPr>
              <w:rPr>
                <w:rFonts w:cs="Calibri"/>
                <w:b/>
                <w:color w:val="FFFFFF"/>
                <w:sz w:val="16"/>
                <w:szCs w:val="16"/>
              </w:rPr>
            </w:pPr>
            <w:r>
              <w:rPr>
                <w:rFonts w:cs="Calibri"/>
                <w:b/>
                <w:color w:val="FFFFFF"/>
                <w:sz w:val="16"/>
                <w:szCs w:val="16"/>
              </w:rPr>
              <w:t>DGI</w:t>
            </w:r>
          </w:p>
        </w:tc>
        <w:tc>
          <w:tcPr>
            <w:tcW w:w="443" w:type="pct"/>
            <w:tcBorders>
              <w:top w:val="single" w:sz="4" w:space="0" w:color="auto"/>
              <w:left w:val="single" w:sz="6" w:space="0" w:color="auto"/>
              <w:bottom w:val="single" w:sz="6" w:space="0" w:color="auto"/>
              <w:right w:val="single" w:sz="6" w:space="0" w:color="auto"/>
            </w:tcBorders>
            <w:shd w:val="clear" w:color="auto" w:fill="C00000"/>
            <w:hideMark/>
          </w:tcPr>
          <w:p w14:paraId="3CC79D3D" w14:textId="77777777" w:rsidR="00B97365" w:rsidRDefault="00000000">
            <w:pPr>
              <w:jc w:val="center"/>
              <w:rPr>
                <w:rFonts w:cs="Calibri"/>
                <w:b/>
                <w:color w:val="FFFFFF"/>
                <w:sz w:val="16"/>
                <w:szCs w:val="16"/>
              </w:rPr>
            </w:pPr>
            <w:r>
              <w:rPr>
                <w:rFonts w:cs="Calibri"/>
                <w:b/>
                <w:color w:val="FFFFFF"/>
                <w:sz w:val="16"/>
                <w:szCs w:val="16"/>
              </w:rPr>
              <w:t>Length</w:t>
            </w:r>
          </w:p>
        </w:tc>
        <w:tc>
          <w:tcPr>
            <w:tcW w:w="3619" w:type="pct"/>
            <w:gridSpan w:val="5"/>
            <w:tcBorders>
              <w:top w:val="single" w:sz="4" w:space="0" w:color="auto"/>
              <w:left w:val="single" w:sz="6" w:space="0" w:color="auto"/>
              <w:bottom w:val="single" w:sz="6" w:space="0" w:color="auto"/>
              <w:right w:val="single" w:sz="6" w:space="0" w:color="auto"/>
            </w:tcBorders>
            <w:shd w:val="clear" w:color="auto" w:fill="C00000"/>
            <w:hideMark/>
          </w:tcPr>
          <w:p w14:paraId="50E81190" w14:textId="77777777" w:rsidR="00B97365" w:rsidRDefault="00000000">
            <w:pPr>
              <w:rPr>
                <w:rFonts w:cs="Calibri"/>
                <w:b/>
                <w:color w:val="FFFFFF"/>
                <w:sz w:val="16"/>
                <w:szCs w:val="16"/>
              </w:rPr>
            </w:pPr>
            <w:r>
              <w:rPr>
                <w:rFonts w:cs="Calibri"/>
                <w:b/>
                <w:color w:val="FFFFFF"/>
                <w:sz w:val="16"/>
                <w:szCs w:val="16"/>
              </w:rPr>
              <w:t>Value Description</w:t>
            </w:r>
          </w:p>
        </w:tc>
        <w:tc>
          <w:tcPr>
            <w:tcW w:w="529" w:type="pct"/>
            <w:tcBorders>
              <w:top w:val="single" w:sz="4" w:space="0" w:color="auto"/>
              <w:left w:val="single" w:sz="6" w:space="0" w:color="auto"/>
              <w:bottom w:val="single" w:sz="6" w:space="0" w:color="auto"/>
              <w:right w:val="single" w:sz="4" w:space="0" w:color="auto"/>
            </w:tcBorders>
            <w:shd w:val="clear" w:color="auto" w:fill="C00000"/>
            <w:hideMark/>
          </w:tcPr>
          <w:p w14:paraId="71F6AA6F"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C05AD4C" w14:textId="77777777">
        <w:trPr>
          <w:cantSplit/>
          <w:jc w:val="center"/>
        </w:trPr>
        <w:tc>
          <w:tcPr>
            <w:tcW w:w="409" w:type="pct"/>
            <w:tcBorders>
              <w:top w:val="single" w:sz="6" w:space="0" w:color="auto"/>
              <w:left w:val="single" w:sz="4" w:space="0" w:color="auto"/>
              <w:bottom w:val="single" w:sz="6" w:space="0" w:color="auto"/>
              <w:right w:val="single" w:sz="6" w:space="0" w:color="auto"/>
            </w:tcBorders>
            <w:hideMark/>
          </w:tcPr>
          <w:p w14:paraId="46358B57" w14:textId="77777777" w:rsidR="00B97365" w:rsidRDefault="00000000">
            <w:pPr>
              <w:rPr>
                <w:rFonts w:cs="Calibri"/>
                <w:sz w:val="16"/>
                <w:szCs w:val="16"/>
              </w:rPr>
            </w:pPr>
            <w:r>
              <w:rPr>
                <w:rFonts w:cs="Calibri"/>
                <w:sz w:val="16"/>
                <w:szCs w:val="16"/>
              </w:rPr>
              <w:t>'3A02'</w:t>
            </w:r>
          </w:p>
        </w:tc>
        <w:tc>
          <w:tcPr>
            <w:tcW w:w="443" w:type="pct"/>
            <w:tcBorders>
              <w:top w:val="single" w:sz="6" w:space="0" w:color="auto"/>
              <w:left w:val="single" w:sz="6" w:space="0" w:color="auto"/>
              <w:bottom w:val="single" w:sz="6" w:space="0" w:color="auto"/>
              <w:right w:val="single" w:sz="6" w:space="0" w:color="auto"/>
            </w:tcBorders>
            <w:hideMark/>
          </w:tcPr>
          <w:p w14:paraId="0F2F6479" w14:textId="77777777" w:rsidR="00B97365" w:rsidRDefault="00000000">
            <w:pPr>
              <w:rPr>
                <w:rFonts w:cs="Calibri"/>
                <w:sz w:val="16"/>
                <w:szCs w:val="16"/>
              </w:rPr>
            </w:pPr>
            <w:r>
              <w:rPr>
                <w:rFonts w:cs="Calibri"/>
                <w:sz w:val="16"/>
                <w:szCs w:val="16"/>
              </w:rPr>
              <w:t>Var</w:t>
            </w:r>
          </w:p>
        </w:tc>
        <w:tc>
          <w:tcPr>
            <w:tcW w:w="3619" w:type="pct"/>
            <w:gridSpan w:val="5"/>
            <w:tcBorders>
              <w:top w:val="single" w:sz="6" w:space="0" w:color="auto"/>
              <w:left w:val="single" w:sz="6" w:space="0" w:color="auto"/>
              <w:bottom w:val="single" w:sz="6" w:space="0" w:color="auto"/>
              <w:right w:val="single" w:sz="6" w:space="0" w:color="auto"/>
            </w:tcBorders>
            <w:hideMark/>
          </w:tcPr>
          <w:p w14:paraId="282E1D99" w14:textId="77777777" w:rsidR="00B97365" w:rsidRDefault="00000000">
            <w:pPr>
              <w:rPr>
                <w:rFonts w:cs="Calibri"/>
                <w:sz w:val="16"/>
                <w:szCs w:val="16"/>
              </w:rPr>
            </w:pPr>
            <w:r>
              <w:rPr>
                <w:rFonts w:cs="Calibri"/>
                <w:sz w:val="16"/>
                <w:szCs w:val="16"/>
              </w:rPr>
              <w:t>Key set Establishment</w:t>
            </w:r>
          </w:p>
        </w:tc>
        <w:tc>
          <w:tcPr>
            <w:tcW w:w="529" w:type="pct"/>
            <w:tcBorders>
              <w:top w:val="single" w:sz="6" w:space="0" w:color="auto"/>
              <w:left w:val="single" w:sz="6" w:space="0" w:color="auto"/>
              <w:bottom w:val="single" w:sz="6" w:space="0" w:color="auto"/>
              <w:right w:val="single" w:sz="4" w:space="0" w:color="auto"/>
            </w:tcBorders>
            <w:hideMark/>
          </w:tcPr>
          <w:p w14:paraId="0C322D6F" w14:textId="77777777" w:rsidR="00B97365" w:rsidRDefault="00000000">
            <w:pPr>
              <w:jc w:val="center"/>
              <w:rPr>
                <w:rFonts w:cs="Calibri"/>
                <w:sz w:val="16"/>
                <w:szCs w:val="16"/>
              </w:rPr>
            </w:pPr>
            <w:r>
              <w:rPr>
                <w:rFonts w:cs="Calibri"/>
                <w:sz w:val="16"/>
                <w:szCs w:val="16"/>
              </w:rPr>
              <w:t>M</w:t>
            </w:r>
          </w:p>
        </w:tc>
      </w:tr>
      <w:tr w:rsidR="00B97365" w14:paraId="2F0A9978"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00D642BC"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36CADF2B"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shd w:val="clear" w:color="auto" w:fill="C00000"/>
            <w:hideMark/>
          </w:tcPr>
          <w:p w14:paraId="1FE0494B" w14:textId="77777777" w:rsidR="00B97365" w:rsidRDefault="00000000">
            <w:pPr>
              <w:spacing w:after="120" w:line="276" w:lineRule="auto"/>
              <w:jc w:val="center"/>
              <w:rPr>
                <w:rFonts w:cs="Calibri"/>
                <w:b/>
                <w:color w:val="FFFFFF"/>
                <w:sz w:val="16"/>
                <w:szCs w:val="16"/>
              </w:rPr>
            </w:pPr>
            <w:r>
              <w:rPr>
                <w:rFonts w:cs="Calibri"/>
                <w:b/>
                <w:color w:val="FFFFFF"/>
                <w:sz w:val="16"/>
                <w:szCs w:val="16"/>
              </w:rPr>
              <w:t>Tag</w:t>
            </w:r>
          </w:p>
        </w:tc>
        <w:tc>
          <w:tcPr>
            <w:tcW w:w="463" w:type="pct"/>
            <w:tcBorders>
              <w:top w:val="single" w:sz="6" w:space="0" w:color="auto"/>
              <w:left w:val="single" w:sz="6" w:space="0" w:color="auto"/>
              <w:bottom w:val="single" w:sz="6" w:space="0" w:color="auto"/>
              <w:right w:val="single" w:sz="6" w:space="0" w:color="auto"/>
            </w:tcBorders>
            <w:shd w:val="clear" w:color="auto" w:fill="C00000"/>
            <w:hideMark/>
          </w:tcPr>
          <w:p w14:paraId="7A688AEC" w14:textId="77777777" w:rsidR="00B97365" w:rsidRDefault="00000000">
            <w:pPr>
              <w:spacing w:after="120" w:line="276" w:lineRule="auto"/>
              <w:jc w:val="center"/>
              <w:rPr>
                <w:rFonts w:cs="Calibri"/>
                <w:b/>
                <w:color w:val="FFFFFF"/>
                <w:sz w:val="16"/>
                <w:szCs w:val="16"/>
              </w:rPr>
            </w:pPr>
            <w:r>
              <w:rPr>
                <w:rFonts w:cs="Calibri"/>
                <w:b/>
                <w:color w:val="FFFFFF"/>
                <w:sz w:val="16"/>
                <w:szCs w:val="16"/>
              </w:rPr>
              <w:t>Length</w:t>
            </w:r>
          </w:p>
        </w:tc>
        <w:tc>
          <w:tcPr>
            <w:tcW w:w="2836" w:type="pct"/>
            <w:gridSpan w:val="3"/>
            <w:tcBorders>
              <w:top w:val="single" w:sz="6" w:space="0" w:color="auto"/>
              <w:left w:val="single" w:sz="6" w:space="0" w:color="auto"/>
              <w:bottom w:val="single" w:sz="6" w:space="0" w:color="auto"/>
              <w:right w:val="single" w:sz="6" w:space="0" w:color="auto"/>
            </w:tcBorders>
            <w:shd w:val="clear" w:color="auto" w:fill="C00000"/>
            <w:hideMark/>
          </w:tcPr>
          <w:p w14:paraId="17A68748" w14:textId="77777777" w:rsidR="00B97365" w:rsidRDefault="00000000">
            <w:pPr>
              <w:spacing w:after="120" w:line="276" w:lineRule="auto"/>
              <w:jc w:val="center"/>
              <w:rPr>
                <w:rFonts w:cs="Calibri"/>
                <w:b/>
                <w:color w:val="FFFFFF"/>
                <w:sz w:val="16"/>
                <w:szCs w:val="16"/>
              </w:rPr>
            </w:pPr>
            <w:r>
              <w:rPr>
                <w:rFonts w:cs="Calibri"/>
                <w:b/>
                <w:color w:val="FFFFFF"/>
                <w:sz w:val="16"/>
                <w:szCs w:val="16"/>
              </w:rPr>
              <w:t>Value Description</w:t>
            </w:r>
          </w:p>
        </w:tc>
        <w:tc>
          <w:tcPr>
            <w:tcW w:w="529" w:type="pct"/>
            <w:tcBorders>
              <w:top w:val="single" w:sz="6" w:space="0" w:color="auto"/>
              <w:left w:val="single" w:sz="6" w:space="0" w:color="auto"/>
              <w:bottom w:val="single" w:sz="6" w:space="0" w:color="auto"/>
              <w:right w:val="single" w:sz="4" w:space="0" w:color="auto"/>
            </w:tcBorders>
            <w:shd w:val="clear" w:color="auto" w:fill="C00000"/>
            <w:hideMark/>
          </w:tcPr>
          <w:p w14:paraId="6AA09F4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F7EC974"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44AE590D"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6F9B13FF"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hideMark/>
          </w:tcPr>
          <w:p w14:paraId="2B5B1A65" w14:textId="77777777" w:rsidR="00B97365" w:rsidRDefault="00000000">
            <w:pPr>
              <w:rPr>
                <w:rFonts w:cs="Calibri"/>
                <w:sz w:val="16"/>
                <w:szCs w:val="16"/>
              </w:rPr>
            </w:pPr>
            <w:r>
              <w:rPr>
                <w:rFonts w:cs="Calibri"/>
                <w:sz w:val="16"/>
                <w:szCs w:val="16"/>
              </w:rPr>
              <w:t>'A6'</w:t>
            </w:r>
          </w:p>
        </w:tc>
        <w:tc>
          <w:tcPr>
            <w:tcW w:w="463" w:type="pct"/>
            <w:tcBorders>
              <w:top w:val="single" w:sz="6" w:space="0" w:color="auto"/>
              <w:left w:val="single" w:sz="6" w:space="0" w:color="auto"/>
              <w:bottom w:val="single" w:sz="6" w:space="0" w:color="auto"/>
              <w:right w:val="single" w:sz="6" w:space="0" w:color="auto"/>
            </w:tcBorders>
            <w:hideMark/>
          </w:tcPr>
          <w:p w14:paraId="611058CD" w14:textId="77777777" w:rsidR="00B97365" w:rsidRDefault="00000000">
            <w:pPr>
              <w:rPr>
                <w:rFonts w:cs="Calibri"/>
                <w:sz w:val="16"/>
                <w:szCs w:val="16"/>
              </w:rPr>
            </w:pPr>
            <w:r>
              <w:rPr>
                <w:rFonts w:cs="Calibri"/>
                <w:sz w:val="16"/>
                <w:szCs w:val="16"/>
              </w:rPr>
              <w:t>Var</w:t>
            </w:r>
          </w:p>
        </w:tc>
        <w:tc>
          <w:tcPr>
            <w:tcW w:w="2836" w:type="pct"/>
            <w:gridSpan w:val="3"/>
            <w:tcBorders>
              <w:top w:val="single" w:sz="6" w:space="0" w:color="auto"/>
              <w:left w:val="single" w:sz="6" w:space="0" w:color="auto"/>
              <w:bottom w:val="single" w:sz="6" w:space="0" w:color="auto"/>
              <w:right w:val="single" w:sz="6" w:space="0" w:color="auto"/>
            </w:tcBorders>
            <w:hideMark/>
          </w:tcPr>
          <w:p w14:paraId="4B2B8E95" w14:textId="77777777" w:rsidR="00B97365" w:rsidRDefault="00000000">
            <w:pPr>
              <w:rPr>
                <w:rFonts w:cs="Calibri"/>
                <w:sz w:val="16"/>
                <w:szCs w:val="16"/>
              </w:rPr>
            </w:pPr>
            <w:r>
              <w:rPr>
                <w:rFonts w:cs="Calibri"/>
                <w:sz w:val="16"/>
                <w:szCs w:val="16"/>
              </w:rPr>
              <w:t>CRT tag (KAT)</w:t>
            </w:r>
          </w:p>
        </w:tc>
        <w:tc>
          <w:tcPr>
            <w:tcW w:w="529" w:type="pct"/>
            <w:tcBorders>
              <w:top w:val="single" w:sz="6" w:space="0" w:color="auto"/>
              <w:left w:val="single" w:sz="6" w:space="0" w:color="auto"/>
              <w:bottom w:val="single" w:sz="6" w:space="0" w:color="auto"/>
              <w:right w:val="single" w:sz="4" w:space="0" w:color="auto"/>
            </w:tcBorders>
            <w:hideMark/>
          </w:tcPr>
          <w:p w14:paraId="6109C95C" w14:textId="77777777" w:rsidR="00B97365" w:rsidRDefault="00000000">
            <w:pPr>
              <w:jc w:val="center"/>
              <w:rPr>
                <w:rFonts w:cs="Calibri"/>
                <w:sz w:val="16"/>
                <w:szCs w:val="16"/>
              </w:rPr>
            </w:pPr>
            <w:r>
              <w:rPr>
                <w:rFonts w:cs="Calibri"/>
                <w:sz w:val="16"/>
                <w:szCs w:val="16"/>
              </w:rPr>
              <w:t>M</w:t>
            </w:r>
          </w:p>
        </w:tc>
      </w:tr>
      <w:tr w:rsidR="00B97365" w14:paraId="60C05EE7"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4E034AB8" w14:textId="77777777" w:rsidR="00B97365" w:rsidRDefault="00B97365">
            <w:pPr>
              <w:rPr>
                <w:rFonts w:cs="Calibri"/>
                <w:b/>
                <w:sz w:val="16"/>
                <w:szCs w:val="16"/>
              </w:rPr>
            </w:pPr>
          </w:p>
        </w:tc>
        <w:tc>
          <w:tcPr>
            <w:tcW w:w="443" w:type="pct"/>
            <w:tcBorders>
              <w:top w:val="single" w:sz="6" w:space="0" w:color="auto"/>
              <w:left w:val="single" w:sz="6" w:space="0" w:color="auto"/>
              <w:bottom w:val="single" w:sz="6" w:space="0" w:color="auto"/>
              <w:right w:val="single" w:sz="6" w:space="0" w:color="auto"/>
            </w:tcBorders>
          </w:tcPr>
          <w:p w14:paraId="6F565E0A" w14:textId="77777777" w:rsidR="00B97365" w:rsidRDefault="00B97365">
            <w:pPr>
              <w:rPr>
                <w:rFonts w:cs="Calibri"/>
                <w:b/>
                <w:sz w:val="16"/>
                <w:szCs w:val="16"/>
              </w:rPr>
            </w:pPr>
          </w:p>
        </w:tc>
        <w:tc>
          <w:tcPr>
            <w:tcW w:w="320" w:type="pct"/>
            <w:tcBorders>
              <w:top w:val="single" w:sz="6" w:space="0" w:color="auto"/>
              <w:left w:val="single" w:sz="6" w:space="0" w:color="auto"/>
              <w:bottom w:val="single" w:sz="6" w:space="0" w:color="auto"/>
              <w:right w:val="single" w:sz="6" w:space="0" w:color="auto"/>
            </w:tcBorders>
          </w:tcPr>
          <w:p w14:paraId="5F62A6BC" w14:textId="77777777" w:rsidR="00B97365" w:rsidRDefault="00B97365">
            <w:pPr>
              <w:rPr>
                <w:rFonts w:cs="Calibri"/>
                <w:b/>
                <w:sz w:val="16"/>
                <w:szCs w:val="16"/>
              </w:rPr>
            </w:pPr>
          </w:p>
        </w:tc>
        <w:tc>
          <w:tcPr>
            <w:tcW w:w="463" w:type="pct"/>
            <w:tcBorders>
              <w:top w:val="single" w:sz="6" w:space="0" w:color="auto"/>
              <w:left w:val="single" w:sz="6" w:space="0" w:color="auto"/>
              <w:bottom w:val="single" w:sz="6" w:space="0" w:color="auto"/>
              <w:right w:val="single" w:sz="6" w:space="0" w:color="auto"/>
            </w:tcBorders>
          </w:tcPr>
          <w:p w14:paraId="66A352EF" w14:textId="77777777" w:rsidR="00B97365" w:rsidRDefault="00B97365">
            <w:pPr>
              <w:rPr>
                <w:rFonts w:cs="Calibri"/>
                <w:b/>
                <w:sz w:val="16"/>
                <w:szCs w:val="16"/>
              </w:rPr>
            </w:pPr>
          </w:p>
        </w:tc>
        <w:tc>
          <w:tcPr>
            <w:tcW w:w="570" w:type="pct"/>
            <w:tcBorders>
              <w:top w:val="single" w:sz="6" w:space="0" w:color="auto"/>
              <w:left w:val="single" w:sz="6" w:space="0" w:color="auto"/>
              <w:bottom w:val="single" w:sz="6" w:space="0" w:color="auto"/>
              <w:right w:val="single" w:sz="6" w:space="0" w:color="auto"/>
            </w:tcBorders>
            <w:shd w:val="clear" w:color="auto" w:fill="C00000"/>
            <w:hideMark/>
          </w:tcPr>
          <w:p w14:paraId="22B19675" w14:textId="77777777" w:rsidR="00B97365" w:rsidRDefault="00000000">
            <w:pPr>
              <w:spacing w:after="120" w:line="276" w:lineRule="auto"/>
              <w:jc w:val="center"/>
              <w:rPr>
                <w:rFonts w:cs="Calibri"/>
                <w:b/>
                <w:color w:val="FFFFFF"/>
                <w:sz w:val="16"/>
                <w:szCs w:val="16"/>
              </w:rPr>
            </w:pPr>
            <w:r>
              <w:rPr>
                <w:rFonts w:cs="Calibri"/>
                <w:b/>
                <w:color w:val="FFFFFF"/>
                <w:sz w:val="16"/>
                <w:szCs w:val="16"/>
              </w:rPr>
              <w:t>Tag</w:t>
            </w:r>
          </w:p>
        </w:tc>
        <w:tc>
          <w:tcPr>
            <w:tcW w:w="692" w:type="pct"/>
            <w:tcBorders>
              <w:top w:val="single" w:sz="6" w:space="0" w:color="auto"/>
              <w:left w:val="single" w:sz="6" w:space="0" w:color="auto"/>
              <w:bottom w:val="single" w:sz="6" w:space="0" w:color="auto"/>
              <w:right w:val="single" w:sz="6" w:space="0" w:color="auto"/>
            </w:tcBorders>
            <w:shd w:val="clear" w:color="auto" w:fill="C00000"/>
            <w:hideMark/>
          </w:tcPr>
          <w:p w14:paraId="11E5D51B" w14:textId="77777777" w:rsidR="00B97365" w:rsidRDefault="00000000">
            <w:pPr>
              <w:spacing w:after="120" w:line="276" w:lineRule="auto"/>
              <w:jc w:val="center"/>
              <w:rPr>
                <w:rFonts w:cs="Calibri"/>
                <w:b/>
                <w:color w:val="FFFFFF"/>
                <w:sz w:val="16"/>
                <w:szCs w:val="16"/>
              </w:rPr>
            </w:pPr>
            <w:r>
              <w:rPr>
                <w:rFonts w:cs="Calibri"/>
                <w:b/>
                <w:color w:val="FFFFFF"/>
                <w:sz w:val="16"/>
                <w:szCs w:val="16"/>
              </w:rPr>
              <w:t>Length</w:t>
            </w:r>
          </w:p>
        </w:tc>
        <w:tc>
          <w:tcPr>
            <w:tcW w:w="1573" w:type="pct"/>
            <w:tcBorders>
              <w:top w:val="single" w:sz="6" w:space="0" w:color="auto"/>
              <w:left w:val="single" w:sz="6" w:space="0" w:color="auto"/>
              <w:bottom w:val="single" w:sz="6" w:space="0" w:color="auto"/>
              <w:right w:val="single" w:sz="6" w:space="0" w:color="auto"/>
            </w:tcBorders>
            <w:shd w:val="clear" w:color="auto" w:fill="C00000"/>
            <w:hideMark/>
          </w:tcPr>
          <w:p w14:paraId="392D350A" w14:textId="77777777" w:rsidR="00B97365" w:rsidRDefault="00000000">
            <w:pPr>
              <w:spacing w:after="120" w:line="276" w:lineRule="auto"/>
              <w:rPr>
                <w:rFonts w:cs="Calibri"/>
                <w:b/>
                <w:color w:val="FFFFFF"/>
                <w:sz w:val="16"/>
                <w:szCs w:val="16"/>
              </w:rPr>
            </w:pPr>
            <w:r>
              <w:rPr>
                <w:rFonts w:cs="Calibri"/>
                <w:b/>
                <w:color w:val="FFFFFF"/>
                <w:sz w:val="16"/>
                <w:szCs w:val="16"/>
              </w:rPr>
              <w:t>Value Description</w:t>
            </w:r>
          </w:p>
        </w:tc>
        <w:tc>
          <w:tcPr>
            <w:tcW w:w="529" w:type="pct"/>
            <w:tcBorders>
              <w:top w:val="single" w:sz="6" w:space="0" w:color="auto"/>
              <w:left w:val="single" w:sz="6" w:space="0" w:color="auto"/>
              <w:bottom w:val="single" w:sz="6" w:space="0" w:color="auto"/>
              <w:right w:val="single" w:sz="4" w:space="0" w:color="auto"/>
            </w:tcBorders>
            <w:shd w:val="clear" w:color="auto" w:fill="C00000"/>
            <w:hideMark/>
          </w:tcPr>
          <w:p w14:paraId="16589E5F"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F3C1656"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4F05AD31"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27D21282"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411CD9AC"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0AD76A2A"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05107619" w14:textId="77777777" w:rsidR="00B97365" w:rsidRDefault="00000000">
            <w:pPr>
              <w:rPr>
                <w:rFonts w:cs="Calibri"/>
                <w:sz w:val="16"/>
                <w:szCs w:val="16"/>
              </w:rPr>
            </w:pPr>
            <w:r>
              <w:rPr>
                <w:rFonts w:cs="Calibri"/>
                <w:sz w:val="16"/>
                <w:szCs w:val="16"/>
              </w:rPr>
              <w:t>'90'</w:t>
            </w:r>
          </w:p>
        </w:tc>
        <w:tc>
          <w:tcPr>
            <w:tcW w:w="692" w:type="pct"/>
            <w:tcBorders>
              <w:top w:val="single" w:sz="6" w:space="0" w:color="auto"/>
              <w:left w:val="single" w:sz="6" w:space="0" w:color="auto"/>
              <w:bottom w:val="single" w:sz="6" w:space="0" w:color="auto"/>
              <w:right w:val="single" w:sz="6" w:space="0" w:color="auto"/>
            </w:tcBorders>
            <w:hideMark/>
          </w:tcPr>
          <w:p w14:paraId="638F5055" w14:textId="77777777" w:rsidR="00B97365" w:rsidRDefault="00000000">
            <w:pPr>
              <w:rPr>
                <w:rFonts w:cs="Calibri"/>
                <w:sz w:val="16"/>
                <w:szCs w:val="16"/>
              </w:rPr>
            </w:pPr>
            <w:r>
              <w:rPr>
                <w:rFonts w:cs="Calibri"/>
                <w:sz w:val="16"/>
                <w:szCs w:val="16"/>
              </w:rPr>
              <w:t>2</w:t>
            </w:r>
          </w:p>
        </w:tc>
        <w:tc>
          <w:tcPr>
            <w:tcW w:w="1573" w:type="pct"/>
            <w:tcBorders>
              <w:top w:val="single" w:sz="6" w:space="0" w:color="auto"/>
              <w:left w:val="single" w:sz="6" w:space="0" w:color="auto"/>
              <w:bottom w:val="single" w:sz="6" w:space="0" w:color="auto"/>
              <w:right w:val="single" w:sz="6" w:space="0" w:color="auto"/>
            </w:tcBorders>
            <w:hideMark/>
          </w:tcPr>
          <w:p w14:paraId="0C09B003" w14:textId="79A1FD80" w:rsidR="00B97365" w:rsidRDefault="00000000">
            <w:pPr>
              <w:rPr>
                <w:rFonts w:cs="Calibri"/>
                <w:sz w:val="16"/>
                <w:szCs w:val="16"/>
              </w:rPr>
            </w:pPr>
            <w:r>
              <w:rPr>
                <w:rFonts w:cs="Calibri"/>
                <w:sz w:val="16"/>
                <w:szCs w:val="16"/>
              </w:rPr>
              <w:t xml:space="preserve">Scenario identifier ‘03’ (see GlobalPlatform Card Specification Amendment E: Security Upgrade for Card Content Management  </w:t>
            </w:r>
            <w:r>
              <w:fldChar w:fldCharType="begin"/>
            </w:r>
            <w:r>
              <w:rPr>
                <w:rFonts w:cs="Calibri"/>
                <w:sz w:val="16"/>
                <w:szCs w:val="16"/>
              </w:rPr>
              <w:instrText xml:space="preserve"> REF _Ref421632038 \r \h </w:instrText>
            </w:r>
            <w:r>
              <w:fldChar w:fldCharType="separate"/>
            </w:r>
            <w:r w:rsidR="001D5AD9">
              <w:rPr>
                <w:rFonts w:cs="Calibri"/>
                <w:sz w:val="16"/>
                <w:szCs w:val="16"/>
              </w:rPr>
              <w:t>[11]</w:t>
            </w:r>
            <w:r>
              <w:fldChar w:fldCharType="end"/>
            </w:r>
            <w:r>
              <w:rPr>
                <w:rFonts w:cs="Calibri"/>
                <w:sz w:val="16"/>
                <w:szCs w:val="16"/>
              </w:rPr>
              <w:t xml:space="preserve"> section 4.8.1)</w:t>
            </w:r>
          </w:p>
          <w:p w14:paraId="6AB2227A" w14:textId="18405F28" w:rsidR="00B97365" w:rsidRDefault="00000000">
            <w:pPr>
              <w:rPr>
                <w:rFonts w:cs="Calibri"/>
                <w:sz w:val="16"/>
                <w:szCs w:val="16"/>
              </w:rPr>
            </w:pPr>
            <w:r>
              <w:rPr>
                <w:rFonts w:cs="Calibri"/>
                <w:sz w:val="16"/>
                <w:szCs w:val="16"/>
              </w:rPr>
              <w:t xml:space="preserve">Scenario Parameters ‘0X’ (See </w:t>
            </w:r>
            <w:r>
              <w:fldChar w:fldCharType="begin"/>
            </w:r>
            <w:r>
              <w:rPr>
                <w:rFonts w:cs="Calibri"/>
                <w:sz w:val="16"/>
                <w:szCs w:val="16"/>
              </w:rPr>
              <w:instrText xml:space="preserve"> REF _Ref421658560 \r \h </w:instrText>
            </w:r>
            <w:r>
              <w:fldChar w:fldCharType="separate"/>
            </w:r>
            <w:r w:rsidR="001D5AD9">
              <w:rPr>
                <w:rFonts w:cs="Calibri"/>
                <w:sz w:val="16"/>
                <w:szCs w:val="16"/>
              </w:rPr>
              <w:t>Table 45</w:t>
            </w:r>
            <w:r>
              <w:fldChar w:fldCharType="end"/>
            </w:r>
            <w:r>
              <w:rPr>
                <w:rFonts w:cs="Calibri"/>
                <w:sz w:val="16"/>
                <w:szCs w:val="16"/>
              </w:rPr>
              <w:t>)</w:t>
            </w:r>
          </w:p>
        </w:tc>
        <w:tc>
          <w:tcPr>
            <w:tcW w:w="529" w:type="pct"/>
            <w:tcBorders>
              <w:top w:val="single" w:sz="6" w:space="0" w:color="auto"/>
              <w:left w:val="single" w:sz="6" w:space="0" w:color="auto"/>
              <w:bottom w:val="single" w:sz="6" w:space="0" w:color="auto"/>
              <w:right w:val="single" w:sz="4" w:space="0" w:color="auto"/>
            </w:tcBorders>
            <w:hideMark/>
          </w:tcPr>
          <w:p w14:paraId="4EE195C9" w14:textId="77777777" w:rsidR="00B97365" w:rsidRDefault="00000000">
            <w:pPr>
              <w:jc w:val="center"/>
              <w:rPr>
                <w:sz w:val="16"/>
                <w:szCs w:val="16"/>
              </w:rPr>
            </w:pPr>
            <w:r>
              <w:rPr>
                <w:rFonts w:cs="Calibri"/>
                <w:sz w:val="16"/>
                <w:szCs w:val="16"/>
              </w:rPr>
              <w:t>M</w:t>
            </w:r>
          </w:p>
        </w:tc>
      </w:tr>
      <w:tr w:rsidR="00B97365" w14:paraId="4C8D08B3"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7F31C4AB"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3352D5C0"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0BDEE385"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00CB24B6"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0C4C00DC" w14:textId="77777777" w:rsidR="00B97365" w:rsidRDefault="00000000">
            <w:pPr>
              <w:rPr>
                <w:rFonts w:cs="Calibri"/>
                <w:sz w:val="16"/>
                <w:szCs w:val="16"/>
              </w:rPr>
            </w:pPr>
            <w:r>
              <w:rPr>
                <w:rFonts w:cs="Calibri"/>
                <w:sz w:val="16"/>
                <w:szCs w:val="16"/>
              </w:rPr>
              <w:t>'95'</w:t>
            </w:r>
          </w:p>
        </w:tc>
        <w:tc>
          <w:tcPr>
            <w:tcW w:w="692" w:type="pct"/>
            <w:tcBorders>
              <w:top w:val="single" w:sz="6" w:space="0" w:color="auto"/>
              <w:left w:val="single" w:sz="6" w:space="0" w:color="auto"/>
              <w:bottom w:val="single" w:sz="6" w:space="0" w:color="auto"/>
              <w:right w:val="single" w:sz="6" w:space="0" w:color="auto"/>
            </w:tcBorders>
            <w:hideMark/>
          </w:tcPr>
          <w:p w14:paraId="5AC9A7E0" w14:textId="77777777" w:rsidR="00B97365" w:rsidRDefault="00000000">
            <w:pPr>
              <w:rPr>
                <w:rFonts w:cs="Calibri"/>
                <w:sz w:val="16"/>
                <w:szCs w:val="16"/>
              </w:rPr>
            </w:pPr>
            <w:r>
              <w:rPr>
                <w:rFonts w:cs="Calibri"/>
                <w:sz w:val="16"/>
                <w:szCs w:val="16"/>
              </w:rPr>
              <w:t>'01'</w:t>
            </w:r>
          </w:p>
        </w:tc>
        <w:tc>
          <w:tcPr>
            <w:tcW w:w="1573" w:type="pct"/>
            <w:tcBorders>
              <w:top w:val="single" w:sz="6" w:space="0" w:color="auto"/>
              <w:left w:val="single" w:sz="6" w:space="0" w:color="auto"/>
              <w:bottom w:val="single" w:sz="6" w:space="0" w:color="auto"/>
              <w:right w:val="single" w:sz="6" w:space="0" w:color="auto"/>
            </w:tcBorders>
            <w:hideMark/>
          </w:tcPr>
          <w:p w14:paraId="053A2B4F" w14:textId="77777777" w:rsidR="00B97365" w:rsidRDefault="00000000">
            <w:pPr>
              <w:rPr>
                <w:rFonts w:cs="Calibri"/>
                <w:bCs/>
                <w:sz w:val="16"/>
                <w:szCs w:val="16"/>
              </w:rPr>
            </w:pPr>
            <w:r>
              <w:rPr>
                <w:rFonts w:cs="Calibri"/>
                <w:sz w:val="16"/>
                <w:szCs w:val="16"/>
              </w:rPr>
              <w:t>Key Usage Qualifier</w:t>
            </w:r>
            <w:r>
              <w:rPr>
                <w:rFonts w:cs="Calibri"/>
                <w:sz w:val="16"/>
                <w:szCs w:val="16"/>
              </w:rPr>
              <w:br/>
              <w:t xml:space="preserve">   '5C' (1 secure channel base key) or</w:t>
            </w:r>
          </w:p>
          <w:p w14:paraId="239C3949" w14:textId="2B10A6F5" w:rsidR="00B97365" w:rsidRDefault="00000000">
            <w:pPr>
              <w:rPr>
                <w:rFonts w:cs="Calibri"/>
                <w:sz w:val="16"/>
                <w:szCs w:val="16"/>
              </w:rPr>
            </w:pPr>
            <w:r>
              <w:rPr>
                <w:rFonts w:cs="Calibri"/>
                <w:sz w:val="16"/>
                <w:szCs w:val="16"/>
              </w:rPr>
              <w:t xml:space="preserve">   '10' (3 secure channel keys)</w:t>
            </w:r>
            <w:r>
              <w:rPr>
                <w:rFonts w:cs="Calibri"/>
                <w:sz w:val="16"/>
                <w:szCs w:val="16"/>
              </w:rPr>
              <w:br/>
              <w:t xml:space="preserve">   (see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11-17)</w:t>
            </w:r>
          </w:p>
        </w:tc>
        <w:tc>
          <w:tcPr>
            <w:tcW w:w="529" w:type="pct"/>
            <w:tcBorders>
              <w:top w:val="single" w:sz="6" w:space="0" w:color="auto"/>
              <w:left w:val="single" w:sz="6" w:space="0" w:color="auto"/>
              <w:bottom w:val="single" w:sz="6" w:space="0" w:color="auto"/>
              <w:right w:val="single" w:sz="4" w:space="0" w:color="auto"/>
            </w:tcBorders>
            <w:hideMark/>
          </w:tcPr>
          <w:p w14:paraId="3B4E7937" w14:textId="77777777" w:rsidR="00B97365" w:rsidRDefault="00000000">
            <w:pPr>
              <w:jc w:val="center"/>
              <w:rPr>
                <w:sz w:val="16"/>
                <w:szCs w:val="16"/>
              </w:rPr>
            </w:pPr>
            <w:r>
              <w:rPr>
                <w:rFonts w:cs="Calibri"/>
                <w:sz w:val="16"/>
                <w:szCs w:val="16"/>
              </w:rPr>
              <w:t>M</w:t>
            </w:r>
          </w:p>
        </w:tc>
      </w:tr>
      <w:tr w:rsidR="00B97365" w14:paraId="06E75912"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59938D13"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0C97E7C6"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3AA3508D"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2655FEDA"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4C1EAB90" w14:textId="77777777" w:rsidR="00B97365" w:rsidRDefault="00000000">
            <w:pPr>
              <w:rPr>
                <w:rFonts w:cs="Calibri"/>
                <w:sz w:val="16"/>
                <w:szCs w:val="16"/>
              </w:rPr>
            </w:pPr>
            <w:r>
              <w:rPr>
                <w:rFonts w:cs="Calibri"/>
                <w:sz w:val="16"/>
                <w:szCs w:val="16"/>
              </w:rPr>
              <w:t>'96'</w:t>
            </w:r>
          </w:p>
        </w:tc>
        <w:tc>
          <w:tcPr>
            <w:tcW w:w="692" w:type="pct"/>
            <w:tcBorders>
              <w:top w:val="single" w:sz="6" w:space="0" w:color="auto"/>
              <w:left w:val="single" w:sz="6" w:space="0" w:color="auto"/>
              <w:bottom w:val="single" w:sz="6" w:space="0" w:color="auto"/>
              <w:right w:val="single" w:sz="6" w:space="0" w:color="auto"/>
            </w:tcBorders>
            <w:hideMark/>
          </w:tcPr>
          <w:p w14:paraId="4FA8A042" w14:textId="77777777" w:rsidR="00B97365" w:rsidRDefault="00000000">
            <w:pPr>
              <w:rPr>
                <w:rFonts w:cs="Calibri"/>
                <w:sz w:val="16"/>
                <w:szCs w:val="16"/>
              </w:rPr>
            </w:pPr>
            <w:r>
              <w:rPr>
                <w:rFonts w:cs="Calibri"/>
                <w:sz w:val="16"/>
                <w:szCs w:val="16"/>
              </w:rPr>
              <w:t>'01'</w:t>
            </w:r>
          </w:p>
        </w:tc>
        <w:tc>
          <w:tcPr>
            <w:tcW w:w="1573" w:type="pct"/>
            <w:tcBorders>
              <w:top w:val="single" w:sz="6" w:space="0" w:color="auto"/>
              <w:left w:val="single" w:sz="6" w:space="0" w:color="auto"/>
              <w:bottom w:val="single" w:sz="6" w:space="0" w:color="auto"/>
              <w:right w:val="single" w:sz="6" w:space="0" w:color="auto"/>
            </w:tcBorders>
            <w:hideMark/>
          </w:tcPr>
          <w:p w14:paraId="1318E1DD" w14:textId="4A62EAD5" w:rsidR="00B97365" w:rsidRDefault="00000000">
            <w:pPr>
              <w:rPr>
                <w:rFonts w:cs="Calibri"/>
                <w:sz w:val="16"/>
                <w:szCs w:val="16"/>
              </w:rPr>
            </w:pPr>
            <w:r>
              <w:rPr>
                <w:rFonts w:cs="Calibri"/>
                <w:sz w:val="16"/>
                <w:szCs w:val="16"/>
              </w:rPr>
              <w:t xml:space="preserve">Key Access according to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11-18</w:t>
            </w:r>
            <w:r>
              <w:rPr>
                <w:rFonts w:eastAsia="Times New Roman" w:cs="Calibri"/>
                <w:sz w:val="16"/>
                <w:szCs w:val="16"/>
              </w:rPr>
              <w:t>– if present</w:t>
            </w:r>
          </w:p>
        </w:tc>
        <w:tc>
          <w:tcPr>
            <w:tcW w:w="529" w:type="pct"/>
            <w:tcBorders>
              <w:top w:val="single" w:sz="6" w:space="0" w:color="auto"/>
              <w:left w:val="single" w:sz="6" w:space="0" w:color="auto"/>
              <w:bottom w:val="single" w:sz="6" w:space="0" w:color="auto"/>
              <w:right w:val="single" w:sz="4" w:space="0" w:color="auto"/>
            </w:tcBorders>
            <w:hideMark/>
          </w:tcPr>
          <w:p w14:paraId="3C9DA59D" w14:textId="77777777" w:rsidR="00B97365" w:rsidRDefault="00000000">
            <w:pPr>
              <w:jc w:val="center"/>
              <w:rPr>
                <w:sz w:val="16"/>
                <w:szCs w:val="16"/>
              </w:rPr>
            </w:pPr>
            <w:r>
              <w:rPr>
                <w:rFonts w:cs="Calibri"/>
                <w:sz w:val="16"/>
                <w:szCs w:val="16"/>
              </w:rPr>
              <w:t>C</w:t>
            </w:r>
          </w:p>
        </w:tc>
      </w:tr>
      <w:tr w:rsidR="00B97365" w14:paraId="2321CCCA"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7450C3A1"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596DEB40"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68E6E883"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7D72E9DD"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3C82C24A" w14:textId="77777777" w:rsidR="00B97365" w:rsidRDefault="00000000">
            <w:pPr>
              <w:rPr>
                <w:rFonts w:cs="Calibri"/>
                <w:sz w:val="16"/>
                <w:szCs w:val="16"/>
              </w:rPr>
            </w:pPr>
            <w:r>
              <w:rPr>
                <w:rFonts w:cs="Calibri"/>
                <w:sz w:val="16"/>
                <w:szCs w:val="16"/>
              </w:rPr>
              <w:t>'80'</w:t>
            </w:r>
          </w:p>
        </w:tc>
        <w:tc>
          <w:tcPr>
            <w:tcW w:w="692" w:type="pct"/>
            <w:tcBorders>
              <w:top w:val="single" w:sz="6" w:space="0" w:color="auto"/>
              <w:left w:val="single" w:sz="6" w:space="0" w:color="auto"/>
              <w:bottom w:val="single" w:sz="6" w:space="0" w:color="auto"/>
              <w:right w:val="single" w:sz="6" w:space="0" w:color="auto"/>
            </w:tcBorders>
            <w:hideMark/>
          </w:tcPr>
          <w:p w14:paraId="7F646639" w14:textId="77777777" w:rsidR="00B97365" w:rsidRDefault="00000000">
            <w:pPr>
              <w:rPr>
                <w:rFonts w:cs="Calibri"/>
                <w:sz w:val="16"/>
                <w:szCs w:val="16"/>
              </w:rPr>
            </w:pPr>
            <w:r>
              <w:rPr>
                <w:rFonts w:cs="Calibri"/>
                <w:sz w:val="16"/>
                <w:szCs w:val="16"/>
              </w:rPr>
              <w:t>'01'</w:t>
            </w:r>
          </w:p>
        </w:tc>
        <w:tc>
          <w:tcPr>
            <w:tcW w:w="1573" w:type="pct"/>
            <w:tcBorders>
              <w:top w:val="single" w:sz="6" w:space="0" w:color="auto"/>
              <w:left w:val="single" w:sz="6" w:space="0" w:color="auto"/>
              <w:bottom w:val="single" w:sz="6" w:space="0" w:color="auto"/>
              <w:right w:val="single" w:sz="6" w:space="0" w:color="auto"/>
            </w:tcBorders>
            <w:hideMark/>
          </w:tcPr>
          <w:p w14:paraId="49B294A3" w14:textId="25053561" w:rsidR="00B97365" w:rsidRDefault="00000000">
            <w:pPr>
              <w:rPr>
                <w:rFonts w:cs="Calibri"/>
                <w:sz w:val="16"/>
                <w:szCs w:val="16"/>
              </w:rPr>
            </w:pPr>
            <w:r>
              <w:rPr>
                <w:rFonts w:cs="Calibri"/>
                <w:sz w:val="16"/>
                <w:szCs w:val="16"/>
              </w:rPr>
              <w:t xml:space="preserve">Key Type according to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11-16</w:t>
            </w:r>
          </w:p>
        </w:tc>
        <w:tc>
          <w:tcPr>
            <w:tcW w:w="529" w:type="pct"/>
            <w:tcBorders>
              <w:top w:val="single" w:sz="6" w:space="0" w:color="auto"/>
              <w:left w:val="single" w:sz="6" w:space="0" w:color="auto"/>
              <w:bottom w:val="single" w:sz="6" w:space="0" w:color="auto"/>
              <w:right w:val="single" w:sz="4" w:space="0" w:color="auto"/>
            </w:tcBorders>
            <w:hideMark/>
          </w:tcPr>
          <w:p w14:paraId="62FD1BD6" w14:textId="77777777" w:rsidR="00B97365" w:rsidRDefault="00000000">
            <w:pPr>
              <w:jc w:val="center"/>
              <w:rPr>
                <w:sz w:val="16"/>
                <w:szCs w:val="16"/>
              </w:rPr>
            </w:pPr>
            <w:r>
              <w:rPr>
                <w:rFonts w:cs="Calibri"/>
                <w:sz w:val="16"/>
                <w:szCs w:val="16"/>
              </w:rPr>
              <w:t>M</w:t>
            </w:r>
          </w:p>
        </w:tc>
      </w:tr>
      <w:tr w:rsidR="00B97365" w14:paraId="072915F4"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62BA385F"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1D11904C"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45D969C8"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40BC0402"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07F29F37" w14:textId="77777777" w:rsidR="00B97365" w:rsidRDefault="00000000">
            <w:pPr>
              <w:rPr>
                <w:rFonts w:cs="Calibri"/>
                <w:sz w:val="16"/>
                <w:szCs w:val="16"/>
              </w:rPr>
            </w:pPr>
            <w:r>
              <w:rPr>
                <w:rFonts w:cs="Calibri"/>
                <w:sz w:val="16"/>
                <w:szCs w:val="16"/>
              </w:rPr>
              <w:t>'81'</w:t>
            </w:r>
          </w:p>
        </w:tc>
        <w:tc>
          <w:tcPr>
            <w:tcW w:w="692" w:type="pct"/>
            <w:tcBorders>
              <w:top w:val="single" w:sz="6" w:space="0" w:color="auto"/>
              <w:left w:val="single" w:sz="6" w:space="0" w:color="auto"/>
              <w:bottom w:val="single" w:sz="6" w:space="0" w:color="auto"/>
              <w:right w:val="single" w:sz="6" w:space="0" w:color="auto"/>
            </w:tcBorders>
            <w:hideMark/>
          </w:tcPr>
          <w:p w14:paraId="01D2B655" w14:textId="77777777" w:rsidR="00B97365" w:rsidRDefault="00000000">
            <w:pPr>
              <w:rPr>
                <w:rFonts w:cs="Calibri"/>
                <w:sz w:val="16"/>
                <w:szCs w:val="16"/>
              </w:rPr>
            </w:pPr>
            <w:r>
              <w:rPr>
                <w:rFonts w:cs="Calibri"/>
                <w:sz w:val="16"/>
                <w:szCs w:val="16"/>
              </w:rPr>
              <w:t>'01'</w:t>
            </w:r>
          </w:p>
        </w:tc>
        <w:tc>
          <w:tcPr>
            <w:tcW w:w="1573" w:type="pct"/>
            <w:tcBorders>
              <w:top w:val="single" w:sz="6" w:space="0" w:color="auto"/>
              <w:left w:val="single" w:sz="6" w:space="0" w:color="auto"/>
              <w:bottom w:val="single" w:sz="6" w:space="0" w:color="auto"/>
              <w:right w:val="single" w:sz="6" w:space="0" w:color="auto"/>
            </w:tcBorders>
            <w:hideMark/>
          </w:tcPr>
          <w:p w14:paraId="0BA99AF2" w14:textId="77777777" w:rsidR="00B97365" w:rsidRDefault="00000000">
            <w:pPr>
              <w:rPr>
                <w:rFonts w:cs="Calibri"/>
                <w:sz w:val="16"/>
                <w:szCs w:val="16"/>
              </w:rPr>
            </w:pPr>
            <w:r>
              <w:rPr>
                <w:rFonts w:cs="Calibri"/>
                <w:sz w:val="16"/>
                <w:szCs w:val="16"/>
              </w:rPr>
              <w:t>Key Length (in bytes)</w:t>
            </w:r>
          </w:p>
        </w:tc>
        <w:tc>
          <w:tcPr>
            <w:tcW w:w="529" w:type="pct"/>
            <w:tcBorders>
              <w:top w:val="single" w:sz="6" w:space="0" w:color="auto"/>
              <w:left w:val="single" w:sz="6" w:space="0" w:color="auto"/>
              <w:bottom w:val="single" w:sz="6" w:space="0" w:color="auto"/>
              <w:right w:val="single" w:sz="4" w:space="0" w:color="auto"/>
            </w:tcBorders>
            <w:hideMark/>
          </w:tcPr>
          <w:p w14:paraId="04A9F503" w14:textId="77777777" w:rsidR="00B97365" w:rsidRDefault="00000000">
            <w:pPr>
              <w:jc w:val="center"/>
              <w:rPr>
                <w:sz w:val="16"/>
                <w:szCs w:val="16"/>
              </w:rPr>
            </w:pPr>
            <w:r>
              <w:rPr>
                <w:rFonts w:cs="Calibri"/>
                <w:sz w:val="16"/>
                <w:szCs w:val="16"/>
              </w:rPr>
              <w:t>M</w:t>
            </w:r>
          </w:p>
        </w:tc>
      </w:tr>
      <w:tr w:rsidR="00B97365" w14:paraId="7847C922"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4E3BD9C1"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691DA92D"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31F01FBB"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63FE107D"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24CB7729" w14:textId="77777777" w:rsidR="00B97365" w:rsidRDefault="00000000">
            <w:pPr>
              <w:rPr>
                <w:rFonts w:cs="Calibri"/>
                <w:sz w:val="16"/>
                <w:szCs w:val="16"/>
              </w:rPr>
            </w:pPr>
            <w:r>
              <w:rPr>
                <w:rFonts w:cs="Calibri"/>
                <w:sz w:val="16"/>
                <w:szCs w:val="16"/>
              </w:rPr>
              <w:t>'82'</w:t>
            </w:r>
          </w:p>
        </w:tc>
        <w:tc>
          <w:tcPr>
            <w:tcW w:w="692" w:type="pct"/>
            <w:tcBorders>
              <w:top w:val="single" w:sz="6" w:space="0" w:color="auto"/>
              <w:left w:val="single" w:sz="6" w:space="0" w:color="auto"/>
              <w:bottom w:val="single" w:sz="6" w:space="0" w:color="auto"/>
              <w:right w:val="single" w:sz="6" w:space="0" w:color="auto"/>
            </w:tcBorders>
            <w:hideMark/>
          </w:tcPr>
          <w:p w14:paraId="2CA71B04" w14:textId="77777777" w:rsidR="00B97365" w:rsidRDefault="00000000">
            <w:pPr>
              <w:rPr>
                <w:rFonts w:cs="Calibri"/>
                <w:sz w:val="16"/>
                <w:szCs w:val="16"/>
              </w:rPr>
            </w:pPr>
            <w:r>
              <w:rPr>
                <w:rFonts w:cs="Calibri"/>
                <w:sz w:val="16"/>
                <w:szCs w:val="16"/>
              </w:rPr>
              <w:t>'01'</w:t>
            </w:r>
          </w:p>
        </w:tc>
        <w:tc>
          <w:tcPr>
            <w:tcW w:w="1573" w:type="pct"/>
            <w:tcBorders>
              <w:top w:val="single" w:sz="6" w:space="0" w:color="auto"/>
              <w:left w:val="single" w:sz="6" w:space="0" w:color="auto"/>
              <w:bottom w:val="single" w:sz="6" w:space="0" w:color="auto"/>
              <w:right w:val="single" w:sz="6" w:space="0" w:color="auto"/>
            </w:tcBorders>
            <w:hideMark/>
          </w:tcPr>
          <w:p w14:paraId="21C427FF" w14:textId="77777777" w:rsidR="00B97365" w:rsidRDefault="00000000">
            <w:pPr>
              <w:rPr>
                <w:rFonts w:cs="Calibri"/>
                <w:sz w:val="16"/>
                <w:szCs w:val="16"/>
              </w:rPr>
            </w:pPr>
            <w:r>
              <w:rPr>
                <w:rFonts w:cs="Calibri"/>
                <w:sz w:val="16"/>
                <w:szCs w:val="16"/>
              </w:rPr>
              <w:t>Key Identifier = '00' - '7F'</w:t>
            </w:r>
          </w:p>
        </w:tc>
        <w:tc>
          <w:tcPr>
            <w:tcW w:w="529" w:type="pct"/>
            <w:tcBorders>
              <w:top w:val="single" w:sz="6" w:space="0" w:color="auto"/>
              <w:left w:val="single" w:sz="6" w:space="0" w:color="auto"/>
              <w:bottom w:val="single" w:sz="6" w:space="0" w:color="auto"/>
              <w:right w:val="single" w:sz="4" w:space="0" w:color="auto"/>
            </w:tcBorders>
            <w:hideMark/>
          </w:tcPr>
          <w:p w14:paraId="7D3F164F" w14:textId="77777777" w:rsidR="00B97365" w:rsidRDefault="00000000">
            <w:pPr>
              <w:jc w:val="center"/>
              <w:rPr>
                <w:sz w:val="16"/>
                <w:szCs w:val="16"/>
              </w:rPr>
            </w:pPr>
            <w:r>
              <w:rPr>
                <w:rFonts w:cs="Calibri"/>
                <w:sz w:val="16"/>
                <w:szCs w:val="16"/>
              </w:rPr>
              <w:t>M</w:t>
            </w:r>
          </w:p>
        </w:tc>
      </w:tr>
      <w:tr w:rsidR="00B97365" w14:paraId="34A7C62C"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74FC280A"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0899103B"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73106000"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563FE585"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6C551387" w14:textId="77777777" w:rsidR="00B97365" w:rsidRDefault="00000000">
            <w:pPr>
              <w:rPr>
                <w:rFonts w:cs="Calibri"/>
                <w:sz w:val="16"/>
                <w:szCs w:val="16"/>
              </w:rPr>
            </w:pPr>
            <w:r>
              <w:rPr>
                <w:rFonts w:cs="Calibri"/>
                <w:sz w:val="16"/>
                <w:szCs w:val="16"/>
              </w:rPr>
              <w:t>'83'</w:t>
            </w:r>
          </w:p>
        </w:tc>
        <w:tc>
          <w:tcPr>
            <w:tcW w:w="692" w:type="pct"/>
            <w:tcBorders>
              <w:top w:val="single" w:sz="6" w:space="0" w:color="auto"/>
              <w:left w:val="single" w:sz="6" w:space="0" w:color="auto"/>
              <w:bottom w:val="single" w:sz="6" w:space="0" w:color="auto"/>
              <w:right w:val="single" w:sz="6" w:space="0" w:color="auto"/>
            </w:tcBorders>
            <w:hideMark/>
          </w:tcPr>
          <w:p w14:paraId="16DB17AF" w14:textId="77777777" w:rsidR="00B97365" w:rsidRDefault="00000000">
            <w:pPr>
              <w:rPr>
                <w:rFonts w:cs="Calibri"/>
                <w:sz w:val="16"/>
                <w:szCs w:val="16"/>
              </w:rPr>
            </w:pPr>
            <w:r>
              <w:rPr>
                <w:rFonts w:cs="Calibri"/>
                <w:sz w:val="16"/>
                <w:szCs w:val="16"/>
              </w:rPr>
              <w:t>'01'</w:t>
            </w:r>
          </w:p>
        </w:tc>
        <w:tc>
          <w:tcPr>
            <w:tcW w:w="1573" w:type="pct"/>
            <w:tcBorders>
              <w:top w:val="single" w:sz="6" w:space="0" w:color="auto"/>
              <w:left w:val="single" w:sz="6" w:space="0" w:color="auto"/>
              <w:bottom w:val="single" w:sz="6" w:space="0" w:color="auto"/>
              <w:right w:val="single" w:sz="6" w:space="0" w:color="auto"/>
            </w:tcBorders>
            <w:hideMark/>
          </w:tcPr>
          <w:p w14:paraId="6E284EF1" w14:textId="77777777" w:rsidR="00B97365" w:rsidRDefault="00000000">
            <w:pPr>
              <w:rPr>
                <w:rFonts w:cs="Calibri"/>
                <w:sz w:val="16"/>
                <w:szCs w:val="16"/>
              </w:rPr>
            </w:pPr>
            <w:r>
              <w:rPr>
                <w:rFonts w:cs="Calibri"/>
                <w:sz w:val="16"/>
                <w:szCs w:val="16"/>
              </w:rPr>
              <w:t>Key Version Number = '01' - '7F'</w:t>
            </w:r>
          </w:p>
        </w:tc>
        <w:tc>
          <w:tcPr>
            <w:tcW w:w="529" w:type="pct"/>
            <w:tcBorders>
              <w:top w:val="single" w:sz="6" w:space="0" w:color="auto"/>
              <w:left w:val="single" w:sz="6" w:space="0" w:color="auto"/>
              <w:bottom w:val="single" w:sz="6" w:space="0" w:color="auto"/>
              <w:right w:val="single" w:sz="4" w:space="0" w:color="auto"/>
            </w:tcBorders>
            <w:hideMark/>
          </w:tcPr>
          <w:p w14:paraId="1B696080" w14:textId="77777777" w:rsidR="00B97365" w:rsidRDefault="00000000">
            <w:pPr>
              <w:jc w:val="center"/>
              <w:rPr>
                <w:sz w:val="16"/>
                <w:szCs w:val="16"/>
              </w:rPr>
            </w:pPr>
            <w:r>
              <w:rPr>
                <w:rFonts w:cs="Calibri"/>
                <w:sz w:val="16"/>
                <w:szCs w:val="16"/>
              </w:rPr>
              <w:t>M</w:t>
            </w:r>
          </w:p>
        </w:tc>
      </w:tr>
      <w:tr w:rsidR="00B97365" w14:paraId="40CDA043"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236A5E41"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42AE960A"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3EBEE0D7"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3BC45E77"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7768C435" w14:textId="77777777" w:rsidR="00B97365" w:rsidRDefault="00000000">
            <w:pPr>
              <w:rPr>
                <w:rFonts w:cs="Calibri"/>
                <w:sz w:val="16"/>
                <w:szCs w:val="16"/>
              </w:rPr>
            </w:pPr>
            <w:r>
              <w:rPr>
                <w:rFonts w:cs="Calibri"/>
                <w:sz w:val="16"/>
                <w:szCs w:val="16"/>
              </w:rPr>
              <w:t>'91'</w:t>
            </w:r>
          </w:p>
        </w:tc>
        <w:tc>
          <w:tcPr>
            <w:tcW w:w="692" w:type="pct"/>
            <w:tcBorders>
              <w:top w:val="single" w:sz="6" w:space="0" w:color="auto"/>
              <w:left w:val="single" w:sz="6" w:space="0" w:color="auto"/>
              <w:bottom w:val="single" w:sz="6" w:space="0" w:color="auto"/>
              <w:right w:val="single" w:sz="6" w:space="0" w:color="auto"/>
            </w:tcBorders>
            <w:hideMark/>
          </w:tcPr>
          <w:p w14:paraId="093C2250" w14:textId="77777777" w:rsidR="00B97365" w:rsidRDefault="00000000">
            <w:pPr>
              <w:rPr>
                <w:rFonts w:cs="Calibri"/>
                <w:sz w:val="16"/>
                <w:szCs w:val="16"/>
              </w:rPr>
            </w:pPr>
            <w:r>
              <w:rPr>
                <w:rFonts w:cs="Calibri"/>
                <w:sz w:val="16"/>
                <w:szCs w:val="16"/>
              </w:rPr>
              <w:t>'00', '02', '03', '05' or '08'</w:t>
            </w:r>
          </w:p>
        </w:tc>
        <w:tc>
          <w:tcPr>
            <w:tcW w:w="1573" w:type="pct"/>
            <w:tcBorders>
              <w:top w:val="single" w:sz="6" w:space="0" w:color="auto"/>
              <w:left w:val="single" w:sz="6" w:space="0" w:color="auto"/>
              <w:bottom w:val="single" w:sz="6" w:space="0" w:color="auto"/>
              <w:right w:val="single" w:sz="6" w:space="0" w:color="auto"/>
            </w:tcBorders>
            <w:hideMark/>
          </w:tcPr>
          <w:p w14:paraId="62FD10AE" w14:textId="77777777" w:rsidR="00B97365" w:rsidRDefault="00000000">
            <w:pPr>
              <w:rPr>
                <w:rFonts w:cs="Calibri"/>
                <w:sz w:val="16"/>
                <w:szCs w:val="16"/>
              </w:rPr>
            </w:pPr>
            <w:r>
              <w:rPr>
                <w:rFonts w:cs="Calibri"/>
                <w:sz w:val="16"/>
                <w:szCs w:val="16"/>
              </w:rPr>
              <w:t>Initial value of sequence counter</w:t>
            </w:r>
          </w:p>
        </w:tc>
        <w:tc>
          <w:tcPr>
            <w:tcW w:w="529" w:type="pct"/>
            <w:tcBorders>
              <w:top w:val="single" w:sz="6" w:space="0" w:color="auto"/>
              <w:left w:val="single" w:sz="6" w:space="0" w:color="auto"/>
              <w:bottom w:val="single" w:sz="6" w:space="0" w:color="auto"/>
              <w:right w:val="single" w:sz="4" w:space="0" w:color="auto"/>
            </w:tcBorders>
            <w:hideMark/>
          </w:tcPr>
          <w:p w14:paraId="2175D734" w14:textId="77777777" w:rsidR="00B97365" w:rsidRDefault="00000000">
            <w:pPr>
              <w:jc w:val="center"/>
              <w:rPr>
                <w:sz w:val="16"/>
                <w:szCs w:val="16"/>
              </w:rPr>
            </w:pPr>
            <w:r>
              <w:rPr>
                <w:rFonts w:cs="Calibri"/>
                <w:sz w:val="16"/>
                <w:szCs w:val="16"/>
              </w:rPr>
              <w:t>M</w:t>
            </w:r>
          </w:p>
        </w:tc>
      </w:tr>
      <w:tr w:rsidR="00B97365" w14:paraId="425FED34"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2B89F0ED"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65EC6B9E"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39E97D17"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4D70BC63"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78F8046B" w14:textId="77777777" w:rsidR="00B97365" w:rsidRDefault="00000000">
            <w:pPr>
              <w:rPr>
                <w:rFonts w:cs="Calibri"/>
                <w:sz w:val="16"/>
                <w:szCs w:val="16"/>
              </w:rPr>
            </w:pPr>
            <w:r>
              <w:rPr>
                <w:rFonts w:cs="Calibri"/>
                <w:sz w:val="16"/>
                <w:szCs w:val="16"/>
              </w:rPr>
              <w:t>'45'</w:t>
            </w:r>
          </w:p>
        </w:tc>
        <w:tc>
          <w:tcPr>
            <w:tcW w:w="692" w:type="pct"/>
            <w:tcBorders>
              <w:top w:val="single" w:sz="6" w:space="0" w:color="auto"/>
              <w:left w:val="single" w:sz="6" w:space="0" w:color="auto"/>
              <w:bottom w:val="single" w:sz="6" w:space="0" w:color="auto"/>
              <w:right w:val="single" w:sz="6" w:space="0" w:color="auto"/>
            </w:tcBorders>
            <w:hideMark/>
          </w:tcPr>
          <w:p w14:paraId="5DCE70A2" w14:textId="77777777" w:rsidR="00B97365" w:rsidRDefault="00000000">
            <w:pPr>
              <w:rPr>
                <w:rFonts w:cs="Calibri"/>
                <w:sz w:val="16"/>
                <w:szCs w:val="16"/>
              </w:rPr>
            </w:pPr>
            <w:r>
              <w:rPr>
                <w:rFonts w:cs="Calibri"/>
                <w:sz w:val="16"/>
                <w:szCs w:val="16"/>
              </w:rPr>
              <w:t>1-n</w:t>
            </w:r>
          </w:p>
        </w:tc>
        <w:tc>
          <w:tcPr>
            <w:tcW w:w="1573" w:type="pct"/>
            <w:tcBorders>
              <w:top w:val="single" w:sz="6" w:space="0" w:color="auto"/>
              <w:left w:val="single" w:sz="6" w:space="0" w:color="auto"/>
              <w:bottom w:val="single" w:sz="6" w:space="0" w:color="auto"/>
              <w:right w:val="single" w:sz="6" w:space="0" w:color="auto"/>
            </w:tcBorders>
            <w:hideMark/>
          </w:tcPr>
          <w:p w14:paraId="53C3E91E" w14:textId="77777777" w:rsidR="00B97365" w:rsidRDefault="00000000">
            <w:pPr>
              <w:rPr>
                <w:rFonts w:cs="Calibri"/>
                <w:sz w:val="16"/>
                <w:szCs w:val="16"/>
              </w:rPr>
            </w:pPr>
            <w:r>
              <w:rPr>
                <w:rFonts w:cs="Calibri"/>
                <w:sz w:val="16"/>
                <w:szCs w:val="16"/>
              </w:rPr>
              <w:t xml:space="preserve">Security Domain Image Number (SDIN) </w:t>
            </w:r>
            <w:r>
              <w:rPr>
                <w:rFonts w:eastAsia="Times New Roman" w:cs="Calibri"/>
                <w:sz w:val="16"/>
                <w:szCs w:val="16"/>
              </w:rPr>
              <w:t>– if present</w:t>
            </w:r>
          </w:p>
        </w:tc>
        <w:tc>
          <w:tcPr>
            <w:tcW w:w="529" w:type="pct"/>
            <w:tcBorders>
              <w:top w:val="single" w:sz="6" w:space="0" w:color="auto"/>
              <w:left w:val="single" w:sz="6" w:space="0" w:color="auto"/>
              <w:bottom w:val="single" w:sz="6" w:space="0" w:color="auto"/>
              <w:right w:val="single" w:sz="4" w:space="0" w:color="auto"/>
            </w:tcBorders>
            <w:hideMark/>
          </w:tcPr>
          <w:p w14:paraId="1DD2FDD1" w14:textId="77777777" w:rsidR="00B97365" w:rsidRDefault="00000000">
            <w:pPr>
              <w:jc w:val="center"/>
              <w:rPr>
                <w:sz w:val="16"/>
                <w:szCs w:val="16"/>
              </w:rPr>
            </w:pPr>
            <w:r>
              <w:rPr>
                <w:rFonts w:cs="Calibri"/>
                <w:sz w:val="16"/>
                <w:szCs w:val="16"/>
              </w:rPr>
              <w:t>C</w:t>
            </w:r>
          </w:p>
        </w:tc>
      </w:tr>
      <w:tr w:rsidR="00B97365" w14:paraId="4487DD84" w14:textId="77777777">
        <w:trPr>
          <w:cantSplit/>
          <w:jc w:val="center"/>
        </w:trPr>
        <w:tc>
          <w:tcPr>
            <w:tcW w:w="409" w:type="pct"/>
            <w:tcBorders>
              <w:top w:val="single" w:sz="6" w:space="0" w:color="auto"/>
              <w:left w:val="single" w:sz="4" w:space="0" w:color="auto"/>
              <w:bottom w:val="single" w:sz="6" w:space="0" w:color="auto"/>
              <w:right w:val="single" w:sz="6" w:space="0" w:color="auto"/>
            </w:tcBorders>
          </w:tcPr>
          <w:p w14:paraId="751BB928"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439B287F" w14:textId="77777777" w:rsidR="00B97365" w:rsidRDefault="00B97365">
            <w:pPr>
              <w:rPr>
                <w:rFonts w:cs="Calibri"/>
                <w:sz w:val="16"/>
                <w:szCs w:val="16"/>
              </w:rPr>
            </w:pPr>
          </w:p>
        </w:tc>
        <w:tc>
          <w:tcPr>
            <w:tcW w:w="320" w:type="pct"/>
            <w:tcBorders>
              <w:top w:val="single" w:sz="6" w:space="0" w:color="auto"/>
              <w:left w:val="single" w:sz="6" w:space="0" w:color="auto"/>
              <w:bottom w:val="single" w:sz="6" w:space="0" w:color="auto"/>
              <w:right w:val="single" w:sz="6" w:space="0" w:color="auto"/>
            </w:tcBorders>
          </w:tcPr>
          <w:p w14:paraId="326D5872"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27E6CBC2" w14:textId="77777777" w:rsidR="00B97365" w:rsidRDefault="00B97365">
            <w:pPr>
              <w:rPr>
                <w:rFonts w:cs="Calibri"/>
                <w:sz w:val="16"/>
                <w:szCs w:val="16"/>
              </w:rPr>
            </w:pPr>
          </w:p>
        </w:tc>
        <w:tc>
          <w:tcPr>
            <w:tcW w:w="570" w:type="pct"/>
            <w:tcBorders>
              <w:top w:val="single" w:sz="6" w:space="0" w:color="auto"/>
              <w:left w:val="single" w:sz="6" w:space="0" w:color="auto"/>
              <w:bottom w:val="single" w:sz="6" w:space="0" w:color="auto"/>
              <w:right w:val="single" w:sz="6" w:space="0" w:color="auto"/>
            </w:tcBorders>
            <w:hideMark/>
          </w:tcPr>
          <w:p w14:paraId="5C2389BF" w14:textId="77777777" w:rsidR="00B97365" w:rsidRDefault="00000000">
            <w:pPr>
              <w:rPr>
                <w:rFonts w:cs="Calibri"/>
                <w:sz w:val="16"/>
                <w:szCs w:val="16"/>
              </w:rPr>
            </w:pPr>
            <w:r>
              <w:rPr>
                <w:rFonts w:cs="Calibri"/>
                <w:sz w:val="16"/>
                <w:szCs w:val="16"/>
              </w:rPr>
              <w:t>'84'</w:t>
            </w:r>
          </w:p>
        </w:tc>
        <w:tc>
          <w:tcPr>
            <w:tcW w:w="692" w:type="pct"/>
            <w:tcBorders>
              <w:top w:val="single" w:sz="6" w:space="0" w:color="auto"/>
              <w:left w:val="single" w:sz="6" w:space="0" w:color="auto"/>
              <w:bottom w:val="single" w:sz="6" w:space="0" w:color="auto"/>
              <w:right w:val="single" w:sz="6" w:space="0" w:color="auto"/>
            </w:tcBorders>
            <w:hideMark/>
          </w:tcPr>
          <w:p w14:paraId="5A684E09" w14:textId="77777777" w:rsidR="00B97365" w:rsidRDefault="00000000">
            <w:pPr>
              <w:rPr>
                <w:rFonts w:cs="Calibri"/>
                <w:sz w:val="16"/>
                <w:szCs w:val="16"/>
              </w:rPr>
            </w:pPr>
            <w:r>
              <w:rPr>
                <w:rFonts w:cs="Calibri"/>
                <w:sz w:val="16"/>
                <w:szCs w:val="16"/>
              </w:rPr>
              <w:t>1-n</w:t>
            </w:r>
          </w:p>
        </w:tc>
        <w:tc>
          <w:tcPr>
            <w:tcW w:w="1573" w:type="pct"/>
            <w:tcBorders>
              <w:top w:val="single" w:sz="6" w:space="0" w:color="auto"/>
              <w:left w:val="single" w:sz="6" w:space="0" w:color="auto"/>
              <w:bottom w:val="single" w:sz="6" w:space="0" w:color="auto"/>
              <w:right w:val="single" w:sz="6" w:space="0" w:color="auto"/>
            </w:tcBorders>
            <w:hideMark/>
          </w:tcPr>
          <w:p w14:paraId="6E868D74" w14:textId="77777777" w:rsidR="00B97365" w:rsidRDefault="00000000">
            <w:pPr>
              <w:rPr>
                <w:rFonts w:cs="Calibri"/>
                <w:sz w:val="16"/>
                <w:szCs w:val="16"/>
              </w:rPr>
            </w:pPr>
            <w:r>
              <w:rPr>
                <w:rFonts w:cs="Calibri"/>
                <w:sz w:val="16"/>
                <w:szCs w:val="16"/>
              </w:rPr>
              <w:t>HostID (SHALL only be present if scenario parameter b3 is set)</w:t>
            </w:r>
          </w:p>
        </w:tc>
        <w:tc>
          <w:tcPr>
            <w:tcW w:w="529" w:type="pct"/>
            <w:tcBorders>
              <w:top w:val="single" w:sz="6" w:space="0" w:color="auto"/>
              <w:left w:val="single" w:sz="6" w:space="0" w:color="auto"/>
              <w:bottom w:val="single" w:sz="6" w:space="0" w:color="auto"/>
              <w:right w:val="single" w:sz="4" w:space="0" w:color="auto"/>
            </w:tcBorders>
            <w:hideMark/>
          </w:tcPr>
          <w:p w14:paraId="3AED8158" w14:textId="77777777" w:rsidR="00B97365" w:rsidRDefault="00000000">
            <w:pPr>
              <w:jc w:val="center"/>
              <w:rPr>
                <w:sz w:val="16"/>
                <w:szCs w:val="16"/>
              </w:rPr>
            </w:pPr>
            <w:r>
              <w:rPr>
                <w:rFonts w:cs="Calibri"/>
                <w:sz w:val="16"/>
                <w:szCs w:val="16"/>
              </w:rPr>
              <w:t>C</w:t>
            </w:r>
          </w:p>
        </w:tc>
      </w:tr>
      <w:tr w:rsidR="00B97365" w14:paraId="7AD63E3D" w14:textId="77777777">
        <w:trPr>
          <w:cantSplit/>
          <w:jc w:val="center"/>
        </w:trPr>
        <w:tc>
          <w:tcPr>
            <w:tcW w:w="409" w:type="pct"/>
            <w:tcBorders>
              <w:top w:val="single" w:sz="6" w:space="0" w:color="auto"/>
              <w:left w:val="single" w:sz="4" w:space="0" w:color="auto"/>
              <w:bottom w:val="single" w:sz="6" w:space="0" w:color="auto"/>
              <w:right w:val="single" w:sz="6" w:space="0" w:color="auto"/>
            </w:tcBorders>
            <w:hideMark/>
          </w:tcPr>
          <w:p w14:paraId="2B49F4E9" w14:textId="77777777" w:rsidR="00B97365" w:rsidRDefault="00000000">
            <w:pPr>
              <w:rPr>
                <w:rFonts w:cs="Calibri"/>
                <w:sz w:val="16"/>
                <w:szCs w:val="16"/>
              </w:rPr>
            </w:pPr>
            <w:r>
              <w:rPr>
                <w:rFonts w:cs="Calibri"/>
                <w:sz w:val="16"/>
                <w:szCs w:val="16"/>
              </w:rPr>
              <w:t>'7F49'</w:t>
            </w:r>
          </w:p>
        </w:tc>
        <w:tc>
          <w:tcPr>
            <w:tcW w:w="443" w:type="pct"/>
            <w:tcBorders>
              <w:top w:val="single" w:sz="6" w:space="0" w:color="auto"/>
              <w:left w:val="single" w:sz="6" w:space="0" w:color="auto"/>
              <w:bottom w:val="single" w:sz="6" w:space="0" w:color="auto"/>
              <w:right w:val="single" w:sz="6" w:space="0" w:color="auto"/>
            </w:tcBorders>
            <w:hideMark/>
          </w:tcPr>
          <w:p w14:paraId="4F454DF5" w14:textId="77777777" w:rsidR="00B97365" w:rsidRDefault="00000000">
            <w:pPr>
              <w:rPr>
                <w:rFonts w:cs="Calibri"/>
                <w:sz w:val="16"/>
                <w:szCs w:val="16"/>
              </w:rPr>
            </w:pPr>
            <w:r>
              <w:rPr>
                <w:rFonts w:cs="Calibri"/>
                <w:sz w:val="16"/>
                <w:szCs w:val="16"/>
              </w:rPr>
              <w:t>Var</w:t>
            </w:r>
          </w:p>
        </w:tc>
        <w:tc>
          <w:tcPr>
            <w:tcW w:w="3619" w:type="pct"/>
            <w:gridSpan w:val="5"/>
            <w:tcBorders>
              <w:top w:val="single" w:sz="6" w:space="0" w:color="auto"/>
              <w:left w:val="single" w:sz="6" w:space="0" w:color="auto"/>
              <w:bottom w:val="single" w:sz="6" w:space="0" w:color="auto"/>
              <w:right w:val="single" w:sz="6" w:space="0" w:color="auto"/>
            </w:tcBorders>
            <w:hideMark/>
          </w:tcPr>
          <w:p w14:paraId="30CC9C80" w14:textId="77777777" w:rsidR="00B97365" w:rsidRDefault="00000000">
            <w:pPr>
              <w:rPr>
                <w:rFonts w:cs="Calibri"/>
                <w:sz w:val="16"/>
                <w:szCs w:val="16"/>
              </w:rPr>
            </w:pPr>
            <w:r>
              <w:rPr>
                <w:rFonts w:cs="Calibri"/>
                <w:sz w:val="16"/>
                <w:szCs w:val="16"/>
              </w:rPr>
              <w:t>ePK.SR.ECKA</w:t>
            </w:r>
          </w:p>
        </w:tc>
        <w:tc>
          <w:tcPr>
            <w:tcW w:w="529" w:type="pct"/>
            <w:tcBorders>
              <w:top w:val="single" w:sz="6" w:space="0" w:color="auto"/>
              <w:left w:val="single" w:sz="6" w:space="0" w:color="auto"/>
              <w:bottom w:val="single" w:sz="6" w:space="0" w:color="auto"/>
              <w:right w:val="single" w:sz="4" w:space="0" w:color="auto"/>
            </w:tcBorders>
            <w:hideMark/>
          </w:tcPr>
          <w:p w14:paraId="349CB4F1" w14:textId="77777777" w:rsidR="00B97365" w:rsidRDefault="00000000">
            <w:pPr>
              <w:jc w:val="center"/>
              <w:rPr>
                <w:rFonts w:cs="Calibri"/>
                <w:sz w:val="16"/>
                <w:szCs w:val="16"/>
              </w:rPr>
            </w:pPr>
            <w:r>
              <w:rPr>
                <w:rFonts w:cs="Calibri"/>
                <w:sz w:val="16"/>
                <w:szCs w:val="16"/>
              </w:rPr>
              <w:t>M</w:t>
            </w:r>
          </w:p>
        </w:tc>
      </w:tr>
      <w:tr w:rsidR="00B97365" w14:paraId="02CCA62F" w14:textId="77777777">
        <w:trPr>
          <w:cantSplit/>
          <w:jc w:val="center"/>
        </w:trPr>
        <w:tc>
          <w:tcPr>
            <w:tcW w:w="409" w:type="pct"/>
            <w:tcBorders>
              <w:top w:val="single" w:sz="6" w:space="0" w:color="auto"/>
              <w:left w:val="single" w:sz="4" w:space="0" w:color="auto"/>
              <w:bottom w:val="single" w:sz="4" w:space="0" w:color="auto"/>
              <w:right w:val="single" w:sz="6" w:space="0" w:color="auto"/>
            </w:tcBorders>
            <w:hideMark/>
          </w:tcPr>
          <w:p w14:paraId="081EAF50" w14:textId="77777777" w:rsidR="00B97365" w:rsidRDefault="00000000">
            <w:pPr>
              <w:rPr>
                <w:rFonts w:cs="Calibri"/>
                <w:sz w:val="16"/>
                <w:szCs w:val="16"/>
              </w:rPr>
            </w:pPr>
            <w:r>
              <w:rPr>
                <w:rFonts w:cs="Calibri"/>
                <w:sz w:val="16"/>
                <w:szCs w:val="16"/>
              </w:rPr>
              <w:t>'0085'</w:t>
            </w:r>
          </w:p>
        </w:tc>
        <w:tc>
          <w:tcPr>
            <w:tcW w:w="443" w:type="pct"/>
            <w:tcBorders>
              <w:top w:val="single" w:sz="6" w:space="0" w:color="auto"/>
              <w:left w:val="single" w:sz="6" w:space="0" w:color="auto"/>
              <w:bottom w:val="single" w:sz="4" w:space="0" w:color="auto"/>
              <w:right w:val="single" w:sz="6" w:space="0" w:color="auto"/>
            </w:tcBorders>
            <w:hideMark/>
          </w:tcPr>
          <w:p w14:paraId="1C383B00" w14:textId="77777777" w:rsidR="00B97365" w:rsidRDefault="00000000">
            <w:pPr>
              <w:rPr>
                <w:rFonts w:cs="Calibri"/>
                <w:sz w:val="16"/>
                <w:szCs w:val="16"/>
              </w:rPr>
            </w:pPr>
            <w:r>
              <w:rPr>
                <w:rFonts w:cs="Calibri"/>
                <w:sz w:val="16"/>
                <w:szCs w:val="16"/>
              </w:rPr>
              <w:t>Var</w:t>
            </w:r>
          </w:p>
        </w:tc>
        <w:tc>
          <w:tcPr>
            <w:tcW w:w="3619" w:type="pct"/>
            <w:gridSpan w:val="5"/>
            <w:tcBorders>
              <w:top w:val="single" w:sz="6" w:space="0" w:color="auto"/>
              <w:left w:val="single" w:sz="6" w:space="0" w:color="auto"/>
              <w:bottom w:val="single" w:sz="4" w:space="0" w:color="auto"/>
              <w:right w:val="single" w:sz="6" w:space="0" w:color="auto"/>
            </w:tcBorders>
            <w:hideMark/>
          </w:tcPr>
          <w:p w14:paraId="343C258D" w14:textId="77777777" w:rsidR="00B97365" w:rsidRDefault="00000000">
            <w:pPr>
              <w:rPr>
                <w:rFonts w:cs="Calibri"/>
                <w:sz w:val="16"/>
                <w:szCs w:val="16"/>
              </w:rPr>
            </w:pPr>
            <w:r>
              <w:rPr>
                <w:rFonts w:cs="Calibri"/>
                <w:sz w:val="16"/>
                <w:szCs w:val="16"/>
              </w:rPr>
              <w:t>Random Challenge</w:t>
            </w:r>
          </w:p>
        </w:tc>
        <w:tc>
          <w:tcPr>
            <w:tcW w:w="529" w:type="pct"/>
            <w:tcBorders>
              <w:top w:val="single" w:sz="6" w:space="0" w:color="auto"/>
              <w:left w:val="single" w:sz="6" w:space="0" w:color="auto"/>
              <w:bottom w:val="single" w:sz="4" w:space="0" w:color="auto"/>
              <w:right w:val="single" w:sz="4" w:space="0" w:color="auto"/>
            </w:tcBorders>
            <w:hideMark/>
          </w:tcPr>
          <w:p w14:paraId="02794EB2" w14:textId="77777777" w:rsidR="00B97365" w:rsidRDefault="00000000">
            <w:pPr>
              <w:jc w:val="center"/>
              <w:rPr>
                <w:rFonts w:cs="Calibri"/>
                <w:sz w:val="16"/>
                <w:szCs w:val="16"/>
              </w:rPr>
            </w:pPr>
            <w:r>
              <w:rPr>
                <w:rFonts w:cs="Calibri"/>
                <w:sz w:val="16"/>
                <w:szCs w:val="16"/>
              </w:rPr>
              <w:t>M</w:t>
            </w:r>
          </w:p>
        </w:tc>
      </w:tr>
    </w:tbl>
    <w:p w14:paraId="0010104E"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Data Signed to Generate the Signature</w:t>
      </w:r>
    </w:p>
    <w:p w14:paraId="034E1F6E" w14:textId="77777777" w:rsidR="00B97365" w:rsidRDefault="00000000">
      <w:pPr>
        <w:spacing w:before="0" w:after="200" w:line="276" w:lineRule="auto"/>
        <w:jc w:val="left"/>
        <w:rPr>
          <w:b/>
          <w:i/>
          <w:szCs w:val="22"/>
          <w:lang w:val="en-US" w:eastAsia="en-GB" w:bidi="ar-SA"/>
        </w:rPr>
      </w:pPr>
      <w:bookmarkStart w:id="2435" w:name="_Toc420594541"/>
      <w:r>
        <w:rPr>
          <w:rFonts w:cs="Arial"/>
          <w:b/>
          <w:i/>
          <w:szCs w:val="22"/>
          <w:lang w:val="en-US" w:eastAsia="en-GB" w:bidi="ar-SA"/>
        </w:rPr>
        <w:t>Response</w:t>
      </w:r>
      <w:r>
        <w:rPr>
          <w:b/>
          <w:i/>
          <w:szCs w:val="22"/>
          <w:lang w:val="en-US" w:eastAsia="en-GB" w:bidi="ar-SA"/>
        </w:rPr>
        <w:t xml:space="preserve"> Message</w:t>
      </w:r>
      <w:bookmarkEnd w:id="2435"/>
    </w:p>
    <w:p w14:paraId="6718796B" w14:textId="77777777" w:rsidR="00B97365" w:rsidRDefault="00000000">
      <w:pPr>
        <w:spacing w:before="0" w:after="200" w:line="276" w:lineRule="auto"/>
        <w:jc w:val="left"/>
        <w:rPr>
          <w:b/>
          <w:i/>
          <w:szCs w:val="22"/>
          <w:lang w:val="en-US" w:eastAsia="en-GB" w:bidi="ar-SA"/>
        </w:rPr>
      </w:pPr>
      <w:bookmarkStart w:id="2436" w:name="_Toc420594542"/>
      <w:r>
        <w:rPr>
          <w:rFonts w:cs="Arial"/>
          <w:b/>
          <w:i/>
          <w:szCs w:val="22"/>
          <w:lang w:val="en-US" w:eastAsia="en-GB" w:bidi="ar-SA"/>
        </w:rPr>
        <w:t>Data Field</w:t>
      </w:r>
      <w:r>
        <w:rPr>
          <w:b/>
          <w:i/>
          <w:szCs w:val="22"/>
          <w:lang w:val="en-US" w:eastAsia="en-GB" w:bidi="ar-SA"/>
        </w:rPr>
        <w:t xml:space="preserve"> Returned in the Response Message:</w:t>
      </w:r>
      <w:bookmarkEnd w:id="2436"/>
    </w:p>
    <w:p w14:paraId="30F6EFF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response SHALL contain the following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1"/>
        <w:gridCol w:w="804"/>
        <w:gridCol w:w="1230"/>
        <w:gridCol w:w="590"/>
      </w:tblGrid>
      <w:tr w:rsidR="00B97365" w14:paraId="7738F69B"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C60A2F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2577A3F"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0F9B168"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Data Element</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617B9A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MOC</w:t>
            </w:r>
          </w:p>
        </w:tc>
      </w:tr>
      <w:tr w:rsidR="00B97365" w14:paraId="280EEDCD"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5F597D16" w14:textId="77777777" w:rsidR="00B97365" w:rsidRDefault="00000000">
            <w:pPr>
              <w:keepNext/>
              <w:rPr>
                <w:rFonts w:cs="Arial"/>
                <w:bCs/>
                <w:sz w:val="16"/>
                <w:szCs w:val="16"/>
              </w:rPr>
            </w:pPr>
            <w:r>
              <w:rPr>
                <w:rFonts w:cs="Arial"/>
                <w:sz w:val="16"/>
                <w:szCs w:val="16"/>
              </w:rPr>
              <w:t>‘85’</w:t>
            </w:r>
          </w:p>
        </w:tc>
        <w:tc>
          <w:tcPr>
            <w:tcW w:w="0" w:type="auto"/>
            <w:tcBorders>
              <w:top w:val="single" w:sz="6" w:space="0" w:color="auto"/>
              <w:left w:val="single" w:sz="6" w:space="0" w:color="auto"/>
              <w:bottom w:val="single" w:sz="6" w:space="0" w:color="auto"/>
              <w:right w:val="single" w:sz="6" w:space="0" w:color="auto"/>
            </w:tcBorders>
            <w:hideMark/>
          </w:tcPr>
          <w:p w14:paraId="07209AAC" w14:textId="77777777" w:rsidR="00B97365" w:rsidRDefault="00000000">
            <w:pPr>
              <w:keepNext/>
              <w:rPr>
                <w:rFonts w:cs="Arial"/>
                <w:bCs/>
                <w:sz w:val="16"/>
                <w:szCs w:val="16"/>
              </w:rPr>
            </w:pPr>
            <w:r>
              <w:rPr>
                <w:rFonts w:cs="Arial"/>
                <w:sz w:val="16"/>
                <w:szCs w:val="16"/>
              </w:rPr>
              <w:t>Variable</w:t>
            </w:r>
          </w:p>
        </w:tc>
        <w:tc>
          <w:tcPr>
            <w:tcW w:w="0" w:type="auto"/>
            <w:tcBorders>
              <w:top w:val="single" w:sz="6" w:space="0" w:color="auto"/>
              <w:left w:val="single" w:sz="6" w:space="0" w:color="auto"/>
              <w:bottom w:val="single" w:sz="6" w:space="0" w:color="auto"/>
              <w:right w:val="single" w:sz="6" w:space="0" w:color="auto"/>
            </w:tcBorders>
            <w:hideMark/>
          </w:tcPr>
          <w:p w14:paraId="08DA7E9F" w14:textId="77777777" w:rsidR="00B97365" w:rsidRDefault="00000000">
            <w:pPr>
              <w:keepNext/>
              <w:rPr>
                <w:rFonts w:cs="Arial"/>
                <w:bCs/>
                <w:sz w:val="16"/>
                <w:szCs w:val="16"/>
              </w:rPr>
            </w:pPr>
            <w:r>
              <w:rPr>
                <w:rFonts w:cs="Arial"/>
                <w:sz w:val="16"/>
                <w:szCs w:val="16"/>
              </w:rPr>
              <w:t>DR</w:t>
            </w:r>
          </w:p>
        </w:tc>
        <w:tc>
          <w:tcPr>
            <w:tcW w:w="0" w:type="auto"/>
            <w:tcBorders>
              <w:top w:val="single" w:sz="6" w:space="0" w:color="auto"/>
              <w:left w:val="single" w:sz="6" w:space="0" w:color="auto"/>
              <w:bottom w:val="single" w:sz="6" w:space="0" w:color="auto"/>
              <w:right w:val="single" w:sz="4" w:space="0" w:color="auto"/>
            </w:tcBorders>
            <w:hideMark/>
          </w:tcPr>
          <w:p w14:paraId="41384DD6" w14:textId="77777777" w:rsidR="00B97365" w:rsidRDefault="00000000">
            <w:pPr>
              <w:keepNext/>
              <w:jc w:val="center"/>
              <w:rPr>
                <w:rFonts w:cs="Arial"/>
                <w:bCs/>
                <w:sz w:val="16"/>
                <w:szCs w:val="16"/>
              </w:rPr>
            </w:pPr>
            <w:r>
              <w:rPr>
                <w:rFonts w:cs="Arial"/>
                <w:sz w:val="16"/>
                <w:szCs w:val="16"/>
              </w:rPr>
              <w:t>C</w:t>
            </w:r>
          </w:p>
        </w:tc>
      </w:tr>
      <w:tr w:rsidR="00B97365" w14:paraId="5E6B2470"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5FC589E4" w14:textId="77777777" w:rsidR="00B97365" w:rsidRDefault="00000000">
            <w:pPr>
              <w:keepNext/>
              <w:rPr>
                <w:rFonts w:cs="Arial"/>
                <w:bCs/>
                <w:sz w:val="16"/>
                <w:szCs w:val="16"/>
              </w:rPr>
            </w:pPr>
            <w:r>
              <w:rPr>
                <w:rFonts w:cs="Arial"/>
                <w:sz w:val="16"/>
                <w:szCs w:val="16"/>
              </w:rPr>
              <w:t>‘86’</w:t>
            </w:r>
          </w:p>
        </w:tc>
        <w:tc>
          <w:tcPr>
            <w:tcW w:w="0" w:type="auto"/>
            <w:tcBorders>
              <w:top w:val="single" w:sz="6" w:space="0" w:color="auto"/>
              <w:left w:val="single" w:sz="6" w:space="0" w:color="auto"/>
              <w:bottom w:val="single" w:sz="4" w:space="0" w:color="auto"/>
              <w:right w:val="single" w:sz="6" w:space="0" w:color="auto"/>
            </w:tcBorders>
            <w:hideMark/>
          </w:tcPr>
          <w:p w14:paraId="3847E76A" w14:textId="77777777" w:rsidR="00B97365" w:rsidRDefault="00000000">
            <w:pPr>
              <w:keepNext/>
              <w:rPr>
                <w:rFonts w:cs="Arial"/>
                <w:bCs/>
                <w:sz w:val="16"/>
                <w:szCs w:val="16"/>
              </w:rPr>
            </w:pPr>
            <w:r>
              <w:rPr>
                <w:rFonts w:cs="Arial"/>
                <w:sz w:val="16"/>
                <w:szCs w:val="16"/>
              </w:rPr>
              <w:t>Variable</w:t>
            </w:r>
          </w:p>
        </w:tc>
        <w:tc>
          <w:tcPr>
            <w:tcW w:w="0" w:type="auto"/>
            <w:tcBorders>
              <w:top w:val="single" w:sz="6" w:space="0" w:color="auto"/>
              <w:left w:val="single" w:sz="6" w:space="0" w:color="auto"/>
              <w:bottom w:val="single" w:sz="4" w:space="0" w:color="auto"/>
              <w:right w:val="single" w:sz="6" w:space="0" w:color="auto"/>
            </w:tcBorders>
            <w:hideMark/>
          </w:tcPr>
          <w:p w14:paraId="3985A374" w14:textId="77777777" w:rsidR="00B97365" w:rsidRDefault="00000000">
            <w:pPr>
              <w:keepNext/>
              <w:rPr>
                <w:rFonts w:cs="Arial"/>
                <w:bCs/>
                <w:sz w:val="16"/>
                <w:szCs w:val="16"/>
              </w:rPr>
            </w:pPr>
            <w:r>
              <w:rPr>
                <w:rFonts w:cs="Arial"/>
                <w:sz w:val="16"/>
                <w:szCs w:val="16"/>
              </w:rPr>
              <w:t>receipt</w:t>
            </w:r>
          </w:p>
        </w:tc>
        <w:tc>
          <w:tcPr>
            <w:tcW w:w="0" w:type="auto"/>
            <w:tcBorders>
              <w:top w:val="single" w:sz="6" w:space="0" w:color="auto"/>
              <w:left w:val="single" w:sz="6" w:space="0" w:color="auto"/>
              <w:bottom w:val="single" w:sz="4" w:space="0" w:color="auto"/>
              <w:right w:val="single" w:sz="4" w:space="0" w:color="auto"/>
            </w:tcBorders>
            <w:hideMark/>
          </w:tcPr>
          <w:p w14:paraId="56DC59BA" w14:textId="77777777" w:rsidR="00B97365" w:rsidRDefault="00000000">
            <w:pPr>
              <w:keepNext/>
              <w:jc w:val="center"/>
              <w:rPr>
                <w:rFonts w:cs="Arial"/>
                <w:bCs/>
                <w:sz w:val="16"/>
                <w:szCs w:val="16"/>
              </w:rPr>
            </w:pPr>
            <w:r>
              <w:rPr>
                <w:rFonts w:cs="Arial"/>
                <w:sz w:val="16"/>
                <w:szCs w:val="16"/>
              </w:rPr>
              <w:t>M</w:t>
            </w:r>
          </w:p>
        </w:tc>
      </w:tr>
    </w:tbl>
    <w:p w14:paraId="4F61BDCB"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Response Data for Scenario #3</w:t>
      </w:r>
    </w:p>
    <w:p w14:paraId="73BAFE2B" w14:textId="77777777" w:rsidR="00B97365" w:rsidRDefault="00000000">
      <w:pPr>
        <w:spacing w:before="0" w:after="200" w:line="276" w:lineRule="auto"/>
        <w:jc w:val="left"/>
        <w:rPr>
          <w:b/>
          <w:i/>
          <w:szCs w:val="22"/>
          <w:lang w:val="en-US" w:eastAsia="en-GB" w:bidi="ar-SA"/>
        </w:rPr>
      </w:pPr>
      <w:bookmarkStart w:id="2437" w:name="_Toc420594543"/>
      <w:r>
        <w:rPr>
          <w:rFonts w:cs="Arial"/>
          <w:b/>
          <w:i/>
          <w:szCs w:val="22"/>
          <w:lang w:val="en-US" w:eastAsia="en-GB" w:bidi="ar-SA"/>
        </w:rPr>
        <w:t>Processing State Returned in the Response Message:</w:t>
      </w:r>
      <w:bookmarkEnd w:id="2437"/>
    </w:p>
    <w:p w14:paraId="67B5A743" w14:textId="750411F1" w:rsidR="00B97365" w:rsidRDefault="00000000">
      <w:pPr>
        <w:spacing w:before="0" w:after="200" w:line="276" w:lineRule="auto"/>
        <w:jc w:val="left"/>
        <w:rPr>
          <w:szCs w:val="22"/>
          <w:lang w:val="en-US" w:eastAsia="en-GB" w:bidi="ar-SA"/>
        </w:rPr>
      </w:pPr>
      <w:bookmarkStart w:id="2438" w:name="_Toc420594544"/>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bookmarkEnd w:id="2438"/>
    </w:p>
    <w:p w14:paraId="3EDEA80E"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439" w:name="_Toc368932235"/>
      <w:bookmarkStart w:id="2440" w:name="_Toc1977314"/>
      <w:bookmarkStart w:id="2441" w:name="_Toc37062473"/>
      <w:r>
        <w:rPr>
          <w:rFonts w:ascii="Arial Bold" w:eastAsia="Times New Roman" w:hAnsi="Arial Bold" w:cs="Arial"/>
          <w:szCs w:val="28"/>
          <w:lang w:eastAsia="en-US"/>
        </w:rPr>
        <w:t>Finalisation of the ISD-R Handover</w:t>
      </w:r>
      <w:bookmarkEnd w:id="2439"/>
      <w:bookmarkEnd w:id="2440"/>
      <w:bookmarkEnd w:id="2441"/>
      <w:r>
        <w:rPr>
          <w:rFonts w:ascii="Arial Bold" w:eastAsia="Times New Roman" w:hAnsi="Arial Bold" w:cs="Arial"/>
          <w:szCs w:val="28"/>
          <w:lang w:eastAsia="en-US"/>
        </w:rPr>
        <w:t xml:space="preserve"> </w:t>
      </w:r>
    </w:p>
    <w:p w14:paraId="7EE1FE71" w14:textId="77777777" w:rsidR="00B97365" w:rsidRDefault="00000000">
      <w:pPr>
        <w:spacing w:before="0" w:after="200" w:line="276" w:lineRule="auto"/>
        <w:jc w:val="left"/>
        <w:rPr>
          <w:szCs w:val="22"/>
          <w:lang w:val="en-US" w:eastAsia="en-GB" w:bidi="ar-SA"/>
        </w:rPr>
      </w:pPr>
      <w:bookmarkStart w:id="2442" w:name="_Toc420594545"/>
      <w:r>
        <w:rPr>
          <w:rFonts w:cs="Arial"/>
          <w:b/>
          <w:szCs w:val="22"/>
          <w:lang w:val="en-US" w:eastAsia="en-GB" w:bidi="ar-SA"/>
        </w:rPr>
        <w:t>Function name:</w:t>
      </w:r>
      <w:r>
        <w:rPr>
          <w:szCs w:val="22"/>
          <w:lang w:val="en-US" w:eastAsia="en-GB" w:bidi="ar-SA"/>
        </w:rPr>
        <w:t xml:space="preserve"> FinaliseISDRhandover</w:t>
      </w:r>
      <w:bookmarkEnd w:id="2442"/>
    </w:p>
    <w:p w14:paraId="3EEB41B1" w14:textId="77777777" w:rsidR="00B97365" w:rsidRDefault="00000000">
      <w:pPr>
        <w:spacing w:before="0" w:after="200" w:line="276" w:lineRule="auto"/>
        <w:jc w:val="left"/>
        <w:rPr>
          <w:szCs w:val="22"/>
          <w:lang w:val="en-US" w:eastAsia="en-GB" w:bidi="ar-SA"/>
        </w:rPr>
      </w:pPr>
      <w:bookmarkStart w:id="2443" w:name="_Toc420594546"/>
      <w:r>
        <w:rPr>
          <w:rFonts w:cs="Arial"/>
          <w:b/>
          <w:szCs w:val="22"/>
          <w:lang w:val="en-US" w:eastAsia="en-GB" w:bidi="ar-SA"/>
        </w:rPr>
        <w:t>Related Procedures:</w:t>
      </w:r>
      <w:r>
        <w:rPr>
          <w:szCs w:val="22"/>
          <w:lang w:val="en-US" w:eastAsia="en-GB" w:bidi="ar-SA"/>
        </w:rPr>
        <w:t xml:space="preserve"> SM-SR Change</w:t>
      </w:r>
      <w:bookmarkEnd w:id="2443"/>
    </w:p>
    <w:p w14:paraId="6243FAE4" w14:textId="77777777" w:rsidR="00B97365" w:rsidRDefault="00000000">
      <w:pPr>
        <w:spacing w:before="0" w:after="200" w:line="276" w:lineRule="auto"/>
        <w:jc w:val="left"/>
        <w:rPr>
          <w:szCs w:val="22"/>
          <w:lang w:val="en-US" w:eastAsia="en-GB" w:bidi="ar-SA"/>
        </w:rPr>
      </w:pPr>
      <w:bookmarkStart w:id="2444" w:name="_Toc420594547"/>
      <w:r>
        <w:rPr>
          <w:rFonts w:cs="Arial"/>
          <w:b/>
          <w:szCs w:val="22"/>
          <w:lang w:val="en-US" w:eastAsia="en-GB" w:bidi="ar-SA"/>
        </w:rPr>
        <w:t>Function group:</w:t>
      </w:r>
      <w:r>
        <w:rPr>
          <w:szCs w:val="22"/>
          <w:lang w:val="en-US" w:eastAsia="en-GB" w:bidi="ar-SA"/>
        </w:rPr>
        <w:t xml:space="preserve"> eUICC Management</w:t>
      </w:r>
      <w:bookmarkEnd w:id="2444"/>
    </w:p>
    <w:p w14:paraId="64FCE3A1" w14:textId="77777777" w:rsidR="00B97365" w:rsidRDefault="00000000">
      <w:pPr>
        <w:spacing w:before="0" w:after="200" w:line="276" w:lineRule="auto"/>
        <w:jc w:val="left"/>
        <w:rPr>
          <w:szCs w:val="22"/>
          <w:lang w:val="en-US" w:eastAsia="en-GB" w:bidi="ar-SA"/>
        </w:rPr>
      </w:pPr>
      <w:bookmarkStart w:id="2445" w:name="_Toc420594548"/>
      <w:r>
        <w:rPr>
          <w:rFonts w:cs="Arial"/>
          <w:b/>
          <w:szCs w:val="22"/>
          <w:lang w:val="en-US" w:eastAsia="en-GB" w:bidi="ar-SA"/>
        </w:rPr>
        <w:t>Function Provider entity:</w:t>
      </w:r>
      <w:r>
        <w:rPr>
          <w:szCs w:val="22"/>
          <w:lang w:val="en-US" w:eastAsia="en-GB" w:bidi="ar-SA"/>
        </w:rPr>
        <w:t xml:space="preserve"> ISD-R</w:t>
      </w:r>
      <w:bookmarkEnd w:id="2445"/>
    </w:p>
    <w:p w14:paraId="54B5796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deletes all keys in the ISD-R except for the key ranges indicated by the command parameter(s). It is intended as a simple clean-up mechanism for the new SM-SR after takeover to get rid of all keys of the previous SM-SR in the ISD-R.</w:t>
      </w:r>
    </w:p>
    <w:p w14:paraId="50FFE738" w14:textId="77777777" w:rsidR="00B97365" w:rsidRDefault="00000000">
      <w:pPr>
        <w:spacing w:before="0" w:after="200" w:line="276" w:lineRule="auto"/>
        <w:jc w:val="left"/>
        <w:rPr>
          <w:b/>
          <w:szCs w:val="22"/>
          <w:u w:val="single"/>
          <w:lang w:val="en-US" w:eastAsia="en-GB" w:bidi="ar-SA"/>
        </w:rPr>
      </w:pPr>
      <w:bookmarkStart w:id="2446" w:name="_Toc420594549"/>
      <w:r>
        <w:rPr>
          <w:rFonts w:cs="Arial"/>
          <w:b/>
          <w:szCs w:val="22"/>
          <w:u w:val="single"/>
          <w:lang w:val="en-US" w:eastAsia="en-GB" w:bidi="ar-SA"/>
        </w:rPr>
        <w:t>Parameters:</w:t>
      </w:r>
      <w:bookmarkEnd w:id="2446"/>
    </w:p>
    <w:p w14:paraId="04563806" w14:textId="77777777" w:rsidR="00B97365" w:rsidRDefault="00000000">
      <w:pPr>
        <w:numPr>
          <w:ilvl w:val="0"/>
          <w:numId w:val="38"/>
        </w:numPr>
        <w:tabs>
          <w:tab w:val="left" w:pos="680"/>
        </w:tabs>
        <w:spacing w:before="0" w:after="200" w:line="276" w:lineRule="auto"/>
        <w:contextualSpacing/>
        <w:jc w:val="left"/>
        <w:rPr>
          <w:szCs w:val="22"/>
          <w:lang w:eastAsia="en-GB" w:bidi="ar-SA"/>
        </w:rPr>
      </w:pPr>
      <w:bookmarkStart w:id="2447" w:name="_Hlk361148867"/>
      <w:bookmarkStart w:id="2448" w:name="_Hlk361148694"/>
      <w:r>
        <w:rPr>
          <w:szCs w:val="22"/>
          <w:lang w:eastAsia="en-GB" w:bidi="ar-SA"/>
        </w:rPr>
        <w:t xml:space="preserve">Key </w:t>
      </w:r>
      <w:bookmarkEnd w:id="2447"/>
      <w:r>
        <w:rPr>
          <w:szCs w:val="22"/>
          <w:lang w:eastAsia="en-GB" w:bidi="ar-SA"/>
        </w:rPr>
        <w:t>Ranges of keys not to be deleted.</w:t>
      </w:r>
    </w:p>
    <w:p w14:paraId="7AAFE823" w14:textId="77777777" w:rsidR="00B97365" w:rsidRDefault="00000000">
      <w:pPr>
        <w:spacing w:before="0" w:after="200" w:line="276" w:lineRule="auto"/>
        <w:jc w:val="left"/>
        <w:rPr>
          <w:b/>
          <w:szCs w:val="22"/>
          <w:u w:val="single"/>
          <w:lang w:val="en-US" w:eastAsia="en-GB" w:bidi="ar-SA"/>
        </w:rPr>
      </w:pPr>
      <w:bookmarkStart w:id="2449" w:name="_Toc420594550"/>
      <w:bookmarkEnd w:id="2448"/>
      <w:r>
        <w:rPr>
          <w:rFonts w:cs="Arial"/>
          <w:b/>
          <w:szCs w:val="22"/>
          <w:u w:val="single"/>
          <w:lang w:val="en-US" w:eastAsia="en-GB" w:bidi="ar-SA"/>
        </w:rPr>
        <w:lastRenderedPageBreak/>
        <w:t>Prerequisites:</w:t>
      </w:r>
      <w:bookmarkEnd w:id="2449"/>
    </w:p>
    <w:p w14:paraId="49697C2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None.</w:t>
      </w:r>
    </w:p>
    <w:p w14:paraId="6ECBC9BD" w14:textId="77777777" w:rsidR="00B97365" w:rsidRDefault="00000000">
      <w:pPr>
        <w:spacing w:before="0" w:after="200" w:line="276" w:lineRule="auto"/>
        <w:jc w:val="left"/>
        <w:rPr>
          <w:b/>
          <w:szCs w:val="22"/>
          <w:u w:val="single"/>
          <w:lang w:val="en-US" w:eastAsia="en-GB" w:bidi="ar-SA"/>
        </w:rPr>
      </w:pPr>
      <w:bookmarkStart w:id="2450" w:name="_Toc420594551"/>
      <w:r>
        <w:rPr>
          <w:rFonts w:cs="Arial"/>
          <w:b/>
          <w:szCs w:val="22"/>
          <w:u w:val="single"/>
          <w:lang w:val="en-US" w:eastAsia="en-GB" w:bidi="ar-SA"/>
        </w:rPr>
        <w:t>Command Description:</w:t>
      </w:r>
      <w:bookmarkEnd w:id="2450"/>
    </w:p>
    <w:p w14:paraId="1B074A01" w14:textId="77777777" w:rsidR="00B97365" w:rsidRDefault="00000000">
      <w:pPr>
        <w:spacing w:before="0" w:after="200" w:line="276" w:lineRule="auto"/>
        <w:jc w:val="left"/>
        <w:rPr>
          <w:b/>
          <w:i/>
          <w:szCs w:val="22"/>
          <w:lang w:val="en-US" w:eastAsia="en-GB" w:bidi="ar-SA"/>
        </w:rPr>
      </w:pPr>
      <w:bookmarkStart w:id="2451" w:name="_Toc420594552"/>
      <w:r>
        <w:rPr>
          <w:rFonts w:cs="Arial"/>
          <w:b/>
          <w:i/>
          <w:szCs w:val="22"/>
          <w:lang w:val="en-US" w:eastAsia="en-GB" w:bidi="ar-SA"/>
        </w:rPr>
        <w:t>DELETE</w:t>
      </w:r>
      <w:r>
        <w:rPr>
          <w:b/>
          <w:i/>
          <w:szCs w:val="22"/>
          <w:lang w:val="en-US" w:eastAsia="en-GB" w:bidi="ar-SA"/>
        </w:rPr>
        <w:t xml:space="preserve"> COMMAND</w:t>
      </w:r>
      <w:bookmarkEnd w:id="2451"/>
    </w:p>
    <w:p w14:paraId="01AEC309" w14:textId="52700981"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is realised through a GlobalPlatform DELETE command 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with proprietary parameters. This command is sent to the ISD-R.</w:t>
      </w:r>
    </w:p>
    <w:p w14:paraId="287CEC5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DELETE command SHALL have the following parameters: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542"/>
        <w:gridCol w:w="634"/>
        <w:gridCol w:w="4705"/>
      </w:tblGrid>
      <w:tr w:rsidR="00B97365" w14:paraId="65FDD27F"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B847930" w14:textId="77777777" w:rsidR="00B97365" w:rsidRDefault="00000000">
            <w:pP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42A0946" w14:textId="77777777" w:rsidR="00B97365" w:rsidRDefault="00000000">
            <w:pPr>
              <w:rPr>
                <w:rFonts w:cs="Calibri"/>
                <w:b/>
                <w:color w:val="FFFFFF"/>
                <w:sz w:val="16"/>
                <w:szCs w:val="16"/>
              </w:rPr>
            </w:pPr>
            <w:r>
              <w:rPr>
                <w:rFonts w:cs="Calibri"/>
                <w:b/>
                <w:color w:val="FFFFFF"/>
                <w:sz w:val="16"/>
                <w:szCs w:val="16"/>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BB265F2" w14:textId="77777777" w:rsidR="00B97365" w:rsidRDefault="00000000">
            <w:pPr>
              <w:rPr>
                <w:rFonts w:cs="Calibri"/>
                <w:b/>
                <w:color w:val="FFFFFF"/>
                <w:sz w:val="16"/>
                <w:szCs w:val="16"/>
              </w:rPr>
            </w:pPr>
            <w:r>
              <w:rPr>
                <w:rFonts w:cs="Calibri"/>
                <w:b/>
                <w:color w:val="FFFFFF"/>
                <w:sz w:val="16"/>
                <w:szCs w:val="16"/>
              </w:rPr>
              <w:t>Meaning</w:t>
            </w:r>
          </w:p>
        </w:tc>
      </w:tr>
      <w:tr w:rsidR="00B97365" w14:paraId="1EC3D1B7"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5814D51" w14:textId="77777777" w:rsidR="00B97365" w:rsidRDefault="00000000">
            <w:pPr>
              <w:rPr>
                <w:rFonts w:cs="Calibri"/>
                <w:sz w:val="16"/>
                <w:szCs w:val="16"/>
              </w:rPr>
            </w:pPr>
            <w:r>
              <w:rPr>
                <w:rFonts w:cs="Calibri"/>
                <w:sz w:val="16"/>
                <w:szCs w:val="16"/>
              </w:rPr>
              <w:t>CLA</w:t>
            </w:r>
          </w:p>
        </w:tc>
        <w:tc>
          <w:tcPr>
            <w:tcW w:w="0" w:type="auto"/>
            <w:tcBorders>
              <w:top w:val="single" w:sz="6" w:space="0" w:color="auto"/>
              <w:left w:val="single" w:sz="6" w:space="0" w:color="auto"/>
              <w:bottom w:val="single" w:sz="6" w:space="0" w:color="auto"/>
              <w:right w:val="single" w:sz="6" w:space="0" w:color="auto"/>
            </w:tcBorders>
            <w:vAlign w:val="center"/>
            <w:hideMark/>
          </w:tcPr>
          <w:p w14:paraId="5C800DF1" w14:textId="77777777" w:rsidR="00B97365" w:rsidRDefault="00000000">
            <w:pPr>
              <w:rPr>
                <w:rFonts w:cs="Calibri"/>
                <w:sz w:val="16"/>
                <w:szCs w:val="16"/>
              </w:rPr>
            </w:pPr>
            <w:r>
              <w:rPr>
                <w:rFonts w:cs="Calibri"/>
                <w:sz w:val="16"/>
                <w:szCs w:val="16"/>
              </w:rPr>
              <w:t>‘80’</w:t>
            </w:r>
          </w:p>
        </w:tc>
        <w:tc>
          <w:tcPr>
            <w:tcW w:w="0" w:type="auto"/>
            <w:tcBorders>
              <w:top w:val="single" w:sz="6" w:space="0" w:color="auto"/>
              <w:left w:val="single" w:sz="6" w:space="0" w:color="auto"/>
              <w:bottom w:val="single" w:sz="6" w:space="0" w:color="auto"/>
              <w:right w:val="single" w:sz="4" w:space="0" w:color="auto"/>
            </w:tcBorders>
            <w:vAlign w:val="center"/>
            <w:hideMark/>
          </w:tcPr>
          <w:p w14:paraId="37A3B782" w14:textId="62E701F8" w:rsidR="00B97365" w:rsidRDefault="00000000">
            <w:pPr>
              <w:rPr>
                <w:rFonts w:cs="Calibri"/>
                <w:sz w:val="16"/>
                <w:szCs w:val="16"/>
                <w:highlight w:val="yellow"/>
              </w:rPr>
            </w:pPr>
            <w:r>
              <w:rPr>
                <w:rFonts w:cs="Calibri"/>
                <w:sz w:val="16"/>
                <w:szCs w:val="16"/>
              </w:rPr>
              <w:t xml:space="preserve">See GlobalPlatform </w:t>
            </w:r>
            <w:r>
              <w:rPr>
                <w:rFonts w:cs="Calibri"/>
                <w:color w:val="000000"/>
                <w:sz w:val="16"/>
                <w:szCs w:val="16"/>
              </w:rPr>
              <w:t xml:space="preserve">Card Specification </w:t>
            </w:r>
            <w:r>
              <w:fldChar w:fldCharType="begin"/>
            </w:r>
            <w:r>
              <w:rPr>
                <w:rFonts w:cs="Calibri"/>
                <w:color w:val="000000"/>
                <w:sz w:val="16"/>
                <w:szCs w:val="16"/>
              </w:rPr>
              <w:instrText xml:space="preserve"> REF _Ref421631311 \r \h </w:instrText>
            </w:r>
            <w:r>
              <w:fldChar w:fldCharType="separate"/>
            </w:r>
            <w:r w:rsidR="001D5AD9">
              <w:rPr>
                <w:rFonts w:cs="Calibri"/>
                <w:color w:val="000000"/>
                <w:sz w:val="16"/>
                <w:szCs w:val="16"/>
              </w:rPr>
              <w:t>[6]</w:t>
            </w:r>
            <w:r>
              <w:fldChar w:fldCharType="end"/>
            </w:r>
            <w:r>
              <w:rPr>
                <w:rFonts w:cs="Calibri"/>
                <w:sz w:val="16"/>
                <w:szCs w:val="16"/>
              </w:rPr>
              <w:t xml:space="preserve"> section 11.1.4.1</w:t>
            </w:r>
          </w:p>
        </w:tc>
      </w:tr>
      <w:tr w:rsidR="00B97365" w14:paraId="3B5A85B2"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9512B00" w14:textId="77777777" w:rsidR="00B97365" w:rsidRDefault="00000000">
            <w:pPr>
              <w:rPr>
                <w:rFonts w:cs="Calibri"/>
                <w:sz w:val="16"/>
                <w:szCs w:val="16"/>
              </w:rPr>
            </w:pPr>
            <w:r>
              <w:rPr>
                <w:rFonts w:cs="Calibri"/>
                <w:sz w:val="16"/>
                <w:szCs w:val="16"/>
              </w:rPr>
              <w:t>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19EB90D2" w14:textId="77777777" w:rsidR="00B97365" w:rsidRDefault="00000000">
            <w:pPr>
              <w:tabs>
                <w:tab w:val="right" w:pos="7938"/>
              </w:tabs>
              <w:ind w:left="470" w:hanging="459"/>
              <w:rPr>
                <w:rFonts w:cs="Calibri"/>
                <w:sz w:val="16"/>
                <w:szCs w:val="16"/>
              </w:rPr>
            </w:pPr>
            <w:r>
              <w:rPr>
                <w:rFonts w:cs="Calibri"/>
                <w:sz w:val="16"/>
                <w:szCs w:val="16"/>
              </w:rPr>
              <w:t>‘E4’</w:t>
            </w:r>
          </w:p>
        </w:tc>
        <w:tc>
          <w:tcPr>
            <w:tcW w:w="0" w:type="auto"/>
            <w:tcBorders>
              <w:top w:val="single" w:sz="6" w:space="0" w:color="auto"/>
              <w:left w:val="single" w:sz="6" w:space="0" w:color="auto"/>
              <w:bottom w:val="single" w:sz="6" w:space="0" w:color="auto"/>
              <w:right w:val="single" w:sz="4" w:space="0" w:color="auto"/>
            </w:tcBorders>
            <w:vAlign w:val="center"/>
            <w:hideMark/>
          </w:tcPr>
          <w:p w14:paraId="7D1F7864" w14:textId="77777777" w:rsidR="00B97365" w:rsidRDefault="00000000">
            <w:pPr>
              <w:tabs>
                <w:tab w:val="right" w:pos="7938"/>
              </w:tabs>
              <w:ind w:left="470" w:hanging="459"/>
              <w:rPr>
                <w:rFonts w:cs="Calibri"/>
                <w:sz w:val="16"/>
                <w:szCs w:val="16"/>
              </w:rPr>
            </w:pPr>
            <w:r>
              <w:rPr>
                <w:rFonts w:cs="Calibri"/>
                <w:sz w:val="16"/>
                <w:szCs w:val="16"/>
              </w:rPr>
              <w:t>DELETE</w:t>
            </w:r>
          </w:p>
        </w:tc>
      </w:tr>
      <w:tr w:rsidR="00B97365" w14:paraId="7EF006F1"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AC7D0C3" w14:textId="77777777" w:rsidR="00B97365" w:rsidRDefault="00000000">
            <w:pPr>
              <w:tabs>
                <w:tab w:val="right" w:pos="7938"/>
              </w:tabs>
              <w:ind w:left="470" w:hanging="459"/>
              <w:rPr>
                <w:rFonts w:cs="Calibri"/>
                <w:sz w:val="16"/>
                <w:szCs w:val="16"/>
              </w:rPr>
            </w:pPr>
            <w:r>
              <w:rPr>
                <w:rFonts w:cs="Calibri"/>
                <w:sz w:val="16"/>
                <w:szCs w:val="16"/>
              </w:rPr>
              <w:t>P1</w:t>
            </w:r>
          </w:p>
        </w:tc>
        <w:tc>
          <w:tcPr>
            <w:tcW w:w="0" w:type="auto"/>
            <w:tcBorders>
              <w:top w:val="single" w:sz="6" w:space="0" w:color="auto"/>
              <w:left w:val="single" w:sz="6" w:space="0" w:color="auto"/>
              <w:bottom w:val="single" w:sz="6" w:space="0" w:color="auto"/>
              <w:right w:val="single" w:sz="6" w:space="0" w:color="auto"/>
            </w:tcBorders>
            <w:vAlign w:val="center"/>
            <w:hideMark/>
          </w:tcPr>
          <w:p w14:paraId="7EA08D2C" w14:textId="77777777" w:rsidR="00B97365" w:rsidRDefault="00000000">
            <w:pPr>
              <w:rPr>
                <w:rFonts w:cs="Calibri"/>
                <w:sz w:val="16"/>
                <w:szCs w:val="16"/>
              </w:rPr>
            </w:pPr>
            <w:r>
              <w:rPr>
                <w:rFonts w:cs="Calibri"/>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7054C3FF" w14:textId="5C12952D" w:rsidR="00B97365" w:rsidRDefault="00000000">
            <w:pPr>
              <w:tabs>
                <w:tab w:val="right" w:pos="7938"/>
              </w:tabs>
              <w:ind w:left="470" w:hanging="459"/>
              <w:rPr>
                <w:rFonts w:cs="Calibri"/>
                <w:sz w:val="16"/>
                <w:szCs w:val="16"/>
              </w:rPr>
            </w:pPr>
            <w:r>
              <w:rPr>
                <w:rFonts w:cs="Calibri"/>
                <w:sz w:val="16"/>
                <w:szCs w:val="16"/>
              </w:rPr>
              <w:t xml:space="preserve">See GlobalPlatform </w:t>
            </w:r>
            <w:r>
              <w:rPr>
                <w:rFonts w:cs="Calibri"/>
                <w:color w:val="000000"/>
                <w:sz w:val="16"/>
                <w:szCs w:val="16"/>
              </w:rPr>
              <w:t xml:space="preserve">Card Specification </w:t>
            </w:r>
            <w:r>
              <w:fldChar w:fldCharType="begin"/>
            </w:r>
            <w:r>
              <w:rPr>
                <w:rFonts w:cs="Calibri"/>
                <w:color w:val="000000"/>
                <w:sz w:val="16"/>
                <w:szCs w:val="16"/>
              </w:rPr>
              <w:instrText xml:space="preserve"> REF _Ref421631311 \r \h </w:instrText>
            </w:r>
            <w:r>
              <w:fldChar w:fldCharType="separate"/>
            </w:r>
            <w:r w:rsidR="001D5AD9">
              <w:rPr>
                <w:rFonts w:cs="Calibri"/>
                <w:color w:val="000000"/>
                <w:sz w:val="16"/>
                <w:szCs w:val="16"/>
              </w:rPr>
              <w:t>[6]</w:t>
            </w:r>
            <w:r>
              <w:fldChar w:fldCharType="end"/>
            </w:r>
            <w:r>
              <w:rPr>
                <w:rFonts w:cs="Calibri"/>
                <w:sz w:val="16"/>
                <w:szCs w:val="16"/>
              </w:rPr>
              <w:t xml:space="preserve"> section 11.2.2.1</w:t>
            </w:r>
          </w:p>
        </w:tc>
      </w:tr>
      <w:tr w:rsidR="00B97365" w14:paraId="3606705F"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9474EC0" w14:textId="77777777" w:rsidR="00B97365" w:rsidRDefault="00000000">
            <w:pPr>
              <w:rPr>
                <w:rFonts w:cs="Calibri"/>
                <w:sz w:val="16"/>
                <w:szCs w:val="16"/>
              </w:rPr>
            </w:pPr>
            <w:r>
              <w:rPr>
                <w:rFonts w:cs="Calibri"/>
                <w:sz w:val="16"/>
                <w:szCs w:val="16"/>
              </w:rPr>
              <w:t>P2</w:t>
            </w:r>
          </w:p>
        </w:tc>
        <w:tc>
          <w:tcPr>
            <w:tcW w:w="0" w:type="auto"/>
            <w:tcBorders>
              <w:top w:val="single" w:sz="6" w:space="0" w:color="auto"/>
              <w:left w:val="single" w:sz="6" w:space="0" w:color="auto"/>
              <w:bottom w:val="single" w:sz="6" w:space="0" w:color="auto"/>
              <w:right w:val="single" w:sz="6" w:space="0" w:color="auto"/>
            </w:tcBorders>
            <w:vAlign w:val="center"/>
            <w:hideMark/>
          </w:tcPr>
          <w:p w14:paraId="1FA4F7B0" w14:textId="77777777" w:rsidR="00B97365" w:rsidRDefault="00000000">
            <w:pPr>
              <w:rPr>
                <w:rFonts w:cs="Calibri"/>
                <w:sz w:val="16"/>
                <w:szCs w:val="16"/>
              </w:rPr>
            </w:pPr>
            <w:r>
              <w:rPr>
                <w:rFonts w:cs="Calibri"/>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16BEEFE9" w14:textId="06EA1D28" w:rsidR="00B97365" w:rsidRDefault="00000000">
            <w:pPr>
              <w:tabs>
                <w:tab w:val="right" w:pos="7938"/>
              </w:tabs>
              <w:ind w:left="470" w:hanging="459"/>
              <w:rPr>
                <w:rFonts w:cs="Calibri"/>
                <w:sz w:val="16"/>
                <w:szCs w:val="16"/>
              </w:rPr>
            </w:pPr>
            <w:r>
              <w:rPr>
                <w:rFonts w:cs="Calibri"/>
                <w:sz w:val="16"/>
                <w:szCs w:val="16"/>
              </w:rPr>
              <w:t xml:space="preserve">See GlobalPlatform </w:t>
            </w:r>
            <w:r>
              <w:rPr>
                <w:rFonts w:cs="Calibri"/>
                <w:color w:val="000000"/>
                <w:sz w:val="16"/>
                <w:szCs w:val="16"/>
              </w:rPr>
              <w:t xml:space="preserve">Card Specification </w:t>
            </w:r>
            <w:r>
              <w:fldChar w:fldCharType="begin"/>
            </w:r>
            <w:r>
              <w:rPr>
                <w:rFonts w:cs="Calibri"/>
                <w:color w:val="000000"/>
                <w:sz w:val="16"/>
                <w:szCs w:val="16"/>
              </w:rPr>
              <w:instrText xml:space="preserve"> REF _Ref421631311 \r \h </w:instrText>
            </w:r>
            <w:r>
              <w:fldChar w:fldCharType="separate"/>
            </w:r>
            <w:r w:rsidR="001D5AD9">
              <w:rPr>
                <w:rFonts w:cs="Calibri"/>
                <w:color w:val="000000"/>
                <w:sz w:val="16"/>
                <w:szCs w:val="16"/>
              </w:rPr>
              <w:t>[6]</w:t>
            </w:r>
            <w:r>
              <w:fldChar w:fldCharType="end"/>
            </w:r>
            <w:r>
              <w:rPr>
                <w:rFonts w:cs="Calibri"/>
                <w:sz w:val="16"/>
                <w:szCs w:val="16"/>
              </w:rPr>
              <w:t xml:space="preserve"> section 11.2.2.2</w:t>
            </w:r>
          </w:p>
        </w:tc>
      </w:tr>
      <w:tr w:rsidR="00B97365" w14:paraId="2C31B851"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011C53A" w14:textId="77777777" w:rsidR="00B97365" w:rsidRDefault="00000000">
            <w:pPr>
              <w:rPr>
                <w:rFonts w:cs="Calibri"/>
                <w:sz w:val="16"/>
                <w:szCs w:val="16"/>
              </w:rPr>
            </w:pPr>
            <w:bookmarkStart w:id="2452" w:name="_Toc361144067"/>
            <w:r>
              <w:rPr>
                <w:rFonts w:cs="Calibri"/>
                <w:sz w:val="16"/>
                <w:szCs w:val="16"/>
              </w:rPr>
              <w:t>Lc</w:t>
            </w:r>
            <w:bookmarkEnd w:id="2452"/>
          </w:p>
        </w:tc>
        <w:tc>
          <w:tcPr>
            <w:tcW w:w="0" w:type="auto"/>
            <w:tcBorders>
              <w:top w:val="single" w:sz="6" w:space="0" w:color="auto"/>
              <w:left w:val="single" w:sz="6" w:space="0" w:color="auto"/>
              <w:bottom w:val="single" w:sz="6" w:space="0" w:color="auto"/>
              <w:right w:val="single" w:sz="6" w:space="0" w:color="auto"/>
            </w:tcBorders>
            <w:vAlign w:val="center"/>
            <w:hideMark/>
          </w:tcPr>
          <w:p w14:paraId="34C81E4F" w14:textId="77777777" w:rsidR="00B97365" w:rsidRDefault="00000000">
            <w:pPr>
              <w:tabs>
                <w:tab w:val="right" w:pos="7938"/>
              </w:tabs>
              <w:ind w:left="470" w:hanging="459"/>
              <w:rPr>
                <w:rFonts w:cs="Calibri"/>
                <w:sz w:val="16"/>
                <w:szCs w:val="16"/>
              </w:rPr>
            </w:pPr>
            <w:bookmarkStart w:id="2453" w:name="_Toc361144068"/>
            <w:r>
              <w:rPr>
                <w:rFonts w:cs="Calibri"/>
                <w:sz w:val="16"/>
                <w:szCs w:val="16"/>
              </w:rPr>
              <w:t>‘xx’</w:t>
            </w:r>
            <w:bookmarkEnd w:id="2453"/>
          </w:p>
        </w:tc>
        <w:tc>
          <w:tcPr>
            <w:tcW w:w="0" w:type="auto"/>
            <w:tcBorders>
              <w:top w:val="single" w:sz="6" w:space="0" w:color="auto"/>
              <w:left w:val="single" w:sz="6" w:space="0" w:color="auto"/>
              <w:bottom w:val="single" w:sz="6" w:space="0" w:color="auto"/>
              <w:right w:val="single" w:sz="4" w:space="0" w:color="auto"/>
            </w:tcBorders>
            <w:vAlign w:val="center"/>
            <w:hideMark/>
          </w:tcPr>
          <w:p w14:paraId="7C3F872D" w14:textId="77777777" w:rsidR="00B97365" w:rsidRDefault="00000000">
            <w:pPr>
              <w:rPr>
                <w:rFonts w:cs="Calibri"/>
                <w:sz w:val="16"/>
                <w:szCs w:val="16"/>
              </w:rPr>
            </w:pPr>
            <w:bookmarkStart w:id="2454" w:name="_Toc361144069"/>
            <w:r>
              <w:rPr>
                <w:rFonts w:cs="Calibri"/>
                <w:sz w:val="16"/>
                <w:szCs w:val="16"/>
              </w:rPr>
              <w:t>Length of data field</w:t>
            </w:r>
            <w:bookmarkEnd w:id="2454"/>
          </w:p>
        </w:tc>
      </w:tr>
      <w:tr w:rsidR="00B97365" w14:paraId="7BFC6724"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A78D5B8" w14:textId="77777777" w:rsidR="00B97365" w:rsidRDefault="00000000">
            <w:pPr>
              <w:rPr>
                <w:rFonts w:cs="Calibri"/>
                <w:sz w:val="16"/>
                <w:szCs w:val="16"/>
              </w:rPr>
            </w:pPr>
            <w:bookmarkStart w:id="2455" w:name="_Toc361144070"/>
            <w:r>
              <w:rPr>
                <w:rFonts w:cs="Calibri"/>
                <w:sz w:val="16"/>
                <w:szCs w:val="16"/>
              </w:rPr>
              <w:t>Data</w:t>
            </w:r>
            <w:bookmarkEnd w:id="2455"/>
          </w:p>
        </w:tc>
        <w:tc>
          <w:tcPr>
            <w:tcW w:w="0" w:type="auto"/>
            <w:tcBorders>
              <w:top w:val="single" w:sz="6" w:space="0" w:color="auto"/>
              <w:left w:val="single" w:sz="6" w:space="0" w:color="auto"/>
              <w:bottom w:val="single" w:sz="6" w:space="0" w:color="auto"/>
              <w:right w:val="single" w:sz="6" w:space="0" w:color="auto"/>
            </w:tcBorders>
            <w:vAlign w:val="center"/>
            <w:hideMark/>
          </w:tcPr>
          <w:p w14:paraId="58ABA299" w14:textId="77777777" w:rsidR="00B97365" w:rsidRDefault="00000000">
            <w:pPr>
              <w:tabs>
                <w:tab w:val="right" w:pos="7938"/>
              </w:tabs>
              <w:ind w:left="470" w:hanging="459"/>
              <w:rPr>
                <w:rFonts w:cs="Calibri"/>
                <w:sz w:val="16"/>
                <w:szCs w:val="16"/>
              </w:rPr>
            </w:pPr>
            <w:bookmarkStart w:id="2456" w:name="_Toc361144071"/>
            <w:r>
              <w:rPr>
                <w:rFonts w:cs="Calibri"/>
                <w:sz w:val="16"/>
                <w:szCs w:val="16"/>
              </w:rPr>
              <w:t>‘xxxx..’</w:t>
            </w:r>
            <w:bookmarkEnd w:id="2456"/>
          </w:p>
        </w:tc>
        <w:tc>
          <w:tcPr>
            <w:tcW w:w="0" w:type="auto"/>
            <w:tcBorders>
              <w:top w:val="single" w:sz="6" w:space="0" w:color="auto"/>
              <w:left w:val="single" w:sz="6" w:space="0" w:color="auto"/>
              <w:bottom w:val="single" w:sz="6" w:space="0" w:color="auto"/>
              <w:right w:val="single" w:sz="4" w:space="0" w:color="auto"/>
            </w:tcBorders>
            <w:vAlign w:val="center"/>
            <w:hideMark/>
          </w:tcPr>
          <w:p w14:paraId="4B89AE9C" w14:textId="77777777" w:rsidR="00B97365" w:rsidRDefault="00000000">
            <w:pPr>
              <w:rPr>
                <w:rFonts w:cs="Calibri"/>
                <w:sz w:val="16"/>
                <w:szCs w:val="16"/>
              </w:rPr>
            </w:pPr>
            <w:bookmarkStart w:id="2457" w:name="_Toc361144072"/>
            <w:r>
              <w:rPr>
                <w:rFonts w:cs="Calibri"/>
                <w:sz w:val="16"/>
                <w:szCs w:val="16"/>
              </w:rPr>
              <w:t>TLV coded objects: Delete [card content] Data Field (See below)</w:t>
            </w:r>
            <w:bookmarkEnd w:id="2457"/>
          </w:p>
        </w:tc>
      </w:tr>
      <w:tr w:rsidR="00B97365" w14:paraId="364E1F6A" w14:textId="77777777">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D0DD36E" w14:textId="77777777" w:rsidR="00B97365" w:rsidRDefault="00000000">
            <w:pPr>
              <w:rPr>
                <w:rFonts w:cs="Calibri"/>
                <w:sz w:val="16"/>
                <w:szCs w:val="16"/>
              </w:rPr>
            </w:pPr>
            <w:bookmarkStart w:id="2458" w:name="_Toc361144073"/>
            <w:r>
              <w:rPr>
                <w:rFonts w:cs="Calibri"/>
                <w:sz w:val="16"/>
                <w:szCs w:val="16"/>
              </w:rPr>
              <w:t>Le</w:t>
            </w:r>
            <w:bookmarkEnd w:id="2458"/>
          </w:p>
        </w:tc>
        <w:tc>
          <w:tcPr>
            <w:tcW w:w="0" w:type="auto"/>
            <w:tcBorders>
              <w:top w:val="single" w:sz="6" w:space="0" w:color="auto"/>
              <w:left w:val="single" w:sz="6" w:space="0" w:color="auto"/>
              <w:bottom w:val="single" w:sz="4" w:space="0" w:color="auto"/>
              <w:right w:val="single" w:sz="6" w:space="0" w:color="auto"/>
            </w:tcBorders>
            <w:vAlign w:val="center"/>
            <w:hideMark/>
          </w:tcPr>
          <w:p w14:paraId="3674E679" w14:textId="77777777" w:rsidR="00B97365" w:rsidRDefault="00000000">
            <w:pPr>
              <w:tabs>
                <w:tab w:val="right" w:pos="7938"/>
              </w:tabs>
              <w:ind w:left="470" w:hanging="459"/>
              <w:rPr>
                <w:rFonts w:cs="Calibri"/>
                <w:sz w:val="16"/>
                <w:szCs w:val="16"/>
              </w:rPr>
            </w:pPr>
            <w:bookmarkStart w:id="2459" w:name="_Toc361144074"/>
            <w:r>
              <w:rPr>
                <w:rFonts w:cs="Calibri"/>
                <w:sz w:val="16"/>
                <w:szCs w:val="16"/>
              </w:rPr>
              <w:t>‘00’</w:t>
            </w:r>
            <w:bookmarkEnd w:id="2459"/>
          </w:p>
        </w:tc>
        <w:tc>
          <w:tcPr>
            <w:tcW w:w="0" w:type="auto"/>
            <w:tcBorders>
              <w:top w:val="single" w:sz="6" w:space="0" w:color="auto"/>
              <w:left w:val="single" w:sz="6" w:space="0" w:color="auto"/>
              <w:bottom w:val="single" w:sz="4" w:space="0" w:color="auto"/>
              <w:right w:val="single" w:sz="4" w:space="0" w:color="auto"/>
            </w:tcBorders>
            <w:vAlign w:val="center"/>
          </w:tcPr>
          <w:p w14:paraId="3DBA7CAF" w14:textId="77777777" w:rsidR="00B97365" w:rsidRDefault="00B97365">
            <w:pPr>
              <w:rPr>
                <w:rFonts w:cs="Calibri"/>
                <w:sz w:val="16"/>
                <w:szCs w:val="16"/>
              </w:rPr>
            </w:pPr>
          </w:p>
        </w:tc>
      </w:tr>
    </w:tbl>
    <w:p w14:paraId="6E17F72D"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Command Message</w:t>
      </w:r>
    </w:p>
    <w:p w14:paraId="2872791A" w14:textId="77777777" w:rsidR="00B97365" w:rsidRDefault="00B97365">
      <w:pPr>
        <w:spacing w:before="0" w:after="200" w:line="276" w:lineRule="auto"/>
        <w:jc w:val="left"/>
        <w:rPr>
          <w:rFonts w:cs="Arial"/>
          <w:szCs w:val="22"/>
          <w:lang w:val="en-US" w:eastAsia="en-GB" w:bidi="ar-SA"/>
        </w:rPr>
      </w:pPr>
    </w:p>
    <w:p w14:paraId="4A9CA8B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Delete [card content] Data Field SHALL contain one or two instances of following TLV:</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427"/>
        <w:gridCol w:w="676"/>
        <w:gridCol w:w="3566"/>
        <w:gridCol w:w="516"/>
      </w:tblGrid>
      <w:tr w:rsidR="00B97365" w14:paraId="7834A2E2"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7027A1B" w14:textId="77777777" w:rsidR="00B97365" w:rsidRDefault="00000000">
            <w:pPr>
              <w:rPr>
                <w:rFonts w:cs="Calibri"/>
                <w:b/>
                <w:color w:val="FFFFFF"/>
                <w:sz w:val="16"/>
                <w:szCs w:val="16"/>
              </w:rPr>
            </w:pPr>
            <w:r>
              <w:rPr>
                <w:rFonts w:cs="Calibri"/>
                <w:b/>
                <w:color w:val="FFFFFF"/>
                <w:sz w:val="16"/>
                <w:szCs w:val="16"/>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5134C07" w14:textId="77777777" w:rsidR="00B97365" w:rsidRDefault="00000000">
            <w:pPr>
              <w:rPr>
                <w:rFonts w:cs="Calibri"/>
                <w:b/>
                <w:color w:val="FFFFFF"/>
                <w:sz w:val="16"/>
                <w:szCs w:val="16"/>
              </w:rPr>
            </w:pPr>
            <w:r>
              <w:rPr>
                <w:rFonts w:cs="Calibri"/>
                <w:b/>
                <w:color w:val="FFFFFF"/>
                <w:sz w:val="16"/>
                <w:szCs w:val="16"/>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05889E0" w14:textId="77777777" w:rsidR="00B97365" w:rsidRDefault="00000000">
            <w:pPr>
              <w:rPr>
                <w:rFonts w:cs="Calibri"/>
                <w:b/>
                <w:color w:val="FFFFFF"/>
                <w:sz w:val="16"/>
                <w:szCs w:val="16"/>
              </w:rPr>
            </w:pPr>
            <w:r>
              <w:rPr>
                <w:rFonts w:cs="Calibri"/>
                <w:b/>
                <w:color w:val="FFFFFF"/>
                <w:sz w:val="16"/>
                <w:szCs w:val="16"/>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FAE2E58" w14:textId="77777777" w:rsidR="00B97365" w:rsidRDefault="00000000">
            <w:pPr>
              <w:rPr>
                <w:rFonts w:cs="Calibri"/>
                <w:b/>
                <w:color w:val="FFFFFF"/>
                <w:sz w:val="16"/>
                <w:szCs w:val="16"/>
              </w:rPr>
            </w:pPr>
            <w:r>
              <w:rPr>
                <w:rFonts w:cs="Calibri"/>
                <w:b/>
                <w:color w:val="FFFFFF"/>
                <w:sz w:val="16"/>
                <w:szCs w:val="16"/>
              </w:rPr>
              <w:t>MOC</w:t>
            </w:r>
          </w:p>
        </w:tc>
      </w:tr>
      <w:tr w:rsidR="00B97365" w14:paraId="507D953E" w14:textId="77777777">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659ABCB" w14:textId="77777777" w:rsidR="00B97365" w:rsidRDefault="00000000">
            <w:pPr>
              <w:rPr>
                <w:rFonts w:cs="Calibri"/>
                <w:sz w:val="16"/>
                <w:szCs w:val="16"/>
              </w:rPr>
            </w:pPr>
            <w:r>
              <w:rPr>
                <w:rFonts w:cs="Calibri"/>
                <w:sz w:val="16"/>
                <w:szCs w:val="16"/>
              </w:rPr>
              <w:t>‘F2’</w:t>
            </w:r>
          </w:p>
        </w:tc>
        <w:tc>
          <w:tcPr>
            <w:tcW w:w="0" w:type="auto"/>
            <w:tcBorders>
              <w:top w:val="single" w:sz="6" w:space="0" w:color="auto"/>
              <w:left w:val="single" w:sz="6" w:space="0" w:color="auto"/>
              <w:bottom w:val="single" w:sz="4" w:space="0" w:color="auto"/>
              <w:right w:val="single" w:sz="6" w:space="0" w:color="auto"/>
            </w:tcBorders>
            <w:vAlign w:val="center"/>
            <w:hideMark/>
          </w:tcPr>
          <w:p w14:paraId="09204F9C" w14:textId="77777777" w:rsidR="00B97365" w:rsidRDefault="00000000">
            <w:pPr>
              <w:rPr>
                <w:rFonts w:cs="Calibri"/>
                <w:sz w:val="16"/>
                <w:szCs w:val="16"/>
              </w:rPr>
            </w:pPr>
            <w:r>
              <w:rPr>
                <w:rFonts w:cs="Calibri"/>
                <w:sz w:val="16"/>
                <w:szCs w:val="16"/>
              </w:rPr>
              <w:t>3</w:t>
            </w:r>
          </w:p>
        </w:tc>
        <w:tc>
          <w:tcPr>
            <w:tcW w:w="0" w:type="auto"/>
            <w:tcBorders>
              <w:top w:val="single" w:sz="6" w:space="0" w:color="auto"/>
              <w:left w:val="single" w:sz="6" w:space="0" w:color="auto"/>
              <w:bottom w:val="single" w:sz="4" w:space="0" w:color="auto"/>
              <w:right w:val="single" w:sz="6" w:space="0" w:color="auto"/>
            </w:tcBorders>
            <w:vAlign w:val="center"/>
            <w:hideMark/>
          </w:tcPr>
          <w:p w14:paraId="379AC460" w14:textId="77777777" w:rsidR="00B97365" w:rsidRDefault="00000000">
            <w:pPr>
              <w:rPr>
                <w:rFonts w:cs="Calibri"/>
                <w:sz w:val="16"/>
                <w:szCs w:val="16"/>
              </w:rPr>
            </w:pPr>
            <w:r>
              <w:rPr>
                <w:rFonts w:cs="Calibri"/>
                <w:sz w:val="16"/>
                <w:szCs w:val="16"/>
              </w:rPr>
              <w:t>Range of keys NOT to be deleted.</w:t>
            </w:r>
          </w:p>
          <w:p w14:paraId="476C7343" w14:textId="77777777" w:rsidR="00B97365" w:rsidRDefault="00000000">
            <w:pPr>
              <w:rPr>
                <w:rFonts w:cs="Calibri"/>
                <w:sz w:val="16"/>
                <w:szCs w:val="16"/>
              </w:rPr>
            </w:pPr>
            <w:r>
              <w:rPr>
                <w:rFonts w:cs="Calibri"/>
                <w:sz w:val="16"/>
                <w:szCs w:val="16"/>
              </w:rPr>
              <w:t>The 3 bytes are coded as follows:</w:t>
            </w:r>
          </w:p>
          <w:p w14:paraId="268EA9C2" w14:textId="77777777" w:rsidR="00B97365" w:rsidRDefault="00000000">
            <w:pPr>
              <w:rPr>
                <w:rFonts w:cs="Calibri"/>
                <w:sz w:val="16"/>
                <w:szCs w:val="16"/>
              </w:rPr>
            </w:pPr>
            <w:r>
              <w:rPr>
                <w:rFonts w:cs="Calibri"/>
                <w:sz w:val="16"/>
                <w:szCs w:val="16"/>
              </w:rPr>
              <w:t>byte 1: Key Version Number of the key range</w:t>
            </w:r>
          </w:p>
          <w:p w14:paraId="4A1337D7" w14:textId="77777777" w:rsidR="00B97365" w:rsidRDefault="00000000">
            <w:pPr>
              <w:rPr>
                <w:rFonts w:cs="Calibri"/>
                <w:sz w:val="16"/>
                <w:szCs w:val="16"/>
              </w:rPr>
            </w:pPr>
            <w:r>
              <w:rPr>
                <w:rFonts w:cs="Calibri"/>
                <w:sz w:val="16"/>
                <w:szCs w:val="16"/>
              </w:rPr>
              <w:t>byte 2: Key Identifier of first key of the key range</w:t>
            </w:r>
          </w:p>
          <w:p w14:paraId="5E520E11" w14:textId="77777777" w:rsidR="00B97365" w:rsidRDefault="00000000">
            <w:pPr>
              <w:rPr>
                <w:rFonts w:cs="Calibri"/>
                <w:sz w:val="16"/>
                <w:szCs w:val="16"/>
                <w:highlight w:val="yellow"/>
              </w:rPr>
            </w:pPr>
            <w:r>
              <w:rPr>
                <w:rFonts w:cs="Calibri"/>
                <w:sz w:val="16"/>
                <w:szCs w:val="16"/>
              </w:rPr>
              <w:t>byte 3: Key Identifier of last key of the key range</w:t>
            </w:r>
          </w:p>
        </w:tc>
        <w:tc>
          <w:tcPr>
            <w:tcW w:w="0" w:type="auto"/>
            <w:tcBorders>
              <w:top w:val="single" w:sz="6" w:space="0" w:color="auto"/>
              <w:left w:val="single" w:sz="6" w:space="0" w:color="auto"/>
              <w:bottom w:val="single" w:sz="4" w:space="0" w:color="auto"/>
              <w:right w:val="single" w:sz="4" w:space="0" w:color="auto"/>
            </w:tcBorders>
            <w:vAlign w:val="center"/>
            <w:hideMark/>
          </w:tcPr>
          <w:p w14:paraId="0CF28FA6" w14:textId="77777777" w:rsidR="00B97365" w:rsidRDefault="00000000">
            <w:pPr>
              <w:rPr>
                <w:rFonts w:cs="Calibri"/>
                <w:sz w:val="16"/>
                <w:szCs w:val="16"/>
                <w:highlight w:val="yellow"/>
              </w:rPr>
            </w:pPr>
            <w:r>
              <w:rPr>
                <w:rFonts w:cs="Calibri"/>
                <w:sz w:val="16"/>
                <w:szCs w:val="16"/>
              </w:rPr>
              <w:t>M</w:t>
            </w:r>
          </w:p>
        </w:tc>
      </w:tr>
    </w:tbl>
    <w:p w14:paraId="7CD33F5D"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Delete [card content] Command Data Field</w:t>
      </w:r>
    </w:p>
    <w:p w14:paraId="4F32DCCD" w14:textId="77777777" w:rsidR="00B97365" w:rsidRDefault="00000000">
      <w:pPr>
        <w:spacing w:after="200" w:line="276" w:lineRule="auto"/>
        <w:ind w:left="1560" w:hanging="1276"/>
        <w:jc w:val="left"/>
        <w:rPr>
          <w:szCs w:val="22"/>
          <w:lang w:val="en-US" w:eastAsia="en-GB" w:bidi="ar-SA"/>
        </w:rPr>
      </w:pPr>
      <w:r>
        <w:rPr>
          <w:rFonts w:cs="Arial"/>
          <w:szCs w:val="22"/>
          <w:lang w:val="en-US" w:eastAsia="en-GB" w:bidi="ar-SA"/>
        </w:rPr>
        <w:t xml:space="preserve">NOTE: </w:t>
      </w:r>
      <w:r>
        <w:rPr>
          <w:rFonts w:cs="Arial"/>
          <w:szCs w:val="22"/>
          <w:lang w:val="en-US" w:eastAsia="en-GB" w:bidi="ar-SA"/>
        </w:rPr>
        <w:tab/>
      </w:r>
      <w:r>
        <w:rPr>
          <w:szCs w:val="22"/>
          <w:lang w:eastAsia="en-GB" w:bidi="ar-SA"/>
        </w:rPr>
        <w:t>Two</w:t>
      </w:r>
      <w:r>
        <w:rPr>
          <w:szCs w:val="22"/>
          <w:lang w:val="en-US" w:eastAsia="en-GB" w:bidi="ar-SA"/>
        </w:rPr>
        <w:t xml:space="preserve"> TLVs allow for one SCP80 and one SCP81 key set to “survive” key clean-up.</w:t>
      </w:r>
    </w:p>
    <w:p w14:paraId="6D4D94CA" w14:textId="77777777" w:rsidR="00B97365" w:rsidRDefault="00000000">
      <w:pPr>
        <w:spacing w:before="0" w:after="200" w:line="276" w:lineRule="auto"/>
        <w:jc w:val="left"/>
        <w:rPr>
          <w:b/>
          <w:szCs w:val="22"/>
          <w:lang w:val="en-US" w:eastAsia="en-GB" w:bidi="ar-SA"/>
        </w:rPr>
      </w:pPr>
      <w:bookmarkStart w:id="2460" w:name="_Toc420594553"/>
      <w:r>
        <w:rPr>
          <w:rFonts w:cs="Arial"/>
          <w:b/>
          <w:szCs w:val="22"/>
          <w:lang w:val="en-US" w:eastAsia="en-GB" w:bidi="ar-SA"/>
        </w:rPr>
        <w:t>Example:</w:t>
      </w:r>
      <w:bookmarkEnd w:id="2460"/>
    </w:p>
    <w:p w14:paraId="5451EDF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‘F2 03 06 01 03 F2 03 43 01 02’ will delete all keys except those with Key Version Number – Key identifier:</w:t>
      </w:r>
      <w:bookmarkStart w:id="2461" w:name="_Hlk361149845"/>
      <w:r>
        <w:rPr>
          <w:rFonts w:cs="Arial"/>
          <w:szCs w:val="22"/>
          <w:lang w:val="en-US" w:eastAsia="en-GB" w:bidi="ar-SA"/>
        </w:rPr>
        <w:t xml:space="preserve"> ‘06’ – ‘01’,  ‘06’ – ‘02’, ‘06’ – ‘03’, ‘43’ – ‘01’ and ‘43’ – ‘02’.  </w:t>
      </w:r>
    </w:p>
    <w:p w14:paraId="6621E108" w14:textId="77777777" w:rsidR="00B97365" w:rsidRDefault="00000000">
      <w:pPr>
        <w:spacing w:before="0" w:after="200" w:line="276" w:lineRule="auto"/>
        <w:jc w:val="left"/>
        <w:rPr>
          <w:b/>
          <w:szCs w:val="22"/>
          <w:u w:val="single"/>
          <w:lang w:val="en-US" w:eastAsia="en-GB" w:bidi="ar-SA"/>
        </w:rPr>
      </w:pPr>
      <w:bookmarkStart w:id="2462" w:name="_Toc420594554"/>
      <w:bookmarkEnd w:id="2461"/>
      <w:r>
        <w:rPr>
          <w:rFonts w:cs="Arial"/>
          <w:b/>
          <w:szCs w:val="22"/>
          <w:u w:val="single"/>
          <w:lang w:val="en-US" w:eastAsia="en-GB" w:bidi="ar-SA"/>
        </w:rPr>
        <w:t>Function flow</w:t>
      </w:r>
      <w:bookmarkEnd w:id="2462"/>
    </w:p>
    <w:p w14:paraId="3CC2EFB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DELETE command, the eUICC SHALL:</w:t>
      </w:r>
    </w:p>
    <w:p w14:paraId="1D73D47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Check that all keys of the </w:t>
      </w:r>
      <w:bookmarkStart w:id="2463" w:name="_Hlk361150042"/>
      <w:r>
        <w:rPr>
          <w:szCs w:val="22"/>
          <w:lang w:eastAsia="en-GB" w:bidi="ar-SA"/>
        </w:rPr>
        <w:t>key set(s) used for setting up the current secure channel are among the keys not to be deleted</w:t>
      </w:r>
      <w:bookmarkEnd w:id="2463"/>
      <w:r>
        <w:rPr>
          <w:szCs w:val="22"/>
          <w:lang w:eastAsia="en-GB" w:bidi="ar-SA"/>
        </w:rPr>
        <w:t xml:space="preserve">. For SCP81, this also includes the key set used </w:t>
      </w:r>
      <w:r>
        <w:rPr>
          <w:szCs w:val="22"/>
          <w:lang w:eastAsia="en-GB" w:bidi="ar-SA"/>
        </w:rPr>
        <w:lastRenderedPageBreak/>
        <w:t>for the push SM. If that check fails, the command is terminated without deleting any key.</w:t>
      </w:r>
    </w:p>
    <w:p w14:paraId="7FABAD6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Delete all keys except those in the key ranges indicated in the command parameters.</w:t>
      </w:r>
    </w:p>
    <w:p w14:paraId="78283B21" w14:textId="77777777" w:rsidR="00B97365" w:rsidRDefault="00000000">
      <w:pPr>
        <w:spacing w:before="0" w:after="200" w:line="276" w:lineRule="auto"/>
        <w:jc w:val="left"/>
        <w:rPr>
          <w:b/>
          <w:i/>
          <w:szCs w:val="22"/>
          <w:lang w:val="en-US" w:eastAsia="en-GB" w:bidi="ar-SA"/>
        </w:rPr>
      </w:pPr>
      <w:bookmarkStart w:id="2464" w:name="_Toc420594555"/>
      <w:r>
        <w:rPr>
          <w:rFonts w:cs="Arial"/>
          <w:b/>
          <w:i/>
          <w:szCs w:val="22"/>
          <w:lang w:val="en-US" w:eastAsia="en-GB" w:bidi="ar-SA"/>
        </w:rPr>
        <w:t>Response</w:t>
      </w:r>
      <w:r>
        <w:rPr>
          <w:b/>
          <w:i/>
          <w:szCs w:val="22"/>
          <w:lang w:val="en-US" w:eastAsia="en-GB" w:bidi="ar-SA"/>
        </w:rPr>
        <w:t xml:space="preserve"> Message</w:t>
      </w:r>
      <w:bookmarkEnd w:id="2464"/>
    </w:p>
    <w:p w14:paraId="3A7164CA" w14:textId="77777777" w:rsidR="00B97365" w:rsidRDefault="00000000">
      <w:pPr>
        <w:spacing w:before="0" w:after="200" w:line="276" w:lineRule="auto"/>
        <w:jc w:val="left"/>
        <w:rPr>
          <w:b/>
          <w:i/>
          <w:szCs w:val="22"/>
          <w:lang w:val="en-US" w:eastAsia="en-GB" w:bidi="ar-SA"/>
        </w:rPr>
      </w:pPr>
      <w:bookmarkStart w:id="2465" w:name="_Toc420594556"/>
      <w:r>
        <w:rPr>
          <w:rFonts w:cs="Arial"/>
          <w:b/>
          <w:i/>
          <w:szCs w:val="22"/>
          <w:lang w:val="en-US" w:eastAsia="en-GB" w:bidi="ar-SA"/>
        </w:rPr>
        <w:t>Data</w:t>
      </w:r>
      <w:r>
        <w:rPr>
          <w:b/>
          <w:i/>
          <w:szCs w:val="22"/>
          <w:lang w:val="en-US" w:eastAsia="en-GB" w:bidi="ar-SA"/>
        </w:rPr>
        <w:t xml:space="preserve"> Field Returned in the Response Message:</w:t>
      </w:r>
      <w:bookmarkEnd w:id="2465"/>
    </w:p>
    <w:p w14:paraId="2B346057" w14:textId="77777777" w:rsidR="00B97365" w:rsidRDefault="00000000">
      <w:pPr>
        <w:spacing w:before="0" w:after="200" w:line="276" w:lineRule="auto"/>
        <w:jc w:val="left"/>
        <w:rPr>
          <w:szCs w:val="22"/>
          <w:lang w:val="en-US" w:eastAsia="en-GB" w:bidi="ar-SA"/>
        </w:rPr>
      </w:pPr>
      <w:bookmarkStart w:id="2466" w:name="_Toc420594557"/>
      <w:r>
        <w:rPr>
          <w:rFonts w:cs="Arial"/>
          <w:szCs w:val="22"/>
          <w:lang w:val="en-US" w:eastAsia="en-GB" w:bidi="ar-SA"/>
        </w:rPr>
        <w:t>The data field of the response message SHALL contain a single byte of ‘00’.</w:t>
      </w:r>
      <w:bookmarkEnd w:id="2466"/>
    </w:p>
    <w:p w14:paraId="1360C3F9" w14:textId="77777777" w:rsidR="00B97365" w:rsidRDefault="00B97365">
      <w:pPr>
        <w:rPr>
          <w:rFonts w:asciiTheme="minorHAnsi" w:hAnsiTheme="minorHAnsi" w:cstheme="minorHAnsi"/>
        </w:rPr>
      </w:pPr>
    </w:p>
    <w:p w14:paraId="024ADD2F" w14:textId="77777777" w:rsidR="00B97365" w:rsidRDefault="00000000">
      <w:pPr>
        <w:spacing w:before="0" w:after="200" w:line="276" w:lineRule="auto"/>
        <w:jc w:val="left"/>
        <w:rPr>
          <w:b/>
          <w:i/>
          <w:szCs w:val="22"/>
          <w:lang w:val="en-US" w:eastAsia="en-GB" w:bidi="ar-SA"/>
        </w:rPr>
      </w:pPr>
      <w:bookmarkStart w:id="2467" w:name="_Toc420594558"/>
      <w:r>
        <w:rPr>
          <w:rFonts w:cs="Arial"/>
          <w:b/>
          <w:i/>
          <w:szCs w:val="22"/>
          <w:lang w:val="en-US" w:eastAsia="en-GB" w:bidi="ar-SA"/>
        </w:rPr>
        <w:t>Processing</w:t>
      </w:r>
      <w:r>
        <w:rPr>
          <w:b/>
          <w:i/>
          <w:szCs w:val="22"/>
          <w:lang w:val="en-US" w:eastAsia="en-GB" w:bidi="ar-SA"/>
        </w:rPr>
        <w:t xml:space="preserve"> State returned in the Response Message:</w:t>
      </w:r>
      <w:bookmarkEnd w:id="2467"/>
    </w:p>
    <w:p w14:paraId="0D14109F" w14:textId="208321A2" w:rsidR="00B97365" w:rsidRDefault="00000000">
      <w:pPr>
        <w:spacing w:before="0" w:after="200" w:line="276" w:lineRule="auto"/>
        <w:jc w:val="left"/>
        <w:rPr>
          <w:szCs w:val="22"/>
          <w:lang w:val="en-US" w:eastAsia="en-GB" w:bidi="ar-SA"/>
        </w:rPr>
      </w:pPr>
      <w:bookmarkStart w:id="2468" w:name="_Toc420594559"/>
      <w:r>
        <w:rPr>
          <w:rFonts w:cs="Arial"/>
          <w:szCs w:val="22"/>
          <w:lang w:val="en-US" w:eastAsia="en-GB" w:bidi="ar-SA"/>
        </w:rPr>
        <w:t xml:space="preserve">See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11.2.3.2.</w:t>
      </w:r>
      <w:bookmarkEnd w:id="2468"/>
    </w:p>
    <w:p w14:paraId="55CE4E3F" w14:textId="77777777" w:rsidR="00B97365" w:rsidRDefault="00B97365">
      <w:pPr>
        <w:rPr>
          <w:rFonts w:asciiTheme="minorHAnsi" w:hAnsiTheme="minorHAnsi" w:cstheme="minorHAnsi"/>
        </w:rPr>
      </w:pPr>
    </w:p>
    <w:p w14:paraId="669CB758" w14:textId="77777777" w:rsidR="00B97365" w:rsidRDefault="00000000">
      <w:pPr>
        <w:spacing w:before="0" w:after="200" w:line="276" w:lineRule="auto"/>
        <w:jc w:val="left"/>
        <w:rPr>
          <w:b/>
          <w:i/>
          <w:szCs w:val="22"/>
          <w:lang w:val="en-US" w:eastAsia="en-GB" w:bidi="ar-SA"/>
        </w:rPr>
      </w:pPr>
      <w:bookmarkStart w:id="2469" w:name="_Toc420594560"/>
      <w:r>
        <w:rPr>
          <w:rFonts w:cs="Arial"/>
          <w:b/>
          <w:i/>
          <w:szCs w:val="22"/>
          <w:lang w:val="en-US" w:eastAsia="en-GB" w:bidi="ar-SA"/>
        </w:rPr>
        <w:t>Specific</w:t>
      </w:r>
      <w:r>
        <w:rPr>
          <w:b/>
          <w:i/>
          <w:szCs w:val="22"/>
          <w:lang w:val="en-US" w:eastAsia="en-GB" w:bidi="ar-SA"/>
        </w:rPr>
        <w:t xml:space="preserve"> Processing State returned in response Message:</w:t>
      </w:r>
      <w:bookmarkEnd w:id="2469"/>
      <w:r>
        <w:rPr>
          <w:b/>
          <w:i/>
          <w:szCs w:val="22"/>
          <w:lang w:val="en-US" w:eastAsia="en-GB" w:bidi="ar-SA"/>
        </w:rPr>
        <w:t xml:space="preserve"> </w:t>
      </w:r>
    </w:p>
    <w:p w14:paraId="25328E2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’69 85’: Key(s) of key set used for the current secure channel is/are among the keys to be deleted.</w:t>
      </w:r>
    </w:p>
    <w:p w14:paraId="1F851AB5"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470" w:name="_Toc368932236"/>
      <w:bookmarkStart w:id="2471" w:name="_Ref481771043"/>
      <w:bookmarkStart w:id="2472" w:name="_Ref483300688"/>
      <w:bookmarkStart w:id="2473" w:name="_Ref486241451"/>
      <w:bookmarkStart w:id="2474" w:name="_Toc1977315"/>
      <w:bookmarkStart w:id="2475" w:name="_Toc37062474"/>
      <w:r>
        <w:rPr>
          <w:rFonts w:ascii="Arial Bold" w:eastAsia="Times New Roman" w:hAnsi="Arial Bold" w:cs="Arial"/>
          <w:b/>
          <w:iCs/>
          <w:szCs w:val="28"/>
          <w:lang w:eastAsia="en-US"/>
        </w:rPr>
        <w:t>SM-SR Addressing Parameters Update</w:t>
      </w:r>
      <w:bookmarkEnd w:id="2470"/>
      <w:bookmarkEnd w:id="2471"/>
      <w:bookmarkEnd w:id="2472"/>
      <w:bookmarkEnd w:id="2473"/>
      <w:bookmarkEnd w:id="2474"/>
      <w:bookmarkEnd w:id="2475"/>
    </w:p>
    <w:p w14:paraId="505E5ABC" w14:textId="77777777" w:rsidR="00B97365" w:rsidRDefault="00000000">
      <w:pPr>
        <w:spacing w:before="0" w:after="200" w:line="276" w:lineRule="auto"/>
        <w:jc w:val="left"/>
        <w:rPr>
          <w:szCs w:val="22"/>
          <w:lang w:val="en-US" w:eastAsia="en-GB" w:bidi="ar-SA"/>
        </w:rPr>
      </w:pPr>
      <w:bookmarkStart w:id="2476" w:name="_Toc420594561"/>
      <w:r>
        <w:rPr>
          <w:rFonts w:cs="Arial"/>
          <w:b/>
          <w:szCs w:val="22"/>
          <w:lang w:val="en-US" w:eastAsia="en-GB" w:bidi="ar-SA"/>
        </w:rPr>
        <w:t>Function name:</w:t>
      </w:r>
      <w:r>
        <w:rPr>
          <w:szCs w:val="22"/>
          <w:lang w:val="en-US" w:eastAsia="en-GB" w:bidi="ar-SA"/>
        </w:rPr>
        <w:t xml:space="preserve"> UpdateSMSRAddressingParameters</w:t>
      </w:r>
      <w:bookmarkEnd w:id="2476"/>
      <w:r>
        <w:rPr>
          <w:szCs w:val="22"/>
          <w:lang w:val="en-US" w:eastAsia="en-GB" w:bidi="ar-SA"/>
        </w:rPr>
        <w:t xml:space="preserve"> </w:t>
      </w:r>
    </w:p>
    <w:p w14:paraId="4ECBB4FD" w14:textId="77777777" w:rsidR="00B97365" w:rsidRDefault="00000000">
      <w:pPr>
        <w:spacing w:before="0" w:after="200" w:line="276" w:lineRule="auto"/>
        <w:jc w:val="left"/>
        <w:rPr>
          <w:szCs w:val="22"/>
          <w:lang w:val="en-US" w:eastAsia="en-GB" w:bidi="ar-SA"/>
        </w:rPr>
      </w:pPr>
      <w:bookmarkStart w:id="2477" w:name="_Toc420594562"/>
      <w:r>
        <w:rPr>
          <w:rFonts w:cs="Arial"/>
          <w:b/>
          <w:szCs w:val="22"/>
          <w:lang w:val="en-US" w:eastAsia="en-GB" w:bidi="ar-SA"/>
        </w:rPr>
        <w:t>Related Procedures:</w:t>
      </w:r>
      <w:r>
        <w:rPr>
          <w:szCs w:val="22"/>
          <w:lang w:val="en-US" w:eastAsia="en-GB" w:bidi="ar-SA"/>
        </w:rPr>
        <w:t xml:space="preserve"> SM-SR Change</w:t>
      </w:r>
      <w:bookmarkEnd w:id="2477"/>
      <w:r>
        <w:rPr>
          <w:szCs w:val="22"/>
          <w:lang w:val="en-US" w:eastAsia="en-GB" w:bidi="ar-SA"/>
        </w:rPr>
        <w:t>, Profile Download and Installation</w:t>
      </w:r>
    </w:p>
    <w:p w14:paraId="77EB2DD1" w14:textId="77777777" w:rsidR="00B97365" w:rsidRDefault="00000000">
      <w:pPr>
        <w:spacing w:before="0" w:after="200" w:line="276" w:lineRule="auto"/>
        <w:jc w:val="left"/>
        <w:rPr>
          <w:szCs w:val="22"/>
          <w:lang w:val="en-US" w:eastAsia="en-GB" w:bidi="ar-SA"/>
        </w:rPr>
      </w:pPr>
      <w:bookmarkStart w:id="2478" w:name="_Toc420594563"/>
      <w:r>
        <w:rPr>
          <w:rFonts w:cs="Arial"/>
          <w:b/>
          <w:szCs w:val="22"/>
          <w:lang w:val="en-US" w:eastAsia="en-GB" w:bidi="ar-SA"/>
        </w:rPr>
        <w:t>Function group:</w:t>
      </w:r>
      <w:r>
        <w:rPr>
          <w:szCs w:val="22"/>
          <w:lang w:val="en-US" w:eastAsia="en-GB" w:bidi="ar-SA"/>
        </w:rPr>
        <w:t xml:space="preserve"> eUICC Management</w:t>
      </w:r>
      <w:bookmarkEnd w:id="2478"/>
    </w:p>
    <w:p w14:paraId="144997F3" w14:textId="77777777" w:rsidR="00B97365" w:rsidRDefault="00000000">
      <w:pPr>
        <w:spacing w:before="0" w:after="200" w:line="276" w:lineRule="auto"/>
        <w:jc w:val="left"/>
        <w:rPr>
          <w:szCs w:val="22"/>
          <w:lang w:val="en-US" w:eastAsia="en-GB" w:bidi="ar-SA"/>
        </w:rPr>
      </w:pPr>
      <w:bookmarkStart w:id="2479" w:name="_Toc420594564"/>
      <w:r>
        <w:rPr>
          <w:rFonts w:cs="Arial"/>
          <w:b/>
          <w:szCs w:val="22"/>
          <w:lang w:val="en-US" w:eastAsia="en-GB" w:bidi="ar-SA"/>
        </w:rPr>
        <w:t>Function Provider entity:</w:t>
      </w:r>
      <w:r>
        <w:rPr>
          <w:szCs w:val="22"/>
          <w:lang w:val="en-US" w:eastAsia="en-GB" w:bidi="ar-SA"/>
        </w:rPr>
        <w:t xml:space="preserve"> ISD-R</w:t>
      </w:r>
      <w:bookmarkEnd w:id="2479"/>
    </w:p>
    <w:p w14:paraId="665703D7" w14:textId="77777777" w:rsidR="00B97365" w:rsidRDefault="00000000">
      <w:pPr>
        <w:spacing w:before="0" w:after="200" w:line="276" w:lineRule="auto"/>
        <w:jc w:val="left"/>
        <w:rPr>
          <w:b/>
          <w:szCs w:val="22"/>
          <w:lang w:val="en-US" w:eastAsia="en-GB" w:bidi="ar-SA"/>
        </w:rPr>
      </w:pPr>
      <w:bookmarkStart w:id="2480" w:name="_Toc420594565"/>
      <w:r>
        <w:rPr>
          <w:rFonts w:cs="Arial"/>
          <w:b/>
          <w:szCs w:val="22"/>
          <w:lang w:val="en-US" w:eastAsia="en-GB" w:bidi="ar-SA"/>
        </w:rPr>
        <w:t>Description:</w:t>
      </w:r>
      <w:bookmarkEnd w:id="2480"/>
      <w:r>
        <w:rPr>
          <w:b/>
          <w:szCs w:val="22"/>
          <w:lang w:val="en-US" w:eastAsia="en-GB" w:bidi="ar-SA"/>
        </w:rPr>
        <w:t xml:space="preserve">  </w:t>
      </w:r>
    </w:p>
    <w:p w14:paraId="333B42A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be used by the new SM-SR to update SM-SR addressing parameters on the eUICC after an SM-SR Change procedure.</w:t>
      </w:r>
    </w:p>
    <w:p w14:paraId="0378913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be used by the SM-SR during Profile Download and Installation procedure to add a specific TP-DA for a newly downloaded Profile.</w:t>
      </w:r>
    </w:p>
    <w:p w14:paraId="43683D6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function MAY be used by the SM-SR outside of the Profile Download and Installation or SM-SR Change procedure in case some parameters have changed. </w:t>
      </w:r>
    </w:p>
    <w:p w14:paraId="11078DE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has the following parameter:</w:t>
      </w:r>
    </w:p>
    <w:p w14:paraId="69DAA9D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ISD-R AID</w:t>
      </w:r>
    </w:p>
    <w:p w14:paraId="04B239F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SM-SR addressing Parameters</w:t>
      </w:r>
    </w:p>
    <w:p w14:paraId="44661CDB" w14:textId="6B2F751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 xml:space="preserve">The SM-SR addressing parameters for HTTPS can be updated by the function defined in GlobalPlatform Card Specification Amendment B </w:t>
      </w:r>
      <w:r>
        <w:rPr>
          <w:szCs w:val="22"/>
          <w:lang w:val="en-US" w:eastAsia="en-GB" w:bidi="ar-SA"/>
        </w:rPr>
        <w:fldChar w:fldCharType="begin"/>
      </w:r>
      <w:r>
        <w:rPr>
          <w:szCs w:val="22"/>
          <w:lang w:val="en-US" w:eastAsia="en-GB" w:bidi="ar-SA"/>
        </w:rPr>
        <w:instrText xml:space="preserve"> REF _Ref471401718 \r \h </w:instrText>
      </w:r>
      <w:r>
        <w:rPr>
          <w:szCs w:val="22"/>
          <w:lang w:val="en-US" w:eastAsia="en-GB" w:bidi="ar-SA"/>
        </w:rPr>
      </w:r>
      <w:r>
        <w:rPr>
          <w:szCs w:val="22"/>
          <w:lang w:val="en-US" w:eastAsia="en-GB" w:bidi="ar-SA"/>
        </w:rPr>
        <w:fldChar w:fldCharType="separate"/>
      </w:r>
      <w:r w:rsidR="001D5AD9">
        <w:rPr>
          <w:szCs w:val="22"/>
          <w:lang w:val="en-US" w:eastAsia="en-GB" w:bidi="ar-SA"/>
        </w:rPr>
        <w:t>[8]</w:t>
      </w:r>
      <w:r>
        <w:rPr>
          <w:szCs w:val="22"/>
          <w:lang w:val="en-US" w:eastAsia="en-GB" w:bidi="ar-SA"/>
        </w:rPr>
        <w:fldChar w:fldCharType="end"/>
      </w:r>
      <w:r>
        <w:rPr>
          <w:szCs w:val="22"/>
          <w:lang w:eastAsia="en-GB" w:bidi="ar-SA"/>
        </w:rPr>
        <w:t>, leveraging in particular the tag A5 to update only the relevant sub-TLVs, so they are not described here</w:t>
      </w:r>
      <w:r>
        <w:rPr>
          <w:szCs w:val="22"/>
          <w:lang w:val="en-US" w:eastAsia="en-GB" w:bidi="ar-SA"/>
        </w:rPr>
        <w:t xml:space="preserve">. </w:t>
      </w:r>
    </w:p>
    <w:p w14:paraId="1C6DE7E2" w14:textId="77777777" w:rsidR="00B97365" w:rsidRDefault="00000000">
      <w:pPr>
        <w:spacing w:before="0" w:after="200" w:line="276" w:lineRule="auto"/>
        <w:jc w:val="left"/>
        <w:rPr>
          <w:b/>
          <w:szCs w:val="22"/>
          <w:u w:val="single"/>
          <w:lang w:val="en-US" w:eastAsia="en-GB" w:bidi="ar-SA"/>
        </w:rPr>
      </w:pPr>
      <w:bookmarkStart w:id="2481" w:name="_Toc420594566"/>
      <w:r>
        <w:rPr>
          <w:rFonts w:cs="Arial"/>
          <w:b/>
          <w:szCs w:val="22"/>
          <w:u w:val="single"/>
          <w:lang w:val="en-US" w:eastAsia="en-GB" w:bidi="ar-SA"/>
        </w:rPr>
        <w:t>Prerequisites</w:t>
      </w:r>
      <w:bookmarkEnd w:id="2481"/>
    </w:p>
    <w:p w14:paraId="3F659946" w14:textId="77777777" w:rsidR="00B97365" w:rsidRDefault="00000000">
      <w:pPr>
        <w:numPr>
          <w:ilvl w:val="0"/>
          <w:numId w:val="21"/>
        </w:numPr>
        <w:spacing w:before="60" w:after="60" w:line="276" w:lineRule="auto"/>
        <w:rPr>
          <w:rFonts w:cs="Calibri"/>
        </w:rPr>
      </w:pPr>
      <w:r>
        <w:rPr>
          <w:rFonts w:cs="Calibri"/>
        </w:rPr>
        <w:t>None</w:t>
      </w:r>
    </w:p>
    <w:p w14:paraId="37B5F9E8" w14:textId="77777777" w:rsidR="00B97365" w:rsidRDefault="00000000">
      <w:pPr>
        <w:spacing w:before="0" w:after="200" w:line="276" w:lineRule="auto"/>
        <w:jc w:val="left"/>
        <w:rPr>
          <w:b/>
          <w:szCs w:val="22"/>
          <w:u w:val="single"/>
          <w:lang w:val="en-US" w:eastAsia="en-GB" w:bidi="ar-SA"/>
        </w:rPr>
      </w:pPr>
      <w:bookmarkStart w:id="2482" w:name="_Toc420594567"/>
      <w:r>
        <w:rPr>
          <w:rFonts w:cs="Arial"/>
          <w:b/>
          <w:szCs w:val="22"/>
          <w:u w:val="single"/>
          <w:lang w:val="en-US" w:eastAsia="en-GB" w:bidi="ar-SA"/>
        </w:rPr>
        <w:lastRenderedPageBreak/>
        <w:t>Function flow</w:t>
      </w:r>
      <w:bookmarkEnd w:id="2482"/>
    </w:p>
    <w:p w14:paraId="5B410D3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SM-SR addressing Parameters update command, the eUICC SHALL:</w:t>
      </w:r>
    </w:p>
    <w:p w14:paraId="69A4482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Update the SM-SR addressing Parameters of the ISD-R</w:t>
      </w:r>
    </w:p>
    <w:p w14:paraId="5E70C5DA" w14:textId="77777777" w:rsidR="00B97365" w:rsidRDefault="00000000">
      <w:pPr>
        <w:spacing w:before="0" w:after="200" w:line="276" w:lineRule="auto"/>
        <w:jc w:val="left"/>
        <w:rPr>
          <w:b/>
          <w:szCs w:val="22"/>
          <w:u w:val="single"/>
          <w:lang w:val="en-US" w:eastAsia="en-GB" w:bidi="ar-SA"/>
        </w:rPr>
      </w:pPr>
      <w:bookmarkStart w:id="2483" w:name="_Toc420594568"/>
      <w:r>
        <w:rPr>
          <w:rFonts w:cs="Arial"/>
          <w:b/>
          <w:szCs w:val="22"/>
          <w:u w:val="single"/>
          <w:lang w:val="en-US" w:eastAsia="en-GB" w:bidi="ar-SA"/>
        </w:rPr>
        <w:t>Commands</w:t>
      </w:r>
      <w:bookmarkEnd w:id="2483"/>
    </w:p>
    <w:p w14:paraId="27631330" w14:textId="5986D67E" w:rsidR="00B97365" w:rsidRDefault="00000000">
      <w:pPr>
        <w:spacing w:before="0" w:after="200" w:line="276" w:lineRule="auto"/>
        <w:jc w:val="left"/>
        <w:rPr>
          <w:rFonts w:cs="Calibri"/>
          <w:szCs w:val="22"/>
          <w:lang w:eastAsia="en-GB" w:bidi="ar-SA"/>
        </w:rPr>
      </w:pPr>
      <w:r>
        <w:rPr>
          <w:rFonts w:cs="Arial"/>
          <w:szCs w:val="22"/>
          <w:lang w:val="en-US" w:eastAsia="en-GB" w:bidi="ar-SA"/>
        </w:rPr>
        <w:t xml:space="preserve">This command is a STORE DATA command, as described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11.11.2. </w:t>
      </w:r>
    </w:p>
    <w:tbl>
      <w:tblPr>
        <w:tblW w:w="0" w:type="auto"/>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559"/>
        <w:gridCol w:w="1559"/>
        <w:gridCol w:w="4536"/>
      </w:tblGrid>
      <w:tr w:rsidR="00B97365" w14:paraId="47D6F306" w14:textId="77777777">
        <w:trPr>
          <w:tblHeader/>
        </w:trPr>
        <w:tc>
          <w:tcPr>
            <w:tcW w:w="155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EE3EDDC" w14:textId="77777777" w:rsidR="00B97365" w:rsidRDefault="00000000">
            <w:pPr>
              <w:spacing w:before="0" w:after="200" w:line="276" w:lineRule="auto"/>
              <w:jc w:val="center"/>
              <w:rPr>
                <w:rFonts w:cs="Calibri"/>
                <w:b/>
                <w:color w:val="FFFFFF"/>
                <w:sz w:val="16"/>
                <w:szCs w:val="16"/>
                <w:lang w:bidi="ar-SA"/>
              </w:rPr>
            </w:pPr>
            <w:r>
              <w:rPr>
                <w:rFonts w:cs="Calibri"/>
                <w:b/>
                <w:color w:val="FFFFFF"/>
                <w:sz w:val="16"/>
                <w:szCs w:val="16"/>
                <w:lang w:bidi="ar-SA"/>
              </w:rPr>
              <w:t>Code</w:t>
            </w:r>
          </w:p>
        </w:tc>
        <w:tc>
          <w:tcPr>
            <w:tcW w:w="155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928C719" w14:textId="77777777" w:rsidR="00B97365" w:rsidRDefault="00000000">
            <w:pPr>
              <w:spacing w:before="0" w:after="200" w:line="276" w:lineRule="auto"/>
              <w:jc w:val="center"/>
              <w:rPr>
                <w:rFonts w:cs="Calibri"/>
                <w:b/>
                <w:color w:val="FFFFFF"/>
                <w:sz w:val="16"/>
                <w:szCs w:val="16"/>
                <w:lang w:bidi="ar-SA"/>
              </w:rPr>
            </w:pPr>
            <w:r>
              <w:rPr>
                <w:rFonts w:cs="Calibri"/>
                <w:b/>
                <w:color w:val="FFFFFF"/>
                <w:sz w:val="16"/>
                <w:szCs w:val="16"/>
                <w:lang w:bidi="ar-SA"/>
              </w:rPr>
              <w:t>Value</w:t>
            </w:r>
          </w:p>
        </w:tc>
        <w:tc>
          <w:tcPr>
            <w:tcW w:w="453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C6ACA13" w14:textId="77777777" w:rsidR="00B97365" w:rsidRDefault="00000000">
            <w:pPr>
              <w:spacing w:before="0" w:after="200" w:line="276" w:lineRule="auto"/>
              <w:jc w:val="center"/>
              <w:rPr>
                <w:rFonts w:cs="Calibri"/>
                <w:b/>
                <w:color w:val="FFFFFF"/>
                <w:sz w:val="16"/>
                <w:szCs w:val="16"/>
                <w:lang w:bidi="ar-SA"/>
              </w:rPr>
            </w:pPr>
            <w:r>
              <w:rPr>
                <w:rFonts w:cs="Calibri"/>
                <w:b/>
                <w:color w:val="FFFFFF"/>
                <w:sz w:val="16"/>
                <w:szCs w:val="16"/>
                <w:lang w:bidi="ar-SA"/>
              </w:rPr>
              <w:t>Meaning</w:t>
            </w:r>
          </w:p>
        </w:tc>
      </w:tr>
      <w:tr w:rsidR="00B97365" w14:paraId="704A1BC4"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1C3608E5" w14:textId="77777777" w:rsidR="00B97365" w:rsidRDefault="00000000">
            <w:pPr>
              <w:spacing w:before="0" w:after="200" w:line="276" w:lineRule="auto"/>
              <w:jc w:val="left"/>
              <w:rPr>
                <w:rFonts w:cs="Calibri"/>
                <w:sz w:val="16"/>
                <w:szCs w:val="16"/>
                <w:lang w:bidi="ar-SA"/>
              </w:rPr>
            </w:pPr>
            <w:r>
              <w:rPr>
                <w:rFonts w:cs="Calibri"/>
                <w:sz w:val="16"/>
                <w:szCs w:val="16"/>
                <w:lang w:bidi="ar-SA"/>
              </w:rPr>
              <w:t>CLA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FFFF941" w14:textId="77777777" w:rsidR="00B97365" w:rsidRDefault="00000000">
            <w:pPr>
              <w:spacing w:before="0" w:after="200" w:line="276" w:lineRule="auto"/>
              <w:jc w:val="left"/>
              <w:rPr>
                <w:rFonts w:ascii="Calibri" w:hAnsi="Calibri" w:cs="Calibri"/>
                <w:sz w:val="16"/>
                <w:szCs w:val="16"/>
                <w:lang w:bidi="ar-SA"/>
              </w:rPr>
            </w:pPr>
            <w:r>
              <w:rPr>
                <w:rFonts w:ascii="Calibri" w:hAnsi="Calibri" w:cs="Calibri"/>
                <w:sz w:val="16"/>
                <w:szCs w:val="16"/>
                <w:lang w:bidi="ar-SA"/>
              </w:rPr>
              <w:t xml:space="preserve">‘80’ </w:t>
            </w:r>
          </w:p>
        </w:tc>
        <w:tc>
          <w:tcPr>
            <w:tcW w:w="4536" w:type="dxa"/>
            <w:tcBorders>
              <w:top w:val="single" w:sz="6" w:space="0" w:color="auto"/>
              <w:left w:val="single" w:sz="6" w:space="0" w:color="auto"/>
              <w:bottom w:val="single" w:sz="6" w:space="0" w:color="auto"/>
              <w:right w:val="single" w:sz="4" w:space="0" w:color="auto"/>
            </w:tcBorders>
            <w:vAlign w:val="center"/>
          </w:tcPr>
          <w:p w14:paraId="7A0A1810" w14:textId="77777777" w:rsidR="00B97365" w:rsidRDefault="00B97365">
            <w:pPr>
              <w:spacing w:before="0" w:after="200" w:line="276" w:lineRule="auto"/>
              <w:jc w:val="left"/>
              <w:rPr>
                <w:rFonts w:cs="Calibri"/>
                <w:sz w:val="16"/>
                <w:szCs w:val="16"/>
                <w:lang w:bidi="ar-SA"/>
              </w:rPr>
            </w:pPr>
          </w:p>
        </w:tc>
      </w:tr>
      <w:tr w:rsidR="00B97365" w14:paraId="6C23E8FC"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66181514" w14:textId="77777777" w:rsidR="00B97365" w:rsidRDefault="00000000">
            <w:pPr>
              <w:spacing w:before="0" w:after="200" w:line="276" w:lineRule="auto"/>
              <w:jc w:val="left"/>
              <w:rPr>
                <w:rFonts w:cs="Calibri"/>
                <w:sz w:val="16"/>
                <w:szCs w:val="16"/>
                <w:lang w:bidi="ar-SA"/>
              </w:rPr>
            </w:pPr>
            <w:r>
              <w:rPr>
                <w:rFonts w:cs="Calibri"/>
                <w:sz w:val="16"/>
                <w:szCs w:val="16"/>
                <w:lang w:bidi="ar-SA"/>
              </w:rPr>
              <w:t>INS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4ED893D" w14:textId="77777777" w:rsidR="00B97365" w:rsidRDefault="00000000">
            <w:pPr>
              <w:spacing w:before="0" w:after="200" w:line="276" w:lineRule="auto"/>
              <w:jc w:val="left"/>
              <w:rPr>
                <w:rFonts w:ascii="Calibri" w:hAnsi="Calibri" w:cs="Calibri"/>
                <w:sz w:val="16"/>
                <w:szCs w:val="16"/>
                <w:lang w:bidi="ar-SA"/>
              </w:rPr>
            </w:pPr>
            <w:r>
              <w:rPr>
                <w:rFonts w:ascii="Calibri" w:hAnsi="Calibri" w:cs="Calibri"/>
                <w:sz w:val="16"/>
                <w:szCs w:val="16"/>
                <w:lang w:bidi="ar-SA"/>
              </w:rPr>
              <w:t>‘E2’</w:t>
            </w:r>
          </w:p>
        </w:tc>
        <w:tc>
          <w:tcPr>
            <w:tcW w:w="4536" w:type="dxa"/>
            <w:tcBorders>
              <w:top w:val="single" w:sz="6" w:space="0" w:color="auto"/>
              <w:left w:val="single" w:sz="6" w:space="0" w:color="auto"/>
              <w:bottom w:val="single" w:sz="6" w:space="0" w:color="auto"/>
              <w:right w:val="single" w:sz="4" w:space="0" w:color="auto"/>
            </w:tcBorders>
            <w:vAlign w:val="center"/>
            <w:hideMark/>
          </w:tcPr>
          <w:p w14:paraId="67B6D55B" w14:textId="77777777" w:rsidR="00B97365" w:rsidRDefault="00000000">
            <w:pPr>
              <w:spacing w:before="0" w:after="200" w:line="276" w:lineRule="auto"/>
              <w:jc w:val="left"/>
              <w:rPr>
                <w:rFonts w:cs="Calibri"/>
                <w:sz w:val="16"/>
                <w:szCs w:val="16"/>
                <w:lang w:bidi="ar-SA"/>
              </w:rPr>
            </w:pPr>
            <w:r>
              <w:rPr>
                <w:rFonts w:cs="Calibri"/>
                <w:sz w:val="16"/>
                <w:szCs w:val="16"/>
                <w:lang w:bidi="ar-SA"/>
              </w:rPr>
              <w:t>STORE DATA</w:t>
            </w:r>
          </w:p>
        </w:tc>
      </w:tr>
      <w:tr w:rsidR="00B97365" w14:paraId="492D57DD"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38ADFF16" w14:textId="77777777" w:rsidR="00B97365" w:rsidRDefault="00000000">
            <w:pPr>
              <w:spacing w:before="0" w:after="200" w:line="276" w:lineRule="auto"/>
              <w:jc w:val="left"/>
              <w:rPr>
                <w:rFonts w:cs="Calibri"/>
                <w:sz w:val="16"/>
                <w:szCs w:val="16"/>
                <w:lang w:bidi="ar-SA"/>
              </w:rPr>
            </w:pPr>
            <w:r>
              <w:rPr>
                <w:rFonts w:cs="Calibri"/>
                <w:sz w:val="16"/>
                <w:szCs w:val="16"/>
                <w:lang w:bidi="ar-SA"/>
              </w:rPr>
              <w:t>P1</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61FCC6E" w14:textId="77777777" w:rsidR="00B97365" w:rsidRDefault="00000000">
            <w:pPr>
              <w:spacing w:before="0" w:after="200" w:line="276" w:lineRule="auto"/>
              <w:jc w:val="left"/>
              <w:rPr>
                <w:rFonts w:cs="Calibri"/>
                <w:sz w:val="16"/>
                <w:szCs w:val="16"/>
                <w:lang w:bidi="ar-SA"/>
              </w:rPr>
            </w:pPr>
            <w:r>
              <w:rPr>
                <w:rFonts w:ascii="Calibri" w:hAnsi="Calibri" w:cs="Calibri"/>
                <w:sz w:val="16"/>
                <w:szCs w:val="16"/>
                <w:lang w:bidi="ar-SA"/>
              </w:rPr>
              <w:t>‘88’</w:t>
            </w:r>
          </w:p>
        </w:tc>
        <w:tc>
          <w:tcPr>
            <w:tcW w:w="4536" w:type="dxa"/>
            <w:tcBorders>
              <w:top w:val="single" w:sz="6" w:space="0" w:color="auto"/>
              <w:left w:val="single" w:sz="6" w:space="0" w:color="auto"/>
              <w:bottom w:val="single" w:sz="6" w:space="0" w:color="auto"/>
              <w:right w:val="single" w:sz="4" w:space="0" w:color="auto"/>
            </w:tcBorders>
            <w:vAlign w:val="center"/>
            <w:hideMark/>
          </w:tcPr>
          <w:p w14:paraId="0CF25ED9" w14:textId="2C3AEE5B" w:rsidR="00B97365" w:rsidRDefault="00000000">
            <w:pPr>
              <w:spacing w:before="0" w:after="200" w:line="276" w:lineRule="auto"/>
              <w:jc w:val="left"/>
              <w:rPr>
                <w:rFonts w:cs="Calibri"/>
                <w:sz w:val="16"/>
                <w:szCs w:val="16"/>
                <w:lang w:bidi="ar-SA"/>
              </w:rPr>
            </w:pPr>
            <w:r>
              <w:rPr>
                <w:rFonts w:cs="Calibri"/>
                <w:sz w:val="16"/>
                <w:szCs w:val="16"/>
                <w:lang w:bidi="ar-SA"/>
              </w:rPr>
              <w:t xml:space="preserve">Reference Control Parameter P1 </w:t>
            </w:r>
            <w:r>
              <w:fldChar w:fldCharType="begin"/>
            </w:r>
            <w:r>
              <w:instrText xml:space="preserve"> REF _Ref340070179 \r \h  \* MERGEFORMAT </w:instrText>
            </w:r>
            <w:r>
              <w:fldChar w:fldCharType="separate"/>
            </w:r>
            <w:r w:rsidR="001D5AD9">
              <w:t>0</w:t>
            </w:r>
            <w:r>
              <w:fldChar w:fldCharType="end"/>
            </w:r>
          </w:p>
        </w:tc>
      </w:tr>
      <w:tr w:rsidR="00B97365" w14:paraId="3EAA9C55"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6B90997E" w14:textId="77777777" w:rsidR="00B97365" w:rsidRDefault="00000000">
            <w:pPr>
              <w:spacing w:before="0" w:after="200" w:line="276" w:lineRule="auto"/>
              <w:jc w:val="left"/>
              <w:rPr>
                <w:rFonts w:cs="Calibri"/>
                <w:sz w:val="16"/>
                <w:szCs w:val="16"/>
                <w:lang w:bidi="ar-SA"/>
              </w:rPr>
            </w:pPr>
            <w:r>
              <w:rPr>
                <w:rFonts w:cs="Calibri"/>
                <w:sz w:val="16"/>
                <w:szCs w:val="16"/>
                <w:lang w:bidi="ar-SA"/>
              </w:rPr>
              <w:t>P2</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55D594E" w14:textId="77777777" w:rsidR="00B97365" w:rsidRDefault="00000000">
            <w:pPr>
              <w:spacing w:before="0" w:after="200" w:line="276" w:lineRule="auto"/>
              <w:jc w:val="left"/>
              <w:rPr>
                <w:rFonts w:ascii="Calibri" w:hAnsi="Calibri" w:cs="Calibri"/>
                <w:sz w:val="16"/>
                <w:szCs w:val="16"/>
                <w:lang w:bidi="ar-SA"/>
              </w:rPr>
            </w:pPr>
            <w:r>
              <w:rPr>
                <w:rFonts w:ascii="Calibri" w:hAnsi="Calibri" w:cs="Calibri"/>
                <w:sz w:val="16"/>
                <w:szCs w:val="16"/>
                <w:lang w:bidi="ar-SA"/>
              </w:rPr>
              <w:t>‘00’</w:t>
            </w:r>
          </w:p>
        </w:tc>
        <w:tc>
          <w:tcPr>
            <w:tcW w:w="4536" w:type="dxa"/>
            <w:tcBorders>
              <w:top w:val="single" w:sz="6" w:space="0" w:color="auto"/>
              <w:left w:val="single" w:sz="6" w:space="0" w:color="auto"/>
              <w:bottom w:val="single" w:sz="6" w:space="0" w:color="auto"/>
              <w:right w:val="single" w:sz="4" w:space="0" w:color="auto"/>
            </w:tcBorders>
            <w:vAlign w:val="center"/>
            <w:hideMark/>
          </w:tcPr>
          <w:p w14:paraId="0937D9C9" w14:textId="77777777" w:rsidR="00B97365" w:rsidRDefault="00000000">
            <w:pPr>
              <w:spacing w:before="0" w:after="200" w:line="276" w:lineRule="auto"/>
              <w:jc w:val="left"/>
              <w:rPr>
                <w:rFonts w:cs="Calibri"/>
                <w:sz w:val="16"/>
                <w:szCs w:val="16"/>
                <w:lang w:bidi="ar-SA"/>
              </w:rPr>
            </w:pPr>
            <w:r>
              <w:rPr>
                <w:rFonts w:cs="Calibri"/>
                <w:sz w:val="16"/>
                <w:szCs w:val="16"/>
                <w:lang w:bidi="ar-SA"/>
              </w:rPr>
              <w:t xml:space="preserve">Block Number (Not used for Enable </w:t>
            </w:r>
          </w:p>
        </w:tc>
      </w:tr>
      <w:tr w:rsidR="00B97365" w14:paraId="2ECDCC67"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323C3814" w14:textId="77777777" w:rsidR="00B97365" w:rsidRDefault="00000000">
            <w:pPr>
              <w:spacing w:before="0" w:after="200" w:line="276" w:lineRule="auto"/>
              <w:jc w:val="left"/>
              <w:rPr>
                <w:rFonts w:cs="Calibri"/>
                <w:sz w:val="16"/>
                <w:szCs w:val="16"/>
                <w:lang w:bidi="ar-SA"/>
              </w:rPr>
            </w:pPr>
            <w:r>
              <w:rPr>
                <w:rFonts w:cs="Calibri"/>
                <w:sz w:val="16"/>
                <w:szCs w:val="16"/>
                <w:lang w:bidi="ar-SA"/>
              </w:rPr>
              <w:t>Lc</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B4030E1" w14:textId="77777777" w:rsidR="00B97365" w:rsidRDefault="00000000">
            <w:pPr>
              <w:spacing w:before="0" w:after="200" w:line="276" w:lineRule="auto"/>
              <w:jc w:val="left"/>
              <w:rPr>
                <w:rFonts w:ascii="Calibri" w:hAnsi="Calibri" w:cs="Calibri"/>
                <w:sz w:val="16"/>
                <w:szCs w:val="16"/>
                <w:lang w:bidi="ar-SA"/>
              </w:rPr>
            </w:pPr>
            <w:r>
              <w:rPr>
                <w:rFonts w:ascii="Calibri" w:hAnsi="Calibri" w:cs="Calibri"/>
                <w:sz w:val="16"/>
                <w:szCs w:val="16"/>
                <w:lang w:bidi="ar-SA"/>
              </w:rPr>
              <w:t>‘XX’</w:t>
            </w:r>
          </w:p>
        </w:tc>
        <w:tc>
          <w:tcPr>
            <w:tcW w:w="4536" w:type="dxa"/>
            <w:tcBorders>
              <w:top w:val="single" w:sz="6" w:space="0" w:color="auto"/>
              <w:left w:val="single" w:sz="6" w:space="0" w:color="auto"/>
              <w:bottom w:val="single" w:sz="6" w:space="0" w:color="auto"/>
              <w:right w:val="single" w:sz="4" w:space="0" w:color="auto"/>
            </w:tcBorders>
            <w:vAlign w:val="center"/>
            <w:hideMark/>
          </w:tcPr>
          <w:p w14:paraId="78A00ADE" w14:textId="77777777" w:rsidR="00B97365" w:rsidRDefault="00000000">
            <w:pPr>
              <w:spacing w:before="0" w:after="200" w:line="276" w:lineRule="auto"/>
              <w:jc w:val="left"/>
              <w:rPr>
                <w:rFonts w:cs="Calibri"/>
                <w:sz w:val="16"/>
                <w:szCs w:val="16"/>
                <w:lang w:bidi="ar-SA"/>
              </w:rPr>
            </w:pPr>
            <w:r>
              <w:rPr>
                <w:rFonts w:cs="Calibri"/>
                <w:sz w:val="16"/>
                <w:szCs w:val="16"/>
                <w:lang w:bidi="ar-SA"/>
              </w:rPr>
              <w:t>Length of data field</w:t>
            </w:r>
          </w:p>
        </w:tc>
      </w:tr>
      <w:tr w:rsidR="00B97365" w14:paraId="495F23D3"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282758AC" w14:textId="77777777" w:rsidR="00B97365" w:rsidRDefault="00000000">
            <w:pPr>
              <w:spacing w:before="0" w:after="200" w:line="276" w:lineRule="auto"/>
              <w:jc w:val="left"/>
              <w:rPr>
                <w:rFonts w:cs="Calibri"/>
                <w:sz w:val="16"/>
                <w:szCs w:val="16"/>
                <w:lang w:bidi="ar-SA"/>
              </w:rPr>
            </w:pPr>
            <w:r>
              <w:rPr>
                <w:rFonts w:cs="Calibri"/>
                <w:sz w:val="16"/>
                <w:szCs w:val="16"/>
                <w:lang w:bidi="ar-SA"/>
              </w:rPr>
              <w:t>Data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8817C61" w14:textId="77777777" w:rsidR="00B97365" w:rsidRDefault="00000000">
            <w:pPr>
              <w:spacing w:before="0" w:after="200" w:line="276" w:lineRule="auto"/>
              <w:jc w:val="left"/>
              <w:rPr>
                <w:rFonts w:ascii="Calibri" w:hAnsi="Calibri" w:cs="Calibri"/>
                <w:sz w:val="16"/>
                <w:szCs w:val="16"/>
                <w:lang w:bidi="ar-SA"/>
              </w:rPr>
            </w:pPr>
            <w:r>
              <w:rPr>
                <w:rFonts w:ascii="Calibri" w:hAnsi="Calibri" w:cs="Calibri"/>
                <w:sz w:val="16"/>
                <w:szCs w:val="16"/>
                <w:lang w:bidi="ar-SA"/>
              </w:rPr>
              <w:t>‘XX’</w:t>
            </w:r>
          </w:p>
        </w:tc>
        <w:tc>
          <w:tcPr>
            <w:tcW w:w="4536" w:type="dxa"/>
            <w:tcBorders>
              <w:top w:val="single" w:sz="6" w:space="0" w:color="auto"/>
              <w:left w:val="single" w:sz="6" w:space="0" w:color="auto"/>
              <w:bottom w:val="single" w:sz="6" w:space="0" w:color="auto"/>
              <w:right w:val="single" w:sz="4" w:space="0" w:color="auto"/>
            </w:tcBorders>
            <w:vAlign w:val="center"/>
            <w:hideMark/>
          </w:tcPr>
          <w:p w14:paraId="6A8D4A0F" w14:textId="77777777" w:rsidR="00B97365" w:rsidRDefault="00000000">
            <w:pPr>
              <w:spacing w:before="0" w:after="200" w:line="276" w:lineRule="auto"/>
              <w:jc w:val="left"/>
              <w:rPr>
                <w:rFonts w:cs="Calibri"/>
                <w:sz w:val="16"/>
                <w:szCs w:val="16"/>
                <w:lang w:bidi="ar-SA"/>
              </w:rPr>
            </w:pPr>
            <w:r>
              <w:rPr>
                <w:rFonts w:cs="Calibri"/>
                <w:sz w:val="16"/>
                <w:szCs w:val="16"/>
                <w:lang w:bidi="ar-SA"/>
              </w:rPr>
              <w:t>Application Data and MAC (if present)</w:t>
            </w:r>
          </w:p>
        </w:tc>
      </w:tr>
      <w:tr w:rsidR="00B97365" w14:paraId="3E215EBD" w14:textId="77777777">
        <w:tc>
          <w:tcPr>
            <w:tcW w:w="1559" w:type="dxa"/>
            <w:tcBorders>
              <w:top w:val="single" w:sz="6" w:space="0" w:color="auto"/>
              <w:left w:val="single" w:sz="4" w:space="0" w:color="auto"/>
              <w:bottom w:val="single" w:sz="4" w:space="0" w:color="auto"/>
              <w:right w:val="single" w:sz="6" w:space="0" w:color="auto"/>
            </w:tcBorders>
            <w:vAlign w:val="center"/>
            <w:hideMark/>
          </w:tcPr>
          <w:p w14:paraId="61EE3196" w14:textId="77777777" w:rsidR="00B97365" w:rsidRDefault="00000000">
            <w:pPr>
              <w:spacing w:before="0" w:after="200" w:line="276" w:lineRule="auto"/>
              <w:jc w:val="left"/>
              <w:rPr>
                <w:rFonts w:cs="Calibri"/>
                <w:sz w:val="16"/>
                <w:szCs w:val="16"/>
                <w:lang w:bidi="ar-SA"/>
              </w:rPr>
            </w:pPr>
            <w:r>
              <w:rPr>
                <w:rFonts w:cs="Calibri"/>
                <w:sz w:val="16"/>
                <w:szCs w:val="16"/>
                <w:lang w:bidi="ar-SA"/>
              </w:rPr>
              <w:t>Le</w:t>
            </w:r>
          </w:p>
        </w:tc>
        <w:tc>
          <w:tcPr>
            <w:tcW w:w="1559" w:type="dxa"/>
            <w:tcBorders>
              <w:top w:val="single" w:sz="6" w:space="0" w:color="auto"/>
              <w:left w:val="single" w:sz="6" w:space="0" w:color="auto"/>
              <w:bottom w:val="single" w:sz="4" w:space="0" w:color="auto"/>
              <w:right w:val="single" w:sz="6" w:space="0" w:color="auto"/>
            </w:tcBorders>
            <w:vAlign w:val="center"/>
            <w:hideMark/>
          </w:tcPr>
          <w:p w14:paraId="09F142D4" w14:textId="77777777" w:rsidR="00B97365" w:rsidRDefault="00000000">
            <w:pPr>
              <w:spacing w:before="0" w:after="200" w:line="276" w:lineRule="auto"/>
              <w:jc w:val="left"/>
              <w:rPr>
                <w:rFonts w:ascii="Calibri" w:hAnsi="Calibri" w:cs="Calibri"/>
                <w:sz w:val="16"/>
                <w:szCs w:val="16"/>
                <w:lang w:bidi="ar-SA"/>
              </w:rPr>
            </w:pPr>
            <w:r>
              <w:rPr>
                <w:rFonts w:ascii="Calibri" w:hAnsi="Calibri" w:cs="Calibri"/>
                <w:sz w:val="16"/>
                <w:szCs w:val="16"/>
                <w:lang w:bidi="ar-SA"/>
              </w:rPr>
              <w:t>Not present</w:t>
            </w:r>
          </w:p>
        </w:tc>
        <w:tc>
          <w:tcPr>
            <w:tcW w:w="4536" w:type="dxa"/>
            <w:tcBorders>
              <w:top w:val="single" w:sz="6" w:space="0" w:color="auto"/>
              <w:left w:val="single" w:sz="6" w:space="0" w:color="auto"/>
              <w:bottom w:val="single" w:sz="4" w:space="0" w:color="auto"/>
              <w:right w:val="single" w:sz="4" w:space="0" w:color="auto"/>
            </w:tcBorders>
            <w:vAlign w:val="center"/>
          </w:tcPr>
          <w:p w14:paraId="079D71BF" w14:textId="77777777" w:rsidR="00B97365" w:rsidRDefault="00B97365">
            <w:pPr>
              <w:spacing w:before="0" w:after="200" w:line="276" w:lineRule="auto"/>
              <w:jc w:val="left"/>
              <w:rPr>
                <w:rFonts w:cs="Calibri"/>
                <w:sz w:val="16"/>
                <w:szCs w:val="16"/>
                <w:lang w:eastAsia="en-GB" w:bidi="ar-SA"/>
              </w:rPr>
            </w:pPr>
          </w:p>
        </w:tc>
      </w:tr>
    </w:tbl>
    <w:p w14:paraId="213C54E6"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Command Message</w:t>
      </w:r>
    </w:p>
    <w:p w14:paraId="2291C609" w14:textId="77777777" w:rsidR="00B97365" w:rsidRDefault="00000000">
      <w:pPr>
        <w:spacing w:before="0" w:after="200" w:line="276" w:lineRule="auto"/>
        <w:jc w:val="left"/>
        <w:rPr>
          <w:b/>
          <w:i/>
          <w:szCs w:val="22"/>
          <w:lang w:val="en-US" w:eastAsia="en-GB" w:bidi="ar-SA"/>
        </w:rPr>
      </w:pPr>
      <w:bookmarkStart w:id="2484" w:name="_Toc420594569"/>
      <w:r>
        <w:rPr>
          <w:rFonts w:cs="Arial"/>
          <w:b/>
          <w:i/>
          <w:szCs w:val="22"/>
          <w:lang w:val="en-US" w:eastAsia="en-GB" w:bidi="ar-SA"/>
        </w:rPr>
        <w:t>Parameter</w:t>
      </w:r>
      <w:r>
        <w:rPr>
          <w:b/>
          <w:i/>
          <w:szCs w:val="22"/>
          <w:lang w:val="en-US" w:eastAsia="en-GB" w:bidi="ar-SA"/>
        </w:rPr>
        <w:t xml:space="preserve"> P1 is coded according to the following table:</w:t>
      </w:r>
      <w:bookmarkEnd w:id="248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29"/>
        <w:gridCol w:w="329"/>
        <w:gridCol w:w="329"/>
        <w:gridCol w:w="329"/>
        <w:gridCol w:w="329"/>
        <w:gridCol w:w="329"/>
        <w:gridCol w:w="329"/>
        <w:gridCol w:w="329"/>
        <w:gridCol w:w="4154"/>
      </w:tblGrid>
      <w:tr w:rsidR="00B97365" w14:paraId="0BA8EFD2"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D670FE0" w14:textId="77777777" w:rsidR="00B97365" w:rsidRDefault="00000000">
            <w:pPr>
              <w:spacing w:after="200" w:line="276" w:lineRule="auto"/>
              <w:rPr>
                <w:rFonts w:cs="Calibri"/>
                <w:b/>
                <w:color w:val="FFFFFF"/>
                <w:sz w:val="16"/>
                <w:szCs w:val="16"/>
                <w:lang w:bidi="ar-SA"/>
              </w:rPr>
            </w:pPr>
            <w:r>
              <w:rPr>
                <w:rFonts w:cs="Calibri"/>
                <w:b/>
                <w:color w:val="FFFFFF"/>
                <w:sz w:val="16"/>
                <w:szCs w:val="16"/>
                <w:lang w:bidi="ar-SA"/>
              </w:rPr>
              <w:t xml:space="preserve">b8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5D8DE98" w14:textId="77777777" w:rsidR="00B97365" w:rsidRDefault="00000000">
            <w:pPr>
              <w:spacing w:before="0" w:after="200" w:line="276" w:lineRule="auto"/>
              <w:jc w:val="left"/>
              <w:rPr>
                <w:rFonts w:cs="Calibri"/>
                <w:b/>
                <w:color w:val="FFFFFF"/>
                <w:sz w:val="16"/>
                <w:szCs w:val="16"/>
                <w:lang w:bidi="ar-SA"/>
              </w:rPr>
            </w:pPr>
            <w:r>
              <w:rPr>
                <w:rFonts w:cs="Calibri"/>
                <w:b/>
                <w:color w:val="FFFFFF"/>
                <w:sz w:val="16"/>
                <w:szCs w:val="16"/>
                <w:lang w:bidi="ar-SA"/>
              </w:rPr>
              <w:t xml:space="preserve">b7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BE01501" w14:textId="77777777" w:rsidR="00B97365" w:rsidRDefault="00000000">
            <w:pPr>
              <w:spacing w:before="0" w:after="200" w:line="276" w:lineRule="auto"/>
              <w:jc w:val="left"/>
              <w:rPr>
                <w:rFonts w:cs="Calibri"/>
                <w:b/>
                <w:color w:val="FFFFFF"/>
                <w:sz w:val="16"/>
                <w:szCs w:val="16"/>
                <w:lang w:bidi="ar-SA"/>
              </w:rPr>
            </w:pPr>
            <w:r>
              <w:rPr>
                <w:rFonts w:cs="Calibri"/>
                <w:b/>
                <w:color w:val="FFFFFF"/>
                <w:sz w:val="16"/>
                <w:szCs w:val="16"/>
                <w:lang w:bidi="ar-SA"/>
              </w:rPr>
              <w:t xml:space="preserve">b6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E92B284" w14:textId="77777777" w:rsidR="00B97365" w:rsidRDefault="00000000">
            <w:pPr>
              <w:spacing w:before="0" w:after="200" w:line="276" w:lineRule="auto"/>
              <w:jc w:val="left"/>
              <w:rPr>
                <w:rFonts w:cs="Calibri"/>
                <w:b/>
                <w:color w:val="FFFFFF"/>
                <w:sz w:val="16"/>
                <w:szCs w:val="16"/>
                <w:lang w:bidi="ar-SA"/>
              </w:rPr>
            </w:pPr>
            <w:r>
              <w:rPr>
                <w:rFonts w:cs="Calibri"/>
                <w:b/>
                <w:color w:val="FFFFFF"/>
                <w:sz w:val="16"/>
                <w:szCs w:val="16"/>
                <w:lang w:bidi="ar-SA"/>
              </w:rPr>
              <w:t xml:space="preserve">b5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CD71BD7" w14:textId="77777777" w:rsidR="00B97365" w:rsidRDefault="00000000">
            <w:pPr>
              <w:spacing w:before="0" w:after="200" w:line="276" w:lineRule="auto"/>
              <w:jc w:val="left"/>
              <w:rPr>
                <w:rFonts w:cs="Calibri"/>
                <w:b/>
                <w:color w:val="FFFFFF"/>
                <w:sz w:val="16"/>
                <w:szCs w:val="16"/>
                <w:lang w:bidi="ar-SA"/>
              </w:rPr>
            </w:pPr>
            <w:r>
              <w:rPr>
                <w:rFonts w:cs="Calibri"/>
                <w:b/>
                <w:color w:val="FFFFFF"/>
                <w:sz w:val="16"/>
                <w:szCs w:val="16"/>
                <w:lang w:bidi="ar-SA"/>
              </w:rPr>
              <w:t xml:space="preserve">b4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353CF30" w14:textId="77777777" w:rsidR="00B97365" w:rsidRDefault="00000000">
            <w:pPr>
              <w:spacing w:before="0" w:after="200" w:line="276" w:lineRule="auto"/>
              <w:jc w:val="left"/>
              <w:rPr>
                <w:rFonts w:cs="Calibri"/>
                <w:b/>
                <w:color w:val="FFFFFF"/>
                <w:sz w:val="16"/>
                <w:szCs w:val="16"/>
                <w:lang w:bidi="ar-SA"/>
              </w:rPr>
            </w:pPr>
            <w:r>
              <w:rPr>
                <w:rFonts w:cs="Calibri"/>
                <w:b/>
                <w:color w:val="FFFFFF"/>
                <w:sz w:val="16"/>
                <w:szCs w:val="16"/>
                <w:lang w:bidi="ar-SA"/>
              </w:rPr>
              <w:t xml:space="preserve">b3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140343C" w14:textId="77777777" w:rsidR="00B97365" w:rsidRDefault="00000000">
            <w:pPr>
              <w:spacing w:before="0" w:after="200" w:line="276" w:lineRule="auto"/>
              <w:jc w:val="left"/>
              <w:rPr>
                <w:rFonts w:cs="Calibri"/>
                <w:b/>
                <w:color w:val="FFFFFF"/>
                <w:sz w:val="16"/>
                <w:szCs w:val="16"/>
                <w:lang w:bidi="ar-SA"/>
              </w:rPr>
            </w:pPr>
            <w:r>
              <w:rPr>
                <w:rFonts w:cs="Calibri"/>
                <w:b/>
                <w:color w:val="FFFFFF"/>
                <w:sz w:val="16"/>
                <w:szCs w:val="16"/>
                <w:lang w:bidi="ar-SA"/>
              </w:rPr>
              <w:t xml:space="preserve">b2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720CCCC" w14:textId="77777777" w:rsidR="00B97365" w:rsidRDefault="00000000">
            <w:pPr>
              <w:spacing w:before="0" w:after="200" w:line="276" w:lineRule="auto"/>
              <w:jc w:val="left"/>
              <w:rPr>
                <w:rFonts w:cs="Calibri"/>
                <w:b/>
                <w:color w:val="FFFFFF"/>
                <w:sz w:val="16"/>
                <w:szCs w:val="16"/>
                <w:lang w:bidi="ar-SA"/>
              </w:rPr>
            </w:pPr>
            <w:r>
              <w:rPr>
                <w:rFonts w:cs="Calibri"/>
                <w:b/>
                <w:color w:val="FFFFFF"/>
                <w:sz w:val="16"/>
                <w:szCs w:val="16"/>
                <w:lang w:bidi="ar-SA"/>
              </w:rPr>
              <w:t xml:space="preserve">b1 </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05D7046" w14:textId="77777777" w:rsidR="00B97365" w:rsidRDefault="00000000">
            <w:pPr>
              <w:spacing w:before="0" w:after="200" w:line="276" w:lineRule="auto"/>
              <w:jc w:val="left"/>
              <w:rPr>
                <w:rFonts w:cs="Calibri"/>
                <w:b/>
                <w:color w:val="FFFFFF"/>
                <w:sz w:val="16"/>
                <w:szCs w:val="16"/>
                <w:lang w:bidi="ar-SA"/>
              </w:rPr>
            </w:pPr>
            <w:r>
              <w:rPr>
                <w:rFonts w:cs="Calibri"/>
                <w:b/>
                <w:color w:val="FFFFFF"/>
                <w:sz w:val="16"/>
                <w:szCs w:val="16"/>
                <w:lang w:bidi="ar-SA"/>
              </w:rPr>
              <w:t xml:space="preserve">Meaning </w:t>
            </w:r>
          </w:p>
        </w:tc>
      </w:tr>
      <w:tr w:rsidR="00B97365" w14:paraId="3B545C42"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6B04FC37" w14:textId="77777777" w:rsidR="00B97365" w:rsidRDefault="00000000">
            <w:pPr>
              <w:spacing w:before="0" w:after="200" w:line="276" w:lineRule="auto"/>
              <w:jc w:val="left"/>
              <w:rPr>
                <w:rFonts w:cs="Calibri"/>
                <w:b/>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6" w:space="0" w:color="auto"/>
            </w:tcBorders>
            <w:hideMark/>
          </w:tcPr>
          <w:p w14:paraId="394CBB46" w14:textId="77777777" w:rsidR="00B97365" w:rsidRDefault="00000000">
            <w:pPr>
              <w:tabs>
                <w:tab w:val="left" w:pos="0"/>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4FB9387B" w14:textId="77777777" w:rsidR="00B97365" w:rsidRDefault="00000000">
            <w:pPr>
              <w:spacing w:before="0" w:after="200" w:line="276" w:lineRule="auto"/>
              <w:ind w:right="68"/>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0FB8AE8A" w14:textId="77777777" w:rsidR="00B97365" w:rsidRDefault="00000000">
            <w:pPr>
              <w:tabs>
                <w:tab w:val="left" w:pos="74"/>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3B0C8E2B" w14:textId="77777777" w:rsidR="00B97365" w:rsidRDefault="00000000">
            <w:pPr>
              <w:tabs>
                <w:tab w:val="left" w:pos="183"/>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6BB6DDA3" w14:textId="77777777" w:rsidR="00B97365" w:rsidRDefault="00000000">
            <w:pPr>
              <w:spacing w:before="0" w:after="200" w:line="276" w:lineRule="auto"/>
              <w:ind w:right="-71"/>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6161A422" w14:textId="77777777" w:rsidR="00B97365" w:rsidRDefault="00000000">
            <w:pPr>
              <w:tabs>
                <w:tab w:val="left" w:pos="158"/>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79E2982C" w14:textId="77777777" w:rsidR="00B97365" w:rsidRDefault="00000000">
            <w:pPr>
              <w:tabs>
                <w:tab w:val="left" w:pos="45"/>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4" w:space="0" w:color="auto"/>
            </w:tcBorders>
            <w:hideMark/>
          </w:tcPr>
          <w:p w14:paraId="04F4B870" w14:textId="77777777" w:rsidR="00B97365" w:rsidRDefault="00000000">
            <w:pPr>
              <w:tabs>
                <w:tab w:val="left" w:pos="73"/>
              </w:tabs>
              <w:spacing w:before="0" w:after="200" w:line="276" w:lineRule="auto"/>
              <w:jc w:val="left"/>
              <w:rPr>
                <w:rFonts w:cs="Calibri"/>
                <w:b/>
                <w:sz w:val="16"/>
                <w:szCs w:val="16"/>
                <w:lang w:eastAsia="en-GB" w:bidi="ar-SA"/>
              </w:rPr>
            </w:pPr>
            <w:r>
              <w:rPr>
                <w:rFonts w:cs="Calibri"/>
                <w:sz w:val="16"/>
                <w:szCs w:val="16"/>
                <w:lang w:eastAsia="en-GB" w:bidi="ar-SA"/>
              </w:rPr>
              <w:t>Last block</w:t>
            </w:r>
          </w:p>
        </w:tc>
      </w:tr>
      <w:tr w:rsidR="00B97365" w14:paraId="46B73ABA"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2E6412F7" w14:textId="77777777" w:rsidR="00B97365" w:rsidRDefault="00000000">
            <w:pPr>
              <w:tabs>
                <w:tab w:val="left" w:pos="144"/>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5038500B" w14:textId="77777777" w:rsidR="00B97365" w:rsidRDefault="00000000">
            <w:pPr>
              <w:tabs>
                <w:tab w:val="left" w:pos="0"/>
              </w:tabs>
              <w:spacing w:before="0" w:after="200" w:line="276" w:lineRule="auto"/>
              <w:jc w:val="left"/>
              <w:rPr>
                <w:rFonts w:cs="Calibri"/>
                <w:b/>
                <w:sz w:val="16"/>
                <w:szCs w:val="16"/>
                <w:lang w:eastAsia="en-GB" w:bidi="ar-SA"/>
              </w:rPr>
            </w:pPr>
            <w:r>
              <w:rPr>
                <w:rFonts w:cs="Calibri"/>
                <w:sz w:val="16"/>
                <w:szCs w:val="16"/>
                <w:lang w:eastAsia="en-GB" w:bidi="ar-SA"/>
              </w:rPr>
              <w:t>0</w:t>
            </w:r>
          </w:p>
        </w:tc>
        <w:tc>
          <w:tcPr>
            <w:tcW w:w="0" w:type="auto"/>
            <w:tcBorders>
              <w:top w:val="single" w:sz="6" w:space="0" w:color="auto"/>
              <w:left w:val="single" w:sz="6" w:space="0" w:color="auto"/>
              <w:bottom w:val="single" w:sz="6" w:space="0" w:color="auto"/>
              <w:right w:val="single" w:sz="6" w:space="0" w:color="auto"/>
            </w:tcBorders>
            <w:hideMark/>
          </w:tcPr>
          <w:p w14:paraId="1B638652" w14:textId="77777777" w:rsidR="00B97365" w:rsidRDefault="00000000">
            <w:pPr>
              <w:spacing w:before="0" w:after="200" w:line="276" w:lineRule="auto"/>
              <w:ind w:right="68"/>
              <w:jc w:val="left"/>
              <w:rPr>
                <w:rFonts w:cs="Calibri"/>
                <w:b/>
                <w:sz w:val="16"/>
                <w:szCs w:val="16"/>
                <w:lang w:eastAsia="en-GB" w:bidi="ar-SA"/>
              </w:rPr>
            </w:pPr>
            <w:r>
              <w:rPr>
                <w:rFonts w:cs="Calibri"/>
                <w:sz w:val="16"/>
                <w:szCs w:val="16"/>
                <w:lang w:eastAsia="en-GB" w:bidi="ar-SA"/>
              </w:rPr>
              <w:t>0</w:t>
            </w:r>
          </w:p>
        </w:tc>
        <w:tc>
          <w:tcPr>
            <w:tcW w:w="0" w:type="auto"/>
            <w:tcBorders>
              <w:top w:val="single" w:sz="6" w:space="0" w:color="auto"/>
              <w:left w:val="single" w:sz="6" w:space="0" w:color="auto"/>
              <w:bottom w:val="single" w:sz="6" w:space="0" w:color="auto"/>
              <w:right w:val="single" w:sz="6" w:space="0" w:color="auto"/>
            </w:tcBorders>
            <w:hideMark/>
          </w:tcPr>
          <w:p w14:paraId="5424C6D6" w14:textId="77777777" w:rsidR="00B97365" w:rsidRDefault="00000000">
            <w:pPr>
              <w:tabs>
                <w:tab w:val="left" w:pos="74"/>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21ECF1C9" w14:textId="77777777" w:rsidR="00B97365" w:rsidRDefault="00000000">
            <w:pPr>
              <w:tabs>
                <w:tab w:val="left" w:pos="183"/>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1A047108" w14:textId="77777777" w:rsidR="00B97365" w:rsidRDefault="00000000">
            <w:pPr>
              <w:spacing w:before="0" w:after="200" w:line="276" w:lineRule="auto"/>
              <w:ind w:right="-71"/>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3770FE8C" w14:textId="77777777" w:rsidR="00B97365" w:rsidRDefault="00000000">
            <w:pPr>
              <w:tabs>
                <w:tab w:val="left" w:pos="158"/>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04E21502" w14:textId="77777777" w:rsidR="00B97365" w:rsidRDefault="00000000">
            <w:pPr>
              <w:tabs>
                <w:tab w:val="left" w:pos="45"/>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4" w:space="0" w:color="auto"/>
            </w:tcBorders>
            <w:hideMark/>
          </w:tcPr>
          <w:p w14:paraId="704CA086" w14:textId="77777777" w:rsidR="00B97365" w:rsidRDefault="00000000">
            <w:pPr>
              <w:tabs>
                <w:tab w:val="left" w:pos="73"/>
              </w:tabs>
              <w:spacing w:before="0" w:after="200" w:line="276" w:lineRule="auto"/>
              <w:jc w:val="left"/>
              <w:rPr>
                <w:rFonts w:cs="Calibri"/>
                <w:b/>
                <w:sz w:val="16"/>
                <w:szCs w:val="16"/>
                <w:lang w:eastAsia="en-GB" w:bidi="ar-SA"/>
              </w:rPr>
            </w:pPr>
            <w:r>
              <w:rPr>
                <w:rFonts w:cs="Calibri"/>
                <w:sz w:val="16"/>
                <w:szCs w:val="16"/>
                <w:lang w:eastAsia="en-GB" w:bidi="ar-SA"/>
              </w:rPr>
              <w:t xml:space="preserve">No general encryption information or non-encrypted data </w:t>
            </w:r>
          </w:p>
        </w:tc>
      </w:tr>
      <w:tr w:rsidR="00B97365" w14:paraId="5F77F25F"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7E54C9C2" w14:textId="77777777" w:rsidR="00B97365" w:rsidRDefault="00000000">
            <w:pPr>
              <w:tabs>
                <w:tab w:val="left" w:pos="144"/>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15CD0FAA" w14:textId="77777777" w:rsidR="00B97365" w:rsidRDefault="00000000">
            <w:pPr>
              <w:tabs>
                <w:tab w:val="left" w:pos="0"/>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76DEADB8" w14:textId="77777777" w:rsidR="00B97365" w:rsidRDefault="00000000">
            <w:pPr>
              <w:spacing w:before="0" w:after="200" w:line="276" w:lineRule="auto"/>
              <w:ind w:right="68"/>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57BB5830" w14:textId="77777777" w:rsidR="00B97365" w:rsidRDefault="00000000">
            <w:pPr>
              <w:tabs>
                <w:tab w:val="left" w:pos="74"/>
              </w:tabs>
              <w:spacing w:before="0" w:after="200" w:line="276" w:lineRule="auto"/>
              <w:jc w:val="left"/>
              <w:rPr>
                <w:rFonts w:cs="Calibri"/>
                <w:b/>
                <w:sz w:val="16"/>
                <w:szCs w:val="16"/>
                <w:lang w:eastAsia="en-GB" w:bidi="ar-SA"/>
              </w:rPr>
            </w:pPr>
            <w:r>
              <w:rPr>
                <w:rFonts w:cs="Calibri"/>
                <w:sz w:val="16"/>
                <w:szCs w:val="16"/>
                <w:lang w:eastAsia="en-GB" w:bidi="ar-SA"/>
              </w:rPr>
              <w:t>0</w:t>
            </w:r>
          </w:p>
        </w:tc>
        <w:tc>
          <w:tcPr>
            <w:tcW w:w="0" w:type="auto"/>
            <w:tcBorders>
              <w:top w:val="single" w:sz="6" w:space="0" w:color="auto"/>
              <w:left w:val="single" w:sz="6" w:space="0" w:color="auto"/>
              <w:bottom w:val="single" w:sz="6" w:space="0" w:color="auto"/>
              <w:right w:val="single" w:sz="6" w:space="0" w:color="auto"/>
            </w:tcBorders>
            <w:hideMark/>
          </w:tcPr>
          <w:p w14:paraId="49331C74" w14:textId="77777777" w:rsidR="00B97365" w:rsidRDefault="00000000">
            <w:pPr>
              <w:tabs>
                <w:tab w:val="left" w:pos="183"/>
              </w:tabs>
              <w:spacing w:before="0" w:after="200" w:line="276" w:lineRule="auto"/>
              <w:jc w:val="left"/>
              <w:rPr>
                <w:rFonts w:cs="Calibri"/>
                <w:b/>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6" w:space="0" w:color="auto"/>
            </w:tcBorders>
            <w:hideMark/>
          </w:tcPr>
          <w:p w14:paraId="48D76103" w14:textId="77777777" w:rsidR="00B97365" w:rsidRDefault="00000000">
            <w:pPr>
              <w:spacing w:before="0" w:after="200" w:line="276" w:lineRule="auto"/>
              <w:ind w:right="-71"/>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09B185E3" w14:textId="77777777" w:rsidR="00B97365" w:rsidRDefault="00000000">
            <w:pPr>
              <w:tabs>
                <w:tab w:val="left" w:pos="158"/>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6" w:space="0" w:color="auto"/>
            </w:tcBorders>
            <w:hideMark/>
          </w:tcPr>
          <w:p w14:paraId="7A6A081D" w14:textId="77777777" w:rsidR="00B97365" w:rsidRDefault="00000000">
            <w:pPr>
              <w:tabs>
                <w:tab w:val="left" w:pos="45"/>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6" w:space="0" w:color="auto"/>
              <w:right w:val="single" w:sz="4" w:space="0" w:color="auto"/>
            </w:tcBorders>
            <w:hideMark/>
          </w:tcPr>
          <w:p w14:paraId="50C638A5" w14:textId="77777777" w:rsidR="00B97365" w:rsidRDefault="00000000">
            <w:pPr>
              <w:tabs>
                <w:tab w:val="left" w:pos="73"/>
              </w:tabs>
              <w:spacing w:before="0" w:after="200" w:line="276" w:lineRule="auto"/>
              <w:jc w:val="left"/>
              <w:rPr>
                <w:rFonts w:cs="Calibri"/>
                <w:b/>
                <w:sz w:val="16"/>
                <w:szCs w:val="16"/>
                <w:lang w:eastAsia="en-GB" w:bidi="ar-SA"/>
              </w:rPr>
            </w:pPr>
            <w:r>
              <w:rPr>
                <w:rFonts w:cs="Calibri"/>
                <w:sz w:val="16"/>
                <w:szCs w:val="16"/>
                <w:lang w:eastAsia="en-GB" w:bidi="ar-SA"/>
              </w:rPr>
              <w:t>DGI format of the command data field</w:t>
            </w:r>
          </w:p>
        </w:tc>
      </w:tr>
      <w:tr w:rsidR="00B97365" w14:paraId="4A087068" w14:textId="77777777">
        <w:trPr>
          <w:tblHeader/>
          <w:jc w:val="center"/>
        </w:trPr>
        <w:tc>
          <w:tcPr>
            <w:tcW w:w="0" w:type="auto"/>
            <w:tcBorders>
              <w:top w:val="single" w:sz="6" w:space="0" w:color="auto"/>
              <w:left w:val="single" w:sz="4" w:space="0" w:color="auto"/>
              <w:bottom w:val="single" w:sz="4" w:space="0" w:color="auto"/>
              <w:right w:val="single" w:sz="6" w:space="0" w:color="auto"/>
            </w:tcBorders>
            <w:hideMark/>
          </w:tcPr>
          <w:p w14:paraId="179A1DF3" w14:textId="77777777" w:rsidR="00B97365" w:rsidRDefault="00000000">
            <w:pPr>
              <w:tabs>
                <w:tab w:val="left" w:pos="144"/>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4" w:space="0" w:color="auto"/>
              <w:right w:val="single" w:sz="6" w:space="0" w:color="auto"/>
            </w:tcBorders>
            <w:hideMark/>
          </w:tcPr>
          <w:p w14:paraId="0E7BBB49" w14:textId="77777777" w:rsidR="00B97365" w:rsidRDefault="00000000">
            <w:pPr>
              <w:tabs>
                <w:tab w:val="left" w:pos="0"/>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4" w:space="0" w:color="auto"/>
              <w:right w:val="single" w:sz="6" w:space="0" w:color="auto"/>
            </w:tcBorders>
            <w:hideMark/>
          </w:tcPr>
          <w:p w14:paraId="3BCCA85A" w14:textId="77777777" w:rsidR="00B97365" w:rsidRDefault="00000000">
            <w:pPr>
              <w:spacing w:before="0" w:after="200" w:line="276" w:lineRule="auto"/>
              <w:ind w:right="68"/>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4" w:space="0" w:color="auto"/>
              <w:right w:val="single" w:sz="6" w:space="0" w:color="auto"/>
            </w:tcBorders>
            <w:hideMark/>
          </w:tcPr>
          <w:p w14:paraId="35634D74" w14:textId="77777777" w:rsidR="00B97365" w:rsidRDefault="00000000">
            <w:pPr>
              <w:tabs>
                <w:tab w:val="left" w:pos="74"/>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4" w:space="0" w:color="auto"/>
              <w:right w:val="single" w:sz="6" w:space="0" w:color="auto"/>
            </w:tcBorders>
            <w:hideMark/>
          </w:tcPr>
          <w:p w14:paraId="3D9F1CEE" w14:textId="77777777" w:rsidR="00B97365" w:rsidRDefault="00000000">
            <w:pPr>
              <w:tabs>
                <w:tab w:val="left" w:pos="183"/>
              </w:tabs>
              <w:spacing w:before="0" w:after="200" w:line="276" w:lineRule="auto"/>
              <w:jc w:val="left"/>
              <w:rPr>
                <w:rFonts w:cs="Calibri"/>
                <w:b/>
                <w:sz w:val="16"/>
                <w:szCs w:val="16"/>
                <w:lang w:eastAsia="en-GB" w:bidi="ar-SA"/>
              </w:rPr>
            </w:pPr>
            <w:r>
              <w:rPr>
                <w:rFonts w:cs="Calibri"/>
                <w:sz w:val="16"/>
                <w:szCs w:val="16"/>
                <w:lang w:eastAsia="en-GB" w:bidi="ar-SA"/>
              </w:rPr>
              <w:t>-</w:t>
            </w:r>
          </w:p>
        </w:tc>
        <w:tc>
          <w:tcPr>
            <w:tcW w:w="0" w:type="auto"/>
            <w:tcBorders>
              <w:top w:val="single" w:sz="6" w:space="0" w:color="auto"/>
              <w:left w:val="single" w:sz="6" w:space="0" w:color="auto"/>
              <w:bottom w:val="single" w:sz="4" w:space="0" w:color="auto"/>
              <w:right w:val="single" w:sz="6" w:space="0" w:color="auto"/>
            </w:tcBorders>
            <w:hideMark/>
          </w:tcPr>
          <w:p w14:paraId="1C259C5F" w14:textId="77777777" w:rsidR="00B97365" w:rsidRDefault="00000000">
            <w:pPr>
              <w:spacing w:before="0" w:after="200" w:line="276" w:lineRule="auto"/>
              <w:ind w:right="-71"/>
              <w:jc w:val="left"/>
              <w:rPr>
                <w:rFonts w:cs="Calibri"/>
                <w:b/>
                <w:sz w:val="16"/>
                <w:szCs w:val="16"/>
                <w:lang w:eastAsia="en-GB" w:bidi="ar-SA"/>
              </w:rPr>
            </w:pPr>
            <w:r>
              <w:rPr>
                <w:rFonts w:cs="Calibri"/>
                <w:sz w:val="16"/>
                <w:szCs w:val="16"/>
                <w:lang w:eastAsia="en-GB" w:bidi="ar-SA"/>
              </w:rPr>
              <w:t>X</w:t>
            </w:r>
          </w:p>
        </w:tc>
        <w:tc>
          <w:tcPr>
            <w:tcW w:w="0" w:type="auto"/>
            <w:tcBorders>
              <w:top w:val="single" w:sz="6" w:space="0" w:color="auto"/>
              <w:left w:val="single" w:sz="6" w:space="0" w:color="auto"/>
              <w:bottom w:val="single" w:sz="4" w:space="0" w:color="auto"/>
              <w:right w:val="single" w:sz="6" w:space="0" w:color="auto"/>
            </w:tcBorders>
            <w:hideMark/>
          </w:tcPr>
          <w:p w14:paraId="69ECAE0B" w14:textId="77777777" w:rsidR="00B97365" w:rsidRDefault="00000000">
            <w:pPr>
              <w:tabs>
                <w:tab w:val="left" w:pos="158"/>
              </w:tabs>
              <w:spacing w:before="0" w:after="200" w:line="276" w:lineRule="auto"/>
              <w:jc w:val="left"/>
              <w:rPr>
                <w:rFonts w:cs="Calibri"/>
                <w:b/>
                <w:sz w:val="16"/>
                <w:szCs w:val="16"/>
                <w:lang w:eastAsia="en-GB" w:bidi="ar-SA"/>
              </w:rPr>
            </w:pPr>
            <w:r>
              <w:rPr>
                <w:rFonts w:cs="Calibri"/>
                <w:sz w:val="16"/>
                <w:szCs w:val="16"/>
                <w:lang w:eastAsia="en-GB" w:bidi="ar-SA"/>
              </w:rPr>
              <w:t>X</w:t>
            </w:r>
          </w:p>
        </w:tc>
        <w:tc>
          <w:tcPr>
            <w:tcW w:w="0" w:type="auto"/>
            <w:tcBorders>
              <w:top w:val="single" w:sz="6" w:space="0" w:color="auto"/>
              <w:left w:val="single" w:sz="6" w:space="0" w:color="auto"/>
              <w:bottom w:val="single" w:sz="4" w:space="0" w:color="auto"/>
              <w:right w:val="single" w:sz="6" w:space="0" w:color="auto"/>
            </w:tcBorders>
            <w:hideMark/>
          </w:tcPr>
          <w:p w14:paraId="37DDCB6A" w14:textId="77777777" w:rsidR="00B97365" w:rsidRDefault="00000000">
            <w:pPr>
              <w:tabs>
                <w:tab w:val="left" w:pos="45"/>
              </w:tabs>
              <w:spacing w:before="0" w:after="200" w:line="276" w:lineRule="auto"/>
              <w:jc w:val="left"/>
              <w:rPr>
                <w:rFonts w:cs="Calibri"/>
                <w:b/>
                <w:sz w:val="16"/>
                <w:szCs w:val="16"/>
                <w:lang w:eastAsia="en-GB" w:bidi="ar-SA"/>
              </w:rPr>
            </w:pPr>
            <w:r>
              <w:rPr>
                <w:rFonts w:cs="Calibri"/>
                <w:sz w:val="16"/>
                <w:szCs w:val="16"/>
                <w:lang w:eastAsia="en-GB" w:bidi="ar-SA"/>
              </w:rPr>
              <w:t>X</w:t>
            </w:r>
          </w:p>
        </w:tc>
        <w:tc>
          <w:tcPr>
            <w:tcW w:w="0" w:type="auto"/>
            <w:tcBorders>
              <w:top w:val="single" w:sz="6" w:space="0" w:color="auto"/>
              <w:left w:val="single" w:sz="6" w:space="0" w:color="auto"/>
              <w:bottom w:val="single" w:sz="4" w:space="0" w:color="auto"/>
              <w:right w:val="single" w:sz="4" w:space="0" w:color="auto"/>
            </w:tcBorders>
            <w:hideMark/>
          </w:tcPr>
          <w:p w14:paraId="52D17F2B" w14:textId="77777777" w:rsidR="00B97365" w:rsidRDefault="00000000">
            <w:pPr>
              <w:tabs>
                <w:tab w:val="left" w:pos="73"/>
              </w:tabs>
              <w:spacing w:before="0" w:after="200" w:line="276" w:lineRule="auto"/>
              <w:jc w:val="left"/>
              <w:rPr>
                <w:rFonts w:cs="Calibri"/>
                <w:b/>
                <w:sz w:val="16"/>
                <w:szCs w:val="16"/>
                <w:lang w:eastAsia="en-GB" w:bidi="ar-SA"/>
              </w:rPr>
            </w:pPr>
            <w:r>
              <w:rPr>
                <w:rFonts w:cs="Calibri"/>
                <w:sz w:val="16"/>
                <w:szCs w:val="16"/>
                <w:lang w:eastAsia="en-GB" w:bidi="ar-SA"/>
              </w:rPr>
              <w:t>RFU</w:t>
            </w:r>
          </w:p>
        </w:tc>
      </w:tr>
    </w:tbl>
    <w:p w14:paraId="40CD332D"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STORE DATA Reference Control Parameter P1</w:t>
      </w:r>
    </w:p>
    <w:p w14:paraId="1B3126AF" w14:textId="77777777" w:rsidR="00B97365" w:rsidRDefault="00000000">
      <w:pPr>
        <w:spacing w:before="0" w:after="200" w:line="276" w:lineRule="auto"/>
        <w:jc w:val="left"/>
        <w:rPr>
          <w:b/>
          <w:i/>
          <w:szCs w:val="22"/>
          <w:lang w:val="en-US" w:eastAsia="en-GB" w:bidi="ar-SA"/>
        </w:rPr>
      </w:pPr>
      <w:bookmarkStart w:id="2485" w:name="_Toc420594570"/>
      <w:r>
        <w:rPr>
          <w:rFonts w:cs="Arial"/>
          <w:b/>
          <w:i/>
          <w:szCs w:val="22"/>
          <w:lang w:val="en-US" w:eastAsia="en-GB" w:bidi="ar-SA"/>
        </w:rPr>
        <w:t>Data Field Sent in the Command Message</w:t>
      </w:r>
      <w:bookmarkEnd w:id="248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51"/>
        <w:gridCol w:w="750"/>
        <w:gridCol w:w="501"/>
        <w:gridCol w:w="750"/>
        <w:gridCol w:w="2217"/>
        <w:gridCol w:w="590"/>
      </w:tblGrid>
      <w:tr w:rsidR="00B97365" w14:paraId="474F3729"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47A5B92D" w14:textId="77777777" w:rsidR="00B97365" w:rsidRDefault="00000000">
            <w:pPr>
              <w:spacing w:before="0" w:after="200" w:line="276" w:lineRule="auto"/>
              <w:jc w:val="left"/>
              <w:rPr>
                <w:rFonts w:cs="Calibri"/>
                <w:b/>
                <w:sz w:val="16"/>
                <w:szCs w:val="16"/>
                <w:lang w:eastAsia="en-GB" w:bidi="ar-SA"/>
              </w:rPr>
            </w:pPr>
            <w:r>
              <w:rPr>
                <w:rFonts w:cs="Calibri"/>
                <w:b/>
                <w:sz w:val="16"/>
                <w:szCs w:val="16"/>
                <w:lang w:eastAsia="en-GB" w:bidi="ar-SA"/>
              </w:rPr>
              <w:t>DGI</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BBDD6A1" w14:textId="77777777" w:rsidR="00B97365" w:rsidRDefault="00000000">
            <w:pPr>
              <w:spacing w:before="0" w:after="200" w:line="276" w:lineRule="auto"/>
              <w:jc w:val="left"/>
              <w:rPr>
                <w:rFonts w:cs="Calibri"/>
                <w:b/>
                <w:sz w:val="16"/>
                <w:szCs w:val="16"/>
                <w:lang w:eastAsia="en-GB" w:bidi="ar-SA"/>
              </w:rPr>
            </w:pPr>
            <w:r>
              <w:rPr>
                <w:rFonts w:cs="Calibri"/>
                <w:b/>
                <w:sz w:val="16"/>
                <w:szCs w:val="16"/>
                <w:lang w:eastAsia="en-GB" w:bidi="ar-SA"/>
              </w:rPr>
              <w:t>Length</w:t>
            </w:r>
          </w:p>
        </w:tc>
        <w:tc>
          <w:tcPr>
            <w:tcW w:w="0" w:type="auto"/>
            <w:gridSpan w:val="3"/>
            <w:tcBorders>
              <w:top w:val="single" w:sz="4" w:space="0" w:color="auto"/>
              <w:left w:val="single" w:sz="6" w:space="0" w:color="auto"/>
              <w:bottom w:val="single" w:sz="6" w:space="0" w:color="auto"/>
              <w:right w:val="single" w:sz="6" w:space="0" w:color="auto"/>
            </w:tcBorders>
            <w:shd w:val="clear" w:color="auto" w:fill="C00000"/>
            <w:hideMark/>
          </w:tcPr>
          <w:p w14:paraId="7CDFABD0" w14:textId="77777777" w:rsidR="00B97365" w:rsidRDefault="00000000">
            <w:pPr>
              <w:spacing w:before="0" w:after="200" w:line="276" w:lineRule="auto"/>
              <w:jc w:val="left"/>
              <w:rPr>
                <w:rFonts w:cs="Calibri"/>
                <w:b/>
                <w:sz w:val="16"/>
                <w:szCs w:val="16"/>
                <w:lang w:eastAsia="en-GB" w:bidi="ar-SA"/>
              </w:rPr>
            </w:pPr>
            <w:r>
              <w:rPr>
                <w:rFonts w:cs="Calibri"/>
                <w:b/>
                <w:sz w:val="16"/>
                <w:szCs w:val="16"/>
                <w:lang w:eastAsia="en-GB" w:bidi="ar-SA"/>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2BCF35C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1158AD0C"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4504034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'3A07'</w:t>
            </w:r>
          </w:p>
        </w:tc>
        <w:tc>
          <w:tcPr>
            <w:tcW w:w="0" w:type="auto"/>
            <w:tcBorders>
              <w:top w:val="single" w:sz="6" w:space="0" w:color="auto"/>
              <w:left w:val="single" w:sz="6" w:space="0" w:color="auto"/>
              <w:bottom w:val="single" w:sz="6" w:space="0" w:color="auto"/>
              <w:right w:val="single" w:sz="6" w:space="0" w:color="auto"/>
            </w:tcBorders>
            <w:hideMark/>
          </w:tcPr>
          <w:p w14:paraId="45FD828B" w14:textId="77777777" w:rsidR="00B97365" w:rsidRDefault="00000000">
            <w:pPr>
              <w:tabs>
                <w:tab w:val="left" w:pos="101"/>
              </w:tabs>
              <w:spacing w:before="0" w:after="200" w:line="276" w:lineRule="auto"/>
              <w:jc w:val="left"/>
              <w:rPr>
                <w:rFonts w:cs="Calibri"/>
                <w:sz w:val="16"/>
                <w:szCs w:val="16"/>
                <w:lang w:eastAsia="en-GB" w:bidi="ar-SA"/>
              </w:rPr>
            </w:pPr>
            <w:r>
              <w:rPr>
                <w:rFonts w:cs="Calibri"/>
                <w:sz w:val="16"/>
                <w:szCs w:val="16"/>
                <w:lang w:eastAsia="en-GB" w:bidi="ar-SA"/>
              </w:rPr>
              <w:t>Var</w:t>
            </w:r>
          </w:p>
        </w:tc>
        <w:tc>
          <w:tcPr>
            <w:tcW w:w="0" w:type="auto"/>
            <w:gridSpan w:val="3"/>
            <w:tcBorders>
              <w:top w:val="single" w:sz="6" w:space="0" w:color="auto"/>
              <w:left w:val="single" w:sz="6" w:space="0" w:color="auto"/>
              <w:bottom w:val="single" w:sz="6" w:space="0" w:color="auto"/>
              <w:right w:val="single" w:sz="6" w:space="0" w:color="auto"/>
            </w:tcBorders>
            <w:hideMark/>
          </w:tcPr>
          <w:p w14:paraId="2985F59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SM-SR Addressing Parameters</w:t>
            </w:r>
          </w:p>
        </w:tc>
        <w:tc>
          <w:tcPr>
            <w:tcW w:w="0" w:type="auto"/>
            <w:tcBorders>
              <w:top w:val="single" w:sz="6" w:space="0" w:color="auto"/>
              <w:left w:val="single" w:sz="6" w:space="0" w:color="auto"/>
              <w:bottom w:val="single" w:sz="6" w:space="0" w:color="auto"/>
              <w:right w:val="single" w:sz="4" w:space="0" w:color="auto"/>
            </w:tcBorders>
            <w:hideMark/>
          </w:tcPr>
          <w:p w14:paraId="132BC607"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02B0AC0"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11F3692C"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42167F39" w14:textId="77777777" w:rsidR="00B97365" w:rsidRDefault="00B97365">
            <w:pPr>
              <w:tabs>
                <w:tab w:val="left" w:pos="101"/>
              </w:tabs>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shd w:val="clear" w:color="auto" w:fill="C00000"/>
            <w:hideMark/>
          </w:tcPr>
          <w:p w14:paraId="741B770F" w14:textId="77777777" w:rsidR="00B97365" w:rsidRDefault="00000000">
            <w:pPr>
              <w:tabs>
                <w:tab w:val="left" w:pos="124"/>
              </w:tabs>
              <w:spacing w:before="0" w:after="200" w:line="276" w:lineRule="auto"/>
              <w:jc w:val="left"/>
              <w:rPr>
                <w:rFonts w:cs="Calibri"/>
                <w:b/>
                <w:sz w:val="16"/>
                <w:szCs w:val="16"/>
                <w:lang w:eastAsia="en-GB" w:bidi="ar-SA"/>
              </w:rPr>
            </w:pPr>
            <w:r>
              <w:rPr>
                <w:rFonts w:cs="Calibri"/>
                <w:b/>
                <w:sz w:val="16"/>
                <w:szCs w:val="16"/>
                <w:lang w:eastAsia="en-GB" w:bidi="ar-SA"/>
              </w:rPr>
              <w:t>Tag</w:t>
            </w:r>
          </w:p>
        </w:tc>
        <w:tc>
          <w:tcPr>
            <w:tcW w:w="0" w:type="auto"/>
            <w:tcBorders>
              <w:top w:val="single" w:sz="6" w:space="0" w:color="auto"/>
              <w:left w:val="single" w:sz="6" w:space="0" w:color="auto"/>
              <w:bottom w:val="single" w:sz="6" w:space="0" w:color="auto"/>
              <w:right w:val="single" w:sz="6" w:space="0" w:color="auto"/>
            </w:tcBorders>
            <w:shd w:val="clear" w:color="auto" w:fill="C00000"/>
            <w:hideMark/>
          </w:tcPr>
          <w:p w14:paraId="5CB373FB" w14:textId="77777777" w:rsidR="00B97365" w:rsidRDefault="00000000">
            <w:pPr>
              <w:tabs>
                <w:tab w:val="left" w:pos="93"/>
              </w:tabs>
              <w:spacing w:before="0" w:after="200" w:line="276" w:lineRule="auto"/>
              <w:jc w:val="left"/>
              <w:rPr>
                <w:rFonts w:cs="Calibri"/>
                <w:b/>
                <w:sz w:val="16"/>
                <w:szCs w:val="16"/>
                <w:lang w:eastAsia="en-GB" w:bidi="ar-SA"/>
              </w:rPr>
            </w:pPr>
            <w:r>
              <w:rPr>
                <w:rFonts w:cs="Calibri"/>
                <w:b/>
                <w:sz w:val="16"/>
                <w:szCs w:val="16"/>
                <w:lang w:eastAsia="en-GB" w:bidi="ar-SA"/>
              </w:rPr>
              <w:t>Length</w:t>
            </w:r>
          </w:p>
        </w:tc>
        <w:tc>
          <w:tcPr>
            <w:tcW w:w="0" w:type="auto"/>
            <w:tcBorders>
              <w:top w:val="single" w:sz="6" w:space="0" w:color="auto"/>
              <w:left w:val="single" w:sz="6" w:space="0" w:color="auto"/>
              <w:bottom w:val="single" w:sz="6" w:space="0" w:color="auto"/>
              <w:right w:val="single" w:sz="6" w:space="0" w:color="auto"/>
            </w:tcBorders>
            <w:shd w:val="clear" w:color="auto" w:fill="C00000"/>
            <w:hideMark/>
          </w:tcPr>
          <w:p w14:paraId="6B7555FF" w14:textId="77777777" w:rsidR="00B97365" w:rsidRDefault="00000000">
            <w:pPr>
              <w:tabs>
                <w:tab w:val="left" w:pos="124"/>
              </w:tabs>
              <w:spacing w:before="0" w:after="200" w:line="276" w:lineRule="auto"/>
              <w:jc w:val="left"/>
              <w:rPr>
                <w:rFonts w:cs="Calibri"/>
                <w:b/>
                <w:sz w:val="16"/>
                <w:szCs w:val="16"/>
                <w:lang w:eastAsia="en-GB" w:bidi="ar-SA"/>
              </w:rPr>
            </w:pPr>
            <w:r>
              <w:rPr>
                <w:rFonts w:cs="Calibri"/>
                <w:b/>
                <w:sz w:val="16"/>
                <w:szCs w:val="16"/>
                <w:lang w:eastAsia="en-GB" w:bidi="ar-SA"/>
              </w:rPr>
              <w:t>Value Description</w:t>
            </w:r>
          </w:p>
        </w:tc>
        <w:tc>
          <w:tcPr>
            <w:tcW w:w="0" w:type="auto"/>
            <w:tcBorders>
              <w:top w:val="single" w:sz="6" w:space="0" w:color="auto"/>
              <w:left w:val="single" w:sz="6" w:space="0" w:color="auto"/>
              <w:bottom w:val="single" w:sz="6" w:space="0" w:color="auto"/>
              <w:right w:val="single" w:sz="4" w:space="0" w:color="auto"/>
            </w:tcBorders>
            <w:shd w:val="clear" w:color="auto" w:fill="C00000"/>
            <w:hideMark/>
          </w:tcPr>
          <w:p w14:paraId="0F711478" w14:textId="77777777" w:rsidR="00B97365" w:rsidRDefault="00000000">
            <w:pPr>
              <w:tabs>
                <w:tab w:val="left" w:pos="45"/>
              </w:tabs>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0107D131"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0E482259"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005A6576" w14:textId="77777777" w:rsidR="00B97365" w:rsidRDefault="00B97365">
            <w:pPr>
              <w:tabs>
                <w:tab w:val="left" w:pos="101"/>
              </w:tabs>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hideMark/>
          </w:tcPr>
          <w:p w14:paraId="26F31965"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'A3'</w:t>
            </w:r>
          </w:p>
        </w:tc>
        <w:tc>
          <w:tcPr>
            <w:tcW w:w="0" w:type="auto"/>
            <w:tcBorders>
              <w:top w:val="single" w:sz="6" w:space="0" w:color="auto"/>
              <w:left w:val="single" w:sz="6" w:space="0" w:color="auto"/>
              <w:bottom w:val="single" w:sz="6" w:space="0" w:color="auto"/>
              <w:right w:val="single" w:sz="6" w:space="0" w:color="auto"/>
            </w:tcBorders>
            <w:hideMark/>
          </w:tcPr>
          <w:p w14:paraId="57220633" w14:textId="77777777" w:rsidR="00B97365" w:rsidRDefault="00000000">
            <w:pPr>
              <w:tabs>
                <w:tab w:val="left" w:pos="93"/>
              </w:tabs>
              <w:spacing w:before="0" w:after="200" w:line="276" w:lineRule="auto"/>
              <w:jc w:val="left"/>
              <w:rPr>
                <w:rFonts w:cs="Calibri"/>
                <w:sz w:val="16"/>
                <w:szCs w:val="16"/>
                <w:lang w:eastAsia="en-GB" w:bidi="ar-SA"/>
              </w:rPr>
            </w:pPr>
            <w:r>
              <w:rPr>
                <w:rFonts w:cs="Calibri"/>
                <w:sz w:val="16"/>
                <w:szCs w:val="16"/>
                <w:lang w:eastAsia="en-GB" w:bidi="ar-SA"/>
              </w:rPr>
              <w:t>n</w:t>
            </w:r>
          </w:p>
        </w:tc>
        <w:tc>
          <w:tcPr>
            <w:tcW w:w="0" w:type="auto"/>
            <w:tcBorders>
              <w:top w:val="single" w:sz="6" w:space="0" w:color="auto"/>
              <w:left w:val="single" w:sz="6" w:space="0" w:color="auto"/>
              <w:bottom w:val="single" w:sz="6" w:space="0" w:color="auto"/>
              <w:right w:val="single" w:sz="6" w:space="0" w:color="auto"/>
            </w:tcBorders>
            <w:hideMark/>
          </w:tcPr>
          <w:p w14:paraId="4F54AA01"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 xml:space="preserve">SMS parameters </w:t>
            </w:r>
          </w:p>
        </w:tc>
        <w:tc>
          <w:tcPr>
            <w:tcW w:w="0" w:type="auto"/>
            <w:tcBorders>
              <w:top w:val="single" w:sz="6" w:space="0" w:color="auto"/>
              <w:left w:val="single" w:sz="6" w:space="0" w:color="auto"/>
              <w:bottom w:val="single" w:sz="6" w:space="0" w:color="auto"/>
              <w:right w:val="single" w:sz="4" w:space="0" w:color="auto"/>
            </w:tcBorders>
            <w:hideMark/>
          </w:tcPr>
          <w:p w14:paraId="7E0AD7DA"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C</w:t>
            </w:r>
          </w:p>
        </w:tc>
      </w:tr>
      <w:tr w:rsidR="00B97365" w14:paraId="51168E4C"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23F0F62E"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6E211116" w14:textId="77777777" w:rsidR="00B97365" w:rsidRDefault="00B97365">
            <w:pPr>
              <w:tabs>
                <w:tab w:val="left" w:pos="101"/>
              </w:tabs>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hideMark/>
          </w:tcPr>
          <w:p w14:paraId="05995E30"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'A4'</w:t>
            </w:r>
          </w:p>
        </w:tc>
        <w:tc>
          <w:tcPr>
            <w:tcW w:w="0" w:type="auto"/>
            <w:tcBorders>
              <w:top w:val="single" w:sz="6" w:space="0" w:color="auto"/>
              <w:left w:val="single" w:sz="6" w:space="0" w:color="auto"/>
              <w:bottom w:val="single" w:sz="6" w:space="0" w:color="auto"/>
              <w:right w:val="single" w:sz="6" w:space="0" w:color="auto"/>
            </w:tcBorders>
            <w:hideMark/>
          </w:tcPr>
          <w:p w14:paraId="67BF0391" w14:textId="77777777" w:rsidR="00B97365" w:rsidRDefault="00000000">
            <w:pPr>
              <w:tabs>
                <w:tab w:val="left" w:pos="93"/>
              </w:tabs>
              <w:spacing w:before="0" w:after="200" w:line="276" w:lineRule="auto"/>
              <w:jc w:val="left"/>
              <w:rPr>
                <w:rFonts w:cs="Calibri"/>
                <w:sz w:val="16"/>
                <w:szCs w:val="16"/>
                <w:lang w:eastAsia="en-GB" w:bidi="ar-SA"/>
              </w:rPr>
            </w:pPr>
            <w:r>
              <w:rPr>
                <w:rFonts w:cs="Calibri"/>
                <w:sz w:val="16"/>
                <w:szCs w:val="16"/>
                <w:lang w:eastAsia="en-GB" w:bidi="ar-SA"/>
              </w:rPr>
              <w:t>n</w:t>
            </w:r>
          </w:p>
        </w:tc>
        <w:tc>
          <w:tcPr>
            <w:tcW w:w="0" w:type="auto"/>
            <w:tcBorders>
              <w:top w:val="single" w:sz="6" w:space="0" w:color="auto"/>
              <w:left w:val="single" w:sz="6" w:space="0" w:color="auto"/>
              <w:bottom w:val="single" w:sz="6" w:space="0" w:color="auto"/>
              <w:right w:val="single" w:sz="6" w:space="0" w:color="auto"/>
            </w:tcBorders>
            <w:hideMark/>
          </w:tcPr>
          <w:p w14:paraId="25F8D15B"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BIP parameters for CAT_TP</w:t>
            </w:r>
          </w:p>
        </w:tc>
        <w:tc>
          <w:tcPr>
            <w:tcW w:w="0" w:type="auto"/>
            <w:tcBorders>
              <w:top w:val="single" w:sz="6" w:space="0" w:color="auto"/>
              <w:left w:val="single" w:sz="6" w:space="0" w:color="auto"/>
              <w:bottom w:val="single" w:sz="6" w:space="0" w:color="auto"/>
              <w:right w:val="single" w:sz="4" w:space="0" w:color="auto"/>
            </w:tcBorders>
            <w:hideMark/>
          </w:tcPr>
          <w:p w14:paraId="55845750"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C</w:t>
            </w:r>
          </w:p>
        </w:tc>
      </w:tr>
      <w:tr w:rsidR="00B97365" w14:paraId="00A2D037" w14:textId="77777777">
        <w:trPr>
          <w:cantSplit/>
          <w:jc w:val="center"/>
        </w:trPr>
        <w:tc>
          <w:tcPr>
            <w:tcW w:w="0" w:type="auto"/>
            <w:tcBorders>
              <w:top w:val="single" w:sz="6" w:space="0" w:color="auto"/>
              <w:left w:val="single" w:sz="4" w:space="0" w:color="auto"/>
              <w:bottom w:val="single" w:sz="4" w:space="0" w:color="auto"/>
              <w:right w:val="single" w:sz="6" w:space="0" w:color="auto"/>
            </w:tcBorders>
          </w:tcPr>
          <w:p w14:paraId="695DEB93"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4" w:space="0" w:color="auto"/>
              <w:right w:val="single" w:sz="6" w:space="0" w:color="auto"/>
            </w:tcBorders>
          </w:tcPr>
          <w:p w14:paraId="53234ACE" w14:textId="77777777" w:rsidR="00B97365" w:rsidRDefault="00B97365">
            <w:pPr>
              <w:tabs>
                <w:tab w:val="left" w:pos="101"/>
              </w:tabs>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4" w:space="0" w:color="auto"/>
              <w:right w:val="single" w:sz="6" w:space="0" w:color="auto"/>
            </w:tcBorders>
          </w:tcPr>
          <w:p w14:paraId="0BF9A9F7"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‘A5’</w:t>
            </w:r>
          </w:p>
        </w:tc>
        <w:tc>
          <w:tcPr>
            <w:tcW w:w="0" w:type="auto"/>
            <w:tcBorders>
              <w:top w:val="single" w:sz="6" w:space="0" w:color="auto"/>
              <w:left w:val="single" w:sz="6" w:space="0" w:color="auto"/>
              <w:bottom w:val="single" w:sz="4" w:space="0" w:color="auto"/>
              <w:right w:val="single" w:sz="6" w:space="0" w:color="auto"/>
            </w:tcBorders>
          </w:tcPr>
          <w:p w14:paraId="03FA1624" w14:textId="77777777" w:rsidR="00B97365" w:rsidRDefault="00000000">
            <w:pPr>
              <w:tabs>
                <w:tab w:val="left" w:pos="93"/>
              </w:tabs>
              <w:spacing w:before="0" w:after="200" w:line="276" w:lineRule="auto"/>
              <w:jc w:val="left"/>
              <w:rPr>
                <w:rFonts w:cs="Calibri"/>
                <w:sz w:val="16"/>
                <w:szCs w:val="16"/>
                <w:lang w:eastAsia="en-GB" w:bidi="ar-SA"/>
              </w:rPr>
            </w:pPr>
            <w:r>
              <w:rPr>
                <w:rFonts w:cs="Calibri"/>
                <w:sz w:val="16"/>
                <w:szCs w:val="16"/>
                <w:lang w:eastAsia="en-GB" w:bidi="ar-SA"/>
              </w:rPr>
              <w:t>n</w:t>
            </w:r>
          </w:p>
        </w:tc>
        <w:tc>
          <w:tcPr>
            <w:tcW w:w="0" w:type="auto"/>
            <w:tcBorders>
              <w:top w:val="single" w:sz="6" w:space="0" w:color="auto"/>
              <w:left w:val="single" w:sz="6" w:space="0" w:color="auto"/>
              <w:bottom w:val="single" w:sz="4" w:space="0" w:color="auto"/>
              <w:right w:val="single" w:sz="6" w:space="0" w:color="auto"/>
            </w:tcBorders>
          </w:tcPr>
          <w:p w14:paraId="2C301967"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DNS parameters</w:t>
            </w:r>
          </w:p>
        </w:tc>
        <w:tc>
          <w:tcPr>
            <w:tcW w:w="0" w:type="auto"/>
            <w:tcBorders>
              <w:top w:val="single" w:sz="6" w:space="0" w:color="auto"/>
              <w:left w:val="single" w:sz="6" w:space="0" w:color="auto"/>
              <w:bottom w:val="single" w:sz="4" w:space="0" w:color="auto"/>
              <w:right w:val="single" w:sz="4" w:space="0" w:color="auto"/>
            </w:tcBorders>
          </w:tcPr>
          <w:p w14:paraId="4C4B5258"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C</w:t>
            </w:r>
          </w:p>
        </w:tc>
      </w:tr>
    </w:tbl>
    <w:p w14:paraId="011A8415"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lastRenderedPageBreak/>
        <w:t>: SMSR Addressing Parameters Update</w:t>
      </w:r>
    </w:p>
    <w:p w14:paraId="7149D2A6" w14:textId="77777777" w:rsidR="00B97365" w:rsidRDefault="00000000">
      <w:pPr>
        <w:spacing w:before="0" w:after="200" w:line="276" w:lineRule="auto"/>
        <w:jc w:val="left"/>
        <w:rPr>
          <w:szCs w:val="22"/>
          <w:lang w:val="en-US" w:eastAsia="en-GB" w:bidi="ar-SA"/>
        </w:rPr>
      </w:pPr>
      <w:bookmarkStart w:id="2486" w:name="_Toc420594571"/>
      <w:r>
        <w:rPr>
          <w:szCs w:val="22"/>
          <w:lang w:val="en-US" w:eastAsia="en-GB" w:bidi="ar-SA"/>
        </w:rPr>
        <w:t>The SM-SR MAY use each of the Tag 'A3', 'A4' and 'A5'to create or update the complete set of addressing parameters for the corresponding protocol as defined in the tables below.</w:t>
      </w:r>
    </w:p>
    <w:p w14:paraId="38231869" w14:textId="77777777" w:rsidR="00B97365" w:rsidRDefault="00000000">
      <w:pPr>
        <w:spacing w:before="0" w:after="200" w:line="276" w:lineRule="auto"/>
        <w:jc w:val="left"/>
        <w:rPr>
          <w:szCs w:val="22"/>
          <w:lang w:val="en-US" w:eastAsia="en-GB" w:bidi="ar-SA"/>
        </w:rPr>
      </w:pPr>
      <w:r>
        <w:rPr>
          <w:szCs w:val="22"/>
          <w:lang w:val="en-US" w:eastAsia="en-GB" w:bidi="ar-SA"/>
        </w:rPr>
        <w:t>The SM-SR MAY use Tag ‘A5’ with a length of zero to erase the DNS parameters.</w:t>
      </w:r>
    </w:p>
    <w:p w14:paraId="356C473E"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SMS parameters value Description coding</w:t>
      </w:r>
      <w:bookmarkEnd w:id="248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12"/>
        <w:gridCol w:w="767"/>
        <w:gridCol w:w="514"/>
        <w:gridCol w:w="988"/>
        <w:gridCol w:w="2666"/>
        <w:gridCol w:w="603"/>
      </w:tblGrid>
      <w:tr w:rsidR="00B97365" w14:paraId="6539B1CB"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15F5D9DC" w14:textId="77777777" w:rsidR="00B97365" w:rsidRDefault="00000000">
            <w:pPr>
              <w:spacing w:before="0" w:after="200" w:line="276" w:lineRule="auto"/>
              <w:jc w:val="left"/>
              <w:rPr>
                <w:rFonts w:cs="Calibri"/>
                <w:b/>
                <w:sz w:val="16"/>
                <w:szCs w:val="16"/>
                <w:lang w:eastAsia="en-GB" w:bidi="ar-SA"/>
              </w:rPr>
            </w:pPr>
            <w:r>
              <w:rPr>
                <w:rFonts w:cs="Calibri"/>
                <w:b/>
                <w:sz w:val="16"/>
                <w:szCs w:val="16"/>
                <w:lang w:eastAsia="en-GB" w:bidi="ar-SA"/>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13B39994" w14:textId="77777777" w:rsidR="00B97365" w:rsidRDefault="00000000">
            <w:pPr>
              <w:spacing w:before="0" w:after="200" w:line="276" w:lineRule="auto"/>
              <w:jc w:val="left"/>
              <w:rPr>
                <w:rFonts w:cs="Calibri"/>
                <w:b/>
                <w:sz w:val="16"/>
                <w:szCs w:val="16"/>
                <w:lang w:eastAsia="en-GB" w:bidi="ar-SA"/>
              </w:rPr>
            </w:pPr>
            <w:r>
              <w:rPr>
                <w:rFonts w:cs="Calibri"/>
                <w:b/>
                <w:sz w:val="16"/>
                <w:szCs w:val="16"/>
                <w:lang w:eastAsia="en-GB" w:bidi="ar-SA"/>
              </w:rPr>
              <w:t>Length</w:t>
            </w:r>
          </w:p>
        </w:tc>
        <w:tc>
          <w:tcPr>
            <w:tcW w:w="0" w:type="auto"/>
            <w:gridSpan w:val="3"/>
            <w:tcBorders>
              <w:top w:val="single" w:sz="4" w:space="0" w:color="auto"/>
              <w:left w:val="single" w:sz="6" w:space="0" w:color="auto"/>
              <w:bottom w:val="single" w:sz="6" w:space="0" w:color="auto"/>
              <w:right w:val="single" w:sz="6" w:space="0" w:color="auto"/>
            </w:tcBorders>
            <w:shd w:val="clear" w:color="auto" w:fill="C00000"/>
            <w:hideMark/>
          </w:tcPr>
          <w:p w14:paraId="6C176F45" w14:textId="77777777" w:rsidR="00B97365" w:rsidRDefault="00000000">
            <w:pPr>
              <w:spacing w:before="0" w:after="200" w:line="276" w:lineRule="auto"/>
              <w:jc w:val="left"/>
              <w:rPr>
                <w:rFonts w:cs="Calibri"/>
                <w:b/>
                <w:sz w:val="16"/>
                <w:szCs w:val="16"/>
                <w:lang w:eastAsia="en-GB" w:bidi="ar-SA"/>
              </w:rPr>
            </w:pPr>
            <w:r>
              <w:rPr>
                <w:rFonts w:cs="Calibri"/>
                <w:b/>
                <w:sz w:val="16"/>
                <w:szCs w:val="16"/>
                <w:lang w:eastAsia="en-GB" w:bidi="ar-SA"/>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5A14A63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7454DD96" w14:textId="77777777">
        <w:trPr>
          <w:cantSplit/>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166B7D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’81’</w:t>
            </w:r>
          </w:p>
        </w:tc>
        <w:tc>
          <w:tcPr>
            <w:tcW w:w="0" w:type="auto"/>
            <w:tcBorders>
              <w:top w:val="single" w:sz="6" w:space="0" w:color="auto"/>
              <w:left w:val="single" w:sz="6" w:space="0" w:color="auto"/>
              <w:bottom w:val="single" w:sz="6" w:space="0" w:color="auto"/>
              <w:right w:val="single" w:sz="6" w:space="0" w:color="auto"/>
            </w:tcBorders>
            <w:vAlign w:val="center"/>
            <w:hideMark/>
          </w:tcPr>
          <w:p w14:paraId="0CA6F5E4" w14:textId="77777777" w:rsidR="00B97365" w:rsidRDefault="00000000">
            <w:pPr>
              <w:tabs>
                <w:tab w:val="left" w:pos="101"/>
              </w:tabs>
              <w:spacing w:before="0" w:after="200" w:line="276" w:lineRule="auto"/>
              <w:jc w:val="left"/>
              <w:rPr>
                <w:rFonts w:cs="Calibri"/>
                <w:sz w:val="16"/>
                <w:szCs w:val="16"/>
                <w:lang w:eastAsia="en-GB" w:bidi="ar-SA"/>
              </w:rPr>
            </w:pPr>
            <w:r>
              <w:rPr>
                <w:rFonts w:cs="Calibri"/>
                <w:sz w:val="16"/>
                <w:szCs w:val="16"/>
                <w:lang w:eastAsia="en-GB" w:bidi="ar-SA"/>
              </w:rPr>
              <w:t>2-12</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7C33F66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SM-SR Platform Destination Address*</w:t>
            </w:r>
          </w:p>
        </w:tc>
        <w:tc>
          <w:tcPr>
            <w:tcW w:w="0" w:type="auto"/>
            <w:tcBorders>
              <w:top w:val="single" w:sz="6" w:space="0" w:color="auto"/>
              <w:left w:val="single" w:sz="6" w:space="0" w:color="auto"/>
              <w:bottom w:val="single" w:sz="6" w:space="0" w:color="auto"/>
              <w:right w:val="single" w:sz="4" w:space="0" w:color="auto"/>
            </w:tcBorders>
            <w:hideMark/>
          </w:tcPr>
          <w:p w14:paraId="707FDD2C"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8F6B466"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76C5C664"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‘A2’</w:t>
            </w:r>
          </w:p>
        </w:tc>
        <w:tc>
          <w:tcPr>
            <w:tcW w:w="0" w:type="auto"/>
            <w:tcBorders>
              <w:top w:val="single" w:sz="6" w:space="0" w:color="auto"/>
              <w:left w:val="single" w:sz="6" w:space="0" w:color="auto"/>
              <w:bottom w:val="single" w:sz="6" w:space="0" w:color="auto"/>
              <w:right w:val="single" w:sz="6" w:space="0" w:color="auto"/>
            </w:tcBorders>
          </w:tcPr>
          <w:p w14:paraId="1C58D0C2" w14:textId="77777777" w:rsidR="00B97365" w:rsidRDefault="00000000">
            <w:pPr>
              <w:tabs>
                <w:tab w:val="left" w:pos="101"/>
              </w:tabs>
              <w:spacing w:before="0" w:after="200" w:line="276" w:lineRule="auto"/>
              <w:jc w:val="left"/>
              <w:rPr>
                <w:rFonts w:cs="Calibri"/>
                <w:sz w:val="16"/>
                <w:szCs w:val="16"/>
                <w:lang w:eastAsia="en-GB" w:bidi="ar-SA"/>
              </w:rPr>
            </w:pPr>
            <w:r>
              <w:rPr>
                <w:rFonts w:cs="Calibri"/>
                <w:sz w:val="16"/>
                <w:szCs w:val="16"/>
                <w:lang w:eastAsia="en-GB" w:bidi="ar-SA"/>
              </w:rPr>
              <w:t>var</w:t>
            </w:r>
          </w:p>
        </w:tc>
        <w:tc>
          <w:tcPr>
            <w:tcW w:w="0" w:type="auto"/>
            <w:gridSpan w:val="3"/>
            <w:tcBorders>
              <w:top w:val="single" w:sz="6" w:space="0" w:color="auto"/>
              <w:left w:val="single" w:sz="6" w:space="0" w:color="auto"/>
              <w:bottom w:val="single" w:sz="6" w:space="0" w:color="auto"/>
              <w:right w:val="single" w:sz="6" w:space="0" w:color="auto"/>
            </w:tcBorders>
          </w:tcPr>
          <w:p w14:paraId="164D61A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Profile-specific SM-SR Platform destination Addresses</w:t>
            </w:r>
          </w:p>
        </w:tc>
        <w:tc>
          <w:tcPr>
            <w:tcW w:w="0" w:type="auto"/>
            <w:tcBorders>
              <w:top w:val="single" w:sz="6" w:space="0" w:color="auto"/>
              <w:left w:val="single" w:sz="6" w:space="0" w:color="auto"/>
              <w:bottom w:val="single" w:sz="6" w:space="0" w:color="auto"/>
              <w:right w:val="single" w:sz="4" w:space="0" w:color="auto"/>
            </w:tcBorders>
          </w:tcPr>
          <w:p w14:paraId="31A7AF24"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O</w:t>
            </w:r>
          </w:p>
        </w:tc>
      </w:tr>
      <w:tr w:rsidR="00B97365" w14:paraId="59F79E59"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7B7368FE"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158FE478" w14:textId="77777777" w:rsidR="00B97365" w:rsidRDefault="00B97365">
            <w:pPr>
              <w:tabs>
                <w:tab w:val="left" w:pos="101"/>
              </w:tabs>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shd w:val="clear" w:color="auto" w:fill="C00000"/>
          </w:tcPr>
          <w:p w14:paraId="4C3C7D60" w14:textId="77777777" w:rsidR="00B97365" w:rsidRDefault="00000000">
            <w:pPr>
              <w:tabs>
                <w:tab w:val="left" w:pos="124"/>
              </w:tabs>
              <w:spacing w:before="0" w:after="200" w:line="276" w:lineRule="auto"/>
              <w:jc w:val="left"/>
              <w:rPr>
                <w:rFonts w:cs="Calibri"/>
                <w:b/>
                <w:sz w:val="16"/>
                <w:szCs w:val="16"/>
                <w:lang w:eastAsia="en-GB" w:bidi="ar-SA"/>
              </w:rPr>
            </w:pPr>
            <w:r>
              <w:rPr>
                <w:rFonts w:cs="Calibri"/>
                <w:b/>
                <w:sz w:val="16"/>
                <w:szCs w:val="16"/>
                <w:lang w:eastAsia="en-GB" w:bidi="ar-SA"/>
              </w:rPr>
              <w:t>Tag</w:t>
            </w:r>
          </w:p>
        </w:tc>
        <w:tc>
          <w:tcPr>
            <w:tcW w:w="964" w:type="dxa"/>
            <w:tcBorders>
              <w:top w:val="single" w:sz="6" w:space="0" w:color="auto"/>
              <w:left w:val="single" w:sz="6" w:space="0" w:color="auto"/>
              <w:bottom w:val="single" w:sz="6" w:space="0" w:color="auto"/>
              <w:right w:val="single" w:sz="6" w:space="0" w:color="auto"/>
            </w:tcBorders>
            <w:shd w:val="clear" w:color="auto" w:fill="C00000"/>
          </w:tcPr>
          <w:p w14:paraId="47A2A50A" w14:textId="77777777" w:rsidR="00B97365" w:rsidRDefault="00000000">
            <w:pPr>
              <w:tabs>
                <w:tab w:val="left" w:pos="93"/>
              </w:tabs>
              <w:spacing w:before="0" w:after="200" w:line="276" w:lineRule="auto"/>
              <w:jc w:val="left"/>
              <w:rPr>
                <w:rFonts w:cs="Calibri"/>
                <w:b/>
                <w:sz w:val="16"/>
                <w:szCs w:val="16"/>
                <w:lang w:eastAsia="en-GB" w:bidi="ar-SA"/>
              </w:rPr>
            </w:pPr>
            <w:r>
              <w:rPr>
                <w:rFonts w:cs="Calibri"/>
                <w:b/>
                <w:sz w:val="16"/>
                <w:szCs w:val="16"/>
                <w:lang w:eastAsia="en-GB" w:bidi="ar-SA"/>
              </w:rPr>
              <w:t>Length</w:t>
            </w:r>
          </w:p>
        </w:tc>
        <w:tc>
          <w:tcPr>
            <w:tcW w:w="2601" w:type="dxa"/>
            <w:tcBorders>
              <w:top w:val="single" w:sz="6" w:space="0" w:color="auto"/>
              <w:left w:val="single" w:sz="6" w:space="0" w:color="auto"/>
              <w:bottom w:val="single" w:sz="6" w:space="0" w:color="auto"/>
              <w:right w:val="single" w:sz="6" w:space="0" w:color="auto"/>
            </w:tcBorders>
            <w:shd w:val="clear" w:color="auto" w:fill="C00000"/>
          </w:tcPr>
          <w:p w14:paraId="45A25051" w14:textId="77777777" w:rsidR="00B97365" w:rsidRDefault="00B97365">
            <w:pPr>
              <w:tabs>
                <w:tab w:val="left" w:pos="124"/>
              </w:tabs>
              <w:spacing w:before="0" w:after="200" w:line="276" w:lineRule="auto"/>
              <w:jc w:val="left"/>
              <w:rPr>
                <w:rFonts w:cs="Calibri"/>
                <w:b/>
                <w:sz w:val="16"/>
                <w:szCs w:val="16"/>
                <w:lang w:eastAsia="en-GB" w:bidi="ar-SA"/>
              </w:rPr>
            </w:pPr>
          </w:p>
        </w:tc>
        <w:tc>
          <w:tcPr>
            <w:tcW w:w="0" w:type="auto"/>
            <w:tcBorders>
              <w:top w:val="single" w:sz="6" w:space="0" w:color="auto"/>
              <w:left w:val="single" w:sz="6" w:space="0" w:color="auto"/>
              <w:bottom w:val="single" w:sz="6" w:space="0" w:color="auto"/>
              <w:right w:val="single" w:sz="4" w:space="0" w:color="auto"/>
            </w:tcBorders>
            <w:shd w:val="clear" w:color="auto" w:fill="C00000"/>
          </w:tcPr>
          <w:p w14:paraId="7EF00B8A" w14:textId="77777777" w:rsidR="00B97365" w:rsidRDefault="00B97365">
            <w:pPr>
              <w:tabs>
                <w:tab w:val="left" w:pos="45"/>
              </w:tabs>
              <w:spacing w:before="0" w:after="200" w:line="276" w:lineRule="auto"/>
              <w:jc w:val="center"/>
              <w:rPr>
                <w:rFonts w:cs="Calibri"/>
                <w:b/>
                <w:sz w:val="16"/>
                <w:szCs w:val="16"/>
                <w:lang w:eastAsia="en-GB" w:bidi="ar-SA"/>
              </w:rPr>
            </w:pPr>
          </w:p>
        </w:tc>
      </w:tr>
      <w:tr w:rsidR="00B97365" w14:paraId="719776DD"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0B82A7DC"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2E6E4923" w14:textId="77777777" w:rsidR="00B97365" w:rsidRDefault="00B97365">
            <w:pPr>
              <w:tabs>
                <w:tab w:val="left" w:pos="101"/>
              </w:tabs>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57F88F9E"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'81'</w:t>
            </w:r>
          </w:p>
        </w:tc>
        <w:tc>
          <w:tcPr>
            <w:tcW w:w="964" w:type="dxa"/>
            <w:tcBorders>
              <w:top w:val="single" w:sz="6" w:space="0" w:color="auto"/>
              <w:left w:val="single" w:sz="6" w:space="0" w:color="auto"/>
              <w:bottom w:val="single" w:sz="6" w:space="0" w:color="auto"/>
              <w:right w:val="single" w:sz="6" w:space="0" w:color="auto"/>
            </w:tcBorders>
          </w:tcPr>
          <w:p w14:paraId="75AA7A4F" w14:textId="77777777" w:rsidR="00B97365" w:rsidRDefault="00000000">
            <w:pPr>
              <w:tabs>
                <w:tab w:val="left" w:pos="93"/>
              </w:tabs>
              <w:spacing w:before="0" w:after="200" w:line="276" w:lineRule="auto"/>
              <w:jc w:val="left"/>
              <w:rPr>
                <w:rFonts w:cs="Calibri"/>
                <w:sz w:val="16"/>
                <w:szCs w:val="16"/>
                <w:lang w:eastAsia="en-GB" w:bidi="ar-SA"/>
              </w:rPr>
            </w:pPr>
            <w:r>
              <w:rPr>
                <w:rFonts w:cs="Calibri"/>
                <w:sz w:val="16"/>
                <w:szCs w:val="16"/>
                <w:lang w:eastAsia="en-GB" w:bidi="ar-SA"/>
              </w:rPr>
              <w:t>3</w:t>
            </w:r>
          </w:p>
        </w:tc>
        <w:tc>
          <w:tcPr>
            <w:tcW w:w="2601" w:type="dxa"/>
            <w:tcBorders>
              <w:top w:val="single" w:sz="6" w:space="0" w:color="auto"/>
              <w:left w:val="single" w:sz="6" w:space="0" w:color="auto"/>
              <w:bottom w:val="single" w:sz="6" w:space="0" w:color="auto"/>
              <w:right w:val="single" w:sz="6" w:space="0" w:color="auto"/>
            </w:tcBorders>
          </w:tcPr>
          <w:p w14:paraId="282327B4"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ISD-P identifier: digits 15 to 20 of PIX of ISD-P</w:t>
            </w:r>
          </w:p>
        </w:tc>
        <w:tc>
          <w:tcPr>
            <w:tcW w:w="0" w:type="auto"/>
            <w:tcBorders>
              <w:top w:val="single" w:sz="6" w:space="0" w:color="auto"/>
              <w:left w:val="single" w:sz="6" w:space="0" w:color="auto"/>
              <w:bottom w:val="single" w:sz="6" w:space="0" w:color="auto"/>
              <w:right w:val="single" w:sz="4" w:space="0" w:color="auto"/>
            </w:tcBorders>
          </w:tcPr>
          <w:p w14:paraId="67B6F9BB"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28C5ED92"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5AB7E6C2"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5C1C7EA9" w14:textId="77777777" w:rsidR="00B97365" w:rsidRDefault="00B97365">
            <w:pPr>
              <w:tabs>
                <w:tab w:val="left" w:pos="101"/>
              </w:tabs>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4C33FF99"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'82'</w:t>
            </w:r>
          </w:p>
        </w:tc>
        <w:tc>
          <w:tcPr>
            <w:tcW w:w="964" w:type="dxa"/>
            <w:tcBorders>
              <w:top w:val="single" w:sz="6" w:space="0" w:color="auto"/>
              <w:left w:val="single" w:sz="6" w:space="0" w:color="auto"/>
              <w:bottom w:val="single" w:sz="6" w:space="0" w:color="auto"/>
              <w:right w:val="single" w:sz="6" w:space="0" w:color="auto"/>
            </w:tcBorders>
          </w:tcPr>
          <w:p w14:paraId="01E16122" w14:textId="77777777" w:rsidR="00B97365" w:rsidRDefault="00000000">
            <w:pPr>
              <w:tabs>
                <w:tab w:val="left" w:pos="93"/>
              </w:tabs>
              <w:spacing w:before="0" w:after="200" w:line="276" w:lineRule="auto"/>
              <w:jc w:val="left"/>
              <w:rPr>
                <w:rFonts w:cs="Calibri"/>
                <w:sz w:val="16"/>
                <w:szCs w:val="16"/>
                <w:lang w:eastAsia="en-GB" w:bidi="ar-SA"/>
              </w:rPr>
            </w:pPr>
            <w:r>
              <w:rPr>
                <w:rFonts w:cs="Calibri"/>
                <w:sz w:val="16"/>
                <w:szCs w:val="16"/>
                <w:lang w:eastAsia="en-GB" w:bidi="ar-SA"/>
              </w:rPr>
              <w:t>2-12</w:t>
            </w:r>
          </w:p>
        </w:tc>
        <w:tc>
          <w:tcPr>
            <w:tcW w:w="2601" w:type="dxa"/>
            <w:tcBorders>
              <w:top w:val="single" w:sz="6" w:space="0" w:color="auto"/>
              <w:left w:val="single" w:sz="6" w:space="0" w:color="auto"/>
              <w:bottom w:val="single" w:sz="6" w:space="0" w:color="auto"/>
              <w:right w:val="single" w:sz="6" w:space="0" w:color="auto"/>
            </w:tcBorders>
          </w:tcPr>
          <w:p w14:paraId="3E5812F1" w14:textId="77777777" w:rsidR="00B97365" w:rsidRDefault="00000000">
            <w:pPr>
              <w:tabs>
                <w:tab w:val="left" w:pos="124"/>
              </w:tabs>
              <w:spacing w:before="0" w:after="200" w:line="276" w:lineRule="auto"/>
              <w:jc w:val="left"/>
              <w:rPr>
                <w:rFonts w:cs="Calibri"/>
                <w:sz w:val="16"/>
                <w:szCs w:val="16"/>
                <w:lang w:eastAsia="en-GB" w:bidi="ar-SA"/>
              </w:rPr>
            </w:pPr>
            <w:bookmarkStart w:id="2487" w:name="_Hlk478970685"/>
            <w:r>
              <w:rPr>
                <w:rFonts w:cs="Calibri"/>
                <w:sz w:val="16"/>
                <w:szCs w:val="16"/>
                <w:lang w:eastAsia="en-GB" w:bidi="ar-SA"/>
              </w:rPr>
              <w:t>Profile-</w:t>
            </w:r>
            <w:bookmarkEnd w:id="2487"/>
            <w:r>
              <w:rPr>
                <w:rFonts w:cs="Calibri"/>
                <w:sz w:val="16"/>
                <w:szCs w:val="16"/>
                <w:lang w:eastAsia="en-GB" w:bidi="ar-SA"/>
              </w:rPr>
              <w:t>specific SM-SR Platform Destination Address*</w:t>
            </w:r>
          </w:p>
        </w:tc>
        <w:tc>
          <w:tcPr>
            <w:tcW w:w="0" w:type="auto"/>
            <w:tcBorders>
              <w:top w:val="single" w:sz="6" w:space="0" w:color="auto"/>
              <w:left w:val="single" w:sz="6" w:space="0" w:color="auto"/>
              <w:bottom w:val="single" w:sz="6" w:space="0" w:color="auto"/>
              <w:right w:val="single" w:sz="4" w:space="0" w:color="auto"/>
            </w:tcBorders>
          </w:tcPr>
          <w:p w14:paraId="53DB8D3B"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31E147E4" w14:textId="77777777">
        <w:trPr>
          <w:cantSplit/>
          <w:jc w:val="center"/>
        </w:trPr>
        <w:tc>
          <w:tcPr>
            <w:tcW w:w="6050" w:type="dxa"/>
            <w:gridSpan w:val="6"/>
            <w:tcBorders>
              <w:top w:val="single" w:sz="6" w:space="0" w:color="auto"/>
              <w:left w:val="single" w:sz="4" w:space="0" w:color="auto"/>
              <w:bottom w:val="single" w:sz="4" w:space="0" w:color="auto"/>
              <w:right w:val="single" w:sz="4" w:space="0" w:color="auto"/>
            </w:tcBorders>
          </w:tcPr>
          <w:p w14:paraId="4C37CB6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This structure can contain as many TLVs with tag ‘A2’ as there are ISD-Ps.</w:t>
            </w:r>
          </w:p>
          <w:p w14:paraId="13835F0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The SM-SR is responsible to overwrite this list as it sees fit when a new ISD-P is created or after an SM-SR change. When an ISD-P is deleted, the eUICC SHALL remove the corresponding 'A2' TLV. </w:t>
            </w:r>
          </w:p>
        </w:tc>
      </w:tr>
    </w:tbl>
    <w:p w14:paraId="2A8FC015"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SMS Addressing Parameters Coding</w:t>
      </w:r>
    </w:p>
    <w:p w14:paraId="67C8BFB1" w14:textId="2D76B2A7" w:rsidR="00B97365" w:rsidRDefault="00000000">
      <w:pPr>
        <w:spacing w:before="0" w:after="200" w:line="276" w:lineRule="auto"/>
        <w:jc w:val="left"/>
        <w:rPr>
          <w:rFonts w:cs="Calibri"/>
          <w:szCs w:val="22"/>
          <w:lang w:eastAsia="en-GB" w:bidi="ar-SA"/>
        </w:rPr>
      </w:pPr>
      <w:r>
        <w:rPr>
          <w:rFonts w:cs="Arial"/>
          <w:szCs w:val="22"/>
          <w:lang w:val="en-US" w:eastAsia="en-GB" w:bidi="ar-SA"/>
        </w:rPr>
        <w:t xml:space="preserve">*SM-SR Platform Destination Address is coded as specified for the TP-Destination-Address in 3GPP TS 23.040 </w:t>
      </w:r>
      <w:r>
        <w:fldChar w:fldCharType="begin"/>
      </w:r>
      <w:r>
        <w:rPr>
          <w:szCs w:val="22"/>
          <w:lang w:val="en-US" w:eastAsia="en-GB" w:bidi="ar-SA"/>
        </w:rPr>
        <w:instrText xml:space="preserve"> REF _Ref421633771 \r \h </w:instrText>
      </w:r>
      <w:r>
        <w:fldChar w:fldCharType="separate"/>
      </w:r>
      <w:r w:rsidR="001D5AD9">
        <w:rPr>
          <w:szCs w:val="22"/>
          <w:lang w:val="en-US" w:eastAsia="en-GB" w:bidi="ar-SA"/>
        </w:rPr>
        <w:t>[39]</w:t>
      </w:r>
      <w:r>
        <w:fldChar w:fldCharType="end"/>
      </w:r>
      <w:r>
        <w:rPr>
          <w:szCs w:val="22"/>
          <w:lang w:val="en-US" w:eastAsia="en-GB" w:bidi="ar-SA"/>
        </w:rPr>
        <w:t>.</w:t>
      </w:r>
    </w:p>
    <w:p w14:paraId="1B6ECFE1" w14:textId="77777777" w:rsidR="00B97365" w:rsidRDefault="00000000">
      <w:pPr>
        <w:spacing w:before="0" w:after="200" w:line="276" w:lineRule="auto"/>
        <w:jc w:val="left"/>
        <w:rPr>
          <w:b/>
          <w:i/>
          <w:szCs w:val="22"/>
          <w:lang w:val="en-US" w:eastAsia="en-GB" w:bidi="ar-SA"/>
        </w:rPr>
      </w:pPr>
      <w:bookmarkStart w:id="2488" w:name="_Toc420594572"/>
      <w:r>
        <w:rPr>
          <w:b/>
          <w:i/>
          <w:lang w:eastAsia="en-GB"/>
        </w:rPr>
        <w:t>BIP open channel</w:t>
      </w:r>
      <w:r>
        <w:rPr>
          <w:b/>
          <w:i/>
          <w:szCs w:val="22"/>
          <w:lang w:val="en-US" w:eastAsia="en-GB" w:bidi="ar-SA"/>
        </w:rPr>
        <w:t xml:space="preserve"> parameters</w:t>
      </w:r>
      <w:bookmarkEnd w:id="2488"/>
      <w:r>
        <w:rPr>
          <w:b/>
          <w:i/>
          <w:szCs w:val="22"/>
          <w:lang w:val="en-US" w:eastAsia="en-GB" w:bidi="ar-SA"/>
        </w:rPr>
        <w:t xml:space="preserve"> for </w:t>
      </w:r>
      <w:r>
        <w:rPr>
          <w:rFonts w:cs="Arial"/>
          <w:b/>
          <w:i/>
          <w:szCs w:val="22"/>
          <w:lang w:val="en-US" w:eastAsia="en-GB" w:bidi="ar-SA"/>
        </w:rPr>
        <w:t>CAT_TP link</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602"/>
      </w:tblGrid>
      <w:tr w:rsidR="00B97365" w14:paraId="2C7BA98E" w14:textId="77777777">
        <w:trPr>
          <w:trHeight w:val="274"/>
          <w:tblHeader/>
          <w:jc w:val="center"/>
        </w:trPr>
        <w:tc>
          <w:tcPr>
            <w:tcW w:w="0" w:type="auto"/>
            <w:tcBorders>
              <w:top w:val="single" w:sz="4" w:space="0" w:color="auto"/>
              <w:left w:val="single" w:sz="4" w:space="0" w:color="auto"/>
              <w:bottom w:val="single" w:sz="6" w:space="0" w:color="auto"/>
              <w:right w:val="single" w:sz="4" w:space="0" w:color="auto"/>
            </w:tcBorders>
            <w:shd w:val="clear" w:color="auto" w:fill="C00000"/>
            <w:vAlign w:val="center"/>
            <w:hideMark/>
          </w:tcPr>
          <w:p w14:paraId="0529B7C5" w14:textId="77777777" w:rsidR="00B97365" w:rsidRDefault="00000000">
            <w:pPr>
              <w:spacing w:before="0" w:after="200" w:line="276" w:lineRule="auto"/>
              <w:jc w:val="center"/>
              <w:rPr>
                <w:rFonts w:cs="Calibri"/>
                <w:b/>
                <w:color w:val="FFFFFF"/>
                <w:sz w:val="16"/>
                <w:szCs w:val="16"/>
                <w:lang w:bidi="ar-SA"/>
              </w:rPr>
            </w:pPr>
            <w:r>
              <w:rPr>
                <w:rFonts w:cs="Calibri"/>
                <w:b/>
                <w:color w:val="FFFFFF"/>
                <w:sz w:val="16"/>
                <w:szCs w:val="16"/>
                <w:lang w:bidi="ar-SA"/>
              </w:rPr>
              <w:t>Description</w:t>
            </w:r>
          </w:p>
        </w:tc>
      </w:tr>
      <w:tr w:rsidR="00B97365" w14:paraId="53941FD1" w14:textId="77777777">
        <w:trPr>
          <w:trHeight w:val="274"/>
          <w:tblHeader/>
          <w:jc w:val="center"/>
        </w:trPr>
        <w:tc>
          <w:tcPr>
            <w:tcW w:w="0" w:type="auto"/>
            <w:tcBorders>
              <w:top w:val="single" w:sz="6" w:space="0" w:color="auto"/>
              <w:left w:val="single" w:sz="4" w:space="0" w:color="auto"/>
              <w:bottom w:val="single" w:sz="6" w:space="0" w:color="auto"/>
              <w:right w:val="single" w:sz="4" w:space="0" w:color="auto"/>
            </w:tcBorders>
            <w:hideMark/>
          </w:tcPr>
          <w:p w14:paraId="1F246DC7" w14:textId="77777777" w:rsidR="00B97365" w:rsidRDefault="00000000">
            <w:pPr>
              <w:spacing w:before="0" w:after="200" w:line="276" w:lineRule="auto"/>
              <w:jc w:val="center"/>
              <w:rPr>
                <w:rFonts w:cs="Calibri"/>
                <w:sz w:val="16"/>
                <w:szCs w:val="16"/>
                <w:lang w:val="fr-FR" w:eastAsia="en-GB" w:bidi="ar-SA"/>
              </w:rPr>
            </w:pPr>
            <w:r>
              <w:rPr>
                <w:rFonts w:cs="Calibri"/>
                <w:sz w:val="16"/>
                <w:szCs w:val="16"/>
                <w:lang w:eastAsia="en-GB"/>
              </w:rPr>
              <w:t>UICC/terminal interface transport level</w:t>
            </w:r>
            <w:r>
              <w:rPr>
                <w:rFonts w:cs="Calibri"/>
                <w:sz w:val="16"/>
                <w:szCs w:val="16"/>
                <w:lang w:val="fr-FR" w:eastAsia="en-GB"/>
              </w:rPr>
              <w:t>*</w:t>
            </w:r>
          </w:p>
        </w:tc>
      </w:tr>
      <w:tr w:rsidR="00B97365" w14:paraId="25ACF105" w14:textId="77777777">
        <w:trPr>
          <w:trHeight w:val="274"/>
          <w:tblHeader/>
          <w:jc w:val="center"/>
        </w:trPr>
        <w:tc>
          <w:tcPr>
            <w:tcW w:w="0" w:type="auto"/>
            <w:tcBorders>
              <w:top w:val="single" w:sz="6" w:space="0" w:color="auto"/>
              <w:left w:val="single" w:sz="4" w:space="0" w:color="auto"/>
              <w:bottom w:val="single" w:sz="4" w:space="0" w:color="auto"/>
              <w:right w:val="single" w:sz="4" w:space="0" w:color="auto"/>
            </w:tcBorders>
            <w:hideMark/>
          </w:tcPr>
          <w:p w14:paraId="74957B6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Data Destination Address comprehension TLV **</w:t>
            </w:r>
          </w:p>
        </w:tc>
      </w:tr>
    </w:tbl>
    <w:p w14:paraId="76A7205C" w14:textId="77777777" w:rsidR="00B97365" w:rsidRDefault="00000000">
      <w:pPr>
        <w:numPr>
          <w:ilvl w:val="0"/>
          <w:numId w:val="14"/>
        </w:numPr>
        <w:tabs>
          <w:tab w:val="left" w:pos="1009"/>
        </w:tabs>
        <w:spacing w:after="200" w:line="276" w:lineRule="auto"/>
        <w:jc w:val="center"/>
        <w:rPr>
          <w:rFonts w:cs="Arial"/>
          <w:b/>
          <w:lang w:val="en-US" w:eastAsia="de-DE" w:bidi="ar-SA"/>
        </w:rPr>
      </w:pPr>
      <w:r>
        <w:rPr>
          <w:rFonts w:cs="Arial"/>
          <w:b/>
          <w:lang w:eastAsia="de-DE" w:bidi="ar-SA"/>
        </w:rPr>
        <w:t xml:space="preserve">: </w:t>
      </w:r>
      <w:r>
        <w:rPr>
          <w:rFonts w:cs="Arial"/>
          <w:b/>
          <w:lang w:eastAsia="de-DE"/>
        </w:rPr>
        <w:t xml:space="preserve">BIP Open Channel </w:t>
      </w:r>
      <w:r>
        <w:rPr>
          <w:rFonts w:cs="Arial"/>
          <w:b/>
          <w:lang w:eastAsia="de-DE" w:bidi="ar-SA"/>
        </w:rPr>
        <w:t>Parameters for CAT_TP Link</w:t>
      </w:r>
    </w:p>
    <w:p w14:paraId="04915792" w14:textId="394868B1" w:rsidR="00B97365" w:rsidRDefault="00000000">
      <w:pPr>
        <w:spacing w:before="0" w:after="200" w:line="276" w:lineRule="auto"/>
        <w:jc w:val="left"/>
        <w:rPr>
          <w:szCs w:val="22"/>
          <w:lang w:val="en-US" w:eastAsia="en-GB" w:bidi="ar-SA"/>
        </w:rPr>
      </w:pPr>
      <w:r>
        <w:rPr>
          <w:rFonts w:cs="Arial"/>
          <w:szCs w:val="22"/>
          <w:lang w:val="en-US" w:eastAsia="en-GB" w:bidi="ar-SA"/>
        </w:rPr>
        <w:t xml:space="preserve">*As defined in ETSI TS 102 226 </w:t>
      </w:r>
      <w:r>
        <w:fldChar w:fldCharType="begin"/>
      </w:r>
      <w:r>
        <w:rPr>
          <w:szCs w:val="22"/>
          <w:lang w:val="en-US" w:eastAsia="en-GB" w:bidi="ar-SA"/>
        </w:rPr>
        <w:instrText xml:space="preserve"> REF _Ref421631444 \r \h </w:instrText>
      </w:r>
      <w:r>
        <w:fldChar w:fldCharType="separate"/>
      </w:r>
      <w:r w:rsidR="001D5AD9">
        <w:rPr>
          <w:szCs w:val="22"/>
          <w:lang w:val="en-US" w:eastAsia="en-GB" w:bidi="ar-SA"/>
        </w:rPr>
        <w:t>[5]</w:t>
      </w:r>
      <w:r>
        <w:fldChar w:fldCharType="end"/>
      </w:r>
      <w:r>
        <w:rPr>
          <w:szCs w:val="22"/>
          <w:lang w:val="en-US" w:eastAsia="en-GB" w:bidi="ar-SA"/>
        </w:rPr>
        <w:t xml:space="preserve"> in the section “Data for CAT_TP link establishment”</w:t>
      </w:r>
      <w:r>
        <w:rPr>
          <w:lang w:val="en-US" w:eastAsia="en-GB"/>
        </w:rPr>
        <w:t xml:space="preserve"> </w:t>
      </w:r>
      <w:r>
        <w:rPr>
          <w:lang w:eastAsia="en-GB"/>
        </w:rPr>
        <w:t>and “Data for BIP channel opening”</w:t>
      </w:r>
      <w:r>
        <w:rPr>
          <w:szCs w:val="22"/>
          <w:lang w:val="en-US" w:eastAsia="en-GB" w:bidi="ar-SA"/>
        </w:rPr>
        <w:t>.</w:t>
      </w:r>
    </w:p>
    <w:p w14:paraId="56D9301D" w14:textId="564A89DF" w:rsidR="00B97365" w:rsidRDefault="00000000">
      <w:pPr>
        <w:spacing w:before="0" w:after="200" w:line="276" w:lineRule="auto"/>
        <w:jc w:val="left"/>
        <w:rPr>
          <w:szCs w:val="22"/>
          <w:lang w:val="en-US" w:eastAsia="en-GB" w:bidi="ar-SA"/>
        </w:rPr>
      </w:pPr>
      <w:r>
        <w:rPr>
          <w:rFonts w:cs="Arial"/>
          <w:szCs w:val="22"/>
          <w:lang w:val="en-US" w:eastAsia="en-GB" w:bidi="ar-SA"/>
        </w:rPr>
        <w:t xml:space="preserve">**As defined in ETSI TS 102 223 </w:t>
      </w:r>
      <w:r>
        <w:fldChar w:fldCharType="begin"/>
      </w:r>
      <w:r>
        <w:rPr>
          <w:szCs w:val="22"/>
          <w:lang w:val="en-US" w:eastAsia="en-GB" w:bidi="ar-SA"/>
        </w:rPr>
        <w:instrText xml:space="preserve"> REF _Ref421633137 \r \h </w:instrText>
      </w:r>
      <w:r>
        <w:fldChar w:fldCharType="separate"/>
      </w:r>
      <w:r w:rsidR="001D5AD9">
        <w:rPr>
          <w:szCs w:val="22"/>
          <w:lang w:val="en-US" w:eastAsia="en-GB" w:bidi="ar-SA"/>
        </w:rPr>
        <w:t>[3]</w:t>
      </w:r>
      <w:r>
        <w:fldChar w:fldCharType="end"/>
      </w:r>
      <w:r>
        <w:rPr>
          <w:szCs w:val="22"/>
          <w:lang w:val="en-US" w:eastAsia="en-GB" w:bidi="ar-SA"/>
        </w:rPr>
        <w:t>.</w:t>
      </w:r>
    </w:p>
    <w:p w14:paraId="6517AB9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CR bit of the tags SHALL be set to zero.</w:t>
      </w:r>
    </w:p>
    <w:p w14:paraId="581E9EA3"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DNS</w:t>
      </w:r>
      <w:r>
        <w:rPr>
          <w:b/>
          <w:i/>
          <w:szCs w:val="22"/>
          <w:lang w:val="en-US" w:eastAsia="en-GB" w:bidi="ar-SA"/>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05"/>
        <w:gridCol w:w="755"/>
        <w:gridCol w:w="2105"/>
        <w:gridCol w:w="1254"/>
        <w:gridCol w:w="3804"/>
        <w:gridCol w:w="593"/>
      </w:tblGrid>
      <w:tr w:rsidR="00B97365" w14:paraId="3DE8369F"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29B8CACD" w14:textId="77777777" w:rsidR="00B97365" w:rsidRDefault="00000000">
            <w:pPr>
              <w:spacing w:before="0" w:after="200" w:line="276" w:lineRule="auto"/>
              <w:jc w:val="left"/>
              <w:rPr>
                <w:rFonts w:cs="Calibri"/>
                <w:b/>
                <w:sz w:val="16"/>
                <w:szCs w:val="16"/>
                <w:lang w:eastAsia="en-GB" w:bidi="ar-SA"/>
              </w:rPr>
            </w:pPr>
            <w:r>
              <w:rPr>
                <w:rFonts w:cs="Calibri"/>
                <w:b/>
                <w:sz w:val="16"/>
                <w:szCs w:val="16"/>
                <w:lang w:eastAsia="en-GB" w:bidi="ar-SA"/>
              </w:rPr>
              <w:lastRenderedPageBreak/>
              <w:t>Tag</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148F06B" w14:textId="77777777" w:rsidR="00B97365" w:rsidRDefault="00000000">
            <w:pPr>
              <w:spacing w:before="0" w:after="200" w:line="276" w:lineRule="auto"/>
              <w:jc w:val="left"/>
              <w:rPr>
                <w:rFonts w:cs="Calibri"/>
                <w:b/>
                <w:sz w:val="16"/>
                <w:szCs w:val="16"/>
                <w:lang w:eastAsia="en-GB" w:bidi="ar-SA"/>
              </w:rPr>
            </w:pPr>
            <w:r>
              <w:rPr>
                <w:rFonts w:cs="Calibri"/>
                <w:b/>
                <w:sz w:val="16"/>
                <w:szCs w:val="16"/>
                <w:lang w:eastAsia="en-GB" w:bidi="ar-SA"/>
              </w:rPr>
              <w:t>Length</w:t>
            </w:r>
          </w:p>
        </w:tc>
        <w:tc>
          <w:tcPr>
            <w:tcW w:w="0" w:type="auto"/>
            <w:gridSpan w:val="3"/>
            <w:tcBorders>
              <w:top w:val="single" w:sz="4" w:space="0" w:color="auto"/>
              <w:left w:val="single" w:sz="6" w:space="0" w:color="auto"/>
              <w:bottom w:val="single" w:sz="6" w:space="0" w:color="auto"/>
              <w:right w:val="single" w:sz="6" w:space="0" w:color="auto"/>
            </w:tcBorders>
            <w:shd w:val="clear" w:color="auto" w:fill="C00000"/>
            <w:hideMark/>
          </w:tcPr>
          <w:p w14:paraId="563BF975" w14:textId="77777777" w:rsidR="00B97365" w:rsidRDefault="00000000">
            <w:pPr>
              <w:spacing w:before="0" w:after="200" w:line="276" w:lineRule="auto"/>
              <w:jc w:val="left"/>
              <w:rPr>
                <w:rFonts w:cs="Calibri"/>
                <w:b/>
                <w:sz w:val="16"/>
                <w:szCs w:val="16"/>
                <w:lang w:eastAsia="en-GB" w:bidi="ar-SA"/>
              </w:rPr>
            </w:pPr>
            <w:r>
              <w:rPr>
                <w:rFonts w:cs="Calibri"/>
                <w:b/>
                <w:sz w:val="16"/>
                <w:szCs w:val="16"/>
                <w:lang w:eastAsia="en-GB" w:bidi="ar-SA"/>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55DDED5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1C895B55" w14:textId="77777777">
        <w:trPr>
          <w:cantSplit/>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08434D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’81’</w:t>
            </w:r>
          </w:p>
        </w:tc>
        <w:tc>
          <w:tcPr>
            <w:tcW w:w="0" w:type="auto"/>
            <w:tcBorders>
              <w:top w:val="single" w:sz="6" w:space="0" w:color="auto"/>
              <w:left w:val="single" w:sz="6" w:space="0" w:color="auto"/>
              <w:bottom w:val="single" w:sz="6" w:space="0" w:color="auto"/>
              <w:right w:val="single" w:sz="6" w:space="0" w:color="auto"/>
            </w:tcBorders>
            <w:vAlign w:val="center"/>
            <w:hideMark/>
          </w:tcPr>
          <w:p w14:paraId="3AEB4BEF" w14:textId="77777777" w:rsidR="00B97365" w:rsidRDefault="00000000">
            <w:pPr>
              <w:tabs>
                <w:tab w:val="left" w:pos="101"/>
              </w:tabs>
              <w:spacing w:before="0" w:after="200" w:line="276" w:lineRule="auto"/>
              <w:jc w:val="left"/>
              <w:rPr>
                <w:rFonts w:cs="Calibri"/>
                <w:sz w:val="16"/>
                <w:szCs w:val="16"/>
                <w:lang w:eastAsia="en-GB" w:bidi="ar-SA"/>
              </w:rPr>
            </w:pPr>
            <w:r>
              <w:rPr>
                <w:rFonts w:cs="Calibri"/>
                <w:sz w:val="16"/>
                <w:szCs w:val="16"/>
                <w:lang w:eastAsia="en-GB" w:bidi="ar-SA"/>
              </w:rPr>
              <w:t>1-n</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6FCCDC06" w14:textId="77777777" w:rsidR="00B97365" w:rsidRDefault="00000000">
            <w:pPr>
              <w:spacing w:before="0"/>
              <w:jc w:val="left"/>
              <w:rPr>
                <w:rFonts w:cs="Calibri"/>
                <w:b/>
                <w:sz w:val="16"/>
                <w:szCs w:val="16"/>
                <w:lang w:eastAsia="en-GB" w:bidi="ar-SA"/>
              </w:rPr>
            </w:pPr>
            <w:r>
              <w:rPr>
                <w:rFonts w:cs="Calibri"/>
                <w:b/>
                <w:sz w:val="16"/>
                <w:szCs w:val="16"/>
                <w:lang w:eastAsia="en-GB" w:bidi="ar-SA"/>
              </w:rPr>
              <w:t>SM-SR FQDN</w:t>
            </w:r>
          </w:p>
          <w:p w14:paraId="2121C7F8" w14:textId="77777777" w:rsidR="00B97365" w:rsidRDefault="00000000">
            <w:pPr>
              <w:spacing w:before="0"/>
              <w:jc w:val="left"/>
              <w:rPr>
                <w:rFonts w:cs="Calibri"/>
                <w:sz w:val="16"/>
                <w:szCs w:val="16"/>
                <w:lang w:eastAsia="en-GB" w:bidi="ar-SA"/>
              </w:rPr>
            </w:pPr>
            <w:r>
              <w:rPr>
                <w:rFonts w:cs="Calibri"/>
                <w:sz w:val="16"/>
                <w:szCs w:val="16"/>
                <w:lang w:eastAsia="en-GB" w:bidi="ar-SA"/>
              </w:rPr>
              <w:t xml:space="preserve">Full Qualified Domain Name of the SM-SR that will be used in the DNS query. </w:t>
            </w:r>
          </w:p>
          <w:p w14:paraId="28013D4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This parameter is coded in ASCII</w:t>
            </w:r>
          </w:p>
        </w:tc>
        <w:tc>
          <w:tcPr>
            <w:tcW w:w="0" w:type="auto"/>
            <w:tcBorders>
              <w:top w:val="single" w:sz="6" w:space="0" w:color="auto"/>
              <w:left w:val="single" w:sz="6" w:space="0" w:color="auto"/>
              <w:bottom w:val="single" w:sz="6" w:space="0" w:color="auto"/>
              <w:right w:val="single" w:sz="4" w:space="0" w:color="auto"/>
            </w:tcBorders>
            <w:hideMark/>
          </w:tcPr>
          <w:p w14:paraId="52979704"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7A79EC18"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5C818E6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‘A2’</w:t>
            </w:r>
          </w:p>
        </w:tc>
        <w:tc>
          <w:tcPr>
            <w:tcW w:w="0" w:type="auto"/>
            <w:tcBorders>
              <w:top w:val="single" w:sz="6" w:space="0" w:color="auto"/>
              <w:left w:val="single" w:sz="6" w:space="0" w:color="auto"/>
              <w:bottom w:val="single" w:sz="6" w:space="0" w:color="auto"/>
              <w:right w:val="single" w:sz="6" w:space="0" w:color="auto"/>
            </w:tcBorders>
          </w:tcPr>
          <w:p w14:paraId="71415DBC" w14:textId="77777777" w:rsidR="00B97365" w:rsidRDefault="00000000">
            <w:pPr>
              <w:tabs>
                <w:tab w:val="left" w:pos="101"/>
              </w:tabs>
              <w:spacing w:before="0" w:after="200" w:line="276" w:lineRule="auto"/>
              <w:jc w:val="left"/>
              <w:rPr>
                <w:rFonts w:cs="Calibri"/>
                <w:sz w:val="16"/>
                <w:szCs w:val="16"/>
                <w:lang w:eastAsia="en-GB" w:bidi="ar-SA"/>
              </w:rPr>
            </w:pPr>
            <w:r>
              <w:rPr>
                <w:rFonts w:cs="Calibri"/>
                <w:sz w:val="16"/>
                <w:szCs w:val="16"/>
                <w:lang w:eastAsia="en-GB" w:bidi="ar-SA"/>
              </w:rPr>
              <w:t>0-n</w:t>
            </w:r>
          </w:p>
        </w:tc>
        <w:tc>
          <w:tcPr>
            <w:tcW w:w="0" w:type="auto"/>
            <w:gridSpan w:val="3"/>
            <w:tcBorders>
              <w:top w:val="single" w:sz="6" w:space="0" w:color="auto"/>
              <w:left w:val="single" w:sz="6" w:space="0" w:color="auto"/>
              <w:bottom w:val="single" w:sz="6" w:space="0" w:color="auto"/>
              <w:right w:val="single" w:sz="6" w:space="0" w:color="auto"/>
            </w:tcBorders>
          </w:tcPr>
          <w:p w14:paraId="73B5DE58" w14:textId="77777777" w:rsidR="00B97365" w:rsidRDefault="00000000">
            <w:pPr>
              <w:spacing w:before="0"/>
              <w:jc w:val="left"/>
              <w:rPr>
                <w:rFonts w:cs="Calibri"/>
                <w:b/>
                <w:sz w:val="16"/>
                <w:szCs w:val="16"/>
                <w:lang w:eastAsia="en-GB" w:bidi="ar-SA"/>
              </w:rPr>
            </w:pPr>
            <w:r>
              <w:rPr>
                <w:rFonts w:cs="Calibri"/>
                <w:b/>
                <w:sz w:val="16"/>
                <w:szCs w:val="16"/>
                <w:lang w:eastAsia="en-GB" w:bidi="ar-SA"/>
              </w:rPr>
              <w:t>DNS servers List</w:t>
            </w:r>
          </w:p>
          <w:p w14:paraId="231FC94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List of couple IP/ports allowing to reach DNS servers</w:t>
            </w:r>
          </w:p>
        </w:tc>
        <w:tc>
          <w:tcPr>
            <w:tcW w:w="0" w:type="auto"/>
            <w:tcBorders>
              <w:top w:val="single" w:sz="6" w:space="0" w:color="auto"/>
              <w:left w:val="single" w:sz="6" w:space="0" w:color="auto"/>
              <w:bottom w:val="single" w:sz="6" w:space="0" w:color="auto"/>
              <w:right w:val="single" w:sz="4" w:space="0" w:color="auto"/>
            </w:tcBorders>
          </w:tcPr>
          <w:p w14:paraId="1579BDFA"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25CDCF19"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3263517A"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2739796F" w14:textId="77777777" w:rsidR="00B97365" w:rsidRDefault="00B97365">
            <w:pPr>
              <w:tabs>
                <w:tab w:val="left" w:pos="101"/>
              </w:tabs>
              <w:spacing w:before="0" w:after="200" w:line="276" w:lineRule="auto"/>
              <w:jc w:val="left"/>
              <w:rPr>
                <w:rFonts w:cs="Calibri"/>
                <w:sz w:val="16"/>
                <w:szCs w:val="16"/>
                <w:lang w:eastAsia="en-GB" w:bidi="ar-SA"/>
              </w:rPr>
            </w:pPr>
          </w:p>
        </w:tc>
        <w:tc>
          <w:tcPr>
            <w:tcW w:w="2093" w:type="dxa"/>
            <w:tcBorders>
              <w:top w:val="single" w:sz="6" w:space="0" w:color="auto"/>
              <w:left w:val="single" w:sz="6" w:space="0" w:color="auto"/>
              <w:bottom w:val="single" w:sz="6" w:space="0" w:color="auto"/>
              <w:right w:val="single" w:sz="6" w:space="0" w:color="auto"/>
            </w:tcBorders>
            <w:shd w:val="clear" w:color="auto" w:fill="C00000"/>
          </w:tcPr>
          <w:p w14:paraId="62F44F12" w14:textId="77777777" w:rsidR="00B97365" w:rsidRDefault="00000000">
            <w:pPr>
              <w:tabs>
                <w:tab w:val="left" w:pos="124"/>
              </w:tabs>
              <w:spacing w:before="0" w:after="200" w:line="276" w:lineRule="auto"/>
              <w:jc w:val="left"/>
              <w:rPr>
                <w:rFonts w:cs="Calibri"/>
                <w:b/>
                <w:sz w:val="16"/>
                <w:szCs w:val="16"/>
                <w:lang w:eastAsia="en-GB" w:bidi="ar-SA"/>
              </w:rPr>
            </w:pPr>
            <w:r>
              <w:rPr>
                <w:rFonts w:cs="Calibri"/>
                <w:b/>
                <w:sz w:val="16"/>
                <w:szCs w:val="16"/>
                <w:lang w:eastAsia="en-GB" w:bidi="ar-SA"/>
              </w:rPr>
              <w:t>Tag</w:t>
            </w:r>
          </w:p>
        </w:tc>
        <w:tc>
          <w:tcPr>
            <w:tcW w:w="1247" w:type="dxa"/>
            <w:tcBorders>
              <w:top w:val="single" w:sz="6" w:space="0" w:color="auto"/>
              <w:left w:val="single" w:sz="6" w:space="0" w:color="auto"/>
              <w:bottom w:val="single" w:sz="6" w:space="0" w:color="auto"/>
              <w:right w:val="single" w:sz="6" w:space="0" w:color="auto"/>
            </w:tcBorders>
            <w:shd w:val="clear" w:color="auto" w:fill="C00000"/>
          </w:tcPr>
          <w:p w14:paraId="518A44C6" w14:textId="77777777" w:rsidR="00B97365" w:rsidRDefault="00000000">
            <w:pPr>
              <w:tabs>
                <w:tab w:val="left" w:pos="93"/>
              </w:tabs>
              <w:spacing w:before="0" w:after="200" w:line="276" w:lineRule="auto"/>
              <w:jc w:val="left"/>
              <w:rPr>
                <w:rFonts w:cs="Calibri"/>
                <w:b/>
                <w:sz w:val="16"/>
                <w:szCs w:val="16"/>
                <w:lang w:eastAsia="en-GB" w:bidi="ar-SA"/>
              </w:rPr>
            </w:pPr>
            <w:r>
              <w:rPr>
                <w:rFonts w:cs="Calibri"/>
                <w:b/>
                <w:sz w:val="16"/>
                <w:szCs w:val="16"/>
                <w:lang w:eastAsia="en-GB" w:bidi="ar-SA"/>
              </w:rPr>
              <w:t>Length</w:t>
            </w:r>
          </w:p>
        </w:tc>
        <w:tc>
          <w:tcPr>
            <w:tcW w:w="3782" w:type="dxa"/>
            <w:tcBorders>
              <w:top w:val="single" w:sz="6" w:space="0" w:color="auto"/>
              <w:left w:val="single" w:sz="6" w:space="0" w:color="auto"/>
              <w:bottom w:val="single" w:sz="6" w:space="0" w:color="auto"/>
              <w:right w:val="single" w:sz="6" w:space="0" w:color="auto"/>
            </w:tcBorders>
            <w:shd w:val="clear" w:color="auto" w:fill="C00000"/>
          </w:tcPr>
          <w:p w14:paraId="407D3499" w14:textId="77777777" w:rsidR="00B97365" w:rsidRDefault="00B97365">
            <w:pPr>
              <w:tabs>
                <w:tab w:val="left" w:pos="124"/>
              </w:tabs>
              <w:spacing w:before="0" w:after="200" w:line="276" w:lineRule="auto"/>
              <w:jc w:val="left"/>
              <w:rPr>
                <w:rFonts w:cs="Calibri"/>
                <w:b/>
                <w:sz w:val="16"/>
                <w:szCs w:val="16"/>
                <w:lang w:eastAsia="en-GB" w:bidi="ar-SA"/>
              </w:rPr>
            </w:pPr>
          </w:p>
        </w:tc>
        <w:tc>
          <w:tcPr>
            <w:tcW w:w="0" w:type="auto"/>
            <w:tcBorders>
              <w:top w:val="single" w:sz="6" w:space="0" w:color="auto"/>
              <w:left w:val="single" w:sz="6" w:space="0" w:color="auto"/>
              <w:bottom w:val="single" w:sz="6" w:space="0" w:color="auto"/>
              <w:right w:val="single" w:sz="4" w:space="0" w:color="auto"/>
            </w:tcBorders>
            <w:shd w:val="clear" w:color="auto" w:fill="C00000"/>
          </w:tcPr>
          <w:p w14:paraId="1E57B52A" w14:textId="77777777" w:rsidR="00B97365" w:rsidRDefault="00B97365">
            <w:pPr>
              <w:tabs>
                <w:tab w:val="left" w:pos="45"/>
              </w:tabs>
              <w:spacing w:before="0" w:after="200" w:line="276" w:lineRule="auto"/>
              <w:jc w:val="center"/>
              <w:rPr>
                <w:rFonts w:cs="Calibri"/>
                <w:b/>
                <w:sz w:val="16"/>
                <w:szCs w:val="16"/>
                <w:lang w:eastAsia="en-GB" w:bidi="ar-SA"/>
              </w:rPr>
            </w:pPr>
          </w:p>
        </w:tc>
      </w:tr>
      <w:tr w:rsidR="00B97365" w14:paraId="0AD5B558"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638EA674"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7294AF11" w14:textId="77777777" w:rsidR="00B97365" w:rsidRDefault="00B97365">
            <w:pPr>
              <w:tabs>
                <w:tab w:val="left" w:pos="101"/>
              </w:tabs>
              <w:spacing w:before="0" w:after="200" w:line="276" w:lineRule="auto"/>
              <w:jc w:val="left"/>
              <w:rPr>
                <w:rFonts w:cs="Calibri"/>
                <w:sz w:val="16"/>
                <w:szCs w:val="16"/>
                <w:lang w:eastAsia="en-GB" w:bidi="ar-SA"/>
              </w:rPr>
            </w:pPr>
          </w:p>
        </w:tc>
        <w:tc>
          <w:tcPr>
            <w:tcW w:w="2093" w:type="dxa"/>
            <w:tcBorders>
              <w:top w:val="single" w:sz="6" w:space="0" w:color="auto"/>
              <w:left w:val="single" w:sz="6" w:space="0" w:color="auto"/>
              <w:bottom w:val="single" w:sz="6" w:space="0" w:color="auto"/>
              <w:right w:val="single" w:sz="6" w:space="0" w:color="auto"/>
            </w:tcBorders>
          </w:tcPr>
          <w:p w14:paraId="4D0D13D7"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‘3E' or ‘BE’</w:t>
            </w:r>
          </w:p>
        </w:tc>
        <w:tc>
          <w:tcPr>
            <w:tcW w:w="1247" w:type="dxa"/>
            <w:tcBorders>
              <w:top w:val="single" w:sz="6" w:space="0" w:color="auto"/>
              <w:left w:val="single" w:sz="6" w:space="0" w:color="auto"/>
              <w:bottom w:val="single" w:sz="6" w:space="0" w:color="auto"/>
              <w:right w:val="single" w:sz="6" w:space="0" w:color="auto"/>
            </w:tcBorders>
          </w:tcPr>
          <w:p w14:paraId="09BEF1E8" w14:textId="77777777" w:rsidR="00B97365" w:rsidRDefault="00000000">
            <w:pPr>
              <w:tabs>
                <w:tab w:val="left" w:pos="93"/>
              </w:tabs>
              <w:spacing w:before="0" w:after="200" w:line="276" w:lineRule="auto"/>
              <w:jc w:val="left"/>
              <w:rPr>
                <w:rFonts w:cs="Calibri"/>
                <w:sz w:val="16"/>
                <w:szCs w:val="16"/>
                <w:lang w:eastAsia="en-GB" w:bidi="ar-SA"/>
              </w:rPr>
            </w:pPr>
            <w:r>
              <w:rPr>
                <w:rFonts w:cs="Calibri"/>
                <w:sz w:val="16"/>
                <w:szCs w:val="16"/>
                <w:lang w:eastAsia="en-GB" w:bidi="ar-SA"/>
              </w:rPr>
              <w:t>1-n</w:t>
            </w:r>
          </w:p>
        </w:tc>
        <w:tc>
          <w:tcPr>
            <w:tcW w:w="3782" w:type="dxa"/>
            <w:tcBorders>
              <w:top w:val="single" w:sz="6" w:space="0" w:color="auto"/>
              <w:left w:val="single" w:sz="6" w:space="0" w:color="auto"/>
              <w:bottom w:val="single" w:sz="6" w:space="0" w:color="auto"/>
              <w:right w:val="single" w:sz="6" w:space="0" w:color="auto"/>
            </w:tcBorders>
          </w:tcPr>
          <w:p w14:paraId="7D52F9BD"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IP address coded as an “Other Address” as specified by ETSI TS 102 223 [3]</w:t>
            </w:r>
          </w:p>
        </w:tc>
        <w:tc>
          <w:tcPr>
            <w:tcW w:w="0" w:type="auto"/>
            <w:tcBorders>
              <w:top w:val="single" w:sz="6" w:space="0" w:color="auto"/>
              <w:left w:val="single" w:sz="6" w:space="0" w:color="auto"/>
              <w:bottom w:val="single" w:sz="6" w:space="0" w:color="auto"/>
              <w:right w:val="single" w:sz="4" w:space="0" w:color="auto"/>
            </w:tcBorders>
          </w:tcPr>
          <w:p w14:paraId="7343CB28"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513EDA98"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439AB587"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tcPr>
          <w:p w14:paraId="2132DD9A" w14:textId="77777777" w:rsidR="00B97365" w:rsidRDefault="00B97365">
            <w:pPr>
              <w:tabs>
                <w:tab w:val="left" w:pos="101"/>
              </w:tabs>
              <w:spacing w:before="0" w:after="200" w:line="276" w:lineRule="auto"/>
              <w:jc w:val="left"/>
              <w:rPr>
                <w:rFonts w:cs="Calibri"/>
                <w:sz w:val="16"/>
                <w:szCs w:val="16"/>
                <w:lang w:eastAsia="en-GB" w:bidi="ar-SA"/>
              </w:rPr>
            </w:pPr>
          </w:p>
        </w:tc>
        <w:tc>
          <w:tcPr>
            <w:tcW w:w="2093" w:type="dxa"/>
            <w:tcBorders>
              <w:top w:val="single" w:sz="6" w:space="0" w:color="auto"/>
              <w:left w:val="single" w:sz="6" w:space="0" w:color="auto"/>
              <w:bottom w:val="single" w:sz="6" w:space="0" w:color="auto"/>
              <w:right w:val="single" w:sz="6" w:space="0" w:color="auto"/>
            </w:tcBorders>
          </w:tcPr>
          <w:p w14:paraId="376C2374"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'82'</w:t>
            </w:r>
          </w:p>
        </w:tc>
        <w:tc>
          <w:tcPr>
            <w:tcW w:w="1247" w:type="dxa"/>
            <w:tcBorders>
              <w:top w:val="single" w:sz="6" w:space="0" w:color="auto"/>
              <w:left w:val="single" w:sz="6" w:space="0" w:color="auto"/>
              <w:bottom w:val="single" w:sz="6" w:space="0" w:color="auto"/>
              <w:right w:val="single" w:sz="6" w:space="0" w:color="auto"/>
            </w:tcBorders>
          </w:tcPr>
          <w:p w14:paraId="4A98F00F" w14:textId="77777777" w:rsidR="00B97365" w:rsidRDefault="00000000">
            <w:pPr>
              <w:tabs>
                <w:tab w:val="left" w:pos="93"/>
              </w:tabs>
              <w:spacing w:before="0" w:after="200" w:line="276" w:lineRule="auto"/>
              <w:jc w:val="left"/>
              <w:rPr>
                <w:rFonts w:cs="Calibri"/>
                <w:sz w:val="16"/>
                <w:szCs w:val="16"/>
                <w:lang w:eastAsia="en-GB" w:bidi="ar-SA"/>
              </w:rPr>
            </w:pPr>
            <w:r>
              <w:rPr>
                <w:rFonts w:cs="Calibri"/>
                <w:sz w:val="16"/>
                <w:szCs w:val="16"/>
                <w:lang w:eastAsia="en-GB" w:bidi="ar-SA"/>
              </w:rPr>
              <w:t>2</w:t>
            </w:r>
          </w:p>
        </w:tc>
        <w:tc>
          <w:tcPr>
            <w:tcW w:w="3782" w:type="dxa"/>
            <w:tcBorders>
              <w:top w:val="single" w:sz="6" w:space="0" w:color="auto"/>
              <w:left w:val="single" w:sz="6" w:space="0" w:color="auto"/>
              <w:bottom w:val="single" w:sz="6" w:space="0" w:color="auto"/>
              <w:right w:val="single" w:sz="6" w:space="0" w:color="auto"/>
            </w:tcBorders>
          </w:tcPr>
          <w:p w14:paraId="683E3DE6" w14:textId="77777777" w:rsidR="00B97365" w:rsidRDefault="00000000">
            <w:pPr>
              <w:tabs>
                <w:tab w:val="left" w:pos="124"/>
              </w:tabs>
              <w:spacing w:before="0" w:after="200" w:line="276" w:lineRule="auto"/>
              <w:jc w:val="left"/>
              <w:rPr>
                <w:rFonts w:cs="Calibri"/>
                <w:sz w:val="16"/>
                <w:szCs w:val="16"/>
                <w:lang w:eastAsia="en-GB" w:bidi="ar-SA"/>
              </w:rPr>
            </w:pPr>
            <w:r>
              <w:rPr>
                <w:rFonts w:cs="Calibri"/>
                <w:sz w:val="16"/>
                <w:szCs w:val="16"/>
                <w:lang w:eastAsia="en-GB" w:bidi="ar-SA"/>
              </w:rPr>
              <w:t>Port number (integer)</w:t>
            </w:r>
          </w:p>
        </w:tc>
        <w:tc>
          <w:tcPr>
            <w:tcW w:w="0" w:type="auto"/>
            <w:tcBorders>
              <w:top w:val="single" w:sz="6" w:space="0" w:color="auto"/>
              <w:left w:val="single" w:sz="6" w:space="0" w:color="auto"/>
              <w:bottom w:val="single" w:sz="6" w:space="0" w:color="auto"/>
              <w:right w:val="single" w:sz="4" w:space="0" w:color="auto"/>
            </w:tcBorders>
          </w:tcPr>
          <w:p w14:paraId="36D98137"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7EB2AFA"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7354DB3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A3</w:t>
            </w:r>
          </w:p>
        </w:tc>
        <w:tc>
          <w:tcPr>
            <w:tcW w:w="0" w:type="auto"/>
            <w:tcBorders>
              <w:top w:val="single" w:sz="6" w:space="0" w:color="auto"/>
              <w:left w:val="single" w:sz="6" w:space="0" w:color="auto"/>
              <w:bottom w:val="single" w:sz="6" w:space="0" w:color="auto"/>
              <w:right w:val="single" w:sz="6" w:space="0" w:color="auto"/>
            </w:tcBorders>
          </w:tcPr>
          <w:p w14:paraId="196B0A07" w14:textId="77777777" w:rsidR="00B97365" w:rsidRDefault="00000000">
            <w:pPr>
              <w:tabs>
                <w:tab w:val="left" w:pos="101"/>
              </w:tabs>
              <w:spacing w:before="0" w:after="200" w:line="276" w:lineRule="auto"/>
              <w:jc w:val="left"/>
              <w:rPr>
                <w:rFonts w:cs="Calibri"/>
                <w:sz w:val="16"/>
                <w:szCs w:val="16"/>
                <w:lang w:eastAsia="en-GB" w:bidi="ar-SA"/>
              </w:rPr>
            </w:pPr>
            <w:r>
              <w:rPr>
                <w:rFonts w:cs="Calibri"/>
                <w:sz w:val="16"/>
                <w:szCs w:val="16"/>
                <w:lang w:eastAsia="en-GB" w:bidi="ar-SA"/>
              </w:rPr>
              <w:t>0-n</w:t>
            </w:r>
          </w:p>
        </w:tc>
        <w:tc>
          <w:tcPr>
            <w:tcW w:w="7122" w:type="dxa"/>
            <w:gridSpan w:val="3"/>
            <w:tcBorders>
              <w:top w:val="single" w:sz="6" w:space="0" w:color="auto"/>
              <w:left w:val="single" w:sz="6" w:space="0" w:color="auto"/>
              <w:bottom w:val="single" w:sz="6" w:space="0" w:color="auto"/>
              <w:right w:val="single" w:sz="6" w:space="0" w:color="auto"/>
            </w:tcBorders>
          </w:tcPr>
          <w:p w14:paraId="3A6C6CCF" w14:textId="77777777" w:rsidR="00B97365" w:rsidRDefault="00000000">
            <w:pPr>
              <w:spacing w:before="0"/>
              <w:jc w:val="left"/>
              <w:rPr>
                <w:rFonts w:cs="Calibri"/>
                <w:b/>
                <w:sz w:val="16"/>
                <w:szCs w:val="16"/>
                <w:lang w:eastAsia="en-GB" w:bidi="ar-SA"/>
              </w:rPr>
            </w:pPr>
            <w:r>
              <w:rPr>
                <w:rFonts w:cs="Calibri"/>
                <w:b/>
                <w:sz w:val="16"/>
                <w:szCs w:val="16"/>
                <w:lang w:eastAsia="en-GB" w:bidi="ar-SA"/>
              </w:rPr>
              <w:t>Proprietary parameters</w:t>
            </w:r>
          </w:p>
          <w:p w14:paraId="6C9718D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Additional parameters that MAY be supported by the eUICC implementation</w:t>
            </w:r>
          </w:p>
        </w:tc>
        <w:tc>
          <w:tcPr>
            <w:tcW w:w="0" w:type="auto"/>
            <w:tcBorders>
              <w:top w:val="single" w:sz="6" w:space="0" w:color="auto"/>
              <w:left w:val="single" w:sz="6" w:space="0" w:color="auto"/>
              <w:bottom w:val="single" w:sz="6" w:space="0" w:color="auto"/>
              <w:right w:val="single" w:sz="4" w:space="0" w:color="auto"/>
            </w:tcBorders>
          </w:tcPr>
          <w:p w14:paraId="7BA1C40D" w14:textId="77777777" w:rsidR="00B97365" w:rsidRDefault="00000000">
            <w:pPr>
              <w:tabs>
                <w:tab w:val="left" w:pos="45"/>
              </w:tabs>
              <w:spacing w:before="0" w:after="200" w:line="276" w:lineRule="auto"/>
              <w:jc w:val="center"/>
              <w:rPr>
                <w:rFonts w:cs="Calibri"/>
                <w:sz w:val="16"/>
                <w:szCs w:val="16"/>
                <w:lang w:eastAsia="en-GB" w:bidi="ar-SA"/>
              </w:rPr>
            </w:pPr>
            <w:r>
              <w:rPr>
                <w:rFonts w:cs="Calibri"/>
                <w:sz w:val="16"/>
                <w:szCs w:val="16"/>
                <w:lang w:eastAsia="en-GB" w:bidi="ar-SA"/>
              </w:rPr>
              <w:t>C</w:t>
            </w:r>
          </w:p>
        </w:tc>
      </w:tr>
      <w:tr w:rsidR="00B97365" w14:paraId="05E47B13" w14:textId="77777777">
        <w:trPr>
          <w:cantSplit/>
          <w:jc w:val="center"/>
        </w:trPr>
        <w:tc>
          <w:tcPr>
            <w:tcW w:w="9016" w:type="dxa"/>
            <w:gridSpan w:val="6"/>
            <w:tcBorders>
              <w:top w:val="single" w:sz="6" w:space="0" w:color="auto"/>
              <w:left w:val="single" w:sz="4" w:space="0" w:color="auto"/>
              <w:bottom w:val="single" w:sz="4" w:space="0" w:color="auto"/>
              <w:right w:val="single" w:sz="4" w:space="0" w:color="auto"/>
            </w:tcBorders>
          </w:tcPr>
          <w:p w14:paraId="63DC5CD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This structure can contain more than one TLVs with tag ‘A2’ to provide more than one IP/port couples.</w:t>
            </w:r>
          </w:p>
          <w:p w14:paraId="17E34BE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If the SM-SR uses Tag ‘A5’ with a length of zero then neither of the fields above are required to be present. </w:t>
            </w:r>
          </w:p>
        </w:tc>
      </w:tr>
    </w:tbl>
    <w:p w14:paraId="29522F51" w14:textId="77777777" w:rsidR="00B97365" w:rsidRDefault="00000000">
      <w:pPr>
        <w:numPr>
          <w:ilvl w:val="0"/>
          <w:numId w:val="14"/>
        </w:numPr>
        <w:tabs>
          <w:tab w:val="left" w:pos="1009"/>
        </w:tabs>
        <w:spacing w:after="200" w:line="276" w:lineRule="auto"/>
        <w:jc w:val="center"/>
        <w:rPr>
          <w:rFonts w:cs="Arial"/>
          <w:b/>
          <w:lang w:val="en-US" w:eastAsia="de-DE" w:bidi="ar-SA"/>
        </w:rPr>
      </w:pPr>
      <w:r>
        <w:rPr>
          <w:rFonts w:cs="Arial"/>
          <w:b/>
          <w:lang w:eastAsia="de-DE" w:bidi="ar-SA"/>
        </w:rPr>
        <w:t>: DNS</w:t>
      </w:r>
      <w:r>
        <w:rPr>
          <w:rFonts w:cs="Arial"/>
          <w:b/>
          <w:lang w:eastAsia="de-DE"/>
        </w:rPr>
        <w:t xml:space="preserve"> </w:t>
      </w:r>
      <w:r>
        <w:rPr>
          <w:rFonts w:cs="Arial"/>
          <w:b/>
          <w:lang w:eastAsia="de-DE" w:bidi="ar-SA"/>
        </w:rPr>
        <w:t>Parameters</w:t>
      </w:r>
    </w:p>
    <w:p w14:paraId="50EDFEBB" w14:textId="590C32DD" w:rsidR="00B97365" w:rsidRDefault="00000000">
      <w:pPr>
        <w:spacing w:before="0" w:after="200" w:line="276" w:lineRule="auto"/>
        <w:jc w:val="left"/>
        <w:rPr>
          <w:rFonts w:cs="Arial"/>
          <w:szCs w:val="22"/>
          <w:lang w:val="en-US" w:eastAsia="en-GB" w:bidi="ar-SA"/>
        </w:rPr>
      </w:pPr>
      <w:r>
        <w:rPr>
          <w:szCs w:val="22"/>
          <w:lang w:val="en-US" w:eastAsia="en-GB" w:bidi="ar-SA"/>
        </w:rPr>
        <w:t>The values of the profile-specific connectivity parameters, used by the eUICC to open the BIP channel to communicate with the DNS Resolver Server, are those defined in the H</w:t>
      </w:r>
      <w:r>
        <w:rPr>
          <w:rFonts w:cs="Arial"/>
          <w:szCs w:val="22"/>
          <w:lang w:val="en-US" w:eastAsia="en-GB" w:bidi="ar-SA"/>
        </w:rPr>
        <w:t xml:space="preserve">TTPS Connectivity Parameters of the currently Enabled ISD-P defined in </w:t>
      </w:r>
      <w:r>
        <w:rPr>
          <w:rFonts w:cs="Arial"/>
          <w:szCs w:val="22"/>
          <w:lang w:val="en-US" w:eastAsia="en-GB" w:bidi="ar-SA"/>
        </w:rPr>
        <w:fldChar w:fldCharType="begin"/>
      </w:r>
      <w:r>
        <w:rPr>
          <w:rFonts w:cs="Arial"/>
          <w:szCs w:val="22"/>
          <w:lang w:val="en-US" w:eastAsia="en-GB" w:bidi="ar-SA"/>
        </w:rPr>
        <w:instrText xml:space="preserve"> REF _Ref483302303 \r \h  \* MERGEFORMAT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Table 95</w:t>
      </w:r>
      <w:r>
        <w:rPr>
          <w:rFonts w:cs="Arial"/>
          <w:szCs w:val="22"/>
          <w:lang w:val="en-US" w:eastAsia="en-GB" w:bidi="ar-SA"/>
        </w:rPr>
        <w:fldChar w:fldCharType="end"/>
      </w:r>
      <w:r>
        <w:rPr>
          <w:rFonts w:cs="Arial"/>
          <w:szCs w:val="22"/>
          <w:lang w:val="en-US" w:eastAsia="en-GB" w:bidi="ar-SA"/>
        </w:rPr>
        <w:t>.</w:t>
      </w:r>
    </w:p>
    <w:p w14:paraId="555230A3" w14:textId="77777777" w:rsidR="00B97365" w:rsidRDefault="00000000">
      <w:pPr>
        <w:spacing w:before="0" w:after="200" w:line="276" w:lineRule="auto"/>
        <w:jc w:val="left"/>
        <w:rPr>
          <w:szCs w:val="22"/>
          <w:lang w:val="en-US" w:eastAsia="en-GB" w:bidi="ar-SA"/>
        </w:rPr>
      </w:pPr>
      <w:r>
        <w:rPr>
          <w:szCs w:val="22"/>
          <w:lang w:val="en-US" w:eastAsia="en-GB" w:bidi="ar-SA"/>
        </w:rPr>
        <w:t>If the SM-SR does not support a DNS Resolver Server, then it SHALL set the IP address in the HTTPS Connectivity Parameters of the ISD-R as defined in GlobalPlatform Card Specification Amendment B [8].</w:t>
      </w:r>
    </w:p>
    <w:p w14:paraId="4D20BBD9" w14:textId="77777777" w:rsidR="00B97365" w:rsidRDefault="00B97365">
      <w:pPr>
        <w:rPr>
          <w:lang w:val="en-US" w:eastAsia="en-GB" w:bidi="ar-SA"/>
        </w:rPr>
      </w:pPr>
    </w:p>
    <w:p w14:paraId="7BD35D7A" w14:textId="77777777" w:rsidR="00B97365" w:rsidRDefault="00000000">
      <w:pPr>
        <w:spacing w:before="0" w:after="200" w:line="276" w:lineRule="auto"/>
        <w:jc w:val="left"/>
        <w:rPr>
          <w:b/>
          <w:i/>
          <w:szCs w:val="22"/>
          <w:lang w:val="en-US" w:eastAsia="en-GB" w:bidi="ar-SA"/>
        </w:rPr>
      </w:pPr>
      <w:bookmarkStart w:id="2489" w:name="_Toc420594573"/>
      <w:r>
        <w:rPr>
          <w:rFonts w:cs="Arial"/>
          <w:b/>
          <w:i/>
          <w:szCs w:val="22"/>
          <w:lang w:val="en-US" w:eastAsia="en-GB" w:bidi="ar-SA"/>
        </w:rPr>
        <w:t>Response Message</w:t>
      </w:r>
      <w:bookmarkEnd w:id="2489"/>
    </w:p>
    <w:p w14:paraId="76B615DE" w14:textId="77777777" w:rsidR="00B97365" w:rsidRDefault="00000000">
      <w:pPr>
        <w:spacing w:before="0" w:after="200" w:line="276" w:lineRule="auto"/>
        <w:jc w:val="left"/>
        <w:rPr>
          <w:b/>
          <w:i/>
          <w:szCs w:val="22"/>
          <w:lang w:val="en-US" w:eastAsia="en-GB" w:bidi="ar-SA"/>
        </w:rPr>
      </w:pPr>
      <w:bookmarkStart w:id="2490" w:name="_Toc420594574"/>
      <w:r>
        <w:rPr>
          <w:rFonts w:cs="Arial"/>
          <w:b/>
          <w:i/>
          <w:szCs w:val="22"/>
          <w:lang w:val="en-US" w:eastAsia="en-GB" w:bidi="ar-SA"/>
        </w:rPr>
        <w:t>Data Field Returned in the Response Message:</w:t>
      </w:r>
      <w:bookmarkEnd w:id="2490"/>
    </w:p>
    <w:p w14:paraId="4271CBED" w14:textId="77777777" w:rsidR="00B97365" w:rsidRDefault="00000000">
      <w:pPr>
        <w:spacing w:before="0" w:after="200" w:line="276" w:lineRule="auto"/>
        <w:jc w:val="left"/>
        <w:rPr>
          <w:rFonts w:asciiTheme="minorHAnsi" w:hAnsiTheme="minorHAnsi" w:cstheme="minorHAnsi"/>
          <w:color w:val="000000"/>
          <w:sz w:val="20"/>
          <w:lang w:eastAsia="en-GB" w:bidi="ar-SA"/>
        </w:rPr>
      </w:pPr>
      <w:r>
        <w:rPr>
          <w:rFonts w:cs="Arial"/>
          <w:szCs w:val="22"/>
          <w:lang w:val="en-US" w:eastAsia="en-GB" w:bidi="ar-SA"/>
        </w:rPr>
        <w:t>The data field of the response message SHALL NOT be present.</w:t>
      </w:r>
    </w:p>
    <w:p w14:paraId="22A91AB1" w14:textId="77777777" w:rsidR="00B97365" w:rsidRDefault="00000000">
      <w:pPr>
        <w:spacing w:before="0" w:after="200" w:line="276" w:lineRule="auto"/>
        <w:jc w:val="left"/>
        <w:rPr>
          <w:b/>
          <w:i/>
          <w:szCs w:val="22"/>
          <w:lang w:val="en-US" w:eastAsia="en-GB" w:bidi="ar-SA"/>
        </w:rPr>
      </w:pPr>
      <w:bookmarkStart w:id="2491" w:name="_Toc420594575"/>
      <w:r>
        <w:rPr>
          <w:rFonts w:cs="Arial"/>
          <w:b/>
          <w:i/>
          <w:szCs w:val="22"/>
          <w:lang w:val="en-US" w:eastAsia="en-GB" w:bidi="ar-SA"/>
        </w:rPr>
        <w:t>Processing State returned in the Response Message:</w:t>
      </w:r>
      <w:bookmarkEnd w:id="2491"/>
    </w:p>
    <w:p w14:paraId="4C71B8BD" w14:textId="0A1A1462" w:rsidR="00B97365" w:rsidRDefault="00000000">
      <w:pPr>
        <w:spacing w:before="0" w:after="200" w:line="276" w:lineRule="auto"/>
        <w:jc w:val="left"/>
        <w:rPr>
          <w:szCs w:val="22"/>
          <w:lang w:val="en-US" w:eastAsia="en-GB" w:bidi="ar-SA"/>
        </w:rPr>
      </w:pPr>
      <w:bookmarkStart w:id="2492" w:name="_Toc420594576"/>
      <w:r>
        <w:rPr>
          <w:rFonts w:cs="Arial"/>
          <w:szCs w:val="22"/>
          <w:lang w:val="en-US" w:eastAsia="en-GB" w:bidi="ar-SA"/>
        </w:rPr>
        <w:t xml:space="preserve">See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11.11.2.</w:t>
      </w:r>
      <w:bookmarkEnd w:id="2492"/>
      <w:r>
        <w:rPr>
          <w:szCs w:val="22"/>
          <w:lang w:val="en-US" w:eastAsia="en-GB" w:bidi="ar-SA"/>
        </w:rPr>
        <w:t xml:space="preserve"> </w:t>
      </w:r>
    </w:p>
    <w:p w14:paraId="41C90C97" w14:textId="77777777" w:rsidR="00B97365" w:rsidRDefault="00B97365">
      <w:pPr>
        <w:spacing w:before="0" w:after="200" w:line="276" w:lineRule="auto"/>
        <w:jc w:val="left"/>
        <w:rPr>
          <w:rFonts w:cs="Arial"/>
          <w:szCs w:val="22"/>
          <w:lang w:val="en-US" w:eastAsia="en-GB" w:bidi="ar-SA"/>
        </w:rPr>
      </w:pPr>
    </w:p>
    <w:p w14:paraId="58F4E634"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493" w:name="_Toc368932237"/>
      <w:bookmarkStart w:id="2494" w:name="_Ref367972946"/>
      <w:bookmarkStart w:id="2495" w:name="_Ref481768760"/>
      <w:bookmarkStart w:id="2496" w:name="_Toc1977316"/>
      <w:bookmarkStart w:id="2497" w:name="_Toc37062475"/>
      <w:r>
        <w:rPr>
          <w:rFonts w:ascii="Arial Bold" w:eastAsia="Times New Roman" w:hAnsi="Arial Bold" w:cs="Arial"/>
          <w:b/>
          <w:iCs/>
          <w:szCs w:val="28"/>
          <w:lang w:eastAsia="en-US"/>
        </w:rPr>
        <w:t>Handle Default Notification</w:t>
      </w:r>
      <w:bookmarkEnd w:id="2493"/>
      <w:bookmarkEnd w:id="2494"/>
      <w:bookmarkEnd w:id="2495"/>
      <w:bookmarkEnd w:id="2496"/>
      <w:bookmarkEnd w:id="2497"/>
    </w:p>
    <w:p w14:paraId="46304191" w14:textId="77777777" w:rsidR="00B97365" w:rsidRDefault="00000000">
      <w:pPr>
        <w:spacing w:before="0" w:after="200" w:line="276" w:lineRule="auto"/>
        <w:jc w:val="left"/>
        <w:rPr>
          <w:szCs w:val="22"/>
          <w:lang w:val="en-US" w:eastAsia="en-GB" w:bidi="ar-SA"/>
        </w:rPr>
      </w:pPr>
      <w:bookmarkStart w:id="2498" w:name="_Toc420594577"/>
      <w:r>
        <w:rPr>
          <w:rFonts w:cs="Arial"/>
          <w:b/>
          <w:szCs w:val="22"/>
          <w:lang w:val="en-US" w:eastAsia="en-GB" w:bidi="ar-SA"/>
        </w:rPr>
        <w:t>Function name:</w:t>
      </w:r>
      <w:r>
        <w:rPr>
          <w:szCs w:val="22"/>
          <w:lang w:val="en-US" w:eastAsia="en-GB" w:bidi="ar-SA"/>
        </w:rPr>
        <w:t xml:space="preserve"> HandleDefaultNotification</w:t>
      </w:r>
      <w:bookmarkEnd w:id="2498"/>
    </w:p>
    <w:p w14:paraId="44502800" w14:textId="77777777" w:rsidR="00B97365" w:rsidRDefault="00000000">
      <w:pPr>
        <w:spacing w:before="0" w:after="200" w:line="276" w:lineRule="auto"/>
        <w:jc w:val="left"/>
        <w:rPr>
          <w:szCs w:val="22"/>
          <w:lang w:eastAsia="en-GB" w:bidi="ar-SA"/>
        </w:rPr>
      </w:pPr>
      <w:r>
        <w:rPr>
          <w:rFonts w:cs="Arial"/>
          <w:b/>
          <w:szCs w:val="22"/>
          <w:lang w:val="en-US" w:eastAsia="en-GB" w:bidi="ar-SA"/>
        </w:rPr>
        <w:t>Related Procedures:</w:t>
      </w:r>
      <w:r>
        <w:rPr>
          <w:szCs w:val="22"/>
          <w:lang w:val="en-US" w:eastAsia="en-GB" w:bidi="ar-SA"/>
        </w:rPr>
        <w:t xml:space="preserve"> Profile Enabling, Profile Enabling via SM-DP, Profile Disabling, Fall-Back Activation Procedure</w:t>
      </w:r>
    </w:p>
    <w:p w14:paraId="521B570C" w14:textId="77777777" w:rsidR="00B97365" w:rsidRDefault="00000000">
      <w:pPr>
        <w:spacing w:before="0" w:after="200" w:line="276" w:lineRule="auto"/>
        <w:jc w:val="left"/>
        <w:rPr>
          <w:szCs w:val="22"/>
          <w:lang w:val="en-US" w:eastAsia="en-GB" w:bidi="ar-SA"/>
        </w:rPr>
      </w:pPr>
      <w:bookmarkStart w:id="2499" w:name="_Toc420594578"/>
      <w:r>
        <w:rPr>
          <w:rFonts w:cs="Arial"/>
          <w:b/>
          <w:szCs w:val="22"/>
          <w:lang w:val="en-US" w:eastAsia="en-GB" w:bidi="ar-SA"/>
        </w:rPr>
        <w:t>Function group:</w:t>
      </w:r>
      <w:r>
        <w:rPr>
          <w:szCs w:val="22"/>
          <w:lang w:val="en-US" w:eastAsia="en-GB" w:bidi="ar-SA"/>
        </w:rPr>
        <w:t xml:space="preserve"> eUICC Management</w:t>
      </w:r>
      <w:bookmarkEnd w:id="2499"/>
    </w:p>
    <w:p w14:paraId="7DE75966" w14:textId="77777777" w:rsidR="00B97365" w:rsidRDefault="00000000">
      <w:pPr>
        <w:spacing w:before="0" w:after="200" w:line="276" w:lineRule="auto"/>
        <w:jc w:val="left"/>
        <w:rPr>
          <w:szCs w:val="22"/>
          <w:lang w:val="en-US" w:eastAsia="en-GB" w:bidi="ar-SA"/>
        </w:rPr>
      </w:pPr>
      <w:bookmarkStart w:id="2500" w:name="_Toc420594579"/>
      <w:r>
        <w:rPr>
          <w:rFonts w:cs="Arial"/>
          <w:b/>
          <w:szCs w:val="22"/>
          <w:lang w:val="en-US" w:eastAsia="en-GB" w:bidi="ar-SA"/>
        </w:rPr>
        <w:t>Function Provider entity:</w:t>
      </w:r>
      <w:r>
        <w:rPr>
          <w:szCs w:val="22"/>
          <w:lang w:val="en-US" w:eastAsia="en-GB" w:bidi="ar-SA"/>
        </w:rPr>
        <w:t xml:space="preserve"> ISD-R</w:t>
      </w:r>
      <w:bookmarkEnd w:id="2500"/>
    </w:p>
    <w:p w14:paraId="2F5D896E" w14:textId="77777777" w:rsidR="00B97365" w:rsidRDefault="00000000">
      <w:pPr>
        <w:spacing w:before="0" w:after="200" w:line="276" w:lineRule="auto"/>
        <w:jc w:val="left"/>
        <w:rPr>
          <w:rFonts w:cs="Calibri"/>
          <w:szCs w:val="22"/>
          <w:lang w:eastAsia="en-GB" w:bidi="ar-SA"/>
        </w:rPr>
      </w:pPr>
      <w:r>
        <w:rPr>
          <w:rFonts w:cs="Arial"/>
          <w:b/>
          <w:szCs w:val="22"/>
          <w:lang w:val="en-US" w:eastAsia="en-GB" w:bidi="ar-SA"/>
        </w:rPr>
        <w:t xml:space="preserve">Description: </w:t>
      </w:r>
      <w:r>
        <w:rPr>
          <w:szCs w:val="22"/>
          <w:lang w:eastAsia="en-GB" w:bidi="ar-SA"/>
        </w:rPr>
        <w:t>This function provides a default notification from the eUICC to the SM-SR.</w:t>
      </w:r>
    </w:p>
    <w:p w14:paraId="326DFFAD" w14:textId="77777777" w:rsidR="00B97365" w:rsidRDefault="00000000">
      <w:pPr>
        <w:spacing w:before="0" w:after="200" w:line="276" w:lineRule="auto"/>
        <w:jc w:val="left"/>
        <w:rPr>
          <w:b/>
          <w:szCs w:val="22"/>
          <w:u w:val="single"/>
          <w:lang w:val="en-US" w:eastAsia="en-GB" w:bidi="ar-SA"/>
        </w:rPr>
      </w:pPr>
      <w:bookmarkStart w:id="2501" w:name="_Toc420594580"/>
      <w:r>
        <w:rPr>
          <w:rFonts w:cs="Arial"/>
          <w:b/>
          <w:szCs w:val="22"/>
          <w:u w:val="single"/>
          <w:lang w:val="en-US" w:eastAsia="en-GB" w:bidi="ar-SA"/>
        </w:rPr>
        <w:lastRenderedPageBreak/>
        <w:t>Parameters:</w:t>
      </w:r>
      <w:bookmarkEnd w:id="2501"/>
    </w:p>
    <w:p w14:paraId="40F66AF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EID</w:t>
      </w:r>
    </w:p>
    <w:p w14:paraId="4872346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 AID</w:t>
      </w:r>
    </w:p>
    <w:p w14:paraId="6051803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Mobile Equipment Identification (for example MEID, IMEI)</w:t>
      </w:r>
    </w:p>
    <w:p w14:paraId="31B01F7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Notification Sequence number</w:t>
      </w:r>
    </w:p>
    <w:p w14:paraId="4CB4B4A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Notification type</w:t>
      </w:r>
    </w:p>
    <w:p w14:paraId="4B837E5A" w14:textId="77777777" w:rsidR="00B97365" w:rsidRDefault="00B97365">
      <w:pPr>
        <w:tabs>
          <w:tab w:val="left" w:pos="680"/>
        </w:tabs>
        <w:spacing w:before="0" w:after="200" w:line="276" w:lineRule="auto"/>
        <w:contextualSpacing/>
        <w:jc w:val="left"/>
        <w:rPr>
          <w:rFonts w:cs="Arial"/>
          <w:szCs w:val="22"/>
          <w:lang w:eastAsia="en-GB" w:bidi="ar-SA"/>
        </w:rPr>
      </w:pPr>
    </w:p>
    <w:p w14:paraId="0E931D10" w14:textId="77777777" w:rsidR="00B97365" w:rsidRDefault="00000000">
      <w:pPr>
        <w:spacing w:before="0" w:after="200" w:line="276" w:lineRule="auto"/>
        <w:jc w:val="left"/>
        <w:rPr>
          <w:b/>
          <w:szCs w:val="22"/>
          <w:u w:val="single"/>
          <w:lang w:val="en-US" w:eastAsia="en-GB" w:bidi="ar-SA"/>
        </w:rPr>
      </w:pPr>
      <w:bookmarkStart w:id="2502" w:name="_Toc420594581"/>
      <w:r>
        <w:rPr>
          <w:rFonts w:cs="Arial"/>
          <w:b/>
          <w:szCs w:val="22"/>
          <w:u w:val="single"/>
          <w:lang w:val="en-US" w:eastAsia="en-GB" w:bidi="ar-SA"/>
        </w:rPr>
        <w:t>Prerequisites:</w:t>
      </w:r>
      <w:bookmarkEnd w:id="2502"/>
    </w:p>
    <w:p w14:paraId="3CCEA489" w14:textId="77777777" w:rsidR="00B97365" w:rsidRDefault="00000000">
      <w:pPr>
        <w:spacing w:before="0" w:after="200" w:line="276" w:lineRule="auto"/>
        <w:jc w:val="left"/>
        <w:rPr>
          <w:rFonts w:cs="Arial"/>
          <w:b/>
          <w:i/>
          <w:szCs w:val="22"/>
          <w:lang w:eastAsia="en-GB" w:bidi="ar-SA"/>
        </w:rPr>
      </w:pPr>
      <w:r>
        <w:rPr>
          <w:rFonts w:cs="Arial"/>
          <w:szCs w:val="22"/>
          <w:lang w:eastAsia="en-GB" w:bidi="ar-SA"/>
        </w:rPr>
        <w:t xml:space="preserve">The eUICC has received a notification of network attachment. </w:t>
      </w:r>
    </w:p>
    <w:p w14:paraId="5E8AFEAC" w14:textId="77777777" w:rsidR="00B97365" w:rsidRDefault="00000000">
      <w:pPr>
        <w:spacing w:before="0" w:after="200" w:line="276" w:lineRule="auto"/>
        <w:ind w:left="720"/>
        <w:jc w:val="left"/>
        <w:rPr>
          <w:rFonts w:cs="Arial"/>
          <w:szCs w:val="22"/>
          <w:lang w:eastAsia="en-GB" w:bidi="ar-SA"/>
        </w:rPr>
      </w:pPr>
      <w:r>
        <w:rPr>
          <w:rFonts w:cs="Arial"/>
          <w:szCs w:val="22"/>
          <w:lang w:eastAsia="en-GB" w:bidi="ar-SA"/>
        </w:rPr>
        <w:t>Note: There is no single method implemented by all devices to notify the eUICC of network attachment. The eUICC MAY rely on various heuristics to determine that network attachment is effective. As a worst-case safeguard, the eUICC SHALL attempt to send profile change notifications within a time interval of 10 STATUS events after card reset.</w:t>
      </w:r>
    </w:p>
    <w:p w14:paraId="155903B3" w14:textId="77777777" w:rsidR="00B97365" w:rsidRDefault="00000000">
      <w:pPr>
        <w:spacing w:before="0" w:after="200" w:line="276" w:lineRule="auto"/>
        <w:jc w:val="left"/>
        <w:rPr>
          <w:rFonts w:cs="Arial"/>
          <w:b/>
          <w:szCs w:val="22"/>
          <w:lang w:eastAsia="en-GB" w:bidi="ar-SA"/>
        </w:rPr>
      </w:pPr>
      <w:r>
        <w:rPr>
          <w:rFonts w:cs="Arial"/>
          <w:b/>
          <w:szCs w:val="22"/>
          <w:lang w:eastAsia="en-GB" w:bidi="ar-SA"/>
        </w:rPr>
        <w:t>Notification Message</w:t>
      </w:r>
    </w:p>
    <w:p w14:paraId="12EF9D22" w14:textId="1FDB7CF9" w:rsidR="00B97365" w:rsidRDefault="00000000">
      <w:pPr>
        <w:spacing w:before="0" w:after="200" w:line="276" w:lineRule="auto"/>
        <w:jc w:val="left"/>
        <w:rPr>
          <w:szCs w:val="22"/>
          <w:lang w:val="en-US" w:eastAsia="en-GB" w:bidi="ar-SA"/>
        </w:rPr>
      </w:pPr>
      <w:r>
        <w:rPr>
          <w:rFonts w:cs="Arial"/>
          <w:szCs w:val="22"/>
          <w:lang w:val="en-US" w:eastAsia="en-GB" w:bidi="ar-SA"/>
        </w:rPr>
        <w:t xml:space="preserve">The eUICC notification is composed of a single BER-TLV tag including several COMPREHENSION-TLV data objects; the COMPREHENSION-TLV format is defined in ETSI TS 102 223 </w:t>
      </w:r>
      <w:r>
        <w:fldChar w:fldCharType="begin"/>
      </w:r>
      <w:r>
        <w:rPr>
          <w:szCs w:val="22"/>
          <w:lang w:val="en-US" w:eastAsia="en-GB" w:bidi="ar-SA"/>
        </w:rPr>
        <w:instrText xml:space="preserve"> REF _Ref421633137 \r \h </w:instrText>
      </w:r>
      <w:r>
        <w:fldChar w:fldCharType="separate"/>
      </w:r>
      <w:r w:rsidR="001D5AD9">
        <w:rPr>
          <w:szCs w:val="22"/>
          <w:lang w:val="en-US" w:eastAsia="en-GB" w:bidi="ar-SA"/>
        </w:rPr>
        <w:t>[3]</w:t>
      </w:r>
      <w:r>
        <w:fldChar w:fldCharType="end"/>
      </w:r>
      <w:r>
        <w:rPr>
          <w:szCs w:val="22"/>
          <w:lang w:val="en-US" w:eastAsia="en-GB" w:bidi="ar-SA"/>
        </w:rPr>
        <w:t>.</w:t>
      </w:r>
    </w:p>
    <w:tbl>
      <w:tblPr>
        <w:tblW w:w="83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6600"/>
        <w:tblLayout w:type="fixed"/>
        <w:tblCellMar>
          <w:left w:w="0" w:type="dxa"/>
          <w:right w:w="0" w:type="dxa"/>
        </w:tblCellMar>
        <w:tblLook w:val="04A0" w:firstRow="1" w:lastRow="0" w:firstColumn="1" w:lastColumn="0" w:noHBand="0" w:noVBand="1"/>
      </w:tblPr>
      <w:tblGrid>
        <w:gridCol w:w="2092"/>
        <w:gridCol w:w="850"/>
        <w:gridCol w:w="4394"/>
        <w:gridCol w:w="992"/>
      </w:tblGrid>
      <w:tr w:rsidR="00B97365" w14:paraId="5C15E2F6" w14:textId="77777777">
        <w:tc>
          <w:tcPr>
            <w:tcW w:w="2093" w:type="dxa"/>
            <w:tcBorders>
              <w:top w:val="single" w:sz="4" w:space="0" w:color="auto"/>
              <w:left w:val="single" w:sz="4" w:space="0" w:color="auto"/>
              <w:bottom w:val="single" w:sz="6" w:space="0" w:color="auto"/>
              <w:right w:val="single" w:sz="6" w:space="0" w:color="auto"/>
            </w:tcBorders>
            <w:shd w:val="clear" w:color="auto" w:fill="C00000"/>
            <w:tcMar>
              <w:top w:w="0" w:type="dxa"/>
              <w:left w:w="108" w:type="dxa"/>
              <w:bottom w:w="0" w:type="dxa"/>
              <w:right w:w="108" w:type="dxa"/>
            </w:tcMar>
            <w:hideMark/>
          </w:tcPr>
          <w:p w14:paraId="0D6BD02F" w14:textId="77777777" w:rsidR="00B97365" w:rsidRDefault="00000000">
            <w:pPr>
              <w:jc w:val="center"/>
              <w:rPr>
                <w:rFonts w:cs="Calibri"/>
                <w:b/>
                <w:bCs/>
                <w:color w:val="FFFFFF"/>
                <w:sz w:val="16"/>
                <w:szCs w:val="16"/>
              </w:rPr>
            </w:pPr>
            <w:r>
              <w:rPr>
                <w:rFonts w:cs="Calibri"/>
                <w:b/>
                <w:bCs/>
                <w:color w:val="FFFFFF"/>
                <w:sz w:val="16"/>
                <w:szCs w:val="16"/>
              </w:rPr>
              <w:t>Description</w:t>
            </w:r>
          </w:p>
        </w:tc>
        <w:tc>
          <w:tcPr>
            <w:tcW w:w="850" w:type="dxa"/>
            <w:tcBorders>
              <w:top w:val="single" w:sz="4" w:space="0" w:color="auto"/>
              <w:left w:val="single" w:sz="6" w:space="0" w:color="auto"/>
              <w:bottom w:val="single" w:sz="6" w:space="0" w:color="auto"/>
              <w:right w:val="single" w:sz="6" w:space="0" w:color="auto"/>
            </w:tcBorders>
            <w:shd w:val="clear" w:color="auto" w:fill="C00000"/>
            <w:hideMark/>
          </w:tcPr>
          <w:p w14:paraId="7C1E62B4" w14:textId="77777777" w:rsidR="00B97365" w:rsidRDefault="00000000">
            <w:pPr>
              <w:jc w:val="center"/>
              <w:rPr>
                <w:rFonts w:cs="Calibri"/>
                <w:b/>
                <w:bCs/>
                <w:color w:val="FFFFFF"/>
                <w:sz w:val="16"/>
                <w:szCs w:val="16"/>
              </w:rPr>
            </w:pPr>
            <w:r>
              <w:rPr>
                <w:rFonts w:cs="Calibri"/>
                <w:b/>
                <w:bCs/>
                <w:color w:val="FFFFFF"/>
                <w:sz w:val="16"/>
                <w:szCs w:val="16"/>
              </w:rPr>
              <w:t>Length</w:t>
            </w:r>
          </w:p>
          <w:p w14:paraId="34BD861B" w14:textId="77777777" w:rsidR="00B97365" w:rsidRDefault="00000000">
            <w:pPr>
              <w:jc w:val="center"/>
              <w:rPr>
                <w:rFonts w:cs="Calibri"/>
                <w:b/>
                <w:bCs/>
                <w:color w:val="FFFFFF"/>
                <w:sz w:val="16"/>
                <w:szCs w:val="16"/>
              </w:rPr>
            </w:pPr>
            <w:r>
              <w:rPr>
                <w:rFonts w:cs="Calibri"/>
                <w:b/>
                <w:bCs/>
                <w:color w:val="FFFFFF"/>
                <w:sz w:val="16"/>
                <w:szCs w:val="16"/>
              </w:rPr>
              <w:t>(bytes)</w:t>
            </w:r>
          </w:p>
        </w:tc>
        <w:tc>
          <w:tcPr>
            <w:tcW w:w="4395" w:type="dxa"/>
            <w:tcBorders>
              <w:top w:val="single" w:sz="4" w:space="0" w:color="auto"/>
              <w:left w:val="single" w:sz="6" w:space="0" w:color="auto"/>
              <w:bottom w:val="single" w:sz="6" w:space="0" w:color="auto"/>
              <w:right w:val="single" w:sz="6" w:space="0" w:color="auto"/>
            </w:tcBorders>
            <w:shd w:val="clear" w:color="auto" w:fill="C00000"/>
            <w:tcMar>
              <w:top w:w="0" w:type="dxa"/>
              <w:left w:w="108" w:type="dxa"/>
              <w:bottom w:w="0" w:type="dxa"/>
              <w:right w:w="108" w:type="dxa"/>
            </w:tcMar>
            <w:hideMark/>
          </w:tcPr>
          <w:p w14:paraId="65CE973E" w14:textId="77777777" w:rsidR="00B97365" w:rsidRDefault="00000000">
            <w:pPr>
              <w:jc w:val="center"/>
              <w:rPr>
                <w:rFonts w:cs="Calibri"/>
                <w:b/>
                <w:bCs/>
                <w:color w:val="FFFFFF"/>
                <w:sz w:val="16"/>
                <w:szCs w:val="16"/>
              </w:rPr>
            </w:pPr>
            <w:r>
              <w:rPr>
                <w:rFonts w:cs="Calibri"/>
                <w:b/>
                <w:bCs/>
                <w:color w:val="FFFFFF"/>
                <w:sz w:val="16"/>
                <w:szCs w:val="16"/>
              </w:rPr>
              <w:t>Value</w:t>
            </w:r>
          </w:p>
        </w:tc>
        <w:tc>
          <w:tcPr>
            <w:tcW w:w="992" w:type="dxa"/>
            <w:tcBorders>
              <w:top w:val="single" w:sz="4" w:space="0" w:color="auto"/>
              <w:left w:val="single" w:sz="6" w:space="0" w:color="auto"/>
              <w:bottom w:val="single" w:sz="6" w:space="0" w:color="auto"/>
              <w:right w:val="single" w:sz="4" w:space="0" w:color="auto"/>
            </w:tcBorders>
            <w:shd w:val="clear" w:color="auto" w:fill="C00000"/>
            <w:hideMark/>
          </w:tcPr>
          <w:p w14:paraId="418D12C5" w14:textId="77777777" w:rsidR="00B97365" w:rsidRDefault="00000000">
            <w:pPr>
              <w:jc w:val="center"/>
              <w:rPr>
                <w:rFonts w:cs="Calibri"/>
                <w:b/>
                <w:bCs/>
                <w:color w:val="FFFFFF"/>
                <w:sz w:val="16"/>
                <w:szCs w:val="16"/>
              </w:rPr>
            </w:pPr>
            <w:r>
              <w:rPr>
                <w:rFonts w:cs="Calibri"/>
                <w:b/>
                <w:bCs/>
                <w:color w:val="FFFFFF"/>
                <w:sz w:val="16"/>
                <w:szCs w:val="16"/>
              </w:rPr>
              <w:t>MOC</w:t>
            </w:r>
          </w:p>
        </w:tc>
      </w:tr>
      <w:tr w:rsidR="00B97365" w14:paraId="6F68B012" w14:textId="77777777">
        <w:tc>
          <w:tcPr>
            <w:tcW w:w="2093"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4EB0D793" w14:textId="77777777" w:rsidR="00B97365" w:rsidRDefault="00000000">
            <w:pPr>
              <w:rPr>
                <w:rFonts w:cs="Calibri"/>
                <w:sz w:val="16"/>
                <w:szCs w:val="16"/>
              </w:rPr>
            </w:pPr>
            <w:r>
              <w:rPr>
                <w:rFonts w:cs="Calibri"/>
                <w:sz w:val="16"/>
                <w:szCs w:val="16"/>
              </w:rPr>
              <w:t>eUICC notification tag</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14:paraId="714B04EE" w14:textId="77777777" w:rsidR="00B97365" w:rsidRDefault="00000000">
            <w:pPr>
              <w:jc w:val="center"/>
              <w:rPr>
                <w:rFonts w:cs="Calibri"/>
                <w:sz w:val="16"/>
                <w:szCs w:val="16"/>
              </w:rPr>
            </w:pPr>
            <w:r>
              <w:rPr>
                <w:rFonts w:cs="Calibri"/>
                <w:sz w:val="16"/>
                <w:szCs w:val="16"/>
              </w:rPr>
              <w:t>1</w:t>
            </w:r>
          </w:p>
        </w:tc>
        <w:tc>
          <w:tcPr>
            <w:tcW w:w="4395"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66091931" w14:textId="7F8D9D5D" w:rsidR="00B97365" w:rsidRDefault="00000000">
            <w:pPr>
              <w:keepNext/>
              <w:rPr>
                <w:rFonts w:cs="Calibri"/>
                <w:sz w:val="16"/>
                <w:szCs w:val="16"/>
              </w:rPr>
            </w:pPr>
            <w:r>
              <w:rPr>
                <w:rFonts w:cs="Calibri"/>
                <w:sz w:val="16"/>
                <w:szCs w:val="16"/>
              </w:rPr>
              <w:t xml:space="preserve">‘E1’.  To avoid conflicts with the values defined in ETSI TS 101 220 </w:t>
            </w:r>
            <w:r>
              <w:fldChar w:fldCharType="begin"/>
            </w:r>
            <w:r>
              <w:rPr>
                <w:rFonts w:cs="Calibri"/>
                <w:sz w:val="16"/>
                <w:szCs w:val="16"/>
              </w:rPr>
              <w:instrText xml:space="preserve"> REF _Ref421631806 \r \h </w:instrText>
            </w:r>
            <w:r>
              <w:fldChar w:fldCharType="separate"/>
            </w:r>
            <w:r w:rsidR="001D5AD9">
              <w:rPr>
                <w:rFonts w:cs="Calibri"/>
                <w:sz w:val="16"/>
                <w:szCs w:val="16"/>
              </w:rPr>
              <w:t>[2]</w:t>
            </w:r>
            <w:r>
              <w:fldChar w:fldCharType="end"/>
            </w:r>
            <w:r>
              <w:rPr>
                <w:rFonts w:cs="Calibri"/>
                <w:sz w:val="16"/>
                <w:szCs w:val="16"/>
              </w:rPr>
              <w:t>, a tag from the proprietary class is used.</w:t>
            </w:r>
          </w:p>
        </w:tc>
        <w:tc>
          <w:tcPr>
            <w:tcW w:w="992" w:type="dxa"/>
            <w:tcBorders>
              <w:top w:val="single" w:sz="6" w:space="0" w:color="auto"/>
              <w:left w:val="single" w:sz="6" w:space="0" w:color="auto"/>
              <w:bottom w:val="single" w:sz="6" w:space="0" w:color="auto"/>
              <w:right w:val="single" w:sz="4" w:space="0" w:color="auto"/>
            </w:tcBorders>
            <w:shd w:val="clear" w:color="auto" w:fill="FFFFFF"/>
            <w:hideMark/>
          </w:tcPr>
          <w:p w14:paraId="06185B06" w14:textId="77777777" w:rsidR="00B97365" w:rsidRDefault="00000000">
            <w:pPr>
              <w:keepNext/>
              <w:jc w:val="center"/>
              <w:rPr>
                <w:rFonts w:cs="Calibri"/>
                <w:sz w:val="16"/>
                <w:szCs w:val="16"/>
              </w:rPr>
            </w:pPr>
            <w:r>
              <w:rPr>
                <w:rFonts w:cs="Calibri"/>
                <w:sz w:val="16"/>
                <w:szCs w:val="16"/>
              </w:rPr>
              <w:t>M</w:t>
            </w:r>
          </w:p>
        </w:tc>
      </w:tr>
      <w:tr w:rsidR="00B97365" w14:paraId="2A23A88E" w14:textId="77777777">
        <w:tc>
          <w:tcPr>
            <w:tcW w:w="2093"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1E3799E7" w14:textId="77777777" w:rsidR="00B97365" w:rsidRDefault="00000000">
            <w:pPr>
              <w:rPr>
                <w:rFonts w:cs="Calibri"/>
                <w:sz w:val="16"/>
                <w:szCs w:val="16"/>
              </w:rPr>
            </w:pPr>
            <w:r>
              <w:rPr>
                <w:rFonts w:cs="Calibri"/>
                <w:sz w:val="16"/>
                <w:szCs w:val="16"/>
              </w:rPr>
              <w:t>Length (A+B+C+D+E+F)</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14:paraId="5617F408" w14:textId="77777777" w:rsidR="00B97365" w:rsidRDefault="00000000">
            <w:pPr>
              <w:jc w:val="center"/>
              <w:rPr>
                <w:rFonts w:cs="Calibri"/>
                <w:sz w:val="16"/>
                <w:szCs w:val="16"/>
              </w:rPr>
            </w:pPr>
            <w:r>
              <w:rPr>
                <w:rFonts w:cs="Calibri"/>
                <w:sz w:val="16"/>
                <w:szCs w:val="16"/>
              </w:rPr>
              <w:t>1 or 2</w:t>
            </w:r>
          </w:p>
        </w:tc>
        <w:tc>
          <w:tcPr>
            <w:tcW w:w="4395"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6FF9AAD3" w14:textId="77777777" w:rsidR="00B97365" w:rsidRDefault="00000000">
            <w:pPr>
              <w:keepNext/>
              <w:rPr>
                <w:rFonts w:cs="Calibri"/>
                <w:sz w:val="16"/>
                <w:szCs w:val="16"/>
              </w:rPr>
            </w:pPr>
            <w:r>
              <w:rPr>
                <w:rFonts w:cs="Calibri"/>
                <w:sz w:val="16"/>
                <w:szCs w:val="16"/>
              </w:rPr>
              <w:t>BER-TLV coding length</w:t>
            </w:r>
          </w:p>
        </w:tc>
        <w:tc>
          <w:tcPr>
            <w:tcW w:w="992" w:type="dxa"/>
            <w:tcBorders>
              <w:top w:val="single" w:sz="6" w:space="0" w:color="auto"/>
              <w:left w:val="single" w:sz="6" w:space="0" w:color="auto"/>
              <w:bottom w:val="single" w:sz="6" w:space="0" w:color="auto"/>
              <w:right w:val="single" w:sz="4" w:space="0" w:color="auto"/>
            </w:tcBorders>
            <w:shd w:val="clear" w:color="auto" w:fill="FFFFFF"/>
            <w:hideMark/>
          </w:tcPr>
          <w:p w14:paraId="581B4B46" w14:textId="77777777" w:rsidR="00B97365" w:rsidRDefault="00000000">
            <w:pPr>
              <w:keepNext/>
              <w:jc w:val="center"/>
              <w:rPr>
                <w:rFonts w:cs="Calibri"/>
                <w:sz w:val="16"/>
                <w:szCs w:val="16"/>
              </w:rPr>
            </w:pPr>
            <w:r>
              <w:rPr>
                <w:rFonts w:cs="Calibri"/>
                <w:sz w:val="16"/>
                <w:szCs w:val="16"/>
              </w:rPr>
              <w:t>M</w:t>
            </w:r>
          </w:p>
        </w:tc>
      </w:tr>
      <w:tr w:rsidR="00B97365" w14:paraId="2C06840E" w14:textId="77777777">
        <w:tc>
          <w:tcPr>
            <w:tcW w:w="2093"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3506072F" w14:textId="77777777" w:rsidR="00B97365" w:rsidRDefault="00000000">
            <w:pPr>
              <w:rPr>
                <w:rFonts w:cs="Calibri"/>
                <w:sz w:val="16"/>
                <w:szCs w:val="16"/>
              </w:rPr>
            </w:pPr>
            <w:r>
              <w:rPr>
                <w:rFonts w:cs="Calibri"/>
                <w:sz w:val="16"/>
                <w:szCs w:val="16"/>
              </w:rPr>
              <w:t>EID</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14:paraId="434E675F" w14:textId="77777777" w:rsidR="00B97365" w:rsidRDefault="00000000">
            <w:pPr>
              <w:jc w:val="center"/>
              <w:rPr>
                <w:rFonts w:cs="Calibri"/>
                <w:sz w:val="16"/>
                <w:szCs w:val="16"/>
              </w:rPr>
            </w:pPr>
            <w:r>
              <w:rPr>
                <w:rFonts w:cs="Calibri"/>
                <w:sz w:val="16"/>
                <w:szCs w:val="16"/>
              </w:rPr>
              <w:t>A</w:t>
            </w:r>
          </w:p>
        </w:tc>
        <w:tc>
          <w:tcPr>
            <w:tcW w:w="4395"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31E0846D" w14:textId="77777777" w:rsidR="00B97365" w:rsidRDefault="00000000">
            <w:pPr>
              <w:keepNext/>
              <w:rPr>
                <w:rFonts w:cs="Calibri"/>
                <w:sz w:val="16"/>
                <w:szCs w:val="16"/>
              </w:rPr>
            </w:pPr>
            <w:r>
              <w:rPr>
                <w:rFonts w:cs="Calibri"/>
                <w:sz w:val="16"/>
                <w:szCs w:val="16"/>
              </w:rPr>
              <w:t xml:space="preserve">See below </w:t>
            </w:r>
          </w:p>
        </w:tc>
        <w:tc>
          <w:tcPr>
            <w:tcW w:w="992" w:type="dxa"/>
            <w:tcBorders>
              <w:top w:val="single" w:sz="6" w:space="0" w:color="auto"/>
              <w:left w:val="single" w:sz="6" w:space="0" w:color="auto"/>
              <w:bottom w:val="single" w:sz="6" w:space="0" w:color="auto"/>
              <w:right w:val="single" w:sz="4" w:space="0" w:color="auto"/>
            </w:tcBorders>
            <w:shd w:val="clear" w:color="auto" w:fill="FFFFFF"/>
            <w:hideMark/>
          </w:tcPr>
          <w:p w14:paraId="0D450611" w14:textId="77777777" w:rsidR="00B97365" w:rsidRDefault="00000000">
            <w:pPr>
              <w:keepNext/>
              <w:jc w:val="center"/>
              <w:rPr>
                <w:rFonts w:cs="Calibri"/>
                <w:sz w:val="16"/>
                <w:szCs w:val="16"/>
              </w:rPr>
            </w:pPr>
            <w:r>
              <w:rPr>
                <w:rFonts w:cs="Calibri"/>
                <w:sz w:val="16"/>
                <w:szCs w:val="16"/>
              </w:rPr>
              <w:t>M</w:t>
            </w:r>
          </w:p>
        </w:tc>
      </w:tr>
      <w:tr w:rsidR="00B97365" w14:paraId="55C841A3" w14:textId="77777777">
        <w:tc>
          <w:tcPr>
            <w:tcW w:w="2093"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1104EAAD" w14:textId="77777777" w:rsidR="00B97365" w:rsidRDefault="00000000">
            <w:pPr>
              <w:rPr>
                <w:rFonts w:cs="Calibri"/>
                <w:sz w:val="16"/>
                <w:szCs w:val="16"/>
              </w:rPr>
            </w:pPr>
            <w:r>
              <w:rPr>
                <w:rFonts w:cs="Calibri"/>
                <w:sz w:val="16"/>
                <w:szCs w:val="16"/>
              </w:rPr>
              <w:t>Notification type</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14:paraId="04AB9D4F" w14:textId="77777777" w:rsidR="00B97365" w:rsidRDefault="00000000">
            <w:pPr>
              <w:jc w:val="center"/>
              <w:rPr>
                <w:rFonts w:cs="Calibri"/>
                <w:sz w:val="16"/>
                <w:szCs w:val="16"/>
              </w:rPr>
            </w:pPr>
            <w:r>
              <w:rPr>
                <w:rFonts w:cs="Calibri"/>
                <w:sz w:val="16"/>
                <w:szCs w:val="16"/>
              </w:rPr>
              <w:t>B</w:t>
            </w:r>
          </w:p>
        </w:tc>
        <w:tc>
          <w:tcPr>
            <w:tcW w:w="4395"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46BE847D" w14:textId="77777777" w:rsidR="00B97365" w:rsidRDefault="00000000">
            <w:pPr>
              <w:keepNext/>
              <w:rPr>
                <w:rFonts w:cs="Calibri"/>
                <w:sz w:val="16"/>
                <w:szCs w:val="16"/>
              </w:rPr>
            </w:pPr>
            <w:r>
              <w:rPr>
                <w:rFonts w:cs="Calibri"/>
                <w:sz w:val="16"/>
                <w:szCs w:val="16"/>
              </w:rPr>
              <w:t>See below</w:t>
            </w:r>
          </w:p>
        </w:tc>
        <w:tc>
          <w:tcPr>
            <w:tcW w:w="992" w:type="dxa"/>
            <w:tcBorders>
              <w:top w:val="single" w:sz="6" w:space="0" w:color="auto"/>
              <w:left w:val="single" w:sz="6" w:space="0" w:color="auto"/>
              <w:bottom w:val="single" w:sz="6" w:space="0" w:color="auto"/>
              <w:right w:val="single" w:sz="4" w:space="0" w:color="auto"/>
            </w:tcBorders>
            <w:shd w:val="clear" w:color="auto" w:fill="FFFFFF"/>
            <w:hideMark/>
          </w:tcPr>
          <w:p w14:paraId="15ED905F" w14:textId="77777777" w:rsidR="00B97365" w:rsidRDefault="00000000">
            <w:pPr>
              <w:keepNext/>
              <w:jc w:val="center"/>
              <w:rPr>
                <w:rFonts w:cs="Calibri"/>
                <w:sz w:val="16"/>
                <w:szCs w:val="16"/>
              </w:rPr>
            </w:pPr>
            <w:r>
              <w:rPr>
                <w:rFonts w:cs="Calibri"/>
                <w:sz w:val="16"/>
                <w:szCs w:val="16"/>
              </w:rPr>
              <w:t>M</w:t>
            </w:r>
          </w:p>
        </w:tc>
      </w:tr>
      <w:tr w:rsidR="00B97365" w14:paraId="38C3280F" w14:textId="77777777">
        <w:tc>
          <w:tcPr>
            <w:tcW w:w="2093"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7E8ADBBC" w14:textId="77777777" w:rsidR="00B97365" w:rsidRDefault="00000000">
            <w:pPr>
              <w:rPr>
                <w:rFonts w:cs="Calibri"/>
                <w:sz w:val="16"/>
                <w:szCs w:val="16"/>
              </w:rPr>
            </w:pPr>
            <w:r>
              <w:rPr>
                <w:rFonts w:cs="Calibri"/>
                <w:sz w:val="16"/>
                <w:szCs w:val="16"/>
              </w:rPr>
              <w:t>Notification sequence number</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14:paraId="301CAD1D" w14:textId="77777777" w:rsidR="00B97365" w:rsidRDefault="00000000">
            <w:pPr>
              <w:jc w:val="center"/>
              <w:rPr>
                <w:rFonts w:cs="Calibri"/>
                <w:sz w:val="16"/>
                <w:szCs w:val="16"/>
              </w:rPr>
            </w:pPr>
            <w:r>
              <w:rPr>
                <w:rFonts w:cs="Calibri"/>
                <w:sz w:val="16"/>
                <w:szCs w:val="16"/>
              </w:rPr>
              <w:t>C</w:t>
            </w:r>
          </w:p>
        </w:tc>
        <w:tc>
          <w:tcPr>
            <w:tcW w:w="4395"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572A0814" w14:textId="77777777" w:rsidR="00B97365" w:rsidRDefault="00000000">
            <w:pPr>
              <w:keepNext/>
              <w:rPr>
                <w:rFonts w:cs="Calibri"/>
                <w:sz w:val="16"/>
                <w:szCs w:val="16"/>
              </w:rPr>
            </w:pPr>
            <w:r>
              <w:rPr>
                <w:rFonts w:cs="Calibri"/>
                <w:sz w:val="16"/>
                <w:szCs w:val="16"/>
              </w:rPr>
              <w:t>See below</w:t>
            </w:r>
          </w:p>
        </w:tc>
        <w:tc>
          <w:tcPr>
            <w:tcW w:w="992" w:type="dxa"/>
            <w:tcBorders>
              <w:top w:val="single" w:sz="6" w:space="0" w:color="auto"/>
              <w:left w:val="single" w:sz="6" w:space="0" w:color="auto"/>
              <w:bottom w:val="single" w:sz="6" w:space="0" w:color="auto"/>
              <w:right w:val="single" w:sz="4" w:space="0" w:color="auto"/>
            </w:tcBorders>
            <w:shd w:val="clear" w:color="auto" w:fill="FFFFFF"/>
            <w:hideMark/>
          </w:tcPr>
          <w:p w14:paraId="0284B93E" w14:textId="77777777" w:rsidR="00B97365" w:rsidRDefault="00000000">
            <w:pPr>
              <w:keepNext/>
              <w:jc w:val="center"/>
              <w:rPr>
                <w:rFonts w:cs="Calibri"/>
                <w:sz w:val="16"/>
                <w:szCs w:val="16"/>
              </w:rPr>
            </w:pPr>
            <w:r>
              <w:rPr>
                <w:rFonts w:cs="Calibri"/>
                <w:sz w:val="16"/>
                <w:szCs w:val="16"/>
              </w:rPr>
              <w:t>M</w:t>
            </w:r>
          </w:p>
        </w:tc>
      </w:tr>
      <w:tr w:rsidR="00B97365" w14:paraId="17B831EB" w14:textId="77777777">
        <w:tc>
          <w:tcPr>
            <w:tcW w:w="2093"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31E4AB8F" w14:textId="77777777" w:rsidR="00B97365" w:rsidRDefault="00000000">
            <w:pPr>
              <w:rPr>
                <w:rFonts w:cs="Calibri"/>
                <w:sz w:val="16"/>
                <w:szCs w:val="16"/>
              </w:rPr>
            </w:pPr>
            <w:r>
              <w:rPr>
                <w:rFonts w:cs="Calibri"/>
                <w:sz w:val="16"/>
                <w:szCs w:val="16"/>
                <w:lang w:val="en-US"/>
              </w:rPr>
              <w:t>ISD-P- AID</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14:paraId="2C964AD7" w14:textId="77777777" w:rsidR="00B97365" w:rsidRDefault="00000000">
            <w:pPr>
              <w:jc w:val="center"/>
              <w:rPr>
                <w:rFonts w:cs="Calibri"/>
                <w:sz w:val="16"/>
                <w:szCs w:val="16"/>
              </w:rPr>
            </w:pPr>
            <w:r>
              <w:rPr>
                <w:rFonts w:cs="Calibri"/>
                <w:sz w:val="16"/>
                <w:szCs w:val="16"/>
              </w:rPr>
              <w:t>D</w:t>
            </w:r>
          </w:p>
        </w:tc>
        <w:tc>
          <w:tcPr>
            <w:tcW w:w="4395"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1CC1F54C" w14:textId="4BAB3B58" w:rsidR="00B97365" w:rsidRDefault="00000000">
            <w:pPr>
              <w:keepNext/>
              <w:rPr>
                <w:rFonts w:cs="Calibri"/>
                <w:sz w:val="16"/>
                <w:szCs w:val="16"/>
              </w:rPr>
            </w:pPr>
            <w:r>
              <w:rPr>
                <w:rFonts w:cs="Calibri"/>
                <w:sz w:val="16"/>
                <w:szCs w:val="16"/>
              </w:rPr>
              <w:t xml:space="preserve">See ETSI TS 102 223 </w:t>
            </w:r>
            <w:r>
              <w:fldChar w:fldCharType="begin"/>
            </w:r>
            <w:r>
              <w:rPr>
                <w:rFonts w:cs="Calibri"/>
                <w:sz w:val="16"/>
                <w:szCs w:val="16"/>
              </w:rPr>
              <w:instrText xml:space="preserve"> REF _Ref421633137 \r \h </w:instrText>
            </w:r>
            <w:r>
              <w:fldChar w:fldCharType="separate"/>
            </w:r>
            <w:r w:rsidR="001D5AD9">
              <w:rPr>
                <w:rFonts w:cs="Calibri"/>
                <w:sz w:val="16"/>
                <w:szCs w:val="16"/>
              </w:rPr>
              <w:t>[3]</w:t>
            </w:r>
            <w:r>
              <w:fldChar w:fldCharType="end"/>
            </w:r>
            <w:r>
              <w:rPr>
                <w:rFonts w:cs="Arial"/>
                <w:sz w:val="16"/>
                <w:szCs w:val="16"/>
                <w:lang w:val="en-US"/>
              </w:rPr>
              <w:t>, clause 8.60</w:t>
            </w:r>
          </w:p>
        </w:tc>
        <w:tc>
          <w:tcPr>
            <w:tcW w:w="992" w:type="dxa"/>
            <w:tcBorders>
              <w:top w:val="single" w:sz="6" w:space="0" w:color="auto"/>
              <w:left w:val="single" w:sz="6" w:space="0" w:color="auto"/>
              <w:bottom w:val="single" w:sz="6" w:space="0" w:color="auto"/>
              <w:right w:val="single" w:sz="4" w:space="0" w:color="auto"/>
            </w:tcBorders>
            <w:shd w:val="clear" w:color="auto" w:fill="FFFFFF"/>
            <w:hideMark/>
          </w:tcPr>
          <w:p w14:paraId="57EC1A42" w14:textId="77777777" w:rsidR="00B97365" w:rsidRDefault="00000000">
            <w:pPr>
              <w:keepNext/>
              <w:jc w:val="center"/>
              <w:rPr>
                <w:rFonts w:cs="Calibri"/>
                <w:sz w:val="16"/>
                <w:szCs w:val="16"/>
              </w:rPr>
            </w:pPr>
            <w:r>
              <w:rPr>
                <w:rFonts w:cs="Calibri"/>
                <w:sz w:val="16"/>
                <w:szCs w:val="16"/>
              </w:rPr>
              <w:t>M</w:t>
            </w:r>
          </w:p>
        </w:tc>
      </w:tr>
      <w:tr w:rsidR="00B97365" w14:paraId="123B06E0" w14:textId="77777777">
        <w:tc>
          <w:tcPr>
            <w:tcW w:w="2093"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105FB2FB" w14:textId="77777777" w:rsidR="00B97365" w:rsidRDefault="00000000">
            <w:pPr>
              <w:rPr>
                <w:rFonts w:cs="Calibri"/>
                <w:sz w:val="16"/>
                <w:szCs w:val="16"/>
              </w:rPr>
            </w:pPr>
            <w:r>
              <w:rPr>
                <w:rFonts w:cs="Calibri"/>
                <w:sz w:val="16"/>
                <w:szCs w:val="16"/>
              </w:rPr>
              <w:t>IMEI</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14:paraId="4261F9E9" w14:textId="77777777" w:rsidR="00B97365" w:rsidRDefault="00000000">
            <w:pPr>
              <w:jc w:val="center"/>
              <w:rPr>
                <w:rFonts w:cs="Calibri"/>
                <w:sz w:val="16"/>
                <w:szCs w:val="16"/>
              </w:rPr>
            </w:pPr>
            <w:r>
              <w:rPr>
                <w:rFonts w:cs="Calibri"/>
                <w:sz w:val="16"/>
                <w:szCs w:val="16"/>
              </w:rPr>
              <w:t>E</w:t>
            </w:r>
          </w:p>
        </w:tc>
        <w:tc>
          <w:tcPr>
            <w:tcW w:w="4395"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43BD385C" w14:textId="29D4F06D" w:rsidR="00B97365" w:rsidRDefault="00000000">
            <w:pPr>
              <w:keepNext/>
              <w:rPr>
                <w:rFonts w:cs="Calibri"/>
                <w:sz w:val="16"/>
                <w:szCs w:val="16"/>
              </w:rPr>
            </w:pPr>
            <w:r>
              <w:rPr>
                <w:rFonts w:cs="Calibri"/>
                <w:sz w:val="16"/>
                <w:szCs w:val="16"/>
              </w:rPr>
              <w:t xml:space="preserve">See ETSI TS 102 223 </w:t>
            </w:r>
            <w:r>
              <w:fldChar w:fldCharType="begin"/>
            </w:r>
            <w:r>
              <w:rPr>
                <w:rFonts w:cs="Calibri"/>
                <w:sz w:val="16"/>
                <w:szCs w:val="16"/>
              </w:rPr>
              <w:instrText xml:space="preserve"> REF _Ref421633137 \r \h </w:instrText>
            </w:r>
            <w:r>
              <w:fldChar w:fldCharType="separate"/>
            </w:r>
            <w:r w:rsidR="001D5AD9">
              <w:rPr>
                <w:rFonts w:cs="Calibri"/>
                <w:sz w:val="16"/>
                <w:szCs w:val="16"/>
              </w:rPr>
              <w:t>[3]</w:t>
            </w:r>
            <w:r>
              <w:fldChar w:fldCharType="end"/>
            </w:r>
            <w:r>
              <w:rPr>
                <w:rFonts w:cs="Arial"/>
                <w:sz w:val="16"/>
                <w:szCs w:val="16"/>
                <w:lang w:val="en-US"/>
              </w:rPr>
              <w:t>, clause 8.20</w:t>
            </w:r>
          </w:p>
        </w:tc>
        <w:tc>
          <w:tcPr>
            <w:tcW w:w="992" w:type="dxa"/>
            <w:tcBorders>
              <w:top w:val="single" w:sz="6" w:space="0" w:color="auto"/>
              <w:left w:val="single" w:sz="6" w:space="0" w:color="auto"/>
              <w:bottom w:val="single" w:sz="6" w:space="0" w:color="auto"/>
              <w:right w:val="single" w:sz="4" w:space="0" w:color="auto"/>
            </w:tcBorders>
            <w:shd w:val="clear" w:color="auto" w:fill="FFFFFF"/>
            <w:hideMark/>
          </w:tcPr>
          <w:p w14:paraId="4D27FDA8" w14:textId="77777777" w:rsidR="00B97365" w:rsidRDefault="00000000">
            <w:pPr>
              <w:keepNext/>
              <w:jc w:val="center"/>
              <w:rPr>
                <w:rFonts w:cs="Calibri"/>
                <w:sz w:val="16"/>
                <w:szCs w:val="16"/>
              </w:rPr>
            </w:pPr>
            <w:r>
              <w:rPr>
                <w:rFonts w:cs="Calibri"/>
                <w:sz w:val="16"/>
                <w:szCs w:val="16"/>
              </w:rPr>
              <w:t>C</w:t>
            </w:r>
          </w:p>
        </w:tc>
      </w:tr>
      <w:tr w:rsidR="00B97365" w14:paraId="014806BC" w14:textId="77777777">
        <w:tc>
          <w:tcPr>
            <w:tcW w:w="2093" w:type="dxa"/>
            <w:tcBorders>
              <w:top w:val="single" w:sz="6" w:space="0" w:color="auto"/>
              <w:left w:val="single" w:sz="4" w:space="0" w:color="auto"/>
              <w:bottom w:val="single" w:sz="4" w:space="0" w:color="auto"/>
              <w:right w:val="single" w:sz="6" w:space="0" w:color="auto"/>
            </w:tcBorders>
            <w:shd w:val="clear" w:color="auto" w:fill="FFFFFF"/>
            <w:tcMar>
              <w:top w:w="0" w:type="dxa"/>
              <w:left w:w="108" w:type="dxa"/>
              <w:bottom w:w="0" w:type="dxa"/>
              <w:right w:w="108" w:type="dxa"/>
            </w:tcMar>
            <w:hideMark/>
          </w:tcPr>
          <w:p w14:paraId="7D8387FA" w14:textId="77777777" w:rsidR="00B97365" w:rsidRDefault="00000000">
            <w:pPr>
              <w:rPr>
                <w:rFonts w:cs="Calibri"/>
                <w:sz w:val="16"/>
                <w:szCs w:val="16"/>
              </w:rPr>
            </w:pPr>
            <w:r>
              <w:rPr>
                <w:rFonts w:cs="Calibri"/>
                <w:sz w:val="16"/>
                <w:szCs w:val="16"/>
              </w:rPr>
              <w:t>MEID</w:t>
            </w:r>
          </w:p>
        </w:tc>
        <w:tc>
          <w:tcPr>
            <w:tcW w:w="850" w:type="dxa"/>
            <w:tcBorders>
              <w:top w:val="single" w:sz="6" w:space="0" w:color="auto"/>
              <w:left w:val="single" w:sz="6" w:space="0" w:color="auto"/>
              <w:bottom w:val="single" w:sz="4" w:space="0" w:color="auto"/>
              <w:right w:val="single" w:sz="6" w:space="0" w:color="auto"/>
            </w:tcBorders>
            <w:shd w:val="clear" w:color="auto" w:fill="FFFFFF"/>
            <w:hideMark/>
          </w:tcPr>
          <w:p w14:paraId="3A048266" w14:textId="77777777" w:rsidR="00B97365" w:rsidRDefault="00000000">
            <w:pPr>
              <w:jc w:val="center"/>
              <w:rPr>
                <w:rFonts w:cs="Calibri"/>
                <w:sz w:val="16"/>
                <w:szCs w:val="16"/>
              </w:rPr>
            </w:pPr>
            <w:r>
              <w:rPr>
                <w:rFonts w:cs="Calibri"/>
                <w:sz w:val="16"/>
                <w:szCs w:val="16"/>
              </w:rPr>
              <w:t>F</w:t>
            </w:r>
          </w:p>
        </w:tc>
        <w:tc>
          <w:tcPr>
            <w:tcW w:w="4395" w:type="dxa"/>
            <w:tcBorders>
              <w:top w:val="single" w:sz="6" w:space="0" w:color="auto"/>
              <w:left w:val="single" w:sz="6" w:space="0" w:color="auto"/>
              <w:bottom w:val="single" w:sz="4" w:space="0" w:color="auto"/>
              <w:right w:val="single" w:sz="6" w:space="0" w:color="auto"/>
            </w:tcBorders>
            <w:shd w:val="clear" w:color="auto" w:fill="FFFFFF"/>
            <w:tcMar>
              <w:top w:w="0" w:type="dxa"/>
              <w:left w:w="108" w:type="dxa"/>
              <w:bottom w:w="0" w:type="dxa"/>
              <w:right w:w="108" w:type="dxa"/>
            </w:tcMar>
            <w:hideMark/>
          </w:tcPr>
          <w:p w14:paraId="5A0B5134" w14:textId="62EAA436" w:rsidR="00B97365" w:rsidRDefault="00000000">
            <w:pPr>
              <w:keepNext/>
              <w:rPr>
                <w:rFonts w:cs="Calibri"/>
                <w:sz w:val="16"/>
                <w:szCs w:val="16"/>
              </w:rPr>
            </w:pPr>
            <w:r>
              <w:rPr>
                <w:rFonts w:cs="Calibri"/>
                <w:sz w:val="16"/>
                <w:szCs w:val="16"/>
              </w:rPr>
              <w:t xml:space="preserve">See ETSI TS 102 223 </w:t>
            </w:r>
            <w:r>
              <w:fldChar w:fldCharType="begin"/>
            </w:r>
            <w:r>
              <w:rPr>
                <w:rFonts w:cs="Calibri"/>
                <w:sz w:val="16"/>
                <w:szCs w:val="16"/>
              </w:rPr>
              <w:instrText xml:space="preserve"> REF _Ref421633137 \r \h </w:instrText>
            </w:r>
            <w:r>
              <w:fldChar w:fldCharType="separate"/>
            </w:r>
            <w:r w:rsidR="001D5AD9">
              <w:rPr>
                <w:rFonts w:cs="Calibri"/>
                <w:sz w:val="16"/>
                <w:szCs w:val="16"/>
              </w:rPr>
              <w:t>[3]</w:t>
            </w:r>
            <w:r>
              <w:fldChar w:fldCharType="end"/>
            </w:r>
            <w:r>
              <w:rPr>
                <w:rFonts w:cs="Arial"/>
                <w:sz w:val="16"/>
                <w:szCs w:val="16"/>
                <w:lang w:val="en-US"/>
              </w:rPr>
              <w:t>, clause 8.81</w:t>
            </w:r>
          </w:p>
        </w:tc>
        <w:tc>
          <w:tcPr>
            <w:tcW w:w="992" w:type="dxa"/>
            <w:tcBorders>
              <w:top w:val="single" w:sz="6" w:space="0" w:color="auto"/>
              <w:left w:val="single" w:sz="6" w:space="0" w:color="auto"/>
              <w:bottom w:val="single" w:sz="4" w:space="0" w:color="auto"/>
              <w:right w:val="single" w:sz="4" w:space="0" w:color="auto"/>
            </w:tcBorders>
            <w:shd w:val="clear" w:color="auto" w:fill="FFFFFF"/>
            <w:hideMark/>
          </w:tcPr>
          <w:p w14:paraId="7F372309" w14:textId="77777777" w:rsidR="00B97365" w:rsidRDefault="00000000">
            <w:pPr>
              <w:keepNext/>
              <w:jc w:val="center"/>
              <w:rPr>
                <w:rFonts w:cs="Calibri"/>
                <w:sz w:val="16"/>
                <w:szCs w:val="16"/>
              </w:rPr>
            </w:pPr>
            <w:r>
              <w:rPr>
                <w:rFonts w:cs="Calibri"/>
                <w:sz w:val="16"/>
                <w:szCs w:val="16"/>
              </w:rPr>
              <w:t>C</w:t>
            </w:r>
          </w:p>
        </w:tc>
      </w:tr>
    </w:tbl>
    <w:p w14:paraId="43371484"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Data Format for Notification</w:t>
      </w:r>
    </w:p>
    <w:p w14:paraId="331AEAF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IMEI and MEID are optional. In case the eUICC encounters any issue while getting the Mobile Equipment Identification of the Device, no value is provided. If both IMEI and MEID are retrieved, only one could be sent to limit overall message length.</w:t>
      </w:r>
    </w:p>
    <w:p w14:paraId="2AB4D0F6" w14:textId="77777777" w:rsidR="00B97365" w:rsidRDefault="00000000">
      <w:pPr>
        <w:spacing w:before="0" w:after="200" w:line="276" w:lineRule="auto"/>
        <w:jc w:val="left"/>
      </w:pPr>
      <w:bookmarkStart w:id="2503" w:name="_Toc420594582"/>
      <w:r>
        <w:rPr>
          <w:rFonts w:cs="Arial"/>
          <w:b/>
          <w:i/>
          <w:szCs w:val="22"/>
          <w:lang w:val="en-US" w:eastAsia="en-GB" w:bidi="ar-SA"/>
        </w:rPr>
        <w:t>COMPREHENSION</w:t>
      </w:r>
      <w:r>
        <w:rPr>
          <w:b/>
          <w:i/>
        </w:rPr>
        <w:t>-TLV for EID</w:t>
      </w:r>
      <w:bookmarkEnd w:id="2503"/>
    </w:p>
    <w:tbl>
      <w:tblPr>
        <w:tblW w:w="84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6600"/>
        <w:tblLayout w:type="fixed"/>
        <w:tblCellMar>
          <w:left w:w="0" w:type="dxa"/>
          <w:right w:w="0" w:type="dxa"/>
        </w:tblCellMar>
        <w:tblLook w:val="04A0" w:firstRow="1" w:lastRow="0" w:firstColumn="1" w:lastColumn="0" w:noHBand="0" w:noVBand="1"/>
      </w:tblPr>
      <w:tblGrid>
        <w:gridCol w:w="1705"/>
        <w:gridCol w:w="5389"/>
        <w:gridCol w:w="1318"/>
      </w:tblGrid>
      <w:tr w:rsidR="00B97365" w14:paraId="22B445AF" w14:textId="77777777">
        <w:tc>
          <w:tcPr>
            <w:tcW w:w="1705" w:type="dxa"/>
            <w:tcBorders>
              <w:top w:val="single" w:sz="4" w:space="0" w:color="auto"/>
              <w:left w:val="single" w:sz="4" w:space="0" w:color="auto"/>
              <w:bottom w:val="single" w:sz="6" w:space="0" w:color="auto"/>
              <w:right w:val="single" w:sz="6" w:space="0" w:color="auto"/>
            </w:tcBorders>
            <w:shd w:val="clear" w:color="auto" w:fill="C00000"/>
            <w:tcMar>
              <w:top w:w="0" w:type="dxa"/>
              <w:left w:w="108" w:type="dxa"/>
              <w:bottom w:w="0" w:type="dxa"/>
              <w:right w:w="108" w:type="dxa"/>
            </w:tcMar>
            <w:hideMark/>
          </w:tcPr>
          <w:p w14:paraId="75C12EED" w14:textId="77777777" w:rsidR="00B97365" w:rsidRDefault="00000000">
            <w:pPr>
              <w:jc w:val="center"/>
              <w:rPr>
                <w:rFonts w:cs="Calibri"/>
                <w:b/>
                <w:bCs/>
                <w:color w:val="FFFFFF"/>
                <w:sz w:val="16"/>
                <w:szCs w:val="16"/>
              </w:rPr>
            </w:pPr>
            <w:r>
              <w:rPr>
                <w:rFonts w:cs="Calibri"/>
                <w:b/>
                <w:bCs/>
                <w:color w:val="FFFFFF"/>
                <w:sz w:val="16"/>
                <w:szCs w:val="16"/>
              </w:rPr>
              <w:t>Byte(s)</w:t>
            </w:r>
          </w:p>
        </w:tc>
        <w:tc>
          <w:tcPr>
            <w:tcW w:w="5386" w:type="dxa"/>
            <w:tcBorders>
              <w:top w:val="single" w:sz="4" w:space="0" w:color="auto"/>
              <w:left w:val="single" w:sz="6" w:space="0" w:color="auto"/>
              <w:bottom w:val="single" w:sz="6" w:space="0" w:color="auto"/>
              <w:right w:val="single" w:sz="6" w:space="0" w:color="auto"/>
            </w:tcBorders>
            <w:shd w:val="clear" w:color="auto" w:fill="C00000"/>
            <w:hideMark/>
          </w:tcPr>
          <w:p w14:paraId="0F3237D5" w14:textId="77777777" w:rsidR="00B97365" w:rsidRDefault="00000000">
            <w:pPr>
              <w:jc w:val="center"/>
              <w:rPr>
                <w:rFonts w:cs="Calibri"/>
                <w:b/>
                <w:bCs/>
                <w:color w:val="FFFFFF"/>
                <w:sz w:val="16"/>
                <w:szCs w:val="16"/>
              </w:rPr>
            </w:pPr>
            <w:r>
              <w:rPr>
                <w:rFonts w:cs="Calibri"/>
                <w:b/>
                <w:bCs/>
                <w:color w:val="FFFFFF"/>
                <w:sz w:val="16"/>
                <w:szCs w:val="16"/>
              </w:rPr>
              <w:t>Description</w:t>
            </w:r>
          </w:p>
        </w:tc>
        <w:tc>
          <w:tcPr>
            <w:tcW w:w="1317" w:type="dxa"/>
            <w:tcBorders>
              <w:top w:val="single" w:sz="4" w:space="0" w:color="auto"/>
              <w:left w:val="single" w:sz="6" w:space="0" w:color="auto"/>
              <w:bottom w:val="single" w:sz="6" w:space="0" w:color="auto"/>
              <w:right w:val="single" w:sz="4" w:space="0" w:color="auto"/>
            </w:tcBorders>
            <w:shd w:val="clear" w:color="auto" w:fill="C00000"/>
            <w:tcMar>
              <w:top w:w="0" w:type="dxa"/>
              <w:left w:w="108" w:type="dxa"/>
              <w:bottom w:w="0" w:type="dxa"/>
              <w:right w:w="108" w:type="dxa"/>
            </w:tcMar>
            <w:hideMark/>
          </w:tcPr>
          <w:p w14:paraId="14949211" w14:textId="77777777" w:rsidR="00B97365" w:rsidRDefault="00000000">
            <w:pPr>
              <w:jc w:val="center"/>
              <w:rPr>
                <w:rFonts w:cs="Calibri"/>
                <w:b/>
                <w:bCs/>
                <w:color w:val="FFFFFF"/>
                <w:sz w:val="16"/>
                <w:szCs w:val="16"/>
              </w:rPr>
            </w:pPr>
            <w:r>
              <w:rPr>
                <w:rFonts w:cs="Calibri"/>
                <w:b/>
                <w:bCs/>
                <w:color w:val="FFFFFF"/>
                <w:sz w:val="16"/>
                <w:szCs w:val="16"/>
              </w:rPr>
              <w:t>Length</w:t>
            </w:r>
          </w:p>
        </w:tc>
      </w:tr>
      <w:tr w:rsidR="00B97365" w14:paraId="503A0A7B" w14:textId="77777777">
        <w:tc>
          <w:tcPr>
            <w:tcW w:w="170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78E20431" w14:textId="77777777" w:rsidR="00B97365" w:rsidRDefault="00000000">
            <w:pPr>
              <w:jc w:val="center"/>
              <w:rPr>
                <w:rFonts w:cs="Calibri"/>
                <w:sz w:val="16"/>
                <w:szCs w:val="16"/>
              </w:rPr>
            </w:pPr>
            <w:r>
              <w:rPr>
                <w:rFonts w:cs="Calibri"/>
                <w:sz w:val="16"/>
                <w:szCs w:val="16"/>
              </w:rPr>
              <w:t>1</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14:paraId="11C7BFCB" w14:textId="77777777" w:rsidR="00B97365" w:rsidRDefault="00000000">
            <w:pPr>
              <w:rPr>
                <w:rFonts w:cs="Calibri"/>
                <w:sz w:val="16"/>
                <w:szCs w:val="16"/>
              </w:rPr>
            </w:pPr>
            <w:r>
              <w:rPr>
                <w:rFonts w:cs="Calibri"/>
                <w:sz w:val="16"/>
                <w:szCs w:val="16"/>
              </w:rPr>
              <w:t>EID tag, ‘4C’.</w:t>
            </w:r>
          </w:p>
        </w:tc>
        <w:tc>
          <w:tcPr>
            <w:tcW w:w="131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3715891E" w14:textId="77777777" w:rsidR="00B97365" w:rsidRDefault="00000000">
            <w:pPr>
              <w:keepNext/>
              <w:jc w:val="center"/>
              <w:rPr>
                <w:rFonts w:cs="Calibri"/>
                <w:sz w:val="16"/>
                <w:szCs w:val="16"/>
              </w:rPr>
            </w:pPr>
            <w:r>
              <w:rPr>
                <w:rFonts w:cs="Calibri"/>
                <w:sz w:val="16"/>
                <w:szCs w:val="16"/>
              </w:rPr>
              <w:t>1</w:t>
            </w:r>
          </w:p>
        </w:tc>
      </w:tr>
      <w:tr w:rsidR="00B97365" w14:paraId="28656B2B" w14:textId="77777777">
        <w:tc>
          <w:tcPr>
            <w:tcW w:w="170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5DB0EE91" w14:textId="77777777" w:rsidR="00B97365" w:rsidRDefault="00000000">
            <w:pPr>
              <w:jc w:val="center"/>
              <w:rPr>
                <w:rFonts w:cs="Calibri"/>
                <w:sz w:val="16"/>
                <w:szCs w:val="16"/>
              </w:rPr>
            </w:pPr>
            <w:r>
              <w:rPr>
                <w:rFonts w:cs="Calibri"/>
                <w:sz w:val="16"/>
                <w:szCs w:val="16"/>
              </w:rPr>
              <w:t>2</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14:paraId="67BD215E" w14:textId="77777777" w:rsidR="00B97365" w:rsidRDefault="00000000">
            <w:pPr>
              <w:rPr>
                <w:rFonts w:cs="Calibri"/>
                <w:sz w:val="16"/>
                <w:szCs w:val="16"/>
              </w:rPr>
            </w:pPr>
            <w:r>
              <w:rPr>
                <w:rFonts w:cs="Calibri"/>
                <w:sz w:val="16"/>
                <w:szCs w:val="16"/>
              </w:rPr>
              <w:t>Length (X) of the EID (SHALL NOT exceed 16 bytes)</w:t>
            </w:r>
          </w:p>
        </w:tc>
        <w:tc>
          <w:tcPr>
            <w:tcW w:w="131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5DB5F42E" w14:textId="77777777" w:rsidR="00B97365" w:rsidRDefault="00000000">
            <w:pPr>
              <w:keepNext/>
              <w:jc w:val="center"/>
              <w:rPr>
                <w:rFonts w:cs="Calibri"/>
                <w:sz w:val="16"/>
                <w:szCs w:val="16"/>
              </w:rPr>
            </w:pPr>
            <w:r>
              <w:rPr>
                <w:rFonts w:cs="Calibri"/>
                <w:sz w:val="16"/>
                <w:szCs w:val="16"/>
              </w:rPr>
              <w:t>1</w:t>
            </w:r>
          </w:p>
        </w:tc>
      </w:tr>
      <w:tr w:rsidR="00B97365" w14:paraId="30213E3F" w14:textId="77777777">
        <w:tc>
          <w:tcPr>
            <w:tcW w:w="1705" w:type="dxa"/>
            <w:tcBorders>
              <w:top w:val="single" w:sz="6" w:space="0" w:color="auto"/>
              <w:left w:val="single" w:sz="4" w:space="0" w:color="auto"/>
              <w:bottom w:val="single" w:sz="4" w:space="0" w:color="auto"/>
              <w:right w:val="single" w:sz="6" w:space="0" w:color="auto"/>
            </w:tcBorders>
            <w:shd w:val="clear" w:color="auto" w:fill="FFFFFF"/>
            <w:tcMar>
              <w:top w:w="0" w:type="dxa"/>
              <w:left w:w="108" w:type="dxa"/>
              <w:bottom w:w="0" w:type="dxa"/>
              <w:right w:w="108" w:type="dxa"/>
            </w:tcMar>
            <w:hideMark/>
          </w:tcPr>
          <w:p w14:paraId="55CD1E05" w14:textId="77777777" w:rsidR="00B97365" w:rsidRDefault="00000000">
            <w:pPr>
              <w:jc w:val="center"/>
              <w:rPr>
                <w:rFonts w:cs="Calibri"/>
                <w:sz w:val="16"/>
                <w:szCs w:val="16"/>
              </w:rPr>
            </w:pPr>
            <w:r>
              <w:rPr>
                <w:rFonts w:cs="Calibri"/>
                <w:sz w:val="16"/>
                <w:szCs w:val="16"/>
              </w:rPr>
              <w:t>3 to X+2</w:t>
            </w:r>
          </w:p>
        </w:tc>
        <w:tc>
          <w:tcPr>
            <w:tcW w:w="5386" w:type="dxa"/>
            <w:tcBorders>
              <w:top w:val="single" w:sz="6" w:space="0" w:color="auto"/>
              <w:left w:val="single" w:sz="6" w:space="0" w:color="auto"/>
              <w:bottom w:val="single" w:sz="4" w:space="0" w:color="auto"/>
              <w:right w:val="single" w:sz="6" w:space="0" w:color="auto"/>
            </w:tcBorders>
            <w:shd w:val="clear" w:color="auto" w:fill="FFFFFF"/>
            <w:hideMark/>
          </w:tcPr>
          <w:p w14:paraId="39059802" w14:textId="51ABAA32" w:rsidR="00B97365" w:rsidRDefault="00000000">
            <w:pPr>
              <w:rPr>
                <w:rFonts w:cs="Calibri"/>
                <w:sz w:val="16"/>
                <w:szCs w:val="16"/>
              </w:rPr>
            </w:pPr>
            <w:r>
              <w:rPr>
                <w:rFonts w:cs="Calibri"/>
                <w:sz w:val="16"/>
                <w:szCs w:val="16"/>
              </w:rPr>
              <w:t xml:space="preserve">EID value, </w:t>
            </w:r>
            <w:r>
              <w:rPr>
                <w:rFonts w:cs="Calibri"/>
                <w:sz w:val="16"/>
                <w:szCs w:val="16"/>
                <w:lang w:val="en-US"/>
              </w:rPr>
              <w:t xml:space="preserve">as defined in section </w:t>
            </w:r>
            <w:r>
              <w:fldChar w:fldCharType="begin"/>
            </w:r>
            <w:r>
              <w:rPr>
                <w:rFonts w:cs="Calibri"/>
                <w:sz w:val="16"/>
                <w:szCs w:val="16"/>
                <w:lang w:val="en-US"/>
              </w:rPr>
              <w:instrText xml:space="preserve"> REF _Ref367973284 \r \h </w:instrText>
            </w:r>
            <w:r>
              <w:fldChar w:fldCharType="separate"/>
            </w:r>
            <w:r w:rsidR="001D5AD9">
              <w:rPr>
                <w:rFonts w:cs="Calibri"/>
                <w:sz w:val="16"/>
                <w:szCs w:val="16"/>
                <w:lang w:val="en-US"/>
              </w:rPr>
              <w:t>2.2.2</w:t>
            </w:r>
            <w:r>
              <w:fldChar w:fldCharType="end"/>
            </w:r>
            <w:r>
              <w:rPr>
                <w:rFonts w:cs="Calibri"/>
                <w:sz w:val="16"/>
                <w:szCs w:val="16"/>
                <w:lang w:val="en-US"/>
              </w:rPr>
              <w:t>.</w:t>
            </w:r>
          </w:p>
        </w:tc>
        <w:tc>
          <w:tcPr>
            <w:tcW w:w="1317" w:type="dxa"/>
            <w:tcBorders>
              <w:top w:val="single" w:sz="6" w:space="0" w:color="auto"/>
              <w:left w:val="single" w:sz="6"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A557AD" w14:textId="77777777" w:rsidR="00B97365" w:rsidRDefault="00000000">
            <w:pPr>
              <w:keepNext/>
              <w:jc w:val="center"/>
              <w:rPr>
                <w:rFonts w:cs="Calibri"/>
                <w:b/>
                <w:bCs/>
                <w:iCs/>
                <w:sz w:val="16"/>
                <w:szCs w:val="16"/>
              </w:rPr>
            </w:pPr>
            <w:r>
              <w:rPr>
                <w:rFonts w:cs="Calibri"/>
                <w:sz w:val="16"/>
                <w:szCs w:val="16"/>
              </w:rPr>
              <w:t>X</w:t>
            </w:r>
          </w:p>
        </w:tc>
      </w:tr>
    </w:tbl>
    <w:p w14:paraId="065DCBC9"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lastRenderedPageBreak/>
        <w:t>: COMPREHENSION-TLV for EID</w:t>
      </w:r>
      <w:bookmarkStart w:id="2504" w:name="_Toc420594583"/>
    </w:p>
    <w:p w14:paraId="575F89C7" w14:textId="77777777" w:rsidR="00B97365" w:rsidRDefault="00000000">
      <w:pPr>
        <w:spacing w:before="0" w:after="200" w:line="276" w:lineRule="auto"/>
        <w:jc w:val="left"/>
        <w:rPr>
          <w:rFonts w:cs="Arial"/>
        </w:rPr>
      </w:pPr>
      <w:r>
        <w:rPr>
          <w:rFonts w:cs="Arial"/>
          <w:b/>
          <w:i/>
          <w:szCs w:val="22"/>
          <w:lang w:val="en-US" w:eastAsia="en-GB" w:bidi="ar-SA"/>
        </w:rPr>
        <w:t>COMPREHENSION</w:t>
      </w:r>
      <w:r>
        <w:rPr>
          <w:b/>
          <w:i/>
        </w:rPr>
        <w:t>-TLV for Notification type</w:t>
      </w:r>
      <w:bookmarkEnd w:id="2504"/>
    </w:p>
    <w:tbl>
      <w:tblPr>
        <w:tblW w:w="84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6600"/>
        <w:tblLayout w:type="fixed"/>
        <w:tblCellMar>
          <w:left w:w="0" w:type="dxa"/>
          <w:right w:w="0" w:type="dxa"/>
        </w:tblCellMar>
        <w:tblLook w:val="04A0" w:firstRow="1" w:lastRow="0" w:firstColumn="1" w:lastColumn="0" w:noHBand="0" w:noVBand="1"/>
      </w:tblPr>
      <w:tblGrid>
        <w:gridCol w:w="1705"/>
        <w:gridCol w:w="5389"/>
        <w:gridCol w:w="1318"/>
      </w:tblGrid>
      <w:tr w:rsidR="00B97365" w14:paraId="158D8961" w14:textId="77777777">
        <w:tc>
          <w:tcPr>
            <w:tcW w:w="1705" w:type="dxa"/>
            <w:tcBorders>
              <w:top w:val="single" w:sz="4" w:space="0" w:color="auto"/>
              <w:left w:val="single" w:sz="4" w:space="0" w:color="auto"/>
              <w:bottom w:val="single" w:sz="6" w:space="0" w:color="auto"/>
              <w:right w:val="single" w:sz="6" w:space="0" w:color="auto"/>
            </w:tcBorders>
            <w:shd w:val="clear" w:color="auto" w:fill="C00000"/>
            <w:tcMar>
              <w:top w:w="0" w:type="dxa"/>
              <w:left w:w="108" w:type="dxa"/>
              <w:bottom w:w="0" w:type="dxa"/>
              <w:right w:w="108" w:type="dxa"/>
            </w:tcMar>
            <w:hideMark/>
          </w:tcPr>
          <w:p w14:paraId="07357422" w14:textId="77777777" w:rsidR="00B97365" w:rsidRDefault="00000000">
            <w:pPr>
              <w:jc w:val="center"/>
              <w:rPr>
                <w:rFonts w:cs="Calibri"/>
                <w:b/>
                <w:bCs/>
                <w:color w:val="FFFFFF"/>
                <w:sz w:val="16"/>
                <w:szCs w:val="16"/>
              </w:rPr>
            </w:pPr>
            <w:r>
              <w:rPr>
                <w:rFonts w:cs="Calibri"/>
                <w:b/>
                <w:bCs/>
                <w:color w:val="FFFFFF"/>
                <w:sz w:val="16"/>
                <w:szCs w:val="16"/>
              </w:rPr>
              <w:t>Byte(s)</w:t>
            </w:r>
          </w:p>
        </w:tc>
        <w:tc>
          <w:tcPr>
            <w:tcW w:w="5386" w:type="dxa"/>
            <w:tcBorders>
              <w:top w:val="single" w:sz="4" w:space="0" w:color="auto"/>
              <w:left w:val="single" w:sz="6" w:space="0" w:color="auto"/>
              <w:bottom w:val="single" w:sz="6" w:space="0" w:color="auto"/>
              <w:right w:val="single" w:sz="6" w:space="0" w:color="auto"/>
            </w:tcBorders>
            <w:shd w:val="clear" w:color="auto" w:fill="C00000"/>
            <w:hideMark/>
          </w:tcPr>
          <w:p w14:paraId="28B4F1DA" w14:textId="77777777" w:rsidR="00B97365" w:rsidRDefault="00000000">
            <w:pPr>
              <w:jc w:val="center"/>
              <w:rPr>
                <w:rFonts w:cs="Calibri"/>
                <w:b/>
                <w:bCs/>
                <w:color w:val="FFFFFF"/>
                <w:sz w:val="16"/>
                <w:szCs w:val="16"/>
              </w:rPr>
            </w:pPr>
            <w:r>
              <w:rPr>
                <w:rFonts w:cs="Calibri"/>
                <w:b/>
                <w:bCs/>
                <w:color w:val="FFFFFF"/>
                <w:sz w:val="16"/>
                <w:szCs w:val="16"/>
              </w:rPr>
              <w:t>Description</w:t>
            </w:r>
          </w:p>
        </w:tc>
        <w:tc>
          <w:tcPr>
            <w:tcW w:w="1317" w:type="dxa"/>
            <w:tcBorders>
              <w:top w:val="single" w:sz="4" w:space="0" w:color="auto"/>
              <w:left w:val="single" w:sz="6" w:space="0" w:color="auto"/>
              <w:bottom w:val="single" w:sz="6" w:space="0" w:color="auto"/>
              <w:right w:val="single" w:sz="4" w:space="0" w:color="auto"/>
            </w:tcBorders>
            <w:shd w:val="clear" w:color="auto" w:fill="C00000"/>
            <w:tcMar>
              <w:top w:w="0" w:type="dxa"/>
              <w:left w:w="108" w:type="dxa"/>
              <w:bottom w:w="0" w:type="dxa"/>
              <w:right w:w="108" w:type="dxa"/>
            </w:tcMar>
            <w:hideMark/>
          </w:tcPr>
          <w:p w14:paraId="40AF0632" w14:textId="77777777" w:rsidR="00B97365" w:rsidRDefault="00000000">
            <w:pPr>
              <w:jc w:val="center"/>
              <w:rPr>
                <w:rFonts w:cs="Calibri"/>
                <w:b/>
                <w:bCs/>
                <w:color w:val="FFFFFF"/>
                <w:sz w:val="16"/>
                <w:szCs w:val="16"/>
              </w:rPr>
            </w:pPr>
            <w:r>
              <w:rPr>
                <w:rFonts w:cs="Calibri"/>
                <w:b/>
                <w:bCs/>
                <w:color w:val="FFFFFF"/>
                <w:sz w:val="16"/>
                <w:szCs w:val="16"/>
              </w:rPr>
              <w:t>Length</w:t>
            </w:r>
          </w:p>
        </w:tc>
      </w:tr>
      <w:tr w:rsidR="00B97365" w14:paraId="2CB4B7DD" w14:textId="77777777">
        <w:tc>
          <w:tcPr>
            <w:tcW w:w="170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71DC0036" w14:textId="77777777" w:rsidR="00B97365" w:rsidRDefault="00000000">
            <w:pPr>
              <w:jc w:val="center"/>
              <w:rPr>
                <w:rFonts w:cs="Calibri"/>
                <w:sz w:val="16"/>
                <w:szCs w:val="16"/>
              </w:rPr>
            </w:pPr>
            <w:r>
              <w:rPr>
                <w:rFonts w:cs="Calibri"/>
                <w:sz w:val="16"/>
                <w:szCs w:val="16"/>
              </w:rPr>
              <w:t>1</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14:paraId="20011DBE" w14:textId="77777777" w:rsidR="00B97365" w:rsidRDefault="00000000">
            <w:pPr>
              <w:rPr>
                <w:rFonts w:cs="Calibri"/>
                <w:sz w:val="16"/>
                <w:szCs w:val="16"/>
              </w:rPr>
            </w:pPr>
            <w:r>
              <w:rPr>
                <w:rFonts w:cs="Calibri"/>
                <w:sz w:val="16"/>
                <w:szCs w:val="16"/>
              </w:rPr>
              <w:t>Notification type tag, ‘4D’.</w:t>
            </w:r>
          </w:p>
        </w:tc>
        <w:tc>
          <w:tcPr>
            <w:tcW w:w="131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65DEBAE4" w14:textId="77777777" w:rsidR="00B97365" w:rsidRDefault="00000000">
            <w:pPr>
              <w:keepNext/>
              <w:jc w:val="center"/>
              <w:rPr>
                <w:rFonts w:cs="Calibri"/>
                <w:sz w:val="16"/>
                <w:szCs w:val="16"/>
              </w:rPr>
            </w:pPr>
            <w:r>
              <w:rPr>
                <w:rFonts w:cs="Calibri"/>
                <w:sz w:val="16"/>
                <w:szCs w:val="16"/>
              </w:rPr>
              <w:t>1</w:t>
            </w:r>
          </w:p>
        </w:tc>
      </w:tr>
      <w:tr w:rsidR="00B97365" w14:paraId="7396CDC4" w14:textId="77777777">
        <w:tc>
          <w:tcPr>
            <w:tcW w:w="170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2BFE5681" w14:textId="77777777" w:rsidR="00B97365" w:rsidRDefault="00000000">
            <w:pPr>
              <w:jc w:val="center"/>
              <w:rPr>
                <w:rFonts w:cs="Calibri"/>
                <w:sz w:val="16"/>
                <w:szCs w:val="16"/>
              </w:rPr>
            </w:pPr>
            <w:r>
              <w:rPr>
                <w:rFonts w:cs="Calibri"/>
                <w:sz w:val="16"/>
                <w:szCs w:val="16"/>
              </w:rPr>
              <w:t>2</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14:paraId="574955B3" w14:textId="77777777" w:rsidR="00B97365" w:rsidRDefault="00000000">
            <w:pPr>
              <w:rPr>
                <w:rFonts w:cs="Calibri"/>
                <w:sz w:val="16"/>
                <w:szCs w:val="16"/>
              </w:rPr>
            </w:pPr>
            <w:r>
              <w:rPr>
                <w:rFonts w:cs="Calibri"/>
                <w:sz w:val="16"/>
                <w:szCs w:val="16"/>
              </w:rPr>
              <w:t>Length= ‘01’</w:t>
            </w:r>
          </w:p>
        </w:tc>
        <w:tc>
          <w:tcPr>
            <w:tcW w:w="131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33698EC4" w14:textId="77777777" w:rsidR="00B97365" w:rsidRDefault="00000000">
            <w:pPr>
              <w:keepNext/>
              <w:jc w:val="center"/>
              <w:rPr>
                <w:rFonts w:cs="Calibri"/>
                <w:sz w:val="16"/>
                <w:szCs w:val="16"/>
              </w:rPr>
            </w:pPr>
            <w:r>
              <w:rPr>
                <w:rFonts w:cs="Calibri"/>
                <w:sz w:val="16"/>
                <w:szCs w:val="16"/>
              </w:rPr>
              <w:t>1</w:t>
            </w:r>
          </w:p>
        </w:tc>
      </w:tr>
      <w:tr w:rsidR="00B97365" w14:paraId="183BC02B" w14:textId="77777777">
        <w:tc>
          <w:tcPr>
            <w:tcW w:w="1705" w:type="dxa"/>
            <w:tcBorders>
              <w:top w:val="single" w:sz="6" w:space="0" w:color="auto"/>
              <w:left w:val="single" w:sz="4" w:space="0" w:color="auto"/>
              <w:bottom w:val="single" w:sz="4" w:space="0" w:color="auto"/>
              <w:right w:val="single" w:sz="6" w:space="0" w:color="auto"/>
            </w:tcBorders>
            <w:shd w:val="clear" w:color="auto" w:fill="FFFFFF"/>
            <w:tcMar>
              <w:top w:w="0" w:type="dxa"/>
              <w:left w:w="108" w:type="dxa"/>
              <w:bottom w:w="0" w:type="dxa"/>
              <w:right w:w="108" w:type="dxa"/>
            </w:tcMar>
            <w:hideMark/>
          </w:tcPr>
          <w:p w14:paraId="7B60CCDD" w14:textId="77777777" w:rsidR="00B97365" w:rsidRDefault="00000000">
            <w:pPr>
              <w:jc w:val="center"/>
              <w:rPr>
                <w:rFonts w:cs="Calibri"/>
                <w:sz w:val="16"/>
                <w:szCs w:val="16"/>
              </w:rPr>
            </w:pPr>
            <w:r>
              <w:rPr>
                <w:rFonts w:cs="Calibri"/>
                <w:sz w:val="16"/>
                <w:szCs w:val="16"/>
              </w:rPr>
              <w:t>3</w:t>
            </w:r>
          </w:p>
        </w:tc>
        <w:tc>
          <w:tcPr>
            <w:tcW w:w="5386" w:type="dxa"/>
            <w:tcBorders>
              <w:top w:val="single" w:sz="6" w:space="0" w:color="auto"/>
              <w:left w:val="single" w:sz="6" w:space="0" w:color="auto"/>
              <w:bottom w:val="single" w:sz="4" w:space="0" w:color="auto"/>
              <w:right w:val="single" w:sz="6" w:space="0" w:color="auto"/>
            </w:tcBorders>
            <w:shd w:val="clear" w:color="auto" w:fill="FFFFFF"/>
            <w:hideMark/>
          </w:tcPr>
          <w:p w14:paraId="4BA03372" w14:textId="77777777" w:rsidR="00B97365" w:rsidRDefault="00000000">
            <w:pPr>
              <w:rPr>
                <w:rFonts w:cs="Calibri"/>
                <w:sz w:val="16"/>
                <w:szCs w:val="16"/>
              </w:rPr>
            </w:pPr>
            <w:r>
              <w:rPr>
                <w:rFonts w:cs="Calibri"/>
                <w:sz w:val="16"/>
                <w:szCs w:val="16"/>
              </w:rPr>
              <w:t>Notification type</w:t>
            </w:r>
          </w:p>
        </w:tc>
        <w:tc>
          <w:tcPr>
            <w:tcW w:w="1317" w:type="dxa"/>
            <w:tcBorders>
              <w:top w:val="single" w:sz="6" w:space="0" w:color="auto"/>
              <w:left w:val="single" w:sz="6" w:space="0" w:color="auto"/>
              <w:bottom w:val="single" w:sz="4" w:space="0" w:color="auto"/>
              <w:right w:val="single" w:sz="4" w:space="0" w:color="auto"/>
            </w:tcBorders>
            <w:shd w:val="clear" w:color="auto" w:fill="FFFFFF"/>
            <w:tcMar>
              <w:top w:w="0" w:type="dxa"/>
              <w:left w:w="108" w:type="dxa"/>
              <w:bottom w:w="0" w:type="dxa"/>
              <w:right w:w="108" w:type="dxa"/>
            </w:tcMar>
            <w:hideMark/>
          </w:tcPr>
          <w:p w14:paraId="5BE26B50" w14:textId="77777777" w:rsidR="00B97365" w:rsidRDefault="00000000">
            <w:pPr>
              <w:keepNext/>
              <w:jc w:val="center"/>
              <w:rPr>
                <w:rFonts w:cs="Calibri"/>
                <w:sz w:val="16"/>
                <w:szCs w:val="16"/>
              </w:rPr>
            </w:pPr>
            <w:r>
              <w:rPr>
                <w:rFonts w:cs="Calibri"/>
                <w:sz w:val="16"/>
                <w:szCs w:val="16"/>
              </w:rPr>
              <w:t>1</w:t>
            </w:r>
          </w:p>
        </w:tc>
      </w:tr>
    </w:tbl>
    <w:p w14:paraId="4747FEDF"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COMPREHENSION-TLV for Notification type</w:t>
      </w:r>
    </w:p>
    <w:p w14:paraId="3009954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Notification type:</w:t>
      </w:r>
    </w:p>
    <w:p w14:paraId="7AB02CE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Coding:</w:t>
      </w:r>
    </w:p>
    <w:p w14:paraId="53B702D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‘01’: eUICC declaration – First network attachment</w:t>
      </w:r>
    </w:p>
    <w:p w14:paraId="2EF4CE0B"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‘02’: Profile change succeeded</w:t>
      </w:r>
    </w:p>
    <w:p w14:paraId="009150F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‘03’: Profile change failed and Roll-back </w:t>
      </w:r>
    </w:p>
    <w:p w14:paraId="61DBECD2" w14:textId="77777777" w:rsidR="00B97365" w:rsidRDefault="00000000">
      <w:pPr>
        <w:numPr>
          <w:ilvl w:val="0"/>
          <w:numId w:val="38"/>
        </w:numPr>
        <w:tabs>
          <w:tab w:val="left" w:pos="680"/>
        </w:tabs>
        <w:spacing w:before="0" w:after="200" w:line="276" w:lineRule="auto"/>
        <w:contextualSpacing/>
        <w:jc w:val="left"/>
        <w:rPr>
          <w:lang w:val="en-US" w:eastAsia="en-GB"/>
        </w:rPr>
      </w:pPr>
      <w:r>
        <w:rPr>
          <w:lang w:val="en-US" w:eastAsia="en-GB"/>
        </w:rPr>
        <w:t>‘0</w:t>
      </w:r>
      <w:r>
        <w:rPr>
          <w:lang w:val="en-US"/>
        </w:rPr>
        <w:t>4</w:t>
      </w:r>
      <w:r>
        <w:rPr>
          <w:lang w:val="en-US" w:eastAsia="en-GB"/>
        </w:rPr>
        <w:t xml:space="preserve">’:  Void </w:t>
      </w:r>
    </w:p>
    <w:p w14:paraId="4D190D01" w14:textId="77777777" w:rsidR="00B97365" w:rsidRDefault="00000000">
      <w:pPr>
        <w:numPr>
          <w:ilvl w:val="0"/>
          <w:numId w:val="38"/>
        </w:numPr>
        <w:tabs>
          <w:tab w:val="left" w:pos="680"/>
        </w:tabs>
        <w:spacing w:before="0" w:after="200" w:line="276" w:lineRule="auto"/>
        <w:contextualSpacing/>
        <w:jc w:val="left"/>
        <w:rPr>
          <w:lang w:val="en-US" w:eastAsia="en-GB"/>
        </w:rPr>
      </w:pPr>
      <w:r>
        <w:rPr>
          <w:rFonts w:cstheme="minorBidi"/>
          <w:lang w:val="en-US" w:eastAsia="en-GB"/>
        </w:rPr>
        <w:t>‘0</w:t>
      </w:r>
      <w:r>
        <w:rPr>
          <w:rFonts w:cstheme="minorBidi"/>
          <w:lang w:val="en-US"/>
        </w:rPr>
        <w:t>5</w:t>
      </w:r>
      <w:r>
        <w:rPr>
          <w:rFonts w:cstheme="minorBidi"/>
          <w:lang w:val="en-US" w:eastAsia="en-GB"/>
        </w:rPr>
        <w:t xml:space="preserve">’: </w:t>
      </w:r>
      <w:r>
        <w:rPr>
          <w:lang w:val="en-US" w:eastAsia="en-GB"/>
        </w:rPr>
        <w:t xml:space="preserve">Profile change after </w:t>
      </w:r>
      <w:r>
        <w:t xml:space="preserve">activation of the Fall-Back Mechanism </w:t>
      </w:r>
    </w:p>
    <w:p w14:paraId="5514C710" w14:textId="77777777" w:rsidR="00B97365" w:rsidRDefault="00000000">
      <w:pPr>
        <w:numPr>
          <w:ilvl w:val="0"/>
          <w:numId w:val="38"/>
        </w:numPr>
        <w:tabs>
          <w:tab w:val="left" w:pos="680"/>
        </w:tabs>
        <w:spacing w:before="0" w:after="200" w:line="276" w:lineRule="auto"/>
        <w:contextualSpacing/>
        <w:jc w:val="left"/>
        <w:rPr>
          <w:lang w:val="en-US" w:eastAsia="en-GB"/>
        </w:rPr>
      </w:pPr>
      <w:r>
        <w:rPr>
          <w:lang w:val="en-US" w:eastAsia="en-GB"/>
        </w:rPr>
        <w:t>‘0</w:t>
      </w:r>
      <w:r>
        <w:rPr>
          <w:lang w:val="en-US"/>
        </w:rPr>
        <w:t>6</w:t>
      </w:r>
      <w:r>
        <w:rPr>
          <w:lang w:val="en-US" w:eastAsia="en-GB"/>
        </w:rPr>
        <w:t>’: Profile change after Emergency Profile disabling</w:t>
      </w:r>
    </w:p>
    <w:p w14:paraId="192599A4" w14:textId="77777777" w:rsidR="00B97365" w:rsidRDefault="00000000">
      <w:pPr>
        <w:numPr>
          <w:ilvl w:val="0"/>
          <w:numId w:val="38"/>
        </w:numPr>
        <w:tabs>
          <w:tab w:val="left" w:pos="680"/>
        </w:tabs>
        <w:spacing w:before="0" w:after="200" w:line="276" w:lineRule="auto"/>
        <w:contextualSpacing/>
        <w:jc w:val="left"/>
        <w:rPr>
          <w:lang w:val="en-US" w:eastAsia="en-GB"/>
        </w:rPr>
      </w:pPr>
      <w:r>
        <w:rPr>
          <w:lang w:val="en-US" w:eastAsia="en-GB"/>
        </w:rPr>
        <w:t>‘07’: Profile change after Test Profile disabling</w:t>
      </w:r>
    </w:p>
    <w:p w14:paraId="5283E079" w14:textId="77777777" w:rsidR="00B97365" w:rsidRDefault="00000000">
      <w:pPr>
        <w:numPr>
          <w:ilvl w:val="0"/>
          <w:numId w:val="38"/>
        </w:numPr>
        <w:tabs>
          <w:tab w:val="left" w:pos="680"/>
        </w:tabs>
        <w:spacing w:before="0" w:after="200" w:line="276" w:lineRule="auto"/>
        <w:contextualSpacing/>
        <w:jc w:val="left"/>
        <w:rPr>
          <w:lang w:val="en-US" w:eastAsia="en-GB"/>
        </w:rPr>
      </w:pPr>
      <w:r>
        <w:rPr>
          <w:lang w:val="en-US" w:eastAsia="en-GB"/>
        </w:rPr>
        <w:t xml:space="preserve">‘08’ to ‘FF’: RFU    </w:t>
      </w:r>
    </w:p>
    <w:p w14:paraId="28476F21"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In case the Notification type is ‘05’, the SM-SR can inspect the ISD-P AID present in the notification message to determine whether it indicates the ISD-P AID of the Profile with the Fall-Back Attribute (denoting that this profile has been enabled after the previously enabled profile has lost connectivity) or another ISD-P AID (denoting that the previously enabled profile has been enabled again after the network connectivity has been restored).</w:t>
      </w:r>
    </w:p>
    <w:p w14:paraId="577F116A" w14:textId="77777777" w:rsidR="00B97365" w:rsidRDefault="00000000">
      <w:pPr>
        <w:spacing w:before="0" w:after="200" w:line="276" w:lineRule="auto"/>
        <w:jc w:val="left"/>
        <w:rPr>
          <w:b/>
          <w:i/>
        </w:rPr>
      </w:pPr>
      <w:bookmarkStart w:id="2505" w:name="_Toc420594584"/>
      <w:r>
        <w:rPr>
          <w:rFonts w:cs="Arial"/>
          <w:b/>
          <w:i/>
          <w:szCs w:val="22"/>
          <w:lang w:val="en-US" w:eastAsia="en-GB" w:bidi="ar-SA"/>
        </w:rPr>
        <w:t>COMPREHENSION</w:t>
      </w:r>
      <w:r>
        <w:rPr>
          <w:b/>
          <w:i/>
        </w:rPr>
        <w:t>-TLV for Notification sequence number</w:t>
      </w:r>
      <w:bookmarkEnd w:id="2505"/>
    </w:p>
    <w:p w14:paraId="40CBF3D6" w14:textId="77777777" w:rsidR="00B97365" w:rsidRDefault="00B97365">
      <w:pPr>
        <w:spacing w:before="0" w:after="200" w:line="276" w:lineRule="auto"/>
        <w:jc w:val="left"/>
        <w:rPr>
          <w:rFonts w:cs="Arial"/>
        </w:rPr>
      </w:pPr>
    </w:p>
    <w:tbl>
      <w:tblPr>
        <w:tblW w:w="84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6600"/>
        <w:tblLayout w:type="fixed"/>
        <w:tblCellMar>
          <w:left w:w="0" w:type="dxa"/>
          <w:right w:w="0" w:type="dxa"/>
        </w:tblCellMar>
        <w:tblLook w:val="04A0" w:firstRow="1" w:lastRow="0" w:firstColumn="1" w:lastColumn="0" w:noHBand="0" w:noVBand="1"/>
      </w:tblPr>
      <w:tblGrid>
        <w:gridCol w:w="1705"/>
        <w:gridCol w:w="5389"/>
        <w:gridCol w:w="1318"/>
      </w:tblGrid>
      <w:tr w:rsidR="00B97365" w14:paraId="614946E3" w14:textId="77777777">
        <w:tc>
          <w:tcPr>
            <w:tcW w:w="1705" w:type="dxa"/>
            <w:tcBorders>
              <w:top w:val="single" w:sz="4" w:space="0" w:color="auto"/>
              <w:left w:val="single" w:sz="4" w:space="0" w:color="auto"/>
              <w:bottom w:val="single" w:sz="6" w:space="0" w:color="auto"/>
              <w:right w:val="single" w:sz="6" w:space="0" w:color="auto"/>
            </w:tcBorders>
            <w:shd w:val="clear" w:color="auto" w:fill="C00000"/>
            <w:tcMar>
              <w:top w:w="0" w:type="dxa"/>
              <w:left w:w="108" w:type="dxa"/>
              <w:bottom w:w="0" w:type="dxa"/>
              <w:right w:w="108" w:type="dxa"/>
            </w:tcMar>
            <w:hideMark/>
          </w:tcPr>
          <w:p w14:paraId="6B563AE5" w14:textId="77777777" w:rsidR="00B97365" w:rsidRDefault="00000000">
            <w:pPr>
              <w:jc w:val="center"/>
              <w:rPr>
                <w:rFonts w:cs="Calibri"/>
                <w:b/>
                <w:bCs/>
                <w:color w:val="FFFFFF"/>
                <w:sz w:val="16"/>
                <w:szCs w:val="16"/>
              </w:rPr>
            </w:pPr>
            <w:r>
              <w:rPr>
                <w:rFonts w:cs="Calibri"/>
                <w:b/>
                <w:bCs/>
                <w:color w:val="FFFFFF"/>
                <w:sz w:val="16"/>
                <w:szCs w:val="16"/>
              </w:rPr>
              <w:t>Byte(s)</w:t>
            </w:r>
          </w:p>
        </w:tc>
        <w:tc>
          <w:tcPr>
            <w:tcW w:w="5386" w:type="dxa"/>
            <w:tcBorders>
              <w:top w:val="single" w:sz="4" w:space="0" w:color="auto"/>
              <w:left w:val="single" w:sz="6" w:space="0" w:color="auto"/>
              <w:bottom w:val="single" w:sz="6" w:space="0" w:color="auto"/>
              <w:right w:val="single" w:sz="6" w:space="0" w:color="auto"/>
            </w:tcBorders>
            <w:shd w:val="clear" w:color="auto" w:fill="C00000"/>
            <w:hideMark/>
          </w:tcPr>
          <w:p w14:paraId="661E6172" w14:textId="77777777" w:rsidR="00B97365" w:rsidRDefault="00000000">
            <w:pPr>
              <w:jc w:val="center"/>
              <w:rPr>
                <w:rFonts w:cs="Calibri"/>
                <w:b/>
                <w:bCs/>
                <w:color w:val="FFFFFF"/>
                <w:sz w:val="16"/>
                <w:szCs w:val="16"/>
              </w:rPr>
            </w:pPr>
            <w:r>
              <w:rPr>
                <w:rFonts w:cs="Calibri"/>
                <w:b/>
                <w:bCs/>
                <w:color w:val="FFFFFF"/>
                <w:sz w:val="16"/>
                <w:szCs w:val="16"/>
              </w:rPr>
              <w:t>Description</w:t>
            </w:r>
          </w:p>
        </w:tc>
        <w:tc>
          <w:tcPr>
            <w:tcW w:w="1317" w:type="dxa"/>
            <w:tcBorders>
              <w:top w:val="single" w:sz="4" w:space="0" w:color="auto"/>
              <w:left w:val="single" w:sz="6" w:space="0" w:color="auto"/>
              <w:bottom w:val="single" w:sz="6" w:space="0" w:color="auto"/>
              <w:right w:val="single" w:sz="4" w:space="0" w:color="auto"/>
            </w:tcBorders>
            <w:shd w:val="clear" w:color="auto" w:fill="C00000"/>
            <w:tcMar>
              <w:top w:w="0" w:type="dxa"/>
              <w:left w:w="108" w:type="dxa"/>
              <w:bottom w:w="0" w:type="dxa"/>
              <w:right w:w="108" w:type="dxa"/>
            </w:tcMar>
            <w:hideMark/>
          </w:tcPr>
          <w:p w14:paraId="368D2ECD" w14:textId="77777777" w:rsidR="00B97365" w:rsidRDefault="00000000">
            <w:pPr>
              <w:jc w:val="center"/>
              <w:rPr>
                <w:rFonts w:cs="Calibri"/>
                <w:b/>
                <w:bCs/>
                <w:color w:val="FFFFFF"/>
                <w:sz w:val="16"/>
                <w:szCs w:val="16"/>
              </w:rPr>
            </w:pPr>
            <w:r>
              <w:rPr>
                <w:rFonts w:cs="Calibri"/>
                <w:b/>
                <w:bCs/>
                <w:color w:val="FFFFFF"/>
                <w:sz w:val="16"/>
                <w:szCs w:val="16"/>
              </w:rPr>
              <w:t>Length</w:t>
            </w:r>
          </w:p>
        </w:tc>
      </w:tr>
      <w:tr w:rsidR="00B97365" w14:paraId="3D508C00" w14:textId="77777777">
        <w:tc>
          <w:tcPr>
            <w:tcW w:w="170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53315931" w14:textId="77777777" w:rsidR="00B97365" w:rsidRDefault="00000000">
            <w:pPr>
              <w:jc w:val="center"/>
              <w:rPr>
                <w:rFonts w:cs="Calibri"/>
                <w:sz w:val="16"/>
                <w:szCs w:val="16"/>
              </w:rPr>
            </w:pPr>
            <w:r>
              <w:rPr>
                <w:rFonts w:cs="Calibri"/>
                <w:sz w:val="16"/>
                <w:szCs w:val="16"/>
              </w:rPr>
              <w:t>1</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14:paraId="273787C4" w14:textId="77777777" w:rsidR="00B97365" w:rsidRDefault="00000000">
            <w:pPr>
              <w:rPr>
                <w:rFonts w:cs="Calibri"/>
                <w:sz w:val="16"/>
                <w:szCs w:val="16"/>
              </w:rPr>
            </w:pPr>
            <w:r>
              <w:rPr>
                <w:rFonts w:cs="Calibri"/>
                <w:sz w:val="16"/>
                <w:szCs w:val="16"/>
              </w:rPr>
              <w:t>Notification sequence number tag, ‘4E’.</w:t>
            </w:r>
          </w:p>
        </w:tc>
        <w:tc>
          <w:tcPr>
            <w:tcW w:w="131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18603150" w14:textId="77777777" w:rsidR="00B97365" w:rsidRDefault="00000000">
            <w:pPr>
              <w:keepNext/>
              <w:jc w:val="center"/>
              <w:rPr>
                <w:rFonts w:cs="Calibri"/>
                <w:sz w:val="16"/>
                <w:szCs w:val="16"/>
              </w:rPr>
            </w:pPr>
            <w:r>
              <w:rPr>
                <w:rFonts w:cs="Calibri"/>
                <w:sz w:val="16"/>
                <w:szCs w:val="16"/>
              </w:rPr>
              <w:t>1</w:t>
            </w:r>
          </w:p>
        </w:tc>
      </w:tr>
      <w:tr w:rsidR="00B97365" w14:paraId="770FB093" w14:textId="77777777">
        <w:tc>
          <w:tcPr>
            <w:tcW w:w="170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5617AFD8" w14:textId="77777777" w:rsidR="00B97365" w:rsidRDefault="00000000">
            <w:pPr>
              <w:jc w:val="center"/>
              <w:rPr>
                <w:rFonts w:cs="Calibri"/>
                <w:sz w:val="16"/>
                <w:szCs w:val="16"/>
              </w:rPr>
            </w:pPr>
            <w:r>
              <w:rPr>
                <w:rFonts w:cs="Calibri"/>
                <w:sz w:val="16"/>
                <w:szCs w:val="16"/>
              </w:rPr>
              <w:t>2</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14:paraId="65C1D51F" w14:textId="77777777" w:rsidR="00B97365" w:rsidRDefault="00000000">
            <w:pPr>
              <w:rPr>
                <w:rFonts w:cs="Calibri"/>
                <w:sz w:val="16"/>
                <w:szCs w:val="16"/>
              </w:rPr>
            </w:pPr>
            <w:r>
              <w:rPr>
                <w:rFonts w:cs="Calibri"/>
                <w:sz w:val="16"/>
                <w:szCs w:val="16"/>
              </w:rPr>
              <w:t>Length=’02’</w:t>
            </w:r>
          </w:p>
        </w:tc>
        <w:tc>
          <w:tcPr>
            <w:tcW w:w="131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5819F66E" w14:textId="77777777" w:rsidR="00B97365" w:rsidRDefault="00000000">
            <w:pPr>
              <w:keepNext/>
              <w:jc w:val="center"/>
              <w:rPr>
                <w:rFonts w:cs="Calibri"/>
                <w:sz w:val="16"/>
                <w:szCs w:val="16"/>
              </w:rPr>
            </w:pPr>
            <w:r>
              <w:rPr>
                <w:rFonts w:cs="Calibri"/>
                <w:sz w:val="16"/>
                <w:szCs w:val="16"/>
              </w:rPr>
              <w:t>1</w:t>
            </w:r>
          </w:p>
        </w:tc>
      </w:tr>
      <w:tr w:rsidR="00B97365" w14:paraId="0EDFD117" w14:textId="77777777">
        <w:tc>
          <w:tcPr>
            <w:tcW w:w="1705" w:type="dxa"/>
            <w:tcBorders>
              <w:top w:val="single" w:sz="6" w:space="0" w:color="auto"/>
              <w:left w:val="single" w:sz="4" w:space="0" w:color="auto"/>
              <w:bottom w:val="single" w:sz="4" w:space="0" w:color="auto"/>
              <w:right w:val="single" w:sz="6" w:space="0" w:color="auto"/>
            </w:tcBorders>
            <w:shd w:val="clear" w:color="auto" w:fill="FFFFFF"/>
            <w:tcMar>
              <w:top w:w="0" w:type="dxa"/>
              <w:left w:w="108" w:type="dxa"/>
              <w:bottom w:w="0" w:type="dxa"/>
              <w:right w:w="108" w:type="dxa"/>
            </w:tcMar>
            <w:hideMark/>
          </w:tcPr>
          <w:p w14:paraId="2FF5F6B5" w14:textId="77777777" w:rsidR="00B97365" w:rsidRDefault="00000000">
            <w:pPr>
              <w:jc w:val="center"/>
              <w:rPr>
                <w:rFonts w:cs="Calibri"/>
                <w:sz w:val="16"/>
                <w:szCs w:val="16"/>
              </w:rPr>
            </w:pPr>
            <w:r>
              <w:rPr>
                <w:rFonts w:cs="Calibri"/>
                <w:sz w:val="16"/>
                <w:szCs w:val="16"/>
              </w:rPr>
              <w:t>3 to 4</w:t>
            </w:r>
          </w:p>
        </w:tc>
        <w:tc>
          <w:tcPr>
            <w:tcW w:w="5386" w:type="dxa"/>
            <w:tcBorders>
              <w:top w:val="single" w:sz="6" w:space="0" w:color="auto"/>
              <w:left w:val="single" w:sz="6" w:space="0" w:color="auto"/>
              <w:bottom w:val="single" w:sz="4" w:space="0" w:color="auto"/>
              <w:right w:val="single" w:sz="6" w:space="0" w:color="auto"/>
            </w:tcBorders>
            <w:shd w:val="clear" w:color="auto" w:fill="FFFFFF"/>
            <w:hideMark/>
          </w:tcPr>
          <w:p w14:paraId="0A06489C" w14:textId="77777777" w:rsidR="00B97365" w:rsidRDefault="00000000">
            <w:pPr>
              <w:rPr>
                <w:rFonts w:cs="Calibri"/>
                <w:sz w:val="16"/>
                <w:szCs w:val="16"/>
              </w:rPr>
            </w:pPr>
            <w:r>
              <w:rPr>
                <w:rFonts w:cs="Calibri"/>
                <w:sz w:val="16"/>
                <w:szCs w:val="16"/>
              </w:rPr>
              <w:t>Notification sequence number value</w:t>
            </w:r>
          </w:p>
        </w:tc>
        <w:tc>
          <w:tcPr>
            <w:tcW w:w="1317" w:type="dxa"/>
            <w:tcBorders>
              <w:top w:val="single" w:sz="6" w:space="0" w:color="auto"/>
              <w:left w:val="single" w:sz="6"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1C4DC2" w14:textId="77777777" w:rsidR="00B97365" w:rsidRDefault="00000000">
            <w:pPr>
              <w:keepNext/>
              <w:jc w:val="center"/>
              <w:rPr>
                <w:rFonts w:cs="Calibri"/>
                <w:sz w:val="16"/>
                <w:szCs w:val="16"/>
              </w:rPr>
            </w:pPr>
            <w:r>
              <w:rPr>
                <w:rFonts w:cs="Calibri"/>
                <w:sz w:val="16"/>
                <w:szCs w:val="16"/>
              </w:rPr>
              <w:t>2</w:t>
            </w:r>
          </w:p>
        </w:tc>
      </w:tr>
    </w:tbl>
    <w:p w14:paraId="3B650904"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COMPREHENSION-TLV for Notification Sequence Number</w:t>
      </w:r>
    </w:p>
    <w:p w14:paraId="2E17B7F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notification sequence number identifies the notification message, and allows the SM-SR to distinguish a new notification from a retry. In case of a retry, the eUICC SHALL use the same notification sequence number. When a Notification Confirmation has been successfully received by the SM-SR, the eUICC SHALL increment the sequence number for the next notification.</w:t>
      </w:r>
    </w:p>
    <w:p w14:paraId="5EFA676F" w14:textId="77777777" w:rsidR="00B97365" w:rsidRDefault="00000000">
      <w:pPr>
        <w:shd w:val="clear" w:color="auto" w:fill="FFFFFF"/>
        <w:spacing w:before="0" w:after="200" w:line="260" w:lineRule="atLeast"/>
        <w:jc w:val="left"/>
        <w:rPr>
          <w:rFonts w:eastAsia="Times New Roman" w:cs="Arial"/>
          <w:color w:val="000000"/>
          <w:szCs w:val="22"/>
          <w:lang w:eastAsia="en-US" w:bidi="ar-SA"/>
        </w:rPr>
      </w:pPr>
      <w:r>
        <w:rPr>
          <w:rFonts w:eastAsia="Times New Roman" w:cs="Arial"/>
          <w:color w:val="000000"/>
          <w:szCs w:val="22"/>
          <w:lang w:eastAsia="en-US" w:bidi="ar-SA"/>
        </w:rPr>
        <w:t>NOTE:  Depending on the eUICC implementation, the notification MAY also contain additional TLVs using EUM-specific tags.</w:t>
      </w:r>
    </w:p>
    <w:p w14:paraId="475EF733" w14:textId="77777777" w:rsidR="00B97365" w:rsidRDefault="00000000">
      <w:pPr>
        <w:shd w:val="clear" w:color="auto" w:fill="FFFFFF"/>
        <w:spacing w:before="0" w:after="200" w:line="260" w:lineRule="atLeast"/>
        <w:jc w:val="left"/>
        <w:rPr>
          <w:rFonts w:eastAsia="Times New Roman" w:cs="Arial"/>
          <w:color w:val="000000"/>
          <w:szCs w:val="22"/>
          <w:lang w:eastAsia="en-US" w:bidi="ar-SA"/>
        </w:rPr>
      </w:pPr>
      <w:r>
        <w:rPr>
          <w:rFonts w:eastAsia="Times New Roman" w:cs="Arial"/>
          <w:color w:val="000000"/>
          <w:szCs w:val="22"/>
          <w:lang w:eastAsia="en-US" w:bidi="ar-SA"/>
        </w:rPr>
        <w:lastRenderedPageBreak/>
        <w:t>An SM-SR is not required to record or process such specific tags, and can simply ignore them</w:t>
      </w:r>
    </w:p>
    <w:p w14:paraId="213E2C42" w14:textId="77777777" w:rsidR="00B97365" w:rsidRDefault="00000000">
      <w:pPr>
        <w:spacing w:before="0" w:after="200" w:line="276" w:lineRule="auto"/>
        <w:jc w:val="left"/>
        <w:rPr>
          <w:rFonts w:cs="Arial"/>
          <w:szCs w:val="22"/>
          <w:lang w:eastAsia="en-GB" w:bidi="ar-SA"/>
        </w:rPr>
      </w:pPr>
      <w:r>
        <w:rPr>
          <w:rFonts w:eastAsia="Times New Roman" w:cs="Arial"/>
          <w:color w:val="000000"/>
          <w:szCs w:val="22"/>
          <w:lang w:eastAsia="en-US" w:bidi="ar-SA"/>
        </w:rPr>
        <w:t>In any case, the size of the complete notification SHALL fit into one SMS-MO if the notification is sent by SMS, and SHALL NOT exceed the size of 240 bytes if sent by HTTP or CAT-TP.</w:t>
      </w:r>
    </w:p>
    <w:p w14:paraId="69349373" w14:textId="77777777" w:rsidR="00B97365" w:rsidRDefault="00000000">
      <w:pPr>
        <w:spacing w:before="0" w:after="200" w:line="276" w:lineRule="auto"/>
        <w:jc w:val="left"/>
        <w:rPr>
          <w:b/>
          <w:i/>
        </w:rPr>
      </w:pPr>
      <w:bookmarkStart w:id="2506" w:name="_Toc420594585"/>
      <w:r>
        <w:rPr>
          <w:rFonts w:cs="Arial"/>
          <w:b/>
          <w:i/>
        </w:rPr>
        <w:t xml:space="preserve">Secured </w:t>
      </w:r>
      <w:r>
        <w:rPr>
          <w:b/>
          <w:i/>
          <w:szCs w:val="22"/>
          <w:lang w:val="en-US" w:eastAsia="en-GB" w:bidi="ar-SA"/>
        </w:rPr>
        <w:t>data</w:t>
      </w:r>
      <w:r>
        <w:rPr>
          <w:b/>
          <w:i/>
        </w:rPr>
        <w:t xml:space="preserve"> structure for eUICC notification over SCP80</w:t>
      </w:r>
      <w:bookmarkEnd w:id="2506"/>
    </w:p>
    <w:p w14:paraId="21099AD1" w14:textId="77777777" w:rsidR="00B97365" w:rsidRDefault="00000000">
      <w:pPr>
        <w:spacing w:before="0"/>
        <w:jc w:val="left"/>
        <w:rPr>
          <w:rFonts w:eastAsia="Calibri" w:cs="Arial"/>
          <w:szCs w:val="22"/>
          <w:lang w:eastAsia="en-US" w:bidi="ar-SA"/>
        </w:rPr>
      </w:pPr>
      <w:r>
        <w:rPr>
          <w:rFonts w:eastAsia="Calibri" w:cs="Arial"/>
          <w:szCs w:val="22"/>
          <w:lang w:eastAsia="en-US" w:bidi="ar-SA"/>
        </w:rPr>
        <w:t>The secured data containing the eUICC notification is the COMPREHENSION-TLV  structure specified above, with no added layer of Expanded format.</w:t>
      </w:r>
    </w:p>
    <w:p w14:paraId="0884F6F5" w14:textId="2C382298" w:rsidR="00B97365" w:rsidRDefault="00000000">
      <w:pPr>
        <w:spacing w:before="0" w:after="200" w:line="276" w:lineRule="auto"/>
        <w:jc w:val="left"/>
        <w:rPr>
          <w:rFonts w:eastAsia="Calibri" w:cs="Arial"/>
          <w:szCs w:val="22"/>
          <w:lang w:eastAsia="en-US" w:bidi="ar-SA"/>
        </w:rPr>
      </w:pPr>
      <w:r>
        <w:rPr>
          <w:rFonts w:eastAsia="Calibri" w:cs="Arial"/>
          <w:szCs w:val="22"/>
          <w:lang w:eastAsia="en-US" w:bidi="ar-SA"/>
        </w:rPr>
        <w:t xml:space="preserve">This </w:t>
      </w:r>
      <w:r>
        <w:rPr>
          <w:szCs w:val="22"/>
          <w:lang w:eastAsia="en-GB" w:bidi="ar-SA"/>
        </w:rPr>
        <w:t>deviates</w:t>
      </w:r>
      <w:r>
        <w:rPr>
          <w:rFonts w:eastAsia="Calibri" w:cs="Arial"/>
          <w:szCs w:val="22"/>
          <w:lang w:eastAsia="en-US" w:bidi="ar-SA"/>
        </w:rPr>
        <w:t xml:space="preserve"> from the requirement described in section </w:t>
      </w:r>
      <w:r>
        <w:fldChar w:fldCharType="begin"/>
      </w:r>
      <w:r>
        <w:rPr>
          <w:rFonts w:eastAsia="Calibri" w:cs="Arial"/>
          <w:szCs w:val="22"/>
          <w:lang w:eastAsia="en-US" w:bidi="ar-SA"/>
        </w:rPr>
        <w:instrText xml:space="preserve"> REF _Ref448995277 \r \h </w:instrText>
      </w:r>
      <w:r>
        <w:fldChar w:fldCharType="separate"/>
      </w:r>
      <w:r w:rsidR="001D5AD9">
        <w:rPr>
          <w:rFonts w:eastAsia="Calibri" w:cs="Arial"/>
          <w:szCs w:val="22"/>
          <w:lang w:eastAsia="en-US" w:bidi="ar-SA"/>
        </w:rPr>
        <w:t>2.4.3.3</w:t>
      </w:r>
      <w:r>
        <w:fldChar w:fldCharType="end"/>
      </w:r>
      <w:r>
        <w:rPr>
          <w:rFonts w:eastAsia="Calibri" w:cs="Arial"/>
          <w:szCs w:val="22"/>
          <w:lang w:eastAsia="en-US" w:bidi="ar-SA"/>
        </w:rPr>
        <w:t>.</w:t>
      </w:r>
    </w:p>
    <w:p w14:paraId="7002BCDD" w14:textId="77777777" w:rsidR="00B97365" w:rsidRDefault="00000000">
      <w:pPr>
        <w:spacing w:before="0" w:after="200" w:line="276" w:lineRule="auto"/>
        <w:jc w:val="left"/>
        <w:rPr>
          <w:b/>
          <w:i/>
        </w:rPr>
      </w:pPr>
      <w:bookmarkStart w:id="2507" w:name="_Toc420594586"/>
      <w:r>
        <w:rPr>
          <w:rFonts w:cs="Arial"/>
          <w:b/>
          <w:i/>
        </w:rPr>
        <w:t>Default Notification Protocol Priority</w:t>
      </w:r>
      <w:bookmarkEnd w:id="2507"/>
    </w:p>
    <w:p w14:paraId="34145C6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 protocol priority order for default notification MAY be defined for every Profile during profile installation or download, and updated using the functions defined in 4.1.2.2 and 4.1.3.4. This protocol priority order specifies which protocols to use, and in which order, among SMS, HTTPS and CAT_TP.</w:t>
      </w:r>
    </w:p>
    <w:p w14:paraId="0C29A77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not defined for a Profile, the default priority order is set as follow:</w:t>
      </w:r>
    </w:p>
    <w:p w14:paraId="350A8E72" w14:textId="77777777" w:rsidR="00B97365" w:rsidRDefault="00B9736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11"/>
        <w:gridCol w:w="1178"/>
      </w:tblGrid>
      <w:tr w:rsidR="00B97365" w14:paraId="0BF40BB0" w14:textId="77777777">
        <w:trPr>
          <w:jc w:val="center"/>
        </w:trPr>
        <w:tc>
          <w:tcPr>
            <w:tcW w:w="711" w:type="dxa"/>
            <w:tcBorders>
              <w:top w:val="single" w:sz="4" w:space="0" w:color="auto"/>
              <w:left w:val="single" w:sz="4" w:space="0" w:color="auto"/>
              <w:bottom w:val="single" w:sz="6" w:space="0" w:color="auto"/>
              <w:right w:val="single" w:sz="6" w:space="0" w:color="auto"/>
            </w:tcBorders>
            <w:shd w:val="clear" w:color="auto" w:fill="C00000"/>
            <w:hideMark/>
          </w:tcPr>
          <w:p w14:paraId="71077BCF" w14:textId="77777777" w:rsidR="00B97365" w:rsidRDefault="00000000">
            <w:pPr>
              <w:jc w:val="center"/>
              <w:rPr>
                <w:rFonts w:cs="Calibri"/>
                <w:b/>
                <w:bCs/>
                <w:color w:val="FFFFFF"/>
                <w:sz w:val="16"/>
                <w:szCs w:val="16"/>
              </w:rPr>
            </w:pPr>
            <w:r>
              <w:rPr>
                <w:rFonts w:cs="Calibri"/>
                <w:b/>
                <w:bCs/>
                <w:color w:val="FFFFFF"/>
                <w:sz w:val="16"/>
                <w:szCs w:val="16"/>
              </w:rPr>
              <w:t>Priority</w:t>
            </w:r>
          </w:p>
        </w:tc>
        <w:tc>
          <w:tcPr>
            <w:tcW w:w="1178" w:type="dxa"/>
            <w:tcBorders>
              <w:top w:val="single" w:sz="4" w:space="0" w:color="auto"/>
              <w:left w:val="single" w:sz="6" w:space="0" w:color="auto"/>
              <w:bottom w:val="single" w:sz="6" w:space="0" w:color="auto"/>
              <w:right w:val="single" w:sz="4" w:space="0" w:color="auto"/>
            </w:tcBorders>
            <w:shd w:val="clear" w:color="auto" w:fill="C00000"/>
            <w:hideMark/>
          </w:tcPr>
          <w:p w14:paraId="4725B094" w14:textId="77777777" w:rsidR="00B97365" w:rsidRDefault="00000000">
            <w:pPr>
              <w:rPr>
                <w:rFonts w:cs="Calibri"/>
                <w:b/>
                <w:bCs/>
                <w:color w:val="FFFFFF"/>
                <w:sz w:val="16"/>
                <w:szCs w:val="16"/>
              </w:rPr>
            </w:pPr>
            <w:r>
              <w:rPr>
                <w:rFonts w:cs="Calibri"/>
                <w:b/>
                <w:bCs/>
                <w:color w:val="FFFFFF"/>
                <w:sz w:val="16"/>
                <w:szCs w:val="16"/>
              </w:rPr>
              <w:t>Protocol</w:t>
            </w:r>
          </w:p>
        </w:tc>
      </w:tr>
      <w:tr w:rsidR="00B97365" w14:paraId="78071FF7" w14:textId="77777777">
        <w:trPr>
          <w:jc w:val="center"/>
        </w:trPr>
        <w:tc>
          <w:tcPr>
            <w:tcW w:w="711" w:type="dxa"/>
            <w:tcBorders>
              <w:top w:val="single" w:sz="6" w:space="0" w:color="auto"/>
              <w:left w:val="single" w:sz="4" w:space="0" w:color="auto"/>
              <w:bottom w:val="single" w:sz="6" w:space="0" w:color="auto"/>
              <w:right w:val="single" w:sz="6" w:space="0" w:color="auto"/>
            </w:tcBorders>
            <w:hideMark/>
          </w:tcPr>
          <w:p w14:paraId="2C712453" w14:textId="77777777" w:rsidR="00B97365" w:rsidRDefault="00000000">
            <w:pPr>
              <w:jc w:val="center"/>
              <w:rPr>
                <w:rFonts w:cs="Calibri"/>
                <w:sz w:val="16"/>
                <w:szCs w:val="16"/>
              </w:rPr>
            </w:pPr>
            <w:r>
              <w:rPr>
                <w:rFonts w:cs="Calibri"/>
                <w:sz w:val="16"/>
                <w:szCs w:val="16"/>
              </w:rPr>
              <w:t>1</w:t>
            </w:r>
          </w:p>
        </w:tc>
        <w:tc>
          <w:tcPr>
            <w:tcW w:w="1178" w:type="dxa"/>
            <w:tcBorders>
              <w:top w:val="single" w:sz="6" w:space="0" w:color="auto"/>
              <w:left w:val="single" w:sz="6" w:space="0" w:color="auto"/>
              <w:bottom w:val="single" w:sz="6" w:space="0" w:color="auto"/>
              <w:right w:val="single" w:sz="4" w:space="0" w:color="auto"/>
            </w:tcBorders>
            <w:hideMark/>
          </w:tcPr>
          <w:p w14:paraId="0B8B3F46" w14:textId="77777777" w:rsidR="00B97365" w:rsidRDefault="00000000">
            <w:pPr>
              <w:rPr>
                <w:rFonts w:cs="Calibri"/>
                <w:sz w:val="16"/>
                <w:szCs w:val="16"/>
              </w:rPr>
            </w:pPr>
            <w:r>
              <w:rPr>
                <w:rFonts w:cs="Calibri"/>
                <w:sz w:val="16"/>
                <w:szCs w:val="16"/>
              </w:rPr>
              <w:t xml:space="preserve">SMS </w:t>
            </w:r>
          </w:p>
        </w:tc>
      </w:tr>
      <w:tr w:rsidR="00B97365" w14:paraId="11172FA7" w14:textId="77777777">
        <w:trPr>
          <w:jc w:val="center"/>
        </w:trPr>
        <w:tc>
          <w:tcPr>
            <w:tcW w:w="711" w:type="dxa"/>
            <w:tcBorders>
              <w:top w:val="single" w:sz="6" w:space="0" w:color="auto"/>
              <w:left w:val="single" w:sz="4" w:space="0" w:color="auto"/>
              <w:bottom w:val="single" w:sz="6" w:space="0" w:color="auto"/>
              <w:right w:val="single" w:sz="6" w:space="0" w:color="auto"/>
            </w:tcBorders>
            <w:hideMark/>
          </w:tcPr>
          <w:p w14:paraId="44624822" w14:textId="77777777" w:rsidR="00B97365" w:rsidRDefault="00000000">
            <w:pPr>
              <w:jc w:val="center"/>
              <w:rPr>
                <w:rFonts w:cs="Calibri"/>
                <w:sz w:val="16"/>
                <w:szCs w:val="16"/>
              </w:rPr>
            </w:pPr>
            <w:r>
              <w:rPr>
                <w:rFonts w:cs="Calibri"/>
                <w:sz w:val="16"/>
                <w:szCs w:val="16"/>
              </w:rPr>
              <w:t>2</w:t>
            </w:r>
          </w:p>
        </w:tc>
        <w:tc>
          <w:tcPr>
            <w:tcW w:w="1178" w:type="dxa"/>
            <w:tcBorders>
              <w:top w:val="single" w:sz="6" w:space="0" w:color="auto"/>
              <w:left w:val="single" w:sz="6" w:space="0" w:color="auto"/>
              <w:bottom w:val="single" w:sz="6" w:space="0" w:color="auto"/>
              <w:right w:val="single" w:sz="4" w:space="0" w:color="auto"/>
            </w:tcBorders>
            <w:hideMark/>
          </w:tcPr>
          <w:p w14:paraId="09760E81" w14:textId="77777777" w:rsidR="00B97365" w:rsidRDefault="00000000">
            <w:pPr>
              <w:rPr>
                <w:rFonts w:cs="Calibri"/>
                <w:sz w:val="16"/>
                <w:szCs w:val="16"/>
              </w:rPr>
            </w:pPr>
            <w:r>
              <w:rPr>
                <w:rFonts w:cs="Calibri"/>
                <w:sz w:val="16"/>
                <w:szCs w:val="16"/>
              </w:rPr>
              <w:t>HTTPS</w:t>
            </w:r>
          </w:p>
        </w:tc>
      </w:tr>
      <w:tr w:rsidR="00B97365" w14:paraId="4AE62A23" w14:textId="77777777">
        <w:trPr>
          <w:jc w:val="center"/>
        </w:trPr>
        <w:tc>
          <w:tcPr>
            <w:tcW w:w="711" w:type="dxa"/>
            <w:tcBorders>
              <w:top w:val="single" w:sz="6" w:space="0" w:color="auto"/>
              <w:left w:val="single" w:sz="4" w:space="0" w:color="auto"/>
              <w:bottom w:val="single" w:sz="4" w:space="0" w:color="auto"/>
              <w:right w:val="single" w:sz="6" w:space="0" w:color="auto"/>
            </w:tcBorders>
            <w:hideMark/>
          </w:tcPr>
          <w:p w14:paraId="418BC367" w14:textId="77777777" w:rsidR="00B97365" w:rsidRDefault="00000000">
            <w:pPr>
              <w:jc w:val="center"/>
              <w:rPr>
                <w:rFonts w:cs="Calibri"/>
                <w:sz w:val="16"/>
                <w:szCs w:val="16"/>
              </w:rPr>
            </w:pPr>
            <w:r>
              <w:rPr>
                <w:rFonts w:cs="Calibri"/>
                <w:sz w:val="16"/>
                <w:szCs w:val="16"/>
              </w:rPr>
              <w:t>3</w:t>
            </w:r>
          </w:p>
        </w:tc>
        <w:tc>
          <w:tcPr>
            <w:tcW w:w="1178" w:type="dxa"/>
            <w:tcBorders>
              <w:top w:val="single" w:sz="6" w:space="0" w:color="auto"/>
              <w:left w:val="single" w:sz="6" w:space="0" w:color="auto"/>
              <w:bottom w:val="single" w:sz="4" w:space="0" w:color="auto"/>
              <w:right w:val="single" w:sz="4" w:space="0" w:color="auto"/>
            </w:tcBorders>
            <w:hideMark/>
          </w:tcPr>
          <w:p w14:paraId="29D426ED" w14:textId="77777777" w:rsidR="00B97365" w:rsidRDefault="00000000">
            <w:pPr>
              <w:rPr>
                <w:rFonts w:cs="Calibri"/>
                <w:sz w:val="16"/>
                <w:szCs w:val="16"/>
              </w:rPr>
            </w:pPr>
            <w:r>
              <w:rPr>
                <w:rFonts w:cs="Calibri"/>
                <w:sz w:val="16"/>
                <w:szCs w:val="16"/>
              </w:rPr>
              <w:t>CAT_TP</w:t>
            </w:r>
          </w:p>
        </w:tc>
      </w:tr>
    </w:tbl>
    <w:p w14:paraId="7AEB6AF6" w14:textId="77777777" w:rsidR="00B97365" w:rsidRDefault="00000000">
      <w:pPr>
        <w:numPr>
          <w:ilvl w:val="0"/>
          <w:numId w:val="14"/>
        </w:numPr>
        <w:tabs>
          <w:tab w:val="left" w:pos="1009"/>
        </w:tabs>
        <w:spacing w:after="200" w:line="276" w:lineRule="auto"/>
        <w:jc w:val="center"/>
        <w:rPr>
          <w:rFonts w:cs="Arial"/>
          <w:b/>
          <w:lang w:eastAsia="de-DE" w:bidi="ar-SA"/>
        </w:rPr>
      </w:pPr>
      <w:bookmarkStart w:id="2508" w:name="_Toc368932242"/>
      <w:r>
        <w:rPr>
          <w:rFonts w:cs="Arial"/>
          <w:b/>
          <w:lang w:eastAsia="de-DE" w:bidi="ar-SA"/>
        </w:rPr>
        <w:t>: Default Notification Protocol Priority</w:t>
      </w:r>
    </w:p>
    <w:p w14:paraId="34734EF0"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509" w:name="_Ref445910953"/>
      <w:bookmarkStart w:id="2510" w:name="_Toc1977317"/>
      <w:bookmarkStart w:id="2511" w:name="_Toc37062476"/>
      <w:r>
        <w:rPr>
          <w:rFonts w:ascii="Arial Bold" w:eastAsia="Times New Roman" w:hAnsi="Arial Bold" w:cs="Arial"/>
          <w:b/>
          <w:iCs/>
          <w:szCs w:val="28"/>
          <w:lang w:eastAsia="en-US"/>
        </w:rPr>
        <w:t>Notification Confirmation</w:t>
      </w:r>
      <w:bookmarkEnd w:id="2508"/>
      <w:bookmarkEnd w:id="2509"/>
      <w:bookmarkEnd w:id="2510"/>
      <w:bookmarkEnd w:id="2511"/>
    </w:p>
    <w:p w14:paraId="46A8127F" w14:textId="77777777" w:rsidR="00B97365" w:rsidRDefault="00000000">
      <w:pPr>
        <w:spacing w:before="0" w:after="200" w:line="276" w:lineRule="auto"/>
        <w:jc w:val="left"/>
        <w:rPr>
          <w:szCs w:val="22"/>
          <w:lang w:val="en-US" w:eastAsia="en-GB" w:bidi="ar-SA"/>
        </w:rPr>
      </w:pPr>
      <w:bookmarkStart w:id="2512" w:name="_Toc420594587"/>
      <w:r>
        <w:rPr>
          <w:rFonts w:cs="Arial"/>
          <w:b/>
          <w:szCs w:val="22"/>
          <w:lang w:val="en-US" w:eastAsia="en-GB" w:bidi="ar-SA"/>
        </w:rPr>
        <w:t>Function name:</w:t>
      </w:r>
      <w:r>
        <w:rPr>
          <w:szCs w:val="22"/>
          <w:lang w:val="en-US" w:eastAsia="en-GB" w:bidi="ar-SA"/>
        </w:rPr>
        <w:t xml:space="preserve"> HandleNotificationConfirmation</w:t>
      </w:r>
      <w:bookmarkEnd w:id="2512"/>
    </w:p>
    <w:p w14:paraId="38DA6CA7" w14:textId="77777777" w:rsidR="00B97365" w:rsidRDefault="00000000">
      <w:pPr>
        <w:spacing w:before="0" w:after="200" w:line="276" w:lineRule="auto"/>
        <w:jc w:val="left"/>
        <w:rPr>
          <w:szCs w:val="22"/>
          <w:lang w:val="en-US" w:eastAsia="en-GB" w:bidi="ar-SA"/>
        </w:rPr>
      </w:pPr>
      <w:bookmarkStart w:id="2513" w:name="_Toc420594588"/>
      <w:r>
        <w:rPr>
          <w:rFonts w:cs="Arial"/>
          <w:b/>
          <w:szCs w:val="22"/>
          <w:lang w:val="en-US" w:eastAsia="en-GB" w:bidi="ar-SA"/>
        </w:rPr>
        <w:t>Related Procedures:</w:t>
      </w:r>
      <w:r>
        <w:rPr>
          <w:szCs w:val="22"/>
          <w:lang w:val="en-US" w:eastAsia="en-GB" w:bidi="ar-SA"/>
        </w:rPr>
        <w:t xml:space="preserve"> Handle Default Notification</w:t>
      </w:r>
      <w:bookmarkEnd w:id="2513"/>
    </w:p>
    <w:p w14:paraId="2E870654" w14:textId="77777777" w:rsidR="00B97365" w:rsidRDefault="00000000">
      <w:pPr>
        <w:spacing w:before="0" w:after="200" w:line="276" w:lineRule="auto"/>
        <w:jc w:val="left"/>
        <w:rPr>
          <w:szCs w:val="22"/>
          <w:lang w:val="en-US" w:eastAsia="en-GB" w:bidi="ar-SA"/>
        </w:rPr>
      </w:pPr>
      <w:bookmarkStart w:id="2514" w:name="_Toc420594589"/>
      <w:r>
        <w:rPr>
          <w:rFonts w:cs="Arial"/>
          <w:b/>
          <w:szCs w:val="22"/>
          <w:lang w:val="en-US" w:eastAsia="en-GB" w:bidi="ar-SA"/>
        </w:rPr>
        <w:t>Function group:</w:t>
      </w:r>
      <w:r>
        <w:rPr>
          <w:szCs w:val="22"/>
          <w:lang w:val="en-US" w:eastAsia="en-GB" w:bidi="ar-SA"/>
        </w:rPr>
        <w:t xml:space="preserve"> eUICC Management</w:t>
      </w:r>
      <w:bookmarkEnd w:id="2514"/>
    </w:p>
    <w:p w14:paraId="0D0A9F2F" w14:textId="77777777" w:rsidR="00B97365" w:rsidRDefault="00000000">
      <w:pPr>
        <w:spacing w:before="0" w:after="200" w:line="276" w:lineRule="auto"/>
        <w:jc w:val="left"/>
        <w:rPr>
          <w:szCs w:val="22"/>
          <w:lang w:val="en-US" w:eastAsia="en-GB" w:bidi="ar-SA"/>
        </w:rPr>
      </w:pPr>
      <w:bookmarkStart w:id="2515" w:name="_Toc420594590"/>
      <w:r>
        <w:rPr>
          <w:rFonts w:cs="Arial"/>
          <w:b/>
          <w:szCs w:val="22"/>
          <w:lang w:val="en-US" w:eastAsia="en-GB" w:bidi="ar-SA"/>
        </w:rPr>
        <w:t>Function Provider entity:</w:t>
      </w:r>
      <w:r>
        <w:rPr>
          <w:szCs w:val="22"/>
          <w:lang w:val="en-US" w:eastAsia="en-GB" w:bidi="ar-SA"/>
        </w:rPr>
        <w:t xml:space="preserve"> ISD-R</w:t>
      </w:r>
      <w:bookmarkEnd w:id="2515"/>
    </w:p>
    <w:p w14:paraId="6B89794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confirms the notification and triggers potential follow-up activities required by POL1.</w:t>
      </w:r>
    </w:p>
    <w:p w14:paraId="13FF9E20" w14:textId="77777777" w:rsidR="00B97365" w:rsidRDefault="00000000">
      <w:pPr>
        <w:spacing w:before="0" w:after="200" w:line="276" w:lineRule="auto"/>
        <w:jc w:val="left"/>
        <w:rPr>
          <w:b/>
          <w:szCs w:val="22"/>
          <w:u w:val="single"/>
          <w:lang w:val="en-US" w:eastAsia="en-GB" w:bidi="ar-SA"/>
        </w:rPr>
      </w:pPr>
      <w:bookmarkStart w:id="2516" w:name="_Toc420594591"/>
      <w:r>
        <w:rPr>
          <w:rFonts w:cs="Arial"/>
          <w:b/>
          <w:szCs w:val="22"/>
          <w:u w:val="single"/>
          <w:lang w:val="en-US" w:eastAsia="en-GB" w:bidi="ar-SA"/>
        </w:rPr>
        <w:t>Parameters:</w:t>
      </w:r>
      <w:bookmarkEnd w:id="2516"/>
    </w:p>
    <w:p w14:paraId="5061DD9B" w14:textId="77777777" w:rsidR="00B97365" w:rsidRDefault="00000000">
      <w:pPr>
        <w:numPr>
          <w:ilvl w:val="0"/>
          <w:numId w:val="38"/>
        </w:numPr>
        <w:tabs>
          <w:tab w:val="left" w:pos="680"/>
        </w:tabs>
        <w:spacing w:before="0" w:after="200" w:line="276" w:lineRule="auto"/>
        <w:contextualSpacing/>
        <w:jc w:val="left"/>
        <w:rPr>
          <w:rFonts w:asciiTheme="minorHAnsi" w:hAnsiTheme="minorHAnsi" w:cstheme="minorHAnsi"/>
          <w:szCs w:val="22"/>
          <w:lang w:eastAsia="en-GB" w:bidi="ar-SA"/>
        </w:rPr>
      </w:pPr>
      <w:r>
        <w:rPr>
          <w:szCs w:val="22"/>
          <w:lang w:eastAsia="en-GB" w:bidi="ar-SA"/>
        </w:rPr>
        <w:t>Notification Sequence number</w:t>
      </w:r>
    </w:p>
    <w:p w14:paraId="557F750C" w14:textId="77777777" w:rsidR="00B97365" w:rsidRDefault="00000000">
      <w:pPr>
        <w:spacing w:before="0" w:after="200" w:line="276" w:lineRule="auto"/>
        <w:jc w:val="left"/>
        <w:rPr>
          <w:b/>
          <w:szCs w:val="22"/>
          <w:u w:val="single"/>
          <w:lang w:val="en-US" w:eastAsia="en-GB" w:bidi="ar-SA"/>
        </w:rPr>
      </w:pPr>
      <w:bookmarkStart w:id="2517" w:name="_Toc420594592"/>
      <w:r>
        <w:rPr>
          <w:rFonts w:cs="Arial"/>
          <w:b/>
          <w:szCs w:val="22"/>
          <w:u w:val="single"/>
          <w:lang w:val="en-US" w:eastAsia="en-GB" w:bidi="ar-SA"/>
        </w:rPr>
        <w:t>Prerequisites:</w:t>
      </w:r>
      <w:bookmarkEnd w:id="2517"/>
    </w:p>
    <w:p w14:paraId="15BA4339" w14:textId="77777777" w:rsidR="00B97365" w:rsidRDefault="00000000">
      <w:pPr>
        <w:numPr>
          <w:ilvl w:val="0"/>
          <w:numId w:val="38"/>
        </w:numPr>
        <w:tabs>
          <w:tab w:val="left" w:pos="680"/>
        </w:tabs>
        <w:spacing w:before="0" w:after="200" w:line="276" w:lineRule="auto"/>
        <w:contextualSpacing/>
        <w:jc w:val="left"/>
        <w:rPr>
          <w:rFonts w:asciiTheme="minorHAnsi" w:hAnsiTheme="minorHAnsi" w:cstheme="minorHAnsi"/>
          <w:szCs w:val="22"/>
          <w:lang w:eastAsia="en-GB" w:bidi="ar-SA"/>
        </w:rPr>
      </w:pPr>
      <w:r>
        <w:rPr>
          <w:szCs w:val="22"/>
          <w:lang w:eastAsia="en-GB" w:bidi="ar-SA"/>
        </w:rPr>
        <w:t>The SM-SR has received a notification from the eUICC.</w:t>
      </w:r>
    </w:p>
    <w:p w14:paraId="25B1B0D5" w14:textId="77777777" w:rsidR="00B97365" w:rsidRDefault="00000000">
      <w:pPr>
        <w:spacing w:before="0" w:after="200" w:line="276" w:lineRule="auto"/>
        <w:jc w:val="left"/>
        <w:rPr>
          <w:rFonts w:cs="Arial"/>
          <w:b/>
          <w:szCs w:val="22"/>
          <w:u w:val="single"/>
          <w:lang w:val="en-US" w:eastAsia="en-GB" w:bidi="ar-SA"/>
        </w:rPr>
      </w:pPr>
      <w:bookmarkStart w:id="2518" w:name="_Toc420594593"/>
      <w:bookmarkEnd w:id="2518"/>
      <w:r>
        <w:rPr>
          <w:rFonts w:cs="Arial"/>
          <w:b/>
          <w:szCs w:val="22"/>
          <w:u w:val="single"/>
          <w:lang w:val="en-US" w:eastAsia="en-GB" w:bidi="ar-SA"/>
        </w:rPr>
        <w:t>Function flow</w:t>
      </w:r>
    </w:p>
    <w:p w14:paraId="2CD9AE0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STORE DATA command, the eUICC SHALL:</w:t>
      </w:r>
    </w:p>
    <w:p w14:paraId="35F6036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Disable the retry mechanism for the notification</w:t>
      </w:r>
    </w:p>
    <w:p w14:paraId="39EE785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Perform the follow-up activities required by POL1 upon the activity that triggered the original notification</w:t>
      </w:r>
    </w:p>
    <w:p w14:paraId="0C8B723B" w14:textId="77777777" w:rsidR="00B97365" w:rsidRDefault="00000000">
      <w:pPr>
        <w:numPr>
          <w:ilvl w:val="0"/>
          <w:numId w:val="38"/>
        </w:numPr>
        <w:tabs>
          <w:tab w:val="left" w:pos="680"/>
        </w:tabs>
        <w:spacing w:before="0" w:after="200" w:line="276" w:lineRule="auto"/>
        <w:contextualSpacing/>
        <w:jc w:val="left"/>
        <w:rPr>
          <w:rFonts w:asciiTheme="minorHAnsi" w:hAnsiTheme="minorHAnsi" w:cstheme="minorHAnsi"/>
          <w:szCs w:val="22"/>
          <w:lang w:eastAsia="en-GB" w:bidi="ar-SA"/>
        </w:rPr>
      </w:pPr>
      <w:r>
        <w:rPr>
          <w:szCs w:val="22"/>
          <w:lang w:eastAsia="en-GB" w:bidi="ar-SA"/>
        </w:rPr>
        <w:t>Return the result of any such activity in the response data</w:t>
      </w:r>
    </w:p>
    <w:p w14:paraId="5CAA05FE" w14:textId="77777777" w:rsidR="00B97365" w:rsidRDefault="00B97365">
      <w:pPr>
        <w:tabs>
          <w:tab w:val="left" w:pos="680"/>
        </w:tabs>
        <w:spacing w:before="0" w:after="200" w:line="276" w:lineRule="auto"/>
        <w:contextualSpacing/>
        <w:jc w:val="left"/>
        <w:rPr>
          <w:rFonts w:asciiTheme="minorHAnsi" w:hAnsiTheme="minorHAnsi" w:cstheme="minorHAnsi"/>
          <w:szCs w:val="22"/>
          <w:lang w:eastAsia="en-GB" w:bidi="ar-SA"/>
        </w:rPr>
      </w:pPr>
    </w:p>
    <w:p w14:paraId="01B4C2D6" w14:textId="77777777" w:rsidR="00B97365" w:rsidRDefault="00000000">
      <w:pPr>
        <w:spacing w:before="0" w:after="200" w:line="276" w:lineRule="auto"/>
        <w:jc w:val="left"/>
        <w:rPr>
          <w:b/>
          <w:szCs w:val="22"/>
          <w:u w:val="single"/>
          <w:lang w:val="en-US" w:eastAsia="en-GB" w:bidi="ar-SA"/>
        </w:rPr>
      </w:pPr>
      <w:bookmarkStart w:id="2519" w:name="_Toc420594594"/>
      <w:r>
        <w:rPr>
          <w:rFonts w:cs="Arial"/>
          <w:b/>
          <w:szCs w:val="22"/>
          <w:u w:val="single"/>
          <w:lang w:val="en-US" w:eastAsia="en-GB" w:bidi="ar-SA"/>
        </w:rPr>
        <w:t>Command Description:</w:t>
      </w:r>
      <w:bookmarkEnd w:id="2519"/>
    </w:p>
    <w:p w14:paraId="0EA32BE4" w14:textId="77777777" w:rsidR="00B97365" w:rsidRDefault="00000000">
      <w:pPr>
        <w:spacing w:before="0" w:after="200" w:line="276" w:lineRule="auto"/>
        <w:jc w:val="left"/>
        <w:rPr>
          <w:b/>
          <w:i/>
          <w:szCs w:val="22"/>
          <w:lang w:val="en-US" w:eastAsia="en-GB" w:bidi="ar-SA"/>
        </w:rPr>
      </w:pPr>
      <w:bookmarkStart w:id="2520" w:name="_Toc420594595"/>
      <w:r>
        <w:rPr>
          <w:rFonts w:cs="Arial"/>
          <w:b/>
          <w:i/>
          <w:szCs w:val="22"/>
          <w:lang w:val="en-US" w:eastAsia="en-GB" w:bidi="ar-SA"/>
        </w:rPr>
        <w:t>STORE DATA Command</w:t>
      </w:r>
      <w:bookmarkEnd w:id="2520"/>
    </w:p>
    <w:p w14:paraId="24D77A63" w14:textId="439E1377" w:rsidR="00B97365" w:rsidRDefault="00000000">
      <w:pPr>
        <w:spacing w:before="0" w:after="200" w:line="276" w:lineRule="auto"/>
        <w:jc w:val="left"/>
        <w:rPr>
          <w:rFonts w:cs="Calibri"/>
        </w:rPr>
      </w:pPr>
      <w:r>
        <w:rPr>
          <w:rFonts w:cs="Arial"/>
          <w:szCs w:val="22"/>
          <w:lang w:val="en-US" w:eastAsia="en-GB" w:bidi="ar-SA"/>
        </w:rPr>
        <w:t xml:space="preserve">This function is realised through the GlobalPlatform STORE DATA command 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797EE70D" w14:textId="77777777" w:rsidR="00B97365" w:rsidRDefault="00000000">
      <w:pPr>
        <w:spacing w:before="0" w:after="200" w:line="276" w:lineRule="auto"/>
        <w:jc w:val="left"/>
        <w:rPr>
          <w:b/>
          <w:i/>
          <w:szCs w:val="22"/>
          <w:lang w:val="en-US" w:eastAsia="en-GB" w:bidi="ar-SA"/>
        </w:rPr>
      </w:pPr>
      <w:bookmarkStart w:id="2521" w:name="_Toc420594596"/>
      <w:r>
        <w:rPr>
          <w:rFonts w:cs="Arial"/>
          <w:b/>
          <w:i/>
          <w:szCs w:val="22"/>
          <w:lang w:val="en-US" w:eastAsia="en-GB" w:bidi="ar-SA"/>
        </w:rPr>
        <w:t>Command Message</w:t>
      </w:r>
      <w:bookmarkEnd w:id="2521"/>
    </w:p>
    <w:p w14:paraId="1472DBA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command message SHALL be coded according to the following table: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40"/>
        <w:gridCol w:w="2603"/>
        <w:gridCol w:w="4312"/>
      </w:tblGrid>
      <w:tr w:rsidR="00B97365" w14:paraId="31F8EB65"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156262B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A723C1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0B78BD0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06BAE4D6"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356B5576" w14:textId="77777777" w:rsidR="00B97365" w:rsidRDefault="00000000">
            <w:pPr>
              <w:rPr>
                <w:rFonts w:cs="Calibri"/>
                <w:sz w:val="16"/>
                <w:szCs w:val="16"/>
              </w:rPr>
            </w:pPr>
            <w:r>
              <w:rPr>
                <w:rFonts w:cs="Calibri"/>
                <w:sz w:val="16"/>
                <w:szCs w:val="16"/>
              </w:rPr>
              <w:t>CLA</w:t>
            </w:r>
          </w:p>
        </w:tc>
        <w:tc>
          <w:tcPr>
            <w:tcW w:w="0" w:type="auto"/>
            <w:tcBorders>
              <w:top w:val="single" w:sz="6" w:space="0" w:color="auto"/>
              <w:left w:val="single" w:sz="6" w:space="0" w:color="auto"/>
              <w:bottom w:val="single" w:sz="6" w:space="0" w:color="auto"/>
              <w:right w:val="single" w:sz="6" w:space="0" w:color="auto"/>
            </w:tcBorders>
            <w:hideMark/>
          </w:tcPr>
          <w:p w14:paraId="71BA6C8D" w14:textId="77777777" w:rsidR="00B97365" w:rsidRDefault="00000000">
            <w:pPr>
              <w:rPr>
                <w:rFonts w:cs="Calibri"/>
                <w:sz w:val="16"/>
                <w:szCs w:val="16"/>
              </w:rPr>
            </w:pPr>
            <w:r>
              <w:rPr>
                <w:rFonts w:cs="Calibri"/>
                <w:sz w:val="16"/>
                <w:szCs w:val="16"/>
              </w:rPr>
              <w:t>‘80’ – ‘8F’, ‘C0’ – ‘CF’ or ‘E0’ – ‘EF’</w:t>
            </w:r>
          </w:p>
        </w:tc>
        <w:tc>
          <w:tcPr>
            <w:tcW w:w="0" w:type="auto"/>
            <w:tcBorders>
              <w:top w:val="single" w:sz="6" w:space="0" w:color="auto"/>
              <w:left w:val="single" w:sz="6" w:space="0" w:color="auto"/>
              <w:bottom w:val="single" w:sz="6" w:space="0" w:color="auto"/>
              <w:right w:val="single" w:sz="4" w:space="0" w:color="auto"/>
            </w:tcBorders>
            <w:hideMark/>
          </w:tcPr>
          <w:p w14:paraId="17E35184" w14:textId="77777777" w:rsidR="00B97365" w:rsidRDefault="00000000">
            <w:pPr>
              <w:rPr>
                <w:rFonts w:cs="Calibri"/>
                <w:sz w:val="16"/>
                <w:szCs w:val="16"/>
              </w:rPr>
            </w:pPr>
            <w:r>
              <w:rPr>
                <w:rFonts w:cs="Calibri"/>
                <w:sz w:val="16"/>
                <w:szCs w:val="16"/>
              </w:rPr>
              <w:t>See section 11.1.4 of GlobalPlatform Card Specification [6]</w:t>
            </w:r>
          </w:p>
        </w:tc>
      </w:tr>
      <w:tr w:rsidR="00B97365" w14:paraId="2907F0CB"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4AE99BD7" w14:textId="77777777" w:rsidR="00B97365" w:rsidRDefault="00000000">
            <w:pPr>
              <w:rPr>
                <w:rFonts w:cs="Calibri"/>
                <w:sz w:val="16"/>
                <w:szCs w:val="16"/>
              </w:rPr>
            </w:pPr>
            <w:r>
              <w:rPr>
                <w:rFonts w:cs="Calibri"/>
                <w:sz w:val="16"/>
                <w:szCs w:val="16"/>
              </w:rPr>
              <w:t>INS</w:t>
            </w:r>
          </w:p>
        </w:tc>
        <w:tc>
          <w:tcPr>
            <w:tcW w:w="0" w:type="auto"/>
            <w:tcBorders>
              <w:top w:val="single" w:sz="6" w:space="0" w:color="auto"/>
              <w:left w:val="single" w:sz="6" w:space="0" w:color="auto"/>
              <w:bottom w:val="single" w:sz="6" w:space="0" w:color="auto"/>
              <w:right w:val="single" w:sz="6" w:space="0" w:color="auto"/>
            </w:tcBorders>
            <w:hideMark/>
          </w:tcPr>
          <w:p w14:paraId="7F0C667C" w14:textId="77777777" w:rsidR="00B97365" w:rsidRDefault="00000000">
            <w:pPr>
              <w:rPr>
                <w:rFonts w:cs="Calibri"/>
                <w:sz w:val="16"/>
                <w:szCs w:val="16"/>
              </w:rPr>
            </w:pPr>
            <w:r>
              <w:rPr>
                <w:rFonts w:cs="Calibri"/>
                <w:sz w:val="16"/>
                <w:szCs w:val="16"/>
              </w:rPr>
              <w:t>‘E2’</w:t>
            </w:r>
          </w:p>
        </w:tc>
        <w:tc>
          <w:tcPr>
            <w:tcW w:w="0" w:type="auto"/>
            <w:tcBorders>
              <w:top w:val="single" w:sz="6" w:space="0" w:color="auto"/>
              <w:left w:val="single" w:sz="6" w:space="0" w:color="auto"/>
              <w:bottom w:val="single" w:sz="6" w:space="0" w:color="auto"/>
              <w:right w:val="single" w:sz="4" w:space="0" w:color="auto"/>
            </w:tcBorders>
            <w:hideMark/>
          </w:tcPr>
          <w:p w14:paraId="19C4AC05" w14:textId="77777777" w:rsidR="00B97365" w:rsidRDefault="00000000">
            <w:pPr>
              <w:rPr>
                <w:rFonts w:cs="Calibri"/>
                <w:sz w:val="16"/>
                <w:szCs w:val="16"/>
              </w:rPr>
            </w:pPr>
            <w:r>
              <w:rPr>
                <w:rFonts w:cs="Calibri"/>
                <w:sz w:val="16"/>
                <w:szCs w:val="16"/>
              </w:rPr>
              <w:t>STORE DATA</w:t>
            </w:r>
          </w:p>
        </w:tc>
      </w:tr>
      <w:tr w:rsidR="00B97365" w14:paraId="6C86AB4E"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30AD5F55" w14:textId="77777777" w:rsidR="00B97365" w:rsidRDefault="00000000">
            <w:pPr>
              <w:rPr>
                <w:rFonts w:cs="Calibri"/>
                <w:sz w:val="16"/>
                <w:szCs w:val="16"/>
              </w:rPr>
            </w:pPr>
            <w:r>
              <w:rPr>
                <w:rFonts w:cs="Calibri"/>
                <w:sz w:val="16"/>
                <w:szCs w:val="16"/>
              </w:rPr>
              <w:t>P1</w:t>
            </w:r>
          </w:p>
        </w:tc>
        <w:tc>
          <w:tcPr>
            <w:tcW w:w="0" w:type="auto"/>
            <w:tcBorders>
              <w:top w:val="single" w:sz="6" w:space="0" w:color="auto"/>
              <w:left w:val="single" w:sz="6" w:space="0" w:color="auto"/>
              <w:bottom w:val="single" w:sz="6" w:space="0" w:color="auto"/>
              <w:right w:val="single" w:sz="6" w:space="0" w:color="auto"/>
            </w:tcBorders>
            <w:hideMark/>
          </w:tcPr>
          <w:p w14:paraId="062F1394" w14:textId="77777777" w:rsidR="00B97365" w:rsidRDefault="00000000">
            <w:pPr>
              <w:rPr>
                <w:rFonts w:cs="Calibri"/>
                <w:sz w:val="16"/>
                <w:szCs w:val="16"/>
              </w:rPr>
            </w:pPr>
            <w:r>
              <w:rPr>
                <w:rFonts w:cs="Calibri"/>
                <w:sz w:val="16"/>
                <w:szCs w:val="16"/>
              </w:rPr>
              <w:t>‘89’</w:t>
            </w:r>
          </w:p>
        </w:tc>
        <w:tc>
          <w:tcPr>
            <w:tcW w:w="0" w:type="auto"/>
            <w:tcBorders>
              <w:top w:val="single" w:sz="6" w:space="0" w:color="auto"/>
              <w:left w:val="single" w:sz="6" w:space="0" w:color="auto"/>
              <w:bottom w:val="single" w:sz="6" w:space="0" w:color="auto"/>
              <w:right w:val="single" w:sz="4" w:space="0" w:color="auto"/>
            </w:tcBorders>
            <w:hideMark/>
          </w:tcPr>
          <w:p w14:paraId="570EC41F" w14:textId="77777777" w:rsidR="00B97365" w:rsidRDefault="00000000">
            <w:pPr>
              <w:rPr>
                <w:rFonts w:cs="Calibri"/>
                <w:sz w:val="16"/>
                <w:szCs w:val="16"/>
              </w:rPr>
            </w:pPr>
            <w:r>
              <w:rPr>
                <w:rFonts w:cs="Calibri"/>
                <w:sz w:val="16"/>
                <w:szCs w:val="16"/>
              </w:rPr>
              <w:t>Reference control parameter P1</w:t>
            </w:r>
          </w:p>
        </w:tc>
      </w:tr>
      <w:tr w:rsidR="00B97365" w14:paraId="77D15254"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0566CB92" w14:textId="77777777" w:rsidR="00B97365" w:rsidRDefault="00000000">
            <w:pPr>
              <w:rPr>
                <w:rFonts w:cs="Calibri"/>
                <w:sz w:val="16"/>
                <w:szCs w:val="16"/>
              </w:rPr>
            </w:pPr>
            <w:r>
              <w:rPr>
                <w:rFonts w:cs="Calibri"/>
                <w:sz w:val="16"/>
                <w:szCs w:val="16"/>
              </w:rPr>
              <w:t>P2</w:t>
            </w:r>
          </w:p>
        </w:tc>
        <w:tc>
          <w:tcPr>
            <w:tcW w:w="0" w:type="auto"/>
            <w:tcBorders>
              <w:top w:val="single" w:sz="6" w:space="0" w:color="auto"/>
              <w:left w:val="single" w:sz="6" w:space="0" w:color="auto"/>
              <w:bottom w:val="single" w:sz="6" w:space="0" w:color="auto"/>
              <w:right w:val="single" w:sz="6" w:space="0" w:color="auto"/>
            </w:tcBorders>
            <w:hideMark/>
          </w:tcPr>
          <w:p w14:paraId="539C59CF" w14:textId="77777777" w:rsidR="00B97365" w:rsidRDefault="00000000">
            <w:pPr>
              <w:rPr>
                <w:rFonts w:cs="Calibri"/>
                <w:sz w:val="16"/>
                <w:szCs w:val="16"/>
              </w:rPr>
            </w:pPr>
            <w:r>
              <w:rPr>
                <w:rFonts w:cs="Calibri"/>
                <w:sz w:val="16"/>
                <w:szCs w:val="16"/>
              </w:rPr>
              <w:t>‘00’</w:t>
            </w:r>
          </w:p>
        </w:tc>
        <w:tc>
          <w:tcPr>
            <w:tcW w:w="0" w:type="auto"/>
            <w:tcBorders>
              <w:top w:val="single" w:sz="6" w:space="0" w:color="auto"/>
              <w:left w:val="single" w:sz="6" w:space="0" w:color="auto"/>
              <w:bottom w:val="single" w:sz="6" w:space="0" w:color="auto"/>
              <w:right w:val="single" w:sz="4" w:space="0" w:color="auto"/>
            </w:tcBorders>
            <w:hideMark/>
          </w:tcPr>
          <w:p w14:paraId="302E35C3" w14:textId="77777777" w:rsidR="00B97365" w:rsidRDefault="00000000">
            <w:pPr>
              <w:rPr>
                <w:rFonts w:cs="Calibri"/>
                <w:sz w:val="16"/>
                <w:szCs w:val="16"/>
              </w:rPr>
            </w:pPr>
            <w:r>
              <w:rPr>
                <w:rFonts w:cs="Calibri"/>
                <w:sz w:val="16"/>
                <w:szCs w:val="16"/>
              </w:rPr>
              <w:t>Block number</w:t>
            </w:r>
          </w:p>
        </w:tc>
      </w:tr>
      <w:tr w:rsidR="00B97365" w14:paraId="50557D1C"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34504E36" w14:textId="77777777" w:rsidR="00B97365" w:rsidRDefault="00000000">
            <w:pPr>
              <w:rPr>
                <w:rFonts w:cs="Calibri"/>
                <w:sz w:val="16"/>
                <w:szCs w:val="16"/>
              </w:rPr>
            </w:pPr>
            <w:r>
              <w:rPr>
                <w:rFonts w:cs="Calibri"/>
                <w:sz w:val="16"/>
                <w:szCs w:val="16"/>
              </w:rPr>
              <w:t>Lc</w:t>
            </w:r>
          </w:p>
        </w:tc>
        <w:tc>
          <w:tcPr>
            <w:tcW w:w="0" w:type="auto"/>
            <w:tcBorders>
              <w:top w:val="single" w:sz="6" w:space="0" w:color="auto"/>
              <w:left w:val="single" w:sz="6" w:space="0" w:color="auto"/>
              <w:bottom w:val="single" w:sz="6" w:space="0" w:color="auto"/>
              <w:right w:val="single" w:sz="6" w:space="0" w:color="auto"/>
            </w:tcBorders>
            <w:hideMark/>
          </w:tcPr>
          <w:p w14:paraId="07D54476" w14:textId="77777777" w:rsidR="00B97365" w:rsidRDefault="00000000">
            <w:pPr>
              <w:rPr>
                <w:rFonts w:cs="Calibri"/>
                <w:sz w:val="16"/>
                <w:szCs w:val="16"/>
              </w:rPr>
            </w:pPr>
            <w:r>
              <w:rPr>
                <w:rFonts w:cs="Calibri"/>
                <w:sz w:val="16"/>
                <w:szCs w:val="16"/>
              </w:rPr>
              <w:t>‘xx’</w:t>
            </w:r>
          </w:p>
        </w:tc>
        <w:tc>
          <w:tcPr>
            <w:tcW w:w="0" w:type="auto"/>
            <w:tcBorders>
              <w:top w:val="single" w:sz="6" w:space="0" w:color="auto"/>
              <w:left w:val="single" w:sz="6" w:space="0" w:color="auto"/>
              <w:bottom w:val="single" w:sz="6" w:space="0" w:color="auto"/>
              <w:right w:val="single" w:sz="4" w:space="0" w:color="auto"/>
            </w:tcBorders>
            <w:hideMark/>
          </w:tcPr>
          <w:p w14:paraId="1BB02A5A" w14:textId="77777777" w:rsidR="00B97365" w:rsidRDefault="00000000">
            <w:pPr>
              <w:rPr>
                <w:rFonts w:cs="Calibri"/>
                <w:sz w:val="16"/>
                <w:szCs w:val="16"/>
              </w:rPr>
            </w:pPr>
            <w:r>
              <w:rPr>
                <w:rFonts w:cs="Calibri"/>
                <w:sz w:val="16"/>
                <w:szCs w:val="16"/>
              </w:rPr>
              <w:t>Length of data field</w:t>
            </w:r>
          </w:p>
        </w:tc>
      </w:tr>
      <w:tr w:rsidR="00B97365" w14:paraId="5A43EC70"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7AAD80C5" w14:textId="77777777" w:rsidR="00B97365" w:rsidRDefault="00000000">
            <w:pPr>
              <w:rPr>
                <w:rFonts w:cs="Calibri"/>
                <w:sz w:val="16"/>
                <w:szCs w:val="16"/>
              </w:rPr>
            </w:pPr>
            <w:r>
              <w:rPr>
                <w:rFonts w:cs="Calibri"/>
                <w:sz w:val="16"/>
                <w:szCs w:val="16"/>
              </w:rPr>
              <w:t>Data</w:t>
            </w:r>
          </w:p>
        </w:tc>
        <w:tc>
          <w:tcPr>
            <w:tcW w:w="0" w:type="auto"/>
            <w:tcBorders>
              <w:top w:val="single" w:sz="6" w:space="0" w:color="auto"/>
              <w:left w:val="single" w:sz="6" w:space="0" w:color="auto"/>
              <w:bottom w:val="single" w:sz="6" w:space="0" w:color="auto"/>
              <w:right w:val="single" w:sz="6" w:space="0" w:color="auto"/>
            </w:tcBorders>
            <w:hideMark/>
          </w:tcPr>
          <w:p w14:paraId="6D321175" w14:textId="77777777" w:rsidR="00B97365" w:rsidRDefault="00000000">
            <w:pPr>
              <w:rPr>
                <w:rFonts w:cs="Calibri"/>
                <w:sz w:val="16"/>
                <w:szCs w:val="16"/>
              </w:rPr>
            </w:pPr>
            <w:r>
              <w:rPr>
                <w:rFonts w:cs="Calibri"/>
                <w:sz w:val="16"/>
                <w:szCs w:val="16"/>
              </w:rPr>
              <w:t>‘xxxxx…’</w:t>
            </w:r>
          </w:p>
        </w:tc>
        <w:tc>
          <w:tcPr>
            <w:tcW w:w="0" w:type="auto"/>
            <w:tcBorders>
              <w:top w:val="single" w:sz="6" w:space="0" w:color="auto"/>
              <w:left w:val="single" w:sz="6" w:space="0" w:color="auto"/>
              <w:bottom w:val="single" w:sz="6" w:space="0" w:color="auto"/>
              <w:right w:val="single" w:sz="4" w:space="0" w:color="auto"/>
            </w:tcBorders>
            <w:hideMark/>
          </w:tcPr>
          <w:p w14:paraId="34D49424" w14:textId="77777777" w:rsidR="00B97365" w:rsidRDefault="00000000">
            <w:pPr>
              <w:rPr>
                <w:rFonts w:cs="Calibri"/>
                <w:sz w:val="16"/>
                <w:szCs w:val="16"/>
              </w:rPr>
            </w:pPr>
            <w:r>
              <w:rPr>
                <w:rFonts w:cs="Calibri"/>
                <w:sz w:val="16"/>
                <w:szCs w:val="16"/>
              </w:rPr>
              <w:t>Application data and MAC (if present)</w:t>
            </w:r>
          </w:p>
        </w:tc>
      </w:tr>
      <w:tr w:rsidR="00B97365" w14:paraId="456DBACD"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7AD269D6" w14:textId="77777777" w:rsidR="00B97365" w:rsidRDefault="00000000">
            <w:pPr>
              <w:keepNext/>
              <w:rPr>
                <w:rFonts w:cs="Calibri"/>
                <w:sz w:val="16"/>
                <w:szCs w:val="16"/>
              </w:rPr>
            </w:pPr>
            <w:r>
              <w:rPr>
                <w:rFonts w:cs="Calibri"/>
                <w:sz w:val="16"/>
                <w:szCs w:val="16"/>
              </w:rPr>
              <w:t>Le</w:t>
            </w:r>
          </w:p>
        </w:tc>
        <w:tc>
          <w:tcPr>
            <w:tcW w:w="0" w:type="auto"/>
            <w:tcBorders>
              <w:top w:val="single" w:sz="6" w:space="0" w:color="auto"/>
              <w:left w:val="single" w:sz="6" w:space="0" w:color="auto"/>
              <w:bottom w:val="single" w:sz="4" w:space="0" w:color="auto"/>
              <w:right w:val="single" w:sz="6" w:space="0" w:color="auto"/>
            </w:tcBorders>
            <w:hideMark/>
          </w:tcPr>
          <w:p w14:paraId="75333F2F" w14:textId="77777777" w:rsidR="00B97365" w:rsidRDefault="00000000">
            <w:pPr>
              <w:keepNext/>
              <w:rPr>
                <w:rFonts w:cs="Calibri"/>
                <w:sz w:val="16"/>
                <w:szCs w:val="16"/>
              </w:rPr>
            </w:pPr>
            <w:r>
              <w:rPr>
                <w:rFonts w:cs="Calibri"/>
                <w:sz w:val="16"/>
                <w:szCs w:val="16"/>
              </w:rPr>
              <w:t xml:space="preserve">‘00’ </w:t>
            </w:r>
          </w:p>
        </w:tc>
        <w:tc>
          <w:tcPr>
            <w:tcW w:w="0" w:type="auto"/>
            <w:tcBorders>
              <w:top w:val="single" w:sz="6" w:space="0" w:color="auto"/>
              <w:left w:val="single" w:sz="6" w:space="0" w:color="auto"/>
              <w:bottom w:val="single" w:sz="4" w:space="0" w:color="auto"/>
              <w:right w:val="single" w:sz="4" w:space="0" w:color="auto"/>
            </w:tcBorders>
          </w:tcPr>
          <w:p w14:paraId="4A0BE56F" w14:textId="77777777" w:rsidR="00B97365" w:rsidRDefault="00B97365">
            <w:pPr>
              <w:keepNext/>
              <w:rPr>
                <w:rFonts w:cs="Calibri"/>
                <w:sz w:val="16"/>
                <w:szCs w:val="16"/>
              </w:rPr>
            </w:pPr>
          </w:p>
        </w:tc>
      </w:tr>
    </w:tbl>
    <w:p w14:paraId="1DA41E65"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Command Message</w:t>
      </w:r>
    </w:p>
    <w:p w14:paraId="3C2ECCF4"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3"/>
        <w:gridCol w:w="403"/>
        <w:gridCol w:w="403"/>
        <w:gridCol w:w="403"/>
        <w:gridCol w:w="403"/>
        <w:gridCol w:w="403"/>
        <w:gridCol w:w="403"/>
        <w:gridCol w:w="403"/>
        <w:gridCol w:w="4228"/>
      </w:tblGrid>
      <w:tr w:rsidR="00B97365" w14:paraId="3922D996"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6A79725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5023B125"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044FADDD"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FCDAD74"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108447D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DC57B3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5C13F07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03FC49F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00AE489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088C266E"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9023374"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347C8D8F"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94F6511"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5E506E7"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E46C1EF"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B8AA486"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0D67316"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E09D4A1"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4A2F02D3" w14:textId="77777777" w:rsidR="00B97365" w:rsidRDefault="00000000">
            <w:pPr>
              <w:rPr>
                <w:rFonts w:cs="Calibri"/>
                <w:sz w:val="16"/>
                <w:szCs w:val="16"/>
              </w:rPr>
            </w:pPr>
            <w:r>
              <w:rPr>
                <w:rFonts w:cs="Calibri"/>
                <w:sz w:val="16"/>
                <w:szCs w:val="16"/>
              </w:rPr>
              <w:t>Last block</w:t>
            </w:r>
          </w:p>
        </w:tc>
      </w:tr>
      <w:tr w:rsidR="00B97365" w14:paraId="68632657"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3AB1245"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4E89F68"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7B38376A"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36B2C728"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38F27DF"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5F93D6D"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5B646E7"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CCAF0A0"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307DE266" w14:textId="77777777" w:rsidR="00B97365" w:rsidRDefault="00000000">
            <w:pPr>
              <w:rPr>
                <w:rFonts w:cs="Calibri"/>
                <w:sz w:val="16"/>
                <w:szCs w:val="16"/>
              </w:rPr>
            </w:pPr>
            <w:r>
              <w:rPr>
                <w:rFonts w:cs="Calibri"/>
                <w:sz w:val="16"/>
                <w:szCs w:val="16"/>
              </w:rPr>
              <w:t xml:space="preserve">No general encryption information or non-encrypted data </w:t>
            </w:r>
          </w:p>
        </w:tc>
      </w:tr>
      <w:tr w:rsidR="00B97365" w14:paraId="290DB0FA"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3EC2B5CA"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EC4EC96"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3B5070A"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2DBEE97"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4A5CD652"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6696DBDC"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47D701F"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B433001"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7B954890" w14:textId="77777777" w:rsidR="00B97365" w:rsidRDefault="00000000">
            <w:pPr>
              <w:rPr>
                <w:rFonts w:cs="Calibri"/>
                <w:sz w:val="16"/>
                <w:szCs w:val="16"/>
              </w:rPr>
            </w:pPr>
            <w:r>
              <w:rPr>
                <w:rFonts w:cs="Calibri"/>
                <w:sz w:val="16"/>
                <w:szCs w:val="16"/>
              </w:rPr>
              <w:t>DGI format of the command data field</w:t>
            </w:r>
          </w:p>
        </w:tc>
      </w:tr>
      <w:tr w:rsidR="00B97365" w14:paraId="168F2A96"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D4B399F"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9EE313A"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1E334D7"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46F13D7"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45902FD"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5D45C42"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EE41A3B"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FCF237E" w14:textId="77777777" w:rsidR="00B97365" w:rsidRDefault="00000000">
            <w:pPr>
              <w:keepNext/>
              <w:rPr>
                <w:rFonts w:cs="Calibri"/>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4" w:space="0" w:color="auto"/>
            </w:tcBorders>
            <w:hideMark/>
          </w:tcPr>
          <w:p w14:paraId="4891A5B7" w14:textId="77777777" w:rsidR="00B97365" w:rsidRDefault="00000000">
            <w:pPr>
              <w:keepNext/>
              <w:rPr>
                <w:rFonts w:cs="Calibri"/>
                <w:sz w:val="16"/>
                <w:szCs w:val="16"/>
              </w:rPr>
            </w:pPr>
            <w:r>
              <w:rPr>
                <w:rFonts w:cs="Arial"/>
                <w:sz w:val="16"/>
                <w:szCs w:val="16"/>
              </w:rPr>
              <w:t>Case 4 command</w:t>
            </w:r>
          </w:p>
        </w:tc>
      </w:tr>
      <w:tr w:rsidR="00B97365" w14:paraId="73A436E2"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0D616C73"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6D8A34D7"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6A1A1DBB"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6F37211"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46BB591"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732148C6" w14:textId="77777777" w:rsidR="00B97365" w:rsidRDefault="00000000">
            <w:pPr>
              <w:keepNext/>
              <w:rPr>
                <w:rFonts w:cs="Calibri"/>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5EF1D09C" w14:textId="77777777" w:rsidR="00B97365" w:rsidRDefault="00000000">
            <w:pPr>
              <w:keepNext/>
              <w:rPr>
                <w:rFonts w:cs="Calibri"/>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7DDCD419" w14:textId="77777777" w:rsidR="00B97365" w:rsidRDefault="00000000">
            <w:pPr>
              <w:keepNext/>
              <w:rPr>
                <w:rFonts w:cs="Calibri"/>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4" w:space="0" w:color="auto"/>
            </w:tcBorders>
            <w:hideMark/>
          </w:tcPr>
          <w:p w14:paraId="1BC1C4B6" w14:textId="77777777" w:rsidR="00B97365" w:rsidRDefault="00000000">
            <w:pPr>
              <w:keepNext/>
              <w:rPr>
                <w:rFonts w:cs="Calibri"/>
                <w:sz w:val="16"/>
                <w:szCs w:val="16"/>
              </w:rPr>
            </w:pPr>
            <w:r>
              <w:rPr>
                <w:rFonts w:cs="Arial"/>
                <w:sz w:val="16"/>
                <w:szCs w:val="16"/>
              </w:rPr>
              <w:t>RFU</w:t>
            </w:r>
          </w:p>
        </w:tc>
      </w:tr>
    </w:tbl>
    <w:p w14:paraId="7DDA61DA"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STORE DATA Reference Control Parameter P1</w:t>
      </w:r>
    </w:p>
    <w:p w14:paraId="3DE8DBCF" w14:textId="77777777" w:rsidR="00B97365" w:rsidRDefault="00000000">
      <w:pPr>
        <w:spacing w:before="0" w:after="200" w:line="276" w:lineRule="auto"/>
        <w:jc w:val="left"/>
        <w:rPr>
          <w:b/>
          <w:i/>
          <w:szCs w:val="22"/>
          <w:lang w:val="en-US" w:eastAsia="en-GB" w:bidi="ar-SA"/>
        </w:rPr>
      </w:pPr>
      <w:bookmarkStart w:id="2522" w:name="_Toc420594597"/>
      <w:r>
        <w:rPr>
          <w:rFonts w:cs="Arial"/>
          <w:b/>
          <w:i/>
          <w:szCs w:val="22"/>
          <w:lang w:val="en-US" w:eastAsia="en-GB" w:bidi="ar-SA"/>
        </w:rPr>
        <w:t>Data Field Sent in the Command Message</w:t>
      </w:r>
      <w:bookmarkEnd w:id="252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61"/>
        <w:gridCol w:w="750"/>
        <w:gridCol w:w="501"/>
        <w:gridCol w:w="750"/>
        <w:gridCol w:w="2360"/>
        <w:gridCol w:w="590"/>
      </w:tblGrid>
      <w:tr w:rsidR="00B97365" w14:paraId="177EF286"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29457888" w14:textId="77777777" w:rsidR="00B97365" w:rsidRDefault="00000000">
            <w:pPr>
              <w:jc w:val="center"/>
              <w:rPr>
                <w:rFonts w:cs="Calibri"/>
                <w:b/>
                <w:color w:val="FFFFFF"/>
                <w:sz w:val="16"/>
                <w:szCs w:val="16"/>
              </w:rPr>
            </w:pPr>
            <w:r>
              <w:rPr>
                <w:rFonts w:cs="Calibri"/>
                <w:b/>
                <w:color w:val="FFFFFF"/>
                <w:sz w:val="16"/>
                <w:szCs w:val="16"/>
              </w:rPr>
              <w:t>DGI</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692DB532" w14:textId="77777777" w:rsidR="00B97365" w:rsidRDefault="00000000">
            <w:pPr>
              <w:jc w:val="center"/>
              <w:rPr>
                <w:rFonts w:cs="Calibri"/>
                <w:b/>
                <w:color w:val="FFFFFF"/>
                <w:sz w:val="16"/>
                <w:szCs w:val="16"/>
              </w:rPr>
            </w:pPr>
            <w:r>
              <w:rPr>
                <w:rFonts w:cs="Calibri"/>
                <w:b/>
                <w:color w:val="FFFFFF"/>
                <w:sz w:val="16"/>
                <w:szCs w:val="16"/>
              </w:rPr>
              <w:t>Length</w:t>
            </w:r>
          </w:p>
        </w:tc>
        <w:tc>
          <w:tcPr>
            <w:tcW w:w="0" w:type="auto"/>
            <w:gridSpan w:val="3"/>
            <w:tcBorders>
              <w:top w:val="single" w:sz="4" w:space="0" w:color="auto"/>
              <w:left w:val="single" w:sz="6" w:space="0" w:color="auto"/>
              <w:bottom w:val="single" w:sz="6" w:space="0" w:color="auto"/>
              <w:right w:val="single" w:sz="6" w:space="0" w:color="auto"/>
            </w:tcBorders>
            <w:shd w:val="clear" w:color="auto" w:fill="C00000"/>
            <w:hideMark/>
          </w:tcPr>
          <w:p w14:paraId="198D3D6C" w14:textId="77777777" w:rsidR="00B97365" w:rsidRDefault="00000000">
            <w:pPr>
              <w:jc w:val="center"/>
              <w:rPr>
                <w:rFonts w:cs="Calibri"/>
                <w:b/>
                <w:color w:val="FFFFFF"/>
                <w:sz w:val="16"/>
                <w:szCs w:val="16"/>
              </w:rPr>
            </w:pPr>
            <w:r>
              <w:rPr>
                <w:rFonts w:cs="Calibri"/>
                <w:b/>
                <w:color w:val="FFFFFF"/>
                <w:sz w:val="16"/>
                <w:szCs w:val="16"/>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5A7A0E2E"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14C33C02"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7C2AC329" w14:textId="77777777" w:rsidR="00B97365" w:rsidRDefault="00000000">
            <w:pPr>
              <w:rPr>
                <w:rFonts w:cs="Calibri"/>
                <w:sz w:val="16"/>
                <w:szCs w:val="16"/>
              </w:rPr>
            </w:pPr>
            <w:r>
              <w:rPr>
                <w:rFonts w:cs="Calibri"/>
                <w:sz w:val="16"/>
                <w:szCs w:val="16"/>
              </w:rPr>
              <w:t>‘3A08’</w:t>
            </w:r>
          </w:p>
        </w:tc>
        <w:tc>
          <w:tcPr>
            <w:tcW w:w="0" w:type="auto"/>
            <w:tcBorders>
              <w:top w:val="single" w:sz="6" w:space="0" w:color="auto"/>
              <w:left w:val="single" w:sz="6" w:space="0" w:color="auto"/>
              <w:bottom w:val="single" w:sz="6" w:space="0" w:color="auto"/>
              <w:right w:val="single" w:sz="6" w:space="0" w:color="auto"/>
            </w:tcBorders>
            <w:hideMark/>
          </w:tcPr>
          <w:p w14:paraId="0F8DFCD9" w14:textId="77777777" w:rsidR="00B97365" w:rsidRDefault="00000000">
            <w:pPr>
              <w:rPr>
                <w:rFonts w:cs="Calibri"/>
                <w:sz w:val="16"/>
                <w:szCs w:val="16"/>
              </w:rPr>
            </w:pPr>
            <w:r>
              <w:rPr>
                <w:rFonts w:cs="Calibri"/>
                <w:sz w:val="16"/>
                <w:szCs w:val="16"/>
              </w:rPr>
              <w:t>Var</w:t>
            </w:r>
          </w:p>
        </w:tc>
        <w:tc>
          <w:tcPr>
            <w:tcW w:w="0" w:type="auto"/>
            <w:gridSpan w:val="3"/>
            <w:tcBorders>
              <w:top w:val="single" w:sz="6" w:space="0" w:color="auto"/>
              <w:left w:val="single" w:sz="6" w:space="0" w:color="auto"/>
              <w:bottom w:val="single" w:sz="6" w:space="0" w:color="auto"/>
              <w:right w:val="single" w:sz="6" w:space="0" w:color="auto"/>
            </w:tcBorders>
            <w:hideMark/>
          </w:tcPr>
          <w:p w14:paraId="5529DB89" w14:textId="77777777" w:rsidR="00B97365" w:rsidRDefault="00000000">
            <w:pPr>
              <w:rPr>
                <w:rFonts w:cs="Calibri"/>
                <w:sz w:val="16"/>
                <w:szCs w:val="16"/>
              </w:rPr>
            </w:pPr>
            <w:bookmarkStart w:id="2523" w:name="_Hlk367275392"/>
            <w:r>
              <w:rPr>
                <w:rFonts w:cs="Calibri"/>
                <w:sz w:val="16"/>
                <w:szCs w:val="16"/>
              </w:rPr>
              <w:t>Notification Confirmation</w:t>
            </w:r>
            <w:bookmarkEnd w:id="2523"/>
          </w:p>
        </w:tc>
        <w:tc>
          <w:tcPr>
            <w:tcW w:w="0" w:type="auto"/>
            <w:tcBorders>
              <w:top w:val="single" w:sz="6" w:space="0" w:color="auto"/>
              <w:left w:val="single" w:sz="6" w:space="0" w:color="auto"/>
              <w:bottom w:val="single" w:sz="6" w:space="0" w:color="auto"/>
              <w:right w:val="single" w:sz="4" w:space="0" w:color="auto"/>
            </w:tcBorders>
            <w:hideMark/>
          </w:tcPr>
          <w:p w14:paraId="41D7F448" w14:textId="77777777" w:rsidR="00B97365" w:rsidRDefault="00000000">
            <w:pPr>
              <w:jc w:val="center"/>
              <w:rPr>
                <w:rFonts w:cs="Calibri"/>
                <w:sz w:val="16"/>
                <w:szCs w:val="16"/>
              </w:rPr>
            </w:pPr>
            <w:r>
              <w:rPr>
                <w:rFonts w:cs="Calibri"/>
                <w:sz w:val="16"/>
                <w:szCs w:val="16"/>
              </w:rPr>
              <w:t>M</w:t>
            </w:r>
          </w:p>
        </w:tc>
      </w:tr>
      <w:tr w:rsidR="00B97365" w14:paraId="3DE0B2B4" w14:textId="77777777">
        <w:trPr>
          <w:cantSplit/>
          <w:jc w:val="center"/>
        </w:trPr>
        <w:tc>
          <w:tcPr>
            <w:tcW w:w="0" w:type="auto"/>
            <w:tcBorders>
              <w:top w:val="single" w:sz="6" w:space="0" w:color="auto"/>
              <w:left w:val="single" w:sz="4" w:space="0" w:color="auto"/>
              <w:bottom w:val="single" w:sz="6" w:space="0" w:color="auto"/>
              <w:right w:val="single" w:sz="6" w:space="0" w:color="auto"/>
            </w:tcBorders>
          </w:tcPr>
          <w:p w14:paraId="20E1E801"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tcPr>
          <w:p w14:paraId="158E2896" w14:textId="77777777" w:rsidR="00B97365" w:rsidRDefault="00B97365">
            <w:pPr>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C00000"/>
            <w:hideMark/>
          </w:tcPr>
          <w:p w14:paraId="09B7BB24" w14:textId="77777777" w:rsidR="00B97365" w:rsidRDefault="00000000">
            <w:pPr>
              <w:spacing w:after="120" w:line="276" w:lineRule="auto"/>
              <w:jc w:val="center"/>
              <w:rPr>
                <w:rFonts w:cs="Calibri"/>
                <w:b/>
                <w:color w:val="FFFFFF"/>
                <w:sz w:val="16"/>
                <w:szCs w:val="16"/>
              </w:rPr>
            </w:pPr>
            <w:r>
              <w:rPr>
                <w:rFonts w:cs="Calibri"/>
                <w:b/>
                <w:color w:val="FFFFFF"/>
                <w:sz w:val="16"/>
                <w:szCs w:val="16"/>
              </w:rPr>
              <w:t>Tag</w:t>
            </w:r>
          </w:p>
        </w:tc>
        <w:tc>
          <w:tcPr>
            <w:tcW w:w="0" w:type="auto"/>
            <w:tcBorders>
              <w:top w:val="single" w:sz="6" w:space="0" w:color="auto"/>
              <w:left w:val="single" w:sz="6" w:space="0" w:color="auto"/>
              <w:bottom w:val="single" w:sz="6" w:space="0" w:color="auto"/>
              <w:right w:val="single" w:sz="6" w:space="0" w:color="auto"/>
            </w:tcBorders>
            <w:shd w:val="clear" w:color="auto" w:fill="C00000"/>
            <w:hideMark/>
          </w:tcPr>
          <w:p w14:paraId="689313D7" w14:textId="77777777" w:rsidR="00B97365" w:rsidRDefault="00000000">
            <w:pPr>
              <w:spacing w:after="120" w:line="276" w:lineRule="auto"/>
              <w:jc w:val="center"/>
              <w:rPr>
                <w:rFonts w:cs="Calibri"/>
                <w:b/>
                <w:color w:val="FFFFFF"/>
                <w:sz w:val="16"/>
                <w:szCs w:val="16"/>
              </w:rPr>
            </w:pPr>
            <w:r>
              <w:rPr>
                <w:rFonts w:cs="Calibri"/>
                <w:b/>
                <w:color w:val="FFFFFF"/>
                <w:sz w:val="16"/>
                <w:szCs w:val="16"/>
              </w:rPr>
              <w:t>Length</w:t>
            </w:r>
          </w:p>
        </w:tc>
        <w:tc>
          <w:tcPr>
            <w:tcW w:w="0" w:type="auto"/>
            <w:tcBorders>
              <w:top w:val="single" w:sz="6" w:space="0" w:color="auto"/>
              <w:left w:val="single" w:sz="6" w:space="0" w:color="auto"/>
              <w:bottom w:val="single" w:sz="6" w:space="0" w:color="auto"/>
              <w:right w:val="single" w:sz="6" w:space="0" w:color="auto"/>
            </w:tcBorders>
            <w:shd w:val="clear" w:color="auto" w:fill="C00000"/>
            <w:hideMark/>
          </w:tcPr>
          <w:p w14:paraId="6D6D0F0C" w14:textId="77777777" w:rsidR="00B97365" w:rsidRDefault="00000000">
            <w:pPr>
              <w:spacing w:after="120" w:line="276" w:lineRule="auto"/>
              <w:jc w:val="center"/>
              <w:rPr>
                <w:rFonts w:cs="Calibri"/>
                <w:b/>
                <w:color w:val="FFFFFF"/>
                <w:sz w:val="16"/>
                <w:szCs w:val="16"/>
              </w:rPr>
            </w:pPr>
            <w:r>
              <w:rPr>
                <w:rFonts w:cs="Calibri"/>
                <w:b/>
                <w:color w:val="FFFFFF"/>
                <w:sz w:val="16"/>
                <w:szCs w:val="16"/>
              </w:rPr>
              <w:t>Value Description</w:t>
            </w:r>
          </w:p>
        </w:tc>
        <w:tc>
          <w:tcPr>
            <w:tcW w:w="0" w:type="auto"/>
            <w:tcBorders>
              <w:top w:val="single" w:sz="6" w:space="0" w:color="auto"/>
              <w:left w:val="single" w:sz="6" w:space="0" w:color="auto"/>
              <w:bottom w:val="single" w:sz="6" w:space="0" w:color="auto"/>
              <w:right w:val="single" w:sz="4" w:space="0" w:color="auto"/>
            </w:tcBorders>
            <w:shd w:val="clear" w:color="auto" w:fill="C00000"/>
            <w:hideMark/>
          </w:tcPr>
          <w:p w14:paraId="0BE72770"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E059740" w14:textId="77777777">
        <w:trPr>
          <w:cantSplit/>
          <w:jc w:val="center"/>
        </w:trPr>
        <w:tc>
          <w:tcPr>
            <w:tcW w:w="0" w:type="auto"/>
            <w:tcBorders>
              <w:top w:val="single" w:sz="6" w:space="0" w:color="auto"/>
              <w:left w:val="single" w:sz="4" w:space="0" w:color="auto"/>
              <w:bottom w:val="single" w:sz="4" w:space="0" w:color="auto"/>
              <w:right w:val="single" w:sz="6" w:space="0" w:color="auto"/>
            </w:tcBorders>
          </w:tcPr>
          <w:p w14:paraId="70347403" w14:textId="77777777" w:rsidR="00B97365" w:rsidRDefault="00B97365">
            <w:pPr>
              <w:rPr>
                <w:rFonts w:cs="Calibri"/>
                <w:sz w:val="16"/>
                <w:szCs w:val="16"/>
              </w:rPr>
            </w:pPr>
          </w:p>
        </w:tc>
        <w:tc>
          <w:tcPr>
            <w:tcW w:w="0" w:type="auto"/>
            <w:tcBorders>
              <w:top w:val="single" w:sz="6" w:space="0" w:color="auto"/>
              <w:left w:val="single" w:sz="6" w:space="0" w:color="auto"/>
              <w:bottom w:val="single" w:sz="4" w:space="0" w:color="auto"/>
              <w:right w:val="single" w:sz="6" w:space="0" w:color="auto"/>
            </w:tcBorders>
          </w:tcPr>
          <w:p w14:paraId="27538204" w14:textId="77777777" w:rsidR="00B97365" w:rsidRDefault="00B97365">
            <w:pPr>
              <w:rPr>
                <w:rFonts w:cs="Calibri"/>
                <w:sz w:val="16"/>
                <w:szCs w:val="16"/>
              </w:rPr>
            </w:pPr>
          </w:p>
        </w:tc>
        <w:tc>
          <w:tcPr>
            <w:tcW w:w="0" w:type="auto"/>
            <w:tcBorders>
              <w:top w:val="single" w:sz="6" w:space="0" w:color="auto"/>
              <w:left w:val="single" w:sz="6" w:space="0" w:color="auto"/>
              <w:bottom w:val="single" w:sz="4" w:space="0" w:color="auto"/>
              <w:right w:val="single" w:sz="6" w:space="0" w:color="auto"/>
            </w:tcBorders>
            <w:hideMark/>
          </w:tcPr>
          <w:p w14:paraId="49AF8EB9" w14:textId="77777777" w:rsidR="00B97365" w:rsidRDefault="00000000">
            <w:pPr>
              <w:rPr>
                <w:rFonts w:cs="Calibri"/>
                <w:sz w:val="16"/>
                <w:szCs w:val="16"/>
              </w:rPr>
            </w:pPr>
            <w:r>
              <w:rPr>
                <w:rFonts w:cs="Calibri"/>
                <w:sz w:val="16"/>
                <w:szCs w:val="16"/>
              </w:rPr>
              <w:t>‘4E’</w:t>
            </w:r>
          </w:p>
        </w:tc>
        <w:tc>
          <w:tcPr>
            <w:tcW w:w="0" w:type="auto"/>
            <w:tcBorders>
              <w:top w:val="single" w:sz="6" w:space="0" w:color="auto"/>
              <w:left w:val="single" w:sz="6" w:space="0" w:color="auto"/>
              <w:bottom w:val="single" w:sz="4" w:space="0" w:color="auto"/>
              <w:right w:val="single" w:sz="6" w:space="0" w:color="auto"/>
            </w:tcBorders>
            <w:hideMark/>
          </w:tcPr>
          <w:p w14:paraId="6F031CAE" w14:textId="77777777" w:rsidR="00B97365" w:rsidRDefault="00000000">
            <w:pPr>
              <w:rPr>
                <w:rFonts w:cs="Calibri"/>
                <w:sz w:val="16"/>
                <w:szCs w:val="16"/>
              </w:rPr>
            </w:pPr>
            <w:r>
              <w:rPr>
                <w:rFonts w:cs="Calibri"/>
                <w:sz w:val="16"/>
                <w:szCs w:val="16"/>
              </w:rPr>
              <w:t>2</w:t>
            </w:r>
          </w:p>
        </w:tc>
        <w:tc>
          <w:tcPr>
            <w:tcW w:w="0" w:type="auto"/>
            <w:tcBorders>
              <w:top w:val="single" w:sz="6" w:space="0" w:color="auto"/>
              <w:left w:val="single" w:sz="6" w:space="0" w:color="auto"/>
              <w:bottom w:val="single" w:sz="4" w:space="0" w:color="auto"/>
              <w:right w:val="single" w:sz="6" w:space="0" w:color="auto"/>
            </w:tcBorders>
            <w:hideMark/>
          </w:tcPr>
          <w:p w14:paraId="6570385E" w14:textId="77777777" w:rsidR="00B97365" w:rsidRDefault="00000000">
            <w:pPr>
              <w:rPr>
                <w:rFonts w:cs="Calibri"/>
                <w:sz w:val="16"/>
                <w:szCs w:val="16"/>
              </w:rPr>
            </w:pPr>
            <w:r>
              <w:rPr>
                <w:rFonts w:cs="Calibri"/>
                <w:sz w:val="16"/>
                <w:szCs w:val="16"/>
              </w:rPr>
              <w:t>Notification Sequence number</w:t>
            </w:r>
          </w:p>
        </w:tc>
        <w:tc>
          <w:tcPr>
            <w:tcW w:w="0" w:type="auto"/>
            <w:tcBorders>
              <w:top w:val="single" w:sz="6" w:space="0" w:color="auto"/>
              <w:left w:val="single" w:sz="6" w:space="0" w:color="auto"/>
              <w:bottom w:val="single" w:sz="4" w:space="0" w:color="auto"/>
              <w:right w:val="single" w:sz="4" w:space="0" w:color="auto"/>
            </w:tcBorders>
            <w:hideMark/>
          </w:tcPr>
          <w:p w14:paraId="1D2F636A" w14:textId="77777777" w:rsidR="00B97365" w:rsidRDefault="00000000">
            <w:pPr>
              <w:jc w:val="center"/>
              <w:rPr>
                <w:rFonts w:cs="Calibri"/>
                <w:sz w:val="16"/>
                <w:szCs w:val="16"/>
              </w:rPr>
            </w:pPr>
            <w:r>
              <w:rPr>
                <w:rFonts w:cs="Calibri"/>
                <w:sz w:val="16"/>
                <w:szCs w:val="16"/>
              </w:rPr>
              <w:t>M</w:t>
            </w:r>
          </w:p>
        </w:tc>
      </w:tr>
    </w:tbl>
    <w:p w14:paraId="77883F7F"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Notification Confirmation Data Field</w:t>
      </w:r>
      <w:bookmarkStart w:id="2524" w:name="_Toc420594598"/>
    </w:p>
    <w:p w14:paraId="40F8F5C1"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Response Message</w:t>
      </w:r>
      <w:bookmarkEnd w:id="2524"/>
    </w:p>
    <w:p w14:paraId="29F8C874" w14:textId="77777777" w:rsidR="00B97365" w:rsidRDefault="00000000">
      <w:pPr>
        <w:spacing w:before="0" w:after="200" w:line="276" w:lineRule="auto"/>
        <w:jc w:val="left"/>
        <w:rPr>
          <w:b/>
          <w:i/>
          <w:szCs w:val="22"/>
          <w:lang w:val="en-US" w:eastAsia="en-GB" w:bidi="ar-SA"/>
        </w:rPr>
      </w:pPr>
      <w:bookmarkStart w:id="2525" w:name="_Toc420594599"/>
      <w:r>
        <w:rPr>
          <w:rFonts w:cs="Arial"/>
          <w:b/>
          <w:i/>
          <w:szCs w:val="22"/>
          <w:lang w:val="en-US" w:eastAsia="en-GB" w:bidi="ar-SA"/>
        </w:rPr>
        <w:t>Data Field Returned in the Response Message:</w:t>
      </w:r>
      <w:bookmarkEnd w:id="2525"/>
    </w:p>
    <w:p w14:paraId="482ECDBA" w14:textId="77777777" w:rsidR="00B97365" w:rsidRDefault="00000000">
      <w:pPr>
        <w:spacing w:before="0" w:after="200" w:line="276" w:lineRule="auto"/>
        <w:jc w:val="left"/>
        <w:rPr>
          <w:szCs w:val="22"/>
          <w:lang w:val="en-US" w:eastAsia="en-GB" w:bidi="ar-SA"/>
        </w:rPr>
      </w:pPr>
      <w:bookmarkStart w:id="2526" w:name="_Toc420594600"/>
      <w:r>
        <w:rPr>
          <w:rFonts w:cs="Arial"/>
          <w:szCs w:val="22"/>
          <w:lang w:val="en-US" w:eastAsia="en-GB" w:bidi="ar-SA"/>
        </w:rPr>
        <w:lastRenderedPageBreak/>
        <w:t xml:space="preserve">The data field of the response message SHALL </w:t>
      </w:r>
      <w:r>
        <w:rPr>
          <w:szCs w:val="22"/>
          <w:lang w:eastAsia="en-GB" w:bidi="ar-SA"/>
        </w:rPr>
        <w:t>contain the data structure below.</w:t>
      </w:r>
      <w:r>
        <w:rPr>
          <w:szCs w:val="22"/>
          <w:lang w:val="en-US" w:eastAsia="en-GB" w:bidi="ar-SA"/>
        </w:rPr>
        <w:t xml:space="preserve"> </w:t>
      </w:r>
      <w:bookmarkEnd w:id="2526"/>
    </w:p>
    <w:p w14:paraId="46972C4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Not be present, if no follow-up activities had to be performed, or</w:t>
      </w:r>
    </w:p>
    <w:p w14:paraId="308A026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Contain the data structure below if follow-up activities were performed.</w:t>
      </w:r>
    </w:p>
    <w:p w14:paraId="398BBB48" w14:textId="77777777" w:rsidR="00B97365" w:rsidRDefault="00B97365">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8"/>
        <w:gridCol w:w="1439"/>
        <w:gridCol w:w="970"/>
        <w:gridCol w:w="1439"/>
        <w:gridCol w:w="2999"/>
        <w:gridCol w:w="1181"/>
      </w:tblGrid>
      <w:tr w:rsidR="00B97365" w14:paraId="47605366" w14:textId="77777777">
        <w:trPr>
          <w:cantSplit/>
          <w:tblHeader/>
        </w:trPr>
        <w:tc>
          <w:tcPr>
            <w:tcW w:w="548" w:type="pct"/>
            <w:tcBorders>
              <w:top w:val="single" w:sz="4" w:space="0" w:color="auto"/>
              <w:left w:val="single" w:sz="4" w:space="0" w:color="auto"/>
              <w:bottom w:val="single" w:sz="6" w:space="0" w:color="auto"/>
              <w:right w:val="single" w:sz="6" w:space="0" w:color="auto"/>
            </w:tcBorders>
            <w:shd w:val="clear" w:color="auto" w:fill="C00000"/>
            <w:hideMark/>
          </w:tcPr>
          <w:p w14:paraId="409C8F06" w14:textId="77777777" w:rsidR="00B97365" w:rsidRDefault="00000000">
            <w:pPr>
              <w:jc w:val="center"/>
              <w:rPr>
                <w:rFonts w:cs="Calibri"/>
                <w:color w:val="FFFFFF"/>
                <w:sz w:val="16"/>
                <w:szCs w:val="16"/>
              </w:rPr>
            </w:pPr>
            <w:r>
              <w:rPr>
                <w:rFonts w:cs="Calibri"/>
                <w:color w:val="FFFFFF"/>
                <w:sz w:val="16"/>
                <w:szCs w:val="16"/>
              </w:rPr>
              <w:t>Tag</w:t>
            </w:r>
          </w:p>
        </w:tc>
        <w:tc>
          <w:tcPr>
            <w:tcW w:w="798" w:type="pct"/>
            <w:tcBorders>
              <w:top w:val="single" w:sz="4" w:space="0" w:color="auto"/>
              <w:left w:val="single" w:sz="6" w:space="0" w:color="auto"/>
              <w:bottom w:val="single" w:sz="6" w:space="0" w:color="auto"/>
              <w:right w:val="single" w:sz="6" w:space="0" w:color="auto"/>
            </w:tcBorders>
            <w:shd w:val="clear" w:color="auto" w:fill="C00000"/>
            <w:hideMark/>
          </w:tcPr>
          <w:p w14:paraId="5127B929" w14:textId="77777777" w:rsidR="00B97365" w:rsidRDefault="00000000">
            <w:pPr>
              <w:jc w:val="center"/>
              <w:rPr>
                <w:rFonts w:cs="Calibri"/>
                <w:color w:val="FFFFFF"/>
                <w:sz w:val="16"/>
                <w:szCs w:val="16"/>
              </w:rPr>
            </w:pPr>
            <w:r>
              <w:rPr>
                <w:rFonts w:cs="Calibri"/>
                <w:color w:val="FFFFFF"/>
                <w:sz w:val="16"/>
                <w:szCs w:val="16"/>
              </w:rPr>
              <w:t>Length</w:t>
            </w:r>
          </w:p>
        </w:tc>
        <w:tc>
          <w:tcPr>
            <w:tcW w:w="2999"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7BF74DE1" w14:textId="77777777" w:rsidR="00B97365" w:rsidRDefault="00000000">
            <w:pPr>
              <w:jc w:val="center"/>
              <w:rPr>
                <w:rFonts w:cs="Calibri"/>
                <w:color w:val="FFFFFF"/>
                <w:sz w:val="16"/>
                <w:szCs w:val="16"/>
              </w:rPr>
            </w:pPr>
            <w:r>
              <w:rPr>
                <w:rFonts w:cs="Calibri"/>
                <w:color w:val="FFFFFF"/>
                <w:sz w:val="16"/>
                <w:szCs w:val="16"/>
              </w:rPr>
              <w:t>Value Description</w:t>
            </w:r>
          </w:p>
        </w:tc>
        <w:tc>
          <w:tcPr>
            <w:tcW w:w="655" w:type="pct"/>
            <w:tcBorders>
              <w:top w:val="single" w:sz="4" w:space="0" w:color="auto"/>
              <w:left w:val="single" w:sz="6" w:space="0" w:color="auto"/>
              <w:bottom w:val="single" w:sz="6" w:space="0" w:color="auto"/>
              <w:right w:val="single" w:sz="4" w:space="0" w:color="auto"/>
            </w:tcBorders>
            <w:shd w:val="clear" w:color="auto" w:fill="C00000"/>
            <w:hideMark/>
          </w:tcPr>
          <w:p w14:paraId="5973B7D5" w14:textId="77777777" w:rsidR="00B97365" w:rsidRDefault="00000000">
            <w:pPr>
              <w:jc w:val="center"/>
              <w:rPr>
                <w:rFonts w:cs="Calibri"/>
                <w:color w:val="FFFFFF"/>
                <w:sz w:val="16"/>
                <w:szCs w:val="16"/>
              </w:rPr>
            </w:pPr>
            <w:r>
              <w:rPr>
                <w:rFonts w:cs="Calibri"/>
                <w:color w:val="FFFFFF"/>
                <w:sz w:val="16"/>
                <w:szCs w:val="16"/>
              </w:rPr>
              <w:t>MOC</w:t>
            </w:r>
          </w:p>
        </w:tc>
      </w:tr>
      <w:tr w:rsidR="00B97365" w14:paraId="64F370E5" w14:textId="77777777">
        <w:trPr>
          <w:cantSplit/>
        </w:trPr>
        <w:tc>
          <w:tcPr>
            <w:tcW w:w="548" w:type="pct"/>
            <w:tcBorders>
              <w:top w:val="single" w:sz="6" w:space="0" w:color="auto"/>
              <w:left w:val="single" w:sz="4" w:space="0" w:color="auto"/>
              <w:bottom w:val="single" w:sz="6" w:space="0" w:color="auto"/>
              <w:right w:val="single" w:sz="6" w:space="0" w:color="auto"/>
            </w:tcBorders>
            <w:hideMark/>
          </w:tcPr>
          <w:p w14:paraId="556C54E8" w14:textId="77777777" w:rsidR="00B97365" w:rsidRDefault="00000000">
            <w:pPr>
              <w:rPr>
                <w:rFonts w:cs="Calibri"/>
                <w:sz w:val="16"/>
                <w:szCs w:val="16"/>
              </w:rPr>
            </w:pPr>
            <w:r>
              <w:rPr>
                <w:rFonts w:cs="Calibri"/>
                <w:sz w:val="16"/>
                <w:szCs w:val="16"/>
              </w:rPr>
              <w:t>‘80’</w:t>
            </w:r>
          </w:p>
        </w:tc>
        <w:tc>
          <w:tcPr>
            <w:tcW w:w="798" w:type="pct"/>
            <w:tcBorders>
              <w:top w:val="single" w:sz="6" w:space="0" w:color="auto"/>
              <w:left w:val="single" w:sz="6" w:space="0" w:color="auto"/>
              <w:bottom w:val="single" w:sz="6" w:space="0" w:color="auto"/>
              <w:right w:val="single" w:sz="6" w:space="0" w:color="auto"/>
            </w:tcBorders>
            <w:hideMark/>
          </w:tcPr>
          <w:p w14:paraId="380234DA" w14:textId="77777777" w:rsidR="00B97365" w:rsidRDefault="00000000">
            <w:pPr>
              <w:rPr>
                <w:rFonts w:cs="Calibri"/>
                <w:sz w:val="16"/>
                <w:szCs w:val="16"/>
              </w:rPr>
            </w:pPr>
            <w:r>
              <w:rPr>
                <w:rFonts w:cs="Calibri"/>
                <w:sz w:val="16"/>
                <w:szCs w:val="16"/>
              </w:rPr>
              <w:t>Var</w:t>
            </w:r>
          </w:p>
        </w:tc>
        <w:tc>
          <w:tcPr>
            <w:tcW w:w="2999" w:type="pct"/>
            <w:gridSpan w:val="3"/>
            <w:tcBorders>
              <w:top w:val="single" w:sz="6" w:space="0" w:color="auto"/>
              <w:left w:val="single" w:sz="6" w:space="0" w:color="auto"/>
              <w:bottom w:val="single" w:sz="6" w:space="0" w:color="auto"/>
              <w:right w:val="single" w:sz="6" w:space="0" w:color="auto"/>
            </w:tcBorders>
            <w:hideMark/>
          </w:tcPr>
          <w:p w14:paraId="47B2709A" w14:textId="77777777" w:rsidR="00B97365" w:rsidRDefault="00000000">
            <w:pPr>
              <w:rPr>
                <w:rFonts w:cs="Calibri"/>
                <w:sz w:val="16"/>
                <w:szCs w:val="16"/>
              </w:rPr>
            </w:pPr>
            <w:r>
              <w:rPr>
                <w:rFonts w:cs="Calibri"/>
                <w:sz w:val="16"/>
                <w:szCs w:val="16"/>
              </w:rPr>
              <w:t>List of Deleted ISD-Ps</w:t>
            </w:r>
          </w:p>
        </w:tc>
        <w:tc>
          <w:tcPr>
            <w:tcW w:w="655" w:type="pct"/>
            <w:tcBorders>
              <w:top w:val="single" w:sz="6" w:space="0" w:color="auto"/>
              <w:left w:val="single" w:sz="6" w:space="0" w:color="auto"/>
              <w:bottom w:val="single" w:sz="6" w:space="0" w:color="auto"/>
              <w:right w:val="single" w:sz="4" w:space="0" w:color="auto"/>
            </w:tcBorders>
            <w:hideMark/>
          </w:tcPr>
          <w:p w14:paraId="2396A2E2" w14:textId="77777777" w:rsidR="00B97365" w:rsidRDefault="00000000">
            <w:pPr>
              <w:jc w:val="center"/>
              <w:rPr>
                <w:rFonts w:cs="Calibri"/>
                <w:sz w:val="16"/>
                <w:szCs w:val="16"/>
              </w:rPr>
            </w:pPr>
            <w:r>
              <w:rPr>
                <w:rFonts w:cs="Calibri"/>
                <w:sz w:val="16"/>
                <w:szCs w:val="16"/>
              </w:rPr>
              <w:t>M</w:t>
            </w:r>
          </w:p>
        </w:tc>
      </w:tr>
      <w:tr w:rsidR="00B97365" w14:paraId="119E6921" w14:textId="77777777">
        <w:trPr>
          <w:cantSplit/>
        </w:trPr>
        <w:tc>
          <w:tcPr>
            <w:tcW w:w="548" w:type="pct"/>
            <w:tcBorders>
              <w:top w:val="single" w:sz="6" w:space="0" w:color="auto"/>
              <w:left w:val="single" w:sz="4" w:space="0" w:color="auto"/>
              <w:bottom w:val="single" w:sz="6" w:space="0" w:color="auto"/>
              <w:right w:val="single" w:sz="6" w:space="0" w:color="auto"/>
            </w:tcBorders>
          </w:tcPr>
          <w:p w14:paraId="6A3EF541" w14:textId="77777777" w:rsidR="00B97365" w:rsidRDefault="00B97365">
            <w:pPr>
              <w:rPr>
                <w:rFonts w:cs="Calibri"/>
                <w:sz w:val="16"/>
                <w:szCs w:val="16"/>
              </w:rPr>
            </w:pPr>
          </w:p>
        </w:tc>
        <w:tc>
          <w:tcPr>
            <w:tcW w:w="798" w:type="pct"/>
            <w:tcBorders>
              <w:top w:val="single" w:sz="6" w:space="0" w:color="auto"/>
              <w:left w:val="single" w:sz="6" w:space="0" w:color="auto"/>
              <w:bottom w:val="single" w:sz="6" w:space="0" w:color="auto"/>
              <w:right w:val="single" w:sz="6" w:space="0" w:color="auto"/>
            </w:tcBorders>
          </w:tcPr>
          <w:p w14:paraId="0C53A651" w14:textId="77777777" w:rsidR="00B97365" w:rsidRDefault="00B97365">
            <w:pPr>
              <w:rPr>
                <w:rFonts w:cs="Calibri"/>
                <w:sz w:val="16"/>
                <w:szCs w:val="16"/>
              </w:rPr>
            </w:pPr>
          </w:p>
        </w:tc>
        <w:tc>
          <w:tcPr>
            <w:tcW w:w="538" w:type="pct"/>
            <w:tcBorders>
              <w:top w:val="single" w:sz="6" w:space="0" w:color="auto"/>
              <w:left w:val="single" w:sz="6" w:space="0" w:color="auto"/>
              <w:bottom w:val="single" w:sz="6" w:space="0" w:color="auto"/>
              <w:right w:val="single" w:sz="6" w:space="0" w:color="auto"/>
            </w:tcBorders>
            <w:shd w:val="clear" w:color="auto" w:fill="C00000"/>
            <w:hideMark/>
          </w:tcPr>
          <w:p w14:paraId="002033E4" w14:textId="77777777" w:rsidR="00B97365" w:rsidRDefault="00000000">
            <w:pPr>
              <w:jc w:val="center"/>
              <w:rPr>
                <w:rFonts w:cs="Calibri"/>
                <w:color w:val="FFFFFF"/>
                <w:sz w:val="16"/>
                <w:szCs w:val="16"/>
              </w:rPr>
            </w:pPr>
            <w:r>
              <w:rPr>
                <w:rFonts w:cs="Calibri"/>
                <w:color w:val="FFFFFF"/>
                <w:sz w:val="16"/>
                <w:szCs w:val="16"/>
              </w:rPr>
              <w:t>Tag</w:t>
            </w:r>
          </w:p>
        </w:tc>
        <w:tc>
          <w:tcPr>
            <w:tcW w:w="798" w:type="pct"/>
            <w:tcBorders>
              <w:top w:val="single" w:sz="6" w:space="0" w:color="auto"/>
              <w:left w:val="single" w:sz="6" w:space="0" w:color="auto"/>
              <w:bottom w:val="single" w:sz="6" w:space="0" w:color="auto"/>
              <w:right w:val="single" w:sz="6" w:space="0" w:color="auto"/>
            </w:tcBorders>
            <w:shd w:val="clear" w:color="auto" w:fill="C00000"/>
            <w:hideMark/>
          </w:tcPr>
          <w:p w14:paraId="6E7369B9" w14:textId="77777777" w:rsidR="00B97365" w:rsidRDefault="00000000">
            <w:pPr>
              <w:jc w:val="center"/>
              <w:rPr>
                <w:rFonts w:cs="Calibri"/>
                <w:color w:val="FFFFFF"/>
                <w:sz w:val="16"/>
                <w:szCs w:val="16"/>
              </w:rPr>
            </w:pPr>
            <w:r>
              <w:rPr>
                <w:rFonts w:cs="Calibri"/>
                <w:color w:val="FFFFFF"/>
                <w:sz w:val="16"/>
                <w:szCs w:val="16"/>
              </w:rPr>
              <w:t>Length</w:t>
            </w:r>
          </w:p>
        </w:tc>
        <w:tc>
          <w:tcPr>
            <w:tcW w:w="1663" w:type="pct"/>
            <w:tcBorders>
              <w:top w:val="single" w:sz="6" w:space="0" w:color="auto"/>
              <w:left w:val="single" w:sz="6" w:space="0" w:color="auto"/>
              <w:bottom w:val="single" w:sz="6" w:space="0" w:color="auto"/>
              <w:right w:val="single" w:sz="6" w:space="0" w:color="auto"/>
            </w:tcBorders>
            <w:shd w:val="clear" w:color="auto" w:fill="C00000"/>
            <w:hideMark/>
          </w:tcPr>
          <w:p w14:paraId="5CABCB61" w14:textId="77777777" w:rsidR="00B97365" w:rsidRDefault="00000000">
            <w:pPr>
              <w:jc w:val="center"/>
              <w:rPr>
                <w:rFonts w:cs="Calibri"/>
                <w:color w:val="FFFFFF"/>
                <w:sz w:val="16"/>
                <w:szCs w:val="16"/>
              </w:rPr>
            </w:pPr>
            <w:r>
              <w:rPr>
                <w:rFonts w:cs="Calibri"/>
                <w:color w:val="FFFFFF"/>
                <w:sz w:val="16"/>
                <w:szCs w:val="16"/>
              </w:rPr>
              <w:t>Value Description</w:t>
            </w:r>
          </w:p>
        </w:tc>
        <w:tc>
          <w:tcPr>
            <w:tcW w:w="655" w:type="pct"/>
            <w:tcBorders>
              <w:top w:val="single" w:sz="6" w:space="0" w:color="auto"/>
              <w:left w:val="single" w:sz="6" w:space="0" w:color="auto"/>
              <w:bottom w:val="single" w:sz="6" w:space="0" w:color="auto"/>
              <w:right w:val="single" w:sz="4" w:space="0" w:color="auto"/>
            </w:tcBorders>
            <w:shd w:val="clear" w:color="auto" w:fill="C00000"/>
            <w:hideMark/>
          </w:tcPr>
          <w:p w14:paraId="45A62320" w14:textId="77777777" w:rsidR="00B97365" w:rsidRDefault="00000000">
            <w:pPr>
              <w:jc w:val="center"/>
              <w:rPr>
                <w:rFonts w:cs="Calibri"/>
                <w:color w:val="FFFFFF"/>
                <w:sz w:val="16"/>
                <w:szCs w:val="16"/>
              </w:rPr>
            </w:pPr>
            <w:r>
              <w:rPr>
                <w:rFonts w:cs="Calibri"/>
                <w:color w:val="FFFFFF"/>
                <w:sz w:val="16"/>
                <w:szCs w:val="16"/>
              </w:rPr>
              <w:t>MOC</w:t>
            </w:r>
          </w:p>
        </w:tc>
      </w:tr>
      <w:tr w:rsidR="00B97365" w14:paraId="024FA42D" w14:textId="77777777">
        <w:trPr>
          <w:cantSplit/>
        </w:trPr>
        <w:tc>
          <w:tcPr>
            <w:tcW w:w="548" w:type="pct"/>
            <w:tcBorders>
              <w:top w:val="single" w:sz="6" w:space="0" w:color="auto"/>
              <w:left w:val="single" w:sz="4" w:space="0" w:color="auto"/>
              <w:bottom w:val="single" w:sz="4" w:space="0" w:color="auto"/>
              <w:right w:val="single" w:sz="6" w:space="0" w:color="auto"/>
            </w:tcBorders>
          </w:tcPr>
          <w:p w14:paraId="0533DD0D" w14:textId="77777777" w:rsidR="00B97365" w:rsidRDefault="00B97365">
            <w:pPr>
              <w:rPr>
                <w:rFonts w:cs="Calibri"/>
                <w:sz w:val="16"/>
                <w:szCs w:val="16"/>
              </w:rPr>
            </w:pPr>
          </w:p>
        </w:tc>
        <w:tc>
          <w:tcPr>
            <w:tcW w:w="798" w:type="pct"/>
            <w:tcBorders>
              <w:top w:val="single" w:sz="6" w:space="0" w:color="auto"/>
              <w:left w:val="single" w:sz="6" w:space="0" w:color="auto"/>
              <w:bottom w:val="single" w:sz="4" w:space="0" w:color="auto"/>
              <w:right w:val="single" w:sz="6" w:space="0" w:color="auto"/>
            </w:tcBorders>
          </w:tcPr>
          <w:p w14:paraId="31B3E8D5" w14:textId="77777777" w:rsidR="00B97365" w:rsidRDefault="00B97365">
            <w:pPr>
              <w:rPr>
                <w:rFonts w:cs="Calibri"/>
                <w:sz w:val="16"/>
                <w:szCs w:val="16"/>
              </w:rPr>
            </w:pPr>
          </w:p>
        </w:tc>
        <w:tc>
          <w:tcPr>
            <w:tcW w:w="538" w:type="pct"/>
            <w:tcBorders>
              <w:top w:val="single" w:sz="6" w:space="0" w:color="auto"/>
              <w:left w:val="single" w:sz="6" w:space="0" w:color="auto"/>
              <w:bottom w:val="single" w:sz="4" w:space="0" w:color="auto"/>
              <w:right w:val="single" w:sz="6" w:space="0" w:color="auto"/>
            </w:tcBorders>
            <w:hideMark/>
          </w:tcPr>
          <w:p w14:paraId="5DF7F431" w14:textId="77777777" w:rsidR="00B97365" w:rsidRDefault="00000000">
            <w:pPr>
              <w:rPr>
                <w:rFonts w:cs="Calibri"/>
                <w:sz w:val="16"/>
                <w:szCs w:val="16"/>
              </w:rPr>
            </w:pPr>
            <w:r>
              <w:rPr>
                <w:rFonts w:cs="Calibri"/>
                <w:sz w:val="16"/>
                <w:szCs w:val="16"/>
              </w:rPr>
              <w:t>‘4F’</w:t>
            </w:r>
          </w:p>
        </w:tc>
        <w:tc>
          <w:tcPr>
            <w:tcW w:w="798" w:type="pct"/>
            <w:tcBorders>
              <w:top w:val="single" w:sz="6" w:space="0" w:color="auto"/>
              <w:left w:val="single" w:sz="6" w:space="0" w:color="auto"/>
              <w:bottom w:val="single" w:sz="4" w:space="0" w:color="auto"/>
              <w:right w:val="single" w:sz="6" w:space="0" w:color="auto"/>
            </w:tcBorders>
            <w:hideMark/>
          </w:tcPr>
          <w:p w14:paraId="0C5FDA37" w14:textId="77777777" w:rsidR="00B97365" w:rsidRDefault="00000000">
            <w:pPr>
              <w:rPr>
                <w:rFonts w:cs="Calibri"/>
                <w:sz w:val="16"/>
                <w:szCs w:val="16"/>
              </w:rPr>
            </w:pPr>
            <w:r>
              <w:rPr>
                <w:rFonts w:cs="Calibri"/>
                <w:sz w:val="16"/>
                <w:szCs w:val="16"/>
              </w:rPr>
              <w:t>16</w:t>
            </w:r>
          </w:p>
        </w:tc>
        <w:tc>
          <w:tcPr>
            <w:tcW w:w="1663" w:type="pct"/>
            <w:tcBorders>
              <w:top w:val="single" w:sz="6" w:space="0" w:color="auto"/>
              <w:left w:val="single" w:sz="6" w:space="0" w:color="auto"/>
              <w:bottom w:val="single" w:sz="4" w:space="0" w:color="auto"/>
              <w:right w:val="single" w:sz="6" w:space="0" w:color="auto"/>
            </w:tcBorders>
            <w:hideMark/>
          </w:tcPr>
          <w:p w14:paraId="54431E5C" w14:textId="77777777" w:rsidR="00B97365" w:rsidRDefault="00000000">
            <w:pPr>
              <w:rPr>
                <w:rFonts w:cs="Calibri"/>
                <w:sz w:val="16"/>
                <w:szCs w:val="16"/>
              </w:rPr>
            </w:pPr>
            <w:r>
              <w:rPr>
                <w:rFonts w:cs="Calibri"/>
                <w:sz w:val="16"/>
                <w:szCs w:val="16"/>
              </w:rPr>
              <w:t>AID of ISD-P</w:t>
            </w:r>
          </w:p>
        </w:tc>
        <w:tc>
          <w:tcPr>
            <w:tcW w:w="655" w:type="pct"/>
            <w:tcBorders>
              <w:top w:val="single" w:sz="6" w:space="0" w:color="auto"/>
              <w:left w:val="single" w:sz="6" w:space="0" w:color="auto"/>
              <w:bottom w:val="single" w:sz="4" w:space="0" w:color="auto"/>
              <w:right w:val="single" w:sz="4" w:space="0" w:color="auto"/>
            </w:tcBorders>
            <w:hideMark/>
          </w:tcPr>
          <w:p w14:paraId="2DF099F9" w14:textId="77777777" w:rsidR="00B97365" w:rsidRDefault="00000000">
            <w:pPr>
              <w:jc w:val="center"/>
              <w:rPr>
                <w:rFonts w:cs="Calibri"/>
                <w:sz w:val="16"/>
                <w:szCs w:val="16"/>
              </w:rPr>
            </w:pPr>
            <w:r>
              <w:rPr>
                <w:rFonts w:cs="Calibri"/>
                <w:sz w:val="16"/>
                <w:szCs w:val="16"/>
              </w:rPr>
              <w:t>M</w:t>
            </w:r>
          </w:p>
        </w:tc>
      </w:tr>
    </w:tbl>
    <w:p w14:paraId="445A071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Notification Confirmation Response Data Field</w:t>
      </w:r>
    </w:p>
    <w:p w14:paraId="4CCF1F21" w14:textId="77777777" w:rsidR="00B97365" w:rsidRDefault="00000000">
      <w:pPr>
        <w:tabs>
          <w:tab w:val="left" w:pos="1560"/>
        </w:tabs>
        <w:spacing w:before="0" w:after="200" w:line="276" w:lineRule="auto"/>
        <w:ind w:left="1560" w:hanging="1203"/>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In the current version, the response will carry only one AID. However, the structure is defined in a generic way so that results of other follow-up activities can be added when required.</w:t>
      </w:r>
    </w:p>
    <w:p w14:paraId="40EA05B0" w14:textId="77777777" w:rsidR="00B97365" w:rsidRDefault="00000000">
      <w:pPr>
        <w:tabs>
          <w:tab w:val="left" w:pos="1560"/>
        </w:tabs>
        <w:spacing w:before="0" w:after="200" w:line="276" w:lineRule="auto"/>
        <w:ind w:left="1560" w:hanging="1203"/>
        <w:jc w:val="left"/>
        <w:rPr>
          <w:szCs w:val="22"/>
          <w:lang w:eastAsia="en-GB" w:bidi="ar-SA"/>
        </w:rPr>
      </w:pPr>
      <w:r>
        <w:rPr>
          <w:rFonts w:cs="Arial"/>
          <w:szCs w:val="22"/>
          <w:lang w:val="en-US" w:eastAsia="en-GB" w:bidi="ar-SA"/>
        </w:rPr>
        <w:t>NOTE:</w:t>
      </w:r>
      <w:r>
        <w:rPr>
          <w:rFonts w:cs="Arial"/>
          <w:szCs w:val="22"/>
          <w:lang w:val="en-US" w:eastAsia="en-GB" w:bidi="ar-SA"/>
        </w:rPr>
        <w:tab/>
        <w:t>If no follow-up activity has been performed at all, the data field SHALL contain tag 80 followed by a length of zero, and no value.</w:t>
      </w:r>
    </w:p>
    <w:p w14:paraId="6CE8FC76" w14:textId="77777777" w:rsidR="00B97365" w:rsidRDefault="00000000">
      <w:pPr>
        <w:spacing w:before="0" w:after="200" w:line="276" w:lineRule="auto"/>
        <w:jc w:val="left"/>
        <w:rPr>
          <w:b/>
          <w:i/>
          <w:szCs w:val="22"/>
          <w:lang w:val="en-US" w:eastAsia="en-GB" w:bidi="ar-SA"/>
        </w:rPr>
      </w:pPr>
      <w:bookmarkStart w:id="2527" w:name="_Toc420594601"/>
      <w:r>
        <w:rPr>
          <w:rFonts w:cs="Arial"/>
          <w:b/>
          <w:i/>
          <w:szCs w:val="22"/>
          <w:lang w:val="en-US" w:eastAsia="en-GB" w:bidi="ar-SA"/>
        </w:rPr>
        <w:t>Processing State Returned in the Response Message:</w:t>
      </w:r>
      <w:bookmarkEnd w:id="2527"/>
    </w:p>
    <w:p w14:paraId="412A3EAB" w14:textId="793985DB" w:rsidR="00B97365" w:rsidRDefault="00000000">
      <w:pPr>
        <w:spacing w:before="0" w:after="200" w:line="276" w:lineRule="auto"/>
        <w:jc w:val="left"/>
        <w:rPr>
          <w:szCs w:val="22"/>
          <w:lang w:val="en-US" w:eastAsia="en-GB" w:bidi="ar-SA"/>
        </w:rPr>
      </w:pPr>
      <w:bookmarkStart w:id="2528" w:name="_Toc420594602"/>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11.11.3.2.</w:t>
      </w:r>
      <w:bookmarkEnd w:id="2528"/>
    </w:p>
    <w:p w14:paraId="0CB2ED15"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val="en-US" w:eastAsia="en-US" w:bidi="ar-SA"/>
        </w:rPr>
      </w:pPr>
      <w:bookmarkStart w:id="2529" w:name="_Toc1977318"/>
      <w:bookmarkStart w:id="2530" w:name="_Toc37062477"/>
      <w:r>
        <w:rPr>
          <w:rFonts w:ascii="Arial Bold" w:eastAsia="Times New Roman" w:hAnsi="Arial Bold" w:cs="Arial"/>
          <w:b/>
          <w:iCs/>
          <w:szCs w:val="28"/>
          <w:lang w:val="en-US" w:eastAsia="en-US" w:bidi="ar-SA"/>
        </w:rPr>
        <w:t>Set Emergency Profile Attribute</w:t>
      </w:r>
      <w:bookmarkEnd w:id="2529"/>
      <w:bookmarkEnd w:id="2530"/>
    </w:p>
    <w:p w14:paraId="473DF2A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SetEmergencyProfileAttribute</w:t>
      </w:r>
    </w:p>
    <w:p w14:paraId="2E91E69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p>
    <w:p w14:paraId="2E47784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Platform Management</w:t>
      </w:r>
    </w:p>
    <w:p w14:paraId="06DF3F8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 entity:</w:t>
      </w:r>
      <w:r>
        <w:rPr>
          <w:szCs w:val="22"/>
          <w:lang w:val="en-US" w:eastAsia="en-GB" w:bidi="ar-SA"/>
        </w:rPr>
        <w:t xml:space="preserve"> ISD-R</w:t>
      </w:r>
    </w:p>
    <w:p w14:paraId="3D95B75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optional function sets the Emergency Profile Attribute for one Profile on the target eUICC.</w:t>
      </w:r>
    </w:p>
    <w:p w14:paraId="33A6C059" w14:textId="77777777" w:rsidR="00B97365" w:rsidRDefault="00000000">
      <w:pPr>
        <w:spacing w:before="0" w:after="200" w:line="276" w:lineRule="auto"/>
        <w:jc w:val="left"/>
        <w:rPr>
          <w:b/>
          <w:szCs w:val="22"/>
          <w:u w:val="single"/>
          <w:lang w:val="en-US" w:eastAsia="en-GB" w:bidi="ar-SA"/>
        </w:rPr>
      </w:pPr>
      <w:r>
        <w:rPr>
          <w:rFonts w:cs="Arial"/>
          <w:b/>
          <w:szCs w:val="22"/>
          <w:u w:val="single"/>
          <w:lang w:val="en-US" w:eastAsia="en-GB" w:bidi="ar-SA"/>
        </w:rPr>
        <w:t>Parameters:</w:t>
      </w:r>
    </w:p>
    <w:p w14:paraId="1F2DDDF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ISD-P-AID</w:t>
      </w:r>
    </w:p>
    <w:p w14:paraId="3DA91915" w14:textId="77777777" w:rsidR="00B97365" w:rsidRDefault="00000000">
      <w:pPr>
        <w:spacing w:before="0" w:after="200" w:line="276" w:lineRule="auto"/>
        <w:jc w:val="left"/>
        <w:rPr>
          <w:rFonts w:cs="Arial"/>
          <w:b/>
          <w:szCs w:val="22"/>
          <w:u w:val="single"/>
          <w:lang w:val="en-US" w:eastAsia="en-GB" w:bidi="ar-SA"/>
        </w:rPr>
      </w:pPr>
      <w:r>
        <w:rPr>
          <w:rFonts w:cs="Arial"/>
          <w:b/>
          <w:szCs w:val="22"/>
          <w:u w:val="single"/>
          <w:lang w:val="en-US" w:eastAsia="en-GB" w:bidi="ar-SA"/>
        </w:rPr>
        <w:t>Prerequisites:</w:t>
      </w:r>
    </w:p>
    <w:p w14:paraId="1B3417FE" w14:textId="77777777" w:rsidR="00B97365" w:rsidRDefault="00000000">
      <w:pPr>
        <w:numPr>
          <w:ilvl w:val="0"/>
          <w:numId w:val="63"/>
        </w:numPr>
        <w:spacing w:before="0" w:after="200" w:line="276" w:lineRule="auto"/>
        <w:contextualSpacing/>
        <w:jc w:val="left"/>
        <w:rPr>
          <w:szCs w:val="22"/>
          <w:lang w:val="en-US" w:eastAsia="en-GB" w:bidi="ar-SA"/>
        </w:rPr>
      </w:pPr>
      <w:r>
        <w:rPr>
          <w:szCs w:val="22"/>
          <w:lang w:val="en-US" w:eastAsia="en-GB" w:bidi="ar-SA"/>
        </w:rPr>
        <w:t>The target profile SHALL NOT be enabled.</w:t>
      </w:r>
    </w:p>
    <w:p w14:paraId="38892B30" w14:textId="77777777" w:rsidR="00B97365" w:rsidRDefault="00000000">
      <w:pPr>
        <w:numPr>
          <w:ilvl w:val="0"/>
          <w:numId w:val="63"/>
        </w:numPr>
        <w:spacing w:before="0" w:after="200" w:line="276" w:lineRule="auto"/>
        <w:contextualSpacing/>
        <w:jc w:val="left"/>
        <w:rPr>
          <w:szCs w:val="22"/>
          <w:lang w:val="en-US" w:eastAsia="en-GB" w:bidi="ar-SA"/>
        </w:rPr>
      </w:pPr>
      <w:r>
        <w:rPr>
          <w:szCs w:val="22"/>
          <w:lang w:val="en-US" w:eastAsia="en-GB" w:bidi="ar-SA"/>
        </w:rPr>
        <w:t xml:space="preserve">The target Profile SHALL NOT have the Fall-Back Attribute set. </w:t>
      </w:r>
    </w:p>
    <w:p w14:paraId="014AA7F5" w14:textId="77777777" w:rsidR="00B97365" w:rsidRDefault="00000000">
      <w:pPr>
        <w:spacing w:before="0" w:after="200" w:line="276" w:lineRule="auto"/>
        <w:jc w:val="left"/>
        <w:rPr>
          <w:b/>
          <w:szCs w:val="22"/>
          <w:u w:val="single"/>
          <w:lang w:val="en-US" w:eastAsia="en-GB" w:bidi="ar-SA"/>
        </w:rPr>
      </w:pPr>
      <w:r>
        <w:rPr>
          <w:rFonts w:cs="Arial"/>
          <w:b/>
          <w:szCs w:val="22"/>
          <w:u w:val="single"/>
          <w:lang w:val="en-US" w:eastAsia="en-GB" w:bidi="ar-SA"/>
        </w:rPr>
        <w:t>Function flow</w:t>
      </w:r>
    </w:p>
    <w:p w14:paraId="281A1B7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STORE DATA command, the eUICC SHALL:</w:t>
      </w:r>
    </w:p>
    <w:p w14:paraId="0C9CD70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Verify that the target Profile has not the Fall-Back Attribute set.</w:t>
      </w:r>
    </w:p>
    <w:p w14:paraId="77F15C3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Set the Emergency Profile Attribute for the target Profile</w:t>
      </w:r>
    </w:p>
    <w:p w14:paraId="016B0B6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Remove the Emergency Profile Attribute from the Profile that has the attribute currently set.</w:t>
      </w:r>
    </w:p>
    <w:p w14:paraId="02A020E5" w14:textId="77777777" w:rsidR="00B97365" w:rsidRDefault="00B97365">
      <w:pPr>
        <w:rPr>
          <w:rFonts w:cs="Calibri"/>
          <w:b/>
          <w:u w:val="single"/>
        </w:rPr>
      </w:pPr>
    </w:p>
    <w:p w14:paraId="541A9B74" w14:textId="77777777" w:rsidR="00B97365" w:rsidRDefault="00000000">
      <w:pPr>
        <w:spacing w:before="0" w:after="200" w:line="276" w:lineRule="auto"/>
        <w:jc w:val="left"/>
        <w:rPr>
          <w:b/>
          <w:szCs w:val="22"/>
          <w:u w:val="single"/>
          <w:lang w:val="en-US" w:eastAsia="en-GB" w:bidi="ar-SA"/>
        </w:rPr>
      </w:pPr>
      <w:r>
        <w:rPr>
          <w:rFonts w:cs="Arial"/>
          <w:b/>
          <w:szCs w:val="22"/>
          <w:u w:val="single"/>
          <w:lang w:val="en-US" w:eastAsia="en-GB" w:bidi="ar-SA"/>
        </w:rPr>
        <w:lastRenderedPageBreak/>
        <w:t>Command Description:</w:t>
      </w:r>
    </w:p>
    <w:p w14:paraId="1BCA8134"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STORE</w:t>
      </w:r>
      <w:r>
        <w:rPr>
          <w:b/>
          <w:i/>
          <w:szCs w:val="22"/>
          <w:lang w:val="en-US" w:eastAsia="en-GB" w:bidi="ar-SA"/>
        </w:rPr>
        <w:t xml:space="preserve"> DATA Command</w:t>
      </w:r>
    </w:p>
    <w:p w14:paraId="42CB5AC4" w14:textId="276BED62"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is realised through the GlobalPlatform STORE DATA command 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0E65F7DC"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Command</w:t>
      </w:r>
      <w:r>
        <w:rPr>
          <w:b/>
          <w:i/>
          <w:szCs w:val="22"/>
          <w:lang w:val="en-US" w:eastAsia="en-GB" w:bidi="ar-SA"/>
        </w:rPr>
        <w:t xml:space="preserve"> Message</w:t>
      </w:r>
    </w:p>
    <w:p w14:paraId="78E2608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command message SHALL be coded according to the following table: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540"/>
        <w:gridCol w:w="2603"/>
        <w:gridCol w:w="4312"/>
      </w:tblGrid>
      <w:tr w:rsidR="00B97365" w14:paraId="731B5330" w14:textId="77777777">
        <w:trPr>
          <w:cantSplit/>
          <w:tblHeader/>
          <w:jc w:val="center"/>
        </w:trPr>
        <w:tc>
          <w:tcPr>
            <w:tcW w:w="0" w:type="auto"/>
            <w:tcBorders>
              <w:top w:val="single" w:sz="4" w:space="0" w:color="000000"/>
              <w:left w:val="single" w:sz="4" w:space="0" w:color="000000"/>
              <w:bottom w:val="single" w:sz="6" w:space="0" w:color="000000"/>
              <w:right w:val="single" w:sz="6" w:space="0" w:color="000000"/>
            </w:tcBorders>
            <w:shd w:val="clear" w:color="auto" w:fill="C00000"/>
            <w:hideMark/>
          </w:tcPr>
          <w:p w14:paraId="1F9EF2D1"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Code</w:t>
            </w:r>
          </w:p>
        </w:tc>
        <w:tc>
          <w:tcPr>
            <w:tcW w:w="0" w:type="auto"/>
            <w:tcBorders>
              <w:top w:val="single" w:sz="4" w:space="0" w:color="000000"/>
              <w:left w:val="single" w:sz="6" w:space="0" w:color="000000"/>
              <w:bottom w:val="single" w:sz="6" w:space="0" w:color="000000"/>
              <w:right w:val="single" w:sz="6" w:space="0" w:color="000000"/>
            </w:tcBorders>
            <w:shd w:val="clear" w:color="auto" w:fill="C00000"/>
            <w:hideMark/>
          </w:tcPr>
          <w:p w14:paraId="2FD5FD7D"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Value</w:t>
            </w:r>
          </w:p>
        </w:tc>
        <w:tc>
          <w:tcPr>
            <w:tcW w:w="0" w:type="auto"/>
            <w:tcBorders>
              <w:top w:val="single" w:sz="4" w:space="0" w:color="000000"/>
              <w:left w:val="single" w:sz="6" w:space="0" w:color="000000"/>
              <w:bottom w:val="single" w:sz="6" w:space="0" w:color="000000"/>
              <w:right w:val="single" w:sz="4" w:space="0" w:color="000000"/>
            </w:tcBorders>
            <w:shd w:val="clear" w:color="auto" w:fill="C00000"/>
            <w:hideMark/>
          </w:tcPr>
          <w:p w14:paraId="3F6A7BC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01FE1638"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7A5346BB" w14:textId="77777777" w:rsidR="00B97365" w:rsidRDefault="00000000">
            <w:pPr>
              <w:rPr>
                <w:rFonts w:cs="Calibri"/>
                <w:sz w:val="16"/>
                <w:szCs w:val="16"/>
              </w:rPr>
            </w:pPr>
            <w:r>
              <w:rPr>
                <w:rFonts w:cs="Calibri"/>
                <w:sz w:val="16"/>
                <w:szCs w:val="16"/>
              </w:rPr>
              <w:t>CLA</w:t>
            </w:r>
          </w:p>
        </w:tc>
        <w:tc>
          <w:tcPr>
            <w:tcW w:w="0" w:type="auto"/>
            <w:tcBorders>
              <w:top w:val="single" w:sz="6" w:space="0" w:color="000000"/>
              <w:left w:val="single" w:sz="6" w:space="0" w:color="000000"/>
              <w:bottom w:val="single" w:sz="6" w:space="0" w:color="000000"/>
              <w:right w:val="single" w:sz="6" w:space="0" w:color="000000"/>
            </w:tcBorders>
            <w:hideMark/>
          </w:tcPr>
          <w:p w14:paraId="67CD5C28" w14:textId="77777777" w:rsidR="00B97365" w:rsidRDefault="00000000">
            <w:pPr>
              <w:rPr>
                <w:rFonts w:cs="Calibri"/>
                <w:sz w:val="16"/>
                <w:szCs w:val="16"/>
              </w:rPr>
            </w:pPr>
            <w:r>
              <w:rPr>
                <w:rFonts w:cs="Calibri"/>
                <w:sz w:val="16"/>
                <w:szCs w:val="16"/>
              </w:rPr>
              <w:t>‘80’ – ‘8F’, ‘C0’ – ‘CF’ or ‘E0’ – ‘EF’</w:t>
            </w:r>
          </w:p>
        </w:tc>
        <w:tc>
          <w:tcPr>
            <w:tcW w:w="0" w:type="auto"/>
            <w:tcBorders>
              <w:top w:val="single" w:sz="6" w:space="0" w:color="000000"/>
              <w:left w:val="single" w:sz="6" w:space="0" w:color="000000"/>
              <w:bottom w:val="single" w:sz="6" w:space="0" w:color="000000"/>
              <w:right w:val="single" w:sz="4" w:space="0" w:color="000000"/>
            </w:tcBorders>
            <w:hideMark/>
          </w:tcPr>
          <w:p w14:paraId="4C555DD8" w14:textId="77777777" w:rsidR="00B97365" w:rsidRDefault="00000000">
            <w:pPr>
              <w:rPr>
                <w:rFonts w:cs="Calibri"/>
                <w:sz w:val="16"/>
                <w:szCs w:val="16"/>
              </w:rPr>
            </w:pPr>
            <w:r>
              <w:rPr>
                <w:rFonts w:cs="Calibri"/>
                <w:sz w:val="16"/>
                <w:szCs w:val="16"/>
              </w:rPr>
              <w:t>See section 11.1.4 of GlobalPlatform Card Specification [6]</w:t>
            </w:r>
          </w:p>
        </w:tc>
      </w:tr>
      <w:tr w:rsidR="00B97365" w14:paraId="6956FD77"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0BA7014B" w14:textId="77777777" w:rsidR="00B97365" w:rsidRDefault="00000000">
            <w:pPr>
              <w:rPr>
                <w:rFonts w:cs="Calibri"/>
                <w:sz w:val="16"/>
                <w:szCs w:val="16"/>
              </w:rPr>
            </w:pPr>
            <w:r>
              <w:rPr>
                <w:rFonts w:cs="Calibri"/>
                <w:sz w:val="16"/>
                <w:szCs w:val="16"/>
              </w:rPr>
              <w:t>INS</w:t>
            </w:r>
          </w:p>
        </w:tc>
        <w:tc>
          <w:tcPr>
            <w:tcW w:w="0" w:type="auto"/>
            <w:tcBorders>
              <w:top w:val="single" w:sz="6" w:space="0" w:color="000000"/>
              <w:left w:val="single" w:sz="6" w:space="0" w:color="000000"/>
              <w:bottom w:val="single" w:sz="6" w:space="0" w:color="000000"/>
              <w:right w:val="single" w:sz="6" w:space="0" w:color="000000"/>
            </w:tcBorders>
            <w:hideMark/>
          </w:tcPr>
          <w:p w14:paraId="20E94E67" w14:textId="77777777" w:rsidR="00B97365" w:rsidRDefault="00000000">
            <w:pPr>
              <w:rPr>
                <w:rFonts w:cs="Calibri"/>
                <w:sz w:val="16"/>
                <w:szCs w:val="16"/>
              </w:rPr>
            </w:pPr>
            <w:r>
              <w:rPr>
                <w:rFonts w:cs="Calibri"/>
                <w:sz w:val="16"/>
                <w:szCs w:val="16"/>
              </w:rPr>
              <w:t>‘E2’</w:t>
            </w:r>
          </w:p>
        </w:tc>
        <w:tc>
          <w:tcPr>
            <w:tcW w:w="0" w:type="auto"/>
            <w:tcBorders>
              <w:top w:val="single" w:sz="6" w:space="0" w:color="000000"/>
              <w:left w:val="single" w:sz="6" w:space="0" w:color="000000"/>
              <w:bottom w:val="single" w:sz="6" w:space="0" w:color="000000"/>
              <w:right w:val="single" w:sz="4" w:space="0" w:color="000000"/>
            </w:tcBorders>
            <w:hideMark/>
          </w:tcPr>
          <w:p w14:paraId="317179B6" w14:textId="77777777" w:rsidR="00B97365" w:rsidRDefault="00000000">
            <w:pPr>
              <w:rPr>
                <w:rFonts w:cs="Calibri"/>
                <w:sz w:val="16"/>
                <w:szCs w:val="16"/>
              </w:rPr>
            </w:pPr>
            <w:r>
              <w:rPr>
                <w:rFonts w:cs="Calibri"/>
                <w:sz w:val="16"/>
                <w:szCs w:val="16"/>
              </w:rPr>
              <w:t>STORE DATA</w:t>
            </w:r>
          </w:p>
        </w:tc>
      </w:tr>
      <w:tr w:rsidR="00B97365" w14:paraId="5426747B"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4946A538" w14:textId="77777777" w:rsidR="00B97365" w:rsidRDefault="00000000">
            <w:pPr>
              <w:rPr>
                <w:rFonts w:cs="Calibri"/>
                <w:sz w:val="16"/>
                <w:szCs w:val="16"/>
              </w:rPr>
            </w:pPr>
            <w:r>
              <w:rPr>
                <w:rFonts w:cs="Calibri"/>
                <w:sz w:val="16"/>
                <w:szCs w:val="16"/>
              </w:rPr>
              <w:t>P1</w:t>
            </w:r>
          </w:p>
        </w:tc>
        <w:tc>
          <w:tcPr>
            <w:tcW w:w="0" w:type="auto"/>
            <w:tcBorders>
              <w:top w:val="single" w:sz="6" w:space="0" w:color="000000"/>
              <w:left w:val="single" w:sz="6" w:space="0" w:color="000000"/>
              <w:bottom w:val="single" w:sz="6" w:space="0" w:color="000000"/>
              <w:right w:val="single" w:sz="6" w:space="0" w:color="000000"/>
            </w:tcBorders>
            <w:hideMark/>
          </w:tcPr>
          <w:p w14:paraId="363D358D" w14:textId="77777777" w:rsidR="00B97365" w:rsidRDefault="00000000">
            <w:pPr>
              <w:rPr>
                <w:rFonts w:cs="Calibri"/>
                <w:sz w:val="16"/>
                <w:szCs w:val="16"/>
              </w:rPr>
            </w:pPr>
            <w:r>
              <w:rPr>
                <w:rFonts w:cs="Calibri"/>
                <w:sz w:val="16"/>
                <w:szCs w:val="16"/>
              </w:rPr>
              <w:t>‘88’</w:t>
            </w:r>
          </w:p>
        </w:tc>
        <w:tc>
          <w:tcPr>
            <w:tcW w:w="0" w:type="auto"/>
            <w:tcBorders>
              <w:top w:val="single" w:sz="6" w:space="0" w:color="000000"/>
              <w:left w:val="single" w:sz="6" w:space="0" w:color="000000"/>
              <w:bottom w:val="single" w:sz="6" w:space="0" w:color="000000"/>
              <w:right w:val="single" w:sz="4" w:space="0" w:color="000000"/>
            </w:tcBorders>
            <w:hideMark/>
          </w:tcPr>
          <w:p w14:paraId="653C44C0" w14:textId="77777777" w:rsidR="00B97365" w:rsidRDefault="00000000">
            <w:pPr>
              <w:rPr>
                <w:rFonts w:cs="Calibri"/>
                <w:sz w:val="16"/>
                <w:szCs w:val="16"/>
              </w:rPr>
            </w:pPr>
            <w:r>
              <w:rPr>
                <w:rFonts w:cs="Calibri"/>
                <w:sz w:val="16"/>
                <w:szCs w:val="16"/>
              </w:rPr>
              <w:t>Reference control parameter P1</w:t>
            </w:r>
          </w:p>
        </w:tc>
      </w:tr>
      <w:tr w:rsidR="00B97365" w14:paraId="0371A0F8"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624F80C0" w14:textId="77777777" w:rsidR="00B97365" w:rsidRDefault="00000000">
            <w:pPr>
              <w:rPr>
                <w:rFonts w:cs="Calibri"/>
                <w:sz w:val="16"/>
                <w:szCs w:val="16"/>
              </w:rPr>
            </w:pPr>
            <w:r>
              <w:rPr>
                <w:rFonts w:cs="Calibri"/>
                <w:sz w:val="16"/>
                <w:szCs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1F0B3F70" w14:textId="77777777" w:rsidR="00B97365" w:rsidRDefault="00000000">
            <w:pPr>
              <w:rPr>
                <w:rFonts w:cs="Calibri"/>
                <w:sz w:val="16"/>
                <w:szCs w:val="16"/>
              </w:rPr>
            </w:pPr>
            <w:r>
              <w:rPr>
                <w:rFonts w:cs="Calibri"/>
                <w:sz w:val="16"/>
                <w:szCs w:val="16"/>
              </w:rPr>
              <w:t>‘00’</w:t>
            </w:r>
          </w:p>
        </w:tc>
        <w:tc>
          <w:tcPr>
            <w:tcW w:w="0" w:type="auto"/>
            <w:tcBorders>
              <w:top w:val="single" w:sz="6" w:space="0" w:color="000000"/>
              <w:left w:val="single" w:sz="6" w:space="0" w:color="000000"/>
              <w:bottom w:val="single" w:sz="6" w:space="0" w:color="000000"/>
              <w:right w:val="single" w:sz="4" w:space="0" w:color="000000"/>
            </w:tcBorders>
            <w:hideMark/>
          </w:tcPr>
          <w:p w14:paraId="0D8D5E91" w14:textId="77777777" w:rsidR="00B97365" w:rsidRDefault="00000000">
            <w:pPr>
              <w:rPr>
                <w:rFonts w:cs="Calibri"/>
                <w:sz w:val="16"/>
                <w:szCs w:val="16"/>
              </w:rPr>
            </w:pPr>
            <w:r>
              <w:rPr>
                <w:rFonts w:cs="Calibri"/>
                <w:sz w:val="16"/>
                <w:szCs w:val="16"/>
              </w:rPr>
              <w:t>Block number</w:t>
            </w:r>
          </w:p>
        </w:tc>
      </w:tr>
      <w:tr w:rsidR="00B97365" w14:paraId="5079CFA3"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3938F7BA" w14:textId="77777777" w:rsidR="00B97365" w:rsidRDefault="00000000">
            <w:pPr>
              <w:rPr>
                <w:rFonts w:cs="Calibri"/>
                <w:sz w:val="16"/>
                <w:szCs w:val="16"/>
              </w:rPr>
            </w:pPr>
            <w:r>
              <w:rPr>
                <w:rFonts w:cs="Calibri"/>
                <w:sz w:val="16"/>
                <w:szCs w:val="16"/>
              </w:rPr>
              <w:t>Lc</w:t>
            </w:r>
          </w:p>
        </w:tc>
        <w:tc>
          <w:tcPr>
            <w:tcW w:w="0" w:type="auto"/>
            <w:tcBorders>
              <w:top w:val="single" w:sz="6" w:space="0" w:color="000000"/>
              <w:left w:val="single" w:sz="6" w:space="0" w:color="000000"/>
              <w:bottom w:val="single" w:sz="6" w:space="0" w:color="000000"/>
              <w:right w:val="single" w:sz="6" w:space="0" w:color="000000"/>
            </w:tcBorders>
            <w:hideMark/>
          </w:tcPr>
          <w:p w14:paraId="598465CC" w14:textId="77777777" w:rsidR="00B97365" w:rsidRDefault="00000000">
            <w:pPr>
              <w:rPr>
                <w:rFonts w:cs="Calibri"/>
                <w:sz w:val="16"/>
                <w:szCs w:val="16"/>
              </w:rPr>
            </w:pPr>
            <w:r>
              <w:rPr>
                <w:rFonts w:cs="Calibri"/>
                <w:sz w:val="16"/>
                <w:szCs w:val="16"/>
              </w:rPr>
              <w:t>‘xx’</w:t>
            </w:r>
          </w:p>
        </w:tc>
        <w:tc>
          <w:tcPr>
            <w:tcW w:w="0" w:type="auto"/>
            <w:tcBorders>
              <w:top w:val="single" w:sz="6" w:space="0" w:color="000000"/>
              <w:left w:val="single" w:sz="6" w:space="0" w:color="000000"/>
              <w:bottom w:val="single" w:sz="6" w:space="0" w:color="000000"/>
              <w:right w:val="single" w:sz="4" w:space="0" w:color="000000"/>
            </w:tcBorders>
            <w:hideMark/>
          </w:tcPr>
          <w:p w14:paraId="47422B09" w14:textId="77777777" w:rsidR="00B97365" w:rsidRDefault="00000000">
            <w:pPr>
              <w:rPr>
                <w:rFonts w:cs="Calibri"/>
                <w:sz w:val="16"/>
                <w:szCs w:val="16"/>
              </w:rPr>
            </w:pPr>
            <w:r>
              <w:rPr>
                <w:rFonts w:cs="Calibri"/>
                <w:sz w:val="16"/>
                <w:szCs w:val="16"/>
              </w:rPr>
              <w:t>Length of data field</w:t>
            </w:r>
          </w:p>
        </w:tc>
      </w:tr>
      <w:tr w:rsidR="00B97365" w14:paraId="6E165861"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6C1F721C" w14:textId="77777777" w:rsidR="00B97365" w:rsidRDefault="00000000">
            <w:pPr>
              <w:rPr>
                <w:rFonts w:cs="Calibri"/>
                <w:sz w:val="16"/>
                <w:szCs w:val="16"/>
              </w:rPr>
            </w:pPr>
            <w:r>
              <w:rPr>
                <w:rFonts w:cs="Calibri"/>
                <w:sz w:val="16"/>
                <w:szCs w:val="16"/>
              </w:rPr>
              <w:t>Data</w:t>
            </w:r>
          </w:p>
        </w:tc>
        <w:tc>
          <w:tcPr>
            <w:tcW w:w="0" w:type="auto"/>
            <w:tcBorders>
              <w:top w:val="single" w:sz="6" w:space="0" w:color="000000"/>
              <w:left w:val="single" w:sz="6" w:space="0" w:color="000000"/>
              <w:bottom w:val="single" w:sz="6" w:space="0" w:color="000000"/>
              <w:right w:val="single" w:sz="6" w:space="0" w:color="000000"/>
            </w:tcBorders>
            <w:hideMark/>
          </w:tcPr>
          <w:p w14:paraId="0D698A78" w14:textId="77777777" w:rsidR="00B97365" w:rsidRDefault="00000000">
            <w:pPr>
              <w:rPr>
                <w:rFonts w:cs="Calibri"/>
                <w:sz w:val="16"/>
                <w:szCs w:val="16"/>
              </w:rPr>
            </w:pPr>
            <w:r>
              <w:rPr>
                <w:rFonts w:cs="Calibri"/>
                <w:sz w:val="16"/>
                <w:szCs w:val="16"/>
              </w:rPr>
              <w:t>‘xxxxx…’</w:t>
            </w:r>
          </w:p>
        </w:tc>
        <w:tc>
          <w:tcPr>
            <w:tcW w:w="0" w:type="auto"/>
            <w:tcBorders>
              <w:top w:val="single" w:sz="6" w:space="0" w:color="000000"/>
              <w:left w:val="single" w:sz="6" w:space="0" w:color="000000"/>
              <w:bottom w:val="single" w:sz="6" w:space="0" w:color="000000"/>
              <w:right w:val="single" w:sz="4" w:space="0" w:color="000000"/>
            </w:tcBorders>
            <w:hideMark/>
          </w:tcPr>
          <w:p w14:paraId="24F1DF75" w14:textId="77777777" w:rsidR="00B97365" w:rsidRDefault="00000000">
            <w:pPr>
              <w:rPr>
                <w:rFonts w:cs="Calibri"/>
                <w:sz w:val="16"/>
                <w:szCs w:val="16"/>
              </w:rPr>
            </w:pPr>
            <w:r>
              <w:rPr>
                <w:rFonts w:cs="Calibri"/>
                <w:sz w:val="16"/>
                <w:szCs w:val="16"/>
              </w:rPr>
              <w:t>Application data and MAC (if present)</w:t>
            </w:r>
          </w:p>
        </w:tc>
      </w:tr>
      <w:tr w:rsidR="00B97365" w14:paraId="0DF85299" w14:textId="77777777">
        <w:trPr>
          <w:cantSplit/>
          <w:jc w:val="center"/>
        </w:trPr>
        <w:tc>
          <w:tcPr>
            <w:tcW w:w="0" w:type="auto"/>
            <w:tcBorders>
              <w:top w:val="single" w:sz="6" w:space="0" w:color="000000"/>
              <w:left w:val="single" w:sz="4" w:space="0" w:color="000000"/>
              <w:bottom w:val="single" w:sz="4" w:space="0" w:color="000000"/>
              <w:right w:val="single" w:sz="6" w:space="0" w:color="000000"/>
            </w:tcBorders>
            <w:hideMark/>
          </w:tcPr>
          <w:p w14:paraId="6A496903" w14:textId="77777777" w:rsidR="00B97365" w:rsidRDefault="00000000">
            <w:pPr>
              <w:keepNext/>
              <w:rPr>
                <w:rFonts w:cs="Calibri"/>
                <w:sz w:val="16"/>
                <w:szCs w:val="16"/>
              </w:rPr>
            </w:pPr>
            <w:r>
              <w:rPr>
                <w:rFonts w:cs="Calibri"/>
                <w:sz w:val="16"/>
                <w:szCs w:val="16"/>
              </w:rPr>
              <w:t>Le</w:t>
            </w:r>
          </w:p>
        </w:tc>
        <w:tc>
          <w:tcPr>
            <w:tcW w:w="0" w:type="auto"/>
            <w:tcBorders>
              <w:top w:val="single" w:sz="6" w:space="0" w:color="000000"/>
              <w:left w:val="single" w:sz="6" w:space="0" w:color="000000"/>
              <w:bottom w:val="single" w:sz="4" w:space="0" w:color="000000"/>
              <w:right w:val="single" w:sz="6" w:space="0" w:color="000000"/>
            </w:tcBorders>
            <w:hideMark/>
          </w:tcPr>
          <w:p w14:paraId="1D4E87F6" w14:textId="77777777" w:rsidR="00B97365" w:rsidRDefault="00000000">
            <w:pPr>
              <w:keepNext/>
              <w:rPr>
                <w:rFonts w:cs="Calibri"/>
                <w:sz w:val="16"/>
                <w:szCs w:val="16"/>
              </w:rPr>
            </w:pPr>
            <w:r>
              <w:rPr>
                <w:rFonts w:cs="Calibri"/>
                <w:sz w:val="16"/>
                <w:szCs w:val="16"/>
              </w:rPr>
              <w:t xml:space="preserve"> </w:t>
            </w:r>
          </w:p>
        </w:tc>
        <w:tc>
          <w:tcPr>
            <w:tcW w:w="0" w:type="auto"/>
            <w:tcBorders>
              <w:top w:val="single" w:sz="6" w:space="0" w:color="000000"/>
              <w:left w:val="single" w:sz="6" w:space="0" w:color="000000"/>
              <w:bottom w:val="single" w:sz="4" w:space="0" w:color="000000"/>
              <w:right w:val="single" w:sz="4" w:space="0" w:color="000000"/>
            </w:tcBorders>
            <w:hideMark/>
          </w:tcPr>
          <w:p w14:paraId="68C2A31C" w14:textId="77777777" w:rsidR="00B97365" w:rsidRDefault="00000000">
            <w:pPr>
              <w:keepNext/>
              <w:rPr>
                <w:rFonts w:cs="Calibri"/>
                <w:sz w:val="16"/>
                <w:szCs w:val="16"/>
              </w:rPr>
            </w:pPr>
            <w:r>
              <w:rPr>
                <w:rFonts w:cs="Calibri"/>
                <w:sz w:val="16"/>
                <w:szCs w:val="16"/>
              </w:rPr>
              <w:t>Not present</w:t>
            </w:r>
          </w:p>
        </w:tc>
      </w:tr>
    </w:tbl>
    <w:p w14:paraId="0A8580DE" w14:textId="77777777" w:rsidR="00B97365" w:rsidRDefault="00000000">
      <w:pPr>
        <w:tabs>
          <w:tab w:val="left" w:pos="1009"/>
        </w:tabs>
        <w:spacing w:after="200" w:line="276" w:lineRule="auto"/>
        <w:jc w:val="center"/>
        <w:rPr>
          <w:rFonts w:cs="Arial"/>
          <w:lang w:eastAsia="de-DE" w:bidi="ar-SA"/>
        </w:rPr>
      </w:pPr>
      <w:r>
        <w:rPr>
          <w:rFonts w:cs="Arial"/>
          <w:b/>
          <w:lang w:eastAsia="de-DE" w:bidi="ar-SA"/>
        </w:rPr>
        <w:t>Table 41113-A: STORE DATA Command Message</w:t>
      </w:r>
    </w:p>
    <w:p w14:paraId="3EAD6A7D"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3"/>
        <w:gridCol w:w="403"/>
        <w:gridCol w:w="403"/>
        <w:gridCol w:w="403"/>
        <w:gridCol w:w="403"/>
        <w:gridCol w:w="403"/>
        <w:gridCol w:w="403"/>
        <w:gridCol w:w="403"/>
        <w:gridCol w:w="4228"/>
      </w:tblGrid>
      <w:tr w:rsidR="00B97365" w14:paraId="1471A42F"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1DDB0CD6"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78835E5"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F888F5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4EF23D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153DD96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00C9FB3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5FB6582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16173DD"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42A6CF75"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75F2EB25"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66B44908"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2D62AD52"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D9FEE78"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B8C369A"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D1796F4"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D06BC6C"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6775466"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AEDACBE"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5B08A6C6" w14:textId="77777777" w:rsidR="00B97365" w:rsidRDefault="00000000">
            <w:pPr>
              <w:rPr>
                <w:rFonts w:cs="Calibri"/>
                <w:sz w:val="16"/>
                <w:szCs w:val="16"/>
              </w:rPr>
            </w:pPr>
            <w:r>
              <w:rPr>
                <w:rFonts w:cs="Calibri"/>
                <w:sz w:val="16"/>
                <w:szCs w:val="16"/>
              </w:rPr>
              <w:t>Last block</w:t>
            </w:r>
          </w:p>
        </w:tc>
      </w:tr>
      <w:tr w:rsidR="00B97365" w14:paraId="587D9AB9"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333D5E5"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6A15195"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25C3C575"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627ADB84"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E4431C5"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9360BBD"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96D1BD6"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9D1DA34"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22ACC13A" w14:textId="77777777" w:rsidR="00B97365" w:rsidRDefault="00000000">
            <w:pPr>
              <w:rPr>
                <w:rFonts w:cs="Calibri"/>
                <w:sz w:val="16"/>
                <w:szCs w:val="16"/>
              </w:rPr>
            </w:pPr>
            <w:r>
              <w:rPr>
                <w:rFonts w:cs="Calibri"/>
                <w:sz w:val="16"/>
                <w:szCs w:val="16"/>
              </w:rPr>
              <w:t xml:space="preserve">No general encryption information or non-encrypted data </w:t>
            </w:r>
          </w:p>
        </w:tc>
      </w:tr>
      <w:tr w:rsidR="00B97365" w14:paraId="3C9A2379"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65A57E13"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8E29B10"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8636777"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88511FB" w14:textId="77777777" w:rsidR="00B97365" w:rsidRDefault="00000000">
            <w:pPr>
              <w:rPr>
                <w:rFonts w:cs="Calibri"/>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140F842E"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324EA2D1"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DC8F80E"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1E0F98A" w14:textId="77777777" w:rsidR="00B97365" w:rsidRDefault="00000000">
            <w:pPr>
              <w:rPr>
                <w:rFonts w:cs="Calibri"/>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5ED215C6" w14:textId="77777777" w:rsidR="00B97365" w:rsidRDefault="00000000">
            <w:pPr>
              <w:rPr>
                <w:rFonts w:cs="Calibri"/>
                <w:sz w:val="16"/>
                <w:szCs w:val="16"/>
              </w:rPr>
            </w:pPr>
            <w:r>
              <w:rPr>
                <w:rFonts w:cs="Calibri"/>
                <w:sz w:val="16"/>
                <w:szCs w:val="16"/>
              </w:rPr>
              <w:t>DGI format of the command data field</w:t>
            </w:r>
          </w:p>
        </w:tc>
      </w:tr>
      <w:tr w:rsidR="00B97365" w14:paraId="7472D133"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004FAAEF"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B5D3B5D"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12BB1C88"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2F4242AC"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1C0490B3" w14:textId="77777777" w:rsidR="00B97365" w:rsidRDefault="00000000">
            <w:pPr>
              <w:keepNext/>
              <w:rPr>
                <w:rFonts w:cs="Calibri"/>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762FD471"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23F5D818"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296FD548" w14:textId="77777777" w:rsidR="00B97365" w:rsidRDefault="00000000">
            <w:pPr>
              <w:keepNext/>
              <w:rPr>
                <w:rFonts w:cs="Calibri"/>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4" w:space="0" w:color="auto"/>
            </w:tcBorders>
            <w:hideMark/>
          </w:tcPr>
          <w:p w14:paraId="4255E65A" w14:textId="77777777" w:rsidR="00B97365" w:rsidRDefault="00000000">
            <w:pPr>
              <w:keepNext/>
              <w:rPr>
                <w:rFonts w:cs="Calibri"/>
                <w:sz w:val="16"/>
                <w:szCs w:val="16"/>
              </w:rPr>
            </w:pPr>
            <w:r>
              <w:rPr>
                <w:rFonts w:cs="Calibri"/>
                <w:sz w:val="16"/>
                <w:szCs w:val="16"/>
              </w:rPr>
              <w:t>RFU</w:t>
            </w:r>
          </w:p>
        </w:tc>
      </w:tr>
    </w:tbl>
    <w:p w14:paraId="73D08ECE" w14:textId="77777777" w:rsidR="00B97365" w:rsidRDefault="00000000">
      <w:pPr>
        <w:tabs>
          <w:tab w:val="left" w:pos="1009"/>
        </w:tabs>
        <w:spacing w:after="200" w:line="276" w:lineRule="auto"/>
        <w:jc w:val="center"/>
        <w:rPr>
          <w:rFonts w:cs="Arial"/>
          <w:b/>
          <w:lang w:eastAsia="de-DE" w:bidi="ar-SA"/>
        </w:rPr>
      </w:pPr>
      <w:r>
        <w:rPr>
          <w:rFonts w:cs="Arial"/>
          <w:b/>
          <w:lang w:eastAsia="de-DE" w:bidi="ar-SA"/>
        </w:rPr>
        <w:t>Table 41113-B: STORE DATA Reference Control Parameter P1</w:t>
      </w:r>
    </w:p>
    <w:p w14:paraId="230369A7"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Data Field</w:t>
      </w:r>
      <w:r>
        <w:rPr>
          <w:b/>
          <w:i/>
          <w:szCs w:val="22"/>
          <w:lang w:val="en-US" w:eastAsia="en-GB" w:bidi="ar-SA"/>
        </w:rPr>
        <w:t xml:space="preserve"> Sent in the Command Message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80"/>
        <w:gridCol w:w="1257"/>
        <w:gridCol w:w="842"/>
        <w:gridCol w:w="1176"/>
        <w:gridCol w:w="2826"/>
        <w:gridCol w:w="1735"/>
      </w:tblGrid>
      <w:tr w:rsidR="00B97365" w14:paraId="723AA4B8" w14:textId="77777777">
        <w:trPr>
          <w:cantSplit/>
          <w:tblHeader/>
        </w:trPr>
        <w:tc>
          <w:tcPr>
            <w:tcW w:w="655" w:type="pct"/>
            <w:tcBorders>
              <w:top w:val="single" w:sz="4" w:space="0" w:color="auto"/>
              <w:left w:val="single" w:sz="4" w:space="0" w:color="auto"/>
              <w:bottom w:val="single" w:sz="6" w:space="0" w:color="auto"/>
              <w:right w:val="single" w:sz="6" w:space="0" w:color="auto"/>
            </w:tcBorders>
            <w:shd w:val="clear" w:color="auto" w:fill="C00000"/>
            <w:hideMark/>
          </w:tcPr>
          <w:p w14:paraId="54F8E609" w14:textId="77777777" w:rsidR="00B97365" w:rsidRDefault="00000000">
            <w:pPr>
              <w:jc w:val="center"/>
              <w:rPr>
                <w:rFonts w:cs="Calibri"/>
                <w:color w:val="FFFFFF"/>
                <w:sz w:val="16"/>
                <w:szCs w:val="16"/>
              </w:rPr>
            </w:pPr>
            <w:r>
              <w:rPr>
                <w:rFonts w:cs="Calibri"/>
                <w:color w:val="FFFFFF"/>
                <w:sz w:val="16"/>
                <w:szCs w:val="16"/>
              </w:rPr>
              <w:t>DGI</w:t>
            </w:r>
          </w:p>
        </w:tc>
        <w:tc>
          <w:tcPr>
            <w:tcW w:w="697" w:type="pct"/>
            <w:tcBorders>
              <w:top w:val="single" w:sz="4" w:space="0" w:color="auto"/>
              <w:left w:val="single" w:sz="6" w:space="0" w:color="auto"/>
              <w:bottom w:val="single" w:sz="6" w:space="0" w:color="auto"/>
              <w:right w:val="single" w:sz="6" w:space="0" w:color="auto"/>
            </w:tcBorders>
            <w:shd w:val="clear" w:color="auto" w:fill="C00000"/>
            <w:hideMark/>
          </w:tcPr>
          <w:p w14:paraId="6B9DD437" w14:textId="77777777" w:rsidR="00B97365" w:rsidRDefault="00000000">
            <w:pPr>
              <w:jc w:val="center"/>
              <w:rPr>
                <w:rFonts w:cs="Calibri"/>
                <w:color w:val="FFFFFF"/>
                <w:sz w:val="16"/>
                <w:szCs w:val="16"/>
              </w:rPr>
            </w:pPr>
            <w:r>
              <w:rPr>
                <w:rFonts w:cs="Calibri"/>
                <w:color w:val="FFFFFF"/>
                <w:sz w:val="16"/>
                <w:szCs w:val="16"/>
              </w:rPr>
              <w:t>Length</w:t>
            </w:r>
          </w:p>
        </w:tc>
        <w:tc>
          <w:tcPr>
            <w:tcW w:w="2686"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20E31FDE" w14:textId="77777777" w:rsidR="00B97365" w:rsidRDefault="00000000">
            <w:pPr>
              <w:jc w:val="center"/>
              <w:rPr>
                <w:rFonts w:cs="Calibri"/>
                <w:color w:val="FFFFFF"/>
                <w:sz w:val="16"/>
                <w:szCs w:val="16"/>
              </w:rPr>
            </w:pPr>
            <w:r>
              <w:rPr>
                <w:rFonts w:cs="Calibri"/>
                <w:color w:val="FFFFFF"/>
                <w:sz w:val="16"/>
                <w:szCs w:val="16"/>
              </w:rPr>
              <w:t>Value Description</w:t>
            </w:r>
          </w:p>
        </w:tc>
        <w:tc>
          <w:tcPr>
            <w:tcW w:w="962" w:type="pct"/>
            <w:tcBorders>
              <w:top w:val="single" w:sz="4" w:space="0" w:color="auto"/>
              <w:left w:val="single" w:sz="6" w:space="0" w:color="auto"/>
              <w:bottom w:val="single" w:sz="6" w:space="0" w:color="auto"/>
              <w:right w:val="single" w:sz="4" w:space="0" w:color="auto"/>
            </w:tcBorders>
            <w:shd w:val="clear" w:color="auto" w:fill="C00000"/>
            <w:hideMark/>
          </w:tcPr>
          <w:p w14:paraId="444A520D" w14:textId="77777777" w:rsidR="00B97365" w:rsidRDefault="00000000">
            <w:pPr>
              <w:jc w:val="center"/>
              <w:rPr>
                <w:rFonts w:cs="Calibri"/>
                <w:color w:val="FFFFFF"/>
                <w:sz w:val="16"/>
                <w:szCs w:val="16"/>
              </w:rPr>
            </w:pPr>
            <w:r>
              <w:rPr>
                <w:rFonts w:cs="Calibri"/>
                <w:color w:val="FFFFFF"/>
                <w:sz w:val="16"/>
                <w:szCs w:val="16"/>
              </w:rPr>
              <w:t>MOC</w:t>
            </w:r>
          </w:p>
        </w:tc>
      </w:tr>
      <w:tr w:rsidR="00B97365" w14:paraId="00D6CDD7" w14:textId="77777777">
        <w:trPr>
          <w:cantSplit/>
        </w:trPr>
        <w:tc>
          <w:tcPr>
            <w:tcW w:w="655" w:type="pct"/>
            <w:tcBorders>
              <w:top w:val="single" w:sz="6" w:space="0" w:color="auto"/>
              <w:left w:val="single" w:sz="4" w:space="0" w:color="auto"/>
              <w:bottom w:val="single" w:sz="6" w:space="0" w:color="auto"/>
              <w:right w:val="single" w:sz="6" w:space="0" w:color="auto"/>
            </w:tcBorders>
            <w:hideMark/>
          </w:tcPr>
          <w:p w14:paraId="4ECE2B8B" w14:textId="77777777" w:rsidR="00B97365" w:rsidRDefault="00000000">
            <w:pPr>
              <w:rPr>
                <w:rFonts w:cs="Calibri"/>
                <w:sz w:val="16"/>
                <w:szCs w:val="16"/>
              </w:rPr>
            </w:pPr>
            <w:r>
              <w:rPr>
                <w:rFonts w:cs="Calibri"/>
                <w:sz w:val="16"/>
                <w:szCs w:val="16"/>
              </w:rPr>
              <w:t>‘3A09’</w:t>
            </w:r>
          </w:p>
        </w:tc>
        <w:tc>
          <w:tcPr>
            <w:tcW w:w="697" w:type="pct"/>
            <w:tcBorders>
              <w:top w:val="single" w:sz="6" w:space="0" w:color="auto"/>
              <w:left w:val="single" w:sz="6" w:space="0" w:color="auto"/>
              <w:bottom w:val="single" w:sz="6" w:space="0" w:color="auto"/>
              <w:right w:val="single" w:sz="6" w:space="0" w:color="auto"/>
            </w:tcBorders>
            <w:hideMark/>
          </w:tcPr>
          <w:p w14:paraId="56694158" w14:textId="77777777" w:rsidR="00B97365" w:rsidRDefault="00000000">
            <w:pPr>
              <w:rPr>
                <w:rFonts w:cs="Calibri"/>
                <w:sz w:val="16"/>
                <w:szCs w:val="16"/>
              </w:rPr>
            </w:pPr>
            <w:r>
              <w:rPr>
                <w:rFonts w:cs="Calibri"/>
                <w:sz w:val="16"/>
                <w:szCs w:val="16"/>
              </w:rPr>
              <w:t>Var</w:t>
            </w:r>
          </w:p>
        </w:tc>
        <w:tc>
          <w:tcPr>
            <w:tcW w:w="2686" w:type="pct"/>
            <w:gridSpan w:val="3"/>
            <w:tcBorders>
              <w:top w:val="single" w:sz="6" w:space="0" w:color="auto"/>
              <w:left w:val="single" w:sz="6" w:space="0" w:color="auto"/>
              <w:bottom w:val="single" w:sz="6" w:space="0" w:color="auto"/>
              <w:right w:val="single" w:sz="6" w:space="0" w:color="auto"/>
            </w:tcBorders>
            <w:hideMark/>
          </w:tcPr>
          <w:p w14:paraId="1EFCC29C" w14:textId="77777777" w:rsidR="00B97365" w:rsidRDefault="00000000">
            <w:pPr>
              <w:rPr>
                <w:rFonts w:cs="Calibri"/>
                <w:sz w:val="16"/>
                <w:szCs w:val="16"/>
              </w:rPr>
            </w:pPr>
            <w:r>
              <w:rPr>
                <w:rFonts w:cs="Calibri"/>
                <w:sz w:val="16"/>
                <w:szCs w:val="16"/>
              </w:rPr>
              <w:t>Set Emergency Profile Attribute</w:t>
            </w:r>
          </w:p>
        </w:tc>
        <w:tc>
          <w:tcPr>
            <w:tcW w:w="962" w:type="pct"/>
            <w:tcBorders>
              <w:top w:val="single" w:sz="6" w:space="0" w:color="auto"/>
              <w:left w:val="single" w:sz="6" w:space="0" w:color="auto"/>
              <w:bottom w:val="single" w:sz="6" w:space="0" w:color="auto"/>
              <w:right w:val="single" w:sz="4" w:space="0" w:color="auto"/>
            </w:tcBorders>
            <w:hideMark/>
          </w:tcPr>
          <w:p w14:paraId="61C294E4" w14:textId="77777777" w:rsidR="00B97365" w:rsidRDefault="00000000">
            <w:pPr>
              <w:jc w:val="center"/>
              <w:rPr>
                <w:rFonts w:cs="Calibri"/>
                <w:sz w:val="16"/>
                <w:szCs w:val="16"/>
              </w:rPr>
            </w:pPr>
            <w:r>
              <w:rPr>
                <w:rFonts w:cs="Calibri"/>
                <w:sz w:val="16"/>
                <w:szCs w:val="16"/>
              </w:rPr>
              <w:t>M</w:t>
            </w:r>
          </w:p>
        </w:tc>
      </w:tr>
      <w:tr w:rsidR="00B97365" w14:paraId="0B9F0559" w14:textId="77777777">
        <w:trPr>
          <w:cantSplit/>
        </w:trPr>
        <w:tc>
          <w:tcPr>
            <w:tcW w:w="655" w:type="pct"/>
            <w:tcBorders>
              <w:top w:val="single" w:sz="6" w:space="0" w:color="auto"/>
              <w:left w:val="single" w:sz="4" w:space="0" w:color="auto"/>
              <w:bottom w:val="single" w:sz="6" w:space="0" w:color="auto"/>
              <w:right w:val="single" w:sz="6" w:space="0" w:color="auto"/>
            </w:tcBorders>
          </w:tcPr>
          <w:p w14:paraId="4BA370DE" w14:textId="77777777" w:rsidR="00B97365" w:rsidRDefault="00B97365">
            <w:pPr>
              <w:rPr>
                <w:rFonts w:cs="Calibri"/>
                <w:sz w:val="16"/>
                <w:szCs w:val="16"/>
              </w:rPr>
            </w:pPr>
          </w:p>
        </w:tc>
        <w:tc>
          <w:tcPr>
            <w:tcW w:w="697" w:type="pct"/>
            <w:tcBorders>
              <w:top w:val="single" w:sz="6" w:space="0" w:color="auto"/>
              <w:left w:val="single" w:sz="6" w:space="0" w:color="auto"/>
              <w:bottom w:val="single" w:sz="6" w:space="0" w:color="auto"/>
              <w:right w:val="single" w:sz="6" w:space="0" w:color="auto"/>
            </w:tcBorders>
          </w:tcPr>
          <w:p w14:paraId="582DE497" w14:textId="77777777" w:rsidR="00B97365" w:rsidRDefault="00B97365">
            <w:pPr>
              <w:rPr>
                <w:rFonts w:cs="Calibri"/>
                <w:sz w:val="16"/>
                <w:szCs w:val="16"/>
              </w:rPr>
            </w:pPr>
          </w:p>
        </w:tc>
        <w:tc>
          <w:tcPr>
            <w:tcW w:w="467" w:type="pct"/>
            <w:tcBorders>
              <w:top w:val="single" w:sz="6" w:space="0" w:color="auto"/>
              <w:left w:val="single" w:sz="6" w:space="0" w:color="auto"/>
              <w:bottom w:val="single" w:sz="6" w:space="0" w:color="auto"/>
              <w:right w:val="single" w:sz="6" w:space="0" w:color="auto"/>
            </w:tcBorders>
            <w:shd w:val="clear" w:color="auto" w:fill="C00000"/>
            <w:hideMark/>
          </w:tcPr>
          <w:p w14:paraId="73A76864" w14:textId="77777777" w:rsidR="00B97365" w:rsidRDefault="00000000">
            <w:pPr>
              <w:jc w:val="center"/>
              <w:rPr>
                <w:rFonts w:cs="Calibri"/>
                <w:color w:val="FFFFFF"/>
                <w:sz w:val="16"/>
                <w:szCs w:val="16"/>
              </w:rPr>
            </w:pPr>
            <w:r>
              <w:rPr>
                <w:rFonts w:cs="Calibri"/>
                <w:color w:val="FFFFFF"/>
                <w:sz w:val="16"/>
                <w:szCs w:val="16"/>
              </w:rPr>
              <w:t>Tag</w:t>
            </w:r>
          </w:p>
        </w:tc>
        <w:tc>
          <w:tcPr>
            <w:tcW w:w="652" w:type="pct"/>
            <w:tcBorders>
              <w:top w:val="single" w:sz="6" w:space="0" w:color="auto"/>
              <w:left w:val="single" w:sz="6" w:space="0" w:color="auto"/>
              <w:bottom w:val="single" w:sz="6" w:space="0" w:color="auto"/>
              <w:right w:val="single" w:sz="6" w:space="0" w:color="auto"/>
            </w:tcBorders>
            <w:shd w:val="clear" w:color="auto" w:fill="C00000"/>
            <w:hideMark/>
          </w:tcPr>
          <w:p w14:paraId="785CC7F9" w14:textId="77777777" w:rsidR="00B97365" w:rsidRDefault="00000000">
            <w:pPr>
              <w:jc w:val="center"/>
              <w:rPr>
                <w:rFonts w:cs="Calibri"/>
                <w:color w:val="FFFFFF"/>
                <w:sz w:val="16"/>
                <w:szCs w:val="16"/>
              </w:rPr>
            </w:pPr>
            <w:r>
              <w:rPr>
                <w:rFonts w:cs="Calibri"/>
                <w:color w:val="FFFFFF"/>
                <w:sz w:val="16"/>
                <w:szCs w:val="16"/>
              </w:rPr>
              <w:t>Length</w:t>
            </w:r>
          </w:p>
        </w:tc>
        <w:tc>
          <w:tcPr>
            <w:tcW w:w="1567" w:type="pct"/>
            <w:tcBorders>
              <w:top w:val="single" w:sz="6" w:space="0" w:color="auto"/>
              <w:left w:val="single" w:sz="6" w:space="0" w:color="auto"/>
              <w:bottom w:val="single" w:sz="6" w:space="0" w:color="auto"/>
              <w:right w:val="single" w:sz="6" w:space="0" w:color="auto"/>
            </w:tcBorders>
            <w:shd w:val="clear" w:color="auto" w:fill="C00000"/>
            <w:hideMark/>
          </w:tcPr>
          <w:p w14:paraId="1A70A135" w14:textId="77777777" w:rsidR="00B97365" w:rsidRDefault="00000000">
            <w:pPr>
              <w:jc w:val="center"/>
              <w:rPr>
                <w:rFonts w:cs="Calibri"/>
                <w:color w:val="FFFFFF"/>
                <w:sz w:val="16"/>
                <w:szCs w:val="16"/>
              </w:rPr>
            </w:pPr>
            <w:r>
              <w:rPr>
                <w:rFonts w:cs="Calibri"/>
                <w:color w:val="FFFFFF"/>
                <w:sz w:val="16"/>
                <w:szCs w:val="16"/>
              </w:rPr>
              <w:t>Value Description</w:t>
            </w:r>
          </w:p>
        </w:tc>
        <w:tc>
          <w:tcPr>
            <w:tcW w:w="962" w:type="pct"/>
            <w:tcBorders>
              <w:top w:val="single" w:sz="6" w:space="0" w:color="auto"/>
              <w:left w:val="single" w:sz="6" w:space="0" w:color="auto"/>
              <w:bottom w:val="single" w:sz="6" w:space="0" w:color="auto"/>
              <w:right w:val="single" w:sz="4" w:space="0" w:color="auto"/>
            </w:tcBorders>
            <w:shd w:val="clear" w:color="auto" w:fill="C00000"/>
            <w:hideMark/>
          </w:tcPr>
          <w:p w14:paraId="6DE52A92" w14:textId="77777777" w:rsidR="00B97365" w:rsidRDefault="00000000">
            <w:pPr>
              <w:jc w:val="center"/>
              <w:rPr>
                <w:rFonts w:cs="Calibri"/>
                <w:color w:val="FFFFFF"/>
                <w:sz w:val="16"/>
                <w:szCs w:val="16"/>
              </w:rPr>
            </w:pPr>
            <w:r>
              <w:rPr>
                <w:rFonts w:cs="Calibri"/>
                <w:color w:val="FFFFFF"/>
                <w:sz w:val="16"/>
                <w:szCs w:val="16"/>
              </w:rPr>
              <w:t>MOC</w:t>
            </w:r>
          </w:p>
        </w:tc>
      </w:tr>
      <w:tr w:rsidR="00B97365" w14:paraId="06B15DEA" w14:textId="77777777">
        <w:trPr>
          <w:cantSplit/>
        </w:trPr>
        <w:tc>
          <w:tcPr>
            <w:tcW w:w="655" w:type="pct"/>
            <w:tcBorders>
              <w:top w:val="single" w:sz="6" w:space="0" w:color="auto"/>
              <w:left w:val="single" w:sz="4" w:space="0" w:color="auto"/>
              <w:bottom w:val="single" w:sz="4" w:space="0" w:color="auto"/>
              <w:right w:val="single" w:sz="6" w:space="0" w:color="auto"/>
            </w:tcBorders>
          </w:tcPr>
          <w:p w14:paraId="6E9CE6CB" w14:textId="77777777" w:rsidR="00B97365" w:rsidRDefault="00B97365">
            <w:pPr>
              <w:rPr>
                <w:rFonts w:cs="Calibri"/>
                <w:sz w:val="16"/>
                <w:szCs w:val="16"/>
              </w:rPr>
            </w:pPr>
          </w:p>
        </w:tc>
        <w:tc>
          <w:tcPr>
            <w:tcW w:w="697" w:type="pct"/>
            <w:tcBorders>
              <w:top w:val="single" w:sz="6" w:space="0" w:color="auto"/>
              <w:left w:val="single" w:sz="6" w:space="0" w:color="auto"/>
              <w:bottom w:val="single" w:sz="4" w:space="0" w:color="auto"/>
              <w:right w:val="single" w:sz="6" w:space="0" w:color="auto"/>
            </w:tcBorders>
          </w:tcPr>
          <w:p w14:paraId="144EF42F" w14:textId="77777777" w:rsidR="00B97365" w:rsidRDefault="00B97365">
            <w:pPr>
              <w:rPr>
                <w:rFonts w:cs="Calibri"/>
                <w:sz w:val="16"/>
                <w:szCs w:val="16"/>
              </w:rPr>
            </w:pPr>
          </w:p>
        </w:tc>
        <w:tc>
          <w:tcPr>
            <w:tcW w:w="467" w:type="pct"/>
            <w:tcBorders>
              <w:top w:val="single" w:sz="6" w:space="0" w:color="auto"/>
              <w:left w:val="single" w:sz="6" w:space="0" w:color="auto"/>
              <w:bottom w:val="single" w:sz="4" w:space="0" w:color="auto"/>
              <w:right w:val="single" w:sz="6" w:space="0" w:color="auto"/>
            </w:tcBorders>
            <w:hideMark/>
          </w:tcPr>
          <w:p w14:paraId="33FA5B0F" w14:textId="77777777" w:rsidR="00B97365" w:rsidRDefault="00000000">
            <w:pPr>
              <w:rPr>
                <w:rFonts w:cs="Calibri"/>
                <w:sz w:val="16"/>
                <w:szCs w:val="16"/>
              </w:rPr>
            </w:pPr>
            <w:r>
              <w:rPr>
                <w:rFonts w:cs="Calibri"/>
                <w:sz w:val="16"/>
                <w:szCs w:val="16"/>
              </w:rPr>
              <w:t>‘4F’</w:t>
            </w:r>
          </w:p>
        </w:tc>
        <w:tc>
          <w:tcPr>
            <w:tcW w:w="652" w:type="pct"/>
            <w:tcBorders>
              <w:top w:val="single" w:sz="6" w:space="0" w:color="auto"/>
              <w:left w:val="single" w:sz="6" w:space="0" w:color="auto"/>
              <w:bottom w:val="single" w:sz="4" w:space="0" w:color="auto"/>
              <w:right w:val="single" w:sz="6" w:space="0" w:color="auto"/>
            </w:tcBorders>
            <w:hideMark/>
          </w:tcPr>
          <w:p w14:paraId="268419D4" w14:textId="77777777" w:rsidR="00B97365" w:rsidRDefault="00000000">
            <w:pPr>
              <w:rPr>
                <w:rFonts w:cs="Calibri"/>
                <w:sz w:val="16"/>
                <w:szCs w:val="16"/>
              </w:rPr>
            </w:pPr>
            <w:r>
              <w:rPr>
                <w:rFonts w:cs="Calibri"/>
                <w:sz w:val="16"/>
                <w:szCs w:val="16"/>
              </w:rPr>
              <w:t>5-16</w:t>
            </w:r>
          </w:p>
        </w:tc>
        <w:tc>
          <w:tcPr>
            <w:tcW w:w="1567" w:type="pct"/>
            <w:tcBorders>
              <w:top w:val="single" w:sz="6" w:space="0" w:color="auto"/>
              <w:left w:val="single" w:sz="6" w:space="0" w:color="auto"/>
              <w:bottom w:val="single" w:sz="4" w:space="0" w:color="auto"/>
              <w:right w:val="single" w:sz="6" w:space="0" w:color="auto"/>
            </w:tcBorders>
            <w:hideMark/>
          </w:tcPr>
          <w:p w14:paraId="34DFA984" w14:textId="77777777" w:rsidR="00B97365" w:rsidRDefault="00000000">
            <w:pPr>
              <w:rPr>
                <w:rFonts w:cs="Calibri"/>
                <w:sz w:val="16"/>
                <w:szCs w:val="16"/>
              </w:rPr>
            </w:pPr>
            <w:r>
              <w:rPr>
                <w:rFonts w:cs="Calibri"/>
                <w:sz w:val="16"/>
                <w:szCs w:val="16"/>
              </w:rPr>
              <w:t>ISD-P-AID</w:t>
            </w:r>
          </w:p>
        </w:tc>
        <w:tc>
          <w:tcPr>
            <w:tcW w:w="962" w:type="pct"/>
            <w:tcBorders>
              <w:top w:val="single" w:sz="6" w:space="0" w:color="auto"/>
              <w:left w:val="single" w:sz="6" w:space="0" w:color="auto"/>
              <w:bottom w:val="single" w:sz="4" w:space="0" w:color="auto"/>
              <w:right w:val="single" w:sz="4" w:space="0" w:color="auto"/>
            </w:tcBorders>
            <w:hideMark/>
          </w:tcPr>
          <w:p w14:paraId="0376FC15" w14:textId="77777777" w:rsidR="00B97365" w:rsidRDefault="00000000">
            <w:pPr>
              <w:jc w:val="center"/>
              <w:rPr>
                <w:rFonts w:cs="Calibri"/>
                <w:sz w:val="16"/>
                <w:szCs w:val="16"/>
              </w:rPr>
            </w:pPr>
            <w:r>
              <w:rPr>
                <w:rFonts w:cs="Calibri"/>
                <w:sz w:val="16"/>
                <w:szCs w:val="16"/>
              </w:rPr>
              <w:t>M</w:t>
            </w:r>
          </w:p>
        </w:tc>
      </w:tr>
    </w:tbl>
    <w:p w14:paraId="5D6C9AE5" w14:textId="77777777" w:rsidR="00B97365" w:rsidRDefault="00000000">
      <w:pPr>
        <w:tabs>
          <w:tab w:val="left" w:pos="1009"/>
        </w:tabs>
        <w:spacing w:after="200" w:line="276" w:lineRule="auto"/>
        <w:jc w:val="center"/>
        <w:rPr>
          <w:rFonts w:cs="Arial"/>
          <w:lang w:eastAsia="de-DE" w:bidi="ar-SA"/>
        </w:rPr>
      </w:pPr>
      <w:r>
        <w:rPr>
          <w:rFonts w:cs="Arial"/>
          <w:b/>
          <w:lang w:eastAsia="de-DE" w:bidi="ar-SA"/>
        </w:rPr>
        <w:t>Table 41113-C: Set Emergency Profile Attribute Data Field</w:t>
      </w:r>
    </w:p>
    <w:p w14:paraId="2A7F2892"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Response</w:t>
      </w:r>
      <w:r>
        <w:rPr>
          <w:b/>
          <w:i/>
          <w:szCs w:val="22"/>
          <w:lang w:val="en-US" w:eastAsia="en-GB" w:bidi="ar-SA"/>
        </w:rPr>
        <w:t xml:space="preserve"> Message</w:t>
      </w:r>
    </w:p>
    <w:p w14:paraId="6B4439A9"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Data Field</w:t>
      </w:r>
      <w:r>
        <w:rPr>
          <w:b/>
          <w:i/>
          <w:szCs w:val="22"/>
          <w:lang w:val="en-US" w:eastAsia="en-GB" w:bidi="ar-SA"/>
        </w:rPr>
        <w:t xml:space="preserve"> Returned in the Response Message:</w:t>
      </w:r>
    </w:p>
    <w:p w14:paraId="3364F351" w14:textId="77777777" w:rsidR="00B97365" w:rsidRDefault="00000000">
      <w:pPr>
        <w:spacing w:before="0" w:after="200" w:line="276" w:lineRule="auto"/>
        <w:jc w:val="left"/>
        <w:rPr>
          <w:rFonts w:asciiTheme="minorHAnsi" w:hAnsiTheme="minorHAnsi" w:cstheme="minorHAnsi"/>
        </w:rPr>
      </w:pPr>
      <w:r>
        <w:rPr>
          <w:rFonts w:cs="Arial"/>
          <w:szCs w:val="22"/>
          <w:lang w:val="en-US" w:eastAsia="en-GB" w:bidi="ar-SA"/>
        </w:rPr>
        <w:t>The data field of the response message SHALL NOT be present.</w:t>
      </w:r>
    </w:p>
    <w:p w14:paraId="42D74C0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Processing</w:t>
      </w:r>
      <w:r>
        <w:rPr>
          <w:b/>
          <w:i/>
          <w:szCs w:val="22"/>
          <w:lang w:val="en-US" w:eastAsia="en-GB" w:bidi="ar-SA"/>
        </w:rPr>
        <w:t xml:space="preserve"> State Returned in the Response Message:</w:t>
      </w:r>
    </w:p>
    <w:p w14:paraId="588DA8ED" w14:textId="7C255D82" w:rsidR="00B97365" w:rsidRDefault="00000000">
      <w:pPr>
        <w:spacing w:before="0" w:after="200" w:line="276" w:lineRule="auto"/>
        <w:jc w:val="left"/>
        <w:rPr>
          <w:szCs w:val="22"/>
          <w:lang w:val="en-US" w:eastAsia="en-GB" w:bidi="ar-SA"/>
        </w:rPr>
      </w:pPr>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11.11.3.2.</w:t>
      </w:r>
    </w:p>
    <w:p w14:paraId="4D965EE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531" w:name="_Toc421885590"/>
      <w:bookmarkStart w:id="2532" w:name="_Toc421885969"/>
      <w:bookmarkStart w:id="2533" w:name="_Toc368932243"/>
      <w:bookmarkStart w:id="2534" w:name="_Toc375158258"/>
      <w:bookmarkStart w:id="2535" w:name="_Toc398214842"/>
      <w:bookmarkStart w:id="2536" w:name="_Toc420594603"/>
      <w:bookmarkStart w:id="2537" w:name="_Toc421874301"/>
      <w:bookmarkStart w:id="2538" w:name="_Toc422150717"/>
      <w:bookmarkStart w:id="2539" w:name="_Toc448998243"/>
      <w:bookmarkStart w:id="2540" w:name="_Toc486332861"/>
      <w:bookmarkStart w:id="2541" w:name="_Toc1977319"/>
      <w:bookmarkStart w:id="2542" w:name="_Toc37062478"/>
      <w:bookmarkStart w:id="2543" w:name="_Toc88839570"/>
      <w:bookmarkStart w:id="2544" w:name="_Toc121503978"/>
      <w:bookmarkEnd w:id="2531"/>
      <w:bookmarkEnd w:id="2532"/>
      <w:r>
        <w:rPr>
          <w:rFonts w:eastAsia="Times New Roman" w:cs="Arial"/>
          <w:b/>
          <w:bCs/>
          <w:iCs/>
          <w:sz w:val="24"/>
          <w:szCs w:val="26"/>
          <w:lang w:eastAsia="en-US"/>
        </w:rPr>
        <w:lastRenderedPageBreak/>
        <w:t>ES6 (Operator-eUICC) Interface Description</w:t>
      </w:r>
      <w:bookmarkEnd w:id="2533"/>
      <w:bookmarkEnd w:id="2534"/>
      <w:bookmarkEnd w:id="2535"/>
      <w:bookmarkEnd w:id="2536"/>
      <w:bookmarkEnd w:id="2537"/>
      <w:bookmarkEnd w:id="2538"/>
      <w:bookmarkEnd w:id="2539"/>
      <w:bookmarkEnd w:id="2540"/>
      <w:bookmarkEnd w:id="2541"/>
      <w:bookmarkEnd w:id="2542"/>
      <w:bookmarkEnd w:id="2543"/>
      <w:bookmarkEnd w:id="2544"/>
      <w:r>
        <w:rPr>
          <w:rFonts w:eastAsia="Times New Roman" w:cs="Arial"/>
          <w:b/>
          <w:bCs/>
          <w:iCs/>
          <w:sz w:val="24"/>
          <w:szCs w:val="26"/>
          <w:lang w:eastAsia="en-US"/>
        </w:rPr>
        <w:t xml:space="preserve"> </w:t>
      </w:r>
    </w:p>
    <w:p w14:paraId="1CC34605"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545" w:name="_Toc375054834"/>
      <w:bookmarkStart w:id="2546" w:name="_Toc375157917"/>
      <w:bookmarkStart w:id="2547" w:name="_Toc375158259"/>
      <w:bookmarkStart w:id="2548" w:name="_Toc378865415"/>
      <w:bookmarkStart w:id="2549" w:name="_Toc396149145"/>
      <w:bookmarkStart w:id="2550" w:name="_Toc396149713"/>
      <w:bookmarkStart w:id="2551" w:name="_Toc396150154"/>
      <w:bookmarkStart w:id="2552" w:name="_Toc398214843"/>
      <w:bookmarkStart w:id="2553" w:name="_Toc398291533"/>
      <w:bookmarkStart w:id="2554" w:name="_Toc398291876"/>
      <w:bookmarkStart w:id="2555" w:name="_Toc398292985"/>
      <w:bookmarkStart w:id="2556" w:name="_Toc400964115"/>
      <w:bookmarkStart w:id="2557" w:name="_Toc420594604"/>
      <w:bookmarkStart w:id="2558" w:name="_Toc420928390"/>
      <w:bookmarkStart w:id="2559" w:name="_Toc421106711"/>
      <w:bookmarkStart w:id="2560" w:name="_Toc421172995"/>
      <w:bookmarkStart w:id="2561" w:name="_Toc421874302"/>
      <w:bookmarkStart w:id="2562" w:name="_Toc422028843"/>
      <w:bookmarkStart w:id="2563" w:name="_Toc422029755"/>
      <w:bookmarkStart w:id="2564" w:name="_Toc422150718"/>
      <w:bookmarkStart w:id="2565" w:name="_Ref367972492"/>
      <w:bookmarkStart w:id="2566" w:name="_Ref367973176"/>
      <w:bookmarkStart w:id="2567" w:name="_Toc368932244"/>
      <w:bookmarkStart w:id="2568" w:name="_Toc1977320"/>
      <w:bookmarkStart w:id="2569" w:name="_Toc37062479"/>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r>
        <w:rPr>
          <w:rFonts w:ascii="Arial Bold" w:eastAsia="Times New Roman" w:hAnsi="Arial Bold" w:cs="Arial"/>
          <w:b/>
          <w:iCs/>
          <w:szCs w:val="28"/>
          <w:lang w:eastAsia="en-US"/>
        </w:rPr>
        <w:t xml:space="preserve">Policy Rules Update by </w:t>
      </w:r>
      <w:bookmarkEnd w:id="2565"/>
      <w:bookmarkEnd w:id="2566"/>
      <w:bookmarkEnd w:id="2567"/>
      <w:r>
        <w:rPr>
          <w:rFonts w:ascii="Arial Bold" w:eastAsia="Times New Roman" w:hAnsi="Arial Bold" w:cs="Arial"/>
          <w:b/>
          <w:iCs/>
          <w:szCs w:val="28"/>
          <w:lang w:eastAsia="en-US"/>
        </w:rPr>
        <w:t>Operator</w:t>
      </w:r>
      <w:bookmarkEnd w:id="2568"/>
      <w:bookmarkEnd w:id="2569"/>
    </w:p>
    <w:p w14:paraId="0A61E49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UpdatePOL1byMNO</w:t>
      </w:r>
    </w:p>
    <w:p w14:paraId="688B463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Pol1 Update by Operator</w:t>
      </w:r>
    </w:p>
    <w:p w14:paraId="421202F3" w14:textId="77777777" w:rsidR="00B97365" w:rsidRDefault="00000000">
      <w:pPr>
        <w:spacing w:before="0" w:after="200" w:line="276" w:lineRule="auto"/>
        <w:jc w:val="left"/>
        <w:rPr>
          <w:szCs w:val="22"/>
          <w:lang w:val="en-US" w:eastAsia="en-GB" w:bidi="ar-SA"/>
        </w:rPr>
      </w:pPr>
      <w:bookmarkStart w:id="2570" w:name="_Toc420594605"/>
      <w:r>
        <w:rPr>
          <w:rFonts w:cs="Arial"/>
          <w:b/>
          <w:szCs w:val="22"/>
          <w:lang w:val="en-US" w:eastAsia="en-GB" w:bidi="ar-SA"/>
        </w:rPr>
        <w:t>Function group:</w:t>
      </w:r>
      <w:r>
        <w:rPr>
          <w:szCs w:val="22"/>
          <w:lang w:val="en-US" w:eastAsia="en-GB" w:bidi="ar-SA"/>
        </w:rPr>
        <w:t xml:space="preserve"> Profile Management</w:t>
      </w:r>
      <w:bookmarkEnd w:id="2570"/>
      <w:r>
        <w:rPr>
          <w:szCs w:val="22"/>
          <w:lang w:val="en-US" w:eastAsia="en-GB" w:bidi="ar-SA"/>
        </w:rPr>
        <w:t xml:space="preserve"> </w:t>
      </w:r>
    </w:p>
    <w:p w14:paraId="480802FD" w14:textId="77777777" w:rsidR="00B97365" w:rsidRDefault="00000000">
      <w:pPr>
        <w:spacing w:before="0" w:after="200" w:line="276" w:lineRule="auto"/>
        <w:jc w:val="left"/>
        <w:rPr>
          <w:szCs w:val="22"/>
          <w:lang w:val="en-US" w:eastAsia="en-GB" w:bidi="ar-SA"/>
        </w:rPr>
      </w:pPr>
      <w:bookmarkStart w:id="2571" w:name="_Toc420594606"/>
      <w:r>
        <w:rPr>
          <w:rFonts w:cs="Arial"/>
          <w:b/>
          <w:szCs w:val="22"/>
          <w:lang w:val="en-US" w:eastAsia="en-GB" w:bidi="ar-SA"/>
        </w:rPr>
        <w:t>Function Provider entity:</w:t>
      </w:r>
      <w:r>
        <w:rPr>
          <w:szCs w:val="22"/>
          <w:lang w:val="en-US" w:eastAsia="en-GB" w:bidi="ar-SA"/>
        </w:rPr>
        <w:t xml:space="preserve"> MNO-SD</w:t>
      </w:r>
      <w:bookmarkEnd w:id="2571"/>
    </w:p>
    <w:p w14:paraId="76676E2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is used to update POL1 on the eUICC.</w:t>
      </w:r>
    </w:p>
    <w:p w14:paraId="78FA1B5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has the following parameter:</w:t>
      </w:r>
    </w:p>
    <w:p w14:paraId="2DF6FF8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POL1</w:t>
      </w:r>
    </w:p>
    <w:p w14:paraId="77B545FD" w14:textId="77777777" w:rsidR="00B97365" w:rsidRDefault="00000000">
      <w:pPr>
        <w:spacing w:before="0" w:after="200" w:line="276" w:lineRule="auto"/>
        <w:jc w:val="left"/>
        <w:rPr>
          <w:b/>
          <w:szCs w:val="22"/>
          <w:u w:val="single"/>
          <w:lang w:val="en-US" w:eastAsia="en-GB" w:bidi="ar-SA"/>
        </w:rPr>
      </w:pPr>
      <w:bookmarkStart w:id="2572" w:name="_Toc420594607"/>
      <w:r>
        <w:rPr>
          <w:rFonts w:cs="Arial"/>
          <w:b/>
          <w:szCs w:val="22"/>
          <w:u w:val="single"/>
          <w:lang w:val="en-US" w:eastAsia="en-GB" w:bidi="ar-SA"/>
        </w:rPr>
        <w:t>Prerequisites</w:t>
      </w:r>
      <w:bookmarkEnd w:id="2572"/>
    </w:p>
    <w:p w14:paraId="004AEF5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Profile is enabled</w:t>
      </w:r>
    </w:p>
    <w:p w14:paraId="55CD0DA9" w14:textId="77777777" w:rsidR="00B97365" w:rsidRDefault="00000000">
      <w:pPr>
        <w:spacing w:before="0" w:after="200" w:line="276" w:lineRule="auto"/>
        <w:jc w:val="left"/>
        <w:rPr>
          <w:b/>
          <w:szCs w:val="22"/>
          <w:u w:val="single"/>
          <w:lang w:val="en-US" w:eastAsia="en-GB" w:bidi="ar-SA"/>
        </w:rPr>
      </w:pPr>
      <w:bookmarkStart w:id="2573" w:name="_Toc420594608"/>
      <w:r>
        <w:rPr>
          <w:rFonts w:cs="Arial"/>
          <w:b/>
          <w:szCs w:val="22"/>
          <w:u w:val="single"/>
          <w:lang w:val="en-US" w:eastAsia="en-GB" w:bidi="ar-SA"/>
        </w:rPr>
        <w:t>Function flow</w:t>
      </w:r>
      <w:bookmarkEnd w:id="2573"/>
    </w:p>
    <w:p w14:paraId="3691EE8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POL1 update command, the eUICC SHALL:</w:t>
      </w:r>
    </w:p>
    <w:p w14:paraId="17797D8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Update POL1 of the ISD-P containing the targeted MNO-SD. </w:t>
      </w:r>
    </w:p>
    <w:p w14:paraId="2AD06F05" w14:textId="77777777" w:rsidR="00B97365" w:rsidRDefault="00000000">
      <w:pPr>
        <w:spacing w:before="0" w:after="200" w:line="276" w:lineRule="auto"/>
        <w:jc w:val="left"/>
        <w:rPr>
          <w:b/>
          <w:szCs w:val="22"/>
          <w:u w:val="single"/>
          <w:lang w:val="en-US" w:eastAsia="en-GB" w:bidi="ar-SA"/>
        </w:rPr>
      </w:pPr>
      <w:bookmarkStart w:id="2574" w:name="_Toc420594609"/>
      <w:r>
        <w:rPr>
          <w:rFonts w:cs="Arial"/>
          <w:b/>
          <w:szCs w:val="22"/>
          <w:u w:val="single"/>
          <w:lang w:val="en-US" w:eastAsia="en-GB" w:bidi="ar-SA"/>
        </w:rPr>
        <w:t>Commands</w:t>
      </w:r>
      <w:bookmarkEnd w:id="2574"/>
    </w:p>
    <w:p w14:paraId="193FCC4A" w14:textId="77777777" w:rsidR="00B97365" w:rsidRDefault="00000000">
      <w:pPr>
        <w:spacing w:before="0" w:after="200" w:line="276" w:lineRule="auto"/>
        <w:jc w:val="left"/>
        <w:rPr>
          <w:b/>
          <w:szCs w:val="22"/>
          <w:lang w:val="en-US" w:eastAsia="en-GB" w:bidi="ar-SA"/>
        </w:rPr>
      </w:pPr>
      <w:bookmarkStart w:id="2575" w:name="_Toc420594610"/>
      <w:r>
        <w:rPr>
          <w:rFonts w:cs="Arial"/>
          <w:b/>
          <w:szCs w:val="22"/>
          <w:lang w:val="en-US" w:eastAsia="en-GB" w:bidi="ar-SA"/>
        </w:rPr>
        <w:t>INSTALL [for personalization] command</w:t>
      </w:r>
      <w:bookmarkEnd w:id="2575"/>
    </w:p>
    <w:p w14:paraId="3F8CF292" w14:textId="39844936"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consists of an INSTALL [for personalization] command followed by a STORE DATA command, as described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1D42B404" w14:textId="53CFBFE1" w:rsidR="00B97365" w:rsidRDefault="00000000">
      <w:pPr>
        <w:spacing w:before="0" w:after="200" w:line="276" w:lineRule="auto"/>
        <w:jc w:val="left"/>
        <w:rPr>
          <w:szCs w:val="22"/>
          <w:lang w:val="en-US" w:eastAsia="en-GB" w:bidi="ar-SA"/>
        </w:rPr>
      </w:pPr>
      <w:r>
        <w:rPr>
          <w:rFonts w:cs="Arial"/>
          <w:szCs w:val="22"/>
          <w:lang w:val="en-US" w:eastAsia="en-GB" w:bidi="ar-SA"/>
        </w:rPr>
        <w:t xml:space="preserve">According to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INSTALL [for personalization] command can only be used on applications Associated with a Security Domain. As an exception from this rule, the eUICC SHALL allow the MNO-SD to receive this command sequence with data destined to the ISD-P.</w:t>
      </w:r>
    </w:p>
    <w:p w14:paraId="2300C34A" w14:textId="77777777" w:rsidR="00B97365" w:rsidRDefault="00000000">
      <w:pPr>
        <w:spacing w:before="0" w:after="200" w:line="276" w:lineRule="auto"/>
        <w:jc w:val="left"/>
        <w:rPr>
          <w:b/>
          <w:szCs w:val="22"/>
          <w:lang w:val="en-US" w:eastAsia="en-GB" w:bidi="ar-SA"/>
        </w:rPr>
      </w:pPr>
      <w:bookmarkStart w:id="2576" w:name="_Toc420594611"/>
      <w:r>
        <w:rPr>
          <w:rFonts w:cs="Arial"/>
          <w:b/>
          <w:szCs w:val="22"/>
          <w:lang w:val="en-US" w:eastAsia="en-GB" w:bidi="ar-SA"/>
        </w:rPr>
        <w:t>INSTALL [for personalization] command:</w:t>
      </w:r>
      <w:bookmarkEnd w:id="257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542"/>
        <w:gridCol w:w="694"/>
        <w:gridCol w:w="4347"/>
      </w:tblGrid>
      <w:tr w:rsidR="00B97365" w14:paraId="37C86026"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F50AC72"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4F484F5" w14:textId="77777777" w:rsidR="00B97365" w:rsidRDefault="00000000">
            <w:pPr>
              <w:jc w:val="center"/>
              <w:rPr>
                <w:rFonts w:cs="Calibri"/>
                <w:b/>
                <w:color w:val="FFFFFF"/>
                <w:sz w:val="16"/>
                <w:szCs w:val="16"/>
              </w:rPr>
            </w:pPr>
            <w:r>
              <w:rPr>
                <w:rFonts w:cs="Calibri"/>
                <w:b/>
                <w:color w:val="FFFFFF"/>
                <w:sz w:val="16"/>
                <w:szCs w:val="16"/>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39D6214" w14:textId="77777777" w:rsidR="00B97365" w:rsidRDefault="00000000">
            <w:pPr>
              <w:jc w:val="center"/>
              <w:rPr>
                <w:rFonts w:cs="Calibri"/>
                <w:b/>
                <w:color w:val="FFFFFF"/>
                <w:sz w:val="16"/>
                <w:szCs w:val="16"/>
              </w:rPr>
            </w:pPr>
            <w:r>
              <w:rPr>
                <w:rFonts w:cs="Calibri"/>
                <w:b/>
                <w:color w:val="FFFFFF"/>
                <w:sz w:val="16"/>
                <w:szCs w:val="16"/>
              </w:rPr>
              <w:t>Meaning</w:t>
            </w:r>
          </w:p>
        </w:tc>
      </w:tr>
      <w:tr w:rsidR="00B97365" w14:paraId="3D354C63"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D1D6534" w14:textId="77777777" w:rsidR="00B97365" w:rsidRDefault="00000000">
            <w:pPr>
              <w:rPr>
                <w:rFonts w:cs="Calibri"/>
                <w:color w:val="000000"/>
                <w:sz w:val="16"/>
                <w:szCs w:val="16"/>
              </w:rPr>
            </w:pPr>
            <w:r>
              <w:rPr>
                <w:rFonts w:cs="Calibri"/>
                <w:color w:val="000000"/>
                <w:sz w:val="16"/>
                <w:szCs w:val="16"/>
              </w:rPr>
              <w:t>CLA</w:t>
            </w:r>
          </w:p>
        </w:tc>
        <w:tc>
          <w:tcPr>
            <w:tcW w:w="0" w:type="auto"/>
            <w:tcBorders>
              <w:top w:val="single" w:sz="6" w:space="0" w:color="auto"/>
              <w:left w:val="single" w:sz="6" w:space="0" w:color="auto"/>
              <w:bottom w:val="single" w:sz="6" w:space="0" w:color="auto"/>
              <w:right w:val="single" w:sz="6" w:space="0" w:color="auto"/>
            </w:tcBorders>
            <w:vAlign w:val="center"/>
            <w:hideMark/>
          </w:tcPr>
          <w:p w14:paraId="0BC035BD" w14:textId="77777777" w:rsidR="00B97365" w:rsidRDefault="00000000">
            <w:pPr>
              <w:rPr>
                <w:rFonts w:cs="Calibri"/>
                <w:color w:val="000000"/>
                <w:sz w:val="16"/>
                <w:szCs w:val="16"/>
              </w:rPr>
            </w:pPr>
            <w:r>
              <w:rPr>
                <w:rFonts w:cs="Calibri"/>
                <w:color w:val="000000"/>
                <w:sz w:val="16"/>
                <w:szCs w:val="16"/>
              </w:rPr>
              <w:t>‘80’</w:t>
            </w:r>
          </w:p>
        </w:tc>
        <w:tc>
          <w:tcPr>
            <w:tcW w:w="0" w:type="auto"/>
            <w:tcBorders>
              <w:top w:val="single" w:sz="6" w:space="0" w:color="auto"/>
              <w:left w:val="single" w:sz="6" w:space="0" w:color="auto"/>
              <w:bottom w:val="single" w:sz="6" w:space="0" w:color="auto"/>
              <w:right w:val="single" w:sz="4" w:space="0" w:color="auto"/>
            </w:tcBorders>
            <w:vAlign w:val="center"/>
            <w:hideMark/>
          </w:tcPr>
          <w:p w14:paraId="67DA4FD3" w14:textId="77777777" w:rsidR="00B97365" w:rsidRDefault="00000000">
            <w:pPr>
              <w:rPr>
                <w:rFonts w:cs="Calibri"/>
                <w:color w:val="000000"/>
                <w:sz w:val="16"/>
                <w:szCs w:val="16"/>
              </w:rPr>
            </w:pPr>
            <w:r>
              <w:rPr>
                <w:rFonts w:cs="Calibri"/>
                <w:color w:val="000000"/>
                <w:sz w:val="16"/>
                <w:szCs w:val="16"/>
              </w:rPr>
              <w:t>See GlobalPlatform Card Specification  section 11.1</w:t>
            </w:r>
          </w:p>
        </w:tc>
      </w:tr>
      <w:tr w:rsidR="00B97365" w14:paraId="59CDD58E"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0C039AC" w14:textId="77777777" w:rsidR="00B97365" w:rsidRDefault="00000000">
            <w:pPr>
              <w:rPr>
                <w:rFonts w:cs="Calibri"/>
                <w:color w:val="000000"/>
                <w:sz w:val="16"/>
                <w:szCs w:val="16"/>
              </w:rPr>
            </w:pPr>
            <w:r>
              <w:rPr>
                <w:rFonts w:cs="Calibri"/>
                <w:color w:val="000000"/>
                <w:sz w:val="16"/>
                <w:szCs w:val="16"/>
              </w:rPr>
              <w:t>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29714ECE" w14:textId="77777777" w:rsidR="00B97365" w:rsidRDefault="00000000">
            <w:pPr>
              <w:tabs>
                <w:tab w:val="right" w:pos="7938"/>
              </w:tabs>
              <w:ind w:left="470" w:hanging="459"/>
              <w:rPr>
                <w:rFonts w:cs="Calibri"/>
                <w:color w:val="000000"/>
                <w:sz w:val="16"/>
                <w:szCs w:val="16"/>
              </w:rPr>
            </w:pPr>
            <w:r>
              <w:rPr>
                <w:rFonts w:cs="Calibri"/>
                <w:color w:val="000000"/>
                <w:sz w:val="16"/>
                <w:szCs w:val="16"/>
              </w:rPr>
              <w:t>‘E6’</w:t>
            </w:r>
          </w:p>
        </w:tc>
        <w:tc>
          <w:tcPr>
            <w:tcW w:w="0" w:type="auto"/>
            <w:tcBorders>
              <w:top w:val="single" w:sz="6" w:space="0" w:color="auto"/>
              <w:left w:val="single" w:sz="6" w:space="0" w:color="auto"/>
              <w:bottom w:val="single" w:sz="6" w:space="0" w:color="auto"/>
              <w:right w:val="single" w:sz="4" w:space="0" w:color="auto"/>
            </w:tcBorders>
            <w:vAlign w:val="center"/>
            <w:hideMark/>
          </w:tcPr>
          <w:p w14:paraId="7AE90E12" w14:textId="77777777" w:rsidR="00B97365" w:rsidRDefault="00000000">
            <w:pPr>
              <w:tabs>
                <w:tab w:val="right" w:pos="7938"/>
              </w:tabs>
              <w:ind w:left="470" w:hanging="459"/>
              <w:rPr>
                <w:rFonts w:cs="Calibri"/>
                <w:color w:val="000000"/>
                <w:sz w:val="16"/>
                <w:szCs w:val="16"/>
              </w:rPr>
            </w:pPr>
            <w:r>
              <w:rPr>
                <w:rFonts w:cs="Calibri"/>
                <w:color w:val="000000"/>
                <w:sz w:val="16"/>
                <w:szCs w:val="16"/>
              </w:rPr>
              <w:t>INSTALL</w:t>
            </w:r>
          </w:p>
        </w:tc>
      </w:tr>
      <w:tr w:rsidR="00B97365" w14:paraId="77E22051"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8867CBB" w14:textId="77777777" w:rsidR="00B97365" w:rsidRDefault="00000000">
            <w:pPr>
              <w:tabs>
                <w:tab w:val="right" w:pos="7938"/>
              </w:tabs>
              <w:ind w:left="470" w:hanging="459"/>
              <w:rPr>
                <w:rFonts w:cs="Calibri"/>
                <w:color w:val="000000"/>
                <w:sz w:val="16"/>
                <w:szCs w:val="16"/>
              </w:rPr>
            </w:pPr>
            <w:r>
              <w:rPr>
                <w:rFonts w:cs="Calibri"/>
                <w:color w:val="000000"/>
                <w:sz w:val="16"/>
                <w:szCs w:val="16"/>
              </w:rPr>
              <w:t>P1</w:t>
            </w:r>
          </w:p>
        </w:tc>
        <w:tc>
          <w:tcPr>
            <w:tcW w:w="0" w:type="auto"/>
            <w:tcBorders>
              <w:top w:val="single" w:sz="6" w:space="0" w:color="auto"/>
              <w:left w:val="single" w:sz="6" w:space="0" w:color="auto"/>
              <w:bottom w:val="single" w:sz="6" w:space="0" w:color="auto"/>
              <w:right w:val="single" w:sz="6" w:space="0" w:color="auto"/>
            </w:tcBorders>
            <w:vAlign w:val="center"/>
            <w:hideMark/>
          </w:tcPr>
          <w:p w14:paraId="6A6BEB19" w14:textId="77777777" w:rsidR="00B97365" w:rsidRDefault="00000000">
            <w:pPr>
              <w:rPr>
                <w:rFonts w:cs="Calibri"/>
                <w:color w:val="000000"/>
                <w:sz w:val="16"/>
                <w:szCs w:val="16"/>
              </w:rPr>
            </w:pPr>
            <w:r>
              <w:rPr>
                <w:rFonts w:cs="Calibri"/>
                <w:color w:val="000000"/>
                <w:sz w:val="16"/>
                <w:szCs w:val="16"/>
              </w:rPr>
              <w:t>‘20’</w:t>
            </w:r>
          </w:p>
        </w:tc>
        <w:tc>
          <w:tcPr>
            <w:tcW w:w="0" w:type="auto"/>
            <w:tcBorders>
              <w:top w:val="single" w:sz="6" w:space="0" w:color="auto"/>
              <w:left w:val="single" w:sz="6" w:space="0" w:color="auto"/>
              <w:bottom w:val="single" w:sz="6" w:space="0" w:color="auto"/>
              <w:right w:val="single" w:sz="4" w:space="0" w:color="auto"/>
            </w:tcBorders>
            <w:vAlign w:val="center"/>
            <w:hideMark/>
          </w:tcPr>
          <w:p w14:paraId="4926FDC4" w14:textId="1382C5A4" w:rsidR="00B97365" w:rsidRDefault="00000000">
            <w:pPr>
              <w:tabs>
                <w:tab w:val="right" w:pos="7938"/>
              </w:tabs>
              <w:ind w:left="83" w:hanging="5"/>
              <w:rPr>
                <w:rFonts w:cs="Calibri"/>
                <w:color w:val="000000"/>
                <w:sz w:val="16"/>
                <w:szCs w:val="16"/>
              </w:rPr>
            </w:pPr>
            <w:r>
              <w:rPr>
                <w:rFonts w:cs="Calibri"/>
                <w:color w:val="000000"/>
                <w:sz w:val="16"/>
                <w:szCs w:val="16"/>
              </w:rPr>
              <w:t xml:space="preserve">See </w:t>
            </w:r>
            <w:r>
              <w:rPr>
                <w:rFonts w:cs="Calibri"/>
                <w:sz w:val="16"/>
                <w:szCs w:val="16"/>
              </w:rPr>
              <w:t xml:space="preserve">GlobalPlatform </w:t>
            </w:r>
            <w:r>
              <w:rPr>
                <w:rFonts w:cs="Calibri"/>
                <w:color w:val="000000"/>
                <w:sz w:val="16"/>
                <w:szCs w:val="16"/>
              </w:rPr>
              <w:t xml:space="preserve">Card Specification </w:t>
            </w:r>
            <w:r>
              <w:fldChar w:fldCharType="begin"/>
            </w:r>
            <w:r>
              <w:rPr>
                <w:rFonts w:cs="Calibri"/>
                <w:color w:val="000000"/>
                <w:sz w:val="16"/>
                <w:szCs w:val="16"/>
              </w:rPr>
              <w:instrText xml:space="preserve"> REF _Ref421631311 \r \h </w:instrText>
            </w:r>
            <w:r>
              <w:fldChar w:fldCharType="separate"/>
            </w:r>
            <w:r w:rsidR="001D5AD9">
              <w:rPr>
                <w:rFonts w:cs="Calibri"/>
                <w:color w:val="000000"/>
                <w:sz w:val="16"/>
                <w:szCs w:val="16"/>
              </w:rPr>
              <w:t>[6]</w:t>
            </w:r>
            <w:r>
              <w:fldChar w:fldCharType="end"/>
            </w:r>
            <w:r>
              <w:rPr>
                <w:rFonts w:cs="Calibri"/>
                <w:sz w:val="16"/>
                <w:szCs w:val="16"/>
              </w:rPr>
              <w:t xml:space="preserve"> </w:t>
            </w:r>
            <w:r>
              <w:rPr>
                <w:rFonts w:cs="Calibri"/>
                <w:color w:val="000000"/>
                <w:sz w:val="16"/>
                <w:szCs w:val="16"/>
              </w:rPr>
              <w:t>section 11.5.2.1</w:t>
            </w:r>
          </w:p>
        </w:tc>
      </w:tr>
      <w:tr w:rsidR="00B97365" w14:paraId="20579716"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8FEB4A5" w14:textId="77777777" w:rsidR="00B97365" w:rsidRDefault="00000000">
            <w:pPr>
              <w:jc w:val="center"/>
              <w:rPr>
                <w:rFonts w:cs="Calibri"/>
                <w:sz w:val="16"/>
                <w:szCs w:val="16"/>
              </w:rPr>
            </w:pPr>
            <w:r>
              <w:rPr>
                <w:rFonts w:cs="Calibri"/>
                <w:sz w:val="16"/>
                <w:szCs w:val="16"/>
              </w:rPr>
              <w:t>P2</w:t>
            </w:r>
          </w:p>
        </w:tc>
        <w:tc>
          <w:tcPr>
            <w:tcW w:w="0" w:type="auto"/>
            <w:tcBorders>
              <w:top w:val="single" w:sz="6" w:space="0" w:color="auto"/>
              <w:left w:val="single" w:sz="6" w:space="0" w:color="auto"/>
              <w:bottom w:val="single" w:sz="6" w:space="0" w:color="auto"/>
              <w:right w:val="single" w:sz="6" w:space="0" w:color="auto"/>
            </w:tcBorders>
            <w:vAlign w:val="center"/>
            <w:hideMark/>
          </w:tcPr>
          <w:p w14:paraId="1E64E31A" w14:textId="77777777" w:rsidR="00B97365" w:rsidRDefault="00000000">
            <w:pPr>
              <w:jc w:val="center"/>
              <w:rPr>
                <w:rFonts w:cs="Calibri"/>
                <w:sz w:val="16"/>
                <w:szCs w:val="16"/>
              </w:rPr>
            </w:pPr>
            <w:r>
              <w:rPr>
                <w:rFonts w:cs="Calibri"/>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1F692906" w14:textId="57304F0B" w:rsidR="00B97365" w:rsidRDefault="00000000">
            <w:pPr>
              <w:tabs>
                <w:tab w:val="right" w:pos="7938"/>
              </w:tabs>
              <w:ind w:left="83" w:hanging="5"/>
              <w:rPr>
                <w:rFonts w:cs="Calibri"/>
                <w:color w:val="000000"/>
                <w:sz w:val="16"/>
                <w:szCs w:val="16"/>
              </w:rPr>
            </w:pPr>
            <w:r>
              <w:rPr>
                <w:rFonts w:cs="Calibri"/>
                <w:color w:val="000000"/>
                <w:sz w:val="16"/>
                <w:szCs w:val="16"/>
              </w:rPr>
              <w:t xml:space="preserve">See GlobalPlatform Card Specification </w:t>
            </w:r>
            <w:r>
              <w:fldChar w:fldCharType="begin"/>
            </w:r>
            <w:r>
              <w:rPr>
                <w:rFonts w:cs="Calibri"/>
                <w:color w:val="000000"/>
                <w:sz w:val="16"/>
                <w:szCs w:val="16"/>
              </w:rPr>
              <w:instrText xml:space="preserve"> REF _Ref421631311 \r \h </w:instrText>
            </w:r>
            <w:r>
              <w:fldChar w:fldCharType="separate"/>
            </w:r>
            <w:r w:rsidR="001D5AD9">
              <w:rPr>
                <w:rFonts w:cs="Calibri"/>
                <w:color w:val="000000"/>
                <w:sz w:val="16"/>
                <w:szCs w:val="16"/>
              </w:rPr>
              <w:t>[6]</w:t>
            </w:r>
            <w:r>
              <w:fldChar w:fldCharType="end"/>
            </w:r>
            <w:r>
              <w:rPr>
                <w:rFonts w:cs="Calibri"/>
                <w:color w:val="000000"/>
                <w:sz w:val="16"/>
                <w:szCs w:val="16"/>
              </w:rPr>
              <w:t xml:space="preserve"> section 11.5.2.2</w:t>
            </w:r>
          </w:p>
        </w:tc>
      </w:tr>
      <w:tr w:rsidR="00B97365" w14:paraId="158A9026"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B4BDA8B" w14:textId="77777777" w:rsidR="00B97365" w:rsidRDefault="00000000">
            <w:pPr>
              <w:jc w:val="center"/>
              <w:rPr>
                <w:rFonts w:cs="Calibri"/>
                <w:sz w:val="16"/>
                <w:szCs w:val="16"/>
              </w:rPr>
            </w:pPr>
            <w:r>
              <w:rPr>
                <w:rFonts w:cs="Calibri"/>
                <w:sz w:val="16"/>
                <w:szCs w:val="16"/>
              </w:rPr>
              <w:t>Lc</w:t>
            </w:r>
          </w:p>
        </w:tc>
        <w:tc>
          <w:tcPr>
            <w:tcW w:w="0" w:type="auto"/>
            <w:tcBorders>
              <w:top w:val="single" w:sz="6" w:space="0" w:color="auto"/>
              <w:left w:val="single" w:sz="6" w:space="0" w:color="auto"/>
              <w:bottom w:val="single" w:sz="6" w:space="0" w:color="auto"/>
              <w:right w:val="single" w:sz="6" w:space="0" w:color="auto"/>
            </w:tcBorders>
            <w:vAlign w:val="center"/>
            <w:hideMark/>
          </w:tcPr>
          <w:p w14:paraId="080BDF24" w14:textId="77777777" w:rsidR="00B97365" w:rsidRDefault="00000000">
            <w:pPr>
              <w:jc w:val="center"/>
              <w:rPr>
                <w:rFonts w:cs="Calibri"/>
                <w:sz w:val="16"/>
                <w:szCs w:val="16"/>
              </w:rPr>
            </w:pPr>
            <w:bookmarkStart w:id="2577" w:name="_Toc361144047"/>
            <w:r>
              <w:rPr>
                <w:rFonts w:cs="Calibri"/>
                <w:sz w:val="16"/>
                <w:szCs w:val="16"/>
              </w:rPr>
              <w:t>‘xx’</w:t>
            </w:r>
            <w:bookmarkEnd w:id="2577"/>
          </w:p>
        </w:tc>
        <w:tc>
          <w:tcPr>
            <w:tcW w:w="0" w:type="auto"/>
            <w:tcBorders>
              <w:top w:val="single" w:sz="6" w:space="0" w:color="auto"/>
              <w:left w:val="single" w:sz="6" w:space="0" w:color="auto"/>
              <w:bottom w:val="single" w:sz="6" w:space="0" w:color="auto"/>
              <w:right w:val="single" w:sz="4" w:space="0" w:color="auto"/>
            </w:tcBorders>
            <w:vAlign w:val="center"/>
            <w:hideMark/>
          </w:tcPr>
          <w:p w14:paraId="4A7C16FC" w14:textId="77777777" w:rsidR="00B97365" w:rsidRDefault="00000000">
            <w:pPr>
              <w:tabs>
                <w:tab w:val="right" w:pos="7938"/>
              </w:tabs>
              <w:ind w:left="83" w:hanging="5"/>
              <w:rPr>
                <w:rFonts w:cs="Calibri"/>
                <w:color w:val="000000"/>
                <w:sz w:val="16"/>
                <w:szCs w:val="16"/>
              </w:rPr>
            </w:pPr>
            <w:bookmarkStart w:id="2578" w:name="_Toc361144048"/>
            <w:r>
              <w:rPr>
                <w:rFonts w:cs="Calibri"/>
                <w:color w:val="000000"/>
                <w:sz w:val="16"/>
                <w:szCs w:val="16"/>
              </w:rPr>
              <w:t>Data Field Length</w:t>
            </w:r>
            <w:bookmarkEnd w:id="2578"/>
          </w:p>
        </w:tc>
      </w:tr>
      <w:tr w:rsidR="00B97365" w14:paraId="7EA6AE0A"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FC8CA08" w14:textId="77777777" w:rsidR="00B97365" w:rsidRDefault="00000000">
            <w:pPr>
              <w:jc w:val="center"/>
              <w:rPr>
                <w:rFonts w:cs="Calibri"/>
                <w:sz w:val="16"/>
                <w:szCs w:val="16"/>
              </w:rPr>
            </w:pPr>
            <w:bookmarkStart w:id="2579" w:name="_Toc361144049"/>
            <w:r>
              <w:rPr>
                <w:rFonts w:cs="Calibri"/>
                <w:sz w:val="16"/>
                <w:szCs w:val="16"/>
              </w:rPr>
              <w:t>Data</w:t>
            </w:r>
            <w:bookmarkEnd w:id="2579"/>
          </w:p>
        </w:tc>
        <w:tc>
          <w:tcPr>
            <w:tcW w:w="0" w:type="auto"/>
            <w:tcBorders>
              <w:top w:val="single" w:sz="6" w:space="0" w:color="auto"/>
              <w:left w:val="single" w:sz="6" w:space="0" w:color="auto"/>
              <w:bottom w:val="single" w:sz="6" w:space="0" w:color="auto"/>
              <w:right w:val="single" w:sz="6" w:space="0" w:color="auto"/>
            </w:tcBorders>
            <w:vAlign w:val="center"/>
            <w:hideMark/>
          </w:tcPr>
          <w:p w14:paraId="54FB9901" w14:textId="77777777" w:rsidR="00B97365" w:rsidRDefault="00000000">
            <w:pPr>
              <w:jc w:val="center"/>
              <w:rPr>
                <w:rFonts w:cs="Calibri"/>
                <w:sz w:val="16"/>
                <w:szCs w:val="16"/>
              </w:rPr>
            </w:pPr>
            <w:bookmarkStart w:id="2580" w:name="_Toc361144050"/>
            <w:r>
              <w:rPr>
                <w:rFonts w:cs="Calibri"/>
                <w:sz w:val="16"/>
                <w:szCs w:val="16"/>
              </w:rPr>
              <w:t>‘xxxx…’</w:t>
            </w:r>
            <w:bookmarkEnd w:id="2580"/>
          </w:p>
        </w:tc>
        <w:tc>
          <w:tcPr>
            <w:tcW w:w="0" w:type="auto"/>
            <w:tcBorders>
              <w:top w:val="single" w:sz="6" w:space="0" w:color="auto"/>
              <w:left w:val="single" w:sz="6" w:space="0" w:color="auto"/>
              <w:bottom w:val="single" w:sz="6" w:space="0" w:color="auto"/>
              <w:right w:val="single" w:sz="4" w:space="0" w:color="auto"/>
            </w:tcBorders>
            <w:vAlign w:val="center"/>
            <w:hideMark/>
          </w:tcPr>
          <w:p w14:paraId="53299E31" w14:textId="27A8A09D" w:rsidR="00B97365" w:rsidRDefault="00000000">
            <w:pPr>
              <w:tabs>
                <w:tab w:val="right" w:pos="7938"/>
              </w:tabs>
              <w:ind w:left="83" w:hanging="5"/>
              <w:rPr>
                <w:rFonts w:cs="Calibri"/>
                <w:color w:val="000000"/>
                <w:sz w:val="16"/>
                <w:szCs w:val="16"/>
              </w:rPr>
            </w:pPr>
            <w:bookmarkStart w:id="2581" w:name="_Toc361144051"/>
            <w:r>
              <w:rPr>
                <w:rFonts w:cs="Calibri"/>
                <w:color w:val="000000"/>
                <w:sz w:val="16"/>
                <w:szCs w:val="16"/>
              </w:rPr>
              <w:t xml:space="preserve">See GlobalPlatform Card Specification </w:t>
            </w:r>
            <w:r>
              <w:fldChar w:fldCharType="begin"/>
            </w:r>
            <w:r>
              <w:rPr>
                <w:rFonts w:cs="Calibri"/>
                <w:color w:val="000000"/>
                <w:sz w:val="16"/>
                <w:szCs w:val="16"/>
              </w:rPr>
              <w:instrText xml:space="preserve"> REF _Ref421631311 \r \h </w:instrText>
            </w:r>
            <w:r>
              <w:fldChar w:fldCharType="separate"/>
            </w:r>
            <w:r w:rsidR="001D5AD9">
              <w:rPr>
                <w:rFonts w:cs="Calibri"/>
                <w:color w:val="000000"/>
                <w:sz w:val="16"/>
                <w:szCs w:val="16"/>
              </w:rPr>
              <w:t>[6]</w:t>
            </w:r>
            <w:r>
              <w:fldChar w:fldCharType="end"/>
            </w:r>
            <w:r>
              <w:rPr>
                <w:rFonts w:cs="Calibri"/>
                <w:color w:val="000000"/>
                <w:sz w:val="16"/>
                <w:szCs w:val="16"/>
              </w:rPr>
              <w:t xml:space="preserve"> section </w:t>
            </w:r>
            <w:bookmarkEnd w:id="2581"/>
            <w:r>
              <w:rPr>
                <w:rFonts w:cs="Calibri"/>
                <w:color w:val="000000"/>
                <w:sz w:val="16"/>
                <w:szCs w:val="16"/>
              </w:rPr>
              <w:t>11.5.2.3</w:t>
            </w:r>
          </w:p>
        </w:tc>
      </w:tr>
      <w:tr w:rsidR="00B97365" w14:paraId="5FFB0CCF" w14:textId="77777777">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B6FB995" w14:textId="77777777" w:rsidR="00B97365" w:rsidRDefault="00000000">
            <w:pPr>
              <w:jc w:val="center"/>
              <w:rPr>
                <w:rFonts w:cs="Calibri"/>
                <w:sz w:val="16"/>
                <w:szCs w:val="16"/>
              </w:rPr>
            </w:pPr>
            <w:bookmarkStart w:id="2582" w:name="_Toc361144052"/>
            <w:r>
              <w:rPr>
                <w:rFonts w:cs="Calibri"/>
                <w:sz w:val="16"/>
                <w:szCs w:val="16"/>
              </w:rPr>
              <w:t>Le</w:t>
            </w:r>
            <w:bookmarkEnd w:id="2582"/>
          </w:p>
        </w:tc>
        <w:tc>
          <w:tcPr>
            <w:tcW w:w="0" w:type="auto"/>
            <w:tcBorders>
              <w:top w:val="single" w:sz="6" w:space="0" w:color="auto"/>
              <w:left w:val="single" w:sz="6" w:space="0" w:color="auto"/>
              <w:bottom w:val="single" w:sz="4" w:space="0" w:color="auto"/>
              <w:right w:val="single" w:sz="6" w:space="0" w:color="auto"/>
            </w:tcBorders>
            <w:vAlign w:val="center"/>
            <w:hideMark/>
          </w:tcPr>
          <w:p w14:paraId="682F5E05" w14:textId="77777777" w:rsidR="00B97365" w:rsidRDefault="00000000">
            <w:pPr>
              <w:jc w:val="center"/>
              <w:rPr>
                <w:rFonts w:cs="Calibri"/>
                <w:sz w:val="16"/>
                <w:szCs w:val="16"/>
              </w:rPr>
            </w:pPr>
            <w:bookmarkStart w:id="2583" w:name="_Toc361144053"/>
            <w:r>
              <w:rPr>
                <w:rFonts w:cs="Calibri"/>
                <w:sz w:val="16"/>
                <w:szCs w:val="16"/>
              </w:rPr>
              <w:t>‘00’</w:t>
            </w:r>
            <w:bookmarkEnd w:id="2583"/>
          </w:p>
        </w:tc>
        <w:tc>
          <w:tcPr>
            <w:tcW w:w="0" w:type="auto"/>
            <w:tcBorders>
              <w:top w:val="single" w:sz="6" w:space="0" w:color="auto"/>
              <w:left w:val="single" w:sz="6" w:space="0" w:color="auto"/>
              <w:bottom w:val="single" w:sz="4" w:space="0" w:color="auto"/>
              <w:right w:val="single" w:sz="4" w:space="0" w:color="auto"/>
            </w:tcBorders>
            <w:vAlign w:val="center"/>
          </w:tcPr>
          <w:p w14:paraId="7C36DE4C" w14:textId="77777777" w:rsidR="00B97365" w:rsidRDefault="00B97365">
            <w:pPr>
              <w:jc w:val="center"/>
              <w:rPr>
                <w:rFonts w:cs="Calibri"/>
                <w:color w:val="000000"/>
                <w:sz w:val="16"/>
                <w:szCs w:val="16"/>
              </w:rPr>
            </w:pPr>
          </w:p>
        </w:tc>
      </w:tr>
    </w:tbl>
    <w:p w14:paraId="3D273D23"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INSTALL [for Personalization] Command Message</w:t>
      </w:r>
    </w:p>
    <w:p w14:paraId="25613CAF" w14:textId="77777777" w:rsidR="00B97365" w:rsidRDefault="00000000">
      <w:pPr>
        <w:spacing w:before="0" w:after="200" w:line="276" w:lineRule="auto"/>
        <w:jc w:val="left"/>
        <w:rPr>
          <w:rFonts w:cs="Arial"/>
          <w:b/>
          <w:szCs w:val="22"/>
          <w:lang w:val="en-US" w:eastAsia="en-GB" w:bidi="ar-SA"/>
        </w:rPr>
      </w:pPr>
      <w:r>
        <w:rPr>
          <w:rFonts w:cs="Arial"/>
          <w:b/>
          <w:szCs w:val="22"/>
          <w:lang w:val="en-US" w:eastAsia="en-GB" w:bidi="ar-SA"/>
        </w:rPr>
        <w:t xml:space="preserve">Reference Control Parameter P1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20"/>
        <w:gridCol w:w="320"/>
        <w:gridCol w:w="320"/>
        <w:gridCol w:w="320"/>
        <w:gridCol w:w="320"/>
        <w:gridCol w:w="320"/>
        <w:gridCol w:w="320"/>
        <w:gridCol w:w="320"/>
        <w:gridCol w:w="1503"/>
      </w:tblGrid>
      <w:tr w:rsidR="00B97365" w14:paraId="7D075EAD"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E61DEAB" w14:textId="77777777" w:rsidR="00B97365" w:rsidRDefault="00000000">
            <w:pPr>
              <w:rPr>
                <w:rFonts w:cs="Calibri"/>
                <w:color w:val="FFFFFF"/>
                <w:sz w:val="16"/>
                <w:szCs w:val="16"/>
              </w:rPr>
            </w:pPr>
            <w:r>
              <w:rPr>
                <w:rFonts w:cs="Calibri"/>
                <w:color w:val="FFFFFF"/>
                <w:sz w:val="16"/>
                <w:szCs w:val="16"/>
              </w:rPr>
              <w:lastRenderedPageBreak/>
              <w:t xml:space="preserve">b8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BA7F879" w14:textId="77777777" w:rsidR="00B97365" w:rsidRDefault="00000000">
            <w:pPr>
              <w:rPr>
                <w:rFonts w:cs="Calibri"/>
                <w:color w:val="FFFFFF"/>
                <w:sz w:val="16"/>
                <w:szCs w:val="16"/>
              </w:rPr>
            </w:pPr>
            <w:r>
              <w:rPr>
                <w:rFonts w:cs="Calibri"/>
                <w:color w:val="FFFFFF"/>
                <w:sz w:val="16"/>
                <w:szCs w:val="16"/>
              </w:rPr>
              <w:t xml:space="preserve">b7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5F41631" w14:textId="77777777" w:rsidR="00B97365" w:rsidRDefault="00000000">
            <w:pPr>
              <w:rPr>
                <w:rFonts w:cs="Calibri"/>
                <w:color w:val="FFFFFF"/>
                <w:sz w:val="16"/>
                <w:szCs w:val="16"/>
              </w:rPr>
            </w:pPr>
            <w:r>
              <w:rPr>
                <w:rFonts w:cs="Calibri"/>
                <w:color w:val="FFFFFF"/>
                <w:sz w:val="16"/>
                <w:szCs w:val="16"/>
              </w:rPr>
              <w:t xml:space="preserve">b6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00446A4" w14:textId="77777777" w:rsidR="00B97365" w:rsidRDefault="00000000">
            <w:pPr>
              <w:rPr>
                <w:rFonts w:cs="Calibri"/>
                <w:color w:val="FFFFFF"/>
                <w:sz w:val="16"/>
                <w:szCs w:val="16"/>
              </w:rPr>
            </w:pPr>
            <w:r>
              <w:rPr>
                <w:rFonts w:cs="Calibri"/>
                <w:color w:val="FFFFFF"/>
                <w:sz w:val="16"/>
                <w:szCs w:val="16"/>
              </w:rPr>
              <w:t xml:space="preserve">b5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F16F08D" w14:textId="77777777" w:rsidR="00B97365" w:rsidRDefault="00000000">
            <w:pPr>
              <w:rPr>
                <w:rFonts w:cs="Calibri"/>
                <w:color w:val="FFFFFF"/>
                <w:sz w:val="16"/>
                <w:szCs w:val="16"/>
              </w:rPr>
            </w:pPr>
            <w:r>
              <w:rPr>
                <w:rFonts w:cs="Calibri"/>
                <w:color w:val="FFFFFF"/>
                <w:sz w:val="16"/>
                <w:szCs w:val="16"/>
              </w:rPr>
              <w:t xml:space="preserve">b4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E170513" w14:textId="77777777" w:rsidR="00B97365" w:rsidRDefault="00000000">
            <w:pPr>
              <w:rPr>
                <w:rFonts w:cs="Calibri"/>
                <w:color w:val="FFFFFF"/>
                <w:sz w:val="16"/>
                <w:szCs w:val="16"/>
              </w:rPr>
            </w:pPr>
            <w:r>
              <w:rPr>
                <w:rFonts w:cs="Calibri"/>
                <w:color w:val="FFFFFF"/>
                <w:sz w:val="16"/>
                <w:szCs w:val="16"/>
              </w:rPr>
              <w:t xml:space="preserve">b3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42A780D" w14:textId="77777777" w:rsidR="00B97365" w:rsidRDefault="00000000">
            <w:pPr>
              <w:rPr>
                <w:rFonts w:cs="Calibri"/>
                <w:color w:val="FFFFFF"/>
                <w:sz w:val="16"/>
                <w:szCs w:val="16"/>
              </w:rPr>
            </w:pPr>
            <w:r>
              <w:rPr>
                <w:rFonts w:cs="Calibri"/>
                <w:color w:val="FFFFFF"/>
                <w:sz w:val="16"/>
                <w:szCs w:val="16"/>
              </w:rPr>
              <w:t xml:space="preserve">b2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C4C75DF" w14:textId="77777777" w:rsidR="00B97365" w:rsidRDefault="00000000">
            <w:pPr>
              <w:rPr>
                <w:rFonts w:cs="Calibri"/>
                <w:color w:val="FFFFFF"/>
                <w:sz w:val="16"/>
                <w:szCs w:val="16"/>
              </w:rPr>
            </w:pPr>
            <w:r>
              <w:rPr>
                <w:rFonts w:cs="Calibri"/>
                <w:color w:val="FFFFFF"/>
                <w:sz w:val="16"/>
                <w:szCs w:val="16"/>
              </w:rPr>
              <w:t xml:space="preserve">b1 </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C52BC1D" w14:textId="77777777" w:rsidR="00B97365" w:rsidRDefault="00000000">
            <w:pPr>
              <w:rPr>
                <w:rFonts w:cs="Calibri"/>
                <w:color w:val="FFFFFF"/>
                <w:sz w:val="16"/>
                <w:szCs w:val="16"/>
              </w:rPr>
            </w:pPr>
            <w:r>
              <w:rPr>
                <w:rFonts w:cs="Calibri"/>
                <w:color w:val="FFFFFF"/>
                <w:sz w:val="16"/>
                <w:szCs w:val="16"/>
              </w:rPr>
              <w:t xml:space="preserve">Meaning </w:t>
            </w:r>
          </w:p>
        </w:tc>
      </w:tr>
      <w:tr w:rsidR="00B97365" w14:paraId="335994B9" w14:textId="77777777">
        <w:trPr>
          <w:tblHeade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EC81141"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7C4AAE92" w14:textId="77777777" w:rsidR="00B97365" w:rsidRDefault="00000000">
            <w:pPr>
              <w:rPr>
                <w:rFonts w:cs="Calibri"/>
                <w:b/>
                <w:color w:val="000000"/>
                <w:sz w:val="16"/>
                <w:szCs w:val="16"/>
              </w:rPr>
            </w:pPr>
            <w:r>
              <w:rPr>
                <w:rFonts w:cs="Calibri"/>
                <w:color w:val="000000"/>
                <w:sz w:val="16"/>
                <w:szCs w:val="16"/>
              </w:rPr>
              <w:t xml:space="preserve"> 0 </w:t>
            </w:r>
          </w:p>
        </w:tc>
        <w:tc>
          <w:tcPr>
            <w:tcW w:w="0" w:type="auto"/>
            <w:tcBorders>
              <w:top w:val="single" w:sz="6" w:space="0" w:color="auto"/>
              <w:left w:val="single" w:sz="6" w:space="0" w:color="auto"/>
              <w:bottom w:val="single" w:sz="4" w:space="0" w:color="auto"/>
              <w:right w:val="single" w:sz="6" w:space="0" w:color="auto"/>
            </w:tcBorders>
            <w:vAlign w:val="center"/>
            <w:hideMark/>
          </w:tcPr>
          <w:p w14:paraId="58180D93" w14:textId="77777777" w:rsidR="00B97365" w:rsidRDefault="00000000">
            <w:pPr>
              <w:rPr>
                <w:rFonts w:cs="Calibri"/>
                <w:b/>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4" w:space="0" w:color="auto"/>
              <w:right w:val="single" w:sz="6" w:space="0" w:color="auto"/>
            </w:tcBorders>
            <w:vAlign w:val="center"/>
            <w:hideMark/>
          </w:tcPr>
          <w:p w14:paraId="2DCDA808"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45B3F666"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24008970"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43A5541F"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3898F936"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4" w:space="0" w:color="auto"/>
            </w:tcBorders>
            <w:vAlign w:val="center"/>
            <w:hideMark/>
          </w:tcPr>
          <w:p w14:paraId="5F9D5F30" w14:textId="77777777" w:rsidR="00B97365" w:rsidRDefault="00000000">
            <w:pPr>
              <w:rPr>
                <w:rFonts w:cs="Calibri"/>
                <w:b/>
                <w:color w:val="000000"/>
                <w:sz w:val="16"/>
                <w:szCs w:val="16"/>
              </w:rPr>
            </w:pPr>
            <w:r>
              <w:rPr>
                <w:rFonts w:cs="Calibri"/>
                <w:color w:val="000000"/>
                <w:sz w:val="16"/>
                <w:szCs w:val="16"/>
              </w:rPr>
              <w:t>For personalization</w:t>
            </w:r>
          </w:p>
        </w:tc>
      </w:tr>
    </w:tbl>
    <w:p w14:paraId="0EAB405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INSTALL [for Personalization] Reference Control Parameter P1</w:t>
      </w:r>
    </w:p>
    <w:p w14:paraId="5AD04037" w14:textId="77777777" w:rsidR="00B97365" w:rsidRDefault="00000000">
      <w:pPr>
        <w:spacing w:before="0" w:after="200" w:line="276" w:lineRule="auto"/>
        <w:jc w:val="left"/>
        <w:rPr>
          <w:rFonts w:cs="Arial"/>
          <w:b/>
          <w:szCs w:val="22"/>
          <w:lang w:val="en-US" w:eastAsia="en-GB" w:bidi="ar-SA"/>
        </w:rPr>
      </w:pPr>
      <w:r>
        <w:rPr>
          <w:rFonts w:cs="Arial"/>
          <w:b/>
          <w:szCs w:val="22"/>
          <w:lang w:val="en-US" w:eastAsia="en-GB" w:bidi="ar-SA"/>
        </w:rPr>
        <w:t>Reference Control Parameter P2 – ISD-P State Coding</w:t>
      </w:r>
    </w:p>
    <w:p w14:paraId="023C6C6E" w14:textId="5B764DB9" w:rsidR="00B97365" w:rsidRDefault="00000000">
      <w:pPr>
        <w:spacing w:before="0" w:after="200" w:line="276" w:lineRule="auto"/>
        <w:jc w:val="left"/>
        <w:rPr>
          <w:szCs w:val="22"/>
          <w:lang w:val="en-US" w:eastAsia="en-GB" w:bidi="ar-SA"/>
        </w:rPr>
      </w:pPr>
      <w:r>
        <w:rPr>
          <w:rFonts w:cs="Arial"/>
          <w:szCs w:val="22"/>
          <w:lang w:val="en-US" w:eastAsia="en-GB" w:bidi="ar-SA"/>
        </w:rPr>
        <w:t xml:space="preserve">P2 is set to ‘00’: according to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11.5, this means no information is provided.</w:t>
      </w:r>
    </w:p>
    <w:p w14:paraId="63186165" w14:textId="77777777" w:rsidR="00B97365" w:rsidRDefault="00000000">
      <w:pPr>
        <w:spacing w:before="0" w:after="200" w:line="276" w:lineRule="auto"/>
        <w:jc w:val="left"/>
        <w:rPr>
          <w:b/>
          <w:szCs w:val="22"/>
          <w:lang w:val="en-US" w:eastAsia="en-GB" w:bidi="ar-SA"/>
        </w:rPr>
      </w:pPr>
      <w:bookmarkStart w:id="2584" w:name="_Toc420594612"/>
      <w:r>
        <w:rPr>
          <w:rFonts w:cs="Arial"/>
          <w:b/>
          <w:szCs w:val="22"/>
          <w:lang w:val="en-US" w:eastAsia="en-GB" w:bidi="ar-SA"/>
        </w:rPr>
        <w:t>Data Field</w:t>
      </w:r>
      <w:bookmarkEnd w:id="258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815"/>
        <w:gridCol w:w="747"/>
        <w:gridCol w:w="819"/>
        <w:gridCol w:w="516"/>
      </w:tblGrid>
      <w:tr w:rsidR="00B97365" w14:paraId="0EFAD47B"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95D4AB1" w14:textId="77777777" w:rsidR="00B97365" w:rsidRDefault="00000000">
            <w:pPr>
              <w:rPr>
                <w:rFonts w:cs="Calibri"/>
                <w:b/>
                <w:color w:val="FFFFFF"/>
                <w:sz w:val="16"/>
                <w:szCs w:val="16"/>
              </w:rPr>
            </w:pPr>
            <w:r>
              <w:rPr>
                <w:rFonts w:cs="Calibri"/>
                <w:b/>
                <w:color w:val="FFFFFF"/>
                <w:sz w:val="16"/>
                <w:szCs w:val="16"/>
              </w:rPr>
              <w:t>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B074177" w14:textId="77777777" w:rsidR="00B97365" w:rsidRDefault="00000000">
            <w:pPr>
              <w:rPr>
                <w:rFonts w:cs="Calibri"/>
                <w:b/>
                <w:color w:val="FFFFFF"/>
                <w:sz w:val="16"/>
                <w:szCs w:val="16"/>
              </w:rPr>
            </w:pPr>
            <w:r>
              <w:rPr>
                <w:rFonts w:cs="Calibri"/>
                <w:b/>
                <w:color w:val="FFFFFF"/>
                <w:sz w:val="16"/>
                <w:szCs w:val="16"/>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06751E9" w14:textId="77777777" w:rsidR="00B97365" w:rsidRDefault="00000000">
            <w:pPr>
              <w:rPr>
                <w:rFonts w:cs="Calibri"/>
                <w:b/>
                <w:color w:val="FFFFFF"/>
                <w:sz w:val="16"/>
                <w:szCs w:val="16"/>
              </w:rPr>
            </w:pPr>
            <w:r>
              <w:rPr>
                <w:rFonts w:cs="Calibri"/>
                <w:b/>
                <w:color w:val="FFFFFF"/>
                <w:sz w:val="16"/>
                <w:szCs w:val="16"/>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6BE5620" w14:textId="77777777" w:rsidR="00B97365" w:rsidRDefault="00000000">
            <w:pPr>
              <w:rPr>
                <w:rFonts w:cs="Calibri"/>
                <w:b/>
                <w:color w:val="FFFFFF"/>
                <w:sz w:val="16"/>
                <w:szCs w:val="16"/>
              </w:rPr>
            </w:pPr>
            <w:r>
              <w:rPr>
                <w:rFonts w:cs="Calibri"/>
                <w:b/>
                <w:color w:val="FFFFFF"/>
                <w:sz w:val="16"/>
                <w:szCs w:val="16"/>
              </w:rPr>
              <w:t>MOC</w:t>
            </w:r>
          </w:p>
        </w:tc>
      </w:tr>
      <w:tr w:rsidR="00B97365" w14:paraId="3CA9A8E3"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7B637C4" w14:textId="77777777" w:rsidR="00B97365" w:rsidRDefault="00000000">
            <w:pPr>
              <w:rPr>
                <w:rFonts w:cs="Calibri"/>
                <w:color w:val="000000"/>
                <w:sz w:val="16"/>
                <w:szCs w:val="16"/>
              </w:rPr>
            </w:pPr>
            <w:r>
              <w:rPr>
                <w:rFonts w:cs="Calibri"/>
                <w:color w:val="000000"/>
                <w:sz w:val="16"/>
                <w:szCs w:val="16"/>
              </w:rPr>
              <w:t xml:space="preserve"> Length of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3486462D"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1E3EFC60"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7164A20C" w14:textId="77777777" w:rsidR="00B97365" w:rsidRDefault="00000000">
            <w:pPr>
              <w:rPr>
                <w:rFonts w:cs="Calibri"/>
                <w:color w:val="000000"/>
                <w:sz w:val="16"/>
                <w:szCs w:val="16"/>
              </w:rPr>
            </w:pPr>
            <w:r>
              <w:rPr>
                <w:rFonts w:cs="Calibri"/>
                <w:color w:val="000000"/>
                <w:sz w:val="16"/>
                <w:szCs w:val="16"/>
              </w:rPr>
              <w:t>M</w:t>
            </w:r>
          </w:p>
        </w:tc>
      </w:tr>
      <w:tr w:rsidR="00B97365" w14:paraId="3440B128"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3C0D020" w14:textId="77777777" w:rsidR="00B97365" w:rsidRDefault="00000000">
            <w:pPr>
              <w:rPr>
                <w:rFonts w:cs="Calibri"/>
                <w:color w:val="000000"/>
                <w:sz w:val="16"/>
                <w:szCs w:val="16"/>
              </w:rPr>
            </w:pPr>
            <w:r>
              <w:rPr>
                <w:rFonts w:cs="Calibri"/>
                <w:color w:val="000000"/>
                <w:sz w:val="16"/>
                <w:szCs w:val="16"/>
              </w:rPr>
              <w:t xml:space="preserve"> Length of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26FD364A" w14:textId="77777777" w:rsidR="00B97365" w:rsidRDefault="00000000">
            <w:pPr>
              <w:rPr>
                <w:rFonts w:cs="Calibri"/>
                <w:b/>
                <w: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5B18867A"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56EBEF1B" w14:textId="77777777" w:rsidR="00B97365" w:rsidRDefault="00000000">
            <w:pPr>
              <w:rPr>
                <w:rFonts w:cs="Calibri"/>
                <w:color w:val="000000"/>
                <w:sz w:val="16"/>
                <w:szCs w:val="16"/>
              </w:rPr>
            </w:pPr>
            <w:r>
              <w:rPr>
                <w:rFonts w:cs="Calibri"/>
                <w:color w:val="000000"/>
                <w:sz w:val="16"/>
                <w:szCs w:val="16"/>
              </w:rPr>
              <w:t>M</w:t>
            </w:r>
          </w:p>
        </w:tc>
      </w:tr>
      <w:tr w:rsidR="00B97365" w14:paraId="23C2AC0B"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0D916E9" w14:textId="77777777" w:rsidR="00B97365" w:rsidRDefault="00000000">
            <w:pPr>
              <w:rPr>
                <w:rFonts w:cs="Calibri"/>
                <w:color w:val="000000"/>
                <w:sz w:val="16"/>
                <w:szCs w:val="16"/>
              </w:rPr>
            </w:pPr>
            <w:r>
              <w:rPr>
                <w:rFonts w:cs="Calibri"/>
                <w:color w:val="000000"/>
                <w:sz w:val="16"/>
                <w:szCs w:val="16"/>
              </w:rPr>
              <w:t>Length of Application 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350B826"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1AB53291"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4" w:space="0" w:color="auto"/>
            </w:tcBorders>
            <w:vAlign w:val="center"/>
            <w:hideMark/>
          </w:tcPr>
          <w:p w14:paraId="3461B753" w14:textId="77777777" w:rsidR="00B97365" w:rsidRDefault="00000000">
            <w:pPr>
              <w:rPr>
                <w:rFonts w:cs="Calibri"/>
                <w:color w:val="000000"/>
                <w:sz w:val="16"/>
                <w:szCs w:val="16"/>
              </w:rPr>
            </w:pPr>
            <w:r>
              <w:rPr>
                <w:rFonts w:cs="Calibri"/>
                <w:color w:val="000000"/>
                <w:sz w:val="16"/>
                <w:szCs w:val="16"/>
              </w:rPr>
              <w:t>M</w:t>
            </w:r>
          </w:p>
        </w:tc>
      </w:tr>
      <w:tr w:rsidR="00B97365" w14:paraId="36F5D44F"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E4EE102" w14:textId="77777777" w:rsidR="00B97365" w:rsidRDefault="00000000">
            <w:pPr>
              <w:rPr>
                <w:rFonts w:cs="Calibri"/>
                <w:color w:val="000000"/>
                <w:sz w:val="16"/>
                <w:szCs w:val="16"/>
              </w:rPr>
            </w:pPr>
            <w:r>
              <w:rPr>
                <w:rFonts w:cs="Calibri"/>
                <w:color w:val="000000"/>
                <w:sz w:val="16"/>
                <w:szCs w:val="16"/>
              </w:rPr>
              <w:t>Application AID (Reserved value for Profile’s ISD-P)</w:t>
            </w:r>
          </w:p>
        </w:tc>
        <w:tc>
          <w:tcPr>
            <w:tcW w:w="0" w:type="auto"/>
            <w:tcBorders>
              <w:top w:val="single" w:sz="6" w:space="0" w:color="auto"/>
              <w:left w:val="single" w:sz="6" w:space="0" w:color="auto"/>
              <w:bottom w:val="single" w:sz="6" w:space="0" w:color="auto"/>
              <w:right w:val="single" w:sz="6" w:space="0" w:color="auto"/>
            </w:tcBorders>
            <w:vAlign w:val="center"/>
            <w:hideMark/>
          </w:tcPr>
          <w:p w14:paraId="331B00B7"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6" w:space="0" w:color="auto"/>
            </w:tcBorders>
            <w:vAlign w:val="center"/>
            <w:hideMark/>
          </w:tcPr>
          <w:p w14:paraId="2DF7310B" w14:textId="77777777" w:rsidR="00B97365" w:rsidRDefault="00000000">
            <w:pPr>
              <w:rPr>
                <w:rFonts w:cs="Calibri"/>
                <w:color w:val="000000"/>
                <w:sz w:val="16"/>
                <w:szCs w:val="16"/>
              </w:rPr>
            </w:pPr>
            <w:r>
              <w:rPr>
                <w:rFonts w:cs="Calibri"/>
                <w:color w:val="000000"/>
                <w:sz w:val="16"/>
                <w:szCs w:val="16"/>
              </w:rPr>
              <w:t xml:space="preserve">‘xxxx’ </w:t>
            </w:r>
          </w:p>
        </w:tc>
        <w:tc>
          <w:tcPr>
            <w:tcW w:w="0" w:type="auto"/>
            <w:tcBorders>
              <w:top w:val="single" w:sz="6" w:space="0" w:color="auto"/>
              <w:left w:val="single" w:sz="6" w:space="0" w:color="auto"/>
              <w:bottom w:val="single" w:sz="6" w:space="0" w:color="auto"/>
              <w:right w:val="single" w:sz="4" w:space="0" w:color="auto"/>
            </w:tcBorders>
            <w:vAlign w:val="center"/>
            <w:hideMark/>
          </w:tcPr>
          <w:p w14:paraId="7F212E30" w14:textId="77777777" w:rsidR="00B97365" w:rsidRDefault="00000000">
            <w:pPr>
              <w:rPr>
                <w:rFonts w:cs="Calibri"/>
                <w:color w:val="000000"/>
                <w:sz w:val="16"/>
                <w:szCs w:val="16"/>
              </w:rPr>
            </w:pPr>
            <w:r>
              <w:rPr>
                <w:rFonts w:cs="Calibri"/>
                <w:color w:val="000000"/>
                <w:sz w:val="16"/>
                <w:szCs w:val="16"/>
              </w:rPr>
              <w:t>M</w:t>
            </w:r>
          </w:p>
        </w:tc>
      </w:tr>
      <w:tr w:rsidR="00B97365" w14:paraId="7A2C2135"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FDEB1B2" w14:textId="77777777" w:rsidR="00B97365" w:rsidRDefault="00000000">
            <w:pPr>
              <w:rPr>
                <w:rFonts w:cs="Calibri"/>
                <w:color w:val="000000"/>
                <w:sz w:val="16"/>
                <w:szCs w:val="16"/>
              </w:rPr>
            </w:pPr>
            <w:r>
              <w:rPr>
                <w:rFonts w:cs="Calibri"/>
                <w:color w:val="000000"/>
                <w:sz w:val="16"/>
                <w:szCs w:val="16"/>
              </w:rPr>
              <w:t xml:space="preserve"> Length of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6D53A8B7"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3D7C7761"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6AFCAAAA" w14:textId="77777777" w:rsidR="00B97365" w:rsidRDefault="00000000">
            <w:pPr>
              <w:rPr>
                <w:rFonts w:cs="Calibri"/>
                <w:color w:val="000000"/>
                <w:sz w:val="16"/>
                <w:szCs w:val="16"/>
              </w:rPr>
            </w:pPr>
            <w:r>
              <w:rPr>
                <w:rFonts w:cs="Calibri"/>
                <w:color w:val="000000"/>
                <w:sz w:val="16"/>
                <w:szCs w:val="16"/>
              </w:rPr>
              <w:t>M</w:t>
            </w:r>
          </w:p>
        </w:tc>
      </w:tr>
      <w:tr w:rsidR="00B97365" w14:paraId="457ED12A"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A02EC5D" w14:textId="77777777" w:rsidR="00B97365" w:rsidRDefault="00000000">
            <w:pPr>
              <w:rPr>
                <w:rFonts w:cs="Calibri"/>
                <w:color w:val="000000"/>
                <w:sz w:val="16"/>
                <w:szCs w:val="16"/>
              </w:rPr>
            </w:pPr>
            <w:r>
              <w:rPr>
                <w:rFonts w:cs="Calibri"/>
                <w:color w:val="000000"/>
                <w:sz w:val="16"/>
                <w:szCs w:val="16"/>
              </w:rPr>
              <w:t xml:space="preserve"> Length of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2D3253E0" w14:textId="77777777" w:rsidR="00B97365" w:rsidRDefault="00000000">
            <w:pPr>
              <w:rPr>
                <w:rFonts w:cs="Calibri"/>
                <w:b/>
                <w: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7EC872AA"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6AE3F019" w14:textId="77777777" w:rsidR="00B97365" w:rsidRDefault="00000000">
            <w:pPr>
              <w:rPr>
                <w:rFonts w:cs="Calibri"/>
                <w:color w:val="000000"/>
                <w:sz w:val="16"/>
                <w:szCs w:val="16"/>
              </w:rPr>
            </w:pPr>
            <w:r>
              <w:rPr>
                <w:rFonts w:cs="Calibri"/>
                <w:color w:val="000000"/>
                <w:sz w:val="16"/>
                <w:szCs w:val="16"/>
              </w:rPr>
              <w:t>M</w:t>
            </w:r>
          </w:p>
        </w:tc>
      </w:tr>
      <w:tr w:rsidR="00B97365" w14:paraId="6E42DE90" w14:textId="77777777">
        <w:trPr>
          <w:trHeight w:val="65"/>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D2B0942" w14:textId="77777777" w:rsidR="00B97365" w:rsidRDefault="00000000">
            <w:pPr>
              <w:rPr>
                <w:rFonts w:cs="Calibri"/>
                <w:color w:val="000000"/>
                <w:sz w:val="16"/>
                <w:szCs w:val="16"/>
              </w:rPr>
            </w:pPr>
            <w:r>
              <w:rPr>
                <w:rFonts w:cs="Calibri"/>
                <w:color w:val="000000"/>
                <w:sz w:val="16"/>
                <w:szCs w:val="16"/>
              </w:rPr>
              <w:t xml:space="preserve"> Length of 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670EEA03"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4" w:space="0" w:color="auto"/>
              <w:right w:val="single" w:sz="6" w:space="0" w:color="auto"/>
            </w:tcBorders>
            <w:vAlign w:val="center"/>
            <w:hideMark/>
          </w:tcPr>
          <w:p w14:paraId="42346868"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4" w:space="0" w:color="auto"/>
              <w:right w:val="single" w:sz="4" w:space="0" w:color="auto"/>
            </w:tcBorders>
            <w:vAlign w:val="center"/>
            <w:hideMark/>
          </w:tcPr>
          <w:p w14:paraId="6F962629" w14:textId="77777777" w:rsidR="00B97365" w:rsidRDefault="00000000">
            <w:pPr>
              <w:rPr>
                <w:rFonts w:cs="Calibri"/>
                <w:color w:val="000000"/>
                <w:sz w:val="16"/>
                <w:szCs w:val="16"/>
              </w:rPr>
            </w:pPr>
            <w:r>
              <w:rPr>
                <w:rFonts w:cs="Calibri"/>
                <w:color w:val="000000"/>
                <w:sz w:val="16"/>
                <w:szCs w:val="16"/>
              </w:rPr>
              <w:t>M</w:t>
            </w:r>
          </w:p>
        </w:tc>
      </w:tr>
    </w:tbl>
    <w:p w14:paraId="16613B44"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xml:space="preserve">: INSTALL Command Data Field </w:t>
      </w:r>
    </w:p>
    <w:p w14:paraId="2B2B6A6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reserved value for Profile’s ISD-P indicates that the Security Domain targeted by the INSTALL [for personalization] command is the ISD-P of the Profile containing the MNO-SD.</w:t>
      </w:r>
    </w:p>
    <w:p w14:paraId="3B9DF54B" w14:textId="77777777" w:rsidR="00B97365" w:rsidRDefault="00000000">
      <w:pPr>
        <w:spacing w:after="200" w:line="276" w:lineRule="auto"/>
        <w:ind w:left="1560" w:hanging="1276"/>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This mechanism avoids the Operator having to know and keep track of the ISD-P AID assigned by the SM-SR.</w:t>
      </w:r>
    </w:p>
    <w:p w14:paraId="35D80C19" w14:textId="77777777" w:rsidR="00B97365" w:rsidRDefault="00000000">
      <w:pPr>
        <w:spacing w:before="0" w:after="200" w:line="276" w:lineRule="auto"/>
        <w:jc w:val="left"/>
        <w:rPr>
          <w:b/>
          <w:szCs w:val="22"/>
          <w:lang w:val="en-US" w:eastAsia="en-GB" w:bidi="ar-SA"/>
        </w:rPr>
      </w:pPr>
      <w:bookmarkStart w:id="2585" w:name="_Toc420594613"/>
      <w:r>
        <w:rPr>
          <w:rFonts w:cs="Arial"/>
          <w:b/>
          <w:szCs w:val="22"/>
          <w:lang w:val="en-US" w:eastAsia="en-GB" w:bidi="ar-SA"/>
        </w:rPr>
        <w:t>Response Message</w:t>
      </w:r>
      <w:bookmarkEnd w:id="2585"/>
    </w:p>
    <w:p w14:paraId="3C54EA5B" w14:textId="77777777" w:rsidR="00B97365" w:rsidRDefault="00000000">
      <w:pPr>
        <w:spacing w:before="0" w:after="200" w:line="276" w:lineRule="auto"/>
        <w:jc w:val="left"/>
        <w:rPr>
          <w:b/>
          <w:szCs w:val="22"/>
          <w:lang w:val="en-US" w:eastAsia="en-GB" w:bidi="ar-SA"/>
        </w:rPr>
      </w:pPr>
      <w:bookmarkStart w:id="2586" w:name="_Toc420594614"/>
      <w:r>
        <w:rPr>
          <w:rFonts w:cs="Arial"/>
          <w:b/>
          <w:szCs w:val="22"/>
          <w:lang w:val="en-US" w:eastAsia="en-GB" w:bidi="ar-SA"/>
        </w:rPr>
        <w:t>Data Field Returned in the Response Message:</w:t>
      </w:r>
      <w:bookmarkEnd w:id="2586"/>
    </w:p>
    <w:p w14:paraId="20AF85A5" w14:textId="1ADD5D11" w:rsidR="00B97365" w:rsidRDefault="00000000">
      <w:pPr>
        <w:rPr>
          <w:lang w:eastAsia="en-GB"/>
        </w:rPr>
      </w:pPr>
      <w:r>
        <w:rPr>
          <w:rFonts w:cs="Arial"/>
          <w:lang w:eastAsia="en-GB"/>
        </w:rPr>
        <w:t xml:space="preserve">A single byte of '00' SHALL be returned indicating that no additional data is present, as defined in the GlobalPlatform Card Specification </w:t>
      </w:r>
      <w:r>
        <w:fldChar w:fldCharType="begin"/>
      </w:r>
      <w:r>
        <w:rPr>
          <w:lang w:eastAsia="en-GB"/>
        </w:rPr>
        <w:instrText xml:space="preserve"> REF _Ref421631311 \r \h </w:instrText>
      </w:r>
      <w:r>
        <w:fldChar w:fldCharType="separate"/>
      </w:r>
      <w:r w:rsidR="001D5AD9">
        <w:rPr>
          <w:lang w:eastAsia="en-GB"/>
        </w:rPr>
        <w:t>[6]</w:t>
      </w:r>
      <w:r>
        <w:fldChar w:fldCharType="end"/>
      </w:r>
      <w:r>
        <w:rPr>
          <w:lang w:eastAsia="en-GB"/>
        </w:rPr>
        <w:t xml:space="preserve"> section 11.5.3.1.</w:t>
      </w:r>
    </w:p>
    <w:p w14:paraId="08A6C397" w14:textId="77777777" w:rsidR="00B97365" w:rsidRDefault="00B97365">
      <w:pPr>
        <w:spacing w:before="0" w:line="276" w:lineRule="auto"/>
        <w:jc w:val="left"/>
        <w:rPr>
          <w:rFonts w:cs="Arial"/>
          <w:szCs w:val="22"/>
          <w:lang w:val="en-US" w:eastAsia="en-GB" w:bidi="ar-SA"/>
        </w:rPr>
      </w:pPr>
    </w:p>
    <w:p w14:paraId="00AA37A0" w14:textId="77777777" w:rsidR="00B97365" w:rsidRDefault="00000000">
      <w:pPr>
        <w:spacing w:before="0" w:after="200" w:line="276" w:lineRule="auto"/>
        <w:jc w:val="left"/>
        <w:rPr>
          <w:b/>
          <w:szCs w:val="22"/>
          <w:lang w:val="en-US" w:eastAsia="en-GB" w:bidi="ar-SA"/>
        </w:rPr>
      </w:pPr>
      <w:bookmarkStart w:id="2587" w:name="_Toc420594615"/>
      <w:r>
        <w:rPr>
          <w:rFonts w:cs="Arial"/>
          <w:b/>
          <w:szCs w:val="22"/>
          <w:lang w:val="en-US" w:eastAsia="en-GB" w:bidi="ar-SA"/>
        </w:rPr>
        <w:t>Processing State returned in the Response Message:</w:t>
      </w:r>
      <w:bookmarkEnd w:id="2587"/>
    </w:p>
    <w:p w14:paraId="1D249858" w14:textId="1B138542" w:rsidR="00B97365" w:rsidRDefault="00000000">
      <w:pPr>
        <w:spacing w:before="0" w:after="200" w:line="276" w:lineRule="auto"/>
        <w:jc w:val="left"/>
        <w:rPr>
          <w:szCs w:val="22"/>
          <w:lang w:val="en-US" w:eastAsia="en-GB" w:bidi="ar-SA"/>
        </w:rPr>
      </w:pPr>
      <w:r>
        <w:rPr>
          <w:rFonts w:cs="Arial"/>
          <w:szCs w:val="22"/>
          <w:lang w:val="en-US" w:eastAsia="en-GB" w:bidi="ar-SA"/>
        </w:rPr>
        <w:t xml:space="preserve">See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11.5.3.2.</w:t>
      </w:r>
    </w:p>
    <w:p w14:paraId="1FF529AF" w14:textId="77777777" w:rsidR="00B97365" w:rsidRDefault="00000000">
      <w:pPr>
        <w:spacing w:before="0" w:after="200" w:line="276" w:lineRule="auto"/>
        <w:jc w:val="left"/>
        <w:rPr>
          <w:b/>
          <w:szCs w:val="22"/>
          <w:lang w:val="en-US" w:eastAsia="en-GB" w:bidi="ar-SA"/>
        </w:rPr>
      </w:pPr>
      <w:bookmarkStart w:id="2588" w:name="_Toc420594616"/>
      <w:r>
        <w:rPr>
          <w:rFonts w:cs="Arial"/>
          <w:b/>
          <w:szCs w:val="22"/>
          <w:lang w:val="en-US" w:eastAsia="en-GB" w:bidi="ar-SA"/>
        </w:rPr>
        <w:t>Specific Processing State returned in response Message:</w:t>
      </w:r>
      <w:bookmarkEnd w:id="2588"/>
      <w:r>
        <w:rPr>
          <w:b/>
          <w:szCs w:val="22"/>
          <w:lang w:val="en-US" w:eastAsia="en-GB" w:bidi="ar-SA"/>
        </w:rPr>
        <w:t xml:space="preserve"> </w:t>
      </w:r>
    </w:p>
    <w:p w14:paraId="1B4CE905" w14:textId="77777777" w:rsidR="00B97365" w:rsidRDefault="00000000">
      <w:pPr>
        <w:rPr>
          <w:szCs w:val="22"/>
          <w:lang w:val="en-US" w:eastAsia="en-GB" w:bidi="ar-SA"/>
        </w:rPr>
      </w:pPr>
      <w:bookmarkStart w:id="2589" w:name="_Toc420594617"/>
      <w:r>
        <w:rPr>
          <w:rFonts w:cs="Arial"/>
          <w:szCs w:val="22"/>
        </w:rPr>
        <w:t>None</w:t>
      </w:r>
      <w:bookmarkEnd w:id="2589"/>
      <w:r>
        <w:rPr>
          <w:szCs w:val="22"/>
          <w:lang w:val="en-US" w:eastAsia="en-GB" w:bidi="ar-SA"/>
        </w:rPr>
        <w:t xml:space="preserve"> </w:t>
      </w:r>
    </w:p>
    <w:p w14:paraId="709416C1" w14:textId="77777777" w:rsidR="00B97365" w:rsidRDefault="00000000">
      <w:pPr>
        <w:spacing w:before="0" w:after="200" w:line="276" w:lineRule="auto"/>
        <w:jc w:val="left"/>
        <w:rPr>
          <w:b/>
          <w:szCs w:val="22"/>
          <w:lang w:val="en-US" w:eastAsia="en-GB" w:bidi="ar-SA"/>
        </w:rPr>
      </w:pPr>
      <w:bookmarkStart w:id="2590" w:name="_Toc420594618"/>
      <w:r>
        <w:rPr>
          <w:rFonts w:cs="Arial"/>
          <w:b/>
          <w:szCs w:val="22"/>
          <w:lang w:val="en-US" w:eastAsia="en-GB" w:bidi="ar-SA"/>
        </w:rPr>
        <w:t>STORE DATA command:</w:t>
      </w:r>
      <w:bookmarkEnd w:id="2590"/>
    </w:p>
    <w:p w14:paraId="7C39D991" w14:textId="33A8F728" w:rsidR="00B97365" w:rsidRDefault="00000000">
      <w:pPr>
        <w:rPr>
          <w:rFonts w:cs="Arial"/>
          <w:szCs w:val="22"/>
        </w:rPr>
      </w:pPr>
      <w:r>
        <w:rPr>
          <w:rFonts w:cs="Arial"/>
          <w:szCs w:val="22"/>
        </w:rPr>
        <w:t xml:space="preserve">This command is a STORE DATA command, as described in GlobalPlatform Card Specification </w:t>
      </w:r>
      <w:r>
        <w:fldChar w:fldCharType="begin"/>
      </w:r>
      <w:r>
        <w:rPr>
          <w:rFonts w:cs="Arial"/>
          <w:szCs w:val="22"/>
        </w:rPr>
        <w:instrText xml:space="preserve"> REF _Ref421631311 \r \h </w:instrText>
      </w:r>
      <w:r>
        <w:fldChar w:fldCharType="separate"/>
      </w:r>
      <w:r w:rsidR="001D5AD9">
        <w:rPr>
          <w:rFonts w:cs="Arial"/>
          <w:szCs w:val="22"/>
        </w:rPr>
        <w:t>[6]</w:t>
      </w:r>
      <w:r>
        <w:fldChar w:fldCharType="end"/>
      </w:r>
      <w:r>
        <w:rPr>
          <w:rFonts w:cs="Arial"/>
          <w:szCs w:val="22"/>
        </w:rPr>
        <w:t>.</w:t>
      </w:r>
    </w:p>
    <w:p w14:paraId="525C840A" w14:textId="77777777" w:rsidR="00B97365" w:rsidRDefault="00B97365">
      <w:pPr>
        <w:rPr>
          <w:rFonts w:cs="Arial"/>
          <w:szCs w:val="22"/>
        </w:rPr>
      </w:pPr>
    </w:p>
    <w:tbl>
      <w:tblPr>
        <w:tblW w:w="7656" w:type="dxa"/>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560"/>
        <w:gridCol w:w="1559"/>
        <w:gridCol w:w="4537"/>
      </w:tblGrid>
      <w:tr w:rsidR="00B97365" w14:paraId="0C70B04B" w14:textId="77777777">
        <w:trPr>
          <w:tblHeader/>
        </w:trPr>
        <w:tc>
          <w:tcPr>
            <w:tcW w:w="155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24250EB"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lastRenderedPageBreak/>
              <w:t>Code</w:t>
            </w:r>
          </w:p>
        </w:tc>
        <w:tc>
          <w:tcPr>
            <w:tcW w:w="155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52726AF"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Value</w:t>
            </w:r>
          </w:p>
        </w:tc>
        <w:tc>
          <w:tcPr>
            <w:tcW w:w="453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A03BCD9"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Meaning</w:t>
            </w:r>
          </w:p>
        </w:tc>
      </w:tr>
      <w:tr w:rsidR="00B97365" w14:paraId="5999F1CB"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5A27F075" w14:textId="77777777" w:rsidR="00B97365" w:rsidRDefault="00000000">
            <w:pPr>
              <w:keepNext/>
              <w:keepLines/>
              <w:spacing w:before="0"/>
              <w:jc w:val="left"/>
              <w:rPr>
                <w:rFonts w:eastAsia="MS Mincho" w:cs="Arial"/>
                <w:sz w:val="16"/>
                <w:szCs w:val="16"/>
                <w:lang w:eastAsia="fr-FR" w:bidi="ar-SA"/>
              </w:rPr>
            </w:pPr>
            <w:r>
              <w:rPr>
                <w:rFonts w:eastAsia="MS Mincho" w:cs="Arial"/>
                <w:sz w:val="16"/>
                <w:szCs w:val="16"/>
                <w:lang w:eastAsia="fr-FR" w:bidi="ar-SA"/>
              </w:rPr>
              <w:t>CLA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9408FB8" w14:textId="77777777" w:rsidR="00B97365" w:rsidRDefault="00000000">
            <w:pPr>
              <w:keepNext/>
              <w:keepLines/>
              <w:spacing w:before="0" w:after="120" w:line="276" w:lineRule="auto"/>
              <w:jc w:val="left"/>
              <w:rPr>
                <w:rFonts w:eastAsia="MS Mincho" w:cs="Arial"/>
                <w:noProof/>
                <w:sz w:val="16"/>
                <w:szCs w:val="16"/>
                <w:lang w:eastAsia="fr-FR" w:bidi="ar-SA"/>
              </w:rPr>
            </w:pPr>
            <w:r>
              <w:rPr>
                <w:rFonts w:eastAsia="MS Mincho" w:cs="Arial"/>
                <w:noProof/>
                <w:sz w:val="16"/>
                <w:szCs w:val="16"/>
                <w:lang w:eastAsia="fr-FR" w:bidi="ar-SA"/>
              </w:rPr>
              <w:t xml:space="preserve">‘80’ </w:t>
            </w:r>
          </w:p>
        </w:tc>
        <w:tc>
          <w:tcPr>
            <w:tcW w:w="4536" w:type="dxa"/>
            <w:tcBorders>
              <w:top w:val="single" w:sz="6" w:space="0" w:color="auto"/>
              <w:left w:val="single" w:sz="6" w:space="0" w:color="auto"/>
              <w:bottom w:val="single" w:sz="6" w:space="0" w:color="auto"/>
              <w:right w:val="single" w:sz="4" w:space="0" w:color="auto"/>
            </w:tcBorders>
            <w:vAlign w:val="center"/>
          </w:tcPr>
          <w:p w14:paraId="4CD6702B" w14:textId="77777777" w:rsidR="00B97365" w:rsidRDefault="00B97365">
            <w:pPr>
              <w:keepNext/>
              <w:keepLines/>
              <w:tabs>
                <w:tab w:val="left" w:pos="357"/>
              </w:tabs>
              <w:spacing w:before="0"/>
              <w:jc w:val="left"/>
              <w:rPr>
                <w:rFonts w:eastAsia="MS Mincho" w:cs="Arial"/>
                <w:sz w:val="16"/>
                <w:szCs w:val="16"/>
                <w:lang w:eastAsia="fr-FR" w:bidi="ar-SA"/>
              </w:rPr>
            </w:pPr>
          </w:p>
        </w:tc>
      </w:tr>
      <w:tr w:rsidR="00B97365" w14:paraId="1DEAA470"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01DDE03A" w14:textId="77777777" w:rsidR="00B97365" w:rsidRDefault="00000000">
            <w:pPr>
              <w:keepNext/>
              <w:keepLines/>
              <w:spacing w:before="0" w:after="120" w:line="276" w:lineRule="auto"/>
              <w:jc w:val="left"/>
              <w:rPr>
                <w:rFonts w:eastAsia="MS Mincho" w:cs="Arial"/>
                <w:sz w:val="16"/>
                <w:szCs w:val="16"/>
                <w:lang w:eastAsia="fr-FR" w:bidi="ar-SA"/>
              </w:rPr>
            </w:pPr>
            <w:r>
              <w:rPr>
                <w:rFonts w:eastAsia="MS Mincho" w:cs="Arial"/>
                <w:sz w:val="16"/>
                <w:szCs w:val="16"/>
                <w:lang w:eastAsia="fr-FR" w:bidi="ar-SA"/>
              </w:rPr>
              <w:t>INS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7EFBEA1" w14:textId="77777777" w:rsidR="00B97365" w:rsidRDefault="00000000">
            <w:pPr>
              <w:keepNext/>
              <w:keepLines/>
              <w:spacing w:before="0" w:after="120" w:line="276" w:lineRule="auto"/>
              <w:jc w:val="left"/>
              <w:rPr>
                <w:rFonts w:eastAsia="MS Mincho" w:cs="Arial"/>
                <w:noProof/>
                <w:sz w:val="16"/>
                <w:szCs w:val="16"/>
                <w:lang w:eastAsia="fr-FR" w:bidi="ar-SA"/>
              </w:rPr>
            </w:pPr>
            <w:r>
              <w:rPr>
                <w:rFonts w:eastAsia="MS Mincho" w:cs="Arial"/>
                <w:noProof/>
                <w:sz w:val="16"/>
                <w:szCs w:val="16"/>
                <w:lang w:eastAsia="fr-FR" w:bidi="ar-SA"/>
              </w:rPr>
              <w:t>‘E2’</w:t>
            </w:r>
          </w:p>
        </w:tc>
        <w:tc>
          <w:tcPr>
            <w:tcW w:w="4536" w:type="dxa"/>
            <w:tcBorders>
              <w:top w:val="single" w:sz="6" w:space="0" w:color="auto"/>
              <w:left w:val="single" w:sz="6" w:space="0" w:color="auto"/>
              <w:bottom w:val="single" w:sz="6" w:space="0" w:color="auto"/>
              <w:right w:val="single" w:sz="4" w:space="0" w:color="auto"/>
            </w:tcBorders>
            <w:vAlign w:val="center"/>
            <w:hideMark/>
          </w:tcPr>
          <w:p w14:paraId="0370EAC1" w14:textId="77777777" w:rsidR="00B97365" w:rsidRDefault="00000000">
            <w:pPr>
              <w:keepNext/>
              <w:keepLines/>
              <w:tabs>
                <w:tab w:val="left" w:pos="357"/>
              </w:tabs>
              <w:spacing w:before="0" w:after="120" w:line="276" w:lineRule="auto"/>
              <w:jc w:val="left"/>
              <w:rPr>
                <w:rFonts w:eastAsia="MS Mincho" w:cs="Arial"/>
                <w:sz w:val="16"/>
                <w:szCs w:val="16"/>
                <w:lang w:eastAsia="fr-FR" w:bidi="ar-SA"/>
              </w:rPr>
            </w:pPr>
            <w:r>
              <w:rPr>
                <w:rFonts w:eastAsia="MS Mincho" w:cs="Arial"/>
                <w:sz w:val="16"/>
                <w:szCs w:val="16"/>
                <w:lang w:eastAsia="fr-FR" w:bidi="ar-SA"/>
              </w:rPr>
              <w:t>STORE DATA</w:t>
            </w:r>
          </w:p>
        </w:tc>
      </w:tr>
      <w:tr w:rsidR="00B97365" w14:paraId="1625F426"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4DB32A9D" w14:textId="77777777" w:rsidR="00B97365" w:rsidRDefault="00000000">
            <w:pPr>
              <w:keepNext/>
              <w:keepLines/>
              <w:spacing w:before="0" w:after="120" w:line="276" w:lineRule="auto"/>
              <w:jc w:val="left"/>
              <w:rPr>
                <w:rFonts w:eastAsia="MS Mincho" w:cs="Arial"/>
                <w:sz w:val="16"/>
                <w:szCs w:val="16"/>
                <w:lang w:eastAsia="fr-FR" w:bidi="ar-SA"/>
              </w:rPr>
            </w:pPr>
            <w:r>
              <w:rPr>
                <w:rFonts w:eastAsia="MS Mincho" w:cs="Arial"/>
                <w:sz w:val="16"/>
                <w:szCs w:val="16"/>
                <w:lang w:eastAsia="fr-FR" w:bidi="ar-SA"/>
              </w:rPr>
              <w:t>P1</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D769F46" w14:textId="77777777" w:rsidR="00B97365" w:rsidRDefault="00000000">
            <w:pPr>
              <w:keepNext/>
              <w:keepLines/>
              <w:spacing w:before="0" w:after="120" w:line="276" w:lineRule="auto"/>
              <w:jc w:val="left"/>
              <w:rPr>
                <w:rFonts w:eastAsia="MS Mincho" w:cs="Arial"/>
                <w:sz w:val="16"/>
                <w:szCs w:val="16"/>
                <w:lang w:eastAsia="fr-FR" w:bidi="ar-SA"/>
              </w:rPr>
            </w:pPr>
            <w:r>
              <w:rPr>
                <w:rFonts w:eastAsia="MS Mincho" w:cs="Arial"/>
                <w:noProof/>
                <w:sz w:val="16"/>
                <w:szCs w:val="16"/>
                <w:lang w:eastAsia="fr-FR" w:bidi="ar-SA"/>
              </w:rPr>
              <w:t>‘88’</w:t>
            </w:r>
          </w:p>
        </w:tc>
        <w:tc>
          <w:tcPr>
            <w:tcW w:w="4536" w:type="dxa"/>
            <w:tcBorders>
              <w:top w:val="single" w:sz="6" w:space="0" w:color="auto"/>
              <w:left w:val="single" w:sz="6" w:space="0" w:color="auto"/>
              <w:bottom w:val="single" w:sz="6" w:space="0" w:color="auto"/>
              <w:right w:val="single" w:sz="4" w:space="0" w:color="auto"/>
            </w:tcBorders>
            <w:vAlign w:val="center"/>
            <w:hideMark/>
          </w:tcPr>
          <w:p w14:paraId="7AC94340" w14:textId="54BAAD2A" w:rsidR="00B97365" w:rsidRDefault="00000000">
            <w:pPr>
              <w:keepNext/>
              <w:keepLines/>
              <w:tabs>
                <w:tab w:val="left" w:pos="357"/>
              </w:tabs>
              <w:spacing w:before="0" w:after="120" w:line="276" w:lineRule="auto"/>
              <w:jc w:val="left"/>
              <w:rPr>
                <w:rFonts w:eastAsia="MS Mincho" w:cs="Arial"/>
                <w:sz w:val="16"/>
                <w:szCs w:val="16"/>
                <w:lang w:eastAsia="fr-FR" w:bidi="ar-SA"/>
              </w:rPr>
            </w:pPr>
            <w:r>
              <w:rPr>
                <w:rFonts w:eastAsia="MS Mincho" w:cs="Arial"/>
                <w:sz w:val="16"/>
                <w:szCs w:val="16"/>
                <w:lang w:eastAsia="fr-FR" w:bidi="ar-SA"/>
              </w:rPr>
              <w:t xml:space="preserve">Reference Control Parameter P1 </w:t>
            </w:r>
            <w:r>
              <w:fldChar w:fldCharType="begin"/>
            </w:r>
            <w:r>
              <w:instrText xml:space="preserve"> REF _Ref340070179 \r \h  \* MERGEFORMAT </w:instrText>
            </w:r>
            <w:r>
              <w:fldChar w:fldCharType="separate"/>
            </w:r>
            <w:r w:rsidR="001D5AD9">
              <w:t>0</w:t>
            </w:r>
            <w:r>
              <w:fldChar w:fldCharType="end"/>
            </w:r>
          </w:p>
        </w:tc>
      </w:tr>
      <w:tr w:rsidR="00B97365" w14:paraId="5BC8E7A5"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4914200F" w14:textId="77777777" w:rsidR="00B97365" w:rsidRDefault="00000000">
            <w:pPr>
              <w:keepNext/>
              <w:keepLines/>
              <w:spacing w:before="0" w:after="120" w:line="276" w:lineRule="auto"/>
              <w:jc w:val="left"/>
              <w:rPr>
                <w:rFonts w:eastAsia="MS Mincho" w:cs="Arial"/>
                <w:sz w:val="16"/>
                <w:szCs w:val="16"/>
                <w:lang w:eastAsia="fr-FR" w:bidi="ar-SA"/>
              </w:rPr>
            </w:pPr>
            <w:r>
              <w:rPr>
                <w:rFonts w:eastAsia="MS Mincho" w:cs="Arial"/>
                <w:sz w:val="16"/>
                <w:szCs w:val="16"/>
                <w:lang w:eastAsia="fr-FR" w:bidi="ar-SA"/>
              </w:rPr>
              <w:t>P2</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41EB984" w14:textId="77777777" w:rsidR="00B97365" w:rsidRDefault="00000000">
            <w:pPr>
              <w:keepNext/>
              <w:keepLines/>
              <w:spacing w:before="0" w:after="120" w:line="276" w:lineRule="auto"/>
              <w:jc w:val="left"/>
              <w:rPr>
                <w:rFonts w:eastAsia="MS Mincho" w:cs="Arial"/>
                <w:noProof/>
                <w:sz w:val="16"/>
                <w:szCs w:val="16"/>
                <w:lang w:eastAsia="fr-FR" w:bidi="ar-SA"/>
              </w:rPr>
            </w:pPr>
            <w:r>
              <w:rPr>
                <w:rFonts w:eastAsia="MS Mincho" w:cs="Arial"/>
                <w:noProof/>
                <w:sz w:val="16"/>
                <w:szCs w:val="16"/>
                <w:lang w:eastAsia="fr-FR" w:bidi="ar-SA"/>
              </w:rPr>
              <w:t>‘00’</w:t>
            </w:r>
          </w:p>
        </w:tc>
        <w:tc>
          <w:tcPr>
            <w:tcW w:w="4536" w:type="dxa"/>
            <w:tcBorders>
              <w:top w:val="single" w:sz="6" w:space="0" w:color="auto"/>
              <w:left w:val="single" w:sz="6" w:space="0" w:color="auto"/>
              <w:bottom w:val="single" w:sz="6" w:space="0" w:color="auto"/>
              <w:right w:val="single" w:sz="4" w:space="0" w:color="auto"/>
            </w:tcBorders>
            <w:vAlign w:val="center"/>
            <w:hideMark/>
          </w:tcPr>
          <w:p w14:paraId="49BFBD2B" w14:textId="77777777" w:rsidR="00B97365" w:rsidRDefault="00000000">
            <w:pPr>
              <w:keepNext/>
              <w:keepLines/>
              <w:tabs>
                <w:tab w:val="left" w:pos="357"/>
              </w:tabs>
              <w:spacing w:before="0" w:after="120" w:line="276" w:lineRule="auto"/>
              <w:jc w:val="left"/>
              <w:rPr>
                <w:rFonts w:eastAsia="MS Mincho" w:cs="Arial"/>
                <w:sz w:val="16"/>
                <w:szCs w:val="16"/>
                <w:lang w:eastAsia="fr-FR" w:bidi="ar-SA"/>
              </w:rPr>
            </w:pPr>
            <w:r>
              <w:rPr>
                <w:rFonts w:eastAsia="MS Mincho" w:cs="Arial"/>
                <w:sz w:val="16"/>
                <w:szCs w:val="16"/>
                <w:lang w:eastAsia="fr-FR" w:bidi="ar-SA"/>
              </w:rPr>
              <w:t xml:space="preserve">Block Number (Not used for Enable </w:t>
            </w:r>
          </w:p>
        </w:tc>
      </w:tr>
      <w:tr w:rsidR="00B97365" w14:paraId="560F80EF"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456B9AA7" w14:textId="77777777" w:rsidR="00B97365" w:rsidRDefault="00000000">
            <w:pPr>
              <w:keepNext/>
              <w:keepLines/>
              <w:tabs>
                <w:tab w:val="left" w:pos="0"/>
              </w:tabs>
              <w:spacing w:before="0"/>
              <w:jc w:val="left"/>
              <w:rPr>
                <w:rFonts w:eastAsia="MS Mincho" w:cs="Arial"/>
                <w:sz w:val="16"/>
                <w:szCs w:val="16"/>
                <w:lang w:eastAsia="fr-FR" w:bidi="ar-SA"/>
              </w:rPr>
            </w:pPr>
            <w:r>
              <w:rPr>
                <w:rFonts w:eastAsia="MS Mincho" w:cs="Arial"/>
                <w:sz w:val="16"/>
                <w:szCs w:val="16"/>
                <w:lang w:eastAsia="fr-FR" w:bidi="ar-SA"/>
              </w:rPr>
              <w:t>Lc</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C18E038" w14:textId="77777777" w:rsidR="00B97365" w:rsidRDefault="00000000">
            <w:pPr>
              <w:keepNext/>
              <w:keepLines/>
              <w:spacing w:before="0" w:after="120" w:line="276" w:lineRule="auto"/>
              <w:jc w:val="left"/>
              <w:rPr>
                <w:rFonts w:eastAsia="MS Mincho" w:cs="Arial"/>
                <w:noProof/>
                <w:sz w:val="16"/>
                <w:szCs w:val="16"/>
                <w:lang w:eastAsia="fr-FR" w:bidi="ar-SA"/>
              </w:rPr>
            </w:pPr>
            <w:r>
              <w:rPr>
                <w:rFonts w:eastAsia="MS Mincho" w:cs="Arial"/>
                <w:noProof/>
                <w:sz w:val="16"/>
                <w:szCs w:val="16"/>
                <w:lang w:eastAsia="fr-FR" w:bidi="ar-SA"/>
              </w:rPr>
              <w:t>‘XX’</w:t>
            </w:r>
          </w:p>
        </w:tc>
        <w:tc>
          <w:tcPr>
            <w:tcW w:w="4536" w:type="dxa"/>
            <w:tcBorders>
              <w:top w:val="single" w:sz="6" w:space="0" w:color="auto"/>
              <w:left w:val="single" w:sz="6" w:space="0" w:color="auto"/>
              <w:bottom w:val="single" w:sz="6" w:space="0" w:color="auto"/>
              <w:right w:val="single" w:sz="4" w:space="0" w:color="auto"/>
            </w:tcBorders>
            <w:vAlign w:val="center"/>
            <w:hideMark/>
          </w:tcPr>
          <w:p w14:paraId="715E9F3B" w14:textId="77777777" w:rsidR="00B97365" w:rsidRDefault="00000000">
            <w:pPr>
              <w:keepNext/>
              <w:keepLines/>
              <w:tabs>
                <w:tab w:val="left" w:pos="357"/>
              </w:tabs>
              <w:spacing w:before="0" w:after="120" w:line="276" w:lineRule="auto"/>
              <w:jc w:val="left"/>
              <w:rPr>
                <w:rFonts w:eastAsia="MS Mincho" w:cs="Arial"/>
                <w:sz w:val="16"/>
                <w:szCs w:val="16"/>
                <w:lang w:eastAsia="fr-FR" w:bidi="ar-SA"/>
              </w:rPr>
            </w:pPr>
            <w:r>
              <w:rPr>
                <w:rFonts w:eastAsia="MS Mincho" w:cs="Arial"/>
                <w:sz w:val="16"/>
                <w:szCs w:val="16"/>
                <w:lang w:eastAsia="fr-FR" w:bidi="ar-SA"/>
              </w:rPr>
              <w:t>Length of data field</w:t>
            </w:r>
          </w:p>
        </w:tc>
      </w:tr>
      <w:tr w:rsidR="00B97365" w14:paraId="36A89335"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2BD23D3F" w14:textId="77777777" w:rsidR="00B97365" w:rsidRDefault="00000000">
            <w:pPr>
              <w:keepNext/>
              <w:keepLines/>
              <w:spacing w:before="0" w:after="120" w:line="276" w:lineRule="auto"/>
              <w:jc w:val="left"/>
              <w:rPr>
                <w:rFonts w:eastAsia="MS Mincho" w:cs="Arial"/>
                <w:sz w:val="16"/>
                <w:szCs w:val="16"/>
                <w:lang w:eastAsia="fr-FR" w:bidi="ar-SA"/>
              </w:rPr>
            </w:pPr>
            <w:r>
              <w:rPr>
                <w:rFonts w:eastAsia="MS Mincho" w:cs="Arial"/>
                <w:sz w:val="16"/>
                <w:szCs w:val="16"/>
                <w:lang w:eastAsia="fr-FR" w:bidi="ar-SA"/>
              </w:rPr>
              <w:t>Data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B846D5C" w14:textId="77777777" w:rsidR="00B97365" w:rsidRDefault="00000000">
            <w:pPr>
              <w:keepNext/>
              <w:keepLines/>
              <w:spacing w:before="0" w:after="120" w:line="276" w:lineRule="auto"/>
              <w:jc w:val="left"/>
              <w:rPr>
                <w:rFonts w:eastAsia="MS Mincho" w:cs="Arial"/>
                <w:noProof/>
                <w:sz w:val="16"/>
                <w:szCs w:val="16"/>
                <w:lang w:eastAsia="fr-FR" w:bidi="ar-SA"/>
              </w:rPr>
            </w:pPr>
            <w:r>
              <w:rPr>
                <w:rFonts w:eastAsia="MS Mincho" w:cs="Arial"/>
                <w:noProof/>
                <w:sz w:val="16"/>
                <w:szCs w:val="16"/>
                <w:lang w:eastAsia="fr-FR" w:bidi="ar-SA"/>
              </w:rPr>
              <w:t>‘XX’</w:t>
            </w:r>
          </w:p>
        </w:tc>
        <w:tc>
          <w:tcPr>
            <w:tcW w:w="4536" w:type="dxa"/>
            <w:tcBorders>
              <w:top w:val="single" w:sz="6" w:space="0" w:color="auto"/>
              <w:left w:val="single" w:sz="6" w:space="0" w:color="auto"/>
              <w:bottom w:val="single" w:sz="6" w:space="0" w:color="auto"/>
              <w:right w:val="single" w:sz="4" w:space="0" w:color="auto"/>
            </w:tcBorders>
            <w:vAlign w:val="center"/>
            <w:hideMark/>
          </w:tcPr>
          <w:p w14:paraId="6264233C" w14:textId="77777777" w:rsidR="00B97365" w:rsidRDefault="00000000">
            <w:pPr>
              <w:keepNext/>
              <w:keepLines/>
              <w:tabs>
                <w:tab w:val="left" w:pos="357"/>
              </w:tabs>
              <w:spacing w:before="0" w:after="120" w:line="276" w:lineRule="auto"/>
              <w:jc w:val="left"/>
              <w:rPr>
                <w:rFonts w:eastAsia="MS Mincho" w:cs="Arial"/>
                <w:sz w:val="16"/>
                <w:szCs w:val="16"/>
                <w:lang w:eastAsia="fr-FR" w:bidi="ar-SA"/>
              </w:rPr>
            </w:pPr>
            <w:r>
              <w:rPr>
                <w:rFonts w:eastAsia="MS Mincho" w:cs="Arial"/>
                <w:sz w:val="16"/>
                <w:szCs w:val="16"/>
                <w:lang w:eastAsia="fr-FR" w:bidi="ar-SA"/>
              </w:rPr>
              <w:t>Application Data and MAC (if present)</w:t>
            </w:r>
          </w:p>
        </w:tc>
      </w:tr>
      <w:tr w:rsidR="00B97365" w14:paraId="138D6806" w14:textId="77777777">
        <w:tc>
          <w:tcPr>
            <w:tcW w:w="1559" w:type="dxa"/>
            <w:tcBorders>
              <w:top w:val="single" w:sz="6" w:space="0" w:color="auto"/>
              <w:left w:val="single" w:sz="4" w:space="0" w:color="auto"/>
              <w:bottom w:val="single" w:sz="4" w:space="0" w:color="auto"/>
              <w:right w:val="single" w:sz="6" w:space="0" w:color="auto"/>
            </w:tcBorders>
            <w:vAlign w:val="center"/>
            <w:hideMark/>
          </w:tcPr>
          <w:p w14:paraId="7C242CFF" w14:textId="77777777" w:rsidR="00B97365" w:rsidRDefault="00000000">
            <w:pPr>
              <w:keepNext/>
              <w:keepLines/>
              <w:tabs>
                <w:tab w:val="left" w:pos="0"/>
              </w:tabs>
              <w:spacing w:before="0"/>
              <w:jc w:val="left"/>
              <w:rPr>
                <w:rFonts w:eastAsia="MS Mincho" w:cs="Arial"/>
                <w:sz w:val="16"/>
                <w:szCs w:val="16"/>
                <w:lang w:eastAsia="fr-FR" w:bidi="ar-SA"/>
              </w:rPr>
            </w:pPr>
            <w:r>
              <w:rPr>
                <w:rFonts w:eastAsia="MS Mincho" w:cs="Arial"/>
                <w:sz w:val="16"/>
                <w:szCs w:val="16"/>
                <w:lang w:eastAsia="fr-FR" w:bidi="ar-SA"/>
              </w:rPr>
              <w:t>Le</w:t>
            </w:r>
          </w:p>
        </w:tc>
        <w:tc>
          <w:tcPr>
            <w:tcW w:w="1559" w:type="dxa"/>
            <w:tcBorders>
              <w:top w:val="single" w:sz="6" w:space="0" w:color="auto"/>
              <w:left w:val="single" w:sz="6" w:space="0" w:color="auto"/>
              <w:bottom w:val="single" w:sz="4" w:space="0" w:color="auto"/>
              <w:right w:val="single" w:sz="6" w:space="0" w:color="auto"/>
            </w:tcBorders>
            <w:vAlign w:val="center"/>
            <w:hideMark/>
          </w:tcPr>
          <w:p w14:paraId="12DF1D30" w14:textId="77777777" w:rsidR="00B97365" w:rsidRDefault="00000000">
            <w:pPr>
              <w:keepNext/>
              <w:keepLines/>
              <w:spacing w:before="0" w:after="120" w:line="276" w:lineRule="auto"/>
              <w:jc w:val="left"/>
              <w:rPr>
                <w:rFonts w:eastAsia="MS Mincho" w:cs="Arial"/>
                <w:noProof/>
                <w:sz w:val="16"/>
                <w:szCs w:val="16"/>
                <w:lang w:eastAsia="fr-FR" w:bidi="ar-SA"/>
              </w:rPr>
            </w:pPr>
            <w:r>
              <w:rPr>
                <w:rFonts w:eastAsia="MS Mincho" w:cs="Arial"/>
                <w:noProof/>
                <w:sz w:val="16"/>
                <w:szCs w:val="16"/>
                <w:lang w:eastAsia="fr-FR" w:bidi="ar-SA"/>
              </w:rPr>
              <w:t>Not present</w:t>
            </w:r>
          </w:p>
        </w:tc>
        <w:tc>
          <w:tcPr>
            <w:tcW w:w="4536" w:type="dxa"/>
            <w:tcBorders>
              <w:top w:val="single" w:sz="6" w:space="0" w:color="auto"/>
              <w:left w:val="single" w:sz="6" w:space="0" w:color="auto"/>
              <w:bottom w:val="single" w:sz="4" w:space="0" w:color="auto"/>
              <w:right w:val="single" w:sz="4" w:space="0" w:color="auto"/>
            </w:tcBorders>
            <w:vAlign w:val="center"/>
          </w:tcPr>
          <w:p w14:paraId="146F794E" w14:textId="77777777" w:rsidR="00B97365" w:rsidRDefault="00B97365">
            <w:pPr>
              <w:rPr>
                <w:rFonts w:cs="Arial"/>
                <w:sz w:val="16"/>
                <w:szCs w:val="16"/>
              </w:rPr>
            </w:pPr>
          </w:p>
        </w:tc>
      </w:tr>
    </w:tbl>
    <w:p w14:paraId="32DC7AFB"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STORE DATA Command Message</w:t>
      </w:r>
    </w:p>
    <w:p w14:paraId="4F66CFFE" w14:textId="77777777" w:rsidR="00B97365" w:rsidRDefault="00000000">
      <w:pPr>
        <w:spacing w:before="0" w:after="200" w:line="276" w:lineRule="auto"/>
        <w:jc w:val="left"/>
        <w:rPr>
          <w:rFonts w:eastAsia="MS Mincho" w:cs="Arial"/>
          <w:b/>
          <w:i/>
          <w:szCs w:val="22"/>
          <w:lang w:eastAsia="fr-FR" w:bidi="ar-SA"/>
        </w:rPr>
      </w:pPr>
      <w:bookmarkStart w:id="2591" w:name="_Toc420594619"/>
      <w:r>
        <w:rPr>
          <w:rFonts w:cs="Arial"/>
          <w:b/>
          <w:i/>
          <w:szCs w:val="22"/>
          <w:lang w:val="en-US" w:eastAsia="en-GB" w:bidi="ar-SA"/>
        </w:rPr>
        <w:t>Parameter</w:t>
      </w:r>
      <w:r>
        <w:rPr>
          <w:rFonts w:eastAsia="MS Mincho" w:cs="Arial"/>
          <w:b/>
          <w:i/>
          <w:szCs w:val="22"/>
          <w:lang w:eastAsia="fr-FR" w:bidi="ar-SA"/>
        </w:rPr>
        <w:t xml:space="preserve"> P1 is coded according to the followi</w:t>
      </w:r>
      <w:bookmarkStart w:id="2592" w:name="_Ref340070179"/>
      <w:r>
        <w:rPr>
          <w:rFonts w:eastAsia="MS Mincho" w:cs="Arial"/>
          <w:b/>
          <w:i/>
          <w:szCs w:val="22"/>
          <w:lang w:eastAsia="fr-FR" w:bidi="ar-SA"/>
        </w:rPr>
        <w:t>ng table:</w:t>
      </w:r>
      <w:bookmarkEnd w:id="2591"/>
    </w:p>
    <w:tbl>
      <w:tblPr>
        <w:tblW w:w="0" w:type="auto"/>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29"/>
        <w:gridCol w:w="329"/>
        <w:gridCol w:w="329"/>
        <w:gridCol w:w="329"/>
        <w:gridCol w:w="329"/>
        <w:gridCol w:w="329"/>
        <w:gridCol w:w="329"/>
        <w:gridCol w:w="329"/>
        <w:gridCol w:w="4154"/>
      </w:tblGrid>
      <w:tr w:rsidR="00B97365" w14:paraId="61D3C5DE" w14:textId="77777777">
        <w:trPr>
          <w:tblHead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64610D3"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 xml:space="preserve">b8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900486B"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 xml:space="preserve">b7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AE6FB93"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 xml:space="preserve">b6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A4E13E9"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 xml:space="preserve">b5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05EC5DC"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 xml:space="preserve">b4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ED95832"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 xml:space="preserve">b3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31956BF"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 xml:space="preserve">b2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E21BC66"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 xml:space="preserve">b1 </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F4554D2" w14:textId="77777777" w:rsidR="00B97365" w:rsidRDefault="00000000">
            <w:pPr>
              <w:keepNext/>
              <w:keepLines/>
              <w:tabs>
                <w:tab w:val="left" w:pos="357"/>
              </w:tabs>
              <w:spacing w:before="0"/>
              <w:jc w:val="center"/>
              <w:rPr>
                <w:rFonts w:eastAsia="MS Mincho" w:cs="Arial"/>
                <w:b/>
                <w:color w:val="FFFFFF"/>
                <w:sz w:val="16"/>
                <w:szCs w:val="16"/>
                <w:lang w:eastAsia="fr-FR" w:bidi="ar-SA"/>
              </w:rPr>
            </w:pPr>
            <w:r>
              <w:rPr>
                <w:rFonts w:eastAsia="MS Mincho" w:cs="Arial"/>
                <w:b/>
                <w:color w:val="FFFFFF"/>
                <w:sz w:val="16"/>
                <w:szCs w:val="16"/>
                <w:lang w:eastAsia="fr-FR" w:bidi="ar-SA"/>
              </w:rPr>
              <w:t xml:space="preserve">Meaning </w:t>
            </w:r>
          </w:p>
        </w:tc>
        <w:bookmarkEnd w:id="2592"/>
      </w:tr>
      <w:tr w:rsidR="00B97365" w14:paraId="429A6BFE" w14:textId="77777777">
        <w:trPr>
          <w:tblHeader/>
        </w:trPr>
        <w:tc>
          <w:tcPr>
            <w:tcW w:w="0" w:type="auto"/>
            <w:tcBorders>
              <w:top w:val="single" w:sz="6" w:space="0" w:color="auto"/>
              <w:left w:val="single" w:sz="4" w:space="0" w:color="auto"/>
              <w:bottom w:val="single" w:sz="6" w:space="0" w:color="auto"/>
              <w:right w:val="single" w:sz="6" w:space="0" w:color="auto"/>
            </w:tcBorders>
            <w:hideMark/>
          </w:tcPr>
          <w:p w14:paraId="145ABDBA" w14:textId="77777777" w:rsidR="00B97365" w:rsidRDefault="00000000">
            <w:pPr>
              <w:keepLines/>
              <w:spacing w:before="0" w:line="260" w:lineRule="atLeast"/>
              <w:jc w:val="left"/>
              <w:rPr>
                <w:rFonts w:eastAsia="PMingLiU" w:cs="Arial"/>
                <w:b/>
                <w:bCs/>
                <w:sz w:val="16"/>
                <w:szCs w:val="16"/>
                <w:lang w:eastAsia="en-US" w:bidi="ar-SA"/>
              </w:rPr>
            </w:pPr>
            <w:r>
              <w:rPr>
                <w:rFonts w:eastAsia="PMingLiU" w:cs="Arial"/>
                <w:bCs/>
                <w:sz w:val="16"/>
                <w:szCs w:val="16"/>
                <w:lang w:eastAsia="en-US" w:bidi="ar-SA"/>
              </w:rPr>
              <w:t>1</w:t>
            </w:r>
          </w:p>
        </w:tc>
        <w:tc>
          <w:tcPr>
            <w:tcW w:w="0" w:type="auto"/>
            <w:tcBorders>
              <w:top w:val="single" w:sz="6" w:space="0" w:color="auto"/>
              <w:left w:val="single" w:sz="6" w:space="0" w:color="auto"/>
              <w:bottom w:val="single" w:sz="6" w:space="0" w:color="auto"/>
              <w:right w:val="single" w:sz="6" w:space="0" w:color="auto"/>
            </w:tcBorders>
            <w:hideMark/>
          </w:tcPr>
          <w:p w14:paraId="782D4782"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7C1D363E"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07B6D7A5"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0C7B96CF"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7C5529B6"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6A2E12E4"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0497A4B3"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4" w:space="0" w:color="auto"/>
            </w:tcBorders>
            <w:hideMark/>
          </w:tcPr>
          <w:p w14:paraId="489621C5"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Last block</w:t>
            </w:r>
          </w:p>
        </w:tc>
      </w:tr>
      <w:tr w:rsidR="00B97365" w14:paraId="03BC0F25" w14:textId="77777777">
        <w:trPr>
          <w:tblHeader/>
        </w:trPr>
        <w:tc>
          <w:tcPr>
            <w:tcW w:w="0" w:type="auto"/>
            <w:tcBorders>
              <w:top w:val="single" w:sz="6" w:space="0" w:color="auto"/>
              <w:left w:val="single" w:sz="4" w:space="0" w:color="auto"/>
              <w:bottom w:val="single" w:sz="6" w:space="0" w:color="auto"/>
              <w:right w:val="single" w:sz="6" w:space="0" w:color="auto"/>
            </w:tcBorders>
            <w:hideMark/>
          </w:tcPr>
          <w:p w14:paraId="392DB88E"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2A0DEBCA"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0</w:t>
            </w:r>
          </w:p>
        </w:tc>
        <w:tc>
          <w:tcPr>
            <w:tcW w:w="0" w:type="auto"/>
            <w:tcBorders>
              <w:top w:val="single" w:sz="6" w:space="0" w:color="auto"/>
              <w:left w:val="single" w:sz="6" w:space="0" w:color="auto"/>
              <w:bottom w:val="single" w:sz="6" w:space="0" w:color="auto"/>
              <w:right w:val="single" w:sz="6" w:space="0" w:color="auto"/>
            </w:tcBorders>
            <w:hideMark/>
          </w:tcPr>
          <w:p w14:paraId="731B73CE"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0</w:t>
            </w:r>
          </w:p>
        </w:tc>
        <w:tc>
          <w:tcPr>
            <w:tcW w:w="0" w:type="auto"/>
            <w:tcBorders>
              <w:top w:val="single" w:sz="6" w:space="0" w:color="auto"/>
              <w:left w:val="single" w:sz="6" w:space="0" w:color="auto"/>
              <w:bottom w:val="single" w:sz="6" w:space="0" w:color="auto"/>
              <w:right w:val="single" w:sz="6" w:space="0" w:color="auto"/>
            </w:tcBorders>
            <w:hideMark/>
          </w:tcPr>
          <w:p w14:paraId="7F36945A"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6BE63DE6"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7AE18E79"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3A23A3C8"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044EF1D2"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4" w:space="0" w:color="auto"/>
            </w:tcBorders>
            <w:hideMark/>
          </w:tcPr>
          <w:p w14:paraId="639FC7AC"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 xml:space="preserve">No general encryption information or non-encrypted data </w:t>
            </w:r>
          </w:p>
        </w:tc>
      </w:tr>
      <w:tr w:rsidR="00B97365" w14:paraId="61CB9D98" w14:textId="77777777">
        <w:trPr>
          <w:tblHeader/>
        </w:trPr>
        <w:tc>
          <w:tcPr>
            <w:tcW w:w="0" w:type="auto"/>
            <w:tcBorders>
              <w:top w:val="single" w:sz="6" w:space="0" w:color="auto"/>
              <w:left w:val="single" w:sz="4" w:space="0" w:color="auto"/>
              <w:bottom w:val="single" w:sz="6" w:space="0" w:color="auto"/>
              <w:right w:val="single" w:sz="6" w:space="0" w:color="auto"/>
            </w:tcBorders>
            <w:hideMark/>
          </w:tcPr>
          <w:p w14:paraId="609DA301"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1A834FC8"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3A986D25"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049FF4D8"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0</w:t>
            </w:r>
          </w:p>
        </w:tc>
        <w:tc>
          <w:tcPr>
            <w:tcW w:w="0" w:type="auto"/>
            <w:tcBorders>
              <w:top w:val="single" w:sz="6" w:space="0" w:color="auto"/>
              <w:left w:val="single" w:sz="6" w:space="0" w:color="auto"/>
              <w:bottom w:val="single" w:sz="6" w:space="0" w:color="auto"/>
              <w:right w:val="single" w:sz="6" w:space="0" w:color="auto"/>
            </w:tcBorders>
            <w:hideMark/>
          </w:tcPr>
          <w:p w14:paraId="0780B220"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1</w:t>
            </w:r>
          </w:p>
        </w:tc>
        <w:tc>
          <w:tcPr>
            <w:tcW w:w="0" w:type="auto"/>
            <w:tcBorders>
              <w:top w:val="single" w:sz="6" w:space="0" w:color="auto"/>
              <w:left w:val="single" w:sz="6" w:space="0" w:color="auto"/>
              <w:bottom w:val="single" w:sz="6" w:space="0" w:color="auto"/>
              <w:right w:val="single" w:sz="6" w:space="0" w:color="auto"/>
            </w:tcBorders>
            <w:hideMark/>
          </w:tcPr>
          <w:p w14:paraId="6F3E3D2E"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41BDF975"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6" w:space="0" w:color="auto"/>
            </w:tcBorders>
            <w:hideMark/>
          </w:tcPr>
          <w:p w14:paraId="3017DF23"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6" w:space="0" w:color="auto"/>
              <w:right w:val="single" w:sz="4" w:space="0" w:color="auto"/>
            </w:tcBorders>
            <w:hideMark/>
          </w:tcPr>
          <w:p w14:paraId="1ED80F31"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DGI format of the command data field</w:t>
            </w:r>
          </w:p>
        </w:tc>
      </w:tr>
      <w:tr w:rsidR="00B97365" w14:paraId="5EF6CF86" w14:textId="77777777">
        <w:trPr>
          <w:tblHeader/>
        </w:trPr>
        <w:tc>
          <w:tcPr>
            <w:tcW w:w="0" w:type="auto"/>
            <w:tcBorders>
              <w:top w:val="single" w:sz="6" w:space="0" w:color="auto"/>
              <w:left w:val="single" w:sz="4" w:space="0" w:color="auto"/>
              <w:bottom w:val="single" w:sz="4" w:space="0" w:color="auto"/>
              <w:right w:val="single" w:sz="6" w:space="0" w:color="auto"/>
            </w:tcBorders>
            <w:hideMark/>
          </w:tcPr>
          <w:p w14:paraId="5B69C568"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4" w:space="0" w:color="auto"/>
              <w:right w:val="single" w:sz="6" w:space="0" w:color="auto"/>
            </w:tcBorders>
            <w:hideMark/>
          </w:tcPr>
          <w:p w14:paraId="03C703EC"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4" w:space="0" w:color="auto"/>
              <w:right w:val="single" w:sz="6" w:space="0" w:color="auto"/>
            </w:tcBorders>
            <w:hideMark/>
          </w:tcPr>
          <w:p w14:paraId="04EE1FBF"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4" w:space="0" w:color="auto"/>
              <w:right w:val="single" w:sz="6" w:space="0" w:color="auto"/>
            </w:tcBorders>
            <w:hideMark/>
          </w:tcPr>
          <w:p w14:paraId="3E449FE7"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4" w:space="0" w:color="auto"/>
              <w:right w:val="single" w:sz="6" w:space="0" w:color="auto"/>
            </w:tcBorders>
            <w:hideMark/>
          </w:tcPr>
          <w:p w14:paraId="69B73FA0"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w:t>
            </w:r>
          </w:p>
        </w:tc>
        <w:tc>
          <w:tcPr>
            <w:tcW w:w="0" w:type="auto"/>
            <w:tcBorders>
              <w:top w:val="single" w:sz="6" w:space="0" w:color="auto"/>
              <w:left w:val="single" w:sz="6" w:space="0" w:color="auto"/>
              <w:bottom w:val="single" w:sz="4" w:space="0" w:color="auto"/>
              <w:right w:val="single" w:sz="6" w:space="0" w:color="auto"/>
            </w:tcBorders>
            <w:hideMark/>
          </w:tcPr>
          <w:p w14:paraId="3610CDBE"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X</w:t>
            </w:r>
          </w:p>
        </w:tc>
        <w:tc>
          <w:tcPr>
            <w:tcW w:w="0" w:type="auto"/>
            <w:tcBorders>
              <w:top w:val="single" w:sz="6" w:space="0" w:color="auto"/>
              <w:left w:val="single" w:sz="6" w:space="0" w:color="auto"/>
              <w:bottom w:val="single" w:sz="4" w:space="0" w:color="auto"/>
              <w:right w:val="single" w:sz="6" w:space="0" w:color="auto"/>
            </w:tcBorders>
            <w:hideMark/>
          </w:tcPr>
          <w:p w14:paraId="3DB1CC16"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X</w:t>
            </w:r>
          </w:p>
        </w:tc>
        <w:tc>
          <w:tcPr>
            <w:tcW w:w="0" w:type="auto"/>
            <w:tcBorders>
              <w:top w:val="single" w:sz="6" w:space="0" w:color="auto"/>
              <w:left w:val="single" w:sz="6" w:space="0" w:color="auto"/>
              <w:bottom w:val="single" w:sz="4" w:space="0" w:color="auto"/>
              <w:right w:val="single" w:sz="6" w:space="0" w:color="auto"/>
            </w:tcBorders>
            <w:hideMark/>
          </w:tcPr>
          <w:p w14:paraId="68EF4E91"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X</w:t>
            </w:r>
          </w:p>
        </w:tc>
        <w:tc>
          <w:tcPr>
            <w:tcW w:w="0" w:type="auto"/>
            <w:tcBorders>
              <w:top w:val="single" w:sz="6" w:space="0" w:color="auto"/>
              <w:left w:val="single" w:sz="6" w:space="0" w:color="auto"/>
              <w:bottom w:val="single" w:sz="4" w:space="0" w:color="auto"/>
              <w:right w:val="single" w:sz="4" w:space="0" w:color="auto"/>
            </w:tcBorders>
            <w:hideMark/>
          </w:tcPr>
          <w:p w14:paraId="3FA60411" w14:textId="77777777" w:rsidR="00B97365" w:rsidRDefault="00000000">
            <w:pPr>
              <w:keepLines/>
              <w:spacing w:before="0" w:after="120" w:line="260" w:lineRule="atLeast"/>
              <w:jc w:val="left"/>
              <w:rPr>
                <w:rFonts w:eastAsia="PMingLiU" w:cs="Arial"/>
                <w:b/>
                <w:bCs/>
                <w:sz w:val="16"/>
                <w:szCs w:val="16"/>
                <w:lang w:eastAsia="en-US" w:bidi="ar-SA"/>
              </w:rPr>
            </w:pPr>
            <w:r>
              <w:rPr>
                <w:rFonts w:eastAsia="PMingLiU" w:cs="Arial"/>
                <w:bCs/>
                <w:sz w:val="16"/>
                <w:szCs w:val="16"/>
                <w:lang w:eastAsia="en-US" w:bidi="ar-SA"/>
              </w:rPr>
              <w:t>RFU</w:t>
            </w:r>
          </w:p>
        </w:tc>
      </w:tr>
    </w:tbl>
    <w:p w14:paraId="3D842F3B"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STORE DATA Reference Control Parameter P1</w:t>
      </w:r>
    </w:p>
    <w:p w14:paraId="1314C553" w14:textId="77777777" w:rsidR="00B97365" w:rsidRDefault="00B97365">
      <w:pPr>
        <w:rPr>
          <w:rFonts w:cs="Arial"/>
          <w:szCs w:val="22"/>
        </w:rPr>
      </w:pPr>
    </w:p>
    <w:p w14:paraId="1EE2C14B" w14:textId="77777777" w:rsidR="00B97365" w:rsidRDefault="00000000">
      <w:pPr>
        <w:spacing w:before="0" w:after="200" w:line="276" w:lineRule="auto"/>
        <w:jc w:val="left"/>
        <w:rPr>
          <w:rFonts w:eastAsia="Calibri" w:cs="Arial"/>
          <w:b/>
          <w:i/>
          <w:sz w:val="20"/>
          <w:lang w:eastAsia="en-US" w:bidi="ar-SA"/>
        </w:rPr>
      </w:pPr>
      <w:bookmarkStart w:id="2593" w:name="_Toc420594620"/>
      <w:bookmarkStart w:id="2594" w:name="_Toc353536693"/>
      <w:r>
        <w:rPr>
          <w:rFonts w:eastAsia="Calibri" w:cs="Arial"/>
          <w:b/>
          <w:i/>
          <w:sz w:val="20"/>
          <w:lang w:eastAsia="en-US" w:bidi="ar-SA"/>
        </w:rPr>
        <w:t>Data Field Sent in the Command Message</w:t>
      </w:r>
      <w:bookmarkEnd w:id="2593"/>
      <w:bookmarkEnd w:id="259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17"/>
        <w:gridCol w:w="1316"/>
        <w:gridCol w:w="1140"/>
        <w:gridCol w:w="1545"/>
        <w:gridCol w:w="2651"/>
        <w:gridCol w:w="1147"/>
      </w:tblGrid>
      <w:tr w:rsidR="00B97365" w14:paraId="40606907" w14:textId="77777777">
        <w:trPr>
          <w:cantSplit/>
          <w:tblHeader/>
        </w:trPr>
        <w:tc>
          <w:tcPr>
            <w:tcW w:w="675" w:type="pct"/>
            <w:tcBorders>
              <w:top w:val="single" w:sz="4" w:space="0" w:color="auto"/>
              <w:left w:val="single" w:sz="4" w:space="0" w:color="auto"/>
              <w:bottom w:val="single" w:sz="6" w:space="0" w:color="auto"/>
              <w:right w:val="single" w:sz="6" w:space="0" w:color="auto"/>
            </w:tcBorders>
            <w:shd w:val="clear" w:color="auto" w:fill="C00000"/>
            <w:hideMark/>
          </w:tcPr>
          <w:p w14:paraId="7C1E204D" w14:textId="77777777" w:rsidR="00B97365" w:rsidRDefault="00000000">
            <w:pPr>
              <w:tabs>
                <w:tab w:val="left" w:pos="0"/>
              </w:tabs>
              <w:jc w:val="center"/>
              <w:rPr>
                <w:rFonts w:cs="Arial"/>
                <w:sz w:val="16"/>
                <w:szCs w:val="16"/>
              </w:rPr>
            </w:pPr>
            <w:r>
              <w:rPr>
                <w:rFonts w:cs="Arial"/>
                <w:b/>
                <w:sz w:val="16"/>
                <w:szCs w:val="16"/>
              </w:rPr>
              <w:t>DGI</w:t>
            </w:r>
          </w:p>
        </w:tc>
        <w:tc>
          <w:tcPr>
            <w:tcW w:w="730" w:type="pct"/>
            <w:tcBorders>
              <w:top w:val="single" w:sz="4" w:space="0" w:color="auto"/>
              <w:left w:val="single" w:sz="6" w:space="0" w:color="auto"/>
              <w:bottom w:val="single" w:sz="6" w:space="0" w:color="auto"/>
              <w:right w:val="single" w:sz="6" w:space="0" w:color="auto"/>
            </w:tcBorders>
            <w:shd w:val="clear" w:color="auto" w:fill="C00000"/>
            <w:hideMark/>
          </w:tcPr>
          <w:p w14:paraId="2ACA23CF" w14:textId="77777777" w:rsidR="00B97365" w:rsidRDefault="00000000">
            <w:pPr>
              <w:tabs>
                <w:tab w:val="left" w:pos="0"/>
              </w:tabs>
              <w:jc w:val="center"/>
              <w:rPr>
                <w:rFonts w:cs="Arial"/>
                <w:sz w:val="16"/>
                <w:szCs w:val="16"/>
              </w:rPr>
            </w:pPr>
            <w:r>
              <w:rPr>
                <w:rFonts w:cs="Arial"/>
                <w:b/>
                <w:sz w:val="16"/>
                <w:szCs w:val="16"/>
              </w:rPr>
              <w:t>Length</w:t>
            </w:r>
          </w:p>
        </w:tc>
        <w:tc>
          <w:tcPr>
            <w:tcW w:w="2959"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27CC7D2A" w14:textId="77777777" w:rsidR="00B97365" w:rsidRDefault="00000000">
            <w:pPr>
              <w:tabs>
                <w:tab w:val="left" w:pos="0"/>
              </w:tabs>
              <w:jc w:val="center"/>
              <w:rPr>
                <w:rFonts w:cs="Arial"/>
                <w:sz w:val="16"/>
                <w:szCs w:val="16"/>
              </w:rPr>
            </w:pPr>
            <w:r>
              <w:rPr>
                <w:rFonts w:cs="Arial"/>
                <w:b/>
                <w:sz w:val="16"/>
                <w:szCs w:val="16"/>
              </w:rPr>
              <w:t>Value Description</w:t>
            </w:r>
          </w:p>
        </w:tc>
        <w:tc>
          <w:tcPr>
            <w:tcW w:w="636" w:type="pct"/>
            <w:tcBorders>
              <w:top w:val="single" w:sz="4" w:space="0" w:color="auto"/>
              <w:left w:val="single" w:sz="6" w:space="0" w:color="auto"/>
              <w:bottom w:val="single" w:sz="6" w:space="0" w:color="auto"/>
              <w:right w:val="single" w:sz="4" w:space="0" w:color="auto"/>
            </w:tcBorders>
            <w:shd w:val="clear" w:color="auto" w:fill="C00000"/>
            <w:hideMark/>
          </w:tcPr>
          <w:p w14:paraId="6AEA7A3D" w14:textId="77777777" w:rsidR="00B97365" w:rsidRDefault="00000000">
            <w:pPr>
              <w:tabs>
                <w:tab w:val="left" w:pos="0"/>
              </w:tabs>
              <w:jc w:val="center"/>
              <w:rPr>
                <w:rFonts w:cs="Arial"/>
                <w:sz w:val="16"/>
                <w:szCs w:val="16"/>
              </w:rPr>
            </w:pPr>
            <w:r>
              <w:rPr>
                <w:rFonts w:cs="Arial"/>
                <w:b/>
                <w:sz w:val="16"/>
                <w:szCs w:val="16"/>
              </w:rPr>
              <w:t>MOC</w:t>
            </w:r>
          </w:p>
        </w:tc>
      </w:tr>
      <w:tr w:rsidR="00B97365" w14:paraId="0D522721" w14:textId="77777777">
        <w:trPr>
          <w:cantSplit/>
        </w:trPr>
        <w:tc>
          <w:tcPr>
            <w:tcW w:w="675" w:type="pct"/>
            <w:tcBorders>
              <w:top w:val="single" w:sz="6" w:space="0" w:color="auto"/>
              <w:left w:val="single" w:sz="4" w:space="0" w:color="auto"/>
              <w:bottom w:val="single" w:sz="6" w:space="0" w:color="auto"/>
              <w:right w:val="single" w:sz="6" w:space="0" w:color="auto"/>
            </w:tcBorders>
            <w:hideMark/>
          </w:tcPr>
          <w:p w14:paraId="4DA9F68D" w14:textId="77777777" w:rsidR="00B97365" w:rsidRDefault="00000000">
            <w:pPr>
              <w:rPr>
                <w:rFonts w:cs="Arial"/>
                <w:sz w:val="16"/>
                <w:szCs w:val="16"/>
              </w:rPr>
            </w:pPr>
            <w:r>
              <w:rPr>
                <w:rFonts w:cs="Arial"/>
                <w:sz w:val="16"/>
                <w:szCs w:val="16"/>
              </w:rPr>
              <w:t>'3A06'</w:t>
            </w:r>
          </w:p>
        </w:tc>
        <w:tc>
          <w:tcPr>
            <w:tcW w:w="730" w:type="pct"/>
            <w:tcBorders>
              <w:top w:val="single" w:sz="6" w:space="0" w:color="auto"/>
              <w:left w:val="single" w:sz="6" w:space="0" w:color="auto"/>
              <w:bottom w:val="single" w:sz="6" w:space="0" w:color="auto"/>
              <w:right w:val="single" w:sz="6" w:space="0" w:color="auto"/>
            </w:tcBorders>
            <w:hideMark/>
          </w:tcPr>
          <w:p w14:paraId="0C64643B" w14:textId="77777777" w:rsidR="00B97365" w:rsidRDefault="00000000">
            <w:pPr>
              <w:tabs>
                <w:tab w:val="left" w:pos="0"/>
              </w:tabs>
              <w:rPr>
                <w:rFonts w:cs="Arial"/>
                <w:sz w:val="16"/>
                <w:szCs w:val="16"/>
              </w:rPr>
            </w:pPr>
            <w:r>
              <w:rPr>
                <w:rFonts w:cs="Arial"/>
                <w:sz w:val="16"/>
                <w:szCs w:val="16"/>
              </w:rPr>
              <w:t>Var</w:t>
            </w:r>
          </w:p>
        </w:tc>
        <w:tc>
          <w:tcPr>
            <w:tcW w:w="2959" w:type="pct"/>
            <w:gridSpan w:val="3"/>
            <w:tcBorders>
              <w:top w:val="single" w:sz="6" w:space="0" w:color="auto"/>
              <w:left w:val="single" w:sz="6" w:space="0" w:color="auto"/>
              <w:bottom w:val="single" w:sz="6" w:space="0" w:color="auto"/>
              <w:right w:val="single" w:sz="6" w:space="0" w:color="auto"/>
            </w:tcBorders>
            <w:hideMark/>
          </w:tcPr>
          <w:p w14:paraId="0265D938" w14:textId="77777777" w:rsidR="00B97365" w:rsidRDefault="00000000">
            <w:pPr>
              <w:tabs>
                <w:tab w:val="left" w:pos="0"/>
              </w:tabs>
              <w:rPr>
                <w:rFonts w:cs="Arial"/>
                <w:sz w:val="16"/>
                <w:szCs w:val="16"/>
              </w:rPr>
            </w:pPr>
            <w:r>
              <w:rPr>
                <w:rFonts w:cs="Arial"/>
                <w:sz w:val="16"/>
                <w:szCs w:val="16"/>
              </w:rPr>
              <w:t>POL1 Policy Rules</w:t>
            </w:r>
          </w:p>
        </w:tc>
        <w:tc>
          <w:tcPr>
            <w:tcW w:w="636" w:type="pct"/>
            <w:tcBorders>
              <w:top w:val="single" w:sz="6" w:space="0" w:color="auto"/>
              <w:left w:val="single" w:sz="6" w:space="0" w:color="auto"/>
              <w:bottom w:val="single" w:sz="6" w:space="0" w:color="auto"/>
              <w:right w:val="single" w:sz="4" w:space="0" w:color="auto"/>
            </w:tcBorders>
            <w:hideMark/>
          </w:tcPr>
          <w:p w14:paraId="184AEC26" w14:textId="77777777" w:rsidR="00B97365" w:rsidRDefault="00000000">
            <w:pPr>
              <w:tabs>
                <w:tab w:val="left" w:pos="0"/>
              </w:tabs>
              <w:jc w:val="center"/>
              <w:rPr>
                <w:rFonts w:cs="Arial"/>
                <w:sz w:val="16"/>
                <w:szCs w:val="16"/>
              </w:rPr>
            </w:pPr>
            <w:r>
              <w:rPr>
                <w:rFonts w:cs="Arial"/>
                <w:sz w:val="16"/>
                <w:szCs w:val="16"/>
              </w:rPr>
              <w:t>M</w:t>
            </w:r>
          </w:p>
        </w:tc>
      </w:tr>
      <w:tr w:rsidR="00B97365" w14:paraId="6E9B3FE1" w14:textId="77777777">
        <w:trPr>
          <w:cantSplit/>
        </w:trPr>
        <w:tc>
          <w:tcPr>
            <w:tcW w:w="675" w:type="pct"/>
            <w:tcBorders>
              <w:top w:val="single" w:sz="6" w:space="0" w:color="auto"/>
              <w:left w:val="single" w:sz="4" w:space="0" w:color="auto"/>
              <w:bottom w:val="single" w:sz="6" w:space="0" w:color="auto"/>
              <w:right w:val="single" w:sz="6" w:space="0" w:color="auto"/>
            </w:tcBorders>
          </w:tcPr>
          <w:p w14:paraId="23B3E5BF" w14:textId="77777777" w:rsidR="00B97365" w:rsidRDefault="00B97365">
            <w:pPr>
              <w:rPr>
                <w:rFonts w:cs="Arial"/>
                <w:sz w:val="16"/>
                <w:szCs w:val="16"/>
              </w:rPr>
            </w:pPr>
          </w:p>
        </w:tc>
        <w:tc>
          <w:tcPr>
            <w:tcW w:w="730" w:type="pct"/>
            <w:tcBorders>
              <w:top w:val="single" w:sz="6" w:space="0" w:color="auto"/>
              <w:left w:val="single" w:sz="6" w:space="0" w:color="auto"/>
              <w:bottom w:val="single" w:sz="6" w:space="0" w:color="auto"/>
              <w:right w:val="single" w:sz="6" w:space="0" w:color="auto"/>
            </w:tcBorders>
          </w:tcPr>
          <w:p w14:paraId="4781922C" w14:textId="77777777" w:rsidR="00B97365" w:rsidRDefault="00B97365">
            <w:pPr>
              <w:rPr>
                <w:rFonts w:cs="Arial"/>
                <w:sz w:val="16"/>
                <w:szCs w:val="16"/>
              </w:rPr>
            </w:pPr>
          </w:p>
        </w:tc>
        <w:tc>
          <w:tcPr>
            <w:tcW w:w="632" w:type="pct"/>
            <w:tcBorders>
              <w:top w:val="single" w:sz="6" w:space="0" w:color="auto"/>
              <w:left w:val="single" w:sz="6" w:space="0" w:color="auto"/>
              <w:bottom w:val="single" w:sz="6" w:space="0" w:color="auto"/>
              <w:right w:val="single" w:sz="6" w:space="0" w:color="auto"/>
            </w:tcBorders>
            <w:shd w:val="clear" w:color="auto" w:fill="C00000"/>
            <w:hideMark/>
          </w:tcPr>
          <w:p w14:paraId="50D18E41" w14:textId="77777777" w:rsidR="00B97365" w:rsidRDefault="00000000">
            <w:pPr>
              <w:tabs>
                <w:tab w:val="left" w:pos="0"/>
              </w:tabs>
              <w:jc w:val="center"/>
              <w:rPr>
                <w:rFonts w:cs="Arial"/>
                <w:sz w:val="16"/>
                <w:szCs w:val="16"/>
              </w:rPr>
            </w:pPr>
            <w:r>
              <w:rPr>
                <w:rFonts w:cs="Arial"/>
                <w:b/>
                <w:sz w:val="16"/>
                <w:szCs w:val="16"/>
              </w:rPr>
              <w:t>Tag</w:t>
            </w:r>
          </w:p>
        </w:tc>
        <w:tc>
          <w:tcPr>
            <w:tcW w:w="857" w:type="pct"/>
            <w:tcBorders>
              <w:top w:val="single" w:sz="6" w:space="0" w:color="auto"/>
              <w:left w:val="single" w:sz="6" w:space="0" w:color="auto"/>
              <w:bottom w:val="single" w:sz="6" w:space="0" w:color="auto"/>
              <w:right w:val="single" w:sz="6" w:space="0" w:color="auto"/>
            </w:tcBorders>
            <w:shd w:val="clear" w:color="auto" w:fill="C00000"/>
            <w:hideMark/>
          </w:tcPr>
          <w:p w14:paraId="124B3F83" w14:textId="77777777" w:rsidR="00B97365" w:rsidRDefault="00000000">
            <w:pPr>
              <w:tabs>
                <w:tab w:val="left" w:pos="59"/>
              </w:tabs>
              <w:jc w:val="center"/>
              <w:rPr>
                <w:rFonts w:cs="Arial"/>
                <w:sz w:val="16"/>
                <w:szCs w:val="16"/>
              </w:rPr>
            </w:pPr>
            <w:r>
              <w:rPr>
                <w:rFonts w:cs="Arial"/>
                <w:b/>
                <w:sz w:val="16"/>
                <w:szCs w:val="16"/>
              </w:rPr>
              <w:t>Length</w:t>
            </w:r>
          </w:p>
        </w:tc>
        <w:tc>
          <w:tcPr>
            <w:tcW w:w="1470" w:type="pct"/>
            <w:tcBorders>
              <w:top w:val="single" w:sz="6" w:space="0" w:color="auto"/>
              <w:left w:val="single" w:sz="6" w:space="0" w:color="auto"/>
              <w:bottom w:val="single" w:sz="6" w:space="0" w:color="auto"/>
              <w:right w:val="single" w:sz="6" w:space="0" w:color="auto"/>
            </w:tcBorders>
            <w:shd w:val="clear" w:color="auto" w:fill="C00000"/>
            <w:hideMark/>
          </w:tcPr>
          <w:p w14:paraId="6BD04DA5" w14:textId="77777777" w:rsidR="00B97365" w:rsidRDefault="00000000">
            <w:pPr>
              <w:tabs>
                <w:tab w:val="left" w:pos="0"/>
              </w:tabs>
              <w:jc w:val="center"/>
              <w:rPr>
                <w:rFonts w:cs="Arial"/>
                <w:sz w:val="16"/>
                <w:szCs w:val="16"/>
              </w:rPr>
            </w:pPr>
            <w:r>
              <w:rPr>
                <w:rFonts w:cs="Arial"/>
                <w:b/>
                <w:sz w:val="16"/>
                <w:szCs w:val="16"/>
              </w:rPr>
              <w:t>Value Description</w:t>
            </w:r>
          </w:p>
        </w:tc>
        <w:tc>
          <w:tcPr>
            <w:tcW w:w="636" w:type="pct"/>
            <w:tcBorders>
              <w:top w:val="single" w:sz="6" w:space="0" w:color="auto"/>
              <w:left w:val="single" w:sz="6" w:space="0" w:color="auto"/>
              <w:bottom w:val="single" w:sz="6" w:space="0" w:color="auto"/>
              <w:right w:val="single" w:sz="4" w:space="0" w:color="auto"/>
            </w:tcBorders>
            <w:shd w:val="clear" w:color="auto" w:fill="C00000"/>
            <w:hideMark/>
          </w:tcPr>
          <w:p w14:paraId="313F909A" w14:textId="77777777" w:rsidR="00B97365" w:rsidRDefault="00000000">
            <w:pPr>
              <w:jc w:val="center"/>
              <w:rPr>
                <w:rFonts w:cs="Arial"/>
                <w:sz w:val="16"/>
                <w:szCs w:val="16"/>
              </w:rPr>
            </w:pPr>
            <w:r>
              <w:rPr>
                <w:rFonts w:cs="Arial"/>
                <w:b/>
                <w:sz w:val="16"/>
                <w:szCs w:val="16"/>
              </w:rPr>
              <w:t>MOC</w:t>
            </w:r>
          </w:p>
        </w:tc>
      </w:tr>
      <w:tr w:rsidR="00B97365" w14:paraId="1F09FF51" w14:textId="77777777">
        <w:trPr>
          <w:cantSplit/>
        </w:trPr>
        <w:tc>
          <w:tcPr>
            <w:tcW w:w="675" w:type="pct"/>
            <w:tcBorders>
              <w:top w:val="single" w:sz="6" w:space="0" w:color="auto"/>
              <w:left w:val="single" w:sz="4" w:space="0" w:color="auto"/>
              <w:bottom w:val="single" w:sz="4" w:space="0" w:color="auto"/>
              <w:right w:val="single" w:sz="6" w:space="0" w:color="auto"/>
            </w:tcBorders>
          </w:tcPr>
          <w:p w14:paraId="54EE9612" w14:textId="77777777" w:rsidR="00B97365" w:rsidRDefault="00B97365">
            <w:pPr>
              <w:rPr>
                <w:rFonts w:cs="Arial"/>
                <w:sz w:val="16"/>
                <w:szCs w:val="16"/>
              </w:rPr>
            </w:pPr>
          </w:p>
        </w:tc>
        <w:tc>
          <w:tcPr>
            <w:tcW w:w="730" w:type="pct"/>
            <w:tcBorders>
              <w:top w:val="single" w:sz="6" w:space="0" w:color="auto"/>
              <w:left w:val="single" w:sz="6" w:space="0" w:color="auto"/>
              <w:bottom w:val="single" w:sz="4" w:space="0" w:color="auto"/>
              <w:right w:val="single" w:sz="6" w:space="0" w:color="auto"/>
            </w:tcBorders>
          </w:tcPr>
          <w:p w14:paraId="600009C7" w14:textId="77777777" w:rsidR="00B97365" w:rsidRDefault="00B97365">
            <w:pPr>
              <w:rPr>
                <w:rFonts w:cs="Arial"/>
                <w:sz w:val="16"/>
                <w:szCs w:val="16"/>
              </w:rPr>
            </w:pPr>
          </w:p>
        </w:tc>
        <w:tc>
          <w:tcPr>
            <w:tcW w:w="632" w:type="pct"/>
            <w:tcBorders>
              <w:top w:val="single" w:sz="6" w:space="0" w:color="auto"/>
              <w:left w:val="single" w:sz="6" w:space="0" w:color="auto"/>
              <w:bottom w:val="single" w:sz="4" w:space="0" w:color="auto"/>
              <w:right w:val="single" w:sz="6" w:space="0" w:color="auto"/>
            </w:tcBorders>
            <w:hideMark/>
          </w:tcPr>
          <w:p w14:paraId="7C83FDF1" w14:textId="77777777" w:rsidR="00B97365" w:rsidRDefault="00000000">
            <w:pPr>
              <w:tabs>
                <w:tab w:val="left" w:pos="0"/>
              </w:tabs>
              <w:jc w:val="center"/>
              <w:rPr>
                <w:rFonts w:cs="Arial"/>
                <w:sz w:val="16"/>
                <w:szCs w:val="16"/>
              </w:rPr>
            </w:pPr>
            <w:r>
              <w:rPr>
                <w:rFonts w:cs="Arial"/>
                <w:sz w:val="16"/>
                <w:szCs w:val="16"/>
              </w:rPr>
              <w:t>'81'</w:t>
            </w:r>
          </w:p>
        </w:tc>
        <w:tc>
          <w:tcPr>
            <w:tcW w:w="857" w:type="pct"/>
            <w:tcBorders>
              <w:top w:val="single" w:sz="6" w:space="0" w:color="auto"/>
              <w:left w:val="single" w:sz="6" w:space="0" w:color="auto"/>
              <w:bottom w:val="single" w:sz="4" w:space="0" w:color="auto"/>
              <w:right w:val="single" w:sz="6" w:space="0" w:color="auto"/>
            </w:tcBorders>
            <w:hideMark/>
          </w:tcPr>
          <w:p w14:paraId="6EB200E8" w14:textId="77777777" w:rsidR="00B97365" w:rsidRDefault="00000000">
            <w:pPr>
              <w:tabs>
                <w:tab w:val="left" w:pos="0"/>
              </w:tabs>
              <w:jc w:val="center"/>
              <w:rPr>
                <w:rFonts w:cs="Arial"/>
                <w:sz w:val="16"/>
                <w:szCs w:val="16"/>
              </w:rPr>
            </w:pPr>
            <w:r>
              <w:rPr>
                <w:rFonts w:cs="Arial"/>
                <w:sz w:val="16"/>
                <w:szCs w:val="16"/>
              </w:rPr>
              <w:t>'01'</w:t>
            </w:r>
          </w:p>
        </w:tc>
        <w:tc>
          <w:tcPr>
            <w:tcW w:w="1470" w:type="pct"/>
            <w:tcBorders>
              <w:top w:val="single" w:sz="6" w:space="0" w:color="auto"/>
              <w:left w:val="single" w:sz="6" w:space="0" w:color="auto"/>
              <w:bottom w:val="single" w:sz="4" w:space="0" w:color="auto"/>
              <w:right w:val="single" w:sz="6" w:space="0" w:color="auto"/>
            </w:tcBorders>
            <w:hideMark/>
          </w:tcPr>
          <w:p w14:paraId="3DD9B5F3" w14:textId="77777777" w:rsidR="00B97365" w:rsidRDefault="00000000">
            <w:pPr>
              <w:tabs>
                <w:tab w:val="left" w:pos="0"/>
              </w:tabs>
              <w:jc w:val="center"/>
              <w:rPr>
                <w:rFonts w:cs="Arial"/>
                <w:sz w:val="16"/>
                <w:szCs w:val="16"/>
              </w:rPr>
            </w:pPr>
            <w:r>
              <w:rPr>
                <w:rFonts w:cs="Arial"/>
                <w:sz w:val="16"/>
                <w:szCs w:val="16"/>
              </w:rPr>
              <w:t>New POL1</w:t>
            </w:r>
          </w:p>
        </w:tc>
        <w:tc>
          <w:tcPr>
            <w:tcW w:w="636" w:type="pct"/>
            <w:tcBorders>
              <w:top w:val="single" w:sz="6" w:space="0" w:color="auto"/>
              <w:left w:val="single" w:sz="6" w:space="0" w:color="auto"/>
              <w:bottom w:val="single" w:sz="4" w:space="0" w:color="auto"/>
              <w:right w:val="single" w:sz="4" w:space="0" w:color="auto"/>
            </w:tcBorders>
            <w:hideMark/>
          </w:tcPr>
          <w:p w14:paraId="6425F3E2" w14:textId="77777777" w:rsidR="00B97365" w:rsidRDefault="00000000">
            <w:pPr>
              <w:tabs>
                <w:tab w:val="left" w:pos="13"/>
              </w:tabs>
              <w:jc w:val="center"/>
              <w:rPr>
                <w:rFonts w:cs="Arial"/>
                <w:sz w:val="16"/>
                <w:szCs w:val="16"/>
              </w:rPr>
            </w:pPr>
            <w:r>
              <w:rPr>
                <w:rFonts w:cs="Arial"/>
                <w:sz w:val="16"/>
                <w:szCs w:val="16"/>
              </w:rPr>
              <w:t>M</w:t>
            </w:r>
          </w:p>
        </w:tc>
      </w:tr>
    </w:tbl>
    <w:p w14:paraId="5D949493"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POL1 Update Data Field</w:t>
      </w:r>
    </w:p>
    <w:p w14:paraId="2814B68D" w14:textId="77777777" w:rsidR="00B97365" w:rsidRDefault="00000000">
      <w:pPr>
        <w:spacing w:before="0" w:after="200" w:line="276" w:lineRule="auto"/>
        <w:jc w:val="left"/>
        <w:rPr>
          <w:rFonts w:eastAsia="Times New Roman" w:cs="Arial"/>
          <w:b/>
          <w:i/>
          <w:sz w:val="20"/>
          <w:lang w:eastAsia="en-GB" w:bidi="ar-SA"/>
        </w:rPr>
      </w:pPr>
      <w:bookmarkStart w:id="2595" w:name="_Toc420594621"/>
      <w:r>
        <w:rPr>
          <w:rFonts w:eastAsia="Calibri" w:cs="Arial"/>
          <w:b/>
          <w:i/>
          <w:sz w:val="20"/>
          <w:lang w:eastAsia="en-US" w:bidi="ar-SA"/>
        </w:rPr>
        <w:t>POL1</w:t>
      </w:r>
      <w:r>
        <w:rPr>
          <w:rFonts w:eastAsia="Times New Roman" w:cs="Arial"/>
          <w:b/>
          <w:i/>
          <w:sz w:val="20"/>
          <w:lang w:eastAsia="en-GB" w:bidi="ar-SA"/>
        </w:rPr>
        <w:t xml:space="preserve"> coding</w:t>
      </w:r>
      <w:bookmarkEnd w:id="2595"/>
    </w:p>
    <w:tbl>
      <w:tblPr>
        <w:tblW w:w="724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947"/>
        <w:gridCol w:w="876"/>
        <w:gridCol w:w="646"/>
        <w:gridCol w:w="646"/>
        <w:gridCol w:w="646"/>
        <w:gridCol w:w="646"/>
        <w:gridCol w:w="876"/>
        <w:gridCol w:w="876"/>
        <w:gridCol w:w="1085"/>
      </w:tblGrid>
      <w:tr w:rsidR="00B97365" w14:paraId="341A3BC3" w14:textId="77777777">
        <w:trPr>
          <w:tblHeader/>
          <w:jc w:val="center"/>
        </w:trPr>
        <w:tc>
          <w:tcPr>
            <w:tcW w:w="948"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DAC0F52" w14:textId="77777777" w:rsidR="00B97365" w:rsidRDefault="00000000">
            <w:pPr>
              <w:jc w:val="center"/>
              <w:rPr>
                <w:rFonts w:cs="Arial"/>
                <w:sz w:val="16"/>
                <w:szCs w:val="16"/>
              </w:rPr>
            </w:pPr>
            <w:r>
              <w:rPr>
                <w:rFonts w:cs="Arial"/>
                <w:b/>
                <w:sz w:val="16"/>
                <w:szCs w:val="16"/>
              </w:rPr>
              <w:lastRenderedPageBreak/>
              <w:t>b8</w:t>
            </w:r>
          </w:p>
        </w:tc>
        <w:tc>
          <w:tcPr>
            <w:tcW w:w="87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CD49D4D" w14:textId="77777777" w:rsidR="00B97365" w:rsidRDefault="00000000">
            <w:pPr>
              <w:jc w:val="center"/>
              <w:rPr>
                <w:rFonts w:cs="Arial"/>
                <w:sz w:val="16"/>
                <w:szCs w:val="16"/>
              </w:rPr>
            </w:pPr>
            <w:r>
              <w:rPr>
                <w:rFonts w:cs="Arial"/>
                <w:b/>
                <w:sz w:val="16"/>
                <w:szCs w:val="16"/>
              </w:rPr>
              <w:t>b7</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3A344A6" w14:textId="77777777" w:rsidR="00B97365" w:rsidRDefault="00000000">
            <w:pPr>
              <w:jc w:val="center"/>
              <w:rPr>
                <w:rFonts w:cs="Arial"/>
                <w:sz w:val="16"/>
                <w:szCs w:val="16"/>
              </w:rPr>
            </w:pPr>
            <w:r>
              <w:rPr>
                <w:rFonts w:cs="Arial"/>
                <w:b/>
                <w:sz w:val="16"/>
                <w:szCs w:val="16"/>
              </w:rPr>
              <w:t>b6</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98D7E8E" w14:textId="77777777" w:rsidR="00B97365" w:rsidRDefault="00000000">
            <w:pPr>
              <w:jc w:val="center"/>
              <w:rPr>
                <w:rFonts w:cs="Arial"/>
                <w:sz w:val="16"/>
                <w:szCs w:val="16"/>
              </w:rPr>
            </w:pPr>
            <w:r>
              <w:rPr>
                <w:rFonts w:cs="Arial"/>
                <w:b/>
                <w:sz w:val="16"/>
                <w:szCs w:val="16"/>
              </w:rPr>
              <w:t>b5</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43CD6CB" w14:textId="77777777" w:rsidR="00B97365" w:rsidRDefault="00000000">
            <w:pPr>
              <w:jc w:val="center"/>
              <w:rPr>
                <w:rFonts w:cs="Arial"/>
                <w:sz w:val="16"/>
                <w:szCs w:val="16"/>
              </w:rPr>
            </w:pPr>
            <w:r>
              <w:rPr>
                <w:rFonts w:cs="Arial"/>
                <w:b/>
                <w:sz w:val="16"/>
                <w:szCs w:val="16"/>
              </w:rPr>
              <w:t>b4</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D08EEFB" w14:textId="77777777" w:rsidR="00B97365" w:rsidRDefault="00000000">
            <w:pPr>
              <w:jc w:val="center"/>
              <w:rPr>
                <w:rFonts w:cs="Arial"/>
                <w:sz w:val="16"/>
                <w:szCs w:val="16"/>
              </w:rPr>
            </w:pPr>
            <w:r>
              <w:rPr>
                <w:rFonts w:cs="Arial"/>
                <w:b/>
                <w:sz w:val="16"/>
                <w:szCs w:val="16"/>
              </w:rPr>
              <w:t>b3</w:t>
            </w:r>
          </w:p>
        </w:tc>
        <w:tc>
          <w:tcPr>
            <w:tcW w:w="87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C4E6BA" w14:textId="77777777" w:rsidR="00B97365" w:rsidRDefault="00000000">
            <w:pPr>
              <w:jc w:val="center"/>
              <w:rPr>
                <w:rFonts w:cs="Arial"/>
                <w:sz w:val="16"/>
                <w:szCs w:val="16"/>
              </w:rPr>
            </w:pPr>
            <w:r>
              <w:rPr>
                <w:rFonts w:cs="Arial"/>
                <w:b/>
                <w:sz w:val="16"/>
                <w:szCs w:val="16"/>
              </w:rPr>
              <w:t>b2</w:t>
            </w:r>
          </w:p>
        </w:tc>
        <w:tc>
          <w:tcPr>
            <w:tcW w:w="87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ED45BB6" w14:textId="77777777" w:rsidR="00B97365" w:rsidRDefault="00000000">
            <w:pPr>
              <w:jc w:val="center"/>
              <w:rPr>
                <w:rFonts w:cs="Arial"/>
                <w:sz w:val="16"/>
                <w:szCs w:val="16"/>
              </w:rPr>
            </w:pPr>
            <w:r>
              <w:rPr>
                <w:rFonts w:cs="Arial"/>
                <w:b/>
                <w:sz w:val="16"/>
                <w:szCs w:val="16"/>
              </w:rPr>
              <w:t>b1</w:t>
            </w:r>
          </w:p>
        </w:tc>
        <w:tc>
          <w:tcPr>
            <w:tcW w:w="162"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3CF55C5" w14:textId="77777777" w:rsidR="00B97365" w:rsidRDefault="00000000">
            <w:pPr>
              <w:jc w:val="center"/>
              <w:rPr>
                <w:rFonts w:cs="Arial"/>
                <w:sz w:val="16"/>
                <w:szCs w:val="16"/>
              </w:rPr>
            </w:pPr>
            <w:r>
              <w:rPr>
                <w:rFonts w:cs="Arial"/>
                <w:b/>
                <w:sz w:val="16"/>
                <w:szCs w:val="16"/>
              </w:rPr>
              <w:t>Meaning</w:t>
            </w:r>
          </w:p>
        </w:tc>
      </w:tr>
      <w:tr w:rsidR="00B97365" w14:paraId="4E1D45C9" w14:textId="77777777">
        <w:trPr>
          <w:tblHeader/>
          <w:jc w:val="center"/>
        </w:trPr>
        <w:tc>
          <w:tcPr>
            <w:tcW w:w="948" w:type="dxa"/>
            <w:tcBorders>
              <w:top w:val="single" w:sz="6" w:space="0" w:color="auto"/>
              <w:left w:val="single" w:sz="4" w:space="0" w:color="auto"/>
              <w:bottom w:val="single" w:sz="6" w:space="0" w:color="auto"/>
              <w:right w:val="single" w:sz="6" w:space="0" w:color="auto"/>
            </w:tcBorders>
            <w:hideMark/>
          </w:tcPr>
          <w:p w14:paraId="6D736F78" w14:textId="77777777" w:rsidR="00B97365" w:rsidRDefault="00000000">
            <w:pPr>
              <w:rPr>
                <w:rFonts w:cs="Arial"/>
                <w:sz w:val="16"/>
                <w:szCs w:val="16"/>
              </w:rPr>
            </w:pPr>
            <w:r>
              <w:rPr>
                <w:rFonts w:cs="Arial"/>
                <w:sz w:val="16"/>
                <w:szCs w:val="16"/>
              </w:rPr>
              <w:t>-</w:t>
            </w:r>
          </w:p>
        </w:tc>
        <w:tc>
          <w:tcPr>
            <w:tcW w:w="877" w:type="dxa"/>
            <w:tcBorders>
              <w:top w:val="single" w:sz="6" w:space="0" w:color="auto"/>
              <w:left w:val="single" w:sz="6" w:space="0" w:color="auto"/>
              <w:bottom w:val="single" w:sz="6" w:space="0" w:color="auto"/>
              <w:right w:val="single" w:sz="6" w:space="0" w:color="auto"/>
            </w:tcBorders>
            <w:hideMark/>
          </w:tcPr>
          <w:p w14:paraId="00884150" w14:textId="77777777" w:rsidR="00B97365" w:rsidRDefault="00000000">
            <w:pPr>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63E5123" w14:textId="77777777" w:rsidR="00B97365" w:rsidRDefault="00000000">
            <w:pPr>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FBB729A" w14:textId="77777777" w:rsidR="00B97365" w:rsidRDefault="00000000">
            <w:pPr>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5283679" w14:textId="77777777" w:rsidR="00B97365" w:rsidRDefault="00000000">
            <w:pPr>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2BEA72C" w14:textId="77777777" w:rsidR="00B97365" w:rsidRDefault="00000000">
            <w:pPr>
              <w:rPr>
                <w:rFonts w:cs="Arial"/>
                <w:sz w:val="16"/>
                <w:szCs w:val="16"/>
              </w:rPr>
            </w:pPr>
            <w:r>
              <w:rPr>
                <w:rFonts w:cs="Arial"/>
                <w:sz w:val="16"/>
                <w:szCs w:val="16"/>
              </w:rPr>
              <w:t>0</w:t>
            </w:r>
          </w:p>
        </w:tc>
        <w:tc>
          <w:tcPr>
            <w:tcW w:w="876" w:type="dxa"/>
            <w:tcBorders>
              <w:top w:val="single" w:sz="6" w:space="0" w:color="auto"/>
              <w:left w:val="single" w:sz="6" w:space="0" w:color="auto"/>
              <w:bottom w:val="single" w:sz="6" w:space="0" w:color="auto"/>
              <w:right w:val="single" w:sz="6" w:space="0" w:color="auto"/>
            </w:tcBorders>
            <w:hideMark/>
          </w:tcPr>
          <w:p w14:paraId="072011BD" w14:textId="77777777" w:rsidR="00B97365" w:rsidRDefault="00000000">
            <w:pPr>
              <w:rPr>
                <w:rFonts w:cs="Arial"/>
                <w:sz w:val="16"/>
                <w:szCs w:val="16"/>
              </w:rPr>
            </w:pPr>
            <w:r>
              <w:rPr>
                <w:rFonts w:cs="Arial"/>
                <w:sz w:val="16"/>
                <w:szCs w:val="16"/>
              </w:rPr>
              <w:t>0</w:t>
            </w:r>
          </w:p>
        </w:tc>
        <w:tc>
          <w:tcPr>
            <w:tcW w:w="876" w:type="dxa"/>
            <w:tcBorders>
              <w:top w:val="single" w:sz="6" w:space="0" w:color="auto"/>
              <w:left w:val="single" w:sz="6" w:space="0" w:color="auto"/>
              <w:bottom w:val="single" w:sz="6" w:space="0" w:color="auto"/>
              <w:right w:val="single" w:sz="6" w:space="0" w:color="auto"/>
            </w:tcBorders>
            <w:hideMark/>
          </w:tcPr>
          <w:p w14:paraId="74552F76" w14:textId="77777777" w:rsidR="00B97365" w:rsidRDefault="00000000">
            <w:pPr>
              <w:rPr>
                <w:rFonts w:cs="Arial"/>
                <w:sz w:val="16"/>
                <w:szCs w:val="16"/>
              </w:rPr>
            </w:pPr>
            <w:r>
              <w:rPr>
                <w:rFonts w:cs="Arial"/>
                <w:sz w:val="16"/>
                <w:szCs w:val="16"/>
              </w:rPr>
              <w:t>0</w:t>
            </w:r>
          </w:p>
        </w:tc>
        <w:tc>
          <w:tcPr>
            <w:tcW w:w="162" w:type="dxa"/>
            <w:tcBorders>
              <w:top w:val="single" w:sz="6" w:space="0" w:color="auto"/>
              <w:left w:val="single" w:sz="6" w:space="0" w:color="auto"/>
              <w:bottom w:val="single" w:sz="6" w:space="0" w:color="auto"/>
              <w:right w:val="single" w:sz="4" w:space="0" w:color="auto"/>
            </w:tcBorders>
            <w:vAlign w:val="center"/>
            <w:hideMark/>
          </w:tcPr>
          <w:p w14:paraId="030ABDBA" w14:textId="77777777" w:rsidR="00B97365" w:rsidRDefault="00000000">
            <w:pPr>
              <w:jc w:val="left"/>
              <w:rPr>
                <w:rFonts w:cs="Arial"/>
                <w:sz w:val="16"/>
                <w:szCs w:val="16"/>
              </w:rPr>
            </w:pPr>
            <w:r>
              <w:rPr>
                <w:rFonts w:cs="Arial"/>
                <w:bCs/>
                <w:sz w:val="16"/>
                <w:szCs w:val="16"/>
              </w:rPr>
              <w:t>No POL1 rule active</w:t>
            </w:r>
          </w:p>
        </w:tc>
      </w:tr>
      <w:tr w:rsidR="00B97365" w14:paraId="07DBEDDD" w14:textId="77777777">
        <w:trPr>
          <w:tblHeader/>
          <w:jc w:val="center"/>
        </w:trPr>
        <w:tc>
          <w:tcPr>
            <w:tcW w:w="948" w:type="dxa"/>
            <w:tcBorders>
              <w:top w:val="single" w:sz="6" w:space="0" w:color="auto"/>
              <w:left w:val="single" w:sz="4" w:space="0" w:color="auto"/>
              <w:bottom w:val="single" w:sz="6" w:space="0" w:color="auto"/>
              <w:right w:val="single" w:sz="6" w:space="0" w:color="auto"/>
            </w:tcBorders>
            <w:hideMark/>
          </w:tcPr>
          <w:p w14:paraId="540B1938" w14:textId="77777777" w:rsidR="00B97365" w:rsidRDefault="00000000">
            <w:pPr>
              <w:rPr>
                <w:rFonts w:cs="Arial"/>
                <w:b/>
                <w:sz w:val="16"/>
                <w:szCs w:val="16"/>
              </w:rPr>
            </w:pPr>
            <w:r>
              <w:rPr>
                <w:rFonts w:cs="Arial"/>
                <w:sz w:val="16"/>
                <w:szCs w:val="16"/>
              </w:rPr>
              <w:t>-</w:t>
            </w:r>
          </w:p>
        </w:tc>
        <w:tc>
          <w:tcPr>
            <w:tcW w:w="877" w:type="dxa"/>
            <w:tcBorders>
              <w:top w:val="single" w:sz="6" w:space="0" w:color="auto"/>
              <w:left w:val="single" w:sz="6" w:space="0" w:color="auto"/>
              <w:bottom w:val="single" w:sz="6" w:space="0" w:color="auto"/>
              <w:right w:val="single" w:sz="6" w:space="0" w:color="auto"/>
            </w:tcBorders>
            <w:hideMark/>
          </w:tcPr>
          <w:p w14:paraId="48D36B16"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1BFFA7D"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CF982E5"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B1F8434"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31F7FDB" w14:textId="77777777" w:rsidR="00B97365" w:rsidRDefault="00000000">
            <w:pPr>
              <w:rPr>
                <w:rFonts w:cs="Arial"/>
                <w:b/>
                <w:sz w:val="16"/>
                <w:szCs w:val="16"/>
              </w:rPr>
            </w:pPr>
            <w:r>
              <w:rPr>
                <w:rFonts w:cs="Arial"/>
                <w:sz w:val="16"/>
                <w:szCs w:val="16"/>
              </w:rPr>
              <w:t>0</w:t>
            </w:r>
          </w:p>
        </w:tc>
        <w:tc>
          <w:tcPr>
            <w:tcW w:w="876" w:type="dxa"/>
            <w:tcBorders>
              <w:top w:val="single" w:sz="6" w:space="0" w:color="auto"/>
              <w:left w:val="single" w:sz="6" w:space="0" w:color="auto"/>
              <w:bottom w:val="single" w:sz="6" w:space="0" w:color="auto"/>
              <w:right w:val="single" w:sz="6" w:space="0" w:color="auto"/>
            </w:tcBorders>
            <w:hideMark/>
          </w:tcPr>
          <w:p w14:paraId="2A78BA8B" w14:textId="77777777" w:rsidR="00B97365" w:rsidRDefault="00000000">
            <w:pPr>
              <w:rPr>
                <w:rFonts w:cs="Arial"/>
                <w:b/>
                <w:sz w:val="16"/>
                <w:szCs w:val="16"/>
              </w:rPr>
            </w:pPr>
            <w:r>
              <w:rPr>
                <w:rFonts w:cs="Arial"/>
                <w:sz w:val="16"/>
                <w:szCs w:val="16"/>
              </w:rPr>
              <w:t>-</w:t>
            </w:r>
          </w:p>
        </w:tc>
        <w:tc>
          <w:tcPr>
            <w:tcW w:w="876" w:type="dxa"/>
            <w:tcBorders>
              <w:top w:val="single" w:sz="6" w:space="0" w:color="auto"/>
              <w:left w:val="single" w:sz="6" w:space="0" w:color="auto"/>
              <w:bottom w:val="single" w:sz="6" w:space="0" w:color="auto"/>
              <w:right w:val="single" w:sz="6" w:space="0" w:color="auto"/>
            </w:tcBorders>
            <w:hideMark/>
          </w:tcPr>
          <w:p w14:paraId="749932FF" w14:textId="77777777" w:rsidR="00B97365" w:rsidRDefault="00000000">
            <w:pPr>
              <w:rPr>
                <w:rFonts w:cs="Arial"/>
                <w:b/>
                <w:sz w:val="16"/>
                <w:szCs w:val="16"/>
              </w:rPr>
            </w:pPr>
            <w:r>
              <w:rPr>
                <w:rFonts w:cs="Arial"/>
                <w:sz w:val="16"/>
                <w:szCs w:val="16"/>
              </w:rPr>
              <w:t>1</w:t>
            </w:r>
          </w:p>
        </w:tc>
        <w:tc>
          <w:tcPr>
            <w:tcW w:w="162" w:type="dxa"/>
            <w:tcBorders>
              <w:top w:val="single" w:sz="6" w:space="0" w:color="auto"/>
              <w:left w:val="single" w:sz="6" w:space="0" w:color="auto"/>
              <w:bottom w:val="single" w:sz="6" w:space="0" w:color="auto"/>
              <w:right w:val="single" w:sz="4" w:space="0" w:color="auto"/>
            </w:tcBorders>
            <w:vAlign w:val="center"/>
            <w:hideMark/>
          </w:tcPr>
          <w:p w14:paraId="34464BEF" w14:textId="77777777" w:rsidR="00B97365" w:rsidRDefault="00000000">
            <w:pPr>
              <w:jc w:val="left"/>
              <w:rPr>
                <w:rFonts w:cs="Arial"/>
                <w:b/>
                <w:sz w:val="16"/>
                <w:szCs w:val="16"/>
              </w:rPr>
            </w:pPr>
            <w:r>
              <w:rPr>
                <w:rFonts w:cs="Arial"/>
                <w:sz w:val="16"/>
                <w:szCs w:val="16"/>
              </w:rPr>
              <w:t>Disabling of this Profile not allowed</w:t>
            </w:r>
          </w:p>
        </w:tc>
      </w:tr>
      <w:tr w:rsidR="00B97365" w14:paraId="3B5BF6EC" w14:textId="77777777">
        <w:trPr>
          <w:tblHeader/>
          <w:jc w:val="center"/>
        </w:trPr>
        <w:tc>
          <w:tcPr>
            <w:tcW w:w="948" w:type="dxa"/>
            <w:tcBorders>
              <w:top w:val="single" w:sz="6" w:space="0" w:color="auto"/>
              <w:left w:val="single" w:sz="4" w:space="0" w:color="auto"/>
              <w:bottom w:val="single" w:sz="6" w:space="0" w:color="auto"/>
              <w:right w:val="single" w:sz="6" w:space="0" w:color="auto"/>
            </w:tcBorders>
            <w:hideMark/>
          </w:tcPr>
          <w:p w14:paraId="1B40E931" w14:textId="77777777" w:rsidR="00B97365" w:rsidRDefault="00000000">
            <w:pPr>
              <w:rPr>
                <w:rFonts w:cs="Arial"/>
                <w:b/>
                <w:sz w:val="16"/>
                <w:szCs w:val="16"/>
              </w:rPr>
            </w:pPr>
            <w:r>
              <w:rPr>
                <w:rFonts w:cs="Arial"/>
                <w:sz w:val="16"/>
                <w:szCs w:val="16"/>
              </w:rPr>
              <w:t>-</w:t>
            </w:r>
          </w:p>
        </w:tc>
        <w:tc>
          <w:tcPr>
            <w:tcW w:w="877" w:type="dxa"/>
            <w:tcBorders>
              <w:top w:val="single" w:sz="6" w:space="0" w:color="auto"/>
              <w:left w:val="single" w:sz="6" w:space="0" w:color="auto"/>
              <w:bottom w:val="single" w:sz="6" w:space="0" w:color="auto"/>
              <w:right w:val="single" w:sz="6" w:space="0" w:color="auto"/>
            </w:tcBorders>
            <w:hideMark/>
          </w:tcPr>
          <w:p w14:paraId="243EAF3B"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3D52747"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3509526"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576C225"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80302A5" w14:textId="77777777" w:rsidR="00B97365" w:rsidRDefault="00000000">
            <w:pPr>
              <w:rPr>
                <w:rFonts w:cs="Arial"/>
                <w:b/>
                <w:sz w:val="16"/>
                <w:szCs w:val="16"/>
              </w:rPr>
            </w:pPr>
            <w:r>
              <w:rPr>
                <w:rFonts w:cs="Arial"/>
                <w:sz w:val="16"/>
                <w:szCs w:val="16"/>
              </w:rPr>
              <w:t>0</w:t>
            </w:r>
          </w:p>
        </w:tc>
        <w:tc>
          <w:tcPr>
            <w:tcW w:w="876" w:type="dxa"/>
            <w:tcBorders>
              <w:top w:val="single" w:sz="6" w:space="0" w:color="auto"/>
              <w:left w:val="single" w:sz="6" w:space="0" w:color="auto"/>
              <w:bottom w:val="single" w:sz="6" w:space="0" w:color="auto"/>
              <w:right w:val="single" w:sz="6" w:space="0" w:color="auto"/>
            </w:tcBorders>
            <w:hideMark/>
          </w:tcPr>
          <w:p w14:paraId="568961DC" w14:textId="77777777" w:rsidR="00B97365" w:rsidRDefault="00000000">
            <w:pPr>
              <w:rPr>
                <w:rFonts w:cs="Arial"/>
                <w:b/>
                <w:sz w:val="16"/>
                <w:szCs w:val="16"/>
              </w:rPr>
            </w:pPr>
            <w:r>
              <w:rPr>
                <w:rFonts w:cs="Arial"/>
                <w:sz w:val="16"/>
                <w:szCs w:val="16"/>
              </w:rPr>
              <w:t>1</w:t>
            </w:r>
          </w:p>
        </w:tc>
        <w:tc>
          <w:tcPr>
            <w:tcW w:w="876" w:type="dxa"/>
            <w:tcBorders>
              <w:top w:val="single" w:sz="6" w:space="0" w:color="auto"/>
              <w:left w:val="single" w:sz="6" w:space="0" w:color="auto"/>
              <w:bottom w:val="single" w:sz="6" w:space="0" w:color="auto"/>
              <w:right w:val="single" w:sz="6" w:space="0" w:color="auto"/>
            </w:tcBorders>
            <w:hideMark/>
          </w:tcPr>
          <w:p w14:paraId="6F7C20AB" w14:textId="77777777" w:rsidR="00B97365" w:rsidRDefault="00000000">
            <w:pPr>
              <w:rPr>
                <w:rFonts w:cs="Arial"/>
                <w:b/>
                <w:sz w:val="16"/>
                <w:szCs w:val="16"/>
              </w:rPr>
            </w:pPr>
            <w:r>
              <w:rPr>
                <w:rFonts w:cs="Arial"/>
                <w:sz w:val="16"/>
                <w:szCs w:val="16"/>
              </w:rPr>
              <w:t>-</w:t>
            </w:r>
          </w:p>
        </w:tc>
        <w:tc>
          <w:tcPr>
            <w:tcW w:w="162" w:type="dxa"/>
            <w:tcBorders>
              <w:top w:val="single" w:sz="6" w:space="0" w:color="auto"/>
              <w:left w:val="single" w:sz="6" w:space="0" w:color="auto"/>
              <w:bottom w:val="single" w:sz="6" w:space="0" w:color="auto"/>
              <w:right w:val="single" w:sz="4" w:space="0" w:color="auto"/>
            </w:tcBorders>
            <w:vAlign w:val="center"/>
            <w:hideMark/>
          </w:tcPr>
          <w:p w14:paraId="07FE219B" w14:textId="77777777" w:rsidR="00B97365" w:rsidRDefault="00000000">
            <w:pPr>
              <w:jc w:val="left"/>
              <w:rPr>
                <w:rFonts w:cs="Arial"/>
                <w:b/>
                <w:sz w:val="16"/>
                <w:szCs w:val="16"/>
              </w:rPr>
            </w:pPr>
            <w:r>
              <w:rPr>
                <w:rFonts w:cs="Arial"/>
                <w:sz w:val="16"/>
                <w:szCs w:val="16"/>
              </w:rPr>
              <w:t>Deletion of this Profile not allowed</w:t>
            </w:r>
          </w:p>
        </w:tc>
      </w:tr>
      <w:tr w:rsidR="00B97365" w14:paraId="5A09B546" w14:textId="77777777">
        <w:trPr>
          <w:tblHeader/>
          <w:jc w:val="center"/>
        </w:trPr>
        <w:tc>
          <w:tcPr>
            <w:tcW w:w="948" w:type="dxa"/>
            <w:tcBorders>
              <w:top w:val="single" w:sz="6" w:space="0" w:color="auto"/>
              <w:left w:val="single" w:sz="4" w:space="0" w:color="auto"/>
              <w:bottom w:val="single" w:sz="6" w:space="0" w:color="auto"/>
              <w:right w:val="single" w:sz="6" w:space="0" w:color="auto"/>
            </w:tcBorders>
            <w:hideMark/>
          </w:tcPr>
          <w:p w14:paraId="521C9DBD" w14:textId="77777777" w:rsidR="00B97365" w:rsidRDefault="00000000">
            <w:pPr>
              <w:rPr>
                <w:rFonts w:cs="Arial"/>
                <w:b/>
                <w:sz w:val="16"/>
                <w:szCs w:val="16"/>
              </w:rPr>
            </w:pPr>
            <w:r>
              <w:rPr>
                <w:rFonts w:cs="Arial"/>
                <w:sz w:val="16"/>
                <w:szCs w:val="16"/>
              </w:rPr>
              <w:t>-</w:t>
            </w:r>
          </w:p>
        </w:tc>
        <w:tc>
          <w:tcPr>
            <w:tcW w:w="877" w:type="dxa"/>
            <w:tcBorders>
              <w:top w:val="single" w:sz="6" w:space="0" w:color="auto"/>
              <w:left w:val="single" w:sz="6" w:space="0" w:color="auto"/>
              <w:bottom w:val="single" w:sz="6" w:space="0" w:color="auto"/>
              <w:right w:val="single" w:sz="6" w:space="0" w:color="auto"/>
            </w:tcBorders>
            <w:hideMark/>
          </w:tcPr>
          <w:p w14:paraId="2EDC4BFB"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45B9A60"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93E2592"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03443EE" w14:textId="77777777" w:rsidR="00B97365" w:rsidRDefault="00000000">
            <w:pPr>
              <w:rPr>
                <w:rFonts w:cs="Arial"/>
                <w:b/>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01EDEE6" w14:textId="77777777" w:rsidR="00B97365" w:rsidRDefault="00000000">
            <w:pPr>
              <w:rPr>
                <w:rFonts w:cs="Arial"/>
                <w:b/>
                <w:sz w:val="16"/>
                <w:szCs w:val="16"/>
              </w:rPr>
            </w:pPr>
            <w:r>
              <w:rPr>
                <w:rFonts w:cs="Arial"/>
                <w:sz w:val="16"/>
                <w:szCs w:val="16"/>
              </w:rPr>
              <w:t>1</w:t>
            </w:r>
          </w:p>
        </w:tc>
        <w:tc>
          <w:tcPr>
            <w:tcW w:w="876" w:type="dxa"/>
            <w:tcBorders>
              <w:top w:val="single" w:sz="6" w:space="0" w:color="auto"/>
              <w:left w:val="single" w:sz="6" w:space="0" w:color="auto"/>
              <w:bottom w:val="single" w:sz="6" w:space="0" w:color="auto"/>
              <w:right w:val="single" w:sz="6" w:space="0" w:color="auto"/>
            </w:tcBorders>
            <w:hideMark/>
          </w:tcPr>
          <w:p w14:paraId="2B59E470" w14:textId="77777777" w:rsidR="00B97365" w:rsidRDefault="00000000">
            <w:pPr>
              <w:rPr>
                <w:rFonts w:cs="Arial"/>
                <w:b/>
                <w:sz w:val="16"/>
                <w:szCs w:val="16"/>
              </w:rPr>
            </w:pPr>
            <w:r>
              <w:rPr>
                <w:rFonts w:cs="Arial"/>
                <w:sz w:val="16"/>
                <w:szCs w:val="16"/>
              </w:rPr>
              <w:t>0</w:t>
            </w:r>
          </w:p>
        </w:tc>
        <w:tc>
          <w:tcPr>
            <w:tcW w:w="876" w:type="dxa"/>
            <w:tcBorders>
              <w:top w:val="single" w:sz="6" w:space="0" w:color="auto"/>
              <w:left w:val="single" w:sz="6" w:space="0" w:color="auto"/>
              <w:bottom w:val="single" w:sz="6" w:space="0" w:color="auto"/>
              <w:right w:val="single" w:sz="6" w:space="0" w:color="auto"/>
            </w:tcBorders>
            <w:hideMark/>
          </w:tcPr>
          <w:p w14:paraId="329D7015" w14:textId="77777777" w:rsidR="00B97365" w:rsidRDefault="00000000">
            <w:pPr>
              <w:rPr>
                <w:rFonts w:cs="Arial"/>
                <w:b/>
                <w:sz w:val="16"/>
                <w:szCs w:val="16"/>
              </w:rPr>
            </w:pPr>
            <w:r>
              <w:rPr>
                <w:rFonts w:cs="Arial"/>
                <w:sz w:val="16"/>
                <w:szCs w:val="16"/>
              </w:rPr>
              <w:t>0</w:t>
            </w:r>
          </w:p>
        </w:tc>
        <w:tc>
          <w:tcPr>
            <w:tcW w:w="162" w:type="dxa"/>
            <w:tcBorders>
              <w:top w:val="single" w:sz="6" w:space="0" w:color="auto"/>
              <w:left w:val="single" w:sz="6" w:space="0" w:color="auto"/>
              <w:bottom w:val="single" w:sz="6" w:space="0" w:color="auto"/>
              <w:right w:val="single" w:sz="4" w:space="0" w:color="auto"/>
            </w:tcBorders>
            <w:vAlign w:val="center"/>
            <w:hideMark/>
          </w:tcPr>
          <w:p w14:paraId="5CE1B5D6" w14:textId="77777777" w:rsidR="00B97365" w:rsidRDefault="00000000">
            <w:pPr>
              <w:jc w:val="left"/>
              <w:rPr>
                <w:rFonts w:cs="Arial"/>
                <w:b/>
                <w:sz w:val="16"/>
                <w:szCs w:val="16"/>
              </w:rPr>
            </w:pPr>
            <w:r>
              <w:rPr>
                <w:rFonts w:cs="Arial"/>
                <w:sz w:val="16"/>
                <w:szCs w:val="16"/>
              </w:rPr>
              <w:t>Profile deletion is mandatory when its state is changed to disabled</w:t>
            </w:r>
          </w:p>
        </w:tc>
      </w:tr>
      <w:tr w:rsidR="00B97365" w14:paraId="3828D7AA" w14:textId="77777777">
        <w:trPr>
          <w:tblHeader/>
          <w:jc w:val="center"/>
        </w:trPr>
        <w:tc>
          <w:tcPr>
            <w:tcW w:w="948" w:type="dxa"/>
            <w:tcBorders>
              <w:top w:val="single" w:sz="6" w:space="0" w:color="auto"/>
              <w:left w:val="single" w:sz="4" w:space="0" w:color="auto"/>
              <w:bottom w:val="single" w:sz="6" w:space="0" w:color="auto"/>
              <w:right w:val="single" w:sz="6" w:space="0" w:color="auto"/>
            </w:tcBorders>
            <w:hideMark/>
          </w:tcPr>
          <w:p w14:paraId="417C12CD" w14:textId="77777777" w:rsidR="00B97365" w:rsidRDefault="00000000">
            <w:pPr>
              <w:rPr>
                <w:rFonts w:cs="Arial"/>
                <w:sz w:val="16"/>
                <w:szCs w:val="16"/>
              </w:rPr>
            </w:pPr>
            <w:r>
              <w:rPr>
                <w:rFonts w:cs="Arial"/>
                <w:sz w:val="16"/>
                <w:szCs w:val="16"/>
              </w:rPr>
              <w:t>-</w:t>
            </w:r>
          </w:p>
        </w:tc>
        <w:tc>
          <w:tcPr>
            <w:tcW w:w="877" w:type="dxa"/>
            <w:tcBorders>
              <w:top w:val="single" w:sz="6" w:space="0" w:color="auto"/>
              <w:left w:val="single" w:sz="6" w:space="0" w:color="auto"/>
              <w:bottom w:val="single" w:sz="6" w:space="0" w:color="auto"/>
              <w:right w:val="single" w:sz="6" w:space="0" w:color="auto"/>
            </w:tcBorders>
            <w:hideMark/>
          </w:tcPr>
          <w:p w14:paraId="4FEA0A2E" w14:textId="77777777" w:rsidR="00B97365" w:rsidRDefault="00000000">
            <w:pPr>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0955A08" w14:textId="77777777" w:rsidR="00B97365" w:rsidRDefault="00000000">
            <w:pPr>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CABBE25" w14:textId="77777777" w:rsidR="00B97365" w:rsidRDefault="00000000">
            <w:pPr>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3AA7818" w14:textId="77777777" w:rsidR="00B97365" w:rsidRDefault="00000000">
            <w:pPr>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DCE04B6" w14:textId="77777777" w:rsidR="00B97365" w:rsidRDefault="00000000">
            <w:pPr>
              <w:rPr>
                <w:rFonts w:cs="Arial"/>
                <w:sz w:val="16"/>
                <w:szCs w:val="16"/>
              </w:rPr>
            </w:pPr>
            <w:r>
              <w:rPr>
                <w:rFonts w:cs="Arial"/>
                <w:sz w:val="16"/>
                <w:szCs w:val="16"/>
              </w:rPr>
              <w:t>X</w:t>
            </w:r>
          </w:p>
        </w:tc>
        <w:tc>
          <w:tcPr>
            <w:tcW w:w="876" w:type="dxa"/>
            <w:tcBorders>
              <w:top w:val="single" w:sz="6" w:space="0" w:color="auto"/>
              <w:left w:val="single" w:sz="6" w:space="0" w:color="auto"/>
              <w:bottom w:val="single" w:sz="6" w:space="0" w:color="auto"/>
              <w:right w:val="single" w:sz="6" w:space="0" w:color="auto"/>
            </w:tcBorders>
            <w:hideMark/>
          </w:tcPr>
          <w:p w14:paraId="6397ABB5" w14:textId="77777777" w:rsidR="00B97365" w:rsidRDefault="00000000">
            <w:pPr>
              <w:rPr>
                <w:rFonts w:cs="Arial"/>
                <w:sz w:val="16"/>
                <w:szCs w:val="16"/>
              </w:rPr>
            </w:pPr>
            <w:r>
              <w:rPr>
                <w:rFonts w:cs="Arial"/>
                <w:sz w:val="16"/>
                <w:szCs w:val="16"/>
              </w:rPr>
              <w:t>X</w:t>
            </w:r>
          </w:p>
        </w:tc>
        <w:tc>
          <w:tcPr>
            <w:tcW w:w="876" w:type="dxa"/>
            <w:tcBorders>
              <w:top w:val="single" w:sz="6" w:space="0" w:color="auto"/>
              <w:left w:val="single" w:sz="6" w:space="0" w:color="auto"/>
              <w:bottom w:val="single" w:sz="6" w:space="0" w:color="auto"/>
              <w:right w:val="single" w:sz="6" w:space="0" w:color="auto"/>
            </w:tcBorders>
            <w:hideMark/>
          </w:tcPr>
          <w:p w14:paraId="4CA326AE" w14:textId="77777777" w:rsidR="00B97365" w:rsidRDefault="00000000">
            <w:pPr>
              <w:rPr>
                <w:rFonts w:cs="Arial"/>
                <w:sz w:val="16"/>
                <w:szCs w:val="16"/>
              </w:rPr>
            </w:pPr>
            <w:r>
              <w:rPr>
                <w:rFonts w:cs="Arial"/>
                <w:sz w:val="16"/>
                <w:szCs w:val="16"/>
              </w:rPr>
              <w:t>X</w:t>
            </w:r>
          </w:p>
        </w:tc>
        <w:tc>
          <w:tcPr>
            <w:tcW w:w="162" w:type="dxa"/>
            <w:tcBorders>
              <w:top w:val="single" w:sz="6" w:space="0" w:color="auto"/>
              <w:left w:val="single" w:sz="6" w:space="0" w:color="auto"/>
              <w:bottom w:val="single" w:sz="6" w:space="0" w:color="auto"/>
              <w:right w:val="single" w:sz="4" w:space="0" w:color="auto"/>
            </w:tcBorders>
            <w:hideMark/>
          </w:tcPr>
          <w:p w14:paraId="2A0FB894" w14:textId="77777777" w:rsidR="00B97365" w:rsidRDefault="00000000">
            <w:pPr>
              <w:jc w:val="left"/>
              <w:rPr>
                <w:rFonts w:cs="Arial"/>
                <w:sz w:val="16"/>
                <w:szCs w:val="16"/>
              </w:rPr>
            </w:pPr>
            <w:r>
              <w:rPr>
                <w:rFonts w:cs="Arial"/>
                <w:sz w:val="16"/>
                <w:szCs w:val="16"/>
              </w:rPr>
              <w:t>Other combinations are forbidden</w:t>
            </w:r>
          </w:p>
        </w:tc>
      </w:tr>
      <w:tr w:rsidR="00B97365" w14:paraId="076C47C3" w14:textId="77777777">
        <w:trPr>
          <w:tblHeader/>
          <w:jc w:val="center"/>
        </w:trPr>
        <w:tc>
          <w:tcPr>
            <w:tcW w:w="948" w:type="dxa"/>
            <w:tcBorders>
              <w:top w:val="single" w:sz="6" w:space="0" w:color="auto"/>
              <w:left w:val="single" w:sz="4" w:space="0" w:color="auto"/>
              <w:bottom w:val="single" w:sz="4" w:space="0" w:color="auto"/>
              <w:right w:val="single" w:sz="6" w:space="0" w:color="auto"/>
            </w:tcBorders>
            <w:hideMark/>
          </w:tcPr>
          <w:p w14:paraId="11E65CB1" w14:textId="77777777" w:rsidR="00B97365" w:rsidRDefault="00000000">
            <w:pPr>
              <w:rPr>
                <w:rFonts w:cs="Arial"/>
                <w:b/>
                <w:sz w:val="16"/>
                <w:szCs w:val="16"/>
              </w:rPr>
            </w:pPr>
            <w:r>
              <w:rPr>
                <w:rFonts w:cs="Arial"/>
                <w:sz w:val="16"/>
                <w:szCs w:val="16"/>
              </w:rPr>
              <w:t>X</w:t>
            </w:r>
          </w:p>
        </w:tc>
        <w:tc>
          <w:tcPr>
            <w:tcW w:w="877" w:type="dxa"/>
            <w:tcBorders>
              <w:top w:val="single" w:sz="6" w:space="0" w:color="auto"/>
              <w:left w:val="single" w:sz="6" w:space="0" w:color="auto"/>
              <w:bottom w:val="single" w:sz="4" w:space="0" w:color="auto"/>
              <w:right w:val="single" w:sz="6" w:space="0" w:color="auto"/>
            </w:tcBorders>
            <w:hideMark/>
          </w:tcPr>
          <w:p w14:paraId="4D7EB42A" w14:textId="77777777" w:rsidR="00B97365" w:rsidRDefault="00000000">
            <w:pPr>
              <w:rPr>
                <w:rFonts w:cs="Arial"/>
                <w:b/>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10D27C23" w14:textId="77777777" w:rsidR="00B97365" w:rsidRDefault="00000000">
            <w:pPr>
              <w:rPr>
                <w:rFonts w:cs="Arial"/>
                <w:b/>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75F10C20" w14:textId="77777777" w:rsidR="00B97365" w:rsidRDefault="00000000">
            <w:pPr>
              <w:rPr>
                <w:rFonts w:cs="Arial"/>
                <w:b/>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3B6B176B" w14:textId="77777777" w:rsidR="00B97365" w:rsidRDefault="00000000">
            <w:pPr>
              <w:rPr>
                <w:rFonts w:cs="Arial"/>
                <w:b/>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166E3E03" w14:textId="77777777" w:rsidR="00B97365" w:rsidRDefault="00000000">
            <w:pPr>
              <w:rPr>
                <w:rFonts w:cs="Arial"/>
                <w:b/>
                <w:sz w:val="16"/>
                <w:szCs w:val="16"/>
              </w:rPr>
            </w:pPr>
            <w:r>
              <w:rPr>
                <w:rFonts w:cs="Arial"/>
                <w:sz w:val="16"/>
                <w:szCs w:val="16"/>
              </w:rPr>
              <w:t>-</w:t>
            </w:r>
          </w:p>
        </w:tc>
        <w:tc>
          <w:tcPr>
            <w:tcW w:w="876" w:type="dxa"/>
            <w:tcBorders>
              <w:top w:val="single" w:sz="6" w:space="0" w:color="auto"/>
              <w:left w:val="single" w:sz="6" w:space="0" w:color="auto"/>
              <w:bottom w:val="single" w:sz="4" w:space="0" w:color="auto"/>
              <w:right w:val="single" w:sz="6" w:space="0" w:color="auto"/>
            </w:tcBorders>
            <w:hideMark/>
          </w:tcPr>
          <w:p w14:paraId="1E4DC046" w14:textId="77777777" w:rsidR="00B97365" w:rsidRDefault="00000000">
            <w:pPr>
              <w:rPr>
                <w:rFonts w:cs="Arial"/>
                <w:b/>
                <w:sz w:val="16"/>
                <w:szCs w:val="16"/>
              </w:rPr>
            </w:pPr>
            <w:r>
              <w:rPr>
                <w:rFonts w:cs="Arial"/>
                <w:sz w:val="16"/>
                <w:szCs w:val="16"/>
              </w:rPr>
              <w:t>-</w:t>
            </w:r>
          </w:p>
        </w:tc>
        <w:tc>
          <w:tcPr>
            <w:tcW w:w="876" w:type="dxa"/>
            <w:tcBorders>
              <w:top w:val="single" w:sz="6" w:space="0" w:color="auto"/>
              <w:left w:val="single" w:sz="6" w:space="0" w:color="auto"/>
              <w:bottom w:val="single" w:sz="4" w:space="0" w:color="auto"/>
              <w:right w:val="single" w:sz="6" w:space="0" w:color="auto"/>
            </w:tcBorders>
            <w:hideMark/>
          </w:tcPr>
          <w:p w14:paraId="27D60656" w14:textId="77777777" w:rsidR="00B97365" w:rsidRDefault="00000000">
            <w:pPr>
              <w:rPr>
                <w:rFonts w:cs="Arial"/>
                <w:b/>
                <w:sz w:val="16"/>
                <w:szCs w:val="16"/>
              </w:rPr>
            </w:pPr>
            <w:r>
              <w:rPr>
                <w:rFonts w:cs="Arial"/>
                <w:sz w:val="16"/>
                <w:szCs w:val="16"/>
              </w:rPr>
              <w:t>-</w:t>
            </w:r>
          </w:p>
        </w:tc>
        <w:tc>
          <w:tcPr>
            <w:tcW w:w="162" w:type="dxa"/>
            <w:tcBorders>
              <w:top w:val="single" w:sz="6" w:space="0" w:color="auto"/>
              <w:left w:val="single" w:sz="6" w:space="0" w:color="auto"/>
              <w:bottom w:val="single" w:sz="4" w:space="0" w:color="auto"/>
              <w:right w:val="single" w:sz="4" w:space="0" w:color="auto"/>
            </w:tcBorders>
            <w:hideMark/>
          </w:tcPr>
          <w:p w14:paraId="58BDE0F7" w14:textId="77777777" w:rsidR="00B97365" w:rsidRDefault="00000000">
            <w:pPr>
              <w:jc w:val="left"/>
              <w:rPr>
                <w:rFonts w:cs="Arial"/>
                <w:b/>
                <w:sz w:val="16"/>
                <w:szCs w:val="16"/>
              </w:rPr>
            </w:pPr>
            <w:r>
              <w:rPr>
                <w:rFonts w:cs="Arial"/>
                <w:sz w:val="16"/>
                <w:szCs w:val="16"/>
              </w:rPr>
              <w:t>RFU</w:t>
            </w:r>
          </w:p>
        </w:tc>
      </w:tr>
    </w:tbl>
    <w:p w14:paraId="6009CA1F" w14:textId="77777777" w:rsidR="00B97365" w:rsidRDefault="00B97365">
      <w:pPr>
        <w:spacing w:line="276" w:lineRule="auto"/>
        <w:jc w:val="left"/>
        <w:rPr>
          <w:rFonts w:eastAsia="Times New Roman" w:cs="Arial"/>
          <w:b/>
          <w:i/>
          <w:sz w:val="20"/>
          <w:lang w:eastAsia="en-GB" w:bidi="ar-SA"/>
        </w:rPr>
      </w:pPr>
    </w:p>
    <w:p w14:paraId="729BEFA2"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POL1 Coding</w:t>
      </w:r>
    </w:p>
    <w:p w14:paraId="63451B07" w14:textId="77777777" w:rsidR="00B97365" w:rsidRDefault="00000000">
      <w:pPr>
        <w:spacing w:before="0" w:after="200" w:line="276" w:lineRule="auto"/>
        <w:jc w:val="left"/>
        <w:rPr>
          <w:b/>
          <w:szCs w:val="22"/>
          <w:lang w:val="en-US" w:eastAsia="en-GB" w:bidi="ar-SA"/>
        </w:rPr>
      </w:pPr>
      <w:bookmarkStart w:id="2596" w:name="_Toc420594622"/>
      <w:r>
        <w:rPr>
          <w:rFonts w:cs="Arial"/>
          <w:b/>
          <w:szCs w:val="22"/>
          <w:lang w:val="en-US" w:eastAsia="en-GB" w:bidi="ar-SA"/>
        </w:rPr>
        <w:t>Response Message</w:t>
      </w:r>
      <w:bookmarkEnd w:id="2596"/>
    </w:p>
    <w:p w14:paraId="6D2ABB13" w14:textId="77777777" w:rsidR="00B97365" w:rsidRDefault="00000000">
      <w:pPr>
        <w:spacing w:before="0" w:after="200" w:line="276" w:lineRule="auto"/>
        <w:jc w:val="left"/>
        <w:rPr>
          <w:rFonts w:cs="Arial"/>
          <w:color w:val="000000"/>
        </w:rPr>
      </w:pPr>
      <w:bookmarkStart w:id="2597" w:name="_Toc420594623"/>
      <w:r>
        <w:rPr>
          <w:rFonts w:cs="Arial"/>
          <w:b/>
          <w:szCs w:val="22"/>
          <w:lang w:val="en-US" w:eastAsia="en-GB" w:bidi="ar-SA"/>
        </w:rPr>
        <w:t>Data</w:t>
      </w:r>
      <w:r>
        <w:rPr>
          <w:rFonts w:cs="Arial"/>
          <w:b/>
        </w:rPr>
        <w:t xml:space="preserve"> Field Returned in the Response Message:</w:t>
      </w:r>
      <w:bookmarkEnd w:id="2597"/>
    </w:p>
    <w:p w14:paraId="1B57B872" w14:textId="77777777" w:rsidR="00B97365" w:rsidRDefault="00000000">
      <w:pPr>
        <w:rPr>
          <w:rFonts w:cs="Arial"/>
          <w:color w:val="000000"/>
        </w:rPr>
      </w:pPr>
      <w:r>
        <w:rPr>
          <w:rFonts w:cs="Arial"/>
          <w:color w:val="000000"/>
        </w:rPr>
        <w:t>The data field of the response message SHALL NOT be present.</w:t>
      </w:r>
    </w:p>
    <w:p w14:paraId="0F4BC0AA" w14:textId="77777777" w:rsidR="00B97365" w:rsidRDefault="00000000">
      <w:pPr>
        <w:spacing w:before="0" w:after="200" w:line="276" w:lineRule="auto"/>
        <w:jc w:val="left"/>
        <w:rPr>
          <w:rFonts w:cs="Arial"/>
          <w:b/>
        </w:rPr>
      </w:pPr>
      <w:bookmarkStart w:id="2598" w:name="_Toc420594624"/>
      <w:r>
        <w:rPr>
          <w:rFonts w:cs="Arial"/>
          <w:b/>
          <w:szCs w:val="22"/>
          <w:lang w:val="en-US" w:eastAsia="en-GB" w:bidi="ar-SA"/>
        </w:rPr>
        <w:t>Processing</w:t>
      </w:r>
      <w:r>
        <w:rPr>
          <w:rFonts w:cs="Arial"/>
          <w:b/>
        </w:rPr>
        <w:t xml:space="preserve"> State returned in the Response Message:</w:t>
      </w:r>
      <w:bookmarkEnd w:id="2598"/>
    </w:p>
    <w:p w14:paraId="682AE5AA" w14:textId="35B0C107" w:rsidR="00B97365" w:rsidRDefault="00000000">
      <w:pPr>
        <w:spacing w:before="0" w:after="200" w:line="276" w:lineRule="auto"/>
        <w:jc w:val="left"/>
        <w:rPr>
          <w:rFonts w:cs="Arial"/>
          <w:b/>
          <w:szCs w:val="22"/>
          <w:lang w:val="en-US" w:eastAsia="en-GB" w:bidi="ar-SA"/>
        </w:rPr>
      </w:pPr>
      <w:bookmarkStart w:id="2599" w:name="_Toc420594625"/>
      <w:r>
        <w:rPr>
          <w:rFonts w:cs="Arial"/>
          <w:szCs w:val="22"/>
          <w:lang w:eastAsia="en-GB" w:bidi="ar-SA"/>
        </w:rPr>
        <w:t xml:space="preserve">See GlobalPlatform Card Specification </w:t>
      </w:r>
      <w:r>
        <w:fldChar w:fldCharType="begin"/>
      </w:r>
      <w:r>
        <w:rPr>
          <w:rFonts w:cs="Arial"/>
          <w:szCs w:val="22"/>
          <w:lang w:eastAsia="en-GB" w:bidi="ar-SA"/>
        </w:rPr>
        <w:instrText xml:space="preserve"> REF _Ref421631311 \r \h </w:instrText>
      </w:r>
      <w:r>
        <w:fldChar w:fldCharType="separate"/>
      </w:r>
      <w:r w:rsidR="001D5AD9">
        <w:rPr>
          <w:rFonts w:cs="Arial"/>
          <w:szCs w:val="22"/>
          <w:lang w:eastAsia="en-GB" w:bidi="ar-SA"/>
        </w:rPr>
        <w:t>[6]</w:t>
      </w:r>
      <w:r>
        <w:fldChar w:fldCharType="end"/>
      </w:r>
      <w:r>
        <w:rPr>
          <w:rFonts w:cs="Arial"/>
          <w:szCs w:val="22"/>
          <w:lang w:eastAsia="en-GB" w:bidi="ar-SA"/>
        </w:rPr>
        <w:t xml:space="preserve"> section 11.11.3.2</w:t>
      </w:r>
      <w:bookmarkEnd w:id="2599"/>
    </w:p>
    <w:p w14:paraId="50B99588"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600" w:name="_Toc368932245"/>
      <w:bookmarkStart w:id="2601" w:name="_Toc1977321"/>
      <w:bookmarkStart w:id="2602" w:name="_Toc37062480"/>
      <w:r>
        <w:rPr>
          <w:rFonts w:ascii="Arial Bold" w:eastAsia="Times New Roman" w:hAnsi="Arial Bold" w:cs="Arial"/>
          <w:szCs w:val="28"/>
          <w:lang w:eastAsia="en-US"/>
        </w:rPr>
        <w:t xml:space="preserve">Connectivity Parameters Update by </w:t>
      </w:r>
      <w:bookmarkEnd w:id="2600"/>
      <w:r>
        <w:rPr>
          <w:rFonts w:ascii="Arial Bold" w:eastAsia="Times New Roman" w:hAnsi="Arial Bold" w:cs="Arial"/>
          <w:szCs w:val="28"/>
          <w:lang w:eastAsia="en-US"/>
        </w:rPr>
        <w:t>Operator</w:t>
      </w:r>
      <w:bookmarkEnd w:id="2601"/>
      <w:bookmarkEnd w:id="2602"/>
    </w:p>
    <w:p w14:paraId="7AAA5606" w14:textId="77777777" w:rsidR="00B97365" w:rsidRDefault="00000000">
      <w:pPr>
        <w:spacing w:before="0" w:after="200" w:line="276" w:lineRule="auto"/>
        <w:jc w:val="left"/>
        <w:rPr>
          <w:szCs w:val="22"/>
          <w:lang w:val="en-US" w:eastAsia="en-GB" w:bidi="ar-SA"/>
        </w:rPr>
      </w:pPr>
      <w:bookmarkStart w:id="2603" w:name="_Toc420594626"/>
      <w:r>
        <w:rPr>
          <w:rFonts w:cs="Arial"/>
          <w:b/>
          <w:szCs w:val="22"/>
          <w:lang w:val="en-US" w:eastAsia="en-GB" w:bidi="ar-SA"/>
        </w:rPr>
        <w:t>Function name:</w:t>
      </w:r>
      <w:r>
        <w:rPr>
          <w:szCs w:val="22"/>
          <w:lang w:val="en-US" w:eastAsia="en-GB" w:bidi="ar-SA"/>
        </w:rPr>
        <w:t xml:space="preserve"> UpdateConnectivityParametersByMNO</w:t>
      </w:r>
      <w:bookmarkEnd w:id="2603"/>
    </w:p>
    <w:p w14:paraId="73B3194A" w14:textId="77777777" w:rsidR="00B97365" w:rsidRDefault="00000000">
      <w:pPr>
        <w:spacing w:before="0" w:after="200" w:line="276" w:lineRule="auto"/>
        <w:jc w:val="left"/>
        <w:rPr>
          <w:szCs w:val="22"/>
          <w:lang w:val="en-US" w:eastAsia="en-GB" w:bidi="ar-SA"/>
        </w:rPr>
      </w:pPr>
      <w:bookmarkStart w:id="2604" w:name="_Toc420594627"/>
      <w:r>
        <w:rPr>
          <w:rFonts w:cs="Arial"/>
          <w:b/>
          <w:szCs w:val="22"/>
          <w:lang w:val="en-US" w:eastAsia="en-GB" w:bidi="ar-SA"/>
        </w:rPr>
        <w:t>Related Procedures:</w:t>
      </w:r>
      <w:r>
        <w:rPr>
          <w:szCs w:val="22"/>
          <w:lang w:val="en-US" w:eastAsia="en-GB" w:bidi="ar-SA"/>
        </w:rPr>
        <w:t xml:space="preserve"> Connectivity Parameters Update by </w:t>
      </w:r>
      <w:bookmarkEnd w:id="2604"/>
      <w:r>
        <w:rPr>
          <w:szCs w:val="22"/>
          <w:lang w:val="en-US" w:eastAsia="en-GB" w:bidi="ar-SA"/>
        </w:rPr>
        <w:t>Operator</w:t>
      </w:r>
    </w:p>
    <w:p w14:paraId="38DE287D" w14:textId="77777777" w:rsidR="00B97365" w:rsidRDefault="00000000">
      <w:pPr>
        <w:spacing w:before="0" w:after="200" w:line="276" w:lineRule="auto"/>
        <w:jc w:val="left"/>
        <w:rPr>
          <w:szCs w:val="22"/>
          <w:lang w:val="en-US" w:eastAsia="en-GB" w:bidi="ar-SA"/>
        </w:rPr>
      </w:pPr>
      <w:bookmarkStart w:id="2605" w:name="_Toc420594628"/>
      <w:r>
        <w:rPr>
          <w:rFonts w:cs="Arial"/>
          <w:b/>
          <w:szCs w:val="22"/>
          <w:lang w:val="en-US" w:eastAsia="en-GB" w:bidi="ar-SA"/>
        </w:rPr>
        <w:t>Function group:</w:t>
      </w:r>
      <w:r>
        <w:rPr>
          <w:szCs w:val="22"/>
          <w:lang w:val="en-US" w:eastAsia="en-GB" w:bidi="ar-SA"/>
        </w:rPr>
        <w:t xml:space="preserve"> Profile Management</w:t>
      </w:r>
      <w:bookmarkEnd w:id="2605"/>
    </w:p>
    <w:p w14:paraId="3DC41FF2" w14:textId="77777777" w:rsidR="00B97365" w:rsidRDefault="00000000">
      <w:pPr>
        <w:spacing w:before="0" w:after="200" w:line="276" w:lineRule="auto"/>
        <w:jc w:val="left"/>
        <w:rPr>
          <w:szCs w:val="22"/>
          <w:lang w:val="en-US" w:eastAsia="en-GB" w:bidi="ar-SA"/>
        </w:rPr>
      </w:pPr>
      <w:bookmarkStart w:id="2606" w:name="_Toc420594629"/>
      <w:r>
        <w:rPr>
          <w:rFonts w:cs="Arial"/>
          <w:b/>
          <w:szCs w:val="22"/>
          <w:lang w:val="en-US" w:eastAsia="en-GB" w:bidi="ar-SA"/>
        </w:rPr>
        <w:t>Function Provider entity:</w:t>
      </w:r>
      <w:r>
        <w:rPr>
          <w:szCs w:val="22"/>
          <w:lang w:val="en-US" w:eastAsia="en-GB" w:bidi="ar-SA"/>
        </w:rPr>
        <w:t xml:space="preserve"> MNO-SD</w:t>
      </w:r>
      <w:bookmarkEnd w:id="2606"/>
    </w:p>
    <w:p w14:paraId="280A6D4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is used to update Connectivity Parameters on the eUICC.</w:t>
      </w:r>
    </w:p>
    <w:p w14:paraId="330EA83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has the following parameter:</w:t>
      </w:r>
    </w:p>
    <w:p w14:paraId="5457152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Connectivity Parameters</w:t>
      </w:r>
    </w:p>
    <w:p w14:paraId="2BD3393C" w14:textId="77777777" w:rsidR="00B97365" w:rsidRDefault="00000000">
      <w:pPr>
        <w:spacing w:before="0" w:after="200" w:line="276" w:lineRule="auto"/>
        <w:jc w:val="left"/>
        <w:rPr>
          <w:b/>
          <w:szCs w:val="22"/>
          <w:u w:val="single"/>
          <w:lang w:val="en-US" w:eastAsia="en-GB" w:bidi="ar-SA"/>
        </w:rPr>
      </w:pPr>
      <w:bookmarkStart w:id="2607" w:name="_Toc420594630"/>
      <w:r>
        <w:rPr>
          <w:rFonts w:cs="Arial"/>
          <w:b/>
          <w:szCs w:val="22"/>
          <w:u w:val="single"/>
          <w:lang w:val="en-US" w:eastAsia="en-GB" w:bidi="ar-SA"/>
        </w:rPr>
        <w:t>Prerequisites</w:t>
      </w:r>
      <w:bookmarkEnd w:id="2607"/>
    </w:p>
    <w:p w14:paraId="614771E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Profile is enabled</w:t>
      </w:r>
    </w:p>
    <w:p w14:paraId="0CE8E90F" w14:textId="77777777" w:rsidR="00B97365" w:rsidRDefault="00000000">
      <w:pPr>
        <w:spacing w:before="0" w:after="200" w:line="276" w:lineRule="auto"/>
        <w:jc w:val="left"/>
        <w:rPr>
          <w:b/>
          <w:szCs w:val="22"/>
          <w:u w:val="single"/>
          <w:lang w:val="en-US" w:eastAsia="en-GB" w:bidi="ar-SA"/>
        </w:rPr>
      </w:pPr>
      <w:bookmarkStart w:id="2608" w:name="_Toc420594631"/>
      <w:r>
        <w:rPr>
          <w:rFonts w:cs="Arial"/>
          <w:b/>
          <w:szCs w:val="22"/>
          <w:u w:val="single"/>
          <w:lang w:val="en-US" w:eastAsia="en-GB" w:bidi="ar-SA"/>
        </w:rPr>
        <w:t>Function flow</w:t>
      </w:r>
      <w:bookmarkEnd w:id="2608"/>
    </w:p>
    <w:p w14:paraId="5E41A4E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Connectivity Parameters update command, the eUICC SHALL:</w:t>
      </w:r>
    </w:p>
    <w:p w14:paraId="175F7A6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Update the Connectivity Parameters of the ISD-P containing the targeted MNO-SD.</w:t>
      </w:r>
    </w:p>
    <w:p w14:paraId="44E75E0A" w14:textId="77777777" w:rsidR="00B97365" w:rsidRDefault="00000000">
      <w:pPr>
        <w:spacing w:before="0" w:after="200" w:line="276" w:lineRule="auto"/>
        <w:jc w:val="left"/>
        <w:rPr>
          <w:b/>
          <w:szCs w:val="22"/>
          <w:u w:val="single"/>
          <w:lang w:val="en-US" w:eastAsia="en-GB" w:bidi="ar-SA"/>
        </w:rPr>
      </w:pPr>
      <w:bookmarkStart w:id="2609" w:name="_Toc420594632"/>
      <w:r>
        <w:rPr>
          <w:rFonts w:cs="Arial"/>
          <w:b/>
          <w:szCs w:val="22"/>
          <w:u w:val="single"/>
          <w:lang w:val="en-US" w:eastAsia="en-GB" w:bidi="ar-SA"/>
        </w:rPr>
        <w:lastRenderedPageBreak/>
        <w:t>Commands</w:t>
      </w:r>
      <w:bookmarkEnd w:id="2609"/>
    </w:p>
    <w:p w14:paraId="7B0F8E4E" w14:textId="243A5C28"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consists of an INSTALL [for personalization] command followed by a STORE DATA command, as described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1ED33D06" w14:textId="6438766E" w:rsidR="00B97365" w:rsidRDefault="00000000">
      <w:pPr>
        <w:spacing w:before="0" w:after="200" w:line="276" w:lineRule="auto"/>
        <w:jc w:val="left"/>
        <w:rPr>
          <w:rFonts w:asciiTheme="minorHAnsi" w:hAnsiTheme="minorHAnsi" w:cstheme="minorHAnsi"/>
        </w:rPr>
      </w:pPr>
      <w:r>
        <w:rPr>
          <w:rFonts w:cs="Arial"/>
          <w:szCs w:val="22"/>
          <w:lang w:val="en-US" w:eastAsia="en-GB" w:bidi="ar-SA"/>
        </w:rPr>
        <w:t xml:space="preserve">According to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INSTALL [for personalization] command can only be used on applications Associated with a Security Domain. As an exception from this rule, the eUICC SHALL allow the MNO-SD to receive this command sequence with data destined to the ISD-P.</w:t>
      </w:r>
    </w:p>
    <w:p w14:paraId="28D8DE3B" w14:textId="77777777" w:rsidR="00B97365" w:rsidRDefault="00000000">
      <w:pPr>
        <w:spacing w:before="0" w:after="200" w:line="276" w:lineRule="auto"/>
        <w:jc w:val="left"/>
        <w:rPr>
          <w:b/>
          <w:i/>
          <w:szCs w:val="22"/>
          <w:lang w:val="en-US" w:eastAsia="en-GB" w:bidi="ar-SA"/>
        </w:rPr>
      </w:pPr>
      <w:bookmarkStart w:id="2610" w:name="_Toc420594633"/>
      <w:r>
        <w:rPr>
          <w:rFonts w:cs="Arial"/>
          <w:b/>
          <w:i/>
          <w:szCs w:val="22"/>
          <w:lang w:val="en-US" w:eastAsia="en-GB" w:bidi="ar-SA"/>
        </w:rPr>
        <w:t>INSTALL [for personalization] command:</w:t>
      </w:r>
      <w:bookmarkEnd w:id="2610"/>
    </w:p>
    <w:p w14:paraId="22D2491D" w14:textId="3B22F748" w:rsidR="00B97365" w:rsidRDefault="00000000">
      <w:pPr>
        <w:spacing w:before="0" w:after="200" w:line="276" w:lineRule="auto"/>
        <w:jc w:val="left"/>
        <w:rPr>
          <w:szCs w:val="22"/>
          <w:lang w:val="en-US" w:eastAsia="en-GB" w:bidi="ar-SA"/>
        </w:rPr>
      </w:pPr>
      <w:r>
        <w:rPr>
          <w:rFonts w:cs="Arial"/>
          <w:szCs w:val="22"/>
          <w:lang w:val="en-US" w:eastAsia="en-GB" w:bidi="ar-SA"/>
        </w:rPr>
        <w:t xml:space="preserve">As defined in section </w:t>
      </w:r>
      <w:r>
        <w:fldChar w:fldCharType="begin"/>
      </w:r>
      <w:r>
        <w:instrText xml:space="preserve"> REF _Ref367973176 \r \h  \* MERGEFORMAT </w:instrText>
      </w:r>
      <w:r>
        <w:fldChar w:fldCharType="separate"/>
      </w:r>
      <w:r w:rsidR="001D5AD9" w:rsidRPr="001D5AD9">
        <w:rPr>
          <w:szCs w:val="22"/>
          <w:lang w:val="en-US" w:eastAsia="en-GB" w:bidi="ar-SA"/>
        </w:rPr>
        <w:t>4.1.2.1</w:t>
      </w:r>
      <w:r>
        <w:fldChar w:fldCharType="end"/>
      </w:r>
      <w:r>
        <w:rPr>
          <w:szCs w:val="22"/>
          <w:lang w:val="en-US" w:eastAsia="en-GB" w:bidi="ar-SA"/>
        </w:rPr>
        <w:t>.</w:t>
      </w:r>
    </w:p>
    <w:p w14:paraId="784BA28A" w14:textId="77777777" w:rsidR="00B97365" w:rsidRDefault="00000000">
      <w:pPr>
        <w:spacing w:before="0" w:after="200" w:line="276" w:lineRule="auto"/>
        <w:jc w:val="left"/>
        <w:rPr>
          <w:b/>
          <w:i/>
          <w:szCs w:val="22"/>
          <w:lang w:val="en-US" w:eastAsia="en-GB" w:bidi="ar-SA"/>
        </w:rPr>
      </w:pPr>
      <w:bookmarkStart w:id="2611" w:name="_Toc420594634"/>
      <w:r>
        <w:rPr>
          <w:rFonts w:cs="Arial"/>
          <w:b/>
          <w:i/>
          <w:szCs w:val="22"/>
          <w:lang w:val="en-US" w:eastAsia="en-GB" w:bidi="ar-SA"/>
        </w:rPr>
        <w:t>STORE DATA command:</w:t>
      </w:r>
      <w:bookmarkEnd w:id="2611"/>
    </w:p>
    <w:p w14:paraId="08A79381" w14:textId="79F00F27" w:rsidR="00B97365" w:rsidRDefault="00000000">
      <w:pPr>
        <w:spacing w:before="0" w:after="200" w:line="276" w:lineRule="auto"/>
        <w:jc w:val="left"/>
        <w:rPr>
          <w:szCs w:val="22"/>
          <w:lang w:val="en-US" w:eastAsia="en-GB" w:bidi="ar-SA"/>
        </w:rPr>
      </w:pPr>
      <w:bookmarkStart w:id="2612" w:name="_Toc420594635"/>
      <w:r>
        <w:rPr>
          <w:rFonts w:cs="Arial"/>
          <w:szCs w:val="22"/>
          <w:lang w:val="en-US" w:eastAsia="en-GB" w:bidi="ar-SA"/>
        </w:rPr>
        <w:t xml:space="preserve">As defined in section </w:t>
      </w:r>
      <w:r>
        <w:fldChar w:fldCharType="begin"/>
      </w:r>
      <w:r>
        <w:instrText xml:space="preserve"> REF _Ref367973189 \r \h  \* MERGEFORMAT </w:instrText>
      </w:r>
      <w:r>
        <w:fldChar w:fldCharType="separate"/>
      </w:r>
      <w:r w:rsidR="001D5AD9" w:rsidRPr="001D5AD9">
        <w:rPr>
          <w:szCs w:val="22"/>
          <w:lang w:val="en-US" w:eastAsia="en-GB" w:bidi="ar-SA"/>
        </w:rPr>
        <w:t>4.1.3.4</w:t>
      </w:r>
      <w:r>
        <w:fldChar w:fldCharType="end"/>
      </w:r>
      <w:r>
        <w:rPr>
          <w:szCs w:val="22"/>
          <w:lang w:val="en-US" w:eastAsia="en-GB" w:bidi="ar-SA"/>
        </w:rPr>
        <w:t>.</w:t>
      </w:r>
      <w:bookmarkEnd w:id="2612"/>
    </w:p>
    <w:p w14:paraId="1FD269A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val="fr-FR" w:eastAsia="en-US"/>
        </w:rPr>
      </w:pPr>
      <w:bookmarkStart w:id="2613" w:name="_Toc421885592"/>
      <w:bookmarkStart w:id="2614" w:name="_Toc421885971"/>
      <w:bookmarkStart w:id="2615" w:name="_Ref367970128"/>
      <w:bookmarkStart w:id="2616" w:name="_Toc368932246"/>
      <w:bookmarkStart w:id="2617" w:name="_Toc375158260"/>
      <w:bookmarkStart w:id="2618" w:name="_Toc398214844"/>
      <w:bookmarkStart w:id="2619" w:name="_Toc420594636"/>
      <w:bookmarkStart w:id="2620" w:name="_Toc421874303"/>
      <w:bookmarkStart w:id="2621" w:name="_Toc422150719"/>
      <w:bookmarkStart w:id="2622" w:name="_Toc448998244"/>
      <w:bookmarkStart w:id="2623" w:name="_Toc486332862"/>
      <w:bookmarkStart w:id="2624" w:name="_Toc1977322"/>
      <w:bookmarkStart w:id="2625" w:name="_Toc37062481"/>
      <w:bookmarkStart w:id="2626" w:name="_Toc88839571"/>
      <w:bookmarkStart w:id="2627" w:name="_Toc121503979"/>
      <w:bookmarkEnd w:id="2613"/>
      <w:bookmarkEnd w:id="2614"/>
      <w:r>
        <w:rPr>
          <w:rFonts w:eastAsia="Times New Roman" w:cs="Arial"/>
          <w:b/>
          <w:bCs/>
          <w:iCs/>
          <w:sz w:val="24"/>
          <w:szCs w:val="26"/>
          <w:lang w:val="fr-FR" w:eastAsia="en-US"/>
        </w:rPr>
        <w:t>ES8 (SM-DP-eUICC) Interface Description</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r>
        <w:rPr>
          <w:rFonts w:eastAsia="Times New Roman" w:cs="Arial"/>
          <w:b/>
          <w:bCs/>
          <w:iCs/>
          <w:sz w:val="24"/>
          <w:szCs w:val="26"/>
          <w:lang w:val="fr-FR" w:eastAsia="en-US"/>
        </w:rPr>
        <w:t xml:space="preserve"> </w:t>
      </w:r>
    </w:p>
    <w:p w14:paraId="662BB81B"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628" w:name="_Toc375054836"/>
      <w:bookmarkStart w:id="2629" w:name="_Toc375157919"/>
      <w:bookmarkStart w:id="2630" w:name="_Toc375158261"/>
      <w:bookmarkStart w:id="2631" w:name="_Toc378865417"/>
      <w:bookmarkStart w:id="2632" w:name="_Toc396149147"/>
      <w:bookmarkStart w:id="2633" w:name="_Toc396149715"/>
      <w:bookmarkStart w:id="2634" w:name="_Toc396150156"/>
      <w:bookmarkStart w:id="2635" w:name="_Toc398214845"/>
      <w:bookmarkStart w:id="2636" w:name="_Toc398291535"/>
      <w:bookmarkStart w:id="2637" w:name="_Toc398291878"/>
      <w:bookmarkStart w:id="2638" w:name="_Toc398292987"/>
      <w:bookmarkStart w:id="2639" w:name="_Toc400964117"/>
      <w:bookmarkStart w:id="2640" w:name="_Toc420594637"/>
      <w:bookmarkStart w:id="2641" w:name="_Toc420928392"/>
      <w:bookmarkStart w:id="2642" w:name="_Toc421106713"/>
      <w:bookmarkStart w:id="2643" w:name="_Toc421172997"/>
      <w:bookmarkStart w:id="2644" w:name="_Toc421874304"/>
      <w:bookmarkStart w:id="2645" w:name="_Toc368932248"/>
      <w:bookmarkStart w:id="2646" w:name="_Ref445910579"/>
      <w:bookmarkStart w:id="2647" w:name="_Ref534204070"/>
      <w:bookmarkStart w:id="2648" w:name="_Toc1977323"/>
      <w:bookmarkStart w:id="2649" w:name="_Toc37062482"/>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r>
        <w:rPr>
          <w:rFonts w:ascii="Arial Bold" w:eastAsia="Times New Roman" w:hAnsi="Arial Bold" w:cs="Arial"/>
          <w:szCs w:val="28"/>
          <w:lang w:eastAsia="en-US"/>
        </w:rPr>
        <w:t>ISD-P Key Set Establishment</w:t>
      </w:r>
      <w:bookmarkEnd w:id="2645"/>
      <w:bookmarkEnd w:id="2646"/>
      <w:bookmarkEnd w:id="2647"/>
      <w:bookmarkEnd w:id="2648"/>
      <w:bookmarkEnd w:id="2649"/>
    </w:p>
    <w:p w14:paraId="3642C37E" w14:textId="77777777" w:rsidR="00B97365" w:rsidRDefault="00000000">
      <w:pPr>
        <w:spacing w:before="0" w:after="200" w:line="276" w:lineRule="auto"/>
        <w:jc w:val="left"/>
        <w:rPr>
          <w:szCs w:val="22"/>
          <w:lang w:val="en-US" w:eastAsia="en-GB" w:bidi="ar-SA"/>
        </w:rPr>
      </w:pPr>
      <w:bookmarkStart w:id="2650" w:name="_Toc420594638"/>
      <w:r>
        <w:rPr>
          <w:rFonts w:cs="Arial"/>
          <w:b/>
          <w:szCs w:val="22"/>
          <w:lang w:val="en-US" w:eastAsia="en-GB" w:bidi="ar-SA"/>
        </w:rPr>
        <w:t>Function name:</w:t>
      </w:r>
      <w:r>
        <w:rPr>
          <w:szCs w:val="22"/>
          <w:lang w:val="en-US" w:eastAsia="en-GB" w:bidi="ar-SA"/>
        </w:rPr>
        <w:t xml:space="preserve"> EstablishISDPKeySet</w:t>
      </w:r>
      <w:bookmarkEnd w:id="2650"/>
    </w:p>
    <w:p w14:paraId="3A5290E4" w14:textId="77777777" w:rsidR="00B97365" w:rsidRDefault="00000000">
      <w:pPr>
        <w:spacing w:before="0" w:after="200" w:line="276" w:lineRule="auto"/>
        <w:jc w:val="left"/>
        <w:rPr>
          <w:szCs w:val="22"/>
          <w:lang w:val="en-US" w:eastAsia="en-GB" w:bidi="ar-SA"/>
        </w:rPr>
      </w:pPr>
      <w:bookmarkStart w:id="2651" w:name="_Toc420594639"/>
      <w:r>
        <w:rPr>
          <w:rFonts w:cs="Arial"/>
          <w:b/>
          <w:szCs w:val="22"/>
          <w:lang w:val="en-US" w:eastAsia="en-GB" w:bidi="ar-SA"/>
        </w:rPr>
        <w:t>Related Procedures:</w:t>
      </w:r>
      <w:r>
        <w:rPr>
          <w:szCs w:val="22"/>
          <w:lang w:val="en-US" w:eastAsia="en-GB" w:bidi="ar-SA"/>
        </w:rPr>
        <w:t xml:space="preserve"> Key Establishment</w:t>
      </w:r>
      <w:bookmarkEnd w:id="2651"/>
    </w:p>
    <w:p w14:paraId="0C8D45AF" w14:textId="77777777" w:rsidR="00B97365" w:rsidRDefault="00000000">
      <w:pPr>
        <w:spacing w:before="0" w:after="200" w:line="276" w:lineRule="auto"/>
        <w:jc w:val="left"/>
        <w:rPr>
          <w:szCs w:val="22"/>
          <w:lang w:val="en-US" w:eastAsia="en-GB" w:bidi="ar-SA"/>
        </w:rPr>
      </w:pPr>
      <w:bookmarkStart w:id="2652" w:name="_Toc420594640"/>
      <w:r>
        <w:rPr>
          <w:rFonts w:cs="Arial"/>
          <w:b/>
          <w:szCs w:val="22"/>
          <w:lang w:val="en-US" w:eastAsia="en-GB" w:bidi="ar-SA"/>
        </w:rPr>
        <w:t>Function group:</w:t>
      </w:r>
      <w:r>
        <w:rPr>
          <w:szCs w:val="22"/>
          <w:lang w:val="en-US" w:eastAsia="en-GB" w:bidi="ar-SA"/>
        </w:rPr>
        <w:t xml:space="preserve"> Profile Management</w:t>
      </w:r>
      <w:bookmarkEnd w:id="2652"/>
      <w:r>
        <w:rPr>
          <w:szCs w:val="22"/>
          <w:lang w:val="en-US" w:eastAsia="en-GB" w:bidi="ar-SA"/>
        </w:rPr>
        <w:t xml:space="preserve">  </w:t>
      </w:r>
    </w:p>
    <w:p w14:paraId="22B70FA9" w14:textId="77777777" w:rsidR="00B97365" w:rsidRDefault="00000000">
      <w:pPr>
        <w:spacing w:before="0" w:after="200" w:line="276" w:lineRule="auto"/>
        <w:jc w:val="left"/>
        <w:rPr>
          <w:szCs w:val="22"/>
          <w:lang w:val="en-US" w:eastAsia="en-GB" w:bidi="ar-SA"/>
        </w:rPr>
      </w:pPr>
      <w:bookmarkStart w:id="2653" w:name="_Toc420594641"/>
      <w:r>
        <w:rPr>
          <w:rFonts w:cs="Arial"/>
          <w:b/>
          <w:szCs w:val="22"/>
          <w:lang w:val="en-US" w:eastAsia="en-GB" w:bidi="ar-SA"/>
        </w:rPr>
        <w:t>Function Provider entity:</w:t>
      </w:r>
      <w:r>
        <w:rPr>
          <w:szCs w:val="22"/>
          <w:lang w:val="en-US" w:eastAsia="en-GB" w:bidi="ar-SA"/>
        </w:rPr>
        <w:t xml:space="preserve"> ISD-P</w:t>
      </w:r>
      <w:bookmarkEnd w:id="2653"/>
    </w:p>
    <w:p w14:paraId="63E08C0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is used to perform mutual authentication between the SM-DP and the eUICC and to establish a shared secret key set between the SM-DP and the ISD-P.</w:t>
      </w:r>
    </w:p>
    <w:p w14:paraId="3867D26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is based on Scenario 3 as defined in GlobalPlatform Card Specification Amendment E [11]. Scenario 3 is modified by adding the additional step of authentication of the SM-DP to the eUICC.</w:t>
      </w:r>
    </w:p>
    <w:p w14:paraId="01FEF982" w14:textId="1FEA32BC" w:rsidR="00B97365" w:rsidRDefault="00000000">
      <w:pPr>
        <w:spacing w:before="0" w:after="200" w:line="276" w:lineRule="auto"/>
        <w:jc w:val="left"/>
        <w:rPr>
          <w:szCs w:val="22"/>
          <w:lang w:val="en-US" w:eastAsia="en-GB" w:bidi="ar-SA"/>
        </w:rPr>
      </w:pPr>
      <w:r>
        <w:rPr>
          <w:rFonts w:cs="Arial"/>
          <w:szCs w:val="22"/>
          <w:lang w:val="en-US" w:eastAsia="en-GB" w:bidi="ar-SA"/>
        </w:rPr>
        <w:t xml:space="preserve">Adding this step to Scenario 3 requires an additional STORE DATA command to precede the command defined for Scenario 3. This new command provides the eUICC with the certificate of the SM-DP and retrieves a random challenge from the eUICC. This random challenge then has to be signed by the SM-DP and sent to the eUICC in the second command to prove to the eUICC that the SM-DP is in possession of the private key related to the certificate presented. The sequence is pictured in </w:t>
      </w:r>
      <w:r>
        <w:fldChar w:fldCharType="begin"/>
      </w:r>
      <w:r>
        <w:rPr>
          <w:szCs w:val="22"/>
          <w:lang w:val="en-US" w:eastAsia="en-GB" w:bidi="ar-SA"/>
        </w:rPr>
        <w:instrText xml:space="preserve"> REF _Ref373941249 \r \h </w:instrText>
      </w:r>
      <w:r>
        <w:fldChar w:fldCharType="separate"/>
      </w:r>
      <w:r w:rsidR="001D5AD9">
        <w:rPr>
          <w:szCs w:val="22"/>
          <w:lang w:val="en-US" w:eastAsia="en-GB" w:bidi="ar-SA"/>
        </w:rPr>
        <w:t>Figure 12</w:t>
      </w:r>
      <w:r>
        <w:fldChar w:fldCharType="end"/>
      </w:r>
      <w:r>
        <w:rPr>
          <w:szCs w:val="22"/>
          <w:lang w:val="en-US" w:eastAsia="en-GB" w:bidi="ar-SA"/>
        </w:rPr>
        <w:t xml:space="preserve"> of section </w:t>
      </w:r>
      <w:r>
        <w:fldChar w:fldCharType="begin"/>
      </w:r>
      <w:r>
        <w:instrText xml:space="preserve"> REF _Ref367973230 \r \h  \* MERGEFORMAT </w:instrText>
      </w:r>
      <w:r>
        <w:fldChar w:fldCharType="separate"/>
      </w:r>
      <w:r w:rsidR="001D5AD9" w:rsidRPr="001D5AD9">
        <w:rPr>
          <w:szCs w:val="22"/>
          <w:lang w:val="en-US" w:eastAsia="en-GB" w:bidi="ar-SA"/>
        </w:rPr>
        <w:t>3.1.2</w:t>
      </w:r>
      <w:r>
        <w:fldChar w:fldCharType="end"/>
      </w:r>
      <w:r>
        <w:rPr>
          <w:szCs w:val="22"/>
          <w:lang w:val="en-US" w:eastAsia="en-GB" w:bidi="ar-SA"/>
        </w:rPr>
        <w:t>.</w:t>
      </w:r>
    </w:p>
    <w:p w14:paraId="2DB6A607" w14:textId="77777777" w:rsidR="00B97365" w:rsidRDefault="00000000">
      <w:pPr>
        <w:tabs>
          <w:tab w:val="left" w:pos="1560"/>
        </w:tabs>
        <w:spacing w:before="0" w:after="200" w:line="276" w:lineRule="auto"/>
        <w:ind w:left="1560" w:hanging="1276"/>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A complementary scenario based on RSA is FFS.</w:t>
      </w:r>
    </w:p>
    <w:p w14:paraId="530C1E0E" w14:textId="77777777" w:rsidR="00B97365" w:rsidRDefault="00000000">
      <w:pPr>
        <w:tabs>
          <w:tab w:val="left" w:pos="1560"/>
        </w:tabs>
        <w:spacing w:before="0" w:after="200" w:line="276" w:lineRule="auto"/>
        <w:ind w:left="1560" w:hanging="1276"/>
        <w:jc w:val="left"/>
        <w:rPr>
          <w:rFonts w:cs="Arial"/>
          <w:szCs w:val="22"/>
          <w:lang w:val="en-US" w:eastAsia="en-GB" w:bidi="ar-SA"/>
        </w:rPr>
      </w:pPr>
      <w:r>
        <w:rPr>
          <w:rFonts w:cs="Arial"/>
          <w:szCs w:val="22"/>
          <w:lang w:val="en-US" w:eastAsia="en-GB" w:bidi="ar-SA"/>
        </w:rPr>
        <w:t>NOTE:</w:t>
      </w:r>
      <w:r>
        <w:rPr>
          <w:rFonts w:cs="Arial"/>
          <w:szCs w:val="22"/>
          <w:lang w:val="en-US" w:eastAsia="en-GB" w:bidi="ar-SA"/>
        </w:rPr>
        <w:tab/>
        <w:t>Although the Function Provider entity is denoted as being the ISD-P, the APDUs that transport this function are executed by the ISD-R. The ISD-R will forward the appropriate content to the ISD-P</w:t>
      </w:r>
    </w:p>
    <w:p w14:paraId="12E9E2D2" w14:textId="77777777" w:rsidR="00B97365" w:rsidRDefault="00000000">
      <w:pPr>
        <w:spacing w:before="0" w:after="200" w:line="276" w:lineRule="auto"/>
        <w:jc w:val="left"/>
        <w:rPr>
          <w:b/>
          <w:szCs w:val="22"/>
          <w:u w:val="single"/>
          <w:lang w:val="en-US" w:eastAsia="en-GB" w:bidi="ar-SA"/>
        </w:rPr>
      </w:pPr>
      <w:bookmarkStart w:id="2654" w:name="_Toc420594642"/>
      <w:r>
        <w:rPr>
          <w:rFonts w:cs="Arial"/>
          <w:b/>
          <w:szCs w:val="22"/>
          <w:u w:val="single"/>
          <w:lang w:val="en-US" w:eastAsia="en-GB" w:bidi="ar-SA"/>
        </w:rPr>
        <w:t>Parameters:</w:t>
      </w:r>
      <w:bookmarkEnd w:id="2654"/>
    </w:p>
    <w:p w14:paraId="31AF3CB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 ISD-P AID</w:t>
      </w:r>
    </w:p>
    <w:p w14:paraId="2AB8718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 xml:space="preserve"> Ephemeral public key of the SM-DP</w:t>
      </w:r>
    </w:p>
    <w:p w14:paraId="00E7FB0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 Certificate for the SM-DP</w:t>
      </w:r>
    </w:p>
    <w:p w14:paraId="5E94CFE4" w14:textId="77777777" w:rsidR="00B97365" w:rsidRDefault="00000000">
      <w:pPr>
        <w:spacing w:before="0" w:after="200" w:line="276" w:lineRule="auto"/>
        <w:jc w:val="left"/>
        <w:rPr>
          <w:b/>
          <w:szCs w:val="22"/>
          <w:u w:val="single"/>
          <w:lang w:val="en-US" w:eastAsia="en-GB" w:bidi="ar-SA"/>
        </w:rPr>
      </w:pPr>
      <w:bookmarkStart w:id="2655" w:name="_Toc420594643"/>
      <w:r>
        <w:rPr>
          <w:rFonts w:cs="Arial"/>
          <w:b/>
          <w:szCs w:val="22"/>
          <w:u w:val="single"/>
          <w:lang w:val="en-US" w:eastAsia="en-GB" w:bidi="ar-SA"/>
        </w:rPr>
        <w:t>Prerequisites:</w:t>
      </w:r>
      <w:bookmarkEnd w:id="2655"/>
    </w:p>
    <w:p w14:paraId="0DF8541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ECASD certificate was provided to and verified by the SM-DP</w:t>
      </w:r>
    </w:p>
    <w:p w14:paraId="0ABDE73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SM-DP has generated an ephemeral key pair</w:t>
      </w:r>
    </w:p>
    <w:p w14:paraId="325D11E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SM-DP has a signature from the CI</w:t>
      </w:r>
    </w:p>
    <w:p w14:paraId="3784F01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 was created</w:t>
      </w:r>
    </w:p>
    <w:p w14:paraId="01FA562E" w14:textId="77777777" w:rsidR="00B97365" w:rsidRDefault="00000000">
      <w:pPr>
        <w:spacing w:before="0" w:after="200" w:line="276" w:lineRule="auto"/>
        <w:jc w:val="left"/>
        <w:rPr>
          <w:b/>
          <w:szCs w:val="22"/>
          <w:u w:val="single"/>
          <w:lang w:val="en-US" w:eastAsia="en-GB" w:bidi="ar-SA"/>
        </w:rPr>
      </w:pPr>
      <w:bookmarkStart w:id="2656" w:name="_Toc420594644"/>
      <w:r>
        <w:rPr>
          <w:rFonts w:cs="Arial"/>
          <w:b/>
          <w:szCs w:val="22"/>
          <w:u w:val="single"/>
          <w:lang w:val="en-US" w:eastAsia="en-GB" w:bidi="ar-SA"/>
        </w:rPr>
        <w:t>Command Description:</w:t>
      </w:r>
      <w:bookmarkEnd w:id="2656"/>
    </w:p>
    <w:p w14:paraId="7BC8D74F" w14:textId="5274EE39"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is realized through GlobalPlatform </w:t>
      </w:r>
      <w:bookmarkStart w:id="2657" w:name="_Hlk368038037"/>
      <w:r>
        <w:rPr>
          <w:rFonts w:cs="Arial"/>
          <w:szCs w:val="22"/>
          <w:lang w:val="en-US" w:eastAsia="en-GB" w:bidi="ar-SA"/>
        </w:rPr>
        <w:t>INSTALL [for personalization]</w:t>
      </w:r>
      <w:bookmarkEnd w:id="2657"/>
      <w:r>
        <w:rPr>
          <w:rFonts w:cs="Arial"/>
          <w:szCs w:val="22"/>
          <w:lang w:val="en-US" w:eastAsia="en-GB" w:bidi="ar-SA"/>
        </w:rPr>
        <w:t xml:space="preserve"> and STORE DATA commands 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w:t>
      </w:r>
    </w:p>
    <w:p w14:paraId="62F8DF2C" w14:textId="77777777" w:rsidR="00B97365" w:rsidRDefault="00000000">
      <w:pPr>
        <w:spacing w:before="0" w:after="200" w:line="276" w:lineRule="auto"/>
        <w:jc w:val="left"/>
        <w:rPr>
          <w:b/>
          <w:i/>
          <w:szCs w:val="22"/>
          <w:lang w:val="en-US" w:eastAsia="en-GB" w:bidi="ar-SA"/>
        </w:rPr>
      </w:pPr>
      <w:bookmarkStart w:id="2658" w:name="_Toc420594645"/>
      <w:r>
        <w:rPr>
          <w:rFonts w:cs="Arial"/>
          <w:b/>
          <w:i/>
          <w:szCs w:val="22"/>
          <w:lang w:val="en-US" w:eastAsia="en-GB" w:bidi="ar-SA"/>
        </w:rPr>
        <w:t>INSTALL [for personalization] command</w:t>
      </w:r>
      <w:bookmarkEnd w:id="2658"/>
    </w:p>
    <w:p w14:paraId="009673EE" w14:textId="77777777" w:rsidR="00B97365" w:rsidRDefault="00000000">
      <w:pPr>
        <w:spacing w:before="0" w:after="200" w:line="276" w:lineRule="auto"/>
        <w:jc w:val="left"/>
        <w:rPr>
          <w:b/>
          <w:i/>
          <w:szCs w:val="22"/>
          <w:lang w:val="en-US" w:eastAsia="en-GB" w:bidi="ar-SA"/>
        </w:rPr>
      </w:pPr>
      <w:bookmarkStart w:id="2659" w:name="_Toc420594646"/>
      <w:r>
        <w:rPr>
          <w:rFonts w:cs="Arial"/>
          <w:b/>
          <w:i/>
          <w:szCs w:val="22"/>
          <w:lang w:val="en-US" w:eastAsia="en-GB" w:bidi="ar-SA"/>
        </w:rPr>
        <w:t>Command Message</w:t>
      </w:r>
      <w:bookmarkEnd w:id="265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542"/>
        <w:gridCol w:w="694"/>
        <w:gridCol w:w="4403"/>
      </w:tblGrid>
      <w:tr w:rsidR="00B97365" w14:paraId="2239B7B8"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6EA15E1" w14:textId="77777777" w:rsidR="00B97365" w:rsidRDefault="00000000">
            <w:pP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D5616DA" w14:textId="77777777" w:rsidR="00B97365" w:rsidRDefault="00000000">
            <w:pPr>
              <w:rPr>
                <w:rFonts w:cs="Calibri"/>
                <w:b/>
                <w:color w:val="FFFFFF"/>
                <w:sz w:val="16"/>
                <w:szCs w:val="16"/>
              </w:rPr>
            </w:pPr>
            <w:r>
              <w:rPr>
                <w:rFonts w:cs="Calibri"/>
                <w:b/>
                <w:color w:val="FFFFFF"/>
                <w:sz w:val="16"/>
                <w:szCs w:val="16"/>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AB7A4CA" w14:textId="77777777" w:rsidR="00B97365" w:rsidRDefault="00000000">
            <w:pPr>
              <w:rPr>
                <w:rFonts w:cs="Calibri"/>
                <w:b/>
                <w:color w:val="FFFFFF"/>
                <w:sz w:val="16"/>
                <w:szCs w:val="16"/>
              </w:rPr>
            </w:pPr>
            <w:r>
              <w:rPr>
                <w:rFonts w:cs="Calibri"/>
                <w:b/>
                <w:color w:val="FFFFFF"/>
                <w:sz w:val="16"/>
                <w:szCs w:val="16"/>
              </w:rPr>
              <w:t>Meaning</w:t>
            </w:r>
          </w:p>
        </w:tc>
      </w:tr>
      <w:tr w:rsidR="00B97365" w14:paraId="31DE0960"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B49DB9F" w14:textId="77777777" w:rsidR="00B97365" w:rsidRDefault="00000000">
            <w:pPr>
              <w:rPr>
                <w:rFonts w:cs="Calibri"/>
                <w:color w:val="000000"/>
                <w:sz w:val="16"/>
                <w:szCs w:val="16"/>
              </w:rPr>
            </w:pPr>
            <w:r>
              <w:rPr>
                <w:rFonts w:cs="Calibri"/>
                <w:color w:val="000000"/>
                <w:sz w:val="16"/>
                <w:szCs w:val="16"/>
              </w:rPr>
              <w:t>CLA</w:t>
            </w:r>
          </w:p>
        </w:tc>
        <w:tc>
          <w:tcPr>
            <w:tcW w:w="0" w:type="auto"/>
            <w:tcBorders>
              <w:top w:val="single" w:sz="6" w:space="0" w:color="auto"/>
              <w:left w:val="single" w:sz="6" w:space="0" w:color="auto"/>
              <w:bottom w:val="single" w:sz="6" w:space="0" w:color="auto"/>
              <w:right w:val="single" w:sz="6" w:space="0" w:color="auto"/>
            </w:tcBorders>
            <w:vAlign w:val="center"/>
            <w:hideMark/>
          </w:tcPr>
          <w:p w14:paraId="7B7B2B10" w14:textId="77777777" w:rsidR="00B97365" w:rsidRDefault="00000000">
            <w:pPr>
              <w:rPr>
                <w:rFonts w:cs="Calibri"/>
                <w:color w:val="000000"/>
                <w:sz w:val="16"/>
                <w:szCs w:val="16"/>
              </w:rPr>
            </w:pPr>
            <w:r>
              <w:rPr>
                <w:rFonts w:cs="Calibri"/>
                <w:color w:val="000000"/>
                <w:sz w:val="16"/>
                <w:szCs w:val="16"/>
              </w:rPr>
              <w:t>‘80’</w:t>
            </w:r>
          </w:p>
        </w:tc>
        <w:tc>
          <w:tcPr>
            <w:tcW w:w="0" w:type="auto"/>
            <w:tcBorders>
              <w:top w:val="single" w:sz="6" w:space="0" w:color="auto"/>
              <w:left w:val="single" w:sz="6" w:space="0" w:color="auto"/>
              <w:bottom w:val="single" w:sz="6" w:space="0" w:color="auto"/>
              <w:right w:val="single" w:sz="4" w:space="0" w:color="auto"/>
            </w:tcBorders>
            <w:vAlign w:val="center"/>
            <w:hideMark/>
          </w:tcPr>
          <w:p w14:paraId="3F300FE1" w14:textId="77777777" w:rsidR="00B97365" w:rsidRDefault="00000000">
            <w:pPr>
              <w:rPr>
                <w:rFonts w:cs="Calibri"/>
                <w:color w:val="000000"/>
                <w:sz w:val="16"/>
                <w:szCs w:val="16"/>
              </w:rPr>
            </w:pPr>
            <w:r>
              <w:rPr>
                <w:rFonts w:cs="Calibri"/>
                <w:color w:val="000000"/>
                <w:sz w:val="16"/>
                <w:szCs w:val="16"/>
              </w:rPr>
              <w:t>See GlobalPlatform Card Specification section 11.1</w:t>
            </w:r>
          </w:p>
        </w:tc>
      </w:tr>
      <w:tr w:rsidR="00B97365" w14:paraId="0F236F25"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E1A6B29" w14:textId="77777777" w:rsidR="00B97365" w:rsidRDefault="00000000">
            <w:pPr>
              <w:rPr>
                <w:rFonts w:cs="Calibri"/>
                <w:color w:val="000000"/>
                <w:sz w:val="16"/>
                <w:szCs w:val="16"/>
              </w:rPr>
            </w:pPr>
            <w:r>
              <w:rPr>
                <w:rFonts w:cs="Calibri"/>
                <w:color w:val="000000"/>
                <w:sz w:val="16"/>
                <w:szCs w:val="16"/>
              </w:rPr>
              <w:t>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468DE214" w14:textId="77777777" w:rsidR="00B97365" w:rsidRDefault="00000000">
            <w:pPr>
              <w:tabs>
                <w:tab w:val="right" w:pos="7938"/>
              </w:tabs>
              <w:ind w:left="470" w:hanging="459"/>
              <w:rPr>
                <w:rFonts w:cs="Calibri"/>
                <w:color w:val="000000"/>
                <w:sz w:val="16"/>
                <w:szCs w:val="16"/>
              </w:rPr>
            </w:pPr>
            <w:r>
              <w:rPr>
                <w:rFonts w:cs="Calibri"/>
                <w:color w:val="000000"/>
                <w:sz w:val="16"/>
                <w:szCs w:val="16"/>
              </w:rPr>
              <w:t>‘E6’</w:t>
            </w:r>
          </w:p>
        </w:tc>
        <w:tc>
          <w:tcPr>
            <w:tcW w:w="0" w:type="auto"/>
            <w:tcBorders>
              <w:top w:val="single" w:sz="6" w:space="0" w:color="auto"/>
              <w:left w:val="single" w:sz="6" w:space="0" w:color="auto"/>
              <w:bottom w:val="single" w:sz="6" w:space="0" w:color="auto"/>
              <w:right w:val="single" w:sz="4" w:space="0" w:color="auto"/>
            </w:tcBorders>
            <w:vAlign w:val="center"/>
            <w:hideMark/>
          </w:tcPr>
          <w:p w14:paraId="4C26FF78" w14:textId="77777777" w:rsidR="00B97365" w:rsidRDefault="00000000">
            <w:pPr>
              <w:tabs>
                <w:tab w:val="right" w:pos="7938"/>
              </w:tabs>
              <w:ind w:left="470" w:hanging="459"/>
              <w:rPr>
                <w:rFonts w:cs="Calibri"/>
                <w:color w:val="000000"/>
                <w:sz w:val="16"/>
                <w:szCs w:val="16"/>
              </w:rPr>
            </w:pPr>
            <w:r>
              <w:rPr>
                <w:rFonts w:cs="Calibri"/>
                <w:color w:val="000000"/>
                <w:sz w:val="16"/>
                <w:szCs w:val="16"/>
              </w:rPr>
              <w:t>INSTALL</w:t>
            </w:r>
          </w:p>
        </w:tc>
      </w:tr>
      <w:tr w:rsidR="00B97365" w14:paraId="3935F890"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D6B9C08" w14:textId="77777777" w:rsidR="00B97365" w:rsidRDefault="00000000">
            <w:pPr>
              <w:tabs>
                <w:tab w:val="right" w:pos="7938"/>
              </w:tabs>
              <w:ind w:left="470" w:hanging="459"/>
              <w:rPr>
                <w:rFonts w:cs="Calibri"/>
                <w:color w:val="000000"/>
                <w:sz w:val="16"/>
                <w:szCs w:val="16"/>
              </w:rPr>
            </w:pPr>
            <w:r>
              <w:rPr>
                <w:rFonts w:cs="Calibri"/>
                <w:color w:val="000000"/>
                <w:sz w:val="16"/>
                <w:szCs w:val="16"/>
              </w:rPr>
              <w:t>P1</w:t>
            </w:r>
          </w:p>
        </w:tc>
        <w:tc>
          <w:tcPr>
            <w:tcW w:w="0" w:type="auto"/>
            <w:tcBorders>
              <w:top w:val="single" w:sz="6" w:space="0" w:color="auto"/>
              <w:left w:val="single" w:sz="6" w:space="0" w:color="auto"/>
              <w:bottom w:val="single" w:sz="6" w:space="0" w:color="auto"/>
              <w:right w:val="single" w:sz="6" w:space="0" w:color="auto"/>
            </w:tcBorders>
            <w:vAlign w:val="center"/>
            <w:hideMark/>
          </w:tcPr>
          <w:p w14:paraId="044DC497" w14:textId="77777777" w:rsidR="00B97365" w:rsidRDefault="00000000">
            <w:pPr>
              <w:rPr>
                <w:rFonts w:cs="Calibri"/>
                <w:b/>
                <w:i/>
                <w:color w:val="000000"/>
                <w:sz w:val="16"/>
                <w:szCs w:val="16"/>
              </w:rPr>
            </w:pPr>
            <w:r>
              <w:rPr>
                <w:rFonts w:cs="Calibri"/>
                <w:color w:val="000000"/>
                <w:sz w:val="16"/>
                <w:szCs w:val="16"/>
              </w:rPr>
              <w:t>‘20’</w:t>
            </w:r>
          </w:p>
        </w:tc>
        <w:tc>
          <w:tcPr>
            <w:tcW w:w="0" w:type="auto"/>
            <w:tcBorders>
              <w:top w:val="single" w:sz="6" w:space="0" w:color="auto"/>
              <w:left w:val="single" w:sz="6" w:space="0" w:color="auto"/>
              <w:bottom w:val="single" w:sz="6" w:space="0" w:color="auto"/>
              <w:right w:val="single" w:sz="4" w:space="0" w:color="auto"/>
            </w:tcBorders>
            <w:vAlign w:val="center"/>
            <w:hideMark/>
          </w:tcPr>
          <w:p w14:paraId="367B74A0" w14:textId="450CDE75" w:rsidR="00B97365" w:rsidRDefault="00000000">
            <w:pPr>
              <w:tabs>
                <w:tab w:val="left" w:pos="0"/>
                <w:tab w:val="right" w:pos="7938"/>
              </w:tabs>
              <w:ind w:left="470" w:hanging="459"/>
              <w:rPr>
                <w:rFonts w:cs="Calibri"/>
                <w:color w:val="000000"/>
                <w:sz w:val="16"/>
                <w:szCs w:val="16"/>
              </w:rPr>
            </w:pPr>
            <w:r>
              <w:rPr>
                <w:rFonts w:cs="Calibri"/>
                <w:color w:val="000000"/>
                <w:sz w:val="16"/>
                <w:szCs w:val="16"/>
              </w:rPr>
              <w:t xml:space="preserve">See </w:t>
            </w:r>
            <w:r>
              <w:rPr>
                <w:rFonts w:cs="Calibri"/>
                <w:sz w:val="16"/>
                <w:szCs w:val="16"/>
              </w:rPr>
              <w:t xml:space="preserve">GlobalPlatform </w:t>
            </w:r>
            <w:r>
              <w:rPr>
                <w:rFonts w:cs="Calibri"/>
                <w:color w:val="000000"/>
                <w:sz w:val="16"/>
                <w:szCs w:val="16"/>
              </w:rPr>
              <w:t xml:space="preserve">Card Specification </w:t>
            </w:r>
            <w:r>
              <w:fldChar w:fldCharType="begin"/>
            </w:r>
            <w:r>
              <w:rPr>
                <w:rFonts w:cs="Calibri"/>
                <w:color w:val="000000"/>
                <w:sz w:val="16"/>
                <w:szCs w:val="16"/>
              </w:rPr>
              <w:instrText xml:space="preserve"> REF _Ref421632368 \r \h </w:instrText>
            </w:r>
            <w:r>
              <w:fldChar w:fldCharType="separate"/>
            </w:r>
            <w:r w:rsidR="001D5AD9">
              <w:rPr>
                <w:rFonts w:cs="Calibri"/>
                <w:color w:val="000000"/>
                <w:sz w:val="16"/>
                <w:szCs w:val="16"/>
              </w:rPr>
              <w:t>[8]</w:t>
            </w:r>
            <w:r>
              <w:fldChar w:fldCharType="end"/>
            </w:r>
            <w:r>
              <w:rPr>
                <w:rFonts w:cs="Calibri"/>
                <w:sz w:val="16"/>
                <w:szCs w:val="16"/>
              </w:rPr>
              <w:t xml:space="preserve"> </w:t>
            </w:r>
            <w:r>
              <w:rPr>
                <w:rFonts w:cs="Calibri"/>
                <w:color w:val="000000"/>
                <w:sz w:val="16"/>
                <w:szCs w:val="16"/>
              </w:rPr>
              <w:t>section 11.5.2.1</w:t>
            </w:r>
          </w:p>
        </w:tc>
      </w:tr>
      <w:tr w:rsidR="00B97365" w14:paraId="638EDB4D"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68D8F5E" w14:textId="77777777" w:rsidR="00B97365" w:rsidRDefault="00000000">
            <w:pPr>
              <w:jc w:val="center"/>
              <w:rPr>
                <w:rFonts w:cs="Calibri"/>
                <w:sz w:val="16"/>
                <w:szCs w:val="16"/>
              </w:rPr>
            </w:pPr>
            <w:r>
              <w:rPr>
                <w:rFonts w:cs="Calibri"/>
                <w:sz w:val="16"/>
                <w:szCs w:val="16"/>
              </w:rPr>
              <w:t>P2</w:t>
            </w:r>
          </w:p>
        </w:tc>
        <w:tc>
          <w:tcPr>
            <w:tcW w:w="0" w:type="auto"/>
            <w:tcBorders>
              <w:top w:val="single" w:sz="6" w:space="0" w:color="auto"/>
              <w:left w:val="single" w:sz="6" w:space="0" w:color="auto"/>
              <w:bottom w:val="single" w:sz="6" w:space="0" w:color="auto"/>
              <w:right w:val="single" w:sz="6" w:space="0" w:color="auto"/>
            </w:tcBorders>
            <w:vAlign w:val="center"/>
            <w:hideMark/>
          </w:tcPr>
          <w:p w14:paraId="5FC1E7EE" w14:textId="77777777" w:rsidR="00B97365" w:rsidRDefault="00000000">
            <w:pPr>
              <w:jc w:val="center"/>
              <w:rPr>
                <w:rFonts w:cs="Calibri"/>
                <w:sz w:val="16"/>
                <w:szCs w:val="16"/>
              </w:rPr>
            </w:pPr>
            <w:r>
              <w:rPr>
                <w:rFonts w:cs="Calibri"/>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2CEB8D0C" w14:textId="52B5525C" w:rsidR="00B97365" w:rsidRDefault="00000000">
            <w:pPr>
              <w:jc w:val="center"/>
              <w:rPr>
                <w:rFonts w:cs="Calibri"/>
                <w:color w:val="000000"/>
                <w:sz w:val="16"/>
                <w:szCs w:val="16"/>
              </w:rPr>
            </w:pPr>
            <w:r>
              <w:rPr>
                <w:rFonts w:cs="Calibri"/>
                <w:color w:val="000000"/>
                <w:sz w:val="16"/>
                <w:szCs w:val="16"/>
              </w:rPr>
              <w:t xml:space="preserve">See </w:t>
            </w:r>
            <w:r>
              <w:rPr>
                <w:rFonts w:cs="Calibri"/>
                <w:sz w:val="16"/>
                <w:szCs w:val="16"/>
              </w:rPr>
              <w:t xml:space="preserve">GlobalPlatform </w:t>
            </w:r>
            <w:r>
              <w:rPr>
                <w:rFonts w:cs="Calibri"/>
                <w:color w:val="000000"/>
                <w:sz w:val="16"/>
                <w:szCs w:val="16"/>
              </w:rPr>
              <w:t xml:space="preserve">Card Specification </w:t>
            </w:r>
            <w:r>
              <w:fldChar w:fldCharType="begin"/>
            </w:r>
            <w:r>
              <w:rPr>
                <w:rFonts w:cs="Calibri"/>
                <w:color w:val="000000"/>
                <w:sz w:val="16"/>
                <w:szCs w:val="16"/>
              </w:rPr>
              <w:instrText xml:space="preserve"> REF _Ref421632368 \r \h </w:instrText>
            </w:r>
            <w:r>
              <w:fldChar w:fldCharType="separate"/>
            </w:r>
            <w:r w:rsidR="001D5AD9">
              <w:rPr>
                <w:rFonts w:cs="Calibri"/>
                <w:color w:val="000000"/>
                <w:sz w:val="16"/>
                <w:szCs w:val="16"/>
              </w:rPr>
              <w:t>[8]</w:t>
            </w:r>
            <w:r>
              <w:fldChar w:fldCharType="end"/>
            </w:r>
            <w:r>
              <w:rPr>
                <w:rFonts w:cs="Calibri"/>
                <w:sz w:val="16"/>
                <w:szCs w:val="16"/>
              </w:rPr>
              <w:t xml:space="preserve"> </w:t>
            </w:r>
            <w:r>
              <w:rPr>
                <w:rFonts w:cs="Calibri"/>
                <w:color w:val="000000"/>
                <w:sz w:val="16"/>
                <w:szCs w:val="16"/>
              </w:rPr>
              <w:t>section 11.5.2.2</w:t>
            </w:r>
          </w:p>
        </w:tc>
      </w:tr>
      <w:tr w:rsidR="00B97365" w14:paraId="52FD2D04"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A7FFFEC" w14:textId="77777777" w:rsidR="00B97365" w:rsidRDefault="00000000">
            <w:pPr>
              <w:jc w:val="center"/>
              <w:rPr>
                <w:rFonts w:cs="Calibri"/>
                <w:sz w:val="16"/>
                <w:szCs w:val="16"/>
              </w:rPr>
            </w:pPr>
            <w:r>
              <w:rPr>
                <w:rFonts w:cs="Calibri"/>
                <w:sz w:val="16"/>
                <w:szCs w:val="16"/>
              </w:rPr>
              <w:t>Lc</w:t>
            </w:r>
          </w:p>
        </w:tc>
        <w:tc>
          <w:tcPr>
            <w:tcW w:w="0" w:type="auto"/>
            <w:tcBorders>
              <w:top w:val="single" w:sz="6" w:space="0" w:color="auto"/>
              <w:left w:val="single" w:sz="6" w:space="0" w:color="auto"/>
              <w:bottom w:val="single" w:sz="6" w:space="0" w:color="auto"/>
              <w:right w:val="single" w:sz="6" w:space="0" w:color="auto"/>
            </w:tcBorders>
            <w:vAlign w:val="center"/>
            <w:hideMark/>
          </w:tcPr>
          <w:p w14:paraId="1B89F09B" w14:textId="77777777" w:rsidR="00B97365" w:rsidRDefault="00000000">
            <w:pPr>
              <w:jc w:val="center"/>
              <w:rPr>
                <w:rFonts w:cs="Calibri"/>
                <w:sz w:val="16"/>
                <w:szCs w:val="16"/>
              </w:rPr>
            </w:pPr>
            <w:r>
              <w:rPr>
                <w:rFonts w:cs="Calibri"/>
                <w:sz w:val="16"/>
                <w:szCs w:val="16"/>
              </w:rPr>
              <w:t>‘xx’</w:t>
            </w:r>
          </w:p>
        </w:tc>
        <w:tc>
          <w:tcPr>
            <w:tcW w:w="0" w:type="auto"/>
            <w:tcBorders>
              <w:top w:val="single" w:sz="6" w:space="0" w:color="auto"/>
              <w:left w:val="single" w:sz="6" w:space="0" w:color="auto"/>
              <w:bottom w:val="single" w:sz="6" w:space="0" w:color="auto"/>
              <w:right w:val="single" w:sz="4" w:space="0" w:color="auto"/>
            </w:tcBorders>
            <w:vAlign w:val="center"/>
            <w:hideMark/>
          </w:tcPr>
          <w:p w14:paraId="15E02521" w14:textId="77777777" w:rsidR="00B97365" w:rsidRDefault="00000000">
            <w:pPr>
              <w:tabs>
                <w:tab w:val="right" w:pos="7938"/>
              </w:tabs>
              <w:ind w:left="470" w:hanging="459"/>
              <w:rPr>
                <w:rFonts w:cs="Calibri"/>
                <w:color w:val="000000"/>
                <w:sz w:val="16"/>
                <w:szCs w:val="16"/>
              </w:rPr>
            </w:pPr>
            <w:r>
              <w:rPr>
                <w:rFonts w:cs="Calibri"/>
                <w:color w:val="000000"/>
                <w:sz w:val="16"/>
                <w:szCs w:val="16"/>
              </w:rPr>
              <w:t>Data Field Length</w:t>
            </w:r>
          </w:p>
        </w:tc>
      </w:tr>
      <w:tr w:rsidR="00B97365" w14:paraId="327AC0EB"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5B4DDF9" w14:textId="77777777" w:rsidR="00B97365" w:rsidRDefault="00000000">
            <w:pPr>
              <w:jc w:val="center"/>
              <w:rPr>
                <w:rFonts w:cs="Calibri"/>
                <w:sz w:val="16"/>
                <w:szCs w:val="16"/>
              </w:rPr>
            </w:pPr>
            <w:r>
              <w:rPr>
                <w:rFonts w:cs="Calibri"/>
                <w:sz w:val="16"/>
                <w:szCs w:val="16"/>
              </w:rPr>
              <w:t>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16B48C66" w14:textId="77777777" w:rsidR="00B97365" w:rsidRDefault="00000000">
            <w:pPr>
              <w:jc w:val="center"/>
              <w:rPr>
                <w:rFonts w:cs="Calibri"/>
                <w:sz w:val="16"/>
                <w:szCs w:val="16"/>
              </w:rPr>
            </w:pPr>
            <w:r>
              <w:rPr>
                <w:rFonts w:cs="Calibri"/>
                <w:sz w:val="16"/>
                <w:szCs w:val="16"/>
              </w:rPr>
              <w:t>‘xxxx…’</w:t>
            </w:r>
          </w:p>
        </w:tc>
        <w:tc>
          <w:tcPr>
            <w:tcW w:w="0" w:type="auto"/>
            <w:tcBorders>
              <w:top w:val="single" w:sz="6" w:space="0" w:color="auto"/>
              <w:left w:val="single" w:sz="6" w:space="0" w:color="auto"/>
              <w:bottom w:val="single" w:sz="6" w:space="0" w:color="auto"/>
              <w:right w:val="single" w:sz="4" w:space="0" w:color="auto"/>
            </w:tcBorders>
            <w:vAlign w:val="center"/>
            <w:hideMark/>
          </w:tcPr>
          <w:p w14:paraId="277AF0F5" w14:textId="679D89D1" w:rsidR="00B97365" w:rsidRDefault="00000000">
            <w:pPr>
              <w:jc w:val="center"/>
              <w:rPr>
                <w:rFonts w:cs="Calibri"/>
                <w:color w:val="000000"/>
                <w:sz w:val="16"/>
                <w:szCs w:val="16"/>
              </w:rPr>
            </w:pPr>
            <w:r>
              <w:rPr>
                <w:rFonts w:cs="Calibri"/>
                <w:color w:val="000000"/>
                <w:sz w:val="16"/>
                <w:szCs w:val="16"/>
              </w:rPr>
              <w:t xml:space="preserve">See </w:t>
            </w:r>
            <w:r>
              <w:rPr>
                <w:rFonts w:cs="Calibri"/>
                <w:sz w:val="16"/>
                <w:szCs w:val="16"/>
              </w:rPr>
              <w:t xml:space="preserve">GlobalPlatform </w:t>
            </w:r>
            <w:r>
              <w:rPr>
                <w:rFonts w:cs="Calibri"/>
                <w:color w:val="000000"/>
                <w:sz w:val="16"/>
                <w:szCs w:val="16"/>
              </w:rPr>
              <w:t xml:space="preserve">Card Specification </w:t>
            </w:r>
            <w:r>
              <w:fldChar w:fldCharType="begin"/>
            </w:r>
            <w:r>
              <w:rPr>
                <w:rFonts w:cs="Calibri"/>
                <w:color w:val="000000"/>
                <w:sz w:val="16"/>
                <w:szCs w:val="16"/>
              </w:rPr>
              <w:instrText xml:space="preserve"> REF _Ref421632368 \r \h </w:instrText>
            </w:r>
            <w:r>
              <w:fldChar w:fldCharType="separate"/>
            </w:r>
            <w:r w:rsidR="001D5AD9">
              <w:rPr>
                <w:rFonts w:cs="Calibri"/>
                <w:color w:val="000000"/>
                <w:sz w:val="16"/>
                <w:szCs w:val="16"/>
              </w:rPr>
              <w:t>[8]</w:t>
            </w:r>
            <w:r>
              <w:fldChar w:fldCharType="end"/>
            </w:r>
            <w:r>
              <w:rPr>
                <w:rFonts w:cs="Calibri"/>
                <w:sz w:val="16"/>
                <w:szCs w:val="16"/>
              </w:rPr>
              <w:t xml:space="preserve"> </w:t>
            </w:r>
            <w:r>
              <w:rPr>
                <w:rFonts w:cs="Calibri"/>
                <w:color w:val="000000"/>
                <w:sz w:val="16"/>
                <w:szCs w:val="16"/>
              </w:rPr>
              <w:t>section 11.5.2.3.6</w:t>
            </w:r>
          </w:p>
        </w:tc>
      </w:tr>
      <w:tr w:rsidR="00B97365" w14:paraId="07C37E6A" w14:textId="77777777">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A47D003" w14:textId="77777777" w:rsidR="00B97365" w:rsidRDefault="00000000">
            <w:pPr>
              <w:jc w:val="center"/>
              <w:rPr>
                <w:rFonts w:cs="Calibri"/>
                <w:sz w:val="16"/>
                <w:szCs w:val="16"/>
              </w:rPr>
            </w:pPr>
            <w:r>
              <w:rPr>
                <w:rFonts w:cs="Calibri"/>
                <w:sz w:val="16"/>
                <w:szCs w:val="16"/>
              </w:rPr>
              <w:t>Le</w:t>
            </w:r>
          </w:p>
        </w:tc>
        <w:tc>
          <w:tcPr>
            <w:tcW w:w="0" w:type="auto"/>
            <w:tcBorders>
              <w:top w:val="single" w:sz="6" w:space="0" w:color="auto"/>
              <w:left w:val="single" w:sz="6" w:space="0" w:color="auto"/>
              <w:bottom w:val="single" w:sz="4" w:space="0" w:color="auto"/>
              <w:right w:val="single" w:sz="6" w:space="0" w:color="auto"/>
            </w:tcBorders>
            <w:vAlign w:val="center"/>
            <w:hideMark/>
          </w:tcPr>
          <w:p w14:paraId="2003D85C" w14:textId="77777777" w:rsidR="00B97365" w:rsidRDefault="00000000">
            <w:pPr>
              <w:jc w:val="center"/>
              <w:rPr>
                <w:rFonts w:cs="Calibri"/>
                <w:sz w:val="16"/>
                <w:szCs w:val="16"/>
              </w:rPr>
            </w:pPr>
            <w:r>
              <w:rPr>
                <w:rFonts w:cs="Calibri"/>
                <w:sz w:val="16"/>
                <w:szCs w:val="16"/>
              </w:rPr>
              <w:t>‘00’</w:t>
            </w:r>
          </w:p>
        </w:tc>
        <w:tc>
          <w:tcPr>
            <w:tcW w:w="0" w:type="auto"/>
            <w:tcBorders>
              <w:top w:val="single" w:sz="6" w:space="0" w:color="auto"/>
              <w:left w:val="single" w:sz="6" w:space="0" w:color="auto"/>
              <w:bottom w:val="single" w:sz="4" w:space="0" w:color="auto"/>
              <w:right w:val="single" w:sz="4" w:space="0" w:color="auto"/>
            </w:tcBorders>
            <w:vAlign w:val="center"/>
          </w:tcPr>
          <w:p w14:paraId="4E901005" w14:textId="77777777" w:rsidR="00B97365" w:rsidRDefault="00B97365">
            <w:pPr>
              <w:jc w:val="center"/>
              <w:rPr>
                <w:rFonts w:cs="Calibri"/>
                <w:color w:val="000000"/>
                <w:sz w:val="16"/>
                <w:szCs w:val="16"/>
              </w:rPr>
            </w:pPr>
          </w:p>
        </w:tc>
      </w:tr>
    </w:tbl>
    <w:p w14:paraId="71D55FE1"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xml:space="preserve">: INSTALL [for Personalization] Command Message </w:t>
      </w:r>
    </w:p>
    <w:p w14:paraId="21CC1D7F" w14:textId="77777777" w:rsidR="00B97365" w:rsidRDefault="00000000">
      <w:pPr>
        <w:spacing w:before="0"/>
        <w:jc w:val="left"/>
        <w:rPr>
          <w:rFonts w:cs="Arial"/>
          <w:b/>
          <w:i/>
          <w:szCs w:val="22"/>
          <w:lang w:val="en-US" w:eastAsia="en-GB" w:bidi="ar-SA"/>
        </w:rPr>
      </w:pPr>
      <w:r>
        <w:rPr>
          <w:rFonts w:cs="Arial"/>
          <w:b/>
          <w:i/>
          <w:szCs w:val="22"/>
          <w:lang w:val="en-US" w:eastAsia="en-GB" w:bidi="ar-SA"/>
        </w:rPr>
        <w:t xml:space="preserve">Reference Control Parameter P1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20"/>
        <w:gridCol w:w="320"/>
        <w:gridCol w:w="320"/>
        <w:gridCol w:w="320"/>
        <w:gridCol w:w="320"/>
        <w:gridCol w:w="320"/>
        <w:gridCol w:w="320"/>
        <w:gridCol w:w="320"/>
        <w:gridCol w:w="1503"/>
      </w:tblGrid>
      <w:tr w:rsidR="00B97365" w14:paraId="75563038"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E945433" w14:textId="77777777" w:rsidR="00B97365" w:rsidRDefault="00000000">
            <w:pPr>
              <w:rPr>
                <w:rFonts w:cs="Calibri"/>
                <w:color w:val="FFFFFF"/>
                <w:sz w:val="16"/>
                <w:szCs w:val="16"/>
              </w:rPr>
            </w:pPr>
            <w:r>
              <w:rPr>
                <w:rFonts w:cs="Calibri"/>
                <w:color w:val="FFFFFF"/>
                <w:sz w:val="16"/>
                <w:szCs w:val="16"/>
              </w:rPr>
              <w:t xml:space="preserve">b8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6EF1D0" w14:textId="77777777" w:rsidR="00B97365" w:rsidRDefault="00000000">
            <w:pPr>
              <w:rPr>
                <w:rFonts w:cs="Calibri"/>
                <w:color w:val="FFFFFF"/>
                <w:sz w:val="16"/>
                <w:szCs w:val="16"/>
              </w:rPr>
            </w:pPr>
            <w:r>
              <w:rPr>
                <w:rFonts w:cs="Calibri"/>
                <w:color w:val="FFFFFF"/>
                <w:sz w:val="16"/>
                <w:szCs w:val="16"/>
              </w:rPr>
              <w:t xml:space="preserve">b7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A3F5E67" w14:textId="77777777" w:rsidR="00B97365" w:rsidRDefault="00000000">
            <w:pPr>
              <w:rPr>
                <w:rFonts w:cs="Calibri"/>
                <w:color w:val="FFFFFF"/>
                <w:sz w:val="16"/>
                <w:szCs w:val="16"/>
              </w:rPr>
            </w:pPr>
            <w:r>
              <w:rPr>
                <w:rFonts w:cs="Calibri"/>
                <w:color w:val="FFFFFF"/>
                <w:sz w:val="16"/>
                <w:szCs w:val="16"/>
              </w:rPr>
              <w:t xml:space="preserve">b6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C1564D8" w14:textId="77777777" w:rsidR="00B97365" w:rsidRDefault="00000000">
            <w:pPr>
              <w:rPr>
                <w:rFonts w:cs="Calibri"/>
                <w:color w:val="FFFFFF"/>
                <w:sz w:val="16"/>
                <w:szCs w:val="16"/>
              </w:rPr>
            </w:pPr>
            <w:r>
              <w:rPr>
                <w:rFonts w:cs="Calibri"/>
                <w:color w:val="FFFFFF"/>
                <w:sz w:val="16"/>
                <w:szCs w:val="16"/>
              </w:rPr>
              <w:t xml:space="preserve">b5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BCA7AA0" w14:textId="77777777" w:rsidR="00B97365" w:rsidRDefault="00000000">
            <w:pPr>
              <w:rPr>
                <w:rFonts w:cs="Calibri"/>
                <w:color w:val="FFFFFF"/>
                <w:sz w:val="16"/>
                <w:szCs w:val="16"/>
              </w:rPr>
            </w:pPr>
            <w:r>
              <w:rPr>
                <w:rFonts w:cs="Calibri"/>
                <w:color w:val="FFFFFF"/>
                <w:sz w:val="16"/>
                <w:szCs w:val="16"/>
              </w:rPr>
              <w:t xml:space="preserve">b4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1CF22E5" w14:textId="77777777" w:rsidR="00B97365" w:rsidRDefault="00000000">
            <w:pPr>
              <w:rPr>
                <w:rFonts w:cs="Calibri"/>
                <w:color w:val="FFFFFF"/>
                <w:sz w:val="16"/>
                <w:szCs w:val="16"/>
              </w:rPr>
            </w:pPr>
            <w:r>
              <w:rPr>
                <w:rFonts w:cs="Calibri"/>
                <w:color w:val="FFFFFF"/>
                <w:sz w:val="16"/>
                <w:szCs w:val="16"/>
              </w:rPr>
              <w:t xml:space="preserve">b3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27A6BB4" w14:textId="77777777" w:rsidR="00B97365" w:rsidRDefault="00000000">
            <w:pPr>
              <w:rPr>
                <w:rFonts w:cs="Calibri"/>
                <w:color w:val="FFFFFF"/>
                <w:sz w:val="16"/>
                <w:szCs w:val="16"/>
              </w:rPr>
            </w:pPr>
            <w:r>
              <w:rPr>
                <w:rFonts w:cs="Calibri"/>
                <w:color w:val="FFFFFF"/>
                <w:sz w:val="16"/>
                <w:szCs w:val="16"/>
              </w:rPr>
              <w:t xml:space="preserve">b2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D82C14A" w14:textId="77777777" w:rsidR="00B97365" w:rsidRDefault="00000000">
            <w:pPr>
              <w:rPr>
                <w:rFonts w:cs="Calibri"/>
                <w:color w:val="FFFFFF"/>
                <w:sz w:val="16"/>
                <w:szCs w:val="16"/>
              </w:rPr>
            </w:pPr>
            <w:r>
              <w:rPr>
                <w:rFonts w:cs="Calibri"/>
                <w:color w:val="FFFFFF"/>
                <w:sz w:val="16"/>
                <w:szCs w:val="16"/>
              </w:rPr>
              <w:t xml:space="preserve">b1 </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C3E191C" w14:textId="77777777" w:rsidR="00B97365" w:rsidRDefault="00000000">
            <w:pPr>
              <w:rPr>
                <w:rFonts w:cs="Calibri"/>
                <w:color w:val="FFFFFF"/>
                <w:sz w:val="16"/>
                <w:szCs w:val="16"/>
              </w:rPr>
            </w:pPr>
            <w:r>
              <w:rPr>
                <w:rFonts w:cs="Calibri"/>
                <w:color w:val="FFFFFF"/>
                <w:sz w:val="16"/>
                <w:szCs w:val="16"/>
              </w:rPr>
              <w:t xml:space="preserve">Meaning </w:t>
            </w:r>
          </w:p>
        </w:tc>
      </w:tr>
      <w:tr w:rsidR="00B97365" w14:paraId="762D1143" w14:textId="77777777">
        <w:trPr>
          <w:tblHeade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684C7AA"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2EEC66DA" w14:textId="77777777" w:rsidR="00B97365" w:rsidRDefault="00000000">
            <w:pPr>
              <w:rPr>
                <w:rFonts w:cs="Calibri"/>
                <w:b/>
                <w:color w:val="000000"/>
                <w:sz w:val="16"/>
                <w:szCs w:val="16"/>
              </w:rPr>
            </w:pPr>
            <w:r>
              <w:rPr>
                <w:rFonts w:cs="Calibri"/>
                <w:color w:val="000000"/>
                <w:sz w:val="16"/>
                <w:szCs w:val="16"/>
              </w:rPr>
              <w:t xml:space="preserve"> 0 </w:t>
            </w:r>
          </w:p>
        </w:tc>
        <w:tc>
          <w:tcPr>
            <w:tcW w:w="0" w:type="auto"/>
            <w:tcBorders>
              <w:top w:val="single" w:sz="6" w:space="0" w:color="auto"/>
              <w:left w:val="single" w:sz="6" w:space="0" w:color="auto"/>
              <w:bottom w:val="single" w:sz="4" w:space="0" w:color="auto"/>
              <w:right w:val="single" w:sz="6" w:space="0" w:color="auto"/>
            </w:tcBorders>
            <w:vAlign w:val="center"/>
            <w:hideMark/>
          </w:tcPr>
          <w:p w14:paraId="3E328579" w14:textId="77777777" w:rsidR="00B97365" w:rsidRDefault="00000000">
            <w:pPr>
              <w:rPr>
                <w:rFonts w:cs="Calibri"/>
                <w:b/>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4" w:space="0" w:color="auto"/>
              <w:right w:val="single" w:sz="6" w:space="0" w:color="auto"/>
            </w:tcBorders>
            <w:vAlign w:val="center"/>
            <w:hideMark/>
          </w:tcPr>
          <w:p w14:paraId="3337495A"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6B05C5BA"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577F6E13"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4EAEB255"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6" w:space="0" w:color="auto"/>
            </w:tcBorders>
            <w:vAlign w:val="center"/>
            <w:hideMark/>
          </w:tcPr>
          <w:p w14:paraId="1EFC4225" w14:textId="77777777" w:rsidR="00B97365" w:rsidRDefault="00000000">
            <w:pPr>
              <w:rPr>
                <w:rFonts w:cs="Calibri"/>
                <w:b/>
                <w:color w:val="000000"/>
                <w:sz w:val="16"/>
                <w:szCs w:val="16"/>
              </w:rPr>
            </w:pPr>
            <w:r>
              <w:rPr>
                <w:rFonts w:cs="Calibri"/>
                <w:color w:val="000000"/>
                <w:sz w:val="16"/>
                <w:szCs w:val="16"/>
              </w:rPr>
              <w:t>0</w:t>
            </w:r>
          </w:p>
        </w:tc>
        <w:tc>
          <w:tcPr>
            <w:tcW w:w="0" w:type="auto"/>
            <w:tcBorders>
              <w:top w:val="single" w:sz="6" w:space="0" w:color="auto"/>
              <w:left w:val="single" w:sz="6" w:space="0" w:color="auto"/>
              <w:bottom w:val="single" w:sz="4" w:space="0" w:color="auto"/>
              <w:right w:val="single" w:sz="4" w:space="0" w:color="auto"/>
            </w:tcBorders>
            <w:vAlign w:val="center"/>
            <w:hideMark/>
          </w:tcPr>
          <w:p w14:paraId="4E82420F" w14:textId="77777777" w:rsidR="00B97365" w:rsidRDefault="00000000">
            <w:pPr>
              <w:rPr>
                <w:rFonts w:cs="Calibri"/>
                <w:b/>
                <w:color w:val="000000"/>
                <w:sz w:val="16"/>
                <w:szCs w:val="16"/>
              </w:rPr>
            </w:pPr>
            <w:r>
              <w:rPr>
                <w:rFonts w:cs="Calibri"/>
                <w:color w:val="000000"/>
                <w:sz w:val="16"/>
                <w:szCs w:val="16"/>
              </w:rPr>
              <w:t>For personalization</w:t>
            </w:r>
          </w:p>
        </w:tc>
      </w:tr>
    </w:tbl>
    <w:p w14:paraId="39FC330C"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INSTALL [for personalization] Reference Control Parameter P1</w:t>
      </w:r>
    </w:p>
    <w:p w14:paraId="1B3F2901"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P2 – ISD-P State Coding</w:t>
      </w:r>
    </w:p>
    <w:p w14:paraId="6114D671" w14:textId="690E59A1" w:rsidR="00B97365" w:rsidRDefault="00000000">
      <w:pPr>
        <w:spacing w:before="0" w:after="200" w:line="276" w:lineRule="auto"/>
        <w:jc w:val="left"/>
        <w:rPr>
          <w:rFonts w:cs="Arial"/>
          <w:b/>
          <w:i/>
          <w:szCs w:val="22"/>
          <w:lang w:val="en-US" w:eastAsia="en-GB" w:bidi="ar-SA"/>
        </w:rPr>
      </w:pPr>
      <w:r>
        <w:rPr>
          <w:rFonts w:cs="Arial"/>
          <w:szCs w:val="22"/>
          <w:lang w:val="en-US" w:eastAsia="en-GB" w:bidi="ar-SA"/>
        </w:rPr>
        <w:t xml:space="preserve">P2 is set to ‘00’: according to GlobalPlatform Card Specification </w:t>
      </w:r>
      <w:r>
        <w:fldChar w:fldCharType="begin"/>
      </w:r>
      <w:r>
        <w:rPr>
          <w:szCs w:val="22"/>
          <w:lang w:val="en-US" w:eastAsia="en-GB" w:bidi="ar-SA"/>
        </w:rPr>
        <w:instrText xml:space="preserve"> REF _Ref421632368 \r \h </w:instrText>
      </w:r>
      <w:r>
        <w:fldChar w:fldCharType="separate"/>
      </w:r>
      <w:r w:rsidR="001D5AD9">
        <w:rPr>
          <w:szCs w:val="22"/>
          <w:lang w:val="en-US" w:eastAsia="en-GB" w:bidi="ar-SA"/>
        </w:rPr>
        <w:t>[8]</w:t>
      </w:r>
      <w:r>
        <w:fldChar w:fldCharType="end"/>
      </w:r>
      <w:r>
        <w:rPr>
          <w:szCs w:val="22"/>
          <w:lang w:val="en-US" w:eastAsia="en-GB" w:bidi="ar-SA"/>
        </w:rPr>
        <w:t xml:space="preserve"> section 11.5, this means no information is provided.</w:t>
      </w:r>
      <w:bookmarkStart w:id="2660" w:name="_Toc420594647"/>
    </w:p>
    <w:p w14:paraId="77738709" w14:textId="77777777" w:rsidR="00B97365" w:rsidRDefault="00B97365">
      <w:pPr>
        <w:spacing w:before="0" w:after="200" w:line="276" w:lineRule="auto"/>
        <w:jc w:val="left"/>
        <w:rPr>
          <w:rFonts w:cs="Arial"/>
          <w:b/>
          <w:i/>
          <w:szCs w:val="22"/>
          <w:lang w:val="en-US" w:eastAsia="en-GB" w:bidi="ar-SA"/>
        </w:rPr>
      </w:pPr>
    </w:p>
    <w:p w14:paraId="26106A3E"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Data Field</w:t>
      </w:r>
      <w:bookmarkEnd w:id="266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1948"/>
        <w:gridCol w:w="747"/>
        <w:gridCol w:w="819"/>
        <w:gridCol w:w="516"/>
      </w:tblGrid>
      <w:tr w:rsidR="00B97365" w14:paraId="6E51F4D1"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EC89DAB" w14:textId="77777777" w:rsidR="00B97365" w:rsidRDefault="00000000">
            <w:pPr>
              <w:jc w:val="center"/>
              <w:rPr>
                <w:rFonts w:cs="Calibri"/>
                <w:b/>
                <w:color w:val="FFFFFF"/>
                <w:sz w:val="16"/>
                <w:szCs w:val="16"/>
              </w:rPr>
            </w:pPr>
            <w:r>
              <w:rPr>
                <w:rFonts w:cs="Calibri"/>
                <w:b/>
                <w:color w:val="FFFFFF"/>
                <w:sz w:val="16"/>
                <w:szCs w:val="16"/>
              </w:rPr>
              <w:t>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1559E75" w14:textId="77777777" w:rsidR="00B97365" w:rsidRDefault="00000000">
            <w:pPr>
              <w:jc w:val="center"/>
              <w:rPr>
                <w:rFonts w:cs="Calibri"/>
                <w:b/>
                <w:color w:val="FFFFFF"/>
                <w:sz w:val="16"/>
                <w:szCs w:val="16"/>
              </w:rPr>
            </w:pPr>
            <w:r>
              <w:rPr>
                <w:rFonts w:cs="Calibri"/>
                <w:b/>
                <w:color w:val="FFFFFF"/>
                <w:sz w:val="16"/>
                <w:szCs w:val="16"/>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CACD993" w14:textId="77777777" w:rsidR="00B97365" w:rsidRDefault="00000000">
            <w:pPr>
              <w:jc w:val="center"/>
              <w:rPr>
                <w:rFonts w:cs="Calibri"/>
                <w:b/>
                <w:color w:val="FFFFFF"/>
                <w:sz w:val="16"/>
                <w:szCs w:val="16"/>
              </w:rPr>
            </w:pPr>
            <w:r>
              <w:rPr>
                <w:rFonts w:cs="Calibri"/>
                <w:b/>
                <w:color w:val="FFFFFF"/>
                <w:sz w:val="16"/>
                <w:szCs w:val="16"/>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E23CBE5"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03F24884"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929F407" w14:textId="77777777" w:rsidR="00B97365" w:rsidRDefault="00000000">
            <w:pPr>
              <w:rPr>
                <w:rFonts w:cs="Calibri"/>
                <w:color w:val="000000"/>
                <w:sz w:val="16"/>
                <w:szCs w:val="16"/>
              </w:rPr>
            </w:pPr>
            <w:r>
              <w:rPr>
                <w:rFonts w:cs="Calibri"/>
                <w:color w:val="000000"/>
                <w:sz w:val="16"/>
                <w:szCs w:val="16"/>
              </w:rPr>
              <w:t xml:space="preserve"> Length of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3983A55B"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0A6B74B8"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57697675" w14:textId="77777777" w:rsidR="00B97365" w:rsidRDefault="00000000">
            <w:pPr>
              <w:rPr>
                <w:rFonts w:cs="Calibri"/>
                <w:color w:val="000000"/>
                <w:sz w:val="16"/>
                <w:szCs w:val="16"/>
              </w:rPr>
            </w:pPr>
            <w:r>
              <w:rPr>
                <w:rFonts w:cs="Calibri"/>
                <w:color w:val="000000"/>
                <w:sz w:val="16"/>
                <w:szCs w:val="16"/>
              </w:rPr>
              <w:t>M</w:t>
            </w:r>
          </w:p>
        </w:tc>
      </w:tr>
      <w:tr w:rsidR="00B97365" w14:paraId="54FA2F3B"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0D4938C" w14:textId="77777777" w:rsidR="00B97365" w:rsidRDefault="00000000">
            <w:pPr>
              <w:rPr>
                <w:rFonts w:cs="Calibri"/>
                <w:color w:val="000000"/>
                <w:sz w:val="16"/>
                <w:szCs w:val="16"/>
              </w:rPr>
            </w:pPr>
            <w:r>
              <w:rPr>
                <w:rFonts w:cs="Calibri"/>
                <w:color w:val="000000"/>
                <w:sz w:val="16"/>
                <w:szCs w:val="16"/>
              </w:rPr>
              <w:t xml:space="preserve"> Length of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762D200C" w14:textId="77777777" w:rsidR="00B97365" w:rsidRDefault="00000000">
            <w:pPr>
              <w:rPr>
                <w:rFonts w:cs="Calibri"/>
                <w:b/>
                <w: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3C33636C"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1A79FD61" w14:textId="77777777" w:rsidR="00B97365" w:rsidRDefault="00000000">
            <w:pPr>
              <w:rPr>
                <w:rFonts w:cs="Calibri"/>
                <w:color w:val="000000"/>
                <w:sz w:val="16"/>
                <w:szCs w:val="16"/>
              </w:rPr>
            </w:pPr>
            <w:r>
              <w:rPr>
                <w:rFonts w:cs="Calibri"/>
                <w:color w:val="000000"/>
                <w:sz w:val="16"/>
                <w:szCs w:val="16"/>
              </w:rPr>
              <w:t>M</w:t>
            </w:r>
          </w:p>
        </w:tc>
      </w:tr>
      <w:tr w:rsidR="00B97365" w14:paraId="40C0748A"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CF2BEBB" w14:textId="77777777" w:rsidR="00B97365" w:rsidRDefault="00000000">
            <w:pPr>
              <w:rPr>
                <w:rFonts w:cs="Calibri"/>
                <w:color w:val="000000"/>
                <w:sz w:val="16"/>
                <w:szCs w:val="16"/>
              </w:rPr>
            </w:pPr>
            <w:r>
              <w:rPr>
                <w:rFonts w:cs="Calibri"/>
                <w:color w:val="000000"/>
                <w:sz w:val="16"/>
                <w:szCs w:val="16"/>
              </w:rPr>
              <w:t>Length of Application 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78BCCAC"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3937B9ED"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4" w:space="0" w:color="auto"/>
            </w:tcBorders>
            <w:vAlign w:val="center"/>
            <w:hideMark/>
          </w:tcPr>
          <w:p w14:paraId="29E491F7" w14:textId="77777777" w:rsidR="00B97365" w:rsidRDefault="00000000">
            <w:pPr>
              <w:rPr>
                <w:rFonts w:cs="Calibri"/>
                <w:color w:val="000000"/>
                <w:sz w:val="16"/>
                <w:szCs w:val="16"/>
              </w:rPr>
            </w:pPr>
            <w:r>
              <w:rPr>
                <w:rFonts w:cs="Calibri"/>
                <w:color w:val="000000"/>
                <w:sz w:val="16"/>
                <w:szCs w:val="16"/>
              </w:rPr>
              <w:t>M</w:t>
            </w:r>
          </w:p>
        </w:tc>
      </w:tr>
      <w:tr w:rsidR="00B97365" w14:paraId="51305F6A"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243BABC" w14:textId="77777777" w:rsidR="00B97365" w:rsidRDefault="00000000">
            <w:pPr>
              <w:rPr>
                <w:rFonts w:cs="Calibri"/>
                <w:b/>
                <w:i/>
                <w:color w:val="000000"/>
                <w:sz w:val="16"/>
                <w:szCs w:val="16"/>
              </w:rPr>
            </w:pPr>
            <w:r>
              <w:rPr>
                <w:rFonts w:cs="Calibri"/>
                <w:color w:val="000000"/>
                <w:sz w:val="16"/>
                <w:szCs w:val="16"/>
              </w:rPr>
              <w:t>Application AID of ISD-P</w:t>
            </w:r>
          </w:p>
        </w:tc>
        <w:tc>
          <w:tcPr>
            <w:tcW w:w="0" w:type="auto"/>
            <w:tcBorders>
              <w:top w:val="single" w:sz="6" w:space="0" w:color="auto"/>
              <w:left w:val="single" w:sz="6" w:space="0" w:color="auto"/>
              <w:bottom w:val="single" w:sz="6" w:space="0" w:color="auto"/>
              <w:right w:val="single" w:sz="6" w:space="0" w:color="auto"/>
            </w:tcBorders>
            <w:vAlign w:val="center"/>
            <w:hideMark/>
          </w:tcPr>
          <w:p w14:paraId="6B5F87A6" w14:textId="77777777" w:rsidR="00B97365" w:rsidRDefault="00000000">
            <w:pPr>
              <w:rPr>
                <w:rFonts w:cs="Calibri"/>
                <w:color w:val="000000"/>
                <w:sz w:val="16"/>
                <w:szCs w:val="16"/>
              </w:rPr>
            </w:pPr>
            <w:r>
              <w:rPr>
                <w:rFonts w:cs="Calibri"/>
                <w:color w:val="000000"/>
                <w:sz w:val="16"/>
                <w:szCs w:val="16"/>
              </w:rPr>
              <w:t>’05 – 10’</w:t>
            </w:r>
          </w:p>
        </w:tc>
        <w:tc>
          <w:tcPr>
            <w:tcW w:w="0" w:type="auto"/>
            <w:tcBorders>
              <w:top w:val="single" w:sz="6" w:space="0" w:color="auto"/>
              <w:left w:val="single" w:sz="6" w:space="0" w:color="auto"/>
              <w:bottom w:val="single" w:sz="6" w:space="0" w:color="auto"/>
              <w:right w:val="single" w:sz="6" w:space="0" w:color="auto"/>
            </w:tcBorders>
            <w:vAlign w:val="center"/>
            <w:hideMark/>
          </w:tcPr>
          <w:p w14:paraId="4AE3E4D7" w14:textId="77777777" w:rsidR="00B97365" w:rsidRDefault="00000000">
            <w:pPr>
              <w:rPr>
                <w:rFonts w:cs="Calibri"/>
                <w:color w:val="000000"/>
                <w:sz w:val="16"/>
                <w:szCs w:val="16"/>
              </w:rPr>
            </w:pPr>
            <w:r>
              <w:rPr>
                <w:rFonts w:cs="Calibri"/>
                <w:color w:val="000000"/>
                <w:sz w:val="16"/>
                <w:szCs w:val="16"/>
              </w:rPr>
              <w:t xml:space="preserve">‘xxxx’ </w:t>
            </w:r>
          </w:p>
        </w:tc>
        <w:tc>
          <w:tcPr>
            <w:tcW w:w="0" w:type="auto"/>
            <w:tcBorders>
              <w:top w:val="single" w:sz="6" w:space="0" w:color="auto"/>
              <w:left w:val="single" w:sz="6" w:space="0" w:color="auto"/>
              <w:bottom w:val="single" w:sz="6" w:space="0" w:color="auto"/>
              <w:right w:val="single" w:sz="4" w:space="0" w:color="auto"/>
            </w:tcBorders>
            <w:vAlign w:val="center"/>
            <w:hideMark/>
          </w:tcPr>
          <w:p w14:paraId="23CED78F" w14:textId="77777777" w:rsidR="00B97365" w:rsidRDefault="00000000">
            <w:pPr>
              <w:rPr>
                <w:rFonts w:cs="Calibri"/>
                <w:color w:val="000000"/>
                <w:sz w:val="16"/>
                <w:szCs w:val="16"/>
              </w:rPr>
            </w:pPr>
            <w:r>
              <w:rPr>
                <w:rFonts w:cs="Calibri"/>
                <w:color w:val="000000"/>
                <w:sz w:val="16"/>
                <w:szCs w:val="16"/>
              </w:rPr>
              <w:t>M</w:t>
            </w:r>
          </w:p>
        </w:tc>
      </w:tr>
      <w:tr w:rsidR="00B97365" w14:paraId="4505FF39"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7C956E0" w14:textId="77777777" w:rsidR="00B97365" w:rsidRDefault="00000000">
            <w:pPr>
              <w:rPr>
                <w:rFonts w:cs="Calibri"/>
                <w:color w:val="000000"/>
                <w:sz w:val="16"/>
                <w:szCs w:val="16"/>
              </w:rPr>
            </w:pPr>
            <w:r>
              <w:rPr>
                <w:rFonts w:cs="Calibri"/>
                <w:color w:val="000000"/>
                <w:sz w:val="16"/>
                <w:szCs w:val="16"/>
              </w:rPr>
              <w:t xml:space="preserve"> Length of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1216A266"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0960E06D"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648E6001" w14:textId="77777777" w:rsidR="00B97365" w:rsidRDefault="00000000">
            <w:pPr>
              <w:rPr>
                <w:rFonts w:cs="Calibri"/>
                <w:color w:val="000000"/>
                <w:sz w:val="16"/>
                <w:szCs w:val="16"/>
              </w:rPr>
            </w:pPr>
            <w:r>
              <w:rPr>
                <w:rFonts w:cs="Calibri"/>
                <w:color w:val="000000"/>
                <w:sz w:val="16"/>
                <w:szCs w:val="16"/>
              </w:rPr>
              <w:t>M</w:t>
            </w:r>
          </w:p>
        </w:tc>
      </w:tr>
      <w:tr w:rsidR="00B97365" w14:paraId="4130A827" w14:textId="77777777">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21D0706" w14:textId="77777777" w:rsidR="00B97365" w:rsidRDefault="00000000">
            <w:pPr>
              <w:rPr>
                <w:rFonts w:cs="Calibri"/>
                <w:color w:val="000000"/>
                <w:sz w:val="16"/>
                <w:szCs w:val="16"/>
              </w:rPr>
            </w:pPr>
            <w:r>
              <w:rPr>
                <w:rFonts w:cs="Calibri"/>
                <w:color w:val="000000"/>
                <w:sz w:val="16"/>
                <w:szCs w:val="16"/>
              </w:rPr>
              <w:lastRenderedPageBreak/>
              <w:t xml:space="preserve"> Length of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7EA3386F" w14:textId="77777777" w:rsidR="00B97365" w:rsidRDefault="00000000">
            <w:pPr>
              <w:rPr>
                <w:rFonts w:cs="Calibri"/>
                <w:b/>
                <w: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56B8F08F"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6" w:space="0" w:color="auto"/>
              <w:right w:val="single" w:sz="4" w:space="0" w:color="auto"/>
            </w:tcBorders>
            <w:vAlign w:val="center"/>
            <w:hideMark/>
          </w:tcPr>
          <w:p w14:paraId="0FF19011" w14:textId="77777777" w:rsidR="00B97365" w:rsidRDefault="00000000">
            <w:pPr>
              <w:rPr>
                <w:rFonts w:cs="Calibri"/>
                <w:color w:val="000000"/>
                <w:sz w:val="16"/>
                <w:szCs w:val="16"/>
              </w:rPr>
            </w:pPr>
            <w:r>
              <w:rPr>
                <w:rFonts w:cs="Calibri"/>
                <w:color w:val="000000"/>
                <w:sz w:val="16"/>
                <w:szCs w:val="16"/>
              </w:rPr>
              <w:t>M</w:t>
            </w:r>
          </w:p>
        </w:tc>
      </w:tr>
      <w:tr w:rsidR="00B97365" w14:paraId="69638563" w14:textId="77777777">
        <w:trPr>
          <w:trHeight w:val="6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AFC10E" w14:textId="77777777" w:rsidR="00B97365" w:rsidRDefault="00000000">
            <w:pPr>
              <w:rPr>
                <w:rFonts w:cs="Calibri"/>
                <w:color w:val="000000"/>
                <w:sz w:val="16"/>
                <w:szCs w:val="16"/>
              </w:rPr>
            </w:pPr>
            <w:r>
              <w:rPr>
                <w:rFonts w:cs="Calibri"/>
                <w:color w:val="000000"/>
                <w:sz w:val="16"/>
                <w:szCs w:val="16"/>
              </w:rPr>
              <w:t xml:space="preserve"> Length of data</w:t>
            </w:r>
          </w:p>
        </w:tc>
        <w:tc>
          <w:tcPr>
            <w:tcW w:w="0" w:type="auto"/>
            <w:tcBorders>
              <w:top w:val="single" w:sz="6" w:space="0" w:color="auto"/>
              <w:left w:val="single" w:sz="4" w:space="0" w:color="auto"/>
              <w:bottom w:val="single" w:sz="4" w:space="0" w:color="auto"/>
              <w:right w:val="single" w:sz="6" w:space="0" w:color="auto"/>
            </w:tcBorders>
            <w:vAlign w:val="center"/>
            <w:hideMark/>
          </w:tcPr>
          <w:p w14:paraId="2B8DE43E" w14:textId="77777777" w:rsidR="00B97365" w:rsidRDefault="00000000">
            <w:pPr>
              <w:rPr>
                <w:rFonts w:cs="Calibri"/>
                <w:color w:val="000000"/>
                <w:sz w:val="16"/>
                <w:szCs w:val="16"/>
              </w:rPr>
            </w:pPr>
            <w:r>
              <w:rPr>
                <w:rFonts w:cs="Calibri"/>
                <w:color w:val="000000"/>
                <w:sz w:val="16"/>
                <w:szCs w:val="16"/>
              </w:rPr>
              <w:t>’1’</w:t>
            </w:r>
          </w:p>
        </w:tc>
        <w:tc>
          <w:tcPr>
            <w:tcW w:w="0" w:type="auto"/>
            <w:tcBorders>
              <w:top w:val="single" w:sz="6" w:space="0" w:color="auto"/>
              <w:left w:val="single" w:sz="6" w:space="0" w:color="auto"/>
              <w:bottom w:val="single" w:sz="4" w:space="0" w:color="auto"/>
              <w:right w:val="single" w:sz="6" w:space="0" w:color="auto"/>
            </w:tcBorders>
            <w:vAlign w:val="center"/>
            <w:hideMark/>
          </w:tcPr>
          <w:p w14:paraId="7D79F42A" w14:textId="77777777" w:rsidR="00B97365" w:rsidRDefault="00000000">
            <w:pPr>
              <w:rPr>
                <w:rFonts w:cs="Calibri"/>
                <w:color w:val="000000"/>
                <w:sz w:val="16"/>
                <w:szCs w:val="16"/>
              </w:rPr>
            </w:pPr>
            <w:r>
              <w:rPr>
                <w:rFonts w:cs="Calibri"/>
                <w:color w:val="000000"/>
                <w:sz w:val="16"/>
                <w:szCs w:val="16"/>
              </w:rPr>
              <w:t>‘00’</w:t>
            </w:r>
          </w:p>
        </w:tc>
        <w:tc>
          <w:tcPr>
            <w:tcW w:w="0" w:type="auto"/>
            <w:tcBorders>
              <w:top w:val="single" w:sz="6" w:space="0" w:color="auto"/>
              <w:left w:val="single" w:sz="6" w:space="0" w:color="auto"/>
              <w:bottom w:val="single" w:sz="4" w:space="0" w:color="auto"/>
              <w:right w:val="single" w:sz="4" w:space="0" w:color="auto"/>
            </w:tcBorders>
            <w:vAlign w:val="center"/>
            <w:hideMark/>
          </w:tcPr>
          <w:p w14:paraId="4A98F7B4" w14:textId="77777777" w:rsidR="00B97365" w:rsidRDefault="00000000">
            <w:pPr>
              <w:rPr>
                <w:rFonts w:cs="Calibri"/>
                <w:color w:val="000000"/>
                <w:sz w:val="16"/>
                <w:szCs w:val="16"/>
              </w:rPr>
            </w:pPr>
            <w:r>
              <w:rPr>
                <w:rFonts w:cs="Calibri"/>
                <w:color w:val="000000"/>
                <w:sz w:val="16"/>
                <w:szCs w:val="16"/>
              </w:rPr>
              <w:t>M</w:t>
            </w:r>
          </w:p>
        </w:tc>
      </w:tr>
    </w:tbl>
    <w:p w14:paraId="2A010E5E"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xml:space="preserve">: INSTALL Command Data Field </w:t>
      </w:r>
    </w:p>
    <w:p w14:paraId="0590F91B" w14:textId="77777777" w:rsidR="00B97365" w:rsidRDefault="00000000">
      <w:pPr>
        <w:spacing w:before="0" w:after="200" w:line="276" w:lineRule="auto"/>
        <w:jc w:val="left"/>
        <w:rPr>
          <w:b/>
          <w:i/>
          <w:szCs w:val="22"/>
          <w:lang w:val="en-US" w:eastAsia="en-GB" w:bidi="ar-SA"/>
        </w:rPr>
      </w:pPr>
      <w:bookmarkStart w:id="2661" w:name="_Toc420594648"/>
      <w:r>
        <w:rPr>
          <w:rFonts w:cs="Arial"/>
          <w:b/>
          <w:i/>
          <w:szCs w:val="22"/>
          <w:lang w:val="en-US" w:eastAsia="en-GB" w:bidi="ar-SA"/>
        </w:rPr>
        <w:t>Response Message</w:t>
      </w:r>
      <w:bookmarkEnd w:id="2661"/>
    </w:p>
    <w:p w14:paraId="25B122D4" w14:textId="77777777" w:rsidR="00B97365" w:rsidRDefault="00000000">
      <w:pPr>
        <w:spacing w:before="0" w:after="200" w:line="276" w:lineRule="auto"/>
        <w:jc w:val="left"/>
        <w:rPr>
          <w:b/>
          <w:i/>
          <w:szCs w:val="22"/>
          <w:lang w:val="en-US" w:eastAsia="en-GB" w:bidi="ar-SA"/>
        </w:rPr>
      </w:pPr>
      <w:bookmarkStart w:id="2662" w:name="_Toc420594649"/>
      <w:r>
        <w:rPr>
          <w:rFonts w:cs="Arial"/>
          <w:b/>
          <w:i/>
          <w:szCs w:val="22"/>
          <w:lang w:val="en-US" w:eastAsia="en-GB" w:bidi="ar-SA"/>
        </w:rPr>
        <w:t>Data Field Returned in the Response Message:</w:t>
      </w:r>
      <w:bookmarkEnd w:id="2662"/>
    </w:p>
    <w:p w14:paraId="1791E454" w14:textId="75349AC8" w:rsidR="00B97365" w:rsidRDefault="00000000">
      <w:pPr>
        <w:rPr>
          <w:lang w:eastAsia="en-GB"/>
        </w:rPr>
      </w:pPr>
      <w:r>
        <w:rPr>
          <w:rFonts w:cs="Arial"/>
          <w:lang w:eastAsia="en-GB"/>
        </w:rPr>
        <w:t xml:space="preserve">A single byte of '00' SHALL be returned indicating that no additional data is present as defined in the GlobalPlatform </w:t>
      </w:r>
      <w:r>
        <w:fldChar w:fldCharType="begin"/>
      </w:r>
      <w:r>
        <w:rPr>
          <w:lang w:eastAsia="en-GB"/>
        </w:rPr>
        <w:instrText xml:space="preserve"> REF _Ref421631311 \r \h </w:instrText>
      </w:r>
      <w:r>
        <w:fldChar w:fldCharType="separate"/>
      </w:r>
      <w:r w:rsidR="001D5AD9">
        <w:rPr>
          <w:lang w:eastAsia="en-GB"/>
        </w:rPr>
        <w:t>[6]</w:t>
      </w:r>
      <w:r>
        <w:fldChar w:fldCharType="end"/>
      </w:r>
      <w:r>
        <w:rPr>
          <w:lang w:eastAsia="en-GB"/>
        </w:rPr>
        <w:t xml:space="preserve"> section 11.5.3.1.</w:t>
      </w:r>
    </w:p>
    <w:p w14:paraId="52F11EAA" w14:textId="77777777" w:rsidR="00B97365" w:rsidRDefault="00B97365">
      <w:pPr>
        <w:spacing w:before="0"/>
        <w:rPr>
          <w:lang w:eastAsia="en-GB"/>
        </w:rPr>
      </w:pPr>
    </w:p>
    <w:p w14:paraId="073249C9" w14:textId="77777777" w:rsidR="00B97365" w:rsidRDefault="00000000">
      <w:pPr>
        <w:spacing w:before="0" w:after="200" w:line="276" w:lineRule="auto"/>
        <w:jc w:val="left"/>
        <w:rPr>
          <w:b/>
          <w:i/>
          <w:szCs w:val="22"/>
          <w:lang w:val="en-US" w:eastAsia="en-GB" w:bidi="ar-SA"/>
        </w:rPr>
      </w:pPr>
      <w:bookmarkStart w:id="2663" w:name="_Toc420594650"/>
      <w:r>
        <w:rPr>
          <w:rFonts w:cs="Arial"/>
          <w:b/>
          <w:i/>
          <w:szCs w:val="22"/>
          <w:lang w:val="en-US" w:eastAsia="en-GB" w:bidi="ar-SA"/>
        </w:rPr>
        <w:t>Processing State returned in the Response Message:</w:t>
      </w:r>
      <w:bookmarkEnd w:id="2663"/>
    </w:p>
    <w:p w14:paraId="2F455852" w14:textId="19AD6D4C" w:rsidR="00B97365" w:rsidRDefault="00000000">
      <w:pPr>
        <w:spacing w:before="0" w:after="200" w:line="276" w:lineRule="auto"/>
        <w:jc w:val="left"/>
        <w:rPr>
          <w:szCs w:val="22"/>
          <w:lang w:val="en-US" w:eastAsia="en-GB" w:bidi="ar-SA"/>
        </w:rPr>
      </w:pPr>
      <w:r>
        <w:rPr>
          <w:rFonts w:cs="Arial"/>
          <w:szCs w:val="22"/>
          <w:lang w:val="en-US" w:eastAsia="en-GB" w:bidi="ar-SA"/>
        </w:rPr>
        <w:t xml:space="preserve">See GlobalPlatform Card Specification </w:t>
      </w:r>
      <w:r>
        <w:fldChar w:fldCharType="begin"/>
      </w:r>
      <w:r>
        <w:rPr>
          <w:szCs w:val="22"/>
          <w:lang w:val="en-US" w:eastAsia="en-GB" w:bidi="ar-SA"/>
        </w:rPr>
        <w:instrText xml:space="preserve"> REF _Ref421632368 \r \h </w:instrText>
      </w:r>
      <w:r>
        <w:fldChar w:fldCharType="separate"/>
      </w:r>
      <w:r w:rsidR="001D5AD9">
        <w:rPr>
          <w:szCs w:val="22"/>
          <w:lang w:val="en-US" w:eastAsia="en-GB" w:bidi="ar-SA"/>
        </w:rPr>
        <w:t>[8]</w:t>
      </w:r>
      <w:r>
        <w:fldChar w:fldCharType="end"/>
      </w:r>
      <w:r>
        <w:rPr>
          <w:szCs w:val="22"/>
          <w:lang w:val="en-US" w:eastAsia="en-GB" w:bidi="ar-SA"/>
        </w:rPr>
        <w:t xml:space="preserve"> section 11.5.3.2.</w:t>
      </w:r>
    </w:p>
    <w:p w14:paraId="125A1364" w14:textId="77777777" w:rsidR="00B97365" w:rsidRDefault="00000000">
      <w:pPr>
        <w:spacing w:before="0" w:after="200" w:line="276" w:lineRule="auto"/>
        <w:jc w:val="left"/>
        <w:rPr>
          <w:b/>
          <w:i/>
          <w:szCs w:val="22"/>
          <w:lang w:val="en-US" w:eastAsia="en-GB" w:bidi="ar-SA"/>
        </w:rPr>
      </w:pPr>
      <w:bookmarkStart w:id="2664" w:name="_Toc420594651"/>
      <w:r>
        <w:rPr>
          <w:rFonts w:cs="Arial"/>
          <w:b/>
          <w:i/>
          <w:szCs w:val="22"/>
          <w:lang w:val="en-US" w:eastAsia="en-GB" w:bidi="ar-SA"/>
        </w:rPr>
        <w:t>Specific Processing State returned in response Message:</w:t>
      </w:r>
      <w:bookmarkEnd w:id="2664"/>
      <w:r>
        <w:rPr>
          <w:b/>
          <w:i/>
          <w:szCs w:val="22"/>
          <w:lang w:val="en-US" w:eastAsia="en-GB" w:bidi="ar-SA"/>
        </w:rPr>
        <w:t xml:space="preserve"> </w:t>
      </w:r>
    </w:p>
    <w:p w14:paraId="24A68F63" w14:textId="77777777" w:rsidR="00B97365" w:rsidRDefault="00000000">
      <w:pPr>
        <w:spacing w:before="0" w:after="200" w:line="276" w:lineRule="auto"/>
        <w:jc w:val="left"/>
        <w:rPr>
          <w:szCs w:val="22"/>
          <w:lang w:val="en-US" w:eastAsia="en-GB" w:bidi="ar-SA"/>
        </w:rPr>
      </w:pPr>
      <w:bookmarkStart w:id="2665" w:name="_Toc420594652"/>
      <w:r>
        <w:rPr>
          <w:rFonts w:cs="Arial"/>
          <w:szCs w:val="22"/>
          <w:lang w:val="en-US" w:eastAsia="en-GB" w:bidi="ar-SA"/>
        </w:rPr>
        <w:t>None</w:t>
      </w:r>
      <w:bookmarkEnd w:id="2665"/>
      <w:r>
        <w:rPr>
          <w:szCs w:val="22"/>
          <w:lang w:val="en-US" w:eastAsia="en-GB" w:bidi="ar-SA"/>
        </w:rPr>
        <w:t xml:space="preserve"> </w:t>
      </w:r>
    </w:p>
    <w:p w14:paraId="24D79B50" w14:textId="77777777" w:rsidR="00B97365" w:rsidRDefault="00000000">
      <w:pPr>
        <w:spacing w:before="0" w:after="200" w:line="276" w:lineRule="auto"/>
        <w:jc w:val="left"/>
        <w:rPr>
          <w:b/>
          <w:i/>
          <w:szCs w:val="22"/>
          <w:lang w:val="en-US" w:eastAsia="en-GB" w:bidi="ar-SA"/>
        </w:rPr>
      </w:pPr>
      <w:bookmarkStart w:id="2666" w:name="_Toc420594653"/>
      <w:r>
        <w:rPr>
          <w:rFonts w:cs="Arial"/>
          <w:b/>
          <w:i/>
          <w:szCs w:val="22"/>
          <w:lang w:val="en-US" w:eastAsia="en-GB" w:bidi="ar-SA"/>
        </w:rPr>
        <w:t>First STORE DATA command</w:t>
      </w:r>
      <w:bookmarkEnd w:id="2666"/>
    </w:p>
    <w:p w14:paraId="7E6E1770" w14:textId="77777777" w:rsidR="00B97365" w:rsidRDefault="00000000">
      <w:pPr>
        <w:spacing w:before="0" w:after="200" w:line="276" w:lineRule="auto"/>
        <w:jc w:val="left"/>
        <w:rPr>
          <w:b/>
          <w:i/>
          <w:szCs w:val="22"/>
          <w:lang w:val="en-US" w:eastAsia="en-GB" w:bidi="ar-SA"/>
        </w:rPr>
      </w:pPr>
      <w:bookmarkStart w:id="2667" w:name="_Toc420594654"/>
      <w:r>
        <w:rPr>
          <w:rFonts w:cs="Arial"/>
          <w:b/>
          <w:i/>
          <w:szCs w:val="22"/>
          <w:lang w:val="en-US" w:eastAsia="en-GB" w:bidi="ar-SA"/>
        </w:rPr>
        <w:t>Command Message</w:t>
      </w:r>
      <w:bookmarkEnd w:id="2667"/>
    </w:p>
    <w:p w14:paraId="6086198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command message SHALL be coded according to the following table: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540"/>
        <w:gridCol w:w="2603"/>
        <w:gridCol w:w="4312"/>
      </w:tblGrid>
      <w:tr w:rsidR="00B97365" w14:paraId="25608F32" w14:textId="77777777">
        <w:trPr>
          <w:cantSplit/>
          <w:tblHeader/>
          <w:jc w:val="center"/>
        </w:trPr>
        <w:tc>
          <w:tcPr>
            <w:tcW w:w="0" w:type="auto"/>
            <w:tcBorders>
              <w:top w:val="single" w:sz="4" w:space="0" w:color="000000"/>
              <w:left w:val="single" w:sz="4" w:space="0" w:color="000000"/>
              <w:bottom w:val="single" w:sz="6" w:space="0" w:color="000000"/>
              <w:right w:val="single" w:sz="6" w:space="0" w:color="000000"/>
            </w:tcBorders>
            <w:shd w:val="clear" w:color="auto" w:fill="C00000"/>
            <w:vAlign w:val="center"/>
            <w:hideMark/>
          </w:tcPr>
          <w:p w14:paraId="138F056D"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Code</w:t>
            </w:r>
          </w:p>
        </w:tc>
        <w:tc>
          <w:tcPr>
            <w:tcW w:w="0" w:type="auto"/>
            <w:tcBorders>
              <w:top w:val="single" w:sz="4" w:space="0" w:color="000000"/>
              <w:left w:val="single" w:sz="6" w:space="0" w:color="000000"/>
              <w:bottom w:val="single" w:sz="6" w:space="0" w:color="000000"/>
              <w:right w:val="single" w:sz="6" w:space="0" w:color="000000"/>
            </w:tcBorders>
            <w:shd w:val="clear" w:color="auto" w:fill="C00000"/>
            <w:vAlign w:val="center"/>
            <w:hideMark/>
          </w:tcPr>
          <w:p w14:paraId="70CFD9D9"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Value</w:t>
            </w:r>
          </w:p>
        </w:tc>
        <w:tc>
          <w:tcPr>
            <w:tcW w:w="0" w:type="auto"/>
            <w:tcBorders>
              <w:top w:val="single" w:sz="4" w:space="0" w:color="000000"/>
              <w:left w:val="single" w:sz="6" w:space="0" w:color="000000"/>
              <w:bottom w:val="single" w:sz="6" w:space="0" w:color="000000"/>
              <w:right w:val="single" w:sz="4" w:space="0" w:color="000000"/>
            </w:tcBorders>
            <w:shd w:val="clear" w:color="auto" w:fill="C00000"/>
            <w:vAlign w:val="center"/>
            <w:hideMark/>
          </w:tcPr>
          <w:p w14:paraId="70E53CF6"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19DCAB36"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04624550" w14:textId="77777777" w:rsidR="00B97365" w:rsidRDefault="00000000">
            <w:pPr>
              <w:rPr>
                <w:rFonts w:cs="Arial"/>
                <w:bCs/>
                <w:sz w:val="16"/>
                <w:szCs w:val="16"/>
              </w:rPr>
            </w:pPr>
            <w:r>
              <w:rPr>
                <w:rFonts w:cs="Arial"/>
                <w:sz w:val="16"/>
                <w:szCs w:val="16"/>
              </w:rPr>
              <w:t>CLA</w:t>
            </w:r>
          </w:p>
        </w:tc>
        <w:tc>
          <w:tcPr>
            <w:tcW w:w="0" w:type="auto"/>
            <w:tcBorders>
              <w:top w:val="single" w:sz="6" w:space="0" w:color="000000"/>
              <w:left w:val="single" w:sz="6" w:space="0" w:color="000000"/>
              <w:bottom w:val="single" w:sz="6" w:space="0" w:color="000000"/>
              <w:right w:val="single" w:sz="6" w:space="0" w:color="000000"/>
            </w:tcBorders>
            <w:hideMark/>
          </w:tcPr>
          <w:p w14:paraId="4909C0DD" w14:textId="77777777" w:rsidR="00B97365" w:rsidRDefault="00000000">
            <w:pPr>
              <w:rPr>
                <w:rFonts w:cs="Arial"/>
                <w:bCs/>
                <w:sz w:val="16"/>
                <w:szCs w:val="16"/>
              </w:rPr>
            </w:pPr>
            <w:r>
              <w:rPr>
                <w:rFonts w:cs="Arial"/>
                <w:sz w:val="16"/>
                <w:szCs w:val="16"/>
              </w:rPr>
              <w:t>‘80’ – ‘8F’, ‘C0’ – ‘CF’ or ‘E0’ – ‘EF’</w:t>
            </w:r>
          </w:p>
        </w:tc>
        <w:tc>
          <w:tcPr>
            <w:tcW w:w="0" w:type="auto"/>
            <w:tcBorders>
              <w:top w:val="single" w:sz="6" w:space="0" w:color="000000"/>
              <w:left w:val="single" w:sz="6" w:space="0" w:color="000000"/>
              <w:bottom w:val="single" w:sz="6" w:space="0" w:color="000000"/>
              <w:right w:val="single" w:sz="4" w:space="0" w:color="000000"/>
            </w:tcBorders>
            <w:hideMark/>
          </w:tcPr>
          <w:p w14:paraId="1638BDF9" w14:textId="0C7386F1" w:rsidR="00B97365" w:rsidRDefault="00000000">
            <w:pPr>
              <w:rPr>
                <w:bCs/>
                <w:sz w:val="16"/>
                <w:szCs w:val="16"/>
              </w:rPr>
            </w:pPr>
            <w:r>
              <w:rPr>
                <w:rFonts w:cs="Arial"/>
                <w:sz w:val="16"/>
                <w:szCs w:val="16"/>
              </w:rPr>
              <w:t xml:space="preserve">See section 11.1.4 of GlobalPlatform Card Specification </w:t>
            </w:r>
            <w:r>
              <w:fldChar w:fldCharType="begin"/>
            </w:r>
            <w:r>
              <w:rPr>
                <w:sz w:val="16"/>
                <w:szCs w:val="16"/>
              </w:rPr>
              <w:instrText xml:space="preserve"> REF _Ref421631311 \r \h </w:instrText>
            </w:r>
            <w:r>
              <w:fldChar w:fldCharType="separate"/>
            </w:r>
            <w:r w:rsidR="001D5AD9">
              <w:rPr>
                <w:sz w:val="16"/>
                <w:szCs w:val="16"/>
              </w:rPr>
              <w:t>[6]</w:t>
            </w:r>
            <w:r>
              <w:fldChar w:fldCharType="end"/>
            </w:r>
          </w:p>
        </w:tc>
      </w:tr>
      <w:tr w:rsidR="00B97365" w14:paraId="6BFE4D54"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41A10179" w14:textId="77777777" w:rsidR="00B97365" w:rsidRDefault="00000000">
            <w:pPr>
              <w:rPr>
                <w:rFonts w:cs="Arial"/>
                <w:bCs/>
                <w:sz w:val="16"/>
                <w:szCs w:val="16"/>
              </w:rPr>
            </w:pPr>
            <w:r>
              <w:rPr>
                <w:rFonts w:cs="Arial"/>
                <w:sz w:val="16"/>
                <w:szCs w:val="16"/>
              </w:rPr>
              <w:t>INS</w:t>
            </w:r>
          </w:p>
        </w:tc>
        <w:tc>
          <w:tcPr>
            <w:tcW w:w="0" w:type="auto"/>
            <w:tcBorders>
              <w:top w:val="single" w:sz="6" w:space="0" w:color="000000"/>
              <w:left w:val="single" w:sz="6" w:space="0" w:color="000000"/>
              <w:bottom w:val="single" w:sz="6" w:space="0" w:color="000000"/>
              <w:right w:val="single" w:sz="6" w:space="0" w:color="000000"/>
            </w:tcBorders>
            <w:hideMark/>
          </w:tcPr>
          <w:p w14:paraId="58C2440A" w14:textId="77777777" w:rsidR="00B97365" w:rsidRDefault="00000000">
            <w:pPr>
              <w:rPr>
                <w:rFonts w:cs="Arial"/>
                <w:bCs/>
                <w:sz w:val="16"/>
                <w:szCs w:val="16"/>
              </w:rPr>
            </w:pPr>
            <w:r>
              <w:rPr>
                <w:rFonts w:cs="Arial"/>
                <w:sz w:val="16"/>
                <w:szCs w:val="16"/>
              </w:rPr>
              <w:t>‘E2’</w:t>
            </w:r>
          </w:p>
        </w:tc>
        <w:tc>
          <w:tcPr>
            <w:tcW w:w="0" w:type="auto"/>
            <w:tcBorders>
              <w:top w:val="single" w:sz="6" w:space="0" w:color="000000"/>
              <w:left w:val="single" w:sz="6" w:space="0" w:color="000000"/>
              <w:bottom w:val="single" w:sz="6" w:space="0" w:color="000000"/>
              <w:right w:val="single" w:sz="4" w:space="0" w:color="000000"/>
            </w:tcBorders>
            <w:hideMark/>
          </w:tcPr>
          <w:p w14:paraId="2FB91F9B" w14:textId="77777777" w:rsidR="00B97365" w:rsidRDefault="00000000">
            <w:pPr>
              <w:rPr>
                <w:rFonts w:cs="Arial"/>
                <w:bCs/>
                <w:sz w:val="16"/>
                <w:szCs w:val="16"/>
              </w:rPr>
            </w:pPr>
            <w:r>
              <w:rPr>
                <w:rFonts w:cs="Arial"/>
                <w:sz w:val="16"/>
                <w:szCs w:val="16"/>
              </w:rPr>
              <w:t>STORE DATA</w:t>
            </w:r>
          </w:p>
        </w:tc>
      </w:tr>
      <w:tr w:rsidR="00B97365" w14:paraId="31C1F346"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15E98F6C" w14:textId="77777777" w:rsidR="00B97365" w:rsidRDefault="00000000">
            <w:pPr>
              <w:rPr>
                <w:rFonts w:cs="Arial"/>
                <w:bCs/>
                <w:sz w:val="16"/>
                <w:szCs w:val="16"/>
              </w:rPr>
            </w:pPr>
            <w:r>
              <w:rPr>
                <w:rFonts w:cs="Arial"/>
                <w:sz w:val="16"/>
                <w:szCs w:val="16"/>
              </w:rPr>
              <w:t>P1</w:t>
            </w:r>
          </w:p>
        </w:tc>
        <w:tc>
          <w:tcPr>
            <w:tcW w:w="0" w:type="auto"/>
            <w:tcBorders>
              <w:top w:val="single" w:sz="6" w:space="0" w:color="000000"/>
              <w:left w:val="single" w:sz="6" w:space="0" w:color="000000"/>
              <w:bottom w:val="single" w:sz="6" w:space="0" w:color="000000"/>
              <w:right w:val="single" w:sz="6" w:space="0" w:color="000000"/>
            </w:tcBorders>
            <w:hideMark/>
          </w:tcPr>
          <w:p w14:paraId="3C2FD81C" w14:textId="77777777" w:rsidR="00B97365" w:rsidRDefault="00000000">
            <w:pPr>
              <w:rPr>
                <w:rFonts w:cs="Arial"/>
                <w:bCs/>
                <w:sz w:val="16"/>
                <w:szCs w:val="16"/>
              </w:rPr>
            </w:pPr>
            <w:r>
              <w:rPr>
                <w:rFonts w:cs="Arial"/>
                <w:sz w:val="16"/>
                <w:szCs w:val="16"/>
              </w:rPr>
              <w:t>‘09’</w:t>
            </w:r>
          </w:p>
        </w:tc>
        <w:tc>
          <w:tcPr>
            <w:tcW w:w="0" w:type="auto"/>
            <w:tcBorders>
              <w:top w:val="single" w:sz="6" w:space="0" w:color="000000"/>
              <w:left w:val="single" w:sz="6" w:space="0" w:color="000000"/>
              <w:bottom w:val="single" w:sz="6" w:space="0" w:color="000000"/>
              <w:right w:val="single" w:sz="4" w:space="0" w:color="000000"/>
            </w:tcBorders>
            <w:hideMark/>
          </w:tcPr>
          <w:p w14:paraId="128274A7" w14:textId="77777777" w:rsidR="00B97365" w:rsidRDefault="00000000">
            <w:pPr>
              <w:rPr>
                <w:rFonts w:cs="Arial"/>
                <w:bCs/>
                <w:sz w:val="16"/>
                <w:szCs w:val="16"/>
              </w:rPr>
            </w:pPr>
            <w:r>
              <w:rPr>
                <w:rFonts w:cs="Arial"/>
                <w:sz w:val="16"/>
                <w:szCs w:val="16"/>
              </w:rPr>
              <w:t>Reference control parameter P1</w:t>
            </w:r>
          </w:p>
        </w:tc>
      </w:tr>
      <w:tr w:rsidR="00B97365" w14:paraId="5C4BABE8"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789E9EA4" w14:textId="77777777" w:rsidR="00B97365" w:rsidRDefault="00000000">
            <w:pPr>
              <w:rPr>
                <w:rFonts w:cs="Arial"/>
                <w:bCs/>
                <w:sz w:val="16"/>
                <w:szCs w:val="16"/>
              </w:rPr>
            </w:pPr>
            <w:r>
              <w:rPr>
                <w:rFonts w:cs="Arial"/>
                <w:sz w:val="16"/>
                <w:szCs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7838EE17" w14:textId="77777777" w:rsidR="00B97365" w:rsidRDefault="00000000">
            <w:pPr>
              <w:rPr>
                <w:rFonts w:cs="Arial"/>
                <w:bCs/>
                <w:sz w:val="16"/>
                <w:szCs w:val="16"/>
              </w:rPr>
            </w:pPr>
            <w:r>
              <w:rPr>
                <w:rFonts w:cs="Arial"/>
                <w:sz w:val="16"/>
                <w:szCs w:val="16"/>
              </w:rPr>
              <w:t>‘00’</w:t>
            </w:r>
          </w:p>
        </w:tc>
        <w:tc>
          <w:tcPr>
            <w:tcW w:w="0" w:type="auto"/>
            <w:tcBorders>
              <w:top w:val="single" w:sz="6" w:space="0" w:color="000000"/>
              <w:left w:val="single" w:sz="6" w:space="0" w:color="000000"/>
              <w:bottom w:val="single" w:sz="6" w:space="0" w:color="000000"/>
              <w:right w:val="single" w:sz="4" w:space="0" w:color="000000"/>
            </w:tcBorders>
            <w:hideMark/>
          </w:tcPr>
          <w:p w14:paraId="3B12D394" w14:textId="77777777" w:rsidR="00B97365" w:rsidRDefault="00000000">
            <w:pPr>
              <w:rPr>
                <w:rFonts w:cs="Arial"/>
                <w:bCs/>
                <w:sz w:val="16"/>
                <w:szCs w:val="16"/>
              </w:rPr>
            </w:pPr>
            <w:r>
              <w:rPr>
                <w:rFonts w:cs="Arial"/>
                <w:sz w:val="16"/>
                <w:szCs w:val="16"/>
              </w:rPr>
              <w:t>Block number</w:t>
            </w:r>
          </w:p>
        </w:tc>
      </w:tr>
      <w:tr w:rsidR="00B97365" w14:paraId="279FEEF5"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5E0EC6A2" w14:textId="77777777" w:rsidR="00B97365" w:rsidRDefault="00000000">
            <w:pPr>
              <w:rPr>
                <w:rFonts w:cs="Arial"/>
                <w:bCs/>
                <w:sz w:val="16"/>
                <w:szCs w:val="16"/>
              </w:rPr>
            </w:pPr>
            <w:r>
              <w:rPr>
                <w:rFonts w:cs="Arial"/>
                <w:sz w:val="16"/>
                <w:szCs w:val="16"/>
              </w:rPr>
              <w:t>Lc</w:t>
            </w:r>
          </w:p>
        </w:tc>
        <w:tc>
          <w:tcPr>
            <w:tcW w:w="0" w:type="auto"/>
            <w:tcBorders>
              <w:top w:val="single" w:sz="6" w:space="0" w:color="000000"/>
              <w:left w:val="single" w:sz="6" w:space="0" w:color="000000"/>
              <w:bottom w:val="single" w:sz="6" w:space="0" w:color="000000"/>
              <w:right w:val="single" w:sz="6" w:space="0" w:color="000000"/>
            </w:tcBorders>
            <w:hideMark/>
          </w:tcPr>
          <w:p w14:paraId="77E72F82" w14:textId="77777777" w:rsidR="00B97365" w:rsidRDefault="00000000">
            <w:pPr>
              <w:rPr>
                <w:rFonts w:cs="Arial"/>
                <w:bCs/>
                <w:sz w:val="16"/>
                <w:szCs w:val="16"/>
              </w:rPr>
            </w:pPr>
            <w:r>
              <w:rPr>
                <w:rFonts w:cs="Arial"/>
                <w:sz w:val="16"/>
                <w:szCs w:val="16"/>
              </w:rPr>
              <w:t>‘xx’</w:t>
            </w:r>
          </w:p>
        </w:tc>
        <w:tc>
          <w:tcPr>
            <w:tcW w:w="0" w:type="auto"/>
            <w:tcBorders>
              <w:top w:val="single" w:sz="6" w:space="0" w:color="000000"/>
              <w:left w:val="single" w:sz="6" w:space="0" w:color="000000"/>
              <w:bottom w:val="single" w:sz="6" w:space="0" w:color="000000"/>
              <w:right w:val="single" w:sz="4" w:space="0" w:color="000000"/>
            </w:tcBorders>
            <w:hideMark/>
          </w:tcPr>
          <w:p w14:paraId="7B167553" w14:textId="77777777" w:rsidR="00B97365" w:rsidRDefault="00000000">
            <w:pPr>
              <w:rPr>
                <w:rFonts w:cs="Arial"/>
                <w:bCs/>
                <w:sz w:val="16"/>
                <w:szCs w:val="16"/>
              </w:rPr>
            </w:pPr>
            <w:r>
              <w:rPr>
                <w:rFonts w:cs="Arial"/>
                <w:sz w:val="16"/>
                <w:szCs w:val="16"/>
              </w:rPr>
              <w:t>Length of data field</w:t>
            </w:r>
          </w:p>
        </w:tc>
      </w:tr>
      <w:tr w:rsidR="00B97365" w14:paraId="64155B62" w14:textId="77777777">
        <w:trPr>
          <w:cantSplit/>
          <w:jc w:val="center"/>
        </w:trPr>
        <w:tc>
          <w:tcPr>
            <w:tcW w:w="0" w:type="auto"/>
            <w:tcBorders>
              <w:top w:val="single" w:sz="6" w:space="0" w:color="000000"/>
              <w:left w:val="single" w:sz="4" w:space="0" w:color="000000"/>
              <w:bottom w:val="single" w:sz="6" w:space="0" w:color="000000"/>
              <w:right w:val="single" w:sz="6" w:space="0" w:color="000000"/>
            </w:tcBorders>
            <w:hideMark/>
          </w:tcPr>
          <w:p w14:paraId="3D9F05F2" w14:textId="77777777" w:rsidR="00B97365" w:rsidRDefault="00000000">
            <w:pPr>
              <w:rPr>
                <w:rFonts w:cs="Arial"/>
                <w:bCs/>
                <w:sz w:val="16"/>
                <w:szCs w:val="16"/>
              </w:rPr>
            </w:pPr>
            <w:r>
              <w:rPr>
                <w:rFonts w:cs="Arial"/>
                <w:sz w:val="16"/>
                <w:szCs w:val="16"/>
              </w:rPr>
              <w:t>Data</w:t>
            </w:r>
          </w:p>
        </w:tc>
        <w:tc>
          <w:tcPr>
            <w:tcW w:w="0" w:type="auto"/>
            <w:tcBorders>
              <w:top w:val="single" w:sz="6" w:space="0" w:color="000000"/>
              <w:left w:val="single" w:sz="6" w:space="0" w:color="000000"/>
              <w:bottom w:val="single" w:sz="6" w:space="0" w:color="000000"/>
              <w:right w:val="single" w:sz="6" w:space="0" w:color="000000"/>
            </w:tcBorders>
            <w:hideMark/>
          </w:tcPr>
          <w:p w14:paraId="18B3DFB2" w14:textId="77777777" w:rsidR="00B97365" w:rsidRDefault="00000000">
            <w:pPr>
              <w:rPr>
                <w:rFonts w:cs="Arial"/>
                <w:bCs/>
                <w:sz w:val="16"/>
                <w:szCs w:val="16"/>
              </w:rPr>
            </w:pPr>
            <w:r>
              <w:rPr>
                <w:rFonts w:cs="Arial"/>
                <w:sz w:val="16"/>
                <w:szCs w:val="16"/>
              </w:rPr>
              <w:t>‘xxxxx…’</w:t>
            </w:r>
          </w:p>
        </w:tc>
        <w:tc>
          <w:tcPr>
            <w:tcW w:w="0" w:type="auto"/>
            <w:tcBorders>
              <w:top w:val="single" w:sz="6" w:space="0" w:color="000000"/>
              <w:left w:val="single" w:sz="6" w:space="0" w:color="000000"/>
              <w:bottom w:val="single" w:sz="6" w:space="0" w:color="000000"/>
              <w:right w:val="single" w:sz="4" w:space="0" w:color="000000"/>
            </w:tcBorders>
            <w:hideMark/>
          </w:tcPr>
          <w:p w14:paraId="47996DC8" w14:textId="77777777" w:rsidR="00B97365" w:rsidRDefault="00000000">
            <w:pPr>
              <w:rPr>
                <w:rFonts w:cs="Arial"/>
                <w:bCs/>
                <w:sz w:val="16"/>
                <w:szCs w:val="16"/>
              </w:rPr>
            </w:pPr>
            <w:r>
              <w:rPr>
                <w:rFonts w:cs="Arial"/>
                <w:sz w:val="16"/>
                <w:szCs w:val="16"/>
              </w:rPr>
              <w:t>Application data and MAC (if present)</w:t>
            </w:r>
          </w:p>
        </w:tc>
      </w:tr>
      <w:tr w:rsidR="00B97365" w14:paraId="7A5C4A0B" w14:textId="77777777">
        <w:trPr>
          <w:cantSplit/>
          <w:jc w:val="center"/>
        </w:trPr>
        <w:tc>
          <w:tcPr>
            <w:tcW w:w="0" w:type="auto"/>
            <w:tcBorders>
              <w:top w:val="single" w:sz="6" w:space="0" w:color="000000"/>
              <w:left w:val="single" w:sz="4" w:space="0" w:color="000000"/>
              <w:bottom w:val="single" w:sz="4" w:space="0" w:color="000000"/>
              <w:right w:val="single" w:sz="6" w:space="0" w:color="000000"/>
            </w:tcBorders>
            <w:hideMark/>
          </w:tcPr>
          <w:p w14:paraId="225FB49E" w14:textId="77777777" w:rsidR="00B97365" w:rsidRDefault="00000000">
            <w:pPr>
              <w:keepNext/>
              <w:rPr>
                <w:rFonts w:cs="Arial"/>
                <w:bCs/>
                <w:sz w:val="16"/>
                <w:szCs w:val="16"/>
              </w:rPr>
            </w:pPr>
            <w:r>
              <w:rPr>
                <w:rFonts w:cs="Arial"/>
                <w:sz w:val="16"/>
                <w:szCs w:val="16"/>
              </w:rPr>
              <w:t>Le</w:t>
            </w:r>
          </w:p>
        </w:tc>
        <w:tc>
          <w:tcPr>
            <w:tcW w:w="0" w:type="auto"/>
            <w:tcBorders>
              <w:top w:val="single" w:sz="6" w:space="0" w:color="000000"/>
              <w:left w:val="single" w:sz="6" w:space="0" w:color="000000"/>
              <w:bottom w:val="single" w:sz="4" w:space="0" w:color="000000"/>
              <w:right w:val="single" w:sz="6" w:space="0" w:color="000000"/>
            </w:tcBorders>
            <w:hideMark/>
          </w:tcPr>
          <w:p w14:paraId="4CA0C818" w14:textId="77777777" w:rsidR="00B97365" w:rsidRDefault="00000000">
            <w:pPr>
              <w:keepNext/>
              <w:rPr>
                <w:rFonts w:cs="Arial"/>
                <w:bCs/>
                <w:sz w:val="16"/>
                <w:szCs w:val="16"/>
              </w:rPr>
            </w:pPr>
            <w:r>
              <w:rPr>
                <w:rFonts w:cs="Arial"/>
                <w:sz w:val="16"/>
                <w:szCs w:val="16"/>
              </w:rPr>
              <w:t xml:space="preserve"> ‘00’</w:t>
            </w:r>
          </w:p>
        </w:tc>
        <w:tc>
          <w:tcPr>
            <w:tcW w:w="0" w:type="auto"/>
            <w:tcBorders>
              <w:top w:val="single" w:sz="6" w:space="0" w:color="000000"/>
              <w:left w:val="single" w:sz="6" w:space="0" w:color="000000"/>
              <w:bottom w:val="single" w:sz="4" w:space="0" w:color="000000"/>
              <w:right w:val="single" w:sz="4" w:space="0" w:color="000000"/>
            </w:tcBorders>
          </w:tcPr>
          <w:p w14:paraId="4F29317C" w14:textId="77777777" w:rsidR="00B97365" w:rsidRDefault="00B97365">
            <w:pPr>
              <w:keepNext/>
              <w:rPr>
                <w:rFonts w:cs="Arial"/>
                <w:bCs/>
                <w:sz w:val="16"/>
                <w:szCs w:val="16"/>
              </w:rPr>
            </w:pPr>
          </w:p>
        </w:tc>
      </w:tr>
    </w:tbl>
    <w:p w14:paraId="41918CB2"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STORE DATA Command Message</w:t>
      </w:r>
    </w:p>
    <w:p w14:paraId="07CF5685"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3"/>
        <w:gridCol w:w="403"/>
        <w:gridCol w:w="403"/>
        <w:gridCol w:w="403"/>
        <w:gridCol w:w="403"/>
        <w:gridCol w:w="403"/>
        <w:gridCol w:w="403"/>
        <w:gridCol w:w="403"/>
        <w:gridCol w:w="4894"/>
      </w:tblGrid>
      <w:tr w:rsidR="00B97365" w14:paraId="0884E628"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836D53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A9EF2A8"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ECFCFAE"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55F05F9"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9751166"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B295E4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D12BD0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2EAC3D5"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36799D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5786E54A"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6D7E5057"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21DD0235"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6AA749C"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44857D8"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65EC4C6"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CAFA876"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9DE8A1D"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9654CCF"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0E40659D" w14:textId="77777777" w:rsidR="00B97365" w:rsidRDefault="00000000">
            <w:pPr>
              <w:rPr>
                <w:rFonts w:cs="Arial"/>
                <w:bCs/>
                <w:sz w:val="16"/>
                <w:szCs w:val="16"/>
              </w:rPr>
            </w:pPr>
            <w:r>
              <w:rPr>
                <w:rFonts w:cs="Arial"/>
                <w:sz w:val="16"/>
                <w:szCs w:val="16"/>
              </w:rPr>
              <w:t>More blocks</w:t>
            </w:r>
          </w:p>
        </w:tc>
      </w:tr>
      <w:tr w:rsidR="00B97365" w14:paraId="2FC8BAE8"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6D173CFE"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F8BD8CE"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23092C7B"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31FC35C3"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3A753D4"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547CBA0"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E5B8A46"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8D46E68"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489C507E" w14:textId="77777777" w:rsidR="00B97365" w:rsidRDefault="00000000">
            <w:pPr>
              <w:rPr>
                <w:rFonts w:cs="Arial"/>
                <w:bCs/>
                <w:sz w:val="16"/>
                <w:szCs w:val="16"/>
              </w:rPr>
            </w:pPr>
            <w:r>
              <w:rPr>
                <w:rFonts w:cs="Arial"/>
                <w:sz w:val="16"/>
                <w:szCs w:val="16"/>
              </w:rPr>
              <w:t xml:space="preserve">No general encryption information or non-encrypted data </w:t>
            </w:r>
          </w:p>
        </w:tc>
      </w:tr>
      <w:tr w:rsidR="00B97365" w14:paraId="09C24CF1"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42B7148C"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49C1688"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3190072"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1331997"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40697937" w14:textId="77777777" w:rsidR="00B97365" w:rsidRDefault="00000000">
            <w:pPr>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295C1823"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D16B26F"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AC81D3E"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6A16DA51" w14:textId="77777777" w:rsidR="00B97365" w:rsidRDefault="00000000">
            <w:pPr>
              <w:rPr>
                <w:rFonts w:cs="Arial"/>
                <w:bCs/>
                <w:sz w:val="16"/>
                <w:szCs w:val="16"/>
              </w:rPr>
            </w:pPr>
            <w:r>
              <w:rPr>
                <w:rFonts w:cs="Arial"/>
                <w:sz w:val="16"/>
                <w:szCs w:val="16"/>
              </w:rPr>
              <w:t>DGI format of the command data field</w:t>
            </w:r>
          </w:p>
        </w:tc>
      </w:tr>
      <w:tr w:rsidR="00B97365" w14:paraId="4B039515"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7E0E6229"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8D8A9F9"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AFD584C"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4314734"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1858FCC"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BEA7342"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C545EE7"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BC9990A" w14:textId="77777777" w:rsidR="00B97365" w:rsidRDefault="00000000">
            <w:pPr>
              <w:keepNext/>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4" w:space="0" w:color="auto"/>
            </w:tcBorders>
            <w:hideMark/>
          </w:tcPr>
          <w:p w14:paraId="5000D54C" w14:textId="47C22693" w:rsidR="00B97365" w:rsidRDefault="00000000">
            <w:pPr>
              <w:keepNext/>
              <w:rPr>
                <w:bCs/>
                <w:sz w:val="16"/>
                <w:szCs w:val="16"/>
              </w:rPr>
            </w:pPr>
            <w:r>
              <w:rPr>
                <w:rFonts w:cs="Arial"/>
                <w:sz w:val="16"/>
                <w:szCs w:val="16"/>
              </w:rPr>
              <w:t xml:space="preserve">Case 4 command as defined in GlobalPlatform Amendment A </w:t>
            </w:r>
            <w:r>
              <w:fldChar w:fldCharType="begin"/>
            </w:r>
            <w:r>
              <w:rPr>
                <w:sz w:val="16"/>
                <w:szCs w:val="16"/>
              </w:rPr>
              <w:instrText xml:space="preserve"> REF _Ref421633516 \r \h </w:instrText>
            </w:r>
            <w:r>
              <w:fldChar w:fldCharType="separate"/>
            </w:r>
            <w:r w:rsidR="001D5AD9">
              <w:rPr>
                <w:sz w:val="16"/>
                <w:szCs w:val="16"/>
              </w:rPr>
              <w:t>[54]</w:t>
            </w:r>
            <w:r>
              <w:fldChar w:fldCharType="end"/>
            </w:r>
          </w:p>
        </w:tc>
      </w:tr>
      <w:tr w:rsidR="00B97365" w14:paraId="6A4DAF20"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637B239D"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61227D6"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18F0281"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665FC675"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34D6E2B"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C8829A2" w14:textId="77777777" w:rsidR="00B97365" w:rsidRDefault="00000000">
            <w:pPr>
              <w:keepNext/>
              <w:rPr>
                <w:rFonts w:cs="Arial"/>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1EB206AB" w14:textId="77777777" w:rsidR="00B97365" w:rsidRDefault="00000000">
            <w:pPr>
              <w:keepNext/>
              <w:rPr>
                <w:rFonts w:cs="Arial"/>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2EB69E4C"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4" w:space="0" w:color="auto"/>
            </w:tcBorders>
            <w:hideMark/>
          </w:tcPr>
          <w:p w14:paraId="2EE38AB9" w14:textId="77777777" w:rsidR="00B97365" w:rsidRDefault="00000000">
            <w:pPr>
              <w:keepNext/>
              <w:rPr>
                <w:rFonts w:cs="Arial"/>
                <w:sz w:val="16"/>
                <w:szCs w:val="16"/>
              </w:rPr>
            </w:pPr>
            <w:r>
              <w:rPr>
                <w:rFonts w:cs="Arial"/>
                <w:sz w:val="16"/>
                <w:szCs w:val="16"/>
              </w:rPr>
              <w:t>RFU</w:t>
            </w:r>
          </w:p>
        </w:tc>
      </w:tr>
    </w:tbl>
    <w:p w14:paraId="41444940"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Reference Control Parameter P</w:t>
      </w:r>
    </w:p>
    <w:p w14:paraId="73BAE1EE" w14:textId="77777777" w:rsidR="00B97365" w:rsidRDefault="00000000">
      <w:pPr>
        <w:spacing w:before="0" w:after="200" w:line="276" w:lineRule="auto"/>
        <w:jc w:val="left"/>
        <w:rPr>
          <w:b/>
          <w:i/>
          <w:szCs w:val="22"/>
          <w:lang w:val="en-US" w:eastAsia="en-GB" w:bidi="ar-SA"/>
        </w:rPr>
      </w:pPr>
      <w:bookmarkStart w:id="2668" w:name="_Toc420594655"/>
      <w:r>
        <w:rPr>
          <w:rFonts w:cs="Arial"/>
          <w:b/>
          <w:i/>
          <w:szCs w:val="22"/>
          <w:lang w:val="en-US" w:eastAsia="en-GB" w:bidi="ar-SA"/>
        </w:rPr>
        <w:t>Data Field Sent in the Command Message</w:t>
      </w:r>
      <w:bookmarkEnd w:id="266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57"/>
        <w:gridCol w:w="810"/>
        <w:gridCol w:w="696"/>
        <w:gridCol w:w="1309"/>
        <w:gridCol w:w="801"/>
        <w:gridCol w:w="867"/>
        <w:gridCol w:w="2912"/>
        <w:gridCol w:w="864"/>
      </w:tblGrid>
      <w:tr w:rsidR="00B97365" w14:paraId="58A4AEAB" w14:textId="77777777">
        <w:trPr>
          <w:cantSplit/>
        </w:trPr>
        <w:tc>
          <w:tcPr>
            <w:tcW w:w="420" w:type="pct"/>
            <w:tcBorders>
              <w:top w:val="single" w:sz="4" w:space="0" w:color="auto"/>
              <w:left w:val="single" w:sz="4" w:space="0" w:color="auto"/>
              <w:bottom w:val="single" w:sz="6" w:space="0" w:color="auto"/>
              <w:right w:val="single" w:sz="6" w:space="0" w:color="auto"/>
            </w:tcBorders>
            <w:shd w:val="clear" w:color="auto" w:fill="C00000"/>
            <w:vAlign w:val="center"/>
            <w:hideMark/>
          </w:tcPr>
          <w:p w14:paraId="637A64D0" w14:textId="77777777" w:rsidR="00B97365" w:rsidRDefault="00000000">
            <w:pPr>
              <w:jc w:val="center"/>
              <w:rPr>
                <w:rFonts w:cs="Calibri"/>
                <w:b/>
                <w:sz w:val="16"/>
                <w:szCs w:val="16"/>
              </w:rPr>
            </w:pPr>
            <w:r>
              <w:rPr>
                <w:rFonts w:cs="Calibri"/>
                <w:b/>
                <w:sz w:val="16"/>
                <w:szCs w:val="16"/>
              </w:rPr>
              <w:t>DGI</w:t>
            </w:r>
          </w:p>
        </w:tc>
        <w:tc>
          <w:tcPr>
            <w:tcW w:w="449" w:type="pct"/>
            <w:tcBorders>
              <w:top w:val="single" w:sz="4" w:space="0" w:color="auto"/>
              <w:left w:val="single" w:sz="6" w:space="0" w:color="auto"/>
              <w:bottom w:val="single" w:sz="6" w:space="0" w:color="auto"/>
              <w:right w:val="single" w:sz="6" w:space="0" w:color="auto"/>
            </w:tcBorders>
            <w:shd w:val="clear" w:color="auto" w:fill="C00000"/>
            <w:vAlign w:val="center"/>
            <w:hideMark/>
          </w:tcPr>
          <w:p w14:paraId="697A7B6B" w14:textId="77777777" w:rsidR="00B97365" w:rsidRDefault="00000000">
            <w:pPr>
              <w:jc w:val="center"/>
              <w:rPr>
                <w:rFonts w:cs="Calibri"/>
                <w:b/>
                <w:sz w:val="16"/>
                <w:szCs w:val="16"/>
              </w:rPr>
            </w:pPr>
            <w:r>
              <w:rPr>
                <w:rFonts w:cs="Calibri"/>
                <w:b/>
                <w:sz w:val="16"/>
                <w:szCs w:val="16"/>
              </w:rPr>
              <w:t>Length</w:t>
            </w:r>
          </w:p>
        </w:tc>
        <w:tc>
          <w:tcPr>
            <w:tcW w:w="3652" w:type="pct"/>
            <w:gridSpan w:val="5"/>
            <w:tcBorders>
              <w:top w:val="single" w:sz="4" w:space="0" w:color="auto"/>
              <w:left w:val="single" w:sz="6" w:space="0" w:color="auto"/>
              <w:bottom w:val="single" w:sz="6" w:space="0" w:color="auto"/>
              <w:right w:val="single" w:sz="6" w:space="0" w:color="auto"/>
            </w:tcBorders>
            <w:shd w:val="clear" w:color="auto" w:fill="C00000"/>
            <w:vAlign w:val="center"/>
            <w:hideMark/>
          </w:tcPr>
          <w:p w14:paraId="1ADD9B61" w14:textId="77777777" w:rsidR="00B97365" w:rsidRDefault="00000000">
            <w:pPr>
              <w:jc w:val="center"/>
              <w:rPr>
                <w:rFonts w:cs="Calibri"/>
                <w:b/>
                <w:sz w:val="16"/>
                <w:szCs w:val="16"/>
              </w:rPr>
            </w:pPr>
            <w:r>
              <w:rPr>
                <w:rFonts w:cs="Calibri"/>
                <w:b/>
                <w:sz w:val="16"/>
                <w:szCs w:val="16"/>
              </w:rPr>
              <w:t>Value Description</w:t>
            </w:r>
          </w:p>
        </w:tc>
        <w:tc>
          <w:tcPr>
            <w:tcW w:w="479" w:type="pct"/>
            <w:tcBorders>
              <w:top w:val="single" w:sz="4" w:space="0" w:color="auto"/>
              <w:left w:val="single" w:sz="6" w:space="0" w:color="auto"/>
              <w:bottom w:val="single" w:sz="6" w:space="0" w:color="auto"/>
              <w:right w:val="single" w:sz="4" w:space="0" w:color="auto"/>
            </w:tcBorders>
            <w:shd w:val="clear" w:color="auto" w:fill="C00000"/>
            <w:vAlign w:val="center"/>
            <w:hideMark/>
          </w:tcPr>
          <w:p w14:paraId="429E941B" w14:textId="77777777" w:rsidR="00B97365" w:rsidRDefault="00000000">
            <w:pPr>
              <w:jc w:val="center"/>
              <w:rPr>
                <w:rFonts w:cs="Calibri"/>
                <w:b/>
                <w:sz w:val="16"/>
                <w:szCs w:val="16"/>
              </w:rPr>
            </w:pPr>
            <w:r>
              <w:rPr>
                <w:rFonts w:cs="Calibri"/>
                <w:b/>
                <w:sz w:val="16"/>
                <w:szCs w:val="16"/>
              </w:rPr>
              <w:t>MOC</w:t>
            </w:r>
          </w:p>
        </w:tc>
      </w:tr>
      <w:tr w:rsidR="00B97365" w14:paraId="41FA6E6B" w14:textId="77777777">
        <w:trPr>
          <w:cantSplit/>
        </w:trPr>
        <w:tc>
          <w:tcPr>
            <w:tcW w:w="420" w:type="pct"/>
            <w:tcBorders>
              <w:top w:val="single" w:sz="6" w:space="0" w:color="auto"/>
              <w:left w:val="single" w:sz="4" w:space="0" w:color="auto"/>
              <w:bottom w:val="single" w:sz="6" w:space="0" w:color="auto"/>
              <w:right w:val="single" w:sz="6" w:space="0" w:color="auto"/>
            </w:tcBorders>
            <w:hideMark/>
          </w:tcPr>
          <w:p w14:paraId="40CDAE50" w14:textId="77777777" w:rsidR="00B97365" w:rsidRDefault="00000000">
            <w:pPr>
              <w:rPr>
                <w:rFonts w:cs="Calibri"/>
                <w:sz w:val="16"/>
                <w:szCs w:val="16"/>
              </w:rPr>
            </w:pPr>
            <w:r>
              <w:rPr>
                <w:rFonts w:cs="Calibri"/>
                <w:sz w:val="16"/>
                <w:szCs w:val="16"/>
              </w:rPr>
              <w:lastRenderedPageBreak/>
              <w:t>‘3A01’</w:t>
            </w:r>
          </w:p>
        </w:tc>
        <w:tc>
          <w:tcPr>
            <w:tcW w:w="449" w:type="pct"/>
            <w:tcBorders>
              <w:top w:val="single" w:sz="6" w:space="0" w:color="auto"/>
              <w:left w:val="single" w:sz="6" w:space="0" w:color="auto"/>
              <w:bottom w:val="single" w:sz="6" w:space="0" w:color="auto"/>
              <w:right w:val="single" w:sz="6" w:space="0" w:color="auto"/>
            </w:tcBorders>
            <w:hideMark/>
          </w:tcPr>
          <w:p w14:paraId="2DA504E3" w14:textId="77777777" w:rsidR="00B97365" w:rsidRDefault="00000000">
            <w:pPr>
              <w:rPr>
                <w:rFonts w:cs="Calibri"/>
                <w:sz w:val="16"/>
                <w:szCs w:val="16"/>
              </w:rPr>
            </w:pPr>
            <w:r>
              <w:rPr>
                <w:rFonts w:cs="Calibri"/>
                <w:sz w:val="16"/>
                <w:szCs w:val="16"/>
              </w:rPr>
              <w:t>Var</w:t>
            </w:r>
          </w:p>
        </w:tc>
        <w:tc>
          <w:tcPr>
            <w:tcW w:w="3652" w:type="pct"/>
            <w:gridSpan w:val="5"/>
            <w:tcBorders>
              <w:top w:val="single" w:sz="6" w:space="0" w:color="auto"/>
              <w:left w:val="single" w:sz="6" w:space="0" w:color="auto"/>
              <w:bottom w:val="single" w:sz="6" w:space="0" w:color="auto"/>
              <w:right w:val="single" w:sz="6" w:space="0" w:color="auto"/>
            </w:tcBorders>
            <w:hideMark/>
          </w:tcPr>
          <w:p w14:paraId="2EB9396E" w14:textId="77777777" w:rsidR="00B97365" w:rsidRDefault="00000000">
            <w:pPr>
              <w:rPr>
                <w:rFonts w:cs="Calibri"/>
                <w:sz w:val="16"/>
                <w:szCs w:val="16"/>
              </w:rPr>
            </w:pPr>
            <w:r>
              <w:rPr>
                <w:rFonts w:cs="Calibri"/>
                <w:sz w:val="16"/>
                <w:szCs w:val="16"/>
              </w:rPr>
              <w:t>Certificate of off-card entity</w:t>
            </w:r>
          </w:p>
        </w:tc>
        <w:tc>
          <w:tcPr>
            <w:tcW w:w="479" w:type="pct"/>
            <w:tcBorders>
              <w:top w:val="single" w:sz="6" w:space="0" w:color="auto"/>
              <w:left w:val="single" w:sz="6" w:space="0" w:color="auto"/>
              <w:bottom w:val="single" w:sz="6" w:space="0" w:color="auto"/>
              <w:right w:val="single" w:sz="4" w:space="0" w:color="auto"/>
            </w:tcBorders>
            <w:hideMark/>
          </w:tcPr>
          <w:p w14:paraId="12DCF6F2" w14:textId="77777777" w:rsidR="00B97365" w:rsidRDefault="00000000">
            <w:pPr>
              <w:jc w:val="center"/>
              <w:rPr>
                <w:rFonts w:cs="Calibri"/>
                <w:sz w:val="16"/>
                <w:szCs w:val="16"/>
              </w:rPr>
            </w:pPr>
            <w:r>
              <w:rPr>
                <w:rFonts w:cs="Calibri"/>
                <w:sz w:val="16"/>
                <w:szCs w:val="16"/>
              </w:rPr>
              <w:t>M</w:t>
            </w:r>
          </w:p>
        </w:tc>
      </w:tr>
      <w:tr w:rsidR="00B97365" w14:paraId="2EDF4755" w14:textId="77777777">
        <w:trPr>
          <w:cantSplit/>
        </w:trPr>
        <w:tc>
          <w:tcPr>
            <w:tcW w:w="420" w:type="pct"/>
            <w:tcBorders>
              <w:top w:val="single" w:sz="6" w:space="0" w:color="auto"/>
              <w:left w:val="single" w:sz="4" w:space="0" w:color="auto"/>
              <w:bottom w:val="single" w:sz="6" w:space="0" w:color="auto"/>
              <w:right w:val="single" w:sz="6" w:space="0" w:color="auto"/>
            </w:tcBorders>
          </w:tcPr>
          <w:p w14:paraId="3F6AC3CE" w14:textId="77777777" w:rsidR="00B97365" w:rsidRDefault="00B97365">
            <w:pPr>
              <w:rPr>
                <w:rFonts w:cs="Calibri"/>
                <w:b/>
                <w:sz w:val="16"/>
                <w:szCs w:val="16"/>
              </w:rPr>
            </w:pPr>
          </w:p>
        </w:tc>
        <w:tc>
          <w:tcPr>
            <w:tcW w:w="449" w:type="pct"/>
            <w:tcBorders>
              <w:top w:val="single" w:sz="6" w:space="0" w:color="auto"/>
              <w:left w:val="single" w:sz="6" w:space="0" w:color="auto"/>
              <w:bottom w:val="single" w:sz="6" w:space="0" w:color="auto"/>
              <w:right w:val="single" w:sz="6" w:space="0" w:color="auto"/>
            </w:tcBorders>
          </w:tcPr>
          <w:p w14:paraId="7DE693DE" w14:textId="77777777" w:rsidR="00B97365" w:rsidRDefault="00B97365">
            <w:pPr>
              <w:rPr>
                <w:rFonts w:cs="Calibri"/>
                <w:b/>
                <w:sz w:val="16"/>
                <w:szCs w:val="16"/>
              </w:rPr>
            </w:pPr>
          </w:p>
        </w:tc>
        <w:tc>
          <w:tcPr>
            <w:tcW w:w="386" w:type="pct"/>
            <w:tcBorders>
              <w:top w:val="single" w:sz="6" w:space="0" w:color="auto"/>
              <w:left w:val="single" w:sz="6" w:space="0" w:color="auto"/>
              <w:bottom w:val="single" w:sz="6" w:space="0" w:color="auto"/>
              <w:right w:val="single" w:sz="6" w:space="0" w:color="auto"/>
            </w:tcBorders>
            <w:shd w:val="clear" w:color="auto" w:fill="C00000"/>
            <w:hideMark/>
          </w:tcPr>
          <w:p w14:paraId="11C3AA48" w14:textId="77777777" w:rsidR="00B97365" w:rsidRDefault="00000000">
            <w:pPr>
              <w:jc w:val="center"/>
              <w:rPr>
                <w:rFonts w:cs="Calibri"/>
                <w:b/>
                <w:sz w:val="16"/>
                <w:szCs w:val="16"/>
              </w:rPr>
            </w:pPr>
            <w:r>
              <w:rPr>
                <w:rFonts w:cs="Calibri"/>
                <w:b/>
                <w:sz w:val="16"/>
                <w:szCs w:val="16"/>
              </w:rPr>
              <w:t>Tag</w:t>
            </w:r>
          </w:p>
        </w:tc>
        <w:tc>
          <w:tcPr>
            <w:tcW w:w="726" w:type="pct"/>
            <w:tcBorders>
              <w:top w:val="single" w:sz="6" w:space="0" w:color="auto"/>
              <w:left w:val="single" w:sz="6" w:space="0" w:color="auto"/>
              <w:bottom w:val="single" w:sz="6" w:space="0" w:color="auto"/>
              <w:right w:val="single" w:sz="6" w:space="0" w:color="auto"/>
            </w:tcBorders>
            <w:shd w:val="clear" w:color="auto" w:fill="C00000"/>
            <w:hideMark/>
          </w:tcPr>
          <w:p w14:paraId="1A683EBC" w14:textId="77777777" w:rsidR="00B97365" w:rsidRDefault="00000000">
            <w:pPr>
              <w:jc w:val="center"/>
              <w:rPr>
                <w:rFonts w:cs="Calibri"/>
                <w:b/>
                <w:sz w:val="16"/>
                <w:szCs w:val="16"/>
              </w:rPr>
            </w:pPr>
            <w:r>
              <w:rPr>
                <w:rFonts w:cs="Calibri"/>
                <w:b/>
                <w:sz w:val="16"/>
                <w:szCs w:val="16"/>
              </w:rPr>
              <w:t>Length</w:t>
            </w:r>
          </w:p>
        </w:tc>
        <w:tc>
          <w:tcPr>
            <w:tcW w:w="2540" w:type="pct"/>
            <w:gridSpan w:val="3"/>
            <w:tcBorders>
              <w:top w:val="single" w:sz="6" w:space="0" w:color="auto"/>
              <w:left w:val="single" w:sz="6" w:space="0" w:color="auto"/>
              <w:bottom w:val="single" w:sz="6" w:space="0" w:color="auto"/>
              <w:right w:val="single" w:sz="6" w:space="0" w:color="auto"/>
            </w:tcBorders>
            <w:shd w:val="clear" w:color="auto" w:fill="C00000"/>
            <w:hideMark/>
          </w:tcPr>
          <w:p w14:paraId="2C3B7D14" w14:textId="77777777" w:rsidR="00B97365" w:rsidRDefault="00000000">
            <w:pPr>
              <w:jc w:val="center"/>
              <w:rPr>
                <w:rFonts w:cs="Calibri"/>
                <w:b/>
                <w:sz w:val="16"/>
                <w:szCs w:val="16"/>
              </w:rPr>
            </w:pPr>
            <w:r>
              <w:rPr>
                <w:rFonts w:cs="Calibri"/>
                <w:b/>
                <w:sz w:val="16"/>
                <w:szCs w:val="16"/>
              </w:rPr>
              <w:t>Value Description</w:t>
            </w:r>
          </w:p>
        </w:tc>
        <w:tc>
          <w:tcPr>
            <w:tcW w:w="479" w:type="pct"/>
            <w:tcBorders>
              <w:top w:val="single" w:sz="6" w:space="0" w:color="auto"/>
              <w:left w:val="single" w:sz="6" w:space="0" w:color="auto"/>
              <w:bottom w:val="single" w:sz="6" w:space="0" w:color="auto"/>
              <w:right w:val="single" w:sz="4" w:space="0" w:color="auto"/>
            </w:tcBorders>
            <w:shd w:val="clear" w:color="auto" w:fill="C00000"/>
            <w:hideMark/>
          </w:tcPr>
          <w:p w14:paraId="013A2663" w14:textId="77777777" w:rsidR="00B97365" w:rsidRDefault="00000000">
            <w:pPr>
              <w:jc w:val="center"/>
              <w:rPr>
                <w:rFonts w:cs="Calibri"/>
                <w:b/>
                <w:sz w:val="16"/>
                <w:szCs w:val="16"/>
              </w:rPr>
            </w:pPr>
            <w:r>
              <w:rPr>
                <w:rFonts w:cs="Calibri"/>
                <w:b/>
                <w:sz w:val="16"/>
                <w:szCs w:val="16"/>
              </w:rPr>
              <w:t>MOC</w:t>
            </w:r>
          </w:p>
        </w:tc>
      </w:tr>
      <w:tr w:rsidR="00B97365" w14:paraId="4B94B0A9" w14:textId="77777777">
        <w:trPr>
          <w:cantSplit/>
        </w:trPr>
        <w:tc>
          <w:tcPr>
            <w:tcW w:w="420" w:type="pct"/>
            <w:tcBorders>
              <w:top w:val="single" w:sz="6" w:space="0" w:color="auto"/>
              <w:left w:val="single" w:sz="4" w:space="0" w:color="auto"/>
              <w:bottom w:val="single" w:sz="6" w:space="0" w:color="auto"/>
              <w:right w:val="single" w:sz="6" w:space="0" w:color="auto"/>
            </w:tcBorders>
          </w:tcPr>
          <w:p w14:paraId="46C05787"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5BEABE9B"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hideMark/>
          </w:tcPr>
          <w:p w14:paraId="579F1953" w14:textId="77777777" w:rsidR="00B97365" w:rsidRDefault="00000000">
            <w:pPr>
              <w:rPr>
                <w:rFonts w:cs="Calibri"/>
                <w:sz w:val="16"/>
                <w:szCs w:val="16"/>
              </w:rPr>
            </w:pPr>
            <w:r>
              <w:rPr>
                <w:rFonts w:cs="Calibri"/>
                <w:sz w:val="16"/>
                <w:szCs w:val="16"/>
              </w:rPr>
              <w:t>‘7F21’</w:t>
            </w:r>
          </w:p>
        </w:tc>
        <w:tc>
          <w:tcPr>
            <w:tcW w:w="726" w:type="pct"/>
            <w:tcBorders>
              <w:top w:val="single" w:sz="6" w:space="0" w:color="auto"/>
              <w:left w:val="single" w:sz="6" w:space="0" w:color="auto"/>
              <w:bottom w:val="single" w:sz="6" w:space="0" w:color="auto"/>
              <w:right w:val="single" w:sz="6" w:space="0" w:color="auto"/>
            </w:tcBorders>
            <w:hideMark/>
          </w:tcPr>
          <w:p w14:paraId="0D9B56E7" w14:textId="77777777" w:rsidR="00B97365" w:rsidRDefault="00000000">
            <w:pPr>
              <w:rPr>
                <w:rFonts w:cs="Calibri"/>
                <w:sz w:val="16"/>
                <w:szCs w:val="16"/>
              </w:rPr>
            </w:pPr>
            <w:r>
              <w:rPr>
                <w:rFonts w:cs="Calibri"/>
                <w:sz w:val="16"/>
                <w:szCs w:val="16"/>
              </w:rPr>
              <w:t>Var.</w:t>
            </w:r>
          </w:p>
        </w:tc>
        <w:tc>
          <w:tcPr>
            <w:tcW w:w="2540" w:type="pct"/>
            <w:gridSpan w:val="3"/>
            <w:tcBorders>
              <w:top w:val="single" w:sz="6" w:space="0" w:color="auto"/>
              <w:left w:val="single" w:sz="6" w:space="0" w:color="auto"/>
              <w:bottom w:val="single" w:sz="6" w:space="0" w:color="auto"/>
              <w:right w:val="single" w:sz="6" w:space="0" w:color="auto"/>
            </w:tcBorders>
            <w:hideMark/>
          </w:tcPr>
          <w:p w14:paraId="1B6195EA" w14:textId="77777777" w:rsidR="00B97365" w:rsidRDefault="00000000">
            <w:pPr>
              <w:rPr>
                <w:rFonts w:cs="Calibri"/>
                <w:sz w:val="16"/>
                <w:szCs w:val="16"/>
              </w:rPr>
            </w:pPr>
            <w:r>
              <w:rPr>
                <w:rFonts w:cs="Calibri"/>
                <w:sz w:val="16"/>
                <w:szCs w:val="16"/>
              </w:rPr>
              <w:t>Certificate</w:t>
            </w:r>
          </w:p>
        </w:tc>
        <w:tc>
          <w:tcPr>
            <w:tcW w:w="479" w:type="pct"/>
            <w:tcBorders>
              <w:top w:val="single" w:sz="6" w:space="0" w:color="auto"/>
              <w:left w:val="single" w:sz="6" w:space="0" w:color="auto"/>
              <w:bottom w:val="single" w:sz="6" w:space="0" w:color="auto"/>
              <w:right w:val="single" w:sz="4" w:space="0" w:color="auto"/>
            </w:tcBorders>
            <w:hideMark/>
          </w:tcPr>
          <w:p w14:paraId="09C0FC1E" w14:textId="77777777" w:rsidR="00B97365" w:rsidRDefault="00000000">
            <w:pPr>
              <w:jc w:val="center"/>
              <w:rPr>
                <w:rFonts w:cs="Calibri"/>
                <w:sz w:val="16"/>
                <w:szCs w:val="16"/>
              </w:rPr>
            </w:pPr>
            <w:r>
              <w:rPr>
                <w:rFonts w:cs="Calibri"/>
                <w:sz w:val="16"/>
                <w:szCs w:val="16"/>
              </w:rPr>
              <w:t>M</w:t>
            </w:r>
          </w:p>
        </w:tc>
      </w:tr>
      <w:tr w:rsidR="00B97365" w14:paraId="1E156EC1" w14:textId="77777777">
        <w:trPr>
          <w:cantSplit/>
        </w:trPr>
        <w:tc>
          <w:tcPr>
            <w:tcW w:w="420" w:type="pct"/>
            <w:tcBorders>
              <w:top w:val="single" w:sz="6" w:space="0" w:color="auto"/>
              <w:left w:val="single" w:sz="4" w:space="0" w:color="auto"/>
              <w:bottom w:val="single" w:sz="6" w:space="0" w:color="auto"/>
              <w:right w:val="single" w:sz="6" w:space="0" w:color="auto"/>
            </w:tcBorders>
          </w:tcPr>
          <w:p w14:paraId="224A3237"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13753443"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tcPr>
          <w:p w14:paraId="12629E5F" w14:textId="77777777" w:rsidR="00B97365" w:rsidRDefault="00B97365">
            <w:pPr>
              <w:rPr>
                <w:rFonts w:cs="Calibri"/>
                <w:sz w:val="16"/>
                <w:szCs w:val="16"/>
              </w:rPr>
            </w:pPr>
          </w:p>
        </w:tc>
        <w:tc>
          <w:tcPr>
            <w:tcW w:w="726" w:type="pct"/>
            <w:tcBorders>
              <w:top w:val="single" w:sz="6" w:space="0" w:color="auto"/>
              <w:left w:val="single" w:sz="6" w:space="0" w:color="auto"/>
              <w:bottom w:val="single" w:sz="6" w:space="0" w:color="auto"/>
              <w:right w:val="single" w:sz="6" w:space="0" w:color="auto"/>
            </w:tcBorders>
          </w:tcPr>
          <w:p w14:paraId="6C62668B" w14:textId="77777777" w:rsidR="00B97365" w:rsidRDefault="00B97365">
            <w:pPr>
              <w:rPr>
                <w:rFonts w:cs="Calibri"/>
                <w:sz w:val="16"/>
                <w:szCs w:val="16"/>
              </w:rPr>
            </w:pPr>
          </w:p>
        </w:tc>
        <w:tc>
          <w:tcPr>
            <w:tcW w:w="444" w:type="pct"/>
            <w:tcBorders>
              <w:top w:val="single" w:sz="6" w:space="0" w:color="auto"/>
              <w:left w:val="single" w:sz="6" w:space="0" w:color="auto"/>
              <w:bottom w:val="single" w:sz="6" w:space="0" w:color="auto"/>
              <w:right w:val="single" w:sz="6" w:space="0" w:color="auto"/>
            </w:tcBorders>
            <w:shd w:val="clear" w:color="auto" w:fill="C00000"/>
            <w:hideMark/>
          </w:tcPr>
          <w:p w14:paraId="1604E001" w14:textId="77777777" w:rsidR="00B97365" w:rsidRDefault="00000000">
            <w:pPr>
              <w:jc w:val="center"/>
              <w:rPr>
                <w:rFonts w:cs="Calibri"/>
                <w:b/>
                <w:color w:val="FFFFFF"/>
                <w:sz w:val="16"/>
                <w:szCs w:val="16"/>
              </w:rPr>
            </w:pPr>
            <w:r>
              <w:rPr>
                <w:rFonts w:cs="Calibri"/>
                <w:b/>
                <w:color w:val="FFFFFF"/>
                <w:sz w:val="16"/>
                <w:szCs w:val="16"/>
              </w:rPr>
              <w:t>Tag</w:t>
            </w:r>
          </w:p>
        </w:tc>
        <w:tc>
          <w:tcPr>
            <w:tcW w:w="481" w:type="pct"/>
            <w:tcBorders>
              <w:top w:val="single" w:sz="6" w:space="0" w:color="auto"/>
              <w:left w:val="single" w:sz="6" w:space="0" w:color="auto"/>
              <w:bottom w:val="single" w:sz="6" w:space="0" w:color="auto"/>
              <w:right w:val="single" w:sz="6" w:space="0" w:color="auto"/>
            </w:tcBorders>
            <w:shd w:val="clear" w:color="auto" w:fill="C00000"/>
            <w:hideMark/>
          </w:tcPr>
          <w:p w14:paraId="5412436E" w14:textId="77777777" w:rsidR="00B97365" w:rsidRDefault="00000000">
            <w:pPr>
              <w:jc w:val="center"/>
              <w:rPr>
                <w:rFonts w:cs="Calibri"/>
                <w:b/>
                <w:color w:val="FFFFFF"/>
                <w:sz w:val="16"/>
                <w:szCs w:val="16"/>
              </w:rPr>
            </w:pPr>
            <w:r>
              <w:rPr>
                <w:rFonts w:cs="Calibri"/>
                <w:b/>
                <w:color w:val="FFFFFF"/>
                <w:sz w:val="16"/>
                <w:szCs w:val="16"/>
              </w:rPr>
              <w:t>Length</w:t>
            </w:r>
          </w:p>
        </w:tc>
        <w:tc>
          <w:tcPr>
            <w:tcW w:w="1615" w:type="pct"/>
            <w:tcBorders>
              <w:top w:val="single" w:sz="6" w:space="0" w:color="auto"/>
              <w:left w:val="single" w:sz="6" w:space="0" w:color="auto"/>
              <w:bottom w:val="single" w:sz="6" w:space="0" w:color="auto"/>
              <w:right w:val="single" w:sz="6" w:space="0" w:color="auto"/>
            </w:tcBorders>
            <w:shd w:val="clear" w:color="auto" w:fill="C00000"/>
            <w:hideMark/>
          </w:tcPr>
          <w:p w14:paraId="5BB1AE39" w14:textId="77777777" w:rsidR="00B97365" w:rsidRDefault="00000000">
            <w:pPr>
              <w:jc w:val="center"/>
              <w:rPr>
                <w:rFonts w:cs="Calibri"/>
                <w:b/>
                <w:color w:val="FFFFFF"/>
                <w:sz w:val="16"/>
                <w:szCs w:val="16"/>
              </w:rPr>
            </w:pPr>
            <w:r>
              <w:rPr>
                <w:rFonts w:cs="Calibri"/>
                <w:b/>
                <w:color w:val="FFFFFF"/>
                <w:sz w:val="16"/>
                <w:szCs w:val="16"/>
              </w:rPr>
              <w:t>Value Description</w:t>
            </w:r>
          </w:p>
        </w:tc>
        <w:tc>
          <w:tcPr>
            <w:tcW w:w="479" w:type="pct"/>
            <w:tcBorders>
              <w:top w:val="single" w:sz="6" w:space="0" w:color="auto"/>
              <w:left w:val="single" w:sz="6" w:space="0" w:color="auto"/>
              <w:bottom w:val="single" w:sz="6" w:space="0" w:color="auto"/>
              <w:right w:val="single" w:sz="4" w:space="0" w:color="auto"/>
            </w:tcBorders>
            <w:shd w:val="clear" w:color="auto" w:fill="C00000"/>
            <w:hideMark/>
          </w:tcPr>
          <w:p w14:paraId="4A75A3B0"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0FE2C939" w14:textId="77777777">
        <w:trPr>
          <w:cantSplit/>
        </w:trPr>
        <w:tc>
          <w:tcPr>
            <w:tcW w:w="420" w:type="pct"/>
            <w:tcBorders>
              <w:top w:val="single" w:sz="6" w:space="0" w:color="auto"/>
              <w:left w:val="single" w:sz="4" w:space="0" w:color="auto"/>
              <w:bottom w:val="single" w:sz="6" w:space="0" w:color="auto"/>
              <w:right w:val="single" w:sz="6" w:space="0" w:color="auto"/>
            </w:tcBorders>
          </w:tcPr>
          <w:p w14:paraId="3746B775"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2EF8D913"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tcPr>
          <w:p w14:paraId="1BAC7204" w14:textId="77777777" w:rsidR="00B97365" w:rsidRDefault="00B97365">
            <w:pPr>
              <w:rPr>
                <w:rFonts w:cs="Calibri"/>
                <w:sz w:val="16"/>
                <w:szCs w:val="16"/>
              </w:rPr>
            </w:pPr>
          </w:p>
        </w:tc>
        <w:tc>
          <w:tcPr>
            <w:tcW w:w="726" w:type="pct"/>
            <w:tcBorders>
              <w:top w:val="single" w:sz="6" w:space="0" w:color="auto"/>
              <w:left w:val="single" w:sz="6" w:space="0" w:color="auto"/>
              <w:bottom w:val="single" w:sz="6" w:space="0" w:color="auto"/>
              <w:right w:val="single" w:sz="6" w:space="0" w:color="auto"/>
            </w:tcBorders>
          </w:tcPr>
          <w:p w14:paraId="419EBB33" w14:textId="77777777" w:rsidR="00B97365" w:rsidRDefault="00B97365">
            <w:pPr>
              <w:rPr>
                <w:rFonts w:cs="Calibri"/>
                <w:sz w:val="16"/>
                <w:szCs w:val="16"/>
              </w:rPr>
            </w:pPr>
          </w:p>
        </w:tc>
        <w:tc>
          <w:tcPr>
            <w:tcW w:w="444" w:type="pct"/>
            <w:tcBorders>
              <w:top w:val="single" w:sz="6" w:space="0" w:color="auto"/>
              <w:left w:val="single" w:sz="6" w:space="0" w:color="auto"/>
              <w:bottom w:val="single" w:sz="6" w:space="0" w:color="auto"/>
              <w:right w:val="single" w:sz="6" w:space="0" w:color="auto"/>
            </w:tcBorders>
            <w:hideMark/>
          </w:tcPr>
          <w:p w14:paraId="018072C4" w14:textId="77777777" w:rsidR="00B97365" w:rsidRDefault="00000000">
            <w:pPr>
              <w:rPr>
                <w:rFonts w:cs="Calibri"/>
                <w:sz w:val="16"/>
                <w:szCs w:val="16"/>
              </w:rPr>
            </w:pPr>
            <w:r>
              <w:rPr>
                <w:rFonts w:cs="Calibri"/>
                <w:sz w:val="16"/>
                <w:szCs w:val="16"/>
              </w:rPr>
              <w:t>‘93’</w:t>
            </w:r>
          </w:p>
        </w:tc>
        <w:tc>
          <w:tcPr>
            <w:tcW w:w="481" w:type="pct"/>
            <w:tcBorders>
              <w:top w:val="single" w:sz="6" w:space="0" w:color="auto"/>
              <w:left w:val="single" w:sz="6" w:space="0" w:color="auto"/>
              <w:bottom w:val="single" w:sz="6" w:space="0" w:color="auto"/>
              <w:right w:val="single" w:sz="6" w:space="0" w:color="auto"/>
            </w:tcBorders>
            <w:hideMark/>
          </w:tcPr>
          <w:p w14:paraId="37BF7782" w14:textId="77777777" w:rsidR="00B97365" w:rsidRDefault="00000000">
            <w:pPr>
              <w:rPr>
                <w:rFonts w:cs="Calibri"/>
                <w:sz w:val="16"/>
                <w:szCs w:val="16"/>
              </w:rPr>
            </w:pPr>
            <w:r>
              <w:rPr>
                <w:rFonts w:cs="Calibri"/>
                <w:sz w:val="16"/>
                <w:szCs w:val="16"/>
              </w:rPr>
              <w:t>1-16</w:t>
            </w:r>
          </w:p>
        </w:tc>
        <w:tc>
          <w:tcPr>
            <w:tcW w:w="1615" w:type="pct"/>
            <w:tcBorders>
              <w:top w:val="single" w:sz="6" w:space="0" w:color="auto"/>
              <w:left w:val="single" w:sz="6" w:space="0" w:color="auto"/>
              <w:bottom w:val="single" w:sz="6" w:space="0" w:color="auto"/>
              <w:right w:val="single" w:sz="6" w:space="0" w:color="auto"/>
            </w:tcBorders>
            <w:hideMark/>
          </w:tcPr>
          <w:p w14:paraId="475899CF" w14:textId="77777777" w:rsidR="00B97365" w:rsidRDefault="00000000">
            <w:pPr>
              <w:rPr>
                <w:rFonts w:cs="Calibri"/>
                <w:sz w:val="16"/>
                <w:szCs w:val="16"/>
              </w:rPr>
            </w:pPr>
            <w:r>
              <w:rPr>
                <w:rFonts w:cs="Calibri"/>
                <w:sz w:val="16"/>
                <w:szCs w:val="16"/>
              </w:rPr>
              <w:t>Certificate Serial Number</w:t>
            </w:r>
          </w:p>
        </w:tc>
        <w:tc>
          <w:tcPr>
            <w:tcW w:w="479" w:type="pct"/>
            <w:tcBorders>
              <w:top w:val="single" w:sz="6" w:space="0" w:color="auto"/>
              <w:left w:val="single" w:sz="6" w:space="0" w:color="auto"/>
              <w:bottom w:val="single" w:sz="6" w:space="0" w:color="auto"/>
              <w:right w:val="single" w:sz="4" w:space="0" w:color="auto"/>
            </w:tcBorders>
            <w:hideMark/>
          </w:tcPr>
          <w:p w14:paraId="2D116880" w14:textId="77777777" w:rsidR="00B97365" w:rsidRDefault="00000000">
            <w:pPr>
              <w:jc w:val="center"/>
              <w:rPr>
                <w:rFonts w:cs="Calibri"/>
                <w:sz w:val="16"/>
                <w:szCs w:val="16"/>
              </w:rPr>
            </w:pPr>
            <w:r>
              <w:rPr>
                <w:rFonts w:cs="Calibri"/>
                <w:sz w:val="16"/>
                <w:szCs w:val="16"/>
              </w:rPr>
              <w:t>M</w:t>
            </w:r>
          </w:p>
        </w:tc>
      </w:tr>
      <w:tr w:rsidR="00B97365" w14:paraId="17AA82CB" w14:textId="77777777">
        <w:trPr>
          <w:cantSplit/>
        </w:trPr>
        <w:tc>
          <w:tcPr>
            <w:tcW w:w="420" w:type="pct"/>
            <w:tcBorders>
              <w:top w:val="single" w:sz="6" w:space="0" w:color="auto"/>
              <w:left w:val="single" w:sz="4" w:space="0" w:color="auto"/>
              <w:bottom w:val="single" w:sz="6" w:space="0" w:color="auto"/>
              <w:right w:val="single" w:sz="6" w:space="0" w:color="auto"/>
            </w:tcBorders>
          </w:tcPr>
          <w:p w14:paraId="0A4E5791"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7A821091"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tcPr>
          <w:p w14:paraId="6AC28209" w14:textId="77777777" w:rsidR="00B97365" w:rsidRDefault="00B97365">
            <w:pPr>
              <w:rPr>
                <w:rFonts w:cs="Calibri"/>
                <w:sz w:val="16"/>
                <w:szCs w:val="16"/>
              </w:rPr>
            </w:pPr>
          </w:p>
        </w:tc>
        <w:tc>
          <w:tcPr>
            <w:tcW w:w="726" w:type="pct"/>
            <w:tcBorders>
              <w:top w:val="single" w:sz="6" w:space="0" w:color="auto"/>
              <w:left w:val="single" w:sz="6" w:space="0" w:color="auto"/>
              <w:bottom w:val="single" w:sz="6" w:space="0" w:color="auto"/>
              <w:right w:val="single" w:sz="6" w:space="0" w:color="auto"/>
            </w:tcBorders>
          </w:tcPr>
          <w:p w14:paraId="43037ABF" w14:textId="77777777" w:rsidR="00B97365" w:rsidRDefault="00B97365">
            <w:pPr>
              <w:rPr>
                <w:rFonts w:cs="Calibri"/>
                <w:sz w:val="16"/>
                <w:szCs w:val="16"/>
              </w:rPr>
            </w:pPr>
          </w:p>
        </w:tc>
        <w:tc>
          <w:tcPr>
            <w:tcW w:w="444" w:type="pct"/>
            <w:tcBorders>
              <w:top w:val="single" w:sz="6" w:space="0" w:color="auto"/>
              <w:left w:val="single" w:sz="6" w:space="0" w:color="auto"/>
              <w:bottom w:val="single" w:sz="6" w:space="0" w:color="auto"/>
              <w:right w:val="single" w:sz="6" w:space="0" w:color="auto"/>
            </w:tcBorders>
            <w:hideMark/>
          </w:tcPr>
          <w:p w14:paraId="7788C54E" w14:textId="77777777" w:rsidR="00B97365" w:rsidRDefault="00000000">
            <w:pPr>
              <w:rPr>
                <w:rFonts w:cs="Calibri"/>
                <w:sz w:val="16"/>
                <w:szCs w:val="16"/>
              </w:rPr>
            </w:pPr>
            <w:r>
              <w:rPr>
                <w:rFonts w:cs="Calibri"/>
                <w:sz w:val="16"/>
                <w:szCs w:val="16"/>
              </w:rPr>
              <w:t>‘42’</w:t>
            </w:r>
          </w:p>
        </w:tc>
        <w:tc>
          <w:tcPr>
            <w:tcW w:w="481" w:type="pct"/>
            <w:tcBorders>
              <w:top w:val="single" w:sz="6" w:space="0" w:color="auto"/>
              <w:left w:val="single" w:sz="6" w:space="0" w:color="auto"/>
              <w:bottom w:val="single" w:sz="6" w:space="0" w:color="auto"/>
              <w:right w:val="single" w:sz="6" w:space="0" w:color="auto"/>
            </w:tcBorders>
            <w:hideMark/>
          </w:tcPr>
          <w:p w14:paraId="55062BF5" w14:textId="77777777" w:rsidR="00B97365" w:rsidRDefault="00000000">
            <w:pPr>
              <w:rPr>
                <w:rFonts w:cs="Calibri"/>
                <w:sz w:val="16"/>
                <w:szCs w:val="16"/>
              </w:rPr>
            </w:pPr>
            <w:r>
              <w:rPr>
                <w:rFonts w:cs="Calibri"/>
                <w:sz w:val="16"/>
                <w:szCs w:val="16"/>
              </w:rPr>
              <w:t>1-16</w:t>
            </w:r>
          </w:p>
        </w:tc>
        <w:tc>
          <w:tcPr>
            <w:tcW w:w="1615" w:type="pct"/>
            <w:tcBorders>
              <w:top w:val="single" w:sz="6" w:space="0" w:color="auto"/>
              <w:left w:val="single" w:sz="6" w:space="0" w:color="auto"/>
              <w:bottom w:val="single" w:sz="6" w:space="0" w:color="auto"/>
              <w:right w:val="single" w:sz="6" w:space="0" w:color="auto"/>
            </w:tcBorders>
            <w:hideMark/>
          </w:tcPr>
          <w:p w14:paraId="68D14220" w14:textId="77777777" w:rsidR="00B97365" w:rsidRDefault="00000000">
            <w:pPr>
              <w:rPr>
                <w:rFonts w:cs="Calibri"/>
                <w:sz w:val="16"/>
                <w:szCs w:val="16"/>
              </w:rPr>
            </w:pPr>
            <w:r>
              <w:rPr>
                <w:rFonts w:cs="Calibri"/>
                <w:sz w:val="16"/>
                <w:szCs w:val="16"/>
              </w:rPr>
              <w:t>CA Identifier</w:t>
            </w:r>
          </w:p>
        </w:tc>
        <w:tc>
          <w:tcPr>
            <w:tcW w:w="479" w:type="pct"/>
            <w:tcBorders>
              <w:top w:val="single" w:sz="6" w:space="0" w:color="auto"/>
              <w:left w:val="single" w:sz="6" w:space="0" w:color="auto"/>
              <w:bottom w:val="single" w:sz="6" w:space="0" w:color="auto"/>
              <w:right w:val="single" w:sz="4" w:space="0" w:color="auto"/>
            </w:tcBorders>
            <w:hideMark/>
          </w:tcPr>
          <w:p w14:paraId="3EE2A396" w14:textId="77777777" w:rsidR="00B97365" w:rsidRDefault="00000000">
            <w:pPr>
              <w:jc w:val="center"/>
              <w:rPr>
                <w:rFonts w:cs="Calibri"/>
                <w:sz w:val="16"/>
                <w:szCs w:val="16"/>
              </w:rPr>
            </w:pPr>
            <w:r>
              <w:rPr>
                <w:rFonts w:cs="Calibri"/>
                <w:sz w:val="16"/>
                <w:szCs w:val="16"/>
              </w:rPr>
              <w:t>M</w:t>
            </w:r>
          </w:p>
        </w:tc>
      </w:tr>
      <w:tr w:rsidR="00B97365" w14:paraId="70A4C6FB" w14:textId="77777777">
        <w:trPr>
          <w:cantSplit/>
        </w:trPr>
        <w:tc>
          <w:tcPr>
            <w:tcW w:w="420" w:type="pct"/>
            <w:tcBorders>
              <w:top w:val="single" w:sz="6" w:space="0" w:color="auto"/>
              <w:left w:val="single" w:sz="4" w:space="0" w:color="auto"/>
              <w:bottom w:val="single" w:sz="6" w:space="0" w:color="auto"/>
              <w:right w:val="single" w:sz="6" w:space="0" w:color="auto"/>
            </w:tcBorders>
          </w:tcPr>
          <w:p w14:paraId="03685C4C"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55A98C13"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tcPr>
          <w:p w14:paraId="646FA525" w14:textId="77777777" w:rsidR="00B97365" w:rsidRDefault="00B97365">
            <w:pPr>
              <w:rPr>
                <w:rFonts w:cs="Calibri"/>
                <w:sz w:val="16"/>
                <w:szCs w:val="16"/>
              </w:rPr>
            </w:pPr>
          </w:p>
        </w:tc>
        <w:tc>
          <w:tcPr>
            <w:tcW w:w="726" w:type="pct"/>
            <w:tcBorders>
              <w:top w:val="single" w:sz="6" w:space="0" w:color="auto"/>
              <w:left w:val="single" w:sz="6" w:space="0" w:color="auto"/>
              <w:bottom w:val="single" w:sz="6" w:space="0" w:color="auto"/>
              <w:right w:val="single" w:sz="6" w:space="0" w:color="auto"/>
            </w:tcBorders>
          </w:tcPr>
          <w:p w14:paraId="2A1F5A07" w14:textId="77777777" w:rsidR="00B97365" w:rsidRDefault="00B97365">
            <w:pPr>
              <w:rPr>
                <w:rFonts w:cs="Calibri"/>
                <w:sz w:val="16"/>
                <w:szCs w:val="16"/>
              </w:rPr>
            </w:pPr>
          </w:p>
        </w:tc>
        <w:tc>
          <w:tcPr>
            <w:tcW w:w="444" w:type="pct"/>
            <w:tcBorders>
              <w:top w:val="single" w:sz="6" w:space="0" w:color="auto"/>
              <w:left w:val="single" w:sz="6" w:space="0" w:color="auto"/>
              <w:bottom w:val="single" w:sz="6" w:space="0" w:color="auto"/>
              <w:right w:val="single" w:sz="6" w:space="0" w:color="auto"/>
            </w:tcBorders>
            <w:hideMark/>
          </w:tcPr>
          <w:p w14:paraId="0FCD935D" w14:textId="77777777" w:rsidR="00B97365" w:rsidRDefault="00000000">
            <w:pPr>
              <w:rPr>
                <w:rFonts w:cs="Calibri"/>
                <w:sz w:val="16"/>
                <w:szCs w:val="16"/>
              </w:rPr>
            </w:pPr>
            <w:r>
              <w:rPr>
                <w:rFonts w:cs="Calibri"/>
                <w:sz w:val="16"/>
                <w:szCs w:val="16"/>
              </w:rPr>
              <w:t>‘5F20’</w:t>
            </w:r>
          </w:p>
        </w:tc>
        <w:tc>
          <w:tcPr>
            <w:tcW w:w="481" w:type="pct"/>
            <w:tcBorders>
              <w:top w:val="single" w:sz="6" w:space="0" w:color="auto"/>
              <w:left w:val="single" w:sz="6" w:space="0" w:color="auto"/>
              <w:bottom w:val="single" w:sz="6" w:space="0" w:color="auto"/>
              <w:right w:val="single" w:sz="6" w:space="0" w:color="auto"/>
            </w:tcBorders>
            <w:hideMark/>
          </w:tcPr>
          <w:p w14:paraId="5C9B21F0" w14:textId="77777777" w:rsidR="00B97365" w:rsidRDefault="00000000">
            <w:pPr>
              <w:rPr>
                <w:rFonts w:cs="Calibri"/>
                <w:sz w:val="16"/>
                <w:szCs w:val="16"/>
              </w:rPr>
            </w:pPr>
            <w:r>
              <w:rPr>
                <w:rFonts w:cs="Calibri"/>
                <w:sz w:val="16"/>
                <w:szCs w:val="16"/>
              </w:rPr>
              <w:t>1-16</w:t>
            </w:r>
          </w:p>
        </w:tc>
        <w:tc>
          <w:tcPr>
            <w:tcW w:w="1615" w:type="pct"/>
            <w:tcBorders>
              <w:top w:val="single" w:sz="6" w:space="0" w:color="auto"/>
              <w:left w:val="single" w:sz="6" w:space="0" w:color="auto"/>
              <w:bottom w:val="single" w:sz="6" w:space="0" w:color="auto"/>
              <w:right w:val="single" w:sz="6" w:space="0" w:color="auto"/>
            </w:tcBorders>
            <w:hideMark/>
          </w:tcPr>
          <w:p w14:paraId="4671D525" w14:textId="77777777" w:rsidR="00B97365" w:rsidRDefault="00000000">
            <w:pPr>
              <w:rPr>
                <w:rFonts w:cs="Calibri"/>
                <w:sz w:val="16"/>
                <w:szCs w:val="16"/>
              </w:rPr>
            </w:pPr>
            <w:r>
              <w:rPr>
                <w:rFonts w:cs="Calibri"/>
                <w:sz w:val="16"/>
                <w:szCs w:val="16"/>
              </w:rPr>
              <w:t>Subject Identifier</w:t>
            </w:r>
          </w:p>
        </w:tc>
        <w:tc>
          <w:tcPr>
            <w:tcW w:w="479" w:type="pct"/>
            <w:tcBorders>
              <w:top w:val="single" w:sz="6" w:space="0" w:color="auto"/>
              <w:left w:val="single" w:sz="6" w:space="0" w:color="auto"/>
              <w:bottom w:val="single" w:sz="6" w:space="0" w:color="auto"/>
              <w:right w:val="single" w:sz="4" w:space="0" w:color="auto"/>
            </w:tcBorders>
            <w:hideMark/>
          </w:tcPr>
          <w:p w14:paraId="180AC7EE" w14:textId="77777777" w:rsidR="00B97365" w:rsidRDefault="00000000">
            <w:pPr>
              <w:jc w:val="center"/>
              <w:rPr>
                <w:rFonts w:cs="Calibri"/>
                <w:sz w:val="16"/>
                <w:szCs w:val="16"/>
              </w:rPr>
            </w:pPr>
            <w:r>
              <w:rPr>
                <w:rFonts w:cs="Calibri"/>
                <w:sz w:val="16"/>
                <w:szCs w:val="16"/>
              </w:rPr>
              <w:t>M</w:t>
            </w:r>
          </w:p>
        </w:tc>
      </w:tr>
      <w:tr w:rsidR="00B97365" w14:paraId="4A930995" w14:textId="77777777">
        <w:trPr>
          <w:cantSplit/>
        </w:trPr>
        <w:tc>
          <w:tcPr>
            <w:tcW w:w="420" w:type="pct"/>
            <w:tcBorders>
              <w:top w:val="single" w:sz="6" w:space="0" w:color="auto"/>
              <w:left w:val="single" w:sz="4" w:space="0" w:color="auto"/>
              <w:bottom w:val="single" w:sz="6" w:space="0" w:color="auto"/>
              <w:right w:val="single" w:sz="6" w:space="0" w:color="auto"/>
            </w:tcBorders>
          </w:tcPr>
          <w:p w14:paraId="7C727CFF"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4F323F8B"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tcPr>
          <w:p w14:paraId="55BC898B" w14:textId="77777777" w:rsidR="00B97365" w:rsidRDefault="00B97365">
            <w:pPr>
              <w:rPr>
                <w:rFonts w:cs="Calibri"/>
                <w:sz w:val="16"/>
                <w:szCs w:val="16"/>
              </w:rPr>
            </w:pPr>
          </w:p>
        </w:tc>
        <w:tc>
          <w:tcPr>
            <w:tcW w:w="726" w:type="pct"/>
            <w:tcBorders>
              <w:top w:val="single" w:sz="6" w:space="0" w:color="auto"/>
              <w:left w:val="single" w:sz="6" w:space="0" w:color="auto"/>
              <w:bottom w:val="single" w:sz="6" w:space="0" w:color="auto"/>
              <w:right w:val="single" w:sz="6" w:space="0" w:color="auto"/>
            </w:tcBorders>
          </w:tcPr>
          <w:p w14:paraId="3CF56F5D" w14:textId="77777777" w:rsidR="00B97365" w:rsidRDefault="00B97365">
            <w:pPr>
              <w:rPr>
                <w:rFonts w:cs="Calibri"/>
                <w:sz w:val="16"/>
                <w:szCs w:val="16"/>
              </w:rPr>
            </w:pPr>
          </w:p>
        </w:tc>
        <w:tc>
          <w:tcPr>
            <w:tcW w:w="444" w:type="pct"/>
            <w:tcBorders>
              <w:top w:val="single" w:sz="6" w:space="0" w:color="auto"/>
              <w:left w:val="single" w:sz="6" w:space="0" w:color="auto"/>
              <w:bottom w:val="single" w:sz="6" w:space="0" w:color="auto"/>
              <w:right w:val="single" w:sz="6" w:space="0" w:color="auto"/>
            </w:tcBorders>
            <w:hideMark/>
          </w:tcPr>
          <w:p w14:paraId="2EBE22C5" w14:textId="77777777" w:rsidR="00B97365" w:rsidRDefault="00000000">
            <w:pPr>
              <w:rPr>
                <w:rFonts w:cs="Calibri"/>
                <w:sz w:val="16"/>
                <w:szCs w:val="16"/>
              </w:rPr>
            </w:pPr>
            <w:r>
              <w:rPr>
                <w:rFonts w:cs="Calibri"/>
                <w:sz w:val="16"/>
                <w:szCs w:val="16"/>
              </w:rPr>
              <w:t>‘95’</w:t>
            </w:r>
          </w:p>
        </w:tc>
        <w:tc>
          <w:tcPr>
            <w:tcW w:w="481" w:type="pct"/>
            <w:tcBorders>
              <w:top w:val="single" w:sz="6" w:space="0" w:color="auto"/>
              <w:left w:val="single" w:sz="6" w:space="0" w:color="auto"/>
              <w:bottom w:val="single" w:sz="6" w:space="0" w:color="auto"/>
              <w:right w:val="single" w:sz="6" w:space="0" w:color="auto"/>
            </w:tcBorders>
            <w:hideMark/>
          </w:tcPr>
          <w:p w14:paraId="4F48AD31" w14:textId="77777777" w:rsidR="00B97365" w:rsidRDefault="00000000">
            <w:pPr>
              <w:rPr>
                <w:rFonts w:cs="Calibri"/>
                <w:sz w:val="16"/>
                <w:szCs w:val="16"/>
              </w:rPr>
            </w:pPr>
            <w:r>
              <w:rPr>
                <w:rFonts w:cs="Calibri"/>
                <w:sz w:val="16"/>
                <w:szCs w:val="16"/>
              </w:rPr>
              <w:t>1</w:t>
            </w:r>
          </w:p>
        </w:tc>
        <w:tc>
          <w:tcPr>
            <w:tcW w:w="1615" w:type="pct"/>
            <w:tcBorders>
              <w:top w:val="single" w:sz="6" w:space="0" w:color="auto"/>
              <w:left w:val="single" w:sz="6" w:space="0" w:color="auto"/>
              <w:bottom w:val="single" w:sz="6" w:space="0" w:color="auto"/>
              <w:right w:val="single" w:sz="6" w:space="0" w:color="auto"/>
            </w:tcBorders>
            <w:hideMark/>
          </w:tcPr>
          <w:p w14:paraId="32291189" w14:textId="77777777" w:rsidR="00B97365" w:rsidRDefault="00000000">
            <w:pPr>
              <w:rPr>
                <w:rFonts w:cs="Calibri"/>
                <w:sz w:val="16"/>
                <w:szCs w:val="16"/>
              </w:rPr>
            </w:pPr>
            <w:r>
              <w:rPr>
                <w:rFonts w:cs="Calibri"/>
                <w:sz w:val="16"/>
                <w:szCs w:val="16"/>
              </w:rPr>
              <w:t xml:space="preserve">Key Usage, Signature Verification </w:t>
            </w:r>
          </w:p>
        </w:tc>
        <w:tc>
          <w:tcPr>
            <w:tcW w:w="479" w:type="pct"/>
            <w:tcBorders>
              <w:top w:val="single" w:sz="6" w:space="0" w:color="auto"/>
              <w:left w:val="single" w:sz="6" w:space="0" w:color="auto"/>
              <w:bottom w:val="single" w:sz="6" w:space="0" w:color="auto"/>
              <w:right w:val="single" w:sz="4" w:space="0" w:color="auto"/>
            </w:tcBorders>
            <w:hideMark/>
          </w:tcPr>
          <w:p w14:paraId="6C927B59" w14:textId="77777777" w:rsidR="00B97365" w:rsidRDefault="00000000">
            <w:pPr>
              <w:jc w:val="center"/>
              <w:rPr>
                <w:rFonts w:cs="Calibri"/>
                <w:sz w:val="16"/>
                <w:szCs w:val="16"/>
              </w:rPr>
            </w:pPr>
            <w:r>
              <w:rPr>
                <w:rFonts w:cs="Calibri"/>
                <w:sz w:val="16"/>
                <w:szCs w:val="16"/>
              </w:rPr>
              <w:t>M</w:t>
            </w:r>
          </w:p>
        </w:tc>
      </w:tr>
      <w:tr w:rsidR="00B97365" w14:paraId="38F4AAF3" w14:textId="77777777">
        <w:trPr>
          <w:cantSplit/>
        </w:trPr>
        <w:tc>
          <w:tcPr>
            <w:tcW w:w="420" w:type="pct"/>
            <w:tcBorders>
              <w:top w:val="single" w:sz="6" w:space="0" w:color="auto"/>
              <w:left w:val="single" w:sz="4" w:space="0" w:color="auto"/>
              <w:bottom w:val="single" w:sz="6" w:space="0" w:color="auto"/>
              <w:right w:val="single" w:sz="6" w:space="0" w:color="auto"/>
            </w:tcBorders>
          </w:tcPr>
          <w:p w14:paraId="05E36389"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7F6E4067"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tcPr>
          <w:p w14:paraId="43A9B41E" w14:textId="77777777" w:rsidR="00B97365" w:rsidRDefault="00B97365">
            <w:pPr>
              <w:rPr>
                <w:rFonts w:cs="Calibri"/>
                <w:sz w:val="16"/>
                <w:szCs w:val="16"/>
              </w:rPr>
            </w:pPr>
          </w:p>
        </w:tc>
        <w:tc>
          <w:tcPr>
            <w:tcW w:w="726" w:type="pct"/>
            <w:tcBorders>
              <w:top w:val="single" w:sz="6" w:space="0" w:color="auto"/>
              <w:left w:val="single" w:sz="6" w:space="0" w:color="auto"/>
              <w:bottom w:val="single" w:sz="6" w:space="0" w:color="auto"/>
              <w:right w:val="single" w:sz="6" w:space="0" w:color="auto"/>
            </w:tcBorders>
          </w:tcPr>
          <w:p w14:paraId="606FB0BF" w14:textId="77777777" w:rsidR="00B97365" w:rsidRDefault="00B97365">
            <w:pPr>
              <w:rPr>
                <w:rFonts w:cs="Calibri"/>
                <w:sz w:val="16"/>
                <w:szCs w:val="16"/>
              </w:rPr>
            </w:pPr>
          </w:p>
        </w:tc>
        <w:tc>
          <w:tcPr>
            <w:tcW w:w="444" w:type="pct"/>
            <w:tcBorders>
              <w:top w:val="single" w:sz="6" w:space="0" w:color="auto"/>
              <w:left w:val="single" w:sz="6" w:space="0" w:color="auto"/>
              <w:bottom w:val="single" w:sz="6" w:space="0" w:color="auto"/>
              <w:right w:val="single" w:sz="6" w:space="0" w:color="auto"/>
            </w:tcBorders>
            <w:hideMark/>
          </w:tcPr>
          <w:p w14:paraId="37DC8506" w14:textId="77777777" w:rsidR="00B97365" w:rsidRDefault="00000000">
            <w:pPr>
              <w:rPr>
                <w:rFonts w:cs="Calibri"/>
                <w:sz w:val="16"/>
                <w:szCs w:val="16"/>
              </w:rPr>
            </w:pPr>
            <w:r>
              <w:rPr>
                <w:rFonts w:cs="Calibri"/>
                <w:sz w:val="16"/>
                <w:szCs w:val="16"/>
              </w:rPr>
              <w:t>‘5F25’</w:t>
            </w:r>
          </w:p>
        </w:tc>
        <w:tc>
          <w:tcPr>
            <w:tcW w:w="481" w:type="pct"/>
            <w:tcBorders>
              <w:top w:val="single" w:sz="6" w:space="0" w:color="auto"/>
              <w:left w:val="single" w:sz="6" w:space="0" w:color="auto"/>
              <w:bottom w:val="single" w:sz="6" w:space="0" w:color="auto"/>
              <w:right w:val="single" w:sz="6" w:space="0" w:color="auto"/>
            </w:tcBorders>
            <w:hideMark/>
          </w:tcPr>
          <w:p w14:paraId="21E817C4" w14:textId="77777777" w:rsidR="00B97365" w:rsidRDefault="00000000">
            <w:pPr>
              <w:rPr>
                <w:rFonts w:cs="Calibri"/>
                <w:sz w:val="16"/>
                <w:szCs w:val="16"/>
              </w:rPr>
            </w:pPr>
            <w:r>
              <w:rPr>
                <w:rFonts w:cs="Calibri"/>
                <w:sz w:val="16"/>
                <w:szCs w:val="16"/>
              </w:rPr>
              <w:t>4</w:t>
            </w:r>
          </w:p>
        </w:tc>
        <w:tc>
          <w:tcPr>
            <w:tcW w:w="1615" w:type="pct"/>
            <w:tcBorders>
              <w:top w:val="single" w:sz="6" w:space="0" w:color="auto"/>
              <w:left w:val="single" w:sz="6" w:space="0" w:color="auto"/>
              <w:bottom w:val="single" w:sz="6" w:space="0" w:color="auto"/>
              <w:right w:val="single" w:sz="6" w:space="0" w:color="auto"/>
            </w:tcBorders>
            <w:hideMark/>
          </w:tcPr>
          <w:p w14:paraId="5FE472D9" w14:textId="77777777" w:rsidR="00B97365" w:rsidRDefault="00000000">
            <w:pPr>
              <w:rPr>
                <w:rFonts w:cs="Calibri"/>
                <w:sz w:val="16"/>
                <w:szCs w:val="16"/>
              </w:rPr>
            </w:pPr>
            <w:r>
              <w:rPr>
                <w:rFonts w:cs="Calibri"/>
                <w:sz w:val="16"/>
                <w:szCs w:val="16"/>
              </w:rPr>
              <w:t xml:space="preserve">Effective Date (YYYYMMDD, BCD format) </w:t>
            </w:r>
          </w:p>
        </w:tc>
        <w:tc>
          <w:tcPr>
            <w:tcW w:w="479" w:type="pct"/>
            <w:tcBorders>
              <w:top w:val="single" w:sz="6" w:space="0" w:color="auto"/>
              <w:left w:val="single" w:sz="6" w:space="0" w:color="auto"/>
              <w:bottom w:val="single" w:sz="6" w:space="0" w:color="auto"/>
              <w:right w:val="single" w:sz="4" w:space="0" w:color="auto"/>
            </w:tcBorders>
            <w:hideMark/>
          </w:tcPr>
          <w:p w14:paraId="5A16D4F5" w14:textId="77777777" w:rsidR="00B97365" w:rsidRDefault="00000000">
            <w:pPr>
              <w:jc w:val="center"/>
              <w:rPr>
                <w:rFonts w:cs="Calibri"/>
                <w:sz w:val="16"/>
                <w:szCs w:val="16"/>
              </w:rPr>
            </w:pPr>
            <w:r>
              <w:rPr>
                <w:rFonts w:cs="Calibri"/>
                <w:sz w:val="16"/>
                <w:szCs w:val="16"/>
              </w:rPr>
              <w:t>O</w:t>
            </w:r>
          </w:p>
        </w:tc>
      </w:tr>
      <w:tr w:rsidR="00B97365" w14:paraId="767AC5B3" w14:textId="77777777">
        <w:trPr>
          <w:cantSplit/>
        </w:trPr>
        <w:tc>
          <w:tcPr>
            <w:tcW w:w="420" w:type="pct"/>
            <w:tcBorders>
              <w:top w:val="single" w:sz="6" w:space="0" w:color="auto"/>
              <w:left w:val="single" w:sz="4" w:space="0" w:color="auto"/>
              <w:bottom w:val="single" w:sz="6" w:space="0" w:color="auto"/>
              <w:right w:val="single" w:sz="6" w:space="0" w:color="auto"/>
            </w:tcBorders>
          </w:tcPr>
          <w:p w14:paraId="1D4EEDFE"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780CE836"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tcPr>
          <w:p w14:paraId="22354FA3" w14:textId="77777777" w:rsidR="00B97365" w:rsidRDefault="00B97365">
            <w:pPr>
              <w:rPr>
                <w:rFonts w:cs="Calibri"/>
                <w:sz w:val="16"/>
                <w:szCs w:val="16"/>
              </w:rPr>
            </w:pPr>
          </w:p>
        </w:tc>
        <w:tc>
          <w:tcPr>
            <w:tcW w:w="726" w:type="pct"/>
            <w:tcBorders>
              <w:top w:val="single" w:sz="6" w:space="0" w:color="auto"/>
              <w:left w:val="single" w:sz="6" w:space="0" w:color="auto"/>
              <w:bottom w:val="single" w:sz="6" w:space="0" w:color="auto"/>
              <w:right w:val="single" w:sz="6" w:space="0" w:color="auto"/>
            </w:tcBorders>
          </w:tcPr>
          <w:p w14:paraId="723CE8F8" w14:textId="77777777" w:rsidR="00B97365" w:rsidRDefault="00B97365">
            <w:pPr>
              <w:rPr>
                <w:rFonts w:cs="Calibri"/>
                <w:sz w:val="16"/>
                <w:szCs w:val="16"/>
              </w:rPr>
            </w:pPr>
          </w:p>
        </w:tc>
        <w:tc>
          <w:tcPr>
            <w:tcW w:w="444" w:type="pct"/>
            <w:tcBorders>
              <w:top w:val="single" w:sz="6" w:space="0" w:color="auto"/>
              <w:left w:val="single" w:sz="6" w:space="0" w:color="auto"/>
              <w:bottom w:val="single" w:sz="6" w:space="0" w:color="auto"/>
              <w:right w:val="single" w:sz="6" w:space="0" w:color="auto"/>
            </w:tcBorders>
            <w:hideMark/>
          </w:tcPr>
          <w:p w14:paraId="25C25A3F" w14:textId="77777777" w:rsidR="00B97365" w:rsidRDefault="00000000">
            <w:pPr>
              <w:rPr>
                <w:rFonts w:cs="Calibri"/>
                <w:sz w:val="16"/>
                <w:szCs w:val="16"/>
              </w:rPr>
            </w:pPr>
            <w:r>
              <w:rPr>
                <w:rFonts w:cs="Calibri"/>
                <w:sz w:val="16"/>
                <w:szCs w:val="16"/>
              </w:rPr>
              <w:t>‘5F24’</w:t>
            </w:r>
          </w:p>
        </w:tc>
        <w:tc>
          <w:tcPr>
            <w:tcW w:w="481" w:type="pct"/>
            <w:tcBorders>
              <w:top w:val="single" w:sz="6" w:space="0" w:color="auto"/>
              <w:left w:val="single" w:sz="6" w:space="0" w:color="auto"/>
              <w:bottom w:val="single" w:sz="6" w:space="0" w:color="auto"/>
              <w:right w:val="single" w:sz="6" w:space="0" w:color="auto"/>
            </w:tcBorders>
            <w:hideMark/>
          </w:tcPr>
          <w:p w14:paraId="2C0CE8F2" w14:textId="77777777" w:rsidR="00B97365" w:rsidRDefault="00000000">
            <w:pPr>
              <w:rPr>
                <w:rFonts w:cs="Calibri"/>
                <w:sz w:val="16"/>
                <w:szCs w:val="16"/>
              </w:rPr>
            </w:pPr>
            <w:r>
              <w:rPr>
                <w:rFonts w:cs="Calibri"/>
                <w:sz w:val="16"/>
                <w:szCs w:val="16"/>
              </w:rPr>
              <w:t>4</w:t>
            </w:r>
          </w:p>
        </w:tc>
        <w:tc>
          <w:tcPr>
            <w:tcW w:w="1615" w:type="pct"/>
            <w:tcBorders>
              <w:top w:val="single" w:sz="6" w:space="0" w:color="auto"/>
              <w:left w:val="single" w:sz="6" w:space="0" w:color="auto"/>
              <w:bottom w:val="single" w:sz="6" w:space="0" w:color="auto"/>
              <w:right w:val="single" w:sz="6" w:space="0" w:color="auto"/>
            </w:tcBorders>
            <w:hideMark/>
          </w:tcPr>
          <w:p w14:paraId="06515F63" w14:textId="77777777" w:rsidR="00B97365" w:rsidRDefault="00000000">
            <w:pPr>
              <w:rPr>
                <w:rFonts w:cs="Calibri"/>
                <w:sz w:val="16"/>
                <w:szCs w:val="16"/>
                <w:lang w:val="fr-FR"/>
              </w:rPr>
            </w:pPr>
            <w:r>
              <w:rPr>
                <w:rFonts w:cs="Calibri"/>
                <w:sz w:val="16"/>
                <w:szCs w:val="16"/>
                <w:lang w:val="fr-FR"/>
              </w:rPr>
              <w:t>Expiration Date (YYYYMMDD, BCD format)</w:t>
            </w:r>
          </w:p>
        </w:tc>
        <w:tc>
          <w:tcPr>
            <w:tcW w:w="479" w:type="pct"/>
            <w:tcBorders>
              <w:top w:val="single" w:sz="6" w:space="0" w:color="auto"/>
              <w:left w:val="single" w:sz="6" w:space="0" w:color="auto"/>
              <w:bottom w:val="single" w:sz="6" w:space="0" w:color="auto"/>
              <w:right w:val="single" w:sz="4" w:space="0" w:color="auto"/>
            </w:tcBorders>
            <w:hideMark/>
          </w:tcPr>
          <w:p w14:paraId="7AC519C6" w14:textId="77777777" w:rsidR="00B97365" w:rsidRDefault="00000000">
            <w:pPr>
              <w:jc w:val="center"/>
              <w:rPr>
                <w:rFonts w:cs="Calibri"/>
                <w:sz w:val="16"/>
                <w:szCs w:val="16"/>
              </w:rPr>
            </w:pPr>
            <w:r>
              <w:rPr>
                <w:rFonts w:cs="Calibri"/>
                <w:sz w:val="16"/>
                <w:szCs w:val="16"/>
              </w:rPr>
              <w:t>M</w:t>
            </w:r>
          </w:p>
        </w:tc>
      </w:tr>
      <w:tr w:rsidR="00B97365" w14:paraId="36654389" w14:textId="77777777">
        <w:trPr>
          <w:cantSplit/>
        </w:trPr>
        <w:tc>
          <w:tcPr>
            <w:tcW w:w="420" w:type="pct"/>
            <w:tcBorders>
              <w:top w:val="single" w:sz="6" w:space="0" w:color="auto"/>
              <w:left w:val="single" w:sz="4" w:space="0" w:color="auto"/>
              <w:bottom w:val="single" w:sz="6" w:space="0" w:color="auto"/>
              <w:right w:val="single" w:sz="6" w:space="0" w:color="auto"/>
            </w:tcBorders>
          </w:tcPr>
          <w:p w14:paraId="5EFF5F22"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05F185FA"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tcPr>
          <w:p w14:paraId="1DAD8D82" w14:textId="77777777" w:rsidR="00B97365" w:rsidRDefault="00B97365">
            <w:pPr>
              <w:rPr>
                <w:rFonts w:cs="Calibri"/>
                <w:sz w:val="16"/>
                <w:szCs w:val="16"/>
              </w:rPr>
            </w:pPr>
          </w:p>
        </w:tc>
        <w:tc>
          <w:tcPr>
            <w:tcW w:w="726" w:type="pct"/>
            <w:tcBorders>
              <w:top w:val="single" w:sz="6" w:space="0" w:color="auto"/>
              <w:left w:val="single" w:sz="6" w:space="0" w:color="auto"/>
              <w:bottom w:val="single" w:sz="6" w:space="0" w:color="auto"/>
              <w:right w:val="single" w:sz="6" w:space="0" w:color="auto"/>
            </w:tcBorders>
          </w:tcPr>
          <w:p w14:paraId="261A64DB" w14:textId="77777777" w:rsidR="00B97365" w:rsidRDefault="00B97365">
            <w:pPr>
              <w:rPr>
                <w:rFonts w:cs="Calibri"/>
                <w:sz w:val="16"/>
                <w:szCs w:val="16"/>
              </w:rPr>
            </w:pPr>
          </w:p>
        </w:tc>
        <w:tc>
          <w:tcPr>
            <w:tcW w:w="444" w:type="pct"/>
            <w:tcBorders>
              <w:top w:val="single" w:sz="6" w:space="0" w:color="auto"/>
              <w:left w:val="single" w:sz="6" w:space="0" w:color="auto"/>
              <w:bottom w:val="single" w:sz="6" w:space="0" w:color="auto"/>
              <w:right w:val="single" w:sz="6" w:space="0" w:color="auto"/>
            </w:tcBorders>
            <w:hideMark/>
          </w:tcPr>
          <w:p w14:paraId="5D9BFAFA" w14:textId="77777777" w:rsidR="00B97365" w:rsidRDefault="00000000">
            <w:pPr>
              <w:rPr>
                <w:rFonts w:cs="Calibri"/>
                <w:sz w:val="16"/>
                <w:szCs w:val="16"/>
              </w:rPr>
            </w:pPr>
            <w:r>
              <w:rPr>
                <w:rFonts w:cs="Calibri"/>
                <w:sz w:val="16"/>
                <w:szCs w:val="16"/>
              </w:rPr>
              <w:t>‘73’</w:t>
            </w:r>
          </w:p>
        </w:tc>
        <w:tc>
          <w:tcPr>
            <w:tcW w:w="481" w:type="pct"/>
            <w:tcBorders>
              <w:top w:val="single" w:sz="6" w:space="0" w:color="auto"/>
              <w:left w:val="single" w:sz="6" w:space="0" w:color="auto"/>
              <w:bottom w:val="single" w:sz="6" w:space="0" w:color="auto"/>
              <w:right w:val="single" w:sz="6" w:space="0" w:color="auto"/>
            </w:tcBorders>
            <w:hideMark/>
          </w:tcPr>
          <w:p w14:paraId="43F8255B" w14:textId="77777777" w:rsidR="00B97365" w:rsidRDefault="00000000">
            <w:pPr>
              <w:rPr>
                <w:rFonts w:cs="Calibri"/>
                <w:sz w:val="16"/>
                <w:szCs w:val="16"/>
              </w:rPr>
            </w:pPr>
            <w:r>
              <w:rPr>
                <w:rFonts w:cs="Calibri"/>
                <w:sz w:val="16"/>
                <w:szCs w:val="16"/>
              </w:rPr>
              <w:t>3-127</w:t>
            </w:r>
          </w:p>
        </w:tc>
        <w:tc>
          <w:tcPr>
            <w:tcW w:w="1615" w:type="pct"/>
            <w:tcBorders>
              <w:top w:val="single" w:sz="6" w:space="0" w:color="auto"/>
              <w:left w:val="single" w:sz="6" w:space="0" w:color="auto"/>
              <w:bottom w:val="single" w:sz="6" w:space="0" w:color="auto"/>
              <w:right w:val="single" w:sz="6" w:space="0" w:color="auto"/>
            </w:tcBorders>
            <w:hideMark/>
          </w:tcPr>
          <w:p w14:paraId="21BDFA6A" w14:textId="77777777" w:rsidR="00B97365" w:rsidRDefault="00000000">
            <w:pPr>
              <w:rPr>
                <w:rFonts w:cs="Calibri"/>
                <w:sz w:val="16"/>
                <w:szCs w:val="16"/>
              </w:rPr>
            </w:pPr>
            <w:r>
              <w:rPr>
                <w:rFonts w:cs="Calibri"/>
                <w:sz w:val="16"/>
                <w:szCs w:val="16"/>
              </w:rPr>
              <w:t>Discretionary Data</w:t>
            </w:r>
          </w:p>
          <w:tbl>
            <w:tblPr>
              <w:tblW w:w="0" w:type="auto"/>
              <w:tblLook w:val="04A0" w:firstRow="1" w:lastRow="0" w:firstColumn="1" w:lastColumn="0" w:noHBand="0" w:noVBand="1"/>
            </w:tblPr>
            <w:tblGrid>
              <w:gridCol w:w="501"/>
              <w:gridCol w:w="706"/>
              <w:gridCol w:w="1240"/>
            </w:tblGrid>
            <w:tr w:rsidR="00B97365" w14:paraId="29C7902C" w14:textId="77777777">
              <w:tc>
                <w:tcPr>
                  <w:tcW w:w="501" w:type="dxa"/>
                  <w:shd w:val="clear" w:color="auto" w:fill="A50021"/>
                </w:tcPr>
                <w:p w14:paraId="103C6CA2" w14:textId="77777777" w:rsidR="00B97365" w:rsidRDefault="00000000">
                  <w:pPr>
                    <w:rPr>
                      <w:rFonts w:cs="Calibri"/>
                      <w:sz w:val="16"/>
                      <w:szCs w:val="16"/>
                    </w:rPr>
                  </w:pPr>
                  <w:r>
                    <w:rPr>
                      <w:rFonts w:cs="Calibri"/>
                      <w:color w:val="FFFFFF"/>
                      <w:sz w:val="16"/>
                      <w:szCs w:val="16"/>
                    </w:rPr>
                    <w:t>Tag</w:t>
                  </w:r>
                </w:p>
              </w:tc>
              <w:tc>
                <w:tcPr>
                  <w:tcW w:w="608" w:type="dxa"/>
                  <w:shd w:val="clear" w:color="auto" w:fill="A50021"/>
                </w:tcPr>
                <w:p w14:paraId="79203833" w14:textId="77777777" w:rsidR="00B97365" w:rsidRDefault="00000000">
                  <w:pPr>
                    <w:rPr>
                      <w:rFonts w:cs="Calibri"/>
                      <w:sz w:val="16"/>
                      <w:szCs w:val="16"/>
                    </w:rPr>
                  </w:pPr>
                  <w:r>
                    <w:rPr>
                      <w:rFonts w:cs="Calibri"/>
                      <w:color w:val="FFFFFF"/>
                      <w:sz w:val="16"/>
                      <w:szCs w:val="16"/>
                    </w:rPr>
                    <w:t>Length</w:t>
                  </w:r>
                </w:p>
              </w:tc>
              <w:tc>
                <w:tcPr>
                  <w:tcW w:w="1240" w:type="dxa"/>
                  <w:shd w:val="clear" w:color="auto" w:fill="A50021"/>
                </w:tcPr>
                <w:p w14:paraId="6418E2F4" w14:textId="77777777" w:rsidR="00B97365" w:rsidRDefault="00000000">
                  <w:pPr>
                    <w:rPr>
                      <w:rFonts w:cs="Calibri"/>
                      <w:sz w:val="16"/>
                      <w:szCs w:val="16"/>
                    </w:rPr>
                  </w:pPr>
                  <w:r>
                    <w:rPr>
                      <w:rFonts w:cs="Calibri"/>
                      <w:color w:val="FFFFFF"/>
                      <w:sz w:val="16"/>
                      <w:szCs w:val="16"/>
                    </w:rPr>
                    <w:t>Value Description</w:t>
                  </w:r>
                </w:p>
              </w:tc>
            </w:tr>
            <w:tr w:rsidR="00B97365" w14:paraId="616831AD" w14:textId="77777777">
              <w:tc>
                <w:tcPr>
                  <w:tcW w:w="501" w:type="dxa"/>
                </w:tcPr>
                <w:p w14:paraId="67F2A02E" w14:textId="77777777" w:rsidR="00B97365" w:rsidRDefault="00000000">
                  <w:pPr>
                    <w:rPr>
                      <w:rFonts w:cs="Calibri"/>
                      <w:sz w:val="16"/>
                      <w:szCs w:val="16"/>
                    </w:rPr>
                  </w:pPr>
                  <w:r>
                    <w:rPr>
                      <w:rFonts w:cs="Calibri"/>
                      <w:sz w:val="16"/>
                      <w:szCs w:val="16"/>
                    </w:rPr>
                    <w:t>'C8'</w:t>
                  </w:r>
                </w:p>
              </w:tc>
              <w:tc>
                <w:tcPr>
                  <w:tcW w:w="608" w:type="dxa"/>
                </w:tcPr>
                <w:p w14:paraId="61F7E764" w14:textId="77777777" w:rsidR="00B97365" w:rsidRDefault="00000000">
                  <w:pPr>
                    <w:rPr>
                      <w:rFonts w:cs="Calibri"/>
                      <w:sz w:val="16"/>
                      <w:szCs w:val="16"/>
                    </w:rPr>
                  </w:pPr>
                  <w:r>
                    <w:rPr>
                      <w:rFonts w:cs="Calibri"/>
                      <w:sz w:val="16"/>
                      <w:szCs w:val="16"/>
                    </w:rPr>
                    <w:t>1</w:t>
                  </w:r>
                </w:p>
              </w:tc>
              <w:tc>
                <w:tcPr>
                  <w:tcW w:w="1240" w:type="dxa"/>
                </w:tcPr>
                <w:p w14:paraId="7E74C9A1" w14:textId="77777777" w:rsidR="00B97365" w:rsidRDefault="00000000">
                  <w:pPr>
                    <w:rPr>
                      <w:rFonts w:cs="Calibri"/>
                      <w:sz w:val="16"/>
                      <w:szCs w:val="16"/>
                    </w:rPr>
                  </w:pPr>
                  <w:r>
                    <w:rPr>
                      <w:rFonts w:cs="Calibri"/>
                      <w:sz w:val="16"/>
                      <w:szCs w:val="16"/>
                    </w:rPr>
                    <w:t>‘01’, denoting an SM-DP certificate</w:t>
                  </w:r>
                </w:p>
              </w:tc>
            </w:tr>
            <w:tr w:rsidR="00B97365" w14:paraId="5BFDF62F" w14:textId="77777777">
              <w:tc>
                <w:tcPr>
                  <w:tcW w:w="501" w:type="dxa"/>
                </w:tcPr>
                <w:p w14:paraId="7546B45A" w14:textId="77777777" w:rsidR="00B97365" w:rsidRDefault="00000000">
                  <w:pPr>
                    <w:rPr>
                      <w:rFonts w:cs="Calibri"/>
                      <w:sz w:val="16"/>
                      <w:szCs w:val="16"/>
                    </w:rPr>
                  </w:pPr>
                  <w:r>
                    <w:rPr>
                      <w:rFonts w:cs="Calibri"/>
                      <w:sz w:val="16"/>
                      <w:szCs w:val="16"/>
                    </w:rPr>
                    <w:t>‘C9’</w:t>
                  </w:r>
                </w:p>
              </w:tc>
              <w:tc>
                <w:tcPr>
                  <w:tcW w:w="608" w:type="dxa"/>
                </w:tcPr>
                <w:p w14:paraId="3481E039" w14:textId="77777777" w:rsidR="00B97365" w:rsidRDefault="00000000">
                  <w:pPr>
                    <w:rPr>
                      <w:rFonts w:cs="Calibri"/>
                      <w:sz w:val="16"/>
                      <w:szCs w:val="16"/>
                    </w:rPr>
                  </w:pPr>
                  <w:r>
                    <w:rPr>
                      <w:rFonts w:cs="Calibri"/>
                      <w:sz w:val="16"/>
                      <w:szCs w:val="16"/>
                    </w:rPr>
                    <w:t>20</w:t>
                  </w:r>
                </w:p>
              </w:tc>
              <w:tc>
                <w:tcPr>
                  <w:tcW w:w="1240" w:type="dxa"/>
                </w:tcPr>
                <w:p w14:paraId="7583CA8A" w14:textId="77777777" w:rsidR="00B97365" w:rsidRDefault="00000000">
                  <w:pPr>
                    <w:rPr>
                      <w:rFonts w:cs="Calibri"/>
                      <w:sz w:val="16"/>
                      <w:szCs w:val="16"/>
                    </w:rPr>
                  </w:pPr>
                  <w:r>
                    <w:rPr>
                      <w:rFonts w:cs="Calibri"/>
                      <w:sz w:val="16"/>
                      <w:szCs w:val="16"/>
                    </w:rPr>
                    <w:t>Authority key identifier (value of the Subject Key Identifier extension of the Root certificate)</w:t>
                  </w:r>
                </w:p>
              </w:tc>
            </w:tr>
          </w:tbl>
          <w:p w14:paraId="38DA5233" w14:textId="77777777" w:rsidR="00B97365" w:rsidRDefault="00B97365">
            <w:pPr>
              <w:rPr>
                <w:rFonts w:cs="Calibri"/>
                <w:sz w:val="16"/>
                <w:szCs w:val="16"/>
              </w:rPr>
            </w:pPr>
          </w:p>
          <w:p w14:paraId="2A90424C" w14:textId="77777777" w:rsidR="00B97365" w:rsidRDefault="00000000">
            <w:pPr>
              <w:rPr>
                <w:rFonts w:cs="Calibri"/>
                <w:sz w:val="16"/>
                <w:szCs w:val="16"/>
              </w:rPr>
            </w:pPr>
            <w:r>
              <w:rPr>
                <w:rFonts w:cs="Calibri"/>
                <w:sz w:val="16"/>
                <w:szCs w:val="16"/>
              </w:rPr>
              <w:t>other TLVs MAY be present</w:t>
            </w:r>
          </w:p>
        </w:tc>
        <w:tc>
          <w:tcPr>
            <w:tcW w:w="479" w:type="pct"/>
            <w:tcBorders>
              <w:top w:val="single" w:sz="6" w:space="0" w:color="auto"/>
              <w:left w:val="single" w:sz="6" w:space="0" w:color="auto"/>
              <w:bottom w:val="single" w:sz="6" w:space="0" w:color="auto"/>
              <w:right w:val="single" w:sz="4" w:space="0" w:color="auto"/>
            </w:tcBorders>
            <w:hideMark/>
          </w:tcPr>
          <w:p w14:paraId="7B4C3A4B" w14:textId="77777777" w:rsidR="00B97365" w:rsidRDefault="00000000">
            <w:pPr>
              <w:jc w:val="center"/>
              <w:rPr>
                <w:rFonts w:cs="Calibri"/>
                <w:sz w:val="16"/>
                <w:szCs w:val="16"/>
              </w:rPr>
            </w:pPr>
            <w:r>
              <w:rPr>
                <w:rFonts w:cs="Calibri"/>
                <w:sz w:val="16"/>
                <w:szCs w:val="16"/>
              </w:rPr>
              <w:t>M</w:t>
            </w:r>
          </w:p>
        </w:tc>
      </w:tr>
      <w:tr w:rsidR="00B97365" w14:paraId="3A6F683D" w14:textId="77777777">
        <w:trPr>
          <w:cantSplit/>
        </w:trPr>
        <w:tc>
          <w:tcPr>
            <w:tcW w:w="420" w:type="pct"/>
            <w:tcBorders>
              <w:top w:val="single" w:sz="6" w:space="0" w:color="auto"/>
              <w:left w:val="single" w:sz="4" w:space="0" w:color="auto"/>
              <w:bottom w:val="single" w:sz="6" w:space="0" w:color="auto"/>
              <w:right w:val="single" w:sz="6" w:space="0" w:color="auto"/>
            </w:tcBorders>
          </w:tcPr>
          <w:p w14:paraId="65DCB503" w14:textId="77777777" w:rsidR="00B97365" w:rsidRDefault="00B97365">
            <w:pPr>
              <w:rPr>
                <w:rFonts w:cs="Calibri"/>
                <w:sz w:val="16"/>
                <w:szCs w:val="16"/>
              </w:rPr>
            </w:pPr>
          </w:p>
        </w:tc>
        <w:tc>
          <w:tcPr>
            <w:tcW w:w="449" w:type="pct"/>
            <w:tcBorders>
              <w:top w:val="single" w:sz="6" w:space="0" w:color="auto"/>
              <w:left w:val="single" w:sz="6" w:space="0" w:color="auto"/>
              <w:bottom w:val="single" w:sz="6" w:space="0" w:color="auto"/>
              <w:right w:val="single" w:sz="6" w:space="0" w:color="auto"/>
            </w:tcBorders>
          </w:tcPr>
          <w:p w14:paraId="5F19108D" w14:textId="77777777" w:rsidR="00B97365" w:rsidRDefault="00B97365">
            <w:pPr>
              <w:rPr>
                <w:rFonts w:cs="Calibri"/>
                <w:sz w:val="16"/>
                <w:szCs w:val="16"/>
              </w:rPr>
            </w:pPr>
          </w:p>
        </w:tc>
        <w:tc>
          <w:tcPr>
            <w:tcW w:w="386" w:type="pct"/>
            <w:tcBorders>
              <w:top w:val="single" w:sz="6" w:space="0" w:color="auto"/>
              <w:left w:val="single" w:sz="6" w:space="0" w:color="auto"/>
              <w:bottom w:val="single" w:sz="6" w:space="0" w:color="auto"/>
              <w:right w:val="single" w:sz="6" w:space="0" w:color="auto"/>
            </w:tcBorders>
          </w:tcPr>
          <w:p w14:paraId="5F9CD09B" w14:textId="77777777" w:rsidR="00B97365" w:rsidRDefault="00B97365">
            <w:pPr>
              <w:rPr>
                <w:rFonts w:cs="Calibri"/>
                <w:sz w:val="16"/>
                <w:szCs w:val="16"/>
              </w:rPr>
            </w:pPr>
          </w:p>
        </w:tc>
        <w:tc>
          <w:tcPr>
            <w:tcW w:w="726" w:type="pct"/>
            <w:tcBorders>
              <w:top w:val="single" w:sz="6" w:space="0" w:color="auto"/>
              <w:left w:val="single" w:sz="6" w:space="0" w:color="auto"/>
              <w:bottom w:val="single" w:sz="6" w:space="0" w:color="auto"/>
              <w:right w:val="single" w:sz="6" w:space="0" w:color="auto"/>
            </w:tcBorders>
          </w:tcPr>
          <w:p w14:paraId="1DFBACEB" w14:textId="77777777" w:rsidR="00B97365" w:rsidRDefault="00B97365">
            <w:pPr>
              <w:rPr>
                <w:rFonts w:cs="Calibri"/>
                <w:sz w:val="16"/>
                <w:szCs w:val="16"/>
              </w:rPr>
            </w:pPr>
          </w:p>
        </w:tc>
        <w:tc>
          <w:tcPr>
            <w:tcW w:w="444" w:type="pct"/>
            <w:tcBorders>
              <w:top w:val="single" w:sz="6" w:space="0" w:color="auto"/>
              <w:left w:val="single" w:sz="6" w:space="0" w:color="auto"/>
              <w:bottom w:val="single" w:sz="6" w:space="0" w:color="auto"/>
              <w:right w:val="single" w:sz="6" w:space="0" w:color="auto"/>
            </w:tcBorders>
            <w:hideMark/>
          </w:tcPr>
          <w:p w14:paraId="5B256858" w14:textId="77777777" w:rsidR="00B97365" w:rsidRDefault="00000000">
            <w:pPr>
              <w:rPr>
                <w:rFonts w:cs="Calibri"/>
                <w:sz w:val="16"/>
                <w:szCs w:val="16"/>
              </w:rPr>
            </w:pPr>
            <w:r>
              <w:rPr>
                <w:rFonts w:cs="Calibri"/>
                <w:sz w:val="16"/>
                <w:szCs w:val="16"/>
              </w:rPr>
              <w:t>‘7F49’</w:t>
            </w:r>
          </w:p>
        </w:tc>
        <w:tc>
          <w:tcPr>
            <w:tcW w:w="481" w:type="pct"/>
            <w:tcBorders>
              <w:top w:val="single" w:sz="6" w:space="0" w:color="auto"/>
              <w:left w:val="single" w:sz="6" w:space="0" w:color="auto"/>
              <w:bottom w:val="single" w:sz="6" w:space="0" w:color="auto"/>
              <w:right w:val="single" w:sz="6" w:space="0" w:color="auto"/>
            </w:tcBorders>
            <w:hideMark/>
          </w:tcPr>
          <w:p w14:paraId="4520E1EB" w14:textId="77777777" w:rsidR="00B97365" w:rsidRDefault="00000000">
            <w:pPr>
              <w:rPr>
                <w:rFonts w:cs="Calibri"/>
                <w:sz w:val="16"/>
                <w:szCs w:val="16"/>
              </w:rPr>
            </w:pPr>
            <w:r>
              <w:rPr>
                <w:rFonts w:cs="Calibri"/>
                <w:sz w:val="16"/>
                <w:szCs w:val="16"/>
              </w:rPr>
              <w:t>Var.</w:t>
            </w:r>
          </w:p>
        </w:tc>
        <w:tc>
          <w:tcPr>
            <w:tcW w:w="1615" w:type="pct"/>
            <w:tcBorders>
              <w:top w:val="single" w:sz="6" w:space="0" w:color="auto"/>
              <w:left w:val="single" w:sz="6" w:space="0" w:color="auto"/>
              <w:bottom w:val="single" w:sz="6" w:space="0" w:color="auto"/>
              <w:right w:val="single" w:sz="6" w:space="0" w:color="auto"/>
            </w:tcBorders>
            <w:hideMark/>
          </w:tcPr>
          <w:p w14:paraId="1987C812" w14:textId="77777777" w:rsidR="00B97365" w:rsidRDefault="00000000">
            <w:pPr>
              <w:rPr>
                <w:rFonts w:cs="Calibri"/>
                <w:sz w:val="16"/>
                <w:szCs w:val="16"/>
              </w:rPr>
            </w:pPr>
            <w:r>
              <w:rPr>
                <w:rFonts w:cs="Calibri"/>
                <w:sz w:val="16"/>
                <w:szCs w:val="16"/>
              </w:rPr>
              <w:t>Public Key – details see tables below</w:t>
            </w:r>
          </w:p>
        </w:tc>
        <w:tc>
          <w:tcPr>
            <w:tcW w:w="479" w:type="pct"/>
            <w:tcBorders>
              <w:top w:val="single" w:sz="6" w:space="0" w:color="auto"/>
              <w:left w:val="single" w:sz="6" w:space="0" w:color="auto"/>
              <w:bottom w:val="single" w:sz="6" w:space="0" w:color="auto"/>
              <w:right w:val="single" w:sz="4" w:space="0" w:color="auto"/>
            </w:tcBorders>
            <w:hideMark/>
          </w:tcPr>
          <w:p w14:paraId="091309E6" w14:textId="77777777" w:rsidR="00B97365" w:rsidRDefault="00000000">
            <w:pPr>
              <w:jc w:val="center"/>
              <w:rPr>
                <w:rFonts w:cs="Calibri"/>
                <w:sz w:val="16"/>
                <w:szCs w:val="16"/>
              </w:rPr>
            </w:pPr>
            <w:r>
              <w:rPr>
                <w:rFonts w:cs="Calibri"/>
                <w:sz w:val="16"/>
                <w:szCs w:val="16"/>
              </w:rPr>
              <w:t>M</w:t>
            </w:r>
          </w:p>
        </w:tc>
      </w:tr>
      <w:tr w:rsidR="00B97365" w14:paraId="6E19B723" w14:textId="77777777">
        <w:trPr>
          <w:cantSplit/>
        </w:trPr>
        <w:tc>
          <w:tcPr>
            <w:tcW w:w="420" w:type="pct"/>
            <w:tcBorders>
              <w:top w:val="single" w:sz="6" w:space="0" w:color="auto"/>
              <w:left w:val="single" w:sz="4" w:space="0" w:color="auto"/>
              <w:bottom w:val="single" w:sz="4" w:space="0" w:color="auto"/>
              <w:right w:val="single" w:sz="6" w:space="0" w:color="auto"/>
            </w:tcBorders>
          </w:tcPr>
          <w:p w14:paraId="5EFEC207" w14:textId="77777777" w:rsidR="00B97365" w:rsidRDefault="00B97365">
            <w:pPr>
              <w:rPr>
                <w:rFonts w:cs="Calibri"/>
                <w:sz w:val="16"/>
                <w:szCs w:val="16"/>
              </w:rPr>
            </w:pPr>
          </w:p>
        </w:tc>
        <w:tc>
          <w:tcPr>
            <w:tcW w:w="449" w:type="pct"/>
            <w:tcBorders>
              <w:top w:val="single" w:sz="6" w:space="0" w:color="auto"/>
              <w:left w:val="single" w:sz="6" w:space="0" w:color="auto"/>
              <w:bottom w:val="single" w:sz="4" w:space="0" w:color="auto"/>
              <w:right w:val="single" w:sz="6" w:space="0" w:color="auto"/>
            </w:tcBorders>
          </w:tcPr>
          <w:p w14:paraId="6E666686" w14:textId="77777777" w:rsidR="00B97365" w:rsidRDefault="00B97365">
            <w:pPr>
              <w:rPr>
                <w:rFonts w:cs="Calibri"/>
                <w:sz w:val="16"/>
                <w:szCs w:val="16"/>
              </w:rPr>
            </w:pPr>
          </w:p>
        </w:tc>
        <w:tc>
          <w:tcPr>
            <w:tcW w:w="386" w:type="pct"/>
            <w:tcBorders>
              <w:top w:val="single" w:sz="6" w:space="0" w:color="auto"/>
              <w:left w:val="single" w:sz="6" w:space="0" w:color="auto"/>
              <w:bottom w:val="single" w:sz="4" w:space="0" w:color="auto"/>
              <w:right w:val="single" w:sz="6" w:space="0" w:color="auto"/>
            </w:tcBorders>
          </w:tcPr>
          <w:p w14:paraId="697816AB" w14:textId="77777777" w:rsidR="00B97365" w:rsidRDefault="00B97365">
            <w:pPr>
              <w:rPr>
                <w:rFonts w:cs="Calibri"/>
                <w:sz w:val="16"/>
                <w:szCs w:val="16"/>
              </w:rPr>
            </w:pPr>
          </w:p>
        </w:tc>
        <w:tc>
          <w:tcPr>
            <w:tcW w:w="726" w:type="pct"/>
            <w:tcBorders>
              <w:top w:val="single" w:sz="6" w:space="0" w:color="auto"/>
              <w:left w:val="single" w:sz="6" w:space="0" w:color="auto"/>
              <w:bottom w:val="single" w:sz="4" w:space="0" w:color="auto"/>
              <w:right w:val="single" w:sz="6" w:space="0" w:color="auto"/>
            </w:tcBorders>
          </w:tcPr>
          <w:p w14:paraId="3F0A7EDB" w14:textId="77777777" w:rsidR="00B97365" w:rsidRDefault="00B97365">
            <w:pPr>
              <w:rPr>
                <w:rFonts w:cs="Calibri"/>
                <w:sz w:val="16"/>
                <w:szCs w:val="16"/>
              </w:rPr>
            </w:pPr>
          </w:p>
        </w:tc>
        <w:tc>
          <w:tcPr>
            <w:tcW w:w="444" w:type="pct"/>
            <w:tcBorders>
              <w:top w:val="single" w:sz="6" w:space="0" w:color="auto"/>
              <w:left w:val="single" w:sz="6" w:space="0" w:color="auto"/>
              <w:bottom w:val="single" w:sz="4" w:space="0" w:color="auto"/>
              <w:right w:val="single" w:sz="6" w:space="0" w:color="auto"/>
            </w:tcBorders>
            <w:hideMark/>
          </w:tcPr>
          <w:p w14:paraId="10B15E25" w14:textId="77777777" w:rsidR="00B97365" w:rsidRDefault="00000000">
            <w:pPr>
              <w:rPr>
                <w:rFonts w:cs="Calibri"/>
                <w:sz w:val="16"/>
                <w:szCs w:val="16"/>
              </w:rPr>
            </w:pPr>
            <w:r>
              <w:rPr>
                <w:rFonts w:cs="Calibri"/>
                <w:sz w:val="16"/>
                <w:szCs w:val="16"/>
              </w:rPr>
              <w:t>‘5F37’</w:t>
            </w:r>
          </w:p>
        </w:tc>
        <w:tc>
          <w:tcPr>
            <w:tcW w:w="481" w:type="pct"/>
            <w:tcBorders>
              <w:top w:val="single" w:sz="6" w:space="0" w:color="auto"/>
              <w:left w:val="single" w:sz="6" w:space="0" w:color="auto"/>
              <w:bottom w:val="single" w:sz="4" w:space="0" w:color="auto"/>
              <w:right w:val="single" w:sz="6" w:space="0" w:color="auto"/>
            </w:tcBorders>
            <w:hideMark/>
          </w:tcPr>
          <w:p w14:paraId="7F7568F6" w14:textId="77777777" w:rsidR="00B97365" w:rsidRDefault="00000000">
            <w:pPr>
              <w:rPr>
                <w:rFonts w:cs="Calibri"/>
                <w:sz w:val="16"/>
                <w:szCs w:val="16"/>
              </w:rPr>
            </w:pPr>
            <w:r>
              <w:rPr>
                <w:rFonts w:cs="Calibri"/>
                <w:sz w:val="16"/>
                <w:szCs w:val="16"/>
              </w:rPr>
              <w:t>Var.</w:t>
            </w:r>
          </w:p>
        </w:tc>
        <w:tc>
          <w:tcPr>
            <w:tcW w:w="1615" w:type="pct"/>
            <w:tcBorders>
              <w:top w:val="single" w:sz="6" w:space="0" w:color="auto"/>
              <w:left w:val="single" w:sz="6" w:space="0" w:color="auto"/>
              <w:bottom w:val="single" w:sz="4" w:space="0" w:color="auto"/>
              <w:right w:val="single" w:sz="6" w:space="0" w:color="auto"/>
            </w:tcBorders>
            <w:hideMark/>
          </w:tcPr>
          <w:p w14:paraId="5648960F" w14:textId="77777777" w:rsidR="00B97365" w:rsidRDefault="00000000">
            <w:pPr>
              <w:rPr>
                <w:rFonts w:cs="Calibri"/>
                <w:sz w:val="16"/>
                <w:szCs w:val="16"/>
              </w:rPr>
            </w:pPr>
            <w:r>
              <w:rPr>
                <w:rFonts w:cs="Calibri"/>
                <w:sz w:val="16"/>
                <w:szCs w:val="16"/>
              </w:rPr>
              <w:t>Signature</w:t>
            </w:r>
          </w:p>
        </w:tc>
        <w:tc>
          <w:tcPr>
            <w:tcW w:w="479" w:type="pct"/>
            <w:tcBorders>
              <w:top w:val="single" w:sz="6" w:space="0" w:color="auto"/>
              <w:left w:val="single" w:sz="6" w:space="0" w:color="auto"/>
              <w:bottom w:val="single" w:sz="4" w:space="0" w:color="auto"/>
              <w:right w:val="single" w:sz="4" w:space="0" w:color="auto"/>
            </w:tcBorders>
            <w:hideMark/>
          </w:tcPr>
          <w:p w14:paraId="39B19E7B" w14:textId="77777777" w:rsidR="00B97365" w:rsidRDefault="00000000">
            <w:pPr>
              <w:jc w:val="center"/>
              <w:rPr>
                <w:rFonts w:cs="Calibri"/>
                <w:sz w:val="16"/>
                <w:szCs w:val="16"/>
              </w:rPr>
            </w:pPr>
            <w:r>
              <w:rPr>
                <w:rFonts w:cs="Calibri"/>
                <w:sz w:val="16"/>
                <w:szCs w:val="16"/>
              </w:rPr>
              <w:t>M</w:t>
            </w:r>
          </w:p>
        </w:tc>
      </w:tr>
    </w:tbl>
    <w:p w14:paraId="6B93AD7A"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xml:space="preserve">: Data Fields for Send SM-DP Certificate for ISD-P Key Establishment </w:t>
      </w:r>
    </w:p>
    <w:p w14:paraId="1B731397" w14:textId="2AD6B882" w:rsidR="00B97365" w:rsidRDefault="00000000">
      <w:pPr>
        <w:spacing w:before="0" w:after="200" w:line="276" w:lineRule="auto"/>
        <w:jc w:val="left"/>
        <w:rPr>
          <w:szCs w:val="22"/>
          <w:lang w:val="en-US" w:eastAsia="en-GB" w:bidi="ar-SA"/>
        </w:rPr>
      </w:pPr>
      <w:r>
        <w:rPr>
          <w:rFonts w:cs="Arial"/>
          <w:szCs w:val="22"/>
          <w:lang w:val="en-US" w:eastAsia="en-GB" w:bidi="ar-SA"/>
        </w:rPr>
        <w:t xml:space="preserve">The following TLV-encoded data are signed off-card with SK.CI. ECDSA to generate the content of tag ‘5F37’ (signature), as described in GlobalPlatform Card Specification Amendment E </w:t>
      </w:r>
      <w:r>
        <w:fldChar w:fldCharType="begin"/>
      </w:r>
      <w:r>
        <w:rPr>
          <w:szCs w:val="22"/>
          <w:lang w:val="en-US" w:eastAsia="en-GB" w:bidi="ar-SA"/>
        </w:rPr>
        <w:instrText xml:space="preserve"> REF _Ref421632038 \r \h </w:instrText>
      </w:r>
      <w:r>
        <w:fldChar w:fldCharType="separate"/>
      </w:r>
      <w:r w:rsidR="001D5AD9">
        <w:rPr>
          <w:szCs w:val="22"/>
          <w:lang w:val="en-US" w:eastAsia="en-GB" w:bidi="ar-SA"/>
        </w:rPr>
        <w:t>[11]</w:t>
      </w:r>
      <w:r>
        <w:fldChar w:fldCharType="end"/>
      </w:r>
      <w:r>
        <w:rPr>
          <w:szCs w:val="22"/>
          <w:lang w:val="en-US" w:eastAsia="en-GB" w:bidi="ar-SA"/>
        </w:rPr>
        <w:t>:</w:t>
      </w:r>
    </w:p>
    <w:p w14:paraId="28C33B7C" w14:textId="77777777" w:rsidR="00B97365" w:rsidRDefault="00B97365">
      <w:pPr>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52"/>
        <w:gridCol w:w="750"/>
        <w:gridCol w:w="4049"/>
        <w:gridCol w:w="590"/>
      </w:tblGrid>
      <w:tr w:rsidR="00B97365" w14:paraId="733ED482" w14:textId="77777777">
        <w:trPr>
          <w:cantSplit/>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64CDBD4A" w14:textId="77777777" w:rsidR="00B97365" w:rsidRDefault="00000000">
            <w:pPr>
              <w:rPr>
                <w:rFonts w:cs="Calibri"/>
                <w:b/>
                <w:color w:val="FFFFFF"/>
                <w:sz w:val="16"/>
                <w:szCs w:val="16"/>
              </w:rPr>
            </w:pPr>
            <w:r>
              <w:rPr>
                <w:rFonts w:cs="Calibri"/>
                <w:b/>
                <w:color w:val="FFFFFF"/>
                <w:sz w:val="16"/>
                <w:szCs w:val="16"/>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3E3B765" w14:textId="77777777" w:rsidR="00B97365" w:rsidRDefault="00000000">
            <w:pPr>
              <w:rPr>
                <w:rFonts w:cs="Calibri"/>
                <w:b/>
                <w:color w:val="FFFFFF"/>
                <w:sz w:val="16"/>
                <w:szCs w:val="16"/>
              </w:rPr>
            </w:pPr>
            <w:r>
              <w:rPr>
                <w:rFonts w:cs="Calibri"/>
                <w:b/>
                <w:color w:val="FFFFFF"/>
                <w:sz w:val="16"/>
                <w:szCs w:val="16"/>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11FF6CAB" w14:textId="77777777" w:rsidR="00B97365" w:rsidRDefault="00000000">
            <w:pPr>
              <w:rPr>
                <w:rFonts w:cs="Calibri"/>
                <w:b/>
                <w:color w:val="FFFFFF"/>
                <w:sz w:val="16"/>
                <w:szCs w:val="16"/>
              </w:rPr>
            </w:pPr>
            <w:r>
              <w:rPr>
                <w:rFonts w:cs="Calibri"/>
                <w:b/>
                <w:color w:val="FFFFFF"/>
                <w:sz w:val="16"/>
                <w:szCs w:val="16"/>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0EF8A0D5"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53351EA"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4C6B63DB" w14:textId="77777777" w:rsidR="00B97365" w:rsidRDefault="00000000">
            <w:pPr>
              <w:rPr>
                <w:rFonts w:cs="Calibri"/>
                <w:sz w:val="16"/>
                <w:szCs w:val="16"/>
              </w:rPr>
            </w:pPr>
            <w:r>
              <w:rPr>
                <w:rFonts w:cs="Calibri"/>
                <w:sz w:val="16"/>
                <w:szCs w:val="16"/>
              </w:rPr>
              <w:t>‘93’</w:t>
            </w:r>
          </w:p>
        </w:tc>
        <w:tc>
          <w:tcPr>
            <w:tcW w:w="0" w:type="auto"/>
            <w:tcBorders>
              <w:top w:val="single" w:sz="6" w:space="0" w:color="auto"/>
              <w:left w:val="single" w:sz="6" w:space="0" w:color="auto"/>
              <w:bottom w:val="single" w:sz="6" w:space="0" w:color="auto"/>
              <w:right w:val="single" w:sz="6" w:space="0" w:color="auto"/>
            </w:tcBorders>
            <w:hideMark/>
          </w:tcPr>
          <w:p w14:paraId="4EE2A04D" w14:textId="77777777" w:rsidR="00B97365" w:rsidRDefault="00000000">
            <w:pPr>
              <w:rPr>
                <w:rFonts w:cs="Calibri"/>
                <w:sz w:val="16"/>
                <w:szCs w:val="16"/>
              </w:rPr>
            </w:pPr>
            <w:r>
              <w:rPr>
                <w:rFonts w:cs="Calibri"/>
                <w:sz w:val="16"/>
                <w:szCs w:val="16"/>
              </w:rPr>
              <w:t>1-16</w:t>
            </w:r>
          </w:p>
        </w:tc>
        <w:tc>
          <w:tcPr>
            <w:tcW w:w="0" w:type="auto"/>
            <w:tcBorders>
              <w:top w:val="single" w:sz="6" w:space="0" w:color="auto"/>
              <w:left w:val="single" w:sz="6" w:space="0" w:color="auto"/>
              <w:bottom w:val="single" w:sz="6" w:space="0" w:color="auto"/>
              <w:right w:val="single" w:sz="6" w:space="0" w:color="auto"/>
            </w:tcBorders>
            <w:hideMark/>
          </w:tcPr>
          <w:p w14:paraId="672C7858" w14:textId="77777777" w:rsidR="00B97365" w:rsidRDefault="00000000">
            <w:pPr>
              <w:rPr>
                <w:rFonts w:cs="Calibri"/>
                <w:sz w:val="16"/>
                <w:szCs w:val="16"/>
              </w:rPr>
            </w:pPr>
            <w:r>
              <w:rPr>
                <w:rFonts w:cs="Calibri"/>
                <w:sz w:val="16"/>
                <w:szCs w:val="16"/>
              </w:rPr>
              <w:t>Certificate Serial Number</w:t>
            </w:r>
          </w:p>
        </w:tc>
        <w:tc>
          <w:tcPr>
            <w:tcW w:w="0" w:type="auto"/>
            <w:tcBorders>
              <w:top w:val="single" w:sz="6" w:space="0" w:color="auto"/>
              <w:left w:val="single" w:sz="6" w:space="0" w:color="auto"/>
              <w:bottom w:val="single" w:sz="6" w:space="0" w:color="auto"/>
              <w:right w:val="single" w:sz="4" w:space="0" w:color="auto"/>
            </w:tcBorders>
            <w:hideMark/>
          </w:tcPr>
          <w:p w14:paraId="3011C806" w14:textId="77777777" w:rsidR="00B97365" w:rsidRDefault="00000000">
            <w:pPr>
              <w:jc w:val="center"/>
              <w:rPr>
                <w:rFonts w:cs="Calibri"/>
                <w:sz w:val="16"/>
                <w:szCs w:val="16"/>
              </w:rPr>
            </w:pPr>
            <w:r>
              <w:rPr>
                <w:rFonts w:cs="Calibri"/>
                <w:sz w:val="16"/>
                <w:szCs w:val="16"/>
              </w:rPr>
              <w:t>M</w:t>
            </w:r>
          </w:p>
        </w:tc>
      </w:tr>
      <w:tr w:rsidR="00B97365" w14:paraId="68E5D43B"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0CDA5FA5" w14:textId="77777777" w:rsidR="00B97365" w:rsidRDefault="00000000">
            <w:pPr>
              <w:rPr>
                <w:rFonts w:cs="Calibri"/>
                <w:sz w:val="16"/>
                <w:szCs w:val="16"/>
              </w:rPr>
            </w:pPr>
            <w:r>
              <w:rPr>
                <w:rFonts w:cs="Calibri"/>
                <w:sz w:val="16"/>
                <w:szCs w:val="16"/>
              </w:rPr>
              <w:t>‘42’</w:t>
            </w:r>
          </w:p>
        </w:tc>
        <w:tc>
          <w:tcPr>
            <w:tcW w:w="0" w:type="auto"/>
            <w:tcBorders>
              <w:top w:val="single" w:sz="6" w:space="0" w:color="auto"/>
              <w:left w:val="single" w:sz="6" w:space="0" w:color="auto"/>
              <w:bottom w:val="single" w:sz="6" w:space="0" w:color="auto"/>
              <w:right w:val="single" w:sz="6" w:space="0" w:color="auto"/>
            </w:tcBorders>
            <w:hideMark/>
          </w:tcPr>
          <w:p w14:paraId="3093E40E" w14:textId="77777777" w:rsidR="00B97365" w:rsidRDefault="00000000">
            <w:pPr>
              <w:rPr>
                <w:rFonts w:cs="Calibri"/>
                <w:sz w:val="16"/>
                <w:szCs w:val="16"/>
              </w:rPr>
            </w:pPr>
            <w:r>
              <w:rPr>
                <w:rFonts w:cs="Calibri"/>
                <w:sz w:val="16"/>
                <w:szCs w:val="16"/>
              </w:rPr>
              <w:t>1-16</w:t>
            </w:r>
          </w:p>
        </w:tc>
        <w:tc>
          <w:tcPr>
            <w:tcW w:w="0" w:type="auto"/>
            <w:tcBorders>
              <w:top w:val="single" w:sz="6" w:space="0" w:color="auto"/>
              <w:left w:val="single" w:sz="6" w:space="0" w:color="auto"/>
              <w:bottom w:val="single" w:sz="6" w:space="0" w:color="auto"/>
              <w:right w:val="single" w:sz="6" w:space="0" w:color="auto"/>
            </w:tcBorders>
            <w:hideMark/>
          </w:tcPr>
          <w:p w14:paraId="34A0BFE2" w14:textId="77777777" w:rsidR="00B97365" w:rsidRDefault="00000000">
            <w:pPr>
              <w:rPr>
                <w:rFonts w:cs="Calibri"/>
                <w:sz w:val="16"/>
                <w:szCs w:val="16"/>
              </w:rPr>
            </w:pPr>
            <w:r>
              <w:rPr>
                <w:rFonts w:cs="Calibri"/>
                <w:sz w:val="16"/>
                <w:szCs w:val="16"/>
              </w:rPr>
              <w:t>CA Identifier</w:t>
            </w:r>
          </w:p>
        </w:tc>
        <w:tc>
          <w:tcPr>
            <w:tcW w:w="0" w:type="auto"/>
            <w:tcBorders>
              <w:top w:val="single" w:sz="6" w:space="0" w:color="auto"/>
              <w:left w:val="single" w:sz="6" w:space="0" w:color="auto"/>
              <w:bottom w:val="single" w:sz="6" w:space="0" w:color="auto"/>
              <w:right w:val="single" w:sz="4" w:space="0" w:color="auto"/>
            </w:tcBorders>
            <w:hideMark/>
          </w:tcPr>
          <w:p w14:paraId="15EE0FEE" w14:textId="77777777" w:rsidR="00B97365" w:rsidRDefault="00000000">
            <w:pPr>
              <w:jc w:val="center"/>
              <w:rPr>
                <w:rFonts w:cs="Calibri"/>
                <w:sz w:val="16"/>
                <w:szCs w:val="16"/>
              </w:rPr>
            </w:pPr>
            <w:r>
              <w:rPr>
                <w:rFonts w:cs="Calibri"/>
                <w:sz w:val="16"/>
                <w:szCs w:val="16"/>
              </w:rPr>
              <w:t>M</w:t>
            </w:r>
          </w:p>
        </w:tc>
      </w:tr>
      <w:tr w:rsidR="00B97365" w14:paraId="24422327"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540BD32B" w14:textId="77777777" w:rsidR="00B97365" w:rsidRDefault="00000000">
            <w:pPr>
              <w:rPr>
                <w:rFonts w:cs="Calibri"/>
                <w:sz w:val="16"/>
                <w:szCs w:val="16"/>
              </w:rPr>
            </w:pPr>
            <w:r>
              <w:rPr>
                <w:rFonts w:cs="Calibri"/>
                <w:sz w:val="16"/>
                <w:szCs w:val="16"/>
              </w:rPr>
              <w:t>‘5F20’</w:t>
            </w:r>
          </w:p>
        </w:tc>
        <w:tc>
          <w:tcPr>
            <w:tcW w:w="0" w:type="auto"/>
            <w:tcBorders>
              <w:top w:val="single" w:sz="6" w:space="0" w:color="auto"/>
              <w:left w:val="single" w:sz="6" w:space="0" w:color="auto"/>
              <w:bottom w:val="single" w:sz="6" w:space="0" w:color="auto"/>
              <w:right w:val="single" w:sz="6" w:space="0" w:color="auto"/>
            </w:tcBorders>
            <w:hideMark/>
          </w:tcPr>
          <w:p w14:paraId="64B0FC80" w14:textId="77777777" w:rsidR="00B97365" w:rsidRDefault="00000000">
            <w:pPr>
              <w:rPr>
                <w:rFonts w:cs="Calibri"/>
                <w:sz w:val="16"/>
                <w:szCs w:val="16"/>
              </w:rPr>
            </w:pPr>
            <w:r>
              <w:rPr>
                <w:rFonts w:cs="Calibri"/>
                <w:sz w:val="16"/>
                <w:szCs w:val="16"/>
              </w:rPr>
              <w:t>1-16</w:t>
            </w:r>
          </w:p>
        </w:tc>
        <w:tc>
          <w:tcPr>
            <w:tcW w:w="0" w:type="auto"/>
            <w:tcBorders>
              <w:top w:val="single" w:sz="6" w:space="0" w:color="auto"/>
              <w:left w:val="single" w:sz="6" w:space="0" w:color="auto"/>
              <w:bottom w:val="single" w:sz="6" w:space="0" w:color="auto"/>
              <w:right w:val="single" w:sz="6" w:space="0" w:color="auto"/>
            </w:tcBorders>
            <w:hideMark/>
          </w:tcPr>
          <w:p w14:paraId="74D39935" w14:textId="77777777" w:rsidR="00B97365" w:rsidRDefault="00000000">
            <w:pPr>
              <w:rPr>
                <w:rFonts w:cs="Calibri"/>
                <w:sz w:val="16"/>
                <w:szCs w:val="16"/>
              </w:rPr>
            </w:pPr>
            <w:r>
              <w:rPr>
                <w:rFonts w:cs="Calibri"/>
                <w:sz w:val="16"/>
                <w:szCs w:val="16"/>
              </w:rPr>
              <w:t>Subject Identifier</w:t>
            </w:r>
          </w:p>
        </w:tc>
        <w:tc>
          <w:tcPr>
            <w:tcW w:w="0" w:type="auto"/>
            <w:tcBorders>
              <w:top w:val="single" w:sz="6" w:space="0" w:color="auto"/>
              <w:left w:val="single" w:sz="6" w:space="0" w:color="auto"/>
              <w:bottom w:val="single" w:sz="6" w:space="0" w:color="auto"/>
              <w:right w:val="single" w:sz="4" w:space="0" w:color="auto"/>
            </w:tcBorders>
            <w:hideMark/>
          </w:tcPr>
          <w:p w14:paraId="74A976DE" w14:textId="77777777" w:rsidR="00B97365" w:rsidRDefault="00000000">
            <w:pPr>
              <w:jc w:val="center"/>
              <w:rPr>
                <w:rFonts w:cs="Calibri"/>
                <w:sz w:val="16"/>
                <w:szCs w:val="16"/>
              </w:rPr>
            </w:pPr>
            <w:r>
              <w:rPr>
                <w:rFonts w:cs="Calibri"/>
                <w:sz w:val="16"/>
                <w:szCs w:val="16"/>
              </w:rPr>
              <w:t>M</w:t>
            </w:r>
          </w:p>
        </w:tc>
      </w:tr>
      <w:tr w:rsidR="00B97365" w14:paraId="329433D2"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184B566D" w14:textId="77777777" w:rsidR="00B97365" w:rsidRDefault="00000000">
            <w:pPr>
              <w:rPr>
                <w:rFonts w:cs="Calibri"/>
                <w:sz w:val="16"/>
                <w:szCs w:val="16"/>
              </w:rPr>
            </w:pPr>
            <w:r>
              <w:rPr>
                <w:rFonts w:cs="Calibri"/>
                <w:sz w:val="16"/>
                <w:szCs w:val="16"/>
              </w:rPr>
              <w:t>‘95’</w:t>
            </w:r>
          </w:p>
        </w:tc>
        <w:tc>
          <w:tcPr>
            <w:tcW w:w="0" w:type="auto"/>
            <w:tcBorders>
              <w:top w:val="single" w:sz="6" w:space="0" w:color="auto"/>
              <w:left w:val="single" w:sz="6" w:space="0" w:color="auto"/>
              <w:bottom w:val="single" w:sz="4" w:space="0" w:color="auto"/>
              <w:right w:val="single" w:sz="6" w:space="0" w:color="auto"/>
            </w:tcBorders>
            <w:hideMark/>
          </w:tcPr>
          <w:p w14:paraId="1D3F6379" w14:textId="77777777" w:rsidR="00B97365" w:rsidRDefault="00000000">
            <w:pP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6" w:space="0" w:color="auto"/>
            </w:tcBorders>
            <w:hideMark/>
          </w:tcPr>
          <w:p w14:paraId="23D7E490" w14:textId="77777777" w:rsidR="00B97365" w:rsidRDefault="00000000">
            <w:pPr>
              <w:rPr>
                <w:rFonts w:cs="Calibri"/>
                <w:sz w:val="16"/>
                <w:szCs w:val="16"/>
              </w:rPr>
            </w:pPr>
            <w:r>
              <w:rPr>
                <w:rFonts w:cs="Calibri"/>
                <w:sz w:val="16"/>
                <w:szCs w:val="16"/>
              </w:rPr>
              <w:t>Key Usage, Signature Verification</w:t>
            </w:r>
          </w:p>
        </w:tc>
        <w:tc>
          <w:tcPr>
            <w:tcW w:w="0" w:type="auto"/>
            <w:tcBorders>
              <w:top w:val="single" w:sz="6" w:space="0" w:color="auto"/>
              <w:left w:val="single" w:sz="6" w:space="0" w:color="auto"/>
              <w:bottom w:val="single" w:sz="4" w:space="0" w:color="auto"/>
              <w:right w:val="single" w:sz="4" w:space="0" w:color="auto"/>
            </w:tcBorders>
            <w:hideMark/>
          </w:tcPr>
          <w:p w14:paraId="2C68265B" w14:textId="77777777" w:rsidR="00B97365" w:rsidRDefault="00000000">
            <w:pPr>
              <w:jc w:val="center"/>
              <w:rPr>
                <w:rFonts w:cs="Calibri"/>
                <w:sz w:val="16"/>
                <w:szCs w:val="16"/>
              </w:rPr>
            </w:pPr>
            <w:r>
              <w:rPr>
                <w:rFonts w:cs="Calibri"/>
                <w:sz w:val="16"/>
                <w:szCs w:val="16"/>
              </w:rPr>
              <w:t>M</w:t>
            </w:r>
          </w:p>
        </w:tc>
      </w:tr>
      <w:tr w:rsidR="00B97365" w14:paraId="39381EA4" w14:textId="7777777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A94D30E" w14:textId="77777777" w:rsidR="00B97365" w:rsidRDefault="00000000">
            <w:pPr>
              <w:rPr>
                <w:rFonts w:cs="Calibri"/>
                <w:sz w:val="16"/>
                <w:szCs w:val="16"/>
              </w:rPr>
            </w:pPr>
            <w:r>
              <w:rPr>
                <w:rFonts w:cs="Calibri"/>
                <w:sz w:val="16"/>
                <w:szCs w:val="16"/>
              </w:rPr>
              <w:t>‘5F25’</w:t>
            </w:r>
          </w:p>
        </w:tc>
        <w:tc>
          <w:tcPr>
            <w:tcW w:w="0" w:type="auto"/>
            <w:tcBorders>
              <w:top w:val="single" w:sz="4" w:space="0" w:color="auto"/>
              <w:left w:val="single" w:sz="4" w:space="0" w:color="auto"/>
              <w:bottom w:val="single" w:sz="4" w:space="0" w:color="auto"/>
              <w:right w:val="single" w:sz="4" w:space="0" w:color="auto"/>
            </w:tcBorders>
            <w:hideMark/>
          </w:tcPr>
          <w:p w14:paraId="3A71C323" w14:textId="77777777" w:rsidR="00B97365" w:rsidRDefault="00000000">
            <w:pPr>
              <w:rPr>
                <w:rFonts w:cs="Calibri"/>
                <w:sz w:val="16"/>
                <w:szCs w:val="16"/>
              </w:rPr>
            </w:pPr>
            <w:r>
              <w:rPr>
                <w:rFonts w:cs="Calibri"/>
                <w:sz w:val="16"/>
                <w:szCs w:val="16"/>
              </w:rPr>
              <w:t>4</w:t>
            </w:r>
          </w:p>
        </w:tc>
        <w:tc>
          <w:tcPr>
            <w:tcW w:w="0" w:type="auto"/>
            <w:tcBorders>
              <w:top w:val="single" w:sz="4" w:space="0" w:color="auto"/>
              <w:left w:val="single" w:sz="4" w:space="0" w:color="auto"/>
              <w:bottom w:val="single" w:sz="4" w:space="0" w:color="auto"/>
              <w:right w:val="single" w:sz="4" w:space="0" w:color="auto"/>
            </w:tcBorders>
            <w:hideMark/>
          </w:tcPr>
          <w:p w14:paraId="3957E3B7" w14:textId="77777777" w:rsidR="00B97365" w:rsidRDefault="00000000">
            <w:pPr>
              <w:rPr>
                <w:rFonts w:cs="Calibri"/>
                <w:sz w:val="16"/>
                <w:szCs w:val="16"/>
              </w:rPr>
            </w:pPr>
            <w:r>
              <w:rPr>
                <w:rFonts w:cs="Calibri"/>
                <w:sz w:val="16"/>
                <w:szCs w:val="16"/>
              </w:rPr>
              <w:t>Effective Date (YYYYMMDD, BCD format) – if present</w:t>
            </w:r>
          </w:p>
        </w:tc>
        <w:tc>
          <w:tcPr>
            <w:tcW w:w="0" w:type="auto"/>
            <w:tcBorders>
              <w:top w:val="single" w:sz="4" w:space="0" w:color="auto"/>
              <w:left w:val="single" w:sz="4" w:space="0" w:color="auto"/>
              <w:bottom w:val="single" w:sz="4" w:space="0" w:color="auto"/>
              <w:right w:val="single" w:sz="4" w:space="0" w:color="auto"/>
            </w:tcBorders>
            <w:hideMark/>
          </w:tcPr>
          <w:p w14:paraId="7BC7C0B0" w14:textId="77777777" w:rsidR="00B97365" w:rsidRDefault="00000000">
            <w:pPr>
              <w:jc w:val="center"/>
              <w:rPr>
                <w:rFonts w:cs="Calibri"/>
                <w:sz w:val="16"/>
                <w:szCs w:val="16"/>
              </w:rPr>
            </w:pPr>
            <w:r>
              <w:rPr>
                <w:rFonts w:cs="Calibri"/>
                <w:sz w:val="16"/>
                <w:szCs w:val="16"/>
              </w:rPr>
              <w:t>C</w:t>
            </w:r>
          </w:p>
        </w:tc>
      </w:tr>
      <w:tr w:rsidR="00B97365" w14:paraId="6907C392" w14:textId="7777777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FC596A" w14:textId="77777777" w:rsidR="00B97365" w:rsidRDefault="00000000">
            <w:pPr>
              <w:rPr>
                <w:rFonts w:cs="Calibri"/>
                <w:sz w:val="16"/>
                <w:szCs w:val="16"/>
              </w:rPr>
            </w:pPr>
            <w:r>
              <w:rPr>
                <w:rFonts w:cs="Calibri"/>
                <w:sz w:val="16"/>
                <w:szCs w:val="16"/>
              </w:rPr>
              <w:t>‘5F24’</w:t>
            </w:r>
          </w:p>
        </w:tc>
        <w:tc>
          <w:tcPr>
            <w:tcW w:w="0" w:type="auto"/>
            <w:tcBorders>
              <w:top w:val="single" w:sz="4" w:space="0" w:color="auto"/>
              <w:left w:val="single" w:sz="4" w:space="0" w:color="auto"/>
              <w:bottom w:val="single" w:sz="4" w:space="0" w:color="auto"/>
              <w:right w:val="single" w:sz="4" w:space="0" w:color="auto"/>
            </w:tcBorders>
            <w:hideMark/>
          </w:tcPr>
          <w:p w14:paraId="43FEF732" w14:textId="77777777" w:rsidR="00B97365" w:rsidRDefault="00000000">
            <w:pPr>
              <w:rPr>
                <w:rFonts w:cs="Calibri"/>
                <w:sz w:val="16"/>
                <w:szCs w:val="16"/>
              </w:rPr>
            </w:pPr>
            <w:r>
              <w:rPr>
                <w:rFonts w:cs="Calibri"/>
                <w:sz w:val="16"/>
                <w:szCs w:val="16"/>
              </w:rPr>
              <w:t>4</w:t>
            </w:r>
          </w:p>
        </w:tc>
        <w:tc>
          <w:tcPr>
            <w:tcW w:w="0" w:type="auto"/>
            <w:tcBorders>
              <w:top w:val="single" w:sz="4" w:space="0" w:color="auto"/>
              <w:left w:val="single" w:sz="4" w:space="0" w:color="auto"/>
              <w:bottom w:val="single" w:sz="4" w:space="0" w:color="auto"/>
              <w:right w:val="single" w:sz="4" w:space="0" w:color="auto"/>
            </w:tcBorders>
            <w:hideMark/>
          </w:tcPr>
          <w:p w14:paraId="275E2224" w14:textId="77777777" w:rsidR="00B97365" w:rsidRDefault="00000000">
            <w:pPr>
              <w:rPr>
                <w:rFonts w:cs="Calibri"/>
                <w:sz w:val="16"/>
                <w:szCs w:val="16"/>
                <w:lang w:val="fr-FR"/>
              </w:rPr>
            </w:pPr>
            <w:r>
              <w:rPr>
                <w:rFonts w:cs="Calibri"/>
                <w:sz w:val="16"/>
                <w:szCs w:val="16"/>
                <w:lang w:val="fr-FR"/>
              </w:rPr>
              <w:t>Expiration Date (YYYYMMDD, BCD format)</w:t>
            </w:r>
          </w:p>
        </w:tc>
        <w:tc>
          <w:tcPr>
            <w:tcW w:w="0" w:type="auto"/>
            <w:tcBorders>
              <w:top w:val="single" w:sz="4" w:space="0" w:color="auto"/>
              <w:left w:val="single" w:sz="4" w:space="0" w:color="auto"/>
              <w:bottom w:val="single" w:sz="4" w:space="0" w:color="auto"/>
              <w:right w:val="single" w:sz="4" w:space="0" w:color="auto"/>
            </w:tcBorders>
            <w:hideMark/>
          </w:tcPr>
          <w:p w14:paraId="615084E9" w14:textId="77777777" w:rsidR="00B97365" w:rsidRDefault="00000000">
            <w:pPr>
              <w:jc w:val="center"/>
              <w:rPr>
                <w:rFonts w:cs="Calibri"/>
                <w:sz w:val="16"/>
                <w:szCs w:val="16"/>
              </w:rPr>
            </w:pPr>
            <w:r>
              <w:rPr>
                <w:rFonts w:cs="Calibri"/>
                <w:sz w:val="16"/>
                <w:szCs w:val="16"/>
              </w:rPr>
              <w:t>M</w:t>
            </w:r>
          </w:p>
        </w:tc>
      </w:tr>
      <w:tr w:rsidR="00B97365" w14:paraId="00637DF5" w14:textId="7777777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9E6AB94" w14:textId="77777777" w:rsidR="00B97365" w:rsidRDefault="00000000">
            <w:pPr>
              <w:rPr>
                <w:rFonts w:cs="Calibri"/>
                <w:sz w:val="16"/>
                <w:szCs w:val="16"/>
              </w:rPr>
            </w:pPr>
            <w:r>
              <w:rPr>
                <w:rFonts w:cs="Calibri"/>
                <w:sz w:val="16"/>
                <w:szCs w:val="16"/>
              </w:rPr>
              <w:t>‘73’</w:t>
            </w:r>
          </w:p>
        </w:tc>
        <w:tc>
          <w:tcPr>
            <w:tcW w:w="0" w:type="auto"/>
            <w:tcBorders>
              <w:top w:val="single" w:sz="4" w:space="0" w:color="auto"/>
              <w:left w:val="single" w:sz="4" w:space="0" w:color="auto"/>
              <w:bottom w:val="single" w:sz="4" w:space="0" w:color="auto"/>
              <w:right w:val="single" w:sz="4" w:space="0" w:color="auto"/>
            </w:tcBorders>
            <w:hideMark/>
          </w:tcPr>
          <w:p w14:paraId="51512A0D" w14:textId="77777777" w:rsidR="00B97365" w:rsidRDefault="00000000">
            <w:pPr>
              <w:rPr>
                <w:rFonts w:cs="Calibri"/>
                <w:sz w:val="16"/>
                <w:szCs w:val="16"/>
              </w:rPr>
            </w:pPr>
            <w:r>
              <w:rPr>
                <w:rFonts w:cs="Calibri"/>
                <w:sz w:val="16"/>
                <w:szCs w:val="16"/>
              </w:rPr>
              <w:t>3-127</w:t>
            </w:r>
          </w:p>
        </w:tc>
        <w:tc>
          <w:tcPr>
            <w:tcW w:w="0" w:type="auto"/>
            <w:tcBorders>
              <w:top w:val="single" w:sz="4" w:space="0" w:color="auto"/>
              <w:left w:val="single" w:sz="4" w:space="0" w:color="auto"/>
              <w:bottom w:val="single" w:sz="4" w:space="0" w:color="auto"/>
              <w:right w:val="single" w:sz="4" w:space="0" w:color="auto"/>
            </w:tcBorders>
            <w:hideMark/>
          </w:tcPr>
          <w:p w14:paraId="31C71408" w14:textId="77777777" w:rsidR="00B97365" w:rsidRDefault="00000000">
            <w:pPr>
              <w:rPr>
                <w:rFonts w:cs="Calibri"/>
                <w:sz w:val="16"/>
                <w:szCs w:val="16"/>
              </w:rPr>
            </w:pPr>
            <w:r>
              <w:rPr>
                <w:rFonts w:cs="Calibri"/>
                <w:sz w:val="16"/>
                <w:szCs w:val="16"/>
              </w:rPr>
              <w:t xml:space="preserve">Discretionary Data </w:t>
            </w:r>
          </w:p>
        </w:tc>
        <w:tc>
          <w:tcPr>
            <w:tcW w:w="0" w:type="auto"/>
            <w:tcBorders>
              <w:top w:val="single" w:sz="4" w:space="0" w:color="auto"/>
              <w:left w:val="single" w:sz="4" w:space="0" w:color="auto"/>
              <w:bottom w:val="single" w:sz="4" w:space="0" w:color="auto"/>
              <w:right w:val="single" w:sz="4" w:space="0" w:color="auto"/>
            </w:tcBorders>
            <w:hideMark/>
          </w:tcPr>
          <w:p w14:paraId="3D58528B" w14:textId="77777777" w:rsidR="00B97365" w:rsidRDefault="00000000">
            <w:pPr>
              <w:jc w:val="center"/>
              <w:rPr>
                <w:rFonts w:cs="Calibri"/>
                <w:sz w:val="16"/>
                <w:szCs w:val="16"/>
              </w:rPr>
            </w:pPr>
            <w:r>
              <w:rPr>
                <w:rFonts w:cs="Calibri"/>
                <w:sz w:val="16"/>
                <w:szCs w:val="16"/>
              </w:rPr>
              <w:t>M</w:t>
            </w:r>
          </w:p>
        </w:tc>
      </w:tr>
      <w:tr w:rsidR="00B97365" w14:paraId="3C5E97B4" w14:textId="7777777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3E3E338" w14:textId="77777777" w:rsidR="00B97365" w:rsidRDefault="00000000">
            <w:pPr>
              <w:rPr>
                <w:rFonts w:cs="Calibri"/>
                <w:sz w:val="16"/>
                <w:szCs w:val="16"/>
              </w:rPr>
            </w:pPr>
            <w:r>
              <w:rPr>
                <w:rFonts w:cs="Calibri"/>
                <w:sz w:val="16"/>
                <w:szCs w:val="16"/>
              </w:rPr>
              <w:t>‘7F49’</w:t>
            </w:r>
          </w:p>
        </w:tc>
        <w:tc>
          <w:tcPr>
            <w:tcW w:w="0" w:type="auto"/>
            <w:tcBorders>
              <w:top w:val="single" w:sz="4" w:space="0" w:color="auto"/>
              <w:left w:val="single" w:sz="4" w:space="0" w:color="auto"/>
              <w:bottom w:val="single" w:sz="4" w:space="0" w:color="auto"/>
              <w:right w:val="single" w:sz="4" w:space="0" w:color="auto"/>
            </w:tcBorders>
            <w:hideMark/>
          </w:tcPr>
          <w:p w14:paraId="58908C33" w14:textId="77777777" w:rsidR="00B97365" w:rsidRDefault="00000000">
            <w:pPr>
              <w:rPr>
                <w:rFonts w:cs="Calibri"/>
                <w:sz w:val="16"/>
                <w:szCs w:val="16"/>
              </w:rPr>
            </w:pPr>
            <w:r>
              <w:rPr>
                <w:rFonts w:cs="Calibri"/>
                <w:sz w:val="16"/>
                <w:szCs w:val="16"/>
              </w:rPr>
              <w:t>Var.</w:t>
            </w:r>
          </w:p>
        </w:tc>
        <w:tc>
          <w:tcPr>
            <w:tcW w:w="0" w:type="auto"/>
            <w:tcBorders>
              <w:top w:val="single" w:sz="4" w:space="0" w:color="auto"/>
              <w:left w:val="single" w:sz="4" w:space="0" w:color="auto"/>
              <w:bottom w:val="single" w:sz="4" w:space="0" w:color="auto"/>
              <w:right w:val="single" w:sz="4" w:space="0" w:color="auto"/>
            </w:tcBorders>
            <w:hideMark/>
          </w:tcPr>
          <w:p w14:paraId="3C5F52DC" w14:textId="77777777" w:rsidR="00B97365" w:rsidRDefault="00000000">
            <w:pPr>
              <w:rPr>
                <w:rFonts w:cs="Calibri"/>
                <w:sz w:val="16"/>
                <w:szCs w:val="16"/>
              </w:rPr>
            </w:pPr>
            <w:r>
              <w:rPr>
                <w:rFonts w:cs="Calibri"/>
                <w:sz w:val="16"/>
                <w:szCs w:val="16"/>
              </w:rPr>
              <w:t>Public Key</w:t>
            </w:r>
          </w:p>
        </w:tc>
        <w:tc>
          <w:tcPr>
            <w:tcW w:w="0" w:type="auto"/>
            <w:tcBorders>
              <w:top w:val="single" w:sz="4" w:space="0" w:color="auto"/>
              <w:left w:val="single" w:sz="4" w:space="0" w:color="auto"/>
              <w:bottom w:val="single" w:sz="4" w:space="0" w:color="auto"/>
              <w:right w:val="single" w:sz="4" w:space="0" w:color="auto"/>
            </w:tcBorders>
            <w:hideMark/>
          </w:tcPr>
          <w:p w14:paraId="2FFA9CD0" w14:textId="77777777" w:rsidR="00B97365" w:rsidRDefault="00000000">
            <w:pPr>
              <w:jc w:val="center"/>
              <w:rPr>
                <w:rFonts w:cs="Calibri"/>
                <w:sz w:val="16"/>
                <w:szCs w:val="16"/>
              </w:rPr>
            </w:pPr>
            <w:r>
              <w:rPr>
                <w:rFonts w:cs="Calibri"/>
                <w:sz w:val="16"/>
                <w:szCs w:val="16"/>
              </w:rPr>
              <w:t>M</w:t>
            </w:r>
          </w:p>
        </w:tc>
      </w:tr>
    </w:tbl>
    <w:p w14:paraId="13EE9A74"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Data Signed to Generate the SM-DP Certificate</w:t>
      </w:r>
    </w:p>
    <w:p w14:paraId="43A8013F" w14:textId="314848F4" w:rsidR="00B97365" w:rsidRDefault="00000000">
      <w:pPr>
        <w:spacing w:before="0" w:after="200" w:line="276" w:lineRule="auto"/>
        <w:jc w:val="left"/>
        <w:rPr>
          <w:szCs w:val="22"/>
          <w:lang w:val="en-US" w:eastAsia="en-GB" w:bidi="ar-SA"/>
        </w:rPr>
      </w:pPr>
      <w:r>
        <w:rPr>
          <w:rFonts w:cs="Arial"/>
          <w:szCs w:val="22"/>
          <w:lang w:val="en-US" w:eastAsia="en-GB" w:bidi="ar-SA"/>
        </w:rPr>
        <w:t xml:space="preserve">Key format is defined in section </w:t>
      </w:r>
      <w:r>
        <w:fldChar w:fldCharType="begin"/>
      </w:r>
      <w:r>
        <w:instrText xml:space="preserve"> REF _Ref367973247 \r \h  \* MERGEFORMAT </w:instrText>
      </w:r>
      <w:r>
        <w:fldChar w:fldCharType="separate"/>
      </w:r>
      <w:r w:rsidR="001D5AD9" w:rsidRPr="001D5AD9">
        <w:rPr>
          <w:szCs w:val="22"/>
          <w:lang w:val="en-US" w:eastAsia="en-GB" w:bidi="ar-SA"/>
        </w:rPr>
        <w:t>4.1.1.5</w:t>
      </w:r>
      <w:r>
        <w:fldChar w:fldCharType="end"/>
      </w:r>
      <w:r>
        <w:rPr>
          <w:szCs w:val="22"/>
          <w:lang w:val="en-US" w:eastAsia="en-GB" w:bidi="ar-SA"/>
        </w:rPr>
        <w:t>.</w:t>
      </w:r>
    </w:p>
    <w:p w14:paraId="1F44B511" w14:textId="77777777" w:rsidR="00B97365" w:rsidRDefault="00000000">
      <w:pPr>
        <w:spacing w:before="0" w:after="200" w:line="276" w:lineRule="auto"/>
        <w:jc w:val="left"/>
        <w:rPr>
          <w:b/>
          <w:i/>
          <w:szCs w:val="22"/>
          <w:lang w:val="en-US" w:eastAsia="en-GB" w:bidi="ar-SA"/>
        </w:rPr>
      </w:pPr>
      <w:bookmarkStart w:id="2669" w:name="_Toc420594656"/>
      <w:r>
        <w:rPr>
          <w:rFonts w:cs="Arial"/>
          <w:b/>
          <w:i/>
          <w:szCs w:val="22"/>
          <w:lang w:val="en-US" w:eastAsia="en-GB" w:bidi="ar-SA"/>
        </w:rPr>
        <w:lastRenderedPageBreak/>
        <w:t>Response Message</w:t>
      </w:r>
      <w:bookmarkEnd w:id="2669"/>
    </w:p>
    <w:p w14:paraId="29E30539" w14:textId="77777777" w:rsidR="00B97365" w:rsidRDefault="00000000">
      <w:pPr>
        <w:spacing w:before="0" w:after="200" w:line="276" w:lineRule="auto"/>
        <w:jc w:val="left"/>
        <w:rPr>
          <w:b/>
          <w:i/>
          <w:szCs w:val="22"/>
          <w:lang w:val="en-US" w:eastAsia="en-GB" w:bidi="ar-SA"/>
        </w:rPr>
      </w:pPr>
      <w:bookmarkStart w:id="2670" w:name="_Toc420594657"/>
      <w:r>
        <w:rPr>
          <w:rFonts w:cs="Arial"/>
          <w:b/>
          <w:i/>
          <w:szCs w:val="22"/>
          <w:lang w:val="en-US" w:eastAsia="en-GB" w:bidi="ar-SA"/>
        </w:rPr>
        <w:t>Data Field Returned in the Response Message:</w:t>
      </w:r>
      <w:bookmarkEnd w:id="2670"/>
    </w:p>
    <w:p w14:paraId="054C307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response SHALL contain the following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1"/>
        <w:gridCol w:w="804"/>
        <w:gridCol w:w="1586"/>
      </w:tblGrid>
      <w:tr w:rsidR="00B97365" w14:paraId="71DE24E6"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6EB965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6F2D33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Length</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C9E598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Data Element</w:t>
            </w:r>
          </w:p>
        </w:tc>
      </w:tr>
      <w:tr w:rsidR="00B97365" w14:paraId="05B53AE0"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723A91F9" w14:textId="77777777" w:rsidR="00B97365" w:rsidRDefault="00000000">
            <w:pPr>
              <w:keepNext/>
              <w:spacing w:before="60" w:line="276" w:lineRule="auto"/>
              <w:jc w:val="left"/>
              <w:rPr>
                <w:rFonts w:cs="Arial"/>
                <w:sz w:val="16"/>
                <w:szCs w:val="16"/>
                <w:lang w:val="en-US" w:eastAsia="en-GB" w:bidi="ar-SA"/>
              </w:rPr>
            </w:pPr>
            <w:r>
              <w:rPr>
                <w:rFonts w:cs="Arial"/>
                <w:sz w:val="16"/>
                <w:szCs w:val="16"/>
                <w:lang w:val="en-US" w:eastAsia="en-GB" w:bidi="ar-SA"/>
              </w:rPr>
              <w:t>'85'</w:t>
            </w:r>
          </w:p>
        </w:tc>
        <w:tc>
          <w:tcPr>
            <w:tcW w:w="0" w:type="auto"/>
            <w:tcBorders>
              <w:top w:val="single" w:sz="6" w:space="0" w:color="auto"/>
              <w:left w:val="single" w:sz="6" w:space="0" w:color="auto"/>
              <w:bottom w:val="single" w:sz="4" w:space="0" w:color="auto"/>
              <w:right w:val="single" w:sz="6" w:space="0" w:color="auto"/>
            </w:tcBorders>
            <w:hideMark/>
          </w:tcPr>
          <w:p w14:paraId="4BFEF890" w14:textId="77777777" w:rsidR="00B97365" w:rsidRDefault="00000000">
            <w:pPr>
              <w:keepNext/>
              <w:spacing w:before="60" w:line="276" w:lineRule="auto"/>
              <w:jc w:val="left"/>
              <w:rPr>
                <w:rFonts w:cs="Arial"/>
                <w:sz w:val="16"/>
                <w:szCs w:val="16"/>
                <w:lang w:val="en-US" w:eastAsia="en-GB" w:bidi="ar-SA"/>
              </w:rPr>
            </w:pPr>
            <w:r>
              <w:rPr>
                <w:rFonts w:cs="Arial"/>
                <w:sz w:val="16"/>
                <w:szCs w:val="16"/>
                <w:lang w:val="en-US" w:eastAsia="en-GB" w:bidi="ar-SA"/>
              </w:rPr>
              <w:t>Variable</w:t>
            </w:r>
          </w:p>
        </w:tc>
        <w:tc>
          <w:tcPr>
            <w:tcW w:w="0" w:type="auto"/>
            <w:tcBorders>
              <w:top w:val="single" w:sz="6" w:space="0" w:color="auto"/>
              <w:left w:val="single" w:sz="6" w:space="0" w:color="auto"/>
              <w:bottom w:val="single" w:sz="4" w:space="0" w:color="auto"/>
              <w:right w:val="single" w:sz="4" w:space="0" w:color="auto"/>
            </w:tcBorders>
            <w:hideMark/>
          </w:tcPr>
          <w:p w14:paraId="0F9296F0" w14:textId="77777777" w:rsidR="00B97365" w:rsidRDefault="00000000">
            <w:pPr>
              <w:keepNext/>
              <w:spacing w:before="60" w:line="276" w:lineRule="auto"/>
              <w:jc w:val="left"/>
              <w:rPr>
                <w:rFonts w:cs="Arial"/>
                <w:sz w:val="16"/>
                <w:szCs w:val="16"/>
                <w:lang w:val="en-US" w:eastAsia="en-GB" w:bidi="ar-SA"/>
              </w:rPr>
            </w:pPr>
            <w:r>
              <w:rPr>
                <w:rFonts w:cs="Arial"/>
                <w:sz w:val="16"/>
                <w:szCs w:val="16"/>
                <w:lang w:val="en-US" w:eastAsia="en-GB" w:bidi="ar-SA"/>
              </w:rPr>
              <w:t>Random Challenge</w:t>
            </w:r>
          </w:p>
        </w:tc>
      </w:tr>
    </w:tbl>
    <w:p w14:paraId="14A0540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Response Data for Send SM-DP Certificate</w:t>
      </w:r>
    </w:p>
    <w:p w14:paraId="65C37FC8" w14:textId="77777777" w:rsidR="00B97365" w:rsidRDefault="00000000">
      <w:pPr>
        <w:spacing w:before="0" w:after="200" w:line="276" w:lineRule="auto"/>
        <w:jc w:val="left"/>
        <w:rPr>
          <w:b/>
          <w:i/>
          <w:szCs w:val="22"/>
          <w:lang w:val="en-US" w:eastAsia="en-GB" w:bidi="ar-SA"/>
        </w:rPr>
      </w:pPr>
      <w:bookmarkStart w:id="2671" w:name="_Toc420594658"/>
      <w:r>
        <w:rPr>
          <w:rFonts w:cs="Arial"/>
          <w:b/>
          <w:i/>
          <w:szCs w:val="22"/>
          <w:lang w:val="en-US" w:eastAsia="en-GB" w:bidi="ar-SA"/>
        </w:rPr>
        <w:t>Processing State Returned in the Response Message:</w:t>
      </w:r>
      <w:bookmarkEnd w:id="2671"/>
    </w:p>
    <w:p w14:paraId="1809F832" w14:textId="7FDC92D6" w:rsidR="00B97365" w:rsidRDefault="00000000">
      <w:pPr>
        <w:spacing w:before="0" w:after="200" w:line="276" w:lineRule="auto"/>
        <w:jc w:val="left"/>
        <w:rPr>
          <w:szCs w:val="22"/>
          <w:lang w:val="en-US" w:eastAsia="en-GB" w:bidi="ar-SA"/>
        </w:rPr>
      </w:pPr>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11.11.3.2.</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p>
    <w:p w14:paraId="51835627" w14:textId="77777777" w:rsidR="00B97365" w:rsidRDefault="00000000">
      <w:pPr>
        <w:spacing w:before="0" w:after="200" w:line="276" w:lineRule="auto"/>
        <w:jc w:val="left"/>
        <w:rPr>
          <w:b/>
          <w:i/>
          <w:szCs w:val="22"/>
          <w:lang w:val="en-US" w:eastAsia="en-GB" w:bidi="ar-SA"/>
        </w:rPr>
      </w:pPr>
      <w:bookmarkStart w:id="2672" w:name="_Toc420594659"/>
      <w:r>
        <w:rPr>
          <w:rFonts w:cs="Arial"/>
          <w:b/>
          <w:i/>
          <w:szCs w:val="22"/>
          <w:lang w:val="en-US" w:eastAsia="en-GB" w:bidi="ar-SA"/>
        </w:rPr>
        <w:t>Second STORE DATA command</w:t>
      </w:r>
      <w:bookmarkEnd w:id="2672"/>
    </w:p>
    <w:p w14:paraId="368CF4A7" w14:textId="77777777" w:rsidR="00B97365" w:rsidRDefault="00000000">
      <w:pPr>
        <w:spacing w:before="0" w:after="200" w:line="276" w:lineRule="auto"/>
        <w:jc w:val="left"/>
        <w:rPr>
          <w:b/>
          <w:i/>
          <w:szCs w:val="22"/>
          <w:lang w:val="en-US" w:eastAsia="en-GB" w:bidi="ar-SA"/>
        </w:rPr>
      </w:pPr>
      <w:bookmarkStart w:id="2673" w:name="_Toc420594660"/>
      <w:r>
        <w:rPr>
          <w:rFonts w:cs="Arial"/>
          <w:b/>
          <w:i/>
          <w:szCs w:val="22"/>
          <w:lang w:val="en-US" w:eastAsia="en-GB" w:bidi="ar-SA"/>
        </w:rPr>
        <w:t>Command Message</w:t>
      </w:r>
      <w:bookmarkEnd w:id="2673"/>
    </w:p>
    <w:p w14:paraId="5892866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command message SHALL be coded according to the following table: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40"/>
        <w:gridCol w:w="2436"/>
        <w:gridCol w:w="4312"/>
      </w:tblGrid>
      <w:tr w:rsidR="00B97365" w14:paraId="0A37D30F"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83A1DA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890E836" w14:textId="77777777" w:rsidR="00B97365" w:rsidRDefault="00000000">
            <w:pPr>
              <w:jc w:val="center"/>
              <w:rPr>
                <w:rFonts w:cs="Calibri"/>
                <w:b/>
                <w:color w:val="FFFFFF"/>
                <w:sz w:val="16"/>
                <w:szCs w:val="16"/>
              </w:rPr>
            </w:pPr>
            <w:r>
              <w:rPr>
                <w:rFonts w:cs="Calibri"/>
                <w:b/>
                <w:color w:val="FFFFFF"/>
                <w:sz w:val="16"/>
                <w:szCs w:val="16"/>
              </w:rPr>
              <w:t>Value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A293736" w14:textId="77777777" w:rsidR="00B97365" w:rsidRDefault="00000000">
            <w:pPr>
              <w:jc w:val="center"/>
              <w:rPr>
                <w:rFonts w:cs="Calibri"/>
                <w:b/>
                <w:color w:val="FFFFFF"/>
                <w:sz w:val="16"/>
                <w:szCs w:val="16"/>
              </w:rPr>
            </w:pPr>
            <w:r>
              <w:rPr>
                <w:rFonts w:cs="Calibri"/>
                <w:b/>
                <w:color w:val="FFFFFF"/>
                <w:sz w:val="16"/>
                <w:szCs w:val="16"/>
              </w:rPr>
              <w:t>Meaning</w:t>
            </w:r>
          </w:p>
        </w:tc>
      </w:tr>
      <w:tr w:rsidR="00B97365" w14:paraId="72423B20"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1AA8A205" w14:textId="77777777" w:rsidR="00B97365" w:rsidRDefault="00000000">
            <w:pPr>
              <w:rPr>
                <w:rFonts w:cs="Calibri"/>
                <w:sz w:val="16"/>
                <w:szCs w:val="16"/>
              </w:rPr>
            </w:pPr>
            <w:r>
              <w:rPr>
                <w:rFonts w:cs="Calibri"/>
                <w:sz w:val="16"/>
                <w:szCs w:val="16"/>
              </w:rPr>
              <w:t>CLA</w:t>
            </w:r>
          </w:p>
        </w:tc>
        <w:tc>
          <w:tcPr>
            <w:tcW w:w="0" w:type="auto"/>
            <w:tcBorders>
              <w:top w:val="single" w:sz="6" w:space="0" w:color="auto"/>
              <w:left w:val="single" w:sz="6" w:space="0" w:color="auto"/>
              <w:bottom w:val="single" w:sz="6" w:space="0" w:color="auto"/>
              <w:right w:val="single" w:sz="6" w:space="0" w:color="auto"/>
            </w:tcBorders>
            <w:hideMark/>
          </w:tcPr>
          <w:p w14:paraId="525C5CCD" w14:textId="77777777" w:rsidR="00B97365" w:rsidRDefault="00000000">
            <w:pPr>
              <w:rPr>
                <w:rFonts w:cs="Calibri"/>
                <w:sz w:val="16"/>
                <w:szCs w:val="16"/>
              </w:rPr>
            </w:pPr>
            <w:r>
              <w:rPr>
                <w:rFonts w:cs="Calibri"/>
                <w:sz w:val="16"/>
                <w:szCs w:val="16"/>
              </w:rPr>
              <w:t>'80' </w:t>
            </w:r>
            <w:r>
              <w:rPr>
                <w:rFonts w:cs="Calibri"/>
                <w:sz w:val="16"/>
                <w:szCs w:val="16"/>
              </w:rPr>
              <w:noBreakHyphen/>
              <w:t> '8F', 'C0' </w:t>
            </w:r>
            <w:r>
              <w:rPr>
                <w:rFonts w:cs="Calibri"/>
                <w:sz w:val="16"/>
                <w:szCs w:val="16"/>
              </w:rPr>
              <w:noBreakHyphen/>
              <w:t> 'CF' or 'E0' </w:t>
            </w:r>
            <w:r>
              <w:rPr>
                <w:rFonts w:cs="Calibri"/>
                <w:sz w:val="16"/>
                <w:szCs w:val="16"/>
              </w:rPr>
              <w:noBreakHyphen/>
              <w:t> 'EF'</w:t>
            </w:r>
          </w:p>
        </w:tc>
        <w:tc>
          <w:tcPr>
            <w:tcW w:w="0" w:type="auto"/>
            <w:tcBorders>
              <w:top w:val="single" w:sz="6" w:space="0" w:color="auto"/>
              <w:left w:val="single" w:sz="6" w:space="0" w:color="auto"/>
              <w:bottom w:val="single" w:sz="6" w:space="0" w:color="auto"/>
              <w:right w:val="single" w:sz="4" w:space="0" w:color="auto"/>
            </w:tcBorders>
            <w:hideMark/>
          </w:tcPr>
          <w:p w14:paraId="3C610D26" w14:textId="570E8DA4" w:rsidR="00B97365" w:rsidRDefault="00000000">
            <w:pPr>
              <w:rPr>
                <w:rFonts w:cs="Calibri"/>
                <w:sz w:val="16"/>
                <w:szCs w:val="16"/>
              </w:rPr>
            </w:pPr>
            <w:r>
              <w:rPr>
                <w:rFonts w:cs="Calibri"/>
                <w:sz w:val="16"/>
                <w:szCs w:val="16"/>
              </w:rPr>
              <w:t xml:space="preserve">See section 11.1.4 of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p>
        </w:tc>
      </w:tr>
      <w:tr w:rsidR="00B97365" w14:paraId="15AB2E4F"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71E33009" w14:textId="77777777" w:rsidR="00B97365" w:rsidRDefault="00000000">
            <w:pPr>
              <w:rPr>
                <w:rFonts w:cs="Calibri"/>
                <w:sz w:val="16"/>
                <w:szCs w:val="16"/>
              </w:rPr>
            </w:pPr>
            <w:r>
              <w:rPr>
                <w:rFonts w:cs="Calibri"/>
                <w:sz w:val="16"/>
                <w:szCs w:val="16"/>
              </w:rPr>
              <w:t>INS</w:t>
            </w:r>
          </w:p>
        </w:tc>
        <w:tc>
          <w:tcPr>
            <w:tcW w:w="0" w:type="auto"/>
            <w:tcBorders>
              <w:top w:val="single" w:sz="6" w:space="0" w:color="auto"/>
              <w:left w:val="single" w:sz="6" w:space="0" w:color="auto"/>
              <w:bottom w:val="single" w:sz="6" w:space="0" w:color="auto"/>
              <w:right w:val="single" w:sz="6" w:space="0" w:color="auto"/>
            </w:tcBorders>
            <w:hideMark/>
          </w:tcPr>
          <w:p w14:paraId="33B6BB63" w14:textId="77777777" w:rsidR="00B97365" w:rsidRDefault="00000000">
            <w:pPr>
              <w:rPr>
                <w:rFonts w:cs="Calibri"/>
                <w:sz w:val="16"/>
                <w:szCs w:val="16"/>
              </w:rPr>
            </w:pPr>
            <w:r>
              <w:rPr>
                <w:rFonts w:cs="Calibri"/>
                <w:sz w:val="16"/>
                <w:szCs w:val="16"/>
              </w:rPr>
              <w:t>'E2'</w:t>
            </w:r>
          </w:p>
        </w:tc>
        <w:tc>
          <w:tcPr>
            <w:tcW w:w="0" w:type="auto"/>
            <w:tcBorders>
              <w:top w:val="single" w:sz="6" w:space="0" w:color="auto"/>
              <w:left w:val="single" w:sz="6" w:space="0" w:color="auto"/>
              <w:bottom w:val="single" w:sz="6" w:space="0" w:color="auto"/>
              <w:right w:val="single" w:sz="4" w:space="0" w:color="auto"/>
            </w:tcBorders>
            <w:hideMark/>
          </w:tcPr>
          <w:p w14:paraId="043F9105" w14:textId="77777777" w:rsidR="00B97365" w:rsidRDefault="00000000">
            <w:pPr>
              <w:rPr>
                <w:rFonts w:cs="Calibri"/>
                <w:sz w:val="16"/>
                <w:szCs w:val="16"/>
              </w:rPr>
            </w:pPr>
            <w:r>
              <w:rPr>
                <w:rFonts w:cs="Calibri"/>
                <w:sz w:val="16"/>
                <w:szCs w:val="16"/>
              </w:rPr>
              <w:t>STORE DATA</w:t>
            </w:r>
          </w:p>
        </w:tc>
      </w:tr>
      <w:tr w:rsidR="00B97365" w14:paraId="39652AEE"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631C36BB" w14:textId="77777777" w:rsidR="00B97365" w:rsidRDefault="00000000">
            <w:pPr>
              <w:rPr>
                <w:rFonts w:cs="Calibri"/>
                <w:sz w:val="16"/>
                <w:szCs w:val="16"/>
              </w:rPr>
            </w:pPr>
            <w:r>
              <w:rPr>
                <w:rFonts w:cs="Calibri"/>
                <w:sz w:val="16"/>
                <w:szCs w:val="16"/>
              </w:rPr>
              <w:t>P1</w:t>
            </w:r>
          </w:p>
        </w:tc>
        <w:tc>
          <w:tcPr>
            <w:tcW w:w="0" w:type="auto"/>
            <w:tcBorders>
              <w:top w:val="single" w:sz="6" w:space="0" w:color="auto"/>
              <w:left w:val="single" w:sz="6" w:space="0" w:color="auto"/>
              <w:bottom w:val="single" w:sz="6" w:space="0" w:color="auto"/>
              <w:right w:val="single" w:sz="6" w:space="0" w:color="auto"/>
            </w:tcBorders>
            <w:hideMark/>
          </w:tcPr>
          <w:p w14:paraId="4C6CA050" w14:textId="77777777" w:rsidR="00B97365" w:rsidRDefault="00000000">
            <w:pPr>
              <w:rPr>
                <w:rFonts w:cs="Calibri"/>
                <w:sz w:val="16"/>
                <w:szCs w:val="16"/>
              </w:rPr>
            </w:pPr>
            <w:r>
              <w:rPr>
                <w:rFonts w:cs="Calibri"/>
                <w:sz w:val="16"/>
                <w:szCs w:val="16"/>
              </w:rPr>
              <w:t>'89'</w:t>
            </w:r>
          </w:p>
        </w:tc>
        <w:tc>
          <w:tcPr>
            <w:tcW w:w="0" w:type="auto"/>
            <w:tcBorders>
              <w:top w:val="single" w:sz="6" w:space="0" w:color="auto"/>
              <w:left w:val="single" w:sz="6" w:space="0" w:color="auto"/>
              <w:bottom w:val="single" w:sz="6" w:space="0" w:color="auto"/>
              <w:right w:val="single" w:sz="4" w:space="0" w:color="auto"/>
            </w:tcBorders>
            <w:hideMark/>
          </w:tcPr>
          <w:p w14:paraId="7E4F0AFB" w14:textId="77777777" w:rsidR="00B97365" w:rsidRDefault="00000000">
            <w:pPr>
              <w:rPr>
                <w:rFonts w:cs="Calibri"/>
                <w:sz w:val="16"/>
                <w:szCs w:val="16"/>
              </w:rPr>
            </w:pPr>
            <w:r>
              <w:rPr>
                <w:rFonts w:cs="Calibri"/>
                <w:sz w:val="16"/>
                <w:szCs w:val="16"/>
              </w:rPr>
              <w:t>Reference control parameter P1</w:t>
            </w:r>
          </w:p>
        </w:tc>
      </w:tr>
      <w:tr w:rsidR="00B97365" w14:paraId="137697F0"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792CCE17" w14:textId="77777777" w:rsidR="00B97365" w:rsidRDefault="00000000">
            <w:pPr>
              <w:rPr>
                <w:rFonts w:cs="Calibri"/>
                <w:sz w:val="16"/>
                <w:szCs w:val="16"/>
              </w:rPr>
            </w:pPr>
            <w:r>
              <w:rPr>
                <w:rFonts w:cs="Calibri"/>
                <w:sz w:val="16"/>
                <w:szCs w:val="16"/>
              </w:rPr>
              <w:t>P2</w:t>
            </w:r>
          </w:p>
        </w:tc>
        <w:tc>
          <w:tcPr>
            <w:tcW w:w="0" w:type="auto"/>
            <w:tcBorders>
              <w:top w:val="single" w:sz="6" w:space="0" w:color="auto"/>
              <w:left w:val="single" w:sz="6" w:space="0" w:color="auto"/>
              <w:bottom w:val="single" w:sz="6" w:space="0" w:color="auto"/>
              <w:right w:val="single" w:sz="6" w:space="0" w:color="auto"/>
            </w:tcBorders>
            <w:hideMark/>
          </w:tcPr>
          <w:p w14:paraId="46EB3C32" w14:textId="77777777" w:rsidR="00B97365" w:rsidRDefault="00000000">
            <w:pPr>
              <w:rPr>
                <w:rFonts w:cs="Calibri"/>
                <w:sz w:val="16"/>
                <w:szCs w:val="16"/>
              </w:rPr>
            </w:pPr>
            <w:r>
              <w:rPr>
                <w:rFonts w:cs="Calibri"/>
                <w:sz w:val="16"/>
                <w:szCs w:val="16"/>
              </w:rPr>
              <w:t>'01'</w:t>
            </w:r>
          </w:p>
        </w:tc>
        <w:tc>
          <w:tcPr>
            <w:tcW w:w="0" w:type="auto"/>
            <w:tcBorders>
              <w:top w:val="single" w:sz="6" w:space="0" w:color="auto"/>
              <w:left w:val="single" w:sz="6" w:space="0" w:color="auto"/>
              <w:bottom w:val="single" w:sz="6" w:space="0" w:color="auto"/>
              <w:right w:val="single" w:sz="4" w:space="0" w:color="auto"/>
            </w:tcBorders>
            <w:hideMark/>
          </w:tcPr>
          <w:p w14:paraId="49711D1C" w14:textId="77777777" w:rsidR="00B97365" w:rsidRDefault="00000000">
            <w:pPr>
              <w:rPr>
                <w:rFonts w:cs="Calibri"/>
                <w:sz w:val="16"/>
                <w:szCs w:val="16"/>
              </w:rPr>
            </w:pPr>
            <w:r>
              <w:rPr>
                <w:rFonts w:cs="Calibri"/>
                <w:sz w:val="16"/>
                <w:szCs w:val="16"/>
              </w:rPr>
              <w:t>Block number</w:t>
            </w:r>
          </w:p>
        </w:tc>
      </w:tr>
      <w:tr w:rsidR="00B97365" w14:paraId="2678FA8A"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47AF80B8" w14:textId="77777777" w:rsidR="00B97365" w:rsidRDefault="00000000">
            <w:pPr>
              <w:rPr>
                <w:rFonts w:cs="Calibri"/>
                <w:sz w:val="16"/>
                <w:szCs w:val="16"/>
              </w:rPr>
            </w:pPr>
            <w:r>
              <w:rPr>
                <w:rFonts w:cs="Calibri"/>
                <w:sz w:val="16"/>
                <w:szCs w:val="16"/>
              </w:rPr>
              <w:t>Lc</w:t>
            </w:r>
          </w:p>
        </w:tc>
        <w:tc>
          <w:tcPr>
            <w:tcW w:w="0" w:type="auto"/>
            <w:tcBorders>
              <w:top w:val="single" w:sz="6" w:space="0" w:color="auto"/>
              <w:left w:val="single" w:sz="6" w:space="0" w:color="auto"/>
              <w:bottom w:val="single" w:sz="6" w:space="0" w:color="auto"/>
              <w:right w:val="single" w:sz="6" w:space="0" w:color="auto"/>
            </w:tcBorders>
            <w:hideMark/>
          </w:tcPr>
          <w:p w14:paraId="32E9E4F7" w14:textId="77777777" w:rsidR="00B97365" w:rsidRDefault="00000000">
            <w:pPr>
              <w:rPr>
                <w:rFonts w:cs="Calibri"/>
                <w:sz w:val="16"/>
                <w:szCs w:val="16"/>
              </w:rPr>
            </w:pPr>
            <w:r>
              <w:rPr>
                <w:rFonts w:cs="Calibri"/>
                <w:sz w:val="16"/>
                <w:szCs w:val="16"/>
              </w:rPr>
              <w:t>'xx'</w:t>
            </w:r>
          </w:p>
        </w:tc>
        <w:tc>
          <w:tcPr>
            <w:tcW w:w="0" w:type="auto"/>
            <w:tcBorders>
              <w:top w:val="single" w:sz="6" w:space="0" w:color="auto"/>
              <w:left w:val="single" w:sz="6" w:space="0" w:color="auto"/>
              <w:bottom w:val="single" w:sz="6" w:space="0" w:color="auto"/>
              <w:right w:val="single" w:sz="4" w:space="0" w:color="auto"/>
            </w:tcBorders>
            <w:hideMark/>
          </w:tcPr>
          <w:p w14:paraId="5201B491" w14:textId="77777777" w:rsidR="00B97365" w:rsidRDefault="00000000">
            <w:pPr>
              <w:rPr>
                <w:rFonts w:cs="Calibri"/>
                <w:sz w:val="16"/>
                <w:szCs w:val="16"/>
              </w:rPr>
            </w:pPr>
            <w:r>
              <w:rPr>
                <w:rFonts w:cs="Calibri"/>
                <w:sz w:val="16"/>
                <w:szCs w:val="16"/>
              </w:rPr>
              <w:t>Length of data field</w:t>
            </w:r>
          </w:p>
        </w:tc>
      </w:tr>
      <w:tr w:rsidR="00B97365" w14:paraId="1A8B0581" w14:textId="77777777">
        <w:trPr>
          <w:cantSplit/>
          <w:trHeight w:val="65"/>
          <w:jc w:val="center"/>
        </w:trPr>
        <w:tc>
          <w:tcPr>
            <w:tcW w:w="0" w:type="auto"/>
            <w:tcBorders>
              <w:top w:val="single" w:sz="6" w:space="0" w:color="auto"/>
              <w:left w:val="single" w:sz="4" w:space="0" w:color="auto"/>
              <w:bottom w:val="single" w:sz="6" w:space="0" w:color="auto"/>
              <w:right w:val="single" w:sz="6" w:space="0" w:color="auto"/>
            </w:tcBorders>
            <w:hideMark/>
          </w:tcPr>
          <w:p w14:paraId="0A304E23" w14:textId="77777777" w:rsidR="00B97365" w:rsidRDefault="00000000">
            <w:pPr>
              <w:rPr>
                <w:rFonts w:cs="Calibri"/>
                <w:sz w:val="16"/>
                <w:szCs w:val="16"/>
              </w:rPr>
            </w:pPr>
            <w:r>
              <w:rPr>
                <w:rFonts w:cs="Calibri"/>
                <w:sz w:val="16"/>
                <w:szCs w:val="16"/>
              </w:rPr>
              <w:t>Data</w:t>
            </w:r>
          </w:p>
        </w:tc>
        <w:tc>
          <w:tcPr>
            <w:tcW w:w="0" w:type="auto"/>
            <w:tcBorders>
              <w:top w:val="single" w:sz="6" w:space="0" w:color="auto"/>
              <w:left w:val="single" w:sz="6" w:space="0" w:color="auto"/>
              <w:bottom w:val="single" w:sz="6" w:space="0" w:color="auto"/>
              <w:right w:val="single" w:sz="6" w:space="0" w:color="auto"/>
            </w:tcBorders>
            <w:hideMark/>
          </w:tcPr>
          <w:p w14:paraId="7A324B8F" w14:textId="77777777" w:rsidR="00B97365" w:rsidRDefault="00000000">
            <w:pPr>
              <w:rPr>
                <w:rFonts w:cs="Calibri"/>
                <w:sz w:val="16"/>
                <w:szCs w:val="16"/>
              </w:rPr>
            </w:pPr>
            <w:r>
              <w:rPr>
                <w:rFonts w:cs="Calibri"/>
                <w:sz w:val="16"/>
                <w:szCs w:val="16"/>
              </w:rPr>
              <w:t>'xxxxx…'</w:t>
            </w:r>
          </w:p>
        </w:tc>
        <w:tc>
          <w:tcPr>
            <w:tcW w:w="0" w:type="auto"/>
            <w:tcBorders>
              <w:top w:val="single" w:sz="6" w:space="0" w:color="auto"/>
              <w:left w:val="single" w:sz="6" w:space="0" w:color="auto"/>
              <w:bottom w:val="single" w:sz="6" w:space="0" w:color="auto"/>
              <w:right w:val="single" w:sz="4" w:space="0" w:color="auto"/>
            </w:tcBorders>
            <w:hideMark/>
          </w:tcPr>
          <w:p w14:paraId="7689ABA6" w14:textId="77777777" w:rsidR="00B97365" w:rsidRDefault="00000000">
            <w:pPr>
              <w:rPr>
                <w:rFonts w:cs="Calibri"/>
                <w:sz w:val="16"/>
                <w:szCs w:val="16"/>
              </w:rPr>
            </w:pPr>
            <w:r>
              <w:rPr>
                <w:rFonts w:cs="Calibri"/>
                <w:sz w:val="16"/>
                <w:szCs w:val="16"/>
              </w:rPr>
              <w:t>Application data and MAC (if present)</w:t>
            </w:r>
          </w:p>
        </w:tc>
      </w:tr>
      <w:tr w:rsidR="00B97365" w14:paraId="2F6BD3A1"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625EE5A0" w14:textId="77777777" w:rsidR="00B97365" w:rsidRDefault="00000000">
            <w:pPr>
              <w:rPr>
                <w:rFonts w:cs="Calibri"/>
                <w:sz w:val="16"/>
                <w:szCs w:val="16"/>
              </w:rPr>
            </w:pPr>
            <w:r>
              <w:rPr>
                <w:rFonts w:cs="Calibri"/>
                <w:sz w:val="16"/>
                <w:szCs w:val="16"/>
              </w:rPr>
              <w:t>Le</w:t>
            </w:r>
          </w:p>
        </w:tc>
        <w:tc>
          <w:tcPr>
            <w:tcW w:w="0" w:type="auto"/>
            <w:tcBorders>
              <w:top w:val="single" w:sz="6" w:space="0" w:color="auto"/>
              <w:left w:val="single" w:sz="6" w:space="0" w:color="auto"/>
              <w:bottom w:val="single" w:sz="4" w:space="0" w:color="auto"/>
              <w:right w:val="single" w:sz="6" w:space="0" w:color="auto"/>
            </w:tcBorders>
            <w:hideMark/>
          </w:tcPr>
          <w:p w14:paraId="6D9C1B11" w14:textId="77777777" w:rsidR="00B97365" w:rsidRDefault="00000000">
            <w:pPr>
              <w:rPr>
                <w:rFonts w:cs="Calibri"/>
                <w:sz w:val="16"/>
                <w:szCs w:val="16"/>
              </w:rPr>
            </w:pPr>
            <w:r>
              <w:rPr>
                <w:rFonts w:cs="Calibri"/>
                <w:sz w:val="16"/>
                <w:szCs w:val="16"/>
              </w:rPr>
              <w:t xml:space="preserve"> ‘00’</w:t>
            </w:r>
          </w:p>
        </w:tc>
        <w:tc>
          <w:tcPr>
            <w:tcW w:w="0" w:type="auto"/>
            <w:tcBorders>
              <w:top w:val="single" w:sz="6" w:space="0" w:color="auto"/>
              <w:left w:val="single" w:sz="6" w:space="0" w:color="auto"/>
              <w:bottom w:val="single" w:sz="4" w:space="0" w:color="auto"/>
              <w:right w:val="single" w:sz="4" w:space="0" w:color="auto"/>
            </w:tcBorders>
          </w:tcPr>
          <w:p w14:paraId="18C74341" w14:textId="77777777" w:rsidR="00B97365" w:rsidRDefault="00B97365">
            <w:pPr>
              <w:rPr>
                <w:rFonts w:cs="Calibri"/>
                <w:sz w:val="16"/>
                <w:szCs w:val="16"/>
              </w:rPr>
            </w:pPr>
          </w:p>
        </w:tc>
      </w:tr>
    </w:tbl>
    <w:p w14:paraId="56A2981C"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Command Message</w:t>
      </w:r>
    </w:p>
    <w:p w14:paraId="36B25518" w14:textId="77777777" w:rsidR="00B97365" w:rsidRDefault="00000000">
      <w:pPr>
        <w:spacing w:before="0"/>
        <w:jc w:val="left"/>
        <w:rPr>
          <w:rFonts w:cs="Arial"/>
          <w:b/>
          <w:i/>
          <w:szCs w:val="22"/>
          <w:lang w:val="en-US" w:eastAsia="en-GB" w:bidi="ar-SA"/>
        </w:rPr>
      </w:pPr>
      <w:r>
        <w:rPr>
          <w:rFonts w:cs="Arial"/>
          <w:b/>
          <w:i/>
          <w:szCs w:val="22"/>
          <w:lang w:val="en-US" w:eastAsia="en-GB" w:bidi="ar-SA"/>
        </w:rPr>
        <w:t>Reference Control Parameter 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3"/>
        <w:gridCol w:w="403"/>
        <w:gridCol w:w="403"/>
        <w:gridCol w:w="403"/>
        <w:gridCol w:w="403"/>
        <w:gridCol w:w="403"/>
        <w:gridCol w:w="403"/>
        <w:gridCol w:w="403"/>
        <w:gridCol w:w="4894"/>
      </w:tblGrid>
      <w:tr w:rsidR="00B97365" w14:paraId="3DE2FB64"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72775B46"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b8</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67F5794C"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b7</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F3B55F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b6</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25DBA26"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b5</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50BB2057"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b4</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5D48FF5"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b3</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6A3887D"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b2</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3AB7FF1F"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b1</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3FC32EB0"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Meaning</w:t>
            </w:r>
          </w:p>
        </w:tc>
      </w:tr>
      <w:tr w:rsidR="00B97365" w14:paraId="0A3143EF"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47D302EB" w14:textId="77777777" w:rsidR="00B97365" w:rsidRDefault="00000000">
            <w:pPr>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0523D82D"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B28F1EA"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CD5875B"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6B696BC"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5C17AB2"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A8CD4AF"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7C80521"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4F79AEBC" w14:textId="77777777" w:rsidR="00B97365" w:rsidRDefault="00000000">
            <w:pPr>
              <w:rPr>
                <w:rFonts w:cs="Arial"/>
                <w:bCs/>
                <w:sz w:val="16"/>
                <w:szCs w:val="16"/>
              </w:rPr>
            </w:pPr>
            <w:r>
              <w:rPr>
                <w:rFonts w:cs="Arial"/>
                <w:sz w:val="16"/>
                <w:szCs w:val="16"/>
              </w:rPr>
              <w:t>Last block</w:t>
            </w:r>
          </w:p>
        </w:tc>
      </w:tr>
      <w:tr w:rsidR="00B97365" w14:paraId="6D8E56FA"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1F07CEF0"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99A9FFD"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0BF85560"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50EFFAA6"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16F83AE"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E1B67BA"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C672948"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CA77968"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6FE98B35" w14:textId="77777777" w:rsidR="00B97365" w:rsidRDefault="00000000">
            <w:pPr>
              <w:rPr>
                <w:rFonts w:cs="Arial"/>
                <w:bCs/>
                <w:sz w:val="16"/>
                <w:szCs w:val="16"/>
              </w:rPr>
            </w:pPr>
            <w:r>
              <w:rPr>
                <w:rFonts w:cs="Arial"/>
                <w:sz w:val="16"/>
                <w:szCs w:val="16"/>
              </w:rPr>
              <w:t xml:space="preserve">No general encryption information or non-encrypted data </w:t>
            </w:r>
          </w:p>
        </w:tc>
      </w:tr>
      <w:tr w:rsidR="00B97365" w14:paraId="5DB338EA"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8ABB63A"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E7A76DC"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B2E9AB4"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5F1E1DA" w14:textId="77777777" w:rsidR="00B97365" w:rsidRDefault="00000000">
            <w:pPr>
              <w:rPr>
                <w:rFonts w:cs="Arial"/>
                <w:bCs/>
                <w:sz w:val="16"/>
                <w:szCs w:val="16"/>
              </w:rPr>
            </w:pPr>
            <w:r>
              <w:rPr>
                <w:rFonts w:cs="Arial"/>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6B7248C7" w14:textId="77777777" w:rsidR="00B97365" w:rsidRDefault="00000000">
            <w:pPr>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1A5ED94E"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3C3451A"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53EC007" w14:textId="77777777" w:rsidR="00B97365" w:rsidRDefault="00000000">
            <w:pPr>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43598E41" w14:textId="77777777" w:rsidR="00B97365" w:rsidRDefault="00000000">
            <w:pPr>
              <w:rPr>
                <w:rFonts w:cs="Arial"/>
                <w:bCs/>
                <w:sz w:val="16"/>
                <w:szCs w:val="16"/>
              </w:rPr>
            </w:pPr>
            <w:r>
              <w:rPr>
                <w:rFonts w:cs="Arial"/>
                <w:sz w:val="16"/>
                <w:szCs w:val="16"/>
              </w:rPr>
              <w:t>DGI format of the command data field</w:t>
            </w:r>
          </w:p>
        </w:tc>
      </w:tr>
      <w:tr w:rsidR="00B97365" w14:paraId="3C79F498"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3F9B5907"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5B32A39"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567ADE5"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586CDDB"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F943614"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3EB9049"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F0AED06" w14:textId="77777777" w:rsidR="00B97365" w:rsidRDefault="00000000">
            <w:pPr>
              <w:keepNext/>
              <w:rPr>
                <w:rFonts w:cs="Arial"/>
                <w:bCs/>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133FB56" w14:textId="77777777" w:rsidR="00B97365" w:rsidRDefault="00000000">
            <w:pPr>
              <w:keepNext/>
              <w:rPr>
                <w:rFonts w:cs="Arial"/>
                <w:bCs/>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4" w:space="0" w:color="auto"/>
            </w:tcBorders>
            <w:hideMark/>
          </w:tcPr>
          <w:p w14:paraId="223DEB56" w14:textId="51B1054F" w:rsidR="00B97365" w:rsidRDefault="00000000">
            <w:pPr>
              <w:keepNext/>
              <w:rPr>
                <w:bCs/>
                <w:sz w:val="16"/>
                <w:szCs w:val="16"/>
              </w:rPr>
            </w:pPr>
            <w:r>
              <w:rPr>
                <w:rFonts w:cs="Arial"/>
                <w:sz w:val="16"/>
                <w:szCs w:val="16"/>
              </w:rPr>
              <w:t xml:space="preserve">Case 4 command as defined in GlobalPlatform Amendment A </w:t>
            </w:r>
            <w:r>
              <w:fldChar w:fldCharType="begin"/>
            </w:r>
            <w:r>
              <w:rPr>
                <w:sz w:val="16"/>
                <w:szCs w:val="16"/>
              </w:rPr>
              <w:instrText xml:space="preserve"> REF _Ref421633516 \r \h </w:instrText>
            </w:r>
            <w:r>
              <w:fldChar w:fldCharType="separate"/>
            </w:r>
            <w:r w:rsidR="001D5AD9">
              <w:rPr>
                <w:sz w:val="16"/>
                <w:szCs w:val="16"/>
              </w:rPr>
              <w:t>[54]</w:t>
            </w:r>
            <w:r>
              <w:fldChar w:fldCharType="end"/>
            </w:r>
          </w:p>
        </w:tc>
      </w:tr>
      <w:tr w:rsidR="00B97365" w14:paraId="08C0733D"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2DA94775"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52271DFB"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1B61527"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01565363"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67C9A4C0"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3DC244E6" w14:textId="77777777" w:rsidR="00B97365" w:rsidRDefault="00000000">
            <w:pPr>
              <w:keepNext/>
              <w:rPr>
                <w:rFonts w:cs="Arial"/>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60DA071E" w14:textId="77777777" w:rsidR="00B97365" w:rsidRDefault="00000000">
            <w:pPr>
              <w:keepNext/>
              <w:rPr>
                <w:rFonts w:cs="Arial"/>
                <w:sz w:val="16"/>
                <w:szCs w:val="16"/>
              </w:rPr>
            </w:pPr>
            <w:r>
              <w:rPr>
                <w:rFonts w:cs="Arial"/>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274FE264" w14:textId="77777777" w:rsidR="00B97365" w:rsidRDefault="00000000">
            <w:pPr>
              <w:keepNext/>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4" w:space="0" w:color="auto"/>
            </w:tcBorders>
            <w:hideMark/>
          </w:tcPr>
          <w:p w14:paraId="3EACDDA9" w14:textId="77777777" w:rsidR="00B97365" w:rsidRDefault="00000000">
            <w:pPr>
              <w:keepNext/>
              <w:rPr>
                <w:rFonts w:cs="Arial"/>
                <w:sz w:val="16"/>
                <w:szCs w:val="16"/>
              </w:rPr>
            </w:pPr>
            <w:r>
              <w:rPr>
                <w:rFonts w:cs="Arial"/>
                <w:sz w:val="16"/>
                <w:szCs w:val="16"/>
              </w:rPr>
              <w:t>RFU</w:t>
            </w:r>
          </w:p>
        </w:tc>
      </w:tr>
    </w:tbl>
    <w:p w14:paraId="5A11B2A4"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xml:space="preserve">: STORE DATA Reference Control Parameter </w:t>
      </w:r>
    </w:p>
    <w:p w14:paraId="73FF225B" w14:textId="77777777" w:rsidR="00B97365" w:rsidRDefault="00000000">
      <w:pPr>
        <w:spacing w:before="0" w:after="200" w:line="276" w:lineRule="auto"/>
        <w:jc w:val="left"/>
        <w:rPr>
          <w:b/>
          <w:i/>
          <w:szCs w:val="22"/>
          <w:lang w:val="en-US" w:eastAsia="en-GB" w:bidi="ar-SA"/>
        </w:rPr>
      </w:pPr>
      <w:bookmarkStart w:id="2674" w:name="_Toc420594661"/>
      <w:r>
        <w:rPr>
          <w:rFonts w:cs="Arial"/>
          <w:b/>
          <w:i/>
          <w:szCs w:val="22"/>
          <w:lang w:val="en-US" w:eastAsia="en-GB" w:bidi="ar-SA"/>
        </w:rPr>
        <w:t>Data Field Sent in the Command Message</w:t>
      </w:r>
      <w:bookmarkEnd w:id="267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63"/>
        <w:gridCol w:w="936"/>
        <w:gridCol w:w="660"/>
        <w:gridCol w:w="790"/>
        <w:gridCol w:w="665"/>
        <w:gridCol w:w="844"/>
        <w:gridCol w:w="3540"/>
        <w:gridCol w:w="718"/>
      </w:tblGrid>
      <w:tr w:rsidR="00B97365" w14:paraId="75C35F67" w14:textId="77777777">
        <w:trPr>
          <w:cantSplit/>
          <w:tblHeader/>
        </w:trPr>
        <w:tc>
          <w:tcPr>
            <w:tcW w:w="479" w:type="pct"/>
            <w:tcBorders>
              <w:top w:val="single" w:sz="4" w:space="0" w:color="auto"/>
              <w:left w:val="single" w:sz="4" w:space="0" w:color="auto"/>
              <w:bottom w:val="single" w:sz="6" w:space="0" w:color="auto"/>
              <w:right w:val="single" w:sz="6" w:space="0" w:color="auto"/>
            </w:tcBorders>
            <w:shd w:val="clear" w:color="auto" w:fill="C00000"/>
            <w:hideMark/>
          </w:tcPr>
          <w:p w14:paraId="1DD5E2AA" w14:textId="77777777" w:rsidR="00B97365" w:rsidRDefault="00000000">
            <w:pPr>
              <w:jc w:val="center"/>
              <w:rPr>
                <w:rFonts w:cs="Calibri"/>
                <w:b/>
                <w:color w:val="FFFFFF"/>
                <w:sz w:val="16"/>
                <w:szCs w:val="16"/>
              </w:rPr>
            </w:pPr>
            <w:r>
              <w:rPr>
                <w:rFonts w:cs="Calibri"/>
                <w:b/>
                <w:color w:val="FFFFFF"/>
                <w:sz w:val="16"/>
                <w:szCs w:val="16"/>
              </w:rPr>
              <w:t>DGI</w:t>
            </w:r>
          </w:p>
        </w:tc>
        <w:tc>
          <w:tcPr>
            <w:tcW w:w="519" w:type="pct"/>
            <w:tcBorders>
              <w:top w:val="single" w:sz="4" w:space="0" w:color="auto"/>
              <w:left w:val="single" w:sz="6" w:space="0" w:color="auto"/>
              <w:bottom w:val="single" w:sz="6" w:space="0" w:color="auto"/>
              <w:right w:val="single" w:sz="6" w:space="0" w:color="auto"/>
            </w:tcBorders>
            <w:shd w:val="clear" w:color="auto" w:fill="C00000"/>
            <w:hideMark/>
          </w:tcPr>
          <w:p w14:paraId="316552EC" w14:textId="77777777" w:rsidR="00B97365" w:rsidRDefault="00000000">
            <w:pPr>
              <w:jc w:val="center"/>
              <w:rPr>
                <w:rFonts w:cs="Calibri"/>
                <w:b/>
                <w:color w:val="FFFFFF"/>
                <w:sz w:val="16"/>
                <w:szCs w:val="16"/>
              </w:rPr>
            </w:pPr>
            <w:r>
              <w:rPr>
                <w:rFonts w:cs="Calibri"/>
                <w:b/>
                <w:color w:val="FFFFFF"/>
                <w:sz w:val="16"/>
                <w:szCs w:val="16"/>
              </w:rPr>
              <w:t>Length</w:t>
            </w:r>
          </w:p>
        </w:tc>
        <w:tc>
          <w:tcPr>
            <w:tcW w:w="3604" w:type="pct"/>
            <w:gridSpan w:val="5"/>
            <w:tcBorders>
              <w:top w:val="single" w:sz="4" w:space="0" w:color="auto"/>
              <w:left w:val="single" w:sz="6" w:space="0" w:color="auto"/>
              <w:bottom w:val="single" w:sz="6" w:space="0" w:color="auto"/>
              <w:right w:val="single" w:sz="6" w:space="0" w:color="auto"/>
            </w:tcBorders>
            <w:shd w:val="clear" w:color="auto" w:fill="C00000"/>
            <w:hideMark/>
          </w:tcPr>
          <w:p w14:paraId="172B064C" w14:textId="77777777" w:rsidR="00B97365" w:rsidRDefault="00000000">
            <w:pPr>
              <w:jc w:val="center"/>
              <w:rPr>
                <w:rFonts w:cs="Calibri"/>
                <w:b/>
                <w:color w:val="FFFFFF"/>
                <w:sz w:val="16"/>
                <w:szCs w:val="16"/>
              </w:rPr>
            </w:pPr>
            <w:r>
              <w:rPr>
                <w:rFonts w:cs="Calibri"/>
                <w:b/>
                <w:color w:val="FFFFFF"/>
                <w:sz w:val="16"/>
                <w:szCs w:val="16"/>
              </w:rPr>
              <w:t>Value Description</w:t>
            </w:r>
          </w:p>
        </w:tc>
        <w:tc>
          <w:tcPr>
            <w:tcW w:w="398" w:type="pct"/>
            <w:tcBorders>
              <w:top w:val="single" w:sz="4" w:space="0" w:color="auto"/>
              <w:left w:val="single" w:sz="6" w:space="0" w:color="auto"/>
              <w:bottom w:val="single" w:sz="6" w:space="0" w:color="auto"/>
              <w:right w:val="single" w:sz="4" w:space="0" w:color="auto"/>
            </w:tcBorders>
            <w:shd w:val="clear" w:color="auto" w:fill="C00000"/>
            <w:hideMark/>
          </w:tcPr>
          <w:p w14:paraId="689D4DED"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69B89D2" w14:textId="77777777">
        <w:trPr>
          <w:cantSplit/>
        </w:trPr>
        <w:tc>
          <w:tcPr>
            <w:tcW w:w="479" w:type="pct"/>
            <w:tcBorders>
              <w:top w:val="single" w:sz="6" w:space="0" w:color="auto"/>
              <w:left w:val="single" w:sz="4" w:space="0" w:color="auto"/>
              <w:bottom w:val="single" w:sz="6" w:space="0" w:color="auto"/>
              <w:right w:val="single" w:sz="6" w:space="0" w:color="auto"/>
            </w:tcBorders>
            <w:hideMark/>
          </w:tcPr>
          <w:p w14:paraId="632FD83E" w14:textId="77777777" w:rsidR="00B97365" w:rsidRDefault="00000000">
            <w:pPr>
              <w:rPr>
                <w:rFonts w:cs="Calibri"/>
                <w:sz w:val="16"/>
                <w:szCs w:val="16"/>
              </w:rPr>
            </w:pPr>
            <w:r>
              <w:rPr>
                <w:rFonts w:cs="Calibri"/>
                <w:sz w:val="16"/>
                <w:szCs w:val="16"/>
              </w:rPr>
              <w:t>'3A02'</w:t>
            </w:r>
          </w:p>
        </w:tc>
        <w:tc>
          <w:tcPr>
            <w:tcW w:w="519" w:type="pct"/>
            <w:tcBorders>
              <w:top w:val="single" w:sz="6" w:space="0" w:color="auto"/>
              <w:left w:val="single" w:sz="6" w:space="0" w:color="auto"/>
              <w:bottom w:val="single" w:sz="6" w:space="0" w:color="auto"/>
              <w:right w:val="single" w:sz="6" w:space="0" w:color="auto"/>
            </w:tcBorders>
            <w:hideMark/>
          </w:tcPr>
          <w:p w14:paraId="3D87BD08" w14:textId="77777777" w:rsidR="00B97365" w:rsidRDefault="00000000">
            <w:pPr>
              <w:rPr>
                <w:rFonts w:cs="Calibri"/>
                <w:sz w:val="16"/>
                <w:szCs w:val="16"/>
              </w:rPr>
            </w:pPr>
            <w:r>
              <w:rPr>
                <w:rFonts w:cs="Calibri"/>
                <w:sz w:val="16"/>
                <w:szCs w:val="16"/>
              </w:rPr>
              <w:t>Var</w:t>
            </w:r>
          </w:p>
        </w:tc>
        <w:tc>
          <w:tcPr>
            <w:tcW w:w="3604" w:type="pct"/>
            <w:gridSpan w:val="5"/>
            <w:tcBorders>
              <w:top w:val="single" w:sz="6" w:space="0" w:color="auto"/>
              <w:left w:val="single" w:sz="6" w:space="0" w:color="auto"/>
              <w:bottom w:val="single" w:sz="6" w:space="0" w:color="auto"/>
              <w:right w:val="single" w:sz="6" w:space="0" w:color="auto"/>
            </w:tcBorders>
            <w:hideMark/>
          </w:tcPr>
          <w:p w14:paraId="1B6BB513" w14:textId="77777777" w:rsidR="00B97365" w:rsidRDefault="00000000">
            <w:pPr>
              <w:rPr>
                <w:rFonts w:cs="Calibri"/>
                <w:sz w:val="16"/>
                <w:szCs w:val="16"/>
              </w:rPr>
            </w:pPr>
            <w:r>
              <w:rPr>
                <w:rFonts w:cs="Calibri"/>
                <w:sz w:val="16"/>
                <w:szCs w:val="16"/>
              </w:rPr>
              <w:t>Key set Establish</w:t>
            </w:r>
          </w:p>
        </w:tc>
        <w:tc>
          <w:tcPr>
            <w:tcW w:w="398" w:type="pct"/>
            <w:tcBorders>
              <w:top w:val="single" w:sz="6" w:space="0" w:color="auto"/>
              <w:left w:val="single" w:sz="6" w:space="0" w:color="auto"/>
              <w:bottom w:val="single" w:sz="6" w:space="0" w:color="auto"/>
              <w:right w:val="single" w:sz="4" w:space="0" w:color="auto"/>
            </w:tcBorders>
            <w:hideMark/>
          </w:tcPr>
          <w:p w14:paraId="0E0E533A" w14:textId="77777777" w:rsidR="00B97365" w:rsidRDefault="00000000">
            <w:pPr>
              <w:jc w:val="center"/>
              <w:rPr>
                <w:rFonts w:cs="Calibri"/>
                <w:sz w:val="16"/>
                <w:szCs w:val="16"/>
              </w:rPr>
            </w:pPr>
            <w:r>
              <w:rPr>
                <w:rFonts w:cs="Calibri"/>
                <w:sz w:val="16"/>
                <w:szCs w:val="16"/>
              </w:rPr>
              <w:t>M</w:t>
            </w:r>
          </w:p>
        </w:tc>
      </w:tr>
      <w:tr w:rsidR="00B97365" w14:paraId="685A4AA8" w14:textId="77777777">
        <w:trPr>
          <w:cantSplit/>
        </w:trPr>
        <w:tc>
          <w:tcPr>
            <w:tcW w:w="479" w:type="pct"/>
            <w:tcBorders>
              <w:top w:val="single" w:sz="6" w:space="0" w:color="auto"/>
              <w:left w:val="single" w:sz="4" w:space="0" w:color="auto"/>
              <w:bottom w:val="single" w:sz="6" w:space="0" w:color="auto"/>
              <w:right w:val="single" w:sz="6" w:space="0" w:color="auto"/>
            </w:tcBorders>
          </w:tcPr>
          <w:p w14:paraId="28032E82"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1D1BF650"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shd w:val="clear" w:color="auto" w:fill="C00000"/>
            <w:hideMark/>
          </w:tcPr>
          <w:p w14:paraId="54C520AC" w14:textId="77777777" w:rsidR="00B97365" w:rsidRDefault="00000000">
            <w:pPr>
              <w:jc w:val="center"/>
              <w:rPr>
                <w:rFonts w:cs="Calibri"/>
                <w:b/>
                <w:sz w:val="16"/>
                <w:szCs w:val="16"/>
              </w:rPr>
            </w:pPr>
            <w:r>
              <w:rPr>
                <w:rFonts w:cs="Calibri"/>
                <w:b/>
                <w:color w:val="FFFFFF"/>
                <w:sz w:val="16"/>
                <w:szCs w:val="16"/>
              </w:rPr>
              <w:t>Tag</w:t>
            </w:r>
          </w:p>
        </w:tc>
        <w:tc>
          <w:tcPr>
            <w:tcW w:w="438" w:type="pct"/>
            <w:tcBorders>
              <w:top w:val="single" w:sz="6" w:space="0" w:color="auto"/>
              <w:left w:val="single" w:sz="6" w:space="0" w:color="auto"/>
              <w:bottom w:val="single" w:sz="6" w:space="0" w:color="auto"/>
              <w:right w:val="single" w:sz="6" w:space="0" w:color="auto"/>
            </w:tcBorders>
            <w:shd w:val="clear" w:color="auto" w:fill="C00000"/>
            <w:hideMark/>
          </w:tcPr>
          <w:p w14:paraId="29833682" w14:textId="77777777" w:rsidR="00B97365" w:rsidRDefault="00000000">
            <w:pPr>
              <w:jc w:val="center"/>
              <w:rPr>
                <w:rFonts w:cs="Calibri"/>
                <w:b/>
                <w:sz w:val="16"/>
                <w:szCs w:val="16"/>
              </w:rPr>
            </w:pPr>
            <w:r>
              <w:rPr>
                <w:rFonts w:cs="Calibri"/>
                <w:b/>
                <w:color w:val="FFFFFF"/>
                <w:sz w:val="16"/>
                <w:szCs w:val="16"/>
              </w:rPr>
              <w:t>Length</w:t>
            </w:r>
          </w:p>
        </w:tc>
        <w:tc>
          <w:tcPr>
            <w:tcW w:w="2800" w:type="pct"/>
            <w:gridSpan w:val="3"/>
            <w:tcBorders>
              <w:top w:val="single" w:sz="6" w:space="0" w:color="auto"/>
              <w:left w:val="single" w:sz="6" w:space="0" w:color="auto"/>
              <w:bottom w:val="single" w:sz="6" w:space="0" w:color="auto"/>
              <w:right w:val="single" w:sz="6" w:space="0" w:color="auto"/>
            </w:tcBorders>
            <w:shd w:val="clear" w:color="auto" w:fill="C00000"/>
            <w:hideMark/>
          </w:tcPr>
          <w:p w14:paraId="29CEF2C4" w14:textId="77777777" w:rsidR="00B97365" w:rsidRDefault="00000000">
            <w:pPr>
              <w:jc w:val="center"/>
              <w:rPr>
                <w:rFonts w:cs="Calibri"/>
                <w:b/>
                <w:sz w:val="16"/>
                <w:szCs w:val="16"/>
              </w:rPr>
            </w:pPr>
            <w:r>
              <w:rPr>
                <w:rFonts w:cs="Calibri"/>
                <w:b/>
                <w:color w:val="FFFFFF"/>
                <w:sz w:val="16"/>
                <w:szCs w:val="16"/>
              </w:rPr>
              <w:t>Value Description</w:t>
            </w:r>
          </w:p>
        </w:tc>
        <w:tc>
          <w:tcPr>
            <w:tcW w:w="398" w:type="pct"/>
            <w:tcBorders>
              <w:top w:val="single" w:sz="6" w:space="0" w:color="auto"/>
              <w:left w:val="single" w:sz="6" w:space="0" w:color="auto"/>
              <w:bottom w:val="single" w:sz="6" w:space="0" w:color="auto"/>
              <w:right w:val="single" w:sz="4" w:space="0" w:color="auto"/>
            </w:tcBorders>
            <w:shd w:val="clear" w:color="auto" w:fill="C00000"/>
            <w:hideMark/>
          </w:tcPr>
          <w:p w14:paraId="0344255E" w14:textId="77777777" w:rsidR="00B97365" w:rsidRDefault="00000000">
            <w:pPr>
              <w:jc w:val="center"/>
              <w:rPr>
                <w:rFonts w:cs="Calibri"/>
                <w:b/>
                <w:sz w:val="16"/>
                <w:szCs w:val="16"/>
              </w:rPr>
            </w:pPr>
            <w:r>
              <w:rPr>
                <w:rFonts w:cs="Calibri"/>
                <w:b/>
                <w:color w:val="FFFFFF"/>
                <w:sz w:val="16"/>
                <w:szCs w:val="16"/>
              </w:rPr>
              <w:t>MOC</w:t>
            </w:r>
          </w:p>
        </w:tc>
      </w:tr>
      <w:tr w:rsidR="00B97365" w14:paraId="41FF8F2F" w14:textId="77777777">
        <w:trPr>
          <w:cantSplit/>
        </w:trPr>
        <w:tc>
          <w:tcPr>
            <w:tcW w:w="479" w:type="pct"/>
            <w:tcBorders>
              <w:top w:val="single" w:sz="6" w:space="0" w:color="auto"/>
              <w:left w:val="single" w:sz="4" w:space="0" w:color="auto"/>
              <w:bottom w:val="single" w:sz="6" w:space="0" w:color="auto"/>
              <w:right w:val="single" w:sz="6" w:space="0" w:color="auto"/>
            </w:tcBorders>
          </w:tcPr>
          <w:p w14:paraId="6AEF021F"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6E31501A"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hideMark/>
          </w:tcPr>
          <w:p w14:paraId="74DAE490" w14:textId="77777777" w:rsidR="00B97365" w:rsidRDefault="00000000">
            <w:pPr>
              <w:rPr>
                <w:rFonts w:cs="Calibri"/>
                <w:color w:val="FFFFFF"/>
                <w:sz w:val="16"/>
                <w:szCs w:val="16"/>
              </w:rPr>
            </w:pPr>
            <w:r>
              <w:rPr>
                <w:rFonts w:cs="Calibri"/>
                <w:sz w:val="16"/>
                <w:szCs w:val="16"/>
              </w:rPr>
              <w:t>'A6'</w:t>
            </w:r>
          </w:p>
        </w:tc>
        <w:tc>
          <w:tcPr>
            <w:tcW w:w="438" w:type="pct"/>
            <w:tcBorders>
              <w:top w:val="single" w:sz="6" w:space="0" w:color="auto"/>
              <w:left w:val="single" w:sz="6" w:space="0" w:color="auto"/>
              <w:bottom w:val="single" w:sz="6" w:space="0" w:color="auto"/>
              <w:right w:val="single" w:sz="6" w:space="0" w:color="auto"/>
            </w:tcBorders>
            <w:hideMark/>
          </w:tcPr>
          <w:p w14:paraId="0C7F508B" w14:textId="77777777" w:rsidR="00B97365" w:rsidRDefault="00000000">
            <w:pPr>
              <w:rPr>
                <w:rFonts w:cs="Calibri"/>
                <w:color w:val="FFFFFF"/>
                <w:sz w:val="16"/>
                <w:szCs w:val="16"/>
              </w:rPr>
            </w:pPr>
            <w:r>
              <w:rPr>
                <w:rFonts w:cs="Calibri"/>
                <w:sz w:val="16"/>
                <w:szCs w:val="16"/>
              </w:rPr>
              <w:t>Var</w:t>
            </w:r>
          </w:p>
        </w:tc>
        <w:tc>
          <w:tcPr>
            <w:tcW w:w="2800" w:type="pct"/>
            <w:gridSpan w:val="3"/>
            <w:tcBorders>
              <w:top w:val="single" w:sz="6" w:space="0" w:color="auto"/>
              <w:left w:val="single" w:sz="6" w:space="0" w:color="auto"/>
              <w:bottom w:val="single" w:sz="6" w:space="0" w:color="auto"/>
              <w:right w:val="single" w:sz="6" w:space="0" w:color="auto"/>
            </w:tcBorders>
            <w:hideMark/>
          </w:tcPr>
          <w:p w14:paraId="0B418B16" w14:textId="77777777" w:rsidR="00B97365" w:rsidRDefault="00000000">
            <w:pPr>
              <w:rPr>
                <w:rFonts w:cs="Calibri"/>
                <w:color w:val="FFFFFF"/>
                <w:sz w:val="16"/>
                <w:szCs w:val="16"/>
              </w:rPr>
            </w:pPr>
            <w:r>
              <w:rPr>
                <w:rFonts w:cs="Calibri"/>
                <w:sz w:val="16"/>
                <w:szCs w:val="16"/>
              </w:rPr>
              <w:t>CRT tag (KAT)</w:t>
            </w:r>
          </w:p>
        </w:tc>
        <w:tc>
          <w:tcPr>
            <w:tcW w:w="398" w:type="pct"/>
            <w:tcBorders>
              <w:top w:val="single" w:sz="6" w:space="0" w:color="auto"/>
              <w:left w:val="single" w:sz="6" w:space="0" w:color="auto"/>
              <w:bottom w:val="single" w:sz="6" w:space="0" w:color="auto"/>
              <w:right w:val="single" w:sz="4" w:space="0" w:color="auto"/>
            </w:tcBorders>
            <w:hideMark/>
          </w:tcPr>
          <w:p w14:paraId="6C81935F" w14:textId="77777777" w:rsidR="00B97365" w:rsidRDefault="00000000">
            <w:pPr>
              <w:jc w:val="center"/>
              <w:rPr>
                <w:rFonts w:cs="Calibri"/>
                <w:color w:val="FFFFFF"/>
                <w:sz w:val="16"/>
                <w:szCs w:val="16"/>
              </w:rPr>
            </w:pPr>
            <w:r>
              <w:rPr>
                <w:rFonts w:cs="Calibri"/>
                <w:color w:val="FFFFFF"/>
                <w:sz w:val="16"/>
                <w:szCs w:val="16"/>
              </w:rPr>
              <w:t>XM</w:t>
            </w:r>
          </w:p>
        </w:tc>
      </w:tr>
      <w:tr w:rsidR="00B97365" w14:paraId="795EF8B7" w14:textId="77777777">
        <w:trPr>
          <w:cantSplit/>
        </w:trPr>
        <w:tc>
          <w:tcPr>
            <w:tcW w:w="479" w:type="pct"/>
            <w:tcBorders>
              <w:top w:val="single" w:sz="6" w:space="0" w:color="auto"/>
              <w:left w:val="single" w:sz="4" w:space="0" w:color="auto"/>
              <w:bottom w:val="single" w:sz="6" w:space="0" w:color="auto"/>
              <w:right w:val="single" w:sz="6" w:space="0" w:color="auto"/>
            </w:tcBorders>
          </w:tcPr>
          <w:p w14:paraId="0424D8AB" w14:textId="77777777" w:rsidR="00B97365" w:rsidRDefault="00B97365">
            <w:pPr>
              <w:rPr>
                <w:rFonts w:cs="Calibri"/>
                <w:b/>
                <w:sz w:val="16"/>
                <w:szCs w:val="16"/>
              </w:rPr>
            </w:pPr>
          </w:p>
        </w:tc>
        <w:tc>
          <w:tcPr>
            <w:tcW w:w="519" w:type="pct"/>
            <w:tcBorders>
              <w:top w:val="single" w:sz="6" w:space="0" w:color="auto"/>
              <w:left w:val="single" w:sz="6" w:space="0" w:color="auto"/>
              <w:bottom w:val="single" w:sz="6" w:space="0" w:color="auto"/>
              <w:right w:val="single" w:sz="6" w:space="0" w:color="auto"/>
            </w:tcBorders>
          </w:tcPr>
          <w:p w14:paraId="1498BC64" w14:textId="77777777" w:rsidR="00B97365" w:rsidRDefault="00B97365">
            <w:pPr>
              <w:rPr>
                <w:rFonts w:cs="Calibri"/>
                <w:b/>
                <w:sz w:val="16"/>
                <w:szCs w:val="16"/>
              </w:rPr>
            </w:pPr>
          </w:p>
        </w:tc>
        <w:tc>
          <w:tcPr>
            <w:tcW w:w="366" w:type="pct"/>
            <w:tcBorders>
              <w:top w:val="single" w:sz="6" w:space="0" w:color="auto"/>
              <w:left w:val="single" w:sz="6" w:space="0" w:color="auto"/>
              <w:bottom w:val="single" w:sz="6" w:space="0" w:color="auto"/>
              <w:right w:val="single" w:sz="6" w:space="0" w:color="auto"/>
            </w:tcBorders>
            <w:shd w:val="clear" w:color="auto" w:fill="FFFFFF"/>
          </w:tcPr>
          <w:p w14:paraId="427FF882" w14:textId="77777777" w:rsidR="00B97365" w:rsidRDefault="00B97365">
            <w:pPr>
              <w:jc w:val="center"/>
              <w:rPr>
                <w:rFonts w:cs="Calibri"/>
                <w:color w:val="FFFFFF"/>
                <w:sz w:val="16"/>
                <w:szCs w:val="16"/>
              </w:rPr>
            </w:pPr>
          </w:p>
        </w:tc>
        <w:tc>
          <w:tcPr>
            <w:tcW w:w="438" w:type="pct"/>
            <w:tcBorders>
              <w:top w:val="single" w:sz="6" w:space="0" w:color="auto"/>
              <w:left w:val="single" w:sz="6" w:space="0" w:color="auto"/>
              <w:bottom w:val="single" w:sz="6" w:space="0" w:color="auto"/>
              <w:right w:val="single" w:sz="6" w:space="0" w:color="auto"/>
            </w:tcBorders>
            <w:shd w:val="clear" w:color="auto" w:fill="FFFFFF"/>
          </w:tcPr>
          <w:p w14:paraId="426D6533" w14:textId="77777777" w:rsidR="00B97365" w:rsidRDefault="00B97365">
            <w:pPr>
              <w:jc w:val="center"/>
              <w:rPr>
                <w:rFonts w:cs="Calibri"/>
                <w:color w:val="FFFFFF"/>
                <w:sz w:val="16"/>
                <w:szCs w:val="16"/>
              </w:rPr>
            </w:pPr>
          </w:p>
        </w:tc>
        <w:tc>
          <w:tcPr>
            <w:tcW w:w="369" w:type="pct"/>
            <w:tcBorders>
              <w:top w:val="single" w:sz="6" w:space="0" w:color="auto"/>
              <w:left w:val="single" w:sz="6" w:space="0" w:color="auto"/>
              <w:bottom w:val="single" w:sz="6" w:space="0" w:color="auto"/>
              <w:right w:val="single" w:sz="6" w:space="0" w:color="auto"/>
            </w:tcBorders>
            <w:shd w:val="clear" w:color="auto" w:fill="C00000"/>
            <w:hideMark/>
          </w:tcPr>
          <w:p w14:paraId="79D0246C" w14:textId="77777777" w:rsidR="00B97365" w:rsidRDefault="00000000">
            <w:pPr>
              <w:spacing w:after="120" w:line="276" w:lineRule="auto"/>
              <w:jc w:val="center"/>
              <w:rPr>
                <w:rFonts w:cs="Calibri"/>
                <w:b/>
                <w:color w:val="FFFFFF"/>
                <w:sz w:val="16"/>
                <w:szCs w:val="16"/>
              </w:rPr>
            </w:pPr>
            <w:r>
              <w:rPr>
                <w:rFonts w:cs="Calibri"/>
                <w:b/>
                <w:color w:val="FFFFFF"/>
                <w:sz w:val="16"/>
                <w:szCs w:val="16"/>
              </w:rPr>
              <w:t>Tag</w:t>
            </w:r>
          </w:p>
        </w:tc>
        <w:tc>
          <w:tcPr>
            <w:tcW w:w="468" w:type="pct"/>
            <w:tcBorders>
              <w:top w:val="single" w:sz="6" w:space="0" w:color="auto"/>
              <w:left w:val="single" w:sz="6" w:space="0" w:color="auto"/>
              <w:bottom w:val="single" w:sz="6" w:space="0" w:color="auto"/>
              <w:right w:val="single" w:sz="6" w:space="0" w:color="auto"/>
            </w:tcBorders>
            <w:shd w:val="clear" w:color="auto" w:fill="C00000"/>
            <w:hideMark/>
          </w:tcPr>
          <w:p w14:paraId="41124DB4" w14:textId="77777777" w:rsidR="00B97365" w:rsidRDefault="00000000">
            <w:pPr>
              <w:spacing w:after="120" w:line="276" w:lineRule="auto"/>
              <w:jc w:val="center"/>
              <w:rPr>
                <w:rFonts w:cs="Calibri"/>
                <w:b/>
                <w:color w:val="FFFFFF"/>
                <w:sz w:val="16"/>
                <w:szCs w:val="16"/>
              </w:rPr>
            </w:pPr>
            <w:r>
              <w:rPr>
                <w:rFonts w:cs="Calibri"/>
                <w:b/>
                <w:color w:val="FFFFFF"/>
                <w:sz w:val="16"/>
                <w:szCs w:val="16"/>
              </w:rPr>
              <w:t>Length</w:t>
            </w:r>
          </w:p>
        </w:tc>
        <w:tc>
          <w:tcPr>
            <w:tcW w:w="1963" w:type="pct"/>
            <w:tcBorders>
              <w:top w:val="single" w:sz="6" w:space="0" w:color="auto"/>
              <w:left w:val="single" w:sz="6" w:space="0" w:color="auto"/>
              <w:bottom w:val="single" w:sz="6" w:space="0" w:color="auto"/>
              <w:right w:val="single" w:sz="6" w:space="0" w:color="auto"/>
            </w:tcBorders>
            <w:shd w:val="clear" w:color="auto" w:fill="C00000"/>
            <w:hideMark/>
          </w:tcPr>
          <w:p w14:paraId="763BBFA4" w14:textId="77777777" w:rsidR="00B97365" w:rsidRDefault="00000000">
            <w:pPr>
              <w:jc w:val="center"/>
              <w:rPr>
                <w:rFonts w:cs="Calibri"/>
                <w:b/>
                <w:color w:val="FFFFFF"/>
                <w:sz w:val="16"/>
                <w:szCs w:val="16"/>
              </w:rPr>
            </w:pPr>
            <w:r>
              <w:rPr>
                <w:rFonts w:cs="Calibri"/>
                <w:b/>
                <w:color w:val="FFFFFF"/>
                <w:sz w:val="16"/>
                <w:szCs w:val="16"/>
              </w:rPr>
              <w:t>Value Description</w:t>
            </w:r>
          </w:p>
        </w:tc>
        <w:tc>
          <w:tcPr>
            <w:tcW w:w="398" w:type="pct"/>
            <w:tcBorders>
              <w:top w:val="single" w:sz="6" w:space="0" w:color="auto"/>
              <w:left w:val="single" w:sz="6" w:space="0" w:color="auto"/>
              <w:bottom w:val="single" w:sz="6" w:space="0" w:color="auto"/>
              <w:right w:val="single" w:sz="4" w:space="0" w:color="auto"/>
            </w:tcBorders>
            <w:shd w:val="clear" w:color="auto" w:fill="C00000"/>
            <w:hideMark/>
          </w:tcPr>
          <w:p w14:paraId="6D33DAD4"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F22C21C" w14:textId="77777777">
        <w:trPr>
          <w:cantSplit/>
        </w:trPr>
        <w:tc>
          <w:tcPr>
            <w:tcW w:w="479" w:type="pct"/>
            <w:tcBorders>
              <w:top w:val="single" w:sz="6" w:space="0" w:color="auto"/>
              <w:left w:val="single" w:sz="4" w:space="0" w:color="auto"/>
              <w:bottom w:val="single" w:sz="6" w:space="0" w:color="auto"/>
              <w:right w:val="single" w:sz="6" w:space="0" w:color="auto"/>
            </w:tcBorders>
          </w:tcPr>
          <w:p w14:paraId="4B786E81"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66342599"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79935D82"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257738E4"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69CE559F" w14:textId="77777777" w:rsidR="00B97365" w:rsidRDefault="00000000">
            <w:pPr>
              <w:rPr>
                <w:rFonts w:cs="Calibri"/>
                <w:sz w:val="16"/>
                <w:szCs w:val="16"/>
              </w:rPr>
            </w:pPr>
            <w:r>
              <w:rPr>
                <w:rFonts w:cs="Calibri"/>
                <w:sz w:val="16"/>
                <w:szCs w:val="16"/>
              </w:rPr>
              <w:t>'90'</w:t>
            </w:r>
          </w:p>
        </w:tc>
        <w:tc>
          <w:tcPr>
            <w:tcW w:w="468" w:type="pct"/>
            <w:tcBorders>
              <w:top w:val="single" w:sz="6" w:space="0" w:color="auto"/>
              <w:left w:val="single" w:sz="6" w:space="0" w:color="auto"/>
              <w:bottom w:val="single" w:sz="6" w:space="0" w:color="auto"/>
              <w:right w:val="single" w:sz="6" w:space="0" w:color="auto"/>
            </w:tcBorders>
            <w:hideMark/>
          </w:tcPr>
          <w:p w14:paraId="2BB7A9F3" w14:textId="77777777" w:rsidR="00B97365" w:rsidRDefault="00000000">
            <w:pPr>
              <w:rPr>
                <w:rFonts w:cs="Calibri"/>
                <w:sz w:val="16"/>
                <w:szCs w:val="16"/>
              </w:rPr>
            </w:pPr>
            <w:r>
              <w:rPr>
                <w:rFonts w:cs="Calibri"/>
                <w:sz w:val="16"/>
                <w:szCs w:val="16"/>
              </w:rPr>
              <w:t>2</w:t>
            </w:r>
          </w:p>
        </w:tc>
        <w:tc>
          <w:tcPr>
            <w:tcW w:w="1963" w:type="pct"/>
            <w:tcBorders>
              <w:top w:val="single" w:sz="6" w:space="0" w:color="auto"/>
              <w:left w:val="single" w:sz="6" w:space="0" w:color="auto"/>
              <w:bottom w:val="single" w:sz="6" w:space="0" w:color="auto"/>
              <w:right w:val="single" w:sz="6" w:space="0" w:color="auto"/>
            </w:tcBorders>
            <w:hideMark/>
          </w:tcPr>
          <w:p w14:paraId="3FFFAC6A" w14:textId="2EA4E8C3" w:rsidR="00B97365" w:rsidRDefault="00000000">
            <w:pPr>
              <w:rPr>
                <w:rFonts w:cs="Calibri"/>
                <w:sz w:val="16"/>
                <w:szCs w:val="16"/>
              </w:rPr>
            </w:pPr>
            <w:r>
              <w:rPr>
                <w:rFonts w:cs="Calibri"/>
                <w:sz w:val="16"/>
                <w:szCs w:val="16"/>
              </w:rPr>
              <w:t xml:space="preserve">Scenario identifier ‘03’ (see GlobalPlatform Card Specification Amendment E: Security Upgrade for Card Content Management  </w:t>
            </w:r>
            <w:r>
              <w:fldChar w:fldCharType="begin"/>
            </w:r>
            <w:r>
              <w:rPr>
                <w:rFonts w:cs="Calibri"/>
                <w:sz w:val="16"/>
                <w:szCs w:val="16"/>
              </w:rPr>
              <w:instrText xml:space="preserve"> REF _Ref421632038 \r \h </w:instrText>
            </w:r>
            <w:r>
              <w:fldChar w:fldCharType="separate"/>
            </w:r>
            <w:r w:rsidR="001D5AD9">
              <w:rPr>
                <w:rFonts w:cs="Calibri"/>
                <w:sz w:val="16"/>
                <w:szCs w:val="16"/>
              </w:rPr>
              <w:t>[11]</w:t>
            </w:r>
            <w:r>
              <w:fldChar w:fldCharType="end"/>
            </w:r>
            <w:r>
              <w:rPr>
                <w:rFonts w:cs="Calibri"/>
                <w:sz w:val="16"/>
                <w:szCs w:val="16"/>
              </w:rPr>
              <w:t xml:space="preserve"> section 4.8.1)</w:t>
            </w:r>
          </w:p>
          <w:p w14:paraId="4E862FE1" w14:textId="2B0F22BA" w:rsidR="00B97365" w:rsidRDefault="00000000">
            <w:pPr>
              <w:rPr>
                <w:rFonts w:cs="Calibri"/>
                <w:sz w:val="16"/>
                <w:szCs w:val="16"/>
              </w:rPr>
            </w:pPr>
            <w:r>
              <w:rPr>
                <w:rFonts w:cs="Calibri"/>
                <w:sz w:val="16"/>
                <w:szCs w:val="16"/>
              </w:rPr>
              <w:t xml:space="preserve">Scenario Parameters ‘0X’ (See </w:t>
            </w:r>
            <w:r>
              <w:fldChar w:fldCharType="begin"/>
            </w:r>
            <w:r>
              <w:rPr>
                <w:rFonts w:cs="Calibri"/>
                <w:sz w:val="16"/>
                <w:szCs w:val="16"/>
              </w:rPr>
              <w:instrText xml:space="preserve"> REF _Ref421800743 \r \h </w:instrText>
            </w:r>
            <w:r>
              <w:fldChar w:fldCharType="separate"/>
            </w:r>
            <w:r w:rsidR="001D5AD9">
              <w:rPr>
                <w:rFonts w:cs="Calibri"/>
                <w:sz w:val="16"/>
                <w:szCs w:val="16"/>
              </w:rPr>
              <w:t>Table 83</w:t>
            </w:r>
            <w:r>
              <w:fldChar w:fldCharType="end"/>
            </w:r>
            <w:r>
              <w:rPr>
                <w:rFonts w:cs="Calibri"/>
                <w:sz w:val="16"/>
                <w:szCs w:val="16"/>
              </w:rPr>
              <w:t>)</w:t>
            </w:r>
          </w:p>
        </w:tc>
        <w:tc>
          <w:tcPr>
            <w:tcW w:w="398" w:type="pct"/>
            <w:tcBorders>
              <w:top w:val="single" w:sz="6" w:space="0" w:color="auto"/>
              <w:left w:val="single" w:sz="6" w:space="0" w:color="auto"/>
              <w:bottom w:val="single" w:sz="6" w:space="0" w:color="auto"/>
              <w:right w:val="single" w:sz="4" w:space="0" w:color="auto"/>
            </w:tcBorders>
            <w:hideMark/>
          </w:tcPr>
          <w:p w14:paraId="0CE7AE9F" w14:textId="77777777" w:rsidR="00B97365" w:rsidRDefault="00000000">
            <w:pPr>
              <w:jc w:val="center"/>
              <w:rPr>
                <w:rFonts w:cs="Calibri"/>
                <w:sz w:val="16"/>
                <w:szCs w:val="16"/>
              </w:rPr>
            </w:pPr>
            <w:r>
              <w:rPr>
                <w:rFonts w:cs="Calibri"/>
                <w:sz w:val="16"/>
                <w:szCs w:val="16"/>
              </w:rPr>
              <w:t>M</w:t>
            </w:r>
          </w:p>
        </w:tc>
      </w:tr>
      <w:tr w:rsidR="00B97365" w14:paraId="553665B0" w14:textId="77777777">
        <w:trPr>
          <w:cantSplit/>
        </w:trPr>
        <w:tc>
          <w:tcPr>
            <w:tcW w:w="479" w:type="pct"/>
            <w:tcBorders>
              <w:top w:val="single" w:sz="6" w:space="0" w:color="auto"/>
              <w:left w:val="single" w:sz="4" w:space="0" w:color="auto"/>
              <w:bottom w:val="single" w:sz="6" w:space="0" w:color="auto"/>
              <w:right w:val="single" w:sz="6" w:space="0" w:color="auto"/>
            </w:tcBorders>
          </w:tcPr>
          <w:p w14:paraId="637D766D"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5F350DA9"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1159F2F9"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42CB077C"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01EAEF66" w14:textId="77777777" w:rsidR="00B97365" w:rsidRDefault="00000000">
            <w:pPr>
              <w:rPr>
                <w:rFonts w:cs="Calibri"/>
                <w:sz w:val="16"/>
                <w:szCs w:val="16"/>
              </w:rPr>
            </w:pPr>
            <w:r>
              <w:rPr>
                <w:rFonts w:cs="Calibri"/>
                <w:sz w:val="16"/>
                <w:szCs w:val="16"/>
              </w:rPr>
              <w:t>'95'</w:t>
            </w:r>
          </w:p>
        </w:tc>
        <w:tc>
          <w:tcPr>
            <w:tcW w:w="468" w:type="pct"/>
            <w:tcBorders>
              <w:top w:val="single" w:sz="6" w:space="0" w:color="auto"/>
              <w:left w:val="single" w:sz="6" w:space="0" w:color="auto"/>
              <w:bottom w:val="single" w:sz="6" w:space="0" w:color="auto"/>
              <w:right w:val="single" w:sz="6" w:space="0" w:color="auto"/>
            </w:tcBorders>
            <w:hideMark/>
          </w:tcPr>
          <w:p w14:paraId="2CEEDD3E"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62AA6E69" w14:textId="77777777" w:rsidR="00B97365" w:rsidRDefault="00000000">
            <w:pPr>
              <w:rPr>
                <w:rFonts w:cs="Calibri"/>
                <w:bCs/>
                <w:sz w:val="16"/>
                <w:szCs w:val="16"/>
              </w:rPr>
            </w:pPr>
            <w:r>
              <w:rPr>
                <w:rFonts w:cs="Calibri"/>
                <w:sz w:val="16"/>
                <w:szCs w:val="16"/>
              </w:rPr>
              <w:t>Key Usage Qualifier</w:t>
            </w:r>
            <w:r>
              <w:rPr>
                <w:rFonts w:cs="Calibri"/>
                <w:sz w:val="16"/>
                <w:szCs w:val="16"/>
              </w:rPr>
              <w:br/>
              <w:t xml:space="preserve">   '5C' (1 secure channel base key) or</w:t>
            </w:r>
          </w:p>
          <w:p w14:paraId="3F5AAFA6" w14:textId="59ECBC42" w:rsidR="00B97365" w:rsidRDefault="00000000">
            <w:pPr>
              <w:rPr>
                <w:rFonts w:cs="Calibri"/>
                <w:sz w:val="16"/>
                <w:szCs w:val="16"/>
              </w:rPr>
            </w:pPr>
            <w:r>
              <w:rPr>
                <w:rFonts w:cs="Calibri"/>
                <w:sz w:val="16"/>
                <w:szCs w:val="16"/>
              </w:rPr>
              <w:t xml:space="preserve">   '10' (3 secure channel keys)</w:t>
            </w:r>
            <w:r>
              <w:rPr>
                <w:rFonts w:cs="Calibri"/>
                <w:sz w:val="16"/>
                <w:szCs w:val="16"/>
              </w:rPr>
              <w:br/>
              <w:t xml:space="preserve">   (see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11-17)</w:t>
            </w:r>
          </w:p>
        </w:tc>
        <w:tc>
          <w:tcPr>
            <w:tcW w:w="398" w:type="pct"/>
            <w:tcBorders>
              <w:top w:val="single" w:sz="6" w:space="0" w:color="auto"/>
              <w:left w:val="single" w:sz="6" w:space="0" w:color="auto"/>
              <w:bottom w:val="single" w:sz="6" w:space="0" w:color="auto"/>
              <w:right w:val="single" w:sz="4" w:space="0" w:color="auto"/>
            </w:tcBorders>
            <w:hideMark/>
          </w:tcPr>
          <w:p w14:paraId="151156AA" w14:textId="77777777" w:rsidR="00B97365" w:rsidRDefault="00000000">
            <w:pPr>
              <w:jc w:val="center"/>
              <w:rPr>
                <w:rFonts w:cs="Calibri"/>
                <w:sz w:val="16"/>
                <w:szCs w:val="16"/>
              </w:rPr>
            </w:pPr>
            <w:r>
              <w:rPr>
                <w:rFonts w:cs="Calibri"/>
                <w:sz w:val="16"/>
                <w:szCs w:val="16"/>
              </w:rPr>
              <w:t>M</w:t>
            </w:r>
          </w:p>
        </w:tc>
      </w:tr>
      <w:tr w:rsidR="00B97365" w14:paraId="206735CB" w14:textId="77777777">
        <w:trPr>
          <w:cantSplit/>
        </w:trPr>
        <w:tc>
          <w:tcPr>
            <w:tcW w:w="479" w:type="pct"/>
            <w:tcBorders>
              <w:top w:val="single" w:sz="6" w:space="0" w:color="auto"/>
              <w:left w:val="single" w:sz="4" w:space="0" w:color="auto"/>
              <w:bottom w:val="single" w:sz="6" w:space="0" w:color="auto"/>
              <w:right w:val="single" w:sz="6" w:space="0" w:color="auto"/>
            </w:tcBorders>
          </w:tcPr>
          <w:p w14:paraId="22E7F80A"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38236F13"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426904C4"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51E8BD60"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68B5F479" w14:textId="77777777" w:rsidR="00B97365" w:rsidRDefault="00000000">
            <w:pPr>
              <w:rPr>
                <w:rFonts w:cs="Calibri"/>
                <w:sz w:val="16"/>
                <w:szCs w:val="16"/>
              </w:rPr>
            </w:pPr>
            <w:r>
              <w:rPr>
                <w:rFonts w:cs="Calibri"/>
                <w:sz w:val="16"/>
                <w:szCs w:val="16"/>
              </w:rPr>
              <w:t>'96'</w:t>
            </w:r>
          </w:p>
        </w:tc>
        <w:tc>
          <w:tcPr>
            <w:tcW w:w="468" w:type="pct"/>
            <w:tcBorders>
              <w:top w:val="single" w:sz="6" w:space="0" w:color="auto"/>
              <w:left w:val="single" w:sz="6" w:space="0" w:color="auto"/>
              <w:bottom w:val="single" w:sz="6" w:space="0" w:color="auto"/>
              <w:right w:val="single" w:sz="6" w:space="0" w:color="auto"/>
            </w:tcBorders>
            <w:hideMark/>
          </w:tcPr>
          <w:p w14:paraId="2770B5AD"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29F68105" w14:textId="7C7DF6AD" w:rsidR="00B97365" w:rsidRDefault="00000000">
            <w:pPr>
              <w:rPr>
                <w:rFonts w:cs="Calibri"/>
                <w:sz w:val="16"/>
                <w:szCs w:val="16"/>
              </w:rPr>
            </w:pPr>
            <w:r>
              <w:rPr>
                <w:rFonts w:cs="Calibri"/>
                <w:sz w:val="16"/>
                <w:szCs w:val="16"/>
              </w:rPr>
              <w:t xml:space="preserve">Key Access according to </w:t>
            </w:r>
            <w:r>
              <w:rPr>
                <w:rFonts w:cs="Calibri"/>
                <w:bCs/>
                <w:sz w:val="16"/>
                <w:szCs w:val="16"/>
              </w:rPr>
              <w:t xml:space="preserve">GlobalPlatform Card Specification </w:t>
            </w:r>
            <w:r>
              <w:rPr>
                <w:rFonts w:cs="Calibri"/>
                <w:sz w:val="16"/>
                <w:szCs w:val="16"/>
              </w:rPr>
              <w:t>[</w:t>
            </w:r>
            <w:r>
              <w:fldChar w:fldCharType="begin"/>
            </w:r>
            <w:r>
              <w:rPr>
                <w:rFonts w:cs="Calibri"/>
                <w:sz w:val="16"/>
                <w:szCs w:val="16"/>
              </w:rPr>
              <w:instrText xml:space="preserve"> REF _Ref421631311 \r \h </w:instrText>
            </w:r>
            <w:r>
              <w:fldChar w:fldCharType="separate"/>
            </w:r>
            <w:r w:rsidR="001D5AD9">
              <w:rPr>
                <w:rFonts w:cs="Calibri"/>
                <w:sz w:val="16"/>
                <w:szCs w:val="16"/>
              </w:rPr>
              <w:t>[6]</w:t>
            </w:r>
            <w:r>
              <w:fldChar w:fldCharType="end"/>
            </w:r>
            <w:r>
              <w:rPr>
                <w:rFonts w:cs="Calibri"/>
                <w:sz w:val="16"/>
                <w:szCs w:val="16"/>
              </w:rPr>
              <w:t xml:space="preserve"> Table 11-18</w:t>
            </w:r>
          </w:p>
        </w:tc>
        <w:tc>
          <w:tcPr>
            <w:tcW w:w="398" w:type="pct"/>
            <w:tcBorders>
              <w:top w:val="single" w:sz="6" w:space="0" w:color="auto"/>
              <w:left w:val="single" w:sz="6" w:space="0" w:color="auto"/>
              <w:bottom w:val="single" w:sz="6" w:space="0" w:color="auto"/>
              <w:right w:val="single" w:sz="4" w:space="0" w:color="auto"/>
            </w:tcBorders>
            <w:hideMark/>
          </w:tcPr>
          <w:p w14:paraId="70C0681E" w14:textId="77777777" w:rsidR="00B97365" w:rsidRDefault="00000000">
            <w:pPr>
              <w:jc w:val="center"/>
              <w:rPr>
                <w:rFonts w:cs="Calibri"/>
                <w:sz w:val="16"/>
                <w:szCs w:val="16"/>
              </w:rPr>
            </w:pPr>
            <w:r>
              <w:rPr>
                <w:rFonts w:cs="Calibri"/>
                <w:sz w:val="16"/>
                <w:szCs w:val="16"/>
              </w:rPr>
              <w:t>O</w:t>
            </w:r>
          </w:p>
        </w:tc>
      </w:tr>
      <w:tr w:rsidR="00B97365" w14:paraId="22842FC0" w14:textId="77777777">
        <w:trPr>
          <w:cantSplit/>
        </w:trPr>
        <w:tc>
          <w:tcPr>
            <w:tcW w:w="479" w:type="pct"/>
            <w:tcBorders>
              <w:top w:val="single" w:sz="6" w:space="0" w:color="auto"/>
              <w:left w:val="single" w:sz="4" w:space="0" w:color="auto"/>
              <w:bottom w:val="single" w:sz="6" w:space="0" w:color="auto"/>
              <w:right w:val="single" w:sz="6" w:space="0" w:color="auto"/>
            </w:tcBorders>
          </w:tcPr>
          <w:p w14:paraId="32877FFE"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1346058C"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004F9046"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075E7AB1"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4E9580B0" w14:textId="77777777" w:rsidR="00B97365" w:rsidRDefault="00000000">
            <w:pPr>
              <w:rPr>
                <w:rFonts w:cs="Calibri"/>
                <w:sz w:val="16"/>
                <w:szCs w:val="16"/>
              </w:rPr>
            </w:pPr>
            <w:r>
              <w:rPr>
                <w:rFonts w:cs="Calibri"/>
                <w:sz w:val="16"/>
                <w:szCs w:val="16"/>
              </w:rPr>
              <w:t>'80'</w:t>
            </w:r>
          </w:p>
        </w:tc>
        <w:tc>
          <w:tcPr>
            <w:tcW w:w="468" w:type="pct"/>
            <w:tcBorders>
              <w:top w:val="single" w:sz="6" w:space="0" w:color="auto"/>
              <w:left w:val="single" w:sz="6" w:space="0" w:color="auto"/>
              <w:bottom w:val="single" w:sz="6" w:space="0" w:color="auto"/>
              <w:right w:val="single" w:sz="6" w:space="0" w:color="auto"/>
            </w:tcBorders>
            <w:hideMark/>
          </w:tcPr>
          <w:p w14:paraId="5876C47B"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5F5C8A75" w14:textId="0427A307" w:rsidR="00B97365" w:rsidRDefault="00000000">
            <w:pPr>
              <w:rPr>
                <w:rFonts w:cs="Calibri"/>
                <w:sz w:val="16"/>
                <w:szCs w:val="16"/>
              </w:rPr>
            </w:pPr>
            <w:r>
              <w:rPr>
                <w:rFonts w:cs="Calibri"/>
                <w:sz w:val="16"/>
                <w:szCs w:val="16"/>
              </w:rPr>
              <w:t xml:space="preserve">Key Type according to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11-16</w:t>
            </w:r>
          </w:p>
        </w:tc>
        <w:tc>
          <w:tcPr>
            <w:tcW w:w="398" w:type="pct"/>
            <w:tcBorders>
              <w:top w:val="single" w:sz="6" w:space="0" w:color="auto"/>
              <w:left w:val="single" w:sz="6" w:space="0" w:color="auto"/>
              <w:bottom w:val="single" w:sz="6" w:space="0" w:color="auto"/>
              <w:right w:val="single" w:sz="4" w:space="0" w:color="auto"/>
            </w:tcBorders>
            <w:hideMark/>
          </w:tcPr>
          <w:p w14:paraId="7C389A4B" w14:textId="77777777" w:rsidR="00B97365" w:rsidRDefault="00000000">
            <w:pPr>
              <w:jc w:val="center"/>
              <w:rPr>
                <w:rFonts w:cs="Calibri"/>
                <w:sz w:val="16"/>
                <w:szCs w:val="16"/>
              </w:rPr>
            </w:pPr>
            <w:r>
              <w:rPr>
                <w:rFonts w:cs="Calibri"/>
                <w:sz w:val="16"/>
                <w:szCs w:val="16"/>
              </w:rPr>
              <w:t>M</w:t>
            </w:r>
          </w:p>
        </w:tc>
      </w:tr>
      <w:tr w:rsidR="00B97365" w14:paraId="4462932E" w14:textId="77777777">
        <w:trPr>
          <w:cantSplit/>
        </w:trPr>
        <w:tc>
          <w:tcPr>
            <w:tcW w:w="479" w:type="pct"/>
            <w:tcBorders>
              <w:top w:val="single" w:sz="6" w:space="0" w:color="auto"/>
              <w:left w:val="single" w:sz="4" w:space="0" w:color="auto"/>
              <w:bottom w:val="single" w:sz="6" w:space="0" w:color="auto"/>
              <w:right w:val="single" w:sz="6" w:space="0" w:color="auto"/>
            </w:tcBorders>
          </w:tcPr>
          <w:p w14:paraId="4428A002"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658F3C99"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4314AB8C"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0B05FE44"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7FF83976" w14:textId="77777777" w:rsidR="00B97365" w:rsidRDefault="00000000">
            <w:pPr>
              <w:rPr>
                <w:rFonts w:cs="Calibri"/>
                <w:sz w:val="16"/>
                <w:szCs w:val="16"/>
              </w:rPr>
            </w:pPr>
            <w:r>
              <w:rPr>
                <w:rFonts w:cs="Calibri"/>
                <w:sz w:val="16"/>
                <w:szCs w:val="16"/>
              </w:rPr>
              <w:t>'81'</w:t>
            </w:r>
          </w:p>
        </w:tc>
        <w:tc>
          <w:tcPr>
            <w:tcW w:w="468" w:type="pct"/>
            <w:tcBorders>
              <w:top w:val="single" w:sz="6" w:space="0" w:color="auto"/>
              <w:left w:val="single" w:sz="6" w:space="0" w:color="auto"/>
              <w:bottom w:val="single" w:sz="6" w:space="0" w:color="auto"/>
              <w:right w:val="single" w:sz="6" w:space="0" w:color="auto"/>
            </w:tcBorders>
            <w:hideMark/>
          </w:tcPr>
          <w:p w14:paraId="70C15DFF"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454002D6" w14:textId="77777777" w:rsidR="00B97365" w:rsidRDefault="00000000">
            <w:pPr>
              <w:rPr>
                <w:rFonts w:cs="Calibri"/>
                <w:sz w:val="16"/>
                <w:szCs w:val="16"/>
              </w:rPr>
            </w:pPr>
            <w:r>
              <w:rPr>
                <w:rFonts w:cs="Calibri"/>
                <w:sz w:val="16"/>
                <w:szCs w:val="16"/>
              </w:rPr>
              <w:t>Key Length (in bytes)</w:t>
            </w:r>
          </w:p>
        </w:tc>
        <w:tc>
          <w:tcPr>
            <w:tcW w:w="398" w:type="pct"/>
            <w:tcBorders>
              <w:top w:val="single" w:sz="6" w:space="0" w:color="auto"/>
              <w:left w:val="single" w:sz="6" w:space="0" w:color="auto"/>
              <w:bottom w:val="single" w:sz="6" w:space="0" w:color="auto"/>
              <w:right w:val="single" w:sz="4" w:space="0" w:color="auto"/>
            </w:tcBorders>
            <w:hideMark/>
          </w:tcPr>
          <w:p w14:paraId="43B9A7AE" w14:textId="77777777" w:rsidR="00B97365" w:rsidRDefault="00000000">
            <w:pPr>
              <w:jc w:val="center"/>
              <w:rPr>
                <w:rFonts w:cs="Calibri"/>
                <w:sz w:val="16"/>
                <w:szCs w:val="16"/>
              </w:rPr>
            </w:pPr>
            <w:r>
              <w:rPr>
                <w:rFonts w:cs="Calibri"/>
                <w:sz w:val="16"/>
                <w:szCs w:val="16"/>
              </w:rPr>
              <w:t>M</w:t>
            </w:r>
          </w:p>
        </w:tc>
      </w:tr>
      <w:tr w:rsidR="00B97365" w14:paraId="790A6045" w14:textId="77777777">
        <w:trPr>
          <w:cantSplit/>
        </w:trPr>
        <w:tc>
          <w:tcPr>
            <w:tcW w:w="479" w:type="pct"/>
            <w:tcBorders>
              <w:top w:val="single" w:sz="6" w:space="0" w:color="auto"/>
              <w:left w:val="single" w:sz="4" w:space="0" w:color="auto"/>
              <w:bottom w:val="single" w:sz="6" w:space="0" w:color="auto"/>
              <w:right w:val="single" w:sz="6" w:space="0" w:color="auto"/>
            </w:tcBorders>
          </w:tcPr>
          <w:p w14:paraId="14B524CE"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0451A531"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4B3AFEAD"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3148FD54"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582B481F" w14:textId="77777777" w:rsidR="00B97365" w:rsidRDefault="00000000">
            <w:pPr>
              <w:rPr>
                <w:rFonts w:cs="Calibri"/>
                <w:sz w:val="16"/>
                <w:szCs w:val="16"/>
              </w:rPr>
            </w:pPr>
            <w:r>
              <w:rPr>
                <w:rFonts w:cs="Calibri"/>
                <w:sz w:val="16"/>
                <w:szCs w:val="16"/>
              </w:rPr>
              <w:t>'82'</w:t>
            </w:r>
          </w:p>
        </w:tc>
        <w:tc>
          <w:tcPr>
            <w:tcW w:w="468" w:type="pct"/>
            <w:tcBorders>
              <w:top w:val="single" w:sz="6" w:space="0" w:color="auto"/>
              <w:left w:val="single" w:sz="6" w:space="0" w:color="auto"/>
              <w:bottom w:val="single" w:sz="6" w:space="0" w:color="auto"/>
              <w:right w:val="single" w:sz="6" w:space="0" w:color="auto"/>
            </w:tcBorders>
            <w:hideMark/>
          </w:tcPr>
          <w:p w14:paraId="0F7AA77B"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6F77C178" w14:textId="77777777" w:rsidR="00B97365" w:rsidRDefault="00000000">
            <w:pPr>
              <w:rPr>
                <w:rFonts w:cs="Calibri"/>
                <w:sz w:val="16"/>
                <w:szCs w:val="16"/>
              </w:rPr>
            </w:pPr>
            <w:r>
              <w:rPr>
                <w:rFonts w:cs="Calibri"/>
                <w:sz w:val="16"/>
                <w:szCs w:val="16"/>
              </w:rPr>
              <w:t>Key Identifier = '00' - '7F'</w:t>
            </w:r>
          </w:p>
        </w:tc>
        <w:tc>
          <w:tcPr>
            <w:tcW w:w="398" w:type="pct"/>
            <w:tcBorders>
              <w:top w:val="single" w:sz="6" w:space="0" w:color="auto"/>
              <w:left w:val="single" w:sz="6" w:space="0" w:color="auto"/>
              <w:bottom w:val="single" w:sz="6" w:space="0" w:color="auto"/>
              <w:right w:val="single" w:sz="4" w:space="0" w:color="auto"/>
            </w:tcBorders>
            <w:hideMark/>
          </w:tcPr>
          <w:p w14:paraId="604603BD" w14:textId="77777777" w:rsidR="00B97365" w:rsidRDefault="00000000">
            <w:pPr>
              <w:jc w:val="center"/>
              <w:rPr>
                <w:rFonts w:cs="Calibri"/>
                <w:sz w:val="16"/>
                <w:szCs w:val="16"/>
              </w:rPr>
            </w:pPr>
            <w:r>
              <w:rPr>
                <w:rFonts w:cs="Calibri"/>
                <w:sz w:val="16"/>
                <w:szCs w:val="16"/>
              </w:rPr>
              <w:t>M</w:t>
            </w:r>
          </w:p>
        </w:tc>
      </w:tr>
      <w:tr w:rsidR="00B97365" w14:paraId="34CDC479" w14:textId="77777777">
        <w:trPr>
          <w:cantSplit/>
        </w:trPr>
        <w:tc>
          <w:tcPr>
            <w:tcW w:w="479" w:type="pct"/>
            <w:tcBorders>
              <w:top w:val="single" w:sz="6" w:space="0" w:color="auto"/>
              <w:left w:val="single" w:sz="4" w:space="0" w:color="auto"/>
              <w:bottom w:val="single" w:sz="6" w:space="0" w:color="auto"/>
              <w:right w:val="single" w:sz="6" w:space="0" w:color="auto"/>
            </w:tcBorders>
          </w:tcPr>
          <w:p w14:paraId="1E1C2583"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38D7E28A"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4D1A9AB4"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10ADCBAD"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766B6EFB" w14:textId="77777777" w:rsidR="00B97365" w:rsidRDefault="00000000">
            <w:pPr>
              <w:rPr>
                <w:rFonts w:cs="Calibri"/>
                <w:sz w:val="16"/>
                <w:szCs w:val="16"/>
              </w:rPr>
            </w:pPr>
            <w:r>
              <w:rPr>
                <w:rFonts w:cs="Calibri"/>
                <w:sz w:val="16"/>
                <w:szCs w:val="16"/>
              </w:rPr>
              <w:t>'83'</w:t>
            </w:r>
          </w:p>
        </w:tc>
        <w:tc>
          <w:tcPr>
            <w:tcW w:w="468" w:type="pct"/>
            <w:tcBorders>
              <w:top w:val="single" w:sz="6" w:space="0" w:color="auto"/>
              <w:left w:val="single" w:sz="6" w:space="0" w:color="auto"/>
              <w:bottom w:val="single" w:sz="6" w:space="0" w:color="auto"/>
              <w:right w:val="single" w:sz="6" w:space="0" w:color="auto"/>
            </w:tcBorders>
            <w:hideMark/>
          </w:tcPr>
          <w:p w14:paraId="128D89CC" w14:textId="77777777" w:rsidR="00B97365" w:rsidRDefault="00000000">
            <w:pPr>
              <w:rPr>
                <w:rFonts w:cs="Calibri"/>
                <w:sz w:val="16"/>
                <w:szCs w:val="16"/>
              </w:rPr>
            </w:pPr>
            <w:r>
              <w:rPr>
                <w:rFonts w:cs="Calibri"/>
                <w:sz w:val="16"/>
                <w:szCs w:val="16"/>
              </w:rPr>
              <w:t>'01'</w:t>
            </w:r>
          </w:p>
        </w:tc>
        <w:tc>
          <w:tcPr>
            <w:tcW w:w="1963" w:type="pct"/>
            <w:tcBorders>
              <w:top w:val="single" w:sz="6" w:space="0" w:color="auto"/>
              <w:left w:val="single" w:sz="6" w:space="0" w:color="auto"/>
              <w:bottom w:val="single" w:sz="6" w:space="0" w:color="auto"/>
              <w:right w:val="single" w:sz="6" w:space="0" w:color="auto"/>
            </w:tcBorders>
            <w:hideMark/>
          </w:tcPr>
          <w:p w14:paraId="5AEC1F44" w14:textId="77777777" w:rsidR="00B97365" w:rsidRDefault="00000000">
            <w:pPr>
              <w:rPr>
                <w:rFonts w:cs="Calibri"/>
                <w:sz w:val="16"/>
                <w:szCs w:val="16"/>
              </w:rPr>
            </w:pPr>
            <w:r>
              <w:rPr>
                <w:rFonts w:cs="Calibri"/>
                <w:sz w:val="16"/>
                <w:szCs w:val="16"/>
              </w:rPr>
              <w:t>Key Version Number = '01' - '7F'</w:t>
            </w:r>
          </w:p>
        </w:tc>
        <w:tc>
          <w:tcPr>
            <w:tcW w:w="398" w:type="pct"/>
            <w:tcBorders>
              <w:top w:val="single" w:sz="6" w:space="0" w:color="auto"/>
              <w:left w:val="single" w:sz="6" w:space="0" w:color="auto"/>
              <w:bottom w:val="single" w:sz="6" w:space="0" w:color="auto"/>
              <w:right w:val="single" w:sz="4" w:space="0" w:color="auto"/>
            </w:tcBorders>
            <w:hideMark/>
          </w:tcPr>
          <w:p w14:paraId="2F784A79" w14:textId="77777777" w:rsidR="00B97365" w:rsidRDefault="00000000">
            <w:pPr>
              <w:jc w:val="center"/>
              <w:rPr>
                <w:rFonts w:cs="Calibri"/>
                <w:sz w:val="16"/>
                <w:szCs w:val="16"/>
              </w:rPr>
            </w:pPr>
            <w:r>
              <w:rPr>
                <w:rFonts w:cs="Calibri"/>
                <w:sz w:val="16"/>
                <w:szCs w:val="16"/>
              </w:rPr>
              <w:t>M</w:t>
            </w:r>
          </w:p>
        </w:tc>
      </w:tr>
      <w:tr w:rsidR="00B97365" w14:paraId="26E4C899" w14:textId="77777777">
        <w:trPr>
          <w:cantSplit/>
        </w:trPr>
        <w:tc>
          <w:tcPr>
            <w:tcW w:w="479" w:type="pct"/>
            <w:tcBorders>
              <w:top w:val="single" w:sz="6" w:space="0" w:color="auto"/>
              <w:left w:val="single" w:sz="4" w:space="0" w:color="auto"/>
              <w:bottom w:val="single" w:sz="6" w:space="0" w:color="auto"/>
              <w:right w:val="single" w:sz="6" w:space="0" w:color="auto"/>
            </w:tcBorders>
          </w:tcPr>
          <w:p w14:paraId="54F7187E"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26737F01"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37DC0C0D"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0FC71B87"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6477C47C" w14:textId="77777777" w:rsidR="00B97365" w:rsidRDefault="00000000">
            <w:pPr>
              <w:rPr>
                <w:rFonts w:cs="Calibri"/>
                <w:sz w:val="16"/>
                <w:szCs w:val="16"/>
              </w:rPr>
            </w:pPr>
            <w:r>
              <w:rPr>
                <w:rFonts w:cs="Calibri"/>
                <w:sz w:val="16"/>
                <w:szCs w:val="16"/>
              </w:rPr>
              <w:t>'91'</w:t>
            </w:r>
          </w:p>
        </w:tc>
        <w:tc>
          <w:tcPr>
            <w:tcW w:w="468" w:type="pct"/>
            <w:tcBorders>
              <w:top w:val="single" w:sz="6" w:space="0" w:color="auto"/>
              <w:left w:val="single" w:sz="6" w:space="0" w:color="auto"/>
              <w:bottom w:val="single" w:sz="6" w:space="0" w:color="auto"/>
              <w:right w:val="single" w:sz="6" w:space="0" w:color="auto"/>
            </w:tcBorders>
            <w:hideMark/>
          </w:tcPr>
          <w:p w14:paraId="61B9BCF6" w14:textId="77777777" w:rsidR="00B97365" w:rsidRDefault="00000000">
            <w:pPr>
              <w:rPr>
                <w:rFonts w:cs="Calibri"/>
                <w:sz w:val="16"/>
                <w:szCs w:val="16"/>
              </w:rPr>
            </w:pPr>
            <w:r>
              <w:rPr>
                <w:rFonts w:cs="Calibri"/>
                <w:sz w:val="16"/>
                <w:szCs w:val="16"/>
              </w:rPr>
              <w:t>'00', '02', '03', '05' or '08'</w:t>
            </w:r>
          </w:p>
        </w:tc>
        <w:tc>
          <w:tcPr>
            <w:tcW w:w="1963" w:type="pct"/>
            <w:tcBorders>
              <w:top w:val="single" w:sz="6" w:space="0" w:color="auto"/>
              <w:left w:val="single" w:sz="6" w:space="0" w:color="auto"/>
              <w:bottom w:val="single" w:sz="6" w:space="0" w:color="auto"/>
              <w:right w:val="single" w:sz="6" w:space="0" w:color="auto"/>
            </w:tcBorders>
            <w:hideMark/>
          </w:tcPr>
          <w:p w14:paraId="2D930322" w14:textId="77777777" w:rsidR="00B97365" w:rsidRDefault="00000000">
            <w:pPr>
              <w:rPr>
                <w:rFonts w:cs="Calibri"/>
                <w:sz w:val="16"/>
                <w:szCs w:val="16"/>
              </w:rPr>
            </w:pPr>
            <w:r>
              <w:rPr>
                <w:rFonts w:cs="Calibri"/>
                <w:sz w:val="16"/>
                <w:szCs w:val="16"/>
              </w:rPr>
              <w:t>Initial value of sequence counter</w:t>
            </w:r>
          </w:p>
        </w:tc>
        <w:tc>
          <w:tcPr>
            <w:tcW w:w="398" w:type="pct"/>
            <w:tcBorders>
              <w:top w:val="single" w:sz="6" w:space="0" w:color="auto"/>
              <w:left w:val="single" w:sz="6" w:space="0" w:color="auto"/>
              <w:bottom w:val="single" w:sz="6" w:space="0" w:color="auto"/>
              <w:right w:val="single" w:sz="4" w:space="0" w:color="auto"/>
            </w:tcBorders>
            <w:hideMark/>
          </w:tcPr>
          <w:p w14:paraId="7BEBFA0D" w14:textId="77777777" w:rsidR="00B97365" w:rsidRDefault="00000000">
            <w:pPr>
              <w:jc w:val="center"/>
              <w:rPr>
                <w:rFonts w:cs="Calibri"/>
                <w:sz w:val="16"/>
                <w:szCs w:val="16"/>
              </w:rPr>
            </w:pPr>
            <w:r>
              <w:rPr>
                <w:rFonts w:cs="Calibri"/>
                <w:sz w:val="16"/>
                <w:szCs w:val="16"/>
              </w:rPr>
              <w:t>M</w:t>
            </w:r>
          </w:p>
        </w:tc>
      </w:tr>
      <w:tr w:rsidR="00B97365" w14:paraId="1326A638" w14:textId="77777777">
        <w:trPr>
          <w:cantSplit/>
        </w:trPr>
        <w:tc>
          <w:tcPr>
            <w:tcW w:w="479" w:type="pct"/>
            <w:tcBorders>
              <w:top w:val="single" w:sz="6" w:space="0" w:color="auto"/>
              <w:left w:val="single" w:sz="4" w:space="0" w:color="auto"/>
              <w:bottom w:val="single" w:sz="6" w:space="0" w:color="auto"/>
              <w:right w:val="single" w:sz="6" w:space="0" w:color="auto"/>
            </w:tcBorders>
          </w:tcPr>
          <w:p w14:paraId="31F0636F"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6E236899"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5F70962A"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7D3DA857"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416FFEB4" w14:textId="77777777" w:rsidR="00B97365" w:rsidRDefault="00000000">
            <w:pPr>
              <w:rPr>
                <w:rFonts w:cs="Calibri"/>
                <w:sz w:val="16"/>
                <w:szCs w:val="16"/>
              </w:rPr>
            </w:pPr>
            <w:r>
              <w:rPr>
                <w:rFonts w:cs="Calibri"/>
                <w:sz w:val="16"/>
                <w:szCs w:val="16"/>
              </w:rPr>
              <w:t>'45'</w:t>
            </w:r>
          </w:p>
        </w:tc>
        <w:tc>
          <w:tcPr>
            <w:tcW w:w="468" w:type="pct"/>
            <w:tcBorders>
              <w:top w:val="single" w:sz="6" w:space="0" w:color="auto"/>
              <w:left w:val="single" w:sz="6" w:space="0" w:color="auto"/>
              <w:bottom w:val="single" w:sz="6" w:space="0" w:color="auto"/>
              <w:right w:val="single" w:sz="6" w:space="0" w:color="auto"/>
            </w:tcBorders>
            <w:hideMark/>
          </w:tcPr>
          <w:p w14:paraId="008B04DA" w14:textId="77777777" w:rsidR="00B97365" w:rsidRDefault="00000000">
            <w:pPr>
              <w:rPr>
                <w:rFonts w:cs="Calibri"/>
                <w:sz w:val="16"/>
                <w:szCs w:val="16"/>
              </w:rPr>
            </w:pPr>
            <w:r>
              <w:rPr>
                <w:rFonts w:cs="Calibri"/>
                <w:sz w:val="16"/>
                <w:szCs w:val="16"/>
              </w:rPr>
              <w:t>1-n</w:t>
            </w:r>
          </w:p>
        </w:tc>
        <w:tc>
          <w:tcPr>
            <w:tcW w:w="1963" w:type="pct"/>
            <w:tcBorders>
              <w:top w:val="single" w:sz="6" w:space="0" w:color="auto"/>
              <w:left w:val="single" w:sz="6" w:space="0" w:color="auto"/>
              <w:bottom w:val="single" w:sz="6" w:space="0" w:color="auto"/>
              <w:right w:val="single" w:sz="6" w:space="0" w:color="auto"/>
            </w:tcBorders>
            <w:hideMark/>
          </w:tcPr>
          <w:p w14:paraId="7045E148" w14:textId="77777777" w:rsidR="00B97365" w:rsidRDefault="00000000">
            <w:pPr>
              <w:rPr>
                <w:rFonts w:cs="Calibri"/>
                <w:sz w:val="16"/>
                <w:szCs w:val="16"/>
              </w:rPr>
            </w:pPr>
            <w:r>
              <w:rPr>
                <w:rFonts w:cs="Calibri"/>
                <w:sz w:val="16"/>
                <w:szCs w:val="16"/>
              </w:rPr>
              <w:t>Security Domain Image Number (SDIN)</w:t>
            </w:r>
          </w:p>
        </w:tc>
        <w:tc>
          <w:tcPr>
            <w:tcW w:w="398" w:type="pct"/>
            <w:tcBorders>
              <w:top w:val="single" w:sz="6" w:space="0" w:color="auto"/>
              <w:left w:val="single" w:sz="6" w:space="0" w:color="auto"/>
              <w:bottom w:val="single" w:sz="6" w:space="0" w:color="auto"/>
              <w:right w:val="single" w:sz="4" w:space="0" w:color="auto"/>
            </w:tcBorders>
            <w:hideMark/>
          </w:tcPr>
          <w:p w14:paraId="43E068F0" w14:textId="77777777" w:rsidR="00B97365" w:rsidRDefault="00000000">
            <w:pPr>
              <w:jc w:val="center"/>
              <w:rPr>
                <w:rFonts w:cs="Calibri"/>
                <w:sz w:val="16"/>
                <w:szCs w:val="16"/>
              </w:rPr>
            </w:pPr>
            <w:r>
              <w:rPr>
                <w:rFonts w:cs="Calibri"/>
                <w:sz w:val="16"/>
                <w:szCs w:val="16"/>
              </w:rPr>
              <w:t>O</w:t>
            </w:r>
          </w:p>
        </w:tc>
      </w:tr>
      <w:tr w:rsidR="00B97365" w14:paraId="033604EB" w14:textId="77777777">
        <w:trPr>
          <w:cantSplit/>
        </w:trPr>
        <w:tc>
          <w:tcPr>
            <w:tcW w:w="479" w:type="pct"/>
            <w:tcBorders>
              <w:top w:val="single" w:sz="6" w:space="0" w:color="auto"/>
              <w:left w:val="single" w:sz="4" w:space="0" w:color="auto"/>
              <w:bottom w:val="single" w:sz="6" w:space="0" w:color="auto"/>
              <w:right w:val="single" w:sz="6" w:space="0" w:color="auto"/>
            </w:tcBorders>
          </w:tcPr>
          <w:p w14:paraId="4CC35C74"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7DBEAB20"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16B7D46D"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255D1F5C"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hideMark/>
          </w:tcPr>
          <w:p w14:paraId="0088C406" w14:textId="77777777" w:rsidR="00B97365" w:rsidRDefault="00000000">
            <w:pPr>
              <w:rPr>
                <w:rFonts w:cs="Calibri"/>
                <w:sz w:val="16"/>
                <w:szCs w:val="16"/>
              </w:rPr>
            </w:pPr>
            <w:r>
              <w:rPr>
                <w:rFonts w:cs="Calibri"/>
                <w:sz w:val="16"/>
                <w:szCs w:val="16"/>
              </w:rPr>
              <w:t>'84'</w:t>
            </w:r>
          </w:p>
        </w:tc>
        <w:tc>
          <w:tcPr>
            <w:tcW w:w="468" w:type="pct"/>
            <w:tcBorders>
              <w:top w:val="single" w:sz="6" w:space="0" w:color="auto"/>
              <w:left w:val="single" w:sz="6" w:space="0" w:color="auto"/>
              <w:bottom w:val="single" w:sz="6" w:space="0" w:color="auto"/>
              <w:right w:val="single" w:sz="6" w:space="0" w:color="auto"/>
            </w:tcBorders>
            <w:hideMark/>
          </w:tcPr>
          <w:p w14:paraId="19D4C51E" w14:textId="77777777" w:rsidR="00B97365" w:rsidRDefault="00000000">
            <w:pPr>
              <w:rPr>
                <w:rFonts w:cs="Calibri"/>
                <w:sz w:val="16"/>
                <w:szCs w:val="16"/>
              </w:rPr>
            </w:pPr>
            <w:r>
              <w:rPr>
                <w:rFonts w:cs="Calibri"/>
                <w:sz w:val="16"/>
                <w:szCs w:val="16"/>
              </w:rPr>
              <w:t>1-n</w:t>
            </w:r>
          </w:p>
        </w:tc>
        <w:tc>
          <w:tcPr>
            <w:tcW w:w="1963" w:type="pct"/>
            <w:tcBorders>
              <w:top w:val="single" w:sz="6" w:space="0" w:color="auto"/>
              <w:left w:val="single" w:sz="6" w:space="0" w:color="auto"/>
              <w:bottom w:val="single" w:sz="6" w:space="0" w:color="auto"/>
              <w:right w:val="single" w:sz="6" w:space="0" w:color="auto"/>
            </w:tcBorders>
            <w:hideMark/>
          </w:tcPr>
          <w:p w14:paraId="129AC673" w14:textId="77777777" w:rsidR="00B97365" w:rsidRDefault="00000000">
            <w:pPr>
              <w:rPr>
                <w:rFonts w:cs="Calibri"/>
                <w:sz w:val="16"/>
                <w:szCs w:val="16"/>
              </w:rPr>
            </w:pPr>
            <w:r>
              <w:rPr>
                <w:rFonts w:cs="Calibri"/>
                <w:sz w:val="16"/>
                <w:szCs w:val="16"/>
              </w:rPr>
              <w:t>HostID (SHALL only be present if scenario parameter b3 is set)</w:t>
            </w:r>
          </w:p>
        </w:tc>
        <w:tc>
          <w:tcPr>
            <w:tcW w:w="398" w:type="pct"/>
            <w:tcBorders>
              <w:top w:val="single" w:sz="6" w:space="0" w:color="auto"/>
              <w:left w:val="single" w:sz="6" w:space="0" w:color="auto"/>
              <w:bottom w:val="single" w:sz="6" w:space="0" w:color="auto"/>
              <w:right w:val="single" w:sz="4" w:space="0" w:color="auto"/>
            </w:tcBorders>
            <w:hideMark/>
          </w:tcPr>
          <w:p w14:paraId="56BBF1BF" w14:textId="77777777" w:rsidR="00B97365" w:rsidRDefault="00000000">
            <w:pPr>
              <w:jc w:val="center"/>
              <w:rPr>
                <w:rFonts w:cs="Calibri"/>
                <w:sz w:val="16"/>
                <w:szCs w:val="16"/>
              </w:rPr>
            </w:pPr>
            <w:r>
              <w:rPr>
                <w:rFonts w:cs="Calibri"/>
                <w:sz w:val="16"/>
                <w:szCs w:val="16"/>
              </w:rPr>
              <w:t>C</w:t>
            </w:r>
          </w:p>
        </w:tc>
      </w:tr>
      <w:tr w:rsidR="00B97365" w14:paraId="4FC3941A" w14:textId="77777777">
        <w:trPr>
          <w:cantSplit/>
        </w:trPr>
        <w:tc>
          <w:tcPr>
            <w:tcW w:w="479" w:type="pct"/>
            <w:tcBorders>
              <w:top w:val="single" w:sz="6" w:space="0" w:color="auto"/>
              <w:left w:val="single" w:sz="4" w:space="0" w:color="auto"/>
              <w:bottom w:val="single" w:sz="6" w:space="0" w:color="auto"/>
              <w:right w:val="single" w:sz="6" w:space="0" w:color="auto"/>
            </w:tcBorders>
          </w:tcPr>
          <w:p w14:paraId="4A6762F8" w14:textId="77777777" w:rsidR="00B97365" w:rsidRDefault="00B97365">
            <w:pPr>
              <w:rPr>
                <w:rFonts w:cs="Calibri"/>
                <w:sz w:val="16"/>
                <w:szCs w:val="16"/>
              </w:rPr>
            </w:pPr>
          </w:p>
        </w:tc>
        <w:tc>
          <w:tcPr>
            <w:tcW w:w="519" w:type="pct"/>
            <w:tcBorders>
              <w:top w:val="single" w:sz="6" w:space="0" w:color="auto"/>
              <w:left w:val="single" w:sz="6" w:space="0" w:color="auto"/>
              <w:bottom w:val="single" w:sz="6" w:space="0" w:color="auto"/>
              <w:right w:val="single" w:sz="6" w:space="0" w:color="auto"/>
            </w:tcBorders>
          </w:tcPr>
          <w:p w14:paraId="7B4C9564" w14:textId="77777777" w:rsidR="00B97365" w:rsidRDefault="00B97365">
            <w:pPr>
              <w:rPr>
                <w:rFonts w:cs="Calibri"/>
                <w:sz w:val="16"/>
                <w:szCs w:val="16"/>
              </w:rPr>
            </w:pPr>
          </w:p>
        </w:tc>
        <w:tc>
          <w:tcPr>
            <w:tcW w:w="366" w:type="pct"/>
            <w:tcBorders>
              <w:top w:val="single" w:sz="6" w:space="0" w:color="auto"/>
              <w:left w:val="single" w:sz="6" w:space="0" w:color="auto"/>
              <w:bottom w:val="single" w:sz="6" w:space="0" w:color="auto"/>
              <w:right w:val="single" w:sz="6" w:space="0" w:color="auto"/>
            </w:tcBorders>
          </w:tcPr>
          <w:p w14:paraId="440C113E" w14:textId="77777777" w:rsidR="00B97365" w:rsidRDefault="00B97365">
            <w:pPr>
              <w:rPr>
                <w:rFonts w:cs="Calibri"/>
                <w:sz w:val="16"/>
                <w:szCs w:val="16"/>
              </w:rPr>
            </w:pPr>
          </w:p>
        </w:tc>
        <w:tc>
          <w:tcPr>
            <w:tcW w:w="438" w:type="pct"/>
            <w:tcBorders>
              <w:top w:val="single" w:sz="6" w:space="0" w:color="auto"/>
              <w:left w:val="single" w:sz="6" w:space="0" w:color="auto"/>
              <w:bottom w:val="single" w:sz="6" w:space="0" w:color="auto"/>
              <w:right w:val="single" w:sz="6" w:space="0" w:color="auto"/>
            </w:tcBorders>
          </w:tcPr>
          <w:p w14:paraId="1DFE515D" w14:textId="77777777" w:rsidR="00B97365" w:rsidRDefault="00B97365">
            <w:pPr>
              <w:rPr>
                <w:rFonts w:cs="Calibri"/>
                <w:sz w:val="16"/>
                <w:szCs w:val="16"/>
              </w:rPr>
            </w:pPr>
          </w:p>
        </w:tc>
        <w:tc>
          <w:tcPr>
            <w:tcW w:w="369" w:type="pct"/>
            <w:tcBorders>
              <w:top w:val="single" w:sz="6" w:space="0" w:color="auto"/>
              <w:left w:val="single" w:sz="6" w:space="0" w:color="auto"/>
              <w:bottom w:val="single" w:sz="6" w:space="0" w:color="auto"/>
              <w:right w:val="single" w:sz="6" w:space="0" w:color="auto"/>
            </w:tcBorders>
          </w:tcPr>
          <w:p w14:paraId="40842E75" w14:textId="77777777" w:rsidR="00B97365" w:rsidRDefault="00B97365">
            <w:pPr>
              <w:rPr>
                <w:rFonts w:cs="Calibri"/>
                <w:sz w:val="16"/>
                <w:szCs w:val="16"/>
              </w:rPr>
            </w:pPr>
          </w:p>
        </w:tc>
        <w:tc>
          <w:tcPr>
            <w:tcW w:w="468" w:type="pct"/>
            <w:tcBorders>
              <w:top w:val="single" w:sz="6" w:space="0" w:color="auto"/>
              <w:left w:val="single" w:sz="6" w:space="0" w:color="auto"/>
              <w:bottom w:val="single" w:sz="6" w:space="0" w:color="auto"/>
              <w:right w:val="single" w:sz="6" w:space="0" w:color="auto"/>
            </w:tcBorders>
          </w:tcPr>
          <w:p w14:paraId="29F717E5" w14:textId="77777777" w:rsidR="00B97365" w:rsidRDefault="00B97365">
            <w:pPr>
              <w:rPr>
                <w:rFonts w:cs="Calibri"/>
                <w:sz w:val="16"/>
                <w:szCs w:val="16"/>
              </w:rPr>
            </w:pPr>
          </w:p>
        </w:tc>
        <w:tc>
          <w:tcPr>
            <w:tcW w:w="1963" w:type="pct"/>
            <w:tcBorders>
              <w:top w:val="single" w:sz="6" w:space="0" w:color="auto"/>
              <w:left w:val="single" w:sz="6" w:space="0" w:color="auto"/>
              <w:bottom w:val="single" w:sz="6" w:space="0" w:color="auto"/>
              <w:right w:val="single" w:sz="6" w:space="0" w:color="auto"/>
            </w:tcBorders>
          </w:tcPr>
          <w:p w14:paraId="075C7A6C" w14:textId="77777777" w:rsidR="00B97365" w:rsidRDefault="00B97365">
            <w:pPr>
              <w:rPr>
                <w:rFonts w:cs="Calibri"/>
                <w:sz w:val="16"/>
                <w:szCs w:val="16"/>
              </w:rPr>
            </w:pPr>
          </w:p>
        </w:tc>
        <w:tc>
          <w:tcPr>
            <w:tcW w:w="398" w:type="pct"/>
            <w:tcBorders>
              <w:top w:val="single" w:sz="6" w:space="0" w:color="auto"/>
              <w:left w:val="single" w:sz="6" w:space="0" w:color="auto"/>
              <w:bottom w:val="single" w:sz="6" w:space="0" w:color="auto"/>
              <w:right w:val="single" w:sz="4" w:space="0" w:color="auto"/>
            </w:tcBorders>
          </w:tcPr>
          <w:p w14:paraId="01D126A1" w14:textId="77777777" w:rsidR="00B97365" w:rsidRDefault="00B97365">
            <w:pPr>
              <w:jc w:val="center"/>
              <w:rPr>
                <w:rFonts w:cs="Calibri"/>
                <w:sz w:val="16"/>
                <w:szCs w:val="16"/>
              </w:rPr>
            </w:pPr>
          </w:p>
        </w:tc>
      </w:tr>
      <w:tr w:rsidR="00B97365" w14:paraId="4FEA1F4E" w14:textId="77777777">
        <w:trPr>
          <w:cantSplit/>
        </w:trPr>
        <w:tc>
          <w:tcPr>
            <w:tcW w:w="479" w:type="pct"/>
            <w:tcBorders>
              <w:top w:val="single" w:sz="6" w:space="0" w:color="auto"/>
              <w:left w:val="single" w:sz="4" w:space="0" w:color="auto"/>
              <w:bottom w:val="single" w:sz="6" w:space="0" w:color="auto"/>
              <w:right w:val="single" w:sz="6" w:space="0" w:color="auto"/>
            </w:tcBorders>
            <w:hideMark/>
          </w:tcPr>
          <w:p w14:paraId="1D158A55" w14:textId="77777777" w:rsidR="00B97365" w:rsidRDefault="00000000">
            <w:pPr>
              <w:rPr>
                <w:rFonts w:cs="Calibri"/>
                <w:sz w:val="16"/>
                <w:szCs w:val="16"/>
              </w:rPr>
            </w:pPr>
            <w:r>
              <w:rPr>
                <w:rFonts w:cs="Calibri"/>
                <w:sz w:val="16"/>
                <w:szCs w:val="16"/>
              </w:rPr>
              <w:t>'7F49'</w:t>
            </w:r>
          </w:p>
        </w:tc>
        <w:tc>
          <w:tcPr>
            <w:tcW w:w="519" w:type="pct"/>
            <w:tcBorders>
              <w:top w:val="single" w:sz="6" w:space="0" w:color="auto"/>
              <w:left w:val="single" w:sz="6" w:space="0" w:color="auto"/>
              <w:bottom w:val="single" w:sz="6" w:space="0" w:color="auto"/>
              <w:right w:val="single" w:sz="6" w:space="0" w:color="auto"/>
            </w:tcBorders>
            <w:hideMark/>
          </w:tcPr>
          <w:p w14:paraId="5E68A409" w14:textId="77777777" w:rsidR="00B97365" w:rsidRDefault="00000000">
            <w:pPr>
              <w:rPr>
                <w:rFonts w:cs="Calibri"/>
                <w:sz w:val="16"/>
                <w:szCs w:val="16"/>
              </w:rPr>
            </w:pPr>
            <w:r>
              <w:rPr>
                <w:rFonts w:cs="Calibri"/>
                <w:sz w:val="16"/>
                <w:szCs w:val="16"/>
              </w:rPr>
              <w:t>Var</w:t>
            </w:r>
          </w:p>
        </w:tc>
        <w:tc>
          <w:tcPr>
            <w:tcW w:w="3604" w:type="pct"/>
            <w:gridSpan w:val="5"/>
            <w:tcBorders>
              <w:top w:val="single" w:sz="6" w:space="0" w:color="auto"/>
              <w:left w:val="single" w:sz="6" w:space="0" w:color="auto"/>
              <w:bottom w:val="single" w:sz="6" w:space="0" w:color="auto"/>
              <w:right w:val="single" w:sz="6" w:space="0" w:color="auto"/>
            </w:tcBorders>
            <w:hideMark/>
          </w:tcPr>
          <w:p w14:paraId="6F69E035" w14:textId="77777777" w:rsidR="00B97365" w:rsidRDefault="00000000">
            <w:pPr>
              <w:rPr>
                <w:rFonts w:cs="Calibri"/>
                <w:sz w:val="16"/>
                <w:szCs w:val="16"/>
              </w:rPr>
            </w:pPr>
            <w:r>
              <w:rPr>
                <w:rFonts w:cs="Calibri"/>
                <w:sz w:val="16"/>
                <w:szCs w:val="16"/>
              </w:rPr>
              <w:t>ePK.DP.ECKA</w:t>
            </w:r>
          </w:p>
        </w:tc>
        <w:tc>
          <w:tcPr>
            <w:tcW w:w="398" w:type="pct"/>
            <w:tcBorders>
              <w:top w:val="single" w:sz="6" w:space="0" w:color="auto"/>
              <w:left w:val="single" w:sz="6" w:space="0" w:color="auto"/>
              <w:bottom w:val="single" w:sz="6" w:space="0" w:color="auto"/>
              <w:right w:val="single" w:sz="4" w:space="0" w:color="auto"/>
            </w:tcBorders>
            <w:hideMark/>
          </w:tcPr>
          <w:p w14:paraId="4BCB4385" w14:textId="77777777" w:rsidR="00B97365" w:rsidRDefault="00000000">
            <w:pPr>
              <w:jc w:val="center"/>
              <w:rPr>
                <w:rFonts w:cs="Calibri"/>
                <w:sz w:val="16"/>
                <w:szCs w:val="16"/>
              </w:rPr>
            </w:pPr>
            <w:r>
              <w:rPr>
                <w:rFonts w:cs="Calibri"/>
                <w:sz w:val="16"/>
                <w:szCs w:val="16"/>
              </w:rPr>
              <w:t>M</w:t>
            </w:r>
          </w:p>
        </w:tc>
      </w:tr>
      <w:tr w:rsidR="00B97365" w14:paraId="2DF8B2DA" w14:textId="77777777">
        <w:trPr>
          <w:cantSplit/>
        </w:trPr>
        <w:tc>
          <w:tcPr>
            <w:tcW w:w="479" w:type="pct"/>
            <w:tcBorders>
              <w:top w:val="single" w:sz="6" w:space="0" w:color="auto"/>
              <w:left w:val="single" w:sz="4" w:space="0" w:color="auto"/>
              <w:bottom w:val="single" w:sz="4" w:space="0" w:color="auto"/>
              <w:right w:val="single" w:sz="6" w:space="0" w:color="auto"/>
            </w:tcBorders>
            <w:hideMark/>
          </w:tcPr>
          <w:p w14:paraId="63BFD2F1" w14:textId="77777777" w:rsidR="00B97365" w:rsidRDefault="00000000">
            <w:pPr>
              <w:rPr>
                <w:rFonts w:cs="Calibri"/>
                <w:sz w:val="16"/>
                <w:szCs w:val="16"/>
              </w:rPr>
            </w:pPr>
            <w:r>
              <w:rPr>
                <w:rFonts w:cs="Calibri"/>
                <w:sz w:val="16"/>
                <w:szCs w:val="16"/>
              </w:rPr>
              <w:t>'5F37'</w:t>
            </w:r>
          </w:p>
        </w:tc>
        <w:tc>
          <w:tcPr>
            <w:tcW w:w="519" w:type="pct"/>
            <w:tcBorders>
              <w:top w:val="single" w:sz="6" w:space="0" w:color="auto"/>
              <w:left w:val="single" w:sz="6" w:space="0" w:color="auto"/>
              <w:bottom w:val="single" w:sz="4" w:space="0" w:color="auto"/>
              <w:right w:val="single" w:sz="6" w:space="0" w:color="auto"/>
            </w:tcBorders>
            <w:hideMark/>
          </w:tcPr>
          <w:p w14:paraId="510C5F10" w14:textId="77777777" w:rsidR="00B97365" w:rsidRDefault="00000000">
            <w:pPr>
              <w:rPr>
                <w:rFonts w:cs="Calibri"/>
                <w:sz w:val="16"/>
                <w:szCs w:val="16"/>
              </w:rPr>
            </w:pPr>
            <w:r>
              <w:rPr>
                <w:rFonts w:cs="Calibri"/>
                <w:sz w:val="16"/>
                <w:szCs w:val="16"/>
              </w:rPr>
              <w:t>Var.</w:t>
            </w:r>
          </w:p>
        </w:tc>
        <w:tc>
          <w:tcPr>
            <w:tcW w:w="3604" w:type="pct"/>
            <w:gridSpan w:val="5"/>
            <w:tcBorders>
              <w:top w:val="single" w:sz="6" w:space="0" w:color="auto"/>
              <w:left w:val="single" w:sz="6" w:space="0" w:color="auto"/>
              <w:bottom w:val="single" w:sz="4" w:space="0" w:color="auto"/>
              <w:right w:val="single" w:sz="6" w:space="0" w:color="auto"/>
            </w:tcBorders>
            <w:hideMark/>
          </w:tcPr>
          <w:p w14:paraId="62A7B7C9" w14:textId="77777777" w:rsidR="00B97365" w:rsidRDefault="00000000">
            <w:pPr>
              <w:rPr>
                <w:rFonts w:cs="Calibri"/>
                <w:sz w:val="16"/>
                <w:szCs w:val="16"/>
              </w:rPr>
            </w:pPr>
            <w:r>
              <w:rPr>
                <w:rFonts w:cs="Calibri"/>
                <w:sz w:val="16"/>
                <w:szCs w:val="16"/>
              </w:rPr>
              <w:t>Signature</w:t>
            </w:r>
          </w:p>
        </w:tc>
        <w:tc>
          <w:tcPr>
            <w:tcW w:w="398" w:type="pct"/>
            <w:tcBorders>
              <w:top w:val="single" w:sz="6" w:space="0" w:color="auto"/>
              <w:left w:val="single" w:sz="6" w:space="0" w:color="auto"/>
              <w:bottom w:val="single" w:sz="4" w:space="0" w:color="auto"/>
              <w:right w:val="single" w:sz="4" w:space="0" w:color="auto"/>
            </w:tcBorders>
            <w:hideMark/>
          </w:tcPr>
          <w:p w14:paraId="57428517" w14:textId="77777777" w:rsidR="00B97365" w:rsidRDefault="00000000">
            <w:pPr>
              <w:jc w:val="center"/>
              <w:rPr>
                <w:rFonts w:cs="Calibri"/>
                <w:sz w:val="16"/>
                <w:szCs w:val="16"/>
              </w:rPr>
            </w:pPr>
            <w:r>
              <w:rPr>
                <w:rFonts w:cs="Calibri"/>
                <w:sz w:val="16"/>
                <w:szCs w:val="16"/>
              </w:rPr>
              <w:t>M</w:t>
            </w:r>
          </w:p>
        </w:tc>
      </w:tr>
    </w:tbl>
    <w:p w14:paraId="38F21376"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Send SM-DP Certificate Data Field</w:t>
      </w:r>
    </w:p>
    <w:p w14:paraId="39E16D89" w14:textId="1F32D346" w:rsidR="00B97365" w:rsidRDefault="00000000">
      <w:pPr>
        <w:spacing w:before="0" w:after="200" w:line="276" w:lineRule="auto"/>
        <w:jc w:val="left"/>
        <w:rPr>
          <w:szCs w:val="22"/>
          <w:lang w:val="en-US" w:eastAsia="en-GB" w:bidi="ar-SA"/>
        </w:rPr>
      </w:pPr>
      <w:r>
        <w:rPr>
          <w:rFonts w:cs="Arial"/>
          <w:szCs w:val="22"/>
          <w:lang w:val="en-US" w:eastAsia="en-GB" w:bidi="ar-SA"/>
        </w:rPr>
        <w:t xml:space="preserve">The following TLV-encoded data are signed off-card with SK.DP. ECDSA to generate the content of DGI '5F37' (signature), as described in GlobalPlatform Card Specification Amendment E </w:t>
      </w:r>
      <w:r>
        <w:fldChar w:fldCharType="begin"/>
      </w:r>
      <w:r>
        <w:rPr>
          <w:szCs w:val="22"/>
          <w:lang w:val="en-US" w:eastAsia="en-GB" w:bidi="ar-SA"/>
        </w:rPr>
        <w:instrText xml:space="preserve"> REF _Ref421632038 \r \h </w:instrText>
      </w:r>
      <w:r>
        <w:fldChar w:fldCharType="separate"/>
      </w:r>
      <w:r w:rsidR="001D5AD9">
        <w:rPr>
          <w:szCs w:val="22"/>
          <w:lang w:val="en-US" w:eastAsia="en-GB" w:bidi="ar-SA"/>
        </w:rPr>
        <w:t>[11]</w:t>
      </w:r>
      <w:r>
        <w:fldChar w:fldCharType="end"/>
      </w:r>
      <w:r>
        <w:rPr>
          <w:szCs w:val="22"/>
          <w:lang w:val="en-US" w:eastAsia="en-GB" w:bidi="ar-SA"/>
        </w:rPr>
        <w:t>:</w:t>
      </w:r>
    </w:p>
    <w:tbl>
      <w:tblPr>
        <w:tblpPr w:leftFromText="180" w:rightFromText="180" w:vertAnchor="text" w:horzAnchor="margin" w:tblpY="98"/>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851"/>
        <w:gridCol w:w="850"/>
        <w:gridCol w:w="851"/>
        <w:gridCol w:w="850"/>
        <w:gridCol w:w="709"/>
        <w:gridCol w:w="709"/>
        <w:gridCol w:w="709"/>
        <w:gridCol w:w="3651"/>
      </w:tblGrid>
      <w:tr w:rsidR="00B97365" w14:paraId="5CC9E166" w14:textId="77777777">
        <w:trPr>
          <w:trHeight w:val="141"/>
        </w:trPr>
        <w:tc>
          <w:tcPr>
            <w:tcW w:w="709" w:type="dxa"/>
            <w:tcBorders>
              <w:top w:val="single" w:sz="4" w:space="0" w:color="auto"/>
              <w:left w:val="single" w:sz="4" w:space="0" w:color="auto"/>
              <w:bottom w:val="single" w:sz="4" w:space="0" w:color="auto"/>
              <w:right w:val="single" w:sz="4" w:space="0" w:color="auto"/>
            </w:tcBorders>
            <w:shd w:val="clear" w:color="auto" w:fill="C00000"/>
            <w:hideMark/>
          </w:tcPr>
          <w:p w14:paraId="1833E82E" w14:textId="77777777" w:rsidR="00B97365" w:rsidRDefault="00000000">
            <w:pPr>
              <w:jc w:val="center"/>
              <w:rPr>
                <w:rFonts w:cs="Calibri"/>
                <w:b/>
                <w:color w:val="FFFFFF" w:themeColor="background1"/>
                <w:sz w:val="16"/>
                <w:szCs w:val="16"/>
              </w:rPr>
            </w:pPr>
            <w:r>
              <w:rPr>
                <w:rFonts w:cs="Calibri"/>
                <w:b/>
                <w:color w:val="FFFFFF" w:themeColor="background1"/>
                <w:sz w:val="16"/>
                <w:szCs w:val="16"/>
              </w:rPr>
              <w:t>b8</w:t>
            </w:r>
          </w:p>
        </w:tc>
        <w:tc>
          <w:tcPr>
            <w:tcW w:w="851" w:type="dxa"/>
            <w:tcBorders>
              <w:top w:val="single" w:sz="4" w:space="0" w:color="auto"/>
              <w:left w:val="single" w:sz="4" w:space="0" w:color="auto"/>
              <w:bottom w:val="single" w:sz="4" w:space="0" w:color="auto"/>
              <w:right w:val="single" w:sz="4" w:space="0" w:color="auto"/>
            </w:tcBorders>
            <w:shd w:val="clear" w:color="auto" w:fill="C00000"/>
            <w:hideMark/>
          </w:tcPr>
          <w:p w14:paraId="1A5EE429" w14:textId="77777777" w:rsidR="00B97365" w:rsidRDefault="00000000">
            <w:pPr>
              <w:jc w:val="center"/>
              <w:rPr>
                <w:rFonts w:cs="Calibri"/>
                <w:b/>
                <w:color w:val="FFFFFF" w:themeColor="background1"/>
                <w:sz w:val="16"/>
                <w:szCs w:val="16"/>
              </w:rPr>
            </w:pPr>
            <w:r>
              <w:rPr>
                <w:rFonts w:cs="Calibri"/>
                <w:b/>
                <w:color w:val="FFFFFF" w:themeColor="background1"/>
                <w:sz w:val="16"/>
                <w:szCs w:val="16"/>
              </w:rPr>
              <w:t xml:space="preserve">b7 </w:t>
            </w:r>
          </w:p>
        </w:tc>
        <w:tc>
          <w:tcPr>
            <w:tcW w:w="850" w:type="dxa"/>
            <w:tcBorders>
              <w:top w:val="single" w:sz="4" w:space="0" w:color="auto"/>
              <w:left w:val="single" w:sz="4" w:space="0" w:color="auto"/>
              <w:bottom w:val="single" w:sz="4" w:space="0" w:color="auto"/>
              <w:right w:val="single" w:sz="4" w:space="0" w:color="auto"/>
            </w:tcBorders>
            <w:shd w:val="clear" w:color="auto" w:fill="C00000"/>
            <w:hideMark/>
          </w:tcPr>
          <w:p w14:paraId="4563BC41" w14:textId="77777777" w:rsidR="00B97365" w:rsidRDefault="00000000">
            <w:pPr>
              <w:jc w:val="center"/>
              <w:rPr>
                <w:rFonts w:cs="Calibri"/>
                <w:b/>
                <w:color w:val="FFFFFF" w:themeColor="background1"/>
                <w:sz w:val="16"/>
                <w:szCs w:val="16"/>
              </w:rPr>
            </w:pPr>
            <w:r>
              <w:rPr>
                <w:rFonts w:cs="Calibri"/>
                <w:b/>
                <w:color w:val="FFFFFF" w:themeColor="background1"/>
                <w:sz w:val="16"/>
                <w:szCs w:val="16"/>
              </w:rPr>
              <w:t xml:space="preserve">b6 </w:t>
            </w:r>
          </w:p>
        </w:tc>
        <w:tc>
          <w:tcPr>
            <w:tcW w:w="851" w:type="dxa"/>
            <w:tcBorders>
              <w:top w:val="single" w:sz="4" w:space="0" w:color="auto"/>
              <w:left w:val="single" w:sz="4" w:space="0" w:color="auto"/>
              <w:bottom w:val="single" w:sz="4" w:space="0" w:color="auto"/>
              <w:right w:val="single" w:sz="4" w:space="0" w:color="auto"/>
            </w:tcBorders>
            <w:shd w:val="clear" w:color="auto" w:fill="C00000"/>
            <w:hideMark/>
          </w:tcPr>
          <w:p w14:paraId="1E39EEC5" w14:textId="77777777" w:rsidR="00B97365" w:rsidRDefault="00000000">
            <w:pPr>
              <w:jc w:val="center"/>
              <w:rPr>
                <w:rFonts w:cs="Calibri"/>
                <w:b/>
                <w:color w:val="FFFFFF" w:themeColor="background1"/>
                <w:sz w:val="16"/>
                <w:szCs w:val="16"/>
              </w:rPr>
            </w:pPr>
            <w:r>
              <w:rPr>
                <w:rFonts w:cs="Calibri"/>
                <w:b/>
                <w:color w:val="FFFFFF" w:themeColor="background1"/>
                <w:sz w:val="16"/>
                <w:szCs w:val="16"/>
              </w:rPr>
              <w:t xml:space="preserve">b5 </w:t>
            </w:r>
          </w:p>
        </w:tc>
        <w:tc>
          <w:tcPr>
            <w:tcW w:w="850" w:type="dxa"/>
            <w:tcBorders>
              <w:top w:val="single" w:sz="4" w:space="0" w:color="auto"/>
              <w:left w:val="single" w:sz="4" w:space="0" w:color="auto"/>
              <w:bottom w:val="single" w:sz="4" w:space="0" w:color="auto"/>
              <w:right w:val="single" w:sz="4" w:space="0" w:color="auto"/>
            </w:tcBorders>
            <w:shd w:val="clear" w:color="auto" w:fill="C00000"/>
            <w:hideMark/>
          </w:tcPr>
          <w:p w14:paraId="2F89B749" w14:textId="77777777" w:rsidR="00B97365" w:rsidRDefault="00000000">
            <w:pPr>
              <w:jc w:val="center"/>
              <w:rPr>
                <w:rFonts w:cs="Calibri"/>
                <w:b/>
                <w:color w:val="FFFFFF" w:themeColor="background1"/>
                <w:sz w:val="16"/>
                <w:szCs w:val="16"/>
              </w:rPr>
            </w:pPr>
            <w:r>
              <w:rPr>
                <w:rFonts w:cs="Calibri"/>
                <w:b/>
                <w:color w:val="FFFFFF" w:themeColor="background1"/>
                <w:sz w:val="16"/>
                <w:szCs w:val="16"/>
              </w:rPr>
              <w:t>b4</w:t>
            </w:r>
          </w:p>
        </w:tc>
        <w:tc>
          <w:tcPr>
            <w:tcW w:w="709" w:type="dxa"/>
            <w:tcBorders>
              <w:top w:val="single" w:sz="4" w:space="0" w:color="auto"/>
              <w:left w:val="single" w:sz="4" w:space="0" w:color="auto"/>
              <w:bottom w:val="single" w:sz="4" w:space="0" w:color="auto"/>
              <w:right w:val="single" w:sz="4" w:space="0" w:color="auto"/>
            </w:tcBorders>
            <w:shd w:val="clear" w:color="auto" w:fill="C00000"/>
            <w:hideMark/>
          </w:tcPr>
          <w:p w14:paraId="51493C71" w14:textId="77777777" w:rsidR="00B97365" w:rsidRDefault="00000000">
            <w:pPr>
              <w:jc w:val="center"/>
              <w:rPr>
                <w:rFonts w:cs="Calibri"/>
                <w:b/>
                <w:color w:val="FFFFFF" w:themeColor="background1"/>
                <w:sz w:val="16"/>
                <w:szCs w:val="16"/>
              </w:rPr>
            </w:pPr>
            <w:r>
              <w:rPr>
                <w:rFonts w:cs="Calibri"/>
                <w:b/>
                <w:color w:val="FFFFFF" w:themeColor="background1"/>
                <w:sz w:val="16"/>
                <w:szCs w:val="16"/>
              </w:rPr>
              <w:t xml:space="preserve">b3 </w:t>
            </w:r>
          </w:p>
        </w:tc>
        <w:tc>
          <w:tcPr>
            <w:tcW w:w="709" w:type="dxa"/>
            <w:tcBorders>
              <w:top w:val="single" w:sz="4" w:space="0" w:color="auto"/>
              <w:left w:val="single" w:sz="4" w:space="0" w:color="auto"/>
              <w:bottom w:val="single" w:sz="4" w:space="0" w:color="auto"/>
              <w:right w:val="single" w:sz="4" w:space="0" w:color="auto"/>
            </w:tcBorders>
            <w:shd w:val="clear" w:color="auto" w:fill="C00000"/>
            <w:hideMark/>
          </w:tcPr>
          <w:p w14:paraId="01A09B7D" w14:textId="77777777" w:rsidR="00B97365" w:rsidRDefault="00000000">
            <w:pPr>
              <w:jc w:val="center"/>
              <w:rPr>
                <w:rFonts w:cs="Calibri"/>
                <w:b/>
                <w:color w:val="FFFFFF" w:themeColor="background1"/>
                <w:sz w:val="16"/>
                <w:szCs w:val="16"/>
              </w:rPr>
            </w:pPr>
            <w:r>
              <w:rPr>
                <w:rFonts w:cs="Calibri"/>
                <w:b/>
                <w:color w:val="FFFFFF" w:themeColor="background1"/>
                <w:sz w:val="16"/>
                <w:szCs w:val="16"/>
              </w:rPr>
              <w:t xml:space="preserve">b2 </w:t>
            </w:r>
          </w:p>
        </w:tc>
        <w:tc>
          <w:tcPr>
            <w:tcW w:w="709" w:type="dxa"/>
            <w:tcBorders>
              <w:top w:val="single" w:sz="4" w:space="0" w:color="auto"/>
              <w:left w:val="single" w:sz="4" w:space="0" w:color="auto"/>
              <w:bottom w:val="single" w:sz="4" w:space="0" w:color="auto"/>
              <w:right w:val="single" w:sz="4" w:space="0" w:color="auto"/>
            </w:tcBorders>
            <w:shd w:val="clear" w:color="auto" w:fill="C00000"/>
            <w:hideMark/>
          </w:tcPr>
          <w:p w14:paraId="0979B51F" w14:textId="77777777" w:rsidR="00B97365" w:rsidRDefault="00000000">
            <w:pPr>
              <w:jc w:val="center"/>
              <w:rPr>
                <w:rFonts w:cs="Calibri"/>
                <w:b/>
                <w:color w:val="FFFFFF" w:themeColor="background1"/>
                <w:sz w:val="16"/>
                <w:szCs w:val="16"/>
              </w:rPr>
            </w:pPr>
            <w:r>
              <w:rPr>
                <w:rFonts w:cs="Calibri"/>
                <w:b/>
                <w:color w:val="FFFFFF" w:themeColor="background1"/>
                <w:sz w:val="16"/>
                <w:szCs w:val="16"/>
              </w:rPr>
              <w:t xml:space="preserve">b1 </w:t>
            </w:r>
          </w:p>
        </w:tc>
        <w:tc>
          <w:tcPr>
            <w:tcW w:w="3651" w:type="dxa"/>
            <w:tcBorders>
              <w:top w:val="single" w:sz="4" w:space="0" w:color="auto"/>
              <w:left w:val="single" w:sz="4" w:space="0" w:color="auto"/>
              <w:bottom w:val="single" w:sz="4" w:space="0" w:color="auto"/>
              <w:right w:val="single" w:sz="4" w:space="0" w:color="auto"/>
            </w:tcBorders>
            <w:shd w:val="clear" w:color="auto" w:fill="C00000"/>
            <w:hideMark/>
          </w:tcPr>
          <w:p w14:paraId="1D262E45" w14:textId="77777777" w:rsidR="00B97365" w:rsidRDefault="00000000">
            <w:pPr>
              <w:jc w:val="center"/>
              <w:rPr>
                <w:rFonts w:cs="Calibri"/>
                <w:b/>
                <w:color w:val="FFFFFF" w:themeColor="background1"/>
                <w:sz w:val="16"/>
                <w:szCs w:val="16"/>
              </w:rPr>
            </w:pPr>
            <w:r>
              <w:rPr>
                <w:rFonts w:cs="Calibri"/>
                <w:b/>
                <w:color w:val="FFFFFF" w:themeColor="background1"/>
                <w:sz w:val="16"/>
                <w:szCs w:val="16"/>
              </w:rPr>
              <w:t xml:space="preserve">Description </w:t>
            </w:r>
          </w:p>
        </w:tc>
      </w:tr>
      <w:tr w:rsidR="00B97365" w14:paraId="54F2744F" w14:textId="77777777">
        <w:trPr>
          <w:trHeight w:val="195"/>
        </w:trPr>
        <w:tc>
          <w:tcPr>
            <w:tcW w:w="709" w:type="dxa"/>
            <w:tcBorders>
              <w:top w:val="single" w:sz="4" w:space="0" w:color="auto"/>
              <w:left w:val="single" w:sz="4" w:space="0" w:color="auto"/>
              <w:bottom w:val="single" w:sz="4" w:space="0" w:color="auto"/>
              <w:right w:val="single" w:sz="4" w:space="0" w:color="auto"/>
            </w:tcBorders>
            <w:hideMark/>
          </w:tcPr>
          <w:p w14:paraId="47D8DD75" w14:textId="77777777" w:rsidR="00B97365" w:rsidRDefault="00000000">
            <w:pPr>
              <w:spacing w:after="120" w:line="276" w:lineRule="auto"/>
              <w:jc w:val="center"/>
              <w:rPr>
                <w:rFonts w:cs="Calibri"/>
                <w:b/>
                <w:sz w:val="16"/>
                <w:szCs w:val="16"/>
              </w:rPr>
            </w:pPr>
            <w:r>
              <w:rPr>
                <w:rFonts w:cs="Calibri"/>
                <w:b/>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14:paraId="65B4BA1A" w14:textId="77777777" w:rsidR="00B97365" w:rsidRDefault="00000000">
            <w:pPr>
              <w:spacing w:after="120" w:line="276" w:lineRule="auto"/>
              <w:jc w:val="center"/>
              <w:rPr>
                <w:rFonts w:cs="Calibri"/>
                <w:b/>
                <w:sz w:val="16"/>
                <w:szCs w:val="16"/>
              </w:rPr>
            </w:pPr>
            <w:r>
              <w:rPr>
                <w:rFonts w:cs="Calibri"/>
                <w:b/>
                <w:sz w:val="16"/>
                <w:szCs w:val="16"/>
              </w:rPr>
              <w:t>0</w:t>
            </w:r>
          </w:p>
        </w:tc>
        <w:tc>
          <w:tcPr>
            <w:tcW w:w="850" w:type="dxa"/>
            <w:tcBorders>
              <w:top w:val="single" w:sz="4" w:space="0" w:color="auto"/>
              <w:left w:val="single" w:sz="4" w:space="0" w:color="auto"/>
              <w:bottom w:val="single" w:sz="4" w:space="0" w:color="auto"/>
              <w:right w:val="single" w:sz="4" w:space="0" w:color="auto"/>
            </w:tcBorders>
            <w:hideMark/>
          </w:tcPr>
          <w:p w14:paraId="61546729" w14:textId="77777777" w:rsidR="00B97365" w:rsidRDefault="00000000">
            <w:pPr>
              <w:spacing w:after="120" w:line="276" w:lineRule="auto"/>
              <w:jc w:val="center"/>
              <w:rPr>
                <w:rFonts w:cs="Calibri"/>
                <w:b/>
                <w:sz w:val="16"/>
                <w:szCs w:val="16"/>
              </w:rPr>
            </w:pPr>
            <w:r>
              <w:rPr>
                <w:rFonts w:cs="Calibri"/>
                <w:b/>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14:paraId="7E06896D" w14:textId="77777777" w:rsidR="00B97365" w:rsidRDefault="00000000">
            <w:pPr>
              <w:spacing w:after="120" w:line="276" w:lineRule="auto"/>
              <w:jc w:val="center"/>
              <w:rPr>
                <w:rFonts w:cs="Calibri"/>
                <w:b/>
                <w:sz w:val="16"/>
                <w:szCs w:val="16"/>
              </w:rPr>
            </w:pPr>
            <w:r>
              <w:rPr>
                <w:rFonts w:cs="Calibri"/>
                <w:b/>
                <w:sz w:val="16"/>
                <w:szCs w:val="16"/>
              </w:rPr>
              <w:t>0</w:t>
            </w:r>
          </w:p>
        </w:tc>
        <w:tc>
          <w:tcPr>
            <w:tcW w:w="850" w:type="dxa"/>
            <w:tcBorders>
              <w:top w:val="single" w:sz="4" w:space="0" w:color="auto"/>
              <w:left w:val="single" w:sz="4" w:space="0" w:color="auto"/>
              <w:bottom w:val="single" w:sz="4" w:space="0" w:color="auto"/>
              <w:right w:val="single" w:sz="4" w:space="0" w:color="auto"/>
            </w:tcBorders>
            <w:hideMark/>
          </w:tcPr>
          <w:p w14:paraId="5BD30C43" w14:textId="77777777" w:rsidR="00B97365" w:rsidRDefault="00000000">
            <w:pPr>
              <w:spacing w:after="120" w:line="276" w:lineRule="auto"/>
              <w:jc w:val="center"/>
              <w:rPr>
                <w:rFonts w:cs="Calibri"/>
                <w:b/>
                <w:sz w:val="16"/>
                <w:szCs w:val="16"/>
              </w:rPr>
            </w:pPr>
            <w:r>
              <w:rPr>
                <w:rFonts w:cs="Calibri"/>
                <w:b/>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4A8A554F" w14:textId="77777777" w:rsidR="00B97365" w:rsidRDefault="00000000">
            <w:pPr>
              <w:spacing w:after="120" w:line="276" w:lineRule="auto"/>
              <w:jc w:val="center"/>
              <w:rPr>
                <w:rFonts w:cs="Calibri"/>
                <w:b/>
                <w:sz w:val="16"/>
                <w:szCs w:val="16"/>
              </w:rPr>
            </w:pPr>
            <w:r>
              <w:rPr>
                <w:rFonts w:cs="Calibri"/>
                <w:b/>
                <w:sz w:val="16"/>
                <w:szCs w:val="16"/>
              </w:rPr>
              <w:t>X</w:t>
            </w:r>
          </w:p>
        </w:tc>
        <w:tc>
          <w:tcPr>
            <w:tcW w:w="709" w:type="dxa"/>
            <w:tcBorders>
              <w:top w:val="single" w:sz="4" w:space="0" w:color="auto"/>
              <w:left w:val="single" w:sz="4" w:space="0" w:color="auto"/>
              <w:bottom w:val="single" w:sz="4" w:space="0" w:color="auto"/>
              <w:right w:val="single" w:sz="4" w:space="0" w:color="auto"/>
            </w:tcBorders>
            <w:hideMark/>
          </w:tcPr>
          <w:p w14:paraId="37F791EA" w14:textId="77777777" w:rsidR="00B97365" w:rsidRDefault="00000000">
            <w:pPr>
              <w:spacing w:after="120" w:line="276" w:lineRule="auto"/>
              <w:jc w:val="center"/>
              <w:rPr>
                <w:rFonts w:cs="Calibri"/>
                <w:b/>
                <w:sz w:val="16"/>
                <w:szCs w:val="16"/>
              </w:rPr>
            </w:pPr>
            <w:r>
              <w:rPr>
                <w:rFonts w:cs="Calibri"/>
                <w:b/>
                <w:sz w:val="16"/>
                <w:szCs w:val="16"/>
              </w:rPr>
              <w:t>X</w:t>
            </w:r>
          </w:p>
        </w:tc>
        <w:tc>
          <w:tcPr>
            <w:tcW w:w="709" w:type="dxa"/>
            <w:tcBorders>
              <w:top w:val="single" w:sz="4" w:space="0" w:color="auto"/>
              <w:left w:val="single" w:sz="4" w:space="0" w:color="auto"/>
              <w:bottom w:val="single" w:sz="4" w:space="0" w:color="auto"/>
              <w:right w:val="single" w:sz="4" w:space="0" w:color="auto"/>
            </w:tcBorders>
            <w:hideMark/>
          </w:tcPr>
          <w:p w14:paraId="2FA58C29" w14:textId="77777777" w:rsidR="00B97365" w:rsidRDefault="00000000">
            <w:pPr>
              <w:spacing w:after="120" w:line="276" w:lineRule="auto"/>
              <w:jc w:val="center"/>
              <w:rPr>
                <w:rFonts w:cs="Calibri"/>
                <w:b/>
                <w:sz w:val="16"/>
                <w:szCs w:val="16"/>
              </w:rPr>
            </w:pPr>
            <w:r>
              <w:rPr>
                <w:rFonts w:cs="Calibri"/>
                <w:b/>
                <w:sz w:val="16"/>
                <w:szCs w:val="16"/>
              </w:rPr>
              <w:t>X</w:t>
            </w:r>
          </w:p>
        </w:tc>
        <w:tc>
          <w:tcPr>
            <w:tcW w:w="3651" w:type="dxa"/>
            <w:tcBorders>
              <w:top w:val="single" w:sz="4" w:space="0" w:color="auto"/>
              <w:left w:val="single" w:sz="4" w:space="0" w:color="auto"/>
              <w:bottom w:val="single" w:sz="4" w:space="0" w:color="auto"/>
              <w:right w:val="single" w:sz="4" w:space="0" w:color="auto"/>
            </w:tcBorders>
            <w:hideMark/>
          </w:tcPr>
          <w:p w14:paraId="7CFEC5AD" w14:textId="55A9EE1B" w:rsidR="00B97365" w:rsidRDefault="00000000">
            <w:pPr>
              <w:spacing w:after="120" w:line="276" w:lineRule="auto"/>
              <w:jc w:val="center"/>
              <w:rPr>
                <w:rFonts w:cs="Calibri"/>
                <w:b/>
                <w:sz w:val="16"/>
                <w:szCs w:val="16"/>
              </w:rPr>
            </w:pPr>
            <w:r>
              <w:rPr>
                <w:rFonts w:cs="Calibri"/>
                <w:sz w:val="16"/>
                <w:szCs w:val="16"/>
              </w:rPr>
              <w:t xml:space="preserve">As defined in GlobalPlatform Card Specification Amendment E: Security Upgrade for Card Content Management  </w:t>
            </w:r>
            <w:r>
              <w:fldChar w:fldCharType="begin"/>
            </w:r>
            <w:r>
              <w:instrText xml:space="preserve"> REF _Ref421632038 \r \h  \* MERGEFORMAT </w:instrText>
            </w:r>
            <w:r>
              <w:fldChar w:fldCharType="separate"/>
            </w:r>
            <w:r w:rsidR="001D5AD9" w:rsidRPr="001D5AD9">
              <w:rPr>
                <w:rFonts w:cs="Calibri"/>
                <w:sz w:val="16"/>
                <w:szCs w:val="16"/>
              </w:rPr>
              <w:t>[11]</w:t>
            </w:r>
            <w:r>
              <w:fldChar w:fldCharType="end"/>
            </w:r>
            <w:r>
              <w:rPr>
                <w:rFonts w:cs="Calibri"/>
                <w:sz w:val="16"/>
                <w:szCs w:val="16"/>
              </w:rPr>
              <w:t xml:space="preserve"> section 4.8.1</w:t>
            </w:r>
          </w:p>
        </w:tc>
      </w:tr>
      <w:tr w:rsidR="00B97365" w14:paraId="403FEED9" w14:textId="77777777">
        <w:trPr>
          <w:trHeight w:val="194"/>
        </w:trPr>
        <w:tc>
          <w:tcPr>
            <w:tcW w:w="709" w:type="dxa"/>
            <w:tcBorders>
              <w:top w:val="single" w:sz="4" w:space="0" w:color="auto"/>
              <w:left w:val="single" w:sz="4" w:space="0" w:color="auto"/>
              <w:bottom w:val="single" w:sz="4" w:space="0" w:color="auto"/>
              <w:right w:val="single" w:sz="4" w:space="0" w:color="auto"/>
            </w:tcBorders>
            <w:hideMark/>
          </w:tcPr>
          <w:p w14:paraId="7464DB47" w14:textId="77777777" w:rsidR="00B97365" w:rsidRDefault="00000000">
            <w:pPr>
              <w:spacing w:after="120" w:line="276" w:lineRule="auto"/>
              <w:jc w:val="center"/>
              <w:rPr>
                <w:rFonts w:cs="Calibri"/>
                <w:b/>
                <w:sz w:val="16"/>
                <w:szCs w:val="16"/>
              </w:rPr>
            </w:pPr>
            <w:r>
              <w:rPr>
                <w:rFonts w:cs="Calibri"/>
                <w:b/>
                <w:sz w:val="16"/>
                <w:szCs w:val="16"/>
              </w:rPr>
              <w:t>-</w:t>
            </w:r>
          </w:p>
        </w:tc>
        <w:tc>
          <w:tcPr>
            <w:tcW w:w="851" w:type="dxa"/>
            <w:tcBorders>
              <w:top w:val="single" w:sz="4" w:space="0" w:color="auto"/>
              <w:left w:val="single" w:sz="4" w:space="0" w:color="auto"/>
              <w:bottom w:val="single" w:sz="4" w:space="0" w:color="auto"/>
              <w:right w:val="single" w:sz="4" w:space="0" w:color="auto"/>
            </w:tcBorders>
            <w:hideMark/>
          </w:tcPr>
          <w:p w14:paraId="5C3D382A" w14:textId="77777777" w:rsidR="00B97365" w:rsidRDefault="00000000">
            <w:pPr>
              <w:spacing w:after="120" w:line="276" w:lineRule="auto"/>
              <w:jc w:val="center"/>
              <w:rPr>
                <w:rFonts w:cs="Calibri"/>
                <w:b/>
                <w:sz w:val="16"/>
                <w:szCs w:val="16"/>
              </w:rPr>
            </w:pPr>
            <w:r>
              <w:rPr>
                <w:rFonts w:cs="Calibri"/>
                <w:b/>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14:paraId="33A08963" w14:textId="77777777" w:rsidR="00B97365" w:rsidRDefault="00000000">
            <w:pPr>
              <w:spacing w:after="120" w:line="276" w:lineRule="auto"/>
              <w:jc w:val="center"/>
              <w:rPr>
                <w:rFonts w:cs="Calibri"/>
                <w:b/>
                <w:sz w:val="16"/>
                <w:szCs w:val="16"/>
              </w:rPr>
            </w:pPr>
            <w:r>
              <w:rPr>
                <w:rFonts w:cs="Calibri"/>
                <w:b/>
                <w:sz w:val="16"/>
                <w:szCs w:val="16"/>
              </w:rPr>
              <w:t>-</w:t>
            </w:r>
          </w:p>
        </w:tc>
        <w:tc>
          <w:tcPr>
            <w:tcW w:w="851" w:type="dxa"/>
            <w:tcBorders>
              <w:top w:val="single" w:sz="4" w:space="0" w:color="auto"/>
              <w:left w:val="single" w:sz="4" w:space="0" w:color="auto"/>
              <w:bottom w:val="single" w:sz="4" w:space="0" w:color="auto"/>
              <w:right w:val="single" w:sz="4" w:space="0" w:color="auto"/>
            </w:tcBorders>
            <w:hideMark/>
          </w:tcPr>
          <w:p w14:paraId="30C3648C" w14:textId="77777777" w:rsidR="00B97365" w:rsidRDefault="00000000">
            <w:pPr>
              <w:spacing w:after="120" w:line="276" w:lineRule="auto"/>
              <w:jc w:val="center"/>
              <w:rPr>
                <w:rFonts w:cs="Calibri"/>
                <w:b/>
                <w:sz w:val="16"/>
                <w:szCs w:val="16"/>
              </w:rPr>
            </w:pPr>
            <w:r>
              <w:rPr>
                <w:rFonts w:cs="Calibri"/>
                <w:b/>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14:paraId="52F51092" w14:textId="77777777" w:rsidR="00B97365" w:rsidRDefault="00000000">
            <w:pPr>
              <w:spacing w:after="120" w:line="276" w:lineRule="auto"/>
              <w:jc w:val="center"/>
              <w:rPr>
                <w:rFonts w:cs="Calibri"/>
                <w:b/>
                <w:sz w:val="16"/>
                <w:szCs w:val="16"/>
              </w:rPr>
            </w:pPr>
            <w:r>
              <w:rPr>
                <w:rFonts w:cs="Calibri"/>
                <w:b/>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14:paraId="1E899658" w14:textId="77777777" w:rsidR="00B97365" w:rsidRDefault="00000000">
            <w:pPr>
              <w:spacing w:after="120" w:line="276" w:lineRule="auto"/>
              <w:jc w:val="center"/>
              <w:rPr>
                <w:rFonts w:cs="Calibri"/>
                <w:b/>
                <w:sz w:val="16"/>
                <w:szCs w:val="16"/>
              </w:rPr>
            </w:pPr>
            <w:r>
              <w:rPr>
                <w:rFonts w:cs="Calibri"/>
                <w:b/>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1F5977A0" w14:textId="77777777" w:rsidR="00B97365" w:rsidRDefault="00000000">
            <w:pPr>
              <w:spacing w:after="120" w:line="276" w:lineRule="auto"/>
              <w:jc w:val="center"/>
              <w:rPr>
                <w:rFonts w:cs="Calibri"/>
                <w:b/>
                <w:sz w:val="16"/>
                <w:szCs w:val="16"/>
              </w:rPr>
            </w:pPr>
            <w:r>
              <w:rPr>
                <w:rFonts w:cs="Calibri"/>
                <w:b/>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464EFDCE" w14:textId="77777777" w:rsidR="00B97365" w:rsidRDefault="00000000">
            <w:pPr>
              <w:spacing w:after="120" w:line="276" w:lineRule="auto"/>
              <w:jc w:val="center"/>
              <w:rPr>
                <w:rFonts w:cs="Calibri"/>
                <w:b/>
                <w:sz w:val="16"/>
                <w:szCs w:val="16"/>
              </w:rPr>
            </w:pPr>
            <w:r>
              <w:rPr>
                <w:rFonts w:cs="Calibri"/>
                <w:b/>
                <w:sz w:val="16"/>
                <w:szCs w:val="16"/>
              </w:rPr>
              <w:t xml:space="preserve">– </w:t>
            </w:r>
          </w:p>
        </w:tc>
        <w:tc>
          <w:tcPr>
            <w:tcW w:w="3651" w:type="dxa"/>
            <w:tcBorders>
              <w:top w:val="single" w:sz="4" w:space="0" w:color="auto"/>
              <w:left w:val="single" w:sz="4" w:space="0" w:color="auto"/>
              <w:bottom w:val="single" w:sz="4" w:space="0" w:color="auto"/>
              <w:right w:val="single" w:sz="4" w:space="0" w:color="auto"/>
            </w:tcBorders>
            <w:hideMark/>
          </w:tcPr>
          <w:p w14:paraId="5F6BA904" w14:textId="77777777" w:rsidR="00B97365" w:rsidRDefault="00000000">
            <w:pPr>
              <w:spacing w:after="120" w:line="276" w:lineRule="auto"/>
              <w:jc w:val="center"/>
              <w:rPr>
                <w:rFonts w:cs="Calibri"/>
                <w:sz w:val="16"/>
                <w:szCs w:val="16"/>
              </w:rPr>
            </w:pPr>
            <w:r>
              <w:rPr>
                <w:rFonts w:cs="Calibri"/>
                <w:sz w:val="16"/>
                <w:szCs w:val="16"/>
              </w:rPr>
              <w:t>Certificate Verification precedes Key Establishment</w:t>
            </w:r>
          </w:p>
        </w:tc>
      </w:tr>
    </w:tbl>
    <w:p w14:paraId="6FBABFFD" w14:textId="77777777" w:rsidR="00B97365" w:rsidRDefault="00000000">
      <w:pPr>
        <w:numPr>
          <w:ilvl w:val="0"/>
          <w:numId w:val="14"/>
        </w:numPr>
        <w:tabs>
          <w:tab w:val="left" w:pos="1009"/>
        </w:tabs>
        <w:spacing w:after="200" w:line="276" w:lineRule="auto"/>
        <w:jc w:val="center"/>
        <w:rPr>
          <w:rFonts w:cs="Arial"/>
          <w:lang w:eastAsia="de-DE" w:bidi="ar-SA"/>
        </w:rPr>
      </w:pPr>
      <w:bookmarkStart w:id="2675" w:name="_Ref421800743"/>
      <w:r>
        <w:rPr>
          <w:rFonts w:cs="Arial"/>
          <w:b/>
          <w:lang w:eastAsia="de-DE" w:bidi="ar-SA"/>
        </w:rPr>
        <w:t>: Scenario Parameters</w:t>
      </w:r>
      <w:bookmarkEnd w:id="2675"/>
    </w:p>
    <w:p w14:paraId="6A643FD9" w14:textId="77777777" w:rsidR="00B97365" w:rsidRDefault="00000000">
      <w:pPr>
        <w:spacing w:before="0" w:after="200" w:line="276" w:lineRule="auto"/>
        <w:jc w:val="left"/>
        <w:rPr>
          <w:rFonts w:cs="Arial"/>
          <w:szCs w:val="22"/>
          <w:lang w:eastAsia="en-GB" w:bidi="ar-SA"/>
        </w:rPr>
      </w:pPr>
      <w:r>
        <w:rPr>
          <w:rFonts w:cs="Arial"/>
          <w:szCs w:val="22"/>
          <w:lang w:eastAsia="en-GB" w:bidi="ar-SA"/>
        </w:rPr>
        <w:t>In case the scenario parameter specifies usage of HostID+CardID (bit b3=1), then the SM-DP and the eUICC SHALL use the SIN-LV and SDIN-LV of ISD-R, in lieu of the IIN-LV and CIN-LV of the card; this deviates from GP Amendment E [11], and ISD-P has no SIN/SDIN yet.</w:t>
      </w:r>
    </w:p>
    <w:p w14:paraId="22F25A40" w14:textId="77777777" w:rsidR="00B97365" w:rsidRDefault="00000000">
      <w:pPr>
        <w:spacing w:before="0" w:after="200" w:line="276" w:lineRule="auto"/>
        <w:jc w:val="left"/>
      </w:pPr>
      <w:r>
        <w:rPr>
          <w:rFonts w:cs="Arial"/>
        </w:rPr>
        <w:t>The SM-</w:t>
      </w:r>
      <w:r>
        <w:rPr>
          <w:rFonts w:cs="Arial"/>
          <w:szCs w:val="22"/>
          <w:lang w:eastAsia="en-GB" w:bidi="ar-SA"/>
        </w:rPr>
        <w:t>DP</w:t>
      </w:r>
      <w:r>
        <w:t xml:space="preserve"> can know the SIN and SDIN of ISD-R by inspecting the EIS retrieved on ES3.</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39"/>
        <w:gridCol w:w="800"/>
        <w:gridCol w:w="575"/>
        <w:gridCol w:w="835"/>
        <w:gridCol w:w="1325"/>
        <w:gridCol w:w="1596"/>
        <w:gridCol w:w="2398"/>
        <w:gridCol w:w="748"/>
      </w:tblGrid>
      <w:tr w:rsidR="00B97365" w14:paraId="31CACA8E" w14:textId="77777777">
        <w:trPr>
          <w:cantSplit/>
          <w:tblHeader/>
        </w:trPr>
        <w:tc>
          <w:tcPr>
            <w:tcW w:w="409" w:type="pct"/>
            <w:tcBorders>
              <w:top w:val="single" w:sz="4" w:space="0" w:color="auto"/>
              <w:left w:val="single" w:sz="4" w:space="0" w:color="auto"/>
              <w:bottom w:val="single" w:sz="6" w:space="0" w:color="auto"/>
              <w:right w:val="single" w:sz="6" w:space="0" w:color="auto"/>
            </w:tcBorders>
            <w:shd w:val="clear" w:color="auto" w:fill="C00000"/>
            <w:hideMark/>
          </w:tcPr>
          <w:p w14:paraId="467D0ABD" w14:textId="77777777" w:rsidR="00B97365" w:rsidRDefault="00000000">
            <w:pPr>
              <w:jc w:val="center"/>
              <w:rPr>
                <w:rFonts w:cs="Calibri"/>
                <w:b/>
                <w:color w:val="FFFFFF"/>
                <w:sz w:val="16"/>
                <w:szCs w:val="16"/>
              </w:rPr>
            </w:pPr>
            <w:r>
              <w:rPr>
                <w:rFonts w:cs="Calibri"/>
                <w:b/>
                <w:color w:val="FFFFFF"/>
                <w:sz w:val="16"/>
                <w:szCs w:val="16"/>
              </w:rPr>
              <w:lastRenderedPageBreak/>
              <w:t>DGI</w:t>
            </w:r>
          </w:p>
        </w:tc>
        <w:tc>
          <w:tcPr>
            <w:tcW w:w="443" w:type="pct"/>
            <w:tcBorders>
              <w:top w:val="single" w:sz="4" w:space="0" w:color="auto"/>
              <w:left w:val="single" w:sz="6" w:space="0" w:color="auto"/>
              <w:bottom w:val="single" w:sz="6" w:space="0" w:color="auto"/>
              <w:right w:val="single" w:sz="6" w:space="0" w:color="auto"/>
            </w:tcBorders>
            <w:shd w:val="clear" w:color="auto" w:fill="C00000"/>
            <w:hideMark/>
          </w:tcPr>
          <w:p w14:paraId="4611C50F" w14:textId="77777777" w:rsidR="00B97365" w:rsidRDefault="00000000">
            <w:pPr>
              <w:jc w:val="center"/>
              <w:rPr>
                <w:rFonts w:cs="Calibri"/>
                <w:b/>
                <w:color w:val="FFFFFF"/>
                <w:sz w:val="16"/>
                <w:szCs w:val="16"/>
              </w:rPr>
            </w:pPr>
            <w:r>
              <w:rPr>
                <w:rFonts w:cs="Calibri"/>
                <w:b/>
                <w:color w:val="FFFFFF"/>
                <w:sz w:val="16"/>
                <w:szCs w:val="16"/>
              </w:rPr>
              <w:t>Length</w:t>
            </w:r>
          </w:p>
        </w:tc>
        <w:tc>
          <w:tcPr>
            <w:tcW w:w="3732" w:type="pct"/>
            <w:gridSpan w:val="5"/>
            <w:tcBorders>
              <w:top w:val="single" w:sz="4" w:space="0" w:color="auto"/>
              <w:left w:val="single" w:sz="6" w:space="0" w:color="auto"/>
              <w:bottom w:val="single" w:sz="6" w:space="0" w:color="auto"/>
              <w:right w:val="single" w:sz="6" w:space="0" w:color="auto"/>
            </w:tcBorders>
            <w:shd w:val="clear" w:color="auto" w:fill="C00000"/>
            <w:hideMark/>
          </w:tcPr>
          <w:p w14:paraId="32C1A678" w14:textId="77777777" w:rsidR="00B97365" w:rsidRDefault="00000000">
            <w:pPr>
              <w:jc w:val="center"/>
              <w:rPr>
                <w:rFonts w:cs="Calibri"/>
                <w:b/>
                <w:color w:val="FFFFFF"/>
                <w:sz w:val="16"/>
                <w:szCs w:val="16"/>
              </w:rPr>
            </w:pPr>
            <w:r>
              <w:rPr>
                <w:rFonts w:cs="Calibri"/>
                <w:b/>
                <w:color w:val="FFFFFF"/>
                <w:sz w:val="16"/>
                <w:szCs w:val="16"/>
              </w:rPr>
              <w:t>Value Description</w:t>
            </w:r>
          </w:p>
        </w:tc>
        <w:tc>
          <w:tcPr>
            <w:tcW w:w="415" w:type="pct"/>
            <w:tcBorders>
              <w:top w:val="single" w:sz="4" w:space="0" w:color="auto"/>
              <w:left w:val="single" w:sz="6" w:space="0" w:color="auto"/>
              <w:bottom w:val="single" w:sz="6" w:space="0" w:color="auto"/>
              <w:right w:val="single" w:sz="4" w:space="0" w:color="auto"/>
            </w:tcBorders>
            <w:shd w:val="clear" w:color="auto" w:fill="C00000"/>
            <w:hideMark/>
          </w:tcPr>
          <w:p w14:paraId="4A1C1126"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2408866" w14:textId="77777777">
        <w:trPr>
          <w:cantSplit/>
        </w:trPr>
        <w:tc>
          <w:tcPr>
            <w:tcW w:w="409" w:type="pct"/>
            <w:tcBorders>
              <w:top w:val="single" w:sz="6" w:space="0" w:color="auto"/>
              <w:left w:val="single" w:sz="4" w:space="0" w:color="auto"/>
              <w:bottom w:val="single" w:sz="6" w:space="0" w:color="auto"/>
              <w:right w:val="single" w:sz="6" w:space="0" w:color="auto"/>
            </w:tcBorders>
            <w:hideMark/>
          </w:tcPr>
          <w:p w14:paraId="4BC964B4" w14:textId="77777777" w:rsidR="00B97365" w:rsidRDefault="00000000">
            <w:pPr>
              <w:rPr>
                <w:rFonts w:cs="Calibri"/>
                <w:sz w:val="16"/>
                <w:szCs w:val="16"/>
              </w:rPr>
            </w:pPr>
            <w:r>
              <w:rPr>
                <w:rFonts w:cs="Calibri"/>
                <w:sz w:val="16"/>
                <w:szCs w:val="16"/>
              </w:rPr>
              <w:t>'3A02'</w:t>
            </w:r>
          </w:p>
        </w:tc>
        <w:tc>
          <w:tcPr>
            <w:tcW w:w="443" w:type="pct"/>
            <w:tcBorders>
              <w:top w:val="single" w:sz="6" w:space="0" w:color="auto"/>
              <w:left w:val="single" w:sz="6" w:space="0" w:color="auto"/>
              <w:bottom w:val="single" w:sz="6" w:space="0" w:color="auto"/>
              <w:right w:val="single" w:sz="6" w:space="0" w:color="auto"/>
            </w:tcBorders>
            <w:hideMark/>
          </w:tcPr>
          <w:p w14:paraId="0829334C" w14:textId="77777777" w:rsidR="00B97365" w:rsidRDefault="00000000">
            <w:pPr>
              <w:rPr>
                <w:rFonts w:cs="Calibri"/>
                <w:sz w:val="16"/>
                <w:szCs w:val="16"/>
              </w:rPr>
            </w:pPr>
            <w:r>
              <w:rPr>
                <w:rFonts w:cs="Calibri"/>
                <w:sz w:val="16"/>
                <w:szCs w:val="16"/>
              </w:rPr>
              <w:t>Var</w:t>
            </w:r>
          </w:p>
        </w:tc>
        <w:tc>
          <w:tcPr>
            <w:tcW w:w="3732" w:type="pct"/>
            <w:gridSpan w:val="5"/>
            <w:tcBorders>
              <w:top w:val="single" w:sz="6" w:space="0" w:color="auto"/>
              <w:left w:val="single" w:sz="6" w:space="0" w:color="auto"/>
              <w:bottom w:val="single" w:sz="6" w:space="0" w:color="auto"/>
              <w:right w:val="single" w:sz="6" w:space="0" w:color="auto"/>
            </w:tcBorders>
            <w:hideMark/>
          </w:tcPr>
          <w:p w14:paraId="2FA19F49" w14:textId="77777777" w:rsidR="00B97365" w:rsidRDefault="00000000">
            <w:pPr>
              <w:rPr>
                <w:rFonts w:cs="Calibri"/>
                <w:sz w:val="16"/>
                <w:szCs w:val="16"/>
              </w:rPr>
            </w:pPr>
            <w:r>
              <w:rPr>
                <w:rFonts w:cs="Calibri"/>
                <w:sz w:val="16"/>
                <w:szCs w:val="16"/>
              </w:rPr>
              <w:t>Key set Establishment</w:t>
            </w:r>
          </w:p>
        </w:tc>
        <w:tc>
          <w:tcPr>
            <w:tcW w:w="415" w:type="pct"/>
            <w:tcBorders>
              <w:top w:val="single" w:sz="6" w:space="0" w:color="auto"/>
              <w:left w:val="single" w:sz="6" w:space="0" w:color="auto"/>
              <w:bottom w:val="single" w:sz="6" w:space="0" w:color="auto"/>
              <w:right w:val="single" w:sz="4" w:space="0" w:color="auto"/>
            </w:tcBorders>
            <w:hideMark/>
          </w:tcPr>
          <w:p w14:paraId="66688198" w14:textId="77777777" w:rsidR="00B97365" w:rsidRDefault="00000000">
            <w:pPr>
              <w:jc w:val="center"/>
              <w:rPr>
                <w:rFonts w:cs="Calibri"/>
                <w:sz w:val="16"/>
                <w:szCs w:val="16"/>
              </w:rPr>
            </w:pPr>
            <w:r>
              <w:rPr>
                <w:rFonts w:cs="Calibri"/>
                <w:sz w:val="16"/>
                <w:szCs w:val="16"/>
              </w:rPr>
              <w:t>M</w:t>
            </w:r>
          </w:p>
        </w:tc>
      </w:tr>
      <w:tr w:rsidR="00B97365" w14:paraId="65145D06" w14:textId="77777777">
        <w:trPr>
          <w:cantSplit/>
        </w:trPr>
        <w:tc>
          <w:tcPr>
            <w:tcW w:w="409" w:type="pct"/>
            <w:tcBorders>
              <w:top w:val="single" w:sz="6" w:space="0" w:color="auto"/>
              <w:left w:val="single" w:sz="4" w:space="0" w:color="auto"/>
              <w:bottom w:val="single" w:sz="6" w:space="0" w:color="auto"/>
              <w:right w:val="single" w:sz="6" w:space="0" w:color="auto"/>
            </w:tcBorders>
          </w:tcPr>
          <w:p w14:paraId="10BD8547"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51AEAE90"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shd w:val="clear" w:color="auto" w:fill="C00000"/>
            <w:hideMark/>
          </w:tcPr>
          <w:p w14:paraId="356BA5E0" w14:textId="77777777" w:rsidR="00B97365" w:rsidRDefault="00000000">
            <w:pPr>
              <w:spacing w:after="120" w:line="276" w:lineRule="auto"/>
              <w:jc w:val="center"/>
              <w:rPr>
                <w:rFonts w:cs="Calibri"/>
                <w:b/>
                <w:color w:val="FFFFFF"/>
                <w:sz w:val="16"/>
                <w:szCs w:val="16"/>
              </w:rPr>
            </w:pPr>
            <w:r>
              <w:rPr>
                <w:rFonts w:cs="Calibri"/>
                <w:b/>
                <w:color w:val="FFFFFF"/>
                <w:sz w:val="16"/>
                <w:szCs w:val="16"/>
              </w:rPr>
              <w:t>Tag</w:t>
            </w:r>
          </w:p>
        </w:tc>
        <w:tc>
          <w:tcPr>
            <w:tcW w:w="463" w:type="pct"/>
            <w:tcBorders>
              <w:top w:val="single" w:sz="6" w:space="0" w:color="auto"/>
              <w:left w:val="single" w:sz="6" w:space="0" w:color="auto"/>
              <w:bottom w:val="single" w:sz="6" w:space="0" w:color="auto"/>
              <w:right w:val="single" w:sz="6" w:space="0" w:color="auto"/>
            </w:tcBorders>
            <w:shd w:val="clear" w:color="auto" w:fill="C00000"/>
            <w:hideMark/>
          </w:tcPr>
          <w:p w14:paraId="7DC75ADD" w14:textId="77777777" w:rsidR="00B97365" w:rsidRDefault="00000000">
            <w:pPr>
              <w:spacing w:after="120" w:line="276" w:lineRule="auto"/>
              <w:jc w:val="center"/>
              <w:rPr>
                <w:rFonts w:cs="Calibri"/>
                <w:b/>
                <w:color w:val="FFFFFF"/>
                <w:sz w:val="16"/>
                <w:szCs w:val="16"/>
              </w:rPr>
            </w:pPr>
            <w:r>
              <w:rPr>
                <w:rFonts w:cs="Calibri"/>
                <w:b/>
                <w:color w:val="FFFFFF"/>
                <w:sz w:val="16"/>
                <w:szCs w:val="16"/>
              </w:rPr>
              <w:t>Length</w:t>
            </w:r>
          </w:p>
        </w:tc>
        <w:tc>
          <w:tcPr>
            <w:tcW w:w="2950" w:type="pct"/>
            <w:gridSpan w:val="3"/>
            <w:tcBorders>
              <w:top w:val="single" w:sz="6" w:space="0" w:color="auto"/>
              <w:left w:val="single" w:sz="6" w:space="0" w:color="auto"/>
              <w:bottom w:val="single" w:sz="6" w:space="0" w:color="auto"/>
              <w:right w:val="single" w:sz="6" w:space="0" w:color="auto"/>
            </w:tcBorders>
            <w:shd w:val="clear" w:color="auto" w:fill="C00000"/>
            <w:hideMark/>
          </w:tcPr>
          <w:p w14:paraId="63F5BDFA" w14:textId="77777777" w:rsidR="00B97365" w:rsidRDefault="00000000">
            <w:pPr>
              <w:spacing w:after="120" w:line="276" w:lineRule="auto"/>
              <w:jc w:val="center"/>
              <w:rPr>
                <w:rFonts w:cs="Calibri"/>
                <w:b/>
                <w:color w:val="FFFFFF"/>
                <w:sz w:val="16"/>
                <w:szCs w:val="16"/>
              </w:rPr>
            </w:pPr>
            <w:r>
              <w:rPr>
                <w:rFonts w:cs="Calibri"/>
                <w:b/>
                <w:color w:val="FFFFFF"/>
                <w:sz w:val="16"/>
                <w:szCs w:val="16"/>
              </w:rPr>
              <w:t>Value Description</w:t>
            </w:r>
          </w:p>
        </w:tc>
        <w:tc>
          <w:tcPr>
            <w:tcW w:w="415" w:type="pct"/>
            <w:tcBorders>
              <w:top w:val="single" w:sz="6" w:space="0" w:color="auto"/>
              <w:left w:val="single" w:sz="6" w:space="0" w:color="auto"/>
              <w:bottom w:val="single" w:sz="6" w:space="0" w:color="auto"/>
              <w:right w:val="single" w:sz="4" w:space="0" w:color="auto"/>
            </w:tcBorders>
            <w:shd w:val="clear" w:color="auto" w:fill="C00000"/>
            <w:hideMark/>
          </w:tcPr>
          <w:p w14:paraId="65861D06"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FFC1048" w14:textId="77777777">
        <w:trPr>
          <w:cantSplit/>
        </w:trPr>
        <w:tc>
          <w:tcPr>
            <w:tcW w:w="409" w:type="pct"/>
            <w:tcBorders>
              <w:top w:val="single" w:sz="6" w:space="0" w:color="auto"/>
              <w:left w:val="single" w:sz="4" w:space="0" w:color="auto"/>
              <w:bottom w:val="single" w:sz="6" w:space="0" w:color="auto"/>
              <w:right w:val="single" w:sz="6" w:space="0" w:color="auto"/>
            </w:tcBorders>
          </w:tcPr>
          <w:p w14:paraId="594193F5"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43D6039B"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hideMark/>
          </w:tcPr>
          <w:p w14:paraId="045536D7" w14:textId="77777777" w:rsidR="00B97365" w:rsidRDefault="00000000">
            <w:pPr>
              <w:rPr>
                <w:rFonts w:cs="Calibri"/>
                <w:sz w:val="16"/>
                <w:szCs w:val="16"/>
              </w:rPr>
            </w:pPr>
            <w:r>
              <w:rPr>
                <w:rFonts w:cs="Calibri"/>
                <w:sz w:val="16"/>
                <w:szCs w:val="16"/>
              </w:rPr>
              <w:t>'A6'</w:t>
            </w:r>
          </w:p>
        </w:tc>
        <w:tc>
          <w:tcPr>
            <w:tcW w:w="463" w:type="pct"/>
            <w:tcBorders>
              <w:top w:val="single" w:sz="6" w:space="0" w:color="auto"/>
              <w:left w:val="single" w:sz="6" w:space="0" w:color="auto"/>
              <w:bottom w:val="single" w:sz="6" w:space="0" w:color="auto"/>
              <w:right w:val="single" w:sz="6" w:space="0" w:color="auto"/>
            </w:tcBorders>
            <w:hideMark/>
          </w:tcPr>
          <w:p w14:paraId="54258E4D" w14:textId="77777777" w:rsidR="00B97365" w:rsidRDefault="00000000">
            <w:pPr>
              <w:rPr>
                <w:rFonts w:cs="Calibri"/>
                <w:sz w:val="16"/>
                <w:szCs w:val="16"/>
              </w:rPr>
            </w:pPr>
            <w:r>
              <w:rPr>
                <w:rFonts w:cs="Calibri"/>
                <w:sz w:val="16"/>
                <w:szCs w:val="16"/>
              </w:rPr>
              <w:t>Var</w:t>
            </w:r>
          </w:p>
        </w:tc>
        <w:tc>
          <w:tcPr>
            <w:tcW w:w="2950" w:type="pct"/>
            <w:gridSpan w:val="3"/>
            <w:tcBorders>
              <w:top w:val="single" w:sz="6" w:space="0" w:color="auto"/>
              <w:left w:val="single" w:sz="6" w:space="0" w:color="auto"/>
              <w:bottom w:val="single" w:sz="6" w:space="0" w:color="auto"/>
              <w:right w:val="single" w:sz="6" w:space="0" w:color="auto"/>
            </w:tcBorders>
            <w:hideMark/>
          </w:tcPr>
          <w:p w14:paraId="3FD102A7" w14:textId="77777777" w:rsidR="00B97365" w:rsidRDefault="00000000">
            <w:pPr>
              <w:rPr>
                <w:rFonts w:cs="Calibri"/>
                <w:sz w:val="16"/>
                <w:szCs w:val="16"/>
              </w:rPr>
            </w:pPr>
            <w:r>
              <w:rPr>
                <w:rFonts w:cs="Calibri"/>
                <w:sz w:val="16"/>
                <w:szCs w:val="16"/>
              </w:rPr>
              <w:t>CRT tag (KAT)</w:t>
            </w:r>
          </w:p>
        </w:tc>
        <w:tc>
          <w:tcPr>
            <w:tcW w:w="415" w:type="pct"/>
            <w:tcBorders>
              <w:top w:val="single" w:sz="6" w:space="0" w:color="auto"/>
              <w:left w:val="single" w:sz="6" w:space="0" w:color="auto"/>
              <w:bottom w:val="single" w:sz="6" w:space="0" w:color="auto"/>
              <w:right w:val="single" w:sz="4" w:space="0" w:color="auto"/>
            </w:tcBorders>
            <w:hideMark/>
          </w:tcPr>
          <w:p w14:paraId="505FA2F9" w14:textId="77777777" w:rsidR="00B97365" w:rsidRDefault="00000000">
            <w:pPr>
              <w:jc w:val="center"/>
              <w:rPr>
                <w:rFonts w:cs="Calibri"/>
                <w:sz w:val="16"/>
                <w:szCs w:val="16"/>
              </w:rPr>
            </w:pPr>
            <w:r>
              <w:rPr>
                <w:rFonts w:cs="Calibri"/>
                <w:sz w:val="16"/>
                <w:szCs w:val="16"/>
              </w:rPr>
              <w:t>M</w:t>
            </w:r>
          </w:p>
        </w:tc>
      </w:tr>
      <w:tr w:rsidR="00B97365" w14:paraId="218FA367" w14:textId="77777777">
        <w:trPr>
          <w:cantSplit/>
        </w:trPr>
        <w:tc>
          <w:tcPr>
            <w:tcW w:w="409" w:type="pct"/>
            <w:tcBorders>
              <w:top w:val="single" w:sz="6" w:space="0" w:color="auto"/>
              <w:left w:val="single" w:sz="4" w:space="0" w:color="auto"/>
              <w:bottom w:val="single" w:sz="6" w:space="0" w:color="auto"/>
              <w:right w:val="single" w:sz="6" w:space="0" w:color="auto"/>
            </w:tcBorders>
          </w:tcPr>
          <w:p w14:paraId="04099498" w14:textId="77777777" w:rsidR="00B97365" w:rsidRDefault="00B97365">
            <w:pPr>
              <w:rPr>
                <w:rFonts w:cs="Calibri"/>
                <w:b/>
                <w:sz w:val="16"/>
                <w:szCs w:val="16"/>
              </w:rPr>
            </w:pPr>
          </w:p>
        </w:tc>
        <w:tc>
          <w:tcPr>
            <w:tcW w:w="443" w:type="pct"/>
            <w:tcBorders>
              <w:top w:val="single" w:sz="6" w:space="0" w:color="auto"/>
              <w:left w:val="single" w:sz="6" w:space="0" w:color="auto"/>
              <w:bottom w:val="single" w:sz="6" w:space="0" w:color="auto"/>
              <w:right w:val="single" w:sz="6" w:space="0" w:color="auto"/>
            </w:tcBorders>
          </w:tcPr>
          <w:p w14:paraId="7E963733" w14:textId="77777777" w:rsidR="00B97365" w:rsidRDefault="00B97365">
            <w:pPr>
              <w:rPr>
                <w:rFonts w:cs="Calibri"/>
                <w:b/>
                <w:sz w:val="16"/>
                <w:szCs w:val="16"/>
              </w:rPr>
            </w:pPr>
          </w:p>
        </w:tc>
        <w:tc>
          <w:tcPr>
            <w:tcW w:w="319" w:type="pct"/>
            <w:tcBorders>
              <w:top w:val="single" w:sz="6" w:space="0" w:color="auto"/>
              <w:left w:val="single" w:sz="6" w:space="0" w:color="auto"/>
              <w:bottom w:val="single" w:sz="6" w:space="0" w:color="auto"/>
              <w:right w:val="single" w:sz="6" w:space="0" w:color="auto"/>
            </w:tcBorders>
          </w:tcPr>
          <w:p w14:paraId="63D09144" w14:textId="77777777" w:rsidR="00B97365" w:rsidRDefault="00B97365">
            <w:pPr>
              <w:rPr>
                <w:rFonts w:cs="Calibri"/>
                <w:b/>
                <w:sz w:val="16"/>
                <w:szCs w:val="16"/>
              </w:rPr>
            </w:pPr>
          </w:p>
        </w:tc>
        <w:tc>
          <w:tcPr>
            <w:tcW w:w="463" w:type="pct"/>
            <w:tcBorders>
              <w:top w:val="single" w:sz="6" w:space="0" w:color="auto"/>
              <w:left w:val="single" w:sz="6" w:space="0" w:color="auto"/>
              <w:bottom w:val="single" w:sz="6" w:space="0" w:color="auto"/>
              <w:right w:val="single" w:sz="6" w:space="0" w:color="auto"/>
            </w:tcBorders>
          </w:tcPr>
          <w:p w14:paraId="5361D3B7" w14:textId="77777777" w:rsidR="00B97365" w:rsidRDefault="00B97365">
            <w:pPr>
              <w:rPr>
                <w:rFonts w:cs="Calibri"/>
                <w:b/>
                <w:sz w:val="16"/>
                <w:szCs w:val="16"/>
              </w:rPr>
            </w:pPr>
          </w:p>
        </w:tc>
        <w:tc>
          <w:tcPr>
            <w:tcW w:w="735" w:type="pct"/>
            <w:tcBorders>
              <w:top w:val="single" w:sz="6" w:space="0" w:color="auto"/>
              <w:left w:val="single" w:sz="6" w:space="0" w:color="auto"/>
              <w:bottom w:val="single" w:sz="6" w:space="0" w:color="auto"/>
              <w:right w:val="single" w:sz="6" w:space="0" w:color="auto"/>
            </w:tcBorders>
            <w:shd w:val="clear" w:color="auto" w:fill="C00000"/>
            <w:hideMark/>
          </w:tcPr>
          <w:p w14:paraId="6B03F08A" w14:textId="77777777" w:rsidR="00B97365" w:rsidRDefault="00000000">
            <w:pPr>
              <w:spacing w:after="120" w:line="276" w:lineRule="auto"/>
              <w:jc w:val="center"/>
              <w:rPr>
                <w:rFonts w:cs="Calibri"/>
                <w:b/>
                <w:color w:val="FFFFFF"/>
                <w:sz w:val="16"/>
                <w:szCs w:val="16"/>
              </w:rPr>
            </w:pPr>
            <w:r>
              <w:rPr>
                <w:rFonts w:cs="Calibri"/>
                <w:b/>
                <w:color w:val="FFFFFF"/>
                <w:sz w:val="16"/>
                <w:szCs w:val="16"/>
              </w:rPr>
              <w:t>Tag</w:t>
            </w:r>
          </w:p>
        </w:tc>
        <w:tc>
          <w:tcPr>
            <w:tcW w:w="885" w:type="pct"/>
            <w:tcBorders>
              <w:top w:val="single" w:sz="6" w:space="0" w:color="auto"/>
              <w:left w:val="single" w:sz="6" w:space="0" w:color="auto"/>
              <w:bottom w:val="single" w:sz="6" w:space="0" w:color="auto"/>
              <w:right w:val="single" w:sz="6" w:space="0" w:color="auto"/>
            </w:tcBorders>
            <w:shd w:val="clear" w:color="auto" w:fill="C00000"/>
            <w:hideMark/>
          </w:tcPr>
          <w:p w14:paraId="112FCEE7" w14:textId="77777777" w:rsidR="00B97365" w:rsidRDefault="00000000">
            <w:pPr>
              <w:spacing w:after="120" w:line="276" w:lineRule="auto"/>
              <w:jc w:val="center"/>
              <w:rPr>
                <w:rFonts w:cs="Calibri"/>
                <w:b/>
                <w:color w:val="FFFFFF"/>
                <w:sz w:val="16"/>
                <w:szCs w:val="16"/>
              </w:rPr>
            </w:pPr>
            <w:r>
              <w:rPr>
                <w:rFonts w:cs="Calibri"/>
                <w:b/>
                <w:color w:val="FFFFFF"/>
                <w:sz w:val="16"/>
                <w:szCs w:val="16"/>
              </w:rPr>
              <w:t>Length</w:t>
            </w:r>
          </w:p>
        </w:tc>
        <w:tc>
          <w:tcPr>
            <w:tcW w:w="1330" w:type="pct"/>
            <w:tcBorders>
              <w:top w:val="single" w:sz="6" w:space="0" w:color="auto"/>
              <w:left w:val="single" w:sz="6" w:space="0" w:color="auto"/>
              <w:bottom w:val="single" w:sz="6" w:space="0" w:color="auto"/>
              <w:right w:val="single" w:sz="6" w:space="0" w:color="auto"/>
            </w:tcBorders>
            <w:shd w:val="clear" w:color="auto" w:fill="C00000"/>
            <w:hideMark/>
          </w:tcPr>
          <w:p w14:paraId="722135A1" w14:textId="77777777" w:rsidR="00B97365" w:rsidRDefault="00000000">
            <w:pPr>
              <w:spacing w:after="120" w:line="276" w:lineRule="auto"/>
              <w:rPr>
                <w:rFonts w:cs="Calibri"/>
                <w:b/>
                <w:color w:val="FFFFFF"/>
                <w:sz w:val="16"/>
                <w:szCs w:val="16"/>
              </w:rPr>
            </w:pPr>
            <w:r>
              <w:rPr>
                <w:rFonts w:cs="Calibri"/>
                <w:b/>
                <w:color w:val="FFFFFF"/>
                <w:sz w:val="16"/>
                <w:szCs w:val="16"/>
              </w:rPr>
              <w:t>Value Description</w:t>
            </w:r>
          </w:p>
        </w:tc>
        <w:tc>
          <w:tcPr>
            <w:tcW w:w="415" w:type="pct"/>
            <w:tcBorders>
              <w:top w:val="single" w:sz="6" w:space="0" w:color="auto"/>
              <w:left w:val="single" w:sz="6" w:space="0" w:color="auto"/>
              <w:bottom w:val="single" w:sz="6" w:space="0" w:color="auto"/>
              <w:right w:val="single" w:sz="4" w:space="0" w:color="auto"/>
            </w:tcBorders>
            <w:shd w:val="clear" w:color="auto" w:fill="C00000"/>
            <w:hideMark/>
          </w:tcPr>
          <w:p w14:paraId="7F1346CA"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1EA7266" w14:textId="77777777">
        <w:trPr>
          <w:cantSplit/>
        </w:trPr>
        <w:tc>
          <w:tcPr>
            <w:tcW w:w="409" w:type="pct"/>
            <w:tcBorders>
              <w:top w:val="single" w:sz="6" w:space="0" w:color="auto"/>
              <w:left w:val="single" w:sz="4" w:space="0" w:color="auto"/>
              <w:bottom w:val="single" w:sz="6" w:space="0" w:color="auto"/>
              <w:right w:val="single" w:sz="6" w:space="0" w:color="auto"/>
            </w:tcBorders>
          </w:tcPr>
          <w:p w14:paraId="1E7C6F2D"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26C1D323"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74CDAB9F"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113DDEA9"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0D93C274" w14:textId="77777777" w:rsidR="00B97365" w:rsidRDefault="00000000">
            <w:pPr>
              <w:rPr>
                <w:rFonts w:cs="Calibri"/>
                <w:sz w:val="16"/>
                <w:szCs w:val="16"/>
              </w:rPr>
            </w:pPr>
            <w:r>
              <w:rPr>
                <w:rFonts w:cs="Calibri"/>
                <w:sz w:val="16"/>
                <w:szCs w:val="16"/>
              </w:rPr>
              <w:t>'90'</w:t>
            </w:r>
          </w:p>
        </w:tc>
        <w:tc>
          <w:tcPr>
            <w:tcW w:w="885" w:type="pct"/>
            <w:tcBorders>
              <w:top w:val="single" w:sz="6" w:space="0" w:color="auto"/>
              <w:left w:val="single" w:sz="6" w:space="0" w:color="auto"/>
              <w:bottom w:val="single" w:sz="6" w:space="0" w:color="auto"/>
              <w:right w:val="single" w:sz="6" w:space="0" w:color="auto"/>
            </w:tcBorders>
            <w:hideMark/>
          </w:tcPr>
          <w:p w14:paraId="7897936F" w14:textId="77777777" w:rsidR="00B97365" w:rsidRDefault="00000000">
            <w:pPr>
              <w:rPr>
                <w:rFonts w:cs="Calibri"/>
                <w:sz w:val="16"/>
                <w:szCs w:val="16"/>
              </w:rPr>
            </w:pPr>
            <w:r>
              <w:rPr>
                <w:rFonts w:cs="Calibri"/>
                <w:sz w:val="16"/>
                <w:szCs w:val="16"/>
              </w:rPr>
              <w:t>2</w:t>
            </w:r>
          </w:p>
        </w:tc>
        <w:tc>
          <w:tcPr>
            <w:tcW w:w="1330" w:type="pct"/>
            <w:tcBorders>
              <w:top w:val="single" w:sz="6" w:space="0" w:color="auto"/>
              <w:left w:val="single" w:sz="6" w:space="0" w:color="auto"/>
              <w:bottom w:val="single" w:sz="6" w:space="0" w:color="auto"/>
              <w:right w:val="single" w:sz="6" w:space="0" w:color="auto"/>
            </w:tcBorders>
            <w:hideMark/>
          </w:tcPr>
          <w:p w14:paraId="6A000B79" w14:textId="3F009798" w:rsidR="00B97365" w:rsidRDefault="00000000">
            <w:pPr>
              <w:rPr>
                <w:rFonts w:cs="Calibri"/>
                <w:sz w:val="16"/>
                <w:szCs w:val="16"/>
              </w:rPr>
            </w:pPr>
            <w:r>
              <w:rPr>
                <w:rFonts w:cs="Calibri"/>
                <w:sz w:val="16"/>
                <w:szCs w:val="16"/>
              </w:rPr>
              <w:t xml:space="preserve">Scenario identifier ‘03’ (see GlobalPlatform Card Specification Amendment E: Security Upgrade for Card Content Management  </w:t>
            </w:r>
            <w:r>
              <w:fldChar w:fldCharType="begin"/>
            </w:r>
            <w:r>
              <w:rPr>
                <w:rFonts w:cs="Calibri"/>
                <w:sz w:val="16"/>
                <w:szCs w:val="16"/>
              </w:rPr>
              <w:instrText xml:space="preserve"> REF _Ref421632038 \r \h </w:instrText>
            </w:r>
            <w:r>
              <w:fldChar w:fldCharType="separate"/>
            </w:r>
            <w:r w:rsidR="001D5AD9">
              <w:rPr>
                <w:rFonts w:cs="Calibri"/>
                <w:sz w:val="16"/>
                <w:szCs w:val="16"/>
              </w:rPr>
              <w:t>[11]</w:t>
            </w:r>
            <w:r>
              <w:fldChar w:fldCharType="end"/>
            </w:r>
            <w:r>
              <w:rPr>
                <w:rFonts w:cs="Calibri"/>
                <w:sz w:val="16"/>
                <w:szCs w:val="16"/>
              </w:rPr>
              <w:t xml:space="preserve"> section 4.8.1)</w:t>
            </w:r>
          </w:p>
          <w:p w14:paraId="1EC50E6E" w14:textId="4EA4B678" w:rsidR="00B97365" w:rsidRDefault="00000000">
            <w:pPr>
              <w:rPr>
                <w:rFonts w:cs="Calibri"/>
                <w:sz w:val="16"/>
                <w:szCs w:val="16"/>
              </w:rPr>
            </w:pPr>
            <w:r>
              <w:rPr>
                <w:rFonts w:cs="Calibri"/>
                <w:sz w:val="16"/>
                <w:szCs w:val="16"/>
              </w:rPr>
              <w:t xml:space="preserve">Scenario Parameters ‘0X’ (See </w:t>
            </w:r>
            <w:r>
              <w:fldChar w:fldCharType="begin"/>
            </w:r>
            <w:r>
              <w:rPr>
                <w:rFonts w:cs="Calibri"/>
                <w:sz w:val="16"/>
                <w:szCs w:val="16"/>
              </w:rPr>
              <w:instrText xml:space="preserve"> REF _Ref421800743 \r \h </w:instrText>
            </w:r>
            <w:r>
              <w:fldChar w:fldCharType="separate"/>
            </w:r>
            <w:r w:rsidR="001D5AD9">
              <w:rPr>
                <w:rFonts w:cs="Calibri"/>
                <w:sz w:val="16"/>
                <w:szCs w:val="16"/>
              </w:rPr>
              <w:t>Table 83</w:t>
            </w:r>
            <w:r>
              <w:fldChar w:fldCharType="end"/>
            </w:r>
            <w:r>
              <w:rPr>
                <w:rFonts w:cs="Calibri"/>
                <w:sz w:val="16"/>
                <w:szCs w:val="16"/>
              </w:rPr>
              <w:t>)</w:t>
            </w:r>
          </w:p>
        </w:tc>
        <w:tc>
          <w:tcPr>
            <w:tcW w:w="415" w:type="pct"/>
            <w:tcBorders>
              <w:top w:val="single" w:sz="6" w:space="0" w:color="auto"/>
              <w:left w:val="single" w:sz="6" w:space="0" w:color="auto"/>
              <w:bottom w:val="single" w:sz="6" w:space="0" w:color="auto"/>
              <w:right w:val="single" w:sz="4" w:space="0" w:color="auto"/>
            </w:tcBorders>
            <w:hideMark/>
          </w:tcPr>
          <w:p w14:paraId="08C753E7" w14:textId="77777777" w:rsidR="00B97365" w:rsidRDefault="00000000">
            <w:pPr>
              <w:jc w:val="center"/>
              <w:rPr>
                <w:rFonts w:cs="Calibri"/>
                <w:sz w:val="16"/>
                <w:szCs w:val="16"/>
              </w:rPr>
            </w:pPr>
            <w:r>
              <w:rPr>
                <w:rFonts w:cs="Calibri"/>
                <w:sz w:val="16"/>
                <w:szCs w:val="16"/>
              </w:rPr>
              <w:t>M</w:t>
            </w:r>
          </w:p>
        </w:tc>
      </w:tr>
      <w:tr w:rsidR="00B97365" w14:paraId="56AB0819" w14:textId="77777777">
        <w:trPr>
          <w:cantSplit/>
        </w:trPr>
        <w:tc>
          <w:tcPr>
            <w:tcW w:w="409" w:type="pct"/>
            <w:tcBorders>
              <w:top w:val="single" w:sz="6" w:space="0" w:color="auto"/>
              <w:left w:val="single" w:sz="4" w:space="0" w:color="auto"/>
              <w:bottom w:val="single" w:sz="6" w:space="0" w:color="auto"/>
              <w:right w:val="single" w:sz="6" w:space="0" w:color="auto"/>
            </w:tcBorders>
          </w:tcPr>
          <w:p w14:paraId="7A3396B5"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28298DEC"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5D366D6D"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0C10CE82"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7BCF17E1" w14:textId="77777777" w:rsidR="00B97365" w:rsidRDefault="00000000">
            <w:pPr>
              <w:rPr>
                <w:rFonts w:cs="Calibri"/>
                <w:sz w:val="16"/>
                <w:szCs w:val="16"/>
              </w:rPr>
            </w:pPr>
            <w:r>
              <w:rPr>
                <w:rFonts w:cs="Calibri"/>
                <w:sz w:val="16"/>
                <w:szCs w:val="16"/>
              </w:rPr>
              <w:t>'95'</w:t>
            </w:r>
          </w:p>
        </w:tc>
        <w:tc>
          <w:tcPr>
            <w:tcW w:w="885" w:type="pct"/>
            <w:tcBorders>
              <w:top w:val="single" w:sz="6" w:space="0" w:color="auto"/>
              <w:left w:val="single" w:sz="6" w:space="0" w:color="auto"/>
              <w:bottom w:val="single" w:sz="6" w:space="0" w:color="auto"/>
              <w:right w:val="single" w:sz="6" w:space="0" w:color="auto"/>
            </w:tcBorders>
            <w:hideMark/>
          </w:tcPr>
          <w:p w14:paraId="52D41DF4" w14:textId="77777777" w:rsidR="00B97365" w:rsidRDefault="00000000">
            <w:pPr>
              <w:rPr>
                <w:rFonts w:cs="Calibri"/>
                <w:sz w:val="16"/>
                <w:szCs w:val="16"/>
              </w:rPr>
            </w:pPr>
            <w:r>
              <w:rPr>
                <w:rFonts w:cs="Calibri"/>
                <w:sz w:val="16"/>
                <w:szCs w:val="16"/>
              </w:rPr>
              <w:t>'01'</w:t>
            </w:r>
          </w:p>
        </w:tc>
        <w:tc>
          <w:tcPr>
            <w:tcW w:w="1330" w:type="pct"/>
            <w:tcBorders>
              <w:top w:val="single" w:sz="6" w:space="0" w:color="auto"/>
              <w:left w:val="single" w:sz="6" w:space="0" w:color="auto"/>
              <w:bottom w:val="single" w:sz="6" w:space="0" w:color="auto"/>
              <w:right w:val="single" w:sz="6" w:space="0" w:color="auto"/>
            </w:tcBorders>
            <w:hideMark/>
          </w:tcPr>
          <w:p w14:paraId="2E8E065D" w14:textId="77777777" w:rsidR="00B97365" w:rsidRDefault="00000000">
            <w:pPr>
              <w:rPr>
                <w:rFonts w:cs="Calibri"/>
                <w:bCs/>
                <w:sz w:val="16"/>
                <w:szCs w:val="16"/>
              </w:rPr>
            </w:pPr>
            <w:r>
              <w:rPr>
                <w:rFonts w:cs="Calibri"/>
                <w:sz w:val="16"/>
                <w:szCs w:val="16"/>
              </w:rPr>
              <w:t>Key Usage Qualifier</w:t>
            </w:r>
            <w:r>
              <w:rPr>
                <w:rFonts w:cs="Calibri"/>
                <w:sz w:val="16"/>
                <w:szCs w:val="16"/>
              </w:rPr>
              <w:br/>
              <w:t xml:space="preserve">   '5C' (1 secure channel base key) or</w:t>
            </w:r>
          </w:p>
          <w:p w14:paraId="1996E6C5" w14:textId="2CDEF827" w:rsidR="00B97365" w:rsidRDefault="00000000">
            <w:pPr>
              <w:rPr>
                <w:rFonts w:cs="Calibri"/>
                <w:sz w:val="16"/>
                <w:szCs w:val="16"/>
              </w:rPr>
            </w:pPr>
            <w:r>
              <w:rPr>
                <w:rFonts w:cs="Calibri"/>
                <w:sz w:val="16"/>
                <w:szCs w:val="16"/>
              </w:rPr>
              <w:t xml:space="preserve">   '10' (3 secure channel keys)</w:t>
            </w:r>
            <w:r>
              <w:rPr>
                <w:rFonts w:cs="Calibri"/>
                <w:sz w:val="16"/>
                <w:szCs w:val="16"/>
              </w:rPr>
              <w:br/>
              <w:t xml:space="preserve">   (see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11-17)</w:t>
            </w:r>
          </w:p>
        </w:tc>
        <w:tc>
          <w:tcPr>
            <w:tcW w:w="415" w:type="pct"/>
            <w:tcBorders>
              <w:top w:val="single" w:sz="6" w:space="0" w:color="auto"/>
              <w:left w:val="single" w:sz="6" w:space="0" w:color="auto"/>
              <w:bottom w:val="single" w:sz="6" w:space="0" w:color="auto"/>
              <w:right w:val="single" w:sz="4" w:space="0" w:color="auto"/>
            </w:tcBorders>
            <w:hideMark/>
          </w:tcPr>
          <w:p w14:paraId="4D1FC3E5" w14:textId="77777777" w:rsidR="00B97365" w:rsidRDefault="00000000">
            <w:pPr>
              <w:jc w:val="center"/>
              <w:rPr>
                <w:rFonts w:cs="Calibri"/>
                <w:sz w:val="16"/>
                <w:szCs w:val="16"/>
              </w:rPr>
            </w:pPr>
            <w:r>
              <w:rPr>
                <w:rFonts w:cs="Calibri"/>
                <w:sz w:val="16"/>
                <w:szCs w:val="16"/>
              </w:rPr>
              <w:t>M</w:t>
            </w:r>
          </w:p>
        </w:tc>
      </w:tr>
      <w:tr w:rsidR="00B97365" w14:paraId="3BE32545" w14:textId="77777777">
        <w:trPr>
          <w:cantSplit/>
        </w:trPr>
        <w:tc>
          <w:tcPr>
            <w:tcW w:w="409" w:type="pct"/>
            <w:tcBorders>
              <w:top w:val="single" w:sz="6" w:space="0" w:color="auto"/>
              <w:left w:val="single" w:sz="4" w:space="0" w:color="auto"/>
              <w:bottom w:val="single" w:sz="6" w:space="0" w:color="auto"/>
              <w:right w:val="single" w:sz="6" w:space="0" w:color="auto"/>
            </w:tcBorders>
          </w:tcPr>
          <w:p w14:paraId="7A629419"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32D88E4D"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38D7E655"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4DAC13DC"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5D82B59D" w14:textId="77777777" w:rsidR="00B97365" w:rsidRDefault="00000000">
            <w:pPr>
              <w:rPr>
                <w:rFonts w:cs="Calibri"/>
                <w:sz w:val="16"/>
                <w:szCs w:val="16"/>
              </w:rPr>
            </w:pPr>
            <w:r>
              <w:rPr>
                <w:rFonts w:cs="Calibri"/>
                <w:sz w:val="16"/>
                <w:szCs w:val="16"/>
              </w:rPr>
              <w:t>'96'</w:t>
            </w:r>
          </w:p>
        </w:tc>
        <w:tc>
          <w:tcPr>
            <w:tcW w:w="885" w:type="pct"/>
            <w:tcBorders>
              <w:top w:val="single" w:sz="6" w:space="0" w:color="auto"/>
              <w:left w:val="single" w:sz="6" w:space="0" w:color="auto"/>
              <w:bottom w:val="single" w:sz="6" w:space="0" w:color="auto"/>
              <w:right w:val="single" w:sz="6" w:space="0" w:color="auto"/>
            </w:tcBorders>
            <w:hideMark/>
          </w:tcPr>
          <w:p w14:paraId="7A7E27F1" w14:textId="77777777" w:rsidR="00B97365" w:rsidRDefault="00000000">
            <w:pPr>
              <w:rPr>
                <w:rFonts w:cs="Calibri"/>
                <w:sz w:val="16"/>
                <w:szCs w:val="16"/>
              </w:rPr>
            </w:pPr>
            <w:r>
              <w:rPr>
                <w:rFonts w:cs="Calibri"/>
                <w:sz w:val="16"/>
                <w:szCs w:val="16"/>
              </w:rPr>
              <w:t>'01'</w:t>
            </w:r>
          </w:p>
        </w:tc>
        <w:tc>
          <w:tcPr>
            <w:tcW w:w="1330" w:type="pct"/>
            <w:tcBorders>
              <w:top w:val="single" w:sz="6" w:space="0" w:color="auto"/>
              <w:left w:val="single" w:sz="6" w:space="0" w:color="auto"/>
              <w:bottom w:val="single" w:sz="6" w:space="0" w:color="auto"/>
              <w:right w:val="single" w:sz="6" w:space="0" w:color="auto"/>
            </w:tcBorders>
            <w:hideMark/>
          </w:tcPr>
          <w:p w14:paraId="54CF3592" w14:textId="1544993B" w:rsidR="00B97365" w:rsidRDefault="00000000">
            <w:pPr>
              <w:rPr>
                <w:rFonts w:cs="Calibri"/>
                <w:sz w:val="16"/>
                <w:szCs w:val="16"/>
              </w:rPr>
            </w:pPr>
            <w:r>
              <w:rPr>
                <w:rFonts w:cs="Calibri"/>
                <w:sz w:val="16"/>
                <w:szCs w:val="16"/>
              </w:rPr>
              <w:t xml:space="preserve">Key Access according to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11-18 – if present</w:t>
            </w:r>
          </w:p>
        </w:tc>
        <w:tc>
          <w:tcPr>
            <w:tcW w:w="415" w:type="pct"/>
            <w:tcBorders>
              <w:top w:val="single" w:sz="6" w:space="0" w:color="auto"/>
              <w:left w:val="single" w:sz="6" w:space="0" w:color="auto"/>
              <w:bottom w:val="single" w:sz="6" w:space="0" w:color="auto"/>
              <w:right w:val="single" w:sz="4" w:space="0" w:color="auto"/>
            </w:tcBorders>
            <w:hideMark/>
          </w:tcPr>
          <w:p w14:paraId="2C4706F8" w14:textId="77777777" w:rsidR="00B97365" w:rsidRDefault="00000000">
            <w:pPr>
              <w:jc w:val="center"/>
              <w:rPr>
                <w:rFonts w:cs="Calibri"/>
                <w:sz w:val="16"/>
                <w:szCs w:val="16"/>
              </w:rPr>
            </w:pPr>
            <w:r>
              <w:rPr>
                <w:rFonts w:cs="Calibri"/>
                <w:sz w:val="16"/>
                <w:szCs w:val="16"/>
              </w:rPr>
              <w:t>C</w:t>
            </w:r>
          </w:p>
        </w:tc>
      </w:tr>
      <w:tr w:rsidR="00B97365" w14:paraId="751EA207" w14:textId="77777777">
        <w:trPr>
          <w:cantSplit/>
        </w:trPr>
        <w:tc>
          <w:tcPr>
            <w:tcW w:w="409" w:type="pct"/>
            <w:tcBorders>
              <w:top w:val="single" w:sz="6" w:space="0" w:color="auto"/>
              <w:left w:val="single" w:sz="4" w:space="0" w:color="auto"/>
              <w:bottom w:val="single" w:sz="6" w:space="0" w:color="auto"/>
              <w:right w:val="single" w:sz="6" w:space="0" w:color="auto"/>
            </w:tcBorders>
          </w:tcPr>
          <w:p w14:paraId="1419A55B"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36E94D01"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2F3BFB00"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2B190E76"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7B4C8813" w14:textId="77777777" w:rsidR="00B97365" w:rsidRDefault="00000000">
            <w:pPr>
              <w:rPr>
                <w:rFonts w:cs="Calibri"/>
                <w:sz w:val="16"/>
                <w:szCs w:val="16"/>
              </w:rPr>
            </w:pPr>
            <w:r>
              <w:rPr>
                <w:rFonts w:cs="Calibri"/>
                <w:sz w:val="16"/>
                <w:szCs w:val="16"/>
              </w:rPr>
              <w:t>'80'</w:t>
            </w:r>
          </w:p>
        </w:tc>
        <w:tc>
          <w:tcPr>
            <w:tcW w:w="885" w:type="pct"/>
            <w:tcBorders>
              <w:top w:val="single" w:sz="6" w:space="0" w:color="auto"/>
              <w:left w:val="single" w:sz="6" w:space="0" w:color="auto"/>
              <w:bottom w:val="single" w:sz="6" w:space="0" w:color="auto"/>
              <w:right w:val="single" w:sz="6" w:space="0" w:color="auto"/>
            </w:tcBorders>
            <w:hideMark/>
          </w:tcPr>
          <w:p w14:paraId="420D3E7B" w14:textId="77777777" w:rsidR="00B97365" w:rsidRDefault="00000000">
            <w:pPr>
              <w:rPr>
                <w:rFonts w:cs="Calibri"/>
                <w:sz w:val="16"/>
                <w:szCs w:val="16"/>
              </w:rPr>
            </w:pPr>
            <w:r>
              <w:rPr>
                <w:rFonts w:cs="Calibri"/>
                <w:sz w:val="16"/>
                <w:szCs w:val="16"/>
              </w:rPr>
              <w:t>'01'</w:t>
            </w:r>
          </w:p>
        </w:tc>
        <w:tc>
          <w:tcPr>
            <w:tcW w:w="1330" w:type="pct"/>
            <w:tcBorders>
              <w:top w:val="single" w:sz="6" w:space="0" w:color="auto"/>
              <w:left w:val="single" w:sz="6" w:space="0" w:color="auto"/>
              <w:bottom w:val="single" w:sz="6" w:space="0" w:color="auto"/>
              <w:right w:val="single" w:sz="6" w:space="0" w:color="auto"/>
            </w:tcBorders>
            <w:hideMark/>
          </w:tcPr>
          <w:p w14:paraId="1122DF03" w14:textId="26D6A236" w:rsidR="00B97365" w:rsidRDefault="00000000">
            <w:pPr>
              <w:rPr>
                <w:rFonts w:cs="Calibri"/>
                <w:sz w:val="16"/>
                <w:szCs w:val="16"/>
              </w:rPr>
            </w:pPr>
            <w:r>
              <w:rPr>
                <w:rFonts w:cs="Calibri"/>
                <w:sz w:val="16"/>
                <w:szCs w:val="16"/>
              </w:rPr>
              <w:t xml:space="preserve">Key Type according to </w:t>
            </w:r>
            <w:r>
              <w:rPr>
                <w:rFonts w:cs="Calibri"/>
                <w:bCs/>
                <w:sz w:val="16"/>
                <w:szCs w:val="16"/>
              </w:rPr>
              <w:t xml:space="preserve">GlobalPlatform Card Specification </w:t>
            </w:r>
            <w:r>
              <w:fldChar w:fldCharType="begin"/>
            </w:r>
            <w:r>
              <w:rPr>
                <w:rFonts w:cs="Calibri"/>
                <w:bCs/>
                <w:sz w:val="16"/>
                <w:szCs w:val="16"/>
              </w:rPr>
              <w:instrText xml:space="preserve"> REF _Ref421631311 \r \h </w:instrText>
            </w:r>
            <w:r>
              <w:fldChar w:fldCharType="separate"/>
            </w:r>
            <w:r w:rsidR="001D5AD9">
              <w:rPr>
                <w:rFonts w:cs="Calibri"/>
                <w:bCs/>
                <w:sz w:val="16"/>
                <w:szCs w:val="16"/>
              </w:rPr>
              <w:t>[6]</w:t>
            </w:r>
            <w:r>
              <w:fldChar w:fldCharType="end"/>
            </w:r>
            <w:r>
              <w:rPr>
                <w:rFonts w:cs="Calibri"/>
                <w:sz w:val="16"/>
                <w:szCs w:val="16"/>
              </w:rPr>
              <w:t xml:space="preserve"> Table 11-16</w:t>
            </w:r>
          </w:p>
        </w:tc>
        <w:tc>
          <w:tcPr>
            <w:tcW w:w="415" w:type="pct"/>
            <w:tcBorders>
              <w:top w:val="single" w:sz="6" w:space="0" w:color="auto"/>
              <w:left w:val="single" w:sz="6" w:space="0" w:color="auto"/>
              <w:bottom w:val="single" w:sz="6" w:space="0" w:color="auto"/>
              <w:right w:val="single" w:sz="4" w:space="0" w:color="auto"/>
            </w:tcBorders>
            <w:hideMark/>
          </w:tcPr>
          <w:p w14:paraId="01D21FE7" w14:textId="77777777" w:rsidR="00B97365" w:rsidRDefault="00000000">
            <w:pPr>
              <w:jc w:val="center"/>
              <w:rPr>
                <w:rFonts w:cs="Calibri"/>
                <w:sz w:val="16"/>
                <w:szCs w:val="16"/>
              </w:rPr>
            </w:pPr>
            <w:r>
              <w:rPr>
                <w:rFonts w:cs="Calibri"/>
                <w:sz w:val="16"/>
                <w:szCs w:val="16"/>
              </w:rPr>
              <w:t>M</w:t>
            </w:r>
          </w:p>
        </w:tc>
      </w:tr>
      <w:tr w:rsidR="00B97365" w14:paraId="0D2BB2A6" w14:textId="77777777">
        <w:trPr>
          <w:cantSplit/>
        </w:trPr>
        <w:tc>
          <w:tcPr>
            <w:tcW w:w="409" w:type="pct"/>
            <w:tcBorders>
              <w:top w:val="single" w:sz="6" w:space="0" w:color="auto"/>
              <w:left w:val="single" w:sz="4" w:space="0" w:color="auto"/>
              <w:bottom w:val="single" w:sz="6" w:space="0" w:color="auto"/>
              <w:right w:val="single" w:sz="6" w:space="0" w:color="auto"/>
            </w:tcBorders>
          </w:tcPr>
          <w:p w14:paraId="333AE0D4"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74D0005A"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6AAA66A4"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26309BCA"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31D551AD" w14:textId="77777777" w:rsidR="00B97365" w:rsidRDefault="00000000">
            <w:pPr>
              <w:rPr>
                <w:rFonts w:cs="Calibri"/>
                <w:sz w:val="16"/>
                <w:szCs w:val="16"/>
              </w:rPr>
            </w:pPr>
            <w:r>
              <w:rPr>
                <w:rFonts w:cs="Calibri"/>
                <w:sz w:val="16"/>
                <w:szCs w:val="16"/>
              </w:rPr>
              <w:t>'81'</w:t>
            </w:r>
          </w:p>
        </w:tc>
        <w:tc>
          <w:tcPr>
            <w:tcW w:w="885" w:type="pct"/>
            <w:tcBorders>
              <w:top w:val="single" w:sz="6" w:space="0" w:color="auto"/>
              <w:left w:val="single" w:sz="6" w:space="0" w:color="auto"/>
              <w:bottom w:val="single" w:sz="6" w:space="0" w:color="auto"/>
              <w:right w:val="single" w:sz="6" w:space="0" w:color="auto"/>
            </w:tcBorders>
            <w:hideMark/>
          </w:tcPr>
          <w:p w14:paraId="5FAB23A7" w14:textId="77777777" w:rsidR="00B97365" w:rsidRDefault="00000000">
            <w:pPr>
              <w:rPr>
                <w:rFonts w:cs="Calibri"/>
                <w:sz w:val="16"/>
                <w:szCs w:val="16"/>
              </w:rPr>
            </w:pPr>
            <w:r>
              <w:rPr>
                <w:rFonts w:cs="Calibri"/>
                <w:sz w:val="16"/>
                <w:szCs w:val="16"/>
              </w:rPr>
              <w:t>'01'</w:t>
            </w:r>
          </w:p>
        </w:tc>
        <w:tc>
          <w:tcPr>
            <w:tcW w:w="1330" w:type="pct"/>
            <w:tcBorders>
              <w:top w:val="single" w:sz="6" w:space="0" w:color="auto"/>
              <w:left w:val="single" w:sz="6" w:space="0" w:color="auto"/>
              <w:bottom w:val="single" w:sz="6" w:space="0" w:color="auto"/>
              <w:right w:val="single" w:sz="6" w:space="0" w:color="auto"/>
            </w:tcBorders>
            <w:hideMark/>
          </w:tcPr>
          <w:p w14:paraId="43839449" w14:textId="77777777" w:rsidR="00B97365" w:rsidRDefault="00000000">
            <w:pPr>
              <w:rPr>
                <w:rFonts w:cs="Calibri"/>
                <w:sz w:val="16"/>
                <w:szCs w:val="16"/>
              </w:rPr>
            </w:pPr>
            <w:r>
              <w:rPr>
                <w:rFonts w:cs="Calibri"/>
                <w:sz w:val="16"/>
                <w:szCs w:val="16"/>
              </w:rPr>
              <w:t>Key Length (in bytes)</w:t>
            </w:r>
          </w:p>
        </w:tc>
        <w:tc>
          <w:tcPr>
            <w:tcW w:w="415" w:type="pct"/>
            <w:tcBorders>
              <w:top w:val="single" w:sz="6" w:space="0" w:color="auto"/>
              <w:left w:val="single" w:sz="6" w:space="0" w:color="auto"/>
              <w:bottom w:val="single" w:sz="6" w:space="0" w:color="auto"/>
              <w:right w:val="single" w:sz="4" w:space="0" w:color="auto"/>
            </w:tcBorders>
            <w:hideMark/>
          </w:tcPr>
          <w:p w14:paraId="29DC8D76" w14:textId="77777777" w:rsidR="00B97365" w:rsidRDefault="00000000">
            <w:pPr>
              <w:jc w:val="center"/>
              <w:rPr>
                <w:rFonts w:cs="Calibri"/>
                <w:sz w:val="16"/>
                <w:szCs w:val="16"/>
              </w:rPr>
            </w:pPr>
            <w:r>
              <w:rPr>
                <w:rFonts w:cs="Calibri"/>
                <w:sz w:val="16"/>
                <w:szCs w:val="16"/>
              </w:rPr>
              <w:t>M</w:t>
            </w:r>
          </w:p>
        </w:tc>
      </w:tr>
      <w:tr w:rsidR="00B97365" w14:paraId="0E1F834C" w14:textId="77777777">
        <w:trPr>
          <w:cantSplit/>
        </w:trPr>
        <w:tc>
          <w:tcPr>
            <w:tcW w:w="409" w:type="pct"/>
            <w:tcBorders>
              <w:top w:val="single" w:sz="6" w:space="0" w:color="auto"/>
              <w:left w:val="single" w:sz="4" w:space="0" w:color="auto"/>
              <w:bottom w:val="single" w:sz="6" w:space="0" w:color="auto"/>
              <w:right w:val="single" w:sz="6" w:space="0" w:color="auto"/>
            </w:tcBorders>
          </w:tcPr>
          <w:p w14:paraId="6071486B"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74F420F6"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54A17361"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50D42D60"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76DD8D3E" w14:textId="77777777" w:rsidR="00B97365" w:rsidRDefault="00000000">
            <w:pPr>
              <w:rPr>
                <w:rFonts w:cs="Calibri"/>
                <w:sz w:val="16"/>
                <w:szCs w:val="16"/>
              </w:rPr>
            </w:pPr>
            <w:r>
              <w:rPr>
                <w:rFonts w:cs="Calibri"/>
                <w:sz w:val="16"/>
                <w:szCs w:val="16"/>
              </w:rPr>
              <w:t>'82'</w:t>
            </w:r>
          </w:p>
        </w:tc>
        <w:tc>
          <w:tcPr>
            <w:tcW w:w="885" w:type="pct"/>
            <w:tcBorders>
              <w:top w:val="single" w:sz="6" w:space="0" w:color="auto"/>
              <w:left w:val="single" w:sz="6" w:space="0" w:color="auto"/>
              <w:bottom w:val="single" w:sz="6" w:space="0" w:color="auto"/>
              <w:right w:val="single" w:sz="6" w:space="0" w:color="auto"/>
            </w:tcBorders>
            <w:hideMark/>
          </w:tcPr>
          <w:p w14:paraId="2C808DC5" w14:textId="77777777" w:rsidR="00B97365" w:rsidRDefault="00000000">
            <w:pPr>
              <w:rPr>
                <w:rFonts w:cs="Calibri"/>
                <w:sz w:val="16"/>
                <w:szCs w:val="16"/>
              </w:rPr>
            </w:pPr>
            <w:r>
              <w:rPr>
                <w:rFonts w:cs="Calibri"/>
                <w:sz w:val="16"/>
                <w:szCs w:val="16"/>
              </w:rPr>
              <w:t>'01'</w:t>
            </w:r>
          </w:p>
        </w:tc>
        <w:tc>
          <w:tcPr>
            <w:tcW w:w="1330" w:type="pct"/>
            <w:tcBorders>
              <w:top w:val="single" w:sz="6" w:space="0" w:color="auto"/>
              <w:left w:val="single" w:sz="6" w:space="0" w:color="auto"/>
              <w:bottom w:val="single" w:sz="6" w:space="0" w:color="auto"/>
              <w:right w:val="single" w:sz="6" w:space="0" w:color="auto"/>
            </w:tcBorders>
            <w:hideMark/>
          </w:tcPr>
          <w:p w14:paraId="5ACB76FC" w14:textId="77777777" w:rsidR="00B97365" w:rsidRDefault="00000000">
            <w:pPr>
              <w:rPr>
                <w:rFonts w:cs="Calibri"/>
                <w:sz w:val="16"/>
                <w:szCs w:val="16"/>
              </w:rPr>
            </w:pPr>
            <w:r>
              <w:rPr>
                <w:rFonts w:cs="Calibri"/>
                <w:sz w:val="16"/>
                <w:szCs w:val="16"/>
              </w:rPr>
              <w:t>Key Identifier = '00' - '7F'</w:t>
            </w:r>
          </w:p>
        </w:tc>
        <w:tc>
          <w:tcPr>
            <w:tcW w:w="415" w:type="pct"/>
            <w:tcBorders>
              <w:top w:val="single" w:sz="6" w:space="0" w:color="auto"/>
              <w:left w:val="single" w:sz="6" w:space="0" w:color="auto"/>
              <w:bottom w:val="single" w:sz="6" w:space="0" w:color="auto"/>
              <w:right w:val="single" w:sz="4" w:space="0" w:color="auto"/>
            </w:tcBorders>
            <w:hideMark/>
          </w:tcPr>
          <w:p w14:paraId="4AA09922" w14:textId="77777777" w:rsidR="00B97365" w:rsidRDefault="00000000">
            <w:pPr>
              <w:jc w:val="center"/>
              <w:rPr>
                <w:rFonts w:cs="Calibri"/>
                <w:sz w:val="16"/>
                <w:szCs w:val="16"/>
              </w:rPr>
            </w:pPr>
            <w:r>
              <w:rPr>
                <w:rFonts w:cs="Calibri"/>
                <w:sz w:val="16"/>
                <w:szCs w:val="16"/>
              </w:rPr>
              <w:t>M</w:t>
            </w:r>
          </w:p>
        </w:tc>
      </w:tr>
      <w:tr w:rsidR="00B97365" w14:paraId="1FFDE6F5" w14:textId="77777777">
        <w:trPr>
          <w:cantSplit/>
        </w:trPr>
        <w:tc>
          <w:tcPr>
            <w:tcW w:w="409" w:type="pct"/>
            <w:tcBorders>
              <w:top w:val="single" w:sz="6" w:space="0" w:color="auto"/>
              <w:left w:val="single" w:sz="4" w:space="0" w:color="auto"/>
              <w:bottom w:val="single" w:sz="6" w:space="0" w:color="auto"/>
              <w:right w:val="single" w:sz="6" w:space="0" w:color="auto"/>
            </w:tcBorders>
          </w:tcPr>
          <w:p w14:paraId="69FCBB32"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1FA65D09"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4C4BDD03"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156AA584"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375C823C" w14:textId="77777777" w:rsidR="00B97365" w:rsidRDefault="00000000">
            <w:pPr>
              <w:rPr>
                <w:rFonts w:cs="Calibri"/>
                <w:sz w:val="16"/>
                <w:szCs w:val="16"/>
              </w:rPr>
            </w:pPr>
            <w:r>
              <w:rPr>
                <w:rFonts w:cs="Calibri"/>
                <w:sz w:val="16"/>
                <w:szCs w:val="16"/>
              </w:rPr>
              <w:t>'83'</w:t>
            </w:r>
          </w:p>
        </w:tc>
        <w:tc>
          <w:tcPr>
            <w:tcW w:w="885" w:type="pct"/>
            <w:tcBorders>
              <w:top w:val="single" w:sz="6" w:space="0" w:color="auto"/>
              <w:left w:val="single" w:sz="6" w:space="0" w:color="auto"/>
              <w:bottom w:val="single" w:sz="6" w:space="0" w:color="auto"/>
              <w:right w:val="single" w:sz="6" w:space="0" w:color="auto"/>
            </w:tcBorders>
            <w:hideMark/>
          </w:tcPr>
          <w:p w14:paraId="72FD03FF" w14:textId="77777777" w:rsidR="00B97365" w:rsidRDefault="00000000">
            <w:pPr>
              <w:rPr>
                <w:rFonts w:cs="Calibri"/>
                <w:sz w:val="16"/>
                <w:szCs w:val="16"/>
              </w:rPr>
            </w:pPr>
            <w:r>
              <w:rPr>
                <w:rFonts w:cs="Calibri"/>
                <w:sz w:val="16"/>
                <w:szCs w:val="16"/>
              </w:rPr>
              <w:t>'01'</w:t>
            </w:r>
          </w:p>
        </w:tc>
        <w:tc>
          <w:tcPr>
            <w:tcW w:w="1330" w:type="pct"/>
            <w:tcBorders>
              <w:top w:val="single" w:sz="6" w:space="0" w:color="auto"/>
              <w:left w:val="single" w:sz="6" w:space="0" w:color="auto"/>
              <w:bottom w:val="single" w:sz="6" w:space="0" w:color="auto"/>
              <w:right w:val="single" w:sz="6" w:space="0" w:color="auto"/>
            </w:tcBorders>
            <w:hideMark/>
          </w:tcPr>
          <w:p w14:paraId="6F8F436C" w14:textId="77777777" w:rsidR="00B97365" w:rsidRDefault="00000000">
            <w:pPr>
              <w:rPr>
                <w:rFonts w:cs="Calibri"/>
                <w:sz w:val="16"/>
                <w:szCs w:val="16"/>
              </w:rPr>
            </w:pPr>
            <w:r>
              <w:rPr>
                <w:rFonts w:cs="Calibri"/>
                <w:sz w:val="16"/>
                <w:szCs w:val="16"/>
              </w:rPr>
              <w:t>Key Version Number = '01' - '7F'</w:t>
            </w:r>
          </w:p>
        </w:tc>
        <w:tc>
          <w:tcPr>
            <w:tcW w:w="415" w:type="pct"/>
            <w:tcBorders>
              <w:top w:val="single" w:sz="6" w:space="0" w:color="auto"/>
              <w:left w:val="single" w:sz="6" w:space="0" w:color="auto"/>
              <w:bottom w:val="single" w:sz="6" w:space="0" w:color="auto"/>
              <w:right w:val="single" w:sz="4" w:space="0" w:color="auto"/>
            </w:tcBorders>
            <w:hideMark/>
          </w:tcPr>
          <w:p w14:paraId="661A74C0" w14:textId="77777777" w:rsidR="00B97365" w:rsidRDefault="00000000">
            <w:pPr>
              <w:jc w:val="center"/>
              <w:rPr>
                <w:rFonts w:cs="Calibri"/>
                <w:sz w:val="16"/>
                <w:szCs w:val="16"/>
              </w:rPr>
            </w:pPr>
            <w:r>
              <w:rPr>
                <w:rFonts w:cs="Calibri"/>
                <w:sz w:val="16"/>
                <w:szCs w:val="16"/>
              </w:rPr>
              <w:t>M</w:t>
            </w:r>
          </w:p>
        </w:tc>
      </w:tr>
      <w:tr w:rsidR="00B97365" w14:paraId="54BF1E34" w14:textId="77777777">
        <w:trPr>
          <w:cantSplit/>
        </w:trPr>
        <w:tc>
          <w:tcPr>
            <w:tcW w:w="409" w:type="pct"/>
            <w:tcBorders>
              <w:top w:val="single" w:sz="6" w:space="0" w:color="auto"/>
              <w:left w:val="single" w:sz="4" w:space="0" w:color="auto"/>
              <w:bottom w:val="single" w:sz="6" w:space="0" w:color="auto"/>
              <w:right w:val="single" w:sz="6" w:space="0" w:color="auto"/>
            </w:tcBorders>
          </w:tcPr>
          <w:p w14:paraId="6A920C7C"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7FF5D5D2"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1518E542"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771FD423"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1B1A47A4" w14:textId="77777777" w:rsidR="00B97365" w:rsidRDefault="00000000">
            <w:pPr>
              <w:rPr>
                <w:rFonts w:cs="Calibri"/>
                <w:sz w:val="16"/>
                <w:szCs w:val="16"/>
              </w:rPr>
            </w:pPr>
            <w:r>
              <w:rPr>
                <w:rFonts w:cs="Calibri"/>
                <w:sz w:val="16"/>
                <w:szCs w:val="16"/>
              </w:rPr>
              <w:t>'91'</w:t>
            </w:r>
          </w:p>
        </w:tc>
        <w:tc>
          <w:tcPr>
            <w:tcW w:w="885" w:type="pct"/>
            <w:tcBorders>
              <w:top w:val="single" w:sz="6" w:space="0" w:color="auto"/>
              <w:left w:val="single" w:sz="6" w:space="0" w:color="auto"/>
              <w:bottom w:val="single" w:sz="6" w:space="0" w:color="auto"/>
              <w:right w:val="single" w:sz="6" w:space="0" w:color="auto"/>
            </w:tcBorders>
            <w:hideMark/>
          </w:tcPr>
          <w:p w14:paraId="5A3B1B0B" w14:textId="77777777" w:rsidR="00B97365" w:rsidRDefault="00000000">
            <w:pPr>
              <w:rPr>
                <w:rFonts w:cs="Calibri"/>
                <w:sz w:val="16"/>
                <w:szCs w:val="16"/>
              </w:rPr>
            </w:pPr>
            <w:r>
              <w:rPr>
                <w:rFonts w:cs="Calibri"/>
                <w:sz w:val="16"/>
                <w:szCs w:val="16"/>
              </w:rPr>
              <w:t>'00', '02', '03', '05' or '08'</w:t>
            </w:r>
          </w:p>
        </w:tc>
        <w:tc>
          <w:tcPr>
            <w:tcW w:w="1330" w:type="pct"/>
            <w:tcBorders>
              <w:top w:val="single" w:sz="6" w:space="0" w:color="auto"/>
              <w:left w:val="single" w:sz="6" w:space="0" w:color="auto"/>
              <w:bottom w:val="single" w:sz="6" w:space="0" w:color="auto"/>
              <w:right w:val="single" w:sz="6" w:space="0" w:color="auto"/>
            </w:tcBorders>
            <w:hideMark/>
          </w:tcPr>
          <w:p w14:paraId="2889653E" w14:textId="77777777" w:rsidR="00B97365" w:rsidRDefault="00000000">
            <w:pPr>
              <w:rPr>
                <w:rFonts w:cs="Calibri"/>
                <w:sz w:val="16"/>
                <w:szCs w:val="16"/>
              </w:rPr>
            </w:pPr>
            <w:r>
              <w:rPr>
                <w:rFonts w:cs="Calibri"/>
                <w:sz w:val="16"/>
                <w:szCs w:val="16"/>
              </w:rPr>
              <w:t>Initial value of sequence counter</w:t>
            </w:r>
          </w:p>
        </w:tc>
        <w:tc>
          <w:tcPr>
            <w:tcW w:w="415" w:type="pct"/>
            <w:tcBorders>
              <w:top w:val="single" w:sz="6" w:space="0" w:color="auto"/>
              <w:left w:val="single" w:sz="6" w:space="0" w:color="auto"/>
              <w:bottom w:val="single" w:sz="6" w:space="0" w:color="auto"/>
              <w:right w:val="single" w:sz="4" w:space="0" w:color="auto"/>
            </w:tcBorders>
            <w:hideMark/>
          </w:tcPr>
          <w:p w14:paraId="39FDB2BF" w14:textId="77777777" w:rsidR="00B97365" w:rsidRDefault="00000000">
            <w:pPr>
              <w:jc w:val="center"/>
              <w:rPr>
                <w:rFonts w:cs="Calibri"/>
                <w:sz w:val="16"/>
                <w:szCs w:val="16"/>
              </w:rPr>
            </w:pPr>
            <w:r>
              <w:rPr>
                <w:rFonts w:cs="Calibri"/>
                <w:sz w:val="16"/>
                <w:szCs w:val="16"/>
              </w:rPr>
              <w:t>M</w:t>
            </w:r>
          </w:p>
        </w:tc>
      </w:tr>
      <w:tr w:rsidR="00B97365" w14:paraId="0620C45A" w14:textId="77777777">
        <w:trPr>
          <w:cantSplit/>
        </w:trPr>
        <w:tc>
          <w:tcPr>
            <w:tcW w:w="409" w:type="pct"/>
            <w:tcBorders>
              <w:top w:val="single" w:sz="6" w:space="0" w:color="auto"/>
              <w:left w:val="single" w:sz="4" w:space="0" w:color="auto"/>
              <w:bottom w:val="single" w:sz="6" w:space="0" w:color="auto"/>
              <w:right w:val="single" w:sz="6" w:space="0" w:color="auto"/>
            </w:tcBorders>
          </w:tcPr>
          <w:p w14:paraId="42F6A268"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0AC150BE"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35433E26"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6FB40953"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68D6A6F7" w14:textId="77777777" w:rsidR="00B97365" w:rsidRDefault="00000000">
            <w:pPr>
              <w:rPr>
                <w:rFonts w:cs="Calibri"/>
                <w:sz w:val="16"/>
                <w:szCs w:val="16"/>
              </w:rPr>
            </w:pPr>
            <w:r>
              <w:rPr>
                <w:rFonts w:cs="Calibri"/>
                <w:sz w:val="16"/>
                <w:szCs w:val="16"/>
              </w:rPr>
              <w:t>'45'</w:t>
            </w:r>
          </w:p>
        </w:tc>
        <w:tc>
          <w:tcPr>
            <w:tcW w:w="885" w:type="pct"/>
            <w:tcBorders>
              <w:top w:val="single" w:sz="6" w:space="0" w:color="auto"/>
              <w:left w:val="single" w:sz="6" w:space="0" w:color="auto"/>
              <w:bottom w:val="single" w:sz="6" w:space="0" w:color="auto"/>
              <w:right w:val="single" w:sz="6" w:space="0" w:color="auto"/>
            </w:tcBorders>
            <w:hideMark/>
          </w:tcPr>
          <w:p w14:paraId="0DD04EA4" w14:textId="77777777" w:rsidR="00B97365" w:rsidRDefault="00000000">
            <w:pPr>
              <w:rPr>
                <w:rFonts w:cs="Calibri"/>
                <w:sz w:val="16"/>
                <w:szCs w:val="16"/>
              </w:rPr>
            </w:pPr>
            <w:r>
              <w:rPr>
                <w:rFonts w:cs="Calibri"/>
                <w:sz w:val="16"/>
                <w:szCs w:val="16"/>
              </w:rPr>
              <w:t>1-n</w:t>
            </w:r>
          </w:p>
        </w:tc>
        <w:tc>
          <w:tcPr>
            <w:tcW w:w="1330" w:type="pct"/>
            <w:tcBorders>
              <w:top w:val="single" w:sz="6" w:space="0" w:color="auto"/>
              <w:left w:val="single" w:sz="6" w:space="0" w:color="auto"/>
              <w:bottom w:val="single" w:sz="6" w:space="0" w:color="auto"/>
              <w:right w:val="single" w:sz="6" w:space="0" w:color="auto"/>
            </w:tcBorders>
            <w:hideMark/>
          </w:tcPr>
          <w:p w14:paraId="0B659531" w14:textId="77777777" w:rsidR="00B97365" w:rsidRDefault="00000000">
            <w:pPr>
              <w:rPr>
                <w:rFonts w:cs="Calibri"/>
                <w:sz w:val="16"/>
                <w:szCs w:val="16"/>
              </w:rPr>
            </w:pPr>
            <w:r>
              <w:rPr>
                <w:rFonts w:cs="Calibri"/>
                <w:sz w:val="16"/>
                <w:szCs w:val="16"/>
              </w:rPr>
              <w:t>Security Domain Image Number (SDIN) – if present</w:t>
            </w:r>
          </w:p>
        </w:tc>
        <w:tc>
          <w:tcPr>
            <w:tcW w:w="415" w:type="pct"/>
            <w:tcBorders>
              <w:top w:val="single" w:sz="6" w:space="0" w:color="auto"/>
              <w:left w:val="single" w:sz="6" w:space="0" w:color="auto"/>
              <w:bottom w:val="single" w:sz="6" w:space="0" w:color="auto"/>
              <w:right w:val="single" w:sz="4" w:space="0" w:color="auto"/>
            </w:tcBorders>
            <w:hideMark/>
          </w:tcPr>
          <w:p w14:paraId="53192156" w14:textId="77777777" w:rsidR="00B97365" w:rsidRDefault="00000000">
            <w:pPr>
              <w:jc w:val="center"/>
              <w:rPr>
                <w:rFonts w:cs="Calibri"/>
                <w:sz w:val="16"/>
                <w:szCs w:val="16"/>
              </w:rPr>
            </w:pPr>
            <w:r>
              <w:rPr>
                <w:rFonts w:cs="Calibri"/>
                <w:sz w:val="16"/>
                <w:szCs w:val="16"/>
              </w:rPr>
              <w:t>C</w:t>
            </w:r>
          </w:p>
        </w:tc>
      </w:tr>
      <w:tr w:rsidR="00B97365" w14:paraId="06DD1611" w14:textId="77777777">
        <w:trPr>
          <w:cantSplit/>
        </w:trPr>
        <w:tc>
          <w:tcPr>
            <w:tcW w:w="409" w:type="pct"/>
            <w:tcBorders>
              <w:top w:val="single" w:sz="6" w:space="0" w:color="auto"/>
              <w:left w:val="single" w:sz="4" w:space="0" w:color="auto"/>
              <w:bottom w:val="single" w:sz="6" w:space="0" w:color="auto"/>
              <w:right w:val="single" w:sz="6" w:space="0" w:color="auto"/>
            </w:tcBorders>
          </w:tcPr>
          <w:p w14:paraId="32195796" w14:textId="77777777" w:rsidR="00B97365" w:rsidRDefault="00B97365">
            <w:pPr>
              <w:rPr>
                <w:rFonts w:cs="Calibri"/>
                <w:sz w:val="16"/>
                <w:szCs w:val="16"/>
              </w:rPr>
            </w:pPr>
          </w:p>
        </w:tc>
        <w:tc>
          <w:tcPr>
            <w:tcW w:w="443" w:type="pct"/>
            <w:tcBorders>
              <w:top w:val="single" w:sz="6" w:space="0" w:color="auto"/>
              <w:left w:val="single" w:sz="6" w:space="0" w:color="auto"/>
              <w:bottom w:val="single" w:sz="6" w:space="0" w:color="auto"/>
              <w:right w:val="single" w:sz="6" w:space="0" w:color="auto"/>
            </w:tcBorders>
          </w:tcPr>
          <w:p w14:paraId="1141D363" w14:textId="77777777" w:rsidR="00B97365" w:rsidRDefault="00B97365">
            <w:pPr>
              <w:rPr>
                <w:rFonts w:cs="Calibri"/>
                <w:sz w:val="16"/>
                <w:szCs w:val="16"/>
              </w:rPr>
            </w:pPr>
          </w:p>
        </w:tc>
        <w:tc>
          <w:tcPr>
            <w:tcW w:w="319" w:type="pct"/>
            <w:tcBorders>
              <w:top w:val="single" w:sz="6" w:space="0" w:color="auto"/>
              <w:left w:val="single" w:sz="6" w:space="0" w:color="auto"/>
              <w:bottom w:val="single" w:sz="6" w:space="0" w:color="auto"/>
              <w:right w:val="single" w:sz="6" w:space="0" w:color="auto"/>
            </w:tcBorders>
          </w:tcPr>
          <w:p w14:paraId="255731CB" w14:textId="77777777" w:rsidR="00B97365" w:rsidRDefault="00B97365">
            <w:pPr>
              <w:rPr>
                <w:rFonts w:cs="Calibri"/>
                <w:sz w:val="16"/>
                <w:szCs w:val="16"/>
              </w:rPr>
            </w:pPr>
          </w:p>
        </w:tc>
        <w:tc>
          <w:tcPr>
            <w:tcW w:w="463" w:type="pct"/>
            <w:tcBorders>
              <w:top w:val="single" w:sz="6" w:space="0" w:color="auto"/>
              <w:left w:val="single" w:sz="6" w:space="0" w:color="auto"/>
              <w:bottom w:val="single" w:sz="6" w:space="0" w:color="auto"/>
              <w:right w:val="single" w:sz="6" w:space="0" w:color="auto"/>
            </w:tcBorders>
          </w:tcPr>
          <w:p w14:paraId="1D1DEE66" w14:textId="77777777" w:rsidR="00B97365" w:rsidRDefault="00B97365">
            <w:pPr>
              <w:rPr>
                <w:rFonts w:cs="Calibri"/>
                <w:sz w:val="16"/>
                <w:szCs w:val="16"/>
              </w:rPr>
            </w:pPr>
          </w:p>
        </w:tc>
        <w:tc>
          <w:tcPr>
            <w:tcW w:w="735" w:type="pct"/>
            <w:tcBorders>
              <w:top w:val="single" w:sz="6" w:space="0" w:color="auto"/>
              <w:left w:val="single" w:sz="6" w:space="0" w:color="auto"/>
              <w:bottom w:val="single" w:sz="6" w:space="0" w:color="auto"/>
              <w:right w:val="single" w:sz="6" w:space="0" w:color="auto"/>
            </w:tcBorders>
            <w:hideMark/>
          </w:tcPr>
          <w:p w14:paraId="204F74A1" w14:textId="77777777" w:rsidR="00B97365" w:rsidRDefault="00000000">
            <w:pPr>
              <w:rPr>
                <w:rFonts w:cs="Calibri"/>
                <w:sz w:val="16"/>
                <w:szCs w:val="16"/>
              </w:rPr>
            </w:pPr>
            <w:r>
              <w:rPr>
                <w:rFonts w:cs="Calibri"/>
                <w:sz w:val="16"/>
                <w:szCs w:val="16"/>
              </w:rPr>
              <w:t>'84'</w:t>
            </w:r>
          </w:p>
        </w:tc>
        <w:tc>
          <w:tcPr>
            <w:tcW w:w="885" w:type="pct"/>
            <w:tcBorders>
              <w:top w:val="single" w:sz="6" w:space="0" w:color="auto"/>
              <w:left w:val="single" w:sz="6" w:space="0" w:color="auto"/>
              <w:bottom w:val="single" w:sz="6" w:space="0" w:color="auto"/>
              <w:right w:val="single" w:sz="6" w:space="0" w:color="auto"/>
            </w:tcBorders>
            <w:hideMark/>
          </w:tcPr>
          <w:p w14:paraId="233A1976" w14:textId="77777777" w:rsidR="00B97365" w:rsidRDefault="00000000">
            <w:pPr>
              <w:rPr>
                <w:rFonts w:cs="Calibri"/>
                <w:sz w:val="16"/>
                <w:szCs w:val="16"/>
              </w:rPr>
            </w:pPr>
            <w:r>
              <w:rPr>
                <w:rFonts w:cs="Calibri"/>
                <w:sz w:val="16"/>
                <w:szCs w:val="16"/>
              </w:rPr>
              <w:t>1-n</w:t>
            </w:r>
          </w:p>
        </w:tc>
        <w:tc>
          <w:tcPr>
            <w:tcW w:w="1330" w:type="pct"/>
            <w:tcBorders>
              <w:top w:val="single" w:sz="6" w:space="0" w:color="auto"/>
              <w:left w:val="single" w:sz="6" w:space="0" w:color="auto"/>
              <w:bottom w:val="single" w:sz="6" w:space="0" w:color="auto"/>
              <w:right w:val="single" w:sz="6" w:space="0" w:color="auto"/>
            </w:tcBorders>
            <w:hideMark/>
          </w:tcPr>
          <w:p w14:paraId="06EF7699" w14:textId="77777777" w:rsidR="00B97365" w:rsidRDefault="00000000">
            <w:pPr>
              <w:rPr>
                <w:rFonts w:cs="Calibri"/>
                <w:sz w:val="16"/>
                <w:szCs w:val="16"/>
              </w:rPr>
            </w:pPr>
            <w:r>
              <w:rPr>
                <w:rFonts w:cs="Calibri"/>
                <w:sz w:val="16"/>
                <w:szCs w:val="16"/>
              </w:rPr>
              <w:t>HostID (SHALL only be present if scenario parameter b3 is set)</w:t>
            </w:r>
          </w:p>
        </w:tc>
        <w:tc>
          <w:tcPr>
            <w:tcW w:w="415" w:type="pct"/>
            <w:tcBorders>
              <w:top w:val="single" w:sz="6" w:space="0" w:color="auto"/>
              <w:left w:val="single" w:sz="6" w:space="0" w:color="auto"/>
              <w:bottom w:val="single" w:sz="6" w:space="0" w:color="auto"/>
              <w:right w:val="single" w:sz="4" w:space="0" w:color="auto"/>
            </w:tcBorders>
            <w:hideMark/>
          </w:tcPr>
          <w:p w14:paraId="2BA57DEF" w14:textId="77777777" w:rsidR="00B97365" w:rsidRDefault="00000000">
            <w:pPr>
              <w:jc w:val="center"/>
              <w:rPr>
                <w:rFonts w:cs="Calibri"/>
                <w:sz w:val="16"/>
                <w:szCs w:val="16"/>
              </w:rPr>
            </w:pPr>
            <w:r>
              <w:rPr>
                <w:rFonts w:cs="Calibri"/>
                <w:sz w:val="16"/>
                <w:szCs w:val="16"/>
              </w:rPr>
              <w:t>C</w:t>
            </w:r>
          </w:p>
        </w:tc>
      </w:tr>
      <w:tr w:rsidR="00B97365" w14:paraId="26CC5E65" w14:textId="77777777">
        <w:trPr>
          <w:cantSplit/>
        </w:trPr>
        <w:tc>
          <w:tcPr>
            <w:tcW w:w="409" w:type="pct"/>
            <w:tcBorders>
              <w:top w:val="single" w:sz="6" w:space="0" w:color="auto"/>
              <w:left w:val="single" w:sz="4" w:space="0" w:color="auto"/>
              <w:bottom w:val="single" w:sz="6" w:space="0" w:color="auto"/>
              <w:right w:val="single" w:sz="6" w:space="0" w:color="auto"/>
            </w:tcBorders>
            <w:hideMark/>
          </w:tcPr>
          <w:p w14:paraId="6AA42E4A" w14:textId="77777777" w:rsidR="00B97365" w:rsidRDefault="00000000">
            <w:pPr>
              <w:rPr>
                <w:rFonts w:cs="Calibri"/>
                <w:sz w:val="16"/>
                <w:szCs w:val="16"/>
              </w:rPr>
            </w:pPr>
            <w:r>
              <w:rPr>
                <w:rFonts w:cs="Calibri"/>
                <w:sz w:val="16"/>
                <w:szCs w:val="16"/>
              </w:rPr>
              <w:t>'7F49'</w:t>
            </w:r>
          </w:p>
        </w:tc>
        <w:tc>
          <w:tcPr>
            <w:tcW w:w="443" w:type="pct"/>
            <w:tcBorders>
              <w:top w:val="single" w:sz="6" w:space="0" w:color="auto"/>
              <w:left w:val="single" w:sz="6" w:space="0" w:color="auto"/>
              <w:bottom w:val="single" w:sz="6" w:space="0" w:color="auto"/>
              <w:right w:val="single" w:sz="6" w:space="0" w:color="auto"/>
            </w:tcBorders>
            <w:hideMark/>
          </w:tcPr>
          <w:p w14:paraId="3790BBDA" w14:textId="77777777" w:rsidR="00B97365" w:rsidRDefault="00000000">
            <w:pPr>
              <w:rPr>
                <w:rFonts w:cs="Calibri"/>
                <w:sz w:val="16"/>
                <w:szCs w:val="16"/>
              </w:rPr>
            </w:pPr>
            <w:r>
              <w:rPr>
                <w:rFonts w:cs="Calibri"/>
                <w:sz w:val="16"/>
                <w:szCs w:val="16"/>
              </w:rPr>
              <w:t>Var</w:t>
            </w:r>
          </w:p>
        </w:tc>
        <w:tc>
          <w:tcPr>
            <w:tcW w:w="3732" w:type="pct"/>
            <w:gridSpan w:val="5"/>
            <w:tcBorders>
              <w:top w:val="single" w:sz="6" w:space="0" w:color="auto"/>
              <w:left w:val="single" w:sz="6" w:space="0" w:color="auto"/>
              <w:bottom w:val="single" w:sz="6" w:space="0" w:color="auto"/>
              <w:right w:val="single" w:sz="6" w:space="0" w:color="auto"/>
            </w:tcBorders>
            <w:hideMark/>
          </w:tcPr>
          <w:p w14:paraId="46837469" w14:textId="77777777" w:rsidR="00B97365" w:rsidRDefault="00000000">
            <w:pPr>
              <w:rPr>
                <w:rFonts w:cs="Calibri"/>
                <w:sz w:val="16"/>
                <w:szCs w:val="16"/>
              </w:rPr>
            </w:pPr>
            <w:r>
              <w:rPr>
                <w:rFonts w:cs="Calibri"/>
                <w:sz w:val="16"/>
                <w:szCs w:val="16"/>
              </w:rPr>
              <w:t>ePK.DP.ECKA</w:t>
            </w:r>
          </w:p>
        </w:tc>
        <w:tc>
          <w:tcPr>
            <w:tcW w:w="415" w:type="pct"/>
            <w:tcBorders>
              <w:top w:val="single" w:sz="6" w:space="0" w:color="auto"/>
              <w:left w:val="single" w:sz="6" w:space="0" w:color="auto"/>
              <w:bottom w:val="single" w:sz="6" w:space="0" w:color="auto"/>
              <w:right w:val="single" w:sz="4" w:space="0" w:color="auto"/>
            </w:tcBorders>
            <w:hideMark/>
          </w:tcPr>
          <w:p w14:paraId="3C15AE4C" w14:textId="77777777" w:rsidR="00B97365" w:rsidRDefault="00000000">
            <w:pPr>
              <w:jc w:val="center"/>
              <w:rPr>
                <w:rFonts w:cs="Calibri"/>
                <w:sz w:val="16"/>
                <w:szCs w:val="16"/>
              </w:rPr>
            </w:pPr>
            <w:r>
              <w:rPr>
                <w:rFonts w:cs="Calibri"/>
                <w:sz w:val="16"/>
                <w:szCs w:val="16"/>
              </w:rPr>
              <w:t>M</w:t>
            </w:r>
          </w:p>
        </w:tc>
      </w:tr>
      <w:tr w:rsidR="00B97365" w14:paraId="2055D9C3" w14:textId="77777777">
        <w:trPr>
          <w:cantSplit/>
        </w:trPr>
        <w:tc>
          <w:tcPr>
            <w:tcW w:w="409" w:type="pct"/>
            <w:tcBorders>
              <w:top w:val="single" w:sz="6" w:space="0" w:color="auto"/>
              <w:left w:val="single" w:sz="4" w:space="0" w:color="auto"/>
              <w:bottom w:val="single" w:sz="4" w:space="0" w:color="auto"/>
              <w:right w:val="single" w:sz="6" w:space="0" w:color="auto"/>
            </w:tcBorders>
            <w:hideMark/>
          </w:tcPr>
          <w:p w14:paraId="094E18CB" w14:textId="77777777" w:rsidR="00B97365" w:rsidRDefault="00000000">
            <w:pPr>
              <w:rPr>
                <w:rFonts w:cs="Calibri"/>
                <w:sz w:val="16"/>
                <w:szCs w:val="16"/>
              </w:rPr>
            </w:pPr>
            <w:r>
              <w:rPr>
                <w:rFonts w:cs="Calibri"/>
                <w:sz w:val="16"/>
                <w:szCs w:val="16"/>
              </w:rPr>
              <w:t>'0085'</w:t>
            </w:r>
          </w:p>
        </w:tc>
        <w:tc>
          <w:tcPr>
            <w:tcW w:w="443" w:type="pct"/>
            <w:tcBorders>
              <w:top w:val="single" w:sz="6" w:space="0" w:color="auto"/>
              <w:left w:val="single" w:sz="6" w:space="0" w:color="auto"/>
              <w:bottom w:val="single" w:sz="4" w:space="0" w:color="auto"/>
              <w:right w:val="single" w:sz="6" w:space="0" w:color="auto"/>
            </w:tcBorders>
            <w:hideMark/>
          </w:tcPr>
          <w:p w14:paraId="1419DDE5" w14:textId="77777777" w:rsidR="00B97365" w:rsidRDefault="00000000">
            <w:pPr>
              <w:rPr>
                <w:rFonts w:cs="Calibri"/>
                <w:sz w:val="16"/>
                <w:szCs w:val="16"/>
              </w:rPr>
            </w:pPr>
            <w:r>
              <w:rPr>
                <w:rFonts w:cs="Calibri"/>
                <w:sz w:val="16"/>
                <w:szCs w:val="16"/>
              </w:rPr>
              <w:t>Var</w:t>
            </w:r>
          </w:p>
        </w:tc>
        <w:tc>
          <w:tcPr>
            <w:tcW w:w="3732" w:type="pct"/>
            <w:gridSpan w:val="5"/>
            <w:tcBorders>
              <w:top w:val="single" w:sz="6" w:space="0" w:color="auto"/>
              <w:left w:val="single" w:sz="6" w:space="0" w:color="auto"/>
              <w:bottom w:val="single" w:sz="4" w:space="0" w:color="auto"/>
              <w:right w:val="single" w:sz="6" w:space="0" w:color="auto"/>
            </w:tcBorders>
            <w:hideMark/>
          </w:tcPr>
          <w:p w14:paraId="3F624BDF" w14:textId="77777777" w:rsidR="00B97365" w:rsidRDefault="00000000">
            <w:pPr>
              <w:rPr>
                <w:rFonts w:cs="Calibri"/>
                <w:sz w:val="16"/>
                <w:szCs w:val="16"/>
              </w:rPr>
            </w:pPr>
            <w:r>
              <w:rPr>
                <w:rFonts w:cs="Calibri"/>
                <w:sz w:val="16"/>
                <w:szCs w:val="16"/>
              </w:rPr>
              <w:t>Random Challenge</w:t>
            </w:r>
          </w:p>
        </w:tc>
        <w:tc>
          <w:tcPr>
            <w:tcW w:w="415" w:type="pct"/>
            <w:tcBorders>
              <w:top w:val="single" w:sz="6" w:space="0" w:color="auto"/>
              <w:left w:val="single" w:sz="6" w:space="0" w:color="auto"/>
              <w:bottom w:val="single" w:sz="4" w:space="0" w:color="auto"/>
              <w:right w:val="single" w:sz="4" w:space="0" w:color="auto"/>
            </w:tcBorders>
            <w:hideMark/>
          </w:tcPr>
          <w:p w14:paraId="39056DE6" w14:textId="77777777" w:rsidR="00B97365" w:rsidRDefault="00000000">
            <w:pPr>
              <w:jc w:val="center"/>
              <w:rPr>
                <w:rFonts w:cs="Calibri"/>
                <w:sz w:val="16"/>
                <w:szCs w:val="16"/>
              </w:rPr>
            </w:pPr>
            <w:r>
              <w:rPr>
                <w:rFonts w:cs="Calibri"/>
                <w:sz w:val="16"/>
                <w:szCs w:val="16"/>
              </w:rPr>
              <w:t>M</w:t>
            </w:r>
          </w:p>
        </w:tc>
      </w:tr>
    </w:tbl>
    <w:p w14:paraId="188FD314"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Data Signed to Generate the Signature</w:t>
      </w:r>
      <w:bookmarkStart w:id="2676" w:name="_Toc420594662"/>
    </w:p>
    <w:p w14:paraId="60A15372"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Response Message</w:t>
      </w:r>
      <w:bookmarkEnd w:id="2676"/>
    </w:p>
    <w:p w14:paraId="280B2A8F" w14:textId="77777777" w:rsidR="00B97365" w:rsidRDefault="00000000">
      <w:pPr>
        <w:spacing w:before="0" w:after="200" w:line="276" w:lineRule="auto"/>
        <w:jc w:val="left"/>
        <w:rPr>
          <w:b/>
          <w:i/>
          <w:szCs w:val="22"/>
          <w:lang w:val="en-US" w:eastAsia="en-GB" w:bidi="ar-SA"/>
        </w:rPr>
      </w:pPr>
      <w:bookmarkStart w:id="2677" w:name="_Toc420594663"/>
      <w:r>
        <w:rPr>
          <w:rFonts w:cs="Arial"/>
          <w:b/>
          <w:i/>
          <w:szCs w:val="22"/>
          <w:lang w:val="en-US" w:eastAsia="en-GB" w:bidi="ar-SA"/>
        </w:rPr>
        <w:t>Data Field Returned in the Response Message:</w:t>
      </w:r>
      <w:bookmarkEnd w:id="2677"/>
    </w:p>
    <w:p w14:paraId="4F6C8A3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STORE DATA response SHALL contain the following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1"/>
        <w:gridCol w:w="804"/>
        <w:gridCol w:w="1568"/>
        <w:gridCol w:w="590"/>
      </w:tblGrid>
      <w:tr w:rsidR="00B97365" w14:paraId="3DB96E74" w14:textId="77777777">
        <w:trPr>
          <w:cantSplit/>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2001B48"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Tag</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92359D2"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Length</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C399DC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Value Description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9661ED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MOC</w:t>
            </w:r>
          </w:p>
        </w:tc>
      </w:tr>
      <w:tr w:rsidR="00B97365" w14:paraId="1816A2BA"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0DCF1DE7" w14:textId="77777777" w:rsidR="00B97365" w:rsidRDefault="00000000">
            <w:pPr>
              <w:keepNext/>
              <w:rPr>
                <w:rFonts w:cs="Arial"/>
                <w:bCs/>
                <w:sz w:val="16"/>
                <w:szCs w:val="16"/>
              </w:rPr>
            </w:pPr>
            <w:r>
              <w:rPr>
                <w:rFonts w:cs="Arial"/>
                <w:sz w:val="16"/>
                <w:szCs w:val="16"/>
              </w:rPr>
              <w:t>'85'</w:t>
            </w:r>
          </w:p>
        </w:tc>
        <w:tc>
          <w:tcPr>
            <w:tcW w:w="0" w:type="auto"/>
            <w:tcBorders>
              <w:top w:val="single" w:sz="6" w:space="0" w:color="auto"/>
              <w:left w:val="single" w:sz="6" w:space="0" w:color="auto"/>
              <w:bottom w:val="single" w:sz="6" w:space="0" w:color="auto"/>
              <w:right w:val="single" w:sz="6" w:space="0" w:color="auto"/>
            </w:tcBorders>
            <w:hideMark/>
          </w:tcPr>
          <w:p w14:paraId="5DBADE83" w14:textId="77777777" w:rsidR="00B97365" w:rsidRDefault="00000000">
            <w:pPr>
              <w:keepNext/>
              <w:rPr>
                <w:rFonts w:cs="Arial"/>
                <w:bCs/>
                <w:sz w:val="16"/>
                <w:szCs w:val="16"/>
              </w:rPr>
            </w:pPr>
            <w:r>
              <w:rPr>
                <w:rFonts w:cs="Arial"/>
                <w:sz w:val="16"/>
                <w:szCs w:val="16"/>
              </w:rPr>
              <w:t>Variable</w:t>
            </w:r>
          </w:p>
        </w:tc>
        <w:tc>
          <w:tcPr>
            <w:tcW w:w="0" w:type="auto"/>
            <w:tcBorders>
              <w:top w:val="single" w:sz="6" w:space="0" w:color="auto"/>
              <w:left w:val="single" w:sz="6" w:space="0" w:color="auto"/>
              <w:bottom w:val="single" w:sz="6" w:space="0" w:color="auto"/>
              <w:right w:val="single" w:sz="6" w:space="0" w:color="auto"/>
            </w:tcBorders>
            <w:hideMark/>
          </w:tcPr>
          <w:p w14:paraId="64F73F40" w14:textId="77777777" w:rsidR="00B97365" w:rsidRDefault="00000000">
            <w:pPr>
              <w:keepNext/>
              <w:rPr>
                <w:rFonts w:cs="Arial"/>
                <w:bCs/>
                <w:sz w:val="16"/>
                <w:szCs w:val="16"/>
              </w:rPr>
            </w:pPr>
            <w:r>
              <w:rPr>
                <w:rFonts w:cs="Arial"/>
                <w:sz w:val="16"/>
                <w:szCs w:val="16"/>
              </w:rPr>
              <w:t>DR</w:t>
            </w:r>
          </w:p>
        </w:tc>
        <w:tc>
          <w:tcPr>
            <w:tcW w:w="0" w:type="auto"/>
            <w:tcBorders>
              <w:top w:val="single" w:sz="6" w:space="0" w:color="auto"/>
              <w:left w:val="single" w:sz="6" w:space="0" w:color="auto"/>
              <w:bottom w:val="single" w:sz="6" w:space="0" w:color="auto"/>
              <w:right w:val="single" w:sz="4" w:space="0" w:color="auto"/>
            </w:tcBorders>
            <w:hideMark/>
          </w:tcPr>
          <w:p w14:paraId="7C425728" w14:textId="77777777" w:rsidR="00B97365" w:rsidRDefault="00000000">
            <w:pPr>
              <w:keepNext/>
              <w:jc w:val="center"/>
              <w:rPr>
                <w:rFonts w:cs="Arial"/>
                <w:bCs/>
                <w:sz w:val="16"/>
                <w:szCs w:val="16"/>
              </w:rPr>
            </w:pPr>
            <w:r>
              <w:rPr>
                <w:rFonts w:cs="Arial"/>
                <w:sz w:val="16"/>
                <w:szCs w:val="16"/>
              </w:rPr>
              <w:t>C</w:t>
            </w:r>
          </w:p>
        </w:tc>
      </w:tr>
      <w:tr w:rsidR="00B97365" w14:paraId="73896C23"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376D8386" w14:textId="77777777" w:rsidR="00B97365" w:rsidRDefault="00000000">
            <w:pPr>
              <w:keepNext/>
              <w:rPr>
                <w:rFonts w:cs="Arial"/>
                <w:bCs/>
                <w:sz w:val="16"/>
                <w:szCs w:val="16"/>
              </w:rPr>
            </w:pPr>
            <w:r>
              <w:rPr>
                <w:rFonts w:cs="Arial"/>
                <w:sz w:val="16"/>
                <w:szCs w:val="16"/>
              </w:rPr>
              <w:t>'86'</w:t>
            </w:r>
          </w:p>
        </w:tc>
        <w:tc>
          <w:tcPr>
            <w:tcW w:w="0" w:type="auto"/>
            <w:tcBorders>
              <w:top w:val="single" w:sz="6" w:space="0" w:color="auto"/>
              <w:left w:val="single" w:sz="6" w:space="0" w:color="auto"/>
              <w:bottom w:val="single" w:sz="4" w:space="0" w:color="auto"/>
              <w:right w:val="single" w:sz="6" w:space="0" w:color="auto"/>
            </w:tcBorders>
            <w:hideMark/>
          </w:tcPr>
          <w:p w14:paraId="7F5B903B" w14:textId="77777777" w:rsidR="00B97365" w:rsidRDefault="00000000">
            <w:pPr>
              <w:keepNext/>
              <w:rPr>
                <w:rFonts w:cs="Arial"/>
                <w:bCs/>
                <w:sz w:val="16"/>
                <w:szCs w:val="16"/>
              </w:rPr>
            </w:pPr>
            <w:r>
              <w:rPr>
                <w:rFonts w:cs="Arial"/>
                <w:sz w:val="16"/>
                <w:szCs w:val="16"/>
              </w:rPr>
              <w:t>Variable</w:t>
            </w:r>
          </w:p>
        </w:tc>
        <w:tc>
          <w:tcPr>
            <w:tcW w:w="0" w:type="auto"/>
            <w:tcBorders>
              <w:top w:val="single" w:sz="6" w:space="0" w:color="auto"/>
              <w:left w:val="single" w:sz="6" w:space="0" w:color="auto"/>
              <w:bottom w:val="single" w:sz="4" w:space="0" w:color="auto"/>
              <w:right w:val="single" w:sz="6" w:space="0" w:color="auto"/>
            </w:tcBorders>
            <w:hideMark/>
          </w:tcPr>
          <w:p w14:paraId="76B91E7E" w14:textId="77777777" w:rsidR="00B97365" w:rsidRDefault="00000000">
            <w:pPr>
              <w:keepNext/>
              <w:rPr>
                <w:rFonts w:cs="Arial"/>
                <w:bCs/>
                <w:sz w:val="16"/>
                <w:szCs w:val="16"/>
              </w:rPr>
            </w:pPr>
            <w:r>
              <w:rPr>
                <w:rFonts w:cs="Arial"/>
                <w:sz w:val="16"/>
                <w:szCs w:val="16"/>
              </w:rPr>
              <w:t>Receipt</w:t>
            </w:r>
          </w:p>
        </w:tc>
        <w:tc>
          <w:tcPr>
            <w:tcW w:w="0" w:type="auto"/>
            <w:tcBorders>
              <w:top w:val="single" w:sz="6" w:space="0" w:color="auto"/>
              <w:left w:val="single" w:sz="6" w:space="0" w:color="auto"/>
              <w:bottom w:val="single" w:sz="4" w:space="0" w:color="auto"/>
              <w:right w:val="single" w:sz="4" w:space="0" w:color="auto"/>
            </w:tcBorders>
            <w:hideMark/>
          </w:tcPr>
          <w:p w14:paraId="36D3B9BE" w14:textId="77777777" w:rsidR="00B97365" w:rsidRDefault="00000000">
            <w:pPr>
              <w:keepNext/>
              <w:jc w:val="center"/>
              <w:rPr>
                <w:rFonts w:cs="Arial"/>
                <w:bCs/>
                <w:sz w:val="16"/>
                <w:szCs w:val="16"/>
              </w:rPr>
            </w:pPr>
            <w:r>
              <w:rPr>
                <w:rFonts w:cs="Arial"/>
                <w:sz w:val="16"/>
                <w:szCs w:val="16"/>
              </w:rPr>
              <w:t>M</w:t>
            </w:r>
          </w:p>
        </w:tc>
      </w:tr>
    </w:tbl>
    <w:p w14:paraId="7A066ACE"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Response Data for Scenario #3</w:t>
      </w:r>
    </w:p>
    <w:p w14:paraId="633C56D9" w14:textId="77777777" w:rsidR="00B97365" w:rsidRDefault="00000000">
      <w:pPr>
        <w:spacing w:before="0" w:after="200" w:line="276" w:lineRule="auto"/>
        <w:jc w:val="left"/>
        <w:rPr>
          <w:b/>
          <w:i/>
          <w:szCs w:val="22"/>
          <w:lang w:val="en-US" w:eastAsia="en-GB" w:bidi="ar-SA"/>
        </w:rPr>
      </w:pPr>
      <w:bookmarkStart w:id="2678" w:name="_Toc420594664"/>
      <w:r>
        <w:rPr>
          <w:rFonts w:cs="Arial"/>
          <w:b/>
          <w:i/>
          <w:szCs w:val="22"/>
          <w:lang w:val="en-US" w:eastAsia="en-GB" w:bidi="ar-SA"/>
        </w:rPr>
        <w:lastRenderedPageBreak/>
        <w:t>Processing State Returned in the Response Message:</w:t>
      </w:r>
      <w:bookmarkEnd w:id="2678"/>
    </w:p>
    <w:p w14:paraId="1CDC9FF8" w14:textId="5D8CC109" w:rsidR="00B97365" w:rsidRDefault="00000000">
      <w:pPr>
        <w:spacing w:before="0" w:after="200" w:line="276" w:lineRule="auto"/>
        <w:jc w:val="left"/>
        <w:rPr>
          <w:szCs w:val="22"/>
          <w:lang w:val="en-US" w:eastAsia="en-GB" w:bidi="ar-SA"/>
        </w:rPr>
      </w:pPr>
      <w:r>
        <w:rPr>
          <w:rFonts w:cs="Arial"/>
          <w:szCs w:val="22"/>
          <w:lang w:val="en-US" w:eastAsia="en-GB" w:bidi="ar-SA"/>
        </w:rPr>
        <w:t xml:space="preserve">As defined in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11.11.3.2.</w:t>
      </w:r>
    </w:p>
    <w:p w14:paraId="56F1BE77"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679" w:name="_Toc373757397"/>
      <w:bookmarkStart w:id="2680" w:name="_Ref373503706"/>
      <w:bookmarkStart w:id="2681" w:name="_Ref481766735"/>
      <w:bookmarkStart w:id="2682" w:name="_Toc1977324"/>
      <w:bookmarkStart w:id="2683" w:name="_Toc37062483"/>
      <w:r>
        <w:rPr>
          <w:rFonts w:ascii="Arial Bold" w:eastAsia="Times New Roman" w:hAnsi="Arial Bold" w:cs="Arial"/>
          <w:b/>
          <w:iCs/>
          <w:szCs w:val="28"/>
          <w:lang w:eastAsia="en-US"/>
        </w:rPr>
        <w:t>Command coding for SCP03</w:t>
      </w:r>
      <w:bookmarkEnd w:id="2679"/>
      <w:bookmarkEnd w:id="2680"/>
      <w:bookmarkEnd w:id="2681"/>
      <w:bookmarkEnd w:id="2682"/>
      <w:bookmarkEnd w:id="2683"/>
    </w:p>
    <w:p w14:paraId="1324BF1D" w14:textId="77777777" w:rsidR="00B97365" w:rsidRDefault="00000000">
      <w:pPr>
        <w:rPr>
          <w:rFonts w:cs="Calibri"/>
        </w:rPr>
      </w:pPr>
      <w:r>
        <w:rPr>
          <w:rFonts w:cs="Calibri"/>
        </w:rPr>
        <w:t>All ES8 functions in subsequent sections require securing the commands by SCP03.</w:t>
      </w:r>
    </w:p>
    <w:p w14:paraId="03C473E3" w14:textId="77777777" w:rsidR="00B97365" w:rsidRDefault="00000000">
      <w:pPr>
        <w:spacing w:after="200" w:line="276" w:lineRule="auto"/>
        <w:ind w:left="1560" w:hanging="1276"/>
        <w:jc w:val="left"/>
        <w:rPr>
          <w:szCs w:val="22"/>
          <w:lang w:eastAsia="en-GB" w:bidi="ar-SA"/>
        </w:rPr>
      </w:pPr>
      <w:r>
        <w:rPr>
          <w:rFonts w:cs="Arial"/>
          <w:szCs w:val="22"/>
          <w:lang w:eastAsia="en-GB" w:bidi="ar-SA"/>
        </w:rPr>
        <w:t xml:space="preserve">NOTE: </w:t>
      </w:r>
      <w:r>
        <w:rPr>
          <w:rFonts w:cs="Arial"/>
          <w:szCs w:val="22"/>
          <w:lang w:eastAsia="en-GB" w:bidi="ar-SA"/>
        </w:rPr>
        <w:tab/>
        <w:t xml:space="preserve">The </w:t>
      </w:r>
      <w:r>
        <w:rPr>
          <w:szCs w:val="22"/>
          <w:lang w:val="en-US" w:eastAsia="en-GB" w:bidi="ar-SA"/>
        </w:rPr>
        <w:t>profile</w:t>
      </w:r>
      <w:r>
        <w:rPr>
          <w:szCs w:val="22"/>
          <w:lang w:eastAsia="en-GB" w:bidi="ar-SA"/>
        </w:rPr>
        <w:t xml:space="preserve"> package itself is protected by SCP03t as defined in the next section.</w:t>
      </w:r>
    </w:p>
    <w:p w14:paraId="229E6F5C" w14:textId="77777777" w:rsidR="00B97365" w:rsidRDefault="00000000">
      <w:pPr>
        <w:rPr>
          <w:rFonts w:cs="Calibri"/>
        </w:rPr>
      </w:pPr>
      <w:r>
        <w:rPr>
          <w:rFonts w:cs="Calibri"/>
        </w:rPr>
        <w:t>Opening an SCP03 secure channel requires the following two commands:</w:t>
      </w:r>
    </w:p>
    <w:p w14:paraId="3322D020" w14:textId="77777777" w:rsidR="00B97365" w:rsidRDefault="00000000">
      <w:pPr>
        <w:spacing w:before="0" w:after="200" w:line="276" w:lineRule="auto"/>
        <w:jc w:val="left"/>
        <w:rPr>
          <w:rFonts w:cs="Calibri"/>
          <w:b/>
          <w:i/>
        </w:rPr>
      </w:pPr>
      <w:bookmarkStart w:id="2684" w:name="_Toc420594665"/>
      <w:r>
        <w:rPr>
          <w:rFonts w:cs="Arial"/>
          <w:b/>
          <w:i/>
          <w:szCs w:val="22"/>
          <w:lang w:val="en-US" w:eastAsia="en-GB" w:bidi="ar-SA"/>
        </w:rPr>
        <w:t>INITIALIZE</w:t>
      </w:r>
      <w:r>
        <w:rPr>
          <w:rFonts w:cs="Calibri"/>
          <w:b/>
          <w:i/>
        </w:rPr>
        <w:t xml:space="preserve"> UPDATE</w:t>
      </w:r>
      <w:bookmarkEnd w:id="268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C00000"/>
        <w:tblLook w:val="04A0" w:firstRow="1" w:lastRow="0" w:firstColumn="1" w:lastColumn="0" w:noHBand="0" w:noVBand="1"/>
      </w:tblPr>
      <w:tblGrid>
        <w:gridCol w:w="2993"/>
        <w:gridCol w:w="3011"/>
        <w:gridCol w:w="3012"/>
      </w:tblGrid>
      <w:tr w:rsidR="00B97365" w14:paraId="75081993" w14:textId="77777777">
        <w:tc>
          <w:tcPr>
            <w:tcW w:w="3061" w:type="dxa"/>
            <w:tcBorders>
              <w:top w:val="single" w:sz="4" w:space="0" w:color="auto"/>
              <w:left w:val="single" w:sz="4" w:space="0" w:color="auto"/>
              <w:bottom w:val="single" w:sz="6" w:space="0" w:color="auto"/>
              <w:right w:val="single" w:sz="6" w:space="0" w:color="auto"/>
            </w:tcBorders>
            <w:shd w:val="clear" w:color="auto" w:fill="C00000"/>
            <w:hideMark/>
          </w:tcPr>
          <w:p w14:paraId="59971BD6" w14:textId="77777777" w:rsidR="00B97365" w:rsidRDefault="00000000">
            <w:pPr>
              <w:jc w:val="center"/>
              <w:rPr>
                <w:rFonts w:cs="Calibri"/>
                <w:b/>
                <w:sz w:val="16"/>
                <w:szCs w:val="16"/>
              </w:rPr>
            </w:pPr>
            <w:r>
              <w:rPr>
                <w:rFonts w:cs="Calibri"/>
                <w:b/>
                <w:sz w:val="16"/>
                <w:szCs w:val="16"/>
              </w:rPr>
              <w:t>Code</w:t>
            </w:r>
          </w:p>
        </w:tc>
        <w:tc>
          <w:tcPr>
            <w:tcW w:w="3061" w:type="dxa"/>
            <w:tcBorders>
              <w:top w:val="single" w:sz="4" w:space="0" w:color="auto"/>
              <w:left w:val="single" w:sz="6" w:space="0" w:color="auto"/>
              <w:bottom w:val="single" w:sz="6" w:space="0" w:color="auto"/>
              <w:right w:val="single" w:sz="6" w:space="0" w:color="auto"/>
            </w:tcBorders>
            <w:shd w:val="clear" w:color="auto" w:fill="C00000"/>
            <w:hideMark/>
          </w:tcPr>
          <w:p w14:paraId="1513D422" w14:textId="77777777" w:rsidR="00B97365" w:rsidRDefault="00000000">
            <w:pPr>
              <w:jc w:val="center"/>
              <w:rPr>
                <w:rFonts w:cs="Calibri"/>
                <w:b/>
                <w:sz w:val="16"/>
                <w:szCs w:val="16"/>
              </w:rPr>
            </w:pPr>
            <w:r>
              <w:rPr>
                <w:rFonts w:cs="Calibri"/>
                <w:b/>
                <w:sz w:val="16"/>
                <w:szCs w:val="16"/>
              </w:rPr>
              <w:t>Value</w:t>
            </w:r>
          </w:p>
        </w:tc>
        <w:tc>
          <w:tcPr>
            <w:tcW w:w="3062" w:type="dxa"/>
            <w:tcBorders>
              <w:top w:val="single" w:sz="4" w:space="0" w:color="auto"/>
              <w:left w:val="single" w:sz="6" w:space="0" w:color="auto"/>
              <w:bottom w:val="single" w:sz="6" w:space="0" w:color="auto"/>
              <w:right w:val="single" w:sz="4" w:space="0" w:color="auto"/>
            </w:tcBorders>
            <w:shd w:val="clear" w:color="auto" w:fill="C00000"/>
            <w:hideMark/>
          </w:tcPr>
          <w:p w14:paraId="34BDEBB4" w14:textId="77777777" w:rsidR="00B97365" w:rsidRDefault="00000000">
            <w:pPr>
              <w:jc w:val="center"/>
              <w:rPr>
                <w:rFonts w:cs="Calibri"/>
                <w:b/>
                <w:sz w:val="16"/>
                <w:szCs w:val="16"/>
              </w:rPr>
            </w:pPr>
            <w:r>
              <w:rPr>
                <w:rFonts w:cs="Calibri"/>
                <w:b/>
                <w:sz w:val="16"/>
                <w:szCs w:val="16"/>
              </w:rPr>
              <w:t>Description</w:t>
            </w:r>
          </w:p>
        </w:tc>
      </w:tr>
      <w:tr w:rsidR="00B97365" w14:paraId="4EACAF5B" w14:textId="77777777">
        <w:tc>
          <w:tcPr>
            <w:tcW w:w="3061" w:type="dxa"/>
            <w:tcBorders>
              <w:top w:val="single" w:sz="6" w:space="0" w:color="auto"/>
              <w:left w:val="single" w:sz="4" w:space="0" w:color="auto"/>
              <w:bottom w:val="single" w:sz="6" w:space="0" w:color="auto"/>
              <w:right w:val="single" w:sz="6" w:space="0" w:color="auto"/>
            </w:tcBorders>
            <w:shd w:val="clear" w:color="auto" w:fill="FFFFFF"/>
            <w:hideMark/>
          </w:tcPr>
          <w:p w14:paraId="52CA1DA7" w14:textId="77777777" w:rsidR="00B97365" w:rsidRDefault="00000000">
            <w:pPr>
              <w:jc w:val="center"/>
              <w:rPr>
                <w:rFonts w:cs="Calibri"/>
                <w:sz w:val="16"/>
                <w:szCs w:val="16"/>
              </w:rPr>
            </w:pPr>
            <w:r>
              <w:rPr>
                <w:rFonts w:cs="Calibri"/>
                <w:sz w:val="16"/>
                <w:szCs w:val="16"/>
              </w:rPr>
              <w:t>CLA</w:t>
            </w:r>
          </w:p>
        </w:tc>
        <w:tc>
          <w:tcPr>
            <w:tcW w:w="3061" w:type="dxa"/>
            <w:tcBorders>
              <w:top w:val="single" w:sz="6" w:space="0" w:color="auto"/>
              <w:left w:val="single" w:sz="6" w:space="0" w:color="auto"/>
              <w:bottom w:val="single" w:sz="6" w:space="0" w:color="auto"/>
              <w:right w:val="single" w:sz="6" w:space="0" w:color="auto"/>
            </w:tcBorders>
            <w:shd w:val="clear" w:color="auto" w:fill="FFFFFF"/>
            <w:hideMark/>
          </w:tcPr>
          <w:p w14:paraId="2EE0763F" w14:textId="6990CF83" w:rsidR="00B97365" w:rsidRDefault="00000000">
            <w:pPr>
              <w:jc w:val="center"/>
              <w:rPr>
                <w:rFonts w:cs="Calibri"/>
                <w:sz w:val="16"/>
                <w:szCs w:val="16"/>
              </w:rPr>
            </w:pPr>
            <w:r>
              <w:rPr>
                <w:rFonts w:cs="Calibri"/>
                <w:sz w:val="16"/>
                <w:szCs w:val="16"/>
              </w:rPr>
              <w:t xml:space="preserve">See to GlobalPlatform Card Specification Amendment D </w:t>
            </w:r>
            <w:r>
              <w:fldChar w:fldCharType="begin"/>
            </w:r>
            <w:r>
              <w:rPr>
                <w:rFonts w:cs="Calibri"/>
                <w:sz w:val="16"/>
                <w:szCs w:val="16"/>
              </w:rPr>
              <w:instrText xml:space="preserve"> REF _Ref421631938 \r \h </w:instrText>
            </w:r>
            <w:r>
              <w:fldChar w:fldCharType="separate"/>
            </w:r>
            <w:r w:rsidR="001D5AD9">
              <w:rPr>
                <w:rFonts w:cs="Calibri"/>
                <w:sz w:val="16"/>
                <w:szCs w:val="16"/>
              </w:rPr>
              <w:t>[10]</w:t>
            </w:r>
            <w:r>
              <w:fldChar w:fldCharType="end"/>
            </w:r>
          </w:p>
        </w:tc>
        <w:tc>
          <w:tcPr>
            <w:tcW w:w="3062" w:type="dxa"/>
            <w:tcBorders>
              <w:top w:val="single" w:sz="6" w:space="0" w:color="auto"/>
              <w:left w:val="single" w:sz="6" w:space="0" w:color="auto"/>
              <w:bottom w:val="single" w:sz="6" w:space="0" w:color="auto"/>
              <w:right w:val="single" w:sz="4" w:space="0" w:color="auto"/>
            </w:tcBorders>
            <w:shd w:val="clear" w:color="auto" w:fill="FFFFFF"/>
            <w:hideMark/>
          </w:tcPr>
          <w:p w14:paraId="74251BE9" w14:textId="77777777" w:rsidR="00B97365" w:rsidRDefault="00000000">
            <w:pPr>
              <w:jc w:val="center"/>
              <w:rPr>
                <w:rFonts w:cs="Calibri"/>
                <w:sz w:val="16"/>
                <w:szCs w:val="16"/>
              </w:rPr>
            </w:pPr>
            <w:r>
              <w:rPr>
                <w:rFonts w:cs="Calibri"/>
                <w:sz w:val="16"/>
                <w:szCs w:val="16"/>
              </w:rPr>
              <w:t>Section 7.1.1</w:t>
            </w:r>
          </w:p>
        </w:tc>
      </w:tr>
      <w:tr w:rsidR="00B97365" w14:paraId="3D14E067" w14:textId="77777777">
        <w:tc>
          <w:tcPr>
            <w:tcW w:w="3061" w:type="dxa"/>
            <w:tcBorders>
              <w:top w:val="single" w:sz="6" w:space="0" w:color="auto"/>
              <w:left w:val="single" w:sz="4" w:space="0" w:color="auto"/>
              <w:bottom w:val="single" w:sz="6" w:space="0" w:color="auto"/>
              <w:right w:val="single" w:sz="6" w:space="0" w:color="auto"/>
            </w:tcBorders>
            <w:shd w:val="clear" w:color="auto" w:fill="FFFFFF"/>
            <w:hideMark/>
          </w:tcPr>
          <w:p w14:paraId="51D01DAF" w14:textId="77777777" w:rsidR="00B97365" w:rsidRDefault="00000000">
            <w:pPr>
              <w:jc w:val="center"/>
              <w:rPr>
                <w:rFonts w:cs="Calibri"/>
                <w:sz w:val="16"/>
                <w:szCs w:val="16"/>
              </w:rPr>
            </w:pPr>
            <w:r>
              <w:rPr>
                <w:rFonts w:cs="Calibri"/>
                <w:sz w:val="16"/>
                <w:szCs w:val="16"/>
              </w:rPr>
              <w:t>INS</w:t>
            </w:r>
          </w:p>
        </w:tc>
        <w:tc>
          <w:tcPr>
            <w:tcW w:w="3061" w:type="dxa"/>
            <w:tcBorders>
              <w:top w:val="single" w:sz="6" w:space="0" w:color="auto"/>
              <w:left w:val="single" w:sz="6" w:space="0" w:color="auto"/>
              <w:bottom w:val="single" w:sz="6" w:space="0" w:color="auto"/>
              <w:right w:val="single" w:sz="6" w:space="0" w:color="auto"/>
            </w:tcBorders>
            <w:shd w:val="clear" w:color="auto" w:fill="FFFFFF"/>
            <w:hideMark/>
          </w:tcPr>
          <w:p w14:paraId="380FA46E" w14:textId="05A2F8C6" w:rsidR="00B97365" w:rsidRDefault="00000000">
            <w:pPr>
              <w:jc w:val="center"/>
              <w:rPr>
                <w:rFonts w:cs="Calibri"/>
                <w:sz w:val="16"/>
                <w:szCs w:val="16"/>
              </w:rPr>
            </w:pPr>
            <w:r>
              <w:rPr>
                <w:rFonts w:cs="Calibri"/>
                <w:sz w:val="16"/>
                <w:szCs w:val="16"/>
              </w:rPr>
              <w:t xml:space="preserve">See to GlobalPlatform Card Specification Amendment D </w:t>
            </w:r>
            <w:r>
              <w:fldChar w:fldCharType="begin"/>
            </w:r>
            <w:r>
              <w:rPr>
                <w:rFonts w:cs="Calibri"/>
                <w:sz w:val="16"/>
                <w:szCs w:val="16"/>
              </w:rPr>
              <w:instrText xml:space="preserve"> REF _Ref421631938 \r \h </w:instrText>
            </w:r>
            <w:r>
              <w:fldChar w:fldCharType="separate"/>
            </w:r>
            <w:r w:rsidR="001D5AD9">
              <w:rPr>
                <w:rFonts w:cs="Calibri"/>
                <w:sz w:val="16"/>
                <w:szCs w:val="16"/>
              </w:rPr>
              <w:t>[10]</w:t>
            </w:r>
            <w:r>
              <w:fldChar w:fldCharType="end"/>
            </w:r>
          </w:p>
        </w:tc>
        <w:tc>
          <w:tcPr>
            <w:tcW w:w="3062" w:type="dxa"/>
            <w:tcBorders>
              <w:top w:val="single" w:sz="6" w:space="0" w:color="auto"/>
              <w:left w:val="single" w:sz="6" w:space="0" w:color="auto"/>
              <w:bottom w:val="single" w:sz="6" w:space="0" w:color="auto"/>
              <w:right w:val="single" w:sz="4" w:space="0" w:color="auto"/>
            </w:tcBorders>
            <w:shd w:val="clear" w:color="auto" w:fill="FFFFFF"/>
            <w:hideMark/>
          </w:tcPr>
          <w:p w14:paraId="4B23F257" w14:textId="77777777" w:rsidR="00B97365" w:rsidRDefault="00000000">
            <w:pPr>
              <w:jc w:val="center"/>
              <w:rPr>
                <w:rFonts w:cs="Calibri"/>
                <w:sz w:val="16"/>
                <w:szCs w:val="16"/>
              </w:rPr>
            </w:pPr>
            <w:r>
              <w:rPr>
                <w:rFonts w:cs="Calibri"/>
                <w:sz w:val="16"/>
                <w:szCs w:val="16"/>
              </w:rPr>
              <w:t>INITIALIZE UPDATE</w:t>
            </w:r>
          </w:p>
        </w:tc>
      </w:tr>
      <w:tr w:rsidR="00B97365" w14:paraId="012DBF21" w14:textId="77777777">
        <w:tc>
          <w:tcPr>
            <w:tcW w:w="3061" w:type="dxa"/>
            <w:tcBorders>
              <w:top w:val="single" w:sz="6" w:space="0" w:color="auto"/>
              <w:left w:val="single" w:sz="4" w:space="0" w:color="auto"/>
              <w:bottom w:val="single" w:sz="6" w:space="0" w:color="auto"/>
              <w:right w:val="single" w:sz="6" w:space="0" w:color="auto"/>
            </w:tcBorders>
            <w:shd w:val="clear" w:color="auto" w:fill="FFFFFF"/>
            <w:hideMark/>
          </w:tcPr>
          <w:p w14:paraId="64F19F5D" w14:textId="77777777" w:rsidR="00B97365" w:rsidRDefault="00000000">
            <w:pPr>
              <w:jc w:val="center"/>
              <w:rPr>
                <w:rFonts w:cs="Calibri"/>
                <w:sz w:val="16"/>
                <w:szCs w:val="16"/>
              </w:rPr>
            </w:pPr>
            <w:r>
              <w:rPr>
                <w:rFonts w:cs="Calibri"/>
                <w:sz w:val="16"/>
                <w:szCs w:val="16"/>
              </w:rPr>
              <w:t>P1</w:t>
            </w:r>
          </w:p>
        </w:tc>
        <w:tc>
          <w:tcPr>
            <w:tcW w:w="3061" w:type="dxa"/>
            <w:tcBorders>
              <w:top w:val="single" w:sz="6" w:space="0" w:color="auto"/>
              <w:left w:val="single" w:sz="6" w:space="0" w:color="auto"/>
              <w:bottom w:val="single" w:sz="6" w:space="0" w:color="auto"/>
              <w:right w:val="single" w:sz="6" w:space="0" w:color="auto"/>
            </w:tcBorders>
            <w:shd w:val="clear" w:color="auto" w:fill="FFFFFF"/>
            <w:hideMark/>
          </w:tcPr>
          <w:p w14:paraId="247BABB9" w14:textId="77777777" w:rsidR="00B97365" w:rsidRDefault="00000000">
            <w:pPr>
              <w:jc w:val="center"/>
              <w:rPr>
                <w:rFonts w:cs="Calibri"/>
                <w:sz w:val="16"/>
                <w:szCs w:val="16"/>
              </w:rPr>
            </w:pPr>
            <w:r>
              <w:rPr>
                <w:rFonts w:cs="Calibri"/>
                <w:sz w:val="16"/>
                <w:szCs w:val="16"/>
              </w:rPr>
              <w:t xml:space="preserve">‘XX’ </w:t>
            </w:r>
          </w:p>
        </w:tc>
        <w:tc>
          <w:tcPr>
            <w:tcW w:w="3062" w:type="dxa"/>
            <w:tcBorders>
              <w:top w:val="single" w:sz="6" w:space="0" w:color="auto"/>
              <w:left w:val="single" w:sz="6" w:space="0" w:color="auto"/>
              <w:bottom w:val="single" w:sz="6" w:space="0" w:color="auto"/>
              <w:right w:val="single" w:sz="4" w:space="0" w:color="auto"/>
            </w:tcBorders>
            <w:shd w:val="clear" w:color="auto" w:fill="FFFFFF"/>
            <w:hideMark/>
          </w:tcPr>
          <w:p w14:paraId="37779221" w14:textId="77777777" w:rsidR="00B97365" w:rsidRDefault="00000000">
            <w:pPr>
              <w:jc w:val="center"/>
              <w:rPr>
                <w:rFonts w:cs="Calibri"/>
                <w:sz w:val="16"/>
                <w:szCs w:val="16"/>
              </w:rPr>
            </w:pPr>
            <w:r>
              <w:rPr>
                <w:rFonts w:cs="Calibri"/>
                <w:sz w:val="16"/>
                <w:szCs w:val="16"/>
              </w:rPr>
              <w:t>indicates the version of the target ISD-P key set used</w:t>
            </w:r>
          </w:p>
        </w:tc>
      </w:tr>
      <w:tr w:rsidR="00B97365" w14:paraId="35A1102F" w14:textId="77777777">
        <w:tc>
          <w:tcPr>
            <w:tcW w:w="3061" w:type="dxa"/>
            <w:tcBorders>
              <w:top w:val="single" w:sz="6" w:space="0" w:color="auto"/>
              <w:left w:val="single" w:sz="4" w:space="0" w:color="auto"/>
              <w:bottom w:val="single" w:sz="6" w:space="0" w:color="auto"/>
              <w:right w:val="single" w:sz="6" w:space="0" w:color="auto"/>
            </w:tcBorders>
            <w:shd w:val="clear" w:color="auto" w:fill="FFFFFF"/>
            <w:hideMark/>
          </w:tcPr>
          <w:p w14:paraId="5309FEDF" w14:textId="77777777" w:rsidR="00B97365" w:rsidRDefault="00000000">
            <w:pPr>
              <w:jc w:val="center"/>
              <w:rPr>
                <w:rFonts w:cs="Calibri"/>
                <w:sz w:val="16"/>
                <w:szCs w:val="16"/>
              </w:rPr>
            </w:pPr>
            <w:r>
              <w:rPr>
                <w:rFonts w:cs="Calibri"/>
                <w:sz w:val="16"/>
                <w:szCs w:val="16"/>
              </w:rPr>
              <w:t>P2</w:t>
            </w:r>
          </w:p>
        </w:tc>
        <w:tc>
          <w:tcPr>
            <w:tcW w:w="3061" w:type="dxa"/>
            <w:tcBorders>
              <w:top w:val="single" w:sz="6" w:space="0" w:color="auto"/>
              <w:left w:val="single" w:sz="6" w:space="0" w:color="auto"/>
              <w:bottom w:val="single" w:sz="6" w:space="0" w:color="auto"/>
              <w:right w:val="single" w:sz="6" w:space="0" w:color="auto"/>
            </w:tcBorders>
            <w:shd w:val="clear" w:color="auto" w:fill="FFFFFF"/>
            <w:hideMark/>
          </w:tcPr>
          <w:p w14:paraId="41839F75" w14:textId="77777777" w:rsidR="00B97365" w:rsidRDefault="00000000">
            <w:pPr>
              <w:jc w:val="center"/>
              <w:rPr>
                <w:rFonts w:cs="Calibri"/>
                <w:sz w:val="16"/>
                <w:szCs w:val="16"/>
              </w:rPr>
            </w:pPr>
            <w:r>
              <w:rPr>
                <w:rFonts w:cs="Calibri"/>
                <w:sz w:val="16"/>
                <w:szCs w:val="16"/>
              </w:rPr>
              <w:t>‘XX’</w:t>
            </w:r>
          </w:p>
        </w:tc>
        <w:tc>
          <w:tcPr>
            <w:tcW w:w="3062" w:type="dxa"/>
            <w:tcBorders>
              <w:top w:val="single" w:sz="6" w:space="0" w:color="auto"/>
              <w:left w:val="single" w:sz="6" w:space="0" w:color="auto"/>
              <w:bottom w:val="single" w:sz="6" w:space="0" w:color="auto"/>
              <w:right w:val="single" w:sz="4" w:space="0" w:color="auto"/>
            </w:tcBorders>
            <w:shd w:val="clear" w:color="auto" w:fill="FFFFFF"/>
            <w:hideMark/>
          </w:tcPr>
          <w:p w14:paraId="718926C4" w14:textId="77777777" w:rsidR="00B97365" w:rsidRDefault="00000000">
            <w:pPr>
              <w:jc w:val="center"/>
              <w:rPr>
                <w:rFonts w:cs="Calibri"/>
                <w:sz w:val="16"/>
                <w:szCs w:val="16"/>
              </w:rPr>
            </w:pPr>
            <w:r>
              <w:rPr>
                <w:rFonts w:cs="Calibri"/>
                <w:sz w:val="16"/>
                <w:szCs w:val="16"/>
              </w:rPr>
              <w:t>indicates the key identifier of the target ISD-P</w:t>
            </w:r>
          </w:p>
        </w:tc>
      </w:tr>
      <w:tr w:rsidR="00B97365" w14:paraId="4D736EE6" w14:textId="77777777">
        <w:tc>
          <w:tcPr>
            <w:tcW w:w="3061" w:type="dxa"/>
            <w:tcBorders>
              <w:top w:val="single" w:sz="6" w:space="0" w:color="auto"/>
              <w:left w:val="single" w:sz="4" w:space="0" w:color="auto"/>
              <w:bottom w:val="single" w:sz="6" w:space="0" w:color="auto"/>
              <w:right w:val="single" w:sz="6" w:space="0" w:color="auto"/>
            </w:tcBorders>
            <w:shd w:val="clear" w:color="auto" w:fill="FFFFFF"/>
            <w:hideMark/>
          </w:tcPr>
          <w:p w14:paraId="7EF6B2F6" w14:textId="77777777" w:rsidR="00B97365" w:rsidRDefault="00000000">
            <w:pPr>
              <w:jc w:val="center"/>
              <w:rPr>
                <w:rFonts w:cs="Calibri"/>
                <w:sz w:val="16"/>
                <w:szCs w:val="16"/>
              </w:rPr>
            </w:pPr>
            <w:r>
              <w:rPr>
                <w:rFonts w:cs="Calibri"/>
                <w:sz w:val="16"/>
                <w:szCs w:val="16"/>
              </w:rPr>
              <w:t>Lc</w:t>
            </w:r>
          </w:p>
        </w:tc>
        <w:tc>
          <w:tcPr>
            <w:tcW w:w="3061" w:type="dxa"/>
            <w:tcBorders>
              <w:top w:val="single" w:sz="6" w:space="0" w:color="auto"/>
              <w:left w:val="single" w:sz="6" w:space="0" w:color="auto"/>
              <w:bottom w:val="single" w:sz="6" w:space="0" w:color="auto"/>
              <w:right w:val="single" w:sz="6" w:space="0" w:color="auto"/>
            </w:tcBorders>
            <w:shd w:val="clear" w:color="auto" w:fill="FFFFFF"/>
            <w:hideMark/>
          </w:tcPr>
          <w:p w14:paraId="593C8A0A" w14:textId="77777777" w:rsidR="00B97365" w:rsidRDefault="00000000">
            <w:pPr>
              <w:jc w:val="center"/>
              <w:rPr>
                <w:rFonts w:cs="Calibri"/>
                <w:sz w:val="16"/>
                <w:szCs w:val="16"/>
              </w:rPr>
            </w:pPr>
            <w:r>
              <w:rPr>
                <w:rFonts w:cs="Calibri"/>
                <w:sz w:val="16"/>
                <w:szCs w:val="16"/>
              </w:rPr>
              <w:t>‘08’</w:t>
            </w:r>
          </w:p>
        </w:tc>
        <w:tc>
          <w:tcPr>
            <w:tcW w:w="3062" w:type="dxa"/>
            <w:tcBorders>
              <w:top w:val="single" w:sz="6" w:space="0" w:color="auto"/>
              <w:left w:val="single" w:sz="6" w:space="0" w:color="auto"/>
              <w:bottom w:val="single" w:sz="6" w:space="0" w:color="auto"/>
              <w:right w:val="single" w:sz="4" w:space="0" w:color="auto"/>
            </w:tcBorders>
            <w:shd w:val="clear" w:color="auto" w:fill="FFFFFF"/>
            <w:hideMark/>
          </w:tcPr>
          <w:p w14:paraId="02889972" w14:textId="77777777" w:rsidR="00B97365" w:rsidRDefault="00000000">
            <w:pPr>
              <w:jc w:val="center"/>
              <w:rPr>
                <w:rFonts w:cs="Calibri"/>
                <w:sz w:val="16"/>
                <w:szCs w:val="16"/>
              </w:rPr>
            </w:pPr>
            <w:r>
              <w:rPr>
                <w:rFonts w:cs="Calibri"/>
                <w:sz w:val="16"/>
                <w:szCs w:val="16"/>
              </w:rPr>
              <w:t>Length of the host challenge</w:t>
            </w:r>
          </w:p>
        </w:tc>
      </w:tr>
      <w:tr w:rsidR="00B97365" w14:paraId="73DAA708" w14:textId="77777777">
        <w:tc>
          <w:tcPr>
            <w:tcW w:w="3061" w:type="dxa"/>
            <w:tcBorders>
              <w:top w:val="single" w:sz="6" w:space="0" w:color="auto"/>
              <w:left w:val="single" w:sz="4" w:space="0" w:color="auto"/>
              <w:bottom w:val="single" w:sz="6" w:space="0" w:color="auto"/>
              <w:right w:val="single" w:sz="6" w:space="0" w:color="auto"/>
            </w:tcBorders>
            <w:shd w:val="clear" w:color="auto" w:fill="FFFFFF"/>
            <w:hideMark/>
          </w:tcPr>
          <w:p w14:paraId="60724825" w14:textId="77777777" w:rsidR="00B97365" w:rsidRDefault="00000000">
            <w:pPr>
              <w:jc w:val="center"/>
              <w:rPr>
                <w:rFonts w:cs="Calibri"/>
                <w:sz w:val="16"/>
                <w:szCs w:val="16"/>
              </w:rPr>
            </w:pPr>
            <w:r>
              <w:rPr>
                <w:rFonts w:cs="Calibri"/>
                <w:sz w:val="16"/>
                <w:szCs w:val="16"/>
              </w:rPr>
              <w:t xml:space="preserve">Data </w:t>
            </w:r>
          </w:p>
        </w:tc>
        <w:tc>
          <w:tcPr>
            <w:tcW w:w="3061" w:type="dxa"/>
            <w:tcBorders>
              <w:top w:val="single" w:sz="6" w:space="0" w:color="auto"/>
              <w:left w:val="single" w:sz="6" w:space="0" w:color="auto"/>
              <w:bottom w:val="single" w:sz="6" w:space="0" w:color="auto"/>
              <w:right w:val="single" w:sz="6" w:space="0" w:color="auto"/>
            </w:tcBorders>
            <w:shd w:val="clear" w:color="auto" w:fill="FFFFFF"/>
            <w:hideMark/>
          </w:tcPr>
          <w:p w14:paraId="1B469513" w14:textId="77777777" w:rsidR="00B97365" w:rsidRDefault="00000000">
            <w:pPr>
              <w:jc w:val="center"/>
              <w:rPr>
                <w:rFonts w:cs="Calibri"/>
                <w:sz w:val="16"/>
                <w:szCs w:val="16"/>
              </w:rPr>
            </w:pPr>
            <w:r>
              <w:rPr>
                <w:rFonts w:cs="Calibri"/>
                <w:sz w:val="16"/>
                <w:szCs w:val="16"/>
              </w:rPr>
              <w:t>‘XX…XX’</w:t>
            </w:r>
          </w:p>
        </w:tc>
        <w:tc>
          <w:tcPr>
            <w:tcW w:w="3062" w:type="dxa"/>
            <w:tcBorders>
              <w:top w:val="single" w:sz="6" w:space="0" w:color="auto"/>
              <w:left w:val="single" w:sz="6" w:space="0" w:color="auto"/>
              <w:bottom w:val="single" w:sz="6" w:space="0" w:color="auto"/>
              <w:right w:val="single" w:sz="4" w:space="0" w:color="auto"/>
            </w:tcBorders>
            <w:shd w:val="clear" w:color="auto" w:fill="FFFFFF"/>
            <w:hideMark/>
          </w:tcPr>
          <w:p w14:paraId="7DD1C760" w14:textId="0979A487" w:rsidR="00B97365" w:rsidRDefault="00000000">
            <w:pPr>
              <w:jc w:val="center"/>
              <w:rPr>
                <w:rFonts w:cs="Calibri"/>
                <w:sz w:val="16"/>
                <w:szCs w:val="16"/>
              </w:rPr>
            </w:pPr>
            <w:r>
              <w:rPr>
                <w:rFonts w:cs="Calibri"/>
                <w:sz w:val="16"/>
                <w:szCs w:val="16"/>
              </w:rPr>
              <w:t xml:space="preserve">For Host Challenge see  GlobalPlatform Card Specification Amendment D </w:t>
            </w:r>
            <w:r>
              <w:fldChar w:fldCharType="begin"/>
            </w:r>
            <w:r>
              <w:instrText xml:space="preserve"> REF _Ref421631938 \r \h  \* MERGEFORMAT </w:instrText>
            </w:r>
            <w:r>
              <w:fldChar w:fldCharType="separate"/>
            </w:r>
            <w:r w:rsidR="001D5AD9" w:rsidRPr="001D5AD9">
              <w:rPr>
                <w:rFonts w:cs="Calibri"/>
                <w:sz w:val="16"/>
                <w:szCs w:val="16"/>
              </w:rPr>
              <w:t>[10]</w:t>
            </w:r>
            <w:r>
              <w:fldChar w:fldCharType="end"/>
            </w:r>
            <w:r>
              <w:rPr>
                <w:rFonts w:cs="Calibri"/>
                <w:sz w:val="16"/>
                <w:szCs w:val="16"/>
              </w:rPr>
              <w:t xml:space="preserve"> for computation of the host challenge</w:t>
            </w:r>
          </w:p>
        </w:tc>
      </w:tr>
      <w:tr w:rsidR="00B97365" w14:paraId="60EA1E6F" w14:textId="77777777">
        <w:tc>
          <w:tcPr>
            <w:tcW w:w="3061" w:type="dxa"/>
            <w:tcBorders>
              <w:top w:val="single" w:sz="6" w:space="0" w:color="auto"/>
              <w:left w:val="single" w:sz="4" w:space="0" w:color="auto"/>
              <w:bottom w:val="single" w:sz="4" w:space="0" w:color="auto"/>
              <w:right w:val="single" w:sz="6" w:space="0" w:color="auto"/>
            </w:tcBorders>
            <w:shd w:val="clear" w:color="auto" w:fill="FFFFFF"/>
            <w:hideMark/>
          </w:tcPr>
          <w:p w14:paraId="2646D32C" w14:textId="77777777" w:rsidR="00B97365" w:rsidRDefault="00000000">
            <w:pPr>
              <w:jc w:val="center"/>
              <w:rPr>
                <w:rFonts w:cs="Calibri"/>
                <w:sz w:val="16"/>
                <w:szCs w:val="16"/>
              </w:rPr>
            </w:pPr>
            <w:r>
              <w:rPr>
                <w:rFonts w:cs="Calibri"/>
                <w:sz w:val="16"/>
                <w:szCs w:val="16"/>
              </w:rPr>
              <w:t>Le</w:t>
            </w:r>
          </w:p>
        </w:tc>
        <w:tc>
          <w:tcPr>
            <w:tcW w:w="3061" w:type="dxa"/>
            <w:tcBorders>
              <w:top w:val="single" w:sz="6" w:space="0" w:color="auto"/>
              <w:left w:val="single" w:sz="6" w:space="0" w:color="auto"/>
              <w:bottom w:val="single" w:sz="4" w:space="0" w:color="auto"/>
              <w:right w:val="single" w:sz="6" w:space="0" w:color="auto"/>
            </w:tcBorders>
            <w:shd w:val="clear" w:color="auto" w:fill="FFFFFF"/>
            <w:hideMark/>
          </w:tcPr>
          <w:p w14:paraId="061FFCCE" w14:textId="77777777" w:rsidR="00B97365" w:rsidRDefault="00000000">
            <w:pPr>
              <w:jc w:val="center"/>
              <w:rPr>
                <w:rFonts w:cs="Calibri"/>
                <w:sz w:val="16"/>
                <w:szCs w:val="16"/>
              </w:rPr>
            </w:pPr>
            <w:r>
              <w:rPr>
                <w:rFonts w:cs="Calibri"/>
                <w:sz w:val="16"/>
                <w:szCs w:val="16"/>
              </w:rPr>
              <w:t>‘00’</w:t>
            </w:r>
          </w:p>
        </w:tc>
        <w:tc>
          <w:tcPr>
            <w:tcW w:w="3062" w:type="dxa"/>
            <w:tcBorders>
              <w:top w:val="single" w:sz="6" w:space="0" w:color="auto"/>
              <w:left w:val="single" w:sz="6" w:space="0" w:color="auto"/>
              <w:bottom w:val="single" w:sz="4" w:space="0" w:color="auto"/>
              <w:right w:val="single" w:sz="4" w:space="0" w:color="auto"/>
            </w:tcBorders>
            <w:shd w:val="clear" w:color="auto" w:fill="FFFFFF"/>
          </w:tcPr>
          <w:p w14:paraId="143218B2" w14:textId="77777777" w:rsidR="00B97365" w:rsidRDefault="00B97365">
            <w:pPr>
              <w:jc w:val="center"/>
              <w:rPr>
                <w:rFonts w:cs="Calibri"/>
                <w:sz w:val="16"/>
                <w:szCs w:val="16"/>
              </w:rPr>
            </w:pPr>
          </w:p>
        </w:tc>
      </w:tr>
    </w:tbl>
    <w:p w14:paraId="109E63E4"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Initialize Update Command</w:t>
      </w:r>
    </w:p>
    <w:p w14:paraId="276AD3F5" w14:textId="77777777" w:rsidR="00B97365" w:rsidRDefault="00000000">
      <w:pPr>
        <w:spacing w:before="0" w:after="200" w:line="276" w:lineRule="auto"/>
        <w:jc w:val="left"/>
        <w:rPr>
          <w:rFonts w:cs="Calibri"/>
          <w:b/>
          <w:i/>
        </w:rPr>
      </w:pPr>
      <w:bookmarkStart w:id="2685" w:name="_Toc420594666"/>
      <w:r>
        <w:rPr>
          <w:rFonts w:cs="Arial"/>
          <w:b/>
          <w:i/>
          <w:szCs w:val="22"/>
          <w:lang w:val="en-US" w:eastAsia="en-GB" w:bidi="ar-SA"/>
        </w:rPr>
        <w:t>EXTERNAL</w:t>
      </w:r>
      <w:r>
        <w:rPr>
          <w:rFonts w:cs="Calibri"/>
          <w:b/>
          <w:i/>
        </w:rPr>
        <w:t xml:space="preserve"> AUTHENTICATE</w:t>
      </w:r>
      <w:bookmarkEnd w:id="26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2990"/>
        <w:gridCol w:w="3010"/>
        <w:gridCol w:w="3016"/>
      </w:tblGrid>
      <w:tr w:rsidR="00B97365" w14:paraId="73CFB0BC" w14:textId="77777777">
        <w:tc>
          <w:tcPr>
            <w:tcW w:w="3061" w:type="dxa"/>
            <w:tcBorders>
              <w:top w:val="single" w:sz="4" w:space="0" w:color="auto"/>
              <w:left w:val="single" w:sz="4" w:space="0" w:color="auto"/>
              <w:bottom w:val="single" w:sz="4" w:space="0" w:color="auto"/>
              <w:right w:val="single" w:sz="4" w:space="0" w:color="auto"/>
            </w:tcBorders>
            <w:shd w:val="clear" w:color="auto" w:fill="C00000"/>
            <w:hideMark/>
          </w:tcPr>
          <w:p w14:paraId="48522556" w14:textId="77777777" w:rsidR="00B97365" w:rsidRDefault="00000000">
            <w:pPr>
              <w:jc w:val="center"/>
              <w:rPr>
                <w:rFonts w:cs="Calibri"/>
                <w:b/>
                <w:color w:val="FFFFFF"/>
                <w:sz w:val="16"/>
                <w:szCs w:val="16"/>
              </w:rPr>
            </w:pPr>
            <w:r>
              <w:rPr>
                <w:rFonts w:cs="Calibri"/>
                <w:b/>
                <w:color w:val="FFFFFF"/>
                <w:sz w:val="16"/>
                <w:szCs w:val="16"/>
              </w:rPr>
              <w:t>Code</w:t>
            </w:r>
          </w:p>
        </w:tc>
        <w:tc>
          <w:tcPr>
            <w:tcW w:w="3061" w:type="dxa"/>
            <w:tcBorders>
              <w:top w:val="single" w:sz="4" w:space="0" w:color="auto"/>
              <w:left w:val="single" w:sz="4" w:space="0" w:color="auto"/>
              <w:bottom w:val="single" w:sz="4" w:space="0" w:color="auto"/>
              <w:right w:val="single" w:sz="4" w:space="0" w:color="auto"/>
            </w:tcBorders>
            <w:shd w:val="clear" w:color="auto" w:fill="C00000"/>
            <w:hideMark/>
          </w:tcPr>
          <w:p w14:paraId="126F2B16" w14:textId="77777777" w:rsidR="00B97365" w:rsidRDefault="00000000">
            <w:pPr>
              <w:jc w:val="center"/>
              <w:rPr>
                <w:rFonts w:cs="Calibri"/>
                <w:b/>
                <w:color w:val="FFFFFF"/>
                <w:sz w:val="16"/>
                <w:szCs w:val="16"/>
              </w:rPr>
            </w:pPr>
            <w:r>
              <w:rPr>
                <w:rFonts w:cs="Calibri"/>
                <w:b/>
                <w:color w:val="FFFFFF"/>
                <w:sz w:val="16"/>
                <w:szCs w:val="16"/>
              </w:rPr>
              <w:t>Value</w:t>
            </w:r>
          </w:p>
        </w:tc>
        <w:tc>
          <w:tcPr>
            <w:tcW w:w="3062" w:type="dxa"/>
            <w:tcBorders>
              <w:top w:val="single" w:sz="4" w:space="0" w:color="auto"/>
              <w:left w:val="single" w:sz="4" w:space="0" w:color="auto"/>
              <w:bottom w:val="single" w:sz="4" w:space="0" w:color="auto"/>
              <w:right w:val="single" w:sz="4" w:space="0" w:color="auto"/>
            </w:tcBorders>
            <w:shd w:val="clear" w:color="auto" w:fill="C00000"/>
            <w:hideMark/>
          </w:tcPr>
          <w:p w14:paraId="4DD4B279"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3FCAA91F" w14:textId="77777777">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01BC01E7" w14:textId="77777777" w:rsidR="00B97365" w:rsidRDefault="00000000">
            <w:pPr>
              <w:jc w:val="center"/>
              <w:rPr>
                <w:rFonts w:cs="Calibri"/>
                <w:sz w:val="16"/>
                <w:szCs w:val="16"/>
              </w:rPr>
            </w:pPr>
            <w:r>
              <w:rPr>
                <w:rFonts w:cs="Calibri"/>
                <w:sz w:val="16"/>
                <w:szCs w:val="16"/>
              </w:rPr>
              <w:t>CLA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24A1BA16" w14:textId="7251CD62" w:rsidR="00B97365" w:rsidRDefault="00000000">
            <w:pPr>
              <w:jc w:val="center"/>
              <w:rPr>
                <w:rFonts w:cs="Calibri"/>
                <w:sz w:val="16"/>
                <w:szCs w:val="16"/>
              </w:rPr>
            </w:pPr>
            <w:r>
              <w:rPr>
                <w:rFonts w:cs="Calibri"/>
                <w:sz w:val="16"/>
                <w:szCs w:val="16"/>
              </w:rPr>
              <w:t xml:space="preserve">See GlobalPlatform Card Specification Amendment D </w:t>
            </w:r>
            <w:r>
              <w:fldChar w:fldCharType="begin"/>
            </w:r>
            <w:r>
              <w:rPr>
                <w:rFonts w:cs="Calibri"/>
                <w:sz w:val="16"/>
                <w:szCs w:val="16"/>
              </w:rPr>
              <w:instrText xml:space="preserve"> REF _Ref421631938 \r \h </w:instrText>
            </w:r>
            <w:r>
              <w:fldChar w:fldCharType="separate"/>
            </w:r>
            <w:r w:rsidR="001D5AD9">
              <w:rPr>
                <w:rFonts w:cs="Calibri"/>
                <w:sz w:val="16"/>
                <w:szCs w:val="16"/>
              </w:rPr>
              <w:t>[10]</w:t>
            </w:r>
            <w: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hideMark/>
          </w:tcPr>
          <w:p w14:paraId="6B6C9630" w14:textId="77777777" w:rsidR="00B97365" w:rsidRDefault="00000000">
            <w:pPr>
              <w:jc w:val="center"/>
              <w:rPr>
                <w:rFonts w:cs="Calibri"/>
                <w:sz w:val="16"/>
                <w:szCs w:val="16"/>
              </w:rPr>
            </w:pPr>
            <w:r>
              <w:rPr>
                <w:rFonts w:cs="Calibri"/>
                <w:sz w:val="16"/>
                <w:szCs w:val="16"/>
              </w:rPr>
              <w:t>Section 7.1.2.</w:t>
            </w:r>
          </w:p>
        </w:tc>
      </w:tr>
      <w:tr w:rsidR="00B97365" w14:paraId="274F7E7D" w14:textId="77777777">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5CC6E380" w14:textId="77777777" w:rsidR="00B97365" w:rsidRDefault="00000000">
            <w:pPr>
              <w:jc w:val="center"/>
              <w:rPr>
                <w:rFonts w:cs="Calibri"/>
                <w:sz w:val="16"/>
                <w:szCs w:val="16"/>
              </w:rPr>
            </w:pPr>
            <w:r>
              <w:rPr>
                <w:rFonts w:cs="Calibri"/>
                <w:sz w:val="16"/>
                <w:szCs w:val="16"/>
              </w:rPr>
              <w:t>INS</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55128C27" w14:textId="2A5CB1DC" w:rsidR="00B97365" w:rsidRDefault="00000000">
            <w:pPr>
              <w:jc w:val="center"/>
              <w:rPr>
                <w:rFonts w:cs="Calibri"/>
                <w:sz w:val="16"/>
                <w:szCs w:val="16"/>
              </w:rPr>
            </w:pPr>
            <w:r>
              <w:rPr>
                <w:rFonts w:cs="Calibri"/>
                <w:sz w:val="16"/>
                <w:szCs w:val="16"/>
              </w:rPr>
              <w:t xml:space="preserve">See GlobalPlatform Card Specification Amendment D </w:t>
            </w:r>
            <w:r>
              <w:fldChar w:fldCharType="begin"/>
            </w:r>
            <w:r>
              <w:rPr>
                <w:rFonts w:cs="Calibri"/>
                <w:sz w:val="16"/>
                <w:szCs w:val="16"/>
              </w:rPr>
              <w:instrText xml:space="preserve"> REF _Ref421631938 \r \h </w:instrText>
            </w:r>
            <w:r>
              <w:fldChar w:fldCharType="separate"/>
            </w:r>
            <w:r w:rsidR="001D5AD9">
              <w:rPr>
                <w:rFonts w:cs="Calibri"/>
                <w:sz w:val="16"/>
                <w:szCs w:val="16"/>
              </w:rPr>
              <w:t>[10]</w:t>
            </w:r>
            <w: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hideMark/>
          </w:tcPr>
          <w:p w14:paraId="4397882A" w14:textId="77777777" w:rsidR="00B97365" w:rsidRDefault="00000000">
            <w:pPr>
              <w:jc w:val="center"/>
              <w:rPr>
                <w:rFonts w:cs="Calibri"/>
                <w:sz w:val="16"/>
                <w:szCs w:val="16"/>
              </w:rPr>
            </w:pPr>
            <w:r>
              <w:rPr>
                <w:rFonts w:cs="Calibri"/>
                <w:sz w:val="16"/>
                <w:szCs w:val="16"/>
              </w:rPr>
              <w:t>EXTERNAL AUTHENTICATE</w:t>
            </w:r>
          </w:p>
        </w:tc>
      </w:tr>
      <w:tr w:rsidR="00B97365" w14:paraId="35278228" w14:textId="77777777">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2FB442F9" w14:textId="77777777" w:rsidR="00B97365" w:rsidRDefault="00000000">
            <w:pPr>
              <w:jc w:val="center"/>
              <w:rPr>
                <w:rFonts w:cs="Calibri"/>
                <w:sz w:val="16"/>
                <w:szCs w:val="16"/>
              </w:rPr>
            </w:pPr>
            <w:r>
              <w:rPr>
                <w:rFonts w:cs="Calibri"/>
                <w:sz w:val="16"/>
                <w:szCs w:val="16"/>
              </w:rPr>
              <w:t>P1</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317A21D3" w14:textId="77777777" w:rsidR="00B97365" w:rsidRDefault="00000000">
            <w:pPr>
              <w:jc w:val="center"/>
              <w:rPr>
                <w:rFonts w:cs="Calibri"/>
                <w:sz w:val="16"/>
                <w:szCs w:val="16"/>
              </w:rPr>
            </w:pPr>
            <w:r>
              <w:rPr>
                <w:rFonts w:cs="Calibri"/>
                <w:sz w:val="16"/>
                <w:szCs w:val="16"/>
              </w:rPr>
              <w:t xml:space="preserve">‘33’ </w:t>
            </w:r>
          </w:p>
        </w:tc>
        <w:tc>
          <w:tcPr>
            <w:tcW w:w="3062" w:type="dxa"/>
            <w:tcBorders>
              <w:top w:val="single" w:sz="4" w:space="0" w:color="auto"/>
              <w:left w:val="single" w:sz="4" w:space="0" w:color="auto"/>
              <w:bottom w:val="single" w:sz="4" w:space="0" w:color="auto"/>
              <w:right w:val="single" w:sz="4" w:space="0" w:color="auto"/>
            </w:tcBorders>
            <w:shd w:val="clear" w:color="auto" w:fill="FFFFFF"/>
            <w:hideMark/>
          </w:tcPr>
          <w:p w14:paraId="35706D8D" w14:textId="05E4AC10" w:rsidR="00B97365" w:rsidRDefault="00000000">
            <w:pPr>
              <w:tabs>
                <w:tab w:val="left" w:pos="0"/>
              </w:tabs>
              <w:rPr>
                <w:rFonts w:cs="Calibri"/>
                <w:sz w:val="16"/>
                <w:szCs w:val="16"/>
              </w:rPr>
            </w:pPr>
            <w:r>
              <w:rPr>
                <w:rFonts w:cs="Calibri"/>
                <w:sz w:val="16"/>
                <w:szCs w:val="16"/>
              </w:rPr>
              <w:t xml:space="preserve">indicates the security level and SHALL be set to request C-DECRYPTION, R-DECRIPTION, R-MAC and C-MAC (see to GlobalPlatform Card Specification  Amendment D </w:t>
            </w:r>
            <w:r>
              <w:fldChar w:fldCharType="begin"/>
            </w:r>
            <w:r>
              <w:rPr>
                <w:rFonts w:cs="Calibri"/>
                <w:sz w:val="16"/>
                <w:szCs w:val="16"/>
              </w:rPr>
              <w:instrText xml:space="preserve"> REF _Ref421631938 \r \h </w:instrText>
            </w:r>
            <w:r>
              <w:fldChar w:fldCharType="separate"/>
            </w:r>
            <w:r w:rsidR="001D5AD9">
              <w:rPr>
                <w:rFonts w:cs="Calibri"/>
                <w:sz w:val="16"/>
                <w:szCs w:val="16"/>
              </w:rPr>
              <w:t>[10]</w:t>
            </w:r>
            <w:r>
              <w:fldChar w:fldCharType="end"/>
            </w:r>
            <w:r>
              <w:rPr>
                <w:rFonts w:cs="Calibri"/>
                <w:sz w:val="16"/>
                <w:szCs w:val="16"/>
              </w:rPr>
              <w:t>)</w:t>
            </w:r>
          </w:p>
        </w:tc>
      </w:tr>
      <w:tr w:rsidR="00B97365" w14:paraId="4C0D8E92" w14:textId="77777777">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47B8FA65" w14:textId="77777777" w:rsidR="00B97365" w:rsidRDefault="00000000">
            <w:pPr>
              <w:jc w:val="center"/>
              <w:rPr>
                <w:rFonts w:cs="Calibri"/>
                <w:sz w:val="16"/>
                <w:szCs w:val="16"/>
              </w:rPr>
            </w:pPr>
            <w:r>
              <w:rPr>
                <w:rFonts w:cs="Calibri"/>
                <w:sz w:val="16"/>
                <w:szCs w:val="16"/>
              </w:rPr>
              <w:t>P2</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1E6AC192" w14:textId="77777777" w:rsidR="00B97365" w:rsidRDefault="00000000">
            <w:pPr>
              <w:jc w:val="center"/>
              <w:rPr>
                <w:rFonts w:cs="Calibri"/>
                <w:sz w:val="16"/>
                <w:szCs w:val="16"/>
              </w:rPr>
            </w:pPr>
            <w:r>
              <w:rPr>
                <w:rFonts w:cs="Calibri"/>
                <w:sz w:val="16"/>
                <w:szCs w:val="16"/>
              </w:rPr>
              <w:t>‘00’</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14:paraId="0090BF75" w14:textId="77777777" w:rsidR="00B97365" w:rsidRDefault="00B97365">
            <w:pPr>
              <w:jc w:val="center"/>
              <w:rPr>
                <w:rFonts w:cs="Calibri"/>
                <w:sz w:val="16"/>
                <w:szCs w:val="16"/>
              </w:rPr>
            </w:pPr>
          </w:p>
        </w:tc>
      </w:tr>
      <w:tr w:rsidR="00B97365" w14:paraId="53C72214" w14:textId="77777777">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3F23512E" w14:textId="77777777" w:rsidR="00B97365" w:rsidRDefault="00000000">
            <w:pPr>
              <w:jc w:val="center"/>
              <w:rPr>
                <w:rFonts w:cs="Calibri"/>
                <w:sz w:val="16"/>
                <w:szCs w:val="16"/>
              </w:rPr>
            </w:pPr>
            <w:r>
              <w:rPr>
                <w:rFonts w:cs="Calibri"/>
                <w:sz w:val="16"/>
                <w:szCs w:val="16"/>
              </w:rPr>
              <w:t>Lc</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48EE245B" w14:textId="77777777" w:rsidR="00B97365" w:rsidRDefault="00000000">
            <w:pPr>
              <w:jc w:val="center"/>
              <w:rPr>
                <w:rFonts w:cs="Calibri"/>
                <w:sz w:val="16"/>
                <w:szCs w:val="16"/>
              </w:rPr>
            </w:pPr>
            <w:r>
              <w:rPr>
                <w:rFonts w:cs="Calibri"/>
                <w:sz w:val="16"/>
                <w:szCs w:val="16"/>
              </w:rPr>
              <w:t>‘10’</w:t>
            </w:r>
          </w:p>
        </w:tc>
        <w:tc>
          <w:tcPr>
            <w:tcW w:w="3062" w:type="dxa"/>
            <w:tcBorders>
              <w:top w:val="single" w:sz="4" w:space="0" w:color="auto"/>
              <w:left w:val="single" w:sz="4" w:space="0" w:color="auto"/>
              <w:bottom w:val="single" w:sz="4" w:space="0" w:color="auto"/>
              <w:right w:val="single" w:sz="4" w:space="0" w:color="auto"/>
            </w:tcBorders>
            <w:shd w:val="clear" w:color="auto" w:fill="FFFFFF"/>
            <w:hideMark/>
          </w:tcPr>
          <w:p w14:paraId="72F59E4F" w14:textId="77777777" w:rsidR="00B97365" w:rsidRDefault="00000000">
            <w:pPr>
              <w:jc w:val="center"/>
              <w:rPr>
                <w:rFonts w:cs="Calibri"/>
                <w:sz w:val="16"/>
                <w:szCs w:val="16"/>
              </w:rPr>
            </w:pPr>
            <w:r>
              <w:rPr>
                <w:rFonts w:cs="Calibri"/>
                <w:sz w:val="16"/>
                <w:szCs w:val="16"/>
              </w:rPr>
              <w:t xml:space="preserve">Length of the host cryptogram and MAC </w:t>
            </w:r>
          </w:p>
        </w:tc>
      </w:tr>
      <w:tr w:rsidR="00B97365" w14:paraId="263D1A78" w14:textId="77777777">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197329F7" w14:textId="77777777" w:rsidR="00B97365" w:rsidRDefault="00000000">
            <w:pPr>
              <w:jc w:val="center"/>
              <w:rPr>
                <w:rFonts w:cs="Calibri"/>
                <w:sz w:val="16"/>
                <w:szCs w:val="16"/>
              </w:rPr>
            </w:pPr>
            <w:r>
              <w:rPr>
                <w:rFonts w:cs="Calibri"/>
                <w:sz w:val="16"/>
                <w:szCs w:val="16"/>
              </w:rPr>
              <w:t xml:space="preserve">Data </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721DB441" w14:textId="77777777" w:rsidR="00B97365" w:rsidRDefault="00000000">
            <w:pPr>
              <w:jc w:val="center"/>
              <w:rPr>
                <w:rFonts w:cs="Calibri"/>
                <w:sz w:val="16"/>
                <w:szCs w:val="16"/>
              </w:rPr>
            </w:pPr>
            <w:r>
              <w:rPr>
                <w:rFonts w:cs="Calibri"/>
                <w:sz w:val="16"/>
                <w:szCs w:val="16"/>
              </w:rPr>
              <w:t>‘XX…XX’</w:t>
            </w:r>
          </w:p>
        </w:tc>
        <w:tc>
          <w:tcPr>
            <w:tcW w:w="3062" w:type="dxa"/>
            <w:tcBorders>
              <w:top w:val="single" w:sz="4" w:space="0" w:color="auto"/>
              <w:left w:val="single" w:sz="4" w:space="0" w:color="auto"/>
              <w:bottom w:val="single" w:sz="4" w:space="0" w:color="auto"/>
              <w:right w:val="single" w:sz="4" w:space="0" w:color="auto"/>
            </w:tcBorders>
            <w:shd w:val="clear" w:color="auto" w:fill="FFFFFF"/>
            <w:hideMark/>
          </w:tcPr>
          <w:p w14:paraId="78992569" w14:textId="74107237" w:rsidR="00B97365" w:rsidRDefault="00000000">
            <w:pPr>
              <w:jc w:val="center"/>
              <w:rPr>
                <w:rFonts w:cs="Calibri"/>
                <w:sz w:val="16"/>
                <w:szCs w:val="16"/>
              </w:rPr>
            </w:pPr>
            <w:r>
              <w:rPr>
                <w:rFonts w:cs="Calibri"/>
                <w:sz w:val="16"/>
                <w:szCs w:val="16"/>
              </w:rPr>
              <w:t xml:space="preserve">Host cryptogram and MAC (see to GlobalPlatform Card Specification Amendment D </w:t>
            </w:r>
            <w:r>
              <w:fldChar w:fldCharType="begin"/>
            </w:r>
            <w:r>
              <w:rPr>
                <w:rFonts w:cs="Calibri"/>
                <w:sz w:val="16"/>
                <w:szCs w:val="16"/>
              </w:rPr>
              <w:instrText xml:space="preserve"> REF _Ref421631938 \r \h </w:instrText>
            </w:r>
            <w:r>
              <w:fldChar w:fldCharType="separate"/>
            </w:r>
            <w:r w:rsidR="001D5AD9">
              <w:rPr>
                <w:rFonts w:cs="Calibri"/>
                <w:sz w:val="16"/>
                <w:szCs w:val="16"/>
              </w:rPr>
              <w:t>[10]</w:t>
            </w:r>
            <w:r>
              <w:fldChar w:fldCharType="end"/>
            </w:r>
            <w:r>
              <w:rPr>
                <w:rFonts w:cs="Calibri"/>
                <w:sz w:val="16"/>
                <w:szCs w:val="16"/>
              </w:rPr>
              <w:t xml:space="preserve"> for computation of host cryptogram and MAC)</w:t>
            </w:r>
          </w:p>
        </w:tc>
      </w:tr>
      <w:tr w:rsidR="00B97365" w14:paraId="221D7293" w14:textId="77777777">
        <w:trPr>
          <w:trHeight w:val="56"/>
        </w:trPr>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112D21AC" w14:textId="77777777" w:rsidR="00B97365" w:rsidRDefault="00000000">
            <w:pPr>
              <w:jc w:val="center"/>
              <w:rPr>
                <w:rFonts w:cs="Calibri"/>
                <w:sz w:val="16"/>
                <w:szCs w:val="16"/>
              </w:rPr>
            </w:pPr>
            <w:r>
              <w:rPr>
                <w:rFonts w:cs="Calibri"/>
                <w:sz w:val="16"/>
                <w:szCs w:val="16"/>
              </w:rPr>
              <w:t>Le</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14:paraId="0B71802E" w14:textId="77777777" w:rsidR="00B97365" w:rsidRDefault="00B97365">
            <w:pPr>
              <w:jc w:val="center"/>
              <w:rPr>
                <w:rFonts w:cs="Calibri"/>
                <w:sz w:val="16"/>
                <w:szCs w:val="16"/>
              </w:rPr>
            </w:pPr>
          </w:p>
        </w:tc>
        <w:tc>
          <w:tcPr>
            <w:tcW w:w="3062" w:type="dxa"/>
            <w:tcBorders>
              <w:top w:val="single" w:sz="4" w:space="0" w:color="auto"/>
              <w:left w:val="single" w:sz="4" w:space="0" w:color="auto"/>
              <w:bottom w:val="single" w:sz="4" w:space="0" w:color="auto"/>
              <w:right w:val="single" w:sz="4" w:space="0" w:color="auto"/>
            </w:tcBorders>
            <w:shd w:val="clear" w:color="auto" w:fill="FFFFFF"/>
            <w:hideMark/>
          </w:tcPr>
          <w:p w14:paraId="1C4F1D22" w14:textId="77777777" w:rsidR="00B97365" w:rsidRDefault="00000000">
            <w:pPr>
              <w:jc w:val="center"/>
              <w:rPr>
                <w:rFonts w:cs="Calibri"/>
                <w:sz w:val="16"/>
                <w:szCs w:val="16"/>
              </w:rPr>
            </w:pPr>
            <w:r>
              <w:rPr>
                <w:rFonts w:cs="Calibri"/>
                <w:sz w:val="16"/>
                <w:szCs w:val="16"/>
              </w:rPr>
              <w:t>Not Present</w:t>
            </w:r>
          </w:p>
        </w:tc>
      </w:tr>
    </w:tbl>
    <w:p w14:paraId="5EC14758" w14:textId="77777777" w:rsidR="00B97365" w:rsidRDefault="00000000">
      <w:pPr>
        <w:numPr>
          <w:ilvl w:val="0"/>
          <w:numId w:val="14"/>
        </w:numPr>
        <w:tabs>
          <w:tab w:val="left" w:pos="1009"/>
        </w:tabs>
        <w:spacing w:after="200" w:line="276" w:lineRule="auto"/>
        <w:jc w:val="center"/>
        <w:rPr>
          <w:rFonts w:cs="Calibri"/>
        </w:rPr>
      </w:pPr>
      <w:r>
        <w:rPr>
          <w:rFonts w:cs="Arial"/>
          <w:b/>
          <w:lang w:eastAsia="de-DE" w:bidi="ar-SA"/>
        </w:rPr>
        <w:t>: External Authenticate Command</w:t>
      </w:r>
    </w:p>
    <w:p w14:paraId="37DAE1EC" w14:textId="77777777" w:rsidR="00B97365" w:rsidRDefault="00000000">
      <w:pPr>
        <w:rPr>
          <w:rFonts w:cs="Calibri"/>
        </w:rPr>
      </w:pPr>
      <w:r>
        <w:rPr>
          <w:rFonts w:cs="Calibri"/>
        </w:rPr>
        <w:lastRenderedPageBreak/>
        <w:t xml:space="preserve">These two commands SHALL be following by any ES8 command as defined in subsequent sections depending on the procedure to be performed.  </w:t>
      </w:r>
    </w:p>
    <w:p w14:paraId="6319E43D" w14:textId="6D23F89C" w:rsidR="00B97365" w:rsidRDefault="00000000">
      <w:pPr>
        <w:rPr>
          <w:rFonts w:cs="Calibri"/>
        </w:rPr>
      </w:pPr>
      <w:r>
        <w:rPr>
          <w:rFonts w:cs="Calibri"/>
        </w:rPr>
        <w:t xml:space="preserve">Those ES8 commands and their responses are modified by encrypting the data part and adding a MAC as defined in GlobalPlatform Card Specification Amendment D </w:t>
      </w:r>
      <w:r>
        <w:fldChar w:fldCharType="begin"/>
      </w:r>
      <w:r>
        <w:rPr>
          <w:rFonts w:cs="Calibri"/>
        </w:rPr>
        <w:instrText xml:space="preserve"> REF _Ref421631938 \r \h </w:instrText>
      </w:r>
      <w:r>
        <w:fldChar w:fldCharType="separate"/>
      </w:r>
      <w:r w:rsidR="001D5AD9">
        <w:rPr>
          <w:rFonts w:cs="Calibri"/>
        </w:rPr>
        <w:t>[10]</w:t>
      </w:r>
      <w:r>
        <w:fldChar w:fldCharType="end"/>
      </w:r>
      <w:r>
        <w:rPr>
          <w:rFonts w:cs="Calibri"/>
        </w:rPr>
        <w:t>.</w:t>
      </w:r>
    </w:p>
    <w:p w14:paraId="7355D944"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686" w:name="_Toc373757398"/>
      <w:bookmarkStart w:id="2687" w:name="_Ref373505545"/>
      <w:bookmarkStart w:id="2688" w:name="_Ref534204222"/>
      <w:bookmarkStart w:id="2689" w:name="_Toc1977325"/>
      <w:bookmarkStart w:id="2690" w:name="_Toc37062484"/>
      <w:r>
        <w:rPr>
          <w:rFonts w:ascii="Arial Bold" w:eastAsia="Times New Roman" w:hAnsi="Arial Bold" w:cs="Arial"/>
          <w:b/>
          <w:iCs/>
          <w:szCs w:val="28"/>
          <w:lang w:eastAsia="en-US"/>
        </w:rPr>
        <w:t>Download and Installation</w:t>
      </w:r>
      <w:bookmarkEnd w:id="2686"/>
      <w:bookmarkEnd w:id="2687"/>
      <w:r>
        <w:rPr>
          <w:rFonts w:ascii="Arial Bold" w:eastAsia="Times New Roman" w:hAnsi="Arial Bold" w:cs="Arial"/>
          <w:b/>
          <w:iCs/>
          <w:szCs w:val="28"/>
          <w:lang w:eastAsia="en-US"/>
        </w:rPr>
        <w:t xml:space="preserve"> of a Profile</w:t>
      </w:r>
      <w:bookmarkEnd w:id="2688"/>
      <w:bookmarkEnd w:id="2689"/>
      <w:bookmarkEnd w:id="2690"/>
    </w:p>
    <w:p w14:paraId="3F7CEF21" w14:textId="77777777" w:rsidR="00B97365" w:rsidRDefault="00000000">
      <w:r>
        <w:rPr>
          <w:rFonts w:cs="Arial"/>
          <w:b/>
        </w:rPr>
        <w:t>Function name</w:t>
      </w:r>
      <w:r>
        <w:t>: DownloadAndInstallation</w:t>
      </w:r>
    </w:p>
    <w:p w14:paraId="36EE8E58" w14:textId="77777777" w:rsidR="00B97365" w:rsidRDefault="00000000">
      <w:r>
        <w:rPr>
          <w:rFonts w:cs="Arial"/>
          <w:b/>
        </w:rPr>
        <w:t>Related Procedures</w:t>
      </w:r>
      <w:r>
        <w:t>: Profile Download and Installation</w:t>
      </w:r>
    </w:p>
    <w:p w14:paraId="78D79923" w14:textId="77777777" w:rsidR="00B97365" w:rsidRDefault="00000000">
      <w:r>
        <w:rPr>
          <w:rFonts w:cs="Arial"/>
          <w:b/>
        </w:rPr>
        <w:t>Function group</w:t>
      </w:r>
      <w:r>
        <w:t xml:space="preserve">: Profile Management  </w:t>
      </w:r>
    </w:p>
    <w:p w14:paraId="021AC563" w14:textId="77777777" w:rsidR="00B97365" w:rsidRDefault="00000000">
      <w:r>
        <w:rPr>
          <w:rFonts w:cs="Arial"/>
          <w:b/>
        </w:rPr>
        <w:t>Function Provider entity</w:t>
      </w:r>
      <w:r>
        <w:t>: ISD-P</w:t>
      </w:r>
    </w:p>
    <w:p w14:paraId="58130935" w14:textId="77777777" w:rsidR="00B97365" w:rsidRDefault="00000000">
      <w:r>
        <w:rPr>
          <w:rFonts w:cs="Arial"/>
          <w:b/>
        </w:rPr>
        <w:t>Description</w:t>
      </w:r>
      <w:r>
        <w:t>: This function is used to load a Profile into an ISD-P on the eUICC. The ISD-P must be already created and also already personalized. The Profile created by the SM-DP must be compatible with the targeted eUICC.</w:t>
      </w:r>
    </w:p>
    <w:p w14:paraId="6D551078" w14:textId="77777777" w:rsidR="00B97365" w:rsidRDefault="00B97365">
      <w:pPr>
        <w:spacing w:before="0"/>
        <w:ind w:left="1560" w:hanging="1276"/>
        <w:rPr>
          <w:rFonts w:cs="Arial"/>
          <w:sz w:val="20"/>
        </w:rPr>
      </w:pPr>
    </w:p>
    <w:p w14:paraId="7365B0BF" w14:textId="77777777" w:rsidR="00B97365" w:rsidRDefault="00000000">
      <w:pPr>
        <w:tabs>
          <w:tab w:val="left" w:pos="1560"/>
        </w:tabs>
        <w:spacing w:before="0" w:after="200" w:line="276" w:lineRule="auto"/>
        <w:ind w:left="1559" w:hanging="1202"/>
        <w:jc w:val="left"/>
        <w:rPr>
          <w:rFonts w:cs="Arial"/>
          <w:szCs w:val="22"/>
          <w:lang w:val="en-US" w:eastAsia="en-GB" w:bidi="ar-SA"/>
        </w:rPr>
      </w:pPr>
      <w:r>
        <w:rPr>
          <w:rFonts w:cs="Arial"/>
          <w:szCs w:val="22"/>
          <w:lang w:val="en-US" w:eastAsia="en-GB" w:bidi="ar-SA"/>
        </w:rPr>
        <w:t>NOTE:</w:t>
      </w:r>
      <w:r>
        <w:rPr>
          <w:rFonts w:cs="Arial"/>
          <w:szCs w:val="22"/>
          <w:lang w:val="en-US" w:eastAsia="en-GB" w:bidi="ar-SA"/>
        </w:rPr>
        <w:tab/>
        <w:t>The ISD-P identification is provided within the ES5 transport protocol.</w:t>
      </w:r>
    </w:p>
    <w:p w14:paraId="1F3A719F" w14:textId="77777777" w:rsidR="00B97365" w:rsidRDefault="00000000">
      <w:pPr>
        <w:rPr>
          <w:rFonts w:cs="Arial"/>
          <w:sz w:val="20"/>
        </w:rPr>
      </w:pPr>
      <w:r>
        <w:rPr>
          <w:rFonts w:cs="Arial"/>
        </w:rPr>
        <w:t xml:space="preserve">The Profile SHALL be protected by SCP03t. The Profile SHALL include in </w:t>
      </w:r>
      <w:r>
        <w:rPr>
          <w:rFonts w:cs="Arial"/>
          <w:szCs w:val="22"/>
        </w:rPr>
        <w:t>particular</w:t>
      </w:r>
      <w:r>
        <w:rPr>
          <w:rFonts w:cs="Arial"/>
          <w:sz w:val="20"/>
        </w:rPr>
        <w:t>:</w:t>
      </w:r>
    </w:p>
    <w:p w14:paraId="2025995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setting of POL1, if defined by Operator</w:t>
      </w:r>
    </w:p>
    <w:p w14:paraId="5D783109" w14:textId="2012D3B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setting of connectivity parameters (see section </w:t>
      </w:r>
      <w:r>
        <w:fldChar w:fldCharType="begin"/>
      </w:r>
      <w:r>
        <w:instrText xml:space="preserve"> REF _Ref367973204 \r \h  \* MERGEFORMAT </w:instrText>
      </w:r>
      <w:r>
        <w:fldChar w:fldCharType="separate"/>
      </w:r>
      <w:r w:rsidR="001D5AD9" w:rsidRPr="001D5AD9">
        <w:rPr>
          <w:szCs w:val="22"/>
          <w:lang w:eastAsia="en-GB" w:bidi="ar-SA"/>
        </w:rPr>
        <w:t>4.1.3.4</w:t>
      </w:r>
      <w:r>
        <w:fldChar w:fldCharType="end"/>
      </w:r>
      <w:r>
        <w:rPr>
          <w:szCs w:val="22"/>
          <w:lang w:eastAsia="en-GB" w:bidi="ar-SA"/>
        </w:rPr>
        <w:t>)</w:t>
      </w:r>
    </w:p>
    <w:p w14:paraId="66FE1A5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setting of ISD-P state from ‘CREATED’ to ‘DISABLED’ when installation is finished.</w:t>
      </w:r>
    </w:p>
    <w:p w14:paraId="3D451695" w14:textId="77777777" w:rsidR="00B97365" w:rsidRDefault="00000000">
      <w:pPr>
        <w:spacing w:before="0" w:after="200" w:line="276" w:lineRule="auto"/>
        <w:jc w:val="left"/>
        <w:rPr>
          <w:rFonts w:eastAsia="Calibri" w:cs="Arial"/>
          <w:b/>
          <w:szCs w:val="22"/>
          <w:lang w:eastAsia="en-US" w:bidi="ar-SA"/>
        </w:rPr>
      </w:pPr>
      <w:bookmarkStart w:id="2691" w:name="_Toc420594667"/>
      <w:r>
        <w:rPr>
          <w:rFonts w:cs="Arial"/>
          <w:b/>
          <w:szCs w:val="22"/>
          <w:u w:val="single"/>
          <w:lang w:val="en-US" w:eastAsia="en-GB" w:bidi="ar-SA"/>
        </w:rPr>
        <w:t>Parameters</w:t>
      </w:r>
      <w:r>
        <w:rPr>
          <w:rFonts w:eastAsia="Calibri" w:cs="Arial"/>
          <w:b/>
          <w:szCs w:val="22"/>
          <w:u w:val="single"/>
          <w:lang w:eastAsia="en-US" w:bidi="ar-SA"/>
        </w:rPr>
        <w:t>:</w:t>
      </w:r>
      <w:bookmarkEnd w:id="2691"/>
    </w:p>
    <w:p w14:paraId="1E80149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 Profile </w:t>
      </w:r>
    </w:p>
    <w:p w14:paraId="32A2C31E" w14:textId="77777777" w:rsidR="00B97365" w:rsidRDefault="00000000">
      <w:pPr>
        <w:spacing w:before="0" w:after="200" w:line="276" w:lineRule="auto"/>
        <w:jc w:val="left"/>
        <w:rPr>
          <w:rFonts w:eastAsia="Calibri" w:cs="Arial"/>
          <w:b/>
          <w:szCs w:val="22"/>
          <w:u w:val="single"/>
          <w:lang w:eastAsia="en-US" w:bidi="ar-SA"/>
        </w:rPr>
      </w:pPr>
      <w:bookmarkStart w:id="2692" w:name="_Toc420594668"/>
      <w:r>
        <w:rPr>
          <w:rFonts w:cs="Arial"/>
          <w:b/>
          <w:szCs w:val="22"/>
          <w:u w:val="single"/>
          <w:lang w:val="en-US" w:eastAsia="en-GB" w:bidi="ar-SA"/>
        </w:rPr>
        <w:t>Prerequisites</w:t>
      </w:r>
      <w:r>
        <w:rPr>
          <w:rFonts w:eastAsia="Calibri" w:cs="Arial"/>
          <w:b/>
          <w:szCs w:val="22"/>
          <w:u w:val="single"/>
          <w:lang w:eastAsia="en-US" w:bidi="ar-SA"/>
        </w:rPr>
        <w:t>:</w:t>
      </w:r>
      <w:bookmarkEnd w:id="2692"/>
    </w:p>
    <w:p w14:paraId="29241CB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 must be created</w:t>
      </w:r>
    </w:p>
    <w:p w14:paraId="696E182E" w14:textId="709F8325"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 must be PERSONALIZED (as defined in GlobalPlatform Card Specification</w:t>
      </w:r>
      <w:r>
        <w:fldChar w:fldCharType="begin"/>
      </w:r>
      <w:r>
        <w:rPr>
          <w:szCs w:val="22"/>
          <w:lang w:eastAsia="en-GB" w:bidi="ar-SA"/>
        </w:rPr>
        <w:instrText xml:space="preserve"> REF _Ref421631311 \r \h </w:instrText>
      </w:r>
      <w:r>
        <w:fldChar w:fldCharType="separate"/>
      </w:r>
      <w:r w:rsidR="001D5AD9">
        <w:rPr>
          <w:szCs w:val="22"/>
          <w:lang w:eastAsia="en-GB" w:bidi="ar-SA"/>
        </w:rPr>
        <w:t>[6]</w:t>
      </w:r>
      <w:r>
        <w:fldChar w:fldCharType="end"/>
      </w:r>
      <w:r>
        <w:rPr>
          <w:szCs w:val="22"/>
          <w:lang w:eastAsia="en-GB" w:bidi="ar-SA"/>
        </w:rPr>
        <w:t>)</w:t>
      </w:r>
    </w:p>
    <w:p w14:paraId="3FA2810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Connection is secured via SCP03t</w:t>
      </w:r>
    </w:p>
    <w:p w14:paraId="583D3ECA" w14:textId="1E22D501" w:rsidR="00B97365" w:rsidRDefault="00000000">
      <w:pPr>
        <w:rPr>
          <w:rFonts w:cs="Calibri"/>
        </w:rPr>
      </w:pPr>
      <w:r>
        <w:rPr>
          <w:rFonts w:cs="Calibri"/>
        </w:rPr>
        <w:t xml:space="preserve">Check </w:t>
      </w:r>
      <w:r>
        <w:fldChar w:fldCharType="begin"/>
      </w:r>
      <w:r>
        <w:rPr>
          <w:rFonts w:cs="Calibri"/>
        </w:rPr>
        <w:instrText xml:space="preserve"> REF _Ref373941353 \r \h </w:instrText>
      </w:r>
      <w:r>
        <w:fldChar w:fldCharType="separate"/>
      </w:r>
      <w:r w:rsidR="001D5AD9">
        <w:rPr>
          <w:rFonts w:cs="Calibri"/>
        </w:rPr>
        <w:t>Figure 13</w:t>
      </w:r>
      <w:r>
        <w:fldChar w:fldCharType="end"/>
      </w:r>
      <w:r>
        <w:rPr>
          <w:rFonts w:cs="Calibri"/>
        </w:rPr>
        <w:t xml:space="preserve"> for further details.</w:t>
      </w:r>
    </w:p>
    <w:p w14:paraId="409EA346" w14:textId="77777777" w:rsidR="00B97365" w:rsidRDefault="00B97365">
      <w:pPr>
        <w:rPr>
          <w:rFonts w:cs="Calibri"/>
        </w:rPr>
      </w:pPr>
    </w:p>
    <w:p w14:paraId="20EA90BE" w14:textId="77777777" w:rsidR="00B97365" w:rsidRDefault="00000000">
      <w:pPr>
        <w:spacing w:before="0" w:after="200" w:line="276" w:lineRule="auto"/>
        <w:jc w:val="left"/>
        <w:rPr>
          <w:b/>
          <w:szCs w:val="22"/>
          <w:u w:val="single"/>
          <w:lang w:eastAsia="en-GB" w:bidi="ar-SA"/>
        </w:rPr>
      </w:pPr>
      <w:bookmarkStart w:id="2693" w:name="_Hlk419100843"/>
      <w:r>
        <w:rPr>
          <w:rFonts w:cs="Arial"/>
          <w:b/>
          <w:szCs w:val="22"/>
          <w:u w:val="single"/>
          <w:lang w:val="en-US" w:eastAsia="en-GB" w:bidi="ar-SA"/>
        </w:rPr>
        <w:t>Description</w:t>
      </w:r>
      <w:r>
        <w:rPr>
          <w:b/>
          <w:szCs w:val="22"/>
          <w:u w:val="single"/>
          <w:lang w:eastAsia="en-GB" w:bidi="ar-SA"/>
        </w:rPr>
        <w:t xml:space="preserve"> of the SCP03t security protocol:</w:t>
      </w:r>
    </w:p>
    <w:p w14:paraId="61BF9A78" w14:textId="77777777" w:rsidR="00B97365" w:rsidRDefault="00000000">
      <w:pPr>
        <w:spacing w:before="0" w:after="200" w:line="276" w:lineRule="auto"/>
        <w:jc w:val="left"/>
        <w:rPr>
          <w:rFonts w:cs="Arial"/>
          <w:szCs w:val="22"/>
          <w:lang w:eastAsia="en-GB" w:bidi="ar-SA"/>
        </w:rPr>
      </w:pPr>
      <w:bookmarkStart w:id="2694" w:name="_Toc294281666"/>
      <w:bookmarkStart w:id="2695" w:name="_Toc291691005"/>
      <w:bookmarkEnd w:id="2693"/>
      <w:r>
        <w:rPr>
          <w:rFonts w:cs="Arial"/>
          <w:szCs w:val="22"/>
          <w:lang w:eastAsia="en-GB" w:bidi="ar-SA"/>
        </w:rPr>
        <w:t>This section defines a secure channel protocol based on GlobalPlatform's SCP03 usable for TLV structures, named SCP03t hereafter.</w:t>
      </w:r>
    </w:p>
    <w:p w14:paraId="0E95D872"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Tag values are defined so that they can be used without conflict within the </w:t>
      </w:r>
      <w:bookmarkStart w:id="2696" w:name="_Hlk410294201"/>
      <w:r>
        <w:rPr>
          <w:rFonts w:cs="Arial"/>
          <w:szCs w:val="22"/>
          <w:lang w:eastAsia="en-GB" w:bidi="ar-SA"/>
        </w:rPr>
        <w:t>expanded remote management format</w:t>
      </w:r>
      <w:bookmarkEnd w:id="2696"/>
      <w:r>
        <w:rPr>
          <w:rFonts w:cs="Arial"/>
          <w:szCs w:val="22"/>
          <w:lang w:eastAsia="en-GB" w:bidi="ar-SA"/>
        </w:rPr>
        <w:t xml:space="preserve"> which is used to transport data inside SCP80 or SCP81 of ES5.</w:t>
      </w:r>
    </w:p>
    <w:p w14:paraId="259D41A4" w14:textId="77777777" w:rsidR="00B97365" w:rsidRDefault="00000000">
      <w:pPr>
        <w:spacing w:before="0" w:after="200" w:line="276" w:lineRule="auto"/>
        <w:jc w:val="left"/>
        <w:rPr>
          <w:rFonts w:cs="Arial"/>
          <w:szCs w:val="22"/>
          <w:lang w:eastAsia="en-GB" w:bidi="ar-SA"/>
        </w:rPr>
      </w:pPr>
      <w:r>
        <w:rPr>
          <w:rFonts w:cs="Arial"/>
          <w:szCs w:val="22"/>
          <w:lang w:eastAsia="en-GB" w:bidi="ar-SA"/>
        </w:rPr>
        <w:t>As no SWs are used, errors are indicated by a special response tag with tag number +'80' (resulting in a 2 byte tag).</w:t>
      </w:r>
    </w:p>
    <w:p w14:paraId="1CEBFB36" w14:textId="5CB519E4" w:rsidR="00B97365" w:rsidRDefault="00000000">
      <w:pPr>
        <w:spacing w:before="0" w:after="200" w:line="276" w:lineRule="auto"/>
        <w:jc w:val="left"/>
        <w:rPr>
          <w:szCs w:val="22"/>
          <w:lang w:eastAsia="en-GB" w:bidi="ar-SA"/>
        </w:rPr>
      </w:pPr>
      <w:r>
        <w:rPr>
          <w:rFonts w:cs="Arial"/>
          <w:szCs w:val="22"/>
          <w:lang w:eastAsia="en-GB" w:bidi="ar-SA"/>
        </w:rPr>
        <w:t xml:space="preserve">The data transported in the command TLVs specified below SHALL consist of the Profile Package specified in </w:t>
      </w:r>
      <w:r>
        <w:fldChar w:fldCharType="begin"/>
      </w:r>
      <w:r>
        <w:rPr>
          <w:szCs w:val="22"/>
          <w:lang w:eastAsia="en-GB" w:bidi="ar-SA"/>
        </w:rPr>
        <w:instrText xml:space="preserve"> REF _Ref421634743 \r \h </w:instrText>
      </w:r>
      <w:r>
        <w:fldChar w:fldCharType="separate"/>
      </w:r>
      <w:r w:rsidR="001D5AD9">
        <w:rPr>
          <w:szCs w:val="22"/>
          <w:lang w:eastAsia="en-GB" w:bidi="ar-SA"/>
        </w:rPr>
        <w:t>[53]</w:t>
      </w:r>
      <w:r>
        <w:fldChar w:fldCharType="end"/>
      </w:r>
      <w:r>
        <w:rPr>
          <w:szCs w:val="22"/>
          <w:lang w:eastAsia="en-GB" w:bidi="ar-SA"/>
        </w:rPr>
        <w:t xml:space="preserve">; the response TLVs SHALL transport Profile Element (PE) responses as provided by the Profile Package processing specified in SIMalliance: eUICC Profile Package - Interoperable Format Technical Specification </w:t>
      </w:r>
      <w:r>
        <w:fldChar w:fldCharType="begin"/>
      </w:r>
      <w:r>
        <w:rPr>
          <w:szCs w:val="22"/>
          <w:lang w:eastAsia="en-GB" w:bidi="ar-SA"/>
        </w:rPr>
        <w:instrText xml:space="preserve"> REF _Ref421634743 \r \h </w:instrText>
      </w:r>
      <w:r>
        <w:fldChar w:fldCharType="separate"/>
      </w:r>
      <w:r w:rsidR="001D5AD9">
        <w:rPr>
          <w:szCs w:val="22"/>
          <w:lang w:eastAsia="en-GB" w:bidi="ar-SA"/>
        </w:rPr>
        <w:t>[53]</w:t>
      </w:r>
      <w:r>
        <w:fldChar w:fldCharType="end"/>
      </w:r>
      <w:r>
        <w:rPr>
          <w:szCs w:val="22"/>
          <w:lang w:eastAsia="en-GB" w:bidi="ar-SA"/>
        </w:rPr>
        <w:t>.</w:t>
      </w:r>
    </w:p>
    <w:p w14:paraId="2410F6CC"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lastRenderedPageBreak/>
        <w:t>NOTE</w:t>
      </w:r>
      <w:r>
        <w:rPr>
          <w:szCs w:val="22"/>
          <w:lang w:eastAsia="en-GB" w:bidi="ar-SA"/>
        </w:rPr>
        <w:tab/>
        <w:t>The SM-DP MAY support a former version v2.x of the SIMalliance: eUICC Profile Package - Interoperable Format Technical Specification, to download a profile onto an eUICC complying with a former version of this specification.</w:t>
      </w:r>
    </w:p>
    <w:p w14:paraId="39D8C215"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ab/>
        <w:t>The SM-DP can inspect the EIS of the target eUICC to determine which versions of SIMalliance eUICC Profile Package [53] are supported by the target eUICC.</w:t>
      </w:r>
    </w:p>
    <w:p w14:paraId="4B9A6E87" w14:textId="77777777" w:rsidR="00B97365" w:rsidRDefault="00000000">
      <w:pPr>
        <w:spacing w:before="0" w:after="200" w:line="276" w:lineRule="auto"/>
        <w:jc w:val="left"/>
        <w:rPr>
          <w:szCs w:val="22"/>
          <w:lang w:eastAsia="en-GB" w:bidi="ar-SA"/>
        </w:rPr>
      </w:pPr>
      <w:r>
        <w:rPr>
          <w:szCs w:val="22"/>
          <w:lang w:eastAsia="en-GB" w:bidi="ar-SA"/>
        </w:rPr>
        <w:t>The Profile Package consists of a sequence of PE TLVs. However, SCP03t does not take that PE structure into account, but treats the whole Profile Package as one block of transparent data. That block of data is split into segments of a maximum size of 1024 bytes (including the tag and length field). The eUICC SHALL support profile command data segments of at least up to this size.</w:t>
      </w:r>
    </w:p>
    <w:p w14:paraId="7E8F1525" w14:textId="77777777" w:rsidR="00B97365" w:rsidRDefault="00000000">
      <w:pPr>
        <w:spacing w:before="0" w:after="200" w:line="276" w:lineRule="auto"/>
        <w:jc w:val="left"/>
        <w:rPr>
          <w:rFonts w:cs="Arial"/>
          <w:szCs w:val="22"/>
          <w:lang w:eastAsia="en-GB" w:bidi="ar-SA"/>
        </w:rPr>
      </w:pPr>
      <w:r>
        <w:rPr>
          <w:rFonts w:cs="Arial"/>
          <w:szCs w:val="22"/>
          <w:lang w:eastAsia="en-GB" w:bidi="ar-SA"/>
        </w:rPr>
        <w:t>The options allowed in SCP03 are limited as follows in SCP03t:</w:t>
      </w:r>
    </w:p>
    <w:p w14:paraId="522B200E" w14:textId="77777777" w:rsidR="00B97365" w:rsidRDefault="00000000">
      <w:pPr>
        <w:numPr>
          <w:ilvl w:val="0"/>
          <w:numId w:val="32"/>
        </w:numPr>
        <w:tabs>
          <w:tab w:val="left" w:pos="720"/>
        </w:tabs>
        <w:spacing w:before="0" w:after="200" w:line="276" w:lineRule="auto"/>
        <w:contextualSpacing/>
        <w:jc w:val="left"/>
        <w:rPr>
          <w:szCs w:val="22"/>
          <w:lang w:eastAsia="en-GB" w:bidi="ar-SA"/>
        </w:rPr>
      </w:pPr>
      <w:r>
        <w:rPr>
          <w:szCs w:val="22"/>
          <w:lang w:eastAsia="en-GB" w:bidi="ar-SA"/>
        </w:rPr>
        <w:t>Response security is always the same as command security (if no error).</w:t>
      </w:r>
    </w:p>
    <w:p w14:paraId="5B799D6A" w14:textId="77777777" w:rsidR="00B97365" w:rsidRDefault="00000000">
      <w:pPr>
        <w:numPr>
          <w:ilvl w:val="0"/>
          <w:numId w:val="32"/>
        </w:numPr>
        <w:tabs>
          <w:tab w:val="left" w:pos="720"/>
        </w:tabs>
        <w:spacing w:before="0" w:after="200" w:line="276" w:lineRule="auto"/>
        <w:contextualSpacing/>
        <w:jc w:val="left"/>
        <w:rPr>
          <w:szCs w:val="22"/>
          <w:lang w:eastAsia="en-GB" w:bidi="ar-SA"/>
        </w:rPr>
      </w:pPr>
      <w:r>
        <w:rPr>
          <w:szCs w:val="22"/>
          <w:lang w:eastAsia="en-GB" w:bidi="ar-SA"/>
        </w:rPr>
        <w:t>BEGIN/END R-MAC SESSION is not supported.</w:t>
      </w:r>
    </w:p>
    <w:p w14:paraId="6398CDA9" w14:textId="77777777" w:rsidR="00B97365" w:rsidRDefault="00000000">
      <w:pPr>
        <w:numPr>
          <w:ilvl w:val="0"/>
          <w:numId w:val="32"/>
        </w:numPr>
        <w:tabs>
          <w:tab w:val="left" w:pos="720"/>
        </w:tabs>
        <w:spacing w:before="0" w:after="200" w:line="276" w:lineRule="auto"/>
        <w:contextualSpacing/>
        <w:jc w:val="left"/>
        <w:rPr>
          <w:szCs w:val="22"/>
          <w:lang w:eastAsia="en-GB" w:bidi="ar-SA"/>
        </w:rPr>
      </w:pPr>
      <w:r>
        <w:rPr>
          <w:szCs w:val="22"/>
          <w:lang w:eastAsia="en-GB" w:bidi="ar-SA"/>
        </w:rPr>
        <w:t>Only one option is defined: MAC + encryption.</w:t>
      </w:r>
    </w:p>
    <w:p w14:paraId="7816CAA5" w14:textId="77777777" w:rsidR="00B97365" w:rsidRDefault="00000000">
      <w:pPr>
        <w:spacing w:before="0" w:after="200" w:line="276" w:lineRule="auto"/>
        <w:jc w:val="left"/>
        <w:rPr>
          <w:rFonts w:cs="Arial"/>
          <w:szCs w:val="22"/>
          <w:lang w:eastAsia="en-GB" w:bidi="ar-SA"/>
        </w:rPr>
      </w:pPr>
      <w:r>
        <w:rPr>
          <w:rFonts w:cs="Arial"/>
          <w:szCs w:val="22"/>
          <w:lang w:eastAsia="en-GB" w:bidi="ar-SA"/>
        </w:rPr>
        <w:t>The following sections describe the changes required to move from SCP03 to SCP03t. Everything else is inherited from SCP03.</w:t>
      </w:r>
    </w:p>
    <w:bookmarkEnd w:id="2694"/>
    <w:bookmarkEnd w:id="2695"/>
    <w:p w14:paraId="1D691E9E" w14:textId="77777777" w:rsidR="00B97365" w:rsidRDefault="00000000">
      <w:pPr>
        <w:spacing w:before="0" w:after="200" w:line="276" w:lineRule="auto"/>
        <w:jc w:val="left"/>
        <w:rPr>
          <w:rFonts w:cs="Arial"/>
          <w:szCs w:val="22"/>
          <w:lang w:eastAsia="en-GB" w:bidi="ar-SA"/>
        </w:rPr>
      </w:pPr>
      <w:r>
        <w:rPr>
          <w:rFonts w:cs="Arial"/>
          <w:szCs w:val="22"/>
          <w:lang w:eastAsia="en-GB" w:bidi="ar-SA"/>
        </w:rPr>
        <w:t>As the security mechanisms are exactly the same as SCP03, the SCP03 key sets are used for SCP03t.</w:t>
      </w:r>
    </w:p>
    <w:p w14:paraId="64C864D8" w14:textId="77777777" w:rsidR="00B97365" w:rsidRDefault="00000000">
      <w:pPr>
        <w:spacing w:before="0" w:after="200" w:line="276" w:lineRule="auto"/>
        <w:jc w:val="left"/>
        <w:rPr>
          <w:rFonts w:cs="Arial"/>
          <w:szCs w:val="22"/>
          <w:lang w:eastAsia="en-GB" w:bidi="ar-SA"/>
        </w:rPr>
      </w:pPr>
      <w:r>
        <w:rPr>
          <w:rFonts w:cs="Arial"/>
          <w:szCs w:val="22"/>
          <w:lang w:eastAsia="en-GB" w:bidi="ar-SA"/>
        </w:rPr>
        <w:t>Secure channel initiation uses 2 TLVs equivalent to the INITIALIZE UPDATE and the EXTERNAL AUTHENTICATE APDUs.</w:t>
      </w:r>
    </w:p>
    <w:p w14:paraId="76D19D50" w14:textId="77777777" w:rsidR="00B97365" w:rsidRDefault="00000000">
      <w:pPr>
        <w:spacing w:before="0" w:after="200" w:line="276" w:lineRule="auto"/>
        <w:jc w:val="left"/>
        <w:rPr>
          <w:rFonts w:cs="Arial"/>
          <w:szCs w:val="22"/>
          <w:lang w:eastAsia="en-GB" w:bidi="ar-SA"/>
        </w:rPr>
      </w:pPr>
      <w:r>
        <w:rPr>
          <w:rFonts w:cs="Arial"/>
          <w:szCs w:val="22"/>
          <w:lang w:eastAsia="en-GB" w:bidi="ar-SA"/>
        </w:rPr>
        <w:t>Thereafter, the command and response TLVs are protected in the same way as SCP03 APDUs, using either:</w:t>
      </w:r>
    </w:p>
    <w:p w14:paraId="628D0703"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SCP03t sessions keys resulting from the secure channel initiation</w:t>
      </w:r>
    </w:p>
    <w:p w14:paraId="5752EF28"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or random keys which replaces session keys.</w:t>
      </w:r>
    </w:p>
    <w:p w14:paraId="23ADAF0B" w14:textId="77777777" w:rsidR="00B97365" w:rsidRDefault="00000000">
      <w:pPr>
        <w:spacing w:before="0" w:after="200" w:line="276" w:lineRule="auto"/>
        <w:jc w:val="left"/>
        <w:rPr>
          <w:rFonts w:cs="Arial"/>
          <w:szCs w:val="22"/>
          <w:lang w:eastAsia="en-GB" w:bidi="ar-SA"/>
        </w:rPr>
      </w:pPr>
      <w:r>
        <w:rPr>
          <w:rFonts w:cs="Arial"/>
          <w:szCs w:val="22"/>
          <w:lang w:eastAsia="en-GB" w:bidi="ar-SA"/>
        </w:rPr>
        <w:t>Each command TLV triggers one response TLV. A response MAY be empty or carry response data from the application layer.</w:t>
      </w:r>
    </w:p>
    <w:p w14:paraId="592106D8" w14:textId="77777777" w:rsidR="00B97365" w:rsidRDefault="00000000">
      <w:pPr>
        <w:spacing w:before="0" w:after="200" w:line="276" w:lineRule="auto"/>
        <w:jc w:val="left"/>
        <w:rPr>
          <w:rFonts w:cs="Arial"/>
          <w:szCs w:val="22"/>
          <w:lang w:eastAsia="en-GB" w:bidi="ar-SA"/>
        </w:rPr>
      </w:pPr>
      <w:r>
        <w:rPr>
          <w:rFonts w:cs="Arial"/>
          <w:szCs w:val="22"/>
          <w:lang w:eastAsia="en-GB" w:bidi="ar-SA"/>
        </w:rPr>
        <w:t>In case the eUICC indicates a fatal error in a response TLV, it MAY stop sending subsequent response TLVs.</w:t>
      </w:r>
    </w:p>
    <w:p w14:paraId="6310821B" w14:textId="77777777" w:rsidR="00B97365" w:rsidRDefault="00000000">
      <w:pPr>
        <w:spacing w:before="0" w:after="200" w:line="276" w:lineRule="auto"/>
        <w:jc w:val="left"/>
        <w:rPr>
          <w:b/>
          <w:szCs w:val="22"/>
          <w:lang w:eastAsia="en-GB" w:bidi="ar-SA"/>
        </w:rPr>
      </w:pPr>
      <w:bookmarkStart w:id="2697" w:name="_Toc394339892"/>
      <w:r>
        <w:rPr>
          <w:rFonts w:cs="Arial"/>
          <w:b/>
          <w:szCs w:val="22"/>
          <w:lang w:val="en-US" w:eastAsia="en-GB" w:bidi="ar-SA"/>
        </w:rPr>
        <w:t>Secure</w:t>
      </w:r>
      <w:r>
        <w:rPr>
          <w:b/>
          <w:szCs w:val="22"/>
          <w:lang w:eastAsia="en-GB" w:bidi="ar-SA"/>
        </w:rPr>
        <w:t xml:space="preserve"> Channel </w:t>
      </w:r>
      <w:bookmarkEnd w:id="2697"/>
      <w:r>
        <w:rPr>
          <w:b/>
          <w:szCs w:val="22"/>
          <w:lang w:eastAsia="en-GB" w:bidi="ar-SA"/>
        </w:rPr>
        <w:t xml:space="preserve">Initiation: </w:t>
      </w:r>
      <w:bookmarkStart w:id="2698" w:name="_Toc394339893"/>
      <w:bookmarkStart w:id="2699" w:name="_Hlk410290901"/>
      <w:r>
        <w:rPr>
          <w:b/>
          <w:szCs w:val="22"/>
          <w:lang w:eastAsia="en-GB" w:bidi="ar-SA"/>
        </w:rPr>
        <w:t xml:space="preserve">INITIALIZE UPDATE </w:t>
      </w:r>
      <w:bookmarkEnd w:id="2698"/>
      <w:bookmarkEnd w:id="2699"/>
      <w:r>
        <w:rPr>
          <w:b/>
          <w:szCs w:val="22"/>
          <w:lang w:eastAsia="en-GB" w:bidi="ar-SA"/>
        </w:rPr>
        <w:t>command TLV</w:t>
      </w:r>
    </w:p>
    <w:p w14:paraId="0B5C2665" w14:textId="77777777" w:rsidR="00B97365" w:rsidRDefault="00000000">
      <w:pPr>
        <w:spacing w:before="0" w:after="200" w:line="276" w:lineRule="auto"/>
        <w:jc w:val="left"/>
        <w:rPr>
          <w:rFonts w:cs="Arial"/>
          <w:szCs w:val="22"/>
          <w:lang w:eastAsia="en-GB" w:bidi="ar-SA"/>
        </w:rPr>
      </w:pPr>
      <w:bookmarkStart w:id="2700" w:name="_Toc394339894"/>
      <w:bookmarkStart w:id="2701" w:name="_Hlk409701482"/>
      <w:r>
        <w:rPr>
          <w:rFonts w:cs="Arial"/>
          <w:szCs w:val="22"/>
          <w:lang w:eastAsia="en-GB" w:bidi="ar-SA"/>
        </w:rPr>
        <w:t>The following data SHALL be encapsulated in a TLV with tag '84':</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1801"/>
        <w:gridCol w:w="972"/>
        <w:gridCol w:w="1680"/>
      </w:tblGrid>
      <w:tr w:rsidR="00B97365" w14:paraId="2391A66F" w14:textId="77777777">
        <w:trPr>
          <w:cantSplit/>
          <w:tblHeader/>
          <w:jc w:val="center"/>
        </w:trPr>
        <w:tc>
          <w:tcPr>
            <w:tcW w:w="1801" w:type="dxa"/>
            <w:tcBorders>
              <w:top w:val="single" w:sz="4" w:space="0" w:color="auto"/>
              <w:left w:val="single" w:sz="4" w:space="0" w:color="auto"/>
              <w:bottom w:val="single" w:sz="6" w:space="0" w:color="auto"/>
              <w:right w:val="single" w:sz="6" w:space="0" w:color="auto"/>
            </w:tcBorders>
            <w:shd w:val="clear" w:color="auto" w:fill="C00000"/>
            <w:hideMark/>
          </w:tcPr>
          <w:p w14:paraId="6939A956" w14:textId="77777777" w:rsidR="00B97365" w:rsidRDefault="00000000">
            <w:pPr>
              <w:rPr>
                <w:rFonts w:cs="Arial"/>
                <w:b/>
                <w:color w:val="FFFFFF"/>
                <w:sz w:val="16"/>
                <w:szCs w:val="16"/>
              </w:rPr>
            </w:pPr>
            <w:r>
              <w:rPr>
                <w:rFonts w:cs="Arial"/>
                <w:b/>
                <w:color w:val="FFFFFF"/>
                <w:sz w:val="16"/>
                <w:szCs w:val="16"/>
              </w:rPr>
              <w:t>Name</w:t>
            </w:r>
          </w:p>
        </w:tc>
        <w:tc>
          <w:tcPr>
            <w:tcW w:w="972" w:type="dxa"/>
            <w:tcBorders>
              <w:top w:val="single" w:sz="4" w:space="0" w:color="auto"/>
              <w:left w:val="single" w:sz="6" w:space="0" w:color="auto"/>
              <w:bottom w:val="single" w:sz="6" w:space="0" w:color="auto"/>
              <w:right w:val="single" w:sz="6" w:space="0" w:color="auto"/>
            </w:tcBorders>
            <w:shd w:val="clear" w:color="auto" w:fill="C00000"/>
            <w:hideMark/>
          </w:tcPr>
          <w:p w14:paraId="64222E5E" w14:textId="77777777" w:rsidR="00B97365" w:rsidRDefault="00000000">
            <w:pPr>
              <w:rPr>
                <w:rFonts w:cs="Arial"/>
                <w:b/>
                <w:color w:val="FFFFFF"/>
                <w:sz w:val="16"/>
                <w:szCs w:val="16"/>
              </w:rPr>
            </w:pPr>
            <w:r>
              <w:rPr>
                <w:rFonts w:cs="Arial"/>
                <w:b/>
                <w:color w:val="FFFFFF"/>
                <w:sz w:val="16"/>
                <w:szCs w:val="16"/>
              </w:rPr>
              <w:t>Length</w:t>
            </w:r>
          </w:p>
        </w:tc>
        <w:tc>
          <w:tcPr>
            <w:tcW w:w="1680" w:type="dxa"/>
            <w:tcBorders>
              <w:top w:val="single" w:sz="4" w:space="0" w:color="auto"/>
              <w:left w:val="single" w:sz="6" w:space="0" w:color="auto"/>
              <w:bottom w:val="single" w:sz="6" w:space="0" w:color="auto"/>
              <w:right w:val="single" w:sz="4" w:space="0" w:color="auto"/>
            </w:tcBorders>
            <w:shd w:val="clear" w:color="auto" w:fill="C00000"/>
            <w:hideMark/>
          </w:tcPr>
          <w:p w14:paraId="0E59BC18" w14:textId="77777777" w:rsidR="00B97365" w:rsidRDefault="00000000">
            <w:pPr>
              <w:rPr>
                <w:rFonts w:cs="Arial"/>
                <w:b/>
                <w:color w:val="FFFFFF"/>
                <w:sz w:val="16"/>
                <w:szCs w:val="16"/>
              </w:rPr>
            </w:pPr>
            <w:r>
              <w:rPr>
                <w:rFonts w:cs="Arial"/>
                <w:b/>
                <w:color w:val="FFFFFF"/>
                <w:sz w:val="16"/>
                <w:szCs w:val="16"/>
              </w:rPr>
              <w:t>Presence</w:t>
            </w:r>
          </w:p>
        </w:tc>
      </w:tr>
      <w:tr w:rsidR="00B97365" w14:paraId="790D85A0"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25AAAF44"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Key version number</w:t>
            </w:r>
          </w:p>
        </w:tc>
        <w:tc>
          <w:tcPr>
            <w:tcW w:w="972" w:type="dxa"/>
            <w:tcBorders>
              <w:top w:val="single" w:sz="6" w:space="0" w:color="auto"/>
              <w:left w:val="single" w:sz="6" w:space="0" w:color="auto"/>
              <w:bottom w:val="single" w:sz="6" w:space="0" w:color="auto"/>
              <w:right w:val="single" w:sz="6" w:space="0" w:color="auto"/>
            </w:tcBorders>
            <w:hideMark/>
          </w:tcPr>
          <w:p w14:paraId="20128D5C"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1 byte</w:t>
            </w:r>
          </w:p>
        </w:tc>
        <w:tc>
          <w:tcPr>
            <w:tcW w:w="1680" w:type="dxa"/>
            <w:tcBorders>
              <w:top w:val="single" w:sz="6" w:space="0" w:color="auto"/>
              <w:left w:val="single" w:sz="6" w:space="0" w:color="auto"/>
              <w:bottom w:val="single" w:sz="6" w:space="0" w:color="auto"/>
              <w:right w:val="single" w:sz="4" w:space="0" w:color="auto"/>
            </w:tcBorders>
            <w:hideMark/>
          </w:tcPr>
          <w:p w14:paraId="02C5CB1B"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r w:rsidR="00B97365" w14:paraId="652B95DE"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16CC3B86"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 xml:space="preserve">Key identifier </w:t>
            </w:r>
          </w:p>
        </w:tc>
        <w:tc>
          <w:tcPr>
            <w:tcW w:w="972" w:type="dxa"/>
            <w:tcBorders>
              <w:top w:val="single" w:sz="6" w:space="0" w:color="auto"/>
              <w:left w:val="single" w:sz="6" w:space="0" w:color="auto"/>
              <w:bottom w:val="single" w:sz="6" w:space="0" w:color="auto"/>
              <w:right w:val="single" w:sz="6" w:space="0" w:color="auto"/>
            </w:tcBorders>
            <w:hideMark/>
          </w:tcPr>
          <w:p w14:paraId="3414398E"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1 byte</w:t>
            </w:r>
          </w:p>
        </w:tc>
        <w:tc>
          <w:tcPr>
            <w:tcW w:w="1680" w:type="dxa"/>
            <w:tcBorders>
              <w:top w:val="single" w:sz="6" w:space="0" w:color="auto"/>
              <w:left w:val="single" w:sz="6" w:space="0" w:color="auto"/>
              <w:bottom w:val="single" w:sz="6" w:space="0" w:color="auto"/>
              <w:right w:val="single" w:sz="4" w:space="0" w:color="auto"/>
            </w:tcBorders>
            <w:hideMark/>
          </w:tcPr>
          <w:p w14:paraId="06F0C712"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p w14:paraId="5E119FC8"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(and value must be ‘00’, consistently with SCP03)</w:t>
            </w:r>
          </w:p>
        </w:tc>
      </w:tr>
      <w:tr w:rsidR="00B97365" w14:paraId="3A93A93A"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54215A29"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Host challenge</w:t>
            </w:r>
          </w:p>
        </w:tc>
        <w:tc>
          <w:tcPr>
            <w:tcW w:w="972" w:type="dxa"/>
            <w:tcBorders>
              <w:top w:val="single" w:sz="6" w:space="0" w:color="auto"/>
              <w:left w:val="single" w:sz="6" w:space="0" w:color="auto"/>
              <w:bottom w:val="single" w:sz="4" w:space="0" w:color="auto"/>
              <w:right w:val="single" w:sz="6" w:space="0" w:color="auto"/>
            </w:tcBorders>
            <w:hideMark/>
          </w:tcPr>
          <w:p w14:paraId="1E8CC20B"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8 bytes</w:t>
            </w:r>
          </w:p>
        </w:tc>
        <w:tc>
          <w:tcPr>
            <w:tcW w:w="1680" w:type="dxa"/>
            <w:tcBorders>
              <w:top w:val="single" w:sz="6" w:space="0" w:color="auto"/>
              <w:left w:val="single" w:sz="6" w:space="0" w:color="auto"/>
              <w:bottom w:val="single" w:sz="4" w:space="0" w:color="auto"/>
              <w:right w:val="single" w:sz="4" w:space="0" w:color="auto"/>
            </w:tcBorders>
            <w:hideMark/>
          </w:tcPr>
          <w:p w14:paraId="18FCF019"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bl>
    <w:p w14:paraId="4DCFEE1C"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lastRenderedPageBreak/>
        <w:t>: Initialize Update Command TLV</w:t>
      </w:r>
    </w:p>
    <w:p w14:paraId="3CEE926C" w14:textId="77777777" w:rsidR="00B97365" w:rsidRDefault="00000000">
      <w:pPr>
        <w:spacing w:before="0" w:after="200" w:line="276" w:lineRule="auto"/>
        <w:jc w:val="left"/>
        <w:rPr>
          <w:rFonts w:cs="Arial"/>
          <w:szCs w:val="22"/>
          <w:lang w:eastAsia="en-GB" w:bidi="ar-SA"/>
        </w:rPr>
      </w:pPr>
      <w:r>
        <w:rPr>
          <w:rFonts w:cs="Arial"/>
          <w:szCs w:val="22"/>
          <w:lang w:eastAsia="en-GB" w:bidi="ar-SA"/>
        </w:rPr>
        <w:t>The data field of the response TLV SHALL contain the concatenation without delimiters of the following data elements, encapsulated in a TLV with tag '84'.</w:t>
      </w:r>
      <w:bookmarkStart w:id="2702" w:name="_Toc128284073"/>
      <w:bookmarkStart w:id="2703" w:name="_Toc101571333"/>
      <w:bookmarkEnd w:id="2702"/>
      <w:bookmarkEnd w:id="2703"/>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1801"/>
        <w:gridCol w:w="972"/>
        <w:gridCol w:w="982"/>
      </w:tblGrid>
      <w:tr w:rsidR="00B97365" w14:paraId="0AD3E5F6" w14:textId="77777777">
        <w:trPr>
          <w:cantSplit/>
          <w:tblHeader/>
          <w:jc w:val="center"/>
        </w:trPr>
        <w:tc>
          <w:tcPr>
            <w:tcW w:w="1801" w:type="dxa"/>
            <w:tcBorders>
              <w:top w:val="single" w:sz="4" w:space="0" w:color="auto"/>
              <w:left w:val="single" w:sz="4" w:space="0" w:color="auto"/>
              <w:bottom w:val="single" w:sz="6" w:space="0" w:color="auto"/>
              <w:right w:val="single" w:sz="6" w:space="0" w:color="auto"/>
            </w:tcBorders>
            <w:shd w:val="clear" w:color="auto" w:fill="C00000"/>
            <w:hideMark/>
          </w:tcPr>
          <w:p w14:paraId="27740271" w14:textId="77777777" w:rsidR="00B97365" w:rsidRDefault="00000000">
            <w:pPr>
              <w:rPr>
                <w:rFonts w:cs="Arial"/>
                <w:b/>
                <w:color w:val="FFFFFF"/>
                <w:sz w:val="16"/>
                <w:szCs w:val="16"/>
              </w:rPr>
            </w:pPr>
            <w:r>
              <w:rPr>
                <w:rFonts w:cs="Arial"/>
                <w:b/>
                <w:color w:val="FFFFFF"/>
                <w:sz w:val="16"/>
                <w:szCs w:val="16"/>
              </w:rPr>
              <w:t>Name</w:t>
            </w:r>
          </w:p>
        </w:tc>
        <w:tc>
          <w:tcPr>
            <w:tcW w:w="972" w:type="dxa"/>
            <w:tcBorders>
              <w:top w:val="single" w:sz="4" w:space="0" w:color="auto"/>
              <w:left w:val="single" w:sz="6" w:space="0" w:color="auto"/>
              <w:bottom w:val="single" w:sz="6" w:space="0" w:color="auto"/>
              <w:right w:val="single" w:sz="6" w:space="0" w:color="auto"/>
            </w:tcBorders>
            <w:shd w:val="clear" w:color="auto" w:fill="C00000"/>
            <w:hideMark/>
          </w:tcPr>
          <w:p w14:paraId="288E6E49" w14:textId="77777777" w:rsidR="00B97365" w:rsidRDefault="00000000">
            <w:pPr>
              <w:rPr>
                <w:rFonts w:cs="Arial"/>
                <w:b/>
                <w:color w:val="FFFFFF"/>
                <w:sz w:val="16"/>
                <w:szCs w:val="16"/>
              </w:rPr>
            </w:pPr>
            <w:r>
              <w:rPr>
                <w:rFonts w:cs="Arial"/>
                <w:b/>
                <w:color w:val="FFFFFF"/>
                <w:sz w:val="16"/>
                <w:szCs w:val="16"/>
              </w:rPr>
              <w:t>Length</w:t>
            </w:r>
          </w:p>
        </w:tc>
        <w:tc>
          <w:tcPr>
            <w:tcW w:w="982" w:type="dxa"/>
            <w:tcBorders>
              <w:top w:val="single" w:sz="4" w:space="0" w:color="auto"/>
              <w:left w:val="single" w:sz="6" w:space="0" w:color="auto"/>
              <w:bottom w:val="single" w:sz="6" w:space="0" w:color="auto"/>
              <w:right w:val="single" w:sz="4" w:space="0" w:color="auto"/>
            </w:tcBorders>
            <w:shd w:val="clear" w:color="auto" w:fill="C00000"/>
            <w:hideMark/>
          </w:tcPr>
          <w:p w14:paraId="7B29BA10" w14:textId="77777777" w:rsidR="00B97365" w:rsidRDefault="00000000">
            <w:pPr>
              <w:rPr>
                <w:rFonts w:cs="Arial"/>
                <w:b/>
                <w:color w:val="FFFFFF"/>
                <w:sz w:val="16"/>
                <w:szCs w:val="16"/>
              </w:rPr>
            </w:pPr>
            <w:r>
              <w:rPr>
                <w:rFonts w:cs="Arial"/>
                <w:b/>
                <w:color w:val="FFFFFF"/>
                <w:sz w:val="16"/>
                <w:szCs w:val="16"/>
              </w:rPr>
              <w:t>Presence</w:t>
            </w:r>
          </w:p>
        </w:tc>
      </w:tr>
      <w:tr w:rsidR="00B97365" w14:paraId="6BDF062E"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7E29C270"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Key diversification data</w:t>
            </w:r>
          </w:p>
        </w:tc>
        <w:tc>
          <w:tcPr>
            <w:tcW w:w="972" w:type="dxa"/>
            <w:tcBorders>
              <w:top w:val="single" w:sz="6" w:space="0" w:color="auto"/>
              <w:left w:val="single" w:sz="6" w:space="0" w:color="auto"/>
              <w:bottom w:val="single" w:sz="6" w:space="0" w:color="auto"/>
              <w:right w:val="single" w:sz="6" w:space="0" w:color="auto"/>
            </w:tcBorders>
            <w:hideMark/>
          </w:tcPr>
          <w:p w14:paraId="23154C1C"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10 bytes</w:t>
            </w:r>
          </w:p>
        </w:tc>
        <w:tc>
          <w:tcPr>
            <w:tcW w:w="982" w:type="dxa"/>
            <w:tcBorders>
              <w:top w:val="single" w:sz="6" w:space="0" w:color="auto"/>
              <w:left w:val="single" w:sz="6" w:space="0" w:color="auto"/>
              <w:bottom w:val="single" w:sz="6" w:space="0" w:color="auto"/>
              <w:right w:val="single" w:sz="4" w:space="0" w:color="auto"/>
            </w:tcBorders>
            <w:hideMark/>
          </w:tcPr>
          <w:p w14:paraId="031586BF"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r w:rsidR="00B97365" w14:paraId="41E9A5C2"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65FD06C6"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 xml:space="preserve">Key information </w:t>
            </w:r>
          </w:p>
        </w:tc>
        <w:tc>
          <w:tcPr>
            <w:tcW w:w="972" w:type="dxa"/>
            <w:tcBorders>
              <w:top w:val="single" w:sz="6" w:space="0" w:color="auto"/>
              <w:left w:val="single" w:sz="6" w:space="0" w:color="auto"/>
              <w:bottom w:val="single" w:sz="6" w:space="0" w:color="auto"/>
              <w:right w:val="single" w:sz="6" w:space="0" w:color="auto"/>
            </w:tcBorders>
            <w:hideMark/>
          </w:tcPr>
          <w:p w14:paraId="36F9D8A2"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3 bytes</w:t>
            </w:r>
          </w:p>
        </w:tc>
        <w:tc>
          <w:tcPr>
            <w:tcW w:w="982" w:type="dxa"/>
            <w:tcBorders>
              <w:top w:val="single" w:sz="6" w:space="0" w:color="auto"/>
              <w:left w:val="single" w:sz="6" w:space="0" w:color="auto"/>
              <w:bottom w:val="single" w:sz="6" w:space="0" w:color="auto"/>
              <w:right w:val="single" w:sz="4" w:space="0" w:color="auto"/>
            </w:tcBorders>
            <w:hideMark/>
          </w:tcPr>
          <w:p w14:paraId="29F89E9D"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r w:rsidR="00B97365" w14:paraId="597FF27A"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3B88CA36"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Card challenge</w:t>
            </w:r>
          </w:p>
        </w:tc>
        <w:tc>
          <w:tcPr>
            <w:tcW w:w="972" w:type="dxa"/>
            <w:tcBorders>
              <w:top w:val="single" w:sz="6" w:space="0" w:color="auto"/>
              <w:left w:val="single" w:sz="6" w:space="0" w:color="auto"/>
              <w:bottom w:val="single" w:sz="6" w:space="0" w:color="auto"/>
              <w:right w:val="single" w:sz="6" w:space="0" w:color="auto"/>
            </w:tcBorders>
            <w:hideMark/>
          </w:tcPr>
          <w:p w14:paraId="09C23F14"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8 bytes</w:t>
            </w:r>
          </w:p>
        </w:tc>
        <w:tc>
          <w:tcPr>
            <w:tcW w:w="982" w:type="dxa"/>
            <w:tcBorders>
              <w:top w:val="single" w:sz="6" w:space="0" w:color="auto"/>
              <w:left w:val="single" w:sz="6" w:space="0" w:color="auto"/>
              <w:bottom w:val="single" w:sz="6" w:space="0" w:color="auto"/>
              <w:right w:val="single" w:sz="4" w:space="0" w:color="auto"/>
            </w:tcBorders>
            <w:hideMark/>
          </w:tcPr>
          <w:p w14:paraId="7BFAA459"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r w:rsidR="00B97365" w14:paraId="58A564DC"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1C860DCF"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Card cryptogram</w:t>
            </w:r>
          </w:p>
        </w:tc>
        <w:tc>
          <w:tcPr>
            <w:tcW w:w="972" w:type="dxa"/>
            <w:tcBorders>
              <w:top w:val="single" w:sz="6" w:space="0" w:color="auto"/>
              <w:left w:val="single" w:sz="6" w:space="0" w:color="auto"/>
              <w:bottom w:val="single" w:sz="6" w:space="0" w:color="auto"/>
              <w:right w:val="single" w:sz="6" w:space="0" w:color="auto"/>
            </w:tcBorders>
            <w:hideMark/>
          </w:tcPr>
          <w:p w14:paraId="5DCC8FB8"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8 bytes</w:t>
            </w:r>
          </w:p>
        </w:tc>
        <w:tc>
          <w:tcPr>
            <w:tcW w:w="982" w:type="dxa"/>
            <w:tcBorders>
              <w:top w:val="single" w:sz="6" w:space="0" w:color="auto"/>
              <w:left w:val="single" w:sz="6" w:space="0" w:color="auto"/>
              <w:bottom w:val="single" w:sz="6" w:space="0" w:color="auto"/>
              <w:right w:val="single" w:sz="4" w:space="0" w:color="auto"/>
            </w:tcBorders>
            <w:hideMark/>
          </w:tcPr>
          <w:p w14:paraId="0BB277AA"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r w:rsidR="00B97365" w14:paraId="2788B014"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5C1B3D49"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Sequence Counter</w:t>
            </w:r>
          </w:p>
        </w:tc>
        <w:tc>
          <w:tcPr>
            <w:tcW w:w="972" w:type="dxa"/>
            <w:tcBorders>
              <w:top w:val="single" w:sz="6" w:space="0" w:color="auto"/>
              <w:left w:val="single" w:sz="6" w:space="0" w:color="auto"/>
              <w:bottom w:val="single" w:sz="4" w:space="0" w:color="auto"/>
              <w:right w:val="single" w:sz="6" w:space="0" w:color="auto"/>
            </w:tcBorders>
            <w:hideMark/>
          </w:tcPr>
          <w:p w14:paraId="1C0B12E8"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3 bytes</w:t>
            </w:r>
          </w:p>
        </w:tc>
        <w:tc>
          <w:tcPr>
            <w:tcW w:w="982" w:type="dxa"/>
            <w:tcBorders>
              <w:top w:val="single" w:sz="6" w:space="0" w:color="auto"/>
              <w:left w:val="single" w:sz="6" w:space="0" w:color="auto"/>
              <w:bottom w:val="single" w:sz="4" w:space="0" w:color="auto"/>
              <w:right w:val="single" w:sz="4" w:space="0" w:color="auto"/>
            </w:tcBorders>
            <w:hideMark/>
          </w:tcPr>
          <w:p w14:paraId="6FE10BA5"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bl>
    <w:p w14:paraId="41D7C1E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Response TLV Data Elements</w:t>
      </w:r>
    </w:p>
    <w:p w14:paraId="0D36EEE6" w14:textId="77777777" w:rsidR="00B97365" w:rsidRDefault="00000000">
      <w:pPr>
        <w:spacing w:before="0" w:after="200" w:line="276" w:lineRule="auto"/>
        <w:jc w:val="left"/>
        <w:rPr>
          <w:rFonts w:cs="Arial"/>
          <w:szCs w:val="22"/>
          <w:lang w:eastAsia="en-GB" w:bidi="ar-SA"/>
        </w:rPr>
      </w:pPr>
      <w:r>
        <w:rPr>
          <w:rFonts w:cs="Arial"/>
          <w:szCs w:val="22"/>
          <w:lang w:eastAsia="en-GB" w:bidi="ar-SA"/>
        </w:rPr>
        <w:t>In case of an error, tag '9F44' is used (see NOTE 1 below). The following values are defined:</w:t>
      </w:r>
    </w:p>
    <w:p w14:paraId="0F77AC93" w14:textId="77777777" w:rsidR="00B97365" w:rsidRDefault="00000000">
      <w:pPr>
        <w:numPr>
          <w:ilvl w:val="0"/>
          <w:numId w:val="33"/>
        </w:numPr>
        <w:tabs>
          <w:tab w:val="left" w:pos="720"/>
        </w:tabs>
        <w:spacing w:before="0" w:after="200" w:line="276" w:lineRule="auto"/>
        <w:contextualSpacing/>
        <w:jc w:val="left"/>
        <w:rPr>
          <w:szCs w:val="22"/>
          <w:lang w:eastAsia="en-GB" w:bidi="ar-SA"/>
        </w:rPr>
      </w:pPr>
      <w:r>
        <w:rPr>
          <w:szCs w:val="22"/>
          <w:lang w:eastAsia="en-GB" w:bidi="ar-SA"/>
        </w:rPr>
        <w:t>'01': error in length or structure of command data</w:t>
      </w:r>
    </w:p>
    <w:p w14:paraId="7D242DA9" w14:textId="77777777" w:rsidR="00B97365" w:rsidRDefault="00000000">
      <w:pPr>
        <w:numPr>
          <w:ilvl w:val="0"/>
          <w:numId w:val="33"/>
        </w:numPr>
        <w:tabs>
          <w:tab w:val="left" w:pos="720"/>
        </w:tabs>
        <w:spacing w:before="0" w:after="200" w:line="276" w:lineRule="auto"/>
        <w:contextualSpacing/>
        <w:jc w:val="left"/>
        <w:rPr>
          <w:szCs w:val="22"/>
          <w:lang w:eastAsia="en-GB" w:bidi="ar-SA"/>
        </w:rPr>
      </w:pPr>
      <w:r>
        <w:rPr>
          <w:szCs w:val="22"/>
          <w:lang w:eastAsia="en-GB" w:bidi="ar-SA"/>
        </w:rPr>
        <w:t>'03': referenced data not found</w:t>
      </w:r>
    </w:p>
    <w:p w14:paraId="6FF89751" w14:textId="1C9D8E18"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 1:</w:t>
      </w:r>
      <w:r>
        <w:rPr>
          <w:szCs w:val="22"/>
          <w:lang w:eastAsia="en-GB" w:bidi="ar-SA"/>
        </w:rPr>
        <w:tab/>
        <w:t xml:space="preserve">an eUICC MAY also detect the error in length or structure of command data at the transport layer (expanded remote command format), and return a bad format TLV as defined in ETSI TS 102 226 </w:t>
      </w:r>
      <w:r>
        <w:rPr>
          <w:szCs w:val="22"/>
          <w:lang w:eastAsia="en-GB" w:bidi="ar-SA"/>
        </w:rPr>
        <w:fldChar w:fldCharType="begin"/>
      </w:r>
      <w:r>
        <w:rPr>
          <w:szCs w:val="22"/>
          <w:lang w:eastAsia="en-GB" w:bidi="ar-SA"/>
        </w:rPr>
        <w:instrText xml:space="preserve"> REF _Ref481770691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 xml:space="preserve"> instead of the SCP03t-specific error tag.</w:t>
      </w:r>
    </w:p>
    <w:p w14:paraId="2ED1E00F" w14:textId="77777777" w:rsidR="00B97365" w:rsidRDefault="00000000">
      <w:pPr>
        <w:spacing w:before="0" w:after="200" w:line="276" w:lineRule="auto"/>
        <w:jc w:val="left"/>
        <w:rPr>
          <w:b/>
          <w:szCs w:val="22"/>
          <w:lang w:eastAsia="en-GB" w:bidi="ar-SA"/>
        </w:rPr>
      </w:pPr>
      <w:bookmarkStart w:id="2704" w:name="_Hlk410290911"/>
      <w:r>
        <w:rPr>
          <w:rFonts w:cs="Arial"/>
          <w:b/>
          <w:szCs w:val="22"/>
          <w:lang w:val="en-US" w:eastAsia="en-GB" w:bidi="ar-SA"/>
        </w:rPr>
        <w:t>Secure</w:t>
      </w:r>
      <w:r>
        <w:rPr>
          <w:b/>
          <w:szCs w:val="22"/>
          <w:lang w:eastAsia="en-GB" w:bidi="ar-SA"/>
        </w:rPr>
        <w:t xml:space="preserve"> Channel Initiation: EXTERNAL AUTHENTICATE command TLV</w:t>
      </w:r>
    </w:p>
    <w:bookmarkEnd w:id="2700"/>
    <w:bookmarkEnd w:id="2701"/>
    <w:bookmarkEnd w:id="2704"/>
    <w:p w14:paraId="448D6D00" w14:textId="77777777" w:rsidR="00B97365" w:rsidRDefault="00000000">
      <w:pPr>
        <w:spacing w:before="0" w:after="200" w:line="276" w:lineRule="auto"/>
        <w:jc w:val="left"/>
        <w:rPr>
          <w:rFonts w:cs="Arial"/>
          <w:szCs w:val="22"/>
          <w:lang w:eastAsia="en-GB" w:bidi="ar-SA"/>
        </w:rPr>
      </w:pPr>
      <w:r>
        <w:rPr>
          <w:rFonts w:cs="Arial"/>
          <w:szCs w:val="22"/>
          <w:lang w:eastAsia="en-GB" w:bidi="ar-SA"/>
        </w:rPr>
        <w:t>The following data SHALL be encapsulated in a TLV with tag '85':</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1801"/>
        <w:gridCol w:w="972"/>
        <w:gridCol w:w="982"/>
      </w:tblGrid>
      <w:tr w:rsidR="00B97365" w14:paraId="02D72D11" w14:textId="77777777">
        <w:trPr>
          <w:cantSplit/>
          <w:tblHeader/>
          <w:jc w:val="center"/>
        </w:trPr>
        <w:tc>
          <w:tcPr>
            <w:tcW w:w="1801" w:type="dxa"/>
            <w:tcBorders>
              <w:top w:val="single" w:sz="4" w:space="0" w:color="auto"/>
              <w:left w:val="single" w:sz="4" w:space="0" w:color="auto"/>
              <w:bottom w:val="single" w:sz="6" w:space="0" w:color="auto"/>
              <w:right w:val="single" w:sz="6" w:space="0" w:color="auto"/>
            </w:tcBorders>
            <w:shd w:val="clear" w:color="auto" w:fill="C00000"/>
            <w:hideMark/>
          </w:tcPr>
          <w:p w14:paraId="009B72C5" w14:textId="77777777" w:rsidR="00B97365" w:rsidRDefault="00000000">
            <w:pPr>
              <w:rPr>
                <w:rFonts w:cs="Arial"/>
                <w:b/>
                <w:color w:val="FFFFFF"/>
                <w:sz w:val="16"/>
                <w:szCs w:val="16"/>
              </w:rPr>
            </w:pPr>
            <w:r>
              <w:rPr>
                <w:rFonts w:cs="Arial"/>
                <w:b/>
                <w:color w:val="FFFFFF"/>
                <w:sz w:val="16"/>
                <w:szCs w:val="16"/>
              </w:rPr>
              <w:t>Name</w:t>
            </w:r>
          </w:p>
        </w:tc>
        <w:tc>
          <w:tcPr>
            <w:tcW w:w="972" w:type="dxa"/>
            <w:tcBorders>
              <w:top w:val="single" w:sz="4" w:space="0" w:color="auto"/>
              <w:left w:val="single" w:sz="6" w:space="0" w:color="auto"/>
              <w:bottom w:val="single" w:sz="6" w:space="0" w:color="auto"/>
              <w:right w:val="single" w:sz="6" w:space="0" w:color="auto"/>
            </w:tcBorders>
            <w:shd w:val="clear" w:color="auto" w:fill="C00000"/>
            <w:hideMark/>
          </w:tcPr>
          <w:p w14:paraId="668E93E8" w14:textId="77777777" w:rsidR="00B97365" w:rsidRDefault="00000000">
            <w:pPr>
              <w:rPr>
                <w:rFonts w:cs="Arial"/>
                <w:b/>
                <w:color w:val="FFFFFF"/>
                <w:sz w:val="16"/>
                <w:szCs w:val="16"/>
              </w:rPr>
            </w:pPr>
            <w:r>
              <w:rPr>
                <w:rFonts w:cs="Arial"/>
                <w:b/>
                <w:color w:val="FFFFFF"/>
                <w:sz w:val="16"/>
                <w:szCs w:val="16"/>
              </w:rPr>
              <w:t>Length</w:t>
            </w:r>
          </w:p>
        </w:tc>
        <w:tc>
          <w:tcPr>
            <w:tcW w:w="982" w:type="dxa"/>
            <w:tcBorders>
              <w:top w:val="single" w:sz="4" w:space="0" w:color="auto"/>
              <w:left w:val="single" w:sz="6" w:space="0" w:color="auto"/>
              <w:bottom w:val="single" w:sz="6" w:space="0" w:color="auto"/>
              <w:right w:val="single" w:sz="4" w:space="0" w:color="auto"/>
            </w:tcBorders>
            <w:shd w:val="clear" w:color="auto" w:fill="C00000"/>
            <w:hideMark/>
          </w:tcPr>
          <w:p w14:paraId="06CD08CC" w14:textId="77777777" w:rsidR="00B97365" w:rsidRDefault="00000000">
            <w:pPr>
              <w:rPr>
                <w:rFonts w:cs="Arial"/>
                <w:b/>
                <w:color w:val="FFFFFF"/>
                <w:sz w:val="16"/>
                <w:szCs w:val="16"/>
              </w:rPr>
            </w:pPr>
            <w:r>
              <w:rPr>
                <w:rFonts w:cs="Arial"/>
                <w:b/>
                <w:color w:val="FFFFFF"/>
                <w:sz w:val="16"/>
                <w:szCs w:val="16"/>
              </w:rPr>
              <w:t>Presence</w:t>
            </w:r>
          </w:p>
        </w:tc>
      </w:tr>
      <w:tr w:rsidR="00B97365" w14:paraId="682474DF"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13E88613"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Security level</w:t>
            </w:r>
          </w:p>
        </w:tc>
        <w:tc>
          <w:tcPr>
            <w:tcW w:w="972" w:type="dxa"/>
            <w:tcBorders>
              <w:top w:val="single" w:sz="6" w:space="0" w:color="auto"/>
              <w:left w:val="single" w:sz="6" w:space="0" w:color="auto"/>
              <w:bottom w:val="single" w:sz="6" w:space="0" w:color="auto"/>
              <w:right w:val="single" w:sz="6" w:space="0" w:color="auto"/>
            </w:tcBorders>
            <w:hideMark/>
          </w:tcPr>
          <w:p w14:paraId="5A6C306A"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1 byte</w:t>
            </w:r>
          </w:p>
        </w:tc>
        <w:tc>
          <w:tcPr>
            <w:tcW w:w="982" w:type="dxa"/>
            <w:tcBorders>
              <w:top w:val="single" w:sz="6" w:space="0" w:color="auto"/>
              <w:left w:val="single" w:sz="6" w:space="0" w:color="auto"/>
              <w:bottom w:val="single" w:sz="6" w:space="0" w:color="auto"/>
              <w:right w:val="single" w:sz="4" w:space="0" w:color="auto"/>
            </w:tcBorders>
            <w:hideMark/>
          </w:tcPr>
          <w:p w14:paraId="038A351E"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r w:rsidR="00B97365" w14:paraId="7112F373" w14:textId="77777777">
        <w:trPr>
          <w:cantSplit/>
          <w:jc w:val="center"/>
        </w:trPr>
        <w:tc>
          <w:tcPr>
            <w:tcW w:w="0" w:type="auto"/>
            <w:tcBorders>
              <w:top w:val="single" w:sz="6" w:space="0" w:color="auto"/>
              <w:left w:val="single" w:sz="4" w:space="0" w:color="auto"/>
              <w:bottom w:val="single" w:sz="6" w:space="0" w:color="auto"/>
              <w:right w:val="single" w:sz="6" w:space="0" w:color="auto"/>
            </w:tcBorders>
            <w:hideMark/>
          </w:tcPr>
          <w:p w14:paraId="59A478F6"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Host cryptogram</w:t>
            </w:r>
          </w:p>
        </w:tc>
        <w:tc>
          <w:tcPr>
            <w:tcW w:w="972" w:type="dxa"/>
            <w:tcBorders>
              <w:top w:val="single" w:sz="6" w:space="0" w:color="auto"/>
              <w:left w:val="single" w:sz="6" w:space="0" w:color="auto"/>
              <w:bottom w:val="single" w:sz="6" w:space="0" w:color="auto"/>
              <w:right w:val="single" w:sz="6" w:space="0" w:color="auto"/>
            </w:tcBorders>
            <w:hideMark/>
          </w:tcPr>
          <w:p w14:paraId="15C14911"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8 bytes</w:t>
            </w:r>
          </w:p>
        </w:tc>
        <w:tc>
          <w:tcPr>
            <w:tcW w:w="982" w:type="dxa"/>
            <w:tcBorders>
              <w:top w:val="single" w:sz="6" w:space="0" w:color="auto"/>
              <w:left w:val="single" w:sz="6" w:space="0" w:color="auto"/>
              <w:bottom w:val="single" w:sz="6" w:space="0" w:color="auto"/>
              <w:right w:val="single" w:sz="4" w:space="0" w:color="auto"/>
            </w:tcBorders>
            <w:hideMark/>
          </w:tcPr>
          <w:p w14:paraId="331CC088"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r w:rsidR="00B97365" w14:paraId="2E81FB69" w14:textId="77777777">
        <w:trPr>
          <w:cantSplit/>
          <w:jc w:val="center"/>
        </w:trPr>
        <w:tc>
          <w:tcPr>
            <w:tcW w:w="0" w:type="auto"/>
            <w:tcBorders>
              <w:top w:val="single" w:sz="6" w:space="0" w:color="auto"/>
              <w:left w:val="single" w:sz="4" w:space="0" w:color="auto"/>
              <w:bottom w:val="single" w:sz="4" w:space="0" w:color="auto"/>
              <w:right w:val="single" w:sz="6" w:space="0" w:color="auto"/>
            </w:tcBorders>
            <w:hideMark/>
          </w:tcPr>
          <w:p w14:paraId="7F127F01"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MAC</w:t>
            </w:r>
          </w:p>
        </w:tc>
        <w:tc>
          <w:tcPr>
            <w:tcW w:w="972" w:type="dxa"/>
            <w:tcBorders>
              <w:top w:val="single" w:sz="6" w:space="0" w:color="auto"/>
              <w:left w:val="single" w:sz="6" w:space="0" w:color="auto"/>
              <w:bottom w:val="single" w:sz="4" w:space="0" w:color="auto"/>
              <w:right w:val="single" w:sz="6" w:space="0" w:color="auto"/>
            </w:tcBorders>
            <w:hideMark/>
          </w:tcPr>
          <w:p w14:paraId="039F4FDD"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8 bytes</w:t>
            </w:r>
          </w:p>
        </w:tc>
        <w:tc>
          <w:tcPr>
            <w:tcW w:w="982" w:type="dxa"/>
            <w:tcBorders>
              <w:top w:val="single" w:sz="6" w:space="0" w:color="auto"/>
              <w:left w:val="single" w:sz="6" w:space="0" w:color="auto"/>
              <w:bottom w:val="single" w:sz="4" w:space="0" w:color="auto"/>
              <w:right w:val="single" w:sz="4" w:space="0" w:color="auto"/>
            </w:tcBorders>
            <w:hideMark/>
          </w:tcPr>
          <w:p w14:paraId="11C78690"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Mandatory</w:t>
            </w:r>
          </w:p>
        </w:tc>
      </w:tr>
    </w:tbl>
    <w:p w14:paraId="4B96AE5B" w14:textId="77777777" w:rsidR="00B97365" w:rsidRDefault="00000000">
      <w:pPr>
        <w:numPr>
          <w:ilvl w:val="0"/>
          <w:numId w:val="14"/>
        </w:numPr>
        <w:tabs>
          <w:tab w:val="left" w:pos="1009"/>
        </w:tabs>
        <w:spacing w:after="200" w:line="276" w:lineRule="auto"/>
        <w:jc w:val="center"/>
        <w:rPr>
          <w:rFonts w:cs="Arial"/>
          <w:szCs w:val="22"/>
          <w:lang w:eastAsia="en-GB" w:bidi="ar-SA"/>
        </w:rPr>
      </w:pPr>
      <w:r>
        <w:rPr>
          <w:rFonts w:cs="Arial"/>
          <w:b/>
          <w:lang w:eastAsia="de-DE" w:bidi="ar-SA"/>
        </w:rPr>
        <w:t>: External Authenticate Command TLV</w:t>
      </w:r>
    </w:p>
    <w:p w14:paraId="6EABB046" w14:textId="77777777" w:rsidR="00B97365" w:rsidRDefault="00000000">
      <w:pPr>
        <w:spacing w:before="0" w:after="200" w:line="276" w:lineRule="auto"/>
        <w:jc w:val="left"/>
        <w:rPr>
          <w:rFonts w:cs="Arial"/>
          <w:szCs w:val="22"/>
          <w:lang w:eastAsia="en-GB" w:bidi="ar-SA"/>
        </w:rPr>
      </w:pPr>
      <w:r>
        <w:rPr>
          <w:rFonts w:cs="Arial"/>
          <w:szCs w:val="22"/>
          <w:lang w:eastAsia="en-GB" w:bidi="ar-SA"/>
        </w:rPr>
        <w:t>The security level SHALL be set to '33': "C DECRYPTION, R ENCRYPTION, C MAC, and R MAC".</w:t>
      </w:r>
    </w:p>
    <w:p w14:paraId="4B9657C1" w14:textId="77777777" w:rsidR="00B97365" w:rsidRDefault="00000000">
      <w:pPr>
        <w:spacing w:before="0" w:after="200" w:line="276" w:lineRule="auto"/>
        <w:jc w:val="left"/>
        <w:rPr>
          <w:rFonts w:cs="Arial"/>
          <w:szCs w:val="22"/>
          <w:lang w:eastAsia="en-GB" w:bidi="ar-SA"/>
        </w:rPr>
      </w:pPr>
      <w:r>
        <w:rPr>
          <w:rFonts w:cs="Arial"/>
          <w:szCs w:val="22"/>
          <w:lang w:eastAsia="en-GB" w:bidi="ar-SA"/>
        </w:rPr>
        <w:t>The MAC SHALL be computed based on the values present in the TLV, as follows:</w:t>
      </w:r>
    </w:p>
    <w:tbl>
      <w:tblPr>
        <w:tblStyle w:val="TableGrid"/>
        <w:tblW w:w="0" w:type="auto"/>
        <w:tblLook w:val="04A0" w:firstRow="1" w:lastRow="0" w:firstColumn="1" w:lastColumn="0" w:noHBand="0" w:noVBand="1"/>
      </w:tblPr>
      <w:tblGrid>
        <w:gridCol w:w="9016"/>
      </w:tblGrid>
      <w:tr w:rsidR="00B97365" w14:paraId="6B7152DD" w14:textId="77777777">
        <w:tc>
          <w:tcPr>
            <w:tcW w:w="9016" w:type="dxa"/>
            <w:tcBorders>
              <w:top w:val="single" w:sz="4" w:space="0" w:color="auto"/>
              <w:left w:val="single" w:sz="4" w:space="0" w:color="auto"/>
              <w:bottom w:val="single" w:sz="4" w:space="0" w:color="auto"/>
              <w:right w:val="single" w:sz="4" w:space="0" w:color="auto"/>
            </w:tcBorders>
            <w:hideMark/>
          </w:tcPr>
          <w:p w14:paraId="61B1575C" w14:textId="77777777" w:rsidR="00B97365" w:rsidRDefault="00000000">
            <w:pPr>
              <w:spacing w:before="0" w:after="200" w:line="276" w:lineRule="auto"/>
              <w:jc w:val="left"/>
              <w:rPr>
                <w:szCs w:val="22"/>
                <w:lang w:eastAsia="en-GB" w:bidi="ar-SA"/>
              </w:rPr>
            </w:pPr>
            <w:r>
              <w:rPr>
                <w:rFonts w:cs="Arial"/>
                <w:sz w:val="20"/>
                <w:szCs w:val="22"/>
                <w:lang w:eastAsia="en-GB" w:bidi="ar-SA"/>
              </w:rPr>
              <w:object w:dxaOrig="9024" w:dyaOrig="5052" w14:anchorId="6D1458AE">
                <v:shape id="_x0000_i1038" type="#_x0000_t75" style="width:456.25pt;height:253.2pt" o:ole="">
                  <v:imagedata r:id="rId97" o:title=""/>
                </v:shape>
                <o:OLEObject Type="Embed" ProgID="PowerPoint.Slide.12" ShapeID="_x0000_i1038" DrawAspect="Content" ObjectID="_1738512083" r:id="rId98"/>
              </w:object>
            </w:r>
          </w:p>
        </w:tc>
      </w:tr>
    </w:tbl>
    <w:p w14:paraId="7584DE72"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C-MAC Computation for External Authenticate Command TLV </w:t>
      </w:r>
    </w:p>
    <w:p w14:paraId="0556A67E" w14:textId="77777777" w:rsidR="00B97365" w:rsidRDefault="00000000">
      <w:pPr>
        <w:spacing w:before="0" w:after="200" w:line="276" w:lineRule="auto"/>
        <w:jc w:val="left"/>
        <w:rPr>
          <w:rFonts w:cs="Arial"/>
          <w:szCs w:val="22"/>
          <w:lang w:eastAsia="en-GB" w:bidi="ar-SA"/>
        </w:rPr>
      </w:pPr>
      <w:r>
        <w:rPr>
          <w:rFonts w:cs="Arial"/>
          <w:szCs w:val="22"/>
          <w:lang w:eastAsia="en-GB" w:bidi="ar-SA"/>
        </w:rPr>
        <w:t>If the message is accepted, a Response TLV with tag '85' and length zero SHALL be returned.</w:t>
      </w:r>
    </w:p>
    <w:p w14:paraId="683DD29D" w14:textId="77777777" w:rsidR="00B97365" w:rsidRDefault="00000000">
      <w:pPr>
        <w:spacing w:before="0" w:after="200" w:line="276" w:lineRule="auto"/>
        <w:jc w:val="left"/>
        <w:rPr>
          <w:rFonts w:cs="Arial"/>
          <w:szCs w:val="22"/>
          <w:lang w:eastAsia="en-GB" w:bidi="ar-SA"/>
        </w:rPr>
      </w:pPr>
      <w:r>
        <w:rPr>
          <w:rFonts w:cs="Arial"/>
          <w:szCs w:val="22"/>
          <w:lang w:eastAsia="en-GB" w:bidi="ar-SA"/>
        </w:rPr>
        <w:t>This TLV does not return an R-MAC.</w:t>
      </w:r>
    </w:p>
    <w:p w14:paraId="26C5BCA2" w14:textId="77777777" w:rsidR="00B97365" w:rsidRDefault="00000000">
      <w:pPr>
        <w:spacing w:before="0" w:after="200" w:line="276" w:lineRule="auto"/>
        <w:jc w:val="left"/>
        <w:rPr>
          <w:rFonts w:cs="Arial"/>
          <w:szCs w:val="22"/>
          <w:lang w:eastAsia="en-GB" w:bidi="ar-SA"/>
        </w:rPr>
      </w:pPr>
      <w:r>
        <w:rPr>
          <w:rFonts w:cs="Arial"/>
          <w:szCs w:val="22"/>
          <w:lang w:eastAsia="en-GB" w:bidi="ar-SA"/>
        </w:rPr>
        <w:t>In case of an error, tag '9F45' is used (see NOTE 1 above). The following values are defined:</w:t>
      </w:r>
    </w:p>
    <w:p w14:paraId="0AE26666" w14:textId="77777777" w:rsidR="00B97365" w:rsidRDefault="00000000">
      <w:pPr>
        <w:numPr>
          <w:ilvl w:val="0"/>
          <w:numId w:val="33"/>
        </w:numPr>
        <w:tabs>
          <w:tab w:val="left" w:pos="720"/>
        </w:tabs>
        <w:spacing w:before="0" w:after="200" w:line="276" w:lineRule="auto"/>
        <w:contextualSpacing/>
        <w:jc w:val="left"/>
        <w:rPr>
          <w:szCs w:val="22"/>
          <w:lang w:eastAsia="en-GB" w:bidi="ar-SA"/>
        </w:rPr>
      </w:pPr>
      <w:r>
        <w:rPr>
          <w:szCs w:val="22"/>
          <w:lang w:eastAsia="en-GB" w:bidi="ar-SA"/>
        </w:rPr>
        <w:t>'01': error in length or structure of command data</w:t>
      </w:r>
    </w:p>
    <w:p w14:paraId="2A7F1ED6" w14:textId="77777777" w:rsidR="00B97365" w:rsidRDefault="00000000">
      <w:pPr>
        <w:numPr>
          <w:ilvl w:val="0"/>
          <w:numId w:val="33"/>
        </w:numPr>
        <w:tabs>
          <w:tab w:val="left" w:pos="720"/>
        </w:tabs>
        <w:spacing w:before="0" w:after="200" w:line="276" w:lineRule="auto"/>
        <w:contextualSpacing/>
        <w:jc w:val="left"/>
        <w:rPr>
          <w:rFonts w:cs="Arial"/>
          <w:szCs w:val="22"/>
          <w:lang w:eastAsia="en-GB" w:bidi="ar-SA"/>
        </w:rPr>
      </w:pPr>
      <w:r>
        <w:rPr>
          <w:szCs w:val="22"/>
          <w:lang w:eastAsia="en-GB" w:bidi="ar-SA"/>
        </w:rPr>
        <w:t>'02': security error</w:t>
      </w:r>
    </w:p>
    <w:p w14:paraId="69CED207" w14:textId="77777777" w:rsidR="00B97365" w:rsidRDefault="00000000">
      <w:pPr>
        <w:spacing w:before="0" w:after="200" w:line="276" w:lineRule="auto"/>
        <w:jc w:val="left"/>
        <w:rPr>
          <w:b/>
          <w:szCs w:val="22"/>
          <w:lang w:eastAsia="en-GB" w:bidi="ar-SA"/>
        </w:rPr>
      </w:pPr>
      <w:bookmarkStart w:id="2705" w:name="_Toc214358113"/>
      <w:bookmarkStart w:id="2706" w:name="_Ref386306756"/>
      <w:bookmarkStart w:id="2707" w:name="_Toc394339888"/>
      <w:bookmarkEnd w:id="2705"/>
      <w:r>
        <w:rPr>
          <w:rFonts w:cs="Arial"/>
          <w:b/>
          <w:szCs w:val="22"/>
          <w:lang w:val="en-US" w:eastAsia="en-GB" w:bidi="ar-SA"/>
        </w:rPr>
        <w:t>Command</w:t>
      </w:r>
      <w:r>
        <w:rPr>
          <w:b/>
          <w:szCs w:val="22"/>
          <w:lang w:eastAsia="en-GB" w:bidi="ar-SA"/>
        </w:rPr>
        <w:t xml:space="preserve"> TLV C-MAC and C-DECRYPTION Generation and Verification</w:t>
      </w:r>
      <w:bookmarkEnd w:id="2706"/>
      <w:bookmarkEnd w:id="2707"/>
    </w:p>
    <w:p w14:paraId="3E5C5206" w14:textId="77777777" w:rsidR="00B97365" w:rsidRDefault="00000000">
      <w:pPr>
        <w:spacing w:before="0" w:after="200" w:line="276" w:lineRule="auto"/>
        <w:jc w:val="left"/>
        <w:rPr>
          <w:rFonts w:cs="Arial"/>
          <w:szCs w:val="22"/>
          <w:lang w:eastAsia="en-GB" w:bidi="ar-SA"/>
        </w:rPr>
      </w:pPr>
      <w:bookmarkStart w:id="2708" w:name="_Toc394339908"/>
      <w:bookmarkStart w:id="2709" w:name="_Toc232511579"/>
      <w:bookmarkStart w:id="2710" w:name="_Toc190601725"/>
      <w:r>
        <w:rPr>
          <w:rFonts w:cs="Arial"/>
          <w:szCs w:val="22"/>
          <w:lang w:eastAsia="en-GB" w:bidi="ar-SA"/>
        </w:rPr>
        <w:t>For encapsulating encrypted profile command data in a SCP03t TLV, tag '86' is used.</w:t>
      </w:r>
    </w:p>
    <w:bookmarkStart w:id="2711" w:name="_Toc394339889"/>
    <w:bookmarkStart w:id="2712" w:name="_Ref386306757"/>
    <w:bookmarkEnd w:id="2708"/>
    <w:bookmarkEnd w:id="2709"/>
    <w:bookmarkEnd w:id="2710"/>
    <w:p w14:paraId="76C39734" w14:textId="77777777" w:rsidR="00B97365" w:rsidRDefault="00000000">
      <w:pPr>
        <w:spacing w:before="0" w:after="200" w:line="276" w:lineRule="auto"/>
        <w:jc w:val="center"/>
        <w:rPr>
          <w:rFonts w:cs="Arial"/>
          <w:szCs w:val="22"/>
          <w:lang w:eastAsia="en-GB" w:bidi="ar-SA"/>
        </w:rPr>
      </w:pPr>
      <w:r>
        <w:rPr>
          <w:rFonts w:cs="Arial"/>
          <w:szCs w:val="22"/>
          <w:lang w:eastAsia="en-GB" w:bidi="ar-SA"/>
        </w:rPr>
        <w:object w:dxaOrig="9120" w:dyaOrig="4872" w14:anchorId="409AF862">
          <v:shape id="_x0000_i1039" type="#_x0000_t75" style="width:450.1pt;height:246.05pt" o:ole="">
            <v:imagedata r:id="rId99" o:title=""/>
          </v:shape>
          <o:OLEObject Type="Embed" ProgID="Visio.Drawing.11" ShapeID="_x0000_i1039" DrawAspect="Content" ObjectID="_1738512084" r:id="rId100"/>
        </w:object>
      </w:r>
    </w:p>
    <w:p w14:paraId="488C9CBA"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szCs w:val="22"/>
          <w:lang w:val="en-US" w:eastAsia="en-GB" w:bidi="ar-SA"/>
        </w:rPr>
        <w:t xml:space="preserve">: </w:t>
      </w:r>
      <w:r>
        <w:rPr>
          <w:rFonts w:cs="Arial"/>
          <w:b/>
          <w:szCs w:val="22"/>
          <w:lang w:val="en-US" w:eastAsia="en-GB" w:bidi="ar-SA"/>
        </w:rPr>
        <w:t>TLV Command Data Field Encryption</w:t>
      </w:r>
    </w:p>
    <w:p w14:paraId="556568B5" w14:textId="77777777" w:rsidR="00B97365" w:rsidRDefault="00000000">
      <w:pPr>
        <w:spacing w:before="0" w:after="200" w:line="276" w:lineRule="auto"/>
        <w:jc w:val="left"/>
        <w:rPr>
          <w:b/>
          <w:szCs w:val="22"/>
          <w:lang w:eastAsia="en-GB" w:bidi="ar-SA"/>
        </w:rPr>
      </w:pPr>
      <w:r>
        <w:rPr>
          <w:rFonts w:cs="Arial"/>
          <w:b/>
          <w:szCs w:val="22"/>
          <w:lang w:val="en-US" w:eastAsia="en-GB" w:bidi="ar-SA"/>
        </w:rPr>
        <w:t>Response</w:t>
      </w:r>
      <w:r>
        <w:rPr>
          <w:b/>
          <w:szCs w:val="22"/>
          <w:lang w:eastAsia="en-GB" w:bidi="ar-SA"/>
        </w:rPr>
        <w:t xml:space="preserve"> R-MAC and R-ENCRYPTION Generation and Verification</w:t>
      </w:r>
      <w:bookmarkEnd w:id="2711"/>
      <w:bookmarkEnd w:id="2712"/>
    </w:p>
    <w:p w14:paraId="2E6EB921" w14:textId="77777777" w:rsidR="00B97365" w:rsidRDefault="00000000">
      <w:pPr>
        <w:spacing w:before="0" w:after="200" w:line="276" w:lineRule="auto"/>
        <w:jc w:val="left"/>
        <w:rPr>
          <w:rFonts w:cs="Arial"/>
          <w:szCs w:val="22"/>
          <w:lang w:eastAsia="en-GB" w:bidi="ar-SA"/>
        </w:rPr>
      </w:pPr>
      <w:r>
        <w:rPr>
          <w:rFonts w:cs="Arial"/>
          <w:szCs w:val="22"/>
          <w:lang w:eastAsia="en-GB" w:bidi="ar-SA"/>
        </w:rPr>
        <w:t>For encapsulating encrypted profile response data in a SCP03t TLV, tag '86' is used.</w:t>
      </w:r>
    </w:p>
    <w:p w14:paraId="68C0E481" w14:textId="77777777" w:rsidR="00B97365" w:rsidRDefault="00000000">
      <w:pPr>
        <w:spacing w:before="0" w:after="200" w:line="276" w:lineRule="auto"/>
        <w:jc w:val="left"/>
        <w:rPr>
          <w:szCs w:val="22"/>
          <w:lang w:eastAsia="en-GB" w:bidi="ar-SA"/>
        </w:rPr>
      </w:pPr>
      <w:r>
        <w:rPr>
          <w:rFonts w:cs="Arial"/>
          <w:lang w:eastAsia="en-GB"/>
        </w:rPr>
        <w:t>If there is no response data field, the length is ‘00’, and no R-MAC SHALL be generated, so the response TLV SHALL be ’86 00’.In case of an error, tag '9F46' is used (see NOTE 1 above), and no R-MAC nor R-ENCRYPTION SHALL be generated. The response data field contains only one byte, the following values are defined:</w:t>
      </w:r>
    </w:p>
    <w:p w14:paraId="4B0B0793" w14:textId="77777777" w:rsidR="00B97365" w:rsidRDefault="00000000">
      <w:pPr>
        <w:numPr>
          <w:ilvl w:val="0"/>
          <w:numId w:val="33"/>
        </w:numPr>
        <w:tabs>
          <w:tab w:val="left" w:pos="720"/>
        </w:tabs>
        <w:spacing w:before="0" w:after="200" w:line="276" w:lineRule="auto"/>
        <w:contextualSpacing/>
        <w:jc w:val="left"/>
        <w:rPr>
          <w:szCs w:val="22"/>
          <w:lang w:eastAsia="en-GB" w:bidi="ar-SA"/>
        </w:rPr>
      </w:pPr>
      <w:r>
        <w:rPr>
          <w:szCs w:val="22"/>
          <w:lang w:eastAsia="en-GB" w:bidi="ar-SA"/>
        </w:rPr>
        <w:t>'01': error in length or structure of command data</w:t>
      </w:r>
    </w:p>
    <w:p w14:paraId="012E5CA9" w14:textId="77777777" w:rsidR="00B97365" w:rsidRDefault="00000000">
      <w:pPr>
        <w:numPr>
          <w:ilvl w:val="0"/>
          <w:numId w:val="33"/>
        </w:numPr>
        <w:tabs>
          <w:tab w:val="left" w:pos="720"/>
        </w:tabs>
        <w:spacing w:before="0" w:after="200" w:line="276" w:lineRule="auto"/>
        <w:contextualSpacing/>
        <w:jc w:val="left"/>
        <w:rPr>
          <w:szCs w:val="22"/>
          <w:lang w:eastAsia="en-GB" w:bidi="ar-SA"/>
        </w:rPr>
      </w:pPr>
      <w:r>
        <w:rPr>
          <w:szCs w:val="22"/>
          <w:lang w:eastAsia="en-GB" w:bidi="ar-SA"/>
        </w:rPr>
        <w:t>'02': security error</w:t>
      </w:r>
    </w:p>
    <w:bookmarkStart w:id="2713" w:name="_Toc394339890"/>
    <w:bookmarkStart w:id="2714" w:name="_Ref386306983"/>
    <w:p w14:paraId="6AA57318" w14:textId="77777777" w:rsidR="00B97365" w:rsidRDefault="00000000">
      <w:pPr>
        <w:spacing w:before="0" w:after="200" w:line="276" w:lineRule="auto"/>
        <w:jc w:val="center"/>
        <w:rPr>
          <w:rFonts w:cs="Arial"/>
          <w:b/>
          <w:bCs/>
          <w:szCs w:val="22"/>
          <w:lang w:eastAsia="en-GB" w:bidi="ar-SA"/>
        </w:rPr>
      </w:pPr>
      <w:r>
        <w:rPr>
          <w:rFonts w:cs="Arial"/>
          <w:szCs w:val="22"/>
          <w:lang w:eastAsia="en-GB" w:bidi="ar-SA"/>
        </w:rPr>
        <w:object w:dxaOrig="9120" w:dyaOrig="4872" w14:anchorId="1437941B">
          <v:shape id="_x0000_i1040" type="#_x0000_t75" style="width:450.1pt;height:246.05pt" o:ole="">
            <v:imagedata r:id="rId101" o:title=""/>
          </v:shape>
          <o:OLEObject Type="Embed" ProgID="Visio.Drawing.11" ShapeID="_x0000_i1040" DrawAspect="Content" ObjectID="_1738512085" r:id="rId102"/>
        </w:object>
      </w:r>
    </w:p>
    <w:p w14:paraId="683D464B"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lastRenderedPageBreak/>
        <w:t xml:space="preserve">: </w:t>
      </w:r>
      <w:r>
        <w:rPr>
          <w:b/>
          <w:bCs/>
          <w:szCs w:val="22"/>
          <w:lang w:eastAsia="en-GB" w:bidi="ar-SA"/>
        </w:rPr>
        <w:t>TLV Response Data Field Encryption</w:t>
      </w:r>
    </w:p>
    <w:p w14:paraId="11BEAA1A" w14:textId="77777777" w:rsidR="00B97365" w:rsidRDefault="00000000">
      <w:pPr>
        <w:spacing w:before="0" w:after="200" w:line="276" w:lineRule="auto"/>
        <w:jc w:val="left"/>
        <w:rPr>
          <w:b/>
          <w:szCs w:val="22"/>
          <w:u w:val="single"/>
          <w:lang w:eastAsia="en-GB" w:bidi="ar-SA"/>
        </w:rPr>
      </w:pPr>
      <w:r>
        <w:rPr>
          <w:rFonts w:cs="Arial"/>
          <w:b/>
          <w:szCs w:val="22"/>
          <w:u w:val="single"/>
          <w:lang w:val="en-US" w:eastAsia="en-GB" w:bidi="ar-SA"/>
        </w:rPr>
        <w:t>Profile protection</w:t>
      </w:r>
      <w:r>
        <w:rPr>
          <w:b/>
          <w:szCs w:val="22"/>
          <w:u w:val="single"/>
          <w:lang w:eastAsia="en-GB" w:bidi="ar-SA"/>
        </w:rPr>
        <w:t>:</w:t>
      </w:r>
    </w:p>
    <w:p w14:paraId="5A906EC7" w14:textId="77777777" w:rsidR="00B97365" w:rsidRDefault="00000000">
      <w:pPr>
        <w:autoSpaceDE w:val="0"/>
        <w:autoSpaceDN w:val="0"/>
        <w:adjustRightInd w:val="0"/>
        <w:spacing w:before="0"/>
        <w:jc w:val="left"/>
        <w:rPr>
          <w:rFonts w:eastAsia="Calibri" w:cs="Arial"/>
          <w:color w:val="000000"/>
          <w:szCs w:val="22"/>
          <w:lang w:val="en-US" w:eastAsia="en-GB" w:bidi="ar-SA"/>
        </w:rPr>
      </w:pPr>
      <w:r>
        <w:rPr>
          <w:rFonts w:eastAsia="Calibri" w:cs="Arial"/>
          <w:color w:val="000000"/>
          <w:szCs w:val="22"/>
          <w:lang w:val="en-US" w:eastAsia="en-GB" w:bidi="ar-SA"/>
        </w:rPr>
        <w:t xml:space="preserve">Profile protection SHALL performed using either: </w:t>
      </w:r>
    </w:p>
    <w:p w14:paraId="71F69F22"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Session keys (S-ENC, S-MAC, S-RMAC) resulting from the key agreement with eUICC (</w:t>
      </w:r>
      <w:r>
        <w:rPr>
          <w:szCs w:val="22"/>
          <w:lang w:eastAsia="en-GB" w:bidi="ar-SA"/>
        </w:rPr>
        <w:t>INITIALIZE UPDATE and EXTERNAL AUTHENTICATE</w:t>
      </w:r>
      <w:r>
        <w:rPr>
          <w:szCs w:val="22"/>
          <w:lang w:val="en-US" w:eastAsia="en-GB" w:bidi="ar-SA"/>
        </w:rPr>
        <w:t xml:space="preserve">). </w:t>
      </w:r>
    </w:p>
    <w:p w14:paraId="1D43C933"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Or random keys per Profile (denoted PPK-ENC, PPK-MAC, PPK-RMAC in this document), generated by the SM-DP.</w:t>
      </w:r>
    </w:p>
    <w:p w14:paraId="4C8A6818" w14:textId="77777777" w:rsidR="00B97365" w:rsidRDefault="00000000">
      <w:pPr>
        <w:jc w:val="center"/>
        <w:rPr>
          <w:lang w:eastAsia="en-GB" w:bidi="ar-SA"/>
        </w:rPr>
      </w:pPr>
      <w:r>
        <w:rPr>
          <w:noProof/>
          <w:lang w:eastAsia="en-GB" w:bidi="ar-SA"/>
        </w:rPr>
        <mc:AlternateContent>
          <mc:Choice Requires="wpg">
            <w:drawing>
              <wp:inline distT="0" distB="0" distL="0" distR="0" wp14:anchorId="333994BE" wp14:editId="430C1B0F">
                <wp:extent cx="4038600" cy="1722078"/>
                <wp:effectExtent l="0" t="0" r="19050" b="1206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1722078"/>
                          <a:chOff x="0" y="0"/>
                          <a:chExt cx="40386" cy="17242"/>
                        </a:xfrm>
                      </wpg:grpSpPr>
                      <wps:wsp>
                        <wps:cNvPr id="6" name="Prostokąt 10"/>
                        <wps:cNvSpPr>
                          <a:spLocks noChangeArrowheads="1"/>
                        </wps:cNvSpPr>
                        <wps:spPr bwMode="auto">
                          <a:xfrm>
                            <a:off x="0" y="0"/>
                            <a:ext cx="13462" cy="832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F111AC7" w14:textId="77777777" w:rsidR="00B97365" w:rsidRDefault="00000000">
                              <w:pPr>
                                <w:jc w:val="center"/>
                                <w:rPr>
                                  <w:rFonts w:cs="Arial"/>
                                  <w:lang w:val="en-US"/>
                                </w:rPr>
                              </w:pPr>
                              <w:r>
                                <w:rPr>
                                  <w:rFonts w:cs="Arial"/>
                                  <w:lang w:val="en-US"/>
                                </w:rPr>
                                <w:t>Command 84</w:t>
                              </w:r>
                            </w:p>
                            <w:p w14:paraId="6E3D0BFF" w14:textId="77777777" w:rsidR="00B97365" w:rsidRDefault="00B97365">
                              <w:pPr>
                                <w:jc w:val="center"/>
                                <w:rPr>
                                  <w:rFonts w:cs="Arial"/>
                                  <w:sz w:val="21"/>
                                  <w:lang w:val="en-US"/>
                                </w:rPr>
                              </w:pPr>
                            </w:p>
                          </w:txbxContent>
                        </wps:txbx>
                        <wps:bodyPr rot="0" vert="horz" wrap="square" lIns="91440" tIns="0" rIns="91440" bIns="45720" anchor="ctr" anchorCtr="0" upright="1">
                          <a:noAutofit/>
                        </wps:bodyPr>
                      </wps:wsp>
                      <wps:wsp>
                        <wps:cNvPr id="7" name="Prostokąt 12"/>
                        <wps:cNvSpPr>
                          <a:spLocks noChangeArrowheads="1"/>
                        </wps:cNvSpPr>
                        <wps:spPr bwMode="auto">
                          <a:xfrm>
                            <a:off x="13462" y="0"/>
                            <a:ext cx="13462" cy="832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9DE3607" w14:textId="77777777" w:rsidR="00B97365" w:rsidRDefault="00000000">
                              <w:pPr>
                                <w:jc w:val="center"/>
                                <w:rPr>
                                  <w:rFonts w:cs="Arial"/>
                                  <w:lang w:val="en-US"/>
                                </w:rPr>
                              </w:pPr>
                              <w:r>
                                <w:rPr>
                                  <w:rFonts w:cs="Arial"/>
                                  <w:lang w:val="en-US"/>
                                </w:rPr>
                                <w:t>Command 85</w:t>
                              </w:r>
                            </w:p>
                            <w:p w14:paraId="0CCB9133" w14:textId="77777777" w:rsidR="00B97365" w:rsidRDefault="00000000">
                              <w:pPr>
                                <w:jc w:val="center"/>
                                <w:rPr>
                                  <w:rFonts w:cs="Arial"/>
                                  <w:sz w:val="21"/>
                                  <w:lang w:val="en-US"/>
                                </w:rPr>
                              </w:pPr>
                              <w:r>
                                <w:rPr>
                                  <w:rFonts w:cs="Arial"/>
                                  <w:sz w:val="21"/>
                                  <w:lang w:val="en-US"/>
                                </w:rPr>
                                <w:t>(generates S-ENC, S-MAC, but they are not used yet)</w:t>
                              </w:r>
                            </w:p>
                          </w:txbxContent>
                        </wps:txbx>
                        <wps:bodyPr rot="0" vert="horz" wrap="square" lIns="91440" tIns="0" rIns="91440" bIns="45720" anchor="ctr" anchorCtr="0" upright="1">
                          <a:spAutoFit/>
                        </wps:bodyPr>
                      </wps:wsp>
                      <wps:wsp>
                        <wps:cNvPr id="8" name="Prostokąt 14"/>
                        <wps:cNvSpPr>
                          <a:spLocks noChangeArrowheads="1"/>
                        </wps:cNvSpPr>
                        <wps:spPr bwMode="auto">
                          <a:xfrm>
                            <a:off x="26924" y="0"/>
                            <a:ext cx="13462" cy="832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A82931F" w14:textId="77777777" w:rsidR="00B97365" w:rsidRDefault="00000000">
                              <w:pPr>
                                <w:jc w:val="center"/>
                                <w:rPr>
                                  <w:rFonts w:cs="Arial"/>
                                  <w:lang w:val="en-US"/>
                                </w:rPr>
                              </w:pPr>
                              <w:r>
                                <w:rPr>
                                  <w:rFonts w:cs="Arial"/>
                                  <w:lang w:val="en-US"/>
                                </w:rPr>
                                <w:t>Command 86</w:t>
                              </w:r>
                            </w:p>
                            <w:p w14:paraId="7E52F42F" w14:textId="77777777" w:rsidR="00B97365" w:rsidRDefault="00000000">
                              <w:pPr>
                                <w:jc w:val="center"/>
                                <w:rPr>
                                  <w:sz w:val="21"/>
                                  <w:lang w:val="en-US"/>
                                </w:rPr>
                              </w:pPr>
                              <w:r>
                                <w:rPr>
                                  <w:rFonts w:cs="Arial"/>
                                  <w:lang w:val="en-US"/>
                                </w:rPr>
                                <w:t xml:space="preserve"> </w:t>
                              </w:r>
                              <w:r>
                                <w:rPr>
                                  <w:sz w:val="21"/>
                                  <w:lang w:val="en-US"/>
                                </w:rPr>
                                <w:t>(S-ENC, S-MAC)</w:t>
                              </w:r>
                            </w:p>
                          </w:txbxContent>
                        </wps:txbx>
                        <wps:bodyPr rot="0" vert="horz" wrap="square" lIns="91440" tIns="0" rIns="91440" bIns="45720" anchor="ctr" anchorCtr="0" upright="1">
                          <a:noAutofit/>
                        </wps:bodyPr>
                      </wps:wsp>
                      <wps:wsp>
                        <wps:cNvPr id="9" name="Prostokąt 17"/>
                        <wps:cNvSpPr>
                          <a:spLocks noChangeArrowheads="1"/>
                        </wps:cNvSpPr>
                        <wps:spPr bwMode="auto">
                          <a:xfrm>
                            <a:off x="0" y="11990"/>
                            <a:ext cx="13462" cy="525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3EB0CAD" w14:textId="77777777" w:rsidR="00B97365" w:rsidRDefault="00000000">
                              <w:pPr>
                                <w:jc w:val="center"/>
                                <w:rPr>
                                  <w:rFonts w:cs="Arial"/>
                                  <w:lang w:val="en-US"/>
                                </w:rPr>
                              </w:pPr>
                              <w:r>
                                <w:rPr>
                                  <w:rFonts w:cs="Arial"/>
                                  <w:lang w:val="en-US"/>
                                </w:rPr>
                                <w:t>Response 84</w:t>
                              </w:r>
                            </w:p>
                            <w:p w14:paraId="4B5239FD" w14:textId="77777777" w:rsidR="00B97365" w:rsidRDefault="00B97365">
                              <w:pPr>
                                <w:jc w:val="center"/>
                                <w:rPr>
                                  <w:rFonts w:cs="Arial"/>
                                  <w:sz w:val="21"/>
                                  <w:lang w:val="en-US"/>
                                </w:rPr>
                              </w:pPr>
                            </w:p>
                          </w:txbxContent>
                        </wps:txbx>
                        <wps:bodyPr rot="0" vert="horz" wrap="square" lIns="91440" tIns="0" rIns="91440" bIns="45720" anchor="ctr" anchorCtr="0" upright="1">
                          <a:spAutoFit/>
                        </wps:bodyPr>
                      </wps:wsp>
                      <wps:wsp>
                        <wps:cNvPr id="10" name="Prostokąt 18"/>
                        <wps:cNvSpPr>
                          <a:spLocks noChangeArrowheads="1"/>
                        </wps:cNvSpPr>
                        <wps:spPr bwMode="auto">
                          <a:xfrm>
                            <a:off x="13462" y="11990"/>
                            <a:ext cx="13462" cy="525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5C85D0E" w14:textId="77777777" w:rsidR="00B97365" w:rsidRDefault="00000000">
                              <w:pPr>
                                <w:jc w:val="center"/>
                                <w:rPr>
                                  <w:rFonts w:cs="Arial"/>
                                  <w:lang w:val="en-US"/>
                                </w:rPr>
                              </w:pPr>
                              <w:r>
                                <w:rPr>
                                  <w:rFonts w:cs="Arial"/>
                                  <w:lang w:val="en-US"/>
                                </w:rPr>
                                <w:t>Response 85</w:t>
                              </w:r>
                            </w:p>
                            <w:p w14:paraId="52A6D819" w14:textId="77777777" w:rsidR="00B97365" w:rsidRDefault="00B97365">
                              <w:pPr>
                                <w:jc w:val="center"/>
                                <w:rPr>
                                  <w:rFonts w:cs="Arial"/>
                                  <w:sz w:val="21"/>
                                  <w:lang w:val="en-US"/>
                                </w:rPr>
                              </w:pPr>
                            </w:p>
                          </w:txbxContent>
                        </wps:txbx>
                        <wps:bodyPr rot="0" vert="horz" wrap="square" lIns="91440" tIns="0" rIns="91440" bIns="45720" anchor="ctr" anchorCtr="0" upright="1">
                          <a:spAutoFit/>
                        </wps:bodyPr>
                      </wps:wsp>
                      <wps:wsp>
                        <wps:cNvPr id="11" name="Prostokąt 20"/>
                        <wps:cNvSpPr>
                          <a:spLocks noChangeArrowheads="1"/>
                        </wps:cNvSpPr>
                        <wps:spPr bwMode="auto">
                          <a:xfrm>
                            <a:off x="26924" y="11990"/>
                            <a:ext cx="13462" cy="525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21BA99D9" w14:textId="77777777" w:rsidR="00B97365" w:rsidRDefault="00000000">
                              <w:pPr>
                                <w:jc w:val="center"/>
                                <w:rPr>
                                  <w:rFonts w:cs="Arial"/>
                                  <w:lang w:val="en-US"/>
                                </w:rPr>
                              </w:pPr>
                              <w:r>
                                <w:rPr>
                                  <w:rFonts w:cs="Arial"/>
                                  <w:lang w:val="en-US"/>
                                </w:rPr>
                                <w:t>Response 86</w:t>
                              </w:r>
                            </w:p>
                            <w:p w14:paraId="0EACDB79" w14:textId="77777777" w:rsidR="00B97365" w:rsidRDefault="00000000">
                              <w:pPr>
                                <w:jc w:val="center"/>
                                <w:rPr>
                                  <w:rFonts w:cs="Arial"/>
                                  <w:sz w:val="21"/>
                                  <w:lang w:val="en-US"/>
                                </w:rPr>
                              </w:pPr>
                              <w:r>
                                <w:rPr>
                                  <w:rFonts w:cs="Arial"/>
                                  <w:sz w:val="21"/>
                                  <w:lang w:val="en-US"/>
                                </w:rPr>
                                <w:t>(S-ENC, S-RMAC)</w:t>
                              </w:r>
                            </w:p>
                          </w:txbxContent>
                        </wps:txbx>
                        <wps:bodyPr rot="0" vert="horz" wrap="square" lIns="91440" tIns="0" rIns="91440" bIns="45720" anchor="ctr" anchorCtr="0" upright="1">
                          <a:spAutoFit/>
                        </wps:bodyPr>
                      </wps:wsp>
                      <wps:wsp>
                        <wps:cNvPr id="12" name="Łącznik prosty 21"/>
                        <wps:cNvCnPr>
                          <a:cxnSpLocks noChangeShapeType="1"/>
                        </wps:cNvCnPr>
                        <wps:spPr bwMode="auto">
                          <a:xfrm>
                            <a:off x="0" y="5207"/>
                            <a:ext cx="0" cy="4533"/>
                          </a:xfrm>
                          <a:prstGeom prst="line">
                            <a:avLst/>
                          </a:prstGeom>
                          <a:noFill/>
                          <a:ln w="9525">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13" name="Łącznik prosty 22"/>
                        <wps:cNvCnPr>
                          <a:cxnSpLocks noChangeShapeType="1"/>
                        </wps:cNvCnPr>
                        <wps:spPr bwMode="auto">
                          <a:xfrm flipH="1">
                            <a:off x="13462" y="5207"/>
                            <a:ext cx="0" cy="4572"/>
                          </a:xfrm>
                          <a:prstGeom prst="line">
                            <a:avLst/>
                          </a:prstGeom>
                          <a:noFill/>
                          <a:ln w="9525">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14" name="Łącznik prosty 23"/>
                        <wps:cNvCnPr>
                          <a:cxnSpLocks noChangeShapeType="1"/>
                        </wps:cNvCnPr>
                        <wps:spPr bwMode="auto">
                          <a:xfrm flipH="1">
                            <a:off x="26924" y="5207"/>
                            <a:ext cx="0" cy="4533"/>
                          </a:xfrm>
                          <a:prstGeom prst="line">
                            <a:avLst/>
                          </a:prstGeom>
                          <a:noFill/>
                          <a:ln w="9525">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15" name="Łącznik prosty 24"/>
                        <wps:cNvCnPr>
                          <a:cxnSpLocks noChangeShapeType="1"/>
                        </wps:cNvCnPr>
                        <wps:spPr bwMode="auto">
                          <a:xfrm flipH="1">
                            <a:off x="40386" y="5207"/>
                            <a:ext cx="0" cy="4533"/>
                          </a:xfrm>
                          <a:prstGeom prst="line">
                            <a:avLst/>
                          </a:prstGeom>
                          <a:noFill/>
                          <a:ln w="9525">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16" name="Łącznik prosty ze strzałką 27"/>
                        <wps:cNvCnPr>
                          <a:cxnSpLocks noChangeShapeType="1"/>
                        </wps:cNvCnPr>
                        <wps:spPr bwMode="auto">
                          <a:xfrm>
                            <a:off x="6731" y="8867"/>
                            <a:ext cx="0" cy="2413"/>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17" name="Łącznik prosty ze strzałką 28"/>
                        <wps:cNvCnPr>
                          <a:cxnSpLocks noChangeShapeType="1"/>
                        </wps:cNvCnPr>
                        <wps:spPr bwMode="auto">
                          <a:xfrm>
                            <a:off x="20447" y="8867"/>
                            <a:ext cx="0" cy="2413"/>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18" name="Łącznik prosty ze strzałką 29"/>
                        <wps:cNvCnPr>
                          <a:cxnSpLocks noChangeShapeType="1"/>
                        </wps:cNvCnPr>
                        <wps:spPr bwMode="auto">
                          <a:xfrm>
                            <a:off x="33655" y="8994"/>
                            <a:ext cx="0" cy="2413"/>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33994BE" id="Group 5" o:spid="_x0000_s1026" style="width:318pt;height:135.6pt;mso-position-horizontal-relative:char;mso-position-vertical-relative:line" coordsize="40386,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">
                <v:rect id="Prostokąt 10" o:spid="_x0000_s1027" style="position:absolute;width:13462;height:8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" strokeweight="1pt">
                  <v:textbox inset=",0">
                    <w:txbxContent>
                      <w:p w14:paraId="1F111AC7" w14:textId="77777777" w:rsidR="00B97365" w:rsidRDefault="00000000">
                        <w:pPr>
                          <w:jc w:val="center"/>
                          <w:rPr>
                            <w:rFonts w:cs="Arial"/>
                            <w:lang w:val="en-US"/>
                          </w:rPr>
                        </w:pPr>
                        <w:r>
                          <w:rPr>
                            <w:rFonts w:cs="Arial"/>
                            <w:lang w:val="en-US"/>
                          </w:rPr>
                          <w:t>Command 84</w:t>
                        </w:r>
                      </w:p>
                      <w:p w14:paraId="6E3D0BFF" w14:textId="77777777" w:rsidR="00B97365" w:rsidRDefault="00B97365">
                        <w:pPr>
                          <w:jc w:val="center"/>
                          <w:rPr>
                            <w:rFonts w:cs="Arial"/>
                            <w:sz w:val="21"/>
                            <w:lang w:val="en-US"/>
                          </w:rPr>
                        </w:pPr>
                      </w:p>
                    </w:txbxContent>
                  </v:textbox>
                </v:rect>
                <v:rect id="Prostokąt 12" o:spid="_x0000_s1028" style="position:absolute;left:13462;width:13462;height:8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" strokeweight="1pt">
                  <v:textbox style="mso-fit-shape-to-text:t" inset=",0">
                    <w:txbxContent>
                      <w:p w14:paraId="69DE3607" w14:textId="77777777" w:rsidR="00B97365" w:rsidRDefault="00000000">
                        <w:pPr>
                          <w:jc w:val="center"/>
                          <w:rPr>
                            <w:rFonts w:cs="Arial"/>
                            <w:lang w:val="en-US"/>
                          </w:rPr>
                        </w:pPr>
                        <w:r>
                          <w:rPr>
                            <w:rFonts w:cs="Arial"/>
                            <w:lang w:val="en-US"/>
                          </w:rPr>
                          <w:t>Command 85</w:t>
                        </w:r>
                      </w:p>
                      <w:p w14:paraId="0CCB9133" w14:textId="77777777" w:rsidR="00B97365" w:rsidRDefault="00000000">
                        <w:pPr>
                          <w:jc w:val="center"/>
                          <w:rPr>
                            <w:rFonts w:cs="Arial"/>
                            <w:sz w:val="21"/>
                            <w:lang w:val="en-US"/>
                          </w:rPr>
                        </w:pPr>
                        <w:r>
                          <w:rPr>
                            <w:rFonts w:cs="Arial"/>
                            <w:sz w:val="21"/>
                            <w:lang w:val="en-US"/>
                          </w:rPr>
                          <w:t>(generates S-ENC, S-MAC, but they are not used yet)</w:t>
                        </w:r>
                      </w:p>
                    </w:txbxContent>
                  </v:textbox>
                </v:rect>
                <v:rect id="Prostokąt 14" o:spid="_x0000_s1029" style="position:absolute;left:26924;width:13462;height:8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" strokeweight="1pt">
                  <v:textbox inset=",0">
                    <w:txbxContent>
                      <w:p w14:paraId="7A82931F" w14:textId="77777777" w:rsidR="00B97365" w:rsidRDefault="00000000">
                        <w:pPr>
                          <w:jc w:val="center"/>
                          <w:rPr>
                            <w:rFonts w:cs="Arial"/>
                            <w:lang w:val="en-US"/>
                          </w:rPr>
                        </w:pPr>
                        <w:r>
                          <w:rPr>
                            <w:rFonts w:cs="Arial"/>
                            <w:lang w:val="en-US"/>
                          </w:rPr>
                          <w:t>Command 86</w:t>
                        </w:r>
                      </w:p>
                      <w:p w14:paraId="7E52F42F" w14:textId="77777777" w:rsidR="00B97365" w:rsidRDefault="00000000">
                        <w:pPr>
                          <w:jc w:val="center"/>
                          <w:rPr>
                            <w:sz w:val="21"/>
                            <w:lang w:val="en-US"/>
                          </w:rPr>
                        </w:pPr>
                        <w:r>
                          <w:rPr>
                            <w:rFonts w:cs="Arial"/>
                            <w:lang w:val="en-US"/>
                          </w:rPr>
                          <w:t xml:space="preserve"> </w:t>
                        </w:r>
                        <w:r>
                          <w:rPr>
                            <w:sz w:val="21"/>
                            <w:lang w:val="en-US"/>
                          </w:rPr>
                          <w:t>(S-ENC, S-MAC)</w:t>
                        </w:r>
                      </w:p>
                    </w:txbxContent>
                  </v:textbox>
                </v:rect>
                <v:rect id="Prostokąt 17" o:spid="_x0000_s1030" style="position:absolute;top:11990;width:13462;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" strokeweight="1pt">
                  <v:textbox style="mso-fit-shape-to-text:t" inset=",0">
                    <w:txbxContent>
                      <w:p w14:paraId="63EB0CAD" w14:textId="77777777" w:rsidR="00B97365" w:rsidRDefault="00000000">
                        <w:pPr>
                          <w:jc w:val="center"/>
                          <w:rPr>
                            <w:rFonts w:cs="Arial"/>
                            <w:lang w:val="en-US"/>
                          </w:rPr>
                        </w:pPr>
                        <w:r>
                          <w:rPr>
                            <w:rFonts w:cs="Arial"/>
                            <w:lang w:val="en-US"/>
                          </w:rPr>
                          <w:t>Response 84</w:t>
                        </w:r>
                      </w:p>
                      <w:p w14:paraId="4B5239FD" w14:textId="77777777" w:rsidR="00B97365" w:rsidRDefault="00B97365">
                        <w:pPr>
                          <w:jc w:val="center"/>
                          <w:rPr>
                            <w:rFonts w:cs="Arial"/>
                            <w:sz w:val="21"/>
                            <w:lang w:val="en-US"/>
                          </w:rPr>
                        </w:pPr>
                      </w:p>
                    </w:txbxContent>
                  </v:textbox>
                </v:rect>
                <v:rect id="Prostokąt 18" o:spid="_x0000_s1031" style="position:absolute;left:13462;top:11990;width:13462;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" strokeweight="1pt">
                  <v:textbox style="mso-fit-shape-to-text:t" inset=",0">
                    <w:txbxContent>
                      <w:p w14:paraId="65C85D0E" w14:textId="77777777" w:rsidR="00B97365" w:rsidRDefault="00000000">
                        <w:pPr>
                          <w:jc w:val="center"/>
                          <w:rPr>
                            <w:rFonts w:cs="Arial"/>
                            <w:lang w:val="en-US"/>
                          </w:rPr>
                        </w:pPr>
                        <w:r>
                          <w:rPr>
                            <w:rFonts w:cs="Arial"/>
                            <w:lang w:val="en-US"/>
                          </w:rPr>
                          <w:t>Response 85</w:t>
                        </w:r>
                      </w:p>
                      <w:p w14:paraId="52A6D819" w14:textId="77777777" w:rsidR="00B97365" w:rsidRDefault="00B97365">
                        <w:pPr>
                          <w:jc w:val="center"/>
                          <w:rPr>
                            <w:rFonts w:cs="Arial"/>
                            <w:sz w:val="21"/>
                            <w:lang w:val="en-US"/>
                          </w:rPr>
                        </w:pPr>
                      </w:p>
                    </w:txbxContent>
                  </v:textbox>
                </v:rect>
                <v:rect id="Prostokąt 20" o:spid="_x0000_s1032" style="position:absolute;left:26924;top:11990;width:13462;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" strokeweight="1pt">
                  <v:textbox style="mso-fit-shape-to-text:t" inset=",0">
                    <w:txbxContent>
                      <w:p w14:paraId="21BA99D9" w14:textId="77777777" w:rsidR="00B97365" w:rsidRDefault="00000000">
                        <w:pPr>
                          <w:jc w:val="center"/>
                          <w:rPr>
                            <w:rFonts w:cs="Arial"/>
                            <w:lang w:val="en-US"/>
                          </w:rPr>
                        </w:pPr>
                        <w:r>
                          <w:rPr>
                            <w:rFonts w:cs="Arial"/>
                            <w:lang w:val="en-US"/>
                          </w:rPr>
                          <w:t>Response 86</w:t>
                        </w:r>
                      </w:p>
                      <w:p w14:paraId="0EACDB79" w14:textId="77777777" w:rsidR="00B97365" w:rsidRDefault="00000000">
                        <w:pPr>
                          <w:jc w:val="center"/>
                          <w:rPr>
                            <w:rFonts w:cs="Arial"/>
                            <w:sz w:val="21"/>
                            <w:lang w:val="en-US"/>
                          </w:rPr>
                        </w:pPr>
                        <w:r>
                          <w:rPr>
                            <w:rFonts w:cs="Arial"/>
                            <w:sz w:val="21"/>
                            <w:lang w:val="en-US"/>
                          </w:rPr>
                          <w:t>(S-ENC, S-RMAC)</w:t>
                        </w:r>
                      </w:p>
                    </w:txbxContent>
                  </v:textbox>
                </v:rect>
                <v:line id="Łącznik prosty 21" o:spid="_x0000_s1033" style="position:absolute;visibility:visible;mso-wrap-style:square" from="0,5207" to="0,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">
                  <v:stroke dashstyle="1 1"/>
                </v:line>
                <v:line id="Łącznik prosty 22" o:spid="_x0000_s1034" style="position:absolute;flip:x;visibility:visible;mso-wrap-style:square" from="13462,5207" to="13462,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">
                  <v:stroke dashstyle="1 1"/>
                </v:line>
                <v:line id="Łącznik prosty 23" o:spid="_x0000_s1035" style="position:absolute;flip:x;visibility:visible;mso-wrap-style:square" from="26924,5207" to="26924,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">
                  <v:stroke dashstyle="1 1"/>
                </v:line>
                <v:line id="Łącznik prosty 24" o:spid="_x0000_s1036" style="position:absolute;flip:x;visibility:visible;mso-wrap-style:square" from="40386,5207" to="40386,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">
                  <v:stroke dashstyle="1 1"/>
                </v:line>
                <v:shapetype id="_x0000_t32" coordsize="21600,21600" o:spt="32" o:oned="t" path="m,l21600,21600e" filled="f">
                  <v:path arrowok="t" fillok="f" o:connecttype="none"/>
                  <o:lock v:ext="edit" shapetype="t"/>
                </v:shapetype>
                <v:shape id="Łącznik prosty ze strzałką 27" o:spid="_x0000_s1037" type="#_x0000_t32" style="position:absolute;left:6731;top:8867;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Łącznik prosty ze strzałką 28" o:spid="_x0000_s1038" type="#_x0000_t32" style="position:absolute;left:20447;top:8867;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Łącznik prosty ze strzałką 29" o:spid="_x0000_s1039" type="#_x0000_t32" style="position:absolute;left:33655;top:8994;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w10:anchorlock/>
              </v:group>
            </w:pict>
          </mc:Fallback>
        </mc:AlternateContent>
      </w:r>
    </w:p>
    <w:p w14:paraId="74C82DE4" w14:textId="77777777" w:rsidR="00B97365" w:rsidRDefault="00000000">
      <w:pPr>
        <w:tabs>
          <w:tab w:val="left" w:pos="1009"/>
        </w:tabs>
        <w:spacing w:before="0" w:after="200" w:line="276" w:lineRule="auto"/>
        <w:ind w:left="360"/>
        <w:jc w:val="center"/>
        <w:rPr>
          <w:rFonts w:cs="Arial"/>
          <w:b/>
          <w:szCs w:val="22"/>
          <w:lang w:val="en-US" w:eastAsia="en-GB" w:bidi="ar-SA"/>
        </w:rPr>
      </w:pPr>
      <w:r>
        <w:rPr>
          <w:rFonts w:cs="Arial"/>
          <w:b/>
          <w:szCs w:val="22"/>
          <w:lang w:val="en-US" w:eastAsia="en-GB" w:bidi="ar-SA"/>
        </w:rPr>
        <w:t>Figure 4133-A: Key usage for the protection of the SCP03t command and responses when using initial session keys</w:t>
      </w:r>
    </w:p>
    <w:p w14:paraId="3E95877A" w14:textId="77777777" w:rsidR="00B97365" w:rsidRDefault="00B97365">
      <w:pPr>
        <w:jc w:val="center"/>
        <w:rPr>
          <w:lang w:eastAsia="en-GB" w:bidi="ar-SA"/>
        </w:rPr>
      </w:pPr>
    </w:p>
    <w:p w14:paraId="097B32B5" w14:textId="77777777" w:rsidR="00B97365" w:rsidRDefault="00000000">
      <w:pPr>
        <w:jc w:val="center"/>
        <w:rPr>
          <w:lang w:eastAsia="en-GB" w:bidi="ar-SA"/>
        </w:rPr>
      </w:pPr>
      <w:r>
        <w:rPr>
          <w:noProof/>
          <w:lang w:eastAsia="en-GB" w:bidi="ar-SA"/>
        </w:rPr>
        <mc:AlternateContent>
          <mc:Choice Requires="wpg">
            <w:drawing>
              <wp:inline distT="0" distB="0" distL="0" distR="0" wp14:anchorId="4276E6B7" wp14:editId="667DD345">
                <wp:extent cx="5790565" cy="1774784"/>
                <wp:effectExtent l="0" t="0" r="19685" b="1651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0565" cy="1774784"/>
                          <a:chOff x="0" y="0"/>
                          <a:chExt cx="57906" cy="17774"/>
                        </a:xfrm>
                      </wpg:grpSpPr>
                      <wps:wsp>
                        <wps:cNvPr id="21" name="Prostokąt 14"/>
                        <wps:cNvSpPr>
                          <a:spLocks noChangeArrowheads="1"/>
                        </wps:cNvSpPr>
                        <wps:spPr bwMode="auto">
                          <a:xfrm>
                            <a:off x="0" y="0"/>
                            <a:ext cx="13462" cy="832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202403D" w14:textId="77777777" w:rsidR="00B97365" w:rsidRDefault="00000000">
                              <w:pPr>
                                <w:jc w:val="center"/>
                                <w:rPr>
                                  <w:rFonts w:cs="Arial"/>
                                  <w:lang w:val="en-US"/>
                                </w:rPr>
                              </w:pPr>
                              <w:r>
                                <w:rPr>
                                  <w:rFonts w:cs="Arial"/>
                                  <w:lang w:val="en-US"/>
                                </w:rPr>
                                <w:t>Command 84</w:t>
                              </w:r>
                            </w:p>
                            <w:p w14:paraId="7B672C76" w14:textId="77777777" w:rsidR="00B97365" w:rsidRDefault="00B97365">
                              <w:pPr>
                                <w:jc w:val="center"/>
                                <w:rPr>
                                  <w:rFonts w:cs="Arial"/>
                                  <w:sz w:val="21"/>
                                  <w:lang w:val="en-US"/>
                                </w:rPr>
                              </w:pPr>
                            </w:p>
                          </w:txbxContent>
                        </wps:txbx>
                        <wps:bodyPr rot="0" vert="horz" wrap="square" lIns="91440" tIns="0" rIns="91440" bIns="45720" anchor="ctr" anchorCtr="0" upright="1">
                          <a:noAutofit/>
                        </wps:bodyPr>
                      </wps:wsp>
                      <wps:wsp>
                        <wps:cNvPr id="22" name="Prostokąt 17"/>
                        <wps:cNvSpPr>
                          <a:spLocks noChangeArrowheads="1"/>
                        </wps:cNvSpPr>
                        <wps:spPr bwMode="auto">
                          <a:xfrm>
                            <a:off x="13462" y="0"/>
                            <a:ext cx="13462" cy="832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84D7075" w14:textId="77777777" w:rsidR="00B97365" w:rsidRDefault="00000000">
                              <w:pPr>
                                <w:jc w:val="center"/>
                                <w:rPr>
                                  <w:rFonts w:cs="Arial"/>
                                  <w:lang w:val="en-US"/>
                                </w:rPr>
                              </w:pPr>
                              <w:r>
                                <w:rPr>
                                  <w:rFonts w:cs="Arial"/>
                                  <w:lang w:val="en-US"/>
                                </w:rPr>
                                <w:t>Command 85</w:t>
                              </w:r>
                            </w:p>
                            <w:p w14:paraId="7DE02226" w14:textId="77777777" w:rsidR="00B97365" w:rsidRDefault="00000000">
                              <w:pPr>
                                <w:jc w:val="center"/>
                                <w:rPr>
                                  <w:rFonts w:cs="Arial"/>
                                  <w:sz w:val="21"/>
                                  <w:lang w:val="en-US"/>
                                </w:rPr>
                              </w:pPr>
                              <w:r>
                                <w:rPr>
                                  <w:rFonts w:cs="Arial"/>
                                  <w:sz w:val="21"/>
                                  <w:lang w:val="en-US"/>
                                </w:rPr>
                                <w:t>(generates S-ENC, S-MAC, but they are not used yet)</w:t>
                              </w:r>
                            </w:p>
                          </w:txbxContent>
                        </wps:txbx>
                        <wps:bodyPr rot="0" vert="horz" wrap="square" lIns="91440" tIns="0" rIns="91440" bIns="45720" anchor="ctr" anchorCtr="0" upright="1">
                          <a:spAutoFit/>
                        </wps:bodyPr>
                      </wps:wsp>
                      <wps:wsp>
                        <wps:cNvPr id="23" name="Prostokąt 18"/>
                        <wps:cNvSpPr>
                          <a:spLocks noChangeArrowheads="1"/>
                        </wps:cNvSpPr>
                        <wps:spPr bwMode="auto">
                          <a:xfrm>
                            <a:off x="40384" y="0"/>
                            <a:ext cx="17522" cy="832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3FF32F8" w14:textId="77777777" w:rsidR="00B97365" w:rsidRDefault="00000000">
                              <w:pPr>
                                <w:jc w:val="center"/>
                                <w:rPr>
                                  <w:rFonts w:cs="Arial"/>
                                  <w:lang w:val="en-US"/>
                                </w:rPr>
                              </w:pPr>
                              <w:r>
                                <w:rPr>
                                  <w:rFonts w:cs="Arial"/>
                                  <w:lang w:val="en-US"/>
                                </w:rPr>
                                <w:t>Command 86</w:t>
                              </w:r>
                            </w:p>
                            <w:p w14:paraId="505351F9" w14:textId="77777777" w:rsidR="00B97365" w:rsidRDefault="00000000">
                              <w:pPr>
                                <w:jc w:val="center"/>
                                <w:rPr>
                                  <w:rFonts w:cs="Arial"/>
                                  <w:sz w:val="21"/>
                                  <w:lang w:val="en-US"/>
                                </w:rPr>
                              </w:pPr>
                              <w:r>
                                <w:rPr>
                                  <w:rFonts w:cs="Arial"/>
                                  <w:sz w:val="21"/>
                                  <w:lang w:val="en-US"/>
                                </w:rPr>
                                <w:t>(PPK-ENC, PPK-MAC)</w:t>
                              </w:r>
                            </w:p>
                          </w:txbxContent>
                        </wps:txbx>
                        <wps:bodyPr rot="0" vert="horz" wrap="square" lIns="91440" tIns="0" rIns="91440" bIns="45720" anchor="ctr" anchorCtr="0" upright="1">
                          <a:noAutofit/>
                        </wps:bodyPr>
                      </wps:wsp>
                      <wps:wsp>
                        <wps:cNvPr id="25" name="Prostokąt 19"/>
                        <wps:cNvSpPr>
                          <a:spLocks noChangeArrowheads="1"/>
                        </wps:cNvSpPr>
                        <wps:spPr bwMode="auto">
                          <a:xfrm>
                            <a:off x="26924" y="0"/>
                            <a:ext cx="13462" cy="832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2AB05EF" w14:textId="77777777" w:rsidR="00B97365" w:rsidRDefault="00000000">
                              <w:pPr>
                                <w:jc w:val="center"/>
                                <w:rPr>
                                  <w:rFonts w:cs="Arial"/>
                                  <w:lang w:val="en-US"/>
                                </w:rPr>
                              </w:pPr>
                              <w:r>
                                <w:rPr>
                                  <w:rFonts w:cs="Arial"/>
                                  <w:lang w:val="en-US"/>
                                </w:rPr>
                                <w:t>Command 87</w:t>
                              </w:r>
                            </w:p>
                            <w:p w14:paraId="260F8ACD" w14:textId="77777777" w:rsidR="00B97365" w:rsidRDefault="00000000">
                              <w:pPr>
                                <w:jc w:val="center"/>
                                <w:rPr>
                                  <w:rFonts w:cs="Arial"/>
                                  <w:sz w:val="21"/>
                                  <w:lang w:val="en-US"/>
                                </w:rPr>
                              </w:pPr>
                              <w:r>
                                <w:rPr>
                                  <w:rFonts w:cs="Arial"/>
                                  <w:sz w:val="21"/>
                                  <w:lang w:val="en-US"/>
                                </w:rPr>
                                <w:t>(S-ENC, S-MAC)</w:t>
                              </w:r>
                            </w:p>
                          </w:txbxContent>
                        </wps:txbx>
                        <wps:bodyPr rot="0" vert="horz" wrap="square" lIns="91440" tIns="0" rIns="91440" bIns="45720" anchor="ctr" anchorCtr="0" upright="1">
                          <a:noAutofit/>
                        </wps:bodyPr>
                      </wps:wsp>
                      <wps:wsp>
                        <wps:cNvPr id="26" name="Prostokąt 20"/>
                        <wps:cNvSpPr>
                          <a:spLocks noChangeArrowheads="1"/>
                        </wps:cNvSpPr>
                        <wps:spPr bwMode="auto">
                          <a:xfrm>
                            <a:off x="0" y="12521"/>
                            <a:ext cx="13462" cy="525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3FB19523" w14:textId="77777777" w:rsidR="00B97365" w:rsidRDefault="00000000">
                              <w:pPr>
                                <w:jc w:val="center"/>
                                <w:rPr>
                                  <w:rFonts w:cs="Arial"/>
                                  <w:lang w:val="en-US"/>
                                </w:rPr>
                              </w:pPr>
                              <w:r>
                                <w:rPr>
                                  <w:rFonts w:cs="Arial"/>
                                  <w:lang w:val="en-US"/>
                                </w:rPr>
                                <w:t>Response 84</w:t>
                              </w:r>
                            </w:p>
                            <w:p w14:paraId="1AB328C6" w14:textId="77777777" w:rsidR="00B97365" w:rsidRDefault="00B97365">
                              <w:pPr>
                                <w:jc w:val="center"/>
                                <w:rPr>
                                  <w:rFonts w:cs="Arial"/>
                                  <w:sz w:val="21"/>
                                  <w:lang w:val="en-US"/>
                                </w:rPr>
                              </w:pPr>
                            </w:p>
                          </w:txbxContent>
                        </wps:txbx>
                        <wps:bodyPr rot="0" vert="horz" wrap="square" lIns="91440" tIns="0" rIns="91440" bIns="45720" anchor="ctr" anchorCtr="0" upright="1">
                          <a:spAutoFit/>
                        </wps:bodyPr>
                      </wps:wsp>
                      <wps:wsp>
                        <wps:cNvPr id="27" name="Prostokąt 21"/>
                        <wps:cNvSpPr>
                          <a:spLocks noChangeArrowheads="1"/>
                        </wps:cNvSpPr>
                        <wps:spPr bwMode="auto">
                          <a:xfrm>
                            <a:off x="13462" y="12521"/>
                            <a:ext cx="13462" cy="525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75FEBDB" w14:textId="77777777" w:rsidR="00B97365" w:rsidRDefault="00000000">
                              <w:pPr>
                                <w:jc w:val="center"/>
                                <w:rPr>
                                  <w:rFonts w:cs="Arial"/>
                                  <w:lang w:val="en-US"/>
                                </w:rPr>
                              </w:pPr>
                              <w:r>
                                <w:rPr>
                                  <w:rFonts w:cs="Arial"/>
                                  <w:lang w:val="en-US"/>
                                </w:rPr>
                                <w:t>Response 85</w:t>
                              </w:r>
                            </w:p>
                            <w:p w14:paraId="15E81DF5" w14:textId="77777777" w:rsidR="00B97365" w:rsidRDefault="00B97365">
                              <w:pPr>
                                <w:jc w:val="center"/>
                                <w:rPr>
                                  <w:rFonts w:cs="Arial"/>
                                  <w:sz w:val="21"/>
                                  <w:lang w:val="en-US"/>
                                </w:rPr>
                              </w:pPr>
                            </w:p>
                          </w:txbxContent>
                        </wps:txbx>
                        <wps:bodyPr rot="0" vert="horz" wrap="square" lIns="91440" tIns="0" rIns="91440" bIns="45720" anchor="ctr" anchorCtr="0" upright="1">
                          <a:spAutoFit/>
                        </wps:bodyPr>
                      </wps:wsp>
                      <wps:wsp>
                        <wps:cNvPr id="28" name="Prostokąt 22"/>
                        <wps:cNvSpPr>
                          <a:spLocks noChangeArrowheads="1"/>
                        </wps:cNvSpPr>
                        <wps:spPr bwMode="auto">
                          <a:xfrm>
                            <a:off x="40374" y="12521"/>
                            <a:ext cx="17532" cy="525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0695FA6D" w14:textId="77777777" w:rsidR="00B97365" w:rsidRDefault="00000000">
                              <w:pPr>
                                <w:jc w:val="center"/>
                                <w:rPr>
                                  <w:rFonts w:cs="Arial"/>
                                  <w:lang w:val="en-US"/>
                                </w:rPr>
                              </w:pPr>
                              <w:r>
                                <w:rPr>
                                  <w:rFonts w:cs="Arial"/>
                                  <w:lang w:val="en-US"/>
                                </w:rPr>
                                <w:t>Response 86</w:t>
                              </w:r>
                            </w:p>
                            <w:p w14:paraId="42B4E484" w14:textId="77777777" w:rsidR="00B97365" w:rsidRDefault="00000000">
                              <w:pPr>
                                <w:jc w:val="center"/>
                                <w:rPr>
                                  <w:rFonts w:cs="Arial"/>
                                  <w:sz w:val="21"/>
                                  <w:lang w:val="en-US"/>
                                </w:rPr>
                              </w:pPr>
                              <w:r>
                                <w:rPr>
                                  <w:rFonts w:cs="Arial"/>
                                  <w:sz w:val="21"/>
                                  <w:lang w:val="en-US"/>
                                </w:rPr>
                                <w:t>(PPK-ENC, PPK-RMAC)</w:t>
                              </w:r>
                            </w:p>
                          </w:txbxContent>
                        </wps:txbx>
                        <wps:bodyPr rot="0" vert="horz" wrap="square" lIns="91440" tIns="0" rIns="91440" bIns="45720" anchor="ctr" anchorCtr="0" upright="1">
                          <a:spAutoFit/>
                        </wps:bodyPr>
                      </wps:wsp>
                      <wps:wsp>
                        <wps:cNvPr id="29" name="Prostokąt 23"/>
                        <wps:cNvSpPr>
                          <a:spLocks noChangeArrowheads="1"/>
                        </wps:cNvSpPr>
                        <wps:spPr bwMode="auto">
                          <a:xfrm>
                            <a:off x="26924" y="12521"/>
                            <a:ext cx="13462" cy="525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466B404" w14:textId="77777777" w:rsidR="00B97365" w:rsidRDefault="00000000">
                              <w:pPr>
                                <w:jc w:val="center"/>
                                <w:rPr>
                                  <w:rFonts w:cs="Arial"/>
                                  <w:lang w:val="en-US"/>
                                </w:rPr>
                              </w:pPr>
                              <w:r>
                                <w:rPr>
                                  <w:rFonts w:cs="Arial"/>
                                  <w:lang w:val="en-US"/>
                                </w:rPr>
                                <w:t>Response 87</w:t>
                              </w:r>
                            </w:p>
                            <w:p w14:paraId="0314D486" w14:textId="77777777" w:rsidR="00B97365" w:rsidRDefault="00B97365">
                              <w:pPr>
                                <w:jc w:val="center"/>
                                <w:rPr>
                                  <w:rFonts w:cs="Arial"/>
                                  <w:sz w:val="21"/>
                                  <w:lang w:val="en-US"/>
                                </w:rPr>
                              </w:pPr>
                            </w:p>
                          </w:txbxContent>
                        </wps:txbx>
                        <wps:bodyPr rot="0" vert="horz" wrap="square" lIns="91440" tIns="0" rIns="91440" bIns="45720" anchor="ctr" anchorCtr="0" upright="1">
                          <a:spAutoFit/>
                        </wps:bodyPr>
                      </wps:wsp>
                      <wps:wsp>
                        <wps:cNvPr id="30" name="Łącznik prosty 24"/>
                        <wps:cNvCnPr>
                          <a:cxnSpLocks noChangeShapeType="1"/>
                        </wps:cNvCnPr>
                        <wps:spPr bwMode="auto">
                          <a:xfrm>
                            <a:off x="0" y="7990"/>
                            <a:ext cx="0" cy="4534"/>
                          </a:xfrm>
                          <a:prstGeom prst="line">
                            <a:avLst/>
                          </a:prstGeom>
                          <a:noFill/>
                          <a:ln w="9525">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31" name="Łącznik prosty 25"/>
                        <wps:cNvCnPr>
                          <a:cxnSpLocks noChangeShapeType="1"/>
                        </wps:cNvCnPr>
                        <wps:spPr bwMode="auto">
                          <a:xfrm flipH="1">
                            <a:off x="13462" y="8506"/>
                            <a:ext cx="0" cy="4572"/>
                          </a:xfrm>
                          <a:prstGeom prst="line">
                            <a:avLst/>
                          </a:prstGeom>
                          <a:noFill/>
                          <a:ln w="9525">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288" name="Łącznik prosty 27"/>
                        <wps:cNvCnPr>
                          <a:cxnSpLocks noChangeShapeType="1"/>
                        </wps:cNvCnPr>
                        <wps:spPr bwMode="auto">
                          <a:xfrm flipH="1">
                            <a:off x="26923" y="7694"/>
                            <a:ext cx="0" cy="4534"/>
                          </a:xfrm>
                          <a:prstGeom prst="line">
                            <a:avLst/>
                          </a:prstGeom>
                          <a:noFill/>
                          <a:ln w="9525">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289" name="Łącznik prosty 28"/>
                        <wps:cNvCnPr>
                          <a:cxnSpLocks noChangeShapeType="1"/>
                        </wps:cNvCnPr>
                        <wps:spPr bwMode="auto">
                          <a:xfrm flipH="1">
                            <a:off x="40376" y="7990"/>
                            <a:ext cx="0" cy="4534"/>
                          </a:xfrm>
                          <a:prstGeom prst="line">
                            <a:avLst/>
                          </a:prstGeom>
                          <a:noFill/>
                          <a:ln w="9525">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290" name="Łącznik prosty 30"/>
                        <wps:cNvCnPr>
                          <a:cxnSpLocks noChangeShapeType="1"/>
                        </wps:cNvCnPr>
                        <wps:spPr bwMode="auto">
                          <a:xfrm flipH="1">
                            <a:off x="57906" y="7694"/>
                            <a:ext cx="0" cy="4534"/>
                          </a:xfrm>
                          <a:prstGeom prst="line">
                            <a:avLst/>
                          </a:prstGeom>
                          <a:noFill/>
                          <a:ln w="9525">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291" name="Łącznik prosty ze strzałką 34"/>
                        <wps:cNvCnPr>
                          <a:cxnSpLocks noChangeShapeType="1"/>
                        </wps:cNvCnPr>
                        <wps:spPr bwMode="auto">
                          <a:xfrm>
                            <a:off x="6731" y="8890"/>
                            <a:ext cx="0" cy="2413"/>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292" name="Łącznik prosty ze strzałką 38"/>
                        <wps:cNvCnPr>
                          <a:cxnSpLocks noChangeShapeType="1"/>
                        </wps:cNvCnPr>
                        <wps:spPr bwMode="auto">
                          <a:xfrm>
                            <a:off x="20447" y="8890"/>
                            <a:ext cx="0" cy="2413"/>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293" name="Łącznik prosty ze strzałką 39"/>
                        <wps:cNvCnPr>
                          <a:cxnSpLocks noChangeShapeType="1"/>
                        </wps:cNvCnPr>
                        <wps:spPr bwMode="auto">
                          <a:xfrm>
                            <a:off x="33655" y="8890"/>
                            <a:ext cx="0" cy="2413"/>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294" name="Łącznik prosty ze strzałką 40"/>
                        <wps:cNvCnPr>
                          <a:cxnSpLocks noChangeShapeType="1"/>
                        </wps:cNvCnPr>
                        <wps:spPr bwMode="auto">
                          <a:xfrm>
                            <a:off x="49657" y="8890"/>
                            <a:ext cx="0" cy="2413"/>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276E6B7" id="Group 20" o:spid="_x0000_s1040" style="width:455.95pt;height:139.75pt;mso-position-horizontal-relative:char;mso-position-vertical-relative:line" coordsize="57906,1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">
                <v:rect id="Prostokąt 14" o:spid="_x0000_s1041" style="position:absolute;width:13462;height:8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" strokeweight="1pt">
                  <v:textbox inset=",0">
                    <w:txbxContent>
                      <w:p w14:paraId="1202403D" w14:textId="77777777" w:rsidR="00B97365" w:rsidRDefault="00000000">
                        <w:pPr>
                          <w:jc w:val="center"/>
                          <w:rPr>
                            <w:rFonts w:cs="Arial"/>
                            <w:lang w:val="en-US"/>
                          </w:rPr>
                        </w:pPr>
                        <w:r>
                          <w:rPr>
                            <w:rFonts w:cs="Arial"/>
                            <w:lang w:val="en-US"/>
                          </w:rPr>
                          <w:t>Command 84</w:t>
                        </w:r>
                      </w:p>
                      <w:p w14:paraId="7B672C76" w14:textId="77777777" w:rsidR="00B97365" w:rsidRDefault="00B97365">
                        <w:pPr>
                          <w:jc w:val="center"/>
                          <w:rPr>
                            <w:rFonts w:cs="Arial"/>
                            <w:sz w:val="21"/>
                            <w:lang w:val="en-US"/>
                          </w:rPr>
                        </w:pPr>
                      </w:p>
                    </w:txbxContent>
                  </v:textbox>
                </v:rect>
                <v:rect id="Prostokąt 17" o:spid="_x0000_s1042" style="position:absolute;left:13462;width:13462;height:8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" strokeweight="1pt">
                  <v:textbox style="mso-fit-shape-to-text:t" inset=",0">
                    <w:txbxContent>
                      <w:p w14:paraId="684D7075" w14:textId="77777777" w:rsidR="00B97365" w:rsidRDefault="00000000">
                        <w:pPr>
                          <w:jc w:val="center"/>
                          <w:rPr>
                            <w:rFonts w:cs="Arial"/>
                            <w:lang w:val="en-US"/>
                          </w:rPr>
                        </w:pPr>
                        <w:r>
                          <w:rPr>
                            <w:rFonts w:cs="Arial"/>
                            <w:lang w:val="en-US"/>
                          </w:rPr>
                          <w:t>Command 85</w:t>
                        </w:r>
                      </w:p>
                      <w:p w14:paraId="7DE02226" w14:textId="77777777" w:rsidR="00B97365" w:rsidRDefault="00000000">
                        <w:pPr>
                          <w:jc w:val="center"/>
                          <w:rPr>
                            <w:rFonts w:cs="Arial"/>
                            <w:sz w:val="21"/>
                            <w:lang w:val="en-US"/>
                          </w:rPr>
                        </w:pPr>
                        <w:r>
                          <w:rPr>
                            <w:rFonts w:cs="Arial"/>
                            <w:sz w:val="21"/>
                            <w:lang w:val="en-US"/>
                          </w:rPr>
                          <w:t>(generates S-ENC, S-MAC, but they are not used yet)</w:t>
                        </w:r>
                      </w:p>
                    </w:txbxContent>
                  </v:textbox>
                </v:rect>
                <v:rect id="Prostokąt 18" o:spid="_x0000_s1043" style="position:absolute;left:40384;width:17522;height:8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" strokeweight="1pt">
                  <v:textbox inset=",0">
                    <w:txbxContent>
                      <w:p w14:paraId="63FF32F8" w14:textId="77777777" w:rsidR="00B97365" w:rsidRDefault="00000000">
                        <w:pPr>
                          <w:jc w:val="center"/>
                          <w:rPr>
                            <w:rFonts w:cs="Arial"/>
                            <w:lang w:val="en-US"/>
                          </w:rPr>
                        </w:pPr>
                        <w:r>
                          <w:rPr>
                            <w:rFonts w:cs="Arial"/>
                            <w:lang w:val="en-US"/>
                          </w:rPr>
                          <w:t>Command 86</w:t>
                        </w:r>
                      </w:p>
                      <w:p w14:paraId="505351F9" w14:textId="77777777" w:rsidR="00B97365" w:rsidRDefault="00000000">
                        <w:pPr>
                          <w:jc w:val="center"/>
                          <w:rPr>
                            <w:rFonts w:cs="Arial"/>
                            <w:sz w:val="21"/>
                            <w:lang w:val="en-US"/>
                          </w:rPr>
                        </w:pPr>
                        <w:r>
                          <w:rPr>
                            <w:rFonts w:cs="Arial"/>
                            <w:sz w:val="21"/>
                            <w:lang w:val="en-US"/>
                          </w:rPr>
                          <w:t>(PPK-ENC, PPK-MAC)</w:t>
                        </w:r>
                      </w:p>
                    </w:txbxContent>
                  </v:textbox>
                </v:rect>
                <v:rect id="Prostokąt 19" o:spid="_x0000_s1044" style="position:absolute;left:26924;width:13462;height:8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" strokeweight="1pt">
                  <v:textbox inset=",0">
                    <w:txbxContent>
                      <w:p w14:paraId="72AB05EF" w14:textId="77777777" w:rsidR="00B97365" w:rsidRDefault="00000000">
                        <w:pPr>
                          <w:jc w:val="center"/>
                          <w:rPr>
                            <w:rFonts w:cs="Arial"/>
                            <w:lang w:val="en-US"/>
                          </w:rPr>
                        </w:pPr>
                        <w:r>
                          <w:rPr>
                            <w:rFonts w:cs="Arial"/>
                            <w:lang w:val="en-US"/>
                          </w:rPr>
                          <w:t>Command 87</w:t>
                        </w:r>
                      </w:p>
                      <w:p w14:paraId="260F8ACD" w14:textId="77777777" w:rsidR="00B97365" w:rsidRDefault="00000000">
                        <w:pPr>
                          <w:jc w:val="center"/>
                          <w:rPr>
                            <w:rFonts w:cs="Arial"/>
                            <w:sz w:val="21"/>
                            <w:lang w:val="en-US"/>
                          </w:rPr>
                        </w:pPr>
                        <w:r>
                          <w:rPr>
                            <w:rFonts w:cs="Arial"/>
                            <w:sz w:val="21"/>
                            <w:lang w:val="en-US"/>
                          </w:rPr>
                          <w:t>(S-ENC, S-MAC)</w:t>
                        </w:r>
                      </w:p>
                    </w:txbxContent>
                  </v:textbox>
                </v:rect>
                <v:rect id="Prostokąt 20" o:spid="_x0000_s1045" style="position:absolute;top:12521;width:13462;height: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" strokeweight="1pt">
                  <v:textbox style="mso-fit-shape-to-text:t" inset=",0">
                    <w:txbxContent>
                      <w:p w14:paraId="3FB19523" w14:textId="77777777" w:rsidR="00B97365" w:rsidRDefault="00000000">
                        <w:pPr>
                          <w:jc w:val="center"/>
                          <w:rPr>
                            <w:rFonts w:cs="Arial"/>
                            <w:lang w:val="en-US"/>
                          </w:rPr>
                        </w:pPr>
                        <w:r>
                          <w:rPr>
                            <w:rFonts w:cs="Arial"/>
                            <w:lang w:val="en-US"/>
                          </w:rPr>
                          <w:t>Response 84</w:t>
                        </w:r>
                      </w:p>
                      <w:p w14:paraId="1AB328C6" w14:textId="77777777" w:rsidR="00B97365" w:rsidRDefault="00B97365">
                        <w:pPr>
                          <w:jc w:val="center"/>
                          <w:rPr>
                            <w:rFonts w:cs="Arial"/>
                            <w:sz w:val="21"/>
                            <w:lang w:val="en-US"/>
                          </w:rPr>
                        </w:pPr>
                      </w:p>
                    </w:txbxContent>
                  </v:textbox>
                </v:rect>
                <v:rect id="Prostokąt 21" o:spid="_x0000_s1046" style="position:absolute;left:13462;top:12521;width:13462;height: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" strokeweight="1pt">
                  <v:textbox style="mso-fit-shape-to-text:t" inset=",0">
                    <w:txbxContent>
                      <w:p w14:paraId="575FEBDB" w14:textId="77777777" w:rsidR="00B97365" w:rsidRDefault="00000000">
                        <w:pPr>
                          <w:jc w:val="center"/>
                          <w:rPr>
                            <w:rFonts w:cs="Arial"/>
                            <w:lang w:val="en-US"/>
                          </w:rPr>
                        </w:pPr>
                        <w:r>
                          <w:rPr>
                            <w:rFonts w:cs="Arial"/>
                            <w:lang w:val="en-US"/>
                          </w:rPr>
                          <w:t>Response 85</w:t>
                        </w:r>
                      </w:p>
                      <w:p w14:paraId="15E81DF5" w14:textId="77777777" w:rsidR="00B97365" w:rsidRDefault="00B97365">
                        <w:pPr>
                          <w:jc w:val="center"/>
                          <w:rPr>
                            <w:rFonts w:cs="Arial"/>
                            <w:sz w:val="21"/>
                            <w:lang w:val="en-US"/>
                          </w:rPr>
                        </w:pPr>
                      </w:p>
                    </w:txbxContent>
                  </v:textbox>
                </v:rect>
                <v:rect id="Prostokąt 22" o:spid="_x0000_s1047" style="position:absolute;left:40374;top:12521;width:17532;height: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" strokeweight="1pt">
                  <v:textbox style="mso-fit-shape-to-text:t" inset=",0">
                    <w:txbxContent>
                      <w:p w14:paraId="0695FA6D" w14:textId="77777777" w:rsidR="00B97365" w:rsidRDefault="00000000">
                        <w:pPr>
                          <w:jc w:val="center"/>
                          <w:rPr>
                            <w:rFonts w:cs="Arial"/>
                            <w:lang w:val="en-US"/>
                          </w:rPr>
                        </w:pPr>
                        <w:r>
                          <w:rPr>
                            <w:rFonts w:cs="Arial"/>
                            <w:lang w:val="en-US"/>
                          </w:rPr>
                          <w:t>Response 86</w:t>
                        </w:r>
                      </w:p>
                      <w:p w14:paraId="42B4E484" w14:textId="77777777" w:rsidR="00B97365" w:rsidRDefault="00000000">
                        <w:pPr>
                          <w:jc w:val="center"/>
                          <w:rPr>
                            <w:rFonts w:cs="Arial"/>
                            <w:sz w:val="21"/>
                            <w:lang w:val="en-US"/>
                          </w:rPr>
                        </w:pPr>
                        <w:r>
                          <w:rPr>
                            <w:rFonts w:cs="Arial"/>
                            <w:sz w:val="21"/>
                            <w:lang w:val="en-US"/>
                          </w:rPr>
                          <w:t>(PPK-ENC, PPK-RMAC)</w:t>
                        </w:r>
                      </w:p>
                    </w:txbxContent>
                  </v:textbox>
                </v:rect>
                <v:rect id="Prostokąt 23" o:spid="_x0000_s1048" style="position:absolute;left:26924;top:12521;width:13462;height: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" strokeweight="1pt">
                  <v:textbox style="mso-fit-shape-to-text:t" inset=",0">
                    <w:txbxContent>
                      <w:p w14:paraId="5466B404" w14:textId="77777777" w:rsidR="00B97365" w:rsidRDefault="00000000">
                        <w:pPr>
                          <w:jc w:val="center"/>
                          <w:rPr>
                            <w:rFonts w:cs="Arial"/>
                            <w:lang w:val="en-US"/>
                          </w:rPr>
                        </w:pPr>
                        <w:r>
                          <w:rPr>
                            <w:rFonts w:cs="Arial"/>
                            <w:lang w:val="en-US"/>
                          </w:rPr>
                          <w:t>Response 87</w:t>
                        </w:r>
                      </w:p>
                      <w:p w14:paraId="0314D486" w14:textId="77777777" w:rsidR="00B97365" w:rsidRDefault="00B97365">
                        <w:pPr>
                          <w:jc w:val="center"/>
                          <w:rPr>
                            <w:rFonts w:cs="Arial"/>
                            <w:sz w:val="21"/>
                            <w:lang w:val="en-US"/>
                          </w:rPr>
                        </w:pPr>
                      </w:p>
                    </w:txbxContent>
                  </v:textbox>
                </v:rect>
                <v:line id="Łącznik prosty 24" o:spid="_x0000_s1049" style="position:absolute;visibility:visible;mso-wrap-style:square" from="0,7990" to="0,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">
                  <v:stroke dashstyle="1 1"/>
                </v:line>
                <v:line id="Łącznik prosty 25" o:spid="_x0000_s1050" style="position:absolute;flip:x;visibility:visible;mso-wrap-style:square" from="13462,8506" to="13462,1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">
                  <v:stroke dashstyle="1 1"/>
                </v:line>
                <v:line id="Łącznik prosty 27" o:spid="_x0000_s1051" style="position:absolute;flip:x;visibility:visible;mso-wrap-style:square" from="26923,7694" to="26923,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">
                  <v:stroke dashstyle="1 1"/>
                </v:line>
                <v:line id="Łącznik prosty 28" o:spid="_x0000_s1052" style="position:absolute;flip:x;visibility:visible;mso-wrap-style:square" from="40376,7990" to="40376,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">
                  <v:stroke dashstyle="1 1"/>
                </v:line>
                <v:line id="Łącznik prosty 30" o:spid="_x0000_s1053" style="position:absolute;flip:x;visibility:visible;mso-wrap-style:square" from="57906,7694" to="57906,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">
                  <v:stroke dashstyle="1 1"/>
                </v:line>
                <v:shape id="Łącznik prosty ze strzałką 34" o:spid="_x0000_s1054" type="#_x0000_t32" style="position:absolute;left:6731;top:8890;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">
                  <v:stroke endarrow="block"/>
                </v:shape>
                <v:shape id="Łącznik prosty ze strzałką 38" o:spid="_x0000_s1055" type="#_x0000_t32" style="position:absolute;left:20447;top:8890;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">
                  <v:stroke endarrow="block"/>
                </v:shape>
                <v:shape id="Łącznik prosty ze strzałką 39" o:spid="_x0000_s1056" type="#_x0000_t32" style="position:absolute;left:33655;top:8890;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QY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NEJEGMYAAADcAAAA&#10;DwAAAAAAAAAAAAAAAAAHAgAAZHJzL2Rvd25yZXYueG1sUEsFBgAAAAADAAMAtwAAAPoCAAAAAA==&#10;">
                  <v:stroke endarrow="block"/>
                </v:shape>
                <v:shape id="Łącznik prosty ze strzałką 40" o:spid="_x0000_s1057" type="#_x0000_t32" style="position:absolute;left:49657;top:8890;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w10:anchorlock/>
              </v:group>
            </w:pict>
          </mc:Fallback>
        </mc:AlternateContent>
      </w:r>
    </w:p>
    <w:p w14:paraId="565505FF" w14:textId="77777777" w:rsidR="00B97365" w:rsidRDefault="00000000">
      <w:pPr>
        <w:tabs>
          <w:tab w:val="left" w:pos="1009"/>
        </w:tabs>
        <w:spacing w:before="0" w:after="200" w:line="276" w:lineRule="auto"/>
        <w:ind w:left="360"/>
        <w:jc w:val="center"/>
        <w:rPr>
          <w:rFonts w:cs="Arial"/>
          <w:b/>
          <w:szCs w:val="22"/>
          <w:lang w:val="en-US" w:eastAsia="en-GB" w:bidi="ar-SA"/>
        </w:rPr>
      </w:pPr>
      <w:r>
        <w:rPr>
          <w:rFonts w:cs="Arial"/>
          <w:b/>
          <w:szCs w:val="22"/>
          <w:lang w:val="en-US" w:eastAsia="en-GB" w:bidi="ar-SA"/>
        </w:rPr>
        <w:t>Figure 4133-B: Key usage for the protection of the SCP03t command and responses when using random keys</w:t>
      </w:r>
    </w:p>
    <w:p w14:paraId="16D3E2FA" w14:textId="77777777" w:rsidR="00B97365" w:rsidRDefault="00000000">
      <w:pPr>
        <w:rPr>
          <w:lang w:eastAsia="en-GB" w:bidi="ar-SA"/>
        </w:rPr>
      </w:pPr>
      <w:r>
        <w:rPr>
          <w:lang w:eastAsia="en-GB" w:bidi="ar-SA"/>
        </w:rPr>
        <w:t xml:space="preserve">If random key mode is selected by the SM-DP, the initial MAC chaining value to be used for the first segment of the profile protection is provided together with the random keys and the encryption counter for ICV calculation is reset to its initial state (i.e. the value on 16 bytes is '00…01'). Otherwise the MAC chaining method SHALL be applied (i.e. the MAC chaining value of the previous command TLV SHALL be used). </w:t>
      </w:r>
    </w:p>
    <w:p w14:paraId="59B75468" w14:textId="77777777" w:rsidR="00B97365" w:rsidRDefault="00000000">
      <w:pPr>
        <w:rPr>
          <w:lang w:eastAsia="en-GB" w:bidi="ar-SA"/>
        </w:rPr>
      </w:pPr>
      <w:r>
        <w:rPr>
          <w:lang w:eastAsia="en-GB" w:bidi="ar-SA"/>
        </w:rPr>
        <w:t>PPK-ENC, PPK-MAC and PPK-RMAC SHALL have the same length as S-ENC, S-MAC, S-RMAC.</w:t>
      </w:r>
    </w:p>
    <w:p w14:paraId="692DED79" w14:textId="77777777" w:rsidR="00B97365" w:rsidRDefault="00000000">
      <w:pPr>
        <w:rPr>
          <w:lang w:eastAsia="en-GB" w:bidi="ar-SA"/>
        </w:rPr>
      </w:pPr>
      <w:r>
        <w:rPr>
          <w:lang w:eastAsia="en-GB" w:bidi="ar-SA"/>
        </w:rPr>
        <w:t>It is the SM-DP choice whether to use this random keyset (PPK-ENC, PPK-MAC and PPK-RMAC). This mode allows performing Profile Protection in advance without having any eUICC knowledge. It may help to provide a better SM-DP scalability. The eUICC SHALL be able to support both modes.</w:t>
      </w:r>
    </w:p>
    <w:p w14:paraId="21FC370A" w14:textId="77777777" w:rsidR="00B97365" w:rsidRDefault="00000000">
      <w:pPr>
        <w:rPr>
          <w:lang w:eastAsia="en-GB" w:bidi="ar-SA"/>
        </w:rPr>
      </w:pPr>
      <w:r>
        <w:rPr>
          <w:lang w:eastAsia="en-GB" w:bidi="ar-SA"/>
        </w:rPr>
        <w:t>Session keys and, if used, the random keys SHALL only be used in the Profile download process. They SHALL be deleted on the eUICC at the latest at the end of the process.</w:t>
      </w:r>
    </w:p>
    <w:p w14:paraId="63D84CAD" w14:textId="77777777" w:rsidR="00B97365" w:rsidRDefault="00000000">
      <w:pPr>
        <w:rPr>
          <w:lang w:eastAsia="en-GB" w:bidi="ar-SA"/>
        </w:rPr>
      </w:pPr>
      <w:r>
        <w:rPr>
          <w:lang w:eastAsia="en-GB" w:bidi="ar-SA"/>
        </w:rPr>
        <w:lastRenderedPageBreak/>
        <w:t>In case of failure during the first attempt to download a Profile, the PPK-RMAC SHALL NOT be reused again. The SM-DP SHALL regenerate a new PPK-RMAC for every retry.</w:t>
      </w:r>
    </w:p>
    <w:p w14:paraId="7C028513" w14:textId="77777777" w:rsidR="00B97365" w:rsidRDefault="00000000">
      <w:pPr>
        <w:rPr>
          <w:lang w:eastAsia="en-GB" w:bidi="ar-SA"/>
        </w:rPr>
      </w:pPr>
      <w:r>
        <w:rPr>
          <w:rFonts w:cs="Arial"/>
          <w:b/>
          <w:szCs w:val="22"/>
          <w:lang w:val="en-US" w:eastAsia="en-GB" w:bidi="ar-SA"/>
        </w:rPr>
        <w:t>Replace session key command TLV</w:t>
      </w:r>
    </w:p>
    <w:p w14:paraId="07B83041" w14:textId="77777777" w:rsidR="00B97365" w:rsidRDefault="00000000">
      <w:pPr>
        <w:rPr>
          <w:lang w:eastAsia="en-GB" w:bidi="ar-SA"/>
        </w:rPr>
      </w:pPr>
      <w:r>
        <w:rPr>
          <w:lang w:eastAsia="en-GB" w:bidi="ar-SA"/>
        </w:rPr>
        <w:t>This command is used, during the download of a Protected Profile, to replace the SCP03t session keys (S-ENC, S-MAC and S-RMAC) by a new set of session keys (typically the PPK-ENC, PPK-MAC and PPK-RMAC) protecting the command and response TLVs. Note that all keys (S-ENC, S-MAC and S-RMAC) have to be replaced. This command doesn't allow to replace only a part of the session keys. The response SHALL be encrypted by PPK-ENC and MAC-ed by PPK-RMAC, where PPK-RMAC SHALL be different for each download attempt of the same Profile.</w:t>
      </w:r>
    </w:p>
    <w:p w14:paraId="401FD4F3" w14:textId="77777777" w:rsidR="00B97365" w:rsidRDefault="00000000">
      <w:pPr>
        <w:rPr>
          <w:lang w:eastAsia="en-GB" w:bidi="ar-SA"/>
        </w:rPr>
      </w:pPr>
      <w:r>
        <w:rPr>
          <w:lang w:eastAsia="en-GB" w:bidi="ar-SA"/>
        </w:rPr>
        <w:t>The following data SHALL be encapsulated in a BER-TLV with tag '87':</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492"/>
        <w:gridCol w:w="972"/>
        <w:gridCol w:w="1943"/>
        <w:gridCol w:w="708"/>
      </w:tblGrid>
      <w:tr w:rsidR="00B97365" w14:paraId="2817E475" w14:textId="77777777">
        <w:trPr>
          <w:cantSplit/>
          <w:tblHeader/>
          <w:jc w:val="center"/>
        </w:trPr>
        <w:tc>
          <w:tcPr>
            <w:tcW w:w="492" w:type="dxa"/>
            <w:tcBorders>
              <w:top w:val="single" w:sz="4" w:space="0" w:color="auto"/>
              <w:left w:val="single" w:sz="4" w:space="0" w:color="auto"/>
              <w:bottom w:val="single" w:sz="6" w:space="0" w:color="auto"/>
              <w:right w:val="single" w:sz="6" w:space="0" w:color="auto"/>
            </w:tcBorders>
            <w:shd w:val="clear" w:color="auto" w:fill="C00000"/>
            <w:hideMark/>
          </w:tcPr>
          <w:p w14:paraId="203955FB" w14:textId="77777777" w:rsidR="00B97365" w:rsidRDefault="00000000">
            <w:pPr>
              <w:rPr>
                <w:rFonts w:cs="Arial"/>
                <w:b/>
                <w:color w:val="FFFFFF"/>
                <w:sz w:val="16"/>
                <w:szCs w:val="16"/>
              </w:rPr>
            </w:pPr>
            <w:r>
              <w:rPr>
                <w:rFonts w:cs="Arial"/>
                <w:b/>
                <w:color w:val="FFFFFF"/>
                <w:sz w:val="16"/>
                <w:szCs w:val="16"/>
              </w:rPr>
              <w:t>Tag</w:t>
            </w:r>
          </w:p>
        </w:tc>
        <w:tc>
          <w:tcPr>
            <w:tcW w:w="972" w:type="dxa"/>
            <w:tcBorders>
              <w:top w:val="single" w:sz="4" w:space="0" w:color="auto"/>
              <w:left w:val="single" w:sz="6" w:space="0" w:color="auto"/>
              <w:bottom w:val="single" w:sz="6" w:space="0" w:color="auto"/>
              <w:right w:val="single" w:sz="6" w:space="0" w:color="auto"/>
            </w:tcBorders>
            <w:shd w:val="clear" w:color="auto" w:fill="C00000"/>
            <w:hideMark/>
          </w:tcPr>
          <w:p w14:paraId="52A440A5" w14:textId="77777777" w:rsidR="00B97365" w:rsidRDefault="00000000">
            <w:pPr>
              <w:rPr>
                <w:rFonts w:cs="Arial"/>
                <w:b/>
                <w:color w:val="FFFFFF"/>
                <w:sz w:val="16"/>
                <w:szCs w:val="16"/>
              </w:rPr>
            </w:pPr>
            <w:r>
              <w:rPr>
                <w:rFonts w:cs="Arial"/>
                <w:b/>
                <w:color w:val="FFFFFF"/>
                <w:sz w:val="16"/>
                <w:szCs w:val="16"/>
              </w:rPr>
              <w:t>Length</w:t>
            </w:r>
          </w:p>
        </w:tc>
        <w:tc>
          <w:tcPr>
            <w:tcW w:w="1943" w:type="dxa"/>
            <w:tcBorders>
              <w:top w:val="single" w:sz="4" w:space="0" w:color="auto"/>
              <w:left w:val="single" w:sz="6" w:space="0" w:color="auto"/>
              <w:bottom w:val="single" w:sz="6" w:space="0" w:color="auto"/>
              <w:right w:val="single" w:sz="6" w:space="0" w:color="auto"/>
            </w:tcBorders>
            <w:shd w:val="clear" w:color="auto" w:fill="C00000"/>
            <w:hideMark/>
          </w:tcPr>
          <w:p w14:paraId="0250D835" w14:textId="77777777" w:rsidR="00B97365" w:rsidRDefault="00000000">
            <w:pPr>
              <w:rPr>
                <w:rFonts w:cs="Arial"/>
                <w:b/>
                <w:color w:val="FFFFFF"/>
                <w:sz w:val="16"/>
                <w:szCs w:val="16"/>
              </w:rPr>
            </w:pPr>
            <w:r>
              <w:rPr>
                <w:rFonts w:cs="Arial"/>
                <w:b/>
                <w:color w:val="FFFFFF"/>
                <w:sz w:val="16"/>
                <w:szCs w:val="16"/>
              </w:rPr>
              <w:t xml:space="preserve">Value description </w:t>
            </w:r>
          </w:p>
        </w:tc>
        <w:tc>
          <w:tcPr>
            <w:tcW w:w="708" w:type="dxa"/>
            <w:tcBorders>
              <w:top w:val="single" w:sz="4" w:space="0" w:color="auto"/>
              <w:left w:val="single" w:sz="6" w:space="0" w:color="auto"/>
              <w:bottom w:val="single" w:sz="6" w:space="0" w:color="auto"/>
              <w:right w:val="single" w:sz="4" w:space="0" w:color="auto"/>
            </w:tcBorders>
            <w:shd w:val="clear" w:color="auto" w:fill="C00000"/>
            <w:hideMark/>
          </w:tcPr>
          <w:p w14:paraId="728309B2" w14:textId="77777777" w:rsidR="00B97365" w:rsidRDefault="00000000">
            <w:pPr>
              <w:rPr>
                <w:rFonts w:cs="Arial"/>
                <w:b/>
                <w:color w:val="FFFFFF"/>
                <w:sz w:val="16"/>
                <w:szCs w:val="16"/>
              </w:rPr>
            </w:pPr>
            <w:r>
              <w:rPr>
                <w:rFonts w:cs="Arial"/>
                <w:b/>
                <w:color w:val="FFFFFF"/>
                <w:sz w:val="16"/>
                <w:szCs w:val="16"/>
              </w:rPr>
              <w:t>MOC</w:t>
            </w:r>
          </w:p>
        </w:tc>
      </w:tr>
      <w:tr w:rsidR="00B97365" w14:paraId="2E0C3CED" w14:textId="77777777">
        <w:trPr>
          <w:cantSplit/>
          <w:jc w:val="center"/>
        </w:trPr>
        <w:tc>
          <w:tcPr>
            <w:tcW w:w="492" w:type="dxa"/>
            <w:tcBorders>
              <w:top w:val="single" w:sz="6" w:space="0" w:color="auto"/>
              <w:left w:val="single" w:sz="4" w:space="0" w:color="auto"/>
              <w:bottom w:val="single" w:sz="6" w:space="0" w:color="auto"/>
              <w:right w:val="single" w:sz="6" w:space="0" w:color="auto"/>
            </w:tcBorders>
            <w:hideMark/>
          </w:tcPr>
          <w:p w14:paraId="37A4318C"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80</w:t>
            </w:r>
          </w:p>
        </w:tc>
        <w:tc>
          <w:tcPr>
            <w:tcW w:w="972" w:type="dxa"/>
            <w:tcBorders>
              <w:top w:val="single" w:sz="6" w:space="0" w:color="auto"/>
              <w:left w:val="single" w:sz="6" w:space="0" w:color="auto"/>
              <w:bottom w:val="single" w:sz="6" w:space="0" w:color="auto"/>
              <w:right w:val="single" w:sz="6" w:space="0" w:color="auto"/>
            </w:tcBorders>
            <w:hideMark/>
          </w:tcPr>
          <w:p w14:paraId="310DA7EB"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16</w:t>
            </w:r>
          </w:p>
        </w:tc>
        <w:tc>
          <w:tcPr>
            <w:tcW w:w="1943" w:type="dxa"/>
            <w:tcBorders>
              <w:top w:val="single" w:sz="6" w:space="0" w:color="auto"/>
              <w:left w:val="single" w:sz="6" w:space="0" w:color="auto"/>
              <w:bottom w:val="single" w:sz="6" w:space="0" w:color="auto"/>
              <w:right w:val="single" w:sz="6" w:space="0" w:color="auto"/>
            </w:tcBorders>
            <w:hideMark/>
          </w:tcPr>
          <w:p w14:paraId="73EFB6F6" w14:textId="77777777" w:rsidR="00B97365" w:rsidRDefault="00000000">
            <w:pPr>
              <w:spacing w:line="276" w:lineRule="auto"/>
              <w:jc w:val="left"/>
              <w:rPr>
                <w:rFonts w:eastAsia="Times New Roman" w:cs="Arial"/>
                <w:color w:val="000000"/>
                <w:sz w:val="16"/>
                <w:szCs w:val="16"/>
                <w:lang w:eastAsia="en-GB" w:bidi="ar-SA"/>
              </w:rPr>
            </w:pPr>
            <w:r>
              <w:rPr>
                <w:rFonts w:cs="Arial"/>
                <w:sz w:val="17"/>
                <w:szCs w:val="17"/>
              </w:rPr>
              <w:t>Initial MAC chaining value</w:t>
            </w:r>
          </w:p>
        </w:tc>
        <w:tc>
          <w:tcPr>
            <w:tcW w:w="708" w:type="dxa"/>
            <w:tcBorders>
              <w:top w:val="single" w:sz="6" w:space="0" w:color="auto"/>
              <w:left w:val="single" w:sz="6" w:space="0" w:color="auto"/>
              <w:bottom w:val="single" w:sz="6" w:space="0" w:color="auto"/>
              <w:right w:val="single" w:sz="4" w:space="0" w:color="auto"/>
            </w:tcBorders>
            <w:hideMark/>
          </w:tcPr>
          <w:p w14:paraId="4E4AFE57"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w:t>
            </w:r>
          </w:p>
        </w:tc>
      </w:tr>
      <w:tr w:rsidR="00B97365" w14:paraId="1265FF39" w14:textId="77777777">
        <w:trPr>
          <w:cantSplit/>
          <w:jc w:val="center"/>
        </w:trPr>
        <w:tc>
          <w:tcPr>
            <w:tcW w:w="492" w:type="dxa"/>
            <w:tcBorders>
              <w:top w:val="single" w:sz="6" w:space="0" w:color="auto"/>
              <w:left w:val="single" w:sz="4" w:space="0" w:color="auto"/>
              <w:bottom w:val="single" w:sz="6" w:space="0" w:color="auto"/>
              <w:right w:val="single" w:sz="6" w:space="0" w:color="auto"/>
            </w:tcBorders>
            <w:hideMark/>
          </w:tcPr>
          <w:p w14:paraId="268A2A77"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81</w:t>
            </w:r>
          </w:p>
        </w:tc>
        <w:tc>
          <w:tcPr>
            <w:tcW w:w="972" w:type="dxa"/>
            <w:tcBorders>
              <w:top w:val="single" w:sz="6" w:space="0" w:color="auto"/>
              <w:left w:val="single" w:sz="6" w:space="0" w:color="auto"/>
              <w:bottom w:val="single" w:sz="6" w:space="0" w:color="auto"/>
              <w:right w:val="single" w:sz="6" w:space="0" w:color="auto"/>
            </w:tcBorders>
            <w:hideMark/>
          </w:tcPr>
          <w:p w14:paraId="1D8BCCF5"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16 - 32</w:t>
            </w:r>
          </w:p>
        </w:tc>
        <w:tc>
          <w:tcPr>
            <w:tcW w:w="1943" w:type="dxa"/>
            <w:tcBorders>
              <w:top w:val="single" w:sz="6" w:space="0" w:color="auto"/>
              <w:left w:val="single" w:sz="6" w:space="0" w:color="auto"/>
              <w:bottom w:val="single" w:sz="6" w:space="0" w:color="auto"/>
              <w:right w:val="single" w:sz="6" w:space="0" w:color="auto"/>
            </w:tcBorders>
            <w:hideMark/>
          </w:tcPr>
          <w:p w14:paraId="17428F8C"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PPK-ENC</w:t>
            </w:r>
          </w:p>
        </w:tc>
        <w:tc>
          <w:tcPr>
            <w:tcW w:w="708" w:type="dxa"/>
            <w:tcBorders>
              <w:top w:val="single" w:sz="6" w:space="0" w:color="auto"/>
              <w:left w:val="single" w:sz="6" w:space="0" w:color="auto"/>
              <w:bottom w:val="single" w:sz="6" w:space="0" w:color="auto"/>
              <w:right w:val="single" w:sz="4" w:space="0" w:color="auto"/>
            </w:tcBorders>
            <w:hideMark/>
          </w:tcPr>
          <w:p w14:paraId="6F89BEB4"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w:t>
            </w:r>
          </w:p>
        </w:tc>
      </w:tr>
      <w:tr w:rsidR="00B97365" w14:paraId="1E9C68DD" w14:textId="77777777">
        <w:trPr>
          <w:cantSplit/>
          <w:jc w:val="center"/>
        </w:trPr>
        <w:tc>
          <w:tcPr>
            <w:tcW w:w="492" w:type="dxa"/>
            <w:tcBorders>
              <w:top w:val="single" w:sz="6" w:space="0" w:color="auto"/>
              <w:left w:val="single" w:sz="4" w:space="0" w:color="auto"/>
              <w:bottom w:val="single" w:sz="6" w:space="0" w:color="auto"/>
              <w:right w:val="single" w:sz="6" w:space="0" w:color="auto"/>
            </w:tcBorders>
            <w:hideMark/>
          </w:tcPr>
          <w:p w14:paraId="6DFCDCAF"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82</w:t>
            </w:r>
          </w:p>
        </w:tc>
        <w:tc>
          <w:tcPr>
            <w:tcW w:w="972" w:type="dxa"/>
            <w:tcBorders>
              <w:top w:val="single" w:sz="6" w:space="0" w:color="auto"/>
              <w:left w:val="single" w:sz="6" w:space="0" w:color="auto"/>
              <w:bottom w:val="single" w:sz="6" w:space="0" w:color="auto"/>
              <w:right w:val="single" w:sz="6" w:space="0" w:color="auto"/>
            </w:tcBorders>
            <w:hideMark/>
          </w:tcPr>
          <w:p w14:paraId="18AB2182"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16 - 32</w:t>
            </w:r>
          </w:p>
        </w:tc>
        <w:tc>
          <w:tcPr>
            <w:tcW w:w="1943" w:type="dxa"/>
            <w:tcBorders>
              <w:top w:val="single" w:sz="6" w:space="0" w:color="auto"/>
              <w:left w:val="single" w:sz="6" w:space="0" w:color="auto"/>
              <w:bottom w:val="single" w:sz="6" w:space="0" w:color="auto"/>
              <w:right w:val="single" w:sz="6" w:space="0" w:color="auto"/>
            </w:tcBorders>
            <w:hideMark/>
          </w:tcPr>
          <w:p w14:paraId="78313C7C"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PPK-MAC</w:t>
            </w:r>
          </w:p>
        </w:tc>
        <w:tc>
          <w:tcPr>
            <w:tcW w:w="708" w:type="dxa"/>
            <w:tcBorders>
              <w:top w:val="single" w:sz="6" w:space="0" w:color="auto"/>
              <w:left w:val="single" w:sz="6" w:space="0" w:color="auto"/>
              <w:bottom w:val="single" w:sz="6" w:space="0" w:color="auto"/>
              <w:right w:val="single" w:sz="4" w:space="0" w:color="auto"/>
            </w:tcBorders>
            <w:hideMark/>
          </w:tcPr>
          <w:p w14:paraId="13EA4D19"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w:t>
            </w:r>
          </w:p>
        </w:tc>
      </w:tr>
      <w:tr w:rsidR="00B97365" w14:paraId="3D3F8DA7" w14:textId="77777777">
        <w:trPr>
          <w:cantSplit/>
          <w:jc w:val="center"/>
        </w:trPr>
        <w:tc>
          <w:tcPr>
            <w:tcW w:w="492" w:type="dxa"/>
            <w:tcBorders>
              <w:top w:val="single" w:sz="6" w:space="0" w:color="auto"/>
              <w:left w:val="single" w:sz="4" w:space="0" w:color="auto"/>
              <w:bottom w:val="single" w:sz="4" w:space="0" w:color="auto"/>
              <w:right w:val="single" w:sz="6" w:space="0" w:color="auto"/>
            </w:tcBorders>
            <w:hideMark/>
          </w:tcPr>
          <w:p w14:paraId="716FA346"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83</w:t>
            </w:r>
          </w:p>
        </w:tc>
        <w:tc>
          <w:tcPr>
            <w:tcW w:w="972" w:type="dxa"/>
            <w:tcBorders>
              <w:top w:val="single" w:sz="6" w:space="0" w:color="auto"/>
              <w:left w:val="single" w:sz="6" w:space="0" w:color="auto"/>
              <w:bottom w:val="single" w:sz="4" w:space="0" w:color="auto"/>
              <w:right w:val="single" w:sz="6" w:space="0" w:color="auto"/>
            </w:tcBorders>
            <w:hideMark/>
          </w:tcPr>
          <w:p w14:paraId="62D7AF16"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16 - 32</w:t>
            </w:r>
          </w:p>
        </w:tc>
        <w:tc>
          <w:tcPr>
            <w:tcW w:w="1943" w:type="dxa"/>
            <w:tcBorders>
              <w:top w:val="single" w:sz="6" w:space="0" w:color="auto"/>
              <w:left w:val="single" w:sz="6" w:space="0" w:color="auto"/>
              <w:bottom w:val="single" w:sz="4" w:space="0" w:color="auto"/>
              <w:right w:val="single" w:sz="6" w:space="0" w:color="auto"/>
            </w:tcBorders>
            <w:hideMark/>
          </w:tcPr>
          <w:p w14:paraId="0764C62C"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PPK-RMAC</w:t>
            </w:r>
          </w:p>
        </w:tc>
        <w:tc>
          <w:tcPr>
            <w:tcW w:w="708" w:type="dxa"/>
            <w:tcBorders>
              <w:top w:val="single" w:sz="6" w:space="0" w:color="auto"/>
              <w:left w:val="single" w:sz="6" w:space="0" w:color="auto"/>
              <w:bottom w:val="single" w:sz="4" w:space="0" w:color="auto"/>
              <w:right w:val="single" w:sz="4" w:space="0" w:color="auto"/>
            </w:tcBorders>
            <w:hideMark/>
          </w:tcPr>
          <w:p w14:paraId="40133E08" w14:textId="77777777" w:rsidR="00B97365" w:rsidRDefault="00000000">
            <w:pPr>
              <w:spacing w:line="276" w:lineRule="auto"/>
              <w:jc w:val="left"/>
              <w:rPr>
                <w:rFonts w:eastAsia="Times New Roman" w:cs="Arial"/>
                <w:color w:val="000000"/>
                <w:sz w:val="16"/>
                <w:szCs w:val="16"/>
                <w:lang w:eastAsia="en-GB" w:bidi="ar-SA"/>
              </w:rPr>
            </w:pPr>
            <w:r>
              <w:rPr>
                <w:rFonts w:eastAsia="Times New Roman" w:cs="Arial"/>
                <w:color w:val="000000"/>
                <w:sz w:val="16"/>
                <w:szCs w:val="16"/>
                <w:lang w:eastAsia="en-GB" w:bidi="ar-SA"/>
              </w:rPr>
              <w:t>M</w:t>
            </w:r>
          </w:p>
        </w:tc>
      </w:tr>
    </w:tbl>
    <w:p w14:paraId="4A2A03DA" w14:textId="77777777" w:rsidR="00B97365" w:rsidRDefault="00000000">
      <w:pPr>
        <w:tabs>
          <w:tab w:val="left" w:pos="1009"/>
        </w:tabs>
        <w:spacing w:after="200" w:line="276" w:lineRule="auto"/>
        <w:ind w:left="360"/>
        <w:jc w:val="center"/>
        <w:rPr>
          <w:rFonts w:cs="Arial"/>
          <w:b/>
          <w:lang w:eastAsia="de-DE" w:bidi="ar-SA"/>
        </w:rPr>
      </w:pPr>
      <w:r>
        <w:rPr>
          <w:rFonts w:cs="Arial"/>
          <w:b/>
          <w:lang w:eastAsia="de-DE" w:bidi="ar-SA"/>
        </w:rPr>
        <w:t>Table 4133-C: Replace Session Key Command TLV</w:t>
      </w:r>
    </w:p>
    <w:p w14:paraId="48E2A746" w14:textId="77777777" w:rsidR="00B97365" w:rsidRDefault="00000000">
      <w:pPr>
        <w:rPr>
          <w:rFonts w:cs="Arial"/>
          <w:lang w:eastAsia="en-GB"/>
        </w:rPr>
      </w:pPr>
      <w:r>
        <w:rPr>
          <w:rFonts w:cs="Arial"/>
          <w:lang w:eastAsia="en-GB"/>
        </w:rPr>
        <w:t>When using random keys for profile protection, the Replace session key command SHALL be sent directly before the SCP03t command TLVs containing the protected profile package (tag 86).</w:t>
      </w:r>
    </w:p>
    <w:p w14:paraId="3A38038B" w14:textId="77777777" w:rsidR="00B97365" w:rsidRDefault="00000000">
      <w:pPr>
        <w:rPr>
          <w:lang w:eastAsia="en-GB"/>
        </w:rPr>
      </w:pPr>
      <w:r>
        <w:rPr>
          <w:rFonts w:cs="Arial"/>
          <w:lang w:eastAsia="en-GB"/>
        </w:rPr>
        <w:t>When using session keys for profile protection, the Replace session key command SHALL NOT be present.</w:t>
      </w:r>
    </w:p>
    <w:p w14:paraId="11ECC08B" w14:textId="77777777" w:rsidR="00B97365" w:rsidRDefault="00000000">
      <w:pPr>
        <w:rPr>
          <w:rFonts w:cs="Arial"/>
          <w:lang w:eastAsia="en-GB"/>
        </w:rPr>
      </w:pPr>
      <w:r>
        <w:rPr>
          <w:rFonts w:cs="Arial"/>
          <w:lang w:eastAsia="en-GB"/>
        </w:rPr>
        <w:t>On reception of this command the eUICC SHALL:</w:t>
      </w:r>
    </w:p>
    <w:p w14:paraId="42A34E31"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Verify that the new keys are of same length as the old keys. If not the eUICC SHALL return an error ('01'), and the loading of the Profile SHALL be aborted.</w:t>
      </w:r>
    </w:p>
    <w:p w14:paraId="0DFB8266"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Replace the current session keys with the new set of keys.</w:t>
      </w:r>
    </w:p>
    <w:p w14:paraId="04C6394F" w14:textId="77777777" w:rsidR="00B97365" w:rsidRDefault="00000000">
      <w:pPr>
        <w:spacing w:before="0" w:after="200" w:line="276" w:lineRule="auto"/>
        <w:jc w:val="left"/>
        <w:rPr>
          <w:rFonts w:cs="Arial"/>
          <w:szCs w:val="22"/>
          <w:lang w:eastAsia="en-GB" w:bidi="ar-SA"/>
        </w:rPr>
      </w:pPr>
      <w:r>
        <w:rPr>
          <w:rFonts w:cs="Arial"/>
          <w:szCs w:val="22"/>
          <w:lang w:eastAsia="en-GB" w:bidi="ar-SA"/>
        </w:rPr>
        <w:t>Once the command is successfully executed, the eUICC SHALL use this new set of keys for decryption and MAC verification of subsequent SCP03t blocks of data, and encryption and MACing of responses. The key type of the new set of keys is the same as the session keys they replace.</w:t>
      </w:r>
    </w:p>
    <w:p w14:paraId="43912C4B" w14:textId="77777777" w:rsidR="00B97365" w:rsidRDefault="00000000">
      <w:pPr>
        <w:spacing w:before="0" w:after="200" w:line="276" w:lineRule="auto"/>
        <w:jc w:val="left"/>
        <w:rPr>
          <w:rFonts w:cs="Arial"/>
          <w:szCs w:val="22"/>
          <w:lang w:eastAsia="en-GB" w:bidi="ar-SA"/>
        </w:rPr>
      </w:pPr>
      <w:r>
        <w:rPr>
          <w:rFonts w:cs="Arial"/>
          <w:szCs w:val="22"/>
          <w:lang w:eastAsia="en-GB" w:bidi="ar-SA"/>
        </w:rPr>
        <w:t>If the command message is accepted, a Response TLV with tag '87' and length zero SHALL be returned. This TLV does not return an R-MAC.</w:t>
      </w:r>
    </w:p>
    <w:p w14:paraId="335D139C" w14:textId="77777777" w:rsidR="00B97365" w:rsidRDefault="00000000">
      <w:pPr>
        <w:spacing w:before="0" w:after="200" w:line="276" w:lineRule="auto"/>
        <w:jc w:val="left"/>
        <w:rPr>
          <w:rFonts w:cs="Arial"/>
          <w:szCs w:val="22"/>
          <w:lang w:eastAsia="en-GB" w:bidi="ar-SA"/>
        </w:rPr>
      </w:pPr>
      <w:r>
        <w:rPr>
          <w:rFonts w:cs="Arial"/>
          <w:szCs w:val="22"/>
          <w:lang w:eastAsia="en-GB" w:bidi="ar-SA"/>
        </w:rPr>
        <w:t>In case of an error, tag '9F47' is used (see NOTE 1 above). The following values are defined:</w:t>
      </w:r>
    </w:p>
    <w:p w14:paraId="14C623C3"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'01': error in length or structure of command data</w:t>
      </w:r>
    </w:p>
    <w:p w14:paraId="1056AC63"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'02': security error</w:t>
      </w:r>
    </w:p>
    <w:p w14:paraId="681FFC72"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715" w:name="_Ref367973189"/>
      <w:bookmarkStart w:id="2716" w:name="_Ref367973204"/>
      <w:bookmarkStart w:id="2717" w:name="_Ref367974920"/>
      <w:bookmarkStart w:id="2718" w:name="_Toc368932250"/>
      <w:bookmarkStart w:id="2719" w:name="_Toc1977326"/>
      <w:bookmarkStart w:id="2720" w:name="_Toc37062485"/>
      <w:bookmarkEnd w:id="2127"/>
      <w:bookmarkEnd w:id="2713"/>
      <w:bookmarkEnd w:id="2714"/>
      <w:r>
        <w:rPr>
          <w:rFonts w:ascii="Arial Bold" w:eastAsia="Times New Roman" w:hAnsi="Arial Bold" w:cs="Arial"/>
          <w:b/>
          <w:iCs/>
          <w:szCs w:val="28"/>
          <w:lang w:eastAsia="en-US"/>
        </w:rPr>
        <w:t xml:space="preserve">Connectivity Parameters Update </w:t>
      </w:r>
      <w:bookmarkStart w:id="2721" w:name="_Hlk372278154"/>
      <w:r>
        <w:rPr>
          <w:rFonts w:ascii="Arial Bold" w:eastAsia="Times New Roman" w:hAnsi="Arial Bold" w:cs="Arial"/>
          <w:b/>
          <w:iCs/>
          <w:szCs w:val="28"/>
          <w:lang w:eastAsia="en-US"/>
        </w:rPr>
        <w:t>using SCP03</w:t>
      </w:r>
      <w:bookmarkEnd w:id="2715"/>
      <w:bookmarkEnd w:id="2716"/>
      <w:bookmarkEnd w:id="2717"/>
      <w:bookmarkEnd w:id="2718"/>
      <w:bookmarkEnd w:id="2719"/>
      <w:bookmarkEnd w:id="2720"/>
      <w:bookmarkEnd w:id="2721"/>
    </w:p>
    <w:p w14:paraId="2E24A13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UpdateConnectivityParameters</w:t>
      </w:r>
      <w:r>
        <w:rPr>
          <w:szCs w:val="22"/>
          <w:lang w:eastAsia="en-GB" w:bidi="ar-SA"/>
        </w:rPr>
        <w:t xml:space="preserve"> SCP03</w:t>
      </w:r>
    </w:p>
    <w:p w14:paraId="4E4A9CB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Connectivity Parameters Update </w:t>
      </w:r>
      <w:r>
        <w:rPr>
          <w:szCs w:val="22"/>
          <w:lang w:eastAsia="en-GB" w:bidi="ar-SA"/>
        </w:rPr>
        <w:t>using SCP03</w:t>
      </w:r>
      <w:r>
        <w:rPr>
          <w:szCs w:val="22"/>
          <w:lang w:val="en-US" w:eastAsia="en-GB" w:bidi="ar-SA"/>
        </w:rPr>
        <w:t xml:space="preserve"> </w:t>
      </w:r>
    </w:p>
    <w:p w14:paraId="1F6B067A" w14:textId="77777777" w:rsidR="00B97365" w:rsidRDefault="00000000">
      <w:pPr>
        <w:spacing w:before="0" w:after="200" w:line="276" w:lineRule="auto"/>
        <w:jc w:val="left"/>
        <w:rPr>
          <w:szCs w:val="22"/>
          <w:lang w:val="en-US" w:eastAsia="en-GB" w:bidi="ar-SA"/>
        </w:rPr>
      </w:pPr>
      <w:bookmarkStart w:id="2722" w:name="_Toc420594669"/>
      <w:r>
        <w:rPr>
          <w:rFonts w:cs="Arial"/>
          <w:b/>
          <w:szCs w:val="22"/>
          <w:lang w:val="en-US" w:eastAsia="en-GB" w:bidi="ar-SA"/>
        </w:rPr>
        <w:t>Function group:</w:t>
      </w:r>
      <w:r>
        <w:rPr>
          <w:szCs w:val="22"/>
          <w:lang w:val="en-US" w:eastAsia="en-GB" w:bidi="ar-SA"/>
        </w:rPr>
        <w:t xml:space="preserve"> eUICC Management</w:t>
      </w:r>
      <w:bookmarkEnd w:id="2722"/>
    </w:p>
    <w:p w14:paraId="67E442AC" w14:textId="77777777" w:rsidR="00B97365" w:rsidRDefault="00000000">
      <w:pPr>
        <w:spacing w:before="0" w:after="200" w:line="276" w:lineRule="auto"/>
        <w:jc w:val="left"/>
        <w:rPr>
          <w:szCs w:val="22"/>
          <w:lang w:val="en-US" w:eastAsia="en-GB" w:bidi="ar-SA"/>
        </w:rPr>
      </w:pPr>
      <w:bookmarkStart w:id="2723" w:name="_Toc420594670"/>
      <w:r>
        <w:rPr>
          <w:rFonts w:cs="Arial"/>
          <w:b/>
          <w:szCs w:val="22"/>
          <w:lang w:val="en-US" w:eastAsia="en-GB" w:bidi="ar-SA"/>
        </w:rPr>
        <w:lastRenderedPageBreak/>
        <w:t>Function Provider entity:</w:t>
      </w:r>
      <w:r>
        <w:rPr>
          <w:szCs w:val="22"/>
          <w:lang w:val="en-US" w:eastAsia="en-GB" w:bidi="ar-SA"/>
        </w:rPr>
        <w:t xml:space="preserve">  ISD-P</w:t>
      </w:r>
      <w:bookmarkEnd w:id="2723"/>
    </w:p>
    <w:p w14:paraId="3ADE9DD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 xml:space="preserve">Description: </w:t>
      </w:r>
      <w:r>
        <w:rPr>
          <w:szCs w:val="22"/>
          <w:lang w:val="en-US" w:eastAsia="en-GB" w:bidi="ar-SA"/>
        </w:rPr>
        <w:t>This function is used to update Connectivity Parameters on the eUICC.</w:t>
      </w:r>
    </w:p>
    <w:p w14:paraId="095A4DC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has the following parameter:</w:t>
      </w:r>
    </w:p>
    <w:p w14:paraId="68656FE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ISD-P AID</w:t>
      </w:r>
    </w:p>
    <w:p w14:paraId="1682D0C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Connectivity Parameters</w:t>
      </w:r>
    </w:p>
    <w:p w14:paraId="338F3BCE" w14:textId="77777777" w:rsidR="00B97365" w:rsidRDefault="00000000">
      <w:pPr>
        <w:spacing w:before="0" w:after="200" w:line="276" w:lineRule="auto"/>
        <w:jc w:val="left"/>
        <w:rPr>
          <w:b/>
          <w:szCs w:val="22"/>
          <w:u w:val="single"/>
          <w:lang w:val="en-US" w:eastAsia="en-GB" w:bidi="ar-SA"/>
        </w:rPr>
      </w:pPr>
      <w:bookmarkStart w:id="2724" w:name="_Toc420594671"/>
      <w:r>
        <w:rPr>
          <w:rFonts w:cs="Arial"/>
          <w:b/>
          <w:szCs w:val="22"/>
          <w:u w:val="single"/>
          <w:lang w:val="en-US" w:eastAsia="en-GB" w:bidi="ar-SA"/>
        </w:rPr>
        <w:t>Prerequisites</w:t>
      </w:r>
      <w:bookmarkEnd w:id="2724"/>
    </w:p>
    <w:p w14:paraId="18F6107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None</w:t>
      </w:r>
    </w:p>
    <w:p w14:paraId="32E1D19D" w14:textId="77777777" w:rsidR="00B97365" w:rsidRDefault="00000000">
      <w:pPr>
        <w:spacing w:before="0" w:after="200" w:line="276" w:lineRule="auto"/>
        <w:jc w:val="left"/>
        <w:rPr>
          <w:b/>
          <w:szCs w:val="22"/>
          <w:u w:val="single"/>
          <w:lang w:val="en-US" w:eastAsia="en-GB" w:bidi="ar-SA"/>
        </w:rPr>
      </w:pPr>
      <w:bookmarkStart w:id="2725" w:name="_Toc420594672"/>
      <w:r>
        <w:rPr>
          <w:rFonts w:cs="Arial"/>
          <w:b/>
          <w:szCs w:val="22"/>
          <w:u w:val="single"/>
          <w:lang w:val="en-US" w:eastAsia="en-GB" w:bidi="ar-SA"/>
        </w:rPr>
        <w:t>Function flow</w:t>
      </w:r>
      <w:bookmarkEnd w:id="2725"/>
    </w:p>
    <w:p w14:paraId="1C33329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Connectivity Parameters update command, the eUICC SHALL:</w:t>
      </w:r>
    </w:p>
    <w:p w14:paraId="73290B1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Update the Connectivity Parameters of the targeted ISD-P</w:t>
      </w:r>
    </w:p>
    <w:p w14:paraId="089C818D" w14:textId="77777777" w:rsidR="00B97365" w:rsidRDefault="00000000">
      <w:pPr>
        <w:spacing w:before="0" w:after="200" w:line="276" w:lineRule="auto"/>
        <w:jc w:val="left"/>
        <w:rPr>
          <w:b/>
          <w:szCs w:val="22"/>
          <w:u w:val="single"/>
          <w:lang w:val="en-US" w:eastAsia="en-GB" w:bidi="ar-SA"/>
        </w:rPr>
      </w:pPr>
      <w:bookmarkStart w:id="2726" w:name="_Toc420594673"/>
      <w:r>
        <w:rPr>
          <w:rFonts w:cs="Arial"/>
          <w:b/>
          <w:szCs w:val="22"/>
          <w:u w:val="single"/>
          <w:lang w:val="en-US" w:eastAsia="en-GB" w:bidi="ar-SA"/>
        </w:rPr>
        <w:t>Commands</w:t>
      </w:r>
      <w:bookmarkEnd w:id="2726"/>
    </w:p>
    <w:p w14:paraId="7722B73D" w14:textId="77777777" w:rsidR="00B97365" w:rsidRDefault="00000000">
      <w:pPr>
        <w:spacing w:before="0" w:after="200" w:line="276" w:lineRule="auto"/>
        <w:jc w:val="left"/>
        <w:rPr>
          <w:b/>
          <w:i/>
          <w:szCs w:val="22"/>
          <w:lang w:val="en-US" w:eastAsia="en-GB" w:bidi="ar-SA"/>
        </w:rPr>
      </w:pPr>
      <w:bookmarkStart w:id="2727" w:name="_Toc420594674"/>
      <w:r>
        <w:rPr>
          <w:rFonts w:cs="Arial"/>
          <w:b/>
          <w:i/>
          <w:lang w:val="en-US"/>
        </w:rPr>
        <w:t>STORE</w:t>
      </w:r>
      <w:r>
        <w:rPr>
          <w:b/>
          <w:i/>
          <w:szCs w:val="22"/>
          <w:lang w:val="en-US" w:eastAsia="en-GB" w:bidi="ar-SA"/>
        </w:rPr>
        <w:t xml:space="preserve"> DATA Command</w:t>
      </w:r>
      <w:bookmarkEnd w:id="2727"/>
    </w:p>
    <w:p w14:paraId="09DCA822" w14:textId="35C19F90"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command is a STORE DATA command, as described in 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section 11.11.3.2. </w:t>
      </w:r>
    </w:p>
    <w:p w14:paraId="712AD553" w14:textId="77777777" w:rsidR="00B97365" w:rsidRDefault="00B97365">
      <w:pPr>
        <w:rPr>
          <w:rFonts w:cs="Calibri"/>
        </w:rPr>
      </w:pPr>
    </w:p>
    <w:tbl>
      <w:tblPr>
        <w:tblW w:w="7656" w:type="dxa"/>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560"/>
        <w:gridCol w:w="1559"/>
        <w:gridCol w:w="4537"/>
      </w:tblGrid>
      <w:tr w:rsidR="00B97365" w14:paraId="652331EF" w14:textId="77777777">
        <w:trPr>
          <w:tblHeader/>
        </w:trPr>
        <w:tc>
          <w:tcPr>
            <w:tcW w:w="155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346BB1B" w14:textId="77777777" w:rsidR="00B97365" w:rsidRDefault="00000000">
            <w:pPr>
              <w:jc w:val="center"/>
              <w:rPr>
                <w:rFonts w:cs="Calibri"/>
                <w:b/>
                <w:color w:val="FFFFFF"/>
                <w:sz w:val="16"/>
                <w:szCs w:val="16"/>
              </w:rPr>
            </w:pPr>
            <w:r>
              <w:rPr>
                <w:rFonts w:cs="Calibri"/>
                <w:b/>
                <w:color w:val="FFFFFF"/>
                <w:sz w:val="16"/>
                <w:szCs w:val="16"/>
              </w:rPr>
              <w:t>Code</w:t>
            </w:r>
          </w:p>
        </w:tc>
        <w:tc>
          <w:tcPr>
            <w:tcW w:w="155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B84A84B" w14:textId="77777777" w:rsidR="00B97365" w:rsidRDefault="00000000">
            <w:pPr>
              <w:jc w:val="center"/>
              <w:rPr>
                <w:rFonts w:cs="Calibri"/>
                <w:b/>
                <w:color w:val="FFFFFF"/>
                <w:sz w:val="16"/>
                <w:szCs w:val="16"/>
              </w:rPr>
            </w:pPr>
            <w:r>
              <w:rPr>
                <w:rFonts w:cs="Calibri"/>
                <w:b/>
                <w:color w:val="FFFFFF"/>
                <w:sz w:val="16"/>
                <w:szCs w:val="16"/>
              </w:rPr>
              <w:t>Value</w:t>
            </w:r>
          </w:p>
        </w:tc>
        <w:tc>
          <w:tcPr>
            <w:tcW w:w="453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B390289" w14:textId="77777777" w:rsidR="00B97365" w:rsidRDefault="00000000">
            <w:pPr>
              <w:jc w:val="center"/>
              <w:rPr>
                <w:rFonts w:cs="Calibri"/>
                <w:b/>
                <w:color w:val="FFFFFF"/>
                <w:sz w:val="16"/>
                <w:szCs w:val="16"/>
              </w:rPr>
            </w:pPr>
            <w:r>
              <w:rPr>
                <w:rFonts w:cs="Calibri"/>
                <w:b/>
                <w:color w:val="FFFFFF"/>
                <w:sz w:val="16"/>
                <w:szCs w:val="16"/>
              </w:rPr>
              <w:t>Meaning</w:t>
            </w:r>
          </w:p>
        </w:tc>
      </w:tr>
      <w:tr w:rsidR="00B97365" w14:paraId="6AD45104"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123F9ACF" w14:textId="77777777" w:rsidR="00B97365" w:rsidRDefault="00000000">
            <w:pPr>
              <w:rPr>
                <w:rFonts w:cs="Calibri"/>
                <w:sz w:val="16"/>
                <w:szCs w:val="16"/>
              </w:rPr>
            </w:pPr>
            <w:r>
              <w:rPr>
                <w:rFonts w:cs="Calibri"/>
                <w:sz w:val="16"/>
                <w:szCs w:val="16"/>
              </w:rPr>
              <w:t>CLA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D22A9C7" w14:textId="77777777" w:rsidR="00B97365" w:rsidRDefault="00000000">
            <w:pPr>
              <w:rPr>
                <w:rFonts w:cs="Calibri"/>
                <w:sz w:val="16"/>
                <w:szCs w:val="16"/>
              </w:rPr>
            </w:pPr>
            <w:r>
              <w:rPr>
                <w:rFonts w:cs="Calibri"/>
                <w:sz w:val="16"/>
                <w:szCs w:val="16"/>
              </w:rPr>
              <w:t xml:space="preserve">‘80’ </w:t>
            </w:r>
          </w:p>
        </w:tc>
        <w:tc>
          <w:tcPr>
            <w:tcW w:w="4536" w:type="dxa"/>
            <w:tcBorders>
              <w:top w:val="single" w:sz="6" w:space="0" w:color="auto"/>
              <w:left w:val="single" w:sz="6" w:space="0" w:color="auto"/>
              <w:bottom w:val="single" w:sz="6" w:space="0" w:color="auto"/>
              <w:right w:val="single" w:sz="4" w:space="0" w:color="auto"/>
            </w:tcBorders>
            <w:vAlign w:val="center"/>
          </w:tcPr>
          <w:p w14:paraId="25D80213" w14:textId="77777777" w:rsidR="00B97365" w:rsidRDefault="00B97365">
            <w:pPr>
              <w:rPr>
                <w:rFonts w:cs="Calibri"/>
                <w:sz w:val="16"/>
                <w:szCs w:val="16"/>
              </w:rPr>
            </w:pPr>
          </w:p>
        </w:tc>
      </w:tr>
      <w:tr w:rsidR="00B97365" w14:paraId="01CD212A"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6E34F68B" w14:textId="77777777" w:rsidR="00B97365" w:rsidRDefault="00000000">
            <w:pPr>
              <w:rPr>
                <w:rFonts w:cs="Calibri"/>
                <w:sz w:val="16"/>
                <w:szCs w:val="16"/>
              </w:rPr>
            </w:pPr>
            <w:r>
              <w:rPr>
                <w:rFonts w:cs="Calibri"/>
                <w:sz w:val="16"/>
                <w:szCs w:val="16"/>
              </w:rPr>
              <w:t>INS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0E32883" w14:textId="77777777" w:rsidR="00B97365" w:rsidRDefault="00000000">
            <w:pPr>
              <w:rPr>
                <w:rFonts w:cs="Calibri"/>
                <w:sz w:val="16"/>
                <w:szCs w:val="16"/>
              </w:rPr>
            </w:pPr>
            <w:r>
              <w:rPr>
                <w:rFonts w:cs="Calibri"/>
                <w:sz w:val="16"/>
                <w:szCs w:val="16"/>
              </w:rPr>
              <w:t>‘E2’</w:t>
            </w:r>
          </w:p>
        </w:tc>
        <w:tc>
          <w:tcPr>
            <w:tcW w:w="4536" w:type="dxa"/>
            <w:tcBorders>
              <w:top w:val="single" w:sz="6" w:space="0" w:color="auto"/>
              <w:left w:val="single" w:sz="6" w:space="0" w:color="auto"/>
              <w:bottom w:val="single" w:sz="6" w:space="0" w:color="auto"/>
              <w:right w:val="single" w:sz="4" w:space="0" w:color="auto"/>
            </w:tcBorders>
            <w:vAlign w:val="center"/>
            <w:hideMark/>
          </w:tcPr>
          <w:p w14:paraId="2595E05D" w14:textId="77777777" w:rsidR="00B97365" w:rsidRDefault="00000000">
            <w:pPr>
              <w:rPr>
                <w:rFonts w:cs="Calibri"/>
                <w:sz w:val="16"/>
                <w:szCs w:val="16"/>
              </w:rPr>
            </w:pPr>
            <w:r>
              <w:rPr>
                <w:rFonts w:cs="Calibri"/>
                <w:sz w:val="16"/>
                <w:szCs w:val="16"/>
              </w:rPr>
              <w:t>STORE DATA</w:t>
            </w:r>
          </w:p>
        </w:tc>
      </w:tr>
      <w:tr w:rsidR="00B97365" w14:paraId="7946B91C"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357DEAEA" w14:textId="77777777" w:rsidR="00B97365" w:rsidRDefault="00000000">
            <w:pPr>
              <w:rPr>
                <w:rFonts w:cs="Calibri"/>
                <w:sz w:val="16"/>
                <w:szCs w:val="16"/>
              </w:rPr>
            </w:pPr>
            <w:r>
              <w:rPr>
                <w:rFonts w:cs="Calibri"/>
                <w:sz w:val="16"/>
                <w:szCs w:val="16"/>
              </w:rPr>
              <w:t>P1</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AA9DA01" w14:textId="77777777" w:rsidR="00B97365" w:rsidRDefault="00000000">
            <w:pPr>
              <w:rPr>
                <w:rFonts w:cs="Calibri"/>
                <w:sz w:val="16"/>
                <w:szCs w:val="16"/>
              </w:rPr>
            </w:pPr>
            <w:r>
              <w:rPr>
                <w:rFonts w:cs="Calibri"/>
                <w:sz w:val="16"/>
                <w:szCs w:val="16"/>
              </w:rPr>
              <w:t>‘88’</w:t>
            </w:r>
          </w:p>
        </w:tc>
        <w:tc>
          <w:tcPr>
            <w:tcW w:w="4536" w:type="dxa"/>
            <w:tcBorders>
              <w:top w:val="single" w:sz="6" w:space="0" w:color="auto"/>
              <w:left w:val="single" w:sz="6" w:space="0" w:color="auto"/>
              <w:bottom w:val="single" w:sz="6" w:space="0" w:color="auto"/>
              <w:right w:val="single" w:sz="4" w:space="0" w:color="auto"/>
            </w:tcBorders>
            <w:vAlign w:val="center"/>
            <w:hideMark/>
          </w:tcPr>
          <w:p w14:paraId="211D39FF" w14:textId="59CA886D" w:rsidR="00B97365" w:rsidRDefault="00000000">
            <w:pPr>
              <w:rPr>
                <w:rFonts w:cs="Calibri"/>
                <w:sz w:val="16"/>
                <w:szCs w:val="16"/>
              </w:rPr>
            </w:pPr>
            <w:r>
              <w:rPr>
                <w:rFonts w:cs="Calibri"/>
                <w:sz w:val="16"/>
                <w:szCs w:val="16"/>
              </w:rPr>
              <w:t xml:space="preserve">Reference Control Parameter P1 </w:t>
            </w:r>
            <w:r>
              <w:fldChar w:fldCharType="begin"/>
            </w:r>
            <w:r>
              <w:instrText xml:space="preserve"> REF _Ref340070179 \r \h  \* MERGEFORMAT </w:instrText>
            </w:r>
            <w:r>
              <w:fldChar w:fldCharType="separate"/>
            </w:r>
            <w:r w:rsidR="001D5AD9">
              <w:t>0</w:t>
            </w:r>
            <w:r>
              <w:fldChar w:fldCharType="end"/>
            </w:r>
          </w:p>
        </w:tc>
      </w:tr>
      <w:tr w:rsidR="00B97365" w14:paraId="216B374F"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29386055" w14:textId="77777777" w:rsidR="00B97365" w:rsidRDefault="00000000">
            <w:pPr>
              <w:rPr>
                <w:rFonts w:cs="Calibri"/>
                <w:sz w:val="16"/>
                <w:szCs w:val="16"/>
              </w:rPr>
            </w:pPr>
            <w:r>
              <w:rPr>
                <w:rFonts w:cs="Calibri"/>
                <w:sz w:val="16"/>
                <w:szCs w:val="16"/>
              </w:rPr>
              <w:t>P2</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2D46BC7" w14:textId="77777777" w:rsidR="00B97365" w:rsidRDefault="00000000">
            <w:pPr>
              <w:rPr>
                <w:rFonts w:cs="Calibri"/>
                <w:sz w:val="16"/>
                <w:szCs w:val="16"/>
              </w:rPr>
            </w:pPr>
            <w:r>
              <w:rPr>
                <w:rFonts w:cs="Calibri"/>
                <w:sz w:val="16"/>
                <w:szCs w:val="16"/>
              </w:rPr>
              <w:t>‘00’</w:t>
            </w:r>
          </w:p>
        </w:tc>
        <w:tc>
          <w:tcPr>
            <w:tcW w:w="4536" w:type="dxa"/>
            <w:tcBorders>
              <w:top w:val="single" w:sz="6" w:space="0" w:color="auto"/>
              <w:left w:val="single" w:sz="6" w:space="0" w:color="auto"/>
              <w:bottom w:val="single" w:sz="6" w:space="0" w:color="auto"/>
              <w:right w:val="single" w:sz="4" w:space="0" w:color="auto"/>
            </w:tcBorders>
            <w:vAlign w:val="center"/>
            <w:hideMark/>
          </w:tcPr>
          <w:p w14:paraId="5A379565" w14:textId="77777777" w:rsidR="00B97365" w:rsidRDefault="00000000">
            <w:pPr>
              <w:rPr>
                <w:rFonts w:cs="Calibri"/>
                <w:sz w:val="16"/>
                <w:szCs w:val="16"/>
              </w:rPr>
            </w:pPr>
            <w:r>
              <w:rPr>
                <w:rFonts w:cs="Calibri"/>
                <w:sz w:val="16"/>
                <w:szCs w:val="16"/>
              </w:rPr>
              <w:t xml:space="preserve">Block Number (Not used for Enable </w:t>
            </w:r>
          </w:p>
        </w:tc>
      </w:tr>
      <w:tr w:rsidR="00B97365" w14:paraId="1ECA89AA"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29358F97" w14:textId="77777777" w:rsidR="00B97365" w:rsidRDefault="00000000">
            <w:pPr>
              <w:rPr>
                <w:rFonts w:cs="Calibri"/>
                <w:sz w:val="16"/>
                <w:szCs w:val="16"/>
              </w:rPr>
            </w:pPr>
            <w:r>
              <w:rPr>
                <w:rFonts w:cs="Calibri"/>
                <w:sz w:val="16"/>
                <w:szCs w:val="16"/>
              </w:rPr>
              <w:t>Lc</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6D26F0C" w14:textId="77777777" w:rsidR="00B97365" w:rsidRDefault="00000000">
            <w:pPr>
              <w:rPr>
                <w:rFonts w:cs="Calibri"/>
                <w:sz w:val="16"/>
                <w:szCs w:val="16"/>
              </w:rPr>
            </w:pPr>
            <w:r>
              <w:rPr>
                <w:rFonts w:cs="Calibri"/>
                <w:sz w:val="16"/>
                <w:szCs w:val="16"/>
              </w:rPr>
              <w:t>‘XX’</w:t>
            </w:r>
          </w:p>
        </w:tc>
        <w:tc>
          <w:tcPr>
            <w:tcW w:w="4536" w:type="dxa"/>
            <w:tcBorders>
              <w:top w:val="single" w:sz="6" w:space="0" w:color="auto"/>
              <w:left w:val="single" w:sz="6" w:space="0" w:color="auto"/>
              <w:bottom w:val="single" w:sz="6" w:space="0" w:color="auto"/>
              <w:right w:val="single" w:sz="4" w:space="0" w:color="auto"/>
            </w:tcBorders>
            <w:vAlign w:val="center"/>
            <w:hideMark/>
          </w:tcPr>
          <w:p w14:paraId="51FAD502" w14:textId="77777777" w:rsidR="00B97365" w:rsidRDefault="00000000">
            <w:pPr>
              <w:rPr>
                <w:rFonts w:cs="Calibri"/>
                <w:sz w:val="16"/>
                <w:szCs w:val="16"/>
              </w:rPr>
            </w:pPr>
            <w:r>
              <w:rPr>
                <w:rFonts w:cs="Calibri"/>
                <w:sz w:val="16"/>
                <w:szCs w:val="16"/>
              </w:rPr>
              <w:t>Length of data field</w:t>
            </w:r>
          </w:p>
        </w:tc>
      </w:tr>
      <w:tr w:rsidR="00B97365" w14:paraId="4C6FE168" w14:textId="77777777">
        <w:tc>
          <w:tcPr>
            <w:tcW w:w="1559" w:type="dxa"/>
            <w:tcBorders>
              <w:top w:val="single" w:sz="6" w:space="0" w:color="auto"/>
              <w:left w:val="single" w:sz="4" w:space="0" w:color="auto"/>
              <w:bottom w:val="single" w:sz="6" w:space="0" w:color="auto"/>
              <w:right w:val="single" w:sz="6" w:space="0" w:color="auto"/>
            </w:tcBorders>
            <w:vAlign w:val="center"/>
            <w:hideMark/>
          </w:tcPr>
          <w:p w14:paraId="5B1013BA" w14:textId="77777777" w:rsidR="00B97365" w:rsidRDefault="00000000">
            <w:pPr>
              <w:rPr>
                <w:rFonts w:cs="Calibri"/>
                <w:sz w:val="16"/>
                <w:szCs w:val="16"/>
              </w:rPr>
            </w:pPr>
            <w:r>
              <w:rPr>
                <w:rFonts w:cs="Calibri"/>
                <w:sz w:val="16"/>
                <w:szCs w:val="16"/>
              </w:rPr>
              <w:t>Data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2D19FAA" w14:textId="77777777" w:rsidR="00B97365" w:rsidRDefault="00000000">
            <w:pPr>
              <w:rPr>
                <w:rFonts w:cs="Calibri"/>
                <w:sz w:val="16"/>
                <w:szCs w:val="16"/>
              </w:rPr>
            </w:pPr>
            <w:r>
              <w:rPr>
                <w:rFonts w:cs="Calibri"/>
                <w:sz w:val="16"/>
                <w:szCs w:val="16"/>
              </w:rPr>
              <w:t>‘XX’</w:t>
            </w:r>
          </w:p>
        </w:tc>
        <w:tc>
          <w:tcPr>
            <w:tcW w:w="4536" w:type="dxa"/>
            <w:tcBorders>
              <w:top w:val="single" w:sz="6" w:space="0" w:color="auto"/>
              <w:left w:val="single" w:sz="6" w:space="0" w:color="auto"/>
              <w:bottom w:val="single" w:sz="6" w:space="0" w:color="auto"/>
              <w:right w:val="single" w:sz="4" w:space="0" w:color="auto"/>
            </w:tcBorders>
            <w:vAlign w:val="center"/>
            <w:hideMark/>
          </w:tcPr>
          <w:p w14:paraId="0EE6EF1D" w14:textId="77777777" w:rsidR="00B97365" w:rsidRDefault="00000000">
            <w:pPr>
              <w:rPr>
                <w:rFonts w:cs="Calibri"/>
                <w:sz w:val="16"/>
                <w:szCs w:val="16"/>
              </w:rPr>
            </w:pPr>
            <w:r>
              <w:rPr>
                <w:rFonts w:cs="Calibri"/>
                <w:sz w:val="16"/>
                <w:szCs w:val="16"/>
              </w:rPr>
              <w:t>Application Data and MAC (if present)</w:t>
            </w:r>
          </w:p>
        </w:tc>
      </w:tr>
      <w:tr w:rsidR="00B97365" w14:paraId="086160D4" w14:textId="77777777">
        <w:tc>
          <w:tcPr>
            <w:tcW w:w="1559" w:type="dxa"/>
            <w:tcBorders>
              <w:top w:val="single" w:sz="6" w:space="0" w:color="auto"/>
              <w:left w:val="single" w:sz="4" w:space="0" w:color="auto"/>
              <w:bottom w:val="single" w:sz="4" w:space="0" w:color="auto"/>
              <w:right w:val="single" w:sz="6" w:space="0" w:color="auto"/>
            </w:tcBorders>
            <w:vAlign w:val="center"/>
            <w:hideMark/>
          </w:tcPr>
          <w:p w14:paraId="7B27439F" w14:textId="77777777" w:rsidR="00B97365" w:rsidRDefault="00000000">
            <w:pPr>
              <w:rPr>
                <w:rFonts w:cs="Calibri"/>
                <w:sz w:val="16"/>
                <w:szCs w:val="16"/>
              </w:rPr>
            </w:pPr>
            <w:r>
              <w:rPr>
                <w:rFonts w:cs="Calibri"/>
                <w:sz w:val="16"/>
                <w:szCs w:val="16"/>
              </w:rPr>
              <w:t>Le</w:t>
            </w:r>
          </w:p>
        </w:tc>
        <w:tc>
          <w:tcPr>
            <w:tcW w:w="1559" w:type="dxa"/>
            <w:tcBorders>
              <w:top w:val="single" w:sz="6" w:space="0" w:color="auto"/>
              <w:left w:val="single" w:sz="6" w:space="0" w:color="auto"/>
              <w:bottom w:val="single" w:sz="4" w:space="0" w:color="auto"/>
              <w:right w:val="single" w:sz="6" w:space="0" w:color="auto"/>
            </w:tcBorders>
            <w:vAlign w:val="center"/>
            <w:hideMark/>
          </w:tcPr>
          <w:p w14:paraId="2C5A19BB" w14:textId="77777777" w:rsidR="00B97365" w:rsidRDefault="00000000">
            <w:pPr>
              <w:rPr>
                <w:rFonts w:cs="Calibri"/>
                <w:sz w:val="16"/>
                <w:szCs w:val="16"/>
              </w:rPr>
            </w:pPr>
            <w:r>
              <w:rPr>
                <w:rFonts w:cs="Calibri"/>
                <w:sz w:val="16"/>
                <w:szCs w:val="16"/>
              </w:rPr>
              <w:t>Not present</w:t>
            </w:r>
          </w:p>
        </w:tc>
        <w:tc>
          <w:tcPr>
            <w:tcW w:w="4536" w:type="dxa"/>
            <w:tcBorders>
              <w:top w:val="single" w:sz="6" w:space="0" w:color="auto"/>
              <w:left w:val="single" w:sz="6" w:space="0" w:color="auto"/>
              <w:bottom w:val="single" w:sz="4" w:space="0" w:color="auto"/>
              <w:right w:val="single" w:sz="4" w:space="0" w:color="auto"/>
            </w:tcBorders>
            <w:vAlign w:val="center"/>
          </w:tcPr>
          <w:p w14:paraId="1799F53A" w14:textId="77777777" w:rsidR="00B97365" w:rsidRDefault="00B97365">
            <w:pPr>
              <w:rPr>
                <w:rFonts w:cs="Calibri"/>
                <w:sz w:val="16"/>
                <w:szCs w:val="16"/>
              </w:rPr>
            </w:pPr>
          </w:p>
        </w:tc>
      </w:tr>
    </w:tbl>
    <w:p w14:paraId="1ACC65AE" w14:textId="77777777" w:rsidR="00B97365" w:rsidRDefault="00000000">
      <w:pPr>
        <w:numPr>
          <w:ilvl w:val="0"/>
          <w:numId w:val="14"/>
        </w:numPr>
        <w:tabs>
          <w:tab w:val="left" w:pos="1009"/>
        </w:tabs>
        <w:spacing w:after="200" w:line="276" w:lineRule="auto"/>
        <w:jc w:val="center"/>
        <w:rPr>
          <w:rFonts w:cs="Arial"/>
          <w:b/>
          <w:i/>
          <w:lang w:val="en-US"/>
        </w:rPr>
      </w:pPr>
      <w:r>
        <w:rPr>
          <w:rFonts w:cs="Arial"/>
          <w:b/>
          <w:lang w:eastAsia="de-DE" w:bidi="ar-SA"/>
        </w:rPr>
        <w:t>: STORE DATA Command Message</w:t>
      </w:r>
      <w:bookmarkStart w:id="2728" w:name="_Toc420594675"/>
    </w:p>
    <w:p w14:paraId="2E6594AF" w14:textId="77777777" w:rsidR="00B97365" w:rsidRDefault="00000000">
      <w:pPr>
        <w:spacing w:before="0" w:after="200" w:line="276" w:lineRule="auto"/>
        <w:jc w:val="left"/>
        <w:rPr>
          <w:b/>
          <w:i/>
          <w:szCs w:val="22"/>
          <w:lang w:val="en-US" w:eastAsia="en-GB" w:bidi="ar-SA"/>
        </w:rPr>
      </w:pPr>
      <w:r>
        <w:rPr>
          <w:rFonts w:cs="Arial"/>
          <w:b/>
          <w:i/>
          <w:lang w:val="en-US"/>
        </w:rPr>
        <w:t>Parameter</w:t>
      </w:r>
      <w:r>
        <w:rPr>
          <w:b/>
          <w:i/>
          <w:szCs w:val="22"/>
          <w:lang w:val="en-US" w:eastAsia="en-GB" w:bidi="ar-SA"/>
        </w:rPr>
        <w:t xml:space="preserve"> P1 is coded according to the following table:</w:t>
      </w:r>
      <w:bookmarkEnd w:id="272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20"/>
        <w:gridCol w:w="320"/>
        <w:gridCol w:w="320"/>
        <w:gridCol w:w="320"/>
        <w:gridCol w:w="320"/>
        <w:gridCol w:w="320"/>
        <w:gridCol w:w="320"/>
        <w:gridCol w:w="320"/>
        <w:gridCol w:w="4154"/>
      </w:tblGrid>
      <w:tr w:rsidR="00B97365" w14:paraId="5802BF37" w14:textId="77777777">
        <w:trPr>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A05DA90" w14:textId="77777777" w:rsidR="00B97365" w:rsidRDefault="00000000">
            <w:pPr>
              <w:rPr>
                <w:rFonts w:cs="Calibri"/>
                <w:color w:val="FFFFFF"/>
                <w:sz w:val="16"/>
                <w:szCs w:val="16"/>
              </w:rPr>
            </w:pPr>
            <w:r>
              <w:rPr>
                <w:rFonts w:cs="Calibri"/>
                <w:color w:val="FFFFFF"/>
                <w:sz w:val="16"/>
                <w:szCs w:val="16"/>
              </w:rPr>
              <w:t xml:space="preserve">b8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D9E89C0" w14:textId="77777777" w:rsidR="00B97365" w:rsidRDefault="00000000">
            <w:pPr>
              <w:rPr>
                <w:rFonts w:cs="Calibri"/>
                <w:color w:val="FFFFFF"/>
                <w:sz w:val="16"/>
                <w:szCs w:val="16"/>
              </w:rPr>
            </w:pPr>
            <w:r>
              <w:rPr>
                <w:rFonts w:cs="Calibri"/>
                <w:color w:val="FFFFFF"/>
                <w:sz w:val="16"/>
                <w:szCs w:val="16"/>
              </w:rPr>
              <w:t xml:space="preserve">b7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6175082" w14:textId="77777777" w:rsidR="00B97365" w:rsidRDefault="00000000">
            <w:pPr>
              <w:rPr>
                <w:rFonts w:cs="Calibri"/>
                <w:color w:val="FFFFFF"/>
                <w:sz w:val="16"/>
                <w:szCs w:val="16"/>
              </w:rPr>
            </w:pPr>
            <w:r>
              <w:rPr>
                <w:rFonts w:cs="Calibri"/>
                <w:color w:val="FFFFFF"/>
                <w:sz w:val="16"/>
                <w:szCs w:val="16"/>
              </w:rPr>
              <w:t xml:space="preserve">b6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7786930" w14:textId="77777777" w:rsidR="00B97365" w:rsidRDefault="00000000">
            <w:pPr>
              <w:rPr>
                <w:rFonts w:cs="Calibri"/>
                <w:color w:val="FFFFFF"/>
                <w:sz w:val="16"/>
                <w:szCs w:val="16"/>
              </w:rPr>
            </w:pPr>
            <w:r>
              <w:rPr>
                <w:rFonts w:cs="Calibri"/>
                <w:color w:val="FFFFFF"/>
                <w:sz w:val="16"/>
                <w:szCs w:val="16"/>
              </w:rPr>
              <w:t xml:space="preserve">b5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16827BC" w14:textId="77777777" w:rsidR="00B97365" w:rsidRDefault="00000000">
            <w:pPr>
              <w:rPr>
                <w:rFonts w:cs="Calibri"/>
                <w:color w:val="FFFFFF"/>
                <w:sz w:val="16"/>
                <w:szCs w:val="16"/>
              </w:rPr>
            </w:pPr>
            <w:r>
              <w:rPr>
                <w:rFonts w:cs="Calibri"/>
                <w:color w:val="FFFFFF"/>
                <w:sz w:val="16"/>
                <w:szCs w:val="16"/>
              </w:rPr>
              <w:t xml:space="preserve">b4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3C93436" w14:textId="77777777" w:rsidR="00B97365" w:rsidRDefault="00000000">
            <w:pPr>
              <w:rPr>
                <w:rFonts w:cs="Calibri"/>
                <w:color w:val="FFFFFF"/>
                <w:sz w:val="16"/>
                <w:szCs w:val="16"/>
              </w:rPr>
            </w:pPr>
            <w:r>
              <w:rPr>
                <w:rFonts w:cs="Calibri"/>
                <w:color w:val="FFFFFF"/>
                <w:sz w:val="16"/>
                <w:szCs w:val="16"/>
              </w:rPr>
              <w:t xml:space="preserve">b3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8E4B815" w14:textId="77777777" w:rsidR="00B97365" w:rsidRDefault="00000000">
            <w:pPr>
              <w:rPr>
                <w:rFonts w:cs="Calibri"/>
                <w:color w:val="FFFFFF"/>
                <w:sz w:val="16"/>
                <w:szCs w:val="16"/>
              </w:rPr>
            </w:pPr>
            <w:r>
              <w:rPr>
                <w:rFonts w:cs="Calibri"/>
                <w:color w:val="FFFFFF"/>
                <w:sz w:val="16"/>
                <w:szCs w:val="16"/>
              </w:rPr>
              <w:t xml:space="preserve">b2 </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976EDDE" w14:textId="77777777" w:rsidR="00B97365" w:rsidRDefault="00000000">
            <w:pPr>
              <w:rPr>
                <w:rFonts w:cs="Calibri"/>
                <w:color w:val="FFFFFF"/>
                <w:sz w:val="16"/>
                <w:szCs w:val="16"/>
              </w:rPr>
            </w:pPr>
            <w:r>
              <w:rPr>
                <w:rFonts w:cs="Calibri"/>
                <w:color w:val="FFFFFF"/>
                <w:sz w:val="16"/>
                <w:szCs w:val="16"/>
              </w:rPr>
              <w:t xml:space="preserve">b1 </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29061BF" w14:textId="77777777" w:rsidR="00B97365" w:rsidRDefault="00000000">
            <w:pPr>
              <w:rPr>
                <w:rFonts w:cs="Calibri"/>
                <w:color w:val="FFFFFF"/>
                <w:sz w:val="16"/>
                <w:szCs w:val="16"/>
              </w:rPr>
            </w:pPr>
            <w:r>
              <w:rPr>
                <w:rFonts w:cs="Calibri"/>
                <w:color w:val="FFFFFF"/>
                <w:sz w:val="16"/>
                <w:szCs w:val="16"/>
              </w:rPr>
              <w:t xml:space="preserve">Meaning </w:t>
            </w:r>
          </w:p>
        </w:tc>
      </w:tr>
      <w:tr w:rsidR="00B97365" w14:paraId="54E66B4F"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7C6E9138" w14:textId="77777777" w:rsidR="00B97365" w:rsidRDefault="00000000">
            <w:pPr>
              <w:rPr>
                <w:rFonts w:cs="Calibri"/>
                <w:b/>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38C6154B"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22BB324"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1843E34"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4953075D"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114E56A7"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55EF7C6"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75415C3"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5FD3A178" w14:textId="77777777" w:rsidR="00B97365" w:rsidRDefault="00000000">
            <w:pPr>
              <w:rPr>
                <w:rFonts w:cs="Calibri"/>
                <w:b/>
                <w:sz w:val="16"/>
                <w:szCs w:val="16"/>
              </w:rPr>
            </w:pPr>
            <w:r>
              <w:rPr>
                <w:rFonts w:cs="Calibri"/>
                <w:sz w:val="16"/>
                <w:szCs w:val="16"/>
              </w:rPr>
              <w:t>Last block</w:t>
            </w:r>
          </w:p>
        </w:tc>
      </w:tr>
      <w:tr w:rsidR="00B97365" w14:paraId="70D9E566"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26AF9310"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8A98CBA" w14:textId="77777777" w:rsidR="00B97365" w:rsidRDefault="00000000">
            <w:pPr>
              <w:rPr>
                <w:rFonts w:cs="Calibri"/>
                <w:b/>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5B889316" w14:textId="77777777" w:rsidR="00B97365" w:rsidRDefault="00000000">
            <w:pPr>
              <w:rPr>
                <w:rFonts w:cs="Calibri"/>
                <w:b/>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217F92D4"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6308EB5"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FDF785D"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B1973FB"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A83491C"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7998AAB5" w14:textId="77777777" w:rsidR="00B97365" w:rsidRDefault="00000000">
            <w:pPr>
              <w:rPr>
                <w:rFonts w:cs="Calibri"/>
                <w:b/>
                <w:sz w:val="16"/>
                <w:szCs w:val="16"/>
              </w:rPr>
            </w:pPr>
            <w:r>
              <w:rPr>
                <w:rFonts w:cs="Calibri"/>
                <w:sz w:val="16"/>
                <w:szCs w:val="16"/>
              </w:rPr>
              <w:t xml:space="preserve">No general encryption information or non-encrypted data </w:t>
            </w:r>
          </w:p>
        </w:tc>
      </w:tr>
      <w:tr w:rsidR="00B97365" w14:paraId="446DEB3D" w14:textId="77777777">
        <w:trPr>
          <w:tblHeader/>
          <w:jc w:val="center"/>
        </w:trPr>
        <w:tc>
          <w:tcPr>
            <w:tcW w:w="0" w:type="auto"/>
            <w:tcBorders>
              <w:top w:val="single" w:sz="6" w:space="0" w:color="auto"/>
              <w:left w:val="single" w:sz="4" w:space="0" w:color="auto"/>
              <w:bottom w:val="single" w:sz="6" w:space="0" w:color="auto"/>
              <w:right w:val="single" w:sz="6" w:space="0" w:color="auto"/>
            </w:tcBorders>
            <w:hideMark/>
          </w:tcPr>
          <w:p w14:paraId="72427FCD"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7C2DBE26"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01E4C08E"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3FBBA7BB" w14:textId="77777777" w:rsidR="00B97365" w:rsidRDefault="00000000">
            <w:pPr>
              <w:rPr>
                <w:rFonts w:cs="Calibri"/>
                <w:b/>
                <w:sz w:val="16"/>
                <w:szCs w:val="16"/>
              </w:rPr>
            </w:pPr>
            <w:r>
              <w:rPr>
                <w:rFonts w:cs="Calibri"/>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1D1E87DB" w14:textId="77777777" w:rsidR="00B97365" w:rsidRDefault="00000000">
            <w:pPr>
              <w:rPr>
                <w:rFonts w:cs="Calibri"/>
                <w:b/>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374E9BA6"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DB606E5"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B3365FF"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6" w:space="0" w:color="auto"/>
              <w:right w:val="single" w:sz="4" w:space="0" w:color="auto"/>
            </w:tcBorders>
            <w:hideMark/>
          </w:tcPr>
          <w:p w14:paraId="6DDCA334" w14:textId="77777777" w:rsidR="00B97365" w:rsidRDefault="00000000">
            <w:pPr>
              <w:rPr>
                <w:rFonts w:cs="Calibri"/>
                <w:b/>
                <w:sz w:val="16"/>
                <w:szCs w:val="16"/>
              </w:rPr>
            </w:pPr>
            <w:r>
              <w:rPr>
                <w:rFonts w:cs="Calibri"/>
                <w:sz w:val="16"/>
                <w:szCs w:val="16"/>
              </w:rPr>
              <w:t>DGI format of the command data field</w:t>
            </w:r>
          </w:p>
        </w:tc>
      </w:tr>
      <w:tr w:rsidR="00B97365" w14:paraId="4E9E3CEA" w14:textId="77777777">
        <w:trPr>
          <w:tblHeader/>
          <w:jc w:val="center"/>
        </w:trPr>
        <w:tc>
          <w:tcPr>
            <w:tcW w:w="0" w:type="auto"/>
            <w:tcBorders>
              <w:top w:val="single" w:sz="6" w:space="0" w:color="auto"/>
              <w:left w:val="single" w:sz="4" w:space="0" w:color="auto"/>
              <w:bottom w:val="single" w:sz="4" w:space="0" w:color="auto"/>
              <w:right w:val="single" w:sz="6" w:space="0" w:color="auto"/>
            </w:tcBorders>
            <w:hideMark/>
          </w:tcPr>
          <w:p w14:paraId="47E66BFC"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6DC980CE"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665F4C01"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70F3B53A"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507C5D5E" w14:textId="77777777" w:rsidR="00B97365" w:rsidRDefault="00000000">
            <w:pPr>
              <w:rPr>
                <w:rFonts w:cs="Calibri"/>
                <w:b/>
                <w:sz w:val="16"/>
                <w:szCs w:val="16"/>
              </w:rPr>
            </w:pP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hideMark/>
          </w:tcPr>
          <w:p w14:paraId="4E16BD2F" w14:textId="77777777" w:rsidR="00B97365" w:rsidRDefault="00000000">
            <w:pPr>
              <w:rPr>
                <w:rFonts w:cs="Calibri"/>
                <w:b/>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59648C57" w14:textId="77777777" w:rsidR="00B97365" w:rsidRDefault="00000000">
            <w:pPr>
              <w:rPr>
                <w:rFonts w:cs="Calibri"/>
                <w:b/>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6" w:space="0" w:color="auto"/>
            </w:tcBorders>
            <w:hideMark/>
          </w:tcPr>
          <w:p w14:paraId="0168BE66" w14:textId="77777777" w:rsidR="00B97365" w:rsidRDefault="00000000">
            <w:pPr>
              <w:rPr>
                <w:rFonts w:cs="Calibri"/>
                <w:b/>
                <w:sz w:val="16"/>
                <w:szCs w:val="16"/>
              </w:rPr>
            </w:pPr>
            <w:r>
              <w:rPr>
                <w:rFonts w:cs="Calibri"/>
                <w:sz w:val="16"/>
                <w:szCs w:val="16"/>
              </w:rPr>
              <w:t>X</w:t>
            </w:r>
          </w:p>
        </w:tc>
        <w:tc>
          <w:tcPr>
            <w:tcW w:w="0" w:type="auto"/>
            <w:tcBorders>
              <w:top w:val="single" w:sz="6" w:space="0" w:color="auto"/>
              <w:left w:val="single" w:sz="6" w:space="0" w:color="auto"/>
              <w:bottom w:val="single" w:sz="4" w:space="0" w:color="auto"/>
              <w:right w:val="single" w:sz="4" w:space="0" w:color="auto"/>
            </w:tcBorders>
            <w:hideMark/>
          </w:tcPr>
          <w:p w14:paraId="2A5D0BE6" w14:textId="77777777" w:rsidR="00B97365" w:rsidRDefault="00000000">
            <w:pPr>
              <w:rPr>
                <w:rFonts w:cs="Calibri"/>
                <w:b/>
                <w:sz w:val="16"/>
                <w:szCs w:val="16"/>
              </w:rPr>
            </w:pPr>
            <w:r>
              <w:rPr>
                <w:rFonts w:cs="Calibri"/>
                <w:sz w:val="16"/>
                <w:szCs w:val="16"/>
              </w:rPr>
              <w:t>RFU</w:t>
            </w:r>
          </w:p>
        </w:tc>
      </w:tr>
    </w:tbl>
    <w:p w14:paraId="2793B17E"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STORE DATA Reference Control Parameter P1</w:t>
      </w:r>
    </w:p>
    <w:p w14:paraId="680CEDB6" w14:textId="77777777" w:rsidR="00B97365" w:rsidRDefault="00000000">
      <w:pPr>
        <w:spacing w:before="0" w:after="200" w:line="276" w:lineRule="auto"/>
        <w:jc w:val="left"/>
        <w:rPr>
          <w:b/>
          <w:i/>
          <w:szCs w:val="22"/>
          <w:lang w:val="en-US" w:eastAsia="en-GB" w:bidi="ar-SA"/>
        </w:rPr>
      </w:pPr>
      <w:bookmarkStart w:id="2729" w:name="_Toc420594676"/>
      <w:r>
        <w:rPr>
          <w:rFonts w:cs="Arial"/>
          <w:b/>
          <w:i/>
          <w:szCs w:val="22"/>
          <w:lang w:val="en-US" w:eastAsia="en-GB" w:bidi="ar-SA"/>
        </w:rPr>
        <w:t xml:space="preserve">Data </w:t>
      </w:r>
      <w:r>
        <w:rPr>
          <w:b/>
          <w:i/>
          <w:lang w:val="en-US"/>
        </w:rPr>
        <w:t>Field</w:t>
      </w:r>
      <w:r>
        <w:rPr>
          <w:b/>
          <w:i/>
          <w:szCs w:val="22"/>
          <w:lang w:val="en-US" w:eastAsia="en-GB" w:bidi="ar-SA"/>
        </w:rPr>
        <w:t xml:space="preserve"> Sent in the Command Message</w:t>
      </w:r>
      <w:bookmarkEnd w:id="2729"/>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36"/>
        <w:gridCol w:w="903"/>
        <w:gridCol w:w="979"/>
        <w:gridCol w:w="1311"/>
        <w:gridCol w:w="3936"/>
        <w:gridCol w:w="1051"/>
      </w:tblGrid>
      <w:tr w:rsidR="00B97365" w14:paraId="740E7267" w14:textId="77777777">
        <w:trPr>
          <w:cantSplit/>
          <w:tblHeader/>
          <w:jc w:val="center"/>
        </w:trPr>
        <w:tc>
          <w:tcPr>
            <w:tcW w:w="463" w:type="pct"/>
            <w:tcBorders>
              <w:top w:val="single" w:sz="4" w:space="0" w:color="auto"/>
              <w:left w:val="single" w:sz="4" w:space="0" w:color="auto"/>
              <w:bottom w:val="single" w:sz="6" w:space="0" w:color="auto"/>
              <w:right w:val="single" w:sz="6" w:space="0" w:color="auto"/>
            </w:tcBorders>
            <w:shd w:val="clear" w:color="auto" w:fill="C00000"/>
            <w:hideMark/>
          </w:tcPr>
          <w:p w14:paraId="53084F22" w14:textId="77777777" w:rsidR="00B97365" w:rsidRDefault="00000000">
            <w:pPr>
              <w:jc w:val="center"/>
              <w:rPr>
                <w:rFonts w:cs="Calibri"/>
                <w:color w:val="FFFFFF"/>
                <w:sz w:val="16"/>
                <w:szCs w:val="16"/>
              </w:rPr>
            </w:pPr>
            <w:r>
              <w:rPr>
                <w:rFonts w:cs="Calibri"/>
                <w:color w:val="FFFFFF"/>
                <w:sz w:val="16"/>
                <w:szCs w:val="16"/>
              </w:rPr>
              <w:t>DGI</w:t>
            </w:r>
          </w:p>
        </w:tc>
        <w:tc>
          <w:tcPr>
            <w:tcW w:w="501" w:type="pct"/>
            <w:tcBorders>
              <w:top w:val="single" w:sz="4" w:space="0" w:color="auto"/>
              <w:left w:val="single" w:sz="6" w:space="0" w:color="auto"/>
              <w:bottom w:val="single" w:sz="6" w:space="0" w:color="auto"/>
              <w:right w:val="single" w:sz="6" w:space="0" w:color="auto"/>
            </w:tcBorders>
            <w:shd w:val="clear" w:color="auto" w:fill="C00000"/>
            <w:hideMark/>
          </w:tcPr>
          <w:p w14:paraId="00D0BA66" w14:textId="77777777" w:rsidR="00B97365" w:rsidRDefault="00000000">
            <w:pPr>
              <w:jc w:val="center"/>
              <w:rPr>
                <w:rFonts w:cs="Calibri"/>
                <w:color w:val="FFFFFF"/>
                <w:sz w:val="16"/>
                <w:szCs w:val="16"/>
              </w:rPr>
            </w:pPr>
            <w:r>
              <w:rPr>
                <w:rFonts w:cs="Calibri"/>
                <w:color w:val="FFFFFF"/>
                <w:sz w:val="16"/>
                <w:szCs w:val="16"/>
              </w:rPr>
              <w:t>Length</w:t>
            </w:r>
          </w:p>
        </w:tc>
        <w:tc>
          <w:tcPr>
            <w:tcW w:w="3453"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628B95DF" w14:textId="77777777" w:rsidR="00B97365" w:rsidRDefault="00000000">
            <w:pPr>
              <w:jc w:val="center"/>
              <w:rPr>
                <w:rFonts w:cs="Calibri"/>
                <w:color w:val="FFFFFF"/>
                <w:sz w:val="16"/>
                <w:szCs w:val="16"/>
              </w:rPr>
            </w:pPr>
            <w:r>
              <w:rPr>
                <w:rFonts w:cs="Calibri"/>
                <w:color w:val="FFFFFF"/>
                <w:sz w:val="16"/>
                <w:szCs w:val="16"/>
              </w:rPr>
              <w:t>Value Description</w:t>
            </w:r>
          </w:p>
        </w:tc>
        <w:tc>
          <w:tcPr>
            <w:tcW w:w="584" w:type="pct"/>
            <w:tcBorders>
              <w:top w:val="single" w:sz="4" w:space="0" w:color="auto"/>
              <w:left w:val="single" w:sz="6" w:space="0" w:color="auto"/>
              <w:bottom w:val="single" w:sz="6" w:space="0" w:color="auto"/>
              <w:right w:val="single" w:sz="4" w:space="0" w:color="auto"/>
            </w:tcBorders>
            <w:shd w:val="clear" w:color="auto" w:fill="C00000"/>
            <w:hideMark/>
          </w:tcPr>
          <w:p w14:paraId="20017C68" w14:textId="77777777" w:rsidR="00B97365" w:rsidRDefault="00000000">
            <w:pPr>
              <w:jc w:val="center"/>
              <w:rPr>
                <w:rFonts w:cs="Calibri"/>
                <w:color w:val="FFFFFF"/>
                <w:sz w:val="16"/>
                <w:szCs w:val="16"/>
              </w:rPr>
            </w:pPr>
            <w:r>
              <w:rPr>
                <w:rFonts w:cs="Calibri"/>
                <w:color w:val="FFFFFF"/>
                <w:sz w:val="16"/>
                <w:szCs w:val="16"/>
              </w:rPr>
              <w:t>MOC</w:t>
            </w:r>
          </w:p>
        </w:tc>
      </w:tr>
      <w:tr w:rsidR="00B97365" w14:paraId="10C9616B" w14:textId="77777777">
        <w:trPr>
          <w:cantSplit/>
          <w:jc w:val="center"/>
        </w:trPr>
        <w:tc>
          <w:tcPr>
            <w:tcW w:w="463" w:type="pct"/>
            <w:tcBorders>
              <w:top w:val="single" w:sz="6" w:space="0" w:color="auto"/>
              <w:left w:val="single" w:sz="4" w:space="0" w:color="auto"/>
              <w:bottom w:val="single" w:sz="6" w:space="0" w:color="auto"/>
              <w:right w:val="single" w:sz="6" w:space="0" w:color="auto"/>
            </w:tcBorders>
            <w:hideMark/>
          </w:tcPr>
          <w:p w14:paraId="6947C457" w14:textId="77777777" w:rsidR="00B97365" w:rsidRDefault="00000000">
            <w:pPr>
              <w:rPr>
                <w:rFonts w:cs="Calibri"/>
                <w:sz w:val="16"/>
                <w:szCs w:val="16"/>
              </w:rPr>
            </w:pPr>
            <w:r>
              <w:rPr>
                <w:rFonts w:cs="Calibri"/>
                <w:sz w:val="16"/>
                <w:szCs w:val="16"/>
              </w:rPr>
              <w:t>'3A07'</w:t>
            </w:r>
          </w:p>
        </w:tc>
        <w:tc>
          <w:tcPr>
            <w:tcW w:w="501" w:type="pct"/>
            <w:tcBorders>
              <w:top w:val="single" w:sz="6" w:space="0" w:color="auto"/>
              <w:left w:val="single" w:sz="6" w:space="0" w:color="auto"/>
              <w:bottom w:val="single" w:sz="6" w:space="0" w:color="auto"/>
              <w:right w:val="single" w:sz="6" w:space="0" w:color="auto"/>
            </w:tcBorders>
            <w:hideMark/>
          </w:tcPr>
          <w:p w14:paraId="01441F3E" w14:textId="77777777" w:rsidR="00B97365" w:rsidRDefault="00000000">
            <w:pPr>
              <w:rPr>
                <w:rFonts w:cs="Calibri"/>
                <w:sz w:val="16"/>
                <w:szCs w:val="16"/>
              </w:rPr>
            </w:pPr>
            <w:r>
              <w:rPr>
                <w:rFonts w:cs="Calibri"/>
                <w:sz w:val="16"/>
                <w:szCs w:val="16"/>
              </w:rPr>
              <w:t>Var</w:t>
            </w:r>
          </w:p>
        </w:tc>
        <w:tc>
          <w:tcPr>
            <w:tcW w:w="3453" w:type="pct"/>
            <w:gridSpan w:val="3"/>
            <w:tcBorders>
              <w:top w:val="single" w:sz="6" w:space="0" w:color="auto"/>
              <w:left w:val="single" w:sz="6" w:space="0" w:color="auto"/>
              <w:bottom w:val="single" w:sz="6" w:space="0" w:color="auto"/>
              <w:right w:val="single" w:sz="6" w:space="0" w:color="auto"/>
            </w:tcBorders>
            <w:hideMark/>
          </w:tcPr>
          <w:p w14:paraId="2D6F34A3" w14:textId="77777777" w:rsidR="00B97365" w:rsidRDefault="00000000">
            <w:pPr>
              <w:rPr>
                <w:rFonts w:cs="Calibri"/>
                <w:sz w:val="16"/>
                <w:szCs w:val="16"/>
              </w:rPr>
            </w:pPr>
            <w:r>
              <w:rPr>
                <w:rFonts w:cs="Calibri"/>
                <w:sz w:val="16"/>
                <w:szCs w:val="16"/>
              </w:rPr>
              <w:t>Connectivity Parameters</w:t>
            </w:r>
          </w:p>
        </w:tc>
        <w:tc>
          <w:tcPr>
            <w:tcW w:w="584" w:type="pct"/>
            <w:tcBorders>
              <w:top w:val="single" w:sz="6" w:space="0" w:color="auto"/>
              <w:left w:val="single" w:sz="6" w:space="0" w:color="auto"/>
              <w:bottom w:val="single" w:sz="6" w:space="0" w:color="auto"/>
              <w:right w:val="single" w:sz="4" w:space="0" w:color="auto"/>
            </w:tcBorders>
            <w:hideMark/>
          </w:tcPr>
          <w:p w14:paraId="1E432404" w14:textId="77777777" w:rsidR="00B97365" w:rsidRDefault="00000000">
            <w:pPr>
              <w:jc w:val="center"/>
              <w:rPr>
                <w:rFonts w:cs="Calibri"/>
                <w:sz w:val="16"/>
                <w:szCs w:val="16"/>
              </w:rPr>
            </w:pPr>
            <w:r>
              <w:rPr>
                <w:rFonts w:cs="Calibri"/>
                <w:sz w:val="16"/>
                <w:szCs w:val="16"/>
              </w:rPr>
              <w:t>M</w:t>
            </w:r>
          </w:p>
        </w:tc>
      </w:tr>
      <w:tr w:rsidR="00B97365" w14:paraId="6136EF4F" w14:textId="77777777">
        <w:trPr>
          <w:cantSplit/>
          <w:jc w:val="center"/>
        </w:trPr>
        <w:tc>
          <w:tcPr>
            <w:tcW w:w="463" w:type="pct"/>
            <w:tcBorders>
              <w:top w:val="single" w:sz="6" w:space="0" w:color="auto"/>
              <w:left w:val="single" w:sz="4" w:space="0" w:color="auto"/>
              <w:bottom w:val="single" w:sz="6" w:space="0" w:color="auto"/>
              <w:right w:val="single" w:sz="6" w:space="0" w:color="auto"/>
            </w:tcBorders>
          </w:tcPr>
          <w:p w14:paraId="18AB0B4B" w14:textId="77777777" w:rsidR="00B97365" w:rsidRDefault="00B97365">
            <w:pPr>
              <w:rPr>
                <w:rFonts w:cs="Calibri"/>
                <w:sz w:val="16"/>
                <w:szCs w:val="16"/>
              </w:rPr>
            </w:pPr>
          </w:p>
        </w:tc>
        <w:tc>
          <w:tcPr>
            <w:tcW w:w="501" w:type="pct"/>
            <w:tcBorders>
              <w:top w:val="single" w:sz="6" w:space="0" w:color="auto"/>
              <w:left w:val="single" w:sz="6" w:space="0" w:color="auto"/>
              <w:bottom w:val="single" w:sz="6" w:space="0" w:color="auto"/>
              <w:right w:val="single" w:sz="6" w:space="0" w:color="auto"/>
            </w:tcBorders>
          </w:tcPr>
          <w:p w14:paraId="74DD0E07" w14:textId="77777777" w:rsidR="00B97365" w:rsidRDefault="00B97365">
            <w:pPr>
              <w:rPr>
                <w:rFonts w:cs="Calibri"/>
                <w:sz w:val="16"/>
                <w:szCs w:val="16"/>
              </w:rPr>
            </w:pPr>
          </w:p>
        </w:tc>
        <w:tc>
          <w:tcPr>
            <w:tcW w:w="543" w:type="pct"/>
            <w:tcBorders>
              <w:top w:val="single" w:sz="6" w:space="0" w:color="auto"/>
              <w:left w:val="single" w:sz="6" w:space="0" w:color="auto"/>
              <w:bottom w:val="single" w:sz="6" w:space="0" w:color="auto"/>
              <w:right w:val="single" w:sz="6" w:space="0" w:color="auto"/>
            </w:tcBorders>
            <w:shd w:val="clear" w:color="auto" w:fill="C00000"/>
            <w:hideMark/>
          </w:tcPr>
          <w:p w14:paraId="5F701991" w14:textId="77777777" w:rsidR="00B97365" w:rsidRDefault="00000000">
            <w:pPr>
              <w:jc w:val="center"/>
              <w:rPr>
                <w:rFonts w:cs="Calibri"/>
                <w:color w:val="FFFFFF"/>
                <w:sz w:val="16"/>
                <w:szCs w:val="16"/>
              </w:rPr>
            </w:pPr>
            <w:r>
              <w:rPr>
                <w:rFonts w:cs="Calibri"/>
                <w:color w:val="FFFFFF"/>
                <w:sz w:val="16"/>
                <w:szCs w:val="16"/>
              </w:rPr>
              <w:t>Tag</w:t>
            </w:r>
          </w:p>
        </w:tc>
        <w:tc>
          <w:tcPr>
            <w:tcW w:w="727" w:type="pct"/>
            <w:tcBorders>
              <w:top w:val="single" w:sz="6" w:space="0" w:color="auto"/>
              <w:left w:val="single" w:sz="6" w:space="0" w:color="auto"/>
              <w:bottom w:val="single" w:sz="6" w:space="0" w:color="auto"/>
              <w:right w:val="single" w:sz="6" w:space="0" w:color="auto"/>
            </w:tcBorders>
            <w:shd w:val="clear" w:color="auto" w:fill="C00000"/>
            <w:hideMark/>
          </w:tcPr>
          <w:p w14:paraId="6A91AB03" w14:textId="77777777" w:rsidR="00B97365" w:rsidRDefault="00000000">
            <w:pPr>
              <w:jc w:val="center"/>
              <w:rPr>
                <w:rFonts w:cs="Calibri"/>
                <w:color w:val="FFFFFF"/>
                <w:sz w:val="16"/>
                <w:szCs w:val="16"/>
              </w:rPr>
            </w:pPr>
            <w:r>
              <w:rPr>
                <w:rFonts w:cs="Calibri"/>
                <w:color w:val="FFFFFF"/>
                <w:sz w:val="16"/>
                <w:szCs w:val="16"/>
              </w:rPr>
              <w:t>Length</w:t>
            </w:r>
          </w:p>
        </w:tc>
        <w:tc>
          <w:tcPr>
            <w:tcW w:w="2183" w:type="pct"/>
            <w:tcBorders>
              <w:top w:val="single" w:sz="6" w:space="0" w:color="auto"/>
              <w:left w:val="single" w:sz="6" w:space="0" w:color="auto"/>
              <w:bottom w:val="single" w:sz="6" w:space="0" w:color="auto"/>
              <w:right w:val="single" w:sz="6" w:space="0" w:color="auto"/>
            </w:tcBorders>
            <w:shd w:val="clear" w:color="auto" w:fill="C00000"/>
            <w:hideMark/>
          </w:tcPr>
          <w:p w14:paraId="715A7C09" w14:textId="77777777" w:rsidR="00B97365" w:rsidRDefault="00000000">
            <w:pPr>
              <w:jc w:val="center"/>
              <w:rPr>
                <w:rFonts w:cs="Calibri"/>
                <w:color w:val="FFFFFF"/>
                <w:sz w:val="16"/>
                <w:szCs w:val="16"/>
              </w:rPr>
            </w:pPr>
            <w:r>
              <w:rPr>
                <w:rFonts w:cs="Calibri"/>
                <w:color w:val="FFFFFF"/>
                <w:sz w:val="16"/>
                <w:szCs w:val="16"/>
              </w:rPr>
              <w:t>Value Description</w:t>
            </w:r>
          </w:p>
        </w:tc>
        <w:tc>
          <w:tcPr>
            <w:tcW w:w="584" w:type="pct"/>
            <w:tcBorders>
              <w:top w:val="single" w:sz="6" w:space="0" w:color="auto"/>
              <w:left w:val="single" w:sz="6" w:space="0" w:color="auto"/>
              <w:bottom w:val="single" w:sz="6" w:space="0" w:color="auto"/>
              <w:right w:val="single" w:sz="4" w:space="0" w:color="auto"/>
            </w:tcBorders>
            <w:shd w:val="clear" w:color="auto" w:fill="C00000"/>
            <w:hideMark/>
          </w:tcPr>
          <w:p w14:paraId="37555F54" w14:textId="77777777" w:rsidR="00B97365" w:rsidRDefault="00000000">
            <w:pPr>
              <w:jc w:val="center"/>
              <w:rPr>
                <w:rFonts w:cs="Calibri"/>
                <w:color w:val="FFFFFF"/>
                <w:sz w:val="16"/>
                <w:szCs w:val="16"/>
              </w:rPr>
            </w:pPr>
            <w:r>
              <w:rPr>
                <w:rFonts w:cs="Calibri"/>
                <w:color w:val="FFFFFF"/>
                <w:sz w:val="16"/>
                <w:szCs w:val="16"/>
              </w:rPr>
              <w:t>MOC</w:t>
            </w:r>
          </w:p>
        </w:tc>
      </w:tr>
      <w:tr w:rsidR="00B97365" w14:paraId="33BCBF19" w14:textId="77777777">
        <w:trPr>
          <w:cantSplit/>
          <w:jc w:val="center"/>
        </w:trPr>
        <w:tc>
          <w:tcPr>
            <w:tcW w:w="463" w:type="pct"/>
            <w:tcBorders>
              <w:top w:val="single" w:sz="6" w:space="0" w:color="auto"/>
              <w:left w:val="single" w:sz="4" w:space="0" w:color="auto"/>
              <w:bottom w:val="single" w:sz="6" w:space="0" w:color="auto"/>
              <w:right w:val="single" w:sz="6" w:space="0" w:color="auto"/>
            </w:tcBorders>
          </w:tcPr>
          <w:p w14:paraId="138782B8" w14:textId="77777777" w:rsidR="00B97365" w:rsidRDefault="00B97365">
            <w:pPr>
              <w:rPr>
                <w:rFonts w:cs="Calibri"/>
                <w:sz w:val="16"/>
                <w:szCs w:val="16"/>
              </w:rPr>
            </w:pPr>
          </w:p>
        </w:tc>
        <w:tc>
          <w:tcPr>
            <w:tcW w:w="501" w:type="pct"/>
            <w:tcBorders>
              <w:top w:val="single" w:sz="6" w:space="0" w:color="auto"/>
              <w:left w:val="single" w:sz="6" w:space="0" w:color="auto"/>
              <w:bottom w:val="single" w:sz="6" w:space="0" w:color="auto"/>
              <w:right w:val="single" w:sz="6" w:space="0" w:color="auto"/>
            </w:tcBorders>
          </w:tcPr>
          <w:p w14:paraId="50AE783A" w14:textId="77777777" w:rsidR="00B97365" w:rsidRDefault="00B97365">
            <w:pPr>
              <w:rPr>
                <w:rFonts w:cs="Calibri"/>
                <w:sz w:val="16"/>
                <w:szCs w:val="16"/>
              </w:rPr>
            </w:pPr>
          </w:p>
        </w:tc>
        <w:tc>
          <w:tcPr>
            <w:tcW w:w="543" w:type="pct"/>
            <w:tcBorders>
              <w:top w:val="single" w:sz="6" w:space="0" w:color="auto"/>
              <w:left w:val="single" w:sz="6" w:space="0" w:color="auto"/>
              <w:bottom w:val="single" w:sz="6" w:space="0" w:color="auto"/>
              <w:right w:val="single" w:sz="6" w:space="0" w:color="auto"/>
            </w:tcBorders>
            <w:hideMark/>
          </w:tcPr>
          <w:p w14:paraId="5047296D" w14:textId="77777777" w:rsidR="00B97365" w:rsidRDefault="00000000">
            <w:pPr>
              <w:rPr>
                <w:rFonts w:cs="Calibri"/>
                <w:sz w:val="16"/>
                <w:szCs w:val="16"/>
              </w:rPr>
            </w:pPr>
            <w:r>
              <w:rPr>
                <w:rFonts w:cs="Calibri"/>
                <w:sz w:val="16"/>
                <w:szCs w:val="16"/>
              </w:rPr>
              <w:t>'A0'</w:t>
            </w:r>
          </w:p>
        </w:tc>
        <w:tc>
          <w:tcPr>
            <w:tcW w:w="727" w:type="pct"/>
            <w:tcBorders>
              <w:top w:val="single" w:sz="6" w:space="0" w:color="auto"/>
              <w:left w:val="single" w:sz="6" w:space="0" w:color="auto"/>
              <w:bottom w:val="single" w:sz="6" w:space="0" w:color="auto"/>
              <w:right w:val="single" w:sz="6" w:space="0" w:color="auto"/>
            </w:tcBorders>
            <w:hideMark/>
          </w:tcPr>
          <w:p w14:paraId="550D2B10" w14:textId="77777777" w:rsidR="00B97365" w:rsidRDefault="00000000">
            <w:pPr>
              <w:rPr>
                <w:rFonts w:cs="Calibri"/>
                <w:sz w:val="16"/>
                <w:szCs w:val="16"/>
              </w:rPr>
            </w:pPr>
            <w:r>
              <w:rPr>
                <w:rFonts w:cs="Calibri"/>
                <w:sz w:val="16"/>
                <w:szCs w:val="16"/>
              </w:rPr>
              <w:t>n</w:t>
            </w:r>
          </w:p>
        </w:tc>
        <w:tc>
          <w:tcPr>
            <w:tcW w:w="2183" w:type="pct"/>
            <w:tcBorders>
              <w:top w:val="single" w:sz="6" w:space="0" w:color="auto"/>
              <w:left w:val="single" w:sz="6" w:space="0" w:color="auto"/>
              <w:bottom w:val="single" w:sz="6" w:space="0" w:color="auto"/>
              <w:right w:val="single" w:sz="6" w:space="0" w:color="auto"/>
            </w:tcBorders>
            <w:hideMark/>
          </w:tcPr>
          <w:p w14:paraId="7539F74D" w14:textId="77777777" w:rsidR="00B97365" w:rsidRDefault="00000000">
            <w:pPr>
              <w:rPr>
                <w:rFonts w:cs="Calibri"/>
                <w:sz w:val="16"/>
                <w:szCs w:val="16"/>
              </w:rPr>
            </w:pPr>
            <w:r>
              <w:rPr>
                <w:rFonts w:cs="Calibri"/>
                <w:sz w:val="16"/>
                <w:szCs w:val="16"/>
              </w:rPr>
              <w:t>Connectivity parameters for SMS protocol</w:t>
            </w:r>
          </w:p>
        </w:tc>
        <w:tc>
          <w:tcPr>
            <w:tcW w:w="584" w:type="pct"/>
            <w:tcBorders>
              <w:top w:val="single" w:sz="6" w:space="0" w:color="auto"/>
              <w:left w:val="single" w:sz="6" w:space="0" w:color="auto"/>
              <w:bottom w:val="single" w:sz="6" w:space="0" w:color="auto"/>
              <w:right w:val="single" w:sz="4" w:space="0" w:color="auto"/>
            </w:tcBorders>
            <w:hideMark/>
          </w:tcPr>
          <w:p w14:paraId="4BD133CB" w14:textId="77777777" w:rsidR="00B97365" w:rsidRDefault="00000000">
            <w:pPr>
              <w:jc w:val="center"/>
              <w:rPr>
                <w:rFonts w:cs="Calibri"/>
                <w:sz w:val="16"/>
                <w:szCs w:val="16"/>
              </w:rPr>
            </w:pPr>
            <w:r>
              <w:rPr>
                <w:rFonts w:cs="Calibri"/>
                <w:sz w:val="16"/>
                <w:szCs w:val="16"/>
              </w:rPr>
              <w:t>C</w:t>
            </w:r>
          </w:p>
        </w:tc>
      </w:tr>
      <w:tr w:rsidR="00B97365" w14:paraId="6C2A80EB" w14:textId="77777777">
        <w:trPr>
          <w:cantSplit/>
          <w:jc w:val="center"/>
        </w:trPr>
        <w:tc>
          <w:tcPr>
            <w:tcW w:w="463" w:type="pct"/>
            <w:tcBorders>
              <w:top w:val="single" w:sz="6" w:space="0" w:color="auto"/>
              <w:left w:val="single" w:sz="4" w:space="0" w:color="auto"/>
              <w:bottom w:val="single" w:sz="6" w:space="0" w:color="auto"/>
              <w:right w:val="single" w:sz="6" w:space="0" w:color="auto"/>
            </w:tcBorders>
          </w:tcPr>
          <w:p w14:paraId="6AFBFF71" w14:textId="77777777" w:rsidR="00B97365" w:rsidRDefault="00B97365">
            <w:pPr>
              <w:rPr>
                <w:rFonts w:cs="Calibri"/>
                <w:sz w:val="16"/>
                <w:szCs w:val="16"/>
              </w:rPr>
            </w:pPr>
          </w:p>
        </w:tc>
        <w:tc>
          <w:tcPr>
            <w:tcW w:w="501" w:type="pct"/>
            <w:tcBorders>
              <w:top w:val="single" w:sz="6" w:space="0" w:color="auto"/>
              <w:left w:val="single" w:sz="6" w:space="0" w:color="auto"/>
              <w:bottom w:val="single" w:sz="6" w:space="0" w:color="auto"/>
              <w:right w:val="single" w:sz="6" w:space="0" w:color="auto"/>
            </w:tcBorders>
          </w:tcPr>
          <w:p w14:paraId="60837854" w14:textId="77777777" w:rsidR="00B97365" w:rsidRDefault="00B97365">
            <w:pPr>
              <w:rPr>
                <w:rFonts w:cs="Calibri"/>
                <w:sz w:val="16"/>
                <w:szCs w:val="16"/>
              </w:rPr>
            </w:pPr>
          </w:p>
        </w:tc>
        <w:tc>
          <w:tcPr>
            <w:tcW w:w="543" w:type="pct"/>
            <w:tcBorders>
              <w:top w:val="single" w:sz="6" w:space="0" w:color="auto"/>
              <w:left w:val="single" w:sz="6" w:space="0" w:color="auto"/>
              <w:bottom w:val="single" w:sz="6" w:space="0" w:color="auto"/>
              <w:right w:val="single" w:sz="6" w:space="0" w:color="auto"/>
            </w:tcBorders>
            <w:hideMark/>
          </w:tcPr>
          <w:p w14:paraId="2EAC061C" w14:textId="77777777" w:rsidR="00B97365" w:rsidRDefault="00000000">
            <w:pPr>
              <w:rPr>
                <w:rFonts w:cs="Calibri"/>
                <w:sz w:val="16"/>
                <w:szCs w:val="16"/>
              </w:rPr>
            </w:pPr>
            <w:r>
              <w:rPr>
                <w:rFonts w:cs="Calibri"/>
                <w:sz w:val="16"/>
                <w:szCs w:val="16"/>
              </w:rPr>
              <w:t>'A1'</w:t>
            </w:r>
          </w:p>
        </w:tc>
        <w:tc>
          <w:tcPr>
            <w:tcW w:w="727" w:type="pct"/>
            <w:tcBorders>
              <w:top w:val="single" w:sz="6" w:space="0" w:color="auto"/>
              <w:left w:val="single" w:sz="6" w:space="0" w:color="auto"/>
              <w:bottom w:val="single" w:sz="6" w:space="0" w:color="auto"/>
              <w:right w:val="single" w:sz="6" w:space="0" w:color="auto"/>
            </w:tcBorders>
            <w:hideMark/>
          </w:tcPr>
          <w:p w14:paraId="1873209D" w14:textId="77777777" w:rsidR="00B97365" w:rsidRDefault="00000000">
            <w:pPr>
              <w:rPr>
                <w:rFonts w:cs="Calibri"/>
                <w:sz w:val="16"/>
                <w:szCs w:val="16"/>
              </w:rPr>
            </w:pPr>
            <w:r>
              <w:rPr>
                <w:rFonts w:cs="Calibri"/>
                <w:sz w:val="16"/>
                <w:szCs w:val="16"/>
              </w:rPr>
              <w:t>n</w:t>
            </w:r>
          </w:p>
        </w:tc>
        <w:tc>
          <w:tcPr>
            <w:tcW w:w="2183" w:type="pct"/>
            <w:tcBorders>
              <w:top w:val="single" w:sz="6" w:space="0" w:color="auto"/>
              <w:left w:val="single" w:sz="6" w:space="0" w:color="auto"/>
              <w:bottom w:val="single" w:sz="6" w:space="0" w:color="auto"/>
              <w:right w:val="single" w:sz="6" w:space="0" w:color="auto"/>
            </w:tcBorders>
            <w:hideMark/>
          </w:tcPr>
          <w:p w14:paraId="13B6E29B" w14:textId="77777777" w:rsidR="00B97365" w:rsidRDefault="00000000">
            <w:pPr>
              <w:rPr>
                <w:rFonts w:cs="Calibri"/>
                <w:sz w:val="16"/>
                <w:szCs w:val="16"/>
              </w:rPr>
            </w:pPr>
            <w:r>
              <w:rPr>
                <w:rFonts w:cs="Calibri"/>
                <w:sz w:val="16"/>
                <w:szCs w:val="16"/>
              </w:rPr>
              <w:t>Connectivity parameters for HTTP protocol</w:t>
            </w:r>
          </w:p>
        </w:tc>
        <w:tc>
          <w:tcPr>
            <w:tcW w:w="584" w:type="pct"/>
            <w:tcBorders>
              <w:top w:val="single" w:sz="6" w:space="0" w:color="auto"/>
              <w:left w:val="single" w:sz="6" w:space="0" w:color="auto"/>
              <w:bottom w:val="single" w:sz="6" w:space="0" w:color="auto"/>
              <w:right w:val="single" w:sz="4" w:space="0" w:color="auto"/>
            </w:tcBorders>
            <w:hideMark/>
          </w:tcPr>
          <w:p w14:paraId="6A20174B" w14:textId="77777777" w:rsidR="00B97365" w:rsidRDefault="00000000">
            <w:pPr>
              <w:jc w:val="center"/>
              <w:rPr>
                <w:rFonts w:cs="Calibri"/>
                <w:sz w:val="16"/>
                <w:szCs w:val="16"/>
              </w:rPr>
            </w:pPr>
            <w:r>
              <w:rPr>
                <w:rFonts w:cs="Calibri"/>
                <w:sz w:val="16"/>
                <w:szCs w:val="16"/>
              </w:rPr>
              <w:t>C</w:t>
            </w:r>
          </w:p>
        </w:tc>
      </w:tr>
      <w:tr w:rsidR="00B97365" w14:paraId="7858BDDA" w14:textId="77777777">
        <w:trPr>
          <w:cantSplit/>
          <w:jc w:val="center"/>
        </w:trPr>
        <w:tc>
          <w:tcPr>
            <w:tcW w:w="463" w:type="pct"/>
            <w:tcBorders>
              <w:top w:val="single" w:sz="6" w:space="0" w:color="auto"/>
              <w:left w:val="single" w:sz="4" w:space="0" w:color="auto"/>
              <w:bottom w:val="single" w:sz="4" w:space="0" w:color="auto"/>
              <w:right w:val="single" w:sz="6" w:space="0" w:color="auto"/>
            </w:tcBorders>
          </w:tcPr>
          <w:p w14:paraId="35A0AE0F" w14:textId="77777777" w:rsidR="00B97365" w:rsidRDefault="00B97365">
            <w:pPr>
              <w:rPr>
                <w:rFonts w:cs="Calibri"/>
                <w:sz w:val="16"/>
                <w:szCs w:val="16"/>
              </w:rPr>
            </w:pPr>
          </w:p>
        </w:tc>
        <w:tc>
          <w:tcPr>
            <w:tcW w:w="501" w:type="pct"/>
            <w:tcBorders>
              <w:top w:val="single" w:sz="6" w:space="0" w:color="auto"/>
              <w:left w:val="single" w:sz="6" w:space="0" w:color="auto"/>
              <w:bottom w:val="single" w:sz="4" w:space="0" w:color="auto"/>
              <w:right w:val="single" w:sz="6" w:space="0" w:color="auto"/>
            </w:tcBorders>
          </w:tcPr>
          <w:p w14:paraId="7042447F" w14:textId="77777777" w:rsidR="00B97365" w:rsidRDefault="00B97365">
            <w:pPr>
              <w:rPr>
                <w:rFonts w:cs="Calibri"/>
                <w:sz w:val="16"/>
                <w:szCs w:val="16"/>
              </w:rPr>
            </w:pPr>
          </w:p>
        </w:tc>
        <w:tc>
          <w:tcPr>
            <w:tcW w:w="543" w:type="pct"/>
            <w:tcBorders>
              <w:top w:val="single" w:sz="6" w:space="0" w:color="auto"/>
              <w:left w:val="single" w:sz="6" w:space="0" w:color="auto"/>
              <w:bottom w:val="single" w:sz="4" w:space="0" w:color="auto"/>
              <w:right w:val="single" w:sz="6" w:space="0" w:color="auto"/>
            </w:tcBorders>
            <w:hideMark/>
          </w:tcPr>
          <w:p w14:paraId="394AAE2E" w14:textId="77777777" w:rsidR="00B97365" w:rsidRDefault="00000000">
            <w:pPr>
              <w:rPr>
                <w:rFonts w:cs="Calibri"/>
                <w:sz w:val="16"/>
                <w:szCs w:val="16"/>
              </w:rPr>
            </w:pPr>
            <w:r>
              <w:rPr>
                <w:rFonts w:cs="Calibri"/>
                <w:sz w:val="16"/>
                <w:szCs w:val="16"/>
              </w:rPr>
              <w:t>'A2'</w:t>
            </w:r>
          </w:p>
        </w:tc>
        <w:tc>
          <w:tcPr>
            <w:tcW w:w="727" w:type="pct"/>
            <w:tcBorders>
              <w:top w:val="single" w:sz="6" w:space="0" w:color="auto"/>
              <w:left w:val="single" w:sz="6" w:space="0" w:color="auto"/>
              <w:bottom w:val="single" w:sz="4" w:space="0" w:color="auto"/>
              <w:right w:val="single" w:sz="6" w:space="0" w:color="auto"/>
            </w:tcBorders>
            <w:hideMark/>
          </w:tcPr>
          <w:p w14:paraId="0108DFE0" w14:textId="77777777" w:rsidR="00B97365" w:rsidRDefault="00000000">
            <w:pPr>
              <w:rPr>
                <w:rFonts w:cs="Calibri"/>
                <w:sz w:val="16"/>
                <w:szCs w:val="16"/>
              </w:rPr>
            </w:pPr>
            <w:r>
              <w:rPr>
                <w:rFonts w:cs="Calibri"/>
                <w:sz w:val="16"/>
                <w:szCs w:val="16"/>
              </w:rPr>
              <w:t>n</w:t>
            </w:r>
          </w:p>
        </w:tc>
        <w:tc>
          <w:tcPr>
            <w:tcW w:w="2183" w:type="pct"/>
            <w:tcBorders>
              <w:top w:val="single" w:sz="6" w:space="0" w:color="auto"/>
              <w:left w:val="single" w:sz="6" w:space="0" w:color="auto"/>
              <w:bottom w:val="single" w:sz="4" w:space="0" w:color="auto"/>
              <w:right w:val="single" w:sz="6" w:space="0" w:color="auto"/>
            </w:tcBorders>
            <w:hideMark/>
          </w:tcPr>
          <w:p w14:paraId="4C813A97" w14:textId="77777777" w:rsidR="00B97365" w:rsidRDefault="00000000">
            <w:pPr>
              <w:rPr>
                <w:rFonts w:cs="Calibri"/>
                <w:sz w:val="16"/>
                <w:szCs w:val="16"/>
              </w:rPr>
            </w:pPr>
            <w:r>
              <w:rPr>
                <w:rFonts w:cs="Calibri"/>
                <w:sz w:val="16"/>
                <w:szCs w:val="16"/>
              </w:rPr>
              <w:t>Connectivity parameters for CAT_TP protocol</w:t>
            </w:r>
          </w:p>
        </w:tc>
        <w:tc>
          <w:tcPr>
            <w:tcW w:w="584" w:type="pct"/>
            <w:tcBorders>
              <w:top w:val="single" w:sz="6" w:space="0" w:color="auto"/>
              <w:left w:val="single" w:sz="6" w:space="0" w:color="auto"/>
              <w:bottom w:val="single" w:sz="4" w:space="0" w:color="auto"/>
              <w:right w:val="single" w:sz="4" w:space="0" w:color="auto"/>
            </w:tcBorders>
            <w:hideMark/>
          </w:tcPr>
          <w:p w14:paraId="14B17EC3" w14:textId="77777777" w:rsidR="00B97365" w:rsidRDefault="00000000">
            <w:pPr>
              <w:jc w:val="center"/>
              <w:rPr>
                <w:rFonts w:cs="Calibri"/>
                <w:sz w:val="16"/>
                <w:szCs w:val="16"/>
              </w:rPr>
            </w:pPr>
            <w:r>
              <w:rPr>
                <w:rFonts w:cs="Calibri"/>
                <w:sz w:val="16"/>
                <w:szCs w:val="16"/>
              </w:rPr>
              <w:t>C</w:t>
            </w:r>
          </w:p>
        </w:tc>
      </w:tr>
    </w:tbl>
    <w:p w14:paraId="7F784B2E"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Connectivity Parameters Data Field</w:t>
      </w:r>
    </w:p>
    <w:p w14:paraId="44E90EA2" w14:textId="77777777" w:rsidR="00B97365" w:rsidRDefault="00000000">
      <w:pPr>
        <w:spacing w:before="0" w:after="200" w:line="276" w:lineRule="auto"/>
        <w:jc w:val="left"/>
        <w:rPr>
          <w:szCs w:val="22"/>
          <w:lang w:val="en-US" w:eastAsia="en-GB" w:bidi="ar-SA"/>
        </w:rPr>
      </w:pPr>
      <w:r>
        <w:rPr>
          <w:szCs w:val="22"/>
          <w:lang w:val="en-US" w:eastAsia="en-GB" w:bidi="ar-SA"/>
        </w:rPr>
        <w:t>The order of protocol connectivity parameters TLVs in the DGI define the protocol priority order to send notifications defined in section 4.1.1.11. If several TLVs are provided for the same protocol, the eUICC SHALL use the first TLV for this protocol, and ignore the extra TLVs for the same protocol.</w:t>
      </w:r>
    </w:p>
    <w:p w14:paraId="3BE33E7C"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 xml:space="preserve">NOTE 1: </w:t>
      </w:r>
      <w:r>
        <w:rPr>
          <w:szCs w:val="22"/>
          <w:lang w:val="en-US" w:eastAsia="en-GB" w:bidi="ar-SA"/>
        </w:rPr>
        <w:tab/>
        <w:t xml:space="preserve">Void </w:t>
      </w:r>
    </w:p>
    <w:p w14:paraId="17E0E887"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 xml:space="preserve">NOTE 2: </w:t>
      </w:r>
      <w:r>
        <w:rPr>
          <w:szCs w:val="22"/>
          <w:lang w:val="en-US" w:eastAsia="en-GB" w:bidi="ar-SA"/>
        </w:rPr>
        <w:tab/>
        <w:t xml:space="preserve">Multiple occurrences of each Connectivity Parameters TLV are possible, if they are sent by an off-card entity following a former version of this document.  </w:t>
      </w:r>
    </w:p>
    <w:p w14:paraId="2A452F7A" w14:textId="77777777" w:rsidR="00B97365" w:rsidRDefault="00000000">
      <w:pPr>
        <w:spacing w:before="0" w:after="200" w:line="276" w:lineRule="auto"/>
        <w:jc w:val="left"/>
        <w:rPr>
          <w:b/>
          <w:i/>
          <w:szCs w:val="22"/>
          <w:lang w:val="en-US" w:eastAsia="en-GB" w:bidi="ar-SA"/>
        </w:rPr>
      </w:pPr>
      <w:bookmarkStart w:id="2730" w:name="_Toc420594677"/>
      <w:r>
        <w:rPr>
          <w:rFonts w:cs="Arial"/>
          <w:b/>
          <w:i/>
          <w:szCs w:val="22"/>
          <w:lang w:val="en-US" w:eastAsia="en-GB" w:bidi="ar-SA"/>
        </w:rPr>
        <w:t xml:space="preserve">SMS </w:t>
      </w:r>
      <w:r>
        <w:rPr>
          <w:b/>
          <w:i/>
          <w:lang w:val="en-US"/>
        </w:rPr>
        <w:t>parameters</w:t>
      </w:r>
      <w:r>
        <w:rPr>
          <w:b/>
          <w:i/>
          <w:szCs w:val="22"/>
          <w:lang w:val="en-US" w:eastAsia="en-GB" w:bidi="ar-SA"/>
        </w:rPr>
        <w:t xml:space="preserve"> coding</w:t>
      </w:r>
      <w:bookmarkEnd w:id="273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418"/>
        <w:gridCol w:w="730"/>
        <w:gridCol w:w="1396"/>
        <w:gridCol w:w="516"/>
      </w:tblGrid>
      <w:tr w:rsidR="00B97365" w14:paraId="115288EE" w14:textId="77777777">
        <w:trPr>
          <w:trHeight w:val="274"/>
          <w:tblHeader/>
          <w:jc w:val="center"/>
        </w:trPr>
        <w:tc>
          <w:tcPr>
            <w:tcW w:w="0" w:type="auto"/>
            <w:tcBorders>
              <w:top w:val="single" w:sz="4" w:space="0" w:color="auto"/>
              <w:left w:val="single" w:sz="4" w:space="0" w:color="auto"/>
              <w:bottom w:val="single" w:sz="6" w:space="0" w:color="auto"/>
              <w:right w:val="single" w:sz="4" w:space="0" w:color="auto"/>
            </w:tcBorders>
            <w:shd w:val="clear" w:color="auto" w:fill="C00000"/>
          </w:tcPr>
          <w:p w14:paraId="3B3B2A25" w14:textId="77777777" w:rsidR="00B97365" w:rsidRDefault="00000000">
            <w:pPr>
              <w:rPr>
                <w:rFonts w:cs="Calibri"/>
                <w:color w:val="FFFFFF"/>
                <w:sz w:val="16"/>
                <w:szCs w:val="16"/>
              </w:rPr>
            </w:pPr>
            <w:r>
              <w:rPr>
                <w:rFonts w:cs="Calibri"/>
                <w:color w:val="FFFFFF"/>
                <w:sz w:val="16"/>
                <w:szCs w:val="16"/>
              </w:rPr>
              <w:t>Tag</w:t>
            </w:r>
          </w:p>
        </w:tc>
        <w:tc>
          <w:tcPr>
            <w:tcW w:w="0" w:type="auto"/>
            <w:tcBorders>
              <w:top w:val="single" w:sz="4" w:space="0" w:color="auto"/>
              <w:left w:val="single" w:sz="4" w:space="0" w:color="auto"/>
              <w:bottom w:val="single" w:sz="6" w:space="0" w:color="auto"/>
              <w:right w:val="single" w:sz="4" w:space="0" w:color="auto"/>
            </w:tcBorders>
            <w:shd w:val="clear" w:color="auto" w:fill="C00000"/>
          </w:tcPr>
          <w:p w14:paraId="67CCAA93" w14:textId="77777777" w:rsidR="00B97365" w:rsidRDefault="00000000">
            <w:pPr>
              <w:rPr>
                <w:rFonts w:cs="Calibri"/>
                <w:color w:val="FFFFFF"/>
                <w:sz w:val="16"/>
                <w:szCs w:val="16"/>
              </w:rPr>
            </w:pPr>
            <w:r>
              <w:rPr>
                <w:rFonts w:cs="Calibri"/>
                <w:color w:val="FFFFFF"/>
                <w:sz w:val="16"/>
                <w:szCs w:val="16"/>
              </w:rPr>
              <w:t>Length</w:t>
            </w:r>
          </w:p>
        </w:tc>
        <w:tc>
          <w:tcPr>
            <w:tcW w:w="0" w:type="auto"/>
            <w:tcBorders>
              <w:top w:val="single" w:sz="4" w:space="0" w:color="auto"/>
              <w:left w:val="single" w:sz="4" w:space="0" w:color="auto"/>
              <w:bottom w:val="single" w:sz="6" w:space="0" w:color="auto"/>
              <w:right w:val="single" w:sz="4" w:space="0" w:color="auto"/>
            </w:tcBorders>
            <w:shd w:val="clear" w:color="auto" w:fill="C00000"/>
            <w:vAlign w:val="center"/>
            <w:hideMark/>
          </w:tcPr>
          <w:p w14:paraId="31B8C124" w14:textId="77777777" w:rsidR="00B97365" w:rsidRDefault="00000000">
            <w:pPr>
              <w:rPr>
                <w:rFonts w:cs="Calibri"/>
                <w:color w:val="FFFFFF"/>
                <w:sz w:val="16"/>
                <w:szCs w:val="16"/>
              </w:rPr>
            </w:pPr>
            <w:r>
              <w:rPr>
                <w:rFonts w:cs="Calibri"/>
                <w:color w:val="FFFFFF"/>
                <w:sz w:val="16"/>
                <w:szCs w:val="16"/>
              </w:rPr>
              <w:t>Value Description</w:t>
            </w:r>
          </w:p>
        </w:tc>
        <w:tc>
          <w:tcPr>
            <w:tcW w:w="0" w:type="auto"/>
            <w:tcBorders>
              <w:top w:val="single" w:sz="4" w:space="0" w:color="auto"/>
              <w:left w:val="single" w:sz="4" w:space="0" w:color="auto"/>
              <w:bottom w:val="single" w:sz="6" w:space="0" w:color="auto"/>
              <w:right w:val="single" w:sz="4" w:space="0" w:color="auto"/>
            </w:tcBorders>
            <w:shd w:val="clear" w:color="auto" w:fill="C00000"/>
          </w:tcPr>
          <w:p w14:paraId="17D63F99" w14:textId="77777777" w:rsidR="00B97365" w:rsidRDefault="00000000">
            <w:pPr>
              <w:rPr>
                <w:rFonts w:cs="Calibri"/>
                <w:color w:val="FFFFFF"/>
                <w:sz w:val="16"/>
                <w:szCs w:val="16"/>
              </w:rPr>
            </w:pPr>
            <w:r>
              <w:rPr>
                <w:rFonts w:cs="Calibri"/>
                <w:color w:val="FFFFFF"/>
                <w:sz w:val="16"/>
                <w:szCs w:val="16"/>
              </w:rPr>
              <w:t>MOC</w:t>
            </w:r>
          </w:p>
        </w:tc>
      </w:tr>
      <w:tr w:rsidR="00B97365" w14:paraId="72E437CF" w14:textId="77777777">
        <w:trPr>
          <w:trHeight w:val="274"/>
          <w:tblHeader/>
          <w:jc w:val="center"/>
        </w:trPr>
        <w:tc>
          <w:tcPr>
            <w:tcW w:w="0" w:type="auto"/>
            <w:tcBorders>
              <w:top w:val="single" w:sz="6" w:space="0" w:color="auto"/>
              <w:left w:val="single" w:sz="4" w:space="0" w:color="auto"/>
              <w:bottom w:val="single" w:sz="6" w:space="0" w:color="auto"/>
              <w:right w:val="single" w:sz="4" w:space="0" w:color="auto"/>
            </w:tcBorders>
          </w:tcPr>
          <w:p w14:paraId="265BDCB7" w14:textId="77777777" w:rsidR="00B97365" w:rsidRDefault="00000000">
            <w:pPr>
              <w:jc w:val="center"/>
              <w:rPr>
                <w:rFonts w:cs="Calibri"/>
                <w:sz w:val="16"/>
                <w:szCs w:val="16"/>
              </w:rPr>
            </w:pPr>
            <w:r>
              <w:rPr>
                <w:rFonts w:cs="Calibri"/>
                <w:sz w:val="16"/>
                <w:szCs w:val="16"/>
              </w:rPr>
              <w:t>06*</w:t>
            </w:r>
          </w:p>
        </w:tc>
        <w:tc>
          <w:tcPr>
            <w:tcW w:w="0" w:type="auto"/>
            <w:tcBorders>
              <w:top w:val="single" w:sz="6" w:space="0" w:color="auto"/>
              <w:left w:val="single" w:sz="4" w:space="0" w:color="auto"/>
              <w:bottom w:val="single" w:sz="6" w:space="0" w:color="auto"/>
              <w:right w:val="single" w:sz="4" w:space="0" w:color="auto"/>
            </w:tcBorders>
          </w:tcPr>
          <w:p w14:paraId="2D2F328C" w14:textId="77777777" w:rsidR="00B97365" w:rsidRDefault="00000000">
            <w:pPr>
              <w:jc w:val="center"/>
              <w:rPr>
                <w:rFonts w:cs="Calibri"/>
                <w:sz w:val="16"/>
                <w:szCs w:val="16"/>
              </w:rPr>
            </w:pPr>
            <w:r>
              <w:rPr>
                <w:rFonts w:cs="Calibri"/>
                <w:sz w:val="16"/>
                <w:szCs w:val="16"/>
              </w:rPr>
              <w:t>Variable</w:t>
            </w:r>
          </w:p>
        </w:tc>
        <w:tc>
          <w:tcPr>
            <w:tcW w:w="0" w:type="auto"/>
            <w:tcBorders>
              <w:top w:val="single" w:sz="6" w:space="0" w:color="auto"/>
              <w:left w:val="single" w:sz="4" w:space="0" w:color="auto"/>
              <w:bottom w:val="single" w:sz="6" w:space="0" w:color="auto"/>
              <w:right w:val="single" w:sz="4" w:space="0" w:color="auto"/>
            </w:tcBorders>
            <w:vAlign w:val="center"/>
            <w:hideMark/>
          </w:tcPr>
          <w:p w14:paraId="06B2E514" w14:textId="77777777" w:rsidR="00B97365" w:rsidRDefault="00000000">
            <w:pPr>
              <w:jc w:val="center"/>
              <w:rPr>
                <w:rFonts w:cs="Calibri"/>
                <w:sz w:val="16"/>
                <w:szCs w:val="16"/>
              </w:rPr>
            </w:pPr>
            <w:r>
              <w:rPr>
                <w:rFonts w:cs="Calibri"/>
                <w:sz w:val="16"/>
                <w:szCs w:val="16"/>
              </w:rPr>
              <w:t>SMSC Address*</w:t>
            </w:r>
          </w:p>
        </w:tc>
        <w:tc>
          <w:tcPr>
            <w:tcW w:w="0" w:type="auto"/>
            <w:tcBorders>
              <w:top w:val="single" w:sz="6" w:space="0" w:color="auto"/>
              <w:left w:val="single" w:sz="4" w:space="0" w:color="auto"/>
              <w:bottom w:val="single" w:sz="6" w:space="0" w:color="auto"/>
              <w:right w:val="single" w:sz="4" w:space="0" w:color="auto"/>
            </w:tcBorders>
          </w:tcPr>
          <w:p w14:paraId="180AD6EE" w14:textId="77777777" w:rsidR="00B97365" w:rsidRDefault="00000000">
            <w:pPr>
              <w:jc w:val="center"/>
              <w:rPr>
                <w:rFonts w:cs="Calibri"/>
                <w:sz w:val="16"/>
                <w:szCs w:val="16"/>
              </w:rPr>
            </w:pPr>
            <w:r>
              <w:rPr>
                <w:rFonts w:cs="Calibri"/>
                <w:sz w:val="16"/>
                <w:szCs w:val="16"/>
              </w:rPr>
              <w:t>M</w:t>
            </w:r>
          </w:p>
        </w:tc>
      </w:tr>
      <w:tr w:rsidR="00B97365" w14:paraId="675FEBCB" w14:textId="77777777">
        <w:trPr>
          <w:trHeight w:val="274"/>
          <w:tblHeader/>
          <w:jc w:val="center"/>
        </w:trPr>
        <w:tc>
          <w:tcPr>
            <w:tcW w:w="0" w:type="auto"/>
            <w:tcBorders>
              <w:top w:val="single" w:sz="6" w:space="0" w:color="auto"/>
              <w:left w:val="single" w:sz="4" w:space="0" w:color="auto"/>
              <w:bottom w:val="single" w:sz="6" w:space="0" w:color="auto"/>
              <w:right w:val="single" w:sz="4" w:space="0" w:color="auto"/>
            </w:tcBorders>
          </w:tcPr>
          <w:p w14:paraId="383DE7C0" w14:textId="77777777" w:rsidR="00B97365" w:rsidRDefault="00000000">
            <w:pPr>
              <w:jc w:val="center"/>
              <w:rPr>
                <w:rFonts w:cs="Calibri"/>
                <w:sz w:val="16"/>
                <w:szCs w:val="16"/>
              </w:rPr>
            </w:pPr>
            <w:r>
              <w:rPr>
                <w:rFonts w:cs="Calibri"/>
                <w:sz w:val="16"/>
                <w:szCs w:val="16"/>
              </w:rPr>
              <w:t>81</w:t>
            </w:r>
          </w:p>
        </w:tc>
        <w:tc>
          <w:tcPr>
            <w:tcW w:w="0" w:type="auto"/>
            <w:tcBorders>
              <w:top w:val="single" w:sz="6" w:space="0" w:color="auto"/>
              <w:left w:val="single" w:sz="4" w:space="0" w:color="auto"/>
              <w:bottom w:val="single" w:sz="6" w:space="0" w:color="auto"/>
              <w:right w:val="single" w:sz="4" w:space="0" w:color="auto"/>
            </w:tcBorders>
          </w:tcPr>
          <w:p w14:paraId="39F08BCA"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4" w:space="0" w:color="auto"/>
              <w:bottom w:val="single" w:sz="6" w:space="0" w:color="auto"/>
              <w:right w:val="single" w:sz="4" w:space="0" w:color="auto"/>
            </w:tcBorders>
          </w:tcPr>
          <w:p w14:paraId="5C2F9275" w14:textId="77777777" w:rsidR="00B97365" w:rsidRDefault="00000000">
            <w:pPr>
              <w:jc w:val="center"/>
              <w:rPr>
                <w:rFonts w:cs="Calibri"/>
                <w:sz w:val="16"/>
                <w:szCs w:val="16"/>
              </w:rPr>
            </w:pPr>
            <w:r>
              <w:rPr>
                <w:rFonts w:cs="Calibri"/>
                <w:sz w:val="16"/>
                <w:szCs w:val="16"/>
              </w:rPr>
              <w:t>PID**</w:t>
            </w:r>
          </w:p>
        </w:tc>
        <w:tc>
          <w:tcPr>
            <w:tcW w:w="0" w:type="auto"/>
            <w:tcBorders>
              <w:top w:val="single" w:sz="6" w:space="0" w:color="auto"/>
              <w:left w:val="single" w:sz="4" w:space="0" w:color="auto"/>
              <w:bottom w:val="single" w:sz="6" w:space="0" w:color="auto"/>
              <w:right w:val="single" w:sz="4" w:space="0" w:color="auto"/>
            </w:tcBorders>
          </w:tcPr>
          <w:p w14:paraId="281276AF" w14:textId="77777777" w:rsidR="00B97365" w:rsidRDefault="00000000">
            <w:pPr>
              <w:jc w:val="center"/>
              <w:rPr>
                <w:rFonts w:cs="Calibri"/>
                <w:sz w:val="16"/>
                <w:szCs w:val="16"/>
              </w:rPr>
            </w:pPr>
            <w:r>
              <w:rPr>
                <w:rFonts w:cs="Calibri"/>
                <w:sz w:val="16"/>
                <w:szCs w:val="16"/>
              </w:rPr>
              <w:t>O</w:t>
            </w:r>
          </w:p>
        </w:tc>
      </w:tr>
      <w:tr w:rsidR="00B97365" w14:paraId="508EB227" w14:textId="77777777">
        <w:trPr>
          <w:trHeight w:val="274"/>
          <w:tblHeader/>
          <w:jc w:val="center"/>
        </w:trPr>
        <w:tc>
          <w:tcPr>
            <w:tcW w:w="0" w:type="auto"/>
            <w:tcBorders>
              <w:top w:val="single" w:sz="6" w:space="0" w:color="auto"/>
              <w:left w:val="single" w:sz="4" w:space="0" w:color="auto"/>
              <w:bottom w:val="single" w:sz="4" w:space="0" w:color="auto"/>
              <w:right w:val="single" w:sz="4" w:space="0" w:color="auto"/>
            </w:tcBorders>
          </w:tcPr>
          <w:p w14:paraId="65E5AAE1" w14:textId="77777777" w:rsidR="00B97365" w:rsidRDefault="00000000">
            <w:pPr>
              <w:jc w:val="center"/>
              <w:rPr>
                <w:rFonts w:cs="Calibri"/>
                <w:sz w:val="16"/>
                <w:szCs w:val="16"/>
              </w:rPr>
            </w:pPr>
            <w:r>
              <w:rPr>
                <w:rFonts w:cs="Calibri"/>
                <w:sz w:val="16"/>
                <w:szCs w:val="16"/>
              </w:rPr>
              <w:t>82</w:t>
            </w:r>
          </w:p>
        </w:tc>
        <w:tc>
          <w:tcPr>
            <w:tcW w:w="0" w:type="auto"/>
            <w:tcBorders>
              <w:top w:val="single" w:sz="6" w:space="0" w:color="auto"/>
              <w:left w:val="single" w:sz="4" w:space="0" w:color="auto"/>
              <w:bottom w:val="single" w:sz="4" w:space="0" w:color="auto"/>
              <w:right w:val="single" w:sz="4" w:space="0" w:color="auto"/>
            </w:tcBorders>
          </w:tcPr>
          <w:p w14:paraId="36D9554D"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4" w:space="0" w:color="auto"/>
              <w:bottom w:val="single" w:sz="4" w:space="0" w:color="auto"/>
              <w:right w:val="single" w:sz="4" w:space="0" w:color="auto"/>
            </w:tcBorders>
          </w:tcPr>
          <w:p w14:paraId="4AAA4376" w14:textId="77777777" w:rsidR="00B97365" w:rsidRDefault="00000000">
            <w:pPr>
              <w:jc w:val="center"/>
              <w:rPr>
                <w:rFonts w:cs="Calibri"/>
                <w:sz w:val="16"/>
                <w:szCs w:val="16"/>
              </w:rPr>
            </w:pPr>
            <w:r>
              <w:rPr>
                <w:rFonts w:cs="Calibri"/>
                <w:sz w:val="16"/>
                <w:szCs w:val="16"/>
              </w:rPr>
              <w:t>DCS**</w:t>
            </w:r>
          </w:p>
        </w:tc>
        <w:tc>
          <w:tcPr>
            <w:tcW w:w="0" w:type="auto"/>
            <w:tcBorders>
              <w:top w:val="single" w:sz="6" w:space="0" w:color="auto"/>
              <w:left w:val="single" w:sz="4" w:space="0" w:color="auto"/>
              <w:bottom w:val="single" w:sz="4" w:space="0" w:color="auto"/>
              <w:right w:val="single" w:sz="4" w:space="0" w:color="auto"/>
            </w:tcBorders>
          </w:tcPr>
          <w:p w14:paraId="00EAF391" w14:textId="77777777" w:rsidR="00B97365" w:rsidRDefault="00000000">
            <w:pPr>
              <w:jc w:val="center"/>
              <w:rPr>
                <w:rFonts w:cs="Calibri"/>
                <w:sz w:val="16"/>
                <w:szCs w:val="16"/>
              </w:rPr>
            </w:pPr>
            <w:r>
              <w:rPr>
                <w:rFonts w:cs="Calibri"/>
                <w:sz w:val="16"/>
                <w:szCs w:val="16"/>
              </w:rPr>
              <w:t>O</w:t>
            </w:r>
          </w:p>
        </w:tc>
      </w:tr>
    </w:tbl>
    <w:p w14:paraId="0D557004"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Coding of Connectivity Parameters for SMS Protocol</w:t>
      </w:r>
    </w:p>
    <w:p w14:paraId="21B71356" w14:textId="4B8E0DC9" w:rsidR="00B97365" w:rsidRDefault="00000000">
      <w:pPr>
        <w:spacing w:before="0" w:after="200" w:line="276" w:lineRule="auto"/>
        <w:jc w:val="left"/>
        <w:rPr>
          <w:szCs w:val="22"/>
          <w:lang w:val="en-US" w:eastAsia="en-GB" w:bidi="ar-SA"/>
        </w:rPr>
      </w:pPr>
      <w:r>
        <w:rPr>
          <w:rFonts w:cs="Arial"/>
          <w:szCs w:val="22"/>
          <w:lang w:val="en-US" w:eastAsia="en-GB" w:bidi="ar-SA"/>
        </w:rPr>
        <w:t xml:space="preserve">* COMPREHENSION-TLV as defined in ETSI TS 102 223 </w:t>
      </w:r>
      <w:r>
        <w:rPr>
          <w:szCs w:val="22"/>
          <w:lang w:val="en-US" w:eastAsia="en-GB" w:bidi="ar-SA"/>
        </w:rPr>
        <w:fldChar w:fldCharType="begin"/>
      </w:r>
      <w:r>
        <w:rPr>
          <w:szCs w:val="22"/>
          <w:lang w:val="en-US" w:eastAsia="en-GB" w:bidi="ar-SA"/>
        </w:rPr>
        <w:instrText xml:space="preserve"> REF _Ref421633137 \r \h </w:instrText>
      </w:r>
      <w:r>
        <w:rPr>
          <w:szCs w:val="22"/>
          <w:lang w:val="en-US" w:eastAsia="en-GB" w:bidi="ar-SA"/>
        </w:rPr>
      </w:r>
      <w:r>
        <w:rPr>
          <w:szCs w:val="22"/>
          <w:lang w:val="en-US" w:eastAsia="en-GB" w:bidi="ar-SA"/>
        </w:rPr>
        <w:fldChar w:fldCharType="separate"/>
      </w:r>
      <w:r w:rsidR="001D5AD9">
        <w:rPr>
          <w:szCs w:val="22"/>
          <w:lang w:val="en-US" w:eastAsia="en-GB" w:bidi="ar-SA"/>
        </w:rPr>
        <w:t>[3]</w:t>
      </w:r>
      <w:r>
        <w:rPr>
          <w:szCs w:val="22"/>
          <w:lang w:val="en-US" w:eastAsia="en-GB" w:bidi="ar-SA"/>
        </w:rPr>
        <w:fldChar w:fldCharType="end"/>
      </w:r>
      <w:r>
        <w:rPr>
          <w:szCs w:val="22"/>
          <w:lang w:val="en-US" w:eastAsia="en-GB" w:bidi="ar-SA"/>
        </w:rPr>
        <w:t>, with the CR bit of the tags set to zero.</w:t>
      </w:r>
    </w:p>
    <w:p w14:paraId="076D8178" w14:textId="77777777" w:rsidR="00B97365" w:rsidRDefault="00000000">
      <w:pPr>
        <w:spacing w:before="0" w:after="200" w:line="276" w:lineRule="auto"/>
        <w:jc w:val="left"/>
        <w:rPr>
          <w:szCs w:val="22"/>
          <w:lang w:val="en-US" w:eastAsia="en-GB" w:bidi="ar-SA"/>
        </w:rPr>
      </w:pPr>
      <w:r>
        <w:rPr>
          <w:szCs w:val="22"/>
          <w:lang w:val="en-US" w:eastAsia="en-GB" w:bidi="ar-SA"/>
        </w:rPr>
        <w:t>** Coding on one byte as specified in 3GPP TS 23.040 [39]</w:t>
      </w:r>
    </w:p>
    <w:p w14:paraId="0F0C870D" w14:textId="77777777" w:rsidR="00B97365" w:rsidRDefault="00000000">
      <w:pPr>
        <w:spacing w:before="0" w:after="200" w:line="276" w:lineRule="auto"/>
        <w:jc w:val="left"/>
        <w:rPr>
          <w:szCs w:val="22"/>
          <w:lang w:val="en-US" w:eastAsia="en-GB" w:bidi="ar-SA"/>
        </w:rPr>
      </w:pPr>
      <w:r>
        <w:rPr>
          <w:szCs w:val="22"/>
          <w:lang w:val="en-US" w:eastAsia="en-GB" w:bidi="ar-SA"/>
        </w:rPr>
        <w:t>If no PID TLV is present, the eUICC SHALL use a default value of PID=00.</w:t>
      </w:r>
    </w:p>
    <w:p w14:paraId="6EA5C8E0" w14:textId="77777777" w:rsidR="00B97365" w:rsidRDefault="00000000">
      <w:pPr>
        <w:spacing w:before="0" w:after="200" w:line="276" w:lineRule="auto"/>
        <w:jc w:val="left"/>
        <w:rPr>
          <w:rFonts w:cs="Arial"/>
          <w:b/>
          <w:i/>
          <w:szCs w:val="22"/>
          <w:lang w:val="en-US" w:eastAsia="en-GB" w:bidi="ar-SA"/>
        </w:rPr>
      </w:pPr>
      <w:r>
        <w:rPr>
          <w:szCs w:val="22"/>
          <w:lang w:val="en-US" w:eastAsia="en-GB" w:bidi="ar-SA"/>
        </w:rPr>
        <w:t>If no DCS TLV is present, the eUICC SHALL use a default value of DCS=04.</w:t>
      </w:r>
      <w:bookmarkStart w:id="2731" w:name="_Toc420594678"/>
    </w:p>
    <w:p w14:paraId="69181A54"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 xml:space="preserve">HTTP </w:t>
      </w:r>
      <w:r>
        <w:rPr>
          <w:b/>
          <w:i/>
          <w:lang w:val="en-US"/>
        </w:rPr>
        <w:t>and</w:t>
      </w:r>
      <w:r>
        <w:rPr>
          <w:b/>
          <w:i/>
          <w:szCs w:val="22"/>
          <w:lang w:val="en-US" w:eastAsia="en-GB" w:bidi="ar-SA"/>
        </w:rPr>
        <w:t xml:space="preserve"> CAT_TP parameters coding</w:t>
      </w:r>
      <w:bookmarkEnd w:id="273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2356"/>
      </w:tblGrid>
      <w:tr w:rsidR="00B97365" w14:paraId="751B4969" w14:textId="77777777">
        <w:trPr>
          <w:trHeight w:val="274"/>
          <w:tblHeader/>
          <w:jc w:val="center"/>
        </w:trPr>
        <w:tc>
          <w:tcPr>
            <w:tcW w:w="0" w:type="auto"/>
            <w:tcBorders>
              <w:top w:val="single" w:sz="4" w:space="0" w:color="auto"/>
              <w:left w:val="single" w:sz="4" w:space="0" w:color="auto"/>
              <w:bottom w:val="single" w:sz="6" w:space="0" w:color="auto"/>
              <w:right w:val="single" w:sz="4" w:space="0" w:color="auto"/>
            </w:tcBorders>
            <w:shd w:val="clear" w:color="auto" w:fill="C00000"/>
            <w:vAlign w:val="center"/>
            <w:hideMark/>
          </w:tcPr>
          <w:p w14:paraId="5CB70A84" w14:textId="77777777" w:rsidR="00B97365" w:rsidRDefault="00000000">
            <w:pPr>
              <w:rPr>
                <w:rFonts w:cs="Calibri"/>
                <w:color w:val="FFFFFF"/>
                <w:sz w:val="16"/>
                <w:szCs w:val="16"/>
              </w:rPr>
            </w:pPr>
            <w:r>
              <w:rPr>
                <w:rFonts w:cs="Calibri"/>
                <w:color w:val="FFFFFF"/>
                <w:sz w:val="16"/>
                <w:szCs w:val="16"/>
              </w:rPr>
              <w:t>Description</w:t>
            </w:r>
          </w:p>
        </w:tc>
      </w:tr>
      <w:tr w:rsidR="00B97365" w14:paraId="435FAC23" w14:textId="77777777">
        <w:trPr>
          <w:trHeight w:val="274"/>
          <w:tblHeader/>
          <w:jc w:val="center"/>
        </w:trPr>
        <w:tc>
          <w:tcPr>
            <w:tcW w:w="0" w:type="auto"/>
            <w:tcBorders>
              <w:top w:val="single" w:sz="6" w:space="0" w:color="auto"/>
              <w:left w:val="single" w:sz="4" w:space="0" w:color="auto"/>
              <w:bottom w:val="single" w:sz="6" w:space="0" w:color="auto"/>
              <w:right w:val="single" w:sz="4" w:space="0" w:color="auto"/>
            </w:tcBorders>
            <w:hideMark/>
          </w:tcPr>
          <w:p w14:paraId="32DC2AB8" w14:textId="77777777" w:rsidR="00B97365" w:rsidRDefault="00000000">
            <w:pPr>
              <w:jc w:val="center"/>
              <w:rPr>
                <w:rFonts w:cs="Calibri"/>
                <w:sz w:val="16"/>
                <w:szCs w:val="16"/>
              </w:rPr>
            </w:pPr>
            <w:r>
              <w:rPr>
                <w:rFonts w:cs="Calibri"/>
                <w:sz w:val="16"/>
                <w:szCs w:val="16"/>
              </w:rPr>
              <w:t>Bearer description*</w:t>
            </w:r>
          </w:p>
        </w:tc>
      </w:tr>
      <w:tr w:rsidR="00B97365" w14:paraId="7A22D6FE" w14:textId="77777777">
        <w:trPr>
          <w:trHeight w:val="274"/>
          <w:tblHeader/>
          <w:jc w:val="center"/>
        </w:trPr>
        <w:tc>
          <w:tcPr>
            <w:tcW w:w="0" w:type="auto"/>
            <w:tcBorders>
              <w:top w:val="single" w:sz="6" w:space="0" w:color="auto"/>
              <w:left w:val="single" w:sz="4" w:space="0" w:color="auto"/>
              <w:bottom w:val="single" w:sz="6" w:space="0" w:color="auto"/>
              <w:right w:val="single" w:sz="4" w:space="0" w:color="auto"/>
            </w:tcBorders>
            <w:hideMark/>
          </w:tcPr>
          <w:p w14:paraId="485B85A5" w14:textId="77777777" w:rsidR="00B97365" w:rsidRDefault="00000000">
            <w:pPr>
              <w:jc w:val="center"/>
              <w:rPr>
                <w:rFonts w:cs="Calibri"/>
                <w:sz w:val="16"/>
                <w:szCs w:val="16"/>
              </w:rPr>
            </w:pPr>
            <w:r>
              <w:rPr>
                <w:rFonts w:cs="Calibri"/>
                <w:sz w:val="16"/>
                <w:szCs w:val="16"/>
              </w:rPr>
              <w:t>Network Access Name (NAN) *</w:t>
            </w:r>
          </w:p>
        </w:tc>
      </w:tr>
      <w:tr w:rsidR="00B97365" w14:paraId="54BDBA2C" w14:textId="77777777">
        <w:trPr>
          <w:trHeight w:val="274"/>
          <w:tblHeader/>
          <w:jc w:val="center"/>
        </w:trPr>
        <w:tc>
          <w:tcPr>
            <w:tcW w:w="0" w:type="auto"/>
            <w:tcBorders>
              <w:top w:val="single" w:sz="6" w:space="0" w:color="auto"/>
              <w:left w:val="single" w:sz="4" w:space="0" w:color="auto"/>
              <w:bottom w:val="single" w:sz="6" w:space="0" w:color="auto"/>
              <w:right w:val="single" w:sz="4" w:space="0" w:color="auto"/>
            </w:tcBorders>
            <w:hideMark/>
          </w:tcPr>
          <w:p w14:paraId="259EB620" w14:textId="77777777" w:rsidR="00B97365" w:rsidRDefault="00000000">
            <w:pPr>
              <w:jc w:val="center"/>
              <w:rPr>
                <w:rFonts w:cs="Calibri"/>
                <w:sz w:val="16"/>
                <w:szCs w:val="16"/>
              </w:rPr>
            </w:pPr>
            <w:r>
              <w:rPr>
                <w:rFonts w:cs="Calibri"/>
                <w:sz w:val="16"/>
                <w:szCs w:val="16"/>
              </w:rPr>
              <w:t>User Login*</w:t>
            </w:r>
          </w:p>
        </w:tc>
      </w:tr>
      <w:tr w:rsidR="00B97365" w14:paraId="36CF95DE" w14:textId="77777777">
        <w:trPr>
          <w:trHeight w:val="274"/>
          <w:tblHeader/>
          <w:jc w:val="center"/>
        </w:trPr>
        <w:tc>
          <w:tcPr>
            <w:tcW w:w="0" w:type="auto"/>
            <w:tcBorders>
              <w:top w:val="single" w:sz="6" w:space="0" w:color="auto"/>
              <w:left w:val="single" w:sz="4" w:space="0" w:color="auto"/>
              <w:bottom w:val="single" w:sz="4" w:space="0" w:color="auto"/>
              <w:right w:val="single" w:sz="4" w:space="0" w:color="auto"/>
            </w:tcBorders>
            <w:hideMark/>
          </w:tcPr>
          <w:p w14:paraId="0D9C0DF1" w14:textId="77777777" w:rsidR="00B97365" w:rsidRDefault="00000000">
            <w:pPr>
              <w:jc w:val="center"/>
              <w:rPr>
                <w:rFonts w:cs="Calibri"/>
                <w:sz w:val="16"/>
                <w:szCs w:val="16"/>
              </w:rPr>
            </w:pPr>
            <w:r>
              <w:rPr>
                <w:rFonts w:cs="Calibri"/>
                <w:sz w:val="16"/>
                <w:szCs w:val="16"/>
              </w:rPr>
              <w:t>User Password*</w:t>
            </w:r>
          </w:p>
        </w:tc>
      </w:tr>
    </w:tbl>
    <w:p w14:paraId="54B52BC8" w14:textId="77777777" w:rsidR="00B97365" w:rsidRDefault="00000000">
      <w:pPr>
        <w:numPr>
          <w:ilvl w:val="0"/>
          <w:numId w:val="14"/>
        </w:numPr>
        <w:tabs>
          <w:tab w:val="left" w:pos="1009"/>
        </w:tabs>
        <w:spacing w:after="200" w:line="276" w:lineRule="auto"/>
        <w:jc w:val="center"/>
        <w:rPr>
          <w:rFonts w:cs="Arial"/>
          <w:b/>
          <w:lang w:eastAsia="de-DE" w:bidi="ar-SA"/>
        </w:rPr>
      </w:pPr>
      <w:bookmarkStart w:id="2732" w:name="_Ref483302303"/>
      <w:r>
        <w:rPr>
          <w:rFonts w:cs="Arial"/>
          <w:b/>
          <w:lang w:eastAsia="de-DE" w:bidi="ar-SA"/>
        </w:rPr>
        <w:t>: Coding of Connectivity Parameters for HTTP and CAT_TP Protocols</w:t>
      </w:r>
      <w:bookmarkEnd w:id="2732"/>
    </w:p>
    <w:p w14:paraId="455D7218" w14:textId="40678ED6" w:rsidR="00B97365" w:rsidRDefault="00000000">
      <w:pPr>
        <w:spacing w:before="0" w:after="200" w:line="276" w:lineRule="auto"/>
        <w:jc w:val="left"/>
        <w:rPr>
          <w:szCs w:val="22"/>
          <w:lang w:val="en-US" w:eastAsia="en-GB" w:bidi="ar-SA"/>
        </w:rPr>
      </w:pPr>
      <w:r>
        <w:rPr>
          <w:rFonts w:cs="Arial"/>
          <w:szCs w:val="22"/>
          <w:lang w:val="en-US" w:eastAsia="en-GB" w:bidi="ar-SA"/>
        </w:rPr>
        <w:t xml:space="preserve">* Comprehension TLVs as defined in ETSI TS 102 223 </w:t>
      </w:r>
      <w:r>
        <w:rPr>
          <w:szCs w:val="22"/>
          <w:lang w:val="en-US" w:eastAsia="en-GB" w:bidi="ar-SA"/>
        </w:rPr>
        <w:fldChar w:fldCharType="begin"/>
      </w:r>
      <w:r>
        <w:rPr>
          <w:szCs w:val="22"/>
          <w:lang w:val="en-US" w:eastAsia="en-GB" w:bidi="ar-SA"/>
        </w:rPr>
        <w:instrText xml:space="preserve"> REF _Ref421633137 \r \h </w:instrText>
      </w:r>
      <w:r>
        <w:rPr>
          <w:szCs w:val="22"/>
          <w:lang w:val="en-US" w:eastAsia="en-GB" w:bidi="ar-SA"/>
        </w:rPr>
      </w:r>
      <w:r>
        <w:rPr>
          <w:szCs w:val="22"/>
          <w:lang w:val="en-US" w:eastAsia="en-GB" w:bidi="ar-SA"/>
        </w:rPr>
        <w:fldChar w:fldCharType="separate"/>
      </w:r>
      <w:r w:rsidR="001D5AD9">
        <w:rPr>
          <w:szCs w:val="22"/>
          <w:lang w:val="en-US" w:eastAsia="en-GB" w:bidi="ar-SA"/>
        </w:rPr>
        <w:t>[3]</w:t>
      </w:r>
      <w:r>
        <w:rPr>
          <w:szCs w:val="22"/>
          <w:lang w:val="en-US" w:eastAsia="en-GB" w:bidi="ar-SA"/>
        </w:rPr>
        <w:fldChar w:fldCharType="end"/>
      </w:r>
      <w:r>
        <w:rPr>
          <w:szCs w:val="22"/>
          <w:lang w:val="en-US" w:eastAsia="en-GB" w:bidi="ar-SA"/>
        </w:rPr>
        <w:t>. The CR bit of the tags SHALL be set to zero.</w:t>
      </w:r>
    </w:p>
    <w:p w14:paraId="2CEEE5C7" w14:textId="77777777" w:rsidR="00B97365" w:rsidRDefault="00000000">
      <w:pPr>
        <w:spacing w:before="0" w:after="200" w:line="276" w:lineRule="auto"/>
        <w:jc w:val="left"/>
        <w:rPr>
          <w:b/>
          <w:i/>
          <w:szCs w:val="22"/>
          <w:lang w:val="en-US" w:eastAsia="en-GB" w:bidi="ar-SA"/>
        </w:rPr>
      </w:pPr>
      <w:bookmarkStart w:id="2733" w:name="_Toc420594679"/>
      <w:r>
        <w:rPr>
          <w:rFonts w:cs="Arial"/>
          <w:b/>
          <w:i/>
          <w:lang w:val="en-US"/>
        </w:rPr>
        <w:t>Response</w:t>
      </w:r>
      <w:r>
        <w:rPr>
          <w:b/>
          <w:i/>
          <w:szCs w:val="22"/>
          <w:lang w:val="en-US" w:eastAsia="en-GB" w:bidi="ar-SA"/>
        </w:rPr>
        <w:t xml:space="preserve"> Message</w:t>
      </w:r>
      <w:bookmarkEnd w:id="2733"/>
    </w:p>
    <w:p w14:paraId="63F1BBB6" w14:textId="77777777" w:rsidR="00B97365" w:rsidRDefault="00000000">
      <w:pPr>
        <w:spacing w:before="0" w:after="200" w:line="276" w:lineRule="auto"/>
        <w:jc w:val="left"/>
        <w:rPr>
          <w:b/>
          <w:i/>
          <w:szCs w:val="22"/>
          <w:lang w:val="en-US" w:eastAsia="en-GB" w:bidi="ar-SA"/>
        </w:rPr>
      </w:pPr>
      <w:bookmarkStart w:id="2734" w:name="_Toc420594680"/>
      <w:r>
        <w:rPr>
          <w:rFonts w:cs="Arial"/>
          <w:b/>
          <w:i/>
          <w:lang w:val="en-US"/>
        </w:rPr>
        <w:t>Data</w:t>
      </w:r>
      <w:r>
        <w:rPr>
          <w:b/>
          <w:i/>
          <w:szCs w:val="22"/>
          <w:lang w:val="en-US" w:eastAsia="en-GB" w:bidi="ar-SA"/>
        </w:rPr>
        <w:t xml:space="preserve"> Field Returned in the Response Message:</w:t>
      </w:r>
      <w:bookmarkEnd w:id="2734"/>
    </w:p>
    <w:p w14:paraId="4BBB2CB4" w14:textId="77777777" w:rsidR="00B97365" w:rsidRDefault="00000000">
      <w:pPr>
        <w:spacing w:before="0" w:after="200" w:line="276" w:lineRule="auto"/>
        <w:jc w:val="left"/>
        <w:rPr>
          <w:szCs w:val="22"/>
          <w:lang w:eastAsia="en-GB" w:bidi="ar-SA"/>
        </w:rPr>
      </w:pPr>
      <w:r>
        <w:rPr>
          <w:rFonts w:cs="Arial"/>
          <w:szCs w:val="22"/>
          <w:lang w:val="en-US" w:eastAsia="en-GB" w:bidi="ar-SA"/>
        </w:rPr>
        <w:lastRenderedPageBreak/>
        <w:t>The data field of the response message SHALL NOT be present.</w:t>
      </w:r>
    </w:p>
    <w:p w14:paraId="66AECB55" w14:textId="77777777" w:rsidR="00B97365" w:rsidRDefault="00000000">
      <w:pPr>
        <w:spacing w:before="0" w:after="200" w:line="276" w:lineRule="auto"/>
        <w:jc w:val="left"/>
        <w:rPr>
          <w:b/>
          <w:i/>
          <w:szCs w:val="22"/>
          <w:lang w:val="en-US" w:eastAsia="en-GB" w:bidi="ar-SA"/>
        </w:rPr>
      </w:pPr>
      <w:bookmarkStart w:id="2735" w:name="_Toc420594681"/>
      <w:r>
        <w:rPr>
          <w:rFonts w:cs="Arial"/>
          <w:b/>
          <w:i/>
          <w:lang w:val="en-US"/>
        </w:rPr>
        <w:t>Processing</w:t>
      </w:r>
      <w:r>
        <w:rPr>
          <w:b/>
          <w:i/>
          <w:szCs w:val="22"/>
          <w:lang w:val="en-US" w:eastAsia="en-GB" w:bidi="ar-SA"/>
        </w:rPr>
        <w:t xml:space="preserve"> State returned in the Response Message:</w:t>
      </w:r>
      <w:bookmarkEnd w:id="2735"/>
    </w:p>
    <w:p w14:paraId="5ABB62D4" w14:textId="19DA6111" w:rsidR="00B97365" w:rsidRDefault="00000000">
      <w:pPr>
        <w:spacing w:before="0" w:after="200" w:line="276" w:lineRule="auto"/>
        <w:jc w:val="left"/>
        <w:rPr>
          <w:szCs w:val="22"/>
          <w:lang w:val="en-US" w:eastAsia="en-GB" w:bidi="ar-SA"/>
        </w:rPr>
      </w:pPr>
      <w:r>
        <w:rPr>
          <w:rFonts w:cs="Arial"/>
          <w:szCs w:val="22"/>
          <w:lang w:val="en-US" w:eastAsia="en-GB" w:bidi="ar-SA"/>
        </w:rPr>
        <w:t xml:space="preserve">See 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section 11.11.3.2. </w:t>
      </w:r>
    </w:p>
    <w:p w14:paraId="61CB4EE2"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val="fr-FR" w:eastAsia="en-US" w:bidi="ar-SA"/>
        </w:rPr>
      </w:pPr>
      <w:bookmarkStart w:id="2736" w:name="_Toc1977327"/>
      <w:bookmarkStart w:id="2737" w:name="_Toc37062486"/>
      <w:bookmarkStart w:id="2738" w:name="_Toc88839572"/>
      <w:bookmarkStart w:id="2739" w:name="_Toc121503980"/>
      <w:r>
        <w:rPr>
          <w:rFonts w:eastAsia="Times New Roman" w:cs="Arial"/>
          <w:b/>
          <w:bCs/>
          <w:iCs/>
          <w:sz w:val="24"/>
          <w:szCs w:val="26"/>
          <w:lang w:val="fr-FR" w:eastAsia="en-US" w:bidi="ar-SA"/>
        </w:rPr>
        <w:t>ESx (Device</w:t>
      </w:r>
      <w:r>
        <w:rPr>
          <w:rFonts w:eastAsia="Times New Roman" w:cs="Arial"/>
          <w:b/>
          <w:bCs/>
          <w:iCs/>
          <w:sz w:val="24"/>
          <w:szCs w:val="26"/>
          <w:lang w:val="en-US" w:eastAsia="en-US" w:bidi="ar-SA"/>
        </w:rPr>
        <w:t xml:space="preserve"> </w:t>
      </w:r>
      <w:r>
        <w:rPr>
          <w:rFonts w:eastAsia="Times New Roman" w:cs="Arial"/>
          <w:b/>
          <w:bCs/>
          <w:iCs/>
          <w:sz w:val="24"/>
          <w:szCs w:val="26"/>
          <w:lang w:val="fr-FR" w:eastAsia="en-US" w:bidi="ar-SA"/>
        </w:rPr>
        <w:t>-</w:t>
      </w:r>
      <w:r>
        <w:rPr>
          <w:rFonts w:eastAsia="Times New Roman" w:cs="Arial"/>
          <w:b/>
          <w:bCs/>
          <w:iCs/>
          <w:sz w:val="24"/>
          <w:szCs w:val="26"/>
          <w:lang w:val="en-US" w:eastAsia="en-US" w:bidi="ar-SA"/>
        </w:rPr>
        <w:t xml:space="preserve"> eUICC) Interface Description</w:t>
      </w:r>
      <w:bookmarkEnd w:id="2736"/>
      <w:bookmarkEnd w:id="2737"/>
      <w:bookmarkEnd w:id="2738"/>
      <w:bookmarkEnd w:id="2739"/>
    </w:p>
    <w:p w14:paraId="4F9E1535" w14:textId="77777777" w:rsidR="00B97365" w:rsidRDefault="00000000">
      <w:pPr>
        <w:spacing w:before="0" w:after="200" w:line="276" w:lineRule="auto"/>
        <w:jc w:val="left"/>
        <w:rPr>
          <w:rFonts w:cs="Arial"/>
        </w:rPr>
      </w:pPr>
      <w:r>
        <w:rPr>
          <w:szCs w:val="22"/>
          <w:lang w:val="en-US" w:eastAsia="en-GB" w:bidi="ar-SA"/>
        </w:rPr>
        <w:t>The eUICC MAY support the Local Enable and Disable com</w:t>
      </w:r>
      <w:r>
        <w:rPr>
          <w:rFonts w:cs="Arial"/>
        </w:rPr>
        <w:t>mand for the Emergency Profile.</w:t>
      </w:r>
    </w:p>
    <w:p w14:paraId="7EA07BAD" w14:textId="77777777" w:rsidR="00B97365" w:rsidRDefault="00000000">
      <w:pPr>
        <w:spacing w:before="0" w:after="200" w:line="276" w:lineRule="auto"/>
        <w:jc w:val="left"/>
        <w:rPr>
          <w:rFonts w:cs="Arial"/>
        </w:rPr>
      </w:pPr>
      <w:r>
        <w:rPr>
          <w:szCs w:val="22"/>
          <w:lang w:val="en-US" w:eastAsia="en-GB" w:bidi="ar-SA"/>
        </w:rPr>
        <w:t>The eUICC MAY support the Local Enable and Disable command for the Test Profile.</w:t>
      </w:r>
    </w:p>
    <w:p w14:paraId="6DB58B7D"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val="fr-FR" w:eastAsia="en-US"/>
        </w:rPr>
      </w:pPr>
      <w:bookmarkStart w:id="2740" w:name="_Ref535969740"/>
      <w:bookmarkStart w:id="2741" w:name="_Toc1977328"/>
      <w:bookmarkStart w:id="2742" w:name="_Toc37062487"/>
      <w:r>
        <w:rPr>
          <w:rFonts w:ascii="Arial Bold" w:eastAsia="Times New Roman" w:hAnsi="Arial Bold" w:cs="Arial"/>
          <w:b/>
          <w:iCs/>
          <w:szCs w:val="28"/>
          <w:lang w:val="fr-FR" w:eastAsia="en-US"/>
        </w:rPr>
        <w:t>Local Enable for Emergency Profile</w:t>
      </w:r>
      <w:bookmarkEnd w:id="2740"/>
      <w:bookmarkEnd w:id="2741"/>
      <w:bookmarkEnd w:id="2742"/>
    </w:p>
    <w:p w14:paraId="68B52D2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LocalEnableEmergencyProfile</w:t>
      </w:r>
    </w:p>
    <w:p w14:paraId="0991021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Local Management  </w:t>
      </w:r>
    </w:p>
    <w:p w14:paraId="1B08E6B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 entity:</w:t>
      </w:r>
      <w:r>
        <w:rPr>
          <w:szCs w:val="22"/>
          <w:lang w:val="en-US" w:eastAsia="en-GB" w:bidi="ar-SA"/>
        </w:rPr>
        <w:t xml:space="preserve"> eUICC </w:t>
      </w:r>
    </w:p>
    <w:p w14:paraId="3F870E0F" w14:textId="77777777" w:rsidR="00B97365" w:rsidRDefault="00000000">
      <w:pPr>
        <w:spacing w:before="0" w:after="200" w:line="276" w:lineRule="auto"/>
        <w:jc w:val="left"/>
        <w:rPr>
          <w:rFonts w:cs="Arial"/>
        </w:rPr>
      </w:pPr>
      <w:r>
        <w:rPr>
          <w:rFonts w:cs="Arial"/>
          <w:b/>
          <w:szCs w:val="22"/>
          <w:lang w:val="en-US" w:eastAsia="en-GB" w:bidi="ar-SA"/>
        </w:rPr>
        <w:t>Description:</w:t>
      </w:r>
      <w:r>
        <w:rPr>
          <w:szCs w:val="22"/>
          <w:lang w:val="en-US" w:eastAsia="en-GB" w:bidi="ar-SA"/>
        </w:rPr>
        <w:t xml:space="preserve"> This function is used by the Device to locally enable the Emergency Profile. The eUICC SHALL NOT </w:t>
      </w:r>
      <w:r>
        <w:rPr>
          <w:rFonts w:cs="Arial"/>
        </w:rPr>
        <w:t>send notifications to the SM-SR. The Emergency Profile SHOULD remain enabled even after a restart of the Device. It is up to the Device to disable the Emergency Profile.</w:t>
      </w:r>
    </w:p>
    <w:p w14:paraId="3B3335A8" w14:textId="77777777" w:rsidR="00B97365" w:rsidRDefault="00000000">
      <w:pPr>
        <w:spacing w:before="0" w:after="200" w:line="276" w:lineRule="auto"/>
        <w:jc w:val="left"/>
        <w:rPr>
          <w:b/>
          <w:szCs w:val="22"/>
          <w:u w:val="single"/>
          <w:lang w:val="en-US" w:eastAsia="en-GB" w:bidi="ar-SA"/>
        </w:rPr>
      </w:pPr>
      <w:r>
        <w:rPr>
          <w:rFonts w:cs="Arial"/>
          <w:b/>
          <w:szCs w:val="22"/>
          <w:u w:val="single"/>
          <w:lang w:val="en-US" w:eastAsia="en-GB" w:bidi="ar-SA"/>
        </w:rPr>
        <w:t>Prerequisites:</w:t>
      </w:r>
    </w:p>
    <w:p w14:paraId="369E509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Profile with the Emergency Profile Attribute set exists on the eUICC.</w:t>
      </w:r>
    </w:p>
    <w:p w14:paraId="728578A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Profile with the Emergency Profile Attribute set is not already enabled.</w:t>
      </w:r>
    </w:p>
    <w:p w14:paraId="05739949" w14:textId="77777777" w:rsidR="00B97365" w:rsidRDefault="00B97365">
      <w:pPr>
        <w:tabs>
          <w:tab w:val="left" w:pos="680"/>
        </w:tabs>
        <w:spacing w:before="0" w:after="200" w:line="276" w:lineRule="auto"/>
        <w:contextualSpacing/>
        <w:jc w:val="left"/>
        <w:rPr>
          <w:rFonts w:cs="Arial"/>
        </w:rPr>
      </w:pPr>
    </w:p>
    <w:p w14:paraId="3ECC328D" w14:textId="77777777" w:rsidR="00B97365" w:rsidRDefault="00000000">
      <w:pPr>
        <w:spacing w:before="0" w:after="200" w:line="276" w:lineRule="auto"/>
        <w:jc w:val="left"/>
        <w:rPr>
          <w:rFonts w:cs="Arial"/>
          <w:b/>
          <w:szCs w:val="22"/>
          <w:u w:val="single"/>
          <w:lang w:val="en-US" w:eastAsia="en-GB" w:bidi="ar-SA"/>
        </w:rPr>
      </w:pPr>
      <w:r>
        <w:rPr>
          <w:rFonts w:cs="Arial"/>
          <w:b/>
          <w:szCs w:val="22"/>
          <w:u w:val="single"/>
          <w:lang w:val="en-US" w:eastAsia="en-GB" w:bidi="ar-SA"/>
        </w:rPr>
        <w:t>Command Description:</w:t>
      </w:r>
    </w:p>
    <w:p w14:paraId="3ABC2B6E" w14:textId="77777777" w:rsidR="00B97365" w:rsidRDefault="00000000">
      <w:pPr>
        <w:spacing w:before="0" w:after="200" w:line="276" w:lineRule="auto"/>
        <w:jc w:val="left"/>
        <w:rPr>
          <w:rFonts w:cs="Arial"/>
        </w:rPr>
      </w:pPr>
      <w:r>
        <w:rPr>
          <w:rFonts w:cs="Arial"/>
        </w:rPr>
        <w:t>The Local Enable and Local Disable of a Profile with the Emergency Profile Attribute set is realised by using the ENVELOPE command with a dedicated Tag.</w:t>
      </w:r>
    </w:p>
    <w:p w14:paraId="5FDAFD7D" w14:textId="77777777" w:rsidR="00B97365" w:rsidRDefault="00000000">
      <w:pPr>
        <w:keepNext/>
        <w:spacing w:before="0" w:after="200" w:line="276" w:lineRule="auto"/>
        <w:jc w:val="left"/>
        <w:rPr>
          <w:rFonts w:cs="Arial"/>
          <w:b/>
          <w:i/>
          <w:szCs w:val="22"/>
          <w:lang w:eastAsia="en-GB" w:bidi="ar-SA"/>
        </w:rPr>
      </w:pPr>
      <w:r>
        <w:rPr>
          <w:rFonts w:cs="Arial"/>
          <w:b/>
          <w:i/>
          <w:szCs w:val="22"/>
          <w:lang w:eastAsia="en-GB" w:bidi="ar-SA"/>
        </w:rPr>
        <w:t xml:space="preserve">Data Field of ENVELOPE </w:t>
      </w:r>
    </w:p>
    <w:tbl>
      <w:tblPr>
        <w:tblStyle w:val="Morpho"/>
        <w:tblW w:w="9640" w:type="dxa"/>
        <w:tblLayout w:type="fixed"/>
        <w:tblLook w:val="04A0" w:firstRow="1" w:lastRow="0" w:firstColumn="1" w:lastColumn="0" w:noHBand="0" w:noVBand="1"/>
      </w:tblPr>
      <w:tblGrid>
        <w:gridCol w:w="1276"/>
        <w:gridCol w:w="1418"/>
        <w:gridCol w:w="5103"/>
        <w:gridCol w:w="1843"/>
      </w:tblGrid>
      <w:tr w:rsidR="00B97365" w14:paraId="13C9DDD5" w14:textId="77777777" w:rsidTr="00B97365">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C00000"/>
          </w:tcPr>
          <w:p w14:paraId="6F3B9F24"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Tag</w:t>
            </w:r>
          </w:p>
        </w:tc>
        <w:tc>
          <w:tcPr>
            <w:tcW w:w="1418" w:type="dxa"/>
            <w:shd w:val="clear" w:color="auto" w:fill="C00000"/>
          </w:tcPr>
          <w:p w14:paraId="5D551625"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Length</w:t>
            </w:r>
          </w:p>
        </w:tc>
        <w:tc>
          <w:tcPr>
            <w:tcW w:w="5103" w:type="dxa"/>
            <w:shd w:val="clear" w:color="auto" w:fill="C00000"/>
          </w:tcPr>
          <w:p w14:paraId="243F8334"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Value Description</w:t>
            </w:r>
          </w:p>
        </w:tc>
        <w:tc>
          <w:tcPr>
            <w:tcW w:w="1843" w:type="dxa"/>
            <w:shd w:val="clear" w:color="auto" w:fill="C00000"/>
          </w:tcPr>
          <w:p w14:paraId="33991BBD"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MOC</w:t>
            </w:r>
          </w:p>
        </w:tc>
      </w:tr>
      <w:tr w:rsidR="00B97365" w14:paraId="3073C028" w14:textId="77777777" w:rsidTr="00B97365">
        <w:tc>
          <w:tcPr>
            <w:tcW w:w="1276" w:type="dxa"/>
          </w:tcPr>
          <w:p w14:paraId="424FE263" w14:textId="77777777" w:rsidR="00B97365" w:rsidRDefault="00000000">
            <w:pPr>
              <w:spacing w:before="60" w:after="60" w:line="276" w:lineRule="auto"/>
              <w:jc w:val="center"/>
              <w:rPr>
                <w:rFonts w:cs="Arial"/>
                <w:lang w:eastAsia="en-US" w:bidi="ar-SA"/>
              </w:rPr>
            </w:pPr>
            <w:r>
              <w:rPr>
                <w:rFonts w:cs="Arial"/>
                <w:lang w:eastAsia="en-US" w:bidi="ar-SA"/>
              </w:rPr>
              <w:t>‘E4’</w:t>
            </w:r>
          </w:p>
        </w:tc>
        <w:tc>
          <w:tcPr>
            <w:tcW w:w="1418" w:type="dxa"/>
          </w:tcPr>
          <w:p w14:paraId="0DACB7AD"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1</w:t>
            </w:r>
          </w:p>
        </w:tc>
        <w:tc>
          <w:tcPr>
            <w:tcW w:w="5103" w:type="dxa"/>
            <w:tcBorders>
              <w:bottom w:val="single" w:sz="4" w:space="0" w:color="auto"/>
            </w:tcBorders>
          </w:tcPr>
          <w:p w14:paraId="360F14CE" w14:textId="77777777" w:rsidR="00B97365" w:rsidRDefault="00000000">
            <w:pPr>
              <w:spacing w:before="60" w:after="60" w:line="276" w:lineRule="auto"/>
              <w:jc w:val="left"/>
              <w:rPr>
                <w:rFonts w:eastAsia="Times New Roman"/>
                <w:lang w:eastAsia="en-US" w:bidi="ar-SA"/>
              </w:rPr>
            </w:pPr>
            <w:r>
              <w:rPr>
                <w:lang w:eastAsia="en-US" w:bidi="ar-SA"/>
              </w:rPr>
              <w:t xml:space="preserve">00: Local Enable of Emergency Profile </w:t>
            </w:r>
          </w:p>
          <w:p w14:paraId="7B9DFC12" w14:textId="77777777" w:rsidR="00B97365" w:rsidRDefault="00000000">
            <w:pPr>
              <w:spacing w:before="60" w:after="60" w:line="276" w:lineRule="auto"/>
              <w:jc w:val="left"/>
              <w:rPr>
                <w:lang w:eastAsia="en-US" w:bidi="ar-SA"/>
              </w:rPr>
            </w:pPr>
            <w:r>
              <w:rPr>
                <w:lang w:eastAsia="en-US" w:bidi="ar-SA"/>
              </w:rPr>
              <w:t xml:space="preserve">01: Local Disable of Emergency Profile </w:t>
            </w:r>
          </w:p>
          <w:p w14:paraId="76DC4B8D" w14:textId="77777777" w:rsidR="00B97365" w:rsidRDefault="00000000">
            <w:pPr>
              <w:spacing w:before="60" w:after="60" w:line="276" w:lineRule="auto"/>
              <w:jc w:val="left"/>
              <w:rPr>
                <w:rFonts w:eastAsia="Times New Roman"/>
                <w:lang w:eastAsia="en-GB" w:bidi="ar-SA"/>
              </w:rPr>
            </w:pPr>
            <w:r>
              <w:rPr>
                <w:lang w:eastAsia="en-GB" w:bidi="ar-SA"/>
              </w:rPr>
              <w:t xml:space="preserve">02: Local Enable of Test Profile </w:t>
            </w:r>
          </w:p>
          <w:p w14:paraId="7C4B5ABA" w14:textId="77777777" w:rsidR="00B97365" w:rsidRDefault="00000000">
            <w:pPr>
              <w:spacing w:before="60" w:after="60" w:line="276" w:lineRule="auto"/>
              <w:jc w:val="left"/>
              <w:rPr>
                <w:lang w:eastAsia="en-GB" w:bidi="ar-SA"/>
              </w:rPr>
            </w:pPr>
            <w:r>
              <w:rPr>
                <w:lang w:eastAsia="en-GB" w:bidi="ar-SA"/>
              </w:rPr>
              <w:t xml:space="preserve">03: Local Disable of Test Profile </w:t>
            </w:r>
          </w:p>
          <w:p w14:paraId="71E4912C" w14:textId="77777777" w:rsidR="00B97365" w:rsidRDefault="00000000">
            <w:pPr>
              <w:spacing w:before="60" w:after="60" w:line="276" w:lineRule="auto"/>
              <w:jc w:val="left"/>
              <w:rPr>
                <w:rFonts w:cs="Arial"/>
                <w:lang w:eastAsia="en-US" w:bidi="ar-SA"/>
              </w:rPr>
            </w:pPr>
            <w:r>
              <w:rPr>
                <w:lang w:eastAsia="en-US" w:bidi="ar-SA"/>
              </w:rPr>
              <w:t>04-FF: RFU</w:t>
            </w:r>
          </w:p>
        </w:tc>
        <w:tc>
          <w:tcPr>
            <w:tcW w:w="1843" w:type="dxa"/>
            <w:tcBorders>
              <w:bottom w:val="single" w:sz="4" w:space="0" w:color="auto"/>
            </w:tcBorders>
          </w:tcPr>
          <w:p w14:paraId="68A22BB5" w14:textId="77777777" w:rsidR="00B97365" w:rsidRDefault="00000000">
            <w:pPr>
              <w:spacing w:before="60" w:after="60" w:line="276" w:lineRule="auto"/>
              <w:jc w:val="center"/>
              <w:rPr>
                <w:rFonts w:cs="Arial"/>
                <w:lang w:eastAsia="en-US" w:bidi="ar-SA"/>
              </w:rPr>
            </w:pPr>
            <w:r>
              <w:rPr>
                <w:rFonts w:cs="Arial"/>
                <w:lang w:eastAsia="en-US" w:bidi="ar-SA"/>
              </w:rPr>
              <w:t>M</w:t>
            </w:r>
          </w:p>
        </w:tc>
      </w:tr>
    </w:tbl>
    <w:p w14:paraId="639F8C9B" w14:textId="77777777" w:rsidR="00B97365" w:rsidRDefault="00000000">
      <w:pPr>
        <w:spacing w:before="60" w:after="100" w:afterAutospacing="1"/>
        <w:jc w:val="center"/>
        <w:rPr>
          <w:rFonts w:eastAsia="Times New Roman"/>
          <w:b/>
          <w:lang w:val="en-US" w:eastAsia="fr-FR" w:bidi="ar-SA"/>
        </w:rPr>
      </w:pPr>
      <w:r>
        <w:rPr>
          <w:rFonts w:eastAsia="Times New Roman"/>
          <w:b/>
          <w:lang w:val="en-US" w:eastAsia="fr-FR" w:bidi="ar-SA"/>
        </w:rPr>
        <w:t>Table 4141: Data Field for Envelope containing Local Enable and Local Disable</w:t>
      </w:r>
    </w:p>
    <w:p w14:paraId="7AE1FA7C" w14:textId="77777777" w:rsidR="00B97365" w:rsidRDefault="00000000">
      <w:pPr>
        <w:spacing w:before="0" w:after="200" w:line="276" w:lineRule="auto"/>
        <w:rPr>
          <w:b/>
          <w:i/>
          <w:szCs w:val="22"/>
        </w:rPr>
      </w:pPr>
      <w:r>
        <w:rPr>
          <w:b/>
          <w:i/>
          <w:szCs w:val="22"/>
        </w:rPr>
        <w:t>Data Field Returned in the Response Message:</w:t>
      </w:r>
    </w:p>
    <w:p w14:paraId="4A5361A1" w14:textId="77777777" w:rsidR="00B97365" w:rsidRDefault="00000000">
      <w:pPr>
        <w:spacing w:before="0" w:after="200" w:line="276" w:lineRule="auto"/>
        <w:jc w:val="left"/>
        <w:rPr>
          <w:szCs w:val="22"/>
          <w:lang w:val="en-US" w:bidi="ar-SA"/>
        </w:rPr>
      </w:pPr>
      <w:r>
        <w:rPr>
          <w:szCs w:val="22"/>
          <w:lang w:val="en-US" w:bidi="ar-SA"/>
        </w:rPr>
        <w:t>The structure of the response data is defined below:</w:t>
      </w:r>
    </w:p>
    <w:p w14:paraId="7BD53D9E"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EA9D853" w14:textId="77777777" w:rsidR="00B97365" w:rsidRDefault="00B9736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DCC0CC"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ResultCode ::= [0] INTEGER{</w:t>
      </w:r>
    </w:p>
    <w:p w14:paraId="73DD0103"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t>success (0),</w:t>
      </w:r>
    </w:p>
    <w:p w14:paraId="007CC50F"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errorProfileRef (8), -- Emergency/Test Profile does not exists</w:t>
      </w:r>
    </w:p>
    <w:p w14:paraId="4DA07264"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errorAlreadyEnabled (9), -- Emergency/Test Profile is already enabled</w:t>
      </w:r>
    </w:p>
    <w:p w14:paraId="1F514B09"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errorAlreadyDisabled (10), -- Emergency/Test Profile is already disabled</w:t>
      </w:r>
    </w:p>
    <w:p w14:paraId="0CB85C02"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errorForbidden (12), -- Transition is forbidden for the Test Profile</w:t>
      </w:r>
    </w:p>
    <w:p w14:paraId="17AE73FF"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undefinedError (127)</w:t>
      </w:r>
    </w:p>
    <w:p w14:paraId="1AA4CB1D"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3F10EA55" w14:textId="77777777" w:rsidR="00B97365" w:rsidRDefault="00B9736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6FA8DB5" w14:textId="77777777" w:rsidR="00B97365" w:rsidRDefault="000000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51B0F87" w14:textId="77777777" w:rsidR="00B97365" w:rsidRDefault="00B97365">
      <w:pPr>
        <w:spacing w:before="0" w:after="200" w:line="276" w:lineRule="auto"/>
        <w:jc w:val="left"/>
        <w:rPr>
          <w:lang w:val="en-US" w:eastAsia="fr-FR" w:bidi="ar-SA"/>
        </w:rPr>
      </w:pPr>
    </w:p>
    <w:p w14:paraId="0A2F7F6B"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The following table defines the error codes that are permitted for each command:</w:t>
      </w:r>
    </w:p>
    <w:tbl>
      <w:tblPr>
        <w:tblStyle w:val="Morpho"/>
        <w:tblW w:w="9776" w:type="dxa"/>
        <w:tblLayout w:type="fixed"/>
        <w:tblLook w:val="04A0" w:firstRow="1" w:lastRow="0" w:firstColumn="1" w:lastColumn="0" w:noHBand="0" w:noVBand="1"/>
      </w:tblPr>
      <w:tblGrid>
        <w:gridCol w:w="4673"/>
        <w:gridCol w:w="1020"/>
        <w:gridCol w:w="1021"/>
        <w:gridCol w:w="1020"/>
        <w:gridCol w:w="1021"/>
        <w:gridCol w:w="1021"/>
      </w:tblGrid>
      <w:tr w:rsidR="00B97365" w14:paraId="4DDA0C1A" w14:textId="77777777" w:rsidTr="00B97365">
        <w:trPr>
          <w:cnfStyle w:val="100000000000" w:firstRow="1" w:lastRow="0" w:firstColumn="0" w:lastColumn="0" w:oddVBand="0" w:evenVBand="0" w:oddHBand="0" w:evenHBand="0" w:firstRowFirstColumn="0" w:firstRowLastColumn="0" w:lastRowFirstColumn="0" w:lastRowLastColumn="0"/>
        </w:trPr>
        <w:tc>
          <w:tcPr>
            <w:tcW w:w="4673" w:type="dxa"/>
            <w:vMerge w:val="restart"/>
            <w:shd w:val="clear" w:color="auto" w:fill="C00000"/>
          </w:tcPr>
          <w:p w14:paraId="5B37E963"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Command</w:t>
            </w:r>
          </w:p>
        </w:tc>
        <w:tc>
          <w:tcPr>
            <w:tcW w:w="5103" w:type="dxa"/>
            <w:gridSpan w:val="5"/>
            <w:shd w:val="clear" w:color="auto" w:fill="C00000"/>
          </w:tcPr>
          <w:p w14:paraId="0B0159AE"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Response</w:t>
            </w:r>
          </w:p>
        </w:tc>
      </w:tr>
      <w:tr w:rsidR="00B97365" w14:paraId="16A342D7" w14:textId="77777777" w:rsidTr="00B97365">
        <w:tc>
          <w:tcPr>
            <w:tcW w:w="4673" w:type="dxa"/>
            <w:vMerge/>
            <w:shd w:val="clear" w:color="auto" w:fill="C00000"/>
          </w:tcPr>
          <w:p w14:paraId="410F1B82" w14:textId="77777777" w:rsidR="00B97365" w:rsidRDefault="00B97365">
            <w:pPr>
              <w:keepNext/>
              <w:spacing w:before="60" w:after="60"/>
              <w:jc w:val="center"/>
              <w:rPr>
                <w:rFonts w:eastAsia="Times New Roman"/>
                <w:sz w:val="20"/>
                <w:szCs w:val="16"/>
                <w:lang w:eastAsia="de-DE" w:bidi="ar-SA"/>
              </w:rPr>
            </w:pPr>
          </w:p>
        </w:tc>
        <w:tc>
          <w:tcPr>
            <w:tcW w:w="1020" w:type="dxa"/>
            <w:shd w:val="clear" w:color="auto" w:fill="C00000"/>
          </w:tcPr>
          <w:p w14:paraId="7B9F30CD"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(0)</w:t>
            </w:r>
          </w:p>
        </w:tc>
        <w:tc>
          <w:tcPr>
            <w:tcW w:w="1021" w:type="dxa"/>
            <w:shd w:val="clear" w:color="auto" w:fill="C00000"/>
          </w:tcPr>
          <w:p w14:paraId="25201BDD"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(8)</w:t>
            </w:r>
          </w:p>
        </w:tc>
        <w:tc>
          <w:tcPr>
            <w:tcW w:w="1020" w:type="dxa"/>
            <w:shd w:val="clear" w:color="auto" w:fill="C00000"/>
          </w:tcPr>
          <w:p w14:paraId="5BD9BCA2"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(9)</w:t>
            </w:r>
          </w:p>
        </w:tc>
        <w:tc>
          <w:tcPr>
            <w:tcW w:w="1021" w:type="dxa"/>
            <w:shd w:val="clear" w:color="auto" w:fill="C00000"/>
          </w:tcPr>
          <w:p w14:paraId="4B267A67"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(10)</w:t>
            </w:r>
          </w:p>
        </w:tc>
        <w:tc>
          <w:tcPr>
            <w:tcW w:w="1021" w:type="dxa"/>
            <w:shd w:val="clear" w:color="auto" w:fill="C00000"/>
          </w:tcPr>
          <w:p w14:paraId="1E329C4F" w14:textId="77777777" w:rsidR="00B97365" w:rsidRDefault="00000000">
            <w:pPr>
              <w:keepNext/>
              <w:spacing w:before="60" w:after="60"/>
              <w:jc w:val="center"/>
              <w:rPr>
                <w:rFonts w:eastAsia="Times New Roman"/>
                <w:sz w:val="20"/>
                <w:szCs w:val="16"/>
                <w:lang w:eastAsia="de-DE" w:bidi="ar-SA"/>
              </w:rPr>
            </w:pPr>
            <w:r>
              <w:rPr>
                <w:rFonts w:eastAsia="Times New Roman"/>
                <w:sz w:val="20"/>
                <w:szCs w:val="16"/>
                <w:lang w:eastAsia="de-DE" w:bidi="ar-SA"/>
              </w:rPr>
              <w:t>(12)</w:t>
            </w:r>
          </w:p>
        </w:tc>
      </w:tr>
      <w:tr w:rsidR="00B97365" w14:paraId="6BE4AA19" w14:textId="77777777" w:rsidTr="00B97365">
        <w:tc>
          <w:tcPr>
            <w:tcW w:w="4673" w:type="dxa"/>
          </w:tcPr>
          <w:p w14:paraId="1047F82B" w14:textId="77777777" w:rsidR="00B97365" w:rsidRDefault="00000000">
            <w:pPr>
              <w:spacing w:before="60" w:after="60" w:line="276" w:lineRule="auto"/>
              <w:jc w:val="center"/>
              <w:rPr>
                <w:rFonts w:cs="Arial"/>
                <w:lang w:eastAsia="en-US" w:bidi="ar-SA"/>
              </w:rPr>
            </w:pPr>
            <w:r>
              <w:rPr>
                <w:lang w:eastAsia="en-US" w:bidi="ar-SA"/>
              </w:rPr>
              <w:t>LocalEnableEmergencyProfile</w:t>
            </w:r>
          </w:p>
        </w:tc>
        <w:tc>
          <w:tcPr>
            <w:tcW w:w="1020" w:type="dxa"/>
          </w:tcPr>
          <w:p w14:paraId="340836BB"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1" w:type="dxa"/>
          </w:tcPr>
          <w:p w14:paraId="3A2864BF"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0" w:type="dxa"/>
          </w:tcPr>
          <w:p w14:paraId="3AADD1CC"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1" w:type="dxa"/>
          </w:tcPr>
          <w:p w14:paraId="395653DB" w14:textId="77777777" w:rsidR="00B97365" w:rsidRDefault="00B97365">
            <w:pPr>
              <w:spacing w:before="60" w:after="60" w:line="276" w:lineRule="auto"/>
              <w:jc w:val="center"/>
              <w:rPr>
                <w:rFonts w:ascii="Courier New" w:hAnsi="Courier New" w:cs="Arial"/>
                <w:noProof/>
                <w:lang w:eastAsia="en-US" w:bidi="ar-SA"/>
              </w:rPr>
            </w:pPr>
          </w:p>
        </w:tc>
        <w:tc>
          <w:tcPr>
            <w:tcW w:w="1021" w:type="dxa"/>
          </w:tcPr>
          <w:p w14:paraId="3FDBBCBE" w14:textId="77777777" w:rsidR="00B97365" w:rsidRDefault="00B97365">
            <w:pPr>
              <w:spacing w:before="60" w:after="60" w:line="276" w:lineRule="auto"/>
              <w:jc w:val="center"/>
              <w:rPr>
                <w:rFonts w:ascii="Courier New" w:hAnsi="Courier New" w:cs="Arial"/>
                <w:noProof/>
                <w:lang w:eastAsia="en-US" w:bidi="ar-SA"/>
              </w:rPr>
            </w:pPr>
          </w:p>
        </w:tc>
      </w:tr>
      <w:tr w:rsidR="00B97365" w14:paraId="0F66BB01" w14:textId="77777777" w:rsidTr="00B97365">
        <w:tc>
          <w:tcPr>
            <w:tcW w:w="4673" w:type="dxa"/>
          </w:tcPr>
          <w:p w14:paraId="3E5E828F" w14:textId="77777777" w:rsidR="00B97365" w:rsidRDefault="00000000">
            <w:pPr>
              <w:spacing w:before="60" w:after="60" w:line="276" w:lineRule="auto"/>
              <w:jc w:val="center"/>
              <w:rPr>
                <w:lang w:eastAsia="en-US" w:bidi="ar-SA"/>
              </w:rPr>
            </w:pPr>
            <w:r>
              <w:rPr>
                <w:lang w:eastAsia="en-US" w:bidi="ar-SA"/>
              </w:rPr>
              <w:t>LocalDisableEmergencyProfile</w:t>
            </w:r>
          </w:p>
        </w:tc>
        <w:tc>
          <w:tcPr>
            <w:tcW w:w="1020" w:type="dxa"/>
          </w:tcPr>
          <w:p w14:paraId="4AC37CFE"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1" w:type="dxa"/>
          </w:tcPr>
          <w:p w14:paraId="489EFC55" w14:textId="77777777" w:rsidR="00B97365" w:rsidRDefault="00B97365">
            <w:pPr>
              <w:spacing w:before="60" w:after="60" w:line="276" w:lineRule="auto"/>
              <w:jc w:val="center"/>
              <w:rPr>
                <w:rFonts w:ascii="Courier New" w:hAnsi="Courier New" w:cs="Arial"/>
                <w:noProof/>
                <w:lang w:eastAsia="en-US" w:bidi="ar-SA"/>
              </w:rPr>
            </w:pPr>
          </w:p>
        </w:tc>
        <w:tc>
          <w:tcPr>
            <w:tcW w:w="1020" w:type="dxa"/>
          </w:tcPr>
          <w:p w14:paraId="16431D7A" w14:textId="77777777" w:rsidR="00B97365" w:rsidRDefault="00B97365">
            <w:pPr>
              <w:spacing w:before="60" w:after="60" w:line="276" w:lineRule="auto"/>
              <w:jc w:val="center"/>
              <w:rPr>
                <w:rFonts w:ascii="Courier New" w:hAnsi="Courier New" w:cs="Arial"/>
                <w:noProof/>
                <w:lang w:eastAsia="en-US" w:bidi="ar-SA"/>
              </w:rPr>
            </w:pPr>
          </w:p>
        </w:tc>
        <w:tc>
          <w:tcPr>
            <w:tcW w:w="1021" w:type="dxa"/>
          </w:tcPr>
          <w:p w14:paraId="27CE8792"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1" w:type="dxa"/>
          </w:tcPr>
          <w:p w14:paraId="3933B2FF" w14:textId="77777777" w:rsidR="00B97365" w:rsidRDefault="00B97365">
            <w:pPr>
              <w:spacing w:before="60" w:after="60" w:line="276" w:lineRule="auto"/>
              <w:jc w:val="center"/>
              <w:rPr>
                <w:rFonts w:ascii="Courier New" w:hAnsi="Courier New" w:cs="Arial"/>
                <w:noProof/>
                <w:lang w:eastAsia="en-US" w:bidi="ar-SA"/>
              </w:rPr>
            </w:pPr>
          </w:p>
        </w:tc>
      </w:tr>
      <w:tr w:rsidR="00B97365" w14:paraId="2556D9E1" w14:textId="77777777" w:rsidTr="00B97365">
        <w:tc>
          <w:tcPr>
            <w:tcW w:w="4673" w:type="dxa"/>
          </w:tcPr>
          <w:p w14:paraId="7320CB16" w14:textId="77777777" w:rsidR="00B97365" w:rsidRDefault="00000000">
            <w:pPr>
              <w:spacing w:before="60" w:after="60" w:line="276" w:lineRule="auto"/>
              <w:jc w:val="center"/>
              <w:rPr>
                <w:lang w:eastAsia="en-US" w:bidi="ar-SA"/>
              </w:rPr>
            </w:pPr>
            <w:r>
              <w:rPr>
                <w:lang w:eastAsia="en-US" w:bidi="ar-SA"/>
              </w:rPr>
              <w:t>LocalEnableTestProfile</w:t>
            </w:r>
          </w:p>
        </w:tc>
        <w:tc>
          <w:tcPr>
            <w:tcW w:w="1020" w:type="dxa"/>
          </w:tcPr>
          <w:p w14:paraId="4C1BEDE6"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1" w:type="dxa"/>
          </w:tcPr>
          <w:p w14:paraId="66826166"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0" w:type="dxa"/>
          </w:tcPr>
          <w:p w14:paraId="32DF85E2"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1" w:type="dxa"/>
          </w:tcPr>
          <w:p w14:paraId="4420044C" w14:textId="77777777" w:rsidR="00B97365" w:rsidRDefault="00B97365">
            <w:pPr>
              <w:spacing w:before="60" w:after="60" w:line="276" w:lineRule="auto"/>
              <w:jc w:val="center"/>
              <w:rPr>
                <w:rFonts w:ascii="Courier New" w:hAnsi="Courier New" w:cs="Arial"/>
                <w:noProof/>
                <w:lang w:eastAsia="en-US" w:bidi="ar-SA"/>
              </w:rPr>
            </w:pPr>
          </w:p>
        </w:tc>
        <w:tc>
          <w:tcPr>
            <w:tcW w:w="1021" w:type="dxa"/>
          </w:tcPr>
          <w:p w14:paraId="1B519F3E"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r>
      <w:tr w:rsidR="00B97365" w14:paraId="07F144E1" w14:textId="77777777" w:rsidTr="00B97365">
        <w:tc>
          <w:tcPr>
            <w:tcW w:w="4673" w:type="dxa"/>
          </w:tcPr>
          <w:p w14:paraId="0FF143BD" w14:textId="77777777" w:rsidR="00B97365" w:rsidRDefault="00000000">
            <w:pPr>
              <w:spacing w:before="60" w:after="60" w:line="276" w:lineRule="auto"/>
              <w:jc w:val="center"/>
              <w:rPr>
                <w:lang w:eastAsia="en-US" w:bidi="ar-SA"/>
              </w:rPr>
            </w:pPr>
            <w:r>
              <w:rPr>
                <w:lang w:eastAsia="en-US" w:bidi="ar-SA"/>
              </w:rPr>
              <w:t>LocalDisableTestProfile</w:t>
            </w:r>
          </w:p>
        </w:tc>
        <w:tc>
          <w:tcPr>
            <w:tcW w:w="1020" w:type="dxa"/>
          </w:tcPr>
          <w:p w14:paraId="35C06993"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1" w:type="dxa"/>
          </w:tcPr>
          <w:p w14:paraId="319F03EB" w14:textId="77777777" w:rsidR="00B97365" w:rsidRDefault="00B97365">
            <w:pPr>
              <w:spacing w:before="60" w:after="60" w:line="276" w:lineRule="auto"/>
              <w:jc w:val="center"/>
              <w:rPr>
                <w:rFonts w:ascii="Courier New" w:hAnsi="Courier New" w:cs="Arial"/>
                <w:noProof/>
                <w:lang w:eastAsia="en-US" w:bidi="ar-SA"/>
              </w:rPr>
            </w:pPr>
          </w:p>
        </w:tc>
        <w:tc>
          <w:tcPr>
            <w:tcW w:w="1020" w:type="dxa"/>
          </w:tcPr>
          <w:p w14:paraId="3C662E34" w14:textId="77777777" w:rsidR="00B97365" w:rsidRDefault="00B97365">
            <w:pPr>
              <w:spacing w:before="60" w:after="60" w:line="276" w:lineRule="auto"/>
              <w:jc w:val="center"/>
              <w:rPr>
                <w:rFonts w:ascii="Courier New" w:hAnsi="Courier New" w:cs="Arial"/>
                <w:noProof/>
                <w:lang w:eastAsia="en-US" w:bidi="ar-SA"/>
              </w:rPr>
            </w:pPr>
          </w:p>
        </w:tc>
        <w:tc>
          <w:tcPr>
            <w:tcW w:w="1021" w:type="dxa"/>
          </w:tcPr>
          <w:p w14:paraId="370766F2" w14:textId="77777777" w:rsidR="00B97365" w:rsidRDefault="00000000">
            <w:pPr>
              <w:spacing w:before="60" w:after="60" w:line="276" w:lineRule="auto"/>
              <w:jc w:val="center"/>
              <w:rPr>
                <w:rFonts w:ascii="Courier New" w:hAnsi="Courier New" w:cs="Arial"/>
                <w:noProof/>
                <w:lang w:eastAsia="en-US" w:bidi="ar-SA"/>
              </w:rPr>
            </w:pPr>
            <w:r>
              <w:rPr>
                <w:rFonts w:ascii="Courier New" w:hAnsi="Courier New" w:cs="Arial"/>
                <w:noProof/>
                <w:lang w:eastAsia="en-US" w:bidi="ar-SA"/>
              </w:rPr>
              <w:t>X</w:t>
            </w:r>
          </w:p>
        </w:tc>
        <w:tc>
          <w:tcPr>
            <w:tcW w:w="1021" w:type="dxa"/>
          </w:tcPr>
          <w:p w14:paraId="32051487" w14:textId="77777777" w:rsidR="00B97365" w:rsidRDefault="00B97365">
            <w:pPr>
              <w:spacing w:before="60" w:after="60" w:line="276" w:lineRule="auto"/>
              <w:jc w:val="center"/>
              <w:rPr>
                <w:rFonts w:ascii="Courier New" w:hAnsi="Courier New" w:cs="Arial"/>
                <w:noProof/>
                <w:lang w:eastAsia="en-US" w:bidi="ar-SA"/>
              </w:rPr>
            </w:pPr>
          </w:p>
        </w:tc>
      </w:tr>
    </w:tbl>
    <w:p w14:paraId="4DEC2A4E" w14:textId="77777777" w:rsidR="00B97365" w:rsidRDefault="00000000">
      <w:pPr>
        <w:spacing w:after="320" w:line="276" w:lineRule="auto"/>
        <w:jc w:val="center"/>
        <w:rPr>
          <w:rFonts w:cs="Arial"/>
          <w:b/>
          <w:szCs w:val="22"/>
          <w:lang w:val="en-US" w:eastAsia="de-DE" w:bidi="ar-SA"/>
        </w:rPr>
      </w:pPr>
      <w:r>
        <w:rPr>
          <w:rFonts w:cs="Arial"/>
          <w:b/>
          <w:szCs w:val="22"/>
          <w:lang w:val="en-US" w:eastAsia="de-DE" w:bidi="ar-SA"/>
        </w:rPr>
        <w:t>Table 4141: Error codes allowed for each Local command</w:t>
      </w:r>
    </w:p>
    <w:p w14:paraId="781FBF82"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 xml:space="preserve">In order to support a legacy implementation for the Device, the eUICC MAY support implementation specific commands to trigger the Local Enable and the Local Disable of the Emergency Profile. </w:t>
      </w:r>
    </w:p>
    <w:p w14:paraId="7502E1DF"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val="en-US" w:eastAsia="en-US"/>
        </w:rPr>
      </w:pPr>
      <w:bookmarkStart w:id="2743" w:name="_Toc1977329"/>
      <w:bookmarkStart w:id="2744" w:name="_Toc37062488"/>
      <w:r>
        <w:rPr>
          <w:rFonts w:ascii="Arial Bold" w:eastAsia="Times New Roman" w:hAnsi="Arial Bold" w:cs="Arial"/>
          <w:b/>
          <w:iCs/>
          <w:szCs w:val="28"/>
          <w:lang w:val="en-US" w:eastAsia="en-US"/>
        </w:rPr>
        <w:t>Local Disable for Emergency Profile</w:t>
      </w:r>
      <w:bookmarkEnd w:id="2743"/>
      <w:bookmarkEnd w:id="2744"/>
    </w:p>
    <w:p w14:paraId="0AA02DC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LocalDisableEmergencyProfile</w:t>
      </w:r>
    </w:p>
    <w:p w14:paraId="3E084E2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Local Management  </w:t>
      </w:r>
    </w:p>
    <w:p w14:paraId="5FAB36D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 entity:</w:t>
      </w:r>
      <w:r>
        <w:rPr>
          <w:szCs w:val="22"/>
          <w:lang w:val="en-US" w:eastAsia="en-GB" w:bidi="ar-SA"/>
        </w:rPr>
        <w:t xml:space="preserve"> eUICC </w:t>
      </w:r>
    </w:p>
    <w:p w14:paraId="46639592" w14:textId="77777777" w:rsidR="00B97365" w:rsidRDefault="00000000">
      <w:pPr>
        <w:spacing w:before="0" w:after="200" w:line="276" w:lineRule="auto"/>
        <w:jc w:val="left"/>
        <w:rPr>
          <w:rFonts w:cs="Arial"/>
        </w:rPr>
      </w:pPr>
      <w:r>
        <w:rPr>
          <w:rFonts w:cs="Arial"/>
          <w:b/>
          <w:szCs w:val="22"/>
          <w:lang w:val="en-US" w:eastAsia="en-GB" w:bidi="ar-SA"/>
        </w:rPr>
        <w:t>Description:</w:t>
      </w:r>
      <w:r>
        <w:rPr>
          <w:szCs w:val="22"/>
          <w:lang w:val="en-US" w:eastAsia="en-GB" w:bidi="ar-SA"/>
        </w:rPr>
        <w:t xml:space="preserve"> This function is used by the Device to locally disable the Emergency Profile and enable the previously enabled Profile.</w:t>
      </w:r>
      <w:r>
        <w:rPr>
          <w:rFonts w:cs="Arial"/>
        </w:rPr>
        <w:t xml:space="preserve"> In case the Local Disable fails, the Fall-Back Mechanism SHALL be activated. The Fall-Back Mechanism SHALL consider that its previously enabled Profile is the Profile that was enabled before the Local Enable of the Emergency Profile.  After disabling the Emergency Profile the eUICC MAY send a notification to the SM-SR (see 4.1.1.11)</w:t>
      </w:r>
    </w:p>
    <w:p w14:paraId="756DD61B" w14:textId="77777777" w:rsidR="00B97365" w:rsidRDefault="00000000">
      <w:pPr>
        <w:spacing w:before="0" w:after="200" w:line="276" w:lineRule="auto"/>
        <w:jc w:val="left"/>
        <w:rPr>
          <w:b/>
          <w:szCs w:val="22"/>
          <w:u w:val="single"/>
          <w:lang w:val="en-US" w:eastAsia="en-GB" w:bidi="ar-SA"/>
        </w:rPr>
      </w:pPr>
      <w:r>
        <w:rPr>
          <w:rFonts w:cs="Arial"/>
          <w:b/>
          <w:szCs w:val="22"/>
          <w:u w:val="single"/>
          <w:lang w:val="en-US" w:eastAsia="en-GB" w:bidi="ar-SA"/>
        </w:rPr>
        <w:t>Prerequisites:</w:t>
      </w:r>
    </w:p>
    <w:p w14:paraId="11BBC25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Profile with the Emergency Profile Attribute set exists on the eUICC</w:t>
      </w:r>
    </w:p>
    <w:p w14:paraId="6B1C740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Profile with the Emergency Profile Attribute set is enabled</w:t>
      </w:r>
    </w:p>
    <w:p w14:paraId="3D9C0F41" w14:textId="77777777" w:rsidR="00B97365" w:rsidRDefault="00B97365">
      <w:pPr>
        <w:spacing w:before="0" w:after="200" w:line="276" w:lineRule="auto"/>
        <w:jc w:val="left"/>
        <w:rPr>
          <w:szCs w:val="22"/>
          <w:lang w:eastAsia="en-GB" w:bidi="ar-SA"/>
        </w:rPr>
      </w:pPr>
    </w:p>
    <w:p w14:paraId="2701FADE" w14:textId="77777777" w:rsidR="00B97365" w:rsidRDefault="00000000">
      <w:pPr>
        <w:spacing w:before="0" w:after="200" w:line="276" w:lineRule="auto"/>
        <w:jc w:val="left"/>
        <w:rPr>
          <w:rFonts w:cs="Arial"/>
          <w:b/>
          <w:szCs w:val="22"/>
          <w:u w:val="single"/>
          <w:lang w:val="en-US" w:eastAsia="en-GB" w:bidi="ar-SA"/>
        </w:rPr>
      </w:pPr>
      <w:r>
        <w:rPr>
          <w:rFonts w:cs="Arial"/>
          <w:b/>
          <w:szCs w:val="22"/>
          <w:u w:val="single"/>
          <w:lang w:val="en-US" w:eastAsia="en-GB" w:bidi="ar-SA"/>
        </w:rPr>
        <w:t>Command and Response Description:</w:t>
      </w:r>
    </w:p>
    <w:p w14:paraId="1201F0B7" w14:textId="18D4DC11" w:rsidR="00B97365" w:rsidRDefault="00000000">
      <w:pPr>
        <w:spacing w:before="0" w:after="200" w:line="276" w:lineRule="auto"/>
        <w:jc w:val="left"/>
        <w:rPr>
          <w:rFonts w:cs="Arial"/>
          <w:szCs w:val="22"/>
          <w:lang w:eastAsia="en-GB" w:bidi="ar-SA"/>
        </w:rPr>
      </w:pPr>
      <w:r>
        <w:rPr>
          <w:rFonts w:cs="Arial"/>
          <w:szCs w:val="22"/>
          <w:lang w:eastAsia="en-GB" w:bidi="ar-SA"/>
        </w:rPr>
        <w:t xml:space="preserve">See </w:t>
      </w:r>
      <w:r>
        <w:rPr>
          <w:rFonts w:cs="Arial"/>
          <w:szCs w:val="22"/>
          <w:lang w:eastAsia="en-GB" w:bidi="ar-SA"/>
        </w:rPr>
        <w:fldChar w:fldCharType="begin"/>
      </w:r>
      <w:r>
        <w:rPr>
          <w:rFonts w:cs="Arial"/>
          <w:szCs w:val="22"/>
          <w:lang w:eastAsia="en-GB" w:bidi="ar-SA"/>
        </w:rPr>
        <w:instrText xml:space="preserve"> REF _Ref535969740 \r \h </w:instrText>
      </w:r>
      <w:r>
        <w:rPr>
          <w:rFonts w:cs="Arial"/>
          <w:szCs w:val="22"/>
          <w:lang w:eastAsia="en-GB" w:bidi="ar-SA"/>
        </w:rPr>
      </w:r>
      <w:r>
        <w:rPr>
          <w:rFonts w:cs="Arial"/>
          <w:szCs w:val="22"/>
          <w:lang w:eastAsia="en-GB" w:bidi="ar-SA"/>
        </w:rPr>
        <w:fldChar w:fldCharType="separate"/>
      </w:r>
      <w:r w:rsidR="001D5AD9">
        <w:rPr>
          <w:rFonts w:cs="Arial"/>
          <w:szCs w:val="22"/>
          <w:lang w:eastAsia="en-GB" w:bidi="ar-SA"/>
        </w:rPr>
        <w:t>4.1.4.1</w:t>
      </w:r>
      <w:r>
        <w:rPr>
          <w:rFonts w:cs="Arial"/>
          <w:szCs w:val="22"/>
          <w:lang w:eastAsia="en-GB" w:bidi="ar-SA"/>
        </w:rPr>
        <w:fldChar w:fldCharType="end"/>
      </w:r>
    </w:p>
    <w:p w14:paraId="6F7C5CB1"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745" w:name="_Toc1977330"/>
      <w:bookmarkStart w:id="2746" w:name="_Toc37062489"/>
      <w:r>
        <w:rPr>
          <w:rFonts w:ascii="Arial Bold" w:eastAsia="Times New Roman" w:hAnsi="Arial Bold" w:cs="Arial"/>
          <w:b/>
          <w:iCs/>
          <w:szCs w:val="28"/>
          <w:lang w:eastAsia="en-US"/>
        </w:rPr>
        <w:lastRenderedPageBreak/>
        <w:t>Local Enable for Test Profile</w:t>
      </w:r>
      <w:bookmarkEnd w:id="2745"/>
      <w:bookmarkEnd w:id="2746"/>
    </w:p>
    <w:p w14:paraId="10FCE5B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LocalEnableTestProfile</w:t>
      </w:r>
    </w:p>
    <w:p w14:paraId="510486A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Local Management  </w:t>
      </w:r>
    </w:p>
    <w:p w14:paraId="35AE75D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 entity:</w:t>
      </w:r>
      <w:r>
        <w:rPr>
          <w:szCs w:val="22"/>
          <w:lang w:val="en-US" w:eastAsia="en-GB" w:bidi="ar-SA"/>
        </w:rPr>
        <w:t xml:space="preserve"> eUICC </w:t>
      </w:r>
    </w:p>
    <w:p w14:paraId="00EC2D73" w14:textId="77777777" w:rsidR="00B97365" w:rsidRDefault="00000000">
      <w:pPr>
        <w:spacing w:before="0" w:after="200" w:line="276" w:lineRule="auto"/>
        <w:jc w:val="left"/>
        <w:rPr>
          <w:rFonts w:cs="Arial"/>
        </w:rPr>
      </w:pPr>
      <w:r>
        <w:rPr>
          <w:rFonts w:cs="Arial"/>
          <w:b/>
          <w:szCs w:val="22"/>
          <w:lang w:val="en-US" w:eastAsia="en-GB" w:bidi="ar-SA"/>
        </w:rPr>
        <w:t>Description:</w:t>
      </w:r>
      <w:r>
        <w:rPr>
          <w:szCs w:val="22"/>
          <w:lang w:val="en-US" w:eastAsia="en-GB" w:bidi="ar-SA"/>
        </w:rPr>
        <w:t xml:space="preserve"> This function is used by the Device to locally enable the Test Profile. The eUICC SHALL NOT </w:t>
      </w:r>
      <w:r>
        <w:rPr>
          <w:rFonts w:cs="Arial"/>
        </w:rPr>
        <w:t>send notifications to the SM-SR. The Test Profile SHOULD remain enabled even after a restart of the Device. It is up to the Device to disable the Test Profile.</w:t>
      </w:r>
    </w:p>
    <w:p w14:paraId="7F9854EA" w14:textId="77777777" w:rsidR="00B97365" w:rsidRDefault="00000000">
      <w:pPr>
        <w:spacing w:before="0" w:after="200" w:line="276" w:lineRule="auto"/>
        <w:jc w:val="left"/>
        <w:rPr>
          <w:b/>
          <w:szCs w:val="22"/>
          <w:u w:val="single"/>
          <w:lang w:val="en-US" w:eastAsia="en-GB" w:bidi="ar-SA"/>
        </w:rPr>
      </w:pPr>
      <w:r>
        <w:rPr>
          <w:rFonts w:cs="Arial"/>
          <w:b/>
          <w:szCs w:val="22"/>
          <w:u w:val="single"/>
          <w:lang w:val="en-US" w:eastAsia="en-GB" w:bidi="ar-SA"/>
        </w:rPr>
        <w:t>Prerequisites:</w:t>
      </w:r>
    </w:p>
    <w:p w14:paraId="11FE816F"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A Test Profile exists on the eUICC.</w:t>
      </w:r>
    </w:p>
    <w:p w14:paraId="6BB8380B"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Test Profile is not already enabled.</w:t>
      </w:r>
    </w:p>
    <w:p w14:paraId="154AEB18"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Emergency Profile is not currently enabled.</w:t>
      </w:r>
    </w:p>
    <w:p w14:paraId="7629BD2D" w14:textId="77777777" w:rsidR="00B97365" w:rsidRDefault="00B97365">
      <w:pPr>
        <w:spacing w:before="0" w:after="200" w:line="276" w:lineRule="auto"/>
        <w:jc w:val="left"/>
        <w:rPr>
          <w:rFonts w:cs="Arial"/>
        </w:rPr>
      </w:pPr>
    </w:p>
    <w:p w14:paraId="3A4B4FCC" w14:textId="77777777" w:rsidR="00B97365" w:rsidRDefault="00000000">
      <w:pPr>
        <w:spacing w:before="0" w:after="200" w:line="276" w:lineRule="auto"/>
        <w:jc w:val="left"/>
        <w:rPr>
          <w:rFonts w:cs="Arial"/>
          <w:b/>
          <w:szCs w:val="22"/>
          <w:u w:val="single"/>
          <w:lang w:val="en-US" w:eastAsia="en-GB" w:bidi="ar-SA"/>
        </w:rPr>
      </w:pPr>
      <w:r>
        <w:rPr>
          <w:rFonts w:cs="Arial"/>
          <w:b/>
          <w:szCs w:val="22"/>
          <w:u w:val="single"/>
          <w:lang w:val="en-US" w:eastAsia="en-GB" w:bidi="ar-SA"/>
        </w:rPr>
        <w:t>Command and Response Description:</w:t>
      </w:r>
    </w:p>
    <w:p w14:paraId="7641270A" w14:textId="7D3D2FD6" w:rsidR="00B97365" w:rsidRDefault="00000000">
      <w:pPr>
        <w:spacing w:before="0" w:after="200" w:line="276" w:lineRule="auto"/>
        <w:jc w:val="left"/>
        <w:rPr>
          <w:rFonts w:cs="Arial"/>
        </w:rPr>
      </w:pPr>
      <w:r>
        <w:rPr>
          <w:rFonts w:cs="Arial"/>
        </w:rPr>
        <w:t xml:space="preserve">See </w:t>
      </w:r>
      <w:r>
        <w:rPr>
          <w:rFonts w:cs="Arial"/>
        </w:rPr>
        <w:fldChar w:fldCharType="begin"/>
      </w:r>
      <w:r>
        <w:rPr>
          <w:rFonts w:cs="Arial"/>
        </w:rPr>
        <w:instrText xml:space="preserve"> REF _Ref535969740 \r \h </w:instrText>
      </w:r>
      <w:r>
        <w:rPr>
          <w:rFonts w:cs="Arial"/>
        </w:rPr>
      </w:r>
      <w:r>
        <w:rPr>
          <w:rFonts w:cs="Arial"/>
        </w:rPr>
        <w:fldChar w:fldCharType="separate"/>
      </w:r>
      <w:r w:rsidR="001D5AD9">
        <w:rPr>
          <w:rFonts w:cs="Arial"/>
        </w:rPr>
        <w:t>4.1.4.1</w:t>
      </w:r>
      <w:r>
        <w:rPr>
          <w:rFonts w:cs="Arial"/>
        </w:rPr>
        <w:fldChar w:fldCharType="end"/>
      </w:r>
    </w:p>
    <w:p w14:paraId="3C8393FC"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747" w:name="_Toc1977331"/>
      <w:bookmarkStart w:id="2748" w:name="_Toc37062490"/>
      <w:r>
        <w:rPr>
          <w:rFonts w:ascii="Arial Bold" w:eastAsia="Times New Roman" w:hAnsi="Arial Bold" w:cs="Arial"/>
          <w:b/>
          <w:iCs/>
          <w:szCs w:val="28"/>
          <w:lang w:eastAsia="en-US"/>
        </w:rPr>
        <w:t>Local Disable for Test Profile</w:t>
      </w:r>
      <w:bookmarkEnd w:id="2747"/>
      <w:bookmarkEnd w:id="2748"/>
    </w:p>
    <w:p w14:paraId="1ED0ED0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LocalDisableTestProfile</w:t>
      </w:r>
    </w:p>
    <w:p w14:paraId="502143F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Local Management  </w:t>
      </w:r>
    </w:p>
    <w:p w14:paraId="273A07B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 entity:</w:t>
      </w:r>
      <w:r>
        <w:rPr>
          <w:szCs w:val="22"/>
          <w:lang w:val="en-US" w:eastAsia="en-GB" w:bidi="ar-SA"/>
        </w:rPr>
        <w:t xml:space="preserve"> eUICC </w:t>
      </w:r>
    </w:p>
    <w:p w14:paraId="7846EA44" w14:textId="77777777" w:rsidR="00B97365" w:rsidRDefault="00000000">
      <w:pPr>
        <w:spacing w:before="0" w:after="200" w:line="276" w:lineRule="auto"/>
        <w:jc w:val="left"/>
        <w:rPr>
          <w:b/>
          <w:szCs w:val="22"/>
          <w:u w:val="single"/>
          <w:lang w:val="en-US" w:eastAsia="en-GB" w:bidi="ar-SA"/>
        </w:rPr>
      </w:pPr>
      <w:r>
        <w:rPr>
          <w:rFonts w:cs="Arial"/>
          <w:b/>
          <w:szCs w:val="22"/>
          <w:lang w:val="en-US" w:eastAsia="en-GB" w:bidi="ar-SA"/>
        </w:rPr>
        <w:t>Description:</w:t>
      </w:r>
      <w:r>
        <w:rPr>
          <w:szCs w:val="22"/>
          <w:lang w:val="en-US" w:eastAsia="en-GB" w:bidi="ar-SA"/>
        </w:rPr>
        <w:t xml:space="preserve"> This function is used by the Device to locally disable the Test Profile and enable the previously enabled Profile.</w:t>
      </w:r>
      <w:r>
        <w:rPr>
          <w:rFonts w:cs="Arial"/>
        </w:rPr>
        <w:t xml:space="preserve"> In case the Local Disable fails, the Fall-Back Mechanism SHALL be activated. The Fall-Back Mechanism SHALL consider that its previously enabled Profile is the Profile that was enabled before the Local Enable of the Test Profile.  After disabling the Test Profile the eUICC MAY send a notification to the SM-SR (see 4.1.1.11).</w:t>
      </w:r>
      <w:r>
        <w:rPr>
          <w:rFonts w:cs="Arial"/>
          <w:b/>
          <w:szCs w:val="22"/>
          <w:u w:val="single"/>
          <w:lang w:val="en-US" w:eastAsia="en-GB" w:bidi="ar-SA"/>
        </w:rPr>
        <w:t>Prerequisites:</w:t>
      </w:r>
    </w:p>
    <w:p w14:paraId="53963D6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Test Profile exists on the eUICC</w:t>
      </w:r>
    </w:p>
    <w:p w14:paraId="45BE2DE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Test Profile is enabled</w:t>
      </w:r>
    </w:p>
    <w:p w14:paraId="2BF49598" w14:textId="77777777" w:rsidR="00B97365" w:rsidRDefault="00B97365">
      <w:pPr>
        <w:spacing w:before="0" w:after="200" w:line="276" w:lineRule="auto"/>
        <w:jc w:val="left"/>
        <w:rPr>
          <w:szCs w:val="22"/>
          <w:lang w:eastAsia="en-GB" w:bidi="ar-SA"/>
        </w:rPr>
      </w:pPr>
    </w:p>
    <w:p w14:paraId="611BC068" w14:textId="77777777" w:rsidR="00B97365" w:rsidRDefault="00000000">
      <w:pPr>
        <w:spacing w:before="0" w:after="200" w:line="276" w:lineRule="auto"/>
        <w:jc w:val="left"/>
        <w:rPr>
          <w:rFonts w:cs="Arial"/>
          <w:b/>
          <w:szCs w:val="22"/>
          <w:u w:val="single"/>
          <w:lang w:val="en-US" w:eastAsia="en-GB" w:bidi="ar-SA"/>
        </w:rPr>
      </w:pPr>
      <w:r>
        <w:rPr>
          <w:rFonts w:cs="Arial"/>
          <w:b/>
          <w:szCs w:val="22"/>
          <w:u w:val="single"/>
          <w:lang w:val="en-US" w:eastAsia="en-GB" w:bidi="ar-SA"/>
        </w:rPr>
        <w:t>Command and Response Description:</w:t>
      </w:r>
    </w:p>
    <w:p w14:paraId="00B14DF8" w14:textId="3B6EB9B3" w:rsidR="00B97365" w:rsidRDefault="00000000">
      <w:pPr>
        <w:spacing w:before="0" w:after="200" w:line="276" w:lineRule="auto"/>
        <w:jc w:val="left"/>
        <w:rPr>
          <w:lang w:val="en-US"/>
        </w:rPr>
      </w:pPr>
      <w:r>
        <w:rPr>
          <w:rFonts w:cs="Arial"/>
        </w:rPr>
        <w:t xml:space="preserve">See </w:t>
      </w:r>
      <w:r>
        <w:rPr>
          <w:rFonts w:cs="Arial"/>
        </w:rPr>
        <w:fldChar w:fldCharType="begin"/>
      </w:r>
      <w:r>
        <w:rPr>
          <w:rFonts w:cs="Arial"/>
        </w:rPr>
        <w:instrText xml:space="preserve"> REF _Ref535969740 \r \h </w:instrText>
      </w:r>
      <w:r>
        <w:rPr>
          <w:rFonts w:cs="Arial"/>
        </w:rPr>
      </w:r>
      <w:r>
        <w:rPr>
          <w:rFonts w:cs="Arial"/>
        </w:rPr>
        <w:fldChar w:fldCharType="separate"/>
      </w:r>
      <w:r w:rsidR="001D5AD9">
        <w:rPr>
          <w:rFonts w:cs="Arial"/>
        </w:rPr>
        <w:t>4.1.4.1</w:t>
      </w:r>
      <w:r>
        <w:rPr>
          <w:rFonts w:cs="Arial"/>
        </w:rPr>
        <w:fldChar w:fldCharType="end"/>
      </w:r>
    </w:p>
    <w:p w14:paraId="2D08E40F" w14:textId="77777777" w:rsidR="00B97365" w:rsidRDefault="00000000">
      <w:pPr>
        <w:keepNext/>
        <w:keepLines/>
        <w:numPr>
          <w:ilvl w:val="0"/>
          <w:numId w:val="1"/>
        </w:numPr>
        <w:spacing w:before="360" w:after="60" w:line="276" w:lineRule="auto"/>
        <w:jc w:val="left"/>
        <w:outlineLvl w:val="0"/>
        <w:rPr>
          <w:rFonts w:eastAsia="Times New Roman" w:cs="Arial"/>
          <w:sz w:val="28"/>
          <w:szCs w:val="32"/>
          <w:lang w:eastAsia="en-US"/>
        </w:rPr>
      </w:pPr>
      <w:bookmarkStart w:id="2749" w:name="_Toc341341131"/>
      <w:bookmarkStart w:id="2750" w:name="_Toc341341808"/>
      <w:bookmarkStart w:id="2751" w:name="_Toc344108373"/>
      <w:bookmarkStart w:id="2752" w:name="_Toc345406412"/>
      <w:bookmarkStart w:id="2753" w:name="_Toc345488005"/>
      <w:bookmarkStart w:id="2754" w:name="_Toc340224185"/>
      <w:bookmarkStart w:id="2755" w:name="_Toc340495330"/>
      <w:bookmarkStart w:id="2756" w:name="_Toc340565329"/>
      <w:bookmarkStart w:id="2757" w:name="_Ref367967916"/>
      <w:bookmarkStart w:id="2758" w:name="_Toc368932251"/>
      <w:bookmarkStart w:id="2759" w:name="_Toc374348505"/>
      <w:bookmarkStart w:id="2760" w:name="_Toc375158262"/>
      <w:bookmarkStart w:id="2761" w:name="_Toc398214846"/>
      <w:bookmarkStart w:id="2762" w:name="_Toc420594682"/>
      <w:bookmarkStart w:id="2763" w:name="_Toc421874305"/>
      <w:bookmarkStart w:id="2764" w:name="_Toc422150720"/>
      <w:bookmarkStart w:id="2765" w:name="_Toc448998245"/>
      <w:bookmarkStart w:id="2766" w:name="_Toc486332863"/>
      <w:bookmarkStart w:id="2767" w:name="_Toc1977332"/>
      <w:bookmarkStart w:id="2768" w:name="_Toc37062491"/>
      <w:bookmarkStart w:id="2769" w:name="_Toc88839573"/>
      <w:bookmarkStart w:id="2770" w:name="_Toc121503981"/>
      <w:bookmarkEnd w:id="2749"/>
      <w:bookmarkEnd w:id="2750"/>
      <w:bookmarkEnd w:id="2751"/>
      <w:bookmarkEnd w:id="2752"/>
      <w:bookmarkEnd w:id="2753"/>
      <w:bookmarkEnd w:id="2754"/>
      <w:bookmarkEnd w:id="2755"/>
      <w:bookmarkEnd w:id="2756"/>
      <w:r>
        <w:rPr>
          <w:rFonts w:eastAsia="Times New Roman" w:cs="Arial"/>
          <w:b/>
          <w:bCs/>
          <w:sz w:val="28"/>
          <w:szCs w:val="32"/>
          <w:lang w:eastAsia="en-US"/>
        </w:rPr>
        <w:t>Off-Card Interface Descriptions</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4921D96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section provides the description of the interfaces and functions within the Remote Provisioning and Management system outside the eUICC, including the following:</w:t>
      </w:r>
    </w:p>
    <w:p w14:paraId="329F4F54"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ES1, interface between the two entities fulfilling the Role EUM and the Role SM-SR.</w:t>
      </w:r>
    </w:p>
    <w:p w14:paraId="24B31D23"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lastRenderedPageBreak/>
        <w:t>ES2, interface between the two entities fulfilling the Role Operator and the Role SM-DP.</w:t>
      </w:r>
    </w:p>
    <w:p w14:paraId="06719678"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ES3, interface between the two entities fulfilling the Role SM-DP and the Role SM-SR.</w:t>
      </w:r>
    </w:p>
    <w:p w14:paraId="4EA62966"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ES4, interface between the two entities fulfilling the Role Operator and the Role SM-SR, also used between the two entities fulfilling the Role M2M SP and the Role SM-SR.</w:t>
      </w:r>
    </w:p>
    <w:p w14:paraId="578F038C"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ES4A, interface between the two entities fulfilling the Role Operator and the Role SM-SR, for the specific purpose of configuring M2M SP authorisations and Operator notifications</w:t>
      </w:r>
    </w:p>
    <w:p w14:paraId="2487F55E"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ES7, interface between the two entities fulfilling the Role SM-SR and the Role SM-SR.</w:t>
      </w:r>
    </w:p>
    <w:p w14:paraId="0EDCD30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functions in this section are grouped into function groups. Each function group is provided by a unique Role and corresponds to an autonomous and consistent functionality.</w:t>
      </w:r>
    </w:p>
    <w:p w14:paraId="48981F5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When a function group is implemented by a Role, all the functions associated to this function group SHALL be implemented by that Role. In other words, function groups cannot be partially implemented; if a special function is requested, then all the functions of the corresponding function group SHALL be implemented.</w:t>
      </w:r>
    </w:p>
    <w:p w14:paraId="0EF61842" w14:textId="77777777" w:rsidR="00B97365" w:rsidRDefault="00000000">
      <w:pPr>
        <w:spacing w:before="0" w:after="200" w:line="276" w:lineRule="auto"/>
        <w:jc w:val="left"/>
        <w:rPr>
          <w:rFonts w:cs="Arial"/>
          <w:b/>
          <w:szCs w:val="22"/>
          <w:lang w:val="en-US" w:eastAsia="en-GB" w:bidi="ar-SA"/>
        </w:rPr>
      </w:pPr>
      <w:r>
        <w:rPr>
          <w:rFonts w:cs="Arial"/>
          <w:szCs w:val="22"/>
          <w:lang w:val="en-US" w:eastAsia="en-GB" w:bidi="ar-SA"/>
        </w:rPr>
        <w:t xml:space="preserve">The following table presents the normative list of all the functions that are defined in this section. </w:t>
      </w:r>
    </w:p>
    <w:p w14:paraId="120D4770" w14:textId="77777777" w:rsidR="00B97365" w:rsidRDefault="00000000">
      <w:pPr>
        <w:spacing w:before="0" w:after="200" w:line="276" w:lineRule="auto"/>
        <w:jc w:val="left"/>
        <w:rPr>
          <w:b/>
          <w:szCs w:val="22"/>
          <w:lang w:val="en-US" w:eastAsia="en-GB" w:bidi="ar-SA"/>
        </w:rPr>
      </w:pPr>
      <w:bookmarkStart w:id="2771" w:name="_Toc420594683"/>
      <w:r>
        <w:rPr>
          <w:rFonts w:cs="Arial"/>
          <w:b/>
          <w:szCs w:val="22"/>
          <w:lang w:eastAsia="en-GB" w:bidi="ar-SA"/>
        </w:rPr>
        <w:t>Request</w:t>
      </w:r>
      <w:r>
        <w:rPr>
          <w:b/>
          <w:szCs w:val="22"/>
          <w:lang w:val="en-US" w:eastAsia="en-GB" w:bidi="ar-SA"/>
        </w:rPr>
        <w:t>-response functions:</w:t>
      </w:r>
      <w:bookmarkEnd w:id="277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60"/>
        <w:gridCol w:w="2121"/>
        <w:gridCol w:w="4378"/>
        <w:gridCol w:w="1457"/>
      </w:tblGrid>
      <w:tr w:rsidR="00B97365" w14:paraId="0545BA20" w14:textId="77777777">
        <w:trPr>
          <w:cantSplit/>
          <w:trHeight w:val="327"/>
        </w:trPr>
        <w:tc>
          <w:tcPr>
            <w:tcW w:w="588" w:type="pct"/>
            <w:tcBorders>
              <w:top w:val="single" w:sz="4" w:space="0" w:color="auto"/>
              <w:left w:val="single" w:sz="4" w:space="0" w:color="auto"/>
              <w:bottom w:val="single" w:sz="6" w:space="0" w:color="auto"/>
              <w:right w:val="single" w:sz="6" w:space="0" w:color="auto"/>
            </w:tcBorders>
            <w:shd w:val="clear" w:color="auto" w:fill="C00000"/>
            <w:vAlign w:val="center"/>
            <w:hideMark/>
          </w:tcPr>
          <w:p w14:paraId="227A54A7" w14:textId="77777777" w:rsidR="00B97365" w:rsidRDefault="00000000">
            <w:pPr>
              <w:jc w:val="center"/>
              <w:rPr>
                <w:rFonts w:cs="Calibri"/>
                <w:b/>
                <w:color w:val="FFFFFF"/>
                <w:sz w:val="16"/>
                <w:szCs w:val="16"/>
              </w:rPr>
            </w:pPr>
            <w:r>
              <w:rPr>
                <w:rFonts w:cs="Calibri"/>
                <w:b/>
                <w:color w:val="FFFFFF"/>
                <w:sz w:val="16"/>
                <w:szCs w:val="16"/>
              </w:rPr>
              <w:t>Interface</w:t>
            </w:r>
          </w:p>
        </w:tc>
        <w:tc>
          <w:tcPr>
            <w:tcW w:w="1176" w:type="pct"/>
            <w:tcBorders>
              <w:top w:val="single" w:sz="4" w:space="0" w:color="auto"/>
              <w:left w:val="single" w:sz="6" w:space="0" w:color="auto"/>
              <w:bottom w:val="single" w:sz="6" w:space="0" w:color="auto"/>
              <w:right w:val="single" w:sz="6" w:space="0" w:color="auto"/>
            </w:tcBorders>
            <w:shd w:val="clear" w:color="auto" w:fill="C00000"/>
            <w:vAlign w:val="center"/>
            <w:hideMark/>
          </w:tcPr>
          <w:p w14:paraId="4A0E50A7" w14:textId="77777777" w:rsidR="00B97365" w:rsidRDefault="00000000">
            <w:pPr>
              <w:jc w:val="center"/>
              <w:rPr>
                <w:rFonts w:cs="Calibri"/>
                <w:b/>
                <w:color w:val="FFFFFF"/>
                <w:sz w:val="16"/>
                <w:szCs w:val="16"/>
              </w:rPr>
            </w:pPr>
            <w:r>
              <w:rPr>
                <w:rFonts w:cs="Calibri"/>
                <w:b/>
                <w:color w:val="FFFFFF"/>
                <w:sz w:val="16"/>
                <w:szCs w:val="16"/>
              </w:rPr>
              <w:t>Function group</w:t>
            </w:r>
          </w:p>
        </w:tc>
        <w:tc>
          <w:tcPr>
            <w:tcW w:w="2428" w:type="pct"/>
            <w:tcBorders>
              <w:top w:val="single" w:sz="4" w:space="0" w:color="auto"/>
              <w:left w:val="single" w:sz="6" w:space="0" w:color="auto"/>
              <w:bottom w:val="single" w:sz="6" w:space="0" w:color="auto"/>
              <w:right w:val="single" w:sz="6" w:space="0" w:color="auto"/>
            </w:tcBorders>
            <w:shd w:val="clear" w:color="auto" w:fill="C00000"/>
            <w:vAlign w:val="center"/>
            <w:hideMark/>
          </w:tcPr>
          <w:p w14:paraId="2238E32C" w14:textId="77777777" w:rsidR="00B97365" w:rsidRDefault="00000000">
            <w:pPr>
              <w:jc w:val="center"/>
              <w:rPr>
                <w:rFonts w:cs="Calibri"/>
                <w:b/>
                <w:color w:val="FFFFFF"/>
                <w:sz w:val="16"/>
                <w:szCs w:val="16"/>
              </w:rPr>
            </w:pPr>
            <w:r>
              <w:rPr>
                <w:rFonts w:cs="Calibri"/>
                <w:b/>
                <w:color w:val="FFFFFF"/>
                <w:sz w:val="16"/>
                <w:szCs w:val="16"/>
              </w:rPr>
              <w:t>Functions</w:t>
            </w:r>
          </w:p>
        </w:tc>
        <w:tc>
          <w:tcPr>
            <w:tcW w:w="808" w:type="pct"/>
            <w:tcBorders>
              <w:top w:val="single" w:sz="4" w:space="0" w:color="auto"/>
              <w:left w:val="single" w:sz="6" w:space="0" w:color="auto"/>
              <w:bottom w:val="single" w:sz="6" w:space="0" w:color="auto"/>
              <w:right w:val="single" w:sz="4" w:space="0" w:color="auto"/>
            </w:tcBorders>
            <w:shd w:val="clear" w:color="auto" w:fill="C00000"/>
            <w:vAlign w:val="center"/>
            <w:hideMark/>
          </w:tcPr>
          <w:p w14:paraId="7B6FD3EA" w14:textId="77777777" w:rsidR="00B97365" w:rsidRDefault="00000000">
            <w:pPr>
              <w:jc w:val="center"/>
              <w:rPr>
                <w:rFonts w:cs="Calibri"/>
                <w:b/>
                <w:color w:val="FFFFFF"/>
                <w:sz w:val="16"/>
                <w:szCs w:val="16"/>
              </w:rPr>
            </w:pPr>
            <w:r>
              <w:rPr>
                <w:rFonts w:cs="Calibri"/>
                <w:b/>
                <w:color w:val="FFFFFF"/>
                <w:sz w:val="16"/>
                <w:szCs w:val="16"/>
              </w:rPr>
              <w:t>Function</w:t>
            </w:r>
          </w:p>
          <w:p w14:paraId="0C21BC69" w14:textId="77777777" w:rsidR="00B97365" w:rsidRDefault="00000000">
            <w:pPr>
              <w:jc w:val="center"/>
              <w:rPr>
                <w:rFonts w:cs="Calibri"/>
                <w:b/>
                <w:color w:val="FFFFFF"/>
                <w:sz w:val="16"/>
                <w:szCs w:val="16"/>
              </w:rPr>
            </w:pPr>
            <w:r>
              <w:rPr>
                <w:rFonts w:cs="Calibri"/>
                <w:b/>
                <w:color w:val="FFFFFF"/>
                <w:sz w:val="16"/>
                <w:szCs w:val="16"/>
              </w:rPr>
              <w:t>provider Role</w:t>
            </w:r>
          </w:p>
        </w:tc>
      </w:tr>
      <w:tr w:rsidR="00B97365" w14:paraId="680F87AF" w14:textId="77777777">
        <w:trPr>
          <w:cantSplit/>
          <w:trHeight w:val="327"/>
        </w:trPr>
        <w:tc>
          <w:tcPr>
            <w:tcW w:w="588" w:type="pct"/>
            <w:tcBorders>
              <w:top w:val="single" w:sz="6" w:space="0" w:color="auto"/>
              <w:left w:val="single" w:sz="4" w:space="0" w:color="auto"/>
              <w:bottom w:val="single" w:sz="6" w:space="0" w:color="auto"/>
              <w:right w:val="single" w:sz="6" w:space="0" w:color="auto"/>
            </w:tcBorders>
            <w:vAlign w:val="center"/>
            <w:hideMark/>
          </w:tcPr>
          <w:p w14:paraId="5F021705" w14:textId="77777777" w:rsidR="00B97365" w:rsidRDefault="00000000">
            <w:pPr>
              <w:rPr>
                <w:rFonts w:cs="Calibri"/>
                <w:b/>
                <w:sz w:val="16"/>
                <w:szCs w:val="16"/>
              </w:rPr>
            </w:pPr>
            <w:r>
              <w:rPr>
                <w:rFonts w:cs="Calibri"/>
                <w:sz w:val="16"/>
                <w:szCs w:val="16"/>
              </w:rPr>
              <w:t>ES1</w:t>
            </w:r>
          </w:p>
        </w:tc>
        <w:tc>
          <w:tcPr>
            <w:tcW w:w="1176" w:type="pct"/>
            <w:tcBorders>
              <w:top w:val="single" w:sz="6" w:space="0" w:color="auto"/>
              <w:left w:val="single" w:sz="6" w:space="0" w:color="auto"/>
              <w:bottom w:val="single" w:sz="6" w:space="0" w:color="auto"/>
              <w:right w:val="single" w:sz="6" w:space="0" w:color="auto"/>
            </w:tcBorders>
            <w:vAlign w:val="center"/>
            <w:hideMark/>
          </w:tcPr>
          <w:p w14:paraId="6E39F9E6" w14:textId="77777777" w:rsidR="00B97365" w:rsidRDefault="00000000">
            <w:pPr>
              <w:rPr>
                <w:rFonts w:cs="Calibri"/>
                <w:b/>
                <w:sz w:val="16"/>
                <w:szCs w:val="16"/>
              </w:rPr>
            </w:pPr>
            <w:r>
              <w:rPr>
                <w:rFonts w:cs="Calibri"/>
                <w:sz w:val="16"/>
                <w:szCs w:val="16"/>
              </w:rPr>
              <w:t>eUICC Management</w:t>
            </w:r>
          </w:p>
        </w:tc>
        <w:tc>
          <w:tcPr>
            <w:tcW w:w="2428" w:type="pct"/>
            <w:tcBorders>
              <w:top w:val="single" w:sz="6" w:space="0" w:color="auto"/>
              <w:left w:val="single" w:sz="6" w:space="0" w:color="auto"/>
              <w:bottom w:val="single" w:sz="6" w:space="0" w:color="auto"/>
              <w:right w:val="single" w:sz="6" w:space="0" w:color="auto"/>
            </w:tcBorders>
            <w:vAlign w:val="center"/>
            <w:hideMark/>
          </w:tcPr>
          <w:p w14:paraId="4134D9A7" w14:textId="77777777" w:rsidR="00B97365" w:rsidRDefault="00000000">
            <w:pPr>
              <w:rPr>
                <w:rFonts w:cs="Calibri"/>
                <w:sz w:val="16"/>
                <w:szCs w:val="16"/>
              </w:rPr>
            </w:pPr>
            <w:r>
              <w:rPr>
                <w:rFonts w:cs="Calibri"/>
                <w:sz w:val="16"/>
                <w:szCs w:val="16"/>
              </w:rPr>
              <w:t>RegisterEIS</w:t>
            </w:r>
          </w:p>
          <w:p w14:paraId="238EA121" w14:textId="77777777" w:rsidR="00B97365" w:rsidRDefault="00000000">
            <w:pPr>
              <w:rPr>
                <w:rFonts w:cs="Calibri"/>
                <w:b/>
                <w:sz w:val="16"/>
                <w:szCs w:val="16"/>
              </w:rPr>
            </w:pPr>
            <w:r>
              <w:rPr>
                <w:rFonts w:cs="Calibri"/>
                <w:sz w:val="16"/>
                <w:szCs w:val="16"/>
              </w:rPr>
              <w:t>UpdateEISAdditionalPropertiesRequest</w:t>
            </w:r>
          </w:p>
        </w:tc>
        <w:tc>
          <w:tcPr>
            <w:tcW w:w="808" w:type="pct"/>
            <w:tcBorders>
              <w:top w:val="single" w:sz="6" w:space="0" w:color="auto"/>
              <w:left w:val="single" w:sz="6" w:space="0" w:color="auto"/>
              <w:bottom w:val="single" w:sz="6" w:space="0" w:color="auto"/>
              <w:right w:val="single" w:sz="4" w:space="0" w:color="auto"/>
            </w:tcBorders>
            <w:vAlign w:val="center"/>
            <w:hideMark/>
          </w:tcPr>
          <w:p w14:paraId="31C83114" w14:textId="77777777" w:rsidR="00B97365" w:rsidRDefault="00000000">
            <w:pPr>
              <w:jc w:val="center"/>
              <w:rPr>
                <w:rFonts w:cs="Calibri"/>
                <w:b/>
                <w:sz w:val="16"/>
                <w:szCs w:val="16"/>
              </w:rPr>
            </w:pPr>
            <w:r>
              <w:rPr>
                <w:rFonts w:cs="Calibri"/>
                <w:sz w:val="16"/>
                <w:szCs w:val="16"/>
              </w:rPr>
              <w:t>SM-SR</w:t>
            </w:r>
          </w:p>
        </w:tc>
      </w:tr>
      <w:tr w:rsidR="00B97365" w14:paraId="30E46993" w14:textId="77777777">
        <w:trPr>
          <w:cantSplit/>
          <w:trHeight w:val="1590"/>
        </w:trPr>
        <w:tc>
          <w:tcPr>
            <w:tcW w:w="588" w:type="pct"/>
            <w:vMerge w:val="restart"/>
            <w:tcBorders>
              <w:top w:val="single" w:sz="6" w:space="0" w:color="auto"/>
              <w:left w:val="single" w:sz="4" w:space="0" w:color="auto"/>
              <w:bottom w:val="single" w:sz="6" w:space="0" w:color="auto"/>
              <w:right w:val="single" w:sz="6" w:space="0" w:color="auto"/>
            </w:tcBorders>
            <w:vAlign w:val="center"/>
            <w:hideMark/>
          </w:tcPr>
          <w:p w14:paraId="36D51FFD" w14:textId="77777777" w:rsidR="00B97365" w:rsidRDefault="00000000">
            <w:pPr>
              <w:rPr>
                <w:rFonts w:cs="Calibri"/>
                <w:b/>
                <w:sz w:val="16"/>
                <w:szCs w:val="16"/>
              </w:rPr>
            </w:pPr>
            <w:r>
              <w:rPr>
                <w:rFonts w:cs="Calibri"/>
                <w:sz w:val="16"/>
                <w:szCs w:val="16"/>
              </w:rPr>
              <w:t>ES2</w:t>
            </w:r>
          </w:p>
        </w:tc>
        <w:tc>
          <w:tcPr>
            <w:tcW w:w="1176" w:type="pct"/>
            <w:tcBorders>
              <w:top w:val="single" w:sz="6" w:space="0" w:color="auto"/>
              <w:left w:val="single" w:sz="6" w:space="0" w:color="auto"/>
              <w:bottom w:val="single" w:sz="6" w:space="0" w:color="auto"/>
              <w:right w:val="single" w:sz="6" w:space="0" w:color="auto"/>
            </w:tcBorders>
            <w:vAlign w:val="center"/>
          </w:tcPr>
          <w:p w14:paraId="2938F777" w14:textId="77777777" w:rsidR="00B97365" w:rsidRDefault="00B97365">
            <w:pPr>
              <w:rPr>
                <w:rFonts w:cs="Calibri"/>
                <w:b/>
                <w:sz w:val="16"/>
                <w:szCs w:val="16"/>
              </w:rPr>
            </w:pPr>
          </w:p>
          <w:p w14:paraId="097A5FCF" w14:textId="77777777" w:rsidR="00B97365" w:rsidRDefault="00000000">
            <w:pPr>
              <w:rPr>
                <w:rFonts w:cs="Calibri"/>
                <w:b/>
                <w:sz w:val="16"/>
                <w:szCs w:val="16"/>
              </w:rPr>
            </w:pPr>
            <w:r>
              <w:rPr>
                <w:rFonts w:cs="Calibri"/>
                <w:sz w:val="16"/>
                <w:szCs w:val="16"/>
              </w:rPr>
              <w:t>Profile Management</w:t>
            </w:r>
          </w:p>
        </w:tc>
        <w:tc>
          <w:tcPr>
            <w:tcW w:w="2428" w:type="pct"/>
            <w:tcBorders>
              <w:top w:val="single" w:sz="6" w:space="0" w:color="auto"/>
              <w:left w:val="single" w:sz="6" w:space="0" w:color="auto"/>
              <w:bottom w:val="single" w:sz="6" w:space="0" w:color="auto"/>
              <w:right w:val="single" w:sz="6" w:space="0" w:color="auto"/>
            </w:tcBorders>
            <w:vAlign w:val="center"/>
            <w:hideMark/>
          </w:tcPr>
          <w:p w14:paraId="36BA37EE" w14:textId="77777777" w:rsidR="00B97365" w:rsidRDefault="00000000">
            <w:pPr>
              <w:rPr>
                <w:rFonts w:cs="Calibri"/>
                <w:sz w:val="16"/>
                <w:szCs w:val="16"/>
              </w:rPr>
            </w:pPr>
            <w:r>
              <w:rPr>
                <w:rFonts w:cs="Calibri"/>
                <w:sz w:val="16"/>
                <w:szCs w:val="16"/>
              </w:rPr>
              <w:t>GetEIS</w:t>
            </w:r>
          </w:p>
          <w:p w14:paraId="210073FD" w14:textId="77777777" w:rsidR="00B97365" w:rsidRDefault="00000000">
            <w:pPr>
              <w:rPr>
                <w:rFonts w:cs="Calibri"/>
                <w:sz w:val="16"/>
                <w:szCs w:val="16"/>
              </w:rPr>
            </w:pPr>
            <w:r>
              <w:rPr>
                <w:rFonts w:cs="Calibri"/>
                <w:sz w:val="16"/>
                <w:szCs w:val="16"/>
              </w:rPr>
              <w:t>AuditEIS</w:t>
            </w:r>
          </w:p>
          <w:p w14:paraId="296E722D" w14:textId="77777777" w:rsidR="00B97365" w:rsidRDefault="00000000">
            <w:pPr>
              <w:rPr>
                <w:rFonts w:cs="Calibri"/>
                <w:sz w:val="16"/>
                <w:szCs w:val="16"/>
              </w:rPr>
            </w:pPr>
            <w:r>
              <w:rPr>
                <w:rFonts w:cs="Calibri"/>
                <w:sz w:val="16"/>
                <w:szCs w:val="16"/>
              </w:rPr>
              <w:t>DownloadProfile</w:t>
            </w:r>
          </w:p>
          <w:p w14:paraId="0D1EE3D8" w14:textId="77777777" w:rsidR="00B97365" w:rsidRDefault="00000000">
            <w:pPr>
              <w:rPr>
                <w:rFonts w:cs="Calibri"/>
                <w:sz w:val="16"/>
                <w:szCs w:val="16"/>
              </w:rPr>
            </w:pPr>
            <w:r>
              <w:rPr>
                <w:rFonts w:cs="Calibri"/>
                <w:sz w:val="16"/>
                <w:szCs w:val="16"/>
              </w:rPr>
              <w:t>SetFallBackAttribute</w:t>
            </w:r>
          </w:p>
          <w:p w14:paraId="7517917C" w14:textId="77777777" w:rsidR="00B97365" w:rsidRDefault="00000000">
            <w:pPr>
              <w:rPr>
                <w:rFonts w:cs="Calibri"/>
                <w:sz w:val="16"/>
                <w:szCs w:val="16"/>
              </w:rPr>
            </w:pPr>
            <w:r>
              <w:rPr>
                <w:rFonts w:cs="Calibri"/>
                <w:sz w:val="16"/>
                <w:szCs w:val="16"/>
              </w:rPr>
              <w:t>SetEmergencyProfileAttribute</w:t>
            </w:r>
          </w:p>
          <w:p w14:paraId="24352ED8" w14:textId="77777777" w:rsidR="00B97365" w:rsidRDefault="00000000">
            <w:pPr>
              <w:rPr>
                <w:rFonts w:cs="Calibri"/>
                <w:sz w:val="16"/>
                <w:szCs w:val="16"/>
              </w:rPr>
            </w:pPr>
            <w:r>
              <w:rPr>
                <w:rFonts w:cs="Calibri"/>
                <w:sz w:val="16"/>
                <w:szCs w:val="16"/>
              </w:rPr>
              <w:t>UpdatePolicyRules</w:t>
            </w:r>
          </w:p>
          <w:p w14:paraId="2752E46B" w14:textId="77777777" w:rsidR="00B97365" w:rsidRDefault="00000000">
            <w:pPr>
              <w:rPr>
                <w:rFonts w:cs="Calibri"/>
                <w:sz w:val="16"/>
                <w:szCs w:val="16"/>
              </w:rPr>
            </w:pPr>
            <w:r>
              <w:rPr>
                <w:rFonts w:cs="Calibri"/>
                <w:sz w:val="16"/>
                <w:szCs w:val="16"/>
              </w:rPr>
              <w:t>UpdateSubscriptionAddress</w:t>
            </w:r>
          </w:p>
          <w:p w14:paraId="3211AF71" w14:textId="77777777" w:rsidR="00B97365" w:rsidRDefault="00000000">
            <w:pPr>
              <w:rPr>
                <w:rFonts w:cs="Calibri"/>
                <w:sz w:val="16"/>
                <w:szCs w:val="16"/>
              </w:rPr>
            </w:pPr>
            <w:r>
              <w:rPr>
                <w:rFonts w:cs="Calibri"/>
                <w:sz w:val="16"/>
                <w:szCs w:val="16"/>
              </w:rPr>
              <w:t>GetONC</w:t>
            </w:r>
          </w:p>
          <w:p w14:paraId="6B846255" w14:textId="77777777" w:rsidR="00B97365" w:rsidRDefault="00000000">
            <w:pPr>
              <w:rPr>
                <w:rFonts w:cs="Calibri"/>
                <w:sz w:val="16"/>
                <w:szCs w:val="16"/>
              </w:rPr>
            </w:pPr>
            <w:r>
              <w:rPr>
                <w:rFonts w:cs="Calibri"/>
                <w:sz w:val="16"/>
                <w:szCs w:val="16"/>
              </w:rPr>
              <w:t>SetONC</w:t>
            </w:r>
          </w:p>
          <w:p w14:paraId="50BD4061" w14:textId="77777777" w:rsidR="00B97365" w:rsidRDefault="00000000">
            <w:pPr>
              <w:rPr>
                <w:rFonts w:cs="Calibri"/>
                <w:sz w:val="16"/>
                <w:szCs w:val="16"/>
              </w:rPr>
            </w:pPr>
            <w:r>
              <w:rPr>
                <w:rFonts w:cs="Calibri"/>
                <w:sz w:val="16"/>
                <w:szCs w:val="16"/>
              </w:rPr>
              <w:t>GetPLMA</w:t>
            </w:r>
          </w:p>
          <w:p w14:paraId="075B997E" w14:textId="77777777" w:rsidR="00B97365" w:rsidRDefault="00000000">
            <w:pPr>
              <w:rPr>
                <w:rFonts w:cs="Calibri"/>
                <w:sz w:val="16"/>
                <w:szCs w:val="16"/>
              </w:rPr>
            </w:pPr>
            <w:r>
              <w:rPr>
                <w:rFonts w:cs="Calibri"/>
                <w:sz w:val="16"/>
                <w:szCs w:val="16"/>
              </w:rPr>
              <w:t>SetPLMA</w:t>
            </w:r>
          </w:p>
        </w:tc>
        <w:tc>
          <w:tcPr>
            <w:tcW w:w="808" w:type="pct"/>
            <w:tcBorders>
              <w:top w:val="single" w:sz="6" w:space="0" w:color="auto"/>
              <w:left w:val="single" w:sz="6" w:space="0" w:color="auto"/>
              <w:bottom w:val="single" w:sz="6" w:space="0" w:color="auto"/>
              <w:right w:val="single" w:sz="4" w:space="0" w:color="auto"/>
            </w:tcBorders>
            <w:vAlign w:val="center"/>
            <w:hideMark/>
          </w:tcPr>
          <w:p w14:paraId="601C187D" w14:textId="77777777" w:rsidR="00B97365" w:rsidRDefault="00000000">
            <w:pPr>
              <w:jc w:val="center"/>
              <w:rPr>
                <w:rFonts w:cs="Calibri"/>
                <w:b/>
                <w:sz w:val="16"/>
                <w:szCs w:val="16"/>
              </w:rPr>
            </w:pPr>
            <w:r>
              <w:rPr>
                <w:rFonts w:cs="Calibri"/>
                <w:sz w:val="16"/>
                <w:szCs w:val="16"/>
              </w:rPr>
              <w:t>SM-DP</w:t>
            </w:r>
          </w:p>
        </w:tc>
      </w:tr>
      <w:tr w:rsidR="00B97365" w14:paraId="0C44F8D0" w14:textId="77777777">
        <w:trPr>
          <w:cantSplit/>
          <w:trHeight w:val="1153"/>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B2F109" w14:textId="77777777" w:rsidR="00B97365" w:rsidRDefault="00B97365">
            <w:pPr>
              <w:spacing w:before="0"/>
              <w:jc w:val="left"/>
              <w:rPr>
                <w:rFonts w:cs="Calibri"/>
                <w:b/>
                <w:sz w:val="16"/>
                <w:szCs w:val="16"/>
              </w:rPr>
            </w:pPr>
          </w:p>
        </w:tc>
        <w:tc>
          <w:tcPr>
            <w:tcW w:w="1176" w:type="pct"/>
            <w:tcBorders>
              <w:top w:val="single" w:sz="6" w:space="0" w:color="auto"/>
              <w:left w:val="single" w:sz="6" w:space="0" w:color="auto"/>
              <w:bottom w:val="single" w:sz="6" w:space="0" w:color="auto"/>
              <w:right w:val="single" w:sz="6" w:space="0" w:color="auto"/>
            </w:tcBorders>
            <w:vAlign w:val="center"/>
            <w:hideMark/>
          </w:tcPr>
          <w:p w14:paraId="7CD5CECB" w14:textId="77777777" w:rsidR="00B97365" w:rsidRDefault="00000000">
            <w:pPr>
              <w:rPr>
                <w:rFonts w:cs="Calibri"/>
                <w:b/>
                <w:sz w:val="16"/>
                <w:szCs w:val="16"/>
              </w:rPr>
            </w:pPr>
            <w:r>
              <w:rPr>
                <w:rFonts w:cs="Calibri"/>
                <w:sz w:val="16"/>
                <w:szCs w:val="16"/>
              </w:rPr>
              <w:t>Platform Management</w:t>
            </w:r>
          </w:p>
        </w:tc>
        <w:tc>
          <w:tcPr>
            <w:tcW w:w="2428" w:type="pct"/>
            <w:tcBorders>
              <w:top w:val="single" w:sz="6" w:space="0" w:color="auto"/>
              <w:left w:val="single" w:sz="6" w:space="0" w:color="auto"/>
              <w:bottom w:val="single" w:sz="6" w:space="0" w:color="auto"/>
              <w:right w:val="single" w:sz="6" w:space="0" w:color="auto"/>
            </w:tcBorders>
            <w:vAlign w:val="center"/>
            <w:hideMark/>
          </w:tcPr>
          <w:p w14:paraId="316B2A7F" w14:textId="77777777" w:rsidR="00B97365" w:rsidRDefault="00000000">
            <w:pPr>
              <w:rPr>
                <w:rFonts w:cs="Calibri"/>
                <w:sz w:val="16"/>
                <w:szCs w:val="16"/>
              </w:rPr>
            </w:pPr>
            <w:r>
              <w:rPr>
                <w:rFonts w:cs="Calibri"/>
                <w:sz w:val="16"/>
                <w:szCs w:val="16"/>
              </w:rPr>
              <w:t>EnableProfile</w:t>
            </w:r>
          </w:p>
          <w:p w14:paraId="774A2193" w14:textId="77777777" w:rsidR="00B97365" w:rsidRDefault="00000000">
            <w:pPr>
              <w:rPr>
                <w:rFonts w:cs="Calibri"/>
                <w:sz w:val="16"/>
                <w:szCs w:val="16"/>
              </w:rPr>
            </w:pPr>
            <w:r>
              <w:rPr>
                <w:rFonts w:cs="Calibri"/>
                <w:sz w:val="16"/>
                <w:szCs w:val="16"/>
              </w:rPr>
              <w:t>DisableProfile</w:t>
            </w:r>
          </w:p>
          <w:p w14:paraId="71F703A1" w14:textId="77777777" w:rsidR="00B97365" w:rsidRDefault="00000000">
            <w:pPr>
              <w:rPr>
                <w:rFonts w:cs="Calibri"/>
                <w:sz w:val="16"/>
                <w:szCs w:val="16"/>
              </w:rPr>
            </w:pPr>
            <w:r>
              <w:rPr>
                <w:rFonts w:cs="Calibri"/>
                <w:sz w:val="16"/>
                <w:szCs w:val="16"/>
              </w:rPr>
              <w:t>DeleteProfile</w:t>
            </w:r>
          </w:p>
        </w:tc>
        <w:tc>
          <w:tcPr>
            <w:tcW w:w="808" w:type="pct"/>
            <w:tcBorders>
              <w:top w:val="single" w:sz="6" w:space="0" w:color="auto"/>
              <w:left w:val="single" w:sz="6" w:space="0" w:color="auto"/>
              <w:bottom w:val="single" w:sz="6" w:space="0" w:color="auto"/>
              <w:right w:val="single" w:sz="4" w:space="0" w:color="auto"/>
            </w:tcBorders>
            <w:vAlign w:val="center"/>
            <w:hideMark/>
          </w:tcPr>
          <w:p w14:paraId="2C5321D0" w14:textId="77777777" w:rsidR="00B97365" w:rsidRDefault="00000000">
            <w:pPr>
              <w:jc w:val="center"/>
              <w:rPr>
                <w:rFonts w:cs="Calibri"/>
                <w:b/>
                <w:sz w:val="16"/>
                <w:szCs w:val="16"/>
              </w:rPr>
            </w:pPr>
            <w:r>
              <w:rPr>
                <w:rFonts w:cs="Calibri"/>
                <w:sz w:val="16"/>
                <w:szCs w:val="16"/>
              </w:rPr>
              <w:t>SM-DP</w:t>
            </w:r>
          </w:p>
        </w:tc>
      </w:tr>
      <w:tr w:rsidR="00B97365" w14:paraId="3C9B2E80" w14:textId="77777777">
        <w:trPr>
          <w:cantSplit/>
          <w:trHeight w:val="2640"/>
        </w:trPr>
        <w:tc>
          <w:tcPr>
            <w:tcW w:w="588" w:type="pct"/>
            <w:vMerge w:val="restart"/>
            <w:tcBorders>
              <w:top w:val="single" w:sz="6" w:space="0" w:color="auto"/>
              <w:left w:val="single" w:sz="4" w:space="0" w:color="auto"/>
              <w:bottom w:val="single" w:sz="6" w:space="0" w:color="auto"/>
              <w:right w:val="single" w:sz="6" w:space="0" w:color="auto"/>
            </w:tcBorders>
            <w:vAlign w:val="center"/>
            <w:hideMark/>
          </w:tcPr>
          <w:p w14:paraId="4D0A0BA5" w14:textId="77777777" w:rsidR="00B97365" w:rsidRDefault="00000000">
            <w:pPr>
              <w:rPr>
                <w:rFonts w:cs="Calibri"/>
                <w:sz w:val="16"/>
                <w:szCs w:val="16"/>
              </w:rPr>
            </w:pPr>
            <w:r>
              <w:rPr>
                <w:rFonts w:cs="Calibri"/>
                <w:sz w:val="16"/>
                <w:szCs w:val="16"/>
              </w:rPr>
              <w:lastRenderedPageBreak/>
              <w:t>ES3</w:t>
            </w:r>
          </w:p>
        </w:tc>
        <w:tc>
          <w:tcPr>
            <w:tcW w:w="1176" w:type="pct"/>
            <w:tcBorders>
              <w:top w:val="single" w:sz="6" w:space="0" w:color="auto"/>
              <w:left w:val="single" w:sz="6" w:space="0" w:color="auto"/>
              <w:bottom w:val="single" w:sz="6" w:space="0" w:color="auto"/>
              <w:right w:val="single" w:sz="6" w:space="0" w:color="auto"/>
            </w:tcBorders>
            <w:vAlign w:val="center"/>
          </w:tcPr>
          <w:p w14:paraId="156D88BE" w14:textId="77777777" w:rsidR="00B97365" w:rsidRDefault="00B97365">
            <w:pPr>
              <w:rPr>
                <w:rFonts w:cs="Calibri"/>
                <w:sz w:val="16"/>
                <w:szCs w:val="16"/>
              </w:rPr>
            </w:pPr>
          </w:p>
          <w:p w14:paraId="2623A5A9" w14:textId="77777777" w:rsidR="00B97365" w:rsidRDefault="00000000">
            <w:pPr>
              <w:rPr>
                <w:rFonts w:cs="Calibri"/>
                <w:sz w:val="16"/>
                <w:szCs w:val="16"/>
              </w:rPr>
            </w:pPr>
            <w:r>
              <w:rPr>
                <w:rFonts w:cs="Calibri"/>
                <w:sz w:val="16"/>
                <w:szCs w:val="16"/>
              </w:rPr>
              <w:t>Profile Management</w:t>
            </w:r>
          </w:p>
        </w:tc>
        <w:tc>
          <w:tcPr>
            <w:tcW w:w="2428" w:type="pct"/>
            <w:tcBorders>
              <w:top w:val="single" w:sz="6" w:space="0" w:color="auto"/>
              <w:left w:val="single" w:sz="6" w:space="0" w:color="auto"/>
              <w:bottom w:val="single" w:sz="6" w:space="0" w:color="auto"/>
              <w:right w:val="single" w:sz="6" w:space="0" w:color="auto"/>
            </w:tcBorders>
            <w:vAlign w:val="center"/>
            <w:hideMark/>
          </w:tcPr>
          <w:p w14:paraId="4097068E" w14:textId="77777777" w:rsidR="00B97365" w:rsidRDefault="00000000">
            <w:pPr>
              <w:rPr>
                <w:rFonts w:cs="Calibri"/>
                <w:sz w:val="16"/>
                <w:szCs w:val="16"/>
              </w:rPr>
            </w:pPr>
            <w:r>
              <w:rPr>
                <w:rFonts w:cs="Calibri"/>
                <w:sz w:val="16"/>
                <w:szCs w:val="16"/>
              </w:rPr>
              <w:t>GetEIS</w:t>
            </w:r>
          </w:p>
          <w:p w14:paraId="7CE35E55" w14:textId="77777777" w:rsidR="00B97365" w:rsidRDefault="00000000">
            <w:pPr>
              <w:rPr>
                <w:rFonts w:cs="Calibri"/>
                <w:sz w:val="16"/>
                <w:szCs w:val="16"/>
              </w:rPr>
            </w:pPr>
            <w:r>
              <w:rPr>
                <w:rFonts w:cs="Calibri"/>
                <w:sz w:val="16"/>
                <w:szCs w:val="16"/>
              </w:rPr>
              <w:t xml:space="preserve">AuditEIS </w:t>
            </w:r>
          </w:p>
          <w:p w14:paraId="39A6E089" w14:textId="77777777" w:rsidR="00B97365" w:rsidRDefault="00000000">
            <w:pPr>
              <w:rPr>
                <w:rFonts w:cs="Calibri"/>
                <w:sz w:val="16"/>
                <w:szCs w:val="16"/>
              </w:rPr>
            </w:pPr>
            <w:r>
              <w:rPr>
                <w:rFonts w:cs="Calibri"/>
                <w:sz w:val="16"/>
                <w:szCs w:val="16"/>
              </w:rPr>
              <w:t>CreateISDP</w:t>
            </w:r>
          </w:p>
          <w:p w14:paraId="5200B2C6" w14:textId="77777777" w:rsidR="00B97365" w:rsidRDefault="00000000">
            <w:pPr>
              <w:rPr>
                <w:rFonts w:cs="Calibri"/>
                <w:sz w:val="16"/>
                <w:szCs w:val="16"/>
              </w:rPr>
            </w:pPr>
            <w:r>
              <w:rPr>
                <w:rFonts w:cs="Calibri"/>
                <w:sz w:val="16"/>
                <w:szCs w:val="16"/>
              </w:rPr>
              <w:t>SendData</w:t>
            </w:r>
          </w:p>
          <w:p w14:paraId="7FD728F2" w14:textId="77777777" w:rsidR="00B97365" w:rsidRDefault="00000000">
            <w:pPr>
              <w:rPr>
                <w:rFonts w:cs="Calibri"/>
                <w:sz w:val="16"/>
                <w:szCs w:val="16"/>
              </w:rPr>
            </w:pPr>
            <w:r>
              <w:rPr>
                <w:rFonts w:cs="Calibri"/>
                <w:sz w:val="16"/>
                <w:szCs w:val="16"/>
              </w:rPr>
              <w:t>ProfileDownloadCompleted</w:t>
            </w:r>
          </w:p>
          <w:p w14:paraId="7C4AD601" w14:textId="77777777" w:rsidR="00B97365" w:rsidRDefault="00000000">
            <w:pPr>
              <w:rPr>
                <w:rFonts w:cs="Calibri"/>
                <w:sz w:val="16"/>
                <w:szCs w:val="16"/>
              </w:rPr>
            </w:pPr>
            <w:r>
              <w:rPr>
                <w:rFonts w:cs="Calibri"/>
                <w:sz w:val="16"/>
                <w:szCs w:val="16"/>
              </w:rPr>
              <w:t>SetFallBackAttribute</w:t>
            </w:r>
          </w:p>
          <w:p w14:paraId="5E00DB93" w14:textId="77777777" w:rsidR="00B97365" w:rsidRDefault="00000000">
            <w:pPr>
              <w:rPr>
                <w:rFonts w:cs="Calibri"/>
                <w:sz w:val="16"/>
                <w:szCs w:val="16"/>
              </w:rPr>
            </w:pPr>
            <w:r>
              <w:rPr>
                <w:rFonts w:cs="Calibri"/>
                <w:sz w:val="16"/>
                <w:szCs w:val="16"/>
              </w:rPr>
              <w:t>SetEmergencyProfileAttribute</w:t>
            </w:r>
          </w:p>
          <w:p w14:paraId="61F46FF1" w14:textId="77777777" w:rsidR="00B97365" w:rsidRDefault="00000000">
            <w:pPr>
              <w:rPr>
                <w:rFonts w:cs="Calibri"/>
                <w:sz w:val="16"/>
                <w:szCs w:val="16"/>
              </w:rPr>
            </w:pPr>
            <w:r>
              <w:rPr>
                <w:rFonts w:cs="Calibri"/>
                <w:noProof/>
                <w:sz w:val="16"/>
                <w:szCs w:val="16"/>
              </w:rPr>
              <w:t>U</w:t>
            </w:r>
            <w:r>
              <w:rPr>
                <w:rFonts w:cs="Calibri"/>
                <w:sz w:val="16"/>
                <w:szCs w:val="16"/>
              </w:rPr>
              <w:t>pdatePolicyRules</w:t>
            </w:r>
          </w:p>
          <w:p w14:paraId="79774CB6" w14:textId="77777777" w:rsidR="00B97365" w:rsidRDefault="00000000">
            <w:pPr>
              <w:rPr>
                <w:rFonts w:cs="Calibri"/>
                <w:sz w:val="16"/>
                <w:szCs w:val="16"/>
              </w:rPr>
            </w:pPr>
            <w:r>
              <w:rPr>
                <w:rFonts w:cs="Calibri"/>
                <w:sz w:val="16"/>
                <w:szCs w:val="16"/>
              </w:rPr>
              <w:t>UpdateSubscriptionAddress</w:t>
            </w:r>
          </w:p>
          <w:p w14:paraId="70C6CBFD" w14:textId="77777777" w:rsidR="00B97365" w:rsidRDefault="00000000">
            <w:pPr>
              <w:rPr>
                <w:rFonts w:cs="Calibri"/>
                <w:sz w:val="16"/>
                <w:szCs w:val="16"/>
              </w:rPr>
            </w:pPr>
            <w:r>
              <w:rPr>
                <w:rFonts w:cs="Calibri"/>
                <w:sz w:val="16"/>
                <w:szCs w:val="16"/>
              </w:rPr>
              <w:t>UpdateConnectivityParameters</w:t>
            </w:r>
          </w:p>
          <w:p w14:paraId="158C9C14" w14:textId="77777777" w:rsidR="00B97365" w:rsidRDefault="00000000">
            <w:pPr>
              <w:rPr>
                <w:rFonts w:cs="Calibri"/>
                <w:sz w:val="16"/>
                <w:szCs w:val="16"/>
              </w:rPr>
            </w:pPr>
            <w:r>
              <w:rPr>
                <w:rFonts w:cs="Calibri"/>
                <w:sz w:val="16"/>
                <w:szCs w:val="16"/>
              </w:rPr>
              <w:t>GetONC</w:t>
            </w:r>
          </w:p>
          <w:p w14:paraId="4E4C65C9" w14:textId="77777777" w:rsidR="00B97365" w:rsidRDefault="00000000">
            <w:pPr>
              <w:rPr>
                <w:rFonts w:cs="Calibri"/>
                <w:sz w:val="16"/>
                <w:szCs w:val="16"/>
              </w:rPr>
            </w:pPr>
            <w:r>
              <w:rPr>
                <w:rFonts w:cs="Calibri"/>
                <w:sz w:val="16"/>
                <w:szCs w:val="16"/>
              </w:rPr>
              <w:t>SetONC</w:t>
            </w:r>
          </w:p>
          <w:p w14:paraId="63E9A489" w14:textId="77777777" w:rsidR="00B97365" w:rsidRDefault="00000000">
            <w:pPr>
              <w:rPr>
                <w:rFonts w:cs="Calibri"/>
                <w:sz w:val="16"/>
                <w:szCs w:val="16"/>
              </w:rPr>
            </w:pPr>
            <w:r>
              <w:rPr>
                <w:rFonts w:cs="Calibri"/>
                <w:sz w:val="16"/>
                <w:szCs w:val="16"/>
              </w:rPr>
              <w:t>GetPLMA</w:t>
            </w:r>
          </w:p>
          <w:p w14:paraId="155A17C7" w14:textId="77777777" w:rsidR="00B97365" w:rsidRDefault="00000000">
            <w:pPr>
              <w:rPr>
                <w:rFonts w:cs="Calibri"/>
                <w:sz w:val="16"/>
                <w:szCs w:val="16"/>
              </w:rPr>
            </w:pPr>
            <w:r>
              <w:rPr>
                <w:rFonts w:cs="Calibri"/>
                <w:sz w:val="16"/>
                <w:szCs w:val="16"/>
              </w:rPr>
              <w:t>SetPLMA</w:t>
            </w:r>
          </w:p>
        </w:tc>
        <w:tc>
          <w:tcPr>
            <w:tcW w:w="808" w:type="pct"/>
            <w:tcBorders>
              <w:top w:val="single" w:sz="6" w:space="0" w:color="auto"/>
              <w:left w:val="single" w:sz="6" w:space="0" w:color="auto"/>
              <w:bottom w:val="single" w:sz="6" w:space="0" w:color="auto"/>
              <w:right w:val="single" w:sz="4" w:space="0" w:color="auto"/>
            </w:tcBorders>
            <w:vAlign w:val="center"/>
            <w:hideMark/>
          </w:tcPr>
          <w:p w14:paraId="3C4EF85F" w14:textId="77777777" w:rsidR="00B97365" w:rsidRDefault="00000000">
            <w:pPr>
              <w:jc w:val="center"/>
              <w:rPr>
                <w:rFonts w:cs="Calibri"/>
                <w:sz w:val="16"/>
                <w:szCs w:val="16"/>
              </w:rPr>
            </w:pPr>
            <w:r>
              <w:rPr>
                <w:rFonts w:cs="Calibri"/>
                <w:sz w:val="16"/>
                <w:szCs w:val="16"/>
              </w:rPr>
              <w:t>SM-SR</w:t>
            </w:r>
          </w:p>
        </w:tc>
      </w:tr>
      <w:tr w:rsidR="00B97365" w14:paraId="63182905" w14:textId="77777777">
        <w:trPr>
          <w:cantSplit/>
          <w:trHeight w:val="270"/>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853C41C" w14:textId="77777777" w:rsidR="00B97365" w:rsidRDefault="00B97365">
            <w:pPr>
              <w:spacing w:before="0"/>
              <w:jc w:val="left"/>
              <w:rPr>
                <w:rFonts w:cs="Calibri"/>
                <w:sz w:val="16"/>
                <w:szCs w:val="16"/>
              </w:rPr>
            </w:pPr>
          </w:p>
        </w:tc>
        <w:tc>
          <w:tcPr>
            <w:tcW w:w="1176" w:type="pct"/>
            <w:tcBorders>
              <w:top w:val="single" w:sz="6" w:space="0" w:color="auto"/>
              <w:left w:val="single" w:sz="6" w:space="0" w:color="auto"/>
              <w:bottom w:val="single" w:sz="6" w:space="0" w:color="auto"/>
              <w:right w:val="single" w:sz="6" w:space="0" w:color="auto"/>
            </w:tcBorders>
            <w:vAlign w:val="center"/>
            <w:hideMark/>
          </w:tcPr>
          <w:p w14:paraId="30973752" w14:textId="77777777" w:rsidR="00B97365" w:rsidRDefault="00000000">
            <w:pPr>
              <w:rPr>
                <w:rFonts w:cs="Calibri"/>
                <w:sz w:val="16"/>
                <w:szCs w:val="16"/>
              </w:rPr>
            </w:pPr>
            <w:r>
              <w:rPr>
                <w:rFonts w:cs="Calibri"/>
                <w:sz w:val="16"/>
                <w:szCs w:val="16"/>
              </w:rPr>
              <w:t>Platform Management</w:t>
            </w:r>
          </w:p>
        </w:tc>
        <w:tc>
          <w:tcPr>
            <w:tcW w:w="2428" w:type="pct"/>
            <w:tcBorders>
              <w:top w:val="single" w:sz="6" w:space="0" w:color="auto"/>
              <w:left w:val="single" w:sz="6" w:space="0" w:color="auto"/>
              <w:bottom w:val="single" w:sz="6" w:space="0" w:color="auto"/>
              <w:right w:val="single" w:sz="6" w:space="0" w:color="auto"/>
            </w:tcBorders>
            <w:vAlign w:val="center"/>
            <w:hideMark/>
          </w:tcPr>
          <w:p w14:paraId="343213C4" w14:textId="77777777" w:rsidR="00B97365" w:rsidRDefault="00000000">
            <w:pPr>
              <w:rPr>
                <w:rFonts w:cs="Calibri"/>
                <w:sz w:val="16"/>
                <w:szCs w:val="16"/>
              </w:rPr>
            </w:pPr>
            <w:r>
              <w:rPr>
                <w:rFonts w:cs="Calibri"/>
                <w:sz w:val="16"/>
                <w:szCs w:val="16"/>
              </w:rPr>
              <w:t>EnableProfile</w:t>
            </w:r>
          </w:p>
          <w:p w14:paraId="002D0AEB" w14:textId="77777777" w:rsidR="00B97365" w:rsidRDefault="00000000">
            <w:pPr>
              <w:rPr>
                <w:rFonts w:cs="Calibri"/>
                <w:sz w:val="16"/>
                <w:szCs w:val="16"/>
              </w:rPr>
            </w:pPr>
            <w:r>
              <w:rPr>
                <w:rFonts w:cs="Calibri"/>
                <w:sz w:val="16"/>
                <w:szCs w:val="16"/>
              </w:rPr>
              <w:t>DisableProfile</w:t>
            </w:r>
          </w:p>
          <w:p w14:paraId="5B087C23" w14:textId="77777777" w:rsidR="00B97365" w:rsidRDefault="00000000">
            <w:pPr>
              <w:rPr>
                <w:rFonts w:cs="Calibri"/>
                <w:sz w:val="16"/>
                <w:szCs w:val="16"/>
              </w:rPr>
            </w:pPr>
            <w:r>
              <w:rPr>
                <w:rFonts w:cs="Calibri"/>
                <w:sz w:val="16"/>
                <w:szCs w:val="16"/>
              </w:rPr>
              <w:t>DeleteISDP</w:t>
            </w:r>
          </w:p>
        </w:tc>
        <w:tc>
          <w:tcPr>
            <w:tcW w:w="808" w:type="pct"/>
            <w:tcBorders>
              <w:top w:val="single" w:sz="6" w:space="0" w:color="auto"/>
              <w:left w:val="single" w:sz="6" w:space="0" w:color="auto"/>
              <w:bottom w:val="single" w:sz="6" w:space="0" w:color="auto"/>
              <w:right w:val="single" w:sz="4" w:space="0" w:color="auto"/>
            </w:tcBorders>
            <w:vAlign w:val="center"/>
            <w:hideMark/>
          </w:tcPr>
          <w:p w14:paraId="6F8F2F58" w14:textId="77777777" w:rsidR="00B97365" w:rsidRDefault="00000000">
            <w:pPr>
              <w:jc w:val="center"/>
              <w:rPr>
                <w:rFonts w:cs="Calibri"/>
                <w:sz w:val="16"/>
                <w:szCs w:val="16"/>
              </w:rPr>
            </w:pPr>
            <w:r>
              <w:rPr>
                <w:rFonts w:cs="Calibri"/>
                <w:sz w:val="16"/>
                <w:szCs w:val="16"/>
              </w:rPr>
              <w:t>SM-SR</w:t>
            </w:r>
          </w:p>
        </w:tc>
      </w:tr>
      <w:tr w:rsidR="00B97365" w14:paraId="38A4031B" w14:textId="77777777">
        <w:trPr>
          <w:cantSplit/>
          <w:trHeight w:val="1320"/>
        </w:trPr>
        <w:tc>
          <w:tcPr>
            <w:tcW w:w="588" w:type="pct"/>
            <w:vMerge w:val="restart"/>
            <w:tcBorders>
              <w:top w:val="single" w:sz="6" w:space="0" w:color="auto"/>
              <w:left w:val="single" w:sz="4" w:space="0" w:color="auto"/>
              <w:bottom w:val="single" w:sz="6" w:space="0" w:color="auto"/>
              <w:right w:val="single" w:sz="6" w:space="0" w:color="auto"/>
            </w:tcBorders>
            <w:vAlign w:val="center"/>
            <w:hideMark/>
          </w:tcPr>
          <w:p w14:paraId="30EA8DF1" w14:textId="77777777" w:rsidR="00B97365" w:rsidRDefault="00000000">
            <w:pPr>
              <w:rPr>
                <w:rFonts w:cs="Calibri"/>
                <w:sz w:val="16"/>
                <w:szCs w:val="16"/>
              </w:rPr>
            </w:pPr>
            <w:r>
              <w:rPr>
                <w:rFonts w:cs="Calibri"/>
                <w:sz w:val="16"/>
                <w:szCs w:val="16"/>
              </w:rPr>
              <w:t>ES4</w:t>
            </w:r>
            <w:r>
              <w:rPr>
                <w:rFonts w:cs="Calibri"/>
                <w:sz w:val="16"/>
                <w:szCs w:val="16"/>
              </w:rPr>
              <w:br/>
            </w:r>
          </w:p>
        </w:tc>
        <w:tc>
          <w:tcPr>
            <w:tcW w:w="1176" w:type="pct"/>
            <w:tcBorders>
              <w:top w:val="single" w:sz="6" w:space="0" w:color="auto"/>
              <w:left w:val="single" w:sz="6" w:space="0" w:color="auto"/>
              <w:bottom w:val="single" w:sz="6" w:space="0" w:color="auto"/>
              <w:right w:val="single" w:sz="6" w:space="0" w:color="auto"/>
            </w:tcBorders>
            <w:vAlign w:val="center"/>
          </w:tcPr>
          <w:p w14:paraId="31542A52" w14:textId="77777777" w:rsidR="00B97365" w:rsidRDefault="00B97365">
            <w:pPr>
              <w:rPr>
                <w:rFonts w:cs="Calibri"/>
                <w:sz w:val="16"/>
                <w:szCs w:val="16"/>
              </w:rPr>
            </w:pPr>
          </w:p>
          <w:p w14:paraId="04E8687B" w14:textId="77777777" w:rsidR="00B97365" w:rsidRDefault="00000000">
            <w:pPr>
              <w:tabs>
                <w:tab w:val="right" w:pos="7938"/>
              </w:tabs>
              <w:ind w:left="470" w:hanging="459"/>
              <w:rPr>
                <w:rFonts w:cs="Calibri"/>
                <w:sz w:val="16"/>
                <w:szCs w:val="16"/>
              </w:rPr>
            </w:pPr>
            <w:r>
              <w:rPr>
                <w:rFonts w:cs="Calibri"/>
                <w:sz w:val="16"/>
                <w:szCs w:val="16"/>
              </w:rPr>
              <w:t>Profile Management</w:t>
            </w:r>
          </w:p>
        </w:tc>
        <w:tc>
          <w:tcPr>
            <w:tcW w:w="2428" w:type="pct"/>
            <w:tcBorders>
              <w:top w:val="single" w:sz="6" w:space="0" w:color="auto"/>
              <w:left w:val="single" w:sz="6" w:space="0" w:color="auto"/>
              <w:bottom w:val="single" w:sz="6" w:space="0" w:color="auto"/>
              <w:right w:val="single" w:sz="6" w:space="0" w:color="auto"/>
            </w:tcBorders>
            <w:vAlign w:val="center"/>
            <w:hideMark/>
          </w:tcPr>
          <w:p w14:paraId="62FCDE3E" w14:textId="77777777" w:rsidR="00B97365" w:rsidRDefault="00000000">
            <w:pPr>
              <w:rPr>
                <w:rFonts w:cs="Calibri"/>
                <w:sz w:val="16"/>
                <w:szCs w:val="16"/>
              </w:rPr>
            </w:pPr>
            <w:r>
              <w:rPr>
                <w:rFonts w:cs="Calibri"/>
                <w:sz w:val="16"/>
                <w:szCs w:val="16"/>
              </w:rPr>
              <w:t>GetEIS</w:t>
            </w:r>
          </w:p>
          <w:p w14:paraId="19E6ED22" w14:textId="77777777" w:rsidR="00B97365" w:rsidRDefault="00000000">
            <w:pPr>
              <w:rPr>
                <w:rFonts w:cs="Calibri"/>
                <w:sz w:val="16"/>
                <w:szCs w:val="16"/>
              </w:rPr>
            </w:pPr>
            <w:r>
              <w:rPr>
                <w:rFonts w:cs="Calibri"/>
                <w:sz w:val="16"/>
                <w:szCs w:val="16"/>
              </w:rPr>
              <w:t>SetFallBackAttribute</w:t>
            </w:r>
          </w:p>
          <w:p w14:paraId="4B23E773" w14:textId="77777777" w:rsidR="00B97365" w:rsidRDefault="00000000">
            <w:pPr>
              <w:rPr>
                <w:rFonts w:cs="Calibri"/>
                <w:sz w:val="16"/>
                <w:szCs w:val="16"/>
              </w:rPr>
            </w:pPr>
            <w:r>
              <w:rPr>
                <w:rFonts w:cs="Calibri"/>
                <w:sz w:val="16"/>
                <w:szCs w:val="16"/>
              </w:rPr>
              <w:t>SetEmergencyProfileAttribute</w:t>
            </w:r>
          </w:p>
          <w:p w14:paraId="3B730629" w14:textId="77777777" w:rsidR="00B97365" w:rsidRDefault="00000000">
            <w:pPr>
              <w:rPr>
                <w:rFonts w:cs="Calibri"/>
                <w:sz w:val="16"/>
                <w:szCs w:val="16"/>
              </w:rPr>
            </w:pPr>
            <w:r>
              <w:rPr>
                <w:rFonts w:cs="Calibri"/>
                <w:sz w:val="16"/>
                <w:szCs w:val="16"/>
              </w:rPr>
              <w:t>UpdatePolicyRules</w:t>
            </w:r>
          </w:p>
          <w:p w14:paraId="46C03580" w14:textId="77777777" w:rsidR="00B97365" w:rsidRDefault="00000000">
            <w:pPr>
              <w:rPr>
                <w:rFonts w:cs="Calibri"/>
                <w:sz w:val="16"/>
                <w:szCs w:val="16"/>
              </w:rPr>
            </w:pPr>
            <w:r>
              <w:rPr>
                <w:rFonts w:cs="Calibri"/>
                <w:sz w:val="16"/>
                <w:szCs w:val="16"/>
              </w:rPr>
              <w:t>UpdateSubscriptionAddress</w:t>
            </w:r>
          </w:p>
          <w:p w14:paraId="56D14AD6" w14:textId="77777777" w:rsidR="00B97365" w:rsidRDefault="00000000">
            <w:pPr>
              <w:rPr>
                <w:rFonts w:cs="Calibri"/>
                <w:sz w:val="16"/>
                <w:szCs w:val="16"/>
              </w:rPr>
            </w:pPr>
            <w:r>
              <w:rPr>
                <w:rFonts w:cs="Calibri"/>
                <w:sz w:val="16"/>
                <w:szCs w:val="16"/>
              </w:rPr>
              <w:t>AuditEIS</w:t>
            </w:r>
          </w:p>
          <w:p w14:paraId="3630DDB1" w14:textId="77777777" w:rsidR="00B97365" w:rsidRDefault="00000000">
            <w:pPr>
              <w:rPr>
                <w:rFonts w:cs="Calibri"/>
                <w:sz w:val="16"/>
                <w:szCs w:val="16"/>
              </w:rPr>
            </w:pPr>
            <w:r>
              <w:rPr>
                <w:rFonts w:cs="Calibri"/>
                <w:sz w:val="16"/>
                <w:szCs w:val="16"/>
              </w:rPr>
              <w:t>GetPLMA</w:t>
            </w:r>
          </w:p>
        </w:tc>
        <w:tc>
          <w:tcPr>
            <w:tcW w:w="808" w:type="pct"/>
            <w:tcBorders>
              <w:top w:val="single" w:sz="6" w:space="0" w:color="auto"/>
              <w:left w:val="single" w:sz="6" w:space="0" w:color="auto"/>
              <w:bottom w:val="single" w:sz="6" w:space="0" w:color="auto"/>
              <w:right w:val="single" w:sz="4" w:space="0" w:color="auto"/>
            </w:tcBorders>
            <w:vAlign w:val="center"/>
          </w:tcPr>
          <w:p w14:paraId="0BB5A300" w14:textId="77777777" w:rsidR="00B97365" w:rsidRDefault="00B97365">
            <w:pPr>
              <w:jc w:val="center"/>
              <w:rPr>
                <w:rFonts w:cs="Calibri"/>
                <w:sz w:val="16"/>
                <w:szCs w:val="16"/>
              </w:rPr>
            </w:pPr>
          </w:p>
          <w:p w14:paraId="523AE65B" w14:textId="77777777" w:rsidR="00B97365" w:rsidRDefault="00000000">
            <w:pPr>
              <w:jc w:val="center"/>
              <w:rPr>
                <w:rFonts w:cs="Calibri"/>
                <w:sz w:val="16"/>
                <w:szCs w:val="16"/>
              </w:rPr>
            </w:pPr>
            <w:r>
              <w:rPr>
                <w:rFonts w:cs="Calibri"/>
                <w:sz w:val="16"/>
                <w:szCs w:val="16"/>
              </w:rPr>
              <w:t>SM-SR</w:t>
            </w:r>
          </w:p>
        </w:tc>
      </w:tr>
      <w:tr w:rsidR="00B97365" w14:paraId="6963CC45" w14:textId="77777777">
        <w:trPr>
          <w:cantSplit/>
          <w:trHeight w:val="270"/>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717F8AE" w14:textId="77777777" w:rsidR="00B97365" w:rsidRDefault="00B97365">
            <w:pPr>
              <w:spacing w:before="0"/>
              <w:jc w:val="left"/>
              <w:rPr>
                <w:rFonts w:cs="Calibri"/>
                <w:sz w:val="16"/>
                <w:szCs w:val="16"/>
              </w:rPr>
            </w:pPr>
          </w:p>
        </w:tc>
        <w:tc>
          <w:tcPr>
            <w:tcW w:w="1176" w:type="pct"/>
            <w:tcBorders>
              <w:top w:val="single" w:sz="6" w:space="0" w:color="auto"/>
              <w:left w:val="single" w:sz="6" w:space="0" w:color="auto"/>
              <w:bottom w:val="single" w:sz="6" w:space="0" w:color="auto"/>
              <w:right w:val="single" w:sz="6" w:space="0" w:color="auto"/>
            </w:tcBorders>
            <w:vAlign w:val="center"/>
            <w:hideMark/>
          </w:tcPr>
          <w:p w14:paraId="3DABE4D5" w14:textId="77777777" w:rsidR="00B97365" w:rsidRDefault="00000000">
            <w:pPr>
              <w:rPr>
                <w:rFonts w:cs="Calibri"/>
                <w:sz w:val="16"/>
                <w:szCs w:val="16"/>
              </w:rPr>
            </w:pPr>
            <w:r>
              <w:rPr>
                <w:rFonts w:cs="Calibri"/>
                <w:sz w:val="16"/>
                <w:szCs w:val="16"/>
              </w:rPr>
              <w:t>Platform Management</w:t>
            </w:r>
          </w:p>
        </w:tc>
        <w:tc>
          <w:tcPr>
            <w:tcW w:w="2428" w:type="pct"/>
            <w:tcBorders>
              <w:top w:val="single" w:sz="6" w:space="0" w:color="auto"/>
              <w:left w:val="single" w:sz="6" w:space="0" w:color="auto"/>
              <w:bottom w:val="single" w:sz="6" w:space="0" w:color="auto"/>
              <w:right w:val="single" w:sz="6" w:space="0" w:color="auto"/>
            </w:tcBorders>
            <w:vAlign w:val="center"/>
            <w:hideMark/>
          </w:tcPr>
          <w:p w14:paraId="06768D02" w14:textId="77777777" w:rsidR="00B97365" w:rsidRDefault="00000000">
            <w:pPr>
              <w:rPr>
                <w:rFonts w:cs="Calibri"/>
                <w:sz w:val="16"/>
                <w:szCs w:val="16"/>
              </w:rPr>
            </w:pPr>
            <w:r>
              <w:rPr>
                <w:rFonts w:cs="Calibri"/>
                <w:sz w:val="16"/>
                <w:szCs w:val="16"/>
              </w:rPr>
              <w:t>EnableProfile</w:t>
            </w:r>
          </w:p>
          <w:p w14:paraId="0D0C4019" w14:textId="77777777" w:rsidR="00B97365" w:rsidRDefault="00000000">
            <w:pPr>
              <w:rPr>
                <w:rFonts w:cs="Calibri"/>
                <w:sz w:val="16"/>
                <w:szCs w:val="16"/>
              </w:rPr>
            </w:pPr>
            <w:r>
              <w:rPr>
                <w:rFonts w:cs="Calibri"/>
                <w:sz w:val="16"/>
                <w:szCs w:val="16"/>
              </w:rPr>
              <w:t>DisableProfile</w:t>
            </w:r>
          </w:p>
          <w:p w14:paraId="2A03C5AB" w14:textId="77777777" w:rsidR="00B97365" w:rsidRDefault="00000000">
            <w:pPr>
              <w:rPr>
                <w:rFonts w:cs="Calibri"/>
                <w:sz w:val="16"/>
                <w:szCs w:val="16"/>
              </w:rPr>
            </w:pPr>
            <w:r>
              <w:rPr>
                <w:rFonts w:cs="Calibri"/>
                <w:sz w:val="16"/>
                <w:szCs w:val="16"/>
              </w:rPr>
              <w:t>DeleteProfile</w:t>
            </w:r>
          </w:p>
        </w:tc>
        <w:tc>
          <w:tcPr>
            <w:tcW w:w="808" w:type="pct"/>
            <w:tcBorders>
              <w:top w:val="single" w:sz="6" w:space="0" w:color="auto"/>
              <w:left w:val="single" w:sz="6" w:space="0" w:color="auto"/>
              <w:bottom w:val="single" w:sz="6" w:space="0" w:color="auto"/>
              <w:right w:val="single" w:sz="4" w:space="0" w:color="auto"/>
            </w:tcBorders>
            <w:vAlign w:val="center"/>
            <w:hideMark/>
          </w:tcPr>
          <w:p w14:paraId="6DC2E8A4" w14:textId="77777777" w:rsidR="00B97365" w:rsidRDefault="00000000">
            <w:pPr>
              <w:jc w:val="center"/>
              <w:rPr>
                <w:rFonts w:cs="Calibri"/>
                <w:sz w:val="16"/>
                <w:szCs w:val="16"/>
              </w:rPr>
            </w:pPr>
            <w:r>
              <w:rPr>
                <w:rFonts w:cs="Calibri"/>
                <w:sz w:val="16"/>
                <w:szCs w:val="16"/>
              </w:rPr>
              <w:t>SM-SR</w:t>
            </w:r>
          </w:p>
        </w:tc>
      </w:tr>
      <w:tr w:rsidR="00B97365" w14:paraId="22469ECE" w14:textId="77777777">
        <w:trPr>
          <w:cantSplit/>
          <w:trHeight w:val="270"/>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4A05419" w14:textId="77777777" w:rsidR="00B97365" w:rsidRDefault="00B97365">
            <w:pPr>
              <w:spacing w:before="0"/>
              <w:jc w:val="left"/>
              <w:rPr>
                <w:rFonts w:cs="Calibri"/>
                <w:sz w:val="16"/>
                <w:szCs w:val="16"/>
              </w:rPr>
            </w:pPr>
          </w:p>
        </w:tc>
        <w:tc>
          <w:tcPr>
            <w:tcW w:w="1176" w:type="pct"/>
            <w:tcBorders>
              <w:top w:val="single" w:sz="6" w:space="0" w:color="auto"/>
              <w:left w:val="single" w:sz="6" w:space="0" w:color="auto"/>
              <w:bottom w:val="single" w:sz="6" w:space="0" w:color="auto"/>
              <w:right w:val="single" w:sz="6" w:space="0" w:color="auto"/>
            </w:tcBorders>
            <w:vAlign w:val="center"/>
            <w:hideMark/>
          </w:tcPr>
          <w:p w14:paraId="05C7258B" w14:textId="77777777" w:rsidR="00B97365" w:rsidRDefault="00000000">
            <w:pPr>
              <w:rPr>
                <w:rFonts w:cs="Calibri"/>
                <w:sz w:val="16"/>
                <w:szCs w:val="16"/>
              </w:rPr>
            </w:pPr>
            <w:r>
              <w:rPr>
                <w:rFonts w:cs="Calibri"/>
                <w:sz w:val="16"/>
                <w:szCs w:val="16"/>
              </w:rPr>
              <w:t>eUICC Management</w:t>
            </w:r>
          </w:p>
        </w:tc>
        <w:tc>
          <w:tcPr>
            <w:tcW w:w="2428" w:type="pct"/>
            <w:tcBorders>
              <w:top w:val="single" w:sz="6" w:space="0" w:color="auto"/>
              <w:left w:val="single" w:sz="6" w:space="0" w:color="auto"/>
              <w:bottom w:val="single" w:sz="6" w:space="0" w:color="auto"/>
              <w:right w:val="single" w:sz="6" w:space="0" w:color="auto"/>
            </w:tcBorders>
            <w:vAlign w:val="center"/>
            <w:hideMark/>
          </w:tcPr>
          <w:p w14:paraId="43F7EC89" w14:textId="77777777" w:rsidR="00B97365" w:rsidRDefault="00000000">
            <w:pPr>
              <w:rPr>
                <w:rFonts w:cs="Calibri"/>
                <w:sz w:val="16"/>
                <w:szCs w:val="16"/>
              </w:rPr>
            </w:pPr>
            <w:r>
              <w:rPr>
                <w:rFonts w:cs="Calibri"/>
                <w:sz w:val="16"/>
                <w:szCs w:val="16"/>
              </w:rPr>
              <w:t>PrepareSMSRChange</w:t>
            </w:r>
          </w:p>
          <w:p w14:paraId="193A0F9A" w14:textId="77777777" w:rsidR="00B97365" w:rsidRDefault="00000000">
            <w:pPr>
              <w:rPr>
                <w:rFonts w:cs="Calibri"/>
                <w:sz w:val="16"/>
                <w:szCs w:val="16"/>
              </w:rPr>
            </w:pPr>
            <w:r>
              <w:rPr>
                <w:rFonts w:cs="Calibri"/>
                <w:sz w:val="16"/>
                <w:szCs w:val="16"/>
              </w:rPr>
              <w:t>SMSRchange</w:t>
            </w:r>
          </w:p>
        </w:tc>
        <w:tc>
          <w:tcPr>
            <w:tcW w:w="808" w:type="pct"/>
            <w:tcBorders>
              <w:top w:val="single" w:sz="6" w:space="0" w:color="auto"/>
              <w:left w:val="single" w:sz="6" w:space="0" w:color="auto"/>
              <w:bottom w:val="single" w:sz="6" w:space="0" w:color="auto"/>
              <w:right w:val="single" w:sz="4" w:space="0" w:color="auto"/>
            </w:tcBorders>
            <w:vAlign w:val="center"/>
            <w:hideMark/>
          </w:tcPr>
          <w:p w14:paraId="63753387" w14:textId="77777777" w:rsidR="00B97365" w:rsidRDefault="00000000">
            <w:pPr>
              <w:jc w:val="center"/>
              <w:rPr>
                <w:rFonts w:cs="Calibri"/>
                <w:sz w:val="16"/>
                <w:szCs w:val="16"/>
              </w:rPr>
            </w:pPr>
            <w:r>
              <w:rPr>
                <w:rFonts w:cs="Calibri"/>
                <w:sz w:val="16"/>
                <w:szCs w:val="16"/>
              </w:rPr>
              <w:t>SM-SR</w:t>
            </w:r>
          </w:p>
        </w:tc>
      </w:tr>
      <w:tr w:rsidR="00B97365" w14:paraId="55B27FAC" w14:textId="77777777">
        <w:trPr>
          <w:cantSplit/>
          <w:trHeight w:val="270"/>
        </w:trPr>
        <w:tc>
          <w:tcPr>
            <w:tcW w:w="0" w:type="auto"/>
            <w:tcBorders>
              <w:top w:val="single" w:sz="6" w:space="0" w:color="auto"/>
              <w:left w:val="single" w:sz="4" w:space="0" w:color="auto"/>
              <w:bottom w:val="single" w:sz="6" w:space="0" w:color="auto"/>
              <w:right w:val="single" w:sz="6" w:space="0" w:color="auto"/>
            </w:tcBorders>
            <w:vAlign w:val="center"/>
          </w:tcPr>
          <w:p w14:paraId="0A4719BC" w14:textId="77777777" w:rsidR="00B97365" w:rsidRDefault="00000000">
            <w:pPr>
              <w:spacing w:before="0"/>
              <w:jc w:val="left"/>
              <w:rPr>
                <w:rFonts w:cs="Calibri"/>
                <w:sz w:val="16"/>
                <w:szCs w:val="16"/>
              </w:rPr>
            </w:pPr>
            <w:r>
              <w:rPr>
                <w:rFonts w:cs="Calibri"/>
                <w:sz w:val="16"/>
                <w:szCs w:val="16"/>
              </w:rPr>
              <w:t>ES4A</w:t>
            </w:r>
          </w:p>
        </w:tc>
        <w:tc>
          <w:tcPr>
            <w:tcW w:w="1176" w:type="pct"/>
            <w:tcBorders>
              <w:top w:val="single" w:sz="6" w:space="0" w:color="auto"/>
              <w:left w:val="single" w:sz="6" w:space="0" w:color="auto"/>
              <w:bottom w:val="single" w:sz="6" w:space="0" w:color="auto"/>
              <w:right w:val="single" w:sz="6" w:space="0" w:color="auto"/>
            </w:tcBorders>
            <w:vAlign w:val="center"/>
          </w:tcPr>
          <w:p w14:paraId="64B2ED0E" w14:textId="77777777" w:rsidR="00B97365" w:rsidRDefault="00000000">
            <w:pPr>
              <w:rPr>
                <w:rFonts w:cs="Calibri"/>
                <w:sz w:val="16"/>
                <w:szCs w:val="16"/>
              </w:rPr>
            </w:pPr>
            <w:r>
              <w:rPr>
                <w:rFonts w:cs="Calibri"/>
                <w:sz w:val="16"/>
                <w:szCs w:val="16"/>
              </w:rPr>
              <w:t>Profile Management</w:t>
            </w:r>
          </w:p>
        </w:tc>
        <w:tc>
          <w:tcPr>
            <w:tcW w:w="2428" w:type="pct"/>
            <w:tcBorders>
              <w:top w:val="single" w:sz="6" w:space="0" w:color="auto"/>
              <w:left w:val="single" w:sz="6" w:space="0" w:color="auto"/>
              <w:bottom w:val="single" w:sz="6" w:space="0" w:color="auto"/>
              <w:right w:val="single" w:sz="6" w:space="0" w:color="auto"/>
            </w:tcBorders>
            <w:vAlign w:val="center"/>
          </w:tcPr>
          <w:p w14:paraId="3F3D0EEC" w14:textId="77777777" w:rsidR="00B97365" w:rsidRDefault="00000000">
            <w:pPr>
              <w:rPr>
                <w:rFonts w:cs="Calibri"/>
                <w:sz w:val="16"/>
                <w:szCs w:val="16"/>
              </w:rPr>
            </w:pPr>
            <w:r>
              <w:rPr>
                <w:rFonts w:cs="Calibri"/>
                <w:sz w:val="16"/>
                <w:szCs w:val="16"/>
              </w:rPr>
              <w:t>GetONC</w:t>
            </w:r>
          </w:p>
          <w:p w14:paraId="24724F99" w14:textId="77777777" w:rsidR="00B97365" w:rsidRDefault="00000000">
            <w:pPr>
              <w:rPr>
                <w:rFonts w:cs="Calibri"/>
                <w:sz w:val="16"/>
                <w:szCs w:val="16"/>
              </w:rPr>
            </w:pPr>
            <w:r>
              <w:rPr>
                <w:rFonts w:cs="Calibri"/>
                <w:sz w:val="16"/>
                <w:szCs w:val="16"/>
              </w:rPr>
              <w:t>SetONC</w:t>
            </w:r>
          </w:p>
          <w:p w14:paraId="50646E95" w14:textId="77777777" w:rsidR="00B97365" w:rsidRDefault="00000000">
            <w:pPr>
              <w:rPr>
                <w:rFonts w:cs="Calibri"/>
                <w:sz w:val="16"/>
                <w:szCs w:val="16"/>
              </w:rPr>
            </w:pPr>
            <w:r>
              <w:rPr>
                <w:rFonts w:cs="Calibri"/>
                <w:sz w:val="16"/>
                <w:szCs w:val="16"/>
              </w:rPr>
              <w:t>GetPLMA</w:t>
            </w:r>
          </w:p>
          <w:p w14:paraId="37F32757" w14:textId="77777777" w:rsidR="00B97365" w:rsidRDefault="00000000">
            <w:pPr>
              <w:rPr>
                <w:rFonts w:cs="Calibri"/>
                <w:sz w:val="16"/>
                <w:szCs w:val="16"/>
              </w:rPr>
            </w:pPr>
            <w:r>
              <w:rPr>
                <w:rFonts w:cs="Calibri"/>
                <w:sz w:val="16"/>
                <w:szCs w:val="16"/>
              </w:rPr>
              <w:t>SetPLMA</w:t>
            </w:r>
          </w:p>
        </w:tc>
        <w:tc>
          <w:tcPr>
            <w:tcW w:w="808" w:type="pct"/>
            <w:tcBorders>
              <w:top w:val="single" w:sz="6" w:space="0" w:color="auto"/>
              <w:left w:val="single" w:sz="6" w:space="0" w:color="auto"/>
              <w:bottom w:val="single" w:sz="6" w:space="0" w:color="auto"/>
              <w:right w:val="single" w:sz="4" w:space="0" w:color="auto"/>
            </w:tcBorders>
            <w:vAlign w:val="center"/>
          </w:tcPr>
          <w:p w14:paraId="06390CF3" w14:textId="77777777" w:rsidR="00B97365" w:rsidRDefault="00000000">
            <w:pPr>
              <w:jc w:val="center"/>
              <w:rPr>
                <w:rFonts w:cs="Calibri"/>
                <w:sz w:val="16"/>
                <w:szCs w:val="16"/>
              </w:rPr>
            </w:pPr>
            <w:r>
              <w:rPr>
                <w:rFonts w:cs="Calibri"/>
                <w:sz w:val="16"/>
                <w:szCs w:val="16"/>
              </w:rPr>
              <w:t>SM-SR</w:t>
            </w:r>
          </w:p>
        </w:tc>
      </w:tr>
      <w:tr w:rsidR="00B97365" w14:paraId="687D1629" w14:textId="77777777">
        <w:trPr>
          <w:cantSplit/>
          <w:trHeight w:val="270"/>
        </w:trPr>
        <w:tc>
          <w:tcPr>
            <w:tcW w:w="588" w:type="pct"/>
            <w:tcBorders>
              <w:top w:val="single" w:sz="6" w:space="0" w:color="auto"/>
              <w:left w:val="single" w:sz="4" w:space="0" w:color="auto"/>
              <w:bottom w:val="single" w:sz="4" w:space="0" w:color="auto"/>
              <w:right w:val="single" w:sz="6" w:space="0" w:color="auto"/>
            </w:tcBorders>
            <w:vAlign w:val="center"/>
            <w:hideMark/>
          </w:tcPr>
          <w:p w14:paraId="3BD8C892" w14:textId="77777777" w:rsidR="00B97365" w:rsidRDefault="00000000">
            <w:pPr>
              <w:rPr>
                <w:rFonts w:cs="Calibri"/>
                <w:sz w:val="16"/>
                <w:szCs w:val="16"/>
              </w:rPr>
            </w:pPr>
            <w:r>
              <w:rPr>
                <w:rFonts w:cs="Calibri"/>
                <w:sz w:val="16"/>
                <w:szCs w:val="16"/>
              </w:rPr>
              <w:t>ES7</w:t>
            </w:r>
          </w:p>
        </w:tc>
        <w:tc>
          <w:tcPr>
            <w:tcW w:w="1176" w:type="pct"/>
            <w:tcBorders>
              <w:top w:val="single" w:sz="6" w:space="0" w:color="auto"/>
              <w:left w:val="single" w:sz="6" w:space="0" w:color="auto"/>
              <w:bottom w:val="single" w:sz="4" w:space="0" w:color="auto"/>
              <w:right w:val="single" w:sz="6" w:space="0" w:color="auto"/>
            </w:tcBorders>
            <w:vAlign w:val="center"/>
            <w:hideMark/>
          </w:tcPr>
          <w:p w14:paraId="06934FC6" w14:textId="77777777" w:rsidR="00B97365" w:rsidRDefault="00000000">
            <w:pPr>
              <w:rPr>
                <w:rFonts w:cs="Calibri"/>
                <w:sz w:val="16"/>
                <w:szCs w:val="16"/>
              </w:rPr>
            </w:pPr>
            <w:r>
              <w:rPr>
                <w:rFonts w:cs="Calibri"/>
                <w:sz w:val="16"/>
                <w:szCs w:val="16"/>
              </w:rPr>
              <w:t>eUICC Management</w:t>
            </w:r>
          </w:p>
        </w:tc>
        <w:tc>
          <w:tcPr>
            <w:tcW w:w="2428" w:type="pct"/>
            <w:tcBorders>
              <w:top w:val="single" w:sz="6" w:space="0" w:color="auto"/>
              <w:left w:val="single" w:sz="6" w:space="0" w:color="auto"/>
              <w:bottom w:val="single" w:sz="4" w:space="0" w:color="auto"/>
              <w:right w:val="single" w:sz="6" w:space="0" w:color="auto"/>
            </w:tcBorders>
            <w:vAlign w:val="center"/>
            <w:hideMark/>
          </w:tcPr>
          <w:p w14:paraId="5C682463" w14:textId="77777777" w:rsidR="00B97365" w:rsidRDefault="00000000">
            <w:pPr>
              <w:rPr>
                <w:rFonts w:cs="Calibri"/>
                <w:sz w:val="16"/>
                <w:szCs w:val="16"/>
              </w:rPr>
            </w:pPr>
            <w:r>
              <w:rPr>
                <w:rFonts w:cs="Calibri"/>
                <w:sz w:val="16"/>
                <w:szCs w:val="16"/>
              </w:rPr>
              <w:t>CreateAdditionalKeySet</w:t>
            </w:r>
          </w:p>
          <w:p w14:paraId="2248D26B" w14:textId="77777777" w:rsidR="00B97365" w:rsidRDefault="00000000">
            <w:pPr>
              <w:rPr>
                <w:rFonts w:cs="Calibri"/>
                <w:sz w:val="16"/>
                <w:szCs w:val="16"/>
              </w:rPr>
            </w:pPr>
            <w:r>
              <w:rPr>
                <w:rFonts w:cs="Calibri"/>
                <w:sz w:val="16"/>
                <w:szCs w:val="16"/>
              </w:rPr>
              <w:t>HandoverEUICC</w:t>
            </w:r>
          </w:p>
          <w:p w14:paraId="5EBD0E4A" w14:textId="77777777" w:rsidR="00B97365" w:rsidRDefault="00000000">
            <w:pPr>
              <w:rPr>
                <w:rFonts w:cs="Calibri"/>
                <w:sz w:val="16"/>
                <w:szCs w:val="16"/>
              </w:rPr>
            </w:pPr>
            <w:r>
              <w:rPr>
                <w:rFonts w:cs="Calibri"/>
                <w:sz w:val="16"/>
                <w:szCs w:val="16"/>
              </w:rPr>
              <w:t>AuthenticateSMSR</w:t>
            </w:r>
          </w:p>
        </w:tc>
        <w:tc>
          <w:tcPr>
            <w:tcW w:w="808" w:type="pct"/>
            <w:tcBorders>
              <w:top w:val="single" w:sz="6" w:space="0" w:color="auto"/>
              <w:left w:val="single" w:sz="6" w:space="0" w:color="auto"/>
              <w:bottom w:val="single" w:sz="4" w:space="0" w:color="auto"/>
              <w:right w:val="single" w:sz="4" w:space="0" w:color="auto"/>
            </w:tcBorders>
            <w:vAlign w:val="center"/>
            <w:hideMark/>
          </w:tcPr>
          <w:p w14:paraId="15DA084C" w14:textId="77777777" w:rsidR="00B97365" w:rsidRDefault="00000000">
            <w:pPr>
              <w:jc w:val="center"/>
              <w:rPr>
                <w:rFonts w:cs="Calibri"/>
                <w:sz w:val="16"/>
                <w:szCs w:val="16"/>
              </w:rPr>
            </w:pPr>
            <w:r>
              <w:rPr>
                <w:rFonts w:cs="Calibri"/>
                <w:sz w:val="16"/>
                <w:szCs w:val="16"/>
              </w:rPr>
              <w:t>SM-SR</w:t>
            </w:r>
          </w:p>
        </w:tc>
      </w:tr>
    </w:tbl>
    <w:p w14:paraId="21C818D5" w14:textId="77777777" w:rsidR="00B97365" w:rsidRDefault="00000000">
      <w:pPr>
        <w:numPr>
          <w:ilvl w:val="0"/>
          <w:numId w:val="14"/>
        </w:numPr>
        <w:tabs>
          <w:tab w:val="left" w:pos="1009"/>
        </w:tabs>
        <w:spacing w:after="200" w:line="276" w:lineRule="auto"/>
        <w:jc w:val="center"/>
        <w:rPr>
          <w:rFonts w:cs="Arial"/>
          <w:b/>
          <w:lang w:eastAsia="de-DE" w:bidi="ar-SA"/>
        </w:rPr>
      </w:pPr>
      <w:bookmarkStart w:id="2772" w:name="_Ref373942064"/>
      <w:r>
        <w:rPr>
          <w:rFonts w:cs="Arial"/>
          <w:b/>
          <w:lang w:eastAsia="de-DE" w:bidi="ar-SA"/>
        </w:rPr>
        <w:t>: Request-Response Functions</w:t>
      </w:r>
      <w:bookmarkEnd w:id="2772"/>
    </w:p>
    <w:p w14:paraId="146D7979" w14:textId="77777777" w:rsidR="00B97365" w:rsidRDefault="00000000">
      <w:pPr>
        <w:spacing w:before="0" w:after="200" w:line="276" w:lineRule="auto"/>
        <w:jc w:val="left"/>
        <w:rPr>
          <w:b/>
          <w:szCs w:val="22"/>
          <w:lang w:val="en-US" w:eastAsia="en-GB" w:bidi="ar-SA"/>
        </w:rPr>
      </w:pPr>
      <w:bookmarkStart w:id="2773" w:name="_Toc420594684"/>
      <w:r>
        <w:rPr>
          <w:rFonts w:cs="Arial"/>
          <w:b/>
          <w:szCs w:val="22"/>
          <w:lang w:eastAsia="en-GB" w:bidi="ar-SA"/>
        </w:rPr>
        <w:t>Notification</w:t>
      </w:r>
      <w:r>
        <w:rPr>
          <w:b/>
          <w:szCs w:val="22"/>
          <w:lang w:val="en-US" w:eastAsia="en-GB" w:bidi="ar-SA"/>
        </w:rPr>
        <w:t xml:space="preserve"> handler functions:</w:t>
      </w:r>
      <w:bookmarkEnd w:id="277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60"/>
        <w:gridCol w:w="867"/>
        <w:gridCol w:w="6345"/>
        <w:gridCol w:w="1144"/>
      </w:tblGrid>
      <w:tr w:rsidR="00B97365" w14:paraId="444F1ADD" w14:textId="77777777">
        <w:trPr>
          <w:trHeight w:val="327"/>
        </w:trPr>
        <w:tc>
          <w:tcPr>
            <w:tcW w:w="564" w:type="pct"/>
            <w:tcBorders>
              <w:top w:val="single" w:sz="4" w:space="0" w:color="auto"/>
              <w:left w:val="single" w:sz="4" w:space="0" w:color="auto"/>
              <w:bottom w:val="single" w:sz="6" w:space="0" w:color="auto"/>
              <w:right w:val="single" w:sz="6" w:space="0" w:color="auto"/>
            </w:tcBorders>
            <w:shd w:val="clear" w:color="auto" w:fill="C00000"/>
            <w:vAlign w:val="center"/>
            <w:hideMark/>
          </w:tcPr>
          <w:p w14:paraId="46D9E57B" w14:textId="77777777" w:rsidR="00B97365" w:rsidRDefault="00000000">
            <w:pPr>
              <w:jc w:val="center"/>
              <w:rPr>
                <w:rFonts w:cs="Calibri"/>
                <w:b/>
                <w:color w:val="FFFFFF"/>
                <w:sz w:val="16"/>
                <w:szCs w:val="16"/>
              </w:rPr>
            </w:pPr>
            <w:r>
              <w:rPr>
                <w:rFonts w:cs="Calibri"/>
                <w:b/>
                <w:color w:val="FFFFFF"/>
                <w:sz w:val="16"/>
                <w:szCs w:val="16"/>
              </w:rPr>
              <w:t>Interface</w:t>
            </w:r>
          </w:p>
        </w:tc>
        <w:tc>
          <w:tcPr>
            <w:tcW w:w="781" w:type="pct"/>
            <w:tcBorders>
              <w:top w:val="single" w:sz="4" w:space="0" w:color="auto"/>
              <w:left w:val="single" w:sz="6" w:space="0" w:color="auto"/>
              <w:bottom w:val="single" w:sz="6" w:space="0" w:color="auto"/>
              <w:right w:val="single" w:sz="6" w:space="0" w:color="auto"/>
            </w:tcBorders>
            <w:shd w:val="clear" w:color="auto" w:fill="C00000"/>
            <w:vAlign w:val="center"/>
            <w:hideMark/>
          </w:tcPr>
          <w:p w14:paraId="30458750" w14:textId="77777777" w:rsidR="00B97365" w:rsidRDefault="00000000">
            <w:pPr>
              <w:jc w:val="center"/>
              <w:rPr>
                <w:rFonts w:cs="Calibri"/>
                <w:b/>
                <w:color w:val="FFFFFF"/>
                <w:sz w:val="16"/>
                <w:szCs w:val="16"/>
              </w:rPr>
            </w:pPr>
            <w:r>
              <w:rPr>
                <w:rFonts w:cs="Calibri"/>
                <w:b/>
                <w:color w:val="FFFFFF"/>
                <w:sz w:val="16"/>
                <w:szCs w:val="16"/>
              </w:rPr>
              <w:t>Function group</w:t>
            </w:r>
          </w:p>
        </w:tc>
        <w:tc>
          <w:tcPr>
            <w:tcW w:w="2863" w:type="pct"/>
            <w:tcBorders>
              <w:top w:val="single" w:sz="4" w:space="0" w:color="auto"/>
              <w:left w:val="single" w:sz="6" w:space="0" w:color="auto"/>
              <w:bottom w:val="single" w:sz="6" w:space="0" w:color="auto"/>
              <w:right w:val="single" w:sz="6" w:space="0" w:color="auto"/>
            </w:tcBorders>
            <w:shd w:val="clear" w:color="auto" w:fill="C00000"/>
            <w:vAlign w:val="center"/>
            <w:hideMark/>
          </w:tcPr>
          <w:p w14:paraId="7664C38D" w14:textId="77777777" w:rsidR="00B97365" w:rsidRDefault="00000000">
            <w:pPr>
              <w:jc w:val="center"/>
              <w:rPr>
                <w:rFonts w:cs="Calibri"/>
                <w:b/>
                <w:color w:val="FFFFFF"/>
                <w:sz w:val="16"/>
                <w:szCs w:val="16"/>
              </w:rPr>
            </w:pPr>
            <w:r>
              <w:rPr>
                <w:rFonts w:cs="Calibri"/>
                <w:b/>
                <w:color w:val="FFFFFF"/>
                <w:sz w:val="16"/>
                <w:szCs w:val="16"/>
              </w:rPr>
              <w:t>Notification handler functions</w:t>
            </w:r>
          </w:p>
        </w:tc>
        <w:tc>
          <w:tcPr>
            <w:tcW w:w="792" w:type="pct"/>
            <w:tcBorders>
              <w:top w:val="single" w:sz="4" w:space="0" w:color="auto"/>
              <w:left w:val="single" w:sz="6" w:space="0" w:color="auto"/>
              <w:bottom w:val="single" w:sz="6" w:space="0" w:color="auto"/>
              <w:right w:val="single" w:sz="4" w:space="0" w:color="auto"/>
            </w:tcBorders>
            <w:shd w:val="clear" w:color="auto" w:fill="C00000"/>
            <w:vAlign w:val="center"/>
            <w:hideMark/>
          </w:tcPr>
          <w:p w14:paraId="12AF00F8" w14:textId="77777777" w:rsidR="00B97365" w:rsidRDefault="00000000">
            <w:pPr>
              <w:jc w:val="center"/>
              <w:rPr>
                <w:rFonts w:cs="Calibri"/>
                <w:b/>
                <w:color w:val="FFFFFF"/>
                <w:sz w:val="16"/>
                <w:szCs w:val="16"/>
              </w:rPr>
            </w:pPr>
            <w:r>
              <w:rPr>
                <w:rFonts w:cs="Calibri"/>
                <w:b/>
                <w:color w:val="FFFFFF"/>
                <w:sz w:val="16"/>
                <w:szCs w:val="16"/>
              </w:rPr>
              <w:t>Function</w:t>
            </w:r>
          </w:p>
          <w:p w14:paraId="5EC4F09A" w14:textId="77777777" w:rsidR="00B97365" w:rsidRDefault="00000000">
            <w:pPr>
              <w:jc w:val="center"/>
              <w:rPr>
                <w:rFonts w:cs="Calibri"/>
                <w:b/>
                <w:color w:val="FFFFFF"/>
                <w:sz w:val="16"/>
                <w:szCs w:val="16"/>
              </w:rPr>
            </w:pPr>
            <w:r>
              <w:rPr>
                <w:rFonts w:cs="Calibri"/>
                <w:b/>
                <w:color w:val="FFFFFF"/>
                <w:sz w:val="16"/>
                <w:szCs w:val="16"/>
              </w:rPr>
              <w:t>handler/recipient</w:t>
            </w:r>
          </w:p>
        </w:tc>
      </w:tr>
      <w:tr w:rsidR="00B97365" w14:paraId="20ADD576" w14:textId="77777777">
        <w:trPr>
          <w:trHeight w:val="1183"/>
        </w:trPr>
        <w:tc>
          <w:tcPr>
            <w:tcW w:w="564" w:type="pct"/>
            <w:vMerge w:val="restart"/>
            <w:tcBorders>
              <w:top w:val="single" w:sz="6" w:space="0" w:color="auto"/>
              <w:left w:val="single" w:sz="4" w:space="0" w:color="auto"/>
              <w:bottom w:val="single" w:sz="6" w:space="0" w:color="auto"/>
              <w:right w:val="single" w:sz="6" w:space="0" w:color="auto"/>
            </w:tcBorders>
            <w:vAlign w:val="center"/>
          </w:tcPr>
          <w:p w14:paraId="29C65EBD" w14:textId="77777777" w:rsidR="00B97365" w:rsidRDefault="00000000">
            <w:pPr>
              <w:rPr>
                <w:rFonts w:cs="Calibri"/>
                <w:sz w:val="16"/>
                <w:szCs w:val="16"/>
              </w:rPr>
            </w:pPr>
            <w:r>
              <w:rPr>
                <w:rFonts w:cs="Calibri"/>
                <w:sz w:val="16"/>
                <w:szCs w:val="16"/>
              </w:rPr>
              <w:lastRenderedPageBreak/>
              <w:t>ES2</w:t>
            </w:r>
          </w:p>
          <w:p w14:paraId="3A2D32F4" w14:textId="77777777" w:rsidR="00B97365" w:rsidRDefault="00B97365">
            <w:pPr>
              <w:rPr>
                <w:rFonts w:cs="Calibri"/>
                <w:sz w:val="16"/>
                <w:szCs w:val="16"/>
              </w:rPr>
            </w:pPr>
          </w:p>
        </w:tc>
        <w:tc>
          <w:tcPr>
            <w:tcW w:w="781" w:type="pct"/>
            <w:tcBorders>
              <w:top w:val="single" w:sz="6" w:space="0" w:color="auto"/>
              <w:left w:val="single" w:sz="6" w:space="0" w:color="auto"/>
              <w:bottom w:val="single" w:sz="6" w:space="0" w:color="auto"/>
              <w:right w:val="single" w:sz="6" w:space="0" w:color="auto"/>
            </w:tcBorders>
            <w:vAlign w:val="center"/>
            <w:hideMark/>
          </w:tcPr>
          <w:p w14:paraId="7308A09E" w14:textId="77777777" w:rsidR="00B97365" w:rsidRDefault="00000000">
            <w:pPr>
              <w:rPr>
                <w:rFonts w:cs="Calibri"/>
                <w:sz w:val="16"/>
                <w:szCs w:val="16"/>
              </w:rPr>
            </w:pPr>
            <w:r>
              <w:rPr>
                <w:rFonts w:cs="Calibri"/>
                <w:sz w:val="16"/>
                <w:szCs w:val="16"/>
              </w:rPr>
              <w:t>Platform Management</w:t>
            </w:r>
          </w:p>
        </w:tc>
        <w:tc>
          <w:tcPr>
            <w:tcW w:w="2863" w:type="pct"/>
            <w:tcBorders>
              <w:top w:val="single" w:sz="6" w:space="0" w:color="auto"/>
              <w:left w:val="single" w:sz="6" w:space="0" w:color="auto"/>
              <w:bottom w:val="single" w:sz="6" w:space="0" w:color="auto"/>
              <w:right w:val="single" w:sz="6" w:space="0" w:color="auto"/>
            </w:tcBorders>
            <w:vAlign w:val="center"/>
            <w:hideMark/>
          </w:tcPr>
          <w:p w14:paraId="2D06AF68" w14:textId="77777777" w:rsidR="00B97365" w:rsidRDefault="00000000">
            <w:pPr>
              <w:rPr>
                <w:rFonts w:ascii="Courier New" w:hAnsi="Courier New" w:cs="Courier New"/>
                <w:sz w:val="16"/>
                <w:szCs w:val="16"/>
              </w:rPr>
            </w:pPr>
            <w:r>
              <w:rPr>
                <w:rFonts w:ascii="Courier New" w:hAnsi="Courier New" w:cs="Courier New"/>
                <w:sz w:val="16"/>
                <w:szCs w:val="16"/>
              </w:rPr>
              <w:t>HandleProfileDisabledNotification</w:t>
            </w:r>
          </w:p>
          <w:p w14:paraId="7483F2BC" w14:textId="77777777" w:rsidR="00B97365" w:rsidRDefault="00000000">
            <w:pPr>
              <w:tabs>
                <w:tab w:val="left" w:pos="0"/>
              </w:tabs>
              <w:rPr>
                <w:rFonts w:ascii="Courier New" w:hAnsi="Courier New" w:cs="Courier New"/>
                <w:sz w:val="16"/>
                <w:szCs w:val="16"/>
              </w:rPr>
            </w:pPr>
            <w:r>
              <w:rPr>
                <w:rFonts w:ascii="Courier New" w:hAnsi="Courier New" w:cs="Courier New"/>
                <w:sz w:val="16"/>
                <w:szCs w:val="16"/>
              </w:rPr>
              <w:t>HandleProfileEnabledNotification</w:t>
            </w:r>
          </w:p>
          <w:p w14:paraId="0503FADB" w14:textId="77777777" w:rsidR="00B97365" w:rsidRDefault="00000000">
            <w:pPr>
              <w:rPr>
                <w:rFonts w:ascii="Courier New" w:hAnsi="Courier New" w:cs="Courier New"/>
                <w:sz w:val="16"/>
                <w:szCs w:val="16"/>
              </w:rPr>
            </w:pPr>
            <w:r>
              <w:rPr>
                <w:rFonts w:ascii="Courier New" w:hAnsi="Courier New" w:cs="Courier New"/>
                <w:sz w:val="16"/>
                <w:szCs w:val="16"/>
              </w:rPr>
              <w:t>HandleProfileDeletedNotification</w:t>
            </w:r>
          </w:p>
        </w:tc>
        <w:tc>
          <w:tcPr>
            <w:tcW w:w="792" w:type="pct"/>
            <w:tcBorders>
              <w:top w:val="single" w:sz="6" w:space="0" w:color="auto"/>
              <w:left w:val="single" w:sz="6" w:space="0" w:color="auto"/>
              <w:bottom w:val="single" w:sz="6" w:space="0" w:color="auto"/>
              <w:right w:val="single" w:sz="4" w:space="0" w:color="auto"/>
            </w:tcBorders>
            <w:vAlign w:val="center"/>
            <w:hideMark/>
          </w:tcPr>
          <w:p w14:paraId="04BB4E0C" w14:textId="77777777" w:rsidR="00B97365" w:rsidRDefault="00000000">
            <w:pPr>
              <w:jc w:val="center"/>
              <w:rPr>
                <w:rFonts w:cs="Calibri"/>
                <w:sz w:val="16"/>
                <w:szCs w:val="16"/>
              </w:rPr>
            </w:pPr>
            <w:r>
              <w:rPr>
                <w:rFonts w:cs="Calibri"/>
                <w:sz w:val="16"/>
                <w:szCs w:val="16"/>
              </w:rPr>
              <w:t>Operator</w:t>
            </w:r>
          </w:p>
        </w:tc>
      </w:tr>
      <w:tr w:rsidR="00B97365" w14:paraId="5AC0C6DF" w14:textId="77777777">
        <w:trPr>
          <w:trHeight w:val="1183"/>
        </w:trPr>
        <w:tc>
          <w:tcPr>
            <w:tcW w:w="564" w:type="pct"/>
            <w:vMerge/>
            <w:tcBorders>
              <w:top w:val="single" w:sz="6" w:space="0" w:color="auto"/>
              <w:left w:val="single" w:sz="4" w:space="0" w:color="auto"/>
              <w:bottom w:val="single" w:sz="6" w:space="0" w:color="auto"/>
              <w:right w:val="single" w:sz="6" w:space="0" w:color="auto"/>
            </w:tcBorders>
            <w:vAlign w:val="center"/>
          </w:tcPr>
          <w:p w14:paraId="47E2E50F" w14:textId="77777777" w:rsidR="00B97365" w:rsidRDefault="00B97365">
            <w:pPr>
              <w:rPr>
                <w:rFonts w:cs="Calibri"/>
                <w:sz w:val="16"/>
                <w:szCs w:val="16"/>
              </w:rPr>
            </w:pPr>
          </w:p>
        </w:tc>
        <w:tc>
          <w:tcPr>
            <w:tcW w:w="781" w:type="pct"/>
            <w:tcBorders>
              <w:top w:val="single" w:sz="6" w:space="0" w:color="auto"/>
              <w:left w:val="single" w:sz="6" w:space="0" w:color="auto"/>
              <w:bottom w:val="single" w:sz="6" w:space="0" w:color="auto"/>
              <w:right w:val="single" w:sz="6" w:space="0" w:color="auto"/>
            </w:tcBorders>
            <w:vAlign w:val="center"/>
          </w:tcPr>
          <w:p w14:paraId="667A5E71" w14:textId="77777777" w:rsidR="00B97365" w:rsidRDefault="00000000">
            <w:pPr>
              <w:rPr>
                <w:rFonts w:cs="Calibri"/>
                <w:sz w:val="16"/>
                <w:szCs w:val="16"/>
              </w:rPr>
            </w:pPr>
            <w:r>
              <w:rPr>
                <w:rFonts w:cs="Calibri"/>
                <w:sz w:val="16"/>
                <w:szCs w:val="16"/>
              </w:rPr>
              <w:t>Profile Management</w:t>
            </w:r>
          </w:p>
        </w:tc>
        <w:tc>
          <w:tcPr>
            <w:tcW w:w="2863" w:type="pct"/>
            <w:tcBorders>
              <w:top w:val="single" w:sz="6" w:space="0" w:color="auto"/>
              <w:left w:val="single" w:sz="6" w:space="0" w:color="auto"/>
              <w:bottom w:val="single" w:sz="6" w:space="0" w:color="auto"/>
              <w:right w:val="single" w:sz="6" w:space="0" w:color="auto"/>
            </w:tcBorders>
            <w:vAlign w:val="center"/>
          </w:tcPr>
          <w:p w14:paraId="7F8607C3" w14:textId="77777777" w:rsidR="00B97365" w:rsidRDefault="00000000">
            <w:pPr>
              <w:rPr>
                <w:rFonts w:ascii="Courier New" w:hAnsi="Courier New" w:cs="Courier New"/>
                <w:sz w:val="16"/>
                <w:szCs w:val="16"/>
              </w:rPr>
            </w:pPr>
            <w:r>
              <w:rPr>
                <w:rFonts w:ascii="Courier New" w:hAnsi="Courier New" w:cs="Courier New"/>
                <w:sz w:val="16"/>
                <w:szCs w:val="16"/>
              </w:rPr>
              <w:t>HandleEmergencyProfileAttributeSetNotification</w:t>
            </w:r>
          </w:p>
          <w:p w14:paraId="53E4C790" w14:textId="77777777" w:rsidR="00B97365" w:rsidRDefault="00000000">
            <w:pPr>
              <w:rPr>
                <w:rFonts w:ascii="Courier New" w:hAnsi="Courier New" w:cs="Courier New"/>
                <w:sz w:val="16"/>
                <w:szCs w:val="16"/>
              </w:rPr>
            </w:pPr>
            <w:r>
              <w:rPr>
                <w:rFonts w:ascii="Courier New" w:hAnsi="Courier New" w:cs="Courier New"/>
                <w:sz w:val="16"/>
                <w:szCs w:val="16"/>
              </w:rPr>
              <w:t>HandleEmergencyProfileAttributeUnsetNotification</w:t>
            </w:r>
          </w:p>
          <w:p w14:paraId="0AC8C5BE" w14:textId="77777777" w:rsidR="00B97365" w:rsidRDefault="00000000">
            <w:pPr>
              <w:rPr>
                <w:rFonts w:ascii="Courier New" w:hAnsi="Courier New" w:cs="Courier New"/>
                <w:sz w:val="16"/>
                <w:szCs w:val="16"/>
              </w:rPr>
            </w:pPr>
            <w:r>
              <w:rPr>
                <w:rFonts w:ascii="Courier New" w:hAnsi="Courier New" w:cs="Courier New"/>
                <w:sz w:val="16"/>
                <w:szCs w:val="16"/>
              </w:rPr>
              <w:t>HandleProfileDownloadedNotification</w:t>
            </w:r>
          </w:p>
          <w:p w14:paraId="5356C91D" w14:textId="77777777" w:rsidR="00B97365" w:rsidRDefault="00000000">
            <w:pPr>
              <w:rPr>
                <w:rFonts w:ascii="Courier New" w:hAnsi="Courier New" w:cs="Courier New"/>
                <w:sz w:val="16"/>
                <w:szCs w:val="16"/>
              </w:rPr>
            </w:pPr>
            <w:r>
              <w:rPr>
                <w:rFonts w:ascii="Courier New" w:hAnsi="Courier New" w:cs="Courier New"/>
                <w:sz w:val="16"/>
                <w:szCs w:val="16"/>
              </w:rPr>
              <w:t>HandlePLMAChangedNotification</w:t>
            </w:r>
          </w:p>
          <w:p w14:paraId="436E3520" w14:textId="77777777" w:rsidR="00B97365" w:rsidRDefault="00000000">
            <w:pPr>
              <w:rPr>
                <w:rFonts w:ascii="Courier New" w:hAnsi="Courier New" w:cs="Courier New"/>
                <w:sz w:val="16"/>
                <w:szCs w:val="16"/>
              </w:rPr>
            </w:pPr>
            <w:r>
              <w:rPr>
                <w:rFonts w:ascii="Courier New" w:hAnsi="Courier New" w:cs="Courier New"/>
                <w:sz w:val="16"/>
                <w:szCs w:val="16"/>
              </w:rPr>
              <w:t>HandlePolicyRulesUpdatedNotification</w:t>
            </w:r>
          </w:p>
          <w:p w14:paraId="75F8F36C" w14:textId="77777777" w:rsidR="00B97365" w:rsidRDefault="00000000">
            <w:pPr>
              <w:rPr>
                <w:rFonts w:ascii="Courier New" w:hAnsi="Courier New" w:cs="Courier New"/>
                <w:sz w:val="16"/>
                <w:szCs w:val="16"/>
              </w:rPr>
            </w:pPr>
            <w:r>
              <w:rPr>
                <w:rFonts w:ascii="Courier New" w:hAnsi="Courier New" w:cs="Courier New"/>
                <w:sz w:val="16"/>
                <w:szCs w:val="16"/>
              </w:rPr>
              <w:t>HandleProfileFallBackAttributeSetNotification</w:t>
            </w:r>
          </w:p>
          <w:p w14:paraId="6A9F7E87" w14:textId="77777777" w:rsidR="00B97365" w:rsidRDefault="00000000">
            <w:pPr>
              <w:rPr>
                <w:rFonts w:ascii="Courier New" w:hAnsi="Courier New" w:cs="Courier New"/>
                <w:sz w:val="16"/>
                <w:szCs w:val="16"/>
              </w:rPr>
            </w:pPr>
            <w:r>
              <w:rPr>
                <w:rFonts w:ascii="Courier New" w:hAnsi="Courier New" w:cs="Courier New"/>
                <w:sz w:val="16"/>
                <w:szCs w:val="16"/>
              </w:rPr>
              <w:t>HandleProfileFallBackAttributeUnsetNotification</w:t>
            </w:r>
          </w:p>
        </w:tc>
        <w:tc>
          <w:tcPr>
            <w:tcW w:w="792" w:type="pct"/>
            <w:tcBorders>
              <w:top w:val="single" w:sz="6" w:space="0" w:color="auto"/>
              <w:left w:val="single" w:sz="6" w:space="0" w:color="auto"/>
              <w:bottom w:val="single" w:sz="6" w:space="0" w:color="auto"/>
              <w:right w:val="single" w:sz="4" w:space="0" w:color="auto"/>
            </w:tcBorders>
            <w:vAlign w:val="center"/>
          </w:tcPr>
          <w:p w14:paraId="03C5EA79" w14:textId="77777777" w:rsidR="00B97365" w:rsidRDefault="00000000">
            <w:pPr>
              <w:jc w:val="center"/>
              <w:rPr>
                <w:rFonts w:cs="Calibri"/>
                <w:sz w:val="16"/>
                <w:szCs w:val="16"/>
              </w:rPr>
            </w:pPr>
            <w:r>
              <w:rPr>
                <w:rFonts w:cs="Calibri"/>
                <w:sz w:val="16"/>
                <w:szCs w:val="16"/>
              </w:rPr>
              <w:t>Operator</w:t>
            </w:r>
          </w:p>
        </w:tc>
      </w:tr>
      <w:tr w:rsidR="00B97365" w14:paraId="57735FF3" w14:textId="77777777">
        <w:trPr>
          <w:trHeight w:val="1183"/>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9A4B94" w14:textId="77777777" w:rsidR="00B97365" w:rsidRDefault="00B97365">
            <w:pPr>
              <w:spacing w:before="0"/>
              <w:jc w:val="left"/>
              <w:rPr>
                <w:rFonts w:cs="Calibri"/>
                <w:sz w:val="16"/>
                <w:szCs w:val="16"/>
              </w:rPr>
            </w:pPr>
          </w:p>
        </w:tc>
        <w:tc>
          <w:tcPr>
            <w:tcW w:w="781" w:type="pct"/>
            <w:tcBorders>
              <w:top w:val="single" w:sz="6" w:space="0" w:color="auto"/>
              <w:left w:val="single" w:sz="6" w:space="0" w:color="auto"/>
              <w:bottom w:val="single" w:sz="6" w:space="0" w:color="auto"/>
              <w:right w:val="single" w:sz="6" w:space="0" w:color="auto"/>
            </w:tcBorders>
            <w:vAlign w:val="center"/>
            <w:hideMark/>
          </w:tcPr>
          <w:p w14:paraId="2A523C31" w14:textId="77777777" w:rsidR="00B97365" w:rsidRDefault="00000000">
            <w:pPr>
              <w:rPr>
                <w:rFonts w:cs="Calibri"/>
                <w:sz w:val="16"/>
                <w:szCs w:val="16"/>
              </w:rPr>
            </w:pPr>
            <w:r>
              <w:rPr>
                <w:rFonts w:cs="Calibri"/>
                <w:sz w:val="16"/>
                <w:szCs w:val="16"/>
              </w:rPr>
              <w:t>eUICC Management</w:t>
            </w:r>
          </w:p>
        </w:tc>
        <w:tc>
          <w:tcPr>
            <w:tcW w:w="2863" w:type="pct"/>
            <w:tcBorders>
              <w:top w:val="single" w:sz="6" w:space="0" w:color="auto"/>
              <w:left w:val="single" w:sz="6" w:space="0" w:color="auto"/>
              <w:bottom w:val="single" w:sz="6" w:space="0" w:color="auto"/>
              <w:right w:val="single" w:sz="6" w:space="0" w:color="auto"/>
            </w:tcBorders>
            <w:vAlign w:val="center"/>
          </w:tcPr>
          <w:p w14:paraId="2FDBEBF5" w14:textId="77777777" w:rsidR="00B97365" w:rsidRDefault="00000000">
            <w:pPr>
              <w:rPr>
                <w:rFonts w:ascii="Courier New" w:hAnsi="Courier New"/>
                <w:sz w:val="16"/>
                <w:szCs w:val="16"/>
              </w:rPr>
            </w:pPr>
            <w:r>
              <w:rPr>
                <w:rFonts w:ascii="Courier New" w:hAnsi="Courier New"/>
                <w:sz w:val="16"/>
                <w:szCs w:val="16"/>
              </w:rPr>
              <w:t>HandleSMSRChangeNotification</w:t>
            </w:r>
          </w:p>
          <w:p w14:paraId="22F7ECC6" w14:textId="77777777" w:rsidR="00B97365" w:rsidRDefault="00B97365">
            <w:pPr>
              <w:rPr>
                <w:rFonts w:ascii="Courier New" w:hAnsi="Courier New" w:cs="Courier New"/>
                <w:sz w:val="16"/>
                <w:szCs w:val="16"/>
              </w:rPr>
            </w:pPr>
          </w:p>
        </w:tc>
        <w:tc>
          <w:tcPr>
            <w:tcW w:w="792" w:type="pct"/>
            <w:tcBorders>
              <w:top w:val="single" w:sz="6" w:space="0" w:color="auto"/>
              <w:left w:val="single" w:sz="6" w:space="0" w:color="auto"/>
              <w:bottom w:val="single" w:sz="6" w:space="0" w:color="auto"/>
              <w:right w:val="single" w:sz="4" w:space="0" w:color="auto"/>
            </w:tcBorders>
            <w:vAlign w:val="center"/>
            <w:hideMark/>
          </w:tcPr>
          <w:p w14:paraId="1C432872" w14:textId="77777777" w:rsidR="00B97365" w:rsidRDefault="00000000">
            <w:pPr>
              <w:jc w:val="center"/>
              <w:rPr>
                <w:rFonts w:cs="Calibri"/>
                <w:sz w:val="16"/>
                <w:szCs w:val="16"/>
              </w:rPr>
            </w:pPr>
            <w:r>
              <w:rPr>
                <w:rFonts w:cs="Calibri"/>
                <w:sz w:val="16"/>
                <w:szCs w:val="16"/>
              </w:rPr>
              <w:t>Operator</w:t>
            </w:r>
          </w:p>
        </w:tc>
      </w:tr>
      <w:tr w:rsidR="00B97365" w14:paraId="15357A92" w14:textId="77777777">
        <w:trPr>
          <w:trHeight w:val="270"/>
        </w:trPr>
        <w:tc>
          <w:tcPr>
            <w:tcW w:w="564" w:type="pct"/>
            <w:vMerge w:val="restart"/>
            <w:tcBorders>
              <w:top w:val="single" w:sz="6" w:space="0" w:color="auto"/>
              <w:left w:val="single" w:sz="4" w:space="0" w:color="auto"/>
              <w:bottom w:val="single" w:sz="6" w:space="0" w:color="auto"/>
              <w:right w:val="single" w:sz="6" w:space="0" w:color="auto"/>
            </w:tcBorders>
            <w:vAlign w:val="center"/>
          </w:tcPr>
          <w:p w14:paraId="0034D282" w14:textId="77777777" w:rsidR="00B97365" w:rsidRDefault="00000000">
            <w:pPr>
              <w:rPr>
                <w:rFonts w:cs="Calibri"/>
                <w:sz w:val="16"/>
                <w:szCs w:val="16"/>
              </w:rPr>
            </w:pPr>
            <w:r>
              <w:rPr>
                <w:rFonts w:cs="Calibri"/>
                <w:sz w:val="16"/>
                <w:szCs w:val="16"/>
              </w:rPr>
              <w:t>ES3</w:t>
            </w:r>
          </w:p>
          <w:p w14:paraId="057C87EB" w14:textId="77777777" w:rsidR="00B97365" w:rsidRDefault="00B97365">
            <w:pPr>
              <w:rPr>
                <w:rFonts w:cs="Calibri"/>
                <w:sz w:val="16"/>
                <w:szCs w:val="16"/>
              </w:rPr>
            </w:pPr>
          </w:p>
        </w:tc>
        <w:tc>
          <w:tcPr>
            <w:tcW w:w="781" w:type="pct"/>
            <w:tcBorders>
              <w:top w:val="single" w:sz="6" w:space="0" w:color="auto"/>
              <w:left w:val="single" w:sz="6" w:space="0" w:color="auto"/>
              <w:bottom w:val="single" w:sz="6" w:space="0" w:color="auto"/>
              <w:right w:val="single" w:sz="6" w:space="0" w:color="auto"/>
            </w:tcBorders>
            <w:vAlign w:val="center"/>
            <w:hideMark/>
          </w:tcPr>
          <w:p w14:paraId="1576E8D0" w14:textId="77777777" w:rsidR="00B97365" w:rsidRDefault="00000000">
            <w:pPr>
              <w:rPr>
                <w:rFonts w:cs="Calibri"/>
                <w:sz w:val="16"/>
                <w:szCs w:val="16"/>
              </w:rPr>
            </w:pPr>
            <w:r>
              <w:rPr>
                <w:rFonts w:cs="Calibri"/>
                <w:sz w:val="16"/>
                <w:szCs w:val="16"/>
              </w:rPr>
              <w:t>Platform Management</w:t>
            </w:r>
          </w:p>
        </w:tc>
        <w:tc>
          <w:tcPr>
            <w:tcW w:w="2863" w:type="pct"/>
            <w:tcBorders>
              <w:top w:val="single" w:sz="6" w:space="0" w:color="auto"/>
              <w:left w:val="single" w:sz="6" w:space="0" w:color="auto"/>
              <w:bottom w:val="single" w:sz="6" w:space="0" w:color="auto"/>
              <w:right w:val="single" w:sz="6" w:space="0" w:color="auto"/>
            </w:tcBorders>
            <w:vAlign w:val="center"/>
            <w:hideMark/>
          </w:tcPr>
          <w:p w14:paraId="0DCE3C62" w14:textId="77777777" w:rsidR="00B97365" w:rsidRDefault="00000000">
            <w:pPr>
              <w:rPr>
                <w:rFonts w:ascii="Courier New" w:hAnsi="Courier New" w:cs="Courier New"/>
                <w:sz w:val="16"/>
                <w:szCs w:val="16"/>
              </w:rPr>
            </w:pPr>
            <w:r>
              <w:rPr>
                <w:rFonts w:ascii="Courier New" w:hAnsi="Courier New" w:cs="Courier New"/>
                <w:sz w:val="16"/>
                <w:szCs w:val="16"/>
              </w:rPr>
              <w:t>HandleProfileDisabledNotification</w:t>
            </w:r>
          </w:p>
          <w:p w14:paraId="3BEF2D78" w14:textId="77777777" w:rsidR="00B97365" w:rsidRDefault="00000000">
            <w:pPr>
              <w:tabs>
                <w:tab w:val="left" w:pos="0"/>
              </w:tabs>
              <w:rPr>
                <w:rFonts w:ascii="Courier New" w:hAnsi="Courier New" w:cs="Courier New"/>
                <w:sz w:val="16"/>
                <w:szCs w:val="16"/>
              </w:rPr>
            </w:pPr>
            <w:r>
              <w:rPr>
                <w:rFonts w:ascii="Courier New" w:hAnsi="Courier New" w:cs="Courier New"/>
                <w:sz w:val="16"/>
                <w:szCs w:val="16"/>
              </w:rPr>
              <w:t>HandleProfileEnabledNotification</w:t>
            </w:r>
          </w:p>
          <w:p w14:paraId="61B016B7" w14:textId="77777777" w:rsidR="00B97365" w:rsidRDefault="00000000">
            <w:pPr>
              <w:rPr>
                <w:rFonts w:ascii="Courier New" w:hAnsi="Courier New" w:cs="Courier New"/>
                <w:sz w:val="16"/>
                <w:szCs w:val="16"/>
              </w:rPr>
            </w:pPr>
            <w:r>
              <w:rPr>
                <w:rFonts w:ascii="Courier New" w:hAnsi="Courier New" w:cs="Courier New"/>
                <w:sz w:val="16"/>
                <w:szCs w:val="16"/>
              </w:rPr>
              <w:t>HandleProfileDeletedNotification</w:t>
            </w:r>
          </w:p>
        </w:tc>
        <w:tc>
          <w:tcPr>
            <w:tcW w:w="792" w:type="pct"/>
            <w:tcBorders>
              <w:top w:val="single" w:sz="6" w:space="0" w:color="auto"/>
              <w:left w:val="single" w:sz="6" w:space="0" w:color="auto"/>
              <w:bottom w:val="single" w:sz="6" w:space="0" w:color="auto"/>
              <w:right w:val="single" w:sz="4" w:space="0" w:color="auto"/>
            </w:tcBorders>
            <w:vAlign w:val="center"/>
            <w:hideMark/>
          </w:tcPr>
          <w:p w14:paraId="3B6462F7" w14:textId="77777777" w:rsidR="00B97365" w:rsidRDefault="00000000">
            <w:pPr>
              <w:jc w:val="center"/>
              <w:rPr>
                <w:rFonts w:cs="Calibri"/>
                <w:sz w:val="16"/>
                <w:szCs w:val="16"/>
              </w:rPr>
            </w:pPr>
            <w:r>
              <w:rPr>
                <w:rFonts w:cs="Calibri"/>
                <w:sz w:val="16"/>
                <w:szCs w:val="16"/>
              </w:rPr>
              <w:t>SM-DP</w:t>
            </w:r>
          </w:p>
        </w:tc>
      </w:tr>
      <w:tr w:rsidR="00B97365" w14:paraId="18840549" w14:textId="77777777">
        <w:trPr>
          <w:trHeight w:val="270"/>
        </w:trPr>
        <w:tc>
          <w:tcPr>
            <w:tcW w:w="564" w:type="pct"/>
            <w:vMerge/>
            <w:tcBorders>
              <w:top w:val="single" w:sz="6" w:space="0" w:color="auto"/>
              <w:left w:val="single" w:sz="4" w:space="0" w:color="auto"/>
              <w:bottom w:val="single" w:sz="6" w:space="0" w:color="auto"/>
              <w:right w:val="single" w:sz="6" w:space="0" w:color="auto"/>
            </w:tcBorders>
            <w:vAlign w:val="center"/>
          </w:tcPr>
          <w:p w14:paraId="3FABE88A" w14:textId="77777777" w:rsidR="00B97365" w:rsidRDefault="00B97365">
            <w:pPr>
              <w:rPr>
                <w:rFonts w:cs="Calibri"/>
                <w:sz w:val="16"/>
                <w:szCs w:val="16"/>
              </w:rPr>
            </w:pPr>
          </w:p>
        </w:tc>
        <w:tc>
          <w:tcPr>
            <w:tcW w:w="781" w:type="pct"/>
            <w:tcBorders>
              <w:top w:val="single" w:sz="6" w:space="0" w:color="auto"/>
              <w:left w:val="single" w:sz="6" w:space="0" w:color="auto"/>
              <w:bottom w:val="single" w:sz="6" w:space="0" w:color="auto"/>
              <w:right w:val="single" w:sz="6" w:space="0" w:color="auto"/>
            </w:tcBorders>
            <w:vAlign w:val="center"/>
          </w:tcPr>
          <w:p w14:paraId="4104C422" w14:textId="77777777" w:rsidR="00B97365" w:rsidRDefault="00000000">
            <w:pPr>
              <w:rPr>
                <w:rFonts w:cs="Calibri"/>
                <w:sz w:val="16"/>
                <w:szCs w:val="16"/>
              </w:rPr>
            </w:pPr>
            <w:r>
              <w:rPr>
                <w:rFonts w:cs="Calibri"/>
                <w:sz w:val="16"/>
                <w:szCs w:val="16"/>
              </w:rPr>
              <w:t>Profile Management</w:t>
            </w:r>
          </w:p>
        </w:tc>
        <w:tc>
          <w:tcPr>
            <w:tcW w:w="2863" w:type="pct"/>
            <w:tcBorders>
              <w:top w:val="single" w:sz="6" w:space="0" w:color="auto"/>
              <w:left w:val="single" w:sz="6" w:space="0" w:color="auto"/>
              <w:bottom w:val="single" w:sz="6" w:space="0" w:color="auto"/>
              <w:right w:val="single" w:sz="6" w:space="0" w:color="auto"/>
            </w:tcBorders>
            <w:vAlign w:val="center"/>
          </w:tcPr>
          <w:p w14:paraId="6EE5298F" w14:textId="77777777" w:rsidR="00B97365" w:rsidRDefault="00000000">
            <w:pPr>
              <w:rPr>
                <w:rFonts w:ascii="Courier New" w:hAnsi="Courier New" w:cs="Courier New"/>
                <w:sz w:val="16"/>
                <w:szCs w:val="16"/>
              </w:rPr>
            </w:pPr>
            <w:r>
              <w:rPr>
                <w:rFonts w:ascii="Courier New" w:hAnsi="Courier New" w:cs="Courier New"/>
                <w:sz w:val="16"/>
                <w:szCs w:val="16"/>
              </w:rPr>
              <w:t>HandleEmergencyProfileAttributeSetNotification</w:t>
            </w:r>
          </w:p>
          <w:p w14:paraId="687851A7" w14:textId="77777777" w:rsidR="00B97365" w:rsidRDefault="00000000">
            <w:pPr>
              <w:rPr>
                <w:rFonts w:ascii="Courier New" w:hAnsi="Courier New" w:cs="Courier New"/>
                <w:sz w:val="16"/>
                <w:szCs w:val="16"/>
              </w:rPr>
            </w:pPr>
            <w:r>
              <w:rPr>
                <w:rFonts w:ascii="Courier New" w:hAnsi="Courier New" w:cs="Courier New"/>
                <w:sz w:val="16"/>
                <w:szCs w:val="16"/>
              </w:rPr>
              <w:t>HandleEmergencyProfileAttributeUnsetNotificationHandleProfileDownloadedNotification</w:t>
            </w:r>
          </w:p>
          <w:p w14:paraId="6AE15380" w14:textId="77777777" w:rsidR="00B97365" w:rsidRDefault="00000000">
            <w:pPr>
              <w:rPr>
                <w:rFonts w:ascii="Courier New" w:hAnsi="Courier New" w:cs="Courier New"/>
                <w:sz w:val="16"/>
                <w:szCs w:val="16"/>
              </w:rPr>
            </w:pPr>
            <w:r>
              <w:rPr>
                <w:rFonts w:ascii="Courier New" w:hAnsi="Courier New" w:cs="Courier New"/>
                <w:sz w:val="16"/>
                <w:szCs w:val="16"/>
              </w:rPr>
              <w:t>HandlePLMAChangedNotification</w:t>
            </w:r>
          </w:p>
          <w:p w14:paraId="614D3B8D" w14:textId="77777777" w:rsidR="00B97365" w:rsidRDefault="00000000">
            <w:pPr>
              <w:rPr>
                <w:rFonts w:ascii="Courier New" w:hAnsi="Courier New" w:cs="Courier New"/>
                <w:sz w:val="16"/>
                <w:szCs w:val="16"/>
              </w:rPr>
            </w:pPr>
            <w:r>
              <w:rPr>
                <w:rFonts w:ascii="Courier New" w:hAnsi="Courier New" w:cs="Courier New"/>
                <w:sz w:val="16"/>
                <w:szCs w:val="16"/>
              </w:rPr>
              <w:t>HandlePolicyRulesUpdatedNotification</w:t>
            </w:r>
            <w:r>
              <w:t xml:space="preserve"> </w:t>
            </w:r>
            <w:r>
              <w:rPr>
                <w:rFonts w:ascii="Courier New" w:hAnsi="Courier New" w:cs="Courier New"/>
                <w:sz w:val="16"/>
                <w:szCs w:val="16"/>
              </w:rPr>
              <w:t>HandleProfileFallBackAttributeSetNotification</w:t>
            </w:r>
          </w:p>
          <w:p w14:paraId="6AF27958" w14:textId="77777777" w:rsidR="00B97365" w:rsidRDefault="00000000">
            <w:pPr>
              <w:rPr>
                <w:rFonts w:ascii="Courier New" w:hAnsi="Courier New" w:cs="Courier New"/>
                <w:sz w:val="16"/>
                <w:szCs w:val="16"/>
              </w:rPr>
            </w:pPr>
            <w:r>
              <w:rPr>
                <w:rFonts w:ascii="Courier New" w:hAnsi="Courier New" w:cs="Courier New"/>
                <w:sz w:val="16"/>
                <w:szCs w:val="16"/>
              </w:rPr>
              <w:t>HandleProfileFallBackAttributeUnsetNotification</w:t>
            </w:r>
          </w:p>
        </w:tc>
        <w:tc>
          <w:tcPr>
            <w:tcW w:w="792" w:type="pct"/>
            <w:tcBorders>
              <w:top w:val="single" w:sz="6" w:space="0" w:color="auto"/>
              <w:left w:val="single" w:sz="6" w:space="0" w:color="auto"/>
              <w:bottom w:val="single" w:sz="6" w:space="0" w:color="auto"/>
              <w:right w:val="single" w:sz="4" w:space="0" w:color="auto"/>
            </w:tcBorders>
            <w:vAlign w:val="center"/>
          </w:tcPr>
          <w:p w14:paraId="73261F19" w14:textId="77777777" w:rsidR="00B97365" w:rsidRDefault="00000000">
            <w:pPr>
              <w:jc w:val="center"/>
              <w:rPr>
                <w:rFonts w:cs="Calibri"/>
                <w:sz w:val="16"/>
                <w:szCs w:val="16"/>
              </w:rPr>
            </w:pPr>
            <w:r>
              <w:rPr>
                <w:rFonts w:cs="Calibri"/>
                <w:sz w:val="16"/>
                <w:szCs w:val="16"/>
              </w:rPr>
              <w:t>SM-DP (see NOTE)</w:t>
            </w:r>
          </w:p>
        </w:tc>
      </w:tr>
      <w:tr w:rsidR="00B97365" w14:paraId="6E78FA36" w14:textId="77777777">
        <w:trPr>
          <w:trHeight w:val="270"/>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BCB7719" w14:textId="77777777" w:rsidR="00B97365" w:rsidRDefault="00B97365">
            <w:pPr>
              <w:spacing w:before="0"/>
              <w:jc w:val="left"/>
              <w:rPr>
                <w:rFonts w:cs="Calibri"/>
                <w:sz w:val="16"/>
                <w:szCs w:val="16"/>
              </w:rPr>
            </w:pPr>
          </w:p>
        </w:tc>
        <w:tc>
          <w:tcPr>
            <w:tcW w:w="781" w:type="pct"/>
            <w:tcBorders>
              <w:top w:val="single" w:sz="6" w:space="0" w:color="auto"/>
              <w:left w:val="single" w:sz="6" w:space="0" w:color="auto"/>
              <w:bottom w:val="single" w:sz="6" w:space="0" w:color="auto"/>
              <w:right w:val="single" w:sz="6" w:space="0" w:color="auto"/>
            </w:tcBorders>
            <w:vAlign w:val="center"/>
            <w:hideMark/>
          </w:tcPr>
          <w:p w14:paraId="67A4A8AF" w14:textId="77777777" w:rsidR="00B97365" w:rsidRDefault="00000000">
            <w:pPr>
              <w:rPr>
                <w:rFonts w:cs="Calibri"/>
                <w:sz w:val="16"/>
                <w:szCs w:val="16"/>
              </w:rPr>
            </w:pPr>
            <w:r>
              <w:rPr>
                <w:rFonts w:cs="Calibri"/>
                <w:sz w:val="16"/>
                <w:szCs w:val="16"/>
              </w:rPr>
              <w:t>eUICC Management</w:t>
            </w:r>
          </w:p>
        </w:tc>
        <w:tc>
          <w:tcPr>
            <w:tcW w:w="2863" w:type="pct"/>
            <w:tcBorders>
              <w:top w:val="single" w:sz="6" w:space="0" w:color="auto"/>
              <w:left w:val="single" w:sz="6" w:space="0" w:color="auto"/>
              <w:bottom w:val="single" w:sz="6" w:space="0" w:color="auto"/>
              <w:right w:val="single" w:sz="6" w:space="0" w:color="auto"/>
            </w:tcBorders>
            <w:vAlign w:val="center"/>
            <w:hideMark/>
          </w:tcPr>
          <w:p w14:paraId="32E84107" w14:textId="77777777" w:rsidR="00B97365" w:rsidRDefault="00000000">
            <w:pPr>
              <w:rPr>
                <w:rFonts w:ascii="Courier New" w:hAnsi="Courier New" w:cs="Courier New"/>
                <w:sz w:val="16"/>
                <w:szCs w:val="16"/>
              </w:rPr>
            </w:pPr>
            <w:r>
              <w:rPr>
                <w:rFonts w:ascii="Courier New" w:hAnsi="Courier New" w:cs="Courier New"/>
                <w:sz w:val="16"/>
                <w:szCs w:val="16"/>
              </w:rPr>
              <w:t>HandleSMSRChangeNotification</w:t>
            </w:r>
          </w:p>
        </w:tc>
        <w:tc>
          <w:tcPr>
            <w:tcW w:w="792" w:type="pct"/>
            <w:tcBorders>
              <w:top w:val="single" w:sz="6" w:space="0" w:color="auto"/>
              <w:left w:val="single" w:sz="6" w:space="0" w:color="auto"/>
              <w:bottom w:val="single" w:sz="6" w:space="0" w:color="auto"/>
              <w:right w:val="single" w:sz="4" w:space="0" w:color="auto"/>
            </w:tcBorders>
            <w:vAlign w:val="center"/>
            <w:hideMark/>
          </w:tcPr>
          <w:p w14:paraId="13138243" w14:textId="77777777" w:rsidR="00B97365" w:rsidRDefault="00000000">
            <w:pPr>
              <w:jc w:val="center"/>
              <w:rPr>
                <w:rFonts w:cs="Calibri"/>
                <w:sz w:val="16"/>
                <w:szCs w:val="16"/>
              </w:rPr>
            </w:pPr>
            <w:r>
              <w:rPr>
                <w:rFonts w:cs="Calibri"/>
                <w:sz w:val="16"/>
                <w:szCs w:val="16"/>
              </w:rPr>
              <w:t>SM-DP</w:t>
            </w:r>
          </w:p>
        </w:tc>
      </w:tr>
      <w:tr w:rsidR="00B97365" w14:paraId="164B0E08" w14:textId="77777777">
        <w:trPr>
          <w:trHeight w:val="270"/>
        </w:trPr>
        <w:tc>
          <w:tcPr>
            <w:tcW w:w="564" w:type="pct"/>
            <w:vMerge w:val="restart"/>
            <w:tcBorders>
              <w:top w:val="single" w:sz="6" w:space="0" w:color="auto"/>
              <w:left w:val="single" w:sz="4" w:space="0" w:color="auto"/>
              <w:bottom w:val="single" w:sz="4" w:space="0" w:color="auto"/>
              <w:right w:val="single" w:sz="6" w:space="0" w:color="auto"/>
            </w:tcBorders>
            <w:vAlign w:val="center"/>
          </w:tcPr>
          <w:p w14:paraId="3223DA76" w14:textId="77777777" w:rsidR="00B97365" w:rsidRDefault="00000000">
            <w:pPr>
              <w:rPr>
                <w:rFonts w:cs="Calibri"/>
                <w:sz w:val="16"/>
                <w:szCs w:val="16"/>
              </w:rPr>
            </w:pPr>
            <w:r>
              <w:rPr>
                <w:rFonts w:cs="Calibri"/>
                <w:sz w:val="16"/>
                <w:szCs w:val="16"/>
              </w:rPr>
              <w:t>ES4</w:t>
            </w:r>
            <w:r>
              <w:rPr>
                <w:rFonts w:cs="Calibri"/>
                <w:sz w:val="16"/>
                <w:szCs w:val="16"/>
              </w:rPr>
              <w:br/>
            </w:r>
          </w:p>
          <w:p w14:paraId="2480A9A0" w14:textId="77777777" w:rsidR="00B97365" w:rsidRDefault="00B97365">
            <w:pPr>
              <w:rPr>
                <w:rFonts w:cs="Calibri"/>
                <w:sz w:val="16"/>
                <w:szCs w:val="16"/>
              </w:rPr>
            </w:pPr>
          </w:p>
        </w:tc>
        <w:tc>
          <w:tcPr>
            <w:tcW w:w="781" w:type="pct"/>
            <w:tcBorders>
              <w:top w:val="single" w:sz="6" w:space="0" w:color="auto"/>
              <w:left w:val="single" w:sz="6" w:space="0" w:color="auto"/>
              <w:bottom w:val="single" w:sz="6" w:space="0" w:color="auto"/>
              <w:right w:val="single" w:sz="6" w:space="0" w:color="auto"/>
            </w:tcBorders>
            <w:vAlign w:val="center"/>
            <w:hideMark/>
          </w:tcPr>
          <w:p w14:paraId="76F820E9" w14:textId="77777777" w:rsidR="00B97365" w:rsidRDefault="00000000">
            <w:pPr>
              <w:rPr>
                <w:rFonts w:cs="Calibri"/>
                <w:sz w:val="16"/>
                <w:szCs w:val="16"/>
              </w:rPr>
            </w:pPr>
            <w:r>
              <w:rPr>
                <w:rFonts w:cs="Calibri"/>
                <w:sz w:val="16"/>
                <w:szCs w:val="16"/>
              </w:rPr>
              <w:t>Platform Management</w:t>
            </w:r>
          </w:p>
        </w:tc>
        <w:tc>
          <w:tcPr>
            <w:tcW w:w="2863" w:type="pct"/>
            <w:tcBorders>
              <w:top w:val="single" w:sz="6" w:space="0" w:color="auto"/>
              <w:left w:val="single" w:sz="6" w:space="0" w:color="auto"/>
              <w:bottom w:val="single" w:sz="6" w:space="0" w:color="auto"/>
              <w:right w:val="single" w:sz="6" w:space="0" w:color="auto"/>
            </w:tcBorders>
            <w:vAlign w:val="center"/>
          </w:tcPr>
          <w:p w14:paraId="281376EB" w14:textId="77777777" w:rsidR="00B97365" w:rsidRDefault="00000000">
            <w:pPr>
              <w:rPr>
                <w:rFonts w:ascii="Courier New" w:hAnsi="Courier New" w:cs="Courier New"/>
                <w:sz w:val="16"/>
                <w:szCs w:val="16"/>
              </w:rPr>
            </w:pPr>
            <w:r>
              <w:rPr>
                <w:rFonts w:ascii="Courier New" w:hAnsi="Courier New" w:cs="Courier New"/>
                <w:sz w:val="16"/>
                <w:szCs w:val="16"/>
              </w:rPr>
              <w:t>HandleProfileDisabledNotification</w:t>
            </w:r>
          </w:p>
          <w:p w14:paraId="0DC5DAFC" w14:textId="77777777" w:rsidR="00B97365" w:rsidRDefault="00000000">
            <w:pPr>
              <w:rPr>
                <w:rFonts w:ascii="Courier New" w:hAnsi="Courier New" w:cs="Courier New"/>
                <w:sz w:val="16"/>
                <w:szCs w:val="16"/>
              </w:rPr>
            </w:pPr>
            <w:r>
              <w:rPr>
                <w:rFonts w:ascii="Courier New" w:hAnsi="Courier New" w:cs="Courier New"/>
                <w:sz w:val="16"/>
                <w:szCs w:val="16"/>
              </w:rPr>
              <w:t>HandleProfileEnabledNotification</w:t>
            </w:r>
          </w:p>
          <w:p w14:paraId="7A6E9F34" w14:textId="77777777" w:rsidR="00B97365" w:rsidRDefault="00000000">
            <w:pPr>
              <w:rPr>
                <w:rFonts w:ascii="Courier New" w:hAnsi="Courier New" w:cs="Courier New"/>
                <w:sz w:val="16"/>
                <w:szCs w:val="16"/>
              </w:rPr>
            </w:pPr>
            <w:r>
              <w:rPr>
                <w:rFonts w:ascii="Courier New" w:hAnsi="Courier New" w:cs="Courier New"/>
                <w:sz w:val="16"/>
                <w:szCs w:val="16"/>
              </w:rPr>
              <w:t>HandleProfileDeletedNotificatio</w:t>
            </w:r>
            <w:r>
              <w:rPr>
                <w:rFonts w:cs="Courier New"/>
                <w:sz w:val="16"/>
                <w:szCs w:val="16"/>
              </w:rPr>
              <w:t>n</w:t>
            </w:r>
          </w:p>
          <w:p w14:paraId="00DE8DCC" w14:textId="77777777" w:rsidR="00B97365" w:rsidRDefault="00B97365">
            <w:pPr>
              <w:rPr>
                <w:rFonts w:ascii="Courier New" w:hAnsi="Courier New" w:cs="Courier New"/>
                <w:sz w:val="16"/>
                <w:szCs w:val="16"/>
              </w:rPr>
            </w:pPr>
          </w:p>
        </w:tc>
        <w:tc>
          <w:tcPr>
            <w:tcW w:w="792" w:type="pct"/>
            <w:tcBorders>
              <w:top w:val="single" w:sz="6" w:space="0" w:color="auto"/>
              <w:left w:val="single" w:sz="6" w:space="0" w:color="auto"/>
              <w:bottom w:val="single" w:sz="6" w:space="0" w:color="auto"/>
              <w:right w:val="single" w:sz="4" w:space="0" w:color="auto"/>
            </w:tcBorders>
            <w:vAlign w:val="center"/>
            <w:hideMark/>
          </w:tcPr>
          <w:p w14:paraId="74F280FB" w14:textId="77777777" w:rsidR="00B97365" w:rsidRDefault="00000000">
            <w:pPr>
              <w:jc w:val="center"/>
              <w:rPr>
                <w:rFonts w:cs="Calibri"/>
                <w:sz w:val="16"/>
                <w:szCs w:val="16"/>
              </w:rPr>
            </w:pPr>
            <w:r>
              <w:rPr>
                <w:rFonts w:cs="Calibri"/>
                <w:sz w:val="16"/>
                <w:szCs w:val="16"/>
              </w:rPr>
              <w:t>Operator or M2M SP (see NOTE below)</w:t>
            </w:r>
          </w:p>
        </w:tc>
      </w:tr>
      <w:tr w:rsidR="00B97365" w14:paraId="31FA68B7" w14:textId="77777777">
        <w:trPr>
          <w:trHeight w:val="270"/>
        </w:trPr>
        <w:tc>
          <w:tcPr>
            <w:tcW w:w="564" w:type="pct"/>
            <w:vMerge/>
            <w:tcBorders>
              <w:top w:val="single" w:sz="6" w:space="0" w:color="auto"/>
              <w:left w:val="single" w:sz="4" w:space="0" w:color="auto"/>
              <w:bottom w:val="single" w:sz="4" w:space="0" w:color="auto"/>
              <w:right w:val="single" w:sz="6" w:space="0" w:color="auto"/>
            </w:tcBorders>
            <w:vAlign w:val="center"/>
          </w:tcPr>
          <w:p w14:paraId="5865F6B0" w14:textId="77777777" w:rsidR="00B97365" w:rsidRDefault="00B97365">
            <w:pPr>
              <w:rPr>
                <w:rFonts w:cs="Calibri"/>
                <w:sz w:val="16"/>
                <w:szCs w:val="16"/>
              </w:rPr>
            </w:pPr>
          </w:p>
        </w:tc>
        <w:tc>
          <w:tcPr>
            <w:tcW w:w="781" w:type="pct"/>
            <w:tcBorders>
              <w:top w:val="single" w:sz="6" w:space="0" w:color="auto"/>
              <w:left w:val="single" w:sz="6" w:space="0" w:color="auto"/>
              <w:bottom w:val="single" w:sz="6" w:space="0" w:color="auto"/>
              <w:right w:val="single" w:sz="6" w:space="0" w:color="auto"/>
            </w:tcBorders>
            <w:vAlign w:val="center"/>
          </w:tcPr>
          <w:p w14:paraId="5AB5971A" w14:textId="77777777" w:rsidR="00B97365" w:rsidRDefault="00000000">
            <w:pPr>
              <w:rPr>
                <w:rFonts w:cs="Calibri"/>
                <w:sz w:val="16"/>
                <w:szCs w:val="16"/>
              </w:rPr>
            </w:pPr>
            <w:r>
              <w:rPr>
                <w:rFonts w:cs="Calibri"/>
                <w:sz w:val="16"/>
                <w:szCs w:val="16"/>
              </w:rPr>
              <w:t>Profile Management</w:t>
            </w:r>
          </w:p>
        </w:tc>
        <w:tc>
          <w:tcPr>
            <w:tcW w:w="2863" w:type="pct"/>
            <w:tcBorders>
              <w:top w:val="single" w:sz="6" w:space="0" w:color="auto"/>
              <w:left w:val="single" w:sz="6" w:space="0" w:color="auto"/>
              <w:bottom w:val="single" w:sz="6" w:space="0" w:color="auto"/>
              <w:right w:val="single" w:sz="6" w:space="0" w:color="auto"/>
            </w:tcBorders>
            <w:vAlign w:val="center"/>
          </w:tcPr>
          <w:p w14:paraId="0372A022" w14:textId="77777777" w:rsidR="00B97365" w:rsidRDefault="00000000">
            <w:pPr>
              <w:rPr>
                <w:rFonts w:ascii="Courier New" w:hAnsi="Courier New" w:cs="Courier New"/>
                <w:sz w:val="16"/>
                <w:szCs w:val="16"/>
              </w:rPr>
            </w:pPr>
            <w:r>
              <w:rPr>
                <w:rFonts w:ascii="Courier New" w:hAnsi="Courier New" w:cs="Courier New"/>
                <w:sz w:val="16"/>
                <w:szCs w:val="16"/>
              </w:rPr>
              <w:t>HandleEmergencyProfileAttributeSetNotification</w:t>
            </w:r>
          </w:p>
          <w:p w14:paraId="5F75EA1A" w14:textId="77777777" w:rsidR="00B97365" w:rsidRDefault="00000000">
            <w:pPr>
              <w:rPr>
                <w:rFonts w:ascii="Courier New" w:hAnsi="Courier New" w:cs="Courier New"/>
                <w:sz w:val="16"/>
                <w:szCs w:val="16"/>
              </w:rPr>
            </w:pPr>
            <w:r>
              <w:rPr>
                <w:rFonts w:ascii="Courier New" w:hAnsi="Courier New" w:cs="Courier New"/>
                <w:sz w:val="16"/>
                <w:szCs w:val="16"/>
              </w:rPr>
              <w:t>HandleEmergencyProfileAttributeUnsetNotification</w:t>
            </w:r>
          </w:p>
          <w:p w14:paraId="49A2D8A9" w14:textId="77777777" w:rsidR="00B97365" w:rsidRDefault="00000000">
            <w:pPr>
              <w:rPr>
                <w:rFonts w:ascii="Courier New" w:hAnsi="Courier New" w:cs="Courier New"/>
                <w:sz w:val="16"/>
                <w:szCs w:val="16"/>
              </w:rPr>
            </w:pPr>
            <w:r>
              <w:rPr>
                <w:rFonts w:ascii="Courier New" w:hAnsi="Courier New" w:cs="Courier New"/>
                <w:sz w:val="16"/>
                <w:szCs w:val="16"/>
              </w:rPr>
              <w:t>HandleProfileDownloadedNotification</w:t>
            </w:r>
          </w:p>
          <w:p w14:paraId="075EB6D8" w14:textId="77777777" w:rsidR="00B97365" w:rsidRDefault="00000000">
            <w:pPr>
              <w:rPr>
                <w:rFonts w:ascii="Courier New" w:hAnsi="Courier New" w:cs="Courier New"/>
                <w:sz w:val="16"/>
                <w:szCs w:val="16"/>
              </w:rPr>
            </w:pPr>
            <w:r>
              <w:rPr>
                <w:rFonts w:ascii="Courier New" w:hAnsi="Courier New" w:cs="Courier New"/>
                <w:sz w:val="16"/>
                <w:szCs w:val="16"/>
              </w:rPr>
              <w:t>HandlePLMAChangedNotification</w:t>
            </w:r>
          </w:p>
          <w:p w14:paraId="57994213" w14:textId="77777777" w:rsidR="00B97365" w:rsidRDefault="00000000">
            <w:pPr>
              <w:rPr>
                <w:rFonts w:ascii="Courier New" w:hAnsi="Courier New" w:cs="Courier New"/>
                <w:sz w:val="16"/>
                <w:szCs w:val="16"/>
              </w:rPr>
            </w:pPr>
            <w:r>
              <w:rPr>
                <w:rFonts w:ascii="Courier New" w:hAnsi="Courier New" w:cs="Courier New"/>
                <w:sz w:val="16"/>
                <w:szCs w:val="16"/>
              </w:rPr>
              <w:t>HandlePolicyRulesUpdatedNotification</w:t>
            </w:r>
          </w:p>
          <w:p w14:paraId="2D88C94A" w14:textId="77777777" w:rsidR="00B97365" w:rsidRDefault="00000000">
            <w:pPr>
              <w:rPr>
                <w:rFonts w:ascii="Courier New" w:hAnsi="Courier New" w:cs="Courier New"/>
                <w:sz w:val="16"/>
                <w:szCs w:val="16"/>
              </w:rPr>
            </w:pPr>
            <w:r>
              <w:rPr>
                <w:rFonts w:ascii="Courier New" w:hAnsi="Courier New" w:cs="Courier New"/>
                <w:sz w:val="16"/>
                <w:szCs w:val="16"/>
              </w:rPr>
              <w:t>HandleProfileFallBackAttributeSetNotification</w:t>
            </w:r>
          </w:p>
          <w:p w14:paraId="739EF56B" w14:textId="77777777" w:rsidR="00B97365" w:rsidRDefault="00000000">
            <w:pPr>
              <w:rPr>
                <w:rFonts w:ascii="Courier New" w:hAnsi="Courier New" w:cs="Courier New"/>
                <w:sz w:val="16"/>
                <w:szCs w:val="16"/>
              </w:rPr>
            </w:pPr>
            <w:r>
              <w:rPr>
                <w:rFonts w:ascii="Courier New" w:hAnsi="Courier New" w:cs="Courier New"/>
                <w:sz w:val="16"/>
                <w:szCs w:val="16"/>
              </w:rPr>
              <w:t>HandleProfileFallBackAttributeUnsetNotification</w:t>
            </w:r>
          </w:p>
        </w:tc>
        <w:tc>
          <w:tcPr>
            <w:tcW w:w="792" w:type="pct"/>
            <w:tcBorders>
              <w:top w:val="single" w:sz="6" w:space="0" w:color="auto"/>
              <w:left w:val="single" w:sz="6" w:space="0" w:color="auto"/>
              <w:bottom w:val="single" w:sz="6" w:space="0" w:color="auto"/>
              <w:right w:val="single" w:sz="4" w:space="0" w:color="auto"/>
            </w:tcBorders>
            <w:vAlign w:val="center"/>
          </w:tcPr>
          <w:p w14:paraId="343A0C66" w14:textId="77777777" w:rsidR="00B97365" w:rsidRDefault="00000000">
            <w:pPr>
              <w:jc w:val="center"/>
              <w:rPr>
                <w:rFonts w:cs="Calibri"/>
                <w:sz w:val="16"/>
                <w:szCs w:val="16"/>
              </w:rPr>
            </w:pPr>
            <w:r>
              <w:rPr>
                <w:rFonts w:cs="Calibri"/>
                <w:sz w:val="16"/>
                <w:szCs w:val="16"/>
              </w:rPr>
              <w:t>M2M SP (see NOTE below)</w:t>
            </w:r>
          </w:p>
        </w:tc>
      </w:tr>
      <w:tr w:rsidR="00B97365" w14:paraId="3422A898" w14:textId="77777777">
        <w:trPr>
          <w:trHeight w:val="270"/>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E900F24" w14:textId="77777777" w:rsidR="00B97365" w:rsidRDefault="00B97365">
            <w:pPr>
              <w:spacing w:before="0"/>
              <w:jc w:val="left"/>
              <w:rPr>
                <w:rFonts w:cs="Calibri"/>
                <w:sz w:val="16"/>
                <w:szCs w:val="16"/>
              </w:rPr>
            </w:pPr>
          </w:p>
        </w:tc>
        <w:tc>
          <w:tcPr>
            <w:tcW w:w="781" w:type="pct"/>
            <w:tcBorders>
              <w:top w:val="single" w:sz="6" w:space="0" w:color="auto"/>
              <w:left w:val="single" w:sz="6" w:space="0" w:color="auto"/>
              <w:bottom w:val="single" w:sz="6" w:space="0" w:color="auto"/>
              <w:right w:val="single" w:sz="6" w:space="0" w:color="auto"/>
            </w:tcBorders>
            <w:vAlign w:val="center"/>
            <w:hideMark/>
          </w:tcPr>
          <w:p w14:paraId="27A1D00A" w14:textId="77777777" w:rsidR="00B97365" w:rsidRDefault="00000000">
            <w:pPr>
              <w:rPr>
                <w:rFonts w:cs="Calibri"/>
                <w:sz w:val="16"/>
                <w:szCs w:val="16"/>
              </w:rPr>
            </w:pPr>
            <w:r>
              <w:rPr>
                <w:rFonts w:cs="Calibri"/>
                <w:sz w:val="16"/>
                <w:szCs w:val="16"/>
              </w:rPr>
              <w:t>eUICC Management</w:t>
            </w:r>
          </w:p>
        </w:tc>
        <w:tc>
          <w:tcPr>
            <w:tcW w:w="2863" w:type="pct"/>
            <w:tcBorders>
              <w:top w:val="single" w:sz="6" w:space="0" w:color="auto"/>
              <w:left w:val="single" w:sz="6" w:space="0" w:color="auto"/>
              <w:bottom w:val="single" w:sz="6" w:space="0" w:color="auto"/>
              <w:right w:val="single" w:sz="6" w:space="0" w:color="auto"/>
            </w:tcBorders>
            <w:vAlign w:val="center"/>
            <w:hideMark/>
          </w:tcPr>
          <w:p w14:paraId="05B6E222" w14:textId="77777777" w:rsidR="00B97365" w:rsidRDefault="00000000">
            <w:pPr>
              <w:rPr>
                <w:rFonts w:ascii="Courier New" w:hAnsi="Courier New" w:cs="Courier New"/>
                <w:sz w:val="16"/>
                <w:szCs w:val="16"/>
              </w:rPr>
            </w:pPr>
            <w:r>
              <w:rPr>
                <w:rFonts w:ascii="Courier New" w:hAnsi="Courier New"/>
                <w:sz w:val="16"/>
                <w:szCs w:val="16"/>
              </w:rPr>
              <w:t>HandleSMSRChangeNotification</w:t>
            </w:r>
          </w:p>
        </w:tc>
        <w:tc>
          <w:tcPr>
            <w:tcW w:w="792" w:type="pct"/>
            <w:tcBorders>
              <w:top w:val="single" w:sz="6" w:space="0" w:color="auto"/>
              <w:left w:val="single" w:sz="6" w:space="0" w:color="auto"/>
              <w:bottom w:val="single" w:sz="6" w:space="0" w:color="auto"/>
              <w:right w:val="single" w:sz="4" w:space="0" w:color="auto"/>
            </w:tcBorders>
            <w:vAlign w:val="center"/>
            <w:hideMark/>
          </w:tcPr>
          <w:p w14:paraId="540DE54D" w14:textId="77777777" w:rsidR="00B97365" w:rsidRDefault="00000000">
            <w:pPr>
              <w:jc w:val="center"/>
              <w:rPr>
                <w:rFonts w:cs="Calibri"/>
                <w:sz w:val="16"/>
                <w:szCs w:val="16"/>
              </w:rPr>
            </w:pPr>
            <w:r>
              <w:rPr>
                <w:rFonts w:cs="Calibri"/>
                <w:sz w:val="16"/>
                <w:szCs w:val="16"/>
              </w:rPr>
              <w:t>Operator</w:t>
            </w:r>
          </w:p>
        </w:tc>
      </w:tr>
    </w:tbl>
    <w:p w14:paraId="30AA9F18" w14:textId="77777777" w:rsidR="00B97365" w:rsidRDefault="00000000">
      <w:pPr>
        <w:numPr>
          <w:ilvl w:val="0"/>
          <w:numId w:val="14"/>
        </w:numPr>
        <w:tabs>
          <w:tab w:val="left" w:pos="1009"/>
        </w:tabs>
        <w:spacing w:after="200" w:line="276" w:lineRule="auto"/>
        <w:jc w:val="center"/>
        <w:rPr>
          <w:rFonts w:cs="Arial"/>
          <w:b/>
          <w:lang w:eastAsia="de-DE" w:bidi="ar-SA"/>
        </w:rPr>
      </w:pPr>
      <w:bookmarkStart w:id="2774" w:name="_Ref373942072"/>
      <w:bookmarkStart w:id="2775" w:name="_Toc345955207"/>
      <w:bookmarkStart w:id="2776" w:name="_Toc352671562"/>
      <w:r>
        <w:rPr>
          <w:rFonts w:cs="Arial"/>
          <w:b/>
          <w:lang w:eastAsia="de-DE" w:bidi="ar-SA"/>
        </w:rPr>
        <w:t>: Notification Handler Functions</w:t>
      </w:r>
      <w:bookmarkEnd w:id="2774"/>
    </w:p>
    <w:p w14:paraId="1CA62753" w14:textId="77777777" w:rsidR="00B97365" w:rsidRDefault="00000000">
      <w:pPr>
        <w:tabs>
          <w:tab w:val="left" w:pos="1560"/>
        </w:tabs>
        <w:spacing w:before="0" w:after="200" w:line="276" w:lineRule="auto"/>
        <w:ind w:left="1559" w:hanging="1202"/>
        <w:jc w:val="left"/>
        <w:rPr>
          <w:szCs w:val="22"/>
          <w:lang w:eastAsia="en-GB" w:bidi="ar-SA"/>
        </w:rPr>
      </w:pPr>
      <w:bookmarkStart w:id="2777" w:name="_Toc374345808"/>
      <w:bookmarkStart w:id="2778" w:name="_Toc374346154"/>
      <w:bookmarkStart w:id="2779" w:name="_Toc374346499"/>
      <w:bookmarkStart w:id="2780" w:name="_Toc374346845"/>
      <w:bookmarkStart w:id="2781" w:name="_Toc374347304"/>
      <w:bookmarkStart w:id="2782" w:name="_Toc374347534"/>
      <w:bookmarkStart w:id="2783" w:name="_Toc374347763"/>
      <w:bookmarkStart w:id="2784" w:name="_Toc374348506"/>
      <w:bookmarkStart w:id="2785" w:name="_Toc375054838"/>
      <w:bookmarkStart w:id="2786" w:name="_Toc375157921"/>
      <w:bookmarkStart w:id="2787" w:name="_Toc375158263"/>
      <w:bookmarkStart w:id="2788" w:name="_Toc378865419"/>
      <w:bookmarkStart w:id="2789" w:name="_Toc396149149"/>
      <w:bookmarkStart w:id="2790" w:name="_Toc396149717"/>
      <w:bookmarkStart w:id="2791" w:name="_Toc396150158"/>
      <w:bookmarkStart w:id="2792" w:name="_Toc398214847"/>
      <w:bookmarkStart w:id="2793" w:name="_Toc398291537"/>
      <w:bookmarkStart w:id="2794" w:name="_Toc398291880"/>
      <w:bookmarkStart w:id="2795" w:name="_Toc398292989"/>
      <w:bookmarkStart w:id="2796" w:name="_Toc400964119"/>
      <w:bookmarkStart w:id="2797" w:name="_Toc420594685"/>
      <w:bookmarkStart w:id="2798" w:name="_Toc420928394"/>
      <w:bookmarkStart w:id="2799" w:name="_Toc421106715"/>
      <w:bookmarkStart w:id="2800" w:name="_Toc421172999"/>
      <w:bookmarkStart w:id="2801" w:name="_Toc421874306"/>
      <w:bookmarkStart w:id="2802" w:name="_Toc421885595"/>
      <w:bookmarkStart w:id="2803" w:name="_Toc421885974"/>
      <w:bookmarkStart w:id="2804" w:name="_Toc422028846"/>
      <w:bookmarkStart w:id="2805" w:name="_Toc422029758"/>
      <w:bookmarkStart w:id="2806" w:name="_Toc422150721"/>
      <w:bookmarkStart w:id="2807" w:name="_Toc423443275"/>
      <w:bookmarkStart w:id="2808" w:name="_Toc441422292"/>
      <w:bookmarkStart w:id="2809" w:name="_Ref367975614"/>
      <w:bookmarkStart w:id="2810" w:name="_Ref367975668"/>
      <w:bookmarkStart w:id="2811" w:name="_Ref367976265"/>
      <w:bookmarkStart w:id="2812" w:name="_Ref367976272"/>
      <w:bookmarkStart w:id="2813" w:name="_Ref367976286"/>
      <w:bookmarkStart w:id="2814" w:name="_Ref367976294"/>
      <w:bookmarkStart w:id="2815" w:name="_Ref367976300"/>
      <w:bookmarkStart w:id="2816" w:name="_Ref367976306"/>
      <w:bookmarkStart w:id="2817" w:name="_Toc368932252"/>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r>
        <w:rPr>
          <w:szCs w:val="22"/>
          <w:lang w:eastAsia="en-GB" w:bidi="ar-SA"/>
        </w:rPr>
        <w:t>NOTE:</w:t>
      </w:r>
      <w:r>
        <w:rPr>
          <w:szCs w:val="22"/>
          <w:lang w:eastAsia="en-GB" w:bidi="ar-SA"/>
        </w:rPr>
        <w:tab/>
        <w:t>the sending of notification to the M2M SP is conditional to authorisation of the M2M SP by the Operator owner of the Profile</w:t>
      </w:r>
    </w:p>
    <w:p w14:paraId="2D3F5932"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2818" w:name="_Toc448998246"/>
      <w:bookmarkStart w:id="2819" w:name="_Toc422150722"/>
      <w:bookmarkStart w:id="2820" w:name="_Toc421874307"/>
      <w:bookmarkStart w:id="2821" w:name="_Toc420594686"/>
      <w:bookmarkStart w:id="2822" w:name="_Toc398214848"/>
      <w:bookmarkStart w:id="2823" w:name="_Toc375158264"/>
      <w:bookmarkStart w:id="2824" w:name="_Toc374348507"/>
      <w:bookmarkStart w:id="2825" w:name="_Toc486332864"/>
      <w:bookmarkStart w:id="2826" w:name="_Toc1977333"/>
      <w:bookmarkStart w:id="2827" w:name="_Toc37062492"/>
      <w:bookmarkStart w:id="2828" w:name="_Toc88839574"/>
      <w:bookmarkStart w:id="2829" w:name="_Toc121503982"/>
      <w:r>
        <w:rPr>
          <w:rFonts w:eastAsia="Times New Roman" w:cs="Arial"/>
          <w:b/>
          <w:bCs/>
          <w:iCs/>
          <w:sz w:val="24"/>
          <w:szCs w:val="28"/>
          <w:lang w:eastAsia="en-US"/>
        </w:rPr>
        <w:lastRenderedPageBreak/>
        <w:t xml:space="preserve">Function </w:t>
      </w:r>
      <w:r>
        <w:rPr>
          <w:rFonts w:eastAsia="Times New Roman" w:cs="Arial"/>
          <w:b/>
          <w:sz w:val="24"/>
          <w:szCs w:val="28"/>
          <w:lang w:eastAsia="en-US"/>
        </w:rPr>
        <w:t>Commonalities</w:t>
      </w:r>
      <w:bookmarkEnd w:id="2775"/>
      <w:bookmarkEnd w:id="2776"/>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14:paraId="724D95E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Each functions represents an entry points that is provided by a Role (function provider), and that can be called by other Roles (function requester).</w:t>
      </w:r>
    </w:p>
    <w:p w14:paraId="257D78DF"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830" w:name="_Toc356915036"/>
      <w:bookmarkStart w:id="2831" w:name="_Toc356915566"/>
      <w:bookmarkStart w:id="2832" w:name="_Toc356918330"/>
      <w:bookmarkStart w:id="2833" w:name="_Toc356918457"/>
      <w:bookmarkStart w:id="2834" w:name="_Toc356915037"/>
      <w:bookmarkStart w:id="2835" w:name="_Toc356915567"/>
      <w:bookmarkStart w:id="2836" w:name="_Toc356918331"/>
      <w:bookmarkStart w:id="2837" w:name="_Toc356918458"/>
      <w:bookmarkStart w:id="2838" w:name="_Toc356915038"/>
      <w:bookmarkStart w:id="2839" w:name="_Toc356915568"/>
      <w:bookmarkStart w:id="2840" w:name="_Toc356918332"/>
      <w:bookmarkStart w:id="2841" w:name="_Toc356918459"/>
      <w:bookmarkStart w:id="2842" w:name="_Toc356915039"/>
      <w:bookmarkStart w:id="2843" w:name="_Toc356915569"/>
      <w:bookmarkStart w:id="2844" w:name="_Toc356918333"/>
      <w:bookmarkStart w:id="2845" w:name="_Toc356918460"/>
      <w:bookmarkStart w:id="2846" w:name="_Toc356915040"/>
      <w:bookmarkStart w:id="2847" w:name="_Toc356915570"/>
      <w:bookmarkStart w:id="2848" w:name="_Toc356918334"/>
      <w:bookmarkStart w:id="2849" w:name="_Toc356918461"/>
      <w:bookmarkStart w:id="2850" w:name="_Toc356915041"/>
      <w:bookmarkStart w:id="2851" w:name="_Toc356915571"/>
      <w:bookmarkStart w:id="2852" w:name="_Toc356918335"/>
      <w:bookmarkStart w:id="2853" w:name="_Toc356918462"/>
      <w:bookmarkStart w:id="2854" w:name="_Toc356915042"/>
      <w:bookmarkStart w:id="2855" w:name="_Toc356915572"/>
      <w:bookmarkStart w:id="2856" w:name="_Toc356918336"/>
      <w:bookmarkStart w:id="2857" w:name="_Toc356918463"/>
      <w:bookmarkStart w:id="2858" w:name="_Toc352671563"/>
      <w:bookmarkStart w:id="2859" w:name="_Ref346031679"/>
      <w:bookmarkStart w:id="2860" w:name="_Toc345955214"/>
      <w:bookmarkStart w:id="2861" w:name="_Toc448998247"/>
      <w:bookmarkStart w:id="2862" w:name="_Toc422150723"/>
      <w:bookmarkStart w:id="2863" w:name="_Toc421874308"/>
      <w:bookmarkStart w:id="2864" w:name="_Toc420594687"/>
      <w:bookmarkStart w:id="2865" w:name="_Toc398214849"/>
      <w:bookmarkStart w:id="2866" w:name="_Toc375158265"/>
      <w:bookmarkStart w:id="2867" w:name="_Toc368932253"/>
      <w:bookmarkStart w:id="2868" w:name="_Toc486332865"/>
      <w:bookmarkStart w:id="2869" w:name="_Toc1977334"/>
      <w:bookmarkStart w:id="2870" w:name="_Toc37062493"/>
      <w:bookmarkStart w:id="2871" w:name="_Toc88839575"/>
      <w:bookmarkStart w:id="2872" w:name="_Toc121503983"/>
      <w:bookmarkStart w:id="2873" w:name="_Toc345955208"/>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rPr>
          <w:rFonts w:eastAsia="Times New Roman" w:cs="Arial"/>
          <w:b/>
          <w:bCs/>
          <w:iCs/>
          <w:sz w:val="24"/>
          <w:szCs w:val="26"/>
          <w:lang w:eastAsia="en-US"/>
        </w:rPr>
        <w:t xml:space="preserve">Common </w:t>
      </w:r>
      <w:r>
        <w:rPr>
          <w:rFonts w:eastAsia="Times New Roman" w:cs="Arial"/>
          <w:b/>
          <w:sz w:val="24"/>
          <w:szCs w:val="26"/>
          <w:lang w:eastAsia="en-US"/>
        </w:rPr>
        <w:t>Data Types</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p>
    <w:p w14:paraId="5992B97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functions provided in this section deal with management of eUICC and Profile, so that the common data defined in this section need to be used in most of the functions.</w:t>
      </w:r>
    </w:p>
    <w:p w14:paraId="6CE2A5E8"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2874" w:name="_Ref445910989"/>
      <w:bookmarkStart w:id="2875" w:name="_Ref421808973"/>
      <w:bookmarkStart w:id="2876" w:name="_Toc368932254"/>
      <w:bookmarkStart w:id="2877" w:name="_Ref367976517"/>
      <w:bookmarkStart w:id="2878" w:name="_Ref367976510"/>
      <w:bookmarkStart w:id="2879" w:name="_Ref367976501"/>
      <w:bookmarkStart w:id="2880" w:name="_Ref367976493"/>
      <w:bookmarkStart w:id="2881" w:name="_Ref367976486"/>
      <w:bookmarkStart w:id="2882" w:name="_Ref367976478"/>
      <w:bookmarkStart w:id="2883" w:name="_Ref367976470"/>
      <w:bookmarkStart w:id="2884" w:name="_Ref367976462"/>
      <w:bookmarkStart w:id="2885" w:name="_Ref367976455"/>
      <w:bookmarkStart w:id="2886" w:name="_Ref367975601"/>
      <w:bookmarkStart w:id="2887" w:name="_Ref367975573"/>
      <w:bookmarkStart w:id="2888" w:name="_Ref367975485"/>
      <w:bookmarkStart w:id="2889" w:name="_Ref367975477"/>
      <w:bookmarkStart w:id="2890" w:name="_Ref367975471"/>
      <w:bookmarkStart w:id="2891" w:name="_Ref367975464"/>
      <w:bookmarkStart w:id="2892" w:name="_Ref367975458"/>
      <w:bookmarkStart w:id="2893" w:name="_Ref367975450"/>
      <w:bookmarkStart w:id="2894" w:name="_Ref367975444"/>
      <w:bookmarkStart w:id="2895" w:name="_Ref367975438"/>
      <w:bookmarkStart w:id="2896" w:name="_Ref367975431"/>
      <w:bookmarkStart w:id="2897" w:name="_Ref367975425"/>
      <w:bookmarkStart w:id="2898" w:name="_Ref367975419"/>
      <w:bookmarkStart w:id="2899" w:name="_Ref367975409"/>
      <w:bookmarkStart w:id="2900" w:name="_Ref367975399"/>
      <w:bookmarkStart w:id="2901" w:name="_Ref367975365"/>
      <w:bookmarkStart w:id="2902" w:name="_Ref367975357"/>
      <w:bookmarkStart w:id="2903" w:name="_Ref367975350"/>
      <w:bookmarkStart w:id="2904" w:name="_Ref367975309"/>
      <w:bookmarkStart w:id="2905" w:name="_Ref367975302"/>
      <w:bookmarkStart w:id="2906" w:name="_Ref367975235"/>
      <w:bookmarkStart w:id="2907" w:name="_Ref367975228"/>
      <w:bookmarkStart w:id="2908" w:name="_Ref367975182"/>
      <w:bookmarkStart w:id="2909" w:name="_Ref367975177"/>
      <w:bookmarkStart w:id="2910" w:name="_Ref367975135"/>
      <w:bookmarkStart w:id="2911" w:name="_Ref367975128"/>
      <w:bookmarkStart w:id="2912" w:name="_Ref367975122"/>
      <w:bookmarkStart w:id="2913" w:name="_Ref367975115"/>
      <w:bookmarkStart w:id="2914" w:name="_Ref367975054"/>
      <w:bookmarkStart w:id="2915" w:name="_Ref367975048"/>
      <w:bookmarkStart w:id="2916" w:name="_Ref367975019"/>
      <w:bookmarkStart w:id="2917" w:name="_Ref367975012"/>
      <w:bookmarkStart w:id="2918" w:name="_Ref367975000"/>
      <w:bookmarkStart w:id="2919" w:name="_Ref367974994"/>
      <w:bookmarkStart w:id="2920" w:name="_Ref367974988"/>
      <w:bookmarkStart w:id="2921" w:name="_Ref367974981"/>
      <w:bookmarkStart w:id="2922" w:name="_Ref367974976"/>
      <w:bookmarkStart w:id="2923" w:name="_Ref367974970"/>
      <w:bookmarkStart w:id="2924" w:name="_Ref367974963"/>
      <w:bookmarkStart w:id="2925" w:name="_Ref367974957"/>
      <w:bookmarkStart w:id="2926" w:name="_Ref367974951"/>
      <w:bookmarkStart w:id="2927" w:name="_Ref367974944"/>
      <w:bookmarkStart w:id="2928" w:name="_Ref367974937"/>
      <w:bookmarkStart w:id="2929" w:name="_Ref367974931"/>
      <w:bookmarkStart w:id="2930" w:name="_Ref367974895"/>
      <w:bookmarkStart w:id="2931" w:name="_Ref367974888"/>
      <w:bookmarkStart w:id="2932" w:name="_Ref367974854"/>
      <w:bookmarkStart w:id="2933" w:name="_Ref367974845"/>
      <w:bookmarkStart w:id="2934" w:name="_Ref367974785"/>
      <w:bookmarkStart w:id="2935" w:name="_Ref367974779"/>
      <w:bookmarkStart w:id="2936" w:name="_Ref367974730"/>
      <w:bookmarkStart w:id="2937" w:name="_Ref367974724"/>
      <w:bookmarkStart w:id="2938" w:name="_Ref367974665"/>
      <w:bookmarkStart w:id="2939" w:name="_Ref367974659"/>
      <w:bookmarkStart w:id="2940" w:name="_Ref367974632"/>
      <w:bookmarkStart w:id="2941" w:name="_Ref367974604"/>
      <w:bookmarkStart w:id="2942" w:name="_Ref367974598"/>
      <w:bookmarkStart w:id="2943" w:name="_Ref367974541"/>
      <w:bookmarkStart w:id="2944" w:name="_Ref367974535"/>
      <w:bookmarkStart w:id="2945" w:name="_Ref367974372"/>
      <w:bookmarkStart w:id="2946" w:name="_Ref367974311"/>
      <w:bookmarkStart w:id="2947" w:name="_Ref367974304"/>
      <w:bookmarkStart w:id="2948" w:name="_Ref367974245"/>
      <w:bookmarkStart w:id="2949" w:name="_Ref367974238"/>
      <w:bookmarkStart w:id="2950" w:name="_Ref367974232"/>
      <w:bookmarkStart w:id="2951" w:name="_Ref367974226"/>
      <w:bookmarkStart w:id="2952" w:name="_Ref367974192"/>
      <w:bookmarkStart w:id="2953" w:name="_Ref367974186"/>
      <w:bookmarkStart w:id="2954" w:name="_Ref367974179"/>
      <w:bookmarkStart w:id="2955" w:name="_Ref367974174"/>
      <w:bookmarkStart w:id="2956" w:name="_Ref367974168"/>
      <w:bookmarkStart w:id="2957" w:name="_Ref367974162"/>
      <w:bookmarkStart w:id="2958" w:name="_Ref367974155"/>
      <w:bookmarkStart w:id="2959" w:name="_Ref367974150"/>
      <w:bookmarkStart w:id="2960" w:name="_Ref367974144"/>
      <w:bookmarkStart w:id="2961" w:name="_Ref367974132"/>
      <w:bookmarkStart w:id="2962" w:name="_Ref367974126"/>
      <w:bookmarkStart w:id="2963" w:name="_Ref367974119"/>
      <w:bookmarkStart w:id="2964" w:name="_Ref367974108"/>
      <w:bookmarkStart w:id="2965" w:name="_Ref367974052"/>
      <w:bookmarkStart w:id="2966" w:name="_Ref367974045"/>
      <w:bookmarkStart w:id="2967" w:name="_Ref367973980"/>
      <w:bookmarkStart w:id="2968" w:name="_Ref367973974"/>
      <w:bookmarkStart w:id="2969" w:name="_Ref367973919"/>
      <w:bookmarkStart w:id="2970" w:name="_Ref367973912"/>
      <w:bookmarkStart w:id="2971" w:name="_Ref367973869"/>
      <w:bookmarkStart w:id="2972" w:name="_Ref367973831"/>
      <w:bookmarkStart w:id="2973" w:name="_Ref367973825"/>
      <w:bookmarkStart w:id="2974" w:name="_Ref367973741"/>
      <w:bookmarkStart w:id="2975" w:name="_Ref367973733"/>
      <w:bookmarkStart w:id="2976" w:name="_Ref367973666"/>
      <w:bookmarkStart w:id="2977" w:name="_Ref367973648"/>
      <w:bookmarkStart w:id="2978" w:name="_Ref367973604"/>
      <w:bookmarkStart w:id="2979" w:name="_Ref367973441"/>
      <w:bookmarkStart w:id="2980" w:name="_Ref346698423"/>
      <w:bookmarkStart w:id="2981" w:name="_Toc352671564"/>
      <w:bookmarkStart w:id="2982" w:name="_Toc1977335"/>
      <w:bookmarkStart w:id="2983" w:name="_Toc37062494"/>
      <w:r>
        <w:rPr>
          <w:rFonts w:ascii="Arial Bold" w:eastAsia="Times New Roman" w:hAnsi="Arial Bold" w:cs="Arial"/>
          <w:b/>
          <w:iCs/>
          <w:szCs w:val="28"/>
          <w:lang w:eastAsia="en-US"/>
        </w:rPr>
        <w:t xml:space="preserve">Simple </w:t>
      </w:r>
      <w:r>
        <w:rPr>
          <w:rFonts w:ascii="Arial Bold" w:eastAsia="Times New Roman" w:hAnsi="Arial Bold" w:cs="Arial"/>
          <w:szCs w:val="28"/>
          <w:lang w:eastAsia="en-US"/>
        </w:rPr>
        <w:t>Types</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B97365" w14:paraId="0C6990E1" w14:textId="77777777">
        <w:trPr>
          <w:cantSplit/>
          <w:trHeight w:val="342"/>
        </w:trPr>
        <w:tc>
          <w:tcPr>
            <w:tcW w:w="185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E03A9A5" w14:textId="77777777" w:rsidR="00B97365" w:rsidRDefault="00000000">
            <w:pPr>
              <w:jc w:val="center"/>
              <w:rPr>
                <w:rFonts w:cs="Calibri"/>
                <w:b/>
                <w:color w:val="FFFFFF"/>
                <w:sz w:val="16"/>
                <w:szCs w:val="16"/>
              </w:rPr>
            </w:pPr>
            <w:r>
              <w:rPr>
                <w:rFonts w:cs="Calibri"/>
                <w:b/>
                <w:color w:val="FFFFFF"/>
                <w:sz w:val="16"/>
                <w:szCs w:val="16"/>
              </w:rPr>
              <w:t>Type name</w:t>
            </w:r>
          </w:p>
        </w:tc>
        <w:tc>
          <w:tcPr>
            <w:tcW w:w="453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D8FFC39" w14:textId="77777777" w:rsidR="00B97365" w:rsidRDefault="00000000">
            <w:pPr>
              <w:jc w:val="center"/>
              <w:rPr>
                <w:rFonts w:cs="Calibri"/>
                <w:b/>
                <w:color w:val="FFFFFF"/>
                <w:sz w:val="16"/>
                <w:szCs w:val="16"/>
              </w:rPr>
            </w:pPr>
            <w:r>
              <w:rPr>
                <w:rFonts w:cs="Calibri"/>
                <w:b/>
                <w:color w:val="FFFFFF"/>
                <w:sz w:val="16"/>
                <w:szCs w:val="16"/>
              </w:rPr>
              <w:t>Description</w:t>
            </w:r>
          </w:p>
        </w:tc>
        <w:tc>
          <w:tcPr>
            <w:tcW w:w="3262"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7CC1C62" w14:textId="77777777" w:rsidR="00B97365" w:rsidRDefault="00000000">
            <w:pPr>
              <w:jc w:val="center"/>
              <w:rPr>
                <w:rFonts w:cs="Calibri"/>
                <w:b/>
                <w:color w:val="FFFFFF"/>
                <w:sz w:val="16"/>
                <w:szCs w:val="16"/>
              </w:rPr>
            </w:pPr>
            <w:r>
              <w:rPr>
                <w:rFonts w:cs="Calibri"/>
                <w:b/>
                <w:color w:val="FFFFFF"/>
                <w:sz w:val="16"/>
                <w:szCs w:val="16"/>
              </w:rPr>
              <w:t>Type definition</w:t>
            </w:r>
          </w:p>
        </w:tc>
      </w:tr>
      <w:tr w:rsidR="00B97365" w14:paraId="26A75AE2"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48E7C0D5" w14:textId="77777777" w:rsidR="00B97365" w:rsidRDefault="00000000">
            <w:pPr>
              <w:rPr>
                <w:rFonts w:cs="Calibri"/>
                <w:sz w:val="16"/>
                <w:szCs w:val="16"/>
              </w:rPr>
            </w:pPr>
            <w:r>
              <w:rPr>
                <w:rFonts w:cs="Calibri"/>
                <w:sz w:val="16"/>
                <w:szCs w:val="16"/>
              </w:rPr>
              <w:t>Hexadecimal  String</w:t>
            </w:r>
          </w:p>
        </w:tc>
        <w:tc>
          <w:tcPr>
            <w:tcW w:w="4539" w:type="dxa"/>
            <w:tcBorders>
              <w:top w:val="single" w:sz="6" w:space="0" w:color="auto"/>
              <w:left w:val="single" w:sz="6" w:space="0" w:color="auto"/>
              <w:bottom w:val="single" w:sz="6" w:space="0" w:color="auto"/>
              <w:right w:val="single" w:sz="6" w:space="0" w:color="auto"/>
            </w:tcBorders>
            <w:hideMark/>
          </w:tcPr>
          <w:p w14:paraId="7DDD94F3" w14:textId="77777777" w:rsidR="00B97365" w:rsidRDefault="00000000">
            <w:pPr>
              <w:rPr>
                <w:rFonts w:cs="Calibri"/>
                <w:sz w:val="16"/>
                <w:szCs w:val="16"/>
              </w:rPr>
            </w:pPr>
            <w:r>
              <w:rPr>
                <w:rFonts w:cs="Calibri"/>
                <w:sz w:val="16"/>
                <w:szCs w:val="16"/>
              </w:rPr>
              <w:t xml:space="preserve">String of even length composed of characters between ‘0’ to ‘9’ and ‘A’ to ‘F’ or ‘a’ to ‘f’. </w:t>
            </w:r>
          </w:p>
        </w:tc>
        <w:tc>
          <w:tcPr>
            <w:tcW w:w="3262" w:type="dxa"/>
            <w:tcBorders>
              <w:top w:val="single" w:sz="6" w:space="0" w:color="auto"/>
              <w:left w:val="single" w:sz="6" w:space="0" w:color="auto"/>
              <w:bottom w:val="single" w:sz="6" w:space="0" w:color="auto"/>
              <w:right w:val="single" w:sz="4" w:space="0" w:color="auto"/>
            </w:tcBorders>
            <w:vAlign w:val="center"/>
          </w:tcPr>
          <w:p w14:paraId="38A82BDC" w14:textId="77777777" w:rsidR="00B97365" w:rsidRDefault="00B97365">
            <w:pPr>
              <w:rPr>
                <w:rFonts w:cs="Calibri"/>
                <w:sz w:val="16"/>
                <w:szCs w:val="16"/>
              </w:rPr>
            </w:pPr>
          </w:p>
        </w:tc>
      </w:tr>
      <w:tr w:rsidR="00B97365" w14:paraId="3FD30B19"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7D566045" w14:textId="77777777" w:rsidR="00B97365" w:rsidRDefault="00000000">
            <w:pPr>
              <w:rPr>
                <w:rFonts w:cs="Calibri"/>
                <w:sz w:val="16"/>
                <w:szCs w:val="16"/>
              </w:rPr>
            </w:pPr>
            <w:r>
              <w:rPr>
                <w:rFonts w:cs="Calibri"/>
                <w:sz w:val="16"/>
                <w:szCs w:val="16"/>
              </w:rPr>
              <w:t>AID</w:t>
            </w:r>
          </w:p>
        </w:tc>
        <w:tc>
          <w:tcPr>
            <w:tcW w:w="4539" w:type="dxa"/>
            <w:tcBorders>
              <w:top w:val="single" w:sz="6" w:space="0" w:color="auto"/>
              <w:left w:val="single" w:sz="6" w:space="0" w:color="auto"/>
              <w:bottom w:val="single" w:sz="6" w:space="0" w:color="auto"/>
              <w:right w:val="single" w:sz="6" w:space="0" w:color="auto"/>
            </w:tcBorders>
            <w:hideMark/>
          </w:tcPr>
          <w:p w14:paraId="75B844E7" w14:textId="77777777" w:rsidR="00B97365" w:rsidRDefault="00000000">
            <w:pPr>
              <w:rPr>
                <w:rFonts w:cs="Calibri"/>
                <w:sz w:val="16"/>
                <w:szCs w:val="16"/>
              </w:rPr>
            </w:pPr>
            <w:r>
              <w:rPr>
                <w:rFonts w:cs="Calibri"/>
                <w:sz w:val="16"/>
                <w:szCs w:val="16"/>
              </w:rPr>
              <w:t>The AID (Application IDentifier) of an Executable Load File, an Executable Module, a security domain, or an Application.</w:t>
            </w:r>
          </w:p>
        </w:tc>
        <w:tc>
          <w:tcPr>
            <w:tcW w:w="3262" w:type="dxa"/>
            <w:tcBorders>
              <w:top w:val="single" w:sz="6" w:space="0" w:color="auto"/>
              <w:left w:val="single" w:sz="6" w:space="0" w:color="auto"/>
              <w:bottom w:val="single" w:sz="6" w:space="0" w:color="auto"/>
              <w:right w:val="single" w:sz="4" w:space="0" w:color="auto"/>
            </w:tcBorders>
            <w:vAlign w:val="center"/>
            <w:hideMark/>
          </w:tcPr>
          <w:p w14:paraId="39384C47" w14:textId="77777777" w:rsidR="00B97365" w:rsidRDefault="00000000">
            <w:pPr>
              <w:rPr>
                <w:rFonts w:cs="Calibri"/>
                <w:sz w:val="16"/>
                <w:szCs w:val="16"/>
              </w:rPr>
            </w:pPr>
            <w:r>
              <w:rPr>
                <w:rFonts w:cs="Calibri"/>
                <w:sz w:val="16"/>
                <w:szCs w:val="16"/>
              </w:rPr>
              <w:t>Hexadecimal string representation of 5 to 16 bytes.</w:t>
            </w:r>
          </w:p>
        </w:tc>
      </w:tr>
      <w:tr w:rsidR="00B97365" w14:paraId="1C493A9E"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1E5D869D" w14:textId="77777777" w:rsidR="00B97365" w:rsidRDefault="00000000">
            <w:pPr>
              <w:rPr>
                <w:rFonts w:cs="Calibri"/>
                <w:sz w:val="16"/>
                <w:szCs w:val="16"/>
              </w:rPr>
            </w:pPr>
            <w:r>
              <w:rPr>
                <w:rFonts w:cs="Calibri"/>
                <w:sz w:val="16"/>
                <w:szCs w:val="16"/>
              </w:rPr>
              <w:t>DATETIME</w:t>
            </w:r>
          </w:p>
        </w:tc>
        <w:tc>
          <w:tcPr>
            <w:tcW w:w="4539" w:type="dxa"/>
            <w:tcBorders>
              <w:top w:val="single" w:sz="6" w:space="0" w:color="auto"/>
              <w:left w:val="single" w:sz="6" w:space="0" w:color="auto"/>
              <w:bottom w:val="single" w:sz="6" w:space="0" w:color="auto"/>
              <w:right w:val="single" w:sz="6" w:space="0" w:color="auto"/>
            </w:tcBorders>
            <w:hideMark/>
          </w:tcPr>
          <w:p w14:paraId="05020849" w14:textId="77777777" w:rsidR="00B97365" w:rsidRDefault="00000000">
            <w:pPr>
              <w:rPr>
                <w:rFonts w:cs="Calibri"/>
                <w:sz w:val="16"/>
                <w:szCs w:val="16"/>
              </w:rPr>
            </w:pPr>
            <w:r>
              <w:rPr>
                <w:rFonts w:cs="Calibri"/>
                <w:sz w:val="16"/>
                <w:szCs w:val="16"/>
              </w:rPr>
              <w:t>Any date and time used within any interface of this specification</w:t>
            </w:r>
          </w:p>
        </w:tc>
        <w:tc>
          <w:tcPr>
            <w:tcW w:w="3262" w:type="dxa"/>
            <w:tcBorders>
              <w:top w:val="single" w:sz="6" w:space="0" w:color="auto"/>
              <w:left w:val="single" w:sz="6" w:space="0" w:color="auto"/>
              <w:bottom w:val="single" w:sz="6" w:space="0" w:color="auto"/>
              <w:right w:val="single" w:sz="4" w:space="0" w:color="auto"/>
            </w:tcBorders>
            <w:hideMark/>
          </w:tcPr>
          <w:p w14:paraId="3A04846E" w14:textId="77777777" w:rsidR="00B97365" w:rsidRDefault="00000000">
            <w:pPr>
              <w:rPr>
                <w:rFonts w:cs="Calibri"/>
                <w:sz w:val="16"/>
                <w:szCs w:val="16"/>
              </w:rPr>
            </w:pPr>
            <w:r>
              <w:rPr>
                <w:rFonts w:cs="Calibri"/>
                <w:sz w:val="16"/>
                <w:szCs w:val="16"/>
              </w:rPr>
              <w:t>String format as specified by W3C:</w:t>
            </w:r>
          </w:p>
          <w:p w14:paraId="5A59345F" w14:textId="77777777" w:rsidR="00B97365" w:rsidRDefault="00000000">
            <w:pPr>
              <w:rPr>
                <w:rFonts w:cs="Calibri"/>
                <w:sz w:val="16"/>
                <w:szCs w:val="16"/>
              </w:rPr>
            </w:pPr>
            <w:r>
              <w:rPr>
                <w:rFonts w:cs="Calibri"/>
                <w:sz w:val="16"/>
                <w:szCs w:val="16"/>
              </w:rPr>
              <w:t>YYYY-MM-DDThh:mm:ssTZD</w:t>
            </w:r>
            <w:r>
              <w:rPr>
                <w:rFonts w:cs="Calibri"/>
                <w:sz w:val="16"/>
                <w:szCs w:val="16"/>
              </w:rPr>
              <w:br/>
            </w:r>
          </w:p>
          <w:p w14:paraId="2B3AF422" w14:textId="77777777" w:rsidR="00B97365" w:rsidRDefault="00000000">
            <w:pPr>
              <w:rPr>
                <w:rFonts w:cs="Calibri"/>
                <w:sz w:val="16"/>
                <w:szCs w:val="16"/>
              </w:rPr>
            </w:pPr>
            <w:r>
              <w:rPr>
                <w:rFonts w:cs="Calibri"/>
                <w:sz w:val="16"/>
                <w:szCs w:val="16"/>
              </w:rPr>
              <w:t>Where:</w:t>
            </w:r>
            <w:r>
              <w:rPr>
                <w:rFonts w:cs="Calibri"/>
                <w:sz w:val="16"/>
                <w:szCs w:val="16"/>
              </w:rPr>
              <w:br/>
              <w:t>YYYY = four-digit year</w:t>
            </w:r>
            <w:r>
              <w:rPr>
                <w:rFonts w:cs="Calibri"/>
                <w:sz w:val="16"/>
                <w:szCs w:val="16"/>
              </w:rPr>
              <w:br/>
              <w:t>MM = two-digit month (01=Jan, etc.)</w:t>
            </w:r>
            <w:r>
              <w:rPr>
                <w:rFonts w:cs="Calibri"/>
                <w:sz w:val="16"/>
                <w:szCs w:val="16"/>
              </w:rPr>
              <w:br/>
              <w:t>DD = two-digit day of month (01-31)</w:t>
            </w:r>
            <w:r>
              <w:rPr>
                <w:rFonts w:cs="Calibri"/>
                <w:sz w:val="16"/>
                <w:szCs w:val="16"/>
              </w:rPr>
              <w:br/>
              <w:t>hh = two digits of hour (00 -23)</w:t>
            </w:r>
            <w:r>
              <w:rPr>
                <w:rFonts w:cs="Calibri"/>
                <w:sz w:val="16"/>
                <w:szCs w:val="16"/>
              </w:rPr>
              <w:br/>
              <w:t>mm  = two digits of minute (00 - 59)</w:t>
            </w:r>
            <w:r>
              <w:rPr>
                <w:rFonts w:cs="Calibri"/>
                <w:sz w:val="16"/>
                <w:szCs w:val="16"/>
              </w:rPr>
              <w:br/>
              <w:t>ss = two digits of second (00 - 59)</w:t>
            </w:r>
            <w:r>
              <w:rPr>
                <w:rFonts w:cs="Calibri"/>
                <w:sz w:val="16"/>
                <w:szCs w:val="16"/>
              </w:rPr>
              <w:br/>
              <w:t>TZD  = time zone designator (Z, +hh:mm or -hh:mm)</w:t>
            </w:r>
          </w:p>
          <w:p w14:paraId="0FB48B1B" w14:textId="77777777" w:rsidR="00B97365" w:rsidRDefault="00000000">
            <w:pPr>
              <w:rPr>
                <w:rFonts w:cs="Calibri"/>
                <w:sz w:val="16"/>
                <w:szCs w:val="16"/>
              </w:rPr>
            </w:pPr>
            <w:r>
              <w:rPr>
                <w:rFonts w:cs="Calibri"/>
                <w:sz w:val="16"/>
                <w:szCs w:val="16"/>
              </w:rPr>
              <w:t>Ex: 2001-12-17T09:30:47Z</w:t>
            </w:r>
          </w:p>
        </w:tc>
      </w:tr>
      <w:tr w:rsidR="00B97365" w14:paraId="31064E37"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405A6E87" w14:textId="77777777" w:rsidR="00B97365" w:rsidRDefault="00000000">
            <w:pPr>
              <w:rPr>
                <w:rFonts w:cs="Calibri"/>
                <w:sz w:val="16"/>
                <w:szCs w:val="16"/>
              </w:rPr>
            </w:pPr>
            <w:r>
              <w:rPr>
                <w:rFonts w:cs="Calibri"/>
                <w:sz w:val="16"/>
                <w:szCs w:val="16"/>
              </w:rPr>
              <w:t>EID</w:t>
            </w:r>
          </w:p>
        </w:tc>
        <w:tc>
          <w:tcPr>
            <w:tcW w:w="4539" w:type="dxa"/>
            <w:tcBorders>
              <w:top w:val="single" w:sz="6" w:space="0" w:color="auto"/>
              <w:left w:val="single" w:sz="6" w:space="0" w:color="auto"/>
              <w:bottom w:val="single" w:sz="6" w:space="0" w:color="auto"/>
              <w:right w:val="single" w:sz="6" w:space="0" w:color="auto"/>
            </w:tcBorders>
            <w:vAlign w:val="center"/>
            <w:hideMark/>
          </w:tcPr>
          <w:p w14:paraId="684F148C" w14:textId="48B59513" w:rsidR="00B97365" w:rsidRDefault="00000000">
            <w:pPr>
              <w:rPr>
                <w:rFonts w:cs="Calibri"/>
                <w:sz w:val="16"/>
                <w:szCs w:val="16"/>
              </w:rPr>
            </w:pPr>
            <w:r>
              <w:rPr>
                <w:rFonts w:cs="Calibri"/>
                <w:sz w:val="16"/>
                <w:szCs w:val="16"/>
              </w:rPr>
              <w:t xml:space="preserve">The EID type is for representing an eUICC-ID. An eUICC-ID is primarily used in the “Embedded UICC Remote Provisioning and Management System” to identify an eUICC. See section </w:t>
            </w:r>
            <w:r>
              <w:fldChar w:fldCharType="begin"/>
            </w:r>
            <w:r>
              <w:instrText xml:space="preserve"> REF _Ref367973284 \r \h  \* MERGEFORMAT </w:instrText>
            </w:r>
            <w:r>
              <w:fldChar w:fldCharType="separate"/>
            </w:r>
            <w:r w:rsidR="001D5AD9" w:rsidRPr="001D5AD9">
              <w:rPr>
                <w:rFonts w:cs="Calibri"/>
                <w:sz w:val="16"/>
                <w:szCs w:val="16"/>
              </w:rPr>
              <w:t>2.2.2</w:t>
            </w:r>
            <w:r>
              <w:fldChar w:fldCharType="end"/>
            </w:r>
            <w:r>
              <w:rPr>
                <w:rFonts w:cs="Calibri"/>
                <w:sz w:val="16"/>
                <w:szCs w:val="16"/>
              </w:rPr>
              <w:t xml:space="preserve"> for EID description.</w:t>
            </w:r>
          </w:p>
        </w:tc>
        <w:tc>
          <w:tcPr>
            <w:tcW w:w="3262" w:type="dxa"/>
            <w:tcBorders>
              <w:top w:val="single" w:sz="6" w:space="0" w:color="auto"/>
              <w:left w:val="single" w:sz="6" w:space="0" w:color="auto"/>
              <w:bottom w:val="single" w:sz="6" w:space="0" w:color="auto"/>
              <w:right w:val="single" w:sz="4" w:space="0" w:color="auto"/>
            </w:tcBorders>
            <w:vAlign w:val="center"/>
            <w:hideMark/>
          </w:tcPr>
          <w:p w14:paraId="3CD42117" w14:textId="77777777" w:rsidR="00B97365" w:rsidRDefault="00000000">
            <w:pPr>
              <w:rPr>
                <w:rFonts w:cs="Calibri"/>
                <w:sz w:val="16"/>
                <w:szCs w:val="16"/>
              </w:rPr>
            </w:pPr>
            <w:r>
              <w:rPr>
                <w:rFonts w:cs="Calibri"/>
                <w:sz w:val="16"/>
                <w:szCs w:val="16"/>
              </w:rPr>
              <w:t>Hexadecimal string</w:t>
            </w:r>
          </w:p>
        </w:tc>
      </w:tr>
      <w:tr w:rsidR="00B97365" w14:paraId="1024DE5C"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59F36C2B" w14:textId="77777777" w:rsidR="00B97365" w:rsidRDefault="00000000">
            <w:pPr>
              <w:rPr>
                <w:rFonts w:cs="Calibri"/>
                <w:sz w:val="16"/>
                <w:szCs w:val="16"/>
              </w:rPr>
            </w:pPr>
            <w:r>
              <w:rPr>
                <w:rFonts w:cs="Calibri"/>
                <w:sz w:val="16"/>
                <w:szCs w:val="16"/>
              </w:rPr>
              <w:t>ICCID</w:t>
            </w:r>
          </w:p>
        </w:tc>
        <w:tc>
          <w:tcPr>
            <w:tcW w:w="4539" w:type="dxa"/>
            <w:tcBorders>
              <w:top w:val="single" w:sz="6" w:space="0" w:color="auto"/>
              <w:left w:val="single" w:sz="6" w:space="0" w:color="auto"/>
              <w:bottom w:val="single" w:sz="6" w:space="0" w:color="auto"/>
              <w:right w:val="single" w:sz="6" w:space="0" w:color="auto"/>
            </w:tcBorders>
            <w:vAlign w:val="center"/>
            <w:hideMark/>
          </w:tcPr>
          <w:p w14:paraId="6A89A5CE" w14:textId="77777777" w:rsidR="00B97365" w:rsidRDefault="00000000">
            <w:pPr>
              <w:rPr>
                <w:rFonts w:cs="Calibri"/>
                <w:sz w:val="16"/>
                <w:szCs w:val="16"/>
              </w:rPr>
            </w:pPr>
            <w:r>
              <w:rPr>
                <w:rFonts w:cs="Calibri"/>
                <w:sz w:val="16"/>
                <w:szCs w:val="16"/>
              </w:rPr>
              <w:t xml:space="preserve">The ICCID type is for representing an ICCID </w:t>
            </w:r>
            <w:r>
              <w:rPr>
                <w:rFonts w:cs="Calibri"/>
                <w:bCs/>
                <w:color w:val="000000"/>
                <w:sz w:val="16"/>
                <w:szCs w:val="16"/>
              </w:rPr>
              <w:t xml:space="preserve">(Integrated Circuit Card IDentifier). The ICCID </w:t>
            </w:r>
            <w:r>
              <w:rPr>
                <w:rFonts w:cs="Calibri"/>
                <w:sz w:val="16"/>
                <w:szCs w:val="16"/>
              </w:rPr>
              <w:t>is primarily used to identify a Profile.</w:t>
            </w:r>
          </w:p>
          <w:p w14:paraId="3DAAB72A" w14:textId="15015004" w:rsidR="00B97365" w:rsidRDefault="00000000">
            <w:pPr>
              <w:rPr>
                <w:rFonts w:cs="Calibri"/>
                <w:sz w:val="16"/>
                <w:szCs w:val="16"/>
              </w:rPr>
            </w:pPr>
            <w:r>
              <w:rPr>
                <w:rFonts w:cs="Calibri"/>
                <w:sz w:val="16"/>
                <w:szCs w:val="16"/>
              </w:rPr>
              <w:t xml:space="preserve">ICCID is defined according to ITU-T recommendation E.118 </w:t>
            </w:r>
            <w:r>
              <w:fldChar w:fldCharType="begin"/>
            </w:r>
            <w:r>
              <w:rPr>
                <w:rFonts w:cs="Calibri"/>
                <w:sz w:val="16"/>
                <w:szCs w:val="16"/>
              </w:rPr>
              <w:instrText xml:space="preserve"> REF _Ref421631787 \r \h </w:instrText>
            </w:r>
            <w:r>
              <w:fldChar w:fldCharType="separate"/>
            </w:r>
            <w:r w:rsidR="001D5AD9">
              <w:rPr>
                <w:rFonts w:cs="Calibri"/>
                <w:sz w:val="16"/>
                <w:szCs w:val="16"/>
              </w:rPr>
              <w:t>[21]</w:t>
            </w:r>
            <w:r>
              <w:fldChar w:fldCharType="end"/>
            </w:r>
            <w:r>
              <w:rPr>
                <w:rFonts w:cs="Calibri"/>
                <w:sz w:val="16"/>
                <w:szCs w:val="16"/>
              </w:rPr>
              <w:t xml:space="preserve"> , with the derivation that up to 20 digits are allowed.</w:t>
            </w:r>
          </w:p>
        </w:tc>
        <w:tc>
          <w:tcPr>
            <w:tcW w:w="3262" w:type="dxa"/>
            <w:tcBorders>
              <w:top w:val="single" w:sz="6" w:space="0" w:color="auto"/>
              <w:left w:val="single" w:sz="6" w:space="0" w:color="auto"/>
              <w:bottom w:val="single" w:sz="6" w:space="0" w:color="auto"/>
              <w:right w:val="single" w:sz="4" w:space="0" w:color="auto"/>
            </w:tcBorders>
            <w:vAlign w:val="center"/>
            <w:hideMark/>
          </w:tcPr>
          <w:p w14:paraId="59418C3D" w14:textId="77777777" w:rsidR="00B97365" w:rsidRDefault="00000000">
            <w:pPr>
              <w:rPr>
                <w:rFonts w:cs="Calibri"/>
                <w:sz w:val="16"/>
                <w:szCs w:val="16"/>
              </w:rPr>
            </w:pPr>
            <w:r>
              <w:rPr>
                <w:rFonts w:cs="Calibri"/>
                <w:sz w:val="16"/>
                <w:szCs w:val="16"/>
              </w:rPr>
              <w:t>String representation of up to 20 decimal digits, non-swapped.</w:t>
            </w:r>
          </w:p>
          <w:p w14:paraId="42ADF306" w14:textId="77777777" w:rsidR="00B97365" w:rsidRDefault="00000000">
            <w:pPr>
              <w:rPr>
                <w:rFonts w:cs="Calibri"/>
                <w:sz w:val="16"/>
                <w:szCs w:val="16"/>
              </w:rPr>
            </w:pPr>
            <w:r>
              <w:rPr>
                <w:rFonts w:cs="Calibri"/>
                <w:sz w:val="16"/>
                <w:szCs w:val="16"/>
              </w:rPr>
              <w:t>Ex: 8947010008, 8947010000123456784.</w:t>
            </w:r>
          </w:p>
          <w:p w14:paraId="2651187B" w14:textId="77777777" w:rsidR="00B97365" w:rsidRDefault="00000000">
            <w:pPr>
              <w:rPr>
                <w:rFonts w:cs="Calibri"/>
                <w:sz w:val="16"/>
                <w:szCs w:val="16"/>
              </w:rPr>
            </w:pPr>
            <w:r>
              <w:rPr>
                <w:rFonts w:cs="Calibri"/>
                <w:sz w:val="16"/>
                <w:szCs w:val="16"/>
              </w:rPr>
              <w:t>89470100001234567846</w:t>
            </w:r>
          </w:p>
        </w:tc>
      </w:tr>
      <w:tr w:rsidR="00B97365" w14:paraId="4702E5B4"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71732152" w14:textId="77777777" w:rsidR="00B97365" w:rsidRDefault="00000000">
            <w:pPr>
              <w:spacing w:after="60"/>
              <w:rPr>
                <w:rFonts w:eastAsia="Times New Roman" w:cs="Calibri"/>
                <w:sz w:val="16"/>
                <w:szCs w:val="16"/>
              </w:rPr>
            </w:pPr>
            <w:r>
              <w:rPr>
                <w:rFonts w:cs="Calibri"/>
                <w:sz w:val="16"/>
                <w:szCs w:val="16"/>
              </w:rPr>
              <w:t>KCV</w:t>
            </w:r>
          </w:p>
        </w:tc>
        <w:tc>
          <w:tcPr>
            <w:tcW w:w="4539" w:type="dxa"/>
            <w:tcBorders>
              <w:top w:val="single" w:sz="6" w:space="0" w:color="auto"/>
              <w:left w:val="single" w:sz="6" w:space="0" w:color="auto"/>
              <w:bottom w:val="single" w:sz="6" w:space="0" w:color="auto"/>
              <w:right w:val="single" w:sz="6" w:space="0" w:color="auto"/>
            </w:tcBorders>
            <w:vAlign w:val="center"/>
            <w:hideMark/>
          </w:tcPr>
          <w:p w14:paraId="68D245F1" w14:textId="11CEC0D2" w:rsidR="00B97365" w:rsidRDefault="00000000">
            <w:pPr>
              <w:spacing w:after="60"/>
              <w:rPr>
                <w:rFonts w:eastAsia="Times New Roman" w:cs="Calibri"/>
                <w:sz w:val="16"/>
                <w:szCs w:val="16"/>
              </w:rPr>
            </w:pPr>
            <w:r>
              <w:rPr>
                <w:rFonts w:cs="Calibri"/>
                <w:sz w:val="16"/>
                <w:szCs w:val="16"/>
              </w:rPr>
              <w:t xml:space="preserve">The KCV stands for "Key Check Value". It provides the material for receiving entity to ensure that it uses the same key value as the sending entity. See </w:t>
            </w:r>
            <w:r>
              <w:fldChar w:fldCharType="begin"/>
            </w:r>
            <w:r>
              <w:rPr>
                <w:rFonts w:cs="Calibri"/>
                <w:sz w:val="16"/>
                <w:szCs w:val="16"/>
              </w:rPr>
              <w:instrText xml:space="preserve"> REF _Ref421658965 \r \h </w:instrText>
            </w:r>
            <w:r>
              <w:fldChar w:fldCharType="separate"/>
            </w:r>
            <w:r w:rsidR="001D5AD9">
              <w:rPr>
                <w:rFonts w:cs="Calibri"/>
                <w:sz w:val="16"/>
                <w:szCs w:val="16"/>
              </w:rPr>
              <w:t>Annex F</w:t>
            </w:r>
            <w:r>
              <w:fldChar w:fldCharType="end"/>
            </w:r>
            <w:r>
              <w:rPr>
                <w:rFonts w:cs="Calibri"/>
                <w:sz w:val="16"/>
                <w:szCs w:val="16"/>
              </w:rPr>
              <w:t xml:space="preserve"> for detail of KCV computation.</w:t>
            </w:r>
          </w:p>
        </w:tc>
        <w:tc>
          <w:tcPr>
            <w:tcW w:w="3262" w:type="dxa"/>
            <w:tcBorders>
              <w:top w:val="single" w:sz="6" w:space="0" w:color="auto"/>
              <w:left w:val="single" w:sz="6" w:space="0" w:color="auto"/>
              <w:bottom w:val="single" w:sz="6" w:space="0" w:color="auto"/>
              <w:right w:val="single" w:sz="4" w:space="0" w:color="auto"/>
            </w:tcBorders>
            <w:vAlign w:val="center"/>
            <w:hideMark/>
          </w:tcPr>
          <w:p w14:paraId="65D211D4" w14:textId="77777777" w:rsidR="00B97365" w:rsidRDefault="00000000">
            <w:pPr>
              <w:spacing w:after="60"/>
              <w:rPr>
                <w:rFonts w:eastAsia="Times New Roman" w:cs="Calibri"/>
                <w:sz w:val="16"/>
                <w:szCs w:val="16"/>
              </w:rPr>
            </w:pPr>
            <w:r>
              <w:rPr>
                <w:rFonts w:cs="Calibri"/>
                <w:sz w:val="16"/>
                <w:szCs w:val="16"/>
              </w:rPr>
              <w:t xml:space="preserve">Hexadecimal string </w:t>
            </w:r>
          </w:p>
        </w:tc>
      </w:tr>
      <w:tr w:rsidR="00B97365" w14:paraId="194417CC"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5533159D" w14:textId="77777777" w:rsidR="00B97365" w:rsidRDefault="00000000">
            <w:pPr>
              <w:rPr>
                <w:rFonts w:cs="Calibri"/>
                <w:sz w:val="16"/>
                <w:szCs w:val="16"/>
              </w:rPr>
            </w:pPr>
            <w:r>
              <w:rPr>
                <w:rFonts w:cs="Calibri"/>
                <w:sz w:val="16"/>
                <w:szCs w:val="16"/>
              </w:rPr>
              <w:t>MSISDN</w:t>
            </w:r>
          </w:p>
        </w:tc>
        <w:tc>
          <w:tcPr>
            <w:tcW w:w="4539" w:type="dxa"/>
            <w:tcBorders>
              <w:top w:val="single" w:sz="6" w:space="0" w:color="auto"/>
              <w:left w:val="single" w:sz="6" w:space="0" w:color="auto"/>
              <w:bottom w:val="single" w:sz="6" w:space="0" w:color="auto"/>
              <w:right w:val="single" w:sz="6" w:space="0" w:color="auto"/>
            </w:tcBorders>
            <w:vAlign w:val="center"/>
            <w:hideMark/>
          </w:tcPr>
          <w:p w14:paraId="23D0FF1B" w14:textId="77777777" w:rsidR="00B97365" w:rsidRDefault="00000000">
            <w:pPr>
              <w:rPr>
                <w:rFonts w:cs="Calibri"/>
                <w:sz w:val="16"/>
                <w:szCs w:val="16"/>
              </w:rPr>
            </w:pPr>
            <w:r>
              <w:rPr>
                <w:rFonts w:cs="Calibri"/>
                <w:sz w:val="16"/>
                <w:szCs w:val="16"/>
              </w:rPr>
              <w:t>The Mobile Station ISDN (Integrated Services Digital Network) Number</w:t>
            </w:r>
          </w:p>
        </w:tc>
        <w:tc>
          <w:tcPr>
            <w:tcW w:w="3262" w:type="dxa"/>
            <w:tcBorders>
              <w:top w:val="single" w:sz="6" w:space="0" w:color="auto"/>
              <w:left w:val="single" w:sz="6" w:space="0" w:color="auto"/>
              <w:bottom w:val="single" w:sz="6" w:space="0" w:color="auto"/>
              <w:right w:val="single" w:sz="4" w:space="0" w:color="auto"/>
            </w:tcBorders>
            <w:vAlign w:val="center"/>
            <w:hideMark/>
          </w:tcPr>
          <w:p w14:paraId="23D764D5" w14:textId="699AF9A1" w:rsidR="00B97365" w:rsidRDefault="00000000">
            <w:pPr>
              <w:rPr>
                <w:rFonts w:cs="Calibri"/>
                <w:sz w:val="16"/>
                <w:szCs w:val="16"/>
              </w:rPr>
            </w:pPr>
            <w:r>
              <w:rPr>
                <w:rFonts w:cs="Calibri"/>
                <w:sz w:val="16"/>
                <w:szCs w:val="16"/>
              </w:rPr>
              <w:t xml:space="preserve">String representation of up to 15 decimal digits, as defined in </w:t>
            </w:r>
            <w:r>
              <w:fldChar w:fldCharType="begin"/>
            </w:r>
            <w:r>
              <w:rPr>
                <w:rFonts w:cs="Calibri"/>
                <w:sz w:val="16"/>
                <w:szCs w:val="16"/>
              </w:rPr>
              <w:instrText xml:space="preserve"> REF _Ref421634816 \r \h </w:instrText>
            </w:r>
            <w:r>
              <w:fldChar w:fldCharType="separate"/>
            </w:r>
            <w:r w:rsidR="001D5AD9">
              <w:rPr>
                <w:rFonts w:cs="Calibri"/>
                <w:sz w:val="16"/>
                <w:szCs w:val="16"/>
              </w:rPr>
              <w:t>[22]</w:t>
            </w:r>
            <w:r>
              <w:fldChar w:fldCharType="end"/>
            </w:r>
          </w:p>
        </w:tc>
      </w:tr>
      <w:tr w:rsidR="00B97365" w14:paraId="2C227168"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6451AD79" w14:textId="77777777" w:rsidR="00B97365" w:rsidRDefault="00000000">
            <w:pPr>
              <w:spacing w:after="60"/>
              <w:rPr>
                <w:rFonts w:eastAsia="Times New Roman" w:cs="Calibri"/>
                <w:sz w:val="16"/>
                <w:szCs w:val="16"/>
              </w:rPr>
            </w:pPr>
            <w:r>
              <w:rPr>
                <w:rFonts w:cs="Calibri"/>
                <w:sz w:val="16"/>
                <w:szCs w:val="16"/>
              </w:rPr>
              <w:t>IMSI</w:t>
            </w:r>
          </w:p>
        </w:tc>
        <w:tc>
          <w:tcPr>
            <w:tcW w:w="4539" w:type="dxa"/>
            <w:tcBorders>
              <w:top w:val="single" w:sz="6" w:space="0" w:color="auto"/>
              <w:left w:val="single" w:sz="6" w:space="0" w:color="auto"/>
              <w:bottom w:val="single" w:sz="6" w:space="0" w:color="auto"/>
              <w:right w:val="single" w:sz="6" w:space="0" w:color="auto"/>
            </w:tcBorders>
            <w:vAlign w:val="center"/>
            <w:hideMark/>
          </w:tcPr>
          <w:p w14:paraId="2C78D5EC" w14:textId="77777777" w:rsidR="00B97365" w:rsidRDefault="00000000">
            <w:pPr>
              <w:spacing w:after="60"/>
              <w:rPr>
                <w:rFonts w:eastAsia="Times New Roman" w:cs="Calibri"/>
                <w:sz w:val="16"/>
                <w:szCs w:val="16"/>
              </w:rPr>
            </w:pPr>
            <w:r>
              <w:rPr>
                <w:rFonts w:cs="Calibri"/>
                <w:sz w:val="16"/>
                <w:szCs w:val="16"/>
              </w:rPr>
              <w:t>The IMSI (International Mobile Subscriber Identity) used to identify the Subscriber of a Mobile Subscription.</w:t>
            </w:r>
          </w:p>
        </w:tc>
        <w:tc>
          <w:tcPr>
            <w:tcW w:w="3262" w:type="dxa"/>
            <w:tcBorders>
              <w:top w:val="single" w:sz="6" w:space="0" w:color="auto"/>
              <w:left w:val="single" w:sz="6" w:space="0" w:color="auto"/>
              <w:bottom w:val="single" w:sz="6" w:space="0" w:color="auto"/>
              <w:right w:val="single" w:sz="4" w:space="0" w:color="auto"/>
            </w:tcBorders>
            <w:vAlign w:val="center"/>
            <w:hideMark/>
          </w:tcPr>
          <w:p w14:paraId="32B385D8" w14:textId="1317D94F" w:rsidR="00B97365" w:rsidRDefault="00000000">
            <w:pPr>
              <w:spacing w:after="60"/>
              <w:rPr>
                <w:rFonts w:eastAsia="Times New Roman" w:cs="Calibri"/>
                <w:sz w:val="16"/>
                <w:szCs w:val="16"/>
              </w:rPr>
            </w:pPr>
            <w:r>
              <w:rPr>
                <w:rFonts w:cs="Calibri"/>
                <w:sz w:val="16"/>
                <w:szCs w:val="16"/>
              </w:rPr>
              <w:t xml:space="preserve">String representation of up to 15 decimal digits including MCC (3 digits) and MNC (2 or 3 digits), as defined in ITU E.212 </w:t>
            </w:r>
            <w:r>
              <w:fldChar w:fldCharType="begin"/>
            </w:r>
            <w:r>
              <w:rPr>
                <w:rFonts w:cs="Calibri"/>
                <w:sz w:val="16"/>
                <w:szCs w:val="16"/>
              </w:rPr>
              <w:instrText xml:space="preserve"> REF _Ref421634829 \r \h </w:instrText>
            </w:r>
            <w:r>
              <w:fldChar w:fldCharType="separate"/>
            </w:r>
            <w:r w:rsidR="001D5AD9">
              <w:rPr>
                <w:rFonts w:cs="Calibri"/>
                <w:sz w:val="16"/>
                <w:szCs w:val="16"/>
              </w:rPr>
              <w:t>[12]</w:t>
            </w:r>
            <w:r>
              <w:fldChar w:fldCharType="end"/>
            </w:r>
          </w:p>
        </w:tc>
      </w:tr>
      <w:tr w:rsidR="00B97365" w14:paraId="04B8D27D"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406576A0" w14:textId="77777777" w:rsidR="00B97365" w:rsidRDefault="00000000">
            <w:pPr>
              <w:rPr>
                <w:rFonts w:cs="Calibri"/>
                <w:sz w:val="16"/>
                <w:szCs w:val="16"/>
              </w:rPr>
            </w:pPr>
            <w:r>
              <w:rPr>
                <w:rFonts w:cs="Calibri"/>
                <w:sz w:val="16"/>
                <w:szCs w:val="16"/>
              </w:rPr>
              <w:t>OID</w:t>
            </w:r>
          </w:p>
        </w:tc>
        <w:tc>
          <w:tcPr>
            <w:tcW w:w="4539" w:type="dxa"/>
            <w:tcBorders>
              <w:top w:val="single" w:sz="6" w:space="0" w:color="auto"/>
              <w:left w:val="single" w:sz="6" w:space="0" w:color="auto"/>
              <w:bottom w:val="single" w:sz="6" w:space="0" w:color="auto"/>
              <w:right w:val="single" w:sz="6" w:space="0" w:color="auto"/>
            </w:tcBorders>
            <w:vAlign w:val="center"/>
            <w:hideMark/>
          </w:tcPr>
          <w:p w14:paraId="0F84BBC8" w14:textId="77777777" w:rsidR="00B97365" w:rsidRDefault="00000000">
            <w:pPr>
              <w:rPr>
                <w:rFonts w:cs="Calibri"/>
                <w:sz w:val="16"/>
                <w:szCs w:val="16"/>
              </w:rPr>
            </w:pPr>
            <w:r>
              <w:rPr>
                <w:rFonts w:cs="Calibri"/>
                <w:sz w:val="16"/>
                <w:szCs w:val="16"/>
              </w:rPr>
              <w:t xml:space="preserve">An Object IDentifier </w:t>
            </w:r>
          </w:p>
        </w:tc>
        <w:tc>
          <w:tcPr>
            <w:tcW w:w="3262" w:type="dxa"/>
            <w:tcBorders>
              <w:top w:val="single" w:sz="6" w:space="0" w:color="auto"/>
              <w:left w:val="single" w:sz="6" w:space="0" w:color="auto"/>
              <w:bottom w:val="single" w:sz="6" w:space="0" w:color="auto"/>
              <w:right w:val="single" w:sz="4" w:space="0" w:color="auto"/>
            </w:tcBorders>
            <w:vAlign w:val="center"/>
            <w:hideMark/>
          </w:tcPr>
          <w:p w14:paraId="7224B175" w14:textId="77777777" w:rsidR="00B97365" w:rsidRDefault="00000000">
            <w:pPr>
              <w:rPr>
                <w:rFonts w:cs="Calibri"/>
                <w:sz w:val="16"/>
                <w:szCs w:val="16"/>
              </w:rPr>
            </w:pPr>
            <w:r>
              <w:rPr>
                <w:rFonts w:cs="Calibri"/>
                <w:sz w:val="16"/>
                <w:szCs w:val="16"/>
              </w:rPr>
              <w:t>String representation of an OID, i.e. of integers separated with dots (for example: '1.2', '3.4.5')</w:t>
            </w:r>
          </w:p>
        </w:tc>
      </w:tr>
      <w:tr w:rsidR="00B97365" w14:paraId="45526DAD" w14:textId="77777777">
        <w:trPr>
          <w:cantSplit/>
          <w:trHeight w:val="282"/>
        </w:trPr>
        <w:tc>
          <w:tcPr>
            <w:tcW w:w="1859" w:type="dxa"/>
            <w:tcBorders>
              <w:top w:val="single" w:sz="6" w:space="0" w:color="auto"/>
              <w:left w:val="single" w:sz="4" w:space="0" w:color="auto"/>
              <w:bottom w:val="single" w:sz="6" w:space="0" w:color="auto"/>
              <w:right w:val="single" w:sz="6" w:space="0" w:color="auto"/>
            </w:tcBorders>
            <w:hideMark/>
          </w:tcPr>
          <w:p w14:paraId="416FB7FD" w14:textId="77777777" w:rsidR="00B97365" w:rsidRDefault="00000000">
            <w:pPr>
              <w:spacing w:after="60"/>
              <w:rPr>
                <w:rFonts w:eastAsia="Times New Roman" w:cs="Calibri"/>
                <w:sz w:val="16"/>
                <w:szCs w:val="16"/>
              </w:rPr>
            </w:pPr>
            <w:r>
              <w:rPr>
                <w:rFonts w:cs="Calibri"/>
                <w:sz w:val="16"/>
                <w:szCs w:val="16"/>
              </w:rPr>
              <w:t>TAR</w:t>
            </w:r>
          </w:p>
        </w:tc>
        <w:tc>
          <w:tcPr>
            <w:tcW w:w="4539" w:type="dxa"/>
            <w:tcBorders>
              <w:top w:val="single" w:sz="6" w:space="0" w:color="auto"/>
              <w:left w:val="single" w:sz="6" w:space="0" w:color="auto"/>
              <w:bottom w:val="single" w:sz="6" w:space="0" w:color="auto"/>
              <w:right w:val="single" w:sz="6" w:space="0" w:color="auto"/>
            </w:tcBorders>
            <w:hideMark/>
          </w:tcPr>
          <w:p w14:paraId="75F22FB0" w14:textId="77777777" w:rsidR="00B97365" w:rsidRDefault="00000000">
            <w:pPr>
              <w:spacing w:after="60"/>
              <w:rPr>
                <w:rFonts w:eastAsia="Times New Roman" w:cs="Calibri"/>
                <w:sz w:val="16"/>
                <w:szCs w:val="16"/>
              </w:rPr>
            </w:pPr>
            <w:r>
              <w:rPr>
                <w:rFonts w:cs="Calibri"/>
                <w:sz w:val="16"/>
                <w:szCs w:val="16"/>
              </w:rPr>
              <w:t>The TAR (Toolkit Application Reference) of a security domain or an Application.</w:t>
            </w:r>
          </w:p>
        </w:tc>
        <w:tc>
          <w:tcPr>
            <w:tcW w:w="3262" w:type="dxa"/>
            <w:tcBorders>
              <w:top w:val="single" w:sz="6" w:space="0" w:color="auto"/>
              <w:left w:val="single" w:sz="6" w:space="0" w:color="auto"/>
              <w:bottom w:val="single" w:sz="6" w:space="0" w:color="auto"/>
              <w:right w:val="single" w:sz="4" w:space="0" w:color="auto"/>
            </w:tcBorders>
            <w:hideMark/>
          </w:tcPr>
          <w:p w14:paraId="671C576A" w14:textId="77777777" w:rsidR="00B97365" w:rsidRDefault="00000000">
            <w:pPr>
              <w:spacing w:after="60"/>
              <w:rPr>
                <w:rFonts w:eastAsia="Times New Roman" w:cs="Calibri"/>
                <w:sz w:val="16"/>
                <w:szCs w:val="16"/>
              </w:rPr>
            </w:pPr>
            <w:r>
              <w:rPr>
                <w:rFonts w:cs="Calibri"/>
                <w:sz w:val="16"/>
                <w:szCs w:val="16"/>
              </w:rPr>
              <w:t>String - Hexadecimal string representation of exactly 3 bytes</w:t>
            </w:r>
          </w:p>
        </w:tc>
      </w:tr>
      <w:tr w:rsidR="00B97365" w14:paraId="6B3A8DF7" w14:textId="77777777">
        <w:trPr>
          <w:cantSplit/>
          <w:trHeight w:val="282"/>
        </w:trPr>
        <w:tc>
          <w:tcPr>
            <w:tcW w:w="1859" w:type="dxa"/>
            <w:tcBorders>
              <w:top w:val="single" w:sz="6" w:space="0" w:color="auto"/>
              <w:left w:val="single" w:sz="4" w:space="0" w:color="auto"/>
              <w:bottom w:val="single" w:sz="4" w:space="0" w:color="auto"/>
              <w:right w:val="single" w:sz="6" w:space="0" w:color="auto"/>
            </w:tcBorders>
            <w:vAlign w:val="center"/>
            <w:hideMark/>
          </w:tcPr>
          <w:p w14:paraId="06465C78" w14:textId="77777777" w:rsidR="00B97365" w:rsidRDefault="00000000">
            <w:pPr>
              <w:rPr>
                <w:rFonts w:cs="Calibri"/>
                <w:sz w:val="16"/>
                <w:szCs w:val="16"/>
              </w:rPr>
            </w:pPr>
            <w:r>
              <w:rPr>
                <w:rFonts w:cs="Calibri"/>
                <w:sz w:val="16"/>
                <w:szCs w:val="16"/>
              </w:rPr>
              <w:t>VERSION</w:t>
            </w:r>
          </w:p>
        </w:tc>
        <w:tc>
          <w:tcPr>
            <w:tcW w:w="4539" w:type="dxa"/>
            <w:tcBorders>
              <w:top w:val="single" w:sz="6" w:space="0" w:color="auto"/>
              <w:left w:val="single" w:sz="6" w:space="0" w:color="auto"/>
              <w:bottom w:val="single" w:sz="4" w:space="0" w:color="auto"/>
              <w:right w:val="single" w:sz="6" w:space="0" w:color="auto"/>
            </w:tcBorders>
            <w:vAlign w:val="center"/>
            <w:hideMark/>
          </w:tcPr>
          <w:p w14:paraId="54561A2B" w14:textId="77777777" w:rsidR="00B97365" w:rsidRDefault="00000000">
            <w:pPr>
              <w:rPr>
                <w:rFonts w:cs="Calibri"/>
                <w:sz w:val="16"/>
                <w:szCs w:val="16"/>
              </w:rPr>
            </w:pPr>
            <w:r>
              <w:rPr>
                <w:rFonts w:cs="Calibri"/>
                <w:sz w:val="16"/>
                <w:szCs w:val="16"/>
              </w:rPr>
              <w:t>The Version type is for indicating a version of any entity used within this specification. A version is defined by its  major, minor and revision number</w:t>
            </w:r>
          </w:p>
        </w:tc>
        <w:tc>
          <w:tcPr>
            <w:tcW w:w="3262" w:type="dxa"/>
            <w:tcBorders>
              <w:top w:val="single" w:sz="6" w:space="0" w:color="auto"/>
              <w:left w:val="single" w:sz="6" w:space="0" w:color="auto"/>
              <w:bottom w:val="single" w:sz="4" w:space="0" w:color="auto"/>
              <w:right w:val="single" w:sz="4" w:space="0" w:color="auto"/>
            </w:tcBorders>
            <w:vAlign w:val="center"/>
          </w:tcPr>
          <w:p w14:paraId="0636D4C4" w14:textId="77777777" w:rsidR="00B97365" w:rsidRDefault="00000000">
            <w:pPr>
              <w:rPr>
                <w:rFonts w:cs="Calibri"/>
                <w:sz w:val="16"/>
                <w:szCs w:val="16"/>
              </w:rPr>
            </w:pPr>
            <w:r>
              <w:rPr>
                <w:rFonts w:cs="Calibri"/>
                <w:sz w:val="16"/>
                <w:szCs w:val="16"/>
              </w:rPr>
              <w:t>String representation of three integers separated with dots (for example: ‘1.15.3’).</w:t>
            </w:r>
          </w:p>
          <w:p w14:paraId="008D2153" w14:textId="77777777" w:rsidR="00B97365" w:rsidRDefault="00B97365">
            <w:pPr>
              <w:rPr>
                <w:rFonts w:cs="Calibri"/>
                <w:sz w:val="16"/>
                <w:szCs w:val="16"/>
              </w:rPr>
            </w:pPr>
          </w:p>
          <w:p w14:paraId="41441085" w14:textId="77777777" w:rsidR="00B97365" w:rsidRDefault="00B97365">
            <w:pPr>
              <w:rPr>
                <w:rFonts w:cs="Calibri"/>
                <w:sz w:val="16"/>
                <w:szCs w:val="16"/>
              </w:rPr>
            </w:pPr>
          </w:p>
        </w:tc>
      </w:tr>
    </w:tbl>
    <w:p w14:paraId="40652541" w14:textId="77777777" w:rsidR="00B97365" w:rsidRDefault="00000000">
      <w:pPr>
        <w:numPr>
          <w:ilvl w:val="0"/>
          <w:numId w:val="14"/>
        </w:numPr>
        <w:tabs>
          <w:tab w:val="left" w:pos="1009"/>
        </w:tabs>
        <w:spacing w:after="200" w:line="276" w:lineRule="auto"/>
        <w:jc w:val="center"/>
        <w:rPr>
          <w:rFonts w:cs="Arial"/>
          <w:lang w:eastAsia="de-DE" w:bidi="ar-SA"/>
        </w:rPr>
      </w:pPr>
      <w:bookmarkStart w:id="2984" w:name="_Ref449514513"/>
      <w:r>
        <w:rPr>
          <w:rFonts w:cs="Arial"/>
          <w:b/>
          <w:lang w:eastAsia="de-DE" w:bidi="ar-SA"/>
        </w:rPr>
        <w:lastRenderedPageBreak/>
        <w:t>: Simple Types</w:t>
      </w:r>
      <w:bookmarkEnd w:id="2984"/>
    </w:p>
    <w:p w14:paraId="03531771"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bCs/>
          <w:i/>
          <w:iCs/>
          <w:vanish/>
          <w:szCs w:val="28"/>
          <w:lang w:eastAsia="en-US"/>
        </w:rPr>
      </w:pPr>
      <w:bookmarkStart w:id="2985" w:name="_Toc368932255"/>
      <w:bookmarkStart w:id="2986" w:name="_Toc352671565"/>
      <w:bookmarkStart w:id="2987" w:name="_Ref483304761"/>
      <w:bookmarkStart w:id="2988" w:name="_Ref483306198"/>
      <w:bookmarkStart w:id="2989" w:name="_Toc1977336"/>
      <w:bookmarkStart w:id="2990" w:name="_Toc37062495"/>
      <w:r>
        <w:rPr>
          <w:rFonts w:ascii="Arial Bold" w:eastAsia="Times New Roman" w:hAnsi="Arial Bold" w:cs="Arial"/>
          <w:b/>
          <w:iCs/>
          <w:szCs w:val="28"/>
          <w:lang w:eastAsia="en-US"/>
        </w:rPr>
        <w:t xml:space="preserve">Complex </w:t>
      </w:r>
      <w:r>
        <w:rPr>
          <w:rFonts w:ascii="Arial Bold" w:eastAsia="Times New Roman" w:hAnsi="Arial Bold" w:cs="Arial"/>
          <w:szCs w:val="28"/>
          <w:lang w:eastAsia="en-US"/>
        </w:rPr>
        <w:t>Types</w:t>
      </w:r>
      <w:bookmarkStart w:id="2991" w:name="_Toc361324259"/>
      <w:bookmarkStart w:id="2992" w:name="_Toc361324690"/>
      <w:bookmarkStart w:id="2993" w:name="_Toc361325111"/>
      <w:bookmarkStart w:id="2994" w:name="_Toc361325531"/>
      <w:bookmarkStart w:id="2995" w:name="_Toc361325936"/>
      <w:bookmarkStart w:id="2996" w:name="_Toc361326340"/>
      <w:bookmarkStart w:id="2997" w:name="_Toc361326741"/>
      <w:bookmarkStart w:id="2998" w:name="_Toc361327127"/>
      <w:bookmarkStart w:id="2999" w:name="_Toc361327508"/>
      <w:bookmarkStart w:id="3000" w:name="_Toc361327887"/>
      <w:bookmarkStart w:id="3001" w:name="_Toc361328259"/>
      <w:bookmarkStart w:id="3002" w:name="_Toc361328631"/>
      <w:bookmarkStart w:id="3003" w:name="_Toc361394429"/>
      <w:bookmarkStart w:id="3004" w:name="_Toc362882390"/>
      <w:bookmarkStart w:id="3005" w:name="_Toc362882774"/>
      <w:bookmarkStart w:id="3006" w:name="_Toc362883152"/>
      <w:bookmarkStart w:id="3007" w:name="_Toc362883530"/>
      <w:bookmarkStart w:id="3008" w:name="_Toc362883908"/>
      <w:bookmarkStart w:id="3009" w:name="_Toc362884285"/>
      <w:bookmarkStart w:id="3010" w:name="_Toc362884660"/>
      <w:bookmarkStart w:id="3011" w:name="_Toc362885027"/>
      <w:bookmarkStart w:id="3012" w:name="_Toc362945968"/>
      <w:bookmarkStart w:id="3013" w:name="_Toc362946683"/>
      <w:bookmarkStart w:id="3014" w:name="_Toc365571151"/>
      <w:bookmarkStart w:id="3015" w:name="_Toc365624650"/>
      <w:bookmarkStart w:id="3016" w:name="_Toc365899661"/>
      <w:bookmarkStart w:id="3017" w:name="_Toc365982470"/>
      <w:bookmarkStart w:id="3018" w:name="_Toc367445941"/>
      <w:bookmarkStart w:id="3019" w:name="_Toc368048151"/>
      <w:bookmarkStart w:id="3020" w:name="_Toc368583722"/>
      <w:bookmarkStart w:id="3021" w:name="_Toc368652817"/>
      <w:bookmarkStart w:id="3022" w:name="_Toc368932256"/>
      <w:bookmarkStart w:id="3023" w:name="_Toc463269"/>
      <w:bookmarkStart w:id="3024" w:name="_Toc352671566"/>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p>
    <w:p w14:paraId="25B701F3" w14:textId="77777777" w:rsidR="00B97365" w:rsidRDefault="00B97365">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25" w:name="_Toc368932257"/>
      <w:bookmarkStart w:id="3026" w:name="_Ref367977968"/>
      <w:bookmarkStart w:id="3027" w:name="_Ref367977940"/>
      <w:bookmarkStart w:id="3028" w:name="_Ref367977930"/>
    </w:p>
    <w:p w14:paraId="78D28E15" w14:textId="77777777" w:rsidR="00B97365" w:rsidRDefault="00000000">
      <w:pPr>
        <w:pStyle w:val="Heading5"/>
        <w:numPr>
          <w:ilvl w:val="4"/>
          <w:numId w:val="132"/>
        </w:numPr>
      </w:pPr>
      <w:r>
        <w:t>SUBSCRIPTION ADDRESS</w:t>
      </w:r>
      <w:bookmarkEnd w:id="3025"/>
      <w:bookmarkEnd w:id="3026"/>
      <w:bookmarkEnd w:id="3027"/>
      <w:bookmarkEnd w:id="3028"/>
    </w:p>
    <w:p w14:paraId="40A1C56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SUBSCRIPTION-ADDRESS</w:t>
      </w:r>
      <w:r>
        <w:rPr>
          <w:rFonts w:cs="Arial"/>
          <w:szCs w:val="22"/>
          <w:lang w:val="en-US" w:eastAsia="en-GB" w:bidi="ar-SA"/>
        </w:rPr>
        <w:t xml:space="preserve"> type is defined by:</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950"/>
        <w:gridCol w:w="4276"/>
        <w:gridCol w:w="763"/>
        <w:gridCol w:w="398"/>
        <w:gridCol w:w="514"/>
      </w:tblGrid>
      <w:tr w:rsidR="00B97365" w14:paraId="76F1309C" w14:textId="77777777">
        <w:trPr>
          <w:trHeight w:val="364"/>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91F9B93"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CA019FC"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511D29B"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7C95A1A"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2927075"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BC3AB84" w14:textId="77777777">
        <w:trPr>
          <w:trHeight w:val="364"/>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DE2D778" w14:textId="77777777" w:rsidR="00B97365" w:rsidRDefault="00000000">
            <w:pPr>
              <w:rPr>
                <w:rFonts w:cs="Calibri"/>
                <w:sz w:val="16"/>
                <w:szCs w:val="16"/>
              </w:rPr>
            </w:pPr>
            <w:r>
              <w:rPr>
                <w:rFonts w:cs="Calibri"/>
                <w:sz w:val="16"/>
                <w:szCs w:val="16"/>
              </w:rPr>
              <w:t>msisdn</w:t>
            </w:r>
          </w:p>
        </w:tc>
        <w:tc>
          <w:tcPr>
            <w:tcW w:w="0" w:type="auto"/>
            <w:tcBorders>
              <w:top w:val="single" w:sz="6" w:space="0" w:color="auto"/>
              <w:left w:val="single" w:sz="6" w:space="0" w:color="auto"/>
              <w:bottom w:val="single" w:sz="6" w:space="0" w:color="auto"/>
              <w:right w:val="single" w:sz="6" w:space="0" w:color="auto"/>
            </w:tcBorders>
            <w:vAlign w:val="center"/>
            <w:hideMark/>
          </w:tcPr>
          <w:p w14:paraId="2270E7BE" w14:textId="77777777" w:rsidR="00B97365" w:rsidRDefault="00000000">
            <w:pPr>
              <w:rPr>
                <w:rFonts w:eastAsia="Times New Roman" w:cs="Calibri"/>
                <w:sz w:val="16"/>
                <w:szCs w:val="16"/>
              </w:rPr>
            </w:pPr>
            <w:r>
              <w:rPr>
                <w:rFonts w:cs="Calibri"/>
                <w:sz w:val="16"/>
                <w:szCs w:val="16"/>
                <w:lang w:val="en-US"/>
              </w:rPr>
              <w:t>The MSISDN of the Subscription associated to this Profile.</w:t>
            </w:r>
          </w:p>
        </w:tc>
        <w:tc>
          <w:tcPr>
            <w:tcW w:w="0" w:type="auto"/>
            <w:tcBorders>
              <w:top w:val="single" w:sz="6" w:space="0" w:color="auto"/>
              <w:left w:val="single" w:sz="6" w:space="0" w:color="auto"/>
              <w:bottom w:val="single" w:sz="6" w:space="0" w:color="auto"/>
              <w:right w:val="single" w:sz="6" w:space="0" w:color="auto"/>
            </w:tcBorders>
            <w:vAlign w:val="center"/>
            <w:hideMark/>
          </w:tcPr>
          <w:p w14:paraId="607732FF" w14:textId="77777777" w:rsidR="00B97365" w:rsidRDefault="00000000">
            <w:pPr>
              <w:jc w:val="center"/>
              <w:rPr>
                <w:rFonts w:eastAsia="Times New Roman" w:cs="Calibri"/>
                <w:sz w:val="16"/>
                <w:szCs w:val="16"/>
              </w:rPr>
            </w:pPr>
            <w:r>
              <w:rPr>
                <w:rFonts w:cs="Calibri"/>
                <w:sz w:val="16"/>
                <w:szCs w:val="16"/>
              </w:rPr>
              <w:t>MSISDN</w:t>
            </w:r>
          </w:p>
        </w:tc>
        <w:tc>
          <w:tcPr>
            <w:tcW w:w="0" w:type="auto"/>
            <w:tcBorders>
              <w:top w:val="single" w:sz="6" w:space="0" w:color="auto"/>
              <w:left w:val="single" w:sz="6" w:space="0" w:color="auto"/>
              <w:bottom w:val="single" w:sz="6" w:space="0" w:color="auto"/>
              <w:right w:val="single" w:sz="6" w:space="0" w:color="auto"/>
            </w:tcBorders>
            <w:vAlign w:val="center"/>
            <w:hideMark/>
          </w:tcPr>
          <w:p w14:paraId="57EC4BB5" w14:textId="77777777" w:rsidR="00B97365" w:rsidRDefault="00000000">
            <w:pPr>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F214E40" w14:textId="77777777" w:rsidR="00B97365" w:rsidRDefault="00000000">
            <w:pPr>
              <w:jc w:val="center"/>
              <w:rPr>
                <w:rFonts w:cs="Calibri"/>
                <w:sz w:val="16"/>
                <w:szCs w:val="16"/>
              </w:rPr>
            </w:pPr>
            <w:r>
              <w:rPr>
                <w:rFonts w:cs="Calibri"/>
                <w:sz w:val="16"/>
                <w:szCs w:val="16"/>
              </w:rPr>
              <w:t>C</w:t>
            </w:r>
          </w:p>
        </w:tc>
      </w:tr>
      <w:tr w:rsidR="00B97365" w14:paraId="0C1F57DC" w14:textId="77777777">
        <w:trPr>
          <w:trHeight w:val="364"/>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C97BE9E" w14:textId="77777777" w:rsidR="00B97365" w:rsidRDefault="00000000">
            <w:pPr>
              <w:rPr>
                <w:rFonts w:eastAsia="Times New Roman" w:cs="Calibri"/>
                <w:sz w:val="16"/>
                <w:szCs w:val="16"/>
              </w:rPr>
            </w:pPr>
            <w:r>
              <w:rPr>
                <w:rFonts w:cs="Calibri"/>
                <w:sz w:val="16"/>
                <w:szCs w:val="16"/>
              </w:rPr>
              <w:t>imsi</w:t>
            </w:r>
          </w:p>
        </w:tc>
        <w:tc>
          <w:tcPr>
            <w:tcW w:w="0" w:type="auto"/>
            <w:tcBorders>
              <w:top w:val="single" w:sz="6" w:space="0" w:color="auto"/>
              <w:left w:val="single" w:sz="6" w:space="0" w:color="auto"/>
              <w:bottom w:val="single" w:sz="4" w:space="0" w:color="auto"/>
              <w:right w:val="single" w:sz="6" w:space="0" w:color="auto"/>
            </w:tcBorders>
            <w:vAlign w:val="center"/>
            <w:hideMark/>
          </w:tcPr>
          <w:p w14:paraId="6478A12B" w14:textId="77777777" w:rsidR="00B97365" w:rsidRDefault="00000000">
            <w:pPr>
              <w:rPr>
                <w:rFonts w:eastAsia="Times New Roman" w:cs="Calibri"/>
                <w:sz w:val="16"/>
                <w:szCs w:val="16"/>
                <w:lang w:val="en-US"/>
              </w:rPr>
            </w:pPr>
            <w:r>
              <w:rPr>
                <w:rFonts w:cs="Calibri"/>
                <w:sz w:val="16"/>
                <w:szCs w:val="16"/>
                <w:lang w:val="en-US"/>
              </w:rPr>
              <w:t>The IMSI of the Subscription associated to this Profile.</w:t>
            </w:r>
          </w:p>
        </w:tc>
        <w:tc>
          <w:tcPr>
            <w:tcW w:w="0" w:type="auto"/>
            <w:tcBorders>
              <w:top w:val="single" w:sz="6" w:space="0" w:color="auto"/>
              <w:left w:val="single" w:sz="6" w:space="0" w:color="auto"/>
              <w:bottom w:val="single" w:sz="4" w:space="0" w:color="auto"/>
              <w:right w:val="single" w:sz="6" w:space="0" w:color="auto"/>
            </w:tcBorders>
            <w:vAlign w:val="center"/>
            <w:hideMark/>
          </w:tcPr>
          <w:p w14:paraId="02CBCC83" w14:textId="77777777" w:rsidR="00B97365" w:rsidRDefault="00000000">
            <w:pPr>
              <w:jc w:val="center"/>
              <w:rPr>
                <w:rFonts w:eastAsia="Times New Roman" w:cs="Calibri"/>
                <w:sz w:val="16"/>
                <w:szCs w:val="16"/>
              </w:rPr>
            </w:pPr>
            <w:r>
              <w:rPr>
                <w:rFonts w:cs="Calibri"/>
                <w:sz w:val="16"/>
                <w:szCs w:val="16"/>
              </w:rPr>
              <w:t>IMSI</w:t>
            </w:r>
          </w:p>
        </w:tc>
        <w:tc>
          <w:tcPr>
            <w:tcW w:w="0" w:type="auto"/>
            <w:tcBorders>
              <w:top w:val="single" w:sz="6" w:space="0" w:color="auto"/>
              <w:left w:val="single" w:sz="6" w:space="0" w:color="auto"/>
              <w:bottom w:val="single" w:sz="4" w:space="0" w:color="auto"/>
              <w:right w:val="single" w:sz="6" w:space="0" w:color="auto"/>
            </w:tcBorders>
            <w:vAlign w:val="center"/>
            <w:hideMark/>
          </w:tcPr>
          <w:p w14:paraId="5F71618E" w14:textId="77777777" w:rsidR="00B97365" w:rsidRDefault="00000000">
            <w:pPr>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BB8659F" w14:textId="77777777" w:rsidR="00B97365" w:rsidRDefault="00000000">
            <w:pPr>
              <w:jc w:val="center"/>
              <w:rPr>
                <w:rFonts w:cs="Calibri"/>
                <w:sz w:val="16"/>
                <w:szCs w:val="16"/>
              </w:rPr>
            </w:pPr>
            <w:r>
              <w:rPr>
                <w:rFonts w:cs="Calibri"/>
                <w:sz w:val="16"/>
                <w:szCs w:val="16"/>
              </w:rPr>
              <w:t>C</w:t>
            </w:r>
          </w:p>
        </w:tc>
      </w:tr>
    </w:tbl>
    <w:p w14:paraId="297A574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Subscription Address</w:t>
      </w:r>
    </w:p>
    <w:p w14:paraId="55724BA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Either the MSISDN, the IMSI, or both, SHALL be present. </w:t>
      </w:r>
    </w:p>
    <w:p w14:paraId="1CCC325D" w14:textId="77777777" w:rsidR="00B97365" w:rsidRDefault="00000000">
      <w:pPr>
        <w:spacing w:after="200" w:line="276" w:lineRule="auto"/>
        <w:ind w:left="1560" w:hanging="1276"/>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Additional address types could be added depending of the deployment mode (for example: SIP-URI).</w:t>
      </w:r>
    </w:p>
    <w:p w14:paraId="60B4C937"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29" w:name="_Toc368932258"/>
      <w:bookmarkStart w:id="3030" w:name="_Ref367977921"/>
      <w:bookmarkStart w:id="3031" w:name="_Ref367977913"/>
      <w:bookmarkStart w:id="3032" w:name="_Ref367977903"/>
      <w:r>
        <w:rPr>
          <w:rFonts w:ascii="Arial Bold" w:eastAsia="Times New Roman" w:hAnsi="Arial Bold" w:cs="Arial"/>
          <w:szCs w:val="26"/>
          <w:lang w:val="en-US" w:eastAsia="en-US"/>
        </w:rPr>
        <w:t>POL2-RULE</w:t>
      </w:r>
      <w:bookmarkEnd w:id="3024"/>
      <w:bookmarkEnd w:id="3029"/>
      <w:bookmarkEnd w:id="3030"/>
      <w:bookmarkEnd w:id="3031"/>
      <w:bookmarkEnd w:id="3032"/>
    </w:p>
    <w:p w14:paraId="12981C0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POL2-RULE type is defined by the following data structure: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85"/>
        <w:gridCol w:w="5280"/>
        <w:gridCol w:w="1839"/>
        <w:gridCol w:w="398"/>
        <w:gridCol w:w="514"/>
      </w:tblGrid>
      <w:tr w:rsidR="00B97365" w14:paraId="21EC9747" w14:textId="77777777">
        <w:trPr>
          <w:cantSplit/>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076D761"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A31AAF6"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E78699E"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C78D2D3"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23CCF60"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0EB837F9"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C744CF2" w14:textId="77777777" w:rsidR="00B97365" w:rsidRDefault="00000000">
            <w:pPr>
              <w:rPr>
                <w:rFonts w:cs="Calibri"/>
                <w:sz w:val="16"/>
                <w:szCs w:val="16"/>
              </w:rPr>
            </w:pPr>
            <w:r>
              <w:rPr>
                <w:rFonts w:cs="Calibri"/>
                <w:sz w:val="16"/>
                <w:szCs w:val="16"/>
              </w:rPr>
              <w:t>subject</w:t>
            </w:r>
          </w:p>
        </w:tc>
        <w:tc>
          <w:tcPr>
            <w:tcW w:w="0" w:type="auto"/>
            <w:tcBorders>
              <w:top w:val="single" w:sz="6" w:space="0" w:color="auto"/>
              <w:left w:val="single" w:sz="6" w:space="0" w:color="auto"/>
              <w:bottom w:val="single" w:sz="6" w:space="0" w:color="auto"/>
              <w:right w:val="single" w:sz="6" w:space="0" w:color="auto"/>
            </w:tcBorders>
            <w:vAlign w:val="center"/>
            <w:hideMark/>
          </w:tcPr>
          <w:p w14:paraId="64B8A4B2" w14:textId="77777777" w:rsidR="00B97365" w:rsidRDefault="00000000">
            <w:pPr>
              <w:rPr>
                <w:rFonts w:cs="Calibri"/>
                <w:sz w:val="16"/>
                <w:szCs w:val="16"/>
              </w:rPr>
            </w:pPr>
            <w:r>
              <w:rPr>
                <w:rFonts w:cs="Calibri"/>
                <w:sz w:val="16"/>
                <w:szCs w:val="16"/>
              </w:rPr>
              <w:t>Identifies the subject on which the rule has to be applied.</w:t>
            </w:r>
          </w:p>
          <w:p w14:paraId="1A933721" w14:textId="77777777" w:rsidR="00B97365" w:rsidRDefault="00000000">
            <w:pPr>
              <w:rPr>
                <w:rFonts w:cs="Calibri"/>
                <w:sz w:val="16"/>
                <w:szCs w:val="16"/>
              </w:rPr>
            </w:pPr>
            <w:r>
              <w:rPr>
                <w:rFonts w:cs="Calibri"/>
                <w:sz w:val="16"/>
                <w:szCs w:val="16"/>
              </w:rPr>
              <w:t>In the current version of this release, the possible subject is restricted to “PROFILE”.</w:t>
            </w:r>
          </w:p>
        </w:tc>
        <w:tc>
          <w:tcPr>
            <w:tcW w:w="0" w:type="auto"/>
            <w:tcBorders>
              <w:top w:val="single" w:sz="6" w:space="0" w:color="auto"/>
              <w:left w:val="single" w:sz="6" w:space="0" w:color="auto"/>
              <w:bottom w:val="single" w:sz="6" w:space="0" w:color="auto"/>
              <w:right w:val="single" w:sz="6" w:space="0" w:color="auto"/>
            </w:tcBorders>
            <w:vAlign w:val="center"/>
            <w:hideMark/>
          </w:tcPr>
          <w:p w14:paraId="1CB6A723" w14:textId="77777777" w:rsidR="00B97365" w:rsidRDefault="00000000">
            <w:pPr>
              <w:jc w:val="center"/>
              <w:rPr>
                <w:rFonts w:cs="Calibri"/>
                <w:sz w:val="16"/>
                <w:szCs w:val="16"/>
              </w:rPr>
            </w:pPr>
            <w:r>
              <w:rPr>
                <w:rFonts w:cs="Calibri"/>
                <w:sz w:val="16"/>
                <w:szCs w:val="16"/>
              </w:rPr>
              <w:t>Enumeration{PROFILE}</w:t>
            </w:r>
          </w:p>
        </w:tc>
        <w:tc>
          <w:tcPr>
            <w:tcW w:w="0" w:type="auto"/>
            <w:tcBorders>
              <w:top w:val="single" w:sz="6" w:space="0" w:color="auto"/>
              <w:left w:val="single" w:sz="6" w:space="0" w:color="auto"/>
              <w:bottom w:val="single" w:sz="6" w:space="0" w:color="auto"/>
              <w:right w:val="single" w:sz="6" w:space="0" w:color="auto"/>
            </w:tcBorders>
            <w:vAlign w:val="center"/>
            <w:hideMark/>
          </w:tcPr>
          <w:p w14:paraId="26369B65"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7F43594" w14:textId="77777777" w:rsidR="00B97365" w:rsidRDefault="00000000">
            <w:pPr>
              <w:jc w:val="center"/>
              <w:rPr>
                <w:rFonts w:cs="Calibri"/>
                <w:sz w:val="16"/>
                <w:szCs w:val="16"/>
              </w:rPr>
            </w:pPr>
            <w:r>
              <w:rPr>
                <w:rFonts w:cs="Calibri"/>
                <w:sz w:val="16"/>
                <w:szCs w:val="16"/>
              </w:rPr>
              <w:t>M</w:t>
            </w:r>
          </w:p>
        </w:tc>
      </w:tr>
      <w:tr w:rsidR="00B97365" w14:paraId="0F86EECA"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C4810B1" w14:textId="77777777" w:rsidR="00B97365" w:rsidRDefault="00000000">
            <w:pPr>
              <w:rPr>
                <w:rFonts w:cs="Calibri"/>
                <w:sz w:val="16"/>
                <w:szCs w:val="16"/>
              </w:rPr>
            </w:pPr>
            <w:r>
              <w:rPr>
                <w:rFonts w:cs="Calibri"/>
                <w:sz w:val="16"/>
                <w:szCs w:val="16"/>
              </w:rPr>
              <w:t>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3B529DA" w14:textId="77777777" w:rsidR="00B97365" w:rsidRDefault="00000000">
            <w:pPr>
              <w:rPr>
                <w:rFonts w:cs="Calibri"/>
                <w:sz w:val="16"/>
                <w:szCs w:val="16"/>
              </w:rPr>
            </w:pPr>
            <w:r>
              <w:rPr>
                <w:rFonts w:cs="Calibri"/>
                <w:sz w:val="16"/>
                <w:szCs w:val="16"/>
              </w:rPr>
              <w:t>Identifies the action/function on which the rule has to be applied.</w:t>
            </w:r>
          </w:p>
        </w:tc>
        <w:tc>
          <w:tcPr>
            <w:tcW w:w="0" w:type="auto"/>
            <w:tcBorders>
              <w:top w:val="single" w:sz="6" w:space="0" w:color="auto"/>
              <w:left w:val="single" w:sz="6" w:space="0" w:color="auto"/>
              <w:bottom w:val="single" w:sz="6" w:space="0" w:color="auto"/>
              <w:right w:val="single" w:sz="6" w:space="0" w:color="auto"/>
            </w:tcBorders>
            <w:vAlign w:val="center"/>
            <w:hideMark/>
          </w:tcPr>
          <w:p w14:paraId="5813319D" w14:textId="77777777" w:rsidR="00B97365" w:rsidRDefault="00000000">
            <w:pPr>
              <w:jc w:val="center"/>
              <w:rPr>
                <w:rFonts w:cs="Calibri"/>
                <w:sz w:val="16"/>
                <w:szCs w:val="16"/>
              </w:rPr>
            </w:pPr>
            <w:r>
              <w:rPr>
                <w:rFonts w:cs="Calibri"/>
                <w:sz w:val="16"/>
                <w:szCs w:val="16"/>
              </w:rPr>
              <w:t>Enumeration{ENABLE,</w:t>
            </w:r>
          </w:p>
          <w:p w14:paraId="73632E52" w14:textId="77777777" w:rsidR="00B97365" w:rsidRDefault="00000000">
            <w:pPr>
              <w:jc w:val="center"/>
              <w:rPr>
                <w:rFonts w:cs="Calibri"/>
                <w:sz w:val="16"/>
                <w:szCs w:val="16"/>
              </w:rPr>
            </w:pPr>
            <w:r>
              <w:rPr>
                <w:rFonts w:cs="Calibri"/>
                <w:sz w:val="16"/>
                <w:szCs w:val="16"/>
              </w:rPr>
              <w:t>DISABLE,</w:t>
            </w:r>
          </w:p>
          <w:p w14:paraId="3EF4FB45" w14:textId="77777777" w:rsidR="00B97365" w:rsidRDefault="00000000">
            <w:pPr>
              <w:jc w:val="center"/>
              <w:rPr>
                <w:rFonts w:cs="Calibri"/>
                <w:sz w:val="16"/>
                <w:szCs w:val="16"/>
              </w:rPr>
            </w:pPr>
            <w:r>
              <w:rPr>
                <w:rFonts w:cs="Calibri"/>
                <w:sz w:val="16"/>
                <w:szCs w:val="16"/>
              </w:rPr>
              <w:t>DELETE}</w:t>
            </w:r>
          </w:p>
        </w:tc>
        <w:tc>
          <w:tcPr>
            <w:tcW w:w="0" w:type="auto"/>
            <w:tcBorders>
              <w:top w:val="single" w:sz="6" w:space="0" w:color="auto"/>
              <w:left w:val="single" w:sz="6" w:space="0" w:color="auto"/>
              <w:bottom w:val="single" w:sz="6" w:space="0" w:color="auto"/>
              <w:right w:val="single" w:sz="6" w:space="0" w:color="auto"/>
            </w:tcBorders>
            <w:vAlign w:val="center"/>
            <w:hideMark/>
          </w:tcPr>
          <w:p w14:paraId="57586D17"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65E0230" w14:textId="77777777" w:rsidR="00B97365" w:rsidRDefault="00000000">
            <w:pPr>
              <w:jc w:val="center"/>
              <w:rPr>
                <w:rFonts w:cs="Calibri"/>
                <w:sz w:val="16"/>
                <w:szCs w:val="16"/>
              </w:rPr>
            </w:pPr>
            <w:r>
              <w:rPr>
                <w:rFonts w:cs="Calibri"/>
                <w:sz w:val="16"/>
                <w:szCs w:val="16"/>
              </w:rPr>
              <w:t>M</w:t>
            </w:r>
          </w:p>
        </w:tc>
      </w:tr>
      <w:tr w:rsidR="00B97365" w14:paraId="21A15768" w14:textId="77777777">
        <w:trPr>
          <w:cantSplit/>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6837EE5" w14:textId="77777777" w:rsidR="00B97365" w:rsidRDefault="00000000">
            <w:pPr>
              <w:rPr>
                <w:rFonts w:cs="Calibri"/>
                <w:sz w:val="16"/>
                <w:szCs w:val="16"/>
              </w:rPr>
            </w:pPr>
            <w:r>
              <w:rPr>
                <w:rFonts w:cs="Calibri"/>
                <w:sz w:val="16"/>
                <w:szCs w:val="16"/>
              </w:rPr>
              <w:t>qualification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DA7E3EB" w14:textId="77777777" w:rsidR="00B97365" w:rsidRDefault="00000000">
            <w:pPr>
              <w:rPr>
                <w:rFonts w:cs="Calibri"/>
                <w:sz w:val="16"/>
                <w:szCs w:val="16"/>
              </w:rPr>
            </w:pPr>
            <w:r>
              <w:rPr>
                <w:rFonts w:cs="Calibri"/>
                <w:sz w:val="16"/>
                <w:szCs w:val="16"/>
              </w:rPr>
              <w:t>Indicates the final result of the rule that has to be applied.</w:t>
            </w:r>
          </w:p>
        </w:tc>
        <w:tc>
          <w:tcPr>
            <w:tcW w:w="0" w:type="auto"/>
            <w:tcBorders>
              <w:top w:val="single" w:sz="6" w:space="0" w:color="auto"/>
              <w:left w:val="single" w:sz="6" w:space="0" w:color="auto"/>
              <w:bottom w:val="single" w:sz="4" w:space="0" w:color="auto"/>
              <w:right w:val="single" w:sz="6" w:space="0" w:color="auto"/>
            </w:tcBorders>
            <w:vAlign w:val="center"/>
            <w:hideMark/>
          </w:tcPr>
          <w:p w14:paraId="6CDF8835" w14:textId="77777777" w:rsidR="00B97365" w:rsidRDefault="00000000">
            <w:pPr>
              <w:jc w:val="center"/>
              <w:rPr>
                <w:rFonts w:cs="Calibri"/>
                <w:sz w:val="16"/>
                <w:szCs w:val="16"/>
              </w:rPr>
            </w:pPr>
            <w:r>
              <w:rPr>
                <w:rFonts w:cs="Calibri"/>
                <w:sz w:val="16"/>
                <w:szCs w:val="16"/>
              </w:rPr>
              <w:t>Enumeration{</w:t>
            </w:r>
          </w:p>
          <w:p w14:paraId="5679514A" w14:textId="77777777" w:rsidR="00B97365" w:rsidRDefault="00000000">
            <w:pPr>
              <w:jc w:val="center"/>
              <w:rPr>
                <w:rFonts w:cs="Calibri"/>
                <w:sz w:val="16"/>
                <w:szCs w:val="16"/>
              </w:rPr>
            </w:pPr>
            <w:r>
              <w:rPr>
                <w:rFonts w:cs="Calibri"/>
                <w:sz w:val="16"/>
                <w:szCs w:val="16"/>
              </w:rPr>
              <w:t>Not allowed,</w:t>
            </w:r>
          </w:p>
          <w:p w14:paraId="07305D6D" w14:textId="77777777" w:rsidR="00B97365" w:rsidRDefault="00000000">
            <w:pPr>
              <w:jc w:val="center"/>
              <w:rPr>
                <w:rFonts w:cs="Calibri"/>
                <w:sz w:val="16"/>
                <w:szCs w:val="16"/>
              </w:rPr>
            </w:pPr>
            <w:r>
              <w:rPr>
                <w:rFonts w:cs="Calibri"/>
                <w:sz w:val="16"/>
                <w:szCs w:val="16"/>
              </w:rPr>
              <w:t>Auto-delete}</w:t>
            </w:r>
          </w:p>
        </w:tc>
        <w:tc>
          <w:tcPr>
            <w:tcW w:w="0" w:type="auto"/>
            <w:tcBorders>
              <w:top w:val="single" w:sz="6" w:space="0" w:color="auto"/>
              <w:left w:val="single" w:sz="6" w:space="0" w:color="auto"/>
              <w:bottom w:val="single" w:sz="4" w:space="0" w:color="auto"/>
              <w:right w:val="single" w:sz="6" w:space="0" w:color="auto"/>
            </w:tcBorders>
            <w:vAlign w:val="center"/>
            <w:hideMark/>
          </w:tcPr>
          <w:p w14:paraId="657CD465"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0ED1092" w14:textId="77777777" w:rsidR="00B97365" w:rsidRDefault="00000000">
            <w:pPr>
              <w:jc w:val="center"/>
              <w:rPr>
                <w:rFonts w:cs="Calibri"/>
                <w:sz w:val="16"/>
                <w:szCs w:val="16"/>
              </w:rPr>
            </w:pPr>
            <w:r>
              <w:rPr>
                <w:rFonts w:cs="Calibri"/>
                <w:sz w:val="16"/>
                <w:szCs w:val="16"/>
              </w:rPr>
              <w:t>M</w:t>
            </w:r>
          </w:p>
        </w:tc>
      </w:tr>
    </w:tbl>
    <w:p w14:paraId="45A2E442"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POL2 Rule</w:t>
      </w:r>
    </w:p>
    <w:p w14:paraId="151B9527" w14:textId="16821D5E"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Policy Rules defined in GSMA ‘Remote Provisioning Architecture for Embedded UICC’ </w:t>
      </w:r>
      <w:r>
        <w:rPr>
          <w:rFonts w:cs="Arial"/>
          <w:szCs w:val="22"/>
          <w:lang w:val="en-US" w:eastAsia="en-GB" w:bidi="ar-SA"/>
        </w:rPr>
        <w:fldChar w:fldCharType="begin"/>
      </w:r>
      <w:r>
        <w:rPr>
          <w:rFonts w:cs="Arial"/>
          <w:szCs w:val="22"/>
          <w:lang w:val="en-US" w:eastAsia="en-GB" w:bidi="ar-SA"/>
        </w:rPr>
        <w:instrText xml:space="preserve"> REF _Ref483303259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[1]</w:t>
      </w:r>
      <w:r>
        <w:rPr>
          <w:rFonts w:cs="Arial"/>
          <w:szCs w:val="22"/>
          <w:lang w:val="en-US" w:eastAsia="en-GB" w:bidi="ar-SA"/>
        </w:rPr>
        <w:fldChar w:fldCharType="end"/>
      </w:r>
      <w:r>
        <w:rPr>
          <w:rFonts w:cs="Arial"/>
          <w:szCs w:val="22"/>
          <w:lang w:val="en-US" w:eastAsia="en-GB" w:bidi="ar-SA"/>
        </w:rPr>
        <w:t xml:space="preserve"> are translated as follows:</w:t>
      </w:r>
    </w:p>
    <w:p w14:paraId="5E35BACE" w14:textId="77777777" w:rsidR="00B97365" w:rsidRDefault="00000000">
      <w:pPr>
        <w:numPr>
          <w:ilvl w:val="0"/>
          <w:numId w:val="35"/>
        </w:numPr>
        <w:spacing w:before="0" w:after="200" w:line="276" w:lineRule="auto"/>
        <w:contextualSpacing/>
      </w:pPr>
      <w:r>
        <w:t>“Disabling of this Profile not allowed”</w:t>
      </w:r>
    </w:p>
    <w:p w14:paraId="4E4C4F2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Subject=”PROFILE”, action=”DISABLE”, qualification=”Not allowed”</w:t>
      </w:r>
    </w:p>
    <w:p w14:paraId="608618C2" w14:textId="77777777" w:rsidR="00B97365" w:rsidRDefault="00000000">
      <w:pPr>
        <w:numPr>
          <w:ilvl w:val="0"/>
          <w:numId w:val="35"/>
        </w:numPr>
        <w:spacing w:before="0" w:after="200" w:line="276" w:lineRule="auto"/>
        <w:contextualSpacing/>
      </w:pPr>
      <w:r>
        <w:t>“Deletion of this Profile not allowed”</w:t>
      </w:r>
    </w:p>
    <w:p w14:paraId="1370B92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Subject=”PROFILE”, action=”DELETE”, qualification=”Not allowed”</w:t>
      </w:r>
    </w:p>
    <w:p w14:paraId="667BA525" w14:textId="77777777" w:rsidR="00B97365" w:rsidRDefault="00000000">
      <w:pPr>
        <w:numPr>
          <w:ilvl w:val="0"/>
          <w:numId w:val="35"/>
        </w:numPr>
        <w:spacing w:before="0" w:after="200" w:line="276" w:lineRule="auto"/>
        <w:contextualSpacing/>
      </w:pPr>
      <w:r>
        <w:t>“Profile deletion is mandatory when it is disabled”</w:t>
      </w:r>
    </w:p>
    <w:p w14:paraId="307B5B1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Subject=”PROFILE”, action=”DISABLE”, qualification=”Auto-delete”</w:t>
      </w:r>
    </w:p>
    <w:p w14:paraId="0761D18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Any other combination SHALL be treated as </w:t>
      </w:r>
      <w:r>
        <w:rPr>
          <w:rFonts w:cs="Arial"/>
          <w:b/>
          <w:szCs w:val="22"/>
          <w:lang w:val="en-US" w:eastAsia="en-GB" w:bidi="ar-SA"/>
        </w:rPr>
        <w:t>not valid</w:t>
      </w:r>
      <w:r>
        <w:rPr>
          <w:rFonts w:cs="Arial"/>
          <w:szCs w:val="22"/>
          <w:lang w:val="en-US" w:eastAsia="en-GB" w:bidi="ar-SA"/>
        </w:rPr>
        <w:t xml:space="preserve"> regarding this specification release.</w:t>
      </w:r>
    </w:p>
    <w:p w14:paraId="4EB0EC68" w14:textId="77777777" w:rsidR="00B97365" w:rsidRDefault="00B97365">
      <w:pPr>
        <w:spacing w:before="0"/>
        <w:jc w:val="left"/>
        <w:rPr>
          <w:rFonts w:ascii="Arial Bold" w:eastAsia="Times New Roman" w:hAnsi="Arial Bold" w:cs="Arial"/>
          <w:b/>
          <w:bCs/>
          <w:szCs w:val="26"/>
          <w:lang w:val="en-US" w:eastAsia="en-US"/>
        </w:rPr>
      </w:pPr>
      <w:bookmarkStart w:id="3033" w:name="_Toc352671567"/>
    </w:p>
    <w:p w14:paraId="746A37FB"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34" w:name="_Toc368932259"/>
      <w:bookmarkStart w:id="3035" w:name="_Ref367977885"/>
      <w:bookmarkStart w:id="3036" w:name="_Ref367977874"/>
      <w:r>
        <w:rPr>
          <w:rFonts w:ascii="Arial Bold" w:eastAsia="Times New Roman" w:hAnsi="Arial Bold" w:cs="Arial"/>
          <w:szCs w:val="26"/>
          <w:lang w:val="en-US" w:eastAsia="en-US"/>
        </w:rPr>
        <w:t>POL2</w:t>
      </w:r>
      <w:bookmarkEnd w:id="3033"/>
      <w:bookmarkEnd w:id="3034"/>
      <w:bookmarkEnd w:id="3035"/>
      <w:bookmarkEnd w:id="3036"/>
    </w:p>
    <w:p w14:paraId="29F28F1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POL2 type is defined by the following data structure: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0"/>
        <w:gridCol w:w="3395"/>
        <w:gridCol w:w="1030"/>
        <w:gridCol w:w="434"/>
        <w:gridCol w:w="514"/>
      </w:tblGrid>
      <w:tr w:rsidR="00B97365" w14:paraId="1A1C89AC"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9686FBF"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693DF09"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1E01E48"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DF68AF8"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63E2BA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002BCB10"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3DA3837" w14:textId="77777777" w:rsidR="00B97365" w:rsidRDefault="00000000">
            <w:pPr>
              <w:rPr>
                <w:rFonts w:cs="Calibri"/>
                <w:sz w:val="16"/>
                <w:szCs w:val="16"/>
              </w:rPr>
            </w:pPr>
            <w:r>
              <w:rPr>
                <w:rFonts w:cs="Calibri"/>
                <w:sz w:val="16"/>
                <w:szCs w:val="16"/>
              </w:rPr>
              <w:t>Rules</w:t>
            </w:r>
          </w:p>
        </w:tc>
        <w:tc>
          <w:tcPr>
            <w:tcW w:w="0" w:type="auto"/>
            <w:tcBorders>
              <w:top w:val="single" w:sz="6" w:space="0" w:color="auto"/>
              <w:left w:val="single" w:sz="6" w:space="0" w:color="auto"/>
              <w:bottom w:val="single" w:sz="4" w:space="0" w:color="auto"/>
              <w:right w:val="single" w:sz="6" w:space="0" w:color="auto"/>
            </w:tcBorders>
            <w:vAlign w:val="center"/>
            <w:hideMark/>
          </w:tcPr>
          <w:p w14:paraId="75AB80AD" w14:textId="77777777" w:rsidR="00B97365" w:rsidRDefault="00000000">
            <w:pPr>
              <w:rPr>
                <w:rFonts w:cs="Calibri"/>
                <w:sz w:val="16"/>
                <w:szCs w:val="16"/>
              </w:rPr>
            </w:pPr>
            <w:r>
              <w:rPr>
                <w:rFonts w:cs="Calibri"/>
                <w:sz w:val="16"/>
                <w:szCs w:val="16"/>
              </w:rPr>
              <w:t>List of Policy Rules defined for a given Profile.</w:t>
            </w:r>
          </w:p>
        </w:tc>
        <w:tc>
          <w:tcPr>
            <w:tcW w:w="0" w:type="auto"/>
            <w:tcBorders>
              <w:top w:val="single" w:sz="6" w:space="0" w:color="auto"/>
              <w:left w:val="single" w:sz="6" w:space="0" w:color="auto"/>
              <w:bottom w:val="single" w:sz="4" w:space="0" w:color="auto"/>
              <w:right w:val="single" w:sz="6" w:space="0" w:color="auto"/>
            </w:tcBorders>
            <w:vAlign w:val="center"/>
            <w:hideMark/>
          </w:tcPr>
          <w:p w14:paraId="4F745FDD" w14:textId="77777777" w:rsidR="00B97365" w:rsidRDefault="00000000">
            <w:pPr>
              <w:jc w:val="center"/>
              <w:rPr>
                <w:rFonts w:cs="Calibri"/>
                <w:sz w:val="16"/>
                <w:szCs w:val="16"/>
              </w:rPr>
            </w:pPr>
            <w:r>
              <w:rPr>
                <w:rFonts w:cs="Calibri"/>
                <w:sz w:val="16"/>
                <w:szCs w:val="16"/>
              </w:rPr>
              <w:t>POL2-RULE</w:t>
            </w:r>
          </w:p>
        </w:tc>
        <w:tc>
          <w:tcPr>
            <w:tcW w:w="0" w:type="auto"/>
            <w:tcBorders>
              <w:top w:val="single" w:sz="6" w:space="0" w:color="auto"/>
              <w:left w:val="single" w:sz="6" w:space="0" w:color="auto"/>
              <w:bottom w:val="single" w:sz="4" w:space="0" w:color="auto"/>
              <w:right w:val="single" w:sz="6" w:space="0" w:color="auto"/>
            </w:tcBorders>
            <w:vAlign w:val="center"/>
            <w:hideMark/>
          </w:tcPr>
          <w:p w14:paraId="3E8E743B" w14:textId="77777777" w:rsidR="00B97365" w:rsidRDefault="00000000">
            <w:pPr>
              <w:jc w:val="center"/>
              <w:rPr>
                <w:rFonts w:cs="Calibri"/>
                <w:sz w:val="16"/>
                <w:szCs w:val="16"/>
              </w:rPr>
            </w:pPr>
            <w:r>
              <w:rPr>
                <w:rFonts w:cs="Calibri"/>
                <w:sz w:val="16"/>
                <w:szCs w:val="16"/>
              </w:rPr>
              <w:t>1..N</w:t>
            </w:r>
          </w:p>
        </w:tc>
        <w:tc>
          <w:tcPr>
            <w:tcW w:w="0" w:type="auto"/>
            <w:tcBorders>
              <w:top w:val="single" w:sz="6" w:space="0" w:color="auto"/>
              <w:left w:val="single" w:sz="6" w:space="0" w:color="auto"/>
              <w:bottom w:val="single" w:sz="4" w:space="0" w:color="auto"/>
              <w:right w:val="single" w:sz="4" w:space="0" w:color="auto"/>
            </w:tcBorders>
            <w:vAlign w:val="center"/>
            <w:hideMark/>
          </w:tcPr>
          <w:p w14:paraId="7A0DD831" w14:textId="77777777" w:rsidR="00B97365" w:rsidRDefault="00000000">
            <w:pPr>
              <w:jc w:val="center"/>
              <w:rPr>
                <w:rFonts w:cs="Calibri"/>
                <w:sz w:val="16"/>
                <w:szCs w:val="16"/>
              </w:rPr>
            </w:pPr>
            <w:r>
              <w:rPr>
                <w:rFonts w:cs="Calibri"/>
                <w:sz w:val="16"/>
                <w:szCs w:val="16"/>
              </w:rPr>
              <w:t>O</w:t>
            </w:r>
          </w:p>
        </w:tc>
      </w:tr>
    </w:tbl>
    <w:p w14:paraId="2B19D0A6"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POL2 Type</w:t>
      </w:r>
    </w:p>
    <w:p w14:paraId="18662DC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An empty POL2 SHALL be represented as a POL2 data structure having no rules inside</w:t>
      </w:r>
    </w:p>
    <w:p w14:paraId="22F5DE84"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37" w:name="_Toc352671568"/>
      <w:bookmarkStart w:id="3038" w:name="_Toc368932260"/>
      <w:bookmarkStart w:id="3039" w:name="_Ref367977276"/>
      <w:bookmarkStart w:id="3040" w:name="_Ref367977268"/>
      <w:bookmarkStart w:id="3041" w:name="_Ref367977261"/>
      <w:bookmarkStart w:id="3042" w:name="_Ref367977253"/>
      <w:bookmarkStart w:id="3043" w:name="_Ref367977229"/>
      <w:bookmarkStart w:id="3044" w:name="_Ref367977222"/>
      <w:bookmarkStart w:id="3045" w:name="_Ref367977195"/>
      <w:bookmarkStart w:id="3046" w:name="_Ref367977187"/>
      <w:bookmarkStart w:id="3047" w:name="_Ref367977144"/>
      <w:bookmarkStart w:id="3048" w:name="_Ref367977115"/>
      <w:bookmarkStart w:id="3049" w:name="_Ref367977085"/>
      <w:bookmarkStart w:id="3050" w:name="_Ref367977077"/>
      <w:bookmarkStart w:id="3051" w:name="_Ref367970445"/>
      <w:bookmarkStart w:id="3052" w:name="_Ref487122449"/>
      <w:bookmarkStart w:id="3053" w:name="_Ref536114978"/>
      <w:r>
        <w:rPr>
          <w:rFonts w:ascii="Arial Bold" w:eastAsia="Times New Roman" w:hAnsi="Arial Bold" w:cs="Arial"/>
          <w:szCs w:val="26"/>
          <w:lang w:val="en-US" w:eastAsia="en-US"/>
        </w:rPr>
        <w:t>PROFILE</w:t>
      </w:r>
      <w:bookmarkEnd w:id="3037"/>
      <w:r>
        <w:rPr>
          <w:rFonts w:ascii="Arial Bold" w:eastAsia="Times New Roman" w:hAnsi="Arial Bold" w:cs="Arial"/>
          <w:szCs w:val="26"/>
          <w:lang w:val="en-US" w:eastAsia="en-US"/>
        </w:rPr>
        <w:t xml:space="preserve"> INFO</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4D66378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PROFILE INFO</w:t>
      </w:r>
      <w:r>
        <w:rPr>
          <w:rFonts w:cs="Arial"/>
          <w:szCs w:val="22"/>
          <w:lang w:val="en-US" w:eastAsia="en-GB" w:bidi="ar-SA"/>
        </w:rPr>
        <w:t xml:space="preserve"> type is defined by:</w:t>
      </w:r>
    </w:p>
    <w:tbl>
      <w:tblPr>
        <w:tblW w:w="880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60"/>
        <w:gridCol w:w="5391"/>
        <w:gridCol w:w="987"/>
        <w:gridCol w:w="567"/>
      </w:tblGrid>
      <w:tr w:rsidR="00B97365" w14:paraId="1A10C93E" w14:textId="77777777">
        <w:trPr>
          <w:cantSplit/>
          <w:trHeight w:val="342"/>
        </w:trPr>
        <w:tc>
          <w:tcPr>
            <w:tcW w:w="186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56D447B" w14:textId="77777777" w:rsidR="00B97365" w:rsidRDefault="00000000">
            <w:pPr>
              <w:jc w:val="center"/>
              <w:rPr>
                <w:rFonts w:cs="Calibri"/>
                <w:b/>
                <w:color w:val="FFFFFF"/>
                <w:sz w:val="16"/>
                <w:szCs w:val="16"/>
              </w:rPr>
            </w:pPr>
            <w:r>
              <w:rPr>
                <w:rFonts w:cs="Calibri"/>
                <w:b/>
                <w:color w:val="FFFFFF"/>
                <w:sz w:val="16"/>
                <w:szCs w:val="16"/>
              </w:rPr>
              <w:t>Data name</w:t>
            </w:r>
          </w:p>
        </w:tc>
        <w:tc>
          <w:tcPr>
            <w:tcW w:w="539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BE907FD" w14:textId="77777777" w:rsidR="00B97365" w:rsidRDefault="00000000">
            <w:pPr>
              <w:jc w:val="center"/>
              <w:rPr>
                <w:rFonts w:cs="Calibri"/>
                <w:b/>
                <w:color w:val="FFFFFF"/>
                <w:sz w:val="16"/>
                <w:szCs w:val="16"/>
              </w:rPr>
            </w:pPr>
            <w:r>
              <w:rPr>
                <w:rFonts w:cs="Calibri"/>
                <w:b/>
                <w:color w:val="FFFFFF"/>
                <w:sz w:val="16"/>
                <w:szCs w:val="16"/>
              </w:rPr>
              <w:t>Description</w:t>
            </w:r>
          </w:p>
        </w:tc>
        <w:tc>
          <w:tcPr>
            <w:tcW w:w="98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5E43E91" w14:textId="77777777" w:rsidR="00B97365" w:rsidRDefault="00000000">
            <w:pPr>
              <w:jc w:val="center"/>
              <w:rPr>
                <w:rFonts w:cs="Calibri"/>
                <w:b/>
                <w:color w:val="FFFFFF"/>
                <w:sz w:val="16"/>
                <w:szCs w:val="16"/>
              </w:rPr>
            </w:pPr>
            <w:r>
              <w:rPr>
                <w:rFonts w:cs="Calibri"/>
                <w:b/>
                <w:color w:val="FFFFFF"/>
                <w:sz w:val="16"/>
                <w:szCs w:val="16"/>
              </w:rPr>
              <w:t>Type</w:t>
            </w:r>
          </w:p>
        </w:tc>
        <w:tc>
          <w:tcPr>
            <w:tcW w:w="56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041095B" w14:textId="77777777" w:rsidR="00B97365" w:rsidRDefault="00000000">
            <w:pPr>
              <w:jc w:val="center"/>
              <w:rPr>
                <w:rFonts w:cs="Calibri"/>
                <w:b/>
                <w:color w:val="FFFFFF"/>
                <w:sz w:val="16"/>
                <w:szCs w:val="16"/>
              </w:rPr>
            </w:pPr>
            <w:r>
              <w:rPr>
                <w:rFonts w:cs="Calibri"/>
                <w:b/>
                <w:color w:val="FFFFFF"/>
                <w:sz w:val="16"/>
                <w:szCs w:val="16"/>
              </w:rPr>
              <w:t>No.</w:t>
            </w:r>
          </w:p>
        </w:tc>
      </w:tr>
      <w:tr w:rsidR="00B97365" w14:paraId="34BDFBC4"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1105198E" w14:textId="77777777" w:rsidR="00B97365" w:rsidRDefault="00000000">
            <w:pPr>
              <w:rPr>
                <w:rFonts w:cs="Calibri"/>
                <w:sz w:val="16"/>
                <w:szCs w:val="16"/>
              </w:rPr>
            </w:pPr>
            <w:r>
              <w:rPr>
                <w:rFonts w:cs="Calibri"/>
                <w:sz w:val="16"/>
                <w:szCs w:val="16"/>
              </w:rPr>
              <w:t>iccid</w:t>
            </w:r>
          </w:p>
        </w:tc>
        <w:tc>
          <w:tcPr>
            <w:tcW w:w="5391" w:type="dxa"/>
            <w:tcBorders>
              <w:top w:val="single" w:sz="6" w:space="0" w:color="auto"/>
              <w:left w:val="single" w:sz="6" w:space="0" w:color="auto"/>
              <w:bottom w:val="single" w:sz="6" w:space="0" w:color="auto"/>
              <w:right w:val="single" w:sz="6" w:space="0" w:color="auto"/>
            </w:tcBorders>
            <w:vAlign w:val="center"/>
            <w:hideMark/>
          </w:tcPr>
          <w:p w14:paraId="0BB221C0" w14:textId="77777777" w:rsidR="00B97365" w:rsidRDefault="00000000">
            <w:pPr>
              <w:rPr>
                <w:rFonts w:cs="Calibri"/>
                <w:sz w:val="16"/>
                <w:szCs w:val="16"/>
              </w:rPr>
            </w:pPr>
            <w:r>
              <w:rPr>
                <w:rFonts w:cs="Calibri"/>
                <w:sz w:val="16"/>
                <w:szCs w:val="16"/>
              </w:rPr>
              <w:t>Identification of the Profile.</w:t>
            </w:r>
          </w:p>
        </w:tc>
        <w:tc>
          <w:tcPr>
            <w:tcW w:w="987" w:type="dxa"/>
            <w:tcBorders>
              <w:top w:val="single" w:sz="6" w:space="0" w:color="auto"/>
              <w:left w:val="single" w:sz="6" w:space="0" w:color="auto"/>
              <w:bottom w:val="single" w:sz="6" w:space="0" w:color="auto"/>
              <w:right w:val="single" w:sz="6" w:space="0" w:color="auto"/>
            </w:tcBorders>
            <w:vAlign w:val="center"/>
            <w:hideMark/>
          </w:tcPr>
          <w:p w14:paraId="4BC568F7" w14:textId="77777777" w:rsidR="00B97365" w:rsidRDefault="00000000">
            <w:pPr>
              <w:jc w:val="center"/>
              <w:rPr>
                <w:rFonts w:cs="Calibri"/>
                <w:sz w:val="16"/>
                <w:szCs w:val="16"/>
              </w:rPr>
            </w:pPr>
            <w:r>
              <w:rPr>
                <w:rFonts w:cs="Calibri"/>
                <w:sz w:val="16"/>
                <w:szCs w:val="16"/>
              </w:rPr>
              <w:t>ICCID</w:t>
            </w:r>
          </w:p>
        </w:tc>
        <w:tc>
          <w:tcPr>
            <w:tcW w:w="567" w:type="dxa"/>
            <w:tcBorders>
              <w:top w:val="single" w:sz="6" w:space="0" w:color="auto"/>
              <w:left w:val="single" w:sz="6" w:space="0" w:color="auto"/>
              <w:bottom w:val="single" w:sz="6" w:space="0" w:color="auto"/>
              <w:right w:val="single" w:sz="6" w:space="0" w:color="auto"/>
            </w:tcBorders>
            <w:vAlign w:val="center"/>
            <w:hideMark/>
          </w:tcPr>
          <w:p w14:paraId="6F5897A1" w14:textId="77777777" w:rsidR="00B97365" w:rsidRDefault="00000000">
            <w:pPr>
              <w:jc w:val="center"/>
              <w:rPr>
                <w:rFonts w:cs="Calibri"/>
                <w:sz w:val="16"/>
                <w:szCs w:val="16"/>
              </w:rPr>
            </w:pPr>
            <w:r>
              <w:rPr>
                <w:rFonts w:cs="Calibri"/>
                <w:sz w:val="16"/>
                <w:szCs w:val="16"/>
              </w:rPr>
              <w:t>1</w:t>
            </w:r>
          </w:p>
        </w:tc>
      </w:tr>
      <w:tr w:rsidR="00B97365" w14:paraId="5E550A8E"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777066D7" w14:textId="77777777" w:rsidR="00B97365" w:rsidRDefault="00000000">
            <w:pPr>
              <w:rPr>
                <w:rFonts w:cs="Calibri"/>
                <w:sz w:val="16"/>
                <w:szCs w:val="16"/>
              </w:rPr>
            </w:pPr>
            <w:r>
              <w:rPr>
                <w:rFonts w:cs="Calibri"/>
                <w:sz w:val="16"/>
                <w:szCs w:val="16"/>
              </w:rPr>
              <w:t>isd-p-aid</w:t>
            </w:r>
          </w:p>
        </w:tc>
        <w:tc>
          <w:tcPr>
            <w:tcW w:w="5391" w:type="dxa"/>
            <w:tcBorders>
              <w:top w:val="single" w:sz="6" w:space="0" w:color="auto"/>
              <w:left w:val="single" w:sz="6" w:space="0" w:color="auto"/>
              <w:bottom w:val="single" w:sz="6" w:space="0" w:color="auto"/>
              <w:right w:val="single" w:sz="6" w:space="0" w:color="auto"/>
            </w:tcBorders>
            <w:vAlign w:val="center"/>
            <w:hideMark/>
          </w:tcPr>
          <w:p w14:paraId="2E2641BD" w14:textId="4FA02F42" w:rsidR="00B97365" w:rsidRDefault="00000000">
            <w:pPr>
              <w:rPr>
                <w:rFonts w:cs="Calibri"/>
                <w:sz w:val="16"/>
                <w:szCs w:val="16"/>
              </w:rPr>
            </w:pPr>
            <w:r>
              <w:rPr>
                <w:rFonts w:cs="Calibri"/>
                <w:sz w:val="16"/>
                <w:szCs w:val="16"/>
              </w:rPr>
              <w:t xml:space="preserve">The ISD-P-AID of the ISD-P containing the Profile. This is the AID that has been allocated at ISD-P creation time by the SM-SR. The TAR of the ISD-P is included in the ISD-P-AID. See section </w:t>
            </w:r>
            <w:r>
              <w:fldChar w:fldCharType="begin"/>
            </w:r>
            <w:r>
              <w:instrText xml:space="preserve"> REF _Ref367973299 \r \h  \* MERGEFORMAT </w:instrText>
            </w:r>
            <w:r>
              <w:fldChar w:fldCharType="separate"/>
            </w:r>
            <w:r w:rsidR="001D5AD9" w:rsidRPr="001D5AD9">
              <w:rPr>
                <w:rFonts w:cs="Calibri"/>
                <w:sz w:val="16"/>
                <w:szCs w:val="16"/>
              </w:rPr>
              <w:t>2.2.1.3</w:t>
            </w:r>
            <w:r>
              <w:fldChar w:fldCharType="end"/>
            </w:r>
            <w:r>
              <w:rPr>
                <w:rFonts w:cs="Calibri"/>
                <w:sz w:val="16"/>
                <w:szCs w:val="16"/>
              </w:rPr>
              <w:t>.</w:t>
            </w:r>
          </w:p>
        </w:tc>
        <w:tc>
          <w:tcPr>
            <w:tcW w:w="987" w:type="dxa"/>
            <w:tcBorders>
              <w:top w:val="single" w:sz="6" w:space="0" w:color="auto"/>
              <w:left w:val="single" w:sz="6" w:space="0" w:color="auto"/>
              <w:bottom w:val="single" w:sz="6" w:space="0" w:color="auto"/>
              <w:right w:val="single" w:sz="6" w:space="0" w:color="auto"/>
            </w:tcBorders>
            <w:vAlign w:val="center"/>
            <w:hideMark/>
          </w:tcPr>
          <w:p w14:paraId="0CB4BE6A" w14:textId="77777777" w:rsidR="00B97365" w:rsidRDefault="00000000">
            <w:pPr>
              <w:jc w:val="center"/>
              <w:rPr>
                <w:rFonts w:cs="Calibri"/>
                <w:sz w:val="16"/>
                <w:szCs w:val="16"/>
              </w:rPr>
            </w:pPr>
            <w:r>
              <w:rPr>
                <w:rFonts w:cs="Calibri"/>
                <w:sz w:val="16"/>
                <w:szCs w:val="16"/>
              </w:rPr>
              <w:t>AID</w:t>
            </w:r>
          </w:p>
        </w:tc>
        <w:tc>
          <w:tcPr>
            <w:tcW w:w="567" w:type="dxa"/>
            <w:tcBorders>
              <w:top w:val="single" w:sz="6" w:space="0" w:color="auto"/>
              <w:left w:val="single" w:sz="6" w:space="0" w:color="auto"/>
              <w:bottom w:val="single" w:sz="6" w:space="0" w:color="auto"/>
              <w:right w:val="single" w:sz="6" w:space="0" w:color="auto"/>
            </w:tcBorders>
            <w:vAlign w:val="center"/>
            <w:hideMark/>
          </w:tcPr>
          <w:p w14:paraId="0CF99851" w14:textId="77777777" w:rsidR="00B97365" w:rsidRDefault="00000000">
            <w:pPr>
              <w:jc w:val="center"/>
              <w:rPr>
                <w:rFonts w:cs="Calibri"/>
                <w:sz w:val="16"/>
                <w:szCs w:val="16"/>
              </w:rPr>
            </w:pPr>
            <w:r>
              <w:rPr>
                <w:rFonts w:cs="Calibri"/>
                <w:sz w:val="16"/>
                <w:szCs w:val="16"/>
              </w:rPr>
              <w:t>1</w:t>
            </w:r>
          </w:p>
        </w:tc>
      </w:tr>
      <w:tr w:rsidR="00B97365" w14:paraId="2AA42D1E"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7F82CD16" w14:textId="77777777" w:rsidR="00B97365" w:rsidRDefault="00000000">
            <w:pPr>
              <w:rPr>
                <w:rFonts w:cs="Calibri"/>
                <w:sz w:val="16"/>
                <w:szCs w:val="16"/>
              </w:rPr>
            </w:pPr>
            <w:r>
              <w:rPr>
                <w:rFonts w:cs="Calibri"/>
                <w:sz w:val="16"/>
                <w:szCs w:val="16"/>
              </w:rPr>
              <w:t>mno-id</w:t>
            </w:r>
          </w:p>
        </w:tc>
        <w:tc>
          <w:tcPr>
            <w:tcW w:w="5391" w:type="dxa"/>
            <w:tcBorders>
              <w:top w:val="single" w:sz="6" w:space="0" w:color="auto"/>
              <w:left w:val="single" w:sz="6" w:space="0" w:color="auto"/>
              <w:bottom w:val="single" w:sz="6" w:space="0" w:color="auto"/>
              <w:right w:val="single" w:sz="6" w:space="0" w:color="auto"/>
            </w:tcBorders>
            <w:vAlign w:val="center"/>
          </w:tcPr>
          <w:p w14:paraId="5802CD96" w14:textId="77777777" w:rsidR="00B97365" w:rsidRDefault="00000000">
            <w:pPr>
              <w:rPr>
                <w:rFonts w:cs="Calibri"/>
                <w:sz w:val="16"/>
                <w:szCs w:val="16"/>
              </w:rPr>
            </w:pPr>
            <w:r>
              <w:rPr>
                <w:rFonts w:cs="Calibri"/>
                <w:sz w:val="16"/>
                <w:szCs w:val="16"/>
              </w:rPr>
              <w:t xml:space="preserve">Identification of the Operator owner of the Profile. </w:t>
            </w:r>
          </w:p>
          <w:p w14:paraId="7E95D26C" w14:textId="77777777" w:rsidR="00B97365" w:rsidRDefault="00000000">
            <w:pPr>
              <w:rPr>
                <w:rFonts w:cs="Calibri"/>
                <w:sz w:val="16"/>
                <w:szCs w:val="16"/>
              </w:rPr>
            </w:pPr>
            <w:r>
              <w:rPr>
                <w:rFonts w:cs="Calibri"/>
                <w:sz w:val="16"/>
                <w:szCs w:val="16"/>
              </w:rPr>
              <w:t>Once this information is associated to the Profile, it remains unchanged during the Profile’s life-time.</w:t>
            </w:r>
          </w:p>
          <w:p w14:paraId="54B67EC1" w14:textId="77777777" w:rsidR="00B97365" w:rsidRDefault="00B97365">
            <w:pPr>
              <w:rPr>
                <w:rFonts w:cs="Calibri"/>
                <w:sz w:val="16"/>
                <w:szCs w:val="16"/>
              </w:rPr>
            </w:pPr>
          </w:p>
        </w:tc>
        <w:tc>
          <w:tcPr>
            <w:tcW w:w="987" w:type="dxa"/>
            <w:tcBorders>
              <w:top w:val="single" w:sz="6" w:space="0" w:color="auto"/>
              <w:left w:val="single" w:sz="6" w:space="0" w:color="auto"/>
              <w:bottom w:val="single" w:sz="6" w:space="0" w:color="auto"/>
              <w:right w:val="single" w:sz="6" w:space="0" w:color="auto"/>
            </w:tcBorders>
            <w:vAlign w:val="center"/>
            <w:hideMark/>
          </w:tcPr>
          <w:p w14:paraId="7829A653" w14:textId="77777777" w:rsidR="00B97365" w:rsidRDefault="00000000">
            <w:pPr>
              <w:jc w:val="center"/>
              <w:rPr>
                <w:rFonts w:cs="Calibri"/>
                <w:sz w:val="16"/>
                <w:szCs w:val="16"/>
              </w:rPr>
            </w:pPr>
            <w:r>
              <w:rPr>
                <w:rFonts w:cs="Calibri"/>
                <w:sz w:val="16"/>
                <w:szCs w:val="16"/>
              </w:rPr>
              <w:t>OID</w:t>
            </w:r>
          </w:p>
        </w:tc>
        <w:tc>
          <w:tcPr>
            <w:tcW w:w="567" w:type="dxa"/>
            <w:tcBorders>
              <w:top w:val="single" w:sz="6" w:space="0" w:color="auto"/>
              <w:left w:val="single" w:sz="6" w:space="0" w:color="auto"/>
              <w:bottom w:val="single" w:sz="6" w:space="0" w:color="auto"/>
              <w:right w:val="single" w:sz="6" w:space="0" w:color="auto"/>
            </w:tcBorders>
            <w:vAlign w:val="center"/>
            <w:hideMark/>
          </w:tcPr>
          <w:p w14:paraId="70DEB3CA" w14:textId="77777777" w:rsidR="00B97365" w:rsidRDefault="00000000">
            <w:pPr>
              <w:jc w:val="center"/>
              <w:rPr>
                <w:rFonts w:cs="Calibri"/>
                <w:sz w:val="16"/>
                <w:szCs w:val="16"/>
              </w:rPr>
            </w:pPr>
            <w:r>
              <w:rPr>
                <w:rFonts w:cs="Calibri"/>
                <w:sz w:val="16"/>
                <w:szCs w:val="16"/>
              </w:rPr>
              <w:t>1</w:t>
            </w:r>
          </w:p>
        </w:tc>
      </w:tr>
      <w:tr w:rsidR="00B97365" w14:paraId="3F10EA51"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77639E8E" w14:textId="77777777" w:rsidR="00B97365" w:rsidRDefault="00000000">
            <w:pPr>
              <w:rPr>
                <w:rFonts w:cs="Calibri"/>
                <w:sz w:val="16"/>
                <w:szCs w:val="16"/>
              </w:rPr>
            </w:pPr>
            <w:r>
              <w:rPr>
                <w:rFonts w:cs="Calibri"/>
                <w:sz w:val="16"/>
                <w:szCs w:val="16"/>
              </w:rPr>
              <w:t>fallbackAttribute</w:t>
            </w:r>
          </w:p>
        </w:tc>
        <w:tc>
          <w:tcPr>
            <w:tcW w:w="5391" w:type="dxa"/>
            <w:tcBorders>
              <w:top w:val="single" w:sz="6" w:space="0" w:color="auto"/>
              <w:left w:val="single" w:sz="6" w:space="0" w:color="auto"/>
              <w:bottom w:val="single" w:sz="6" w:space="0" w:color="auto"/>
              <w:right w:val="single" w:sz="6" w:space="0" w:color="auto"/>
            </w:tcBorders>
            <w:vAlign w:val="center"/>
            <w:hideMark/>
          </w:tcPr>
          <w:p w14:paraId="43C69271" w14:textId="77777777" w:rsidR="00B97365" w:rsidRDefault="00000000">
            <w:pPr>
              <w:rPr>
                <w:rFonts w:cs="Calibri"/>
                <w:sz w:val="16"/>
                <w:szCs w:val="16"/>
              </w:rPr>
            </w:pPr>
            <w:r>
              <w:rPr>
                <w:rFonts w:cs="Calibri"/>
                <w:sz w:val="16"/>
                <w:szCs w:val="16"/>
              </w:rPr>
              <w:t xml:space="preserve">Boolean value to indicate the Profile having the Fall-Back Attribute set. </w:t>
            </w:r>
          </w:p>
        </w:tc>
        <w:tc>
          <w:tcPr>
            <w:tcW w:w="987" w:type="dxa"/>
            <w:tcBorders>
              <w:top w:val="single" w:sz="6" w:space="0" w:color="auto"/>
              <w:left w:val="single" w:sz="6" w:space="0" w:color="auto"/>
              <w:bottom w:val="single" w:sz="6" w:space="0" w:color="auto"/>
              <w:right w:val="single" w:sz="6" w:space="0" w:color="auto"/>
            </w:tcBorders>
            <w:vAlign w:val="center"/>
            <w:hideMark/>
          </w:tcPr>
          <w:p w14:paraId="33ECBF69" w14:textId="77777777" w:rsidR="00B97365" w:rsidRDefault="00000000">
            <w:pPr>
              <w:jc w:val="center"/>
              <w:rPr>
                <w:rFonts w:cs="Calibri"/>
                <w:sz w:val="16"/>
                <w:szCs w:val="16"/>
              </w:rPr>
            </w:pPr>
            <w:r>
              <w:rPr>
                <w:rFonts w:cs="Calibri"/>
                <w:sz w:val="16"/>
                <w:szCs w:val="16"/>
              </w:rPr>
              <w:t>Boolean</w:t>
            </w:r>
          </w:p>
        </w:tc>
        <w:tc>
          <w:tcPr>
            <w:tcW w:w="567" w:type="dxa"/>
            <w:tcBorders>
              <w:top w:val="single" w:sz="6" w:space="0" w:color="auto"/>
              <w:left w:val="single" w:sz="6" w:space="0" w:color="auto"/>
              <w:bottom w:val="single" w:sz="6" w:space="0" w:color="auto"/>
              <w:right w:val="single" w:sz="6" w:space="0" w:color="auto"/>
            </w:tcBorders>
            <w:vAlign w:val="center"/>
            <w:hideMark/>
          </w:tcPr>
          <w:p w14:paraId="1C77E821" w14:textId="77777777" w:rsidR="00B97365" w:rsidRDefault="00000000">
            <w:pPr>
              <w:jc w:val="center"/>
              <w:rPr>
                <w:rFonts w:cs="Calibri"/>
                <w:sz w:val="16"/>
                <w:szCs w:val="16"/>
              </w:rPr>
            </w:pPr>
            <w:r>
              <w:rPr>
                <w:rFonts w:cs="Calibri"/>
                <w:sz w:val="16"/>
                <w:szCs w:val="16"/>
              </w:rPr>
              <w:t>1</w:t>
            </w:r>
          </w:p>
        </w:tc>
      </w:tr>
      <w:tr w:rsidR="00B97365" w14:paraId="6B86361A"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06FA0556" w14:textId="77777777" w:rsidR="00B97365" w:rsidRDefault="00000000">
            <w:pPr>
              <w:rPr>
                <w:rFonts w:cs="Calibri"/>
                <w:sz w:val="16"/>
                <w:szCs w:val="16"/>
              </w:rPr>
            </w:pPr>
            <w:r>
              <w:rPr>
                <w:rFonts w:cs="Calibri"/>
                <w:sz w:val="16"/>
                <w:szCs w:val="16"/>
              </w:rPr>
              <w:t>subscriptionAddress</w:t>
            </w:r>
          </w:p>
        </w:tc>
        <w:tc>
          <w:tcPr>
            <w:tcW w:w="5391" w:type="dxa"/>
            <w:tcBorders>
              <w:top w:val="single" w:sz="6" w:space="0" w:color="auto"/>
              <w:left w:val="single" w:sz="6" w:space="0" w:color="auto"/>
              <w:bottom w:val="single" w:sz="6" w:space="0" w:color="auto"/>
              <w:right w:val="single" w:sz="6" w:space="0" w:color="auto"/>
            </w:tcBorders>
            <w:vAlign w:val="center"/>
            <w:hideMark/>
          </w:tcPr>
          <w:p w14:paraId="40AB7AE6" w14:textId="77777777" w:rsidR="00B97365" w:rsidRDefault="00000000">
            <w:pPr>
              <w:rPr>
                <w:rFonts w:cs="Calibri"/>
                <w:sz w:val="16"/>
                <w:szCs w:val="16"/>
              </w:rPr>
            </w:pPr>
            <w:r>
              <w:rPr>
                <w:rFonts w:cs="Calibri"/>
                <w:sz w:val="16"/>
                <w:szCs w:val="16"/>
              </w:rPr>
              <w:t>The address of the Subscription associated to this Profile.</w:t>
            </w:r>
          </w:p>
        </w:tc>
        <w:tc>
          <w:tcPr>
            <w:tcW w:w="987" w:type="dxa"/>
            <w:tcBorders>
              <w:top w:val="single" w:sz="6" w:space="0" w:color="auto"/>
              <w:left w:val="single" w:sz="6" w:space="0" w:color="auto"/>
              <w:bottom w:val="single" w:sz="6" w:space="0" w:color="auto"/>
              <w:right w:val="single" w:sz="6" w:space="0" w:color="auto"/>
            </w:tcBorders>
            <w:vAlign w:val="center"/>
            <w:hideMark/>
          </w:tcPr>
          <w:p w14:paraId="0D96AE69" w14:textId="77777777" w:rsidR="00B97365" w:rsidRDefault="00000000">
            <w:pPr>
              <w:jc w:val="center"/>
              <w:rPr>
                <w:rFonts w:cs="Calibri"/>
                <w:sz w:val="16"/>
                <w:szCs w:val="16"/>
              </w:rPr>
            </w:pPr>
            <w:r>
              <w:rPr>
                <w:rFonts w:cs="Calibri"/>
                <w:sz w:val="16"/>
                <w:szCs w:val="16"/>
              </w:rPr>
              <w:t>SUBSCRIPTION-ADDRESS</w:t>
            </w:r>
          </w:p>
        </w:tc>
        <w:tc>
          <w:tcPr>
            <w:tcW w:w="567" w:type="dxa"/>
            <w:tcBorders>
              <w:top w:val="single" w:sz="6" w:space="0" w:color="auto"/>
              <w:left w:val="single" w:sz="6" w:space="0" w:color="auto"/>
              <w:bottom w:val="single" w:sz="6" w:space="0" w:color="auto"/>
              <w:right w:val="single" w:sz="6" w:space="0" w:color="auto"/>
            </w:tcBorders>
            <w:vAlign w:val="center"/>
            <w:hideMark/>
          </w:tcPr>
          <w:p w14:paraId="68ADB85A" w14:textId="77777777" w:rsidR="00B97365" w:rsidRDefault="00000000">
            <w:pPr>
              <w:jc w:val="center"/>
              <w:rPr>
                <w:rFonts w:cs="Calibri"/>
                <w:sz w:val="16"/>
                <w:szCs w:val="16"/>
              </w:rPr>
            </w:pPr>
            <w:r>
              <w:rPr>
                <w:rFonts w:cs="Calibri"/>
                <w:sz w:val="16"/>
                <w:szCs w:val="16"/>
              </w:rPr>
              <w:t>1</w:t>
            </w:r>
          </w:p>
        </w:tc>
      </w:tr>
      <w:tr w:rsidR="00B97365" w14:paraId="2110EA31"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16D66262" w14:textId="77777777" w:rsidR="00B97365" w:rsidRDefault="00000000">
            <w:pPr>
              <w:rPr>
                <w:rFonts w:cs="Calibri"/>
                <w:sz w:val="16"/>
                <w:szCs w:val="16"/>
              </w:rPr>
            </w:pPr>
            <w:r>
              <w:rPr>
                <w:rFonts w:cs="Calibri"/>
                <w:sz w:val="16"/>
                <w:szCs w:val="16"/>
              </w:rPr>
              <w:t>state</w:t>
            </w:r>
          </w:p>
        </w:tc>
        <w:tc>
          <w:tcPr>
            <w:tcW w:w="5391" w:type="dxa"/>
            <w:tcBorders>
              <w:top w:val="single" w:sz="6" w:space="0" w:color="auto"/>
              <w:left w:val="single" w:sz="6" w:space="0" w:color="auto"/>
              <w:bottom w:val="single" w:sz="6" w:space="0" w:color="auto"/>
              <w:right w:val="single" w:sz="6" w:space="0" w:color="auto"/>
            </w:tcBorders>
            <w:vAlign w:val="center"/>
            <w:hideMark/>
          </w:tcPr>
          <w:p w14:paraId="39890279" w14:textId="2AD23527" w:rsidR="00B97365" w:rsidRDefault="00000000">
            <w:pPr>
              <w:rPr>
                <w:rFonts w:cs="Calibri"/>
                <w:sz w:val="16"/>
                <w:szCs w:val="16"/>
              </w:rPr>
            </w:pPr>
            <w:r>
              <w:rPr>
                <w:rFonts w:cs="Calibri"/>
                <w:sz w:val="16"/>
                <w:szCs w:val="16"/>
              </w:rPr>
              <w:t xml:space="preserve">The current state of the ISD-P containing the Profile as per defined in GSMA Remote Provisioning Architecture for Embedded UICC </w:t>
            </w:r>
            <w:r>
              <w:fldChar w:fldCharType="begin"/>
            </w:r>
            <w:r>
              <w:rPr>
                <w:rFonts w:cs="Calibri"/>
                <w:sz w:val="16"/>
                <w:szCs w:val="16"/>
              </w:rPr>
              <w:instrText xml:space="preserve"> REF _Ref421631399 \r \h </w:instrText>
            </w:r>
            <w:r>
              <w:fldChar w:fldCharType="separate"/>
            </w:r>
            <w:r w:rsidR="001D5AD9">
              <w:rPr>
                <w:rFonts w:cs="Calibri"/>
                <w:sz w:val="16"/>
                <w:szCs w:val="16"/>
              </w:rPr>
              <w:t>[1]</w:t>
            </w:r>
            <w:r>
              <w:fldChar w:fldCharType="end"/>
            </w:r>
            <w:r>
              <w:rPr>
                <w:rFonts w:cs="Calibri"/>
                <w:sz w:val="16"/>
                <w:szCs w:val="16"/>
              </w:rPr>
              <w:t>. The ‘Deleted’ state is not defined as a possible state; a ‘Deleted’ ISD-P will simply not appear in the list of eUICC Profiles.</w:t>
            </w:r>
          </w:p>
        </w:tc>
        <w:tc>
          <w:tcPr>
            <w:tcW w:w="987" w:type="dxa"/>
            <w:tcBorders>
              <w:top w:val="single" w:sz="6" w:space="0" w:color="auto"/>
              <w:left w:val="single" w:sz="6" w:space="0" w:color="auto"/>
              <w:bottom w:val="single" w:sz="6" w:space="0" w:color="auto"/>
              <w:right w:val="single" w:sz="6" w:space="0" w:color="auto"/>
            </w:tcBorders>
            <w:vAlign w:val="center"/>
            <w:hideMark/>
          </w:tcPr>
          <w:p w14:paraId="5830B0A0" w14:textId="77777777" w:rsidR="00B97365" w:rsidRDefault="00000000">
            <w:pPr>
              <w:jc w:val="center"/>
              <w:rPr>
                <w:rFonts w:cs="Calibri"/>
                <w:sz w:val="16"/>
                <w:szCs w:val="16"/>
              </w:rPr>
            </w:pPr>
            <w:r>
              <w:rPr>
                <w:rFonts w:cs="Calibri"/>
                <w:sz w:val="16"/>
                <w:szCs w:val="16"/>
              </w:rPr>
              <w:t>Enumeration{</w:t>
            </w:r>
          </w:p>
          <w:p w14:paraId="5EF4CDB4" w14:textId="77777777" w:rsidR="00B97365" w:rsidRDefault="00000000">
            <w:pPr>
              <w:jc w:val="center"/>
              <w:rPr>
                <w:rFonts w:cs="Calibri"/>
                <w:sz w:val="16"/>
                <w:szCs w:val="16"/>
              </w:rPr>
            </w:pPr>
            <w:r>
              <w:rPr>
                <w:rFonts w:cs="Calibri"/>
                <w:sz w:val="16"/>
                <w:szCs w:val="16"/>
              </w:rPr>
              <w:t>Created,</w:t>
            </w:r>
          </w:p>
          <w:p w14:paraId="70845B96" w14:textId="77777777" w:rsidR="00B97365" w:rsidRDefault="00000000">
            <w:pPr>
              <w:jc w:val="center"/>
              <w:rPr>
                <w:rFonts w:cs="Calibri"/>
                <w:sz w:val="16"/>
                <w:szCs w:val="16"/>
              </w:rPr>
            </w:pPr>
            <w:r>
              <w:rPr>
                <w:rFonts w:cs="Calibri"/>
                <w:sz w:val="16"/>
                <w:szCs w:val="16"/>
              </w:rPr>
              <w:t>Enabled,</w:t>
            </w:r>
          </w:p>
          <w:p w14:paraId="20BA8A99" w14:textId="77777777" w:rsidR="00B97365" w:rsidRDefault="00000000">
            <w:pPr>
              <w:jc w:val="center"/>
              <w:rPr>
                <w:rFonts w:cs="Calibri"/>
                <w:sz w:val="16"/>
                <w:szCs w:val="16"/>
              </w:rPr>
            </w:pPr>
            <w:r>
              <w:rPr>
                <w:rFonts w:cs="Calibri"/>
                <w:sz w:val="16"/>
                <w:szCs w:val="16"/>
              </w:rPr>
              <w:t>Disabled}</w:t>
            </w:r>
          </w:p>
        </w:tc>
        <w:tc>
          <w:tcPr>
            <w:tcW w:w="567" w:type="dxa"/>
            <w:tcBorders>
              <w:top w:val="single" w:sz="6" w:space="0" w:color="auto"/>
              <w:left w:val="single" w:sz="6" w:space="0" w:color="auto"/>
              <w:bottom w:val="single" w:sz="6" w:space="0" w:color="auto"/>
              <w:right w:val="single" w:sz="6" w:space="0" w:color="auto"/>
            </w:tcBorders>
            <w:vAlign w:val="center"/>
            <w:hideMark/>
          </w:tcPr>
          <w:p w14:paraId="2F63C1DC" w14:textId="77777777" w:rsidR="00B97365" w:rsidRDefault="00000000">
            <w:pPr>
              <w:jc w:val="center"/>
              <w:rPr>
                <w:rFonts w:cs="Calibri"/>
                <w:sz w:val="16"/>
                <w:szCs w:val="16"/>
              </w:rPr>
            </w:pPr>
            <w:r>
              <w:rPr>
                <w:rFonts w:cs="Calibri"/>
                <w:sz w:val="16"/>
                <w:szCs w:val="16"/>
              </w:rPr>
              <w:t>1</w:t>
            </w:r>
          </w:p>
        </w:tc>
      </w:tr>
      <w:tr w:rsidR="00B97365" w14:paraId="321C69C2"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20F52867" w14:textId="77777777" w:rsidR="00B97365" w:rsidRDefault="00000000">
            <w:pPr>
              <w:rPr>
                <w:rFonts w:cs="Calibri"/>
                <w:sz w:val="16"/>
                <w:szCs w:val="16"/>
              </w:rPr>
            </w:pPr>
            <w:r>
              <w:rPr>
                <w:rFonts w:cs="Calibri"/>
                <w:sz w:val="16"/>
                <w:szCs w:val="16"/>
              </w:rPr>
              <w:t>smdp-id</w:t>
            </w:r>
          </w:p>
        </w:tc>
        <w:tc>
          <w:tcPr>
            <w:tcW w:w="5391" w:type="dxa"/>
            <w:tcBorders>
              <w:top w:val="single" w:sz="6" w:space="0" w:color="auto"/>
              <w:left w:val="single" w:sz="6" w:space="0" w:color="auto"/>
              <w:bottom w:val="single" w:sz="6" w:space="0" w:color="auto"/>
              <w:right w:val="single" w:sz="6" w:space="0" w:color="auto"/>
            </w:tcBorders>
            <w:vAlign w:val="center"/>
            <w:hideMark/>
          </w:tcPr>
          <w:p w14:paraId="781BBFA5" w14:textId="77777777" w:rsidR="00B97365" w:rsidRDefault="00000000">
            <w:pPr>
              <w:rPr>
                <w:rFonts w:cs="Calibri"/>
                <w:sz w:val="16"/>
                <w:szCs w:val="16"/>
              </w:rPr>
            </w:pPr>
            <w:r>
              <w:rPr>
                <w:rFonts w:cs="Calibri"/>
                <w:sz w:val="16"/>
                <w:szCs w:val="16"/>
              </w:rPr>
              <w:t>Identification of the SM-DP that has initially downloaded and installed the Profile, or through which the Operator owning the profile MAY perform platform management. This value can be empty in case the Profile has been loaded during issuance of the eUICC, else the value is mandatory.</w:t>
            </w:r>
          </w:p>
          <w:p w14:paraId="5B94210A" w14:textId="77777777" w:rsidR="00B97365" w:rsidRDefault="00000000">
            <w:pPr>
              <w:rPr>
                <w:rFonts w:cs="Calibri"/>
                <w:sz w:val="16"/>
                <w:szCs w:val="16"/>
              </w:rPr>
            </w:pPr>
            <w:r>
              <w:rPr>
                <w:rFonts w:cs="Calibri"/>
                <w:sz w:val="16"/>
                <w:szCs w:val="16"/>
              </w:rPr>
              <w:t>Once this information is associated to the Profile, it remains unchanged during the Profile’s life-time.</w:t>
            </w:r>
          </w:p>
        </w:tc>
        <w:tc>
          <w:tcPr>
            <w:tcW w:w="987" w:type="dxa"/>
            <w:tcBorders>
              <w:top w:val="single" w:sz="6" w:space="0" w:color="auto"/>
              <w:left w:val="single" w:sz="6" w:space="0" w:color="auto"/>
              <w:bottom w:val="single" w:sz="6" w:space="0" w:color="auto"/>
              <w:right w:val="single" w:sz="6" w:space="0" w:color="auto"/>
            </w:tcBorders>
            <w:vAlign w:val="center"/>
            <w:hideMark/>
          </w:tcPr>
          <w:p w14:paraId="5CC45F76" w14:textId="77777777" w:rsidR="00B97365" w:rsidRDefault="00000000">
            <w:pPr>
              <w:jc w:val="center"/>
              <w:rPr>
                <w:rFonts w:cs="Calibri"/>
                <w:sz w:val="16"/>
                <w:szCs w:val="16"/>
              </w:rPr>
            </w:pPr>
            <w:r>
              <w:rPr>
                <w:rFonts w:cs="Calibri"/>
                <w:sz w:val="16"/>
                <w:szCs w:val="16"/>
              </w:rPr>
              <w:t>OID</w:t>
            </w:r>
          </w:p>
        </w:tc>
        <w:tc>
          <w:tcPr>
            <w:tcW w:w="567" w:type="dxa"/>
            <w:tcBorders>
              <w:top w:val="single" w:sz="6" w:space="0" w:color="auto"/>
              <w:left w:val="single" w:sz="6" w:space="0" w:color="auto"/>
              <w:bottom w:val="single" w:sz="6" w:space="0" w:color="auto"/>
              <w:right w:val="single" w:sz="6" w:space="0" w:color="auto"/>
            </w:tcBorders>
            <w:vAlign w:val="center"/>
            <w:hideMark/>
          </w:tcPr>
          <w:p w14:paraId="748F221B" w14:textId="77777777" w:rsidR="00B97365" w:rsidRDefault="00000000">
            <w:pPr>
              <w:jc w:val="center"/>
              <w:rPr>
                <w:rFonts w:cs="Calibri"/>
                <w:sz w:val="16"/>
                <w:szCs w:val="16"/>
              </w:rPr>
            </w:pPr>
            <w:r>
              <w:rPr>
                <w:rFonts w:cs="Calibri"/>
                <w:sz w:val="16"/>
                <w:szCs w:val="16"/>
              </w:rPr>
              <w:t>1</w:t>
            </w:r>
          </w:p>
        </w:tc>
      </w:tr>
      <w:tr w:rsidR="00B97365" w14:paraId="60348279"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07120C60" w14:textId="77777777" w:rsidR="00B97365" w:rsidRDefault="00000000">
            <w:pPr>
              <w:spacing w:after="60"/>
              <w:rPr>
                <w:rFonts w:eastAsia="Times New Roman" w:cs="Calibri"/>
                <w:sz w:val="16"/>
                <w:szCs w:val="16"/>
              </w:rPr>
            </w:pPr>
            <w:r>
              <w:rPr>
                <w:rFonts w:cs="Calibri"/>
                <w:sz w:val="16"/>
                <w:szCs w:val="16"/>
              </w:rPr>
              <w:t>ProfileType</w:t>
            </w:r>
          </w:p>
        </w:tc>
        <w:tc>
          <w:tcPr>
            <w:tcW w:w="5391" w:type="dxa"/>
            <w:tcBorders>
              <w:top w:val="single" w:sz="6" w:space="0" w:color="auto"/>
              <w:left w:val="single" w:sz="6" w:space="0" w:color="auto"/>
              <w:bottom w:val="single" w:sz="6" w:space="0" w:color="auto"/>
              <w:right w:val="single" w:sz="6" w:space="0" w:color="auto"/>
            </w:tcBorders>
            <w:vAlign w:val="center"/>
            <w:hideMark/>
          </w:tcPr>
          <w:p w14:paraId="5A716AA2" w14:textId="77777777" w:rsidR="00B97365" w:rsidRDefault="00000000">
            <w:pPr>
              <w:spacing w:after="60"/>
              <w:rPr>
                <w:rFonts w:eastAsia="Times New Roman" w:cs="Calibri"/>
                <w:sz w:val="16"/>
                <w:szCs w:val="16"/>
              </w:rPr>
            </w:pPr>
            <w:r>
              <w:rPr>
                <w:rFonts w:cs="Calibri"/>
                <w:sz w:val="16"/>
                <w:szCs w:val="16"/>
                <w:lang w:val="en-US"/>
              </w:rPr>
              <w:t>Indicates</w:t>
            </w:r>
            <w:r>
              <w:t xml:space="preserve"> </w:t>
            </w:r>
            <w:r>
              <w:rPr>
                <w:rFonts w:cs="Calibri"/>
                <w:sz w:val="16"/>
                <w:szCs w:val="16"/>
                <w:lang w:val="en-US"/>
              </w:rPr>
              <w:t>an Operator specific type of Profile generated by the SM-DP or personalised on the eUICC at point of manufacturing (for example 3G_16K)</w:t>
            </w:r>
          </w:p>
        </w:tc>
        <w:tc>
          <w:tcPr>
            <w:tcW w:w="987" w:type="dxa"/>
            <w:tcBorders>
              <w:top w:val="single" w:sz="6" w:space="0" w:color="auto"/>
              <w:left w:val="single" w:sz="6" w:space="0" w:color="auto"/>
              <w:bottom w:val="single" w:sz="6" w:space="0" w:color="auto"/>
              <w:right w:val="single" w:sz="6" w:space="0" w:color="auto"/>
            </w:tcBorders>
            <w:vAlign w:val="center"/>
            <w:hideMark/>
          </w:tcPr>
          <w:p w14:paraId="4C14A5B0" w14:textId="77777777" w:rsidR="00B97365" w:rsidRDefault="00000000">
            <w:pPr>
              <w:spacing w:after="60"/>
              <w:jc w:val="center"/>
              <w:rPr>
                <w:rFonts w:eastAsia="Times New Roman" w:cs="Calibri"/>
                <w:sz w:val="16"/>
                <w:szCs w:val="16"/>
              </w:rPr>
            </w:pPr>
            <w:r>
              <w:rPr>
                <w:rFonts w:eastAsia="Times New Roman" w:cs="Calibri"/>
                <w:sz w:val="16"/>
                <w:szCs w:val="16"/>
              </w:rPr>
              <w:t>String</w:t>
            </w:r>
          </w:p>
        </w:tc>
        <w:tc>
          <w:tcPr>
            <w:tcW w:w="567" w:type="dxa"/>
            <w:tcBorders>
              <w:top w:val="single" w:sz="6" w:space="0" w:color="auto"/>
              <w:left w:val="single" w:sz="6" w:space="0" w:color="auto"/>
              <w:bottom w:val="single" w:sz="6" w:space="0" w:color="auto"/>
              <w:right w:val="single" w:sz="6" w:space="0" w:color="auto"/>
            </w:tcBorders>
            <w:vAlign w:val="center"/>
            <w:hideMark/>
          </w:tcPr>
          <w:p w14:paraId="4F252CCD" w14:textId="77777777" w:rsidR="00B97365" w:rsidRDefault="00000000">
            <w:pPr>
              <w:spacing w:after="60"/>
              <w:jc w:val="center"/>
              <w:rPr>
                <w:rFonts w:eastAsia="Times New Roman" w:cs="Calibri"/>
                <w:sz w:val="16"/>
                <w:szCs w:val="16"/>
              </w:rPr>
            </w:pPr>
            <w:r>
              <w:rPr>
                <w:rFonts w:eastAsia="Times New Roman" w:cs="Calibri"/>
                <w:sz w:val="16"/>
                <w:szCs w:val="16"/>
              </w:rPr>
              <w:t>1</w:t>
            </w:r>
          </w:p>
        </w:tc>
      </w:tr>
      <w:tr w:rsidR="00B97365" w14:paraId="67A5F0D4"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597E392B" w14:textId="77777777" w:rsidR="00B97365" w:rsidRDefault="00000000">
            <w:pPr>
              <w:rPr>
                <w:rFonts w:cs="Calibri"/>
                <w:sz w:val="16"/>
                <w:szCs w:val="16"/>
              </w:rPr>
            </w:pPr>
            <w:r>
              <w:rPr>
                <w:rFonts w:cs="Calibri"/>
                <w:sz w:val="16"/>
                <w:szCs w:val="16"/>
              </w:rPr>
              <w:t>allocatedMemory</w:t>
            </w:r>
          </w:p>
        </w:tc>
        <w:tc>
          <w:tcPr>
            <w:tcW w:w="5391" w:type="dxa"/>
            <w:tcBorders>
              <w:top w:val="single" w:sz="6" w:space="0" w:color="auto"/>
              <w:left w:val="single" w:sz="6" w:space="0" w:color="auto"/>
              <w:bottom w:val="single" w:sz="6" w:space="0" w:color="auto"/>
              <w:right w:val="single" w:sz="6" w:space="0" w:color="auto"/>
            </w:tcBorders>
            <w:vAlign w:val="center"/>
            <w:hideMark/>
          </w:tcPr>
          <w:p w14:paraId="5A63FEF6" w14:textId="77777777" w:rsidR="00B97365" w:rsidRDefault="00000000">
            <w:pPr>
              <w:rPr>
                <w:rFonts w:cs="Calibri"/>
                <w:sz w:val="16"/>
                <w:szCs w:val="16"/>
              </w:rPr>
            </w:pPr>
            <w:r>
              <w:rPr>
                <w:rFonts w:cs="Calibri"/>
                <w:sz w:val="16"/>
                <w:szCs w:val="16"/>
              </w:rPr>
              <w:t>Indicates the amount of cumulative non volatile Memory granted to the ISD-P to contain the Profile.  Note that the allocated memory is different from the real required memory space for Profile installation; most of the time the allocated memory will be greater than the strict required memory space value.</w:t>
            </w:r>
          </w:p>
          <w:p w14:paraId="49390320" w14:textId="77777777" w:rsidR="00B97365" w:rsidRDefault="00000000">
            <w:pPr>
              <w:rPr>
                <w:rFonts w:cs="Calibri"/>
                <w:sz w:val="16"/>
                <w:szCs w:val="16"/>
              </w:rPr>
            </w:pPr>
            <w:r>
              <w:rPr>
                <w:rFonts w:cs="Calibri"/>
                <w:sz w:val="16"/>
                <w:szCs w:val="16"/>
              </w:rPr>
              <w:t>This information is provided in case of using the cumulative granted memory mechanism.</w:t>
            </w:r>
          </w:p>
          <w:p w14:paraId="2B39C1B6" w14:textId="77777777" w:rsidR="00B97365" w:rsidRDefault="00000000">
            <w:pPr>
              <w:rPr>
                <w:rFonts w:cs="Calibri"/>
                <w:sz w:val="16"/>
                <w:szCs w:val="16"/>
              </w:rPr>
            </w:pPr>
            <w:r>
              <w:rPr>
                <w:rFonts w:cs="Calibri"/>
                <w:sz w:val="16"/>
                <w:szCs w:val="16"/>
              </w:rPr>
              <w:t>The value is expressed in bytes.</w:t>
            </w:r>
          </w:p>
          <w:p w14:paraId="61C929D9" w14:textId="77777777" w:rsidR="00B97365" w:rsidRDefault="00000000">
            <w:pPr>
              <w:rPr>
                <w:rFonts w:cs="Calibri"/>
                <w:sz w:val="16"/>
                <w:szCs w:val="16"/>
              </w:rPr>
            </w:pPr>
            <w:r>
              <w:rPr>
                <w:rFonts w:cs="Calibri"/>
                <w:sz w:val="16"/>
                <w:szCs w:val="16"/>
              </w:rPr>
              <w:t>For compatibility with earlier versions of this specification, a value of 0 SHALL denote that no cumulative granted memory was specified during the installation of the ISD-P containing the Profile.</w:t>
            </w:r>
          </w:p>
        </w:tc>
        <w:tc>
          <w:tcPr>
            <w:tcW w:w="987" w:type="dxa"/>
            <w:tcBorders>
              <w:top w:val="single" w:sz="6" w:space="0" w:color="auto"/>
              <w:left w:val="single" w:sz="6" w:space="0" w:color="auto"/>
              <w:bottom w:val="single" w:sz="6" w:space="0" w:color="auto"/>
              <w:right w:val="single" w:sz="6" w:space="0" w:color="auto"/>
            </w:tcBorders>
            <w:vAlign w:val="center"/>
            <w:hideMark/>
          </w:tcPr>
          <w:p w14:paraId="7D5755A7" w14:textId="77777777" w:rsidR="00B97365" w:rsidRDefault="00000000">
            <w:pPr>
              <w:jc w:val="center"/>
              <w:rPr>
                <w:rFonts w:cs="Calibri"/>
                <w:sz w:val="16"/>
                <w:szCs w:val="16"/>
              </w:rPr>
            </w:pPr>
            <w:r>
              <w:rPr>
                <w:rFonts w:cs="Calibri"/>
                <w:sz w:val="16"/>
                <w:szCs w:val="16"/>
              </w:rPr>
              <w:t>Integer</w:t>
            </w:r>
          </w:p>
        </w:tc>
        <w:tc>
          <w:tcPr>
            <w:tcW w:w="567" w:type="dxa"/>
            <w:tcBorders>
              <w:top w:val="single" w:sz="6" w:space="0" w:color="auto"/>
              <w:left w:val="single" w:sz="6" w:space="0" w:color="auto"/>
              <w:bottom w:val="single" w:sz="6" w:space="0" w:color="auto"/>
              <w:right w:val="single" w:sz="6" w:space="0" w:color="auto"/>
            </w:tcBorders>
            <w:vAlign w:val="center"/>
            <w:hideMark/>
          </w:tcPr>
          <w:p w14:paraId="1A7DD01F" w14:textId="77777777" w:rsidR="00B97365" w:rsidRDefault="00000000">
            <w:pPr>
              <w:jc w:val="center"/>
              <w:rPr>
                <w:rFonts w:cs="Calibri"/>
                <w:sz w:val="16"/>
                <w:szCs w:val="16"/>
              </w:rPr>
            </w:pPr>
            <w:r>
              <w:rPr>
                <w:rFonts w:cs="Calibri"/>
                <w:sz w:val="16"/>
                <w:szCs w:val="16"/>
              </w:rPr>
              <w:t>1</w:t>
            </w:r>
          </w:p>
        </w:tc>
      </w:tr>
      <w:tr w:rsidR="00B97365" w14:paraId="5B814B58" w14:textId="77777777">
        <w:trPr>
          <w:cantSplit/>
          <w:trHeight w:val="282"/>
        </w:trPr>
        <w:tc>
          <w:tcPr>
            <w:tcW w:w="1860" w:type="dxa"/>
            <w:tcBorders>
              <w:top w:val="single" w:sz="6" w:space="0" w:color="auto"/>
              <w:left w:val="single" w:sz="4" w:space="0" w:color="auto"/>
              <w:bottom w:val="single" w:sz="6" w:space="0" w:color="auto"/>
              <w:right w:val="single" w:sz="6" w:space="0" w:color="auto"/>
            </w:tcBorders>
            <w:vAlign w:val="center"/>
            <w:hideMark/>
          </w:tcPr>
          <w:p w14:paraId="6414DE5D" w14:textId="77777777" w:rsidR="00B97365" w:rsidRDefault="00000000">
            <w:pPr>
              <w:spacing w:after="60"/>
              <w:rPr>
                <w:rFonts w:eastAsia="Times New Roman" w:cs="Calibri"/>
                <w:sz w:val="16"/>
                <w:szCs w:val="16"/>
              </w:rPr>
            </w:pPr>
            <w:r>
              <w:rPr>
                <w:rFonts w:cs="Calibri"/>
                <w:sz w:val="16"/>
                <w:szCs w:val="16"/>
              </w:rPr>
              <w:lastRenderedPageBreak/>
              <w:t>freeMemory</w:t>
            </w:r>
          </w:p>
        </w:tc>
        <w:tc>
          <w:tcPr>
            <w:tcW w:w="5391" w:type="dxa"/>
            <w:tcBorders>
              <w:top w:val="single" w:sz="6" w:space="0" w:color="auto"/>
              <w:left w:val="single" w:sz="6" w:space="0" w:color="auto"/>
              <w:bottom w:val="single" w:sz="6" w:space="0" w:color="auto"/>
              <w:right w:val="single" w:sz="6" w:space="0" w:color="auto"/>
            </w:tcBorders>
            <w:vAlign w:val="center"/>
          </w:tcPr>
          <w:p w14:paraId="0FA37E77" w14:textId="77777777" w:rsidR="00B97365" w:rsidRDefault="00000000">
            <w:pPr>
              <w:spacing w:after="60"/>
              <w:rPr>
                <w:rFonts w:eastAsia="Times New Roman" w:cs="Calibri"/>
                <w:sz w:val="16"/>
                <w:szCs w:val="16"/>
                <w:lang w:val="en-US"/>
              </w:rPr>
            </w:pPr>
            <w:r>
              <w:rPr>
                <w:rFonts w:cs="Calibri"/>
                <w:sz w:val="16"/>
                <w:szCs w:val="16"/>
                <w:lang w:val="en-US"/>
              </w:rPr>
              <w:t xml:space="preserve">Indicates the amount of memory free within Profile allocated space. This information is provided in case of using the cumulative granted memory mechanism. </w:t>
            </w:r>
          </w:p>
          <w:p w14:paraId="0E374532" w14:textId="77777777" w:rsidR="00B97365" w:rsidRDefault="00B97365">
            <w:pPr>
              <w:rPr>
                <w:rFonts w:cs="Calibri"/>
                <w:sz w:val="16"/>
                <w:szCs w:val="16"/>
              </w:rPr>
            </w:pPr>
          </w:p>
          <w:p w14:paraId="796637D9" w14:textId="77777777" w:rsidR="00B97365" w:rsidRDefault="00000000">
            <w:pPr>
              <w:rPr>
                <w:rFonts w:cs="Calibri"/>
                <w:sz w:val="16"/>
                <w:szCs w:val="16"/>
              </w:rPr>
            </w:pPr>
            <w:r>
              <w:rPr>
                <w:rFonts w:cs="Calibri"/>
                <w:sz w:val="16"/>
                <w:szCs w:val="16"/>
                <w:lang w:val="en-US"/>
              </w:rPr>
              <w:t>The value is expressed in bytes.</w:t>
            </w:r>
          </w:p>
        </w:tc>
        <w:tc>
          <w:tcPr>
            <w:tcW w:w="987" w:type="dxa"/>
            <w:tcBorders>
              <w:top w:val="single" w:sz="6" w:space="0" w:color="auto"/>
              <w:left w:val="single" w:sz="6" w:space="0" w:color="auto"/>
              <w:bottom w:val="single" w:sz="6" w:space="0" w:color="auto"/>
              <w:right w:val="single" w:sz="6" w:space="0" w:color="auto"/>
            </w:tcBorders>
            <w:vAlign w:val="center"/>
            <w:hideMark/>
          </w:tcPr>
          <w:p w14:paraId="617971DF" w14:textId="77777777" w:rsidR="00B97365" w:rsidRDefault="00000000">
            <w:pPr>
              <w:jc w:val="center"/>
              <w:rPr>
                <w:rFonts w:cs="Calibri"/>
                <w:sz w:val="16"/>
                <w:szCs w:val="16"/>
              </w:rPr>
            </w:pPr>
            <w:r>
              <w:rPr>
                <w:rFonts w:cs="Arial"/>
                <w:sz w:val="16"/>
                <w:szCs w:val="16"/>
                <w:lang w:val="en-US"/>
              </w:rPr>
              <w:t>Integer</w:t>
            </w:r>
          </w:p>
        </w:tc>
        <w:tc>
          <w:tcPr>
            <w:tcW w:w="567" w:type="dxa"/>
            <w:tcBorders>
              <w:top w:val="single" w:sz="6" w:space="0" w:color="auto"/>
              <w:left w:val="single" w:sz="6" w:space="0" w:color="auto"/>
              <w:bottom w:val="single" w:sz="6" w:space="0" w:color="auto"/>
              <w:right w:val="single" w:sz="6" w:space="0" w:color="auto"/>
            </w:tcBorders>
            <w:vAlign w:val="center"/>
            <w:hideMark/>
          </w:tcPr>
          <w:p w14:paraId="0B12638A" w14:textId="77777777" w:rsidR="00B97365" w:rsidRDefault="00000000">
            <w:pPr>
              <w:jc w:val="center"/>
              <w:rPr>
                <w:rFonts w:cs="Calibri"/>
                <w:sz w:val="16"/>
                <w:szCs w:val="16"/>
              </w:rPr>
            </w:pPr>
            <w:r>
              <w:rPr>
                <w:rFonts w:cs="Calibri"/>
                <w:sz w:val="16"/>
                <w:szCs w:val="16"/>
              </w:rPr>
              <w:t>1</w:t>
            </w:r>
          </w:p>
        </w:tc>
      </w:tr>
      <w:tr w:rsidR="00B97365" w14:paraId="58814AFC" w14:textId="77777777">
        <w:trPr>
          <w:cantSplit/>
          <w:trHeight w:val="282"/>
        </w:trPr>
        <w:tc>
          <w:tcPr>
            <w:tcW w:w="1860" w:type="dxa"/>
            <w:tcBorders>
              <w:top w:val="single" w:sz="6" w:space="0" w:color="auto"/>
              <w:left w:val="single" w:sz="4" w:space="0" w:color="auto"/>
              <w:bottom w:val="single" w:sz="4" w:space="0" w:color="auto"/>
              <w:right w:val="single" w:sz="6" w:space="0" w:color="auto"/>
            </w:tcBorders>
            <w:hideMark/>
          </w:tcPr>
          <w:p w14:paraId="0A34613D" w14:textId="77777777" w:rsidR="00B97365" w:rsidRDefault="00000000">
            <w:pPr>
              <w:spacing w:after="60"/>
              <w:rPr>
                <w:rFonts w:eastAsia="Times New Roman" w:cs="Calibri"/>
                <w:sz w:val="16"/>
                <w:szCs w:val="16"/>
              </w:rPr>
            </w:pPr>
            <w:r>
              <w:rPr>
                <w:rFonts w:cs="Calibri"/>
                <w:sz w:val="16"/>
                <w:szCs w:val="16"/>
              </w:rPr>
              <w:t>pol2</w:t>
            </w:r>
          </w:p>
        </w:tc>
        <w:tc>
          <w:tcPr>
            <w:tcW w:w="5391" w:type="dxa"/>
            <w:tcBorders>
              <w:top w:val="single" w:sz="6" w:space="0" w:color="auto"/>
              <w:left w:val="single" w:sz="6" w:space="0" w:color="auto"/>
              <w:bottom w:val="single" w:sz="4" w:space="0" w:color="auto"/>
              <w:right w:val="single" w:sz="6" w:space="0" w:color="auto"/>
            </w:tcBorders>
            <w:hideMark/>
          </w:tcPr>
          <w:p w14:paraId="168314B7" w14:textId="77777777" w:rsidR="00B97365" w:rsidRDefault="00000000">
            <w:pPr>
              <w:spacing w:after="60"/>
              <w:rPr>
                <w:rFonts w:eastAsia="Times New Roman" w:cs="Calibri"/>
                <w:sz w:val="16"/>
                <w:szCs w:val="16"/>
              </w:rPr>
            </w:pPr>
            <w:r>
              <w:rPr>
                <w:rFonts w:cs="Calibri"/>
                <w:sz w:val="16"/>
                <w:szCs w:val="16"/>
                <w:lang w:val="en-US"/>
              </w:rPr>
              <w:t xml:space="preserve">Contains the POL2 rules defined for this Profile. </w:t>
            </w:r>
          </w:p>
        </w:tc>
        <w:tc>
          <w:tcPr>
            <w:tcW w:w="987" w:type="dxa"/>
            <w:tcBorders>
              <w:top w:val="single" w:sz="6" w:space="0" w:color="auto"/>
              <w:left w:val="single" w:sz="6" w:space="0" w:color="auto"/>
              <w:bottom w:val="single" w:sz="4" w:space="0" w:color="auto"/>
              <w:right w:val="single" w:sz="6" w:space="0" w:color="auto"/>
            </w:tcBorders>
            <w:hideMark/>
          </w:tcPr>
          <w:p w14:paraId="3DBE62C2" w14:textId="77777777" w:rsidR="00B97365" w:rsidRDefault="00000000">
            <w:pPr>
              <w:spacing w:after="60"/>
              <w:jc w:val="center"/>
              <w:rPr>
                <w:rFonts w:eastAsia="Times New Roman" w:cs="Calibri"/>
                <w:sz w:val="16"/>
                <w:szCs w:val="16"/>
              </w:rPr>
            </w:pPr>
            <w:r>
              <w:rPr>
                <w:rFonts w:cs="Calibri"/>
                <w:sz w:val="16"/>
                <w:szCs w:val="16"/>
                <w:lang w:val="en-US"/>
              </w:rPr>
              <w:t>POL2</w:t>
            </w:r>
          </w:p>
        </w:tc>
        <w:tc>
          <w:tcPr>
            <w:tcW w:w="567" w:type="dxa"/>
            <w:tcBorders>
              <w:top w:val="single" w:sz="6" w:space="0" w:color="auto"/>
              <w:left w:val="single" w:sz="6" w:space="0" w:color="auto"/>
              <w:bottom w:val="single" w:sz="4" w:space="0" w:color="auto"/>
              <w:right w:val="single" w:sz="6" w:space="0" w:color="auto"/>
            </w:tcBorders>
            <w:hideMark/>
          </w:tcPr>
          <w:p w14:paraId="4BDF81BF" w14:textId="77777777" w:rsidR="00B97365" w:rsidRDefault="00000000">
            <w:pPr>
              <w:spacing w:after="60"/>
              <w:jc w:val="center"/>
              <w:rPr>
                <w:rFonts w:eastAsia="Times New Roman" w:cs="Calibri"/>
                <w:sz w:val="16"/>
                <w:szCs w:val="16"/>
              </w:rPr>
            </w:pPr>
            <w:r>
              <w:rPr>
                <w:rFonts w:cs="Calibri"/>
                <w:sz w:val="16"/>
                <w:szCs w:val="16"/>
                <w:lang w:val="en-US"/>
              </w:rPr>
              <w:t>1</w:t>
            </w:r>
          </w:p>
        </w:tc>
      </w:tr>
    </w:tbl>
    <w:p w14:paraId="73269423" w14:textId="77777777" w:rsidR="00B97365" w:rsidRDefault="00000000">
      <w:pPr>
        <w:numPr>
          <w:ilvl w:val="0"/>
          <w:numId w:val="14"/>
        </w:numPr>
        <w:tabs>
          <w:tab w:val="left" w:pos="1009"/>
        </w:tabs>
        <w:spacing w:after="200" w:line="276" w:lineRule="auto"/>
        <w:jc w:val="center"/>
        <w:rPr>
          <w:rFonts w:cs="Arial"/>
          <w:b/>
          <w:lang w:eastAsia="de-DE" w:bidi="ar-SA"/>
        </w:rPr>
      </w:pPr>
      <w:bookmarkStart w:id="3054" w:name="_Toc353536183"/>
      <w:r>
        <w:rPr>
          <w:rFonts w:cs="Arial"/>
          <w:b/>
          <w:lang w:eastAsia="de-DE" w:bidi="ar-SA"/>
        </w:rPr>
        <w:t>: Profile Info</w:t>
      </w:r>
    </w:p>
    <w:p w14:paraId="2A0E06D1" w14:textId="0E48D541"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 xml:space="preserve">the presence of each data element is specified in </w:t>
      </w:r>
      <w:r>
        <w:rPr>
          <w:szCs w:val="22"/>
          <w:lang w:val="en-US" w:eastAsia="en-GB" w:bidi="ar-SA"/>
        </w:rPr>
        <w:fldChar w:fldCharType="begin"/>
      </w:r>
      <w:r>
        <w:rPr>
          <w:szCs w:val="22"/>
          <w:lang w:val="en-US" w:eastAsia="en-GB" w:bidi="ar-SA"/>
        </w:rPr>
        <w:instrText xml:space="preserve"> REF _Ref483260408 \r \h </w:instrText>
      </w:r>
      <w:r>
        <w:rPr>
          <w:szCs w:val="22"/>
          <w:lang w:val="en-US" w:eastAsia="en-GB" w:bidi="ar-SA"/>
        </w:rPr>
      </w:r>
      <w:r>
        <w:rPr>
          <w:szCs w:val="22"/>
          <w:lang w:val="en-US" w:eastAsia="en-GB" w:bidi="ar-SA"/>
        </w:rPr>
        <w:fldChar w:fldCharType="separate"/>
      </w:r>
      <w:r w:rsidR="001D5AD9">
        <w:rPr>
          <w:szCs w:val="22"/>
          <w:lang w:val="en-US" w:eastAsia="en-GB" w:bidi="ar-SA"/>
        </w:rPr>
        <w:t>Annex E</w:t>
      </w:r>
      <w:r>
        <w:rPr>
          <w:szCs w:val="22"/>
          <w:lang w:val="en-US" w:eastAsia="en-GB" w:bidi="ar-SA"/>
        </w:rPr>
        <w:fldChar w:fldCharType="end"/>
      </w:r>
      <w:r>
        <w:rPr>
          <w:szCs w:val="22"/>
          <w:lang w:eastAsia="en-GB" w:bidi="ar-SA"/>
        </w:rPr>
        <w:t>, according to the function in which the PROFILE INFO is transmitted.</w:t>
      </w:r>
    </w:p>
    <w:p w14:paraId="77283C64"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55" w:name="_Toc368932261"/>
      <w:bookmarkStart w:id="3056" w:name="_Ref367977520"/>
      <w:bookmarkStart w:id="3057" w:name="_Ref367977513"/>
      <w:bookmarkStart w:id="3058" w:name="_Ref367977502"/>
      <w:r>
        <w:rPr>
          <w:rFonts w:ascii="Arial Bold" w:eastAsia="Times New Roman" w:hAnsi="Arial Bold" w:cs="Arial"/>
          <w:szCs w:val="26"/>
          <w:lang w:val="en-US" w:eastAsia="en-US"/>
        </w:rPr>
        <w:t>KEY-COMPONENT</w:t>
      </w:r>
      <w:bookmarkEnd w:id="3054"/>
      <w:bookmarkEnd w:id="3055"/>
      <w:bookmarkEnd w:id="3056"/>
      <w:bookmarkEnd w:id="3057"/>
      <w:bookmarkEnd w:id="3058"/>
    </w:p>
    <w:p w14:paraId="5DA1B89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KEY-COMPONENT</w:t>
      </w:r>
      <w:r>
        <w:rPr>
          <w:rFonts w:cs="Arial"/>
          <w:szCs w:val="22"/>
          <w:lang w:val="en-US" w:eastAsia="en-GB" w:bidi="ar-SA"/>
        </w:rPr>
        <w:t xml:space="preserve"> type is defined by:</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88"/>
        <w:gridCol w:w="5332"/>
        <w:gridCol w:w="2029"/>
        <w:gridCol w:w="398"/>
        <w:gridCol w:w="514"/>
      </w:tblGrid>
      <w:tr w:rsidR="00B97365" w14:paraId="7ABEC270"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03296C7"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FCF0CAF"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5267ED9"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0DD2C8A"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0027E95"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03D7A278"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03363841" w14:textId="77777777" w:rsidR="00B97365" w:rsidRDefault="00000000">
            <w:pPr>
              <w:spacing w:after="200"/>
              <w:rPr>
                <w:rFonts w:eastAsia="Times New Roman" w:cs="Calibri"/>
                <w:sz w:val="16"/>
                <w:szCs w:val="16"/>
              </w:rPr>
            </w:pPr>
            <w:r>
              <w:rPr>
                <w:rFonts w:cs="Calibri"/>
                <w:sz w:val="16"/>
                <w:szCs w:val="16"/>
              </w:rPr>
              <w:t>type</w:t>
            </w:r>
          </w:p>
        </w:tc>
        <w:tc>
          <w:tcPr>
            <w:tcW w:w="0" w:type="auto"/>
            <w:tcBorders>
              <w:top w:val="single" w:sz="6" w:space="0" w:color="auto"/>
              <w:left w:val="single" w:sz="6" w:space="0" w:color="auto"/>
              <w:bottom w:val="single" w:sz="6" w:space="0" w:color="auto"/>
              <w:right w:val="single" w:sz="6" w:space="0" w:color="auto"/>
            </w:tcBorders>
            <w:vAlign w:val="center"/>
            <w:hideMark/>
          </w:tcPr>
          <w:p w14:paraId="5218D6BA" w14:textId="2CE69F9E" w:rsidR="00B97365" w:rsidRDefault="00000000">
            <w:pPr>
              <w:spacing w:after="60"/>
              <w:rPr>
                <w:rFonts w:eastAsia="Times New Roman" w:cs="Calibri"/>
                <w:sz w:val="16"/>
                <w:szCs w:val="16"/>
              </w:rPr>
            </w:pPr>
            <w:r>
              <w:rPr>
                <w:rFonts w:cs="Calibri"/>
                <w:sz w:val="16"/>
                <w:szCs w:val="16"/>
              </w:rPr>
              <w:t xml:space="preserve">Definition of the key type coding. This defines the algorithm associated with the key, coded on 1 byte.  Meaning of the byte value follows GlobalPlatform Card Specifications </w:t>
            </w:r>
            <w:r>
              <w:fldChar w:fldCharType="begin"/>
            </w:r>
            <w:r>
              <w:rPr>
                <w:rFonts w:cs="Calibri"/>
                <w:sz w:val="16"/>
                <w:szCs w:val="16"/>
              </w:rPr>
              <w:instrText xml:space="preserve"> REF _Ref421631311 \r \h </w:instrText>
            </w:r>
            <w:r>
              <w:fldChar w:fldCharType="separate"/>
            </w:r>
            <w:r w:rsidR="001D5AD9">
              <w:rPr>
                <w:rFonts w:cs="Calibri"/>
                <w:sz w:val="16"/>
                <w:szCs w:val="16"/>
              </w:rPr>
              <w:t>[6]</w:t>
            </w:r>
            <w:r>
              <w:fldChar w:fldCharType="end"/>
            </w:r>
            <w:r>
              <w:rPr>
                <w:rFonts w:cs="Calibri"/>
                <w:sz w:val="16"/>
                <w:szCs w:val="16"/>
              </w:rPr>
              <w:t xml:space="preserve">, section 11.1.8. </w:t>
            </w:r>
          </w:p>
          <w:p w14:paraId="1DF2717F" w14:textId="77777777" w:rsidR="00B97365" w:rsidRDefault="00000000">
            <w:pPr>
              <w:spacing w:after="200"/>
              <w:rPr>
                <w:rFonts w:eastAsia="Times New Roman" w:cs="Calibri"/>
                <w:sz w:val="16"/>
                <w:szCs w:val="16"/>
              </w:rPr>
            </w:pPr>
            <w:r>
              <w:rPr>
                <w:rFonts w:cs="Calibri"/>
                <w:sz w:val="16"/>
                <w:szCs w:val="16"/>
              </w:rPr>
              <w:t>i.e. '88' AES (16, 24, or 32 long keys)</w:t>
            </w:r>
          </w:p>
        </w:tc>
        <w:tc>
          <w:tcPr>
            <w:tcW w:w="0" w:type="auto"/>
            <w:tcBorders>
              <w:top w:val="single" w:sz="6" w:space="0" w:color="auto"/>
              <w:left w:val="single" w:sz="6" w:space="0" w:color="auto"/>
              <w:bottom w:val="single" w:sz="6" w:space="0" w:color="auto"/>
              <w:right w:val="single" w:sz="6" w:space="0" w:color="auto"/>
            </w:tcBorders>
            <w:vAlign w:val="center"/>
            <w:hideMark/>
          </w:tcPr>
          <w:p w14:paraId="78F8CA08" w14:textId="77777777" w:rsidR="00B97365" w:rsidRDefault="00000000">
            <w:pPr>
              <w:spacing w:after="60"/>
              <w:jc w:val="center"/>
              <w:rPr>
                <w:rFonts w:eastAsia="Times New Roman" w:cs="Calibri"/>
                <w:sz w:val="16"/>
                <w:szCs w:val="16"/>
              </w:rPr>
            </w:pPr>
            <w:r>
              <w:rPr>
                <w:rFonts w:eastAsia="Times New Roman" w:cs="Calibri"/>
                <w:sz w:val="16"/>
                <w:szCs w:val="16"/>
              </w:rPr>
              <w:t>Hexadecimal string representation of exactly 1 byte</w:t>
            </w:r>
          </w:p>
        </w:tc>
        <w:tc>
          <w:tcPr>
            <w:tcW w:w="0" w:type="auto"/>
            <w:tcBorders>
              <w:top w:val="single" w:sz="6" w:space="0" w:color="auto"/>
              <w:left w:val="single" w:sz="6" w:space="0" w:color="auto"/>
              <w:bottom w:val="single" w:sz="6" w:space="0" w:color="auto"/>
              <w:right w:val="single" w:sz="6" w:space="0" w:color="auto"/>
            </w:tcBorders>
            <w:vAlign w:val="center"/>
            <w:hideMark/>
          </w:tcPr>
          <w:p w14:paraId="7B6B9E3F" w14:textId="77777777" w:rsidR="00B97365" w:rsidRDefault="00000000">
            <w:pPr>
              <w:spacing w:after="60"/>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AA2D523" w14:textId="77777777" w:rsidR="00B97365" w:rsidRDefault="00000000">
            <w:pPr>
              <w:spacing w:after="60"/>
              <w:jc w:val="center"/>
              <w:rPr>
                <w:rFonts w:cs="Calibri"/>
                <w:sz w:val="16"/>
                <w:szCs w:val="16"/>
              </w:rPr>
            </w:pPr>
            <w:r>
              <w:rPr>
                <w:rFonts w:cs="Calibri"/>
                <w:sz w:val="16"/>
                <w:szCs w:val="16"/>
              </w:rPr>
              <w:t>M</w:t>
            </w:r>
          </w:p>
        </w:tc>
      </w:tr>
      <w:tr w:rsidR="00B97365" w14:paraId="2E1A17E2" w14:textId="77777777">
        <w:trPr>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028087A6" w14:textId="77777777" w:rsidR="00B97365" w:rsidRDefault="00000000">
            <w:pPr>
              <w:spacing w:after="60"/>
              <w:rPr>
                <w:rFonts w:eastAsia="Times New Roman" w:cs="Calibri"/>
                <w:sz w:val="16"/>
                <w:szCs w:val="16"/>
              </w:rPr>
            </w:pPr>
            <w:r>
              <w:rPr>
                <w:rFonts w:cs="Calibri"/>
                <w:sz w:val="16"/>
                <w:szCs w:val="16"/>
              </w:rPr>
              <w:t>value</w:t>
            </w:r>
          </w:p>
        </w:tc>
        <w:tc>
          <w:tcPr>
            <w:tcW w:w="0" w:type="auto"/>
            <w:tcBorders>
              <w:top w:val="single" w:sz="6" w:space="0" w:color="auto"/>
              <w:left w:val="single" w:sz="6" w:space="0" w:color="auto"/>
              <w:bottom w:val="single" w:sz="4" w:space="0" w:color="auto"/>
              <w:right w:val="single" w:sz="6" w:space="0" w:color="auto"/>
            </w:tcBorders>
            <w:vAlign w:val="center"/>
            <w:hideMark/>
          </w:tcPr>
          <w:p w14:paraId="17E0ABAC" w14:textId="77777777" w:rsidR="00B97365" w:rsidRDefault="00000000">
            <w:pPr>
              <w:spacing w:after="60"/>
              <w:rPr>
                <w:rFonts w:eastAsia="Times New Roman" w:cs="Calibri"/>
                <w:sz w:val="16"/>
                <w:szCs w:val="16"/>
                <w:lang w:val="en-US"/>
              </w:rPr>
            </w:pPr>
            <w:r>
              <w:rPr>
                <w:rFonts w:cs="Calibri"/>
                <w:sz w:val="16"/>
                <w:szCs w:val="16"/>
                <w:lang w:val="en-US"/>
              </w:rPr>
              <w:t>The value as a binary data. This data SHALL be encrypted with a transport key agreed between the provider and the requester.</w:t>
            </w:r>
          </w:p>
        </w:tc>
        <w:tc>
          <w:tcPr>
            <w:tcW w:w="0" w:type="auto"/>
            <w:tcBorders>
              <w:top w:val="single" w:sz="6" w:space="0" w:color="auto"/>
              <w:left w:val="single" w:sz="6" w:space="0" w:color="auto"/>
              <w:bottom w:val="single" w:sz="4" w:space="0" w:color="auto"/>
              <w:right w:val="single" w:sz="6" w:space="0" w:color="auto"/>
            </w:tcBorders>
            <w:vAlign w:val="center"/>
            <w:hideMark/>
          </w:tcPr>
          <w:p w14:paraId="21269A17" w14:textId="77777777" w:rsidR="00B97365" w:rsidRDefault="00000000">
            <w:pPr>
              <w:spacing w:after="60"/>
              <w:jc w:val="center"/>
              <w:rPr>
                <w:rFonts w:eastAsia="Times New Roman" w:cs="Calibri"/>
                <w:sz w:val="16"/>
                <w:szCs w:val="16"/>
                <w:lang w:val="en-US"/>
              </w:rPr>
            </w:pPr>
            <w:r>
              <w:rPr>
                <w:rFonts w:cs="Calibri"/>
                <w:sz w:val="16"/>
                <w:szCs w:val="16"/>
              </w:rPr>
              <w:t xml:space="preserve">Hexadecimal string </w:t>
            </w:r>
          </w:p>
        </w:tc>
        <w:tc>
          <w:tcPr>
            <w:tcW w:w="0" w:type="auto"/>
            <w:tcBorders>
              <w:top w:val="single" w:sz="6" w:space="0" w:color="auto"/>
              <w:left w:val="single" w:sz="6" w:space="0" w:color="auto"/>
              <w:bottom w:val="single" w:sz="4" w:space="0" w:color="auto"/>
              <w:right w:val="single" w:sz="6" w:space="0" w:color="auto"/>
            </w:tcBorders>
            <w:vAlign w:val="center"/>
            <w:hideMark/>
          </w:tcPr>
          <w:p w14:paraId="60F21C1A"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32CF0AE" w14:textId="77777777" w:rsidR="00B97365" w:rsidRDefault="00000000">
            <w:pPr>
              <w:spacing w:after="60"/>
              <w:jc w:val="center"/>
              <w:rPr>
                <w:rFonts w:cs="Calibri"/>
                <w:sz w:val="16"/>
                <w:szCs w:val="16"/>
                <w:lang w:val="en-US"/>
              </w:rPr>
            </w:pPr>
            <w:r>
              <w:rPr>
                <w:rFonts w:cs="Calibri"/>
                <w:sz w:val="16"/>
                <w:szCs w:val="16"/>
                <w:lang w:val="en-US"/>
              </w:rPr>
              <w:t>M</w:t>
            </w:r>
          </w:p>
        </w:tc>
      </w:tr>
    </w:tbl>
    <w:p w14:paraId="3A12F652"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Key Component</w:t>
      </w:r>
    </w:p>
    <w:p w14:paraId="04806AA1"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59" w:name="_Toc368932262"/>
      <w:bookmarkStart w:id="3060" w:name="_Ref367977494"/>
      <w:bookmarkStart w:id="3061" w:name="_Ref367977486"/>
      <w:bookmarkStart w:id="3062" w:name="_Ref367977478"/>
      <w:bookmarkStart w:id="3063" w:name="_Ref367977469"/>
      <w:bookmarkStart w:id="3064" w:name="_Toc353536184"/>
      <w:r>
        <w:rPr>
          <w:rFonts w:ascii="Arial Bold" w:eastAsia="Times New Roman" w:hAnsi="Arial Bold" w:cs="Arial"/>
          <w:szCs w:val="26"/>
          <w:lang w:val="en-US" w:eastAsia="en-US"/>
        </w:rPr>
        <w:t>KEY</w:t>
      </w:r>
      <w:bookmarkEnd w:id="3059"/>
      <w:bookmarkEnd w:id="3060"/>
      <w:bookmarkEnd w:id="3061"/>
      <w:bookmarkEnd w:id="3062"/>
      <w:bookmarkEnd w:id="3063"/>
      <w:bookmarkEnd w:id="3064"/>
    </w:p>
    <w:p w14:paraId="4D8756D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KEY</w:t>
      </w:r>
      <w:r>
        <w:rPr>
          <w:rFonts w:cs="Arial"/>
          <w:szCs w:val="22"/>
          <w:lang w:val="en-US" w:eastAsia="en-GB" w:bidi="ar-SA"/>
        </w:rPr>
        <w:t xml:space="preserve"> type is defined by:</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23"/>
        <w:gridCol w:w="5274"/>
        <w:gridCol w:w="1355"/>
        <w:gridCol w:w="474"/>
        <w:gridCol w:w="590"/>
      </w:tblGrid>
      <w:tr w:rsidR="00B97365" w14:paraId="762F1F38"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5C1C34D9"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1245D7F"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B23A3DC"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1151F6C8"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1075118E"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BBA5F95" w14:textId="77777777">
        <w:trPr>
          <w:trHeight w:val="282"/>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vAlign w:val="center"/>
            <w:hideMark/>
          </w:tcPr>
          <w:p w14:paraId="08CD8EC0" w14:textId="77777777" w:rsidR="00B97365" w:rsidRDefault="00000000">
            <w:pPr>
              <w:spacing w:after="200"/>
              <w:rPr>
                <w:rFonts w:eastAsia="Times New Roman" w:cs="Calibri"/>
                <w:sz w:val="16"/>
                <w:szCs w:val="16"/>
              </w:rPr>
            </w:pPr>
            <w:r>
              <w:rPr>
                <w:rFonts w:cs="Calibri"/>
                <w:sz w:val="16"/>
                <w:szCs w:val="16"/>
              </w:rPr>
              <w:t>index</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50EA0256" w14:textId="77777777" w:rsidR="00B97365" w:rsidRDefault="00000000">
            <w:pPr>
              <w:spacing w:after="60"/>
              <w:rPr>
                <w:rFonts w:eastAsia="Times New Roman" w:cs="Calibri"/>
                <w:sz w:val="16"/>
                <w:szCs w:val="16"/>
              </w:rPr>
            </w:pPr>
            <w:r>
              <w:rPr>
                <w:rFonts w:cs="Calibri"/>
                <w:sz w:val="16"/>
                <w:szCs w:val="16"/>
              </w:rPr>
              <w:t>The Key index as an integer value between 0 and 127 (as defined in GlobalPlatform Card Specifications)</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3C688BFD" w14:textId="77777777" w:rsidR="00B97365" w:rsidRDefault="00000000">
            <w:pPr>
              <w:spacing w:after="60"/>
              <w:jc w:val="center"/>
              <w:rPr>
                <w:rFonts w:eastAsia="Times New Roman" w:cs="Calibri"/>
                <w:sz w:val="16"/>
                <w:szCs w:val="16"/>
              </w:rPr>
            </w:pPr>
            <w:r>
              <w:rPr>
                <w:rFonts w:cs="Calibri"/>
                <w:sz w:val="16"/>
                <w:szCs w:val="16"/>
              </w:rPr>
              <w:t>integer</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11CF2E39" w14:textId="77777777" w:rsidR="00B97365" w:rsidRDefault="00000000">
            <w:pPr>
              <w:spacing w:after="60"/>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vAlign w:val="center"/>
            <w:hideMark/>
          </w:tcPr>
          <w:p w14:paraId="542CF4DB" w14:textId="77777777" w:rsidR="00B97365" w:rsidRDefault="00000000">
            <w:pPr>
              <w:spacing w:after="60"/>
              <w:jc w:val="center"/>
              <w:rPr>
                <w:rFonts w:cs="Calibri"/>
                <w:sz w:val="16"/>
                <w:szCs w:val="16"/>
              </w:rPr>
            </w:pPr>
            <w:r>
              <w:rPr>
                <w:rFonts w:cs="Calibri"/>
                <w:sz w:val="16"/>
                <w:szCs w:val="16"/>
              </w:rPr>
              <w:t>M</w:t>
            </w:r>
          </w:p>
        </w:tc>
      </w:tr>
      <w:tr w:rsidR="00B97365" w14:paraId="6307CA91" w14:textId="77777777">
        <w:trPr>
          <w:trHeight w:val="282"/>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vAlign w:val="center"/>
            <w:hideMark/>
          </w:tcPr>
          <w:p w14:paraId="17F1B1CB" w14:textId="77777777" w:rsidR="00B97365" w:rsidRDefault="00000000">
            <w:pPr>
              <w:spacing w:after="60"/>
              <w:rPr>
                <w:rFonts w:eastAsia="Times New Roman" w:cs="Calibri"/>
                <w:sz w:val="16"/>
                <w:szCs w:val="16"/>
              </w:rPr>
            </w:pPr>
            <w:r>
              <w:rPr>
                <w:rFonts w:cs="Calibri"/>
                <w:sz w:val="16"/>
                <w:szCs w:val="16"/>
              </w:rPr>
              <w:t>kcv</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2E3E8A58" w14:textId="77777777" w:rsidR="00B97365" w:rsidRDefault="00000000">
            <w:pPr>
              <w:spacing w:after="60"/>
              <w:rPr>
                <w:rFonts w:eastAsia="Times New Roman" w:cs="Calibri"/>
                <w:sz w:val="16"/>
                <w:szCs w:val="16"/>
                <w:lang w:val="en-US"/>
              </w:rPr>
            </w:pPr>
            <w:r>
              <w:rPr>
                <w:rFonts w:cs="Calibri"/>
                <w:sz w:val="16"/>
                <w:szCs w:val="16"/>
                <w:lang w:val="en-US"/>
              </w:rPr>
              <w:t xml:space="preserve">The Key Check Value of the key </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304E2464" w14:textId="77777777" w:rsidR="00B97365" w:rsidRDefault="00000000">
            <w:pPr>
              <w:spacing w:after="60"/>
              <w:jc w:val="center"/>
              <w:rPr>
                <w:rFonts w:eastAsia="Times New Roman" w:cs="Calibri"/>
                <w:sz w:val="16"/>
                <w:szCs w:val="16"/>
                <w:lang w:val="en-US"/>
              </w:rPr>
            </w:pPr>
            <w:r>
              <w:rPr>
                <w:rFonts w:cs="Calibri"/>
                <w:sz w:val="16"/>
                <w:szCs w:val="16"/>
              </w:rPr>
              <w:t>KCV</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40D6E2AD"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vAlign w:val="center"/>
            <w:hideMark/>
          </w:tcPr>
          <w:p w14:paraId="0EC2D23B"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24718DB0" w14:textId="77777777">
        <w:trPr>
          <w:trHeight w:val="282"/>
        </w:trPr>
        <w:tc>
          <w:tcPr>
            <w:tcW w:w="0" w:type="auto"/>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vAlign w:val="center"/>
            <w:hideMark/>
          </w:tcPr>
          <w:p w14:paraId="3CF3122A" w14:textId="77777777" w:rsidR="00B97365" w:rsidRDefault="00000000">
            <w:pPr>
              <w:spacing w:after="60"/>
              <w:rPr>
                <w:rFonts w:eastAsia="Times New Roman" w:cs="Calibri"/>
                <w:sz w:val="16"/>
                <w:szCs w:val="16"/>
              </w:rPr>
            </w:pPr>
            <w:r>
              <w:rPr>
                <w:rFonts w:cs="Calibri"/>
                <w:sz w:val="16"/>
                <w:szCs w:val="16"/>
              </w:rPr>
              <w:t>KeyComponents</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540CA7E7" w14:textId="77777777" w:rsidR="00B97365" w:rsidRDefault="00000000">
            <w:pPr>
              <w:spacing w:after="60"/>
              <w:rPr>
                <w:rFonts w:eastAsia="Times New Roman" w:cs="Calibri"/>
                <w:sz w:val="16"/>
                <w:szCs w:val="16"/>
                <w:lang w:val="en-US"/>
              </w:rPr>
            </w:pPr>
            <w:r>
              <w:rPr>
                <w:rFonts w:cs="Calibri"/>
                <w:sz w:val="16"/>
                <w:szCs w:val="16"/>
                <w:lang w:val="en-US"/>
              </w:rPr>
              <w:t>A simple key is defined using only one Key Component, but it is also possible to define keys with multiple key components (like RSA keys)</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0492302C" w14:textId="77777777" w:rsidR="00B97365" w:rsidRDefault="00000000">
            <w:pPr>
              <w:spacing w:after="60"/>
              <w:rPr>
                <w:rFonts w:eastAsia="Times New Roman" w:cs="Calibri"/>
                <w:sz w:val="16"/>
                <w:szCs w:val="16"/>
                <w:lang w:val="en-US"/>
              </w:rPr>
            </w:pPr>
            <w:r>
              <w:rPr>
                <w:rFonts w:cs="Calibri"/>
                <w:sz w:val="16"/>
                <w:szCs w:val="16"/>
              </w:rPr>
              <w:t>KEY-COMPONENT</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774EC6FF" w14:textId="77777777" w:rsidR="00B97365" w:rsidRDefault="00000000">
            <w:pPr>
              <w:spacing w:after="60"/>
              <w:jc w:val="center"/>
              <w:rPr>
                <w:rFonts w:eastAsia="Times New Roman" w:cs="Calibri"/>
                <w:sz w:val="16"/>
                <w:szCs w:val="16"/>
                <w:lang w:val="en-US"/>
              </w:rPr>
            </w:pPr>
            <w:r>
              <w:rPr>
                <w:rFonts w:cs="Calibri"/>
                <w:sz w:val="16"/>
                <w:szCs w:val="16"/>
                <w:lang w:val="en-US"/>
              </w:rPr>
              <w:t>1..N</w:t>
            </w:r>
          </w:p>
        </w:tc>
        <w:tc>
          <w:tcPr>
            <w:tcW w:w="0" w:type="auto"/>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vAlign w:val="center"/>
            <w:hideMark/>
          </w:tcPr>
          <w:p w14:paraId="24351BA0" w14:textId="77777777" w:rsidR="00B97365" w:rsidRDefault="00000000">
            <w:pPr>
              <w:spacing w:after="60"/>
              <w:jc w:val="center"/>
              <w:rPr>
                <w:rFonts w:cs="Calibri"/>
                <w:sz w:val="16"/>
                <w:szCs w:val="16"/>
                <w:lang w:val="en-US"/>
              </w:rPr>
            </w:pPr>
            <w:r>
              <w:rPr>
                <w:rFonts w:cs="Calibri"/>
                <w:sz w:val="16"/>
                <w:szCs w:val="16"/>
                <w:lang w:val="en-US"/>
              </w:rPr>
              <w:t>M</w:t>
            </w:r>
          </w:p>
        </w:tc>
      </w:tr>
    </w:tbl>
    <w:p w14:paraId="33555422"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Key Type</w:t>
      </w:r>
    </w:p>
    <w:p w14:paraId="6B8962DB" w14:textId="77777777" w:rsidR="00B97365" w:rsidRDefault="00000000">
      <w:pPr>
        <w:spacing w:line="276" w:lineRule="auto"/>
        <w:ind w:left="1560" w:hanging="1276"/>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A key may be:</w:t>
      </w:r>
    </w:p>
    <w:p w14:paraId="10A268D8" w14:textId="77777777" w:rsidR="00B97365" w:rsidRDefault="00000000">
      <w:pPr>
        <w:numPr>
          <w:ilvl w:val="3"/>
          <w:numId w:val="38"/>
        </w:numPr>
        <w:tabs>
          <w:tab w:val="left" w:pos="680"/>
        </w:tabs>
        <w:spacing w:before="0" w:after="200" w:line="276" w:lineRule="auto"/>
        <w:contextualSpacing/>
        <w:jc w:val="left"/>
        <w:rPr>
          <w:szCs w:val="22"/>
          <w:lang w:eastAsia="en-GB" w:bidi="ar-SA"/>
        </w:rPr>
      </w:pPr>
      <w:r>
        <w:rPr>
          <w:szCs w:val="22"/>
          <w:lang w:eastAsia="en-GB" w:bidi="ar-SA"/>
        </w:rPr>
        <w:t>a symmetric key. In this case the key will be composed of a single key component. The key value being the same in SM-SR and eUICC SD.</w:t>
      </w:r>
    </w:p>
    <w:p w14:paraId="419CCE8E" w14:textId="77777777" w:rsidR="00B97365" w:rsidRDefault="00000000">
      <w:pPr>
        <w:numPr>
          <w:ilvl w:val="3"/>
          <w:numId w:val="38"/>
        </w:numPr>
        <w:tabs>
          <w:tab w:val="left" w:pos="680"/>
        </w:tabs>
        <w:spacing w:before="0" w:after="200" w:line="276" w:lineRule="auto"/>
        <w:contextualSpacing/>
        <w:jc w:val="left"/>
        <w:rPr>
          <w:szCs w:val="22"/>
          <w:lang w:eastAsia="en-GB" w:bidi="ar-SA"/>
        </w:rPr>
      </w:pPr>
      <w:r>
        <w:rPr>
          <w:szCs w:val="22"/>
          <w:lang w:eastAsia="en-GB" w:bidi="ar-SA"/>
        </w:rPr>
        <w:t>an asymmetric key. In this case, the key will be most probably be composed of multiple key components. The key value in SM-SR being the counter part of the key value in the eUICC (i.e.: the public key at the SM-SR and the private key in the eUICC or vice-versa)</w:t>
      </w:r>
    </w:p>
    <w:p w14:paraId="37ACFE3F" w14:textId="77777777" w:rsidR="00B97365" w:rsidRDefault="00B97365">
      <w:pPr>
        <w:spacing w:before="0" w:after="200" w:line="276" w:lineRule="auto"/>
        <w:jc w:val="left"/>
        <w:rPr>
          <w:rFonts w:asciiTheme="minorHAnsi" w:hAnsiTheme="minorHAnsi" w:cstheme="minorHAnsi"/>
          <w:sz w:val="20"/>
          <w:lang w:eastAsia="en-GB" w:bidi="ar-SA"/>
        </w:rPr>
      </w:pPr>
    </w:p>
    <w:p w14:paraId="02A27681"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65" w:name="_Toc368932263"/>
      <w:bookmarkStart w:id="3066" w:name="_Ref367977558"/>
      <w:bookmarkStart w:id="3067" w:name="_Ref367977548"/>
      <w:bookmarkStart w:id="3068" w:name="_Ref367977539"/>
      <w:bookmarkStart w:id="3069" w:name="_Ref367977528"/>
      <w:bookmarkStart w:id="3070" w:name="_Toc353536185"/>
      <w:r>
        <w:rPr>
          <w:rFonts w:ascii="Arial Bold" w:eastAsia="Times New Roman" w:hAnsi="Arial Bold" w:cs="Arial"/>
          <w:szCs w:val="26"/>
          <w:lang w:val="en-US" w:eastAsia="en-US"/>
        </w:rPr>
        <w:t>CERTIFICATE</w:t>
      </w:r>
      <w:bookmarkEnd w:id="3065"/>
      <w:bookmarkEnd w:id="3066"/>
      <w:bookmarkEnd w:id="3067"/>
      <w:bookmarkEnd w:id="3068"/>
      <w:bookmarkEnd w:id="3069"/>
      <w:bookmarkEnd w:id="3070"/>
    </w:p>
    <w:p w14:paraId="2DA8EE8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CERTIFICATE</w:t>
      </w:r>
      <w:r>
        <w:rPr>
          <w:rFonts w:cs="Arial"/>
          <w:szCs w:val="22"/>
          <w:lang w:val="en-US" w:eastAsia="en-GB" w:bidi="ar-SA"/>
        </w:rPr>
        <w:t xml:space="preserve"> type is defined by:</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22"/>
        <w:gridCol w:w="6079"/>
        <w:gridCol w:w="1248"/>
        <w:gridCol w:w="398"/>
        <w:gridCol w:w="514"/>
      </w:tblGrid>
      <w:tr w:rsidR="00B97365" w14:paraId="36634DDC"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4D2BB2F" w14:textId="77777777" w:rsidR="00B97365" w:rsidRDefault="00000000">
            <w:pPr>
              <w:jc w:val="center"/>
              <w:rPr>
                <w:rFonts w:cs="Calibri"/>
                <w:b/>
                <w:color w:val="FFFFFF"/>
                <w:sz w:val="16"/>
                <w:szCs w:val="16"/>
              </w:rPr>
            </w:pPr>
            <w:r>
              <w:rPr>
                <w:rFonts w:cs="Calibri"/>
                <w:b/>
                <w:color w:val="FFFFFF"/>
                <w:sz w:val="16"/>
                <w:szCs w:val="16"/>
              </w:rPr>
              <w:lastRenderedPageBreak/>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363CF44"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71351B4"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320C62"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A11C29A"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D3CC56E"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1AAEC871" w14:textId="77777777" w:rsidR="00B97365" w:rsidRDefault="00000000">
            <w:pPr>
              <w:rPr>
                <w:rFonts w:cs="Calibri"/>
                <w:sz w:val="16"/>
                <w:szCs w:val="16"/>
              </w:rPr>
            </w:pPr>
            <w:r>
              <w:rPr>
                <w:rFonts w:cs="Calibri"/>
                <w:sz w:val="16"/>
                <w:szCs w:val="16"/>
              </w:rPr>
              <w:t>index</w:t>
            </w:r>
          </w:p>
        </w:tc>
        <w:tc>
          <w:tcPr>
            <w:tcW w:w="0" w:type="auto"/>
            <w:tcBorders>
              <w:top w:val="single" w:sz="6" w:space="0" w:color="auto"/>
              <w:left w:val="single" w:sz="6" w:space="0" w:color="auto"/>
              <w:bottom w:val="single" w:sz="6" w:space="0" w:color="auto"/>
              <w:right w:val="single" w:sz="6" w:space="0" w:color="auto"/>
            </w:tcBorders>
            <w:vAlign w:val="center"/>
            <w:hideMark/>
          </w:tcPr>
          <w:p w14:paraId="3E4C5085" w14:textId="77777777" w:rsidR="00B97365" w:rsidRDefault="00000000">
            <w:pPr>
              <w:spacing w:after="60"/>
              <w:rPr>
                <w:rFonts w:eastAsia="Times New Roman" w:cs="Calibri"/>
                <w:sz w:val="16"/>
                <w:szCs w:val="16"/>
              </w:rPr>
            </w:pPr>
            <w:r>
              <w:rPr>
                <w:rFonts w:cs="Calibri"/>
                <w:sz w:val="16"/>
                <w:szCs w:val="16"/>
              </w:rPr>
              <w:t>Indicates the index of the private key, being the private counterpart of the certificate. Index is an integer value between 0 and 127 (as defined in GlobalPlatform Card Specifications)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10B9E45F" w14:textId="77777777" w:rsidR="00B97365" w:rsidRDefault="00000000">
            <w:pPr>
              <w:spacing w:after="60"/>
              <w:jc w:val="center"/>
              <w:rPr>
                <w:rFonts w:eastAsia="Times New Roman" w:cs="Calibri"/>
                <w:sz w:val="16"/>
                <w:szCs w:val="16"/>
              </w:rPr>
            </w:pPr>
            <w:r>
              <w:rPr>
                <w:rFonts w:cs="Calibri"/>
                <w:sz w:val="16"/>
                <w:szCs w:val="16"/>
              </w:rPr>
              <w:t>Integer</w:t>
            </w:r>
          </w:p>
        </w:tc>
        <w:tc>
          <w:tcPr>
            <w:tcW w:w="0" w:type="auto"/>
            <w:tcBorders>
              <w:top w:val="single" w:sz="6" w:space="0" w:color="auto"/>
              <w:left w:val="single" w:sz="6" w:space="0" w:color="auto"/>
              <w:bottom w:val="single" w:sz="6" w:space="0" w:color="auto"/>
              <w:right w:val="single" w:sz="6" w:space="0" w:color="auto"/>
            </w:tcBorders>
            <w:vAlign w:val="center"/>
            <w:hideMark/>
          </w:tcPr>
          <w:p w14:paraId="467AD31F" w14:textId="77777777" w:rsidR="00B97365" w:rsidRDefault="00000000">
            <w:pPr>
              <w:spacing w:after="60"/>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1023875" w14:textId="77777777" w:rsidR="00B97365" w:rsidRDefault="00000000">
            <w:pPr>
              <w:spacing w:after="60"/>
              <w:jc w:val="center"/>
              <w:rPr>
                <w:rFonts w:cs="Calibri"/>
                <w:sz w:val="16"/>
                <w:szCs w:val="16"/>
              </w:rPr>
            </w:pPr>
            <w:r>
              <w:rPr>
                <w:rFonts w:cs="Calibri"/>
                <w:sz w:val="16"/>
                <w:szCs w:val="16"/>
              </w:rPr>
              <w:t>M</w:t>
            </w:r>
          </w:p>
        </w:tc>
      </w:tr>
      <w:tr w:rsidR="00B97365" w14:paraId="269EB830"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1F6F0094" w14:textId="77777777" w:rsidR="00B97365" w:rsidRDefault="00000000">
            <w:pPr>
              <w:spacing w:after="60"/>
              <w:rPr>
                <w:rFonts w:eastAsia="Times New Roman" w:cs="Calibri"/>
                <w:sz w:val="16"/>
                <w:szCs w:val="16"/>
              </w:rPr>
            </w:pPr>
            <w:r>
              <w:rPr>
                <w:rFonts w:cs="Calibri"/>
                <w:sz w:val="16"/>
                <w:szCs w:val="16"/>
              </w:rPr>
              <w:t>ca-id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075EBBC" w14:textId="77777777" w:rsidR="00B97365" w:rsidRDefault="00000000">
            <w:pPr>
              <w:spacing w:after="60"/>
              <w:rPr>
                <w:rFonts w:eastAsia="Times New Roman" w:cs="Calibri"/>
                <w:sz w:val="16"/>
                <w:szCs w:val="16"/>
                <w:lang w:val="en-US"/>
              </w:rPr>
            </w:pPr>
            <w:r>
              <w:rPr>
                <w:rFonts w:cs="Calibri"/>
                <w:sz w:val="16"/>
                <w:szCs w:val="16"/>
                <w:lang w:val="en-US"/>
              </w:rPr>
              <w:t>Identifier of the CA that has issued (and signed) the certificate. This SHALL match the CA Identifier included in the certificate itself.</w:t>
            </w:r>
          </w:p>
        </w:tc>
        <w:tc>
          <w:tcPr>
            <w:tcW w:w="0" w:type="auto"/>
            <w:tcBorders>
              <w:top w:val="single" w:sz="6" w:space="0" w:color="auto"/>
              <w:left w:val="single" w:sz="6" w:space="0" w:color="auto"/>
              <w:bottom w:val="single" w:sz="6" w:space="0" w:color="auto"/>
              <w:right w:val="single" w:sz="6" w:space="0" w:color="auto"/>
            </w:tcBorders>
            <w:vAlign w:val="center"/>
            <w:hideMark/>
          </w:tcPr>
          <w:p w14:paraId="46E14717" w14:textId="77777777" w:rsidR="00B97365" w:rsidRDefault="00000000">
            <w:pPr>
              <w:spacing w:after="60"/>
              <w:jc w:val="center"/>
              <w:rPr>
                <w:rFonts w:eastAsia="Times New Roman"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B71153F"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C48F9A9"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4D0D8D5C" w14:textId="77777777">
        <w:trPr>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320CE394" w14:textId="77777777" w:rsidR="00B97365" w:rsidRDefault="00000000">
            <w:pPr>
              <w:spacing w:after="60"/>
              <w:rPr>
                <w:rFonts w:eastAsia="Times New Roman" w:cs="Calibri"/>
                <w:sz w:val="16"/>
                <w:szCs w:val="16"/>
              </w:rPr>
            </w:pPr>
            <w:r>
              <w:rPr>
                <w:rFonts w:cs="Calibri"/>
                <w:sz w:val="16"/>
                <w:szCs w:val="16"/>
              </w:rPr>
              <w:t>value</w:t>
            </w:r>
          </w:p>
        </w:tc>
        <w:tc>
          <w:tcPr>
            <w:tcW w:w="0" w:type="auto"/>
            <w:tcBorders>
              <w:top w:val="single" w:sz="6" w:space="0" w:color="auto"/>
              <w:left w:val="single" w:sz="6" w:space="0" w:color="auto"/>
              <w:bottom w:val="single" w:sz="4" w:space="0" w:color="auto"/>
              <w:right w:val="single" w:sz="6" w:space="0" w:color="auto"/>
            </w:tcBorders>
            <w:vAlign w:val="center"/>
            <w:hideMark/>
          </w:tcPr>
          <w:p w14:paraId="33836BF3" w14:textId="068AB27A" w:rsidR="00B97365" w:rsidRDefault="00000000">
            <w:pPr>
              <w:spacing w:after="60"/>
              <w:rPr>
                <w:rFonts w:eastAsia="Times New Roman" w:cs="Calibri"/>
                <w:sz w:val="16"/>
                <w:szCs w:val="16"/>
                <w:lang w:val="en-US"/>
              </w:rPr>
            </w:pPr>
            <w:r>
              <w:rPr>
                <w:rFonts w:cs="Calibri"/>
                <w:sz w:val="16"/>
                <w:szCs w:val="16"/>
                <w:lang w:val="en-US"/>
              </w:rPr>
              <w:t xml:space="preserve">Value of the certificate. The certificate SHALL be coded according to GlobalPlatform Card Specification UICC Configuration </w:t>
            </w:r>
            <w:r>
              <w:fldChar w:fldCharType="begin"/>
            </w:r>
            <w:r>
              <w:rPr>
                <w:rFonts w:cs="Calibri"/>
                <w:sz w:val="16"/>
                <w:szCs w:val="16"/>
                <w:lang w:val="en-US"/>
              </w:rPr>
              <w:instrText xml:space="preserve"> REF _Ref421631520 \r \h </w:instrText>
            </w:r>
            <w:r>
              <w:fldChar w:fldCharType="separate"/>
            </w:r>
            <w:r w:rsidR="001D5AD9">
              <w:rPr>
                <w:rFonts w:cs="Calibri"/>
                <w:sz w:val="16"/>
                <w:szCs w:val="16"/>
                <w:lang w:val="en-US"/>
              </w:rPr>
              <w:t>[7]</w:t>
            </w:r>
            <w:r>
              <w:fldChar w:fldCharType="end"/>
            </w:r>
            <w:r>
              <w:rPr>
                <w:rFonts w:cs="Calibri"/>
                <w:sz w:val="16"/>
                <w:szCs w:val="16"/>
                <w:lang w:val="en-US"/>
              </w:rPr>
              <w:t>, section 9.2.1</w:t>
            </w:r>
          </w:p>
        </w:tc>
        <w:tc>
          <w:tcPr>
            <w:tcW w:w="0" w:type="auto"/>
            <w:tcBorders>
              <w:top w:val="single" w:sz="6" w:space="0" w:color="auto"/>
              <w:left w:val="single" w:sz="6" w:space="0" w:color="auto"/>
              <w:bottom w:val="single" w:sz="4" w:space="0" w:color="auto"/>
              <w:right w:val="single" w:sz="6" w:space="0" w:color="auto"/>
            </w:tcBorders>
            <w:vAlign w:val="center"/>
            <w:hideMark/>
          </w:tcPr>
          <w:p w14:paraId="53D1122F" w14:textId="77777777" w:rsidR="00B97365" w:rsidRDefault="00000000">
            <w:pPr>
              <w:spacing w:after="60"/>
              <w:rPr>
                <w:rFonts w:eastAsia="Times New Roman" w:cs="Calibri"/>
                <w:sz w:val="16"/>
                <w:szCs w:val="16"/>
                <w:lang w:val="en-US"/>
              </w:rPr>
            </w:pPr>
            <w:r>
              <w:rPr>
                <w:rFonts w:cs="Calibri"/>
                <w:sz w:val="16"/>
                <w:szCs w:val="16"/>
              </w:rPr>
              <w:t xml:space="preserve">Hexadecimal string </w:t>
            </w:r>
          </w:p>
        </w:tc>
        <w:tc>
          <w:tcPr>
            <w:tcW w:w="0" w:type="auto"/>
            <w:tcBorders>
              <w:top w:val="single" w:sz="6" w:space="0" w:color="auto"/>
              <w:left w:val="single" w:sz="6" w:space="0" w:color="auto"/>
              <w:bottom w:val="single" w:sz="4" w:space="0" w:color="auto"/>
              <w:right w:val="single" w:sz="6" w:space="0" w:color="auto"/>
            </w:tcBorders>
            <w:vAlign w:val="center"/>
            <w:hideMark/>
          </w:tcPr>
          <w:p w14:paraId="16B364CD"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7B2ECA23" w14:textId="77777777" w:rsidR="00B97365" w:rsidRDefault="00000000">
            <w:pPr>
              <w:spacing w:after="60"/>
              <w:jc w:val="center"/>
              <w:rPr>
                <w:rFonts w:cs="Calibri"/>
                <w:sz w:val="16"/>
                <w:szCs w:val="16"/>
                <w:lang w:val="en-US"/>
              </w:rPr>
            </w:pPr>
            <w:r>
              <w:rPr>
                <w:rFonts w:cs="Calibri"/>
                <w:sz w:val="16"/>
                <w:szCs w:val="16"/>
                <w:lang w:val="en-US"/>
              </w:rPr>
              <w:t>M</w:t>
            </w:r>
          </w:p>
        </w:tc>
      </w:tr>
    </w:tbl>
    <w:p w14:paraId="1BF4EAF3"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Certificate Type</w:t>
      </w:r>
    </w:p>
    <w:p w14:paraId="1DE62EAB" w14:textId="77777777" w:rsidR="00B97365" w:rsidRDefault="00B97365">
      <w:pPr>
        <w:tabs>
          <w:tab w:val="left" w:pos="8322"/>
        </w:tabs>
        <w:rPr>
          <w:rFonts w:cs="Calibri"/>
        </w:rPr>
      </w:pPr>
    </w:p>
    <w:p w14:paraId="2299070D"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71" w:name="_Toc368932264"/>
      <w:bookmarkStart w:id="3072" w:name="_Ref367977457"/>
      <w:bookmarkStart w:id="3073" w:name="_Ref367977445"/>
      <w:bookmarkStart w:id="3074" w:name="_Ref367977437"/>
      <w:bookmarkStart w:id="3075" w:name="_Ref367977427"/>
      <w:bookmarkStart w:id="3076" w:name="_Ref367977418"/>
      <w:bookmarkStart w:id="3077" w:name="_Ref367977409"/>
      <w:r>
        <w:rPr>
          <w:rFonts w:ascii="Arial Bold" w:eastAsia="Times New Roman" w:hAnsi="Arial Bold" w:cs="Arial"/>
          <w:szCs w:val="26"/>
          <w:lang w:val="en-US" w:eastAsia="en-US"/>
        </w:rPr>
        <w:t>KEYSET</w:t>
      </w:r>
      <w:bookmarkEnd w:id="3071"/>
      <w:bookmarkEnd w:id="3072"/>
      <w:bookmarkEnd w:id="3073"/>
      <w:bookmarkEnd w:id="3074"/>
      <w:bookmarkEnd w:id="3075"/>
      <w:bookmarkEnd w:id="3076"/>
      <w:bookmarkEnd w:id="3077"/>
    </w:p>
    <w:p w14:paraId="63B048A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KEY SET</w:t>
      </w:r>
      <w:r>
        <w:rPr>
          <w:rFonts w:cs="Arial"/>
          <w:szCs w:val="22"/>
          <w:lang w:val="en-US" w:eastAsia="en-GB" w:bidi="ar-SA"/>
        </w:rPr>
        <w:t xml:space="preserve"> type is defined by:</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16"/>
        <w:gridCol w:w="4537"/>
        <w:gridCol w:w="2409"/>
        <w:gridCol w:w="585"/>
        <w:gridCol w:w="514"/>
      </w:tblGrid>
      <w:tr w:rsidR="00B97365" w14:paraId="4677D6FA"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CDFFAB8"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7A24CB2"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8651936"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9851093"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0D996B7"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525C6EC"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7E7F0F41" w14:textId="77777777" w:rsidR="00B97365" w:rsidRDefault="00000000">
            <w:pPr>
              <w:spacing w:after="200"/>
              <w:rPr>
                <w:rFonts w:eastAsia="Times New Roman" w:cs="Calibri"/>
                <w:sz w:val="16"/>
                <w:szCs w:val="16"/>
              </w:rPr>
            </w:pPr>
            <w:r>
              <w:rPr>
                <w:rFonts w:cs="Calibri"/>
                <w:sz w:val="16"/>
                <w:szCs w:val="16"/>
              </w:rPr>
              <w:t>version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B793A08" w14:textId="77777777" w:rsidR="00B97365" w:rsidRDefault="00000000">
            <w:pPr>
              <w:spacing w:after="60"/>
              <w:rPr>
                <w:rFonts w:eastAsia="Times New Roman" w:cs="Calibri"/>
                <w:sz w:val="16"/>
                <w:szCs w:val="16"/>
              </w:rPr>
            </w:pPr>
            <w:r>
              <w:rPr>
                <w:rFonts w:cs="Calibri"/>
                <w:sz w:val="16"/>
                <w:szCs w:val="16"/>
              </w:rPr>
              <w:t>The version of the key set (as an integer value). The version value of a key set SHALL be unique within SD definition. Possible values are from 1 to 127.</w:t>
            </w:r>
          </w:p>
          <w:p w14:paraId="24B423D8" w14:textId="77777777" w:rsidR="00B97365" w:rsidRDefault="00000000">
            <w:pPr>
              <w:spacing w:after="200"/>
              <w:rPr>
                <w:rFonts w:eastAsia="Times New Roman" w:cs="Calibri"/>
                <w:sz w:val="16"/>
                <w:szCs w:val="16"/>
              </w:rPr>
            </w:pPr>
            <w:r>
              <w:rPr>
                <w:rFonts w:cs="Calibri"/>
                <w:sz w:val="16"/>
                <w:szCs w:val="16"/>
              </w:rPr>
              <w:t>Example: ‘48’ stands for a SCP03 version ‘30’</w:t>
            </w:r>
          </w:p>
        </w:tc>
        <w:tc>
          <w:tcPr>
            <w:tcW w:w="0" w:type="auto"/>
            <w:tcBorders>
              <w:top w:val="single" w:sz="6" w:space="0" w:color="auto"/>
              <w:left w:val="single" w:sz="6" w:space="0" w:color="auto"/>
              <w:bottom w:val="single" w:sz="6" w:space="0" w:color="auto"/>
              <w:right w:val="single" w:sz="6" w:space="0" w:color="auto"/>
            </w:tcBorders>
            <w:vAlign w:val="center"/>
            <w:hideMark/>
          </w:tcPr>
          <w:p w14:paraId="2DCFCE57" w14:textId="77777777" w:rsidR="00B97365" w:rsidRDefault="00000000">
            <w:pPr>
              <w:spacing w:after="60"/>
              <w:rPr>
                <w:rFonts w:eastAsia="Times New Roman" w:cs="Calibri"/>
                <w:sz w:val="16"/>
                <w:szCs w:val="16"/>
              </w:rPr>
            </w:pPr>
            <w:r>
              <w:rPr>
                <w:rFonts w:cs="Calibri"/>
                <w:sz w:val="16"/>
                <w:szCs w:val="16"/>
              </w:rPr>
              <w:t>Integer</w:t>
            </w:r>
          </w:p>
        </w:tc>
        <w:tc>
          <w:tcPr>
            <w:tcW w:w="0" w:type="auto"/>
            <w:tcBorders>
              <w:top w:val="single" w:sz="6" w:space="0" w:color="auto"/>
              <w:left w:val="single" w:sz="6" w:space="0" w:color="auto"/>
              <w:bottom w:val="single" w:sz="6" w:space="0" w:color="auto"/>
              <w:right w:val="single" w:sz="6" w:space="0" w:color="auto"/>
            </w:tcBorders>
            <w:vAlign w:val="center"/>
            <w:hideMark/>
          </w:tcPr>
          <w:p w14:paraId="182BB447" w14:textId="77777777" w:rsidR="00B97365" w:rsidRDefault="00000000">
            <w:pPr>
              <w:spacing w:after="60"/>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FAFC502" w14:textId="77777777" w:rsidR="00B97365" w:rsidRDefault="00000000">
            <w:pPr>
              <w:spacing w:after="60"/>
              <w:jc w:val="center"/>
              <w:rPr>
                <w:rFonts w:cs="Calibri"/>
                <w:sz w:val="16"/>
                <w:szCs w:val="16"/>
              </w:rPr>
            </w:pPr>
            <w:r>
              <w:rPr>
                <w:rFonts w:cs="Calibri"/>
                <w:sz w:val="16"/>
                <w:szCs w:val="16"/>
              </w:rPr>
              <w:t>M</w:t>
            </w:r>
          </w:p>
        </w:tc>
      </w:tr>
      <w:tr w:rsidR="00B97365" w14:paraId="7F21C2F1"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454D4CD6" w14:textId="77777777" w:rsidR="00B97365" w:rsidRDefault="00000000">
            <w:pPr>
              <w:spacing w:after="60"/>
              <w:rPr>
                <w:rFonts w:eastAsia="Times New Roman" w:cs="Calibri"/>
                <w:sz w:val="16"/>
                <w:szCs w:val="16"/>
              </w:rPr>
            </w:pPr>
            <w:r>
              <w:rPr>
                <w:rFonts w:cs="Calibri"/>
                <w:sz w:val="16"/>
                <w:szCs w:val="16"/>
              </w:rPr>
              <w:t>type</w:t>
            </w:r>
          </w:p>
        </w:tc>
        <w:tc>
          <w:tcPr>
            <w:tcW w:w="0" w:type="auto"/>
            <w:tcBorders>
              <w:top w:val="single" w:sz="6" w:space="0" w:color="auto"/>
              <w:left w:val="single" w:sz="6" w:space="0" w:color="auto"/>
              <w:bottom w:val="single" w:sz="6" w:space="0" w:color="auto"/>
              <w:right w:val="single" w:sz="6" w:space="0" w:color="auto"/>
            </w:tcBorders>
            <w:vAlign w:val="center"/>
            <w:hideMark/>
          </w:tcPr>
          <w:p w14:paraId="41898662" w14:textId="77777777" w:rsidR="00B97365" w:rsidRDefault="00000000">
            <w:pPr>
              <w:spacing w:after="60"/>
              <w:rPr>
                <w:rFonts w:eastAsia="Times New Roman" w:cs="Calibri"/>
                <w:sz w:val="16"/>
                <w:szCs w:val="16"/>
              </w:rPr>
            </w:pPr>
            <w:r>
              <w:rPr>
                <w:rFonts w:cs="Calibri"/>
                <w:sz w:val="16"/>
                <w:szCs w:val="16"/>
              </w:rPr>
              <w:t>Generally key set usage (SCP03...) can be fully deduced from the key set version. If version information should not be used, this element SHALL be present to indicate the real usage of this key set.</w:t>
            </w:r>
          </w:p>
        </w:tc>
        <w:tc>
          <w:tcPr>
            <w:tcW w:w="0" w:type="auto"/>
            <w:tcBorders>
              <w:top w:val="single" w:sz="6" w:space="0" w:color="auto"/>
              <w:left w:val="single" w:sz="6" w:space="0" w:color="auto"/>
              <w:bottom w:val="single" w:sz="6" w:space="0" w:color="auto"/>
              <w:right w:val="single" w:sz="6" w:space="0" w:color="auto"/>
            </w:tcBorders>
            <w:vAlign w:val="center"/>
            <w:hideMark/>
          </w:tcPr>
          <w:p w14:paraId="53F532DE" w14:textId="77777777" w:rsidR="00B97365" w:rsidRDefault="00000000">
            <w:pPr>
              <w:spacing w:after="60"/>
              <w:rPr>
                <w:rFonts w:eastAsia="Times New Roman" w:cs="Calibri"/>
                <w:sz w:val="16"/>
                <w:szCs w:val="16"/>
              </w:rPr>
            </w:pPr>
            <w:r>
              <w:rPr>
                <w:rFonts w:cs="Calibri"/>
                <w:sz w:val="16"/>
                <w:szCs w:val="16"/>
              </w:rPr>
              <w:t>Enumeration{</w:t>
            </w:r>
          </w:p>
          <w:p w14:paraId="00AD639E" w14:textId="77777777" w:rsidR="00B97365" w:rsidRDefault="00000000">
            <w:pPr>
              <w:spacing w:after="200"/>
              <w:rPr>
                <w:rFonts w:eastAsia="Times New Roman" w:cs="Calibri"/>
                <w:sz w:val="16"/>
                <w:szCs w:val="16"/>
              </w:rPr>
            </w:pPr>
            <w:r>
              <w:rPr>
                <w:rFonts w:cs="Calibri"/>
                <w:sz w:val="16"/>
                <w:szCs w:val="16"/>
              </w:rPr>
              <w:t>SCP03, SCP80, SCP81, TokenGeneration, ReceiptVerification, CA}</w:t>
            </w:r>
          </w:p>
        </w:tc>
        <w:tc>
          <w:tcPr>
            <w:tcW w:w="0" w:type="auto"/>
            <w:tcBorders>
              <w:top w:val="single" w:sz="6" w:space="0" w:color="auto"/>
              <w:left w:val="single" w:sz="6" w:space="0" w:color="auto"/>
              <w:bottom w:val="single" w:sz="6" w:space="0" w:color="auto"/>
              <w:right w:val="single" w:sz="6" w:space="0" w:color="auto"/>
            </w:tcBorders>
            <w:vAlign w:val="center"/>
            <w:hideMark/>
          </w:tcPr>
          <w:p w14:paraId="16D34645" w14:textId="77777777" w:rsidR="00B97365" w:rsidRDefault="00000000">
            <w:pPr>
              <w:spacing w:after="60"/>
              <w:jc w:val="center"/>
              <w:rPr>
                <w:rFonts w:eastAsia="Times New Roman" w:cs="Calibri"/>
                <w:sz w:val="16"/>
                <w:szCs w:val="16"/>
              </w:rPr>
            </w:pPr>
            <w:r>
              <w:rPr>
                <w:rFonts w:eastAsia="Times New Roman"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23B7C71" w14:textId="77777777" w:rsidR="00B97365" w:rsidRDefault="00000000">
            <w:pPr>
              <w:spacing w:after="60"/>
              <w:jc w:val="center"/>
              <w:rPr>
                <w:rFonts w:eastAsia="Times New Roman" w:cs="Calibri"/>
                <w:sz w:val="16"/>
                <w:szCs w:val="16"/>
              </w:rPr>
            </w:pPr>
            <w:r>
              <w:rPr>
                <w:rFonts w:cs="Calibri"/>
                <w:sz w:val="16"/>
                <w:szCs w:val="16"/>
              </w:rPr>
              <w:t>O</w:t>
            </w:r>
          </w:p>
        </w:tc>
      </w:tr>
      <w:tr w:rsidR="00B97365" w14:paraId="13712C12"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4D408F70" w14:textId="77777777" w:rsidR="00B97365" w:rsidRDefault="00000000">
            <w:pPr>
              <w:spacing w:after="60"/>
              <w:rPr>
                <w:rFonts w:eastAsia="Times New Roman" w:cs="Calibri"/>
                <w:sz w:val="16"/>
                <w:szCs w:val="16"/>
              </w:rPr>
            </w:pPr>
            <w:r>
              <w:rPr>
                <w:rFonts w:cs="Calibri"/>
                <w:sz w:val="16"/>
                <w:szCs w:val="16"/>
              </w:rPr>
              <w:t>cntr</w:t>
            </w:r>
          </w:p>
        </w:tc>
        <w:tc>
          <w:tcPr>
            <w:tcW w:w="0" w:type="auto"/>
            <w:tcBorders>
              <w:top w:val="single" w:sz="6" w:space="0" w:color="auto"/>
              <w:left w:val="single" w:sz="6" w:space="0" w:color="auto"/>
              <w:bottom w:val="single" w:sz="6" w:space="0" w:color="auto"/>
              <w:right w:val="single" w:sz="6" w:space="0" w:color="auto"/>
            </w:tcBorders>
            <w:vAlign w:val="center"/>
            <w:hideMark/>
          </w:tcPr>
          <w:p w14:paraId="40CB8724" w14:textId="77777777" w:rsidR="00B97365" w:rsidRDefault="00000000">
            <w:pPr>
              <w:spacing w:after="60"/>
              <w:rPr>
                <w:rFonts w:eastAsia="Times New Roman" w:cs="Calibri"/>
                <w:sz w:val="16"/>
                <w:szCs w:val="16"/>
              </w:rPr>
            </w:pPr>
            <w:r>
              <w:rPr>
                <w:rFonts w:cs="Calibri"/>
                <w:sz w:val="16"/>
                <w:szCs w:val="16"/>
              </w:rPr>
              <w:t>The counter value linked to the key set. This element is optional: value '0' as to be considered if missing.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5B0C468B" w14:textId="77777777" w:rsidR="00B97365" w:rsidRDefault="00000000">
            <w:pPr>
              <w:spacing w:after="60"/>
              <w:rPr>
                <w:rFonts w:eastAsia="Times New Roman" w:cs="Calibri"/>
                <w:sz w:val="16"/>
                <w:szCs w:val="16"/>
              </w:rPr>
            </w:pPr>
            <w:r>
              <w:rPr>
                <w:rFonts w:cs="Calibri"/>
                <w:sz w:val="16"/>
                <w:szCs w:val="16"/>
              </w:rPr>
              <w:t>Integer</w:t>
            </w:r>
          </w:p>
        </w:tc>
        <w:tc>
          <w:tcPr>
            <w:tcW w:w="0" w:type="auto"/>
            <w:tcBorders>
              <w:top w:val="single" w:sz="6" w:space="0" w:color="auto"/>
              <w:left w:val="single" w:sz="6" w:space="0" w:color="auto"/>
              <w:bottom w:val="single" w:sz="6" w:space="0" w:color="auto"/>
              <w:right w:val="single" w:sz="6" w:space="0" w:color="auto"/>
            </w:tcBorders>
            <w:vAlign w:val="center"/>
            <w:hideMark/>
          </w:tcPr>
          <w:p w14:paraId="00FB33DE" w14:textId="77777777" w:rsidR="00B97365" w:rsidRDefault="00000000">
            <w:pPr>
              <w:spacing w:after="60"/>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001784E" w14:textId="77777777" w:rsidR="00B97365" w:rsidRDefault="00000000">
            <w:pPr>
              <w:spacing w:after="60"/>
              <w:rPr>
                <w:rFonts w:cs="Calibri"/>
                <w:sz w:val="16"/>
                <w:szCs w:val="16"/>
              </w:rPr>
            </w:pPr>
            <w:r>
              <w:rPr>
                <w:rFonts w:cs="Calibri"/>
                <w:sz w:val="16"/>
                <w:szCs w:val="16"/>
              </w:rPr>
              <w:t>O</w:t>
            </w:r>
          </w:p>
        </w:tc>
      </w:tr>
      <w:tr w:rsidR="00B97365" w14:paraId="5D745FEF"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77B46469" w14:textId="77777777" w:rsidR="00B97365" w:rsidRDefault="00000000">
            <w:pPr>
              <w:spacing w:after="60"/>
              <w:rPr>
                <w:rFonts w:eastAsia="Times New Roman" w:cs="Calibri"/>
                <w:sz w:val="16"/>
                <w:szCs w:val="16"/>
              </w:rPr>
            </w:pPr>
            <w:r>
              <w:rPr>
                <w:rFonts w:cs="Calibri"/>
                <w:sz w:val="16"/>
                <w:szCs w:val="16"/>
              </w:rPr>
              <w:t>keys</w:t>
            </w:r>
          </w:p>
        </w:tc>
        <w:tc>
          <w:tcPr>
            <w:tcW w:w="0" w:type="auto"/>
            <w:tcBorders>
              <w:top w:val="single" w:sz="6" w:space="0" w:color="auto"/>
              <w:left w:val="single" w:sz="6" w:space="0" w:color="auto"/>
              <w:bottom w:val="single" w:sz="6" w:space="0" w:color="auto"/>
              <w:right w:val="single" w:sz="6" w:space="0" w:color="auto"/>
            </w:tcBorders>
            <w:vAlign w:val="center"/>
            <w:hideMark/>
          </w:tcPr>
          <w:p w14:paraId="5E7D00FC" w14:textId="77777777" w:rsidR="00B97365" w:rsidRDefault="00000000">
            <w:pPr>
              <w:spacing w:after="60"/>
              <w:rPr>
                <w:rFonts w:eastAsia="Times New Roman" w:cs="Calibri"/>
                <w:sz w:val="16"/>
                <w:szCs w:val="16"/>
              </w:rPr>
            </w:pPr>
            <w:r>
              <w:rPr>
                <w:rFonts w:cs="Calibri"/>
                <w:sz w:val="16"/>
                <w:szCs w:val="16"/>
              </w:rPr>
              <w:t>List of keys contained in the key set</w:t>
            </w:r>
          </w:p>
        </w:tc>
        <w:tc>
          <w:tcPr>
            <w:tcW w:w="0" w:type="auto"/>
            <w:tcBorders>
              <w:top w:val="single" w:sz="6" w:space="0" w:color="auto"/>
              <w:left w:val="single" w:sz="6" w:space="0" w:color="auto"/>
              <w:bottom w:val="single" w:sz="6" w:space="0" w:color="auto"/>
              <w:right w:val="single" w:sz="6" w:space="0" w:color="auto"/>
            </w:tcBorders>
            <w:vAlign w:val="center"/>
            <w:hideMark/>
          </w:tcPr>
          <w:p w14:paraId="7C9BB2AA" w14:textId="77777777" w:rsidR="00B97365" w:rsidRDefault="00000000">
            <w:pPr>
              <w:spacing w:after="60"/>
              <w:rPr>
                <w:rFonts w:eastAsia="Times New Roman" w:cs="Calibri"/>
                <w:sz w:val="16"/>
                <w:szCs w:val="16"/>
              </w:rPr>
            </w:pPr>
            <w:r>
              <w:rPr>
                <w:rFonts w:eastAsia="Times New Roman" w:cs="Calibri"/>
                <w:sz w:val="16"/>
                <w:szCs w:val="16"/>
              </w:rPr>
              <w:t>KEY</w:t>
            </w:r>
          </w:p>
        </w:tc>
        <w:tc>
          <w:tcPr>
            <w:tcW w:w="0" w:type="auto"/>
            <w:tcBorders>
              <w:top w:val="single" w:sz="6" w:space="0" w:color="auto"/>
              <w:left w:val="single" w:sz="6" w:space="0" w:color="auto"/>
              <w:bottom w:val="single" w:sz="6" w:space="0" w:color="auto"/>
              <w:right w:val="single" w:sz="6" w:space="0" w:color="auto"/>
            </w:tcBorders>
            <w:vAlign w:val="center"/>
            <w:hideMark/>
          </w:tcPr>
          <w:p w14:paraId="7C220BE8" w14:textId="77777777" w:rsidR="00B97365" w:rsidRDefault="00000000">
            <w:pPr>
              <w:spacing w:after="60"/>
              <w:rPr>
                <w:rFonts w:eastAsia="Times New Roman" w:cs="Calibri"/>
                <w:sz w:val="16"/>
                <w:szCs w:val="16"/>
              </w:rPr>
            </w:pPr>
            <w:r>
              <w:rPr>
                <w:rFonts w:cs="Calibri"/>
                <w:sz w:val="16"/>
                <w:szCs w:val="16"/>
              </w:rPr>
              <w:t>1..128</w:t>
            </w:r>
          </w:p>
        </w:tc>
        <w:tc>
          <w:tcPr>
            <w:tcW w:w="0" w:type="auto"/>
            <w:tcBorders>
              <w:top w:val="single" w:sz="6" w:space="0" w:color="auto"/>
              <w:left w:val="single" w:sz="6" w:space="0" w:color="auto"/>
              <w:bottom w:val="single" w:sz="6" w:space="0" w:color="auto"/>
              <w:right w:val="single" w:sz="4" w:space="0" w:color="auto"/>
            </w:tcBorders>
            <w:vAlign w:val="center"/>
            <w:hideMark/>
          </w:tcPr>
          <w:p w14:paraId="412FAFB4" w14:textId="77777777" w:rsidR="00B97365" w:rsidRDefault="00000000">
            <w:pPr>
              <w:spacing w:after="60"/>
              <w:rPr>
                <w:rFonts w:cs="Calibri"/>
                <w:sz w:val="16"/>
                <w:szCs w:val="16"/>
              </w:rPr>
            </w:pPr>
            <w:r>
              <w:rPr>
                <w:rFonts w:cs="Calibri"/>
                <w:sz w:val="16"/>
                <w:szCs w:val="16"/>
              </w:rPr>
              <w:t>C(1)</w:t>
            </w:r>
          </w:p>
        </w:tc>
      </w:tr>
      <w:tr w:rsidR="00B97365" w14:paraId="1D18E709" w14:textId="77777777">
        <w:trPr>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549141F8" w14:textId="77777777" w:rsidR="00B97365" w:rsidRDefault="00000000">
            <w:pPr>
              <w:spacing w:after="60"/>
              <w:rPr>
                <w:rFonts w:eastAsia="Times New Roman" w:cs="Calibri"/>
                <w:sz w:val="16"/>
                <w:szCs w:val="16"/>
              </w:rPr>
            </w:pPr>
            <w:r>
              <w:rPr>
                <w:rFonts w:cs="Calibri"/>
                <w:sz w:val="16"/>
                <w:szCs w:val="16"/>
              </w:rPr>
              <w:t>certificates</w:t>
            </w:r>
          </w:p>
        </w:tc>
        <w:tc>
          <w:tcPr>
            <w:tcW w:w="0" w:type="auto"/>
            <w:tcBorders>
              <w:top w:val="single" w:sz="6" w:space="0" w:color="auto"/>
              <w:left w:val="single" w:sz="6" w:space="0" w:color="auto"/>
              <w:bottom w:val="single" w:sz="4" w:space="0" w:color="auto"/>
              <w:right w:val="single" w:sz="6" w:space="0" w:color="auto"/>
            </w:tcBorders>
            <w:vAlign w:val="center"/>
            <w:hideMark/>
          </w:tcPr>
          <w:p w14:paraId="639CA161" w14:textId="77777777" w:rsidR="00B97365" w:rsidRDefault="00000000">
            <w:pPr>
              <w:spacing w:after="60"/>
              <w:rPr>
                <w:rFonts w:eastAsia="Times New Roman" w:cs="Calibri"/>
                <w:sz w:val="16"/>
                <w:szCs w:val="16"/>
              </w:rPr>
            </w:pPr>
            <w:r>
              <w:rPr>
                <w:rFonts w:cs="Calibri"/>
                <w:sz w:val="16"/>
                <w:szCs w:val="16"/>
              </w:rPr>
              <w:t>A certificate (as defined in GlobalPlatform context) as a counter part of a secret key loaded in a key set.</w:t>
            </w:r>
          </w:p>
        </w:tc>
        <w:tc>
          <w:tcPr>
            <w:tcW w:w="0" w:type="auto"/>
            <w:tcBorders>
              <w:top w:val="single" w:sz="6" w:space="0" w:color="auto"/>
              <w:left w:val="single" w:sz="6" w:space="0" w:color="auto"/>
              <w:bottom w:val="single" w:sz="4" w:space="0" w:color="auto"/>
              <w:right w:val="single" w:sz="6" w:space="0" w:color="auto"/>
            </w:tcBorders>
            <w:vAlign w:val="center"/>
            <w:hideMark/>
          </w:tcPr>
          <w:p w14:paraId="0AE801B9" w14:textId="77777777" w:rsidR="00B97365" w:rsidRDefault="00000000">
            <w:pPr>
              <w:spacing w:after="60"/>
              <w:rPr>
                <w:rFonts w:eastAsia="Times New Roman" w:cs="Calibri"/>
                <w:sz w:val="16"/>
                <w:szCs w:val="16"/>
              </w:rPr>
            </w:pPr>
            <w:r>
              <w:rPr>
                <w:rFonts w:cs="Calibri"/>
                <w:sz w:val="16"/>
                <w:szCs w:val="16"/>
              </w:rPr>
              <w:t>CERTIFICATE</w:t>
            </w:r>
          </w:p>
        </w:tc>
        <w:tc>
          <w:tcPr>
            <w:tcW w:w="0" w:type="auto"/>
            <w:tcBorders>
              <w:top w:val="single" w:sz="6" w:space="0" w:color="auto"/>
              <w:left w:val="single" w:sz="6" w:space="0" w:color="auto"/>
              <w:bottom w:val="single" w:sz="4" w:space="0" w:color="auto"/>
              <w:right w:val="single" w:sz="6" w:space="0" w:color="auto"/>
            </w:tcBorders>
            <w:vAlign w:val="center"/>
            <w:hideMark/>
          </w:tcPr>
          <w:p w14:paraId="0196D6E0" w14:textId="77777777" w:rsidR="00B97365" w:rsidRDefault="00000000">
            <w:pPr>
              <w:spacing w:after="60"/>
              <w:rPr>
                <w:rFonts w:eastAsia="Times New Roman" w:cs="Calibri"/>
                <w:sz w:val="16"/>
                <w:szCs w:val="16"/>
              </w:rPr>
            </w:pPr>
            <w:r>
              <w:rPr>
                <w:rFonts w:cs="Calibri"/>
                <w:sz w:val="16"/>
                <w:szCs w:val="16"/>
              </w:rPr>
              <w:t>1..128</w:t>
            </w:r>
          </w:p>
        </w:tc>
        <w:tc>
          <w:tcPr>
            <w:tcW w:w="0" w:type="auto"/>
            <w:tcBorders>
              <w:top w:val="single" w:sz="6" w:space="0" w:color="auto"/>
              <w:left w:val="single" w:sz="6" w:space="0" w:color="auto"/>
              <w:bottom w:val="single" w:sz="4" w:space="0" w:color="auto"/>
              <w:right w:val="single" w:sz="4" w:space="0" w:color="auto"/>
            </w:tcBorders>
            <w:vAlign w:val="center"/>
            <w:hideMark/>
          </w:tcPr>
          <w:p w14:paraId="12BDF97D" w14:textId="77777777" w:rsidR="00B97365" w:rsidRDefault="00000000">
            <w:pPr>
              <w:spacing w:after="60"/>
              <w:rPr>
                <w:rFonts w:cs="Calibri"/>
                <w:sz w:val="16"/>
                <w:szCs w:val="16"/>
              </w:rPr>
            </w:pPr>
            <w:r>
              <w:rPr>
                <w:rFonts w:cs="Calibri"/>
                <w:sz w:val="16"/>
                <w:szCs w:val="16"/>
              </w:rPr>
              <w:t>C(1)</w:t>
            </w:r>
          </w:p>
        </w:tc>
      </w:tr>
    </w:tbl>
    <w:p w14:paraId="5F641334"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KeySet Type</w:t>
      </w:r>
    </w:p>
    <w:p w14:paraId="1D41ACAA" w14:textId="77777777" w:rsidR="00B97365" w:rsidRDefault="00000000">
      <w:pPr>
        <w:spacing w:after="200" w:line="276" w:lineRule="auto"/>
        <w:ind w:left="1560" w:hanging="1276"/>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A key set provisioned at SM-SR level may be composed of a set of keys or certificates. </w:t>
      </w:r>
    </w:p>
    <w:p w14:paraId="7B89ADC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A key set SHALL include at least one key or certificate. But for a given index, it MAY exist only one key or one certificate. </w:t>
      </w:r>
    </w:p>
    <w:p w14:paraId="6BDD8C94" w14:textId="77777777" w:rsidR="00B97365" w:rsidRDefault="00B97365">
      <w:pPr>
        <w:spacing w:before="0" w:after="200" w:line="276" w:lineRule="auto"/>
        <w:jc w:val="left"/>
        <w:rPr>
          <w:rFonts w:cs="Arial"/>
          <w:szCs w:val="22"/>
          <w:lang w:val="en-US" w:eastAsia="en-GB" w:bidi="ar-SA"/>
        </w:rPr>
      </w:pPr>
    </w:p>
    <w:p w14:paraId="2D66F464"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78" w:name="_Toc368932265"/>
      <w:bookmarkStart w:id="3079" w:name="_Ref367977402"/>
      <w:bookmarkStart w:id="3080" w:name="_Ref367977395"/>
      <w:bookmarkStart w:id="3081" w:name="_Ref367977387"/>
      <w:bookmarkStart w:id="3082" w:name="_Ref367977378"/>
      <w:bookmarkStart w:id="3083" w:name="_Ref367977349"/>
      <w:bookmarkStart w:id="3084" w:name="_Ref367977320"/>
      <w:bookmarkStart w:id="3085" w:name="_Ref367977310"/>
      <w:bookmarkStart w:id="3086" w:name="_Toc353536187"/>
      <w:r>
        <w:rPr>
          <w:rFonts w:ascii="Arial Bold" w:eastAsia="Times New Roman" w:hAnsi="Arial Bold" w:cs="Arial"/>
          <w:szCs w:val="26"/>
          <w:lang w:val="en-US" w:eastAsia="en-US"/>
        </w:rPr>
        <w:t>SECURITY-DOMAIN</w:t>
      </w:r>
      <w:bookmarkEnd w:id="3078"/>
      <w:bookmarkEnd w:id="3079"/>
      <w:bookmarkEnd w:id="3080"/>
      <w:bookmarkEnd w:id="3081"/>
      <w:bookmarkEnd w:id="3082"/>
      <w:bookmarkEnd w:id="3083"/>
      <w:bookmarkEnd w:id="3084"/>
      <w:bookmarkEnd w:id="3085"/>
      <w:bookmarkEnd w:id="3086"/>
    </w:p>
    <w:p w14:paraId="61BA661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SECURITY-DOMAIN</w:t>
      </w:r>
      <w:r>
        <w:rPr>
          <w:rFonts w:cs="Arial"/>
          <w:szCs w:val="22"/>
          <w:lang w:val="en-US" w:eastAsia="en-GB" w:bidi="ar-SA"/>
        </w:rPr>
        <w:t xml:space="preserve"> type is defined by:</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80"/>
        <w:gridCol w:w="5474"/>
        <w:gridCol w:w="1608"/>
        <w:gridCol w:w="585"/>
        <w:gridCol w:w="514"/>
      </w:tblGrid>
      <w:tr w:rsidR="00B97365" w14:paraId="1CE9BD0E"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6EB37F4"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8CE5CF0"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FD0401A"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337E1E9"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1E297E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5350B3C"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4E06709E" w14:textId="77777777" w:rsidR="00B97365" w:rsidRDefault="00000000">
            <w:pPr>
              <w:spacing w:after="200"/>
              <w:rPr>
                <w:rFonts w:eastAsia="Times New Roman" w:cs="Calibri"/>
                <w:sz w:val="16"/>
                <w:szCs w:val="16"/>
              </w:rPr>
            </w:pPr>
            <w:r>
              <w:rPr>
                <w:rFonts w:cs="Calibri"/>
                <w:sz w:val="16"/>
                <w:szCs w:val="16"/>
              </w:rPr>
              <w:t>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81B2F85" w14:textId="77777777" w:rsidR="00B97365" w:rsidRDefault="00000000">
            <w:pPr>
              <w:spacing w:after="60"/>
              <w:rPr>
                <w:rFonts w:eastAsia="Times New Roman" w:cs="Calibri"/>
                <w:sz w:val="16"/>
                <w:szCs w:val="16"/>
              </w:rPr>
            </w:pPr>
            <w:r>
              <w:rPr>
                <w:rFonts w:cs="Calibri"/>
                <w:sz w:val="16"/>
                <w:szCs w:val="16"/>
              </w:rPr>
              <w:t>The AID of the security domain</w:t>
            </w:r>
          </w:p>
        </w:tc>
        <w:tc>
          <w:tcPr>
            <w:tcW w:w="0" w:type="auto"/>
            <w:tcBorders>
              <w:top w:val="single" w:sz="6" w:space="0" w:color="auto"/>
              <w:left w:val="single" w:sz="6" w:space="0" w:color="auto"/>
              <w:bottom w:val="single" w:sz="6" w:space="0" w:color="auto"/>
              <w:right w:val="single" w:sz="6" w:space="0" w:color="auto"/>
            </w:tcBorders>
            <w:vAlign w:val="center"/>
            <w:hideMark/>
          </w:tcPr>
          <w:p w14:paraId="75FADE26" w14:textId="77777777" w:rsidR="00B97365" w:rsidRDefault="00000000">
            <w:pPr>
              <w:spacing w:after="60"/>
              <w:jc w:val="center"/>
              <w:rPr>
                <w:rFonts w:eastAsia="Times New Roman" w:cs="Calibri"/>
                <w:sz w:val="16"/>
                <w:szCs w:val="16"/>
              </w:rPr>
            </w:pPr>
            <w:r>
              <w:rPr>
                <w:rFonts w:cs="Calibri"/>
                <w:sz w:val="16"/>
                <w:szCs w:val="16"/>
              </w:rPr>
              <w:t>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4295A08" w14:textId="77777777" w:rsidR="00B97365" w:rsidRDefault="00000000">
            <w:pPr>
              <w:spacing w:after="60"/>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16FB30F" w14:textId="77777777" w:rsidR="00B97365" w:rsidRDefault="00000000">
            <w:pPr>
              <w:spacing w:after="60"/>
              <w:jc w:val="center"/>
              <w:rPr>
                <w:rFonts w:cs="Calibri"/>
                <w:sz w:val="16"/>
                <w:szCs w:val="16"/>
              </w:rPr>
            </w:pPr>
            <w:r>
              <w:rPr>
                <w:rFonts w:cs="Calibri"/>
                <w:sz w:val="16"/>
                <w:szCs w:val="16"/>
              </w:rPr>
              <w:t>M</w:t>
            </w:r>
          </w:p>
        </w:tc>
      </w:tr>
      <w:tr w:rsidR="00B97365" w14:paraId="1CEA6412"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7EFCCCE4" w14:textId="77777777" w:rsidR="00B97365" w:rsidRDefault="00000000">
            <w:pPr>
              <w:spacing w:after="60"/>
              <w:rPr>
                <w:rFonts w:eastAsia="Times New Roman" w:cs="Calibri"/>
                <w:sz w:val="16"/>
                <w:szCs w:val="16"/>
              </w:rPr>
            </w:pPr>
            <w:r>
              <w:rPr>
                <w:rFonts w:cs="Calibri"/>
                <w:sz w:val="16"/>
                <w:szCs w:val="16"/>
              </w:rPr>
              <w:lastRenderedPageBreak/>
              <w:t>tars</w:t>
            </w:r>
          </w:p>
        </w:tc>
        <w:tc>
          <w:tcPr>
            <w:tcW w:w="0" w:type="auto"/>
            <w:tcBorders>
              <w:top w:val="single" w:sz="6" w:space="0" w:color="auto"/>
              <w:left w:val="single" w:sz="6" w:space="0" w:color="auto"/>
              <w:bottom w:val="single" w:sz="6" w:space="0" w:color="auto"/>
              <w:right w:val="single" w:sz="6" w:space="0" w:color="auto"/>
            </w:tcBorders>
            <w:vAlign w:val="center"/>
            <w:hideMark/>
          </w:tcPr>
          <w:p w14:paraId="434D4DB3" w14:textId="77777777" w:rsidR="00B97365" w:rsidRDefault="00000000">
            <w:pPr>
              <w:spacing w:after="60"/>
              <w:rPr>
                <w:rFonts w:eastAsia="Times New Roman" w:cs="Calibri"/>
                <w:sz w:val="16"/>
                <w:szCs w:val="16"/>
                <w:lang w:val="en-US"/>
              </w:rPr>
            </w:pPr>
            <w:r>
              <w:rPr>
                <w:rFonts w:cs="Calibri"/>
                <w:sz w:val="16"/>
                <w:szCs w:val="16"/>
                <w:lang w:val="en-US"/>
              </w:rPr>
              <w:t>The list of TARs allocated to security domain, as an SD MAY have several TARs. If this list is empty, the implicit TAR is defined by the byte 13, 14, 15 of the 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7AAA412" w14:textId="77777777" w:rsidR="00B97365" w:rsidRDefault="00000000">
            <w:pPr>
              <w:spacing w:after="60"/>
              <w:jc w:val="center"/>
              <w:rPr>
                <w:rFonts w:eastAsia="Times New Roman" w:cs="Calibri"/>
                <w:sz w:val="16"/>
                <w:szCs w:val="16"/>
                <w:lang w:val="en-US"/>
              </w:rPr>
            </w:pPr>
            <w:r>
              <w:rPr>
                <w:rFonts w:cs="Calibri"/>
                <w:sz w:val="16"/>
                <w:szCs w:val="16"/>
                <w:lang w:val="en-US"/>
              </w:rPr>
              <w:t>TAR</w:t>
            </w:r>
          </w:p>
        </w:tc>
        <w:tc>
          <w:tcPr>
            <w:tcW w:w="0" w:type="auto"/>
            <w:tcBorders>
              <w:top w:val="single" w:sz="6" w:space="0" w:color="auto"/>
              <w:left w:val="single" w:sz="6" w:space="0" w:color="auto"/>
              <w:bottom w:val="single" w:sz="6" w:space="0" w:color="auto"/>
              <w:right w:val="single" w:sz="6" w:space="0" w:color="auto"/>
            </w:tcBorders>
            <w:vAlign w:val="center"/>
            <w:hideMark/>
          </w:tcPr>
          <w:p w14:paraId="38650A6D" w14:textId="77777777" w:rsidR="00B97365" w:rsidRDefault="00000000">
            <w:pPr>
              <w:spacing w:after="60"/>
              <w:jc w:val="center"/>
              <w:rPr>
                <w:rFonts w:eastAsia="Times New Roman" w:cs="Calibri"/>
                <w:sz w:val="16"/>
                <w:szCs w:val="16"/>
                <w:lang w:val="en-US"/>
              </w:rPr>
            </w:pPr>
            <w:r>
              <w:rPr>
                <w:rFonts w:cs="Calibri"/>
                <w:sz w:val="16"/>
                <w:szCs w:val="16"/>
                <w:lang w:val="en-US"/>
              </w:rPr>
              <w:t>1..N</w:t>
            </w:r>
          </w:p>
        </w:tc>
        <w:tc>
          <w:tcPr>
            <w:tcW w:w="0" w:type="auto"/>
            <w:tcBorders>
              <w:top w:val="single" w:sz="6" w:space="0" w:color="auto"/>
              <w:left w:val="single" w:sz="6" w:space="0" w:color="auto"/>
              <w:bottom w:val="single" w:sz="6" w:space="0" w:color="auto"/>
              <w:right w:val="single" w:sz="4" w:space="0" w:color="auto"/>
            </w:tcBorders>
            <w:vAlign w:val="center"/>
            <w:hideMark/>
          </w:tcPr>
          <w:p w14:paraId="174DC0CE" w14:textId="77777777" w:rsidR="00B97365" w:rsidRDefault="00000000">
            <w:pPr>
              <w:spacing w:after="60"/>
              <w:jc w:val="center"/>
              <w:rPr>
                <w:rFonts w:cs="Calibri"/>
                <w:sz w:val="16"/>
                <w:szCs w:val="16"/>
                <w:lang w:val="en-US"/>
              </w:rPr>
            </w:pPr>
            <w:r>
              <w:rPr>
                <w:rFonts w:cs="Calibri"/>
                <w:sz w:val="16"/>
                <w:szCs w:val="16"/>
                <w:lang w:val="en-US"/>
              </w:rPr>
              <w:t>O</w:t>
            </w:r>
          </w:p>
        </w:tc>
      </w:tr>
      <w:tr w:rsidR="00B97365" w14:paraId="575BF6AA"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670DDA15" w14:textId="77777777" w:rsidR="00B97365" w:rsidRDefault="00000000">
            <w:pPr>
              <w:spacing w:after="60"/>
              <w:rPr>
                <w:rFonts w:eastAsia="Times New Roman" w:cs="Calibri"/>
                <w:sz w:val="16"/>
                <w:szCs w:val="16"/>
              </w:rPr>
            </w:pPr>
            <w:r>
              <w:rPr>
                <w:rFonts w:cs="Calibri"/>
                <w:sz w:val="16"/>
                <w:szCs w:val="16"/>
              </w:rPr>
              <w:t>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197445C7" w14:textId="65AACD05" w:rsidR="00B97365" w:rsidRDefault="00000000">
            <w:pPr>
              <w:spacing w:after="60"/>
              <w:rPr>
                <w:rFonts w:eastAsia="Times New Roman" w:cs="Calibri"/>
                <w:sz w:val="16"/>
                <w:szCs w:val="16"/>
                <w:lang w:val="en-US"/>
              </w:rPr>
            </w:pPr>
            <w:r>
              <w:rPr>
                <w:rFonts w:cs="Calibri"/>
                <w:sz w:val="16"/>
                <w:szCs w:val="16"/>
                <w:lang w:val="en-US"/>
              </w:rPr>
              <w:t xml:space="preserve">The security domain Provider Identification Number as defined in GlobalPlatform Card Specification </w:t>
            </w:r>
            <w:r>
              <w:fldChar w:fldCharType="begin"/>
            </w:r>
            <w:r>
              <w:rPr>
                <w:rFonts w:cs="Calibri"/>
                <w:sz w:val="16"/>
                <w:szCs w:val="16"/>
              </w:rPr>
              <w:instrText xml:space="preserve"> REF _Ref421631311 \r \h </w:instrText>
            </w:r>
            <w:r>
              <w:fldChar w:fldCharType="separate"/>
            </w:r>
            <w:r w:rsidR="001D5AD9">
              <w:rPr>
                <w:rFonts w:cs="Calibri"/>
                <w:sz w:val="16"/>
                <w:szCs w:val="16"/>
              </w:rPr>
              <w:t>[6]</w:t>
            </w:r>
            <w:r>
              <w:fldChar w:fldCharType="end"/>
            </w:r>
            <w:r>
              <w:rPr>
                <w:rFonts w:cs="Calibri"/>
                <w:sz w:val="16"/>
                <w:szCs w:val="16"/>
                <w:lang w:val="en-US"/>
              </w:rPr>
              <w:t>. The owner of the security domain endorsing the Role defined in the ‘role’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1CA59739" w14:textId="77777777" w:rsidR="00B97365" w:rsidRDefault="00000000">
            <w:pPr>
              <w:spacing w:after="60"/>
              <w:jc w:val="center"/>
              <w:rPr>
                <w:rFonts w:eastAsia="Times New Roman" w:cs="Calibri"/>
                <w:sz w:val="16"/>
                <w:szCs w:val="16"/>
                <w:lang w:val="en-US"/>
              </w:rPr>
            </w:pPr>
            <w:r>
              <w:rPr>
                <w:rFonts w:cs="Calibri"/>
                <w:sz w:val="16"/>
                <w:szCs w:val="16"/>
              </w:rPr>
              <w:t>Hexadecimal 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17A71477"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FC8D9E4"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5640DBF0"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7E12B4E4" w14:textId="77777777" w:rsidR="00B97365" w:rsidRDefault="00000000">
            <w:pPr>
              <w:spacing w:after="60"/>
              <w:rPr>
                <w:rFonts w:eastAsia="Times New Roman" w:cs="Calibri"/>
                <w:sz w:val="16"/>
                <w:szCs w:val="16"/>
              </w:rPr>
            </w:pPr>
            <w:r>
              <w:rPr>
                <w:rFonts w:cs="Calibri"/>
                <w:sz w:val="16"/>
                <w:szCs w:val="16"/>
              </w:rPr>
              <w:t>sdin</w:t>
            </w:r>
          </w:p>
        </w:tc>
        <w:tc>
          <w:tcPr>
            <w:tcW w:w="0" w:type="auto"/>
            <w:tcBorders>
              <w:top w:val="single" w:sz="6" w:space="0" w:color="auto"/>
              <w:left w:val="single" w:sz="6" w:space="0" w:color="auto"/>
              <w:bottom w:val="single" w:sz="6" w:space="0" w:color="auto"/>
              <w:right w:val="single" w:sz="6" w:space="0" w:color="auto"/>
            </w:tcBorders>
            <w:vAlign w:val="center"/>
            <w:hideMark/>
          </w:tcPr>
          <w:p w14:paraId="2EB28691" w14:textId="565FA4C0" w:rsidR="00B97365" w:rsidRDefault="00000000">
            <w:pPr>
              <w:rPr>
                <w:rFonts w:eastAsia="Times New Roman" w:cs="Calibri"/>
                <w:sz w:val="16"/>
                <w:szCs w:val="16"/>
                <w:lang w:val="en-US"/>
              </w:rPr>
            </w:pPr>
            <w:r>
              <w:rPr>
                <w:rFonts w:cs="Calibri"/>
                <w:sz w:val="16"/>
                <w:szCs w:val="16"/>
                <w:lang w:val="en-US"/>
              </w:rPr>
              <w:t xml:space="preserve">The security domain Identification Number as defined in GlobalPlatform Card Specification </w:t>
            </w:r>
            <w:r>
              <w:fldChar w:fldCharType="begin"/>
            </w:r>
            <w:r>
              <w:rPr>
                <w:rFonts w:cs="Calibri"/>
                <w:sz w:val="16"/>
                <w:szCs w:val="16"/>
                <w:lang w:val="en-US"/>
              </w:rPr>
              <w:instrText xml:space="preserve"> REF _Ref421631311 \r \h </w:instrText>
            </w:r>
            <w:r>
              <w:fldChar w:fldCharType="separate"/>
            </w:r>
            <w:r w:rsidR="001D5AD9">
              <w:rPr>
                <w:rFonts w:cs="Calibri"/>
                <w:sz w:val="16"/>
                <w:szCs w:val="16"/>
                <w:lang w:val="en-US"/>
              </w:rPr>
              <w:t>[6]</w:t>
            </w:r>
            <w:r>
              <w:fldChar w:fldCharType="end"/>
            </w:r>
          </w:p>
        </w:tc>
        <w:tc>
          <w:tcPr>
            <w:tcW w:w="0" w:type="auto"/>
            <w:tcBorders>
              <w:top w:val="single" w:sz="6" w:space="0" w:color="auto"/>
              <w:left w:val="single" w:sz="6" w:space="0" w:color="auto"/>
              <w:bottom w:val="single" w:sz="6" w:space="0" w:color="auto"/>
              <w:right w:val="single" w:sz="6" w:space="0" w:color="auto"/>
            </w:tcBorders>
            <w:vAlign w:val="center"/>
            <w:hideMark/>
          </w:tcPr>
          <w:p w14:paraId="11E12658" w14:textId="77777777" w:rsidR="00B97365" w:rsidRDefault="00000000">
            <w:pPr>
              <w:spacing w:after="60"/>
              <w:jc w:val="center"/>
              <w:rPr>
                <w:rFonts w:eastAsia="Times New Roman" w:cs="Calibri"/>
                <w:sz w:val="16"/>
                <w:szCs w:val="16"/>
                <w:lang w:val="en-US"/>
              </w:rPr>
            </w:pPr>
            <w:r>
              <w:rPr>
                <w:rFonts w:cs="Calibri"/>
                <w:sz w:val="16"/>
                <w:szCs w:val="16"/>
              </w:rPr>
              <w:t>Hexadecimal 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0588C441"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ADDB39F"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2071DC74"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114265B9" w14:textId="77777777" w:rsidR="00B97365" w:rsidRDefault="00000000">
            <w:pPr>
              <w:spacing w:after="60"/>
              <w:rPr>
                <w:rFonts w:eastAsia="Times New Roman" w:cs="Calibri"/>
                <w:sz w:val="16"/>
                <w:szCs w:val="16"/>
              </w:rPr>
            </w:pPr>
            <w:r>
              <w:rPr>
                <w:rFonts w:cs="Calibri"/>
                <w:sz w:val="16"/>
                <w:szCs w:val="16"/>
              </w:rPr>
              <w:t>role</w:t>
            </w:r>
          </w:p>
        </w:tc>
        <w:tc>
          <w:tcPr>
            <w:tcW w:w="0" w:type="auto"/>
            <w:tcBorders>
              <w:top w:val="single" w:sz="6" w:space="0" w:color="auto"/>
              <w:left w:val="single" w:sz="6" w:space="0" w:color="auto"/>
              <w:bottom w:val="single" w:sz="6" w:space="0" w:color="auto"/>
              <w:right w:val="single" w:sz="6" w:space="0" w:color="auto"/>
            </w:tcBorders>
            <w:vAlign w:val="center"/>
            <w:hideMark/>
          </w:tcPr>
          <w:p w14:paraId="3B453463" w14:textId="77777777" w:rsidR="00B97365" w:rsidRDefault="00000000">
            <w:pPr>
              <w:spacing w:after="60"/>
              <w:rPr>
                <w:rFonts w:eastAsia="Times New Roman" w:cs="Calibri"/>
                <w:sz w:val="16"/>
                <w:szCs w:val="16"/>
                <w:lang w:val="en-US"/>
              </w:rPr>
            </w:pPr>
            <w:r>
              <w:rPr>
                <w:rFonts w:cs="Calibri"/>
                <w:sz w:val="16"/>
                <w:szCs w:val="16"/>
                <w:lang w:val="en-US"/>
              </w:rPr>
              <w:t>Identification of the Role of the security domain.</w:t>
            </w:r>
          </w:p>
        </w:tc>
        <w:tc>
          <w:tcPr>
            <w:tcW w:w="0" w:type="auto"/>
            <w:tcBorders>
              <w:top w:val="single" w:sz="6" w:space="0" w:color="auto"/>
              <w:left w:val="single" w:sz="6" w:space="0" w:color="auto"/>
              <w:bottom w:val="single" w:sz="6" w:space="0" w:color="auto"/>
              <w:right w:val="single" w:sz="6" w:space="0" w:color="auto"/>
            </w:tcBorders>
            <w:vAlign w:val="center"/>
            <w:hideMark/>
          </w:tcPr>
          <w:p w14:paraId="68F78D0F" w14:textId="77777777" w:rsidR="00B97365" w:rsidRDefault="00000000">
            <w:pPr>
              <w:spacing w:after="60"/>
              <w:jc w:val="center"/>
              <w:rPr>
                <w:rFonts w:eastAsia="Times New Roman" w:cs="Calibri"/>
                <w:sz w:val="16"/>
                <w:szCs w:val="16"/>
                <w:lang w:val="en-US"/>
              </w:rPr>
            </w:pPr>
            <w:r>
              <w:rPr>
                <w:rFonts w:cs="Calibri"/>
                <w:sz w:val="16"/>
                <w:szCs w:val="16"/>
                <w:lang w:val="en-US"/>
              </w:rPr>
              <w:t>numeration{ISD-R, ECASD}</w:t>
            </w:r>
          </w:p>
        </w:tc>
        <w:tc>
          <w:tcPr>
            <w:tcW w:w="0" w:type="auto"/>
            <w:tcBorders>
              <w:top w:val="single" w:sz="6" w:space="0" w:color="auto"/>
              <w:left w:val="single" w:sz="6" w:space="0" w:color="auto"/>
              <w:bottom w:val="single" w:sz="6" w:space="0" w:color="auto"/>
              <w:right w:val="single" w:sz="6" w:space="0" w:color="auto"/>
            </w:tcBorders>
            <w:vAlign w:val="center"/>
            <w:hideMark/>
          </w:tcPr>
          <w:p w14:paraId="7BEB6325"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0477576"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60ECADA1" w14:textId="77777777">
        <w:trPr>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4B23048A" w14:textId="77777777" w:rsidR="00B97365" w:rsidRDefault="00000000">
            <w:pPr>
              <w:spacing w:after="60"/>
              <w:rPr>
                <w:rFonts w:eastAsia="Times New Roman" w:cs="Calibri"/>
                <w:sz w:val="16"/>
                <w:szCs w:val="16"/>
              </w:rPr>
            </w:pPr>
            <w:r>
              <w:rPr>
                <w:rFonts w:cs="Calibri"/>
                <w:sz w:val="16"/>
                <w:szCs w:val="16"/>
              </w:rPr>
              <w:t>keysets</w:t>
            </w:r>
          </w:p>
        </w:tc>
        <w:tc>
          <w:tcPr>
            <w:tcW w:w="0" w:type="auto"/>
            <w:tcBorders>
              <w:top w:val="single" w:sz="6" w:space="0" w:color="auto"/>
              <w:left w:val="single" w:sz="6" w:space="0" w:color="auto"/>
              <w:bottom w:val="single" w:sz="4" w:space="0" w:color="auto"/>
              <w:right w:val="single" w:sz="6" w:space="0" w:color="auto"/>
            </w:tcBorders>
            <w:vAlign w:val="center"/>
            <w:hideMark/>
          </w:tcPr>
          <w:p w14:paraId="1971F707" w14:textId="77777777" w:rsidR="00B97365" w:rsidRDefault="00000000">
            <w:pPr>
              <w:spacing w:after="60"/>
              <w:rPr>
                <w:rFonts w:eastAsia="Times New Roman" w:cs="Calibri"/>
                <w:sz w:val="16"/>
                <w:szCs w:val="16"/>
              </w:rPr>
            </w:pPr>
            <w:r>
              <w:rPr>
                <w:rFonts w:cs="Calibri"/>
                <w:sz w:val="16"/>
                <w:szCs w:val="16"/>
              </w:rPr>
              <w:t>The list of key sets defined within the security domain</w:t>
            </w:r>
          </w:p>
        </w:tc>
        <w:tc>
          <w:tcPr>
            <w:tcW w:w="0" w:type="auto"/>
            <w:tcBorders>
              <w:top w:val="single" w:sz="6" w:space="0" w:color="auto"/>
              <w:left w:val="single" w:sz="6" w:space="0" w:color="auto"/>
              <w:bottom w:val="single" w:sz="4" w:space="0" w:color="auto"/>
              <w:right w:val="single" w:sz="6" w:space="0" w:color="auto"/>
            </w:tcBorders>
            <w:vAlign w:val="center"/>
            <w:hideMark/>
          </w:tcPr>
          <w:p w14:paraId="441E99AA" w14:textId="77777777" w:rsidR="00B97365" w:rsidRDefault="00000000">
            <w:pPr>
              <w:spacing w:after="60"/>
              <w:rPr>
                <w:rFonts w:eastAsia="Times New Roman" w:cs="Calibri"/>
                <w:sz w:val="16"/>
                <w:szCs w:val="16"/>
                <w:lang w:val="en-US"/>
              </w:rPr>
            </w:pPr>
            <w:r>
              <w:rPr>
                <w:rFonts w:cs="Calibri"/>
                <w:sz w:val="16"/>
                <w:szCs w:val="16"/>
                <w:lang w:val="en-US"/>
              </w:rPr>
              <w:t>KEYSET</w:t>
            </w:r>
          </w:p>
        </w:tc>
        <w:tc>
          <w:tcPr>
            <w:tcW w:w="0" w:type="auto"/>
            <w:tcBorders>
              <w:top w:val="single" w:sz="6" w:space="0" w:color="auto"/>
              <w:left w:val="single" w:sz="6" w:space="0" w:color="auto"/>
              <w:bottom w:val="single" w:sz="4" w:space="0" w:color="auto"/>
              <w:right w:val="single" w:sz="6" w:space="0" w:color="auto"/>
            </w:tcBorders>
            <w:vAlign w:val="center"/>
            <w:hideMark/>
          </w:tcPr>
          <w:p w14:paraId="64F9EB98" w14:textId="77777777" w:rsidR="00B97365" w:rsidRDefault="00000000">
            <w:pPr>
              <w:spacing w:after="60"/>
              <w:rPr>
                <w:rFonts w:eastAsia="Times New Roman" w:cs="Calibri"/>
                <w:sz w:val="16"/>
                <w:szCs w:val="16"/>
                <w:lang w:val="en-US"/>
              </w:rPr>
            </w:pPr>
            <w:r>
              <w:rPr>
                <w:rFonts w:cs="Calibri"/>
                <w:sz w:val="16"/>
                <w:szCs w:val="16"/>
                <w:lang w:val="en-US"/>
              </w:rPr>
              <w:t>1..127</w:t>
            </w:r>
          </w:p>
        </w:tc>
        <w:tc>
          <w:tcPr>
            <w:tcW w:w="0" w:type="auto"/>
            <w:tcBorders>
              <w:top w:val="single" w:sz="6" w:space="0" w:color="auto"/>
              <w:left w:val="single" w:sz="6" w:space="0" w:color="auto"/>
              <w:bottom w:val="single" w:sz="4" w:space="0" w:color="auto"/>
              <w:right w:val="single" w:sz="4" w:space="0" w:color="auto"/>
            </w:tcBorders>
            <w:vAlign w:val="center"/>
            <w:hideMark/>
          </w:tcPr>
          <w:p w14:paraId="62D00214" w14:textId="77777777" w:rsidR="00B97365" w:rsidRDefault="00000000">
            <w:pPr>
              <w:spacing w:after="60"/>
              <w:rPr>
                <w:rFonts w:cs="Calibri"/>
                <w:sz w:val="16"/>
                <w:szCs w:val="16"/>
                <w:lang w:val="en-US"/>
              </w:rPr>
            </w:pPr>
            <w:r>
              <w:rPr>
                <w:rFonts w:cs="Calibri"/>
                <w:sz w:val="16"/>
                <w:szCs w:val="16"/>
                <w:lang w:val="en-US"/>
              </w:rPr>
              <w:t>M</w:t>
            </w:r>
          </w:p>
        </w:tc>
      </w:tr>
    </w:tbl>
    <w:p w14:paraId="72CDD6B2"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Security Domain Type</w:t>
      </w:r>
    </w:p>
    <w:p w14:paraId="5DB2695E" w14:textId="77777777" w:rsidR="00B97365" w:rsidRDefault="00B97365">
      <w:pPr>
        <w:rPr>
          <w:rFonts w:cs="Calibri"/>
          <w:color w:val="FF0000"/>
        </w:rPr>
      </w:pPr>
    </w:p>
    <w:p w14:paraId="20811AFC"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087" w:name="_Toc368932266"/>
      <w:bookmarkStart w:id="3088" w:name="_Ref367977860"/>
      <w:bookmarkStart w:id="3089" w:name="_Ref367977851"/>
      <w:bookmarkStart w:id="3090" w:name="_Ref367977841"/>
      <w:bookmarkStart w:id="3091" w:name="_Ref367977832"/>
      <w:bookmarkStart w:id="3092" w:name="_Ref367977825"/>
      <w:bookmarkStart w:id="3093" w:name="_Ref367977817"/>
      <w:bookmarkStart w:id="3094" w:name="_Ref367977808"/>
      <w:bookmarkStart w:id="3095" w:name="_Toc353536188"/>
      <w:bookmarkStart w:id="3096" w:name="_Ref534358955"/>
      <w:bookmarkStart w:id="3097" w:name="_Ref36665872"/>
      <w:r>
        <w:rPr>
          <w:rFonts w:ascii="Arial Bold" w:eastAsia="Times New Roman" w:hAnsi="Arial Bold" w:cs="Arial"/>
          <w:b/>
          <w:bCs/>
          <w:szCs w:val="26"/>
          <w:lang w:val="en-US" w:eastAsia="en-US"/>
        </w:rPr>
        <w:t>EUICC-CAPABILITIES</w:t>
      </w:r>
      <w:bookmarkEnd w:id="3087"/>
      <w:bookmarkEnd w:id="3088"/>
      <w:bookmarkEnd w:id="3089"/>
      <w:bookmarkEnd w:id="3090"/>
      <w:bookmarkEnd w:id="3091"/>
      <w:bookmarkEnd w:id="3092"/>
      <w:bookmarkEnd w:id="3093"/>
      <w:bookmarkEnd w:id="3094"/>
      <w:bookmarkEnd w:id="3095"/>
      <w:bookmarkEnd w:id="3096"/>
      <w:bookmarkEnd w:id="3097"/>
    </w:p>
    <w:p w14:paraId="13F4F53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EUICC-CAPABILITIES</w:t>
      </w:r>
      <w:r>
        <w:rPr>
          <w:rFonts w:cs="Arial"/>
          <w:szCs w:val="22"/>
          <w:lang w:val="en-US" w:eastAsia="en-GB" w:bidi="ar-SA"/>
        </w:rPr>
        <w:t xml:space="preserve"> type allows listing the capabilities supported by the eUICC. </w:t>
      </w:r>
    </w:p>
    <w:p w14:paraId="3770E7C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EUICC-CAPABILITIES</w:t>
      </w:r>
      <w:r>
        <w:rPr>
          <w:rFonts w:cs="Arial"/>
          <w:szCs w:val="22"/>
          <w:lang w:val="en-US" w:eastAsia="en-GB" w:bidi="ar-SA"/>
        </w:rPr>
        <w:t xml:space="preserve"> type is defined by:</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47"/>
        <w:gridCol w:w="5974"/>
        <w:gridCol w:w="728"/>
        <w:gridCol w:w="398"/>
        <w:gridCol w:w="514"/>
      </w:tblGrid>
      <w:tr w:rsidR="00B97365" w14:paraId="70B2B537" w14:textId="77777777">
        <w:trPr>
          <w:cantSplit/>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1785CC4"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18B89C6"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13117BE"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368BCCF"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4202831"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F28F785" w14:textId="77777777">
        <w:trPr>
          <w:cantSplit/>
          <w:trHeight w:val="282"/>
        </w:trPr>
        <w:tc>
          <w:tcPr>
            <w:tcW w:w="0" w:type="auto"/>
            <w:tcBorders>
              <w:top w:val="single" w:sz="6" w:space="0" w:color="auto"/>
              <w:left w:val="single" w:sz="4" w:space="0" w:color="auto"/>
              <w:bottom w:val="single" w:sz="6" w:space="0" w:color="auto"/>
              <w:right w:val="single" w:sz="6" w:space="0" w:color="auto"/>
            </w:tcBorders>
            <w:hideMark/>
          </w:tcPr>
          <w:p w14:paraId="12DF01E2" w14:textId="77777777" w:rsidR="00B97365" w:rsidRDefault="00000000">
            <w:pPr>
              <w:spacing w:after="200"/>
              <w:rPr>
                <w:rFonts w:eastAsia="Times New Roman" w:cs="Calibri"/>
                <w:sz w:val="16"/>
                <w:szCs w:val="16"/>
              </w:rPr>
            </w:pPr>
            <w:r>
              <w:rPr>
                <w:rFonts w:cs="Calibri"/>
                <w:sz w:val="16"/>
                <w:szCs w:val="16"/>
              </w:rPr>
              <w:t>CAT_TP-Support</w:t>
            </w:r>
            <w:r>
              <w:rPr>
                <w:rFonts w:cs="Calibri"/>
                <w:sz w:val="16"/>
                <w:szCs w:val="16"/>
              </w:rPr>
              <w:tab/>
            </w:r>
          </w:p>
        </w:tc>
        <w:tc>
          <w:tcPr>
            <w:tcW w:w="0" w:type="auto"/>
            <w:tcBorders>
              <w:top w:val="single" w:sz="6" w:space="0" w:color="auto"/>
              <w:left w:val="single" w:sz="6" w:space="0" w:color="auto"/>
              <w:bottom w:val="single" w:sz="6" w:space="0" w:color="auto"/>
              <w:right w:val="single" w:sz="6" w:space="0" w:color="auto"/>
            </w:tcBorders>
            <w:hideMark/>
          </w:tcPr>
          <w:p w14:paraId="1057FB2B" w14:textId="70BFF13F" w:rsidR="00B97365" w:rsidRDefault="00000000">
            <w:pPr>
              <w:tabs>
                <w:tab w:val="right" w:pos="7938"/>
              </w:tabs>
              <w:spacing w:after="60"/>
              <w:rPr>
                <w:rFonts w:eastAsia="Times New Roman" w:cs="Calibri"/>
                <w:sz w:val="16"/>
                <w:szCs w:val="16"/>
                <w:lang w:val="en-US"/>
              </w:rPr>
            </w:pPr>
            <w:r>
              <w:rPr>
                <w:rFonts w:cs="Calibri"/>
                <w:sz w:val="16"/>
                <w:szCs w:val="16"/>
                <w:lang w:val="en-US"/>
              </w:rPr>
              <w:t xml:space="preserve">If CAT_TP according to ETSI TS 102 127 </w:t>
            </w:r>
            <w:r>
              <w:fldChar w:fldCharType="begin"/>
            </w:r>
            <w:r>
              <w:rPr>
                <w:rFonts w:cs="Calibri"/>
                <w:sz w:val="16"/>
                <w:szCs w:val="16"/>
                <w:lang w:val="en-US"/>
              </w:rPr>
              <w:instrText xml:space="preserve"> REF _Ref421634900 \r \h </w:instrText>
            </w:r>
            <w:r>
              <w:fldChar w:fldCharType="separate"/>
            </w:r>
            <w:r w:rsidR="001D5AD9">
              <w:rPr>
                <w:rFonts w:cs="Calibri"/>
                <w:sz w:val="16"/>
                <w:szCs w:val="16"/>
                <w:lang w:val="en-US"/>
              </w:rPr>
              <w:t>[25]</w:t>
            </w:r>
            <w:r>
              <w:fldChar w:fldCharType="end"/>
            </w:r>
            <w:r>
              <w:rPr>
                <w:rFonts w:cs="Calibri"/>
                <w:sz w:val="16"/>
                <w:szCs w:val="16"/>
                <w:lang w:val="en-US"/>
              </w:rPr>
              <w:t xml:space="preserve"> is supported by the eUICC.</w:t>
            </w:r>
          </w:p>
        </w:tc>
        <w:tc>
          <w:tcPr>
            <w:tcW w:w="0" w:type="auto"/>
            <w:tcBorders>
              <w:top w:val="single" w:sz="6" w:space="0" w:color="auto"/>
              <w:left w:val="single" w:sz="6" w:space="0" w:color="auto"/>
              <w:bottom w:val="single" w:sz="6" w:space="0" w:color="auto"/>
              <w:right w:val="single" w:sz="6" w:space="0" w:color="auto"/>
            </w:tcBorders>
            <w:hideMark/>
          </w:tcPr>
          <w:p w14:paraId="1A4B5FB7" w14:textId="77777777" w:rsidR="00B97365" w:rsidRDefault="00000000">
            <w:pPr>
              <w:spacing w:after="60"/>
              <w:rPr>
                <w:rFonts w:eastAsia="Times New Roman" w:cs="Calibri"/>
                <w:sz w:val="16"/>
                <w:szCs w:val="16"/>
              </w:rPr>
            </w:pPr>
            <w:r>
              <w:rPr>
                <w:rFonts w:cs="Calibri"/>
                <w:sz w:val="16"/>
                <w:szCs w:val="16"/>
              </w:rPr>
              <w:t>Boolean</w:t>
            </w:r>
          </w:p>
        </w:tc>
        <w:tc>
          <w:tcPr>
            <w:tcW w:w="0" w:type="auto"/>
            <w:tcBorders>
              <w:top w:val="single" w:sz="6" w:space="0" w:color="auto"/>
              <w:left w:val="single" w:sz="6" w:space="0" w:color="auto"/>
              <w:bottom w:val="single" w:sz="6" w:space="0" w:color="auto"/>
              <w:right w:val="single" w:sz="6" w:space="0" w:color="auto"/>
            </w:tcBorders>
            <w:hideMark/>
          </w:tcPr>
          <w:p w14:paraId="58A3A0B5" w14:textId="77777777" w:rsidR="00B97365" w:rsidRDefault="00000000">
            <w:pPr>
              <w:spacing w:after="60"/>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hideMark/>
          </w:tcPr>
          <w:p w14:paraId="1859268F" w14:textId="77777777" w:rsidR="00B97365" w:rsidRDefault="00000000">
            <w:pPr>
              <w:spacing w:after="60"/>
              <w:jc w:val="center"/>
              <w:rPr>
                <w:rFonts w:cs="Calibri"/>
                <w:sz w:val="16"/>
                <w:szCs w:val="16"/>
              </w:rPr>
            </w:pPr>
            <w:r>
              <w:rPr>
                <w:rFonts w:cs="Calibri"/>
                <w:sz w:val="16"/>
                <w:szCs w:val="16"/>
              </w:rPr>
              <w:t>M</w:t>
            </w:r>
          </w:p>
        </w:tc>
      </w:tr>
      <w:tr w:rsidR="00B97365" w14:paraId="57E34224"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51AC6C4D" w14:textId="77777777" w:rsidR="00B97365" w:rsidRDefault="00000000">
            <w:pPr>
              <w:spacing w:after="60"/>
              <w:rPr>
                <w:rFonts w:eastAsia="Times New Roman" w:cs="Calibri"/>
                <w:sz w:val="16"/>
                <w:szCs w:val="16"/>
              </w:rPr>
            </w:pPr>
            <w:r>
              <w:rPr>
                <w:rFonts w:cs="Calibri"/>
                <w:sz w:val="16"/>
                <w:szCs w:val="16"/>
              </w:rPr>
              <w:t>CAT_TP-Version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EC3AEA5" w14:textId="77777777" w:rsidR="00B97365" w:rsidRDefault="00000000">
            <w:pPr>
              <w:spacing w:after="60"/>
              <w:rPr>
                <w:rFonts w:eastAsia="Times New Roman" w:cs="Calibri"/>
                <w:sz w:val="16"/>
                <w:szCs w:val="16"/>
                <w:lang w:val="en-US"/>
              </w:rPr>
            </w:pPr>
            <w:r>
              <w:rPr>
                <w:rFonts w:cs="Calibri"/>
                <w:sz w:val="16"/>
                <w:szCs w:val="16"/>
                <w:lang w:val="en-US"/>
              </w:rPr>
              <w:t xml:space="preserve">SHALL contain the highest supported release number of ETSI TS 102 127 (defining CAT_TP) that is implemented by the eUICC. </w:t>
            </w:r>
          </w:p>
          <w:p w14:paraId="140FE6A1" w14:textId="77777777" w:rsidR="00B97365" w:rsidRDefault="00000000">
            <w:pPr>
              <w:spacing w:after="200"/>
              <w:rPr>
                <w:rFonts w:eastAsia="Times New Roman" w:cs="Calibri"/>
                <w:sz w:val="16"/>
                <w:szCs w:val="16"/>
                <w:lang w:val="en-US"/>
              </w:rPr>
            </w:pPr>
            <w:r>
              <w:rPr>
                <w:rFonts w:cs="Calibri"/>
                <w:sz w:val="16"/>
                <w:szCs w:val="16"/>
                <w:lang w:val="en-US"/>
              </w:rPr>
              <w:t>Conditional to the support of the CAT_TP.</w:t>
            </w:r>
          </w:p>
          <w:p w14:paraId="410F7D8A" w14:textId="77777777" w:rsidR="00B97365" w:rsidRDefault="00000000">
            <w:pPr>
              <w:spacing w:after="200"/>
              <w:rPr>
                <w:rFonts w:eastAsia="Times New Roman" w:cs="Calibri"/>
                <w:sz w:val="16"/>
                <w:szCs w:val="16"/>
                <w:lang w:val="en-US"/>
              </w:rPr>
            </w:pPr>
            <w:r>
              <w:rPr>
                <w:rFonts w:cs="Calibri"/>
                <w:sz w:val="16"/>
                <w:szCs w:val="16"/>
                <w:lang w:val="en-US"/>
              </w:rPr>
              <w:t>In case of support, the supported version SHALL be at least the minimum version mandated by the present specification.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A4FE2D0" w14:textId="77777777" w:rsidR="00B97365" w:rsidRDefault="00000000">
            <w:pPr>
              <w:spacing w:after="60"/>
              <w:rPr>
                <w:rFonts w:eastAsia="Times New Roman" w:cs="Calibri"/>
                <w:sz w:val="16"/>
                <w:szCs w:val="16"/>
                <w:lang w:val="en-US"/>
              </w:rPr>
            </w:pPr>
            <w:r>
              <w:rPr>
                <w:rFonts w:cs="Calibri"/>
                <w:sz w:val="16"/>
                <w:szCs w:val="16"/>
                <w:lang w:val="en-US"/>
              </w:rPr>
              <w:t>Version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5BD0A93" w14:textId="77777777" w:rsidR="00B97365" w:rsidRDefault="00000000">
            <w:pPr>
              <w:spacing w:after="60"/>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04B680B" w14:textId="77777777" w:rsidR="00B97365" w:rsidRDefault="00000000">
            <w:pPr>
              <w:spacing w:after="60"/>
              <w:jc w:val="center"/>
              <w:rPr>
                <w:rFonts w:cs="Calibri"/>
                <w:sz w:val="16"/>
                <w:szCs w:val="16"/>
                <w:lang w:val="en-US"/>
              </w:rPr>
            </w:pPr>
            <w:r>
              <w:rPr>
                <w:rFonts w:cs="Calibri"/>
                <w:sz w:val="16"/>
                <w:szCs w:val="16"/>
                <w:lang w:val="en-US"/>
              </w:rPr>
              <w:t>C</w:t>
            </w:r>
          </w:p>
        </w:tc>
      </w:tr>
      <w:tr w:rsidR="00B97365" w14:paraId="3B67E068"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446D383E" w14:textId="77777777" w:rsidR="00B97365" w:rsidRDefault="00000000">
            <w:pPr>
              <w:spacing w:after="60"/>
              <w:rPr>
                <w:rFonts w:eastAsia="Times New Roman" w:cs="Calibri"/>
                <w:sz w:val="16"/>
                <w:szCs w:val="16"/>
              </w:rPr>
            </w:pPr>
            <w:r>
              <w:rPr>
                <w:rFonts w:cs="Calibri"/>
                <w:sz w:val="16"/>
                <w:szCs w:val="16"/>
              </w:rPr>
              <w:t>HTTP-Support</w:t>
            </w:r>
          </w:p>
        </w:tc>
        <w:tc>
          <w:tcPr>
            <w:tcW w:w="0" w:type="auto"/>
            <w:tcBorders>
              <w:top w:val="single" w:sz="6" w:space="0" w:color="auto"/>
              <w:left w:val="single" w:sz="6" w:space="0" w:color="auto"/>
              <w:bottom w:val="single" w:sz="6" w:space="0" w:color="auto"/>
              <w:right w:val="single" w:sz="6" w:space="0" w:color="auto"/>
            </w:tcBorders>
            <w:vAlign w:val="center"/>
            <w:hideMark/>
          </w:tcPr>
          <w:p w14:paraId="2D138235" w14:textId="5245429A" w:rsidR="00B97365" w:rsidRDefault="00000000">
            <w:pPr>
              <w:spacing w:after="60"/>
              <w:rPr>
                <w:rFonts w:eastAsia="Times New Roman" w:cs="Calibri"/>
                <w:sz w:val="16"/>
                <w:szCs w:val="16"/>
                <w:lang w:val="en-US"/>
              </w:rPr>
            </w:pPr>
            <w:r>
              <w:rPr>
                <w:rFonts w:cs="Calibri"/>
                <w:sz w:val="16"/>
                <w:szCs w:val="16"/>
                <w:lang w:val="en-US"/>
              </w:rPr>
              <w:t xml:space="preserve">If RAM over HTTP according to GlobalPlatform Card Specification Amendment B </w:t>
            </w:r>
            <w:r>
              <w:fldChar w:fldCharType="begin"/>
            </w:r>
            <w:r>
              <w:rPr>
                <w:rFonts w:cs="Calibri"/>
                <w:sz w:val="16"/>
                <w:szCs w:val="16"/>
                <w:lang w:val="en-US"/>
              </w:rPr>
              <w:instrText xml:space="preserve"> REF _Ref421632368 \r \h </w:instrText>
            </w:r>
            <w:r>
              <w:fldChar w:fldCharType="separate"/>
            </w:r>
            <w:r w:rsidR="001D5AD9">
              <w:rPr>
                <w:rFonts w:cs="Calibri"/>
                <w:sz w:val="16"/>
                <w:szCs w:val="16"/>
                <w:lang w:val="en-US"/>
              </w:rPr>
              <w:t>[8]</w:t>
            </w:r>
            <w:r>
              <w:fldChar w:fldCharType="end"/>
            </w:r>
            <w:r>
              <w:rPr>
                <w:rFonts w:cs="Calibri"/>
                <w:sz w:val="16"/>
                <w:szCs w:val="16"/>
                <w:lang w:val="en-US"/>
              </w:rPr>
              <w:t xml:space="preserve"> is supported by the eUICC.</w:t>
            </w:r>
          </w:p>
        </w:tc>
        <w:tc>
          <w:tcPr>
            <w:tcW w:w="0" w:type="auto"/>
            <w:tcBorders>
              <w:top w:val="single" w:sz="6" w:space="0" w:color="auto"/>
              <w:left w:val="single" w:sz="6" w:space="0" w:color="auto"/>
              <w:bottom w:val="single" w:sz="6" w:space="0" w:color="auto"/>
              <w:right w:val="single" w:sz="6" w:space="0" w:color="auto"/>
            </w:tcBorders>
            <w:hideMark/>
          </w:tcPr>
          <w:p w14:paraId="6077035E" w14:textId="77777777" w:rsidR="00B97365" w:rsidRDefault="00000000">
            <w:pPr>
              <w:spacing w:after="60"/>
              <w:rPr>
                <w:rFonts w:eastAsia="Times New Roman" w:cs="Calibri"/>
                <w:sz w:val="16"/>
                <w:szCs w:val="16"/>
                <w:lang w:val="en-US"/>
              </w:rPr>
            </w:pPr>
            <w:r>
              <w:rPr>
                <w:rFonts w:cs="Calibri"/>
                <w:sz w:val="16"/>
                <w:szCs w:val="16"/>
              </w:rPr>
              <w:t>Boolean</w:t>
            </w:r>
          </w:p>
        </w:tc>
        <w:tc>
          <w:tcPr>
            <w:tcW w:w="0" w:type="auto"/>
            <w:tcBorders>
              <w:top w:val="single" w:sz="6" w:space="0" w:color="auto"/>
              <w:left w:val="single" w:sz="6" w:space="0" w:color="auto"/>
              <w:bottom w:val="single" w:sz="6" w:space="0" w:color="auto"/>
              <w:right w:val="single" w:sz="6" w:space="0" w:color="auto"/>
            </w:tcBorders>
            <w:hideMark/>
          </w:tcPr>
          <w:p w14:paraId="50C91E5D" w14:textId="77777777" w:rsidR="00B97365" w:rsidRDefault="00000000">
            <w:pPr>
              <w:spacing w:after="60"/>
              <w:rPr>
                <w:rFonts w:eastAsia="Times New Roman" w:cs="Calibri"/>
                <w:sz w:val="16"/>
                <w:szCs w:val="16"/>
                <w:lang w:val="en-US"/>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hideMark/>
          </w:tcPr>
          <w:p w14:paraId="4E9EC13B" w14:textId="77777777" w:rsidR="00B97365" w:rsidRDefault="00000000">
            <w:pPr>
              <w:spacing w:after="60"/>
              <w:jc w:val="center"/>
              <w:rPr>
                <w:rFonts w:cs="Calibri"/>
                <w:sz w:val="16"/>
                <w:szCs w:val="16"/>
              </w:rPr>
            </w:pPr>
            <w:r>
              <w:rPr>
                <w:rFonts w:cs="Calibri"/>
                <w:sz w:val="16"/>
                <w:szCs w:val="16"/>
              </w:rPr>
              <w:t>M</w:t>
            </w:r>
          </w:p>
        </w:tc>
      </w:tr>
      <w:tr w:rsidR="00B97365" w14:paraId="56F6DCF5"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1B18C5CF" w14:textId="77777777" w:rsidR="00B97365" w:rsidRDefault="00000000">
            <w:pPr>
              <w:spacing w:after="60"/>
              <w:rPr>
                <w:rFonts w:eastAsia="Times New Roman" w:cs="Calibri"/>
                <w:sz w:val="16"/>
                <w:szCs w:val="16"/>
              </w:rPr>
            </w:pPr>
            <w:r>
              <w:rPr>
                <w:rFonts w:cs="Calibri"/>
                <w:sz w:val="16"/>
                <w:szCs w:val="16"/>
              </w:rPr>
              <w:t>HTTP-Version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0694961" w14:textId="77777777" w:rsidR="00B97365" w:rsidRDefault="00000000">
            <w:pPr>
              <w:spacing w:after="60"/>
              <w:rPr>
                <w:rFonts w:eastAsia="Times New Roman" w:cs="Calibri"/>
                <w:sz w:val="16"/>
                <w:szCs w:val="16"/>
                <w:lang w:val="en-US"/>
              </w:rPr>
            </w:pPr>
            <w:r>
              <w:rPr>
                <w:rFonts w:cs="Calibri"/>
                <w:sz w:val="16"/>
                <w:szCs w:val="16"/>
                <w:lang w:val="en-US"/>
              </w:rPr>
              <w:t>SHALL contain the highest supported release number of GlobalPlatform Amendment B (defining RAM over HTTP) that is implemented by the eUICC.</w:t>
            </w:r>
          </w:p>
          <w:p w14:paraId="0230C40A" w14:textId="77777777" w:rsidR="00B97365" w:rsidRDefault="00000000">
            <w:pPr>
              <w:spacing w:after="200"/>
              <w:rPr>
                <w:rFonts w:eastAsia="Times New Roman" w:cs="Calibri"/>
                <w:sz w:val="16"/>
                <w:szCs w:val="16"/>
                <w:lang w:val="en-US"/>
              </w:rPr>
            </w:pPr>
            <w:r>
              <w:rPr>
                <w:rFonts w:cs="Calibri"/>
                <w:sz w:val="16"/>
                <w:szCs w:val="16"/>
                <w:lang w:val="en-US"/>
              </w:rPr>
              <w:t>Conditional to the support of the HTTP.</w:t>
            </w:r>
          </w:p>
          <w:p w14:paraId="23DD7725" w14:textId="77777777" w:rsidR="00B97365" w:rsidRDefault="00000000">
            <w:pPr>
              <w:spacing w:after="200"/>
              <w:rPr>
                <w:rFonts w:eastAsia="Times New Roman" w:cs="Calibri"/>
                <w:sz w:val="16"/>
                <w:szCs w:val="16"/>
                <w:lang w:val="en-US"/>
              </w:rPr>
            </w:pPr>
            <w:r>
              <w:rPr>
                <w:rFonts w:cs="Calibri"/>
                <w:sz w:val="16"/>
                <w:szCs w:val="16"/>
                <w:lang w:val="en-US"/>
              </w:rPr>
              <w:t>In case of support, the supported version SHALL be at least the minimum version mandated by the present specification.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230932D" w14:textId="77777777" w:rsidR="00B97365" w:rsidRDefault="00000000">
            <w:pPr>
              <w:spacing w:after="60"/>
              <w:rPr>
                <w:rFonts w:eastAsia="Times New Roman" w:cs="Calibri"/>
                <w:sz w:val="16"/>
                <w:szCs w:val="16"/>
                <w:lang w:val="en-US"/>
              </w:rPr>
            </w:pPr>
            <w:r>
              <w:rPr>
                <w:rFonts w:cs="Calibri"/>
                <w:sz w:val="16"/>
                <w:szCs w:val="16"/>
                <w:lang w:val="en-US"/>
              </w:rPr>
              <w:t>Version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C8AC977" w14:textId="77777777" w:rsidR="00B97365" w:rsidRDefault="00000000">
            <w:pPr>
              <w:spacing w:after="60"/>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35FA2D7" w14:textId="77777777" w:rsidR="00B97365" w:rsidRDefault="00000000">
            <w:pPr>
              <w:spacing w:after="60"/>
              <w:jc w:val="center"/>
              <w:rPr>
                <w:rFonts w:cs="Calibri"/>
                <w:sz w:val="16"/>
                <w:szCs w:val="16"/>
                <w:lang w:val="en-US"/>
              </w:rPr>
            </w:pPr>
            <w:r>
              <w:rPr>
                <w:rFonts w:cs="Calibri"/>
                <w:sz w:val="16"/>
                <w:szCs w:val="16"/>
                <w:lang w:val="en-US"/>
              </w:rPr>
              <w:t>C</w:t>
            </w:r>
          </w:p>
        </w:tc>
      </w:tr>
      <w:tr w:rsidR="00B97365" w14:paraId="45C7DD74"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57878E73" w14:textId="77777777" w:rsidR="00B97365" w:rsidRDefault="00000000">
            <w:pPr>
              <w:spacing w:after="60"/>
              <w:rPr>
                <w:rFonts w:eastAsia="Times New Roman" w:cs="Calibri"/>
                <w:sz w:val="16"/>
                <w:szCs w:val="16"/>
              </w:rPr>
            </w:pPr>
            <w:r>
              <w:rPr>
                <w:rFonts w:cs="Calibri"/>
                <w:sz w:val="16"/>
                <w:szCs w:val="16"/>
              </w:rPr>
              <w:t>secure-packet-version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670BDC1" w14:textId="77777777" w:rsidR="00B97365" w:rsidRDefault="00000000">
            <w:pPr>
              <w:spacing w:after="60"/>
              <w:rPr>
                <w:rFonts w:eastAsia="Times New Roman" w:cs="Calibri"/>
                <w:sz w:val="16"/>
                <w:szCs w:val="16"/>
              </w:rPr>
            </w:pPr>
            <w:r>
              <w:rPr>
                <w:rFonts w:cs="Calibri"/>
                <w:sz w:val="16"/>
                <w:szCs w:val="16"/>
                <w:lang w:val="en-US"/>
              </w:rPr>
              <w:t xml:space="preserve">SHALL contain the highest supported release number of ETSI TS 102 225 </w:t>
            </w:r>
            <w:r>
              <w:rPr>
                <w:rFonts w:cs="Calibri"/>
                <w:sz w:val="16"/>
                <w:szCs w:val="16"/>
              </w:rPr>
              <w:t>(defining secure packet</w:t>
            </w:r>
            <w:r>
              <w:rPr>
                <w:rFonts w:cs="Calibri"/>
                <w:sz w:val="16"/>
                <w:szCs w:val="16"/>
                <w:lang w:val="en-US"/>
              </w:rPr>
              <w:t>) that is implemented by the eUICC.</w:t>
            </w:r>
          </w:p>
          <w:p w14:paraId="2E2C3EC6" w14:textId="77777777" w:rsidR="00B97365" w:rsidRDefault="00000000">
            <w:pPr>
              <w:spacing w:after="200"/>
              <w:rPr>
                <w:rFonts w:eastAsia="Times New Roman" w:cs="Calibri"/>
                <w:sz w:val="16"/>
                <w:szCs w:val="16"/>
                <w:lang w:val="en-US"/>
              </w:rPr>
            </w:pPr>
            <w:r>
              <w:rPr>
                <w:rFonts w:cs="Calibri"/>
                <w:sz w:val="16"/>
                <w:szCs w:val="16"/>
                <w:lang w:val="en-US"/>
              </w:rPr>
              <w:t>The support of this feature as defined in ETSI TS 102 225 is not optional. The supported version SHALL be at least the minimum version mandated by the present specification.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2710B77" w14:textId="77777777" w:rsidR="00B97365" w:rsidRDefault="00000000">
            <w:pPr>
              <w:spacing w:after="60"/>
              <w:rPr>
                <w:rFonts w:eastAsia="Times New Roman" w:cs="Calibri"/>
                <w:sz w:val="16"/>
                <w:szCs w:val="16"/>
                <w:lang w:val="en-US"/>
              </w:rPr>
            </w:pPr>
            <w:r>
              <w:rPr>
                <w:rFonts w:cs="Calibri"/>
                <w:sz w:val="16"/>
                <w:szCs w:val="16"/>
                <w:lang w:val="en-US"/>
              </w:rPr>
              <w:t>Version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5D1D6C1" w14:textId="77777777" w:rsidR="00B97365" w:rsidRDefault="00000000">
            <w:pPr>
              <w:spacing w:after="60"/>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E289424"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267E134A" w14:textId="77777777">
        <w:trPr>
          <w:cantSplit/>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1F8783B5" w14:textId="77777777" w:rsidR="00B97365" w:rsidRDefault="00000000">
            <w:pPr>
              <w:spacing w:after="60"/>
              <w:rPr>
                <w:rFonts w:eastAsia="Times New Roman" w:cs="Calibri"/>
                <w:sz w:val="16"/>
                <w:szCs w:val="16"/>
              </w:rPr>
            </w:pPr>
            <w:r>
              <w:rPr>
                <w:rFonts w:cs="Calibri"/>
                <w:sz w:val="16"/>
                <w:szCs w:val="16"/>
              </w:rPr>
              <w:lastRenderedPageBreak/>
              <w:t>Remote-provisioning-version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2CD4850E" w14:textId="77777777" w:rsidR="00B97365" w:rsidRDefault="00000000">
            <w:pPr>
              <w:spacing w:after="60"/>
              <w:rPr>
                <w:rFonts w:eastAsia="Times New Roman" w:cs="Calibri"/>
                <w:sz w:val="16"/>
                <w:szCs w:val="16"/>
                <w:lang w:val="en-US"/>
              </w:rPr>
            </w:pPr>
            <w:r>
              <w:rPr>
                <w:rFonts w:cs="Calibri"/>
                <w:sz w:val="16"/>
                <w:szCs w:val="16"/>
                <w:lang w:val="en-US"/>
              </w:rPr>
              <w:t xml:space="preserve">SHALL contain the highest supported release number of </w:t>
            </w:r>
            <w:r>
              <w:rPr>
                <w:rFonts w:cs="Calibri"/>
                <w:sz w:val="16"/>
                <w:szCs w:val="16"/>
              </w:rPr>
              <w:t xml:space="preserve">this specification SGP.02  </w:t>
            </w:r>
            <w:r>
              <w:rPr>
                <w:rFonts w:cs="Calibri"/>
                <w:sz w:val="16"/>
                <w:szCs w:val="16"/>
                <w:lang w:val="en-US"/>
              </w:rPr>
              <w:t>that is implemented by the eUICC. The support of this feature is obviously not optional.</w:t>
            </w:r>
          </w:p>
          <w:p w14:paraId="70013CCE" w14:textId="77777777" w:rsidR="00B97365" w:rsidRDefault="00000000">
            <w:pPr>
              <w:spacing w:after="200"/>
              <w:rPr>
                <w:rFonts w:cs="Calibri"/>
                <w:sz w:val="16"/>
                <w:szCs w:val="16"/>
              </w:rPr>
            </w:pPr>
            <w:r>
              <w:rPr>
                <w:rFonts w:cs="Calibri"/>
                <w:sz w:val="16"/>
                <w:szCs w:val="16"/>
                <w:lang w:val="en-US"/>
              </w:rPr>
              <w:t>As a consequence, the eUICC SHALL be compliant will all relevant specifications referenced in this specification.</w:t>
            </w:r>
          </w:p>
          <w:p w14:paraId="7A86990D" w14:textId="4427BFB3" w:rsidR="00B97365" w:rsidRDefault="00000000">
            <w:pPr>
              <w:spacing w:after="200"/>
              <w:rPr>
                <w:rFonts w:cs="Calibri"/>
                <w:sz w:val="16"/>
                <w:szCs w:val="16"/>
                <w:lang w:val="en-US"/>
              </w:rPr>
            </w:pPr>
            <w:r>
              <w:rPr>
                <w:rFonts w:cs="Calibri"/>
                <w:sz w:val="16"/>
                <w:szCs w:val="16"/>
                <w:lang w:val="en-US"/>
              </w:rPr>
              <w:t xml:space="preserve">Note 1: If the document version has less than three digits, one or more extra “.0” SHALL be appended to obtain a value that conforms to the type “Version” defined in </w:t>
            </w:r>
            <w:r>
              <w:rPr>
                <w:rFonts w:cs="Calibri"/>
                <w:sz w:val="16"/>
                <w:szCs w:val="16"/>
                <w:lang w:val="en-US"/>
              </w:rPr>
              <w:fldChar w:fldCharType="begin"/>
            </w:r>
            <w:r>
              <w:rPr>
                <w:rFonts w:cs="Calibri"/>
                <w:sz w:val="16"/>
                <w:szCs w:val="16"/>
                <w:lang w:val="en-US"/>
              </w:rPr>
              <w:instrText xml:space="preserve"> REF _Ref449514513 \r \h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Table 98</w:t>
            </w:r>
            <w:r>
              <w:rPr>
                <w:rFonts w:cs="Calibri"/>
                <w:sz w:val="16"/>
                <w:szCs w:val="16"/>
                <w:lang w:val="en-US"/>
              </w:rPr>
              <w:fldChar w:fldCharType="end"/>
            </w:r>
            <w:r>
              <w:rPr>
                <w:rFonts w:cs="Calibri"/>
                <w:sz w:val="16"/>
                <w:szCs w:val="16"/>
                <w:lang w:val="en-US"/>
              </w:rPr>
              <w:t>. For example a value of “3.1.0” denotes that the eUICC is compliant with version 3.1 of SGP.02</w:t>
            </w:r>
          </w:p>
          <w:p w14:paraId="18AA8F6C" w14:textId="77777777" w:rsidR="00B97365" w:rsidRDefault="00000000">
            <w:pPr>
              <w:spacing w:after="200"/>
              <w:rPr>
                <w:rFonts w:eastAsia="Times New Roman" w:cs="Calibri"/>
                <w:sz w:val="16"/>
                <w:szCs w:val="16"/>
              </w:rPr>
            </w:pPr>
            <w:r>
              <w:rPr>
                <w:rFonts w:cs="Calibri"/>
                <w:sz w:val="16"/>
                <w:szCs w:val="16"/>
                <w:lang w:val="en-US"/>
              </w:rPr>
              <w:t xml:space="preserve">Note 2: </w:t>
            </w:r>
            <w:r>
              <w:rPr>
                <w:rFonts w:eastAsia="Times New Roman" w:cs="Calibri"/>
                <w:sz w:val="16"/>
                <w:szCs w:val="16"/>
              </w:rPr>
              <w:t>For backwards-compatibility reasons, if an EIS contains a value “1.1.0” for this field, the off-card entity SHALL assume that the eUICC is compliant with version 3.0 of SGP.02 or earlier.</w:t>
            </w:r>
          </w:p>
        </w:tc>
        <w:tc>
          <w:tcPr>
            <w:tcW w:w="0" w:type="auto"/>
            <w:tcBorders>
              <w:top w:val="single" w:sz="6" w:space="0" w:color="auto"/>
              <w:left w:val="single" w:sz="6" w:space="0" w:color="auto"/>
              <w:bottom w:val="single" w:sz="4" w:space="0" w:color="auto"/>
              <w:right w:val="single" w:sz="6" w:space="0" w:color="auto"/>
            </w:tcBorders>
            <w:vAlign w:val="center"/>
            <w:hideMark/>
          </w:tcPr>
          <w:p w14:paraId="624CD3E9" w14:textId="77777777" w:rsidR="00B97365" w:rsidRDefault="00000000">
            <w:pPr>
              <w:spacing w:after="60"/>
              <w:rPr>
                <w:rFonts w:eastAsia="Times New Roman" w:cs="Calibri"/>
                <w:sz w:val="16"/>
                <w:szCs w:val="16"/>
                <w:lang w:val="en-US"/>
              </w:rPr>
            </w:pPr>
            <w:r>
              <w:rPr>
                <w:rFonts w:cs="Calibri"/>
                <w:sz w:val="16"/>
                <w:szCs w:val="16"/>
                <w:lang w:val="en-US"/>
              </w:rPr>
              <w:t>Version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86A7BE5" w14:textId="77777777" w:rsidR="00B97365" w:rsidRDefault="00000000">
            <w:pPr>
              <w:spacing w:after="60"/>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81FC965" w14:textId="77777777" w:rsidR="00B97365" w:rsidRDefault="00000000">
            <w:pPr>
              <w:spacing w:after="60"/>
              <w:jc w:val="center"/>
              <w:rPr>
                <w:rFonts w:cs="Calibri"/>
                <w:sz w:val="16"/>
                <w:szCs w:val="16"/>
                <w:lang w:val="en-US"/>
              </w:rPr>
            </w:pPr>
            <w:r>
              <w:rPr>
                <w:rFonts w:cs="Calibri"/>
                <w:sz w:val="16"/>
                <w:szCs w:val="16"/>
                <w:lang w:val="en-US"/>
              </w:rPr>
              <w:t>M</w:t>
            </w:r>
          </w:p>
        </w:tc>
      </w:tr>
    </w:tbl>
    <w:p w14:paraId="4DB6D16D"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eUICC Capabilities Type</w:t>
      </w:r>
    </w:p>
    <w:p w14:paraId="798D30BD" w14:textId="3A2C143E" w:rsidR="00B97365" w:rsidRDefault="00000000">
      <w:pPr>
        <w:spacing w:before="0" w:after="200" w:line="276" w:lineRule="auto"/>
        <w:jc w:val="left"/>
        <w:rPr>
          <w:szCs w:val="22"/>
          <w:lang w:val="en-US" w:eastAsia="en-GB" w:bidi="ar-SA"/>
        </w:rPr>
      </w:pPr>
      <w:r>
        <w:rPr>
          <w:szCs w:val="22"/>
          <w:lang w:val="en-US" w:eastAsia="en-GB" w:bidi="ar-SA"/>
        </w:rPr>
        <w:t xml:space="preserve">Additional eUICC capabilities MAY be indicated in the EIS’s AdditionalProperties (see section </w:t>
      </w:r>
      <w:r>
        <w:rPr>
          <w:szCs w:val="22"/>
          <w:lang w:val="en-US" w:eastAsia="en-GB" w:bidi="ar-SA"/>
        </w:rPr>
        <w:fldChar w:fldCharType="begin"/>
      </w:r>
      <w:r>
        <w:rPr>
          <w:szCs w:val="22"/>
          <w:lang w:val="en-US" w:eastAsia="en-GB" w:bidi="ar-SA"/>
        </w:rPr>
        <w:instrText xml:space="preserve"> REF _Ref31623153 \r \h </w:instrText>
      </w:r>
      <w:r>
        <w:rPr>
          <w:szCs w:val="22"/>
          <w:lang w:val="en-US" w:eastAsia="en-GB" w:bidi="ar-SA"/>
        </w:rPr>
      </w:r>
      <w:r>
        <w:rPr>
          <w:szCs w:val="22"/>
          <w:lang w:val="en-US" w:eastAsia="en-GB" w:bidi="ar-SA"/>
        </w:rPr>
        <w:fldChar w:fldCharType="separate"/>
      </w:r>
      <w:r w:rsidR="001D5AD9">
        <w:rPr>
          <w:szCs w:val="22"/>
          <w:lang w:val="en-US" w:eastAsia="en-GB" w:bidi="ar-SA"/>
        </w:rPr>
        <w:t>A.3.5</w:t>
      </w:r>
      <w:r>
        <w:rPr>
          <w:szCs w:val="22"/>
          <w:lang w:val="en-US" w:eastAsia="en-GB" w:bidi="ar-SA"/>
        </w:rPr>
        <w:fldChar w:fldCharType="end"/>
      </w:r>
      <w:r>
        <w:rPr>
          <w:szCs w:val="22"/>
          <w:lang w:val="en-US" w:eastAsia="en-GB" w:bidi="ar-SA"/>
        </w:rPr>
        <w:t>). This specification defines the combinations of key:values provided in Table 109.</w:t>
      </w:r>
    </w:p>
    <w:p w14:paraId="3893C350" w14:textId="77777777" w:rsidR="00B97365" w:rsidRDefault="00000000">
      <w:pPr>
        <w:spacing w:before="0" w:after="200" w:line="276" w:lineRule="auto"/>
        <w:jc w:val="left"/>
        <w:rPr>
          <w:szCs w:val="22"/>
          <w:lang w:val="en-US" w:eastAsia="en-GB" w:bidi="ar-SA"/>
        </w:rPr>
      </w:pPr>
      <w:r>
        <w:rPr>
          <w:szCs w:val="22"/>
          <w:lang w:val="en-US" w:eastAsia="en-GB" w:bidi="ar-SA"/>
        </w:rPr>
        <w:t xml:space="preserve">Each new version of this specification may introduce additional key:values. An EUM may also provide additional key:values.  </w:t>
      </w:r>
    </w:p>
    <w:p w14:paraId="17B8A942" w14:textId="77777777" w:rsidR="00B97365" w:rsidRDefault="00000000">
      <w:pPr>
        <w:spacing w:before="0" w:after="200" w:line="276" w:lineRule="auto"/>
        <w:jc w:val="left"/>
        <w:rPr>
          <w:szCs w:val="22"/>
          <w:lang w:val="en-US" w:eastAsia="en-GB" w:bidi="ar-SA"/>
        </w:rPr>
      </w:pPr>
      <w:r>
        <w:rPr>
          <w:szCs w:val="22"/>
          <w:lang w:val="en-US" w:eastAsia="en-GB" w:bidi="ar-SA"/>
        </w:rPr>
        <w:t>Servers compliant with former versions may not interpret all these values; however, the previous versions mandate the SM-SR to carry the information e.g. in GetEIS or in ES7.HandoverEUICC, whether or not it can interpret it.</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84"/>
        <w:gridCol w:w="5360"/>
        <w:gridCol w:w="514"/>
      </w:tblGrid>
      <w:tr w:rsidR="00B97365" w14:paraId="097E106A" w14:textId="77777777">
        <w:trPr>
          <w:cantSplit/>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242109C" w14:textId="77777777" w:rsidR="00B97365" w:rsidRDefault="00000000">
            <w:pPr>
              <w:jc w:val="center"/>
              <w:rPr>
                <w:rFonts w:cs="Calibri"/>
                <w:b/>
                <w:color w:val="FFFFFF"/>
                <w:sz w:val="16"/>
                <w:szCs w:val="16"/>
              </w:rPr>
            </w:pPr>
            <w:r>
              <w:rPr>
                <w:rFonts w:cs="Calibri"/>
                <w:b/>
                <w:color w:val="FFFFFF"/>
                <w:sz w:val="16"/>
                <w:szCs w:val="16"/>
              </w:rPr>
              <w:t>Key</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B83FD06" w14:textId="77777777" w:rsidR="00B97365" w:rsidRDefault="00000000">
            <w:pPr>
              <w:jc w:val="center"/>
              <w:rPr>
                <w:rFonts w:cs="Calibri"/>
                <w:b/>
                <w:color w:val="FFFFFF"/>
                <w:sz w:val="16"/>
                <w:szCs w:val="16"/>
              </w:rPr>
            </w:pPr>
            <w:r>
              <w:rPr>
                <w:rFonts w:cs="Calibri"/>
                <w:b/>
                <w:color w:val="FFFFFF"/>
                <w:sz w:val="16"/>
                <w:szCs w:val="16"/>
              </w:rPr>
              <w:t>Value</w:t>
            </w:r>
          </w:p>
        </w:tc>
        <w:tc>
          <w:tcPr>
            <w:tcW w:w="0" w:type="auto"/>
            <w:tcBorders>
              <w:top w:val="single" w:sz="4" w:space="0" w:color="auto"/>
              <w:left w:val="single" w:sz="6" w:space="0" w:color="auto"/>
              <w:bottom w:val="single" w:sz="6" w:space="0" w:color="auto"/>
              <w:right w:val="single" w:sz="6" w:space="0" w:color="auto"/>
            </w:tcBorders>
            <w:shd w:val="clear" w:color="auto" w:fill="C00000"/>
          </w:tcPr>
          <w:p w14:paraId="718EAC8A"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171EB884" w14:textId="77777777">
        <w:trPr>
          <w:cantSplit/>
          <w:trHeight w:val="282"/>
        </w:trPr>
        <w:tc>
          <w:tcPr>
            <w:tcW w:w="0" w:type="auto"/>
            <w:tcBorders>
              <w:top w:val="single" w:sz="6" w:space="0" w:color="auto"/>
              <w:left w:val="single" w:sz="4" w:space="0" w:color="auto"/>
              <w:bottom w:val="single" w:sz="6" w:space="0" w:color="auto"/>
              <w:right w:val="single" w:sz="6" w:space="0" w:color="auto"/>
            </w:tcBorders>
            <w:hideMark/>
          </w:tcPr>
          <w:p w14:paraId="444863BC" w14:textId="77777777" w:rsidR="00B97365" w:rsidRDefault="00000000">
            <w:pPr>
              <w:spacing w:after="200"/>
              <w:rPr>
                <w:rFonts w:eastAsia="Times New Roman" w:cs="Calibri"/>
                <w:sz w:val="16"/>
                <w:szCs w:val="16"/>
              </w:rPr>
            </w:pPr>
            <w:r>
              <w:rPr>
                <w:rFonts w:cs="Calibri"/>
                <w:sz w:val="16"/>
                <w:szCs w:val="16"/>
              </w:rPr>
              <w:t>“gsma.ESIM.DNSResolverClientSupport”</w:t>
            </w:r>
          </w:p>
        </w:tc>
        <w:tc>
          <w:tcPr>
            <w:tcW w:w="0" w:type="auto"/>
            <w:tcBorders>
              <w:top w:val="single" w:sz="6" w:space="0" w:color="auto"/>
              <w:left w:val="single" w:sz="6" w:space="0" w:color="auto"/>
              <w:bottom w:val="single" w:sz="6" w:space="0" w:color="auto"/>
              <w:right w:val="single" w:sz="6" w:space="0" w:color="auto"/>
            </w:tcBorders>
            <w:hideMark/>
          </w:tcPr>
          <w:p w14:paraId="28270A1A" w14:textId="77777777" w:rsidR="00B97365" w:rsidRDefault="00000000">
            <w:pPr>
              <w:tabs>
                <w:tab w:val="right" w:pos="7938"/>
              </w:tabs>
              <w:spacing w:after="60"/>
              <w:rPr>
                <w:rFonts w:cs="Calibri"/>
                <w:sz w:val="16"/>
                <w:szCs w:val="16"/>
                <w:lang w:val="en-US"/>
              </w:rPr>
            </w:pPr>
            <w:r>
              <w:rPr>
                <w:rFonts w:cs="Calibri"/>
                <w:sz w:val="16"/>
                <w:szCs w:val="16"/>
                <w:lang w:val="en-US"/>
              </w:rPr>
              <w:t>“true” or “false”</w:t>
            </w:r>
          </w:p>
          <w:p w14:paraId="7CBB4303" w14:textId="77777777" w:rsidR="00B97365" w:rsidRDefault="00000000">
            <w:pPr>
              <w:tabs>
                <w:tab w:val="right" w:pos="7938"/>
              </w:tabs>
              <w:spacing w:after="60"/>
              <w:rPr>
                <w:rFonts w:eastAsia="Times New Roman" w:cs="Calibri"/>
                <w:sz w:val="16"/>
                <w:szCs w:val="16"/>
                <w:lang w:val="en-US"/>
              </w:rPr>
            </w:pPr>
            <w:r>
              <w:rPr>
                <w:rFonts w:cs="Calibri"/>
                <w:sz w:val="16"/>
                <w:szCs w:val="16"/>
                <w:lang w:val="en-US"/>
              </w:rPr>
              <w:t>(an absent key/value pair having the default meaning of “false”)</w:t>
            </w:r>
          </w:p>
        </w:tc>
        <w:tc>
          <w:tcPr>
            <w:tcW w:w="0" w:type="auto"/>
            <w:tcBorders>
              <w:top w:val="single" w:sz="6" w:space="0" w:color="auto"/>
              <w:left w:val="single" w:sz="6" w:space="0" w:color="auto"/>
              <w:bottom w:val="single" w:sz="6" w:space="0" w:color="auto"/>
              <w:right w:val="single" w:sz="6" w:space="0" w:color="auto"/>
            </w:tcBorders>
          </w:tcPr>
          <w:p w14:paraId="3706B371" w14:textId="77777777" w:rsidR="00B97365" w:rsidRDefault="00000000">
            <w:pPr>
              <w:tabs>
                <w:tab w:val="right" w:pos="7938"/>
              </w:tabs>
              <w:spacing w:after="60"/>
              <w:jc w:val="center"/>
              <w:rPr>
                <w:rFonts w:cs="Calibri"/>
                <w:sz w:val="16"/>
                <w:szCs w:val="16"/>
                <w:lang w:val="en-US"/>
              </w:rPr>
            </w:pPr>
            <w:r>
              <w:rPr>
                <w:rFonts w:cs="Calibri"/>
                <w:sz w:val="16"/>
                <w:szCs w:val="16"/>
                <w:lang w:val="en-US"/>
              </w:rPr>
              <w:t>O</w:t>
            </w:r>
          </w:p>
        </w:tc>
      </w:tr>
      <w:tr w:rsidR="00B97365" w14:paraId="59E45046"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109957DA" w14:textId="77777777" w:rsidR="00B97365" w:rsidRDefault="00000000">
            <w:pPr>
              <w:spacing w:after="200"/>
              <w:rPr>
                <w:rFonts w:cs="Calibri"/>
                <w:sz w:val="16"/>
                <w:szCs w:val="16"/>
              </w:rPr>
            </w:pPr>
            <w:r>
              <w:rPr>
                <w:rFonts w:cs="Calibri"/>
                <w:sz w:val="16"/>
                <w:szCs w:val="16"/>
              </w:rPr>
              <w:t>“gsma.ESIM.OSUpdateSupported”</w:t>
            </w:r>
          </w:p>
        </w:tc>
        <w:tc>
          <w:tcPr>
            <w:tcW w:w="0" w:type="auto"/>
            <w:tcBorders>
              <w:top w:val="single" w:sz="6" w:space="0" w:color="auto"/>
              <w:left w:val="single" w:sz="6" w:space="0" w:color="auto"/>
              <w:bottom w:val="single" w:sz="6" w:space="0" w:color="auto"/>
              <w:right w:val="single" w:sz="6" w:space="0" w:color="auto"/>
            </w:tcBorders>
          </w:tcPr>
          <w:p w14:paraId="65CC0D00" w14:textId="77777777" w:rsidR="00B97365" w:rsidRDefault="00000000">
            <w:pPr>
              <w:tabs>
                <w:tab w:val="right" w:pos="7938"/>
              </w:tabs>
              <w:spacing w:after="60" w:line="256" w:lineRule="auto"/>
              <w:rPr>
                <w:rFonts w:cs="Calibri"/>
                <w:sz w:val="16"/>
                <w:szCs w:val="16"/>
              </w:rPr>
            </w:pPr>
            <w:r>
              <w:rPr>
                <w:rFonts w:cs="Calibri"/>
                <w:sz w:val="16"/>
                <w:szCs w:val="16"/>
              </w:rPr>
              <w:t>“true” or “false”</w:t>
            </w:r>
          </w:p>
          <w:p w14:paraId="601BABCA" w14:textId="77777777" w:rsidR="00B97365" w:rsidRDefault="00000000">
            <w:pPr>
              <w:tabs>
                <w:tab w:val="right" w:pos="7938"/>
              </w:tabs>
              <w:spacing w:after="60"/>
              <w:rPr>
                <w:rFonts w:cs="Calibri"/>
                <w:sz w:val="16"/>
                <w:szCs w:val="16"/>
              </w:rPr>
            </w:pPr>
            <w:r>
              <w:rPr>
                <w:rFonts w:cs="Calibri"/>
                <w:sz w:val="16"/>
                <w:szCs w:val="16"/>
              </w:rPr>
              <w:t>(an absent key/value pair having the default meaning of “false”)</w:t>
            </w:r>
          </w:p>
        </w:tc>
        <w:tc>
          <w:tcPr>
            <w:tcW w:w="0" w:type="auto"/>
            <w:tcBorders>
              <w:top w:val="single" w:sz="6" w:space="0" w:color="auto"/>
              <w:left w:val="single" w:sz="6" w:space="0" w:color="auto"/>
              <w:bottom w:val="single" w:sz="6" w:space="0" w:color="auto"/>
              <w:right w:val="single" w:sz="6" w:space="0" w:color="auto"/>
            </w:tcBorders>
          </w:tcPr>
          <w:p w14:paraId="209A48B7" w14:textId="77777777" w:rsidR="00B97365" w:rsidRDefault="00000000">
            <w:pPr>
              <w:tabs>
                <w:tab w:val="right" w:pos="7938"/>
              </w:tabs>
              <w:spacing w:after="60" w:line="256" w:lineRule="auto"/>
              <w:jc w:val="center"/>
              <w:rPr>
                <w:rFonts w:cs="Calibri"/>
                <w:sz w:val="16"/>
                <w:szCs w:val="16"/>
              </w:rPr>
            </w:pPr>
            <w:r>
              <w:rPr>
                <w:rFonts w:cs="Calibri"/>
                <w:sz w:val="16"/>
                <w:szCs w:val="16"/>
              </w:rPr>
              <w:t>O</w:t>
            </w:r>
          </w:p>
        </w:tc>
      </w:tr>
      <w:tr w:rsidR="00B97365" w14:paraId="2D8402AD"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26E86553" w14:textId="77777777" w:rsidR="00B97365" w:rsidRDefault="00000000">
            <w:pPr>
              <w:spacing w:after="200"/>
              <w:rPr>
                <w:rFonts w:cs="Calibri"/>
                <w:sz w:val="16"/>
                <w:szCs w:val="16"/>
              </w:rPr>
            </w:pPr>
            <w:r>
              <w:rPr>
                <w:rFonts w:cs="Calibri"/>
                <w:sz w:val="16"/>
                <w:szCs w:val="16"/>
              </w:rPr>
              <w:t>“gsma.ESIM.updatedPlatformVersion”</w:t>
            </w:r>
          </w:p>
        </w:tc>
        <w:tc>
          <w:tcPr>
            <w:tcW w:w="0" w:type="auto"/>
            <w:tcBorders>
              <w:top w:val="single" w:sz="6" w:space="0" w:color="auto"/>
              <w:left w:val="single" w:sz="6" w:space="0" w:color="auto"/>
              <w:bottom w:val="single" w:sz="6" w:space="0" w:color="auto"/>
              <w:right w:val="single" w:sz="6" w:space="0" w:color="auto"/>
            </w:tcBorders>
          </w:tcPr>
          <w:p w14:paraId="3C83D71A" w14:textId="77777777" w:rsidR="00B97365" w:rsidRDefault="00000000">
            <w:pPr>
              <w:tabs>
                <w:tab w:val="right" w:pos="7938"/>
              </w:tabs>
              <w:spacing w:after="60"/>
              <w:rPr>
                <w:rFonts w:cs="Calibri"/>
                <w:sz w:val="16"/>
                <w:szCs w:val="16"/>
              </w:rPr>
            </w:pPr>
            <w:r>
              <w:rPr>
                <w:rFonts w:cs="Calibri"/>
                <w:sz w:val="16"/>
                <w:szCs w:val="16"/>
              </w:rPr>
              <w:t xml:space="preserve">An EUM specific string identifying the version of the OS after the update </w:t>
            </w:r>
          </w:p>
        </w:tc>
        <w:tc>
          <w:tcPr>
            <w:tcW w:w="0" w:type="auto"/>
            <w:tcBorders>
              <w:top w:val="single" w:sz="6" w:space="0" w:color="auto"/>
              <w:left w:val="single" w:sz="6" w:space="0" w:color="auto"/>
              <w:bottom w:val="single" w:sz="6" w:space="0" w:color="auto"/>
              <w:right w:val="single" w:sz="6" w:space="0" w:color="auto"/>
            </w:tcBorders>
          </w:tcPr>
          <w:p w14:paraId="28DFD1E5" w14:textId="77777777" w:rsidR="00B97365" w:rsidRDefault="00000000">
            <w:pPr>
              <w:tabs>
                <w:tab w:val="right" w:pos="7938"/>
              </w:tabs>
              <w:spacing w:after="60"/>
              <w:jc w:val="center"/>
              <w:rPr>
                <w:rFonts w:cs="Calibri"/>
                <w:sz w:val="16"/>
                <w:szCs w:val="16"/>
              </w:rPr>
            </w:pPr>
            <w:r>
              <w:rPr>
                <w:rFonts w:cs="Calibri"/>
                <w:sz w:val="16"/>
                <w:szCs w:val="16"/>
              </w:rPr>
              <w:t>C</w:t>
            </w:r>
          </w:p>
        </w:tc>
      </w:tr>
      <w:tr w:rsidR="00B97365" w14:paraId="3C596D7B"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3C678170" w14:textId="77777777" w:rsidR="00B97365" w:rsidRDefault="00000000">
            <w:pPr>
              <w:spacing w:after="200"/>
              <w:rPr>
                <w:rFonts w:cs="Calibri"/>
                <w:sz w:val="16"/>
                <w:szCs w:val="16"/>
              </w:rPr>
            </w:pPr>
            <w:r>
              <w:rPr>
                <w:rFonts w:cs="Calibri"/>
                <w:sz w:val="16"/>
                <w:szCs w:val="16"/>
              </w:rPr>
              <w:t>“gsma.ESIM.JavaCardVersionSupported”</w:t>
            </w:r>
          </w:p>
        </w:tc>
        <w:tc>
          <w:tcPr>
            <w:tcW w:w="0" w:type="auto"/>
            <w:tcBorders>
              <w:top w:val="single" w:sz="6" w:space="0" w:color="auto"/>
              <w:left w:val="single" w:sz="6" w:space="0" w:color="auto"/>
              <w:bottom w:val="single" w:sz="6" w:space="0" w:color="auto"/>
              <w:right w:val="single" w:sz="6" w:space="0" w:color="auto"/>
            </w:tcBorders>
          </w:tcPr>
          <w:p w14:paraId="69DD7050" w14:textId="5BDE0BFC" w:rsidR="00B97365" w:rsidRDefault="00000000">
            <w:pPr>
              <w:tabs>
                <w:tab w:val="right" w:pos="7938"/>
              </w:tabs>
              <w:spacing w:after="60"/>
              <w:rPr>
                <w:rFonts w:cs="Calibri"/>
                <w:sz w:val="16"/>
                <w:szCs w:val="16"/>
              </w:rPr>
            </w:pPr>
            <w:r>
              <w:rPr>
                <w:rFonts w:cs="Calibri"/>
                <w:sz w:val="16"/>
                <w:szCs w:val="16"/>
              </w:rPr>
              <w:t>If the eUICC supports Java  Card</w:t>
            </w:r>
            <w:r>
              <w:rPr>
                <w:rFonts w:cs="Calibri"/>
                <w:sz w:val="16"/>
                <w:szCs w:val="16"/>
                <w:vertAlign w:val="superscript"/>
              </w:rPr>
              <w:t>TM</w:t>
            </w:r>
            <w:r>
              <w:rPr>
                <w:rFonts w:cs="Calibri"/>
                <w:sz w:val="16"/>
                <w:szCs w:val="16"/>
              </w:rPr>
              <w:t xml:space="preserve"> </w:t>
            </w:r>
            <w:r>
              <w:rPr>
                <w:rFonts w:cs="Calibri"/>
                <w:sz w:val="16"/>
                <w:szCs w:val="16"/>
              </w:rPr>
              <w:fldChar w:fldCharType="begin"/>
            </w:r>
            <w:r>
              <w:rPr>
                <w:rFonts w:cs="Calibri"/>
                <w:sz w:val="16"/>
                <w:szCs w:val="16"/>
              </w:rPr>
              <w:instrText xml:space="preserve"> REF _Ref36647460 \r \h </w:instrText>
            </w:r>
            <w:r>
              <w:rPr>
                <w:rFonts w:cs="Calibri"/>
                <w:sz w:val="16"/>
                <w:szCs w:val="16"/>
              </w:rPr>
            </w:r>
            <w:r>
              <w:rPr>
                <w:rFonts w:cs="Calibri"/>
                <w:sz w:val="16"/>
                <w:szCs w:val="16"/>
              </w:rPr>
              <w:fldChar w:fldCharType="separate"/>
            </w:r>
            <w:r w:rsidR="001D5AD9">
              <w:rPr>
                <w:rFonts w:cs="Calibri"/>
                <w:sz w:val="16"/>
                <w:szCs w:val="16"/>
              </w:rPr>
              <w:t>[66]</w:t>
            </w:r>
            <w:r>
              <w:rPr>
                <w:rFonts w:cs="Calibri"/>
                <w:sz w:val="16"/>
                <w:szCs w:val="16"/>
              </w:rPr>
              <w:fldChar w:fldCharType="end"/>
            </w:r>
            <w:r>
              <w:rPr>
                <w:rFonts w:cs="Calibri"/>
                <w:sz w:val="16"/>
                <w:szCs w:val="16"/>
              </w:rPr>
              <w:t>, the value SHALL be a string formatted as type VERSION, indicating the version of Java Card</w:t>
            </w:r>
            <w:r>
              <w:rPr>
                <w:rFonts w:cs="Calibri"/>
                <w:sz w:val="16"/>
                <w:szCs w:val="16"/>
                <w:vertAlign w:val="superscript"/>
              </w:rPr>
              <w:t>TM</w:t>
            </w:r>
            <w:r>
              <w:rPr>
                <w:rFonts w:cs="Calibri"/>
                <w:sz w:val="16"/>
                <w:szCs w:val="16"/>
              </w:rPr>
              <w:t xml:space="preserve">  supported.</w:t>
            </w:r>
          </w:p>
          <w:p w14:paraId="6F2AA9F7" w14:textId="481C4747" w:rsidR="00B97365" w:rsidRDefault="00000000">
            <w:pPr>
              <w:tabs>
                <w:tab w:val="right" w:pos="7938"/>
              </w:tabs>
              <w:spacing w:after="60"/>
              <w:rPr>
                <w:rFonts w:cs="Calibri"/>
                <w:sz w:val="16"/>
                <w:szCs w:val="16"/>
              </w:rPr>
            </w:pPr>
            <w:r>
              <w:rPr>
                <w:rFonts w:cs="Calibri"/>
                <w:sz w:val="16"/>
                <w:szCs w:val="16"/>
              </w:rPr>
              <w:t>If the eUICC does not support Java Card</w:t>
            </w:r>
            <w:r>
              <w:rPr>
                <w:rFonts w:cs="Calibri"/>
                <w:sz w:val="16"/>
                <w:szCs w:val="16"/>
                <w:vertAlign w:val="superscript"/>
              </w:rPr>
              <w:t>TM</w:t>
            </w:r>
            <w:r>
              <w:rPr>
                <w:rFonts w:cs="Calibri"/>
                <w:sz w:val="16"/>
                <w:szCs w:val="16"/>
              </w:rPr>
              <w:t xml:space="preserve">  </w:t>
            </w:r>
            <w:r>
              <w:rPr>
                <w:rFonts w:cs="Calibri"/>
                <w:sz w:val="16"/>
                <w:szCs w:val="16"/>
              </w:rPr>
              <w:fldChar w:fldCharType="begin"/>
            </w:r>
            <w:r>
              <w:rPr>
                <w:rFonts w:cs="Calibri"/>
                <w:sz w:val="16"/>
                <w:szCs w:val="16"/>
              </w:rPr>
              <w:instrText xml:space="preserve"> REF _Ref36647460 \r \h </w:instrText>
            </w:r>
            <w:r>
              <w:rPr>
                <w:rFonts w:cs="Calibri"/>
                <w:sz w:val="16"/>
                <w:szCs w:val="16"/>
              </w:rPr>
            </w:r>
            <w:r>
              <w:rPr>
                <w:rFonts w:cs="Calibri"/>
                <w:sz w:val="16"/>
                <w:szCs w:val="16"/>
              </w:rPr>
              <w:fldChar w:fldCharType="separate"/>
            </w:r>
            <w:r w:rsidR="001D5AD9">
              <w:rPr>
                <w:rFonts w:cs="Calibri"/>
                <w:sz w:val="16"/>
                <w:szCs w:val="16"/>
              </w:rPr>
              <w:t>[66]</w:t>
            </w:r>
            <w:r>
              <w:rPr>
                <w:rFonts w:cs="Calibri"/>
                <w:sz w:val="16"/>
                <w:szCs w:val="16"/>
              </w:rPr>
              <w:fldChar w:fldCharType="end"/>
            </w:r>
            <w:r>
              <w:rPr>
                <w:rFonts w:cs="Calibri"/>
                <w:sz w:val="16"/>
                <w:szCs w:val="16"/>
              </w:rPr>
              <w:t>, the value SHALL be the string “none”.</w:t>
            </w:r>
          </w:p>
          <w:p w14:paraId="52C76111" w14:textId="77777777" w:rsidR="00B97365" w:rsidRDefault="00B97365">
            <w:pPr>
              <w:tabs>
                <w:tab w:val="right" w:pos="7938"/>
              </w:tabs>
              <w:spacing w:after="60"/>
              <w:rPr>
                <w:rFonts w:cs="Calibri"/>
                <w:sz w:val="16"/>
                <w:szCs w:val="16"/>
              </w:rPr>
            </w:pPr>
          </w:p>
          <w:p w14:paraId="45E3983A" w14:textId="77777777" w:rsidR="00B97365" w:rsidRDefault="00000000">
            <w:pPr>
              <w:tabs>
                <w:tab w:val="right" w:pos="7938"/>
              </w:tabs>
              <w:spacing w:after="60"/>
              <w:rPr>
                <w:rFonts w:cs="Calibri"/>
                <w:sz w:val="16"/>
                <w:szCs w:val="16"/>
              </w:rPr>
            </w:pPr>
            <w:r>
              <w:rPr>
                <w:rFonts w:cs="Calibri"/>
                <w:sz w:val="16"/>
                <w:szCs w:val="16"/>
              </w:rPr>
              <w:t>Note 1: this field was introduced in v4.1; however, it may also be present if the eUICC is compliant with an earlier version.</w:t>
            </w:r>
          </w:p>
          <w:p w14:paraId="4753B4BF" w14:textId="67AEF6F4" w:rsidR="00B97365" w:rsidRDefault="00000000">
            <w:pPr>
              <w:tabs>
                <w:tab w:val="right" w:pos="7938"/>
              </w:tabs>
              <w:spacing w:after="60"/>
              <w:rPr>
                <w:lang w:eastAsia="en-US" w:bidi="ar-SA"/>
              </w:rPr>
            </w:pPr>
            <w:r>
              <w:rPr>
                <w:color w:val="000000"/>
                <w:sz w:val="16"/>
                <w:szCs w:val="16"/>
                <w:lang w:val="en-US"/>
              </w:rPr>
              <w:t xml:space="preserve">Note 2: See section </w:t>
            </w:r>
            <w:r>
              <w:rPr>
                <w:color w:val="000000"/>
                <w:sz w:val="16"/>
                <w:szCs w:val="16"/>
                <w:lang w:val="en-US"/>
              </w:rPr>
              <w:fldChar w:fldCharType="begin"/>
            </w:r>
            <w:r>
              <w:rPr>
                <w:color w:val="000000"/>
                <w:sz w:val="16"/>
                <w:szCs w:val="16"/>
                <w:lang w:val="en-US"/>
              </w:rPr>
              <w:instrText xml:space="preserve"> REF _Ref36647966 \r \h </w:instrText>
            </w:r>
            <w:r>
              <w:rPr>
                <w:color w:val="000000"/>
                <w:sz w:val="16"/>
                <w:szCs w:val="16"/>
                <w:lang w:val="en-US"/>
              </w:rPr>
            </w:r>
            <w:r>
              <w:rPr>
                <w:color w:val="000000"/>
                <w:sz w:val="16"/>
                <w:szCs w:val="16"/>
                <w:lang w:val="en-US"/>
              </w:rPr>
              <w:fldChar w:fldCharType="separate"/>
            </w:r>
            <w:r w:rsidR="001D5AD9">
              <w:rPr>
                <w:color w:val="000000"/>
                <w:sz w:val="16"/>
                <w:szCs w:val="16"/>
                <w:lang w:val="en-US"/>
              </w:rPr>
              <w:t>2.2.7</w:t>
            </w:r>
            <w:r>
              <w:rPr>
                <w:color w:val="000000"/>
                <w:sz w:val="16"/>
                <w:szCs w:val="16"/>
                <w:lang w:val="en-US"/>
              </w:rPr>
              <w:fldChar w:fldCharType="end"/>
            </w:r>
            <w:r>
              <w:rPr>
                <w:color w:val="000000"/>
                <w:sz w:val="16"/>
                <w:szCs w:val="16"/>
                <w:lang w:val="en-US"/>
              </w:rPr>
              <w:t xml:space="preserve"> for the requirement on the minimal version.</w:t>
            </w:r>
          </w:p>
        </w:tc>
        <w:tc>
          <w:tcPr>
            <w:tcW w:w="0" w:type="auto"/>
            <w:tcBorders>
              <w:top w:val="single" w:sz="6" w:space="0" w:color="auto"/>
              <w:left w:val="single" w:sz="6" w:space="0" w:color="auto"/>
              <w:bottom w:val="single" w:sz="6" w:space="0" w:color="auto"/>
              <w:right w:val="single" w:sz="6" w:space="0" w:color="auto"/>
            </w:tcBorders>
          </w:tcPr>
          <w:p w14:paraId="7149EEC2" w14:textId="77777777" w:rsidR="00B97365" w:rsidRDefault="00000000">
            <w:pPr>
              <w:tabs>
                <w:tab w:val="right" w:pos="7938"/>
              </w:tabs>
              <w:spacing w:after="60"/>
              <w:jc w:val="center"/>
              <w:rPr>
                <w:rFonts w:cs="Calibri"/>
                <w:sz w:val="16"/>
                <w:szCs w:val="16"/>
              </w:rPr>
            </w:pPr>
            <w:r>
              <w:rPr>
                <w:rFonts w:cs="Calibri"/>
                <w:sz w:val="16"/>
                <w:szCs w:val="16"/>
              </w:rPr>
              <w:t>M</w:t>
            </w:r>
          </w:p>
        </w:tc>
      </w:tr>
      <w:tr w:rsidR="00B97365" w14:paraId="7398492B"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4DC9DBD4" w14:textId="77777777" w:rsidR="00B97365" w:rsidRDefault="00000000">
            <w:pPr>
              <w:spacing w:after="200"/>
              <w:rPr>
                <w:rFonts w:cs="Calibri"/>
                <w:sz w:val="16"/>
                <w:szCs w:val="16"/>
              </w:rPr>
            </w:pPr>
            <w:r>
              <w:rPr>
                <w:rFonts w:cs="Calibri"/>
                <w:sz w:val="16"/>
                <w:szCs w:val="16"/>
              </w:rPr>
              <w:t>“gsma.ESIM.ProfilePackageVersions”</w:t>
            </w:r>
          </w:p>
        </w:tc>
        <w:tc>
          <w:tcPr>
            <w:tcW w:w="0" w:type="auto"/>
            <w:tcBorders>
              <w:top w:val="single" w:sz="6" w:space="0" w:color="auto"/>
              <w:left w:val="single" w:sz="6" w:space="0" w:color="auto"/>
              <w:bottom w:val="single" w:sz="6" w:space="0" w:color="auto"/>
              <w:right w:val="single" w:sz="6" w:space="0" w:color="auto"/>
            </w:tcBorders>
          </w:tcPr>
          <w:p w14:paraId="54032D2E" w14:textId="700565C4" w:rsidR="00B97365" w:rsidRDefault="00000000">
            <w:pPr>
              <w:tabs>
                <w:tab w:val="right" w:pos="7938"/>
              </w:tabs>
              <w:spacing w:after="60"/>
              <w:rPr>
                <w:rFonts w:cs="Calibri"/>
                <w:sz w:val="16"/>
                <w:szCs w:val="16"/>
              </w:rPr>
            </w:pPr>
            <w:r>
              <w:rPr>
                <w:rFonts w:cs="Calibri"/>
                <w:sz w:val="16"/>
                <w:szCs w:val="16"/>
              </w:rPr>
              <w:t xml:space="preserve">This field indicates the list of major versions including the associated highest minor version number of the SIMalliance eUICC Profile Package: Interoperable Format Technical Specification </w:t>
            </w:r>
            <w:r>
              <w:rPr>
                <w:rFonts w:cs="Calibri"/>
                <w:sz w:val="16"/>
                <w:szCs w:val="16"/>
              </w:rPr>
              <w:fldChar w:fldCharType="begin"/>
            </w:r>
            <w:r>
              <w:rPr>
                <w:rFonts w:cs="Calibri"/>
                <w:sz w:val="16"/>
                <w:szCs w:val="16"/>
              </w:rPr>
              <w:instrText xml:space="preserve"> REF _Ref36665947 \r \h </w:instrText>
            </w:r>
            <w:r>
              <w:rPr>
                <w:rFonts w:cs="Calibri"/>
                <w:sz w:val="16"/>
                <w:szCs w:val="16"/>
              </w:rPr>
            </w:r>
            <w:r>
              <w:rPr>
                <w:rFonts w:cs="Calibri"/>
                <w:sz w:val="16"/>
                <w:szCs w:val="16"/>
              </w:rPr>
              <w:fldChar w:fldCharType="separate"/>
            </w:r>
            <w:r w:rsidR="001D5AD9">
              <w:rPr>
                <w:rFonts w:cs="Calibri"/>
                <w:sz w:val="16"/>
                <w:szCs w:val="16"/>
              </w:rPr>
              <w:t>[53]</w:t>
            </w:r>
            <w:r>
              <w:rPr>
                <w:rFonts w:cs="Calibri"/>
                <w:sz w:val="16"/>
                <w:szCs w:val="16"/>
              </w:rPr>
              <w:fldChar w:fldCharType="end"/>
            </w:r>
            <w:r>
              <w:rPr>
                <w:rFonts w:cs="Calibri"/>
                <w:sz w:val="16"/>
                <w:szCs w:val="16"/>
              </w:rPr>
              <w:t xml:space="preserve"> supported by the eUICC.</w:t>
            </w:r>
          </w:p>
          <w:p w14:paraId="18E91D66" w14:textId="77777777" w:rsidR="00B97365" w:rsidRDefault="00000000">
            <w:pPr>
              <w:tabs>
                <w:tab w:val="right" w:pos="7938"/>
              </w:tabs>
              <w:spacing w:after="60"/>
              <w:rPr>
                <w:rFonts w:cs="Calibri"/>
                <w:sz w:val="16"/>
                <w:szCs w:val="16"/>
              </w:rPr>
            </w:pPr>
            <w:r>
              <w:rPr>
                <w:rFonts w:cs="Calibri"/>
                <w:sz w:val="16"/>
                <w:szCs w:val="16"/>
              </w:rPr>
              <w:t>The list shall be provided in a single string, where each version is a string formatted as type VERSION, and the different versions, if more than one, are separated by a semi-colon.</w:t>
            </w:r>
          </w:p>
          <w:p w14:paraId="421983CF" w14:textId="77777777" w:rsidR="00B97365" w:rsidRDefault="00000000">
            <w:pPr>
              <w:tabs>
                <w:tab w:val="right" w:pos="7938"/>
              </w:tabs>
              <w:spacing w:after="60"/>
              <w:rPr>
                <w:rFonts w:cs="Calibri"/>
                <w:sz w:val="16"/>
                <w:szCs w:val="16"/>
              </w:rPr>
            </w:pPr>
            <w:r>
              <w:rPr>
                <w:rFonts w:cs="Calibri"/>
                <w:sz w:val="16"/>
                <w:szCs w:val="16"/>
              </w:rPr>
              <w:t>Note: this field was introduced in v4.1.</w:t>
            </w:r>
          </w:p>
        </w:tc>
        <w:tc>
          <w:tcPr>
            <w:tcW w:w="0" w:type="auto"/>
            <w:tcBorders>
              <w:top w:val="single" w:sz="6" w:space="0" w:color="auto"/>
              <w:left w:val="single" w:sz="6" w:space="0" w:color="auto"/>
              <w:bottom w:val="single" w:sz="6" w:space="0" w:color="auto"/>
              <w:right w:val="single" w:sz="6" w:space="0" w:color="auto"/>
            </w:tcBorders>
          </w:tcPr>
          <w:p w14:paraId="67E2670D" w14:textId="77777777" w:rsidR="00B97365" w:rsidRDefault="00000000">
            <w:pPr>
              <w:tabs>
                <w:tab w:val="right" w:pos="7938"/>
              </w:tabs>
              <w:spacing w:after="60"/>
              <w:jc w:val="center"/>
              <w:rPr>
                <w:rFonts w:cs="Calibri"/>
                <w:sz w:val="16"/>
                <w:szCs w:val="16"/>
              </w:rPr>
            </w:pPr>
            <w:r>
              <w:rPr>
                <w:rFonts w:cs="Calibri"/>
                <w:sz w:val="16"/>
                <w:szCs w:val="16"/>
              </w:rPr>
              <w:t>M</w:t>
            </w:r>
          </w:p>
        </w:tc>
      </w:tr>
      <w:tr w:rsidR="00B97365" w14:paraId="4352B120"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343BE298" w14:textId="77777777" w:rsidR="00B97365" w:rsidRDefault="00000000">
            <w:pPr>
              <w:spacing w:after="200"/>
              <w:rPr>
                <w:rFonts w:cs="Calibri"/>
                <w:sz w:val="16"/>
                <w:szCs w:val="16"/>
              </w:rPr>
            </w:pPr>
            <w:r>
              <w:rPr>
                <w:rFonts w:cs="Calibri"/>
                <w:sz w:val="16"/>
                <w:szCs w:val="16"/>
              </w:rPr>
              <w:lastRenderedPageBreak/>
              <w:t>“gsma.ESIM.UICCCapability”</w:t>
            </w:r>
          </w:p>
        </w:tc>
        <w:tc>
          <w:tcPr>
            <w:tcW w:w="0" w:type="auto"/>
            <w:tcBorders>
              <w:top w:val="single" w:sz="6" w:space="0" w:color="auto"/>
              <w:left w:val="single" w:sz="6" w:space="0" w:color="auto"/>
              <w:bottom w:val="single" w:sz="6" w:space="0" w:color="auto"/>
              <w:right w:val="single" w:sz="6" w:space="0" w:color="auto"/>
            </w:tcBorders>
          </w:tcPr>
          <w:p w14:paraId="7870B150" w14:textId="77777777" w:rsidR="00B97365" w:rsidRDefault="00000000">
            <w:pPr>
              <w:tabs>
                <w:tab w:val="right" w:pos="7938"/>
              </w:tabs>
              <w:spacing w:after="60"/>
              <w:rPr>
                <w:rFonts w:cs="Calibri"/>
                <w:sz w:val="16"/>
                <w:szCs w:val="16"/>
              </w:rPr>
            </w:pPr>
            <w:r>
              <w:rPr>
                <w:rFonts w:cs="Calibri"/>
                <w:sz w:val="16"/>
                <w:szCs w:val="16"/>
              </w:rPr>
              <w:t xml:space="preserve">This field indicates the UICC Capabilities supported by this eUICC. The SM-DP MAY use those fields to select or tailor the proper Profile Package to install on this eUICC. </w:t>
            </w:r>
          </w:p>
          <w:p w14:paraId="164F50F0" w14:textId="77777777" w:rsidR="00B97365" w:rsidRDefault="00000000">
            <w:pPr>
              <w:tabs>
                <w:tab w:val="right" w:pos="7938"/>
              </w:tabs>
              <w:spacing w:after="60"/>
              <w:rPr>
                <w:rFonts w:cs="Calibri"/>
                <w:sz w:val="16"/>
                <w:szCs w:val="16"/>
              </w:rPr>
            </w:pPr>
            <w:r>
              <w:rPr>
                <w:rFonts w:cs="Calibri"/>
                <w:sz w:val="16"/>
                <w:szCs w:val="16"/>
              </w:rPr>
              <w:t xml:space="preserve">The value of this field SHALL be the hexadecimal representation of the value part of the DER encoded </w:t>
            </w:r>
            <w:r>
              <w:rPr>
                <w:rFonts w:ascii="Courier New" w:hAnsi="Courier New" w:cs="Courier New"/>
                <w:sz w:val="18"/>
                <w:szCs w:val="18"/>
              </w:rPr>
              <w:t xml:space="preserve">UICCCapability </w:t>
            </w:r>
            <w:r>
              <w:rPr>
                <w:rFonts w:cs="Calibri"/>
                <w:sz w:val="16"/>
                <w:szCs w:val="16"/>
              </w:rPr>
              <w:t>data object defined in figure 511210-A (i.e., without tag and length fields).</w:t>
            </w:r>
          </w:p>
          <w:p w14:paraId="7BE0B8DD" w14:textId="77777777" w:rsidR="00B97365" w:rsidRDefault="00000000">
            <w:pPr>
              <w:tabs>
                <w:tab w:val="right" w:pos="7938"/>
              </w:tabs>
              <w:spacing w:after="60"/>
              <w:rPr>
                <w:rFonts w:cs="Calibri"/>
                <w:sz w:val="16"/>
                <w:szCs w:val="16"/>
              </w:rPr>
            </w:pPr>
            <w:r>
              <w:rPr>
                <w:rFonts w:cs="Calibri"/>
                <w:sz w:val="16"/>
                <w:szCs w:val="16"/>
              </w:rPr>
              <w:t>Note: this field was introduced in v4.1.</w:t>
            </w:r>
          </w:p>
        </w:tc>
        <w:tc>
          <w:tcPr>
            <w:tcW w:w="0" w:type="auto"/>
            <w:tcBorders>
              <w:top w:val="single" w:sz="6" w:space="0" w:color="auto"/>
              <w:left w:val="single" w:sz="6" w:space="0" w:color="auto"/>
              <w:bottom w:val="single" w:sz="6" w:space="0" w:color="auto"/>
              <w:right w:val="single" w:sz="6" w:space="0" w:color="auto"/>
            </w:tcBorders>
          </w:tcPr>
          <w:p w14:paraId="7720E088" w14:textId="77777777" w:rsidR="00B97365" w:rsidRDefault="00000000">
            <w:pPr>
              <w:tabs>
                <w:tab w:val="right" w:pos="7938"/>
              </w:tabs>
              <w:spacing w:after="60"/>
              <w:jc w:val="center"/>
              <w:rPr>
                <w:rFonts w:cs="Calibri"/>
                <w:sz w:val="16"/>
                <w:szCs w:val="16"/>
              </w:rPr>
            </w:pPr>
            <w:r>
              <w:rPr>
                <w:rFonts w:cs="Calibri"/>
                <w:sz w:val="16"/>
                <w:szCs w:val="16"/>
              </w:rPr>
              <w:t>M</w:t>
            </w:r>
          </w:p>
        </w:tc>
      </w:tr>
      <w:tr w:rsidR="00B97365" w14:paraId="7A4FB759"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5661EBDF" w14:textId="77777777" w:rsidR="00B97365" w:rsidRDefault="00000000">
            <w:pPr>
              <w:spacing w:after="200"/>
              <w:rPr>
                <w:rFonts w:cs="Calibri"/>
                <w:sz w:val="16"/>
                <w:szCs w:val="16"/>
              </w:rPr>
            </w:pPr>
            <w:r>
              <w:rPr>
                <w:rFonts w:cs="Calibri"/>
                <w:sz w:val="16"/>
                <w:szCs w:val="16"/>
              </w:rPr>
              <w:t>“gsma.ESIM.TreProperties”</w:t>
            </w:r>
          </w:p>
        </w:tc>
        <w:tc>
          <w:tcPr>
            <w:tcW w:w="0" w:type="auto"/>
            <w:tcBorders>
              <w:top w:val="single" w:sz="6" w:space="0" w:color="auto"/>
              <w:left w:val="single" w:sz="6" w:space="0" w:color="auto"/>
              <w:bottom w:val="single" w:sz="6" w:space="0" w:color="auto"/>
              <w:right w:val="single" w:sz="6" w:space="0" w:color="auto"/>
            </w:tcBorders>
          </w:tcPr>
          <w:p w14:paraId="05A29C49" w14:textId="77777777" w:rsidR="00B97365" w:rsidRDefault="00000000">
            <w:pPr>
              <w:tabs>
                <w:tab w:val="right" w:pos="7938"/>
              </w:tabs>
              <w:spacing w:after="60"/>
              <w:rPr>
                <w:rFonts w:cs="Calibri"/>
                <w:sz w:val="16"/>
                <w:szCs w:val="16"/>
              </w:rPr>
            </w:pPr>
            <w:r>
              <w:rPr>
                <w:rFonts w:cs="Calibri"/>
                <w:sz w:val="16"/>
                <w:szCs w:val="16"/>
              </w:rPr>
              <w:t>This field indicates the TRE properties of this eUICC. The SM-DP MAY use those fields to select or tailor the proper Profile Package to install on this eUICC.</w:t>
            </w:r>
          </w:p>
          <w:p w14:paraId="4A5260EE" w14:textId="77777777" w:rsidR="00B97365" w:rsidRDefault="00000000">
            <w:pPr>
              <w:tabs>
                <w:tab w:val="right" w:pos="7938"/>
              </w:tabs>
              <w:spacing w:after="60"/>
              <w:rPr>
                <w:rFonts w:cs="Calibri"/>
                <w:sz w:val="16"/>
                <w:szCs w:val="16"/>
              </w:rPr>
            </w:pPr>
            <w:r>
              <w:rPr>
                <w:rFonts w:cs="Calibri"/>
                <w:sz w:val="16"/>
                <w:szCs w:val="16"/>
              </w:rPr>
              <w:t xml:space="preserve">The value of this field SHALL be the hexadecimal representation of the value part of the DER encoded </w:t>
            </w:r>
            <w:r>
              <w:rPr>
                <w:rFonts w:ascii="Courier New" w:hAnsi="Courier New" w:cs="Courier New"/>
                <w:sz w:val="18"/>
                <w:szCs w:val="18"/>
              </w:rPr>
              <w:t xml:space="preserve">TreProperties </w:t>
            </w:r>
            <w:r>
              <w:rPr>
                <w:rFonts w:cs="Calibri"/>
                <w:sz w:val="16"/>
                <w:szCs w:val="16"/>
              </w:rPr>
              <w:t>data object defined in figure 511210-B (i.e., without tag and length fields).</w:t>
            </w:r>
          </w:p>
          <w:p w14:paraId="555D5E14" w14:textId="77777777" w:rsidR="00B97365" w:rsidRDefault="00000000">
            <w:pPr>
              <w:tabs>
                <w:tab w:val="right" w:pos="7938"/>
              </w:tabs>
              <w:spacing w:after="60"/>
              <w:rPr>
                <w:rFonts w:cs="Calibri"/>
                <w:sz w:val="16"/>
                <w:szCs w:val="16"/>
              </w:rPr>
            </w:pPr>
            <w:r>
              <w:rPr>
                <w:rFonts w:cs="Calibri"/>
                <w:sz w:val="16"/>
                <w:szCs w:val="16"/>
              </w:rPr>
              <w:t xml:space="preserve">This field SHALL be present if the eUICC is compliant with version 4.2 or later. This field SHALL contain one of the following settings: </w:t>
            </w:r>
          </w:p>
          <w:p w14:paraId="79EF1A60" w14:textId="77777777" w:rsidR="00B97365" w:rsidRDefault="00000000">
            <w:pPr>
              <w:numPr>
                <w:ilvl w:val="0"/>
                <w:numId w:val="131"/>
              </w:numPr>
              <w:tabs>
                <w:tab w:val="right" w:pos="7938"/>
              </w:tabs>
              <w:spacing w:after="60"/>
              <w:contextualSpacing/>
              <w:rPr>
                <w:rFonts w:cs="Calibri"/>
                <w:sz w:val="16"/>
                <w:szCs w:val="16"/>
              </w:rPr>
            </w:pPr>
            <w:r>
              <w:rPr>
                <w:rFonts w:cs="Calibri"/>
                <w:sz w:val="16"/>
                <w:szCs w:val="16"/>
              </w:rPr>
              <w:t xml:space="preserve">isDiscrete </w:t>
            </w:r>
          </w:p>
          <w:p w14:paraId="64D3D167" w14:textId="77777777" w:rsidR="00B97365" w:rsidRDefault="00000000">
            <w:pPr>
              <w:numPr>
                <w:ilvl w:val="0"/>
                <w:numId w:val="131"/>
              </w:numPr>
              <w:tabs>
                <w:tab w:val="right" w:pos="7938"/>
              </w:tabs>
              <w:spacing w:after="60"/>
              <w:contextualSpacing/>
              <w:rPr>
                <w:rFonts w:cs="Calibri"/>
                <w:sz w:val="16"/>
                <w:szCs w:val="16"/>
              </w:rPr>
            </w:pPr>
            <w:r>
              <w:rPr>
                <w:rFonts w:cs="Calibri"/>
                <w:sz w:val="16"/>
                <w:szCs w:val="16"/>
              </w:rPr>
              <w:t>isIntegrated</w:t>
            </w:r>
          </w:p>
          <w:p w14:paraId="2D15586D" w14:textId="77777777" w:rsidR="00B97365" w:rsidRDefault="00000000">
            <w:pPr>
              <w:numPr>
                <w:ilvl w:val="0"/>
                <w:numId w:val="131"/>
              </w:numPr>
              <w:tabs>
                <w:tab w:val="right" w:pos="7938"/>
              </w:tabs>
              <w:spacing w:after="60"/>
              <w:contextualSpacing/>
              <w:rPr>
                <w:rFonts w:cs="Calibri"/>
                <w:sz w:val="16"/>
                <w:szCs w:val="16"/>
              </w:rPr>
            </w:pPr>
            <w:r>
              <w:rPr>
                <w:rFonts w:cs="Calibri"/>
                <w:sz w:val="16"/>
                <w:szCs w:val="16"/>
              </w:rPr>
              <w:t xml:space="preserve">isIntegrated, usesRemoteMemory </w:t>
            </w:r>
          </w:p>
          <w:p w14:paraId="26EE18AD" w14:textId="77777777" w:rsidR="00B97365" w:rsidRDefault="00000000">
            <w:pPr>
              <w:tabs>
                <w:tab w:val="right" w:pos="7938"/>
              </w:tabs>
              <w:spacing w:after="60"/>
              <w:rPr>
                <w:rFonts w:cs="Calibri"/>
                <w:sz w:val="16"/>
                <w:szCs w:val="16"/>
              </w:rPr>
            </w:pPr>
            <w:r>
              <w:rPr>
                <w:rFonts w:cs="Calibri"/>
                <w:sz w:val="16"/>
                <w:szCs w:val="16"/>
              </w:rPr>
              <w:t>Note: this field was introduced in v4.2.</w:t>
            </w:r>
          </w:p>
        </w:tc>
        <w:tc>
          <w:tcPr>
            <w:tcW w:w="0" w:type="auto"/>
            <w:tcBorders>
              <w:top w:val="single" w:sz="6" w:space="0" w:color="auto"/>
              <w:left w:val="single" w:sz="6" w:space="0" w:color="auto"/>
              <w:bottom w:val="single" w:sz="6" w:space="0" w:color="auto"/>
              <w:right w:val="single" w:sz="6" w:space="0" w:color="auto"/>
            </w:tcBorders>
          </w:tcPr>
          <w:p w14:paraId="17357ED7" w14:textId="77777777" w:rsidR="00B97365" w:rsidRDefault="00000000">
            <w:pPr>
              <w:tabs>
                <w:tab w:val="right" w:pos="7938"/>
              </w:tabs>
              <w:spacing w:after="60"/>
              <w:jc w:val="center"/>
              <w:rPr>
                <w:rFonts w:cs="Calibri"/>
                <w:sz w:val="16"/>
                <w:szCs w:val="16"/>
              </w:rPr>
            </w:pPr>
            <w:r>
              <w:rPr>
                <w:rFonts w:cs="Calibri"/>
                <w:sz w:val="16"/>
                <w:szCs w:val="16"/>
              </w:rPr>
              <w:t>M</w:t>
            </w:r>
          </w:p>
        </w:tc>
      </w:tr>
      <w:tr w:rsidR="00B97365" w14:paraId="2ED4E997"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5F39C8D7" w14:textId="77777777" w:rsidR="00B97365" w:rsidRDefault="00000000">
            <w:pPr>
              <w:spacing w:after="200"/>
              <w:rPr>
                <w:rFonts w:cs="Calibri"/>
                <w:sz w:val="16"/>
                <w:szCs w:val="16"/>
              </w:rPr>
            </w:pPr>
            <w:r>
              <w:rPr>
                <w:rFonts w:cs="Calibri"/>
                <w:sz w:val="16"/>
                <w:szCs w:val="16"/>
              </w:rPr>
              <w:t>“gsma.ESIM.TreProductReference”</w:t>
            </w:r>
          </w:p>
        </w:tc>
        <w:tc>
          <w:tcPr>
            <w:tcW w:w="0" w:type="auto"/>
            <w:tcBorders>
              <w:top w:val="single" w:sz="6" w:space="0" w:color="auto"/>
              <w:left w:val="single" w:sz="6" w:space="0" w:color="auto"/>
              <w:bottom w:val="single" w:sz="6" w:space="0" w:color="auto"/>
              <w:right w:val="single" w:sz="6" w:space="0" w:color="auto"/>
            </w:tcBorders>
          </w:tcPr>
          <w:p w14:paraId="46DAD585" w14:textId="77777777" w:rsidR="00B97365" w:rsidRDefault="00000000">
            <w:pPr>
              <w:tabs>
                <w:tab w:val="right" w:pos="7938"/>
              </w:tabs>
              <w:spacing w:after="60"/>
              <w:rPr>
                <w:rFonts w:cs="Calibri"/>
                <w:sz w:val="16"/>
                <w:szCs w:val="16"/>
              </w:rPr>
            </w:pPr>
            <w:r>
              <w:rPr>
                <w:rFonts w:cs="Calibri"/>
                <w:sz w:val="16"/>
                <w:szCs w:val="16"/>
              </w:rPr>
              <w:t>This field SHALL be present if the eUICC is an Integrated eUICC.</w:t>
            </w:r>
          </w:p>
          <w:p w14:paraId="543E1AFE" w14:textId="77777777" w:rsidR="00B97365" w:rsidRDefault="00000000">
            <w:pPr>
              <w:rPr>
                <w:rFonts w:eastAsia="Times New Roman" w:cs="Calibri"/>
                <w:sz w:val="16"/>
                <w:szCs w:val="16"/>
                <w:lang w:val="en-US"/>
              </w:rPr>
            </w:pPr>
            <w:r>
              <w:rPr>
                <w:rFonts w:cs="Calibri"/>
                <w:sz w:val="16"/>
                <w:szCs w:val="16"/>
                <w:lang w:val="en-US"/>
              </w:rPr>
              <w:t>This information is provided by the EUM at registration time, and remains unchanged during the eUICC’s lifetime.</w:t>
            </w:r>
          </w:p>
          <w:p w14:paraId="6D9E6DA5" w14:textId="77777777" w:rsidR="00B97365" w:rsidRDefault="00000000">
            <w:pPr>
              <w:tabs>
                <w:tab w:val="right" w:pos="7938"/>
              </w:tabs>
              <w:spacing w:after="60"/>
              <w:rPr>
                <w:sz w:val="16"/>
                <w:szCs w:val="16"/>
                <w:lang w:eastAsia="en-GB" w:bidi="ar-SA"/>
              </w:rPr>
            </w:pPr>
            <w:r>
              <w:rPr>
                <w:rFonts w:cs="Calibri"/>
                <w:sz w:val="16"/>
                <w:szCs w:val="16"/>
              </w:rPr>
              <w:t>It SHALL</w:t>
            </w:r>
            <w:r>
              <w:rPr>
                <w:sz w:val="16"/>
                <w:szCs w:val="16"/>
                <w:lang w:eastAsia="en-GB" w:bidi="ar-SA"/>
              </w:rPr>
              <w:t xml:space="preserve"> contain an unique reference of the Integrated TRE product that the eUICC is based upon.  </w:t>
            </w:r>
          </w:p>
          <w:p w14:paraId="71E137F1" w14:textId="0D7C8223" w:rsidR="00B97365" w:rsidRDefault="00000000">
            <w:pPr>
              <w:tabs>
                <w:tab w:val="right" w:pos="7938"/>
              </w:tabs>
              <w:spacing w:after="60"/>
              <w:rPr>
                <w:rFonts w:cs="Calibri"/>
                <w:sz w:val="16"/>
                <w:szCs w:val="16"/>
              </w:rPr>
            </w:pPr>
            <w:r>
              <w:rPr>
                <w:rFonts w:cs="Calibri"/>
                <w:sz w:val="16"/>
                <w:szCs w:val="16"/>
              </w:rPr>
              <w:t xml:space="preserve">The value of this field SHALL be a string coded as defined in GlobalPlatform DLOA specification </w:t>
            </w:r>
            <w:r>
              <w:rPr>
                <w:rFonts w:cs="Calibri"/>
                <w:sz w:val="16"/>
                <w:szCs w:val="16"/>
              </w:rPr>
              <w:fldChar w:fldCharType="begin"/>
            </w:r>
            <w:r>
              <w:rPr>
                <w:rFonts w:cs="Calibri"/>
                <w:sz w:val="16"/>
                <w:szCs w:val="16"/>
              </w:rPr>
              <w:instrText xml:space="preserve"> REF _Ref40187684 \r \h </w:instrText>
            </w:r>
            <w:r>
              <w:rPr>
                <w:rFonts w:cs="Calibri"/>
                <w:sz w:val="16"/>
                <w:szCs w:val="16"/>
              </w:rPr>
            </w:r>
            <w:r>
              <w:rPr>
                <w:rFonts w:cs="Calibri"/>
                <w:sz w:val="16"/>
                <w:szCs w:val="16"/>
              </w:rPr>
              <w:fldChar w:fldCharType="separate"/>
            </w:r>
            <w:r w:rsidR="001D5AD9">
              <w:rPr>
                <w:rFonts w:cs="Calibri"/>
                <w:sz w:val="16"/>
                <w:szCs w:val="16"/>
              </w:rPr>
              <w:t>[69]</w:t>
            </w:r>
            <w:r>
              <w:rPr>
                <w:rFonts w:cs="Calibri"/>
                <w:sz w:val="16"/>
                <w:szCs w:val="16"/>
              </w:rPr>
              <w:fldChar w:fldCharType="end"/>
            </w:r>
            <w:r>
              <w:rPr>
                <w:rFonts w:cs="Calibri"/>
                <w:sz w:val="16"/>
                <w:szCs w:val="16"/>
              </w:rPr>
              <w:t xml:space="preserve"> section 7.1.1.</w:t>
            </w:r>
          </w:p>
          <w:p w14:paraId="682C130E" w14:textId="77777777" w:rsidR="00B97365" w:rsidRDefault="00000000">
            <w:pPr>
              <w:tabs>
                <w:tab w:val="right" w:pos="7938"/>
              </w:tabs>
              <w:spacing w:after="60"/>
              <w:rPr>
                <w:rFonts w:cs="Calibri"/>
                <w:sz w:val="16"/>
                <w:szCs w:val="16"/>
              </w:rPr>
            </w:pPr>
            <w:r>
              <w:rPr>
                <w:rFonts w:cs="Calibri"/>
                <w:sz w:val="16"/>
                <w:szCs w:val="16"/>
              </w:rPr>
              <w:t>Note: this field was introduced in v4.2.</w:t>
            </w:r>
          </w:p>
        </w:tc>
        <w:tc>
          <w:tcPr>
            <w:tcW w:w="0" w:type="auto"/>
            <w:tcBorders>
              <w:top w:val="single" w:sz="6" w:space="0" w:color="auto"/>
              <w:left w:val="single" w:sz="6" w:space="0" w:color="auto"/>
              <w:bottom w:val="single" w:sz="6" w:space="0" w:color="auto"/>
              <w:right w:val="single" w:sz="6" w:space="0" w:color="auto"/>
            </w:tcBorders>
          </w:tcPr>
          <w:p w14:paraId="7DE3FFAF" w14:textId="77777777" w:rsidR="00B97365" w:rsidRDefault="00000000">
            <w:pPr>
              <w:tabs>
                <w:tab w:val="right" w:pos="7938"/>
              </w:tabs>
              <w:spacing w:after="60"/>
              <w:jc w:val="center"/>
              <w:rPr>
                <w:rFonts w:cs="Calibri"/>
                <w:sz w:val="16"/>
                <w:szCs w:val="16"/>
              </w:rPr>
            </w:pPr>
            <w:r>
              <w:rPr>
                <w:rFonts w:cs="Calibri"/>
                <w:sz w:val="16"/>
                <w:szCs w:val="16"/>
              </w:rPr>
              <w:t>C</w:t>
            </w:r>
          </w:p>
        </w:tc>
      </w:tr>
      <w:tr w:rsidR="00B97365" w14:paraId="410A27E8"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39121A00" w14:textId="77777777" w:rsidR="00B97365" w:rsidRDefault="00000000">
            <w:pPr>
              <w:spacing w:after="200"/>
              <w:rPr>
                <w:rFonts w:cs="Calibri"/>
                <w:sz w:val="16"/>
                <w:szCs w:val="16"/>
              </w:rPr>
            </w:pPr>
            <w:r>
              <w:rPr>
                <w:rFonts w:cs="Calibri"/>
                <w:sz w:val="16"/>
                <w:szCs w:val="16"/>
              </w:rPr>
              <w:t>“gsma.ESIM.FieldTest”</w:t>
            </w:r>
          </w:p>
        </w:tc>
        <w:tc>
          <w:tcPr>
            <w:tcW w:w="0" w:type="auto"/>
            <w:tcBorders>
              <w:top w:val="single" w:sz="6" w:space="0" w:color="auto"/>
              <w:left w:val="single" w:sz="6" w:space="0" w:color="auto"/>
              <w:bottom w:val="single" w:sz="6" w:space="0" w:color="auto"/>
              <w:right w:val="single" w:sz="6" w:space="0" w:color="auto"/>
            </w:tcBorders>
          </w:tcPr>
          <w:p w14:paraId="067C4B2B" w14:textId="77777777" w:rsidR="00B97365" w:rsidRDefault="00000000">
            <w:pPr>
              <w:spacing w:after="200"/>
              <w:rPr>
                <w:rFonts w:cs="Calibri"/>
                <w:sz w:val="16"/>
                <w:szCs w:val="16"/>
              </w:rPr>
            </w:pPr>
            <w:r>
              <w:rPr>
                <w:rFonts w:cs="Calibri"/>
                <w:sz w:val="16"/>
                <w:szCs w:val="16"/>
              </w:rPr>
              <w:t>“true” or “false”</w:t>
            </w:r>
          </w:p>
          <w:p w14:paraId="695C69F0" w14:textId="77777777" w:rsidR="00B97365" w:rsidRDefault="00000000">
            <w:pPr>
              <w:spacing w:after="200"/>
              <w:rPr>
                <w:rFonts w:cs="Calibri"/>
                <w:sz w:val="16"/>
                <w:szCs w:val="16"/>
              </w:rPr>
            </w:pPr>
            <w:r>
              <w:rPr>
                <w:rFonts w:cs="Calibri"/>
                <w:sz w:val="16"/>
                <w:szCs w:val="16"/>
              </w:rPr>
              <w:t>This field SHALL be present with the value “true” if the eUICC is a Field-Test eUICC.</w:t>
            </w:r>
          </w:p>
          <w:p w14:paraId="19591AAB" w14:textId="77777777" w:rsidR="00B97365" w:rsidRDefault="00000000">
            <w:pPr>
              <w:tabs>
                <w:tab w:val="right" w:pos="7938"/>
              </w:tabs>
              <w:spacing w:after="60"/>
              <w:rPr>
                <w:rFonts w:cs="Calibri"/>
                <w:sz w:val="16"/>
                <w:szCs w:val="16"/>
              </w:rPr>
            </w:pPr>
            <w:r>
              <w:rPr>
                <w:rFonts w:cs="Calibri"/>
                <w:sz w:val="16"/>
                <w:szCs w:val="16"/>
              </w:rPr>
              <w:t>(an absent key/value pair having the default meaning of “false”)</w:t>
            </w:r>
          </w:p>
        </w:tc>
        <w:tc>
          <w:tcPr>
            <w:tcW w:w="0" w:type="auto"/>
            <w:tcBorders>
              <w:top w:val="single" w:sz="6" w:space="0" w:color="auto"/>
              <w:left w:val="single" w:sz="6" w:space="0" w:color="auto"/>
              <w:bottom w:val="single" w:sz="6" w:space="0" w:color="auto"/>
              <w:right w:val="single" w:sz="6" w:space="0" w:color="auto"/>
            </w:tcBorders>
          </w:tcPr>
          <w:p w14:paraId="0A60DCFA" w14:textId="77777777" w:rsidR="00B97365" w:rsidRDefault="00000000">
            <w:pPr>
              <w:tabs>
                <w:tab w:val="right" w:pos="7938"/>
              </w:tabs>
              <w:spacing w:after="60"/>
              <w:jc w:val="center"/>
              <w:rPr>
                <w:rFonts w:cs="Calibri"/>
                <w:sz w:val="16"/>
                <w:szCs w:val="16"/>
              </w:rPr>
            </w:pPr>
            <w:r>
              <w:rPr>
                <w:rFonts w:cs="Calibri"/>
                <w:sz w:val="16"/>
                <w:szCs w:val="16"/>
              </w:rPr>
              <w:t>C</w:t>
            </w:r>
          </w:p>
        </w:tc>
      </w:tr>
    </w:tbl>
    <w:p w14:paraId="3DA9B4E4" w14:textId="77777777" w:rsidR="00B97365" w:rsidRDefault="00000000">
      <w:pPr>
        <w:numPr>
          <w:ilvl w:val="0"/>
          <w:numId w:val="14"/>
        </w:numPr>
        <w:tabs>
          <w:tab w:val="left" w:pos="1009"/>
        </w:tabs>
        <w:spacing w:after="200" w:line="276" w:lineRule="auto"/>
        <w:jc w:val="center"/>
        <w:rPr>
          <w:rFonts w:cs="Arial"/>
          <w:b/>
          <w:lang w:eastAsia="de-DE" w:bidi="ar-SA"/>
        </w:rPr>
      </w:pPr>
      <w:bookmarkStart w:id="3098" w:name="_Ref534358809"/>
      <w:r>
        <w:rPr>
          <w:rFonts w:cs="Arial"/>
          <w:b/>
          <w:lang w:eastAsia="de-DE" w:bidi="ar-SA"/>
        </w:rPr>
        <w:t>: AdditionalProperties denoting additional eUICC capabilities</w:t>
      </w:r>
      <w:bookmarkEnd w:id="3098"/>
    </w:p>
    <w:p w14:paraId="328D5EDA" w14:textId="77777777" w:rsidR="00B97365" w:rsidRDefault="00000000">
      <w:pPr>
        <w:spacing w:before="0"/>
        <w:jc w:val="left"/>
        <w:rPr>
          <w:rFonts w:cs="Calibri"/>
        </w:rPr>
      </w:pPr>
      <w:r>
        <w:rPr>
          <w:rFonts w:cs="Calibri"/>
        </w:rPr>
        <w:t>The UICC Capabilities to be indicated in the EIS in this version of the specification are defined as follows:</w:t>
      </w:r>
    </w:p>
    <w:p w14:paraId="747CAABB" w14:textId="77777777" w:rsidR="00B97365" w:rsidRDefault="00B97365">
      <w:pPr>
        <w:spacing w:before="0"/>
        <w:jc w:val="left"/>
        <w:rPr>
          <w:rFonts w:cs="Calibri"/>
        </w:rPr>
      </w:pPr>
    </w:p>
    <w:p w14:paraId="6DAECA75"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 ASN1START</w:t>
      </w:r>
    </w:p>
    <w:p w14:paraId="6599D487"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Definition of UICCCapability</w:t>
      </w:r>
    </w:p>
    <w:p w14:paraId="597B19C8"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UICCCapability ::= BIT STRING {</w:t>
      </w:r>
    </w:p>
    <w:p w14:paraId="6298E638"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Sequence is derived from ServicesList[] defined in SIMalliance PEDefinitions*/</w:t>
      </w:r>
    </w:p>
    <w:p w14:paraId="1EC4E702"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contactlessSupport(0), </w:t>
      </w:r>
      <w:r>
        <w:rPr>
          <w:rFonts w:ascii="Courier New" w:hAnsi="Courier New" w:cs="Courier New"/>
          <w:sz w:val="18"/>
          <w:szCs w:val="18"/>
        </w:rPr>
        <w:tab/>
        <w:t>-- Contactless (SWP, HCI and associated APIs)</w:t>
      </w:r>
    </w:p>
    <w:p w14:paraId="02DF0A74"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usimSupport(1), </w:t>
      </w:r>
      <w:r>
        <w:rPr>
          <w:rFonts w:ascii="Courier New" w:hAnsi="Courier New" w:cs="Courier New"/>
          <w:sz w:val="18"/>
          <w:szCs w:val="18"/>
        </w:rPr>
        <w:tab/>
      </w:r>
      <w:r>
        <w:rPr>
          <w:rFonts w:ascii="Courier New" w:hAnsi="Courier New" w:cs="Courier New"/>
          <w:sz w:val="18"/>
          <w:szCs w:val="18"/>
        </w:rPr>
        <w:tab/>
        <w:t>-- USIM as defined by 3GPP</w:t>
      </w:r>
    </w:p>
    <w:p w14:paraId="41A0A5A2"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isimSupport(2), </w:t>
      </w:r>
      <w:r>
        <w:rPr>
          <w:rFonts w:ascii="Courier New" w:hAnsi="Courier New" w:cs="Courier New"/>
          <w:sz w:val="18"/>
          <w:szCs w:val="18"/>
        </w:rPr>
        <w:tab/>
      </w:r>
      <w:r>
        <w:rPr>
          <w:rFonts w:ascii="Courier New" w:hAnsi="Courier New" w:cs="Courier New"/>
          <w:sz w:val="18"/>
          <w:szCs w:val="18"/>
        </w:rPr>
        <w:tab/>
        <w:t>-- ISIM as defined by 3GPP</w:t>
      </w:r>
    </w:p>
    <w:p w14:paraId="4AFF191C"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csimSupport(3), </w:t>
      </w:r>
      <w:r>
        <w:rPr>
          <w:rFonts w:ascii="Courier New" w:hAnsi="Courier New" w:cs="Courier New"/>
          <w:sz w:val="18"/>
          <w:szCs w:val="18"/>
        </w:rPr>
        <w:tab/>
      </w:r>
      <w:r>
        <w:rPr>
          <w:rFonts w:ascii="Courier New" w:hAnsi="Courier New" w:cs="Courier New"/>
          <w:sz w:val="18"/>
          <w:szCs w:val="18"/>
        </w:rPr>
        <w:tab/>
        <w:t>-- CSIM as defined by 3GPP2</w:t>
      </w:r>
    </w:p>
    <w:p w14:paraId="37732F2C" w14:textId="77777777" w:rsidR="00B97365" w:rsidRDefault="00B97365">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E58951"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akaMilenage(4), </w:t>
      </w:r>
      <w:r>
        <w:rPr>
          <w:rFonts w:ascii="Courier New" w:hAnsi="Courier New" w:cs="Courier New"/>
          <w:sz w:val="18"/>
          <w:szCs w:val="18"/>
        </w:rPr>
        <w:tab/>
      </w:r>
      <w:r>
        <w:rPr>
          <w:rFonts w:ascii="Courier New" w:hAnsi="Courier New" w:cs="Courier New"/>
          <w:sz w:val="18"/>
          <w:szCs w:val="18"/>
        </w:rPr>
        <w:tab/>
        <w:t>-- Milenage as AKA algorithm</w:t>
      </w:r>
    </w:p>
    <w:p w14:paraId="78D1DC90"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akaCave(5),</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CAVE as authentication algorithm</w:t>
      </w:r>
    </w:p>
    <w:p w14:paraId="26076EFC"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akaTuak128(6), </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TUAK as AKA algorithm with 128 bit key length</w:t>
      </w:r>
    </w:p>
    <w:p w14:paraId="063977F7"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akaTuak256(7), </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TUAK as AKA algorithm with 256 bit key length</w:t>
      </w:r>
    </w:p>
    <w:p w14:paraId="65BBFDF8"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rfu1(8), </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reserved for further algorithms</w:t>
      </w:r>
    </w:p>
    <w:p w14:paraId="780AF89E"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rfu2(9), </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reserved for further algorithms</w:t>
      </w:r>
    </w:p>
    <w:p w14:paraId="57F0CA52" w14:textId="77777777" w:rsidR="00B97365" w:rsidRDefault="00B97365">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B8E8E9E"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gbaAuthenUsim(10),</w:t>
      </w:r>
      <w:r>
        <w:rPr>
          <w:rFonts w:ascii="Courier New" w:hAnsi="Courier New" w:cs="Courier New"/>
          <w:sz w:val="18"/>
          <w:szCs w:val="18"/>
        </w:rPr>
        <w:tab/>
        <w:t>-- GBA authentication in the context of USIM</w:t>
      </w:r>
    </w:p>
    <w:p w14:paraId="370233A4"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gbaAuthenISim(11), </w:t>
      </w:r>
      <w:r>
        <w:rPr>
          <w:rFonts w:ascii="Courier New" w:hAnsi="Courier New" w:cs="Courier New"/>
          <w:sz w:val="18"/>
          <w:szCs w:val="18"/>
        </w:rPr>
        <w:tab/>
        <w:t>-- GBA authentication in the context of ISIM</w:t>
      </w:r>
    </w:p>
    <w:p w14:paraId="6A83F829"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mbmsAuthenUsim(12), </w:t>
      </w:r>
      <w:r>
        <w:rPr>
          <w:rFonts w:ascii="Courier New" w:hAnsi="Courier New" w:cs="Courier New"/>
          <w:sz w:val="18"/>
          <w:szCs w:val="18"/>
        </w:rPr>
        <w:tab/>
        <w:t>-- MBMS authentication in the context of USIM</w:t>
      </w:r>
    </w:p>
    <w:p w14:paraId="63D43813"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eapClient(13), </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EAP client</w:t>
      </w:r>
    </w:p>
    <w:p w14:paraId="5F78226B" w14:textId="77777777" w:rsidR="00B97365" w:rsidRDefault="00B97365">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ECD43D5"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javacard(14),</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Javacard support</w:t>
      </w:r>
    </w:p>
    <w:p w14:paraId="43AFF781"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multos(15),</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Multos support</w:t>
      </w:r>
    </w:p>
    <w:p w14:paraId="50B6E162" w14:textId="77777777" w:rsidR="00B97365" w:rsidRDefault="00B97365">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2F15E6C"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multipleUsimSupport(16),</w:t>
      </w:r>
      <w:r>
        <w:rPr>
          <w:rFonts w:ascii="Courier New" w:hAnsi="Courier New" w:cs="Courier New"/>
          <w:sz w:val="18"/>
          <w:szCs w:val="18"/>
        </w:rPr>
        <w:tab/>
        <w:t xml:space="preserve"> -- Multiple USIM applications are supported within the same Profile</w:t>
      </w:r>
    </w:p>
    <w:p w14:paraId="50C00556"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multipleIsimSupport(17),</w:t>
      </w:r>
      <w:r>
        <w:rPr>
          <w:rFonts w:ascii="Courier New" w:hAnsi="Courier New" w:cs="Courier New"/>
          <w:sz w:val="18"/>
          <w:szCs w:val="18"/>
        </w:rPr>
        <w:tab/>
        <w:t xml:space="preserve">  -- Multiple ISIM applications are supported within the same Profile</w:t>
      </w:r>
    </w:p>
    <w:p w14:paraId="7199A59B"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multipleCsimSupport(18),   -- Multiple CSIM applications are supported within the same Profile</w:t>
      </w:r>
    </w:p>
    <w:p w14:paraId="2E7324B2"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berTlvFileSupport(19),</w:t>
      </w:r>
      <w:r>
        <w:rPr>
          <w:rFonts w:ascii="Courier New" w:hAnsi="Courier New" w:cs="Courier New"/>
          <w:sz w:val="18"/>
          <w:szCs w:val="18"/>
        </w:rPr>
        <w:tab/>
        <w:t>-- BER TLV files</w:t>
      </w:r>
    </w:p>
    <w:p w14:paraId="12537E09"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dfLinkSupport(20),</w:t>
      </w:r>
      <w:r>
        <w:rPr>
          <w:rFonts w:ascii="Courier New" w:hAnsi="Courier New" w:cs="Courier New"/>
          <w:sz w:val="18"/>
          <w:szCs w:val="18"/>
        </w:rPr>
        <w:tab/>
        <w:t>-- Linked Directory Files</w:t>
      </w:r>
    </w:p>
    <w:p w14:paraId="2816C9AE"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catTp(21),</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Support of CAT TP</w:t>
      </w:r>
    </w:p>
    <w:p w14:paraId="0D43EAB6"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getIdentity(22),</w:t>
      </w:r>
      <w:r>
        <w:rPr>
          <w:rFonts w:ascii="Courier New" w:hAnsi="Courier New" w:cs="Courier New"/>
          <w:sz w:val="18"/>
          <w:szCs w:val="18"/>
        </w:rPr>
        <w:tab/>
      </w:r>
      <w:r>
        <w:rPr>
          <w:rFonts w:ascii="Courier New" w:hAnsi="Courier New" w:cs="Courier New"/>
          <w:sz w:val="18"/>
          <w:szCs w:val="18"/>
        </w:rPr>
        <w:tab/>
        <w:t>-- Support of the GET IDENTITY command as defined in ETSI TS 102 221 [6]</w:t>
      </w:r>
    </w:p>
    <w:p w14:paraId="018FFB13" w14:textId="1B2186E6"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profile-a-x25519(23),</w:t>
      </w:r>
      <w:r>
        <w:rPr>
          <w:rFonts w:ascii="Courier New" w:hAnsi="Courier New" w:cs="Courier New"/>
          <w:sz w:val="18"/>
          <w:szCs w:val="18"/>
        </w:rPr>
        <w:tab/>
        <w:t xml:space="preserve">-- Support of ECIES Profile A as defined in 3GPP TS 33.501 </w:t>
      </w:r>
      <w:r>
        <w:rPr>
          <w:rFonts w:ascii="Courier New" w:hAnsi="Courier New" w:cs="Courier New"/>
          <w:sz w:val="18"/>
          <w:szCs w:val="18"/>
        </w:rPr>
        <w:fldChar w:fldCharType="begin"/>
      </w:r>
      <w:r>
        <w:rPr>
          <w:rFonts w:ascii="Courier New" w:hAnsi="Courier New" w:cs="Courier New"/>
          <w:sz w:val="18"/>
          <w:szCs w:val="18"/>
        </w:rPr>
        <w:instrText xml:space="preserve"> REF _Ref40224308 \r \h </w:instrText>
      </w:r>
      <w:r>
        <w:rPr>
          <w:rFonts w:ascii="Courier New" w:hAnsi="Courier New" w:cs="Courier New"/>
          <w:sz w:val="18"/>
          <w:szCs w:val="18"/>
        </w:rPr>
      </w:r>
      <w:r>
        <w:rPr>
          <w:rFonts w:ascii="Courier New" w:hAnsi="Courier New" w:cs="Courier New"/>
          <w:sz w:val="18"/>
          <w:szCs w:val="18"/>
        </w:rPr>
        <w:fldChar w:fldCharType="separate"/>
      </w:r>
      <w:r w:rsidR="001D5AD9">
        <w:rPr>
          <w:rFonts w:ascii="Courier New" w:hAnsi="Courier New" w:cs="Courier New"/>
          <w:sz w:val="18"/>
          <w:szCs w:val="18"/>
        </w:rPr>
        <w:t>[67]</w:t>
      </w:r>
      <w:r>
        <w:rPr>
          <w:rFonts w:ascii="Courier New" w:hAnsi="Courier New" w:cs="Courier New"/>
          <w:sz w:val="18"/>
          <w:szCs w:val="18"/>
        </w:rPr>
        <w:fldChar w:fldCharType="end"/>
      </w:r>
    </w:p>
    <w:p w14:paraId="0B9FA8CD" w14:textId="03CFCE34"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profile-b-p256(24),</w:t>
      </w:r>
      <w:r>
        <w:rPr>
          <w:rFonts w:ascii="Courier New" w:hAnsi="Courier New" w:cs="Courier New"/>
          <w:sz w:val="18"/>
          <w:szCs w:val="18"/>
        </w:rPr>
        <w:tab/>
        <w:t xml:space="preserve">-- Support of ECIES Profile B as defined in 3GPP TS 33.501 </w:t>
      </w:r>
      <w:r>
        <w:rPr>
          <w:rFonts w:ascii="Courier New" w:hAnsi="Courier New" w:cs="Courier New"/>
          <w:sz w:val="18"/>
          <w:szCs w:val="18"/>
        </w:rPr>
        <w:fldChar w:fldCharType="begin"/>
      </w:r>
      <w:r>
        <w:rPr>
          <w:rFonts w:ascii="Courier New" w:hAnsi="Courier New" w:cs="Courier New"/>
          <w:sz w:val="18"/>
          <w:szCs w:val="18"/>
        </w:rPr>
        <w:instrText xml:space="preserve"> REF _Ref40224308 \r \h </w:instrText>
      </w:r>
      <w:r>
        <w:rPr>
          <w:rFonts w:ascii="Courier New" w:hAnsi="Courier New" w:cs="Courier New"/>
          <w:sz w:val="18"/>
          <w:szCs w:val="18"/>
        </w:rPr>
      </w:r>
      <w:r>
        <w:rPr>
          <w:rFonts w:ascii="Courier New" w:hAnsi="Courier New" w:cs="Courier New"/>
          <w:sz w:val="18"/>
          <w:szCs w:val="18"/>
        </w:rPr>
        <w:fldChar w:fldCharType="separate"/>
      </w:r>
      <w:r w:rsidR="001D5AD9">
        <w:rPr>
          <w:rFonts w:ascii="Courier New" w:hAnsi="Courier New" w:cs="Courier New"/>
          <w:sz w:val="18"/>
          <w:szCs w:val="18"/>
        </w:rPr>
        <w:t>[67]</w:t>
      </w:r>
      <w:r>
        <w:rPr>
          <w:rFonts w:ascii="Courier New" w:hAnsi="Courier New" w:cs="Courier New"/>
          <w:sz w:val="18"/>
          <w:szCs w:val="18"/>
        </w:rPr>
        <w:fldChar w:fldCharType="end"/>
      </w:r>
    </w:p>
    <w:p w14:paraId="071B69FD"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suciCalculatorApi(25)</w:t>
      </w:r>
      <w:r>
        <w:rPr>
          <w:rFonts w:ascii="Courier New" w:hAnsi="Courier New" w:cs="Courier New"/>
          <w:sz w:val="18"/>
          <w:szCs w:val="18"/>
        </w:rPr>
        <w:tab/>
        <w:t>-- Support of the associated API for SUCI derivation as defined in 3GPP 31.130 [68]</w:t>
      </w:r>
    </w:p>
    <w:p w14:paraId="41BDBFA7" w14:textId="77777777" w:rsidR="00B97365" w:rsidRDefault="00B97365">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76E365C"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4A282A8F" w14:textId="77777777" w:rsidR="00B97365" w:rsidRDefault="00000000">
      <w:pPr>
        <w:keepNext/>
        <w:keepLines/>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1F58034" w14:textId="77777777" w:rsidR="00B97365" w:rsidRDefault="00000000">
      <w:pPr>
        <w:spacing w:after="320" w:line="276" w:lineRule="auto"/>
        <w:jc w:val="center"/>
        <w:rPr>
          <w:rFonts w:cs="Arial"/>
          <w:b/>
          <w:szCs w:val="22"/>
          <w:lang w:eastAsia="de-DE" w:bidi="ar-SA"/>
        </w:rPr>
      </w:pPr>
      <w:r>
        <w:rPr>
          <w:rFonts w:cs="Arial"/>
          <w:b/>
          <w:szCs w:val="22"/>
          <w:lang w:eastAsia="de-DE" w:bidi="ar-SA"/>
        </w:rPr>
        <w:t xml:space="preserve">Figure 511210-A: Definition of UICCCapability </w:t>
      </w:r>
    </w:p>
    <w:p w14:paraId="4243EC9C" w14:textId="77777777" w:rsidR="00B97365" w:rsidRDefault="00000000">
      <w:pPr>
        <w:spacing w:before="0" w:after="200" w:line="276" w:lineRule="auto"/>
        <w:jc w:val="left"/>
        <w:rPr>
          <w:szCs w:val="22"/>
          <w:lang w:eastAsia="en-GB" w:bidi="ar-SA"/>
        </w:rPr>
      </w:pPr>
      <w:r>
        <w:rPr>
          <w:szCs w:val="22"/>
          <w:lang w:eastAsia="en-GB" w:bidi="ar-SA"/>
        </w:rPr>
        <w:t xml:space="preserve">Future versions of this specification may add more bits to </w:t>
      </w:r>
      <w:r>
        <w:rPr>
          <w:rFonts w:ascii="Courier New" w:hAnsi="Courier New" w:cs="Courier New"/>
          <w:szCs w:val="22"/>
        </w:rPr>
        <w:t>UICCCapability</w:t>
      </w:r>
      <w:r>
        <w:rPr>
          <w:szCs w:val="22"/>
          <w:lang w:eastAsia="en-GB" w:bidi="ar-SA"/>
        </w:rPr>
        <w:t>. The SM-SR SHALL transparently handle additional bits. The SM-DP SHALL ignore unknown additional bits.</w:t>
      </w:r>
    </w:p>
    <w:p w14:paraId="42D8EC79" w14:textId="77777777" w:rsidR="00B97365" w:rsidRDefault="00000000">
      <w:pPr>
        <w:keepNext/>
        <w:spacing w:before="0" w:after="200" w:line="276" w:lineRule="auto"/>
        <w:jc w:val="left"/>
        <w:rPr>
          <w:szCs w:val="22"/>
          <w:lang w:eastAsia="en-GB" w:bidi="ar-SA"/>
        </w:rPr>
      </w:pPr>
      <w:r>
        <w:rPr>
          <w:szCs w:val="22"/>
          <w:lang w:eastAsia="en-GB" w:bidi="ar-SA"/>
        </w:rPr>
        <w:t>The TRE properties to be indicated in the EIS in this version of the specification are defined as follows:</w:t>
      </w:r>
    </w:p>
    <w:p w14:paraId="16F4B999"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580DBAD"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TreProperties ::= BIT STRING { </w:t>
      </w:r>
    </w:p>
    <w:p w14:paraId="7B78656B"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isDiscrete(0),</w:t>
      </w:r>
      <w:r>
        <w:rPr>
          <w:rFonts w:ascii="Courier New" w:hAnsi="Courier New" w:cs="Courier New"/>
          <w:sz w:val="18"/>
          <w:szCs w:val="18"/>
        </w:rPr>
        <w:tab/>
      </w:r>
    </w:p>
    <w:p w14:paraId="54D7B773"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isIntegrated(1),</w:t>
      </w:r>
    </w:p>
    <w:p w14:paraId="72A5A119"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usesRemoteMemory(2) -- refers to the usage of remote memory protected by</w:t>
      </w:r>
    </w:p>
    <w:p w14:paraId="5722329E"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the Remote Memory Protection Function described in SGP.01 [1]</w:t>
      </w:r>
    </w:p>
    <w:p w14:paraId="55FCBF06"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 </w:t>
      </w:r>
    </w:p>
    <w:p w14:paraId="5C392B09" w14:textId="77777777" w:rsidR="00B97365" w:rsidRDefault="00000000">
      <w:pPr>
        <w:keepNext/>
        <w:keepLines/>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834DAA7" w14:textId="77777777" w:rsidR="00B97365" w:rsidRDefault="00000000">
      <w:pPr>
        <w:spacing w:after="320" w:line="276" w:lineRule="auto"/>
        <w:jc w:val="center"/>
        <w:rPr>
          <w:rFonts w:cs="Arial"/>
          <w:b/>
          <w:szCs w:val="22"/>
          <w:lang w:eastAsia="de-DE" w:bidi="ar-SA"/>
        </w:rPr>
      </w:pPr>
      <w:r>
        <w:rPr>
          <w:rFonts w:cs="Arial"/>
          <w:b/>
          <w:szCs w:val="22"/>
          <w:lang w:eastAsia="de-DE" w:bidi="ar-SA"/>
        </w:rPr>
        <w:t>Figure 511210-B: Definition of TRE properties</w:t>
      </w:r>
    </w:p>
    <w:p w14:paraId="3EB4FF1A" w14:textId="77777777" w:rsidR="00B97365" w:rsidRDefault="00000000">
      <w:pPr>
        <w:keepNext/>
        <w:keepLines/>
        <w:numPr>
          <w:ilvl w:val="4"/>
          <w:numId w:val="1"/>
        </w:numPr>
        <w:spacing w:before="240" w:after="60" w:line="276" w:lineRule="auto"/>
        <w:jc w:val="left"/>
        <w:outlineLvl w:val="4"/>
        <w:rPr>
          <w:rFonts w:ascii="Arial Bold" w:eastAsia="Times New Roman" w:hAnsi="Arial Bold" w:cs="Calibri"/>
          <w:b/>
          <w:bCs/>
          <w:szCs w:val="26"/>
          <w:lang w:val="en-US" w:eastAsia="en-US"/>
        </w:rPr>
      </w:pPr>
      <w:bookmarkStart w:id="3099" w:name="_Toc368932267"/>
      <w:bookmarkStart w:id="3100" w:name="_Ref367977801"/>
      <w:bookmarkStart w:id="3101" w:name="_Ref367977794"/>
      <w:bookmarkStart w:id="3102" w:name="_Ref367977767"/>
      <w:bookmarkStart w:id="3103" w:name="_Ref367977739"/>
      <w:bookmarkStart w:id="3104" w:name="_Ref367977675"/>
      <w:bookmarkStart w:id="3105" w:name="_Ref367977650"/>
      <w:bookmarkStart w:id="3106" w:name="_Ref367977642"/>
      <w:bookmarkStart w:id="3107" w:name="_Ref367977634"/>
      <w:bookmarkStart w:id="3108" w:name="_Ref367977601"/>
      <w:bookmarkStart w:id="3109" w:name="_Ref367977569"/>
      <w:r>
        <w:rPr>
          <w:rFonts w:ascii="Arial Bold" w:eastAsia="Times New Roman" w:hAnsi="Arial Bold" w:cs="Arial"/>
          <w:b/>
          <w:bCs/>
          <w:szCs w:val="26"/>
          <w:lang w:val="en-US" w:eastAsia="en-US"/>
        </w:rPr>
        <w:lastRenderedPageBreak/>
        <w:t>AUDIT TRAIL RECORD</w:t>
      </w:r>
      <w:bookmarkEnd w:id="3099"/>
      <w:bookmarkEnd w:id="3100"/>
      <w:bookmarkEnd w:id="3101"/>
      <w:bookmarkEnd w:id="3102"/>
      <w:bookmarkEnd w:id="3103"/>
      <w:bookmarkEnd w:id="3104"/>
      <w:bookmarkEnd w:id="3105"/>
      <w:bookmarkEnd w:id="3106"/>
      <w:bookmarkEnd w:id="3107"/>
      <w:bookmarkEnd w:id="3108"/>
      <w:bookmarkEnd w:id="3109"/>
    </w:p>
    <w:p w14:paraId="40AB586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AUDIT-TRAIL RECORD</w:t>
      </w:r>
      <w:r>
        <w:rPr>
          <w:rFonts w:cs="Arial"/>
          <w:szCs w:val="22"/>
          <w:lang w:val="en-US" w:eastAsia="en-GB" w:bidi="ar-SA"/>
        </w:rPr>
        <w:t xml:space="preserve"> type contains the description of a Platform or a Profile Management operation performed by SM-SR or a notification received by SM-SR from the given eUICC. </w:t>
      </w:r>
    </w:p>
    <w:p w14:paraId="086AED44" w14:textId="77777777" w:rsidR="00B97365" w:rsidRDefault="00000000">
      <w:pPr>
        <w:spacing w:before="0"/>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AUDIT-TRAIL-RECORD</w:t>
      </w:r>
      <w:r>
        <w:rPr>
          <w:rFonts w:cs="Arial"/>
          <w:szCs w:val="22"/>
          <w:lang w:val="en-US" w:eastAsia="en-GB" w:bidi="ar-SA"/>
        </w:rPr>
        <w:t xml:space="preserve"> type is defined by:</w:t>
      </w:r>
    </w:p>
    <w:tbl>
      <w:tblPr>
        <w:tblW w:w="9792"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99"/>
        <w:gridCol w:w="5242"/>
        <w:gridCol w:w="1133"/>
        <w:gridCol w:w="709"/>
        <w:gridCol w:w="709"/>
      </w:tblGrid>
      <w:tr w:rsidR="00B97365" w14:paraId="2CBE9A8C" w14:textId="77777777">
        <w:trPr>
          <w:cantSplit/>
          <w:trHeight w:val="342"/>
        </w:trPr>
        <w:tc>
          <w:tcPr>
            <w:tcW w:w="200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91D03A0" w14:textId="77777777" w:rsidR="00B97365" w:rsidRDefault="00000000">
            <w:pPr>
              <w:jc w:val="center"/>
              <w:rPr>
                <w:rFonts w:cs="Calibri"/>
                <w:b/>
                <w:color w:val="FFFFFF"/>
                <w:sz w:val="16"/>
                <w:szCs w:val="16"/>
              </w:rPr>
            </w:pPr>
            <w:r>
              <w:rPr>
                <w:rFonts w:cs="Calibri"/>
                <w:b/>
                <w:color w:val="FFFFFF"/>
                <w:sz w:val="16"/>
                <w:szCs w:val="16"/>
              </w:rPr>
              <w:t>Data name</w:t>
            </w:r>
          </w:p>
        </w:tc>
        <w:tc>
          <w:tcPr>
            <w:tcW w:w="524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920D443" w14:textId="77777777" w:rsidR="00B97365" w:rsidRDefault="00000000">
            <w:pPr>
              <w:jc w:val="center"/>
              <w:rPr>
                <w:rFonts w:cs="Calibri"/>
                <w:b/>
                <w:color w:val="FFFFFF"/>
                <w:sz w:val="16"/>
                <w:szCs w:val="16"/>
              </w:rPr>
            </w:pPr>
            <w:r>
              <w:rPr>
                <w:rFonts w:cs="Calibri"/>
                <w:b/>
                <w:color w:val="FFFFFF"/>
                <w:sz w:val="16"/>
                <w:szCs w:val="16"/>
              </w:rPr>
              <w:t>Description</w:t>
            </w:r>
          </w:p>
        </w:tc>
        <w:tc>
          <w:tcPr>
            <w:tcW w:w="113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B7BDE97" w14:textId="77777777" w:rsidR="00B97365" w:rsidRDefault="00000000">
            <w:pPr>
              <w:jc w:val="center"/>
              <w:rPr>
                <w:rFonts w:cs="Calibri"/>
                <w:b/>
                <w:color w:val="FFFFFF"/>
                <w:sz w:val="16"/>
                <w:szCs w:val="16"/>
              </w:rPr>
            </w:pPr>
            <w:r>
              <w:rPr>
                <w:rFonts w:cs="Calibri"/>
                <w:b/>
                <w:color w:val="FFFFFF"/>
                <w:sz w:val="16"/>
                <w:szCs w:val="16"/>
              </w:rPr>
              <w:t>Type</w:t>
            </w:r>
          </w:p>
        </w:tc>
        <w:tc>
          <w:tcPr>
            <w:tcW w:w="70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A170EF0" w14:textId="77777777" w:rsidR="00B97365" w:rsidRDefault="00000000">
            <w:pPr>
              <w:jc w:val="center"/>
              <w:rPr>
                <w:rFonts w:cs="Calibri"/>
                <w:b/>
                <w:color w:val="FFFFFF"/>
                <w:sz w:val="16"/>
                <w:szCs w:val="16"/>
              </w:rPr>
            </w:pPr>
            <w:r>
              <w:rPr>
                <w:rFonts w:cs="Calibri"/>
                <w:b/>
                <w:color w:val="FFFFFF"/>
                <w:sz w:val="16"/>
                <w:szCs w:val="16"/>
              </w:rP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1A4DCFE"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8A21E5E" w14:textId="77777777">
        <w:trPr>
          <w:cantSplit/>
          <w:trHeight w:val="715"/>
        </w:trPr>
        <w:tc>
          <w:tcPr>
            <w:tcW w:w="2000" w:type="dxa"/>
            <w:tcBorders>
              <w:top w:val="single" w:sz="6" w:space="0" w:color="auto"/>
              <w:left w:val="single" w:sz="4" w:space="0" w:color="auto"/>
              <w:bottom w:val="single" w:sz="6" w:space="0" w:color="auto"/>
              <w:right w:val="single" w:sz="6" w:space="0" w:color="auto"/>
            </w:tcBorders>
            <w:hideMark/>
          </w:tcPr>
          <w:p w14:paraId="273BAF06" w14:textId="77777777" w:rsidR="00B97365" w:rsidRDefault="00000000">
            <w:pPr>
              <w:spacing w:after="200"/>
              <w:rPr>
                <w:rFonts w:eastAsia="Times New Roman" w:cs="Calibri"/>
                <w:sz w:val="16"/>
                <w:szCs w:val="16"/>
              </w:rPr>
            </w:pPr>
            <w:r>
              <w:rPr>
                <w:rFonts w:eastAsia="Times New Roman" w:cs="Calibri"/>
                <w:sz w:val="16"/>
                <w:szCs w:val="16"/>
                <w:lang w:val="ru-RU"/>
              </w:rPr>
              <w:t>EID</w:t>
            </w:r>
          </w:p>
        </w:tc>
        <w:tc>
          <w:tcPr>
            <w:tcW w:w="5245" w:type="dxa"/>
            <w:tcBorders>
              <w:top w:val="single" w:sz="6" w:space="0" w:color="auto"/>
              <w:left w:val="single" w:sz="6" w:space="0" w:color="auto"/>
              <w:bottom w:val="single" w:sz="6" w:space="0" w:color="auto"/>
              <w:right w:val="single" w:sz="6" w:space="0" w:color="auto"/>
            </w:tcBorders>
            <w:hideMark/>
          </w:tcPr>
          <w:p w14:paraId="37B64712" w14:textId="14D90A58" w:rsidR="00B97365" w:rsidRDefault="00000000">
            <w:pPr>
              <w:tabs>
                <w:tab w:val="left" w:pos="0"/>
              </w:tabs>
              <w:spacing w:after="200"/>
              <w:rPr>
                <w:rFonts w:cs="Calibri"/>
                <w:sz w:val="16"/>
                <w:szCs w:val="16"/>
              </w:rPr>
            </w:pPr>
            <w:r>
              <w:rPr>
                <w:rFonts w:cs="Calibri"/>
                <w:sz w:val="16"/>
                <w:szCs w:val="16"/>
              </w:rPr>
              <w:t xml:space="preserve">The EID type is for representing an eUICC-ID. An eUICC-ID is primarily used in the “Embedded UICC Remote Provisioning and Subscription Management System” to identify an eUICC. See section </w:t>
            </w:r>
            <w:r>
              <w:fldChar w:fldCharType="begin"/>
            </w:r>
            <w:r>
              <w:instrText xml:space="preserve"> REF _Ref367973321 \r \h  \* MERGEFORMAT </w:instrText>
            </w:r>
            <w:r>
              <w:fldChar w:fldCharType="separate"/>
            </w:r>
            <w:r w:rsidR="001D5AD9" w:rsidRPr="001D5AD9">
              <w:rPr>
                <w:rFonts w:cs="Calibri"/>
                <w:sz w:val="16"/>
                <w:szCs w:val="16"/>
              </w:rPr>
              <w:t>2.2.2</w:t>
            </w:r>
            <w:r>
              <w:fldChar w:fldCharType="end"/>
            </w:r>
            <w:r>
              <w:rPr>
                <w:rFonts w:cs="Calibri"/>
                <w:sz w:val="16"/>
                <w:szCs w:val="16"/>
              </w:rPr>
              <w:t xml:space="preserve"> for EID description.</w:t>
            </w:r>
          </w:p>
        </w:tc>
        <w:tc>
          <w:tcPr>
            <w:tcW w:w="1134" w:type="dxa"/>
            <w:tcBorders>
              <w:top w:val="single" w:sz="6" w:space="0" w:color="auto"/>
              <w:left w:val="single" w:sz="6" w:space="0" w:color="auto"/>
              <w:bottom w:val="single" w:sz="6" w:space="0" w:color="auto"/>
              <w:right w:val="single" w:sz="6" w:space="0" w:color="auto"/>
            </w:tcBorders>
            <w:hideMark/>
          </w:tcPr>
          <w:p w14:paraId="66D13D1D" w14:textId="77777777" w:rsidR="00B97365" w:rsidRDefault="00000000">
            <w:pPr>
              <w:spacing w:after="60"/>
              <w:rPr>
                <w:rFonts w:eastAsia="Times New Roman" w:cs="Calibri"/>
                <w:sz w:val="16"/>
                <w:szCs w:val="16"/>
              </w:rPr>
            </w:pPr>
            <w:r>
              <w:rPr>
                <w:rFonts w:cs="Calibri"/>
                <w:sz w:val="16"/>
                <w:szCs w:val="16"/>
                <w:lang w:val="en-US"/>
              </w:rPr>
              <w:t>EID</w:t>
            </w:r>
          </w:p>
        </w:tc>
        <w:tc>
          <w:tcPr>
            <w:tcW w:w="709" w:type="dxa"/>
            <w:tcBorders>
              <w:top w:val="single" w:sz="6" w:space="0" w:color="auto"/>
              <w:left w:val="single" w:sz="6" w:space="0" w:color="auto"/>
              <w:bottom w:val="single" w:sz="6" w:space="0" w:color="auto"/>
              <w:right w:val="single" w:sz="6" w:space="0" w:color="auto"/>
            </w:tcBorders>
            <w:hideMark/>
          </w:tcPr>
          <w:p w14:paraId="04227348" w14:textId="77777777" w:rsidR="00B97365" w:rsidRDefault="00000000">
            <w:pPr>
              <w:spacing w:after="60"/>
              <w:rPr>
                <w:rFonts w:eastAsia="Times New Roman" w:cs="Calibri"/>
                <w:sz w:val="16"/>
                <w:szCs w:val="16"/>
              </w:rPr>
            </w:pPr>
            <w:r>
              <w:rPr>
                <w:rFonts w:cs="Calibri"/>
                <w:sz w:val="16"/>
                <w:szCs w:val="16"/>
              </w:rPr>
              <w:t>1</w:t>
            </w:r>
          </w:p>
        </w:tc>
        <w:tc>
          <w:tcPr>
            <w:tcW w:w="709" w:type="dxa"/>
            <w:tcBorders>
              <w:top w:val="single" w:sz="6" w:space="0" w:color="auto"/>
              <w:left w:val="single" w:sz="6" w:space="0" w:color="auto"/>
              <w:bottom w:val="single" w:sz="6" w:space="0" w:color="auto"/>
              <w:right w:val="single" w:sz="4" w:space="0" w:color="auto"/>
            </w:tcBorders>
            <w:hideMark/>
          </w:tcPr>
          <w:p w14:paraId="38AD3A4B" w14:textId="77777777" w:rsidR="00B97365" w:rsidRDefault="00000000">
            <w:pPr>
              <w:spacing w:after="60"/>
              <w:jc w:val="center"/>
              <w:rPr>
                <w:rFonts w:cs="Calibri"/>
                <w:sz w:val="16"/>
                <w:szCs w:val="16"/>
              </w:rPr>
            </w:pPr>
            <w:r>
              <w:rPr>
                <w:rFonts w:cs="Calibri"/>
                <w:sz w:val="16"/>
                <w:szCs w:val="16"/>
              </w:rPr>
              <w:t>M</w:t>
            </w:r>
          </w:p>
        </w:tc>
      </w:tr>
      <w:tr w:rsidR="00B97365" w14:paraId="44E1954F" w14:textId="77777777">
        <w:trPr>
          <w:cantSplit/>
          <w:trHeight w:val="282"/>
        </w:trPr>
        <w:tc>
          <w:tcPr>
            <w:tcW w:w="2000" w:type="dxa"/>
            <w:tcBorders>
              <w:top w:val="single" w:sz="6" w:space="0" w:color="auto"/>
              <w:left w:val="single" w:sz="4" w:space="0" w:color="auto"/>
              <w:bottom w:val="single" w:sz="6" w:space="0" w:color="auto"/>
              <w:right w:val="single" w:sz="6" w:space="0" w:color="auto"/>
            </w:tcBorders>
            <w:hideMark/>
          </w:tcPr>
          <w:p w14:paraId="2E73F529" w14:textId="77777777" w:rsidR="00B97365" w:rsidRDefault="00000000">
            <w:pPr>
              <w:spacing w:after="200"/>
              <w:rPr>
                <w:rFonts w:eastAsia="Times New Roman" w:cs="Calibri"/>
                <w:sz w:val="16"/>
                <w:szCs w:val="16"/>
              </w:rPr>
            </w:pPr>
            <w:r>
              <w:rPr>
                <w:rFonts w:eastAsia="Times New Roman" w:cs="Calibri"/>
                <w:sz w:val="16"/>
                <w:szCs w:val="16"/>
                <w:lang w:val="en-US"/>
              </w:rPr>
              <w:t>SMSRid</w:t>
            </w:r>
          </w:p>
        </w:tc>
        <w:tc>
          <w:tcPr>
            <w:tcW w:w="5245" w:type="dxa"/>
            <w:tcBorders>
              <w:top w:val="single" w:sz="6" w:space="0" w:color="auto"/>
              <w:left w:val="single" w:sz="6" w:space="0" w:color="auto"/>
              <w:bottom w:val="single" w:sz="6" w:space="0" w:color="auto"/>
              <w:right w:val="single" w:sz="6" w:space="0" w:color="auto"/>
            </w:tcBorders>
            <w:hideMark/>
          </w:tcPr>
          <w:p w14:paraId="3190E6C9" w14:textId="77777777" w:rsidR="00B97365" w:rsidRDefault="00000000">
            <w:pPr>
              <w:tabs>
                <w:tab w:val="right" w:pos="7938"/>
              </w:tabs>
              <w:spacing w:after="60"/>
              <w:rPr>
                <w:rFonts w:eastAsia="Times New Roman" w:cs="Calibri"/>
                <w:sz w:val="16"/>
                <w:szCs w:val="16"/>
                <w:lang w:val="en-US"/>
              </w:rPr>
            </w:pPr>
            <w:r>
              <w:rPr>
                <w:rFonts w:eastAsia="Times New Roman" w:cs="Calibri"/>
                <w:sz w:val="16"/>
                <w:szCs w:val="16"/>
                <w:lang w:val="en-US"/>
              </w:rPr>
              <w:t>SMSRid  defined  SM-SR storing  given eUICC</w:t>
            </w:r>
          </w:p>
        </w:tc>
        <w:tc>
          <w:tcPr>
            <w:tcW w:w="1134" w:type="dxa"/>
            <w:tcBorders>
              <w:top w:val="single" w:sz="6" w:space="0" w:color="auto"/>
              <w:left w:val="single" w:sz="6" w:space="0" w:color="auto"/>
              <w:bottom w:val="single" w:sz="6" w:space="0" w:color="auto"/>
              <w:right w:val="single" w:sz="6" w:space="0" w:color="auto"/>
            </w:tcBorders>
            <w:hideMark/>
          </w:tcPr>
          <w:p w14:paraId="1EF26C09" w14:textId="77777777" w:rsidR="00B97365" w:rsidRDefault="00000000">
            <w:pPr>
              <w:spacing w:after="60"/>
              <w:rPr>
                <w:rFonts w:eastAsia="Times New Roman" w:cs="Calibri"/>
                <w:sz w:val="16"/>
                <w:szCs w:val="16"/>
              </w:rPr>
            </w:pPr>
            <w:r>
              <w:rPr>
                <w:rFonts w:cs="Calibri"/>
                <w:sz w:val="16"/>
                <w:szCs w:val="16"/>
              </w:rPr>
              <w:t>OID</w:t>
            </w:r>
          </w:p>
        </w:tc>
        <w:tc>
          <w:tcPr>
            <w:tcW w:w="709" w:type="dxa"/>
            <w:tcBorders>
              <w:top w:val="single" w:sz="6" w:space="0" w:color="auto"/>
              <w:left w:val="single" w:sz="6" w:space="0" w:color="auto"/>
              <w:bottom w:val="single" w:sz="6" w:space="0" w:color="auto"/>
              <w:right w:val="single" w:sz="6" w:space="0" w:color="auto"/>
            </w:tcBorders>
            <w:hideMark/>
          </w:tcPr>
          <w:p w14:paraId="552765E4" w14:textId="77777777" w:rsidR="00B97365" w:rsidRDefault="00000000">
            <w:pPr>
              <w:spacing w:after="60"/>
              <w:rPr>
                <w:rFonts w:eastAsia="Times New Roman" w:cs="Calibri"/>
                <w:sz w:val="16"/>
                <w:szCs w:val="16"/>
              </w:rPr>
            </w:pPr>
            <w:r>
              <w:rPr>
                <w:rFonts w:cs="Calibri"/>
                <w:sz w:val="16"/>
                <w:szCs w:val="16"/>
              </w:rPr>
              <w:t>1</w:t>
            </w:r>
          </w:p>
        </w:tc>
        <w:tc>
          <w:tcPr>
            <w:tcW w:w="709" w:type="dxa"/>
            <w:tcBorders>
              <w:top w:val="single" w:sz="6" w:space="0" w:color="auto"/>
              <w:left w:val="single" w:sz="6" w:space="0" w:color="auto"/>
              <w:bottom w:val="single" w:sz="6" w:space="0" w:color="auto"/>
              <w:right w:val="single" w:sz="4" w:space="0" w:color="auto"/>
            </w:tcBorders>
            <w:hideMark/>
          </w:tcPr>
          <w:p w14:paraId="637CC6C0" w14:textId="77777777" w:rsidR="00B97365" w:rsidRDefault="00000000">
            <w:pPr>
              <w:spacing w:after="60"/>
              <w:jc w:val="center"/>
              <w:rPr>
                <w:rFonts w:cs="Calibri"/>
                <w:sz w:val="16"/>
                <w:szCs w:val="16"/>
              </w:rPr>
            </w:pPr>
            <w:r>
              <w:rPr>
                <w:rFonts w:cs="Calibri"/>
                <w:sz w:val="16"/>
                <w:szCs w:val="16"/>
              </w:rPr>
              <w:t>M</w:t>
            </w:r>
          </w:p>
        </w:tc>
      </w:tr>
      <w:tr w:rsidR="00B97365" w14:paraId="11B0EA5D" w14:textId="77777777">
        <w:trPr>
          <w:cantSplit/>
          <w:trHeight w:val="282"/>
        </w:trPr>
        <w:tc>
          <w:tcPr>
            <w:tcW w:w="2000" w:type="dxa"/>
            <w:tcBorders>
              <w:top w:val="single" w:sz="6" w:space="0" w:color="auto"/>
              <w:left w:val="single" w:sz="4" w:space="0" w:color="auto"/>
              <w:bottom w:val="single" w:sz="6" w:space="0" w:color="auto"/>
              <w:right w:val="single" w:sz="6" w:space="0" w:color="auto"/>
            </w:tcBorders>
            <w:hideMark/>
          </w:tcPr>
          <w:p w14:paraId="1D29BE36" w14:textId="77777777" w:rsidR="00B97365" w:rsidRDefault="00000000">
            <w:pPr>
              <w:spacing w:after="200"/>
              <w:rPr>
                <w:rFonts w:eastAsia="Times New Roman" w:cs="Calibri"/>
                <w:sz w:val="16"/>
                <w:szCs w:val="16"/>
              </w:rPr>
            </w:pPr>
            <w:r>
              <w:rPr>
                <w:rFonts w:cs="Calibri"/>
                <w:sz w:val="16"/>
                <w:szCs w:val="16"/>
              </w:rPr>
              <w:t>operationDate</w:t>
            </w:r>
          </w:p>
        </w:tc>
        <w:tc>
          <w:tcPr>
            <w:tcW w:w="5245" w:type="dxa"/>
            <w:tcBorders>
              <w:top w:val="single" w:sz="6" w:space="0" w:color="auto"/>
              <w:left w:val="single" w:sz="6" w:space="0" w:color="auto"/>
              <w:bottom w:val="single" w:sz="6" w:space="0" w:color="auto"/>
              <w:right w:val="single" w:sz="6" w:space="0" w:color="auto"/>
            </w:tcBorders>
            <w:hideMark/>
          </w:tcPr>
          <w:p w14:paraId="6572CE2B" w14:textId="77777777" w:rsidR="00B97365" w:rsidRDefault="00000000">
            <w:pPr>
              <w:tabs>
                <w:tab w:val="right" w:pos="7938"/>
              </w:tabs>
              <w:spacing w:after="60"/>
              <w:rPr>
                <w:rFonts w:eastAsia="Times New Roman" w:cs="Calibri"/>
                <w:sz w:val="16"/>
                <w:szCs w:val="16"/>
                <w:lang w:val="en-US"/>
              </w:rPr>
            </w:pPr>
            <w:r>
              <w:rPr>
                <w:rFonts w:eastAsia="Times New Roman" w:cs="Calibri"/>
                <w:sz w:val="16"/>
                <w:szCs w:val="16"/>
                <w:lang w:val="en-US"/>
              </w:rPr>
              <w:t>Date and time  of logged operation</w:t>
            </w:r>
          </w:p>
        </w:tc>
        <w:tc>
          <w:tcPr>
            <w:tcW w:w="1134" w:type="dxa"/>
            <w:tcBorders>
              <w:top w:val="single" w:sz="6" w:space="0" w:color="auto"/>
              <w:left w:val="single" w:sz="6" w:space="0" w:color="auto"/>
              <w:bottom w:val="single" w:sz="6" w:space="0" w:color="auto"/>
              <w:right w:val="single" w:sz="6" w:space="0" w:color="auto"/>
            </w:tcBorders>
            <w:hideMark/>
          </w:tcPr>
          <w:p w14:paraId="005C3C70" w14:textId="77777777" w:rsidR="00B97365" w:rsidRDefault="00000000">
            <w:pPr>
              <w:spacing w:after="60"/>
              <w:rPr>
                <w:rFonts w:eastAsia="Times New Roman" w:cs="Calibri"/>
                <w:sz w:val="16"/>
                <w:szCs w:val="16"/>
              </w:rPr>
            </w:pPr>
            <w:r>
              <w:rPr>
                <w:rFonts w:cs="Calibri"/>
                <w:sz w:val="16"/>
                <w:szCs w:val="16"/>
              </w:rPr>
              <w:t>DATETIME</w:t>
            </w:r>
          </w:p>
        </w:tc>
        <w:tc>
          <w:tcPr>
            <w:tcW w:w="709" w:type="dxa"/>
            <w:tcBorders>
              <w:top w:val="single" w:sz="6" w:space="0" w:color="auto"/>
              <w:left w:val="single" w:sz="6" w:space="0" w:color="auto"/>
              <w:bottom w:val="single" w:sz="6" w:space="0" w:color="auto"/>
              <w:right w:val="single" w:sz="6" w:space="0" w:color="auto"/>
            </w:tcBorders>
            <w:hideMark/>
          </w:tcPr>
          <w:p w14:paraId="6D874EFB" w14:textId="77777777" w:rsidR="00B97365" w:rsidRDefault="00000000">
            <w:pPr>
              <w:spacing w:after="60"/>
              <w:rPr>
                <w:rFonts w:eastAsia="Times New Roman" w:cs="Calibri"/>
                <w:sz w:val="16"/>
                <w:szCs w:val="16"/>
              </w:rPr>
            </w:pPr>
            <w:r>
              <w:rPr>
                <w:rFonts w:cs="Calibri"/>
                <w:sz w:val="16"/>
                <w:szCs w:val="16"/>
              </w:rPr>
              <w:t>1</w:t>
            </w:r>
          </w:p>
        </w:tc>
        <w:tc>
          <w:tcPr>
            <w:tcW w:w="709" w:type="dxa"/>
            <w:tcBorders>
              <w:top w:val="single" w:sz="6" w:space="0" w:color="auto"/>
              <w:left w:val="single" w:sz="6" w:space="0" w:color="auto"/>
              <w:bottom w:val="single" w:sz="6" w:space="0" w:color="auto"/>
              <w:right w:val="single" w:sz="4" w:space="0" w:color="auto"/>
            </w:tcBorders>
            <w:hideMark/>
          </w:tcPr>
          <w:p w14:paraId="7AEDD929" w14:textId="77777777" w:rsidR="00B97365" w:rsidRDefault="00000000">
            <w:pPr>
              <w:spacing w:after="60"/>
              <w:jc w:val="center"/>
              <w:rPr>
                <w:rFonts w:cs="Calibri"/>
                <w:sz w:val="16"/>
                <w:szCs w:val="16"/>
              </w:rPr>
            </w:pPr>
            <w:r>
              <w:rPr>
                <w:rFonts w:cs="Calibri"/>
                <w:sz w:val="16"/>
                <w:szCs w:val="16"/>
              </w:rPr>
              <w:t>M</w:t>
            </w:r>
          </w:p>
        </w:tc>
      </w:tr>
      <w:tr w:rsidR="00B97365" w14:paraId="6122BF53" w14:textId="77777777">
        <w:trPr>
          <w:cantSplit/>
          <w:trHeight w:val="282"/>
        </w:trPr>
        <w:tc>
          <w:tcPr>
            <w:tcW w:w="2000" w:type="dxa"/>
            <w:tcBorders>
              <w:top w:val="single" w:sz="6" w:space="0" w:color="auto"/>
              <w:left w:val="single" w:sz="4" w:space="0" w:color="auto"/>
              <w:bottom w:val="single" w:sz="6" w:space="0" w:color="auto"/>
              <w:right w:val="single" w:sz="6" w:space="0" w:color="auto"/>
            </w:tcBorders>
            <w:vAlign w:val="center"/>
            <w:hideMark/>
          </w:tcPr>
          <w:p w14:paraId="4B1BBDFD" w14:textId="77777777" w:rsidR="00B97365" w:rsidRDefault="00000000">
            <w:pPr>
              <w:spacing w:after="60"/>
              <w:rPr>
                <w:rFonts w:eastAsia="Times New Roman" w:cs="Calibri"/>
                <w:sz w:val="16"/>
                <w:szCs w:val="16"/>
              </w:rPr>
            </w:pPr>
            <w:r>
              <w:rPr>
                <w:rFonts w:eastAsia="Times New Roman" w:cs="Calibri"/>
                <w:sz w:val="16"/>
                <w:szCs w:val="16"/>
              </w:rPr>
              <w:t>operationType</w:t>
            </w:r>
          </w:p>
        </w:tc>
        <w:tc>
          <w:tcPr>
            <w:tcW w:w="5245" w:type="dxa"/>
            <w:tcBorders>
              <w:top w:val="single" w:sz="6" w:space="0" w:color="auto"/>
              <w:left w:val="single" w:sz="6" w:space="0" w:color="auto"/>
              <w:bottom w:val="single" w:sz="6" w:space="0" w:color="auto"/>
              <w:right w:val="single" w:sz="6" w:space="0" w:color="auto"/>
            </w:tcBorders>
            <w:vAlign w:val="center"/>
            <w:hideMark/>
          </w:tcPr>
          <w:p w14:paraId="02546257" w14:textId="5DF66195" w:rsidR="00B97365" w:rsidRDefault="00000000">
            <w:pPr>
              <w:spacing w:after="60"/>
              <w:rPr>
                <w:rFonts w:eastAsia="Times New Roman" w:cs="Calibri"/>
                <w:sz w:val="16"/>
                <w:szCs w:val="16"/>
                <w:lang w:val="en-US"/>
              </w:rPr>
            </w:pPr>
            <w:r>
              <w:rPr>
                <w:rFonts w:cs="Calibri"/>
                <w:sz w:val="16"/>
                <w:szCs w:val="16"/>
              </w:rPr>
              <w:t xml:space="preserve">Notification Type as defined in section </w:t>
            </w:r>
            <w:r>
              <w:fldChar w:fldCharType="begin"/>
            </w:r>
            <w:r>
              <w:rPr>
                <w:rFonts w:cs="Calibri"/>
                <w:sz w:val="16"/>
                <w:szCs w:val="16"/>
              </w:rPr>
              <w:instrText xml:space="preserve"> REF _Ref367972946 \r \h </w:instrText>
            </w:r>
            <w:r>
              <w:fldChar w:fldCharType="separate"/>
            </w:r>
            <w:r w:rsidR="001D5AD9">
              <w:rPr>
                <w:rFonts w:cs="Calibri"/>
                <w:sz w:val="16"/>
                <w:szCs w:val="16"/>
              </w:rPr>
              <w:t>4.1.1.11</w:t>
            </w:r>
            <w:r>
              <w:fldChar w:fldCharType="end"/>
            </w:r>
            <w:r>
              <w:rPr>
                <w:rFonts w:cs="Calibri"/>
                <w:sz w:val="16"/>
                <w:szCs w:val="16"/>
              </w:rPr>
              <w:t xml:space="preserve"> or Command Type as defined below.</w:t>
            </w:r>
          </w:p>
        </w:tc>
        <w:tc>
          <w:tcPr>
            <w:tcW w:w="1134" w:type="dxa"/>
            <w:tcBorders>
              <w:top w:val="single" w:sz="6" w:space="0" w:color="auto"/>
              <w:left w:val="single" w:sz="6" w:space="0" w:color="auto"/>
              <w:bottom w:val="single" w:sz="6" w:space="0" w:color="auto"/>
              <w:right w:val="single" w:sz="6" w:space="0" w:color="auto"/>
            </w:tcBorders>
            <w:hideMark/>
          </w:tcPr>
          <w:p w14:paraId="7A4D4565" w14:textId="77777777" w:rsidR="00B97365" w:rsidRDefault="00000000">
            <w:pPr>
              <w:spacing w:after="60"/>
              <w:rPr>
                <w:rFonts w:eastAsia="Times New Roman" w:cs="Calibri"/>
                <w:sz w:val="16"/>
                <w:szCs w:val="16"/>
                <w:lang w:val="en-US"/>
              </w:rPr>
            </w:pPr>
            <w:r>
              <w:rPr>
                <w:rFonts w:cs="Calibri"/>
                <w:sz w:val="16"/>
                <w:szCs w:val="16"/>
              </w:rPr>
              <w:t>Hexadecimal String</w:t>
            </w:r>
          </w:p>
        </w:tc>
        <w:tc>
          <w:tcPr>
            <w:tcW w:w="709" w:type="dxa"/>
            <w:tcBorders>
              <w:top w:val="single" w:sz="6" w:space="0" w:color="auto"/>
              <w:left w:val="single" w:sz="6" w:space="0" w:color="auto"/>
              <w:bottom w:val="single" w:sz="6" w:space="0" w:color="auto"/>
              <w:right w:val="single" w:sz="6" w:space="0" w:color="auto"/>
            </w:tcBorders>
            <w:hideMark/>
          </w:tcPr>
          <w:p w14:paraId="016C30D4" w14:textId="77777777" w:rsidR="00B97365" w:rsidRDefault="00000000">
            <w:pPr>
              <w:spacing w:after="60"/>
              <w:rPr>
                <w:rFonts w:eastAsia="Times New Roman" w:cs="Calibri"/>
                <w:sz w:val="16"/>
                <w:szCs w:val="16"/>
                <w:lang w:val="en-US"/>
              </w:rPr>
            </w:pPr>
            <w:r>
              <w:rPr>
                <w:rFonts w:cs="Calibri"/>
                <w:sz w:val="16"/>
                <w:szCs w:val="16"/>
              </w:rPr>
              <w:t>1</w:t>
            </w:r>
          </w:p>
        </w:tc>
        <w:tc>
          <w:tcPr>
            <w:tcW w:w="709" w:type="dxa"/>
            <w:tcBorders>
              <w:top w:val="single" w:sz="6" w:space="0" w:color="auto"/>
              <w:left w:val="single" w:sz="6" w:space="0" w:color="auto"/>
              <w:bottom w:val="single" w:sz="6" w:space="0" w:color="auto"/>
              <w:right w:val="single" w:sz="4" w:space="0" w:color="auto"/>
            </w:tcBorders>
            <w:hideMark/>
          </w:tcPr>
          <w:p w14:paraId="2E99E63F" w14:textId="77777777" w:rsidR="00B97365" w:rsidRDefault="00000000">
            <w:pPr>
              <w:spacing w:after="60"/>
              <w:jc w:val="center"/>
              <w:rPr>
                <w:rFonts w:cs="Calibri"/>
                <w:sz w:val="16"/>
                <w:szCs w:val="16"/>
              </w:rPr>
            </w:pPr>
            <w:r>
              <w:rPr>
                <w:rFonts w:cs="Calibri"/>
                <w:sz w:val="16"/>
                <w:szCs w:val="16"/>
              </w:rPr>
              <w:t>M</w:t>
            </w:r>
          </w:p>
        </w:tc>
      </w:tr>
      <w:tr w:rsidR="00B97365" w14:paraId="391A67E0" w14:textId="77777777">
        <w:trPr>
          <w:cantSplit/>
          <w:trHeight w:val="282"/>
        </w:trPr>
        <w:tc>
          <w:tcPr>
            <w:tcW w:w="2000" w:type="dxa"/>
            <w:tcBorders>
              <w:top w:val="single" w:sz="6" w:space="0" w:color="auto"/>
              <w:left w:val="single" w:sz="4" w:space="0" w:color="auto"/>
              <w:bottom w:val="single" w:sz="6" w:space="0" w:color="auto"/>
              <w:right w:val="single" w:sz="6" w:space="0" w:color="auto"/>
            </w:tcBorders>
            <w:vAlign w:val="center"/>
            <w:hideMark/>
          </w:tcPr>
          <w:p w14:paraId="0D12C097" w14:textId="77777777" w:rsidR="00B97365" w:rsidRDefault="00000000">
            <w:pPr>
              <w:spacing w:after="60"/>
              <w:rPr>
                <w:rFonts w:eastAsia="Times New Roman" w:cs="Calibri"/>
                <w:sz w:val="16"/>
                <w:szCs w:val="16"/>
              </w:rPr>
            </w:pPr>
            <w:r>
              <w:rPr>
                <w:rFonts w:eastAsia="Times New Roman" w:cs="Calibri"/>
                <w:sz w:val="16"/>
                <w:szCs w:val="16"/>
              </w:rPr>
              <w:t>requesterId</w:t>
            </w:r>
          </w:p>
        </w:tc>
        <w:tc>
          <w:tcPr>
            <w:tcW w:w="5245" w:type="dxa"/>
            <w:tcBorders>
              <w:top w:val="single" w:sz="6" w:space="0" w:color="auto"/>
              <w:left w:val="single" w:sz="6" w:space="0" w:color="auto"/>
              <w:bottom w:val="single" w:sz="6" w:space="0" w:color="auto"/>
              <w:right w:val="single" w:sz="6" w:space="0" w:color="auto"/>
            </w:tcBorders>
            <w:vAlign w:val="center"/>
            <w:hideMark/>
          </w:tcPr>
          <w:p w14:paraId="23730C2B" w14:textId="77777777" w:rsidR="00B97365" w:rsidRDefault="00000000">
            <w:pPr>
              <w:spacing w:after="60"/>
              <w:rPr>
                <w:rFonts w:cs="Calibri"/>
                <w:sz w:val="16"/>
                <w:szCs w:val="16"/>
              </w:rPr>
            </w:pPr>
            <w:r>
              <w:rPr>
                <w:rFonts w:cs="Calibri"/>
                <w:sz w:val="16"/>
                <w:szCs w:val="16"/>
              </w:rPr>
              <w:t xml:space="preserve">Identification of the entity that has requested the operation to be performed on the eUICC </w:t>
            </w:r>
          </w:p>
        </w:tc>
        <w:tc>
          <w:tcPr>
            <w:tcW w:w="1134" w:type="dxa"/>
            <w:tcBorders>
              <w:top w:val="single" w:sz="6" w:space="0" w:color="auto"/>
              <w:left w:val="single" w:sz="6" w:space="0" w:color="auto"/>
              <w:bottom w:val="single" w:sz="6" w:space="0" w:color="auto"/>
              <w:right w:val="single" w:sz="6" w:space="0" w:color="auto"/>
            </w:tcBorders>
            <w:hideMark/>
          </w:tcPr>
          <w:p w14:paraId="0FA680A7" w14:textId="77777777" w:rsidR="00B97365" w:rsidRDefault="00000000">
            <w:pPr>
              <w:spacing w:after="60"/>
              <w:rPr>
                <w:rFonts w:cs="Calibri"/>
                <w:sz w:val="16"/>
                <w:szCs w:val="16"/>
              </w:rPr>
            </w:pPr>
            <w:r>
              <w:rPr>
                <w:rFonts w:cs="Calibri"/>
                <w:sz w:val="16"/>
                <w:szCs w:val="16"/>
              </w:rPr>
              <w:t>OID</w:t>
            </w:r>
          </w:p>
        </w:tc>
        <w:tc>
          <w:tcPr>
            <w:tcW w:w="709" w:type="dxa"/>
            <w:tcBorders>
              <w:top w:val="single" w:sz="6" w:space="0" w:color="auto"/>
              <w:left w:val="single" w:sz="6" w:space="0" w:color="auto"/>
              <w:bottom w:val="single" w:sz="6" w:space="0" w:color="auto"/>
              <w:right w:val="single" w:sz="6" w:space="0" w:color="auto"/>
            </w:tcBorders>
            <w:hideMark/>
          </w:tcPr>
          <w:p w14:paraId="01A22E89" w14:textId="77777777" w:rsidR="00B97365" w:rsidRDefault="00000000">
            <w:pPr>
              <w:spacing w:after="60"/>
              <w:rPr>
                <w:rFonts w:cs="Calibri"/>
                <w:sz w:val="16"/>
                <w:szCs w:val="16"/>
              </w:rPr>
            </w:pPr>
            <w:r>
              <w:rPr>
                <w:rFonts w:cs="Calibri"/>
                <w:sz w:val="16"/>
                <w:szCs w:val="16"/>
              </w:rPr>
              <w:t>1</w:t>
            </w:r>
          </w:p>
        </w:tc>
        <w:tc>
          <w:tcPr>
            <w:tcW w:w="709" w:type="dxa"/>
            <w:tcBorders>
              <w:top w:val="single" w:sz="6" w:space="0" w:color="auto"/>
              <w:left w:val="single" w:sz="6" w:space="0" w:color="auto"/>
              <w:bottom w:val="single" w:sz="6" w:space="0" w:color="auto"/>
              <w:right w:val="single" w:sz="4" w:space="0" w:color="auto"/>
            </w:tcBorders>
            <w:hideMark/>
          </w:tcPr>
          <w:p w14:paraId="45DFE329" w14:textId="77777777" w:rsidR="00B97365" w:rsidRDefault="00000000">
            <w:pPr>
              <w:spacing w:after="60"/>
              <w:jc w:val="center"/>
              <w:rPr>
                <w:rFonts w:cs="Calibri"/>
                <w:sz w:val="16"/>
                <w:szCs w:val="16"/>
              </w:rPr>
            </w:pPr>
            <w:r>
              <w:rPr>
                <w:rFonts w:cs="Calibri"/>
                <w:sz w:val="16"/>
                <w:szCs w:val="16"/>
              </w:rPr>
              <w:t>C</w:t>
            </w:r>
          </w:p>
        </w:tc>
      </w:tr>
      <w:tr w:rsidR="00B97365" w14:paraId="0CDF4797" w14:textId="77777777">
        <w:trPr>
          <w:cantSplit/>
          <w:trHeight w:val="282"/>
        </w:trPr>
        <w:tc>
          <w:tcPr>
            <w:tcW w:w="2000" w:type="dxa"/>
            <w:tcBorders>
              <w:top w:val="single" w:sz="6" w:space="0" w:color="auto"/>
              <w:left w:val="single" w:sz="4" w:space="0" w:color="auto"/>
              <w:bottom w:val="single" w:sz="6" w:space="0" w:color="auto"/>
              <w:right w:val="single" w:sz="6" w:space="0" w:color="auto"/>
            </w:tcBorders>
            <w:vAlign w:val="center"/>
            <w:hideMark/>
          </w:tcPr>
          <w:p w14:paraId="450FC25C" w14:textId="77777777" w:rsidR="00B97365" w:rsidRDefault="00000000">
            <w:pPr>
              <w:spacing w:after="60"/>
              <w:rPr>
                <w:rFonts w:cs="Calibri"/>
                <w:sz w:val="16"/>
                <w:szCs w:val="16"/>
                <w:lang w:val="en-US"/>
              </w:rPr>
            </w:pPr>
            <w:r>
              <w:rPr>
                <w:rFonts w:cs="Calibri"/>
                <w:sz w:val="16"/>
                <w:szCs w:val="16"/>
              </w:rPr>
              <w:t>status</w:t>
            </w:r>
          </w:p>
        </w:tc>
        <w:tc>
          <w:tcPr>
            <w:tcW w:w="5245" w:type="dxa"/>
            <w:tcBorders>
              <w:top w:val="single" w:sz="6" w:space="0" w:color="auto"/>
              <w:left w:val="single" w:sz="6" w:space="0" w:color="auto"/>
              <w:bottom w:val="single" w:sz="6" w:space="0" w:color="auto"/>
              <w:right w:val="single" w:sz="6" w:space="0" w:color="auto"/>
            </w:tcBorders>
            <w:vAlign w:val="center"/>
            <w:hideMark/>
          </w:tcPr>
          <w:p w14:paraId="08A00FED" w14:textId="3C6B6A1C" w:rsidR="00B97365" w:rsidRDefault="00000000">
            <w:pPr>
              <w:spacing w:after="200"/>
              <w:rPr>
                <w:rFonts w:cs="Calibri"/>
                <w:sz w:val="16"/>
                <w:szCs w:val="16"/>
              </w:rPr>
            </w:pPr>
            <w:r>
              <w:rPr>
                <w:rFonts w:cs="Calibri"/>
                <w:sz w:val="16"/>
                <w:szCs w:val="16"/>
              </w:rPr>
              <w:t xml:space="preserve">For command type Function Execution Status as defined in section </w:t>
            </w:r>
            <w:r>
              <w:fldChar w:fldCharType="begin"/>
            </w:r>
            <w:r>
              <w:instrText xml:space="preserve"> REF _Ref367973406 \r \h  \* MERGEFORMAT </w:instrText>
            </w:r>
            <w:r>
              <w:fldChar w:fldCharType="separate"/>
            </w:r>
            <w:r w:rsidR="001D5AD9" w:rsidRPr="001D5AD9">
              <w:rPr>
                <w:rFonts w:cs="Calibri"/>
                <w:sz w:val="16"/>
                <w:szCs w:val="16"/>
              </w:rPr>
              <w:t>5.1.5</w:t>
            </w:r>
            <w:r>
              <w:fldChar w:fldCharType="end"/>
            </w:r>
            <w:r>
              <w:rPr>
                <w:rFonts w:cs="Calibri"/>
                <w:sz w:val="16"/>
                <w:szCs w:val="16"/>
              </w:rPr>
              <w:t xml:space="preserve"> is stored</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F8FBC07" w14:textId="77777777" w:rsidR="00B97365" w:rsidRDefault="00000000">
            <w:pPr>
              <w:spacing w:after="60"/>
              <w:rPr>
                <w:rFonts w:cs="Calibri"/>
                <w:sz w:val="16"/>
                <w:szCs w:val="16"/>
              </w:rPr>
            </w:pPr>
            <w:r>
              <w:rPr>
                <w:rFonts w:cs="Calibri"/>
                <w:sz w:val="16"/>
                <w:szCs w:val="16"/>
                <w:lang w:val="ru-RU"/>
              </w:rPr>
              <w:t>ExecutionStatus</w:t>
            </w:r>
          </w:p>
        </w:tc>
        <w:tc>
          <w:tcPr>
            <w:tcW w:w="709" w:type="dxa"/>
            <w:tcBorders>
              <w:top w:val="single" w:sz="6" w:space="0" w:color="auto"/>
              <w:left w:val="single" w:sz="6" w:space="0" w:color="auto"/>
              <w:bottom w:val="single" w:sz="6" w:space="0" w:color="auto"/>
              <w:right w:val="single" w:sz="6" w:space="0" w:color="auto"/>
            </w:tcBorders>
            <w:vAlign w:val="center"/>
            <w:hideMark/>
          </w:tcPr>
          <w:p w14:paraId="482D5CF1" w14:textId="77777777" w:rsidR="00B97365" w:rsidRDefault="00000000">
            <w:pPr>
              <w:spacing w:after="60"/>
              <w:rPr>
                <w:rFonts w:cs="Calibri"/>
                <w:sz w:val="16"/>
                <w:szCs w:val="16"/>
                <w:lang w:val="en-US"/>
              </w:rPr>
            </w:pPr>
            <w:r>
              <w:rPr>
                <w:rFonts w:cs="Calibri"/>
                <w:sz w:val="16"/>
                <w:szCs w:val="16"/>
                <w:lang w:val="en-US"/>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0F5361E5" w14:textId="77777777" w:rsidR="00B97365" w:rsidRDefault="00000000">
            <w:pPr>
              <w:spacing w:after="60"/>
              <w:jc w:val="center"/>
              <w:rPr>
                <w:rFonts w:cs="Calibri"/>
                <w:sz w:val="16"/>
                <w:szCs w:val="16"/>
                <w:lang w:val="en-US"/>
              </w:rPr>
            </w:pPr>
            <w:r>
              <w:rPr>
                <w:rFonts w:cs="Calibri"/>
                <w:sz w:val="16"/>
                <w:szCs w:val="16"/>
                <w:lang w:val="en-US"/>
              </w:rPr>
              <w:t>C</w:t>
            </w:r>
          </w:p>
        </w:tc>
      </w:tr>
      <w:tr w:rsidR="00B97365" w14:paraId="3039AE26" w14:textId="77777777">
        <w:trPr>
          <w:cantSplit/>
          <w:trHeight w:val="282"/>
        </w:trPr>
        <w:tc>
          <w:tcPr>
            <w:tcW w:w="2000" w:type="dxa"/>
            <w:tcBorders>
              <w:top w:val="single" w:sz="6" w:space="0" w:color="auto"/>
              <w:left w:val="single" w:sz="4" w:space="0" w:color="auto"/>
              <w:bottom w:val="single" w:sz="6" w:space="0" w:color="auto"/>
              <w:right w:val="single" w:sz="6" w:space="0" w:color="auto"/>
            </w:tcBorders>
            <w:vAlign w:val="center"/>
            <w:hideMark/>
          </w:tcPr>
          <w:p w14:paraId="6CCA2493" w14:textId="77777777" w:rsidR="00B97365" w:rsidRDefault="00000000">
            <w:pPr>
              <w:spacing w:after="60"/>
              <w:rPr>
                <w:rFonts w:eastAsia="Times New Roman" w:cs="Calibri"/>
                <w:sz w:val="16"/>
                <w:szCs w:val="16"/>
              </w:rPr>
            </w:pPr>
            <w:r>
              <w:rPr>
                <w:rFonts w:cs="Calibri"/>
                <w:sz w:val="16"/>
                <w:szCs w:val="16"/>
                <w:lang w:val="en-US"/>
              </w:rPr>
              <w:t>ISD-P-AID</w:t>
            </w:r>
          </w:p>
        </w:tc>
        <w:tc>
          <w:tcPr>
            <w:tcW w:w="5245" w:type="dxa"/>
            <w:tcBorders>
              <w:top w:val="single" w:sz="6" w:space="0" w:color="auto"/>
              <w:left w:val="single" w:sz="6" w:space="0" w:color="auto"/>
              <w:bottom w:val="single" w:sz="6" w:space="0" w:color="auto"/>
              <w:right w:val="single" w:sz="6" w:space="0" w:color="auto"/>
            </w:tcBorders>
            <w:vAlign w:val="center"/>
            <w:hideMark/>
          </w:tcPr>
          <w:p w14:paraId="21EA0880" w14:textId="77777777" w:rsidR="00B97365" w:rsidRDefault="00000000">
            <w:pPr>
              <w:spacing w:after="200"/>
              <w:rPr>
                <w:rFonts w:eastAsia="Times New Roman" w:cs="Calibri"/>
                <w:sz w:val="16"/>
                <w:szCs w:val="16"/>
                <w:lang w:val="en-US"/>
              </w:rPr>
            </w:pPr>
            <w:r>
              <w:rPr>
                <w:rFonts w:cs="Calibri"/>
                <w:sz w:val="16"/>
                <w:szCs w:val="16"/>
              </w:rPr>
              <w:t>The ISD-P-AID of the ISD-P containing the Profile. Not present in case the operation type does not concern a specific ISD-P AID (example: EstablishISDRkeyset)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A54DBF6" w14:textId="77777777" w:rsidR="00B97365" w:rsidRDefault="00000000">
            <w:pPr>
              <w:spacing w:after="60"/>
              <w:rPr>
                <w:rFonts w:eastAsia="Times New Roman" w:cs="Calibri"/>
                <w:sz w:val="16"/>
                <w:szCs w:val="16"/>
                <w:lang w:val="en-US"/>
              </w:rPr>
            </w:pPr>
            <w:r>
              <w:rPr>
                <w:rFonts w:cs="Calibri"/>
                <w:sz w:val="16"/>
                <w:szCs w:val="16"/>
              </w:rPr>
              <w:t>AID</w:t>
            </w:r>
          </w:p>
        </w:tc>
        <w:tc>
          <w:tcPr>
            <w:tcW w:w="709" w:type="dxa"/>
            <w:tcBorders>
              <w:top w:val="single" w:sz="6" w:space="0" w:color="auto"/>
              <w:left w:val="single" w:sz="6" w:space="0" w:color="auto"/>
              <w:bottom w:val="single" w:sz="6" w:space="0" w:color="auto"/>
              <w:right w:val="single" w:sz="6" w:space="0" w:color="auto"/>
            </w:tcBorders>
            <w:vAlign w:val="center"/>
            <w:hideMark/>
          </w:tcPr>
          <w:p w14:paraId="14872E75" w14:textId="77777777" w:rsidR="00B97365" w:rsidRDefault="00000000">
            <w:pPr>
              <w:spacing w:after="60"/>
              <w:rPr>
                <w:rFonts w:eastAsia="Times New Roman" w:cs="Calibri"/>
                <w:sz w:val="16"/>
                <w:szCs w:val="16"/>
                <w:lang w:val="en-US"/>
              </w:rPr>
            </w:pPr>
            <w:r>
              <w:rPr>
                <w:rFonts w:cs="Calibri"/>
                <w:sz w:val="16"/>
                <w:szCs w:val="16"/>
                <w:lang w:val="en-US"/>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210DF9ED" w14:textId="77777777" w:rsidR="00B97365" w:rsidRDefault="00000000">
            <w:pPr>
              <w:spacing w:after="60"/>
              <w:jc w:val="center"/>
              <w:rPr>
                <w:rFonts w:cs="Calibri"/>
                <w:sz w:val="16"/>
                <w:szCs w:val="16"/>
                <w:lang w:val="en-US"/>
              </w:rPr>
            </w:pPr>
            <w:r>
              <w:rPr>
                <w:rFonts w:cs="Calibri"/>
                <w:sz w:val="16"/>
                <w:szCs w:val="16"/>
                <w:lang w:val="en-US"/>
              </w:rPr>
              <w:t>C</w:t>
            </w:r>
          </w:p>
        </w:tc>
      </w:tr>
      <w:tr w:rsidR="00B97365" w14:paraId="1B023221" w14:textId="77777777">
        <w:trPr>
          <w:cantSplit/>
          <w:trHeight w:val="282"/>
        </w:trPr>
        <w:tc>
          <w:tcPr>
            <w:tcW w:w="2000" w:type="dxa"/>
            <w:tcBorders>
              <w:top w:val="single" w:sz="6" w:space="0" w:color="auto"/>
              <w:left w:val="single" w:sz="4" w:space="0" w:color="auto"/>
              <w:bottom w:val="single" w:sz="6" w:space="0" w:color="auto"/>
              <w:right w:val="single" w:sz="6" w:space="0" w:color="auto"/>
            </w:tcBorders>
            <w:vAlign w:val="center"/>
            <w:hideMark/>
          </w:tcPr>
          <w:p w14:paraId="2FDAB25C" w14:textId="77777777" w:rsidR="00B97365" w:rsidRDefault="00000000">
            <w:pPr>
              <w:spacing w:after="60"/>
              <w:rPr>
                <w:rFonts w:cs="Calibri"/>
                <w:sz w:val="16"/>
                <w:szCs w:val="16"/>
                <w:lang w:val="en-US"/>
              </w:rPr>
            </w:pPr>
            <w:r>
              <w:rPr>
                <w:rFonts w:cs="Calibri"/>
                <w:sz w:val="16"/>
                <w:szCs w:val="16"/>
                <w:lang w:val="en-US"/>
              </w:rPr>
              <w:t xml:space="preserve">ICCID </w:t>
            </w:r>
          </w:p>
        </w:tc>
        <w:tc>
          <w:tcPr>
            <w:tcW w:w="5245" w:type="dxa"/>
            <w:tcBorders>
              <w:top w:val="single" w:sz="6" w:space="0" w:color="auto"/>
              <w:left w:val="single" w:sz="6" w:space="0" w:color="auto"/>
              <w:bottom w:val="single" w:sz="6" w:space="0" w:color="auto"/>
              <w:right w:val="single" w:sz="6" w:space="0" w:color="auto"/>
            </w:tcBorders>
            <w:vAlign w:val="center"/>
            <w:hideMark/>
          </w:tcPr>
          <w:p w14:paraId="73F942FE" w14:textId="77777777" w:rsidR="00B97365" w:rsidRDefault="00000000">
            <w:pPr>
              <w:rPr>
                <w:rFonts w:cs="Calibri"/>
                <w:sz w:val="16"/>
                <w:szCs w:val="16"/>
              </w:rPr>
            </w:pPr>
            <w:r>
              <w:rPr>
                <w:rFonts w:cs="Calibri"/>
                <w:sz w:val="16"/>
                <w:szCs w:val="16"/>
              </w:rPr>
              <w:t>The ICCID of the Profile.</w:t>
            </w:r>
          </w:p>
          <w:p w14:paraId="3C8C06BB" w14:textId="77777777" w:rsidR="00B97365" w:rsidRDefault="00000000">
            <w:pPr>
              <w:rPr>
                <w:rFonts w:cs="Calibri"/>
                <w:sz w:val="16"/>
                <w:szCs w:val="16"/>
              </w:rPr>
            </w:pPr>
            <w:r>
              <w:rPr>
                <w:rFonts w:cs="Calibri"/>
                <w:sz w:val="16"/>
                <w:szCs w:val="16"/>
              </w:rPr>
              <w:t>Not present in case the operation type does not concern a specific ISD-P AID (example: EstablishISDRkeyset)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2EB0288" w14:textId="77777777" w:rsidR="00B97365" w:rsidRDefault="00000000">
            <w:pPr>
              <w:spacing w:after="60"/>
              <w:rPr>
                <w:rFonts w:cs="Calibri"/>
                <w:sz w:val="16"/>
                <w:szCs w:val="16"/>
              </w:rPr>
            </w:pPr>
            <w:r>
              <w:rPr>
                <w:rFonts w:cs="Calibri"/>
                <w:sz w:val="16"/>
                <w:szCs w:val="16"/>
              </w:rPr>
              <w:t>String</w:t>
            </w:r>
          </w:p>
        </w:tc>
        <w:tc>
          <w:tcPr>
            <w:tcW w:w="709" w:type="dxa"/>
            <w:tcBorders>
              <w:top w:val="single" w:sz="6" w:space="0" w:color="auto"/>
              <w:left w:val="single" w:sz="6" w:space="0" w:color="auto"/>
              <w:bottom w:val="single" w:sz="6" w:space="0" w:color="auto"/>
              <w:right w:val="single" w:sz="6" w:space="0" w:color="auto"/>
            </w:tcBorders>
            <w:vAlign w:val="center"/>
            <w:hideMark/>
          </w:tcPr>
          <w:p w14:paraId="6CCD09FF" w14:textId="77777777" w:rsidR="00B97365" w:rsidRDefault="00000000">
            <w:pPr>
              <w:spacing w:after="60"/>
              <w:rPr>
                <w:rFonts w:cs="Calibri"/>
                <w:sz w:val="16"/>
                <w:szCs w:val="16"/>
                <w:lang w:val="en-US"/>
              </w:rPr>
            </w:pPr>
            <w:r>
              <w:rPr>
                <w:rFonts w:cs="Calibri"/>
                <w:sz w:val="16"/>
                <w:szCs w:val="16"/>
                <w:lang w:val="en-US"/>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11057FBD" w14:textId="77777777" w:rsidR="00B97365" w:rsidRDefault="00000000">
            <w:pPr>
              <w:spacing w:after="60"/>
              <w:jc w:val="center"/>
              <w:rPr>
                <w:rFonts w:cs="Calibri"/>
                <w:sz w:val="16"/>
                <w:szCs w:val="16"/>
                <w:lang w:val="en-US"/>
              </w:rPr>
            </w:pPr>
            <w:r>
              <w:rPr>
                <w:rFonts w:cs="Calibri"/>
                <w:sz w:val="16"/>
                <w:szCs w:val="16"/>
                <w:lang w:val="en-US"/>
              </w:rPr>
              <w:t>C</w:t>
            </w:r>
          </w:p>
        </w:tc>
      </w:tr>
      <w:tr w:rsidR="00B97365" w14:paraId="055E8F34" w14:textId="77777777">
        <w:trPr>
          <w:cantSplit/>
          <w:trHeight w:val="282"/>
        </w:trPr>
        <w:tc>
          <w:tcPr>
            <w:tcW w:w="2000" w:type="dxa"/>
            <w:tcBorders>
              <w:top w:val="single" w:sz="6" w:space="0" w:color="auto"/>
              <w:left w:val="single" w:sz="4" w:space="0" w:color="auto"/>
              <w:bottom w:val="single" w:sz="6" w:space="0" w:color="auto"/>
              <w:right w:val="single" w:sz="6" w:space="0" w:color="auto"/>
            </w:tcBorders>
            <w:vAlign w:val="center"/>
            <w:hideMark/>
          </w:tcPr>
          <w:p w14:paraId="3E49E5DE" w14:textId="77777777" w:rsidR="00B97365" w:rsidRDefault="00000000">
            <w:pPr>
              <w:spacing w:after="60"/>
              <w:rPr>
                <w:rFonts w:eastAsia="Times New Roman" w:cs="Calibri"/>
                <w:sz w:val="16"/>
                <w:szCs w:val="16"/>
              </w:rPr>
            </w:pPr>
            <w:r>
              <w:rPr>
                <w:rFonts w:cs="Calibri"/>
                <w:sz w:val="16"/>
                <w:szCs w:val="16"/>
              </w:rPr>
              <w:t>IMEI</w:t>
            </w:r>
          </w:p>
        </w:tc>
        <w:tc>
          <w:tcPr>
            <w:tcW w:w="5245" w:type="dxa"/>
            <w:tcBorders>
              <w:top w:val="single" w:sz="6" w:space="0" w:color="auto"/>
              <w:left w:val="single" w:sz="6" w:space="0" w:color="auto"/>
              <w:bottom w:val="single" w:sz="6" w:space="0" w:color="auto"/>
              <w:right w:val="single" w:sz="6" w:space="0" w:color="auto"/>
            </w:tcBorders>
            <w:vAlign w:val="center"/>
            <w:hideMark/>
          </w:tcPr>
          <w:p w14:paraId="3404533C" w14:textId="49AAB144" w:rsidR="00B97365" w:rsidRDefault="00000000">
            <w:pPr>
              <w:spacing w:after="200"/>
              <w:rPr>
                <w:rFonts w:eastAsia="Times New Roman" w:cs="Calibri"/>
                <w:sz w:val="16"/>
                <w:szCs w:val="16"/>
                <w:lang w:val="en-US"/>
              </w:rPr>
            </w:pPr>
            <w:r>
              <w:rPr>
                <w:rFonts w:eastAsia="Times New Roman" w:cs="Calibri"/>
                <w:sz w:val="16"/>
                <w:szCs w:val="16"/>
                <w:lang w:val="ru-RU"/>
              </w:rPr>
              <w:t xml:space="preserve">See ETSI TS 102 223 </w:t>
            </w:r>
            <w:r>
              <w:fldChar w:fldCharType="begin"/>
            </w:r>
            <w:r>
              <w:rPr>
                <w:rFonts w:eastAsia="Times New Roman" w:cs="Calibri"/>
                <w:sz w:val="16"/>
                <w:szCs w:val="16"/>
                <w:lang w:val="ru-RU"/>
              </w:rPr>
              <w:instrText xml:space="preserve"> REF _Ref421633137 \r \h </w:instrText>
            </w:r>
            <w:r>
              <w:fldChar w:fldCharType="separate"/>
            </w:r>
            <w:r w:rsidR="001D5AD9">
              <w:rPr>
                <w:rFonts w:eastAsia="Times New Roman" w:cs="Calibri"/>
                <w:sz w:val="16"/>
                <w:szCs w:val="16"/>
                <w:lang w:val="ru-RU"/>
              </w:rPr>
              <w:t>[3]</w:t>
            </w:r>
            <w:r>
              <w:fldChar w:fldCharType="end"/>
            </w:r>
            <w:r>
              <w:rPr>
                <w:rFonts w:eastAsia="Times New Roman" w:cs="Calibri"/>
                <w:sz w:val="16"/>
                <w:szCs w:val="16"/>
                <w:lang w:val="en-US"/>
              </w:rPr>
              <w:t>, clause 8.20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4F9F99E" w14:textId="77777777" w:rsidR="00B97365" w:rsidRDefault="00000000">
            <w:pPr>
              <w:spacing w:after="60"/>
              <w:rPr>
                <w:rFonts w:eastAsia="Times New Roman" w:cs="Calibri"/>
                <w:sz w:val="16"/>
                <w:szCs w:val="16"/>
                <w:lang w:val="en-US"/>
              </w:rPr>
            </w:pPr>
            <w:r>
              <w:rPr>
                <w:rFonts w:cs="Calibri"/>
                <w:sz w:val="16"/>
                <w:szCs w:val="16"/>
                <w:lang w:val="en-US"/>
              </w:rPr>
              <w:t>Hexadecimal String</w:t>
            </w:r>
          </w:p>
        </w:tc>
        <w:tc>
          <w:tcPr>
            <w:tcW w:w="709" w:type="dxa"/>
            <w:tcBorders>
              <w:top w:val="single" w:sz="6" w:space="0" w:color="auto"/>
              <w:left w:val="single" w:sz="6" w:space="0" w:color="auto"/>
              <w:bottom w:val="single" w:sz="6" w:space="0" w:color="auto"/>
              <w:right w:val="single" w:sz="6" w:space="0" w:color="auto"/>
            </w:tcBorders>
            <w:vAlign w:val="center"/>
            <w:hideMark/>
          </w:tcPr>
          <w:p w14:paraId="24E9ED8E" w14:textId="77777777" w:rsidR="00B97365" w:rsidRDefault="00000000">
            <w:pPr>
              <w:spacing w:after="60"/>
              <w:rPr>
                <w:rFonts w:eastAsia="Times New Roman" w:cs="Calibri"/>
                <w:sz w:val="16"/>
                <w:szCs w:val="16"/>
                <w:lang w:val="en-US"/>
              </w:rPr>
            </w:pPr>
            <w:r>
              <w:rPr>
                <w:rFonts w:cs="Calibri"/>
                <w:sz w:val="16"/>
                <w:szCs w:val="16"/>
                <w:lang w:val="en-US"/>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3D4B1B2E" w14:textId="77777777" w:rsidR="00B97365" w:rsidRDefault="00000000">
            <w:pPr>
              <w:spacing w:after="60"/>
              <w:jc w:val="center"/>
              <w:rPr>
                <w:rFonts w:cs="Calibri"/>
                <w:sz w:val="16"/>
                <w:szCs w:val="16"/>
                <w:lang w:val="en-US"/>
              </w:rPr>
            </w:pPr>
            <w:r>
              <w:rPr>
                <w:rFonts w:cs="Calibri"/>
                <w:sz w:val="16"/>
                <w:szCs w:val="16"/>
                <w:lang w:val="en-US"/>
              </w:rPr>
              <w:t>C</w:t>
            </w:r>
          </w:p>
        </w:tc>
      </w:tr>
      <w:tr w:rsidR="00B97365" w14:paraId="7F1AEE69" w14:textId="77777777">
        <w:trPr>
          <w:cantSplit/>
          <w:trHeight w:val="282"/>
        </w:trPr>
        <w:tc>
          <w:tcPr>
            <w:tcW w:w="2000" w:type="dxa"/>
            <w:tcBorders>
              <w:top w:val="single" w:sz="6" w:space="0" w:color="auto"/>
              <w:left w:val="single" w:sz="4" w:space="0" w:color="auto"/>
              <w:bottom w:val="single" w:sz="4" w:space="0" w:color="auto"/>
              <w:right w:val="single" w:sz="6" w:space="0" w:color="auto"/>
            </w:tcBorders>
            <w:vAlign w:val="center"/>
            <w:hideMark/>
          </w:tcPr>
          <w:p w14:paraId="17A8690D" w14:textId="77777777" w:rsidR="00B97365" w:rsidRDefault="00000000">
            <w:pPr>
              <w:spacing w:after="60"/>
              <w:rPr>
                <w:rFonts w:cs="Calibri"/>
                <w:sz w:val="16"/>
                <w:szCs w:val="16"/>
              </w:rPr>
            </w:pPr>
            <w:r>
              <w:rPr>
                <w:rFonts w:cs="Calibri"/>
                <w:sz w:val="16"/>
                <w:szCs w:val="16"/>
                <w:lang w:val="en-US"/>
              </w:rPr>
              <w:t>MEID</w:t>
            </w:r>
          </w:p>
        </w:tc>
        <w:tc>
          <w:tcPr>
            <w:tcW w:w="5245" w:type="dxa"/>
            <w:tcBorders>
              <w:top w:val="single" w:sz="6" w:space="0" w:color="auto"/>
              <w:left w:val="single" w:sz="6" w:space="0" w:color="auto"/>
              <w:bottom w:val="single" w:sz="4" w:space="0" w:color="auto"/>
              <w:right w:val="single" w:sz="6" w:space="0" w:color="auto"/>
            </w:tcBorders>
            <w:hideMark/>
          </w:tcPr>
          <w:p w14:paraId="32D2E32D" w14:textId="46D6D661" w:rsidR="00B97365" w:rsidRDefault="00000000">
            <w:pPr>
              <w:keepNext/>
              <w:rPr>
                <w:rFonts w:cs="Calibri"/>
                <w:sz w:val="16"/>
                <w:szCs w:val="16"/>
              </w:rPr>
            </w:pPr>
            <w:r>
              <w:rPr>
                <w:rFonts w:cs="Calibri"/>
                <w:sz w:val="16"/>
                <w:szCs w:val="16"/>
              </w:rPr>
              <w:t xml:space="preserve">See ETSI TS 102 223 </w:t>
            </w:r>
            <w:r>
              <w:fldChar w:fldCharType="begin"/>
            </w:r>
            <w:r>
              <w:rPr>
                <w:rFonts w:cs="Calibri"/>
                <w:sz w:val="16"/>
                <w:szCs w:val="16"/>
              </w:rPr>
              <w:instrText xml:space="preserve"> REF _Ref421633137 \r \h </w:instrText>
            </w:r>
            <w:r>
              <w:fldChar w:fldCharType="separate"/>
            </w:r>
            <w:r w:rsidR="001D5AD9">
              <w:rPr>
                <w:rFonts w:cs="Calibri"/>
                <w:sz w:val="16"/>
                <w:szCs w:val="16"/>
              </w:rPr>
              <w:t>[3]</w:t>
            </w:r>
            <w:r>
              <w:fldChar w:fldCharType="end"/>
            </w:r>
            <w:r>
              <w:rPr>
                <w:rFonts w:cs="Calibri"/>
                <w:sz w:val="16"/>
                <w:szCs w:val="16"/>
                <w:lang w:val="en-US"/>
              </w:rPr>
              <w:t>, clause 8.81</w:t>
            </w:r>
          </w:p>
        </w:tc>
        <w:tc>
          <w:tcPr>
            <w:tcW w:w="1134" w:type="dxa"/>
            <w:tcBorders>
              <w:top w:val="single" w:sz="6" w:space="0" w:color="auto"/>
              <w:left w:val="single" w:sz="6" w:space="0" w:color="auto"/>
              <w:bottom w:val="single" w:sz="4" w:space="0" w:color="auto"/>
              <w:right w:val="single" w:sz="6" w:space="0" w:color="auto"/>
            </w:tcBorders>
            <w:vAlign w:val="center"/>
            <w:hideMark/>
          </w:tcPr>
          <w:p w14:paraId="5F620BD0" w14:textId="77777777" w:rsidR="00B97365" w:rsidRDefault="00000000">
            <w:pPr>
              <w:spacing w:after="60"/>
              <w:rPr>
                <w:rFonts w:cs="Calibri"/>
                <w:sz w:val="16"/>
                <w:szCs w:val="16"/>
                <w:lang w:val="en-US"/>
              </w:rPr>
            </w:pPr>
            <w:r>
              <w:rPr>
                <w:rFonts w:cs="Calibri"/>
                <w:sz w:val="16"/>
                <w:szCs w:val="16"/>
                <w:lang w:val="en-US"/>
              </w:rPr>
              <w:t xml:space="preserve">Hexadecimal String </w:t>
            </w:r>
          </w:p>
        </w:tc>
        <w:tc>
          <w:tcPr>
            <w:tcW w:w="709" w:type="dxa"/>
            <w:tcBorders>
              <w:top w:val="single" w:sz="6" w:space="0" w:color="auto"/>
              <w:left w:val="single" w:sz="6" w:space="0" w:color="auto"/>
              <w:bottom w:val="single" w:sz="4" w:space="0" w:color="auto"/>
              <w:right w:val="single" w:sz="6" w:space="0" w:color="auto"/>
            </w:tcBorders>
            <w:vAlign w:val="center"/>
            <w:hideMark/>
          </w:tcPr>
          <w:p w14:paraId="4F6C1BEE" w14:textId="77777777" w:rsidR="00B97365" w:rsidRDefault="00000000">
            <w:pPr>
              <w:spacing w:after="60"/>
              <w:rPr>
                <w:rFonts w:cs="Calibri"/>
                <w:sz w:val="16"/>
                <w:szCs w:val="16"/>
                <w:lang w:val="en-US"/>
              </w:rPr>
            </w:pPr>
            <w:r>
              <w:rPr>
                <w:rFonts w:cs="Calibri"/>
                <w:sz w:val="16"/>
                <w:szCs w:val="16"/>
                <w:lang w:val="en-US"/>
              </w:rPr>
              <w:t>1</w:t>
            </w:r>
          </w:p>
        </w:tc>
        <w:tc>
          <w:tcPr>
            <w:tcW w:w="709" w:type="dxa"/>
            <w:tcBorders>
              <w:top w:val="single" w:sz="6" w:space="0" w:color="auto"/>
              <w:left w:val="single" w:sz="6" w:space="0" w:color="auto"/>
              <w:bottom w:val="single" w:sz="4" w:space="0" w:color="auto"/>
              <w:right w:val="single" w:sz="4" w:space="0" w:color="auto"/>
            </w:tcBorders>
            <w:vAlign w:val="center"/>
            <w:hideMark/>
          </w:tcPr>
          <w:p w14:paraId="01784C7C" w14:textId="77777777" w:rsidR="00B97365" w:rsidRDefault="00000000">
            <w:pPr>
              <w:spacing w:after="60"/>
              <w:jc w:val="center"/>
              <w:rPr>
                <w:rFonts w:cs="Calibri"/>
                <w:sz w:val="16"/>
                <w:szCs w:val="16"/>
                <w:lang w:val="en-US"/>
              </w:rPr>
            </w:pPr>
            <w:r>
              <w:rPr>
                <w:rFonts w:cs="Calibri"/>
                <w:sz w:val="16"/>
                <w:szCs w:val="16"/>
                <w:lang w:val="en-US"/>
              </w:rPr>
              <w:t>C</w:t>
            </w:r>
          </w:p>
        </w:tc>
      </w:tr>
    </w:tbl>
    <w:p w14:paraId="47392948"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Audit Trail Record Type</w:t>
      </w:r>
    </w:p>
    <w:p w14:paraId="76F18D30" w14:textId="77777777" w:rsidR="00B97365" w:rsidRDefault="00000000">
      <w:pPr>
        <w:spacing w:after="200" w:line="276" w:lineRule="auto"/>
        <w:ind w:left="1560" w:hanging="1276"/>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Requester Id OID is empty in case of notification. </w:t>
      </w:r>
    </w:p>
    <w:p w14:paraId="2BC26911" w14:textId="77777777" w:rsidR="00B97365" w:rsidRDefault="00B97365">
      <w:pPr>
        <w:tabs>
          <w:tab w:val="left" w:pos="1560"/>
        </w:tabs>
        <w:spacing w:before="0" w:after="200" w:line="276" w:lineRule="auto"/>
        <w:jc w:val="left"/>
        <w:rPr>
          <w:rFonts w:cs="Arial"/>
          <w:szCs w:val="22"/>
          <w:lang w:val="en-US" w:eastAsia="en-GB" w:bidi="ar-SA"/>
        </w:rPr>
      </w:pPr>
    </w:p>
    <w:p w14:paraId="5C458A1D"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r>
        <w:rPr>
          <w:rFonts w:ascii="Arial Bold" w:eastAsia="Times New Roman" w:hAnsi="Arial Bold" w:cs="Arial"/>
          <w:b/>
          <w:bCs/>
          <w:szCs w:val="26"/>
          <w:lang w:val="en-US" w:eastAsia="en-US"/>
        </w:rPr>
        <w:t xml:space="preserve">Command </w:t>
      </w:r>
      <w:r>
        <w:rPr>
          <w:rFonts w:ascii="Arial Bold" w:eastAsia="Times New Roman" w:hAnsi="Arial Bold" w:cs="Arial"/>
          <w:bCs/>
          <w:szCs w:val="26"/>
          <w:lang w:val="en-US" w:eastAsia="en-US"/>
        </w:rPr>
        <w:t>Type</w:t>
      </w:r>
    </w:p>
    <w:p w14:paraId="72D06BA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Command type coding:</w:t>
      </w:r>
    </w:p>
    <w:p w14:paraId="40BFB05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‘0100’: CreateISDP</w:t>
      </w:r>
    </w:p>
    <w:p w14:paraId="14DC505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‘0200’: EnableProfile</w:t>
      </w:r>
    </w:p>
    <w:p w14:paraId="6302306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‘0300’: DisableProfile</w:t>
      </w:r>
    </w:p>
    <w:p w14:paraId="6607DEB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‘0400’: DeleteProfile</w:t>
      </w:r>
    </w:p>
    <w:p w14:paraId="56F829F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‘0500’: eUICCCapabilityAudit</w:t>
      </w:r>
    </w:p>
    <w:p w14:paraId="096F8D0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‘0600’: MasterDelete</w:t>
      </w:r>
    </w:p>
    <w:p w14:paraId="17820F4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‘0700’: SetFallbackAttribute</w:t>
      </w:r>
    </w:p>
    <w:p w14:paraId="7390C01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‘0800’: EstablishISDRkeyset</w:t>
      </w:r>
    </w:p>
    <w:p w14:paraId="13259C5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‘0900’:FinaliseISDRhandover</w:t>
      </w:r>
    </w:p>
    <w:p w14:paraId="24EB0D1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‘0A00’: SetEmergencyProfileAttribute</w:t>
      </w:r>
    </w:p>
    <w:p w14:paraId="68613B1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‘0B00’ to ‘FF00’ RFU</w:t>
      </w:r>
    </w:p>
    <w:p w14:paraId="75259DA0" w14:textId="671C280F" w:rsidR="00B97365" w:rsidRDefault="00000000">
      <w:pPr>
        <w:spacing w:after="200" w:line="276" w:lineRule="auto"/>
        <w:ind w:left="1560" w:hanging="1276"/>
        <w:jc w:val="left"/>
        <w:rPr>
          <w:rFonts w:cs="Calibri"/>
        </w:rPr>
      </w:pPr>
      <w:r>
        <w:rPr>
          <w:rFonts w:cs="Arial"/>
          <w:szCs w:val="22"/>
          <w:lang w:val="en-US" w:eastAsia="en-GB" w:bidi="ar-SA"/>
        </w:rPr>
        <w:t xml:space="preserve">NOTE: </w:t>
      </w:r>
      <w:r>
        <w:rPr>
          <w:rFonts w:cs="Arial"/>
          <w:szCs w:val="22"/>
          <w:lang w:val="en-US" w:eastAsia="en-GB" w:bidi="ar-SA"/>
        </w:rPr>
        <w:tab/>
        <w:t xml:space="preserve">1st byte is reserved for Notification Type as defined in section </w:t>
      </w:r>
      <w:r>
        <w:fldChar w:fldCharType="begin"/>
      </w:r>
      <w:r>
        <w:rPr>
          <w:szCs w:val="22"/>
          <w:lang w:val="en-US" w:eastAsia="en-GB" w:bidi="ar-SA"/>
        </w:rPr>
        <w:instrText xml:space="preserve"> REF _Ref367972946 \r \h </w:instrText>
      </w:r>
      <w:r>
        <w:fldChar w:fldCharType="separate"/>
      </w:r>
      <w:r w:rsidR="001D5AD9">
        <w:rPr>
          <w:szCs w:val="22"/>
          <w:lang w:val="en-US" w:eastAsia="en-GB" w:bidi="ar-SA"/>
        </w:rPr>
        <w:t>4.1.1.11</w:t>
      </w:r>
      <w:r>
        <w:fldChar w:fldCharType="end"/>
      </w:r>
    </w:p>
    <w:p w14:paraId="3F1CF803"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110" w:name="_Toc368932268"/>
      <w:bookmarkStart w:id="3111" w:name="_Ref367977029"/>
      <w:bookmarkStart w:id="3112" w:name="_Ref367976995"/>
      <w:bookmarkStart w:id="3113" w:name="_Ref367976971"/>
      <w:bookmarkStart w:id="3114" w:name="_Ref367976934"/>
      <w:bookmarkStart w:id="3115" w:name="_Ref367976899"/>
      <w:bookmarkStart w:id="3116" w:name="_Ref367976891"/>
      <w:bookmarkStart w:id="3117" w:name="_Ref367976881"/>
      <w:bookmarkStart w:id="3118" w:name="_Ref367976844"/>
      <w:bookmarkStart w:id="3119" w:name="_Ref367976816"/>
      <w:bookmarkStart w:id="3120" w:name="_Ref367976786"/>
      <w:bookmarkStart w:id="3121" w:name="_Ref367976739"/>
      <w:bookmarkStart w:id="3122" w:name="_Ref367976700"/>
      <w:bookmarkStart w:id="3123" w:name="_Ref367976692"/>
      <w:bookmarkStart w:id="3124" w:name="_Ref367976684"/>
      <w:bookmarkStart w:id="3125" w:name="_Ref367976677"/>
      <w:bookmarkStart w:id="3126" w:name="_Ref367976669"/>
      <w:bookmarkStart w:id="3127" w:name="_Ref367976640"/>
      <w:bookmarkStart w:id="3128" w:name="_Ref367976581"/>
      <w:bookmarkStart w:id="3129" w:name="_Toc353536189"/>
      <w:bookmarkStart w:id="3130" w:name="_Ref84538475"/>
      <w:bookmarkStart w:id="3131" w:name="_Ref84539156"/>
      <w:r>
        <w:rPr>
          <w:rFonts w:ascii="Arial Bold" w:eastAsia="Times New Roman" w:hAnsi="Arial Bold" w:cs="Arial"/>
          <w:b/>
          <w:bCs/>
          <w:szCs w:val="26"/>
          <w:lang w:val="en-US" w:eastAsia="en-US"/>
        </w:rPr>
        <w:t>EIS</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14:paraId="556372B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EIS</w:t>
      </w:r>
      <w:r>
        <w:rPr>
          <w:rFonts w:cs="Arial"/>
          <w:szCs w:val="22"/>
          <w:lang w:val="en-US" w:eastAsia="en-GB" w:bidi="ar-SA"/>
        </w:rPr>
        <w:t xml:space="preserve"> type is for representing eUICC Information Set.</w:t>
      </w:r>
    </w:p>
    <w:tbl>
      <w:tblPr>
        <w:tblW w:w="87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01"/>
        <w:gridCol w:w="4347"/>
        <w:gridCol w:w="1702"/>
        <w:gridCol w:w="709"/>
      </w:tblGrid>
      <w:tr w:rsidR="00B97365" w14:paraId="79C3441F" w14:textId="77777777">
        <w:trPr>
          <w:cantSplit/>
          <w:trHeight w:val="342"/>
        </w:trPr>
        <w:tc>
          <w:tcPr>
            <w:tcW w:w="2001" w:type="dxa"/>
            <w:tcBorders>
              <w:top w:val="single" w:sz="4" w:space="0" w:color="auto"/>
              <w:left w:val="single" w:sz="4" w:space="0" w:color="auto"/>
              <w:bottom w:val="single" w:sz="6" w:space="0" w:color="auto"/>
              <w:right w:val="single" w:sz="6" w:space="0" w:color="auto"/>
            </w:tcBorders>
            <w:shd w:val="clear" w:color="auto" w:fill="C00000"/>
            <w:hideMark/>
          </w:tcPr>
          <w:p w14:paraId="6334B856" w14:textId="77777777" w:rsidR="00B97365" w:rsidRDefault="00000000">
            <w:pPr>
              <w:jc w:val="center"/>
              <w:rPr>
                <w:rFonts w:cs="Calibri"/>
                <w:b/>
                <w:color w:val="FFFFFF"/>
                <w:sz w:val="16"/>
                <w:szCs w:val="16"/>
              </w:rPr>
            </w:pPr>
            <w:r>
              <w:rPr>
                <w:rFonts w:cs="Calibri"/>
                <w:b/>
                <w:color w:val="FFFFFF"/>
                <w:sz w:val="16"/>
                <w:szCs w:val="16"/>
              </w:rPr>
              <w:t>Data name</w:t>
            </w:r>
          </w:p>
        </w:tc>
        <w:tc>
          <w:tcPr>
            <w:tcW w:w="4347" w:type="dxa"/>
            <w:tcBorders>
              <w:top w:val="single" w:sz="4" w:space="0" w:color="auto"/>
              <w:left w:val="single" w:sz="6" w:space="0" w:color="auto"/>
              <w:bottom w:val="single" w:sz="6" w:space="0" w:color="auto"/>
              <w:right w:val="single" w:sz="6" w:space="0" w:color="auto"/>
            </w:tcBorders>
            <w:shd w:val="clear" w:color="auto" w:fill="C00000"/>
            <w:hideMark/>
          </w:tcPr>
          <w:p w14:paraId="78909D9F" w14:textId="77777777" w:rsidR="00B97365" w:rsidRDefault="00000000">
            <w:pPr>
              <w:jc w:val="center"/>
              <w:rPr>
                <w:rFonts w:cs="Calibri"/>
                <w:b/>
                <w:color w:val="FFFFFF"/>
                <w:sz w:val="16"/>
                <w:szCs w:val="16"/>
              </w:rPr>
            </w:pPr>
            <w:r>
              <w:rPr>
                <w:rFonts w:cs="Calibri"/>
                <w:b/>
                <w:color w:val="FFFFFF"/>
                <w:sz w:val="16"/>
                <w:szCs w:val="16"/>
              </w:rPr>
              <w:t>Description</w:t>
            </w:r>
          </w:p>
        </w:tc>
        <w:tc>
          <w:tcPr>
            <w:tcW w:w="1702" w:type="dxa"/>
            <w:tcBorders>
              <w:top w:val="single" w:sz="4" w:space="0" w:color="auto"/>
              <w:left w:val="single" w:sz="6" w:space="0" w:color="auto"/>
              <w:bottom w:val="single" w:sz="6" w:space="0" w:color="auto"/>
              <w:right w:val="single" w:sz="6" w:space="0" w:color="auto"/>
            </w:tcBorders>
            <w:shd w:val="clear" w:color="auto" w:fill="C00000"/>
            <w:hideMark/>
          </w:tcPr>
          <w:p w14:paraId="5EFBC98E" w14:textId="77777777" w:rsidR="00B97365" w:rsidRDefault="00000000">
            <w:pPr>
              <w:jc w:val="center"/>
              <w:rPr>
                <w:rFonts w:cs="Calibri"/>
                <w:b/>
                <w:color w:val="FFFFFF"/>
                <w:sz w:val="16"/>
                <w:szCs w:val="16"/>
              </w:rPr>
            </w:pPr>
            <w:r>
              <w:rPr>
                <w:rFonts w:cs="Calibri"/>
                <w:b/>
                <w:color w:val="FFFFFF"/>
                <w:sz w:val="16"/>
                <w:szCs w:val="16"/>
              </w:rPr>
              <w:t>Type</w:t>
            </w:r>
          </w:p>
        </w:tc>
        <w:tc>
          <w:tcPr>
            <w:tcW w:w="709" w:type="dxa"/>
            <w:tcBorders>
              <w:top w:val="single" w:sz="4" w:space="0" w:color="auto"/>
              <w:left w:val="single" w:sz="6" w:space="0" w:color="auto"/>
              <w:bottom w:val="single" w:sz="6" w:space="0" w:color="auto"/>
              <w:right w:val="single" w:sz="6" w:space="0" w:color="auto"/>
            </w:tcBorders>
            <w:shd w:val="clear" w:color="auto" w:fill="C00000"/>
            <w:hideMark/>
          </w:tcPr>
          <w:p w14:paraId="7C7042E5" w14:textId="77777777" w:rsidR="00B97365" w:rsidRDefault="00000000">
            <w:pPr>
              <w:jc w:val="center"/>
              <w:rPr>
                <w:rFonts w:cs="Calibri"/>
                <w:b/>
                <w:color w:val="FFFFFF"/>
                <w:sz w:val="16"/>
                <w:szCs w:val="16"/>
              </w:rPr>
            </w:pPr>
            <w:r>
              <w:rPr>
                <w:rFonts w:cs="Calibri"/>
                <w:b/>
                <w:color w:val="FFFFFF"/>
                <w:sz w:val="16"/>
                <w:szCs w:val="16"/>
              </w:rPr>
              <w:t>No.</w:t>
            </w:r>
          </w:p>
        </w:tc>
      </w:tr>
      <w:tr w:rsidR="00B97365" w14:paraId="4858C55D"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5319600F" w14:textId="77777777" w:rsidR="00B97365" w:rsidRDefault="00000000">
            <w:pPr>
              <w:rPr>
                <w:rFonts w:eastAsia="Times New Roman" w:cs="Calibri"/>
                <w:sz w:val="16"/>
                <w:szCs w:val="16"/>
              </w:rPr>
            </w:pPr>
            <w:r>
              <w:rPr>
                <w:rFonts w:cs="Calibri"/>
                <w:sz w:val="16"/>
                <w:szCs w:val="16"/>
              </w:rPr>
              <w:t>eid</w:t>
            </w:r>
          </w:p>
        </w:tc>
        <w:tc>
          <w:tcPr>
            <w:tcW w:w="4347" w:type="dxa"/>
            <w:tcBorders>
              <w:top w:val="single" w:sz="6" w:space="0" w:color="auto"/>
              <w:left w:val="single" w:sz="6" w:space="0" w:color="auto"/>
              <w:bottom w:val="single" w:sz="6" w:space="0" w:color="auto"/>
              <w:right w:val="single" w:sz="6" w:space="0" w:color="auto"/>
            </w:tcBorders>
            <w:hideMark/>
          </w:tcPr>
          <w:p w14:paraId="0F86F09A" w14:textId="77777777" w:rsidR="00B97365" w:rsidRDefault="00000000">
            <w:pPr>
              <w:rPr>
                <w:rFonts w:eastAsia="Times New Roman" w:cs="Calibri"/>
                <w:sz w:val="16"/>
                <w:szCs w:val="16"/>
                <w:lang w:val="en-US"/>
              </w:rPr>
            </w:pPr>
            <w:r>
              <w:rPr>
                <w:rFonts w:cs="Calibri"/>
                <w:sz w:val="16"/>
                <w:szCs w:val="16"/>
                <w:lang w:val="en-US"/>
              </w:rPr>
              <w:t>Identification of the eUICC.</w:t>
            </w:r>
          </w:p>
          <w:p w14:paraId="46C8EC8E" w14:textId="47E13808" w:rsidR="00B97365" w:rsidRDefault="00000000">
            <w:pPr>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_Ref367973441 \r \h  \* MERGEFORMAT </w:instrText>
            </w:r>
            <w:r>
              <w:fldChar w:fldCharType="separate"/>
            </w:r>
            <w:r w:rsidR="001D5AD9" w:rsidRPr="001D5AD9">
              <w:rPr>
                <w:rFonts w:cs="Calibri"/>
                <w:sz w:val="16"/>
                <w:szCs w:val="16"/>
                <w:lang w:val="en-US"/>
              </w:rPr>
              <w:t>5.1.1.1</w:t>
            </w:r>
            <w:r>
              <w:fldChar w:fldCharType="end"/>
            </w:r>
            <w:r>
              <w:rPr>
                <w:rFonts w:cs="Calibri"/>
                <w:sz w:val="16"/>
                <w:szCs w:val="16"/>
                <w:lang w:val="en-US"/>
              </w:rPr>
              <w:t xml:space="preserve"> for type description.</w:t>
            </w:r>
          </w:p>
          <w:p w14:paraId="2527EEA9" w14:textId="77777777" w:rsidR="00B97365" w:rsidRDefault="00000000">
            <w:pPr>
              <w:rPr>
                <w:rFonts w:eastAsia="Times New Roman" w:cs="Calibri"/>
                <w:sz w:val="16"/>
                <w:szCs w:val="16"/>
              </w:rPr>
            </w:pPr>
            <w:r>
              <w:rPr>
                <w:rFonts w:cs="Calibri"/>
                <w:sz w:val="16"/>
                <w:szCs w:val="16"/>
                <w:lang w:val="en-US"/>
              </w:rPr>
              <w:t>This information is initially provided by the EUM at registration time, and remains unchanged during all the eUICC’s lifetime.</w:t>
            </w:r>
          </w:p>
        </w:tc>
        <w:tc>
          <w:tcPr>
            <w:tcW w:w="1702" w:type="dxa"/>
            <w:tcBorders>
              <w:top w:val="single" w:sz="6" w:space="0" w:color="auto"/>
              <w:left w:val="single" w:sz="6" w:space="0" w:color="auto"/>
              <w:bottom w:val="single" w:sz="6" w:space="0" w:color="auto"/>
              <w:right w:val="single" w:sz="6" w:space="0" w:color="auto"/>
            </w:tcBorders>
            <w:hideMark/>
          </w:tcPr>
          <w:p w14:paraId="07FB9287" w14:textId="77777777" w:rsidR="00B97365" w:rsidRDefault="00000000">
            <w:pPr>
              <w:rPr>
                <w:rFonts w:eastAsia="Times New Roman" w:cs="Calibri"/>
                <w:sz w:val="16"/>
                <w:szCs w:val="16"/>
              </w:rPr>
            </w:pPr>
            <w:r>
              <w:rPr>
                <w:rFonts w:cs="Calibri"/>
                <w:sz w:val="16"/>
                <w:szCs w:val="16"/>
              </w:rPr>
              <w:t>EID</w:t>
            </w:r>
          </w:p>
        </w:tc>
        <w:tc>
          <w:tcPr>
            <w:tcW w:w="709" w:type="dxa"/>
            <w:tcBorders>
              <w:top w:val="single" w:sz="6" w:space="0" w:color="auto"/>
              <w:left w:val="single" w:sz="6" w:space="0" w:color="auto"/>
              <w:bottom w:val="single" w:sz="6" w:space="0" w:color="auto"/>
              <w:right w:val="single" w:sz="6" w:space="0" w:color="auto"/>
            </w:tcBorders>
            <w:hideMark/>
          </w:tcPr>
          <w:p w14:paraId="5931034F" w14:textId="77777777" w:rsidR="00B97365" w:rsidRDefault="00000000">
            <w:pPr>
              <w:jc w:val="center"/>
              <w:rPr>
                <w:rFonts w:eastAsia="Times New Roman" w:cs="Calibri"/>
                <w:sz w:val="16"/>
                <w:szCs w:val="16"/>
              </w:rPr>
            </w:pPr>
            <w:r>
              <w:rPr>
                <w:rFonts w:cs="Calibri"/>
                <w:sz w:val="16"/>
                <w:szCs w:val="16"/>
              </w:rPr>
              <w:t>1</w:t>
            </w:r>
          </w:p>
        </w:tc>
      </w:tr>
      <w:tr w:rsidR="00B97365" w14:paraId="0D058AF6"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10986E8F" w14:textId="77777777" w:rsidR="00B97365" w:rsidRDefault="00000000">
            <w:pPr>
              <w:rPr>
                <w:rFonts w:eastAsia="Times New Roman" w:cs="Calibri"/>
                <w:sz w:val="16"/>
                <w:szCs w:val="16"/>
              </w:rPr>
            </w:pPr>
            <w:r>
              <w:rPr>
                <w:rFonts w:cs="Calibri"/>
                <w:sz w:val="16"/>
                <w:szCs w:val="16"/>
              </w:rPr>
              <w:t>eum-id</w:t>
            </w:r>
          </w:p>
        </w:tc>
        <w:tc>
          <w:tcPr>
            <w:tcW w:w="4347" w:type="dxa"/>
            <w:tcBorders>
              <w:top w:val="single" w:sz="6" w:space="0" w:color="auto"/>
              <w:left w:val="single" w:sz="6" w:space="0" w:color="auto"/>
              <w:bottom w:val="single" w:sz="6" w:space="0" w:color="auto"/>
              <w:right w:val="single" w:sz="6" w:space="0" w:color="auto"/>
            </w:tcBorders>
            <w:hideMark/>
          </w:tcPr>
          <w:p w14:paraId="42D61B65" w14:textId="77777777" w:rsidR="00B97365" w:rsidRDefault="00000000">
            <w:pPr>
              <w:rPr>
                <w:rFonts w:eastAsia="Times New Roman" w:cs="Calibri"/>
                <w:sz w:val="16"/>
                <w:szCs w:val="16"/>
                <w:lang w:val="en-US"/>
              </w:rPr>
            </w:pPr>
            <w:r>
              <w:rPr>
                <w:rFonts w:cs="Calibri"/>
                <w:sz w:val="16"/>
                <w:szCs w:val="16"/>
                <w:lang w:val="en-US"/>
              </w:rPr>
              <w:t>Identification of the eUICC Manufacturer (i.e. Card Vendor) that has manufactured the eUICC.</w:t>
            </w:r>
          </w:p>
          <w:p w14:paraId="2AE5DB6B" w14:textId="77777777" w:rsidR="00B97365" w:rsidRDefault="00000000">
            <w:pPr>
              <w:rPr>
                <w:rFonts w:eastAsia="Times New Roman" w:cs="Calibri"/>
                <w:sz w:val="16"/>
                <w:szCs w:val="16"/>
                <w:lang w:val="en-US"/>
              </w:rPr>
            </w:pPr>
            <w:r>
              <w:rPr>
                <w:rFonts w:cs="Calibri"/>
                <w:sz w:val="16"/>
                <w:szCs w:val="16"/>
                <w:lang w:val="en-US"/>
              </w:rPr>
              <w:t>This information is initially provided by the EUM at registration time, and remains unchanged during all the eUICC’s lifetime.</w:t>
            </w:r>
          </w:p>
          <w:p w14:paraId="4F1F56A9" w14:textId="77777777" w:rsidR="00B97365" w:rsidRDefault="00000000">
            <w:pPr>
              <w:rPr>
                <w:rFonts w:eastAsia="Times New Roman" w:cs="Calibri"/>
                <w:sz w:val="16"/>
                <w:szCs w:val="16"/>
                <w:lang w:val="en-US"/>
              </w:rPr>
            </w:pPr>
            <w:r>
              <w:rPr>
                <w:rFonts w:cs="Calibri"/>
                <w:sz w:val="16"/>
                <w:szCs w:val="16"/>
                <w:lang w:val="en-US"/>
              </w:rPr>
              <w:t xml:space="preserve">The ‘eum-id’ indication, jointly with the ‘platformType’ and ‘version, may especially be useful for the SM-DP to perform the Profile generation and packaging. </w:t>
            </w:r>
          </w:p>
        </w:tc>
        <w:tc>
          <w:tcPr>
            <w:tcW w:w="1702" w:type="dxa"/>
            <w:tcBorders>
              <w:top w:val="single" w:sz="6" w:space="0" w:color="auto"/>
              <w:left w:val="single" w:sz="6" w:space="0" w:color="auto"/>
              <w:bottom w:val="single" w:sz="6" w:space="0" w:color="auto"/>
              <w:right w:val="single" w:sz="6" w:space="0" w:color="auto"/>
            </w:tcBorders>
            <w:hideMark/>
          </w:tcPr>
          <w:p w14:paraId="004C737B" w14:textId="77777777" w:rsidR="00B97365" w:rsidRDefault="00000000">
            <w:pPr>
              <w:rPr>
                <w:rFonts w:eastAsia="Times New Roman" w:cs="Calibri"/>
                <w:sz w:val="16"/>
                <w:szCs w:val="16"/>
                <w:lang w:val="en-US"/>
              </w:rPr>
            </w:pPr>
            <w:r>
              <w:rPr>
                <w:rFonts w:cs="Calibri"/>
                <w:sz w:val="16"/>
                <w:szCs w:val="16"/>
                <w:lang w:val="en-US"/>
              </w:rPr>
              <w:t>OID</w:t>
            </w:r>
          </w:p>
        </w:tc>
        <w:tc>
          <w:tcPr>
            <w:tcW w:w="709" w:type="dxa"/>
            <w:tcBorders>
              <w:top w:val="single" w:sz="6" w:space="0" w:color="auto"/>
              <w:left w:val="single" w:sz="6" w:space="0" w:color="auto"/>
              <w:bottom w:val="single" w:sz="6" w:space="0" w:color="auto"/>
              <w:right w:val="single" w:sz="6" w:space="0" w:color="auto"/>
            </w:tcBorders>
            <w:hideMark/>
          </w:tcPr>
          <w:p w14:paraId="0FF6E03F"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37C74448"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28B0B872" w14:textId="77777777" w:rsidR="00B97365" w:rsidRDefault="00000000">
            <w:pPr>
              <w:rPr>
                <w:rFonts w:eastAsia="Times New Roman" w:cs="Calibri"/>
                <w:sz w:val="16"/>
                <w:szCs w:val="16"/>
              </w:rPr>
            </w:pPr>
            <w:r>
              <w:rPr>
                <w:rFonts w:cs="Calibri"/>
                <w:sz w:val="16"/>
                <w:szCs w:val="16"/>
              </w:rPr>
              <w:t>productionDate</w:t>
            </w:r>
          </w:p>
        </w:tc>
        <w:tc>
          <w:tcPr>
            <w:tcW w:w="4347" w:type="dxa"/>
            <w:tcBorders>
              <w:top w:val="single" w:sz="6" w:space="0" w:color="auto"/>
              <w:left w:val="single" w:sz="6" w:space="0" w:color="auto"/>
              <w:bottom w:val="single" w:sz="6" w:space="0" w:color="auto"/>
              <w:right w:val="single" w:sz="6" w:space="0" w:color="auto"/>
            </w:tcBorders>
            <w:hideMark/>
          </w:tcPr>
          <w:p w14:paraId="1EA0B87A" w14:textId="77777777" w:rsidR="00B97365" w:rsidRDefault="00000000">
            <w:pPr>
              <w:rPr>
                <w:rFonts w:eastAsia="Times New Roman" w:cs="Calibri"/>
                <w:sz w:val="16"/>
                <w:szCs w:val="16"/>
                <w:lang w:val="en-US"/>
              </w:rPr>
            </w:pPr>
            <w:r>
              <w:rPr>
                <w:rFonts w:cs="Calibri"/>
                <w:sz w:val="16"/>
                <w:szCs w:val="16"/>
                <w:lang w:val="en-US"/>
              </w:rPr>
              <w:t>The date/time where the eUICC has been manufactured by the card vendor.</w:t>
            </w:r>
          </w:p>
          <w:p w14:paraId="16D1DBD1" w14:textId="77777777" w:rsidR="00B97365" w:rsidRDefault="00000000">
            <w:pPr>
              <w:rPr>
                <w:rFonts w:eastAsia="Times New Roman" w:cs="Calibri"/>
                <w:sz w:val="16"/>
                <w:szCs w:val="16"/>
                <w:lang w:val="en-US"/>
              </w:rPr>
            </w:pPr>
            <w:r>
              <w:rPr>
                <w:rFonts w:cs="Calibri"/>
                <w:sz w:val="16"/>
                <w:szCs w:val="16"/>
                <w:lang w:val="en-US"/>
              </w:rPr>
              <w:t>This information is initially provided by the EUM at registration time, and remains unchanged during all the eUICC’s lifetime.</w:t>
            </w:r>
          </w:p>
        </w:tc>
        <w:tc>
          <w:tcPr>
            <w:tcW w:w="1702" w:type="dxa"/>
            <w:tcBorders>
              <w:top w:val="single" w:sz="6" w:space="0" w:color="auto"/>
              <w:left w:val="single" w:sz="6" w:space="0" w:color="auto"/>
              <w:bottom w:val="single" w:sz="6" w:space="0" w:color="auto"/>
              <w:right w:val="single" w:sz="6" w:space="0" w:color="auto"/>
            </w:tcBorders>
            <w:hideMark/>
          </w:tcPr>
          <w:p w14:paraId="0BEA9CF2" w14:textId="77777777" w:rsidR="00B97365" w:rsidRDefault="00000000">
            <w:pPr>
              <w:rPr>
                <w:rFonts w:eastAsia="Times New Roman" w:cs="Calibri"/>
                <w:sz w:val="16"/>
                <w:szCs w:val="16"/>
                <w:lang w:val="en-US"/>
              </w:rPr>
            </w:pPr>
            <w:r>
              <w:rPr>
                <w:rFonts w:cs="Calibri"/>
                <w:sz w:val="16"/>
                <w:szCs w:val="16"/>
              </w:rPr>
              <w:t>DATETIME</w:t>
            </w:r>
          </w:p>
        </w:tc>
        <w:tc>
          <w:tcPr>
            <w:tcW w:w="709" w:type="dxa"/>
            <w:tcBorders>
              <w:top w:val="single" w:sz="6" w:space="0" w:color="auto"/>
              <w:left w:val="single" w:sz="6" w:space="0" w:color="auto"/>
              <w:bottom w:val="single" w:sz="6" w:space="0" w:color="auto"/>
              <w:right w:val="single" w:sz="6" w:space="0" w:color="auto"/>
            </w:tcBorders>
            <w:hideMark/>
          </w:tcPr>
          <w:p w14:paraId="4293B659"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62F7B867"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729350B9" w14:textId="77777777" w:rsidR="00B97365" w:rsidRDefault="00000000">
            <w:pPr>
              <w:rPr>
                <w:rFonts w:eastAsia="Times New Roman" w:cs="Calibri"/>
                <w:sz w:val="16"/>
                <w:szCs w:val="16"/>
              </w:rPr>
            </w:pPr>
            <w:r>
              <w:rPr>
                <w:rFonts w:cs="Calibri"/>
                <w:sz w:val="16"/>
                <w:szCs w:val="16"/>
              </w:rPr>
              <w:t>platformType</w:t>
            </w:r>
          </w:p>
        </w:tc>
        <w:tc>
          <w:tcPr>
            <w:tcW w:w="4347" w:type="dxa"/>
            <w:tcBorders>
              <w:top w:val="single" w:sz="6" w:space="0" w:color="auto"/>
              <w:left w:val="single" w:sz="6" w:space="0" w:color="auto"/>
              <w:bottom w:val="single" w:sz="6" w:space="0" w:color="auto"/>
              <w:right w:val="single" w:sz="6" w:space="0" w:color="auto"/>
            </w:tcBorders>
            <w:hideMark/>
          </w:tcPr>
          <w:p w14:paraId="188CCFDB" w14:textId="77777777" w:rsidR="00B97365" w:rsidRDefault="00000000">
            <w:pPr>
              <w:rPr>
                <w:rFonts w:eastAsia="Times New Roman" w:cs="Calibri"/>
                <w:sz w:val="16"/>
                <w:szCs w:val="16"/>
                <w:lang w:val="en-US"/>
              </w:rPr>
            </w:pPr>
            <w:r>
              <w:rPr>
                <w:rFonts w:cs="Calibri"/>
                <w:sz w:val="16"/>
                <w:szCs w:val="16"/>
                <w:lang w:val="en-US"/>
              </w:rPr>
              <w:t>Indication of the eUICC platform/OS type.</w:t>
            </w:r>
          </w:p>
          <w:p w14:paraId="6D0EC7C4" w14:textId="77777777" w:rsidR="00B97365" w:rsidRDefault="00000000">
            <w:pPr>
              <w:rPr>
                <w:rFonts w:eastAsia="Times New Roman" w:cs="Calibri"/>
                <w:sz w:val="16"/>
                <w:szCs w:val="16"/>
                <w:lang w:val="en-US"/>
              </w:rPr>
            </w:pPr>
            <w:r>
              <w:rPr>
                <w:rFonts w:cs="Calibri"/>
                <w:sz w:val="16"/>
                <w:szCs w:val="16"/>
                <w:lang w:val="en-US"/>
              </w:rPr>
              <w:t>This information is initially provided by the EUM at registration time, and remains unchanged during all the eUICC’s lifetime.</w:t>
            </w:r>
          </w:p>
          <w:p w14:paraId="6B12A7C8" w14:textId="77777777" w:rsidR="00B97365" w:rsidRDefault="00000000">
            <w:pPr>
              <w:rPr>
                <w:rFonts w:eastAsia="Times New Roman" w:cs="Calibri"/>
                <w:sz w:val="16"/>
                <w:szCs w:val="16"/>
                <w:lang w:val="en-US"/>
              </w:rPr>
            </w:pPr>
            <w:r>
              <w:rPr>
                <w:rFonts w:cs="Calibri"/>
                <w:sz w:val="16"/>
                <w:szCs w:val="16"/>
                <w:lang w:val="en-US"/>
              </w:rPr>
              <w:t>The content of this field is not enforced by this specification; the EUM can use any convenient string value.</w:t>
            </w:r>
          </w:p>
        </w:tc>
        <w:tc>
          <w:tcPr>
            <w:tcW w:w="1702" w:type="dxa"/>
            <w:tcBorders>
              <w:top w:val="single" w:sz="6" w:space="0" w:color="auto"/>
              <w:left w:val="single" w:sz="6" w:space="0" w:color="auto"/>
              <w:bottom w:val="single" w:sz="6" w:space="0" w:color="auto"/>
              <w:right w:val="single" w:sz="6" w:space="0" w:color="auto"/>
            </w:tcBorders>
            <w:hideMark/>
          </w:tcPr>
          <w:p w14:paraId="45BB8DFB" w14:textId="77777777" w:rsidR="00B97365" w:rsidRDefault="00000000">
            <w:pPr>
              <w:rPr>
                <w:rFonts w:eastAsia="Times New Roman" w:cs="Calibri"/>
                <w:sz w:val="16"/>
                <w:szCs w:val="16"/>
                <w:lang w:val="en-US"/>
              </w:rPr>
            </w:pPr>
            <w:r>
              <w:rPr>
                <w:rFonts w:cs="Calibri"/>
                <w:sz w:val="16"/>
                <w:szCs w:val="16"/>
                <w:lang w:val="en-US"/>
              </w:rPr>
              <w:t>String</w:t>
            </w:r>
          </w:p>
        </w:tc>
        <w:tc>
          <w:tcPr>
            <w:tcW w:w="709" w:type="dxa"/>
            <w:tcBorders>
              <w:top w:val="single" w:sz="6" w:space="0" w:color="auto"/>
              <w:left w:val="single" w:sz="6" w:space="0" w:color="auto"/>
              <w:bottom w:val="single" w:sz="6" w:space="0" w:color="auto"/>
              <w:right w:val="single" w:sz="6" w:space="0" w:color="auto"/>
            </w:tcBorders>
            <w:hideMark/>
          </w:tcPr>
          <w:p w14:paraId="4742A66F"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37E401BE"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546A3D94" w14:textId="77777777" w:rsidR="00B97365" w:rsidRDefault="00000000">
            <w:pPr>
              <w:rPr>
                <w:rFonts w:eastAsia="Times New Roman" w:cs="Calibri"/>
                <w:sz w:val="16"/>
                <w:szCs w:val="16"/>
              </w:rPr>
            </w:pPr>
            <w:r>
              <w:rPr>
                <w:rFonts w:cs="Calibri"/>
                <w:sz w:val="16"/>
                <w:szCs w:val="16"/>
              </w:rPr>
              <w:t>platformVersion</w:t>
            </w:r>
          </w:p>
        </w:tc>
        <w:tc>
          <w:tcPr>
            <w:tcW w:w="4347" w:type="dxa"/>
            <w:tcBorders>
              <w:top w:val="single" w:sz="6" w:space="0" w:color="auto"/>
              <w:left w:val="single" w:sz="6" w:space="0" w:color="auto"/>
              <w:bottom w:val="single" w:sz="6" w:space="0" w:color="auto"/>
              <w:right w:val="single" w:sz="6" w:space="0" w:color="auto"/>
            </w:tcBorders>
            <w:hideMark/>
          </w:tcPr>
          <w:p w14:paraId="0AC941C4" w14:textId="77777777" w:rsidR="00B97365" w:rsidRDefault="00000000">
            <w:pPr>
              <w:rPr>
                <w:rFonts w:eastAsia="Times New Roman" w:cs="Calibri"/>
                <w:sz w:val="16"/>
                <w:szCs w:val="16"/>
                <w:lang w:val="en-US"/>
              </w:rPr>
            </w:pPr>
            <w:r>
              <w:rPr>
                <w:rFonts w:cs="Calibri"/>
                <w:sz w:val="16"/>
                <w:szCs w:val="16"/>
                <w:lang w:val="en-US"/>
              </w:rPr>
              <w:t>Indication of the version of the eUICC platform/OS type.</w:t>
            </w:r>
          </w:p>
          <w:p w14:paraId="65ECBE5D" w14:textId="77777777" w:rsidR="00B97365" w:rsidRDefault="00000000">
            <w:pPr>
              <w:rPr>
                <w:rFonts w:eastAsia="Times New Roman" w:cs="Calibri"/>
                <w:sz w:val="16"/>
                <w:szCs w:val="16"/>
                <w:lang w:val="en-US"/>
              </w:rPr>
            </w:pPr>
            <w:r>
              <w:rPr>
                <w:rFonts w:cs="Calibri"/>
                <w:sz w:val="16"/>
                <w:szCs w:val="16"/>
                <w:lang w:val="en-US"/>
              </w:rPr>
              <w:t>This information is initially provided by the EUM at registration time, and remains unchanged during all the eUICC’s lifetime.</w:t>
            </w:r>
          </w:p>
        </w:tc>
        <w:tc>
          <w:tcPr>
            <w:tcW w:w="1702" w:type="dxa"/>
            <w:tcBorders>
              <w:top w:val="single" w:sz="6" w:space="0" w:color="auto"/>
              <w:left w:val="single" w:sz="6" w:space="0" w:color="auto"/>
              <w:bottom w:val="single" w:sz="6" w:space="0" w:color="auto"/>
              <w:right w:val="single" w:sz="6" w:space="0" w:color="auto"/>
            </w:tcBorders>
            <w:hideMark/>
          </w:tcPr>
          <w:p w14:paraId="464FDE89" w14:textId="77777777" w:rsidR="00B97365" w:rsidRDefault="00000000">
            <w:pPr>
              <w:rPr>
                <w:rFonts w:eastAsia="Times New Roman" w:cs="Calibri"/>
                <w:sz w:val="16"/>
                <w:szCs w:val="16"/>
                <w:lang w:val="en-US"/>
              </w:rPr>
            </w:pPr>
            <w:r>
              <w:rPr>
                <w:rFonts w:cs="Calibri"/>
                <w:sz w:val="16"/>
                <w:szCs w:val="16"/>
                <w:lang w:val="en-US"/>
              </w:rPr>
              <w:t>VERSION</w:t>
            </w:r>
          </w:p>
        </w:tc>
        <w:tc>
          <w:tcPr>
            <w:tcW w:w="709" w:type="dxa"/>
            <w:tcBorders>
              <w:top w:val="single" w:sz="6" w:space="0" w:color="auto"/>
              <w:left w:val="single" w:sz="6" w:space="0" w:color="auto"/>
              <w:bottom w:val="single" w:sz="6" w:space="0" w:color="auto"/>
              <w:right w:val="single" w:sz="6" w:space="0" w:color="auto"/>
            </w:tcBorders>
            <w:hideMark/>
          </w:tcPr>
          <w:p w14:paraId="01190511"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761B7E56"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4123A214" w14:textId="77777777" w:rsidR="00B97365" w:rsidRDefault="00000000">
            <w:pPr>
              <w:rPr>
                <w:rFonts w:eastAsia="Times New Roman" w:cs="Calibri"/>
                <w:sz w:val="16"/>
                <w:szCs w:val="16"/>
              </w:rPr>
            </w:pPr>
            <w:r>
              <w:rPr>
                <w:rFonts w:cs="Calibri"/>
                <w:sz w:val="16"/>
                <w:szCs w:val="16"/>
              </w:rPr>
              <w:t>remainingMemory</w:t>
            </w:r>
          </w:p>
        </w:tc>
        <w:tc>
          <w:tcPr>
            <w:tcW w:w="4347" w:type="dxa"/>
            <w:tcBorders>
              <w:top w:val="single" w:sz="6" w:space="0" w:color="auto"/>
              <w:left w:val="single" w:sz="6" w:space="0" w:color="auto"/>
              <w:bottom w:val="single" w:sz="6" w:space="0" w:color="auto"/>
              <w:right w:val="single" w:sz="6" w:space="0" w:color="auto"/>
            </w:tcBorders>
            <w:hideMark/>
          </w:tcPr>
          <w:p w14:paraId="0F0DA638" w14:textId="77777777" w:rsidR="00B97365" w:rsidRDefault="00000000">
            <w:pPr>
              <w:rPr>
                <w:rFonts w:eastAsia="Times New Roman" w:cs="Calibri"/>
                <w:sz w:val="16"/>
                <w:szCs w:val="16"/>
                <w:lang w:val="en-US"/>
              </w:rPr>
            </w:pPr>
            <w:r>
              <w:rPr>
                <w:rFonts w:cs="Calibri"/>
                <w:sz w:val="16"/>
                <w:szCs w:val="16"/>
                <w:lang w:val="en-US"/>
              </w:rPr>
              <w:t xml:space="preserve">Indicates the current total available memory (whatever the underlying technology, flash or eeprom) for Profile download and installation. </w:t>
            </w:r>
          </w:p>
          <w:p w14:paraId="19AE7ABA" w14:textId="77777777" w:rsidR="00B97365" w:rsidRDefault="00000000">
            <w:pPr>
              <w:rPr>
                <w:rFonts w:eastAsia="Times New Roman" w:cs="Calibri"/>
                <w:sz w:val="16"/>
                <w:szCs w:val="16"/>
                <w:lang w:val="en-US"/>
              </w:rPr>
            </w:pPr>
            <w:r>
              <w:rPr>
                <w:rFonts w:cs="Calibri"/>
                <w:sz w:val="16"/>
                <w:szCs w:val="16"/>
                <w:lang w:val="en-US"/>
              </w:rPr>
              <w:t>This value MAY be either:-</w:t>
            </w:r>
          </w:p>
          <w:p w14:paraId="55A6F6E1" w14:textId="77777777" w:rsidR="00B97365" w:rsidRDefault="00000000">
            <w:pPr>
              <w:numPr>
                <w:ilvl w:val="0"/>
                <w:numId w:val="19"/>
              </w:numPr>
              <w:textAlignment w:val="baseline"/>
              <w:rPr>
                <w:rFonts w:cs="Calibri"/>
                <w:sz w:val="16"/>
                <w:szCs w:val="16"/>
                <w:lang w:val="en-US"/>
              </w:rPr>
            </w:pPr>
            <w:r>
              <w:rPr>
                <w:rFonts w:cs="Calibri"/>
                <w:sz w:val="16"/>
                <w:szCs w:val="16"/>
                <w:lang w:val="en-US"/>
              </w:rPr>
              <w:t xml:space="preserve">a value cached by the SM-SR based on the initial total memory and memory required by all Profiles currently loaded on the eUICC. </w:t>
            </w:r>
          </w:p>
          <w:p w14:paraId="0159F041" w14:textId="77777777" w:rsidR="00B97365" w:rsidRDefault="00000000">
            <w:pPr>
              <w:numPr>
                <w:ilvl w:val="0"/>
                <w:numId w:val="19"/>
              </w:numPr>
              <w:textAlignment w:val="baseline"/>
              <w:rPr>
                <w:rFonts w:cs="Calibri"/>
                <w:sz w:val="16"/>
                <w:szCs w:val="16"/>
                <w:lang w:val="en-US"/>
              </w:rPr>
            </w:pPr>
            <w:r>
              <w:rPr>
                <w:rFonts w:cs="Calibri"/>
                <w:sz w:val="16"/>
                <w:szCs w:val="16"/>
                <w:lang w:val="en-US"/>
              </w:rPr>
              <w:t>a value retrieved from the eUICC</w:t>
            </w:r>
          </w:p>
          <w:p w14:paraId="7262B145" w14:textId="77777777" w:rsidR="00B97365" w:rsidRDefault="00000000">
            <w:pPr>
              <w:rPr>
                <w:rFonts w:eastAsia="Times New Roman" w:cs="Calibri"/>
                <w:sz w:val="16"/>
                <w:szCs w:val="16"/>
                <w:lang w:val="en-US"/>
              </w:rPr>
            </w:pPr>
            <w:r>
              <w:rPr>
                <w:rFonts w:cs="Calibri"/>
                <w:sz w:val="16"/>
                <w:szCs w:val="16"/>
                <w:lang w:val="en-US"/>
              </w:rPr>
              <w:t>The value is expressed in Bytes.</w:t>
            </w:r>
          </w:p>
          <w:p w14:paraId="4F37A518" w14:textId="77777777" w:rsidR="00B97365" w:rsidRDefault="00000000">
            <w:pPr>
              <w:rPr>
                <w:rFonts w:cs="Calibri"/>
                <w:sz w:val="16"/>
                <w:szCs w:val="16"/>
                <w:lang w:val="en-US"/>
              </w:rPr>
            </w:pPr>
            <w:r>
              <w:rPr>
                <w:rFonts w:eastAsia="Times New Roman" w:cs="Calibri"/>
                <w:sz w:val="16"/>
                <w:szCs w:val="16"/>
                <w:lang w:val="en-US"/>
              </w:rPr>
              <w:t>This information is initially provided by the EUM at registration time, but may change according to the eUICC usage.</w:t>
            </w:r>
          </w:p>
        </w:tc>
        <w:tc>
          <w:tcPr>
            <w:tcW w:w="1702" w:type="dxa"/>
            <w:tcBorders>
              <w:top w:val="single" w:sz="6" w:space="0" w:color="auto"/>
              <w:left w:val="single" w:sz="6" w:space="0" w:color="auto"/>
              <w:bottom w:val="single" w:sz="6" w:space="0" w:color="auto"/>
              <w:right w:val="single" w:sz="6" w:space="0" w:color="auto"/>
            </w:tcBorders>
            <w:hideMark/>
          </w:tcPr>
          <w:p w14:paraId="24C566DB" w14:textId="77777777" w:rsidR="00B97365" w:rsidRDefault="00000000">
            <w:pPr>
              <w:rPr>
                <w:rFonts w:eastAsia="Times New Roman" w:cs="Calibri"/>
                <w:sz w:val="16"/>
                <w:szCs w:val="16"/>
                <w:lang w:val="en-US"/>
              </w:rPr>
            </w:pPr>
            <w:r>
              <w:rPr>
                <w:rFonts w:cs="Calibri"/>
                <w:sz w:val="16"/>
                <w:szCs w:val="16"/>
                <w:lang w:val="en-US"/>
              </w:rPr>
              <w:t>Integer</w:t>
            </w:r>
          </w:p>
        </w:tc>
        <w:tc>
          <w:tcPr>
            <w:tcW w:w="709" w:type="dxa"/>
            <w:tcBorders>
              <w:top w:val="single" w:sz="6" w:space="0" w:color="auto"/>
              <w:left w:val="single" w:sz="6" w:space="0" w:color="auto"/>
              <w:bottom w:val="single" w:sz="6" w:space="0" w:color="auto"/>
              <w:right w:val="single" w:sz="6" w:space="0" w:color="auto"/>
            </w:tcBorders>
            <w:hideMark/>
          </w:tcPr>
          <w:p w14:paraId="4407B0EE"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48C8FE6B"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17CAAE51" w14:textId="77777777" w:rsidR="00B97365" w:rsidRDefault="00000000">
            <w:pPr>
              <w:rPr>
                <w:rFonts w:eastAsia="Times New Roman" w:cs="Calibri"/>
                <w:sz w:val="16"/>
                <w:szCs w:val="16"/>
              </w:rPr>
            </w:pPr>
            <w:r>
              <w:rPr>
                <w:rFonts w:eastAsia="Times New Roman" w:cs="Calibri"/>
                <w:sz w:val="16"/>
                <w:szCs w:val="16"/>
              </w:rPr>
              <w:lastRenderedPageBreak/>
              <w:t>Availablememoryforprofiles</w:t>
            </w:r>
          </w:p>
        </w:tc>
        <w:tc>
          <w:tcPr>
            <w:tcW w:w="4347" w:type="dxa"/>
            <w:tcBorders>
              <w:top w:val="single" w:sz="6" w:space="0" w:color="auto"/>
              <w:left w:val="single" w:sz="6" w:space="0" w:color="auto"/>
              <w:bottom w:val="single" w:sz="6" w:space="0" w:color="auto"/>
              <w:right w:val="single" w:sz="6" w:space="0" w:color="auto"/>
            </w:tcBorders>
            <w:hideMark/>
          </w:tcPr>
          <w:p w14:paraId="558E23AE" w14:textId="77777777" w:rsidR="00B97365" w:rsidRDefault="00000000">
            <w:pPr>
              <w:rPr>
                <w:rFonts w:cs="Calibri"/>
                <w:sz w:val="16"/>
                <w:szCs w:val="16"/>
                <w:lang w:val="en-US"/>
              </w:rPr>
            </w:pPr>
            <w:r>
              <w:rPr>
                <w:rFonts w:cs="Calibri"/>
                <w:sz w:val="16"/>
                <w:szCs w:val="16"/>
                <w:lang w:val="en-US"/>
              </w:rPr>
              <w:t xml:space="preserve">Indicates the free memory (whatever the underlying technology, flash, eeprom) without any Profile, available for Profile(s) loading and installation. </w:t>
            </w:r>
          </w:p>
          <w:p w14:paraId="48FBA446" w14:textId="77777777" w:rsidR="00B97365" w:rsidRDefault="00000000">
            <w:pPr>
              <w:rPr>
                <w:rFonts w:cs="Calibri"/>
                <w:sz w:val="16"/>
                <w:szCs w:val="16"/>
                <w:lang w:val="en-US"/>
              </w:rPr>
            </w:pPr>
            <w:r>
              <w:rPr>
                <w:rFonts w:cs="Calibri"/>
                <w:sz w:val="16"/>
                <w:szCs w:val="16"/>
                <w:lang w:val="en-US"/>
              </w:rPr>
              <w:t xml:space="preserve">This value is initially provided by the EUM at the registration time. It is calculated when the ISD-R and the ECASD are created, instantiated and personalized. </w:t>
            </w:r>
          </w:p>
          <w:p w14:paraId="78D9F801" w14:textId="77777777" w:rsidR="00B97365" w:rsidRDefault="00000000">
            <w:pPr>
              <w:rPr>
                <w:rFonts w:eastAsia="Times New Roman" w:cs="Calibri"/>
                <w:sz w:val="16"/>
                <w:szCs w:val="16"/>
                <w:lang w:val="en-US"/>
              </w:rPr>
            </w:pPr>
            <w:r>
              <w:rPr>
                <w:rFonts w:cs="Calibri"/>
                <w:sz w:val="16"/>
                <w:szCs w:val="16"/>
                <w:lang w:val="en-US"/>
              </w:rPr>
              <w:t>This value is informative. The SM-SR cannot know how this value evolves during the card life cycle when a patch or a filter is applied or when the ECASD or the ISD-R configuration is modified. The SM-SR SHALL return the value that it received initially via ES1.registerEIS or via ES7.HandoverEUICC.</w:t>
            </w:r>
          </w:p>
        </w:tc>
        <w:tc>
          <w:tcPr>
            <w:tcW w:w="1702" w:type="dxa"/>
            <w:tcBorders>
              <w:top w:val="single" w:sz="6" w:space="0" w:color="auto"/>
              <w:left w:val="single" w:sz="6" w:space="0" w:color="auto"/>
              <w:bottom w:val="single" w:sz="6" w:space="0" w:color="auto"/>
              <w:right w:val="single" w:sz="6" w:space="0" w:color="auto"/>
            </w:tcBorders>
            <w:hideMark/>
          </w:tcPr>
          <w:p w14:paraId="5D0C31C0" w14:textId="77777777" w:rsidR="00B97365" w:rsidRDefault="00000000">
            <w:pPr>
              <w:rPr>
                <w:rFonts w:eastAsia="Times New Roman" w:cs="Calibri"/>
                <w:sz w:val="16"/>
                <w:szCs w:val="16"/>
                <w:lang w:val="en-US"/>
              </w:rPr>
            </w:pPr>
            <w:r>
              <w:rPr>
                <w:rFonts w:cs="Calibri"/>
                <w:sz w:val="16"/>
                <w:szCs w:val="16"/>
                <w:lang w:val="en-US"/>
              </w:rPr>
              <w:t>Integer</w:t>
            </w:r>
          </w:p>
        </w:tc>
        <w:tc>
          <w:tcPr>
            <w:tcW w:w="709" w:type="dxa"/>
            <w:tcBorders>
              <w:top w:val="single" w:sz="6" w:space="0" w:color="auto"/>
              <w:left w:val="single" w:sz="6" w:space="0" w:color="auto"/>
              <w:bottom w:val="single" w:sz="6" w:space="0" w:color="auto"/>
              <w:right w:val="single" w:sz="6" w:space="0" w:color="auto"/>
            </w:tcBorders>
            <w:hideMark/>
          </w:tcPr>
          <w:p w14:paraId="37DD8877"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50E9B5ED"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61D529C2" w14:textId="77777777" w:rsidR="00B97365" w:rsidRDefault="00000000">
            <w:pPr>
              <w:rPr>
                <w:rFonts w:eastAsia="Times New Roman" w:cs="Calibri"/>
                <w:sz w:val="16"/>
                <w:szCs w:val="16"/>
              </w:rPr>
            </w:pPr>
            <w:r>
              <w:rPr>
                <w:rFonts w:cs="Calibri"/>
                <w:sz w:val="16"/>
                <w:szCs w:val="16"/>
              </w:rPr>
              <w:t>lastAuditDate</w:t>
            </w:r>
          </w:p>
        </w:tc>
        <w:tc>
          <w:tcPr>
            <w:tcW w:w="4347" w:type="dxa"/>
            <w:tcBorders>
              <w:top w:val="single" w:sz="6" w:space="0" w:color="auto"/>
              <w:left w:val="single" w:sz="6" w:space="0" w:color="auto"/>
              <w:bottom w:val="single" w:sz="6" w:space="0" w:color="auto"/>
              <w:right w:val="single" w:sz="6" w:space="0" w:color="auto"/>
            </w:tcBorders>
            <w:hideMark/>
          </w:tcPr>
          <w:p w14:paraId="49AFDDFA" w14:textId="77777777" w:rsidR="00B97365" w:rsidRDefault="00000000">
            <w:pPr>
              <w:spacing w:after="60"/>
              <w:rPr>
                <w:rFonts w:eastAsia="Times New Roman" w:cs="Calibri"/>
                <w:sz w:val="16"/>
                <w:szCs w:val="16"/>
                <w:lang w:val="en-US"/>
              </w:rPr>
            </w:pPr>
            <w:r>
              <w:rPr>
                <w:rFonts w:cs="Calibri"/>
                <w:sz w:val="16"/>
                <w:szCs w:val="16"/>
                <w:lang w:val="en-US"/>
              </w:rPr>
              <w:t>Some information part of the EIS can be refreshed by requesting directly the information to the eUICC to have the list of information that can be retrieved. This indicates the last date where such operation has been performed, and so indicating the freshness of the information stored at SM-SR level.</w:t>
            </w:r>
          </w:p>
          <w:p w14:paraId="7AE3AC3D" w14:textId="77777777" w:rsidR="00B97365" w:rsidRDefault="00000000">
            <w:pPr>
              <w:rPr>
                <w:rFonts w:cs="Calibri"/>
                <w:sz w:val="16"/>
                <w:szCs w:val="16"/>
                <w:lang w:val="en-US"/>
              </w:rPr>
            </w:pPr>
            <w:r>
              <w:rPr>
                <w:rFonts w:cs="Calibri"/>
                <w:sz w:val="16"/>
                <w:szCs w:val="16"/>
                <w:lang w:val="en-US"/>
              </w:rPr>
              <w:t>This information is optional. If not present, it means that no audit has been performed on the eUICC.</w:t>
            </w:r>
          </w:p>
        </w:tc>
        <w:tc>
          <w:tcPr>
            <w:tcW w:w="1702" w:type="dxa"/>
            <w:tcBorders>
              <w:top w:val="single" w:sz="6" w:space="0" w:color="auto"/>
              <w:left w:val="single" w:sz="6" w:space="0" w:color="auto"/>
              <w:bottom w:val="single" w:sz="6" w:space="0" w:color="auto"/>
              <w:right w:val="single" w:sz="6" w:space="0" w:color="auto"/>
            </w:tcBorders>
            <w:hideMark/>
          </w:tcPr>
          <w:p w14:paraId="0B5399FF" w14:textId="77777777" w:rsidR="00B97365" w:rsidRDefault="00000000">
            <w:pPr>
              <w:rPr>
                <w:rFonts w:eastAsia="Times New Roman" w:cs="Calibri"/>
                <w:sz w:val="16"/>
                <w:szCs w:val="16"/>
                <w:lang w:val="en-US"/>
              </w:rPr>
            </w:pPr>
            <w:r>
              <w:rPr>
                <w:rFonts w:cs="Calibri"/>
                <w:sz w:val="16"/>
                <w:szCs w:val="16"/>
                <w:lang w:val="en-US"/>
              </w:rPr>
              <w:t>DATE</w:t>
            </w:r>
          </w:p>
        </w:tc>
        <w:tc>
          <w:tcPr>
            <w:tcW w:w="709" w:type="dxa"/>
            <w:tcBorders>
              <w:top w:val="single" w:sz="6" w:space="0" w:color="auto"/>
              <w:left w:val="single" w:sz="6" w:space="0" w:color="auto"/>
              <w:bottom w:val="single" w:sz="6" w:space="0" w:color="auto"/>
              <w:right w:val="single" w:sz="6" w:space="0" w:color="auto"/>
            </w:tcBorders>
            <w:hideMark/>
          </w:tcPr>
          <w:p w14:paraId="21478C9A"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1F8D23F2"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30F537F7" w14:textId="77777777" w:rsidR="00B97365" w:rsidRDefault="00000000">
            <w:pPr>
              <w:rPr>
                <w:rFonts w:eastAsia="Times New Roman" w:cs="Calibri"/>
                <w:sz w:val="16"/>
                <w:szCs w:val="16"/>
              </w:rPr>
            </w:pPr>
            <w:r>
              <w:rPr>
                <w:rFonts w:cs="Calibri"/>
                <w:sz w:val="16"/>
                <w:szCs w:val="16"/>
              </w:rPr>
              <w:t>smsr-id</w:t>
            </w:r>
          </w:p>
        </w:tc>
        <w:tc>
          <w:tcPr>
            <w:tcW w:w="4347" w:type="dxa"/>
            <w:tcBorders>
              <w:top w:val="single" w:sz="6" w:space="0" w:color="auto"/>
              <w:left w:val="single" w:sz="6" w:space="0" w:color="auto"/>
              <w:bottom w:val="single" w:sz="6" w:space="0" w:color="auto"/>
              <w:right w:val="single" w:sz="6" w:space="0" w:color="auto"/>
            </w:tcBorders>
            <w:hideMark/>
          </w:tcPr>
          <w:p w14:paraId="4A70C3AA" w14:textId="77777777" w:rsidR="00B97365" w:rsidRDefault="00000000">
            <w:pPr>
              <w:rPr>
                <w:rFonts w:eastAsia="Times New Roman" w:cs="Calibri"/>
                <w:sz w:val="16"/>
                <w:szCs w:val="16"/>
              </w:rPr>
            </w:pPr>
            <w:r>
              <w:rPr>
                <w:rFonts w:cs="Calibri"/>
                <w:sz w:val="16"/>
                <w:szCs w:val="16"/>
                <w:lang w:val="en-US"/>
              </w:rPr>
              <w:t xml:space="preserve">Identification of the SM-SR currently in charge of eUICC management. </w:t>
            </w:r>
          </w:p>
          <w:p w14:paraId="630F2ECA" w14:textId="77777777" w:rsidR="00B97365" w:rsidRDefault="00000000">
            <w:pPr>
              <w:rPr>
                <w:rFonts w:eastAsia="Times New Roman" w:cs="Calibri"/>
                <w:sz w:val="16"/>
                <w:szCs w:val="16"/>
                <w:lang w:val="en-US"/>
              </w:rPr>
            </w:pPr>
            <w:r>
              <w:rPr>
                <w:rFonts w:cs="Calibri"/>
                <w:sz w:val="16"/>
                <w:szCs w:val="16"/>
                <w:lang w:val="en-US"/>
              </w:rPr>
              <w:t>This information may change during the eUICC’s lifetime.</w:t>
            </w:r>
          </w:p>
        </w:tc>
        <w:tc>
          <w:tcPr>
            <w:tcW w:w="1702" w:type="dxa"/>
            <w:tcBorders>
              <w:top w:val="single" w:sz="6" w:space="0" w:color="auto"/>
              <w:left w:val="single" w:sz="6" w:space="0" w:color="auto"/>
              <w:bottom w:val="single" w:sz="6" w:space="0" w:color="auto"/>
              <w:right w:val="single" w:sz="6" w:space="0" w:color="auto"/>
            </w:tcBorders>
            <w:hideMark/>
          </w:tcPr>
          <w:p w14:paraId="5882FA03" w14:textId="77777777" w:rsidR="00B97365" w:rsidRDefault="00000000">
            <w:pPr>
              <w:rPr>
                <w:rFonts w:eastAsia="Times New Roman" w:cs="Calibri"/>
                <w:sz w:val="16"/>
                <w:szCs w:val="16"/>
                <w:lang w:val="en-US"/>
              </w:rPr>
            </w:pPr>
            <w:r>
              <w:rPr>
                <w:rFonts w:cs="Calibri"/>
                <w:sz w:val="16"/>
                <w:szCs w:val="16"/>
                <w:lang w:val="en-US"/>
              </w:rPr>
              <w:t>OID</w:t>
            </w:r>
          </w:p>
        </w:tc>
        <w:tc>
          <w:tcPr>
            <w:tcW w:w="709" w:type="dxa"/>
            <w:tcBorders>
              <w:top w:val="single" w:sz="6" w:space="0" w:color="auto"/>
              <w:left w:val="single" w:sz="6" w:space="0" w:color="auto"/>
              <w:bottom w:val="single" w:sz="6" w:space="0" w:color="auto"/>
              <w:right w:val="single" w:sz="6" w:space="0" w:color="auto"/>
            </w:tcBorders>
            <w:hideMark/>
          </w:tcPr>
          <w:p w14:paraId="33BE1DE2"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3E38B402"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04A8C147" w14:textId="77777777" w:rsidR="00B97365" w:rsidRDefault="00000000">
            <w:pPr>
              <w:rPr>
                <w:rFonts w:eastAsia="Times New Roman" w:cs="Calibri"/>
                <w:sz w:val="16"/>
                <w:szCs w:val="16"/>
              </w:rPr>
            </w:pPr>
            <w:r>
              <w:rPr>
                <w:rFonts w:cs="Calibri"/>
                <w:sz w:val="16"/>
                <w:szCs w:val="16"/>
              </w:rPr>
              <w:t>isd-p-loadfile-aid</w:t>
            </w:r>
          </w:p>
        </w:tc>
        <w:tc>
          <w:tcPr>
            <w:tcW w:w="4347" w:type="dxa"/>
            <w:tcBorders>
              <w:top w:val="single" w:sz="6" w:space="0" w:color="auto"/>
              <w:left w:val="single" w:sz="6" w:space="0" w:color="auto"/>
              <w:bottom w:val="single" w:sz="6" w:space="0" w:color="auto"/>
              <w:right w:val="single" w:sz="6" w:space="0" w:color="auto"/>
            </w:tcBorders>
            <w:hideMark/>
          </w:tcPr>
          <w:p w14:paraId="590B6369" w14:textId="77777777" w:rsidR="00B97365" w:rsidRDefault="00000000">
            <w:pPr>
              <w:spacing w:after="60"/>
              <w:rPr>
                <w:rFonts w:eastAsia="Times New Roman" w:cs="Calibri"/>
                <w:sz w:val="16"/>
                <w:szCs w:val="16"/>
                <w:lang w:val="en-US"/>
              </w:rPr>
            </w:pPr>
            <w:r>
              <w:rPr>
                <w:rFonts w:cs="Calibri"/>
                <w:sz w:val="16"/>
                <w:szCs w:val="16"/>
                <w:lang w:val="en-US"/>
              </w:rPr>
              <w:t>AID of the Executable Load File to be used for instantiation of an ISD-P.</w:t>
            </w:r>
          </w:p>
          <w:p w14:paraId="24F189D7" w14:textId="77777777" w:rsidR="00B97365" w:rsidRDefault="00000000">
            <w:pPr>
              <w:rPr>
                <w:rFonts w:eastAsia="Times New Roman" w:cs="Calibri"/>
                <w:sz w:val="16"/>
                <w:szCs w:val="16"/>
                <w:lang w:val="en-US"/>
              </w:rPr>
            </w:pPr>
            <w:r>
              <w:rPr>
                <w:rFonts w:cs="Calibri"/>
                <w:sz w:val="16"/>
                <w:szCs w:val="16"/>
                <w:lang w:val="en-US"/>
              </w:rPr>
              <w:t>This information is initially provided by the EUM at registration time, and remains unchanged during all the eUICC’s lifetime.</w:t>
            </w:r>
          </w:p>
        </w:tc>
        <w:tc>
          <w:tcPr>
            <w:tcW w:w="1702" w:type="dxa"/>
            <w:tcBorders>
              <w:top w:val="single" w:sz="6" w:space="0" w:color="auto"/>
              <w:left w:val="single" w:sz="6" w:space="0" w:color="auto"/>
              <w:bottom w:val="single" w:sz="6" w:space="0" w:color="auto"/>
              <w:right w:val="single" w:sz="6" w:space="0" w:color="auto"/>
            </w:tcBorders>
            <w:hideMark/>
          </w:tcPr>
          <w:p w14:paraId="6141B6A6" w14:textId="77777777" w:rsidR="00B97365" w:rsidRDefault="00000000">
            <w:pPr>
              <w:rPr>
                <w:rFonts w:eastAsia="Times New Roman" w:cs="Calibri"/>
                <w:sz w:val="16"/>
                <w:szCs w:val="16"/>
                <w:lang w:val="en-US"/>
              </w:rPr>
            </w:pPr>
            <w:r>
              <w:rPr>
                <w:rFonts w:cs="Calibri"/>
                <w:sz w:val="16"/>
                <w:szCs w:val="16"/>
                <w:lang w:val="en-US"/>
              </w:rPr>
              <w:t>AID</w:t>
            </w:r>
          </w:p>
        </w:tc>
        <w:tc>
          <w:tcPr>
            <w:tcW w:w="709" w:type="dxa"/>
            <w:tcBorders>
              <w:top w:val="single" w:sz="6" w:space="0" w:color="auto"/>
              <w:left w:val="single" w:sz="6" w:space="0" w:color="auto"/>
              <w:bottom w:val="single" w:sz="6" w:space="0" w:color="auto"/>
              <w:right w:val="single" w:sz="6" w:space="0" w:color="auto"/>
            </w:tcBorders>
            <w:hideMark/>
          </w:tcPr>
          <w:p w14:paraId="3108EB54"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298A3FD5"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vAlign w:val="center"/>
            <w:hideMark/>
          </w:tcPr>
          <w:p w14:paraId="205E76F0" w14:textId="77777777" w:rsidR="00B97365" w:rsidRDefault="00000000">
            <w:pPr>
              <w:spacing w:after="200"/>
              <w:rPr>
                <w:rFonts w:eastAsia="Times New Roman" w:cs="Calibri"/>
                <w:sz w:val="16"/>
                <w:szCs w:val="16"/>
              </w:rPr>
            </w:pPr>
            <w:r>
              <w:rPr>
                <w:rFonts w:cs="Calibri"/>
                <w:sz w:val="16"/>
                <w:szCs w:val="16"/>
              </w:rPr>
              <w:t>isd-p-module-aid</w:t>
            </w:r>
          </w:p>
        </w:tc>
        <w:tc>
          <w:tcPr>
            <w:tcW w:w="434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6305903B" w14:textId="77777777" w:rsidR="00B97365" w:rsidRDefault="00000000">
            <w:pPr>
              <w:spacing w:after="60"/>
              <w:rPr>
                <w:rFonts w:eastAsia="Times New Roman" w:cs="Calibri"/>
                <w:sz w:val="16"/>
                <w:szCs w:val="16"/>
                <w:lang w:val="en-US"/>
              </w:rPr>
            </w:pPr>
            <w:r>
              <w:rPr>
                <w:rFonts w:cs="Calibri"/>
                <w:sz w:val="16"/>
                <w:szCs w:val="16"/>
                <w:lang w:val="en-US"/>
              </w:rPr>
              <w:t>AID of the Executable Module to be used for instantiation of an ISD-P.</w:t>
            </w:r>
          </w:p>
          <w:p w14:paraId="677B065E" w14:textId="77777777" w:rsidR="00B97365" w:rsidRDefault="00000000">
            <w:pPr>
              <w:spacing w:after="200"/>
              <w:rPr>
                <w:rFonts w:eastAsia="Times New Roman" w:cs="Calibri"/>
                <w:sz w:val="16"/>
                <w:szCs w:val="16"/>
                <w:lang w:val="en-US"/>
              </w:rPr>
            </w:pPr>
            <w:r>
              <w:rPr>
                <w:rFonts w:cs="Calibri"/>
                <w:sz w:val="16"/>
                <w:szCs w:val="16"/>
                <w:lang w:val="en-US"/>
              </w:rPr>
              <w:t>This information is initially provided by the EUM at registration time, and remains unchanged during all the eUICC’s lifetime.</w:t>
            </w:r>
          </w:p>
        </w:tc>
        <w:tc>
          <w:tcPr>
            <w:tcW w:w="170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75B0234E" w14:textId="77777777" w:rsidR="00B97365" w:rsidRDefault="00000000">
            <w:pPr>
              <w:spacing w:after="60"/>
              <w:rPr>
                <w:rFonts w:eastAsia="Times New Roman" w:cs="Calibri"/>
                <w:sz w:val="16"/>
                <w:szCs w:val="16"/>
                <w:lang w:val="en-US"/>
              </w:rPr>
            </w:pPr>
            <w:r>
              <w:rPr>
                <w:rFonts w:cs="Calibri"/>
                <w:sz w:val="16"/>
                <w:szCs w:val="16"/>
                <w:lang w:val="en-US"/>
              </w:rPr>
              <w:t>AID</w:t>
            </w:r>
          </w:p>
        </w:tc>
        <w:tc>
          <w:tcPr>
            <w:tcW w:w="70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01475B67"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r>
      <w:tr w:rsidR="00B97365" w14:paraId="12FFDF95"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37BF97D0" w14:textId="77777777" w:rsidR="00B97365" w:rsidRDefault="00000000">
            <w:pPr>
              <w:rPr>
                <w:rFonts w:eastAsia="Times New Roman" w:cs="Calibri"/>
                <w:sz w:val="16"/>
                <w:szCs w:val="16"/>
              </w:rPr>
            </w:pPr>
            <w:r>
              <w:rPr>
                <w:rFonts w:cs="Calibri"/>
                <w:sz w:val="16"/>
                <w:szCs w:val="16"/>
              </w:rPr>
              <w:t>profiles</w:t>
            </w:r>
          </w:p>
        </w:tc>
        <w:tc>
          <w:tcPr>
            <w:tcW w:w="4347" w:type="dxa"/>
            <w:tcBorders>
              <w:top w:val="single" w:sz="6" w:space="0" w:color="auto"/>
              <w:left w:val="single" w:sz="6" w:space="0" w:color="auto"/>
              <w:bottom w:val="single" w:sz="6" w:space="0" w:color="auto"/>
              <w:right w:val="single" w:sz="6" w:space="0" w:color="auto"/>
            </w:tcBorders>
            <w:hideMark/>
          </w:tcPr>
          <w:p w14:paraId="4C2FC5D7" w14:textId="77777777" w:rsidR="00B97365" w:rsidRDefault="00000000">
            <w:pPr>
              <w:rPr>
                <w:rFonts w:eastAsia="Times New Roman" w:cs="Calibri"/>
                <w:sz w:val="16"/>
                <w:szCs w:val="16"/>
                <w:lang w:val="en-US"/>
              </w:rPr>
            </w:pPr>
            <w:r>
              <w:rPr>
                <w:rFonts w:cs="Calibri"/>
                <w:sz w:val="16"/>
                <w:szCs w:val="16"/>
                <w:lang w:val="en-US"/>
              </w:rPr>
              <w:t>List of Profiles currently installed on the eUICC.</w:t>
            </w:r>
          </w:p>
          <w:p w14:paraId="5FC59EF9" w14:textId="77777777" w:rsidR="00B97365" w:rsidRDefault="00000000">
            <w:pPr>
              <w:rPr>
                <w:rFonts w:eastAsia="Times New Roman" w:cs="Calibri"/>
                <w:sz w:val="16"/>
                <w:szCs w:val="16"/>
                <w:lang w:val="en-US"/>
              </w:rPr>
            </w:pPr>
            <w:r>
              <w:rPr>
                <w:rFonts w:cs="Calibri"/>
                <w:sz w:val="16"/>
                <w:szCs w:val="16"/>
                <w:lang w:val="en-US"/>
              </w:rPr>
              <w:t xml:space="preserve">This information is initially provided by the EUM at registration time, and may change during the eUICC’s lifetime. </w:t>
            </w:r>
          </w:p>
        </w:tc>
        <w:tc>
          <w:tcPr>
            <w:tcW w:w="1702" w:type="dxa"/>
            <w:tcBorders>
              <w:top w:val="single" w:sz="6" w:space="0" w:color="auto"/>
              <w:left w:val="single" w:sz="6" w:space="0" w:color="auto"/>
              <w:bottom w:val="single" w:sz="6" w:space="0" w:color="auto"/>
              <w:right w:val="single" w:sz="6" w:space="0" w:color="auto"/>
            </w:tcBorders>
            <w:hideMark/>
          </w:tcPr>
          <w:p w14:paraId="3B709671" w14:textId="77777777" w:rsidR="00B97365" w:rsidRDefault="00000000">
            <w:pPr>
              <w:rPr>
                <w:rFonts w:eastAsia="Times New Roman" w:cs="Calibri"/>
                <w:sz w:val="16"/>
                <w:szCs w:val="16"/>
                <w:lang w:val="en-US"/>
              </w:rPr>
            </w:pPr>
            <w:r>
              <w:rPr>
                <w:rFonts w:cs="Calibri"/>
                <w:sz w:val="16"/>
                <w:szCs w:val="16"/>
                <w:lang w:val="en-US"/>
              </w:rPr>
              <w:t>PROFILE INFO</w:t>
            </w:r>
          </w:p>
        </w:tc>
        <w:tc>
          <w:tcPr>
            <w:tcW w:w="709" w:type="dxa"/>
            <w:tcBorders>
              <w:top w:val="single" w:sz="6" w:space="0" w:color="auto"/>
              <w:left w:val="single" w:sz="6" w:space="0" w:color="auto"/>
              <w:bottom w:val="single" w:sz="6" w:space="0" w:color="auto"/>
              <w:right w:val="single" w:sz="6" w:space="0" w:color="auto"/>
            </w:tcBorders>
            <w:hideMark/>
          </w:tcPr>
          <w:p w14:paraId="69483AAD" w14:textId="77777777" w:rsidR="00B97365" w:rsidRDefault="00000000">
            <w:pPr>
              <w:jc w:val="center"/>
              <w:rPr>
                <w:rFonts w:eastAsia="Times New Roman" w:cs="Calibri"/>
                <w:sz w:val="16"/>
                <w:szCs w:val="16"/>
                <w:lang w:val="en-US"/>
              </w:rPr>
            </w:pPr>
            <w:r>
              <w:rPr>
                <w:rFonts w:cs="Calibri"/>
                <w:sz w:val="16"/>
                <w:szCs w:val="16"/>
                <w:lang w:val="en-US"/>
              </w:rPr>
              <w:t>1..N</w:t>
            </w:r>
          </w:p>
        </w:tc>
      </w:tr>
      <w:tr w:rsidR="00B97365" w14:paraId="41FF453A"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vAlign w:val="center"/>
            <w:hideMark/>
          </w:tcPr>
          <w:p w14:paraId="7D311DB5" w14:textId="77777777" w:rsidR="00B97365" w:rsidRDefault="00000000">
            <w:pPr>
              <w:spacing w:after="200"/>
              <w:rPr>
                <w:rFonts w:eastAsia="Times New Roman" w:cs="Calibri"/>
                <w:sz w:val="16"/>
                <w:szCs w:val="16"/>
              </w:rPr>
            </w:pPr>
            <w:r>
              <w:rPr>
                <w:rFonts w:cs="Calibri"/>
                <w:sz w:val="16"/>
                <w:szCs w:val="16"/>
              </w:rPr>
              <w:t>ISD-R</w:t>
            </w:r>
          </w:p>
        </w:tc>
        <w:tc>
          <w:tcPr>
            <w:tcW w:w="434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604DAD00" w14:textId="77777777" w:rsidR="00B97365" w:rsidRDefault="00000000">
            <w:pPr>
              <w:spacing w:after="60"/>
              <w:rPr>
                <w:rFonts w:eastAsia="Times New Roman" w:cs="Calibri"/>
                <w:sz w:val="16"/>
                <w:szCs w:val="16"/>
                <w:lang w:val="en-US"/>
              </w:rPr>
            </w:pPr>
            <w:r>
              <w:rPr>
                <w:rFonts w:cs="Calibri"/>
                <w:sz w:val="16"/>
                <w:szCs w:val="16"/>
                <w:lang w:val="en-US"/>
              </w:rPr>
              <w:t>Contains the information related to the ISD-R</w:t>
            </w:r>
          </w:p>
        </w:tc>
        <w:tc>
          <w:tcPr>
            <w:tcW w:w="170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1EF2C9C5" w14:textId="77777777" w:rsidR="00B97365" w:rsidRDefault="00000000">
            <w:pPr>
              <w:spacing w:after="60"/>
              <w:rPr>
                <w:rFonts w:eastAsia="Times New Roman" w:cs="Calibri"/>
                <w:sz w:val="16"/>
                <w:szCs w:val="16"/>
                <w:lang w:val="en-US"/>
              </w:rPr>
            </w:pPr>
            <w:r>
              <w:rPr>
                <w:rFonts w:cs="Calibri"/>
                <w:sz w:val="16"/>
                <w:szCs w:val="16"/>
              </w:rPr>
              <w:t>SECURITY-DOMAIN</w:t>
            </w:r>
          </w:p>
        </w:tc>
        <w:tc>
          <w:tcPr>
            <w:tcW w:w="70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63334C34"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r>
      <w:tr w:rsidR="00B97365" w14:paraId="4FE6E1E7"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vAlign w:val="center"/>
            <w:hideMark/>
          </w:tcPr>
          <w:p w14:paraId="790F8FD8" w14:textId="77777777" w:rsidR="00B97365" w:rsidRDefault="00000000">
            <w:pPr>
              <w:spacing w:after="200"/>
              <w:rPr>
                <w:rFonts w:eastAsia="Times New Roman" w:cs="Calibri"/>
                <w:sz w:val="16"/>
                <w:szCs w:val="16"/>
              </w:rPr>
            </w:pPr>
            <w:r>
              <w:rPr>
                <w:rFonts w:cs="Calibri"/>
                <w:sz w:val="16"/>
                <w:szCs w:val="16"/>
              </w:rPr>
              <w:t>ECASD</w:t>
            </w:r>
          </w:p>
        </w:tc>
        <w:tc>
          <w:tcPr>
            <w:tcW w:w="434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650E4023" w14:textId="77777777" w:rsidR="00B97365" w:rsidRDefault="00000000">
            <w:pPr>
              <w:spacing w:after="60"/>
              <w:rPr>
                <w:rFonts w:cs="Calibri"/>
                <w:sz w:val="16"/>
                <w:szCs w:val="16"/>
                <w:lang w:val="en-US"/>
              </w:rPr>
            </w:pPr>
            <w:r>
              <w:rPr>
                <w:rFonts w:cs="Calibri"/>
                <w:sz w:val="16"/>
                <w:szCs w:val="16"/>
                <w:lang w:val="en-US"/>
              </w:rPr>
              <w:t>Contains the information related to the ECASD</w:t>
            </w:r>
          </w:p>
          <w:p w14:paraId="6EBF637E" w14:textId="77777777" w:rsidR="00B97365" w:rsidRDefault="00000000">
            <w:pPr>
              <w:spacing w:after="60"/>
              <w:rPr>
                <w:rFonts w:cs="Calibri"/>
                <w:sz w:val="16"/>
                <w:szCs w:val="16"/>
                <w:lang w:val="en-US"/>
              </w:rPr>
            </w:pPr>
            <w:r>
              <w:rPr>
                <w:rFonts w:cs="Calibri"/>
                <w:sz w:val="16"/>
                <w:szCs w:val="16"/>
                <w:lang w:val="en-US"/>
              </w:rPr>
              <w:t>Although the type of this data is SECURITY-DOMAIN, some restrictions apply in order to ensure the consistency of the signature when this structure is stored or reconstructed:</w:t>
            </w:r>
          </w:p>
          <w:p w14:paraId="3F58BE60" w14:textId="77777777" w:rsidR="00B97365" w:rsidRDefault="00000000">
            <w:pPr>
              <w:numPr>
                <w:ilvl w:val="0"/>
                <w:numId w:val="64"/>
              </w:numPr>
              <w:spacing w:before="0" w:after="60" w:line="276" w:lineRule="auto"/>
              <w:contextualSpacing/>
              <w:rPr>
                <w:rFonts w:eastAsia="Times New Roman" w:cs="Calibri"/>
                <w:sz w:val="16"/>
                <w:szCs w:val="16"/>
                <w:lang w:val="en-US"/>
              </w:rPr>
            </w:pPr>
            <w:r>
              <w:rPr>
                <w:rFonts w:cs="Calibri"/>
                <w:sz w:val="16"/>
                <w:szCs w:val="16"/>
                <w:lang w:val="en-US"/>
              </w:rPr>
              <w:t>The data SHALL contain one single Tar element, with the TAR value for the ECASD specified in Annex H.</w:t>
            </w:r>
          </w:p>
          <w:p w14:paraId="4A8C4E67" w14:textId="77777777" w:rsidR="00B97365" w:rsidRDefault="00000000">
            <w:pPr>
              <w:numPr>
                <w:ilvl w:val="0"/>
                <w:numId w:val="64"/>
              </w:numPr>
              <w:spacing w:before="0" w:after="60" w:line="276" w:lineRule="auto"/>
              <w:contextualSpacing/>
              <w:rPr>
                <w:rFonts w:eastAsia="Times New Roman" w:cs="Calibri"/>
                <w:sz w:val="16"/>
                <w:szCs w:val="16"/>
                <w:lang w:val="en-US"/>
              </w:rPr>
            </w:pPr>
            <w:r>
              <w:rPr>
                <w:rFonts w:eastAsia="Times New Roman" w:cs="Calibri"/>
                <w:sz w:val="16"/>
                <w:szCs w:val="16"/>
                <w:lang w:val="en-US"/>
              </w:rPr>
              <w:t>If there is more than one Keyset or Certificate per ECASD, they SHALL be ordered according to:</w:t>
            </w:r>
          </w:p>
          <w:p w14:paraId="03A8A3FB" w14:textId="77777777" w:rsidR="00B97365" w:rsidRDefault="00000000">
            <w:pPr>
              <w:numPr>
                <w:ilvl w:val="1"/>
                <w:numId w:val="64"/>
              </w:numPr>
              <w:spacing w:before="0" w:after="60" w:line="276" w:lineRule="auto"/>
              <w:contextualSpacing/>
              <w:rPr>
                <w:rFonts w:eastAsia="Times New Roman" w:cs="Calibri"/>
                <w:sz w:val="16"/>
                <w:szCs w:val="16"/>
                <w:lang w:val="en-US"/>
              </w:rPr>
            </w:pPr>
            <w:r>
              <w:rPr>
                <w:rFonts w:eastAsia="Times New Roman" w:cs="Calibri"/>
                <w:sz w:val="16"/>
                <w:szCs w:val="16"/>
                <w:lang w:val="en-US"/>
              </w:rPr>
              <w:t>The Keyset 'version' if there is more than one Keyset</w:t>
            </w:r>
          </w:p>
          <w:p w14:paraId="77A7907F" w14:textId="77777777" w:rsidR="00B97365" w:rsidRDefault="00000000">
            <w:pPr>
              <w:numPr>
                <w:ilvl w:val="1"/>
                <w:numId w:val="64"/>
              </w:numPr>
              <w:spacing w:before="0" w:after="60" w:line="276" w:lineRule="auto"/>
              <w:contextualSpacing/>
              <w:rPr>
                <w:rFonts w:eastAsia="Times New Roman" w:cs="Calibri"/>
                <w:sz w:val="16"/>
                <w:szCs w:val="16"/>
                <w:lang w:val="en-US"/>
              </w:rPr>
            </w:pPr>
            <w:r>
              <w:rPr>
                <w:rFonts w:eastAsia="Times New Roman" w:cs="Calibri"/>
                <w:sz w:val="16"/>
                <w:szCs w:val="16"/>
                <w:lang w:val="en-US"/>
              </w:rPr>
              <w:t>The Certificate 'index' if there is more than one Certificate per Keyset</w:t>
            </w:r>
          </w:p>
        </w:tc>
        <w:tc>
          <w:tcPr>
            <w:tcW w:w="170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725F60CE" w14:textId="77777777" w:rsidR="00B97365" w:rsidRDefault="00000000">
            <w:pPr>
              <w:spacing w:after="60"/>
              <w:rPr>
                <w:rFonts w:eastAsia="Times New Roman" w:cs="Calibri"/>
                <w:sz w:val="16"/>
                <w:szCs w:val="16"/>
                <w:lang w:val="en-US"/>
              </w:rPr>
            </w:pPr>
            <w:r>
              <w:rPr>
                <w:rFonts w:cs="Calibri"/>
                <w:sz w:val="16"/>
                <w:szCs w:val="16"/>
              </w:rPr>
              <w:t>SECURITY-DOMAIN</w:t>
            </w:r>
          </w:p>
        </w:tc>
        <w:tc>
          <w:tcPr>
            <w:tcW w:w="70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5011A4AA"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r>
      <w:tr w:rsidR="00B97365" w14:paraId="49DFEA73"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vAlign w:val="center"/>
            <w:hideMark/>
          </w:tcPr>
          <w:p w14:paraId="67753415" w14:textId="77777777" w:rsidR="00B97365" w:rsidRDefault="00000000">
            <w:pPr>
              <w:spacing w:after="200"/>
              <w:rPr>
                <w:rFonts w:eastAsia="Times New Roman" w:cs="Calibri"/>
                <w:sz w:val="16"/>
                <w:szCs w:val="16"/>
              </w:rPr>
            </w:pPr>
            <w:r>
              <w:rPr>
                <w:rFonts w:cs="Calibri"/>
                <w:sz w:val="16"/>
                <w:szCs w:val="16"/>
              </w:rPr>
              <w:t>eUICC-Capabilities</w:t>
            </w:r>
          </w:p>
        </w:tc>
        <w:tc>
          <w:tcPr>
            <w:tcW w:w="434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165BE951" w14:textId="77777777" w:rsidR="00B97365" w:rsidRDefault="00000000">
            <w:pPr>
              <w:spacing w:after="60"/>
              <w:rPr>
                <w:rFonts w:eastAsia="Times New Roman" w:cs="Calibri"/>
                <w:sz w:val="16"/>
                <w:szCs w:val="16"/>
                <w:lang w:val="en-US"/>
              </w:rPr>
            </w:pPr>
            <w:r>
              <w:rPr>
                <w:rFonts w:cs="Calibri"/>
                <w:sz w:val="16"/>
                <w:szCs w:val="16"/>
                <w:lang w:val="en-US"/>
              </w:rPr>
              <w:t>Contains the capabilities supported by the eUICC.</w:t>
            </w:r>
          </w:p>
          <w:p w14:paraId="5F127A2D" w14:textId="77777777" w:rsidR="00B97365" w:rsidRDefault="00000000">
            <w:pPr>
              <w:spacing w:after="200"/>
              <w:rPr>
                <w:rFonts w:eastAsia="Times New Roman" w:cs="Calibri"/>
                <w:sz w:val="16"/>
                <w:szCs w:val="16"/>
                <w:lang w:val="en-US"/>
              </w:rPr>
            </w:pPr>
            <w:r>
              <w:rPr>
                <w:rFonts w:cs="Calibri"/>
                <w:sz w:val="16"/>
                <w:szCs w:val="16"/>
                <w:lang w:val="en-US"/>
              </w:rPr>
              <w:t>This information is initially provided by the EUM at registration time.</w:t>
            </w:r>
          </w:p>
        </w:tc>
        <w:tc>
          <w:tcPr>
            <w:tcW w:w="170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62E60190" w14:textId="77777777" w:rsidR="00B97365" w:rsidRDefault="00000000">
            <w:pPr>
              <w:spacing w:after="60"/>
              <w:rPr>
                <w:rFonts w:eastAsia="Times New Roman" w:cs="Calibri"/>
                <w:sz w:val="16"/>
                <w:szCs w:val="16"/>
                <w:lang w:val="en-US"/>
              </w:rPr>
            </w:pPr>
            <w:r>
              <w:rPr>
                <w:rFonts w:cs="Calibri"/>
                <w:sz w:val="16"/>
                <w:szCs w:val="16"/>
                <w:lang w:val="en-US"/>
              </w:rPr>
              <w:t>EUICC-CAPABILITIES</w:t>
            </w:r>
          </w:p>
        </w:tc>
        <w:tc>
          <w:tcPr>
            <w:tcW w:w="70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2CD6DCC3"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r>
      <w:tr w:rsidR="00B97365" w14:paraId="2D2BF35A"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2E320DCD" w14:textId="77777777" w:rsidR="00B97365" w:rsidRDefault="00000000">
            <w:pPr>
              <w:rPr>
                <w:rFonts w:eastAsia="Times New Roman" w:cs="Calibri"/>
                <w:sz w:val="16"/>
                <w:szCs w:val="16"/>
              </w:rPr>
            </w:pPr>
            <w:r>
              <w:rPr>
                <w:rFonts w:cs="Calibri"/>
                <w:sz w:val="16"/>
                <w:szCs w:val="16"/>
              </w:rPr>
              <w:t>audit trail</w:t>
            </w:r>
          </w:p>
        </w:tc>
        <w:tc>
          <w:tcPr>
            <w:tcW w:w="4347" w:type="dxa"/>
            <w:tcBorders>
              <w:top w:val="single" w:sz="6" w:space="0" w:color="auto"/>
              <w:left w:val="single" w:sz="6" w:space="0" w:color="auto"/>
              <w:bottom w:val="single" w:sz="6" w:space="0" w:color="auto"/>
              <w:right w:val="single" w:sz="6" w:space="0" w:color="auto"/>
            </w:tcBorders>
            <w:hideMark/>
          </w:tcPr>
          <w:p w14:paraId="51484B03" w14:textId="77777777" w:rsidR="00B97365" w:rsidRDefault="00000000">
            <w:pPr>
              <w:rPr>
                <w:rFonts w:eastAsia="Times New Roman" w:cs="Calibri"/>
                <w:sz w:val="16"/>
                <w:szCs w:val="16"/>
                <w:lang w:val="en-US"/>
              </w:rPr>
            </w:pPr>
            <w:r>
              <w:rPr>
                <w:rFonts w:cs="Calibri"/>
                <w:sz w:val="16"/>
                <w:szCs w:val="16"/>
                <w:lang w:val="en-US"/>
              </w:rPr>
              <w:t>History of all the platform and Profile Management operations or eUICC notifications related to the eUICC</w:t>
            </w:r>
          </w:p>
        </w:tc>
        <w:tc>
          <w:tcPr>
            <w:tcW w:w="1702" w:type="dxa"/>
            <w:tcBorders>
              <w:top w:val="single" w:sz="6" w:space="0" w:color="auto"/>
              <w:left w:val="single" w:sz="6" w:space="0" w:color="auto"/>
              <w:bottom w:val="single" w:sz="6" w:space="0" w:color="auto"/>
              <w:right w:val="single" w:sz="6" w:space="0" w:color="auto"/>
            </w:tcBorders>
            <w:hideMark/>
          </w:tcPr>
          <w:p w14:paraId="5D728E40" w14:textId="77777777" w:rsidR="00B97365" w:rsidRDefault="00000000">
            <w:pPr>
              <w:rPr>
                <w:rFonts w:eastAsia="Times New Roman" w:cs="Calibri"/>
                <w:sz w:val="16"/>
                <w:szCs w:val="16"/>
                <w:lang w:val="en-US"/>
              </w:rPr>
            </w:pPr>
            <w:r>
              <w:rPr>
                <w:rFonts w:cs="Calibri"/>
                <w:sz w:val="16"/>
                <w:szCs w:val="16"/>
                <w:lang w:val="en-US"/>
              </w:rPr>
              <w:t>AUDIT-TRAIL-RECORD</w:t>
            </w:r>
          </w:p>
        </w:tc>
        <w:tc>
          <w:tcPr>
            <w:tcW w:w="709" w:type="dxa"/>
            <w:tcBorders>
              <w:top w:val="single" w:sz="6" w:space="0" w:color="auto"/>
              <w:left w:val="single" w:sz="6" w:space="0" w:color="auto"/>
              <w:bottom w:val="single" w:sz="6" w:space="0" w:color="auto"/>
              <w:right w:val="single" w:sz="6" w:space="0" w:color="auto"/>
            </w:tcBorders>
            <w:hideMark/>
          </w:tcPr>
          <w:p w14:paraId="0EC81721" w14:textId="77777777" w:rsidR="00B97365" w:rsidRDefault="00000000">
            <w:pPr>
              <w:jc w:val="center"/>
              <w:rPr>
                <w:rFonts w:eastAsia="Times New Roman" w:cs="Calibri"/>
                <w:sz w:val="16"/>
                <w:szCs w:val="16"/>
                <w:lang w:val="en-US"/>
              </w:rPr>
            </w:pPr>
            <w:r>
              <w:rPr>
                <w:rFonts w:cs="Calibri"/>
                <w:sz w:val="16"/>
                <w:szCs w:val="16"/>
                <w:lang w:val="en-US"/>
              </w:rPr>
              <w:t>0..N</w:t>
            </w:r>
          </w:p>
        </w:tc>
      </w:tr>
      <w:tr w:rsidR="00B97365" w14:paraId="28A63051"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0A239D8A" w14:textId="77777777" w:rsidR="00B97365" w:rsidRDefault="00000000">
            <w:pPr>
              <w:spacing w:after="200"/>
              <w:rPr>
                <w:rFonts w:eastAsia="Times New Roman" w:cs="Calibri"/>
                <w:sz w:val="16"/>
                <w:szCs w:val="16"/>
              </w:rPr>
            </w:pPr>
            <w:r>
              <w:rPr>
                <w:rFonts w:cs="Calibri"/>
                <w:sz w:val="16"/>
                <w:szCs w:val="16"/>
              </w:rPr>
              <w:lastRenderedPageBreak/>
              <w:t>signatureAlgorithm</w:t>
            </w:r>
          </w:p>
        </w:tc>
        <w:tc>
          <w:tcPr>
            <w:tcW w:w="4347" w:type="dxa"/>
            <w:tcBorders>
              <w:top w:val="single" w:sz="6" w:space="0" w:color="auto"/>
              <w:left w:val="single" w:sz="6" w:space="0" w:color="auto"/>
              <w:bottom w:val="single" w:sz="6" w:space="0" w:color="auto"/>
              <w:right w:val="single" w:sz="6" w:space="0" w:color="auto"/>
            </w:tcBorders>
          </w:tcPr>
          <w:p w14:paraId="135F6272" w14:textId="043B796C" w:rsidR="00B97365" w:rsidRDefault="00000000">
            <w:pPr>
              <w:rPr>
                <w:rFonts w:eastAsia="Times New Roman" w:cs="Calibri"/>
                <w:sz w:val="16"/>
                <w:szCs w:val="16"/>
                <w:lang w:val="en-US"/>
              </w:rPr>
            </w:pPr>
            <w:r>
              <w:rPr>
                <w:rFonts w:eastAsia="Times New Roman" w:cs="Calibri"/>
                <w:sz w:val="16"/>
                <w:szCs w:val="16"/>
                <w:lang w:val="en-US"/>
              </w:rPr>
              <w:t xml:space="preserve">Indicates the signature algorithm used by the EUM to sign the relevant part of the EIS. See </w:t>
            </w:r>
            <w:r>
              <w:fldChar w:fldCharType="begin"/>
            </w:r>
            <w:r>
              <w:rPr>
                <w:rFonts w:eastAsia="Times New Roman" w:cs="Calibri"/>
                <w:sz w:val="16"/>
                <w:szCs w:val="16"/>
                <w:lang w:val="en-US"/>
              </w:rPr>
              <w:instrText xml:space="preserve"> REF _Ref421658999 \r \h </w:instrText>
            </w:r>
            <w:r>
              <w:fldChar w:fldCharType="separate"/>
            </w:r>
            <w:r w:rsidR="001D5AD9">
              <w:rPr>
                <w:rFonts w:eastAsia="Times New Roman" w:cs="Calibri"/>
                <w:sz w:val="16"/>
                <w:szCs w:val="16"/>
                <w:lang w:val="en-US"/>
              </w:rPr>
              <w:t>Annex E</w:t>
            </w:r>
            <w:r>
              <w:fldChar w:fldCharType="end"/>
            </w:r>
            <w:r>
              <w:rPr>
                <w:rFonts w:eastAsia="Times New Roman" w:cs="Calibri"/>
                <w:sz w:val="16"/>
                <w:szCs w:val="16"/>
                <w:lang w:val="en-US"/>
              </w:rPr>
              <w:t xml:space="preserve"> to have details of the data that SHALL be included in the signature.</w:t>
            </w:r>
          </w:p>
          <w:p w14:paraId="4D506271" w14:textId="77777777" w:rsidR="00B97365" w:rsidRDefault="00B97365">
            <w:pPr>
              <w:rPr>
                <w:rFonts w:eastAsia="Times New Roman" w:cs="Calibri"/>
                <w:sz w:val="16"/>
                <w:szCs w:val="16"/>
                <w:lang w:val="en-US"/>
              </w:rPr>
            </w:pPr>
          </w:p>
          <w:p w14:paraId="1FDD5747" w14:textId="42109D94" w:rsidR="00B97365" w:rsidRDefault="00000000">
            <w:pPr>
              <w:rPr>
                <w:rFonts w:eastAsia="Times New Roman" w:cs="Calibri"/>
                <w:sz w:val="16"/>
                <w:szCs w:val="16"/>
                <w:lang w:val="en-US"/>
              </w:rPr>
            </w:pPr>
            <w:r>
              <w:rPr>
                <w:rFonts w:eastAsia="Times New Roman" w:cs="Calibri"/>
                <w:sz w:val="16"/>
                <w:szCs w:val="16"/>
                <w:lang w:val="en-US"/>
              </w:rPr>
              <w:t xml:space="preserve">The algorithm naming follows RFC 4051 </w:t>
            </w:r>
            <w:r>
              <w:fldChar w:fldCharType="begin"/>
            </w:r>
            <w:r>
              <w:rPr>
                <w:rFonts w:eastAsia="Times New Roman" w:cs="Calibri"/>
                <w:sz w:val="16"/>
                <w:szCs w:val="16"/>
                <w:lang w:val="en-US"/>
              </w:rPr>
              <w:instrText xml:space="preserve"> REF _Ref421634975 \r \h </w:instrText>
            </w:r>
            <w:r>
              <w:fldChar w:fldCharType="separate"/>
            </w:r>
            <w:r w:rsidR="001D5AD9">
              <w:rPr>
                <w:rFonts w:eastAsia="Times New Roman" w:cs="Calibri"/>
                <w:sz w:val="16"/>
                <w:szCs w:val="16"/>
                <w:lang w:val="en-US"/>
              </w:rPr>
              <w:t>[24]</w:t>
            </w:r>
            <w:r>
              <w:fldChar w:fldCharType="end"/>
            </w:r>
          </w:p>
        </w:tc>
        <w:tc>
          <w:tcPr>
            <w:tcW w:w="1702" w:type="dxa"/>
            <w:tcBorders>
              <w:top w:val="single" w:sz="6" w:space="0" w:color="auto"/>
              <w:left w:val="single" w:sz="6" w:space="0" w:color="auto"/>
              <w:bottom w:val="single" w:sz="6" w:space="0" w:color="auto"/>
              <w:right w:val="single" w:sz="6" w:space="0" w:color="auto"/>
            </w:tcBorders>
            <w:hideMark/>
          </w:tcPr>
          <w:p w14:paraId="096A0A8D" w14:textId="77777777" w:rsidR="00B97365" w:rsidRDefault="00000000">
            <w:pPr>
              <w:rPr>
                <w:rFonts w:eastAsia="Times New Roman" w:cs="Calibri"/>
                <w:sz w:val="16"/>
                <w:szCs w:val="16"/>
                <w:lang w:val="en-US"/>
              </w:rPr>
            </w:pPr>
            <w:r>
              <w:rPr>
                <w:rFonts w:eastAsia="Times New Roman" w:cs="Calibri"/>
                <w:sz w:val="16"/>
                <w:szCs w:val="16"/>
                <w:lang w:val="en-US"/>
              </w:rPr>
              <w:t>Enumeration{</w:t>
            </w:r>
          </w:p>
          <w:p w14:paraId="442368D6" w14:textId="77777777" w:rsidR="00B97365" w:rsidRDefault="00000000">
            <w:pPr>
              <w:rPr>
                <w:rFonts w:eastAsia="Times New Roman" w:cs="Calibri"/>
                <w:sz w:val="16"/>
                <w:szCs w:val="16"/>
                <w:lang w:val="en-US"/>
              </w:rPr>
            </w:pPr>
            <w:r>
              <w:rPr>
                <w:rFonts w:eastAsia="Times New Roman" w:cs="Calibri"/>
                <w:sz w:val="16"/>
                <w:szCs w:val="16"/>
                <w:lang w:val="en-US"/>
              </w:rPr>
              <w:t>rsa-sha256, rsa-sha384,</w:t>
            </w:r>
          </w:p>
          <w:p w14:paraId="1D79BAA0" w14:textId="77777777" w:rsidR="00B97365" w:rsidRDefault="00000000">
            <w:pPr>
              <w:rPr>
                <w:rFonts w:eastAsia="Times New Roman" w:cs="Calibri"/>
                <w:sz w:val="16"/>
                <w:szCs w:val="16"/>
                <w:lang w:val="es-ES"/>
              </w:rPr>
            </w:pPr>
            <w:r>
              <w:rPr>
                <w:rFonts w:eastAsia="Times New Roman" w:cs="Calibri"/>
                <w:sz w:val="16"/>
                <w:szCs w:val="16"/>
                <w:lang w:val="es-ES"/>
              </w:rPr>
              <w:t>rsa-sha512,</w:t>
            </w:r>
          </w:p>
          <w:p w14:paraId="61F960A4" w14:textId="77777777" w:rsidR="00B97365" w:rsidRDefault="00000000">
            <w:pPr>
              <w:rPr>
                <w:rFonts w:eastAsia="Times New Roman" w:cs="Calibri"/>
                <w:sz w:val="16"/>
                <w:szCs w:val="16"/>
                <w:lang w:val="es-ES"/>
              </w:rPr>
            </w:pPr>
            <w:r>
              <w:rPr>
                <w:rFonts w:eastAsia="Times New Roman" w:cs="Calibri"/>
                <w:sz w:val="16"/>
                <w:szCs w:val="16"/>
                <w:lang w:val="es-ES"/>
              </w:rPr>
              <w:t>ecdsa-sha256,</w:t>
            </w:r>
          </w:p>
          <w:p w14:paraId="36FD6F96" w14:textId="77777777" w:rsidR="00B97365" w:rsidRDefault="00000000">
            <w:pPr>
              <w:rPr>
                <w:rFonts w:eastAsia="Times New Roman" w:cs="Calibri"/>
                <w:sz w:val="16"/>
                <w:szCs w:val="16"/>
                <w:lang w:val="es-ES"/>
              </w:rPr>
            </w:pPr>
            <w:r>
              <w:rPr>
                <w:rFonts w:eastAsia="Times New Roman" w:cs="Calibri"/>
                <w:sz w:val="16"/>
                <w:szCs w:val="16"/>
                <w:lang w:val="es-ES"/>
              </w:rPr>
              <w:t>ecdsa-sha384,</w:t>
            </w:r>
          </w:p>
          <w:p w14:paraId="33AE9892" w14:textId="77777777" w:rsidR="00B97365" w:rsidRDefault="00000000">
            <w:pPr>
              <w:rPr>
                <w:rFonts w:eastAsia="Times New Roman" w:cs="Calibri"/>
                <w:sz w:val="16"/>
                <w:szCs w:val="16"/>
                <w:lang w:val="en-US"/>
              </w:rPr>
            </w:pPr>
            <w:r>
              <w:rPr>
                <w:rFonts w:eastAsia="Times New Roman" w:cs="Calibri"/>
                <w:sz w:val="16"/>
                <w:szCs w:val="16"/>
                <w:lang w:val="en-US"/>
              </w:rPr>
              <w:t>ecdsa-sha512</w:t>
            </w:r>
          </w:p>
          <w:p w14:paraId="4C1FF307" w14:textId="77777777" w:rsidR="00B97365" w:rsidRDefault="00000000">
            <w:pPr>
              <w:rPr>
                <w:rFonts w:eastAsia="Times New Roman" w:cs="Calibri"/>
                <w:sz w:val="16"/>
                <w:szCs w:val="16"/>
                <w:lang w:val="en-US"/>
              </w:rPr>
            </w:pPr>
            <w:r>
              <w:rPr>
                <w:rFonts w:eastAsia="Times New Roman" w:cs="Calibri"/>
                <w:sz w:val="16"/>
                <w:szCs w:val="16"/>
                <w:lang w:val="en-US"/>
              </w:rPr>
              <w:t>}</w:t>
            </w:r>
          </w:p>
        </w:tc>
        <w:tc>
          <w:tcPr>
            <w:tcW w:w="709" w:type="dxa"/>
            <w:tcBorders>
              <w:top w:val="single" w:sz="6" w:space="0" w:color="auto"/>
              <w:left w:val="single" w:sz="6" w:space="0" w:color="auto"/>
              <w:bottom w:val="single" w:sz="6" w:space="0" w:color="auto"/>
              <w:right w:val="single" w:sz="6" w:space="0" w:color="auto"/>
            </w:tcBorders>
            <w:hideMark/>
          </w:tcPr>
          <w:p w14:paraId="00BB3328" w14:textId="77777777" w:rsidR="00B97365" w:rsidRDefault="00000000">
            <w:pPr>
              <w:rPr>
                <w:rFonts w:eastAsia="Times New Roman" w:cs="Calibri"/>
                <w:sz w:val="16"/>
                <w:szCs w:val="16"/>
              </w:rPr>
            </w:pPr>
            <w:r>
              <w:rPr>
                <w:rFonts w:cs="Calibri"/>
                <w:sz w:val="16"/>
                <w:szCs w:val="16"/>
              </w:rPr>
              <w:t>1</w:t>
            </w:r>
          </w:p>
        </w:tc>
      </w:tr>
      <w:tr w:rsidR="00B97365" w14:paraId="3E63F9D6" w14:textId="77777777">
        <w:trPr>
          <w:cantSplit/>
          <w:trHeight w:val="282"/>
        </w:trPr>
        <w:tc>
          <w:tcPr>
            <w:tcW w:w="2001" w:type="dxa"/>
            <w:tcBorders>
              <w:top w:val="single" w:sz="6" w:space="0" w:color="auto"/>
              <w:left w:val="single" w:sz="4" w:space="0" w:color="auto"/>
              <w:bottom w:val="single" w:sz="6" w:space="0" w:color="auto"/>
              <w:right w:val="single" w:sz="6" w:space="0" w:color="auto"/>
            </w:tcBorders>
            <w:hideMark/>
          </w:tcPr>
          <w:p w14:paraId="0A986268" w14:textId="77777777" w:rsidR="00B97365" w:rsidRDefault="00000000">
            <w:pPr>
              <w:rPr>
                <w:rFonts w:eastAsia="Times New Roman" w:cs="Calibri"/>
                <w:sz w:val="16"/>
                <w:szCs w:val="16"/>
              </w:rPr>
            </w:pPr>
            <w:r>
              <w:rPr>
                <w:rFonts w:cs="Calibri"/>
                <w:sz w:val="16"/>
                <w:szCs w:val="16"/>
              </w:rPr>
              <w:t>Signature</w:t>
            </w:r>
          </w:p>
        </w:tc>
        <w:tc>
          <w:tcPr>
            <w:tcW w:w="4347" w:type="dxa"/>
            <w:tcBorders>
              <w:top w:val="single" w:sz="6" w:space="0" w:color="auto"/>
              <w:left w:val="single" w:sz="6" w:space="0" w:color="auto"/>
              <w:bottom w:val="single" w:sz="6" w:space="0" w:color="auto"/>
              <w:right w:val="single" w:sz="6" w:space="0" w:color="auto"/>
            </w:tcBorders>
            <w:hideMark/>
          </w:tcPr>
          <w:p w14:paraId="1303D9A2" w14:textId="7203C326" w:rsidR="00B97365" w:rsidRDefault="00000000">
            <w:pPr>
              <w:rPr>
                <w:rFonts w:eastAsia="Times New Roman" w:cs="Calibri"/>
                <w:sz w:val="16"/>
                <w:szCs w:val="16"/>
                <w:lang w:val="en-US"/>
              </w:rPr>
            </w:pPr>
            <w:r>
              <w:rPr>
                <w:rFonts w:cs="Calibri"/>
                <w:sz w:val="16"/>
                <w:szCs w:val="16"/>
                <w:lang w:val="en-US"/>
              </w:rPr>
              <w:t xml:space="preserve">Signature value of the EUM. See </w:t>
            </w:r>
            <w:r>
              <w:fldChar w:fldCharType="begin"/>
            </w:r>
            <w:r>
              <w:rPr>
                <w:rFonts w:cs="Calibri"/>
                <w:sz w:val="16"/>
                <w:szCs w:val="16"/>
                <w:lang w:val="en-US"/>
              </w:rPr>
              <w:instrText xml:space="preserve"> REF _Ref421659010 \r \h </w:instrText>
            </w:r>
            <w:r>
              <w:fldChar w:fldCharType="separate"/>
            </w:r>
            <w:r w:rsidR="001D5AD9">
              <w:rPr>
                <w:rFonts w:cs="Calibri"/>
                <w:sz w:val="16"/>
                <w:szCs w:val="16"/>
                <w:lang w:val="en-US"/>
              </w:rPr>
              <w:t>Annex E</w:t>
            </w:r>
            <w:r>
              <w:fldChar w:fldCharType="end"/>
            </w:r>
            <w:r>
              <w:rPr>
                <w:rFonts w:cs="Calibri"/>
                <w:sz w:val="16"/>
                <w:szCs w:val="16"/>
                <w:lang w:val="en-US"/>
              </w:rPr>
              <w:t xml:space="preserve"> to have details of the data included in the computation of the signature</w:t>
            </w:r>
          </w:p>
        </w:tc>
        <w:tc>
          <w:tcPr>
            <w:tcW w:w="1702" w:type="dxa"/>
            <w:tcBorders>
              <w:top w:val="single" w:sz="6" w:space="0" w:color="auto"/>
              <w:left w:val="single" w:sz="6" w:space="0" w:color="auto"/>
              <w:bottom w:val="single" w:sz="6" w:space="0" w:color="auto"/>
              <w:right w:val="single" w:sz="6" w:space="0" w:color="auto"/>
            </w:tcBorders>
            <w:hideMark/>
          </w:tcPr>
          <w:p w14:paraId="15C0CD45" w14:textId="77777777" w:rsidR="00B97365" w:rsidRDefault="00000000">
            <w:pPr>
              <w:rPr>
                <w:rFonts w:eastAsia="Times New Roman" w:cs="Calibri"/>
                <w:sz w:val="16"/>
                <w:szCs w:val="16"/>
                <w:lang w:val="en-US"/>
              </w:rPr>
            </w:pPr>
            <w:r>
              <w:rPr>
                <w:rFonts w:cs="Calibri"/>
                <w:sz w:val="16"/>
                <w:szCs w:val="16"/>
                <w:lang w:val="en-US"/>
              </w:rPr>
              <w:t>Byte[]</w:t>
            </w:r>
          </w:p>
        </w:tc>
        <w:tc>
          <w:tcPr>
            <w:tcW w:w="709" w:type="dxa"/>
            <w:tcBorders>
              <w:top w:val="single" w:sz="6" w:space="0" w:color="auto"/>
              <w:left w:val="single" w:sz="6" w:space="0" w:color="auto"/>
              <w:bottom w:val="single" w:sz="6" w:space="0" w:color="auto"/>
              <w:right w:val="single" w:sz="6" w:space="0" w:color="auto"/>
            </w:tcBorders>
            <w:hideMark/>
          </w:tcPr>
          <w:p w14:paraId="208F8EBF" w14:textId="77777777" w:rsidR="00B97365" w:rsidRDefault="00000000">
            <w:pPr>
              <w:jc w:val="center"/>
              <w:rPr>
                <w:rFonts w:eastAsia="Times New Roman" w:cs="Calibri"/>
                <w:sz w:val="16"/>
                <w:szCs w:val="16"/>
                <w:lang w:val="en-US"/>
              </w:rPr>
            </w:pPr>
            <w:r>
              <w:rPr>
                <w:rFonts w:cs="Calibri"/>
                <w:sz w:val="16"/>
                <w:szCs w:val="16"/>
                <w:lang w:val="en-US"/>
              </w:rPr>
              <w:t>1</w:t>
            </w:r>
          </w:p>
        </w:tc>
      </w:tr>
      <w:tr w:rsidR="00B97365" w14:paraId="32333003" w14:textId="77777777">
        <w:trPr>
          <w:cantSplit/>
          <w:trHeight w:val="282"/>
        </w:trPr>
        <w:tc>
          <w:tcPr>
            <w:tcW w:w="2001" w:type="dxa"/>
            <w:tcBorders>
              <w:top w:val="single" w:sz="6" w:space="0" w:color="auto"/>
              <w:left w:val="single" w:sz="4" w:space="0" w:color="auto"/>
              <w:bottom w:val="single" w:sz="4" w:space="0" w:color="auto"/>
              <w:right w:val="single" w:sz="6" w:space="0" w:color="auto"/>
            </w:tcBorders>
          </w:tcPr>
          <w:p w14:paraId="1C744AAB" w14:textId="77777777" w:rsidR="00B97365" w:rsidRDefault="00000000">
            <w:pPr>
              <w:rPr>
                <w:rFonts w:cs="Calibri"/>
                <w:sz w:val="16"/>
                <w:szCs w:val="16"/>
              </w:rPr>
            </w:pPr>
            <w:r>
              <w:rPr>
                <w:rFonts w:cs="Calibri"/>
                <w:sz w:val="16"/>
                <w:szCs w:val="16"/>
              </w:rPr>
              <w:t>AdditionalProperty</w:t>
            </w:r>
          </w:p>
        </w:tc>
        <w:tc>
          <w:tcPr>
            <w:tcW w:w="4347" w:type="dxa"/>
            <w:tcBorders>
              <w:top w:val="single" w:sz="6" w:space="0" w:color="auto"/>
              <w:left w:val="single" w:sz="6" w:space="0" w:color="auto"/>
              <w:bottom w:val="single" w:sz="4" w:space="0" w:color="auto"/>
              <w:right w:val="single" w:sz="6" w:space="0" w:color="auto"/>
            </w:tcBorders>
          </w:tcPr>
          <w:p w14:paraId="34613BAB" w14:textId="77777777" w:rsidR="00B97365" w:rsidRDefault="00000000">
            <w:pPr>
              <w:rPr>
                <w:rFonts w:cs="Calibri"/>
                <w:sz w:val="16"/>
                <w:szCs w:val="16"/>
                <w:lang w:val="en-US"/>
              </w:rPr>
            </w:pPr>
            <w:r>
              <w:rPr>
                <w:rFonts w:cs="Calibri"/>
                <w:sz w:val="16"/>
                <w:szCs w:val="16"/>
                <w:lang w:val="en-US"/>
              </w:rPr>
              <w:t>Optional additional information. See table 111-B</w:t>
            </w:r>
          </w:p>
        </w:tc>
        <w:tc>
          <w:tcPr>
            <w:tcW w:w="1702" w:type="dxa"/>
            <w:tcBorders>
              <w:top w:val="single" w:sz="6" w:space="0" w:color="auto"/>
              <w:left w:val="single" w:sz="6" w:space="0" w:color="auto"/>
              <w:bottom w:val="single" w:sz="4" w:space="0" w:color="auto"/>
              <w:right w:val="single" w:sz="6" w:space="0" w:color="auto"/>
            </w:tcBorders>
          </w:tcPr>
          <w:p w14:paraId="113AD5C8" w14:textId="7C85CDA1" w:rsidR="00B97365" w:rsidRDefault="00000000">
            <w:pPr>
              <w:rPr>
                <w:rFonts w:cs="Calibri"/>
                <w:sz w:val="16"/>
                <w:szCs w:val="16"/>
                <w:lang w:val="en-US"/>
              </w:rPr>
            </w:pPr>
            <w:r>
              <w:rPr>
                <w:rFonts w:cs="Calibri"/>
                <w:sz w:val="16"/>
                <w:szCs w:val="16"/>
                <w:lang w:val="en-US"/>
              </w:rPr>
              <w:t xml:space="preserve">See Annex </w:t>
            </w:r>
            <w:r>
              <w:rPr>
                <w:rFonts w:cs="Calibri"/>
                <w:sz w:val="16"/>
                <w:szCs w:val="16"/>
                <w:lang w:val="en-US"/>
              </w:rPr>
              <w:fldChar w:fldCharType="begin"/>
            </w:r>
            <w:r>
              <w:rPr>
                <w:rFonts w:cs="Calibri"/>
                <w:sz w:val="16"/>
                <w:szCs w:val="16"/>
                <w:lang w:val="en-US"/>
              </w:rPr>
              <w:instrText xml:space="preserve"> REF _Ref84540905 \r \h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A.3.5</w:t>
            </w:r>
            <w:r>
              <w:rPr>
                <w:rFonts w:cs="Calibri"/>
                <w:sz w:val="16"/>
                <w:szCs w:val="16"/>
                <w:lang w:val="en-US"/>
              </w:rPr>
              <w:fldChar w:fldCharType="end"/>
            </w:r>
          </w:p>
        </w:tc>
        <w:tc>
          <w:tcPr>
            <w:tcW w:w="709" w:type="dxa"/>
            <w:tcBorders>
              <w:top w:val="single" w:sz="6" w:space="0" w:color="auto"/>
              <w:left w:val="single" w:sz="6" w:space="0" w:color="auto"/>
              <w:bottom w:val="single" w:sz="4" w:space="0" w:color="auto"/>
              <w:right w:val="single" w:sz="6" w:space="0" w:color="auto"/>
            </w:tcBorders>
          </w:tcPr>
          <w:p w14:paraId="19281826" w14:textId="77777777" w:rsidR="00B97365" w:rsidRDefault="00000000">
            <w:pPr>
              <w:jc w:val="center"/>
              <w:rPr>
                <w:rFonts w:cs="Calibri"/>
                <w:sz w:val="16"/>
                <w:szCs w:val="16"/>
                <w:lang w:val="en-US"/>
              </w:rPr>
            </w:pPr>
            <w:r>
              <w:rPr>
                <w:rFonts w:cs="Calibri"/>
                <w:sz w:val="16"/>
                <w:szCs w:val="16"/>
                <w:lang w:val="en-US"/>
              </w:rPr>
              <w:t>0..N</w:t>
            </w:r>
          </w:p>
        </w:tc>
      </w:tr>
    </w:tbl>
    <w:p w14:paraId="70C5C47E"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EIS Type</w:t>
      </w:r>
    </w:p>
    <w:p w14:paraId="6E101B12" w14:textId="77777777" w:rsidR="00B97365" w:rsidRDefault="00B97365">
      <w:pPr>
        <w:rPr>
          <w:rFonts w:asciiTheme="minorHAnsi" w:hAnsiTheme="minorHAnsi" w:cstheme="minorHAnsi"/>
        </w:rPr>
      </w:pPr>
    </w:p>
    <w:p w14:paraId="7AEB60C5" w14:textId="7BE1C06D"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 xml:space="preserve">NOTE: the presence of each data element is specified in </w:t>
      </w:r>
      <w:r>
        <w:rPr>
          <w:szCs w:val="22"/>
          <w:lang w:val="en-US" w:eastAsia="en-GB" w:bidi="ar-SA"/>
        </w:rPr>
        <w:fldChar w:fldCharType="begin"/>
      </w:r>
      <w:r>
        <w:rPr>
          <w:szCs w:val="22"/>
          <w:lang w:val="en-US" w:eastAsia="en-GB" w:bidi="ar-SA"/>
        </w:rPr>
        <w:instrText xml:space="preserve"> REF _Ref483260408 \r \h </w:instrText>
      </w:r>
      <w:r>
        <w:rPr>
          <w:szCs w:val="22"/>
          <w:lang w:val="en-US" w:eastAsia="en-GB" w:bidi="ar-SA"/>
        </w:rPr>
      </w:r>
      <w:r>
        <w:rPr>
          <w:szCs w:val="22"/>
          <w:lang w:val="en-US" w:eastAsia="en-GB" w:bidi="ar-SA"/>
        </w:rPr>
        <w:fldChar w:fldCharType="separate"/>
      </w:r>
      <w:r w:rsidR="001D5AD9">
        <w:rPr>
          <w:szCs w:val="22"/>
          <w:lang w:val="en-US" w:eastAsia="en-GB" w:bidi="ar-SA"/>
        </w:rPr>
        <w:t>Annex E</w:t>
      </w:r>
      <w:r>
        <w:rPr>
          <w:szCs w:val="22"/>
          <w:lang w:val="en-US" w:eastAsia="en-GB" w:bidi="ar-SA"/>
        </w:rPr>
        <w:fldChar w:fldCharType="end"/>
      </w:r>
      <w:r>
        <w:rPr>
          <w:szCs w:val="22"/>
          <w:lang w:val="en-US" w:eastAsia="en-GB" w:bidi="ar-SA"/>
        </w:rPr>
        <w:t>, according to the function in which the EIS is transmitted.</w:t>
      </w:r>
    </w:p>
    <w:p w14:paraId="32EC60AD"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 xml:space="preserve">NOTE: </w:t>
      </w:r>
      <w:r>
        <w:rPr>
          <w:szCs w:val="22"/>
          <w:lang w:val="en-US" w:eastAsia="en-GB" w:bidi="ar-SA"/>
        </w:rPr>
        <w:tab/>
        <w:t>The ISD-P(s) are not represented in the EIS as a pure SECURITY-DOMAIN data type; ISD-P information is directly included in the Profile representation without distinction as the SM-SR doesn’t have access to ISD-P credentials.</w:t>
      </w:r>
    </w:p>
    <w:p w14:paraId="3145911C" w14:textId="77777777" w:rsidR="00B97365" w:rsidRDefault="00000000">
      <w:pPr>
        <w:tabs>
          <w:tab w:val="left" w:pos="1560"/>
        </w:tabs>
        <w:spacing w:before="0" w:after="200" w:line="276" w:lineRule="auto"/>
        <w:ind w:left="1559" w:hanging="1202"/>
        <w:jc w:val="left"/>
        <w:rPr>
          <w:rFonts w:cs="Calibri"/>
          <w:szCs w:val="22"/>
          <w:lang w:eastAsia="en-GB" w:bidi="ar-SA"/>
        </w:rPr>
      </w:pPr>
      <w:r>
        <w:rPr>
          <w:rFonts w:cs="Calibri"/>
          <w:szCs w:val="22"/>
          <w:lang w:eastAsia="en-GB" w:bidi="ar-SA"/>
        </w:rPr>
        <w:t xml:space="preserve">NOTE: </w:t>
      </w:r>
      <w:r>
        <w:rPr>
          <w:rFonts w:cs="Calibri"/>
          <w:szCs w:val="22"/>
          <w:lang w:eastAsia="en-GB" w:bidi="ar-SA"/>
        </w:rPr>
        <w:tab/>
        <w:t>All values defined as Integer SHALL be encoded in decimal.</w:t>
      </w:r>
    </w:p>
    <w:p w14:paraId="54DCA4DB" w14:textId="7BF5E7DF" w:rsidR="00B97365" w:rsidRDefault="00000000">
      <w:pPr>
        <w:spacing w:before="0" w:after="200" w:line="276" w:lineRule="auto"/>
        <w:jc w:val="left"/>
        <w:rPr>
          <w:szCs w:val="22"/>
          <w:lang w:eastAsia="en-GB" w:bidi="ar-SA"/>
        </w:rPr>
      </w:pPr>
      <w:r>
        <w:rPr>
          <w:szCs w:val="22"/>
          <w:lang w:eastAsia="en-GB" w:bidi="ar-SA"/>
        </w:rPr>
        <w:t>For extensibility purpose, additional information MAY be carried in the EIS. These information SHALL be specified as AdditionalProperties as specified in section</w:t>
      </w:r>
      <w:r>
        <w:rPr>
          <w:szCs w:val="22"/>
          <w:lang w:eastAsia="en-GB" w:bidi="ar-SA"/>
        </w:rPr>
        <w:fldChar w:fldCharType="begin"/>
      </w:r>
      <w:r>
        <w:rPr>
          <w:szCs w:val="22"/>
          <w:lang w:eastAsia="en-GB" w:bidi="ar-SA"/>
        </w:rPr>
        <w:instrText xml:space="preserve"> REF _Ref84540989 \r \h </w:instrText>
      </w:r>
      <w:r>
        <w:rPr>
          <w:szCs w:val="22"/>
          <w:lang w:eastAsia="en-GB" w:bidi="ar-SA"/>
        </w:rPr>
      </w:r>
      <w:r>
        <w:rPr>
          <w:szCs w:val="22"/>
          <w:lang w:eastAsia="en-GB" w:bidi="ar-SA"/>
        </w:rPr>
        <w:fldChar w:fldCharType="separate"/>
      </w:r>
      <w:r w:rsidR="001D5AD9">
        <w:rPr>
          <w:szCs w:val="22"/>
          <w:lang w:eastAsia="en-GB" w:bidi="ar-SA"/>
        </w:rPr>
        <w:t>A.3.5</w:t>
      </w:r>
      <w:r>
        <w:rPr>
          <w:szCs w:val="22"/>
          <w:lang w:eastAsia="en-GB" w:bidi="ar-SA"/>
        </w:rPr>
        <w:fldChar w:fldCharType="end"/>
      </w:r>
      <w:r>
        <w:rPr>
          <w:szCs w:val="22"/>
          <w:lang w:eastAsia="en-GB" w:bidi="ar-SA"/>
        </w:rPr>
        <w:t>. This specification defines the following combinations of key:values, but other combinations MAY be supported by EUMs:</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92"/>
        <w:gridCol w:w="6266"/>
      </w:tblGrid>
      <w:tr w:rsidR="00B97365" w14:paraId="194FEA1E" w14:textId="77777777">
        <w:trPr>
          <w:cantSplit/>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FAD3C8D" w14:textId="77777777" w:rsidR="00B97365" w:rsidRDefault="00000000">
            <w:pPr>
              <w:jc w:val="center"/>
              <w:rPr>
                <w:rFonts w:cs="Calibri"/>
                <w:b/>
                <w:color w:val="FFFFFF"/>
                <w:sz w:val="16"/>
                <w:szCs w:val="16"/>
              </w:rPr>
            </w:pPr>
            <w:r>
              <w:rPr>
                <w:rFonts w:cs="Calibri"/>
                <w:b/>
                <w:color w:val="FFFFFF"/>
                <w:sz w:val="16"/>
                <w:szCs w:val="16"/>
              </w:rPr>
              <w:t>Key</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3F8C2A5" w14:textId="77777777" w:rsidR="00B97365" w:rsidRDefault="00000000">
            <w:pPr>
              <w:jc w:val="center"/>
              <w:rPr>
                <w:rFonts w:cs="Calibri"/>
                <w:b/>
                <w:color w:val="FFFFFF"/>
                <w:sz w:val="16"/>
                <w:szCs w:val="16"/>
              </w:rPr>
            </w:pPr>
            <w:r>
              <w:rPr>
                <w:rFonts w:cs="Calibri"/>
                <w:b/>
                <w:color w:val="FFFFFF"/>
                <w:sz w:val="16"/>
                <w:szCs w:val="16"/>
              </w:rPr>
              <w:t>Value</w:t>
            </w:r>
          </w:p>
        </w:tc>
      </w:tr>
      <w:tr w:rsidR="00B97365" w14:paraId="79749FFD" w14:textId="77777777">
        <w:trPr>
          <w:cantSplit/>
          <w:trHeight w:val="282"/>
        </w:trPr>
        <w:tc>
          <w:tcPr>
            <w:tcW w:w="0" w:type="auto"/>
            <w:tcBorders>
              <w:top w:val="single" w:sz="6" w:space="0" w:color="auto"/>
              <w:left w:val="single" w:sz="4" w:space="0" w:color="auto"/>
              <w:bottom w:val="single" w:sz="6" w:space="0" w:color="auto"/>
              <w:right w:val="single" w:sz="6" w:space="0" w:color="auto"/>
            </w:tcBorders>
            <w:hideMark/>
          </w:tcPr>
          <w:p w14:paraId="29D540E4" w14:textId="77777777" w:rsidR="00B97365" w:rsidRDefault="00000000">
            <w:pPr>
              <w:spacing w:after="200"/>
              <w:rPr>
                <w:rFonts w:eastAsia="Times New Roman" w:cs="Calibri"/>
                <w:sz w:val="16"/>
                <w:szCs w:val="16"/>
              </w:rPr>
            </w:pPr>
            <w:r>
              <w:rPr>
                <w:iCs/>
                <w:sz w:val="16"/>
                <w:szCs w:val="16"/>
              </w:rPr>
              <w:t>“gsma.ESIM.ES1.transportKey”</w:t>
            </w:r>
          </w:p>
        </w:tc>
        <w:tc>
          <w:tcPr>
            <w:tcW w:w="0" w:type="auto"/>
            <w:tcBorders>
              <w:top w:val="single" w:sz="6" w:space="0" w:color="auto"/>
              <w:left w:val="single" w:sz="6" w:space="0" w:color="auto"/>
              <w:bottom w:val="single" w:sz="6" w:space="0" w:color="auto"/>
              <w:right w:val="single" w:sz="6" w:space="0" w:color="auto"/>
            </w:tcBorders>
            <w:hideMark/>
          </w:tcPr>
          <w:p w14:paraId="752722F2" w14:textId="77777777" w:rsidR="00B97365" w:rsidRDefault="00000000">
            <w:pPr>
              <w:tabs>
                <w:tab w:val="right" w:pos="7938"/>
              </w:tabs>
              <w:spacing w:after="60"/>
              <w:rPr>
                <w:rFonts w:eastAsia="Times New Roman" w:cs="Calibri"/>
                <w:sz w:val="16"/>
                <w:szCs w:val="16"/>
                <w:lang w:val="en-US"/>
              </w:rPr>
            </w:pPr>
            <w:r>
              <w:rPr>
                <w:iCs/>
                <w:sz w:val="16"/>
                <w:szCs w:val="16"/>
              </w:rPr>
              <w:t>A string agreed between requester and provider, allowing to identify the transport key used to cipher key components</w:t>
            </w:r>
          </w:p>
        </w:tc>
      </w:tr>
      <w:tr w:rsidR="00B97365" w14:paraId="5E2C7720"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0A2A9357" w14:textId="77777777" w:rsidR="00B97365" w:rsidRDefault="00000000">
            <w:pPr>
              <w:spacing w:after="200"/>
              <w:rPr>
                <w:rFonts w:cs="Calibri"/>
                <w:sz w:val="16"/>
                <w:szCs w:val="16"/>
              </w:rPr>
            </w:pPr>
            <w:r>
              <w:rPr>
                <w:iCs/>
                <w:sz w:val="16"/>
                <w:szCs w:val="16"/>
              </w:rPr>
              <w:t>“gsma.ESIM.ES1.SCP80.KeySize”</w:t>
            </w:r>
          </w:p>
        </w:tc>
        <w:tc>
          <w:tcPr>
            <w:tcW w:w="0" w:type="auto"/>
            <w:tcBorders>
              <w:top w:val="single" w:sz="6" w:space="0" w:color="auto"/>
              <w:left w:val="single" w:sz="6" w:space="0" w:color="auto"/>
              <w:bottom w:val="single" w:sz="6" w:space="0" w:color="auto"/>
              <w:right w:val="single" w:sz="6" w:space="0" w:color="auto"/>
            </w:tcBorders>
          </w:tcPr>
          <w:p w14:paraId="1E632FC6" w14:textId="77777777" w:rsidR="00B97365" w:rsidRDefault="00000000">
            <w:pPr>
              <w:tabs>
                <w:tab w:val="right" w:pos="7938"/>
              </w:tabs>
              <w:spacing w:after="60"/>
              <w:rPr>
                <w:rFonts w:cs="Calibri"/>
                <w:sz w:val="16"/>
                <w:szCs w:val="16"/>
                <w:lang w:val="en-US"/>
              </w:rPr>
            </w:pPr>
            <w:r>
              <w:rPr>
                <w:iCs/>
                <w:sz w:val="16"/>
                <w:szCs w:val="16"/>
              </w:rPr>
              <w:t>Length of keys in SCP80 keysets of ISD-R”</w:t>
            </w:r>
          </w:p>
        </w:tc>
      </w:tr>
      <w:tr w:rsidR="00B97365" w14:paraId="61EC7467"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6AE2E94E" w14:textId="77777777" w:rsidR="00B97365" w:rsidRDefault="00000000">
            <w:pPr>
              <w:spacing w:after="200"/>
              <w:rPr>
                <w:rFonts w:cs="Calibri"/>
                <w:sz w:val="16"/>
                <w:szCs w:val="16"/>
              </w:rPr>
            </w:pPr>
            <w:r>
              <w:rPr>
                <w:iCs/>
                <w:sz w:val="16"/>
                <w:szCs w:val="16"/>
              </w:rPr>
              <w:t>“gsma.ESIM.ES1.SCP81.KeySize”</w:t>
            </w:r>
          </w:p>
        </w:tc>
        <w:tc>
          <w:tcPr>
            <w:tcW w:w="0" w:type="auto"/>
            <w:tcBorders>
              <w:top w:val="single" w:sz="6" w:space="0" w:color="auto"/>
              <w:left w:val="single" w:sz="6" w:space="0" w:color="auto"/>
              <w:bottom w:val="single" w:sz="6" w:space="0" w:color="auto"/>
              <w:right w:val="single" w:sz="6" w:space="0" w:color="auto"/>
            </w:tcBorders>
          </w:tcPr>
          <w:p w14:paraId="1E1D37A5" w14:textId="77777777" w:rsidR="00B97365" w:rsidRDefault="00000000">
            <w:pPr>
              <w:tabs>
                <w:tab w:val="right" w:pos="7938"/>
              </w:tabs>
              <w:spacing w:after="60"/>
              <w:rPr>
                <w:rFonts w:cs="Calibri"/>
                <w:sz w:val="16"/>
                <w:szCs w:val="16"/>
                <w:lang w:val="en-US"/>
              </w:rPr>
            </w:pPr>
            <w:r>
              <w:rPr>
                <w:iCs/>
                <w:sz w:val="16"/>
                <w:szCs w:val="16"/>
              </w:rPr>
              <w:t>Length of keys in SCP81 keysets of ISD-R”</w:t>
            </w:r>
          </w:p>
        </w:tc>
      </w:tr>
      <w:tr w:rsidR="00B97365" w14:paraId="1541FE23"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473A8DDA" w14:textId="139E34C0" w:rsidR="00B97365" w:rsidRDefault="00000000">
            <w:pPr>
              <w:spacing w:after="200"/>
              <w:rPr>
                <w:iCs/>
                <w:sz w:val="16"/>
                <w:szCs w:val="16"/>
              </w:rPr>
            </w:pPr>
            <w:r>
              <w:rPr>
                <w:iCs/>
                <w:sz w:val="16"/>
                <w:szCs w:val="16"/>
              </w:rPr>
              <w:t>“gsma.ESIM.EmergencyProfile.AID”</w:t>
            </w:r>
          </w:p>
        </w:tc>
        <w:tc>
          <w:tcPr>
            <w:tcW w:w="0" w:type="auto"/>
            <w:tcBorders>
              <w:top w:val="single" w:sz="6" w:space="0" w:color="auto"/>
              <w:left w:val="single" w:sz="6" w:space="0" w:color="auto"/>
              <w:bottom w:val="single" w:sz="6" w:space="0" w:color="auto"/>
              <w:right w:val="single" w:sz="6" w:space="0" w:color="auto"/>
            </w:tcBorders>
          </w:tcPr>
          <w:p w14:paraId="2C60B665" w14:textId="77777777" w:rsidR="00B97365" w:rsidRDefault="00000000">
            <w:pPr>
              <w:spacing w:after="60"/>
              <w:rPr>
                <w:iCs/>
                <w:sz w:val="16"/>
                <w:szCs w:val="16"/>
              </w:rPr>
            </w:pPr>
            <w:r>
              <w:rPr>
                <w:iCs/>
                <w:sz w:val="16"/>
                <w:szCs w:val="16"/>
              </w:rPr>
              <w:t>ISD-P-AID of the Profile with the Emergency Profile Attribute Set, if any. If this value is empty or missing, no Profile on this eUICC has the Emergency Profile Attribute set.</w:t>
            </w:r>
          </w:p>
        </w:tc>
      </w:tr>
      <w:tr w:rsidR="00B97365" w14:paraId="414F4368" w14:textId="77777777">
        <w:trPr>
          <w:cantSplit/>
          <w:trHeight w:val="282"/>
        </w:trPr>
        <w:tc>
          <w:tcPr>
            <w:tcW w:w="0" w:type="auto"/>
            <w:tcBorders>
              <w:top w:val="single" w:sz="6" w:space="0" w:color="auto"/>
              <w:left w:val="single" w:sz="4" w:space="0" w:color="auto"/>
              <w:bottom w:val="single" w:sz="6" w:space="0" w:color="auto"/>
              <w:right w:val="single" w:sz="6" w:space="0" w:color="auto"/>
            </w:tcBorders>
          </w:tcPr>
          <w:p w14:paraId="1FBF3618" w14:textId="77777777" w:rsidR="00B97365" w:rsidRDefault="00000000">
            <w:pPr>
              <w:spacing w:after="200"/>
              <w:rPr>
                <w:iCs/>
                <w:sz w:val="16"/>
                <w:szCs w:val="16"/>
              </w:rPr>
            </w:pPr>
            <w:r>
              <w:rPr>
                <w:iCs/>
                <w:sz w:val="16"/>
                <w:szCs w:val="16"/>
              </w:rPr>
              <w:t>“gsma.ESIM.TestProfile.AID”</w:t>
            </w:r>
          </w:p>
        </w:tc>
        <w:tc>
          <w:tcPr>
            <w:tcW w:w="0" w:type="auto"/>
            <w:tcBorders>
              <w:top w:val="single" w:sz="6" w:space="0" w:color="auto"/>
              <w:left w:val="single" w:sz="6" w:space="0" w:color="auto"/>
              <w:bottom w:val="single" w:sz="6" w:space="0" w:color="auto"/>
              <w:right w:val="single" w:sz="6" w:space="0" w:color="auto"/>
            </w:tcBorders>
          </w:tcPr>
          <w:p w14:paraId="058B0519" w14:textId="77777777" w:rsidR="00B97365" w:rsidRDefault="00000000">
            <w:pPr>
              <w:spacing w:after="60"/>
              <w:rPr>
                <w:iCs/>
                <w:sz w:val="16"/>
                <w:szCs w:val="16"/>
              </w:rPr>
            </w:pPr>
            <w:r>
              <w:rPr>
                <w:iCs/>
                <w:sz w:val="16"/>
                <w:szCs w:val="16"/>
              </w:rPr>
              <w:t>ISD-P-AID of the Test Profile, if any. If this value is empty or missing, no Test Profile is present on this eUICC.</w:t>
            </w:r>
          </w:p>
        </w:tc>
      </w:tr>
    </w:tbl>
    <w:p w14:paraId="18D9D6E2" w14:textId="77777777" w:rsidR="00B97365" w:rsidRDefault="00000000">
      <w:pPr>
        <w:tabs>
          <w:tab w:val="left" w:pos="1560"/>
        </w:tabs>
        <w:spacing w:before="0" w:after="200" w:line="276" w:lineRule="auto"/>
        <w:ind w:left="1559" w:hanging="1202"/>
        <w:jc w:val="center"/>
        <w:rPr>
          <w:rFonts w:cs="Arial"/>
          <w:b/>
          <w:lang w:eastAsia="de-DE" w:bidi="ar-SA"/>
        </w:rPr>
      </w:pPr>
      <w:r>
        <w:rPr>
          <w:rFonts w:cs="Arial"/>
          <w:b/>
          <w:lang w:eastAsia="de-DE" w:bidi="ar-SA"/>
        </w:rPr>
        <w:t>Table 111-2: Common Additional Properties</w:t>
      </w:r>
    </w:p>
    <w:p w14:paraId="7815575E"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132" w:name="_Ref536518899"/>
      <w:r>
        <w:rPr>
          <w:rFonts w:ascii="Arial Bold" w:eastAsia="Times New Roman" w:hAnsi="Arial Bold" w:cs="Arial"/>
          <w:b/>
          <w:bCs/>
          <w:szCs w:val="26"/>
          <w:lang w:val="en-US" w:eastAsia="en-US"/>
        </w:rPr>
        <w:t>PLMA</w:t>
      </w:r>
      <w:bookmarkEnd w:id="3132"/>
    </w:p>
    <w:p w14:paraId="65C5A4F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 xml:space="preserve">PLMA </w:t>
      </w:r>
      <w:r>
        <w:rPr>
          <w:rFonts w:cs="Arial"/>
          <w:szCs w:val="22"/>
          <w:lang w:val="en-US" w:eastAsia="en-GB" w:bidi="ar-SA"/>
        </w:rPr>
        <w:t>type is defined by:</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70"/>
        <w:gridCol w:w="5714"/>
        <w:gridCol w:w="558"/>
        <w:gridCol w:w="505"/>
        <w:gridCol w:w="514"/>
      </w:tblGrid>
      <w:tr w:rsidR="00B97365" w14:paraId="5469265C"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A5750DB"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2C5BE52"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72324AE"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A431FB2"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C23CC81"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FA60AAE" w14:textId="77777777">
        <w:trPr>
          <w:trHeight w:val="282"/>
        </w:trPr>
        <w:tc>
          <w:tcPr>
            <w:tcW w:w="0" w:type="auto"/>
            <w:tcBorders>
              <w:top w:val="single" w:sz="6" w:space="0" w:color="auto"/>
              <w:left w:val="single" w:sz="4" w:space="0" w:color="auto"/>
              <w:bottom w:val="single" w:sz="6" w:space="0" w:color="auto"/>
              <w:right w:val="single" w:sz="6" w:space="0" w:color="auto"/>
            </w:tcBorders>
            <w:hideMark/>
          </w:tcPr>
          <w:p w14:paraId="60F18BC9" w14:textId="77777777" w:rsidR="00B97365" w:rsidRDefault="00000000">
            <w:pPr>
              <w:spacing w:after="200"/>
              <w:rPr>
                <w:rFonts w:eastAsia="Times New Roman" w:cs="Calibri"/>
                <w:sz w:val="16"/>
                <w:szCs w:val="16"/>
              </w:rPr>
            </w:pPr>
            <w:r>
              <w:rPr>
                <w:rFonts w:cs="Calibri"/>
                <w:sz w:val="16"/>
                <w:szCs w:val="16"/>
              </w:rPr>
              <w:t>mno-id</w:t>
            </w:r>
          </w:p>
        </w:tc>
        <w:tc>
          <w:tcPr>
            <w:tcW w:w="0" w:type="auto"/>
            <w:tcBorders>
              <w:top w:val="single" w:sz="6" w:space="0" w:color="auto"/>
              <w:left w:val="single" w:sz="6" w:space="0" w:color="auto"/>
              <w:bottom w:val="single" w:sz="6" w:space="0" w:color="auto"/>
              <w:right w:val="single" w:sz="6" w:space="0" w:color="auto"/>
            </w:tcBorders>
            <w:hideMark/>
          </w:tcPr>
          <w:p w14:paraId="2D8C7B3B" w14:textId="77777777" w:rsidR="00B97365" w:rsidRDefault="00000000">
            <w:pPr>
              <w:rPr>
                <w:rFonts w:eastAsia="Times New Roman" w:cs="Calibri"/>
                <w:sz w:val="16"/>
                <w:szCs w:val="16"/>
                <w:lang w:val="en-US"/>
              </w:rPr>
            </w:pPr>
            <w:r>
              <w:rPr>
                <w:rFonts w:cs="Calibri"/>
                <w:sz w:val="16"/>
                <w:szCs w:val="16"/>
                <w:lang w:val="en-US"/>
              </w:rPr>
              <w:t>Identification of the Operator owner of the Profiles concerned by this PLMA.</w:t>
            </w:r>
          </w:p>
          <w:p w14:paraId="01605EC7" w14:textId="17F867BA" w:rsidR="00B97365" w:rsidRDefault="00000000">
            <w:pPr>
              <w:spacing w:after="60"/>
              <w:rPr>
                <w:rFonts w:eastAsia="Times New Roman" w:cs="Calibri"/>
                <w:sz w:val="16"/>
                <w:szCs w:val="16"/>
              </w:rPr>
            </w:pPr>
            <w:r>
              <w:rPr>
                <w:rFonts w:cs="Calibri"/>
                <w:sz w:val="16"/>
                <w:szCs w:val="16"/>
                <w:lang w:val="en-US"/>
              </w:rPr>
              <w:t xml:space="preserve">See section </w:t>
            </w:r>
            <w:r>
              <w:fldChar w:fldCharType="begin"/>
            </w:r>
            <w:r>
              <w:instrText xml:space="preserve"> REF _Ref367973974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920B1B0" w14:textId="77777777" w:rsidR="00B97365" w:rsidRDefault="00000000">
            <w:pPr>
              <w:spacing w:after="60"/>
              <w:jc w:val="center"/>
              <w:rPr>
                <w:rFonts w:eastAsia="Times New Roman" w:cs="Calibri"/>
                <w:sz w:val="16"/>
                <w:szCs w:val="16"/>
              </w:rPr>
            </w:pPr>
            <w:r>
              <w:rPr>
                <w:rFonts w:cs="Calibri"/>
                <w:sz w:val="16"/>
                <w:szCs w:val="16"/>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64D8C06" w14:textId="77777777" w:rsidR="00B97365" w:rsidRDefault="00000000">
            <w:pPr>
              <w:spacing w:after="60"/>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8019461" w14:textId="77777777" w:rsidR="00B97365" w:rsidRDefault="00000000">
            <w:pPr>
              <w:spacing w:after="60"/>
              <w:jc w:val="center"/>
              <w:rPr>
                <w:rFonts w:cs="Calibri"/>
                <w:sz w:val="16"/>
                <w:szCs w:val="16"/>
              </w:rPr>
            </w:pPr>
            <w:r>
              <w:rPr>
                <w:rFonts w:cs="Calibri"/>
                <w:sz w:val="16"/>
                <w:szCs w:val="16"/>
              </w:rPr>
              <w:t>M</w:t>
            </w:r>
          </w:p>
        </w:tc>
      </w:tr>
      <w:tr w:rsidR="00B97365" w14:paraId="05346C85" w14:textId="77777777">
        <w:trPr>
          <w:trHeight w:val="282"/>
        </w:trPr>
        <w:tc>
          <w:tcPr>
            <w:tcW w:w="0" w:type="auto"/>
            <w:tcBorders>
              <w:top w:val="single" w:sz="6" w:space="0" w:color="auto"/>
              <w:left w:val="single" w:sz="4" w:space="0" w:color="auto"/>
              <w:bottom w:val="single" w:sz="6" w:space="0" w:color="auto"/>
              <w:right w:val="single" w:sz="6" w:space="0" w:color="auto"/>
            </w:tcBorders>
            <w:hideMark/>
          </w:tcPr>
          <w:p w14:paraId="5FF48CF3" w14:textId="77777777" w:rsidR="00B97365" w:rsidRDefault="00000000">
            <w:pPr>
              <w:spacing w:after="60"/>
              <w:rPr>
                <w:rFonts w:eastAsia="Times New Roman" w:cs="Calibri"/>
                <w:sz w:val="16"/>
                <w:szCs w:val="16"/>
              </w:rPr>
            </w:pPr>
            <w:r>
              <w:rPr>
                <w:rFonts w:cs="Calibri"/>
                <w:sz w:val="16"/>
                <w:szCs w:val="16"/>
              </w:rPr>
              <w:t>profileType</w:t>
            </w:r>
          </w:p>
        </w:tc>
        <w:tc>
          <w:tcPr>
            <w:tcW w:w="0" w:type="auto"/>
            <w:tcBorders>
              <w:top w:val="single" w:sz="6" w:space="0" w:color="auto"/>
              <w:left w:val="single" w:sz="6" w:space="0" w:color="auto"/>
              <w:bottom w:val="single" w:sz="6" w:space="0" w:color="auto"/>
              <w:right w:val="single" w:sz="6" w:space="0" w:color="auto"/>
            </w:tcBorders>
            <w:hideMark/>
          </w:tcPr>
          <w:p w14:paraId="43D03B04" w14:textId="77777777" w:rsidR="00B97365" w:rsidRDefault="00000000">
            <w:pPr>
              <w:spacing w:after="60"/>
              <w:rPr>
                <w:rFonts w:cs="Calibri"/>
                <w:sz w:val="16"/>
                <w:szCs w:val="16"/>
                <w:lang w:val="en-US"/>
              </w:rPr>
            </w:pPr>
            <w:r>
              <w:rPr>
                <w:rFonts w:cs="Calibri"/>
                <w:sz w:val="16"/>
                <w:szCs w:val="16"/>
                <w:lang w:val="en-US"/>
              </w:rPr>
              <w:t>Identification of the Profile Type of the Profiles concerned by this PLMA.</w:t>
            </w:r>
          </w:p>
          <w:p w14:paraId="2674E225" w14:textId="77777777" w:rsidR="00B97365" w:rsidRDefault="00000000">
            <w:pPr>
              <w:spacing w:after="60"/>
              <w:rPr>
                <w:rFonts w:cs="Calibri"/>
                <w:sz w:val="16"/>
                <w:szCs w:val="16"/>
                <w:lang w:val="en-US"/>
              </w:rPr>
            </w:pPr>
            <w:r>
              <w:rPr>
                <w:rFonts w:cs="Calibri"/>
                <w:sz w:val="16"/>
                <w:szCs w:val="16"/>
                <w:lang w:val="en-US"/>
              </w:rPr>
              <w:lastRenderedPageBreak/>
              <w:t>This is an arbitrary String that is meaningful only in the context of a given Operator (mno-id).</w:t>
            </w:r>
          </w:p>
          <w:p w14:paraId="6D14692D" w14:textId="77777777" w:rsidR="00B97365" w:rsidRDefault="00000000">
            <w:pPr>
              <w:spacing w:after="60"/>
              <w:rPr>
                <w:rFonts w:eastAsia="Times New Roman" w:cs="Calibri"/>
                <w:sz w:val="16"/>
                <w:szCs w:val="16"/>
                <w:lang w:val="en-US"/>
              </w:rPr>
            </w:pPr>
            <w:r>
              <w:rPr>
                <w:rFonts w:cs="Calibri"/>
                <w:sz w:val="16"/>
                <w:szCs w:val="16"/>
                <w:lang w:val="en-US"/>
              </w:rPr>
              <w:t>An empty profileType string means all Profile owned by the Operator identified by mno-id, and having an empty Profile Type or no Profile Type in the 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4313C4FB" w14:textId="77777777" w:rsidR="00B97365" w:rsidRDefault="00000000">
            <w:pPr>
              <w:spacing w:after="60"/>
              <w:jc w:val="center"/>
              <w:rPr>
                <w:rFonts w:eastAsia="Times New Roman" w:cs="Calibri"/>
                <w:sz w:val="16"/>
                <w:szCs w:val="16"/>
                <w:lang w:val="en-US"/>
              </w:rPr>
            </w:pPr>
            <w:r>
              <w:rPr>
                <w:rFonts w:cs="Calibri"/>
                <w:sz w:val="16"/>
                <w:szCs w:val="16"/>
                <w:lang w:val="en-US"/>
              </w:rPr>
              <w:lastRenderedPageBreak/>
              <w:t>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68789EBB"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66E6C0F"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4432CA37"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4733E18A" w14:textId="77777777" w:rsidR="00B97365" w:rsidRDefault="00000000">
            <w:pPr>
              <w:spacing w:after="60"/>
              <w:rPr>
                <w:rFonts w:eastAsia="Times New Roman" w:cs="Calibri"/>
                <w:sz w:val="16"/>
                <w:szCs w:val="16"/>
              </w:rPr>
            </w:pPr>
            <w:r>
              <w:rPr>
                <w:rFonts w:cs="Calibri"/>
                <w:sz w:val="16"/>
                <w:szCs w:val="16"/>
              </w:rPr>
              <w:t>m2m-sp-id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C603FF4" w14:textId="77777777" w:rsidR="00B97365" w:rsidRDefault="00000000">
            <w:pPr>
              <w:rPr>
                <w:rFonts w:cs="Calibri"/>
                <w:sz w:val="16"/>
                <w:szCs w:val="16"/>
                <w:lang w:val="en-US"/>
              </w:rPr>
            </w:pPr>
            <w:r>
              <w:rPr>
                <w:rFonts w:cs="Calibri"/>
                <w:sz w:val="16"/>
                <w:szCs w:val="16"/>
                <w:lang w:val="en-US"/>
              </w:rPr>
              <w:t>Identification of the M2M SP that will issue requests to the SM-SR to perform authorised operations, or that will receive authorised notifications.</w:t>
            </w:r>
          </w:p>
          <w:p w14:paraId="03823ECC" w14:textId="0F6F6FFD" w:rsidR="00B97365" w:rsidRDefault="00000000">
            <w:pPr>
              <w:rPr>
                <w:rFonts w:cs="Calibri"/>
                <w:sz w:val="16"/>
                <w:szCs w:val="16"/>
                <w:lang w:val="en-US"/>
              </w:rPr>
            </w:pPr>
            <w:r>
              <w:rPr>
                <w:rFonts w:cs="Calibri"/>
                <w:sz w:val="16"/>
                <w:szCs w:val="16"/>
                <w:lang w:val="en-US"/>
              </w:rPr>
              <w:t xml:space="preserve">See section </w:t>
            </w:r>
            <w:r>
              <w:rPr>
                <w:rFonts w:cs="Calibri"/>
                <w:sz w:val="16"/>
                <w:szCs w:val="16"/>
                <w:lang w:val="en-US"/>
              </w:rPr>
              <w:fldChar w:fldCharType="begin"/>
            </w:r>
            <w:r>
              <w:rPr>
                <w:rFonts w:cs="Calibri"/>
                <w:sz w:val="16"/>
                <w:szCs w:val="16"/>
                <w:lang w:val="en-US"/>
              </w:rPr>
              <w:instrText xml:space="preserve"> REF _Ref367973980 \r \h  \* MERGEFORMAT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5.1.1.1</w:t>
            </w:r>
            <w:r>
              <w:rPr>
                <w:rFonts w:cs="Calibri"/>
                <w:sz w:val="16"/>
                <w:szCs w:val="16"/>
                <w:lang w:val="en-US"/>
              </w:rPr>
              <w:fldChar w:fldCharType="end"/>
            </w:r>
            <w:r>
              <w:rPr>
                <w:rFonts w:cs="Calibri"/>
                <w:sz w:val="16"/>
                <w:szCs w:val="16"/>
                <w:lang w:val="en-US"/>
              </w:rPr>
              <w:t xml:space="preserve"> for type description.</w:t>
            </w:r>
          </w:p>
          <w:p w14:paraId="36AFD2B4" w14:textId="4FED789D" w:rsidR="00B97365" w:rsidRDefault="00000000">
            <w:pPr>
              <w:rPr>
                <w:rFonts w:cs="Calibri"/>
                <w:sz w:val="16"/>
                <w:szCs w:val="16"/>
                <w:lang w:val="en-US"/>
              </w:rPr>
            </w:pPr>
            <w:r>
              <w:rPr>
                <w:rFonts w:cs="Calibri"/>
                <w:sz w:val="16"/>
                <w:szCs w:val="16"/>
                <w:lang w:val="en-US"/>
              </w:rPr>
              <w:t xml:space="preserve">See sections </w:t>
            </w:r>
            <w:r>
              <w:rPr>
                <w:rFonts w:cs="Calibri"/>
                <w:sz w:val="16"/>
                <w:szCs w:val="16"/>
                <w:lang w:val="en-US"/>
              </w:rPr>
              <w:fldChar w:fldCharType="begin"/>
            </w:r>
            <w:r>
              <w:rPr>
                <w:rFonts w:cs="Calibri"/>
                <w:sz w:val="16"/>
                <w:szCs w:val="16"/>
                <w:lang w:val="en-US"/>
              </w:rPr>
              <w:instrText xml:space="preserve"> REF _Ref536546780 \r \h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5.7.1.1</w:t>
            </w:r>
            <w:r>
              <w:rPr>
                <w:rFonts w:cs="Calibri"/>
                <w:sz w:val="16"/>
                <w:szCs w:val="16"/>
                <w:lang w:val="en-US"/>
              </w:rPr>
              <w:fldChar w:fldCharType="end"/>
            </w:r>
            <w:r>
              <w:rPr>
                <w:rFonts w:cs="Calibri"/>
                <w:sz w:val="16"/>
                <w:szCs w:val="16"/>
                <w:lang w:val="en-US"/>
              </w:rPr>
              <w:t xml:space="preserve"> and </w:t>
            </w:r>
            <w:r>
              <w:rPr>
                <w:rFonts w:cs="Calibri"/>
                <w:sz w:val="16"/>
                <w:szCs w:val="16"/>
                <w:lang w:val="en-US"/>
              </w:rPr>
              <w:fldChar w:fldCharType="begin"/>
            </w:r>
            <w:r>
              <w:rPr>
                <w:rFonts w:cs="Calibri"/>
                <w:sz w:val="16"/>
                <w:szCs w:val="16"/>
                <w:lang w:val="en-US"/>
              </w:rPr>
              <w:instrText xml:space="preserve"> REF _Ref536546785 \r \h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5.7.1.2</w:t>
            </w:r>
            <w:r>
              <w:rPr>
                <w:rFonts w:cs="Calibri"/>
                <w:sz w:val="16"/>
                <w:szCs w:val="16"/>
                <w:lang w:val="en-US"/>
              </w:rPr>
              <w:fldChar w:fldCharType="end"/>
            </w:r>
            <w:r>
              <w:rPr>
                <w:rFonts w:cs="Calibri"/>
                <w:sz w:val="16"/>
                <w:szCs w:val="16"/>
                <w:lang w:val="en-US"/>
              </w:rPr>
              <w:t xml:space="preserve"> for the specification of how the SM-SR can identify the requester when it receives ES4 and ES3 requests</w:t>
            </w:r>
          </w:p>
        </w:tc>
        <w:tc>
          <w:tcPr>
            <w:tcW w:w="0" w:type="auto"/>
            <w:tcBorders>
              <w:top w:val="single" w:sz="6" w:space="0" w:color="auto"/>
              <w:left w:val="single" w:sz="6" w:space="0" w:color="auto"/>
              <w:bottom w:val="single" w:sz="6" w:space="0" w:color="auto"/>
              <w:right w:val="single" w:sz="6" w:space="0" w:color="auto"/>
            </w:tcBorders>
            <w:vAlign w:val="center"/>
            <w:hideMark/>
          </w:tcPr>
          <w:p w14:paraId="12331EE2" w14:textId="77777777" w:rsidR="00B97365" w:rsidRDefault="00000000">
            <w:pPr>
              <w:spacing w:after="60"/>
              <w:jc w:val="center"/>
              <w:rPr>
                <w:rFonts w:eastAsia="Times New Roman"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E346F42"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C9D28CB"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434CD586" w14:textId="77777777">
        <w:trPr>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6B846AFB" w14:textId="77777777" w:rsidR="00B97365" w:rsidRDefault="00000000">
            <w:pPr>
              <w:spacing w:after="60"/>
              <w:rPr>
                <w:rFonts w:eastAsia="Times New Roman" w:cs="Calibri"/>
                <w:sz w:val="16"/>
                <w:szCs w:val="16"/>
              </w:rPr>
            </w:pPr>
            <w:r>
              <w:rPr>
                <w:rFonts w:cs="Calibri"/>
                <w:sz w:val="16"/>
                <w:szCs w:val="16"/>
              </w:rPr>
              <w:t>authorisedOperations</w:t>
            </w:r>
          </w:p>
        </w:tc>
        <w:tc>
          <w:tcPr>
            <w:tcW w:w="0" w:type="auto"/>
            <w:tcBorders>
              <w:top w:val="single" w:sz="6" w:space="0" w:color="auto"/>
              <w:left w:val="single" w:sz="6" w:space="0" w:color="auto"/>
              <w:bottom w:val="single" w:sz="4" w:space="0" w:color="auto"/>
              <w:right w:val="single" w:sz="6" w:space="0" w:color="auto"/>
            </w:tcBorders>
            <w:vAlign w:val="center"/>
            <w:hideMark/>
          </w:tcPr>
          <w:p w14:paraId="52091891" w14:textId="77777777" w:rsidR="00B97365" w:rsidRDefault="00000000">
            <w:pPr>
              <w:rPr>
                <w:rFonts w:cs="Calibri"/>
                <w:sz w:val="16"/>
                <w:szCs w:val="16"/>
                <w:lang w:val="en-US"/>
              </w:rPr>
            </w:pPr>
            <w:r>
              <w:rPr>
                <w:rFonts w:cs="Calibri"/>
                <w:sz w:val="16"/>
                <w:szCs w:val="16"/>
                <w:lang w:val="en-US"/>
              </w:rPr>
              <w:t>A list of operation names that identify either requests that the M2M SP will be authorised to send to the SM-SR, or notifications that the M2M SP is  authorised to receive from the SM-SR, related to the profiles matching the other criteria in this request.</w:t>
            </w:r>
          </w:p>
          <w:p w14:paraId="42005668" w14:textId="77777777" w:rsidR="00B97365" w:rsidRDefault="00000000">
            <w:pPr>
              <w:rPr>
                <w:rFonts w:ascii="Calibri" w:eastAsiaTheme="minorHAnsi" w:hAnsi="Calibri"/>
                <w:sz w:val="16"/>
                <w:szCs w:val="16"/>
                <w:lang w:eastAsia="en-GB" w:bidi="ar-SA"/>
              </w:rPr>
            </w:pPr>
            <w:r>
              <w:rPr>
                <w:rFonts w:cs="Calibri"/>
                <w:sz w:val="16"/>
                <w:szCs w:val="16"/>
                <w:lang w:val="en-US"/>
              </w:rPr>
              <w:t xml:space="preserve">Any operation not in this list is not or no longer authorised for Profiles matching the other criteria in this PLMA: </w:t>
            </w:r>
            <w:r>
              <w:rPr>
                <w:sz w:val="16"/>
                <w:szCs w:val="16"/>
              </w:rPr>
              <w:t xml:space="preserve">in this case the M2M SP is not authorised to execute the request, or to receive the notification, identified by the operation name. </w:t>
            </w:r>
          </w:p>
          <w:p w14:paraId="21FFA48E" w14:textId="77777777" w:rsidR="00B97365" w:rsidRDefault="00000000">
            <w:pPr>
              <w:rPr>
                <w:rFonts w:cs="Calibri"/>
                <w:sz w:val="16"/>
                <w:szCs w:val="16"/>
                <w:lang w:val="en-US"/>
              </w:rPr>
            </w:pPr>
            <w:r>
              <w:rPr>
                <w:rFonts w:cs="Calibri"/>
                <w:sz w:val="16"/>
                <w:szCs w:val="16"/>
                <w:lang w:val="en-US"/>
              </w:rPr>
              <w:t xml:space="preserve">An empty list means no operation is allowed, and can be used to remove all authorisations, for Profiles matching the other criteria in this PLMA </w:t>
            </w:r>
          </w:p>
          <w:p w14:paraId="6758AE14" w14:textId="77777777" w:rsidR="00B97365" w:rsidRDefault="00000000">
            <w:pPr>
              <w:rPr>
                <w:rFonts w:eastAsia="Times New Roman" w:cs="Calibri"/>
                <w:sz w:val="16"/>
                <w:szCs w:val="16"/>
              </w:rPr>
            </w:pPr>
            <w:r>
              <w:rPr>
                <w:rFonts w:cs="Calibri"/>
                <w:sz w:val="16"/>
                <w:szCs w:val="16"/>
                <w:lang w:val="en-US"/>
              </w:rPr>
              <w:t>See below the possible values of this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501B34F1" w14:textId="77777777" w:rsidR="00B97365" w:rsidRDefault="00000000">
            <w:pPr>
              <w:spacing w:after="60"/>
              <w:rPr>
                <w:rFonts w:eastAsia="Times New Roman" w:cs="Calibri"/>
                <w:sz w:val="16"/>
                <w:szCs w:val="16"/>
                <w:lang w:val="en-US"/>
              </w:rPr>
            </w:pPr>
            <w:r>
              <w:rPr>
                <w:rFonts w:cs="Calibri"/>
                <w:sz w:val="16"/>
                <w:szCs w:val="16"/>
                <w:lang w:val="en-US"/>
              </w:rPr>
              <w:t>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3ECAEF2C" w14:textId="77777777" w:rsidR="00B97365" w:rsidRDefault="00000000">
            <w:pPr>
              <w:spacing w:after="60"/>
              <w:rPr>
                <w:rFonts w:eastAsia="Times New Roman" w:cs="Calibri"/>
                <w:sz w:val="16"/>
                <w:szCs w:val="16"/>
                <w:lang w:val="en-US"/>
              </w:rPr>
            </w:pPr>
            <w:r>
              <w:rPr>
                <w:rFonts w:cs="Calibri"/>
                <w:sz w:val="16"/>
                <w:szCs w:val="16"/>
                <w:lang w:val="en-US"/>
              </w:rPr>
              <w:t>0…N</w:t>
            </w:r>
          </w:p>
        </w:tc>
        <w:tc>
          <w:tcPr>
            <w:tcW w:w="0" w:type="auto"/>
            <w:tcBorders>
              <w:top w:val="single" w:sz="6" w:space="0" w:color="auto"/>
              <w:left w:val="single" w:sz="6" w:space="0" w:color="auto"/>
              <w:bottom w:val="single" w:sz="4" w:space="0" w:color="auto"/>
              <w:right w:val="single" w:sz="4" w:space="0" w:color="auto"/>
            </w:tcBorders>
            <w:vAlign w:val="center"/>
            <w:hideMark/>
          </w:tcPr>
          <w:p w14:paraId="0A463ADD" w14:textId="77777777" w:rsidR="00B97365" w:rsidRDefault="00000000">
            <w:pPr>
              <w:spacing w:after="60"/>
              <w:rPr>
                <w:rFonts w:cs="Calibri"/>
                <w:sz w:val="16"/>
                <w:szCs w:val="16"/>
                <w:lang w:val="en-US"/>
              </w:rPr>
            </w:pPr>
            <w:r>
              <w:rPr>
                <w:rFonts w:cs="Calibri"/>
                <w:sz w:val="16"/>
                <w:szCs w:val="16"/>
                <w:lang w:val="en-US"/>
              </w:rPr>
              <w:t>M</w:t>
            </w:r>
          </w:p>
        </w:tc>
      </w:tr>
    </w:tbl>
    <w:p w14:paraId="75A85A15"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511214-A: PLMA Type</w:t>
      </w:r>
    </w:p>
    <w:p w14:paraId="5694C0C1" w14:textId="77777777" w:rsidR="00B97365" w:rsidRDefault="00000000">
      <w:pPr>
        <w:spacing w:before="0" w:after="200" w:line="276" w:lineRule="auto"/>
        <w:jc w:val="left"/>
        <w:rPr>
          <w:szCs w:val="22"/>
          <w:lang w:eastAsia="en-US"/>
        </w:rPr>
      </w:pPr>
      <w:r>
        <w:rPr>
          <w:szCs w:val="22"/>
          <w:lang w:eastAsia="en-US"/>
        </w:rPr>
        <w:t xml:space="preserve">Each String in the </w:t>
      </w:r>
      <w:r>
        <w:rPr>
          <w:rFonts w:cs="Calibri"/>
          <w:szCs w:val="22"/>
          <w:lang w:eastAsia="en-GB" w:bidi="ar-SA"/>
        </w:rPr>
        <w:t>authorisedOperations</w:t>
      </w:r>
      <w:r>
        <w:rPr>
          <w:szCs w:val="22"/>
          <w:lang w:eastAsia="en-US"/>
        </w:rPr>
        <w:t xml:space="preserve"> list SHALL be a distinct operation name among table 511214-B below.</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3716"/>
        <w:gridCol w:w="5297"/>
      </w:tblGrid>
      <w:tr w:rsidR="00B97365" w14:paraId="26B8C633"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3B37FF6" w14:textId="77777777" w:rsidR="00B97365" w:rsidRDefault="00000000">
            <w:pPr>
              <w:jc w:val="center"/>
              <w:rPr>
                <w:rFonts w:cs="Calibri"/>
                <w:b/>
                <w:color w:val="FFFFFF"/>
                <w:sz w:val="16"/>
                <w:szCs w:val="16"/>
              </w:rPr>
            </w:pPr>
            <w:r>
              <w:rPr>
                <w:rFonts w:cs="Calibri"/>
                <w:b/>
                <w:color w:val="FFFFFF"/>
                <w:sz w:val="16"/>
                <w:szCs w:val="16"/>
              </w:rPr>
              <w:t>Operation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840BDA9" w14:textId="77777777" w:rsidR="00B97365" w:rsidRDefault="00000000">
            <w:pPr>
              <w:jc w:val="center"/>
              <w:rPr>
                <w:rFonts w:cs="Calibri"/>
                <w:b/>
                <w:color w:val="FFFFFF"/>
                <w:sz w:val="16"/>
                <w:szCs w:val="16"/>
              </w:rPr>
            </w:pPr>
            <w:r>
              <w:rPr>
                <w:rFonts w:cs="Calibri"/>
                <w:b/>
                <w:color w:val="FFFFFF"/>
                <w:sz w:val="16"/>
                <w:szCs w:val="16"/>
              </w:rPr>
              <w:t>Meaning of the corresponding authorisation</w:t>
            </w:r>
          </w:p>
        </w:tc>
      </w:tr>
      <w:tr w:rsidR="00B97365" w14:paraId="20D13F6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9986926" w14:textId="77777777" w:rsidR="00B97365" w:rsidRDefault="00000000">
            <w:pPr>
              <w:jc w:val="center"/>
              <w:rPr>
                <w:rFonts w:cs="Calibri"/>
                <w:sz w:val="16"/>
                <w:szCs w:val="16"/>
              </w:rPr>
            </w:pPr>
            <w:r>
              <w:rPr>
                <w:rFonts w:cs="Calibri"/>
                <w:sz w:val="16"/>
                <w:szCs w:val="16"/>
              </w:rPr>
              <w:t>GetEIS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07068963" w14:textId="77777777" w:rsidR="00B97365" w:rsidRDefault="00000000">
            <w:pPr>
              <w:rPr>
                <w:rFonts w:cs="Calibri"/>
                <w:sz w:val="16"/>
                <w:szCs w:val="16"/>
                <w:lang w:val="en-US"/>
              </w:rPr>
            </w:pPr>
            <w:r>
              <w:rPr>
                <w:rFonts w:cs="Calibri"/>
                <w:sz w:val="16"/>
                <w:szCs w:val="16"/>
                <w:lang w:val="en-US"/>
              </w:rPr>
              <w:t>The M2M SP is authorised to view any Profile that matches the other criteria in the PLMA in the EIS it could get via ES3 or ES4</w:t>
            </w:r>
          </w:p>
        </w:tc>
      </w:tr>
      <w:tr w:rsidR="00B97365" w14:paraId="5BC4130D"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67950B8" w14:textId="77777777" w:rsidR="00B97365" w:rsidRDefault="00000000">
            <w:pPr>
              <w:jc w:val="center"/>
              <w:rPr>
                <w:rFonts w:cs="Calibri"/>
                <w:sz w:val="16"/>
                <w:szCs w:val="16"/>
              </w:rPr>
            </w:pPr>
            <w:r>
              <w:rPr>
                <w:rFonts w:cs="Calibri"/>
                <w:sz w:val="16"/>
                <w:szCs w:val="16"/>
              </w:rPr>
              <w:t>AuditEIS</w:t>
            </w:r>
          </w:p>
        </w:tc>
        <w:tc>
          <w:tcPr>
            <w:tcW w:w="0" w:type="auto"/>
            <w:tcBorders>
              <w:top w:val="single" w:sz="6" w:space="0" w:color="auto"/>
              <w:left w:val="single" w:sz="6" w:space="0" w:color="auto"/>
              <w:bottom w:val="single" w:sz="6" w:space="0" w:color="auto"/>
              <w:right w:val="single" w:sz="6" w:space="0" w:color="auto"/>
            </w:tcBorders>
            <w:vAlign w:val="center"/>
          </w:tcPr>
          <w:p w14:paraId="471A6C93" w14:textId="77777777" w:rsidR="00B97365" w:rsidRDefault="00000000">
            <w:pPr>
              <w:rPr>
                <w:rFonts w:cs="Calibri"/>
                <w:sz w:val="16"/>
                <w:szCs w:val="16"/>
                <w:lang w:val="en-US"/>
              </w:rPr>
            </w:pPr>
            <w:r>
              <w:rPr>
                <w:rFonts w:cs="Calibri"/>
                <w:sz w:val="16"/>
                <w:szCs w:val="16"/>
                <w:lang w:val="en-US"/>
              </w:rPr>
              <w:t>The M2M SP is authorised to audit via ES3 or ES4 any Profile that matches the other criteria in the PLMA</w:t>
            </w:r>
          </w:p>
        </w:tc>
      </w:tr>
      <w:tr w:rsidR="00B97365" w14:paraId="1969A23D"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C1BB6C9" w14:textId="77777777" w:rsidR="00B97365" w:rsidRDefault="00000000">
            <w:pPr>
              <w:jc w:val="center"/>
              <w:rPr>
                <w:rFonts w:cs="Calibri"/>
                <w:sz w:val="16"/>
                <w:szCs w:val="16"/>
              </w:rPr>
            </w:pPr>
            <w:r>
              <w:rPr>
                <w:rFonts w:cs="Calibri"/>
                <w:sz w:val="16"/>
                <w:szCs w:val="16"/>
              </w:rPr>
              <w:t>EnableProfile</w:t>
            </w:r>
          </w:p>
        </w:tc>
        <w:tc>
          <w:tcPr>
            <w:tcW w:w="0" w:type="auto"/>
            <w:tcBorders>
              <w:top w:val="single" w:sz="6" w:space="0" w:color="auto"/>
              <w:left w:val="single" w:sz="6" w:space="0" w:color="auto"/>
              <w:bottom w:val="single" w:sz="6" w:space="0" w:color="auto"/>
              <w:right w:val="single" w:sz="6" w:space="0" w:color="auto"/>
            </w:tcBorders>
            <w:vAlign w:val="center"/>
          </w:tcPr>
          <w:p w14:paraId="1E40076D" w14:textId="77777777" w:rsidR="00B97365" w:rsidRDefault="00000000">
            <w:pPr>
              <w:rPr>
                <w:rFonts w:cs="Calibri"/>
                <w:sz w:val="16"/>
                <w:szCs w:val="16"/>
                <w:lang w:val="en-US"/>
              </w:rPr>
            </w:pPr>
            <w:r>
              <w:rPr>
                <w:rFonts w:cs="Calibri"/>
                <w:sz w:val="16"/>
                <w:szCs w:val="16"/>
                <w:lang w:val="en-US"/>
              </w:rPr>
              <w:t xml:space="preserve">The M2M SP is authorised to request EnableProfile via ES3 or ES4 on any Profile that matches the other criteria in the PLMA </w:t>
            </w:r>
          </w:p>
        </w:tc>
      </w:tr>
      <w:tr w:rsidR="00B97365" w14:paraId="2FEC2E4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481B623" w14:textId="77777777" w:rsidR="00B97365" w:rsidRDefault="00000000">
            <w:pPr>
              <w:jc w:val="center"/>
              <w:rPr>
                <w:rFonts w:cs="Calibri"/>
                <w:sz w:val="16"/>
                <w:szCs w:val="16"/>
              </w:rPr>
            </w:pPr>
            <w:r>
              <w:rPr>
                <w:rFonts w:cs="Calibri"/>
                <w:sz w:val="16"/>
                <w:szCs w:val="16"/>
              </w:rPr>
              <w:t>DisableProfile</w:t>
            </w:r>
          </w:p>
        </w:tc>
        <w:tc>
          <w:tcPr>
            <w:tcW w:w="0" w:type="auto"/>
            <w:tcBorders>
              <w:top w:val="single" w:sz="6" w:space="0" w:color="auto"/>
              <w:left w:val="single" w:sz="6" w:space="0" w:color="auto"/>
              <w:bottom w:val="single" w:sz="6" w:space="0" w:color="auto"/>
              <w:right w:val="single" w:sz="6" w:space="0" w:color="auto"/>
            </w:tcBorders>
            <w:vAlign w:val="center"/>
          </w:tcPr>
          <w:p w14:paraId="7F350420" w14:textId="77777777" w:rsidR="00B97365" w:rsidRDefault="00000000">
            <w:pPr>
              <w:rPr>
                <w:rFonts w:cs="Calibri"/>
                <w:sz w:val="16"/>
                <w:szCs w:val="16"/>
                <w:lang w:val="en-US"/>
              </w:rPr>
            </w:pPr>
            <w:r>
              <w:rPr>
                <w:rFonts w:cs="Calibri"/>
                <w:sz w:val="16"/>
                <w:szCs w:val="16"/>
                <w:lang w:val="en-US"/>
              </w:rPr>
              <w:t xml:space="preserve">The M2M SP is authorised to request DisableProfile via ES3 or ES4 on any Profile that matches the other criteria in the PLMA </w:t>
            </w:r>
          </w:p>
        </w:tc>
      </w:tr>
      <w:tr w:rsidR="00B97365" w14:paraId="4DE9352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2B8D807" w14:textId="77777777" w:rsidR="00B97365" w:rsidRDefault="00000000">
            <w:pPr>
              <w:jc w:val="center"/>
              <w:rPr>
                <w:rFonts w:cs="Calibri"/>
                <w:sz w:val="16"/>
                <w:szCs w:val="16"/>
              </w:rPr>
            </w:pPr>
            <w:r>
              <w:rPr>
                <w:rFonts w:cs="Calibri"/>
                <w:sz w:val="16"/>
                <w:szCs w:val="16"/>
              </w:rPr>
              <w:t>DeleteProfile</w:t>
            </w:r>
          </w:p>
        </w:tc>
        <w:tc>
          <w:tcPr>
            <w:tcW w:w="0" w:type="auto"/>
            <w:tcBorders>
              <w:top w:val="single" w:sz="6" w:space="0" w:color="auto"/>
              <w:left w:val="single" w:sz="6" w:space="0" w:color="auto"/>
              <w:bottom w:val="single" w:sz="6" w:space="0" w:color="auto"/>
              <w:right w:val="single" w:sz="6" w:space="0" w:color="auto"/>
            </w:tcBorders>
            <w:vAlign w:val="center"/>
          </w:tcPr>
          <w:p w14:paraId="584443C8" w14:textId="77777777" w:rsidR="00B97365" w:rsidRDefault="00000000">
            <w:pPr>
              <w:rPr>
                <w:rFonts w:cs="Calibri"/>
                <w:sz w:val="16"/>
                <w:szCs w:val="16"/>
                <w:lang w:val="en-US"/>
              </w:rPr>
            </w:pPr>
            <w:r>
              <w:rPr>
                <w:rFonts w:cs="Calibri"/>
                <w:sz w:val="16"/>
                <w:szCs w:val="16"/>
                <w:lang w:val="en-US"/>
              </w:rPr>
              <w:t xml:space="preserve">The M2M SP is authorised to request deletion via ES3 or ES4 on any Profile that matches the other criteria in the PLMA </w:t>
            </w:r>
          </w:p>
        </w:tc>
      </w:tr>
      <w:tr w:rsidR="00B97365" w14:paraId="2E5422B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6AA2AA3" w14:textId="77777777" w:rsidR="00B97365" w:rsidRDefault="00000000">
            <w:pPr>
              <w:jc w:val="center"/>
              <w:rPr>
                <w:rFonts w:cs="Calibri"/>
                <w:sz w:val="16"/>
                <w:szCs w:val="16"/>
              </w:rPr>
            </w:pPr>
            <w:r>
              <w:rPr>
                <w:rFonts w:cs="Calibri"/>
                <w:sz w:val="16"/>
                <w:szCs w:val="16"/>
              </w:rPr>
              <w:t>setEmergencyProfileAttribute</w:t>
            </w:r>
          </w:p>
        </w:tc>
        <w:tc>
          <w:tcPr>
            <w:tcW w:w="0" w:type="auto"/>
            <w:tcBorders>
              <w:top w:val="single" w:sz="6" w:space="0" w:color="auto"/>
              <w:left w:val="single" w:sz="6" w:space="0" w:color="auto"/>
              <w:bottom w:val="single" w:sz="6" w:space="0" w:color="auto"/>
              <w:right w:val="single" w:sz="6" w:space="0" w:color="auto"/>
            </w:tcBorders>
            <w:vAlign w:val="center"/>
          </w:tcPr>
          <w:p w14:paraId="49326B88" w14:textId="77777777" w:rsidR="00B97365" w:rsidRDefault="00000000">
            <w:pPr>
              <w:rPr>
                <w:rFonts w:cs="Calibri"/>
                <w:sz w:val="16"/>
                <w:szCs w:val="16"/>
                <w:lang w:val="en-US"/>
              </w:rPr>
            </w:pPr>
            <w:r>
              <w:rPr>
                <w:rFonts w:cs="Calibri"/>
                <w:sz w:val="16"/>
                <w:szCs w:val="16"/>
                <w:lang w:val="en-US"/>
              </w:rPr>
              <w:t>The M2M SP is authorised to request setting the Emergency Profile Attribute via ES3 or ES4 on any Profile that matches the other criteria in the PLMA</w:t>
            </w:r>
          </w:p>
        </w:tc>
      </w:tr>
      <w:tr w:rsidR="00B97365" w14:paraId="7CEF5DE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6CC485F1" w14:textId="77777777" w:rsidR="00B97365" w:rsidRDefault="00000000">
            <w:pPr>
              <w:jc w:val="center"/>
              <w:rPr>
                <w:rFonts w:cs="Calibri"/>
                <w:sz w:val="16"/>
                <w:szCs w:val="16"/>
              </w:rPr>
            </w:pPr>
            <w:r>
              <w:rPr>
                <w:rFonts w:cs="Calibri"/>
                <w:sz w:val="16"/>
                <w:szCs w:val="16"/>
              </w:rPr>
              <w:t>unsetEmergency ProfileAttribute</w:t>
            </w:r>
          </w:p>
        </w:tc>
        <w:tc>
          <w:tcPr>
            <w:tcW w:w="0" w:type="auto"/>
            <w:tcBorders>
              <w:top w:val="single" w:sz="6" w:space="0" w:color="auto"/>
              <w:left w:val="single" w:sz="6" w:space="0" w:color="auto"/>
              <w:bottom w:val="single" w:sz="6" w:space="0" w:color="auto"/>
              <w:right w:val="single" w:sz="6" w:space="0" w:color="auto"/>
            </w:tcBorders>
            <w:vAlign w:val="center"/>
          </w:tcPr>
          <w:p w14:paraId="4A5368FC" w14:textId="77777777" w:rsidR="00B97365" w:rsidRDefault="00000000">
            <w:pPr>
              <w:rPr>
                <w:rFonts w:cs="Calibri"/>
                <w:sz w:val="16"/>
                <w:szCs w:val="16"/>
                <w:lang w:val="en-US"/>
              </w:rPr>
            </w:pPr>
            <w:r>
              <w:rPr>
                <w:rFonts w:cs="Calibri"/>
                <w:sz w:val="16"/>
                <w:szCs w:val="16"/>
                <w:lang w:val="en-US"/>
              </w:rPr>
              <w:t xml:space="preserve">The Operator or M2M SP is authorised to unset the Emergency Profile Attribute on any Profile that matches the other criteria in the PLMA, as the result of requesting to set it on another Profile </w:t>
            </w:r>
          </w:p>
        </w:tc>
      </w:tr>
      <w:tr w:rsidR="00B97365" w14:paraId="38DEFA00"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5F1E593" w14:textId="77777777" w:rsidR="00B97365" w:rsidRDefault="00000000">
            <w:pPr>
              <w:jc w:val="center"/>
              <w:rPr>
                <w:rFonts w:cs="Calibri"/>
                <w:sz w:val="16"/>
                <w:szCs w:val="16"/>
              </w:rPr>
            </w:pPr>
            <w:r>
              <w:rPr>
                <w:rFonts w:cs="Calibri"/>
                <w:sz w:val="16"/>
                <w:szCs w:val="16"/>
              </w:rPr>
              <w:t>SetFallBackAttribute</w:t>
            </w:r>
          </w:p>
        </w:tc>
        <w:tc>
          <w:tcPr>
            <w:tcW w:w="0" w:type="auto"/>
            <w:tcBorders>
              <w:top w:val="single" w:sz="6" w:space="0" w:color="auto"/>
              <w:left w:val="single" w:sz="6" w:space="0" w:color="auto"/>
              <w:bottom w:val="single" w:sz="6" w:space="0" w:color="auto"/>
              <w:right w:val="single" w:sz="6" w:space="0" w:color="auto"/>
            </w:tcBorders>
            <w:vAlign w:val="center"/>
          </w:tcPr>
          <w:p w14:paraId="2C00E1B0" w14:textId="77777777" w:rsidR="00B97365" w:rsidRDefault="00000000">
            <w:pPr>
              <w:rPr>
                <w:rFonts w:cs="Calibri"/>
                <w:sz w:val="16"/>
                <w:szCs w:val="16"/>
                <w:lang w:val="en-US"/>
              </w:rPr>
            </w:pPr>
            <w:r>
              <w:rPr>
                <w:rFonts w:cs="Calibri"/>
                <w:sz w:val="16"/>
                <w:szCs w:val="16"/>
                <w:lang w:val="en-US"/>
              </w:rPr>
              <w:t>The M2M SP is authorised to request setting the Fall-Back Attribute via ES3 or ES4 on any Profile that match the other criteria in the PLMA</w:t>
            </w:r>
          </w:p>
        </w:tc>
      </w:tr>
      <w:tr w:rsidR="00B97365" w14:paraId="6B29FE3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D299C67" w14:textId="77777777" w:rsidR="00B97365" w:rsidRDefault="00000000">
            <w:pPr>
              <w:jc w:val="center"/>
              <w:rPr>
                <w:rFonts w:cs="Calibri"/>
                <w:sz w:val="16"/>
                <w:szCs w:val="16"/>
              </w:rPr>
            </w:pPr>
            <w:r>
              <w:rPr>
                <w:rFonts w:cs="Calibri"/>
                <w:sz w:val="16"/>
                <w:szCs w:val="16"/>
              </w:rPr>
              <w:t>UnsetFallBackAttribute</w:t>
            </w:r>
          </w:p>
        </w:tc>
        <w:tc>
          <w:tcPr>
            <w:tcW w:w="0" w:type="auto"/>
            <w:tcBorders>
              <w:top w:val="single" w:sz="6" w:space="0" w:color="auto"/>
              <w:left w:val="single" w:sz="6" w:space="0" w:color="auto"/>
              <w:bottom w:val="single" w:sz="6" w:space="0" w:color="auto"/>
              <w:right w:val="single" w:sz="6" w:space="0" w:color="auto"/>
            </w:tcBorders>
            <w:vAlign w:val="center"/>
          </w:tcPr>
          <w:p w14:paraId="2062036C" w14:textId="77777777" w:rsidR="00B97365" w:rsidRDefault="00000000">
            <w:pPr>
              <w:rPr>
                <w:rFonts w:cs="Calibri"/>
                <w:sz w:val="16"/>
                <w:szCs w:val="16"/>
                <w:lang w:val="en-US"/>
              </w:rPr>
            </w:pPr>
            <w:r>
              <w:rPr>
                <w:rFonts w:cs="Calibri"/>
                <w:sz w:val="16"/>
                <w:szCs w:val="16"/>
                <w:lang w:val="en-US"/>
              </w:rPr>
              <w:t xml:space="preserve">The Operator or M2M SP is authorised to unset the Fall-Back Attribute on any Profile that match the other criteria in the PLMA, as the result of requesting to set it on another Profile </w:t>
            </w:r>
          </w:p>
        </w:tc>
      </w:tr>
      <w:tr w:rsidR="00B97365" w14:paraId="57FFD810"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50A0508" w14:textId="77777777" w:rsidR="00B97365" w:rsidRDefault="00000000">
            <w:pPr>
              <w:jc w:val="center"/>
              <w:rPr>
                <w:rFonts w:cs="Calibri"/>
                <w:sz w:val="16"/>
                <w:szCs w:val="16"/>
              </w:rPr>
            </w:pPr>
            <w:r>
              <w:rPr>
                <w:rFonts w:cs="Calibri"/>
                <w:sz w:val="16"/>
                <w:szCs w:val="16"/>
              </w:rPr>
              <w:t>UpdateSubscriptionAddress</w:t>
            </w:r>
          </w:p>
        </w:tc>
        <w:tc>
          <w:tcPr>
            <w:tcW w:w="0" w:type="auto"/>
            <w:tcBorders>
              <w:top w:val="single" w:sz="6" w:space="0" w:color="auto"/>
              <w:left w:val="single" w:sz="6" w:space="0" w:color="auto"/>
              <w:bottom w:val="single" w:sz="6" w:space="0" w:color="auto"/>
              <w:right w:val="single" w:sz="6" w:space="0" w:color="auto"/>
            </w:tcBorders>
            <w:vAlign w:val="center"/>
          </w:tcPr>
          <w:p w14:paraId="2C6FCC5D" w14:textId="77777777" w:rsidR="00B97365" w:rsidRDefault="00000000">
            <w:pPr>
              <w:rPr>
                <w:rFonts w:cs="Calibri"/>
                <w:sz w:val="16"/>
                <w:szCs w:val="16"/>
                <w:lang w:val="en-US"/>
              </w:rPr>
            </w:pPr>
            <w:r>
              <w:rPr>
                <w:rFonts w:cs="Calibri"/>
                <w:sz w:val="16"/>
                <w:szCs w:val="16"/>
                <w:lang w:val="en-US"/>
              </w:rPr>
              <w:t xml:space="preserve">The M2M SP is authorised to request </w:t>
            </w:r>
            <w:r>
              <w:rPr>
                <w:rFonts w:cs="Calibri"/>
                <w:sz w:val="16"/>
                <w:szCs w:val="16"/>
              </w:rPr>
              <w:t>UpdateSubscriptionAddress</w:t>
            </w:r>
            <w:r>
              <w:rPr>
                <w:rFonts w:cs="Calibri"/>
                <w:sz w:val="16"/>
                <w:szCs w:val="16"/>
                <w:lang w:val="en-US"/>
              </w:rPr>
              <w:t xml:space="preserve"> via ES3 or ES4 on any Profile that match the other criteria in the PLMA </w:t>
            </w:r>
          </w:p>
        </w:tc>
      </w:tr>
      <w:tr w:rsidR="00B97365" w14:paraId="677D0306"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D10B435" w14:textId="77777777" w:rsidR="00B97365" w:rsidRDefault="00000000">
            <w:pPr>
              <w:jc w:val="center"/>
              <w:rPr>
                <w:rFonts w:cs="Calibri"/>
                <w:sz w:val="16"/>
                <w:szCs w:val="16"/>
              </w:rPr>
            </w:pPr>
            <w:r>
              <w:rPr>
                <w:rFonts w:cs="Calibri"/>
                <w:sz w:val="16"/>
                <w:szCs w:val="16"/>
              </w:rPr>
              <w:t>HandleProfileEnabledNotification</w:t>
            </w:r>
          </w:p>
        </w:tc>
        <w:tc>
          <w:tcPr>
            <w:tcW w:w="0" w:type="auto"/>
            <w:tcBorders>
              <w:top w:val="single" w:sz="6" w:space="0" w:color="auto"/>
              <w:left w:val="single" w:sz="6" w:space="0" w:color="auto"/>
              <w:bottom w:val="single" w:sz="6" w:space="0" w:color="auto"/>
              <w:right w:val="single" w:sz="6" w:space="0" w:color="auto"/>
            </w:tcBorders>
            <w:vAlign w:val="center"/>
          </w:tcPr>
          <w:p w14:paraId="54DE194A" w14:textId="77777777" w:rsidR="00B97365" w:rsidRDefault="00000000">
            <w:pPr>
              <w:rPr>
                <w:rFonts w:cs="Calibri"/>
                <w:sz w:val="16"/>
                <w:szCs w:val="16"/>
                <w:lang w:val="en-US"/>
              </w:rPr>
            </w:pPr>
            <w:r>
              <w:rPr>
                <w:rFonts w:cs="Calibri"/>
                <w:sz w:val="16"/>
                <w:szCs w:val="16"/>
                <w:lang w:val="en-US"/>
              </w:rPr>
              <w:t>The M2M SP is authorised to receive notification via ES3 or ES4 that any Profile that matches the other criteria in the PLMA has been Enabled</w:t>
            </w:r>
          </w:p>
        </w:tc>
      </w:tr>
      <w:tr w:rsidR="00B97365" w14:paraId="74D698E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1E9E089" w14:textId="77777777" w:rsidR="00B97365" w:rsidRDefault="00000000">
            <w:pPr>
              <w:jc w:val="center"/>
              <w:rPr>
                <w:rFonts w:cs="Calibri"/>
                <w:sz w:val="16"/>
                <w:szCs w:val="16"/>
              </w:rPr>
            </w:pPr>
            <w:r>
              <w:rPr>
                <w:rFonts w:cs="Calibri"/>
                <w:sz w:val="16"/>
                <w:szCs w:val="16"/>
              </w:rPr>
              <w:t>HandleProfileDisabledNotification</w:t>
            </w:r>
          </w:p>
        </w:tc>
        <w:tc>
          <w:tcPr>
            <w:tcW w:w="0" w:type="auto"/>
            <w:tcBorders>
              <w:top w:val="single" w:sz="6" w:space="0" w:color="auto"/>
              <w:left w:val="single" w:sz="6" w:space="0" w:color="auto"/>
              <w:bottom w:val="single" w:sz="6" w:space="0" w:color="auto"/>
              <w:right w:val="single" w:sz="6" w:space="0" w:color="auto"/>
            </w:tcBorders>
            <w:vAlign w:val="center"/>
          </w:tcPr>
          <w:p w14:paraId="4457BC10" w14:textId="77777777" w:rsidR="00B97365" w:rsidRDefault="00000000">
            <w:pPr>
              <w:rPr>
                <w:rFonts w:cs="Calibri"/>
                <w:sz w:val="16"/>
                <w:szCs w:val="16"/>
                <w:lang w:val="en-US"/>
              </w:rPr>
            </w:pPr>
            <w:r>
              <w:rPr>
                <w:rFonts w:cs="Calibri"/>
                <w:sz w:val="16"/>
                <w:szCs w:val="16"/>
                <w:lang w:val="en-US"/>
              </w:rPr>
              <w:t>The M2M SP is authorised to receive notification via ES3 or ES4 that any Profile that matches the other criteria in the PLMA has been Disabled</w:t>
            </w:r>
          </w:p>
        </w:tc>
      </w:tr>
      <w:tr w:rsidR="00B97365" w14:paraId="71E3C19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67B52072" w14:textId="77777777" w:rsidR="00B97365" w:rsidRDefault="00000000">
            <w:pPr>
              <w:jc w:val="center"/>
              <w:rPr>
                <w:rFonts w:cs="Calibri"/>
                <w:sz w:val="16"/>
                <w:szCs w:val="16"/>
              </w:rPr>
            </w:pPr>
            <w:r>
              <w:rPr>
                <w:rFonts w:cs="Calibri"/>
                <w:sz w:val="16"/>
                <w:szCs w:val="16"/>
              </w:rPr>
              <w:lastRenderedPageBreak/>
              <w:t>HandleProfileDeletedNotification</w:t>
            </w:r>
          </w:p>
        </w:tc>
        <w:tc>
          <w:tcPr>
            <w:tcW w:w="0" w:type="auto"/>
            <w:tcBorders>
              <w:top w:val="single" w:sz="6" w:space="0" w:color="auto"/>
              <w:left w:val="single" w:sz="6" w:space="0" w:color="auto"/>
              <w:bottom w:val="single" w:sz="6" w:space="0" w:color="auto"/>
              <w:right w:val="single" w:sz="6" w:space="0" w:color="auto"/>
            </w:tcBorders>
            <w:vAlign w:val="center"/>
          </w:tcPr>
          <w:p w14:paraId="2AAAB4B8" w14:textId="77777777" w:rsidR="00B97365" w:rsidRDefault="00000000">
            <w:pPr>
              <w:rPr>
                <w:rFonts w:cs="Calibri"/>
                <w:sz w:val="16"/>
                <w:szCs w:val="16"/>
                <w:lang w:val="en-US"/>
              </w:rPr>
            </w:pPr>
            <w:r>
              <w:rPr>
                <w:rFonts w:cs="Calibri"/>
                <w:sz w:val="16"/>
                <w:szCs w:val="16"/>
                <w:lang w:val="en-US"/>
              </w:rPr>
              <w:t>The M2M SP is authorised to receive notification via ES3 or ES4 that any Profile that matches the other criteria in the PLMA has been deleted</w:t>
            </w:r>
          </w:p>
        </w:tc>
      </w:tr>
      <w:tr w:rsidR="00B97365" w14:paraId="27FDEE2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987D53E" w14:textId="77777777" w:rsidR="00B97365" w:rsidRDefault="00000000">
            <w:pPr>
              <w:jc w:val="center"/>
              <w:rPr>
                <w:rFonts w:cs="Calibri"/>
                <w:sz w:val="16"/>
                <w:szCs w:val="16"/>
              </w:rPr>
            </w:pPr>
            <w:r>
              <w:rPr>
                <w:rFonts w:cs="Calibri"/>
                <w:sz w:val="16"/>
                <w:szCs w:val="16"/>
              </w:rPr>
              <w:t>HandleProfileDownloadedNotification</w:t>
            </w:r>
          </w:p>
        </w:tc>
        <w:tc>
          <w:tcPr>
            <w:tcW w:w="0" w:type="auto"/>
            <w:tcBorders>
              <w:top w:val="single" w:sz="6" w:space="0" w:color="auto"/>
              <w:left w:val="single" w:sz="6" w:space="0" w:color="auto"/>
              <w:bottom w:val="single" w:sz="6" w:space="0" w:color="auto"/>
              <w:right w:val="single" w:sz="6" w:space="0" w:color="auto"/>
            </w:tcBorders>
            <w:vAlign w:val="center"/>
          </w:tcPr>
          <w:p w14:paraId="7B0C7553" w14:textId="77777777" w:rsidR="00B97365" w:rsidRDefault="00000000">
            <w:pPr>
              <w:rPr>
                <w:rFonts w:cs="Calibri"/>
                <w:sz w:val="16"/>
                <w:szCs w:val="16"/>
                <w:lang w:val="en-US"/>
              </w:rPr>
            </w:pPr>
            <w:r>
              <w:rPr>
                <w:rFonts w:cs="Calibri"/>
                <w:sz w:val="16"/>
                <w:szCs w:val="16"/>
                <w:lang w:val="en-US"/>
              </w:rPr>
              <w:t>The M2M SP is authorised to receive notification via ES3 or ES4 that any Profile that matches the other criteria in the PLMA has been downloaded</w:t>
            </w:r>
          </w:p>
        </w:tc>
      </w:tr>
      <w:tr w:rsidR="00B97365" w14:paraId="26E191A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3A5674A" w14:textId="77777777" w:rsidR="00B97365" w:rsidRDefault="00000000">
            <w:pPr>
              <w:jc w:val="center"/>
              <w:rPr>
                <w:rFonts w:cs="Calibri"/>
                <w:sz w:val="16"/>
                <w:szCs w:val="16"/>
              </w:rPr>
            </w:pPr>
            <w:r>
              <w:rPr>
                <w:rFonts w:cs="Calibri"/>
                <w:sz w:val="16"/>
                <w:szCs w:val="16"/>
              </w:rPr>
              <w:t>HandleProfilePolicyRulesUpdatedNotification</w:t>
            </w:r>
          </w:p>
        </w:tc>
        <w:tc>
          <w:tcPr>
            <w:tcW w:w="0" w:type="auto"/>
            <w:tcBorders>
              <w:top w:val="single" w:sz="6" w:space="0" w:color="auto"/>
              <w:left w:val="single" w:sz="6" w:space="0" w:color="auto"/>
              <w:bottom w:val="single" w:sz="6" w:space="0" w:color="auto"/>
              <w:right w:val="single" w:sz="6" w:space="0" w:color="auto"/>
            </w:tcBorders>
            <w:vAlign w:val="center"/>
          </w:tcPr>
          <w:p w14:paraId="0B787307" w14:textId="77777777" w:rsidR="00B97365" w:rsidRDefault="00000000">
            <w:pPr>
              <w:rPr>
                <w:rFonts w:cs="Calibri"/>
                <w:sz w:val="16"/>
                <w:szCs w:val="16"/>
                <w:lang w:val="en-US"/>
              </w:rPr>
            </w:pPr>
            <w:r>
              <w:rPr>
                <w:rFonts w:cs="Calibri"/>
                <w:sz w:val="16"/>
                <w:szCs w:val="16"/>
                <w:lang w:val="en-US"/>
              </w:rPr>
              <w:t>The M2M SP is authorised to receive notification via ES3 or ES4 that the POL2 has been updated on any Profile that matches the other criteria in the PLMA</w:t>
            </w:r>
          </w:p>
        </w:tc>
      </w:tr>
      <w:tr w:rsidR="00B97365" w14:paraId="2384437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69DCA20" w14:textId="77777777" w:rsidR="00B97365" w:rsidRDefault="00000000">
            <w:pPr>
              <w:jc w:val="center"/>
              <w:rPr>
                <w:rFonts w:cs="Calibri"/>
                <w:sz w:val="16"/>
                <w:szCs w:val="16"/>
              </w:rPr>
            </w:pPr>
            <w:r>
              <w:rPr>
                <w:rFonts w:cs="Calibri"/>
                <w:sz w:val="16"/>
                <w:szCs w:val="16"/>
              </w:rPr>
              <w:t>HandleEmergencyProfileAttributeSetNotification</w:t>
            </w:r>
          </w:p>
        </w:tc>
        <w:tc>
          <w:tcPr>
            <w:tcW w:w="0" w:type="auto"/>
            <w:tcBorders>
              <w:top w:val="single" w:sz="6" w:space="0" w:color="auto"/>
              <w:left w:val="single" w:sz="6" w:space="0" w:color="auto"/>
              <w:bottom w:val="single" w:sz="6" w:space="0" w:color="auto"/>
              <w:right w:val="single" w:sz="6" w:space="0" w:color="auto"/>
            </w:tcBorders>
            <w:vAlign w:val="center"/>
          </w:tcPr>
          <w:p w14:paraId="5E5FFD46" w14:textId="77777777" w:rsidR="00B97365" w:rsidRDefault="00000000">
            <w:pPr>
              <w:rPr>
                <w:rFonts w:cs="Calibri"/>
                <w:sz w:val="16"/>
                <w:szCs w:val="16"/>
                <w:lang w:val="en-US"/>
              </w:rPr>
            </w:pPr>
            <w:r>
              <w:rPr>
                <w:rFonts w:cs="Calibri"/>
                <w:sz w:val="16"/>
                <w:szCs w:val="16"/>
                <w:lang w:val="en-US"/>
              </w:rPr>
              <w:t xml:space="preserve">The M2M SP is authorised to receive notifications via ES3 or ES4 that any Profile that matches the other criteria in the PLMA has had its Emergency Profile Attribute set. </w:t>
            </w:r>
          </w:p>
        </w:tc>
      </w:tr>
      <w:tr w:rsidR="00B97365" w14:paraId="1CA8DDA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241E032E" w14:textId="77777777" w:rsidR="00B97365" w:rsidRDefault="00000000">
            <w:pPr>
              <w:jc w:val="center"/>
              <w:rPr>
                <w:rFonts w:cs="Calibri"/>
                <w:sz w:val="16"/>
                <w:szCs w:val="16"/>
              </w:rPr>
            </w:pPr>
            <w:r>
              <w:rPr>
                <w:rFonts w:cs="Calibri"/>
                <w:sz w:val="16"/>
                <w:szCs w:val="16"/>
              </w:rPr>
              <w:t>HandleEmergencyProfileAttributeUnsetNotification</w:t>
            </w:r>
          </w:p>
        </w:tc>
        <w:tc>
          <w:tcPr>
            <w:tcW w:w="0" w:type="auto"/>
            <w:tcBorders>
              <w:top w:val="single" w:sz="6" w:space="0" w:color="auto"/>
              <w:left w:val="single" w:sz="6" w:space="0" w:color="auto"/>
              <w:bottom w:val="single" w:sz="6" w:space="0" w:color="auto"/>
              <w:right w:val="single" w:sz="6" w:space="0" w:color="auto"/>
            </w:tcBorders>
            <w:vAlign w:val="center"/>
          </w:tcPr>
          <w:p w14:paraId="2E6CBD59" w14:textId="77777777" w:rsidR="00B97365" w:rsidRDefault="00000000">
            <w:pPr>
              <w:rPr>
                <w:rFonts w:cs="Calibri"/>
                <w:sz w:val="16"/>
                <w:szCs w:val="16"/>
                <w:lang w:val="en-US"/>
              </w:rPr>
            </w:pPr>
            <w:r>
              <w:rPr>
                <w:rFonts w:cs="Calibri"/>
                <w:sz w:val="16"/>
                <w:szCs w:val="16"/>
                <w:lang w:val="en-US"/>
              </w:rPr>
              <w:t>The M2M SP is authorised to receive notifications via ES3 or ES4 that any Profile that matches the other criteria in the PLMA has had its Emergency Profile Attribute unset.</w:t>
            </w:r>
          </w:p>
        </w:tc>
      </w:tr>
      <w:tr w:rsidR="00B97365" w14:paraId="244AA5A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54CB6E6" w14:textId="77777777" w:rsidR="00B97365" w:rsidRDefault="00000000">
            <w:pPr>
              <w:jc w:val="center"/>
              <w:rPr>
                <w:rFonts w:cs="Calibri"/>
                <w:sz w:val="16"/>
                <w:szCs w:val="16"/>
              </w:rPr>
            </w:pPr>
            <w:r>
              <w:rPr>
                <w:rFonts w:cs="Calibri"/>
                <w:sz w:val="16"/>
                <w:szCs w:val="16"/>
              </w:rPr>
              <w:t>HandleProfileFallBackAttributeSetNotification</w:t>
            </w:r>
          </w:p>
        </w:tc>
        <w:tc>
          <w:tcPr>
            <w:tcW w:w="0" w:type="auto"/>
            <w:tcBorders>
              <w:top w:val="single" w:sz="6" w:space="0" w:color="auto"/>
              <w:left w:val="single" w:sz="6" w:space="0" w:color="auto"/>
              <w:bottom w:val="single" w:sz="6" w:space="0" w:color="auto"/>
              <w:right w:val="single" w:sz="6" w:space="0" w:color="auto"/>
            </w:tcBorders>
            <w:vAlign w:val="center"/>
          </w:tcPr>
          <w:p w14:paraId="3B115DDC" w14:textId="77777777" w:rsidR="00B97365" w:rsidRDefault="00000000">
            <w:pPr>
              <w:rPr>
                <w:rFonts w:cs="Calibri"/>
                <w:sz w:val="16"/>
                <w:szCs w:val="16"/>
                <w:lang w:val="en-US"/>
              </w:rPr>
            </w:pPr>
            <w:r>
              <w:rPr>
                <w:rFonts w:cs="Calibri"/>
                <w:sz w:val="16"/>
                <w:szCs w:val="16"/>
                <w:lang w:val="en-US"/>
              </w:rPr>
              <w:t>The M2M SP is authorised to receive notifications via ES3 or ES4 that any Profile that matches the other criteria in the PLMA has had its Fall-Back Attribute set.</w:t>
            </w:r>
          </w:p>
        </w:tc>
      </w:tr>
      <w:tr w:rsidR="00B97365" w14:paraId="657D06C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EC0C9C2" w14:textId="77777777" w:rsidR="00B97365" w:rsidRDefault="00000000">
            <w:pPr>
              <w:jc w:val="center"/>
              <w:rPr>
                <w:rFonts w:cs="Calibri"/>
                <w:sz w:val="16"/>
                <w:szCs w:val="16"/>
              </w:rPr>
            </w:pPr>
            <w:r>
              <w:rPr>
                <w:rFonts w:cs="Calibri"/>
                <w:sz w:val="16"/>
                <w:szCs w:val="16"/>
              </w:rPr>
              <w:t>HandleProfileFallBackAttributeUnsetNotification</w:t>
            </w:r>
          </w:p>
        </w:tc>
        <w:tc>
          <w:tcPr>
            <w:tcW w:w="0" w:type="auto"/>
            <w:tcBorders>
              <w:top w:val="single" w:sz="6" w:space="0" w:color="auto"/>
              <w:left w:val="single" w:sz="6" w:space="0" w:color="auto"/>
              <w:bottom w:val="single" w:sz="6" w:space="0" w:color="auto"/>
              <w:right w:val="single" w:sz="6" w:space="0" w:color="auto"/>
            </w:tcBorders>
            <w:vAlign w:val="center"/>
          </w:tcPr>
          <w:p w14:paraId="25090121" w14:textId="77777777" w:rsidR="00B97365" w:rsidRDefault="00000000">
            <w:pPr>
              <w:rPr>
                <w:rFonts w:cs="Calibri"/>
                <w:sz w:val="16"/>
                <w:szCs w:val="16"/>
                <w:lang w:val="en-US"/>
              </w:rPr>
            </w:pPr>
            <w:r>
              <w:rPr>
                <w:rFonts w:cs="Calibri"/>
                <w:sz w:val="16"/>
                <w:szCs w:val="16"/>
                <w:lang w:val="en-US"/>
              </w:rPr>
              <w:t>The M2M SP is authorised to receive notifications via ES3 or ES4 that any Profile that matches the other criteria in the PLMA has had its Fall-Back Attribute unset.</w:t>
            </w:r>
          </w:p>
        </w:tc>
      </w:tr>
    </w:tbl>
    <w:p w14:paraId="087B1968"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511214-B: List of Operation Eligible to PLMA</w:t>
      </w:r>
    </w:p>
    <w:p w14:paraId="758A54F7"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There is no explicit operation UnsetEmergencyProfileAttribute and UnsetFallBackAttribute; the Emergency Profile Attribute or Fall-Back Attribute are only unset as the result of setting it on another Profile.</w:t>
      </w:r>
    </w:p>
    <w:p w14:paraId="56EA6BAF" w14:textId="77777777" w:rsidR="00B97365" w:rsidRDefault="00000000">
      <w:pPr>
        <w:keepNext/>
        <w:keepLines/>
        <w:numPr>
          <w:ilvl w:val="4"/>
          <w:numId w:val="1"/>
        </w:numPr>
        <w:spacing w:before="240" w:after="60" w:line="276" w:lineRule="auto"/>
        <w:jc w:val="left"/>
        <w:outlineLvl w:val="4"/>
        <w:rPr>
          <w:rFonts w:ascii="Arial Bold" w:eastAsia="Times New Roman" w:hAnsi="Arial Bold" w:cs="Arial"/>
          <w:b/>
          <w:bCs/>
          <w:szCs w:val="26"/>
          <w:lang w:val="en-US" w:eastAsia="en-US"/>
        </w:rPr>
      </w:pPr>
      <w:bookmarkStart w:id="3133" w:name="_Ref536815306"/>
      <w:r>
        <w:rPr>
          <w:rFonts w:ascii="Arial Bold" w:eastAsia="Times New Roman" w:hAnsi="Arial Bold" w:cs="Arial"/>
          <w:b/>
          <w:bCs/>
          <w:szCs w:val="26"/>
          <w:lang w:val="en-US" w:eastAsia="en-US"/>
        </w:rPr>
        <w:t>ONC</w:t>
      </w:r>
      <w:bookmarkEnd w:id="3133"/>
    </w:p>
    <w:p w14:paraId="7A31FE6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cs="Arial"/>
          <w:b/>
          <w:szCs w:val="22"/>
          <w:lang w:val="en-US" w:eastAsia="en-GB" w:bidi="ar-SA"/>
        </w:rPr>
        <w:t xml:space="preserve">ONC </w:t>
      </w:r>
      <w:r>
        <w:rPr>
          <w:rFonts w:cs="Arial"/>
          <w:szCs w:val="22"/>
          <w:lang w:val="en-US" w:eastAsia="en-GB" w:bidi="ar-SA"/>
        </w:rPr>
        <w:t>type is defined by:</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6"/>
        <w:gridCol w:w="5678"/>
        <w:gridCol w:w="558"/>
        <w:gridCol w:w="505"/>
        <w:gridCol w:w="514"/>
      </w:tblGrid>
      <w:tr w:rsidR="00B97365" w14:paraId="19B4648D"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AF9897C"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21C52C3"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39FA7EF"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EFA2BEE"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E742B78"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B30C7CF" w14:textId="77777777">
        <w:trPr>
          <w:trHeight w:val="282"/>
        </w:trPr>
        <w:tc>
          <w:tcPr>
            <w:tcW w:w="0" w:type="auto"/>
            <w:tcBorders>
              <w:top w:val="single" w:sz="6" w:space="0" w:color="auto"/>
              <w:left w:val="single" w:sz="4" w:space="0" w:color="auto"/>
              <w:bottom w:val="single" w:sz="6" w:space="0" w:color="auto"/>
              <w:right w:val="single" w:sz="6" w:space="0" w:color="auto"/>
            </w:tcBorders>
            <w:hideMark/>
          </w:tcPr>
          <w:p w14:paraId="3882336A" w14:textId="77777777" w:rsidR="00B97365" w:rsidRDefault="00000000">
            <w:pPr>
              <w:spacing w:after="200"/>
              <w:rPr>
                <w:rFonts w:eastAsia="Times New Roman" w:cs="Calibri"/>
                <w:sz w:val="16"/>
                <w:szCs w:val="16"/>
              </w:rPr>
            </w:pPr>
            <w:r>
              <w:rPr>
                <w:rFonts w:cs="Calibri"/>
                <w:sz w:val="16"/>
                <w:szCs w:val="16"/>
              </w:rPr>
              <w:t>mno-id</w:t>
            </w:r>
          </w:p>
        </w:tc>
        <w:tc>
          <w:tcPr>
            <w:tcW w:w="0" w:type="auto"/>
            <w:tcBorders>
              <w:top w:val="single" w:sz="6" w:space="0" w:color="auto"/>
              <w:left w:val="single" w:sz="6" w:space="0" w:color="auto"/>
              <w:bottom w:val="single" w:sz="6" w:space="0" w:color="auto"/>
              <w:right w:val="single" w:sz="6" w:space="0" w:color="auto"/>
            </w:tcBorders>
            <w:hideMark/>
          </w:tcPr>
          <w:p w14:paraId="75FB3A34" w14:textId="77777777" w:rsidR="00B97365" w:rsidRDefault="00000000">
            <w:pPr>
              <w:rPr>
                <w:rFonts w:eastAsia="Times New Roman" w:cs="Calibri"/>
                <w:sz w:val="16"/>
                <w:szCs w:val="16"/>
                <w:lang w:val="en-US"/>
              </w:rPr>
            </w:pPr>
            <w:r>
              <w:rPr>
                <w:rFonts w:cs="Calibri"/>
                <w:sz w:val="16"/>
                <w:szCs w:val="16"/>
                <w:lang w:val="en-US"/>
              </w:rPr>
              <w:t>Identification of the Operator owner of the Profiles concerned by this ONC.</w:t>
            </w:r>
          </w:p>
          <w:p w14:paraId="41F4CEC8" w14:textId="77436B78" w:rsidR="00B97365" w:rsidRDefault="00000000">
            <w:pPr>
              <w:spacing w:after="60"/>
              <w:rPr>
                <w:rFonts w:eastAsia="Times New Roman" w:cs="Calibri"/>
                <w:sz w:val="16"/>
                <w:szCs w:val="16"/>
              </w:rPr>
            </w:pPr>
            <w:r>
              <w:rPr>
                <w:rFonts w:cs="Calibri"/>
                <w:sz w:val="16"/>
                <w:szCs w:val="16"/>
                <w:lang w:val="en-US"/>
              </w:rPr>
              <w:t xml:space="preserve">See section </w:t>
            </w:r>
            <w:r>
              <w:fldChar w:fldCharType="begin"/>
            </w:r>
            <w:r>
              <w:instrText xml:space="preserve"> REF _Ref367973974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7ADAC17" w14:textId="77777777" w:rsidR="00B97365" w:rsidRDefault="00000000">
            <w:pPr>
              <w:spacing w:after="60"/>
              <w:jc w:val="center"/>
              <w:rPr>
                <w:rFonts w:eastAsia="Times New Roman" w:cs="Calibri"/>
                <w:sz w:val="16"/>
                <w:szCs w:val="16"/>
              </w:rPr>
            </w:pPr>
            <w:r>
              <w:rPr>
                <w:rFonts w:cs="Calibri"/>
                <w:sz w:val="16"/>
                <w:szCs w:val="16"/>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CAFDB9B" w14:textId="77777777" w:rsidR="00B97365" w:rsidRDefault="00000000">
            <w:pPr>
              <w:spacing w:after="60"/>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1887657" w14:textId="77777777" w:rsidR="00B97365" w:rsidRDefault="00000000">
            <w:pPr>
              <w:spacing w:after="60"/>
              <w:jc w:val="center"/>
              <w:rPr>
                <w:rFonts w:cs="Calibri"/>
                <w:sz w:val="16"/>
                <w:szCs w:val="16"/>
              </w:rPr>
            </w:pPr>
            <w:r>
              <w:rPr>
                <w:rFonts w:cs="Calibri"/>
                <w:sz w:val="16"/>
                <w:szCs w:val="16"/>
              </w:rPr>
              <w:t>M</w:t>
            </w:r>
          </w:p>
        </w:tc>
      </w:tr>
      <w:tr w:rsidR="00B97365" w14:paraId="2B7BAA17" w14:textId="77777777">
        <w:trPr>
          <w:trHeight w:val="282"/>
        </w:trPr>
        <w:tc>
          <w:tcPr>
            <w:tcW w:w="0" w:type="auto"/>
            <w:tcBorders>
              <w:top w:val="single" w:sz="6" w:space="0" w:color="auto"/>
              <w:left w:val="single" w:sz="4" w:space="0" w:color="auto"/>
              <w:bottom w:val="single" w:sz="6" w:space="0" w:color="auto"/>
              <w:right w:val="single" w:sz="6" w:space="0" w:color="auto"/>
            </w:tcBorders>
            <w:hideMark/>
          </w:tcPr>
          <w:p w14:paraId="196E5919" w14:textId="77777777" w:rsidR="00B97365" w:rsidRDefault="00000000">
            <w:pPr>
              <w:spacing w:after="60"/>
              <w:rPr>
                <w:rFonts w:eastAsia="Times New Roman" w:cs="Calibri"/>
                <w:sz w:val="16"/>
                <w:szCs w:val="16"/>
              </w:rPr>
            </w:pPr>
            <w:r>
              <w:rPr>
                <w:rFonts w:cs="Calibri"/>
                <w:sz w:val="16"/>
                <w:szCs w:val="16"/>
              </w:rPr>
              <w:t>profileType</w:t>
            </w:r>
          </w:p>
        </w:tc>
        <w:tc>
          <w:tcPr>
            <w:tcW w:w="0" w:type="auto"/>
            <w:tcBorders>
              <w:top w:val="single" w:sz="6" w:space="0" w:color="auto"/>
              <w:left w:val="single" w:sz="6" w:space="0" w:color="auto"/>
              <w:bottom w:val="single" w:sz="6" w:space="0" w:color="auto"/>
              <w:right w:val="single" w:sz="6" w:space="0" w:color="auto"/>
            </w:tcBorders>
            <w:hideMark/>
          </w:tcPr>
          <w:p w14:paraId="395CC22A" w14:textId="77777777" w:rsidR="00B97365" w:rsidRDefault="00000000">
            <w:pPr>
              <w:spacing w:after="60"/>
              <w:rPr>
                <w:rFonts w:cs="Calibri"/>
                <w:sz w:val="16"/>
                <w:szCs w:val="16"/>
                <w:lang w:val="en-US"/>
              </w:rPr>
            </w:pPr>
            <w:r>
              <w:rPr>
                <w:rFonts w:cs="Calibri"/>
                <w:sz w:val="16"/>
                <w:szCs w:val="16"/>
                <w:lang w:val="en-US"/>
              </w:rPr>
              <w:t>Identification of the Profile Type of the Profiles concerned by this ONC.</w:t>
            </w:r>
          </w:p>
          <w:p w14:paraId="369193EF" w14:textId="77777777" w:rsidR="00B97365" w:rsidRDefault="00000000">
            <w:pPr>
              <w:spacing w:after="60"/>
              <w:rPr>
                <w:rFonts w:cs="Calibri"/>
                <w:sz w:val="16"/>
                <w:szCs w:val="16"/>
                <w:lang w:val="en-US"/>
              </w:rPr>
            </w:pPr>
            <w:r>
              <w:rPr>
                <w:rFonts w:cs="Calibri"/>
                <w:sz w:val="16"/>
                <w:szCs w:val="16"/>
                <w:lang w:val="en-US"/>
              </w:rPr>
              <w:t>This is an arbitrary String that is meaningful only in the context of a given Operator (mno-id).</w:t>
            </w:r>
          </w:p>
          <w:p w14:paraId="09E50707" w14:textId="77777777" w:rsidR="00B97365" w:rsidRDefault="00000000">
            <w:pPr>
              <w:spacing w:before="0" w:after="200" w:line="276" w:lineRule="auto"/>
              <w:jc w:val="left"/>
              <w:rPr>
                <w:rFonts w:cs="Calibri"/>
                <w:sz w:val="16"/>
                <w:szCs w:val="16"/>
                <w:lang w:val="en-US"/>
              </w:rPr>
            </w:pPr>
            <w:r>
              <w:rPr>
                <w:rFonts w:cs="Calibri"/>
                <w:sz w:val="16"/>
                <w:szCs w:val="16"/>
                <w:lang w:val="en-US"/>
              </w:rPr>
              <w:t>An empty profileType string means all Profiles for this mno-id which have no Profile Type set in the 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324B4ACC" w14:textId="77777777" w:rsidR="00B97365" w:rsidRDefault="00000000">
            <w:pPr>
              <w:spacing w:after="60"/>
              <w:jc w:val="center"/>
              <w:rPr>
                <w:rFonts w:eastAsia="Times New Roman" w:cs="Calibri"/>
                <w:sz w:val="16"/>
                <w:szCs w:val="16"/>
                <w:lang w:val="en-US"/>
              </w:rPr>
            </w:pPr>
            <w:r>
              <w:rPr>
                <w:rFonts w:cs="Calibri"/>
                <w:sz w:val="16"/>
                <w:szCs w:val="16"/>
                <w:lang w:val="en-US"/>
              </w:rPr>
              <w:t>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0D8130E1"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03CE721"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2E67136D" w14:textId="77777777">
        <w:trPr>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42390AAC" w14:textId="77777777" w:rsidR="00B97365" w:rsidRDefault="00000000">
            <w:pPr>
              <w:spacing w:after="60"/>
              <w:rPr>
                <w:rFonts w:eastAsia="Times New Roman" w:cs="Calibri"/>
                <w:sz w:val="16"/>
                <w:szCs w:val="16"/>
              </w:rPr>
            </w:pPr>
            <w:r>
              <w:rPr>
                <w:rFonts w:cs="Calibri"/>
                <w:sz w:val="16"/>
                <w:szCs w:val="16"/>
              </w:rPr>
              <w:t>discardedNotifications</w:t>
            </w:r>
          </w:p>
        </w:tc>
        <w:tc>
          <w:tcPr>
            <w:tcW w:w="0" w:type="auto"/>
            <w:tcBorders>
              <w:top w:val="single" w:sz="6" w:space="0" w:color="auto"/>
              <w:left w:val="single" w:sz="6" w:space="0" w:color="auto"/>
              <w:bottom w:val="single" w:sz="4" w:space="0" w:color="auto"/>
              <w:right w:val="single" w:sz="6" w:space="0" w:color="auto"/>
            </w:tcBorders>
            <w:vAlign w:val="center"/>
            <w:hideMark/>
          </w:tcPr>
          <w:p w14:paraId="215B4BEB" w14:textId="77777777" w:rsidR="00B97365" w:rsidRDefault="00000000">
            <w:pPr>
              <w:rPr>
                <w:rFonts w:cs="Calibri"/>
                <w:sz w:val="16"/>
                <w:szCs w:val="16"/>
                <w:lang w:val="en-US"/>
              </w:rPr>
            </w:pPr>
            <w:r>
              <w:rPr>
                <w:rFonts w:cs="Calibri"/>
                <w:sz w:val="16"/>
                <w:szCs w:val="16"/>
                <w:lang w:val="en-US"/>
              </w:rPr>
              <w:t>A list of notifications names that identify which notifications SHALL NOT be sent from the SM-SR to the Profile owning Operator, related to the Profiles associated with the Profile Type, provided in this request.</w:t>
            </w:r>
          </w:p>
          <w:p w14:paraId="467C2B45" w14:textId="77777777" w:rsidR="00B97365" w:rsidRDefault="00000000">
            <w:pPr>
              <w:rPr>
                <w:rFonts w:cs="Calibri"/>
                <w:sz w:val="16"/>
                <w:szCs w:val="16"/>
                <w:lang w:val="en-US"/>
              </w:rPr>
            </w:pPr>
            <w:r>
              <w:rPr>
                <w:rFonts w:cs="Calibri"/>
                <w:sz w:val="16"/>
                <w:szCs w:val="16"/>
                <w:lang w:val="en-US"/>
              </w:rPr>
              <w:t>Any notification names in this list is not or no longer requested by the Operator owning the Profile, related to the Profiles associated with the Profile Type, provided in this request.</w:t>
            </w:r>
          </w:p>
          <w:p w14:paraId="2494D90C" w14:textId="77777777" w:rsidR="00B97365" w:rsidRDefault="00000000">
            <w:pPr>
              <w:rPr>
                <w:rFonts w:cs="Calibri"/>
                <w:sz w:val="16"/>
                <w:szCs w:val="16"/>
                <w:lang w:val="en-US"/>
              </w:rPr>
            </w:pPr>
            <w:r>
              <w:rPr>
                <w:rFonts w:cs="Calibri"/>
                <w:sz w:val="16"/>
                <w:szCs w:val="16"/>
                <w:lang w:val="en-US"/>
              </w:rPr>
              <w:t xml:space="preserve">An empty list means that all notifications are requested by the Operator owning the Profile, related to the Profiles associated with the Profile Type, provided in this request. It can be used to remove all previously configured ONC for this Profile Type. </w:t>
            </w:r>
          </w:p>
          <w:p w14:paraId="7D57792C" w14:textId="77777777" w:rsidR="00B97365" w:rsidRDefault="00000000">
            <w:pPr>
              <w:jc w:val="left"/>
              <w:rPr>
                <w:rFonts w:cs="Calibri"/>
                <w:sz w:val="16"/>
                <w:szCs w:val="16"/>
                <w:lang w:val="en-US"/>
              </w:rPr>
            </w:pPr>
            <w:r>
              <w:rPr>
                <w:rFonts w:cs="Calibri"/>
                <w:sz w:val="16"/>
                <w:szCs w:val="16"/>
                <w:lang w:val="en-US"/>
              </w:rPr>
              <w:t>See table 511215-B below for the format of this String.</w:t>
            </w:r>
            <w:r>
              <w:rPr>
                <w:rFonts w:cs="Calibri"/>
                <w:sz w:val="16"/>
                <w:szCs w:val="16"/>
                <w:lang w:val="en-US"/>
              </w:rPr>
              <w:br/>
            </w:r>
          </w:p>
          <w:p w14:paraId="1FD088B1" w14:textId="77777777" w:rsidR="00B97365" w:rsidRDefault="00000000">
            <w:r>
              <w:rPr>
                <w:rFonts w:cs="Calibri"/>
                <w:sz w:val="16"/>
                <w:szCs w:val="16"/>
                <w:lang w:val="en-US"/>
              </w:rPr>
              <w:br/>
              <w:t>If no Operator Notification Configuration has yet been set in the SM-SR for a given Profile Type, then the Operator SHALL receive all notifications for status changes for its own Profiles, associated with this Profile Type, see also section 3.21 for details.</w:t>
            </w:r>
          </w:p>
          <w:p w14:paraId="1E18C3F2" w14:textId="77777777" w:rsidR="00B97365" w:rsidRDefault="00B97365">
            <w:pPr>
              <w:spacing w:before="0" w:after="200" w:line="276" w:lineRule="auto"/>
              <w:jc w:val="left"/>
              <w:rPr>
                <w:rFonts w:cs="Calibri"/>
                <w:sz w:val="16"/>
                <w:szCs w:val="16"/>
              </w:rPr>
            </w:pPr>
          </w:p>
        </w:tc>
        <w:tc>
          <w:tcPr>
            <w:tcW w:w="0" w:type="auto"/>
            <w:tcBorders>
              <w:top w:val="single" w:sz="6" w:space="0" w:color="auto"/>
              <w:left w:val="single" w:sz="6" w:space="0" w:color="auto"/>
              <w:bottom w:val="single" w:sz="4" w:space="0" w:color="auto"/>
              <w:right w:val="single" w:sz="6" w:space="0" w:color="auto"/>
            </w:tcBorders>
            <w:vAlign w:val="center"/>
            <w:hideMark/>
          </w:tcPr>
          <w:p w14:paraId="3721E5FE" w14:textId="77777777" w:rsidR="00B97365" w:rsidRDefault="00000000">
            <w:pPr>
              <w:spacing w:after="60"/>
              <w:rPr>
                <w:rFonts w:eastAsia="Times New Roman" w:cs="Calibri"/>
                <w:sz w:val="16"/>
                <w:szCs w:val="16"/>
                <w:lang w:val="en-US"/>
              </w:rPr>
            </w:pPr>
            <w:r>
              <w:rPr>
                <w:rFonts w:cs="Calibri"/>
                <w:sz w:val="16"/>
                <w:szCs w:val="16"/>
                <w:lang w:val="en-US"/>
              </w:rPr>
              <w:lastRenderedPageBreak/>
              <w:t>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2A811B44" w14:textId="77777777" w:rsidR="00B97365" w:rsidRDefault="00000000">
            <w:pPr>
              <w:spacing w:after="60"/>
              <w:rPr>
                <w:rFonts w:eastAsia="Times New Roman" w:cs="Calibri"/>
                <w:sz w:val="16"/>
                <w:szCs w:val="16"/>
                <w:lang w:val="en-US"/>
              </w:rPr>
            </w:pPr>
            <w:r>
              <w:rPr>
                <w:rFonts w:cs="Calibri"/>
                <w:sz w:val="16"/>
                <w:szCs w:val="16"/>
                <w:lang w:val="en-US"/>
              </w:rPr>
              <w:t>0…N</w:t>
            </w:r>
          </w:p>
        </w:tc>
        <w:tc>
          <w:tcPr>
            <w:tcW w:w="0" w:type="auto"/>
            <w:tcBorders>
              <w:top w:val="single" w:sz="6" w:space="0" w:color="auto"/>
              <w:left w:val="single" w:sz="6" w:space="0" w:color="auto"/>
              <w:bottom w:val="single" w:sz="4" w:space="0" w:color="auto"/>
              <w:right w:val="single" w:sz="4" w:space="0" w:color="auto"/>
            </w:tcBorders>
            <w:vAlign w:val="center"/>
            <w:hideMark/>
          </w:tcPr>
          <w:p w14:paraId="35FFB8F3" w14:textId="77777777" w:rsidR="00B97365" w:rsidRDefault="00000000">
            <w:pPr>
              <w:spacing w:after="60"/>
              <w:rPr>
                <w:rFonts w:cs="Calibri"/>
                <w:sz w:val="16"/>
                <w:szCs w:val="16"/>
                <w:lang w:val="en-US"/>
              </w:rPr>
            </w:pPr>
            <w:r>
              <w:rPr>
                <w:rFonts w:cs="Calibri"/>
                <w:sz w:val="16"/>
                <w:szCs w:val="16"/>
                <w:lang w:val="en-US"/>
              </w:rPr>
              <w:t>M</w:t>
            </w:r>
          </w:p>
        </w:tc>
      </w:tr>
    </w:tbl>
    <w:p w14:paraId="43610B92"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511215-A: ONC Type</w:t>
      </w:r>
    </w:p>
    <w:p w14:paraId="7D05CB1C" w14:textId="77777777" w:rsidR="00B97365" w:rsidRDefault="00000000">
      <w:pPr>
        <w:spacing w:before="0" w:after="200" w:line="276" w:lineRule="auto"/>
        <w:jc w:val="left"/>
        <w:rPr>
          <w:szCs w:val="22"/>
          <w:lang w:eastAsia="en-US"/>
        </w:rPr>
      </w:pPr>
      <w:r>
        <w:rPr>
          <w:szCs w:val="22"/>
          <w:lang w:eastAsia="en-US"/>
        </w:rPr>
        <w:t>Each String in the discardedNotification list SHALL be a distinct notification name among table 511215-B below.</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3716"/>
        <w:gridCol w:w="5297"/>
      </w:tblGrid>
      <w:tr w:rsidR="00B97365" w14:paraId="7784B3A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24DE0AA" w14:textId="77777777" w:rsidR="00B97365" w:rsidRDefault="00000000">
            <w:pPr>
              <w:jc w:val="center"/>
              <w:rPr>
                <w:rFonts w:cs="Calibri"/>
                <w:b/>
                <w:color w:val="FFFFFF"/>
                <w:sz w:val="16"/>
                <w:szCs w:val="16"/>
              </w:rPr>
            </w:pPr>
            <w:r>
              <w:rPr>
                <w:rFonts w:cs="Calibri"/>
                <w:b/>
                <w:color w:val="FFFFFF"/>
                <w:sz w:val="16"/>
                <w:szCs w:val="16"/>
              </w:rPr>
              <w:t>Notification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0B0BE63" w14:textId="77777777" w:rsidR="00B97365" w:rsidRDefault="00000000">
            <w:pPr>
              <w:jc w:val="center"/>
              <w:rPr>
                <w:rFonts w:cs="Calibri"/>
                <w:b/>
                <w:color w:val="FFFFFF"/>
                <w:sz w:val="16"/>
                <w:szCs w:val="16"/>
              </w:rPr>
            </w:pPr>
            <w:r>
              <w:rPr>
                <w:rFonts w:cs="Calibri"/>
                <w:b/>
                <w:color w:val="FFFFFF"/>
                <w:sz w:val="16"/>
                <w:szCs w:val="16"/>
              </w:rPr>
              <w:t>Meaning of the corresponding configuration</w:t>
            </w:r>
          </w:p>
        </w:tc>
      </w:tr>
      <w:tr w:rsidR="00B97365" w14:paraId="7AF5829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8EC1542" w14:textId="77777777" w:rsidR="00B97365" w:rsidRDefault="00000000">
            <w:pPr>
              <w:autoSpaceDE w:val="0"/>
              <w:autoSpaceDN w:val="0"/>
              <w:adjustRightInd w:val="0"/>
              <w:spacing w:line="276" w:lineRule="auto"/>
              <w:jc w:val="center"/>
              <w:rPr>
                <w:rFonts w:eastAsia="MS Mincho" w:cs="Arial"/>
                <w:color w:val="000000"/>
                <w:sz w:val="16"/>
                <w:szCs w:val="16"/>
                <w:lang w:val="fr-FR" w:eastAsia="ja-JP" w:bidi="ar-SA"/>
              </w:rPr>
            </w:pPr>
            <w:r>
              <w:rPr>
                <w:rFonts w:eastAsia="MS Mincho" w:cs="Arial"/>
                <w:color w:val="000000"/>
                <w:sz w:val="16"/>
                <w:szCs w:val="16"/>
                <w:lang w:val="fr-FR" w:eastAsia="ja-JP" w:bidi="ar-SA"/>
              </w:rPr>
              <w:t xml:space="preserve">HandleProfileDisabledNotification </w:t>
            </w:r>
          </w:p>
        </w:tc>
        <w:tc>
          <w:tcPr>
            <w:tcW w:w="0" w:type="auto"/>
            <w:tcBorders>
              <w:top w:val="single" w:sz="6" w:space="0" w:color="auto"/>
              <w:left w:val="single" w:sz="6" w:space="0" w:color="auto"/>
              <w:bottom w:val="single" w:sz="6" w:space="0" w:color="auto"/>
              <w:right w:val="single" w:sz="6" w:space="0" w:color="auto"/>
            </w:tcBorders>
            <w:vAlign w:val="center"/>
            <w:hideMark/>
          </w:tcPr>
          <w:p w14:paraId="53F862DC" w14:textId="77777777" w:rsidR="00B97365" w:rsidRDefault="00000000">
            <w:pPr>
              <w:rPr>
                <w:u w:val="single"/>
                <w:lang w:val="en-US"/>
              </w:rPr>
            </w:pPr>
            <w:r>
              <w:rPr>
                <w:rFonts w:cs="Calibri"/>
                <w:sz w:val="16"/>
                <w:szCs w:val="16"/>
                <w:lang w:val="en-US"/>
              </w:rPr>
              <w:t>The Operator owning the Profile receives no notifications via ES3 or ES4 when a Profile, associated with the Profile Type in the ONC, was disabled.</w:t>
            </w:r>
            <w:r>
              <w:rPr>
                <w:rFonts w:cs="Calibri"/>
                <w:sz w:val="16"/>
                <w:szCs w:val="16"/>
                <w:u w:val="single"/>
                <w:lang w:val="en-US"/>
              </w:rPr>
              <w:t xml:space="preserve"> </w:t>
            </w:r>
          </w:p>
        </w:tc>
      </w:tr>
      <w:tr w:rsidR="00B97365" w14:paraId="5CD01C1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7A0A211" w14:textId="77777777" w:rsidR="00B97365" w:rsidRDefault="00000000">
            <w:pPr>
              <w:autoSpaceDE w:val="0"/>
              <w:autoSpaceDN w:val="0"/>
              <w:adjustRightInd w:val="0"/>
              <w:spacing w:line="276" w:lineRule="auto"/>
              <w:jc w:val="center"/>
              <w:rPr>
                <w:rFonts w:eastAsia="MS Mincho" w:cs="Arial"/>
                <w:color w:val="000000"/>
                <w:sz w:val="16"/>
                <w:szCs w:val="16"/>
                <w:lang w:val="fr-FR" w:eastAsia="ja-JP" w:bidi="ar-SA"/>
              </w:rPr>
            </w:pPr>
            <w:r>
              <w:rPr>
                <w:rFonts w:eastAsia="MS Mincho" w:cs="Arial"/>
                <w:color w:val="000000"/>
                <w:sz w:val="16"/>
                <w:szCs w:val="16"/>
                <w:lang w:val="fr-FR" w:eastAsia="ja-JP" w:bidi="ar-SA"/>
              </w:rPr>
              <w:t xml:space="preserve">HandleProfileEnabledNotification </w:t>
            </w:r>
          </w:p>
        </w:tc>
        <w:tc>
          <w:tcPr>
            <w:tcW w:w="0" w:type="auto"/>
            <w:tcBorders>
              <w:top w:val="single" w:sz="6" w:space="0" w:color="auto"/>
              <w:left w:val="single" w:sz="6" w:space="0" w:color="auto"/>
              <w:bottom w:val="single" w:sz="6" w:space="0" w:color="auto"/>
              <w:right w:val="single" w:sz="6" w:space="0" w:color="auto"/>
            </w:tcBorders>
            <w:vAlign w:val="center"/>
          </w:tcPr>
          <w:p w14:paraId="287648B5" w14:textId="77777777" w:rsidR="00B97365" w:rsidRDefault="00000000">
            <w:pPr>
              <w:rPr>
                <w:u w:val="single"/>
                <w:lang w:val="en-US"/>
              </w:rPr>
            </w:pPr>
            <w:r>
              <w:rPr>
                <w:rFonts w:cs="Calibri"/>
                <w:sz w:val="16"/>
                <w:szCs w:val="16"/>
                <w:lang w:val="en-US"/>
              </w:rPr>
              <w:t>The Operator owning the Profile receives no notifications via ES3 or ES4 when a Profile, associated with the Profile Type in the ONC, was enabled.</w:t>
            </w:r>
            <w:r>
              <w:rPr>
                <w:rFonts w:cs="Calibri"/>
                <w:sz w:val="16"/>
                <w:szCs w:val="16"/>
                <w:u w:val="single"/>
                <w:lang w:val="en-US"/>
              </w:rPr>
              <w:t xml:space="preserve"> </w:t>
            </w:r>
          </w:p>
        </w:tc>
      </w:tr>
      <w:tr w:rsidR="00B97365" w14:paraId="2001C4C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6D3BF55" w14:textId="77777777" w:rsidR="00B97365" w:rsidRDefault="00000000">
            <w:pPr>
              <w:autoSpaceDE w:val="0"/>
              <w:autoSpaceDN w:val="0"/>
              <w:adjustRightInd w:val="0"/>
              <w:spacing w:line="276" w:lineRule="auto"/>
              <w:jc w:val="center"/>
              <w:rPr>
                <w:rFonts w:eastAsia="MS Mincho" w:cs="Arial"/>
                <w:color w:val="000000"/>
                <w:sz w:val="16"/>
                <w:szCs w:val="16"/>
                <w:lang w:val="fr-FR" w:eastAsia="ja-JP" w:bidi="ar-SA"/>
              </w:rPr>
            </w:pPr>
            <w:r>
              <w:rPr>
                <w:rFonts w:eastAsia="MS Mincho" w:cs="Arial"/>
                <w:color w:val="000000"/>
                <w:sz w:val="16"/>
                <w:szCs w:val="16"/>
                <w:lang w:val="fr-FR" w:eastAsia="ja-JP" w:bidi="ar-SA"/>
              </w:rPr>
              <w:t xml:space="preserve">HandleProfileDeletedNotification </w:t>
            </w:r>
          </w:p>
        </w:tc>
        <w:tc>
          <w:tcPr>
            <w:tcW w:w="0" w:type="auto"/>
            <w:tcBorders>
              <w:top w:val="single" w:sz="6" w:space="0" w:color="auto"/>
              <w:left w:val="single" w:sz="6" w:space="0" w:color="auto"/>
              <w:bottom w:val="single" w:sz="6" w:space="0" w:color="auto"/>
              <w:right w:val="single" w:sz="6" w:space="0" w:color="auto"/>
            </w:tcBorders>
            <w:vAlign w:val="center"/>
          </w:tcPr>
          <w:p w14:paraId="745FF332" w14:textId="77777777" w:rsidR="00B97365" w:rsidRDefault="00000000">
            <w:pPr>
              <w:rPr>
                <w:u w:val="single"/>
                <w:lang w:val="en-US"/>
              </w:rPr>
            </w:pPr>
            <w:r>
              <w:rPr>
                <w:rFonts w:cs="Calibri"/>
                <w:sz w:val="16"/>
                <w:szCs w:val="16"/>
                <w:lang w:val="en-US"/>
              </w:rPr>
              <w:t>The Operator owning the Profile receives no notifications via ES3 or ES4 when a Profile, associated with the Profile Type in the ONC, was deleted.</w:t>
            </w:r>
            <w:r>
              <w:rPr>
                <w:rFonts w:cs="Calibri"/>
                <w:sz w:val="16"/>
                <w:szCs w:val="16"/>
                <w:u w:val="single"/>
                <w:lang w:val="en-US"/>
              </w:rPr>
              <w:t xml:space="preserve"> </w:t>
            </w:r>
          </w:p>
        </w:tc>
      </w:tr>
      <w:tr w:rsidR="00B97365" w14:paraId="40C56ED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EE679ED" w14:textId="77777777" w:rsidR="00B97365" w:rsidRDefault="00000000">
            <w:pPr>
              <w:autoSpaceDE w:val="0"/>
              <w:autoSpaceDN w:val="0"/>
              <w:adjustRightInd w:val="0"/>
              <w:spacing w:line="276" w:lineRule="auto"/>
              <w:jc w:val="center"/>
              <w:rPr>
                <w:rFonts w:eastAsia="MS Mincho" w:cs="Arial"/>
                <w:color w:val="000000"/>
                <w:sz w:val="16"/>
                <w:szCs w:val="16"/>
                <w:lang w:val="fr-FR" w:eastAsia="ja-JP" w:bidi="ar-SA"/>
              </w:rPr>
            </w:pPr>
            <w:r>
              <w:rPr>
                <w:rFonts w:eastAsia="MS Mincho" w:cs="Arial"/>
                <w:color w:val="000000"/>
                <w:sz w:val="16"/>
                <w:szCs w:val="16"/>
                <w:lang w:val="fr-FR" w:eastAsia="ja-JP" w:bidi="ar-SA"/>
              </w:rPr>
              <w:t xml:space="preserve">HandleSMSRChangeNotification </w:t>
            </w:r>
          </w:p>
        </w:tc>
        <w:tc>
          <w:tcPr>
            <w:tcW w:w="0" w:type="auto"/>
            <w:tcBorders>
              <w:top w:val="single" w:sz="6" w:space="0" w:color="auto"/>
              <w:left w:val="single" w:sz="6" w:space="0" w:color="auto"/>
              <w:bottom w:val="single" w:sz="6" w:space="0" w:color="auto"/>
              <w:right w:val="single" w:sz="6" w:space="0" w:color="auto"/>
            </w:tcBorders>
            <w:vAlign w:val="center"/>
          </w:tcPr>
          <w:p w14:paraId="6AE07A6C" w14:textId="77777777" w:rsidR="00B97365" w:rsidRDefault="00000000">
            <w:pPr>
              <w:rPr>
                <w:rFonts w:cs="Calibri"/>
                <w:sz w:val="16"/>
                <w:szCs w:val="16"/>
                <w:lang w:val="en-US"/>
              </w:rPr>
            </w:pPr>
            <w:r>
              <w:rPr>
                <w:rFonts w:cs="Calibri"/>
                <w:sz w:val="16"/>
                <w:szCs w:val="16"/>
                <w:lang w:val="en-US"/>
              </w:rPr>
              <w:t>The Operator owning the Profile receives no notifications via ES3 or ES4 when the SM-SR, managing an eUICC, has changed and the eUICC is hosting a Profile which is associated with the Profile Type in the ONC.</w:t>
            </w:r>
          </w:p>
        </w:tc>
      </w:tr>
      <w:tr w:rsidR="00B97365" w14:paraId="12D0FA8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13A9781" w14:textId="77777777" w:rsidR="00B97365" w:rsidRDefault="00000000">
            <w:pPr>
              <w:autoSpaceDE w:val="0"/>
              <w:autoSpaceDN w:val="0"/>
              <w:adjustRightInd w:val="0"/>
              <w:spacing w:line="276" w:lineRule="auto"/>
              <w:jc w:val="center"/>
              <w:rPr>
                <w:rFonts w:eastAsia="MS Mincho" w:cs="Arial"/>
                <w:color w:val="000000"/>
                <w:sz w:val="16"/>
                <w:szCs w:val="16"/>
                <w:lang w:val="fr-FR" w:eastAsia="ja-JP" w:bidi="ar-SA"/>
              </w:rPr>
            </w:pPr>
            <w:r>
              <w:rPr>
                <w:rFonts w:eastAsia="MS Mincho" w:cs="Calibri"/>
                <w:color w:val="000000"/>
                <w:sz w:val="16"/>
                <w:szCs w:val="16"/>
                <w:lang w:val="fr-FR" w:eastAsia="ja-JP" w:bidi="ar-SA"/>
              </w:rPr>
              <w:t>HandleEmergencyProfileAttributeSetNotification</w:t>
            </w:r>
          </w:p>
        </w:tc>
        <w:tc>
          <w:tcPr>
            <w:tcW w:w="0" w:type="auto"/>
            <w:tcBorders>
              <w:top w:val="single" w:sz="6" w:space="0" w:color="auto"/>
              <w:left w:val="single" w:sz="6" w:space="0" w:color="auto"/>
              <w:bottom w:val="single" w:sz="6" w:space="0" w:color="auto"/>
              <w:right w:val="single" w:sz="6" w:space="0" w:color="auto"/>
            </w:tcBorders>
            <w:vAlign w:val="center"/>
          </w:tcPr>
          <w:p w14:paraId="6FD328CC" w14:textId="77777777" w:rsidR="00B97365" w:rsidRDefault="00000000">
            <w:pPr>
              <w:rPr>
                <w:rFonts w:cs="Calibri"/>
                <w:sz w:val="16"/>
                <w:szCs w:val="16"/>
                <w:lang w:val="en-US"/>
              </w:rPr>
            </w:pPr>
            <w:r>
              <w:rPr>
                <w:rFonts w:cs="Calibri"/>
                <w:sz w:val="16"/>
                <w:szCs w:val="16"/>
                <w:lang w:val="en-US"/>
              </w:rPr>
              <w:t>The Operator owning the Profile receives no notifications via ES3 or ES4 when the Emergency Profile Attribute was set on a Profile, associated with the Profile Type in the ONC.</w:t>
            </w:r>
          </w:p>
        </w:tc>
      </w:tr>
      <w:tr w:rsidR="00B97365" w14:paraId="78A2D33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62877A4" w14:textId="77777777" w:rsidR="00B97365" w:rsidRDefault="00000000">
            <w:pPr>
              <w:autoSpaceDE w:val="0"/>
              <w:autoSpaceDN w:val="0"/>
              <w:adjustRightInd w:val="0"/>
              <w:spacing w:line="276" w:lineRule="auto"/>
              <w:jc w:val="center"/>
              <w:rPr>
                <w:rFonts w:eastAsia="MS Mincho" w:cs="Arial"/>
                <w:color w:val="000000"/>
                <w:sz w:val="16"/>
                <w:szCs w:val="16"/>
                <w:lang w:val="fr-FR" w:eastAsia="ja-JP" w:bidi="ar-SA"/>
              </w:rPr>
            </w:pPr>
            <w:r>
              <w:rPr>
                <w:rFonts w:eastAsia="MS Mincho" w:cs="Calibri"/>
                <w:color w:val="000000"/>
                <w:sz w:val="16"/>
                <w:szCs w:val="16"/>
                <w:lang w:val="fr-FR" w:eastAsia="ja-JP" w:bidi="ar-SA"/>
              </w:rPr>
              <w:t>HandleEmergencyProfileAttributeUnsetNotification</w:t>
            </w:r>
          </w:p>
        </w:tc>
        <w:tc>
          <w:tcPr>
            <w:tcW w:w="0" w:type="auto"/>
            <w:tcBorders>
              <w:top w:val="single" w:sz="6" w:space="0" w:color="auto"/>
              <w:left w:val="single" w:sz="6" w:space="0" w:color="auto"/>
              <w:bottom w:val="single" w:sz="6" w:space="0" w:color="auto"/>
              <w:right w:val="single" w:sz="6" w:space="0" w:color="auto"/>
            </w:tcBorders>
            <w:vAlign w:val="center"/>
          </w:tcPr>
          <w:p w14:paraId="0982C3EB" w14:textId="77777777" w:rsidR="00B97365" w:rsidRDefault="00000000">
            <w:pPr>
              <w:rPr>
                <w:rFonts w:cs="Calibri"/>
                <w:sz w:val="16"/>
                <w:szCs w:val="16"/>
                <w:lang w:val="en-US"/>
              </w:rPr>
            </w:pPr>
            <w:r>
              <w:rPr>
                <w:rFonts w:cs="Calibri"/>
                <w:sz w:val="16"/>
                <w:szCs w:val="16"/>
                <w:lang w:val="en-US"/>
              </w:rPr>
              <w:t>The Operator owning the Profile receives no notifications via ES3 or ES4 when the Emergency Profile Attribute was unset on a Profile, associated with the Profile Type in the ONC</w:t>
            </w:r>
          </w:p>
        </w:tc>
      </w:tr>
      <w:tr w:rsidR="00B97365" w14:paraId="47D5FB9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98E5581" w14:textId="77777777" w:rsidR="00B97365" w:rsidRDefault="00000000">
            <w:pPr>
              <w:autoSpaceDE w:val="0"/>
              <w:autoSpaceDN w:val="0"/>
              <w:adjustRightInd w:val="0"/>
              <w:spacing w:line="276" w:lineRule="auto"/>
              <w:jc w:val="center"/>
              <w:rPr>
                <w:rFonts w:eastAsia="MS Mincho" w:cs="Arial"/>
                <w:color w:val="000000"/>
                <w:sz w:val="16"/>
                <w:szCs w:val="16"/>
                <w:lang w:val="fr-FR" w:eastAsia="ja-JP" w:bidi="ar-SA"/>
              </w:rPr>
            </w:pPr>
            <w:r>
              <w:rPr>
                <w:rFonts w:eastAsia="MS Mincho" w:cs="Calibri"/>
                <w:color w:val="000000"/>
                <w:sz w:val="16"/>
                <w:szCs w:val="16"/>
                <w:lang w:val="fr-FR" w:eastAsia="ja-JP" w:bidi="ar-SA"/>
              </w:rPr>
              <w:t>HandleProfileFallBackAttributeSetNotification</w:t>
            </w:r>
          </w:p>
        </w:tc>
        <w:tc>
          <w:tcPr>
            <w:tcW w:w="0" w:type="auto"/>
            <w:tcBorders>
              <w:top w:val="single" w:sz="6" w:space="0" w:color="auto"/>
              <w:left w:val="single" w:sz="6" w:space="0" w:color="auto"/>
              <w:bottom w:val="single" w:sz="6" w:space="0" w:color="auto"/>
              <w:right w:val="single" w:sz="6" w:space="0" w:color="auto"/>
            </w:tcBorders>
            <w:vAlign w:val="center"/>
          </w:tcPr>
          <w:p w14:paraId="0472EC0A" w14:textId="77777777" w:rsidR="00B97365" w:rsidRDefault="00000000">
            <w:pPr>
              <w:rPr>
                <w:rFonts w:cs="Calibri"/>
                <w:sz w:val="16"/>
                <w:szCs w:val="16"/>
                <w:lang w:val="en-US"/>
              </w:rPr>
            </w:pPr>
            <w:r>
              <w:rPr>
                <w:rFonts w:cs="Calibri"/>
                <w:sz w:val="16"/>
                <w:szCs w:val="16"/>
                <w:lang w:val="en-US"/>
              </w:rPr>
              <w:t>The Operator owning the Profile receives no notifications via ES3 or ES4 when the Fall-Back Attribute was set on a Profile, associated with the Profile Type in the ONC.</w:t>
            </w:r>
          </w:p>
        </w:tc>
      </w:tr>
      <w:tr w:rsidR="00B97365" w14:paraId="6B05190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722E13E" w14:textId="77777777" w:rsidR="00B97365" w:rsidRDefault="00000000">
            <w:pPr>
              <w:autoSpaceDE w:val="0"/>
              <w:autoSpaceDN w:val="0"/>
              <w:adjustRightInd w:val="0"/>
              <w:spacing w:line="276" w:lineRule="auto"/>
              <w:jc w:val="center"/>
              <w:rPr>
                <w:rFonts w:eastAsia="MS Mincho" w:cs="Arial"/>
                <w:color w:val="000000"/>
                <w:sz w:val="16"/>
                <w:szCs w:val="16"/>
                <w:lang w:val="fr-FR" w:eastAsia="ja-JP" w:bidi="ar-SA"/>
              </w:rPr>
            </w:pPr>
            <w:r>
              <w:rPr>
                <w:rFonts w:eastAsia="MS Mincho" w:cs="Calibri"/>
                <w:color w:val="000000"/>
                <w:sz w:val="16"/>
                <w:szCs w:val="16"/>
                <w:lang w:val="fr-FR" w:eastAsia="ja-JP" w:bidi="ar-SA"/>
              </w:rPr>
              <w:t>HandleProfileFallBackAttributeUnsetNotification</w:t>
            </w:r>
          </w:p>
        </w:tc>
        <w:tc>
          <w:tcPr>
            <w:tcW w:w="0" w:type="auto"/>
            <w:tcBorders>
              <w:top w:val="single" w:sz="6" w:space="0" w:color="auto"/>
              <w:left w:val="single" w:sz="6" w:space="0" w:color="auto"/>
              <w:bottom w:val="single" w:sz="6" w:space="0" w:color="auto"/>
              <w:right w:val="single" w:sz="6" w:space="0" w:color="auto"/>
            </w:tcBorders>
            <w:vAlign w:val="center"/>
          </w:tcPr>
          <w:p w14:paraId="1028099A" w14:textId="77777777" w:rsidR="00B97365" w:rsidRDefault="00000000">
            <w:pPr>
              <w:rPr>
                <w:rFonts w:cs="Calibri"/>
                <w:sz w:val="16"/>
                <w:szCs w:val="16"/>
                <w:lang w:val="en-US"/>
              </w:rPr>
            </w:pPr>
            <w:r>
              <w:rPr>
                <w:rFonts w:cs="Calibri"/>
                <w:sz w:val="16"/>
                <w:szCs w:val="16"/>
                <w:lang w:val="en-US"/>
              </w:rPr>
              <w:t>The Operator owning the Profile receives no notifications via ES3 or ES4 when the Fall-Back Attribute was unset on a Profile, associated with the Profile Type in the ONC</w:t>
            </w:r>
          </w:p>
        </w:tc>
      </w:tr>
    </w:tbl>
    <w:p w14:paraId="3D9D472E"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511215-B: List of Notifications Requested by ONC</w:t>
      </w:r>
    </w:p>
    <w:p w14:paraId="55C0877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134" w:name="_Toc352671570"/>
      <w:bookmarkStart w:id="3135" w:name="_Toc448998248"/>
      <w:bookmarkStart w:id="3136" w:name="_Toc422150724"/>
      <w:bookmarkStart w:id="3137" w:name="_Toc421874309"/>
      <w:bookmarkStart w:id="3138" w:name="_Toc420594688"/>
      <w:bookmarkStart w:id="3139" w:name="_Toc398214850"/>
      <w:bookmarkStart w:id="3140" w:name="_Toc375158266"/>
      <w:bookmarkStart w:id="3141" w:name="_Toc368932269"/>
      <w:bookmarkStart w:id="3142" w:name="_Toc486332866"/>
      <w:bookmarkStart w:id="3143" w:name="_Toc1977337"/>
      <w:bookmarkStart w:id="3144" w:name="_Toc37062496"/>
      <w:bookmarkStart w:id="3145" w:name="_Toc88839576"/>
      <w:bookmarkStart w:id="3146" w:name="_Toc121503984"/>
      <w:r>
        <w:rPr>
          <w:rFonts w:eastAsia="Times New Roman" w:cs="Arial"/>
          <w:b/>
          <w:bCs/>
          <w:iCs/>
          <w:sz w:val="24"/>
          <w:szCs w:val="26"/>
          <w:lang w:eastAsia="en-US"/>
        </w:rPr>
        <w:t xml:space="preserve">Request-Response </w:t>
      </w:r>
      <w:r>
        <w:rPr>
          <w:rFonts w:eastAsia="Times New Roman" w:cs="Arial"/>
          <w:b/>
          <w:sz w:val="24"/>
          <w:szCs w:val="26"/>
          <w:lang w:eastAsia="en-US"/>
        </w:rPr>
        <w:t>Function</w:t>
      </w:r>
      <w:bookmarkEnd w:id="2873"/>
      <w:bookmarkEnd w:id="3134"/>
      <w:bookmarkEnd w:id="3135"/>
      <w:bookmarkEnd w:id="3136"/>
      <w:bookmarkEnd w:id="3137"/>
      <w:bookmarkEnd w:id="3138"/>
      <w:bookmarkEnd w:id="3139"/>
      <w:bookmarkEnd w:id="3140"/>
      <w:bookmarkEnd w:id="3141"/>
      <w:bookmarkEnd w:id="3142"/>
      <w:bookmarkEnd w:id="3143"/>
      <w:bookmarkEnd w:id="3144"/>
      <w:bookmarkEnd w:id="3145"/>
      <w:bookmarkEnd w:id="3146"/>
    </w:p>
    <w:p w14:paraId="56193B8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 request-response function functionally corresponds to the case where a requestor Role sends a request message to a replier Role which receives and processes the request, ultimately returning a message in response. A function may take input data and may provide output data. A function may also deliver no output data.</w:t>
      </w:r>
    </w:p>
    <w:bookmarkStart w:id="3147" w:name="_1321368470"/>
    <w:bookmarkStart w:id="3148" w:name="_1333958561"/>
    <w:bookmarkStart w:id="3149" w:name="_MON_1332327865"/>
    <w:bookmarkStart w:id="3150" w:name="_MON_1312291913"/>
    <w:bookmarkStart w:id="3151" w:name="_MON_1321367132"/>
    <w:bookmarkEnd w:id="3147"/>
    <w:bookmarkEnd w:id="3148"/>
    <w:bookmarkEnd w:id="3149"/>
    <w:bookmarkEnd w:id="3150"/>
    <w:bookmarkEnd w:id="3151"/>
    <w:bookmarkStart w:id="3152" w:name="_MON_1333957924"/>
    <w:bookmarkEnd w:id="3152"/>
    <w:p w14:paraId="210D10A5" w14:textId="77777777" w:rsidR="00B97365" w:rsidRDefault="00000000">
      <w:pPr>
        <w:jc w:val="center"/>
        <w:rPr>
          <w:rFonts w:cs="Calibri"/>
        </w:rPr>
      </w:pPr>
      <w:r>
        <w:rPr>
          <w:rFonts w:cs="Calibri"/>
        </w:rPr>
        <w:object w:dxaOrig="4572" w:dyaOrig="2688" w14:anchorId="041EE147">
          <v:shape id="_x0000_i1041" type="#_x0000_t75" style="width:227.95pt;height:139.2pt" o:ole="">
            <v:imagedata r:id="rId103" o:title=""/>
          </v:shape>
          <o:OLEObject Type="Embed" ProgID="PowerPoint.Show.8" ShapeID="_x0000_i1041" DrawAspect="Content" ObjectID="_1738512086" r:id="rId104"/>
        </w:object>
      </w:r>
    </w:p>
    <w:p w14:paraId="0D444DAE"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szCs w:val="22"/>
          <w:lang w:val="en-US" w:eastAsia="en-GB" w:bidi="ar-SA"/>
        </w:rPr>
        <w:t xml:space="preserve">: </w:t>
      </w:r>
      <w:r>
        <w:rPr>
          <w:rFonts w:cs="Arial"/>
          <w:b/>
          <w:szCs w:val="22"/>
          <w:lang w:val="en-US" w:eastAsia="en-GB" w:bidi="ar-SA"/>
        </w:rPr>
        <w:t>Functions as a Request-Response Data Exchange</w:t>
      </w:r>
    </w:p>
    <w:p w14:paraId="1064C77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At function definition level nothing is said about if the function is synchronous or asynchronous.</w:t>
      </w:r>
    </w:p>
    <w:p w14:paraId="0545872A"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3153" w:name="_Toc368932270"/>
      <w:bookmarkStart w:id="3154" w:name="_Ref367972312"/>
      <w:bookmarkStart w:id="3155" w:name="_Toc352671571"/>
      <w:bookmarkStart w:id="3156" w:name="_Toc1977338"/>
      <w:bookmarkStart w:id="3157" w:name="_Toc37062497"/>
      <w:bookmarkStart w:id="3158" w:name="_Toc345955209"/>
      <w:r>
        <w:rPr>
          <w:rFonts w:ascii="Arial Bold" w:eastAsia="Times New Roman" w:hAnsi="Arial Bold" w:cs="Arial"/>
          <w:b/>
          <w:iCs/>
          <w:szCs w:val="28"/>
          <w:lang w:eastAsia="en-US"/>
        </w:rPr>
        <w:lastRenderedPageBreak/>
        <w:t xml:space="preserve">Validity </w:t>
      </w:r>
      <w:r>
        <w:rPr>
          <w:rFonts w:ascii="Arial Bold" w:eastAsia="Times New Roman" w:hAnsi="Arial Bold" w:cs="Arial"/>
          <w:szCs w:val="28"/>
          <w:lang w:eastAsia="en-US"/>
        </w:rPr>
        <w:t>Period</w:t>
      </w:r>
      <w:bookmarkEnd w:id="3153"/>
      <w:bookmarkEnd w:id="3154"/>
      <w:bookmarkEnd w:id="3155"/>
      <w:bookmarkEnd w:id="3156"/>
      <w:bookmarkEnd w:id="3157"/>
    </w:p>
    <w:p w14:paraId="575F02B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When a function is called, the function provider takes the responsibility to execute all the individual execution steps that are required to complete the function. Such processing may require some time to complete, but the function caller might want this processing duration to not exceed a specific amount of time called the "function validity period", as detailed in the following use cases:</w:t>
      </w:r>
    </w:p>
    <w:p w14:paraId="72F70F1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function processing might no longer be valuable if it ends after the validity period. For example, a function is only valuable if it is executed within a minute. If more than a minute has elapsed, then it is no longer required to continue the function execution.</w:t>
      </w:r>
    </w:p>
    <w:p w14:paraId="0B0C1BC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Processing might not want to wait for an external event that might not occur before a very long time or an event that might even never occur at all. For example, it is possible when performing an OTA dialog that the Device is unreachable (switched off, lost…), or that an acknowledgement message coming from the Device is lost on the network (for example the loss of a PoR coming from an eUICC). If so, it might not be acceptable to wait several days or weeks for the Device to be switched on again, or even to wait forever for an acknowledgement message that will never come.</w:t>
      </w:r>
    </w:p>
    <w:p w14:paraId="6A91D94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It is desirable that the function provider system is not overloaded with requests that will be pending for a long period. The function caller would like to be notified as soon as possible that the function cannot be processed within a specific amount of time, and may then implement a calling side retry Policy.</w:t>
      </w:r>
    </w:p>
    <w:p w14:paraId="7849B05D" w14:textId="77777777" w:rsidR="00B97365" w:rsidRDefault="00000000">
      <w:pPr>
        <w:spacing w:before="0" w:after="200" w:line="276" w:lineRule="auto"/>
        <w:jc w:val="left"/>
        <w:rPr>
          <w:rFonts w:cs="Arial"/>
          <w:szCs w:val="22"/>
          <w:lang w:eastAsia="en-GB" w:bidi="ar-SA"/>
        </w:rPr>
      </w:pPr>
      <w:r>
        <w:rPr>
          <w:rFonts w:cs="Arial"/>
          <w:szCs w:val="22"/>
          <w:lang w:val="en-US" w:eastAsia="en-GB" w:bidi="ar-SA"/>
        </w:rPr>
        <w:t>By providing a validity period, the function caller indicates a specific amount of time to the function provider to process the function. The function caller has to ensure that the provided validity period is long enough so that the function provider is able to properly perform the requested function.</w:t>
      </w:r>
    </w:p>
    <w:p w14:paraId="3DFFE0B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As a consequence, during this validity period, the function caller SHALL NOT issue the same request again as it might generate duplicate execution steps within the function provider system.</w:t>
      </w:r>
    </w:p>
    <w:p w14:paraId="1C5D7D5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After the end of the validity period, the function provider SHALL no longer continue with new execution steps. It is only mandated to tell the function caller that the function processing has expired. It is then the caller responsibility to either:</w:t>
      </w:r>
    </w:p>
    <w:p w14:paraId="499F364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Request the same function again,</w:t>
      </w:r>
    </w:p>
    <w:p w14:paraId="7BF2CF7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Or simply abandon the overall process into which the function was called.</w:t>
      </w:r>
    </w:p>
    <w:tbl>
      <w:tblPr>
        <w:tblpPr w:leftFromText="180" w:rightFromText="180" w:vertAnchor="text" w:tblpY="232"/>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81"/>
        <w:gridCol w:w="6384"/>
        <w:gridCol w:w="639"/>
        <w:gridCol w:w="398"/>
        <w:gridCol w:w="514"/>
      </w:tblGrid>
      <w:tr w:rsidR="00B97365" w14:paraId="6199B8A6" w14:textId="77777777">
        <w:trPr>
          <w:cantSplit/>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D0DB125" w14:textId="77777777" w:rsidR="00B97365" w:rsidRDefault="00000000">
            <w:pPr>
              <w:jc w:val="center"/>
              <w:rPr>
                <w:rFonts w:cs="Calibri"/>
                <w:b/>
                <w:color w:val="FFFFFF"/>
                <w:sz w:val="16"/>
                <w:szCs w:val="16"/>
              </w:rPr>
            </w:pPr>
            <w:bookmarkStart w:id="3159" w:name="_Toc345955210"/>
            <w:bookmarkStart w:id="3160" w:name="_Toc352671572"/>
            <w:bookmarkEnd w:id="3158"/>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15192D1"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179FC25"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FCAF554"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8326D59"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2BDE9B1"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614D9B2C" w14:textId="77777777" w:rsidR="00B97365" w:rsidRDefault="00000000">
            <w:pPr>
              <w:rPr>
                <w:rFonts w:cs="Calibri"/>
                <w:sz w:val="16"/>
                <w:szCs w:val="16"/>
              </w:rPr>
            </w:pPr>
            <w:r>
              <w:rPr>
                <w:rFonts w:cs="Calibri"/>
                <w:sz w:val="16"/>
                <w:szCs w:val="16"/>
              </w:rPr>
              <w:t>Function Requester Identifier</w:t>
            </w:r>
          </w:p>
        </w:tc>
        <w:tc>
          <w:tcPr>
            <w:tcW w:w="0" w:type="auto"/>
            <w:tcBorders>
              <w:top w:val="single" w:sz="6" w:space="0" w:color="auto"/>
              <w:left w:val="single" w:sz="6" w:space="0" w:color="auto"/>
              <w:bottom w:val="single" w:sz="6" w:space="0" w:color="auto"/>
              <w:right w:val="single" w:sz="6" w:space="0" w:color="auto"/>
            </w:tcBorders>
            <w:vAlign w:val="center"/>
            <w:hideMark/>
          </w:tcPr>
          <w:p w14:paraId="7946C77D" w14:textId="77777777" w:rsidR="00B97365" w:rsidRDefault="00000000">
            <w:pPr>
              <w:rPr>
                <w:rFonts w:cs="Calibri"/>
                <w:sz w:val="16"/>
                <w:szCs w:val="16"/>
              </w:rPr>
            </w:pPr>
            <w:r>
              <w:rPr>
                <w:rFonts w:cs="Calibri"/>
                <w:sz w:val="16"/>
                <w:szCs w:val="16"/>
              </w:rPr>
              <w:t>Identification of the function requester.</w:t>
            </w:r>
          </w:p>
        </w:tc>
        <w:tc>
          <w:tcPr>
            <w:tcW w:w="0" w:type="auto"/>
            <w:tcBorders>
              <w:top w:val="single" w:sz="6" w:space="0" w:color="auto"/>
              <w:left w:val="single" w:sz="6" w:space="0" w:color="auto"/>
              <w:bottom w:val="single" w:sz="6" w:space="0" w:color="auto"/>
              <w:right w:val="single" w:sz="6" w:space="0" w:color="auto"/>
            </w:tcBorders>
            <w:vAlign w:val="center"/>
            <w:hideMark/>
          </w:tcPr>
          <w:p w14:paraId="2B6004D1" w14:textId="77777777" w:rsidR="00B97365" w:rsidRDefault="00000000">
            <w:pPr>
              <w:rPr>
                <w:rFonts w:cs="Calibri"/>
                <w:sz w:val="16"/>
                <w:szCs w:val="16"/>
              </w:rPr>
            </w:pPr>
            <w:r>
              <w:rPr>
                <w:rFonts w:cs="Calibri"/>
                <w:sz w:val="16"/>
                <w:szCs w:val="16"/>
              </w:rPr>
              <w:t>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1DA589E3"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2A799A3" w14:textId="77777777" w:rsidR="00B97365" w:rsidRDefault="00000000">
            <w:pPr>
              <w:jc w:val="center"/>
              <w:rPr>
                <w:rFonts w:cs="Calibri"/>
                <w:sz w:val="16"/>
                <w:szCs w:val="16"/>
              </w:rPr>
            </w:pPr>
            <w:r>
              <w:rPr>
                <w:rFonts w:cs="Calibri"/>
                <w:sz w:val="16"/>
                <w:szCs w:val="16"/>
              </w:rPr>
              <w:t>M</w:t>
            </w:r>
          </w:p>
        </w:tc>
      </w:tr>
      <w:tr w:rsidR="00B97365" w14:paraId="382C76F6"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6ABAFF4B" w14:textId="77777777" w:rsidR="00B97365" w:rsidRDefault="00000000">
            <w:pPr>
              <w:rPr>
                <w:rFonts w:cs="Calibri"/>
                <w:sz w:val="16"/>
                <w:szCs w:val="16"/>
              </w:rPr>
            </w:pPr>
            <w:r>
              <w:rPr>
                <w:rFonts w:cs="Calibri"/>
                <w:sz w:val="16"/>
                <w:szCs w:val="16"/>
              </w:rPr>
              <w:t>Function Call Identifier</w:t>
            </w:r>
          </w:p>
        </w:tc>
        <w:tc>
          <w:tcPr>
            <w:tcW w:w="0" w:type="auto"/>
            <w:tcBorders>
              <w:top w:val="single" w:sz="6" w:space="0" w:color="auto"/>
              <w:left w:val="single" w:sz="6" w:space="0" w:color="auto"/>
              <w:bottom w:val="single" w:sz="6" w:space="0" w:color="auto"/>
              <w:right w:val="single" w:sz="6" w:space="0" w:color="auto"/>
            </w:tcBorders>
            <w:vAlign w:val="center"/>
            <w:hideMark/>
          </w:tcPr>
          <w:p w14:paraId="22E0D1D7" w14:textId="77777777" w:rsidR="00B97365" w:rsidRDefault="00000000">
            <w:pPr>
              <w:rPr>
                <w:rFonts w:cs="Calibri"/>
                <w:sz w:val="16"/>
                <w:szCs w:val="16"/>
              </w:rPr>
            </w:pPr>
            <w:r>
              <w:rPr>
                <w:rFonts w:cs="Calibri"/>
                <w:sz w:val="16"/>
                <w:szCs w:val="16"/>
              </w:rPr>
              <w:t>Identification of the function call.</w:t>
            </w:r>
          </w:p>
          <w:p w14:paraId="25DEE6AB" w14:textId="77777777" w:rsidR="00B97365" w:rsidRDefault="00000000">
            <w:pPr>
              <w:rPr>
                <w:rFonts w:cs="Calibri"/>
                <w:sz w:val="16"/>
                <w:szCs w:val="16"/>
              </w:rPr>
            </w:pPr>
            <w:r>
              <w:rPr>
                <w:rFonts w:cs="Calibri"/>
                <w:sz w:val="16"/>
                <w:szCs w:val="16"/>
              </w:rPr>
              <w:t>This identifier enables to manage function call retry policies.</w:t>
            </w:r>
          </w:p>
          <w:p w14:paraId="7344057C" w14:textId="77777777" w:rsidR="00B97365" w:rsidRDefault="00000000">
            <w:pPr>
              <w:rPr>
                <w:rFonts w:cs="Calibri"/>
                <w:sz w:val="16"/>
                <w:szCs w:val="16"/>
              </w:rPr>
            </w:pPr>
            <w:r>
              <w:rPr>
                <w:rFonts w:cs="Calibri"/>
                <w:sz w:val="16"/>
                <w:szCs w:val="16"/>
              </w:rPr>
              <w:t>When requesting for the execution of a function, the function caller SHALL provide a unique Function Call Identifier. Uniqueness is to be ensured in its own perimeter.</w:t>
            </w:r>
          </w:p>
          <w:p w14:paraId="13935E4F" w14:textId="77777777" w:rsidR="00B97365" w:rsidRDefault="00000000">
            <w:pPr>
              <w:rPr>
                <w:rFonts w:cs="Calibri"/>
                <w:sz w:val="16"/>
                <w:szCs w:val="16"/>
              </w:rPr>
            </w:pPr>
            <w:r>
              <w:rPr>
                <w:rFonts w:cs="Calibri"/>
                <w:sz w:val="16"/>
                <w:szCs w:val="16"/>
              </w:rPr>
              <w:t>In case the function caller wants to retry the same function, then it SHALL perform the same function call, providing the same Function Call Identifier.</w:t>
            </w:r>
          </w:p>
          <w:p w14:paraId="1795C4B5" w14:textId="77777777" w:rsidR="00B97365" w:rsidRDefault="00000000">
            <w:pPr>
              <w:rPr>
                <w:rFonts w:cs="Calibri"/>
                <w:sz w:val="16"/>
                <w:szCs w:val="16"/>
              </w:rPr>
            </w:pPr>
            <w:r>
              <w:rPr>
                <w:rFonts w:cs="Calibri"/>
                <w:sz w:val="16"/>
                <w:szCs w:val="16"/>
              </w:rPr>
              <w:lastRenderedPageBreak/>
              <w:t>On function provider side, when receiving this retry attempt, if a call to a function if performed with an Function Call Identifier of a function already in process in its system, then the function provider SHALL refuse the new call</w:t>
            </w:r>
          </w:p>
          <w:p w14:paraId="67A81C95" w14:textId="77777777" w:rsidR="00B97365" w:rsidRDefault="00000000">
            <w:pPr>
              <w:rPr>
                <w:rFonts w:cs="Calibri"/>
                <w:sz w:val="16"/>
                <w:szCs w:val="16"/>
              </w:rPr>
            </w:pPr>
            <w:r>
              <w:rPr>
                <w:rFonts w:cs="Calibri"/>
                <w:sz w:val="16"/>
                <w:szCs w:val="16"/>
              </w:rPr>
              <w:t>If the function provider does not want to implement any retry Policy, then it might ignore this field.</w:t>
            </w:r>
          </w:p>
          <w:p w14:paraId="375D6F40" w14:textId="77777777" w:rsidR="00B97365" w:rsidRDefault="00000000">
            <w:pPr>
              <w:rPr>
                <w:rFonts w:cs="Calibri"/>
                <w:sz w:val="16"/>
                <w:szCs w:val="16"/>
              </w:rPr>
            </w:pPr>
            <w:r>
              <w:rPr>
                <w:rFonts w:cs="Calibri"/>
                <w:sz w:val="16"/>
                <w:szCs w:val="16"/>
              </w:rPr>
              <w:t>The Function Call identifier is only mandatory for request-response functions. It SHALL NOT be present for notification functions.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1681AC0A" w14:textId="77777777" w:rsidR="00B97365" w:rsidRDefault="00000000">
            <w:pPr>
              <w:rPr>
                <w:rFonts w:cs="Calibri"/>
                <w:sz w:val="16"/>
                <w:szCs w:val="16"/>
              </w:rPr>
            </w:pPr>
            <w:r>
              <w:rPr>
                <w:rFonts w:cs="Calibri"/>
                <w:sz w:val="16"/>
                <w:szCs w:val="16"/>
              </w:rPr>
              <w:lastRenderedPageBreak/>
              <w:t>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07B1C18B"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95AB708" w14:textId="77777777" w:rsidR="00B97365" w:rsidRDefault="00000000">
            <w:pPr>
              <w:jc w:val="center"/>
              <w:rPr>
                <w:rFonts w:cs="Calibri"/>
                <w:sz w:val="16"/>
                <w:szCs w:val="16"/>
              </w:rPr>
            </w:pPr>
            <w:r>
              <w:rPr>
                <w:rFonts w:cs="Calibri"/>
                <w:sz w:val="16"/>
                <w:szCs w:val="16"/>
              </w:rPr>
              <w:t>C</w:t>
            </w:r>
          </w:p>
        </w:tc>
      </w:tr>
      <w:tr w:rsidR="00B97365" w14:paraId="601B50EB" w14:textId="77777777">
        <w:trPr>
          <w:cantSplit/>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1CDC9908" w14:textId="77777777" w:rsidR="00B97365" w:rsidRDefault="00000000">
            <w:pPr>
              <w:rPr>
                <w:rFonts w:cs="Calibri"/>
                <w:sz w:val="16"/>
                <w:szCs w:val="16"/>
              </w:rPr>
            </w:pPr>
            <w:r>
              <w:rPr>
                <w:rFonts w:cs="Calibri"/>
                <w:sz w:val="16"/>
                <w:szCs w:val="16"/>
              </w:rPr>
              <w:t>Validity Period</w:t>
            </w:r>
          </w:p>
        </w:tc>
        <w:tc>
          <w:tcPr>
            <w:tcW w:w="0" w:type="auto"/>
            <w:tcBorders>
              <w:top w:val="single" w:sz="6" w:space="0" w:color="auto"/>
              <w:left w:val="single" w:sz="6" w:space="0" w:color="auto"/>
              <w:bottom w:val="single" w:sz="4" w:space="0" w:color="auto"/>
              <w:right w:val="single" w:sz="6" w:space="0" w:color="auto"/>
            </w:tcBorders>
            <w:vAlign w:val="center"/>
          </w:tcPr>
          <w:p w14:paraId="55E77D54" w14:textId="77777777" w:rsidR="00B97365" w:rsidRDefault="00000000">
            <w:pPr>
              <w:rPr>
                <w:rFonts w:cs="Calibri"/>
                <w:sz w:val="16"/>
                <w:szCs w:val="16"/>
              </w:rPr>
            </w:pPr>
            <w:r>
              <w:rPr>
                <w:rFonts w:cs="Calibri"/>
                <w:sz w:val="16"/>
                <w:szCs w:val="16"/>
              </w:rPr>
              <w:t xml:space="preserve">This field defines the length of the period (provided as a </w:t>
            </w:r>
            <w:r>
              <w:rPr>
                <w:rFonts w:cs="Calibri"/>
                <w:b/>
                <w:sz w:val="16"/>
                <w:szCs w:val="16"/>
              </w:rPr>
              <w:t>number of seconds</w:t>
            </w:r>
            <w:r>
              <w:rPr>
                <w:rFonts w:cs="Calibri"/>
                <w:sz w:val="16"/>
                <w:szCs w:val="16"/>
              </w:rPr>
              <w:t>) during which the request is valid. The period starts at the time the function call was received by the function provider and ends a number of seconds later. During this period of time, the function provider has the responsibility to execute the function.</w:t>
            </w:r>
          </w:p>
          <w:p w14:paraId="2CBFECEA" w14:textId="77777777" w:rsidR="00B97365" w:rsidRDefault="00000000">
            <w:pPr>
              <w:rPr>
                <w:rFonts w:cs="Calibri"/>
                <w:sz w:val="16"/>
                <w:szCs w:val="16"/>
              </w:rPr>
            </w:pPr>
            <w:r>
              <w:rPr>
                <w:rFonts w:cs="Calibri"/>
                <w:sz w:val="16"/>
                <w:szCs w:val="16"/>
              </w:rPr>
              <w:t>When a validity period is provided in the function call, the function provider, on reception of the function call, SHALL either:</w:t>
            </w:r>
          </w:p>
          <w:p w14:paraId="59F087FA" w14:textId="77777777" w:rsidR="00B97365" w:rsidRDefault="00000000">
            <w:pPr>
              <w:numPr>
                <w:ilvl w:val="0"/>
                <w:numId w:val="20"/>
              </w:numPr>
              <w:rPr>
                <w:rFonts w:cs="Calibri"/>
                <w:sz w:val="16"/>
                <w:szCs w:val="16"/>
              </w:rPr>
            </w:pPr>
            <w:r>
              <w:rPr>
                <w:rFonts w:cs="Calibri"/>
                <w:b/>
                <w:sz w:val="16"/>
                <w:szCs w:val="16"/>
              </w:rPr>
              <w:t xml:space="preserve">Accept </w:t>
            </w:r>
            <w:r>
              <w:rPr>
                <w:rFonts w:cs="Calibri"/>
                <w:sz w:val="16"/>
                <w:szCs w:val="16"/>
              </w:rPr>
              <w:t>the function call: in that case the function provider accepts the provided validity period</w:t>
            </w:r>
          </w:p>
          <w:p w14:paraId="7B9D59C8" w14:textId="77777777" w:rsidR="00B97365" w:rsidRDefault="00000000">
            <w:pPr>
              <w:ind w:left="360"/>
              <w:rPr>
                <w:rFonts w:cs="Calibri"/>
                <w:sz w:val="16"/>
                <w:szCs w:val="16"/>
              </w:rPr>
            </w:pPr>
            <w:r>
              <w:rPr>
                <w:rFonts w:cs="Calibri"/>
                <w:sz w:val="16"/>
                <w:szCs w:val="16"/>
              </w:rPr>
              <w:t>or</w:t>
            </w:r>
          </w:p>
          <w:p w14:paraId="5E8A574C" w14:textId="77777777" w:rsidR="00B97365" w:rsidRDefault="00000000">
            <w:pPr>
              <w:numPr>
                <w:ilvl w:val="0"/>
                <w:numId w:val="20"/>
              </w:numPr>
              <w:rPr>
                <w:rFonts w:cs="Calibri"/>
                <w:sz w:val="16"/>
                <w:szCs w:val="16"/>
              </w:rPr>
            </w:pPr>
            <w:r>
              <w:rPr>
                <w:rFonts w:cs="Calibri"/>
                <w:b/>
                <w:sz w:val="16"/>
                <w:szCs w:val="16"/>
              </w:rPr>
              <w:t>Reject</w:t>
            </w:r>
            <w:r>
              <w:rPr>
                <w:rFonts w:cs="Calibri"/>
                <w:sz w:val="16"/>
                <w:szCs w:val="16"/>
              </w:rPr>
              <w:t xml:space="preserve"> the function call: if the function provider immediately considers that the validity period is invalid (for example too long or too short) or cannot fulfil the requirements (i.e. cannot start the sequence of operations so that all of the operations are completed within the validity period), it SHALL NOT process the function and SHALL immediately return a Function Execution Status output parameter with a Status field set to 'Failed' and a Subject code and Reason code of the Status Code Data field set to 'Validity Period not accepted'.</w:t>
            </w:r>
            <w:r>
              <w:rPr>
                <w:rFonts w:cs="Calibri"/>
                <w:sz w:val="16"/>
                <w:szCs w:val="16"/>
              </w:rPr>
              <w:br/>
              <w:t>The function provider SHALL also indicate to the function caller an acceptable amount of time into which the request could be fulfilled, by setting the Acceptable Validity Period field in the output header.</w:t>
            </w:r>
          </w:p>
          <w:p w14:paraId="7C43F25F" w14:textId="77777777" w:rsidR="00B97365" w:rsidRDefault="00B97365">
            <w:pPr>
              <w:rPr>
                <w:rFonts w:cs="Calibri"/>
                <w:sz w:val="16"/>
                <w:szCs w:val="16"/>
              </w:rPr>
            </w:pPr>
          </w:p>
          <w:p w14:paraId="55B618B4" w14:textId="77777777" w:rsidR="00B97365" w:rsidRDefault="00000000">
            <w:pPr>
              <w:rPr>
                <w:rFonts w:cs="Calibri"/>
                <w:sz w:val="16"/>
                <w:szCs w:val="16"/>
              </w:rPr>
            </w:pPr>
            <w:r>
              <w:rPr>
                <w:rFonts w:cs="Calibri"/>
                <w:sz w:val="16"/>
                <w:szCs w:val="16"/>
              </w:rPr>
              <w:t>The Validity Period is only present (but optional) for request-response functions. If not specified, the function caller doesn’t require any specific validity period. Nevertheless the function provider is free to apply any internal rule to restrict the validity period (it could be the case to ensure that a function request will never stay stacked in the system).  In that case the function provider SHALL indicate to the function caller the applied validity period value in the Acceptable Validity Period field in the output header.</w:t>
            </w:r>
          </w:p>
          <w:p w14:paraId="45DE8456" w14:textId="77777777" w:rsidR="00B97365" w:rsidRDefault="00000000">
            <w:pPr>
              <w:rPr>
                <w:rFonts w:cs="Calibri"/>
                <w:sz w:val="16"/>
                <w:szCs w:val="16"/>
              </w:rPr>
            </w:pPr>
            <w:r>
              <w:rPr>
                <w:rFonts w:cs="Calibri"/>
                <w:sz w:val="16"/>
                <w:szCs w:val="16"/>
              </w:rPr>
              <w:t>The Validity Period SHALL NOT be present for notification functions.</w:t>
            </w:r>
          </w:p>
        </w:tc>
        <w:tc>
          <w:tcPr>
            <w:tcW w:w="0" w:type="auto"/>
            <w:tcBorders>
              <w:top w:val="single" w:sz="6" w:space="0" w:color="auto"/>
              <w:left w:val="single" w:sz="6" w:space="0" w:color="auto"/>
              <w:bottom w:val="single" w:sz="4" w:space="0" w:color="auto"/>
              <w:right w:val="single" w:sz="6" w:space="0" w:color="auto"/>
            </w:tcBorders>
            <w:vAlign w:val="center"/>
            <w:hideMark/>
          </w:tcPr>
          <w:p w14:paraId="0487B402" w14:textId="77777777" w:rsidR="00B97365" w:rsidRDefault="00000000">
            <w:pPr>
              <w:rPr>
                <w:rFonts w:cs="Calibri"/>
                <w:sz w:val="16"/>
                <w:szCs w:val="16"/>
              </w:rPr>
            </w:pPr>
            <w:r>
              <w:rPr>
                <w:rFonts w:cs="Calibri"/>
                <w:sz w:val="16"/>
                <w:szCs w:val="16"/>
              </w:rPr>
              <w:t>Integer</w:t>
            </w:r>
          </w:p>
        </w:tc>
        <w:tc>
          <w:tcPr>
            <w:tcW w:w="0" w:type="auto"/>
            <w:tcBorders>
              <w:top w:val="single" w:sz="6" w:space="0" w:color="auto"/>
              <w:left w:val="single" w:sz="6" w:space="0" w:color="auto"/>
              <w:bottom w:val="single" w:sz="4" w:space="0" w:color="auto"/>
              <w:right w:val="single" w:sz="6" w:space="0" w:color="auto"/>
            </w:tcBorders>
            <w:vAlign w:val="center"/>
            <w:hideMark/>
          </w:tcPr>
          <w:p w14:paraId="65115F41"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6803919" w14:textId="77777777" w:rsidR="00B97365" w:rsidRDefault="00000000">
            <w:pPr>
              <w:jc w:val="center"/>
              <w:rPr>
                <w:rFonts w:cs="Calibri"/>
                <w:sz w:val="16"/>
                <w:szCs w:val="16"/>
              </w:rPr>
            </w:pPr>
            <w:r>
              <w:rPr>
                <w:rFonts w:cs="Calibri"/>
                <w:sz w:val="16"/>
                <w:szCs w:val="16"/>
              </w:rPr>
              <w:t>O</w:t>
            </w:r>
          </w:p>
        </w:tc>
      </w:tr>
    </w:tbl>
    <w:p w14:paraId="12FC233C" w14:textId="77777777" w:rsidR="00B97365" w:rsidRDefault="00000000">
      <w:pPr>
        <w:numPr>
          <w:ilvl w:val="0"/>
          <w:numId w:val="14"/>
        </w:numPr>
        <w:tabs>
          <w:tab w:val="left" w:pos="1009"/>
        </w:tabs>
        <w:spacing w:after="200" w:line="276" w:lineRule="auto"/>
        <w:jc w:val="center"/>
        <w:rPr>
          <w:rFonts w:cs="Arial"/>
          <w:b/>
          <w:lang w:eastAsia="de-DE" w:bidi="ar-SA"/>
        </w:rPr>
      </w:pPr>
      <w:bookmarkStart w:id="3161" w:name="_Toc368932271"/>
      <w:r>
        <w:rPr>
          <w:rFonts w:cs="Arial"/>
          <w:b/>
          <w:lang w:eastAsia="de-DE" w:bidi="ar-SA"/>
        </w:rPr>
        <w:t>: Validity Period and Functions Identifier</w:t>
      </w:r>
    </w:p>
    <w:p w14:paraId="6DE082CB"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3162" w:name="_Toc1977339"/>
      <w:bookmarkStart w:id="3163" w:name="_Toc37062498"/>
      <w:r>
        <w:rPr>
          <w:rFonts w:ascii="Arial Bold" w:eastAsia="Times New Roman" w:hAnsi="Arial Bold" w:cs="Arial"/>
          <w:b/>
          <w:iCs/>
          <w:szCs w:val="28"/>
          <w:lang w:eastAsia="en-US"/>
        </w:rPr>
        <w:t>Exceptions</w:t>
      </w:r>
      <w:bookmarkEnd w:id="3159"/>
      <w:bookmarkEnd w:id="3160"/>
      <w:bookmarkEnd w:id="3161"/>
      <w:bookmarkEnd w:id="3162"/>
      <w:bookmarkEnd w:id="3163"/>
    </w:p>
    <w:p w14:paraId="5906A95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During the processing of a function, an unexpected behaviour may happen. This event, called an exception in this specification, may cause the function to be ended before the functional work to be completed (the exception is then considered as an error), or may let the functional work continue, but under specific conditions (the exception is then called a warning).</w:t>
      </w:r>
    </w:p>
    <w:p w14:paraId="6F9A872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is the function provider’s responsibility to give information on any exception encountered during the processing of a function; however the behaviour of the function caller when receiving this exception may depend on its own context (for example stop its current processing, or perform a retry attempt, or try a workaround processing, etc.)</w:t>
      </w:r>
    </w:p>
    <w:p w14:paraId="163EDCC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164" w:name="_Toc448998249"/>
      <w:bookmarkStart w:id="3165" w:name="_Toc422150725"/>
      <w:bookmarkStart w:id="3166" w:name="_Toc421874310"/>
      <w:bookmarkStart w:id="3167" w:name="_Toc420594689"/>
      <w:bookmarkStart w:id="3168" w:name="_Toc398214851"/>
      <w:bookmarkStart w:id="3169" w:name="_Toc375158267"/>
      <w:bookmarkStart w:id="3170" w:name="_Toc368932272"/>
      <w:bookmarkStart w:id="3171" w:name="_Toc345955211"/>
      <w:bookmarkStart w:id="3172" w:name="_Toc352671573"/>
      <w:bookmarkStart w:id="3173" w:name="_Toc486332867"/>
      <w:bookmarkStart w:id="3174" w:name="_Toc1977340"/>
      <w:bookmarkStart w:id="3175" w:name="_Toc37062499"/>
      <w:bookmarkStart w:id="3176" w:name="_Toc88839577"/>
      <w:bookmarkStart w:id="3177" w:name="_Toc121503985"/>
      <w:r>
        <w:rPr>
          <w:rFonts w:eastAsia="Times New Roman" w:cs="Arial"/>
          <w:b/>
          <w:sz w:val="24"/>
          <w:szCs w:val="26"/>
          <w:lang w:eastAsia="en-US"/>
        </w:rPr>
        <w:t>Notification Handler function</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04A76AA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In some cases, functions are considered as notifications as they functionally correspond to events sent from one Role to another. If so, the Role that generates the notification is called the notification source or the notifier, and the Role that receives the notification is called the notification destination or the notification recipient or notification handler. </w:t>
      </w:r>
    </w:p>
    <w:bookmarkStart w:id="3178" w:name="_MON_1333970031"/>
    <w:bookmarkEnd w:id="3178"/>
    <w:p w14:paraId="25B22A6F" w14:textId="77777777" w:rsidR="00B97365" w:rsidRDefault="00000000">
      <w:pPr>
        <w:keepNext/>
        <w:jc w:val="center"/>
        <w:rPr>
          <w:rFonts w:cs="Calibri"/>
        </w:rPr>
      </w:pPr>
      <w:r>
        <w:rPr>
          <w:rFonts w:cs="Calibri"/>
        </w:rPr>
        <w:object w:dxaOrig="4572" w:dyaOrig="2688" w14:anchorId="2FB500CA">
          <v:shape id="_x0000_i1042" type="#_x0000_t75" style="width:227.95pt;height:139.2pt" o:ole="">
            <v:imagedata r:id="rId105" o:title=""/>
          </v:shape>
          <o:OLEObject Type="Embed" ProgID="PowerPoint.Show.8" ShapeID="_x0000_i1042" DrawAspect="Content" ObjectID="_1738512087" r:id="rId106"/>
        </w:object>
      </w:r>
    </w:p>
    <w:p w14:paraId="3F12A18B"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szCs w:val="22"/>
          <w:lang w:val="en-US" w:eastAsia="en-GB" w:bidi="ar-SA"/>
        </w:rPr>
        <w:t xml:space="preserve">: </w:t>
      </w:r>
      <w:r>
        <w:rPr>
          <w:rFonts w:cs="Arial"/>
          <w:b/>
          <w:szCs w:val="22"/>
          <w:lang w:val="en-US" w:eastAsia="en-GB" w:bidi="ar-SA"/>
        </w:rPr>
        <w:t>Notification as One Way Events</w:t>
      </w:r>
    </w:p>
    <w:p w14:paraId="48CC145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By definition, no validity period is applied for a notification, and no data can be returned back by the notification recipient to the notification source.</w:t>
      </w:r>
    </w:p>
    <w:p w14:paraId="5834DB9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Similarly, no exception is expected in the context of a notification.</w:t>
      </w:r>
    </w:p>
    <w:p w14:paraId="7EDA14F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179" w:name="_Toc448998250"/>
      <w:bookmarkStart w:id="3180" w:name="_Toc422150726"/>
      <w:bookmarkStart w:id="3181" w:name="_Toc421874311"/>
      <w:bookmarkStart w:id="3182" w:name="_Toc420594690"/>
      <w:bookmarkStart w:id="3183" w:name="_Toc398214852"/>
      <w:bookmarkStart w:id="3184" w:name="_Toc375158268"/>
      <w:bookmarkStart w:id="3185" w:name="_Toc368932273"/>
      <w:bookmarkStart w:id="3186" w:name="_Ref367976345"/>
      <w:bookmarkStart w:id="3187" w:name="_Ref367976338"/>
      <w:bookmarkStart w:id="3188" w:name="_Ref367976328"/>
      <w:bookmarkStart w:id="3189" w:name="_Ref367976318"/>
      <w:bookmarkStart w:id="3190" w:name="_Ref367975626"/>
      <w:bookmarkStart w:id="3191" w:name="_Ref367973459"/>
      <w:bookmarkStart w:id="3192" w:name="_Ref367972544"/>
      <w:bookmarkStart w:id="3193" w:name="_Ref247713470"/>
      <w:bookmarkStart w:id="3194" w:name="_Toc304390087"/>
      <w:bookmarkStart w:id="3195" w:name="_Toc345955212"/>
      <w:bookmarkStart w:id="3196" w:name="_Toc352671574"/>
      <w:bookmarkStart w:id="3197" w:name="_Toc486332868"/>
      <w:bookmarkStart w:id="3198" w:name="_Toc1977341"/>
      <w:bookmarkStart w:id="3199" w:name="_Toc37062500"/>
      <w:bookmarkStart w:id="3200" w:name="_Toc88839578"/>
      <w:bookmarkStart w:id="3201" w:name="_Toc121503986"/>
      <w:r>
        <w:rPr>
          <w:rFonts w:eastAsia="Times New Roman" w:cs="Arial"/>
          <w:b/>
          <w:bCs/>
          <w:iCs/>
          <w:sz w:val="24"/>
          <w:szCs w:val="26"/>
          <w:lang w:eastAsia="en-US"/>
        </w:rPr>
        <w:t xml:space="preserve">Functions </w:t>
      </w:r>
      <w:r>
        <w:rPr>
          <w:rFonts w:eastAsia="Times New Roman" w:cs="Arial"/>
          <w:b/>
          <w:sz w:val="24"/>
          <w:szCs w:val="26"/>
          <w:lang w:eastAsia="en-US"/>
        </w:rPr>
        <w:t>Input Header</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0F63160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All functions (request-response and notification handler) SHALL include the following header as part of the input data:</w:t>
      </w:r>
    </w:p>
    <w:tbl>
      <w:tblPr>
        <w:tblW w:w="0" w:type="auto"/>
        <w:tblInd w:w="55" w:type="dxa"/>
        <w:tblCellMar>
          <w:left w:w="70" w:type="dxa"/>
          <w:right w:w="70" w:type="dxa"/>
        </w:tblCellMar>
        <w:tblLook w:val="04A0" w:firstRow="1" w:lastRow="0" w:firstColumn="1" w:lastColumn="0" w:noHBand="0" w:noVBand="1"/>
      </w:tblPr>
      <w:tblGrid>
        <w:gridCol w:w="1078"/>
        <w:gridCol w:w="6312"/>
        <w:gridCol w:w="639"/>
        <w:gridCol w:w="398"/>
        <w:gridCol w:w="514"/>
      </w:tblGrid>
      <w:tr w:rsidR="00B97365" w14:paraId="3E8C9AA0" w14:textId="77777777">
        <w:trPr>
          <w:cantSplit/>
          <w:trHeight w:val="342"/>
        </w:trPr>
        <w:tc>
          <w:tcPr>
            <w:tcW w:w="0" w:type="auto"/>
            <w:tcBorders>
              <w:top w:val="single" w:sz="12" w:space="0" w:color="auto"/>
              <w:left w:val="single" w:sz="12" w:space="0" w:color="auto"/>
              <w:bottom w:val="single" w:sz="8" w:space="0" w:color="auto"/>
              <w:right w:val="single" w:sz="4" w:space="0" w:color="auto"/>
            </w:tcBorders>
            <w:shd w:val="clear" w:color="auto" w:fill="C00000"/>
            <w:vAlign w:val="center"/>
            <w:hideMark/>
          </w:tcPr>
          <w:p w14:paraId="675103B3"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12" w:space="0" w:color="auto"/>
              <w:left w:val="nil"/>
              <w:bottom w:val="single" w:sz="8" w:space="0" w:color="auto"/>
              <w:right w:val="single" w:sz="4" w:space="0" w:color="auto"/>
            </w:tcBorders>
            <w:shd w:val="clear" w:color="auto" w:fill="C00000"/>
            <w:vAlign w:val="center"/>
            <w:hideMark/>
          </w:tcPr>
          <w:p w14:paraId="2A07DF38"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12" w:space="0" w:color="auto"/>
              <w:left w:val="nil"/>
              <w:bottom w:val="single" w:sz="8" w:space="0" w:color="auto"/>
              <w:right w:val="single" w:sz="4" w:space="0" w:color="auto"/>
            </w:tcBorders>
            <w:shd w:val="clear" w:color="auto" w:fill="C00000"/>
            <w:vAlign w:val="center"/>
            <w:hideMark/>
          </w:tcPr>
          <w:p w14:paraId="0B0B1E1F"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12" w:space="0" w:color="auto"/>
              <w:left w:val="single" w:sz="8" w:space="0" w:color="auto"/>
              <w:bottom w:val="single" w:sz="8" w:space="0" w:color="auto"/>
              <w:right w:val="single" w:sz="12" w:space="0" w:color="auto"/>
            </w:tcBorders>
            <w:shd w:val="clear" w:color="auto" w:fill="C00000"/>
            <w:vAlign w:val="center"/>
            <w:hideMark/>
          </w:tcPr>
          <w:p w14:paraId="448F3645"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12" w:space="0" w:color="auto"/>
              <w:left w:val="single" w:sz="8" w:space="0" w:color="auto"/>
              <w:bottom w:val="single" w:sz="8" w:space="0" w:color="auto"/>
              <w:right w:val="single" w:sz="12" w:space="0" w:color="auto"/>
            </w:tcBorders>
            <w:shd w:val="clear" w:color="auto" w:fill="C00000"/>
            <w:vAlign w:val="center"/>
            <w:hideMark/>
          </w:tcPr>
          <w:p w14:paraId="4521D8F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AC44222" w14:textId="77777777">
        <w:trPr>
          <w:cantSplit/>
          <w:trHeight w:val="282"/>
        </w:trPr>
        <w:tc>
          <w:tcPr>
            <w:tcW w:w="0" w:type="auto"/>
            <w:tcBorders>
              <w:top w:val="single" w:sz="8" w:space="0" w:color="auto"/>
              <w:left w:val="single" w:sz="12" w:space="0" w:color="auto"/>
              <w:bottom w:val="single" w:sz="8" w:space="0" w:color="auto"/>
              <w:right w:val="single" w:sz="4" w:space="0" w:color="auto"/>
            </w:tcBorders>
            <w:vAlign w:val="center"/>
            <w:hideMark/>
          </w:tcPr>
          <w:p w14:paraId="3314B661" w14:textId="77777777" w:rsidR="00B97365" w:rsidRDefault="00000000">
            <w:pPr>
              <w:rPr>
                <w:rFonts w:cs="Calibri"/>
                <w:sz w:val="16"/>
                <w:szCs w:val="16"/>
              </w:rPr>
            </w:pPr>
            <w:r>
              <w:rPr>
                <w:rFonts w:cs="Calibri"/>
                <w:sz w:val="16"/>
                <w:szCs w:val="16"/>
              </w:rPr>
              <w:t>Function Requester Identifier</w:t>
            </w:r>
          </w:p>
        </w:tc>
        <w:tc>
          <w:tcPr>
            <w:tcW w:w="0" w:type="auto"/>
            <w:tcBorders>
              <w:top w:val="single" w:sz="8" w:space="0" w:color="auto"/>
              <w:left w:val="nil"/>
              <w:bottom w:val="single" w:sz="8" w:space="0" w:color="auto"/>
              <w:right w:val="single" w:sz="4" w:space="0" w:color="auto"/>
            </w:tcBorders>
            <w:vAlign w:val="center"/>
            <w:hideMark/>
          </w:tcPr>
          <w:p w14:paraId="3CA5814D" w14:textId="77777777" w:rsidR="00B97365" w:rsidRDefault="00000000">
            <w:pPr>
              <w:rPr>
                <w:rFonts w:cs="Calibri"/>
                <w:sz w:val="16"/>
                <w:szCs w:val="16"/>
              </w:rPr>
            </w:pPr>
            <w:r>
              <w:rPr>
                <w:rFonts w:cs="Calibri"/>
                <w:sz w:val="16"/>
                <w:szCs w:val="16"/>
              </w:rPr>
              <w:t>Identification of the function requester.</w:t>
            </w:r>
          </w:p>
        </w:tc>
        <w:tc>
          <w:tcPr>
            <w:tcW w:w="0" w:type="auto"/>
            <w:tcBorders>
              <w:top w:val="single" w:sz="8" w:space="0" w:color="auto"/>
              <w:left w:val="nil"/>
              <w:bottom w:val="single" w:sz="8" w:space="0" w:color="auto"/>
              <w:right w:val="single" w:sz="4" w:space="0" w:color="auto"/>
            </w:tcBorders>
            <w:vAlign w:val="center"/>
            <w:hideMark/>
          </w:tcPr>
          <w:p w14:paraId="345E4D8D" w14:textId="77777777" w:rsidR="00B97365" w:rsidRDefault="00000000">
            <w:pPr>
              <w:rPr>
                <w:rFonts w:cs="Calibri"/>
                <w:sz w:val="16"/>
                <w:szCs w:val="16"/>
              </w:rPr>
            </w:pPr>
            <w:r>
              <w:rPr>
                <w:rFonts w:cs="Calibri"/>
                <w:sz w:val="16"/>
                <w:szCs w:val="16"/>
              </w:rPr>
              <w:t>String</w:t>
            </w:r>
          </w:p>
        </w:tc>
        <w:tc>
          <w:tcPr>
            <w:tcW w:w="0" w:type="auto"/>
            <w:tcBorders>
              <w:top w:val="single" w:sz="8" w:space="0" w:color="auto"/>
              <w:left w:val="single" w:sz="8" w:space="0" w:color="auto"/>
              <w:bottom w:val="single" w:sz="8" w:space="0" w:color="auto"/>
              <w:right w:val="single" w:sz="12" w:space="0" w:color="auto"/>
            </w:tcBorders>
            <w:vAlign w:val="center"/>
            <w:hideMark/>
          </w:tcPr>
          <w:p w14:paraId="20D1E740" w14:textId="77777777" w:rsidR="00B97365" w:rsidRDefault="00000000">
            <w:pPr>
              <w:jc w:val="center"/>
              <w:rPr>
                <w:rFonts w:cs="Calibri"/>
                <w:sz w:val="16"/>
                <w:szCs w:val="16"/>
              </w:rPr>
            </w:pPr>
            <w:r>
              <w:rPr>
                <w:rFonts w:cs="Calibri"/>
                <w:sz w:val="16"/>
                <w:szCs w:val="16"/>
              </w:rPr>
              <w:t>1</w:t>
            </w:r>
          </w:p>
        </w:tc>
        <w:tc>
          <w:tcPr>
            <w:tcW w:w="0" w:type="auto"/>
            <w:tcBorders>
              <w:top w:val="single" w:sz="8" w:space="0" w:color="auto"/>
              <w:left w:val="single" w:sz="8" w:space="0" w:color="auto"/>
              <w:bottom w:val="single" w:sz="8" w:space="0" w:color="auto"/>
              <w:right w:val="single" w:sz="12" w:space="0" w:color="auto"/>
            </w:tcBorders>
            <w:vAlign w:val="center"/>
            <w:hideMark/>
          </w:tcPr>
          <w:p w14:paraId="2FA1519A" w14:textId="77777777" w:rsidR="00B97365" w:rsidRDefault="00000000">
            <w:pPr>
              <w:jc w:val="center"/>
              <w:rPr>
                <w:rFonts w:cs="Calibri"/>
                <w:sz w:val="16"/>
                <w:szCs w:val="16"/>
              </w:rPr>
            </w:pPr>
            <w:r>
              <w:rPr>
                <w:rFonts w:cs="Calibri"/>
                <w:sz w:val="16"/>
                <w:szCs w:val="16"/>
              </w:rPr>
              <w:t>M</w:t>
            </w:r>
          </w:p>
        </w:tc>
      </w:tr>
      <w:tr w:rsidR="00B97365" w14:paraId="1AD50170" w14:textId="77777777">
        <w:trPr>
          <w:cantSplit/>
          <w:trHeight w:val="282"/>
        </w:trPr>
        <w:tc>
          <w:tcPr>
            <w:tcW w:w="0" w:type="auto"/>
            <w:tcBorders>
              <w:top w:val="single" w:sz="8" w:space="0" w:color="auto"/>
              <w:left w:val="single" w:sz="12" w:space="0" w:color="auto"/>
              <w:bottom w:val="single" w:sz="8" w:space="0" w:color="auto"/>
              <w:right w:val="single" w:sz="4" w:space="0" w:color="auto"/>
            </w:tcBorders>
            <w:vAlign w:val="center"/>
            <w:hideMark/>
          </w:tcPr>
          <w:p w14:paraId="3629ED3E" w14:textId="77777777" w:rsidR="00B97365" w:rsidRDefault="00000000">
            <w:pPr>
              <w:rPr>
                <w:rFonts w:cs="Calibri"/>
                <w:sz w:val="16"/>
                <w:szCs w:val="16"/>
              </w:rPr>
            </w:pPr>
            <w:r>
              <w:rPr>
                <w:rFonts w:cs="Calibri"/>
                <w:sz w:val="16"/>
                <w:szCs w:val="16"/>
              </w:rPr>
              <w:t>Function Call Identifier</w:t>
            </w:r>
          </w:p>
        </w:tc>
        <w:tc>
          <w:tcPr>
            <w:tcW w:w="0" w:type="auto"/>
            <w:tcBorders>
              <w:top w:val="single" w:sz="8" w:space="0" w:color="auto"/>
              <w:left w:val="nil"/>
              <w:bottom w:val="single" w:sz="8" w:space="0" w:color="auto"/>
              <w:right w:val="single" w:sz="4" w:space="0" w:color="auto"/>
            </w:tcBorders>
            <w:vAlign w:val="center"/>
          </w:tcPr>
          <w:p w14:paraId="017F23AB" w14:textId="77777777" w:rsidR="00B97365" w:rsidRDefault="00000000">
            <w:pPr>
              <w:rPr>
                <w:rFonts w:cs="Calibri"/>
                <w:sz w:val="16"/>
                <w:szCs w:val="16"/>
              </w:rPr>
            </w:pPr>
            <w:r>
              <w:rPr>
                <w:rFonts w:cs="Calibri"/>
                <w:sz w:val="16"/>
                <w:szCs w:val="16"/>
              </w:rPr>
              <w:t>Identification of the function call.</w:t>
            </w:r>
          </w:p>
          <w:p w14:paraId="0587F6D2" w14:textId="77777777" w:rsidR="00B97365" w:rsidRDefault="00000000">
            <w:pPr>
              <w:rPr>
                <w:rFonts w:cs="Calibri"/>
                <w:sz w:val="16"/>
                <w:szCs w:val="16"/>
              </w:rPr>
            </w:pPr>
            <w:r>
              <w:rPr>
                <w:rFonts w:cs="Calibri"/>
                <w:sz w:val="16"/>
                <w:szCs w:val="16"/>
              </w:rPr>
              <w:t>This identifier enables to manage function call retry policies.</w:t>
            </w:r>
          </w:p>
          <w:p w14:paraId="4C148366" w14:textId="77777777" w:rsidR="00B97365" w:rsidRDefault="00000000">
            <w:pPr>
              <w:rPr>
                <w:rFonts w:cs="Calibri"/>
                <w:sz w:val="16"/>
                <w:szCs w:val="16"/>
              </w:rPr>
            </w:pPr>
            <w:r>
              <w:rPr>
                <w:rFonts w:cs="Calibri"/>
                <w:sz w:val="16"/>
                <w:szCs w:val="16"/>
              </w:rPr>
              <w:t>When requesting for the execution of a function, the function caller SHALL provide a unique Function Call Identifier. Uniqueness is to be ensured in its own perimeter.</w:t>
            </w:r>
          </w:p>
          <w:p w14:paraId="4A01AC5D" w14:textId="77777777" w:rsidR="00B97365" w:rsidRDefault="00B97365">
            <w:pPr>
              <w:rPr>
                <w:rFonts w:cs="Calibri"/>
                <w:sz w:val="16"/>
                <w:szCs w:val="16"/>
              </w:rPr>
            </w:pPr>
          </w:p>
          <w:p w14:paraId="3D3E513D" w14:textId="77777777" w:rsidR="00B97365" w:rsidRDefault="00000000">
            <w:pPr>
              <w:rPr>
                <w:rFonts w:cs="Calibri"/>
                <w:sz w:val="16"/>
                <w:szCs w:val="16"/>
              </w:rPr>
            </w:pPr>
            <w:r>
              <w:rPr>
                <w:rFonts w:cs="Calibri"/>
                <w:sz w:val="16"/>
                <w:szCs w:val="16"/>
              </w:rPr>
              <w:t>In case the function caller wants to retry the same function, then it SHALL perform the same function call, providing the same Function Call Identifier.</w:t>
            </w:r>
          </w:p>
          <w:p w14:paraId="1ABF68C1" w14:textId="77777777" w:rsidR="00B97365" w:rsidRDefault="00B97365">
            <w:pPr>
              <w:rPr>
                <w:rFonts w:cs="Calibri"/>
                <w:sz w:val="16"/>
                <w:szCs w:val="16"/>
              </w:rPr>
            </w:pPr>
          </w:p>
          <w:p w14:paraId="3C22748D" w14:textId="77777777" w:rsidR="00B97365" w:rsidRDefault="00000000">
            <w:pPr>
              <w:rPr>
                <w:rFonts w:cs="Calibri"/>
                <w:sz w:val="16"/>
                <w:szCs w:val="16"/>
              </w:rPr>
            </w:pPr>
            <w:r>
              <w:rPr>
                <w:rFonts w:cs="Calibri"/>
                <w:sz w:val="16"/>
                <w:szCs w:val="16"/>
              </w:rPr>
              <w:t>On function provider side, when receiving this retry attempt, if a call to a function if performed with an Function Call Identifier of a function already in process in its system, then the function provider SHALL refuse the new call</w:t>
            </w:r>
          </w:p>
          <w:p w14:paraId="10DE2728" w14:textId="77777777" w:rsidR="00B97365" w:rsidRDefault="00000000">
            <w:pPr>
              <w:rPr>
                <w:rFonts w:cs="Calibri"/>
                <w:sz w:val="16"/>
                <w:szCs w:val="16"/>
              </w:rPr>
            </w:pPr>
            <w:r>
              <w:rPr>
                <w:rFonts w:cs="Calibri"/>
                <w:sz w:val="16"/>
                <w:szCs w:val="16"/>
              </w:rPr>
              <w:t>If the function provider does not want to implement any retry Policy, then it might ignore this field.</w:t>
            </w:r>
          </w:p>
          <w:p w14:paraId="3590EC85" w14:textId="77777777" w:rsidR="00B97365" w:rsidRDefault="00B97365">
            <w:pPr>
              <w:rPr>
                <w:rFonts w:cs="Calibri"/>
                <w:sz w:val="16"/>
                <w:szCs w:val="16"/>
              </w:rPr>
            </w:pPr>
          </w:p>
          <w:p w14:paraId="13CE6CA2" w14:textId="77777777" w:rsidR="00B97365" w:rsidRDefault="00000000">
            <w:pPr>
              <w:rPr>
                <w:rFonts w:cs="Calibri"/>
                <w:sz w:val="16"/>
                <w:szCs w:val="16"/>
              </w:rPr>
            </w:pPr>
            <w:r>
              <w:rPr>
                <w:rFonts w:cs="Calibri"/>
                <w:sz w:val="16"/>
                <w:szCs w:val="16"/>
              </w:rPr>
              <w:t>The Function Call identifier is only mandatory for request-response functions. It SHALL NOT be present for notification functions.</w:t>
            </w:r>
          </w:p>
        </w:tc>
        <w:tc>
          <w:tcPr>
            <w:tcW w:w="0" w:type="auto"/>
            <w:tcBorders>
              <w:top w:val="single" w:sz="8" w:space="0" w:color="auto"/>
              <w:left w:val="nil"/>
              <w:bottom w:val="single" w:sz="8" w:space="0" w:color="auto"/>
              <w:right w:val="single" w:sz="4" w:space="0" w:color="auto"/>
            </w:tcBorders>
            <w:vAlign w:val="center"/>
            <w:hideMark/>
          </w:tcPr>
          <w:p w14:paraId="712A2CCF" w14:textId="77777777" w:rsidR="00B97365" w:rsidRDefault="00000000">
            <w:pPr>
              <w:rPr>
                <w:rFonts w:cs="Calibri"/>
                <w:sz w:val="16"/>
                <w:szCs w:val="16"/>
              </w:rPr>
            </w:pPr>
            <w:r>
              <w:rPr>
                <w:rFonts w:cs="Calibri"/>
                <w:sz w:val="16"/>
                <w:szCs w:val="16"/>
              </w:rPr>
              <w:t>String</w:t>
            </w:r>
          </w:p>
        </w:tc>
        <w:tc>
          <w:tcPr>
            <w:tcW w:w="0" w:type="auto"/>
            <w:tcBorders>
              <w:top w:val="single" w:sz="8" w:space="0" w:color="auto"/>
              <w:left w:val="single" w:sz="8" w:space="0" w:color="auto"/>
              <w:bottom w:val="single" w:sz="8" w:space="0" w:color="auto"/>
              <w:right w:val="single" w:sz="12" w:space="0" w:color="auto"/>
            </w:tcBorders>
            <w:vAlign w:val="center"/>
            <w:hideMark/>
          </w:tcPr>
          <w:p w14:paraId="7A05F69C" w14:textId="77777777" w:rsidR="00B97365" w:rsidRDefault="00000000">
            <w:pPr>
              <w:jc w:val="center"/>
              <w:rPr>
                <w:rFonts w:cs="Calibri"/>
                <w:sz w:val="16"/>
                <w:szCs w:val="16"/>
              </w:rPr>
            </w:pPr>
            <w:r>
              <w:rPr>
                <w:rFonts w:cs="Calibri"/>
                <w:sz w:val="16"/>
                <w:szCs w:val="16"/>
              </w:rPr>
              <w:t>1</w:t>
            </w:r>
          </w:p>
        </w:tc>
        <w:tc>
          <w:tcPr>
            <w:tcW w:w="0" w:type="auto"/>
            <w:tcBorders>
              <w:top w:val="single" w:sz="8" w:space="0" w:color="auto"/>
              <w:left w:val="single" w:sz="8" w:space="0" w:color="auto"/>
              <w:bottom w:val="single" w:sz="8" w:space="0" w:color="auto"/>
              <w:right w:val="single" w:sz="12" w:space="0" w:color="auto"/>
            </w:tcBorders>
            <w:vAlign w:val="center"/>
            <w:hideMark/>
          </w:tcPr>
          <w:p w14:paraId="51D2B0C9" w14:textId="77777777" w:rsidR="00B97365" w:rsidRDefault="00000000">
            <w:pPr>
              <w:jc w:val="center"/>
              <w:rPr>
                <w:rFonts w:cs="Calibri"/>
                <w:sz w:val="16"/>
                <w:szCs w:val="16"/>
              </w:rPr>
            </w:pPr>
            <w:r>
              <w:rPr>
                <w:rFonts w:cs="Calibri"/>
                <w:sz w:val="16"/>
                <w:szCs w:val="16"/>
              </w:rPr>
              <w:t>C</w:t>
            </w:r>
          </w:p>
        </w:tc>
      </w:tr>
      <w:tr w:rsidR="00B97365" w14:paraId="2FA12A32" w14:textId="77777777">
        <w:trPr>
          <w:cantSplit/>
          <w:trHeight w:val="282"/>
        </w:trPr>
        <w:tc>
          <w:tcPr>
            <w:tcW w:w="0" w:type="auto"/>
            <w:tcBorders>
              <w:top w:val="single" w:sz="8" w:space="0" w:color="auto"/>
              <w:left w:val="single" w:sz="12" w:space="0" w:color="auto"/>
              <w:bottom w:val="single" w:sz="12" w:space="0" w:color="auto"/>
              <w:right w:val="single" w:sz="4" w:space="0" w:color="auto"/>
            </w:tcBorders>
            <w:vAlign w:val="center"/>
            <w:hideMark/>
          </w:tcPr>
          <w:p w14:paraId="78A4E72C" w14:textId="77777777" w:rsidR="00B97365" w:rsidRDefault="00000000">
            <w:pPr>
              <w:rPr>
                <w:rFonts w:cs="Calibri"/>
                <w:sz w:val="16"/>
                <w:szCs w:val="16"/>
              </w:rPr>
            </w:pPr>
            <w:r>
              <w:rPr>
                <w:rFonts w:cs="Calibri"/>
                <w:sz w:val="16"/>
                <w:szCs w:val="16"/>
              </w:rPr>
              <w:lastRenderedPageBreak/>
              <w:t>Validity Period</w:t>
            </w:r>
          </w:p>
        </w:tc>
        <w:tc>
          <w:tcPr>
            <w:tcW w:w="0" w:type="auto"/>
            <w:tcBorders>
              <w:top w:val="single" w:sz="8" w:space="0" w:color="auto"/>
              <w:left w:val="nil"/>
              <w:bottom w:val="single" w:sz="12" w:space="0" w:color="auto"/>
              <w:right w:val="single" w:sz="4" w:space="0" w:color="auto"/>
            </w:tcBorders>
            <w:vAlign w:val="center"/>
          </w:tcPr>
          <w:p w14:paraId="694579BE" w14:textId="77777777" w:rsidR="00B97365" w:rsidRDefault="00000000">
            <w:pPr>
              <w:rPr>
                <w:rFonts w:cs="Calibri"/>
                <w:sz w:val="16"/>
                <w:szCs w:val="16"/>
              </w:rPr>
            </w:pPr>
            <w:r>
              <w:rPr>
                <w:rFonts w:cs="Calibri"/>
                <w:sz w:val="16"/>
                <w:szCs w:val="16"/>
              </w:rPr>
              <w:t xml:space="preserve">This field defines the length of the period (provided as a </w:t>
            </w:r>
            <w:r>
              <w:rPr>
                <w:rFonts w:cs="Calibri"/>
                <w:b/>
                <w:sz w:val="16"/>
                <w:szCs w:val="16"/>
              </w:rPr>
              <w:t>number of seconds</w:t>
            </w:r>
            <w:r>
              <w:rPr>
                <w:rFonts w:cs="Calibri"/>
                <w:sz w:val="16"/>
                <w:szCs w:val="16"/>
              </w:rPr>
              <w:t>) during which the request is valid. The period starts at the time the function call was received by the function provider and ends a number of seconds later. During this period of time, the function provider has the responsibility to execute the function.</w:t>
            </w:r>
          </w:p>
          <w:p w14:paraId="295C6A7B" w14:textId="77777777" w:rsidR="00B97365" w:rsidRDefault="00B97365">
            <w:pPr>
              <w:rPr>
                <w:rFonts w:cs="Calibri"/>
                <w:sz w:val="16"/>
                <w:szCs w:val="16"/>
              </w:rPr>
            </w:pPr>
          </w:p>
          <w:p w14:paraId="596DBF35" w14:textId="77777777" w:rsidR="00B97365" w:rsidRDefault="00000000">
            <w:pPr>
              <w:rPr>
                <w:rFonts w:cs="Calibri"/>
                <w:sz w:val="16"/>
                <w:szCs w:val="16"/>
              </w:rPr>
            </w:pPr>
            <w:r>
              <w:rPr>
                <w:rFonts w:cs="Calibri"/>
                <w:sz w:val="16"/>
                <w:szCs w:val="16"/>
              </w:rPr>
              <w:t>The function provider, on reception of the function call, MAY:</w:t>
            </w:r>
          </w:p>
          <w:p w14:paraId="624D3BE1" w14:textId="77777777" w:rsidR="00B97365" w:rsidRDefault="00000000">
            <w:pPr>
              <w:numPr>
                <w:ilvl w:val="0"/>
                <w:numId w:val="20"/>
              </w:numPr>
              <w:rPr>
                <w:rFonts w:cs="Calibri"/>
                <w:sz w:val="16"/>
                <w:szCs w:val="16"/>
              </w:rPr>
            </w:pPr>
            <w:r>
              <w:rPr>
                <w:rFonts w:cs="Calibri"/>
                <w:b/>
                <w:sz w:val="16"/>
                <w:szCs w:val="16"/>
              </w:rPr>
              <w:t xml:space="preserve">Accept </w:t>
            </w:r>
            <w:r>
              <w:rPr>
                <w:rFonts w:cs="Calibri"/>
                <w:sz w:val="16"/>
                <w:szCs w:val="16"/>
              </w:rPr>
              <w:t>the function call: in that case the function provider accepts the provided validity period</w:t>
            </w:r>
          </w:p>
          <w:p w14:paraId="47FF0898" w14:textId="77777777" w:rsidR="00B97365" w:rsidRDefault="00000000">
            <w:pPr>
              <w:numPr>
                <w:ilvl w:val="0"/>
                <w:numId w:val="20"/>
              </w:numPr>
              <w:rPr>
                <w:rFonts w:cs="Calibri"/>
                <w:sz w:val="16"/>
                <w:szCs w:val="16"/>
              </w:rPr>
            </w:pPr>
            <w:r>
              <w:rPr>
                <w:rFonts w:cs="Calibri"/>
                <w:b/>
                <w:sz w:val="16"/>
                <w:szCs w:val="16"/>
              </w:rPr>
              <w:t>Reject</w:t>
            </w:r>
            <w:r>
              <w:rPr>
                <w:rFonts w:cs="Calibri"/>
                <w:sz w:val="16"/>
                <w:szCs w:val="16"/>
              </w:rPr>
              <w:t xml:space="preserve"> the function call: if the function provider immediately considers that the validity period is invalid (for example too long or too short) or cannot fulfil the requirements (i.e. cannot start the sequence of operations so that all of the operations are completed within the validity period), it SHALL NOT process the function and SHALL immediately return a Function Execution Status output parameter with a Status field set to 'Failed' and a Subject code and Reason code of the Status Code Data field set to 'Validity Period not accepted'.</w:t>
            </w:r>
            <w:r>
              <w:rPr>
                <w:rFonts w:cs="Calibri"/>
                <w:sz w:val="16"/>
                <w:szCs w:val="16"/>
              </w:rPr>
              <w:br/>
              <w:t>The function provider SHALL also indicate to the function caller an acceptable amount of time into which the request could be fulfilled, by setting the Acceptable Validity Period field in the output header.</w:t>
            </w:r>
          </w:p>
          <w:p w14:paraId="1DF9919A" w14:textId="77777777" w:rsidR="00B97365" w:rsidRDefault="00B97365">
            <w:pPr>
              <w:rPr>
                <w:rFonts w:cs="Calibri"/>
                <w:sz w:val="16"/>
                <w:szCs w:val="16"/>
              </w:rPr>
            </w:pPr>
          </w:p>
          <w:p w14:paraId="0A538762" w14:textId="77777777" w:rsidR="00B97365" w:rsidRDefault="00000000">
            <w:pPr>
              <w:rPr>
                <w:rFonts w:cs="Calibri"/>
                <w:sz w:val="16"/>
                <w:szCs w:val="16"/>
              </w:rPr>
            </w:pPr>
            <w:r>
              <w:rPr>
                <w:rFonts w:cs="Calibri"/>
                <w:sz w:val="16"/>
                <w:szCs w:val="16"/>
              </w:rPr>
              <w:t>The Validity Period is only present (but optional) for request-response functions. If not specified, the function caller doesn’t require any specific validity period. Nevertheless the function provider is free to apply any internal rule to restrict the validity period (it could be the case to ensure that a function request will never stay stacked in the system).  In that case the function provider SHALL indicate to the function caller the applied validity period value in the Acceptable Validity Period field in the output header.</w:t>
            </w:r>
          </w:p>
          <w:p w14:paraId="417D6430" w14:textId="77777777" w:rsidR="00B97365" w:rsidRDefault="00B97365">
            <w:pPr>
              <w:rPr>
                <w:rFonts w:cs="Calibri"/>
                <w:sz w:val="16"/>
                <w:szCs w:val="16"/>
              </w:rPr>
            </w:pPr>
          </w:p>
          <w:p w14:paraId="02795803" w14:textId="77777777" w:rsidR="00B97365" w:rsidRDefault="00000000">
            <w:pPr>
              <w:rPr>
                <w:rFonts w:cs="Calibri"/>
                <w:sz w:val="16"/>
                <w:szCs w:val="16"/>
              </w:rPr>
            </w:pPr>
            <w:r>
              <w:rPr>
                <w:rFonts w:cs="Calibri"/>
                <w:sz w:val="16"/>
                <w:szCs w:val="16"/>
              </w:rPr>
              <w:t>The Validity Period SHALL NOT be present for notification functions.</w:t>
            </w:r>
          </w:p>
        </w:tc>
        <w:tc>
          <w:tcPr>
            <w:tcW w:w="0" w:type="auto"/>
            <w:tcBorders>
              <w:top w:val="single" w:sz="8" w:space="0" w:color="auto"/>
              <w:left w:val="nil"/>
              <w:bottom w:val="single" w:sz="12" w:space="0" w:color="auto"/>
              <w:right w:val="single" w:sz="4" w:space="0" w:color="auto"/>
            </w:tcBorders>
            <w:vAlign w:val="center"/>
            <w:hideMark/>
          </w:tcPr>
          <w:p w14:paraId="04322503" w14:textId="77777777" w:rsidR="00B97365" w:rsidRDefault="00000000">
            <w:pPr>
              <w:rPr>
                <w:rFonts w:cs="Calibri"/>
                <w:sz w:val="16"/>
                <w:szCs w:val="16"/>
              </w:rPr>
            </w:pPr>
            <w:r>
              <w:rPr>
                <w:rFonts w:cs="Calibri"/>
                <w:sz w:val="16"/>
                <w:szCs w:val="16"/>
              </w:rPr>
              <w:t>Integer</w:t>
            </w:r>
          </w:p>
        </w:tc>
        <w:tc>
          <w:tcPr>
            <w:tcW w:w="0" w:type="auto"/>
            <w:tcBorders>
              <w:top w:val="single" w:sz="8" w:space="0" w:color="auto"/>
              <w:left w:val="single" w:sz="8" w:space="0" w:color="auto"/>
              <w:bottom w:val="single" w:sz="12" w:space="0" w:color="auto"/>
              <w:right w:val="single" w:sz="12" w:space="0" w:color="auto"/>
            </w:tcBorders>
            <w:vAlign w:val="center"/>
            <w:hideMark/>
          </w:tcPr>
          <w:p w14:paraId="12C2A73B" w14:textId="77777777" w:rsidR="00B97365" w:rsidRDefault="00000000">
            <w:pPr>
              <w:jc w:val="center"/>
              <w:rPr>
                <w:rFonts w:cs="Calibri"/>
                <w:sz w:val="16"/>
                <w:szCs w:val="16"/>
              </w:rPr>
            </w:pPr>
            <w:r>
              <w:rPr>
                <w:rFonts w:cs="Calibri"/>
                <w:sz w:val="16"/>
                <w:szCs w:val="16"/>
              </w:rPr>
              <w:t>1</w:t>
            </w:r>
          </w:p>
        </w:tc>
        <w:tc>
          <w:tcPr>
            <w:tcW w:w="0" w:type="auto"/>
            <w:tcBorders>
              <w:top w:val="single" w:sz="8" w:space="0" w:color="auto"/>
              <w:left w:val="single" w:sz="8" w:space="0" w:color="auto"/>
              <w:bottom w:val="single" w:sz="12" w:space="0" w:color="auto"/>
              <w:right w:val="single" w:sz="12" w:space="0" w:color="auto"/>
            </w:tcBorders>
            <w:vAlign w:val="center"/>
            <w:hideMark/>
          </w:tcPr>
          <w:p w14:paraId="50964350" w14:textId="77777777" w:rsidR="00B97365" w:rsidRDefault="00000000">
            <w:pPr>
              <w:jc w:val="center"/>
              <w:rPr>
                <w:rFonts w:cs="Calibri"/>
                <w:sz w:val="16"/>
                <w:szCs w:val="16"/>
              </w:rPr>
            </w:pPr>
            <w:r>
              <w:rPr>
                <w:rFonts w:cs="Calibri"/>
                <w:sz w:val="16"/>
                <w:szCs w:val="16"/>
              </w:rPr>
              <w:t>O</w:t>
            </w:r>
          </w:p>
        </w:tc>
      </w:tr>
    </w:tbl>
    <w:p w14:paraId="54DC7EF4" w14:textId="77777777" w:rsidR="00B97365" w:rsidRDefault="00000000">
      <w:pPr>
        <w:numPr>
          <w:ilvl w:val="0"/>
          <w:numId w:val="14"/>
        </w:numPr>
        <w:tabs>
          <w:tab w:val="left" w:pos="1009"/>
        </w:tabs>
        <w:spacing w:after="200" w:line="276" w:lineRule="auto"/>
        <w:ind w:left="357" w:hanging="357"/>
        <w:jc w:val="center"/>
        <w:rPr>
          <w:rFonts w:cs="Arial"/>
          <w:b/>
          <w:lang w:eastAsia="de-DE" w:bidi="ar-SA"/>
        </w:rPr>
      </w:pPr>
      <w:bookmarkStart w:id="3202" w:name="_Toc420594691"/>
      <w:r>
        <w:rPr>
          <w:rFonts w:cs="Arial"/>
          <w:b/>
          <w:lang w:eastAsia="de-DE" w:bidi="ar-SA"/>
        </w:rPr>
        <w:t>: Functions Input Headers</w:t>
      </w:r>
      <w:bookmarkEnd w:id="3202"/>
    </w:p>
    <w:p w14:paraId="29FF38B9" w14:textId="77777777" w:rsidR="00B97365" w:rsidRDefault="00B97365">
      <w:pPr>
        <w:rPr>
          <w:rFonts w:cs="Calibri"/>
        </w:rPr>
      </w:pPr>
    </w:p>
    <w:p w14:paraId="3F2FE22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Additionally to this common header, each function may define its own set of additional input data.</w:t>
      </w:r>
    </w:p>
    <w:p w14:paraId="2B02EC6C"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203" w:name="_Toc352671575"/>
      <w:bookmarkStart w:id="3204" w:name="_Toc345955213"/>
      <w:bookmarkStart w:id="3205" w:name="_Toc448998251"/>
      <w:bookmarkStart w:id="3206" w:name="_Toc422150727"/>
      <w:bookmarkStart w:id="3207" w:name="_Toc421874312"/>
      <w:bookmarkStart w:id="3208" w:name="_Toc420594692"/>
      <w:bookmarkStart w:id="3209" w:name="_Toc398214853"/>
      <w:bookmarkStart w:id="3210" w:name="_Toc375158269"/>
      <w:bookmarkStart w:id="3211" w:name="_Toc368932274"/>
      <w:bookmarkStart w:id="3212" w:name="_Ref367976445"/>
      <w:bookmarkStart w:id="3213" w:name="_Ref367976437"/>
      <w:bookmarkStart w:id="3214" w:name="_Ref367976430"/>
      <w:bookmarkStart w:id="3215" w:name="_Ref367976422"/>
      <w:bookmarkStart w:id="3216" w:name="_Ref367976414"/>
      <w:bookmarkStart w:id="3217" w:name="_Ref367976407"/>
      <w:bookmarkStart w:id="3218" w:name="_Ref367976400"/>
      <w:bookmarkStart w:id="3219" w:name="_Ref367976392"/>
      <w:bookmarkStart w:id="3220" w:name="_Ref367976384"/>
      <w:bookmarkStart w:id="3221" w:name="_Ref367976377"/>
      <w:bookmarkStart w:id="3222" w:name="_Ref367976363"/>
      <w:bookmarkStart w:id="3223" w:name="_Ref367973406"/>
      <w:bookmarkStart w:id="3224" w:name="_Toc486332869"/>
      <w:bookmarkStart w:id="3225" w:name="_Toc1977342"/>
      <w:bookmarkStart w:id="3226" w:name="_Toc37062501"/>
      <w:bookmarkStart w:id="3227" w:name="_Toc88839579"/>
      <w:bookmarkStart w:id="3228" w:name="_Toc121503987"/>
      <w:r>
        <w:rPr>
          <w:rFonts w:eastAsia="Times New Roman" w:cs="Arial"/>
          <w:b/>
          <w:bCs/>
          <w:iCs/>
          <w:sz w:val="24"/>
          <w:szCs w:val="26"/>
          <w:lang w:eastAsia="en-US"/>
        </w:rPr>
        <w:t xml:space="preserve">Functions </w:t>
      </w:r>
      <w:r>
        <w:rPr>
          <w:rFonts w:eastAsia="Times New Roman" w:cs="Arial"/>
          <w:b/>
          <w:sz w:val="24"/>
          <w:szCs w:val="26"/>
          <w:lang w:eastAsia="en-US"/>
        </w:rPr>
        <w:t>Output Header</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14:paraId="2A34BC4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All functions (request-response) SHALL include the following header as part of the output data. Notifications don't have any output data.</w:t>
      </w:r>
    </w:p>
    <w:tbl>
      <w:tblPr>
        <w:tblW w:w="9228"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01"/>
        <w:gridCol w:w="4249"/>
        <w:gridCol w:w="1276"/>
        <w:gridCol w:w="851"/>
        <w:gridCol w:w="851"/>
      </w:tblGrid>
      <w:tr w:rsidR="00B97365" w14:paraId="5FC34EEB" w14:textId="77777777">
        <w:trPr>
          <w:trHeight w:val="342"/>
        </w:trPr>
        <w:tc>
          <w:tcPr>
            <w:tcW w:w="2002"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428EAB5"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425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0C0EA95" w14:textId="77777777" w:rsidR="00B97365" w:rsidRDefault="00000000">
            <w:pPr>
              <w:jc w:val="center"/>
              <w:rPr>
                <w:rFonts w:cs="Calibri"/>
                <w:b/>
                <w:color w:val="FFFFFF"/>
                <w:sz w:val="16"/>
                <w:szCs w:val="16"/>
              </w:rPr>
            </w:pPr>
            <w:r>
              <w:rPr>
                <w:rFonts w:cs="Calibri"/>
                <w:b/>
                <w:color w:val="FFFFFF"/>
                <w:sz w:val="16"/>
                <w:szCs w:val="16"/>
              </w:rPr>
              <w:t>Description</w:t>
            </w:r>
          </w:p>
        </w:tc>
        <w:tc>
          <w:tcPr>
            <w:tcW w:w="127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F44540" w14:textId="77777777" w:rsidR="00B97365" w:rsidRDefault="00000000">
            <w:pPr>
              <w:jc w:val="center"/>
              <w:rPr>
                <w:rFonts w:cs="Calibri"/>
                <w:b/>
                <w:color w:val="FFFFFF"/>
                <w:sz w:val="16"/>
                <w:szCs w:val="16"/>
              </w:rPr>
            </w:pPr>
            <w:r>
              <w:rPr>
                <w:rFonts w:cs="Calibri"/>
                <w:b/>
                <w:color w:val="FFFFFF"/>
                <w:sz w:val="16"/>
                <w:szCs w:val="16"/>
              </w:rPr>
              <w:t>Type</w:t>
            </w:r>
          </w:p>
        </w:tc>
        <w:tc>
          <w:tcPr>
            <w:tcW w:w="85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D116A1D" w14:textId="77777777" w:rsidR="00B97365" w:rsidRDefault="00000000">
            <w:pPr>
              <w:jc w:val="center"/>
              <w:rPr>
                <w:rFonts w:cs="Calibri"/>
                <w:b/>
                <w:color w:val="FFFFFF"/>
                <w:sz w:val="16"/>
                <w:szCs w:val="16"/>
              </w:rPr>
            </w:pPr>
            <w:r>
              <w:rPr>
                <w:rFonts w:cs="Calibri"/>
                <w:b/>
                <w:color w:val="FFFFFF"/>
                <w:sz w:val="16"/>
                <w:szCs w:val="16"/>
              </w:rPr>
              <w:t>No.</w:t>
            </w:r>
          </w:p>
        </w:tc>
        <w:tc>
          <w:tcPr>
            <w:tcW w:w="851"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020A769"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AB0BD96" w14:textId="77777777">
        <w:trPr>
          <w:trHeight w:val="282"/>
        </w:trPr>
        <w:tc>
          <w:tcPr>
            <w:tcW w:w="2002" w:type="dxa"/>
            <w:tcBorders>
              <w:top w:val="single" w:sz="6" w:space="0" w:color="auto"/>
              <w:left w:val="single" w:sz="4" w:space="0" w:color="auto"/>
              <w:bottom w:val="single" w:sz="6" w:space="0" w:color="auto"/>
              <w:right w:val="single" w:sz="6" w:space="0" w:color="auto"/>
            </w:tcBorders>
            <w:vAlign w:val="center"/>
            <w:hideMark/>
          </w:tcPr>
          <w:p w14:paraId="62B77D2A" w14:textId="77777777" w:rsidR="00B97365" w:rsidRDefault="00000000">
            <w:pPr>
              <w:rPr>
                <w:sz w:val="16"/>
                <w:szCs w:val="16"/>
              </w:rPr>
            </w:pPr>
            <w:r>
              <w:rPr>
                <w:rFonts w:ascii="Courier New" w:hAnsi="Courier New" w:cs="Courier New"/>
                <w:sz w:val="16"/>
                <w:szCs w:val="16"/>
              </w:rPr>
              <w:t>Processing Start</w:t>
            </w:r>
          </w:p>
        </w:tc>
        <w:tc>
          <w:tcPr>
            <w:tcW w:w="4250" w:type="dxa"/>
            <w:tcBorders>
              <w:top w:val="single" w:sz="6" w:space="0" w:color="auto"/>
              <w:left w:val="single" w:sz="6" w:space="0" w:color="auto"/>
              <w:bottom w:val="single" w:sz="6" w:space="0" w:color="auto"/>
              <w:right w:val="single" w:sz="6" w:space="0" w:color="auto"/>
            </w:tcBorders>
            <w:vAlign w:val="center"/>
            <w:hideMark/>
          </w:tcPr>
          <w:p w14:paraId="34498E66" w14:textId="77777777" w:rsidR="00B97365" w:rsidRDefault="00000000">
            <w:pPr>
              <w:overflowPunct w:val="0"/>
              <w:autoSpaceDE w:val="0"/>
              <w:autoSpaceDN w:val="0"/>
              <w:adjustRightInd w:val="0"/>
              <w:spacing w:after="180"/>
              <w:rPr>
                <w:rFonts w:cs="Calibri"/>
                <w:sz w:val="16"/>
                <w:szCs w:val="16"/>
              </w:rPr>
            </w:pPr>
            <w:r>
              <w:rPr>
                <w:rFonts w:cs="Calibri"/>
                <w:sz w:val="16"/>
                <w:szCs w:val="16"/>
              </w:rPr>
              <w:t>The start time and date of the real processing of the function by the function provider (and not the time and date of reception of the request).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4E8A63E"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DATETIME</w:t>
            </w:r>
          </w:p>
        </w:tc>
        <w:tc>
          <w:tcPr>
            <w:tcW w:w="851" w:type="dxa"/>
            <w:tcBorders>
              <w:top w:val="single" w:sz="6" w:space="0" w:color="auto"/>
              <w:left w:val="single" w:sz="6" w:space="0" w:color="auto"/>
              <w:bottom w:val="single" w:sz="6" w:space="0" w:color="auto"/>
              <w:right w:val="single" w:sz="6" w:space="0" w:color="auto"/>
            </w:tcBorders>
            <w:vAlign w:val="center"/>
            <w:hideMark/>
          </w:tcPr>
          <w:p w14:paraId="6C3E3B10"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851" w:type="dxa"/>
            <w:tcBorders>
              <w:top w:val="single" w:sz="6" w:space="0" w:color="auto"/>
              <w:left w:val="single" w:sz="6" w:space="0" w:color="auto"/>
              <w:bottom w:val="single" w:sz="6" w:space="0" w:color="auto"/>
              <w:right w:val="single" w:sz="4" w:space="0" w:color="auto"/>
            </w:tcBorders>
            <w:vAlign w:val="center"/>
            <w:hideMark/>
          </w:tcPr>
          <w:p w14:paraId="2A6CCAE7"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O</w:t>
            </w:r>
          </w:p>
        </w:tc>
      </w:tr>
      <w:tr w:rsidR="00B97365" w14:paraId="7B55B21D" w14:textId="77777777">
        <w:trPr>
          <w:trHeight w:val="282"/>
        </w:trPr>
        <w:tc>
          <w:tcPr>
            <w:tcW w:w="2002" w:type="dxa"/>
            <w:tcBorders>
              <w:top w:val="single" w:sz="6" w:space="0" w:color="auto"/>
              <w:left w:val="single" w:sz="4" w:space="0" w:color="auto"/>
              <w:bottom w:val="single" w:sz="6" w:space="0" w:color="auto"/>
              <w:right w:val="single" w:sz="6" w:space="0" w:color="auto"/>
            </w:tcBorders>
            <w:vAlign w:val="center"/>
            <w:hideMark/>
          </w:tcPr>
          <w:p w14:paraId="5965E9C6" w14:textId="77777777" w:rsidR="00B97365" w:rsidRDefault="00000000">
            <w:pPr>
              <w:rPr>
                <w:sz w:val="16"/>
                <w:szCs w:val="16"/>
              </w:rPr>
            </w:pPr>
            <w:r>
              <w:rPr>
                <w:rFonts w:ascii="Courier New" w:hAnsi="Courier New" w:cs="Courier New"/>
                <w:sz w:val="16"/>
                <w:szCs w:val="16"/>
              </w:rPr>
              <w:t>Processing End</w:t>
            </w:r>
          </w:p>
        </w:tc>
        <w:tc>
          <w:tcPr>
            <w:tcW w:w="4250" w:type="dxa"/>
            <w:tcBorders>
              <w:top w:val="single" w:sz="6" w:space="0" w:color="auto"/>
              <w:left w:val="single" w:sz="6" w:space="0" w:color="auto"/>
              <w:bottom w:val="single" w:sz="6" w:space="0" w:color="auto"/>
              <w:right w:val="single" w:sz="6" w:space="0" w:color="auto"/>
            </w:tcBorders>
            <w:vAlign w:val="center"/>
            <w:hideMark/>
          </w:tcPr>
          <w:p w14:paraId="35C6394E" w14:textId="77777777" w:rsidR="00B97365" w:rsidRDefault="00000000">
            <w:pPr>
              <w:overflowPunct w:val="0"/>
              <w:autoSpaceDE w:val="0"/>
              <w:autoSpaceDN w:val="0"/>
              <w:adjustRightInd w:val="0"/>
              <w:spacing w:after="180"/>
              <w:rPr>
                <w:rFonts w:cs="Calibri"/>
                <w:sz w:val="16"/>
                <w:szCs w:val="16"/>
              </w:rPr>
            </w:pPr>
            <w:r>
              <w:rPr>
                <w:rFonts w:cs="Calibri"/>
                <w:sz w:val="16"/>
                <w:szCs w:val="16"/>
              </w:rPr>
              <w:t>The function processing end time and date.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0914027"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DATETIME</w:t>
            </w:r>
          </w:p>
        </w:tc>
        <w:tc>
          <w:tcPr>
            <w:tcW w:w="851" w:type="dxa"/>
            <w:tcBorders>
              <w:top w:val="single" w:sz="6" w:space="0" w:color="auto"/>
              <w:left w:val="single" w:sz="6" w:space="0" w:color="auto"/>
              <w:bottom w:val="single" w:sz="6" w:space="0" w:color="auto"/>
              <w:right w:val="single" w:sz="6" w:space="0" w:color="auto"/>
            </w:tcBorders>
            <w:vAlign w:val="center"/>
            <w:hideMark/>
          </w:tcPr>
          <w:p w14:paraId="2F56D157"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851" w:type="dxa"/>
            <w:tcBorders>
              <w:top w:val="single" w:sz="6" w:space="0" w:color="auto"/>
              <w:left w:val="single" w:sz="6" w:space="0" w:color="auto"/>
              <w:bottom w:val="single" w:sz="6" w:space="0" w:color="auto"/>
              <w:right w:val="single" w:sz="4" w:space="0" w:color="auto"/>
            </w:tcBorders>
            <w:vAlign w:val="center"/>
            <w:hideMark/>
          </w:tcPr>
          <w:p w14:paraId="30A9C0C9"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O</w:t>
            </w:r>
          </w:p>
        </w:tc>
      </w:tr>
      <w:tr w:rsidR="00B97365" w14:paraId="2AC0DD21" w14:textId="77777777">
        <w:trPr>
          <w:trHeight w:val="282"/>
        </w:trPr>
        <w:tc>
          <w:tcPr>
            <w:tcW w:w="2002" w:type="dxa"/>
            <w:tcBorders>
              <w:top w:val="single" w:sz="6" w:space="0" w:color="auto"/>
              <w:left w:val="single" w:sz="4" w:space="0" w:color="auto"/>
              <w:bottom w:val="single" w:sz="6" w:space="0" w:color="auto"/>
              <w:right w:val="single" w:sz="6" w:space="0" w:color="auto"/>
            </w:tcBorders>
            <w:vAlign w:val="center"/>
            <w:hideMark/>
          </w:tcPr>
          <w:p w14:paraId="219EED3C" w14:textId="77777777" w:rsidR="00B97365" w:rsidRDefault="00000000">
            <w:pPr>
              <w:rPr>
                <w:sz w:val="16"/>
                <w:szCs w:val="16"/>
              </w:rPr>
            </w:pPr>
            <w:r>
              <w:rPr>
                <w:rFonts w:ascii="Courier New" w:hAnsi="Courier New" w:cs="Courier New"/>
                <w:sz w:val="16"/>
                <w:szCs w:val="16"/>
              </w:rPr>
              <w:t>Acceptable Validity Period</w:t>
            </w:r>
          </w:p>
        </w:tc>
        <w:tc>
          <w:tcPr>
            <w:tcW w:w="4250" w:type="dxa"/>
            <w:tcBorders>
              <w:top w:val="single" w:sz="6" w:space="0" w:color="auto"/>
              <w:left w:val="single" w:sz="6" w:space="0" w:color="auto"/>
              <w:bottom w:val="single" w:sz="6" w:space="0" w:color="auto"/>
              <w:right w:val="single" w:sz="6" w:space="0" w:color="auto"/>
            </w:tcBorders>
            <w:vAlign w:val="center"/>
          </w:tcPr>
          <w:p w14:paraId="68FFE372" w14:textId="4A3820F4" w:rsidR="00B97365" w:rsidRDefault="00000000">
            <w:pPr>
              <w:rPr>
                <w:rFonts w:cs="Calibri"/>
                <w:sz w:val="16"/>
                <w:szCs w:val="16"/>
              </w:rPr>
            </w:pPr>
            <w:r>
              <w:rPr>
                <w:rFonts w:cs="Calibri"/>
                <w:sz w:val="16"/>
                <w:szCs w:val="16"/>
              </w:rPr>
              <w:t xml:space="preserve">In case the validity period provided as input parameter is not acceptable, then the function provider SHALL return an acceptable value to the function caller (see </w:t>
            </w:r>
            <w:r>
              <w:rPr>
                <w:rFonts w:cs="Calibri"/>
                <w:sz w:val="16"/>
                <w:szCs w:val="16"/>
                <w:lang w:val="en-US"/>
              </w:rPr>
              <w:t xml:space="preserve">section </w:t>
            </w:r>
            <w:r>
              <w:fldChar w:fldCharType="begin"/>
            </w:r>
            <w:r>
              <w:instrText xml:space="preserve"> REF _Ref367973459 \r \h  \* MERGEFORMAT </w:instrText>
            </w:r>
            <w:r>
              <w:fldChar w:fldCharType="separate"/>
            </w:r>
            <w:r w:rsidR="001D5AD9" w:rsidRPr="001D5AD9">
              <w:rPr>
                <w:rFonts w:cs="Calibri"/>
                <w:sz w:val="16"/>
                <w:szCs w:val="16"/>
              </w:rPr>
              <w:t>5.1.4</w:t>
            </w:r>
            <w:r>
              <w:fldChar w:fldCharType="end"/>
            </w:r>
            <w:r>
              <w:rPr>
                <w:rFonts w:cs="Calibri"/>
                <w:sz w:val="16"/>
                <w:szCs w:val="16"/>
              </w:rPr>
              <w:t xml:space="preserve">) as a </w:t>
            </w:r>
            <w:r>
              <w:rPr>
                <w:rFonts w:cs="Calibri"/>
                <w:b/>
                <w:sz w:val="16"/>
                <w:szCs w:val="16"/>
              </w:rPr>
              <w:t>number of seconds</w:t>
            </w:r>
            <w:r>
              <w:rPr>
                <w:rFonts w:cs="Calibri"/>
                <w:sz w:val="16"/>
                <w:szCs w:val="16"/>
              </w:rPr>
              <w:t>.</w:t>
            </w:r>
          </w:p>
          <w:p w14:paraId="3BC585A6" w14:textId="77777777" w:rsidR="00B97365" w:rsidRDefault="00B97365">
            <w:pPr>
              <w:rPr>
                <w:rFonts w:cs="Calibri"/>
                <w:sz w:val="16"/>
                <w:szCs w:val="16"/>
              </w:rPr>
            </w:pPr>
          </w:p>
          <w:p w14:paraId="23A5071A" w14:textId="77777777" w:rsidR="00B97365" w:rsidRDefault="00000000">
            <w:pPr>
              <w:overflowPunct w:val="0"/>
              <w:autoSpaceDE w:val="0"/>
              <w:autoSpaceDN w:val="0"/>
              <w:adjustRightInd w:val="0"/>
              <w:spacing w:after="180"/>
              <w:rPr>
                <w:rFonts w:cs="Calibri"/>
                <w:sz w:val="16"/>
                <w:szCs w:val="16"/>
              </w:rPr>
            </w:pPr>
            <w:r>
              <w:rPr>
                <w:rFonts w:cs="Calibri"/>
                <w:sz w:val="16"/>
                <w:szCs w:val="16"/>
              </w:rPr>
              <w:t>In case the function call has been rejected because of a non acceptable validity period the function caller might then call again the same function with a validity period that is more convenient (but that MAY however differ from the exact value of the Acceptable Validity Period field sent in response to the previous function call).</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D0E231A"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Integer</w:t>
            </w:r>
          </w:p>
        </w:tc>
        <w:tc>
          <w:tcPr>
            <w:tcW w:w="851" w:type="dxa"/>
            <w:tcBorders>
              <w:top w:val="single" w:sz="6" w:space="0" w:color="auto"/>
              <w:left w:val="single" w:sz="6" w:space="0" w:color="auto"/>
              <w:bottom w:val="single" w:sz="6" w:space="0" w:color="auto"/>
              <w:right w:val="single" w:sz="6" w:space="0" w:color="auto"/>
            </w:tcBorders>
            <w:vAlign w:val="center"/>
            <w:hideMark/>
          </w:tcPr>
          <w:p w14:paraId="726547D3"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851" w:type="dxa"/>
            <w:tcBorders>
              <w:top w:val="single" w:sz="6" w:space="0" w:color="auto"/>
              <w:left w:val="single" w:sz="6" w:space="0" w:color="auto"/>
              <w:bottom w:val="single" w:sz="6" w:space="0" w:color="auto"/>
              <w:right w:val="single" w:sz="4" w:space="0" w:color="auto"/>
            </w:tcBorders>
            <w:vAlign w:val="center"/>
            <w:hideMark/>
          </w:tcPr>
          <w:p w14:paraId="32817060"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C</w:t>
            </w:r>
          </w:p>
        </w:tc>
      </w:tr>
      <w:tr w:rsidR="00B97365" w14:paraId="423E5591" w14:textId="77777777">
        <w:trPr>
          <w:trHeight w:val="282"/>
        </w:trPr>
        <w:tc>
          <w:tcPr>
            <w:tcW w:w="2002" w:type="dxa"/>
            <w:tcBorders>
              <w:top w:val="single" w:sz="6" w:space="0" w:color="auto"/>
              <w:left w:val="single" w:sz="4" w:space="0" w:color="auto"/>
              <w:bottom w:val="single" w:sz="4" w:space="0" w:color="auto"/>
              <w:right w:val="single" w:sz="6" w:space="0" w:color="auto"/>
            </w:tcBorders>
            <w:vAlign w:val="center"/>
            <w:hideMark/>
          </w:tcPr>
          <w:p w14:paraId="43F0150D" w14:textId="77777777" w:rsidR="00B97365" w:rsidRDefault="00000000">
            <w:pPr>
              <w:rPr>
                <w:sz w:val="16"/>
                <w:szCs w:val="16"/>
              </w:rPr>
            </w:pPr>
            <w:r>
              <w:rPr>
                <w:rFonts w:ascii="Courier New" w:hAnsi="Courier New" w:cs="Courier New"/>
                <w:sz w:val="16"/>
                <w:szCs w:val="16"/>
              </w:rPr>
              <w:lastRenderedPageBreak/>
              <w:t>Function Execution Status</w:t>
            </w:r>
          </w:p>
        </w:tc>
        <w:tc>
          <w:tcPr>
            <w:tcW w:w="4250" w:type="dxa"/>
            <w:tcBorders>
              <w:top w:val="single" w:sz="6" w:space="0" w:color="auto"/>
              <w:left w:val="single" w:sz="6" w:space="0" w:color="auto"/>
              <w:bottom w:val="single" w:sz="4" w:space="0" w:color="auto"/>
              <w:right w:val="single" w:sz="6" w:space="0" w:color="auto"/>
            </w:tcBorders>
            <w:vAlign w:val="center"/>
            <w:hideMark/>
          </w:tcPr>
          <w:p w14:paraId="6C647A4C" w14:textId="77777777" w:rsidR="00B97365" w:rsidRDefault="00000000">
            <w:pPr>
              <w:rPr>
                <w:rFonts w:cs="Calibri"/>
                <w:sz w:val="16"/>
                <w:szCs w:val="16"/>
              </w:rPr>
            </w:pPr>
            <w:r>
              <w:rPr>
                <w:rFonts w:cs="Calibri"/>
                <w:sz w:val="16"/>
                <w:szCs w:val="16"/>
              </w:rPr>
              <w:t>Indicates whether the processing has been completed correctly or not.</w:t>
            </w:r>
          </w:p>
          <w:p w14:paraId="65B4A8FF" w14:textId="77777777" w:rsidR="00B97365" w:rsidRDefault="00000000">
            <w:pPr>
              <w:rPr>
                <w:rFonts w:cs="Calibri"/>
                <w:sz w:val="16"/>
                <w:szCs w:val="16"/>
              </w:rPr>
            </w:pPr>
            <w:r>
              <w:rPr>
                <w:rFonts w:cs="Calibri"/>
                <w:sz w:val="16"/>
                <w:szCs w:val="16"/>
              </w:rPr>
              <w:t>If required, provides information to give details on the processing result (status code, status code reason, status message…).</w:t>
            </w:r>
          </w:p>
          <w:p w14:paraId="5EC43459" w14:textId="77777777" w:rsidR="00B97365" w:rsidRDefault="00000000">
            <w:pPr>
              <w:overflowPunct w:val="0"/>
              <w:autoSpaceDE w:val="0"/>
              <w:autoSpaceDN w:val="0"/>
              <w:adjustRightInd w:val="0"/>
              <w:spacing w:after="180"/>
              <w:rPr>
                <w:rFonts w:cs="Calibri"/>
                <w:sz w:val="16"/>
                <w:szCs w:val="16"/>
              </w:rPr>
            </w:pPr>
            <w:r>
              <w:rPr>
                <w:rFonts w:cs="Calibri"/>
                <w:sz w:val="16"/>
                <w:szCs w:val="16"/>
              </w:rPr>
              <w:t>The Execution Status type is described below.</w:t>
            </w:r>
          </w:p>
        </w:tc>
        <w:tc>
          <w:tcPr>
            <w:tcW w:w="1276" w:type="dxa"/>
            <w:tcBorders>
              <w:top w:val="single" w:sz="6" w:space="0" w:color="auto"/>
              <w:left w:val="single" w:sz="6" w:space="0" w:color="auto"/>
              <w:bottom w:val="single" w:sz="4" w:space="0" w:color="auto"/>
              <w:right w:val="single" w:sz="6" w:space="0" w:color="auto"/>
            </w:tcBorders>
            <w:vAlign w:val="center"/>
            <w:hideMark/>
          </w:tcPr>
          <w:p w14:paraId="281921E2"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ExecutionStatus</w:t>
            </w:r>
          </w:p>
        </w:tc>
        <w:tc>
          <w:tcPr>
            <w:tcW w:w="851" w:type="dxa"/>
            <w:tcBorders>
              <w:top w:val="single" w:sz="6" w:space="0" w:color="auto"/>
              <w:left w:val="single" w:sz="6" w:space="0" w:color="auto"/>
              <w:bottom w:val="single" w:sz="4" w:space="0" w:color="auto"/>
              <w:right w:val="single" w:sz="6" w:space="0" w:color="auto"/>
            </w:tcBorders>
            <w:vAlign w:val="center"/>
            <w:hideMark/>
          </w:tcPr>
          <w:p w14:paraId="6735B5FD"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851" w:type="dxa"/>
            <w:tcBorders>
              <w:top w:val="single" w:sz="6" w:space="0" w:color="auto"/>
              <w:left w:val="single" w:sz="6" w:space="0" w:color="auto"/>
              <w:bottom w:val="single" w:sz="4" w:space="0" w:color="auto"/>
              <w:right w:val="single" w:sz="4" w:space="0" w:color="auto"/>
            </w:tcBorders>
            <w:vAlign w:val="center"/>
            <w:hideMark/>
          </w:tcPr>
          <w:p w14:paraId="1293916A"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M</w:t>
            </w:r>
          </w:p>
        </w:tc>
      </w:tr>
    </w:tbl>
    <w:p w14:paraId="6C656F25"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Functions Output Headers</w:t>
      </w:r>
    </w:p>
    <w:p w14:paraId="0A65C59F" w14:textId="77777777" w:rsidR="00B97365" w:rsidRDefault="00B97365">
      <w:pPr>
        <w:rPr>
          <w:rFonts w:cs="Calibri"/>
        </w:rPr>
      </w:pPr>
    </w:p>
    <w:p w14:paraId="7D5B1CE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Where an Execution Status is:</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0"/>
        <w:gridCol w:w="5789"/>
        <w:gridCol w:w="1470"/>
        <w:gridCol w:w="398"/>
        <w:gridCol w:w="514"/>
      </w:tblGrid>
      <w:tr w:rsidR="00B97365" w14:paraId="4CAE538F"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B6FE5D1" w14:textId="77777777" w:rsidR="00B97365" w:rsidRDefault="00000000">
            <w:pPr>
              <w:jc w:val="center"/>
              <w:rPr>
                <w:rFonts w:cs="Calibri"/>
                <w:b/>
                <w:color w:val="FFFFFF"/>
                <w:sz w:val="16"/>
                <w:szCs w:val="16"/>
              </w:rPr>
            </w:pPr>
            <w:r>
              <w:rPr>
                <w:rFonts w:cs="Calibri"/>
                <w:b/>
                <w:color w:val="FFFFFF"/>
                <w:sz w:val="16"/>
                <w:szCs w:val="16"/>
              </w:rPr>
              <w:t>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ED042FC"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6A6C95E"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787CC87"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FBE256B"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7F749DF"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56C87F0C" w14:textId="77777777" w:rsidR="00B97365" w:rsidRDefault="00000000">
            <w:pPr>
              <w:rPr>
                <w:rFonts w:cs="Calibri"/>
                <w:sz w:val="16"/>
                <w:szCs w:val="16"/>
              </w:rPr>
            </w:pPr>
            <w:r>
              <w:rPr>
                <w:rFonts w:cs="Calibri"/>
                <w:sz w:val="16"/>
                <w:szCs w:val="16"/>
              </w:rPr>
              <w:t>Status</w:t>
            </w:r>
          </w:p>
        </w:tc>
        <w:tc>
          <w:tcPr>
            <w:tcW w:w="0" w:type="auto"/>
            <w:tcBorders>
              <w:top w:val="single" w:sz="6" w:space="0" w:color="auto"/>
              <w:left w:val="single" w:sz="6" w:space="0" w:color="auto"/>
              <w:bottom w:val="single" w:sz="6" w:space="0" w:color="auto"/>
              <w:right w:val="single" w:sz="6" w:space="0" w:color="auto"/>
            </w:tcBorders>
            <w:vAlign w:val="center"/>
            <w:hideMark/>
          </w:tcPr>
          <w:p w14:paraId="64BED0FD" w14:textId="77777777" w:rsidR="00B97365" w:rsidRDefault="00000000">
            <w:pPr>
              <w:rPr>
                <w:rFonts w:cs="Calibri"/>
                <w:sz w:val="16"/>
                <w:szCs w:val="16"/>
              </w:rPr>
            </w:pPr>
            <w:r>
              <w:rPr>
                <w:rFonts w:cs="Calibri"/>
                <w:sz w:val="16"/>
                <w:szCs w:val="16"/>
              </w:rPr>
              <w:t>It indicates whether the processing has been completed correctly or not.</w:t>
            </w:r>
          </w:p>
          <w:p w14:paraId="07646DC1" w14:textId="77777777" w:rsidR="00B97365" w:rsidRDefault="00000000">
            <w:pPr>
              <w:rPr>
                <w:rFonts w:cs="Calibri"/>
                <w:sz w:val="16"/>
                <w:szCs w:val="16"/>
              </w:rPr>
            </w:pPr>
            <w:r>
              <w:rPr>
                <w:rFonts w:cs="Calibri"/>
                <w:sz w:val="16"/>
                <w:szCs w:val="16"/>
              </w:rPr>
              <w:t>Value 'Executed-Success' means that the function has been processed correctly. Application output data MAY optionally be part of the function response.</w:t>
            </w:r>
          </w:p>
          <w:p w14:paraId="32D3318C" w14:textId="77777777" w:rsidR="00B97365" w:rsidRDefault="00000000">
            <w:pPr>
              <w:rPr>
                <w:rFonts w:cs="Calibri"/>
                <w:sz w:val="16"/>
                <w:szCs w:val="16"/>
              </w:rPr>
            </w:pPr>
            <w:r>
              <w:rPr>
                <w:rFonts w:cs="Calibri"/>
                <w:sz w:val="16"/>
                <w:szCs w:val="16"/>
              </w:rPr>
              <w:t>Value 'Executed-WithWarning' means that the function has been processed correctly, but that warnings have been generated during this execution. Application output data MAY optionally be part of the function response in order to provide details on the warnings.</w:t>
            </w:r>
          </w:p>
          <w:p w14:paraId="6B2096AE" w14:textId="77777777" w:rsidR="00B97365" w:rsidRDefault="00000000">
            <w:pPr>
              <w:rPr>
                <w:rFonts w:cs="Calibri"/>
                <w:sz w:val="16"/>
                <w:szCs w:val="16"/>
              </w:rPr>
            </w:pPr>
            <w:r>
              <w:rPr>
                <w:rFonts w:cs="Calibri"/>
                <w:sz w:val="16"/>
                <w:szCs w:val="16"/>
              </w:rPr>
              <w:t>Value 'Failed' means that the function execution has encountered errors during its processing. The Status Code Data output structure SHALL give the reason of error in the processing (values depend on the function and MAY be implementation dependant).</w:t>
            </w:r>
          </w:p>
          <w:p w14:paraId="5C4194B5" w14:textId="77777777" w:rsidR="00B97365" w:rsidRDefault="00000000">
            <w:pPr>
              <w:overflowPunct w:val="0"/>
              <w:autoSpaceDE w:val="0"/>
              <w:autoSpaceDN w:val="0"/>
              <w:adjustRightInd w:val="0"/>
              <w:spacing w:after="180"/>
              <w:rPr>
                <w:rFonts w:cs="Calibri"/>
                <w:sz w:val="16"/>
                <w:szCs w:val="16"/>
              </w:rPr>
            </w:pPr>
            <w:r>
              <w:rPr>
                <w:rFonts w:cs="Calibri"/>
                <w:sz w:val="16"/>
                <w:szCs w:val="16"/>
              </w:rPr>
              <w:t>Value 'Expired' means that the validity period of the request has expired before the completion of the function processing. The Status Code Data output structure MAY give the reason of expiration of the function.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AF2DB90" w14:textId="77777777" w:rsidR="00B97365" w:rsidRDefault="00000000">
            <w:pPr>
              <w:jc w:val="center"/>
              <w:rPr>
                <w:rFonts w:cs="Calibri"/>
                <w:sz w:val="16"/>
                <w:szCs w:val="16"/>
              </w:rPr>
            </w:pPr>
            <w:r>
              <w:rPr>
                <w:rFonts w:cs="Calibri"/>
                <w:sz w:val="16"/>
                <w:szCs w:val="16"/>
              </w:rPr>
              <w:t>Enumeration {Executed-Success,</w:t>
            </w:r>
          </w:p>
          <w:p w14:paraId="31DE0E29" w14:textId="77777777" w:rsidR="00B97365" w:rsidRDefault="00000000">
            <w:pPr>
              <w:jc w:val="center"/>
              <w:rPr>
                <w:rFonts w:cs="Calibri"/>
                <w:sz w:val="16"/>
                <w:szCs w:val="16"/>
              </w:rPr>
            </w:pPr>
            <w:r>
              <w:rPr>
                <w:rFonts w:cs="Calibri"/>
                <w:sz w:val="16"/>
                <w:szCs w:val="16"/>
              </w:rPr>
              <w:t>Executed-WithWarning,</w:t>
            </w:r>
          </w:p>
          <w:p w14:paraId="2ED2157C" w14:textId="77777777" w:rsidR="00B97365" w:rsidRDefault="00000000">
            <w:pPr>
              <w:jc w:val="center"/>
              <w:rPr>
                <w:rFonts w:cs="Calibri"/>
                <w:sz w:val="16"/>
                <w:szCs w:val="16"/>
              </w:rPr>
            </w:pPr>
            <w:r>
              <w:rPr>
                <w:rFonts w:cs="Calibri"/>
                <w:sz w:val="16"/>
                <w:szCs w:val="16"/>
              </w:rPr>
              <w:t xml:space="preserve">Failed, </w:t>
            </w:r>
          </w:p>
          <w:p w14:paraId="4C8F00AD"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Expired}</w:t>
            </w:r>
          </w:p>
        </w:tc>
        <w:tc>
          <w:tcPr>
            <w:tcW w:w="0" w:type="auto"/>
            <w:tcBorders>
              <w:top w:val="single" w:sz="6" w:space="0" w:color="auto"/>
              <w:left w:val="single" w:sz="6" w:space="0" w:color="auto"/>
              <w:bottom w:val="single" w:sz="6" w:space="0" w:color="auto"/>
              <w:right w:val="single" w:sz="6" w:space="0" w:color="auto"/>
            </w:tcBorders>
            <w:vAlign w:val="center"/>
            <w:hideMark/>
          </w:tcPr>
          <w:p w14:paraId="2519C364"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869A54C"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M</w:t>
            </w:r>
          </w:p>
        </w:tc>
      </w:tr>
      <w:tr w:rsidR="00B97365" w14:paraId="1AC7DCF6" w14:textId="77777777">
        <w:trPr>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24D9D41E" w14:textId="77777777" w:rsidR="00B97365" w:rsidRDefault="00000000">
            <w:pPr>
              <w:rPr>
                <w:rFonts w:cs="Calibri"/>
                <w:sz w:val="16"/>
                <w:szCs w:val="16"/>
              </w:rPr>
            </w:pPr>
            <w:r>
              <w:rPr>
                <w:rFonts w:cs="Calibri"/>
                <w:sz w:val="16"/>
                <w:szCs w:val="16"/>
              </w:rPr>
              <w:t>Status code 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53AB5026" w14:textId="77777777" w:rsidR="00B97365" w:rsidRDefault="00000000">
            <w:pPr>
              <w:rPr>
                <w:rFonts w:cs="Calibri"/>
                <w:sz w:val="16"/>
                <w:szCs w:val="16"/>
              </w:rPr>
            </w:pPr>
            <w:r>
              <w:rPr>
                <w:rFonts w:cs="Calibri"/>
                <w:sz w:val="16"/>
                <w:szCs w:val="16"/>
              </w:rPr>
              <w:t>It provides the reason of the Status.</w:t>
            </w:r>
          </w:p>
          <w:p w14:paraId="6E2EA60E" w14:textId="77777777" w:rsidR="00B97365" w:rsidRDefault="00000000">
            <w:pPr>
              <w:rPr>
                <w:rFonts w:cs="Calibri"/>
                <w:sz w:val="16"/>
                <w:szCs w:val="16"/>
              </w:rPr>
            </w:pPr>
            <w:r>
              <w:rPr>
                <w:rFonts w:cs="Calibri"/>
                <w:sz w:val="16"/>
                <w:szCs w:val="16"/>
              </w:rPr>
              <w:t>Present only if the Status is 'Execute-WithWarning', 'Failed', or 'Expired'.</w:t>
            </w:r>
          </w:p>
          <w:p w14:paraId="0EA568A4" w14:textId="77777777" w:rsidR="00B97365" w:rsidRDefault="00000000">
            <w:pPr>
              <w:overflowPunct w:val="0"/>
              <w:autoSpaceDE w:val="0"/>
              <w:autoSpaceDN w:val="0"/>
              <w:adjustRightInd w:val="0"/>
              <w:spacing w:after="180"/>
              <w:rPr>
                <w:rFonts w:cs="Calibri"/>
                <w:sz w:val="16"/>
                <w:szCs w:val="16"/>
              </w:rPr>
            </w:pPr>
            <w:r>
              <w:rPr>
                <w:rFonts w:cs="Calibri"/>
                <w:sz w:val="16"/>
                <w:szCs w:val="16"/>
              </w:rPr>
              <w:t>The Status Code Data type is described below.</w:t>
            </w:r>
          </w:p>
        </w:tc>
        <w:tc>
          <w:tcPr>
            <w:tcW w:w="0" w:type="auto"/>
            <w:tcBorders>
              <w:top w:val="single" w:sz="6" w:space="0" w:color="auto"/>
              <w:left w:val="single" w:sz="6" w:space="0" w:color="auto"/>
              <w:bottom w:val="single" w:sz="4" w:space="0" w:color="auto"/>
              <w:right w:val="single" w:sz="6" w:space="0" w:color="auto"/>
            </w:tcBorders>
            <w:vAlign w:val="center"/>
            <w:hideMark/>
          </w:tcPr>
          <w:p w14:paraId="7AAC114C"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Status code 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362099E1"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BBC1D97"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O</w:t>
            </w:r>
          </w:p>
        </w:tc>
      </w:tr>
    </w:tbl>
    <w:p w14:paraId="00747834" w14:textId="77777777" w:rsidR="00B97365" w:rsidRDefault="00000000">
      <w:pPr>
        <w:numPr>
          <w:ilvl w:val="0"/>
          <w:numId w:val="14"/>
        </w:numPr>
        <w:tabs>
          <w:tab w:val="left" w:pos="1009"/>
        </w:tabs>
        <w:spacing w:after="200" w:line="276" w:lineRule="auto"/>
        <w:jc w:val="center"/>
        <w:rPr>
          <w:rFonts w:cs="Calibri"/>
          <w:b/>
          <w:lang w:eastAsia="de-DE" w:bidi="ar-SA"/>
        </w:rPr>
      </w:pPr>
      <w:r>
        <w:rPr>
          <w:rFonts w:cs="Arial"/>
          <w:b/>
          <w:lang w:eastAsia="de-DE" w:bidi="ar-SA"/>
        </w:rPr>
        <w:t>: Execution Status</w:t>
      </w:r>
    </w:p>
    <w:p w14:paraId="0F340429" w14:textId="77777777" w:rsidR="00B97365" w:rsidRDefault="00000000">
      <w:pPr>
        <w:spacing w:before="0" w:after="200" w:line="276" w:lineRule="auto"/>
        <w:jc w:val="left"/>
        <w:rPr>
          <w:rFonts w:cs="Calibri"/>
          <w:szCs w:val="22"/>
          <w:lang w:eastAsia="en-GB" w:bidi="ar-SA"/>
        </w:rPr>
      </w:pPr>
      <w:r>
        <w:rPr>
          <w:rFonts w:cs="Arial"/>
          <w:szCs w:val="22"/>
          <w:lang w:val="en-US" w:eastAsia="en-GB" w:bidi="ar-SA"/>
        </w:rPr>
        <w:t>Where a Status code data is:</w:t>
      </w:r>
    </w:p>
    <w:tbl>
      <w:tblPr>
        <w:tblW w:w="8664"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03"/>
        <w:gridCol w:w="4535"/>
        <w:gridCol w:w="992"/>
        <w:gridCol w:w="567"/>
        <w:gridCol w:w="567"/>
      </w:tblGrid>
      <w:tr w:rsidR="00B97365" w14:paraId="64042CEE" w14:textId="77777777">
        <w:trPr>
          <w:trHeight w:val="342"/>
        </w:trPr>
        <w:tc>
          <w:tcPr>
            <w:tcW w:w="2002"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990653F" w14:textId="77777777" w:rsidR="00B97365" w:rsidRDefault="00000000">
            <w:pPr>
              <w:jc w:val="center"/>
              <w:rPr>
                <w:rFonts w:cs="Calibri"/>
                <w:b/>
                <w:color w:val="FFFFFF"/>
                <w:sz w:val="16"/>
                <w:szCs w:val="16"/>
              </w:rPr>
            </w:pPr>
            <w:r>
              <w:rPr>
                <w:rFonts w:cs="Calibri"/>
                <w:b/>
                <w:color w:val="FFFFFF"/>
                <w:sz w:val="16"/>
                <w:szCs w:val="16"/>
              </w:rPr>
              <w:t>Data name</w:t>
            </w:r>
          </w:p>
        </w:tc>
        <w:tc>
          <w:tcPr>
            <w:tcW w:w="453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3890AC0" w14:textId="77777777" w:rsidR="00B97365" w:rsidRDefault="00000000">
            <w:pPr>
              <w:jc w:val="center"/>
              <w:rPr>
                <w:rFonts w:cs="Calibri"/>
                <w:b/>
                <w:color w:val="FFFFFF"/>
                <w:sz w:val="16"/>
                <w:szCs w:val="16"/>
              </w:rPr>
            </w:pPr>
            <w:r>
              <w:rPr>
                <w:rFonts w:cs="Calibri"/>
                <w:b/>
                <w:color w:val="FFFFFF"/>
                <w:sz w:val="16"/>
                <w:szCs w:val="16"/>
              </w:rPr>
              <w:t>Description</w:t>
            </w:r>
          </w:p>
        </w:tc>
        <w:tc>
          <w:tcPr>
            <w:tcW w:w="99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B6E3647" w14:textId="77777777" w:rsidR="00B97365" w:rsidRDefault="00000000">
            <w:pPr>
              <w:jc w:val="center"/>
              <w:rPr>
                <w:rFonts w:cs="Calibri"/>
                <w:b/>
                <w:color w:val="FFFFFF"/>
                <w:sz w:val="16"/>
                <w:szCs w:val="16"/>
              </w:rPr>
            </w:pPr>
            <w:r>
              <w:rPr>
                <w:rFonts w:cs="Calibri"/>
                <w:b/>
                <w:color w:val="FFFFFF"/>
                <w:sz w:val="16"/>
                <w:szCs w:val="16"/>
              </w:rPr>
              <w:t>Type</w:t>
            </w:r>
          </w:p>
        </w:tc>
        <w:tc>
          <w:tcPr>
            <w:tcW w:w="56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E25030F" w14:textId="77777777" w:rsidR="00B97365" w:rsidRDefault="00000000">
            <w:pPr>
              <w:jc w:val="center"/>
              <w:rPr>
                <w:rFonts w:cs="Calibri"/>
                <w:b/>
                <w:color w:val="FFFFFF"/>
                <w:sz w:val="16"/>
                <w:szCs w:val="16"/>
              </w:rPr>
            </w:pPr>
            <w:r>
              <w:rPr>
                <w:rFonts w:cs="Calibri"/>
                <w:b/>
                <w:color w:val="FFFFFF"/>
                <w:sz w:val="16"/>
                <w:szCs w:val="16"/>
              </w:rPr>
              <w:t>No.</w:t>
            </w:r>
          </w:p>
        </w:tc>
        <w:tc>
          <w:tcPr>
            <w:tcW w:w="56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CF311F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4FD679F" w14:textId="77777777">
        <w:trPr>
          <w:trHeight w:val="282"/>
        </w:trPr>
        <w:tc>
          <w:tcPr>
            <w:tcW w:w="2002" w:type="dxa"/>
            <w:tcBorders>
              <w:top w:val="single" w:sz="6" w:space="0" w:color="auto"/>
              <w:left w:val="single" w:sz="4" w:space="0" w:color="auto"/>
              <w:bottom w:val="single" w:sz="6" w:space="0" w:color="auto"/>
              <w:right w:val="single" w:sz="6" w:space="0" w:color="auto"/>
            </w:tcBorders>
            <w:vAlign w:val="center"/>
            <w:hideMark/>
          </w:tcPr>
          <w:p w14:paraId="0F3C9343" w14:textId="77777777" w:rsidR="00B97365" w:rsidRDefault="00000000">
            <w:pPr>
              <w:rPr>
                <w:rFonts w:cs="Calibri"/>
                <w:sz w:val="16"/>
                <w:szCs w:val="16"/>
              </w:rPr>
            </w:pPr>
            <w:r>
              <w:rPr>
                <w:rFonts w:cs="Calibri"/>
                <w:sz w:val="16"/>
                <w:szCs w:val="16"/>
              </w:rPr>
              <w:t>Subject code</w:t>
            </w:r>
          </w:p>
        </w:tc>
        <w:tc>
          <w:tcPr>
            <w:tcW w:w="4534" w:type="dxa"/>
            <w:tcBorders>
              <w:top w:val="single" w:sz="6" w:space="0" w:color="auto"/>
              <w:left w:val="single" w:sz="6" w:space="0" w:color="auto"/>
              <w:bottom w:val="single" w:sz="6" w:space="0" w:color="auto"/>
              <w:right w:val="single" w:sz="6" w:space="0" w:color="auto"/>
            </w:tcBorders>
            <w:vAlign w:val="center"/>
            <w:hideMark/>
          </w:tcPr>
          <w:p w14:paraId="21EA1AED" w14:textId="67660384" w:rsidR="00B97365" w:rsidRDefault="00000000">
            <w:pPr>
              <w:rPr>
                <w:rFonts w:cs="Calibri"/>
                <w:sz w:val="16"/>
                <w:szCs w:val="16"/>
              </w:rPr>
            </w:pPr>
            <w:r>
              <w:rPr>
                <w:rFonts w:cs="Calibri"/>
                <w:sz w:val="16"/>
                <w:szCs w:val="16"/>
              </w:rPr>
              <w:t xml:space="preserve">Represents the system element concerned by the exception. A normative list of subjects is given in </w:t>
            </w:r>
            <w:r>
              <w:rPr>
                <w:rFonts w:cs="Calibri"/>
                <w:sz w:val="16"/>
                <w:szCs w:val="16"/>
                <w:lang w:val="en-US"/>
              </w:rPr>
              <w:t xml:space="preserve">section </w:t>
            </w:r>
            <w:r>
              <w:fldChar w:fldCharType="begin"/>
            </w:r>
            <w:r>
              <w:instrText xml:space="preserve"> REF _Ref367973477 \r \h  \* MERGEFORMAT </w:instrText>
            </w:r>
            <w:r>
              <w:fldChar w:fldCharType="separate"/>
            </w:r>
            <w:r w:rsidR="001D5AD9" w:rsidRPr="001D5AD9">
              <w:rPr>
                <w:rFonts w:cs="Calibri"/>
                <w:sz w:val="16"/>
                <w:szCs w:val="16"/>
              </w:rPr>
              <w:t>5.1.6.1</w:t>
            </w:r>
            <w:r>
              <w:fldChar w:fldCharType="end"/>
            </w:r>
          </w:p>
        </w:tc>
        <w:tc>
          <w:tcPr>
            <w:tcW w:w="992" w:type="dxa"/>
            <w:tcBorders>
              <w:top w:val="single" w:sz="6" w:space="0" w:color="auto"/>
              <w:left w:val="single" w:sz="6" w:space="0" w:color="auto"/>
              <w:bottom w:val="single" w:sz="6" w:space="0" w:color="auto"/>
              <w:right w:val="single" w:sz="6" w:space="0" w:color="auto"/>
            </w:tcBorders>
            <w:vAlign w:val="center"/>
            <w:hideMark/>
          </w:tcPr>
          <w:p w14:paraId="2D17C8AC" w14:textId="77777777" w:rsidR="00B97365" w:rsidRDefault="00000000">
            <w:pPr>
              <w:jc w:val="center"/>
              <w:rPr>
                <w:rFonts w:cs="Calibri"/>
                <w:sz w:val="16"/>
                <w:szCs w:val="16"/>
              </w:rPr>
            </w:pPr>
            <w:r>
              <w:rPr>
                <w:rFonts w:cs="Calibri"/>
                <w:sz w:val="16"/>
                <w:szCs w:val="16"/>
              </w:rPr>
              <w:t>OID</w:t>
            </w:r>
          </w:p>
        </w:tc>
        <w:tc>
          <w:tcPr>
            <w:tcW w:w="567" w:type="dxa"/>
            <w:tcBorders>
              <w:top w:val="single" w:sz="6" w:space="0" w:color="auto"/>
              <w:left w:val="single" w:sz="6" w:space="0" w:color="auto"/>
              <w:bottom w:val="single" w:sz="6" w:space="0" w:color="auto"/>
              <w:right w:val="single" w:sz="6" w:space="0" w:color="auto"/>
            </w:tcBorders>
            <w:vAlign w:val="center"/>
            <w:hideMark/>
          </w:tcPr>
          <w:p w14:paraId="047A2868" w14:textId="77777777" w:rsidR="00B97365" w:rsidRDefault="00000000">
            <w:pPr>
              <w:jc w:val="center"/>
              <w:rPr>
                <w:rFonts w:cs="Calibri"/>
                <w:sz w:val="16"/>
                <w:szCs w:val="16"/>
              </w:rPr>
            </w:pPr>
            <w:r>
              <w:rPr>
                <w:rFonts w:cs="Calibri"/>
                <w:sz w:val="16"/>
                <w:szCs w:val="16"/>
              </w:rPr>
              <w:t>1</w:t>
            </w:r>
          </w:p>
        </w:tc>
        <w:tc>
          <w:tcPr>
            <w:tcW w:w="567" w:type="dxa"/>
            <w:tcBorders>
              <w:top w:val="single" w:sz="6" w:space="0" w:color="auto"/>
              <w:left w:val="single" w:sz="6" w:space="0" w:color="auto"/>
              <w:bottom w:val="single" w:sz="6" w:space="0" w:color="auto"/>
              <w:right w:val="single" w:sz="4" w:space="0" w:color="auto"/>
            </w:tcBorders>
            <w:vAlign w:val="center"/>
            <w:hideMark/>
          </w:tcPr>
          <w:p w14:paraId="5D6CE0EA" w14:textId="77777777" w:rsidR="00B97365" w:rsidRDefault="00000000">
            <w:pPr>
              <w:jc w:val="center"/>
              <w:rPr>
                <w:rFonts w:cs="Calibri"/>
                <w:sz w:val="16"/>
                <w:szCs w:val="16"/>
              </w:rPr>
            </w:pPr>
            <w:r>
              <w:rPr>
                <w:rFonts w:cs="Calibri"/>
                <w:sz w:val="16"/>
                <w:szCs w:val="16"/>
              </w:rPr>
              <w:t>M</w:t>
            </w:r>
          </w:p>
        </w:tc>
      </w:tr>
      <w:tr w:rsidR="00B97365" w14:paraId="04CF9CD9" w14:textId="77777777">
        <w:trPr>
          <w:trHeight w:val="282"/>
        </w:trPr>
        <w:tc>
          <w:tcPr>
            <w:tcW w:w="2002" w:type="dxa"/>
            <w:tcBorders>
              <w:top w:val="single" w:sz="6" w:space="0" w:color="auto"/>
              <w:left w:val="single" w:sz="4" w:space="0" w:color="auto"/>
              <w:bottom w:val="single" w:sz="6" w:space="0" w:color="auto"/>
              <w:right w:val="single" w:sz="6" w:space="0" w:color="auto"/>
            </w:tcBorders>
            <w:vAlign w:val="center"/>
            <w:hideMark/>
          </w:tcPr>
          <w:p w14:paraId="787D06D7" w14:textId="77777777" w:rsidR="00B97365" w:rsidRDefault="00000000">
            <w:pPr>
              <w:rPr>
                <w:rFonts w:cs="Calibri"/>
                <w:sz w:val="16"/>
                <w:szCs w:val="16"/>
              </w:rPr>
            </w:pPr>
            <w:r>
              <w:rPr>
                <w:rFonts w:cs="Calibri"/>
                <w:sz w:val="16"/>
                <w:szCs w:val="16"/>
              </w:rPr>
              <w:t>Reason code</w:t>
            </w:r>
          </w:p>
        </w:tc>
        <w:tc>
          <w:tcPr>
            <w:tcW w:w="4534" w:type="dxa"/>
            <w:tcBorders>
              <w:top w:val="single" w:sz="6" w:space="0" w:color="auto"/>
              <w:left w:val="single" w:sz="6" w:space="0" w:color="auto"/>
              <w:bottom w:val="single" w:sz="6" w:space="0" w:color="auto"/>
              <w:right w:val="single" w:sz="6" w:space="0" w:color="auto"/>
            </w:tcBorders>
            <w:vAlign w:val="center"/>
            <w:hideMark/>
          </w:tcPr>
          <w:p w14:paraId="6F7C5C44" w14:textId="0FB8B62E" w:rsidR="00B97365" w:rsidRDefault="00000000">
            <w:pPr>
              <w:rPr>
                <w:rFonts w:cs="Calibri"/>
                <w:sz w:val="16"/>
                <w:szCs w:val="16"/>
              </w:rPr>
            </w:pPr>
            <w:r>
              <w:rPr>
                <w:rFonts w:cs="Calibri"/>
                <w:sz w:val="16"/>
                <w:szCs w:val="16"/>
              </w:rPr>
              <w:t xml:space="preserve">Represents the reason of the exception.  A normative list of reasons is given in </w:t>
            </w:r>
            <w:r>
              <w:rPr>
                <w:rFonts w:cs="Calibri"/>
                <w:sz w:val="16"/>
                <w:szCs w:val="16"/>
                <w:lang w:val="en-US"/>
              </w:rPr>
              <w:t xml:space="preserve">section </w:t>
            </w:r>
            <w:r>
              <w:fldChar w:fldCharType="begin"/>
            </w:r>
            <w:r>
              <w:instrText xml:space="preserve"> REF _Ref367973483 \r \h  \* MERGEFORMAT </w:instrText>
            </w:r>
            <w:r>
              <w:fldChar w:fldCharType="separate"/>
            </w:r>
            <w:r w:rsidR="001D5AD9" w:rsidRPr="001D5AD9">
              <w:rPr>
                <w:rFonts w:cs="Calibri"/>
                <w:sz w:val="16"/>
                <w:szCs w:val="16"/>
              </w:rPr>
              <w:t>5.1.6.2</w:t>
            </w:r>
            <w:r>
              <w:fldChar w:fldCharType="end"/>
            </w:r>
          </w:p>
        </w:tc>
        <w:tc>
          <w:tcPr>
            <w:tcW w:w="992" w:type="dxa"/>
            <w:tcBorders>
              <w:top w:val="single" w:sz="6" w:space="0" w:color="auto"/>
              <w:left w:val="single" w:sz="6" w:space="0" w:color="auto"/>
              <w:bottom w:val="single" w:sz="6" w:space="0" w:color="auto"/>
              <w:right w:val="single" w:sz="6" w:space="0" w:color="auto"/>
            </w:tcBorders>
            <w:vAlign w:val="center"/>
            <w:hideMark/>
          </w:tcPr>
          <w:p w14:paraId="10EC87C7" w14:textId="77777777" w:rsidR="00B97365" w:rsidRDefault="00000000">
            <w:pPr>
              <w:jc w:val="center"/>
              <w:rPr>
                <w:rFonts w:cs="Calibri"/>
                <w:sz w:val="16"/>
                <w:szCs w:val="16"/>
              </w:rPr>
            </w:pPr>
            <w:r>
              <w:rPr>
                <w:rFonts w:cs="Calibri"/>
                <w:sz w:val="16"/>
                <w:szCs w:val="16"/>
              </w:rPr>
              <w:t>OID</w:t>
            </w:r>
          </w:p>
        </w:tc>
        <w:tc>
          <w:tcPr>
            <w:tcW w:w="567" w:type="dxa"/>
            <w:tcBorders>
              <w:top w:val="single" w:sz="6" w:space="0" w:color="auto"/>
              <w:left w:val="single" w:sz="6" w:space="0" w:color="auto"/>
              <w:bottom w:val="single" w:sz="6" w:space="0" w:color="auto"/>
              <w:right w:val="single" w:sz="6" w:space="0" w:color="auto"/>
            </w:tcBorders>
            <w:vAlign w:val="center"/>
            <w:hideMark/>
          </w:tcPr>
          <w:p w14:paraId="5D21A67F" w14:textId="77777777" w:rsidR="00B97365" w:rsidRDefault="00000000">
            <w:pPr>
              <w:jc w:val="center"/>
              <w:rPr>
                <w:rFonts w:cs="Calibri"/>
                <w:sz w:val="16"/>
                <w:szCs w:val="16"/>
              </w:rPr>
            </w:pPr>
            <w:r>
              <w:rPr>
                <w:rFonts w:cs="Calibri"/>
                <w:sz w:val="16"/>
                <w:szCs w:val="16"/>
              </w:rPr>
              <w:t>1</w:t>
            </w:r>
          </w:p>
        </w:tc>
        <w:tc>
          <w:tcPr>
            <w:tcW w:w="567" w:type="dxa"/>
            <w:tcBorders>
              <w:top w:val="single" w:sz="6" w:space="0" w:color="auto"/>
              <w:left w:val="single" w:sz="6" w:space="0" w:color="auto"/>
              <w:bottom w:val="single" w:sz="6" w:space="0" w:color="auto"/>
              <w:right w:val="single" w:sz="4" w:space="0" w:color="auto"/>
            </w:tcBorders>
            <w:vAlign w:val="center"/>
            <w:hideMark/>
          </w:tcPr>
          <w:p w14:paraId="6EFD41BB" w14:textId="77777777" w:rsidR="00B97365" w:rsidRDefault="00000000">
            <w:pPr>
              <w:jc w:val="center"/>
              <w:rPr>
                <w:rFonts w:cs="Calibri"/>
                <w:sz w:val="16"/>
                <w:szCs w:val="16"/>
              </w:rPr>
            </w:pPr>
            <w:r>
              <w:rPr>
                <w:rFonts w:cs="Calibri"/>
                <w:sz w:val="16"/>
                <w:szCs w:val="16"/>
              </w:rPr>
              <w:t>M</w:t>
            </w:r>
          </w:p>
        </w:tc>
      </w:tr>
      <w:tr w:rsidR="00B97365" w14:paraId="58C05EE4" w14:textId="77777777">
        <w:trPr>
          <w:trHeight w:val="282"/>
        </w:trPr>
        <w:tc>
          <w:tcPr>
            <w:tcW w:w="2002" w:type="dxa"/>
            <w:tcBorders>
              <w:top w:val="single" w:sz="6" w:space="0" w:color="auto"/>
              <w:left w:val="single" w:sz="4" w:space="0" w:color="auto"/>
              <w:bottom w:val="single" w:sz="6" w:space="0" w:color="auto"/>
              <w:right w:val="single" w:sz="6" w:space="0" w:color="auto"/>
            </w:tcBorders>
            <w:vAlign w:val="center"/>
            <w:hideMark/>
          </w:tcPr>
          <w:p w14:paraId="2BC0D254" w14:textId="77777777" w:rsidR="00B97365" w:rsidRDefault="00000000">
            <w:pPr>
              <w:rPr>
                <w:rFonts w:cs="Calibri"/>
                <w:sz w:val="16"/>
                <w:szCs w:val="16"/>
              </w:rPr>
            </w:pPr>
            <w:r>
              <w:rPr>
                <w:rFonts w:cs="Calibri"/>
                <w:sz w:val="16"/>
                <w:szCs w:val="16"/>
              </w:rPr>
              <w:t>Subject identifier</w:t>
            </w:r>
          </w:p>
        </w:tc>
        <w:tc>
          <w:tcPr>
            <w:tcW w:w="4534" w:type="dxa"/>
            <w:tcBorders>
              <w:top w:val="single" w:sz="6" w:space="0" w:color="auto"/>
              <w:left w:val="single" w:sz="6" w:space="0" w:color="auto"/>
              <w:bottom w:val="single" w:sz="6" w:space="0" w:color="auto"/>
              <w:right w:val="single" w:sz="6" w:space="0" w:color="auto"/>
            </w:tcBorders>
            <w:vAlign w:val="center"/>
            <w:hideMark/>
          </w:tcPr>
          <w:p w14:paraId="1F519B69" w14:textId="77777777" w:rsidR="00B97365" w:rsidRDefault="00000000">
            <w:pPr>
              <w:rPr>
                <w:rFonts w:cs="Calibri"/>
                <w:sz w:val="16"/>
                <w:szCs w:val="16"/>
              </w:rPr>
            </w:pPr>
            <w:r>
              <w:rPr>
                <w:rFonts w:cs="Calibri"/>
                <w:sz w:val="16"/>
                <w:szCs w:val="16"/>
              </w:rPr>
              <w:t>The identifier of the subject or any identification data of the subject that caused the exception (for example ICCID of the Profile when the Subject is a "Profile").</w:t>
            </w:r>
          </w:p>
          <w:p w14:paraId="18C3DC25" w14:textId="77777777" w:rsidR="00B97365" w:rsidRDefault="00000000">
            <w:pPr>
              <w:rPr>
                <w:rFonts w:cs="Calibri"/>
                <w:sz w:val="16"/>
                <w:szCs w:val="16"/>
              </w:rPr>
            </w:pPr>
            <w:r>
              <w:rPr>
                <w:rFonts w:cs="Calibri"/>
                <w:sz w:val="16"/>
                <w:szCs w:val="16"/>
              </w:rPr>
              <w:t>The possible values of the Subject Identifier depend on the function.</w:t>
            </w:r>
          </w:p>
        </w:tc>
        <w:tc>
          <w:tcPr>
            <w:tcW w:w="992" w:type="dxa"/>
            <w:tcBorders>
              <w:top w:val="single" w:sz="6" w:space="0" w:color="auto"/>
              <w:left w:val="single" w:sz="6" w:space="0" w:color="auto"/>
              <w:bottom w:val="single" w:sz="6" w:space="0" w:color="auto"/>
              <w:right w:val="single" w:sz="6" w:space="0" w:color="auto"/>
            </w:tcBorders>
            <w:vAlign w:val="center"/>
            <w:hideMark/>
          </w:tcPr>
          <w:p w14:paraId="2CE1387B" w14:textId="77777777" w:rsidR="00B97365" w:rsidRDefault="00000000">
            <w:pPr>
              <w:jc w:val="center"/>
              <w:rPr>
                <w:rFonts w:cs="Calibri"/>
                <w:sz w:val="16"/>
                <w:szCs w:val="16"/>
              </w:rPr>
            </w:pPr>
            <w:r>
              <w:rPr>
                <w:rFonts w:cs="Calibri"/>
                <w:sz w:val="16"/>
                <w:szCs w:val="16"/>
              </w:rPr>
              <w:t>String</w:t>
            </w:r>
          </w:p>
        </w:tc>
        <w:tc>
          <w:tcPr>
            <w:tcW w:w="567" w:type="dxa"/>
            <w:tcBorders>
              <w:top w:val="single" w:sz="6" w:space="0" w:color="auto"/>
              <w:left w:val="single" w:sz="6" w:space="0" w:color="auto"/>
              <w:bottom w:val="single" w:sz="6" w:space="0" w:color="auto"/>
              <w:right w:val="single" w:sz="6" w:space="0" w:color="auto"/>
            </w:tcBorders>
            <w:vAlign w:val="center"/>
            <w:hideMark/>
          </w:tcPr>
          <w:p w14:paraId="574093A2" w14:textId="77777777" w:rsidR="00B97365" w:rsidRDefault="00000000">
            <w:pPr>
              <w:jc w:val="center"/>
              <w:rPr>
                <w:rFonts w:cs="Calibri"/>
                <w:sz w:val="16"/>
                <w:szCs w:val="16"/>
              </w:rPr>
            </w:pPr>
            <w:r>
              <w:rPr>
                <w:rFonts w:cs="Calibri"/>
                <w:sz w:val="16"/>
                <w:szCs w:val="16"/>
              </w:rPr>
              <w:t>1</w:t>
            </w:r>
          </w:p>
        </w:tc>
        <w:tc>
          <w:tcPr>
            <w:tcW w:w="567" w:type="dxa"/>
            <w:tcBorders>
              <w:top w:val="single" w:sz="6" w:space="0" w:color="auto"/>
              <w:left w:val="single" w:sz="6" w:space="0" w:color="auto"/>
              <w:bottom w:val="single" w:sz="6" w:space="0" w:color="auto"/>
              <w:right w:val="single" w:sz="4" w:space="0" w:color="auto"/>
            </w:tcBorders>
            <w:vAlign w:val="center"/>
            <w:hideMark/>
          </w:tcPr>
          <w:p w14:paraId="636C9C98" w14:textId="77777777" w:rsidR="00B97365" w:rsidRDefault="00000000">
            <w:pPr>
              <w:jc w:val="center"/>
              <w:rPr>
                <w:rFonts w:cs="Calibri"/>
                <w:sz w:val="16"/>
                <w:szCs w:val="16"/>
              </w:rPr>
            </w:pPr>
            <w:r>
              <w:rPr>
                <w:rFonts w:cs="Calibri"/>
                <w:sz w:val="16"/>
                <w:szCs w:val="16"/>
              </w:rPr>
              <w:t>O</w:t>
            </w:r>
          </w:p>
        </w:tc>
      </w:tr>
      <w:tr w:rsidR="00B97365" w14:paraId="7F4C6378" w14:textId="77777777">
        <w:trPr>
          <w:trHeight w:val="282"/>
        </w:trPr>
        <w:tc>
          <w:tcPr>
            <w:tcW w:w="2002" w:type="dxa"/>
            <w:tcBorders>
              <w:top w:val="single" w:sz="6" w:space="0" w:color="auto"/>
              <w:left w:val="single" w:sz="4" w:space="0" w:color="auto"/>
              <w:bottom w:val="single" w:sz="4" w:space="0" w:color="auto"/>
              <w:right w:val="single" w:sz="6" w:space="0" w:color="auto"/>
            </w:tcBorders>
            <w:vAlign w:val="center"/>
            <w:hideMark/>
          </w:tcPr>
          <w:p w14:paraId="67052B57" w14:textId="77777777" w:rsidR="00B97365" w:rsidRDefault="00000000">
            <w:pPr>
              <w:rPr>
                <w:rFonts w:cs="Calibri"/>
                <w:sz w:val="16"/>
                <w:szCs w:val="16"/>
              </w:rPr>
            </w:pPr>
            <w:r>
              <w:rPr>
                <w:rFonts w:cs="Calibri"/>
                <w:sz w:val="16"/>
                <w:szCs w:val="16"/>
              </w:rPr>
              <w:t>Message</w:t>
            </w:r>
          </w:p>
        </w:tc>
        <w:tc>
          <w:tcPr>
            <w:tcW w:w="4534" w:type="dxa"/>
            <w:tcBorders>
              <w:top w:val="single" w:sz="6" w:space="0" w:color="auto"/>
              <w:left w:val="single" w:sz="6" w:space="0" w:color="auto"/>
              <w:bottom w:val="single" w:sz="4" w:space="0" w:color="auto"/>
              <w:right w:val="single" w:sz="6" w:space="0" w:color="auto"/>
            </w:tcBorders>
            <w:vAlign w:val="center"/>
            <w:hideMark/>
          </w:tcPr>
          <w:p w14:paraId="4C5C92A1" w14:textId="77777777" w:rsidR="00B97365" w:rsidRDefault="00000000">
            <w:pPr>
              <w:rPr>
                <w:rFonts w:cs="Calibri"/>
                <w:sz w:val="16"/>
                <w:szCs w:val="16"/>
              </w:rPr>
            </w:pPr>
            <w:r>
              <w:rPr>
                <w:rFonts w:cs="Calibri"/>
                <w:sz w:val="16"/>
                <w:szCs w:val="16"/>
              </w:rPr>
              <w:t>It provides a textual and human readable explanation of the exception. The Message value is implementation dependant</w:t>
            </w:r>
          </w:p>
        </w:tc>
        <w:tc>
          <w:tcPr>
            <w:tcW w:w="992" w:type="dxa"/>
            <w:tcBorders>
              <w:top w:val="single" w:sz="6" w:space="0" w:color="auto"/>
              <w:left w:val="single" w:sz="6" w:space="0" w:color="auto"/>
              <w:bottom w:val="single" w:sz="4" w:space="0" w:color="auto"/>
              <w:right w:val="single" w:sz="6" w:space="0" w:color="auto"/>
            </w:tcBorders>
            <w:vAlign w:val="center"/>
            <w:hideMark/>
          </w:tcPr>
          <w:p w14:paraId="16720528" w14:textId="77777777" w:rsidR="00B97365" w:rsidRDefault="00000000">
            <w:pPr>
              <w:jc w:val="center"/>
              <w:rPr>
                <w:rFonts w:cs="Calibri"/>
                <w:sz w:val="16"/>
                <w:szCs w:val="16"/>
              </w:rPr>
            </w:pPr>
            <w:r>
              <w:rPr>
                <w:rFonts w:cs="Calibri"/>
                <w:sz w:val="16"/>
                <w:szCs w:val="16"/>
              </w:rPr>
              <w:t>String</w:t>
            </w:r>
          </w:p>
        </w:tc>
        <w:tc>
          <w:tcPr>
            <w:tcW w:w="567" w:type="dxa"/>
            <w:tcBorders>
              <w:top w:val="single" w:sz="6" w:space="0" w:color="auto"/>
              <w:left w:val="single" w:sz="6" w:space="0" w:color="auto"/>
              <w:bottom w:val="single" w:sz="4" w:space="0" w:color="auto"/>
              <w:right w:val="single" w:sz="6" w:space="0" w:color="auto"/>
            </w:tcBorders>
            <w:vAlign w:val="center"/>
            <w:hideMark/>
          </w:tcPr>
          <w:p w14:paraId="2F3C7AC4" w14:textId="77777777" w:rsidR="00B97365" w:rsidRDefault="00000000">
            <w:pPr>
              <w:jc w:val="center"/>
              <w:rPr>
                <w:rFonts w:cs="Calibri"/>
                <w:sz w:val="16"/>
                <w:szCs w:val="16"/>
              </w:rPr>
            </w:pPr>
            <w:r>
              <w:rPr>
                <w:rFonts w:cs="Calibri"/>
                <w:sz w:val="16"/>
                <w:szCs w:val="16"/>
              </w:rPr>
              <w:t>1</w:t>
            </w:r>
          </w:p>
        </w:tc>
        <w:tc>
          <w:tcPr>
            <w:tcW w:w="567" w:type="dxa"/>
            <w:tcBorders>
              <w:top w:val="single" w:sz="6" w:space="0" w:color="auto"/>
              <w:left w:val="single" w:sz="6" w:space="0" w:color="auto"/>
              <w:bottom w:val="single" w:sz="4" w:space="0" w:color="auto"/>
              <w:right w:val="single" w:sz="4" w:space="0" w:color="auto"/>
            </w:tcBorders>
            <w:vAlign w:val="center"/>
            <w:hideMark/>
          </w:tcPr>
          <w:p w14:paraId="3E3E83A0" w14:textId="77777777" w:rsidR="00B97365" w:rsidRDefault="00000000">
            <w:pPr>
              <w:jc w:val="center"/>
              <w:rPr>
                <w:rFonts w:cs="Calibri"/>
                <w:sz w:val="16"/>
                <w:szCs w:val="16"/>
              </w:rPr>
            </w:pPr>
            <w:r>
              <w:rPr>
                <w:rFonts w:cs="Calibri"/>
                <w:sz w:val="16"/>
                <w:szCs w:val="16"/>
              </w:rPr>
              <w:t>O</w:t>
            </w:r>
          </w:p>
        </w:tc>
      </w:tr>
    </w:tbl>
    <w:p w14:paraId="3090E456" w14:textId="77777777" w:rsidR="00B97365" w:rsidRDefault="00000000">
      <w:pPr>
        <w:numPr>
          <w:ilvl w:val="0"/>
          <w:numId w:val="14"/>
        </w:numPr>
        <w:tabs>
          <w:tab w:val="left" w:pos="1009"/>
        </w:tabs>
        <w:spacing w:after="200" w:line="276" w:lineRule="auto"/>
        <w:jc w:val="center"/>
        <w:rPr>
          <w:rFonts w:cs="Calibri"/>
        </w:rPr>
      </w:pPr>
      <w:r>
        <w:rPr>
          <w:rFonts w:cs="Arial"/>
          <w:b/>
          <w:lang w:eastAsia="de-DE" w:bidi="ar-SA"/>
        </w:rPr>
        <w:t>: Status Code</w:t>
      </w:r>
    </w:p>
    <w:p w14:paraId="419486E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229" w:name="_Toc448998252"/>
      <w:bookmarkStart w:id="3230" w:name="_Toc422150728"/>
      <w:bookmarkStart w:id="3231" w:name="_Toc421874313"/>
      <w:bookmarkStart w:id="3232" w:name="_Toc420594693"/>
      <w:bookmarkStart w:id="3233" w:name="_Toc398214854"/>
      <w:bookmarkStart w:id="3234" w:name="_Toc375158270"/>
      <w:bookmarkStart w:id="3235" w:name="_Toc368932275"/>
      <w:bookmarkStart w:id="3236" w:name="_Toc486332870"/>
      <w:bookmarkStart w:id="3237" w:name="_Toc1977343"/>
      <w:bookmarkStart w:id="3238" w:name="_Toc37062502"/>
      <w:bookmarkStart w:id="3239" w:name="_Toc88839580"/>
      <w:bookmarkStart w:id="3240" w:name="_Toc121503988"/>
      <w:bookmarkStart w:id="3241" w:name="_Toc345955218"/>
      <w:r>
        <w:rPr>
          <w:rFonts w:eastAsia="Times New Roman" w:cs="Arial"/>
          <w:b/>
          <w:bCs/>
          <w:iCs/>
          <w:sz w:val="24"/>
          <w:szCs w:val="26"/>
          <w:lang w:eastAsia="en-US"/>
        </w:rPr>
        <w:lastRenderedPageBreak/>
        <w:t xml:space="preserve">Status </w:t>
      </w:r>
      <w:r>
        <w:rPr>
          <w:rFonts w:eastAsia="Times New Roman" w:cs="Arial"/>
          <w:b/>
          <w:sz w:val="24"/>
          <w:szCs w:val="26"/>
          <w:lang w:eastAsia="en-US"/>
        </w:rPr>
        <w:t>Code</w:t>
      </w:r>
      <w:bookmarkEnd w:id="3229"/>
      <w:bookmarkEnd w:id="3230"/>
      <w:bookmarkEnd w:id="3231"/>
      <w:bookmarkEnd w:id="3232"/>
      <w:bookmarkEnd w:id="3233"/>
      <w:bookmarkEnd w:id="3234"/>
      <w:bookmarkEnd w:id="3235"/>
      <w:bookmarkEnd w:id="3236"/>
      <w:bookmarkEnd w:id="3237"/>
      <w:bookmarkEnd w:id="3238"/>
      <w:bookmarkEnd w:id="3239"/>
      <w:bookmarkEnd w:id="3240"/>
    </w:p>
    <w:p w14:paraId="7A07B5E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Status codes are used in a function call to indicate that an exception occurred during the processing of the function.</w:t>
      </w:r>
    </w:p>
    <w:p w14:paraId="14D9B63C" w14:textId="5CCAA2B7"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“status code” is part of the Function output header (as defined in section </w:t>
      </w:r>
      <w:r>
        <w:fldChar w:fldCharType="begin"/>
      </w:r>
      <w:r>
        <w:instrText xml:space="preserve"> REF _Ref367973553 \r \h  \* MERGEFORMAT </w:instrText>
      </w:r>
      <w:r>
        <w:fldChar w:fldCharType="separate"/>
      </w:r>
      <w:r w:rsidR="001D5AD9" w:rsidRPr="001D5AD9">
        <w:rPr>
          <w:szCs w:val="22"/>
          <w:lang w:val="en-US" w:eastAsia="en-GB" w:bidi="ar-SA"/>
        </w:rPr>
        <w:t>5.5.5</w:t>
      </w:r>
      <w:r>
        <w:fldChar w:fldCharType="end"/>
      </w:r>
      <w:r>
        <w:rPr>
          <w:szCs w:val="22"/>
          <w:lang w:val="en-US" w:eastAsia="en-GB" w:bidi="ar-SA"/>
        </w:rPr>
        <w:t>). In this specification, the status codes are representing any exception from a simple warning to an error.</w:t>
      </w:r>
    </w:p>
    <w:p w14:paraId="7F30DD8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When an error is raised (function output header status is ‘Failed’), it means that the expected functional behaviour has not been completed.</w:t>
      </w:r>
    </w:p>
    <w:p w14:paraId="10AEA988" w14:textId="77777777" w:rsidR="00B97365" w:rsidRDefault="00000000">
      <w:pPr>
        <w:numPr>
          <w:ilvl w:val="0"/>
          <w:numId w:val="38"/>
        </w:numPr>
        <w:tabs>
          <w:tab w:val="left" w:pos="680"/>
        </w:tabs>
        <w:spacing w:before="0" w:after="200" w:line="276" w:lineRule="auto"/>
        <w:contextualSpacing/>
        <w:jc w:val="left"/>
        <w:rPr>
          <w:rFonts w:asciiTheme="minorHAnsi" w:hAnsiTheme="minorHAnsi" w:cstheme="minorHAnsi"/>
          <w:szCs w:val="22"/>
          <w:lang w:eastAsia="en-GB" w:bidi="ar-SA"/>
        </w:rPr>
      </w:pPr>
      <w:r>
        <w:rPr>
          <w:szCs w:val="22"/>
          <w:lang w:eastAsia="en-GB" w:bidi="ar-SA"/>
        </w:rPr>
        <w:t>When a warning is raised (function output header status is ‘Executed-WithWarning’’), it means that the expected functional behaviour has been completed, but under specific conditions that SHOULD be pointed out by the function provider.</w:t>
      </w:r>
    </w:p>
    <w:p w14:paraId="17AA9010" w14:textId="77777777" w:rsidR="00B97365" w:rsidRDefault="00000000">
      <w:pPr>
        <w:spacing w:before="0" w:after="200" w:line="276" w:lineRule="auto"/>
        <w:jc w:val="left"/>
        <w:rPr>
          <w:rFonts w:asciiTheme="minorHAnsi" w:hAnsiTheme="minorHAnsi" w:cstheme="minorHAnsi"/>
        </w:rPr>
      </w:pPr>
      <w:r>
        <w:rPr>
          <w:rFonts w:cs="Arial"/>
          <w:szCs w:val="22"/>
          <w:lang w:val="en-US" w:eastAsia="en-GB" w:bidi="ar-SA"/>
        </w:rPr>
        <w:t>Both Subject code and Reason code fields of the Status code data of the function output header are represented by an OID (Object IDentifier). These identifiers refer to a list of pre-defined elements and reasons (see below for details).</w:t>
      </w:r>
    </w:p>
    <w:p w14:paraId="05657E7F"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3242" w:name="_Toc368932276"/>
      <w:bookmarkStart w:id="3243" w:name="_Ref367973477"/>
      <w:bookmarkStart w:id="3244" w:name="_Toc1977344"/>
      <w:bookmarkStart w:id="3245" w:name="_Toc37062503"/>
      <w:r>
        <w:rPr>
          <w:rFonts w:ascii="Arial Bold" w:eastAsia="Times New Roman" w:hAnsi="Arial Bold" w:cs="Arial"/>
          <w:b/>
          <w:iCs/>
          <w:szCs w:val="28"/>
          <w:lang w:eastAsia="en-US"/>
        </w:rPr>
        <w:t>Subject Code</w:t>
      </w:r>
      <w:bookmarkEnd w:id="3242"/>
      <w:bookmarkEnd w:id="3243"/>
      <w:bookmarkEnd w:id="3244"/>
      <w:bookmarkEnd w:id="3245"/>
    </w:p>
    <w:p w14:paraId="21B288F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Subject code represents, from the function provider perspective, the entity on which the exception occurred. The subject code can either be its own system (for example: an internal error), a part of the system (for example: eUICC, Profile …) or even the function caller itself (for example: Identification issue).</w:t>
      </w:r>
    </w:p>
    <w:p w14:paraId="593CE908" w14:textId="13AC4A75"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System, Messaging Specification for Management of Mobile-NFC Services </w:t>
      </w:r>
      <w:r>
        <w:fldChar w:fldCharType="begin"/>
      </w:r>
      <w:r>
        <w:rPr>
          <w:szCs w:val="22"/>
          <w:lang w:val="en-US" w:eastAsia="en-GB" w:bidi="ar-SA"/>
        </w:rPr>
        <w:instrText xml:space="preserve"> REF _Ref421635000 \r \h </w:instrText>
      </w:r>
      <w:r>
        <w:fldChar w:fldCharType="separate"/>
      </w:r>
      <w:r w:rsidR="001D5AD9">
        <w:rPr>
          <w:szCs w:val="22"/>
          <w:lang w:val="en-US" w:eastAsia="en-GB" w:bidi="ar-SA"/>
        </w:rPr>
        <w:t>[23]</w:t>
      </w:r>
      <w:r>
        <w:fldChar w:fldCharType="end"/>
      </w:r>
      <w:r>
        <w:rPr>
          <w:szCs w:val="22"/>
          <w:lang w:val="en-US" w:eastAsia="en-GB" w:bidi="ar-SA"/>
        </w:rPr>
        <w:t xml:space="preserve"> already defines some subject codes that are organised as a tree representation. This specification proposes to reuse the category “1. Generic” as defined in </w:t>
      </w:r>
      <w:r>
        <w:fldChar w:fldCharType="begin"/>
      </w:r>
      <w:r>
        <w:rPr>
          <w:szCs w:val="22"/>
          <w:lang w:val="en-US" w:eastAsia="en-GB" w:bidi="ar-SA"/>
        </w:rPr>
        <w:instrText xml:space="preserve"> REF _Ref421635000 \r \h </w:instrText>
      </w:r>
      <w:r>
        <w:fldChar w:fldCharType="separate"/>
      </w:r>
      <w:r w:rsidR="001D5AD9">
        <w:rPr>
          <w:szCs w:val="22"/>
          <w:lang w:val="en-US" w:eastAsia="en-GB" w:bidi="ar-SA"/>
        </w:rPr>
        <w:t>[23]</w:t>
      </w:r>
      <w:r>
        <w:fldChar w:fldCharType="end"/>
      </w:r>
      <w:r>
        <w:rPr>
          <w:szCs w:val="22"/>
          <w:lang w:val="en-US" w:eastAsia="en-GB" w:bidi="ar-SA"/>
        </w:rPr>
        <w:t>.</w:t>
      </w:r>
    </w:p>
    <w:p w14:paraId="10C4C36E" w14:textId="50A0AC46"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subjects codes linked with the “Remote Provisioning Architecture for Embedded UICC”, are regrouped under a dedicated category, which has the identifier value “8. eUICC Remote Provisioning” to avoid any conflict with the categories already defined in </w:t>
      </w:r>
      <w:r>
        <w:fldChar w:fldCharType="begin"/>
      </w:r>
      <w:r>
        <w:rPr>
          <w:szCs w:val="22"/>
          <w:lang w:val="en-US" w:eastAsia="en-GB" w:bidi="ar-SA"/>
        </w:rPr>
        <w:instrText xml:space="preserve"> REF _Ref421635000 \r \h </w:instrText>
      </w:r>
      <w:r>
        <w:fldChar w:fldCharType="separate"/>
      </w:r>
      <w:r w:rsidR="001D5AD9">
        <w:rPr>
          <w:szCs w:val="22"/>
          <w:lang w:val="en-US" w:eastAsia="en-GB" w:bidi="ar-SA"/>
        </w:rPr>
        <w:t>[23]</w:t>
      </w:r>
      <w:r>
        <w:fldChar w:fldCharType="end"/>
      </w:r>
      <w:r>
        <w:rPr>
          <w:szCs w:val="22"/>
          <w:lang w:val="en-US" w:eastAsia="en-GB" w:bidi="ar-SA"/>
        </w:rPr>
        <w:t>.</w:t>
      </w:r>
    </w:p>
    <w:p w14:paraId="678A1F8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possible values for the Subject code used in the context of this specification are defined as follow:</w:t>
      </w:r>
    </w:p>
    <w:p w14:paraId="38E8BD09" w14:textId="77777777" w:rsidR="00B97365" w:rsidRDefault="00000000">
      <w:pPr>
        <w:ind w:firstLine="720"/>
        <w:rPr>
          <w:rFonts w:cs="Arial"/>
          <w:szCs w:val="22"/>
        </w:rPr>
      </w:pPr>
      <w:r>
        <w:rPr>
          <w:rFonts w:cs="Arial"/>
          <w:szCs w:val="22"/>
        </w:rPr>
        <w:t>1.</w:t>
      </w:r>
      <w:r>
        <w:rPr>
          <w:rFonts w:cs="Arial"/>
          <w:szCs w:val="22"/>
        </w:rPr>
        <w:tab/>
        <w:t>Generic</w:t>
      </w:r>
    </w:p>
    <w:p w14:paraId="53A8DC2F" w14:textId="77777777" w:rsidR="00B97365" w:rsidRDefault="00000000">
      <w:pPr>
        <w:ind w:left="720" w:firstLine="720"/>
        <w:rPr>
          <w:rFonts w:cs="Arial"/>
          <w:szCs w:val="22"/>
        </w:rPr>
      </w:pPr>
      <w:r>
        <w:rPr>
          <w:rFonts w:cs="Arial"/>
          <w:szCs w:val="22"/>
        </w:rPr>
        <w:t>1.1.</w:t>
      </w:r>
      <w:r>
        <w:rPr>
          <w:rFonts w:cs="Arial"/>
          <w:szCs w:val="22"/>
        </w:rPr>
        <w:tab/>
        <w:t>Function Requester</w:t>
      </w:r>
    </w:p>
    <w:p w14:paraId="1013CFB8" w14:textId="77777777" w:rsidR="00B97365" w:rsidRDefault="00000000">
      <w:pPr>
        <w:ind w:left="720" w:firstLine="720"/>
        <w:rPr>
          <w:rFonts w:cs="Arial"/>
          <w:szCs w:val="22"/>
        </w:rPr>
      </w:pPr>
      <w:r>
        <w:rPr>
          <w:rFonts w:cs="Arial"/>
          <w:szCs w:val="22"/>
        </w:rPr>
        <w:t>1.2.</w:t>
      </w:r>
      <w:r>
        <w:rPr>
          <w:rFonts w:cs="Arial"/>
          <w:szCs w:val="22"/>
        </w:rPr>
        <w:tab/>
        <w:t>Function Provider</w:t>
      </w:r>
    </w:p>
    <w:p w14:paraId="631474BF" w14:textId="77777777" w:rsidR="00B97365" w:rsidRDefault="00000000">
      <w:pPr>
        <w:ind w:left="1440" w:firstLine="720"/>
        <w:rPr>
          <w:rFonts w:cs="Arial"/>
          <w:szCs w:val="22"/>
        </w:rPr>
      </w:pPr>
      <w:r>
        <w:rPr>
          <w:rFonts w:cs="Arial"/>
          <w:szCs w:val="22"/>
        </w:rPr>
        <w:t>1.2.1.</w:t>
      </w:r>
      <w:r>
        <w:rPr>
          <w:rFonts w:cs="Arial"/>
          <w:szCs w:val="22"/>
        </w:rPr>
        <w:tab/>
        <w:t>Validity Period</w:t>
      </w:r>
    </w:p>
    <w:p w14:paraId="22CFB85A" w14:textId="77777777" w:rsidR="00B97365" w:rsidRDefault="00000000">
      <w:pPr>
        <w:ind w:left="720" w:firstLine="720"/>
        <w:rPr>
          <w:rFonts w:cs="Arial"/>
          <w:szCs w:val="22"/>
        </w:rPr>
      </w:pPr>
      <w:r>
        <w:rPr>
          <w:rFonts w:cs="Arial"/>
          <w:szCs w:val="22"/>
        </w:rPr>
        <w:t>1.3.</w:t>
      </w:r>
      <w:r>
        <w:rPr>
          <w:rFonts w:cs="Arial"/>
          <w:szCs w:val="22"/>
        </w:rPr>
        <w:tab/>
        <w:t>Protocol</w:t>
      </w:r>
    </w:p>
    <w:p w14:paraId="15E01CEE" w14:textId="77777777" w:rsidR="00B97365" w:rsidRDefault="00000000">
      <w:pPr>
        <w:ind w:left="1440" w:firstLine="720"/>
        <w:rPr>
          <w:rFonts w:cs="Arial"/>
          <w:szCs w:val="22"/>
        </w:rPr>
      </w:pPr>
      <w:r>
        <w:rPr>
          <w:rFonts w:cs="Arial"/>
          <w:szCs w:val="22"/>
        </w:rPr>
        <w:t>1.3.1.</w:t>
      </w:r>
      <w:r>
        <w:rPr>
          <w:rFonts w:cs="Arial"/>
          <w:szCs w:val="22"/>
        </w:rPr>
        <w:tab/>
        <w:t>Protocol Format</w:t>
      </w:r>
    </w:p>
    <w:p w14:paraId="51C28DD5" w14:textId="77777777" w:rsidR="00B97365" w:rsidRDefault="00000000">
      <w:pPr>
        <w:ind w:left="1440" w:firstLine="720"/>
        <w:rPr>
          <w:rFonts w:cs="Arial"/>
          <w:szCs w:val="22"/>
        </w:rPr>
      </w:pPr>
      <w:r>
        <w:rPr>
          <w:rFonts w:cs="Arial"/>
          <w:szCs w:val="22"/>
        </w:rPr>
        <w:t>1.3.2.</w:t>
      </w:r>
      <w:r>
        <w:rPr>
          <w:rFonts w:cs="Arial"/>
          <w:szCs w:val="22"/>
        </w:rPr>
        <w:tab/>
        <w:t>Protocol Version</w:t>
      </w:r>
    </w:p>
    <w:p w14:paraId="2FC80723" w14:textId="77777777" w:rsidR="00B97365" w:rsidRDefault="00000000">
      <w:pPr>
        <w:ind w:left="720" w:firstLine="720"/>
        <w:rPr>
          <w:rFonts w:cs="Arial"/>
          <w:szCs w:val="22"/>
          <w:lang w:val="en-US"/>
        </w:rPr>
      </w:pPr>
      <w:r>
        <w:rPr>
          <w:rFonts w:cs="Arial"/>
          <w:szCs w:val="22"/>
          <w:lang w:val="en-US"/>
        </w:rPr>
        <w:t>1.4.</w:t>
      </w:r>
      <w:r>
        <w:rPr>
          <w:rFonts w:cs="Arial"/>
          <w:szCs w:val="22"/>
          <w:lang w:val="en-US"/>
        </w:rPr>
        <w:tab/>
        <w:t>External Resource</w:t>
      </w:r>
    </w:p>
    <w:p w14:paraId="27C68CA1" w14:textId="77777777" w:rsidR="00B97365" w:rsidRDefault="00000000">
      <w:pPr>
        <w:ind w:left="720" w:firstLine="720"/>
        <w:rPr>
          <w:rFonts w:cs="Arial"/>
          <w:szCs w:val="22"/>
          <w:lang w:val="en-US"/>
        </w:rPr>
      </w:pPr>
      <w:r>
        <w:rPr>
          <w:rFonts w:cs="Arial"/>
          <w:szCs w:val="22"/>
          <w:lang w:val="en-US"/>
        </w:rPr>
        <w:t>1.5</w:t>
      </w:r>
      <w:r>
        <w:rPr>
          <w:rFonts w:cs="Arial"/>
          <w:szCs w:val="22"/>
          <w:lang w:val="en-US"/>
        </w:rPr>
        <w:tab/>
        <w:t>Extension Resource</w:t>
      </w:r>
    </w:p>
    <w:p w14:paraId="070DB7D6" w14:textId="77777777" w:rsidR="00B97365" w:rsidRDefault="00000000">
      <w:pPr>
        <w:ind w:left="720" w:firstLine="720"/>
        <w:rPr>
          <w:rFonts w:cs="Arial"/>
          <w:szCs w:val="22"/>
        </w:rPr>
      </w:pPr>
      <w:r>
        <w:rPr>
          <w:rFonts w:cs="Arial"/>
          <w:szCs w:val="22"/>
        </w:rPr>
        <w:t>1.6</w:t>
      </w:r>
      <w:r>
        <w:rPr>
          <w:rFonts w:cs="Arial"/>
          <w:szCs w:val="22"/>
        </w:rPr>
        <w:tab/>
        <w:t>Function</w:t>
      </w:r>
    </w:p>
    <w:p w14:paraId="34523AD3" w14:textId="77777777" w:rsidR="00B97365" w:rsidRDefault="00000000">
      <w:pPr>
        <w:ind w:firstLine="720"/>
        <w:rPr>
          <w:rFonts w:cs="Arial"/>
          <w:szCs w:val="22"/>
        </w:rPr>
      </w:pPr>
      <w:r>
        <w:rPr>
          <w:rFonts w:cs="Arial"/>
          <w:szCs w:val="22"/>
        </w:rPr>
        <w:t>8.</w:t>
      </w:r>
      <w:r>
        <w:rPr>
          <w:rFonts w:cs="Arial"/>
          <w:szCs w:val="22"/>
        </w:rPr>
        <w:tab/>
        <w:t xml:space="preserve">eUICC Remote Provisioning </w:t>
      </w:r>
    </w:p>
    <w:p w14:paraId="51A77F54" w14:textId="77777777" w:rsidR="00B97365" w:rsidRDefault="00000000">
      <w:pPr>
        <w:rPr>
          <w:rFonts w:cs="Arial"/>
          <w:szCs w:val="22"/>
        </w:rPr>
      </w:pPr>
      <w:r>
        <w:rPr>
          <w:rFonts w:cs="Arial"/>
          <w:szCs w:val="22"/>
        </w:rPr>
        <w:lastRenderedPageBreak/>
        <w:tab/>
      </w:r>
      <w:r>
        <w:rPr>
          <w:rFonts w:cs="Arial"/>
          <w:szCs w:val="22"/>
        </w:rPr>
        <w:tab/>
        <w:t xml:space="preserve">8.1 eUICC </w:t>
      </w:r>
    </w:p>
    <w:p w14:paraId="21CC88B8" w14:textId="77777777" w:rsidR="00B97365" w:rsidRDefault="00000000">
      <w:pPr>
        <w:rPr>
          <w:rFonts w:cs="Arial"/>
          <w:szCs w:val="22"/>
        </w:rPr>
      </w:pPr>
      <w:r>
        <w:rPr>
          <w:rFonts w:cs="Arial"/>
          <w:szCs w:val="22"/>
        </w:rPr>
        <w:tab/>
      </w:r>
      <w:r>
        <w:rPr>
          <w:rFonts w:cs="Arial"/>
          <w:szCs w:val="22"/>
        </w:rPr>
        <w:tab/>
      </w:r>
      <w:r>
        <w:rPr>
          <w:rFonts w:cs="Arial"/>
          <w:szCs w:val="22"/>
        </w:rPr>
        <w:tab/>
        <w:t xml:space="preserve">8.1.1 EID </w:t>
      </w:r>
    </w:p>
    <w:p w14:paraId="3EA5AE18" w14:textId="77777777" w:rsidR="00B97365" w:rsidRPr="003C254C" w:rsidRDefault="00000000">
      <w:pPr>
        <w:ind w:left="720" w:firstLine="720"/>
        <w:rPr>
          <w:rFonts w:cs="Arial"/>
          <w:szCs w:val="22"/>
        </w:rPr>
      </w:pPr>
      <w:r w:rsidRPr="003C254C">
        <w:rPr>
          <w:rFonts w:cs="Arial"/>
          <w:szCs w:val="22"/>
        </w:rPr>
        <w:t>8.2 Profile</w:t>
      </w:r>
    </w:p>
    <w:p w14:paraId="7514B1D9" w14:textId="77777777" w:rsidR="00B97365" w:rsidRPr="003C254C" w:rsidRDefault="00000000">
      <w:pPr>
        <w:ind w:left="1440" w:firstLine="720"/>
        <w:rPr>
          <w:rFonts w:cs="Arial"/>
          <w:szCs w:val="22"/>
        </w:rPr>
      </w:pPr>
      <w:bookmarkStart w:id="3246" w:name="_Toc420594694"/>
      <w:r w:rsidRPr="003C254C">
        <w:rPr>
          <w:rFonts w:cs="Arial"/>
          <w:szCs w:val="22"/>
        </w:rPr>
        <w:t>8.2.1 Profile ICCID</w:t>
      </w:r>
      <w:bookmarkEnd w:id="3246"/>
    </w:p>
    <w:p w14:paraId="35F7B796" w14:textId="77777777" w:rsidR="00B97365" w:rsidRPr="003C254C" w:rsidRDefault="00000000">
      <w:pPr>
        <w:ind w:left="1440" w:firstLine="720"/>
        <w:rPr>
          <w:rFonts w:cs="Arial"/>
          <w:szCs w:val="22"/>
        </w:rPr>
      </w:pPr>
      <w:r w:rsidRPr="003C254C">
        <w:rPr>
          <w:rFonts w:cs="Arial"/>
          <w:szCs w:val="22"/>
        </w:rPr>
        <w:t>8.2.2 POL1</w:t>
      </w:r>
    </w:p>
    <w:p w14:paraId="7B4AC2BD" w14:textId="77777777" w:rsidR="00B97365" w:rsidRPr="003C254C" w:rsidRDefault="00000000">
      <w:pPr>
        <w:ind w:left="1440" w:firstLine="720"/>
        <w:rPr>
          <w:rFonts w:cs="Arial"/>
          <w:szCs w:val="22"/>
        </w:rPr>
      </w:pPr>
      <w:bookmarkStart w:id="3247" w:name="_Toc420594695"/>
      <w:r w:rsidRPr="003C254C">
        <w:rPr>
          <w:rFonts w:cs="Arial"/>
          <w:szCs w:val="22"/>
        </w:rPr>
        <w:t>8.2.3 POL2</w:t>
      </w:r>
      <w:bookmarkEnd w:id="3247"/>
    </w:p>
    <w:p w14:paraId="7E1DD746" w14:textId="77777777" w:rsidR="00B97365" w:rsidRPr="003C254C" w:rsidRDefault="00000000">
      <w:pPr>
        <w:ind w:left="1440" w:firstLine="720"/>
        <w:rPr>
          <w:rFonts w:cs="Arial"/>
          <w:szCs w:val="22"/>
        </w:rPr>
      </w:pPr>
      <w:r w:rsidRPr="003C254C">
        <w:rPr>
          <w:rFonts w:cs="Arial"/>
          <w:szCs w:val="22"/>
        </w:rPr>
        <w:t>8.2.4 Void</w:t>
      </w:r>
    </w:p>
    <w:p w14:paraId="59D89A21" w14:textId="77777777" w:rsidR="00B97365" w:rsidRDefault="00000000">
      <w:pPr>
        <w:ind w:left="1440" w:firstLine="720"/>
        <w:rPr>
          <w:rFonts w:cs="Arial"/>
          <w:szCs w:val="22"/>
        </w:rPr>
      </w:pPr>
      <w:bookmarkStart w:id="3248" w:name="_Toc420594696"/>
      <w:r>
        <w:rPr>
          <w:rFonts w:cs="Arial"/>
          <w:szCs w:val="22"/>
        </w:rPr>
        <w:t>8.2.5 Profile Type</w:t>
      </w:r>
      <w:bookmarkEnd w:id="3248"/>
    </w:p>
    <w:p w14:paraId="659DCE03" w14:textId="77777777" w:rsidR="00B97365" w:rsidRDefault="00000000">
      <w:pPr>
        <w:ind w:left="1440" w:firstLine="720"/>
        <w:rPr>
          <w:rFonts w:cs="Arial"/>
          <w:szCs w:val="22"/>
        </w:rPr>
      </w:pPr>
      <w:r>
        <w:rPr>
          <w:rFonts w:cs="Arial"/>
          <w:szCs w:val="22"/>
        </w:rPr>
        <w:t>8.2.6 Subscription Address</w:t>
      </w:r>
    </w:p>
    <w:p w14:paraId="71F523C0" w14:textId="77777777" w:rsidR="00B97365" w:rsidRDefault="00000000">
      <w:pPr>
        <w:ind w:left="1440" w:firstLine="720"/>
        <w:rPr>
          <w:rFonts w:cs="Arial"/>
          <w:szCs w:val="22"/>
        </w:rPr>
      </w:pPr>
      <w:r>
        <w:rPr>
          <w:rFonts w:cs="Arial"/>
          <w:szCs w:val="22"/>
        </w:rPr>
        <w:t>8.2.7 PLMA</w:t>
      </w:r>
    </w:p>
    <w:p w14:paraId="646974B5" w14:textId="77777777" w:rsidR="00B97365" w:rsidRDefault="00000000">
      <w:pPr>
        <w:ind w:left="1440" w:firstLine="720"/>
        <w:rPr>
          <w:rFonts w:cs="Arial"/>
          <w:szCs w:val="22"/>
        </w:rPr>
      </w:pPr>
      <w:r>
        <w:rPr>
          <w:rFonts w:cs="Arial"/>
          <w:szCs w:val="22"/>
        </w:rPr>
        <w:t>8.2.8 ONC</w:t>
      </w:r>
    </w:p>
    <w:p w14:paraId="3CAF3C9D" w14:textId="77777777" w:rsidR="00B97365" w:rsidRDefault="00000000">
      <w:pPr>
        <w:ind w:left="720" w:firstLine="720"/>
        <w:rPr>
          <w:rFonts w:cs="Arial"/>
          <w:szCs w:val="22"/>
        </w:rPr>
      </w:pPr>
      <w:r>
        <w:rPr>
          <w:rFonts w:cs="Arial"/>
          <w:szCs w:val="22"/>
        </w:rPr>
        <w:t>8.3 ISD-P</w:t>
      </w:r>
    </w:p>
    <w:p w14:paraId="29B52C5A" w14:textId="77777777" w:rsidR="00B97365" w:rsidRDefault="00000000">
      <w:pPr>
        <w:ind w:left="720" w:firstLine="720"/>
        <w:rPr>
          <w:rFonts w:cs="Arial"/>
          <w:szCs w:val="22"/>
        </w:rPr>
      </w:pPr>
      <w:r>
        <w:rPr>
          <w:rFonts w:cs="Arial"/>
          <w:szCs w:val="22"/>
        </w:rPr>
        <w:tab/>
        <w:t>8.3.1 ISD-P-AID</w:t>
      </w:r>
    </w:p>
    <w:p w14:paraId="26733FF4" w14:textId="77777777" w:rsidR="00B97365" w:rsidRDefault="00000000">
      <w:pPr>
        <w:ind w:left="720" w:firstLine="720"/>
        <w:rPr>
          <w:rFonts w:cs="Arial"/>
          <w:szCs w:val="22"/>
        </w:rPr>
      </w:pPr>
      <w:r>
        <w:rPr>
          <w:rFonts w:cs="Arial"/>
          <w:szCs w:val="22"/>
        </w:rPr>
        <w:t>8.4 ISD-R</w:t>
      </w:r>
    </w:p>
    <w:p w14:paraId="2E694384" w14:textId="77777777" w:rsidR="00B97365" w:rsidRDefault="00000000">
      <w:pPr>
        <w:ind w:left="720" w:firstLine="720"/>
        <w:rPr>
          <w:rFonts w:cs="Arial"/>
          <w:szCs w:val="22"/>
        </w:rPr>
      </w:pPr>
      <w:r>
        <w:rPr>
          <w:rFonts w:cs="Arial"/>
          <w:szCs w:val="22"/>
        </w:rPr>
        <w:t>8.5 ECASD</w:t>
      </w:r>
    </w:p>
    <w:p w14:paraId="174FEA8F" w14:textId="77777777" w:rsidR="00B97365" w:rsidRDefault="00000000">
      <w:pPr>
        <w:ind w:left="720" w:firstLine="720"/>
        <w:rPr>
          <w:rFonts w:cs="Arial"/>
          <w:szCs w:val="22"/>
        </w:rPr>
      </w:pPr>
      <w:r>
        <w:rPr>
          <w:rFonts w:cs="Arial"/>
          <w:szCs w:val="22"/>
        </w:rPr>
        <w:tab/>
        <w:t>8.5.1</w:t>
      </w:r>
      <w:r>
        <w:rPr>
          <w:rFonts w:cs="Arial"/>
          <w:szCs w:val="22"/>
        </w:rPr>
        <w:tab/>
        <w:t>Certification Request</w:t>
      </w:r>
    </w:p>
    <w:p w14:paraId="6FE62DFD" w14:textId="77777777" w:rsidR="00B97365" w:rsidRDefault="00000000">
      <w:pPr>
        <w:ind w:left="1440" w:firstLine="720"/>
        <w:rPr>
          <w:rFonts w:cs="Arial"/>
          <w:szCs w:val="22"/>
        </w:rPr>
      </w:pPr>
      <w:r>
        <w:rPr>
          <w:rFonts w:cs="Arial"/>
          <w:szCs w:val="22"/>
        </w:rPr>
        <w:t>8.5.2</w:t>
      </w:r>
      <w:r>
        <w:rPr>
          <w:rFonts w:cs="Arial"/>
          <w:szCs w:val="22"/>
        </w:rPr>
        <w:tab/>
        <w:t>Embedded UICC Certificate Authority</w:t>
      </w:r>
    </w:p>
    <w:p w14:paraId="6C7F2C08" w14:textId="77777777" w:rsidR="00B97365" w:rsidRDefault="00000000">
      <w:pPr>
        <w:spacing w:before="0" w:after="200" w:line="276" w:lineRule="auto"/>
        <w:ind w:firstLine="720"/>
        <w:jc w:val="left"/>
        <w:rPr>
          <w:rFonts w:cs="Arial"/>
          <w:szCs w:val="22"/>
          <w:lang w:eastAsia="en-GB" w:bidi="ar-SA"/>
        </w:rPr>
      </w:pPr>
      <w:r>
        <w:rPr>
          <w:rFonts w:cs="Arial"/>
          <w:szCs w:val="22"/>
          <w:lang w:eastAsia="en-GB" w:bidi="ar-SA"/>
        </w:rPr>
        <w:tab/>
        <w:t>8.6 EIS</w:t>
      </w:r>
    </w:p>
    <w:p w14:paraId="65C9291D" w14:textId="77777777" w:rsidR="00B97365" w:rsidRDefault="00000000">
      <w:pPr>
        <w:spacing w:before="0" w:after="200" w:line="276" w:lineRule="auto"/>
        <w:ind w:left="720" w:firstLine="720"/>
        <w:jc w:val="left"/>
        <w:rPr>
          <w:rFonts w:cs="Arial"/>
          <w:szCs w:val="22"/>
          <w:lang w:eastAsia="en-GB" w:bidi="ar-SA"/>
        </w:rPr>
      </w:pPr>
      <w:r>
        <w:rPr>
          <w:rFonts w:cs="Arial"/>
          <w:szCs w:val="22"/>
          <w:lang w:eastAsia="en-GB" w:bidi="ar-SA"/>
        </w:rPr>
        <w:t>8.7 SM-SR</w:t>
      </w:r>
    </w:p>
    <w:p w14:paraId="713B2143" w14:textId="77777777" w:rsidR="00B97365" w:rsidRDefault="00000000">
      <w:pPr>
        <w:spacing w:before="0" w:after="200" w:line="276" w:lineRule="auto"/>
        <w:ind w:left="1440" w:firstLine="720"/>
        <w:jc w:val="left"/>
        <w:rPr>
          <w:rFonts w:cs="Arial"/>
          <w:szCs w:val="22"/>
          <w:lang w:eastAsia="en-GB" w:bidi="ar-SA"/>
        </w:rPr>
      </w:pPr>
      <w:r>
        <w:rPr>
          <w:rFonts w:cs="Arial"/>
          <w:szCs w:val="22"/>
          <w:lang w:eastAsia="en-GB" w:bidi="ar-SA"/>
        </w:rPr>
        <w:t>8.7.1 SM-SR certificate</w:t>
      </w:r>
    </w:p>
    <w:p w14:paraId="0477FE7B" w14:textId="77777777" w:rsidR="00B97365" w:rsidRDefault="00000000">
      <w:pPr>
        <w:spacing w:before="0" w:after="200" w:line="276" w:lineRule="auto"/>
        <w:ind w:left="720"/>
        <w:jc w:val="left"/>
        <w:rPr>
          <w:rFonts w:cs="Arial"/>
          <w:szCs w:val="22"/>
          <w:lang w:eastAsia="en-GB" w:bidi="ar-SA"/>
        </w:rPr>
      </w:pPr>
      <w:r>
        <w:rPr>
          <w:rFonts w:cs="Arial"/>
          <w:szCs w:val="22"/>
          <w:lang w:eastAsia="en-GB" w:bidi="ar-SA"/>
        </w:rPr>
        <w:tab/>
        <w:t>8.8 SM-DP</w:t>
      </w:r>
    </w:p>
    <w:p w14:paraId="0A6A60F8" w14:textId="77777777" w:rsidR="00B97365" w:rsidRDefault="00000000">
      <w:pPr>
        <w:spacing w:before="0" w:after="200" w:line="276" w:lineRule="auto"/>
        <w:ind w:left="720" w:firstLine="720"/>
        <w:jc w:val="left"/>
        <w:rPr>
          <w:rFonts w:cs="Arial"/>
          <w:szCs w:val="22"/>
          <w:lang w:eastAsia="en-GB" w:bidi="ar-SA"/>
        </w:rPr>
      </w:pPr>
      <w:r>
        <w:rPr>
          <w:rFonts w:cs="Arial"/>
          <w:szCs w:val="22"/>
          <w:lang w:eastAsia="en-GB" w:bidi="ar-SA"/>
        </w:rPr>
        <w:t>8.9 M2M SP</w:t>
      </w:r>
    </w:p>
    <w:p w14:paraId="2E16CAFC" w14:textId="77777777" w:rsidR="00B97365" w:rsidRDefault="00000000">
      <w:pPr>
        <w:spacing w:before="0" w:after="200" w:line="276" w:lineRule="auto"/>
        <w:ind w:left="720" w:firstLine="720"/>
        <w:jc w:val="left"/>
        <w:rPr>
          <w:rFonts w:cs="Calibri"/>
        </w:rPr>
      </w:pPr>
      <w:r>
        <w:rPr>
          <w:rFonts w:cs="Arial"/>
          <w:szCs w:val="22"/>
          <w:lang w:eastAsia="en-GB" w:bidi="ar-SA"/>
        </w:rPr>
        <w:t>8.10 Operator</w:t>
      </w:r>
    </w:p>
    <w:p w14:paraId="3B75E490"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3249" w:name="_Toc368932277"/>
      <w:bookmarkStart w:id="3250" w:name="_Ref367973483"/>
      <w:bookmarkStart w:id="3251" w:name="_Toc1977345"/>
      <w:bookmarkStart w:id="3252" w:name="_Toc37062504"/>
      <w:r>
        <w:rPr>
          <w:rFonts w:ascii="Arial Bold" w:eastAsia="Times New Roman" w:hAnsi="Arial Bold" w:cs="Arial"/>
          <w:b/>
          <w:iCs/>
          <w:szCs w:val="28"/>
          <w:lang w:eastAsia="en-US"/>
        </w:rPr>
        <w:t>Reason Code</w:t>
      </w:r>
      <w:bookmarkEnd w:id="3249"/>
      <w:bookmarkEnd w:id="3250"/>
      <w:bookmarkEnd w:id="3251"/>
      <w:bookmarkEnd w:id="3252"/>
    </w:p>
    <w:p w14:paraId="34CE38F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Reason code represents, from the function provider perspective, the reason why the exception occurred. </w:t>
      </w:r>
    </w:p>
    <w:p w14:paraId="666B13BF" w14:textId="54911DD8" w:rsidR="00B97365" w:rsidRDefault="00000000">
      <w:pPr>
        <w:spacing w:before="0" w:after="200" w:line="276" w:lineRule="auto"/>
        <w:jc w:val="left"/>
        <w:rPr>
          <w:szCs w:val="22"/>
          <w:lang w:val="en-US" w:eastAsia="en-GB" w:bidi="ar-SA"/>
        </w:rPr>
      </w:pPr>
      <w:r>
        <w:rPr>
          <w:rFonts w:cs="Arial"/>
          <w:szCs w:val="22"/>
          <w:lang w:val="en-US" w:eastAsia="en-GB" w:bidi="ar-SA"/>
        </w:rPr>
        <w:t xml:space="preserve">As for Subject Code, GlobalPlatform System, Messaging Specification for Management of Mobile-NFC Services </w:t>
      </w:r>
      <w:r>
        <w:fldChar w:fldCharType="begin"/>
      </w:r>
      <w:r>
        <w:rPr>
          <w:szCs w:val="22"/>
          <w:lang w:val="en-US" w:eastAsia="en-GB" w:bidi="ar-SA"/>
        </w:rPr>
        <w:instrText xml:space="preserve"> REF _Ref421635000 \r \h </w:instrText>
      </w:r>
      <w:r>
        <w:fldChar w:fldCharType="separate"/>
      </w:r>
      <w:r w:rsidR="001D5AD9">
        <w:rPr>
          <w:szCs w:val="22"/>
          <w:lang w:val="en-US" w:eastAsia="en-GB" w:bidi="ar-SA"/>
        </w:rPr>
        <w:t>[23]</w:t>
      </w:r>
      <w:r>
        <w:fldChar w:fldCharType="end"/>
      </w:r>
      <w:r>
        <w:rPr>
          <w:szCs w:val="22"/>
          <w:lang w:val="en-US" w:eastAsia="en-GB" w:bidi="ar-SA"/>
        </w:rPr>
        <w:t xml:space="preserve"> already defines some reason codes that are organised as a tree representation. This specification proposes to reuse the following categories coming from </w:t>
      </w:r>
      <w:r>
        <w:fldChar w:fldCharType="begin"/>
      </w:r>
      <w:r>
        <w:rPr>
          <w:szCs w:val="22"/>
          <w:lang w:val="en-US" w:eastAsia="en-GB" w:bidi="ar-SA"/>
        </w:rPr>
        <w:instrText xml:space="preserve"> REF _Ref421635000 \r \h </w:instrText>
      </w:r>
      <w:r>
        <w:fldChar w:fldCharType="separate"/>
      </w:r>
      <w:r w:rsidR="001D5AD9">
        <w:rPr>
          <w:szCs w:val="22"/>
          <w:lang w:val="en-US" w:eastAsia="en-GB" w:bidi="ar-SA"/>
        </w:rPr>
        <w:t>[23]</w:t>
      </w:r>
      <w:r>
        <w:fldChar w:fldCharType="end"/>
      </w:r>
      <w:r>
        <w:rPr>
          <w:szCs w:val="22"/>
          <w:lang w:val="en-US" w:eastAsia="en-GB" w:bidi="ar-SA"/>
        </w:rPr>
        <w:t>:</w:t>
      </w:r>
    </w:p>
    <w:p w14:paraId="34E167F2" w14:textId="77777777" w:rsidR="00B97365" w:rsidRDefault="00000000">
      <w:pPr>
        <w:numPr>
          <w:ilvl w:val="0"/>
          <w:numId w:val="50"/>
        </w:numPr>
        <w:spacing w:before="0" w:after="200" w:line="276" w:lineRule="auto"/>
        <w:contextualSpacing/>
      </w:pPr>
      <w:r>
        <w:tab/>
        <w:t>Access error</w:t>
      </w:r>
    </w:p>
    <w:p w14:paraId="465D756C" w14:textId="77777777" w:rsidR="00B97365" w:rsidRDefault="00000000">
      <w:pPr>
        <w:numPr>
          <w:ilvl w:val="0"/>
          <w:numId w:val="44"/>
        </w:numPr>
        <w:spacing w:before="0" w:after="200" w:line="276" w:lineRule="auto"/>
        <w:contextualSpacing/>
      </w:pPr>
      <w:r>
        <w:tab/>
        <w:t>Format error</w:t>
      </w:r>
    </w:p>
    <w:p w14:paraId="0A6E8728" w14:textId="77777777" w:rsidR="00B97365" w:rsidRDefault="00000000">
      <w:pPr>
        <w:numPr>
          <w:ilvl w:val="0"/>
          <w:numId w:val="44"/>
        </w:numPr>
        <w:spacing w:before="0" w:after="200" w:line="276" w:lineRule="auto"/>
        <w:contextualSpacing/>
      </w:pPr>
      <w:r>
        <w:tab/>
        <w:t>Conditions of use not satisfied</w:t>
      </w:r>
    </w:p>
    <w:p w14:paraId="4D43B19E" w14:textId="77777777" w:rsidR="00B97365" w:rsidRDefault="00000000">
      <w:pPr>
        <w:numPr>
          <w:ilvl w:val="0"/>
          <w:numId w:val="44"/>
        </w:numPr>
        <w:spacing w:before="0" w:after="200" w:line="276" w:lineRule="auto"/>
        <w:contextualSpacing/>
      </w:pPr>
      <w:r>
        <w:tab/>
        <w:t>Processing error</w:t>
      </w:r>
    </w:p>
    <w:p w14:paraId="3901DB0F" w14:textId="77777777" w:rsidR="00B97365" w:rsidRDefault="00000000">
      <w:pPr>
        <w:numPr>
          <w:ilvl w:val="0"/>
          <w:numId w:val="44"/>
        </w:numPr>
        <w:spacing w:before="0" w:after="200" w:line="276" w:lineRule="auto"/>
        <w:contextualSpacing/>
      </w:pPr>
      <w:r>
        <w:tab/>
        <w:t>Transport error</w:t>
      </w:r>
    </w:p>
    <w:p w14:paraId="173D8E11" w14:textId="77777777" w:rsidR="00B97365" w:rsidRDefault="00000000">
      <w:pPr>
        <w:numPr>
          <w:ilvl w:val="0"/>
          <w:numId w:val="44"/>
        </w:numPr>
        <w:spacing w:before="0" w:after="200" w:line="276" w:lineRule="auto"/>
        <w:contextualSpacing/>
      </w:pPr>
      <w:r>
        <w:tab/>
        <w:t>Security error</w:t>
      </w:r>
    </w:p>
    <w:p w14:paraId="2F7FDDD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The possible values for the Reason code are defined as follow:</w:t>
      </w:r>
    </w:p>
    <w:p w14:paraId="576D8B3E" w14:textId="77777777" w:rsidR="00B97365" w:rsidRDefault="00000000">
      <w:pPr>
        <w:ind w:left="720"/>
        <w:rPr>
          <w:rFonts w:cs="Arial"/>
        </w:rPr>
      </w:pPr>
      <w:r>
        <w:rPr>
          <w:rFonts w:cs="Arial"/>
        </w:rPr>
        <w:t>1.</w:t>
      </w:r>
      <w:r>
        <w:rPr>
          <w:rFonts w:cs="Arial"/>
        </w:rPr>
        <w:tab/>
        <w:t>Access Error</w:t>
      </w:r>
    </w:p>
    <w:p w14:paraId="2083AE14" w14:textId="77777777" w:rsidR="00B97365" w:rsidRDefault="00000000">
      <w:pPr>
        <w:ind w:left="1440"/>
        <w:rPr>
          <w:rFonts w:cs="Arial"/>
        </w:rPr>
      </w:pPr>
      <w:r>
        <w:rPr>
          <w:rFonts w:cs="Arial"/>
        </w:rPr>
        <w:t>1.1.</w:t>
      </w:r>
      <w:r>
        <w:rPr>
          <w:rFonts w:cs="Arial"/>
        </w:rPr>
        <w:tab/>
        <w:t>Unknown (Identification or Authentication)</w:t>
      </w:r>
    </w:p>
    <w:p w14:paraId="76BA05F6" w14:textId="77777777" w:rsidR="00B97365" w:rsidRDefault="00000000">
      <w:pPr>
        <w:ind w:left="1440"/>
        <w:rPr>
          <w:rFonts w:cs="Arial"/>
        </w:rPr>
      </w:pPr>
      <w:r>
        <w:rPr>
          <w:rFonts w:cs="Arial"/>
        </w:rPr>
        <w:t>1.2.</w:t>
      </w:r>
      <w:r>
        <w:rPr>
          <w:rFonts w:cs="Arial"/>
        </w:rPr>
        <w:tab/>
        <w:t>Not Allowed (Authorisation)</w:t>
      </w:r>
    </w:p>
    <w:p w14:paraId="5983A042" w14:textId="77777777" w:rsidR="00B97365" w:rsidRDefault="00000000">
      <w:pPr>
        <w:ind w:left="720"/>
        <w:rPr>
          <w:rFonts w:cs="Arial"/>
        </w:rPr>
      </w:pPr>
      <w:r>
        <w:rPr>
          <w:rFonts w:cs="Arial"/>
        </w:rPr>
        <w:t>2.</w:t>
      </w:r>
      <w:r>
        <w:rPr>
          <w:rFonts w:cs="Arial"/>
        </w:rPr>
        <w:tab/>
        <w:t>Format Error</w:t>
      </w:r>
    </w:p>
    <w:p w14:paraId="29A7E16A" w14:textId="77777777" w:rsidR="00B97365" w:rsidRDefault="00000000">
      <w:pPr>
        <w:ind w:left="1440"/>
        <w:rPr>
          <w:rFonts w:cs="Arial"/>
        </w:rPr>
      </w:pPr>
      <w:r>
        <w:rPr>
          <w:rFonts w:cs="Arial"/>
        </w:rPr>
        <w:t>2.1.</w:t>
      </w:r>
      <w:r>
        <w:rPr>
          <w:rFonts w:cs="Arial"/>
        </w:rPr>
        <w:tab/>
        <w:t>Invalid</w:t>
      </w:r>
    </w:p>
    <w:p w14:paraId="287F6664" w14:textId="77777777" w:rsidR="00B97365" w:rsidRDefault="00000000">
      <w:pPr>
        <w:ind w:left="1440"/>
        <w:rPr>
          <w:rFonts w:cs="Arial"/>
        </w:rPr>
      </w:pPr>
      <w:r>
        <w:rPr>
          <w:rFonts w:cs="Arial"/>
        </w:rPr>
        <w:t>2.2.</w:t>
      </w:r>
      <w:r>
        <w:rPr>
          <w:rFonts w:cs="Arial"/>
        </w:rPr>
        <w:tab/>
        <w:t>Mandatory Element Missing</w:t>
      </w:r>
    </w:p>
    <w:p w14:paraId="3A87DDB9" w14:textId="77777777" w:rsidR="00B97365" w:rsidRDefault="00000000">
      <w:pPr>
        <w:ind w:left="1440"/>
        <w:rPr>
          <w:rFonts w:cs="Arial"/>
        </w:rPr>
      </w:pPr>
      <w:r>
        <w:rPr>
          <w:rFonts w:cs="Arial"/>
        </w:rPr>
        <w:t>2.3.</w:t>
      </w:r>
      <w:r>
        <w:rPr>
          <w:rFonts w:cs="Arial"/>
        </w:rPr>
        <w:tab/>
        <w:t>Conditional Element Missing</w:t>
      </w:r>
    </w:p>
    <w:p w14:paraId="0951E26B" w14:textId="77777777" w:rsidR="00B97365" w:rsidRDefault="00000000">
      <w:pPr>
        <w:ind w:left="720"/>
        <w:rPr>
          <w:rFonts w:cs="Arial"/>
        </w:rPr>
      </w:pPr>
      <w:r>
        <w:rPr>
          <w:rFonts w:cs="Arial"/>
        </w:rPr>
        <w:t>3.</w:t>
      </w:r>
      <w:r>
        <w:rPr>
          <w:rFonts w:cs="Arial"/>
        </w:rPr>
        <w:tab/>
        <w:t>Conditions of Use Not Satisfied</w:t>
      </w:r>
    </w:p>
    <w:p w14:paraId="2567DF0A" w14:textId="77777777" w:rsidR="00B97365" w:rsidRDefault="00000000">
      <w:pPr>
        <w:ind w:left="1440"/>
        <w:rPr>
          <w:rFonts w:cs="Arial"/>
        </w:rPr>
      </w:pPr>
      <w:r>
        <w:rPr>
          <w:rFonts w:cs="Arial"/>
        </w:rPr>
        <w:t>3.1.</w:t>
      </w:r>
      <w:r>
        <w:rPr>
          <w:rFonts w:cs="Arial"/>
        </w:rPr>
        <w:tab/>
        <w:t>Unsupported</w:t>
      </w:r>
    </w:p>
    <w:p w14:paraId="1CE45701" w14:textId="77777777" w:rsidR="00B97365" w:rsidRDefault="00000000">
      <w:pPr>
        <w:ind w:left="1440"/>
        <w:rPr>
          <w:rFonts w:cs="Arial"/>
        </w:rPr>
      </w:pPr>
      <w:r>
        <w:rPr>
          <w:rFonts w:cs="Arial"/>
        </w:rPr>
        <w:t>3.2.</w:t>
      </w:r>
      <w:r>
        <w:rPr>
          <w:rFonts w:cs="Arial"/>
        </w:rPr>
        <w:tab/>
        <w:t>Maximum Size Exceeded</w:t>
      </w:r>
    </w:p>
    <w:p w14:paraId="7EEA8911" w14:textId="77777777" w:rsidR="00B97365" w:rsidRDefault="00000000">
      <w:pPr>
        <w:ind w:left="1440"/>
        <w:rPr>
          <w:rFonts w:cs="Arial"/>
        </w:rPr>
      </w:pPr>
      <w:r>
        <w:rPr>
          <w:rFonts w:cs="Arial"/>
        </w:rPr>
        <w:t>3.3.</w:t>
      </w:r>
      <w:r>
        <w:rPr>
          <w:rFonts w:cs="Arial"/>
        </w:rPr>
        <w:tab/>
        <w:t>Already in Use (Uniqueness)</w:t>
      </w:r>
    </w:p>
    <w:p w14:paraId="06994ADD" w14:textId="77777777" w:rsidR="00B97365" w:rsidRDefault="00000000">
      <w:pPr>
        <w:ind w:left="1440"/>
        <w:rPr>
          <w:rFonts w:cs="Arial"/>
        </w:rPr>
      </w:pPr>
      <w:r>
        <w:rPr>
          <w:rFonts w:cs="Arial"/>
        </w:rPr>
        <w:t>3.4.</w:t>
      </w:r>
      <w:r>
        <w:rPr>
          <w:rFonts w:cs="Arial"/>
        </w:rPr>
        <w:tab/>
        <w:t>Invalid Destination</w:t>
      </w:r>
    </w:p>
    <w:p w14:paraId="41D9B329" w14:textId="77777777" w:rsidR="00B97365" w:rsidRDefault="00000000">
      <w:pPr>
        <w:ind w:left="1440"/>
        <w:rPr>
          <w:rFonts w:cs="Arial"/>
        </w:rPr>
      </w:pPr>
      <w:r>
        <w:rPr>
          <w:rFonts w:cs="Arial"/>
        </w:rPr>
        <w:t>3.5.</w:t>
      </w:r>
      <w:r>
        <w:rPr>
          <w:rFonts w:cs="Arial"/>
        </w:rPr>
        <w:tab/>
        <w:t>Invalid Transition</w:t>
      </w:r>
    </w:p>
    <w:p w14:paraId="57BB128C" w14:textId="77777777" w:rsidR="00B97365" w:rsidRDefault="00000000">
      <w:pPr>
        <w:ind w:left="1440"/>
        <w:rPr>
          <w:rFonts w:cs="Arial"/>
        </w:rPr>
      </w:pPr>
      <w:r>
        <w:rPr>
          <w:rFonts w:cs="Arial"/>
        </w:rPr>
        <w:t>3.6.</w:t>
      </w:r>
      <w:r>
        <w:rPr>
          <w:rFonts w:cs="Arial"/>
        </w:rPr>
        <w:tab/>
        <w:t>Related Objects Exists</w:t>
      </w:r>
    </w:p>
    <w:p w14:paraId="3EC358DB" w14:textId="77777777" w:rsidR="00B97365" w:rsidRDefault="00000000">
      <w:pPr>
        <w:ind w:left="1440"/>
        <w:rPr>
          <w:rFonts w:cs="Arial"/>
        </w:rPr>
      </w:pPr>
      <w:r>
        <w:rPr>
          <w:rFonts w:cs="Arial"/>
        </w:rPr>
        <w:t>3.7.</w:t>
      </w:r>
      <w:r>
        <w:rPr>
          <w:rFonts w:cs="Arial"/>
        </w:rPr>
        <w:tab/>
        <w:t>Unavailable</w:t>
      </w:r>
    </w:p>
    <w:p w14:paraId="673494C9" w14:textId="77777777" w:rsidR="00B97365" w:rsidRDefault="00000000">
      <w:pPr>
        <w:ind w:left="1440"/>
        <w:rPr>
          <w:rFonts w:cs="Arial"/>
        </w:rPr>
      </w:pPr>
      <w:r>
        <w:rPr>
          <w:rFonts w:cs="Arial"/>
        </w:rPr>
        <w:t>3.8.</w:t>
      </w:r>
      <w:r>
        <w:rPr>
          <w:rFonts w:cs="Arial"/>
        </w:rPr>
        <w:tab/>
        <w:t>Refused</w:t>
      </w:r>
    </w:p>
    <w:p w14:paraId="673CCAF1" w14:textId="77777777" w:rsidR="00B97365" w:rsidRDefault="00000000">
      <w:pPr>
        <w:ind w:left="1440"/>
        <w:rPr>
          <w:rFonts w:cs="Arial"/>
        </w:rPr>
      </w:pPr>
      <w:r>
        <w:rPr>
          <w:rFonts w:cs="Arial"/>
        </w:rPr>
        <w:t>3.9</w:t>
      </w:r>
      <w:r>
        <w:rPr>
          <w:rFonts w:cs="Arial"/>
        </w:rPr>
        <w:tab/>
        <w:t>Unknown</w:t>
      </w:r>
    </w:p>
    <w:p w14:paraId="22427D48" w14:textId="77777777" w:rsidR="00B97365" w:rsidRDefault="00000000">
      <w:pPr>
        <w:ind w:left="720"/>
        <w:rPr>
          <w:rFonts w:cs="Arial"/>
        </w:rPr>
      </w:pPr>
      <w:r>
        <w:rPr>
          <w:rFonts w:cs="Arial"/>
        </w:rPr>
        <w:t>4.</w:t>
      </w:r>
      <w:r>
        <w:rPr>
          <w:rFonts w:cs="Arial"/>
        </w:rPr>
        <w:tab/>
        <w:t>Processing Error</w:t>
      </w:r>
    </w:p>
    <w:p w14:paraId="6BCD050D" w14:textId="77777777" w:rsidR="00B97365" w:rsidRDefault="00000000">
      <w:pPr>
        <w:ind w:left="1440"/>
        <w:rPr>
          <w:rFonts w:cs="Arial"/>
        </w:rPr>
      </w:pPr>
      <w:r>
        <w:rPr>
          <w:rFonts w:cs="Arial"/>
        </w:rPr>
        <w:t>4.1.</w:t>
      </w:r>
      <w:r>
        <w:rPr>
          <w:rFonts w:cs="Arial"/>
        </w:rPr>
        <w:tab/>
        <w:t>Function Already in Progress</w:t>
      </w:r>
    </w:p>
    <w:p w14:paraId="3347B205" w14:textId="77777777" w:rsidR="00B97365" w:rsidRDefault="00000000">
      <w:pPr>
        <w:ind w:left="1440"/>
        <w:rPr>
          <w:rFonts w:cs="Arial"/>
        </w:rPr>
      </w:pPr>
      <w:r>
        <w:rPr>
          <w:rFonts w:cs="Arial"/>
        </w:rPr>
        <w:t>4.2.</w:t>
      </w:r>
      <w:r>
        <w:rPr>
          <w:rFonts w:cs="Arial"/>
        </w:rPr>
        <w:tab/>
        <w:t>Execution Error</w:t>
      </w:r>
    </w:p>
    <w:p w14:paraId="60852BAD" w14:textId="77777777" w:rsidR="00B97365" w:rsidRDefault="00000000">
      <w:pPr>
        <w:ind w:left="1440"/>
        <w:rPr>
          <w:rFonts w:cs="Arial"/>
        </w:rPr>
      </w:pPr>
      <w:r>
        <w:rPr>
          <w:rFonts w:cs="Arial"/>
        </w:rPr>
        <w:t>4.3.</w:t>
      </w:r>
      <w:r>
        <w:rPr>
          <w:rFonts w:cs="Arial"/>
        </w:rPr>
        <w:tab/>
        <w:t>Stopped on Warning</w:t>
      </w:r>
    </w:p>
    <w:p w14:paraId="6FE97F16" w14:textId="77777777" w:rsidR="00B97365" w:rsidRDefault="00000000">
      <w:pPr>
        <w:ind w:left="1440"/>
        <w:rPr>
          <w:rFonts w:cs="Arial"/>
        </w:rPr>
      </w:pPr>
      <w:r>
        <w:rPr>
          <w:rFonts w:cs="Arial"/>
        </w:rPr>
        <w:t>4.4.</w:t>
      </w:r>
      <w:r>
        <w:rPr>
          <w:rFonts w:cs="Arial"/>
        </w:rPr>
        <w:tab/>
        <w:t>Busy</w:t>
      </w:r>
    </w:p>
    <w:p w14:paraId="6BBD56C4" w14:textId="77777777" w:rsidR="00B97365" w:rsidRDefault="00000000">
      <w:pPr>
        <w:ind w:left="1440"/>
        <w:rPr>
          <w:rFonts w:cs="Arial"/>
        </w:rPr>
      </w:pPr>
      <w:r>
        <w:rPr>
          <w:rFonts w:cs="Arial"/>
        </w:rPr>
        <w:t>4.5.</w:t>
      </w:r>
      <w:r>
        <w:rPr>
          <w:rFonts w:cs="Arial"/>
        </w:rPr>
        <w:tab/>
        <w:t>Operation Already Processed</w:t>
      </w:r>
    </w:p>
    <w:p w14:paraId="59B68D12" w14:textId="77777777" w:rsidR="00B97365" w:rsidRDefault="00000000">
      <w:pPr>
        <w:ind w:left="1440"/>
        <w:rPr>
          <w:rFonts w:cs="Arial"/>
        </w:rPr>
      </w:pPr>
      <w:r>
        <w:rPr>
          <w:rFonts w:cs="Arial"/>
        </w:rPr>
        <w:t>4.6.</w:t>
      </w:r>
      <w:r>
        <w:rPr>
          <w:rFonts w:cs="Arial"/>
        </w:rPr>
        <w:tab/>
        <w:t>Not Present / Missing</w:t>
      </w:r>
    </w:p>
    <w:p w14:paraId="4B4ECCB8" w14:textId="77777777" w:rsidR="00B97365" w:rsidRDefault="00000000">
      <w:pPr>
        <w:ind w:left="1440"/>
        <w:rPr>
          <w:rFonts w:cs="Arial"/>
        </w:rPr>
      </w:pPr>
      <w:r>
        <w:rPr>
          <w:rFonts w:cs="Arial"/>
        </w:rPr>
        <w:t>4.7.</w:t>
      </w:r>
      <w:r>
        <w:rPr>
          <w:rFonts w:cs="Arial"/>
        </w:rPr>
        <w:tab/>
        <w:t>Generation Not Possible</w:t>
      </w:r>
    </w:p>
    <w:p w14:paraId="29109F3D" w14:textId="77777777" w:rsidR="00B97365" w:rsidRDefault="00000000">
      <w:pPr>
        <w:ind w:left="1440"/>
        <w:rPr>
          <w:rFonts w:cs="Arial"/>
        </w:rPr>
      </w:pPr>
      <w:r>
        <w:rPr>
          <w:rFonts w:cs="Arial"/>
        </w:rPr>
        <w:t>4.8.</w:t>
      </w:r>
      <w:r>
        <w:rPr>
          <w:rFonts w:cs="Arial"/>
        </w:rPr>
        <w:tab/>
        <w:t>Insufficient Memory</w:t>
      </w:r>
    </w:p>
    <w:p w14:paraId="7DB9AC51" w14:textId="77777777" w:rsidR="00B97365" w:rsidRDefault="00000000">
      <w:pPr>
        <w:ind w:left="1440"/>
        <w:rPr>
          <w:rFonts w:cs="Arial"/>
        </w:rPr>
      </w:pPr>
      <w:r>
        <w:rPr>
          <w:rFonts w:cs="Arial"/>
        </w:rPr>
        <w:t>4.9.</w:t>
      </w:r>
      <w:r>
        <w:rPr>
          <w:rFonts w:cs="Arial"/>
        </w:rPr>
        <w:tab/>
        <w:t>Unassigned</w:t>
      </w:r>
    </w:p>
    <w:p w14:paraId="5714925D" w14:textId="77777777" w:rsidR="00B97365" w:rsidRDefault="00000000">
      <w:pPr>
        <w:ind w:left="720"/>
        <w:rPr>
          <w:rFonts w:cs="Arial"/>
        </w:rPr>
      </w:pPr>
      <w:r>
        <w:rPr>
          <w:rFonts w:cs="Arial"/>
        </w:rPr>
        <w:t>5.</w:t>
      </w:r>
      <w:r>
        <w:rPr>
          <w:rFonts w:cs="Arial"/>
        </w:rPr>
        <w:tab/>
        <w:t>Transport Error</w:t>
      </w:r>
    </w:p>
    <w:p w14:paraId="4B3FEC33" w14:textId="77777777" w:rsidR="00B97365" w:rsidRDefault="00000000">
      <w:pPr>
        <w:ind w:left="1440"/>
        <w:rPr>
          <w:rFonts w:cs="Arial"/>
        </w:rPr>
      </w:pPr>
      <w:r>
        <w:rPr>
          <w:rFonts w:cs="Arial"/>
        </w:rPr>
        <w:t>5.1.</w:t>
      </w:r>
      <w:r>
        <w:rPr>
          <w:rFonts w:cs="Arial"/>
        </w:rPr>
        <w:tab/>
        <w:t xml:space="preserve">Inaccessible </w:t>
      </w:r>
    </w:p>
    <w:p w14:paraId="6E554860" w14:textId="77777777" w:rsidR="00B97365" w:rsidRDefault="00000000">
      <w:pPr>
        <w:ind w:left="1440"/>
        <w:rPr>
          <w:rFonts w:cs="Arial"/>
        </w:rPr>
      </w:pPr>
      <w:r>
        <w:rPr>
          <w:rFonts w:cs="Arial"/>
        </w:rPr>
        <w:t>5.2.</w:t>
      </w:r>
      <w:r>
        <w:rPr>
          <w:rFonts w:cs="Arial"/>
        </w:rPr>
        <w:tab/>
        <w:t>Timeout</w:t>
      </w:r>
    </w:p>
    <w:p w14:paraId="58C681A3" w14:textId="77777777" w:rsidR="00B97365" w:rsidRDefault="00000000">
      <w:pPr>
        <w:ind w:left="1440"/>
        <w:rPr>
          <w:rFonts w:cs="Arial"/>
        </w:rPr>
      </w:pPr>
      <w:r>
        <w:rPr>
          <w:rFonts w:cs="Arial"/>
        </w:rPr>
        <w:t>5.3.</w:t>
      </w:r>
      <w:r>
        <w:rPr>
          <w:rFonts w:cs="Arial"/>
        </w:rPr>
        <w:tab/>
        <w:t>Time to Live Expired</w:t>
      </w:r>
    </w:p>
    <w:p w14:paraId="5268204F" w14:textId="77777777" w:rsidR="00B97365" w:rsidRDefault="00000000">
      <w:pPr>
        <w:ind w:left="1440"/>
        <w:rPr>
          <w:rFonts w:cs="Arial"/>
          <w:lang w:val="en-US"/>
        </w:rPr>
      </w:pPr>
      <w:r>
        <w:rPr>
          <w:rFonts w:cs="Arial"/>
        </w:rPr>
        <w:t>5.4</w:t>
      </w:r>
      <w:r>
        <w:rPr>
          <w:rFonts w:cs="Arial"/>
        </w:rPr>
        <w:tab/>
      </w:r>
      <w:r>
        <w:rPr>
          <w:rFonts w:cs="Arial"/>
          <w:lang w:val="ru-RU"/>
        </w:rPr>
        <w:t>Delivered</w:t>
      </w:r>
      <w:r>
        <w:rPr>
          <w:rFonts w:cs="Arial"/>
          <w:lang w:val="en-US"/>
        </w:rPr>
        <w:t xml:space="preserve"> </w:t>
      </w:r>
      <w:r>
        <w:rPr>
          <w:rFonts w:cs="Arial"/>
          <w:lang w:val="ru-RU"/>
        </w:rPr>
        <w:t>With</w:t>
      </w:r>
      <w:r>
        <w:rPr>
          <w:rFonts w:cs="Arial"/>
          <w:lang w:val="en-US"/>
        </w:rPr>
        <w:t xml:space="preserve"> </w:t>
      </w:r>
      <w:r>
        <w:rPr>
          <w:rFonts w:cs="Arial"/>
          <w:lang w:val="ru-RU"/>
        </w:rPr>
        <w:t>No</w:t>
      </w:r>
      <w:r>
        <w:rPr>
          <w:rFonts w:cs="Arial"/>
          <w:lang w:val="en-US"/>
        </w:rPr>
        <w:t xml:space="preserve"> </w:t>
      </w:r>
      <w:r>
        <w:rPr>
          <w:rFonts w:cs="Arial"/>
          <w:lang w:val="ru-RU"/>
        </w:rPr>
        <w:t>Response</w:t>
      </w:r>
    </w:p>
    <w:p w14:paraId="7FAC4538" w14:textId="77777777" w:rsidR="00B97365" w:rsidRDefault="00000000">
      <w:pPr>
        <w:ind w:left="1440"/>
        <w:rPr>
          <w:rFonts w:cs="Arial"/>
          <w:lang w:val="en-US"/>
        </w:rPr>
      </w:pPr>
      <w:r>
        <w:rPr>
          <w:rFonts w:cs="Arial"/>
          <w:lang w:val="en-US"/>
        </w:rPr>
        <w:t xml:space="preserve">5.5 </w:t>
      </w:r>
      <w:r>
        <w:rPr>
          <w:rFonts w:cs="Arial"/>
          <w:lang w:val="en-US"/>
        </w:rPr>
        <w:tab/>
        <w:t>Connection Lost</w:t>
      </w:r>
    </w:p>
    <w:p w14:paraId="0EE88356" w14:textId="77777777" w:rsidR="00B97365" w:rsidRDefault="00000000">
      <w:pPr>
        <w:ind w:left="720"/>
        <w:rPr>
          <w:rFonts w:cs="Arial"/>
        </w:rPr>
      </w:pPr>
      <w:r>
        <w:rPr>
          <w:rFonts w:cs="Arial"/>
        </w:rPr>
        <w:t>6.</w:t>
      </w:r>
      <w:r>
        <w:rPr>
          <w:rFonts w:cs="Arial"/>
        </w:rPr>
        <w:tab/>
        <w:t>Security Error</w:t>
      </w:r>
    </w:p>
    <w:p w14:paraId="090335D0" w14:textId="77777777" w:rsidR="00B97365" w:rsidRDefault="00000000">
      <w:pPr>
        <w:ind w:left="1440"/>
        <w:rPr>
          <w:rFonts w:cs="Arial"/>
        </w:rPr>
      </w:pPr>
      <w:r>
        <w:rPr>
          <w:rFonts w:cs="Arial"/>
        </w:rPr>
        <w:t>6.1.</w:t>
      </w:r>
      <w:r>
        <w:rPr>
          <w:rFonts w:cs="Arial"/>
        </w:rPr>
        <w:tab/>
        <w:t>Verification Failed</w:t>
      </w:r>
    </w:p>
    <w:p w14:paraId="5B342F8C" w14:textId="77777777" w:rsidR="00B97365" w:rsidRDefault="00000000">
      <w:pPr>
        <w:ind w:left="1440"/>
        <w:rPr>
          <w:rFonts w:cs="Arial"/>
        </w:rPr>
      </w:pPr>
      <w:r>
        <w:rPr>
          <w:rFonts w:cs="Arial"/>
        </w:rPr>
        <w:lastRenderedPageBreak/>
        <w:t>6.2.</w:t>
      </w:r>
      <w:r>
        <w:rPr>
          <w:rFonts w:cs="Arial"/>
        </w:rPr>
        <w:tab/>
        <w:t>Decipher Failed</w:t>
      </w:r>
    </w:p>
    <w:p w14:paraId="7C10F688" w14:textId="77777777" w:rsidR="00B97365" w:rsidRDefault="00000000">
      <w:pPr>
        <w:ind w:left="1440"/>
        <w:rPr>
          <w:rFonts w:cs="Arial"/>
        </w:rPr>
      </w:pPr>
      <w:r>
        <w:rPr>
          <w:rFonts w:cs="Arial"/>
        </w:rPr>
        <w:t>6.3.</w:t>
      </w:r>
      <w:r>
        <w:rPr>
          <w:rFonts w:cs="Arial"/>
        </w:rPr>
        <w:tab/>
        <w:t>Certificate Expired</w:t>
      </w:r>
    </w:p>
    <w:p w14:paraId="31CEB618"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3253" w:name="_Toc368932278"/>
      <w:bookmarkStart w:id="3254" w:name="_Toc1977346"/>
      <w:bookmarkStart w:id="3255" w:name="_Toc37062505"/>
      <w:r>
        <w:rPr>
          <w:rFonts w:ascii="Arial Bold" w:eastAsia="Times New Roman" w:hAnsi="Arial Bold" w:cs="Arial"/>
          <w:b/>
          <w:iCs/>
          <w:szCs w:val="28"/>
          <w:lang w:eastAsia="en-US"/>
        </w:rPr>
        <w:t xml:space="preserve">Status </w:t>
      </w:r>
      <w:r>
        <w:rPr>
          <w:rFonts w:ascii="Arial Bold" w:eastAsia="Times New Roman" w:hAnsi="Arial Bold" w:cs="Arial"/>
          <w:szCs w:val="28"/>
          <w:lang w:eastAsia="en-US"/>
        </w:rPr>
        <w:t>Code Example</w:t>
      </w:r>
      <w:bookmarkEnd w:id="3253"/>
      <w:bookmarkEnd w:id="3254"/>
      <w:bookmarkEnd w:id="3255"/>
    </w:p>
    <w:p w14:paraId="622C85C4" w14:textId="77777777" w:rsidR="00B97365" w:rsidRDefault="00000000">
      <w:pPr>
        <w:spacing w:before="0" w:after="200" w:line="276" w:lineRule="auto"/>
        <w:jc w:val="left"/>
        <w:rPr>
          <w:b/>
          <w:szCs w:val="22"/>
          <w:u w:val="single"/>
          <w:lang w:val="en-US" w:eastAsia="en-GB" w:bidi="ar-SA"/>
        </w:rPr>
      </w:pPr>
      <w:bookmarkStart w:id="3256" w:name="_Toc420594697"/>
      <w:r>
        <w:rPr>
          <w:rFonts w:cs="Arial"/>
          <w:b/>
          <w:szCs w:val="22"/>
          <w:u w:val="single"/>
          <w:lang w:val="en-US" w:eastAsia="en-GB" w:bidi="ar-SA"/>
        </w:rPr>
        <w:t>Identification issue example:</w:t>
      </w:r>
      <w:bookmarkEnd w:id="3256"/>
    </w:p>
    <w:p w14:paraId="6114A23E" w14:textId="77777777" w:rsidR="00B97365" w:rsidRDefault="00000000">
      <w:pPr>
        <w:spacing w:before="0" w:after="200" w:line="276" w:lineRule="auto"/>
        <w:jc w:val="left"/>
        <w:rPr>
          <w:szCs w:val="22"/>
          <w:lang w:val="en-US" w:eastAsia="en-GB" w:bidi="ar-SA"/>
        </w:rPr>
      </w:pPr>
      <w:r>
        <w:rPr>
          <w:rFonts w:cs="Arial"/>
          <w:i/>
          <w:szCs w:val="22"/>
          <w:lang w:val="en-US" w:eastAsia="en-GB" w:bidi="ar-SA"/>
        </w:rPr>
        <w:t>State</w:t>
      </w:r>
      <w:r>
        <w:rPr>
          <w:szCs w:val="22"/>
          <w:lang w:val="en-US" w:eastAsia="en-GB" w:bidi="ar-SA"/>
        </w:rPr>
        <w:t>: The function requester tries to access a function, but its credentials are not known to the function provider</w:t>
      </w:r>
    </w:p>
    <w:p w14:paraId="6FA10FE5" w14:textId="77777777" w:rsidR="00B97365" w:rsidRDefault="00000000">
      <w:pPr>
        <w:spacing w:before="0" w:after="200" w:line="276" w:lineRule="auto"/>
        <w:jc w:val="left"/>
        <w:rPr>
          <w:szCs w:val="22"/>
          <w:lang w:val="en-US" w:eastAsia="en-GB" w:bidi="ar-SA"/>
        </w:rPr>
      </w:pPr>
      <w:r>
        <w:rPr>
          <w:rFonts w:cs="Arial"/>
          <w:i/>
          <w:szCs w:val="22"/>
          <w:lang w:val="en-US" w:eastAsia="en-GB" w:bidi="ar-SA"/>
        </w:rPr>
        <w:t>Function processing</w:t>
      </w:r>
      <w:r>
        <w:rPr>
          <w:szCs w:val="22"/>
          <w:lang w:val="en-US" w:eastAsia="en-GB" w:bidi="ar-SA"/>
        </w:rPr>
        <w:t>: The function provider raises an internal exception, as the function requester couldn’t be identified</w:t>
      </w:r>
    </w:p>
    <w:p w14:paraId="10EBA933" w14:textId="77777777" w:rsidR="00B97365" w:rsidRDefault="00000000">
      <w:pPr>
        <w:spacing w:before="0" w:after="200" w:line="276" w:lineRule="auto"/>
        <w:jc w:val="left"/>
        <w:rPr>
          <w:szCs w:val="22"/>
          <w:lang w:val="en-US" w:eastAsia="en-GB" w:bidi="ar-SA"/>
        </w:rPr>
      </w:pPr>
      <w:bookmarkStart w:id="3257" w:name="_Toc420594698"/>
      <w:r>
        <w:rPr>
          <w:rFonts w:cs="Arial"/>
          <w:b/>
          <w:szCs w:val="22"/>
          <w:lang w:eastAsia="en-GB" w:bidi="ar-SA"/>
        </w:rPr>
        <w:t>Returned</w:t>
      </w:r>
      <w:r>
        <w:rPr>
          <w:b/>
          <w:szCs w:val="22"/>
          <w:lang w:val="en-US" w:eastAsia="en-GB" w:bidi="ar-SA"/>
        </w:rPr>
        <w:t xml:space="preserve"> Status Code</w:t>
      </w:r>
      <w:r>
        <w:rPr>
          <w:szCs w:val="22"/>
          <w:lang w:val="en-US" w:eastAsia="en-GB" w:bidi="ar-SA"/>
        </w:rPr>
        <w:t>:</w:t>
      </w:r>
      <w:bookmarkEnd w:id="3257"/>
    </w:p>
    <w:p w14:paraId="3BC6B74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Subject code: </w:t>
      </w:r>
      <w:r>
        <w:rPr>
          <w:b/>
          <w:szCs w:val="22"/>
          <w:lang w:eastAsia="en-GB" w:bidi="ar-SA"/>
        </w:rPr>
        <w:t>1.1</w:t>
      </w:r>
      <w:r>
        <w:rPr>
          <w:szCs w:val="22"/>
          <w:lang w:eastAsia="en-GB" w:bidi="ar-SA"/>
        </w:rPr>
        <w:t xml:space="preserve"> – Function requester</w:t>
      </w:r>
    </w:p>
    <w:p w14:paraId="51732AD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Reason code: </w:t>
      </w:r>
      <w:r>
        <w:rPr>
          <w:b/>
          <w:szCs w:val="22"/>
          <w:lang w:eastAsia="en-GB" w:bidi="ar-SA"/>
        </w:rPr>
        <w:t>1.1</w:t>
      </w:r>
      <w:r>
        <w:rPr>
          <w:szCs w:val="22"/>
          <w:lang w:eastAsia="en-GB" w:bidi="ar-SA"/>
        </w:rPr>
        <w:t xml:space="preserve"> – Unknown</w:t>
      </w:r>
    </w:p>
    <w:p w14:paraId="4A403FF8" w14:textId="77777777" w:rsidR="00B97365" w:rsidRDefault="00000000">
      <w:pPr>
        <w:spacing w:before="0" w:after="200" w:line="276" w:lineRule="auto"/>
        <w:jc w:val="left"/>
        <w:rPr>
          <w:b/>
          <w:szCs w:val="22"/>
          <w:u w:val="single"/>
          <w:lang w:val="en-US" w:eastAsia="en-GB" w:bidi="ar-SA"/>
        </w:rPr>
      </w:pPr>
      <w:bookmarkStart w:id="3258" w:name="_Toc420594699"/>
      <w:r>
        <w:rPr>
          <w:rFonts w:cs="Arial"/>
          <w:b/>
          <w:szCs w:val="22"/>
          <w:u w:val="single"/>
          <w:lang w:val="en-US" w:eastAsia="en-GB" w:bidi="ar-SA"/>
        </w:rPr>
        <w:t>Platform Management issue:</w:t>
      </w:r>
      <w:bookmarkEnd w:id="3258"/>
    </w:p>
    <w:p w14:paraId="1DE2E536" w14:textId="77777777" w:rsidR="00B97365" w:rsidRDefault="00000000">
      <w:pPr>
        <w:spacing w:before="0" w:after="200" w:line="276" w:lineRule="auto"/>
        <w:jc w:val="left"/>
        <w:rPr>
          <w:i/>
          <w:szCs w:val="22"/>
          <w:lang w:val="en-US" w:eastAsia="en-GB" w:bidi="ar-SA"/>
        </w:rPr>
      </w:pPr>
      <w:r>
        <w:rPr>
          <w:rFonts w:cs="Arial"/>
          <w:i/>
          <w:szCs w:val="22"/>
          <w:lang w:val="en-US" w:eastAsia="en-GB" w:bidi="ar-SA"/>
        </w:rPr>
        <w:t xml:space="preserve">State: </w:t>
      </w:r>
      <w:r>
        <w:rPr>
          <w:szCs w:val="22"/>
          <w:lang w:val="en-US" w:eastAsia="en-GB" w:bidi="ar-SA"/>
        </w:rPr>
        <w:t>The function requester tries to create a new ISD-P, but with an ICCID already in used for another Profile</w:t>
      </w:r>
    </w:p>
    <w:p w14:paraId="24801379" w14:textId="77777777" w:rsidR="00B97365" w:rsidRDefault="00000000">
      <w:pPr>
        <w:spacing w:before="0" w:after="200" w:line="276" w:lineRule="auto"/>
        <w:jc w:val="left"/>
        <w:rPr>
          <w:i/>
          <w:szCs w:val="22"/>
          <w:lang w:val="en-US" w:eastAsia="en-GB" w:bidi="ar-SA"/>
        </w:rPr>
      </w:pPr>
      <w:r>
        <w:rPr>
          <w:rFonts w:cs="Arial"/>
          <w:i/>
          <w:szCs w:val="22"/>
          <w:lang w:val="en-US" w:eastAsia="en-GB" w:bidi="ar-SA"/>
        </w:rPr>
        <w:t xml:space="preserve">Function processing: </w:t>
      </w:r>
      <w:r>
        <w:rPr>
          <w:szCs w:val="22"/>
          <w:lang w:val="en-US" w:eastAsia="en-GB" w:bidi="ar-SA"/>
        </w:rPr>
        <w:t>The function provider raises an internal exception, as there is a conflicting AID.</w:t>
      </w:r>
    </w:p>
    <w:p w14:paraId="6077CE0A" w14:textId="77777777" w:rsidR="00B97365" w:rsidRDefault="00000000">
      <w:pPr>
        <w:spacing w:before="0" w:after="200" w:line="276" w:lineRule="auto"/>
        <w:jc w:val="left"/>
        <w:rPr>
          <w:rFonts w:cs="Arial"/>
          <w:i/>
          <w:szCs w:val="22"/>
          <w:lang w:val="en-US" w:eastAsia="en-GB" w:bidi="ar-SA"/>
        </w:rPr>
      </w:pPr>
      <w:r>
        <w:rPr>
          <w:rFonts w:cs="Arial"/>
          <w:i/>
          <w:szCs w:val="22"/>
          <w:lang w:val="en-US" w:eastAsia="en-GB" w:bidi="ar-SA"/>
        </w:rPr>
        <w:t>Returned Status Code:</w:t>
      </w:r>
    </w:p>
    <w:p w14:paraId="6F28419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Subject code: </w:t>
      </w:r>
      <w:r>
        <w:rPr>
          <w:b/>
          <w:szCs w:val="22"/>
          <w:lang w:eastAsia="en-GB" w:bidi="ar-SA"/>
        </w:rPr>
        <w:t>8.2.1</w:t>
      </w:r>
      <w:r>
        <w:rPr>
          <w:szCs w:val="22"/>
          <w:lang w:eastAsia="en-GB" w:bidi="ar-SA"/>
        </w:rPr>
        <w:t xml:space="preserve"> – Profile ICCID</w:t>
      </w:r>
    </w:p>
    <w:p w14:paraId="7669A754" w14:textId="77777777" w:rsidR="00B97365" w:rsidRDefault="00000000">
      <w:pPr>
        <w:numPr>
          <w:ilvl w:val="0"/>
          <w:numId w:val="38"/>
        </w:numPr>
        <w:tabs>
          <w:tab w:val="left" w:pos="680"/>
        </w:tabs>
        <w:spacing w:before="0" w:after="200" w:line="276" w:lineRule="auto"/>
        <w:contextualSpacing/>
        <w:jc w:val="left"/>
        <w:rPr>
          <w:rFonts w:cs="Calibri"/>
        </w:rPr>
      </w:pPr>
      <w:r>
        <w:rPr>
          <w:szCs w:val="22"/>
          <w:lang w:eastAsia="en-GB" w:bidi="ar-SA"/>
        </w:rPr>
        <w:t xml:space="preserve">Reason code: </w:t>
      </w:r>
      <w:r>
        <w:rPr>
          <w:b/>
          <w:szCs w:val="22"/>
          <w:lang w:eastAsia="en-GB" w:bidi="ar-SA"/>
        </w:rPr>
        <w:t>3.3</w:t>
      </w:r>
      <w:r>
        <w:rPr>
          <w:szCs w:val="22"/>
          <w:lang w:eastAsia="en-GB" w:bidi="ar-SA"/>
        </w:rPr>
        <w:t xml:space="preserve"> – Already in use</w:t>
      </w:r>
    </w:p>
    <w:p w14:paraId="4E45416B"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3259" w:name="_Toc368932279"/>
      <w:bookmarkStart w:id="3260" w:name="_Ref367975591"/>
      <w:bookmarkStart w:id="3261" w:name="_Ref367975584"/>
      <w:bookmarkStart w:id="3262" w:name="_Ref367975562"/>
      <w:bookmarkStart w:id="3263" w:name="_Ref367975554"/>
      <w:bookmarkStart w:id="3264" w:name="_Ref367975518"/>
      <w:bookmarkStart w:id="3265" w:name="_Ref367975510"/>
      <w:bookmarkStart w:id="3266" w:name="_Ref367975387"/>
      <w:bookmarkStart w:id="3267" w:name="_Ref367975379"/>
      <w:bookmarkStart w:id="3268" w:name="_Ref367975339"/>
      <w:bookmarkStart w:id="3269" w:name="_Ref367975331"/>
      <w:bookmarkStart w:id="3270" w:name="_Ref367975323"/>
      <w:bookmarkStart w:id="3271" w:name="_Ref367975289"/>
      <w:bookmarkStart w:id="3272" w:name="_Ref367975281"/>
      <w:bookmarkStart w:id="3273" w:name="_Ref367975216"/>
      <w:bookmarkStart w:id="3274" w:name="_Ref367975209"/>
      <w:bookmarkStart w:id="3275" w:name="_Ref367975168"/>
      <w:bookmarkStart w:id="3276" w:name="_Ref367975160"/>
      <w:bookmarkStart w:id="3277" w:name="_Ref367975107"/>
      <w:bookmarkStart w:id="3278" w:name="_Ref367975039"/>
      <w:bookmarkStart w:id="3279" w:name="_Ref367975030"/>
      <w:bookmarkStart w:id="3280" w:name="_Ref367974880"/>
      <w:bookmarkStart w:id="3281" w:name="_Ref367974872"/>
      <w:bookmarkStart w:id="3282" w:name="_Ref367974865"/>
      <w:bookmarkStart w:id="3283" w:name="_Ref367974835"/>
      <w:bookmarkStart w:id="3284" w:name="_Ref367974828"/>
      <w:bookmarkStart w:id="3285" w:name="_Ref367974768"/>
      <w:bookmarkStart w:id="3286" w:name="_Ref367974760"/>
      <w:bookmarkStart w:id="3287" w:name="_Ref367974714"/>
      <w:bookmarkStart w:id="3288" w:name="_Ref367974707"/>
      <w:bookmarkStart w:id="3289" w:name="_Ref367974646"/>
      <w:bookmarkStart w:id="3290" w:name="_Ref367974584"/>
      <w:bookmarkStart w:id="3291" w:name="_Ref367974575"/>
      <w:bookmarkStart w:id="3292" w:name="_Ref367974520"/>
      <w:bookmarkStart w:id="3293" w:name="_Ref367974359"/>
      <w:bookmarkStart w:id="3294" w:name="_Ref367974350"/>
      <w:bookmarkStart w:id="3295" w:name="_Ref367974292"/>
      <w:bookmarkStart w:id="3296" w:name="_Ref367974283"/>
      <w:bookmarkStart w:id="3297" w:name="_Ref367974212"/>
      <w:bookmarkStart w:id="3298" w:name="_Ref367974203"/>
      <w:bookmarkStart w:id="3299" w:name="_Ref367974033"/>
      <w:bookmarkStart w:id="3300" w:name="_Ref367974024"/>
      <w:bookmarkStart w:id="3301" w:name="_Ref367973959"/>
      <w:bookmarkStart w:id="3302" w:name="_Ref367973952"/>
      <w:bookmarkStart w:id="3303" w:name="_Ref367973720"/>
      <w:bookmarkStart w:id="3304" w:name="_Ref367973710"/>
      <w:bookmarkStart w:id="3305" w:name="_Ref367973581"/>
      <w:bookmarkStart w:id="3306" w:name="_Ref367973572"/>
      <w:bookmarkStart w:id="3307" w:name="_Toc1977347"/>
      <w:bookmarkStart w:id="3308" w:name="_Toc37062506"/>
      <w:r>
        <w:rPr>
          <w:rFonts w:ascii="Arial Bold" w:eastAsia="Times New Roman" w:hAnsi="Arial Bold" w:cs="Arial"/>
          <w:b/>
          <w:iCs/>
          <w:szCs w:val="28"/>
          <w:lang w:eastAsia="en-US"/>
        </w:rPr>
        <w:t xml:space="preserve">Common </w:t>
      </w:r>
      <w:r>
        <w:rPr>
          <w:rFonts w:ascii="Arial Bold" w:eastAsia="Times New Roman" w:hAnsi="Arial Bold" w:cs="Arial"/>
          <w:szCs w:val="28"/>
          <w:lang w:eastAsia="en-US"/>
        </w:rPr>
        <w:t>Function Status Code</w:t>
      </w:r>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14:paraId="51EB821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table provides the normative list of status codes that may be raised by any function defined in this specification. These statuses SHALL be implemented.</w:t>
      </w:r>
    </w:p>
    <w:p w14:paraId="52EB36A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addition each function MAY raise additional specific status codes. In that case, it is defined explicitly in the function description.</w:t>
      </w:r>
    </w:p>
    <w:p w14:paraId="249C6D4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As an implementer’s choice, it is also possible that a function MAY return additional status codes not described in this specification. The function caller SHALL be ready to handle such situation.</w:t>
      </w:r>
    </w:p>
    <w:p w14:paraId="2018F0A5" w14:textId="77777777" w:rsidR="00B97365" w:rsidRDefault="00000000">
      <w:pPr>
        <w:spacing w:before="0" w:after="200" w:line="276" w:lineRule="auto"/>
        <w:jc w:val="left"/>
        <w:rPr>
          <w:szCs w:val="22"/>
          <w:lang w:val="en-US" w:eastAsia="en-GB" w:bidi="ar-SA"/>
        </w:rPr>
      </w:pPr>
      <w:bookmarkStart w:id="3309" w:name="_Toc420594700"/>
      <w:r>
        <w:rPr>
          <w:rFonts w:cs="Arial"/>
          <w:szCs w:val="22"/>
          <w:lang w:val="en-US" w:eastAsia="en-GB" w:bidi="ar-SA"/>
        </w:rPr>
        <w:t>Common status code when ‘Function execution status’ is ‘failed’</w:t>
      </w:r>
      <w:bookmarkEnd w:id="3309"/>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1002"/>
        <w:gridCol w:w="718"/>
        <w:gridCol w:w="1744"/>
        <w:gridCol w:w="4779"/>
      </w:tblGrid>
      <w:tr w:rsidR="00B97365" w14:paraId="160E1AA0" w14:textId="77777777">
        <w:trPr>
          <w:cantSplit/>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7D4B817" w14:textId="77777777" w:rsidR="00B97365" w:rsidRDefault="00000000">
            <w:pPr>
              <w:jc w:val="center"/>
              <w:rPr>
                <w:rFonts w:cs="Calibri"/>
                <w:b/>
                <w:color w:val="FFFFFF"/>
                <w:sz w:val="16"/>
                <w:szCs w:val="16"/>
              </w:rPr>
            </w:pPr>
            <w:r>
              <w:rPr>
                <w:rFonts w:cs="Calibri"/>
                <w:b/>
                <w:color w:val="FFFFFF"/>
                <w:sz w:val="16"/>
                <w:szCs w:val="16"/>
              </w:rPr>
              <w:t>Subject</w:t>
            </w:r>
          </w:p>
          <w:p w14:paraId="36A73581"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7BC661D"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1A62E9E" w14:textId="77777777" w:rsidR="00B97365" w:rsidRDefault="00000000">
            <w:pPr>
              <w:jc w:val="center"/>
              <w:rPr>
                <w:rFonts w:cs="Calibri"/>
                <w:b/>
                <w:color w:val="FFFFFF"/>
                <w:sz w:val="16"/>
                <w:szCs w:val="16"/>
              </w:rPr>
            </w:pPr>
            <w:r>
              <w:rPr>
                <w:rFonts w:cs="Calibri"/>
                <w:b/>
                <w:color w:val="FFFFFF"/>
                <w:sz w:val="16"/>
                <w:szCs w:val="16"/>
              </w:rPr>
              <w:t>Reason</w:t>
            </w:r>
          </w:p>
          <w:p w14:paraId="7F573332"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F53F029"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2313D6B"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076B2B80"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36201D0E" w14:textId="77777777" w:rsidR="00B97365" w:rsidRDefault="00000000">
            <w:pPr>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09076D05" w14:textId="77777777" w:rsidR="00B97365" w:rsidRDefault="00000000">
            <w:pPr>
              <w:rPr>
                <w:rFonts w:cs="Calibri"/>
                <w:sz w:val="16"/>
                <w:szCs w:val="16"/>
              </w:rPr>
            </w:pPr>
            <w:r>
              <w:rPr>
                <w:rFonts w:cs="Calibri"/>
                <w:sz w:val="16"/>
                <w:szCs w:val="16"/>
              </w:rPr>
              <w:t>Function requester</w:t>
            </w:r>
          </w:p>
        </w:tc>
        <w:tc>
          <w:tcPr>
            <w:tcW w:w="0" w:type="auto"/>
            <w:tcBorders>
              <w:top w:val="single" w:sz="6" w:space="0" w:color="auto"/>
              <w:left w:val="single" w:sz="6" w:space="0" w:color="auto"/>
              <w:bottom w:val="single" w:sz="6" w:space="0" w:color="auto"/>
              <w:right w:val="single" w:sz="6" w:space="0" w:color="auto"/>
            </w:tcBorders>
            <w:vAlign w:val="center"/>
            <w:hideMark/>
          </w:tcPr>
          <w:p w14:paraId="7CEDFE80" w14:textId="77777777" w:rsidR="00B97365" w:rsidRDefault="00000000">
            <w:pPr>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514982B7" w14:textId="77777777" w:rsidR="00B97365" w:rsidRDefault="00000000">
            <w:pPr>
              <w:rPr>
                <w:rFonts w:cs="Calibri"/>
                <w:sz w:val="16"/>
                <w:szCs w:val="16"/>
              </w:rPr>
            </w:pPr>
            <w:r>
              <w:rPr>
                <w:rFonts w:cs="Calibri"/>
                <w:sz w:val="16"/>
                <w:szCs w:val="16"/>
              </w:rPr>
              <w:t>Unknown (Identification or Authentication)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0C287708" w14:textId="77777777" w:rsidR="00B97365" w:rsidRDefault="00000000">
            <w:pPr>
              <w:rPr>
                <w:rFonts w:cs="Calibri"/>
                <w:sz w:val="16"/>
                <w:szCs w:val="16"/>
              </w:rPr>
            </w:pPr>
            <w:r>
              <w:rPr>
                <w:rFonts w:cs="Calibri"/>
                <w:sz w:val="16"/>
                <w:szCs w:val="16"/>
              </w:rPr>
              <w:t>The function caller is unknown to the function provider.</w:t>
            </w:r>
          </w:p>
        </w:tc>
      </w:tr>
      <w:tr w:rsidR="00B97365" w14:paraId="48443FAB"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35708CD1" w14:textId="77777777" w:rsidR="00B97365" w:rsidRDefault="00000000">
            <w:pPr>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39D6F40F" w14:textId="77777777" w:rsidR="00B97365" w:rsidRDefault="00000000">
            <w:pPr>
              <w:rPr>
                <w:rFonts w:cs="Calibri"/>
                <w:sz w:val="16"/>
                <w:szCs w:val="16"/>
              </w:rPr>
            </w:pPr>
            <w:r>
              <w:rPr>
                <w:rFonts w:cs="Calibri"/>
                <w:sz w:val="16"/>
                <w:szCs w:val="16"/>
              </w:rPr>
              <w:t>Function requester</w:t>
            </w:r>
          </w:p>
        </w:tc>
        <w:tc>
          <w:tcPr>
            <w:tcW w:w="0" w:type="auto"/>
            <w:tcBorders>
              <w:top w:val="single" w:sz="6" w:space="0" w:color="auto"/>
              <w:left w:val="single" w:sz="6" w:space="0" w:color="auto"/>
              <w:bottom w:val="single" w:sz="6" w:space="0" w:color="auto"/>
              <w:right w:val="single" w:sz="6" w:space="0" w:color="auto"/>
            </w:tcBorders>
            <w:vAlign w:val="center"/>
            <w:hideMark/>
          </w:tcPr>
          <w:p w14:paraId="065DBDE4" w14:textId="77777777" w:rsidR="00B97365" w:rsidRDefault="00000000">
            <w:pPr>
              <w:jc w:val="center"/>
              <w:rPr>
                <w:rFonts w:cs="Calibri"/>
                <w:sz w:val="16"/>
                <w:szCs w:val="16"/>
              </w:rPr>
            </w:pPr>
            <w:r>
              <w:rPr>
                <w:rFonts w:cs="Calibri"/>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554A9085" w14:textId="77777777" w:rsidR="00B97365" w:rsidRDefault="00000000">
            <w:pPr>
              <w:rPr>
                <w:rFonts w:cs="Calibri"/>
                <w:sz w:val="16"/>
                <w:szCs w:val="16"/>
              </w:rPr>
            </w:pPr>
            <w:r>
              <w:rPr>
                <w:rFonts w:cs="Calibri"/>
                <w:sz w:val="16"/>
                <w:szCs w:val="16"/>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28971D1A" w14:textId="77777777" w:rsidR="00B97365" w:rsidRDefault="00000000">
            <w:pPr>
              <w:rPr>
                <w:rFonts w:cs="Calibri"/>
                <w:sz w:val="16"/>
                <w:szCs w:val="16"/>
              </w:rPr>
            </w:pPr>
            <w:r>
              <w:rPr>
                <w:rFonts w:cs="Calibri"/>
                <w:sz w:val="16"/>
                <w:szCs w:val="16"/>
              </w:rPr>
              <w:t>The function caller is not allowed to use this function.</w:t>
            </w:r>
          </w:p>
        </w:tc>
      </w:tr>
      <w:tr w:rsidR="00B97365" w14:paraId="2B6CB605"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7D4B590F" w14:textId="77777777" w:rsidR="00B97365" w:rsidRDefault="00000000">
            <w:pPr>
              <w:jc w:val="center"/>
              <w:rPr>
                <w:rFonts w:cs="Calibri"/>
                <w:sz w:val="16"/>
                <w:szCs w:val="16"/>
              </w:rPr>
            </w:pPr>
            <w:r>
              <w:rPr>
                <w:rFonts w:cs="Calibri"/>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4EA4A1C3" w14:textId="77777777" w:rsidR="00B97365" w:rsidRDefault="00000000">
            <w:pPr>
              <w:rPr>
                <w:rFonts w:cs="Calibri"/>
                <w:sz w:val="16"/>
                <w:szCs w:val="16"/>
              </w:rPr>
            </w:pPr>
            <w:r>
              <w:rPr>
                <w:rFonts w:cs="Calibri"/>
                <w:sz w:val="16"/>
                <w:szCs w:val="16"/>
              </w:rPr>
              <w:t>Function provider</w:t>
            </w:r>
          </w:p>
        </w:tc>
        <w:tc>
          <w:tcPr>
            <w:tcW w:w="0" w:type="auto"/>
            <w:tcBorders>
              <w:top w:val="single" w:sz="6" w:space="0" w:color="auto"/>
              <w:left w:val="single" w:sz="6" w:space="0" w:color="auto"/>
              <w:bottom w:val="single" w:sz="6" w:space="0" w:color="auto"/>
              <w:right w:val="single" w:sz="6" w:space="0" w:color="auto"/>
            </w:tcBorders>
            <w:vAlign w:val="center"/>
            <w:hideMark/>
          </w:tcPr>
          <w:p w14:paraId="1CDEA5DC" w14:textId="77777777" w:rsidR="00B97365" w:rsidRDefault="00000000">
            <w:pPr>
              <w:jc w:val="center"/>
              <w:rPr>
                <w:rFonts w:cs="Calibri"/>
                <w:sz w:val="16"/>
                <w:szCs w:val="16"/>
              </w:rPr>
            </w:pPr>
            <w:r>
              <w:rPr>
                <w:rFonts w:cs="Calibri"/>
                <w:sz w:val="16"/>
                <w:szCs w:val="16"/>
              </w:rPr>
              <w:t>4.2</w:t>
            </w:r>
          </w:p>
        </w:tc>
        <w:tc>
          <w:tcPr>
            <w:tcW w:w="0" w:type="auto"/>
            <w:tcBorders>
              <w:top w:val="single" w:sz="6" w:space="0" w:color="auto"/>
              <w:left w:val="single" w:sz="6" w:space="0" w:color="auto"/>
              <w:bottom w:val="single" w:sz="6" w:space="0" w:color="auto"/>
              <w:right w:val="single" w:sz="6" w:space="0" w:color="auto"/>
            </w:tcBorders>
            <w:vAlign w:val="center"/>
            <w:hideMark/>
          </w:tcPr>
          <w:p w14:paraId="248DB19B" w14:textId="77777777" w:rsidR="00B97365" w:rsidRDefault="00000000">
            <w:pPr>
              <w:rPr>
                <w:rFonts w:cs="Calibri"/>
                <w:sz w:val="16"/>
                <w:szCs w:val="16"/>
              </w:rPr>
            </w:pPr>
            <w:r>
              <w:rPr>
                <w:rFonts w:cs="Calibri"/>
                <w:sz w:val="16"/>
                <w:szCs w:val="16"/>
              </w:rPr>
              <w:t>Execution error</w:t>
            </w:r>
          </w:p>
        </w:tc>
        <w:tc>
          <w:tcPr>
            <w:tcW w:w="0" w:type="auto"/>
            <w:tcBorders>
              <w:top w:val="single" w:sz="6" w:space="0" w:color="auto"/>
              <w:left w:val="single" w:sz="6" w:space="0" w:color="auto"/>
              <w:bottom w:val="single" w:sz="6" w:space="0" w:color="auto"/>
              <w:right w:val="single" w:sz="4" w:space="0" w:color="auto"/>
            </w:tcBorders>
            <w:vAlign w:val="center"/>
            <w:hideMark/>
          </w:tcPr>
          <w:p w14:paraId="6AE34220" w14:textId="77777777" w:rsidR="00B97365" w:rsidRDefault="00000000">
            <w:pPr>
              <w:rPr>
                <w:rFonts w:cs="Calibri"/>
                <w:sz w:val="16"/>
                <w:szCs w:val="16"/>
              </w:rPr>
            </w:pPr>
            <w:r>
              <w:rPr>
                <w:rFonts w:cs="Calibri"/>
                <w:sz w:val="16"/>
                <w:szCs w:val="16"/>
              </w:rPr>
              <w:t>Internal processing error (this status code SHALL be returned only when no more accurate status code can be returned)</w:t>
            </w:r>
          </w:p>
        </w:tc>
      </w:tr>
      <w:tr w:rsidR="00B97365" w14:paraId="0F38395D"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048FA2FB" w14:textId="77777777" w:rsidR="00B97365" w:rsidRDefault="00000000">
            <w:pPr>
              <w:jc w:val="center"/>
              <w:rPr>
                <w:rFonts w:cs="Calibri"/>
                <w:sz w:val="16"/>
                <w:szCs w:val="16"/>
              </w:rPr>
            </w:pPr>
            <w:r>
              <w:rPr>
                <w:rFonts w:cs="Calibri"/>
                <w:sz w:val="16"/>
                <w:szCs w:val="16"/>
              </w:rPr>
              <w:lastRenderedPageBreak/>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156C1D66" w14:textId="77777777" w:rsidR="00B97365" w:rsidRDefault="00000000">
            <w:pPr>
              <w:rPr>
                <w:rFonts w:cs="Calibri"/>
                <w:sz w:val="16"/>
                <w:szCs w:val="16"/>
              </w:rPr>
            </w:pPr>
            <w:r>
              <w:rPr>
                <w:rFonts w:cs="Calibri"/>
                <w:sz w:val="16"/>
                <w:szCs w:val="16"/>
              </w:rPr>
              <w:t>Function provider</w:t>
            </w:r>
          </w:p>
        </w:tc>
        <w:tc>
          <w:tcPr>
            <w:tcW w:w="0" w:type="auto"/>
            <w:tcBorders>
              <w:top w:val="single" w:sz="6" w:space="0" w:color="auto"/>
              <w:left w:val="single" w:sz="6" w:space="0" w:color="auto"/>
              <w:bottom w:val="single" w:sz="6" w:space="0" w:color="auto"/>
              <w:right w:val="single" w:sz="6" w:space="0" w:color="auto"/>
            </w:tcBorders>
            <w:vAlign w:val="center"/>
            <w:hideMark/>
          </w:tcPr>
          <w:p w14:paraId="6FB09DF4" w14:textId="77777777" w:rsidR="00B97365" w:rsidRDefault="00000000">
            <w:pPr>
              <w:jc w:val="center"/>
              <w:rPr>
                <w:rFonts w:cs="Calibri"/>
                <w:sz w:val="16"/>
                <w:szCs w:val="16"/>
              </w:rPr>
            </w:pPr>
            <w:r>
              <w:rPr>
                <w:rFonts w:cs="Calibri"/>
                <w:sz w:val="16"/>
                <w:szCs w:val="16"/>
              </w:rPr>
              <w:t>4.4</w:t>
            </w:r>
          </w:p>
        </w:tc>
        <w:tc>
          <w:tcPr>
            <w:tcW w:w="0" w:type="auto"/>
            <w:tcBorders>
              <w:top w:val="single" w:sz="6" w:space="0" w:color="auto"/>
              <w:left w:val="single" w:sz="6" w:space="0" w:color="auto"/>
              <w:bottom w:val="single" w:sz="6" w:space="0" w:color="auto"/>
              <w:right w:val="single" w:sz="6" w:space="0" w:color="auto"/>
            </w:tcBorders>
            <w:vAlign w:val="center"/>
            <w:hideMark/>
          </w:tcPr>
          <w:p w14:paraId="65A899EA" w14:textId="77777777" w:rsidR="00B97365" w:rsidRDefault="00000000">
            <w:pPr>
              <w:rPr>
                <w:rFonts w:cs="Calibri"/>
                <w:sz w:val="16"/>
                <w:szCs w:val="16"/>
              </w:rPr>
            </w:pPr>
            <w:r>
              <w:rPr>
                <w:rFonts w:cs="Calibri"/>
                <w:sz w:val="16"/>
                <w:szCs w:val="16"/>
              </w:rPr>
              <w:t>Busy</w:t>
            </w:r>
          </w:p>
        </w:tc>
        <w:tc>
          <w:tcPr>
            <w:tcW w:w="0" w:type="auto"/>
            <w:tcBorders>
              <w:top w:val="single" w:sz="6" w:space="0" w:color="auto"/>
              <w:left w:val="single" w:sz="6" w:space="0" w:color="auto"/>
              <w:bottom w:val="single" w:sz="6" w:space="0" w:color="auto"/>
              <w:right w:val="single" w:sz="4" w:space="0" w:color="auto"/>
            </w:tcBorders>
            <w:vAlign w:val="center"/>
            <w:hideMark/>
          </w:tcPr>
          <w:p w14:paraId="1025A504" w14:textId="77777777" w:rsidR="00B97365" w:rsidRDefault="00000000">
            <w:pPr>
              <w:rPr>
                <w:rFonts w:cs="Calibri"/>
                <w:sz w:val="16"/>
                <w:szCs w:val="16"/>
              </w:rPr>
            </w:pPr>
            <w:r>
              <w:rPr>
                <w:rFonts w:cs="Calibri"/>
                <w:sz w:val="16"/>
                <w:szCs w:val="16"/>
              </w:rPr>
              <w:t>Busy: not possible to process the function for the moment</w:t>
            </w:r>
          </w:p>
        </w:tc>
      </w:tr>
      <w:tr w:rsidR="00B97365" w14:paraId="5B5C6ACE"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7AFD4D05" w14:textId="77777777" w:rsidR="00B97365" w:rsidRDefault="00000000">
            <w:pPr>
              <w:jc w:val="center"/>
              <w:rPr>
                <w:rFonts w:cs="Calibri"/>
                <w:sz w:val="16"/>
                <w:szCs w:val="16"/>
              </w:rPr>
            </w:pPr>
            <w:r>
              <w:rPr>
                <w:rFonts w:cs="Calibri"/>
                <w:sz w:val="16"/>
                <w:szCs w:val="16"/>
              </w:rPr>
              <w:t>1.2.1</w:t>
            </w:r>
          </w:p>
        </w:tc>
        <w:tc>
          <w:tcPr>
            <w:tcW w:w="0" w:type="auto"/>
            <w:tcBorders>
              <w:top w:val="single" w:sz="6" w:space="0" w:color="auto"/>
              <w:left w:val="single" w:sz="6" w:space="0" w:color="auto"/>
              <w:bottom w:val="single" w:sz="6" w:space="0" w:color="auto"/>
              <w:right w:val="single" w:sz="6" w:space="0" w:color="auto"/>
            </w:tcBorders>
            <w:vAlign w:val="center"/>
            <w:hideMark/>
          </w:tcPr>
          <w:p w14:paraId="6280A769" w14:textId="77777777" w:rsidR="00B97365" w:rsidRDefault="00000000">
            <w:pPr>
              <w:rPr>
                <w:rFonts w:cs="Calibri"/>
                <w:sz w:val="16"/>
                <w:szCs w:val="16"/>
              </w:rPr>
            </w:pPr>
            <w:r>
              <w:rPr>
                <w:rFonts w:cs="Calibri"/>
                <w:sz w:val="16"/>
                <w:szCs w:val="16"/>
              </w:rPr>
              <w:t>Validity period</w:t>
            </w:r>
          </w:p>
        </w:tc>
        <w:tc>
          <w:tcPr>
            <w:tcW w:w="0" w:type="auto"/>
            <w:tcBorders>
              <w:top w:val="single" w:sz="6" w:space="0" w:color="auto"/>
              <w:left w:val="single" w:sz="6" w:space="0" w:color="auto"/>
              <w:bottom w:val="single" w:sz="6" w:space="0" w:color="auto"/>
              <w:right w:val="single" w:sz="6" w:space="0" w:color="auto"/>
            </w:tcBorders>
            <w:vAlign w:val="center"/>
            <w:hideMark/>
          </w:tcPr>
          <w:p w14:paraId="7CA344E0" w14:textId="77777777" w:rsidR="00B97365" w:rsidRDefault="00000000">
            <w:pPr>
              <w:jc w:val="center"/>
              <w:rPr>
                <w:rFonts w:cs="Calibri"/>
                <w:sz w:val="16"/>
                <w:szCs w:val="16"/>
              </w:rPr>
            </w:pPr>
            <w:r>
              <w:rPr>
                <w:rFonts w:cs="Calibri"/>
                <w:sz w:val="16"/>
                <w:szCs w:val="16"/>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1E964E7F" w14:textId="77777777" w:rsidR="00B97365" w:rsidRDefault="00000000">
            <w:pPr>
              <w:rPr>
                <w:rFonts w:cs="Calibri"/>
                <w:sz w:val="16"/>
                <w:szCs w:val="16"/>
              </w:rPr>
            </w:pPr>
            <w:r>
              <w:rPr>
                <w:rFonts w:cs="Calibri"/>
                <w:sz w:val="16"/>
                <w:szCs w:val="16"/>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074E2134" w14:textId="77777777" w:rsidR="00B97365" w:rsidRDefault="00000000">
            <w:pPr>
              <w:rPr>
                <w:rFonts w:cs="Calibri"/>
                <w:sz w:val="16"/>
                <w:szCs w:val="16"/>
              </w:rPr>
            </w:pPr>
            <w:r>
              <w:rPr>
                <w:rFonts w:cs="Calibri"/>
                <w:sz w:val="16"/>
                <w:szCs w:val="16"/>
              </w:rPr>
              <w:t>The requested validity period is not accepted by the function provider.</w:t>
            </w:r>
          </w:p>
        </w:tc>
      </w:tr>
      <w:tr w:rsidR="00B97365" w14:paraId="7B039249"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037A5368" w14:textId="77777777" w:rsidR="00B97365" w:rsidRDefault="00000000">
            <w:pPr>
              <w:jc w:val="center"/>
              <w:rPr>
                <w:rFonts w:cs="Calibri"/>
                <w:sz w:val="16"/>
                <w:szCs w:val="16"/>
              </w:rPr>
            </w:pPr>
            <w:r>
              <w:rPr>
                <w:rFonts w:cs="Calibri"/>
                <w:sz w:val="16"/>
                <w:szCs w:val="16"/>
              </w:rPr>
              <w:t>1.6</w:t>
            </w:r>
          </w:p>
        </w:tc>
        <w:tc>
          <w:tcPr>
            <w:tcW w:w="0" w:type="auto"/>
            <w:tcBorders>
              <w:top w:val="single" w:sz="6" w:space="0" w:color="auto"/>
              <w:left w:val="single" w:sz="6" w:space="0" w:color="auto"/>
              <w:bottom w:val="single" w:sz="6" w:space="0" w:color="auto"/>
              <w:right w:val="single" w:sz="6" w:space="0" w:color="auto"/>
            </w:tcBorders>
            <w:vAlign w:val="center"/>
            <w:hideMark/>
          </w:tcPr>
          <w:p w14:paraId="06DE65D9" w14:textId="77777777" w:rsidR="00B97365" w:rsidRDefault="00000000">
            <w:pPr>
              <w:rPr>
                <w:rFonts w:cs="Calibri"/>
                <w:sz w:val="16"/>
                <w:szCs w:val="16"/>
              </w:rPr>
            </w:pPr>
            <w:r>
              <w:rPr>
                <w:rFonts w:cs="Calibri"/>
                <w:sz w:val="16"/>
                <w:szCs w:val="16"/>
              </w:rPr>
              <w:t>Function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CF5D7A1" w14:textId="77777777" w:rsidR="00B97365" w:rsidRDefault="00000000">
            <w:pPr>
              <w:jc w:val="center"/>
              <w:rPr>
                <w:rFonts w:cs="Calibri"/>
                <w:sz w:val="16"/>
                <w:szCs w:val="16"/>
              </w:rPr>
            </w:pPr>
            <w:r>
              <w:rPr>
                <w:rFonts w:cs="Calibri"/>
                <w:sz w:val="16"/>
                <w:szCs w:val="16"/>
              </w:rPr>
              <w:t>2.1</w:t>
            </w:r>
          </w:p>
        </w:tc>
        <w:tc>
          <w:tcPr>
            <w:tcW w:w="0" w:type="auto"/>
            <w:tcBorders>
              <w:top w:val="single" w:sz="6" w:space="0" w:color="auto"/>
              <w:left w:val="single" w:sz="6" w:space="0" w:color="auto"/>
              <w:bottom w:val="single" w:sz="6" w:space="0" w:color="auto"/>
              <w:right w:val="single" w:sz="6" w:space="0" w:color="auto"/>
            </w:tcBorders>
            <w:vAlign w:val="center"/>
            <w:hideMark/>
          </w:tcPr>
          <w:p w14:paraId="1E5DEBE5" w14:textId="77777777" w:rsidR="00B97365" w:rsidRDefault="00000000">
            <w:pPr>
              <w:rPr>
                <w:rFonts w:cs="Calibri"/>
                <w:sz w:val="16"/>
                <w:szCs w:val="16"/>
              </w:rPr>
            </w:pPr>
            <w:r>
              <w:rPr>
                <w:rFonts w:cs="Calibri"/>
                <w:sz w:val="16"/>
                <w:szCs w:val="16"/>
              </w:rPr>
              <w:t>Invalid</w:t>
            </w:r>
          </w:p>
        </w:tc>
        <w:tc>
          <w:tcPr>
            <w:tcW w:w="0" w:type="auto"/>
            <w:tcBorders>
              <w:top w:val="single" w:sz="6" w:space="0" w:color="auto"/>
              <w:left w:val="single" w:sz="6" w:space="0" w:color="auto"/>
              <w:bottom w:val="single" w:sz="6" w:space="0" w:color="auto"/>
              <w:right w:val="single" w:sz="4" w:space="0" w:color="auto"/>
            </w:tcBorders>
            <w:vAlign w:val="center"/>
            <w:hideMark/>
          </w:tcPr>
          <w:p w14:paraId="142F70B5" w14:textId="77777777" w:rsidR="00B97365" w:rsidRDefault="00000000">
            <w:pPr>
              <w:rPr>
                <w:rFonts w:cs="Calibri"/>
                <w:sz w:val="16"/>
                <w:szCs w:val="16"/>
              </w:rPr>
            </w:pPr>
            <w:r>
              <w:rPr>
                <w:rFonts w:cs="Calibri"/>
                <w:sz w:val="16"/>
                <w:szCs w:val="16"/>
              </w:rPr>
              <w:t>An input parameter of the function is invalid (wrong format, not acceptable value…). The contextual message conveyed with the status code data SHALL indicate the name of the concerned parameter.</w:t>
            </w:r>
          </w:p>
        </w:tc>
      </w:tr>
      <w:tr w:rsidR="00B97365" w14:paraId="655D8DCE" w14:textId="77777777">
        <w:trPr>
          <w:cantSplit/>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5310061C" w14:textId="77777777" w:rsidR="00B97365" w:rsidRDefault="00000000">
            <w:pPr>
              <w:jc w:val="center"/>
              <w:rPr>
                <w:rFonts w:cs="Calibri"/>
                <w:sz w:val="16"/>
                <w:szCs w:val="16"/>
              </w:rPr>
            </w:pPr>
            <w:r>
              <w:rPr>
                <w:rFonts w:cs="Calibri"/>
                <w:sz w:val="16"/>
                <w:szCs w:val="16"/>
              </w:rPr>
              <w:t>1.6</w:t>
            </w:r>
          </w:p>
        </w:tc>
        <w:tc>
          <w:tcPr>
            <w:tcW w:w="0" w:type="auto"/>
            <w:tcBorders>
              <w:top w:val="single" w:sz="6" w:space="0" w:color="auto"/>
              <w:left w:val="single" w:sz="6" w:space="0" w:color="auto"/>
              <w:bottom w:val="single" w:sz="6" w:space="0" w:color="auto"/>
              <w:right w:val="single" w:sz="6" w:space="0" w:color="auto"/>
            </w:tcBorders>
            <w:vAlign w:val="center"/>
            <w:hideMark/>
          </w:tcPr>
          <w:p w14:paraId="28C7494C" w14:textId="77777777" w:rsidR="00B97365" w:rsidRDefault="00000000">
            <w:pPr>
              <w:rPr>
                <w:rFonts w:cs="Calibri"/>
                <w:sz w:val="16"/>
                <w:szCs w:val="16"/>
              </w:rPr>
            </w:pPr>
            <w:r>
              <w:rPr>
                <w:rFonts w:cs="Calibri"/>
                <w:sz w:val="16"/>
                <w:szCs w:val="16"/>
              </w:rPr>
              <w:t>Function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053BC62" w14:textId="77777777" w:rsidR="00B97365" w:rsidRDefault="00000000">
            <w:pPr>
              <w:jc w:val="center"/>
              <w:rPr>
                <w:rFonts w:cs="Calibri"/>
                <w:sz w:val="16"/>
                <w:szCs w:val="16"/>
              </w:rPr>
            </w:pPr>
            <w:r>
              <w:rPr>
                <w:rFonts w:cs="Calibri"/>
                <w:sz w:val="16"/>
                <w:szCs w:val="16"/>
              </w:rPr>
              <w:t>2.2</w:t>
            </w:r>
          </w:p>
        </w:tc>
        <w:tc>
          <w:tcPr>
            <w:tcW w:w="0" w:type="auto"/>
            <w:tcBorders>
              <w:top w:val="single" w:sz="6" w:space="0" w:color="auto"/>
              <w:left w:val="single" w:sz="6" w:space="0" w:color="auto"/>
              <w:bottom w:val="single" w:sz="6" w:space="0" w:color="auto"/>
              <w:right w:val="single" w:sz="6" w:space="0" w:color="auto"/>
            </w:tcBorders>
            <w:vAlign w:val="center"/>
            <w:hideMark/>
          </w:tcPr>
          <w:p w14:paraId="276EB1ED" w14:textId="77777777" w:rsidR="00B97365" w:rsidRDefault="00000000">
            <w:pPr>
              <w:rPr>
                <w:rFonts w:cs="Calibri"/>
                <w:sz w:val="16"/>
                <w:szCs w:val="16"/>
              </w:rPr>
            </w:pPr>
            <w:r>
              <w:rPr>
                <w:rFonts w:cs="Calibri"/>
                <w:sz w:val="16"/>
                <w:szCs w:val="16"/>
              </w:rPr>
              <w:t>Mandatory Element Missing</w:t>
            </w:r>
          </w:p>
        </w:tc>
        <w:tc>
          <w:tcPr>
            <w:tcW w:w="0" w:type="auto"/>
            <w:tcBorders>
              <w:top w:val="single" w:sz="6" w:space="0" w:color="auto"/>
              <w:left w:val="single" w:sz="6" w:space="0" w:color="auto"/>
              <w:bottom w:val="single" w:sz="6" w:space="0" w:color="auto"/>
              <w:right w:val="single" w:sz="4" w:space="0" w:color="auto"/>
            </w:tcBorders>
            <w:vAlign w:val="center"/>
            <w:hideMark/>
          </w:tcPr>
          <w:p w14:paraId="5CAC9F06" w14:textId="77777777" w:rsidR="00B97365" w:rsidRDefault="00000000">
            <w:pPr>
              <w:rPr>
                <w:rFonts w:cs="Calibri"/>
                <w:sz w:val="16"/>
                <w:szCs w:val="16"/>
              </w:rPr>
            </w:pPr>
            <w:r>
              <w:rPr>
                <w:rFonts w:cs="Calibri"/>
                <w:sz w:val="16"/>
                <w:szCs w:val="16"/>
              </w:rPr>
              <w:t>A mandatory input parameter of the function is missing. The contextual message conveyed with the status code data SHALL indicate the name of the concerned parameter.</w:t>
            </w:r>
          </w:p>
        </w:tc>
      </w:tr>
      <w:tr w:rsidR="00B97365" w14:paraId="55B0D9D8" w14:textId="77777777">
        <w:trPr>
          <w:cantSplit/>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511615DD" w14:textId="77777777" w:rsidR="00B97365" w:rsidRDefault="00000000">
            <w:pPr>
              <w:jc w:val="center"/>
              <w:rPr>
                <w:rFonts w:cs="Calibri"/>
                <w:sz w:val="16"/>
                <w:szCs w:val="16"/>
              </w:rPr>
            </w:pPr>
            <w:r>
              <w:rPr>
                <w:rFonts w:cs="Calibri"/>
                <w:sz w:val="16"/>
                <w:szCs w:val="16"/>
              </w:rPr>
              <w:t>1.6</w:t>
            </w:r>
          </w:p>
        </w:tc>
        <w:tc>
          <w:tcPr>
            <w:tcW w:w="0" w:type="auto"/>
            <w:tcBorders>
              <w:top w:val="single" w:sz="6" w:space="0" w:color="auto"/>
              <w:left w:val="single" w:sz="6" w:space="0" w:color="auto"/>
              <w:bottom w:val="single" w:sz="4" w:space="0" w:color="auto"/>
              <w:right w:val="single" w:sz="6" w:space="0" w:color="auto"/>
            </w:tcBorders>
            <w:vAlign w:val="center"/>
            <w:hideMark/>
          </w:tcPr>
          <w:p w14:paraId="5751AD0E" w14:textId="77777777" w:rsidR="00B97365" w:rsidRDefault="00000000">
            <w:pPr>
              <w:rPr>
                <w:rFonts w:cs="Calibri"/>
                <w:sz w:val="16"/>
                <w:szCs w:val="16"/>
              </w:rPr>
            </w:pPr>
            <w:r>
              <w:rPr>
                <w:rFonts w:cs="Calibri"/>
                <w:sz w:val="16"/>
                <w:szCs w:val="16"/>
              </w:rPr>
              <w:t>Function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7368CFE5" w14:textId="77777777" w:rsidR="00B97365" w:rsidRDefault="00000000">
            <w:pPr>
              <w:jc w:val="center"/>
              <w:rPr>
                <w:rFonts w:cs="Calibri"/>
                <w:sz w:val="16"/>
                <w:szCs w:val="16"/>
              </w:rPr>
            </w:pPr>
            <w:r>
              <w:rPr>
                <w:rFonts w:cs="Calibri"/>
                <w:sz w:val="16"/>
                <w:szCs w:val="16"/>
              </w:rPr>
              <w:t>2.3</w:t>
            </w:r>
          </w:p>
        </w:tc>
        <w:tc>
          <w:tcPr>
            <w:tcW w:w="0" w:type="auto"/>
            <w:tcBorders>
              <w:top w:val="single" w:sz="6" w:space="0" w:color="auto"/>
              <w:left w:val="single" w:sz="6" w:space="0" w:color="auto"/>
              <w:bottom w:val="single" w:sz="4" w:space="0" w:color="auto"/>
              <w:right w:val="single" w:sz="6" w:space="0" w:color="auto"/>
            </w:tcBorders>
            <w:vAlign w:val="center"/>
            <w:hideMark/>
          </w:tcPr>
          <w:p w14:paraId="16FC6DEB" w14:textId="77777777" w:rsidR="00B97365" w:rsidRDefault="00000000">
            <w:pPr>
              <w:rPr>
                <w:rFonts w:cs="Calibri"/>
                <w:sz w:val="16"/>
                <w:szCs w:val="16"/>
              </w:rPr>
            </w:pPr>
            <w:r>
              <w:rPr>
                <w:rFonts w:cs="Calibri"/>
                <w:sz w:val="16"/>
                <w:szCs w:val="16"/>
              </w:rPr>
              <w:t>Conditional Element Missing</w:t>
            </w:r>
          </w:p>
        </w:tc>
        <w:tc>
          <w:tcPr>
            <w:tcW w:w="0" w:type="auto"/>
            <w:tcBorders>
              <w:top w:val="single" w:sz="6" w:space="0" w:color="auto"/>
              <w:left w:val="single" w:sz="6" w:space="0" w:color="auto"/>
              <w:bottom w:val="single" w:sz="4" w:space="0" w:color="auto"/>
              <w:right w:val="single" w:sz="4" w:space="0" w:color="auto"/>
            </w:tcBorders>
            <w:vAlign w:val="center"/>
            <w:hideMark/>
          </w:tcPr>
          <w:p w14:paraId="6D118F3C" w14:textId="77777777" w:rsidR="00B97365" w:rsidRDefault="00000000">
            <w:pPr>
              <w:rPr>
                <w:rFonts w:cs="Calibri"/>
                <w:sz w:val="16"/>
                <w:szCs w:val="16"/>
              </w:rPr>
            </w:pPr>
            <w:r>
              <w:rPr>
                <w:rFonts w:cs="Calibri"/>
                <w:sz w:val="16"/>
                <w:szCs w:val="16"/>
              </w:rPr>
              <w:t xml:space="preserve">A conditional input parameter of the function is missing. The contextual message conveyed with the status code data SHALL indicate the name of the concerned parameter. </w:t>
            </w:r>
          </w:p>
        </w:tc>
      </w:tr>
    </w:tbl>
    <w:p w14:paraId="7CA226C8" w14:textId="77777777" w:rsidR="00B97365" w:rsidRDefault="00000000">
      <w:pPr>
        <w:numPr>
          <w:ilvl w:val="0"/>
          <w:numId w:val="14"/>
        </w:numPr>
        <w:tabs>
          <w:tab w:val="left" w:pos="1009"/>
        </w:tabs>
        <w:spacing w:after="200" w:line="276" w:lineRule="auto"/>
        <w:jc w:val="center"/>
        <w:rPr>
          <w:rFonts w:cs="Calibri"/>
          <w:b/>
          <w:lang w:eastAsia="de-DE" w:bidi="ar-SA"/>
        </w:rPr>
      </w:pPr>
      <w:r>
        <w:rPr>
          <w:rFonts w:cs="Arial"/>
          <w:b/>
          <w:lang w:eastAsia="de-DE" w:bidi="ar-SA"/>
        </w:rPr>
        <w:t>: Function Execution Status ‘Failed’ Codes</w:t>
      </w:r>
    </w:p>
    <w:p w14:paraId="73B6B56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Common status code when ‘Function execution status’ is ‘Expired’</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754"/>
        <w:gridCol w:w="718"/>
        <w:gridCol w:w="903"/>
        <w:gridCol w:w="5868"/>
      </w:tblGrid>
      <w:tr w:rsidR="00B97365" w14:paraId="15BED0B9"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359F5E0" w14:textId="77777777" w:rsidR="00B97365" w:rsidRDefault="00000000">
            <w:pPr>
              <w:jc w:val="center"/>
              <w:rPr>
                <w:rFonts w:cs="Calibri"/>
                <w:b/>
                <w:color w:val="FFFFFF"/>
                <w:sz w:val="16"/>
                <w:szCs w:val="16"/>
              </w:rPr>
            </w:pPr>
            <w:r>
              <w:rPr>
                <w:rFonts w:cs="Calibri"/>
                <w:b/>
                <w:color w:val="FFFFFF"/>
                <w:sz w:val="16"/>
                <w:szCs w:val="16"/>
              </w:rPr>
              <w:t>Subject</w:t>
            </w:r>
          </w:p>
          <w:p w14:paraId="6D3A7AE6"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789B24D"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88A31C6" w14:textId="77777777" w:rsidR="00B97365" w:rsidRDefault="00000000">
            <w:pPr>
              <w:jc w:val="center"/>
              <w:rPr>
                <w:rFonts w:cs="Calibri"/>
                <w:b/>
                <w:color w:val="FFFFFF"/>
                <w:sz w:val="16"/>
                <w:szCs w:val="16"/>
              </w:rPr>
            </w:pPr>
            <w:r>
              <w:rPr>
                <w:rFonts w:cs="Calibri"/>
                <w:b/>
                <w:color w:val="FFFFFF"/>
                <w:sz w:val="16"/>
                <w:szCs w:val="16"/>
              </w:rPr>
              <w:t>Reason</w:t>
            </w:r>
          </w:p>
          <w:p w14:paraId="68A4783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8A560A7"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B79ABC0"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785EFA5E" w14:textId="77777777">
        <w:trPr>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545A193B" w14:textId="77777777" w:rsidR="00B97365" w:rsidRDefault="00000000">
            <w:pPr>
              <w:jc w:val="center"/>
              <w:rPr>
                <w:rFonts w:cs="Calibri"/>
                <w:sz w:val="16"/>
                <w:szCs w:val="16"/>
              </w:rPr>
            </w:pPr>
            <w:r>
              <w:rPr>
                <w:rFonts w:cs="Calibri"/>
                <w:sz w:val="16"/>
                <w:szCs w:val="16"/>
              </w:rPr>
              <w:t>1.6</w:t>
            </w:r>
          </w:p>
        </w:tc>
        <w:tc>
          <w:tcPr>
            <w:tcW w:w="0" w:type="auto"/>
            <w:tcBorders>
              <w:top w:val="single" w:sz="6" w:space="0" w:color="auto"/>
              <w:left w:val="single" w:sz="6" w:space="0" w:color="auto"/>
              <w:bottom w:val="single" w:sz="4" w:space="0" w:color="auto"/>
              <w:right w:val="single" w:sz="6" w:space="0" w:color="auto"/>
            </w:tcBorders>
            <w:vAlign w:val="center"/>
            <w:hideMark/>
          </w:tcPr>
          <w:p w14:paraId="1F86C5FA" w14:textId="77777777" w:rsidR="00B97365" w:rsidRDefault="00000000">
            <w:pPr>
              <w:rPr>
                <w:rFonts w:cs="Calibri"/>
                <w:sz w:val="16"/>
                <w:szCs w:val="16"/>
              </w:rPr>
            </w:pPr>
            <w:r>
              <w:rPr>
                <w:rFonts w:cs="Calibri"/>
                <w:sz w:val="16"/>
                <w:szCs w:val="16"/>
              </w:rPr>
              <w:t>Function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1065BD9F" w14:textId="77777777" w:rsidR="00B97365" w:rsidRDefault="00000000">
            <w:pPr>
              <w:jc w:val="center"/>
              <w:rPr>
                <w:rFonts w:cs="Calibri"/>
                <w:sz w:val="16"/>
                <w:szCs w:val="16"/>
              </w:rPr>
            </w:pPr>
            <w:r>
              <w:rPr>
                <w:rFonts w:cs="Calibri"/>
                <w:sz w:val="16"/>
                <w:szCs w:val="16"/>
              </w:rPr>
              <w:t>5.3</w:t>
            </w:r>
          </w:p>
        </w:tc>
        <w:tc>
          <w:tcPr>
            <w:tcW w:w="0" w:type="auto"/>
            <w:tcBorders>
              <w:top w:val="single" w:sz="6" w:space="0" w:color="auto"/>
              <w:left w:val="single" w:sz="6" w:space="0" w:color="auto"/>
              <w:bottom w:val="single" w:sz="4" w:space="0" w:color="auto"/>
              <w:right w:val="single" w:sz="6" w:space="0" w:color="auto"/>
            </w:tcBorders>
            <w:vAlign w:val="center"/>
            <w:hideMark/>
          </w:tcPr>
          <w:p w14:paraId="2A284046" w14:textId="77777777" w:rsidR="00B97365" w:rsidRDefault="00000000">
            <w:pPr>
              <w:rPr>
                <w:rFonts w:cs="Calibri"/>
                <w:sz w:val="16"/>
                <w:szCs w:val="16"/>
              </w:rPr>
            </w:pPr>
            <w:r>
              <w:rPr>
                <w:rFonts w:cs="Calibri"/>
                <w:sz w:val="16"/>
                <w:szCs w:val="16"/>
              </w:rPr>
              <w:t>Time to live expired</w:t>
            </w:r>
          </w:p>
        </w:tc>
        <w:tc>
          <w:tcPr>
            <w:tcW w:w="0" w:type="auto"/>
            <w:tcBorders>
              <w:top w:val="single" w:sz="6" w:space="0" w:color="auto"/>
              <w:left w:val="single" w:sz="6" w:space="0" w:color="auto"/>
              <w:bottom w:val="single" w:sz="4" w:space="0" w:color="auto"/>
              <w:right w:val="single" w:sz="4" w:space="0" w:color="auto"/>
            </w:tcBorders>
            <w:vAlign w:val="center"/>
            <w:hideMark/>
          </w:tcPr>
          <w:p w14:paraId="65368A28" w14:textId="77777777" w:rsidR="00B97365" w:rsidRDefault="00000000">
            <w:pPr>
              <w:rPr>
                <w:rFonts w:cs="Calibri"/>
                <w:sz w:val="16"/>
                <w:szCs w:val="16"/>
              </w:rPr>
            </w:pPr>
            <w:r>
              <w:rPr>
                <w:rFonts w:cs="Calibri"/>
                <w:sz w:val="16"/>
                <w:szCs w:val="16"/>
              </w:rPr>
              <w:t>The function execution request has expired (end of validity period has been reached). This may be because the server had no time to execute the function or because the function was requesting a remote communication with the eUICC which was not present on the network during all the validity period.</w:t>
            </w:r>
          </w:p>
        </w:tc>
      </w:tr>
    </w:tbl>
    <w:p w14:paraId="6EB7E02E" w14:textId="77777777" w:rsidR="00B97365" w:rsidRDefault="00000000">
      <w:pPr>
        <w:numPr>
          <w:ilvl w:val="0"/>
          <w:numId w:val="14"/>
        </w:numPr>
        <w:tabs>
          <w:tab w:val="left" w:pos="1009"/>
        </w:tabs>
        <w:spacing w:after="200" w:line="276" w:lineRule="auto"/>
        <w:jc w:val="center"/>
        <w:rPr>
          <w:rFonts w:cs="Arial"/>
          <w:b/>
          <w:lang w:eastAsia="de-DE" w:bidi="ar-SA"/>
        </w:rPr>
      </w:pPr>
      <w:bookmarkStart w:id="3310" w:name="_Toc352671576"/>
      <w:r>
        <w:rPr>
          <w:rFonts w:cs="Arial"/>
          <w:b/>
          <w:lang w:eastAsia="de-DE" w:bidi="ar-SA"/>
        </w:rPr>
        <w:t>: Function Execution Status ‘Expired’ Codes</w:t>
      </w:r>
    </w:p>
    <w:p w14:paraId="1F20449E"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val="de-DE" w:eastAsia="en-US"/>
        </w:rPr>
      </w:pPr>
      <w:bookmarkStart w:id="3311" w:name="_Toc448998253"/>
      <w:bookmarkStart w:id="3312" w:name="_Toc422150729"/>
      <w:bookmarkStart w:id="3313" w:name="_Toc421874314"/>
      <w:bookmarkStart w:id="3314" w:name="_Toc420594701"/>
      <w:bookmarkStart w:id="3315" w:name="_Toc398214855"/>
      <w:bookmarkStart w:id="3316" w:name="_Toc375158271"/>
      <w:bookmarkStart w:id="3317" w:name="_Toc374348508"/>
      <w:bookmarkStart w:id="3318" w:name="_Toc368932280"/>
      <w:bookmarkStart w:id="3319" w:name="_Toc486332871"/>
      <w:bookmarkStart w:id="3320" w:name="_Toc1977348"/>
      <w:bookmarkStart w:id="3321" w:name="_Toc37062507"/>
      <w:bookmarkStart w:id="3322" w:name="_Toc88839581"/>
      <w:bookmarkStart w:id="3323" w:name="_Toc121503989"/>
      <w:r>
        <w:rPr>
          <w:rFonts w:eastAsia="Times New Roman" w:cs="Arial"/>
          <w:b/>
          <w:bCs/>
          <w:iCs/>
          <w:sz w:val="24"/>
          <w:szCs w:val="28"/>
          <w:lang w:val="de-DE" w:eastAsia="en-US"/>
        </w:rPr>
        <w:t>ES1 (EUM – SM-SR) Interface Description</w:t>
      </w:r>
      <w:bookmarkEnd w:id="3241"/>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14:paraId="33F5174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324" w:name="_Toc356915044"/>
      <w:bookmarkStart w:id="3325" w:name="_Toc347329708"/>
      <w:bookmarkStart w:id="3326" w:name="_Toc352671578"/>
      <w:bookmarkStart w:id="3327" w:name="_Ref367978153"/>
      <w:bookmarkStart w:id="3328" w:name="_Ref367978162"/>
      <w:bookmarkStart w:id="3329" w:name="_Toc368932281"/>
      <w:bookmarkStart w:id="3330" w:name="_Toc375158272"/>
      <w:bookmarkStart w:id="3331" w:name="_Toc398214856"/>
      <w:bookmarkStart w:id="3332" w:name="_Toc420594702"/>
      <w:bookmarkStart w:id="3333" w:name="_Toc421874315"/>
      <w:bookmarkStart w:id="3334" w:name="_Toc422150730"/>
      <w:bookmarkStart w:id="3335" w:name="_Toc448998254"/>
      <w:bookmarkStart w:id="3336" w:name="_Toc486332872"/>
      <w:bookmarkStart w:id="3337" w:name="_Toc1977349"/>
      <w:bookmarkStart w:id="3338" w:name="_Toc37062508"/>
      <w:bookmarkStart w:id="3339" w:name="_Toc88839582"/>
      <w:bookmarkStart w:id="3340" w:name="_Toc121503990"/>
      <w:bookmarkEnd w:id="3324"/>
      <w:r>
        <w:rPr>
          <w:rFonts w:eastAsia="Times New Roman" w:cs="Arial"/>
          <w:b/>
          <w:sz w:val="24"/>
          <w:szCs w:val="26"/>
          <w:lang w:eastAsia="en-US"/>
        </w:rPr>
        <w:t>Register EIS</w:t>
      </w: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p>
    <w:p w14:paraId="5C8AA2E8" w14:textId="77777777" w:rsidR="00B97365" w:rsidRDefault="00000000">
      <w:pPr>
        <w:spacing w:before="0" w:after="200" w:line="276" w:lineRule="auto"/>
        <w:jc w:val="left"/>
        <w:rPr>
          <w:szCs w:val="22"/>
          <w:lang w:val="en-US" w:eastAsia="en-GB" w:bidi="ar-SA"/>
        </w:rPr>
      </w:pPr>
      <w:bookmarkStart w:id="3341" w:name="_Toc420594703"/>
      <w:r>
        <w:rPr>
          <w:rFonts w:cs="Arial"/>
          <w:b/>
          <w:szCs w:val="22"/>
          <w:lang w:val="en-US" w:eastAsia="en-GB" w:bidi="ar-SA"/>
        </w:rPr>
        <w:t>Function name:</w:t>
      </w:r>
      <w:r>
        <w:rPr>
          <w:szCs w:val="22"/>
          <w:lang w:val="en-US" w:eastAsia="en-GB" w:bidi="ar-SA"/>
        </w:rPr>
        <w:t xml:space="preserve"> RegisterEIS</w:t>
      </w:r>
      <w:bookmarkEnd w:id="3341"/>
    </w:p>
    <w:p w14:paraId="4D988D40" w14:textId="77777777" w:rsidR="00B97365" w:rsidRDefault="00000000">
      <w:pPr>
        <w:spacing w:before="0" w:after="200" w:line="276" w:lineRule="auto"/>
        <w:jc w:val="left"/>
        <w:rPr>
          <w:szCs w:val="22"/>
          <w:lang w:val="en-US" w:eastAsia="en-GB" w:bidi="ar-SA"/>
        </w:rPr>
      </w:pPr>
      <w:bookmarkStart w:id="3342" w:name="_Toc420594704"/>
      <w:r>
        <w:rPr>
          <w:rFonts w:cs="Arial"/>
          <w:b/>
          <w:szCs w:val="22"/>
          <w:lang w:val="en-US" w:eastAsia="en-GB" w:bidi="ar-SA"/>
        </w:rPr>
        <w:t xml:space="preserve">Related Procedures: </w:t>
      </w:r>
      <w:r>
        <w:rPr>
          <w:szCs w:val="22"/>
          <w:lang w:val="en-US" w:eastAsia="en-GB" w:bidi="ar-SA"/>
        </w:rPr>
        <w:t>eUICC registration at SM-SR: register a new EIS</w:t>
      </w:r>
      <w:bookmarkEnd w:id="3342"/>
    </w:p>
    <w:p w14:paraId="706FAA76" w14:textId="77777777" w:rsidR="00B97365" w:rsidRDefault="00000000">
      <w:pPr>
        <w:spacing w:before="0" w:after="200" w:line="276" w:lineRule="auto"/>
        <w:jc w:val="left"/>
        <w:rPr>
          <w:szCs w:val="22"/>
          <w:lang w:val="en-US" w:eastAsia="en-GB" w:bidi="ar-SA"/>
        </w:rPr>
      </w:pPr>
      <w:bookmarkStart w:id="3343" w:name="_Toc420594705"/>
      <w:r>
        <w:rPr>
          <w:rFonts w:cs="Arial"/>
          <w:b/>
          <w:szCs w:val="22"/>
          <w:lang w:val="en-US" w:eastAsia="en-GB" w:bidi="ar-SA"/>
        </w:rPr>
        <w:t>Function group:</w:t>
      </w:r>
      <w:r>
        <w:rPr>
          <w:szCs w:val="22"/>
          <w:lang w:val="en-US" w:eastAsia="en-GB" w:bidi="ar-SA"/>
        </w:rPr>
        <w:t xml:space="preserve"> eUICC Management</w:t>
      </w:r>
      <w:bookmarkEnd w:id="3343"/>
    </w:p>
    <w:p w14:paraId="06EB6562" w14:textId="77777777" w:rsidR="00B97365" w:rsidRDefault="00000000">
      <w:pPr>
        <w:spacing w:before="0" w:after="200" w:line="276" w:lineRule="auto"/>
        <w:jc w:val="left"/>
        <w:rPr>
          <w:szCs w:val="22"/>
          <w:lang w:val="en-US" w:eastAsia="en-GB" w:bidi="ar-SA"/>
        </w:rPr>
      </w:pPr>
      <w:bookmarkStart w:id="3344" w:name="_Toc420594706"/>
      <w:r>
        <w:rPr>
          <w:rFonts w:cs="Arial"/>
          <w:b/>
          <w:szCs w:val="22"/>
          <w:lang w:val="en-US" w:eastAsia="en-GB" w:bidi="ar-SA"/>
        </w:rPr>
        <w:t>Function Provider:</w:t>
      </w:r>
      <w:r>
        <w:rPr>
          <w:szCs w:val="22"/>
          <w:lang w:val="en-US" w:eastAsia="en-GB" w:bidi="ar-SA"/>
        </w:rPr>
        <w:t xml:space="preserve"> SM-SR</w:t>
      </w:r>
      <w:bookmarkEnd w:id="3344"/>
    </w:p>
    <w:p w14:paraId="0F9D2577" w14:textId="77777777" w:rsidR="00B97365" w:rsidRDefault="00000000">
      <w:pPr>
        <w:spacing w:before="0" w:after="200" w:line="276" w:lineRule="auto"/>
        <w:jc w:val="left"/>
        <w:rPr>
          <w:b/>
          <w:szCs w:val="22"/>
          <w:lang w:val="en-US" w:eastAsia="en-GB" w:bidi="ar-SA"/>
        </w:rPr>
      </w:pPr>
      <w:bookmarkStart w:id="3345" w:name="_Toc420594707"/>
      <w:r>
        <w:rPr>
          <w:rFonts w:cs="Arial"/>
          <w:b/>
          <w:szCs w:val="22"/>
          <w:lang w:val="en-US" w:eastAsia="en-GB" w:bidi="ar-SA"/>
        </w:rPr>
        <w:t>Description:</w:t>
      </w:r>
      <w:bookmarkEnd w:id="3345"/>
    </w:p>
    <w:p w14:paraId="1AB2F6F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an eUICC Manufacturer (EUM) to register an eUICC represented by its eUICC Information Set (EIS) within an identified SM-SR information database.</w:t>
      </w:r>
    </w:p>
    <w:p w14:paraId="5EB80B3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EIS contains the complete set of data that is applicable for the SM-SR to manage the lifecycle of this eUICC. This data set is split in two different parts:</w:t>
      </w:r>
    </w:p>
    <w:p w14:paraId="5592EF0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fixed signed part containing the identification of the eUICC </w:t>
      </w:r>
    </w:p>
    <w:p w14:paraId="00E8ECA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variable part containing the keys for the Platform Management plus the list of the different Profile loaded with the identified eUICC</w:t>
      </w:r>
    </w:p>
    <w:p w14:paraId="02CADDD2" w14:textId="4279C78F" w:rsidR="00B97365" w:rsidRDefault="00000000">
      <w:pPr>
        <w:spacing w:before="0" w:after="200" w:line="276" w:lineRule="auto"/>
        <w:jc w:val="left"/>
        <w:rPr>
          <w:szCs w:val="22"/>
          <w:lang w:val="en-US" w:eastAsia="en-GB" w:bidi="ar-SA"/>
        </w:rPr>
      </w:pPr>
      <w:r>
        <w:rPr>
          <w:szCs w:val="22"/>
          <w:lang w:val="en-US" w:eastAsia="en-GB" w:bidi="ar-SA"/>
        </w:rPr>
        <w:t xml:space="preserve">The ISD-R key components SHALL be ciphered using methods agreed in section </w:t>
      </w:r>
      <w:r>
        <w:rPr>
          <w:szCs w:val="22"/>
          <w:lang w:val="en-US" w:eastAsia="en-GB" w:bidi="ar-SA"/>
        </w:rPr>
        <w:fldChar w:fldCharType="begin"/>
      </w:r>
      <w:r>
        <w:rPr>
          <w:szCs w:val="22"/>
          <w:lang w:val="en-US" w:eastAsia="en-GB" w:bidi="ar-SA"/>
        </w:rPr>
        <w:instrText xml:space="preserve"> REF _Ref483406769 \r \h </w:instrText>
      </w:r>
      <w:r>
        <w:rPr>
          <w:szCs w:val="22"/>
          <w:lang w:val="en-US" w:eastAsia="en-GB" w:bidi="ar-SA"/>
        </w:rPr>
      </w:r>
      <w:r>
        <w:rPr>
          <w:szCs w:val="22"/>
          <w:lang w:val="en-US" w:eastAsia="en-GB" w:bidi="ar-SA"/>
        </w:rPr>
        <w:fldChar w:fldCharType="separate"/>
      </w:r>
      <w:r w:rsidR="001D5AD9">
        <w:rPr>
          <w:szCs w:val="22"/>
          <w:lang w:val="en-US" w:eastAsia="en-GB" w:bidi="ar-SA"/>
        </w:rPr>
        <w:t>2.8</w:t>
      </w:r>
      <w:r>
        <w:rPr>
          <w:szCs w:val="22"/>
          <w:lang w:val="en-US" w:eastAsia="en-GB" w:bidi="ar-SA"/>
        </w:rPr>
        <w:fldChar w:fldCharType="end"/>
      </w:r>
      <w:r>
        <w:rPr>
          <w:szCs w:val="22"/>
          <w:lang w:val="en-US" w:eastAsia="en-GB" w:bidi="ar-SA"/>
        </w:rPr>
        <w:t>.</w:t>
      </w:r>
    </w:p>
    <w:p w14:paraId="3BAC620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metadata describing the ciphering MAY be transported as AdditionalProperties in the EIS, or MAY be agreed out of band.</w:t>
      </w:r>
    </w:p>
    <w:p w14:paraId="5F39C0B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This function may return:</w:t>
      </w:r>
    </w:p>
    <w:p w14:paraId="45A2AB4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‘Executed-Success’ indicating that the registration function has been successfully executed on the SM-SR as requested by the function caller. </w:t>
      </w:r>
    </w:p>
    <w:p w14:paraId="0C91C698" w14:textId="1F5AE4F0"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_Ref367973572 \r \h  \* MERGEFORMAT </w:instrText>
      </w:r>
      <w:r>
        <w:fldChar w:fldCharType="separate"/>
      </w:r>
      <w:r w:rsidR="001D5AD9" w:rsidRPr="001D5AD9">
        <w:rPr>
          <w:szCs w:val="22"/>
          <w:lang w:eastAsia="en-GB" w:bidi="ar-SA"/>
        </w:rPr>
        <w:t>5.1.6.4</w:t>
      </w:r>
      <w:r>
        <w:fldChar w:fldCharType="end"/>
      </w:r>
    </w:p>
    <w:p w14:paraId="4F7C7C1A" w14:textId="0AF783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_Ref367973581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75B1C4D6" w14:textId="77777777" w:rsidR="00B97365" w:rsidRDefault="00B97365">
      <w:pPr>
        <w:tabs>
          <w:tab w:val="left" w:pos="680"/>
        </w:tabs>
        <w:spacing w:before="0" w:after="200" w:line="276" w:lineRule="auto"/>
        <w:contextualSpacing/>
        <w:jc w:val="left"/>
        <w:rPr>
          <w:rFonts w:cs="Arial"/>
          <w:szCs w:val="22"/>
          <w:lang w:eastAsia="en-GB" w:bidi="ar-SA"/>
        </w:rPr>
      </w:pPr>
    </w:p>
    <w:p w14:paraId="3FD94C50" w14:textId="77777777" w:rsidR="00B97365" w:rsidRDefault="00000000">
      <w:pPr>
        <w:spacing w:before="0" w:after="200" w:line="276" w:lineRule="auto"/>
        <w:jc w:val="left"/>
        <w:rPr>
          <w:b/>
          <w:i/>
          <w:lang w:val="en-US"/>
        </w:rPr>
      </w:pPr>
      <w:bookmarkStart w:id="3346" w:name="_Toc420594708"/>
      <w:r>
        <w:rPr>
          <w:rFonts w:cs="Arial"/>
          <w:b/>
          <w:i/>
          <w:lang w:val="en-US"/>
        </w:rPr>
        <w:t xml:space="preserve">Additional </w:t>
      </w:r>
      <w:r>
        <w:rPr>
          <w:b/>
          <w:i/>
          <w:szCs w:val="22"/>
          <w:lang w:val="en-US" w:eastAsia="en-GB" w:bidi="ar-SA"/>
        </w:rPr>
        <w:t>input</w:t>
      </w:r>
      <w:r>
        <w:rPr>
          <w:b/>
          <w:i/>
          <w:lang w:val="en-US"/>
        </w:rPr>
        <w:t xml:space="preserve"> data:</w:t>
      </w:r>
      <w:bookmarkEnd w:id="334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367"/>
        <w:gridCol w:w="5272"/>
        <w:gridCol w:w="514"/>
        <w:gridCol w:w="398"/>
        <w:gridCol w:w="514"/>
      </w:tblGrid>
      <w:tr w:rsidR="00B97365" w14:paraId="7D7D4A0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E517B99"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6FF4A96"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ADD4A8F"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68249A2"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F4FA518"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MOC</w:t>
            </w:r>
          </w:p>
        </w:tc>
      </w:tr>
      <w:tr w:rsidR="00B97365" w14:paraId="51F76544"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A8D02B9" w14:textId="77777777" w:rsidR="00B97365" w:rsidRDefault="00000000">
            <w:pPr>
              <w:overflowPunct w:val="0"/>
              <w:autoSpaceDE w:val="0"/>
              <w:autoSpaceDN w:val="0"/>
              <w:adjustRightInd w:val="0"/>
              <w:spacing w:before="40" w:after="40"/>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1EAE3E83" w14:textId="77777777" w:rsidR="00B97365" w:rsidRDefault="00000000">
            <w:pPr>
              <w:tabs>
                <w:tab w:val="left" w:pos="720"/>
              </w:tabs>
              <w:overflowPunct w:val="0"/>
              <w:autoSpaceDE w:val="0"/>
              <w:adjustRightInd w:val="0"/>
              <w:spacing w:before="0" w:after="200" w:line="276" w:lineRule="auto"/>
              <w:contextualSpacing/>
              <w:textAlignment w:val="baseline"/>
              <w:rPr>
                <w:rFonts w:cs="Calibri"/>
                <w:sz w:val="16"/>
                <w:szCs w:val="16"/>
              </w:rPr>
            </w:pPr>
            <w:r>
              <w:rPr>
                <w:rFonts w:cs="Calibri"/>
                <w:sz w:val="16"/>
                <w:szCs w:val="16"/>
              </w:rPr>
              <w:t>This is the eUICC Information Set of the eUICC.</w:t>
            </w:r>
          </w:p>
          <w:p w14:paraId="1DA0F01F" w14:textId="5F27EAB0" w:rsidR="00B97365" w:rsidRDefault="00000000">
            <w:pPr>
              <w:tabs>
                <w:tab w:val="left" w:pos="720"/>
              </w:tabs>
              <w:overflowPunct w:val="0"/>
              <w:autoSpaceDE w:val="0"/>
              <w:adjustRightInd w:val="0"/>
              <w:spacing w:before="0" w:after="200" w:line="276" w:lineRule="auto"/>
              <w:contextualSpacing/>
              <w:textAlignment w:val="baseline"/>
              <w:rPr>
                <w:rFonts w:cs="Calibri"/>
                <w:sz w:val="16"/>
                <w:szCs w:val="16"/>
              </w:rPr>
            </w:pPr>
            <w:r>
              <w:rPr>
                <w:rFonts w:cs="Calibri"/>
                <w:sz w:val="16"/>
                <w:szCs w:val="16"/>
                <w:lang w:val="en-US"/>
              </w:rPr>
              <w:t xml:space="preserve">See section </w:t>
            </w:r>
            <w:r>
              <w:fldChar w:fldCharType="begin"/>
            </w:r>
            <w:r>
              <w:rPr>
                <w:rFonts w:cs="Calibri"/>
                <w:sz w:val="16"/>
                <w:szCs w:val="16"/>
                <w:lang w:val="en-US"/>
              </w:rPr>
              <w:instrText xml:space="preserve"> REF _Ref483306198 \r \h </w:instrText>
            </w:r>
            <w:r>
              <w:fldChar w:fldCharType="separate"/>
            </w:r>
            <w:r w:rsidR="001D5AD9">
              <w:rPr>
                <w:rFonts w:cs="Calibri"/>
                <w:sz w:val="16"/>
                <w:szCs w:val="16"/>
                <w:lang w:val="en-US"/>
              </w:rPr>
              <w:t>5.1.1.2</w:t>
            </w:r>
            <w:r>
              <w:fldChar w:fldCharType="end"/>
            </w:r>
            <w:r>
              <w:rPr>
                <w:rFonts w:cs="Calibri"/>
                <w:sz w:val="16"/>
                <w:szCs w:val="16"/>
                <w:lang w:val="en-US"/>
              </w:rPr>
              <w:t xml:space="preserve"> for type description. </w:t>
            </w:r>
            <w:r>
              <w:rPr>
                <w:rFonts w:cs="Calibri"/>
                <w:sz w:val="16"/>
                <w:szCs w:val="16"/>
                <w:lang w:val="en-US"/>
              </w:rPr>
              <w:br/>
            </w:r>
            <w:r>
              <w:rPr>
                <w:sz w:val="16"/>
                <w:szCs w:val="16"/>
                <w:lang w:val="en-US"/>
              </w:rPr>
              <w:t xml:space="preserve"> The list of EIS data fields that SHALL be included is defined in </w:t>
            </w:r>
            <w:r>
              <w:rPr>
                <w:sz w:val="16"/>
                <w:szCs w:val="16"/>
                <w:lang w:val="en-US"/>
              </w:rPr>
              <w:fldChar w:fldCharType="begin"/>
            </w:r>
            <w:r>
              <w:rPr>
                <w:sz w:val="16"/>
                <w:szCs w:val="16"/>
                <w:lang w:val="en-US"/>
              </w:rPr>
              <w:instrText xml:space="preserve"> REF _Ref421660634 \r \h </w:instrText>
            </w:r>
            <w:r>
              <w:rPr>
                <w:sz w:val="16"/>
                <w:szCs w:val="16"/>
                <w:lang w:val="en-US"/>
              </w:rPr>
            </w:r>
            <w:r>
              <w:rPr>
                <w:sz w:val="16"/>
                <w:szCs w:val="16"/>
                <w:lang w:val="en-US"/>
              </w:rPr>
              <w:fldChar w:fldCharType="separate"/>
            </w:r>
            <w:r w:rsidR="001D5AD9">
              <w:rPr>
                <w:sz w:val="16"/>
                <w:szCs w:val="16"/>
                <w:lang w:val="en-US"/>
              </w:rPr>
              <w:t>Annex E</w:t>
            </w:r>
            <w:r>
              <w:rPr>
                <w:sz w:val="16"/>
                <w:szCs w:val="16"/>
                <w:lang w:val="en-US"/>
              </w:rPr>
              <w:fldChar w:fldCharType="end"/>
            </w:r>
            <w:r>
              <w:rPr>
                <w:sz w:val="16"/>
                <w:szCs w:val="16"/>
                <w:lang w:val="en-US"/>
              </w:rPr>
              <w:t>.</w:t>
            </w:r>
          </w:p>
        </w:tc>
        <w:tc>
          <w:tcPr>
            <w:tcW w:w="0" w:type="auto"/>
            <w:tcBorders>
              <w:top w:val="single" w:sz="6" w:space="0" w:color="auto"/>
              <w:left w:val="single" w:sz="6" w:space="0" w:color="auto"/>
              <w:bottom w:val="single" w:sz="4" w:space="0" w:color="auto"/>
              <w:right w:val="single" w:sz="6" w:space="0" w:color="auto"/>
            </w:tcBorders>
            <w:vAlign w:val="center"/>
            <w:hideMark/>
          </w:tcPr>
          <w:p w14:paraId="4228A882"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2CD55580"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1-N</w:t>
            </w:r>
          </w:p>
        </w:tc>
        <w:tc>
          <w:tcPr>
            <w:tcW w:w="0" w:type="auto"/>
            <w:tcBorders>
              <w:top w:val="single" w:sz="6" w:space="0" w:color="auto"/>
              <w:left w:val="single" w:sz="6" w:space="0" w:color="auto"/>
              <w:bottom w:val="single" w:sz="4" w:space="0" w:color="auto"/>
              <w:right w:val="single" w:sz="4" w:space="0" w:color="auto"/>
            </w:tcBorders>
            <w:vAlign w:val="center"/>
            <w:hideMark/>
          </w:tcPr>
          <w:p w14:paraId="0F3DD3EA"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M</w:t>
            </w:r>
          </w:p>
        </w:tc>
      </w:tr>
    </w:tbl>
    <w:p w14:paraId="1AF4B075"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Register EIS Additional Input Data</w:t>
      </w:r>
    </w:p>
    <w:p w14:paraId="3822284F" w14:textId="77777777" w:rsidR="00B97365" w:rsidRDefault="00000000">
      <w:pPr>
        <w:spacing w:before="0" w:after="200" w:line="276" w:lineRule="auto"/>
        <w:jc w:val="left"/>
        <w:rPr>
          <w:b/>
          <w:i/>
          <w:szCs w:val="22"/>
          <w:lang w:val="en-US" w:eastAsia="en-GB" w:bidi="ar-SA"/>
        </w:rPr>
      </w:pPr>
      <w:bookmarkStart w:id="3347" w:name="_Toc420594709"/>
      <w:r>
        <w:rPr>
          <w:rFonts w:cs="Arial"/>
          <w:b/>
          <w:i/>
          <w:szCs w:val="22"/>
          <w:lang w:val="en-US" w:eastAsia="en-GB" w:bidi="ar-SA"/>
        </w:rPr>
        <w:t>Specific status codes</w:t>
      </w:r>
      <w:bookmarkEnd w:id="3347"/>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674"/>
        <w:gridCol w:w="674"/>
        <w:gridCol w:w="692"/>
        <w:gridCol w:w="1375"/>
        <w:gridCol w:w="5546"/>
      </w:tblGrid>
      <w:tr w:rsidR="00B97365" w14:paraId="0465A315"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1713432" w14:textId="77777777" w:rsidR="00B97365" w:rsidRDefault="00000000">
            <w:pPr>
              <w:jc w:val="center"/>
              <w:rPr>
                <w:rFonts w:cs="Calibri"/>
                <w:color w:val="FFFFFF"/>
                <w:sz w:val="16"/>
                <w:szCs w:val="16"/>
              </w:rPr>
            </w:pPr>
            <w:r>
              <w:rPr>
                <w:rFonts w:cs="Calibri"/>
                <w:color w:val="FFFFFF"/>
                <w:sz w:val="16"/>
                <w:szCs w:val="16"/>
              </w:rPr>
              <w:t>Subject</w:t>
            </w:r>
          </w:p>
          <w:p w14:paraId="3EEC1F4E" w14:textId="77777777" w:rsidR="00B97365" w:rsidRDefault="00000000">
            <w:pPr>
              <w:jc w:val="center"/>
              <w:rPr>
                <w:rFonts w:cs="Calibri"/>
                <w:color w:val="FFFFFF"/>
                <w:sz w:val="16"/>
                <w:szCs w:val="16"/>
              </w:rPr>
            </w:pPr>
            <w:r>
              <w:rPr>
                <w:rFonts w:cs="Calibri"/>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379D592" w14:textId="77777777" w:rsidR="00B97365" w:rsidRDefault="00000000">
            <w:pPr>
              <w:jc w:val="center"/>
              <w:rPr>
                <w:rFonts w:cs="Calibri"/>
                <w:color w:val="FFFFFF"/>
                <w:sz w:val="16"/>
                <w:szCs w:val="16"/>
              </w:rPr>
            </w:pPr>
            <w:r>
              <w:rPr>
                <w:rFonts w:cs="Calibri"/>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402FA88" w14:textId="77777777" w:rsidR="00B97365" w:rsidRDefault="00000000">
            <w:pPr>
              <w:jc w:val="center"/>
              <w:rPr>
                <w:rFonts w:cs="Calibri"/>
                <w:color w:val="FFFFFF"/>
                <w:sz w:val="16"/>
                <w:szCs w:val="16"/>
              </w:rPr>
            </w:pPr>
            <w:r>
              <w:rPr>
                <w:rFonts w:cs="Calibri"/>
                <w:color w:val="FFFFFF"/>
                <w:sz w:val="16"/>
                <w:szCs w:val="16"/>
              </w:rPr>
              <w:t>Reason</w:t>
            </w:r>
          </w:p>
          <w:p w14:paraId="315231F6" w14:textId="77777777" w:rsidR="00B97365" w:rsidRDefault="00000000">
            <w:pPr>
              <w:jc w:val="center"/>
              <w:rPr>
                <w:rFonts w:cs="Calibri"/>
                <w:color w:val="FFFFFF"/>
                <w:sz w:val="16"/>
                <w:szCs w:val="16"/>
              </w:rPr>
            </w:pPr>
            <w:r>
              <w:rPr>
                <w:rFonts w:cs="Calibri"/>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9537C44" w14:textId="77777777" w:rsidR="00B97365" w:rsidRDefault="00000000">
            <w:pPr>
              <w:jc w:val="center"/>
              <w:rPr>
                <w:rFonts w:cs="Calibri"/>
                <w:color w:val="FFFFFF"/>
                <w:sz w:val="16"/>
                <w:szCs w:val="16"/>
              </w:rPr>
            </w:pPr>
            <w:r>
              <w:rPr>
                <w:rFonts w:cs="Calibri"/>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2D304A2" w14:textId="77777777" w:rsidR="00B97365" w:rsidRDefault="00000000">
            <w:pPr>
              <w:jc w:val="center"/>
              <w:rPr>
                <w:rFonts w:cs="Calibri"/>
                <w:color w:val="FFFFFF"/>
                <w:sz w:val="16"/>
                <w:szCs w:val="16"/>
              </w:rPr>
            </w:pPr>
            <w:r>
              <w:rPr>
                <w:rFonts w:cs="Calibri"/>
                <w:color w:val="FFFFFF"/>
                <w:sz w:val="16"/>
                <w:szCs w:val="16"/>
              </w:rPr>
              <w:t>Description</w:t>
            </w:r>
          </w:p>
        </w:tc>
      </w:tr>
      <w:tr w:rsidR="00B97365" w14:paraId="4D0C0B9D"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4A2E0324" w14:textId="77777777" w:rsidR="00B97365" w:rsidRDefault="00B97365">
            <w:pPr>
              <w:jc w:val="center"/>
              <w:rPr>
                <w:rFonts w:cs="Calibri"/>
                <w:sz w:val="16"/>
                <w:szCs w:val="16"/>
              </w:rPr>
            </w:pPr>
          </w:p>
          <w:p w14:paraId="623B63DA"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1B7291FE" w14:textId="77777777" w:rsidR="00B97365" w:rsidRDefault="00B97365">
            <w:pPr>
              <w:rPr>
                <w:rFonts w:cs="Calibri"/>
                <w:sz w:val="16"/>
                <w:szCs w:val="16"/>
              </w:rPr>
            </w:pPr>
          </w:p>
          <w:p w14:paraId="1557710D"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698C6E7" w14:textId="77777777" w:rsidR="00B97365" w:rsidRDefault="00B97365">
            <w:pPr>
              <w:jc w:val="center"/>
              <w:rPr>
                <w:rFonts w:cs="Calibri"/>
                <w:sz w:val="16"/>
                <w:szCs w:val="16"/>
              </w:rPr>
            </w:pPr>
          </w:p>
          <w:p w14:paraId="3E137B30" w14:textId="77777777" w:rsidR="00B97365" w:rsidRDefault="00000000">
            <w:pPr>
              <w:jc w:val="center"/>
              <w:rPr>
                <w:rFonts w:cs="Calibri"/>
                <w:sz w:val="16"/>
                <w:szCs w:val="16"/>
              </w:rPr>
            </w:pPr>
            <w:r>
              <w:rPr>
                <w:rFonts w:cs="Calibri"/>
                <w:sz w:val="16"/>
                <w:szCs w:val="16"/>
              </w:rPr>
              <w:t>3.6</w:t>
            </w:r>
          </w:p>
        </w:tc>
        <w:tc>
          <w:tcPr>
            <w:tcW w:w="0" w:type="auto"/>
            <w:tcBorders>
              <w:top w:val="single" w:sz="6" w:space="0" w:color="auto"/>
              <w:left w:val="single" w:sz="6" w:space="0" w:color="auto"/>
              <w:bottom w:val="single" w:sz="6" w:space="0" w:color="auto"/>
              <w:right w:val="single" w:sz="6" w:space="0" w:color="auto"/>
            </w:tcBorders>
            <w:vAlign w:val="center"/>
            <w:hideMark/>
          </w:tcPr>
          <w:p w14:paraId="0C69B02A" w14:textId="77777777" w:rsidR="00B97365" w:rsidRDefault="00B97365">
            <w:pPr>
              <w:rPr>
                <w:rFonts w:cs="Calibri"/>
                <w:sz w:val="16"/>
                <w:szCs w:val="16"/>
              </w:rPr>
            </w:pPr>
          </w:p>
          <w:p w14:paraId="4D97F8EC" w14:textId="77777777" w:rsidR="00B97365" w:rsidRDefault="00000000">
            <w:pPr>
              <w:rPr>
                <w:rFonts w:cs="Calibri"/>
                <w:sz w:val="16"/>
                <w:szCs w:val="16"/>
              </w:rPr>
            </w:pPr>
            <w:r>
              <w:rPr>
                <w:rFonts w:cs="Calibri"/>
                <w:sz w:val="16"/>
                <w:szCs w:val="16"/>
              </w:rPr>
              <w:t>Related Object Exists</w:t>
            </w:r>
          </w:p>
        </w:tc>
        <w:tc>
          <w:tcPr>
            <w:tcW w:w="0" w:type="auto"/>
            <w:tcBorders>
              <w:top w:val="single" w:sz="6" w:space="0" w:color="auto"/>
              <w:left w:val="single" w:sz="6" w:space="0" w:color="auto"/>
              <w:bottom w:val="single" w:sz="6" w:space="0" w:color="auto"/>
              <w:right w:val="single" w:sz="4" w:space="0" w:color="auto"/>
            </w:tcBorders>
            <w:vAlign w:val="center"/>
            <w:hideMark/>
          </w:tcPr>
          <w:p w14:paraId="5A356261" w14:textId="77777777" w:rsidR="00B97365" w:rsidRDefault="00000000">
            <w:pPr>
              <w:rPr>
                <w:rFonts w:cs="Calibri"/>
                <w:sz w:val="16"/>
                <w:szCs w:val="16"/>
              </w:rPr>
            </w:pPr>
            <w:r>
              <w:rPr>
                <w:rFonts w:cs="Calibri"/>
                <w:sz w:val="16"/>
                <w:szCs w:val="16"/>
              </w:rPr>
              <w:t>Indicates that the EIS identified by this EID, is already register within the EIS database of the SM-SR</w:t>
            </w:r>
          </w:p>
        </w:tc>
      </w:tr>
      <w:tr w:rsidR="00B97365" w14:paraId="4849553F"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622660D9" w14:textId="77777777" w:rsidR="00B97365" w:rsidRDefault="00000000">
            <w:pPr>
              <w:jc w:val="center"/>
              <w:rPr>
                <w:rFonts w:cs="Calibri"/>
                <w:sz w:val="16"/>
                <w:szCs w:val="16"/>
              </w:rPr>
            </w:pPr>
            <w:r>
              <w:rPr>
                <w:rFonts w:cs="Calibri"/>
                <w:sz w:val="16"/>
                <w:szCs w:val="16"/>
              </w:rPr>
              <w:t>8.6</w:t>
            </w:r>
          </w:p>
        </w:tc>
        <w:tc>
          <w:tcPr>
            <w:tcW w:w="0" w:type="auto"/>
            <w:tcBorders>
              <w:top w:val="single" w:sz="6" w:space="0" w:color="auto"/>
              <w:left w:val="single" w:sz="6" w:space="0" w:color="auto"/>
              <w:bottom w:val="single" w:sz="6" w:space="0" w:color="auto"/>
              <w:right w:val="single" w:sz="6" w:space="0" w:color="auto"/>
            </w:tcBorders>
            <w:vAlign w:val="center"/>
            <w:hideMark/>
          </w:tcPr>
          <w:p w14:paraId="755E445D" w14:textId="77777777" w:rsidR="00B97365" w:rsidRDefault="00000000">
            <w:pPr>
              <w:rPr>
                <w:rFonts w:cs="Calibri"/>
                <w:sz w:val="16"/>
                <w:szCs w:val="16"/>
              </w:rPr>
            </w:pPr>
            <w:r>
              <w:rPr>
                <w:rFonts w:cs="Calibri"/>
                <w:sz w:val="16"/>
                <w:szCs w:val="16"/>
              </w:rPr>
              <w:t>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3C719454" w14:textId="77777777" w:rsidR="00B97365" w:rsidRDefault="00B97365">
            <w:pPr>
              <w:jc w:val="center"/>
              <w:rPr>
                <w:rFonts w:cs="Calibri"/>
                <w:sz w:val="16"/>
                <w:szCs w:val="16"/>
              </w:rPr>
            </w:pPr>
          </w:p>
          <w:p w14:paraId="6C542DC2" w14:textId="77777777" w:rsidR="00B97365" w:rsidRDefault="00000000">
            <w:pPr>
              <w:jc w:val="center"/>
              <w:rPr>
                <w:rFonts w:cs="Calibri"/>
                <w:sz w:val="16"/>
                <w:szCs w:val="16"/>
              </w:rPr>
            </w:pPr>
            <w:r>
              <w:rPr>
                <w:rFonts w:cs="Calibri"/>
                <w:sz w:val="16"/>
                <w:szCs w:val="16"/>
              </w:rPr>
              <w:t>6.1</w:t>
            </w:r>
          </w:p>
        </w:tc>
        <w:tc>
          <w:tcPr>
            <w:tcW w:w="0" w:type="auto"/>
            <w:tcBorders>
              <w:top w:val="single" w:sz="6" w:space="0" w:color="auto"/>
              <w:left w:val="single" w:sz="6" w:space="0" w:color="auto"/>
              <w:bottom w:val="single" w:sz="6" w:space="0" w:color="auto"/>
              <w:right w:val="single" w:sz="6" w:space="0" w:color="auto"/>
            </w:tcBorders>
            <w:vAlign w:val="center"/>
            <w:hideMark/>
          </w:tcPr>
          <w:p w14:paraId="746C641C" w14:textId="77777777" w:rsidR="00B97365" w:rsidRDefault="00B97365">
            <w:pPr>
              <w:rPr>
                <w:rFonts w:cs="Calibri"/>
                <w:sz w:val="16"/>
                <w:szCs w:val="16"/>
              </w:rPr>
            </w:pPr>
          </w:p>
          <w:p w14:paraId="7D497117" w14:textId="77777777" w:rsidR="00B97365" w:rsidRDefault="00000000">
            <w:pPr>
              <w:rPr>
                <w:rFonts w:cs="Calibri"/>
                <w:sz w:val="16"/>
                <w:szCs w:val="16"/>
              </w:rPr>
            </w:pPr>
            <w:r>
              <w:rPr>
                <w:rFonts w:cs="Calibri"/>
                <w:sz w:val="16"/>
                <w:szCs w:val="16"/>
              </w:rPr>
              <w:t>Verification failed</w:t>
            </w:r>
          </w:p>
        </w:tc>
        <w:tc>
          <w:tcPr>
            <w:tcW w:w="0" w:type="auto"/>
            <w:tcBorders>
              <w:top w:val="single" w:sz="6" w:space="0" w:color="auto"/>
              <w:left w:val="single" w:sz="6" w:space="0" w:color="auto"/>
              <w:bottom w:val="single" w:sz="6" w:space="0" w:color="auto"/>
              <w:right w:val="single" w:sz="4" w:space="0" w:color="auto"/>
            </w:tcBorders>
            <w:vAlign w:val="center"/>
            <w:hideMark/>
          </w:tcPr>
          <w:p w14:paraId="0584875B" w14:textId="77777777" w:rsidR="00B97365" w:rsidRDefault="00000000">
            <w:pPr>
              <w:rPr>
                <w:rFonts w:cs="Calibri"/>
                <w:sz w:val="16"/>
                <w:szCs w:val="16"/>
              </w:rPr>
            </w:pPr>
            <w:r>
              <w:rPr>
                <w:rFonts w:cs="Calibri"/>
                <w:sz w:val="16"/>
                <w:szCs w:val="16"/>
              </w:rPr>
              <w:t>During the verification of the EIS signature, an error occurred.</w:t>
            </w:r>
          </w:p>
        </w:tc>
      </w:tr>
      <w:tr w:rsidR="00B97365" w14:paraId="329A7CBE" w14:textId="77777777">
        <w:trPr>
          <w:trHeight w:val="282"/>
        </w:trPr>
        <w:tc>
          <w:tcPr>
            <w:tcW w:w="0" w:type="auto"/>
            <w:tcBorders>
              <w:top w:val="single" w:sz="6" w:space="0" w:color="auto"/>
              <w:left w:val="single" w:sz="4" w:space="0" w:color="auto"/>
              <w:bottom w:val="single" w:sz="4" w:space="0" w:color="auto"/>
              <w:right w:val="single" w:sz="6" w:space="0" w:color="auto"/>
            </w:tcBorders>
            <w:vAlign w:val="center"/>
            <w:hideMark/>
          </w:tcPr>
          <w:p w14:paraId="40582BA7" w14:textId="77777777" w:rsidR="00B97365" w:rsidRDefault="00000000">
            <w:pPr>
              <w:jc w:val="center"/>
              <w:rPr>
                <w:rFonts w:cs="Calibri"/>
                <w:sz w:val="16"/>
                <w:szCs w:val="16"/>
              </w:rPr>
            </w:pPr>
            <w:r>
              <w:rPr>
                <w:rFonts w:cs="Calibri"/>
                <w:sz w:val="16"/>
                <w:szCs w:val="16"/>
              </w:rPr>
              <w:t>8.6</w:t>
            </w:r>
          </w:p>
        </w:tc>
        <w:tc>
          <w:tcPr>
            <w:tcW w:w="0" w:type="auto"/>
            <w:tcBorders>
              <w:top w:val="single" w:sz="6" w:space="0" w:color="auto"/>
              <w:left w:val="single" w:sz="6" w:space="0" w:color="auto"/>
              <w:bottom w:val="single" w:sz="4" w:space="0" w:color="auto"/>
              <w:right w:val="single" w:sz="6" w:space="0" w:color="auto"/>
            </w:tcBorders>
            <w:vAlign w:val="center"/>
            <w:hideMark/>
          </w:tcPr>
          <w:p w14:paraId="118F7060" w14:textId="77777777" w:rsidR="00B97365" w:rsidRDefault="00000000">
            <w:pPr>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46D6CA06" w14:textId="77777777" w:rsidR="00B97365" w:rsidRDefault="00B97365">
            <w:pPr>
              <w:jc w:val="center"/>
              <w:rPr>
                <w:rFonts w:cs="Calibri"/>
                <w:sz w:val="16"/>
                <w:szCs w:val="16"/>
              </w:rPr>
            </w:pPr>
          </w:p>
          <w:p w14:paraId="39111608" w14:textId="77777777" w:rsidR="00B97365" w:rsidRDefault="00000000">
            <w:pPr>
              <w:jc w:val="center"/>
              <w:rPr>
                <w:rFonts w:cs="Calibri"/>
                <w:sz w:val="16"/>
                <w:szCs w:val="16"/>
              </w:rPr>
            </w:pPr>
            <w:r>
              <w:rPr>
                <w:rFonts w:cs="Calibri"/>
                <w:sz w:val="16"/>
                <w:szCs w:val="16"/>
              </w:rPr>
              <w:t>2.1</w:t>
            </w:r>
          </w:p>
        </w:tc>
        <w:tc>
          <w:tcPr>
            <w:tcW w:w="0" w:type="auto"/>
            <w:tcBorders>
              <w:top w:val="single" w:sz="6" w:space="0" w:color="auto"/>
              <w:left w:val="single" w:sz="6" w:space="0" w:color="auto"/>
              <w:bottom w:val="single" w:sz="4" w:space="0" w:color="auto"/>
              <w:right w:val="single" w:sz="6" w:space="0" w:color="auto"/>
            </w:tcBorders>
            <w:vAlign w:val="center"/>
            <w:hideMark/>
          </w:tcPr>
          <w:p w14:paraId="5F87002E" w14:textId="77777777" w:rsidR="00B97365" w:rsidRDefault="00B97365">
            <w:pPr>
              <w:rPr>
                <w:rFonts w:cs="Calibri"/>
                <w:sz w:val="16"/>
                <w:szCs w:val="16"/>
              </w:rPr>
            </w:pPr>
          </w:p>
          <w:p w14:paraId="591EC54B" w14:textId="77777777" w:rsidR="00B97365" w:rsidRDefault="00000000">
            <w:pPr>
              <w:rPr>
                <w:rFonts w:cs="Calibri"/>
                <w:sz w:val="16"/>
                <w:szCs w:val="16"/>
              </w:rPr>
            </w:pPr>
            <w:r>
              <w:rPr>
                <w:rFonts w:cs="Calibri"/>
                <w:sz w:val="16"/>
                <w:szCs w:val="16"/>
              </w:rPr>
              <w:t>Invalid</w:t>
            </w:r>
          </w:p>
        </w:tc>
        <w:tc>
          <w:tcPr>
            <w:tcW w:w="0" w:type="auto"/>
            <w:tcBorders>
              <w:top w:val="single" w:sz="6" w:space="0" w:color="auto"/>
              <w:left w:val="single" w:sz="6" w:space="0" w:color="auto"/>
              <w:bottom w:val="single" w:sz="4" w:space="0" w:color="auto"/>
              <w:right w:val="single" w:sz="4" w:space="0" w:color="auto"/>
            </w:tcBorders>
            <w:vAlign w:val="center"/>
            <w:hideMark/>
          </w:tcPr>
          <w:p w14:paraId="0C83AD42" w14:textId="77777777" w:rsidR="00B97365" w:rsidRDefault="00000000">
            <w:pPr>
              <w:rPr>
                <w:rFonts w:cs="Calibri"/>
                <w:sz w:val="16"/>
                <w:szCs w:val="16"/>
              </w:rPr>
            </w:pPr>
            <w:r>
              <w:rPr>
                <w:rFonts w:cs="Calibri"/>
                <w:sz w:val="16"/>
                <w:szCs w:val="16"/>
              </w:rPr>
              <w:t>During the consistency review of the EIS data, an error was found (for example free memory is bigger than full memory)</w:t>
            </w:r>
          </w:p>
        </w:tc>
      </w:tr>
    </w:tbl>
    <w:p w14:paraId="6BB04E9A" w14:textId="77777777" w:rsidR="00B97365" w:rsidRDefault="00000000">
      <w:pPr>
        <w:numPr>
          <w:ilvl w:val="0"/>
          <w:numId w:val="14"/>
        </w:numPr>
        <w:tabs>
          <w:tab w:val="left" w:pos="1009"/>
        </w:tabs>
        <w:spacing w:after="200" w:line="276" w:lineRule="auto"/>
        <w:jc w:val="center"/>
        <w:rPr>
          <w:lang w:eastAsia="de-DE"/>
        </w:rPr>
      </w:pPr>
      <w:r>
        <w:rPr>
          <w:rFonts w:cs="Arial"/>
          <w:b/>
          <w:lang w:eastAsia="de-DE" w:bidi="ar-SA"/>
        </w:rPr>
        <w:t>: Register EIS Specific Status Codes</w:t>
      </w:r>
    </w:p>
    <w:p w14:paraId="65C4520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348" w:name="_Toc1977350"/>
      <w:bookmarkStart w:id="3349" w:name="_Toc37062509"/>
      <w:bookmarkStart w:id="3350" w:name="_Toc88839583"/>
      <w:bookmarkStart w:id="3351" w:name="_Toc121503991"/>
      <w:r>
        <w:rPr>
          <w:rFonts w:eastAsia="Times New Roman" w:cs="Arial"/>
          <w:b/>
          <w:bCs/>
          <w:iCs/>
          <w:sz w:val="24"/>
          <w:szCs w:val="26"/>
          <w:lang w:eastAsia="en-US"/>
        </w:rPr>
        <w:t>Update EIS AdditionalProperties</w:t>
      </w:r>
      <w:bookmarkEnd w:id="3348"/>
      <w:bookmarkEnd w:id="3349"/>
      <w:bookmarkEnd w:id="3350"/>
      <w:bookmarkEnd w:id="3351"/>
    </w:p>
    <w:p w14:paraId="378B6F3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UpdateEISAdditionalProperties</w:t>
      </w:r>
    </w:p>
    <w:p w14:paraId="7B35A1C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 xml:space="preserve">Related Procedures: </w:t>
      </w:r>
      <w:r>
        <w:rPr>
          <w:szCs w:val="22"/>
          <w:lang w:val="en-US" w:eastAsia="en-GB" w:bidi="ar-SA"/>
        </w:rPr>
        <w:t>-</w:t>
      </w:r>
    </w:p>
    <w:p w14:paraId="538C86F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eUICC Management</w:t>
      </w:r>
    </w:p>
    <w:p w14:paraId="5121AD2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xml:space="preserve"> SM-SR</w:t>
      </w:r>
    </w:p>
    <w:p w14:paraId="13FDB18E" w14:textId="77777777" w:rsidR="00B97365" w:rsidRDefault="00000000">
      <w:pPr>
        <w:spacing w:before="0" w:after="200" w:line="276" w:lineRule="auto"/>
        <w:jc w:val="left"/>
        <w:rPr>
          <w:b/>
          <w:szCs w:val="22"/>
          <w:lang w:val="en-US" w:eastAsia="en-GB" w:bidi="ar-SA"/>
        </w:rPr>
      </w:pPr>
      <w:r>
        <w:rPr>
          <w:rFonts w:cs="Arial"/>
          <w:b/>
          <w:szCs w:val="22"/>
          <w:lang w:val="en-US" w:eastAsia="en-GB" w:bidi="ar-SA"/>
        </w:rPr>
        <w:t>Description:</w:t>
      </w:r>
    </w:p>
    <w:p w14:paraId="0691410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an eUICC Manufacturer (EUM) to update the AdditionalProperties field within the EIS in an identified SM-SR information database. The only field that is updated is “gsma.ESIM.</w:t>
      </w:r>
      <w:r>
        <w:rPr>
          <w:rFonts w:cs="Calibri"/>
          <w:szCs w:val="22"/>
        </w:rPr>
        <w:t>updatedPlatformVersion</w:t>
      </w:r>
      <w:r>
        <w:rPr>
          <w:rFonts w:cs="Arial"/>
          <w:szCs w:val="22"/>
          <w:lang w:val="en-US" w:eastAsia="en-GB" w:bidi="ar-SA"/>
        </w:rPr>
        <w:t>”, the others remain unchanged.</w:t>
      </w:r>
    </w:p>
    <w:p w14:paraId="0D782BA5" w14:textId="108B80DD"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AdditionalProperties field is defined in </w:t>
      </w:r>
      <w:r>
        <w:rPr>
          <w:rFonts w:cs="Arial"/>
          <w:szCs w:val="22"/>
          <w:lang w:val="en-US" w:eastAsia="en-GB" w:bidi="ar-SA"/>
        </w:rPr>
        <w:fldChar w:fldCharType="begin"/>
      </w:r>
      <w:r>
        <w:rPr>
          <w:rFonts w:cs="Arial"/>
          <w:szCs w:val="22"/>
          <w:lang w:val="en-US" w:eastAsia="en-GB" w:bidi="ar-SA"/>
        </w:rPr>
        <w:instrText xml:space="preserve"> REF _Ref534358809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Table 109</w:t>
      </w:r>
      <w:r>
        <w:rPr>
          <w:rFonts w:cs="Arial"/>
          <w:szCs w:val="22"/>
          <w:lang w:val="en-US" w:eastAsia="en-GB" w:bidi="ar-SA"/>
        </w:rPr>
        <w:fldChar w:fldCharType="end"/>
      </w:r>
      <w:r>
        <w:rPr>
          <w:rFonts w:cs="Arial"/>
          <w:szCs w:val="22"/>
          <w:lang w:val="en-US" w:eastAsia="en-GB" w:bidi="ar-SA"/>
        </w:rPr>
        <w:t>.</w:t>
      </w:r>
    </w:p>
    <w:p w14:paraId="562F0FB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667AB0DA" w14:textId="77777777" w:rsidR="00B97365" w:rsidRDefault="00000000">
      <w:pPr>
        <w:numPr>
          <w:ilvl w:val="0"/>
          <w:numId w:val="55"/>
        </w:numPr>
        <w:tabs>
          <w:tab w:val="left" w:pos="680"/>
        </w:tabs>
        <w:spacing w:before="0" w:after="200" w:line="276" w:lineRule="auto"/>
        <w:contextualSpacing/>
        <w:jc w:val="left"/>
        <w:rPr>
          <w:szCs w:val="22"/>
          <w:lang w:eastAsia="en-GB" w:bidi="ar-SA"/>
        </w:rPr>
      </w:pPr>
      <w:r>
        <w:rPr>
          <w:szCs w:val="22"/>
          <w:lang w:eastAsia="en-GB" w:bidi="ar-SA"/>
        </w:rPr>
        <w:lastRenderedPageBreak/>
        <w:t xml:space="preserve">A ‘Function execution status’ with ‘Executed-Success’ indicating that the update  function has been successfully executed on the SM-SR as requested by the function caller. </w:t>
      </w:r>
    </w:p>
    <w:p w14:paraId="0BDF7F14" w14:textId="4291BAE0" w:rsidR="00B97365" w:rsidRDefault="00000000">
      <w:pPr>
        <w:numPr>
          <w:ilvl w:val="0"/>
          <w:numId w:val="55"/>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_Ref367973572 \r \h  \* MERGEFORMAT </w:instrText>
      </w:r>
      <w:r>
        <w:fldChar w:fldCharType="separate"/>
      </w:r>
      <w:r w:rsidR="001D5AD9" w:rsidRPr="001D5AD9">
        <w:rPr>
          <w:szCs w:val="22"/>
          <w:lang w:eastAsia="en-GB" w:bidi="ar-SA"/>
        </w:rPr>
        <w:t>5.1.6.4</w:t>
      </w:r>
      <w:r>
        <w:fldChar w:fldCharType="end"/>
      </w:r>
      <w:r>
        <w:t xml:space="preserve"> </w:t>
      </w:r>
    </w:p>
    <w:p w14:paraId="181ADA9D" w14:textId="7E4F0722" w:rsidR="00B97365" w:rsidRDefault="00000000">
      <w:pPr>
        <w:numPr>
          <w:ilvl w:val="0"/>
          <w:numId w:val="55"/>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_Ref367973581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5941834A" w14:textId="77777777" w:rsidR="00B97365" w:rsidRDefault="00B97365">
      <w:pPr>
        <w:tabs>
          <w:tab w:val="left" w:pos="680"/>
        </w:tabs>
        <w:spacing w:before="0" w:after="200" w:line="276" w:lineRule="auto"/>
        <w:contextualSpacing/>
        <w:jc w:val="left"/>
        <w:rPr>
          <w:rFonts w:cs="Arial"/>
          <w:szCs w:val="22"/>
          <w:lang w:eastAsia="en-GB" w:bidi="ar-SA"/>
        </w:rPr>
      </w:pPr>
    </w:p>
    <w:p w14:paraId="415687F2" w14:textId="77777777" w:rsidR="00B97365" w:rsidRDefault="00000000">
      <w:pPr>
        <w:spacing w:before="0" w:after="200" w:line="276" w:lineRule="auto"/>
        <w:jc w:val="left"/>
        <w:rPr>
          <w:b/>
          <w:i/>
          <w:lang w:val="en-US"/>
        </w:rPr>
      </w:pPr>
      <w:r>
        <w:rPr>
          <w:rFonts w:cs="Arial"/>
          <w:b/>
          <w:i/>
          <w:lang w:val="en-US"/>
        </w:rPr>
        <w:t xml:space="preserve">Additional </w:t>
      </w:r>
      <w:r>
        <w:rPr>
          <w:b/>
          <w:i/>
          <w:szCs w:val="22"/>
          <w:lang w:val="en-US" w:eastAsia="en-GB" w:bidi="ar-SA"/>
        </w:rPr>
        <w:t>input</w:t>
      </w:r>
      <w:r>
        <w:rPr>
          <w:b/>
          <w:i/>
          <w:lang w:val="en-US"/>
        </w:rPr>
        <w:t xml:space="preserve">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572"/>
        <w:gridCol w:w="4235"/>
        <w:gridCol w:w="1987"/>
        <w:gridCol w:w="398"/>
        <w:gridCol w:w="514"/>
      </w:tblGrid>
      <w:tr w:rsidR="00B97365" w14:paraId="3BE7D9C7"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FAA357E" w14:textId="77777777" w:rsidR="00B97365" w:rsidRDefault="00000000">
            <w:pPr>
              <w:overflowPunct w:val="0"/>
              <w:autoSpaceDE w:val="0"/>
              <w:autoSpaceDN w:val="0"/>
              <w:adjustRightInd w:val="0"/>
              <w:spacing w:after="180" w:line="256" w:lineRule="auto"/>
              <w:jc w:val="center"/>
              <w:rPr>
                <w:rFonts w:cs="Calibri"/>
                <w:b/>
                <w:color w:val="FFFFFF"/>
                <w:sz w:val="16"/>
                <w:szCs w:val="16"/>
              </w:rPr>
            </w:pPr>
            <w:r>
              <w:rPr>
                <w:rFonts w:cs="Calibri"/>
                <w:b/>
                <w:color w:val="FFFFFF"/>
                <w:sz w:val="16"/>
                <w:szCs w:val="16"/>
              </w:rPr>
              <w:t>Input data name</w:t>
            </w:r>
          </w:p>
        </w:tc>
        <w:tc>
          <w:tcPr>
            <w:tcW w:w="42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FD2EFCD" w14:textId="77777777" w:rsidR="00B97365" w:rsidRDefault="00000000">
            <w:pPr>
              <w:overflowPunct w:val="0"/>
              <w:autoSpaceDE w:val="0"/>
              <w:autoSpaceDN w:val="0"/>
              <w:adjustRightInd w:val="0"/>
              <w:spacing w:after="180" w:line="256" w:lineRule="auto"/>
              <w:jc w:val="center"/>
              <w:rPr>
                <w:rFonts w:cs="Calibri"/>
                <w:b/>
                <w:color w:val="FFFFFF"/>
                <w:sz w:val="16"/>
                <w:szCs w:val="16"/>
              </w:rPr>
            </w:pPr>
            <w:r>
              <w:rPr>
                <w:rFonts w:cs="Calibri"/>
                <w:b/>
                <w:color w:val="FFFFFF"/>
                <w:sz w:val="16"/>
                <w:szCs w:val="16"/>
              </w:rPr>
              <w:t>Description</w:t>
            </w:r>
          </w:p>
        </w:tc>
        <w:tc>
          <w:tcPr>
            <w:tcW w:w="198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465AD2" w14:textId="77777777" w:rsidR="00B97365" w:rsidRDefault="00000000">
            <w:pPr>
              <w:overflowPunct w:val="0"/>
              <w:autoSpaceDE w:val="0"/>
              <w:autoSpaceDN w:val="0"/>
              <w:adjustRightInd w:val="0"/>
              <w:spacing w:after="180" w:line="256" w:lineRule="auto"/>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81711D8" w14:textId="77777777" w:rsidR="00B97365" w:rsidRDefault="00000000">
            <w:pPr>
              <w:overflowPunct w:val="0"/>
              <w:autoSpaceDE w:val="0"/>
              <w:autoSpaceDN w:val="0"/>
              <w:adjustRightInd w:val="0"/>
              <w:spacing w:after="180" w:line="256" w:lineRule="auto"/>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8143FFE" w14:textId="77777777" w:rsidR="00B97365" w:rsidRDefault="00000000">
            <w:pPr>
              <w:overflowPunct w:val="0"/>
              <w:autoSpaceDE w:val="0"/>
              <w:autoSpaceDN w:val="0"/>
              <w:adjustRightInd w:val="0"/>
              <w:spacing w:after="180" w:line="256" w:lineRule="auto"/>
              <w:jc w:val="center"/>
              <w:rPr>
                <w:rFonts w:cs="Calibri"/>
                <w:b/>
                <w:color w:val="FFFFFF"/>
                <w:sz w:val="16"/>
                <w:szCs w:val="16"/>
              </w:rPr>
            </w:pPr>
            <w:r>
              <w:rPr>
                <w:rFonts w:cs="Calibri"/>
                <w:b/>
                <w:color w:val="FFFFFF"/>
                <w:sz w:val="16"/>
                <w:szCs w:val="16"/>
              </w:rPr>
              <w:t>MOC</w:t>
            </w:r>
          </w:p>
        </w:tc>
      </w:tr>
      <w:tr w:rsidR="00B97365" w14:paraId="0D191BC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89A6D5A" w14:textId="77777777" w:rsidR="00B97365" w:rsidRDefault="00000000">
            <w:pPr>
              <w:overflowPunct w:val="0"/>
              <w:autoSpaceDE w:val="0"/>
              <w:autoSpaceDN w:val="0"/>
              <w:adjustRightInd w:val="0"/>
              <w:spacing w:before="40" w:after="40" w:line="256" w:lineRule="auto"/>
              <w:rPr>
                <w:rFonts w:cs="Calibri"/>
                <w:sz w:val="16"/>
                <w:szCs w:val="16"/>
              </w:rPr>
            </w:pPr>
            <w:r>
              <w:rPr>
                <w:rFonts w:cs="Calibri"/>
                <w:sz w:val="16"/>
                <w:szCs w:val="16"/>
                <w:lang w:eastAsia="en-GB" w:bidi="ar-SA"/>
              </w:rPr>
              <w:t>eid</w:t>
            </w:r>
          </w:p>
        </w:tc>
        <w:tc>
          <w:tcPr>
            <w:tcW w:w="4235" w:type="dxa"/>
            <w:tcBorders>
              <w:top w:val="single" w:sz="6" w:space="0" w:color="auto"/>
              <w:left w:val="single" w:sz="6" w:space="0" w:color="auto"/>
              <w:bottom w:val="single" w:sz="6" w:space="0" w:color="auto"/>
              <w:right w:val="single" w:sz="6" w:space="0" w:color="auto"/>
            </w:tcBorders>
            <w:vAlign w:val="center"/>
            <w:hideMark/>
          </w:tcPr>
          <w:p w14:paraId="6761E92A"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targeted eUICC.</w:t>
            </w:r>
          </w:p>
          <w:p w14:paraId="323AD76F" w14:textId="5D9ECEC8" w:rsidR="00B97365" w:rsidRDefault="00000000">
            <w:pPr>
              <w:tabs>
                <w:tab w:val="left" w:pos="720"/>
              </w:tabs>
              <w:overflowPunct w:val="0"/>
              <w:autoSpaceDE w:val="0"/>
              <w:adjustRightInd w:val="0"/>
              <w:spacing w:before="0" w:after="200" w:line="276" w:lineRule="auto"/>
              <w:contextualSpacing/>
              <w:textAlignment w:val="baseline"/>
              <w:rPr>
                <w:rFonts w:cs="Calibri"/>
                <w:sz w:val="16"/>
                <w:szCs w:val="16"/>
              </w:rPr>
            </w:pPr>
            <w:r>
              <w:rPr>
                <w:rFonts w:cs="Calibri"/>
                <w:sz w:val="16"/>
                <w:szCs w:val="16"/>
                <w:lang w:val="en-US" w:eastAsia="en-GB" w:bidi="ar-SA"/>
              </w:rPr>
              <w:t xml:space="preserve">See section </w:t>
            </w:r>
            <w:r>
              <w:fldChar w:fldCharType="begin"/>
            </w:r>
            <w:r>
              <w:instrText xml:space="preserve"> REF _Ref367974845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1987" w:type="dxa"/>
            <w:tcBorders>
              <w:top w:val="single" w:sz="6" w:space="0" w:color="auto"/>
              <w:left w:val="single" w:sz="6" w:space="0" w:color="auto"/>
              <w:bottom w:val="single" w:sz="6" w:space="0" w:color="auto"/>
              <w:right w:val="single" w:sz="6" w:space="0" w:color="auto"/>
            </w:tcBorders>
            <w:vAlign w:val="center"/>
            <w:hideMark/>
          </w:tcPr>
          <w:p w14:paraId="16679BBD" w14:textId="77777777" w:rsidR="00B97365" w:rsidRDefault="00000000">
            <w:pPr>
              <w:overflowPunct w:val="0"/>
              <w:autoSpaceDE w:val="0"/>
              <w:autoSpaceDN w:val="0"/>
              <w:adjustRightInd w:val="0"/>
              <w:spacing w:after="180" w:line="256" w:lineRule="auto"/>
              <w:jc w:val="center"/>
              <w:rPr>
                <w:rFonts w:cs="Calibri"/>
                <w:sz w:val="16"/>
                <w:szCs w:val="16"/>
              </w:rPr>
            </w:pPr>
            <w:r>
              <w:rPr>
                <w:rFonts w:cs="Calibri"/>
                <w:sz w:val="16"/>
                <w:szCs w:val="16"/>
                <w:lang w:val="en-US"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FCE500B" w14:textId="77777777" w:rsidR="00B97365" w:rsidRDefault="00000000">
            <w:pPr>
              <w:overflowPunct w:val="0"/>
              <w:autoSpaceDE w:val="0"/>
              <w:autoSpaceDN w:val="0"/>
              <w:adjustRightInd w:val="0"/>
              <w:spacing w:after="180" w:line="256" w:lineRule="auto"/>
              <w:jc w:val="center"/>
              <w:rPr>
                <w:rFonts w:cs="Calibri"/>
                <w:sz w:val="16"/>
                <w:szCs w:val="16"/>
              </w:rPr>
            </w:pPr>
            <w:r>
              <w:rPr>
                <w:rFonts w:cs="Calibri"/>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8E17A2E" w14:textId="77777777" w:rsidR="00B97365" w:rsidRDefault="00000000">
            <w:pPr>
              <w:overflowPunct w:val="0"/>
              <w:autoSpaceDE w:val="0"/>
              <w:autoSpaceDN w:val="0"/>
              <w:adjustRightInd w:val="0"/>
              <w:spacing w:after="180" w:line="256" w:lineRule="auto"/>
              <w:jc w:val="center"/>
              <w:rPr>
                <w:rFonts w:cs="Calibri"/>
                <w:sz w:val="16"/>
                <w:szCs w:val="16"/>
              </w:rPr>
            </w:pPr>
            <w:r>
              <w:rPr>
                <w:rFonts w:cs="Calibri"/>
                <w:sz w:val="16"/>
                <w:szCs w:val="16"/>
                <w:lang w:val="en-US" w:eastAsia="en-GB" w:bidi="ar-SA"/>
              </w:rPr>
              <w:t>M</w:t>
            </w:r>
          </w:p>
        </w:tc>
      </w:tr>
      <w:tr w:rsidR="00B97365" w14:paraId="6421CD2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74BEF80" w14:textId="77777777" w:rsidR="00B97365" w:rsidRDefault="00000000">
            <w:pPr>
              <w:overflowPunct w:val="0"/>
              <w:autoSpaceDE w:val="0"/>
              <w:autoSpaceDN w:val="0"/>
              <w:adjustRightInd w:val="0"/>
              <w:spacing w:before="40" w:after="40" w:line="256" w:lineRule="auto"/>
              <w:rPr>
                <w:rFonts w:cs="Calibri"/>
                <w:sz w:val="16"/>
                <w:szCs w:val="16"/>
              </w:rPr>
            </w:pPr>
            <w:r>
              <w:rPr>
                <w:rFonts w:cs="Calibri"/>
                <w:sz w:val="16"/>
                <w:szCs w:val="16"/>
              </w:rPr>
              <w:t>AdditionalProperties</w:t>
            </w:r>
          </w:p>
        </w:tc>
        <w:tc>
          <w:tcPr>
            <w:tcW w:w="4235" w:type="dxa"/>
            <w:tcBorders>
              <w:top w:val="single" w:sz="6" w:space="0" w:color="auto"/>
              <w:left w:val="single" w:sz="6" w:space="0" w:color="auto"/>
              <w:bottom w:val="single" w:sz="4" w:space="0" w:color="auto"/>
              <w:right w:val="single" w:sz="6" w:space="0" w:color="auto"/>
            </w:tcBorders>
            <w:vAlign w:val="center"/>
            <w:hideMark/>
          </w:tcPr>
          <w:p w14:paraId="572FB02E" w14:textId="45F089B3" w:rsidR="00B97365" w:rsidRDefault="00000000">
            <w:pPr>
              <w:tabs>
                <w:tab w:val="left" w:pos="720"/>
              </w:tabs>
              <w:overflowPunct w:val="0"/>
              <w:autoSpaceDE w:val="0"/>
              <w:adjustRightInd w:val="0"/>
              <w:spacing w:before="0" w:after="200" w:line="276" w:lineRule="auto"/>
              <w:contextualSpacing/>
              <w:textAlignment w:val="baseline"/>
              <w:rPr>
                <w:rFonts w:cs="Calibri"/>
                <w:sz w:val="16"/>
                <w:szCs w:val="16"/>
              </w:rPr>
            </w:pPr>
            <w:r>
              <w:rPr>
                <w:rFonts w:cs="Calibri"/>
                <w:sz w:val="16"/>
                <w:szCs w:val="16"/>
              </w:rPr>
              <w:t xml:space="preserve">This is the EIS field as described in section </w:t>
            </w:r>
            <w:r>
              <w:rPr>
                <w:rFonts w:cs="Calibri"/>
                <w:sz w:val="16"/>
                <w:szCs w:val="16"/>
              </w:rPr>
              <w:fldChar w:fldCharType="begin"/>
            </w:r>
            <w:r>
              <w:rPr>
                <w:rFonts w:cs="Calibri"/>
                <w:sz w:val="16"/>
                <w:szCs w:val="16"/>
              </w:rPr>
              <w:instrText xml:space="preserve"> REF _Ref534358955 \r \h </w:instrText>
            </w:r>
            <w:r>
              <w:rPr>
                <w:rFonts w:cs="Calibri"/>
                <w:sz w:val="16"/>
                <w:szCs w:val="16"/>
              </w:rPr>
            </w:r>
            <w:r>
              <w:rPr>
                <w:rFonts w:cs="Calibri"/>
                <w:sz w:val="16"/>
                <w:szCs w:val="16"/>
              </w:rPr>
              <w:fldChar w:fldCharType="separate"/>
            </w:r>
            <w:r w:rsidR="001D5AD9">
              <w:rPr>
                <w:rFonts w:cs="Calibri"/>
                <w:sz w:val="16"/>
                <w:szCs w:val="16"/>
              </w:rPr>
              <w:t>5.1.1.2.10</w:t>
            </w:r>
            <w:r>
              <w:rPr>
                <w:rFonts w:cs="Calibri"/>
                <w:sz w:val="16"/>
                <w:szCs w:val="16"/>
              </w:rPr>
              <w:fldChar w:fldCharType="end"/>
            </w:r>
            <w:r>
              <w:rPr>
                <w:sz w:val="16"/>
                <w:szCs w:val="16"/>
                <w:lang w:val="en-US"/>
              </w:rPr>
              <w:t>.</w:t>
            </w:r>
          </w:p>
        </w:tc>
        <w:tc>
          <w:tcPr>
            <w:tcW w:w="1987" w:type="dxa"/>
            <w:tcBorders>
              <w:top w:val="single" w:sz="6" w:space="0" w:color="auto"/>
              <w:left w:val="single" w:sz="6" w:space="0" w:color="auto"/>
              <w:bottom w:val="single" w:sz="4" w:space="0" w:color="auto"/>
              <w:right w:val="single" w:sz="6" w:space="0" w:color="auto"/>
            </w:tcBorders>
            <w:vAlign w:val="center"/>
            <w:hideMark/>
          </w:tcPr>
          <w:p w14:paraId="5B86B4C5" w14:textId="77777777" w:rsidR="00B97365" w:rsidRDefault="00000000">
            <w:pPr>
              <w:overflowPunct w:val="0"/>
              <w:autoSpaceDE w:val="0"/>
              <w:autoSpaceDN w:val="0"/>
              <w:adjustRightInd w:val="0"/>
              <w:spacing w:after="180" w:line="256" w:lineRule="auto"/>
              <w:jc w:val="center"/>
              <w:rPr>
                <w:rFonts w:cs="Calibri"/>
                <w:sz w:val="16"/>
                <w:szCs w:val="16"/>
              </w:rPr>
            </w:pPr>
            <w:r>
              <w:rPr>
                <w:rFonts w:cs="Calibri"/>
                <w:sz w:val="16"/>
                <w:szCs w:val="16"/>
              </w:rPr>
              <w:t>AdditionalProperties</w:t>
            </w:r>
          </w:p>
        </w:tc>
        <w:tc>
          <w:tcPr>
            <w:tcW w:w="0" w:type="auto"/>
            <w:tcBorders>
              <w:top w:val="single" w:sz="6" w:space="0" w:color="auto"/>
              <w:left w:val="single" w:sz="6" w:space="0" w:color="auto"/>
              <w:bottom w:val="single" w:sz="4" w:space="0" w:color="auto"/>
              <w:right w:val="single" w:sz="6" w:space="0" w:color="auto"/>
            </w:tcBorders>
            <w:vAlign w:val="center"/>
            <w:hideMark/>
          </w:tcPr>
          <w:p w14:paraId="59D1BE29" w14:textId="77777777" w:rsidR="00B97365" w:rsidRDefault="00000000">
            <w:pPr>
              <w:overflowPunct w:val="0"/>
              <w:autoSpaceDE w:val="0"/>
              <w:autoSpaceDN w:val="0"/>
              <w:adjustRightInd w:val="0"/>
              <w:spacing w:after="180" w:line="256" w:lineRule="auto"/>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5E790781" w14:textId="77777777" w:rsidR="00B97365" w:rsidRDefault="00000000">
            <w:pPr>
              <w:overflowPunct w:val="0"/>
              <w:autoSpaceDE w:val="0"/>
              <w:autoSpaceDN w:val="0"/>
              <w:adjustRightInd w:val="0"/>
              <w:spacing w:after="180" w:line="256" w:lineRule="auto"/>
              <w:jc w:val="center"/>
              <w:rPr>
                <w:rFonts w:cs="Calibri"/>
                <w:sz w:val="16"/>
                <w:szCs w:val="16"/>
              </w:rPr>
            </w:pPr>
            <w:r>
              <w:rPr>
                <w:rFonts w:cs="Calibri"/>
                <w:sz w:val="16"/>
                <w:szCs w:val="16"/>
              </w:rPr>
              <w:t>M</w:t>
            </w:r>
          </w:p>
        </w:tc>
      </w:tr>
    </w:tbl>
    <w:p w14:paraId="7FC95E6F" w14:textId="77777777" w:rsidR="00B97365" w:rsidRDefault="00000000">
      <w:pPr>
        <w:tabs>
          <w:tab w:val="left" w:pos="1009"/>
        </w:tabs>
        <w:spacing w:after="200" w:line="276" w:lineRule="auto"/>
        <w:jc w:val="center"/>
        <w:rPr>
          <w:rFonts w:cs="Arial"/>
          <w:b/>
          <w:lang w:eastAsia="de-DE" w:bidi="ar-SA"/>
        </w:rPr>
      </w:pPr>
      <w:r>
        <w:rPr>
          <w:rFonts w:cs="Arial"/>
          <w:b/>
          <w:lang w:eastAsia="de-DE" w:bidi="ar-SA"/>
        </w:rPr>
        <w:t>Table 522-A: Update AdditionalProperties Additional Input Data</w:t>
      </w:r>
    </w:p>
    <w:p w14:paraId="6B38CAC6"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754"/>
        <w:gridCol w:w="718"/>
        <w:gridCol w:w="808"/>
        <w:gridCol w:w="5709"/>
      </w:tblGrid>
      <w:tr w:rsidR="00B97365" w14:paraId="3F4F673F" w14:textId="77777777">
        <w:trPr>
          <w:trHeight w:val="342"/>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CC7F0E8" w14:textId="77777777" w:rsidR="00B97365" w:rsidRDefault="00000000">
            <w:pPr>
              <w:keepNext/>
              <w:spacing w:before="60" w:line="276" w:lineRule="auto"/>
              <w:jc w:val="left"/>
              <w:rPr>
                <w:rFonts w:cs="Arial"/>
                <w:b/>
                <w:color w:val="FFFFFF"/>
                <w:sz w:val="16"/>
                <w:szCs w:val="16"/>
              </w:rPr>
            </w:pPr>
            <w:r>
              <w:rPr>
                <w:rFonts w:cs="Arial"/>
                <w:b/>
                <w:color w:val="FFFFFF"/>
                <w:sz w:val="16"/>
                <w:szCs w:val="16"/>
                <w:lang w:val="en-US" w:eastAsia="en-GB" w:bidi="ar-SA"/>
              </w:rPr>
              <w:t>Subject</w:t>
            </w:r>
          </w:p>
          <w:p w14:paraId="1D71F28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7724E28"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72D2CF3"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Reason</w:t>
            </w:r>
          </w:p>
          <w:p w14:paraId="5B2226A4"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8313C8A"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3EC679B" w14:textId="77777777" w:rsidR="00B97365" w:rsidRDefault="00000000">
            <w:pPr>
              <w:keepNext/>
              <w:spacing w:before="60" w:line="276" w:lineRule="auto"/>
              <w:jc w:val="left"/>
              <w:rPr>
                <w:rFonts w:cs="Arial"/>
                <w:b/>
                <w:color w:val="FFFFFF"/>
                <w:sz w:val="16"/>
                <w:szCs w:val="16"/>
                <w:lang w:val="en-US" w:eastAsia="en-GB" w:bidi="ar-SA"/>
              </w:rPr>
            </w:pPr>
            <w:r>
              <w:rPr>
                <w:rFonts w:cs="Arial"/>
                <w:b/>
                <w:color w:val="FFFFFF"/>
                <w:sz w:val="16"/>
                <w:szCs w:val="16"/>
                <w:lang w:val="en-US" w:eastAsia="en-GB" w:bidi="ar-SA"/>
              </w:rPr>
              <w:t>Description</w:t>
            </w:r>
          </w:p>
        </w:tc>
      </w:tr>
      <w:tr w:rsidR="00B97365" w14:paraId="14985A9F"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tcPr>
          <w:p w14:paraId="6438AFBB" w14:textId="77777777" w:rsidR="00B97365" w:rsidRDefault="00B97365">
            <w:pPr>
              <w:spacing w:line="256" w:lineRule="auto"/>
              <w:jc w:val="center"/>
              <w:rPr>
                <w:rFonts w:cs="Calibri"/>
                <w:sz w:val="16"/>
                <w:szCs w:val="16"/>
              </w:rPr>
            </w:pPr>
          </w:p>
          <w:p w14:paraId="6DBA7C96" w14:textId="77777777" w:rsidR="00B97365" w:rsidRDefault="00000000">
            <w:pPr>
              <w:spacing w:line="256" w:lineRule="auto"/>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tcPr>
          <w:p w14:paraId="264A76A9" w14:textId="77777777" w:rsidR="00B97365" w:rsidRDefault="00B97365">
            <w:pPr>
              <w:spacing w:line="256" w:lineRule="auto"/>
              <w:rPr>
                <w:rFonts w:cs="Calibri"/>
                <w:sz w:val="16"/>
                <w:szCs w:val="16"/>
              </w:rPr>
            </w:pPr>
          </w:p>
          <w:p w14:paraId="11B70817" w14:textId="77777777" w:rsidR="00B97365" w:rsidRDefault="00000000">
            <w:pPr>
              <w:spacing w:line="256" w:lineRule="auto"/>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tcPr>
          <w:p w14:paraId="35BE13E7" w14:textId="77777777" w:rsidR="00B97365" w:rsidRDefault="00B97365">
            <w:pPr>
              <w:spacing w:line="256" w:lineRule="auto"/>
              <w:jc w:val="center"/>
              <w:rPr>
                <w:rFonts w:cs="Calibri"/>
                <w:sz w:val="16"/>
                <w:szCs w:val="16"/>
              </w:rPr>
            </w:pPr>
          </w:p>
          <w:p w14:paraId="580E4B93" w14:textId="77777777" w:rsidR="00B97365" w:rsidRDefault="00000000">
            <w:pPr>
              <w:spacing w:line="256" w:lineRule="auto"/>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tcPr>
          <w:p w14:paraId="37762B42" w14:textId="77777777" w:rsidR="00B97365" w:rsidRDefault="00B97365">
            <w:pPr>
              <w:spacing w:line="256" w:lineRule="auto"/>
              <w:rPr>
                <w:rFonts w:cs="Calibri"/>
                <w:sz w:val="16"/>
                <w:szCs w:val="16"/>
              </w:rPr>
            </w:pPr>
          </w:p>
          <w:p w14:paraId="4B66492F" w14:textId="77777777" w:rsidR="00B97365" w:rsidRDefault="00000000">
            <w:pPr>
              <w:spacing w:line="256" w:lineRule="auto"/>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2E12717B" w14:textId="77777777" w:rsidR="00B97365" w:rsidRDefault="00000000">
            <w:pPr>
              <w:spacing w:line="256" w:lineRule="auto"/>
              <w:rPr>
                <w:rFonts w:cs="Calibri"/>
                <w:sz w:val="16"/>
                <w:szCs w:val="16"/>
              </w:rPr>
            </w:pPr>
            <w:r>
              <w:rPr>
                <w:rFonts w:cs="Calibri"/>
                <w:sz w:val="16"/>
                <w:szCs w:val="16"/>
              </w:rPr>
              <w:t>Indicates that the EID is unknown to the function provider</w:t>
            </w:r>
          </w:p>
        </w:tc>
      </w:tr>
      <w:tr w:rsidR="00B97365" w14:paraId="5C514CD6" w14:textId="77777777">
        <w:trPr>
          <w:trHeight w:val="282"/>
        </w:trPr>
        <w:tc>
          <w:tcPr>
            <w:tcW w:w="0" w:type="auto"/>
            <w:tcBorders>
              <w:top w:val="single" w:sz="6" w:space="0" w:color="auto"/>
              <w:left w:val="single" w:sz="4" w:space="0" w:color="auto"/>
              <w:bottom w:val="single" w:sz="6" w:space="0" w:color="auto"/>
              <w:right w:val="single" w:sz="6" w:space="0" w:color="auto"/>
            </w:tcBorders>
            <w:vAlign w:val="center"/>
            <w:hideMark/>
          </w:tcPr>
          <w:p w14:paraId="33D93E8F" w14:textId="77777777" w:rsidR="00B97365" w:rsidRDefault="00000000">
            <w:pPr>
              <w:spacing w:line="256" w:lineRule="auto"/>
              <w:jc w:val="center"/>
              <w:rPr>
                <w:rFonts w:cs="Calibri"/>
                <w:sz w:val="16"/>
                <w:szCs w:val="16"/>
              </w:rPr>
            </w:pPr>
            <w:r>
              <w:rPr>
                <w:rFonts w:cs="Calibri"/>
                <w:sz w:val="16"/>
                <w:szCs w:val="16"/>
              </w:rPr>
              <w:t>1.6</w:t>
            </w:r>
          </w:p>
        </w:tc>
        <w:tc>
          <w:tcPr>
            <w:tcW w:w="0" w:type="auto"/>
            <w:tcBorders>
              <w:top w:val="single" w:sz="6" w:space="0" w:color="auto"/>
              <w:left w:val="single" w:sz="6" w:space="0" w:color="auto"/>
              <w:bottom w:val="single" w:sz="6" w:space="0" w:color="auto"/>
              <w:right w:val="single" w:sz="6" w:space="0" w:color="auto"/>
            </w:tcBorders>
            <w:vAlign w:val="center"/>
            <w:hideMark/>
          </w:tcPr>
          <w:p w14:paraId="3041C1A7" w14:textId="77777777" w:rsidR="00B97365" w:rsidRDefault="00000000">
            <w:pPr>
              <w:spacing w:line="256" w:lineRule="auto"/>
              <w:rPr>
                <w:rFonts w:cs="Calibri"/>
                <w:sz w:val="16"/>
                <w:szCs w:val="16"/>
              </w:rPr>
            </w:pPr>
            <w:r>
              <w:rPr>
                <w:rFonts w:cs="Calibri"/>
                <w:sz w:val="16"/>
                <w:szCs w:val="16"/>
              </w:rPr>
              <w:t>Function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5AEE501" w14:textId="77777777" w:rsidR="00B97365" w:rsidRDefault="00000000">
            <w:pPr>
              <w:spacing w:line="256" w:lineRule="auto"/>
              <w:jc w:val="center"/>
              <w:rPr>
                <w:rFonts w:cs="Calibri"/>
                <w:sz w:val="16"/>
                <w:szCs w:val="16"/>
              </w:rPr>
            </w:pPr>
            <w:r>
              <w:rPr>
                <w:rFonts w:cs="Calibri"/>
                <w:sz w:val="16"/>
                <w:szCs w:val="16"/>
              </w:rPr>
              <w:t>2.1</w:t>
            </w:r>
          </w:p>
        </w:tc>
        <w:tc>
          <w:tcPr>
            <w:tcW w:w="0" w:type="auto"/>
            <w:tcBorders>
              <w:top w:val="single" w:sz="6" w:space="0" w:color="auto"/>
              <w:left w:val="single" w:sz="6" w:space="0" w:color="auto"/>
              <w:bottom w:val="single" w:sz="6" w:space="0" w:color="auto"/>
              <w:right w:val="single" w:sz="6" w:space="0" w:color="auto"/>
            </w:tcBorders>
            <w:vAlign w:val="center"/>
            <w:hideMark/>
          </w:tcPr>
          <w:p w14:paraId="01944031" w14:textId="77777777" w:rsidR="00B97365" w:rsidRDefault="00000000">
            <w:pPr>
              <w:spacing w:line="256" w:lineRule="auto"/>
              <w:rPr>
                <w:rFonts w:cs="Calibri"/>
                <w:sz w:val="16"/>
                <w:szCs w:val="16"/>
              </w:rPr>
            </w:pPr>
            <w:r>
              <w:rPr>
                <w:rFonts w:cs="Calibri"/>
                <w:sz w:val="16"/>
                <w:szCs w:val="16"/>
              </w:rPr>
              <w:t>Invalid</w:t>
            </w:r>
          </w:p>
        </w:tc>
        <w:tc>
          <w:tcPr>
            <w:tcW w:w="0" w:type="auto"/>
            <w:tcBorders>
              <w:top w:val="single" w:sz="6" w:space="0" w:color="auto"/>
              <w:left w:val="single" w:sz="6" w:space="0" w:color="auto"/>
              <w:bottom w:val="single" w:sz="6" w:space="0" w:color="auto"/>
              <w:right w:val="single" w:sz="4" w:space="0" w:color="auto"/>
            </w:tcBorders>
            <w:vAlign w:val="center"/>
            <w:hideMark/>
          </w:tcPr>
          <w:p w14:paraId="2F6F4FB3" w14:textId="77777777" w:rsidR="00B97365" w:rsidRDefault="00000000">
            <w:pPr>
              <w:spacing w:line="256" w:lineRule="auto"/>
              <w:rPr>
                <w:rFonts w:cs="Calibri"/>
                <w:sz w:val="16"/>
                <w:szCs w:val="16"/>
              </w:rPr>
            </w:pPr>
            <w:r>
              <w:rPr>
                <w:rFonts w:cs="Calibri"/>
                <w:sz w:val="16"/>
                <w:szCs w:val="16"/>
              </w:rPr>
              <w:t xml:space="preserve">Indicates that it is not allowed to update an additional property in the input data </w:t>
            </w:r>
          </w:p>
        </w:tc>
      </w:tr>
    </w:tbl>
    <w:p w14:paraId="35FD85AC" w14:textId="77777777" w:rsidR="00B97365" w:rsidRDefault="00000000">
      <w:pPr>
        <w:tabs>
          <w:tab w:val="left" w:pos="1009"/>
        </w:tabs>
        <w:spacing w:after="200" w:line="276" w:lineRule="auto"/>
        <w:ind w:left="360"/>
        <w:jc w:val="center"/>
        <w:rPr>
          <w:rFonts w:cs="Arial"/>
          <w:b/>
          <w:lang w:eastAsia="de-DE" w:bidi="ar-SA"/>
        </w:rPr>
      </w:pPr>
      <w:r>
        <w:rPr>
          <w:rFonts w:cs="Arial"/>
          <w:b/>
          <w:lang w:eastAsia="de-DE" w:bidi="ar-SA"/>
        </w:rPr>
        <w:t>Table 522-B: Update AdditionalProperties Specific Status Codes</w:t>
      </w:r>
    </w:p>
    <w:p w14:paraId="59FDE40F"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3352" w:name="_Toc448998255"/>
      <w:bookmarkStart w:id="3353" w:name="_Toc422150731"/>
      <w:bookmarkStart w:id="3354" w:name="_Toc421874316"/>
      <w:bookmarkStart w:id="3355" w:name="_Toc420594710"/>
      <w:bookmarkStart w:id="3356" w:name="_Toc398214857"/>
      <w:bookmarkStart w:id="3357" w:name="_Toc375158273"/>
      <w:bookmarkStart w:id="3358" w:name="_Toc374348509"/>
      <w:bookmarkStart w:id="3359" w:name="_Toc368932282"/>
      <w:bookmarkStart w:id="3360" w:name="_Toc486332873"/>
      <w:bookmarkStart w:id="3361" w:name="_Toc1977351"/>
      <w:bookmarkStart w:id="3362" w:name="_Toc37062510"/>
      <w:bookmarkStart w:id="3363" w:name="_Toc88839584"/>
      <w:bookmarkStart w:id="3364" w:name="_Toc121503992"/>
      <w:r>
        <w:rPr>
          <w:rFonts w:eastAsia="Times New Roman" w:cs="Arial"/>
          <w:b/>
          <w:bCs/>
          <w:iCs/>
          <w:sz w:val="24"/>
          <w:szCs w:val="28"/>
          <w:lang w:eastAsia="en-US"/>
        </w:rPr>
        <w:t>ES2 (Operator – SM-DP) Interface Description</w:t>
      </w:r>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14:paraId="7C2305B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365" w:name="_Toc448998256"/>
      <w:bookmarkStart w:id="3366" w:name="_Toc422150732"/>
      <w:bookmarkStart w:id="3367" w:name="_Toc421874317"/>
      <w:bookmarkStart w:id="3368" w:name="_Toc420594711"/>
      <w:bookmarkStart w:id="3369" w:name="_Toc398214858"/>
      <w:bookmarkStart w:id="3370" w:name="_Toc375158274"/>
      <w:bookmarkStart w:id="3371" w:name="_Toc368932283"/>
      <w:bookmarkStart w:id="3372" w:name="_Ref367978187"/>
      <w:bookmarkStart w:id="3373" w:name="_Ref367978176"/>
      <w:bookmarkStart w:id="3374" w:name="_Toc486332874"/>
      <w:bookmarkStart w:id="3375" w:name="_Toc1977352"/>
      <w:bookmarkStart w:id="3376" w:name="_Toc37062511"/>
      <w:bookmarkStart w:id="3377" w:name="_Toc88839585"/>
      <w:bookmarkStart w:id="3378" w:name="_Toc121503993"/>
      <w:r>
        <w:rPr>
          <w:rFonts w:eastAsia="Times New Roman" w:cs="Arial"/>
          <w:b/>
          <w:sz w:val="24"/>
          <w:szCs w:val="26"/>
          <w:lang w:eastAsia="en-US"/>
        </w:rPr>
        <w:t>Getting eUICC Information</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669F176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GetEIS</w:t>
      </w:r>
    </w:p>
    <w:p w14:paraId="0051565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w:t>
      </w:r>
    </w:p>
    <w:p w14:paraId="4B69D02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3563106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34793C66" w14:textId="0F7CA1B7" w:rsidR="00B97365" w:rsidRDefault="00000000">
      <w:pPr>
        <w:spacing w:before="0" w:after="200" w:line="276" w:lineRule="auto"/>
        <w:jc w:val="left"/>
        <w:rPr>
          <w:rFonts w:cs="Arial"/>
          <w:b/>
          <w:i/>
          <w:szCs w:val="22"/>
          <w:lang w:val="en-US" w:eastAsia="en-GB" w:bidi="ar-SA"/>
        </w:rPr>
      </w:pPr>
      <w:r>
        <w:rPr>
          <w:rFonts w:cs="Arial"/>
          <w:szCs w:val="22"/>
          <w:lang w:val="en-US" w:eastAsia="en-GB" w:bidi="ar-SA"/>
        </w:rPr>
        <w:t>Description: This function allows the Operator to retrieve up to date the EIS information. The SM-DP SHALL forward the function request to the SM-SR “</w:t>
      </w:r>
      <w:r>
        <w:rPr>
          <w:rFonts w:cs="Arial"/>
          <w:b/>
          <w:szCs w:val="22"/>
          <w:lang w:val="en-US" w:eastAsia="en-GB" w:bidi="ar-SA"/>
        </w:rPr>
        <w:t>ES3.GetEIS</w:t>
      </w:r>
      <w:r>
        <w:rPr>
          <w:rFonts w:cs="Arial"/>
          <w:szCs w:val="22"/>
          <w:lang w:val="en-US" w:eastAsia="en-GB" w:bidi="ar-SA"/>
        </w:rPr>
        <w:t xml:space="preserve">” as defined in section </w:t>
      </w:r>
      <w:r>
        <w:fldChar w:fldCharType="begin"/>
      </w:r>
      <w:r>
        <w:instrText xml:space="preserve"> REF _Ref367973632 \r \h  \* MERGEFORMAT </w:instrText>
      </w:r>
      <w:r>
        <w:fldChar w:fldCharType="separate"/>
      </w:r>
      <w:r w:rsidR="001D5AD9" w:rsidRPr="001D5AD9">
        <w:rPr>
          <w:szCs w:val="22"/>
          <w:lang w:val="en-US" w:eastAsia="en-GB" w:bidi="ar-SA"/>
        </w:rPr>
        <w:t>5.4.1</w:t>
      </w:r>
      <w:r>
        <w:fldChar w:fldCharType="end"/>
      </w:r>
      <w:r>
        <w:rPr>
          <w:szCs w:val="22"/>
          <w:lang w:val="en-US" w:eastAsia="en-GB" w:bidi="ar-SA"/>
        </w:rPr>
        <w:t xml:space="preserve">. </w:t>
      </w:r>
      <w:bookmarkStart w:id="3379" w:name="_Toc420594712"/>
    </w:p>
    <w:p w14:paraId="2A0EEDF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bookmarkEnd w:id="337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5129"/>
        <w:gridCol w:w="514"/>
        <w:gridCol w:w="398"/>
        <w:gridCol w:w="514"/>
      </w:tblGrid>
      <w:tr w:rsidR="00B97365" w14:paraId="3D626AE8"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9CD1A6B" w14:textId="77777777" w:rsidR="00B97365" w:rsidRDefault="00000000">
            <w:pPr>
              <w:jc w:val="center"/>
              <w:rPr>
                <w:rFonts w:cs="Arial"/>
                <w:b/>
                <w:color w:val="FFFFFF"/>
                <w:sz w:val="16"/>
                <w:szCs w:val="16"/>
              </w:rPr>
            </w:pPr>
            <w:r>
              <w:rPr>
                <w:rFonts w:cs="Arial"/>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C7B38FC" w14:textId="77777777" w:rsidR="00B97365" w:rsidRDefault="00000000">
            <w:pPr>
              <w:jc w:val="center"/>
              <w:rPr>
                <w:rFonts w:cs="Arial"/>
                <w:b/>
                <w:color w:val="FFFFFF"/>
                <w:sz w:val="16"/>
                <w:szCs w:val="16"/>
              </w:rPr>
            </w:pPr>
            <w:r>
              <w:rPr>
                <w:rFonts w:cs="Arial"/>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E460BA4" w14:textId="77777777" w:rsidR="00B97365" w:rsidRDefault="00000000">
            <w:pPr>
              <w:jc w:val="center"/>
              <w:rPr>
                <w:rFonts w:cs="Arial"/>
                <w:b/>
                <w:color w:val="FFFFFF"/>
                <w:sz w:val="16"/>
                <w:szCs w:val="16"/>
              </w:rPr>
            </w:pPr>
            <w:r>
              <w:rPr>
                <w:rFonts w:cs="Arial"/>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0396239" w14:textId="77777777" w:rsidR="00B97365" w:rsidRDefault="00000000">
            <w:pPr>
              <w:jc w:val="center"/>
              <w:rPr>
                <w:rFonts w:cs="Arial"/>
                <w:b/>
                <w:color w:val="FFFFFF"/>
                <w:sz w:val="16"/>
                <w:szCs w:val="16"/>
              </w:rPr>
            </w:pPr>
            <w:r>
              <w:rPr>
                <w:rFonts w:cs="Arial"/>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47A2821" w14:textId="77777777" w:rsidR="00B97365" w:rsidRDefault="00000000">
            <w:pPr>
              <w:jc w:val="center"/>
              <w:rPr>
                <w:rFonts w:cs="Arial"/>
                <w:b/>
                <w:color w:val="FFFFFF"/>
                <w:sz w:val="16"/>
                <w:szCs w:val="16"/>
              </w:rPr>
            </w:pPr>
            <w:r>
              <w:rPr>
                <w:rFonts w:cs="Arial"/>
                <w:b/>
                <w:color w:val="FFFFFF"/>
                <w:sz w:val="16"/>
                <w:szCs w:val="16"/>
              </w:rPr>
              <w:t>MOC</w:t>
            </w:r>
          </w:p>
        </w:tc>
      </w:tr>
      <w:tr w:rsidR="00B97365" w14:paraId="67BB861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3AC15DC" w14:textId="77777777" w:rsidR="00B97365" w:rsidRDefault="00000000">
            <w:pPr>
              <w:tabs>
                <w:tab w:val="left" w:pos="229"/>
              </w:tabs>
              <w:spacing w:line="276" w:lineRule="auto"/>
              <w:ind w:left="229"/>
              <w:jc w:val="left"/>
              <w:rPr>
                <w:rFonts w:eastAsia="Times New Roman" w:cs="Arial"/>
                <w:sz w:val="16"/>
                <w:szCs w:val="16"/>
                <w:lang w:eastAsia="en-GB" w:bidi="ar-SA"/>
              </w:rPr>
            </w:pPr>
            <w:r>
              <w:rPr>
                <w:rFonts w:eastAsia="Times New Roman" w:cs="Arial"/>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BCF48A6"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Identification of the targeted eUICC to be audited.</w:t>
            </w:r>
          </w:p>
          <w:p w14:paraId="5A22FD31" w14:textId="396C4549"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 xml:space="preserve">See </w:t>
            </w:r>
            <w:r>
              <w:rPr>
                <w:rFonts w:eastAsia="Times New Roman" w:cs="Arial"/>
                <w:sz w:val="16"/>
                <w:szCs w:val="16"/>
                <w:lang w:val="en-US" w:eastAsia="en-GB" w:bidi="ar-SA"/>
              </w:rPr>
              <w:t xml:space="preserve">section </w:t>
            </w:r>
            <w:r>
              <w:fldChar w:fldCharType="begin"/>
            </w:r>
            <w:r>
              <w:instrText xml:space="preserve"> REF _Ref367973648 \r \h  \* MERGEFORMAT </w:instrText>
            </w:r>
            <w:r>
              <w:fldChar w:fldCharType="separate"/>
            </w:r>
            <w:r w:rsidR="001D5AD9" w:rsidRPr="001D5AD9">
              <w:rPr>
                <w:rFonts w:eastAsia="Times New Roman" w:cs="Arial"/>
                <w:sz w:val="16"/>
                <w:szCs w:val="16"/>
                <w:lang w:eastAsia="en-GB" w:bidi="ar-SA"/>
              </w:rPr>
              <w:t>5.1.1.1</w:t>
            </w:r>
            <w:r>
              <w:fldChar w:fldCharType="end"/>
            </w:r>
            <w:r>
              <w:rPr>
                <w:rFonts w:eastAsia="Times New Roman" w:cs="Arial"/>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B58286E"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013BF74"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0A4A786"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eastAsia="en-GB" w:bidi="ar-SA"/>
              </w:rPr>
              <w:t>M</w:t>
            </w:r>
          </w:p>
        </w:tc>
      </w:tr>
      <w:tr w:rsidR="00B97365" w14:paraId="5F57E8BB"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hideMark/>
          </w:tcPr>
          <w:p w14:paraId="2014D67C" w14:textId="77777777" w:rsidR="00B97365" w:rsidRDefault="00000000">
            <w:pPr>
              <w:tabs>
                <w:tab w:val="left" w:pos="229"/>
              </w:tabs>
              <w:spacing w:line="276" w:lineRule="auto"/>
              <w:ind w:left="229"/>
              <w:jc w:val="left"/>
              <w:rPr>
                <w:rFonts w:eastAsia="Times New Roman" w:cs="Arial"/>
                <w:sz w:val="16"/>
                <w:szCs w:val="16"/>
                <w:lang w:eastAsia="en-GB" w:bidi="ar-SA"/>
              </w:rPr>
            </w:pPr>
            <w:r>
              <w:rPr>
                <w:rFonts w:eastAsia="Times New Roman" w:cs="Arial"/>
                <w:sz w:val="16"/>
                <w:szCs w:val="16"/>
                <w:lang w:eastAsia="en-GB" w:bidi="ar-SA"/>
              </w:rPr>
              <w:t>smsr-id</w:t>
            </w:r>
          </w:p>
        </w:tc>
        <w:tc>
          <w:tcPr>
            <w:tcW w:w="0" w:type="auto"/>
            <w:tcBorders>
              <w:top w:val="single" w:sz="6" w:space="0" w:color="auto"/>
              <w:left w:val="single" w:sz="6" w:space="0" w:color="auto"/>
              <w:bottom w:val="single" w:sz="4" w:space="0" w:color="auto"/>
              <w:right w:val="single" w:sz="6" w:space="0" w:color="auto"/>
            </w:tcBorders>
            <w:hideMark/>
          </w:tcPr>
          <w:p w14:paraId="5A75259E" w14:textId="77777777" w:rsidR="00B97365" w:rsidRDefault="00000000">
            <w:pPr>
              <w:jc w:val="left"/>
              <w:rPr>
                <w:rFonts w:eastAsia="Times New Roman" w:cs="Arial"/>
                <w:sz w:val="16"/>
                <w:szCs w:val="16"/>
              </w:rPr>
            </w:pPr>
            <w:r>
              <w:rPr>
                <w:rFonts w:cs="Arial"/>
                <w:sz w:val="16"/>
                <w:szCs w:val="16"/>
                <w:lang w:val="en-US"/>
              </w:rPr>
              <w:t>Identification of the SM-SR currently in charge of eUICC management.</w:t>
            </w:r>
          </w:p>
          <w:p w14:paraId="5B30FEAE"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val="en-US" w:eastAsia="en-GB" w:bidi="ar-SA"/>
              </w:rPr>
              <w:lastRenderedPageBreak/>
              <w:t>This information may change during the eUICC’s lifetime.</w:t>
            </w:r>
          </w:p>
        </w:tc>
        <w:tc>
          <w:tcPr>
            <w:tcW w:w="0" w:type="auto"/>
            <w:tcBorders>
              <w:top w:val="single" w:sz="6" w:space="0" w:color="auto"/>
              <w:left w:val="single" w:sz="6" w:space="0" w:color="auto"/>
              <w:bottom w:val="single" w:sz="4" w:space="0" w:color="auto"/>
              <w:right w:val="single" w:sz="6" w:space="0" w:color="auto"/>
            </w:tcBorders>
            <w:hideMark/>
          </w:tcPr>
          <w:p w14:paraId="01A742B7"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val="en-US" w:eastAsia="en-GB" w:bidi="ar-SA"/>
              </w:rPr>
              <w:lastRenderedPageBreak/>
              <w:t>OID</w:t>
            </w:r>
          </w:p>
        </w:tc>
        <w:tc>
          <w:tcPr>
            <w:tcW w:w="0" w:type="auto"/>
            <w:tcBorders>
              <w:top w:val="single" w:sz="6" w:space="0" w:color="auto"/>
              <w:left w:val="single" w:sz="6" w:space="0" w:color="auto"/>
              <w:bottom w:val="single" w:sz="4" w:space="0" w:color="auto"/>
              <w:right w:val="single" w:sz="6" w:space="0" w:color="auto"/>
            </w:tcBorders>
            <w:hideMark/>
          </w:tcPr>
          <w:p w14:paraId="08B7105E"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hideMark/>
          </w:tcPr>
          <w:p w14:paraId="71FBAE3A" w14:textId="77777777" w:rsidR="00B97365" w:rsidRDefault="00000000">
            <w:pPr>
              <w:spacing w:line="276" w:lineRule="auto"/>
              <w:jc w:val="center"/>
              <w:rPr>
                <w:rFonts w:eastAsia="Times New Roman" w:cs="Arial"/>
                <w:sz w:val="16"/>
                <w:szCs w:val="16"/>
                <w:lang w:val="en-US" w:eastAsia="en-GB" w:bidi="ar-SA"/>
              </w:rPr>
            </w:pPr>
            <w:r>
              <w:rPr>
                <w:rFonts w:eastAsia="Times New Roman" w:cs="Arial"/>
                <w:sz w:val="16"/>
                <w:szCs w:val="16"/>
                <w:lang w:val="en-US" w:eastAsia="en-GB" w:bidi="ar-SA"/>
              </w:rPr>
              <w:t>M</w:t>
            </w:r>
          </w:p>
        </w:tc>
      </w:tr>
    </w:tbl>
    <w:p w14:paraId="4A8847B1"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Get EIS Additional Input Data</w:t>
      </w:r>
    </w:p>
    <w:p w14:paraId="69333182" w14:textId="77777777" w:rsidR="00B97365" w:rsidRDefault="00000000">
      <w:pPr>
        <w:spacing w:before="0" w:after="200" w:line="276" w:lineRule="auto"/>
        <w:jc w:val="left"/>
        <w:rPr>
          <w:b/>
          <w:i/>
          <w:szCs w:val="22"/>
          <w:lang w:val="en-US" w:eastAsia="en-GB" w:bidi="ar-SA"/>
        </w:rPr>
      </w:pPr>
      <w:bookmarkStart w:id="3380" w:name="_Toc420594713"/>
      <w:r>
        <w:rPr>
          <w:rFonts w:cs="Arial"/>
          <w:b/>
          <w:i/>
          <w:szCs w:val="22"/>
          <w:lang w:val="en-US" w:eastAsia="en-GB" w:bidi="ar-SA"/>
        </w:rPr>
        <w:t>Additional output data:</w:t>
      </w:r>
      <w:bookmarkEnd w:id="338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01"/>
        <w:gridCol w:w="5228"/>
        <w:gridCol w:w="514"/>
        <w:gridCol w:w="398"/>
        <w:gridCol w:w="514"/>
      </w:tblGrid>
      <w:tr w:rsidR="00B97365" w14:paraId="030FEC4D"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BFF2AC1"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71828D9"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4E3D4B0"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3634532"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262602A"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MOC</w:t>
            </w:r>
          </w:p>
        </w:tc>
      </w:tr>
      <w:tr w:rsidR="00B97365" w14:paraId="7EA12E5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4E8EC90"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46C818B2" w14:textId="77777777" w:rsidR="00B97365" w:rsidRDefault="00000000">
            <w:pPr>
              <w:tabs>
                <w:tab w:val="left" w:pos="720"/>
              </w:tabs>
              <w:overflowPunct w:val="0"/>
              <w:autoSpaceDE w:val="0"/>
              <w:autoSpaceDN w:val="0"/>
              <w:adjustRightInd w:val="0"/>
              <w:spacing w:before="0" w:after="200" w:line="276" w:lineRule="auto"/>
              <w:contextualSpacing/>
              <w:textAlignment w:val="baseline"/>
              <w:rPr>
                <w:rFonts w:cs="Arial"/>
                <w:sz w:val="16"/>
                <w:szCs w:val="16"/>
                <w:lang w:val="en-US"/>
              </w:rPr>
            </w:pPr>
            <w:r>
              <w:rPr>
                <w:rFonts w:cs="Arial"/>
                <w:sz w:val="16"/>
                <w:szCs w:val="16"/>
                <w:lang w:val="en-US"/>
              </w:rPr>
              <w:t xml:space="preserve">The relevant eUICC Information Set of the eUICC </w:t>
            </w:r>
          </w:p>
          <w:p w14:paraId="056840FB" w14:textId="7BDBFC83" w:rsidR="00B97365" w:rsidRDefault="00000000">
            <w:pPr>
              <w:tabs>
                <w:tab w:val="left" w:pos="720"/>
              </w:tabs>
              <w:overflowPunct w:val="0"/>
              <w:autoSpaceDE w:val="0"/>
              <w:autoSpaceDN w:val="0"/>
              <w:adjustRightInd w:val="0"/>
              <w:spacing w:before="0" w:after="200" w:line="276" w:lineRule="auto"/>
              <w:contextualSpacing/>
              <w:textAlignment w:val="baseline"/>
              <w:rPr>
                <w:sz w:val="16"/>
                <w:szCs w:val="16"/>
              </w:rPr>
            </w:pPr>
            <w:r>
              <w:rPr>
                <w:rFonts w:cs="Arial"/>
                <w:sz w:val="16"/>
                <w:szCs w:val="16"/>
                <w:lang w:val="en-US"/>
              </w:rPr>
              <w:t xml:space="preserve">See </w:t>
            </w:r>
            <w:r>
              <w:rPr>
                <w:rFonts w:cs="Calibri"/>
                <w:sz w:val="16"/>
                <w:szCs w:val="16"/>
                <w:lang w:val="en-US"/>
              </w:rPr>
              <w:t>section</w:t>
            </w:r>
            <w:r>
              <w:rPr>
                <w:sz w:val="16"/>
                <w:szCs w:val="16"/>
                <w:lang w:val="en-US"/>
              </w:rPr>
              <w:t xml:space="preserve"> </w:t>
            </w:r>
            <w:r>
              <w:fldChar w:fldCharType="begin"/>
            </w:r>
            <w:r>
              <w:instrText xml:space="preserve"> REF _Ref367973666 \r \h  \* MERGEFORMAT </w:instrText>
            </w:r>
            <w:r>
              <w:fldChar w:fldCharType="separate"/>
            </w:r>
            <w:r w:rsidR="001D5AD9">
              <w:t>5.1.1.1</w:t>
            </w:r>
            <w:r>
              <w:fldChar w:fldCharType="end"/>
            </w:r>
            <w:r>
              <w:rPr>
                <w:sz w:val="16"/>
                <w:szCs w:val="16"/>
                <w:lang w:val="en-US"/>
              </w:rPr>
              <w:t xml:space="preserve"> for type description. </w:t>
            </w:r>
          </w:p>
          <w:p w14:paraId="0B918845" w14:textId="790449D6" w:rsidR="00B97365" w:rsidRDefault="00000000">
            <w:pPr>
              <w:spacing w:before="0" w:after="200" w:line="276" w:lineRule="auto"/>
              <w:jc w:val="left"/>
              <w:rPr>
                <w:rFonts w:cs="Calibri"/>
                <w:sz w:val="16"/>
                <w:szCs w:val="16"/>
                <w:lang w:val="en-US" w:eastAsia="en-GB" w:bidi="ar-SA"/>
              </w:rPr>
            </w:pPr>
            <w:r>
              <w:rPr>
                <w:rFonts w:cs="Arial"/>
                <w:sz w:val="16"/>
                <w:szCs w:val="16"/>
                <w:lang w:val="en-US" w:eastAsia="en-GB" w:bidi="ar-SA"/>
              </w:rPr>
              <w:t xml:space="preserve">The list of EIS data fields that SHALL be included is defined in </w:t>
            </w:r>
            <w:r>
              <w:rPr>
                <w:sz w:val="16"/>
                <w:szCs w:val="16"/>
                <w:lang w:val="en-US" w:eastAsia="en-GB" w:bidi="ar-SA"/>
              </w:rPr>
              <w:fldChar w:fldCharType="begin"/>
            </w:r>
            <w:r>
              <w:rPr>
                <w:sz w:val="16"/>
                <w:szCs w:val="16"/>
                <w:lang w:val="en-US" w:eastAsia="en-GB" w:bidi="ar-SA"/>
              </w:rPr>
              <w:instrText xml:space="preserve"> REF _Ref421660642 \r \h </w:instrText>
            </w:r>
            <w:r>
              <w:rPr>
                <w:sz w:val="16"/>
                <w:szCs w:val="16"/>
                <w:lang w:val="en-US" w:eastAsia="en-GB" w:bidi="ar-SA"/>
              </w:rPr>
            </w:r>
            <w:r>
              <w:rPr>
                <w:sz w:val="16"/>
                <w:szCs w:val="16"/>
                <w:lang w:val="en-US" w:eastAsia="en-GB" w:bidi="ar-SA"/>
              </w:rPr>
              <w:fldChar w:fldCharType="separate"/>
            </w:r>
            <w:r w:rsidR="001D5AD9">
              <w:rPr>
                <w:sz w:val="16"/>
                <w:szCs w:val="16"/>
                <w:lang w:val="en-US" w:eastAsia="en-GB" w:bidi="ar-SA"/>
              </w:rPr>
              <w:t>Annex E</w:t>
            </w:r>
            <w:r>
              <w:rPr>
                <w:sz w:val="16"/>
                <w:szCs w:val="16"/>
                <w:lang w:val="en-US" w:eastAsia="en-GB" w:bidi="ar-SA"/>
              </w:rPr>
              <w:fldChar w:fldCharType="end"/>
            </w:r>
            <w:r>
              <w:rPr>
                <w:sz w:val="16"/>
                <w:szCs w:val="16"/>
                <w:lang w:val="en-US" w:eastAsia="en-GB" w:bidi="ar-SA"/>
              </w:rPr>
              <w:t>.</w:t>
            </w:r>
          </w:p>
        </w:tc>
        <w:tc>
          <w:tcPr>
            <w:tcW w:w="0" w:type="auto"/>
            <w:tcBorders>
              <w:top w:val="single" w:sz="6" w:space="0" w:color="auto"/>
              <w:left w:val="single" w:sz="6" w:space="0" w:color="auto"/>
              <w:bottom w:val="single" w:sz="4" w:space="0" w:color="auto"/>
              <w:right w:val="single" w:sz="6" w:space="0" w:color="auto"/>
            </w:tcBorders>
            <w:vAlign w:val="center"/>
            <w:hideMark/>
          </w:tcPr>
          <w:p w14:paraId="6925838C"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5F3492CF"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7EF10030"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M</w:t>
            </w:r>
          </w:p>
        </w:tc>
      </w:tr>
    </w:tbl>
    <w:p w14:paraId="087BB805"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Get EIS Additional Output Data</w:t>
      </w:r>
    </w:p>
    <w:p w14:paraId="0D4F4766" w14:textId="77777777" w:rsidR="00B97365" w:rsidRDefault="00000000">
      <w:pPr>
        <w:spacing w:before="0" w:after="200" w:line="276" w:lineRule="auto"/>
        <w:jc w:val="left"/>
        <w:rPr>
          <w:b/>
          <w:i/>
          <w:szCs w:val="22"/>
          <w:lang w:val="en-US" w:eastAsia="en-GB" w:bidi="ar-SA"/>
        </w:rPr>
      </w:pPr>
      <w:bookmarkStart w:id="3381" w:name="_Toc420594714"/>
      <w:r>
        <w:rPr>
          <w:rFonts w:cs="Arial"/>
          <w:b/>
          <w:i/>
          <w:szCs w:val="22"/>
          <w:lang w:val="en-US" w:eastAsia="en-GB" w:bidi="ar-SA"/>
        </w:rPr>
        <w:t>Specific status codes</w:t>
      </w:r>
      <w:bookmarkEnd w:id="3381"/>
    </w:p>
    <w:p w14:paraId="3572D4A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In addition to those returned by </w:t>
      </w:r>
      <w:r>
        <w:rPr>
          <w:rFonts w:cs="Arial"/>
          <w:b/>
          <w:szCs w:val="22"/>
          <w:lang w:val="en-US" w:eastAsia="en-GB" w:bidi="ar-SA"/>
        </w:rPr>
        <w:t>ES3.GetEIS</w:t>
      </w:r>
      <w:r>
        <w:rPr>
          <w:rFonts w:cs="Arial"/>
          <w:szCs w:val="22"/>
          <w:lang w:val="en-US" w:eastAsia="en-GB" w:bidi="ar-SA"/>
        </w:rPr>
        <w:t>, this function may return: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718"/>
        <w:gridCol w:w="718"/>
        <w:gridCol w:w="808"/>
        <w:gridCol w:w="6054"/>
      </w:tblGrid>
      <w:tr w:rsidR="00B97365" w14:paraId="448BC2BA"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1548773"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p w14:paraId="72DD0185"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39034B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E442660"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p w14:paraId="47812A69"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144C999"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6F6C90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Description</w:t>
            </w:r>
          </w:p>
        </w:tc>
      </w:tr>
      <w:tr w:rsidR="00B97365" w14:paraId="6582E0B9" w14:textId="77777777">
        <w:trPr>
          <w:trHeight w:val="342"/>
          <w:jc w:val="center"/>
        </w:trPr>
        <w:tc>
          <w:tcPr>
            <w:tcW w:w="0" w:type="auto"/>
            <w:tcBorders>
              <w:top w:val="single" w:sz="6" w:space="0" w:color="auto"/>
              <w:left w:val="single" w:sz="4" w:space="0" w:color="auto"/>
              <w:bottom w:val="single" w:sz="4" w:space="0" w:color="auto"/>
              <w:right w:val="single" w:sz="6" w:space="0" w:color="auto"/>
            </w:tcBorders>
            <w:shd w:val="clear" w:color="auto" w:fill="FFFFFF"/>
            <w:vAlign w:val="center"/>
            <w:hideMark/>
          </w:tcPr>
          <w:p w14:paraId="40BA2C97"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8.7</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hideMark/>
          </w:tcPr>
          <w:p w14:paraId="414D8096"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SM-SR</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hideMark/>
          </w:tcPr>
          <w:p w14:paraId="554ACB44"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3.9</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hideMark/>
          </w:tcPr>
          <w:p w14:paraId="3164C233"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Unknown</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center"/>
            <w:hideMark/>
          </w:tcPr>
          <w:p w14:paraId="017AF7D9" w14:textId="77777777" w:rsidR="00B97365" w:rsidRDefault="00000000">
            <w:pPr>
              <w:spacing w:before="0" w:after="200" w:line="276" w:lineRule="auto"/>
              <w:jc w:val="left"/>
              <w:rPr>
                <w:rFonts w:cs="Calibri"/>
                <w:b/>
                <w:color w:val="FFFFFF"/>
                <w:sz w:val="16"/>
                <w:szCs w:val="16"/>
                <w:lang w:eastAsia="en-GB" w:bidi="ar-SA"/>
              </w:rPr>
            </w:pPr>
            <w:r>
              <w:rPr>
                <w:rFonts w:cs="Arial"/>
                <w:sz w:val="16"/>
                <w:szCs w:val="16"/>
                <w:lang w:val="en-US" w:eastAsia="en-GB" w:bidi="ar-SA"/>
              </w:rPr>
              <w:t>Indicates that the SM-SR, identified by this smsr-id, is unknown to or whose address cannot be solved by the SM-DP</w:t>
            </w:r>
          </w:p>
        </w:tc>
      </w:tr>
    </w:tbl>
    <w:p w14:paraId="68F40F71" w14:textId="77777777" w:rsidR="00B97365" w:rsidRDefault="00000000">
      <w:pPr>
        <w:numPr>
          <w:ilvl w:val="0"/>
          <w:numId w:val="14"/>
        </w:numPr>
        <w:tabs>
          <w:tab w:val="left" w:pos="1009"/>
        </w:tabs>
        <w:spacing w:after="200" w:line="276" w:lineRule="auto"/>
        <w:jc w:val="center"/>
        <w:rPr>
          <w:rFonts w:cs="Arial"/>
          <w:szCs w:val="22"/>
          <w:lang w:eastAsia="de-DE" w:bidi="ar-SA"/>
        </w:rPr>
      </w:pPr>
      <w:r>
        <w:rPr>
          <w:rFonts w:cs="Arial"/>
          <w:b/>
          <w:lang w:eastAsia="de-DE" w:bidi="ar-SA"/>
        </w:rPr>
        <w:t>: Get EIS Specific Status Codes</w:t>
      </w:r>
    </w:p>
    <w:p w14:paraId="76015F7A"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382" w:name="_Toc448998257"/>
      <w:bookmarkStart w:id="3383" w:name="_Toc422150733"/>
      <w:bookmarkStart w:id="3384" w:name="_Toc421874318"/>
      <w:bookmarkStart w:id="3385" w:name="_Toc420594715"/>
      <w:bookmarkStart w:id="3386" w:name="_Toc398214859"/>
      <w:bookmarkStart w:id="3387" w:name="_Toc375158275"/>
      <w:bookmarkStart w:id="3388" w:name="_Toc368932284"/>
      <w:bookmarkStart w:id="3389" w:name="_Toc486332875"/>
      <w:bookmarkStart w:id="3390" w:name="_Toc1977353"/>
      <w:bookmarkStart w:id="3391" w:name="_Toc37062512"/>
      <w:bookmarkStart w:id="3392" w:name="_Toc88839586"/>
      <w:bookmarkStart w:id="3393" w:name="_Toc121503994"/>
      <w:r>
        <w:rPr>
          <w:rFonts w:eastAsia="Times New Roman" w:cs="Arial"/>
          <w:b/>
          <w:sz w:val="24"/>
          <w:szCs w:val="26"/>
          <w:lang w:eastAsia="en-US"/>
        </w:rPr>
        <w:t>Download a Profile</w:t>
      </w:r>
      <w:bookmarkEnd w:id="3382"/>
      <w:bookmarkEnd w:id="3383"/>
      <w:bookmarkEnd w:id="3384"/>
      <w:bookmarkEnd w:id="3385"/>
      <w:bookmarkEnd w:id="3386"/>
      <w:bookmarkEnd w:id="3387"/>
      <w:bookmarkEnd w:id="3388"/>
      <w:bookmarkEnd w:id="3389"/>
      <w:bookmarkEnd w:id="3390"/>
      <w:bookmarkEnd w:id="3391"/>
      <w:bookmarkEnd w:id="3392"/>
      <w:bookmarkEnd w:id="3393"/>
      <w:r>
        <w:rPr>
          <w:rFonts w:eastAsia="Times New Roman" w:cs="Arial"/>
          <w:b/>
          <w:sz w:val="24"/>
          <w:szCs w:val="26"/>
          <w:lang w:eastAsia="en-US"/>
        </w:rPr>
        <w:t xml:space="preserve"> </w:t>
      </w:r>
    </w:p>
    <w:p w14:paraId="2DB8CE12" w14:textId="77777777" w:rsidR="00B97365" w:rsidRDefault="00000000">
      <w:pPr>
        <w:spacing w:before="0" w:after="200" w:line="276" w:lineRule="auto"/>
        <w:jc w:val="left"/>
        <w:rPr>
          <w:szCs w:val="22"/>
          <w:lang w:val="en-US" w:eastAsia="en-GB" w:bidi="ar-SA"/>
        </w:rPr>
      </w:pPr>
      <w:bookmarkStart w:id="3394" w:name="_Toc420594716"/>
      <w:r>
        <w:rPr>
          <w:rFonts w:cs="Arial"/>
          <w:b/>
          <w:szCs w:val="22"/>
          <w:lang w:val="en-US" w:eastAsia="en-GB" w:bidi="ar-SA"/>
        </w:rPr>
        <w:t>Function name:</w:t>
      </w:r>
      <w:r>
        <w:rPr>
          <w:szCs w:val="22"/>
          <w:lang w:val="en-US" w:eastAsia="en-GB" w:bidi="ar-SA"/>
        </w:rPr>
        <w:t xml:space="preserve"> DownloadProfile</w:t>
      </w:r>
      <w:bookmarkEnd w:id="3394"/>
    </w:p>
    <w:p w14:paraId="25C66108" w14:textId="77777777" w:rsidR="00B97365" w:rsidRDefault="00000000">
      <w:pPr>
        <w:spacing w:before="0" w:after="200" w:line="276" w:lineRule="auto"/>
        <w:jc w:val="left"/>
        <w:rPr>
          <w:szCs w:val="22"/>
          <w:lang w:val="en-US" w:eastAsia="en-GB" w:bidi="ar-SA"/>
        </w:rPr>
      </w:pPr>
      <w:bookmarkStart w:id="3395" w:name="_Toc420594717"/>
      <w:r>
        <w:rPr>
          <w:rFonts w:cs="Arial"/>
          <w:b/>
          <w:szCs w:val="22"/>
          <w:lang w:val="en-US" w:eastAsia="en-GB" w:bidi="ar-SA"/>
        </w:rPr>
        <w:t>Related Procedures</w:t>
      </w:r>
      <w:r>
        <w:rPr>
          <w:szCs w:val="22"/>
          <w:lang w:val="en-US" w:eastAsia="en-GB" w:bidi="ar-SA"/>
        </w:rPr>
        <w:t>: Profile Download and Installation</w:t>
      </w:r>
      <w:bookmarkEnd w:id="3395"/>
    </w:p>
    <w:p w14:paraId="4685373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7FA4F60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767E4BD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Operator to request that the SM-DP downloads a Profile, identified by its ICCID, via the SM-SR identified by the Operator on the target eUICC, the eUICC being identified by its EID.</w:t>
      </w:r>
    </w:p>
    <w:p w14:paraId="66308265" w14:textId="77777777" w:rsidR="00B97365" w:rsidRDefault="00000000">
      <w:pPr>
        <w:spacing w:before="0" w:after="200" w:line="276" w:lineRule="auto"/>
        <w:jc w:val="left"/>
        <w:rPr>
          <w:b/>
          <w:szCs w:val="22"/>
          <w:u w:val="single"/>
          <w:lang w:val="en-US" w:eastAsia="en-GB" w:bidi="ar-SA"/>
        </w:rPr>
      </w:pPr>
      <w:bookmarkStart w:id="3396" w:name="_Toc420594718"/>
      <w:r>
        <w:rPr>
          <w:rFonts w:cs="Arial"/>
          <w:b/>
          <w:szCs w:val="22"/>
          <w:u w:val="single"/>
          <w:lang w:val="en-US" w:eastAsia="en-GB" w:bidi="ar-SA"/>
        </w:rPr>
        <w:t>Function flow</w:t>
      </w:r>
      <w:bookmarkEnd w:id="3396"/>
    </w:p>
    <w:p w14:paraId="6E07504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function request, the SM-DP SHALL perform the following minimum set of verifications:</w:t>
      </w:r>
    </w:p>
    <w:p w14:paraId="29A0A49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SM-DP SHALL verify it is responsible for downloading and installation of the Profile</w:t>
      </w:r>
    </w:p>
    <w:p w14:paraId="12D7103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SM-DP MAY provide additional verifications.</w:t>
      </w:r>
    </w:p>
    <w:p w14:paraId="5F9511B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In case one of these conditions is not satisfied, the SM-DP SHALL refuse the function request and return a ‘Function execution status’ indicating ‘Failed’ with the relevant status code (see table below). </w:t>
      </w:r>
    </w:p>
    <w:p w14:paraId="74D6C671" w14:textId="4CA6DE49" w:rsidR="00B97365" w:rsidRDefault="00000000">
      <w:pPr>
        <w:spacing w:before="0" w:after="200" w:line="276" w:lineRule="auto"/>
        <w:jc w:val="left"/>
        <w:rPr>
          <w:szCs w:val="22"/>
          <w:lang w:val="en-US" w:eastAsia="en-GB" w:bidi="ar-SA"/>
        </w:rPr>
      </w:pPr>
      <w:r>
        <w:rPr>
          <w:rFonts w:cs="Arial"/>
          <w:szCs w:val="22"/>
          <w:lang w:val="en-US" w:eastAsia="en-GB" w:bidi="ar-SA"/>
        </w:rPr>
        <w:lastRenderedPageBreak/>
        <w:t xml:space="preserve">The SM-DP SHALL perform/execute the function according to the Profile Download and Installation procedure described in section </w:t>
      </w:r>
      <w:r>
        <w:fldChar w:fldCharType="begin"/>
      </w:r>
      <w:r>
        <w:instrText xml:space="preserve"> REF _Ref367973680 \r \h  \* MERGEFORMAT </w:instrText>
      </w:r>
      <w:r>
        <w:fldChar w:fldCharType="separate"/>
      </w:r>
      <w:r w:rsidR="001D5AD9" w:rsidRPr="001D5AD9">
        <w:rPr>
          <w:szCs w:val="22"/>
          <w:lang w:val="en-US" w:eastAsia="en-GB" w:bidi="ar-SA"/>
        </w:rPr>
        <w:t>3.1</w:t>
      </w:r>
      <w:r>
        <w:fldChar w:fldCharType="end"/>
      </w:r>
      <w:r>
        <w:rPr>
          <w:szCs w:val="22"/>
          <w:lang w:val="en-US" w:eastAsia="en-GB" w:bidi="ar-SA"/>
        </w:rPr>
        <w:t>.</w:t>
      </w:r>
    </w:p>
    <w:p w14:paraId="6E87D92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6CA1BF65"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function has been successfully executed by the function provider as requested by the function caller. </w:t>
      </w:r>
    </w:p>
    <w:p w14:paraId="14388200" w14:textId="7BE1FF65"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rPr>
          <w:szCs w:val="22"/>
          <w:lang w:eastAsia="en-GB" w:bidi="ar-SA"/>
        </w:rPr>
        <w:fldChar w:fldCharType="begin"/>
      </w:r>
      <w:r>
        <w:rPr>
          <w:szCs w:val="22"/>
          <w:lang w:eastAsia="en-GB" w:bidi="ar-SA"/>
        </w:rPr>
        <w:instrText xml:space="preserve"> REF _Ref367973710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r>
        <w:rPr>
          <w:szCs w:val="22"/>
          <w:lang w:eastAsia="en-GB" w:bidi="ar-SA"/>
        </w:rPr>
        <w:t xml:space="preserve"> indicating that the Profile has not been downloaded before the expiration of the specified Validity Period.</w:t>
      </w:r>
    </w:p>
    <w:p w14:paraId="56DFFAA9" w14:textId="7F501D8F"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rPr>
          <w:szCs w:val="22"/>
          <w:lang w:eastAsia="en-GB" w:bidi="ar-SA"/>
        </w:rPr>
        <w:fldChar w:fldCharType="begin"/>
      </w:r>
      <w:r>
        <w:rPr>
          <w:szCs w:val="22"/>
          <w:lang w:eastAsia="en-GB" w:bidi="ar-SA"/>
        </w:rPr>
        <w:instrText xml:space="preserve"> REF _Ref367973720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r>
        <w:rPr>
          <w:szCs w:val="22"/>
          <w:lang w:eastAsia="en-GB" w:bidi="ar-SA"/>
        </w:rPr>
        <w:t xml:space="preserve"> or a specific status code as defined in the table below, indicating that the Profile has not been downloaded.</w:t>
      </w:r>
    </w:p>
    <w:p w14:paraId="69A01C3B"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A ‘Function execution status’ indicating ‘Executed_WithWarning’ indicating that the Profile has been downloaded successfully, but the optional Enable has failed or expired. In this case, the Status Code and if available, the eUICCResponseData are the ones reported by ES3.EnableProfile.</w:t>
      </w:r>
    </w:p>
    <w:p w14:paraId="3E67E06C" w14:textId="77777777" w:rsidR="00B97365" w:rsidRDefault="00B97365">
      <w:pPr>
        <w:tabs>
          <w:tab w:val="left" w:pos="680"/>
        </w:tabs>
        <w:spacing w:before="0" w:after="200" w:line="276" w:lineRule="auto"/>
        <w:contextualSpacing/>
        <w:jc w:val="left"/>
        <w:rPr>
          <w:rFonts w:cs="Arial"/>
          <w:szCs w:val="22"/>
          <w:lang w:eastAsia="en-GB" w:bidi="ar-SA"/>
        </w:rPr>
      </w:pPr>
    </w:p>
    <w:p w14:paraId="321952AC" w14:textId="77777777" w:rsidR="00B97365" w:rsidRDefault="00000000">
      <w:pPr>
        <w:spacing w:before="0" w:after="200" w:line="276" w:lineRule="auto"/>
        <w:jc w:val="left"/>
        <w:rPr>
          <w:b/>
          <w:i/>
          <w:szCs w:val="22"/>
          <w:lang w:val="en-US" w:eastAsia="en-GB" w:bidi="ar-SA"/>
        </w:rPr>
      </w:pPr>
      <w:bookmarkStart w:id="3397" w:name="_Toc420594719"/>
      <w:r>
        <w:rPr>
          <w:rFonts w:cs="Arial"/>
          <w:b/>
          <w:i/>
          <w:szCs w:val="22"/>
          <w:lang w:val="en-US" w:eastAsia="en-GB" w:bidi="ar-SA"/>
        </w:rPr>
        <w:t>Additional input data:</w:t>
      </w:r>
      <w:bookmarkEnd w:id="339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5522"/>
        <w:gridCol w:w="781"/>
        <w:gridCol w:w="398"/>
        <w:gridCol w:w="514"/>
      </w:tblGrid>
      <w:tr w:rsidR="00B97365" w14:paraId="2F504CFF"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085563F"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64A667B"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F4A7458"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65E30E0"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6860A9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8B6073D"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6A690D4" w14:textId="77777777" w:rsidR="00B97365" w:rsidRDefault="00000000">
            <w:pPr>
              <w:spacing w:line="276" w:lineRule="auto"/>
              <w:ind w:left="360"/>
              <w:jc w:val="left"/>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F0EE5B7"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Identification of the target eUICC.</w:t>
            </w:r>
          </w:p>
          <w:p w14:paraId="698F6902" w14:textId="517A8204"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 xml:space="preserve">See </w:t>
            </w:r>
            <w:r>
              <w:rPr>
                <w:rFonts w:eastAsia="Times New Roman" w:cs="Arial"/>
                <w:sz w:val="16"/>
                <w:szCs w:val="16"/>
                <w:lang w:val="en-US" w:eastAsia="en-GB" w:bidi="ar-SA"/>
              </w:rPr>
              <w:t xml:space="preserve">section </w:t>
            </w:r>
            <w:r>
              <w:fldChar w:fldCharType="begin"/>
            </w:r>
            <w:r>
              <w:instrText xml:space="preserve"> REF _Ref367973733 \r \h  \* MERGEFORMAT </w:instrText>
            </w:r>
            <w:r>
              <w:fldChar w:fldCharType="separate"/>
            </w:r>
            <w:r w:rsidR="001D5AD9" w:rsidRPr="001D5AD9">
              <w:rPr>
                <w:rFonts w:eastAsia="Times New Roman" w:cs="Arial"/>
                <w:sz w:val="16"/>
                <w:szCs w:val="16"/>
                <w:lang w:eastAsia="en-GB" w:bidi="ar-SA"/>
              </w:rPr>
              <w:t>5.1.1.1</w:t>
            </w:r>
            <w:r>
              <w:fldChar w:fldCharType="end"/>
            </w:r>
            <w:r>
              <w:rPr>
                <w:rFonts w:eastAsia="Times New Roman" w:cs="Arial"/>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DBC4F2A" w14:textId="77777777" w:rsidR="00B97365" w:rsidRDefault="00000000">
            <w:pPr>
              <w:spacing w:line="276" w:lineRule="auto"/>
              <w:jc w:val="center"/>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C35C523" w14:textId="77777777" w:rsidR="00B97365" w:rsidRDefault="00000000">
            <w:pPr>
              <w:spacing w:line="276" w:lineRule="auto"/>
              <w:jc w:val="center"/>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5D8C979" w14:textId="77777777" w:rsidR="00B97365" w:rsidRDefault="00000000">
            <w:pPr>
              <w:spacing w:line="276" w:lineRule="auto"/>
              <w:jc w:val="center"/>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M</w:t>
            </w:r>
          </w:p>
        </w:tc>
      </w:tr>
      <w:tr w:rsidR="00B97365" w14:paraId="1AF9E9E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5A4098A8" w14:textId="77777777" w:rsidR="00B97365" w:rsidRDefault="00000000">
            <w:pPr>
              <w:spacing w:line="276" w:lineRule="auto"/>
              <w:ind w:left="360"/>
              <w:jc w:val="left"/>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smsr-id</w:t>
            </w:r>
          </w:p>
        </w:tc>
        <w:tc>
          <w:tcPr>
            <w:tcW w:w="0" w:type="auto"/>
            <w:tcBorders>
              <w:top w:val="single" w:sz="6" w:space="0" w:color="auto"/>
              <w:left w:val="single" w:sz="6" w:space="0" w:color="auto"/>
              <w:bottom w:val="single" w:sz="6" w:space="0" w:color="auto"/>
              <w:right w:val="single" w:sz="6" w:space="0" w:color="auto"/>
            </w:tcBorders>
            <w:hideMark/>
          </w:tcPr>
          <w:p w14:paraId="7B2D5BA4" w14:textId="77777777" w:rsidR="00B97365" w:rsidRDefault="00000000">
            <w:pPr>
              <w:rPr>
                <w:rFonts w:eastAsia="Times New Roman" w:cs="Arial"/>
                <w:sz w:val="16"/>
                <w:szCs w:val="16"/>
              </w:rPr>
            </w:pPr>
            <w:r>
              <w:rPr>
                <w:rFonts w:cs="Arial"/>
                <w:sz w:val="16"/>
                <w:szCs w:val="16"/>
                <w:lang w:val="en-US"/>
              </w:rPr>
              <w:t xml:space="preserve">Identification of the SM-SR currently in charge of eUICC management. </w:t>
            </w:r>
          </w:p>
          <w:p w14:paraId="16219106"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val="en-US" w:eastAsia="en-GB" w:bidi="ar-SA"/>
              </w:rPr>
              <w:t>This information may change during the eUICC's lifetime.</w:t>
            </w:r>
          </w:p>
        </w:tc>
        <w:tc>
          <w:tcPr>
            <w:tcW w:w="0" w:type="auto"/>
            <w:tcBorders>
              <w:top w:val="single" w:sz="6" w:space="0" w:color="auto"/>
              <w:left w:val="single" w:sz="6" w:space="0" w:color="auto"/>
              <w:bottom w:val="single" w:sz="6" w:space="0" w:color="auto"/>
              <w:right w:val="single" w:sz="6" w:space="0" w:color="auto"/>
            </w:tcBorders>
            <w:hideMark/>
          </w:tcPr>
          <w:p w14:paraId="20C56321" w14:textId="77777777" w:rsidR="00B97365" w:rsidRDefault="00000000">
            <w:pPr>
              <w:spacing w:line="276" w:lineRule="auto"/>
              <w:jc w:val="center"/>
              <w:rPr>
                <w:rFonts w:ascii="Calibri" w:eastAsia="Times New Roman" w:hAnsi="Calibri" w:cs="Calibri"/>
                <w:sz w:val="16"/>
                <w:szCs w:val="16"/>
                <w:lang w:eastAsia="en-GB" w:bidi="ar-SA"/>
              </w:rPr>
            </w:pPr>
            <w:r>
              <w:rPr>
                <w:rFonts w:ascii="Calibri" w:eastAsia="Times New Roman" w:hAnsi="Calibri" w:cs="Calibri"/>
                <w:sz w:val="16"/>
                <w:szCs w:val="16"/>
                <w:lang w:val="en-US" w:eastAsia="en-GB" w:bidi="ar-SA"/>
              </w:rPr>
              <w:t>OID</w:t>
            </w:r>
          </w:p>
        </w:tc>
        <w:tc>
          <w:tcPr>
            <w:tcW w:w="0" w:type="auto"/>
            <w:tcBorders>
              <w:top w:val="single" w:sz="6" w:space="0" w:color="auto"/>
              <w:left w:val="single" w:sz="6" w:space="0" w:color="auto"/>
              <w:bottom w:val="single" w:sz="6" w:space="0" w:color="auto"/>
              <w:right w:val="single" w:sz="6" w:space="0" w:color="auto"/>
            </w:tcBorders>
            <w:hideMark/>
          </w:tcPr>
          <w:p w14:paraId="4F78BB8F" w14:textId="77777777" w:rsidR="00B97365" w:rsidRDefault="00000000">
            <w:pPr>
              <w:spacing w:line="276" w:lineRule="auto"/>
              <w:jc w:val="center"/>
              <w:rPr>
                <w:rFonts w:ascii="Calibri" w:eastAsia="Times New Roman" w:hAnsi="Calibri" w:cs="Calibri"/>
                <w:sz w:val="16"/>
                <w:szCs w:val="16"/>
                <w:lang w:eastAsia="en-GB" w:bidi="ar-SA"/>
              </w:rPr>
            </w:pPr>
            <w:r>
              <w:rPr>
                <w:rFonts w:ascii="Calibri" w:eastAsia="Times New Roman" w:hAnsi="Calibri" w:cs="Calibri"/>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hideMark/>
          </w:tcPr>
          <w:p w14:paraId="65C03D3B"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M</w:t>
            </w:r>
          </w:p>
        </w:tc>
      </w:tr>
      <w:tr w:rsidR="00B97365" w14:paraId="61F9428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00904614" w14:textId="77777777" w:rsidR="00B97365" w:rsidRDefault="00000000">
            <w:pPr>
              <w:spacing w:line="276" w:lineRule="auto"/>
              <w:ind w:left="360"/>
              <w:jc w:val="left"/>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profileType</w:t>
            </w:r>
          </w:p>
        </w:tc>
        <w:tc>
          <w:tcPr>
            <w:tcW w:w="0" w:type="auto"/>
            <w:tcBorders>
              <w:top w:val="single" w:sz="6" w:space="0" w:color="auto"/>
              <w:left w:val="single" w:sz="6" w:space="0" w:color="auto"/>
              <w:bottom w:val="single" w:sz="6" w:space="0" w:color="auto"/>
              <w:right w:val="single" w:sz="6" w:space="0" w:color="auto"/>
            </w:tcBorders>
            <w:hideMark/>
          </w:tcPr>
          <w:p w14:paraId="39DD0EFC" w14:textId="77777777" w:rsidR="00B97365" w:rsidRDefault="00000000">
            <w:pPr>
              <w:rPr>
                <w:rFonts w:cs="Arial"/>
                <w:sz w:val="16"/>
                <w:szCs w:val="16"/>
                <w:lang w:val="en-US"/>
              </w:rPr>
            </w:pPr>
            <w:r>
              <w:rPr>
                <w:rFonts w:cs="Arial"/>
                <w:sz w:val="16"/>
                <w:szCs w:val="16"/>
                <w:lang w:val="en-US"/>
              </w:rPr>
              <w:t xml:space="preserve">Identification of the Profile type to download and install in the eUICC. </w:t>
            </w:r>
          </w:p>
        </w:tc>
        <w:tc>
          <w:tcPr>
            <w:tcW w:w="0" w:type="auto"/>
            <w:tcBorders>
              <w:top w:val="single" w:sz="6" w:space="0" w:color="auto"/>
              <w:left w:val="single" w:sz="6" w:space="0" w:color="auto"/>
              <w:bottom w:val="single" w:sz="6" w:space="0" w:color="auto"/>
              <w:right w:val="single" w:sz="6" w:space="0" w:color="auto"/>
            </w:tcBorders>
            <w:hideMark/>
          </w:tcPr>
          <w:p w14:paraId="7094A958"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String</w:t>
            </w:r>
          </w:p>
        </w:tc>
        <w:tc>
          <w:tcPr>
            <w:tcW w:w="0" w:type="auto"/>
            <w:tcBorders>
              <w:top w:val="single" w:sz="6" w:space="0" w:color="auto"/>
              <w:left w:val="single" w:sz="6" w:space="0" w:color="auto"/>
              <w:bottom w:val="single" w:sz="6" w:space="0" w:color="auto"/>
              <w:right w:val="single" w:sz="6" w:space="0" w:color="auto"/>
            </w:tcBorders>
            <w:hideMark/>
          </w:tcPr>
          <w:p w14:paraId="12318B6F"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hideMark/>
          </w:tcPr>
          <w:p w14:paraId="11BEDB8C"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C</w:t>
            </w:r>
          </w:p>
        </w:tc>
      </w:tr>
      <w:tr w:rsidR="00B97365" w14:paraId="6B1C153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27934FE" w14:textId="77777777" w:rsidR="00B97365" w:rsidRDefault="00000000">
            <w:pPr>
              <w:spacing w:line="276" w:lineRule="auto"/>
              <w:ind w:left="360"/>
              <w:jc w:val="left"/>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EF2BDDA" w14:textId="77777777" w:rsidR="00B97365" w:rsidRDefault="00000000">
            <w:pPr>
              <w:keepNext/>
              <w:keepLines/>
              <w:tabs>
                <w:tab w:val="num" w:pos="1152"/>
                <w:tab w:val="num" w:pos="2160"/>
              </w:tabs>
              <w:spacing w:after="140" w:line="260" w:lineRule="atLeast"/>
              <w:ind w:left="1152" w:hanging="1152"/>
              <w:rPr>
                <w:rFonts w:eastAsia="Times New Roman" w:cs="Arial"/>
                <w:sz w:val="16"/>
                <w:szCs w:val="16"/>
                <w:lang w:val="en-US"/>
              </w:rPr>
            </w:pPr>
            <w:r>
              <w:rPr>
                <w:rFonts w:cs="Arial"/>
                <w:sz w:val="16"/>
                <w:szCs w:val="16"/>
                <w:lang w:val="en-US"/>
              </w:rPr>
              <w:t>Identification of the Profile to download and install.</w:t>
            </w:r>
          </w:p>
          <w:p w14:paraId="716A3C45" w14:textId="56878FCE" w:rsidR="00B97365" w:rsidRDefault="00000000">
            <w:pPr>
              <w:rPr>
                <w:rFonts w:cs="Arial"/>
                <w:sz w:val="16"/>
                <w:szCs w:val="16"/>
                <w:lang w:val="en-US"/>
              </w:rPr>
            </w:pPr>
            <w:r>
              <w:rPr>
                <w:rFonts w:cs="Arial"/>
                <w:sz w:val="16"/>
                <w:szCs w:val="16"/>
                <w:lang w:val="en-US"/>
              </w:rPr>
              <w:t xml:space="preserve">See section </w:t>
            </w:r>
            <w:r>
              <w:fldChar w:fldCharType="begin"/>
            </w:r>
            <w:r>
              <w:instrText xml:space="preserve"> REF _Ref367973741 \r \h  \* MERGEFORMAT </w:instrText>
            </w:r>
            <w:r>
              <w:fldChar w:fldCharType="separate"/>
            </w:r>
            <w:r w:rsidR="001D5AD9" w:rsidRPr="001D5AD9">
              <w:rPr>
                <w:rFonts w:cs="Arial"/>
                <w:sz w:val="16"/>
                <w:szCs w:val="16"/>
              </w:rPr>
              <w:t>5.1.1.1</w:t>
            </w:r>
            <w:r>
              <w:fldChar w:fldCharType="end"/>
            </w:r>
            <w:r>
              <w:rPr>
                <w:rFonts w:cs="Arial"/>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3970873"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42BCE1D"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F8EFA10"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C</w:t>
            </w:r>
          </w:p>
        </w:tc>
      </w:tr>
      <w:tr w:rsidR="00B97365" w14:paraId="50D127B5"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F67FF22" w14:textId="77777777" w:rsidR="00B97365" w:rsidRDefault="00000000">
            <w:pPr>
              <w:spacing w:line="276" w:lineRule="auto"/>
              <w:ind w:left="360"/>
              <w:jc w:val="left"/>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enableProfile</w:t>
            </w:r>
          </w:p>
        </w:tc>
        <w:tc>
          <w:tcPr>
            <w:tcW w:w="0" w:type="auto"/>
            <w:tcBorders>
              <w:top w:val="single" w:sz="6" w:space="0" w:color="auto"/>
              <w:left w:val="single" w:sz="6" w:space="0" w:color="auto"/>
              <w:bottom w:val="single" w:sz="4" w:space="0" w:color="auto"/>
              <w:right w:val="single" w:sz="6" w:space="0" w:color="auto"/>
            </w:tcBorders>
            <w:vAlign w:val="center"/>
            <w:hideMark/>
          </w:tcPr>
          <w:p w14:paraId="43B38EE6" w14:textId="77777777" w:rsidR="00B97365" w:rsidRDefault="00000000">
            <w:pPr>
              <w:keepNext/>
              <w:keepLines/>
              <w:tabs>
                <w:tab w:val="num" w:pos="0"/>
                <w:tab w:val="num" w:pos="2160"/>
              </w:tabs>
              <w:spacing w:after="140" w:line="260" w:lineRule="atLeast"/>
              <w:rPr>
                <w:rFonts w:cs="Arial"/>
                <w:sz w:val="16"/>
                <w:szCs w:val="16"/>
                <w:lang w:val="en-US"/>
              </w:rPr>
            </w:pPr>
            <w:r>
              <w:rPr>
                <w:rFonts w:cs="Arial"/>
                <w:sz w:val="16"/>
                <w:szCs w:val="16"/>
                <w:lang w:val="en-US"/>
              </w:rPr>
              <w:t xml:space="preserve">Indicates if the Profile SHALL be enabled after downloading and installation. </w:t>
            </w:r>
          </w:p>
        </w:tc>
        <w:tc>
          <w:tcPr>
            <w:tcW w:w="0" w:type="auto"/>
            <w:tcBorders>
              <w:top w:val="single" w:sz="6" w:space="0" w:color="auto"/>
              <w:left w:val="single" w:sz="6" w:space="0" w:color="auto"/>
              <w:bottom w:val="single" w:sz="4" w:space="0" w:color="auto"/>
              <w:right w:val="single" w:sz="6" w:space="0" w:color="auto"/>
            </w:tcBorders>
            <w:vAlign w:val="center"/>
            <w:hideMark/>
          </w:tcPr>
          <w:p w14:paraId="5A7DD556"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BOOLEAN</w:t>
            </w:r>
          </w:p>
        </w:tc>
        <w:tc>
          <w:tcPr>
            <w:tcW w:w="0" w:type="auto"/>
            <w:tcBorders>
              <w:top w:val="single" w:sz="6" w:space="0" w:color="auto"/>
              <w:left w:val="single" w:sz="6" w:space="0" w:color="auto"/>
              <w:bottom w:val="single" w:sz="4" w:space="0" w:color="auto"/>
              <w:right w:val="single" w:sz="6" w:space="0" w:color="auto"/>
            </w:tcBorders>
            <w:vAlign w:val="center"/>
            <w:hideMark/>
          </w:tcPr>
          <w:p w14:paraId="286E1E88"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3961C87" w14:textId="77777777" w:rsidR="00B97365" w:rsidRDefault="00000000">
            <w:pPr>
              <w:spacing w:line="276" w:lineRule="auto"/>
              <w:jc w:val="center"/>
              <w:rPr>
                <w:rFonts w:ascii="Calibri" w:eastAsia="Times New Roman" w:hAnsi="Calibri" w:cs="Calibri"/>
                <w:sz w:val="16"/>
                <w:szCs w:val="16"/>
                <w:lang w:val="en-US" w:eastAsia="en-GB" w:bidi="ar-SA"/>
              </w:rPr>
            </w:pPr>
            <w:r>
              <w:rPr>
                <w:rFonts w:ascii="Calibri" w:eastAsia="Times New Roman" w:hAnsi="Calibri" w:cs="Calibri"/>
                <w:sz w:val="16"/>
                <w:szCs w:val="16"/>
                <w:lang w:val="en-US" w:eastAsia="en-GB" w:bidi="ar-SA"/>
              </w:rPr>
              <w:t>M</w:t>
            </w:r>
          </w:p>
        </w:tc>
      </w:tr>
    </w:tbl>
    <w:p w14:paraId="02ED1B3B"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Download Profile Additional Input Data</w:t>
      </w:r>
    </w:p>
    <w:p w14:paraId="5D3A5D0E" w14:textId="77777777" w:rsidR="00B97365" w:rsidRDefault="00000000">
      <w:pPr>
        <w:spacing w:after="200" w:line="276" w:lineRule="auto"/>
        <w:ind w:left="1560" w:hanging="1276"/>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 xml:space="preserve">Operator can either provide ICCID or the Profile type. In case the Profile type is provided, the SM-DP is free to select one of the Profiles that matches the Profile type.  </w:t>
      </w:r>
    </w:p>
    <w:p w14:paraId="2310CBE4" w14:textId="77777777" w:rsidR="00B97365" w:rsidRDefault="00000000">
      <w:pPr>
        <w:spacing w:before="0"/>
        <w:jc w:val="left"/>
        <w:rPr>
          <w:rFonts w:cs="Arial"/>
          <w:b/>
          <w:i/>
          <w:szCs w:val="22"/>
          <w:lang w:val="en-US" w:eastAsia="en-GB" w:bidi="ar-SA"/>
        </w:rPr>
      </w:pPr>
      <w:r>
        <w:rPr>
          <w:b/>
          <w:i/>
          <w:szCs w:val="22"/>
          <w:lang w:val="en-US" w:eastAsia="en-GB" w:bidi="ar-SA"/>
        </w:rPr>
        <w:br w:type="page"/>
      </w:r>
    </w:p>
    <w:p w14:paraId="566AA03A" w14:textId="77777777" w:rsidR="00B97365" w:rsidRDefault="00000000">
      <w:pPr>
        <w:spacing w:before="0" w:after="200" w:line="276" w:lineRule="auto"/>
        <w:jc w:val="left"/>
        <w:rPr>
          <w:b/>
          <w:i/>
          <w:szCs w:val="22"/>
          <w:lang w:val="en-US" w:eastAsia="en-GB" w:bidi="ar-SA"/>
        </w:rPr>
      </w:pPr>
      <w:bookmarkStart w:id="3398" w:name="_Toc420594720"/>
      <w:r>
        <w:rPr>
          <w:rFonts w:cs="Arial"/>
          <w:b/>
          <w:i/>
          <w:szCs w:val="22"/>
          <w:lang w:val="en-US" w:eastAsia="en-GB" w:bidi="ar-SA"/>
        </w:rPr>
        <w:lastRenderedPageBreak/>
        <w:t>Additional output data:</w:t>
      </w:r>
      <w:bookmarkEnd w:id="339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72"/>
        <w:gridCol w:w="5956"/>
        <w:gridCol w:w="576"/>
        <w:gridCol w:w="398"/>
        <w:gridCol w:w="514"/>
      </w:tblGrid>
      <w:tr w:rsidR="00B97365" w14:paraId="5DBB0AE3"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391A5F7"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598C6DB"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1117609"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5E9ECC5"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A2D0F91"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MOC</w:t>
            </w:r>
          </w:p>
        </w:tc>
      </w:tr>
      <w:tr w:rsidR="00B97365" w14:paraId="669C9B8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B9D7ECE" w14:textId="77777777" w:rsidR="00B97365" w:rsidRDefault="00000000">
            <w:pPr>
              <w:overflowPunct w:val="0"/>
              <w:autoSpaceDE w:val="0"/>
              <w:autoSpaceDN w:val="0"/>
              <w:adjustRightInd w:val="0"/>
              <w:spacing w:before="40" w:after="40"/>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tcPr>
          <w:p w14:paraId="14168499" w14:textId="77777777" w:rsidR="00B97365" w:rsidRDefault="00000000">
            <w:pPr>
              <w:spacing w:after="60"/>
              <w:rPr>
                <w:rFonts w:cs="Calibri"/>
                <w:sz w:val="16"/>
                <w:szCs w:val="16"/>
              </w:rPr>
            </w:pPr>
            <w:r>
              <w:rPr>
                <w:rFonts w:cs="Calibri"/>
                <w:sz w:val="16"/>
                <w:szCs w:val="16"/>
              </w:rPr>
              <w:t>Indicates the Profile ICCID that has been downloaded and installed</w:t>
            </w:r>
          </w:p>
          <w:p w14:paraId="3EE99A74" w14:textId="77777777" w:rsidR="00B97365" w:rsidRDefault="00B97365">
            <w:pPr>
              <w:tabs>
                <w:tab w:val="left" w:pos="720"/>
              </w:tabs>
              <w:overflowPunct w:val="0"/>
              <w:autoSpaceDE w:val="0"/>
              <w:autoSpaceDN w:val="0"/>
              <w:adjustRightInd w:val="0"/>
              <w:spacing w:before="0" w:after="200" w:line="276" w:lineRule="auto"/>
              <w:contextualSpacing/>
              <w:textAlignment w:val="baseline"/>
              <w:rPr>
                <w:rFonts w:cs="Calibri"/>
                <w:sz w:val="16"/>
                <w:szCs w:val="16"/>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2D728D0"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34570C8"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A046B7F"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C</w:t>
            </w:r>
          </w:p>
        </w:tc>
      </w:tr>
      <w:tr w:rsidR="00B97365" w14:paraId="10BB6A5D"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106C928" w14:textId="77777777" w:rsidR="00B97365" w:rsidRDefault="00000000">
            <w:pPr>
              <w:overflowPunct w:val="0"/>
              <w:autoSpaceDE w:val="0"/>
              <w:autoSpaceDN w:val="0"/>
              <w:adjustRightInd w:val="0"/>
              <w:spacing w:before="40" w:after="40"/>
              <w:rPr>
                <w:rFonts w:cs="Calibri"/>
                <w:sz w:val="16"/>
                <w:szCs w:val="16"/>
              </w:rPr>
            </w:pPr>
            <w:r>
              <w:rPr>
                <w:rFonts w:cs="Arial"/>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1C5FD1D5" w14:textId="77777777" w:rsidR="00B97365" w:rsidRDefault="00000000">
            <w:pPr>
              <w:spacing w:after="60"/>
              <w:rPr>
                <w:rFonts w:cs="Calibri"/>
                <w:sz w:val="16"/>
                <w:szCs w:val="16"/>
              </w:rPr>
            </w:pPr>
            <w:r>
              <w:rPr>
                <w:rFonts w:cs="Arial"/>
                <w:sz w:val="16"/>
                <w:szCs w:val="16"/>
              </w:rPr>
              <w:t>Contains the detailed error returned by the eUICC in case the function execution failed on eUICC. The response data is defined in ES5 depending of the requested function.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2301AB1A" w14:textId="77777777" w:rsidR="00B97365" w:rsidRDefault="00000000">
            <w:pPr>
              <w:overflowPunct w:val="0"/>
              <w:autoSpaceDE w:val="0"/>
              <w:autoSpaceDN w:val="0"/>
              <w:spacing w:after="180"/>
              <w:jc w:val="center"/>
              <w:rPr>
                <w:rFonts w:eastAsiaTheme="minorHAnsi" w:cs="Arial"/>
                <w:sz w:val="16"/>
                <w:szCs w:val="16"/>
              </w:rPr>
            </w:pPr>
            <w:r>
              <w:rPr>
                <w:rFonts w:cs="Arial"/>
                <w:sz w:val="16"/>
                <w:szCs w:val="16"/>
              </w:rPr>
              <w:t xml:space="preserve">Hex </w:t>
            </w:r>
          </w:p>
          <w:p w14:paraId="120DCC4E" w14:textId="77777777" w:rsidR="00B97365" w:rsidRDefault="00000000">
            <w:pPr>
              <w:overflowPunct w:val="0"/>
              <w:autoSpaceDE w:val="0"/>
              <w:autoSpaceDN w:val="0"/>
              <w:adjustRightInd w:val="0"/>
              <w:spacing w:after="180"/>
              <w:jc w:val="center"/>
              <w:rPr>
                <w:rFonts w:cs="Calibri"/>
                <w:sz w:val="16"/>
                <w:szCs w:val="16"/>
              </w:rPr>
            </w:pPr>
            <w:r>
              <w:rPr>
                <w:rFonts w:cs="Arial"/>
                <w:sz w:val="16"/>
                <w:szCs w:val="16"/>
              </w:rPr>
              <w:t>binary</w:t>
            </w:r>
          </w:p>
        </w:tc>
        <w:tc>
          <w:tcPr>
            <w:tcW w:w="0" w:type="auto"/>
            <w:tcBorders>
              <w:top w:val="single" w:sz="6" w:space="0" w:color="auto"/>
              <w:left w:val="single" w:sz="6" w:space="0" w:color="auto"/>
              <w:bottom w:val="single" w:sz="4" w:space="0" w:color="auto"/>
              <w:right w:val="single" w:sz="6" w:space="0" w:color="auto"/>
            </w:tcBorders>
            <w:vAlign w:val="center"/>
            <w:hideMark/>
          </w:tcPr>
          <w:p w14:paraId="3663873B" w14:textId="77777777" w:rsidR="00B97365" w:rsidRDefault="00000000">
            <w:pPr>
              <w:overflowPunct w:val="0"/>
              <w:autoSpaceDE w:val="0"/>
              <w:autoSpaceDN w:val="0"/>
              <w:adjustRightInd w:val="0"/>
              <w:spacing w:after="180"/>
              <w:jc w:val="center"/>
              <w:rPr>
                <w:rFonts w:cs="Calibri"/>
                <w:sz w:val="16"/>
                <w:szCs w:val="16"/>
              </w:rPr>
            </w:pPr>
            <w:r>
              <w:rPr>
                <w:rFonts w:cs="Arial"/>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347B36F" w14:textId="77777777" w:rsidR="00B97365" w:rsidRDefault="00000000">
            <w:pPr>
              <w:overflowPunct w:val="0"/>
              <w:autoSpaceDE w:val="0"/>
              <w:autoSpaceDN w:val="0"/>
              <w:adjustRightInd w:val="0"/>
              <w:spacing w:after="180"/>
              <w:jc w:val="center"/>
              <w:rPr>
                <w:rFonts w:cs="Calibri"/>
                <w:sz w:val="16"/>
                <w:szCs w:val="16"/>
              </w:rPr>
            </w:pPr>
            <w:r>
              <w:rPr>
                <w:rFonts w:cs="Arial"/>
                <w:sz w:val="16"/>
                <w:szCs w:val="16"/>
              </w:rPr>
              <w:t>O</w:t>
            </w:r>
          </w:p>
        </w:tc>
      </w:tr>
    </w:tbl>
    <w:p w14:paraId="00EC3EBE"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Download Profile Additional Output Data</w:t>
      </w:r>
    </w:p>
    <w:p w14:paraId="022FA10C" w14:textId="77777777" w:rsidR="00B97365" w:rsidRDefault="00000000">
      <w:pPr>
        <w:spacing w:before="0" w:after="200" w:line="276" w:lineRule="auto"/>
        <w:jc w:val="left"/>
        <w:rPr>
          <w:rFonts w:cs="Arial"/>
          <w:b/>
          <w:i/>
          <w:szCs w:val="22"/>
          <w:lang w:val="en-US" w:eastAsia="en-GB" w:bidi="ar-SA"/>
        </w:rPr>
      </w:pPr>
      <w:bookmarkStart w:id="3399" w:name="_Toc420594721"/>
      <w:r>
        <w:rPr>
          <w:rFonts w:cs="Arial"/>
          <w:b/>
          <w:i/>
          <w:szCs w:val="22"/>
          <w:lang w:val="en-US" w:eastAsia="en-GB" w:bidi="ar-SA"/>
        </w:rPr>
        <w:t>Specific status codes</w:t>
      </w:r>
      <w:bookmarkEnd w:id="3399"/>
    </w:p>
    <w:p w14:paraId="7841E84E" w14:textId="77777777" w:rsidR="00B97365" w:rsidRDefault="00000000">
      <w:pPr>
        <w:spacing w:before="0" w:after="200" w:line="276" w:lineRule="auto"/>
        <w:jc w:val="left"/>
        <w:rPr>
          <w:b/>
          <w:i/>
          <w:szCs w:val="22"/>
          <w:lang w:val="en-US" w:eastAsia="en-GB" w:bidi="ar-SA"/>
        </w:rPr>
      </w:pPr>
      <w:r>
        <w:rPr>
          <w:rFonts w:cs="Arial"/>
          <w:szCs w:val="22"/>
          <w:lang w:val="en-US" w:eastAsia="en-GB" w:bidi="ar-SA"/>
        </w:rPr>
        <w:t>In addition to the Status Codes returned by ES3.EnableProfile, this function can return: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907"/>
        <w:gridCol w:w="718"/>
        <w:gridCol w:w="1658"/>
        <w:gridCol w:w="5015"/>
      </w:tblGrid>
      <w:tr w:rsidR="00B97365" w14:paraId="370716B2"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379DE5A"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p w14:paraId="4553DE1D"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D7CD9F3"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9C209D4"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p w14:paraId="23FFFFF4"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F0B09E2"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586FF90"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Description</w:t>
            </w:r>
          </w:p>
        </w:tc>
      </w:tr>
      <w:tr w:rsidR="00B97365" w14:paraId="5AB5F07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5FE8D4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317E6B68"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9EB385E"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2FDE41D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7C90D12F"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eastAsia="en-GB" w:bidi="ar-SA"/>
              </w:rPr>
              <w:t>Indicates that the eUICC, identified by this EID, is unknown to the SM-SR.</w:t>
            </w:r>
          </w:p>
        </w:tc>
      </w:tr>
      <w:tr w:rsidR="00B97365" w14:paraId="3A2D2A06"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0D79AF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3A61C2DD"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37D61CA"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0C1D637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5E7E9BD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Indicates that the Profile, identified by this iccid is unknown to the SM-DP. </w:t>
            </w:r>
          </w:p>
        </w:tc>
      </w:tr>
      <w:tr w:rsidR="00B97365" w14:paraId="0455EEA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1B1F46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8.2.1 </w:t>
            </w:r>
          </w:p>
        </w:tc>
        <w:tc>
          <w:tcPr>
            <w:tcW w:w="0" w:type="auto"/>
            <w:tcBorders>
              <w:top w:val="single" w:sz="6" w:space="0" w:color="auto"/>
              <w:left w:val="single" w:sz="6" w:space="0" w:color="auto"/>
              <w:bottom w:val="single" w:sz="6" w:space="0" w:color="auto"/>
              <w:right w:val="single" w:sz="6" w:space="0" w:color="auto"/>
            </w:tcBorders>
            <w:vAlign w:val="center"/>
            <w:hideMark/>
          </w:tcPr>
          <w:p w14:paraId="52F92306"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AC18BB3"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2E1928C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163EDAA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Indicates that the function caller is not allowed to perform this function on the target Profile.  </w:t>
            </w:r>
          </w:p>
        </w:tc>
      </w:tr>
      <w:tr w:rsidR="00B97365" w14:paraId="6AC87DB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FB1AE9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8.2.5</w:t>
            </w:r>
          </w:p>
        </w:tc>
        <w:tc>
          <w:tcPr>
            <w:tcW w:w="0" w:type="auto"/>
            <w:tcBorders>
              <w:top w:val="single" w:sz="6" w:space="0" w:color="auto"/>
              <w:left w:val="single" w:sz="6" w:space="0" w:color="auto"/>
              <w:bottom w:val="single" w:sz="6" w:space="0" w:color="auto"/>
              <w:right w:val="single" w:sz="6" w:space="0" w:color="auto"/>
            </w:tcBorders>
            <w:vAlign w:val="center"/>
            <w:hideMark/>
          </w:tcPr>
          <w:p w14:paraId="0E84F2D1"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Profile Type</w:t>
            </w:r>
          </w:p>
        </w:tc>
        <w:tc>
          <w:tcPr>
            <w:tcW w:w="0" w:type="auto"/>
            <w:tcBorders>
              <w:top w:val="single" w:sz="6" w:space="0" w:color="auto"/>
              <w:left w:val="single" w:sz="6" w:space="0" w:color="auto"/>
              <w:bottom w:val="single" w:sz="6" w:space="0" w:color="auto"/>
              <w:right w:val="single" w:sz="6" w:space="0" w:color="auto"/>
            </w:tcBorders>
            <w:vAlign w:val="center"/>
            <w:hideMark/>
          </w:tcPr>
          <w:p w14:paraId="1D63E284"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1BF5AA5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3A946A8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Profile type identified by this profileType is unknown to the SM-DP.</w:t>
            </w:r>
          </w:p>
        </w:tc>
      </w:tr>
      <w:tr w:rsidR="00B97365" w14:paraId="12B2B77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88C7F5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8.2.5</w:t>
            </w:r>
          </w:p>
        </w:tc>
        <w:tc>
          <w:tcPr>
            <w:tcW w:w="0" w:type="auto"/>
            <w:tcBorders>
              <w:top w:val="single" w:sz="6" w:space="0" w:color="auto"/>
              <w:left w:val="single" w:sz="6" w:space="0" w:color="auto"/>
              <w:bottom w:val="single" w:sz="6" w:space="0" w:color="auto"/>
              <w:right w:val="single" w:sz="6" w:space="0" w:color="auto"/>
            </w:tcBorders>
            <w:vAlign w:val="center"/>
            <w:hideMark/>
          </w:tcPr>
          <w:p w14:paraId="30FD4787"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Profile Type</w:t>
            </w:r>
          </w:p>
        </w:tc>
        <w:tc>
          <w:tcPr>
            <w:tcW w:w="0" w:type="auto"/>
            <w:tcBorders>
              <w:top w:val="single" w:sz="6" w:space="0" w:color="auto"/>
              <w:left w:val="single" w:sz="6" w:space="0" w:color="auto"/>
              <w:bottom w:val="single" w:sz="6" w:space="0" w:color="auto"/>
              <w:right w:val="single" w:sz="6" w:space="0" w:color="auto"/>
            </w:tcBorders>
            <w:vAlign w:val="center"/>
            <w:hideMark/>
          </w:tcPr>
          <w:p w14:paraId="7FADDE9B"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4C41D4F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1494274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Indicates that the function caller is not allowed to perform this function on the ProfileType.  </w:t>
            </w:r>
          </w:p>
        </w:tc>
      </w:tr>
      <w:tr w:rsidR="00B97365" w14:paraId="0D388F4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D3420D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8.7</w:t>
            </w:r>
          </w:p>
        </w:tc>
        <w:tc>
          <w:tcPr>
            <w:tcW w:w="0" w:type="auto"/>
            <w:tcBorders>
              <w:top w:val="single" w:sz="6" w:space="0" w:color="auto"/>
              <w:left w:val="single" w:sz="6" w:space="0" w:color="auto"/>
              <w:bottom w:val="single" w:sz="4" w:space="0" w:color="auto"/>
              <w:right w:val="single" w:sz="6" w:space="0" w:color="auto"/>
            </w:tcBorders>
            <w:vAlign w:val="center"/>
            <w:hideMark/>
          </w:tcPr>
          <w:p w14:paraId="03DC1007"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2C5F9A36"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3.9</w:t>
            </w:r>
          </w:p>
        </w:tc>
        <w:tc>
          <w:tcPr>
            <w:tcW w:w="0" w:type="auto"/>
            <w:tcBorders>
              <w:top w:val="single" w:sz="6" w:space="0" w:color="auto"/>
              <w:left w:val="single" w:sz="6" w:space="0" w:color="auto"/>
              <w:bottom w:val="single" w:sz="4" w:space="0" w:color="auto"/>
              <w:right w:val="single" w:sz="6" w:space="0" w:color="auto"/>
            </w:tcBorders>
            <w:vAlign w:val="center"/>
            <w:hideMark/>
          </w:tcPr>
          <w:p w14:paraId="6AABCFE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4" w:space="0" w:color="auto"/>
              <w:right w:val="single" w:sz="4" w:space="0" w:color="auto"/>
            </w:tcBorders>
            <w:vAlign w:val="center"/>
            <w:hideMark/>
          </w:tcPr>
          <w:p w14:paraId="5C5392E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SM-SR, identified by this smsr-id, is unknown to or whose address cannot be resolved by the SM-SR</w:t>
            </w:r>
          </w:p>
        </w:tc>
      </w:tr>
    </w:tbl>
    <w:p w14:paraId="4DDD4FF6" w14:textId="77777777" w:rsidR="00B97365" w:rsidRDefault="00000000">
      <w:pPr>
        <w:numPr>
          <w:ilvl w:val="0"/>
          <w:numId w:val="14"/>
        </w:numPr>
        <w:tabs>
          <w:tab w:val="left" w:pos="1009"/>
        </w:tabs>
        <w:spacing w:after="200" w:line="276" w:lineRule="auto"/>
        <w:jc w:val="center"/>
        <w:rPr>
          <w:rFonts w:cs="Calibri"/>
        </w:rPr>
      </w:pPr>
      <w:r>
        <w:rPr>
          <w:rFonts w:cs="Arial"/>
          <w:b/>
          <w:lang w:eastAsia="de-DE" w:bidi="ar-SA"/>
        </w:rPr>
        <w:t>: Download Profile Specific Status Codes</w:t>
      </w:r>
    </w:p>
    <w:p w14:paraId="3E5180E9"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400" w:name="_Toc448998258"/>
      <w:bookmarkStart w:id="3401" w:name="_Toc422150734"/>
      <w:bookmarkStart w:id="3402" w:name="_Toc421874319"/>
      <w:bookmarkStart w:id="3403" w:name="_Toc420594722"/>
      <w:bookmarkStart w:id="3404" w:name="_Toc398214860"/>
      <w:bookmarkStart w:id="3405" w:name="_Toc375158276"/>
      <w:bookmarkStart w:id="3406" w:name="_Toc368932285"/>
      <w:bookmarkStart w:id="3407" w:name="_Ref367978209"/>
      <w:bookmarkStart w:id="3408" w:name="_Ref367978202"/>
      <w:bookmarkStart w:id="3409" w:name="_Toc486332876"/>
      <w:bookmarkStart w:id="3410" w:name="_Toc1977354"/>
      <w:bookmarkStart w:id="3411" w:name="_Toc37062513"/>
      <w:bookmarkStart w:id="3412" w:name="_Toc88839587"/>
      <w:bookmarkStart w:id="3413" w:name="_Toc121503995"/>
      <w:r>
        <w:rPr>
          <w:rFonts w:eastAsia="Times New Roman" w:cs="Arial"/>
          <w:b/>
          <w:sz w:val="24"/>
          <w:szCs w:val="26"/>
          <w:lang w:eastAsia="en-US"/>
        </w:rPr>
        <w:t>Updating the Policy Rules of a Profile</w:t>
      </w:r>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p>
    <w:p w14:paraId="57CB3DB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UpdatePolicyRules</w:t>
      </w:r>
    </w:p>
    <w:p w14:paraId="2B0C665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w:t>
      </w:r>
    </w:p>
    <w:p w14:paraId="15BFA41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74063FC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2EC964B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Operator to update POL2 of a Profile, identified by its ICCID, and installed on an eUICC identified by its EID.</w:t>
      </w:r>
    </w:p>
    <w:p w14:paraId="7F29E64B" w14:textId="307719B3"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SM-DP SHALL forward this function request to the identified SM-SR by calling the   </w:t>
      </w:r>
      <w:r>
        <w:rPr>
          <w:rFonts w:cs="Arial"/>
          <w:b/>
          <w:szCs w:val="22"/>
          <w:lang w:val="en-US" w:eastAsia="en-GB" w:bidi="ar-SA"/>
        </w:rPr>
        <w:t>ES3.UpdatePolicyRules</w:t>
      </w:r>
      <w:r>
        <w:rPr>
          <w:rFonts w:cs="Arial"/>
          <w:szCs w:val="22"/>
          <w:lang w:val="en-US" w:eastAsia="en-GB" w:bidi="ar-SA"/>
        </w:rPr>
        <w:t xml:space="preserve"> function as defined in section </w:t>
      </w:r>
      <w:r>
        <w:fldChar w:fldCharType="begin"/>
      </w:r>
      <w:r>
        <w:instrText xml:space="preserve"> REF _Ref367973794 \r \h  \* MERGEFORMAT </w:instrText>
      </w:r>
      <w:r>
        <w:fldChar w:fldCharType="separate"/>
      </w:r>
      <w:r w:rsidR="001D5AD9" w:rsidRPr="001D5AD9">
        <w:rPr>
          <w:szCs w:val="22"/>
          <w:lang w:val="en-US" w:eastAsia="en-GB" w:bidi="ar-SA"/>
        </w:rPr>
        <w:t>5.4.6</w:t>
      </w:r>
      <w:r>
        <w:fldChar w:fldCharType="end"/>
      </w:r>
      <w:r>
        <w:rPr>
          <w:szCs w:val="22"/>
          <w:lang w:val="en-US" w:eastAsia="en-GB" w:bidi="ar-SA"/>
        </w:rPr>
        <w:t xml:space="preserve">. </w:t>
      </w:r>
    </w:p>
    <w:p w14:paraId="0574CA54" w14:textId="77777777" w:rsidR="00B97365" w:rsidRDefault="00000000">
      <w:pPr>
        <w:spacing w:before="0" w:after="200" w:line="276" w:lineRule="auto"/>
        <w:jc w:val="left"/>
        <w:rPr>
          <w:b/>
          <w:i/>
          <w:szCs w:val="22"/>
          <w:lang w:val="en-US" w:eastAsia="en-GB" w:bidi="ar-SA"/>
        </w:rPr>
      </w:pPr>
      <w:bookmarkStart w:id="3414" w:name="_Toc420594723"/>
      <w:r>
        <w:rPr>
          <w:rFonts w:cs="Arial"/>
          <w:b/>
          <w:i/>
          <w:szCs w:val="22"/>
          <w:lang w:val="en-US" w:eastAsia="en-GB" w:bidi="ar-SA"/>
        </w:rPr>
        <w:t>Additional input data:</w:t>
      </w:r>
      <w:bookmarkEnd w:id="341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5129"/>
        <w:gridCol w:w="576"/>
        <w:gridCol w:w="398"/>
        <w:gridCol w:w="514"/>
      </w:tblGrid>
      <w:tr w:rsidR="00B97365" w14:paraId="2EEF1E7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C82AE63"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lastRenderedPageBreak/>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C68FCCE"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2B759F5"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F02CDDE"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9A08A86"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1289371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67037E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A1EA5F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44D1BBEA" w14:textId="79AD8624"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_Ref367973825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D22C8E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A8288B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CC451F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275F798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513366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D1B37C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Identification of the Profile </w:t>
            </w:r>
          </w:p>
          <w:p w14:paraId="5838B59F" w14:textId="4C1E5540"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_Ref367973831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29C822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93A19D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4FF0B4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3492949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14C623B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smsr-id</w:t>
            </w:r>
          </w:p>
        </w:tc>
        <w:tc>
          <w:tcPr>
            <w:tcW w:w="0" w:type="auto"/>
            <w:tcBorders>
              <w:top w:val="single" w:sz="6" w:space="0" w:color="auto"/>
              <w:left w:val="single" w:sz="6" w:space="0" w:color="auto"/>
              <w:bottom w:val="single" w:sz="6" w:space="0" w:color="auto"/>
              <w:right w:val="single" w:sz="6" w:space="0" w:color="auto"/>
            </w:tcBorders>
            <w:hideMark/>
          </w:tcPr>
          <w:p w14:paraId="1055A829" w14:textId="77777777" w:rsidR="00B97365" w:rsidRDefault="00000000">
            <w:pPr>
              <w:rPr>
                <w:rFonts w:eastAsia="Times New Roman" w:cs="Calibri"/>
                <w:sz w:val="16"/>
                <w:szCs w:val="16"/>
              </w:rPr>
            </w:pPr>
            <w:r>
              <w:rPr>
                <w:rFonts w:cs="Calibri"/>
                <w:sz w:val="16"/>
                <w:szCs w:val="16"/>
                <w:lang w:val="en-US"/>
              </w:rPr>
              <w:t xml:space="preserve">Identification of the SM-SR currently in charge of eUICC management. </w:t>
            </w:r>
          </w:p>
          <w:p w14:paraId="4120DD99" w14:textId="77777777" w:rsidR="00B97365" w:rsidRDefault="00000000">
            <w:pPr>
              <w:spacing w:before="0" w:after="200" w:line="276" w:lineRule="auto"/>
              <w:jc w:val="left"/>
              <w:rPr>
                <w:rFonts w:cs="Calibri"/>
                <w:sz w:val="16"/>
                <w:szCs w:val="16"/>
                <w:lang w:eastAsia="en-GB" w:bidi="ar-SA"/>
              </w:rPr>
            </w:pPr>
            <w:r>
              <w:rPr>
                <w:rFonts w:cs="Calibri"/>
                <w:sz w:val="16"/>
                <w:szCs w:val="16"/>
                <w:lang w:val="en-US" w:eastAsia="en-GB" w:bidi="ar-SA"/>
              </w:rPr>
              <w:t>This information may change during the eUICC’s lifetime.</w:t>
            </w:r>
          </w:p>
        </w:tc>
        <w:tc>
          <w:tcPr>
            <w:tcW w:w="0" w:type="auto"/>
            <w:tcBorders>
              <w:top w:val="single" w:sz="6" w:space="0" w:color="auto"/>
              <w:left w:val="single" w:sz="6" w:space="0" w:color="auto"/>
              <w:bottom w:val="single" w:sz="6" w:space="0" w:color="auto"/>
              <w:right w:val="single" w:sz="6" w:space="0" w:color="auto"/>
            </w:tcBorders>
            <w:hideMark/>
          </w:tcPr>
          <w:p w14:paraId="24E212F8" w14:textId="77777777" w:rsidR="00B97365" w:rsidRDefault="00000000">
            <w:pPr>
              <w:spacing w:before="0" w:after="200" w:line="276" w:lineRule="auto"/>
              <w:jc w:val="center"/>
              <w:rPr>
                <w:rFonts w:cs="Calibri"/>
                <w:sz w:val="16"/>
                <w:szCs w:val="16"/>
                <w:lang w:eastAsia="en-GB" w:bidi="ar-SA"/>
              </w:rPr>
            </w:pPr>
            <w:r>
              <w:rPr>
                <w:rFonts w:cs="Calibri"/>
                <w:sz w:val="16"/>
                <w:szCs w:val="16"/>
                <w:lang w:val="en-US" w:eastAsia="en-GB" w:bidi="ar-SA"/>
              </w:rPr>
              <w:t>OID</w:t>
            </w:r>
          </w:p>
        </w:tc>
        <w:tc>
          <w:tcPr>
            <w:tcW w:w="0" w:type="auto"/>
            <w:tcBorders>
              <w:top w:val="single" w:sz="6" w:space="0" w:color="auto"/>
              <w:left w:val="single" w:sz="6" w:space="0" w:color="auto"/>
              <w:bottom w:val="single" w:sz="6" w:space="0" w:color="auto"/>
              <w:right w:val="single" w:sz="6" w:space="0" w:color="auto"/>
            </w:tcBorders>
            <w:hideMark/>
          </w:tcPr>
          <w:p w14:paraId="0FFE8C83" w14:textId="77777777" w:rsidR="00B97365" w:rsidRDefault="00000000">
            <w:pPr>
              <w:spacing w:before="0" w:after="200" w:line="276" w:lineRule="auto"/>
              <w:jc w:val="center"/>
              <w:rPr>
                <w:rFonts w:cs="Calibri"/>
                <w:sz w:val="16"/>
                <w:szCs w:val="16"/>
                <w:lang w:eastAsia="en-GB" w:bidi="ar-SA"/>
              </w:rPr>
            </w:pPr>
            <w:r>
              <w:rPr>
                <w:rFonts w:cs="Calibri"/>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hideMark/>
          </w:tcPr>
          <w:p w14:paraId="33613DF4"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M</w:t>
            </w:r>
          </w:p>
        </w:tc>
      </w:tr>
      <w:tr w:rsidR="00B97365" w14:paraId="3BE45D5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65BC56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pol2</w:t>
            </w:r>
          </w:p>
        </w:tc>
        <w:tc>
          <w:tcPr>
            <w:tcW w:w="0" w:type="auto"/>
            <w:tcBorders>
              <w:top w:val="single" w:sz="6" w:space="0" w:color="auto"/>
              <w:left w:val="single" w:sz="6" w:space="0" w:color="auto"/>
              <w:bottom w:val="single" w:sz="4" w:space="0" w:color="auto"/>
              <w:right w:val="single" w:sz="6" w:space="0" w:color="auto"/>
            </w:tcBorders>
            <w:vAlign w:val="center"/>
            <w:hideMark/>
          </w:tcPr>
          <w:p w14:paraId="39B15BC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List of POL2 rules associated with the identified Profile.</w:t>
            </w:r>
          </w:p>
          <w:p w14:paraId="641BE80B" w14:textId="58E2C14C"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rPr>
                <w:rFonts w:cs="Calibri"/>
                <w:sz w:val="16"/>
                <w:szCs w:val="16"/>
                <w:lang w:val="en-US" w:eastAsia="en-GB" w:bidi="ar-SA"/>
              </w:rPr>
              <w:instrText xml:space="preserve"> REF _Ref483304761 \r \h </w:instrText>
            </w:r>
            <w:r>
              <w:fldChar w:fldCharType="separate"/>
            </w:r>
            <w:r w:rsidR="001D5AD9">
              <w:rPr>
                <w:rFonts w:cs="Calibri"/>
                <w:sz w:val="16"/>
                <w:szCs w:val="16"/>
                <w:lang w:val="en-US" w:eastAsia="en-GB" w:bidi="ar-SA"/>
              </w:rPr>
              <w:t>5.1.1.2</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1DA1D1A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POL2</w:t>
            </w:r>
          </w:p>
        </w:tc>
        <w:tc>
          <w:tcPr>
            <w:tcW w:w="0" w:type="auto"/>
            <w:tcBorders>
              <w:top w:val="single" w:sz="6" w:space="0" w:color="auto"/>
              <w:left w:val="single" w:sz="6" w:space="0" w:color="auto"/>
              <w:bottom w:val="single" w:sz="4" w:space="0" w:color="auto"/>
              <w:right w:val="single" w:sz="6" w:space="0" w:color="auto"/>
            </w:tcBorders>
            <w:vAlign w:val="center"/>
            <w:hideMark/>
          </w:tcPr>
          <w:p w14:paraId="63F4BD7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3F15A19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42DDC3BF"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Update Policy Rules Additional Input Data</w:t>
      </w:r>
    </w:p>
    <w:p w14:paraId="50AB5ADD" w14:textId="77777777" w:rsidR="00B97365" w:rsidRDefault="00000000">
      <w:pPr>
        <w:spacing w:before="0" w:after="200" w:line="276" w:lineRule="auto"/>
        <w:jc w:val="left"/>
        <w:rPr>
          <w:b/>
          <w:i/>
          <w:szCs w:val="22"/>
          <w:lang w:val="en-US" w:eastAsia="en-GB" w:bidi="ar-SA"/>
        </w:rPr>
      </w:pPr>
      <w:bookmarkStart w:id="3415" w:name="_Toc420594724"/>
      <w:r>
        <w:rPr>
          <w:rFonts w:cs="Arial"/>
          <w:b/>
          <w:i/>
          <w:szCs w:val="22"/>
          <w:lang w:val="en-US" w:eastAsia="en-GB" w:bidi="ar-SA"/>
        </w:rPr>
        <w:t>Additional output data:</w:t>
      </w:r>
      <w:bookmarkEnd w:id="3415"/>
    </w:p>
    <w:p w14:paraId="58C9C060" w14:textId="77777777" w:rsidR="00B97365" w:rsidRDefault="00000000">
      <w:pPr>
        <w:spacing w:before="0" w:after="200" w:line="276" w:lineRule="auto"/>
        <w:jc w:val="left"/>
        <w:rPr>
          <w:rFonts w:cs="Arial"/>
          <w:b/>
          <w:i/>
          <w:szCs w:val="22"/>
          <w:lang w:val="en-US" w:eastAsia="en-GB" w:bidi="ar-SA"/>
        </w:rPr>
      </w:pPr>
      <w:bookmarkStart w:id="3416" w:name="_Toc420594725"/>
      <w:r>
        <w:rPr>
          <w:rFonts w:cs="Arial"/>
          <w:szCs w:val="22"/>
          <w:lang w:val="en-US" w:eastAsia="en-GB" w:bidi="ar-SA"/>
        </w:rPr>
        <w:t>None</w:t>
      </w:r>
      <w:bookmarkEnd w:id="3416"/>
    </w:p>
    <w:p w14:paraId="4EE618E3" w14:textId="77777777" w:rsidR="00B97365" w:rsidRDefault="00000000">
      <w:pPr>
        <w:spacing w:before="0" w:after="200" w:line="276" w:lineRule="auto"/>
        <w:jc w:val="left"/>
        <w:rPr>
          <w:b/>
          <w:i/>
          <w:szCs w:val="22"/>
          <w:lang w:val="en-US" w:eastAsia="en-GB" w:bidi="ar-SA"/>
        </w:rPr>
      </w:pPr>
      <w:bookmarkStart w:id="3417" w:name="_Toc420594726"/>
      <w:r>
        <w:rPr>
          <w:rFonts w:cs="Arial"/>
          <w:b/>
          <w:i/>
          <w:szCs w:val="22"/>
          <w:lang w:val="en-US" w:eastAsia="en-GB" w:bidi="ar-SA"/>
        </w:rPr>
        <w:t>Specific status codes</w:t>
      </w:r>
      <w:bookmarkEnd w:id="3417"/>
    </w:p>
    <w:p w14:paraId="6C55998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In addition to those returned by </w:t>
      </w:r>
      <w:r>
        <w:rPr>
          <w:rFonts w:cs="Arial"/>
          <w:b/>
          <w:szCs w:val="22"/>
          <w:lang w:val="en-US" w:eastAsia="en-GB" w:bidi="ar-SA"/>
        </w:rPr>
        <w:t>ES3.UpdatePolicyRules</w:t>
      </w:r>
      <w:r>
        <w:rPr>
          <w:rFonts w:cs="Arial"/>
          <w:szCs w:val="22"/>
          <w:lang w:val="en-US" w:eastAsia="en-GB" w:bidi="ar-SA"/>
        </w:rPr>
        <w:t>, this function may return: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833"/>
        <w:gridCol w:w="718"/>
        <w:gridCol w:w="808"/>
        <w:gridCol w:w="5939"/>
      </w:tblGrid>
      <w:tr w:rsidR="00B97365" w14:paraId="0C7D74F2"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AEF9A73" w14:textId="77777777" w:rsidR="00B97365" w:rsidRDefault="00000000">
            <w:pPr>
              <w:jc w:val="center"/>
              <w:rPr>
                <w:rFonts w:cs="Calibri"/>
                <w:b/>
                <w:color w:val="FFFFFF"/>
                <w:sz w:val="16"/>
                <w:szCs w:val="16"/>
              </w:rPr>
            </w:pPr>
            <w:r>
              <w:rPr>
                <w:rFonts w:cs="Calibri"/>
                <w:b/>
                <w:color w:val="FFFFFF"/>
                <w:sz w:val="16"/>
                <w:szCs w:val="16"/>
              </w:rPr>
              <w:t>Subject</w:t>
            </w:r>
          </w:p>
          <w:p w14:paraId="4504EF7D"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96473B6"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DB7FD22" w14:textId="77777777" w:rsidR="00B97365" w:rsidRDefault="00000000">
            <w:pPr>
              <w:jc w:val="center"/>
              <w:rPr>
                <w:rFonts w:cs="Calibri"/>
                <w:b/>
                <w:color w:val="FFFFFF"/>
                <w:sz w:val="16"/>
                <w:szCs w:val="16"/>
              </w:rPr>
            </w:pPr>
            <w:r>
              <w:rPr>
                <w:rFonts w:cs="Calibri"/>
                <w:b/>
                <w:color w:val="FFFFFF"/>
                <w:sz w:val="16"/>
                <w:szCs w:val="16"/>
              </w:rPr>
              <w:t>Reason</w:t>
            </w:r>
          </w:p>
          <w:p w14:paraId="2676F066"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BF133E0"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F5FE268"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65255E03"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3FC0E21" w14:textId="77777777" w:rsidR="00B97365" w:rsidRDefault="00000000">
            <w:pPr>
              <w:tabs>
                <w:tab w:val="right" w:pos="7938"/>
              </w:tabs>
              <w:ind w:left="470" w:hanging="459"/>
              <w:jc w:val="center"/>
              <w:rPr>
                <w:rFonts w:cs="Calibri"/>
                <w:sz w:val="16"/>
                <w:szCs w:val="16"/>
              </w:rPr>
            </w:pPr>
            <w:r>
              <w:rPr>
                <w:rFonts w:cs="Calibri"/>
                <w:sz w:val="16"/>
                <w:szCs w:val="16"/>
              </w:rPr>
              <w:t>8.7</w:t>
            </w:r>
          </w:p>
        </w:tc>
        <w:tc>
          <w:tcPr>
            <w:tcW w:w="0" w:type="auto"/>
            <w:tcBorders>
              <w:top w:val="single" w:sz="6" w:space="0" w:color="auto"/>
              <w:left w:val="single" w:sz="6" w:space="0" w:color="auto"/>
              <w:bottom w:val="single" w:sz="4" w:space="0" w:color="auto"/>
              <w:right w:val="single" w:sz="6" w:space="0" w:color="auto"/>
            </w:tcBorders>
            <w:vAlign w:val="center"/>
            <w:hideMark/>
          </w:tcPr>
          <w:p w14:paraId="37B6D3E4" w14:textId="77777777" w:rsidR="00B97365" w:rsidRDefault="00000000">
            <w:pPr>
              <w:tabs>
                <w:tab w:val="right" w:pos="7938"/>
              </w:tabs>
              <w:ind w:left="470" w:hanging="459"/>
              <w:rPr>
                <w:rFonts w:cs="Calibri"/>
                <w:sz w:val="16"/>
                <w:szCs w:val="16"/>
              </w:rPr>
            </w:pPr>
            <w:r>
              <w:rPr>
                <w:rFonts w:cs="Calibri"/>
                <w:sz w:val="16"/>
                <w:szCs w:val="16"/>
                <w:lang w:val="en-US"/>
              </w:rPr>
              <w:t>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7BEBABBD" w14:textId="77777777" w:rsidR="00B97365" w:rsidRDefault="00000000">
            <w:pPr>
              <w:tabs>
                <w:tab w:val="right" w:pos="7938"/>
              </w:tabs>
              <w:ind w:left="470" w:hanging="459"/>
              <w:jc w:val="center"/>
              <w:rPr>
                <w:rFonts w:cs="Calibri"/>
                <w:sz w:val="16"/>
                <w:szCs w:val="16"/>
              </w:rPr>
            </w:pPr>
            <w:r>
              <w:rPr>
                <w:rFonts w:cs="Calibri"/>
                <w:sz w:val="16"/>
                <w:szCs w:val="16"/>
                <w:lang w:val="en-US"/>
              </w:rPr>
              <w:t>3.9</w:t>
            </w:r>
          </w:p>
        </w:tc>
        <w:tc>
          <w:tcPr>
            <w:tcW w:w="0" w:type="auto"/>
            <w:tcBorders>
              <w:top w:val="single" w:sz="6" w:space="0" w:color="auto"/>
              <w:left w:val="single" w:sz="6" w:space="0" w:color="auto"/>
              <w:bottom w:val="single" w:sz="4" w:space="0" w:color="auto"/>
              <w:right w:val="single" w:sz="6" w:space="0" w:color="auto"/>
            </w:tcBorders>
            <w:vAlign w:val="center"/>
            <w:hideMark/>
          </w:tcPr>
          <w:p w14:paraId="1B2870AB"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4" w:space="0" w:color="auto"/>
              <w:right w:val="single" w:sz="4" w:space="0" w:color="auto"/>
            </w:tcBorders>
            <w:vAlign w:val="center"/>
            <w:hideMark/>
          </w:tcPr>
          <w:p w14:paraId="7976FF19" w14:textId="77777777" w:rsidR="00B97365" w:rsidRDefault="00000000">
            <w:pPr>
              <w:rPr>
                <w:rFonts w:cs="Calibri"/>
                <w:sz w:val="16"/>
                <w:szCs w:val="16"/>
              </w:rPr>
            </w:pPr>
            <w:r>
              <w:rPr>
                <w:rFonts w:cs="Calibri"/>
                <w:sz w:val="16"/>
                <w:szCs w:val="16"/>
              </w:rPr>
              <w:t>Indicates that the SM-SR, identified by this smsr-id, is unknown to or whose address cannot be solved by the SM-DP</w:t>
            </w:r>
          </w:p>
        </w:tc>
      </w:tr>
    </w:tbl>
    <w:p w14:paraId="659483B6" w14:textId="77777777" w:rsidR="00B97365" w:rsidRDefault="00000000">
      <w:pPr>
        <w:numPr>
          <w:ilvl w:val="0"/>
          <w:numId w:val="14"/>
        </w:numPr>
        <w:tabs>
          <w:tab w:val="left" w:pos="1009"/>
        </w:tabs>
        <w:spacing w:after="200" w:line="276" w:lineRule="auto"/>
        <w:jc w:val="center"/>
        <w:rPr>
          <w:rFonts w:cs="Calibri"/>
        </w:rPr>
      </w:pPr>
      <w:r>
        <w:rPr>
          <w:rFonts w:cs="Arial"/>
          <w:b/>
          <w:lang w:eastAsia="de-DE" w:bidi="ar-SA"/>
        </w:rPr>
        <w:t>: Update Policy Specific Status Codes</w:t>
      </w:r>
    </w:p>
    <w:p w14:paraId="0D8DC92B"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418" w:name="_Toc448998259"/>
      <w:bookmarkStart w:id="3419" w:name="_Toc422150735"/>
      <w:bookmarkStart w:id="3420" w:name="_Toc421874320"/>
      <w:bookmarkStart w:id="3421" w:name="_Toc420594727"/>
      <w:bookmarkStart w:id="3422" w:name="_Toc398214861"/>
      <w:bookmarkStart w:id="3423" w:name="_Toc375158277"/>
      <w:bookmarkStart w:id="3424" w:name="_Toc368932286"/>
      <w:bookmarkStart w:id="3425" w:name="_Ref367978228"/>
      <w:bookmarkStart w:id="3426" w:name="_Ref367978219"/>
      <w:bookmarkStart w:id="3427" w:name="_Toc486332877"/>
      <w:bookmarkStart w:id="3428" w:name="_Toc1977355"/>
      <w:bookmarkStart w:id="3429" w:name="_Toc37062514"/>
      <w:bookmarkStart w:id="3430" w:name="_Toc88839588"/>
      <w:bookmarkStart w:id="3431" w:name="_Toc121503996"/>
      <w:r>
        <w:rPr>
          <w:rFonts w:eastAsia="Times New Roman" w:cs="Arial"/>
          <w:b/>
          <w:sz w:val="24"/>
          <w:szCs w:val="26"/>
          <w:lang w:eastAsia="en-US"/>
        </w:rPr>
        <w:t>Updating eUICC Information</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136B274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UpdateSubscriptionAddress</w:t>
      </w:r>
    </w:p>
    <w:p w14:paraId="10CD97A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 Profile Enabling, Profile Enabling via SM-DP</w:t>
      </w:r>
    </w:p>
    <w:p w14:paraId="3A4057A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w:t>
      </w:r>
      <w:r>
        <w:rPr>
          <w:rFonts w:cs="Calibri"/>
          <w:szCs w:val="22"/>
          <w:lang w:eastAsia="en-GB" w:bidi="ar-SA"/>
        </w:rPr>
        <w:t>Profile Management</w:t>
      </w:r>
    </w:p>
    <w:p w14:paraId="516FAE6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4481C416" w14:textId="3D781FD6" w:rsidR="00B97365" w:rsidRDefault="00000000">
      <w:pPr>
        <w:spacing w:before="0" w:after="200" w:line="276" w:lineRule="auto"/>
        <w:jc w:val="left"/>
        <w:rPr>
          <w:szCs w:val="22"/>
          <w:lang w:val="en-US" w:eastAsia="en-GB" w:bidi="ar-SA"/>
        </w:rPr>
      </w:pPr>
      <w:r>
        <w:rPr>
          <w:rFonts w:cs="Arial"/>
          <w:szCs w:val="22"/>
          <w:lang w:val="en-US" w:eastAsia="en-GB" w:bidi="ar-SA"/>
        </w:rPr>
        <w:t>Description: This function enables the caller to update the Subscription Address for a Profile in the eUICC Information Set (EIS) of a particular eUICC identified by the EID and ICCID. The Subscription Address is the identifier, such as MSISDN and/or IMSI, through which the eUICC is accessible from the SM-SR via the mobile network when the Profile is in Enabled state. The function replaces the content of the Subscription Address. For consistency within the system, it is the responsibility of the caller to ensure that all data is provided.  The SM-DP SHALL forward the function request to the SM-SR “</w:t>
      </w:r>
      <w:r>
        <w:rPr>
          <w:rFonts w:cs="Arial"/>
          <w:b/>
          <w:szCs w:val="22"/>
          <w:lang w:val="en-US" w:eastAsia="en-GB" w:bidi="ar-SA"/>
        </w:rPr>
        <w:t>ES3.UpdateSubscriptionAddress</w:t>
      </w:r>
      <w:r>
        <w:rPr>
          <w:rFonts w:cs="Arial"/>
          <w:szCs w:val="22"/>
          <w:lang w:val="en-US" w:eastAsia="en-GB" w:bidi="ar-SA"/>
        </w:rPr>
        <w:t xml:space="preserve">” as defined in section </w:t>
      </w:r>
      <w:r>
        <w:fldChar w:fldCharType="begin"/>
      </w:r>
      <w:r>
        <w:instrText xml:space="preserve"> REF _Ref367973892 \r \h  \* MERGEFORMAT </w:instrText>
      </w:r>
      <w:r>
        <w:fldChar w:fldCharType="separate"/>
      </w:r>
      <w:r w:rsidR="001D5AD9" w:rsidRPr="001D5AD9">
        <w:rPr>
          <w:szCs w:val="22"/>
          <w:lang w:val="en-US" w:eastAsia="en-GB" w:bidi="ar-SA"/>
        </w:rPr>
        <w:t>5.4.7</w:t>
      </w:r>
      <w:r>
        <w:fldChar w:fldCharType="end"/>
      </w:r>
      <w:r>
        <w:rPr>
          <w:szCs w:val="22"/>
          <w:lang w:val="en-US" w:eastAsia="en-GB" w:bidi="ar-SA"/>
        </w:rPr>
        <w:t>.</w:t>
      </w:r>
    </w:p>
    <w:p w14:paraId="414C5BB4" w14:textId="77777777" w:rsidR="00B97365" w:rsidRDefault="00000000">
      <w:pPr>
        <w:spacing w:before="0" w:after="200" w:line="276" w:lineRule="auto"/>
        <w:jc w:val="left"/>
        <w:rPr>
          <w:b/>
          <w:i/>
          <w:szCs w:val="22"/>
          <w:lang w:val="en-US" w:eastAsia="en-GB" w:bidi="ar-SA"/>
        </w:rPr>
      </w:pPr>
      <w:bookmarkStart w:id="3432" w:name="_Toc420594728"/>
      <w:r>
        <w:rPr>
          <w:rFonts w:cs="Arial"/>
          <w:b/>
          <w:i/>
          <w:szCs w:val="22"/>
          <w:lang w:val="en-US" w:eastAsia="en-GB" w:bidi="ar-SA"/>
        </w:rPr>
        <w:t>Additional input data:</w:t>
      </w:r>
      <w:bookmarkEnd w:id="343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1"/>
        <w:gridCol w:w="4630"/>
        <w:gridCol w:w="1573"/>
        <w:gridCol w:w="398"/>
        <w:gridCol w:w="514"/>
      </w:tblGrid>
      <w:tr w:rsidR="00B97365" w14:paraId="703B0BCC"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966EED2" w14:textId="77777777" w:rsidR="00B97365" w:rsidRDefault="00000000">
            <w:pPr>
              <w:jc w:val="center"/>
              <w:rPr>
                <w:rFonts w:cs="Arial"/>
                <w:b/>
                <w:color w:val="FFFFFF"/>
                <w:sz w:val="16"/>
                <w:szCs w:val="16"/>
              </w:rPr>
            </w:pPr>
            <w:r>
              <w:rPr>
                <w:rFonts w:cs="Arial"/>
                <w:b/>
                <w:color w:val="FFFFFF"/>
                <w:sz w:val="16"/>
                <w:szCs w:val="16"/>
              </w:rPr>
              <w:lastRenderedPageBreak/>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CE4AD60" w14:textId="77777777" w:rsidR="00B97365" w:rsidRDefault="00000000">
            <w:pPr>
              <w:jc w:val="center"/>
              <w:rPr>
                <w:rFonts w:cs="Arial"/>
                <w:b/>
                <w:color w:val="FFFFFF"/>
                <w:sz w:val="16"/>
                <w:szCs w:val="16"/>
              </w:rPr>
            </w:pPr>
            <w:r>
              <w:rPr>
                <w:rFonts w:cs="Arial"/>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BDC39D5" w14:textId="77777777" w:rsidR="00B97365" w:rsidRDefault="00000000">
            <w:pPr>
              <w:jc w:val="center"/>
              <w:rPr>
                <w:rFonts w:cs="Arial"/>
                <w:b/>
                <w:color w:val="FFFFFF"/>
                <w:sz w:val="16"/>
                <w:szCs w:val="16"/>
              </w:rPr>
            </w:pPr>
            <w:r>
              <w:rPr>
                <w:rFonts w:cs="Arial"/>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AA360E4" w14:textId="77777777" w:rsidR="00B97365" w:rsidRDefault="00000000">
            <w:pPr>
              <w:jc w:val="center"/>
              <w:rPr>
                <w:rFonts w:cs="Arial"/>
                <w:b/>
                <w:color w:val="FFFFFF"/>
                <w:sz w:val="16"/>
                <w:szCs w:val="16"/>
              </w:rPr>
            </w:pPr>
            <w:r>
              <w:rPr>
                <w:rFonts w:cs="Arial"/>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8C8F3BB" w14:textId="77777777" w:rsidR="00B97365" w:rsidRDefault="00000000">
            <w:pPr>
              <w:jc w:val="center"/>
              <w:rPr>
                <w:rFonts w:cs="Arial"/>
                <w:b/>
                <w:color w:val="FFFFFF"/>
                <w:sz w:val="16"/>
                <w:szCs w:val="16"/>
              </w:rPr>
            </w:pPr>
            <w:r>
              <w:rPr>
                <w:rFonts w:cs="Arial"/>
                <w:b/>
                <w:color w:val="FFFFFF"/>
                <w:sz w:val="16"/>
                <w:szCs w:val="16"/>
              </w:rPr>
              <w:t>MOC</w:t>
            </w:r>
          </w:p>
        </w:tc>
      </w:tr>
      <w:tr w:rsidR="00B97365" w14:paraId="6B82CF2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4407A29"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89B43D8"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Identification of the targeted eUICC to be updated.</w:t>
            </w:r>
          </w:p>
          <w:p w14:paraId="5786A436" w14:textId="3A52E73D"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 xml:space="preserve">See </w:t>
            </w:r>
            <w:r>
              <w:rPr>
                <w:rFonts w:eastAsia="Times New Roman" w:cs="Arial"/>
                <w:sz w:val="16"/>
                <w:szCs w:val="16"/>
                <w:lang w:val="en-US" w:eastAsia="en-GB" w:bidi="ar-SA"/>
              </w:rPr>
              <w:t xml:space="preserve">section </w:t>
            </w:r>
            <w:r>
              <w:fldChar w:fldCharType="begin"/>
            </w:r>
            <w:r>
              <w:instrText xml:space="preserve"> REF _Ref367973912 \r \h  \* MERGEFORMAT </w:instrText>
            </w:r>
            <w:r>
              <w:fldChar w:fldCharType="separate"/>
            </w:r>
            <w:r w:rsidR="001D5AD9" w:rsidRPr="001D5AD9">
              <w:rPr>
                <w:rFonts w:eastAsia="Times New Roman" w:cs="Arial"/>
                <w:sz w:val="16"/>
                <w:szCs w:val="16"/>
                <w:lang w:eastAsia="en-GB" w:bidi="ar-SA"/>
              </w:rPr>
              <w:t>5.1.1.1</w:t>
            </w:r>
            <w:r>
              <w:fldChar w:fldCharType="end"/>
            </w:r>
            <w:r>
              <w:rPr>
                <w:rFonts w:eastAsia="Times New Roman" w:cs="Arial"/>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356974A"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6CC66"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60C28B8"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eastAsia="en-GB" w:bidi="ar-SA"/>
              </w:rPr>
              <w:t>M</w:t>
            </w:r>
          </w:p>
        </w:tc>
      </w:tr>
      <w:tr w:rsidR="00B97365" w14:paraId="5669193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451900B"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80FA222"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Identification of the target Profile.</w:t>
            </w:r>
          </w:p>
          <w:p w14:paraId="2ACBA54E" w14:textId="0DD95CC1" w:rsidR="00B97365" w:rsidRDefault="00000000">
            <w:pPr>
              <w:rPr>
                <w:rFonts w:cs="Arial"/>
                <w:sz w:val="16"/>
                <w:szCs w:val="16"/>
                <w:lang w:val="en-US"/>
              </w:rPr>
            </w:pPr>
            <w:r>
              <w:rPr>
                <w:rFonts w:cs="Arial"/>
                <w:sz w:val="16"/>
                <w:szCs w:val="16"/>
              </w:rPr>
              <w:t xml:space="preserve">See </w:t>
            </w:r>
            <w:r>
              <w:rPr>
                <w:rFonts w:cs="Arial"/>
                <w:sz w:val="16"/>
                <w:szCs w:val="16"/>
                <w:lang w:val="en-US"/>
              </w:rPr>
              <w:t xml:space="preserve">section </w:t>
            </w:r>
            <w:r>
              <w:fldChar w:fldCharType="begin"/>
            </w:r>
            <w:r>
              <w:instrText xml:space="preserve"> REF _Ref367973919 \r \h  \* MERGEFORMAT </w:instrText>
            </w:r>
            <w:r>
              <w:fldChar w:fldCharType="separate"/>
            </w:r>
            <w:r w:rsidR="001D5AD9" w:rsidRPr="001D5AD9">
              <w:rPr>
                <w:rFonts w:cs="Arial"/>
                <w:sz w:val="16"/>
                <w:szCs w:val="16"/>
              </w:rPr>
              <w:t>5.1.1.1</w:t>
            </w:r>
            <w:r>
              <w:fldChar w:fldCharType="end"/>
            </w:r>
            <w:r>
              <w:rPr>
                <w:rFonts w:cs="Arial"/>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1916897" w14:textId="77777777" w:rsidR="00B97365" w:rsidRDefault="00000000">
            <w:pPr>
              <w:spacing w:line="276" w:lineRule="auto"/>
              <w:jc w:val="center"/>
              <w:rPr>
                <w:rFonts w:eastAsia="Times New Roman" w:cs="Arial"/>
                <w:sz w:val="16"/>
                <w:szCs w:val="16"/>
                <w:lang w:val="en-US" w:eastAsia="en-GB" w:bidi="ar-SA"/>
              </w:rPr>
            </w:pPr>
            <w:r>
              <w:rPr>
                <w:rFonts w:eastAsia="Times New Roman" w:cs="Arial"/>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2665F18" w14:textId="77777777" w:rsidR="00B97365" w:rsidRDefault="00000000">
            <w:pPr>
              <w:spacing w:line="276" w:lineRule="auto"/>
              <w:jc w:val="center"/>
              <w:rPr>
                <w:rFonts w:eastAsia="Times New Roman" w:cs="Arial"/>
                <w:sz w:val="16"/>
                <w:szCs w:val="16"/>
                <w:lang w:val="en-US" w:eastAsia="en-GB" w:bidi="ar-SA"/>
              </w:rPr>
            </w:pPr>
            <w:r>
              <w:rPr>
                <w:rFonts w:eastAsia="Times New Roman" w:cs="Arial"/>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C5AE752"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eastAsia="en-GB" w:bidi="ar-SA"/>
              </w:rPr>
              <w:t>M</w:t>
            </w:r>
          </w:p>
        </w:tc>
      </w:tr>
      <w:tr w:rsidR="00B97365" w14:paraId="280B1BC0"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8F855EE"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newSubscriptionAddress</w:t>
            </w:r>
          </w:p>
        </w:tc>
        <w:tc>
          <w:tcPr>
            <w:tcW w:w="0" w:type="auto"/>
            <w:tcBorders>
              <w:top w:val="single" w:sz="6" w:space="0" w:color="auto"/>
              <w:left w:val="single" w:sz="6" w:space="0" w:color="auto"/>
              <w:bottom w:val="single" w:sz="6" w:space="0" w:color="auto"/>
              <w:right w:val="single" w:sz="6" w:space="0" w:color="auto"/>
            </w:tcBorders>
            <w:vAlign w:val="center"/>
            <w:hideMark/>
          </w:tcPr>
          <w:p w14:paraId="0A0538DF" w14:textId="77777777" w:rsidR="00B97365" w:rsidRDefault="00000000">
            <w:pPr>
              <w:rPr>
                <w:rFonts w:cs="Arial"/>
                <w:sz w:val="16"/>
                <w:szCs w:val="16"/>
                <w:lang w:val="en-US"/>
              </w:rPr>
            </w:pPr>
            <w:r>
              <w:rPr>
                <w:rFonts w:cs="Arial"/>
                <w:sz w:val="16"/>
                <w:szCs w:val="16"/>
              </w:rPr>
              <w:t>The new Subscription Address</w:t>
            </w:r>
          </w:p>
        </w:tc>
        <w:tc>
          <w:tcPr>
            <w:tcW w:w="0" w:type="auto"/>
            <w:tcBorders>
              <w:top w:val="single" w:sz="6" w:space="0" w:color="auto"/>
              <w:left w:val="single" w:sz="6" w:space="0" w:color="auto"/>
              <w:bottom w:val="single" w:sz="6" w:space="0" w:color="auto"/>
              <w:right w:val="single" w:sz="6" w:space="0" w:color="auto"/>
            </w:tcBorders>
            <w:vAlign w:val="center"/>
            <w:hideMark/>
          </w:tcPr>
          <w:p w14:paraId="05637957" w14:textId="77777777" w:rsidR="00B97365" w:rsidRDefault="00000000">
            <w:pPr>
              <w:spacing w:line="276" w:lineRule="auto"/>
              <w:jc w:val="center"/>
              <w:rPr>
                <w:rFonts w:eastAsia="Times New Roman" w:cs="Arial"/>
                <w:sz w:val="16"/>
                <w:szCs w:val="16"/>
                <w:lang w:val="en-US" w:eastAsia="en-GB" w:bidi="ar-SA"/>
              </w:rPr>
            </w:pPr>
            <w:r>
              <w:rPr>
                <w:rFonts w:eastAsia="Times New Roman" w:cs="Arial"/>
                <w:sz w:val="16"/>
                <w:szCs w:val="16"/>
                <w:lang w:eastAsia="en-GB" w:bidi="ar-SA"/>
              </w:rPr>
              <w:t>Subscription Address</w:t>
            </w:r>
          </w:p>
        </w:tc>
        <w:tc>
          <w:tcPr>
            <w:tcW w:w="0" w:type="auto"/>
            <w:tcBorders>
              <w:top w:val="single" w:sz="6" w:space="0" w:color="auto"/>
              <w:left w:val="single" w:sz="6" w:space="0" w:color="auto"/>
              <w:bottom w:val="single" w:sz="6" w:space="0" w:color="auto"/>
              <w:right w:val="single" w:sz="6" w:space="0" w:color="auto"/>
            </w:tcBorders>
            <w:vAlign w:val="center"/>
            <w:hideMark/>
          </w:tcPr>
          <w:p w14:paraId="5432A62B" w14:textId="77777777" w:rsidR="00B97365" w:rsidRDefault="00000000">
            <w:pPr>
              <w:spacing w:line="276" w:lineRule="auto"/>
              <w:jc w:val="center"/>
              <w:rPr>
                <w:rFonts w:eastAsia="Times New Roman" w:cs="Arial"/>
                <w:sz w:val="16"/>
                <w:szCs w:val="16"/>
                <w:lang w:val="en-US" w:eastAsia="en-GB" w:bidi="ar-SA"/>
              </w:rPr>
            </w:pPr>
            <w:r>
              <w:rPr>
                <w:rFonts w:eastAsia="Times New Roman" w:cs="Arial"/>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61D95DD"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eastAsia="en-GB" w:bidi="ar-SA"/>
              </w:rPr>
              <w:t>M</w:t>
            </w:r>
          </w:p>
        </w:tc>
      </w:tr>
      <w:tr w:rsidR="00B97365" w14:paraId="5F4B951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hideMark/>
          </w:tcPr>
          <w:p w14:paraId="4D344DC5"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eastAsia="en-GB" w:bidi="ar-SA"/>
              </w:rPr>
              <w:t>smsr-id</w:t>
            </w:r>
          </w:p>
        </w:tc>
        <w:tc>
          <w:tcPr>
            <w:tcW w:w="0" w:type="auto"/>
            <w:tcBorders>
              <w:top w:val="single" w:sz="6" w:space="0" w:color="auto"/>
              <w:left w:val="single" w:sz="6" w:space="0" w:color="auto"/>
              <w:bottom w:val="single" w:sz="4" w:space="0" w:color="auto"/>
              <w:right w:val="single" w:sz="6" w:space="0" w:color="auto"/>
            </w:tcBorders>
            <w:hideMark/>
          </w:tcPr>
          <w:p w14:paraId="6A98612B" w14:textId="77777777" w:rsidR="00B97365" w:rsidRDefault="00000000">
            <w:pPr>
              <w:rPr>
                <w:rFonts w:eastAsia="Times New Roman" w:cs="Arial"/>
                <w:sz w:val="16"/>
                <w:szCs w:val="16"/>
              </w:rPr>
            </w:pPr>
            <w:r>
              <w:rPr>
                <w:rFonts w:cs="Arial"/>
                <w:sz w:val="16"/>
                <w:szCs w:val="16"/>
                <w:lang w:val="en-US"/>
              </w:rPr>
              <w:t xml:space="preserve">Identification of the SM-SR currently in charge of eUICC management. </w:t>
            </w:r>
          </w:p>
          <w:p w14:paraId="72D4B052" w14:textId="77777777" w:rsidR="00B97365" w:rsidRDefault="00000000">
            <w:pPr>
              <w:spacing w:line="276" w:lineRule="auto"/>
              <w:jc w:val="left"/>
              <w:rPr>
                <w:rFonts w:eastAsia="Times New Roman" w:cs="Arial"/>
                <w:sz w:val="16"/>
                <w:szCs w:val="16"/>
                <w:lang w:eastAsia="en-GB" w:bidi="ar-SA"/>
              </w:rPr>
            </w:pPr>
            <w:r>
              <w:rPr>
                <w:rFonts w:eastAsia="Times New Roman" w:cs="Arial"/>
                <w:sz w:val="16"/>
                <w:szCs w:val="16"/>
                <w:lang w:val="en-US" w:eastAsia="en-GB" w:bidi="ar-SA"/>
              </w:rPr>
              <w:t>This information may change during the eUICC’s lifetime.</w:t>
            </w:r>
          </w:p>
        </w:tc>
        <w:tc>
          <w:tcPr>
            <w:tcW w:w="0" w:type="auto"/>
            <w:tcBorders>
              <w:top w:val="single" w:sz="6" w:space="0" w:color="auto"/>
              <w:left w:val="single" w:sz="6" w:space="0" w:color="auto"/>
              <w:bottom w:val="single" w:sz="4" w:space="0" w:color="auto"/>
              <w:right w:val="single" w:sz="6" w:space="0" w:color="auto"/>
            </w:tcBorders>
            <w:hideMark/>
          </w:tcPr>
          <w:p w14:paraId="647D23BC"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val="en-US" w:eastAsia="en-GB" w:bidi="ar-SA"/>
              </w:rPr>
              <w:t>OID</w:t>
            </w:r>
          </w:p>
        </w:tc>
        <w:tc>
          <w:tcPr>
            <w:tcW w:w="0" w:type="auto"/>
            <w:tcBorders>
              <w:top w:val="single" w:sz="6" w:space="0" w:color="auto"/>
              <w:left w:val="single" w:sz="6" w:space="0" w:color="auto"/>
              <w:bottom w:val="single" w:sz="4" w:space="0" w:color="auto"/>
              <w:right w:val="single" w:sz="6" w:space="0" w:color="auto"/>
            </w:tcBorders>
            <w:hideMark/>
          </w:tcPr>
          <w:p w14:paraId="2FD0DD82" w14:textId="77777777" w:rsidR="00B97365" w:rsidRDefault="00000000">
            <w:pPr>
              <w:spacing w:line="276" w:lineRule="auto"/>
              <w:jc w:val="center"/>
              <w:rPr>
                <w:rFonts w:eastAsia="Times New Roman" w:cs="Arial"/>
                <w:sz w:val="16"/>
                <w:szCs w:val="16"/>
                <w:lang w:eastAsia="en-GB" w:bidi="ar-SA"/>
              </w:rPr>
            </w:pPr>
            <w:r>
              <w:rPr>
                <w:rFonts w:eastAsia="Times New Roman" w:cs="Arial"/>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hideMark/>
          </w:tcPr>
          <w:p w14:paraId="7ACE8184" w14:textId="77777777" w:rsidR="00B97365" w:rsidRDefault="00000000">
            <w:pPr>
              <w:spacing w:line="276" w:lineRule="auto"/>
              <w:jc w:val="center"/>
              <w:rPr>
                <w:rFonts w:eastAsia="Times New Roman" w:cs="Arial"/>
                <w:sz w:val="16"/>
                <w:szCs w:val="16"/>
                <w:lang w:val="en-US" w:eastAsia="en-GB" w:bidi="ar-SA"/>
              </w:rPr>
            </w:pPr>
            <w:r>
              <w:rPr>
                <w:rFonts w:eastAsia="Times New Roman" w:cs="Arial"/>
                <w:sz w:val="16"/>
                <w:szCs w:val="16"/>
                <w:lang w:val="en-US" w:eastAsia="en-GB" w:bidi="ar-SA"/>
              </w:rPr>
              <w:t>M</w:t>
            </w:r>
          </w:p>
        </w:tc>
      </w:tr>
    </w:tbl>
    <w:p w14:paraId="71A49CF3"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Update Subscription Address Additional Input Data</w:t>
      </w:r>
    </w:p>
    <w:p w14:paraId="53261C8C" w14:textId="77777777" w:rsidR="00B97365" w:rsidRDefault="00000000">
      <w:pPr>
        <w:spacing w:before="0" w:after="200" w:line="276" w:lineRule="auto"/>
        <w:jc w:val="left"/>
        <w:rPr>
          <w:rFonts w:cs="Arial"/>
          <w:b/>
          <w:i/>
          <w:szCs w:val="22"/>
          <w:lang w:val="en-US" w:eastAsia="en-GB" w:bidi="ar-SA"/>
        </w:rPr>
      </w:pPr>
      <w:r>
        <w:rPr>
          <w:rFonts w:cs="Arial"/>
          <w:szCs w:val="22"/>
          <w:lang w:val="en-US" w:eastAsia="en-GB" w:bidi="ar-SA"/>
        </w:rPr>
        <w:t>This function has no additional output data.</w:t>
      </w:r>
    </w:p>
    <w:p w14:paraId="782213E0" w14:textId="77777777" w:rsidR="00B97365" w:rsidRDefault="00000000">
      <w:pPr>
        <w:spacing w:before="0" w:after="200" w:line="276" w:lineRule="auto"/>
        <w:jc w:val="left"/>
        <w:rPr>
          <w:b/>
          <w:i/>
          <w:szCs w:val="22"/>
          <w:lang w:val="en-US" w:eastAsia="en-GB" w:bidi="ar-SA"/>
        </w:rPr>
      </w:pPr>
      <w:bookmarkStart w:id="3433" w:name="_Toc420594729"/>
      <w:r>
        <w:rPr>
          <w:rFonts w:cs="Arial"/>
          <w:b/>
          <w:i/>
          <w:szCs w:val="22"/>
          <w:lang w:val="en-US" w:eastAsia="en-GB" w:bidi="ar-SA"/>
        </w:rPr>
        <w:t>Specific status codes</w:t>
      </w:r>
      <w:bookmarkEnd w:id="3433"/>
    </w:p>
    <w:p w14:paraId="4E61839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In addition to those returned by </w:t>
      </w:r>
      <w:r>
        <w:rPr>
          <w:rFonts w:cs="Arial"/>
          <w:b/>
          <w:szCs w:val="22"/>
          <w:lang w:val="en-US" w:eastAsia="en-GB" w:bidi="ar-SA"/>
        </w:rPr>
        <w:t>ES3.UpdateSubscriptionAddress</w:t>
      </w:r>
      <w:r>
        <w:rPr>
          <w:rFonts w:cs="Arial"/>
          <w:szCs w:val="22"/>
          <w:lang w:val="en-US" w:eastAsia="en-GB" w:bidi="ar-SA"/>
        </w:rPr>
        <w:t>, this function may return: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718"/>
        <w:gridCol w:w="718"/>
        <w:gridCol w:w="808"/>
        <w:gridCol w:w="6054"/>
      </w:tblGrid>
      <w:tr w:rsidR="00B97365" w14:paraId="5683F5E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E022494"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p w14:paraId="03420AC0"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7A31815"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6DF972D"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p w14:paraId="2AB77702"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B5D6383"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8BF85FD"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Description</w:t>
            </w:r>
          </w:p>
        </w:tc>
      </w:tr>
      <w:tr w:rsidR="00B97365" w14:paraId="21EFE65D" w14:textId="77777777">
        <w:trPr>
          <w:trHeight w:val="342"/>
          <w:jc w:val="center"/>
        </w:trPr>
        <w:tc>
          <w:tcPr>
            <w:tcW w:w="0" w:type="auto"/>
            <w:tcBorders>
              <w:top w:val="single" w:sz="6" w:space="0" w:color="auto"/>
              <w:left w:val="single" w:sz="4" w:space="0" w:color="auto"/>
              <w:bottom w:val="single" w:sz="4" w:space="0" w:color="auto"/>
              <w:right w:val="single" w:sz="6" w:space="0" w:color="auto"/>
            </w:tcBorders>
            <w:shd w:val="clear" w:color="auto" w:fill="FFFFFF"/>
            <w:vAlign w:val="center"/>
            <w:hideMark/>
          </w:tcPr>
          <w:p w14:paraId="1F7C90B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8.7</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hideMark/>
          </w:tcPr>
          <w:p w14:paraId="08C82CA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SM-SR</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hideMark/>
          </w:tcPr>
          <w:p w14:paraId="02668FD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3.9</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hideMark/>
          </w:tcPr>
          <w:p w14:paraId="33A7E36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center"/>
            <w:hideMark/>
          </w:tcPr>
          <w:p w14:paraId="4ACC7D4E" w14:textId="77777777" w:rsidR="00B97365" w:rsidRDefault="00000000">
            <w:pPr>
              <w:spacing w:before="0" w:after="200" w:line="276" w:lineRule="auto"/>
              <w:jc w:val="left"/>
              <w:rPr>
                <w:rFonts w:cs="Calibri"/>
                <w:color w:val="FFFFFF"/>
                <w:sz w:val="16"/>
                <w:szCs w:val="16"/>
                <w:lang w:eastAsia="en-GB" w:bidi="ar-SA"/>
              </w:rPr>
            </w:pPr>
            <w:r>
              <w:rPr>
                <w:rFonts w:cs="Arial"/>
                <w:sz w:val="16"/>
                <w:szCs w:val="16"/>
                <w:lang w:val="en-US" w:eastAsia="en-GB" w:bidi="ar-SA"/>
              </w:rPr>
              <w:t>Indicates that the SM-SR, identified by this smsr-id, is unknown to or whose address cannot be resolved by the SM-DP</w:t>
            </w:r>
          </w:p>
        </w:tc>
      </w:tr>
    </w:tbl>
    <w:p w14:paraId="0B654D23"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Update Subscription Address Specific Status Codes</w:t>
      </w:r>
    </w:p>
    <w:p w14:paraId="484CF8E7"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434" w:name="_Toc448998260"/>
      <w:bookmarkStart w:id="3435" w:name="_Toc422150736"/>
      <w:bookmarkStart w:id="3436" w:name="_Toc421874321"/>
      <w:bookmarkStart w:id="3437" w:name="_Toc420594730"/>
      <w:bookmarkStart w:id="3438" w:name="_Toc398214862"/>
      <w:bookmarkStart w:id="3439" w:name="_Toc375158278"/>
      <w:bookmarkStart w:id="3440" w:name="_Toc368932287"/>
      <w:bookmarkStart w:id="3441" w:name="_Ref367978245"/>
      <w:bookmarkStart w:id="3442" w:name="_Ref367978237"/>
      <w:bookmarkStart w:id="3443" w:name="_Ref367971098"/>
      <w:bookmarkStart w:id="3444" w:name="_Toc486332878"/>
      <w:bookmarkStart w:id="3445" w:name="_Toc1977356"/>
      <w:bookmarkStart w:id="3446" w:name="_Toc37062515"/>
      <w:bookmarkStart w:id="3447" w:name="_Toc88839589"/>
      <w:bookmarkStart w:id="3448" w:name="_Toc121503997"/>
      <w:r>
        <w:rPr>
          <w:rFonts w:eastAsia="Times New Roman" w:cs="Arial"/>
          <w:b/>
          <w:sz w:val="24"/>
          <w:szCs w:val="26"/>
          <w:lang w:eastAsia="en-US"/>
        </w:rPr>
        <w:t>Profile Enabling</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p w14:paraId="4BF590C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EnableProfile</w:t>
      </w:r>
    </w:p>
    <w:p w14:paraId="26C1155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Enabling via SM-DP</w:t>
      </w:r>
    </w:p>
    <w:p w14:paraId="585C70A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6D5AFD3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56B1813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72B82C5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function allows the Operator owner of the Profile to request a SM-DP to enable a Profile in a specified eUICC, eUICC being identified by its EID. </w:t>
      </w:r>
    </w:p>
    <w:p w14:paraId="1E8B143A" w14:textId="23A80F12"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SM-DP receiving this request SHALL process it according to the “Profile Enabling via SM-DP” procedure described in the section </w:t>
      </w:r>
      <w:r>
        <w:fldChar w:fldCharType="begin"/>
      </w:r>
      <w:r>
        <w:instrText xml:space="preserve"> REF _Ref367973937 \r \h  \* MERGEFORMAT </w:instrText>
      </w:r>
      <w:r>
        <w:fldChar w:fldCharType="separate"/>
      </w:r>
      <w:r w:rsidR="001D5AD9" w:rsidRPr="001D5AD9">
        <w:rPr>
          <w:szCs w:val="22"/>
          <w:lang w:val="en-US" w:eastAsia="en-GB" w:bidi="ar-SA"/>
        </w:rPr>
        <w:t>3.3</w:t>
      </w:r>
      <w:r>
        <w:fldChar w:fldCharType="end"/>
      </w:r>
      <w:r>
        <w:rPr>
          <w:szCs w:val="22"/>
          <w:lang w:val="en-US" w:eastAsia="en-GB" w:bidi="ar-SA"/>
        </w:rPr>
        <w:t xml:space="preserve"> of this specification.</w:t>
      </w:r>
    </w:p>
    <w:p w14:paraId="5893B52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3598BEC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Profile has been enabled on the eUICC. </w:t>
      </w:r>
    </w:p>
    <w:p w14:paraId="3FDCBC6D" w14:textId="01426168"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_Ref367973952 \r \h  \* MERGEFORMAT </w:instrText>
      </w:r>
      <w:r>
        <w:fldChar w:fldCharType="separate"/>
      </w:r>
      <w:r w:rsidR="001D5AD9" w:rsidRPr="001D5AD9">
        <w:rPr>
          <w:szCs w:val="22"/>
          <w:lang w:eastAsia="en-GB" w:bidi="ar-SA"/>
        </w:rPr>
        <w:t>5.1.6.4</w:t>
      </w:r>
      <w:r>
        <w:fldChar w:fldCharType="end"/>
      </w:r>
    </w:p>
    <w:p w14:paraId="12358867" w14:textId="044A9686" w:rsidR="00B97365" w:rsidRDefault="00000000">
      <w:pPr>
        <w:tabs>
          <w:tab w:val="left" w:pos="680"/>
        </w:tabs>
        <w:spacing w:before="0" w:after="200" w:line="276" w:lineRule="auto"/>
        <w:ind w:left="680"/>
        <w:contextualSpacing/>
        <w:jc w:val="left"/>
        <w:rPr>
          <w:szCs w:val="22"/>
          <w:lang w:eastAsia="en-GB" w:bidi="ar-SA"/>
        </w:rPr>
      </w:pPr>
      <w:r>
        <w:rPr>
          <w:szCs w:val="22"/>
          <w:lang w:eastAsia="en-GB" w:bidi="ar-SA"/>
        </w:rPr>
        <w:lastRenderedPageBreak/>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2ABE92FD" w14:textId="77777777" w:rsidR="00B97365" w:rsidRDefault="00B97365">
      <w:pPr>
        <w:tabs>
          <w:tab w:val="left" w:pos="680"/>
        </w:tabs>
        <w:spacing w:before="0" w:after="200" w:line="276" w:lineRule="auto"/>
        <w:contextualSpacing/>
        <w:jc w:val="left"/>
        <w:rPr>
          <w:rFonts w:cs="Arial"/>
          <w:b/>
          <w:i/>
          <w:szCs w:val="22"/>
          <w:lang w:val="en-US" w:eastAsia="en-GB" w:bidi="ar-SA"/>
        </w:rPr>
      </w:pPr>
    </w:p>
    <w:p w14:paraId="6C19B6E5" w14:textId="77777777" w:rsidR="00B97365" w:rsidRDefault="00000000">
      <w:pPr>
        <w:spacing w:before="0" w:after="200" w:line="276" w:lineRule="auto"/>
        <w:jc w:val="left"/>
        <w:rPr>
          <w:b/>
          <w:i/>
          <w:szCs w:val="22"/>
          <w:lang w:val="en-US" w:eastAsia="en-GB" w:bidi="ar-SA"/>
        </w:rPr>
      </w:pPr>
      <w:bookmarkStart w:id="3449" w:name="_Toc420594731"/>
      <w:r>
        <w:rPr>
          <w:rFonts w:cs="Arial"/>
          <w:b/>
          <w:i/>
          <w:szCs w:val="22"/>
          <w:lang w:val="en-US" w:eastAsia="en-GB" w:bidi="ar-SA"/>
        </w:rPr>
        <w:t>Additional input data:</w:t>
      </w:r>
      <w:bookmarkEnd w:id="344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129"/>
        <w:gridCol w:w="590"/>
        <w:gridCol w:w="474"/>
        <w:gridCol w:w="590"/>
      </w:tblGrid>
      <w:tr w:rsidR="00B97365" w14:paraId="792C084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18A57DE"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359B00C"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2C39261"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3D35ACB"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E4F097E"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119F3A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29458B84"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hideMark/>
          </w:tcPr>
          <w:p w14:paraId="6C0621FD" w14:textId="77777777" w:rsidR="00B97365" w:rsidRDefault="00000000">
            <w:pPr>
              <w:rPr>
                <w:rFonts w:eastAsia="Times New Roman" w:cs="Calibri"/>
                <w:sz w:val="16"/>
                <w:szCs w:val="16"/>
                <w:lang w:val="en-US"/>
              </w:rPr>
            </w:pPr>
            <w:r>
              <w:rPr>
                <w:rFonts w:cs="Calibri"/>
                <w:sz w:val="16"/>
                <w:szCs w:val="16"/>
                <w:lang w:val="en-US"/>
              </w:rPr>
              <w:t>Identification of the targeted eUICC.</w:t>
            </w:r>
          </w:p>
          <w:p w14:paraId="4252DB59" w14:textId="2C5E0530" w:rsidR="00B97365" w:rsidRDefault="00000000">
            <w:pPr>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_Ref367973974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hideMark/>
          </w:tcPr>
          <w:p w14:paraId="7FB5C9A8"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hideMark/>
          </w:tcPr>
          <w:p w14:paraId="7C063A8C"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16010B44"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24A39D5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14:paraId="1BA590EF"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smsr-id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9B5E1F0" w14:textId="77777777" w:rsidR="00B97365" w:rsidRDefault="00000000">
            <w:pPr>
              <w:rPr>
                <w:rFonts w:eastAsia="Times New Roman" w:cs="Calibri"/>
                <w:sz w:val="16"/>
                <w:szCs w:val="16"/>
              </w:rPr>
            </w:pPr>
            <w:r>
              <w:rPr>
                <w:rFonts w:cs="Calibri"/>
                <w:sz w:val="16"/>
                <w:szCs w:val="16"/>
                <w:lang w:val="en-US"/>
              </w:rPr>
              <w:t xml:space="preserve">Identification of the SM-SR currently in charge of eUICC management. </w:t>
            </w:r>
          </w:p>
          <w:p w14:paraId="11A9881C" w14:textId="77777777" w:rsidR="00B97365" w:rsidRDefault="00000000">
            <w:pPr>
              <w:keepNext/>
              <w:keepLines/>
              <w:tabs>
                <w:tab w:val="num" w:pos="1152"/>
                <w:tab w:val="num" w:pos="2160"/>
              </w:tabs>
              <w:spacing w:after="140" w:line="260" w:lineRule="atLeast"/>
              <w:ind w:left="1152" w:hanging="1152"/>
              <w:rPr>
                <w:rFonts w:cs="Calibri"/>
                <w:sz w:val="16"/>
                <w:szCs w:val="16"/>
                <w:lang w:val="en-US"/>
              </w:rPr>
            </w:pPr>
            <w:r>
              <w:rPr>
                <w:rFonts w:cs="Calibri"/>
                <w:sz w:val="16"/>
                <w:szCs w:val="16"/>
                <w:lang w:val="en-US"/>
              </w:rPr>
              <w:t>This information may change during the eUICC’s lifetime.</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FD75E6F"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44E8E01"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14:paraId="04AAB9B9"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r w:rsidR="00B97365" w14:paraId="3DCCE4A1"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vAlign w:val="center"/>
            <w:hideMark/>
          </w:tcPr>
          <w:p w14:paraId="33D7CFBF"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7949B49D" w14:textId="7777777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Identification of the Profile to enable.</w:t>
            </w:r>
          </w:p>
          <w:p w14:paraId="1BA2F043" w14:textId="644DEF6E"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_Ref367973980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54E7EC51" w14:textId="77777777" w:rsidR="00B97365" w:rsidRDefault="00000000">
            <w:pPr>
              <w:keepNext/>
              <w:keepLines/>
              <w:tabs>
                <w:tab w:val="num" w:pos="4320"/>
              </w:tabs>
              <w:spacing w:before="140" w:after="120" w:line="260" w:lineRule="atLeast"/>
              <w:ind w:left="1531" w:hanging="1531"/>
              <w:jc w:val="center"/>
              <w:rPr>
                <w:rFonts w:eastAsia="Times New Roman"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6061BF2F" w14:textId="77777777" w:rsidR="00B97365" w:rsidRDefault="00000000">
            <w:pPr>
              <w:spacing w:before="140" w:after="120" w:line="260" w:lineRule="atLeast"/>
              <w:ind w:left="1531" w:hanging="1531"/>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vAlign w:val="center"/>
            <w:hideMark/>
          </w:tcPr>
          <w:p w14:paraId="20F04D29"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786BB9F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Enable Profile Additional Input Data</w:t>
      </w:r>
    </w:p>
    <w:p w14:paraId="57C9615D" w14:textId="77777777" w:rsidR="00B97365" w:rsidRDefault="00000000">
      <w:pPr>
        <w:spacing w:before="0" w:after="200" w:line="276" w:lineRule="auto"/>
        <w:jc w:val="left"/>
        <w:rPr>
          <w:b/>
          <w:i/>
          <w:szCs w:val="22"/>
          <w:lang w:val="en-US" w:eastAsia="en-GB" w:bidi="ar-SA"/>
        </w:rPr>
      </w:pPr>
      <w:bookmarkStart w:id="3450" w:name="_Toc420594732"/>
      <w:r>
        <w:rPr>
          <w:rFonts w:cs="Arial"/>
          <w:b/>
          <w:i/>
          <w:szCs w:val="22"/>
          <w:lang w:val="en-US" w:eastAsia="en-GB" w:bidi="ar-SA"/>
        </w:rPr>
        <w:t>Additional output data:</w:t>
      </w:r>
      <w:bookmarkEnd w:id="3450"/>
    </w:p>
    <w:p w14:paraId="63A90EB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None</w:t>
      </w:r>
    </w:p>
    <w:p w14:paraId="67A66BD4" w14:textId="77777777" w:rsidR="00B97365" w:rsidRDefault="00B97365">
      <w:pPr>
        <w:tabs>
          <w:tab w:val="left" w:pos="680"/>
        </w:tabs>
        <w:spacing w:before="0" w:after="200" w:line="276" w:lineRule="auto"/>
        <w:contextualSpacing/>
        <w:jc w:val="left"/>
        <w:rPr>
          <w:rFonts w:cs="Arial"/>
          <w:szCs w:val="22"/>
          <w:lang w:eastAsia="en-GB" w:bidi="ar-SA"/>
        </w:rPr>
      </w:pPr>
    </w:p>
    <w:p w14:paraId="76838CB0" w14:textId="77777777" w:rsidR="00B97365" w:rsidRDefault="00000000">
      <w:pPr>
        <w:spacing w:before="0" w:after="200" w:line="276" w:lineRule="auto"/>
        <w:jc w:val="left"/>
        <w:rPr>
          <w:b/>
          <w:i/>
          <w:szCs w:val="22"/>
          <w:lang w:val="en-US" w:eastAsia="en-GB" w:bidi="ar-SA"/>
        </w:rPr>
      </w:pPr>
      <w:bookmarkStart w:id="3451" w:name="_Toc420594733"/>
      <w:r>
        <w:rPr>
          <w:rFonts w:cs="Arial"/>
          <w:b/>
          <w:i/>
          <w:szCs w:val="22"/>
          <w:lang w:val="en-US" w:eastAsia="en-GB" w:bidi="ar-SA"/>
        </w:rPr>
        <w:t>Specific status codes</w:t>
      </w:r>
      <w:bookmarkEnd w:id="345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871"/>
        <w:gridCol w:w="718"/>
        <w:gridCol w:w="1567"/>
        <w:gridCol w:w="5142"/>
      </w:tblGrid>
      <w:tr w:rsidR="00B97365" w14:paraId="17786E12"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FB932A0" w14:textId="77777777" w:rsidR="00B97365" w:rsidRDefault="00000000">
            <w:pPr>
              <w:jc w:val="center"/>
              <w:rPr>
                <w:rFonts w:cs="Calibri"/>
                <w:b/>
                <w:color w:val="FFFFFF"/>
                <w:sz w:val="16"/>
                <w:szCs w:val="16"/>
              </w:rPr>
            </w:pPr>
            <w:r>
              <w:rPr>
                <w:rFonts w:cs="Calibri"/>
                <w:b/>
                <w:color w:val="FFFFFF"/>
                <w:sz w:val="16"/>
                <w:szCs w:val="16"/>
              </w:rPr>
              <w:t>Subject</w:t>
            </w:r>
          </w:p>
          <w:p w14:paraId="6ED7F32C"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D98D106"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A97BEB4" w14:textId="77777777" w:rsidR="00B97365" w:rsidRDefault="00000000">
            <w:pPr>
              <w:jc w:val="center"/>
              <w:rPr>
                <w:rFonts w:cs="Calibri"/>
                <w:b/>
                <w:color w:val="FFFFFF"/>
                <w:sz w:val="16"/>
                <w:szCs w:val="16"/>
              </w:rPr>
            </w:pPr>
            <w:r>
              <w:rPr>
                <w:rFonts w:cs="Calibri"/>
                <w:b/>
                <w:color w:val="FFFFFF"/>
                <w:sz w:val="16"/>
                <w:szCs w:val="16"/>
              </w:rPr>
              <w:t>Reason</w:t>
            </w:r>
          </w:p>
          <w:p w14:paraId="4A7BCC0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A4F94DF"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A0EDE71"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11AFD740"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22353ED"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20576518" w14:textId="77777777" w:rsidR="00B97365" w:rsidRDefault="00000000">
            <w:pPr>
              <w:rPr>
                <w:rFonts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3CE13D3"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23DB68C9"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334FA669" w14:textId="77777777" w:rsidR="00B97365" w:rsidRDefault="00000000">
            <w:pPr>
              <w:rPr>
                <w:rFonts w:cs="Calibri"/>
                <w:sz w:val="16"/>
                <w:szCs w:val="16"/>
                <w:lang w:val="en-US"/>
              </w:rPr>
            </w:pPr>
            <w:r>
              <w:rPr>
                <w:rFonts w:cs="Calibri"/>
                <w:sz w:val="16"/>
                <w:szCs w:val="16"/>
              </w:rPr>
              <w:t>Indicates that the eUICC, identified by this EID, is unknown to the SM-SR.</w:t>
            </w:r>
          </w:p>
        </w:tc>
      </w:tr>
      <w:tr w:rsidR="00B97365" w14:paraId="5561719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21E16235" w14:textId="77777777" w:rsidR="00B97365" w:rsidRDefault="00000000">
            <w:pPr>
              <w:jc w:val="center"/>
              <w:rPr>
                <w:rFonts w:cs="Calibri"/>
                <w:sz w:val="16"/>
                <w:szCs w:val="16"/>
              </w:rPr>
            </w:pPr>
            <w:r>
              <w:rPr>
                <w:rFonts w:cs="Calibri"/>
                <w:sz w:val="16"/>
                <w:szCs w:val="16"/>
              </w:rPr>
              <w:t>8.2</w:t>
            </w:r>
          </w:p>
        </w:tc>
        <w:tc>
          <w:tcPr>
            <w:tcW w:w="0" w:type="auto"/>
            <w:tcBorders>
              <w:top w:val="single" w:sz="6" w:space="0" w:color="auto"/>
              <w:left w:val="single" w:sz="6" w:space="0" w:color="auto"/>
              <w:bottom w:val="single" w:sz="6" w:space="0" w:color="auto"/>
              <w:right w:val="single" w:sz="6" w:space="0" w:color="auto"/>
            </w:tcBorders>
            <w:vAlign w:val="center"/>
          </w:tcPr>
          <w:p w14:paraId="5E814852" w14:textId="77777777" w:rsidR="00B97365" w:rsidRDefault="00000000">
            <w:pPr>
              <w:rPr>
                <w:rFonts w:cs="Calibri"/>
                <w:sz w:val="16"/>
                <w:szCs w:val="16"/>
                <w:lang w:val="en-US"/>
              </w:rPr>
            </w:pPr>
            <w:r>
              <w:rPr>
                <w:rFonts w:cs="Calibri"/>
                <w:sz w:val="16"/>
                <w:szCs w:val="16"/>
                <w:lang w:val="en-US"/>
              </w:rPr>
              <w:t>Profile</w:t>
            </w:r>
          </w:p>
        </w:tc>
        <w:tc>
          <w:tcPr>
            <w:tcW w:w="0" w:type="auto"/>
            <w:tcBorders>
              <w:top w:val="single" w:sz="6" w:space="0" w:color="auto"/>
              <w:left w:val="single" w:sz="6" w:space="0" w:color="auto"/>
              <w:bottom w:val="single" w:sz="6" w:space="0" w:color="auto"/>
              <w:right w:val="single" w:sz="6" w:space="0" w:color="auto"/>
            </w:tcBorders>
            <w:vAlign w:val="center"/>
          </w:tcPr>
          <w:p w14:paraId="20C04D0E" w14:textId="77777777" w:rsidR="00B97365" w:rsidRDefault="00000000">
            <w:pPr>
              <w:jc w:val="center"/>
              <w:rPr>
                <w:rFonts w:cs="Calibri"/>
                <w:sz w:val="16"/>
                <w:szCs w:val="16"/>
                <w:lang w:val="en-US"/>
              </w:rPr>
            </w:pPr>
            <w:r>
              <w:rPr>
                <w:rFonts w:cs="Calibri"/>
                <w:sz w:val="16"/>
                <w:szCs w:val="16"/>
                <w:lang w:val="en-US"/>
              </w:rPr>
              <w:t>5.1</w:t>
            </w:r>
          </w:p>
        </w:tc>
        <w:tc>
          <w:tcPr>
            <w:tcW w:w="0" w:type="auto"/>
            <w:tcBorders>
              <w:top w:val="single" w:sz="6" w:space="0" w:color="auto"/>
              <w:left w:val="single" w:sz="6" w:space="0" w:color="auto"/>
              <w:bottom w:val="single" w:sz="6" w:space="0" w:color="auto"/>
              <w:right w:val="single" w:sz="6" w:space="0" w:color="auto"/>
            </w:tcBorders>
            <w:vAlign w:val="center"/>
          </w:tcPr>
          <w:p w14:paraId="0C58CEB5" w14:textId="77777777" w:rsidR="00B97365" w:rsidRDefault="00000000">
            <w:pPr>
              <w:rPr>
                <w:rFonts w:cs="Calibri"/>
                <w:sz w:val="16"/>
                <w:szCs w:val="16"/>
              </w:rPr>
            </w:pPr>
            <w:r>
              <w:rPr>
                <w:rFonts w:cs="Calibri"/>
                <w:sz w:val="16"/>
                <w:szCs w:val="16"/>
              </w:rPr>
              <w:t>Inaccessible</w:t>
            </w:r>
          </w:p>
        </w:tc>
        <w:tc>
          <w:tcPr>
            <w:tcW w:w="0" w:type="auto"/>
            <w:tcBorders>
              <w:top w:val="single" w:sz="6" w:space="0" w:color="auto"/>
              <w:left w:val="single" w:sz="6" w:space="0" w:color="auto"/>
              <w:bottom w:val="single" w:sz="6" w:space="0" w:color="auto"/>
              <w:right w:val="single" w:sz="4" w:space="0" w:color="auto"/>
            </w:tcBorders>
            <w:vAlign w:val="center"/>
          </w:tcPr>
          <w:p w14:paraId="45FEA735" w14:textId="77777777" w:rsidR="00B97365" w:rsidRDefault="00000000">
            <w:pPr>
              <w:rPr>
                <w:rFonts w:cs="Calibri"/>
                <w:sz w:val="16"/>
                <w:szCs w:val="16"/>
              </w:rPr>
            </w:pPr>
            <w:r>
              <w:rPr>
                <w:rFonts w:cs="Calibri"/>
                <w:sz w:val="16"/>
                <w:szCs w:val="16"/>
              </w:rPr>
              <w:t xml:space="preserve">Indicates that the profile change procedure couldn’t complete after enabling the target profile, and the profile change was rolled-back on the eUICC, </w:t>
            </w:r>
          </w:p>
        </w:tc>
      </w:tr>
      <w:tr w:rsidR="00B97365" w14:paraId="53E6075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64FD027"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0EF12C48" w14:textId="77777777" w:rsidR="00B97365" w:rsidRDefault="00000000">
            <w:pPr>
              <w:rPr>
                <w:rFonts w:cs="Calibri"/>
                <w:sz w:val="16"/>
                <w:szCs w:val="16"/>
                <w:lang w:val="en-US"/>
              </w:rPr>
            </w:pPr>
            <w:r>
              <w:rPr>
                <w:rFonts w:cs="Calibri"/>
                <w:sz w:val="16"/>
                <w:szCs w:val="16"/>
                <w:lang w:val="en-US"/>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53C7DE7"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0CB6E628"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5FA83AD6" w14:textId="77777777" w:rsidR="00B97365" w:rsidRDefault="00000000">
            <w:pPr>
              <w:rPr>
                <w:rFonts w:cs="Calibri"/>
                <w:sz w:val="16"/>
                <w:szCs w:val="16"/>
                <w:lang w:val="en-US"/>
              </w:rPr>
            </w:pPr>
            <w:r>
              <w:rPr>
                <w:rFonts w:cs="Calibri"/>
                <w:sz w:val="16"/>
                <w:szCs w:val="16"/>
                <w:lang w:val="en-US"/>
              </w:rPr>
              <w:t>Indicates that the Profile identified by this ICCID is unknown to the SM-SR.</w:t>
            </w:r>
          </w:p>
        </w:tc>
      </w:tr>
      <w:tr w:rsidR="00B97365" w14:paraId="36446FE0"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AB3BDFD"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1C8C6DA7" w14:textId="77777777" w:rsidR="00B97365" w:rsidRDefault="00000000">
            <w:pPr>
              <w:rPr>
                <w:rFonts w:cs="Calibri"/>
                <w:sz w:val="16"/>
                <w:szCs w:val="16"/>
                <w:lang w:val="en-US"/>
              </w:rPr>
            </w:pPr>
            <w:r>
              <w:rPr>
                <w:rFonts w:cs="Calibri"/>
                <w:sz w:val="16"/>
                <w:szCs w:val="16"/>
                <w:lang w:val="en-US"/>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25751DE" w14:textId="77777777" w:rsidR="00B97365" w:rsidRDefault="00000000">
            <w:pPr>
              <w:jc w:val="center"/>
              <w:rPr>
                <w:rFonts w:cs="Calibri"/>
                <w:sz w:val="16"/>
                <w:szCs w:val="16"/>
                <w:lang w:val="en-US"/>
              </w:rPr>
            </w:pPr>
            <w:r>
              <w:rPr>
                <w:rFonts w:cs="Calibri"/>
                <w:sz w:val="16"/>
                <w:szCs w:val="16"/>
                <w:lang w:val="en-US"/>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7AECA64F" w14:textId="77777777" w:rsidR="00B97365" w:rsidRDefault="00000000">
            <w:pPr>
              <w:rPr>
                <w:rFonts w:cs="Calibri"/>
                <w:sz w:val="16"/>
                <w:szCs w:val="16"/>
                <w:lang w:val="en-US"/>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63B51DC8" w14:textId="77777777" w:rsidR="00B97365" w:rsidRDefault="00000000">
            <w:pPr>
              <w:rPr>
                <w:rFonts w:cs="Calibri"/>
                <w:sz w:val="16"/>
                <w:szCs w:val="16"/>
                <w:lang w:val="en-US"/>
              </w:rPr>
            </w:pPr>
            <w:r>
              <w:rPr>
                <w:rFonts w:cs="Calibri"/>
                <w:sz w:val="16"/>
                <w:szCs w:val="16"/>
                <w:lang w:val="en-US"/>
              </w:rPr>
              <w:t>Indicates that the Profile identified by this ICCID is known to the SM-SR but installed on another eUICC than the one identified by the function caller.</w:t>
            </w:r>
          </w:p>
        </w:tc>
      </w:tr>
      <w:tr w:rsidR="00B97365" w14:paraId="092AA1D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A84C5A1"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tcPr>
          <w:p w14:paraId="529EA8D9" w14:textId="77777777" w:rsidR="00B97365" w:rsidRDefault="00000000">
            <w:pPr>
              <w:rPr>
                <w:rFonts w:cs="Calibri"/>
                <w:sz w:val="16"/>
                <w:szCs w:val="16"/>
                <w:lang w:val="en-US"/>
              </w:rPr>
            </w:pPr>
            <w:r>
              <w:rPr>
                <w:rFonts w:cs="Calibri"/>
                <w:sz w:val="16"/>
                <w:szCs w:val="16"/>
                <w:lang w:val="en-US"/>
              </w:rPr>
              <w:t>Profile ICCID</w:t>
            </w:r>
          </w:p>
        </w:tc>
        <w:tc>
          <w:tcPr>
            <w:tcW w:w="0" w:type="auto"/>
            <w:tcBorders>
              <w:top w:val="single" w:sz="6" w:space="0" w:color="auto"/>
              <w:left w:val="single" w:sz="6" w:space="0" w:color="auto"/>
              <w:bottom w:val="single" w:sz="6" w:space="0" w:color="auto"/>
              <w:right w:val="single" w:sz="6" w:space="0" w:color="auto"/>
            </w:tcBorders>
            <w:vAlign w:val="center"/>
          </w:tcPr>
          <w:p w14:paraId="2BC0744F" w14:textId="77777777" w:rsidR="00B97365" w:rsidRDefault="00000000">
            <w:pPr>
              <w:jc w:val="center"/>
              <w:rPr>
                <w:rFonts w:cs="Calibri"/>
                <w:sz w:val="16"/>
                <w:szCs w:val="16"/>
                <w:lang w:val="en-US"/>
              </w:rPr>
            </w:pPr>
            <w:r>
              <w:rPr>
                <w:rFonts w:cs="Calibri"/>
                <w:sz w:val="16"/>
                <w:szCs w:val="16"/>
                <w:lang w:val="en-US"/>
              </w:rPr>
              <w:t>3.5</w:t>
            </w:r>
          </w:p>
        </w:tc>
        <w:tc>
          <w:tcPr>
            <w:tcW w:w="0" w:type="auto"/>
            <w:tcBorders>
              <w:top w:val="single" w:sz="6" w:space="0" w:color="auto"/>
              <w:left w:val="single" w:sz="6" w:space="0" w:color="auto"/>
              <w:bottom w:val="single" w:sz="6" w:space="0" w:color="auto"/>
              <w:right w:val="single" w:sz="6" w:space="0" w:color="auto"/>
            </w:tcBorders>
            <w:vAlign w:val="center"/>
          </w:tcPr>
          <w:p w14:paraId="113ACE9F" w14:textId="77777777" w:rsidR="00B97365" w:rsidRDefault="00000000">
            <w:pPr>
              <w:rPr>
                <w:rFonts w:cs="Calibri"/>
                <w:sz w:val="16"/>
                <w:szCs w:val="16"/>
              </w:rPr>
            </w:pPr>
            <w:r>
              <w:rPr>
                <w:rFonts w:cs="Calibri"/>
                <w:sz w:val="16"/>
                <w:szCs w:val="16"/>
                <w:lang w:val="en-US"/>
              </w:rPr>
              <w:t>Invalid Transition</w:t>
            </w:r>
          </w:p>
        </w:tc>
        <w:tc>
          <w:tcPr>
            <w:tcW w:w="0" w:type="auto"/>
            <w:tcBorders>
              <w:top w:val="single" w:sz="6" w:space="0" w:color="auto"/>
              <w:left w:val="single" w:sz="6" w:space="0" w:color="auto"/>
              <w:bottom w:val="single" w:sz="6" w:space="0" w:color="auto"/>
              <w:right w:val="single" w:sz="4" w:space="0" w:color="auto"/>
            </w:tcBorders>
            <w:vAlign w:val="center"/>
          </w:tcPr>
          <w:p w14:paraId="18156E06" w14:textId="77777777" w:rsidR="00B97365" w:rsidRDefault="00000000">
            <w:pPr>
              <w:rPr>
                <w:rFonts w:cs="Calibri"/>
                <w:sz w:val="16"/>
                <w:szCs w:val="16"/>
                <w:lang w:val="en-US"/>
              </w:rPr>
            </w:pPr>
            <w:r>
              <w:rPr>
                <w:rFonts w:cs="Calibri"/>
                <w:sz w:val="16"/>
                <w:szCs w:val="16"/>
                <w:lang w:val="en-US"/>
              </w:rPr>
              <w:t>Indicates that the Profile was already Enabled</w:t>
            </w:r>
          </w:p>
        </w:tc>
      </w:tr>
      <w:tr w:rsidR="00B97365" w14:paraId="7CADF52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3907247"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177CE337" w14:textId="77777777" w:rsidR="00B97365" w:rsidRDefault="00000000">
            <w:pPr>
              <w:rPr>
                <w:rFonts w:cs="Calibri"/>
                <w:sz w:val="16"/>
                <w:szCs w:val="16"/>
                <w:lang w:val="en-US"/>
              </w:rPr>
            </w:pPr>
            <w:r>
              <w:rPr>
                <w:rFonts w:cs="Calibri"/>
                <w:sz w:val="16"/>
                <w:szCs w:val="16"/>
                <w:lang w:val="en-US"/>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D256B28"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0F8C9D86" w14:textId="77777777" w:rsidR="00B97365" w:rsidRDefault="00000000">
            <w:pPr>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2083D5CE" w14:textId="77777777" w:rsidR="00B97365" w:rsidRDefault="00000000">
            <w:pPr>
              <w:rPr>
                <w:rFonts w:cs="Calibri"/>
                <w:sz w:val="16"/>
                <w:szCs w:val="16"/>
                <w:lang w:val="en-US"/>
              </w:rPr>
            </w:pPr>
            <w:r>
              <w:rPr>
                <w:rFonts w:cs="Calibri"/>
                <w:sz w:val="16"/>
                <w:szCs w:val="16"/>
                <w:lang w:val="en-US"/>
              </w:rPr>
              <w:t>Indicates that the function caller is not allowed to perform this function on the target Profile.</w:t>
            </w:r>
          </w:p>
        </w:tc>
      </w:tr>
      <w:tr w:rsidR="00B97365" w14:paraId="62B8664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8A3F281" w14:textId="77777777" w:rsidR="00B97365" w:rsidRDefault="00000000">
            <w:pPr>
              <w:jc w:val="center"/>
              <w:rPr>
                <w:rFonts w:cs="Calibri"/>
                <w:sz w:val="16"/>
                <w:szCs w:val="16"/>
              </w:rPr>
            </w:pPr>
            <w:r>
              <w:rPr>
                <w:rFonts w:cs="Calibri"/>
                <w:sz w:val="16"/>
                <w:szCs w:val="16"/>
              </w:rPr>
              <w:t>8.2.2</w:t>
            </w:r>
          </w:p>
        </w:tc>
        <w:tc>
          <w:tcPr>
            <w:tcW w:w="0" w:type="auto"/>
            <w:tcBorders>
              <w:top w:val="single" w:sz="6" w:space="0" w:color="auto"/>
              <w:left w:val="single" w:sz="6" w:space="0" w:color="auto"/>
              <w:bottom w:val="single" w:sz="6" w:space="0" w:color="auto"/>
              <w:right w:val="single" w:sz="6" w:space="0" w:color="auto"/>
            </w:tcBorders>
            <w:vAlign w:val="center"/>
            <w:hideMark/>
          </w:tcPr>
          <w:p w14:paraId="049AFE08" w14:textId="77777777" w:rsidR="00B97365" w:rsidRDefault="00000000">
            <w:pPr>
              <w:rPr>
                <w:rFonts w:cs="Calibri"/>
                <w:sz w:val="16"/>
                <w:szCs w:val="16"/>
                <w:lang w:val="en-US"/>
              </w:rPr>
            </w:pPr>
            <w:r>
              <w:rPr>
                <w:rFonts w:cs="Calibri"/>
                <w:sz w:val="16"/>
                <w:szCs w:val="16"/>
                <w:lang w:val="en-US"/>
              </w:rPr>
              <w:t>POL1</w:t>
            </w:r>
          </w:p>
        </w:tc>
        <w:tc>
          <w:tcPr>
            <w:tcW w:w="0" w:type="auto"/>
            <w:tcBorders>
              <w:top w:val="single" w:sz="6" w:space="0" w:color="auto"/>
              <w:left w:val="single" w:sz="6" w:space="0" w:color="auto"/>
              <w:bottom w:val="single" w:sz="6" w:space="0" w:color="auto"/>
              <w:right w:val="single" w:sz="6" w:space="0" w:color="auto"/>
            </w:tcBorders>
            <w:vAlign w:val="center"/>
            <w:hideMark/>
          </w:tcPr>
          <w:p w14:paraId="4910311A"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0D389521"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4EBDCEEE" w14:textId="77777777" w:rsidR="00B97365" w:rsidRDefault="00000000">
            <w:pPr>
              <w:rPr>
                <w:rFonts w:cs="Calibri"/>
                <w:sz w:val="16"/>
                <w:szCs w:val="16"/>
                <w:lang w:val="en-US"/>
              </w:rPr>
            </w:pPr>
            <w:r>
              <w:rPr>
                <w:rFonts w:cs="Calibri"/>
                <w:sz w:val="16"/>
                <w:szCs w:val="16"/>
                <w:lang w:val="en-US"/>
              </w:rPr>
              <w:t>The POL1 of the impacted Profiles doesn’t allow this operation.</w:t>
            </w:r>
          </w:p>
        </w:tc>
      </w:tr>
      <w:tr w:rsidR="00B97365" w14:paraId="4C2B827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738F8F4" w14:textId="77777777" w:rsidR="00B97365" w:rsidRDefault="00000000">
            <w:pPr>
              <w:jc w:val="center"/>
              <w:rPr>
                <w:rFonts w:cs="Calibri"/>
                <w:sz w:val="16"/>
                <w:szCs w:val="16"/>
              </w:rPr>
            </w:pPr>
            <w:r>
              <w:rPr>
                <w:rFonts w:cs="Calibri"/>
                <w:sz w:val="16"/>
                <w:szCs w:val="16"/>
              </w:rPr>
              <w:t>8.2.3</w:t>
            </w:r>
          </w:p>
        </w:tc>
        <w:tc>
          <w:tcPr>
            <w:tcW w:w="0" w:type="auto"/>
            <w:tcBorders>
              <w:top w:val="single" w:sz="6" w:space="0" w:color="auto"/>
              <w:left w:val="single" w:sz="6" w:space="0" w:color="auto"/>
              <w:bottom w:val="single" w:sz="6" w:space="0" w:color="auto"/>
              <w:right w:val="single" w:sz="6" w:space="0" w:color="auto"/>
            </w:tcBorders>
            <w:vAlign w:val="center"/>
            <w:hideMark/>
          </w:tcPr>
          <w:p w14:paraId="3FB37AD6" w14:textId="77777777" w:rsidR="00B97365" w:rsidRDefault="00000000">
            <w:pPr>
              <w:rPr>
                <w:rFonts w:cs="Calibri"/>
                <w:sz w:val="16"/>
                <w:szCs w:val="16"/>
                <w:lang w:val="en-US"/>
              </w:rPr>
            </w:pPr>
            <w:r>
              <w:rPr>
                <w:rFonts w:cs="Calibri"/>
                <w:sz w:val="16"/>
                <w:szCs w:val="16"/>
                <w:lang w:val="en-US"/>
              </w:rPr>
              <w:t>POL2</w:t>
            </w:r>
          </w:p>
        </w:tc>
        <w:tc>
          <w:tcPr>
            <w:tcW w:w="0" w:type="auto"/>
            <w:tcBorders>
              <w:top w:val="single" w:sz="6" w:space="0" w:color="auto"/>
              <w:left w:val="single" w:sz="6" w:space="0" w:color="auto"/>
              <w:bottom w:val="single" w:sz="6" w:space="0" w:color="auto"/>
              <w:right w:val="single" w:sz="6" w:space="0" w:color="auto"/>
            </w:tcBorders>
            <w:vAlign w:val="center"/>
            <w:hideMark/>
          </w:tcPr>
          <w:p w14:paraId="637C478B"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31D19D9A"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5197EB52" w14:textId="77777777" w:rsidR="00B97365" w:rsidRDefault="00000000">
            <w:pPr>
              <w:rPr>
                <w:rFonts w:cs="Calibri"/>
                <w:sz w:val="16"/>
                <w:szCs w:val="16"/>
                <w:lang w:val="en-US"/>
              </w:rPr>
            </w:pPr>
            <w:r>
              <w:rPr>
                <w:rFonts w:cs="Calibri"/>
                <w:sz w:val="16"/>
                <w:szCs w:val="16"/>
                <w:lang w:val="en-US"/>
              </w:rPr>
              <w:t>The POL2 of the impacted Profiles doesn’t allow this operation.</w:t>
            </w:r>
          </w:p>
        </w:tc>
      </w:tr>
      <w:tr w:rsidR="00B97365" w14:paraId="2D23587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C396C6B" w14:textId="77777777" w:rsidR="00B97365" w:rsidRDefault="00000000">
            <w:pPr>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6" w:space="0" w:color="auto"/>
              <w:right w:val="single" w:sz="6" w:space="0" w:color="auto"/>
            </w:tcBorders>
            <w:vAlign w:val="center"/>
            <w:hideMark/>
          </w:tcPr>
          <w:p w14:paraId="02012682" w14:textId="77777777" w:rsidR="00B97365" w:rsidRDefault="00000000">
            <w:pPr>
              <w:rPr>
                <w:rFonts w:cs="Calibri"/>
                <w:sz w:val="16"/>
                <w:szCs w:val="16"/>
                <w:lang w:val="en-US"/>
              </w:rPr>
            </w:pPr>
            <w:r>
              <w:rPr>
                <w:rFonts w:cs="Calibri"/>
                <w:sz w:val="16"/>
                <w:szCs w:val="16"/>
                <w:lang w:val="en-US"/>
              </w:rPr>
              <w:t>ISD-R</w:t>
            </w:r>
          </w:p>
        </w:tc>
        <w:tc>
          <w:tcPr>
            <w:tcW w:w="0" w:type="auto"/>
            <w:tcBorders>
              <w:top w:val="single" w:sz="6" w:space="0" w:color="auto"/>
              <w:left w:val="single" w:sz="6" w:space="0" w:color="auto"/>
              <w:bottom w:val="single" w:sz="6" w:space="0" w:color="auto"/>
              <w:right w:val="single" w:sz="6" w:space="0" w:color="auto"/>
            </w:tcBorders>
            <w:vAlign w:val="center"/>
            <w:hideMark/>
          </w:tcPr>
          <w:p w14:paraId="012EF058" w14:textId="77777777" w:rsidR="00B97365" w:rsidRDefault="00000000">
            <w:pPr>
              <w:jc w:val="center"/>
              <w:rPr>
                <w:rFonts w:cs="Calibri"/>
                <w:sz w:val="16"/>
                <w:szCs w:val="16"/>
                <w:lang w:val="en-US"/>
              </w:rPr>
            </w:pPr>
            <w:r>
              <w:rPr>
                <w:rFonts w:cs="Calibri"/>
                <w:sz w:val="16"/>
                <w:szCs w:val="16"/>
                <w:lang w:val="en-US"/>
              </w:rPr>
              <w:t>4.2</w:t>
            </w:r>
          </w:p>
        </w:tc>
        <w:tc>
          <w:tcPr>
            <w:tcW w:w="0" w:type="auto"/>
            <w:tcBorders>
              <w:top w:val="single" w:sz="6" w:space="0" w:color="auto"/>
              <w:left w:val="single" w:sz="6" w:space="0" w:color="auto"/>
              <w:bottom w:val="single" w:sz="6" w:space="0" w:color="auto"/>
              <w:right w:val="single" w:sz="6" w:space="0" w:color="auto"/>
            </w:tcBorders>
            <w:vAlign w:val="center"/>
            <w:hideMark/>
          </w:tcPr>
          <w:p w14:paraId="00C70C68" w14:textId="77777777" w:rsidR="00B97365" w:rsidRDefault="00000000">
            <w:pPr>
              <w:rPr>
                <w:rFonts w:cs="Calibri"/>
                <w:sz w:val="16"/>
                <w:szCs w:val="16"/>
                <w:lang w:val="en-US"/>
              </w:rPr>
            </w:pPr>
            <w:r>
              <w:rPr>
                <w:rFonts w:cs="Calibri"/>
                <w:sz w:val="16"/>
                <w:szCs w:val="16"/>
                <w:lang w:val="en-US"/>
              </w:rPr>
              <w:t>Execution error</w:t>
            </w:r>
          </w:p>
        </w:tc>
        <w:tc>
          <w:tcPr>
            <w:tcW w:w="0" w:type="auto"/>
            <w:tcBorders>
              <w:top w:val="single" w:sz="6" w:space="0" w:color="auto"/>
              <w:left w:val="single" w:sz="6" w:space="0" w:color="auto"/>
              <w:bottom w:val="single" w:sz="6" w:space="0" w:color="auto"/>
              <w:right w:val="single" w:sz="4" w:space="0" w:color="auto"/>
            </w:tcBorders>
            <w:vAlign w:val="center"/>
            <w:hideMark/>
          </w:tcPr>
          <w:p w14:paraId="6F33B13D" w14:textId="77777777" w:rsidR="00B97365" w:rsidRDefault="00000000">
            <w:pPr>
              <w:rPr>
                <w:rFonts w:cs="Calibri"/>
                <w:sz w:val="16"/>
                <w:szCs w:val="16"/>
                <w:lang w:val="en-US"/>
              </w:rPr>
            </w:pPr>
            <w:r>
              <w:rPr>
                <w:rFonts w:cs="Calibri"/>
                <w:sz w:val="16"/>
                <w:szCs w:val="16"/>
                <w:lang w:val="en-US"/>
              </w:rPr>
              <w:t xml:space="preserve">Error during execution of the enabling command on the eUICC. </w:t>
            </w:r>
          </w:p>
        </w:tc>
      </w:tr>
      <w:tr w:rsidR="00B97365" w14:paraId="7620D7BC"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005C172" w14:textId="77777777" w:rsidR="00B97365" w:rsidRDefault="00000000">
            <w:pPr>
              <w:jc w:val="center"/>
              <w:rPr>
                <w:rFonts w:cs="Calibri"/>
                <w:sz w:val="16"/>
                <w:szCs w:val="16"/>
              </w:rPr>
            </w:pPr>
            <w:r>
              <w:rPr>
                <w:rFonts w:cs="Calibri"/>
                <w:sz w:val="16"/>
                <w:szCs w:val="16"/>
              </w:rPr>
              <w:t>8.7</w:t>
            </w:r>
          </w:p>
        </w:tc>
        <w:tc>
          <w:tcPr>
            <w:tcW w:w="0" w:type="auto"/>
            <w:tcBorders>
              <w:top w:val="single" w:sz="6" w:space="0" w:color="auto"/>
              <w:left w:val="single" w:sz="6" w:space="0" w:color="auto"/>
              <w:bottom w:val="single" w:sz="4" w:space="0" w:color="auto"/>
              <w:right w:val="single" w:sz="6" w:space="0" w:color="auto"/>
            </w:tcBorders>
            <w:vAlign w:val="center"/>
            <w:hideMark/>
          </w:tcPr>
          <w:p w14:paraId="37DB01B0" w14:textId="77777777" w:rsidR="00B97365" w:rsidRDefault="00000000">
            <w:pPr>
              <w:rPr>
                <w:rFonts w:cs="Calibri"/>
                <w:sz w:val="16"/>
                <w:szCs w:val="16"/>
                <w:lang w:val="en-US"/>
              </w:rPr>
            </w:pPr>
            <w:r>
              <w:rPr>
                <w:rFonts w:cs="Calibri"/>
                <w:sz w:val="16"/>
                <w:szCs w:val="16"/>
                <w:lang w:val="en-US"/>
              </w:rPr>
              <w:t>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67DC9D85"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4" w:space="0" w:color="auto"/>
              <w:right w:val="single" w:sz="6" w:space="0" w:color="auto"/>
            </w:tcBorders>
            <w:vAlign w:val="center"/>
            <w:hideMark/>
          </w:tcPr>
          <w:p w14:paraId="1593D654"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4" w:space="0" w:color="auto"/>
              <w:right w:val="single" w:sz="4" w:space="0" w:color="auto"/>
            </w:tcBorders>
            <w:vAlign w:val="center"/>
            <w:hideMark/>
          </w:tcPr>
          <w:p w14:paraId="63921447" w14:textId="77777777" w:rsidR="00B97365" w:rsidRDefault="00000000">
            <w:pPr>
              <w:rPr>
                <w:rFonts w:cs="Calibri"/>
                <w:sz w:val="16"/>
                <w:szCs w:val="16"/>
                <w:lang w:val="en-US"/>
              </w:rPr>
            </w:pPr>
            <w:r>
              <w:rPr>
                <w:rFonts w:cs="Calibri"/>
                <w:sz w:val="16"/>
                <w:szCs w:val="16"/>
              </w:rPr>
              <w:t xml:space="preserve">Indicates that the SM-SR, identified by this smsr-id, is unknown to or whose address cannot be resolved by the function provider. </w:t>
            </w:r>
          </w:p>
        </w:tc>
      </w:tr>
    </w:tbl>
    <w:p w14:paraId="65012F5F"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Enable Profile Specific Status Codes</w:t>
      </w:r>
    </w:p>
    <w:p w14:paraId="798334E3" w14:textId="77777777" w:rsidR="00B97365" w:rsidRDefault="00B97365">
      <w:pPr>
        <w:rPr>
          <w:rFonts w:cs="Calibri"/>
        </w:rPr>
      </w:pPr>
    </w:p>
    <w:p w14:paraId="3990DF7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452" w:name="_Toc448998261"/>
      <w:bookmarkStart w:id="3453" w:name="_Toc422150737"/>
      <w:bookmarkStart w:id="3454" w:name="_Toc421874322"/>
      <w:bookmarkStart w:id="3455" w:name="_Toc420594734"/>
      <w:bookmarkStart w:id="3456" w:name="_Toc398214863"/>
      <w:bookmarkStart w:id="3457" w:name="_Toc375158279"/>
      <w:bookmarkStart w:id="3458" w:name="_Toc368932288"/>
      <w:bookmarkStart w:id="3459" w:name="_Ref367978262"/>
      <w:bookmarkStart w:id="3460" w:name="_Ref367978254"/>
      <w:bookmarkStart w:id="3461" w:name="_Ref367971884"/>
      <w:bookmarkStart w:id="3462" w:name="_Toc486332879"/>
      <w:bookmarkStart w:id="3463" w:name="_Toc1977357"/>
      <w:bookmarkStart w:id="3464" w:name="_Toc37062516"/>
      <w:bookmarkStart w:id="3465" w:name="_Toc88839590"/>
      <w:bookmarkStart w:id="3466" w:name="_Toc121503998"/>
      <w:r>
        <w:rPr>
          <w:rFonts w:eastAsia="Times New Roman" w:cs="Arial"/>
          <w:b/>
          <w:bCs/>
          <w:iCs/>
          <w:sz w:val="24"/>
          <w:szCs w:val="26"/>
          <w:lang w:eastAsia="en-US"/>
        </w:rPr>
        <w:t>Profile Disabling</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14:paraId="05D929B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DisableProfile</w:t>
      </w:r>
    </w:p>
    <w:p w14:paraId="77219995"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Related Procedures</w:t>
      </w:r>
      <w:r>
        <w:rPr>
          <w:szCs w:val="22"/>
          <w:lang w:val="en-US" w:eastAsia="en-GB" w:bidi="ar-SA"/>
        </w:rPr>
        <w:t>: Profile Disabling via SM-DP</w:t>
      </w:r>
    </w:p>
    <w:p w14:paraId="5F0DD60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30D794F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597BA9B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allows the Operator </w:t>
      </w:r>
      <w:r>
        <w:rPr>
          <w:rFonts w:cs="Arial"/>
          <w:szCs w:val="22"/>
          <w:lang w:val="en-US" w:eastAsia="en-GB" w:bidi="ar-SA"/>
        </w:rPr>
        <w:t xml:space="preserve">owner of the Profile </w:t>
      </w:r>
      <w:r>
        <w:rPr>
          <w:szCs w:val="22"/>
          <w:lang w:val="en-US" w:eastAsia="en-GB" w:bidi="ar-SA"/>
        </w:rPr>
        <w:t>to request an SM-DP to disable the Profile in a specified eUICC; eUICC being identified by its EID.</w:t>
      </w:r>
    </w:p>
    <w:p w14:paraId="7829C7D6" w14:textId="6E792B16"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SM-DP receiving this request SHALL process it according to Profile Disabling via SM-DP procedure described in section </w:t>
      </w:r>
      <w:r>
        <w:fldChar w:fldCharType="begin"/>
      </w:r>
      <w:r>
        <w:instrText xml:space="preserve"> REF _Ref367974000 \r \h  \* MERGEFORMAT </w:instrText>
      </w:r>
      <w:r>
        <w:fldChar w:fldCharType="separate"/>
      </w:r>
      <w:r w:rsidR="001D5AD9" w:rsidRPr="001D5AD9">
        <w:rPr>
          <w:szCs w:val="22"/>
          <w:lang w:val="en-US" w:eastAsia="en-GB" w:bidi="ar-SA"/>
        </w:rPr>
        <w:t>3.5</w:t>
      </w:r>
      <w:r>
        <w:fldChar w:fldCharType="end"/>
      </w:r>
      <w:r>
        <w:rPr>
          <w:szCs w:val="22"/>
          <w:lang w:val="en-US" w:eastAsia="en-GB" w:bidi="ar-SA"/>
        </w:rPr>
        <w:t xml:space="preserve"> of this specification. </w:t>
      </w:r>
    </w:p>
    <w:p w14:paraId="75E4431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50EECE5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‘Executed-Success’ indicating that the Profile has been disabled on the eUICC.</w:t>
      </w:r>
    </w:p>
    <w:p w14:paraId="746F3C6B" w14:textId="1F8ECCEB"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w:t>
      </w:r>
      <w:r>
        <w:rPr>
          <w:lang w:val="en-US"/>
        </w:rPr>
        <w:t>Executed-WithWarning</w:t>
      </w:r>
      <w:r>
        <w:rPr>
          <w:szCs w:val="22"/>
          <w:lang w:eastAsia="en-GB" w:bidi="ar-SA"/>
        </w:rPr>
        <w:t>’, with a status code as defined in section</w:t>
      </w:r>
      <w:r>
        <w:t xml:space="preserve"> </w:t>
      </w:r>
      <w:r>
        <w:fldChar w:fldCharType="begin"/>
      </w:r>
      <w:r>
        <w:instrText xml:space="preserve"> REF _Ref483292613 \r \h </w:instrText>
      </w:r>
      <w:r>
        <w:fldChar w:fldCharType="separate"/>
      </w:r>
      <w:r w:rsidR="001D5AD9">
        <w:t>5.4.9</w:t>
      </w:r>
      <w:r>
        <w:fldChar w:fldCharType="end"/>
      </w:r>
      <w:r>
        <w:rPr>
          <w:lang w:val="en-US"/>
        </w:rPr>
        <w:t xml:space="preserve">, </w:t>
      </w:r>
      <w:r>
        <w:rPr>
          <w:szCs w:val="22"/>
          <w:lang w:eastAsia="en-GB" w:bidi="ar-SA"/>
        </w:rPr>
        <w:t>indicating that the Profile has been disabled on the eUICC, and deleted after application of a POL1 or POL2 rule.</w:t>
      </w:r>
    </w:p>
    <w:p w14:paraId="6A6DBA06" w14:textId="00929E6E"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_Ref367974024 \r \h  \* MERGEFORMAT </w:instrText>
      </w:r>
      <w:r>
        <w:fldChar w:fldCharType="separate"/>
      </w:r>
      <w:r w:rsidR="001D5AD9" w:rsidRPr="001D5AD9">
        <w:rPr>
          <w:szCs w:val="22"/>
          <w:lang w:eastAsia="en-GB" w:bidi="ar-SA"/>
        </w:rPr>
        <w:t>5.1.6.4</w:t>
      </w:r>
      <w:r>
        <w:fldChar w:fldCharType="end"/>
      </w:r>
    </w:p>
    <w:p w14:paraId="0E865A6A" w14:textId="5D1C9F5E"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_Ref483292613 \r \h </w:instrText>
      </w:r>
      <w:r>
        <w:fldChar w:fldCharType="separate"/>
      </w:r>
      <w:r w:rsidR="001D5AD9">
        <w:t>5.4.9</w:t>
      </w:r>
      <w:r>
        <w:fldChar w:fldCharType="end"/>
      </w:r>
      <w:r>
        <w:rPr>
          <w:szCs w:val="22"/>
          <w:lang w:eastAsia="en-GB" w:bidi="ar-SA"/>
        </w:rPr>
        <w:t xml:space="preserve"> or a specific status code as defined in the table here after</w:t>
      </w:r>
    </w:p>
    <w:p w14:paraId="53474D01" w14:textId="77777777" w:rsidR="00B97365" w:rsidRDefault="00000000">
      <w:pPr>
        <w:spacing w:before="0" w:after="200" w:line="276" w:lineRule="auto"/>
        <w:jc w:val="left"/>
        <w:rPr>
          <w:b/>
          <w:i/>
          <w:szCs w:val="22"/>
          <w:lang w:val="en-US" w:eastAsia="en-GB" w:bidi="ar-SA"/>
        </w:rPr>
      </w:pPr>
      <w:bookmarkStart w:id="3467" w:name="_Toc420594735"/>
      <w:r>
        <w:rPr>
          <w:rFonts w:cs="Arial"/>
          <w:b/>
          <w:i/>
          <w:szCs w:val="22"/>
          <w:lang w:val="en-US" w:eastAsia="en-GB" w:bidi="ar-SA"/>
        </w:rPr>
        <w:t>Additional input data:</w:t>
      </w:r>
      <w:bookmarkEnd w:id="346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5129"/>
        <w:gridCol w:w="576"/>
        <w:gridCol w:w="398"/>
        <w:gridCol w:w="514"/>
      </w:tblGrid>
      <w:tr w:rsidR="00B97365" w14:paraId="24A01A3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161F78D"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662D468"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87B811C"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514D528"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B422C09"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0588392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D1A1AED"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D87CE5D" w14:textId="77777777" w:rsidR="00B97365" w:rsidRDefault="00000000">
            <w:pPr>
              <w:rPr>
                <w:rFonts w:cs="Calibri"/>
                <w:sz w:val="16"/>
                <w:szCs w:val="16"/>
              </w:rPr>
            </w:pPr>
            <w:r>
              <w:rPr>
                <w:rFonts w:cs="Calibri"/>
                <w:sz w:val="16"/>
                <w:szCs w:val="16"/>
              </w:rPr>
              <w:t>Identification of the targeted eUICC.</w:t>
            </w:r>
          </w:p>
          <w:p w14:paraId="3E049E93" w14:textId="54DF2C9D"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_Ref367974045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244509B"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1D53708"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BACF6E4" w14:textId="77777777" w:rsidR="00B97365" w:rsidRDefault="00000000">
            <w:pPr>
              <w:jc w:val="center"/>
              <w:rPr>
                <w:rFonts w:cs="Calibri"/>
                <w:sz w:val="16"/>
                <w:szCs w:val="16"/>
              </w:rPr>
            </w:pPr>
            <w:r>
              <w:rPr>
                <w:rFonts w:cs="Calibri"/>
                <w:sz w:val="16"/>
                <w:szCs w:val="16"/>
              </w:rPr>
              <w:t>M</w:t>
            </w:r>
          </w:p>
        </w:tc>
      </w:tr>
      <w:tr w:rsidR="00B97365" w14:paraId="2D26D31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56059370" w14:textId="77777777" w:rsidR="00B97365" w:rsidRDefault="00000000">
            <w:pPr>
              <w:rPr>
                <w:rFonts w:cs="Calibri"/>
                <w:sz w:val="16"/>
                <w:szCs w:val="16"/>
              </w:rPr>
            </w:pPr>
            <w:r>
              <w:rPr>
                <w:rFonts w:cs="Calibri"/>
                <w:sz w:val="16"/>
                <w:szCs w:val="16"/>
              </w:rPr>
              <w:t>smsr-id</w:t>
            </w:r>
          </w:p>
        </w:tc>
        <w:tc>
          <w:tcPr>
            <w:tcW w:w="0" w:type="auto"/>
            <w:tcBorders>
              <w:top w:val="single" w:sz="6" w:space="0" w:color="auto"/>
              <w:left w:val="single" w:sz="6" w:space="0" w:color="auto"/>
              <w:bottom w:val="single" w:sz="6" w:space="0" w:color="auto"/>
              <w:right w:val="single" w:sz="6" w:space="0" w:color="auto"/>
            </w:tcBorders>
            <w:hideMark/>
          </w:tcPr>
          <w:p w14:paraId="2EF61CB6" w14:textId="77777777" w:rsidR="00B97365" w:rsidRDefault="00000000">
            <w:pPr>
              <w:rPr>
                <w:rFonts w:eastAsia="Times New Roman" w:cs="Calibri"/>
                <w:sz w:val="16"/>
                <w:szCs w:val="16"/>
              </w:rPr>
            </w:pPr>
            <w:r>
              <w:rPr>
                <w:rFonts w:cs="Calibri"/>
                <w:sz w:val="16"/>
                <w:szCs w:val="16"/>
                <w:lang w:val="en-US"/>
              </w:rPr>
              <w:t xml:space="preserve">Identification of the SM-SR currently in charge of eUICC management. </w:t>
            </w:r>
          </w:p>
          <w:p w14:paraId="32B8309C" w14:textId="77777777" w:rsidR="00B97365" w:rsidRDefault="00000000">
            <w:pPr>
              <w:rPr>
                <w:rFonts w:cs="Calibri"/>
                <w:sz w:val="16"/>
                <w:szCs w:val="16"/>
              </w:rPr>
            </w:pPr>
            <w:r>
              <w:rPr>
                <w:rFonts w:cs="Calibri"/>
                <w:sz w:val="16"/>
                <w:szCs w:val="16"/>
                <w:lang w:val="en-US"/>
              </w:rPr>
              <w:t>This information may change during the eUICC’s lifetime.</w:t>
            </w:r>
          </w:p>
        </w:tc>
        <w:tc>
          <w:tcPr>
            <w:tcW w:w="0" w:type="auto"/>
            <w:tcBorders>
              <w:top w:val="single" w:sz="6" w:space="0" w:color="auto"/>
              <w:left w:val="single" w:sz="6" w:space="0" w:color="auto"/>
              <w:bottom w:val="single" w:sz="6" w:space="0" w:color="auto"/>
              <w:right w:val="single" w:sz="6" w:space="0" w:color="auto"/>
            </w:tcBorders>
            <w:hideMark/>
          </w:tcPr>
          <w:p w14:paraId="5F2D96E1" w14:textId="77777777" w:rsidR="00B97365" w:rsidRDefault="00000000">
            <w:pPr>
              <w:jc w:val="center"/>
              <w:rPr>
                <w:rFonts w:cs="Calibri"/>
                <w:sz w:val="16"/>
                <w:szCs w:val="16"/>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hideMark/>
          </w:tcPr>
          <w:p w14:paraId="73021724" w14:textId="77777777" w:rsidR="00B97365" w:rsidRDefault="00000000">
            <w:pPr>
              <w:jc w:val="center"/>
              <w:rPr>
                <w:rFonts w:cs="Calibri"/>
                <w:sz w:val="16"/>
                <w:szCs w:val="16"/>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323EC560" w14:textId="77777777" w:rsidR="00B97365" w:rsidRDefault="00000000">
            <w:pPr>
              <w:jc w:val="center"/>
              <w:rPr>
                <w:rFonts w:cs="Calibri"/>
                <w:sz w:val="16"/>
                <w:szCs w:val="16"/>
                <w:lang w:val="en-US"/>
              </w:rPr>
            </w:pPr>
            <w:r>
              <w:rPr>
                <w:rFonts w:cs="Calibri"/>
                <w:sz w:val="16"/>
                <w:szCs w:val="16"/>
                <w:lang w:val="en-US"/>
              </w:rPr>
              <w:t>M</w:t>
            </w:r>
          </w:p>
        </w:tc>
      </w:tr>
      <w:tr w:rsidR="00B97365" w14:paraId="6DBBA722"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57DADD7" w14:textId="77777777" w:rsidR="00B97365" w:rsidRDefault="00000000">
            <w:pP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0182F4B0" w14:textId="77777777" w:rsidR="00B97365" w:rsidRDefault="00000000">
            <w:pPr>
              <w:rPr>
                <w:rFonts w:cs="Calibri"/>
                <w:sz w:val="16"/>
                <w:szCs w:val="16"/>
              </w:rPr>
            </w:pPr>
            <w:r>
              <w:rPr>
                <w:rFonts w:cs="Calibri"/>
                <w:sz w:val="16"/>
                <w:szCs w:val="16"/>
              </w:rPr>
              <w:t>Identification of the Profile to disable.</w:t>
            </w:r>
          </w:p>
          <w:p w14:paraId="17F1C6C7" w14:textId="17C555C6"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_Ref367974052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16374AC"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4F7FA830"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F641662" w14:textId="77777777" w:rsidR="00B97365" w:rsidRDefault="00000000">
            <w:pPr>
              <w:jc w:val="center"/>
              <w:rPr>
                <w:rFonts w:cs="Calibri"/>
                <w:sz w:val="16"/>
                <w:szCs w:val="16"/>
              </w:rPr>
            </w:pPr>
            <w:r>
              <w:rPr>
                <w:rFonts w:cs="Calibri"/>
                <w:sz w:val="16"/>
                <w:szCs w:val="16"/>
              </w:rPr>
              <w:t>M</w:t>
            </w:r>
          </w:p>
        </w:tc>
      </w:tr>
    </w:tbl>
    <w:p w14:paraId="5307B52B"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Disable Profile Additional Input Data</w:t>
      </w:r>
    </w:p>
    <w:p w14:paraId="69BE0929" w14:textId="77777777" w:rsidR="00B97365" w:rsidRDefault="00000000">
      <w:pPr>
        <w:spacing w:before="0" w:after="200" w:line="276" w:lineRule="auto"/>
        <w:jc w:val="left"/>
        <w:rPr>
          <w:b/>
          <w:i/>
          <w:szCs w:val="22"/>
          <w:lang w:val="en-US" w:eastAsia="en-GB" w:bidi="ar-SA"/>
        </w:rPr>
      </w:pPr>
      <w:bookmarkStart w:id="3468" w:name="_Toc420594736"/>
      <w:r>
        <w:rPr>
          <w:rFonts w:cs="Arial"/>
          <w:b/>
          <w:i/>
          <w:szCs w:val="22"/>
          <w:lang w:val="en-US" w:eastAsia="en-GB" w:bidi="ar-SA"/>
        </w:rPr>
        <w:t>Additional output data:</w:t>
      </w:r>
      <w:bookmarkEnd w:id="3468"/>
    </w:p>
    <w:p w14:paraId="3A72623B" w14:textId="77777777" w:rsidR="00B97365" w:rsidRDefault="00000000">
      <w:pPr>
        <w:spacing w:before="0" w:after="200" w:line="276" w:lineRule="auto"/>
        <w:jc w:val="left"/>
        <w:rPr>
          <w:szCs w:val="22"/>
          <w:lang w:val="en-US" w:eastAsia="en-GB" w:bidi="ar-SA"/>
        </w:rPr>
      </w:pPr>
      <w:bookmarkStart w:id="3469" w:name="_Toc420594737"/>
      <w:r>
        <w:rPr>
          <w:rFonts w:cs="Arial"/>
          <w:szCs w:val="22"/>
          <w:lang w:val="en-US" w:eastAsia="en-GB" w:bidi="ar-SA"/>
        </w:rPr>
        <w:t>None</w:t>
      </w:r>
      <w:bookmarkEnd w:id="3469"/>
    </w:p>
    <w:p w14:paraId="512F4055" w14:textId="77777777" w:rsidR="00B97365" w:rsidRDefault="00000000">
      <w:pPr>
        <w:spacing w:before="0" w:after="200" w:line="276" w:lineRule="auto"/>
        <w:jc w:val="left"/>
        <w:rPr>
          <w:b/>
          <w:i/>
          <w:szCs w:val="22"/>
          <w:lang w:val="en-US" w:eastAsia="en-GB" w:bidi="ar-SA"/>
        </w:rPr>
      </w:pPr>
      <w:bookmarkStart w:id="3470" w:name="_Toc420594738"/>
      <w:r>
        <w:rPr>
          <w:rFonts w:cs="Arial"/>
          <w:b/>
          <w:i/>
          <w:szCs w:val="22"/>
          <w:lang w:val="en-US" w:eastAsia="en-GB" w:bidi="ar-SA"/>
        </w:rPr>
        <w:t>Specific status codes</w:t>
      </w:r>
      <w:bookmarkEnd w:id="347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718"/>
        <w:gridCol w:w="718"/>
        <w:gridCol w:w="808"/>
        <w:gridCol w:w="6054"/>
      </w:tblGrid>
      <w:tr w:rsidR="00B97365" w14:paraId="24A71CF7"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CC3E0FC" w14:textId="77777777" w:rsidR="00B97365" w:rsidRDefault="00000000">
            <w:pPr>
              <w:jc w:val="center"/>
              <w:rPr>
                <w:rFonts w:cs="Calibri"/>
                <w:b/>
                <w:color w:val="FFFFFF"/>
                <w:sz w:val="16"/>
                <w:szCs w:val="16"/>
              </w:rPr>
            </w:pPr>
            <w:r>
              <w:rPr>
                <w:rFonts w:cs="Calibri"/>
                <w:b/>
                <w:color w:val="FFFFFF"/>
                <w:sz w:val="16"/>
                <w:szCs w:val="16"/>
              </w:rPr>
              <w:t>Subject</w:t>
            </w:r>
          </w:p>
          <w:p w14:paraId="219AF0CD"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014A65D"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33F18F9" w14:textId="77777777" w:rsidR="00B97365" w:rsidRDefault="00000000">
            <w:pPr>
              <w:jc w:val="center"/>
              <w:rPr>
                <w:rFonts w:cs="Calibri"/>
                <w:b/>
                <w:color w:val="FFFFFF"/>
                <w:sz w:val="16"/>
                <w:szCs w:val="16"/>
              </w:rPr>
            </w:pPr>
            <w:r>
              <w:rPr>
                <w:rFonts w:cs="Calibri"/>
                <w:b/>
                <w:color w:val="FFFFFF"/>
                <w:sz w:val="16"/>
                <w:szCs w:val="16"/>
              </w:rPr>
              <w:t>Reason</w:t>
            </w:r>
          </w:p>
          <w:p w14:paraId="66ADE478"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822AB88"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51B5560"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5A19F15A"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3A0F0872" w14:textId="77777777" w:rsidR="00B97365" w:rsidRDefault="00000000">
            <w:pPr>
              <w:rPr>
                <w:rFonts w:cs="Calibri"/>
                <w:sz w:val="16"/>
                <w:szCs w:val="16"/>
              </w:rPr>
            </w:pPr>
            <w:r>
              <w:rPr>
                <w:rFonts w:cs="Calibri"/>
                <w:sz w:val="16"/>
                <w:szCs w:val="16"/>
              </w:rPr>
              <w:t>8.7</w:t>
            </w:r>
          </w:p>
        </w:tc>
        <w:tc>
          <w:tcPr>
            <w:tcW w:w="0" w:type="auto"/>
            <w:tcBorders>
              <w:top w:val="single" w:sz="6" w:space="0" w:color="auto"/>
              <w:left w:val="single" w:sz="6" w:space="0" w:color="auto"/>
              <w:bottom w:val="single" w:sz="4" w:space="0" w:color="auto"/>
              <w:right w:val="single" w:sz="6" w:space="0" w:color="auto"/>
            </w:tcBorders>
            <w:vAlign w:val="center"/>
            <w:hideMark/>
          </w:tcPr>
          <w:p w14:paraId="6DC3D9A6" w14:textId="77777777" w:rsidR="00B97365" w:rsidRDefault="00000000">
            <w:pPr>
              <w:spacing w:after="60"/>
              <w:rPr>
                <w:rFonts w:cs="Calibri"/>
                <w:sz w:val="16"/>
                <w:szCs w:val="16"/>
                <w:lang w:val="en-US"/>
              </w:rPr>
            </w:pPr>
            <w:r>
              <w:rPr>
                <w:rFonts w:cs="Calibri"/>
                <w:sz w:val="16"/>
                <w:szCs w:val="16"/>
                <w:lang w:val="en-US"/>
              </w:rPr>
              <w:t>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0D81A626" w14:textId="77777777" w:rsidR="00B97365" w:rsidRDefault="00000000">
            <w:pPr>
              <w:spacing w:after="60"/>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4" w:space="0" w:color="auto"/>
              <w:right w:val="single" w:sz="6" w:space="0" w:color="auto"/>
            </w:tcBorders>
            <w:vAlign w:val="center"/>
            <w:hideMark/>
          </w:tcPr>
          <w:p w14:paraId="41CFC88F" w14:textId="77777777" w:rsidR="00B97365" w:rsidRDefault="00000000">
            <w:pPr>
              <w:spacing w:after="60"/>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4" w:space="0" w:color="auto"/>
              <w:right w:val="single" w:sz="4" w:space="0" w:color="auto"/>
            </w:tcBorders>
            <w:vAlign w:val="center"/>
            <w:hideMark/>
          </w:tcPr>
          <w:p w14:paraId="5B4DFE19" w14:textId="77777777" w:rsidR="00B97365" w:rsidRDefault="00000000">
            <w:pPr>
              <w:spacing w:after="60"/>
              <w:rPr>
                <w:rFonts w:cs="Calibri"/>
                <w:sz w:val="16"/>
                <w:szCs w:val="16"/>
                <w:lang w:val="en-US"/>
              </w:rPr>
            </w:pPr>
            <w:r>
              <w:rPr>
                <w:rFonts w:cs="Calibri"/>
                <w:sz w:val="16"/>
                <w:szCs w:val="16"/>
              </w:rPr>
              <w:t>Indicates that the SM-SR, identified by this smsr-id, is unknown to or whose address cannot be solved by the SM-SR</w:t>
            </w:r>
          </w:p>
        </w:tc>
      </w:tr>
    </w:tbl>
    <w:p w14:paraId="304CF598"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Disable Profile Specific Status Codes</w:t>
      </w:r>
    </w:p>
    <w:p w14:paraId="13769147" w14:textId="77777777" w:rsidR="00B97365" w:rsidRDefault="00B97365">
      <w:pPr>
        <w:jc w:val="center"/>
        <w:rPr>
          <w:rFonts w:cs="Calibri"/>
        </w:rPr>
      </w:pPr>
    </w:p>
    <w:p w14:paraId="46B00817"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471" w:name="_Toc448998262"/>
      <w:bookmarkStart w:id="3472" w:name="_Toc422150738"/>
      <w:bookmarkStart w:id="3473" w:name="_Toc421874323"/>
      <w:bookmarkStart w:id="3474" w:name="_Toc420594739"/>
      <w:bookmarkStart w:id="3475" w:name="_Toc398214864"/>
      <w:bookmarkStart w:id="3476" w:name="_Toc375158280"/>
      <w:bookmarkStart w:id="3477" w:name="_Toc368932289"/>
      <w:bookmarkStart w:id="3478" w:name="_Ref367978320"/>
      <w:bookmarkStart w:id="3479" w:name="_Ref367978271"/>
      <w:bookmarkStart w:id="3480" w:name="_Toc486332880"/>
      <w:bookmarkStart w:id="3481" w:name="_Toc1977358"/>
      <w:bookmarkStart w:id="3482" w:name="_Toc37062517"/>
      <w:bookmarkStart w:id="3483" w:name="_Toc88839591"/>
      <w:bookmarkStart w:id="3484" w:name="_Toc121503999"/>
      <w:r>
        <w:rPr>
          <w:rFonts w:eastAsia="Times New Roman" w:cs="Arial"/>
          <w:b/>
          <w:bCs/>
          <w:iCs/>
          <w:sz w:val="24"/>
          <w:szCs w:val="26"/>
          <w:lang w:eastAsia="en-US"/>
        </w:rPr>
        <w:lastRenderedPageBreak/>
        <w:t>Delete a Profile</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14:paraId="6A33362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DeleteProfile</w:t>
      </w:r>
    </w:p>
    <w:p w14:paraId="49B0F07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and ISD-P Deletion</w:t>
      </w:r>
    </w:p>
    <w:p w14:paraId="2406334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1CEA75D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69B7E91C" w14:textId="0B98C16F"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Operator to request deletion of the target ISD-P with the Profile to the SM-DP; eUICC being identified by its EID. The SM-DP SHALL forward the function request to the SM-SR “</w:t>
      </w:r>
      <w:r>
        <w:rPr>
          <w:b/>
          <w:szCs w:val="22"/>
          <w:lang w:val="en-US" w:eastAsia="en-GB" w:bidi="ar-SA"/>
        </w:rPr>
        <w:t>ES3.DeleteISDP</w:t>
      </w:r>
      <w:r>
        <w:rPr>
          <w:szCs w:val="22"/>
          <w:lang w:val="en-US" w:eastAsia="en-GB" w:bidi="ar-SA"/>
        </w:rPr>
        <w:t xml:space="preserve">” as defined in section </w:t>
      </w:r>
      <w:r>
        <w:fldChar w:fldCharType="begin"/>
      </w:r>
      <w:r>
        <w:instrText xml:space="preserve"> REF _Ref367974078 \r \h  \* MERGEFORMAT </w:instrText>
      </w:r>
      <w:r>
        <w:fldChar w:fldCharType="separate"/>
      </w:r>
      <w:r w:rsidR="001D5AD9" w:rsidRPr="001D5AD9">
        <w:rPr>
          <w:szCs w:val="22"/>
          <w:lang w:val="en-US" w:eastAsia="en-GB" w:bidi="ar-SA"/>
        </w:rPr>
        <w:t>5.4.10</w:t>
      </w:r>
      <w:r>
        <w:fldChar w:fldCharType="end"/>
      </w:r>
      <w:r>
        <w:rPr>
          <w:szCs w:val="22"/>
          <w:lang w:val="en-US" w:eastAsia="en-GB" w:bidi="ar-SA"/>
        </w:rPr>
        <w:t>.</w:t>
      </w:r>
    </w:p>
    <w:p w14:paraId="4F76CADC" w14:textId="77777777" w:rsidR="00B97365" w:rsidRDefault="00000000">
      <w:pPr>
        <w:spacing w:before="0" w:after="200" w:line="276" w:lineRule="auto"/>
        <w:jc w:val="left"/>
        <w:rPr>
          <w:b/>
          <w:i/>
          <w:szCs w:val="22"/>
          <w:lang w:val="en-US" w:eastAsia="en-GB" w:bidi="ar-SA"/>
        </w:rPr>
      </w:pPr>
      <w:bookmarkStart w:id="3485" w:name="_Toc420594740"/>
      <w:r>
        <w:rPr>
          <w:rFonts w:cs="Arial"/>
          <w:b/>
          <w:i/>
          <w:szCs w:val="22"/>
          <w:lang w:val="en-US" w:eastAsia="en-GB" w:bidi="ar-SA"/>
        </w:rPr>
        <w:t>Additional input data:</w:t>
      </w:r>
      <w:bookmarkEnd w:id="348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17"/>
        <w:gridCol w:w="5129"/>
        <w:gridCol w:w="576"/>
        <w:gridCol w:w="398"/>
        <w:gridCol w:w="514"/>
      </w:tblGrid>
      <w:tr w:rsidR="00B97365" w14:paraId="17C2B6D4"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B514526"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7D67383"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91A1E9E"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A154574"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D163381"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6E6C30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3ECAA20"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9474F90" w14:textId="77777777" w:rsidR="00B97365" w:rsidRDefault="00000000">
            <w:pPr>
              <w:rPr>
                <w:rFonts w:cs="Calibri"/>
                <w:sz w:val="16"/>
                <w:szCs w:val="16"/>
              </w:rPr>
            </w:pPr>
            <w:r>
              <w:rPr>
                <w:rFonts w:cs="Calibri"/>
                <w:sz w:val="16"/>
                <w:szCs w:val="16"/>
              </w:rPr>
              <w:t>Identification of the targeted eUICC.</w:t>
            </w:r>
          </w:p>
          <w:p w14:paraId="4FC41B28" w14:textId="3233D93F"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_Ref367974108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152B130" w14:textId="77777777" w:rsidR="00B97365" w:rsidRDefault="00000000">
            <w:pPr>
              <w:keepNext/>
              <w:keepLines/>
              <w:tabs>
                <w:tab w:val="num" w:pos="1152"/>
              </w:tabs>
              <w:spacing w:after="140" w:line="260" w:lineRule="atLeast"/>
              <w:ind w:left="1152" w:hanging="1152"/>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C64483E" w14:textId="77777777" w:rsidR="00B97365" w:rsidRDefault="00000000">
            <w:pPr>
              <w:keepNext/>
              <w:keepLines/>
              <w:tabs>
                <w:tab w:val="num" w:pos="1152"/>
              </w:tabs>
              <w:spacing w:after="140" w:line="260" w:lineRule="atLeast"/>
              <w:ind w:left="1152" w:hanging="1152"/>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E344924" w14:textId="77777777" w:rsidR="00B97365" w:rsidRDefault="00000000">
            <w:pPr>
              <w:keepNext/>
              <w:keepLines/>
              <w:tabs>
                <w:tab w:val="num" w:pos="1152"/>
              </w:tabs>
              <w:spacing w:after="140" w:line="260" w:lineRule="atLeast"/>
              <w:ind w:left="1152" w:hanging="1152"/>
              <w:jc w:val="center"/>
              <w:rPr>
                <w:rFonts w:cs="Calibri"/>
                <w:sz w:val="16"/>
                <w:szCs w:val="16"/>
              </w:rPr>
            </w:pPr>
            <w:r>
              <w:rPr>
                <w:rFonts w:cs="Calibri"/>
                <w:sz w:val="16"/>
                <w:szCs w:val="16"/>
              </w:rPr>
              <w:t>M</w:t>
            </w:r>
          </w:p>
        </w:tc>
      </w:tr>
      <w:tr w:rsidR="00B97365" w14:paraId="75E42F6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DD46199" w14:textId="77777777" w:rsidR="00B97365" w:rsidRDefault="00000000">
            <w:pPr>
              <w:keepNext/>
              <w:keepLines/>
              <w:tabs>
                <w:tab w:val="num" w:pos="1152"/>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7B0E8D9" w14:textId="77777777" w:rsidR="00B97365" w:rsidRDefault="00000000">
            <w:pPr>
              <w:keepNext/>
              <w:keepLines/>
              <w:tabs>
                <w:tab w:val="num" w:pos="1152"/>
              </w:tabs>
              <w:spacing w:after="140" w:line="260" w:lineRule="atLeast"/>
              <w:ind w:left="1152" w:hanging="1152"/>
              <w:rPr>
                <w:rFonts w:cs="Calibri"/>
                <w:sz w:val="16"/>
                <w:szCs w:val="16"/>
              </w:rPr>
            </w:pPr>
            <w:r>
              <w:rPr>
                <w:rFonts w:cs="Calibri"/>
                <w:sz w:val="16"/>
                <w:szCs w:val="16"/>
              </w:rPr>
              <w:t>Identification of the Profile to disable.</w:t>
            </w:r>
          </w:p>
          <w:p w14:paraId="48E1A47F" w14:textId="58228B85" w:rsidR="00B97365" w:rsidRDefault="00000000">
            <w:pPr>
              <w:keepNext/>
              <w:keepLines/>
              <w:tabs>
                <w:tab w:val="num" w:pos="1152"/>
              </w:tabs>
              <w:spacing w:after="140" w:line="260" w:lineRule="atLeast"/>
              <w:ind w:left="1152" w:hanging="1152"/>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_Ref367974119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37089E9" w14:textId="77777777" w:rsidR="00B97365" w:rsidRDefault="00000000">
            <w:pPr>
              <w:spacing w:before="140" w:after="120" w:line="260" w:lineRule="atLeast"/>
              <w:ind w:left="1531" w:hanging="1531"/>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F676717" w14:textId="77777777" w:rsidR="00B97365" w:rsidRDefault="00000000">
            <w:pPr>
              <w:spacing w:before="140" w:after="120" w:line="260" w:lineRule="atLeast"/>
              <w:ind w:left="1531" w:hanging="1531"/>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CEAC715" w14:textId="77777777" w:rsidR="00B97365" w:rsidRDefault="00000000">
            <w:pPr>
              <w:spacing w:before="140" w:after="120" w:line="260" w:lineRule="atLeast"/>
              <w:ind w:left="1531" w:hanging="1531"/>
              <w:jc w:val="center"/>
              <w:rPr>
                <w:rFonts w:cs="Calibri"/>
                <w:sz w:val="16"/>
                <w:szCs w:val="16"/>
              </w:rPr>
            </w:pPr>
            <w:r>
              <w:rPr>
                <w:rFonts w:cs="Calibri"/>
                <w:sz w:val="16"/>
                <w:szCs w:val="16"/>
              </w:rPr>
              <w:t>M</w:t>
            </w:r>
          </w:p>
        </w:tc>
      </w:tr>
      <w:tr w:rsidR="00B97365" w14:paraId="5BF0BAEA"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hideMark/>
          </w:tcPr>
          <w:p w14:paraId="4DFBFDF4" w14:textId="77777777" w:rsidR="00B97365" w:rsidRDefault="00000000">
            <w:pPr>
              <w:keepNext/>
              <w:keepLines/>
              <w:tabs>
                <w:tab w:val="num" w:pos="1152"/>
              </w:tabs>
              <w:spacing w:line="260" w:lineRule="atLeast"/>
              <w:ind w:left="1152" w:hanging="1152"/>
              <w:rPr>
                <w:rFonts w:cs="Calibri"/>
                <w:sz w:val="16"/>
                <w:szCs w:val="16"/>
              </w:rPr>
            </w:pPr>
            <w:r>
              <w:rPr>
                <w:rFonts w:cs="Calibri"/>
                <w:sz w:val="16"/>
                <w:szCs w:val="16"/>
              </w:rPr>
              <w:t>smsr-id</w:t>
            </w:r>
          </w:p>
        </w:tc>
        <w:tc>
          <w:tcPr>
            <w:tcW w:w="0" w:type="auto"/>
            <w:tcBorders>
              <w:top w:val="single" w:sz="6" w:space="0" w:color="auto"/>
              <w:left w:val="single" w:sz="6" w:space="0" w:color="auto"/>
              <w:bottom w:val="single" w:sz="4" w:space="0" w:color="auto"/>
              <w:right w:val="single" w:sz="6" w:space="0" w:color="auto"/>
            </w:tcBorders>
            <w:hideMark/>
          </w:tcPr>
          <w:p w14:paraId="574A4AA3" w14:textId="77777777" w:rsidR="00B97365" w:rsidRDefault="00000000">
            <w:pPr>
              <w:rPr>
                <w:rFonts w:eastAsia="Times New Roman" w:cs="Calibri"/>
                <w:sz w:val="16"/>
                <w:szCs w:val="16"/>
              </w:rPr>
            </w:pPr>
            <w:r>
              <w:rPr>
                <w:rFonts w:cs="Calibri"/>
                <w:sz w:val="16"/>
                <w:szCs w:val="16"/>
                <w:lang w:val="en-US"/>
              </w:rPr>
              <w:t xml:space="preserve">Identification of the SM-SR currently in charge of eUICC management. </w:t>
            </w:r>
          </w:p>
          <w:p w14:paraId="581E369D" w14:textId="77777777" w:rsidR="00B97365" w:rsidRDefault="00000000">
            <w:pPr>
              <w:keepNext/>
              <w:keepLines/>
              <w:tabs>
                <w:tab w:val="num" w:pos="1152"/>
              </w:tabs>
              <w:spacing w:after="140" w:line="260" w:lineRule="atLeast"/>
              <w:ind w:left="1152" w:hanging="1152"/>
              <w:rPr>
                <w:rFonts w:cs="Calibri"/>
                <w:sz w:val="16"/>
                <w:szCs w:val="16"/>
              </w:rPr>
            </w:pPr>
            <w:r>
              <w:rPr>
                <w:rFonts w:cs="Calibri"/>
                <w:sz w:val="16"/>
                <w:szCs w:val="16"/>
                <w:lang w:val="en-US"/>
              </w:rPr>
              <w:t>This information may change during the eUICC’s lifetime.</w:t>
            </w:r>
          </w:p>
        </w:tc>
        <w:tc>
          <w:tcPr>
            <w:tcW w:w="0" w:type="auto"/>
            <w:tcBorders>
              <w:top w:val="single" w:sz="6" w:space="0" w:color="auto"/>
              <w:left w:val="single" w:sz="6" w:space="0" w:color="auto"/>
              <w:bottom w:val="single" w:sz="4" w:space="0" w:color="auto"/>
              <w:right w:val="single" w:sz="6" w:space="0" w:color="auto"/>
            </w:tcBorders>
            <w:hideMark/>
          </w:tcPr>
          <w:p w14:paraId="1A22185A" w14:textId="77777777" w:rsidR="00B97365" w:rsidRDefault="00000000">
            <w:pPr>
              <w:spacing w:before="140" w:after="120" w:line="260" w:lineRule="atLeast"/>
              <w:ind w:left="1531" w:hanging="1531"/>
              <w:jc w:val="center"/>
              <w:rPr>
                <w:rFonts w:cs="Calibri"/>
                <w:sz w:val="16"/>
                <w:szCs w:val="16"/>
              </w:rPr>
            </w:pPr>
            <w:r>
              <w:rPr>
                <w:rFonts w:cs="Calibri"/>
                <w:sz w:val="16"/>
                <w:szCs w:val="16"/>
                <w:lang w:val="en-US"/>
              </w:rPr>
              <w:t>OID</w:t>
            </w:r>
          </w:p>
        </w:tc>
        <w:tc>
          <w:tcPr>
            <w:tcW w:w="0" w:type="auto"/>
            <w:tcBorders>
              <w:top w:val="single" w:sz="6" w:space="0" w:color="auto"/>
              <w:left w:val="single" w:sz="6" w:space="0" w:color="auto"/>
              <w:bottom w:val="single" w:sz="4" w:space="0" w:color="auto"/>
              <w:right w:val="single" w:sz="6" w:space="0" w:color="auto"/>
            </w:tcBorders>
            <w:hideMark/>
          </w:tcPr>
          <w:p w14:paraId="290CFD14" w14:textId="77777777" w:rsidR="00B97365" w:rsidRDefault="00000000">
            <w:pPr>
              <w:spacing w:before="140" w:after="120" w:line="260" w:lineRule="atLeast"/>
              <w:ind w:left="1531" w:hanging="1531"/>
              <w:jc w:val="center"/>
              <w:rPr>
                <w:rFonts w:cs="Calibri"/>
                <w:sz w:val="16"/>
                <w:szCs w:val="16"/>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hideMark/>
          </w:tcPr>
          <w:p w14:paraId="7255AD92"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3D3F8D08"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Profile Additional Input Data</w:t>
      </w:r>
    </w:p>
    <w:p w14:paraId="4A124692" w14:textId="77777777" w:rsidR="00B97365" w:rsidRDefault="00000000">
      <w:pPr>
        <w:spacing w:before="0" w:after="200" w:line="276" w:lineRule="auto"/>
        <w:jc w:val="left"/>
        <w:rPr>
          <w:b/>
          <w:i/>
          <w:szCs w:val="22"/>
          <w:lang w:val="en-US" w:eastAsia="en-GB" w:bidi="ar-SA"/>
        </w:rPr>
      </w:pPr>
      <w:bookmarkStart w:id="3486" w:name="_Toc420594741"/>
      <w:r>
        <w:rPr>
          <w:rFonts w:cs="Arial"/>
          <w:b/>
          <w:i/>
          <w:szCs w:val="22"/>
          <w:lang w:val="en-US" w:eastAsia="en-GB" w:bidi="ar-SA"/>
        </w:rPr>
        <w:t>Additional output data:</w:t>
      </w:r>
      <w:bookmarkEnd w:id="3486"/>
    </w:p>
    <w:p w14:paraId="3A2A20A3" w14:textId="77777777" w:rsidR="00B97365" w:rsidRDefault="00000000">
      <w:pPr>
        <w:spacing w:before="0" w:after="200" w:line="276" w:lineRule="auto"/>
        <w:jc w:val="left"/>
        <w:rPr>
          <w:szCs w:val="22"/>
          <w:lang w:val="en-US" w:eastAsia="en-GB" w:bidi="ar-SA"/>
        </w:rPr>
      </w:pPr>
      <w:bookmarkStart w:id="3487" w:name="_Toc420594742"/>
      <w:r>
        <w:rPr>
          <w:rFonts w:cs="Arial"/>
          <w:szCs w:val="22"/>
          <w:lang w:val="en-US" w:eastAsia="en-GB" w:bidi="ar-SA"/>
        </w:rPr>
        <w:t>None</w:t>
      </w:r>
      <w:bookmarkEnd w:id="3487"/>
    </w:p>
    <w:p w14:paraId="7D32DFA2" w14:textId="77777777" w:rsidR="00B97365" w:rsidRDefault="00B97365">
      <w:pPr>
        <w:spacing w:before="0"/>
        <w:jc w:val="left"/>
        <w:rPr>
          <w:rFonts w:cs="Arial"/>
          <w:b/>
          <w:i/>
          <w:szCs w:val="22"/>
          <w:lang w:val="en-US" w:eastAsia="en-GB" w:bidi="ar-SA"/>
        </w:rPr>
      </w:pPr>
    </w:p>
    <w:p w14:paraId="23BA4290" w14:textId="77777777" w:rsidR="00B97365" w:rsidRDefault="00000000">
      <w:pPr>
        <w:spacing w:before="0" w:after="200" w:line="276" w:lineRule="auto"/>
        <w:jc w:val="left"/>
        <w:rPr>
          <w:b/>
          <w:i/>
          <w:szCs w:val="22"/>
          <w:lang w:val="en-US" w:eastAsia="en-GB" w:bidi="ar-SA"/>
        </w:rPr>
      </w:pPr>
      <w:bookmarkStart w:id="3488" w:name="_Toc420594743"/>
      <w:r>
        <w:rPr>
          <w:rFonts w:cs="Arial"/>
          <w:b/>
          <w:i/>
          <w:szCs w:val="22"/>
          <w:lang w:val="en-US" w:eastAsia="en-GB" w:bidi="ar-SA"/>
        </w:rPr>
        <w:t>Specific status codes</w:t>
      </w:r>
      <w:bookmarkEnd w:id="3488"/>
    </w:p>
    <w:p w14:paraId="3B9859C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In addition to those returned by </w:t>
      </w:r>
      <w:r>
        <w:rPr>
          <w:rFonts w:cs="Arial"/>
          <w:b/>
          <w:szCs w:val="22"/>
          <w:lang w:val="en-US" w:eastAsia="en-GB" w:bidi="ar-SA"/>
        </w:rPr>
        <w:t>ES3.DeleteISDP</w:t>
      </w:r>
      <w:r>
        <w:rPr>
          <w:rFonts w:cs="Arial"/>
          <w:szCs w:val="22"/>
          <w:lang w:val="en-US" w:eastAsia="en-GB" w:bidi="ar-SA"/>
        </w:rPr>
        <w:t>, this function may return: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718"/>
        <w:gridCol w:w="718"/>
        <w:gridCol w:w="808"/>
        <w:gridCol w:w="6054"/>
      </w:tblGrid>
      <w:tr w:rsidR="00B97365" w14:paraId="29A7D3C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EB88AAB"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p w14:paraId="68ACB37C"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46E956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16780B0"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p w14:paraId="5AC0D712"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307C666"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C53105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Description</w:t>
            </w:r>
          </w:p>
        </w:tc>
      </w:tr>
      <w:tr w:rsidR="00B97365" w14:paraId="510980BB" w14:textId="77777777">
        <w:trPr>
          <w:trHeight w:val="342"/>
          <w:jc w:val="center"/>
        </w:trPr>
        <w:tc>
          <w:tcPr>
            <w:tcW w:w="0" w:type="auto"/>
            <w:tcBorders>
              <w:top w:val="single" w:sz="6" w:space="0" w:color="auto"/>
              <w:left w:val="single" w:sz="4" w:space="0" w:color="auto"/>
              <w:bottom w:val="single" w:sz="4" w:space="0" w:color="auto"/>
              <w:right w:val="single" w:sz="6" w:space="0" w:color="auto"/>
            </w:tcBorders>
            <w:shd w:val="clear" w:color="auto" w:fill="FFFFFF"/>
            <w:vAlign w:val="center"/>
            <w:hideMark/>
          </w:tcPr>
          <w:p w14:paraId="2673FC7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8.7</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hideMark/>
          </w:tcPr>
          <w:p w14:paraId="4AA846A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SM-SR</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hideMark/>
          </w:tcPr>
          <w:p w14:paraId="34AB591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3.9</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hideMark/>
          </w:tcPr>
          <w:p w14:paraId="2C84F0A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center"/>
            <w:hideMark/>
          </w:tcPr>
          <w:p w14:paraId="03117D88" w14:textId="77777777" w:rsidR="00B97365" w:rsidRDefault="00000000">
            <w:pPr>
              <w:spacing w:before="0" w:after="200" w:line="276" w:lineRule="auto"/>
              <w:jc w:val="left"/>
              <w:rPr>
                <w:rFonts w:cs="Calibri"/>
                <w:sz w:val="16"/>
                <w:szCs w:val="16"/>
                <w:lang w:eastAsia="en-GB" w:bidi="ar-SA"/>
              </w:rPr>
            </w:pPr>
            <w:r>
              <w:rPr>
                <w:rFonts w:cs="Arial"/>
                <w:sz w:val="16"/>
                <w:szCs w:val="16"/>
                <w:lang w:val="en-US" w:eastAsia="en-GB" w:bidi="ar-SA"/>
              </w:rPr>
              <w:t>Indicates that the SM-SR, identified by this smsr-id, is unknown to or whose address cannot be resolved by the SM-DP</w:t>
            </w:r>
          </w:p>
        </w:tc>
      </w:tr>
    </w:tbl>
    <w:p w14:paraId="749C53DC" w14:textId="77777777" w:rsidR="00B97365" w:rsidRDefault="00000000">
      <w:pPr>
        <w:numPr>
          <w:ilvl w:val="0"/>
          <w:numId w:val="14"/>
        </w:numPr>
        <w:tabs>
          <w:tab w:val="left" w:pos="1009"/>
        </w:tabs>
        <w:spacing w:after="200" w:line="276" w:lineRule="auto"/>
        <w:jc w:val="center"/>
        <w:rPr>
          <w:rFonts w:cs="Calibri"/>
        </w:rPr>
      </w:pPr>
      <w:r>
        <w:rPr>
          <w:rFonts w:cs="Arial"/>
          <w:b/>
          <w:lang w:eastAsia="de-DE" w:bidi="ar-SA"/>
        </w:rPr>
        <w:t>: Delete Profile Specific Status Codes</w:t>
      </w:r>
    </w:p>
    <w:p w14:paraId="2C4A0C2B"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489" w:name="_Toc448998263"/>
      <w:bookmarkStart w:id="3490" w:name="_Toc422150739"/>
      <w:bookmarkStart w:id="3491" w:name="_Toc421874324"/>
      <w:bookmarkStart w:id="3492" w:name="_Toc420594744"/>
      <w:bookmarkStart w:id="3493" w:name="_Toc398214865"/>
      <w:bookmarkStart w:id="3494" w:name="_Toc375158281"/>
      <w:bookmarkStart w:id="3495" w:name="_Toc368932290"/>
      <w:bookmarkStart w:id="3496" w:name="_Ref367978332"/>
      <w:bookmarkStart w:id="3497" w:name="_Toc486332881"/>
      <w:bookmarkStart w:id="3498" w:name="_Toc1977359"/>
      <w:bookmarkStart w:id="3499" w:name="_Toc37062518"/>
      <w:bookmarkStart w:id="3500" w:name="_Toc88839592"/>
      <w:bookmarkStart w:id="3501" w:name="_Toc121504000"/>
      <w:r>
        <w:rPr>
          <w:rFonts w:eastAsia="Times New Roman" w:cs="Arial"/>
          <w:b/>
          <w:bCs/>
          <w:iCs/>
          <w:sz w:val="24"/>
          <w:szCs w:val="26"/>
          <w:lang w:eastAsia="en-US"/>
        </w:rPr>
        <w:t xml:space="preserve">Notify a Profile is </w:t>
      </w:r>
      <w:r>
        <w:rPr>
          <w:rFonts w:eastAsia="Times New Roman" w:cs="Arial"/>
          <w:b/>
          <w:sz w:val="24"/>
          <w:szCs w:val="26"/>
          <w:lang w:eastAsia="en-US"/>
        </w:rPr>
        <w:t>Disabled</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14:paraId="2FC1A12B" w14:textId="77777777" w:rsidR="00B97365" w:rsidRDefault="00000000">
      <w:pPr>
        <w:spacing w:before="0" w:after="200" w:line="276" w:lineRule="auto"/>
        <w:jc w:val="left"/>
        <w:rPr>
          <w:szCs w:val="22"/>
          <w:lang w:val="en-US" w:eastAsia="en-GB" w:bidi="ar-SA"/>
        </w:rPr>
      </w:pPr>
      <w:bookmarkStart w:id="3502" w:name="_Toc420594745"/>
      <w:r>
        <w:rPr>
          <w:rFonts w:cs="Arial"/>
          <w:b/>
          <w:szCs w:val="22"/>
          <w:lang w:val="en-US" w:eastAsia="en-GB" w:bidi="ar-SA"/>
        </w:rPr>
        <w:t>Function name:</w:t>
      </w:r>
      <w:r>
        <w:rPr>
          <w:szCs w:val="22"/>
          <w:lang w:val="en-US" w:eastAsia="en-GB" w:bidi="ar-SA"/>
        </w:rPr>
        <w:t xml:space="preserve"> HandleProfileDisabledNotification</w:t>
      </w:r>
      <w:bookmarkEnd w:id="3502"/>
    </w:p>
    <w:p w14:paraId="3250B66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 Profile Enabling via SM-DP, Profile Enabling, Fall-Back Activation Procedure, Profile Enabling via M2MSP, Profile Disabling via M2MSP</w:t>
      </w:r>
    </w:p>
    <w:p w14:paraId="5D7267B5"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Function group</w:t>
      </w:r>
      <w:r>
        <w:rPr>
          <w:szCs w:val="22"/>
          <w:lang w:val="en-US" w:eastAsia="en-GB" w:bidi="ar-SA"/>
        </w:rPr>
        <w:t>: Platform Management</w:t>
      </w:r>
    </w:p>
    <w:p w14:paraId="09015FE0" w14:textId="77777777" w:rsidR="00B97365" w:rsidRDefault="00000000">
      <w:pPr>
        <w:spacing w:before="0" w:after="200" w:line="276" w:lineRule="auto"/>
        <w:jc w:val="left"/>
        <w:rPr>
          <w:szCs w:val="22"/>
          <w:lang w:val="en-US" w:eastAsia="en-GB" w:bidi="ar-SA"/>
        </w:rPr>
      </w:pPr>
      <w:bookmarkStart w:id="3503" w:name="_Toc420594746"/>
      <w:r>
        <w:rPr>
          <w:rFonts w:cs="Arial"/>
          <w:b/>
          <w:szCs w:val="22"/>
          <w:lang w:val="en-US" w:eastAsia="en-GB" w:bidi="ar-SA"/>
        </w:rPr>
        <w:t>Notification handler/recipient</w:t>
      </w:r>
      <w:r>
        <w:rPr>
          <w:szCs w:val="22"/>
          <w:lang w:val="en-US" w:eastAsia="en-GB" w:bidi="ar-SA"/>
        </w:rPr>
        <w:t xml:space="preserve">: </w:t>
      </w:r>
      <w:bookmarkEnd w:id="3503"/>
      <w:r>
        <w:rPr>
          <w:szCs w:val="22"/>
          <w:lang w:val="en-US" w:eastAsia="en-GB" w:bidi="ar-SA"/>
        </w:rPr>
        <w:t>Operator</w:t>
      </w:r>
    </w:p>
    <w:p w14:paraId="14C7D50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5144B11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SHALL be called to notify that the Profile identified by its ICCID has been disabled on the eUICC identified by its EID. It is assumed that the ICCID is enough for the SM-DP to retrieve the Operator to notify.</w:t>
      </w:r>
    </w:p>
    <w:p w14:paraId="534B35C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done.</w:t>
      </w:r>
    </w:p>
    <w:p w14:paraId="075B968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5FAB3E9E" w14:textId="77777777" w:rsidR="00B97365" w:rsidRDefault="00000000">
      <w:pPr>
        <w:spacing w:before="0" w:after="200" w:line="276" w:lineRule="auto"/>
        <w:jc w:val="left"/>
        <w:rPr>
          <w:b/>
          <w:i/>
          <w:szCs w:val="22"/>
          <w:lang w:val="en-US" w:eastAsia="en-GB" w:bidi="ar-SA"/>
        </w:rPr>
      </w:pPr>
      <w:bookmarkStart w:id="3504" w:name="_Toc420594747"/>
      <w:r>
        <w:rPr>
          <w:rFonts w:cs="Arial"/>
          <w:b/>
          <w:i/>
          <w:szCs w:val="22"/>
          <w:lang w:val="en-US" w:eastAsia="en-GB" w:bidi="ar-SA"/>
        </w:rPr>
        <w:t>Additional input data:</w:t>
      </w:r>
      <w:bookmarkEnd w:id="350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4899"/>
        <w:gridCol w:w="949"/>
        <w:gridCol w:w="398"/>
        <w:gridCol w:w="514"/>
      </w:tblGrid>
      <w:tr w:rsidR="00B97365" w14:paraId="78056254"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78E115C"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03CC7B8"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6C6BAC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0F760F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D4EEDCC"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12541F6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19A2BB4"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28B3D2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02B6EEAC" w14:textId="3E46C5BC"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_Ref367974126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EEEFD1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170FB5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66741C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w:t>
            </w:r>
          </w:p>
        </w:tc>
      </w:tr>
      <w:tr w:rsidR="00B97365" w14:paraId="12BCF52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0467D2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B3C11D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been disabled.</w:t>
            </w:r>
          </w:p>
          <w:p w14:paraId="7A863D2C" w14:textId="30C4E10B"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_Ref367974132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AE5C4C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BBB19F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3E0662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w:t>
            </w:r>
          </w:p>
        </w:tc>
      </w:tr>
      <w:tr w:rsidR="00B97365" w14:paraId="73E04B8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61608C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465C715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63743054" w14:textId="16819782"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_Ref367974144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7B6EE2A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67FAF0B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0F1B60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w:t>
            </w:r>
          </w:p>
        </w:tc>
      </w:tr>
    </w:tbl>
    <w:p w14:paraId="7EBE9451"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Handle Profile Disabled Notification Additional Input Data</w:t>
      </w:r>
    </w:p>
    <w:p w14:paraId="704CE7A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05" w:name="_Toc448998264"/>
      <w:bookmarkStart w:id="3506" w:name="_Toc422150740"/>
      <w:bookmarkStart w:id="3507" w:name="_Toc421874325"/>
      <w:bookmarkStart w:id="3508" w:name="_Toc420594748"/>
      <w:bookmarkStart w:id="3509" w:name="_Toc398214866"/>
      <w:bookmarkStart w:id="3510" w:name="_Toc375158282"/>
      <w:bookmarkStart w:id="3511" w:name="_Toc368932291"/>
      <w:bookmarkStart w:id="3512" w:name="_Ref367978341"/>
      <w:bookmarkStart w:id="3513" w:name="_Toc486332882"/>
      <w:bookmarkStart w:id="3514" w:name="_Toc1977360"/>
      <w:bookmarkStart w:id="3515" w:name="_Toc37062519"/>
      <w:bookmarkStart w:id="3516" w:name="_Toc88839593"/>
      <w:bookmarkStart w:id="3517" w:name="_Toc121504001"/>
      <w:r>
        <w:rPr>
          <w:rFonts w:eastAsia="Times New Roman" w:cs="Arial"/>
          <w:b/>
          <w:bCs/>
          <w:iCs/>
          <w:sz w:val="24"/>
          <w:szCs w:val="26"/>
          <w:lang w:eastAsia="en-US"/>
        </w:rPr>
        <w:t>Notify a Profile Enabling</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14:paraId="515EDD3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HandleProfileEnabledNotification</w:t>
      </w:r>
    </w:p>
    <w:p w14:paraId="3F5A273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Disabling and Profile Disabling via SM-DP, Profile Download and Installation, Fall-Back Activation Procedure, Profile Enabling via M2MSP, Profile Disabling via M2MSP</w:t>
      </w:r>
    </w:p>
    <w:p w14:paraId="009FD38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0E81EA3C" w14:textId="77777777" w:rsidR="00B97365" w:rsidRDefault="00000000">
      <w:pPr>
        <w:spacing w:before="0" w:after="200" w:line="276" w:lineRule="auto"/>
        <w:jc w:val="left"/>
        <w:rPr>
          <w:szCs w:val="22"/>
          <w:lang w:val="en-US" w:eastAsia="en-GB" w:bidi="ar-SA"/>
        </w:rPr>
      </w:pPr>
      <w:bookmarkStart w:id="3518" w:name="_Toc420594749"/>
      <w:r>
        <w:rPr>
          <w:rFonts w:cs="Arial"/>
          <w:b/>
          <w:szCs w:val="22"/>
          <w:lang w:val="en-US" w:eastAsia="en-GB" w:bidi="ar-SA"/>
        </w:rPr>
        <w:t>Notification handler/recipient</w:t>
      </w:r>
      <w:r>
        <w:rPr>
          <w:szCs w:val="22"/>
          <w:lang w:val="en-US" w:eastAsia="en-GB" w:bidi="ar-SA"/>
        </w:rPr>
        <w:t xml:space="preserve">: </w:t>
      </w:r>
      <w:bookmarkEnd w:id="3518"/>
      <w:r>
        <w:rPr>
          <w:szCs w:val="22"/>
          <w:lang w:val="en-US" w:eastAsia="en-GB" w:bidi="ar-SA"/>
        </w:rPr>
        <w:t>Operator</w:t>
      </w:r>
    </w:p>
    <w:p w14:paraId="2903C8A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11349CC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function SHALL be called to notify that the Profile identified by its ICCID has been enabled on the eUICC identified by its EID. It is assumed that the ICCID is sufficient for the SM-DP to retrieve the Operator to notify. </w:t>
      </w:r>
    </w:p>
    <w:p w14:paraId="2A6E1BD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w:t>
      </w:r>
    </w:p>
    <w:p w14:paraId="5D2E33F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What is performed by the Operator receiving this notification is out of scope of this specification.</w:t>
      </w:r>
    </w:p>
    <w:p w14:paraId="508CB022" w14:textId="77777777" w:rsidR="00B97365" w:rsidRDefault="00000000">
      <w:pPr>
        <w:spacing w:before="0" w:after="200" w:line="276" w:lineRule="auto"/>
        <w:jc w:val="left"/>
        <w:rPr>
          <w:b/>
          <w:i/>
          <w:szCs w:val="22"/>
          <w:lang w:val="en-US" w:eastAsia="en-GB" w:bidi="ar-SA"/>
        </w:rPr>
      </w:pPr>
      <w:bookmarkStart w:id="3519" w:name="_Toc420594750"/>
      <w:r>
        <w:rPr>
          <w:rFonts w:cs="Arial"/>
          <w:b/>
          <w:i/>
          <w:szCs w:val="22"/>
          <w:lang w:val="en-US" w:eastAsia="en-GB" w:bidi="ar-SA"/>
        </w:rPr>
        <w:t>Additional input data:</w:t>
      </w:r>
      <w:bookmarkEnd w:id="351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4899"/>
        <w:gridCol w:w="949"/>
        <w:gridCol w:w="398"/>
        <w:gridCol w:w="514"/>
      </w:tblGrid>
      <w:tr w:rsidR="00B97365" w14:paraId="6E2554D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04DF440"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9A0044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AD201F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5A36F6D"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9F66FA2"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66C8837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933D44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462A50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17627243" w14:textId="3F907CEC"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_Ref367974150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6C630F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C50FED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A4C93A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B69DA6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5696A4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81F79D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been enabled.</w:t>
            </w:r>
          </w:p>
          <w:p w14:paraId="5A920897" w14:textId="3C526A20"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_Ref367974155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F6080B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437C47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A7952C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7F92750"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6EBDAF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313CD94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06684992" w14:textId="5A41CECC"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_Ref367974162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69DB122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1454FB4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B39803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7C65CD4C" w14:textId="77777777" w:rsidR="00B97365" w:rsidRDefault="00000000">
      <w:pPr>
        <w:numPr>
          <w:ilvl w:val="0"/>
          <w:numId w:val="14"/>
        </w:numPr>
        <w:tabs>
          <w:tab w:val="left" w:pos="1009"/>
        </w:tabs>
        <w:spacing w:after="200" w:line="276" w:lineRule="auto"/>
        <w:jc w:val="center"/>
        <w:rPr>
          <w:rFonts w:cs="Calibri"/>
        </w:rPr>
      </w:pPr>
      <w:r>
        <w:rPr>
          <w:rFonts w:cs="Arial"/>
          <w:b/>
          <w:lang w:eastAsia="de-DE" w:bidi="ar-SA"/>
        </w:rPr>
        <w:t>: Handle Profile Enabled Notification Additional Input Data</w:t>
      </w:r>
    </w:p>
    <w:p w14:paraId="6881E76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20" w:name="_Toc448998265"/>
      <w:bookmarkStart w:id="3521" w:name="_Toc422150741"/>
      <w:bookmarkStart w:id="3522" w:name="_Toc421874326"/>
      <w:bookmarkStart w:id="3523" w:name="_Toc420594751"/>
      <w:bookmarkStart w:id="3524" w:name="_Toc398214867"/>
      <w:bookmarkStart w:id="3525" w:name="_Toc375158283"/>
      <w:bookmarkStart w:id="3526" w:name="_Toc368932292"/>
      <w:bookmarkStart w:id="3527" w:name="_Ref367978384"/>
      <w:bookmarkStart w:id="3528" w:name="_Toc486332883"/>
      <w:bookmarkStart w:id="3529" w:name="_Toc1977361"/>
      <w:bookmarkStart w:id="3530" w:name="_Toc37062520"/>
      <w:bookmarkStart w:id="3531" w:name="_Toc88839594"/>
      <w:bookmarkStart w:id="3532" w:name="_Toc121504002"/>
      <w:r>
        <w:rPr>
          <w:rFonts w:eastAsia="Times New Roman" w:cs="Arial"/>
          <w:b/>
          <w:bCs/>
          <w:iCs/>
          <w:sz w:val="24"/>
          <w:szCs w:val="26"/>
          <w:lang w:eastAsia="en-US"/>
        </w:rPr>
        <w:t xml:space="preserve">Notify a SM-SR </w:t>
      </w:r>
      <w:r>
        <w:rPr>
          <w:rFonts w:eastAsia="Times New Roman" w:cs="Arial"/>
          <w:b/>
          <w:sz w:val="24"/>
          <w:szCs w:val="26"/>
          <w:lang w:eastAsia="en-US"/>
        </w:rPr>
        <w:t>Change</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14:paraId="5A96370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HandleSMSRChangeNotification</w:t>
      </w:r>
    </w:p>
    <w:p w14:paraId="4FC8CEC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SM-SR Change</w:t>
      </w:r>
    </w:p>
    <w:p w14:paraId="65B1384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eUICC Management</w:t>
      </w:r>
    </w:p>
    <w:p w14:paraId="5AC7E38A" w14:textId="77777777" w:rsidR="00B97365" w:rsidRDefault="00000000">
      <w:pPr>
        <w:spacing w:before="0" w:after="200" w:line="276" w:lineRule="auto"/>
        <w:jc w:val="left"/>
        <w:rPr>
          <w:szCs w:val="22"/>
          <w:lang w:val="en-US" w:eastAsia="en-GB" w:bidi="ar-SA"/>
        </w:rPr>
      </w:pPr>
      <w:bookmarkStart w:id="3533" w:name="_Toc420594752"/>
      <w:r>
        <w:rPr>
          <w:rFonts w:cs="Arial"/>
          <w:b/>
          <w:szCs w:val="22"/>
          <w:lang w:val="en-US" w:eastAsia="en-GB" w:bidi="ar-SA"/>
        </w:rPr>
        <w:t>Notification handler/recipient</w:t>
      </w:r>
      <w:r>
        <w:rPr>
          <w:szCs w:val="22"/>
          <w:lang w:val="en-US" w:eastAsia="en-GB" w:bidi="ar-SA"/>
        </w:rPr>
        <w:t xml:space="preserve">: </w:t>
      </w:r>
      <w:bookmarkEnd w:id="3533"/>
      <w:r>
        <w:rPr>
          <w:szCs w:val="22"/>
          <w:lang w:val="en-US" w:eastAsia="en-GB" w:bidi="ar-SA"/>
        </w:rPr>
        <w:t>Operator</w:t>
      </w:r>
    </w:p>
    <w:p w14:paraId="4170FB6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for notifying each Operator owning a Profile hosted in the eUICC, identified by its EID, that the SM-SR has changed. The notification is sent by the new SM-SR to the SM-DP, which route this notification to the Operator.</w:t>
      </w:r>
    </w:p>
    <w:p w14:paraId="26686E5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0F5DB8A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Note that this notification also conveys the date and time specifying when the operation has been done.</w:t>
      </w:r>
    </w:p>
    <w:p w14:paraId="1980B4B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Note that this notification is not related to a particular Profile. It is up to the notification recipient to determine if any Profile that is deployed on this eUICC needs subsequent action. </w:t>
      </w:r>
    </w:p>
    <w:p w14:paraId="79A24545" w14:textId="77777777" w:rsidR="00B97365" w:rsidRDefault="00000000">
      <w:pPr>
        <w:spacing w:before="0" w:after="200" w:line="276" w:lineRule="auto"/>
        <w:jc w:val="left"/>
        <w:rPr>
          <w:b/>
          <w:i/>
          <w:szCs w:val="22"/>
          <w:lang w:val="en-US" w:eastAsia="en-GB" w:bidi="ar-SA"/>
        </w:rPr>
      </w:pPr>
      <w:bookmarkStart w:id="3534" w:name="_Toc420594753"/>
      <w:r>
        <w:rPr>
          <w:rFonts w:cs="Arial"/>
          <w:b/>
          <w:i/>
          <w:szCs w:val="22"/>
          <w:lang w:val="en-US" w:eastAsia="en-GB" w:bidi="ar-SA"/>
        </w:rPr>
        <w:t>Additional input data:</w:t>
      </w:r>
      <w:bookmarkEnd w:id="353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28"/>
        <w:gridCol w:w="949"/>
        <w:gridCol w:w="409"/>
        <w:gridCol w:w="525"/>
      </w:tblGrid>
      <w:tr w:rsidR="00B97365" w14:paraId="0C7B386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1485203"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E7F374D"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1794243"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3EFF483"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783F5D8"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371FFE5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E2FDEEC" w14:textId="77777777" w:rsidR="00B97365" w:rsidRDefault="00000000">
            <w:pPr>
              <w:tabs>
                <w:tab w:val="right" w:pos="7938"/>
              </w:tabs>
              <w:ind w:left="470" w:hanging="459"/>
              <w:rPr>
                <w:rFonts w:cs="Calibri"/>
                <w:sz w:val="16"/>
                <w:szCs w:val="16"/>
              </w:rPr>
            </w:pPr>
            <w:r>
              <w:rPr>
                <w:rFonts w:cs="Calibri"/>
                <w:sz w:val="16"/>
                <w:szCs w:val="16"/>
              </w:rPr>
              <w:t>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3D87E837" w14:textId="77777777" w:rsidR="00B97365" w:rsidRDefault="00000000">
            <w:pPr>
              <w:tabs>
                <w:tab w:val="right" w:pos="7938"/>
              </w:tabs>
              <w:spacing w:after="60"/>
              <w:rPr>
                <w:rFonts w:eastAsia="Times New Roman" w:cs="Calibri"/>
                <w:sz w:val="16"/>
                <w:szCs w:val="16"/>
                <w:lang w:val="en-US"/>
              </w:rPr>
            </w:pPr>
            <w:r>
              <w:rPr>
                <w:rFonts w:cs="Calibri"/>
                <w:sz w:val="16"/>
                <w:szCs w:val="16"/>
                <w:lang w:val="en-US"/>
              </w:rPr>
              <w:t>The relevant part of the eUICC Information Set linked with the Operator owning the Profile hosted in the eUICC.</w:t>
            </w:r>
          </w:p>
          <w:p w14:paraId="21E44FC9" w14:textId="45DA27ED" w:rsidR="00B97365" w:rsidRDefault="00000000">
            <w:pPr>
              <w:rPr>
                <w:rFonts w:cs="Calibri"/>
                <w:sz w:val="16"/>
                <w:szCs w:val="16"/>
                <w:lang w:val="en-US"/>
              </w:rPr>
            </w:pPr>
            <w:r>
              <w:rPr>
                <w:rFonts w:cs="Calibri"/>
                <w:sz w:val="16"/>
                <w:szCs w:val="16"/>
                <w:lang w:val="en-US"/>
              </w:rPr>
              <w:t xml:space="preserve">See section </w:t>
            </w:r>
            <w:r>
              <w:rPr>
                <w:rFonts w:cs="Calibri"/>
                <w:sz w:val="16"/>
                <w:szCs w:val="16"/>
                <w:lang w:val="en-US"/>
              </w:rPr>
              <w:fldChar w:fldCharType="begin"/>
            </w:r>
            <w:r>
              <w:rPr>
                <w:rFonts w:cs="Calibri"/>
                <w:sz w:val="16"/>
                <w:szCs w:val="16"/>
                <w:lang w:val="en-US"/>
              </w:rPr>
              <w:instrText xml:space="preserve"> REF _Ref84538475 \r \h  \* MERGEFORMAT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5.1.1.2.13</w:t>
            </w:r>
            <w:r>
              <w:rPr>
                <w:rFonts w:cs="Calibri"/>
                <w:sz w:val="16"/>
                <w:szCs w:val="16"/>
                <w:lang w:val="en-US"/>
              </w:rPr>
              <w:fldChar w:fldCharType="end"/>
            </w:r>
            <w:r>
              <w:rPr>
                <w:rFonts w:cs="Calibri"/>
                <w:sz w:val="16"/>
                <w:szCs w:val="16"/>
                <w:lang w:val="en-US"/>
              </w:rPr>
              <w:t xml:space="preserve"> for type description. </w:t>
            </w:r>
            <w:r>
              <w:rPr>
                <w:rFonts w:cs="Calibri"/>
                <w:sz w:val="16"/>
                <w:szCs w:val="16"/>
                <w:lang w:val="en-US"/>
              </w:rPr>
              <w:br/>
              <w:t xml:space="preserve">The list of EIS data fields that SHALL be included is defined in </w:t>
            </w:r>
            <w:r>
              <w:rPr>
                <w:rFonts w:cs="Calibri"/>
                <w:sz w:val="16"/>
                <w:szCs w:val="16"/>
                <w:lang w:val="en-US"/>
              </w:rPr>
              <w:fldChar w:fldCharType="begin"/>
            </w:r>
            <w:r>
              <w:rPr>
                <w:rFonts w:cs="Calibri"/>
                <w:sz w:val="16"/>
                <w:szCs w:val="16"/>
                <w:lang w:val="en-US"/>
              </w:rPr>
              <w:instrText xml:space="preserve"> REF _Ref421660283 \r \h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Annex E</w:t>
            </w:r>
            <w:r>
              <w:rPr>
                <w:rFonts w:cs="Calibri"/>
                <w:sz w:val="16"/>
                <w:szCs w:val="16"/>
                <w:lang w:val="en-US"/>
              </w:rPr>
              <w:fldChar w:fldCharType="end"/>
            </w:r>
            <w:r>
              <w:rPr>
                <w:rFonts w:cs="Calibri"/>
                <w:sz w:val="16"/>
                <w:szCs w:val="16"/>
                <w:lang w:val="en-US"/>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ED5A8A3" w14:textId="77777777" w:rsidR="00B97365" w:rsidRDefault="00000000">
            <w:pPr>
              <w:spacing w:after="60"/>
              <w:jc w:val="center"/>
              <w:rPr>
                <w:rFonts w:eastAsia="Times New Roman" w:cs="Calibri"/>
                <w:sz w:val="16"/>
                <w:szCs w:val="16"/>
                <w:lang w:val="en-US"/>
              </w:rPr>
            </w:pPr>
            <w:r>
              <w:rPr>
                <w:rFonts w:cs="Calibri"/>
                <w:sz w:val="16"/>
                <w:szCs w:val="16"/>
                <w:lang w:val="en-US"/>
              </w:rPr>
              <w:t>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75B34E27"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ACA1F4E"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4E9CC2C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16CB441" w14:textId="77777777" w:rsidR="00B97365" w:rsidRDefault="00000000">
            <w:pPr>
              <w:spacing w:after="60"/>
              <w:rPr>
                <w:rFonts w:eastAsia="Times New Roman"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224C165B" w14:textId="77777777" w:rsidR="00B97365" w:rsidRDefault="00000000">
            <w:pPr>
              <w:spacing w:after="60"/>
              <w:rPr>
                <w:rFonts w:eastAsia="Times New Roman" w:cs="Calibri"/>
                <w:sz w:val="16"/>
                <w:szCs w:val="16"/>
              </w:rPr>
            </w:pPr>
            <w:r>
              <w:rPr>
                <w:rFonts w:cs="Calibri"/>
                <w:sz w:val="16"/>
                <w:szCs w:val="16"/>
              </w:rPr>
              <w:t>Indication of the date/time when the operation has been performed.</w:t>
            </w:r>
          </w:p>
          <w:p w14:paraId="5C025462" w14:textId="2BB51911" w:rsidR="00B97365" w:rsidRDefault="00000000">
            <w:pPr>
              <w:spacing w:after="200"/>
              <w:rPr>
                <w:rFonts w:eastAsia="Times New Roman"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_Ref367974174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606C1DB3" w14:textId="77777777" w:rsidR="00B97365" w:rsidRDefault="00000000">
            <w:pPr>
              <w:spacing w:after="60"/>
              <w:jc w:val="center"/>
              <w:rPr>
                <w:rFonts w:eastAsia="Times New Roman"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2EBC3DA9" w14:textId="77777777" w:rsidR="00B97365" w:rsidRDefault="00000000">
            <w:pPr>
              <w:spacing w:after="60"/>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69649E0" w14:textId="77777777" w:rsidR="00B97365" w:rsidRDefault="00000000">
            <w:pPr>
              <w:spacing w:after="60"/>
              <w:jc w:val="center"/>
              <w:rPr>
                <w:rFonts w:cs="Calibri"/>
                <w:sz w:val="16"/>
                <w:szCs w:val="16"/>
              </w:rPr>
            </w:pPr>
            <w:r>
              <w:rPr>
                <w:rFonts w:cs="Calibri"/>
                <w:sz w:val="16"/>
                <w:szCs w:val="16"/>
              </w:rPr>
              <w:t>M</w:t>
            </w:r>
          </w:p>
        </w:tc>
      </w:tr>
    </w:tbl>
    <w:p w14:paraId="6EEA4E05"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Handle SM-SR Change Notification Additional Input Data</w:t>
      </w:r>
    </w:p>
    <w:p w14:paraId="2DC01951" w14:textId="77777777" w:rsidR="00B97365" w:rsidRDefault="00B97365">
      <w:pPr>
        <w:rPr>
          <w:rFonts w:cs="Calibri"/>
        </w:rPr>
      </w:pPr>
    </w:p>
    <w:p w14:paraId="3D9809E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No output data is expected in response to this notification.</w:t>
      </w:r>
    </w:p>
    <w:p w14:paraId="0CBF9ADD"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35" w:name="_Toc448998266"/>
      <w:bookmarkStart w:id="3536" w:name="_Toc422150742"/>
      <w:bookmarkStart w:id="3537" w:name="_Toc421874327"/>
      <w:bookmarkStart w:id="3538" w:name="_Toc420594754"/>
      <w:bookmarkStart w:id="3539" w:name="_Toc398214868"/>
      <w:bookmarkStart w:id="3540" w:name="_Toc375158284"/>
      <w:bookmarkStart w:id="3541" w:name="_Toc368932293"/>
      <w:bookmarkStart w:id="3542" w:name="_Toc486332884"/>
      <w:bookmarkStart w:id="3543" w:name="_Toc1977362"/>
      <w:bookmarkStart w:id="3544" w:name="_Toc37062521"/>
      <w:bookmarkStart w:id="3545" w:name="_Toc88839595"/>
      <w:bookmarkStart w:id="3546" w:name="_Toc121504003"/>
      <w:r>
        <w:rPr>
          <w:rFonts w:eastAsia="Times New Roman" w:cs="Arial"/>
          <w:b/>
          <w:bCs/>
          <w:iCs/>
          <w:sz w:val="24"/>
          <w:szCs w:val="26"/>
          <w:lang w:eastAsia="en-US"/>
        </w:rPr>
        <w:t>Notify a Profile Deletion</w:t>
      </w:r>
      <w:bookmarkEnd w:id="3535"/>
      <w:bookmarkEnd w:id="3536"/>
      <w:bookmarkEnd w:id="3537"/>
      <w:bookmarkEnd w:id="3538"/>
      <w:bookmarkEnd w:id="3539"/>
      <w:bookmarkEnd w:id="3540"/>
      <w:bookmarkEnd w:id="3541"/>
      <w:bookmarkEnd w:id="3542"/>
      <w:bookmarkEnd w:id="3543"/>
      <w:bookmarkEnd w:id="3544"/>
      <w:bookmarkEnd w:id="3545"/>
      <w:bookmarkEnd w:id="3546"/>
    </w:p>
    <w:p w14:paraId="2DA4C48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HandleProfileDeletedNotification</w:t>
      </w:r>
    </w:p>
    <w:p w14:paraId="2513A038" w14:textId="77777777" w:rsidR="00B97365" w:rsidRDefault="00000000">
      <w:pPr>
        <w:spacing w:before="0" w:after="200" w:line="276" w:lineRule="auto"/>
        <w:jc w:val="left"/>
        <w:rPr>
          <w:szCs w:val="22"/>
          <w:lang w:val="en-US" w:eastAsia="en-GB" w:bidi="ar-SA"/>
        </w:rPr>
      </w:pPr>
      <w:bookmarkStart w:id="3547" w:name="_Toc420594755"/>
      <w:r>
        <w:rPr>
          <w:rFonts w:cs="Arial"/>
          <w:b/>
          <w:szCs w:val="22"/>
          <w:lang w:val="en-US" w:eastAsia="en-GB" w:bidi="ar-SA"/>
        </w:rPr>
        <w:t>Related Procedures</w:t>
      </w:r>
      <w:r>
        <w:rPr>
          <w:szCs w:val="22"/>
          <w:lang w:val="en-US" w:eastAsia="en-GB" w:bidi="ar-SA"/>
        </w:rPr>
        <w:t>: Profile Enabling, Profile Enabling via SM-DP</w:t>
      </w:r>
      <w:bookmarkEnd w:id="3547"/>
      <w:r>
        <w:rPr>
          <w:szCs w:val="22"/>
          <w:lang w:val="en-US" w:eastAsia="en-GB" w:bidi="ar-SA"/>
        </w:rPr>
        <w:t>, Profile Enabling via M2M SP, Profile DIsabling via M2M SP, Profile and ISD-P Deletion via M2M SP</w:t>
      </w:r>
    </w:p>
    <w:p w14:paraId="7CF65AE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12098871" w14:textId="77777777" w:rsidR="00B97365" w:rsidRDefault="00000000">
      <w:pPr>
        <w:spacing w:before="0" w:after="200" w:line="276" w:lineRule="auto"/>
        <w:jc w:val="left"/>
        <w:rPr>
          <w:szCs w:val="22"/>
          <w:lang w:val="en-US" w:eastAsia="en-GB" w:bidi="ar-SA"/>
        </w:rPr>
      </w:pPr>
      <w:bookmarkStart w:id="3548" w:name="_Toc420594756"/>
      <w:r>
        <w:rPr>
          <w:rFonts w:cs="Arial"/>
          <w:b/>
          <w:szCs w:val="22"/>
          <w:lang w:val="en-US" w:eastAsia="en-GB" w:bidi="ar-SA"/>
        </w:rPr>
        <w:t>Notification handler/recipient</w:t>
      </w:r>
      <w:r>
        <w:rPr>
          <w:szCs w:val="22"/>
          <w:lang w:val="en-US" w:eastAsia="en-GB" w:bidi="ar-SA"/>
        </w:rPr>
        <w:t xml:space="preserve">: </w:t>
      </w:r>
      <w:bookmarkEnd w:id="3548"/>
      <w:r>
        <w:rPr>
          <w:szCs w:val="22"/>
          <w:lang w:val="en-US" w:eastAsia="en-GB" w:bidi="ar-SA"/>
        </w:rPr>
        <w:t>Operator</w:t>
      </w:r>
    </w:p>
    <w:p w14:paraId="12C3FFB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SHALL be called to notify that the Profile identified by its ICCID has been deleted on the eUICC identified by its EID. </w:t>
      </w:r>
    </w:p>
    <w:p w14:paraId="0436C15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w:t>
      </w:r>
    </w:p>
    <w:p w14:paraId="43A3EB9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0292CB0B" w14:textId="77777777" w:rsidR="00B97365" w:rsidRDefault="00000000">
      <w:pPr>
        <w:spacing w:before="0" w:after="200" w:line="276" w:lineRule="auto"/>
        <w:jc w:val="left"/>
        <w:rPr>
          <w:b/>
          <w:i/>
          <w:szCs w:val="22"/>
          <w:lang w:val="en-US" w:eastAsia="en-GB" w:bidi="ar-SA"/>
        </w:rPr>
      </w:pPr>
      <w:bookmarkStart w:id="3549" w:name="_Toc420594757"/>
      <w:r>
        <w:rPr>
          <w:rFonts w:cs="Arial"/>
          <w:b/>
          <w:i/>
          <w:szCs w:val="22"/>
          <w:lang w:val="en-US" w:eastAsia="en-GB" w:bidi="ar-SA"/>
        </w:rPr>
        <w:t>Additional input data:</w:t>
      </w:r>
      <w:bookmarkEnd w:id="354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4899"/>
        <w:gridCol w:w="949"/>
        <w:gridCol w:w="398"/>
        <w:gridCol w:w="514"/>
      </w:tblGrid>
      <w:tr w:rsidR="00B97365" w14:paraId="6F05CA62"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48412C7"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9D13575"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9FCC03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065E6D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05604E0"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2CC7AD4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C31F69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3CE6C74"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targeted eUICC.</w:t>
            </w:r>
          </w:p>
          <w:p w14:paraId="1123774F" w14:textId="5FF70D98"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_Ref367974179 \r \h  \* MERGEFORMAT </w:instrText>
            </w:r>
            <w:r>
              <w:fldChar w:fldCharType="separate"/>
            </w:r>
            <w:r w:rsidR="001D5AD9" w:rsidRPr="001D5AD9">
              <w:rPr>
                <w:rFonts w:cs="Calibri"/>
                <w:sz w:val="16"/>
                <w:szCs w:val="16"/>
                <w:lang w:val="en-US"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8A4CB0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50D56F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BCCD9A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796CAE6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350025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F77AE1C"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Profile that has been deleted.</w:t>
            </w:r>
          </w:p>
          <w:p w14:paraId="1D5F3979" w14:textId="35BD11FA"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_Ref367974186 \r \h  \* MERGEFORMAT </w:instrText>
            </w:r>
            <w:r>
              <w:fldChar w:fldCharType="separate"/>
            </w:r>
            <w:r w:rsidR="001D5AD9" w:rsidRPr="001D5AD9">
              <w:rPr>
                <w:rFonts w:cs="Calibri"/>
                <w:sz w:val="16"/>
                <w:szCs w:val="16"/>
                <w:lang w:val="en-US"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92CA48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0AFE8F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78A22F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7141A6C"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96BA09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10FCFF1A"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Indication of the date/time when the operation has been performed.</w:t>
            </w:r>
          </w:p>
          <w:p w14:paraId="54D3430A" w14:textId="6B43C2F1"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_Ref367974192 \r \h  \* MERGEFORMAT </w:instrText>
            </w:r>
            <w:r>
              <w:fldChar w:fldCharType="separate"/>
            </w:r>
            <w:r w:rsidR="001D5AD9" w:rsidRPr="001D5AD9">
              <w:rPr>
                <w:rFonts w:cs="Calibri"/>
                <w:sz w:val="16"/>
                <w:szCs w:val="16"/>
                <w:lang w:val="en-US"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47BFB21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202120C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31F38A7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0946929B"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Handle Profile Deleted Notification Additional Input Data</w:t>
      </w:r>
    </w:p>
    <w:p w14:paraId="7372F0F7"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50" w:name="_Ref534752755"/>
      <w:bookmarkStart w:id="3551" w:name="_Toc1977363"/>
      <w:bookmarkStart w:id="3552" w:name="_Toc37062522"/>
      <w:bookmarkStart w:id="3553" w:name="_Toc88839596"/>
      <w:bookmarkStart w:id="3554" w:name="_Toc121504004"/>
      <w:r>
        <w:rPr>
          <w:rFonts w:eastAsia="Times New Roman" w:cs="Arial"/>
          <w:b/>
          <w:bCs/>
          <w:iCs/>
          <w:sz w:val="24"/>
          <w:szCs w:val="26"/>
          <w:lang w:eastAsia="en-US"/>
        </w:rPr>
        <w:t>Auditing eUICC Information</w:t>
      </w:r>
      <w:bookmarkEnd w:id="3550"/>
      <w:bookmarkEnd w:id="3551"/>
      <w:bookmarkEnd w:id="3552"/>
      <w:bookmarkEnd w:id="3553"/>
      <w:bookmarkEnd w:id="3554"/>
    </w:p>
    <w:p w14:paraId="1B93177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AuditEIS</w:t>
      </w:r>
    </w:p>
    <w:p w14:paraId="74F7DAB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w:t>
      </w:r>
    </w:p>
    <w:p w14:paraId="638E77F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6B9C544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67593D8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Operator to retrieve the up to date information for the Operator’s Profiles. The SM-DP SHALL forward the request to the SM-SR.</w:t>
      </w:r>
    </w:p>
    <w:p w14:paraId="659AE81E"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5129"/>
        <w:gridCol w:w="576"/>
        <w:gridCol w:w="434"/>
        <w:gridCol w:w="514"/>
      </w:tblGrid>
      <w:tr w:rsidR="00B97365" w14:paraId="3F2F0EAD"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2C7B2F3" w14:textId="77777777" w:rsidR="00B97365" w:rsidRDefault="00000000">
            <w:pPr>
              <w:jc w:val="center"/>
              <w:rPr>
                <w:rFonts w:cs="Calibri"/>
                <w:b/>
                <w:color w:val="FFFFFF"/>
                <w:sz w:val="16"/>
                <w:szCs w:val="16"/>
              </w:rPr>
            </w:pPr>
            <w:r>
              <w:rPr>
                <w:rFonts w:cs="Calibri"/>
                <w:b/>
                <w:color w:val="FFFFFF"/>
                <w:sz w:val="16"/>
                <w:szCs w:val="16"/>
              </w:rPr>
              <w:lastRenderedPageBreak/>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228C4E8"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116CDB4"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2DE3F91"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3397AF6"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0B9B992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B52DE7D"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52E1A82" w14:textId="77777777" w:rsidR="00B97365" w:rsidRDefault="00000000">
            <w:pPr>
              <w:rPr>
                <w:rFonts w:cs="Calibri"/>
                <w:sz w:val="16"/>
                <w:szCs w:val="16"/>
              </w:rPr>
            </w:pPr>
            <w:r>
              <w:rPr>
                <w:rFonts w:cs="Calibri"/>
                <w:sz w:val="16"/>
                <w:szCs w:val="16"/>
              </w:rPr>
              <w:t>Identification of the targeted eUICC.to be audited</w:t>
            </w:r>
          </w:p>
          <w:p w14:paraId="54BBB070" w14:textId="414CA96A"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_Ref367975128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F6C8FE8"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2D97B3E"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C59C9B3" w14:textId="77777777" w:rsidR="00B97365" w:rsidRDefault="00000000">
            <w:pPr>
              <w:jc w:val="center"/>
              <w:rPr>
                <w:rFonts w:cs="Calibri"/>
                <w:sz w:val="16"/>
                <w:szCs w:val="16"/>
              </w:rPr>
            </w:pPr>
            <w:r>
              <w:rPr>
                <w:rFonts w:cs="Calibri"/>
                <w:sz w:val="16"/>
                <w:szCs w:val="16"/>
              </w:rPr>
              <w:t>M</w:t>
            </w:r>
          </w:p>
        </w:tc>
      </w:tr>
      <w:tr w:rsidR="00B97365" w14:paraId="77920924"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tcPr>
          <w:p w14:paraId="6B4ECDFF" w14:textId="77777777" w:rsidR="00B97365" w:rsidRDefault="00000000">
            <w:pPr>
              <w:autoSpaceDE w:val="0"/>
              <w:autoSpaceDN w:val="0"/>
              <w:adjustRightInd w:val="0"/>
              <w:spacing w:line="276" w:lineRule="auto"/>
              <w:rPr>
                <w:rFonts w:eastAsia="MS Mincho" w:cs="Arial"/>
                <w:color w:val="000000"/>
                <w:sz w:val="16"/>
                <w:szCs w:val="16"/>
                <w:lang w:val="fr-FR" w:eastAsia="ja-JP" w:bidi="ar-SA"/>
              </w:rPr>
            </w:pPr>
            <w:r>
              <w:rPr>
                <w:rFonts w:eastAsia="MS Mincho" w:cs="Arial"/>
                <w:color w:val="000000"/>
                <w:sz w:val="16"/>
                <w:szCs w:val="16"/>
                <w:lang w:val="fr-FR" w:eastAsia="ja-JP" w:bidi="ar-SA"/>
              </w:rPr>
              <w:t xml:space="preserve">smsr-id </w:t>
            </w:r>
          </w:p>
        </w:tc>
        <w:tc>
          <w:tcPr>
            <w:tcW w:w="0" w:type="auto"/>
            <w:tcBorders>
              <w:top w:val="single" w:sz="6" w:space="0" w:color="auto"/>
              <w:left w:val="single" w:sz="6" w:space="0" w:color="auto"/>
              <w:bottom w:val="single" w:sz="4" w:space="0" w:color="auto"/>
              <w:right w:val="single" w:sz="6" w:space="0" w:color="auto"/>
            </w:tcBorders>
            <w:vAlign w:val="center"/>
          </w:tcPr>
          <w:p w14:paraId="49419A42" w14:textId="77777777" w:rsidR="00B97365" w:rsidRDefault="00000000">
            <w:pPr>
              <w:autoSpaceDE w:val="0"/>
              <w:autoSpaceDN w:val="0"/>
              <w:adjustRightInd w:val="0"/>
              <w:spacing w:line="276" w:lineRule="auto"/>
              <w:rPr>
                <w:rFonts w:eastAsia="MS Mincho" w:cs="Arial"/>
                <w:color w:val="000000"/>
                <w:sz w:val="16"/>
                <w:szCs w:val="16"/>
                <w:lang w:eastAsia="ja-JP" w:bidi="ar-SA"/>
              </w:rPr>
            </w:pPr>
            <w:r>
              <w:rPr>
                <w:rFonts w:eastAsia="MS Mincho" w:cs="Arial"/>
                <w:color w:val="000000"/>
                <w:sz w:val="16"/>
                <w:szCs w:val="16"/>
                <w:lang w:eastAsia="ja-JP" w:bidi="ar-SA"/>
              </w:rPr>
              <w:t xml:space="preserve">Identification of the SM-SR currently in charge of eUICC management. </w:t>
            </w:r>
          </w:p>
          <w:p w14:paraId="74C7C218" w14:textId="77777777" w:rsidR="00B97365" w:rsidRDefault="00000000">
            <w:pPr>
              <w:rPr>
                <w:rFonts w:cs="Calibri"/>
                <w:sz w:val="16"/>
                <w:szCs w:val="16"/>
              </w:rPr>
            </w:pPr>
            <w:r>
              <w:rPr>
                <w:sz w:val="16"/>
                <w:szCs w:val="16"/>
              </w:rPr>
              <w:t xml:space="preserve">This information may change during the eUICC’s lifetime. </w:t>
            </w:r>
          </w:p>
        </w:tc>
        <w:tc>
          <w:tcPr>
            <w:tcW w:w="0" w:type="auto"/>
            <w:tcBorders>
              <w:top w:val="single" w:sz="6" w:space="0" w:color="auto"/>
              <w:left w:val="single" w:sz="6" w:space="0" w:color="auto"/>
              <w:bottom w:val="single" w:sz="4" w:space="0" w:color="auto"/>
              <w:right w:val="single" w:sz="6" w:space="0" w:color="auto"/>
            </w:tcBorders>
            <w:vAlign w:val="center"/>
          </w:tcPr>
          <w:p w14:paraId="2E6E170B" w14:textId="77777777" w:rsidR="00B97365" w:rsidRDefault="00000000">
            <w:pPr>
              <w:autoSpaceDE w:val="0"/>
              <w:autoSpaceDN w:val="0"/>
              <w:adjustRightInd w:val="0"/>
              <w:spacing w:line="276" w:lineRule="auto"/>
              <w:jc w:val="center"/>
              <w:rPr>
                <w:rFonts w:eastAsia="MS Mincho" w:cs="Arial"/>
                <w:color w:val="000000"/>
                <w:sz w:val="16"/>
                <w:szCs w:val="16"/>
                <w:lang w:val="fr-FR" w:eastAsia="ja-JP" w:bidi="ar-SA"/>
              </w:rPr>
            </w:pPr>
            <w:r>
              <w:rPr>
                <w:rFonts w:eastAsia="MS Mincho" w:cs="Arial"/>
                <w:color w:val="000000"/>
                <w:sz w:val="16"/>
                <w:szCs w:val="16"/>
                <w:lang w:val="fr-FR" w:eastAsia="ja-JP" w:bidi="ar-SA"/>
              </w:rPr>
              <w:t xml:space="preserve">OID </w:t>
            </w:r>
          </w:p>
        </w:tc>
        <w:tc>
          <w:tcPr>
            <w:tcW w:w="0" w:type="auto"/>
            <w:tcBorders>
              <w:top w:val="single" w:sz="6" w:space="0" w:color="auto"/>
              <w:left w:val="single" w:sz="6" w:space="0" w:color="auto"/>
              <w:bottom w:val="single" w:sz="4" w:space="0" w:color="auto"/>
              <w:right w:val="single" w:sz="6" w:space="0" w:color="auto"/>
            </w:tcBorders>
            <w:vAlign w:val="center"/>
          </w:tcPr>
          <w:p w14:paraId="5076D271"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tcPr>
          <w:p w14:paraId="797423E5" w14:textId="77777777" w:rsidR="00B97365" w:rsidRDefault="00000000">
            <w:pPr>
              <w:jc w:val="center"/>
              <w:rPr>
                <w:rFonts w:cs="Calibri"/>
                <w:sz w:val="16"/>
                <w:szCs w:val="16"/>
              </w:rPr>
            </w:pPr>
            <w:r>
              <w:rPr>
                <w:rFonts w:cs="Calibri"/>
                <w:sz w:val="16"/>
                <w:szCs w:val="16"/>
              </w:rPr>
              <w:t>M</w:t>
            </w:r>
          </w:p>
        </w:tc>
      </w:tr>
      <w:tr w:rsidR="00B97365" w14:paraId="763A65D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38759B25" w14:textId="77777777" w:rsidR="00B97365" w:rsidRDefault="00000000">
            <w:pPr>
              <w:rPr>
                <w:rFonts w:cs="Calibri"/>
                <w:sz w:val="16"/>
                <w:szCs w:val="16"/>
              </w:rPr>
            </w:pPr>
            <w:r>
              <w:rPr>
                <w:rFonts w:cs="Calibri"/>
                <w:sz w:val="16"/>
                <w:szCs w:val="16"/>
              </w:rPr>
              <w:t>iccid-list</w:t>
            </w:r>
          </w:p>
        </w:tc>
        <w:tc>
          <w:tcPr>
            <w:tcW w:w="0" w:type="auto"/>
            <w:tcBorders>
              <w:top w:val="single" w:sz="6" w:space="0" w:color="auto"/>
              <w:left w:val="single" w:sz="6" w:space="0" w:color="auto"/>
              <w:bottom w:val="single" w:sz="4" w:space="0" w:color="auto"/>
              <w:right w:val="single" w:sz="6" w:space="0" w:color="auto"/>
            </w:tcBorders>
            <w:vAlign w:val="center"/>
            <w:hideMark/>
          </w:tcPr>
          <w:p w14:paraId="12CDB808" w14:textId="77777777" w:rsidR="00B97365" w:rsidRDefault="00000000">
            <w:pPr>
              <w:rPr>
                <w:rFonts w:cs="Calibri"/>
                <w:sz w:val="16"/>
                <w:szCs w:val="16"/>
              </w:rPr>
            </w:pPr>
            <w:r>
              <w:rPr>
                <w:rFonts w:cs="Calibri"/>
                <w:sz w:val="16"/>
                <w:szCs w:val="16"/>
              </w:rPr>
              <w:t xml:space="preserve">List of “iccid” identifying Profiles to be audited  </w:t>
            </w:r>
          </w:p>
        </w:tc>
        <w:tc>
          <w:tcPr>
            <w:tcW w:w="0" w:type="auto"/>
            <w:tcBorders>
              <w:top w:val="single" w:sz="6" w:space="0" w:color="auto"/>
              <w:left w:val="single" w:sz="6" w:space="0" w:color="auto"/>
              <w:bottom w:val="single" w:sz="4" w:space="0" w:color="auto"/>
              <w:right w:val="single" w:sz="6" w:space="0" w:color="auto"/>
            </w:tcBorders>
            <w:vAlign w:val="center"/>
            <w:hideMark/>
          </w:tcPr>
          <w:p w14:paraId="7919B95C"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6AE8EFF0" w14:textId="77777777" w:rsidR="00B97365" w:rsidRDefault="00000000">
            <w:pPr>
              <w:jc w:val="center"/>
              <w:rPr>
                <w:rFonts w:cs="Calibri"/>
                <w:sz w:val="16"/>
                <w:szCs w:val="16"/>
              </w:rPr>
            </w:pPr>
            <w:r>
              <w:rPr>
                <w:rFonts w:cs="Calibri"/>
                <w:sz w:val="16"/>
                <w:szCs w:val="16"/>
              </w:rPr>
              <w:t>1..N</w:t>
            </w:r>
          </w:p>
        </w:tc>
        <w:tc>
          <w:tcPr>
            <w:tcW w:w="0" w:type="auto"/>
            <w:tcBorders>
              <w:top w:val="single" w:sz="6" w:space="0" w:color="auto"/>
              <w:left w:val="single" w:sz="6" w:space="0" w:color="auto"/>
              <w:bottom w:val="single" w:sz="4" w:space="0" w:color="auto"/>
              <w:right w:val="single" w:sz="4" w:space="0" w:color="auto"/>
            </w:tcBorders>
            <w:vAlign w:val="center"/>
            <w:hideMark/>
          </w:tcPr>
          <w:p w14:paraId="0549AB39" w14:textId="77777777" w:rsidR="00B97365" w:rsidRDefault="00000000">
            <w:pPr>
              <w:jc w:val="center"/>
              <w:rPr>
                <w:rFonts w:cs="Calibri"/>
                <w:sz w:val="16"/>
                <w:szCs w:val="16"/>
              </w:rPr>
            </w:pPr>
            <w:r>
              <w:rPr>
                <w:rFonts w:cs="Calibri"/>
                <w:sz w:val="16"/>
                <w:szCs w:val="16"/>
              </w:rPr>
              <w:t>C</w:t>
            </w:r>
          </w:p>
        </w:tc>
      </w:tr>
    </w:tbl>
    <w:p w14:paraId="396316BF" w14:textId="77777777" w:rsidR="00B97365" w:rsidRDefault="00000000">
      <w:pPr>
        <w:tabs>
          <w:tab w:val="left" w:pos="1009"/>
        </w:tabs>
        <w:spacing w:after="200" w:line="276" w:lineRule="auto"/>
        <w:ind w:left="360"/>
        <w:jc w:val="center"/>
        <w:rPr>
          <w:rFonts w:cs="Arial"/>
          <w:b/>
          <w:lang w:eastAsia="de-DE" w:bidi="ar-SA"/>
        </w:rPr>
      </w:pPr>
      <w:r>
        <w:rPr>
          <w:rFonts w:cs="Arial"/>
          <w:b/>
          <w:lang w:eastAsia="de-DE" w:bidi="ar-SA"/>
        </w:rPr>
        <w:t>Table 5312-A: AuditEIS Additional Input Data</w:t>
      </w:r>
    </w:p>
    <w:p w14:paraId="296C653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no list of ICCIDs is provided, it is implied that all the EIS data for the Profiles owned by the requesting Operator is required.</w:t>
      </w:r>
    </w:p>
    <w:p w14:paraId="3E74DCC8"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19"/>
        <w:gridCol w:w="6471"/>
        <w:gridCol w:w="514"/>
        <w:gridCol w:w="398"/>
        <w:gridCol w:w="514"/>
      </w:tblGrid>
      <w:tr w:rsidR="00B97365" w14:paraId="40EEBD9E" w14:textId="77777777">
        <w:trPr>
          <w:cantSplit/>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446B5A8"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7B3AF12"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350127D"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1E23428"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DF7A7D8"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MOC</w:t>
            </w:r>
          </w:p>
        </w:tc>
      </w:tr>
      <w:tr w:rsidR="00B97365" w14:paraId="0D01DCCE" w14:textId="77777777">
        <w:trPr>
          <w:cantSplit/>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1ED406D" w14:textId="77777777" w:rsidR="00B97365" w:rsidRDefault="00000000">
            <w:pPr>
              <w:overflowPunct w:val="0"/>
              <w:autoSpaceDE w:val="0"/>
              <w:autoSpaceDN w:val="0"/>
              <w:adjustRightInd w:val="0"/>
              <w:spacing w:before="40" w:after="40"/>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25CD49E6" w14:textId="7A999206" w:rsidR="00B97365" w:rsidRDefault="00000000">
            <w:pPr>
              <w:tabs>
                <w:tab w:val="left" w:pos="720"/>
              </w:tabs>
              <w:overflowPunct w:val="0"/>
              <w:autoSpaceDE w:val="0"/>
              <w:autoSpaceDN w:val="0"/>
              <w:adjustRightInd w:val="0"/>
              <w:spacing w:before="0" w:after="200" w:line="276" w:lineRule="auto"/>
              <w:contextualSpacing/>
              <w:textAlignment w:val="baseline"/>
              <w:rPr>
                <w:rFonts w:cs="Calibri"/>
                <w:sz w:val="16"/>
                <w:szCs w:val="16"/>
                <w:lang w:val="en-US"/>
              </w:rPr>
            </w:pPr>
            <w:r>
              <w:rPr>
                <w:rFonts w:cs="Calibri"/>
                <w:sz w:val="16"/>
                <w:szCs w:val="16"/>
                <w:lang w:val="en-US"/>
              </w:rPr>
              <w:t xml:space="preserve">For the relevant eUICC Information Set see section </w:t>
            </w:r>
            <w:r>
              <w:rPr>
                <w:rFonts w:cs="Calibri"/>
                <w:sz w:val="16"/>
                <w:szCs w:val="16"/>
                <w:lang w:val="en-US"/>
              </w:rPr>
              <w:fldChar w:fldCharType="begin"/>
            </w:r>
            <w:r>
              <w:rPr>
                <w:rFonts w:cs="Calibri"/>
                <w:sz w:val="16"/>
                <w:szCs w:val="16"/>
                <w:lang w:val="en-US"/>
              </w:rPr>
              <w:instrText xml:space="preserve"> REF _Ref367975135 \r \h  \* MERGEFORMAT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5.1.1.1</w:t>
            </w:r>
            <w:r>
              <w:rPr>
                <w:rFonts w:cs="Calibri"/>
                <w:sz w:val="16"/>
                <w:szCs w:val="16"/>
                <w:lang w:val="en-US"/>
              </w:rPr>
              <w:fldChar w:fldCharType="end"/>
            </w:r>
            <w:r>
              <w:rPr>
                <w:rFonts w:cs="Calibri"/>
                <w:sz w:val="16"/>
                <w:szCs w:val="16"/>
                <w:lang w:val="en-US"/>
              </w:rPr>
              <w:t xml:space="preserve"> for type description. The list of EIS data fields that SHALL be included as defined in </w:t>
            </w:r>
            <w:r>
              <w:fldChar w:fldCharType="begin"/>
            </w:r>
            <w:r>
              <w:instrText xml:space="preserve"> REF _Ref421660683 \r \h  \* MERGEFORMAT </w:instrText>
            </w:r>
            <w:r>
              <w:fldChar w:fldCharType="separate"/>
            </w:r>
            <w:r w:rsidR="001D5AD9" w:rsidRPr="001D5AD9">
              <w:rPr>
                <w:rFonts w:cs="Calibri"/>
                <w:sz w:val="16"/>
                <w:szCs w:val="16"/>
                <w:lang w:val="en-US"/>
              </w:rPr>
              <w:t>Annex E</w:t>
            </w:r>
            <w:r>
              <w:fldChar w:fldCharType="end"/>
            </w:r>
            <w:r>
              <w:rPr>
                <w:rFonts w:cs="Calibri"/>
                <w:sz w:val="16"/>
                <w:szCs w:val="16"/>
                <w:lang w:val="en-US"/>
              </w:rPr>
              <w:t xml:space="preserve">. </w:t>
            </w:r>
          </w:p>
          <w:p w14:paraId="4F98CE27" w14:textId="77777777" w:rsidR="00B97365" w:rsidRDefault="00000000">
            <w:pPr>
              <w:tabs>
                <w:tab w:val="left" w:pos="720"/>
              </w:tabs>
              <w:overflowPunct w:val="0"/>
              <w:autoSpaceDE w:val="0"/>
              <w:autoSpaceDN w:val="0"/>
              <w:adjustRightInd w:val="0"/>
              <w:spacing w:before="0" w:after="200" w:line="276" w:lineRule="auto"/>
              <w:contextualSpacing/>
              <w:textAlignment w:val="baseline"/>
              <w:rPr>
                <w:rFonts w:cs="Calibri"/>
                <w:sz w:val="16"/>
                <w:szCs w:val="16"/>
                <w:lang w:val="en-US"/>
              </w:rPr>
            </w:pPr>
            <w:r>
              <w:rPr>
                <w:rFonts w:cs="Calibri"/>
                <w:sz w:val="16"/>
                <w:szCs w:val="16"/>
                <w:lang w:val="en-US"/>
              </w:rPr>
              <w:t>Only the data for the requested Profiles are returned within the EIS. The Profiles that do not belong to the requestor are not included in the response.</w:t>
            </w:r>
          </w:p>
          <w:p w14:paraId="34298097" w14:textId="77777777" w:rsidR="00B97365" w:rsidRDefault="00000000">
            <w:pPr>
              <w:tabs>
                <w:tab w:val="left" w:pos="720"/>
              </w:tabs>
              <w:overflowPunct w:val="0"/>
              <w:autoSpaceDE w:val="0"/>
              <w:autoSpaceDN w:val="0"/>
              <w:adjustRightInd w:val="0"/>
              <w:spacing w:before="0" w:after="200" w:line="276" w:lineRule="auto"/>
              <w:contextualSpacing/>
              <w:textAlignment w:val="baseline"/>
              <w:rPr>
                <w:rFonts w:cs="Calibri"/>
                <w:b/>
                <w:strike/>
                <w:sz w:val="16"/>
                <w:szCs w:val="16"/>
              </w:rPr>
            </w:pPr>
            <w:r>
              <w:rPr>
                <w:rFonts w:cs="Calibri"/>
                <w:sz w:val="16"/>
                <w:szCs w:val="16"/>
                <w:lang w:val="en-US"/>
              </w:rPr>
              <w:t>See section 5.4.2 for considerations on data filtering by the  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3736F334"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521CDD45"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38616F91"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C</w:t>
            </w:r>
          </w:p>
        </w:tc>
      </w:tr>
    </w:tbl>
    <w:p w14:paraId="1B80771F" w14:textId="77777777" w:rsidR="00B97365" w:rsidRDefault="00000000">
      <w:pPr>
        <w:tabs>
          <w:tab w:val="left" w:pos="1009"/>
        </w:tabs>
        <w:spacing w:after="200" w:line="276" w:lineRule="auto"/>
        <w:ind w:left="360" w:hanging="360"/>
        <w:jc w:val="center"/>
        <w:rPr>
          <w:rFonts w:cs="Arial"/>
          <w:b/>
          <w:lang w:eastAsia="de-DE" w:bidi="ar-SA"/>
        </w:rPr>
      </w:pPr>
      <w:r>
        <w:rPr>
          <w:rFonts w:cs="Arial"/>
          <w:b/>
          <w:lang w:eastAsia="de-DE" w:bidi="ar-SA"/>
        </w:rPr>
        <w:t>Table 5312-B: AuditEIS Additional Output Data</w:t>
      </w:r>
    </w:p>
    <w:p w14:paraId="2A66A127"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Specific status codes</w:t>
      </w:r>
    </w:p>
    <w:p w14:paraId="3E41142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addition to the status codes returned by ES3.AuditEIS, this function may return the following status codes:</w:t>
      </w:r>
    </w:p>
    <w:tbl>
      <w:tblPr>
        <w:tblW w:w="95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94"/>
        <w:gridCol w:w="833"/>
        <w:gridCol w:w="1024"/>
        <w:gridCol w:w="808"/>
        <w:gridCol w:w="6034"/>
      </w:tblGrid>
      <w:tr w:rsidR="00B97365" w14:paraId="187BA910" w14:textId="77777777">
        <w:trPr>
          <w:trHeight w:val="342"/>
          <w:jc w:val="center"/>
        </w:trPr>
        <w:tc>
          <w:tcPr>
            <w:tcW w:w="894"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1B01FB2" w14:textId="77777777" w:rsidR="00B97365" w:rsidRDefault="00000000">
            <w:pPr>
              <w:jc w:val="center"/>
              <w:rPr>
                <w:rFonts w:cs="Calibri"/>
                <w:b/>
                <w:color w:val="FFFFFF"/>
                <w:sz w:val="16"/>
                <w:szCs w:val="16"/>
              </w:rPr>
            </w:pPr>
            <w:r>
              <w:rPr>
                <w:rFonts w:cs="Calibri"/>
                <w:b/>
                <w:color w:val="FFFFFF"/>
                <w:sz w:val="16"/>
                <w:szCs w:val="16"/>
              </w:rPr>
              <w:t>Subject</w:t>
            </w:r>
          </w:p>
          <w:p w14:paraId="3CBCDA96"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41A8E0D" w14:textId="77777777" w:rsidR="00B97365" w:rsidRDefault="00000000">
            <w:pPr>
              <w:jc w:val="center"/>
              <w:rPr>
                <w:rFonts w:cs="Calibri"/>
                <w:b/>
                <w:color w:val="FFFFFF"/>
                <w:sz w:val="16"/>
                <w:szCs w:val="16"/>
              </w:rPr>
            </w:pPr>
            <w:r>
              <w:rPr>
                <w:rFonts w:cs="Calibri"/>
                <w:b/>
                <w:color w:val="FFFFFF"/>
                <w:sz w:val="16"/>
                <w:szCs w:val="16"/>
              </w:rPr>
              <w:t>Subject</w:t>
            </w:r>
          </w:p>
        </w:tc>
        <w:tc>
          <w:tcPr>
            <w:tcW w:w="102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9C84F3A" w14:textId="77777777" w:rsidR="00B97365" w:rsidRDefault="00000000">
            <w:pPr>
              <w:jc w:val="center"/>
              <w:rPr>
                <w:rFonts w:cs="Calibri"/>
                <w:b/>
                <w:color w:val="FFFFFF"/>
                <w:sz w:val="16"/>
                <w:szCs w:val="16"/>
              </w:rPr>
            </w:pPr>
            <w:r>
              <w:rPr>
                <w:rFonts w:cs="Calibri"/>
                <w:b/>
                <w:color w:val="FFFFFF"/>
                <w:sz w:val="16"/>
                <w:szCs w:val="16"/>
              </w:rPr>
              <w:t>Reason</w:t>
            </w:r>
          </w:p>
          <w:p w14:paraId="1494615A"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B678826"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DDED419"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4188F739" w14:textId="77777777">
        <w:trPr>
          <w:trHeight w:val="282"/>
          <w:jc w:val="center"/>
        </w:trPr>
        <w:tc>
          <w:tcPr>
            <w:tcW w:w="894" w:type="dxa"/>
            <w:tcBorders>
              <w:top w:val="single" w:sz="6" w:space="0" w:color="auto"/>
              <w:left w:val="single" w:sz="4" w:space="0" w:color="auto"/>
              <w:bottom w:val="single" w:sz="4" w:space="0" w:color="auto"/>
              <w:right w:val="single" w:sz="6" w:space="0" w:color="auto"/>
            </w:tcBorders>
            <w:vAlign w:val="center"/>
          </w:tcPr>
          <w:p w14:paraId="5B118687" w14:textId="77777777" w:rsidR="00B97365" w:rsidRDefault="00000000">
            <w:pPr>
              <w:tabs>
                <w:tab w:val="right" w:pos="7938"/>
              </w:tabs>
              <w:ind w:left="470" w:hanging="459"/>
              <w:jc w:val="center"/>
              <w:rPr>
                <w:rFonts w:cs="Calibri"/>
                <w:sz w:val="16"/>
                <w:szCs w:val="16"/>
              </w:rPr>
            </w:pPr>
            <w:r>
              <w:rPr>
                <w:rFonts w:cs="Calibri"/>
                <w:sz w:val="16"/>
                <w:szCs w:val="16"/>
              </w:rPr>
              <w:t>8.7</w:t>
            </w:r>
          </w:p>
        </w:tc>
        <w:tc>
          <w:tcPr>
            <w:tcW w:w="0" w:type="auto"/>
            <w:tcBorders>
              <w:top w:val="single" w:sz="6" w:space="0" w:color="auto"/>
              <w:left w:val="single" w:sz="6" w:space="0" w:color="auto"/>
              <w:bottom w:val="single" w:sz="4" w:space="0" w:color="auto"/>
              <w:right w:val="single" w:sz="6" w:space="0" w:color="auto"/>
            </w:tcBorders>
            <w:vAlign w:val="center"/>
          </w:tcPr>
          <w:p w14:paraId="4A62E054" w14:textId="77777777" w:rsidR="00B97365" w:rsidRDefault="00000000">
            <w:pPr>
              <w:tabs>
                <w:tab w:val="right" w:pos="7938"/>
              </w:tabs>
              <w:ind w:left="470" w:hanging="459"/>
              <w:rPr>
                <w:rFonts w:cs="Calibri"/>
                <w:sz w:val="16"/>
                <w:szCs w:val="16"/>
              </w:rPr>
            </w:pPr>
            <w:r>
              <w:rPr>
                <w:rFonts w:cs="Calibri"/>
                <w:sz w:val="16"/>
                <w:szCs w:val="16"/>
              </w:rPr>
              <w:t>SM-SR</w:t>
            </w:r>
          </w:p>
        </w:tc>
        <w:tc>
          <w:tcPr>
            <w:tcW w:w="1024" w:type="dxa"/>
            <w:tcBorders>
              <w:top w:val="single" w:sz="6" w:space="0" w:color="auto"/>
              <w:left w:val="single" w:sz="6" w:space="0" w:color="auto"/>
              <w:bottom w:val="single" w:sz="4" w:space="0" w:color="auto"/>
              <w:right w:val="single" w:sz="6" w:space="0" w:color="auto"/>
            </w:tcBorders>
            <w:vAlign w:val="center"/>
          </w:tcPr>
          <w:p w14:paraId="4E44D6F3" w14:textId="77777777" w:rsidR="00B97365" w:rsidRDefault="00000000">
            <w:pPr>
              <w:tabs>
                <w:tab w:val="right" w:pos="7938"/>
              </w:tabs>
              <w:ind w:left="470" w:hanging="459"/>
              <w:jc w:val="center"/>
              <w:rPr>
                <w:rFonts w:cs="Calibri"/>
                <w:sz w:val="16"/>
                <w:szCs w:val="16"/>
              </w:rPr>
            </w:pPr>
            <w:r>
              <w:rPr>
                <w:rFonts w:cs="Calibri"/>
                <w:sz w:val="16"/>
                <w:szCs w:val="16"/>
              </w:rPr>
              <w:t>3.9</w:t>
            </w:r>
          </w:p>
        </w:tc>
        <w:tc>
          <w:tcPr>
            <w:tcW w:w="0" w:type="auto"/>
            <w:tcBorders>
              <w:top w:val="single" w:sz="6" w:space="0" w:color="auto"/>
              <w:left w:val="single" w:sz="6" w:space="0" w:color="auto"/>
              <w:bottom w:val="single" w:sz="4" w:space="0" w:color="auto"/>
              <w:right w:val="single" w:sz="6" w:space="0" w:color="auto"/>
            </w:tcBorders>
            <w:vAlign w:val="center"/>
          </w:tcPr>
          <w:p w14:paraId="41F6F95A"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4" w:space="0" w:color="auto"/>
              <w:right w:val="single" w:sz="4" w:space="0" w:color="auto"/>
            </w:tcBorders>
            <w:vAlign w:val="center"/>
          </w:tcPr>
          <w:p w14:paraId="3AC8B9B4" w14:textId="77777777" w:rsidR="00B97365" w:rsidRDefault="00000000">
            <w:pPr>
              <w:rPr>
                <w:rFonts w:cs="Calibri"/>
                <w:sz w:val="16"/>
                <w:szCs w:val="16"/>
              </w:rPr>
            </w:pPr>
            <w:r>
              <w:rPr>
                <w:rFonts w:cs="Calibri"/>
                <w:sz w:val="16"/>
                <w:szCs w:val="16"/>
              </w:rPr>
              <w:t>Indicates that the SM-SR, identified by this smsr-id, is unknown to or whose address cannot be resolved by the SM-DP</w:t>
            </w:r>
          </w:p>
        </w:tc>
      </w:tr>
    </w:tbl>
    <w:p w14:paraId="3E810E76" w14:textId="77777777" w:rsidR="00B97365" w:rsidRDefault="00000000">
      <w:pPr>
        <w:tabs>
          <w:tab w:val="left" w:pos="1009"/>
        </w:tabs>
        <w:spacing w:after="200" w:line="276" w:lineRule="auto"/>
        <w:ind w:left="360"/>
        <w:jc w:val="center"/>
        <w:rPr>
          <w:rFonts w:cs="Arial"/>
          <w:b/>
          <w:lang w:eastAsia="de-DE" w:bidi="ar-SA"/>
        </w:rPr>
      </w:pPr>
      <w:r>
        <w:rPr>
          <w:rFonts w:cs="Arial"/>
          <w:b/>
          <w:lang w:eastAsia="de-DE" w:bidi="ar-SA"/>
        </w:rPr>
        <w:t>Table 5312-C: AuditEIS Additional Specific Status Codes</w:t>
      </w:r>
    </w:p>
    <w:p w14:paraId="7814AD0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55" w:name="_Ref536546073"/>
      <w:bookmarkStart w:id="3556" w:name="_Toc1977364"/>
      <w:bookmarkStart w:id="3557" w:name="_Toc37062523"/>
      <w:bookmarkStart w:id="3558" w:name="_Toc88839597"/>
      <w:bookmarkStart w:id="3559" w:name="_Toc121504005"/>
      <w:r>
        <w:rPr>
          <w:rFonts w:eastAsia="Times New Roman" w:cs="Arial"/>
          <w:b/>
          <w:bCs/>
          <w:iCs/>
          <w:sz w:val="24"/>
          <w:szCs w:val="26"/>
          <w:lang w:eastAsia="en-US"/>
        </w:rPr>
        <w:t>Setting Authorisations of M2M -SP to Access Profiles</w:t>
      </w:r>
      <w:bookmarkEnd w:id="3555"/>
      <w:bookmarkEnd w:id="3556"/>
      <w:bookmarkEnd w:id="3557"/>
      <w:bookmarkEnd w:id="3558"/>
      <w:bookmarkEnd w:id="3559"/>
    </w:p>
    <w:p w14:paraId="4C3E5EB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SetPLMA</w:t>
      </w:r>
    </w:p>
    <w:p w14:paraId="0FC4CB2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Set Profile Lifecycle Management Authorisations via SM-DP</w:t>
      </w:r>
    </w:p>
    <w:p w14:paraId="0BB373B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7E6BCCD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089E09E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31EECCF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function allows the Operator owning Profiles to grant PLMAs to an M2M SP to perform certain operations, or receive certain notifications, related to Profiles, identified by a Profile Type. </w:t>
      </w:r>
    </w:p>
    <w:p w14:paraId="31391437" w14:textId="0D317963" w:rsidR="00B97365" w:rsidRDefault="00000000">
      <w:pPr>
        <w:spacing w:before="0" w:after="200" w:line="276" w:lineRule="auto"/>
        <w:jc w:val="left"/>
        <w:rPr>
          <w:szCs w:val="22"/>
          <w:lang w:val="en-US" w:eastAsia="en-GB" w:bidi="ar-SA"/>
        </w:rPr>
      </w:pPr>
      <w:r>
        <w:rPr>
          <w:rFonts w:cs="Arial"/>
          <w:szCs w:val="22"/>
          <w:lang w:val="en-US" w:eastAsia="en-GB" w:bidi="ar-SA"/>
        </w:rPr>
        <w:lastRenderedPageBreak/>
        <w:t xml:space="preserve">The SM-DP receiving this request SHALL forward it to the SM-SR indicated by the Operator, according to procedure “Set Profile Lifecycle Management Authorisations via SM-DP” described in section </w:t>
      </w:r>
      <w:r>
        <w:fldChar w:fldCharType="begin"/>
      </w:r>
      <w:r>
        <w:instrText xml:space="preserve"> REF _Ref367973937 \r \h  \* MERGEFORMAT </w:instrText>
      </w:r>
      <w:r>
        <w:fldChar w:fldCharType="separate"/>
      </w:r>
      <w:r w:rsidR="001D5AD9" w:rsidRPr="001D5AD9">
        <w:rPr>
          <w:szCs w:val="22"/>
          <w:lang w:val="en-US" w:eastAsia="en-GB" w:bidi="ar-SA"/>
        </w:rPr>
        <w:t>3.3</w:t>
      </w:r>
      <w:r>
        <w:fldChar w:fldCharType="end"/>
      </w:r>
      <w:r>
        <w:t>.2</w:t>
      </w:r>
      <w:r>
        <w:rPr>
          <w:szCs w:val="22"/>
          <w:lang w:val="en-US" w:eastAsia="en-GB" w:bidi="ar-SA"/>
        </w:rPr>
        <w:t xml:space="preserve"> of this specification.</w:t>
      </w:r>
    </w:p>
    <w:p w14:paraId="75C9539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47982730"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indicating that the authorisations have been configured in the SM-SR.</w:t>
      </w:r>
    </w:p>
    <w:p w14:paraId="33242EC9"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specific status code as defined in the table below, indicating that the authorisations have been configured in the SM-SR but that some side-effects of this configuration may require the attention of the Operator.</w:t>
      </w:r>
    </w:p>
    <w:p w14:paraId="0E23A067" w14:textId="36C66283"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07CD388F" w14:textId="77777777" w:rsidR="00B97365" w:rsidRDefault="00B97365">
      <w:pPr>
        <w:spacing w:before="0" w:after="200" w:line="276" w:lineRule="auto"/>
        <w:jc w:val="left"/>
        <w:rPr>
          <w:rFonts w:cs="Arial"/>
          <w:b/>
          <w:i/>
          <w:szCs w:val="22"/>
          <w:lang w:val="en-US" w:eastAsia="en-GB" w:bidi="ar-SA"/>
        </w:rPr>
      </w:pPr>
    </w:p>
    <w:p w14:paraId="66FF6EB5"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535"/>
        <w:gridCol w:w="652"/>
        <w:gridCol w:w="474"/>
        <w:gridCol w:w="590"/>
      </w:tblGrid>
      <w:tr w:rsidR="00B97365" w14:paraId="73572819"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0470EC3"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10E3617"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93DF5E2"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90EBDBC"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591BEF1"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947B335"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71AA2D5B" w14:textId="77777777" w:rsidR="00B97365" w:rsidRDefault="00000000">
            <w:pPr>
              <w:rPr>
                <w:rFonts w:cs="Calibri"/>
                <w:sz w:val="16"/>
                <w:szCs w:val="16"/>
              </w:rPr>
            </w:pPr>
            <w:r>
              <w:rPr>
                <w:rFonts w:cs="Calibri"/>
                <w:sz w:val="16"/>
                <w:szCs w:val="16"/>
              </w:rPr>
              <w:t>plma</w:t>
            </w:r>
          </w:p>
        </w:tc>
        <w:tc>
          <w:tcPr>
            <w:tcW w:w="0" w:type="auto"/>
            <w:tcBorders>
              <w:top w:val="single" w:sz="6" w:space="0" w:color="auto"/>
              <w:left w:val="single" w:sz="6" w:space="0" w:color="auto"/>
              <w:bottom w:val="single" w:sz="6" w:space="0" w:color="auto"/>
              <w:right w:val="single" w:sz="6" w:space="0" w:color="auto"/>
            </w:tcBorders>
            <w:hideMark/>
          </w:tcPr>
          <w:p w14:paraId="289AFA04" w14:textId="77777777" w:rsidR="00B97365" w:rsidRDefault="00000000">
            <w:pPr>
              <w:rPr>
                <w:rFonts w:eastAsia="Times New Roman" w:cs="Calibri"/>
                <w:sz w:val="16"/>
                <w:szCs w:val="16"/>
                <w:lang w:val="en-US"/>
              </w:rPr>
            </w:pPr>
            <w:r>
              <w:rPr>
                <w:rFonts w:cs="Calibri"/>
                <w:sz w:val="16"/>
                <w:szCs w:val="16"/>
                <w:lang w:val="en-US"/>
              </w:rPr>
              <w:t>The specification of the PLMA, and the criteria on which this PLMA applies.</w:t>
            </w:r>
          </w:p>
          <w:p w14:paraId="5C762BF7" w14:textId="77777777" w:rsidR="00B97365" w:rsidRDefault="00000000">
            <w:pPr>
              <w:rPr>
                <w:rFonts w:eastAsia="Times New Roman" w:cs="Calibri"/>
                <w:sz w:val="16"/>
                <w:szCs w:val="16"/>
                <w:lang w:val="en-US"/>
              </w:rPr>
            </w:pPr>
            <w:r>
              <w:rPr>
                <w:rFonts w:cs="Calibri"/>
                <w:sz w:val="16"/>
                <w:szCs w:val="16"/>
                <w:lang w:val="en-US"/>
              </w:rPr>
              <w:t>See section 5.1.1.2.14 for type description.</w:t>
            </w:r>
          </w:p>
        </w:tc>
        <w:tc>
          <w:tcPr>
            <w:tcW w:w="0" w:type="auto"/>
            <w:tcBorders>
              <w:top w:val="single" w:sz="6" w:space="0" w:color="auto"/>
              <w:left w:val="single" w:sz="6" w:space="0" w:color="auto"/>
              <w:bottom w:val="single" w:sz="6" w:space="0" w:color="auto"/>
              <w:right w:val="single" w:sz="6" w:space="0" w:color="auto"/>
            </w:tcBorders>
            <w:hideMark/>
          </w:tcPr>
          <w:p w14:paraId="3C818BA1" w14:textId="77777777" w:rsidR="00B97365" w:rsidRDefault="00000000">
            <w:pPr>
              <w:keepNext/>
              <w:keepLines/>
              <w:tabs>
                <w:tab w:val="num" w:pos="1152"/>
                <w:tab w:val="num" w:pos="2160"/>
              </w:tabs>
              <w:spacing w:after="140" w:line="260" w:lineRule="atLeast"/>
              <w:jc w:val="center"/>
              <w:rPr>
                <w:rFonts w:eastAsia="Times New Roman" w:cs="Calibri"/>
                <w:sz w:val="16"/>
                <w:szCs w:val="16"/>
                <w:lang w:val="en-US"/>
              </w:rPr>
            </w:pPr>
            <w:r>
              <w:rPr>
                <w:rFonts w:cs="Calibri"/>
                <w:sz w:val="16"/>
                <w:szCs w:val="16"/>
                <w:lang w:val="en-US"/>
              </w:rPr>
              <w:t>PLMA</w:t>
            </w:r>
          </w:p>
        </w:tc>
        <w:tc>
          <w:tcPr>
            <w:tcW w:w="0" w:type="auto"/>
            <w:tcBorders>
              <w:top w:val="single" w:sz="6" w:space="0" w:color="auto"/>
              <w:left w:val="single" w:sz="6" w:space="0" w:color="auto"/>
              <w:bottom w:val="single" w:sz="6" w:space="0" w:color="auto"/>
              <w:right w:val="single" w:sz="6" w:space="0" w:color="auto"/>
            </w:tcBorders>
            <w:hideMark/>
          </w:tcPr>
          <w:p w14:paraId="50D684B7"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50AE4987"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0CAB4366"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14:paraId="5EB2D90F"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smsr-id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E3E085E" w14:textId="77777777" w:rsidR="00B97365" w:rsidRDefault="00000000">
            <w:pPr>
              <w:rPr>
                <w:rFonts w:eastAsia="Times New Roman" w:cs="Calibri"/>
                <w:sz w:val="16"/>
                <w:szCs w:val="16"/>
              </w:rPr>
            </w:pPr>
            <w:r>
              <w:rPr>
                <w:rFonts w:cs="Calibri"/>
                <w:sz w:val="16"/>
                <w:szCs w:val="16"/>
                <w:lang w:val="en-US"/>
              </w:rPr>
              <w:t xml:space="preserve">Identification of the SM-SR on which to apply the PLMA. </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CD3B18C"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04F38ED"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14:paraId="5A47B9AF"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214544D9" w14:textId="77777777" w:rsidR="00B97365" w:rsidRDefault="00000000">
      <w:pPr>
        <w:tabs>
          <w:tab w:val="left" w:pos="1009"/>
        </w:tabs>
        <w:spacing w:after="200" w:line="276" w:lineRule="auto"/>
        <w:jc w:val="center"/>
        <w:rPr>
          <w:rFonts w:cs="Arial"/>
          <w:lang w:eastAsia="de-DE" w:bidi="ar-SA"/>
        </w:rPr>
      </w:pPr>
      <w:r>
        <w:rPr>
          <w:rFonts w:cs="Arial"/>
          <w:b/>
          <w:lang w:eastAsia="de-DE" w:bidi="ar-SA"/>
        </w:rPr>
        <w:t>Table 5313-A: Set PLMA Additional Input Data</w:t>
      </w:r>
    </w:p>
    <w:p w14:paraId="796EF36C"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p w14:paraId="307D7816"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None</w:t>
      </w:r>
    </w:p>
    <w:p w14:paraId="5874B597" w14:textId="77777777" w:rsidR="00B97365" w:rsidRDefault="00B97365">
      <w:pPr>
        <w:tabs>
          <w:tab w:val="left" w:pos="680"/>
        </w:tabs>
        <w:spacing w:before="0" w:after="200" w:line="276" w:lineRule="auto"/>
        <w:contextualSpacing/>
        <w:jc w:val="left"/>
        <w:rPr>
          <w:rFonts w:cs="Arial"/>
          <w:szCs w:val="22"/>
          <w:lang w:eastAsia="en-GB" w:bidi="ar-SA"/>
        </w:rPr>
      </w:pPr>
    </w:p>
    <w:p w14:paraId="10673448"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Specific status codes</w:t>
      </w:r>
    </w:p>
    <w:p w14:paraId="624D5A23" w14:textId="77777777" w:rsidR="00B97365" w:rsidRDefault="00000000">
      <w:pPr>
        <w:spacing w:before="0" w:after="200" w:line="276" w:lineRule="auto"/>
        <w:jc w:val="left"/>
        <w:rPr>
          <w:szCs w:val="22"/>
          <w:lang w:val="en-US" w:eastAsia="en-GB" w:bidi="ar-SA"/>
        </w:rPr>
      </w:pPr>
      <w:r>
        <w:rPr>
          <w:szCs w:val="22"/>
          <w:lang w:val="en-US" w:eastAsia="en-GB" w:bidi="ar-SA"/>
        </w:rPr>
        <w:t>In addition to the Status codes returned by ES3.SetPLMA, this function can return the following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718"/>
        <w:gridCol w:w="718"/>
        <w:gridCol w:w="808"/>
        <w:gridCol w:w="6054"/>
      </w:tblGrid>
      <w:tr w:rsidR="00B97365" w14:paraId="196A67BB"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C87E275" w14:textId="77777777" w:rsidR="00B97365" w:rsidRDefault="00000000">
            <w:pPr>
              <w:jc w:val="center"/>
              <w:rPr>
                <w:rFonts w:cs="Calibri"/>
                <w:b/>
                <w:color w:val="FFFFFF"/>
                <w:sz w:val="16"/>
                <w:szCs w:val="16"/>
              </w:rPr>
            </w:pPr>
            <w:r>
              <w:rPr>
                <w:rFonts w:cs="Calibri"/>
                <w:b/>
                <w:color w:val="FFFFFF"/>
                <w:sz w:val="16"/>
                <w:szCs w:val="16"/>
              </w:rPr>
              <w:t>Subject</w:t>
            </w:r>
          </w:p>
          <w:p w14:paraId="14077201"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CAD5F7C"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235110F" w14:textId="77777777" w:rsidR="00B97365" w:rsidRDefault="00000000">
            <w:pPr>
              <w:jc w:val="center"/>
              <w:rPr>
                <w:rFonts w:cs="Calibri"/>
                <w:b/>
                <w:color w:val="FFFFFF"/>
                <w:sz w:val="16"/>
                <w:szCs w:val="16"/>
              </w:rPr>
            </w:pPr>
            <w:r>
              <w:rPr>
                <w:rFonts w:cs="Calibri"/>
                <w:b/>
                <w:color w:val="FFFFFF"/>
                <w:sz w:val="16"/>
                <w:szCs w:val="16"/>
              </w:rPr>
              <w:t>Reason</w:t>
            </w:r>
          </w:p>
          <w:p w14:paraId="68DC2D69"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1C7017D"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A910B47"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610968F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21A289C" w14:textId="77777777" w:rsidR="00B97365" w:rsidRDefault="00000000">
            <w:pPr>
              <w:jc w:val="center"/>
              <w:rPr>
                <w:rFonts w:cs="Calibri"/>
                <w:sz w:val="16"/>
                <w:szCs w:val="16"/>
              </w:rPr>
            </w:pPr>
            <w:r>
              <w:rPr>
                <w:rFonts w:cs="Calibri"/>
                <w:sz w:val="16"/>
                <w:szCs w:val="16"/>
              </w:rPr>
              <w:t>8.7</w:t>
            </w:r>
          </w:p>
        </w:tc>
        <w:tc>
          <w:tcPr>
            <w:tcW w:w="0" w:type="auto"/>
            <w:tcBorders>
              <w:top w:val="single" w:sz="6" w:space="0" w:color="auto"/>
              <w:left w:val="single" w:sz="6" w:space="0" w:color="auto"/>
              <w:bottom w:val="single" w:sz="4" w:space="0" w:color="auto"/>
              <w:right w:val="single" w:sz="6" w:space="0" w:color="auto"/>
            </w:tcBorders>
            <w:vAlign w:val="center"/>
            <w:hideMark/>
          </w:tcPr>
          <w:p w14:paraId="60949A93" w14:textId="77777777" w:rsidR="00B97365" w:rsidRDefault="00000000">
            <w:pPr>
              <w:rPr>
                <w:rFonts w:cs="Calibri"/>
                <w:sz w:val="16"/>
                <w:szCs w:val="16"/>
                <w:lang w:val="en-US"/>
              </w:rPr>
            </w:pPr>
            <w:r>
              <w:rPr>
                <w:rFonts w:cs="Calibri"/>
                <w:sz w:val="16"/>
                <w:szCs w:val="16"/>
                <w:lang w:val="en-US"/>
              </w:rPr>
              <w:t>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3FFAD231"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4" w:space="0" w:color="auto"/>
              <w:right w:val="single" w:sz="6" w:space="0" w:color="auto"/>
            </w:tcBorders>
            <w:vAlign w:val="center"/>
            <w:hideMark/>
          </w:tcPr>
          <w:p w14:paraId="145E8502"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4" w:space="0" w:color="auto"/>
              <w:right w:val="single" w:sz="4" w:space="0" w:color="auto"/>
            </w:tcBorders>
            <w:vAlign w:val="center"/>
            <w:hideMark/>
          </w:tcPr>
          <w:p w14:paraId="09216417" w14:textId="77777777" w:rsidR="00B97365" w:rsidRDefault="00000000">
            <w:pPr>
              <w:rPr>
                <w:rFonts w:cs="Calibri"/>
                <w:sz w:val="16"/>
                <w:szCs w:val="16"/>
                <w:lang w:val="en-US"/>
              </w:rPr>
            </w:pPr>
            <w:r>
              <w:rPr>
                <w:rFonts w:cs="Calibri"/>
                <w:sz w:val="16"/>
                <w:szCs w:val="16"/>
              </w:rPr>
              <w:t xml:space="preserve">Indicates that the SM-SR, identified by this smsr-id, is unknown to or whose address cannot be resolved by the function provider. </w:t>
            </w:r>
          </w:p>
        </w:tc>
      </w:tr>
    </w:tbl>
    <w:p w14:paraId="410CEF26"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5313-B: Set PLMA Specific Status Codes</w:t>
      </w:r>
    </w:p>
    <w:p w14:paraId="283F64B7"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60" w:name="_Ref536546077"/>
      <w:bookmarkStart w:id="3561" w:name="_Toc1977365"/>
      <w:bookmarkStart w:id="3562" w:name="_Toc37062524"/>
      <w:bookmarkStart w:id="3563" w:name="_Toc88839598"/>
      <w:bookmarkStart w:id="3564" w:name="_Toc121504006"/>
      <w:r>
        <w:rPr>
          <w:rFonts w:eastAsia="Times New Roman" w:cs="Arial"/>
          <w:b/>
          <w:bCs/>
          <w:iCs/>
          <w:sz w:val="24"/>
          <w:szCs w:val="26"/>
          <w:lang w:eastAsia="en-US"/>
        </w:rPr>
        <w:t>Retrieving Authorisations of M2M SP to Access Profiles</w:t>
      </w:r>
      <w:bookmarkEnd w:id="3560"/>
      <w:bookmarkEnd w:id="3561"/>
      <w:bookmarkEnd w:id="3562"/>
      <w:bookmarkEnd w:id="3563"/>
      <w:bookmarkEnd w:id="3564"/>
    </w:p>
    <w:p w14:paraId="2307872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GetPLMA</w:t>
      </w:r>
    </w:p>
    <w:p w14:paraId="72D82E91" w14:textId="77777777" w:rsidR="00B97365" w:rsidRDefault="00000000">
      <w:pPr>
        <w:spacing w:before="0" w:after="200" w:line="276" w:lineRule="auto"/>
        <w:jc w:val="left"/>
        <w:rPr>
          <w:szCs w:val="22"/>
          <w:lang w:eastAsia="en-GB" w:bidi="ar-SA"/>
        </w:rPr>
      </w:pPr>
      <w:r>
        <w:rPr>
          <w:rFonts w:cs="Arial"/>
          <w:b/>
          <w:szCs w:val="22"/>
          <w:lang w:val="en-US" w:eastAsia="en-GB" w:bidi="ar-SA"/>
        </w:rPr>
        <w:t>Related Procedures</w:t>
      </w:r>
      <w:r>
        <w:rPr>
          <w:szCs w:val="22"/>
          <w:lang w:val="en-US" w:eastAsia="en-GB" w:bidi="ar-SA"/>
        </w:rPr>
        <w:t>: Retrieve Profile Lifecycle Management Authorisations by Operator</w:t>
      </w:r>
    </w:p>
    <w:p w14:paraId="6A7F5D3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33291B5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4B0BCB0D"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Description</w:t>
      </w:r>
      <w:r>
        <w:rPr>
          <w:szCs w:val="22"/>
          <w:lang w:val="en-US" w:eastAsia="en-GB" w:bidi="ar-SA"/>
        </w:rPr>
        <w:t xml:space="preserve">: </w:t>
      </w:r>
    </w:p>
    <w:p w14:paraId="1E798CC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Operator owner of Profiles to retrieve a list of PLMAs applicable to a certain Profile, or a certain Profile Type, or for a certain M2M SP.</w:t>
      </w:r>
    </w:p>
    <w:p w14:paraId="3819E2E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same function can also be used by the Operator playing the role of an M2M SP, to retrieve the list of PLMAs granted to this Operator, and applicable to a certain Profile, or a certain Profile Type, owned by another Operator.</w:t>
      </w:r>
    </w:p>
    <w:p w14:paraId="54230F30" w14:textId="5DC4B495"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SM-DP receiving this request SHALL forward it to the SM-SR indicated by the Operator, according to procedure “Retrieve Profile Lifecycle Management Authorisations via SM-DP” described in section </w:t>
      </w:r>
      <w:r>
        <w:fldChar w:fldCharType="begin"/>
      </w:r>
      <w:r>
        <w:instrText xml:space="preserve"> REF _Ref367973937 \r \h  \* MERGEFORMAT </w:instrText>
      </w:r>
      <w:r>
        <w:fldChar w:fldCharType="separate"/>
      </w:r>
      <w:r w:rsidR="001D5AD9" w:rsidRPr="001D5AD9">
        <w:rPr>
          <w:szCs w:val="22"/>
          <w:lang w:val="en-US" w:eastAsia="en-GB" w:bidi="ar-SA"/>
        </w:rPr>
        <w:t>3.3</w:t>
      </w:r>
      <w:r>
        <w:fldChar w:fldCharType="end"/>
      </w:r>
      <w:r>
        <w:t>.4</w:t>
      </w:r>
      <w:r>
        <w:rPr>
          <w:szCs w:val="22"/>
          <w:lang w:val="en-US" w:eastAsia="en-GB" w:bidi="ar-SA"/>
        </w:rPr>
        <w:t xml:space="preserve"> of this specification.</w:t>
      </w:r>
    </w:p>
    <w:p w14:paraId="600A78A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0CC3A52B"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and additional output data providing the PLMAs.</w:t>
      </w:r>
    </w:p>
    <w:p w14:paraId="48A417D2"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to indicate that the result was truncated, plus additional output data providing part of the list of applicable PLMAs.</w:t>
      </w:r>
    </w:p>
    <w:p w14:paraId="5A32ABC7" w14:textId="77777777" w:rsidR="00B97365" w:rsidRDefault="00000000">
      <w:pPr>
        <w:numPr>
          <w:ilvl w:val="0"/>
          <w:numId w:val="65"/>
        </w:numPr>
        <w:spacing w:before="0" w:after="200" w:line="276" w:lineRule="auto"/>
        <w:contextualSpacing/>
        <w:rPr>
          <w:szCs w:val="22"/>
          <w:lang w:eastAsia="en-GB" w:bidi="ar-SA"/>
        </w:rPr>
      </w:pPr>
      <w:r>
        <w:rPr>
          <w:szCs w:val="22"/>
          <w:lang w:eastAsia="en-GB" w:bidi="ar-SA"/>
        </w:rPr>
        <w:t>A 'Function execution status' indicating 'Failed' with a status code as defined in section 5.1.6.4 or a specific status code as defined in the table below.</w:t>
      </w:r>
    </w:p>
    <w:p w14:paraId="64F4DEFC"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515"/>
        <w:gridCol w:w="5630"/>
        <w:gridCol w:w="590"/>
        <w:gridCol w:w="474"/>
        <w:gridCol w:w="590"/>
      </w:tblGrid>
      <w:tr w:rsidR="00B97365" w14:paraId="75EB677E"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11B66C1"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341C199"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CACC8FE"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A7C43E"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E203DB0"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6307EC8"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62EE55D1"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profileType</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C5F154E" w14:textId="77777777" w:rsidR="00B97365" w:rsidRDefault="00000000">
            <w:pPr>
              <w:rPr>
                <w:rFonts w:cs="Calibri"/>
                <w:sz w:val="16"/>
                <w:szCs w:val="16"/>
                <w:lang w:val="en-US"/>
              </w:rPr>
            </w:pPr>
            <w:r>
              <w:rPr>
                <w:rFonts w:cs="Calibri"/>
                <w:sz w:val="16"/>
                <w:szCs w:val="16"/>
                <w:lang w:val="en-US"/>
              </w:rPr>
              <w:t>Identification of the Profile type for which PLMAs are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16C13E22"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String</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0E796E4E"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6389528B"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2DFB35EE"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2D7C81CB"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m2m-sp-id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1C8C18FF" w14:textId="77777777" w:rsidR="00B97365" w:rsidRDefault="00000000">
            <w:pPr>
              <w:rPr>
                <w:rFonts w:cs="Calibri"/>
                <w:sz w:val="16"/>
                <w:szCs w:val="16"/>
                <w:lang w:val="en-US"/>
              </w:rPr>
            </w:pPr>
            <w:r>
              <w:rPr>
                <w:rFonts w:cs="Calibri"/>
                <w:sz w:val="16"/>
                <w:szCs w:val="16"/>
                <w:lang w:val="en-US"/>
              </w:rPr>
              <w:t>Identification of the M2M SP for which PLMAs are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45A7B6B8"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4E1980A4"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4368FE93"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40555B93"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1950ADDA"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iccid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472A3520" w14:textId="77777777" w:rsidR="00B97365" w:rsidRDefault="00000000">
            <w:pPr>
              <w:rPr>
                <w:rFonts w:cs="Calibri"/>
                <w:sz w:val="16"/>
                <w:szCs w:val="16"/>
                <w:lang w:val="en-US"/>
              </w:rPr>
            </w:pPr>
            <w:r>
              <w:rPr>
                <w:rFonts w:cs="Calibri"/>
                <w:sz w:val="16"/>
                <w:szCs w:val="16"/>
                <w:lang w:val="en-US"/>
              </w:rPr>
              <w:t>Identification of one specific Profile  for which PLMAs are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3944D78E"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210E2EA4"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38200B11"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2F66966D"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25A6EC6C" w14:textId="77777777" w:rsidR="00B97365" w:rsidRDefault="00000000">
            <w:pPr>
              <w:keepNext/>
              <w:keepLines/>
              <w:tabs>
                <w:tab w:val="num" w:pos="1152"/>
                <w:tab w:val="num" w:pos="2160"/>
              </w:tabs>
              <w:spacing w:line="260" w:lineRule="atLeast"/>
              <w:ind w:left="1152" w:hanging="1152"/>
              <w:rPr>
                <w:rFonts w:cs="Calibri"/>
                <w:sz w:val="16"/>
                <w:szCs w:val="16"/>
                <w:lang w:val="en-US"/>
              </w:rPr>
            </w:pPr>
            <w:r>
              <w:rPr>
                <w:rFonts w:cs="Calibri"/>
                <w:sz w:val="16"/>
                <w:szCs w:val="16"/>
              </w:rPr>
              <w:t>mno-id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0FC8B2CB" w14:textId="77777777" w:rsidR="00B97365" w:rsidRDefault="00000000">
            <w:pPr>
              <w:rPr>
                <w:rFonts w:cs="Calibri"/>
                <w:sz w:val="16"/>
                <w:szCs w:val="16"/>
                <w:lang w:val="en-US"/>
              </w:rPr>
            </w:pPr>
            <w:r>
              <w:rPr>
                <w:rFonts w:cs="Calibri"/>
                <w:sz w:val="16"/>
                <w:szCs w:val="16"/>
                <w:lang w:val="en-US"/>
              </w:rPr>
              <w:t>Identification of the Operator owning the Profiles to be matched (this input datum SHALL be present only in case the search criterion is a Profile Type).</w:t>
            </w:r>
          </w:p>
          <w:p w14:paraId="217FDB22" w14:textId="53952D6C" w:rsidR="00B97365" w:rsidRDefault="00000000">
            <w:pPr>
              <w:rPr>
                <w:rFonts w:cs="Calibri"/>
                <w:sz w:val="16"/>
                <w:szCs w:val="16"/>
                <w:lang w:val="en-US"/>
              </w:rPr>
            </w:pPr>
            <w:r>
              <w:rPr>
                <w:rFonts w:cs="Calibri"/>
                <w:sz w:val="16"/>
                <w:szCs w:val="16"/>
                <w:lang w:val="en-US"/>
              </w:rPr>
              <w:t xml:space="preserve">See section </w:t>
            </w:r>
            <w:r>
              <w:rPr>
                <w:rFonts w:cs="Calibri"/>
                <w:sz w:val="16"/>
                <w:szCs w:val="16"/>
                <w:lang w:val="en-US"/>
              </w:rPr>
              <w:fldChar w:fldCharType="begin"/>
            </w:r>
            <w:r>
              <w:rPr>
                <w:rFonts w:cs="Calibri"/>
                <w:sz w:val="16"/>
                <w:szCs w:val="16"/>
                <w:lang w:val="en-US"/>
              </w:rPr>
              <w:instrText xml:space="preserve"> REF _Ref367973980 \r \h  \* MERGEFORMAT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5.1.1.1</w:t>
            </w:r>
            <w:r>
              <w:rPr>
                <w:rFonts w:cs="Calibri"/>
                <w:sz w:val="16"/>
                <w:szCs w:val="16"/>
                <w:lang w:val="en-US"/>
              </w:rP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41066278"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2CFC7B7F"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6D1A922C"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1EF79E99"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0DA59191" w14:textId="77777777" w:rsidR="00B97365" w:rsidRDefault="00000000">
            <w:pPr>
              <w:keepNext/>
              <w:keepLines/>
              <w:tabs>
                <w:tab w:val="num" w:pos="1152"/>
                <w:tab w:val="num" w:pos="2160"/>
              </w:tabs>
              <w:spacing w:line="260" w:lineRule="atLeast"/>
              <w:ind w:left="1152" w:hanging="1152"/>
              <w:rPr>
                <w:rFonts w:cs="Calibri"/>
                <w:sz w:val="16"/>
                <w:szCs w:val="16"/>
                <w:lang w:val="en-US"/>
              </w:rPr>
            </w:pPr>
            <w:r>
              <w:rPr>
                <w:rFonts w:cs="Calibri"/>
                <w:sz w:val="16"/>
                <w:szCs w:val="16"/>
              </w:rPr>
              <w:t>smsr-id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23CE2378" w14:textId="77777777" w:rsidR="00B97365" w:rsidRDefault="00000000">
            <w:pPr>
              <w:autoSpaceDE w:val="0"/>
              <w:autoSpaceDN w:val="0"/>
              <w:adjustRightInd w:val="0"/>
              <w:spacing w:line="276" w:lineRule="auto"/>
              <w:rPr>
                <w:rFonts w:eastAsia="MS Mincho" w:cs="Arial"/>
                <w:color w:val="000000"/>
                <w:sz w:val="16"/>
                <w:szCs w:val="16"/>
                <w:lang w:val="en-US" w:eastAsia="ja-JP" w:bidi="ar-SA"/>
              </w:rPr>
            </w:pPr>
            <w:r>
              <w:rPr>
                <w:rFonts w:eastAsia="MS Mincho" w:cs="Arial"/>
                <w:color w:val="000000"/>
                <w:sz w:val="16"/>
                <w:szCs w:val="16"/>
                <w:lang w:val="en-US" w:eastAsia="ja-JP" w:bidi="ar-SA"/>
              </w:rPr>
              <w:t xml:space="preserve">Identification of the SM-SR from which to retrieve the PLMAs. </w:t>
            </w:r>
          </w:p>
          <w:p w14:paraId="36338A7C" w14:textId="77777777" w:rsidR="00B97365" w:rsidRDefault="00000000">
            <w:pPr>
              <w:rPr>
                <w:rFonts w:cs="Calibri"/>
                <w:sz w:val="16"/>
                <w:szCs w:val="16"/>
                <w:lang w:val="en-US"/>
              </w:rPr>
            </w:pPr>
            <w:r>
              <w:rPr>
                <w:sz w:val="16"/>
                <w:szCs w:val="16"/>
              </w:rPr>
              <w:t xml:space="preserve">This information may change during the eUICC's lifetime. </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7254935B"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31A601DF"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48A28C92"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1C8C1A18"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5314-A: GetPLMA Additional Input Data</w:t>
      </w:r>
    </w:p>
    <w:p w14:paraId="45D1BB4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One and only one of the input data </w:t>
      </w:r>
      <w:r>
        <w:rPr>
          <w:rFonts w:cs="Calibri"/>
          <w:szCs w:val="22"/>
        </w:rPr>
        <w:t>profileType</w:t>
      </w:r>
      <w:r>
        <w:rPr>
          <w:rFonts w:cs="Arial"/>
          <w:szCs w:val="22"/>
          <w:lang w:val="en-US" w:eastAsia="en-GB" w:bidi="ar-SA"/>
        </w:rPr>
        <w:t xml:space="preserve">, </w:t>
      </w:r>
      <w:r>
        <w:rPr>
          <w:rFonts w:cs="Calibri"/>
          <w:szCs w:val="22"/>
          <w:lang w:val="en-US"/>
        </w:rPr>
        <w:t>m2m-sp-id</w:t>
      </w:r>
      <w:r>
        <w:rPr>
          <w:rFonts w:cs="Arial"/>
          <w:szCs w:val="22"/>
          <w:lang w:val="en-US" w:eastAsia="en-GB" w:bidi="ar-SA"/>
        </w:rPr>
        <w:t xml:space="preserve"> and </w:t>
      </w:r>
      <w:r>
        <w:rPr>
          <w:rFonts w:cs="Calibri"/>
          <w:szCs w:val="22"/>
          <w:lang w:val="en-US"/>
        </w:rPr>
        <w:t>iccid</w:t>
      </w:r>
      <w:r>
        <w:rPr>
          <w:rFonts w:cs="Arial"/>
          <w:szCs w:val="22"/>
          <w:lang w:val="en-US" w:eastAsia="en-GB" w:bidi="ar-SA"/>
        </w:rPr>
        <w:t xml:space="preserve"> SHALL be present.</w:t>
      </w:r>
    </w:p>
    <w:p w14:paraId="1A0A3AE2"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01"/>
        <w:gridCol w:w="3591"/>
        <w:gridCol w:w="576"/>
        <w:gridCol w:w="409"/>
        <w:gridCol w:w="525"/>
      </w:tblGrid>
      <w:tr w:rsidR="00B97365" w14:paraId="7972DDA7"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581AA66"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A72CAAC"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0D5E421"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89D8FF0"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FA7F51B"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0FFDCA11"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6AE4F7F" w14:textId="77777777" w:rsidR="00B97365" w:rsidRDefault="00000000">
            <w:pPr>
              <w:tabs>
                <w:tab w:val="right" w:pos="7938"/>
              </w:tabs>
              <w:ind w:left="470" w:hanging="459"/>
              <w:rPr>
                <w:rFonts w:cs="Calibri"/>
                <w:sz w:val="16"/>
                <w:szCs w:val="16"/>
              </w:rPr>
            </w:pPr>
            <w:r>
              <w:rPr>
                <w:rFonts w:cs="Calibri"/>
                <w:sz w:val="16"/>
                <w:szCs w:val="16"/>
              </w:rPr>
              <w:t>plma</w:t>
            </w:r>
          </w:p>
        </w:tc>
        <w:tc>
          <w:tcPr>
            <w:tcW w:w="0" w:type="auto"/>
            <w:tcBorders>
              <w:top w:val="single" w:sz="6" w:space="0" w:color="auto"/>
              <w:left w:val="single" w:sz="6" w:space="0" w:color="auto"/>
              <w:bottom w:val="single" w:sz="4" w:space="0" w:color="auto"/>
              <w:right w:val="single" w:sz="6" w:space="0" w:color="auto"/>
            </w:tcBorders>
            <w:vAlign w:val="center"/>
            <w:hideMark/>
          </w:tcPr>
          <w:p w14:paraId="282C907B" w14:textId="77777777" w:rsidR="00B97365" w:rsidRDefault="00000000">
            <w:pPr>
              <w:rPr>
                <w:rFonts w:cs="Calibri"/>
                <w:sz w:val="16"/>
                <w:szCs w:val="16"/>
              </w:rPr>
            </w:pPr>
            <w:r>
              <w:rPr>
                <w:rFonts w:cs="Calibri"/>
                <w:sz w:val="16"/>
                <w:szCs w:val="16"/>
              </w:rPr>
              <w:t xml:space="preserve">The list of PLMAs that match the search criterion </w:t>
            </w:r>
          </w:p>
          <w:p w14:paraId="50AF9440" w14:textId="77777777" w:rsidR="00B97365" w:rsidRDefault="00000000">
            <w:pPr>
              <w:rPr>
                <w:rFonts w:cs="Calibri"/>
                <w:sz w:val="16"/>
                <w:szCs w:val="16"/>
              </w:rPr>
            </w:pPr>
            <w:r>
              <w:rPr>
                <w:rFonts w:cs="Calibri"/>
                <w:sz w:val="16"/>
                <w:szCs w:val="16"/>
              </w:rPr>
              <w:t xml:space="preserve">See </w:t>
            </w:r>
            <w:r>
              <w:rPr>
                <w:rFonts w:cs="Calibri"/>
                <w:sz w:val="16"/>
                <w:szCs w:val="16"/>
                <w:lang w:val="en-US"/>
              </w:rPr>
              <w:t>section 5.1.1.2.14</w:t>
            </w:r>
            <w:r>
              <w:t xml:space="preserve"> </w:t>
            </w:r>
            <w:r>
              <w:rPr>
                <w:rFonts w:cs="Calibri"/>
                <w:sz w:val="16"/>
                <w:szCs w:val="16"/>
              </w:rPr>
              <w:t>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7AD745B8" w14:textId="77777777" w:rsidR="00B97365" w:rsidRDefault="00000000">
            <w:pPr>
              <w:jc w:val="center"/>
              <w:rPr>
                <w:rFonts w:cs="Calibri"/>
                <w:sz w:val="16"/>
                <w:szCs w:val="16"/>
              </w:rPr>
            </w:pPr>
            <w:r>
              <w:rPr>
                <w:rFonts w:cs="Calibri"/>
                <w:sz w:val="16"/>
                <w:szCs w:val="16"/>
              </w:rPr>
              <w:t>PLMA</w:t>
            </w:r>
          </w:p>
        </w:tc>
        <w:tc>
          <w:tcPr>
            <w:tcW w:w="0" w:type="auto"/>
            <w:tcBorders>
              <w:top w:val="single" w:sz="6" w:space="0" w:color="auto"/>
              <w:left w:val="single" w:sz="6" w:space="0" w:color="auto"/>
              <w:bottom w:val="single" w:sz="4" w:space="0" w:color="auto"/>
              <w:right w:val="single" w:sz="6" w:space="0" w:color="auto"/>
            </w:tcBorders>
            <w:vAlign w:val="center"/>
            <w:hideMark/>
          </w:tcPr>
          <w:p w14:paraId="2F9AA851" w14:textId="77777777" w:rsidR="00B97365" w:rsidRDefault="00000000">
            <w:pPr>
              <w:jc w:val="center"/>
              <w:rPr>
                <w:rFonts w:cs="Calibri"/>
                <w:sz w:val="16"/>
                <w:szCs w:val="16"/>
              </w:rPr>
            </w:pPr>
            <w:r>
              <w:rPr>
                <w:rFonts w:cs="Calibri"/>
                <w:sz w:val="16"/>
                <w:szCs w:val="16"/>
              </w:rPr>
              <w:t>N</w:t>
            </w:r>
          </w:p>
        </w:tc>
        <w:tc>
          <w:tcPr>
            <w:tcW w:w="0" w:type="auto"/>
            <w:tcBorders>
              <w:top w:val="single" w:sz="6" w:space="0" w:color="auto"/>
              <w:left w:val="single" w:sz="6" w:space="0" w:color="auto"/>
              <w:bottom w:val="single" w:sz="4" w:space="0" w:color="auto"/>
              <w:right w:val="single" w:sz="4" w:space="0" w:color="auto"/>
            </w:tcBorders>
            <w:vAlign w:val="center"/>
            <w:hideMark/>
          </w:tcPr>
          <w:p w14:paraId="5B380AA9" w14:textId="77777777" w:rsidR="00B97365" w:rsidRDefault="00000000">
            <w:pPr>
              <w:jc w:val="center"/>
              <w:rPr>
                <w:rFonts w:cs="Calibri"/>
                <w:sz w:val="16"/>
                <w:szCs w:val="16"/>
              </w:rPr>
            </w:pPr>
            <w:r>
              <w:rPr>
                <w:rFonts w:cs="Calibri"/>
                <w:sz w:val="16"/>
                <w:szCs w:val="16"/>
              </w:rPr>
              <w:t>M</w:t>
            </w:r>
          </w:p>
        </w:tc>
      </w:tr>
    </w:tbl>
    <w:p w14:paraId="163DAB65"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5314-B: GetPLMA Additional Output Data</w:t>
      </w:r>
    </w:p>
    <w:p w14:paraId="56E50487"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Specific status codes</w:t>
      </w:r>
    </w:p>
    <w:p w14:paraId="2AEB89C8" w14:textId="77777777" w:rsidR="00B97365" w:rsidRDefault="00000000">
      <w:pPr>
        <w:spacing w:before="0" w:after="200" w:line="276" w:lineRule="auto"/>
        <w:jc w:val="left"/>
        <w:rPr>
          <w:szCs w:val="22"/>
          <w:lang w:val="en-US" w:eastAsia="en-GB" w:bidi="ar-SA"/>
        </w:rPr>
      </w:pPr>
      <w:r>
        <w:rPr>
          <w:szCs w:val="22"/>
          <w:lang w:val="en-US" w:eastAsia="en-GB" w:bidi="ar-SA"/>
        </w:rPr>
        <w:lastRenderedPageBreak/>
        <w:t>In addition to the Status codes returned by ES3.GetPLMA, this function can return the following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718"/>
        <w:gridCol w:w="718"/>
        <w:gridCol w:w="808"/>
        <w:gridCol w:w="6054"/>
      </w:tblGrid>
      <w:tr w:rsidR="00B97365" w14:paraId="1D2423EA"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9119639" w14:textId="77777777" w:rsidR="00B97365" w:rsidRDefault="00000000">
            <w:pPr>
              <w:jc w:val="center"/>
              <w:rPr>
                <w:rFonts w:cs="Calibri"/>
                <w:b/>
                <w:color w:val="FFFFFF"/>
                <w:sz w:val="16"/>
                <w:szCs w:val="16"/>
              </w:rPr>
            </w:pPr>
            <w:r>
              <w:rPr>
                <w:rFonts w:cs="Calibri"/>
                <w:b/>
                <w:color w:val="FFFFFF"/>
                <w:sz w:val="16"/>
                <w:szCs w:val="16"/>
              </w:rPr>
              <w:t>Subject</w:t>
            </w:r>
          </w:p>
          <w:p w14:paraId="22BCD702"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1913A73"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B7C15A1" w14:textId="77777777" w:rsidR="00B97365" w:rsidRDefault="00000000">
            <w:pPr>
              <w:jc w:val="center"/>
              <w:rPr>
                <w:rFonts w:cs="Calibri"/>
                <w:b/>
                <w:color w:val="FFFFFF"/>
                <w:sz w:val="16"/>
                <w:szCs w:val="16"/>
              </w:rPr>
            </w:pPr>
            <w:r>
              <w:rPr>
                <w:rFonts w:cs="Calibri"/>
                <w:b/>
                <w:color w:val="FFFFFF"/>
                <w:sz w:val="16"/>
                <w:szCs w:val="16"/>
              </w:rPr>
              <w:t>Reason</w:t>
            </w:r>
          </w:p>
          <w:p w14:paraId="6256C91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66E0852"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64200C4"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4490DEC3"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E829124" w14:textId="77777777" w:rsidR="00B97365" w:rsidRDefault="00000000">
            <w:pPr>
              <w:jc w:val="center"/>
              <w:rPr>
                <w:rFonts w:cs="Calibri"/>
                <w:sz w:val="16"/>
                <w:szCs w:val="16"/>
              </w:rPr>
            </w:pPr>
            <w:r>
              <w:rPr>
                <w:rFonts w:cs="Calibri"/>
                <w:sz w:val="16"/>
                <w:szCs w:val="16"/>
              </w:rPr>
              <w:t>8.7</w:t>
            </w:r>
          </w:p>
        </w:tc>
        <w:tc>
          <w:tcPr>
            <w:tcW w:w="0" w:type="auto"/>
            <w:tcBorders>
              <w:top w:val="single" w:sz="6" w:space="0" w:color="auto"/>
              <w:left w:val="single" w:sz="6" w:space="0" w:color="auto"/>
              <w:bottom w:val="single" w:sz="4" w:space="0" w:color="auto"/>
              <w:right w:val="single" w:sz="6" w:space="0" w:color="auto"/>
            </w:tcBorders>
            <w:vAlign w:val="center"/>
            <w:hideMark/>
          </w:tcPr>
          <w:p w14:paraId="4206D058" w14:textId="77777777" w:rsidR="00B97365" w:rsidRDefault="00000000">
            <w:pPr>
              <w:rPr>
                <w:rFonts w:cs="Calibri"/>
                <w:sz w:val="16"/>
                <w:szCs w:val="16"/>
                <w:lang w:val="en-US"/>
              </w:rPr>
            </w:pPr>
            <w:r>
              <w:rPr>
                <w:rFonts w:cs="Calibri"/>
                <w:sz w:val="16"/>
                <w:szCs w:val="16"/>
                <w:lang w:val="en-US"/>
              </w:rPr>
              <w:t>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1A7397A3"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4" w:space="0" w:color="auto"/>
              <w:right w:val="single" w:sz="6" w:space="0" w:color="auto"/>
            </w:tcBorders>
            <w:vAlign w:val="center"/>
            <w:hideMark/>
          </w:tcPr>
          <w:p w14:paraId="5F8D0F9F"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4" w:space="0" w:color="auto"/>
              <w:right w:val="single" w:sz="4" w:space="0" w:color="auto"/>
            </w:tcBorders>
            <w:vAlign w:val="center"/>
            <w:hideMark/>
          </w:tcPr>
          <w:p w14:paraId="419D2492" w14:textId="77777777" w:rsidR="00B97365" w:rsidRDefault="00000000">
            <w:pPr>
              <w:rPr>
                <w:rFonts w:cs="Calibri"/>
                <w:sz w:val="16"/>
                <w:szCs w:val="16"/>
                <w:lang w:val="en-US"/>
              </w:rPr>
            </w:pPr>
            <w:r>
              <w:rPr>
                <w:rFonts w:cs="Calibri"/>
                <w:sz w:val="16"/>
                <w:szCs w:val="16"/>
              </w:rPr>
              <w:t xml:space="preserve">Indicates that the SM-SR, identified by this smsr-id, is unknown to or whose address cannot be resolved by the function provider. </w:t>
            </w:r>
          </w:p>
        </w:tc>
      </w:tr>
    </w:tbl>
    <w:p w14:paraId="04BEC3FF"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5313-C: GetPLMA Specific Status Codes</w:t>
      </w:r>
    </w:p>
    <w:p w14:paraId="2571C95B"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65" w:name="_Toc1977366"/>
      <w:bookmarkStart w:id="3566" w:name="_Toc37062525"/>
      <w:bookmarkStart w:id="3567" w:name="_Toc88839599"/>
      <w:bookmarkStart w:id="3568" w:name="_Toc121504007"/>
      <w:r>
        <w:rPr>
          <w:rFonts w:eastAsia="Times New Roman" w:cs="Arial"/>
          <w:b/>
          <w:bCs/>
          <w:iCs/>
          <w:sz w:val="24"/>
          <w:szCs w:val="26"/>
          <w:lang w:eastAsia="en-US"/>
        </w:rPr>
        <w:t>Notify a Profile Download</w:t>
      </w:r>
      <w:bookmarkEnd w:id="3565"/>
      <w:bookmarkEnd w:id="3566"/>
      <w:bookmarkEnd w:id="3567"/>
      <w:bookmarkEnd w:id="3568"/>
    </w:p>
    <w:p w14:paraId="194678F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HandleProfileDownloadNotification</w:t>
      </w:r>
    </w:p>
    <w:p w14:paraId="3F9C159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t xml:space="preserve">Profile Download </w:t>
      </w:r>
    </w:p>
    <w:p w14:paraId="61F61F7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3A222CF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 (in the role of an M2M SP)</w:t>
      </w:r>
    </w:p>
    <w:p w14:paraId="4C23C88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an Operator (acting as an M2M SP from the point of view of another Operator) that the Profile identified by its ICCID has been downloaded on the eUICC identified by its EID.</w:t>
      </w:r>
    </w:p>
    <w:p w14:paraId="13D2051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w:t>
      </w:r>
    </w:p>
    <w:p w14:paraId="7B19455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13856D6D"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4899"/>
        <w:gridCol w:w="949"/>
        <w:gridCol w:w="398"/>
        <w:gridCol w:w="514"/>
      </w:tblGrid>
      <w:tr w:rsidR="00B97365" w14:paraId="6EB6510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0C3B436"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EE52546"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7D3EE55"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86B1AA8"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FEA6876"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49E4AA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34E80E8"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5B433B3" w14:textId="77777777" w:rsidR="00B97365" w:rsidRDefault="00000000">
            <w:pPr>
              <w:rPr>
                <w:rFonts w:cs="Calibri"/>
                <w:sz w:val="16"/>
                <w:szCs w:val="16"/>
              </w:rPr>
            </w:pPr>
            <w:r>
              <w:rPr>
                <w:rFonts w:cs="Calibri"/>
                <w:sz w:val="16"/>
                <w:szCs w:val="16"/>
              </w:rPr>
              <w:t>Identification of the targeted eUICC.</w:t>
            </w:r>
          </w:p>
          <w:p w14:paraId="7D3037AF" w14:textId="18768E26"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_Ref367975471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DD536BA"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7A144AE"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0D48926"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5069AC2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7A2A5F6" w14:textId="77777777" w:rsidR="00B97365" w:rsidRDefault="00000000">
            <w:pPr>
              <w:spacing w:line="260" w:lineRule="atLeast"/>
              <w:ind w:left="1531" w:hanging="1531"/>
              <w:outlineLvl w:val="8"/>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5C5982B" w14:textId="77777777" w:rsidR="00B97365" w:rsidRDefault="00000000">
            <w:pPr>
              <w:tabs>
                <w:tab w:val="right" w:pos="7938"/>
              </w:tabs>
              <w:ind w:left="470" w:hanging="459"/>
              <w:rPr>
                <w:rFonts w:cs="Calibri"/>
                <w:sz w:val="16"/>
                <w:szCs w:val="16"/>
              </w:rPr>
            </w:pPr>
            <w:r>
              <w:rPr>
                <w:rFonts w:cs="Calibri"/>
                <w:sz w:val="16"/>
                <w:szCs w:val="16"/>
              </w:rPr>
              <w:t>Identification of the Profile that has been downloaded.</w:t>
            </w:r>
          </w:p>
          <w:p w14:paraId="386BA69A" w14:textId="5953CEF7"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4E33AE3"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C56E13E"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C0BEC00" w14:textId="77777777" w:rsidR="00B97365" w:rsidRDefault="00000000">
            <w:pPr>
              <w:jc w:val="center"/>
              <w:rPr>
                <w:rFonts w:cs="Calibri"/>
                <w:sz w:val="16"/>
                <w:szCs w:val="16"/>
              </w:rPr>
            </w:pPr>
            <w:r>
              <w:rPr>
                <w:rFonts w:cs="Calibri"/>
                <w:sz w:val="16"/>
                <w:szCs w:val="16"/>
              </w:rPr>
              <w:t>M</w:t>
            </w:r>
          </w:p>
        </w:tc>
      </w:tr>
      <w:tr w:rsidR="00B97365" w14:paraId="3B320B2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0FEC43E" w14:textId="77777777" w:rsidR="00B97365" w:rsidRDefault="00000000">
            <w:pPr>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48BB311A" w14:textId="77777777" w:rsidR="00B97365" w:rsidRDefault="00000000">
            <w:pPr>
              <w:rPr>
                <w:rFonts w:cs="Calibri"/>
                <w:sz w:val="16"/>
                <w:szCs w:val="16"/>
              </w:rPr>
            </w:pPr>
            <w:r>
              <w:rPr>
                <w:rFonts w:cs="Calibri"/>
                <w:sz w:val="16"/>
                <w:szCs w:val="16"/>
              </w:rPr>
              <w:t>Indication of the date/time when the operation has been performed.</w:t>
            </w:r>
          </w:p>
          <w:p w14:paraId="50577D39" w14:textId="19635D85"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476BE3A6" w14:textId="77777777" w:rsidR="00B97365" w:rsidRDefault="00000000">
            <w:pPr>
              <w:jc w:val="center"/>
              <w:rPr>
                <w:rFonts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11093F62"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AD1518B" w14:textId="77777777" w:rsidR="00B97365" w:rsidRDefault="00000000">
            <w:pPr>
              <w:jc w:val="center"/>
              <w:rPr>
                <w:rFonts w:cs="Calibri"/>
                <w:sz w:val="16"/>
                <w:szCs w:val="16"/>
              </w:rPr>
            </w:pPr>
            <w:r>
              <w:rPr>
                <w:rFonts w:cs="Calibri"/>
                <w:sz w:val="16"/>
                <w:szCs w:val="16"/>
              </w:rPr>
              <w:t>M</w:t>
            </w:r>
          </w:p>
        </w:tc>
      </w:tr>
    </w:tbl>
    <w:p w14:paraId="09E29FDA" w14:textId="77777777" w:rsidR="00B97365" w:rsidRDefault="00000000">
      <w:pPr>
        <w:spacing w:after="320" w:line="276" w:lineRule="auto"/>
        <w:jc w:val="center"/>
        <w:rPr>
          <w:rFonts w:cs="Arial"/>
          <w:b/>
          <w:szCs w:val="22"/>
          <w:lang w:eastAsia="en-US"/>
        </w:rPr>
      </w:pPr>
      <w:r>
        <w:rPr>
          <w:rFonts w:cs="Arial"/>
          <w:b/>
          <w:szCs w:val="22"/>
          <w:lang w:eastAsia="de-DE" w:bidi="ar-SA"/>
        </w:rPr>
        <w:t>Table 5315: Handle Profile Downloaded Notification Additional Input Data</w:t>
      </w:r>
    </w:p>
    <w:p w14:paraId="561B290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69" w:name="_Toc1977367"/>
      <w:bookmarkStart w:id="3570" w:name="_Toc37062526"/>
      <w:bookmarkStart w:id="3571" w:name="_Toc88839600"/>
      <w:bookmarkStart w:id="3572" w:name="_Toc121504008"/>
      <w:r>
        <w:rPr>
          <w:rFonts w:eastAsia="Times New Roman" w:cs="Arial"/>
          <w:b/>
          <w:bCs/>
          <w:iCs/>
          <w:sz w:val="24"/>
          <w:szCs w:val="26"/>
          <w:lang w:eastAsia="en-US"/>
        </w:rPr>
        <w:t>Notify the Change of Policy Rules of a Profile</w:t>
      </w:r>
      <w:bookmarkEnd w:id="3569"/>
      <w:bookmarkEnd w:id="3570"/>
      <w:bookmarkEnd w:id="3571"/>
      <w:bookmarkEnd w:id="3572"/>
    </w:p>
    <w:p w14:paraId="6B01487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HandlePolicyRulesUpdatedNotification</w:t>
      </w:r>
    </w:p>
    <w:p w14:paraId="2B46823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POL2 Update, </w:t>
      </w:r>
      <w:r>
        <w:t>POL2 Update Via SM-DP</w:t>
      </w:r>
    </w:p>
    <w:p w14:paraId="4AFDF7E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0C1C522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 (in the role of an M2M SP)</w:t>
      </w:r>
    </w:p>
    <w:p w14:paraId="358877F6" w14:textId="77777777" w:rsidR="00B97365" w:rsidRDefault="00000000">
      <w:pPr>
        <w:spacing w:before="0" w:after="200" w:line="276" w:lineRule="auto"/>
        <w:jc w:val="left"/>
        <w:rPr>
          <w:szCs w:val="22"/>
          <w:lang w:val="en-US" w:eastAsia="en-GB" w:bidi="ar-SA"/>
        </w:rPr>
      </w:pPr>
      <w:r>
        <w:rPr>
          <w:rFonts w:cs="Arial"/>
          <w:b/>
          <w:lang w:val="en-US"/>
        </w:rPr>
        <w:lastRenderedPageBreak/>
        <w:t>Description</w:t>
      </w:r>
      <w:r>
        <w:rPr>
          <w:lang w:val="en-US"/>
        </w:rPr>
        <w:t xml:space="preserve">: This function SHALL be called to notify an Operator (acting as an M2M SP </w:t>
      </w:r>
      <w:r>
        <w:rPr>
          <w:szCs w:val="22"/>
          <w:lang w:val="en-US" w:eastAsia="en-GB" w:bidi="ar-SA"/>
        </w:rPr>
        <w:t>from the point of view of another Operator) that the Policy Rules have been updated on the Profile identified by its ICCID on the eUICC identified by its EID.</w:t>
      </w:r>
    </w:p>
    <w:p w14:paraId="4F6EF16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w:t>
      </w:r>
    </w:p>
    <w:p w14:paraId="6E2F0E5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1E464CB1"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355"/>
        <w:gridCol w:w="949"/>
        <w:gridCol w:w="398"/>
        <w:gridCol w:w="514"/>
      </w:tblGrid>
      <w:tr w:rsidR="00B97365" w14:paraId="236975CC"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9F8EC8F"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D97DDA7"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61F0FE2"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0B11E20"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5DDA757"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A220B2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FD8C7A3"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A6F785A" w14:textId="77777777" w:rsidR="00B97365" w:rsidRDefault="00000000">
            <w:pPr>
              <w:rPr>
                <w:rFonts w:cs="Calibri"/>
                <w:sz w:val="16"/>
                <w:szCs w:val="16"/>
              </w:rPr>
            </w:pPr>
            <w:r>
              <w:rPr>
                <w:rFonts w:cs="Calibri"/>
                <w:sz w:val="16"/>
                <w:szCs w:val="16"/>
              </w:rPr>
              <w:t>Identification of the targeted eUICC.</w:t>
            </w:r>
          </w:p>
          <w:p w14:paraId="0169011F" w14:textId="7EE019A7"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_Ref367975471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45CAF5F"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2C09053"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06DAA11"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6910761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71344EA" w14:textId="77777777" w:rsidR="00B97365" w:rsidRDefault="00000000">
            <w:pPr>
              <w:spacing w:line="260" w:lineRule="atLeast"/>
              <w:ind w:left="1531" w:hanging="1531"/>
              <w:outlineLvl w:val="8"/>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947AC1B" w14:textId="77777777" w:rsidR="00B97365" w:rsidRDefault="00000000">
            <w:pPr>
              <w:tabs>
                <w:tab w:val="right" w:pos="7938"/>
              </w:tabs>
              <w:ind w:left="470" w:hanging="459"/>
              <w:rPr>
                <w:rFonts w:cs="Calibri"/>
                <w:sz w:val="16"/>
                <w:szCs w:val="16"/>
              </w:rPr>
            </w:pPr>
            <w:r>
              <w:rPr>
                <w:rFonts w:cs="Calibri"/>
                <w:sz w:val="16"/>
                <w:szCs w:val="16"/>
              </w:rPr>
              <w:t>Identification of the Profile whose POL2 has been updated.</w:t>
            </w:r>
          </w:p>
          <w:p w14:paraId="7DA2859C" w14:textId="521D64D9"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EECB0E6"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94B51E1"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990F4EA" w14:textId="77777777" w:rsidR="00B97365" w:rsidRDefault="00000000">
            <w:pPr>
              <w:jc w:val="center"/>
              <w:rPr>
                <w:rFonts w:cs="Calibri"/>
                <w:sz w:val="16"/>
                <w:szCs w:val="16"/>
              </w:rPr>
            </w:pPr>
            <w:r>
              <w:rPr>
                <w:rFonts w:cs="Calibri"/>
                <w:sz w:val="16"/>
                <w:szCs w:val="16"/>
              </w:rPr>
              <w:t>M</w:t>
            </w:r>
          </w:p>
        </w:tc>
      </w:tr>
      <w:tr w:rsidR="00B97365" w14:paraId="6DF25D7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790572F" w14:textId="77777777" w:rsidR="00B97365" w:rsidRDefault="00000000">
            <w:pPr>
              <w:spacing w:line="260" w:lineRule="atLeast"/>
              <w:ind w:left="1531" w:hanging="1531"/>
              <w:outlineLvl w:val="8"/>
              <w:rPr>
                <w:rFonts w:cs="Calibri"/>
                <w:sz w:val="16"/>
                <w:szCs w:val="16"/>
              </w:rPr>
            </w:pPr>
            <w:r>
              <w:rPr>
                <w:rFonts w:cs="Calibri"/>
                <w:sz w:val="16"/>
                <w:szCs w:val="16"/>
              </w:rPr>
              <w:t>Pol2</w:t>
            </w:r>
          </w:p>
        </w:tc>
        <w:tc>
          <w:tcPr>
            <w:tcW w:w="0" w:type="auto"/>
            <w:tcBorders>
              <w:top w:val="single" w:sz="6" w:space="0" w:color="auto"/>
              <w:left w:val="single" w:sz="6" w:space="0" w:color="auto"/>
              <w:bottom w:val="single" w:sz="6" w:space="0" w:color="auto"/>
              <w:right w:val="single" w:sz="6" w:space="0" w:color="auto"/>
            </w:tcBorders>
            <w:vAlign w:val="center"/>
          </w:tcPr>
          <w:p w14:paraId="376D6A56" w14:textId="77777777" w:rsidR="00B97365" w:rsidRDefault="00000000">
            <w:pPr>
              <w:tabs>
                <w:tab w:val="right" w:pos="7938"/>
              </w:tabs>
              <w:ind w:left="470" w:hanging="459"/>
              <w:rPr>
                <w:rFonts w:cs="Calibri"/>
                <w:sz w:val="16"/>
                <w:szCs w:val="16"/>
              </w:rPr>
            </w:pPr>
            <w:r>
              <w:rPr>
                <w:rFonts w:cs="Calibri"/>
                <w:sz w:val="16"/>
                <w:szCs w:val="16"/>
              </w:rPr>
              <w:t>Value of the POL2 after being updated by the Operator owning the Profile</w:t>
            </w:r>
          </w:p>
          <w:p w14:paraId="7B952AEC" w14:textId="7E8E8160"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249C9D17" w14:textId="77777777" w:rsidR="00B97365" w:rsidRDefault="00000000">
            <w:pPr>
              <w:jc w:val="center"/>
              <w:rPr>
                <w:rFonts w:cs="Calibri"/>
                <w:sz w:val="16"/>
                <w:szCs w:val="16"/>
              </w:rPr>
            </w:pPr>
            <w:r>
              <w:rPr>
                <w:rFonts w:cs="Calibri"/>
                <w:sz w:val="16"/>
                <w:szCs w:val="16"/>
              </w:rPr>
              <w:t>POL2</w:t>
            </w:r>
          </w:p>
        </w:tc>
        <w:tc>
          <w:tcPr>
            <w:tcW w:w="0" w:type="auto"/>
            <w:tcBorders>
              <w:top w:val="single" w:sz="6" w:space="0" w:color="auto"/>
              <w:left w:val="single" w:sz="6" w:space="0" w:color="auto"/>
              <w:bottom w:val="single" w:sz="6" w:space="0" w:color="auto"/>
              <w:right w:val="single" w:sz="6" w:space="0" w:color="auto"/>
            </w:tcBorders>
            <w:vAlign w:val="center"/>
          </w:tcPr>
          <w:p w14:paraId="274350DA"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tcPr>
          <w:p w14:paraId="5C817856" w14:textId="77777777" w:rsidR="00B97365" w:rsidRDefault="00000000">
            <w:pPr>
              <w:jc w:val="center"/>
              <w:rPr>
                <w:rFonts w:cs="Calibri"/>
                <w:sz w:val="16"/>
                <w:szCs w:val="16"/>
              </w:rPr>
            </w:pPr>
            <w:r>
              <w:rPr>
                <w:rFonts w:cs="Calibri"/>
                <w:sz w:val="16"/>
                <w:szCs w:val="16"/>
              </w:rPr>
              <w:t>M</w:t>
            </w:r>
          </w:p>
        </w:tc>
      </w:tr>
      <w:tr w:rsidR="00B97365" w14:paraId="763AD06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5F8C9D2" w14:textId="77777777" w:rsidR="00B97365" w:rsidRDefault="00000000">
            <w:pPr>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34632F44" w14:textId="77777777" w:rsidR="00B97365" w:rsidRDefault="00000000">
            <w:pPr>
              <w:rPr>
                <w:rFonts w:cs="Calibri"/>
                <w:sz w:val="16"/>
                <w:szCs w:val="16"/>
              </w:rPr>
            </w:pPr>
            <w:r>
              <w:rPr>
                <w:rFonts w:cs="Calibri"/>
                <w:sz w:val="16"/>
                <w:szCs w:val="16"/>
              </w:rPr>
              <w:t>Indication of the date/time when the operation has been performed.</w:t>
            </w:r>
          </w:p>
          <w:p w14:paraId="5C192376" w14:textId="58CEFA40"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4B7244F3" w14:textId="77777777" w:rsidR="00B97365" w:rsidRDefault="00000000">
            <w:pPr>
              <w:jc w:val="center"/>
              <w:rPr>
                <w:rFonts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79CC0B5F"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3DD2756" w14:textId="77777777" w:rsidR="00B97365" w:rsidRDefault="00000000">
            <w:pPr>
              <w:jc w:val="center"/>
              <w:rPr>
                <w:rFonts w:cs="Calibri"/>
                <w:sz w:val="16"/>
                <w:szCs w:val="16"/>
              </w:rPr>
            </w:pPr>
            <w:r>
              <w:rPr>
                <w:rFonts w:cs="Calibri"/>
                <w:sz w:val="16"/>
                <w:szCs w:val="16"/>
              </w:rPr>
              <w:t>M</w:t>
            </w:r>
          </w:p>
        </w:tc>
      </w:tr>
    </w:tbl>
    <w:p w14:paraId="4959E82B"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5316: Handle Policy Rules Updated Notification Additional Input Data</w:t>
      </w:r>
    </w:p>
    <w:p w14:paraId="192C9111"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73" w:name="_Toc1977368"/>
      <w:bookmarkStart w:id="3574" w:name="_Toc37062527"/>
      <w:bookmarkStart w:id="3575" w:name="_Toc88839601"/>
      <w:bookmarkStart w:id="3576" w:name="_Toc121504009"/>
      <w:r>
        <w:rPr>
          <w:rFonts w:eastAsia="Times New Roman" w:cs="Arial"/>
          <w:b/>
          <w:bCs/>
          <w:iCs/>
          <w:sz w:val="24"/>
          <w:szCs w:val="26"/>
          <w:lang w:eastAsia="en-US"/>
        </w:rPr>
        <w:t>Notify a PLMA Setting</w:t>
      </w:r>
      <w:bookmarkEnd w:id="3573"/>
      <w:bookmarkEnd w:id="3574"/>
      <w:bookmarkEnd w:id="3575"/>
      <w:bookmarkEnd w:id="3576"/>
    </w:p>
    <w:p w14:paraId="5DC5EBA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HandleSetPLMANotification</w:t>
      </w:r>
    </w:p>
    <w:p w14:paraId="0CEF360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t>Set Profile Lifecycle Management Authorisation, Set Profile Lifecycle Management Authorisation via SM-DP</w:t>
      </w:r>
    </w:p>
    <w:p w14:paraId="4FF8466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02B2403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 (acting in the role of an M2M SP)</w:t>
      </w:r>
    </w:p>
    <w:p w14:paraId="0B56C43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an Operator (acting as an M2M SP from the point of view of another Operator) that a PLMA concerning this M2M SP has been set or updated.</w:t>
      </w:r>
    </w:p>
    <w:p w14:paraId="1AB349D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notification also conveys the date and time specifying when the operation has been done. </w:t>
      </w:r>
    </w:p>
    <w:p w14:paraId="6B24298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655A746D"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56B9104A"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A31615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371694E"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0E1AF7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D15A281"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207F7C6"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5D013F5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4B2CAEA" w14:textId="77777777" w:rsidR="00B97365" w:rsidRDefault="00000000">
            <w:pPr>
              <w:spacing w:before="0" w:after="200" w:line="276" w:lineRule="auto"/>
              <w:jc w:val="left"/>
              <w:rPr>
                <w:rFonts w:cs="Calibri"/>
                <w:sz w:val="16"/>
                <w:szCs w:val="16"/>
                <w:lang w:eastAsia="en-GB" w:bidi="ar-SA"/>
              </w:rPr>
            </w:pPr>
            <w:r>
              <w:rPr>
                <w:rFonts w:cs="Calibri"/>
                <w:sz w:val="16"/>
                <w:szCs w:val="16"/>
              </w:rPr>
              <w:t>plma</w:t>
            </w:r>
          </w:p>
        </w:tc>
        <w:tc>
          <w:tcPr>
            <w:tcW w:w="0" w:type="auto"/>
            <w:tcBorders>
              <w:top w:val="single" w:sz="6" w:space="0" w:color="auto"/>
              <w:left w:val="single" w:sz="6" w:space="0" w:color="auto"/>
              <w:bottom w:val="single" w:sz="6" w:space="0" w:color="auto"/>
              <w:right w:val="single" w:sz="6" w:space="0" w:color="auto"/>
            </w:tcBorders>
            <w:vAlign w:val="center"/>
          </w:tcPr>
          <w:p w14:paraId="2A1F394B" w14:textId="77777777" w:rsidR="00B97365" w:rsidRDefault="00000000">
            <w:pPr>
              <w:rPr>
                <w:rFonts w:cs="Calibri"/>
                <w:sz w:val="16"/>
                <w:szCs w:val="16"/>
                <w:lang w:val="en-US"/>
              </w:rPr>
            </w:pPr>
            <w:r>
              <w:rPr>
                <w:rFonts w:cs="Calibri"/>
                <w:sz w:val="16"/>
                <w:szCs w:val="16"/>
                <w:lang w:val="en-US"/>
              </w:rPr>
              <w:t>The specification of the PLMA that now applies on a Profile Type. Information about the Profile Type are contained in the PLMA structure.</w:t>
            </w:r>
          </w:p>
          <w:p w14:paraId="0AE5B443" w14:textId="77777777" w:rsidR="00B97365" w:rsidRDefault="00000000">
            <w:pPr>
              <w:rPr>
                <w:rFonts w:cs="Calibri"/>
                <w:sz w:val="16"/>
                <w:szCs w:val="16"/>
                <w:lang w:val="en-US"/>
              </w:rPr>
            </w:pPr>
            <w:r>
              <w:rPr>
                <w:rFonts w:cs="Calibri"/>
                <w:sz w:val="16"/>
                <w:szCs w:val="16"/>
                <w:lang w:val="en-US"/>
              </w:rPr>
              <w:lastRenderedPageBreak/>
              <w:t>See section 5.1.1.2.14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294122CB" w14:textId="77777777" w:rsidR="00B97365" w:rsidRDefault="00000000">
            <w:pPr>
              <w:spacing w:before="0" w:after="200" w:line="276" w:lineRule="auto"/>
              <w:jc w:val="center"/>
              <w:rPr>
                <w:rFonts w:cs="Calibri"/>
                <w:sz w:val="16"/>
                <w:szCs w:val="16"/>
                <w:lang w:eastAsia="en-GB" w:bidi="ar-SA"/>
              </w:rPr>
            </w:pPr>
            <w:r>
              <w:rPr>
                <w:rFonts w:cs="Calibri"/>
                <w:sz w:val="16"/>
                <w:szCs w:val="16"/>
                <w:lang w:val="en-US"/>
              </w:rPr>
              <w:lastRenderedPageBreak/>
              <w:t>PLMA</w:t>
            </w:r>
          </w:p>
        </w:tc>
        <w:tc>
          <w:tcPr>
            <w:tcW w:w="0" w:type="auto"/>
            <w:tcBorders>
              <w:top w:val="single" w:sz="6" w:space="0" w:color="auto"/>
              <w:left w:val="single" w:sz="6" w:space="0" w:color="auto"/>
              <w:bottom w:val="single" w:sz="6" w:space="0" w:color="auto"/>
              <w:right w:val="single" w:sz="6" w:space="0" w:color="auto"/>
            </w:tcBorders>
            <w:vAlign w:val="center"/>
          </w:tcPr>
          <w:p w14:paraId="42E07EEB" w14:textId="77777777" w:rsidR="00B97365" w:rsidRDefault="00000000">
            <w:pPr>
              <w:spacing w:before="0" w:after="200" w:line="276" w:lineRule="auto"/>
              <w:jc w:val="center"/>
              <w:rPr>
                <w:rFonts w:cs="Calibri"/>
                <w:sz w:val="16"/>
                <w:szCs w:val="16"/>
                <w:lang w:eastAsia="en-GB" w:bidi="ar-SA"/>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tcPr>
          <w:p w14:paraId="3971C78D" w14:textId="77777777" w:rsidR="00B97365" w:rsidRDefault="00000000">
            <w:pPr>
              <w:spacing w:before="0" w:after="200" w:line="276" w:lineRule="auto"/>
              <w:jc w:val="center"/>
              <w:rPr>
                <w:rFonts w:cs="Calibri"/>
                <w:sz w:val="16"/>
                <w:szCs w:val="16"/>
                <w:lang w:eastAsia="en-GB" w:bidi="ar-SA"/>
              </w:rPr>
            </w:pPr>
            <w:r>
              <w:rPr>
                <w:rFonts w:cs="Calibri"/>
                <w:sz w:val="16"/>
                <w:szCs w:val="16"/>
                <w:lang w:val="en-US"/>
              </w:rPr>
              <w:t>M</w:t>
            </w:r>
          </w:p>
        </w:tc>
      </w:tr>
      <w:tr w:rsidR="00B97365" w14:paraId="026D7B8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3E6F120" w14:textId="77777777" w:rsidR="00B97365" w:rsidRDefault="00000000">
            <w:pPr>
              <w:spacing w:before="0" w:after="200" w:line="276" w:lineRule="auto"/>
              <w:jc w:val="left"/>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6" w:space="0" w:color="auto"/>
              <w:right w:val="single" w:sz="6" w:space="0" w:color="auto"/>
            </w:tcBorders>
            <w:vAlign w:val="center"/>
          </w:tcPr>
          <w:p w14:paraId="1DBD2547" w14:textId="77777777" w:rsidR="00B97365" w:rsidRDefault="00000000">
            <w:pPr>
              <w:rPr>
                <w:rFonts w:cs="Calibri"/>
                <w:sz w:val="16"/>
                <w:szCs w:val="16"/>
              </w:rPr>
            </w:pPr>
            <w:r>
              <w:rPr>
                <w:rFonts w:cs="Calibri"/>
                <w:sz w:val="16"/>
                <w:szCs w:val="16"/>
              </w:rPr>
              <w:t>Indication of the date/time when the operation has been performed.</w:t>
            </w:r>
          </w:p>
          <w:p w14:paraId="7C4BE7A9" w14:textId="5795A991" w:rsidR="00B97365" w:rsidRDefault="00000000">
            <w:pPr>
              <w:rPr>
                <w:rFonts w:cs="Calibri"/>
                <w:sz w:val="16"/>
                <w:szCs w:val="16"/>
                <w:lang w:val="en-US"/>
              </w:rPr>
            </w:pPr>
            <w:r>
              <w:rPr>
                <w:rFonts w:cs="Calibri"/>
                <w:sz w:val="16"/>
                <w:szCs w:val="16"/>
              </w:rPr>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07033A8E" w14:textId="77777777" w:rsidR="00B97365" w:rsidRDefault="00000000">
            <w:pPr>
              <w:spacing w:before="0" w:after="200" w:line="276" w:lineRule="auto"/>
              <w:jc w:val="center"/>
              <w:rPr>
                <w:rFonts w:cs="Calibri"/>
                <w:sz w:val="16"/>
                <w:szCs w:val="16"/>
                <w:lang w:val="en-US"/>
              </w:rPr>
            </w:pPr>
            <w:r>
              <w:rPr>
                <w:rFonts w:cs="Calibri"/>
                <w:sz w:val="16"/>
                <w:szCs w:val="16"/>
              </w:rPr>
              <w:t>DATETIME</w:t>
            </w:r>
          </w:p>
        </w:tc>
        <w:tc>
          <w:tcPr>
            <w:tcW w:w="0" w:type="auto"/>
            <w:tcBorders>
              <w:top w:val="single" w:sz="6" w:space="0" w:color="auto"/>
              <w:left w:val="single" w:sz="6" w:space="0" w:color="auto"/>
              <w:bottom w:val="single" w:sz="6" w:space="0" w:color="auto"/>
              <w:right w:val="single" w:sz="6" w:space="0" w:color="auto"/>
            </w:tcBorders>
            <w:vAlign w:val="center"/>
          </w:tcPr>
          <w:p w14:paraId="21EA0C51" w14:textId="77777777" w:rsidR="00B97365" w:rsidRDefault="00000000">
            <w:pPr>
              <w:spacing w:before="0" w:after="200" w:line="276" w:lineRule="auto"/>
              <w:jc w:val="center"/>
              <w:rPr>
                <w:rFonts w:cs="Calibri"/>
                <w:sz w:val="16"/>
                <w:szCs w:val="16"/>
                <w:lang w:val="en-US"/>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tcPr>
          <w:p w14:paraId="2AE731C7" w14:textId="77777777" w:rsidR="00B97365" w:rsidRDefault="00000000">
            <w:pPr>
              <w:spacing w:before="0" w:after="200" w:line="276" w:lineRule="auto"/>
              <w:jc w:val="center"/>
              <w:rPr>
                <w:rFonts w:cs="Calibri"/>
                <w:sz w:val="16"/>
                <w:szCs w:val="16"/>
                <w:lang w:val="en-US"/>
              </w:rPr>
            </w:pPr>
            <w:r>
              <w:rPr>
                <w:rFonts w:cs="Calibri"/>
                <w:sz w:val="16"/>
                <w:szCs w:val="16"/>
              </w:rPr>
              <w:t>M</w:t>
            </w:r>
          </w:p>
        </w:tc>
      </w:tr>
    </w:tbl>
    <w:p w14:paraId="3D28DAE3"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5317: Handle PLMA Setting Notification Additional Input Data</w:t>
      </w:r>
    </w:p>
    <w:p w14:paraId="6361FF12"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77" w:name="_Ref536547875"/>
      <w:bookmarkStart w:id="3578" w:name="_Toc1977369"/>
      <w:bookmarkStart w:id="3579" w:name="_Toc37062528"/>
      <w:bookmarkStart w:id="3580" w:name="_Toc88839602"/>
      <w:bookmarkStart w:id="3581" w:name="_Toc121504010"/>
      <w:r>
        <w:rPr>
          <w:rFonts w:eastAsia="Times New Roman" w:cs="Arial"/>
          <w:b/>
          <w:bCs/>
          <w:iCs/>
          <w:sz w:val="24"/>
          <w:szCs w:val="26"/>
          <w:lang w:eastAsia="en-US"/>
        </w:rPr>
        <w:t>Setting Operator Configuration to Receive Notifications</w:t>
      </w:r>
      <w:bookmarkEnd w:id="3577"/>
      <w:bookmarkEnd w:id="3578"/>
      <w:bookmarkEnd w:id="3579"/>
      <w:bookmarkEnd w:id="3580"/>
      <w:bookmarkEnd w:id="3581"/>
    </w:p>
    <w:p w14:paraId="418346C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SetONC</w:t>
      </w:r>
    </w:p>
    <w:p w14:paraId="643E458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Set Operator Notifications Configuration via SM-DP</w:t>
      </w:r>
    </w:p>
    <w:p w14:paraId="43FF6AE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38B5AFC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2D247F0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6C29989D" w14:textId="77777777" w:rsidR="00B97365" w:rsidRDefault="00000000">
      <w:pPr>
        <w:spacing w:before="0" w:after="200" w:line="276" w:lineRule="auto"/>
        <w:jc w:val="left"/>
        <w:rPr>
          <w:rFonts w:cs="Arial"/>
          <w:szCs w:val="22"/>
          <w:lang w:eastAsia="en-GB" w:bidi="ar-SA"/>
        </w:rPr>
      </w:pPr>
      <w:r>
        <w:rPr>
          <w:rFonts w:cs="Arial"/>
          <w:szCs w:val="22"/>
          <w:lang w:eastAsia="en-GB" w:bidi="ar-SA"/>
        </w:rPr>
        <w:t>This function allows the Operator to configure for which of its own Profiles, associated with a Profile Type, it wants to receive which kind of status change notifications; whatever the origin of the status change is.</w:t>
      </w:r>
    </w:p>
    <w:p w14:paraId="12D0A8E9" w14:textId="77777777"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SM-DP receiving this request SHALL forward it to the SM-SR indicated by the Operator, according to procedure “Set Operator Notifications Configuration via SM-DP” described in section 3.21.2 </w:t>
      </w:r>
      <w:r>
        <w:rPr>
          <w:szCs w:val="22"/>
          <w:lang w:val="en-US" w:eastAsia="en-GB" w:bidi="ar-SA"/>
        </w:rPr>
        <w:t>of this specification.</w:t>
      </w:r>
    </w:p>
    <w:p w14:paraId="69ECBF7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3A79593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indicating that the notifications configuration has been configured in the SM-SR.</w:t>
      </w:r>
    </w:p>
    <w:p w14:paraId="5C60AD4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specific status code as defined in table 5318-C, indicating that the authorisations have been configured in the SM-SR but that some side-effects of this configuration may require the attention of the Operator.</w:t>
      </w:r>
    </w:p>
    <w:p w14:paraId="03E396BF" w14:textId="74BACE6C"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4D1AC1BA"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463"/>
        <w:gridCol w:w="590"/>
        <w:gridCol w:w="474"/>
        <w:gridCol w:w="590"/>
      </w:tblGrid>
      <w:tr w:rsidR="00B97365" w14:paraId="7D965EA0"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686DA15"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E69257B"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2CFAEF5"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477CD96"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316D280"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C0514D2"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0CB91012" w14:textId="77777777" w:rsidR="00B97365" w:rsidRDefault="00000000">
            <w:pPr>
              <w:rPr>
                <w:rFonts w:cs="Calibri"/>
                <w:sz w:val="16"/>
                <w:szCs w:val="16"/>
              </w:rPr>
            </w:pPr>
            <w:r>
              <w:rPr>
                <w:rFonts w:cs="Calibri"/>
                <w:sz w:val="16"/>
                <w:szCs w:val="16"/>
              </w:rPr>
              <w:t>onc</w:t>
            </w:r>
          </w:p>
        </w:tc>
        <w:tc>
          <w:tcPr>
            <w:tcW w:w="0" w:type="auto"/>
            <w:tcBorders>
              <w:top w:val="single" w:sz="6" w:space="0" w:color="auto"/>
              <w:left w:val="single" w:sz="6" w:space="0" w:color="auto"/>
              <w:bottom w:val="single" w:sz="6" w:space="0" w:color="auto"/>
              <w:right w:val="single" w:sz="6" w:space="0" w:color="auto"/>
            </w:tcBorders>
            <w:hideMark/>
          </w:tcPr>
          <w:p w14:paraId="32AA4467" w14:textId="77777777" w:rsidR="00B97365" w:rsidRDefault="00000000">
            <w:pPr>
              <w:rPr>
                <w:rFonts w:eastAsia="Times New Roman" w:cs="Calibri"/>
                <w:sz w:val="16"/>
                <w:szCs w:val="16"/>
                <w:lang w:val="en-US"/>
              </w:rPr>
            </w:pPr>
            <w:r>
              <w:rPr>
                <w:rFonts w:cs="Calibri"/>
                <w:sz w:val="16"/>
                <w:szCs w:val="16"/>
                <w:lang w:val="en-US"/>
              </w:rPr>
              <w:t>The specification of the ONC, and the criterion on which this ONC applies.</w:t>
            </w:r>
          </w:p>
          <w:p w14:paraId="490EF04B" w14:textId="77777777" w:rsidR="00B97365" w:rsidRDefault="00000000">
            <w:pPr>
              <w:rPr>
                <w:rFonts w:eastAsia="Times New Roman" w:cs="Calibri"/>
                <w:sz w:val="16"/>
                <w:szCs w:val="16"/>
                <w:lang w:val="en-US"/>
              </w:rPr>
            </w:pPr>
            <w:r>
              <w:rPr>
                <w:rFonts w:cs="Calibri"/>
                <w:sz w:val="16"/>
                <w:szCs w:val="16"/>
                <w:lang w:val="en-US"/>
              </w:rPr>
              <w:t>See section 5.1.1.2.15 for type description.</w:t>
            </w:r>
          </w:p>
        </w:tc>
        <w:tc>
          <w:tcPr>
            <w:tcW w:w="0" w:type="auto"/>
            <w:tcBorders>
              <w:top w:val="single" w:sz="6" w:space="0" w:color="auto"/>
              <w:left w:val="single" w:sz="6" w:space="0" w:color="auto"/>
              <w:bottom w:val="single" w:sz="6" w:space="0" w:color="auto"/>
              <w:right w:val="single" w:sz="6" w:space="0" w:color="auto"/>
            </w:tcBorders>
            <w:hideMark/>
          </w:tcPr>
          <w:p w14:paraId="5D255505"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 xml:space="preserve">ONC </w:t>
            </w:r>
          </w:p>
        </w:tc>
        <w:tc>
          <w:tcPr>
            <w:tcW w:w="0" w:type="auto"/>
            <w:tcBorders>
              <w:top w:val="single" w:sz="6" w:space="0" w:color="auto"/>
              <w:left w:val="single" w:sz="6" w:space="0" w:color="auto"/>
              <w:bottom w:val="single" w:sz="6" w:space="0" w:color="auto"/>
              <w:right w:val="single" w:sz="6" w:space="0" w:color="auto"/>
            </w:tcBorders>
            <w:hideMark/>
          </w:tcPr>
          <w:p w14:paraId="7C3B909B"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14278AD0"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1C0CBB34"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14:paraId="79FC8C29"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smsr-id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899F2DC" w14:textId="77777777" w:rsidR="00B97365" w:rsidRDefault="00000000">
            <w:pPr>
              <w:rPr>
                <w:rFonts w:eastAsia="Times New Roman" w:cs="Calibri"/>
                <w:sz w:val="16"/>
                <w:szCs w:val="16"/>
              </w:rPr>
            </w:pPr>
            <w:r>
              <w:rPr>
                <w:rFonts w:cs="Calibri"/>
                <w:sz w:val="16"/>
                <w:szCs w:val="16"/>
                <w:lang w:val="en-US"/>
              </w:rPr>
              <w:t xml:space="preserve">Identification of the SM-SR on which to apply the ONC. </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506C666"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FF62726"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14:paraId="4148AC74"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2F76844C"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5318-A: SetONC Additional Input Data</w:t>
      </w:r>
    </w:p>
    <w:p w14:paraId="70BE193E"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p w14:paraId="47DB643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None</w:t>
      </w:r>
    </w:p>
    <w:p w14:paraId="46A0AC8F" w14:textId="77777777" w:rsidR="00B97365" w:rsidRDefault="00B97365">
      <w:pPr>
        <w:tabs>
          <w:tab w:val="left" w:pos="680"/>
        </w:tabs>
        <w:spacing w:before="0" w:after="200" w:line="276" w:lineRule="auto"/>
        <w:contextualSpacing/>
        <w:jc w:val="left"/>
        <w:rPr>
          <w:rFonts w:cs="Arial"/>
          <w:szCs w:val="22"/>
          <w:lang w:eastAsia="en-GB" w:bidi="ar-SA"/>
        </w:rPr>
      </w:pPr>
    </w:p>
    <w:p w14:paraId="1D08B93A"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Specific status codes</w:t>
      </w:r>
    </w:p>
    <w:p w14:paraId="72B6A049" w14:textId="77777777" w:rsidR="00B97365" w:rsidRDefault="00000000">
      <w:pPr>
        <w:spacing w:before="0" w:after="200" w:line="276" w:lineRule="auto"/>
        <w:jc w:val="left"/>
        <w:rPr>
          <w:szCs w:val="22"/>
          <w:lang w:val="en-US" w:eastAsia="en-GB" w:bidi="ar-SA"/>
        </w:rPr>
      </w:pPr>
      <w:r>
        <w:rPr>
          <w:szCs w:val="22"/>
          <w:lang w:val="en-US" w:eastAsia="en-GB" w:bidi="ar-SA"/>
        </w:rPr>
        <w:lastRenderedPageBreak/>
        <w:t>In addition to the Status codes returned by ES3.SetONC, this function can return the following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718"/>
        <w:gridCol w:w="718"/>
        <w:gridCol w:w="808"/>
        <w:gridCol w:w="6054"/>
      </w:tblGrid>
      <w:tr w:rsidR="00B97365" w14:paraId="49353BB6"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33015E4" w14:textId="77777777" w:rsidR="00B97365" w:rsidRDefault="00000000">
            <w:pPr>
              <w:jc w:val="center"/>
              <w:rPr>
                <w:rFonts w:cs="Calibri"/>
                <w:b/>
                <w:color w:val="FFFFFF"/>
                <w:sz w:val="16"/>
                <w:szCs w:val="16"/>
              </w:rPr>
            </w:pPr>
            <w:r>
              <w:rPr>
                <w:rFonts w:cs="Calibri"/>
                <w:b/>
                <w:color w:val="FFFFFF"/>
                <w:sz w:val="16"/>
                <w:szCs w:val="16"/>
              </w:rPr>
              <w:t>Subject</w:t>
            </w:r>
          </w:p>
          <w:p w14:paraId="46C4B1F5"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2EBCD96"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B3AB535" w14:textId="77777777" w:rsidR="00B97365" w:rsidRDefault="00000000">
            <w:pPr>
              <w:jc w:val="center"/>
              <w:rPr>
                <w:rFonts w:cs="Calibri"/>
                <w:b/>
                <w:color w:val="FFFFFF"/>
                <w:sz w:val="16"/>
                <w:szCs w:val="16"/>
              </w:rPr>
            </w:pPr>
            <w:r>
              <w:rPr>
                <w:rFonts w:cs="Calibri"/>
                <w:b/>
                <w:color w:val="FFFFFF"/>
                <w:sz w:val="16"/>
                <w:szCs w:val="16"/>
              </w:rPr>
              <w:t>Reason</w:t>
            </w:r>
          </w:p>
          <w:p w14:paraId="06467133"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7716BD2"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5423D44"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7EF2D1A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A407F13" w14:textId="77777777" w:rsidR="00B97365" w:rsidRDefault="00000000">
            <w:pPr>
              <w:jc w:val="center"/>
              <w:rPr>
                <w:rFonts w:cs="Calibri"/>
                <w:sz w:val="16"/>
                <w:szCs w:val="16"/>
              </w:rPr>
            </w:pPr>
            <w:r>
              <w:rPr>
                <w:rFonts w:cs="Calibri"/>
                <w:sz w:val="16"/>
                <w:szCs w:val="16"/>
              </w:rPr>
              <w:t>8.7</w:t>
            </w:r>
          </w:p>
        </w:tc>
        <w:tc>
          <w:tcPr>
            <w:tcW w:w="0" w:type="auto"/>
            <w:tcBorders>
              <w:top w:val="single" w:sz="6" w:space="0" w:color="auto"/>
              <w:left w:val="single" w:sz="6" w:space="0" w:color="auto"/>
              <w:bottom w:val="single" w:sz="4" w:space="0" w:color="auto"/>
              <w:right w:val="single" w:sz="6" w:space="0" w:color="auto"/>
            </w:tcBorders>
            <w:vAlign w:val="center"/>
            <w:hideMark/>
          </w:tcPr>
          <w:p w14:paraId="3757BA18" w14:textId="77777777" w:rsidR="00B97365" w:rsidRDefault="00000000">
            <w:pPr>
              <w:rPr>
                <w:rFonts w:cs="Calibri"/>
                <w:sz w:val="16"/>
                <w:szCs w:val="16"/>
                <w:lang w:val="en-US"/>
              </w:rPr>
            </w:pPr>
            <w:r>
              <w:rPr>
                <w:rFonts w:cs="Calibri"/>
                <w:sz w:val="16"/>
                <w:szCs w:val="16"/>
                <w:lang w:val="en-US"/>
              </w:rPr>
              <w:t>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3B8AFB6B"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4" w:space="0" w:color="auto"/>
              <w:right w:val="single" w:sz="6" w:space="0" w:color="auto"/>
            </w:tcBorders>
            <w:vAlign w:val="center"/>
            <w:hideMark/>
          </w:tcPr>
          <w:p w14:paraId="5DDC0366"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4" w:space="0" w:color="auto"/>
              <w:right w:val="single" w:sz="4" w:space="0" w:color="auto"/>
            </w:tcBorders>
            <w:vAlign w:val="center"/>
            <w:hideMark/>
          </w:tcPr>
          <w:p w14:paraId="5C7B3D7D" w14:textId="77777777" w:rsidR="00B97365" w:rsidRDefault="00000000">
            <w:pPr>
              <w:rPr>
                <w:rFonts w:cs="Calibri"/>
                <w:sz w:val="16"/>
                <w:szCs w:val="16"/>
                <w:lang w:val="en-US"/>
              </w:rPr>
            </w:pPr>
            <w:r>
              <w:rPr>
                <w:rFonts w:cs="Calibri"/>
                <w:sz w:val="16"/>
                <w:szCs w:val="16"/>
              </w:rPr>
              <w:t xml:space="preserve">Indicates that the SM-SR, identified by this smsr-id, is unknown to or whose address cannot be resolved by the function provider. </w:t>
            </w:r>
          </w:p>
        </w:tc>
      </w:tr>
    </w:tbl>
    <w:p w14:paraId="4461ED6D"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5318-C: SetONC Specific Status Codes</w:t>
      </w:r>
    </w:p>
    <w:p w14:paraId="7BDE4EE1"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82" w:name="_Ref536548077"/>
      <w:bookmarkStart w:id="3583" w:name="_Toc1977370"/>
      <w:bookmarkStart w:id="3584" w:name="_Toc37062529"/>
      <w:bookmarkStart w:id="3585" w:name="_Toc88839603"/>
      <w:bookmarkStart w:id="3586" w:name="_Toc121504011"/>
      <w:r>
        <w:rPr>
          <w:rFonts w:eastAsia="Times New Roman" w:cs="Arial"/>
          <w:b/>
          <w:bCs/>
          <w:iCs/>
          <w:sz w:val="24"/>
          <w:szCs w:val="26"/>
          <w:lang w:eastAsia="en-US"/>
        </w:rPr>
        <w:t>Retrieving Operator Notification Configuration</w:t>
      </w:r>
      <w:bookmarkEnd w:id="3582"/>
      <w:bookmarkEnd w:id="3583"/>
      <w:bookmarkEnd w:id="3584"/>
      <w:bookmarkEnd w:id="3585"/>
      <w:bookmarkEnd w:id="3586"/>
    </w:p>
    <w:p w14:paraId="1A84F73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GetONC</w:t>
      </w:r>
    </w:p>
    <w:p w14:paraId="7A0DAF68" w14:textId="77777777" w:rsidR="00B97365" w:rsidRDefault="00000000">
      <w:pPr>
        <w:spacing w:before="0" w:after="200" w:line="276" w:lineRule="auto"/>
        <w:jc w:val="left"/>
        <w:rPr>
          <w:szCs w:val="22"/>
          <w:lang w:eastAsia="en-GB" w:bidi="ar-SA"/>
        </w:rPr>
      </w:pPr>
      <w:r>
        <w:rPr>
          <w:rFonts w:cs="Arial"/>
          <w:b/>
          <w:szCs w:val="22"/>
          <w:lang w:val="en-US" w:eastAsia="en-GB" w:bidi="ar-SA"/>
        </w:rPr>
        <w:t>Related Procedures</w:t>
      </w:r>
      <w:r>
        <w:rPr>
          <w:szCs w:val="22"/>
          <w:lang w:val="en-US" w:eastAsia="en-GB" w:bidi="ar-SA"/>
        </w:rPr>
        <w:t>: Retrieve Operator Notifications Configuration via SM-DP</w:t>
      </w:r>
    </w:p>
    <w:p w14:paraId="7A0F173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2FFADC0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45D77E7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771B5C1E" w14:textId="77777777" w:rsidR="00B97365" w:rsidRDefault="00000000">
      <w:r>
        <w:t>This function allows the Operator to retrieve a list of status change notifications it does not want to receive for its own Profiles, associated with a Profile Type.</w:t>
      </w:r>
    </w:p>
    <w:p w14:paraId="6FA9D046" w14:textId="77777777" w:rsidR="00B97365" w:rsidRDefault="00000000">
      <w:pPr>
        <w:spacing w:before="0" w:after="200" w:line="276" w:lineRule="auto"/>
        <w:jc w:val="left"/>
        <w:rPr>
          <w:szCs w:val="22"/>
          <w:lang w:val="en-US" w:eastAsia="en-GB" w:bidi="ar-SA"/>
        </w:rPr>
      </w:pPr>
      <w:r>
        <w:rPr>
          <w:rFonts w:cs="Arial"/>
          <w:szCs w:val="22"/>
          <w:lang w:eastAsia="en-GB" w:bidi="ar-SA"/>
        </w:rPr>
        <w:br/>
      </w:r>
      <w:r>
        <w:rPr>
          <w:rFonts w:cs="Arial"/>
          <w:szCs w:val="22"/>
          <w:lang w:val="en-US" w:eastAsia="en-GB" w:bidi="ar-SA"/>
        </w:rPr>
        <w:t xml:space="preserve">The SM-DP receiving this request SHALL forward it to the SM-SR indicated by the Operator, according to procedure “Retrieve Operator Notifications Configuration via SM-DP” described in section 3.21.4 </w:t>
      </w:r>
      <w:r>
        <w:rPr>
          <w:szCs w:val="22"/>
          <w:lang w:val="en-US" w:eastAsia="en-GB" w:bidi="ar-SA"/>
        </w:rPr>
        <w:t>of this specification.</w:t>
      </w:r>
    </w:p>
    <w:p w14:paraId="60A8047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28C1216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and additional output data providing the configured ONC.</w:t>
      </w:r>
    </w:p>
    <w:p w14:paraId="142A444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specific status code as defined in table 5319-C, indicating that the authorisations have been configured in the SM-SR but that some side-effects of this configuration may require the attention of the Operator, and additional output data providing the configured ONC.</w:t>
      </w:r>
    </w:p>
    <w:p w14:paraId="348A40EB" w14:textId="08153DD2"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36E94B24" w14:textId="77777777" w:rsidR="00B97365" w:rsidRDefault="00B97365">
      <w:pPr>
        <w:spacing w:before="0" w:after="200" w:line="276" w:lineRule="auto"/>
        <w:jc w:val="left"/>
        <w:rPr>
          <w:rFonts w:cs="Arial"/>
          <w:b/>
          <w:i/>
          <w:szCs w:val="22"/>
          <w:lang w:eastAsia="en-GB" w:bidi="ar-SA"/>
        </w:rPr>
      </w:pPr>
    </w:p>
    <w:p w14:paraId="2EF480C4"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630"/>
        <w:gridCol w:w="590"/>
        <w:gridCol w:w="474"/>
        <w:gridCol w:w="590"/>
      </w:tblGrid>
      <w:tr w:rsidR="00B97365" w14:paraId="5F7A1A44"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4FCAD20"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C8AA13C"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D5830F9"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5B8073"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05B73E6"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0113DF8"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6A4E8921"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profileType</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1EF9C70" w14:textId="77777777" w:rsidR="00B97365" w:rsidRDefault="00000000">
            <w:pPr>
              <w:rPr>
                <w:rFonts w:cs="Calibri"/>
                <w:sz w:val="16"/>
                <w:szCs w:val="16"/>
                <w:lang w:val="en-US"/>
              </w:rPr>
            </w:pPr>
            <w:r>
              <w:rPr>
                <w:rFonts w:cs="Calibri"/>
                <w:sz w:val="16"/>
                <w:szCs w:val="16"/>
                <w:lang w:val="en-US"/>
              </w:rPr>
              <w:t>Identification of the Profile Type for which the ONC is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405172A4"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String</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0FA7E462"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36F13F2C"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3455D1D1"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10833BC6"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iccid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1598C4E4" w14:textId="77777777" w:rsidR="00B97365" w:rsidRDefault="00000000">
            <w:pPr>
              <w:rPr>
                <w:rFonts w:cs="Calibri"/>
                <w:sz w:val="16"/>
                <w:szCs w:val="16"/>
                <w:lang w:val="en-US"/>
              </w:rPr>
            </w:pPr>
            <w:r>
              <w:rPr>
                <w:rFonts w:cs="Calibri"/>
                <w:sz w:val="16"/>
                <w:szCs w:val="16"/>
                <w:lang w:val="en-US"/>
              </w:rPr>
              <w:t>Identification of one specific Profile for which the ONC is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20C62DE1"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DDADC6A"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0046B9E2"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516BEDCF"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5B5F1A0A" w14:textId="77777777" w:rsidR="00B97365" w:rsidRDefault="00000000">
            <w:pPr>
              <w:keepNext/>
              <w:keepLines/>
              <w:tabs>
                <w:tab w:val="num" w:pos="1152"/>
                <w:tab w:val="num" w:pos="2160"/>
              </w:tabs>
              <w:spacing w:line="260" w:lineRule="atLeast"/>
              <w:ind w:left="1152" w:hanging="1152"/>
              <w:rPr>
                <w:rFonts w:cs="Calibri"/>
                <w:sz w:val="16"/>
                <w:szCs w:val="16"/>
                <w:lang w:val="en-US"/>
              </w:rPr>
            </w:pPr>
            <w:r>
              <w:rPr>
                <w:rFonts w:cs="Calibri"/>
                <w:sz w:val="16"/>
                <w:szCs w:val="16"/>
              </w:rPr>
              <w:t>smsr-id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A76D50F" w14:textId="77777777" w:rsidR="00B97365" w:rsidRDefault="00000000">
            <w:pPr>
              <w:autoSpaceDE w:val="0"/>
              <w:autoSpaceDN w:val="0"/>
              <w:adjustRightInd w:val="0"/>
              <w:spacing w:line="276" w:lineRule="auto"/>
              <w:rPr>
                <w:rFonts w:eastAsia="MS Mincho" w:cs="Arial"/>
                <w:color w:val="000000"/>
                <w:sz w:val="16"/>
                <w:szCs w:val="16"/>
                <w:lang w:val="en-US" w:eastAsia="ja-JP" w:bidi="ar-SA"/>
              </w:rPr>
            </w:pPr>
            <w:r>
              <w:rPr>
                <w:rFonts w:eastAsia="MS Mincho" w:cs="Arial"/>
                <w:color w:val="000000"/>
                <w:sz w:val="16"/>
                <w:szCs w:val="16"/>
                <w:lang w:val="en-US" w:eastAsia="ja-JP" w:bidi="ar-SA"/>
              </w:rPr>
              <w:t xml:space="preserve">Identification of the SM-SR from which to retrieve this ONC. </w:t>
            </w:r>
          </w:p>
          <w:p w14:paraId="6BD8A213" w14:textId="77777777" w:rsidR="00B97365" w:rsidRDefault="00000000">
            <w:pPr>
              <w:rPr>
                <w:rFonts w:cs="Calibri"/>
                <w:sz w:val="16"/>
                <w:szCs w:val="16"/>
                <w:lang w:val="en-US"/>
              </w:rPr>
            </w:pPr>
            <w:r>
              <w:rPr>
                <w:sz w:val="16"/>
                <w:szCs w:val="16"/>
              </w:rPr>
              <w:t xml:space="preserve">This information may change during the eUICC's lifetime. </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70CE95E1"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4058D6FE"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2B3CAAA9"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348F04ED" w14:textId="77777777" w:rsidR="00B97365" w:rsidRDefault="00000000">
      <w:pPr>
        <w:tabs>
          <w:tab w:val="left" w:pos="1009"/>
        </w:tabs>
        <w:spacing w:after="200" w:line="276" w:lineRule="auto"/>
        <w:jc w:val="center"/>
        <w:rPr>
          <w:rFonts w:cs="Arial"/>
          <w:b/>
          <w:lang w:eastAsia="de-DE" w:bidi="ar-SA"/>
        </w:rPr>
      </w:pPr>
      <w:r>
        <w:rPr>
          <w:rFonts w:cs="Arial"/>
          <w:b/>
          <w:lang w:eastAsia="de-DE" w:bidi="ar-SA"/>
        </w:rPr>
        <w:t>Table 5319-A: GetONC Additional Input Data</w:t>
      </w:r>
    </w:p>
    <w:p w14:paraId="6DBCD30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One and only one of the input data profileType or iccid SHALL be present.</w:t>
      </w:r>
    </w:p>
    <w:p w14:paraId="7FF9D3EA"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23"/>
        <w:gridCol w:w="6060"/>
        <w:gridCol w:w="1008"/>
        <w:gridCol w:w="400"/>
        <w:gridCol w:w="525"/>
      </w:tblGrid>
      <w:tr w:rsidR="00B97365" w14:paraId="3C28B25E" w14:textId="77777777">
        <w:trPr>
          <w:trHeight w:val="342"/>
          <w:jc w:val="center"/>
        </w:trPr>
        <w:tc>
          <w:tcPr>
            <w:tcW w:w="1023"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E43C6BF"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606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92C6846" w14:textId="77777777" w:rsidR="00B97365" w:rsidRDefault="00000000">
            <w:pPr>
              <w:jc w:val="center"/>
              <w:rPr>
                <w:rFonts w:cs="Calibri"/>
                <w:b/>
                <w:color w:val="FFFFFF"/>
                <w:sz w:val="16"/>
                <w:szCs w:val="16"/>
              </w:rPr>
            </w:pPr>
            <w:r>
              <w:rPr>
                <w:rFonts w:cs="Calibri"/>
                <w:b/>
                <w:color w:val="FFFFFF"/>
                <w:sz w:val="16"/>
                <w:szCs w:val="16"/>
              </w:rPr>
              <w:t>Description</w:t>
            </w:r>
          </w:p>
        </w:tc>
        <w:tc>
          <w:tcPr>
            <w:tcW w:w="100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7A92BEF" w14:textId="77777777" w:rsidR="00B97365" w:rsidRDefault="00000000">
            <w:pPr>
              <w:jc w:val="center"/>
              <w:rPr>
                <w:rFonts w:cs="Calibri"/>
                <w:b/>
                <w:color w:val="FFFFFF"/>
                <w:sz w:val="16"/>
                <w:szCs w:val="16"/>
              </w:rPr>
            </w:pPr>
            <w:r>
              <w:rPr>
                <w:rFonts w:cs="Calibri"/>
                <w:b/>
                <w:color w:val="FFFFFF"/>
                <w:sz w:val="16"/>
                <w:szCs w:val="16"/>
              </w:rPr>
              <w:t>Type</w:t>
            </w:r>
          </w:p>
        </w:tc>
        <w:tc>
          <w:tcPr>
            <w:tcW w:w="40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00735E1" w14:textId="77777777" w:rsidR="00B97365" w:rsidRDefault="00000000">
            <w:pPr>
              <w:jc w:val="center"/>
              <w:rPr>
                <w:rFonts w:cs="Calibri"/>
                <w:b/>
                <w:color w:val="FFFFFF"/>
                <w:sz w:val="16"/>
                <w:szCs w:val="16"/>
              </w:rPr>
            </w:pPr>
            <w:r>
              <w:rPr>
                <w:rFonts w:cs="Calibri"/>
                <w:b/>
                <w:color w:val="FFFFFF"/>
                <w:sz w:val="16"/>
                <w:szCs w:val="16"/>
              </w:rPr>
              <w:t>No.</w:t>
            </w:r>
          </w:p>
        </w:tc>
        <w:tc>
          <w:tcPr>
            <w:tcW w:w="525"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FAAF29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1C9546E" w14:textId="77777777">
        <w:trPr>
          <w:trHeight w:val="282"/>
          <w:jc w:val="center"/>
        </w:trPr>
        <w:tc>
          <w:tcPr>
            <w:tcW w:w="1023" w:type="dxa"/>
            <w:tcBorders>
              <w:top w:val="single" w:sz="6" w:space="0" w:color="auto"/>
              <w:left w:val="single" w:sz="4" w:space="0" w:color="auto"/>
              <w:bottom w:val="single" w:sz="4" w:space="0" w:color="auto"/>
              <w:right w:val="single" w:sz="6" w:space="0" w:color="auto"/>
            </w:tcBorders>
            <w:vAlign w:val="center"/>
            <w:hideMark/>
          </w:tcPr>
          <w:p w14:paraId="004F8623" w14:textId="77777777" w:rsidR="00B97365" w:rsidRDefault="00000000">
            <w:pPr>
              <w:tabs>
                <w:tab w:val="right" w:pos="7938"/>
              </w:tabs>
              <w:ind w:left="470" w:hanging="459"/>
              <w:rPr>
                <w:rFonts w:cs="Calibri"/>
                <w:sz w:val="16"/>
                <w:szCs w:val="16"/>
              </w:rPr>
            </w:pPr>
            <w:r>
              <w:rPr>
                <w:rFonts w:cs="Calibri"/>
                <w:sz w:val="16"/>
                <w:szCs w:val="16"/>
              </w:rPr>
              <w:t>onc</w:t>
            </w:r>
          </w:p>
        </w:tc>
        <w:tc>
          <w:tcPr>
            <w:tcW w:w="6060" w:type="dxa"/>
            <w:tcBorders>
              <w:top w:val="single" w:sz="6" w:space="0" w:color="auto"/>
              <w:left w:val="single" w:sz="6" w:space="0" w:color="auto"/>
              <w:bottom w:val="single" w:sz="4" w:space="0" w:color="auto"/>
              <w:right w:val="single" w:sz="6" w:space="0" w:color="auto"/>
            </w:tcBorders>
            <w:vAlign w:val="center"/>
            <w:hideMark/>
          </w:tcPr>
          <w:p w14:paraId="05D992DB" w14:textId="77777777" w:rsidR="00B97365" w:rsidRDefault="00000000">
            <w:pPr>
              <w:rPr>
                <w:rFonts w:cs="Calibri"/>
                <w:sz w:val="16"/>
                <w:szCs w:val="16"/>
              </w:rPr>
            </w:pPr>
            <w:r>
              <w:rPr>
                <w:rFonts w:cs="Calibri"/>
                <w:sz w:val="16"/>
                <w:szCs w:val="16"/>
              </w:rPr>
              <w:t xml:space="preserve">The ONC including the list of unwanted notifications that match the search criterion </w:t>
            </w:r>
          </w:p>
          <w:p w14:paraId="06E3A07F" w14:textId="77777777" w:rsidR="00B97365" w:rsidRDefault="00000000">
            <w:pPr>
              <w:rPr>
                <w:rFonts w:cs="Calibri"/>
                <w:sz w:val="16"/>
                <w:szCs w:val="16"/>
              </w:rPr>
            </w:pPr>
            <w:r>
              <w:rPr>
                <w:rFonts w:cs="Calibri"/>
                <w:sz w:val="16"/>
                <w:szCs w:val="16"/>
              </w:rPr>
              <w:t xml:space="preserve">See </w:t>
            </w:r>
            <w:r>
              <w:rPr>
                <w:rFonts w:cs="Calibri"/>
                <w:sz w:val="16"/>
                <w:szCs w:val="16"/>
                <w:lang w:val="en-US"/>
              </w:rPr>
              <w:t>section 5.1.1.2.15</w:t>
            </w:r>
            <w:r>
              <w:t xml:space="preserve"> </w:t>
            </w:r>
            <w:r>
              <w:rPr>
                <w:rFonts w:cs="Calibri"/>
                <w:sz w:val="16"/>
                <w:szCs w:val="16"/>
              </w:rPr>
              <w:t>for type description.</w:t>
            </w:r>
          </w:p>
          <w:p w14:paraId="6590EE2E" w14:textId="77777777" w:rsidR="00B97365" w:rsidRDefault="00000000">
            <w:pPr>
              <w:rPr>
                <w:rFonts w:cs="Calibri"/>
                <w:sz w:val="16"/>
                <w:szCs w:val="16"/>
              </w:rPr>
            </w:pPr>
            <w:r>
              <w:rPr>
                <w:rFonts w:cs="Calibri"/>
                <w:sz w:val="16"/>
                <w:szCs w:val="16"/>
                <w:u w:val="single"/>
                <w:lang w:val="en-US"/>
              </w:rPr>
              <w:t>NOTE:</w:t>
            </w:r>
            <w:r>
              <w:rPr>
                <w:rFonts w:cs="Calibri"/>
                <w:sz w:val="16"/>
                <w:szCs w:val="16"/>
              </w:rPr>
              <w:t xml:space="preserve"> </w:t>
            </w:r>
          </w:p>
          <w:p w14:paraId="040E3DA8" w14:textId="77777777" w:rsidR="00B97365" w:rsidRDefault="00000000">
            <w:pPr>
              <w:spacing w:before="0"/>
              <w:jc w:val="left"/>
              <w:rPr>
                <w:rFonts w:cs="Calibri"/>
                <w:sz w:val="16"/>
                <w:szCs w:val="16"/>
                <w:lang w:val="en-US"/>
              </w:rPr>
            </w:pPr>
            <w:r>
              <w:rPr>
                <w:rFonts w:cs="Calibri"/>
                <w:sz w:val="16"/>
                <w:szCs w:val="16"/>
                <w:lang w:val="en-US"/>
              </w:rPr>
              <w:t>If no Operator Notification Configuration has yet been set in the SM-SR for a given Profile Type, then the output data of this function will list no notification names, as all notifications will be sent for Profiles assigned with this Profile Type. See also section 3.21.4 and table 511215-A for details.</w:t>
            </w:r>
          </w:p>
          <w:p w14:paraId="31601738" w14:textId="77777777" w:rsidR="00B97365" w:rsidRDefault="00B97365">
            <w:pPr>
              <w:rPr>
                <w:rFonts w:cs="Calibri"/>
                <w:sz w:val="16"/>
                <w:szCs w:val="16"/>
              </w:rPr>
            </w:pPr>
          </w:p>
        </w:tc>
        <w:tc>
          <w:tcPr>
            <w:tcW w:w="1008" w:type="dxa"/>
            <w:tcBorders>
              <w:top w:val="single" w:sz="6" w:space="0" w:color="auto"/>
              <w:left w:val="single" w:sz="6" w:space="0" w:color="auto"/>
              <w:bottom w:val="single" w:sz="4" w:space="0" w:color="auto"/>
              <w:right w:val="single" w:sz="6" w:space="0" w:color="auto"/>
            </w:tcBorders>
            <w:vAlign w:val="center"/>
            <w:hideMark/>
          </w:tcPr>
          <w:p w14:paraId="4E679A3B" w14:textId="77777777" w:rsidR="00B97365" w:rsidRDefault="00000000">
            <w:pPr>
              <w:jc w:val="center"/>
              <w:rPr>
                <w:rFonts w:cs="Calibri"/>
                <w:sz w:val="16"/>
                <w:szCs w:val="16"/>
              </w:rPr>
            </w:pPr>
            <w:r>
              <w:rPr>
                <w:rFonts w:cs="Calibri"/>
                <w:sz w:val="16"/>
                <w:szCs w:val="16"/>
                <w:lang w:val="en-US"/>
              </w:rPr>
              <w:t xml:space="preserve">ONC </w:t>
            </w:r>
          </w:p>
        </w:tc>
        <w:tc>
          <w:tcPr>
            <w:tcW w:w="400" w:type="dxa"/>
            <w:tcBorders>
              <w:top w:val="single" w:sz="6" w:space="0" w:color="auto"/>
              <w:left w:val="single" w:sz="6" w:space="0" w:color="auto"/>
              <w:bottom w:val="single" w:sz="4" w:space="0" w:color="auto"/>
              <w:right w:val="single" w:sz="6" w:space="0" w:color="auto"/>
            </w:tcBorders>
            <w:vAlign w:val="center"/>
            <w:hideMark/>
          </w:tcPr>
          <w:p w14:paraId="7794AFEF" w14:textId="77777777" w:rsidR="00B97365" w:rsidRDefault="00000000">
            <w:pPr>
              <w:jc w:val="center"/>
              <w:rPr>
                <w:rFonts w:cs="Calibri"/>
                <w:sz w:val="16"/>
                <w:szCs w:val="16"/>
              </w:rPr>
            </w:pPr>
            <w:r>
              <w:rPr>
                <w:rFonts w:cs="Calibri"/>
                <w:sz w:val="16"/>
                <w:szCs w:val="16"/>
              </w:rPr>
              <w:t>N</w:t>
            </w:r>
          </w:p>
        </w:tc>
        <w:tc>
          <w:tcPr>
            <w:tcW w:w="525" w:type="dxa"/>
            <w:tcBorders>
              <w:top w:val="single" w:sz="6" w:space="0" w:color="auto"/>
              <w:left w:val="single" w:sz="6" w:space="0" w:color="auto"/>
              <w:bottom w:val="single" w:sz="4" w:space="0" w:color="auto"/>
              <w:right w:val="single" w:sz="4" w:space="0" w:color="auto"/>
            </w:tcBorders>
            <w:vAlign w:val="center"/>
            <w:hideMark/>
          </w:tcPr>
          <w:p w14:paraId="1E2E503F" w14:textId="77777777" w:rsidR="00B97365" w:rsidRDefault="00000000">
            <w:pPr>
              <w:jc w:val="center"/>
              <w:rPr>
                <w:rFonts w:cs="Calibri"/>
                <w:sz w:val="16"/>
                <w:szCs w:val="16"/>
              </w:rPr>
            </w:pPr>
            <w:r>
              <w:rPr>
                <w:rFonts w:cs="Calibri"/>
                <w:sz w:val="16"/>
                <w:szCs w:val="16"/>
              </w:rPr>
              <w:t>M</w:t>
            </w:r>
          </w:p>
        </w:tc>
      </w:tr>
    </w:tbl>
    <w:p w14:paraId="53B8EE1B" w14:textId="77777777" w:rsidR="00B97365" w:rsidRDefault="00000000">
      <w:pPr>
        <w:tabs>
          <w:tab w:val="left" w:pos="1009"/>
        </w:tabs>
        <w:spacing w:after="200" w:line="276" w:lineRule="auto"/>
        <w:jc w:val="center"/>
        <w:rPr>
          <w:rFonts w:cs="Arial"/>
          <w:lang w:eastAsia="de-DE" w:bidi="ar-SA"/>
        </w:rPr>
      </w:pPr>
      <w:r>
        <w:rPr>
          <w:rFonts w:cs="Arial"/>
          <w:b/>
          <w:lang w:eastAsia="de-DE" w:bidi="ar-SA"/>
        </w:rPr>
        <w:t>Table 5319-B: GetONC Additional Output Data</w:t>
      </w:r>
    </w:p>
    <w:p w14:paraId="78935C3E"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Specific status codes</w:t>
      </w:r>
    </w:p>
    <w:p w14:paraId="4846BFF1" w14:textId="77777777" w:rsidR="00B97365" w:rsidRDefault="00000000">
      <w:pPr>
        <w:spacing w:before="0" w:after="200" w:line="276" w:lineRule="auto"/>
        <w:jc w:val="left"/>
        <w:rPr>
          <w:szCs w:val="22"/>
          <w:lang w:val="en-US" w:eastAsia="en-GB" w:bidi="ar-SA"/>
        </w:rPr>
      </w:pPr>
      <w:r>
        <w:rPr>
          <w:szCs w:val="22"/>
          <w:lang w:val="en-US" w:eastAsia="en-GB" w:bidi="ar-SA"/>
        </w:rPr>
        <w:t>In addition to the list of status codes returned by ES3.GetONC, this function may return the following list of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718"/>
        <w:gridCol w:w="718"/>
        <w:gridCol w:w="808"/>
        <w:gridCol w:w="6054"/>
      </w:tblGrid>
      <w:tr w:rsidR="00B97365" w14:paraId="5265AC24"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D3E5F7C" w14:textId="77777777" w:rsidR="00B97365" w:rsidRDefault="00000000">
            <w:pPr>
              <w:jc w:val="center"/>
              <w:rPr>
                <w:rFonts w:cs="Calibri"/>
                <w:b/>
                <w:color w:val="FFFFFF"/>
                <w:sz w:val="16"/>
                <w:szCs w:val="16"/>
              </w:rPr>
            </w:pPr>
            <w:r>
              <w:rPr>
                <w:rFonts w:cs="Calibri"/>
                <w:b/>
                <w:color w:val="FFFFFF"/>
                <w:sz w:val="16"/>
                <w:szCs w:val="16"/>
              </w:rPr>
              <w:t>Subject</w:t>
            </w:r>
          </w:p>
          <w:p w14:paraId="3CE1F735"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3D579F4"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FB46D57" w14:textId="77777777" w:rsidR="00B97365" w:rsidRDefault="00000000">
            <w:pPr>
              <w:jc w:val="center"/>
              <w:rPr>
                <w:rFonts w:cs="Calibri"/>
                <w:b/>
                <w:color w:val="FFFFFF"/>
                <w:sz w:val="16"/>
                <w:szCs w:val="16"/>
              </w:rPr>
            </w:pPr>
            <w:r>
              <w:rPr>
                <w:rFonts w:cs="Calibri"/>
                <w:b/>
                <w:color w:val="FFFFFF"/>
                <w:sz w:val="16"/>
                <w:szCs w:val="16"/>
              </w:rPr>
              <w:t>Reason</w:t>
            </w:r>
          </w:p>
          <w:p w14:paraId="77D38B6D"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998D94D"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7D50676"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39D01A2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2189C1AA" w14:textId="77777777" w:rsidR="00B97365" w:rsidRDefault="00000000">
            <w:pPr>
              <w:jc w:val="center"/>
              <w:rPr>
                <w:rFonts w:cs="Calibri"/>
                <w:sz w:val="16"/>
                <w:szCs w:val="16"/>
              </w:rPr>
            </w:pPr>
            <w:r>
              <w:rPr>
                <w:rFonts w:cs="Calibri"/>
                <w:sz w:val="16"/>
                <w:szCs w:val="16"/>
              </w:rPr>
              <w:t>8.7</w:t>
            </w:r>
          </w:p>
        </w:tc>
        <w:tc>
          <w:tcPr>
            <w:tcW w:w="0" w:type="auto"/>
            <w:tcBorders>
              <w:top w:val="single" w:sz="6" w:space="0" w:color="auto"/>
              <w:left w:val="single" w:sz="6" w:space="0" w:color="auto"/>
              <w:bottom w:val="single" w:sz="6" w:space="0" w:color="auto"/>
              <w:right w:val="single" w:sz="6" w:space="0" w:color="auto"/>
            </w:tcBorders>
            <w:vAlign w:val="center"/>
          </w:tcPr>
          <w:p w14:paraId="3CD74F67" w14:textId="77777777" w:rsidR="00B97365" w:rsidRDefault="00000000">
            <w:pPr>
              <w:rPr>
                <w:rFonts w:cs="Calibri"/>
                <w:sz w:val="16"/>
                <w:szCs w:val="16"/>
                <w:lang w:val="en-US"/>
              </w:rPr>
            </w:pPr>
            <w:r>
              <w:rPr>
                <w:rFonts w:cs="Calibri"/>
                <w:sz w:val="16"/>
                <w:szCs w:val="16"/>
                <w:lang w:val="en-US"/>
              </w:rPr>
              <w:t>SM-SR</w:t>
            </w:r>
          </w:p>
        </w:tc>
        <w:tc>
          <w:tcPr>
            <w:tcW w:w="0" w:type="auto"/>
            <w:tcBorders>
              <w:top w:val="single" w:sz="6" w:space="0" w:color="auto"/>
              <w:left w:val="single" w:sz="6" w:space="0" w:color="auto"/>
              <w:bottom w:val="single" w:sz="6" w:space="0" w:color="auto"/>
              <w:right w:val="single" w:sz="6" w:space="0" w:color="auto"/>
            </w:tcBorders>
            <w:vAlign w:val="center"/>
          </w:tcPr>
          <w:p w14:paraId="2B0E088C"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tcPr>
          <w:p w14:paraId="546AAC70"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1B662CC4" w14:textId="77777777" w:rsidR="00B97365" w:rsidRDefault="00000000">
            <w:pPr>
              <w:rPr>
                <w:rFonts w:cs="Calibri"/>
                <w:sz w:val="16"/>
                <w:szCs w:val="16"/>
                <w:lang w:val="en-US"/>
              </w:rPr>
            </w:pPr>
            <w:r>
              <w:rPr>
                <w:rFonts w:cs="Calibri"/>
                <w:sz w:val="16"/>
                <w:szCs w:val="16"/>
              </w:rPr>
              <w:t>Indicates that the SM-SR, identified by this smsr-id, is unknown to or cannot be resolved by the function provider.</w:t>
            </w:r>
          </w:p>
        </w:tc>
      </w:tr>
    </w:tbl>
    <w:p w14:paraId="7F87C718"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5319-C: GetONC Specific Status Codes</w:t>
      </w:r>
    </w:p>
    <w:p w14:paraId="16EDD2C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87" w:name="_Toc1977371"/>
      <w:bookmarkStart w:id="3588" w:name="_Toc37062530"/>
      <w:bookmarkStart w:id="3589" w:name="_Toc88839604"/>
      <w:bookmarkStart w:id="3590" w:name="_Toc121504012"/>
      <w:r>
        <w:rPr>
          <w:rFonts w:eastAsia="Times New Roman" w:cs="Arial"/>
          <w:b/>
          <w:bCs/>
          <w:iCs/>
          <w:sz w:val="24"/>
          <w:szCs w:val="26"/>
          <w:lang w:eastAsia="en-US"/>
        </w:rPr>
        <w:t>Setting the Emergency Profile Attribute</w:t>
      </w:r>
      <w:bookmarkEnd w:id="3587"/>
      <w:bookmarkEnd w:id="3588"/>
      <w:bookmarkEnd w:id="3589"/>
      <w:bookmarkEnd w:id="3590"/>
    </w:p>
    <w:p w14:paraId="3CBB642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SetEmergencyProfileAttribute</w:t>
      </w:r>
    </w:p>
    <w:p w14:paraId="7BFEC3F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Emergency Profile Attribute Management, Emergency Profile Attribute Management via M2M SP</w:t>
      </w:r>
    </w:p>
    <w:p w14:paraId="77B0248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3B774F5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6B2BFB9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115FF68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function allows the Operator owner of the Profile to request an SM-DP to set the Emergency Profile Attribute on a Profile in a specified eUICC, eUICC being identified by its EID. </w:t>
      </w:r>
    </w:p>
    <w:p w14:paraId="29803EC7" w14:textId="1319CBB2"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SM-DP receiving this request SHALL process it according to the “Emergency Profile Attribute Management” procedure described in the section </w:t>
      </w:r>
      <w:r>
        <w:rPr>
          <w:rFonts w:cs="Arial"/>
          <w:szCs w:val="22"/>
          <w:lang w:val="en-US" w:eastAsia="en-GB" w:bidi="ar-SA"/>
        </w:rPr>
        <w:fldChar w:fldCharType="begin"/>
      </w:r>
      <w:r>
        <w:rPr>
          <w:rFonts w:cs="Arial"/>
          <w:szCs w:val="22"/>
          <w:lang w:val="en-US" w:eastAsia="en-GB" w:bidi="ar-SA"/>
        </w:rPr>
        <w:instrText xml:space="preserve"> REF _Ref536172225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3.25</w:t>
      </w:r>
      <w:r>
        <w:rPr>
          <w:rFonts w:cs="Arial"/>
          <w:szCs w:val="22"/>
          <w:lang w:val="en-US" w:eastAsia="en-GB" w:bidi="ar-SA"/>
        </w:rPr>
        <w:fldChar w:fldCharType="end"/>
      </w:r>
      <w:r>
        <w:t xml:space="preserve"> </w:t>
      </w:r>
      <w:r>
        <w:rPr>
          <w:szCs w:val="22"/>
          <w:lang w:val="en-US" w:eastAsia="en-GB" w:bidi="ar-SA"/>
        </w:rPr>
        <w:t>of this specification (option b: via SM-DP).</w:t>
      </w:r>
    </w:p>
    <w:p w14:paraId="37F52D9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53E1BBE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w:t>
      </w:r>
      <w:r>
        <w:rPr>
          <w:rFonts w:cs="Arial"/>
          <w:szCs w:val="22"/>
          <w:lang w:val="en-US" w:eastAsia="en-GB" w:bidi="ar-SA"/>
        </w:rPr>
        <w:t>Emergency Profile</w:t>
      </w:r>
      <w:r>
        <w:rPr>
          <w:szCs w:val="22"/>
          <w:lang w:eastAsia="en-GB" w:bidi="ar-SA"/>
        </w:rPr>
        <w:t xml:space="preserve"> Attribute has been set on the targeted Profile. </w:t>
      </w:r>
    </w:p>
    <w:p w14:paraId="15F2C83E" w14:textId="51D341D3"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 xml:space="preserve">A ‘Function execution status’ with ‘Expired’ with a status code as defined in section </w:t>
      </w:r>
      <w:r>
        <w:fldChar w:fldCharType="begin"/>
      </w:r>
      <w:r>
        <w:instrText xml:space="preserve"> REF _Ref367973952 \r \h  \* MERGEFORMAT </w:instrText>
      </w:r>
      <w:r>
        <w:fldChar w:fldCharType="separate"/>
      </w:r>
      <w:r w:rsidR="001D5AD9" w:rsidRPr="001D5AD9">
        <w:rPr>
          <w:szCs w:val="22"/>
          <w:lang w:eastAsia="en-GB" w:bidi="ar-SA"/>
        </w:rPr>
        <w:t>5.1.6.4</w:t>
      </w:r>
      <w:r>
        <w:fldChar w:fldCharType="end"/>
      </w:r>
    </w:p>
    <w:p w14:paraId="1DF8A9E6" w14:textId="499BECD1"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679A98F2" w14:textId="77777777" w:rsidR="00B97365" w:rsidRDefault="00B97365">
      <w:pPr>
        <w:spacing w:before="0" w:after="200" w:line="276" w:lineRule="auto"/>
        <w:jc w:val="left"/>
        <w:rPr>
          <w:rFonts w:cs="Arial"/>
          <w:b/>
          <w:i/>
          <w:szCs w:val="22"/>
          <w:lang w:val="en-US" w:eastAsia="en-GB" w:bidi="ar-SA"/>
        </w:rPr>
      </w:pPr>
    </w:p>
    <w:p w14:paraId="30EA6531"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397"/>
        <w:gridCol w:w="590"/>
        <w:gridCol w:w="474"/>
        <w:gridCol w:w="590"/>
      </w:tblGrid>
      <w:tr w:rsidR="00B97365" w14:paraId="3C59D7E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B38C425"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BC993E3"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F3B3A24"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E324647"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9BEEB68"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628F3E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5DBCEB65"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hideMark/>
          </w:tcPr>
          <w:p w14:paraId="339F7528" w14:textId="77777777" w:rsidR="00B97365" w:rsidRDefault="00000000">
            <w:pPr>
              <w:rPr>
                <w:rFonts w:eastAsia="Times New Roman" w:cs="Calibri"/>
                <w:sz w:val="16"/>
                <w:szCs w:val="16"/>
                <w:lang w:val="en-US"/>
              </w:rPr>
            </w:pPr>
            <w:r>
              <w:rPr>
                <w:rFonts w:cs="Calibri"/>
                <w:sz w:val="16"/>
                <w:szCs w:val="16"/>
                <w:lang w:val="en-US"/>
              </w:rPr>
              <w:t>Identification of the targeted eUICC.</w:t>
            </w:r>
          </w:p>
          <w:p w14:paraId="075E55DA" w14:textId="033D9307" w:rsidR="00B97365" w:rsidRDefault="00000000">
            <w:pPr>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_Ref367973974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hideMark/>
          </w:tcPr>
          <w:p w14:paraId="49104943"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hideMark/>
          </w:tcPr>
          <w:p w14:paraId="10D76A9B"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332178ED"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1C8A2D2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14:paraId="0C222D5B"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smsr-id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632AB44" w14:textId="77777777" w:rsidR="00B97365" w:rsidRDefault="00000000">
            <w:pPr>
              <w:rPr>
                <w:rFonts w:eastAsia="Times New Roman" w:cs="Calibri"/>
                <w:sz w:val="16"/>
                <w:szCs w:val="16"/>
              </w:rPr>
            </w:pPr>
            <w:r>
              <w:rPr>
                <w:rFonts w:cs="Calibri"/>
                <w:sz w:val="16"/>
                <w:szCs w:val="16"/>
                <w:lang w:val="en-US"/>
              </w:rPr>
              <w:t xml:space="preserve">Identification of the SM-SR currently in charge of eUICC management. </w:t>
            </w:r>
          </w:p>
          <w:p w14:paraId="30E113D0" w14:textId="77777777" w:rsidR="00B97365" w:rsidRDefault="00000000">
            <w:pPr>
              <w:keepNext/>
              <w:keepLines/>
              <w:tabs>
                <w:tab w:val="num" w:pos="1152"/>
                <w:tab w:val="num" w:pos="2160"/>
              </w:tabs>
              <w:spacing w:after="140" w:line="260" w:lineRule="atLeast"/>
              <w:ind w:left="1152" w:hanging="1152"/>
              <w:rPr>
                <w:rFonts w:cs="Calibri"/>
                <w:sz w:val="16"/>
                <w:szCs w:val="16"/>
                <w:lang w:val="en-US"/>
              </w:rPr>
            </w:pPr>
            <w:r>
              <w:rPr>
                <w:rFonts w:cs="Calibri"/>
                <w:sz w:val="16"/>
                <w:szCs w:val="16"/>
                <w:lang w:val="en-US"/>
              </w:rPr>
              <w:t>This information may change during the eUICC’s lifetime.</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5C1F0AC"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C3AD5B8"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14:paraId="3825C883"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r w:rsidR="00B97365" w14:paraId="4BCAAECD"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vAlign w:val="center"/>
            <w:hideMark/>
          </w:tcPr>
          <w:p w14:paraId="7BF3B3D1"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4F465A07" w14:textId="7777777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Identification of the Profile on which to set the Emergency Profile Attribute.</w:t>
            </w:r>
          </w:p>
          <w:p w14:paraId="58F8972F" w14:textId="28ADAE02"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_Ref367973980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53CCBB57" w14:textId="77777777" w:rsidR="00B97365" w:rsidRDefault="00000000">
            <w:pPr>
              <w:keepNext/>
              <w:keepLines/>
              <w:tabs>
                <w:tab w:val="num" w:pos="4320"/>
              </w:tabs>
              <w:spacing w:before="140" w:after="120" w:line="260" w:lineRule="atLeast"/>
              <w:ind w:left="1531" w:hanging="1531"/>
              <w:jc w:val="center"/>
              <w:rPr>
                <w:rFonts w:eastAsia="Times New Roman"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703BED91" w14:textId="77777777" w:rsidR="00B97365" w:rsidRDefault="00000000">
            <w:pPr>
              <w:spacing w:before="140" w:after="120" w:line="260" w:lineRule="atLeast"/>
              <w:ind w:left="1531" w:hanging="1531"/>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vAlign w:val="center"/>
            <w:hideMark/>
          </w:tcPr>
          <w:p w14:paraId="4615C245"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39A0D13B"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5320-A: Set Emergency Profile Attribute Additional Input Data</w:t>
      </w:r>
    </w:p>
    <w:p w14:paraId="69878758"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p w14:paraId="0F601CA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None</w:t>
      </w:r>
    </w:p>
    <w:p w14:paraId="7538ED4A" w14:textId="77777777" w:rsidR="00B97365" w:rsidRDefault="00B97365">
      <w:pPr>
        <w:tabs>
          <w:tab w:val="left" w:pos="680"/>
        </w:tabs>
        <w:spacing w:before="0" w:after="200" w:line="276" w:lineRule="auto"/>
        <w:contextualSpacing/>
        <w:jc w:val="left"/>
        <w:rPr>
          <w:rFonts w:cs="Arial"/>
          <w:szCs w:val="22"/>
          <w:lang w:eastAsia="en-GB" w:bidi="ar-SA"/>
        </w:rPr>
      </w:pPr>
    </w:p>
    <w:p w14:paraId="23F424EC"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Specific status codes</w:t>
      </w:r>
    </w:p>
    <w:p w14:paraId="68394115" w14:textId="77777777" w:rsidR="00B97365" w:rsidRDefault="00000000">
      <w:pPr>
        <w:spacing w:before="0" w:after="200" w:line="276" w:lineRule="auto"/>
        <w:jc w:val="left"/>
        <w:rPr>
          <w:szCs w:val="22"/>
          <w:lang w:val="en-US" w:eastAsia="en-GB" w:bidi="ar-SA"/>
        </w:rPr>
      </w:pPr>
      <w:r>
        <w:rPr>
          <w:rFonts w:cs="Arial"/>
          <w:szCs w:val="22"/>
          <w:lang w:val="en-US" w:eastAsia="en-GB" w:bidi="ar-SA"/>
        </w:rPr>
        <w:t>In addition to the status codes returned by ES3.setEmergencyProfileAttribute, this function may return the following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718"/>
        <w:gridCol w:w="718"/>
        <w:gridCol w:w="808"/>
        <w:gridCol w:w="6054"/>
      </w:tblGrid>
      <w:tr w:rsidR="00B97365" w14:paraId="1FA27EB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782AA2D" w14:textId="77777777" w:rsidR="00B97365" w:rsidRDefault="00000000">
            <w:pPr>
              <w:jc w:val="center"/>
              <w:rPr>
                <w:rFonts w:cs="Calibri"/>
                <w:b/>
                <w:color w:val="FFFFFF"/>
                <w:sz w:val="16"/>
                <w:szCs w:val="16"/>
              </w:rPr>
            </w:pPr>
            <w:r>
              <w:rPr>
                <w:rFonts w:cs="Calibri"/>
                <w:b/>
                <w:color w:val="FFFFFF"/>
                <w:sz w:val="16"/>
                <w:szCs w:val="16"/>
              </w:rPr>
              <w:t>Subject</w:t>
            </w:r>
          </w:p>
          <w:p w14:paraId="6AC78199"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2C3B12A"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8703EFF" w14:textId="77777777" w:rsidR="00B97365" w:rsidRDefault="00000000">
            <w:pPr>
              <w:jc w:val="center"/>
              <w:rPr>
                <w:rFonts w:cs="Calibri"/>
                <w:b/>
                <w:color w:val="FFFFFF"/>
                <w:sz w:val="16"/>
                <w:szCs w:val="16"/>
              </w:rPr>
            </w:pPr>
            <w:r>
              <w:rPr>
                <w:rFonts w:cs="Calibri"/>
                <w:b/>
                <w:color w:val="FFFFFF"/>
                <w:sz w:val="16"/>
                <w:szCs w:val="16"/>
              </w:rPr>
              <w:t>Reason</w:t>
            </w:r>
          </w:p>
          <w:p w14:paraId="752D92F4"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06B9512"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A42CC3F"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26B861D6"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37E395DC" w14:textId="77777777" w:rsidR="00B97365" w:rsidRDefault="00000000">
            <w:pPr>
              <w:jc w:val="center"/>
              <w:rPr>
                <w:rFonts w:cs="Calibri"/>
                <w:sz w:val="16"/>
                <w:szCs w:val="16"/>
              </w:rPr>
            </w:pPr>
            <w:r>
              <w:rPr>
                <w:rFonts w:cs="Calibri"/>
                <w:sz w:val="16"/>
                <w:szCs w:val="16"/>
              </w:rPr>
              <w:t>8.7</w:t>
            </w:r>
          </w:p>
        </w:tc>
        <w:tc>
          <w:tcPr>
            <w:tcW w:w="0" w:type="auto"/>
            <w:tcBorders>
              <w:top w:val="single" w:sz="6" w:space="0" w:color="auto"/>
              <w:left w:val="single" w:sz="6" w:space="0" w:color="auto"/>
              <w:bottom w:val="single" w:sz="4" w:space="0" w:color="auto"/>
              <w:right w:val="single" w:sz="6" w:space="0" w:color="auto"/>
            </w:tcBorders>
            <w:vAlign w:val="center"/>
            <w:hideMark/>
          </w:tcPr>
          <w:p w14:paraId="30F8E3ED" w14:textId="77777777" w:rsidR="00B97365" w:rsidRDefault="00000000">
            <w:pPr>
              <w:rPr>
                <w:rFonts w:cs="Calibri"/>
                <w:sz w:val="16"/>
                <w:szCs w:val="16"/>
                <w:lang w:val="en-US"/>
              </w:rPr>
            </w:pPr>
            <w:r>
              <w:rPr>
                <w:rFonts w:cs="Calibri"/>
                <w:sz w:val="16"/>
                <w:szCs w:val="16"/>
                <w:lang w:val="en-US"/>
              </w:rPr>
              <w:t>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574CCE1E"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4" w:space="0" w:color="auto"/>
              <w:right w:val="single" w:sz="6" w:space="0" w:color="auto"/>
            </w:tcBorders>
            <w:vAlign w:val="center"/>
            <w:hideMark/>
          </w:tcPr>
          <w:p w14:paraId="388C38A1"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4" w:space="0" w:color="auto"/>
              <w:right w:val="single" w:sz="4" w:space="0" w:color="auto"/>
            </w:tcBorders>
            <w:vAlign w:val="center"/>
            <w:hideMark/>
          </w:tcPr>
          <w:p w14:paraId="76654942" w14:textId="77777777" w:rsidR="00B97365" w:rsidRDefault="00000000">
            <w:pPr>
              <w:rPr>
                <w:rFonts w:cs="Calibri"/>
                <w:sz w:val="16"/>
                <w:szCs w:val="16"/>
                <w:lang w:val="en-US"/>
              </w:rPr>
            </w:pPr>
            <w:r>
              <w:rPr>
                <w:rFonts w:cs="Calibri"/>
                <w:sz w:val="16"/>
                <w:szCs w:val="16"/>
              </w:rPr>
              <w:t xml:space="preserve">Indicates that the SM-SR, identified by this smsr-id, is unknown to or whose address cannot be resolved by the function provider. </w:t>
            </w:r>
          </w:p>
        </w:tc>
      </w:tr>
    </w:tbl>
    <w:p w14:paraId="0A8E2823"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5320-C: Set Emergency Profile Attribute Specific Status Codes</w:t>
      </w:r>
    </w:p>
    <w:p w14:paraId="0AA66E95" w14:textId="77777777" w:rsidR="00B97365" w:rsidRDefault="00000000">
      <w:pPr>
        <w:keepNext/>
        <w:keepLines/>
        <w:numPr>
          <w:ilvl w:val="2"/>
          <w:numId w:val="1"/>
        </w:numPr>
        <w:spacing w:before="240" w:after="60" w:line="276" w:lineRule="auto"/>
        <w:jc w:val="left"/>
        <w:outlineLvl w:val="2"/>
        <w:rPr>
          <w:rFonts w:cs="Arial"/>
          <w:sz w:val="24"/>
          <w:szCs w:val="28"/>
          <w:lang w:eastAsia="en-US"/>
        </w:rPr>
      </w:pPr>
      <w:bookmarkStart w:id="3591" w:name="_Toc1977372"/>
      <w:bookmarkStart w:id="3592" w:name="_Toc37062531"/>
      <w:bookmarkStart w:id="3593" w:name="_Toc88839605"/>
      <w:bookmarkStart w:id="3594" w:name="_Toc121504013"/>
      <w:r>
        <w:rPr>
          <w:rFonts w:cs="Arial"/>
          <w:sz w:val="24"/>
          <w:szCs w:val="28"/>
          <w:lang w:eastAsia="en-US"/>
        </w:rPr>
        <w:t>Notifying the Emergency Profile Attribute Setting</w:t>
      </w:r>
      <w:bookmarkEnd w:id="3591"/>
      <w:bookmarkEnd w:id="3592"/>
      <w:bookmarkEnd w:id="3593"/>
      <w:bookmarkEnd w:id="3594"/>
    </w:p>
    <w:p w14:paraId="2DECEF8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w:t>
      </w:r>
      <w:r>
        <w:rPr>
          <w:rFonts w:cs="Arial"/>
          <w:szCs w:val="22"/>
          <w:lang w:val="en-US" w:eastAsia="en-GB" w:bidi="ar-SA"/>
        </w:rPr>
        <w:t>EmergencyProfile</w:t>
      </w:r>
      <w:r>
        <w:rPr>
          <w:szCs w:val="22"/>
          <w:lang w:val="en-US" w:eastAsia="en-GB" w:bidi="ar-SA"/>
        </w:rPr>
        <w:t>AttributeSetNotification</w:t>
      </w:r>
    </w:p>
    <w:p w14:paraId="75AD8D4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rPr>
          <w:rFonts w:cs="Arial"/>
          <w:szCs w:val="22"/>
          <w:lang w:val="en-US" w:eastAsia="en-GB" w:bidi="ar-SA"/>
        </w:rPr>
        <w:t xml:space="preserve">Emergency Profile </w:t>
      </w:r>
      <w:r>
        <w:rPr>
          <w:szCs w:val="22"/>
          <w:lang w:val="en-US" w:eastAsia="en-GB" w:bidi="ar-SA"/>
        </w:rPr>
        <w:t xml:space="preserve">Attribute Management, </w:t>
      </w:r>
      <w:r>
        <w:rPr>
          <w:rFonts w:cs="Arial"/>
          <w:szCs w:val="22"/>
          <w:lang w:val="en-US" w:eastAsia="en-GB" w:bidi="ar-SA"/>
        </w:rPr>
        <w:t xml:space="preserve">Emergency Profile </w:t>
      </w:r>
      <w:r>
        <w:rPr>
          <w:szCs w:val="22"/>
          <w:lang w:val="en-US" w:eastAsia="en-GB" w:bidi="ar-SA"/>
        </w:rPr>
        <w:t>Attribute Management via M2M SP</w:t>
      </w:r>
    </w:p>
    <w:p w14:paraId="1E12572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40A5619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w:t>
      </w:r>
    </w:p>
    <w:p w14:paraId="239D6DB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SHALL be called to notify that the Emergency Profile Attribute has been set on the Profile identified by its ICCID on the eUICC identified by its EID. </w:t>
      </w:r>
    </w:p>
    <w:p w14:paraId="6987D8F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This notification also conveys the date and time specifying when the operation has been done.</w:t>
      </w:r>
    </w:p>
    <w:p w14:paraId="1B9BEF8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4841A9F2"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157"/>
        <w:gridCol w:w="949"/>
        <w:gridCol w:w="398"/>
        <w:gridCol w:w="514"/>
      </w:tblGrid>
      <w:tr w:rsidR="00B97365" w14:paraId="42EB5D5C"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A218BD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3FDC824"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9F3C02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72079E7"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3F180E9"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51FC9BC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A696FC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9F231F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7B727556" w14:textId="5BD75593"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10C6A7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45C30D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FC98B9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3B3DB49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2F2356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0F6BAA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the Emergency Profile Attribute set.</w:t>
            </w:r>
          </w:p>
          <w:p w14:paraId="14629E03" w14:textId="2681849C"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654A5A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864688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F0AC53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C</w:t>
            </w:r>
          </w:p>
        </w:tc>
      </w:tr>
      <w:tr w:rsidR="00B97365" w14:paraId="3DDD897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94553D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03AEB3F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603B593B" w14:textId="2A7DD221"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5FDB1D5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7401D54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55F8E2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76F0955D"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5321: Handle Emergency Profile Attribute Set Notification Additional Input Data</w:t>
      </w:r>
    </w:p>
    <w:p w14:paraId="069F14E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95" w:name="_Toc1977373"/>
      <w:bookmarkStart w:id="3596" w:name="_Toc37062532"/>
      <w:bookmarkStart w:id="3597" w:name="_Toc88839606"/>
      <w:bookmarkStart w:id="3598" w:name="_Toc121504014"/>
      <w:r>
        <w:rPr>
          <w:rFonts w:eastAsia="Times New Roman" w:cs="Arial"/>
          <w:b/>
          <w:bCs/>
          <w:iCs/>
          <w:sz w:val="24"/>
          <w:szCs w:val="26"/>
          <w:lang w:eastAsia="en-US"/>
        </w:rPr>
        <w:t>Notifying the Emergency Profile Attribute Unsetting</w:t>
      </w:r>
      <w:bookmarkEnd w:id="3595"/>
      <w:bookmarkEnd w:id="3596"/>
      <w:bookmarkEnd w:id="3597"/>
      <w:bookmarkEnd w:id="3598"/>
    </w:p>
    <w:p w14:paraId="1FF104E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w:t>
      </w:r>
      <w:r>
        <w:rPr>
          <w:rFonts w:cs="Arial"/>
          <w:szCs w:val="22"/>
          <w:lang w:val="en-US" w:eastAsia="en-GB" w:bidi="ar-SA"/>
        </w:rPr>
        <w:t>EmergencyProfile</w:t>
      </w:r>
      <w:r>
        <w:rPr>
          <w:szCs w:val="22"/>
          <w:lang w:val="en-US" w:eastAsia="en-GB" w:bidi="ar-SA"/>
        </w:rPr>
        <w:t>AttributeUnsetNotification</w:t>
      </w:r>
    </w:p>
    <w:p w14:paraId="7C570EB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rPr>
          <w:rFonts w:cs="Arial"/>
          <w:szCs w:val="22"/>
          <w:lang w:val="en-US" w:eastAsia="en-GB" w:bidi="ar-SA"/>
        </w:rPr>
        <w:t xml:space="preserve">Emergency Profile </w:t>
      </w:r>
      <w:r>
        <w:rPr>
          <w:szCs w:val="22"/>
          <w:lang w:val="en-US" w:eastAsia="en-GB" w:bidi="ar-SA"/>
        </w:rPr>
        <w:t xml:space="preserve">Attribute Management, </w:t>
      </w:r>
      <w:r>
        <w:rPr>
          <w:rFonts w:cs="Arial"/>
          <w:szCs w:val="22"/>
          <w:lang w:val="en-US" w:eastAsia="en-GB" w:bidi="ar-SA"/>
        </w:rPr>
        <w:t xml:space="preserve">Emergency Profile </w:t>
      </w:r>
      <w:r>
        <w:rPr>
          <w:szCs w:val="22"/>
          <w:lang w:val="en-US" w:eastAsia="en-GB" w:bidi="ar-SA"/>
        </w:rPr>
        <w:t>Attribute Management via M2M SP</w:t>
      </w:r>
    </w:p>
    <w:p w14:paraId="32DBECF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3A1F07B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w:t>
      </w:r>
    </w:p>
    <w:p w14:paraId="5377C99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357DF5C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SHALL be called to notify that the Emergency Profile Attribute has been unset on the Profile identified by its ICCID, on the eUICC identified by its EID.</w:t>
      </w:r>
    </w:p>
    <w:p w14:paraId="3C4AD58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w:t>
      </w:r>
    </w:p>
    <w:p w14:paraId="1DEE1D5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52E789A3"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334"/>
        <w:gridCol w:w="949"/>
        <w:gridCol w:w="398"/>
        <w:gridCol w:w="514"/>
      </w:tblGrid>
      <w:tr w:rsidR="00B97365" w14:paraId="75802BE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7980A8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ED9C958"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40E140E"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B2423D1"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47EF4B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764463E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121726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B2E642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0DC44538" w14:textId="03377C1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_Ref367974150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DA0392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6BD75C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D5BCFE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250CED8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8B986B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072B0D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the Emergency Profile Attribute unset.</w:t>
            </w:r>
          </w:p>
          <w:p w14:paraId="0AF6FA15" w14:textId="5493A1D9"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lastRenderedPageBreak/>
              <w:t xml:space="preserve">See </w:t>
            </w:r>
            <w:r>
              <w:rPr>
                <w:rFonts w:cs="Calibri"/>
                <w:sz w:val="16"/>
                <w:szCs w:val="16"/>
                <w:lang w:val="en-US" w:eastAsia="en-GB" w:bidi="ar-SA"/>
              </w:rPr>
              <w:t xml:space="preserve">section </w:t>
            </w:r>
            <w:r>
              <w:fldChar w:fldCharType="begin"/>
            </w:r>
            <w:r>
              <w:instrText xml:space="preserve"> REF _Ref367974155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FE4A02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lastRenderedPageBreak/>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0E14F5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EAE700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6242ACD"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C0108D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4EBE08A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6B5F1754" w14:textId="3D6441BE"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_Ref367974162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A0EECD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69A11A1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4720B3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348A9F57"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5322: Handle Profile Emergency Profile Attribute Unset</w:t>
      </w:r>
    </w:p>
    <w:p w14:paraId="450F8E2B"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599" w:name="_Toc1977374"/>
      <w:bookmarkStart w:id="3600" w:name="_Toc37062533"/>
      <w:bookmarkStart w:id="3601" w:name="_Toc88839607"/>
      <w:bookmarkStart w:id="3602" w:name="_Toc121504015"/>
      <w:r>
        <w:rPr>
          <w:rFonts w:eastAsia="Times New Roman" w:cs="Arial"/>
          <w:b/>
          <w:bCs/>
          <w:iCs/>
          <w:sz w:val="24"/>
          <w:szCs w:val="26"/>
          <w:lang w:eastAsia="en-US"/>
        </w:rPr>
        <w:t>Setting the Fall-Back Attribute</w:t>
      </w:r>
      <w:bookmarkEnd w:id="3599"/>
      <w:bookmarkEnd w:id="3600"/>
      <w:bookmarkEnd w:id="3601"/>
      <w:bookmarkEnd w:id="3602"/>
    </w:p>
    <w:p w14:paraId="00CDDEF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SetFallBackAttribute</w:t>
      </w:r>
    </w:p>
    <w:p w14:paraId="74F061C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Fall-Back Attribute Management</w:t>
      </w:r>
    </w:p>
    <w:p w14:paraId="44E50A2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21C287C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3EDEC2F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02E96A8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function allows the Operator owner of the Profile to request an SM-DP to set the Fall-Back Attribute on a Profile in a specified eUICC, eUICC being identified by its EID. </w:t>
      </w:r>
    </w:p>
    <w:p w14:paraId="4FA766E6" w14:textId="018E64BF"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SM-DP receiving this request SHALL process it according to the “Fall-Back Attribute Management” procedure described in sections </w:t>
      </w:r>
      <w:r>
        <w:fldChar w:fldCharType="begin"/>
      </w:r>
      <w:r>
        <w:rPr>
          <w:rFonts w:cs="Arial"/>
          <w:szCs w:val="22"/>
          <w:lang w:val="en-US" w:eastAsia="en-GB" w:bidi="ar-SA"/>
        </w:rPr>
        <w:instrText xml:space="preserve"> REF _Ref536175354 \r \h </w:instrText>
      </w:r>
      <w:r>
        <w:fldChar w:fldCharType="separate"/>
      </w:r>
      <w:r w:rsidR="001D5AD9">
        <w:rPr>
          <w:rFonts w:cs="Arial"/>
          <w:szCs w:val="22"/>
          <w:lang w:val="en-US" w:eastAsia="en-GB" w:bidi="ar-SA"/>
        </w:rPr>
        <w:t>3.28</w:t>
      </w:r>
      <w:r>
        <w:fldChar w:fldCharType="end"/>
      </w:r>
      <w:r>
        <w:t xml:space="preserve"> and </w:t>
      </w:r>
      <w:r>
        <w:fldChar w:fldCharType="begin"/>
      </w:r>
      <w:r>
        <w:instrText xml:space="preserve"> REF _Ref536175313 \r \h </w:instrText>
      </w:r>
      <w:r>
        <w:fldChar w:fldCharType="separate"/>
      </w:r>
      <w:r w:rsidR="001D5AD9">
        <w:t>3.29</w:t>
      </w:r>
      <w:r>
        <w:fldChar w:fldCharType="end"/>
      </w:r>
      <w:r>
        <w:t xml:space="preserve"> </w:t>
      </w:r>
      <w:r>
        <w:rPr>
          <w:szCs w:val="22"/>
          <w:lang w:val="en-US" w:eastAsia="en-GB" w:bidi="ar-SA"/>
        </w:rPr>
        <w:t>of this specification.</w:t>
      </w:r>
    </w:p>
    <w:p w14:paraId="64235A7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3B51D6E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Fall-Back Attribute has been set on the targeted Profile. </w:t>
      </w:r>
    </w:p>
    <w:p w14:paraId="4DAE2FB0" w14:textId="0EE0AAC4"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_Ref367973952 \r \h  \* MERGEFORMAT </w:instrText>
      </w:r>
      <w:r>
        <w:fldChar w:fldCharType="separate"/>
      </w:r>
      <w:r w:rsidR="001D5AD9" w:rsidRPr="001D5AD9">
        <w:rPr>
          <w:szCs w:val="22"/>
          <w:lang w:eastAsia="en-GB" w:bidi="ar-SA"/>
        </w:rPr>
        <w:t>5.1.6.4</w:t>
      </w:r>
      <w:r>
        <w:fldChar w:fldCharType="end"/>
      </w:r>
    </w:p>
    <w:p w14:paraId="2E684FA0" w14:textId="198FEE0F"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72C37B0C" w14:textId="77777777" w:rsidR="00B97365" w:rsidRDefault="00B97365">
      <w:pPr>
        <w:spacing w:before="0" w:after="200" w:line="276" w:lineRule="auto"/>
        <w:jc w:val="left"/>
        <w:rPr>
          <w:rFonts w:cs="Arial"/>
          <w:b/>
          <w:i/>
          <w:szCs w:val="22"/>
          <w:lang w:val="en-US" w:eastAsia="en-GB" w:bidi="ar-SA"/>
        </w:rPr>
      </w:pPr>
    </w:p>
    <w:p w14:paraId="505477F7"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129"/>
        <w:gridCol w:w="590"/>
        <w:gridCol w:w="474"/>
        <w:gridCol w:w="590"/>
      </w:tblGrid>
      <w:tr w:rsidR="00B97365" w14:paraId="4ECA54CD"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38B1B44"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AA1E60F"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0038592"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2280DC1"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5A4652D"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428853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43241410"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hideMark/>
          </w:tcPr>
          <w:p w14:paraId="5A22909D" w14:textId="77777777" w:rsidR="00B97365" w:rsidRDefault="00000000">
            <w:pPr>
              <w:rPr>
                <w:rFonts w:eastAsia="Times New Roman" w:cs="Calibri"/>
                <w:sz w:val="16"/>
                <w:szCs w:val="16"/>
                <w:lang w:val="en-US"/>
              </w:rPr>
            </w:pPr>
            <w:r>
              <w:rPr>
                <w:rFonts w:cs="Calibri"/>
                <w:sz w:val="16"/>
                <w:szCs w:val="16"/>
                <w:lang w:val="en-US"/>
              </w:rPr>
              <w:t>Identification of the targeted eUICC.</w:t>
            </w:r>
          </w:p>
          <w:p w14:paraId="7B12B8F7" w14:textId="0FE5CAE4" w:rsidR="00B97365" w:rsidRDefault="00000000">
            <w:pPr>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_Ref367973974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hideMark/>
          </w:tcPr>
          <w:p w14:paraId="184EC515"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hideMark/>
          </w:tcPr>
          <w:p w14:paraId="20EB7918"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0491459F"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3231EAF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14:paraId="318B0EAF"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smsr-id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EBF0D8A" w14:textId="77777777" w:rsidR="00B97365" w:rsidRDefault="00000000">
            <w:pPr>
              <w:rPr>
                <w:rFonts w:eastAsia="Times New Roman" w:cs="Calibri"/>
                <w:sz w:val="16"/>
                <w:szCs w:val="16"/>
              </w:rPr>
            </w:pPr>
            <w:r>
              <w:rPr>
                <w:rFonts w:cs="Calibri"/>
                <w:sz w:val="16"/>
                <w:szCs w:val="16"/>
                <w:lang w:val="en-US"/>
              </w:rPr>
              <w:t xml:space="preserve">Identification of the SM-SR currently in charge of eUICC management. </w:t>
            </w:r>
          </w:p>
          <w:p w14:paraId="4277494A" w14:textId="77777777" w:rsidR="00B97365" w:rsidRDefault="00000000">
            <w:pPr>
              <w:keepNext/>
              <w:keepLines/>
              <w:tabs>
                <w:tab w:val="num" w:pos="1152"/>
                <w:tab w:val="num" w:pos="2160"/>
              </w:tabs>
              <w:spacing w:after="140" w:line="260" w:lineRule="atLeast"/>
              <w:ind w:left="1152" w:hanging="1152"/>
              <w:rPr>
                <w:rFonts w:cs="Calibri"/>
                <w:sz w:val="16"/>
                <w:szCs w:val="16"/>
                <w:lang w:val="en-US"/>
              </w:rPr>
            </w:pPr>
            <w:r>
              <w:rPr>
                <w:rFonts w:cs="Calibri"/>
                <w:sz w:val="16"/>
                <w:szCs w:val="16"/>
                <w:lang w:val="en-US"/>
              </w:rPr>
              <w:t>This information may change during the eUICC’s lifetime.</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54373C5"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7BD4F3E"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14:paraId="7495CEF8"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r w:rsidR="00B97365" w14:paraId="1DD7A4DE"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vAlign w:val="center"/>
            <w:hideMark/>
          </w:tcPr>
          <w:p w14:paraId="400EFA4A"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19A4C173" w14:textId="7777777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Identification of the Profile on which to set the Fall-Back Attribute.</w:t>
            </w:r>
          </w:p>
          <w:p w14:paraId="609E2713" w14:textId="49612DD5"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_Ref367973980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2E4DFCFD" w14:textId="77777777" w:rsidR="00B97365" w:rsidRDefault="00000000">
            <w:pPr>
              <w:keepNext/>
              <w:keepLines/>
              <w:tabs>
                <w:tab w:val="num" w:pos="4320"/>
              </w:tabs>
              <w:spacing w:before="140" w:after="120" w:line="260" w:lineRule="atLeast"/>
              <w:ind w:left="1531" w:hanging="1531"/>
              <w:jc w:val="center"/>
              <w:rPr>
                <w:rFonts w:eastAsia="Times New Roman"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00EF3DC5" w14:textId="77777777" w:rsidR="00B97365" w:rsidRDefault="00000000">
            <w:pPr>
              <w:spacing w:before="140" w:after="120" w:line="260" w:lineRule="atLeast"/>
              <w:ind w:left="1531" w:hanging="1531"/>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vAlign w:val="center"/>
            <w:hideMark/>
          </w:tcPr>
          <w:p w14:paraId="75216975"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74DCA54C"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5323-A: Set Fall-Back Attribute Additional Input Data</w:t>
      </w:r>
    </w:p>
    <w:p w14:paraId="4FBE4DD8"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p w14:paraId="52BD2D6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None</w:t>
      </w:r>
    </w:p>
    <w:p w14:paraId="3E83FC19" w14:textId="77777777" w:rsidR="00B97365" w:rsidRDefault="00B97365">
      <w:pPr>
        <w:tabs>
          <w:tab w:val="left" w:pos="680"/>
        </w:tabs>
        <w:spacing w:before="0" w:after="200" w:line="276" w:lineRule="auto"/>
        <w:contextualSpacing/>
        <w:jc w:val="left"/>
        <w:rPr>
          <w:rFonts w:cs="Arial"/>
          <w:szCs w:val="22"/>
          <w:lang w:eastAsia="en-GB" w:bidi="ar-SA"/>
        </w:rPr>
      </w:pPr>
    </w:p>
    <w:p w14:paraId="686B1496"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Specific status codes</w:t>
      </w:r>
    </w:p>
    <w:p w14:paraId="6F019F99" w14:textId="77777777" w:rsidR="00B97365" w:rsidRDefault="00000000">
      <w:pPr>
        <w:spacing w:before="0" w:after="200" w:line="276" w:lineRule="auto"/>
        <w:jc w:val="left"/>
        <w:rPr>
          <w:szCs w:val="22"/>
          <w:u w:val="single"/>
          <w:lang w:val="en-US" w:eastAsia="en-GB" w:bidi="ar-SA"/>
        </w:rPr>
      </w:pPr>
      <w:r>
        <w:rPr>
          <w:rFonts w:cs="Arial"/>
          <w:szCs w:val="22"/>
          <w:u w:val="single"/>
          <w:lang w:val="en-US" w:eastAsia="en-GB" w:bidi="ar-SA"/>
        </w:rPr>
        <w:t>In addition to the status codes returned by ES3.SetFallBackAttribute, this function may return the following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718"/>
        <w:gridCol w:w="718"/>
        <w:gridCol w:w="808"/>
        <w:gridCol w:w="6054"/>
      </w:tblGrid>
      <w:tr w:rsidR="00B97365" w14:paraId="10DA94BA"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C549A02" w14:textId="77777777" w:rsidR="00B97365" w:rsidRDefault="00000000">
            <w:pPr>
              <w:jc w:val="center"/>
              <w:rPr>
                <w:rFonts w:cs="Calibri"/>
                <w:b/>
                <w:color w:val="FFFFFF"/>
                <w:sz w:val="16"/>
                <w:szCs w:val="16"/>
              </w:rPr>
            </w:pPr>
            <w:r>
              <w:rPr>
                <w:rFonts w:cs="Calibri"/>
                <w:b/>
                <w:color w:val="FFFFFF"/>
                <w:sz w:val="16"/>
                <w:szCs w:val="16"/>
              </w:rPr>
              <w:t>Subject</w:t>
            </w:r>
          </w:p>
          <w:p w14:paraId="44A50815"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A33E0CE"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343E3C8" w14:textId="77777777" w:rsidR="00B97365" w:rsidRDefault="00000000">
            <w:pPr>
              <w:jc w:val="center"/>
              <w:rPr>
                <w:rFonts w:cs="Calibri"/>
                <w:b/>
                <w:color w:val="FFFFFF"/>
                <w:sz w:val="16"/>
                <w:szCs w:val="16"/>
              </w:rPr>
            </w:pPr>
            <w:r>
              <w:rPr>
                <w:rFonts w:cs="Calibri"/>
                <w:b/>
                <w:color w:val="FFFFFF"/>
                <w:sz w:val="16"/>
                <w:szCs w:val="16"/>
              </w:rPr>
              <w:t>Reason</w:t>
            </w:r>
          </w:p>
          <w:p w14:paraId="5E8611D2"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8669EE6"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3EAC6D3"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10E689DA"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C8851A7" w14:textId="77777777" w:rsidR="00B97365" w:rsidRDefault="00000000">
            <w:pPr>
              <w:jc w:val="center"/>
              <w:rPr>
                <w:rFonts w:cs="Calibri"/>
                <w:sz w:val="16"/>
                <w:szCs w:val="16"/>
              </w:rPr>
            </w:pPr>
            <w:r>
              <w:rPr>
                <w:rFonts w:cs="Calibri"/>
                <w:sz w:val="16"/>
                <w:szCs w:val="16"/>
              </w:rPr>
              <w:t>8.7</w:t>
            </w:r>
          </w:p>
        </w:tc>
        <w:tc>
          <w:tcPr>
            <w:tcW w:w="0" w:type="auto"/>
            <w:tcBorders>
              <w:top w:val="single" w:sz="6" w:space="0" w:color="auto"/>
              <w:left w:val="single" w:sz="6" w:space="0" w:color="auto"/>
              <w:bottom w:val="single" w:sz="4" w:space="0" w:color="auto"/>
              <w:right w:val="single" w:sz="6" w:space="0" w:color="auto"/>
            </w:tcBorders>
            <w:vAlign w:val="center"/>
            <w:hideMark/>
          </w:tcPr>
          <w:p w14:paraId="04B14259" w14:textId="77777777" w:rsidR="00B97365" w:rsidRDefault="00000000">
            <w:pPr>
              <w:rPr>
                <w:rFonts w:cs="Calibri"/>
                <w:sz w:val="16"/>
                <w:szCs w:val="16"/>
                <w:lang w:val="en-US"/>
              </w:rPr>
            </w:pPr>
            <w:r>
              <w:rPr>
                <w:rFonts w:cs="Calibri"/>
                <w:sz w:val="16"/>
                <w:szCs w:val="16"/>
                <w:lang w:val="en-US"/>
              </w:rPr>
              <w:t>SM-SR</w:t>
            </w:r>
          </w:p>
        </w:tc>
        <w:tc>
          <w:tcPr>
            <w:tcW w:w="0" w:type="auto"/>
            <w:tcBorders>
              <w:top w:val="single" w:sz="6" w:space="0" w:color="auto"/>
              <w:left w:val="single" w:sz="6" w:space="0" w:color="auto"/>
              <w:bottom w:val="single" w:sz="4" w:space="0" w:color="auto"/>
              <w:right w:val="single" w:sz="6" w:space="0" w:color="auto"/>
            </w:tcBorders>
            <w:vAlign w:val="center"/>
            <w:hideMark/>
          </w:tcPr>
          <w:p w14:paraId="1F4AF92C"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4" w:space="0" w:color="auto"/>
              <w:right w:val="single" w:sz="6" w:space="0" w:color="auto"/>
            </w:tcBorders>
            <w:vAlign w:val="center"/>
            <w:hideMark/>
          </w:tcPr>
          <w:p w14:paraId="1A45C03D"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4" w:space="0" w:color="auto"/>
              <w:right w:val="single" w:sz="4" w:space="0" w:color="auto"/>
            </w:tcBorders>
            <w:vAlign w:val="center"/>
            <w:hideMark/>
          </w:tcPr>
          <w:p w14:paraId="00ECA0EE" w14:textId="77777777" w:rsidR="00B97365" w:rsidRDefault="00000000">
            <w:pPr>
              <w:rPr>
                <w:rFonts w:cs="Calibri"/>
                <w:sz w:val="16"/>
                <w:szCs w:val="16"/>
                <w:lang w:val="en-US"/>
              </w:rPr>
            </w:pPr>
            <w:r>
              <w:rPr>
                <w:rFonts w:cs="Calibri"/>
                <w:sz w:val="16"/>
                <w:szCs w:val="16"/>
              </w:rPr>
              <w:t xml:space="preserve">Indicates that the SM-SR, identified by this smsr-id, is unknown to or whose address cannot be resolved by the function provider. </w:t>
            </w:r>
          </w:p>
        </w:tc>
      </w:tr>
    </w:tbl>
    <w:p w14:paraId="77433D4B"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5323-C: Enable Profile Specific Status Codes</w:t>
      </w:r>
    </w:p>
    <w:p w14:paraId="69936E6D"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603" w:name="_Toc1977375"/>
      <w:bookmarkStart w:id="3604" w:name="_Toc37062534"/>
      <w:bookmarkStart w:id="3605" w:name="_Toc88839608"/>
      <w:bookmarkStart w:id="3606" w:name="_Toc121504016"/>
      <w:r>
        <w:rPr>
          <w:rFonts w:eastAsia="Times New Roman" w:cs="Arial"/>
          <w:b/>
          <w:bCs/>
          <w:iCs/>
          <w:sz w:val="24"/>
          <w:szCs w:val="26"/>
          <w:lang w:eastAsia="en-US"/>
        </w:rPr>
        <w:t>Notifying the Fall-Back Attribute is Set</w:t>
      </w:r>
      <w:bookmarkEnd w:id="3603"/>
      <w:bookmarkEnd w:id="3604"/>
      <w:bookmarkEnd w:id="3605"/>
      <w:bookmarkEnd w:id="3606"/>
    </w:p>
    <w:p w14:paraId="58003DB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HandleProfileFallBackAttributeSetNotification</w:t>
      </w:r>
    </w:p>
    <w:p w14:paraId="1C4C617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Fall-Back Attribute Management, Fall-Back Attribute Management via SM-DP, Fall-Back Attribute Management via M2M SP</w:t>
      </w:r>
    </w:p>
    <w:p w14:paraId="3943A66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7352F87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w:t>
      </w:r>
    </w:p>
    <w:p w14:paraId="511382B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74898B7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SHALL be called to notify that the Fall-Back Attribute has been set on the Profile identified by its ICCID, on the eUICC identified by its EID.</w:t>
      </w:r>
    </w:p>
    <w:p w14:paraId="5BB7C21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w:t>
      </w:r>
    </w:p>
    <w:p w14:paraId="339E14B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528DB64D"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281"/>
        <w:gridCol w:w="949"/>
        <w:gridCol w:w="398"/>
        <w:gridCol w:w="514"/>
      </w:tblGrid>
      <w:tr w:rsidR="00B97365" w14:paraId="293C84AA"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197918C"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EB77F13"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092E63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E970F3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430A527"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056A98B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1BA29C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DE17DB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3EA11885" w14:textId="0F750C80"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_Ref367974150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53678E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5C87CB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76694E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50EF19A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5716C8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B5EA01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w:t>
            </w:r>
            <w:r>
              <w:rPr>
                <w:rFonts w:cs="Calibri"/>
                <w:sz w:val="16"/>
                <w:szCs w:val="16"/>
                <w:lang w:val="en-US"/>
              </w:rPr>
              <w:t xml:space="preserve"> on which the Fall-Back Attribute has been set</w:t>
            </w:r>
            <w:r>
              <w:rPr>
                <w:rFonts w:cs="Calibri"/>
                <w:sz w:val="16"/>
                <w:szCs w:val="16"/>
                <w:lang w:eastAsia="en-GB" w:bidi="ar-SA"/>
              </w:rPr>
              <w:t>.</w:t>
            </w:r>
          </w:p>
          <w:p w14:paraId="08313D2C" w14:textId="327F2B0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_Ref367974155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404832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C280B3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7422E1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2DA4E52E"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FB7C15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4781A7E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54136631" w14:textId="1AB06BA0"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_Ref367974162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074449C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61CE56C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3E46FE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29F8D268"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5324: Handle Profile Fall-Back Attribute Set additional input data</w:t>
      </w:r>
    </w:p>
    <w:p w14:paraId="49AC983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607" w:name="_Toc1977376"/>
      <w:bookmarkStart w:id="3608" w:name="_Toc37062535"/>
      <w:bookmarkStart w:id="3609" w:name="_Toc88839609"/>
      <w:bookmarkStart w:id="3610" w:name="_Toc121504017"/>
      <w:r>
        <w:rPr>
          <w:rFonts w:eastAsia="Times New Roman" w:cs="Arial"/>
          <w:b/>
          <w:bCs/>
          <w:iCs/>
          <w:sz w:val="24"/>
          <w:szCs w:val="26"/>
          <w:lang w:eastAsia="en-US"/>
        </w:rPr>
        <w:lastRenderedPageBreak/>
        <w:t>Notifying the Fall-Back Attribute is Unset</w:t>
      </w:r>
      <w:bookmarkEnd w:id="3607"/>
      <w:bookmarkEnd w:id="3608"/>
      <w:bookmarkEnd w:id="3609"/>
      <w:bookmarkEnd w:id="3610"/>
    </w:p>
    <w:p w14:paraId="7D57D41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HandleProfileFallBackAttributeUnsetNotification</w:t>
      </w:r>
    </w:p>
    <w:p w14:paraId="2D71327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Fall-Back Attribute Management, Fall-Back Attribute Management via SM-DP, Fall-Back Attribute Management via M2M SP</w:t>
      </w:r>
    </w:p>
    <w:p w14:paraId="6AAA595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24327BC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w:t>
      </w:r>
    </w:p>
    <w:p w14:paraId="3FC46AD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6D42E41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SHALL be called to notify that the Fall-Back Attribute has been unset on the Profile identified by its ICCID, on the eUICC identified by its EID.</w:t>
      </w:r>
    </w:p>
    <w:p w14:paraId="3A350C1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w:t>
      </w:r>
    </w:p>
    <w:p w14:paraId="201E929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4FE9C34E"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65CF4EF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5F66020"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7D28ED4"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3BE47B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5D2E6A5"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6E6F846"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07667736"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D15937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FC7942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468C488E" w14:textId="71E6FEC5"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_Ref367974150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EC850F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5D7FF3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A66736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7E11EC2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0F813F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822607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w:t>
            </w:r>
            <w:r>
              <w:rPr>
                <w:rFonts w:cs="Calibri"/>
                <w:sz w:val="16"/>
                <w:szCs w:val="16"/>
                <w:lang w:val="en-US"/>
              </w:rPr>
              <w:t xml:space="preserve"> on which the Fall-Back Attribute has been unset</w:t>
            </w:r>
            <w:r>
              <w:rPr>
                <w:rFonts w:cs="Calibri"/>
                <w:sz w:val="16"/>
                <w:szCs w:val="16"/>
                <w:lang w:eastAsia="en-GB" w:bidi="ar-SA"/>
              </w:rPr>
              <w:t>.</w:t>
            </w:r>
          </w:p>
          <w:p w14:paraId="69DB937D" w14:textId="41162F25"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_Ref367974155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7B61B0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0385FC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DBEDC2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AF4EC6C"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09EC39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35C2E6F4"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1122E9B9" w14:textId="36B46168"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_Ref367974162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036D11D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0A51F7F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5A3761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511ED64E" w14:textId="77777777" w:rsidR="00B97365" w:rsidRDefault="00000000">
      <w:pPr>
        <w:spacing w:before="0" w:after="200" w:line="276" w:lineRule="auto"/>
        <w:jc w:val="center"/>
        <w:rPr>
          <w:szCs w:val="22"/>
          <w:lang w:eastAsia="en-US"/>
        </w:rPr>
      </w:pPr>
      <w:r>
        <w:rPr>
          <w:rFonts w:cs="Arial"/>
          <w:b/>
          <w:szCs w:val="22"/>
          <w:lang w:eastAsia="de-DE" w:bidi="ar-SA"/>
        </w:rPr>
        <w:t>Table 5325: Handle Profile Fall-Back Attribute Unset Additional Input Data</w:t>
      </w:r>
    </w:p>
    <w:p w14:paraId="27105DE8"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val="de-DE" w:eastAsia="en-US"/>
        </w:rPr>
      </w:pPr>
      <w:bookmarkStart w:id="3611" w:name="_Toc448998267"/>
      <w:bookmarkStart w:id="3612" w:name="_Toc422150743"/>
      <w:bookmarkStart w:id="3613" w:name="_Toc421874328"/>
      <w:bookmarkStart w:id="3614" w:name="_Toc420594758"/>
      <w:bookmarkStart w:id="3615" w:name="_Toc398214869"/>
      <w:bookmarkStart w:id="3616" w:name="_Toc375158285"/>
      <w:bookmarkStart w:id="3617" w:name="_Toc374348510"/>
      <w:bookmarkStart w:id="3618" w:name="_Toc368932294"/>
      <w:bookmarkStart w:id="3619" w:name="_Toc352671579"/>
      <w:bookmarkStart w:id="3620" w:name="_Toc486332885"/>
      <w:bookmarkStart w:id="3621" w:name="_Toc1977377"/>
      <w:bookmarkStart w:id="3622" w:name="_Toc37062536"/>
      <w:bookmarkStart w:id="3623" w:name="_Toc88839610"/>
      <w:bookmarkStart w:id="3624" w:name="_Toc121504018"/>
      <w:r>
        <w:rPr>
          <w:rFonts w:eastAsia="Times New Roman" w:cs="Arial"/>
          <w:b/>
          <w:bCs/>
          <w:iCs/>
          <w:sz w:val="24"/>
          <w:szCs w:val="28"/>
          <w:lang w:val="de-DE" w:eastAsia="en-US"/>
        </w:rPr>
        <w:t>ES3 (SM-DP – SM-SR) Interface Description</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14:paraId="39EF5284" w14:textId="77777777" w:rsidR="00B97365" w:rsidRDefault="00000000">
      <w:pPr>
        <w:spacing w:before="0" w:after="200" w:line="276" w:lineRule="auto"/>
        <w:jc w:val="left"/>
        <w:rPr>
          <w:szCs w:val="22"/>
          <w:lang w:val="de-DE" w:eastAsia="en-US"/>
        </w:rPr>
      </w:pPr>
      <w:r>
        <w:rPr>
          <w:szCs w:val="22"/>
          <w:lang w:val="de-DE" w:eastAsia="en-US"/>
        </w:rPr>
        <w:t xml:space="preserve">This section describes operations and notifications on the interfaces between the SM-DP and the SM-SR. The SM-DP usually acts on behaf of an Operator. When that is the case, the SM-DP SHALL indicate, in each request sent to the SM-SR, the mno-id identifying the requesting Operator. The way the mno-id is provided by the SM-DP is specified in Annex B. </w:t>
      </w:r>
    </w:p>
    <w:p w14:paraId="2D3D6580" w14:textId="77777777" w:rsidR="00B97365" w:rsidRDefault="00000000">
      <w:pPr>
        <w:spacing w:before="0" w:after="200" w:line="276" w:lineRule="auto"/>
        <w:jc w:val="left"/>
        <w:rPr>
          <w:szCs w:val="22"/>
          <w:lang w:val="de-DE" w:eastAsia="en-US"/>
        </w:rPr>
      </w:pPr>
      <w:r>
        <w:rPr>
          <w:szCs w:val="22"/>
          <w:lang w:val="de-DE" w:eastAsia="en-US"/>
        </w:rPr>
        <w:t>Similarly, the SM-SR SHALL indicate, in each notification sent to the SM-DP, the mno-id identifying the targeted Operator.</w:t>
      </w:r>
    </w:p>
    <w:p w14:paraId="276BA748" w14:textId="77777777" w:rsidR="00B97365" w:rsidRDefault="00000000">
      <w:pPr>
        <w:tabs>
          <w:tab w:val="left" w:pos="1560"/>
        </w:tabs>
        <w:spacing w:before="0" w:after="200" w:line="276" w:lineRule="auto"/>
        <w:ind w:left="1559" w:hanging="1202"/>
        <w:jc w:val="left"/>
        <w:rPr>
          <w:szCs w:val="22"/>
          <w:lang w:val="de-DE" w:eastAsia="en-GB" w:bidi="ar-SA"/>
        </w:rPr>
      </w:pPr>
      <w:r>
        <w:rPr>
          <w:szCs w:val="22"/>
          <w:lang w:val="de-DE" w:eastAsia="en-GB" w:bidi="ar-SA"/>
        </w:rPr>
        <w:t>NOTE:</w:t>
      </w:r>
      <w:r>
        <w:rPr>
          <w:szCs w:val="22"/>
          <w:lang w:val="de-DE" w:eastAsia="en-GB" w:bidi="ar-SA"/>
        </w:rPr>
        <w:tab/>
        <w:t>The execution of several ES3 functions by the SM-SR is conditioned by the verification that the Operator requesting to perform an operation on a Profile via its SM-DP, or the Operator to be notified via its SM-DP:</w:t>
      </w:r>
    </w:p>
    <w:p w14:paraId="67FD4F71" w14:textId="77777777" w:rsidR="00B97365" w:rsidRDefault="00000000">
      <w:pPr>
        <w:numPr>
          <w:ilvl w:val="3"/>
          <w:numId w:val="11"/>
        </w:numPr>
        <w:tabs>
          <w:tab w:val="left" w:pos="1701"/>
        </w:tabs>
        <w:spacing w:before="0" w:after="200" w:line="276" w:lineRule="auto"/>
        <w:ind w:left="2041"/>
        <w:contextualSpacing/>
        <w:jc w:val="left"/>
        <w:rPr>
          <w:szCs w:val="22"/>
          <w:lang w:val="de-DE" w:eastAsia="en-GB" w:bidi="ar-SA"/>
        </w:rPr>
      </w:pPr>
      <w:r>
        <w:rPr>
          <w:szCs w:val="22"/>
          <w:lang w:val="de-DE" w:eastAsia="en-GB" w:bidi="ar-SA"/>
        </w:rPr>
        <w:t>is the owner of the targeted Profile</w:t>
      </w:r>
    </w:p>
    <w:p w14:paraId="7BDD9D87" w14:textId="77777777" w:rsidR="00B97365" w:rsidRDefault="00000000">
      <w:pPr>
        <w:tabs>
          <w:tab w:val="left" w:pos="1701"/>
        </w:tabs>
        <w:spacing w:before="0" w:after="200" w:line="276" w:lineRule="auto"/>
        <w:ind w:left="1701"/>
        <w:contextualSpacing/>
        <w:jc w:val="left"/>
        <w:rPr>
          <w:szCs w:val="22"/>
          <w:lang w:val="de-DE" w:eastAsia="en-GB" w:bidi="ar-SA"/>
        </w:rPr>
      </w:pPr>
      <w:r>
        <w:rPr>
          <w:szCs w:val="22"/>
          <w:lang w:val="de-DE" w:eastAsia="en-GB" w:bidi="ar-SA"/>
        </w:rPr>
        <w:lastRenderedPageBreak/>
        <w:tab/>
        <w:t>or</w:t>
      </w:r>
    </w:p>
    <w:p w14:paraId="7FF1516E" w14:textId="77777777" w:rsidR="00B97365" w:rsidRDefault="00000000">
      <w:pPr>
        <w:numPr>
          <w:ilvl w:val="3"/>
          <w:numId w:val="11"/>
        </w:numPr>
        <w:tabs>
          <w:tab w:val="left" w:pos="1701"/>
        </w:tabs>
        <w:spacing w:before="0" w:after="200" w:line="276" w:lineRule="auto"/>
        <w:ind w:left="2041"/>
        <w:contextualSpacing/>
        <w:jc w:val="left"/>
        <w:rPr>
          <w:szCs w:val="22"/>
          <w:lang w:val="de-DE" w:eastAsia="en-GB" w:bidi="ar-SA"/>
        </w:rPr>
      </w:pPr>
      <w:r>
        <w:rPr>
          <w:szCs w:val="22"/>
          <w:lang w:val="de-DE" w:eastAsia="en-GB" w:bidi="ar-SA"/>
        </w:rPr>
        <w:t xml:space="preserve">is authorised for this operation or notification by the owner of the targeted Profile. </w:t>
      </w:r>
    </w:p>
    <w:p w14:paraId="67CDDFDF" w14:textId="77777777" w:rsidR="00B97365" w:rsidRDefault="00000000">
      <w:pPr>
        <w:tabs>
          <w:tab w:val="left" w:pos="1560"/>
        </w:tabs>
        <w:spacing w:before="0" w:after="200" w:line="276" w:lineRule="auto"/>
        <w:ind w:left="1559" w:hanging="1202"/>
        <w:jc w:val="left"/>
        <w:rPr>
          <w:szCs w:val="22"/>
          <w:lang w:val="de-DE" w:eastAsia="en-GB" w:bidi="ar-SA"/>
        </w:rPr>
      </w:pPr>
      <w:r>
        <w:rPr>
          <w:szCs w:val="22"/>
          <w:lang w:val="de-DE" w:eastAsia="en-GB" w:bidi="ar-SA"/>
        </w:rPr>
        <w:tab/>
        <w:t>The specification of this verification by the SM-SR is described in sections 5.7.1.2 and 5.7.1.3, based on the identities supplied as described above.</w:t>
      </w:r>
    </w:p>
    <w:p w14:paraId="6012520A"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625" w:name="_Toc356915046"/>
      <w:bookmarkStart w:id="3626" w:name="_Toc352671580"/>
      <w:bookmarkStart w:id="3627" w:name="_Ref367973632"/>
      <w:bookmarkStart w:id="3628" w:name="_Ref367974560"/>
      <w:bookmarkStart w:id="3629" w:name="_Ref367978441"/>
      <w:bookmarkStart w:id="3630" w:name="_Ref367978450"/>
      <w:bookmarkStart w:id="3631" w:name="_Toc368932295"/>
      <w:bookmarkStart w:id="3632" w:name="_Toc375158286"/>
      <w:bookmarkStart w:id="3633" w:name="_Toc398214870"/>
      <w:bookmarkStart w:id="3634" w:name="_Toc420594759"/>
      <w:bookmarkStart w:id="3635" w:name="_Toc421874329"/>
      <w:bookmarkStart w:id="3636" w:name="_Toc422150744"/>
      <w:bookmarkStart w:id="3637" w:name="_Toc448998268"/>
      <w:bookmarkStart w:id="3638" w:name="_Toc486332886"/>
      <w:bookmarkStart w:id="3639" w:name="_Toc1977378"/>
      <w:bookmarkStart w:id="3640" w:name="_Toc37062537"/>
      <w:bookmarkStart w:id="3641" w:name="_Toc88839611"/>
      <w:bookmarkStart w:id="3642" w:name="_Toc121504019"/>
      <w:bookmarkStart w:id="3643" w:name="_Ref346008884"/>
      <w:bookmarkStart w:id="3644" w:name="_Toc345955219"/>
      <w:bookmarkEnd w:id="3625"/>
      <w:r>
        <w:rPr>
          <w:rFonts w:eastAsia="Times New Roman" w:cs="Arial"/>
          <w:b/>
          <w:sz w:val="24"/>
          <w:szCs w:val="26"/>
          <w:lang w:eastAsia="en-US"/>
        </w:rPr>
        <w:t>Getting eUICC Information</w:t>
      </w:r>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p>
    <w:p w14:paraId="39E2364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GetEIS</w:t>
      </w:r>
    </w:p>
    <w:p w14:paraId="36492A2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w:t>
      </w:r>
    </w:p>
    <w:p w14:paraId="2FE38E6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w:t>
      </w:r>
      <w:r>
        <w:rPr>
          <w:rFonts w:cs="Calibri"/>
          <w:szCs w:val="22"/>
          <w:lang w:eastAsia="en-GB" w:bidi="ar-SA"/>
        </w:rPr>
        <w:t>Profile Management</w:t>
      </w:r>
    </w:p>
    <w:p w14:paraId="47DC17D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618C1D1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allows </w:t>
      </w:r>
      <w:r>
        <w:rPr>
          <w:lang w:val="en-US" w:eastAsia="en-GB"/>
        </w:rPr>
        <w:t>the SM-DP, requesting on behalf of an Operator,</w:t>
      </w:r>
      <w:r>
        <w:rPr>
          <w:szCs w:val="22"/>
          <w:lang w:val="en-US" w:eastAsia="en-GB" w:bidi="ar-SA"/>
        </w:rPr>
        <w:t xml:space="preserve"> retrieving the eUICC Information Set (EIS) of a particular eUICC from the SM-SR information database based on the EID.</w:t>
      </w:r>
    </w:p>
    <w:p w14:paraId="5745418A" w14:textId="77777777" w:rsidR="00B97365" w:rsidRDefault="00000000">
      <w:pPr>
        <w:spacing w:before="0" w:after="200" w:line="276" w:lineRule="auto"/>
        <w:jc w:val="left"/>
        <w:rPr>
          <w:szCs w:val="22"/>
          <w:lang w:val="en-US" w:eastAsia="en-GB" w:bidi="ar-SA"/>
        </w:rPr>
      </w:pPr>
      <w:r>
        <w:rPr>
          <w:szCs w:val="22"/>
          <w:lang w:val="en-US" w:eastAsia="en-GB" w:bidi="ar-SA"/>
        </w:rPr>
        <w:t>The SM-DP SHALL indicate on behalf of which Operator it is requesting this operation.</w:t>
      </w:r>
    </w:p>
    <w:p w14:paraId="16F035D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84DF90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download function has been successfully executed on the SM-SR as requested by the function caller. </w:t>
      </w:r>
    </w:p>
    <w:p w14:paraId="02577AC8" w14:textId="2CB9EFB8"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_Ref367974212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below.</w:t>
      </w:r>
    </w:p>
    <w:p w14:paraId="710DFA15" w14:textId="77777777" w:rsidR="00B97365" w:rsidRDefault="00B97365">
      <w:pPr>
        <w:tabs>
          <w:tab w:val="left" w:pos="680"/>
        </w:tabs>
        <w:spacing w:before="0" w:after="200" w:line="276" w:lineRule="auto"/>
        <w:contextualSpacing/>
        <w:jc w:val="left"/>
        <w:rPr>
          <w:rFonts w:cs="Arial"/>
          <w:szCs w:val="22"/>
          <w:lang w:eastAsia="en-GB" w:bidi="ar-SA"/>
        </w:rPr>
      </w:pPr>
    </w:p>
    <w:p w14:paraId="403FF702" w14:textId="77777777" w:rsidR="00B97365" w:rsidRDefault="00000000">
      <w:pPr>
        <w:spacing w:before="0" w:after="200" w:line="276" w:lineRule="auto"/>
        <w:jc w:val="left"/>
        <w:rPr>
          <w:b/>
          <w:i/>
          <w:szCs w:val="22"/>
          <w:lang w:val="en-US" w:eastAsia="en-GB" w:bidi="ar-SA"/>
        </w:rPr>
      </w:pPr>
      <w:bookmarkStart w:id="3645" w:name="_Toc420594760"/>
      <w:r>
        <w:rPr>
          <w:rFonts w:cs="Arial"/>
          <w:b/>
          <w:i/>
          <w:szCs w:val="22"/>
          <w:lang w:val="en-US" w:eastAsia="en-GB" w:bidi="ar-SA"/>
        </w:rPr>
        <w:t>Additional input data:</w:t>
      </w:r>
      <w:bookmarkEnd w:id="364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2951"/>
        <w:gridCol w:w="514"/>
        <w:gridCol w:w="398"/>
        <w:gridCol w:w="514"/>
      </w:tblGrid>
      <w:tr w:rsidR="00B97365" w14:paraId="40D529F0"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0F3F08C"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9602F7B"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A0A6F01"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D5153BA"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405E2A9"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MOC</w:t>
            </w:r>
          </w:p>
        </w:tc>
      </w:tr>
      <w:tr w:rsidR="00B97365" w14:paraId="11796C66"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CB6AD09" w14:textId="77777777" w:rsidR="00B97365" w:rsidRDefault="00000000">
            <w:pPr>
              <w:overflowPunct w:val="0"/>
              <w:autoSpaceDE w:val="0"/>
              <w:autoSpaceDN w:val="0"/>
              <w:adjustRightInd w:val="0"/>
              <w:spacing w:before="40" w:after="40"/>
              <w:rPr>
                <w:rFonts w:cs="Calibri"/>
                <w:sz w:val="16"/>
                <w:szCs w:val="16"/>
              </w:rPr>
            </w:pPr>
            <w:r>
              <w:rPr>
                <w:rFonts w:cs="Calibri"/>
                <w:sz w:val="16"/>
                <w:szCs w:val="16"/>
              </w:rPr>
              <w:t>eid</w:t>
            </w:r>
          </w:p>
        </w:tc>
        <w:tc>
          <w:tcPr>
            <w:tcW w:w="0" w:type="auto"/>
            <w:tcBorders>
              <w:top w:val="single" w:sz="6" w:space="0" w:color="auto"/>
              <w:left w:val="single" w:sz="6" w:space="0" w:color="auto"/>
              <w:bottom w:val="single" w:sz="4" w:space="0" w:color="auto"/>
              <w:right w:val="single" w:sz="6" w:space="0" w:color="auto"/>
            </w:tcBorders>
            <w:vAlign w:val="center"/>
            <w:hideMark/>
          </w:tcPr>
          <w:p w14:paraId="17190BBD" w14:textId="77777777" w:rsidR="00B97365" w:rsidRDefault="00000000">
            <w:pPr>
              <w:rPr>
                <w:rFonts w:cs="Calibri"/>
                <w:sz w:val="16"/>
                <w:szCs w:val="16"/>
              </w:rPr>
            </w:pPr>
            <w:r>
              <w:rPr>
                <w:rFonts w:cs="Calibri"/>
                <w:sz w:val="16"/>
                <w:szCs w:val="16"/>
              </w:rPr>
              <w:t>Identification of the targeted eUICC.</w:t>
            </w:r>
          </w:p>
          <w:p w14:paraId="36E4007E" w14:textId="291DBE7D" w:rsidR="00B97365" w:rsidRDefault="00000000">
            <w:pPr>
              <w:overflowPunct w:val="0"/>
              <w:autoSpaceDE w:val="0"/>
              <w:autoSpaceDN w:val="0"/>
              <w:adjustRightInd w:val="0"/>
              <w:spacing w:after="180"/>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_Ref367974226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63F3A967"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4" w:space="0" w:color="auto"/>
              <w:right w:val="single" w:sz="6" w:space="0" w:color="auto"/>
            </w:tcBorders>
            <w:vAlign w:val="center"/>
            <w:hideMark/>
          </w:tcPr>
          <w:p w14:paraId="15B6C723"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00240B7"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M</w:t>
            </w:r>
          </w:p>
        </w:tc>
      </w:tr>
    </w:tbl>
    <w:p w14:paraId="7A403634"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Get EIS Additional Input Data</w:t>
      </w:r>
    </w:p>
    <w:p w14:paraId="0C6C6F17" w14:textId="77777777" w:rsidR="00B97365" w:rsidRDefault="00000000">
      <w:pPr>
        <w:spacing w:before="0" w:after="200" w:line="276" w:lineRule="auto"/>
        <w:jc w:val="left"/>
        <w:rPr>
          <w:szCs w:val="22"/>
          <w:lang w:eastAsia="en-GB" w:bidi="ar-SA"/>
        </w:rPr>
      </w:pPr>
      <w:r>
        <w:rPr>
          <w:szCs w:val="22"/>
          <w:lang w:eastAsia="en-GB" w:bidi="ar-SA"/>
        </w:rPr>
        <w:t>The SM-SR SHALL filter the list of Profiles returned in the EIS, considering the authorisation granted by the Profile owners; for each Profile, this includes:</w:t>
      </w:r>
    </w:p>
    <w:p w14:paraId="36EE851F"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If the SM-DP indicates that it is requesting this operation on behalf of the owner of the Profile, the SM-SR SHALL include this Profile in the returned EIS. </w:t>
      </w:r>
    </w:p>
    <w:p w14:paraId="7775BFD7"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If the SM-DP indicates that it is requesting this operation on behalf of an Operator that is not the owner of the targeted Profile, the SM-SR SHALL include the Profile in the returned EIS only if the Operator owning the Profile has granted a PLMA allowing the operation “GetEIS” to the Operator requesting the operation.</w:t>
      </w:r>
    </w:p>
    <w:p w14:paraId="7B4D832D" w14:textId="77777777" w:rsidR="00B97365" w:rsidRDefault="00000000">
      <w:pPr>
        <w:spacing w:before="0" w:after="200" w:line="276" w:lineRule="auto"/>
        <w:jc w:val="left"/>
        <w:rPr>
          <w:b/>
          <w:i/>
          <w:szCs w:val="22"/>
          <w:lang w:val="en-US" w:eastAsia="en-GB" w:bidi="ar-SA"/>
        </w:rPr>
      </w:pPr>
      <w:bookmarkStart w:id="3646" w:name="_Toc420594761"/>
      <w:r>
        <w:rPr>
          <w:rFonts w:cs="Arial"/>
          <w:b/>
          <w:i/>
          <w:szCs w:val="22"/>
          <w:lang w:val="en-US" w:eastAsia="en-GB" w:bidi="ar-SA"/>
        </w:rPr>
        <w:t>Additional output data:</w:t>
      </w:r>
      <w:bookmarkEnd w:id="364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18"/>
        <w:gridCol w:w="6172"/>
        <w:gridCol w:w="514"/>
        <w:gridCol w:w="398"/>
        <w:gridCol w:w="514"/>
      </w:tblGrid>
      <w:tr w:rsidR="00B97365" w14:paraId="678FCB80"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7AE6116"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lastRenderedPageBreak/>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7CF800E"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E70649D"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8D0B879"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A41C0D8"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MOC</w:t>
            </w:r>
          </w:p>
        </w:tc>
      </w:tr>
      <w:tr w:rsidR="00B97365" w14:paraId="2C8866C3"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27ECDB6" w14:textId="77777777" w:rsidR="00B97365" w:rsidRDefault="00000000">
            <w:pPr>
              <w:overflowPunct w:val="0"/>
              <w:autoSpaceDE w:val="0"/>
              <w:autoSpaceDN w:val="0"/>
              <w:adjustRightInd w:val="0"/>
              <w:spacing w:before="40" w:after="40"/>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tcPr>
          <w:p w14:paraId="25A67B49" w14:textId="2130421E" w:rsidR="00B97365" w:rsidRDefault="00000000">
            <w:pPr>
              <w:rPr>
                <w:rFonts w:cs="Calibri"/>
                <w:sz w:val="16"/>
                <w:szCs w:val="16"/>
              </w:rPr>
            </w:pPr>
            <w:r>
              <w:rPr>
                <w:rFonts w:cs="Calibri"/>
                <w:sz w:val="16"/>
                <w:szCs w:val="16"/>
              </w:rPr>
              <w:t xml:space="preserve">The relevant eUICC Information Set of the eUICC. </w:t>
            </w:r>
            <w:r>
              <w:rPr>
                <w:rFonts w:cs="Calibri"/>
                <w:sz w:val="16"/>
                <w:szCs w:val="16"/>
                <w:lang w:val="en-US"/>
              </w:rPr>
              <w:t xml:space="preserve">See section </w:t>
            </w:r>
            <w:r>
              <w:fldChar w:fldCharType="begin"/>
            </w:r>
            <w:r>
              <w:instrText xml:space="preserve"> REF _Ref367974232 \r \h  \* MERGEFORMAT </w:instrText>
            </w:r>
            <w:r>
              <w:fldChar w:fldCharType="separate"/>
            </w:r>
            <w:r w:rsidR="001D5AD9">
              <w:t>5.1.1.1</w:t>
            </w:r>
            <w:r>
              <w:fldChar w:fldCharType="end"/>
            </w:r>
            <w:r>
              <w:rPr>
                <w:rFonts w:cs="Calibri"/>
                <w:sz w:val="16"/>
                <w:szCs w:val="16"/>
                <w:lang w:val="en-US"/>
              </w:rPr>
              <w:t xml:space="preserve"> for type description. </w:t>
            </w:r>
            <w:r>
              <w:rPr>
                <w:rFonts w:cs="Calibri"/>
                <w:sz w:val="16"/>
                <w:szCs w:val="16"/>
                <w:lang w:val="en-US"/>
              </w:rPr>
              <w:br/>
            </w:r>
            <w:r>
              <w:rPr>
                <w:color w:val="1F497D"/>
                <w:sz w:val="16"/>
                <w:szCs w:val="16"/>
                <w:lang w:val="en-US"/>
              </w:rPr>
              <w:t xml:space="preserve"> </w:t>
            </w:r>
            <w:r>
              <w:rPr>
                <w:rFonts w:cs="Calibri"/>
                <w:sz w:val="16"/>
                <w:szCs w:val="16"/>
              </w:rPr>
              <w:t xml:space="preserve">The list of EIS data fields that SHALL be included is defined in </w:t>
            </w:r>
            <w:r>
              <w:fldChar w:fldCharType="begin"/>
            </w:r>
            <w:r>
              <w:rPr>
                <w:rFonts w:cs="Calibri"/>
                <w:sz w:val="16"/>
                <w:szCs w:val="16"/>
              </w:rPr>
              <w:instrText xml:space="preserve"> REF _Ref421660299 \r \h </w:instrText>
            </w:r>
            <w:r>
              <w:fldChar w:fldCharType="separate"/>
            </w:r>
            <w:r w:rsidR="001D5AD9">
              <w:rPr>
                <w:rFonts w:cs="Calibri"/>
                <w:sz w:val="16"/>
                <w:szCs w:val="16"/>
              </w:rPr>
              <w:t>Annex E</w:t>
            </w:r>
            <w:r>
              <w:fldChar w:fldCharType="end"/>
            </w:r>
            <w:r>
              <w:rPr>
                <w:rFonts w:cs="Calibri"/>
                <w:sz w:val="16"/>
                <w:szCs w:val="16"/>
              </w:rPr>
              <w:t>.</w:t>
            </w:r>
          </w:p>
          <w:p w14:paraId="7ED473E3" w14:textId="77777777" w:rsidR="00B97365" w:rsidRDefault="00B97365">
            <w:pPr>
              <w:tabs>
                <w:tab w:val="left" w:pos="720"/>
              </w:tabs>
              <w:overflowPunct w:val="0"/>
              <w:autoSpaceDE w:val="0"/>
              <w:autoSpaceDN w:val="0"/>
              <w:adjustRightInd w:val="0"/>
              <w:spacing w:before="0" w:after="200" w:line="276" w:lineRule="auto"/>
              <w:contextualSpacing/>
              <w:textAlignment w:val="baseline"/>
              <w:rPr>
                <w:rFonts w:cs="Calibri"/>
                <w:sz w:val="16"/>
                <w:szCs w:val="16"/>
              </w:rPr>
            </w:pPr>
          </w:p>
        </w:tc>
        <w:tc>
          <w:tcPr>
            <w:tcW w:w="0" w:type="auto"/>
            <w:tcBorders>
              <w:top w:val="single" w:sz="6" w:space="0" w:color="auto"/>
              <w:left w:val="single" w:sz="6" w:space="0" w:color="auto"/>
              <w:bottom w:val="single" w:sz="4" w:space="0" w:color="auto"/>
              <w:right w:val="single" w:sz="6" w:space="0" w:color="auto"/>
            </w:tcBorders>
            <w:vAlign w:val="center"/>
            <w:hideMark/>
          </w:tcPr>
          <w:p w14:paraId="376EB989"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2DD0902B"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35377B77"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C</w:t>
            </w:r>
          </w:p>
        </w:tc>
      </w:tr>
    </w:tbl>
    <w:p w14:paraId="07DB1B36"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Get EIS Additional Output Data</w:t>
      </w:r>
    </w:p>
    <w:p w14:paraId="7BAFAE52" w14:textId="77777777" w:rsidR="00B97365" w:rsidRDefault="00000000">
      <w:pPr>
        <w:spacing w:before="0"/>
        <w:jc w:val="left"/>
        <w:rPr>
          <w:b/>
          <w:i/>
          <w:szCs w:val="22"/>
          <w:lang w:val="en-US" w:eastAsia="en-GB" w:bidi="ar-SA"/>
        </w:rPr>
      </w:pPr>
      <w:bookmarkStart w:id="3647" w:name="_Toc420594762"/>
      <w:r>
        <w:rPr>
          <w:rFonts w:cs="Arial"/>
          <w:b/>
          <w:i/>
          <w:szCs w:val="22"/>
          <w:lang w:val="en-US" w:eastAsia="en-GB" w:bidi="ar-SA"/>
        </w:rPr>
        <w:t>Specific status codes</w:t>
      </w:r>
      <w:bookmarkEnd w:id="3647"/>
    </w:p>
    <w:tbl>
      <w:tblPr>
        <w:tblW w:w="957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94"/>
        <w:gridCol w:w="834"/>
        <w:gridCol w:w="892"/>
        <w:gridCol w:w="1986"/>
        <w:gridCol w:w="4971"/>
      </w:tblGrid>
      <w:tr w:rsidR="00B97365" w14:paraId="0DD14B16" w14:textId="77777777">
        <w:trPr>
          <w:trHeight w:val="342"/>
          <w:jc w:val="center"/>
        </w:trPr>
        <w:tc>
          <w:tcPr>
            <w:tcW w:w="894"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DBF797A" w14:textId="77777777" w:rsidR="00B97365" w:rsidRDefault="00000000">
            <w:pPr>
              <w:tabs>
                <w:tab w:val="right" w:pos="7938"/>
              </w:tabs>
              <w:ind w:firstLine="11"/>
              <w:jc w:val="center"/>
              <w:rPr>
                <w:rFonts w:cs="Calibri"/>
                <w:b/>
                <w:color w:val="FFFFFF"/>
                <w:sz w:val="16"/>
                <w:szCs w:val="16"/>
              </w:rPr>
            </w:pPr>
            <w:r>
              <w:rPr>
                <w:rFonts w:cs="Calibri"/>
                <w:b/>
                <w:color w:val="FFFFFF"/>
                <w:sz w:val="16"/>
                <w:szCs w:val="16"/>
              </w:rPr>
              <w:t>Subject</w:t>
            </w:r>
          </w:p>
          <w:p w14:paraId="55A3F032" w14:textId="77777777" w:rsidR="00B97365" w:rsidRDefault="00000000">
            <w:pPr>
              <w:tabs>
                <w:tab w:val="right" w:pos="7938"/>
              </w:tabs>
              <w:ind w:firstLine="11"/>
              <w:jc w:val="center"/>
              <w:rPr>
                <w:rFonts w:cs="Calibri"/>
                <w:b/>
                <w:color w:val="FFFFFF"/>
                <w:sz w:val="16"/>
                <w:szCs w:val="16"/>
              </w:rPr>
            </w:pPr>
            <w:r>
              <w:rPr>
                <w:rFonts w:cs="Calibri"/>
                <w:b/>
                <w:color w:val="FFFFFF"/>
                <w:sz w:val="16"/>
                <w:szCs w:val="16"/>
              </w:rPr>
              <w:t>code</w:t>
            </w:r>
          </w:p>
        </w:tc>
        <w:tc>
          <w:tcPr>
            <w:tcW w:w="83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D4294D2" w14:textId="77777777" w:rsidR="00B97365" w:rsidRDefault="00000000">
            <w:pPr>
              <w:tabs>
                <w:tab w:val="right" w:pos="7938"/>
              </w:tabs>
              <w:ind w:firstLine="11"/>
              <w:jc w:val="center"/>
              <w:rPr>
                <w:rFonts w:cs="Calibri"/>
                <w:b/>
                <w:color w:val="FFFFFF"/>
                <w:sz w:val="16"/>
                <w:szCs w:val="16"/>
              </w:rPr>
            </w:pPr>
            <w:r>
              <w:rPr>
                <w:rFonts w:cs="Calibri"/>
                <w:b/>
                <w:color w:val="FFFFFF"/>
                <w:sz w:val="16"/>
                <w:szCs w:val="16"/>
              </w:rPr>
              <w:t>Subject</w:t>
            </w:r>
          </w:p>
        </w:tc>
        <w:tc>
          <w:tcPr>
            <w:tcW w:w="89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53E9EB" w14:textId="77777777" w:rsidR="00B97365" w:rsidRDefault="00000000">
            <w:pPr>
              <w:tabs>
                <w:tab w:val="right" w:pos="7938"/>
              </w:tabs>
              <w:ind w:firstLine="11"/>
              <w:jc w:val="center"/>
              <w:rPr>
                <w:rFonts w:cs="Calibri"/>
                <w:b/>
                <w:color w:val="FFFFFF"/>
                <w:sz w:val="16"/>
                <w:szCs w:val="16"/>
              </w:rPr>
            </w:pPr>
            <w:r>
              <w:rPr>
                <w:rFonts w:cs="Calibri"/>
                <w:b/>
                <w:color w:val="FFFFFF"/>
                <w:sz w:val="16"/>
                <w:szCs w:val="16"/>
              </w:rPr>
              <w:t>Reason</w:t>
            </w:r>
          </w:p>
          <w:p w14:paraId="0441CDF7" w14:textId="77777777" w:rsidR="00B97365" w:rsidRDefault="00000000">
            <w:pPr>
              <w:tabs>
                <w:tab w:val="right" w:pos="7938"/>
              </w:tabs>
              <w:ind w:firstLine="11"/>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B873E4A" w14:textId="77777777" w:rsidR="00B97365" w:rsidRDefault="00000000">
            <w:pPr>
              <w:tabs>
                <w:tab w:val="right" w:pos="7938"/>
              </w:tabs>
              <w:ind w:firstLine="11"/>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E6D9A9D" w14:textId="77777777" w:rsidR="00B97365" w:rsidRDefault="00000000">
            <w:pPr>
              <w:tabs>
                <w:tab w:val="right" w:pos="7938"/>
              </w:tabs>
              <w:ind w:firstLine="11"/>
              <w:jc w:val="center"/>
              <w:rPr>
                <w:rFonts w:cs="Calibri"/>
                <w:b/>
                <w:color w:val="FFFFFF"/>
                <w:sz w:val="16"/>
                <w:szCs w:val="16"/>
              </w:rPr>
            </w:pPr>
            <w:r>
              <w:rPr>
                <w:rFonts w:cs="Calibri"/>
                <w:b/>
                <w:color w:val="FFFFFF"/>
                <w:sz w:val="16"/>
                <w:szCs w:val="16"/>
              </w:rPr>
              <w:t>Description</w:t>
            </w:r>
          </w:p>
        </w:tc>
      </w:tr>
      <w:tr w:rsidR="00B97365" w14:paraId="268C100F"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313A3A7F" w14:textId="77777777" w:rsidR="00B97365" w:rsidRDefault="00000000">
            <w:pPr>
              <w:tabs>
                <w:tab w:val="right" w:pos="7938"/>
              </w:tabs>
              <w:ind w:left="470" w:hanging="459"/>
              <w:jc w:val="center"/>
              <w:rPr>
                <w:rFonts w:cs="Calibri"/>
                <w:sz w:val="16"/>
                <w:szCs w:val="16"/>
              </w:rPr>
            </w:pPr>
            <w:r>
              <w:rPr>
                <w:rFonts w:cs="Calibri"/>
                <w:sz w:val="16"/>
                <w:szCs w:val="16"/>
              </w:rPr>
              <w:t>8.1.1</w:t>
            </w:r>
          </w:p>
        </w:tc>
        <w:tc>
          <w:tcPr>
            <w:tcW w:w="834" w:type="dxa"/>
            <w:tcBorders>
              <w:top w:val="single" w:sz="6" w:space="0" w:color="auto"/>
              <w:left w:val="single" w:sz="6" w:space="0" w:color="auto"/>
              <w:bottom w:val="single" w:sz="6" w:space="0" w:color="auto"/>
              <w:right w:val="single" w:sz="6" w:space="0" w:color="auto"/>
            </w:tcBorders>
            <w:vAlign w:val="center"/>
            <w:hideMark/>
          </w:tcPr>
          <w:p w14:paraId="21E2FA1F" w14:textId="77777777" w:rsidR="00B97365" w:rsidRDefault="00000000">
            <w:pPr>
              <w:tabs>
                <w:tab w:val="right" w:pos="7938"/>
              </w:tabs>
              <w:ind w:left="470" w:hanging="459"/>
              <w:rPr>
                <w:rFonts w:cs="Calibri"/>
                <w:sz w:val="16"/>
                <w:szCs w:val="16"/>
              </w:rPr>
            </w:pPr>
            <w:r>
              <w:rPr>
                <w:rFonts w:cs="Calibri"/>
                <w:sz w:val="16"/>
                <w:szCs w:val="16"/>
              </w:rPr>
              <w:t>EID</w:t>
            </w:r>
          </w:p>
        </w:tc>
        <w:tc>
          <w:tcPr>
            <w:tcW w:w="892" w:type="dxa"/>
            <w:tcBorders>
              <w:top w:val="single" w:sz="6" w:space="0" w:color="auto"/>
              <w:left w:val="single" w:sz="6" w:space="0" w:color="auto"/>
              <w:bottom w:val="single" w:sz="6" w:space="0" w:color="auto"/>
              <w:right w:val="single" w:sz="6" w:space="0" w:color="auto"/>
            </w:tcBorders>
            <w:vAlign w:val="center"/>
            <w:hideMark/>
          </w:tcPr>
          <w:p w14:paraId="1BA244E4" w14:textId="77777777" w:rsidR="00B97365" w:rsidRDefault="00000000">
            <w:pPr>
              <w:tabs>
                <w:tab w:val="right" w:pos="7938"/>
              </w:tabs>
              <w:ind w:left="470" w:hanging="459"/>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3B399933" w14:textId="77777777" w:rsidR="00B97365" w:rsidRDefault="00000000">
            <w:pPr>
              <w:tabs>
                <w:tab w:val="right" w:pos="7938"/>
              </w:tabs>
              <w:ind w:left="470" w:hanging="459"/>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2BB7001D" w14:textId="77777777" w:rsidR="00B97365" w:rsidRDefault="00000000">
            <w:pPr>
              <w:rPr>
                <w:rFonts w:cs="Calibri"/>
                <w:sz w:val="16"/>
                <w:szCs w:val="16"/>
              </w:rPr>
            </w:pPr>
            <w:r>
              <w:rPr>
                <w:rFonts w:cs="Calibri"/>
                <w:sz w:val="16"/>
                <w:szCs w:val="16"/>
              </w:rPr>
              <w:t>Indicates that the EID is unknown to the function provider</w:t>
            </w:r>
          </w:p>
        </w:tc>
      </w:tr>
      <w:tr w:rsidR="00B97365" w14:paraId="51322CE1" w14:textId="77777777">
        <w:trPr>
          <w:trHeight w:val="282"/>
          <w:jc w:val="center"/>
        </w:trPr>
        <w:tc>
          <w:tcPr>
            <w:tcW w:w="894" w:type="dxa"/>
            <w:tcBorders>
              <w:top w:val="single" w:sz="6" w:space="0" w:color="auto"/>
              <w:left w:val="single" w:sz="4" w:space="0" w:color="auto"/>
              <w:bottom w:val="single" w:sz="4" w:space="0" w:color="auto"/>
              <w:right w:val="single" w:sz="6" w:space="0" w:color="auto"/>
            </w:tcBorders>
            <w:vAlign w:val="center"/>
            <w:hideMark/>
          </w:tcPr>
          <w:p w14:paraId="6650D9C7" w14:textId="77777777" w:rsidR="00B97365" w:rsidRDefault="00000000">
            <w:pPr>
              <w:tabs>
                <w:tab w:val="right" w:pos="7938"/>
              </w:tabs>
              <w:ind w:left="470" w:hanging="459"/>
              <w:jc w:val="center"/>
              <w:rPr>
                <w:rFonts w:cs="Calibri"/>
                <w:sz w:val="16"/>
                <w:szCs w:val="16"/>
              </w:rPr>
            </w:pPr>
            <w:r>
              <w:rPr>
                <w:rFonts w:cs="Calibri"/>
                <w:sz w:val="16"/>
                <w:szCs w:val="16"/>
              </w:rPr>
              <w:t>8.6</w:t>
            </w:r>
          </w:p>
        </w:tc>
        <w:tc>
          <w:tcPr>
            <w:tcW w:w="834" w:type="dxa"/>
            <w:tcBorders>
              <w:top w:val="single" w:sz="6" w:space="0" w:color="auto"/>
              <w:left w:val="single" w:sz="6" w:space="0" w:color="auto"/>
              <w:bottom w:val="single" w:sz="4" w:space="0" w:color="auto"/>
              <w:right w:val="single" w:sz="6" w:space="0" w:color="auto"/>
            </w:tcBorders>
            <w:vAlign w:val="center"/>
            <w:hideMark/>
          </w:tcPr>
          <w:p w14:paraId="46BF8853" w14:textId="77777777" w:rsidR="00B97365" w:rsidRDefault="00000000">
            <w:pPr>
              <w:tabs>
                <w:tab w:val="right" w:pos="7938"/>
              </w:tabs>
              <w:ind w:left="470" w:hanging="459"/>
              <w:rPr>
                <w:rFonts w:cs="Calibri"/>
                <w:sz w:val="16"/>
                <w:szCs w:val="16"/>
              </w:rPr>
            </w:pPr>
            <w:r>
              <w:rPr>
                <w:rFonts w:cs="Calibri"/>
                <w:sz w:val="16"/>
                <w:szCs w:val="16"/>
              </w:rPr>
              <w:t>EIS</w:t>
            </w:r>
          </w:p>
        </w:tc>
        <w:tc>
          <w:tcPr>
            <w:tcW w:w="892" w:type="dxa"/>
            <w:tcBorders>
              <w:top w:val="single" w:sz="6" w:space="0" w:color="auto"/>
              <w:left w:val="single" w:sz="6" w:space="0" w:color="auto"/>
              <w:bottom w:val="single" w:sz="4" w:space="0" w:color="auto"/>
              <w:right w:val="single" w:sz="6" w:space="0" w:color="auto"/>
            </w:tcBorders>
            <w:vAlign w:val="center"/>
            <w:hideMark/>
          </w:tcPr>
          <w:p w14:paraId="3CDDBA9C" w14:textId="77777777" w:rsidR="00B97365" w:rsidRDefault="00000000">
            <w:pPr>
              <w:tabs>
                <w:tab w:val="right" w:pos="7938"/>
              </w:tabs>
              <w:ind w:left="470" w:hanging="459"/>
              <w:jc w:val="center"/>
              <w:rPr>
                <w:rFonts w:cs="Calibri"/>
                <w:sz w:val="16"/>
                <w:szCs w:val="16"/>
              </w:rPr>
            </w:pPr>
            <w:r>
              <w:rPr>
                <w:rFonts w:cs="Calibri"/>
                <w:sz w:val="16"/>
                <w:szCs w:val="16"/>
              </w:rPr>
              <w:t>1.2</w:t>
            </w:r>
          </w:p>
        </w:tc>
        <w:tc>
          <w:tcPr>
            <w:tcW w:w="0" w:type="auto"/>
            <w:tcBorders>
              <w:top w:val="single" w:sz="6" w:space="0" w:color="auto"/>
              <w:left w:val="single" w:sz="6" w:space="0" w:color="auto"/>
              <w:bottom w:val="single" w:sz="4" w:space="0" w:color="auto"/>
              <w:right w:val="single" w:sz="6" w:space="0" w:color="auto"/>
            </w:tcBorders>
            <w:vAlign w:val="center"/>
            <w:hideMark/>
          </w:tcPr>
          <w:p w14:paraId="214CC013" w14:textId="77777777" w:rsidR="00B97365" w:rsidRDefault="00000000">
            <w:pPr>
              <w:tabs>
                <w:tab w:val="right" w:pos="7938"/>
              </w:tabs>
              <w:ind w:firstLine="11"/>
              <w:rPr>
                <w:rFonts w:cs="Calibri"/>
                <w:sz w:val="16"/>
                <w:szCs w:val="16"/>
              </w:rPr>
            </w:pPr>
            <w:r>
              <w:rPr>
                <w:rFonts w:cs="Calibri"/>
                <w:sz w:val="16"/>
                <w:szCs w:val="16"/>
              </w:rPr>
              <w:t>Not Allowed (Authorisation)</w:t>
            </w:r>
          </w:p>
        </w:tc>
        <w:tc>
          <w:tcPr>
            <w:tcW w:w="0" w:type="auto"/>
            <w:tcBorders>
              <w:top w:val="single" w:sz="6" w:space="0" w:color="auto"/>
              <w:left w:val="single" w:sz="6" w:space="0" w:color="auto"/>
              <w:bottom w:val="single" w:sz="4" w:space="0" w:color="auto"/>
              <w:right w:val="single" w:sz="4" w:space="0" w:color="auto"/>
            </w:tcBorders>
            <w:vAlign w:val="center"/>
            <w:hideMark/>
          </w:tcPr>
          <w:p w14:paraId="187164BC" w14:textId="77777777" w:rsidR="00B97365" w:rsidRDefault="00000000">
            <w:pPr>
              <w:rPr>
                <w:rFonts w:cs="Calibri"/>
                <w:sz w:val="16"/>
                <w:szCs w:val="16"/>
              </w:rPr>
            </w:pPr>
            <w:r>
              <w:rPr>
                <w:rFonts w:cs="Calibri"/>
                <w:sz w:val="16"/>
                <w:szCs w:val="16"/>
              </w:rPr>
              <w:t>Function requester is not allowed to manage this EIS, identified by this EID.</w:t>
            </w:r>
          </w:p>
        </w:tc>
      </w:tr>
    </w:tbl>
    <w:bookmarkEnd w:id="3643"/>
    <w:bookmarkEnd w:id="3644"/>
    <w:p w14:paraId="0CF09081"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Get EIS Specific Status Codes</w:t>
      </w:r>
    </w:p>
    <w:p w14:paraId="03E45366" w14:textId="77777777" w:rsidR="00B97365" w:rsidRDefault="00B97365">
      <w:pPr>
        <w:rPr>
          <w:rFonts w:cs="Calibri"/>
        </w:rPr>
      </w:pPr>
      <w:bookmarkStart w:id="3648" w:name="_Toc352671582"/>
      <w:bookmarkStart w:id="3649" w:name="_Toc345955220"/>
    </w:p>
    <w:p w14:paraId="69601BD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650" w:name="_Toc448998269"/>
      <w:bookmarkStart w:id="3651" w:name="_Toc422150745"/>
      <w:bookmarkStart w:id="3652" w:name="_Toc421874330"/>
      <w:bookmarkStart w:id="3653" w:name="_Toc420594763"/>
      <w:bookmarkStart w:id="3654" w:name="_Toc398214871"/>
      <w:bookmarkStart w:id="3655" w:name="_Toc375158287"/>
      <w:bookmarkStart w:id="3656" w:name="_Toc368932296"/>
      <w:bookmarkStart w:id="3657" w:name="_Ref367978467"/>
      <w:bookmarkStart w:id="3658" w:name="_Ref367978459"/>
      <w:bookmarkStart w:id="3659" w:name="_Toc486332887"/>
      <w:bookmarkStart w:id="3660" w:name="_Toc1977379"/>
      <w:bookmarkStart w:id="3661" w:name="_Toc37062538"/>
      <w:bookmarkStart w:id="3662" w:name="_Toc88839612"/>
      <w:bookmarkStart w:id="3663" w:name="_Toc121504020"/>
      <w:r>
        <w:rPr>
          <w:rFonts w:eastAsia="Times New Roman" w:cs="Arial"/>
          <w:b/>
          <w:sz w:val="24"/>
          <w:szCs w:val="26"/>
          <w:lang w:eastAsia="en-US"/>
        </w:rPr>
        <w:t>Auditing eUICC Information</w:t>
      </w:r>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14:paraId="2717D76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AuditEIS</w:t>
      </w:r>
    </w:p>
    <w:p w14:paraId="58AF3FE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w:t>
      </w:r>
    </w:p>
    <w:p w14:paraId="5633E85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206661B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12BFCE8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SM-DP,</w:t>
      </w:r>
      <w:r>
        <w:rPr>
          <w:szCs w:val="22"/>
          <w:lang w:val="en-US" w:eastAsia="en-GB"/>
        </w:rPr>
        <w:t xml:space="preserve"> requesting on behalf of an Operator,</w:t>
      </w:r>
      <w:r>
        <w:rPr>
          <w:szCs w:val="22"/>
          <w:lang w:val="en-US" w:eastAsia="en-GB" w:bidi="ar-SA"/>
        </w:rPr>
        <w:t xml:space="preserve"> to retrieve up to date EIS information. The SM-SR SHALL use the relevant functions of the ES5 interface to retrieve the information from the eUICC. At the end of the successful execution of this function, the SM-SR SHALL update its EIS database upon the basis of this information.</w:t>
      </w:r>
    </w:p>
    <w:p w14:paraId="6363B09E" w14:textId="77777777" w:rsidR="00B97365" w:rsidRDefault="00000000">
      <w:pPr>
        <w:spacing w:before="0" w:after="200" w:line="276" w:lineRule="auto"/>
        <w:jc w:val="left"/>
        <w:rPr>
          <w:szCs w:val="22"/>
          <w:lang w:val="en-US" w:eastAsia="en-GB" w:bidi="ar-SA"/>
        </w:rPr>
      </w:pPr>
      <w:r>
        <w:rPr>
          <w:szCs w:val="22"/>
          <w:lang w:val="en-US" w:eastAsia="en-GB" w:bidi="ar-SA"/>
        </w:rPr>
        <w:t>The SM-DP SHALL indicate on behalf of which Operator it is requesting this operation.</w:t>
      </w:r>
    </w:p>
    <w:p w14:paraId="027B7C7D" w14:textId="77777777" w:rsidR="00B97365" w:rsidRDefault="00000000">
      <w:pPr>
        <w:spacing w:before="0" w:after="200" w:line="276" w:lineRule="auto"/>
        <w:jc w:val="left"/>
        <w:rPr>
          <w:szCs w:val="22"/>
          <w:lang w:val="en-US" w:eastAsia="en-GB" w:bidi="ar-SA"/>
        </w:rPr>
      </w:pPr>
      <w:r>
        <w:rPr>
          <w:szCs w:val="22"/>
          <w:lang w:val="en-US" w:eastAsia="en-GB" w:bidi="ar-SA"/>
        </w:rPr>
        <w:t xml:space="preserve">If the SM-DP provides a list of ICCID of Profiles to audit, the SM-SR SHALL verify for each profile that the Operator, on behalf of which the SM-DP requests this operation, </w:t>
      </w:r>
    </w:p>
    <w:p w14:paraId="566367C7"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is either the owner of the targeted Profile </w:t>
      </w:r>
    </w:p>
    <w:p w14:paraId="3E91291E" w14:textId="77777777" w:rsidR="00B97365" w:rsidRDefault="00000000">
      <w:pPr>
        <w:tabs>
          <w:tab w:val="left" w:pos="680"/>
        </w:tabs>
        <w:spacing w:before="0" w:after="200" w:line="276" w:lineRule="auto"/>
        <w:ind w:left="340"/>
        <w:contextualSpacing/>
        <w:jc w:val="left"/>
        <w:rPr>
          <w:szCs w:val="22"/>
          <w:lang w:val="en-US" w:eastAsia="en-GB" w:bidi="ar-SA"/>
        </w:rPr>
      </w:pPr>
      <w:r>
        <w:rPr>
          <w:szCs w:val="22"/>
          <w:lang w:val="en-US" w:eastAsia="en-GB" w:bidi="ar-SA"/>
        </w:rPr>
        <w:tab/>
        <w:t xml:space="preserve">or </w:t>
      </w:r>
    </w:p>
    <w:p w14:paraId="61E33CFD"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is authorised by the Operator owning the targeted Profile(s) </w:t>
      </w:r>
    </w:p>
    <w:p w14:paraId="65A78EA0" w14:textId="77777777" w:rsidR="00B97365" w:rsidRDefault="00000000">
      <w:pPr>
        <w:spacing w:before="0" w:after="200" w:line="276" w:lineRule="auto"/>
        <w:jc w:val="left"/>
        <w:rPr>
          <w:szCs w:val="22"/>
          <w:lang w:val="en-US" w:eastAsia="en-GB" w:bidi="ar-SA"/>
        </w:rPr>
      </w:pPr>
      <w:r>
        <w:rPr>
          <w:szCs w:val="22"/>
          <w:lang w:val="en-US" w:eastAsia="en-GB" w:bidi="ar-SA"/>
        </w:rPr>
        <w:t>to perform the operation “AuditEIS” on a Profile that matches the criteria of the PLMA (see section 5.7.1.1 for the detail of the matching of the criteria).</w:t>
      </w:r>
    </w:p>
    <w:p w14:paraId="68176C5C" w14:textId="77777777" w:rsidR="00B97365" w:rsidRDefault="00B97365">
      <w:pPr>
        <w:spacing w:before="0" w:after="200" w:line="276" w:lineRule="auto"/>
        <w:jc w:val="left"/>
        <w:rPr>
          <w:szCs w:val="22"/>
          <w:lang w:val="en-US" w:eastAsia="en-GB" w:bidi="ar-SA"/>
        </w:rPr>
      </w:pPr>
    </w:p>
    <w:p w14:paraId="65A4F643" w14:textId="77777777" w:rsidR="00B97365" w:rsidRDefault="00000000">
      <w:pPr>
        <w:spacing w:before="0" w:after="200" w:line="276" w:lineRule="auto"/>
        <w:jc w:val="left"/>
        <w:rPr>
          <w:szCs w:val="22"/>
          <w:lang w:val="en-US" w:eastAsia="en-GB" w:bidi="ar-SA"/>
        </w:rPr>
      </w:pPr>
      <w:r>
        <w:rPr>
          <w:szCs w:val="22"/>
          <w:lang w:val="en-US" w:eastAsia="en-GB" w:bidi="ar-SA"/>
        </w:rPr>
        <w:t xml:space="preserve">This SHALL also be applied if the list of ICCIDs identifies </w:t>
      </w:r>
    </w:p>
    <w:p w14:paraId="04885750"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Profiles that are owned by this Operator</w:t>
      </w:r>
    </w:p>
    <w:p w14:paraId="7D8A4BE9" w14:textId="77777777" w:rsidR="00B97365" w:rsidRDefault="00000000">
      <w:pPr>
        <w:tabs>
          <w:tab w:val="left" w:pos="680"/>
        </w:tabs>
        <w:spacing w:before="0" w:after="200" w:line="276" w:lineRule="auto"/>
        <w:ind w:left="340"/>
        <w:contextualSpacing/>
        <w:jc w:val="left"/>
        <w:rPr>
          <w:szCs w:val="22"/>
          <w:lang w:val="en-US" w:eastAsia="en-GB" w:bidi="ar-SA"/>
        </w:rPr>
      </w:pPr>
      <w:r>
        <w:rPr>
          <w:szCs w:val="22"/>
          <w:lang w:val="en-US" w:eastAsia="en-GB" w:bidi="ar-SA"/>
        </w:rPr>
        <w:tab/>
        <w:t>and / or</w:t>
      </w:r>
    </w:p>
    <w:p w14:paraId="3D8F1E29"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lastRenderedPageBreak/>
        <w:t>Profiles that are owned by other Operators.</w:t>
      </w:r>
    </w:p>
    <w:p w14:paraId="3684CFC1" w14:textId="77777777" w:rsidR="00B97365" w:rsidRDefault="00000000">
      <w:pPr>
        <w:spacing w:before="0" w:after="200" w:line="276" w:lineRule="auto"/>
        <w:jc w:val="left"/>
        <w:rPr>
          <w:szCs w:val="22"/>
          <w:lang w:val="en-US" w:eastAsia="en-GB" w:bidi="ar-SA"/>
        </w:rPr>
      </w:pPr>
      <w:r>
        <w:rPr>
          <w:szCs w:val="22"/>
          <w:lang w:val="en-US" w:eastAsia="en-GB" w:bidi="ar-SA"/>
        </w:rPr>
        <w:t>The SM-SR MAY provide additional verifications.</w:t>
      </w:r>
    </w:p>
    <w:p w14:paraId="2022F62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784B1F18"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function has been successfully executed on the SM-SR as requested by the function caller. </w:t>
      </w:r>
    </w:p>
    <w:p w14:paraId="74F4DA7F" w14:textId="0A2C80F9"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_Ref367974203 \r \h  \* MERGEFORMAT </w:instrText>
      </w:r>
      <w:r>
        <w:fldChar w:fldCharType="separate"/>
      </w:r>
      <w:r w:rsidR="001D5AD9" w:rsidRPr="001D5AD9">
        <w:rPr>
          <w:szCs w:val="22"/>
          <w:lang w:eastAsia="en-GB" w:bidi="ar-SA"/>
        </w:rPr>
        <w:t>5.1.6.4</w:t>
      </w:r>
      <w:r>
        <w:fldChar w:fldCharType="end"/>
      </w:r>
    </w:p>
    <w:p w14:paraId="706F20DC" w14:textId="41802B03"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_Ref367974212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below.</w:t>
      </w:r>
    </w:p>
    <w:p w14:paraId="724C9952" w14:textId="77777777" w:rsidR="00B97365" w:rsidRDefault="00B97365">
      <w:pPr>
        <w:spacing w:before="0" w:after="200" w:line="276" w:lineRule="auto"/>
        <w:jc w:val="left"/>
        <w:rPr>
          <w:szCs w:val="22"/>
          <w:lang w:eastAsia="en-GB" w:bidi="ar-SA"/>
        </w:rPr>
      </w:pPr>
    </w:p>
    <w:p w14:paraId="7FA2D34D" w14:textId="77777777" w:rsidR="00B97365" w:rsidRDefault="00000000">
      <w:pPr>
        <w:spacing w:before="0" w:after="200" w:line="276" w:lineRule="auto"/>
        <w:jc w:val="left"/>
        <w:rPr>
          <w:b/>
          <w:i/>
          <w:szCs w:val="22"/>
          <w:lang w:val="en-US" w:eastAsia="en-GB" w:bidi="ar-SA"/>
        </w:rPr>
      </w:pPr>
      <w:bookmarkStart w:id="3664" w:name="_Toc420594764"/>
      <w:r>
        <w:rPr>
          <w:rFonts w:cs="Arial"/>
          <w:b/>
          <w:i/>
          <w:szCs w:val="22"/>
          <w:lang w:val="en-US" w:eastAsia="en-GB" w:bidi="ar-SA"/>
        </w:rPr>
        <w:t>Additional input data:</w:t>
      </w:r>
      <w:bookmarkEnd w:id="366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97"/>
        <w:gridCol w:w="3403"/>
        <w:gridCol w:w="576"/>
        <w:gridCol w:w="434"/>
        <w:gridCol w:w="514"/>
      </w:tblGrid>
      <w:tr w:rsidR="00B97365" w14:paraId="64CE052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4911C32" w14:textId="77777777" w:rsidR="00B97365" w:rsidRDefault="00000000">
            <w:pPr>
              <w:jc w:val="center"/>
              <w:rPr>
                <w:rFonts w:cs="Calibri"/>
                <w:color w:val="FFFFFF"/>
                <w:sz w:val="16"/>
                <w:szCs w:val="16"/>
              </w:rPr>
            </w:pPr>
            <w:r>
              <w:rPr>
                <w:rFonts w:cs="Calibri"/>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DF3814E" w14:textId="77777777" w:rsidR="00B97365" w:rsidRDefault="00000000">
            <w:pPr>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1B470B1"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2540ABE" w14:textId="77777777" w:rsidR="00B97365" w:rsidRDefault="00000000">
            <w:pPr>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D2D1010" w14:textId="77777777" w:rsidR="00B97365" w:rsidRDefault="00000000">
            <w:pPr>
              <w:jc w:val="center"/>
              <w:rPr>
                <w:rFonts w:cs="Calibri"/>
                <w:color w:val="FFFFFF"/>
                <w:sz w:val="16"/>
                <w:szCs w:val="16"/>
              </w:rPr>
            </w:pPr>
            <w:r>
              <w:rPr>
                <w:rFonts w:cs="Calibri"/>
                <w:color w:val="FFFFFF"/>
                <w:sz w:val="16"/>
                <w:szCs w:val="16"/>
              </w:rPr>
              <w:t>MOC</w:t>
            </w:r>
          </w:p>
        </w:tc>
      </w:tr>
      <w:tr w:rsidR="00B97365" w14:paraId="3B996DF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EA8DD72" w14:textId="77777777" w:rsidR="00B97365" w:rsidRDefault="00000000">
            <w:pPr>
              <w:spacing w:line="276" w:lineRule="auto"/>
              <w:jc w:val="left"/>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F44394D" w14:textId="77777777" w:rsidR="00B97365" w:rsidRDefault="00000000">
            <w:pPr>
              <w:spacing w:line="276" w:lineRule="auto"/>
              <w:jc w:val="left"/>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Identification of the targeted eUICC to be audited.</w:t>
            </w:r>
          </w:p>
          <w:p w14:paraId="3757257A" w14:textId="0A6E9DFB" w:rsidR="00B97365" w:rsidRDefault="00000000">
            <w:pPr>
              <w:spacing w:line="276" w:lineRule="auto"/>
              <w:jc w:val="left"/>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 xml:space="preserve">See </w:t>
            </w:r>
            <w:r>
              <w:rPr>
                <w:rFonts w:ascii="Calibri" w:eastAsia="Times New Roman" w:hAnsi="Calibri" w:cs="Calibri"/>
                <w:sz w:val="16"/>
                <w:szCs w:val="16"/>
                <w:lang w:val="en-US" w:eastAsia="en-GB" w:bidi="ar-SA"/>
              </w:rPr>
              <w:t xml:space="preserve">section </w:t>
            </w:r>
            <w:r>
              <w:fldChar w:fldCharType="begin"/>
            </w:r>
            <w:r>
              <w:instrText xml:space="preserve"> REF _Ref367974238 \r \h  \* MERGEFORMAT </w:instrText>
            </w:r>
            <w:r>
              <w:fldChar w:fldCharType="separate"/>
            </w:r>
            <w:r w:rsidR="001D5AD9" w:rsidRPr="001D5AD9">
              <w:rPr>
                <w:rFonts w:ascii="Calibri" w:eastAsia="Times New Roman" w:hAnsi="Calibri" w:cs="Calibri"/>
                <w:sz w:val="16"/>
                <w:szCs w:val="16"/>
                <w:lang w:eastAsia="en-GB" w:bidi="ar-SA"/>
              </w:rPr>
              <w:t>5.1.1.1</w:t>
            </w:r>
            <w:r>
              <w:fldChar w:fldCharType="end"/>
            </w:r>
            <w:r>
              <w:rPr>
                <w:rFonts w:ascii="Calibri" w:eastAsia="Times New Roman" w:hAnsi="Calibri"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5457F61" w14:textId="77777777" w:rsidR="00B97365" w:rsidRDefault="00000000">
            <w:pPr>
              <w:spacing w:line="276" w:lineRule="auto"/>
              <w:jc w:val="center"/>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6347FB5" w14:textId="77777777" w:rsidR="00B97365" w:rsidRDefault="00000000">
            <w:pPr>
              <w:spacing w:line="276" w:lineRule="auto"/>
              <w:jc w:val="center"/>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71429EE" w14:textId="77777777" w:rsidR="00B97365" w:rsidRDefault="00000000">
            <w:pPr>
              <w:spacing w:line="276" w:lineRule="auto"/>
              <w:jc w:val="center"/>
              <w:rPr>
                <w:rFonts w:ascii="Calibri" w:eastAsia="Times New Roman" w:hAnsi="Calibri" w:cs="Calibri"/>
                <w:sz w:val="16"/>
                <w:szCs w:val="16"/>
                <w:lang w:eastAsia="en-GB" w:bidi="ar-SA"/>
              </w:rPr>
            </w:pPr>
            <w:r>
              <w:rPr>
                <w:rFonts w:ascii="Calibri" w:eastAsia="Times New Roman" w:hAnsi="Calibri" w:cs="Calibri"/>
                <w:sz w:val="16"/>
                <w:szCs w:val="16"/>
                <w:lang w:eastAsia="en-GB" w:bidi="ar-SA"/>
              </w:rPr>
              <w:t>M</w:t>
            </w:r>
          </w:p>
        </w:tc>
      </w:tr>
      <w:tr w:rsidR="00B97365" w14:paraId="03646A5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tcPr>
          <w:p w14:paraId="081BB8A1" w14:textId="77777777" w:rsidR="00B97365" w:rsidRDefault="00000000">
            <w:pPr>
              <w:spacing w:line="276" w:lineRule="auto"/>
              <w:jc w:val="left"/>
              <w:rPr>
                <w:rFonts w:ascii="Calibri" w:eastAsia="Times New Roman" w:hAnsi="Calibri" w:cs="Calibri"/>
                <w:sz w:val="16"/>
                <w:szCs w:val="16"/>
                <w:lang w:eastAsia="en-GB" w:bidi="ar-SA"/>
              </w:rPr>
            </w:pPr>
            <w:r>
              <w:rPr>
                <w:rFonts w:cs="Calibri"/>
                <w:sz w:val="16"/>
                <w:szCs w:val="16"/>
              </w:rPr>
              <w:t>iccid-list</w:t>
            </w:r>
          </w:p>
        </w:tc>
        <w:tc>
          <w:tcPr>
            <w:tcW w:w="0" w:type="auto"/>
            <w:tcBorders>
              <w:top w:val="single" w:sz="6" w:space="0" w:color="auto"/>
              <w:left w:val="single" w:sz="6" w:space="0" w:color="auto"/>
              <w:bottom w:val="single" w:sz="4" w:space="0" w:color="auto"/>
              <w:right w:val="single" w:sz="6" w:space="0" w:color="auto"/>
            </w:tcBorders>
            <w:vAlign w:val="center"/>
          </w:tcPr>
          <w:p w14:paraId="2A86B88E" w14:textId="77777777" w:rsidR="00B97365" w:rsidRDefault="00000000">
            <w:pPr>
              <w:spacing w:line="276" w:lineRule="auto"/>
              <w:jc w:val="left"/>
              <w:rPr>
                <w:rFonts w:ascii="Calibri" w:eastAsia="Times New Roman" w:hAnsi="Calibri" w:cs="Calibri"/>
                <w:sz w:val="16"/>
                <w:szCs w:val="16"/>
                <w:lang w:eastAsia="en-GB" w:bidi="ar-SA"/>
              </w:rPr>
            </w:pPr>
            <w:r>
              <w:rPr>
                <w:rFonts w:cs="Calibri"/>
                <w:sz w:val="16"/>
                <w:szCs w:val="16"/>
              </w:rPr>
              <w:t xml:space="preserve">List of “iccid” identifying Profiles to be audited  </w:t>
            </w:r>
          </w:p>
        </w:tc>
        <w:tc>
          <w:tcPr>
            <w:tcW w:w="0" w:type="auto"/>
            <w:tcBorders>
              <w:top w:val="single" w:sz="6" w:space="0" w:color="auto"/>
              <w:left w:val="single" w:sz="6" w:space="0" w:color="auto"/>
              <w:bottom w:val="single" w:sz="4" w:space="0" w:color="auto"/>
              <w:right w:val="single" w:sz="6" w:space="0" w:color="auto"/>
            </w:tcBorders>
            <w:vAlign w:val="center"/>
          </w:tcPr>
          <w:p w14:paraId="0D62DEAE" w14:textId="77777777" w:rsidR="00B97365" w:rsidRDefault="00000000">
            <w:pPr>
              <w:spacing w:line="276" w:lineRule="auto"/>
              <w:jc w:val="center"/>
              <w:rPr>
                <w:rFonts w:ascii="Calibri" w:eastAsia="Times New Roman" w:hAnsi="Calibri" w:cs="Calibri"/>
                <w:sz w:val="16"/>
                <w:szCs w:val="16"/>
                <w:lang w:eastAsia="en-GB" w:bidi="ar-SA"/>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tcPr>
          <w:p w14:paraId="25056A71" w14:textId="77777777" w:rsidR="00B97365" w:rsidRDefault="00000000">
            <w:pPr>
              <w:spacing w:line="276" w:lineRule="auto"/>
              <w:jc w:val="center"/>
              <w:rPr>
                <w:rFonts w:ascii="Calibri" w:eastAsia="Times New Roman" w:hAnsi="Calibri" w:cs="Calibri"/>
                <w:sz w:val="16"/>
                <w:szCs w:val="16"/>
                <w:lang w:eastAsia="en-GB" w:bidi="ar-SA"/>
              </w:rPr>
            </w:pPr>
            <w:r>
              <w:rPr>
                <w:rFonts w:cs="Calibri"/>
                <w:sz w:val="16"/>
                <w:szCs w:val="16"/>
              </w:rPr>
              <w:t>1..N</w:t>
            </w:r>
          </w:p>
        </w:tc>
        <w:tc>
          <w:tcPr>
            <w:tcW w:w="0" w:type="auto"/>
            <w:tcBorders>
              <w:top w:val="single" w:sz="6" w:space="0" w:color="auto"/>
              <w:left w:val="single" w:sz="6" w:space="0" w:color="auto"/>
              <w:bottom w:val="single" w:sz="4" w:space="0" w:color="auto"/>
              <w:right w:val="single" w:sz="4" w:space="0" w:color="auto"/>
            </w:tcBorders>
            <w:vAlign w:val="center"/>
          </w:tcPr>
          <w:p w14:paraId="5BD1317D" w14:textId="77777777" w:rsidR="00B97365" w:rsidRDefault="00000000">
            <w:pPr>
              <w:spacing w:line="276" w:lineRule="auto"/>
              <w:jc w:val="center"/>
              <w:rPr>
                <w:rFonts w:ascii="Calibri" w:eastAsia="Times New Roman" w:hAnsi="Calibri" w:cs="Calibri"/>
                <w:sz w:val="16"/>
                <w:szCs w:val="16"/>
                <w:lang w:eastAsia="en-GB" w:bidi="ar-SA"/>
              </w:rPr>
            </w:pPr>
            <w:r>
              <w:rPr>
                <w:rFonts w:cs="Calibri"/>
                <w:sz w:val="16"/>
                <w:szCs w:val="16"/>
              </w:rPr>
              <w:t>C</w:t>
            </w:r>
          </w:p>
        </w:tc>
      </w:tr>
    </w:tbl>
    <w:p w14:paraId="3E5074F4"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Audit EIS Additional Input Data</w:t>
      </w:r>
    </w:p>
    <w:p w14:paraId="2FA39D51" w14:textId="77777777" w:rsidR="00B97365" w:rsidRDefault="00000000">
      <w:pPr>
        <w:spacing w:before="0" w:after="200" w:line="276" w:lineRule="auto"/>
        <w:jc w:val="left"/>
        <w:rPr>
          <w:rFonts w:cs="Arial"/>
          <w:lang w:val="en-US"/>
        </w:rPr>
      </w:pPr>
      <w:bookmarkStart w:id="3665" w:name="_Toc420594765"/>
      <w:r>
        <w:rPr>
          <w:rFonts w:cs="Arial"/>
          <w:szCs w:val="22"/>
          <w:lang w:val="en-US" w:eastAsia="en-GB" w:bidi="ar-SA"/>
        </w:rPr>
        <w:t>If no list of ICCIDs is provided, it is implied that all authorised Profiles in the EIS are requested.</w:t>
      </w:r>
    </w:p>
    <w:p w14:paraId="32D6FCC0" w14:textId="77777777" w:rsidR="00B97365" w:rsidRDefault="00000000">
      <w:pPr>
        <w:spacing w:before="0" w:after="200" w:line="276" w:lineRule="auto"/>
        <w:jc w:val="left"/>
        <w:rPr>
          <w:rFonts w:cs="Arial"/>
          <w:lang w:val="en-US"/>
        </w:rPr>
      </w:pPr>
      <w:r>
        <w:rPr>
          <w:rFonts w:cs="Arial"/>
          <w:szCs w:val="22"/>
          <w:lang w:val="en-US" w:eastAsia="en-GB" w:bidi="ar-SA"/>
        </w:rPr>
        <w:t>The SM-SR SHALL filter the list of Profiles returned in the EIS, considering the authorisation granted by the Profile owners; for each Profile, this includes:</w:t>
      </w:r>
    </w:p>
    <w:p w14:paraId="7CAB20CC"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If the SM-DP indicates that it is requesting this operation on behalf of the owner of the Profile, the SM-SR SHALL include this Profile in the returned EIS. </w:t>
      </w:r>
    </w:p>
    <w:p w14:paraId="4C162426"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If the SM-DP indicates that it is requesting this operation on behalf of an Operator that is not the owner of the targeted Profile, the SM-SR SHALL include the Profile in the returned EIS only if the Operator owning the Profile has granted a PLMA allowing the operation “AuditEIS” to the Operator requesting the operation.</w:t>
      </w:r>
    </w:p>
    <w:p w14:paraId="0875B155"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bookmarkEnd w:id="366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01"/>
        <w:gridCol w:w="5228"/>
        <w:gridCol w:w="514"/>
        <w:gridCol w:w="398"/>
        <w:gridCol w:w="514"/>
      </w:tblGrid>
      <w:tr w:rsidR="00B97365" w14:paraId="74DFD3CF"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620B018"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F10549F"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08B31AD"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6FD927D"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8E99AAE"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MOC</w:t>
            </w:r>
          </w:p>
        </w:tc>
      </w:tr>
      <w:tr w:rsidR="00B97365" w14:paraId="3863EC9C"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9CD9ACB"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6FB83B7B" w14:textId="77777777" w:rsidR="00B97365" w:rsidRDefault="00000000">
            <w:pPr>
              <w:tabs>
                <w:tab w:val="left" w:pos="720"/>
              </w:tabs>
              <w:overflowPunct w:val="0"/>
              <w:autoSpaceDE w:val="0"/>
              <w:autoSpaceDN w:val="0"/>
              <w:adjustRightInd w:val="0"/>
              <w:spacing w:before="0" w:after="200" w:line="276" w:lineRule="auto"/>
              <w:contextualSpacing/>
              <w:textAlignment w:val="baseline"/>
              <w:rPr>
                <w:rFonts w:cs="Arial"/>
                <w:sz w:val="16"/>
                <w:szCs w:val="16"/>
                <w:lang w:val="en-US"/>
              </w:rPr>
            </w:pPr>
            <w:r>
              <w:rPr>
                <w:rFonts w:cs="Arial"/>
                <w:sz w:val="16"/>
                <w:szCs w:val="16"/>
                <w:lang w:val="en-US"/>
              </w:rPr>
              <w:t xml:space="preserve">The relevant eUICC Information Set of the eUICC </w:t>
            </w:r>
          </w:p>
          <w:p w14:paraId="09CEC071" w14:textId="7414E2C9" w:rsidR="00B97365" w:rsidRDefault="00000000">
            <w:pPr>
              <w:tabs>
                <w:tab w:val="left" w:pos="720"/>
              </w:tabs>
              <w:overflowPunct w:val="0"/>
              <w:autoSpaceDE w:val="0"/>
              <w:autoSpaceDN w:val="0"/>
              <w:adjustRightInd w:val="0"/>
              <w:spacing w:before="0" w:after="200" w:line="276" w:lineRule="auto"/>
              <w:contextualSpacing/>
              <w:textAlignment w:val="baseline"/>
              <w:rPr>
                <w:sz w:val="16"/>
                <w:szCs w:val="16"/>
              </w:rPr>
            </w:pPr>
            <w:r>
              <w:rPr>
                <w:rFonts w:cs="Arial"/>
                <w:sz w:val="16"/>
                <w:szCs w:val="16"/>
                <w:lang w:val="en-US"/>
              </w:rPr>
              <w:t xml:space="preserve">See </w:t>
            </w:r>
            <w:r>
              <w:rPr>
                <w:rFonts w:cs="Calibri"/>
                <w:sz w:val="16"/>
                <w:szCs w:val="16"/>
                <w:lang w:val="en-US"/>
              </w:rPr>
              <w:t>section</w:t>
            </w:r>
            <w:r>
              <w:rPr>
                <w:sz w:val="16"/>
                <w:szCs w:val="16"/>
                <w:lang w:val="en-US"/>
              </w:rPr>
              <w:t xml:space="preserve"> </w:t>
            </w:r>
            <w:r>
              <w:fldChar w:fldCharType="begin"/>
            </w:r>
            <w:r>
              <w:instrText xml:space="preserve"> REF _Ref367974245 \r \h  \* MERGEFORMAT </w:instrText>
            </w:r>
            <w:r>
              <w:fldChar w:fldCharType="separate"/>
            </w:r>
            <w:r w:rsidR="001D5AD9">
              <w:t>5.1.1.1</w:t>
            </w:r>
            <w:r>
              <w:fldChar w:fldCharType="end"/>
            </w:r>
            <w:r>
              <w:rPr>
                <w:sz w:val="16"/>
                <w:szCs w:val="16"/>
                <w:lang w:val="en-US"/>
              </w:rPr>
              <w:t xml:space="preserve"> for type description. </w:t>
            </w:r>
          </w:p>
          <w:p w14:paraId="5BB9721C" w14:textId="0B99687A" w:rsidR="00B97365" w:rsidRDefault="00000000">
            <w:pPr>
              <w:spacing w:before="0" w:after="200" w:line="276" w:lineRule="auto"/>
              <w:jc w:val="left"/>
              <w:rPr>
                <w:rFonts w:cs="Calibri"/>
                <w:sz w:val="16"/>
                <w:szCs w:val="16"/>
                <w:lang w:val="en-US" w:eastAsia="en-GB" w:bidi="ar-SA"/>
              </w:rPr>
            </w:pPr>
            <w:r>
              <w:rPr>
                <w:rFonts w:cs="Arial"/>
                <w:sz w:val="16"/>
                <w:szCs w:val="16"/>
                <w:lang w:val="en-US" w:eastAsia="en-GB" w:bidi="ar-SA"/>
              </w:rPr>
              <w:t xml:space="preserve">The list of EIS data fields that SHALL be included is defined in </w:t>
            </w:r>
            <w:r>
              <w:fldChar w:fldCharType="begin"/>
            </w:r>
            <w:r>
              <w:rPr>
                <w:sz w:val="16"/>
                <w:szCs w:val="16"/>
                <w:lang w:val="en-US" w:eastAsia="en-GB" w:bidi="ar-SA"/>
              </w:rPr>
              <w:instrText xml:space="preserve"> REF _Ref421660310 \r \h </w:instrText>
            </w:r>
            <w:r>
              <w:fldChar w:fldCharType="separate"/>
            </w:r>
            <w:r w:rsidR="001D5AD9">
              <w:rPr>
                <w:sz w:val="16"/>
                <w:szCs w:val="16"/>
                <w:lang w:val="en-US" w:eastAsia="en-GB" w:bidi="ar-SA"/>
              </w:rPr>
              <w:t>Annex E</w:t>
            </w:r>
            <w:r>
              <w:fldChar w:fldCharType="end"/>
            </w:r>
            <w:r>
              <w:rPr>
                <w:sz w:val="16"/>
                <w:szCs w:val="16"/>
                <w:lang w:val="en-US" w:eastAsia="en-GB" w:bidi="ar-SA"/>
              </w:rPr>
              <w:t>.</w:t>
            </w:r>
          </w:p>
        </w:tc>
        <w:tc>
          <w:tcPr>
            <w:tcW w:w="0" w:type="auto"/>
            <w:tcBorders>
              <w:top w:val="single" w:sz="6" w:space="0" w:color="auto"/>
              <w:left w:val="single" w:sz="6" w:space="0" w:color="auto"/>
              <w:bottom w:val="single" w:sz="4" w:space="0" w:color="auto"/>
              <w:right w:val="single" w:sz="6" w:space="0" w:color="auto"/>
            </w:tcBorders>
            <w:vAlign w:val="center"/>
            <w:hideMark/>
          </w:tcPr>
          <w:p w14:paraId="745B8BD0"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770F9D20"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D0BCA7D"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C</w:t>
            </w:r>
          </w:p>
        </w:tc>
      </w:tr>
    </w:tbl>
    <w:p w14:paraId="6C78F649"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Audit EIS Additional Output Data</w:t>
      </w:r>
    </w:p>
    <w:p w14:paraId="778D31A6" w14:textId="77777777" w:rsidR="00B97365" w:rsidRDefault="00000000">
      <w:pPr>
        <w:spacing w:before="0"/>
        <w:jc w:val="left"/>
        <w:rPr>
          <w:rFonts w:cs="Arial"/>
          <w:b/>
          <w:i/>
          <w:szCs w:val="22"/>
          <w:lang w:val="en-US" w:eastAsia="en-GB" w:bidi="ar-SA"/>
        </w:rPr>
      </w:pPr>
      <w:bookmarkStart w:id="3666" w:name="_Toc420594766"/>
      <w:r>
        <w:rPr>
          <w:rFonts w:cs="Arial"/>
          <w:b/>
          <w:i/>
          <w:szCs w:val="22"/>
          <w:lang w:val="en-US" w:eastAsia="en-GB" w:bidi="ar-SA"/>
        </w:rPr>
        <w:t>Specific status codes</w:t>
      </w:r>
      <w:bookmarkEnd w:id="366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870"/>
        <w:gridCol w:w="718"/>
        <w:gridCol w:w="1547"/>
        <w:gridCol w:w="5163"/>
      </w:tblGrid>
      <w:tr w:rsidR="00B97365" w14:paraId="3F64C533"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EB69321"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p w14:paraId="3D37537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E8B0861"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6CD3188"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p w14:paraId="08F1DC0B"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19336DC"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7AC7DD9"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Description</w:t>
            </w:r>
          </w:p>
        </w:tc>
      </w:tr>
      <w:tr w:rsidR="00B97365" w14:paraId="2D958306"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7EE076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219FA888"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5112B46"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7EB5C2F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1E047F54"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eastAsia="en-GB" w:bidi="ar-SA"/>
              </w:rPr>
              <w:t>Indicates that the eUICC, identified by this EID, is unknown to the function provider</w:t>
            </w:r>
          </w:p>
        </w:tc>
      </w:tr>
      <w:tr w:rsidR="00B97365" w14:paraId="69C69A5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BD037EC" w14:textId="77777777" w:rsidR="00B97365" w:rsidRDefault="00000000">
            <w:pPr>
              <w:spacing w:before="0" w:after="200" w:line="276" w:lineRule="auto"/>
              <w:jc w:val="left"/>
              <w:rPr>
                <w:rFonts w:cs="Calibri"/>
                <w:sz w:val="16"/>
                <w:szCs w:val="16"/>
                <w:lang w:eastAsia="en-GB" w:bidi="ar-SA"/>
              </w:rPr>
            </w:pPr>
            <w:r>
              <w:rPr>
                <w:rFonts w:cs="Calibri"/>
                <w:sz w:val="16"/>
                <w:szCs w:val="16"/>
              </w:rPr>
              <w:lastRenderedPageBreak/>
              <w:t>8.2.1</w:t>
            </w:r>
          </w:p>
        </w:tc>
        <w:tc>
          <w:tcPr>
            <w:tcW w:w="0" w:type="auto"/>
            <w:tcBorders>
              <w:top w:val="single" w:sz="6" w:space="0" w:color="auto"/>
              <w:left w:val="single" w:sz="6" w:space="0" w:color="auto"/>
              <w:bottom w:val="single" w:sz="6" w:space="0" w:color="auto"/>
              <w:right w:val="single" w:sz="6" w:space="0" w:color="auto"/>
            </w:tcBorders>
            <w:vAlign w:val="center"/>
          </w:tcPr>
          <w:p w14:paraId="5DFE4228"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rPr>
              <w:t>Profile ICCID</w:t>
            </w:r>
          </w:p>
        </w:tc>
        <w:tc>
          <w:tcPr>
            <w:tcW w:w="0" w:type="auto"/>
            <w:tcBorders>
              <w:top w:val="single" w:sz="6" w:space="0" w:color="auto"/>
              <w:left w:val="single" w:sz="6" w:space="0" w:color="auto"/>
              <w:bottom w:val="single" w:sz="6" w:space="0" w:color="auto"/>
              <w:right w:val="single" w:sz="6" w:space="0" w:color="auto"/>
            </w:tcBorders>
            <w:vAlign w:val="center"/>
          </w:tcPr>
          <w:p w14:paraId="7E3CE82C"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rPr>
              <w:t>3.4</w:t>
            </w:r>
          </w:p>
        </w:tc>
        <w:tc>
          <w:tcPr>
            <w:tcW w:w="0" w:type="auto"/>
            <w:tcBorders>
              <w:top w:val="single" w:sz="6" w:space="0" w:color="auto"/>
              <w:left w:val="single" w:sz="6" w:space="0" w:color="auto"/>
              <w:bottom w:val="single" w:sz="6" w:space="0" w:color="auto"/>
              <w:right w:val="single" w:sz="6" w:space="0" w:color="auto"/>
            </w:tcBorders>
            <w:vAlign w:val="center"/>
          </w:tcPr>
          <w:p w14:paraId="01A3D28E" w14:textId="77777777" w:rsidR="00B97365" w:rsidRDefault="00000000">
            <w:pPr>
              <w:spacing w:before="0" w:after="200" w:line="276" w:lineRule="auto"/>
              <w:jc w:val="left"/>
              <w:rPr>
                <w:rFonts w:cs="Calibri"/>
                <w:sz w:val="16"/>
                <w:szCs w:val="16"/>
                <w:lang w:eastAsia="en-GB" w:bidi="ar-SA"/>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tcPr>
          <w:p w14:paraId="04D13ABA" w14:textId="77777777" w:rsidR="00B97365" w:rsidRDefault="00000000">
            <w:pPr>
              <w:spacing w:before="0" w:after="200" w:line="276" w:lineRule="auto"/>
              <w:jc w:val="left"/>
              <w:rPr>
                <w:rFonts w:cs="Calibri"/>
                <w:sz w:val="16"/>
                <w:szCs w:val="16"/>
                <w:lang w:eastAsia="en-GB" w:bidi="ar-SA"/>
              </w:rPr>
            </w:pPr>
            <w:r>
              <w:rPr>
                <w:rFonts w:cs="Calibri"/>
                <w:sz w:val="16"/>
                <w:szCs w:val="16"/>
                <w:lang w:val="en-US"/>
              </w:rPr>
              <w:t>Indicates that the Profile identified by one of the ICCIDs in the list is known to the function provider but installed on another eUICC than the one identified by the function caller.</w:t>
            </w:r>
          </w:p>
        </w:tc>
      </w:tr>
      <w:tr w:rsidR="00B97365" w14:paraId="3A4869F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31B8D07" w14:textId="77777777" w:rsidR="00B97365" w:rsidRDefault="00000000">
            <w:pPr>
              <w:spacing w:before="0" w:after="200" w:line="276" w:lineRule="auto"/>
              <w:jc w:val="left"/>
              <w:rPr>
                <w:rFonts w:cs="Calibri"/>
                <w:sz w:val="16"/>
                <w:szCs w:val="16"/>
                <w:lang w:eastAsia="en-GB" w:bidi="ar-SA"/>
              </w:rPr>
            </w:pPr>
            <w:r>
              <w:rPr>
                <w:rFonts w:cs="Calibri"/>
                <w:sz w:val="16"/>
                <w:szCs w:val="16"/>
              </w:rPr>
              <w:t>8.2</w:t>
            </w:r>
          </w:p>
        </w:tc>
        <w:tc>
          <w:tcPr>
            <w:tcW w:w="0" w:type="auto"/>
            <w:tcBorders>
              <w:top w:val="single" w:sz="6" w:space="0" w:color="auto"/>
              <w:left w:val="single" w:sz="6" w:space="0" w:color="auto"/>
              <w:bottom w:val="single" w:sz="6" w:space="0" w:color="auto"/>
              <w:right w:val="single" w:sz="6" w:space="0" w:color="auto"/>
            </w:tcBorders>
            <w:vAlign w:val="center"/>
          </w:tcPr>
          <w:p w14:paraId="52FDE71C" w14:textId="77777777" w:rsidR="00B97365" w:rsidRDefault="00000000">
            <w:pPr>
              <w:spacing w:before="0" w:after="200" w:line="276" w:lineRule="auto"/>
              <w:jc w:val="left"/>
              <w:rPr>
                <w:rFonts w:cs="Calibri"/>
                <w:sz w:val="16"/>
                <w:szCs w:val="16"/>
                <w:lang w:val="en-US" w:eastAsia="en-GB" w:bidi="ar-SA"/>
              </w:rPr>
            </w:pPr>
            <w:r>
              <w:rPr>
                <w:rFonts w:cs="Calibri"/>
                <w:sz w:val="16"/>
                <w:szCs w:val="16"/>
              </w:rPr>
              <w:t>Profile</w:t>
            </w:r>
          </w:p>
        </w:tc>
        <w:tc>
          <w:tcPr>
            <w:tcW w:w="0" w:type="auto"/>
            <w:tcBorders>
              <w:top w:val="single" w:sz="6" w:space="0" w:color="auto"/>
              <w:left w:val="single" w:sz="6" w:space="0" w:color="auto"/>
              <w:bottom w:val="single" w:sz="6" w:space="0" w:color="auto"/>
              <w:right w:val="single" w:sz="6" w:space="0" w:color="auto"/>
            </w:tcBorders>
            <w:vAlign w:val="center"/>
          </w:tcPr>
          <w:p w14:paraId="71980566" w14:textId="77777777" w:rsidR="00B97365" w:rsidRDefault="00000000">
            <w:pPr>
              <w:spacing w:before="0" w:after="200" w:line="276" w:lineRule="auto"/>
              <w:jc w:val="left"/>
              <w:rPr>
                <w:rFonts w:cs="Calibri"/>
                <w:sz w:val="16"/>
                <w:szCs w:val="16"/>
                <w:lang w:val="en-US" w:eastAsia="en-GB" w:bidi="ar-SA"/>
              </w:rPr>
            </w:pPr>
            <w:r>
              <w:rPr>
                <w:rFonts w:cs="Calibri"/>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tcPr>
          <w:p w14:paraId="7013FDEE" w14:textId="77777777" w:rsidR="00B97365" w:rsidRDefault="00000000">
            <w:pPr>
              <w:spacing w:before="0" w:after="200" w:line="276" w:lineRule="auto"/>
              <w:jc w:val="left"/>
              <w:rPr>
                <w:rFonts w:cs="Calibri"/>
                <w:sz w:val="16"/>
                <w:szCs w:val="16"/>
                <w:lang w:eastAsia="en-GB" w:bidi="ar-SA"/>
              </w:rPr>
            </w:pPr>
            <w:r>
              <w:rPr>
                <w:rFonts w:cs="Calibri"/>
                <w:sz w:val="16"/>
                <w:szCs w:val="16"/>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tcPr>
          <w:p w14:paraId="4A01989C" w14:textId="77777777" w:rsidR="00B97365" w:rsidRDefault="00000000">
            <w:pPr>
              <w:spacing w:before="0" w:after="200" w:line="276" w:lineRule="auto"/>
              <w:jc w:val="left"/>
              <w:rPr>
                <w:rFonts w:cs="Calibri"/>
                <w:sz w:val="16"/>
                <w:szCs w:val="16"/>
                <w:lang w:eastAsia="en-GB" w:bidi="ar-SA"/>
              </w:rPr>
            </w:pPr>
            <w:r>
              <w:rPr>
                <w:rFonts w:cs="Calibri"/>
                <w:sz w:val="16"/>
                <w:szCs w:val="16"/>
              </w:rPr>
              <w:t>One or more Profiles identified by ICCIDs in the list do not belong to function requester</w:t>
            </w:r>
          </w:p>
        </w:tc>
      </w:tr>
      <w:tr w:rsidR="00B97365" w14:paraId="294EE93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7162C0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8.6</w:t>
            </w:r>
          </w:p>
        </w:tc>
        <w:tc>
          <w:tcPr>
            <w:tcW w:w="0" w:type="auto"/>
            <w:tcBorders>
              <w:top w:val="single" w:sz="6" w:space="0" w:color="auto"/>
              <w:left w:val="single" w:sz="6" w:space="0" w:color="auto"/>
              <w:bottom w:val="single" w:sz="6" w:space="0" w:color="auto"/>
              <w:right w:val="single" w:sz="6" w:space="0" w:color="auto"/>
            </w:tcBorders>
            <w:vAlign w:val="center"/>
            <w:hideMark/>
          </w:tcPr>
          <w:p w14:paraId="78A30531"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210B190C"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41CC98B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610C20B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Function requester is not allowed to manage this EIS, identified by this EID.</w:t>
            </w:r>
          </w:p>
        </w:tc>
      </w:tr>
      <w:tr w:rsidR="00B97365" w14:paraId="088D9C80"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3559E5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1.6</w:t>
            </w:r>
          </w:p>
        </w:tc>
        <w:tc>
          <w:tcPr>
            <w:tcW w:w="0" w:type="auto"/>
            <w:tcBorders>
              <w:top w:val="single" w:sz="6" w:space="0" w:color="auto"/>
              <w:left w:val="single" w:sz="6" w:space="0" w:color="auto"/>
              <w:bottom w:val="single" w:sz="4" w:space="0" w:color="auto"/>
              <w:right w:val="single" w:sz="6" w:space="0" w:color="auto"/>
            </w:tcBorders>
            <w:vAlign w:val="center"/>
            <w:hideMark/>
          </w:tcPr>
          <w:p w14:paraId="16A7AA99"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Function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9487E42"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5.4</w:t>
            </w:r>
          </w:p>
        </w:tc>
        <w:tc>
          <w:tcPr>
            <w:tcW w:w="0" w:type="auto"/>
            <w:tcBorders>
              <w:top w:val="single" w:sz="6" w:space="0" w:color="auto"/>
              <w:left w:val="single" w:sz="6" w:space="0" w:color="auto"/>
              <w:bottom w:val="single" w:sz="4" w:space="0" w:color="auto"/>
              <w:right w:val="single" w:sz="6" w:space="0" w:color="auto"/>
            </w:tcBorders>
            <w:vAlign w:val="center"/>
            <w:hideMark/>
          </w:tcPr>
          <w:p w14:paraId="2D20792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Delivered With No Response</w:t>
            </w:r>
          </w:p>
        </w:tc>
        <w:tc>
          <w:tcPr>
            <w:tcW w:w="0" w:type="auto"/>
            <w:tcBorders>
              <w:top w:val="single" w:sz="6" w:space="0" w:color="auto"/>
              <w:left w:val="single" w:sz="6" w:space="0" w:color="auto"/>
              <w:bottom w:val="single" w:sz="4" w:space="0" w:color="auto"/>
              <w:right w:val="single" w:sz="4" w:space="0" w:color="auto"/>
            </w:tcBorders>
            <w:vAlign w:val="center"/>
            <w:hideMark/>
          </w:tcPr>
          <w:p w14:paraId="51D58CF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The function execution request has been delivered to remote entity but no response is received. </w:t>
            </w:r>
          </w:p>
        </w:tc>
      </w:tr>
    </w:tbl>
    <w:p w14:paraId="3BB999E4" w14:textId="77777777" w:rsidR="00B97365" w:rsidRDefault="00000000">
      <w:pPr>
        <w:numPr>
          <w:ilvl w:val="0"/>
          <w:numId w:val="14"/>
        </w:numPr>
        <w:tabs>
          <w:tab w:val="left" w:pos="1009"/>
        </w:tabs>
        <w:spacing w:after="200" w:line="276" w:lineRule="auto"/>
        <w:jc w:val="center"/>
        <w:rPr>
          <w:rFonts w:cs="Calibri"/>
        </w:rPr>
      </w:pPr>
      <w:r>
        <w:rPr>
          <w:rFonts w:cs="Arial"/>
          <w:b/>
          <w:lang w:eastAsia="de-DE" w:bidi="ar-SA"/>
        </w:rPr>
        <w:t>: Audit EIS Specific Status Codes</w:t>
      </w:r>
    </w:p>
    <w:p w14:paraId="5A518CEE"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667" w:name="_Toc448998270"/>
      <w:bookmarkStart w:id="3668" w:name="_Toc422150746"/>
      <w:bookmarkStart w:id="3669" w:name="_Toc421874331"/>
      <w:bookmarkStart w:id="3670" w:name="_Toc420594767"/>
      <w:bookmarkStart w:id="3671" w:name="_Toc398214872"/>
      <w:bookmarkStart w:id="3672" w:name="_Toc375158288"/>
      <w:bookmarkStart w:id="3673" w:name="_Toc368932297"/>
      <w:bookmarkStart w:id="3674" w:name="_Ref367978515"/>
      <w:bookmarkStart w:id="3675" w:name="_Ref367978505"/>
      <w:bookmarkStart w:id="3676" w:name="_Ref367974475"/>
      <w:bookmarkStart w:id="3677" w:name="_Ref367970229"/>
      <w:bookmarkStart w:id="3678" w:name="_Toc486332888"/>
      <w:bookmarkStart w:id="3679" w:name="_Toc1977380"/>
      <w:bookmarkStart w:id="3680" w:name="_Toc37062539"/>
      <w:bookmarkStart w:id="3681" w:name="_Toc88839613"/>
      <w:bookmarkStart w:id="3682" w:name="_Toc121504021"/>
      <w:r>
        <w:rPr>
          <w:rFonts w:eastAsia="Times New Roman" w:cs="Arial"/>
          <w:b/>
          <w:sz w:val="24"/>
          <w:szCs w:val="26"/>
          <w:lang w:eastAsia="en-US"/>
        </w:rPr>
        <w:t>Create a New ISD-P in an eUICC</w:t>
      </w:r>
      <w:bookmarkEnd w:id="3648"/>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05985CC8" w14:textId="77777777" w:rsidR="00B97365" w:rsidRDefault="00000000">
      <w:pPr>
        <w:spacing w:before="0" w:after="200" w:line="276" w:lineRule="auto"/>
        <w:jc w:val="left"/>
        <w:rPr>
          <w:szCs w:val="22"/>
          <w:lang w:val="en-US" w:eastAsia="en-GB" w:bidi="ar-SA"/>
        </w:rPr>
      </w:pPr>
      <w:bookmarkStart w:id="3683" w:name="_Toc420594768"/>
      <w:r>
        <w:rPr>
          <w:rFonts w:cs="Arial"/>
          <w:b/>
          <w:szCs w:val="22"/>
          <w:lang w:val="en-US" w:eastAsia="en-GB" w:bidi="ar-SA"/>
        </w:rPr>
        <w:t>Function name:</w:t>
      </w:r>
      <w:r>
        <w:rPr>
          <w:szCs w:val="22"/>
          <w:lang w:val="en-US" w:eastAsia="en-GB" w:bidi="ar-SA"/>
        </w:rPr>
        <w:t xml:space="preserve"> CreateISDP</w:t>
      </w:r>
      <w:bookmarkEnd w:id="3683"/>
    </w:p>
    <w:p w14:paraId="412C21B9" w14:textId="77777777" w:rsidR="00B97365" w:rsidRDefault="00000000">
      <w:pPr>
        <w:spacing w:before="0" w:after="200" w:line="276" w:lineRule="auto"/>
        <w:jc w:val="left"/>
        <w:rPr>
          <w:szCs w:val="22"/>
          <w:lang w:val="en-US" w:eastAsia="en-GB" w:bidi="ar-SA"/>
        </w:rPr>
      </w:pPr>
      <w:bookmarkStart w:id="3684" w:name="_Toc420594769"/>
      <w:r>
        <w:rPr>
          <w:rFonts w:cs="Arial"/>
          <w:b/>
          <w:szCs w:val="22"/>
          <w:lang w:val="en-US" w:eastAsia="en-GB" w:bidi="ar-SA"/>
        </w:rPr>
        <w:t>Related Procedures:</w:t>
      </w:r>
      <w:r>
        <w:rPr>
          <w:szCs w:val="22"/>
          <w:lang w:val="en-US" w:eastAsia="en-GB" w:bidi="ar-SA"/>
        </w:rPr>
        <w:t xml:space="preserve"> Profile Download and Installation</w:t>
      </w:r>
      <w:bookmarkEnd w:id="3684"/>
    </w:p>
    <w:p w14:paraId="55169178" w14:textId="77777777" w:rsidR="00B97365" w:rsidRDefault="00000000">
      <w:pPr>
        <w:spacing w:before="0" w:after="200" w:line="276" w:lineRule="auto"/>
        <w:jc w:val="left"/>
        <w:rPr>
          <w:szCs w:val="22"/>
          <w:lang w:val="en-US" w:eastAsia="en-GB" w:bidi="ar-SA"/>
        </w:rPr>
      </w:pPr>
      <w:bookmarkStart w:id="3685" w:name="_Toc420594770"/>
      <w:r>
        <w:rPr>
          <w:rFonts w:cs="Arial"/>
          <w:b/>
          <w:szCs w:val="22"/>
          <w:lang w:val="en-US" w:eastAsia="en-GB" w:bidi="ar-SA"/>
        </w:rPr>
        <w:t>Function group:</w:t>
      </w:r>
      <w:r>
        <w:rPr>
          <w:szCs w:val="22"/>
          <w:lang w:val="en-US" w:eastAsia="en-GB" w:bidi="ar-SA"/>
        </w:rPr>
        <w:t xml:space="preserve"> Profile Management</w:t>
      </w:r>
      <w:bookmarkEnd w:id="3685"/>
    </w:p>
    <w:p w14:paraId="5DD78B93" w14:textId="77777777" w:rsidR="00B97365" w:rsidRDefault="00000000">
      <w:pPr>
        <w:spacing w:before="0" w:after="200" w:line="276" w:lineRule="auto"/>
        <w:jc w:val="left"/>
        <w:rPr>
          <w:szCs w:val="22"/>
          <w:lang w:val="en-US" w:eastAsia="en-GB" w:bidi="ar-SA"/>
        </w:rPr>
      </w:pPr>
      <w:bookmarkStart w:id="3686" w:name="_Toc420594771"/>
      <w:r>
        <w:rPr>
          <w:rFonts w:cs="Arial"/>
          <w:b/>
          <w:szCs w:val="22"/>
          <w:lang w:val="en-US" w:eastAsia="en-GB" w:bidi="ar-SA"/>
        </w:rPr>
        <w:t>Function Provider:</w:t>
      </w:r>
      <w:r>
        <w:rPr>
          <w:szCs w:val="22"/>
          <w:lang w:val="en-US" w:eastAsia="en-GB" w:bidi="ar-SA"/>
        </w:rPr>
        <w:t xml:space="preserve"> SM-SR</w:t>
      </w:r>
      <w:bookmarkEnd w:id="3686"/>
    </w:p>
    <w:p w14:paraId="31125E3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allows the SM-DP to request the creation of an ISD-P to the SM-SR in charge of the management of the targeted eUICC; eUICC being identified by its EID. </w:t>
      </w:r>
    </w:p>
    <w:p w14:paraId="28B55FB0" w14:textId="77777777" w:rsidR="00B97365" w:rsidRDefault="00000000">
      <w:pPr>
        <w:spacing w:before="0" w:after="200" w:line="276" w:lineRule="auto"/>
        <w:jc w:val="left"/>
        <w:rPr>
          <w:b/>
          <w:szCs w:val="22"/>
          <w:u w:val="single"/>
          <w:lang w:val="en-US" w:eastAsia="en-GB" w:bidi="ar-SA"/>
        </w:rPr>
      </w:pPr>
      <w:bookmarkStart w:id="3687" w:name="_Toc420594772"/>
      <w:r>
        <w:rPr>
          <w:rFonts w:cs="Arial"/>
          <w:b/>
          <w:szCs w:val="22"/>
          <w:u w:val="single"/>
          <w:lang w:val="en-US" w:eastAsia="en-GB" w:bidi="ar-SA"/>
        </w:rPr>
        <w:t>Function flow</w:t>
      </w:r>
      <w:bookmarkEnd w:id="3687"/>
    </w:p>
    <w:p w14:paraId="5124B88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Upon reception of the function request, the SM-SR SHALL perform the following minimum set of verifications:</w:t>
      </w:r>
    </w:p>
    <w:p w14:paraId="08C7175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SM-SR is responsible for the management of the targeted eUICC</w:t>
      </w:r>
    </w:p>
    <w:p w14:paraId="58D71C5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Profile identified by its ICCID is not already present within its EIS database (meaning allocated to another ISD-P)</w:t>
      </w:r>
    </w:p>
    <w:p w14:paraId="4F6787E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requested amount of memory can be satisfied</w:t>
      </w:r>
    </w:p>
    <w:p w14:paraId="51D68A2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SM-SR MAY provide additional verifications.</w:t>
      </w:r>
    </w:p>
    <w:p w14:paraId="2E7DF79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case one of these conditions is not satisfied, the SM-SR SHALL refuse the function request and return a ‘Function execution status’ indicating ‘Failed’ with the relevant status code (see table below).</w:t>
      </w:r>
    </w:p>
    <w:p w14:paraId="318F5EE0" w14:textId="05958784"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the “Profile Download and Installation” procedure described in the section </w:t>
      </w:r>
      <w:r>
        <w:fldChar w:fldCharType="begin"/>
      </w:r>
      <w:r>
        <w:instrText xml:space="preserve"> REF _Ref367974264 \r \h  \* MERGEFORMAT </w:instrText>
      </w:r>
      <w:r>
        <w:fldChar w:fldCharType="separate"/>
      </w:r>
      <w:r w:rsidR="001D5AD9" w:rsidRPr="001D5AD9">
        <w:rPr>
          <w:szCs w:val="22"/>
          <w:lang w:val="en-US" w:eastAsia="en-GB" w:bidi="ar-SA"/>
        </w:rPr>
        <w:t>3.1</w:t>
      </w:r>
      <w:r>
        <w:fldChar w:fldCharType="end"/>
      </w:r>
      <w:r>
        <w:rPr>
          <w:szCs w:val="22"/>
          <w:lang w:val="en-US" w:eastAsia="en-GB" w:bidi="ar-SA"/>
        </w:rPr>
        <w:t xml:space="preserve"> of this specification.</w:t>
      </w:r>
    </w:p>
    <w:p w14:paraId="6437921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When the SM-SR ends successfully this function it SHALL update the eUICC EIS by adding a new Profile entry in the EIS with following values:</w:t>
      </w:r>
    </w:p>
    <w:p w14:paraId="42ED3B1A"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iccid value received as parameter</w:t>
      </w:r>
    </w:p>
    <w:p w14:paraId="220122B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isd-p-aid value as allocated by the SM-SR </w:t>
      </w:r>
    </w:p>
    <w:p w14:paraId="209ECC1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mno-id value received as parameter</w:t>
      </w:r>
    </w:p>
    <w:p w14:paraId="0709160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state value as ‘Created’</w:t>
      </w:r>
    </w:p>
    <w:p w14:paraId="029EEBC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smdp-id retrieved from the authentication context of the caller</w:t>
      </w:r>
    </w:p>
    <w:p w14:paraId="25C8E87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The Cumulative Granted Non Volatile Memory value received as parameter</w:t>
      </w:r>
    </w:p>
    <w:p w14:paraId="278B2B00" w14:textId="77777777" w:rsidR="00B97365" w:rsidRDefault="00B97365">
      <w:pPr>
        <w:tabs>
          <w:tab w:val="left" w:pos="680"/>
        </w:tabs>
        <w:spacing w:before="0" w:after="200" w:line="276" w:lineRule="auto"/>
        <w:ind w:left="680"/>
        <w:contextualSpacing/>
        <w:jc w:val="left"/>
        <w:rPr>
          <w:szCs w:val="22"/>
          <w:lang w:eastAsia="en-GB" w:bidi="ar-SA"/>
        </w:rPr>
      </w:pPr>
    </w:p>
    <w:p w14:paraId="20FD5C98" w14:textId="77777777" w:rsidR="00B97365" w:rsidRDefault="00000000">
      <w:pPr>
        <w:spacing w:after="200" w:line="276" w:lineRule="auto"/>
        <w:ind w:left="1560" w:hanging="1276"/>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The initial Subscription Address and the initial POL2 can be set after the Profile is completely downloaded using the “</w:t>
      </w:r>
      <w:r>
        <w:rPr>
          <w:rFonts w:cs="Arial"/>
          <w:b/>
          <w:szCs w:val="22"/>
          <w:lang w:val="en-US" w:eastAsia="en-GB" w:bidi="ar-SA"/>
        </w:rPr>
        <w:t>ES3.ProfileDownloadCompleted</w:t>
      </w:r>
      <w:r>
        <w:rPr>
          <w:rFonts w:cs="Arial"/>
          <w:szCs w:val="22"/>
          <w:lang w:val="en-US" w:eastAsia="en-GB" w:bidi="ar-SA"/>
        </w:rPr>
        <w:t>” function.</w:t>
      </w:r>
    </w:p>
    <w:p w14:paraId="32D5F28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54C637E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ISD-P has been successfully created on the eUICC as requested by the function caller. </w:t>
      </w:r>
    </w:p>
    <w:p w14:paraId="535B735B" w14:textId="48241CCC"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_Ref367974283 \r \h  \* MERGEFORMAT </w:instrText>
      </w:r>
      <w:r>
        <w:fldChar w:fldCharType="separate"/>
      </w:r>
      <w:r w:rsidR="001D5AD9" w:rsidRPr="001D5AD9">
        <w:rPr>
          <w:szCs w:val="22"/>
          <w:lang w:eastAsia="en-GB" w:bidi="ar-SA"/>
        </w:rPr>
        <w:t>5.1.6.4</w:t>
      </w:r>
      <w:r>
        <w:fldChar w:fldCharType="end"/>
      </w:r>
    </w:p>
    <w:p w14:paraId="76654D1C" w14:textId="1C9CF9ED"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_Ref367974292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274C3052" w14:textId="77777777" w:rsidR="00B97365" w:rsidRDefault="00B97365">
      <w:pPr>
        <w:tabs>
          <w:tab w:val="left" w:pos="680"/>
        </w:tabs>
        <w:spacing w:before="0" w:after="200" w:line="276" w:lineRule="auto"/>
        <w:contextualSpacing/>
        <w:jc w:val="left"/>
        <w:rPr>
          <w:rFonts w:cs="Arial"/>
          <w:szCs w:val="22"/>
          <w:lang w:eastAsia="en-GB" w:bidi="ar-SA"/>
        </w:rPr>
      </w:pPr>
    </w:p>
    <w:p w14:paraId="30E68B16" w14:textId="77777777" w:rsidR="00B97365" w:rsidRDefault="00000000">
      <w:pPr>
        <w:spacing w:before="0" w:after="200" w:line="276" w:lineRule="auto"/>
        <w:jc w:val="left"/>
        <w:rPr>
          <w:b/>
          <w:i/>
          <w:szCs w:val="22"/>
          <w:lang w:val="en-US" w:eastAsia="en-GB" w:bidi="ar-SA"/>
        </w:rPr>
      </w:pPr>
      <w:bookmarkStart w:id="3688" w:name="_Toc420594773"/>
      <w:r>
        <w:rPr>
          <w:rFonts w:cs="Arial"/>
          <w:b/>
          <w:i/>
          <w:szCs w:val="22"/>
          <w:lang w:val="en-US" w:eastAsia="en-GB" w:bidi="ar-SA"/>
        </w:rPr>
        <w:t>Additional input data:</w:t>
      </w:r>
      <w:bookmarkEnd w:id="368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8"/>
        <w:gridCol w:w="5997"/>
        <w:gridCol w:w="739"/>
        <w:gridCol w:w="398"/>
        <w:gridCol w:w="514"/>
      </w:tblGrid>
      <w:tr w:rsidR="00B97365" w14:paraId="79B1B15B" w14:textId="77777777">
        <w:trPr>
          <w:cantSplit/>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772A7E8"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4A02BC0"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FBB2EA1"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AF8B413"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22111B8"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D434085"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0EDF775"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43AFFAC" w14:textId="77777777" w:rsidR="00B97365" w:rsidRDefault="00000000">
            <w:pPr>
              <w:rPr>
                <w:rFonts w:cs="Calibri"/>
                <w:sz w:val="16"/>
                <w:szCs w:val="16"/>
              </w:rPr>
            </w:pPr>
            <w:r>
              <w:rPr>
                <w:rFonts w:cs="Calibri"/>
                <w:sz w:val="16"/>
                <w:szCs w:val="16"/>
              </w:rPr>
              <w:t>Identification of the targeted eUICC.</w:t>
            </w:r>
          </w:p>
          <w:p w14:paraId="566F3DDA" w14:textId="4888D6AF"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_Ref367974304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4A4C245"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FBD7E06"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398856B" w14:textId="77777777" w:rsidR="00B97365" w:rsidRDefault="00000000">
            <w:pPr>
              <w:jc w:val="center"/>
              <w:rPr>
                <w:rFonts w:cs="Calibri"/>
                <w:sz w:val="16"/>
                <w:szCs w:val="16"/>
              </w:rPr>
            </w:pPr>
            <w:r>
              <w:rPr>
                <w:rFonts w:cs="Calibri"/>
                <w:sz w:val="16"/>
                <w:szCs w:val="16"/>
              </w:rPr>
              <w:t>M</w:t>
            </w:r>
          </w:p>
        </w:tc>
      </w:tr>
      <w:tr w:rsidR="00B97365" w14:paraId="7A475A17"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80F28AD" w14:textId="77777777" w:rsidR="00B97365" w:rsidRDefault="00000000">
            <w:pP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8984028" w14:textId="77777777" w:rsidR="00B97365" w:rsidRDefault="00000000">
            <w:pPr>
              <w:rPr>
                <w:rFonts w:cs="Calibri"/>
                <w:sz w:val="16"/>
                <w:szCs w:val="16"/>
              </w:rPr>
            </w:pPr>
            <w:r>
              <w:rPr>
                <w:rFonts w:cs="Calibri"/>
                <w:sz w:val="16"/>
                <w:szCs w:val="16"/>
              </w:rPr>
              <w:t>Identification of the Profile to download and install.</w:t>
            </w:r>
          </w:p>
          <w:p w14:paraId="53E1E0B3" w14:textId="6716121F"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_Ref367974311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B760646"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9DB7DB4"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47226CE" w14:textId="77777777" w:rsidR="00B97365" w:rsidRDefault="00000000">
            <w:pPr>
              <w:jc w:val="center"/>
              <w:rPr>
                <w:rFonts w:cs="Calibri"/>
                <w:sz w:val="16"/>
                <w:szCs w:val="16"/>
              </w:rPr>
            </w:pPr>
            <w:r>
              <w:rPr>
                <w:rFonts w:cs="Calibri"/>
                <w:sz w:val="16"/>
                <w:szCs w:val="16"/>
              </w:rPr>
              <w:t>M</w:t>
            </w:r>
          </w:p>
        </w:tc>
      </w:tr>
      <w:tr w:rsidR="00B97365" w14:paraId="0382FA9C"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E581979" w14:textId="77777777" w:rsidR="00B97365" w:rsidRDefault="00000000">
            <w:pPr>
              <w:rPr>
                <w:rFonts w:cs="Calibri"/>
                <w:sz w:val="16"/>
                <w:szCs w:val="16"/>
              </w:rPr>
            </w:pPr>
            <w:r>
              <w:rPr>
                <w:rFonts w:cs="Calibri"/>
                <w:sz w:val="16"/>
                <w:szCs w:val="16"/>
              </w:rPr>
              <w:t>mno-id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4D5E6D6" w14:textId="77777777" w:rsidR="00B97365" w:rsidRDefault="00000000">
            <w:pPr>
              <w:rPr>
                <w:rFonts w:cs="Calibri"/>
                <w:sz w:val="16"/>
                <w:szCs w:val="16"/>
              </w:rPr>
            </w:pPr>
            <w:r>
              <w:rPr>
                <w:rFonts w:cs="Calibri"/>
                <w:sz w:val="16"/>
                <w:szCs w:val="16"/>
              </w:rPr>
              <w:t>The identification of the Operator owning the Profile</w:t>
            </w:r>
          </w:p>
        </w:tc>
        <w:tc>
          <w:tcPr>
            <w:tcW w:w="0" w:type="auto"/>
            <w:tcBorders>
              <w:top w:val="single" w:sz="6" w:space="0" w:color="auto"/>
              <w:left w:val="single" w:sz="6" w:space="0" w:color="auto"/>
              <w:bottom w:val="single" w:sz="6" w:space="0" w:color="auto"/>
              <w:right w:val="single" w:sz="6" w:space="0" w:color="auto"/>
            </w:tcBorders>
            <w:vAlign w:val="center"/>
            <w:hideMark/>
          </w:tcPr>
          <w:p w14:paraId="0D057C35" w14:textId="77777777" w:rsidR="00B97365" w:rsidRDefault="00000000">
            <w:pPr>
              <w:jc w:val="center"/>
              <w:rPr>
                <w:rFonts w:cs="Calibri"/>
                <w:sz w:val="16"/>
                <w:szCs w:val="16"/>
              </w:rPr>
            </w:pPr>
            <w:r>
              <w:rPr>
                <w:rFonts w:cs="Calibri"/>
                <w:sz w:val="16"/>
                <w:szCs w:val="16"/>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67AB647"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CAF7E09" w14:textId="77777777" w:rsidR="00B97365" w:rsidRDefault="00000000">
            <w:pPr>
              <w:jc w:val="center"/>
              <w:rPr>
                <w:rFonts w:cs="Calibri"/>
                <w:sz w:val="16"/>
                <w:szCs w:val="16"/>
              </w:rPr>
            </w:pPr>
            <w:r>
              <w:rPr>
                <w:rFonts w:cs="Calibri"/>
                <w:sz w:val="16"/>
                <w:szCs w:val="16"/>
              </w:rPr>
              <w:t>M</w:t>
            </w:r>
          </w:p>
        </w:tc>
      </w:tr>
      <w:tr w:rsidR="00B97365" w14:paraId="472F1F12"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2D4F642" w14:textId="77777777" w:rsidR="00B97365" w:rsidRDefault="00000000">
            <w:pPr>
              <w:rPr>
                <w:rFonts w:cs="Calibri"/>
                <w:sz w:val="16"/>
                <w:szCs w:val="16"/>
              </w:rPr>
            </w:pPr>
            <w:r>
              <w:rPr>
                <w:rFonts w:cs="Calibri"/>
                <w:sz w:val="16"/>
                <w:szCs w:val="16"/>
              </w:rPr>
              <w:t>RequiredMemory</w:t>
            </w:r>
          </w:p>
        </w:tc>
        <w:tc>
          <w:tcPr>
            <w:tcW w:w="0" w:type="auto"/>
            <w:tcBorders>
              <w:top w:val="single" w:sz="6" w:space="0" w:color="auto"/>
              <w:left w:val="single" w:sz="6" w:space="0" w:color="auto"/>
              <w:bottom w:val="single" w:sz="6" w:space="0" w:color="auto"/>
              <w:right w:val="single" w:sz="6" w:space="0" w:color="auto"/>
            </w:tcBorders>
            <w:vAlign w:val="center"/>
            <w:hideMark/>
          </w:tcPr>
          <w:p w14:paraId="4EF815AC" w14:textId="77777777" w:rsidR="00B97365" w:rsidRDefault="00000000">
            <w:pPr>
              <w:rPr>
                <w:rFonts w:cs="Calibri"/>
                <w:sz w:val="16"/>
                <w:szCs w:val="16"/>
              </w:rPr>
            </w:pPr>
            <w:r>
              <w:rPr>
                <w:rFonts w:cs="Calibri"/>
                <w:sz w:val="16"/>
                <w:szCs w:val="16"/>
              </w:rPr>
              <w:t>Indicates the Cumulative Granted Non Volatile Memoryallocated to the ISD-P to contain the Profile. The value is expected in Bytes.</w:t>
            </w:r>
          </w:p>
        </w:tc>
        <w:tc>
          <w:tcPr>
            <w:tcW w:w="0" w:type="auto"/>
            <w:tcBorders>
              <w:top w:val="single" w:sz="6" w:space="0" w:color="auto"/>
              <w:left w:val="single" w:sz="6" w:space="0" w:color="auto"/>
              <w:bottom w:val="single" w:sz="6" w:space="0" w:color="auto"/>
              <w:right w:val="single" w:sz="6" w:space="0" w:color="auto"/>
            </w:tcBorders>
            <w:vAlign w:val="center"/>
            <w:hideMark/>
          </w:tcPr>
          <w:p w14:paraId="1E643D34" w14:textId="77777777" w:rsidR="00B97365" w:rsidRDefault="00000000">
            <w:pPr>
              <w:jc w:val="center"/>
              <w:rPr>
                <w:rFonts w:cs="Calibri"/>
                <w:sz w:val="16"/>
                <w:szCs w:val="16"/>
              </w:rPr>
            </w:pPr>
            <w:r>
              <w:rPr>
                <w:rFonts w:cs="Calibri"/>
                <w:sz w:val="16"/>
                <w:szCs w:val="16"/>
              </w:rPr>
              <w:t>Integer</w:t>
            </w:r>
          </w:p>
        </w:tc>
        <w:tc>
          <w:tcPr>
            <w:tcW w:w="0" w:type="auto"/>
            <w:tcBorders>
              <w:top w:val="single" w:sz="6" w:space="0" w:color="auto"/>
              <w:left w:val="single" w:sz="6" w:space="0" w:color="auto"/>
              <w:bottom w:val="single" w:sz="6" w:space="0" w:color="auto"/>
              <w:right w:val="single" w:sz="6" w:space="0" w:color="auto"/>
            </w:tcBorders>
            <w:vAlign w:val="center"/>
            <w:hideMark/>
          </w:tcPr>
          <w:p w14:paraId="068CC5F1"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1925E0E" w14:textId="77777777" w:rsidR="00B97365" w:rsidRDefault="00000000">
            <w:pPr>
              <w:jc w:val="center"/>
              <w:rPr>
                <w:rFonts w:cs="Calibri"/>
                <w:sz w:val="16"/>
                <w:szCs w:val="16"/>
              </w:rPr>
            </w:pPr>
            <w:r>
              <w:rPr>
                <w:rFonts w:cs="Calibri"/>
                <w:sz w:val="16"/>
                <w:szCs w:val="16"/>
              </w:rPr>
              <w:t>M</w:t>
            </w:r>
          </w:p>
        </w:tc>
      </w:tr>
      <w:tr w:rsidR="00B97365" w14:paraId="633E47CD" w14:textId="77777777">
        <w:trPr>
          <w:cantSplit/>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5C7C329" w14:textId="77777777" w:rsidR="00B97365" w:rsidRDefault="00000000">
            <w:pPr>
              <w:rPr>
                <w:rFonts w:cs="Calibri"/>
                <w:sz w:val="16"/>
                <w:szCs w:val="16"/>
              </w:rPr>
            </w:pPr>
            <w:r>
              <w:rPr>
                <w:rFonts w:cs="Calibri"/>
                <w:sz w:val="16"/>
                <w:szCs w:val="16"/>
              </w:rPr>
              <w:t>moreToDo</w:t>
            </w:r>
          </w:p>
        </w:tc>
        <w:tc>
          <w:tcPr>
            <w:tcW w:w="0" w:type="auto"/>
            <w:tcBorders>
              <w:top w:val="single" w:sz="6" w:space="0" w:color="auto"/>
              <w:left w:val="single" w:sz="6" w:space="0" w:color="auto"/>
              <w:bottom w:val="single" w:sz="4" w:space="0" w:color="auto"/>
              <w:right w:val="single" w:sz="6" w:space="0" w:color="auto"/>
            </w:tcBorders>
            <w:vAlign w:val="center"/>
            <w:hideMark/>
          </w:tcPr>
          <w:p w14:paraId="0B9702FE" w14:textId="333D181C" w:rsidR="00B97365" w:rsidRDefault="00000000">
            <w:pPr>
              <w:rPr>
                <w:rFonts w:cs="Calibri"/>
                <w:sz w:val="16"/>
                <w:szCs w:val="16"/>
              </w:rPr>
            </w:pPr>
            <w:r>
              <w:rPr>
                <w:rFonts w:cs="Calibri"/>
                <w:sz w:val="16"/>
                <w:szCs w:val="16"/>
              </w:rPr>
              <w:t xml:space="preserve">Indicates to the function provider that the function caller has something else to do with the targeted eUICC right after this function execution. This indication MAY be used by the function provider to decide if it has to keep the remote communication channel with the eUICC open (this may be relevant or not, depending on the remote communication channel. This is the case for instance for Remote Administration over HTTPS as defined in </w:t>
            </w:r>
            <w:r>
              <w:rPr>
                <w:rFonts w:cs="Calibri"/>
                <w:sz w:val="16"/>
                <w:szCs w:val="16"/>
                <w:lang w:val="en-US"/>
              </w:rPr>
              <w:t xml:space="preserve">section </w:t>
            </w:r>
            <w:r>
              <w:fldChar w:fldCharType="begin"/>
            </w:r>
            <w:r>
              <w:instrText xml:space="preserve"> REF _Ref367974324 \r \h  \* MERGEFORMAT </w:instrText>
            </w:r>
            <w:r>
              <w:fldChar w:fldCharType="separate"/>
            </w:r>
            <w:r w:rsidR="001D5AD9" w:rsidRPr="001D5AD9">
              <w:rPr>
                <w:rFonts w:cs="Calibri"/>
                <w:sz w:val="16"/>
                <w:szCs w:val="16"/>
              </w:rPr>
              <w:t>2.4.4</w:t>
            </w:r>
            <w:r>
              <w:fldChar w:fldCharType="end"/>
            </w:r>
            <w:r>
              <w:rPr>
                <w:rFonts w:cs="Calibri"/>
                <w:sz w:val="16"/>
                <w:szCs w:val="16"/>
              </w:rPr>
              <w:t>.</w:t>
            </w:r>
          </w:p>
          <w:p w14:paraId="3B5A90EE" w14:textId="77777777" w:rsidR="00B97365" w:rsidRDefault="00000000">
            <w:pPr>
              <w:rPr>
                <w:rFonts w:cs="Calibri"/>
                <w:sz w:val="16"/>
                <w:szCs w:val="16"/>
              </w:rPr>
            </w:pPr>
            <w:r>
              <w:rPr>
                <w:rFonts w:cs="Calibri"/>
                <w:sz w:val="16"/>
                <w:szCs w:val="16"/>
              </w:rPr>
              <w:t>The only purpose is to optimise resource management and save execution time of the overall procedure. It is up to the function provider to support this feature or not.</w:t>
            </w:r>
          </w:p>
          <w:p w14:paraId="1C76DF51" w14:textId="77777777" w:rsidR="00B97365" w:rsidRDefault="00000000">
            <w:pPr>
              <w:spacing w:before="0" w:after="200" w:line="276" w:lineRule="auto"/>
              <w:jc w:val="left"/>
              <w:rPr>
                <w:sz w:val="16"/>
                <w:szCs w:val="16"/>
                <w:lang w:eastAsia="en-GB" w:bidi="ar-SA"/>
              </w:rPr>
            </w:pPr>
            <w:r>
              <w:rPr>
                <w:rFonts w:cs="Calibri"/>
                <w:sz w:val="16"/>
                <w:szCs w:val="16"/>
                <w:lang w:eastAsia="en-GB" w:bidi="ar-SA"/>
              </w:rPr>
              <w:t>This input data is optional; if missing the function provider SHALL consider that the function caller has nothing else to do.</w:t>
            </w:r>
          </w:p>
        </w:tc>
        <w:tc>
          <w:tcPr>
            <w:tcW w:w="0" w:type="auto"/>
            <w:tcBorders>
              <w:top w:val="single" w:sz="6" w:space="0" w:color="auto"/>
              <w:left w:val="single" w:sz="6" w:space="0" w:color="auto"/>
              <w:bottom w:val="single" w:sz="4" w:space="0" w:color="auto"/>
              <w:right w:val="single" w:sz="6" w:space="0" w:color="auto"/>
            </w:tcBorders>
            <w:vAlign w:val="center"/>
            <w:hideMark/>
          </w:tcPr>
          <w:p w14:paraId="1761ECA3" w14:textId="77777777" w:rsidR="00B97365" w:rsidRDefault="00000000">
            <w:pPr>
              <w:tabs>
                <w:tab w:val="right" w:pos="7938"/>
              </w:tabs>
              <w:ind w:left="470" w:hanging="459"/>
              <w:jc w:val="center"/>
              <w:rPr>
                <w:rFonts w:cs="Calibri"/>
                <w:sz w:val="16"/>
                <w:szCs w:val="16"/>
              </w:rPr>
            </w:pPr>
            <w:r>
              <w:rPr>
                <w:rFonts w:cs="Calibri"/>
                <w:sz w:val="16"/>
                <w:szCs w:val="16"/>
              </w:rPr>
              <w:t>Boolean</w:t>
            </w:r>
          </w:p>
        </w:tc>
        <w:tc>
          <w:tcPr>
            <w:tcW w:w="0" w:type="auto"/>
            <w:tcBorders>
              <w:top w:val="single" w:sz="6" w:space="0" w:color="auto"/>
              <w:left w:val="single" w:sz="6" w:space="0" w:color="auto"/>
              <w:bottom w:val="single" w:sz="4" w:space="0" w:color="auto"/>
              <w:right w:val="single" w:sz="6" w:space="0" w:color="auto"/>
            </w:tcBorders>
            <w:vAlign w:val="center"/>
            <w:hideMark/>
          </w:tcPr>
          <w:p w14:paraId="22BFE443"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36A496E9" w14:textId="77777777" w:rsidR="00B97365" w:rsidRDefault="00000000">
            <w:pPr>
              <w:jc w:val="center"/>
              <w:rPr>
                <w:rFonts w:cs="Calibri"/>
                <w:sz w:val="16"/>
                <w:szCs w:val="16"/>
              </w:rPr>
            </w:pPr>
            <w:r>
              <w:rPr>
                <w:rFonts w:cs="Calibri"/>
                <w:sz w:val="16"/>
                <w:szCs w:val="16"/>
              </w:rPr>
              <w:t>O</w:t>
            </w:r>
          </w:p>
        </w:tc>
      </w:tr>
    </w:tbl>
    <w:p w14:paraId="67557789"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Create ISD-P Additional Input Data</w:t>
      </w:r>
    </w:p>
    <w:p w14:paraId="54D7AA78" w14:textId="77777777" w:rsidR="00B97365" w:rsidRDefault="00000000">
      <w:pPr>
        <w:spacing w:before="0" w:after="200" w:line="276" w:lineRule="auto"/>
        <w:jc w:val="left"/>
        <w:rPr>
          <w:rFonts w:cs="Arial"/>
          <w:szCs w:val="22"/>
          <w:lang w:eastAsia="en-GB" w:bidi="ar-SA"/>
        </w:rPr>
      </w:pPr>
      <w:r>
        <w:rPr>
          <w:rFonts w:cs="Arial"/>
          <w:szCs w:val="22"/>
          <w:lang w:val="en-US" w:eastAsia="en-GB" w:bidi="ar-SA"/>
        </w:rPr>
        <w:t>If the "RequiredMemory" parameter of this ES3.CreateISDP function call is equal to ‘0’, the "Cumulative Granted Non Volatile Memory" parameter SHALL NOT be used in the INSTALL command of the ES5.CreateISDP function.</w:t>
      </w:r>
    </w:p>
    <w:p w14:paraId="70B3A66A" w14:textId="77777777" w:rsidR="00B97365" w:rsidRDefault="00B97365">
      <w:pPr>
        <w:spacing w:before="0"/>
        <w:jc w:val="left"/>
        <w:rPr>
          <w:rFonts w:cs="Arial"/>
          <w:b/>
          <w:i/>
          <w:szCs w:val="22"/>
          <w:lang w:val="en-US" w:eastAsia="en-GB" w:bidi="ar-SA"/>
        </w:rPr>
      </w:pPr>
    </w:p>
    <w:p w14:paraId="37043522" w14:textId="77777777" w:rsidR="00B97365" w:rsidRDefault="00000000">
      <w:pPr>
        <w:spacing w:before="0"/>
        <w:jc w:val="left"/>
        <w:rPr>
          <w:rFonts w:cs="Arial"/>
          <w:b/>
          <w:i/>
          <w:szCs w:val="22"/>
          <w:lang w:val="en-US" w:eastAsia="en-GB" w:bidi="ar-SA"/>
        </w:rPr>
      </w:pPr>
      <w:bookmarkStart w:id="3689" w:name="_Toc420594774"/>
      <w:r>
        <w:rPr>
          <w:rFonts w:cs="Arial"/>
          <w:b/>
          <w:i/>
          <w:szCs w:val="22"/>
          <w:lang w:val="en-US" w:eastAsia="en-GB" w:bidi="ar-SA"/>
        </w:rPr>
        <w:t>Additional output data:</w:t>
      </w:r>
      <w:bookmarkEnd w:id="368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72"/>
        <w:gridCol w:w="5230"/>
        <w:gridCol w:w="1175"/>
        <w:gridCol w:w="398"/>
        <w:gridCol w:w="641"/>
      </w:tblGrid>
      <w:tr w:rsidR="00B97365" w14:paraId="263BC2B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777204F" w14:textId="77777777" w:rsidR="00B97365" w:rsidRDefault="00000000">
            <w:pPr>
              <w:keepNext/>
              <w:spacing w:before="60" w:line="276" w:lineRule="auto"/>
              <w:jc w:val="left"/>
              <w:rPr>
                <w:rFonts w:cs="Arial"/>
                <w:color w:val="FFFFFF"/>
                <w:sz w:val="16"/>
                <w:szCs w:val="16"/>
                <w:lang w:val="en-US" w:eastAsia="en-GB" w:bidi="ar-SA"/>
              </w:rPr>
            </w:pPr>
            <w:r>
              <w:rPr>
                <w:rFonts w:cs="Arial"/>
                <w:b/>
                <w:color w:val="FFFFFF"/>
                <w:sz w:val="16"/>
                <w:szCs w:val="16"/>
                <w:lang w:val="en-US" w:eastAsia="en-GB" w:bidi="ar-SA"/>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01F510F" w14:textId="77777777" w:rsidR="00B97365" w:rsidRDefault="00000000">
            <w:pPr>
              <w:keepNext/>
              <w:spacing w:before="60" w:line="276" w:lineRule="auto"/>
              <w:jc w:val="left"/>
              <w:rPr>
                <w:rFonts w:cs="Arial"/>
                <w:color w:val="FFFFFF"/>
                <w:sz w:val="16"/>
                <w:szCs w:val="16"/>
                <w:lang w:val="en-US" w:eastAsia="en-GB" w:bidi="ar-SA"/>
              </w:rPr>
            </w:pPr>
            <w:r>
              <w:rPr>
                <w:rFonts w:cs="Arial"/>
                <w:b/>
                <w:color w:val="FFFFFF"/>
                <w:sz w:val="16"/>
                <w:szCs w:val="16"/>
                <w:lang w:val="en-US"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C75AEE5" w14:textId="77777777" w:rsidR="00B97365" w:rsidRDefault="00000000">
            <w:pPr>
              <w:keepNext/>
              <w:spacing w:before="60" w:line="276" w:lineRule="auto"/>
              <w:jc w:val="left"/>
              <w:rPr>
                <w:rFonts w:cs="Arial"/>
                <w:color w:val="FFFFFF"/>
                <w:sz w:val="16"/>
                <w:szCs w:val="16"/>
                <w:lang w:val="en-US" w:eastAsia="en-GB" w:bidi="ar-SA"/>
              </w:rPr>
            </w:pPr>
            <w:r>
              <w:rPr>
                <w:rFonts w:cs="Arial"/>
                <w:b/>
                <w:color w:val="FFFFFF"/>
                <w:sz w:val="16"/>
                <w:szCs w:val="16"/>
                <w:lang w:val="en-US"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9C39089" w14:textId="77777777" w:rsidR="00B97365" w:rsidRDefault="00000000">
            <w:pPr>
              <w:keepNext/>
              <w:spacing w:before="60" w:line="276" w:lineRule="auto"/>
              <w:jc w:val="left"/>
              <w:rPr>
                <w:rFonts w:cs="Arial"/>
                <w:color w:val="FFFFFF"/>
                <w:sz w:val="16"/>
                <w:szCs w:val="16"/>
                <w:lang w:val="en-US" w:eastAsia="en-GB" w:bidi="ar-SA"/>
              </w:rPr>
            </w:pPr>
            <w:r>
              <w:rPr>
                <w:rFonts w:cs="Arial"/>
                <w:b/>
                <w:color w:val="FFFFFF"/>
                <w:sz w:val="16"/>
                <w:szCs w:val="16"/>
                <w:lang w:val="en-US"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E8CAFA8" w14:textId="77777777" w:rsidR="00B97365" w:rsidRDefault="00000000">
            <w:pPr>
              <w:keepNext/>
              <w:spacing w:before="60" w:line="276" w:lineRule="auto"/>
              <w:jc w:val="left"/>
              <w:rPr>
                <w:rFonts w:cs="Arial"/>
                <w:color w:val="FFFFFF"/>
                <w:sz w:val="16"/>
                <w:szCs w:val="16"/>
                <w:lang w:val="en-US" w:eastAsia="en-GB" w:bidi="ar-SA"/>
              </w:rPr>
            </w:pPr>
            <w:r>
              <w:rPr>
                <w:rFonts w:cs="Arial"/>
                <w:b/>
                <w:color w:val="FFFFFF"/>
                <w:sz w:val="16"/>
                <w:szCs w:val="16"/>
                <w:lang w:val="en-US" w:eastAsia="en-GB" w:bidi="ar-SA"/>
              </w:rPr>
              <w:t>MOC</w:t>
            </w:r>
          </w:p>
        </w:tc>
      </w:tr>
      <w:tr w:rsidR="00B97365" w14:paraId="00B2533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DA96B33" w14:textId="77777777" w:rsidR="00B97365" w:rsidRDefault="00000000">
            <w:pPr>
              <w:spacing w:before="40" w:after="40" w:line="276" w:lineRule="auto"/>
              <w:jc w:val="left"/>
              <w:rPr>
                <w:sz w:val="16"/>
                <w:szCs w:val="16"/>
                <w:lang w:eastAsia="de-DE" w:bidi="ar-SA"/>
              </w:rPr>
            </w:pPr>
            <w:r>
              <w:rPr>
                <w:sz w:val="16"/>
                <w:szCs w:val="16"/>
                <w:lang w:eastAsia="de-DE" w:bidi="ar-SA"/>
              </w:rPr>
              <w:t>isd-p-aid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7826E60" w14:textId="74305092" w:rsidR="00B97365" w:rsidRDefault="00000000">
            <w:pPr>
              <w:spacing w:before="40" w:after="40" w:line="276" w:lineRule="auto"/>
              <w:jc w:val="left"/>
              <w:rPr>
                <w:sz w:val="16"/>
                <w:szCs w:val="16"/>
                <w:lang w:eastAsia="de-DE" w:bidi="ar-SA"/>
              </w:rPr>
            </w:pPr>
            <w:r>
              <w:rPr>
                <w:sz w:val="20"/>
                <w:szCs w:val="16"/>
                <w:lang w:eastAsia="de-DE" w:bidi="ar-SA"/>
              </w:rPr>
              <w:t xml:space="preserve">The AID, allocated by the SM-SR, of the ISD-P containing the Profile. The Tar value is included in the AID. See </w:t>
            </w:r>
            <w:r>
              <w:rPr>
                <w:sz w:val="20"/>
                <w:szCs w:val="16"/>
                <w:lang w:eastAsia="de-DE" w:bidi="ar-SA"/>
              </w:rPr>
              <w:fldChar w:fldCharType="begin"/>
            </w:r>
            <w:r>
              <w:rPr>
                <w:sz w:val="20"/>
                <w:szCs w:val="16"/>
                <w:lang w:eastAsia="de-DE" w:bidi="ar-SA"/>
              </w:rPr>
              <w:instrText xml:space="preserve"> REF _Ref471403881 \r \h </w:instrText>
            </w:r>
            <w:r>
              <w:rPr>
                <w:sz w:val="16"/>
                <w:szCs w:val="16"/>
                <w:lang w:eastAsia="de-DE" w:bidi="ar-SA"/>
              </w:rPr>
              <w:instrText xml:space="preserve"> \* MERGEFORMAT </w:instrText>
            </w:r>
            <w:r>
              <w:rPr>
                <w:sz w:val="20"/>
                <w:szCs w:val="16"/>
                <w:lang w:eastAsia="de-DE" w:bidi="ar-SA"/>
              </w:rPr>
            </w:r>
            <w:r>
              <w:rPr>
                <w:sz w:val="20"/>
                <w:szCs w:val="16"/>
                <w:lang w:eastAsia="de-DE" w:bidi="ar-SA"/>
              </w:rPr>
              <w:fldChar w:fldCharType="separate"/>
            </w:r>
            <w:r w:rsidR="001D5AD9">
              <w:rPr>
                <w:sz w:val="20"/>
                <w:szCs w:val="16"/>
                <w:lang w:eastAsia="de-DE" w:bidi="ar-SA"/>
              </w:rPr>
              <w:t>Annex H</w:t>
            </w:r>
            <w:r>
              <w:rPr>
                <w:sz w:val="20"/>
                <w:szCs w:val="16"/>
                <w:lang w:eastAsia="de-DE" w:bidi="ar-SA"/>
              </w:rPr>
              <w:fldChar w:fldCharType="end"/>
            </w:r>
            <w:r>
              <w:rPr>
                <w:sz w:val="20"/>
                <w:szCs w:val="16"/>
                <w:lang w:eastAsia="de-DE" w:bidi="ar-SA"/>
              </w:rPr>
              <w:t xml:space="preserve"> “</w:t>
            </w:r>
            <w:r>
              <w:rPr>
                <w:sz w:val="20"/>
                <w:szCs w:val="16"/>
                <w:lang w:eastAsia="de-DE" w:bidi="ar-SA"/>
              </w:rPr>
              <w:fldChar w:fldCharType="begin"/>
            </w:r>
            <w:r>
              <w:rPr>
                <w:sz w:val="20"/>
                <w:szCs w:val="16"/>
                <w:lang w:eastAsia="de-DE" w:bidi="ar-SA"/>
              </w:rPr>
              <w:instrText xml:space="preserve"> REF _Ref471403888 \h </w:instrText>
            </w:r>
            <w:r>
              <w:rPr>
                <w:sz w:val="16"/>
                <w:szCs w:val="16"/>
                <w:lang w:eastAsia="de-DE" w:bidi="ar-SA"/>
              </w:rPr>
              <w:instrText xml:space="preserve"> \* MERGEFORMAT </w:instrText>
            </w:r>
            <w:r>
              <w:rPr>
                <w:sz w:val="20"/>
                <w:szCs w:val="16"/>
                <w:lang w:eastAsia="de-DE" w:bidi="ar-SA"/>
              </w:rPr>
            </w:r>
            <w:r>
              <w:rPr>
                <w:sz w:val="20"/>
                <w:szCs w:val="16"/>
                <w:lang w:eastAsia="de-DE" w:bidi="ar-SA"/>
              </w:rPr>
              <w:fldChar w:fldCharType="separate"/>
            </w:r>
            <w:r w:rsidR="001D5AD9" w:rsidRPr="001D5AD9">
              <w:rPr>
                <w:sz w:val="16"/>
                <w:szCs w:val="16"/>
                <w:lang w:eastAsia="de-DE" w:bidi="ar-SA"/>
              </w:rPr>
              <w:t>Coding of the PIX for ‘Embedded UICC Remote Provisioning and Management’ (Normative)</w:t>
            </w:r>
            <w:r>
              <w:rPr>
                <w:sz w:val="20"/>
                <w:szCs w:val="16"/>
                <w:lang w:eastAsia="de-DE" w:bidi="ar-SA"/>
              </w:rPr>
              <w:fldChar w:fldCharType="end"/>
            </w:r>
            <w:r>
              <w:rPr>
                <w:sz w:val="20"/>
                <w:szCs w:val="16"/>
                <w:lang w:eastAsia="de-DE" w:bidi="ar-SA"/>
              </w:rPr>
              <w:t>”</w:t>
            </w:r>
            <w:r>
              <w:rPr>
                <w:sz w:val="16"/>
                <w:szCs w:val="16"/>
                <w:lang w:eastAsia="de-DE" w:bidi="ar-S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71D13376" w14:textId="77777777" w:rsidR="00B97365" w:rsidRDefault="00000000">
            <w:pPr>
              <w:spacing w:before="40" w:after="40" w:line="276" w:lineRule="auto"/>
              <w:jc w:val="left"/>
              <w:rPr>
                <w:sz w:val="16"/>
                <w:szCs w:val="16"/>
                <w:lang w:eastAsia="de-DE" w:bidi="ar-SA"/>
              </w:rPr>
            </w:pPr>
            <w:r>
              <w:rPr>
                <w:sz w:val="16"/>
                <w:szCs w:val="16"/>
                <w:lang w:eastAsia="de-DE" w:bidi="ar-SA"/>
              </w:rPr>
              <w:t>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1B026DD" w14:textId="77777777" w:rsidR="00B97365" w:rsidRDefault="00000000">
            <w:pPr>
              <w:spacing w:before="40" w:after="40" w:line="276" w:lineRule="auto"/>
              <w:jc w:val="left"/>
              <w:rPr>
                <w:sz w:val="16"/>
                <w:szCs w:val="16"/>
                <w:lang w:eastAsia="de-DE" w:bidi="ar-SA"/>
              </w:rPr>
            </w:pPr>
            <w:r>
              <w:rPr>
                <w:sz w:val="16"/>
                <w:szCs w:val="16"/>
                <w:lang w:eastAsia="de-DE"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DCF9C76" w14:textId="77777777" w:rsidR="00B97365" w:rsidRDefault="00000000">
            <w:pPr>
              <w:spacing w:before="40" w:after="40" w:line="276" w:lineRule="auto"/>
              <w:jc w:val="left"/>
              <w:rPr>
                <w:sz w:val="16"/>
                <w:szCs w:val="16"/>
                <w:lang w:eastAsia="de-DE" w:bidi="ar-SA"/>
              </w:rPr>
            </w:pPr>
            <w:r>
              <w:rPr>
                <w:sz w:val="16"/>
                <w:szCs w:val="16"/>
                <w:lang w:eastAsia="de-DE" w:bidi="ar-SA"/>
              </w:rPr>
              <w:t>C (see note)</w:t>
            </w:r>
          </w:p>
        </w:tc>
      </w:tr>
      <w:tr w:rsidR="00B97365" w14:paraId="1F57A7D4"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42ED7CB" w14:textId="77777777" w:rsidR="00B97365" w:rsidRDefault="00000000">
            <w:pPr>
              <w:spacing w:before="40" w:after="40" w:line="276" w:lineRule="auto"/>
              <w:jc w:val="left"/>
              <w:rPr>
                <w:sz w:val="16"/>
                <w:szCs w:val="16"/>
                <w:lang w:eastAsia="de-DE" w:bidi="ar-SA"/>
              </w:rPr>
            </w:pPr>
            <w:r>
              <w:rPr>
                <w:sz w:val="16"/>
                <w:szCs w:val="16"/>
                <w:lang w:eastAsia="de-DE" w:bidi="ar-SA"/>
              </w:rPr>
              <w:lastRenderedPageBreak/>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241961CA" w14:textId="77777777" w:rsidR="00B97365" w:rsidRDefault="00000000">
            <w:pPr>
              <w:spacing w:before="40" w:after="40" w:line="276" w:lineRule="auto"/>
              <w:jc w:val="left"/>
              <w:rPr>
                <w:b/>
                <w:noProof/>
                <w:sz w:val="16"/>
                <w:szCs w:val="16"/>
                <w:lang w:eastAsia="de-DE" w:bidi="ar-SA"/>
              </w:rPr>
            </w:pPr>
            <w:r>
              <w:rPr>
                <w:sz w:val="16"/>
                <w:szCs w:val="16"/>
                <w:lang w:eastAsia="de-DE" w:bidi="ar-SA"/>
              </w:rPr>
              <w:t xml:space="preserve">Contains the detailed error returned by the eUICC in case the function execution failed on eUICC. The response data is defined in ES8 depending of the requested function. </w:t>
            </w:r>
          </w:p>
        </w:tc>
        <w:tc>
          <w:tcPr>
            <w:tcW w:w="0" w:type="auto"/>
            <w:tcBorders>
              <w:top w:val="single" w:sz="6" w:space="0" w:color="auto"/>
              <w:left w:val="single" w:sz="6" w:space="0" w:color="auto"/>
              <w:bottom w:val="single" w:sz="4" w:space="0" w:color="auto"/>
              <w:right w:val="single" w:sz="6" w:space="0" w:color="auto"/>
            </w:tcBorders>
            <w:vAlign w:val="center"/>
            <w:hideMark/>
          </w:tcPr>
          <w:p w14:paraId="7CC9358E" w14:textId="77777777" w:rsidR="00B97365" w:rsidRDefault="00000000">
            <w:pPr>
              <w:spacing w:before="40" w:after="40" w:line="276" w:lineRule="auto"/>
              <w:jc w:val="left"/>
              <w:rPr>
                <w:sz w:val="16"/>
                <w:szCs w:val="16"/>
                <w:lang w:eastAsia="de-DE" w:bidi="ar-SA"/>
              </w:rPr>
            </w:pPr>
            <w:r>
              <w:rPr>
                <w:sz w:val="16"/>
                <w:szCs w:val="16"/>
                <w:lang w:eastAsia="de-DE" w:bidi="ar-SA"/>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4E188B1C" w14:textId="77777777" w:rsidR="00B97365" w:rsidRDefault="00000000">
            <w:pPr>
              <w:spacing w:before="40" w:after="40" w:line="276" w:lineRule="auto"/>
              <w:jc w:val="left"/>
              <w:rPr>
                <w:sz w:val="16"/>
                <w:szCs w:val="16"/>
                <w:lang w:eastAsia="de-DE" w:bidi="ar-SA"/>
              </w:rPr>
            </w:pPr>
            <w:r>
              <w:rPr>
                <w:sz w:val="16"/>
                <w:szCs w:val="16"/>
                <w:lang w:eastAsia="de-DE"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E9D9B33" w14:textId="77777777" w:rsidR="00B97365" w:rsidRDefault="00000000">
            <w:pPr>
              <w:spacing w:before="40" w:after="40" w:line="276" w:lineRule="auto"/>
              <w:jc w:val="left"/>
              <w:rPr>
                <w:sz w:val="16"/>
                <w:szCs w:val="16"/>
                <w:lang w:eastAsia="de-DE" w:bidi="ar-SA"/>
              </w:rPr>
            </w:pPr>
            <w:r>
              <w:rPr>
                <w:sz w:val="16"/>
                <w:szCs w:val="16"/>
                <w:lang w:eastAsia="de-DE" w:bidi="ar-SA"/>
              </w:rPr>
              <w:t>O</w:t>
            </w:r>
          </w:p>
        </w:tc>
      </w:tr>
    </w:tbl>
    <w:p w14:paraId="00CE419E"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Create ISD-P Additional Output Data</w:t>
      </w:r>
    </w:p>
    <w:p w14:paraId="03B7F676" w14:textId="77777777" w:rsidR="00B97365" w:rsidRDefault="00000000">
      <w:pPr>
        <w:tabs>
          <w:tab w:val="left" w:pos="1560"/>
        </w:tabs>
        <w:spacing w:before="0" w:after="200" w:line="276" w:lineRule="auto"/>
        <w:ind w:left="1559" w:hanging="1202"/>
        <w:jc w:val="left"/>
        <w:rPr>
          <w:szCs w:val="22"/>
          <w:lang w:val="en-US" w:eastAsia="en-GB" w:bidi="ar-SA"/>
        </w:rPr>
      </w:pPr>
      <w:bookmarkStart w:id="3690" w:name="_Toc420594775"/>
      <w:r>
        <w:rPr>
          <w:szCs w:val="22"/>
          <w:lang w:val="en-US" w:eastAsia="en-GB" w:bidi="ar-SA"/>
        </w:rPr>
        <w:t>NOTE</w:t>
      </w:r>
      <w:r>
        <w:rPr>
          <w:szCs w:val="22"/>
          <w:lang w:val="en-US" w:eastAsia="en-GB" w:bidi="ar-SA"/>
        </w:rPr>
        <w:tab/>
        <w:t>In case of error or expiration of the function execution, the output data isd-p-aid SHOULD be absent.</w:t>
      </w:r>
    </w:p>
    <w:p w14:paraId="4376B8DA"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ab/>
      </w:r>
      <w:r>
        <w:rPr>
          <w:szCs w:val="22"/>
          <w:lang w:val="pl-PL" w:eastAsia="en-GB" w:bidi="ar-SA"/>
        </w:rPr>
        <w:t>This output data isd-p-aid was mandatory in version 3.2 and earlier of this specification. For backward-compatibility with such versions, the SM-SR MAY send this output data anyway, and the SM-DP SHOULD be ready to receive this data, even in case of error and expiration. In such a case, the value of this data is irrelevant, so the SM-SR SHOULD return a value that is clearly not a valid AID (ex: ‘0000000000’) and the SM-DP SHOULD ignore the data, whatever the value is.</w:t>
      </w:r>
    </w:p>
    <w:p w14:paraId="3C9E5A12"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bookmarkEnd w:id="3690"/>
    </w:p>
    <w:tbl>
      <w:tblPr>
        <w:tblW w:w="938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65"/>
        <w:gridCol w:w="866"/>
        <w:gridCol w:w="839"/>
        <w:gridCol w:w="1174"/>
        <w:gridCol w:w="5636"/>
      </w:tblGrid>
      <w:tr w:rsidR="00B97365" w14:paraId="36DD81BF" w14:textId="77777777">
        <w:trPr>
          <w:trHeight w:val="342"/>
        </w:trPr>
        <w:tc>
          <w:tcPr>
            <w:tcW w:w="86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1F23B15" w14:textId="77777777" w:rsidR="00B97365" w:rsidRDefault="00000000">
            <w:pPr>
              <w:jc w:val="center"/>
              <w:rPr>
                <w:rFonts w:cs="Calibri"/>
                <w:b/>
                <w:color w:val="FFFFFF"/>
                <w:sz w:val="16"/>
                <w:szCs w:val="16"/>
              </w:rPr>
            </w:pPr>
            <w:r>
              <w:rPr>
                <w:rFonts w:cs="Calibri"/>
                <w:b/>
                <w:color w:val="FFFFFF"/>
                <w:sz w:val="16"/>
                <w:szCs w:val="16"/>
              </w:rPr>
              <w:t>Subject</w:t>
            </w:r>
          </w:p>
          <w:p w14:paraId="64D16699"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059F0D8" w14:textId="77777777" w:rsidR="00B97365" w:rsidRDefault="00000000">
            <w:pPr>
              <w:jc w:val="center"/>
              <w:rPr>
                <w:rFonts w:cs="Calibri"/>
                <w:b/>
                <w:color w:val="FFFFFF"/>
                <w:sz w:val="16"/>
                <w:szCs w:val="16"/>
              </w:rPr>
            </w:pPr>
            <w:r>
              <w:rPr>
                <w:rFonts w:cs="Calibri"/>
                <w:b/>
                <w:color w:val="FFFFFF"/>
                <w:sz w:val="16"/>
                <w:szCs w:val="16"/>
              </w:rPr>
              <w:t>Subject</w:t>
            </w:r>
          </w:p>
        </w:tc>
        <w:tc>
          <w:tcPr>
            <w:tcW w:w="83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5797293" w14:textId="77777777" w:rsidR="00B97365" w:rsidRDefault="00000000">
            <w:pPr>
              <w:jc w:val="center"/>
              <w:rPr>
                <w:rFonts w:cs="Calibri"/>
                <w:b/>
                <w:color w:val="FFFFFF"/>
                <w:sz w:val="16"/>
                <w:szCs w:val="16"/>
              </w:rPr>
            </w:pPr>
            <w:r>
              <w:rPr>
                <w:rFonts w:cs="Calibri"/>
                <w:b/>
                <w:color w:val="FFFFFF"/>
                <w:sz w:val="16"/>
                <w:szCs w:val="16"/>
              </w:rPr>
              <w:t>Reason</w:t>
            </w:r>
          </w:p>
          <w:p w14:paraId="3F2D3EA7"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5C970EC"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BFDE8EC"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50B3BC60" w14:textId="77777777">
        <w:trPr>
          <w:trHeight w:val="282"/>
        </w:trPr>
        <w:tc>
          <w:tcPr>
            <w:tcW w:w="866" w:type="dxa"/>
            <w:tcBorders>
              <w:top w:val="single" w:sz="6" w:space="0" w:color="auto"/>
              <w:left w:val="single" w:sz="4" w:space="0" w:color="auto"/>
              <w:bottom w:val="single" w:sz="6" w:space="0" w:color="auto"/>
              <w:right w:val="single" w:sz="6" w:space="0" w:color="auto"/>
            </w:tcBorders>
            <w:vAlign w:val="center"/>
            <w:hideMark/>
          </w:tcPr>
          <w:p w14:paraId="6AC75852"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7C943D1E" w14:textId="77777777" w:rsidR="00B97365" w:rsidRDefault="00000000">
            <w:pPr>
              <w:tabs>
                <w:tab w:val="right" w:pos="7938"/>
              </w:tabs>
              <w:ind w:left="470" w:hanging="459"/>
              <w:rPr>
                <w:rFonts w:cs="Calibri"/>
                <w:sz w:val="16"/>
                <w:szCs w:val="16"/>
              </w:rPr>
            </w:pPr>
            <w:r>
              <w:rPr>
                <w:rFonts w:cs="Calibri"/>
                <w:sz w:val="16"/>
                <w:szCs w:val="16"/>
              </w:rPr>
              <w:t>EID</w:t>
            </w:r>
          </w:p>
        </w:tc>
        <w:tc>
          <w:tcPr>
            <w:tcW w:w="839" w:type="dxa"/>
            <w:tcBorders>
              <w:top w:val="single" w:sz="6" w:space="0" w:color="auto"/>
              <w:left w:val="single" w:sz="6" w:space="0" w:color="auto"/>
              <w:bottom w:val="single" w:sz="6" w:space="0" w:color="auto"/>
              <w:right w:val="single" w:sz="6" w:space="0" w:color="auto"/>
            </w:tcBorders>
            <w:vAlign w:val="center"/>
            <w:hideMark/>
          </w:tcPr>
          <w:p w14:paraId="5DF9A780" w14:textId="77777777" w:rsidR="00B97365" w:rsidRDefault="00000000">
            <w:pPr>
              <w:tabs>
                <w:tab w:val="right" w:pos="7938"/>
              </w:tabs>
              <w:ind w:left="470" w:hanging="459"/>
              <w:jc w:val="center"/>
              <w:rPr>
                <w:rFonts w:cs="Calibri"/>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4D9BC03A" w14:textId="77777777" w:rsidR="00B97365" w:rsidRDefault="00000000">
            <w:pPr>
              <w:tabs>
                <w:tab w:val="right" w:pos="7938"/>
              </w:tabs>
              <w:ind w:left="470" w:hanging="459"/>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6B2A4C0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eUICC, identified by this EID, is unknown to the function provider</w:t>
            </w:r>
          </w:p>
        </w:tc>
      </w:tr>
      <w:tr w:rsidR="00B97365" w14:paraId="25579E59" w14:textId="77777777">
        <w:trPr>
          <w:trHeight w:val="282"/>
        </w:trPr>
        <w:tc>
          <w:tcPr>
            <w:tcW w:w="866" w:type="dxa"/>
            <w:tcBorders>
              <w:top w:val="single" w:sz="6" w:space="0" w:color="auto"/>
              <w:left w:val="single" w:sz="4" w:space="0" w:color="auto"/>
              <w:bottom w:val="single" w:sz="6" w:space="0" w:color="auto"/>
              <w:right w:val="single" w:sz="6" w:space="0" w:color="auto"/>
            </w:tcBorders>
            <w:vAlign w:val="center"/>
            <w:hideMark/>
          </w:tcPr>
          <w:p w14:paraId="1A4E9741" w14:textId="77777777" w:rsidR="00B97365" w:rsidRDefault="00000000">
            <w:pPr>
              <w:tabs>
                <w:tab w:val="right" w:pos="7938"/>
              </w:tabs>
              <w:ind w:left="470" w:hanging="459"/>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540D4D10" w14:textId="77777777" w:rsidR="00B97365" w:rsidRDefault="00000000">
            <w:pPr>
              <w:tabs>
                <w:tab w:val="right" w:pos="7938"/>
              </w:tabs>
              <w:ind w:firstLine="11"/>
              <w:rPr>
                <w:rFonts w:cs="Calibri"/>
                <w:sz w:val="16"/>
                <w:szCs w:val="16"/>
              </w:rPr>
            </w:pPr>
            <w:r>
              <w:rPr>
                <w:rFonts w:cs="Calibri"/>
                <w:sz w:val="16"/>
                <w:szCs w:val="16"/>
              </w:rPr>
              <w:t>Profile ICCID</w:t>
            </w:r>
          </w:p>
        </w:tc>
        <w:tc>
          <w:tcPr>
            <w:tcW w:w="839" w:type="dxa"/>
            <w:tcBorders>
              <w:top w:val="single" w:sz="6" w:space="0" w:color="auto"/>
              <w:left w:val="single" w:sz="6" w:space="0" w:color="auto"/>
              <w:bottom w:val="single" w:sz="6" w:space="0" w:color="auto"/>
              <w:right w:val="single" w:sz="6" w:space="0" w:color="auto"/>
            </w:tcBorders>
            <w:vAlign w:val="center"/>
            <w:hideMark/>
          </w:tcPr>
          <w:p w14:paraId="1D523E59" w14:textId="77777777" w:rsidR="00B97365" w:rsidRDefault="00000000">
            <w:pPr>
              <w:tabs>
                <w:tab w:val="right" w:pos="7938"/>
              </w:tabs>
              <w:ind w:left="470" w:hanging="459"/>
              <w:jc w:val="center"/>
              <w:rPr>
                <w:rFonts w:cs="Calibri"/>
                <w:sz w:val="16"/>
                <w:szCs w:val="16"/>
              </w:rPr>
            </w:pPr>
            <w:r>
              <w:rPr>
                <w:rFonts w:cs="Calibri"/>
                <w:sz w:val="16"/>
                <w:szCs w:val="16"/>
              </w:rPr>
              <w:t>3.3</w:t>
            </w:r>
          </w:p>
        </w:tc>
        <w:tc>
          <w:tcPr>
            <w:tcW w:w="0" w:type="auto"/>
            <w:tcBorders>
              <w:top w:val="single" w:sz="6" w:space="0" w:color="auto"/>
              <w:left w:val="single" w:sz="6" w:space="0" w:color="auto"/>
              <w:bottom w:val="single" w:sz="6" w:space="0" w:color="auto"/>
              <w:right w:val="single" w:sz="6" w:space="0" w:color="auto"/>
            </w:tcBorders>
            <w:vAlign w:val="center"/>
            <w:hideMark/>
          </w:tcPr>
          <w:p w14:paraId="772EA682" w14:textId="77777777" w:rsidR="00B97365" w:rsidRDefault="00000000">
            <w:pPr>
              <w:tabs>
                <w:tab w:val="right" w:pos="7938"/>
              </w:tabs>
              <w:ind w:left="470" w:hanging="459"/>
              <w:rPr>
                <w:rFonts w:cs="Calibri"/>
                <w:sz w:val="16"/>
                <w:szCs w:val="16"/>
              </w:rPr>
            </w:pPr>
            <w:r>
              <w:rPr>
                <w:rFonts w:cs="Calibri"/>
                <w:sz w:val="16"/>
                <w:szCs w:val="16"/>
              </w:rPr>
              <w:t>Already in use</w:t>
            </w:r>
          </w:p>
        </w:tc>
        <w:tc>
          <w:tcPr>
            <w:tcW w:w="0" w:type="auto"/>
            <w:tcBorders>
              <w:top w:val="single" w:sz="6" w:space="0" w:color="auto"/>
              <w:left w:val="single" w:sz="6" w:space="0" w:color="auto"/>
              <w:bottom w:val="single" w:sz="6" w:space="0" w:color="auto"/>
              <w:right w:val="single" w:sz="4" w:space="0" w:color="auto"/>
            </w:tcBorders>
            <w:vAlign w:val="center"/>
            <w:hideMark/>
          </w:tcPr>
          <w:p w14:paraId="53B6C2A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ICCID is already allocated to another Profile managed by the function provider.</w:t>
            </w:r>
          </w:p>
        </w:tc>
      </w:tr>
      <w:tr w:rsidR="00B97365" w14:paraId="0CA99A83" w14:textId="77777777">
        <w:trPr>
          <w:trHeight w:val="282"/>
        </w:trPr>
        <w:tc>
          <w:tcPr>
            <w:tcW w:w="866" w:type="dxa"/>
            <w:tcBorders>
              <w:top w:val="single" w:sz="6" w:space="0" w:color="auto"/>
              <w:left w:val="single" w:sz="4" w:space="0" w:color="auto"/>
              <w:bottom w:val="single" w:sz="6" w:space="0" w:color="auto"/>
              <w:right w:val="single" w:sz="6" w:space="0" w:color="auto"/>
            </w:tcBorders>
            <w:vAlign w:val="center"/>
            <w:hideMark/>
          </w:tcPr>
          <w:p w14:paraId="2D628FF4" w14:textId="77777777" w:rsidR="00B97365" w:rsidRDefault="00000000">
            <w:pPr>
              <w:tabs>
                <w:tab w:val="right" w:pos="7938"/>
              </w:tabs>
              <w:ind w:left="470" w:hanging="459"/>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6" w:space="0" w:color="auto"/>
              <w:right w:val="single" w:sz="6" w:space="0" w:color="auto"/>
            </w:tcBorders>
            <w:vAlign w:val="center"/>
            <w:hideMark/>
          </w:tcPr>
          <w:p w14:paraId="39395264" w14:textId="77777777" w:rsidR="00B97365" w:rsidRDefault="00000000">
            <w:pPr>
              <w:tabs>
                <w:tab w:val="right" w:pos="7938"/>
              </w:tabs>
              <w:ind w:left="470" w:hanging="459"/>
              <w:rPr>
                <w:rFonts w:cs="Calibri"/>
                <w:sz w:val="16"/>
                <w:szCs w:val="16"/>
              </w:rPr>
            </w:pPr>
            <w:r>
              <w:rPr>
                <w:rFonts w:cs="Calibri"/>
                <w:sz w:val="16"/>
                <w:szCs w:val="16"/>
              </w:rPr>
              <w:t>ISD-R</w:t>
            </w:r>
          </w:p>
        </w:tc>
        <w:tc>
          <w:tcPr>
            <w:tcW w:w="839" w:type="dxa"/>
            <w:tcBorders>
              <w:top w:val="single" w:sz="6" w:space="0" w:color="auto"/>
              <w:left w:val="single" w:sz="6" w:space="0" w:color="auto"/>
              <w:bottom w:val="single" w:sz="6" w:space="0" w:color="auto"/>
              <w:right w:val="single" w:sz="6" w:space="0" w:color="auto"/>
            </w:tcBorders>
            <w:vAlign w:val="center"/>
            <w:hideMark/>
          </w:tcPr>
          <w:p w14:paraId="671A9C7E" w14:textId="77777777" w:rsidR="00B97365" w:rsidRDefault="00000000">
            <w:pPr>
              <w:tabs>
                <w:tab w:val="right" w:pos="7938"/>
              </w:tabs>
              <w:ind w:left="470" w:hanging="459"/>
              <w:jc w:val="center"/>
              <w:rPr>
                <w:rFonts w:cs="Calibri"/>
                <w:sz w:val="16"/>
                <w:szCs w:val="16"/>
              </w:rPr>
            </w:pPr>
            <w:r>
              <w:rPr>
                <w:rFonts w:cs="Calibri"/>
                <w:sz w:val="16"/>
                <w:szCs w:val="16"/>
              </w:rPr>
              <w:t>4.2</w:t>
            </w:r>
          </w:p>
        </w:tc>
        <w:tc>
          <w:tcPr>
            <w:tcW w:w="0" w:type="auto"/>
            <w:tcBorders>
              <w:top w:val="single" w:sz="6" w:space="0" w:color="auto"/>
              <w:left w:val="single" w:sz="6" w:space="0" w:color="auto"/>
              <w:bottom w:val="single" w:sz="6" w:space="0" w:color="auto"/>
              <w:right w:val="single" w:sz="6" w:space="0" w:color="auto"/>
            </w:tcBorders>
            <w:vAlign w:val="center"/>
            <w:hideMark/>
          </w:tcPr>
          <w:p w14:paraId="02F289A2" w14:textId="77777777" w:rsidR="00B97365" w:rsidRDefault="00000000">
            <w:pPr>
              <w:tabs>
                <w:tab w:val="right" w:pos="7938"/>
              </w:tabs>
              <w:ind w:left="470" w:hanging="459"/>
              <w:rPr>
                <w:rFonts w:cs="Calibri"/>
                <w:sz w:val="16"/>
                <w:szCs w:val="16"/>
              </w:rPr>
            </w:pPr>
            <w:r>
              <w:rPr>
                <w:rFonts w:cs="Calibri"/>
                <w:sz w:val="16"/>
                <w:szCs w:val="16"/>
              </w:rPr>
              <w:t>Execution error</w:t>
            </w:r>
          </w:p>
        </w:tc>
        <w:tc>
          <w:tcPr>
            <w:tcW w:w="0" w:type="auto"/>
            <w:tcBorders>
              <w:top w:val="single" w:sz="6" w:space="0" w:color="auto"/>
              <w:left w:val="single" w:sz="6" w:space="0" w:color="auto"/>
              <w:bottom w:val="single" w:sz="6" w:space="0" w:color="auto"/>
              <w:right w:val="single" w:sz="4" w:space="0" w:color="auto"/>
            </w:tcBorders>
            <w:vAlign w:val="center"/>
            <w:hideMark/>
          </w:tcPr>
          <w:p w14:paraId="2D96C8F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Error during execution of the creation command on the eUICC. In that case, the output data “euiccResponseData contains the exact response coming from the eUICC.</w:t>
            </w:r>
          </w:p>
        </w:tc>
      </w:tr>
      <w:tr w:rsidR="00B97365" w14:paraId="5FE12AA7" w14:textId="77777777">
        <w:trPr>
          <w:trHeight w:val="282"/>
        </w:trPr>
        <w:tc>
          <w:tcPr>
            <w:tcW w:w="866" w:type="dxa"/>
            <w:tcBorders>
              <w:top w:val="single" w:sz="6" w:space="0" w:color="auto"/>
              <w:left w:val="single" w:sz="4" w:space="0" w:color="auto"/>
              <w:bottom w:val="single" w:sz="4" w:space="0" w:color="auto"/>
              <w:right w:val="single" w:sz="6" w:space="0" w:color="auto"/>
            </w:tcBorders>
            <w:vAlign w:val="center"/>
            <w:hideMark/>
          </w:tcPr>
          <w:p w14:paraId="61993CB9" w14:textId="77777777" w:rsidR="00B97365" w:rsidRDefault="00000000">
            <w:pPr>
              <w:jc w:val="center"/>
              <w:rPr>
                <w:rFonts w:cs="Calibri"/>
                <w:sz w:val="16"/>
                <w:szCs w:val="16"/>
              </w:rPr>
            </w:pPr>
            <w:r>
              <w:rPr>
                <w:rFonts w:cs="Calibri"/>
                <w:sz w:val="16"/>
                <w:szCs w:val="16"/>
              </w:rPr>
              <w:t>8.1</w:t>
            </w:r>
          </w:p>
        </w:tc>
        <w:tc>
          <w:tcPr>
            <w:tcW w:w="0" w:type="auto"/>
            <w:tcBorders>
              <w:top w:val="single" w:sz="6" w:space="0" w:color="auto"/>
              <w:left w:val="single" w:sz="6" w:space="0" w:color="auto"/>
              <w:bottom w:val="single" w:sz="4" w:space="0" w:color="auto"/>
              <w:right w:val="single" w:sz="6" w:space="0" w:color="auto"/>
            </w:tcBorders>
            <w:vAlign w:val="center"/>
            <w:hideMark/>
          </w:tcPr>
          <w:p w14:paraId="4EBB7AB2" w14:textId="77777777" w:rsidR="00B97365" w:rsidRDefault="00000000">
            <w:pPr>
              <w:rPr>
                <w:rFonts w:cs="Calibri"/>
                <w:sz w:val="16"/>
                <w:szCs w:val="16"/>
              </w:rPr>
            </w:pPr>
            <w:r>
              <w:rPr>
                <w:rFonts w:cs="Calibri"/>
                <w:sz w:val="16"/>
                <w:szCs w:val="16"/>
              </w:rPr>
              <w:t>eUICC</w:t>
            </w:r>
          </w:p>
        </w:tc>
        <w:tc>
          <w:tcPr>
            <w:tcW w:w="839" w:type="dxa"/>
            <w:tcBorders>
              <w:top w:val="single" w:sz="6" w:space="0" w:color="auto"/>
              <w:left w:val="single" w:sz="6" w:space="0" w:color="auto"/>
              <w:bottom w:val="single" w:sz="4" w:space="0" w:color="auto"/>
              <w:right w:val="single" w:sz="6" w:space="0" w:color="auto"/>
            </w:tcBorders>
            <w:vAlign w:val="center"/>
            <w:hideMark/>
          </w:tcPr>
          <w:p w14:paraId="095ED150" w14:textId="77777777" w:rsidR="00B97365" w:rsidRDefault="00000000">
            <w:pPr>
              <w:jc w:val="center"/>
              <w:rPr>
                <w:rFonts w:cs="Calibri"/>
                <w:sz w:val="16"/>
                <w:szCs w:val="16"/>
              </w:rPr>
            </w:pPr>
            <w:r>
              <w:rPr>
                <w:rFonts w:cs="Calibri"/>
                <w:sz w:val="16"/>
                <w:szCs w:val="16"/>
              </w:rPr>
              <w:t>4.8</w:t>
            </w:r>
          </w:p>
        </w:tc>
        <w:tc>
          <w:tcPr>
            <w:tcW w:w="0" w:type="auto"/>
            <w:tcBorders>
              <w:top w:val="single" w:sz="6" w:space="0" w:color="auto"/>
              <w:left w:val="single" w:sz="6" w:space="0" w:color="auto"/>
              <w:bottom w:val="single" w:sz="4" w:space="0" w:color="auto"/>
              <w:right w:val="single" w:sz="6" w:space="0" w:color="auto"/>
            </w:tcBorders>
            <w:vAlign w:val="center"/>
            <w:hideMark/>
          </w:tcPr>
          <w:p w14:paraId="1590AAF4" w14:textId="77777777" w:rsidR="00B97365" w:rsidRDefault="00000000">
            <w:pPr>
              <w:rPr>
                <w:rFonts w:cs="Calibri"/>
                <w:sz w:val="16"/>
                <w:szCs w:val="16"/>
              </w:rPr>
            </w:pPr>
            <w:r>
              <w:rPr>
                <w:rFonts w:cs="Calibri"/>
                <w:sz w:val="16"/>
                <w:szCs w:val="16"/>
              </w:rPr>
              <w:t>Insufficient memory</w:t>
            </w:r>
          </w:p>
        </w:tc>
        <w:tc>
          <w:tcPr>
            <w:tcW w:w="0" w:type="auto"/>
            <w:tcBorders>
              <w:top w:val="single" w:sz="6" w:space="0" w:color="auto"/>
              <w:left w:val="single" w:sz="6" w:space="0" w:color="auto"/>
              <w:bottom w:val="single" w:sz="4" w:space="0" w:color="auto"/>
              <w:right w:val="single" w:sz="4" w:space="0" w:color="auto"/>
            </w:tcBorders>
            <w:vAlign w:val="center"/>
            <w:hideMark/>
          </w:tcPr>
          <w:p w14:paraId="69FB11A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The eUICC has not enough free memory to execute the creation of the new ISD-P with this required amount of memory.</w:t>
            </w:r>
          </w:p>
        </w:tc>
      </w:tr>
    </w:tbl>
    <w:p w14:paraId="5C2E3397"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Create ISD-P Specific Status Codes</w:t>
      </w:r>
    </w:p>
    <w:p w14:paraId="737E0969" w14:textId="77777777" w:rsidR="00B97365" w:rsidRDefault="00B97365">
      <w:pPr>
        <w:rPr>
          <w:rFonts w:cs="Calibri"/>
          <w:i/>
        </w:rPr>
      </w:pPr>
    </w:p>
    <w:p w14:paraId="453BEE0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691" w:name="_Toc352671583"/>
      <w:bookmarkStart w:id="3692" w:name="_Toc448998271"/>
      <w:bookmarkStart w:id="3693" w:name="_Toc422150747"/>
      <w:bookmarkStart w:id="3694" w:name="_Toc421874332"/>
      <w:bookmarkStart w:id="3695" w:name="_Toc420594776"/>
      <w:bookmarkStart w:id="3696" w:name="_Toc398214873"/>
      <w:bookmarkStart w:id="3697" w:name="_Toc375158289"/>
      <w:bookmarkStart w:id="3698" w:name="_Toc368932298"/>
      <w:bookmarkStart w:id="3699" w:name="_Ref367978539"/>
      <w:bookmarkStart w:id="3700" w:name="_Ref367978531"/>
      <w:bookmarkStart w:id="3701" w:name="_Ref367970469"/>
      <w:bookmarkStart w:id="3702" w:name="_Ref367970327"/>
      <w:bookmarkStart w:id="3703" w:name="_Toc486332889"/>
      <w:bookmarkStart w:id="3704" w:name="_Toc1977381"/>
      <w:bookmarkStart w:id="3705" w:name="_Toc37062540"/>
      <w:bookmarkStart w:id="3706" w:name="_Toc88839614"/>
      <w:bookmarkStart w:id="3707" w:name="_Toc121504022"/>
      <w:bookmarkStart w:id="3708" w:name="_Toc345955221"/>
      <w:bookmarkStart w:id="3709" w:name="_Ref346617942"/>
      <w:bookmarkEnd w:id="3649"/>
      <w:r>
        <w:rPr>
          <w:rFonts w:eastAsia="Times New Roman" w:cs="Arial"/>
          <w:b/>
          <w:sz w:val="24"/>
          <w:szCs w:val="26"/>
          <w:lang w:eastAsia="en-US"/>
        </w:rPr>
        <w:t>Download</w:t>
      </w:r>
      <w:r>
        <w:rPr>
          <w:rFonts w:eastAsia="Times New Roman" w:cs="Arial"/>
          <w:b/>
          <w:bCs/>
          <w:iCs/>
          <w:sz w:val="24"/>
          <w:szCs w:val="26"/>
          <w:lang w:eastAsia="en-US"/>
        </w:rPr>
        <w:t xml:space="preserve"> a New Profile</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14:paraId="2726E672" w14:textId="77777777" w:rsidR="00B97365" w:rsidRDefault="00000000">
      <w:pPr>
        <w:spacing w:before="0" w:after="200" w:line="276" w:lineRule="auto"/>
        <w:jc w:val="left"/>
        <w:rPr>
          <w:szCs w:val="22"/>
          <w:lang w:val="en-US" w:eastAsia="en-GB" w:bidi="ar-SA"/>
        </w:rPr>
      </w:pPr>
      <w:bookmarkStart w:id="3710" w:name="_Toc420594777"/>
      <w:r>
        <w:rPr>
          <w:rFonts w:cs="Arial"/>
          <w:b/>
          <w:szCs w:val="22"/>
          <w:lang w:val="en-US" w:eastAsia="en-GB" w:bidi="ar-SA"/>
        </w:rPr>
        <w:t>Function name:</w:t>
      </w:r>
      <w:r>
        <w:rPr>
          <w:szCs w:val="22"/>
          <w:lang w:val="en-US" w:eastAsia="en-GB" w:bidi="ar-SA"/>
        </w:rPr>
        <w:t xml:space="preserve"> SendData</w:t>
      </w:r>
      <w:bookmarkEnd w:id="3710"/>
    </w:p>
    <w:p w14:paraId="1A6378D6" w14:textId="77777777" w:rsidR="00B97365" w:rsidRDefault="00000000">
      <w:pPr>
        <w:spacing w:before="0" w:after="200" w:line="276" w:lineRule="auto"/>
        <w:jc w:val="left"/>
        <w:rPr>
          <w:szCs w:val="22"/>
          <w:lang w:val="en-US" w:eastAsia="en-GB" w:bidi="ar-SA"/>
        </w:rPr>
      </w:pPr>
      <w:bookmarkStart w:id="3711" w:name="_Toc420594778"/>
      <w:r>
        <w:rPr>
          <w:rFonts w:cs="Arial"/>
          <w:b/>
          <w:szCs w:val="22"/>
          <w:lang w:val="en-US" w:eastAsia="en-GB" w:bidi="ar-SA"/>
        </w:rPr>
        <w:t>Related Procedures:</w:t>
      </w:r>
      <w:r>
        <w:rPr>
          <w:szCs w:val="22"/>
          <w:lang w:val="en-US" w:eastAsia="en-GB" w:bidi="ar-SA"/>
        </w:rPr>
        <w:t xml:space="preserve"> Profile Download and Installation</w:t>
      </w:r>
      <w:bookmarkEnd w:id="3711"/>
    </w:p>
    <w:p w14:paraId="751F5FE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4FAF7A5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19F5FA0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SM-DP to send securely commands defined in ES8 interface (i.e.: Profile download or establish a key set) to an ISD-P or the ISD-R through the SM-SR in charge of the management of the targeted eUICC; eUICC being identified by its EID.</w:t>
      </w:r>
    </w:p>
    <w:p w14:paraId="0C86D4BD" w14:textId="77777777" w:rsidR="00B97365" w:rsidRDefault="00000000">
      <w:pPr>
        <w:spacing w:before="0" w:after="200" w:line="276" w:lineRule="auto"/>
        <w:jc w:val="left"/>
        <w:rPr>
          <w:b/>
          <w:szCs w:val="22"/>
          <w:u w:val="single"/>
          <w:lang w:val="en-US" w:eastAsia="en-GB" w:bidi="ar-SA"/>
        </w:rPr>
      </w:pPr>
      <w:bookmarkStart w:id="3712" w:name="_Toc420594779"/>
      <w:r>
        <w:rPr>
          <w:rFonts w:cs="Arial"/>
          <w:b/>
          <w:szCs w:val="22"/>
          <w:u w:val="single"/>
          <w:lang w:val="en-US" w:eastAsia="en-GB" w:bidi="ar-SA"/>
        </w:rPr>
        <w:t>Function flow</w:t>
      </w:r>
      <w:bookmarkEnd w:id="3712"/>
    </w:p>
    <w:p w14:paraId="2B9C0E7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Upon reception of the function request, the SM-SR SHALL perform the following minimum set of verifications:</w:t>
      </w:r>
    </w:p>
    <w:p w14:paraId="1CE46AE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SM-SR is responsible for the management of the targeted eUICC.</w:t>
      </w:r>
    </w:p>
    <w:p w14:paraId="01E5570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targeted ISD-P (designated in the sd-aid or in the commands) is created on the eUICC and is managed by the calling SM-DP.</w:t>
      </w:r>
    </w:p>
    <w:p w14:paraId="5647F20B" w14:textId="370A4196"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If the SM-DP requests to send the commands to the ISD-R: the commands are </w:t>
      </w:r>
      <w:r>
        <w:t xml:space="preserve">allowed to be executed by ISD-R, including ISD-P key establishment as described in section </w:t>
      </w:r>
      <w:r>
        <w:fldChar w:fldCharType="begin"/>
      </w:r>
      <w:r>
        <w:instrText xml:space="preserve"> REF _Ref534204070 \r \h </w:instrText>
      </w:r>
      <w:r>
        <w:fldChar w:fldCharType="separate"/>
      </w:r>
      <w:r w:rsidR="001D5AD9">
        <w:t>4.1.3.1</w:t>
      </w:r>
      <w:r>
        <w:fldChar w:fldCharType="end"/>
      </w:r>
      <w:r>
        <w:rPr>
          <w:szCs w:val="22"/>
          <w:lang w:eastAsia="en-GB" w:bidi="ar-SA"/>
        </w:rPr>
        <w:t>.</w:t>
      </w:r>
    </w:p>
    <w:p w14:paraId="211D75AE"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NOTE1:</w:t>
      </w:r>
      <w:r>
        <w:rPr>
          <w:szCs w:val="22"/>
          <w:lang w:val="en-US" w:eastAsia="en-GB" w:bidi="ar-SA"/>
        </w:rPr>
        <w:tab/>
        <w:t>this verification implies the parsing and analysing of the commands.</w:t>
      </w:r>
    </w:p>
    <w:p w14:paraId="02384AFD"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NOTE2:</w:t>
      </w:r>
      <w:r>
        <w:rPr>
          <w:szCs w:val="22"/>
          <w:lang w:val="en-US" w:eastAsia="en-GB" w:bidi="ar-SA"/>
        </w:rPr>
        <w:tab/>
        <w:t>this verification allows to prevent the SM-DP to perform arbitrary operations in the ISD-R</w:t>
      </w:r>
    </w:p>
    <w:p w14:paraId="44A176E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MAY provide additional verifications.</w:t>
      </w:r>
    </w:p>
    <w:p w14:paraId="015BF94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case one of these conditions is not satisfied, the SM-SR SHALL refuse the function request and return a ‘Function execution status’ indicating ‘Failed’ with the relevant status code (see table below).</w:t>
      </w:r>
    </w:p>
    <w:p w14:paraId="407601F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function allows sending commands defined in the ES8 interface in several steps. This may be necessary in case of the data is too big compared to eUICC capabilities. It is up to the function caller to determine if it has to handle this situation based on the eUICC capabilities described in EIS. </w:t>
      </w:r>
    </w:p>
    <w:p w14:paraId="0A3621EC" w14:textId="78BFD8A3"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is free to select the most relevant OTA protocol to communicate up to the eUICC. As a consequence, the data format provided by the function caller SHALL NOT depend of the selected OTA protocol capabilities (for example SM-DP can consider there is no limit on data length). The data provided by the SM-DP SHALL be a list of C-APDU as defined in ETSI TS 102 226 </w:t>
      </w:r>
      <w:r>
        <w:fldChar w:fldCharType="begin"/>
      </w:r>
      <w:r>
        <w:rPr>
          <w:szCs w:val="22"/>
          <w:lang w:val="en-US" w:eastAsia="en-GB" w:bidi="ar-SA"/>
        </w:rPr>
        <w:instrText xml:space="preserve"> REF _Ref421631444 \r \h </w:instrText>
      </w:r>
      <w:r>
        <w:fldChar w:fldCharType="separate"/>
      </w:r>
      <w:r w:rsidR="001D5AD9">
        <w:rPr>
          <w:szCs w:val="22"/>
          <w:lang w:val="en-US" w:eastAsia="en-GB" w:bidi="ar-SA"/>
        </w:rPr>
        <w:t>[5]</w:t>
      </w:r>
      <w:r>
        <w:fldChar w:fldCharType="end"/>
      </w:r>
      <w:r>
        <w:rPr>
          <w:szCs w:val="22"/>
          <w:lang w:val="en-US" w:eastAsia="en-GB" w:bidi="ar-SA"/>
        </w:rPr>
        <w:t xml:space="preserve"> section 5.2.1, or TLV commands as defined in this document, section </w:t>
      </w:r>
      <w:r>
        <w:rPr>
          <w:szCs w:val="22"/>
          <w:lang w:val="en-US" w:eastAsia="en-GB" w:bidi="ar-SA"/>
        </w:rPr>
        <w:fldChar w:fldCharType="begin"/>
      </w:r>
      <w:r>
        <w:rPr>
          <w:szCs w:val="22"/>
          <w:lang w:val="en-US" w:eastAsia="en-GB" w:bidi="ar-SA"/>
        </w:rPr>
        <w:instrText xml:space="preserve"> REF _Ref534204222 \r \h </w:instrText>
      </w:r>
      <w:r>
        <w:rPr>
          <w:szCs w:val="22"/>
          <w:lang w:val="en-US" w:eastAsia="en-GB" w:bidi="ar-SA"/>
        </w:rPr>
      </w:r>
      <w:r>
        <w:rPr>
          <w:szCs w:val="22"/>
          <w:lang w:val="en-US" w:eastAsia="en-GB" w:bidi="ar-SA"/>
        </w:rPr>
        <w:fldChar w:fldCharType="separate"/>
      </w:r>
      <w:r w:rsidR="001D5AD9">
        <w:rPr>
          <w:szCs w:val="22"/>
          <w:lang w:val="en-US" w:eastAsia="en-GB" w:bidi="ar-SA"/>
        </w:rPr>
        <w:t>4.1.3.3</w:t>
      </w:r>
      <w:r>
        <w:rPr>
          <w:szCs w:val="22"/>
          <w:lang w:val="en-US" w:eastAsia="en-GB" w:bidi="ar-SA"/>
        </w:rPr>
        <w:fldChar w:fldCharType="end"/>
      </w:r>
      <w:r>
        <w:rPr>
          <w:szCs w:val="22"/>
          <w:lang w:val="en-US" w:eastAsia="en-GB" w:bidi="ar-SA"/>
        </w:rPr>
        <w:t>. The SM-SR has the responsibility to build the final Command script, depending on eUICC capabilities and selected protocol:</w:t>
      </w:r>
    </w:p>
    <w:p w14:paraId="59C01AB9"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by adding the Command scripting template for definite or indefinite length, </w:t>
      </w:r>
    </w:p>
    <w:p w14:paraId="39CE09B1"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and, if necessary, by segmenting the provided command script into several pieces</w:t>
      </w:r>
    </w:p>
    <w:p w14:paraId="3056A704"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and, if necessary, by adding the relevant Script Chaining TLVs.</w:t>
      </w:r>
    </w:p>
    <w:p w14:paraId="07520485" w14:textId="1C6F88E7" w:rsidR="00B97365" w:rsidRDefault="00000000">
      <w:pPr>
        <w:spacing w:before="0" w:after="200" w:line="276" w:lineRule="auto"/>
        <w:jc w:val="left"/>
        <w:rPr>
          <w:szCs w:val="22"/>
          <w:lang w:val="en-US" w:eastAsia="en-GB" w:bidi="ar-SA"/>
        </w:rPr>
      </w:pPr>
      <w:r>
        <w:rPr>
          <w:szCs w:val="22"/>
          <w:lang w:val="en-US" w:eastAsia="en-GB" w:bidi="ar-SA"/>
        </w:rPr>
        <w:fldChar w:fldCharType="begin"/>
      </w:r>
      <w:r>
        <w:rPr>
          <w:szCs w:val="22"/>
          <w:lang w:val="en-US" w:eastAsia="en-GB" w:bidi="ar-SA"/>
        </w:rPr>
        <w:instrText xml:space="preserve"> REF _Ref479326170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Annex K</w:t>
      </w:r>
      <w:r>
        <w:rPr>
          <w:szCs w:val="22"/>
          <w:lang w:val="en-US" w:eastAsia="en-GB" w:bidi="ar-SA"/>
        </w:rPr>
        <w:fldChar w:fldCharType="end"/>
      </w:r>
      <w:r>
        <w:rPr>
          <w:szCs w:val="22"/>
          <w:lang w:val="en-US" w:eastAsia="en-GB" w:bidi="ar-SA"/>
        </w:rPr>
        <w:t xml:space="preserve"> provides a description of heuristics that MAY be used to implement Script Chaining.</w:t>
      </w:r>
    </w:p>
    <w:p w14:paraId="7084216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8026A6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function has been successfully executed by the function provider as requested by the function caller. </w:t>
      </w:r>
    </w:p>
    <w:p w14:paraId="2FB7A564" w14:textId="26741089"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_Ref367974350 \r \h  \* MERGEFORMAT </w:instrText>
      </w:r>
      <w:r>
        <w:fldChar w:fldCharType="separate"/>
      </w:r>
      <w:r w:rsidR="001D5AD9" w:rsidRPr="001D5AD9">
        <w:rPr>
          <w:szCs w:val="22"/>
          <w:lang w:eastAsia="en-GB" w:bidi="ar-SA"/>
        </w:rPr>
        <w:t>5.1.6.4</w:t>
      </w:r>
      <w:r>
        <w:fldChar w:fldCharType="end"/>
      </w:r>
    </w:p>
    <w:p w14:paraId="3350AFDE" w14:textId="37F7A93F"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_Ref367974359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39779684" w14:textId="77777777" w:rsidR="00B97365" w:rsidRDefault="00B97365">
      <w:pPr>
        <w:tabs>
          <w:tab w:val="left" w:pos="680"/>
        </w:tabs>
        <w:spacing w:before="0" w:after="200" w:line="276" w:lineRule="auto"/>
        <w:contextualSpacing/>
        <w:jc w:val="left"/>
        <w:rPr>
          <w:rFonts w:cs="Arial"/>
          <w:szCs w:val="22"/>
          <w:lang w:eastAsia="en-GB" w:bidi="ar-SA"/>
        </w:rPr>
      </w:pPr>
    </w:p>
    <w:p w14:paraId="3BD608A4" w14:textId="77777777" w:rsidR="00B97365" w:rsidRDefault="00000000">
      <w:pPr>
        <w:spacing w:before="0" w:after="200" w:line="276" w:lineRule="auto"/>
        <w:jc w:val="left"/>
        <w:rPr>
          <w:b/>
          <w:i/>
          <w:szCs w:val="22"/>
          <w:lang w:val="en-US" w:eastAsia="en-GB" w:bidi="ar-SA"/>
        </w:rPr>
      </w:pPr>
      <w:bookmarkStart w:id="3713" w:name="_Toc420594780"/>
      <w:r>
        <w:rPr>
          <w:rFonts w:cs="Arial"/>
          <w:b/>
          <w:i/>
          <w:szCs w:val="22"/>
          <w:lang w:val="en-US" w:eastAsia="en-GB" w:bidi="ar-SA"/>
        </w:rPr>
        <w:t>Additional input data:</w:t>
      </w:r>
      <w:bookmarkEnd w:id="3713"/>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13"/>
        <w:gridCol w:w="5917"/>
        <w:gridCol w:w="1174"/>
        <w:gridCol w:w="398"/>
        <w:gridCol w:w="514"/>
      </w:tblGrid>
      <w:tr w:rsidR="00B97365" w14:paraId="24428D3C"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D16486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lastRenderedPageBreak/>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AE3920B"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766A3E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7AAFB7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57E95B8"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6E1FCA8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831050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B9A82E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719DD6CC" w14:textId="204591F4"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_Ref367974372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F46578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897D26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36F410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9EC52D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4A923A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sd-aid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7C8FD74" w14:textId="77777777" w:rsidR="00B97365" w:rsidRDefault="00000000">
            <w:pPr>
              <w:spacing w:before="0" w:after="200" w:line="276" w:lineRule="auto"/>
              <w:jc w:val="left"/>
              <w:rPr>
                <w:rFonts w:cs="Calibri"/>
                <w:sz w:val="16"/>
                <w:szCs w:val="16"/>
                <w:highlight w:val="green"/>
                <w:lang w:val="en-US" w:eastAsia="en-GB" w:bidi="ar-SA"/>
              </w:rPr>
            </w:pPr>
            <w:r>
              <w:rPr>
                <w:rFonts w:cs="Calibri"/>
                <w:sz w:val="16"/>
                <w:szCs w:val="16"/>
                <w:lang w:val="en-US" w:eastAsia="en-GB" w:bidi="ar-SA"/>
              </w:rPr>
              <w:t xml:space="preserve">Identification of the SD which SHALL process the commands contained in the data argument. </w:t>
            </w:r>
            <w:r>
              <w:rPr>
                <w:rFonts w:cs="Calibri"/>
                <w:sz w:val="16"/>
                <w:szCs w:val="16"/>
                <w:lang w:eastAsia="en-GB" w:bidi="ar-SA"/>
              </w:rPr>
              <w:t xml:space="preserve">sd-aid could identify either the </w:t>
            </w:r>
            <w:r>
              <w:rPr>
                <w:rFonts w:cs="Calibri"/>
                <w:sz w:val="16"/>
                <w:szCs w:val="16"/>
                <w:lang w:val="en-US" w:eastAsia="en-GB" w:bidi="ar-SA"/>
              </w:rPr>
              <w:t>ISD-P or the ISD-R.</w:t>
            </w:r>
          </w:p>
        </w:tc>
        <w:tc>
          <w:tcPr>
            <w:tcW w:w="0" w:type="auto"/>
            <w:tcBorders>
              <w:top w:val="single" w:sz="6" w:space="0" w:color="auto"/>
              <w:left w:val="single" w:sz="6" w:space="0" w:color="auto"/>
              <w:bottom w:val="single" w:sz="6" w:space="0" w:color="auto"/>
              <w:right w:val="single" w:sz="6" w:space="0" w:color="auto"/>
            </w:tcBorders>
            <w:vAlign w:val="center"/>
            <w:hideMark/>
          </w:tcPr>
          <w:p w14:paraId="74B031CA" w14:textId="77777777" w:rsidR="00B97365" w:rsidRDefault="00000000">
            <w:pPr>
              <w:spacing w:before="0" w:after="200" w:line="276" w:lineRule="auto"/>
              <w:jc w:val="center"/>
              <w:rPr>
                <w:rFonts w:cs="Calibri"/>
                <w:b/>
                <w:bCs/>
                <w:iCs/>
                <w:sz w:val="16"/>
                <w:szCs w:val="16"/>
                <w:lang w:eastAsia="en-GB" w:bidi="ar-SA"/>
              </w:rPr>
            </w:pPr>
            <w:r>
              <w:rPr>
                <w:rFonts w:cs="Calibri"/>
                <w:sz w:val="16"/>
                <w:szCs w:val="16"/>
                <w:lang w:eastAsia="en-GB" w:bidi="ar-SA"/>
              </w:rPr>
              <w:t>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6730CE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6C2601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5D65A995" w14:textId="77777777">
        <w:trPr>
          <w:trHeight w:val="1390"/>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A32630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0A0D355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The data to send into the targeted ISD-P and eUICC.</w:t>
            </w:r>
          </w:p>
          <w:p w14:paraId="37C34C5A" w14:textId="70AF63D0" w:rsidR="00B97365" w:rsidRDefault="00000000">
            <w:pPr>
              <w:spacing w:before="0" w:after="200" w:line="276" w:lineRule="auto"/>
              <w:jc w:val="left"/>
              <w:rPr>
                <w:rFonts w:cs="Calibri"/>
                <w:sz w:val="16"/>
                <w:szCs w:val="16"/>
                <w:lang w:eastAsia="en-GB" w:bidi="ar-SA"/>
              </w:rPr>
            </w:pPr>
            <w:r>
              <w:rPr>
                <w:rFonts w:cs="Calibri"/>
                <w:sz w:val="16"/>
                <w:szCs w:val="16"/>
                <w:lang w:val="en-US" w:eastAsia="en-GB" w:bidi="ar-SA"/>
              </w:rPr>
              <w:t xml:space="preserve">The data SHALL contain a list a C-APDU as defined in ETSI TS 102 226 </w:t>
            </w:r>
            <w:r>
              <w:fldChar w:fldCharType="begin"/>
            </w:r>
            <w:r>
              <w:rPr>
                <w:rFonts w:cs="Calibri"/>
                <w:sz w:val="16"/>
                <w:szCs w:val="16"/>
                <w:lang w:val="en-US" w:eastAsia="en-GB" w:bidi="ar-SA"/>
              </w:rPr>
              <w:instrText xml:space="preserve"> REF _Ref421631444 \r \h </w:instrText>
            </w:r>
            <w:r>
              <w:fldChar w:fldCharType="separate"/>
            </w:r>
            <w:r w:rsidR="001D5AD9">
              <w:rPr>
                <w:rFonts w:cs="Calibri"/>
                <w:sz w:val="16"/>
                <w:szCs w:val="16"/>
                <w:lang w:val="en-US" w:eastAsia="en-GB" w:bidi="ar-SA"/>
              </w:rPr>
              <w:t>[5]</w:t>
            </w:r>
            <w:r>
              <w:fldChar w:fldCharType="end"/>
            </w:r>
            <w:r>
              <w:rPr>
                <w:rFonts w:cs="Calibri"/>
                <w:sz w:val="16"/>
                <w:szCs w:val="16"/>
                <w:lang w:val="en-US" w:eastAsia="en-GB" w:bidi="ar-SA"/>
              </w:rPr>
              <w:t xml:space="preserve">, section 5.2.1 or TLV commands as defined in this document, section </w:t>
            </w:r>
            <w:r>
              <w:rPr>
                <w:rFonts w:cs="Calibri"/>
                <w:sz w:val="16"/>
                <w:szCs w:val="16"/>
                <w:lang w:val="en-US" w:eastAsia="en-GB" w:bidi="ar-SA"/>
              </w:rPr>
              <w:fldChar w:fldCharType="begin"/>
            </w:r>
            <w:r>
              <w:rPr>
                <w:rFonts w:cs="Calibri"/>
                <w:sz w:val="16"/>
                <w:szCs w:val="16"/>
                <w:lang w:val="en-US" w:eastAsia="en-GB" w:bidi="ar-SA"/>
              </w:rPr>
              <w:instrText xml:space="preserve"> REF _Ref534204222 \r \h </w:instrText>
            </w:r>
            <w:r>
              <w:rPr>
                <w:rFonts w:cs="Calibri"/>
                <w:sz w:val="16"/>
                <w:szCs w:val="16"/>
                <w:lang w:val="en-US" w:eastAsia="en-GB" w:bidi="ar-SA"/>
              </w:rPr>
            </w:r>
            <w:r>
              <w:rPr>
                <w:rFonts w:cs="Calibri"/>
                <w:sz w:val="16"/>
                <w:szCs w:val="16"/>
                <w:lang w:val="en-US" w:eastAsia="en-GB" w:bidi="ar-SA"/>
              </w:rPr>
              <w:fldChar w:fldCharType="separate"/>
            </w:r>
            <w:r w:rsidR="001D5AD9">
              <w:rPr>
                <w:rFonts w:cs="Calibri"/>
                <w:sz w:val="16"/>
                <w:szCs w:val="16"/>
                <w:lang w:val="en-US" w:eastAsia="en-GB" w:bidi="ar-SA"/>
              </w:rPr>
              <w:t>4.1.3.3</w:t>
            </w:r>
            <w:r>
              <w:rPr>
                <w:rFonts w:cs="Calibri"/>
                <w:sz w:val="16"/>
                <w:szCs w:val="16"/>
                <w:lang w:val="en-US" w:eastAsia="en-GB" w:bidi="ar-SA"/>
              </w:rPr>
              <w:fldChar w:fldCharType="end"/>
            </w:r>
            <w:r>
              <w:rPr>
                <w:rFonts w:cs="Calibri"/>
                <w:sz w:val="16"/>
                <w:szCs w:val="16"/>
                <w:lang w:val="en-US" w:eastAsia="en-GB" w:bidi="ar-SA"/>
              </w:rPr>
              <w:t xml:space="preserve">. The C-APDU can contain any of the commands defined in ES8 interface. The commands SHALL be secured according to </w:t>
            </w:r>
            <w:r>
              <w:rPr>
                <w:rFonts w:cs="Calibri"/>
                <w:sz w:val="16"/>
                <w:szCs w:val="16"/>
                <w:lang w:eastAsia="en-GB" w:bidi="ar-SA"/>
              </w:rPr>
              <w:t>section</w:t>
            </w:r>
            <w:r>
              <w:t xml:space="preserve"> </w:t>
            </w:r>
            <w:r>
              <w:fldChar w:fldCharType="begin"/>
            </w:r>
            <w:r>
              <w:instrText xml:space="preserve"> REF _Ref445911253 \r \h </w:instrText>
            </w:r>
            <w:r>
              <w:fldChar w:fldCharType="separate"/>
            </w:r>
            <w:r w:rsidR="001D5AD9">
              <w:t>2.5</w:t>
            </w:r>
            <w:r>
              <w:fldChar w:fldCharType="end"/>
            </w:r>
            <w:r>
              <w:rPr>
                <w:rFonts w:cs="Calibri"/>
                <w:sz w:val="16"/>
                <w:szCs w:val="16"/>
                <w:lang w:val="en-US" w:eastAsia="en-GB" w:bidi="ar-S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5A54F00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Hexadecimal 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078A67B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3B9790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DE7BDE2"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027AC5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moreToDo</w:t>
            </w:r>
          </w:p>
        </w:tc>
        <w:tc>
          <w:tcPr>
            <w:tcW w:w="0" w:type="auto"/>
            <w:tcBorders>
              <w:top w:val="single" w:sz="6" w:space="0" w:color="auto"/>
              <w:left w:val="single" w:sz="6" w:space="0" w:color="auto"/>
              <w:bottom w:val="single" w:sz="4" w:space="0" w:color="auto"/>
              <w:right w:val="single" w:sz="6" w:space="0" w:color="auto"/>
            </w:tcBorders>
            <w:vAlign w:val="center"/>
            <w:hideMark/>
          </w:tcPr>
          <w:p w14:paraId="2D0C79ED" w14:textId="58D9E82D"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_Ref367974475 \r \h  \* MERGEFORMAT </w:instrText>
            </w:r>
            <w:r>
              <w:fldChar w:fldCharType="separate"/>
            </w:r>
            <w:r w:rsidR="001D5AD9" w:rsidRPr="001D5AD9">
              <w:rPr>
                <w:rFonts w:cs="Calibri"/>
                <w:sz w:val="16"/>
                <w:szCs w:val="16"/>
                <w:lang w:eastAsia="en-GB" w:bidi="ar-SA"/>
              </w:rPr>
              <w:t>5.4.3</w:t>
            </w:r>
            <w:r>
              <w:fldChar w:fldCharType="end"/>
            </w:r>
            <w:r>
              <w:rPr>
                <w:rFonts w:cs="Calibri"/>
                <w:sz w:val="16"/>
                <w:szCs w:val="16"/>
                <w:lang w:eastAsia="en-GB" w:bidi="ar-SA"/>
              </w:rPr>
              <w:t xml:space="preserve"> for description of this input 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52AE428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Boolean</w:t>
            </w:r>
          </w:p>
        </w:tc>
        <w:tc>
          <w:tcPr>
            <w:tcW w:w="0" w:type="auto"/>
            <w:tcBorders>
              <w:top w:val="single" w:sz="6" w:space="0" w:color="auto"/>
              <w:left w:val="single" w:sz="6" w:space="0" w:color="auto"/>
              <w:bottom w:val="single" w:sz="4" w:space="0" w:color="auto"/>
              <w:right w:val="single" w:sz="6" w:space="0" w:color="auto"/>
            </w:tcBorders>
            <w:vAlign w:val="center"/>
            <w:hideMark/>
          </w:tcPr>
          <w:p w14:paraId="023B0F3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EC2454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O</w:t>
            </w:r>
          </w:p>
        </w:tc>
      </w:tr>
    </w:tbl>
    <w:p w14:paraId="6E6C6DD3"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Send Data Additional Input Data</w:t>
      </w:r>
    </w:p>
    <w:p w14:paraId="50BE390E" w14:textId="77777777" w:rsidR="00B97365" w:rsidRDefault="00000000">
      <w:pPr>
        <w:rPr>
          <w:lang w:val="en-US" w:eastAsia="en-GB" w:bidi="ar-SA"/>
        </w:rPr>
      </w:pPr>
      <w:r>
        <w:rPr>
          <w:lang w:val="en-US" w:eastAsia="en-GB" w:bidi="ar-SA"/>
        </w:rPr>
        <w:t>Due to an ambiguity in former version of the specifications, an SM-DP following a former version of this document may send all commands of a Profile download procedure (including ISD-P key establishment commands) pointing the ISD-P as the targeted security domain (argument sd-aid). For backward-compatibility, the SM-SR SHOULD detect such cases, and support them by appropriately sending the commands to the ISD-R or the ISD-P.</w:t>
      </w:r>
    </w:p>
    <w:p w14:paraId="2C9F9C3D" w14:textId="77777777" w:rsidR="00B97365" w:rsidRDefault="00B97365">
      <w:pPr>
        <w:rPr>
          <w:lang w:val="en-US" w:eastAsia="en-GB" w:bidi="ar-SA"/>
        </w:rPr>
      </w:pPr>
    </w:p>
    <w:p w14:paraId="023994F3" w14:textId="77777777" w:rsidR="00B97365" w:rsidRDefault="00000000">
      <w:pPr>
        <w:spacing w:before="0" w:after="200" w:line="276" w:lineRule="auto"/>
        <w:jc w:val="left"/>
        <w:rPr>
          <w:b/>
          <w:i/>
          <w:szCs w:val="22"/>
          <w:lang w:val="en-US" w:eastAsia="en-GB" w:bidi="ar-SA"/>
        </w:rPr>
      </w:pPr>
      <w:bookmarkStart w:id="3714" w:name="_Toc420594781"/>
      <w:r>
        <w:rPr>
          <w:rFonts w:cs="Arial"/>
          <w:b/>
          <w:i/>
          <w:szCs w:val="22"/>
          <w:lang w:val="en-US" w:eastAsia="en-GB" w:bidi="ar-SA"/>
        </w:rPr>
        <w:t>Additional output data:</w:t>
      </w:r>
      <w:bookmarkEnd w:id="371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72"/>
        <w:gridCol w:w="5358"/>
        <w:gridCol w:w="1174"/>
        <w:gridCol w:w="398"/>
        <w:gridCol w:w="514"/>
      </w:tblGrid>
      <w:tr w:rsidR="00B97365" w14:paraId="5BE77F0E"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613D80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252CB9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D599BB3"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1B70A41"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6112C92"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77D2EB2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B0227C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7CBC17FD" w14:textId="77777777" w:rsidR="00B97365" w:rsidRDefault="00000000">
            <w:pPr>
              <w:spacing w:before="0" w:after="200" w:line="276" w:lineRule="auto"/>
              <w:jc w:val="left"/>
              <w:rPr>
                <w:rFonts w:cs="Calibri"/>
                <w:b/>
                <w:noProof/>
                <w:sz w:val="16"/>
                <w:szCs w:val="16"/>
                <w:lang w:eastAsia="en-GB" w:bidi="ar-SA"/>
              </w:rPr>
            </w:pPr>
            <w:r>
              <w:rPr>
                <w:rFonts w:cs="Calibri"/>
                <w:sz w:val="16"/>
                <w:szCs w:val="16"/>
                <w:lang w:eastAsia="en-GB" w:bidi="ar-SA"/>
              </w:rPr>
              <w:t xml:space="preserve">Contains </w:t>
            </w:r>
            <w:r>
              <w:rPr>
                <w:rFonts w:eastAsiaTheme="minorHAnsi" w:cs="Arial"/>
                <w:sz w:val="16"/>
                <w:szCs w:val="16"/>
                <w:lang w:val="en-US" w:eastAsia="en-GB" w:bidi="ar-SA"/>
              </w:rPr>
              <w:t xml:space="preserve">the Random Challenge (RC) </w:t>
            </w:r>
            <w:r>
              <w:rPr>
                <w:rFonts w:eastAsiaTheme="minorHAnsi" w:cs="Arial"/>
                <w:sz w:val="16"/>
                <w:szCs w:val="16"/>
                <w:lang w:val="en-US" w:eastAsia="en-US" w:bidi="ar-SA"/>
              </w:rPr>
              <w:t>in case of the key establishment proce</w:t>
            </w:r>
            <w:r>
              <w:rPr>
                <w:rFonts w:cs="Arial"/>
                <w:sz w:val="16"/>
                <w:szCs w:val="16"/>
              </w:rPr>
              <w:t>dure</w:t>
            </w:r>
            <w:r>
              <w:rPr>
                <w:rFonts w:cs="Calibri"/>
                <w:sz w:val="16"/>
                <w:szCs w:val="16"/>
                <w:lang w:eastAsia="en-GB"/>
              </w:rPr>
              <w:t xml:space="preserve"> or </w:t>
            </w:r>
            <w:r>
              <w:rPr>
                <w:rFonts w:cs="Calibri"/>
                <w:sz w:val="16"/>
                <w:szCs w:val="16"/>
                <w:lang w:eastAsia="en-GB" w:bidi="ar-SA"/>
              </w:rPr>
              <w:t>the detailed error returned by the eUICC in case of one command execution failed on eUICC. The response data is defined in ES8 depending of the requested function.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56F12EE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7DA2618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5985A9E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C</w:t>
            </w:r>
          </w:p>
        </w:tc>
      </w:tr>
    </w:tbl>
    <w:p w14:paraId="71957118"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Send Data Additional Output Data</w:t>
      </w:r>
    </w:p>
    <w:p w14:paraId="0D208BD9" w14:textId="77777777" w:rsidR="00B97365" w:rsidRDefault="00000000">
      <w:pPr>
        <w:spacing w:before="0" w:after="200" w:line="276" w:lineRule="auto"/>
        <w:jc w:val="left"/>
        <w:rPr>
          <w:b/>
          <w:i/>
          <w:szCs w:val="22"/>
          <w:lang w:val="en-US" w:eastAsia="en-GB" w:bidi="ar-SA"/>
        </w:rPr>
      </w:pPr>
      <w:bookmarkStart w:id="3715" w:name="_Toc420594782"/>
      <w:r>
        <w:rPr>
          <w:rFonts w:cs="Arial"/>
          <w:b/>
          <w:i/>
          <w:szCs w:val="22"/>
          <w:lang w:val="en-US" w:eastAsia="en-GB" w:bidi="ar-SA"/>
        </w:rPr>
        <w:t>Specific status codes</w:t>
      </w:r>
      <w:bookmarkEnd w:id="371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830"/>
        <w:gridCol w:w="718"/>
        <w:gridCol w:w="1765"/>
        <w:gridCol w:w="4985"/>
      </w:tblGrid>
      <w:tr w:rsidR="00B97365" w14:paraId="2B658920"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4A1CD7D" w14:textId="77777777" w:rsidR="00B97365" w:rsidRDefault="00000000">
            <w:pPr>
              <w:jc w:val="center"/>
              <w:rPr>
                <w:rFonts w:cs="Calibri"/>
                <w:b/>
                <w:color w:val="FFFFFF"/>
                <w:sz w:val="16"/>
                <w:szCs w:val="16"/>
              </w:rPr>
            </w:pPr>
            <w:r>
              <w:rPr>
                <w:rFonts w:cs="Calibri"/>
                <w:b/>
                <w:color w:val="FFFFFF"/>
                <w:sz w:val="16"/>
                <w:szCs w:val="16"/>
              </w:rPr>
              <w:t>Subject</w:t>
            </w:r>
          </w:p>
          <w:p w14:paraId="3E54FD17"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D7E3C89"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EE54429" w14:textId="77777777" w:rsidR="00B97365" w:rsidRDefault="00000000">
            <w:pPr>
              <w:jc w:val="center"/>
              <w:rPr>
                <w:rFonts w:cs="Calibri"/>
                <w:b/>
                <w:color w:val="FFFFFF"/>
                <w:sz w:val="16"/>
                <w:szCs w:val="16"/>
              </w:rPr>
            </w:pPr>
            <w:r>
              <w:rPr>
                <w:rFonts w:cs="Calibri"/>
                <w:b/>
                <w:color w:val="FFFFFF"/>
                <w:sz w:val="16"/>
                <w:szCs w:val="16"/>
              </w:rPr>
              <w:t>Reason</w:t>
            </w:r>
          </w:p>
          <w:p w14:paraId="4C74C46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6A00973"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4974CAE"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79865B12" w14:textId="77777777">
        <w:trPr>
          <w:trHeight w:val="34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14A6943" w14:textId="77777777" w:rsidR="00B97365" w:rsidRDefault="00000000">
            <w:pPr>
              <w:rPr>
                <w:rFonts w:cs="Calibri"/>
                <w:b/>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4EB52AF9" w14:textId="77777777" w:rsidR="00B97365" w:rsidRDefault="00000000">
            <w:pPr>
              <w:rPr>
                <w:rFonts w:cs="Calibri"/>
                <w:b/>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73E6136" w14:textId="77777777" w:rsidR="00B97365" w:rsidRDefault="00000000">
            <w:pPr>
              <w:rPr>
                <w:rFonts w:cs="Calibri"/>
                <w:b/>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4F24046C" w14:textId="77777777" w:rsidR="00B97365" w:rsidRDefault="00000000">
            <w:pPr>
              <w:rPr>
                <w:rFonts w:cs="Calibri"/>
                <w:b/>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33CA78BB" w14:textId="77777777" w:rsidR="00B97365" w:rsidRDefault="00000000">
            <w:pPr>
              <w:rPr>
                <w:rFonts w:cs="Calibri"/>
                <w:b/>
                <w:sz w:val="16"/>
                <w:szCs w:val="16"/>
              </w:rPr>
            </w:pPr>
            <w:r>
              <w:rPr>
                <w:rFonts w:cs="Calibri"/>
                <w:sz w:val="16"/>
                <w:szCs w:val="16"/>
              </w:rPr>
              <w:t>Indicates that the eUICC, identified by this EID, is unknown to the function provider</w:t>
            </w:r>
          </w:p>
        </w:tc>
      </w:tr>
      <w:tr w:rsidR="00B97365" w14:paraId="2FB8F6CB" w14:textId="77777777">
        <w:trPr>
          <w:trHeight w:val="34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260CA22" w14:textId="77777777" w:rsidR="00B97365" w:rsidRDefault="00000000">
            <w:pPr>
              <w:rPr>
                <w:rFonts w:cs="Calibri"/>
                <w:b/>
                <w:sz w:val="16"/>
                <w:szCs w:val="16"/>
              </w:rPr>
            </w:pPr>
            <w:r>
              <w:rPr>
                <w:rFonts w:cs="Calibri"/>
                <w:sz w:val="16"/>
                <w:szCs w:val="16"/>
              </w:rPr>
              <w:t>8.3.1</w:t>
            </w:r>
          </w:p>
        </w:tc>
        <w:tc>
          <w:tcPr>
            <w:tcW w:w="0" w:type="auto"/>
            <w:tcBorders>
              <w:top w:val="single" w:sz="6" w:space="0" w:color="auto"/>
              <w:left w:val="single" w:sz="6" w:space="0" w:color="auto"/>
              <w:bottom w:val="single" w:sz="6" w:space="0" w:color="auto"/>
              <w:right w:val="single" w:sz="6" w:space="0" w:color="auto"/>
            </w:tcBorders>
            <w:vAlign w:val="center"/>
            <w:hideMark/>
          </w:tcPr>
          <w:p w14:paraId="46375949" w14:textId="77777777" w:rsidR="00B97365" w:rsidRDefault="00000000">
            <w:pPr>
              <w:rPr>
                <w:rFonts w:cs="Calibri"/>
                <w:b/>
                <w:sz w:val="16"/>
                <w:szCs w:val="16"/>
              </w:rPr>
            </w:pPr>
            <w:r>
              <w:rPr>
                <w:rFonts w:cs="Calibri"/>
                <w:sz w:val="16"/>
                <w:szCs w:val="16"/>
              </w:rPr>
              <w:t>ISD-P-AID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46924AD" w14:textId="77777777" w:rsidR="00B97365" w:rsidRDefault="00000000">
            <w:pPr>
              <w:rPr>
                <w:rFonts w:cs="Calibri"/>
                <w:b/>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60B0F4E9" w14:textId="77777777" w:rsidR="00B97365" w:rsidRDefault="00000000">
            <w:pPr>
              <w:rPr>
                <w:rFonts w:cs="Calibri"/>
                <w:b/>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7FB07657" w14:textId="77777777" w:rsidR="00B97365" w:rsidRDefault="00000000">
            <w:pPr>
              <w:rPr>
                <w:rFonts w:cs="Calibri"/>
                <w:b/>
                <w:sz w:val="16"/>
                <w:szCs w:val="16"/>
              </w:rPr>
            </w:pPr>
            <w:r>
              <w:rPr>
                <w:rFonts w:cs="Calibri"/>
                <w:sz w:val="16"/>
                <w:szCs w:val="16"/>
              </w:rPr>
              <w:t>Indicates that the ISD-P identified by this SD-AID is unknown to the function provider.</w:t>
            </w:r>
          </w:p>
        </w:tc>
      </w:tr>
      <w:tr w:rsidR="00B97365" w14:paraId="52AA8718" w14:textId="77777777">
        <w:trPr>
          <w:trHeight w:val="34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5E0A814" w14:textId="77777777" w:rsidR="00B97365" w:rsidRDefault="00000000">
            <w:pPr>
              <w:rPr>
                <w:rFonts w:cs="Calibri"/>
                <w:b/>
                <w:sz w:val="16"/>
                <w:szCs w:val="16"/>
              </w:rPr>
            </w:pPr>
            <w:r>
              <w:rPr>
                <w:rFonts w:cs="Calibri"/>
                <w:sz w:val="16"/>
                <w:szCs w:val="16"/>
              </w:rPr>
              <w:t>8.3</w:t>
            </w:r>
          </w:p>
        </w:tc>
        <w:tc>
          <w:tcPr>
            <w:tcW w:w="0" w:type="auto"/>
            <w:tcBorders>
              <w:top w:val="single" w:sz="6" w:space="0" w:color="auto"/>
              <w:left w:val="single" w:sz="6" w:space="0" w:color="auto"/>
              <w:bottom w:val="single" w:sz="6" w:space="0" w:color="auto"/>
              <w:right w:val="single" w:sz="6" w:space="0" w:color="auto"/>
            </w:tcBorders>
            <w:vAlign w:val="center"/>
            <w:hideMark/>
          </w:tcPr>
          <w:p w14:paraId="769CFB67" w14:textId="77777777" w:rsidR="00B97365" w:rsidRDefault="00000000">
            <w:pPr>
              <w:rPr>
                <w:rFonts w:cs="Calibri"/>
                <w:b/>
                <w:sz w:val="16"/>
                <w:szCs w:val="16"/>
              </w:rPr>
            </w:pPr>
            <w:r>
              <w:rPr>
                <w:rFonts w:cs="Calibri"/>
                <w:sz w:val="16"/>
                <w:szCs w:val="16"/>
              </w:rPr>
              <w:t>ISD-P</w:t>
            </w:r>
          </w:p>
        </w:tc>
        <w:tc>
          <w:tcPr>
            <w:tcW w:w="0" w:type="auto"/>
            <w:tcBorders>
              <w:top w:val="single" w:sz="6" w:space="0" w:color="auto"/>
              <w:left w:val="single" w:sz="6" w:space="0" w:color="auto"/>
              <w:bottom w:val="single" w:sz="6" w:space="0" w:color="auto"/>
              <w:right w:val="single" w:sz="6" w:space="0" w:color="auto"/>
            </w:tcBorders>
            <w:vAlign w:val="center"/>
            <w:hideMark/>
          </w:tcPr>
          <w:p w14:paraId="7F658D15" w14:textId="77777777" w:rsidR="00B97365" w:rsidRDefault="00000000">
            <w:pPr>
              <w:rPr>
                <w:rFonts w:cs="Calibri"/>
                <w:b/>
                <w:sz w:val="16"/>
                <w:szCs w:val="16"/>
              </w:rPr>
            </w:pPr>
            <w:r>
              <w:rPr>
                <w:rFonts w:cs="Calibri"/>
                <w:sz w:val="16"/>
                <w:szCs w:val="16"/>
              </w:rPr>
              <w:t>4.2</w:t>
            </w:r>
          </w:p>
        </w:tc>
        <w:tc>
          <w:tcPr>
            <w:tcW w:w="0" w:type="auto"/>
            <w:tcBorders>
              <w:top w:val="single" w:sz="6" w:space="0" w:color="auto"/>
              <w:left w:val="single" w:sz="6" w:space="0" w:color="auto"/>
              <w:bottom w:val="single" w:sz="6" w:space="0" w:color="auto"/>
              <w:right w:val="single" w:sz="6" w:space="0" w:color="auto"/>
            </w:tcBorders>
            <w:vAlign w:val="center"/>
            <w:hideMark/>
          </w:tcPr>
          <w:p w14:paraId="75E269C5" w14:textId="77777777" w:rsidR="00B97365" w:rsidRDefault="00000000">
            <w:pPr>
              <w:rPr>
                <w:rFonts w:cs="Calibri"/>
                <w:b/>
                <w:sz w:val="16"/>
                <w:szCs w:val="16"/>
              </w:rPr>
            </w:pPr>
            <w:r>
              <w:rPr>
                <w:rFonts w:cs="Calibri"/>
                <w:sz w:val="16"/>
                <w:szCs w:val="16"/>
              </w:rPr>
              <w:t>Execution error</w:t>
            </w:r>
          </w:p>
        </w:tc>
        <w:tc>
          <w:tcPr>
            <w:tcW w:w="0" w:type="auto"/>
            <w:tcBorders>
              <w:top w:val="single" w:sz="6" w:space="0" w:color="auto"/>
              <w:left w:val="single" w:sz="6" w:space="0" w:color="auto"/>
              <w:bottom w:val="single" w:sz="6" w:space="0" w:color="auto"/>
              <w:right w:val="single" w:sz="4" w:space="0" w:color="auto"/>
            </w:tcBorders>
            <w:vAlign w:val="center"/>
            <w:hideMark/>
          </w:tcPr>
          <w:p w14:paraId="0A00903F" w14:textId="77777777" w:rsidR="00B97365" w:rsidRDefault="00000000">
            <w:pPr>
              <w:rPr>
                <w:rFonts w:cs="Calibri"/>
                <w:b/>
                <w:sz w:val="16"/>
                <w:szCs w:val="16"/>
              </w:rPr>
            </w:pPr>
            <w:r>
              <w:rPr>
                <w:rFonts w:cs="Calibri"/>
                <w:sz w:val="16"/>
                <w:szCs w:val="16"/>
              </w:rPr>
              <w:t xml:space="preserve">Error during execution of one command, when error occurs at ISD-P level. </w:t>
            </w:r>
          </w:p>
        </w:tc>
      </w:tr>
      <w:tr w:rsidR="00B97365" w14:paraId="2344222F" w14:textId="77777777">
        <w:trPr>
          <w:trHeight w:val="342"/>
          <w:jc w:val="center"/>
        </w:trPr>
        <w:tc>
          <w:tcPr>
            <w:tcW w:w="0" w:type="auto"/>
            <w:tcBorders>
              <w:top w:val="single" w:sz="6" w:space="0" w:color="auto"/>
              <w:left w:val="single" w:sz="4" w:space="0" w:color="auto"/>
              <w:bottom w:val="single" w:sz="6" w:space="0" w:color="auto"/>
              <w:right w:val="single" w:sz="6" w:space="0" w:color="auto"/>
            </w:tcBorders>
            <w:vAlign w:val="center"/>
          </w:tcPr>
          <w:p w14:paraId="730D851F" w14:textId="77777777" w:rsidR="00B97365" w:rsidRDefault="00000000">
            <w:pPr>
              <w:rPr>
                <w:rFonts w:cs="Calibri"/>
                <w:sz w:val="16"/>
                <w:szCs w:val="16"/>
              </w:rPr>
            </w:pPr>
            <w:r>
              <w:rPr>
                <w:rFonts w:cs="Calibri"/>
                <w:sz w:val="16"/>
                <w:szCs w:val="16"/>
              </w:rPr>
              <w:t>8.3.1</w:t>
            </w:r>
          </w:p>
        </w:tc>
        <w:tc>
          <w:tcPr>
            <w:tcW w:w="0" w:type="auto"/>
            <w:tcBorders>
              <w:top w:val="single" w:sz="6" w:space="0" w:color="auto"/>
              <w:left w:val="single" w:sz="6" w:space="0" w:color="auto"/>
              <w:bottom w:val="single" w:sz="6" w:space="0" w:color="auto"/>
              <w:right w:val="single" w:sz="6" w:space="0" w:color="auto"/>
            </w:tcBorders>
            <w:vAlign w:val="center"/>
          </w:tcPr>
          <w:p w14:paraId="68B8FB8F" w14:textId="77777777" w:rsidR="00B97365" w:rsidRDefault="00000000">
            <w:pPr>
              <w:rPr>
                <w:rFonts w:cs="Calibri"/>
                <w:sz w:val="16"/>
                <w:szCs w:val="16"/>
              </w:rPr>
            </w:pPr>
            <w:r>
              <w:rPr>
                <w:rFonts w:cs="Calibri"/>
                <w:sz w:val="16"/>
                <w:szCs w:val="16"/>
              </w:rPr>
              <w:t>ISD-P-AID</w:t>
            </w:r>
          </w:p>
        </w:tc>
        <w:tc>
          <w:tcPr>
            <w:tcW w:w="0" w:type="auto"/>
            <w:tcBorders>
              <w:top w:val="single" w:sz="6" w:space="0" w:color="auto"/>
              <w:left w:val="single" w:sz="6" w:space="0" w:color="auto"/>
              <w:bottom w:val="single" w:sz="6" w:space="0" w:color="auto"/>
              <w:right w:val="single" w:sz="6" w:space="0" w:color="auto"/>
            </w:tcBorders>
            <w:vAlign w:val="center"/>
          </w:tcPr>
          <w:p w14:paraId="1B977C30" w14:textId="77777777" w:rsidR="00B97365" w:rsidRDefault="00000000">
            <w:pPr>
              <w:rPr>
                <w:rFonts w:cs="Calibri"/>
                <w:sz w:val="16"/>
                <w:szCs w:val="16"/>
              </w:rPr>
            </w:pPr>
            <w:r>
              <w:rPr>
                <w:rFonts w:cs="Calibri"/>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tcPr>
          <w:p w14:paraId="1D83EBBF" w14:textId="77777777" w:rsidR="00B97365" w:rsidRDefault="00000000">
            <w:pPr>
              <w:rPr>
                <w:rFonts w:cs="Calibri"/>
                <w:sz w:val="16"/>
                <w:szCs w:val="16"/>
              </w:rPr>
            </w:pPr>
            <w:r>
              <w:rPr>
                <w:rFonts w:cs="Calibri"/>
                <w:sz w:val="16"/>
                <w:szCs w:val="16"/>
              </w:rPr>
              <w:t xml:space="preserve">Not allowed </w:t>
            </w:r>
          </w:p>
          <w:p w14:paraId="68F7BB9A" w14:textId="77777777" w:rsidR="00B97365" w:rsidRDefault="00000000">
            <w:pPr>
              <w:rPr>
                <w:rFonts w:cs="Calibri"/>
                <w:sz w:val="16"/>
                <w:szCs w:val="16"/>
              </w:rPr>
            </w:pPr>
            <w:r>
              <w:rPr>
                <w:rFonts w:cs="Calibri"/>
                <w:sz w:val="16"/>
                <w:szCs w:val="16"/>
              </w:rPr>
              <w:t>(Authorisation)</w:t>
            </w:r>
          </w:p>
        </w:tc>
        <w:tc>
          <w:tcPr>
            <w:tcW w:w="0" w:type="auto"/>
            <w:tcBorders>
              <w:top w:val="single" w:sz="6" w:space="0" w:color="auto"/>
              <w:left w:val="single" w:sz="6" w:space="0" w:color="auto"/>
              <w:bottom w:val="single" w:sz="6" w:space="0" w:color="auto"/>
              <w:right w:val="single" w:sz="4" w:space="0" w:color="auto"/>
            </w:tcBorders>
            <w:vAlign w:val="center"/>
          </w:tcPr>
          <w:p w14:paraId="02E4EC26" w14:textId="77777777" w:rsidR="00B97365" w:rsidRDefault="00000000">
            <w:pPr>
              <w:rPr>
                <w:rFonts w:cs="Calibri"/>
                <w:sz w:val="16"/>
                <w:szCs w:val="16"/>
              </w:rPr>
            </w:pPr>
            <w:r>
              <w:rPr>
                <w:rFonts w:cs="Calibri"/>
                <w:sz w:val="16"/>
                <w:szCs w:val="16"/>
              </w:rPr>
              <w:t xml:space="preserve">Indicates that the function caller is not allowed to execute commands in the targeted ISD-P. </w:t>
            </w:r>
          </w:p>
        </w:tc>
      </w:tr>
      <w:tr w:rsidR="00B97365" w14:paraId="5AC8107C" w14:textId="77777777">
        <w:trPr>
          <w:trHeight w:val="342"/>
          <w:jc w:val="center"/>
        </w:trPr>
        <w:tc>
          <w:tcPr>
            <w:tcW w:w="0" w:type="auto"/>
            <w:tcBorders>
              <w:top w:val="single" w:sz="6" w:space="0" w:color="auto"/>
              <w:left w:val="single" w:sz="4" w:space="0" w:color="auto"/>
              <w:bottom w:val="single" w:sz="4" w:space="0" w:color="auto"/>
              <w:right w:val="single" w:sz="6" w:space="0" w:color="auto"/>
            </w:tcBorders>
            <w:vAlign w:val="center"/>
          </w:tcPr>
          <w:p w14:paraId="07E01748" w14:textId="77777777" w:rsidR="00B97365" w:rsidRDefault="00000000">
            <w:pPr>
              <w:rPr>
                <w:rFonts w:cs="Calibri"/>
                <w:sz w:val="16"/>
                <w:szCs w:val="16"/>
              </w:rPr>
            </w:pPr>
            <w:r>
              <w:rPr>
                <w:rFonts w:cs="Calibri"/>
                <w:sz w:val="16"/>
                <w:szCs w:val="16"/>
              </w:rPr>
              <w:t>8.4</w:t>
            </w:r>
          </w:p>
        </w:tc>
        <w:tc>
          <w:tcPr>
            <w:tcW w:w="0" w:type="auto"/>
            <w:tcBorders>
              <w:top w:val="single" w:sz="6" w:space="0" w:color="auto"/>
              <w:left w:val="single" w:sz="6" w:space="0" w:color="auto"/>
              <w:bottom w:val="single" w:sz="4" w:space="0" w:color="auto"/>
              <w:right w:val="single" w:sz="6" w:space="0" w:color="auto"/>
            </w:tcBorders>
            <w:vAlign w:val="center"/>
          </w:tcPr>
          <w:p w14:paraId="3AE9E419" w14:textId="77777777" w:rsidR="00B97365" w:rsidRDefault="00000000">
            <w:pPr>
              <w:rPr>
                <w:rFonts w:cs="Calibri"/>
                <w:sz w:val="16"/>
                <w:szCs w:val="16"/>
              </w:rPr>
            </w:pPr>
            <w:r>
              <w:rPr>
                <w:rFonts w:cs="Calibri"/>
                <w:sz w:val="16"/>
                <w:szCs w:val="16"/>
              </w:rPr>
              <w:t>ISD-R</w:t>
            </w:r>
          </w:p>
        </w:tc>
        <w:tc>
          <w:tcPr>
            <w:tcW w:w="0" w:type="auto"/>
            <w:tcBorders>
              <w:top w:val="single" w:sz="6" w:space="0" w:color="auto"/>
              <w:left w:val="single" w:sz="6" w:space="0" w:color="auto"/>
              <w:bottom w:val="single" w:sz="4" w:space="0" w:color="auto"/>
              <w:right w:val="single" w:sz="6" w:space="0" w:color="auto"/>
            </w:tcBorders>
            <w:vAlign w:val="center"/>
          </w:tcPr>
          <w:p w14:paraId="39E05CBD" w14:textId="77777777" w:rsidR="00B97365" w:rsidRDefault="00000000">
            <w:pPr>
              <w:rPr>
                <w:rFonts w:cs="Calibri"/>
                <w:sz w:val="16"/>
                <w:szCs w:val="16"/>
              </w:rPr>
            </w:pPr>
            <w:r>
              <w:rPr>
                <w:rFonts w:cs="Calibri"/>
                <w:sz w:val="16"/>
                <w:szCs w:val="16"/>
              </w:rPr>
              <w:t>1.2</w:t>
            </w:r>
          </w:p>
        </w:tc>
        <w:tc>
          <w:tcPr>
            <w:tcW w:w="0" w:type="auto"/>
            <w:tcBorders>
              <w:top w:val="single" w:sz="6" w:space="0" w:color="auto"/>
              <w:left w:val="single" w:sz="6" w:space="0" w:color="auto"/>
              <w:bottom w:val="single" w:sz="4" w:space="0" w:color="auto"/>
              <w:right w:val="single" w:sz="6" w:space="0" w:color="auto"/>
            </w:tcBorders>
            <w:vAlign w:val="center"/>
          </w:tcPr>
          <w:p w14:paraId="6F528757" w14:textId="77777777" w:rsidR="00B97365" w:rsidRDefault="00000000">
            <w:pPr>
              <w:rPr>
                <w:rFonts w:cs="Calibri"/>
                <w:sz w:val="16"/>
                <w:szCs w:val="16"/>
              </w:rPr>
            </w:pPr>
            <w:r>
              <w:rPr>
                <w:rFonts w:cs="Calibri"/>
                <w:sz w:val="16"/>
                <w:szCs w:val="16"/>
              </w:rPr>
              <w:t>Not allowed (Authorisation)</w:t>
            </w:r>
          </w:p>
        </w:tc>
        <w:tc>
          <w:tcPr>
            <w:tcW w:w="0" w:type="auto"/>
            <w:tcBorders>
              <w:top w:val="single" w:sz="6" w:space="0" w:color="auto"/>
              <w:left w:val="single" w:sz="6" w:space="0" w:color="auto"/>
              <w:bottom w:val="single" w:sz="4" w:space="0" w:color="auto"/>
              <w:right w:val="single" w:sz="4" w:space="0" w:color="auto"/>
            </w:tcBorders>
            <w:vAlign w:val="center"/>
          </w:tcPr>
          <w:p w14:paraId="4C1EF5C9" w14:textId="77777777" w:rsidR="00B97365" w:rsidRDefault="00000000">
            <w:pPr>
              <w:rPr>
                <w:rFonts w:cs="Calibri"/>
                <w:sz w:val="16"/>
                <w:szCs w:val="16"/>
              </w:rPr>
            </w:pPr>
            <w:r>
              <w:rPr>
                <w:rFonts w:cs="Calibri"/>
                <w:sz w:val="16"/>
                <w:szCs w:val="16"/>
              </w:rPr>
              <w:t>Indicates that the function caller is not allowed to execute the requested commands in the ISD-R.</w:t>
            </w:r>
          </w:p>
        </w:tc>
      </w:tr>
    </w:tbl>
    <w:p w14:paraId="482D578A" w14:textId="77777777" w:rsidR="00B97365" w:rsidRDefault="00000000">
      <w:pPr>
        <w:numPr>
          <w:ilvl w:val="0"/>
          <w:numId w:val="14"/>
        </w:numPr>
        <w:tabs>
          <w:tab w:val="left" w:pos="1009"/>
        </w:tabs>
        <w:spacing w:after="200" w:line="276" w:lineRule="auto"/>
        <w:jc w:val="center"/>
        <w:rPr>
          <w:rFonts w:cs="Calibri"/>
          <w:i/>
        </w:rPr>
      </w:pPr>
      <w:r>
        <w:rPr>
          <w:rFonts w:cs="Arial"/>
          <w:b/>
          <w:lang w:eastAsia="de-DE" w:bidi="ar-SA"/>
        </w:rPr>
        <w:t>: Send Data Specific Status Codes</w:t>
      </w:r>
    </w:p>
    <w:p w14:paraId="0E841198"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716" w:name="_Toc448998272"/>
      <w:bookmarkStart w:id="3717" w:name="_Toc422150748"/>
      <w:bookmarkStart w:id="3718" w:name="_Toc421874333"/>
      <w:bookmarkStart w:id="3719" w:name="_Toc420594783"/>
      <w:bookmarkStart w:id="3720" w:name="_Toc398214874"/>
      <w:bookmarkStart w:id="3721" w:name="_Toc375158290"/>
      <w:bookmarkStart w:id="3722" w:name="_Toc368932299"/>
      <w:bookmarkStart w:id="3723" w:name="_Ref367978568"/>
      <w:bookmarkStart w:id="3724" w:name="_Ref367978560"/>
      <w:bookmarkStart w:id="3725" w:name="_Toc353536203"/>
      <w:bookmarkStart w:id="3726" w:name="_Toc486332890"/>
      <w:bookmarkStart w:id="3727" w:name="_Toc1977382"/>
      <w:bookmarkStart w:id="3728" w:name="_Toc37062541"/>
      <w:bookmarkStart w:id="3729" w:name="_Toc88839615"/>
      <w:bookmarkStart w:id="3730" w:name="_Toc121504023"/>
      <w:bookmarkStart w:id="3731" w:name="_Toc352671584"/>
      <w:bookmarkStart w:id="3732" w:name="_Toc345955223"/>
      <w:bookmarkStart w:id="3733" w:name="_Ref346618167"/>
      <w:bookmarkEnd w:id="3708"/>
      <w:bookmarkEnd w:id="3709"/>
      <w:r>
        <w:rPr>
          <w:rFonts w:eastAsia="Times New Roman" w:cs="Arial"/>
          <w:b/>
          <w:sz w:val="24"/>
          <w:szCs w:val="26"/>
          <w:lang w:eastAsia="en-US"/>
        </w:rPr>
        <w:lastRenderedPageBreak/>
        <w:t>Indicating the Profile Download is Completed</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7BA39A2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ProfileDownloadCompleted</w:t>
      </w:r>
    </w:p>
    <w:p w14:paraId="4E5CE0B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w:t>
      </w:r>
    </w:p>
    <w:p w14:paraId="5C26C37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5626BD3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xml:space="preserve"> SM-SR</w:t>
      </w:r>
    </w:p>
    <w:p w14:paraId="2736F91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SM-DP to indicate to the SM-SR that the Profile download (identified by its ICCID) has been completed on the eUICC; eUICC being identified by its EID.</w:t>
      </w:r>
    </w:p>
    <w:p w14:paraId="02FFEEEF" w14:textId="17B3A57F"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function allows optionally to set a first Subscription Address, typically the MSISDN, and saves it in the EIS, and optionally a first POL2 associated to the newly download Profile. In case no POL2 is provided at that time, it means that the Profile won’t be protected by any POL2 at SM-SR side. But the POL2 MAY be set or updated at any time later using the “UpdatePolicyRules” function defined in section </w:t>
      </w:r>
      <w:r>
        <w:fldChar w:fldCharType="begin"/>
      </w:r>
      <w:r>
        <w:instrText xml:space="preserve"> REF _Ref367974492 \r \h  \* MERGEFORMAT </w:instrText>
      </w:r>
      <w:r>
        <w:fldChar w:fldCharType="separate"/>
      </w:r>
      <w:r w:rsidR="001D5AD9" w:rsidRPr="001D5AD9">
        <w:rPr>
          <w:szCs w:val="22"/>
          <w:lang w:val="en-US" w:eastAsia="en-GB" w:bidi="ar-SA"/>
        </w:rPr>
        <w:t>5.4.6</w:t>
      </w:r>
      <w:r>
        <w:fldChar w:fldCharType="end"/>
      </w:r>
      <w:r>
        <w:rPr>
          <w:szCs w:val="22"/>
          <w:lang w:val="en-US" w:eastAsia="en-GB" w:bidi="ar-SA"/>
        </w:rPr>
        <w:t>.</w:t>
      </w:r>
    </w:p>
    <w:p w14:paraId="2F7E040B" w14:textId="0586DAFA" w:rsidR="00B97365" w:rsidRDefault="00000000">
      <w:pPr>
        <w:spacing w:before="0" w:after="200" w:line="276" w:lineRule="auto"/>
        <w:jc w:val="left"/>
        <w:rPr>
          <w:szCs w:val="22"/>
          <w:lang w:val="en-US" w:eastAsia="en-GB" w:bidi="ar-SA"/>
        </w:rPr>
      </w:pPr>
      <w:r>
        <w:rPr>
          <w:rFonts w:cs="Arial"/>
          <w:szCs w:val="22"/>
          <w:lang w:val="en-US" w:eastAsia="en-GB" w:bidi="ar-SA"/>
        </w:rPr>
        <w:t>The Subscription Address is the identifier, such as MSISDN and/or IMSI, through which the eUICC is accessible from the SM-SR via the mobile network when the Profile is in Enabled state. The Subscription Address MAY be set or updated at any time later using the “</w:t>
      </w:r>
      <w:r>
        <w:rPr>
          <w:rFonts w:cs="Arial"/>
          <w:b/>
          <w:szCs w:val="22"/>
          <w:lang w:val="en-US" w:eastAsia="en-GB" w:bidi="ar-SA"/>
        </w:rPr>
        <w:t>UpdateSubscriptionAddress</w:t>
      </w:r>
      <w:r>
        <w:rPr>
          <w:rFonts w:cs="Arial"/>
          <w:szCs w:val="22"/>
          <w:lang w:val="en-US" w:eastAsia="en-GB" w:bidi="ar-SA"/>
        </w:rPr>
        <w:t xml:space="preserve">” function defined in section </w:t>
      </w:r>
      <w:r>
        <w:fldChar w:fldCharType="begin"/>
      </w:r>
      <w:r>
        <w:instrText xml:space="preserve"> REF _Ref367974501 \r \h  \* MERGEFORMAT </w:instrText>
      </w:r>
      <w:r>
        <w:fldChar w:fldCharType="separate"/>
      </w:r>
      <w:r w:rsidR="001D5AD9" w:rsidRPr="001D5AD9">
        <w:rPr>
          <w:szCs w:val="22"/>
          <w:lang w:val="en-US" w:eastAsia="en-GB" w:bidi="ar-SA"/>
        </w:rPr>
        <w:t>5.4.7</w:t>
      </w:r>
      <w:r>
        <w:fldChar w:fldCharType="end"/>
      </w:r>
      <w:r>
        <w:rPr>
          <w:szCs w:val="22"/>
          <w:lang w:val="en-US" w:eastAsia="en-GB" w:bidi="ar-SA"/>
        </w:rPr>
        <w:t>.</w:t>
      </w:r>
    </w:p>
    <w:p w14:paraId="106DDCD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On reception of this function request the SM-SR SHALL immediately update the EIS to set the identified Profile:</w:t>
      </w:r>
    </w:p>
    <w:p w14:paraId="61BDC91E" w14:textId="78249B04" w:rsidR="00B97365" w:rsidRDefault="00000000">
      <w:pPr>
        <w:numPr>
          <w:ilvl w:val="0"/>
          <w:numId w:val="47"/>
        </w:numPr>
        <w:tabs>
          <w:tab w:val="left" w:pos="680"/>
        </w:tabs>
        <w:spacing w:before="0" w:after="200" w:line="276" w:lineRule="auto"/>
        <w:contextualSpacing/>
        <w:jc w:val="left"/>
        <w:rPr>
          <w:lang w:eastAsia="en-GB"/>
        </w:rPr>
      </w:pPr>
      <w:r>
        <w:rPr>
          <w:lang w:eastAsia="en-GB"/>
        </w:rPr>
        <w:t xml:space="preserve">(Optional) the provided ProfileType as defined in section </w:t>
      </w:r>
      <w:r>
        <w:rPr>
          <w:lang w:eastAsia="en-GB"/>
        </w:rPr>
        <w:fldChar w:fldCharType="begin"/>
      </w:r>
      <w:r>
        <w:rPr>
          <w:lang w:eastAsia="en-GB"/>
        </w:rPr>
        <w:instrText xml:space="preserve"> REF _Ref487122449 \r \h </w:instrText>
      </w:r>
      <w:r>
        <w:rPr>
          <w:lang w:eastAsia="en-GB"/>
        </w:rPr>
      </w:r>
      <w:r>
        <w:rPr>
          <w:lang w:eastAsia="en-GB"/>
        </w:rPr>
        <w:fldChar w:fldCharType="separate"/>
      </w:r>
      <w:r w:rsidR="001D5AD9">
        <w:rPr>
          <w:lang w:eastAsia="en-GB"/>
        </w:rPr>
        <w:t>5.1.1.2.4</w:t>
      </w:r>
      <w:r>
        <w:rPr>
          <w:lang w:eastAsia="en-GB"/>
        </w:rPr>
        <w:fldChar w:fldCharType="end"/>
      </w:r>
    </w:p>
    <w:p w14:paraId="48D979C3" w14:textId="77777777" w:rsidR="00B97365" w:rsidRDefault="00B97365">
      <w:pPr>
        <w:ind w:left="340"/>
        <w:jc w:val="left"/>
        <w:rPr>
          <w:rFonts w:cs="Arial"/>
          <w:szCs w:val="22"/>
          <w:lang w:val="en-US" w:eastAsia="en-GB" w:bidi="ar-SA"/>
        </w:rPr>
      </w:pPr>
    </w:p>
    <w:p w14:paraId="5A20FCF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val="en-US" w:eastAsia="en-GB" w:bidi="ar-SA"/>
        </w:rPr>
        <w:t xml:space="preserve"> </w:t>
      </w:r>
      <w:r>
        <w:rPr>
          <w:szCs w:val="22"/>
          <w:lang w:eastAsia="en-GB" w:bidi="ar-SA"/>
        </w:rPr>
        <w:t>(Conditional) the new Subscription Address. If the Profile is to be enabled after it is loaded then the Subscription Address becomes mandatory.</w:t>
      </w:r>
    </w:p>
    <w:p w14:paraId="3E95626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(Optional) the provided POL2</w:t>
      </w:r>
    </w:p>
    <w:p w14:paraId="03EBE421" w14:textId="77777777" w:rsidR="00B97365" w:rsidRDefault="00B97365">
      <w:pPr>
        <w:tabs>
          <w:tab w:val="left" w:pos="680"/>
        </w:tabs>
        <w:spacing w:before="0" w:after="200" w:line="276" w:lineRule="auto"/>
        <w:contextualSpacing/>
        <w:jc w:val="left"/>
        <w:rPr>
          <w:rFonts w:cs="Arial"/>
          <w:szCs w:val="22"/>
          <w:lang w:eastAsia="en-GB" w:bidi="ar-SA"/>
        </w:rPr>
      </w:pPr>
    </w:p>
    <w:p w14:paraId="0B9B8502" w14:textId="705310E2" w:rsidR="00B97365" w:rsidRDefault="00000000">
      <w:pPr>
        <w:spacing w:before="0" w:after="200" w:line="276" w:lineRule="auto"/>
        <w:jc w:val="left"/>
        <w:rPr>
          <w:szCs w:val="22"/>
          <w:lang w:val="en-US" w:eastAsia="en-GB" w:bidi="ar-SA"/>
        </w:rPr>
      </w:pPr>
      <w:r>
        <w:rPr>
          <w:rFonts w:cs="Arial"/>
          <w:szCs w:val="22"/>
          <w:lang w:val="en-US" w:eastAsia="en-GB" w:bidi="ar-SA"/>
        </w:rPr>
        <w:t>At the end of this function call, the Profile state is “Disabled”. The SM-DP may call the function “</w:t>
      </w:r>
      <w:r>
        <w:rPr>
          <w:rFonts w:cs="Arial"/>
          <w:b/>
          <w:szCs w:val="22"/>
          <w:lang w:val="en-US" w:eastAsia="en-GB" w:bidi="ar-SA"/>
        </w:rPr>
        <w:t>ES3.EnableProfile</w:t>
      </w:r>
      <w:r>
        <w:rPr>
          <w:rFonts w:cs="Arial"/>
          <w:szCs w:val="22"/>
          <w:lang w:val="en-US" w:eastAsia="en-GB" w:bidi="ar-SA"/>
        </w:rPr>
        <w:t xml:space="preserve">” (see section </w:t>
      </w:r>
      <w:r>
        <w:fldChar w:fldCharType="begin"/>
      </w:r>
      <w:r>
        <w:instrText xml:space="preserve"> REF _Ref367974507 \r \h  \* MERGEFORMAT </w:instrText>
      </w:r>
      <w:r>
        <w:fldChar w:fldCharType="separate"/>
      </w:r>
      <w:r w:rsidR="001D5AD9" w:rsidRPr="001D5AD9">
        <w:rPr>
          <w:szCs w:val="22"/>
          <w:lang w:val="en-US" w:eastAsia="en-GB" w:bidi="ar-SA"/>
        </w:rPr>
        <w:t>5.4.8</w:t>
      </w:r>
      <w:r>
        <w:fldChar w:fldCharType="end"/>
      </w:r>
      <w:r>
        <w:rPr>
          <w:szCs w:val="22"/>
          <w:lang w:val="en-US" w:eastAsia="en-GB" w:bidi="ar-SA"/>
        </w:rPr>
        <w:t>) to enable the Profile if required by the Operator.</w:t>
      </w:r>
    </w:p>
    <w:p w14:paraId="684A47F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04B8797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function has been correctly executed. </w:t>
      </w:r>
    </w:p>
    <w:p w14:paraId="3418D227" w14:textId="5FDF08E9"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_Ref367974520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below.</w:t>
      </w:r>
    </w:p>
    <w:p w14:paraId="3742E8AD" w14:textId="77777777" w:rsidR="00B97365" w:rsidRDefault="00B97365">
      <w:pPr>
        <w:tabs>
          <w:tab w:val="left" w:pos="680"/>
        </w:tabs>
        <w:spacing w:before="0" w:after="200" w:line="276" w:lineRule="auto"/>
        <w:contextualSpacing/>
        <w:jc w:val="left"/>
        <w:rPr>
          <w:rFonts w:cs="Arial"/>
          <w:szCs w:val="22"/>
          <w:lang w:eastAsia="en-GB" w:bidi="ar-SA"/>
        </w:rPr>
      </w:pPr>
    </w:p>
    <w:p w14:paraId="1CE50BC4" w14:textId="77777777" w:rsidR="00B97365" w:rsidRDefault="00000000">
      <w:pPr>
        <w:spacing w:before="0" w:after="200" w:line="276" w:lineRule="auto"/>
        <w:jc w:val="left"/>
        <w:rPr>
          <w:b/>
          <w:i/>
          <w:szCs w:val="22"/>
          <w:lang w:val="en-US" w:eastAsia="en-GB" w:bidi="ar-SA"/>
        </w:rPr>
      </w:pPr>
      <w:bookmarkStart w:id="3734" w:name="_Toc420594784"/>
      <w:r>
        <w:rPr>
          <w:rFonts w:cs="Arial"/>
          <w:b/>
          <w:i/>
          <w:szCs w:val="22"/>
          <w:lang w:val="en-US" w:eastAsia="en-GB" w:bidi="ar-SA"/>
        </w:rPr>
        <w:t>Additional input data:</w:t>
      </w:r>
      <w:bookmarkEnd w:id="373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81"/>
        <w:gridCol w:w="4702"/>
        <w:gridCol w:w="1821"/>
        <w:gridCol w:w="398"/>
        <w:gridCol w:w="514"/>
      </w:tblGrid>
      <w:tr w:rsidR="00B97365" w14:paraId="3B67316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A012CA8"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A1AE353"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48FCD2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BD4CF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83F9C96"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0785E76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0DF59F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38C3EBE"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Identification of the </w:t>
            </w:r>
            <w:r>
              <w:rPr>
                <w:rFonts w:cs="Calibri"/>
                <w:sz w:val="16"/>
                <w:szCs w:val="16"/>
                <w:lang w:eastAsia="en-GB" w:bidi="ar-SA"/>
              </w:rPr>
              <w:t>targeted</w:t>
            </w:r>
            <w:r>
              <w:rPr>
                <w:rFonts w:cs="Calibri"/>
                <w:sz w:val="16"/>
                <w:szCs w:val="16"/>
                <w:lang w:val="en-US" w:eastAsia="en-GB" w:bidi="ar-SA"/>
              </w:rPr>
              <w:t xml:space="preserve"> eUICC.</w:t>
            </w:r>
          </w:p>
          <w:p w14:paraId="064FADDC" w14:textId="7E794A75"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lastRenderedPageBreak/>
              <w:t xml:space="preserve">See section </w:t>
            </w:r>
            <w:r>
              <w:fldChar w:fldCharType="begin"/>
            </w:r>
            <w:r>
              <w:instrText xml:space="preserve"> REF _Ref367974535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9CD7DB1"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lastRenderedPageBreak/>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B5BCA4E"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B6CC9C9"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M</w:t>
            </w:r>
          </w:p>
        </w:tc>
      </w:tr>
      <w:tr w:rsidR="00B97365" w14:paraId="04E63F8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70A5964"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314336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Identification of the Profile </w:t>
            </w:r>
          </w:p>
          <w:p w14:paraId="59051411" w14:textId="0DCAC23B"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_Ref367974541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2DFB09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A8721B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D26646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5B01028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01FC070" w14:textId="77777777" w:rsidR="00B97365" w:rsidRDefault="00000000">
            <w:pPr>
              <w:spacing w:before="0" w:after="200" w:line="276" w:lineRule="auto"/>
              <w:jc w:val="left"/>
              <w:rPr>
                <w:rFonts w:cs="Calibri"/>
                <w:sz w:val="16"/>
                <w:szCs w:val="16"/>
                <w:lang w:eastAsia="en-GB" w:bidi="ar-SA"/>
              </w:rPr>
            </w:pPr>
            <w:r>
              <w:rPr>
                <w:rFonts w:cs="Arial"/>
                <w:sz w:val="16"/>
                <w:szCs w:val="16"/>
              </w:rPr>
              <w:t>ProfileType</w:t>
            </w:r>
          </w:p>
        </w:tc>
        <w:tc>
          <w:tcPr>
            <w:tcW w:w="0" w:type="auto"/>
            <w:tcBorders>
              <w:top w:val="single" w:sz="6" w:space="0" w:color="auto"/>
              <w:left w:val="single" w:sz="6" w:space="0" w:color="auto"/>
              <w:bottom w:val="single" w:sz="6" w:space="0" w:color="auto"/>
              <w:right w:val="single" w:sz="6" w:space="0" w:color="auto"/>
            </w:tcBorders>
            <w:vAlign w:val="center"/>
            <w:hideMark/>
          </w:tcPr>
          <w:p w14:paraId="2D264A7A" w14:textId="77777777" w:rsidR="00B97365" w:rsidRDefault="00000000">
            <w:pPr>
              <w:spacing w:before="0" w:after="200" w:line="276" w:lineRule="auto"/>
              <w:jc w:val="left"/>
              <w:rPr>
                <w:rFonts w:cs="Calibri"/>
                <w:sz w:val="16"/>
                <w:szCs w:val="16"/>
                <w:lang w:eastAsia="en-GB" w:bidi="ar-SA"/>
              </w:rPr>
            </w:pPr>
            <w:r>
              <w:rPr>
                <w:rFonts w:cs="Calibri"/>
                <w:sz w:val="16"/>
                <w:szCs w:val="16"/>
              </w:rPr>
              <w:t>Indicates, through an SM-DP reference, the type of Profile generated by the SM-DP (for example 3G_16K)</w:t>
            </w:r>
          </w:p>
        </w:tc>
        <w:tc>
          <w:tcPr>
            <w:tcW w:w="0" w:type="auto"/>
            <w:tcBorders>
              <w:top w:val="single" w:sz="6" w:space="0" w:color="auto"/>
              <w:left w:val="single" w:sz="6" w:space="0" w:color="auto"/>
              <w:bottom w:val="single" w:sz="6" w:space="0" w:color="auto"/>
              <w:right w:val="single" w:sz="6" w:space="0" w:color="auto"/>
            </w:tcBorders>
            <w:vAlign w:val="center"/>
            <w:hideMark/>
          </w:tcPr>
          <w:p w14:paraId="3103F03B" w14:textId="77777777" w:rsidR="00B97365" w:rsidRDefault="00000000">
            <w:pPr>
              <w:spacing w:before="0" w:after="200" w:line="276" w:lineRule="auto"/>
              <w:jc w:val="center"/>
              <w:rPr>
                <w:rFonts w:cs="Calibri"/>
                <w:sz w:val="16"/>
                <w:szCs w:val="16"/>
                <w:lang w:eastAsia="en-GB" w:bidi="ar-SA"/>
              </w:rPr>
            </w:pPr>
            <w:r>
              <w:rPr>
                <w:rFonts w:cs="Arial"/>
                <w:sz w:val="16"/>
                <w:szCs w:val="16"/>
              </w:rPr>
              <w:t>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7F23CCF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B7B0F2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rPr>
              <w:t>O</w:t>
            </w:r>
          </w:p>
        </w:tc>
      </w:tr>
      <w:tr w:rsidR="00B97365" w14:paraId="25C1FE6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0CB4AE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subscriptionAddress</w:t>
            </w:r>
          </w:p>
        </w:tc>
        <w:tc>
          <w:tcPr>
            <w:tcW w:w="0" w:type="auto"/>
            <w:tcBorders>
              <w:top w:val="single" w:sz="6" w:space="0" w:color="auto"/>
              <w:left w:val="single" w:sz="6" w:space="0" w:color="auto"/>
              <w:bottom w:val="single" w:sz="6" w:space="0" w:color="auto"/>
              <w:right w:val="single" w:sz="6" w:space="0" w:color="auto"/>
            </w:tcBorders>
            <w:vAlign w:val="center"/>
            <w:hideMark/>
          </w:tcPr>
          <w:p w14:paraId="2204CFBE"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The Subscription Address related to the identified Profile</w:t>
            </w:r>
          </w:p>
        </w:tc>
        <w:tc>
          <w:tcPr>
            <w:tcW w:w="0" w:type="auto"/>
            <w:tcBorders>
              <w:top w:val="single" w:sz="6" w:space="0" w:color="auto"/>
              <w:left w:val="single" w:sz="6" w:space="0" w:color="auto"/>
              <w:bottom w:val="single" w:sz="6" w:space="0" w:color="auto"/>
              <w:right w:val="single" w:sz="6" w:space="0" w:color="auto"/>
            </w:tcBorders>
            <w:vAlign w:val="center"/>
            <w:hideMark/>
          </w:tcPr>
          <w:p w14:paraId="2DA2675E"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SUBSCRIPTION-ADDRESS</w:t>
            </w:r>
          </w:p>
        </w:tc>
        <w:tc>
          <w:tcPr>
            <w:tcW w:w="0" w:type="auto"/>
            <w:tcBorders>
              <w:top w:val="single" w:sz="6" w:space="0" w:color="auto"/>
              <w:left w:val="single" w:sz="6" w:space="0" w:color="auto"/>
              <w:bottom w:val="single" w:sz="6" w:space="0" w:color="auto"/>
              <w:right w:val="single" w:sz="6" w:space="0" w:color="auto"/>
            </w:tcBorders>
            <w:vAlign w:val="center"/>
            <w:hideMark/>
          </w:tcPr>
          <w:p w14:paraId="4A645598"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63476E6"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O</w:t>
            </w:r>
          </w:p>
        </w:tc>
      </w:tr>
      <w:tr w:rsidR="00B97365" w14:paraId="2B4EA7E0"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E491BF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pol2</w:t>
            </w:r>
          </w:p>
        </w:tc>
        <w:tc>
          <w:tcPr>
            <w:tcW w:w="0" w:type="auto"/>
            <w:tcBorders>
              <w:top w:val="single" w:sz="6" w:space="0" w:color="auto"/>
              <w:left w:val="single" w:sz="6" w:space="0" w:color="auto"/>
              <w:bottom w:val="single" w:sz="4" w:space="0" w:color="auto"/>
              <w:right w:val="single" w:sz="6" w:space="0" w:color="auto"/>
            </w:tcBorders>
            <w:vAlign w:val="center"/>
            <w:hideMark/>
          </w:tcPr>
          <w:p w14:paraId="75C1CFAE"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The POL2 to associate with the identified Profile.</w:t>
            </w:r>
          </w:p>
        </w:tc>
        <w:tc>
          <w:tcPr>
            <w:tcW w:w="0" w:type="auto"/>
            <w:tcBorders>
              <w:top w:val="single" w:sz="6" w:space="0" w:color="auto"/>
              <w:left w:val="single" w:sz="6" w:space="0" w:color="auto"/>
              <w:bottom w:val="single" w:sz="4" w:space="0" w:color="auto"/>
              <w:right w:val="single" w:sz="6" w:space="0" w:color="auto"/>
            </w:tcBorders>
            <w:vAlign w:val="center"/>
            <w:hideMark/>
          </w:tcPr>
          <w:p w14:paraId="27492BF7"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POL2</w:t>
            </w:r>
          </w:p>
        </w:tc>
        <w:tc>
          <w:tcPr>
            <w:tcW w:w="0" w:type="auto"/>
            <w:tcBorders>
              <w:top w:val="single" w:sz="6" w:space="0" w:color="auto"/>
              <w:left w:val="single" w:sz="6" w:space="0" w:color="auto"/>
              <w:bottom w:val="single" w:sz="4" w:space="0" w:color="auto"/>
              <w:right w:val="single" w:sz="6" w:space="0" w:color="auto"/>
            </w:tcBorders>
            <w:vAlign w:val="center"/>
            <w:hideMark/>
          </w:tcPr>
          <w:p w14:paraId="3D286FFB"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535CD470"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O</w:t>
            </w:r>
          </w:p>
        </w:tc>
      </w:tr>
    </w:tbl>
    <w:p w14:paraId="038B1864"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Profile Download Completed Additional Input Data</w:t>
      </w:r>
    </w:p>
    <w:p w14:paraId="0A3369E8" w14:textId="77777777" w:rsidR="00B97365" w:rsidRDefault="00000000">
      <w:pPr>
        <w:spacing w:before="0" w:after="200" w:line="276" w:lineRule="auto"/>
        <w:jc w:val="left"/>
        <w:rPr>
          <w:b/>
          <w:i/>
          <w:szCs w:val="22"/>
          <w:lang w:val="en-US" w:eastAsia="en-GB" w:bidi="ar-SA"/>
        </w:rPr>
      </w:pPr>
      <w:bookmarkStart w:id="3735" w:name="_Toc420594785"/>
      <w:r>
        <w:rPr>
          <w:rFonts w:cs="Arial"/>
          <w:b/>
          <w:i/>
          <w:szCs w:val="22"/>
          <w:lang w:val="en-US" w:eastAsia="en-GB" w:bidi="ar-SA"/>
        </w:rPr>
        <w:t>Additional output data:</w:t>
      </w:r>
      <w:bookmarkEnd w:id="3735"/>
    </w:p>
    <w:p w14:paraId="717297E2" w14:textId="77777777" w:rsidR="00B97365" w:rsidRDefault="00000000">
      <w:pPr>
        <w:spacing w:before="0" w:after="200" w:line="276" w:lineRule="auto"/>
        <w:jc w:val="left"/>
        <w:rPr>
          <w:szCs w:val="22"/>
          <w:lang w:val="en-US" w:eastAsia="en-GB" w:bidi="ar-SA"/>
        </w:rPr>
      </w:pPr>
      <w:bookmarkStart w:id="3736" w:name="_Toc420594786"/>
      <w:r>
        <w:rPr>
          <w:rFonts w:cs="Arial"/>
          <w:szCs w:val="22"/>
          <w:lang w:val="en-US" w:eastAsia="en-GB" w:bidi="ar-SA"/>
        </w:rPr>
        <w:t>No additional data</w:t>
      </w:r>
      <w:bookmarkEnd w:id="3736"/>
    </w:p>
    <w:p w14:paraId="5439B88E" w14:textId="77777777" w:rsidR="00B97365" w:rsidRDefault="00B97365">
      <w:pPr>
        <w:rPr>
          <w:lang w:val="en-US" w:eastAsia="en-GB" w:bidi="ar-SA"/>
        </w:rPr>
      </w:pPr>
    </w:p>
    <w:p w14:paraId="4569F860" w14:textId="77777777" w:rsidR="00B97365" w:rsidRDefault="00000000">
      <w:pPr>
        <w:spacing w:before="0" w:after="200" w:line="276" w:lineRule="auto"/>
        <w:jc w:val="left"/>
        <w:rPr>
          <w:b/>
          <w:i/>
          <w:szCs w:val="22"/>
          <w:lang w:val="en-US" w:eastAsia="en-GB" w:bidi="ar-SA"/>
        </w:rPr>
      </w:pPr>
      <w:bookmarkStart w:id="3737" w:name="_Toc420594787"/>
      <w:r>
        <w:rPr>
          <w:rFonts w:cs="Arial"/>
          <w:b/>
          <w:i/>
          <w:szCs w:val="22"/>
          <w:lang w:val="en-US" w:eastAsia="en-GB" w:bidi="ar-SA"/>
        </w:rPr>
        <w:t>Specific status codes</w:t>
      </w:r>
      <w:bookmarkEnd w:id="373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94"/>
        <w:gridCol w:w="940"/>
        <w:gridCol w:w="794"/>
        <w:gridCol w:w="1197"/>
        <w:gridCol w:w="5291"/>
      </w:tblGrid>
      <w:tr w:rsidR="00B97365" w14:paraId="18415903"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0D6A5E15"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Subject</w:t>
            </w:r>
          </w:p>
          <w:p w14:paraId="44A811F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EC6DFE3"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E880486"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Reason</w:t>
            </w:r>
          </w:p>
          <w:p w14:paraId="3322424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4456519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3E853B5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r>
      <w:tr w:rsidR="00B97365" w14:paraId="11ACF33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1E007F9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8.1.1</w:t>
            </w:r>
          </w:p>
        </w:tc>
        <w:tc>
          <w:tcPr>
            <w:tcW w:w="0" w:type="auto"/>
            <w:tcBorders>
              <w:top w:val="single" w:sz="6" w:space="0" w:color="auto"/>
              <w:left w:val="single" w:sz="6" w:space="0" w:color="auto"/>
              <w:bottom w:val="single" w:sz="6" w:space="0" w:color="auto"/>
              <w:right w:val="single" w:sz="6" w:space="0" w:color="auto"/>
            </w:tcBorders>
            <w:hideMark/>
          </w:tcPr>
          <w:p w14:paraId="142C745E"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EID</w:t>
            </w:r>
          </w:p>
        </w:tc>
        <w:tc>
          <w:tcPr>
            <w:tcW w:w="0" w:type="auto"/>
            <w:tcBorders>
              <w:top w:val="single" w:sz="6" w:space="0" w:color="auto"/>
              <w:left w:val="single" w:sz="6" w:space="0" w:color="auto"/>
              <w:bottom w:val="single" w:sz="6" w:space="0" w:color="auto"/>
              <w:right w:val="single" w:sz="6" w:space="0" w:color="auto"/>
            </w:tcBorders>
            <w:hideMark/>
          </w:tcPr>
          <w:p w14:paraId="0878F4D2"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3.9</w:t>
            </w:r>
          </w:p>
        </w:tc>
        <w:tc>
          <w:tcPr>
            <w:tcW w:w="0" w:type="auto"/>
            <w:tcBorders>
              <w:top w:val="single" w:sz="6" w:space="0" w:color="auto"/>
              <w:left w:val="single" w:sz="6" w:space="0" w:color="auto"/>
              <w:bottom w:val="single" w:sz="6" w:space="0" w:color="auto"/>
              <w:right w:val="single" w:sz="6" w:space="0" w:color="auto"/>
            </w:tcBorders>
            <w:hideMark/>
          </w:tcPr>
          <w:p w14:paraId="2354D86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hideMark/>
          </w:tcPr>
          <w:p w14:paraId="08FDF502"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Indicates that the eUICC, identified by this EID, is unknown to the function provider</w:t>
            </w:r>
          </w:p>
        </w:tc>
      </w:tr>
      <w:tr w:rsidR="00B97365" w14:paraId="1E8E098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32FA71B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hideMark/>
          </w:tcPr>
          <w:p w14:paraId="4CEA8926"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Profile ICCID</w:t>
            </w:r>
          </w:p>
        </w:tc>
        <w:tc>
          <w:tcPr>
            <w:tcW w:w="0" w:type="auto"/>
            <w:tcBorders>
              <w:top w:val="single" w:sz="6" w:space="0" w:color="auto"/>
              <w:left w:val="single" w:sz="6" w:space="0" w:color="auto"/>
              <w:bottom w:val="single" w:sz="6" w:space="0" w:color="auto"/>
              <w:right w:val="single" w:sz="6" w:space="0" w:color="auto"/>
            </w:tcBorders>
            <w:hideMark/>
          </w:tcPr>
          <w:p w14:paraId="5C9C4BB2"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3.9</w:t>
            </w:r>
          </w:p>
        </w:tc>
        <w:tc>
          <w:tcPr>
            <w:tcW w:w="0" w:type="auto"/>
            <w:tcBorders>
              <w:top w:val="single" w:sz="6" w:space="0" w:color="auto"/>
              <w:left w:val="single" w:sz="6" w:space="0" w:color="auto"/>
              <w:bottom w:val="single" w:sz="6" w:space="0" w:color="auto"/>
              <w:right w:val="single" w:sz="6" w:space="0" w:color="auto"/>
            </w:tcBorders>
            <w:hideMark/>
          </w:tcPr>
          <w:p w14:paraId="7310E425"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hideMark/>
          </w:tcPr>
          <w:p w14:paraId="6A0D62A3"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Indicates that the Profile identified by this ICCID is unknown to the function provider.</w:t>
            </w:r>
          </w:p>
        </w:tc>
      </w:tr>
      <w:tr w:rsidR="00B97365" w14:paraId="2294B606"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4A0FE1E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hideMark/>
          </w:tcPr>
          <w:p w14:paraId="5E5AF3D3"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Profile ICCID</w:t>
            </w:r>
          </w:p>
        </w:tc>
        <w:tc>
          <w:tcPr>
            <w:tcW w:w="0" w:type="auto"/>
            <w:tcBorders>
              <w:top w:val="single" w:sz="6" w:space="0" w:color="auto"/>
              <w:left w:val="single" w:sz="6" w:space="0" w:color="auto"/>
              <w:bottom w:val="single" w:sz="6" w:space="0" w:color="auto"/>
              <w:right w:val="single" w:sz="6" w:space="0" w:color="auto"/>
            </w:tcBorders>
            <w:hideMark/>
          </w:tcPr>
          <w:p w14:paraId="6248BE5E"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3.4</w:t>
            </w:r>
          </w:p>
        </w:tc>
        <w:tc>
          <w:tcPr>
            <w:tcW w:w="0" w:type="auto"/>
            <w:tcBorders>
              <w:top w:val="single" w:sz="6" w:space="0" w:color="auto"/>
              <w:left w:val="single" w:sz="6" w:space="0" w:color="auto"/>
              <w:bottom w:val="single" w:sz="6" w:space="0" w:color="auto"/>
              <w:right w:val="single" w:sz="6" w:space="0" w:color="auto"/>
            </w:tcBorders>
            <w:hideMark/>
          </w:tcPr>
          <w:p w14:paraId="1BBBF863"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eastAsia="en-GB" w:bidi="ar-SA"/>
              </w:rPr>
              <w:t>Invalid destination</w:t>
            </w:r>
          </w:p>
        </w:tc>
        <w:tc>
          <w:tcPr>
            <w:tcW w:w="0" w:type="auto"/>
            <w:tcBorders>
              <w:top w:val="single" w:sz="6" w:space="0" w:color="auto"/>
              <w:left w:val="single" w:sz="6" w:space="0" w:color="auto"/>
              <w:bottom w:val="single" w:sz="6" w:space="0" w:color="auto"/>
              <w:right w:val="single" w:sz="4" w:space="0" w:color="auto"/>
            </w:tcBorders>
            <w:hideMark/>
          </w:tcPr>
          <w:p w14:paraId="1534B872"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Indicates that the Profile identified by this ICCID is known to the function provider but installed on another eUICC than the one identified by the function caller.</w:t>
            </w:r>
          </w:p>
        </w:tc>
      </w:tr>
      <w:tr w:rsidR="00B97365" w14:paraId="2A5FAA12"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hideMark/>
          </w:tcPr>
          <w:p w14:paraId="3E17B80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8.2.3</w:t>
            </w:r>
          </w:p>
        </w:tc>
        <w:tc>
          <w:tcPr>
            <w:tcW w:w="0" w:type="auto"/>
            <w:tcBorders>
              <w:top w:val="single" w:sz="6" w:space="0" w:color="auto"/>
              <w:left w:val="single" w:sz="6" w:space="0" w:color="auto"/>
              <w:bottom w:val="single" w:sz="4" w:space="0" w:color="auto"/>
              <w:right w:val="single" w:sz="6" w:space="0" w:color="auto"/>
            </w:tcBorders>
            <w:hideMark/>
          </w:tcPr>
          <w:p w14:paraId="2EFBD90F"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POL2</w:t>
            </w:r>
          </w:p>
        </w:tc>
        <w:tc>
          <w:tcPr>
            <w:tcW w:w="0" w:type="auto"/>
            <w:tcBorders>
              <w:top w:val="single" w:sz="6" w:space="0" w:color="auto"/>
              <w:left w:val="single" w:sz="6" w:space="0" w:color="auto"/>
              <w:bottom w:val="single" w:sz="4" w:space="0" w:color="auto"/>
              <w:right w:val="single" w:sz="6" w:space="0" w:color="auto"/>
            </w:tcBorders>
            <w:hideMark/>
          </w:tcPr>
          <w:p w14:paraId="0EC2D93D"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2.1</w:t>
            </w:r>
          </w:p>
        </w:tc>
        <w:tc>
          <w:tcPr>
            <w:tcW w:w="0" w:type="auto"/>
            <w:tcBorders>
              <w:top w:val="single" w:sz="6" w:space="0" w:color="auto"/>
              <w:left w:val="single" w:sz="6" w:space="0" w:color="auto"/>
              <w:bottom w:val="single" w:sz="4" w:space="0" w:color="auto"/>
              <w:right w:val="single" w:sz="6" w:space="0" w:color="auto"/>
            </w:tcBorders>
            <w:hideMark/>
          </w:tcPr>
          <w:p w14:paraId="6414A2E5"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Invalid</w:t>
            </w:r>
          </w:p>
        </w:tc>
        <w:tc>
          <w:tcPr>
            <w:tcW w:w="0" w:type="auto"/>
            <w:tcBorders>
              <w:top w:val="single" w:sz="6" w:space="0" w:color="auto"/>
              <w:left w:val="single" w:sz="6" w:space="0" w:color="auto"/>
              <w:bottom w:val="single" w:sz="4" w:space="0" w:color="auto"/>
              <w:right w:val="single" w:sz="4" w:space="0" w:color="auto"/>
            </w:tcBorders>
            <w:hideMark/>
          </w:tcPr>
          <w:p w14:paraId="06BA0BB4"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POL2 is invalid</w:t>
            </w:r>
          </w:p>
        </w:tc>
      </w:tr>
    </w:tbl>
    <w:p w14:paraId="330C386D"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Profile Download Completed Specific Status Codes</w:t>
      </w:r>
    </w:p>
    <w:p w14:paraId="76DD76CD" w14:textId="77777777" w:rsidR="00B97365" w:rsidRDefault="00B97365">
      <w:pPr>
        <w:rPr>
          <w:rFonts w:cs="Arial"/>
          <w:sz w:val="20"/>
        </w:rPr>
      </w:pPr>
    </w:p>
    <w:p w14:paraId="29238212"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738" w:name="_Toc448998273"/>
      <w:bookmarkStart w:id="3739" w:name="_Toc422150749"/>
      <w:bookmarkStart w:id="3740" w:name="_Toc421874334"/>
      <w:bookmarkStart w:id="3741" w:name="_Toc420594788"/>
      <w:bookmarkStart w:id="3742" w:name="_Toc398214875"/>
      <w:bookmarkStart w:id="3743" w:name="_Toc375158291"/>
      <w:bookmarkStart w:id="3744" w:name="_Toc368932300"/>
      <w:bookmarkStart w:id="3745" w:name="_Ref367978596"/>
      <w:bookmarkStart w:id="3746" w:name="_Ref367978585"/>
      <w:bookmarkStart w:id="3747" w:name="_Ref367975074"/>
      <w:bookmarkStart w:id="3748" w:name="_Ref367974492"/>
      <w:bookmarkStart w:id="3749" w:name="_Ref367973794"/>
      <w:bookmarkStart w:id="3750" w:name="_Ref367972424"/>
      <w:bookmarkStart w:id="3751" w:name="_Toc486332891"/>
      <w:bookmarkStart w:id="3752" w:name="_Toc1977383"/>
      <w:bookmarkStart w:id="3753" w:name="_Toc37062542"/>
      <w:bookmarkStart w:id="3754" w:name="_Toc88839616"/>
      <w:bookmarkStart w:id="3755" w:name="_Toc121504024"/>
      <w:r>
        <w:rPr>
          <w:rFonts w:eastAsia="Times New Roman" w:cs="Arial"/>
          <w:b/>
          <w:sz w:val="24"/>
          <w:szCs w:val="26"/>
          <w:lang w:eastAsia="en-US"/>
        </w:rPr>
        <w:t>Updating the Policy Rules of a Profile</w:t>
      </w:r>
      <w:bookmarkEnd w:id="3731"/>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14:paraId="5241C015" w14:textId="77777777" w:rsidR="00B97365" w:rsidRDefault="00000000">
      <w:pPr>
        <w:spacing w:before="0" w:after="200" w:line="276" w:lineRule="auto"/>
        <w:jc w:val="left"/>
        <w:rPr>
          <w:szCs w:val="22"/>
          <w:lang w:val="en-US" w:eastAsia="en-GB" w:bidi="ar-SA"/>
        </w:rPr>
      </w:pPr>
      <w:bookmarkStart w:id="3756" w:name="_Toc420594789"/>
      <w:r>
        <w:rPr>
          <w:rFonts w:cs="Arial"/>
          <w:b/>
          <w:szCs w:val="22"/>
          <w:lang w:val="en-US" w:eastAsia="en-GB" w:bidi="ar-SA"/>
        </w:rPr>
        <w:t>Function name:</w:t>
      </w:r>
      <w:r>
        <w:rPr>
          <w:szCs w:val="22"/>
          <w:lang w:val="en-US" w:eastAsia="en-GB" w:bidi="ar-SA"/>
        </w:rPr>
        <w:t xml:space="preserve"> UpdatePolicyRules</w:t>
      </w:r>
      <w:bookmarkEnd w:id="3756"/>
    </w:p>
    <w:p w14:paraId="3F72D3C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w:t>
      </w:r>
    </w:p>
    <w:p w14:paraId="33332D3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4D5A927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26B19FE5" w14:textId="77777777" w:rsidR="00B97365" w:rsidRDefault="00000000">
      <w:pPr>
        <w:spacing w:before="0" w:after="200" w:line="276" w:lineRule="auto"/>
        <w:jc w:val="left"/>
        <w:rPr>
          <w:szCs w:val="22"/>
          <w:lang w:eastAsia="en-GB" w:bidi="ar-SA"/>
        </w:rPr>
      </w:pPr>
      <w:r>
        <w:rPr>
          <w:rFonts w:cs="Arial"/>
          <w:b/>
          <w:szCs w:val="22"/>
          <w:lang w:val="en-US" w:eastAsia="en-GB" w:bidi="ar-SA"/>
        </w:rPr>
        <w:t>Description</w:t>
      </w:r>
      <w:r>
        <w:rPr>
          <w:szCs w:val="22"/>
          <w:lang w:val="en-US" w:eastAsia="en-GB" w:bidi="ar-SA"/>
        </w:rPr>
        <w:t xml:space="preserve">: This function allows the SM-DP </w:t>
      </w:r>
      <w:r>
        <w:rPr>
          <w:rFonts w:cs="Calibri"/>
          <w:szCs w:val="22"/>
          <w:lang w:eastAsia="en-GB" w:bidi="ar-SA"/>
        </w:rPr>
        <w:t>authorised by</w:t>
      </w:r>
      <w:r>
        <w:rPr>
          <w:szCs w:val="22"/>
          <w:lang w:val="en-US" w:eastAsia="en-GB" w:bidi="ar-SA"/>
        </w:rPr>
        <w:t xml:space="preserve"> the Operator to update POL2 of a Profile, identified by its ICCID, and installed on an eUICC identified by its EID.</w:t>
      </w:r>
    </w:p>
    <w:p w14:paraId="074FE4A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function can update a Profile in “Disabled” or “Enabled” state and SHALL return an error for any other Profile state.</w:t>
      </w:r>
    </w:p>
    <w:p w14:paraId="1F042AB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The function completely replaces the definition of existing POL2. It means that it is the responsibility of the caller to provide the complete definition of POL2.</w:t>
      </w:r>
    </w:p>
    <w:p w14:paraId="7DE8A4D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6107F86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update Policy Rules function has been successfully executed by the SM-SR as requested by the function caller. </w:t>
      </w:r>
    </w:p>
    <w:p w14:paraId="09D1B22F" w14:textId="6633641A"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_Ref367974575 \r \h  \* MERGEFORMAT </w:instrText>
      </w:r>
      <w:r>
        <w:fldChar w:fldCharType="separate"/>
      </w:r>
      <w:r w:rsidR="001D5AD9" w:rsidRPr="001D5AD9">
        <w:rPr>
          <w:szCs w:val="22"/>
          <w:lang w:eastAsia="en-GB" w:bidi="ar-SA"/>
        </w:rPr>
        <w:t>5.1.6.4</w:t>
      </w:r>
      <w:r>
        <w:fldChar w:fldCharType="end"/>
      </w:r>
    </w:p>
    <w:p w14:paraId="4CAD66FA" w14:textId="3A246D21" w:rsidR="00B97365" w:rsidRDefault="00000000">
      <w:pPr>
        <w:tabs>
          <w:tab w:val="left" w:pos="680"/>
        </w:tabs>
        <w:spacing w:before="0" w:after="200" w:line="276" w:lineRule="auto"/>
        <w:ind w:left="680"/>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_Ref367974584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below.</w:t>
      </w:r>
    </w:p>
    <w:p w14:paraId="33545D9D" w14:textId="77777777" w:rsidR="00B97365" w:rsidRDefault="00B97365">
      <w:pPr>
        <w:tabs>
          <w:tab w:val="left" w:pos="680"/>
        </w:tabs>
        <w:spacing w:before="0" w:after="200" w:line="276" w:lineRule="auto"/>
        <w:ind w:left="680"/>
        <w:contextualSpacing/>
        <w:jc w:val="left"/>
        <w:rPr>
          <w:rFonts w:cs="Arial"/>
          <w:b/>
          <w:i/>
          <w:szCs w:val="22"/>
          <w:lang w:val="en-US" w:eastAsia="en-GB" w:bidi="ar-SA"/>
        </w:rPr>
      </w:pPr>
      <w:bookmarkStart w:id="3757" w:name="_Toc420594790"/>
    </w:p>
    <w:p w14:paraId="46980CE0"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bookmarkEnd w:id="375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4045"/>
        <w:gridCol w:w="576"/>
        <w:gridCol w:w="398"/>
        <w:gridCol w:w="514"/>
      </w:tblGrid>
      <w:tr w:rsidR="00B97365" w14:paraId="63B6A358"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232DA18"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3E5BA1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F1FCE82"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2420AC6"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AA41496"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4270130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0A5538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182B68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5EA1AB11" w14:textId="70FDA006"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_Ref367974598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B2C8A5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6C3D2F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1804F5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3D32E7A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09687E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9E9522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Identification of the Profile </w:t>
            </w:r>
          </w:p>
          <w:p w14:paraId="5701B82C" w14:textId="53E82249"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_Ref367974604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803628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4E88AA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81BCA7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AD4E79B"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4ED18B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pol2</w:t>
            </w:r>
          </w:p>
        </w:tc>
        <w:tc>
          <w:tcPr>
            <w:tcW w:w="0" w:type="auto"/>
            <w:tcBorders>
              <w:top w:val="single" w:sz="6" w:space="0" w:color="auto"/>
              <w:left w:val="single" w:sz="6" w:space="0" w:color="auto"/>
              <w:bottom w:val="single" w:sz="4" w:space="0" w:color="auto"/>
              <w:right w:val="single" w:sz="6" w:space="0" w:color="auto"/>
            </w:tcBorders>
            <w:vAlign w:val="center"/>
            <w:hideMark/>
          </w:tcPr>
          <w:p w14:paraId="76DA807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List of POL2 rules associated with the identified Profile.</w:t>
            </w:r>
          </w:p>
          <w:p w14:paraId="377F60D3" w14:textId="19D2DDB6"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_Ref367974632 \r \h  \* MERGEFORMAT </w:instrText>
            </w:r>
            <w:r>
              <w:fldChar w:fldCharType="separate"/>
            </w:r>
            <w:r w:rsidR="001D5AD9">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2CB2416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POL2</w:t>
            </w:r>
          </w:p>
        </w:tc>
        <w:tc>
          <w:tcPr>
            <w:tcW w:w="0" w:type="auto"/>
            <w:tcBorders>
              <w:top w:val="single" w:sz="6" w:space="0" w:color="auto"/>
              <w:left w:val="single" w:sz="6" w:space="0" w:color="auto"/>
              <w:bottom w:val="single" w:sz="4" w:space="0" w:color="auto"/>
              <w:right w:val="single" w:sz="6" w:space="0" w:color="auto"/>
            </w:tcBorders>
            <w:vAlign w:val="center"/>
            <w:hideMark/>
          </w:tcPr>
          <w:p w14:paraId="4D84534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87BA77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04C621EB"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Update Policy Rules Additional Input Data</w:t>
      </w:r>
    </w:p>
    <w:p w14:paraId="400FEA8B"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Void</w:t>
      </w:r>
    </w:p>
    <w:p w14:paraId="3DA5BCD9" w14:textId="77777777" w:rsidR="00B97365" w:rsidRDefault="00000000">
      <w:pPr>
        <w:spacing w:before="0" w:after="200" w:line="276" w:lineRule="auto"/>
        <w:jc w:val="left"/>
        <w:rPr>
          <w:b/>
          <w:i/>
          <w:szCs w:val="22"/>
          <w:lang w:val="en-US" w:eastAsia="en-GB" w:bidi="ar-SA"/>
        </w:rPr>
      </w:pPr>
      <w:bookmarkStart w:id="3758" w:name="_Toc420594791"/>
      <w:r>
        <w:rPr>
          <w:rFonts w:cs="Arial"/>
          <w:b/>
          <w:i/>
          <w:szCs w:val="22"/>
          <w:lang w:val="en-US" w:eastAsia="en-GB" w:bidi="ar-SA"/>
        </w:rPr>
        <w:t>Specific status codes</w:t>
      </w:r>
      <w:bookmarkEnd w:id="3758"/>
    </w:p>
    <w:tbl>
      <w:tblPr>
        <w:tblW w:w="92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45"/>
        <w:gridCol w:w="883"/>
        <w:gridCol w:w="851"/>
        <w:gridCol w:w="1148"/>
        <w:gridCol w:w="5645"/>
      </w:tblGrid>
      <w:tr w:rsidR="00B97365" w14:paraId="5AF81F2E" w14:textId="77777777">
        <w:trPr>
          <w:trHeight w:val="342"/>
          <w:jc w:val="center"/>
        </w:trPr>
        <w:tc>
          <w:tcPr>
            <w:tcW w:w="74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A4AAF52" w14:textId="77777777" w:rsidR="00B97365" w:rsidRDefault="00000000">
            <w:pPr>
              <w:jc w:val="center"/>
              <w:rPr>
                <w:rFonts w:cs="Calibri"/>
                <w:b/>
                <w:color w:val="FFFFFF"/>
                <w:sz w:val="16"/>
                <w:szCs w:val="16"/>
              </w:rPr>
            </w:pPr>
            <w:r>
              <w:rPr>
                <w:rFonts w:cs="Calibri"/>
                <w:b/>
                <w:color w:val="FFFFFF"/>
                <w:sz w:val="16"/>
                <w:szCs w:val="16"/>
              </w:rPr>
              <w:t>Subject</w:t>
            </w:r>
          </w:p>
          <w:p w14:paraId="3E349223"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1D72F25" w14:textId="77777777" w:rsidR="00B97365" w:rsidRDefault="00000000">
            <w:pPr>
              <w:jc w:val="center"/>
              <w:rPr>
                <w:rFonts w:cs="Calibri"/>
                <w:b/>
                <w:color w:val="FFFFFF"/>
                <w:sz w:val="16"/>
                <w:szCs w:val="16"/>
              </w:rPr>
            </w:pPr>
            <w:r>
              <w:rPr>
                <w:rFonts w:cs="Calibri"/>
                <w:b/>
                <w:color w:val="FFFFFF"/>
                <w:sz w:val="16"/>
                <w:szCs w:val="16"/>
              </w:rPr>
              <w:t>Subject</w:t>
            </w:r>
          </w:p>
        </w:tc>
        <w:tc>
          <w:tcPr>
            <w:tcW w:w="85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7385D88" w14:textId="77777777" w:rsidR="00B97365" w:rsidRDefault="00000000">
            <w:pPr>
              <w:jc w:val="center"/>
              <w:rPr>
                <w:rFonts w:cs="Calibri"/>
                <w:b/>
                <w:color w:val="FFFFFF"/>
                <w:sz w:val="16"/>
                <w:szCs w:val="16"/>
              </w:rPr>
            </w:pPr>
            <w:r>
              <w:rPr>
                <w:rFonts w:cs="Calibri"/>
                <w:b/>
                <w:color w:val="FFFFFF"/>
                <w:sz w:val="16"/>
                <w:szCs w:val="16"/>
              </w:rPr>
              <w:t>Reason</w:t>
            </w:r>
          </w:p>
          <w:p w14:paraId="08690201"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F7E9171"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59E74EA"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54EBB017" w14:textId="77777777">
        <w:trPr>
          <w:trHeight w:val="282"/>
          <w:jc w:val="center"/>
        </w:trPr>
        <w:tc>
          <w:tcPr>
            <w:tcW w:w="745" w:type="dxa"/>
            <w:tcBorders>
              <w:top w:val="single" w:sz="6" w:space="0" w:color="auto"/>
              <w:left w:val="single" w:sz="4" w:space="0" w:color="auto"/>
              <w:bottom w:val="single" w:sz="6" w:space="0" w:color="auto"/>
              <w:right w:val="single" w:sz="6" w:space="0" w:color="auto"/>
            </w:tcBorders>
            <w:vAlign w:val="center"/>
            <w:hideMark/>
          </w:tcPr>
          <w:p w14:paraId="7BD11062" w14:textId="77777777" w:rsidR="00B97365" w:rsidRDefault="00000000">
            <w:pPr>
              <w:tabs>
                <w:tab w:val="right" w:pos="7938"/>
              </w:tabs>
              <w:ind w:left="470" w:hanging="459"/>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1E6E764A" w14:textId="77777777" w:rsidR="00B97365" w:rsidRDefault="00000000">
            <w:pPr>
              <w:tabs>
                <w:tab w:val="right" w:pos="7938"/>
              </w:tabs>
              <w:ind w:left="470" w:hanging="459"/>
              <w:rPr>
                <w:rFonts w:cs="Calibri"/>
                <w:sz w:val="16"/>
                <w:szCs w:val="16"/>
              </w:rPr>
            </w:pPr>
            <w:r>
              <w:rPr>
                <w:rFonts w:cs="Calibri"/>
                <w:sz w:val="16"/>
                <w:szCs w:val="16"/>
              </w:rPr>
              <w:t>EID</w:t>
            </w:r>
          </w:p>
        </w:tc>
        <w:tc>
          <w:tcPr>
            <w:tcW w:w="851" w:type="dxa"/>
            <w:tcBorders>
              <w:top w:val="single" w:sz="6" w:space="0" w:color="auto"/>
              <w:left w:val="single" w:sz="6" w:space="0" w:color="auto"/>
              <w:bottom w:val="single" w:sz="6" w:space="0" w:color="auto"/>
              <w:right w:val="single" w:sz="6" w:space="0" w:color="auto"/>
            </w:tcBorders>
            <w:vAlign w:val="center"/>
            <w:hideMark/>
          </w:tcPr>
          <w:p w14:paraId="0EBCC3EF" w14:textId="77777777" w:rsidR="00B97365" w:rsidRDefault="00000000">
            <w:pPr>
              <w:tabs>
                <w:tab w:val="right" w:pos="7938"/>
              </w:tabs>
              <w:ind w:left="470" w:hanging="459"/>
              <w:jc w:val="center"/>
              <w:rPr>
                <w:rFonts w:cs="Calibri"/>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7AB57380" w14:textId="77777777" w:rsidR="00B97365" w:rsidRDefault="00000000">
            <w:pPr>
              <w:tabs>
                <w:tab w:val="right" w:pos="7938"/>
              </w:tabs>
              <w:ind w:left="470" w:hanging="459"/>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1E1CE0E0" w14:textId="77777777" w:rsidR="00B97365" w:rsidRDefault="00000000">
            <w:pPr>
              <w:rPr>
                <w:rFonts w:cs="Calibri"/>
                <w:sz w:val="16"/>
                <w:szCs w:val="16"/>
              </w:rPr>
            </w:pPr>
            <w:r>
              <w:rPr>
                <w:rFonts w:cs="Calibri"/>
                <w:sz w:val="16"/>
                <w:szCs w:val="16"/>
              </w:rPr>
              <w:t>Indicates that the eUICC, identified by this EID, is unknown to the function provider</w:t>
            </w:r>
          </w:p>
        </w:tc>
      </w:tr>
      <w:tr w:rsidR="00B97365" w14:paraId="6B7E28E7" w14:textId="77777777">
        <w:trPr>
          <w:trHeight w:val="282"/>
          <w:jc w:val="center"/>
        </w:trPr>
        <w:tc>
          <w:tcPr>
            <w:tcW w:w="745" w:type="dxa"/>
            <w:tcBorders>
              <w:top w:val="single" w:sz="6" w:space="0" w:color="auto"/>
              <w:left w:val="single" w:sz="4" w:space="0" w:color="auto"/>
              <w:bottom w:val="single" w:sz="6" w:space="0" w:color="auto"/>
              <w:right w:val="single" w:sz="6" w:space="0" w:color="auto"/>
            </w:tcBorders>
            <w:vAlign w:val="center"/>
            <w:hideMark/>
          </w:tcPr>
          <w:p w14:paraId="70CF3D77" w14:textId="77777777" w:rsidR="00B97365" w:rsidRDefault="00000000">
            <w:pPr>
              <w:tabs>
                <w:tab w:val="right" w:pos="7938"/>
              </w:tabs>
              <w:ind w:left="470" w:hanging="459"/>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5975F9A3" w14:textId="77777777" w:rsidR="00B97365" w:rsidRDefault="00000000">
            <w:pPr>
              <w:tabs>
                <w:tab w:val="right" w:pos="7938"/>
              </w:tabs>
              <w:ind w:left="18" w:hanging="7"/>
              <w:rPr>
                <w:rFonts w:cs="Calibri"/>
                <w:sz w:val="16"/>
                <w:szCs w:val="16"/>
              </w:rPr>
            </w:pPr>
            <w:r>
              <w:rPr>
                <w:rFonts w:cs="Calibri"/>
                <w:sz w:val="16"/>
                <w:szCs w:val="16"/>
              </w:rPr>
              <w:t>Profile ICCID</w:t>
            </w:r>
          </w:p>
        </w:tc>
        <w:tc>
          <w:tcPr>
            <w:tcW w:w="851" w:type="dxa"/>
            <w:tcBorders>
              <w:top w:val="single" w:sz="6" w:space="0" w:color="auto"/>
              <w:left w:val="single" w:sz="6" w:space="0" w:color="auto"/>
              <w:bottom w:val="single" w:sz="6" w:space="0" w:color="auto"/>
              <w:right w:val="single" w:sz="6" w:space="0" w:color="auto"/>
            </w:tcBorders>
            <w:vAlign w:val="center"/>
            <w:hideMark/>
          </w:tcPr>
          <w:p w14:paraId="1DF6C25A" w14:textId="77777777" w:rsidR="00B97365" w:rsidRDefault="00000000">
            <w:pPr>
              <w:tabs>
                <w:tab w:val="right" w:pos="7938"/>
              </w:tabs>
              <w:ind w:left="470" w:hanging="459"/>
              <w:jc w:val="center"/>
              <w:rPr>
                <w:rFonts w:cs="Calibri"/>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1E8AABE6" w14:textId="77777777" w:rsidR="00B97365" w:rsidRDefault="00000000">
            <w:pPr>
              <w:tabs>
                <w:tab w:val="right" w:pos="7938"/>
              </w:tabs>
              <w:ind w:left="470" w:hanging="459"/>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48F148AE" w14:textId="77777777" w:rsidR="00B97365" w:rsidRDefault="00000000">
            <w:pPr>
              <w:rPr>
                <w:rFonts w:cs="Calibri"/>
                <w:sz w:val="16"/>
                <w:szCs w:val="16"/>
              </w:rPr>
            </w:pPr>
            <w:r>
              <w:rPr>
                <w:rFonts w:cs="Calibri"/>
                <w:sz w:val="16"/>
                <w:szCs w:val="16"/>
              </w:rPr>
              <w:t>Indicates that the Profile identified by this ICCID is unknown to the function provider.</w:t>
            </w:r>
          </w:p>
        </w:tc>
      </w:tr>
      <w:tr w:rsidR="00B97365" w14:paraId="33A73A99" w14:textId="77777777">
        <w:trPr>
          <w:trHeight w:val="282"/>
          <w:jc w:val="center"/>
        </w:trPr>
        <w:tc>
          <w:tcPr>
            <w:tcW w:w="745" w:type="dxa"/>
            <w:tcBorders>
              <w:top w:val="single" w:sz="6" w:space="0" w:color="auto"/>
              <w:left w:val="single" w:sz="4" w:space="0" w:color="auto"/>
              <w:bottom w:val="single" w:sz="6" w:space="0" w:color="auto"/>
              <w:right w:val="single" w:sz="6" w:space="0" w:color="auto"/>
            </w:tcBorders>
            <w:vAlign w:val="center"/>
            <w:hideMark/>
          </w:tcPr>
          <w:p w14:paraId="61F4231F" w14:textId="77777777" w:rsidR="00B97365" w:rsidRDefault="00000000">
            <w:pPr>
              <w:tabs>
                <w:tab w:val="right" w:pos="7938"/>
              </w:tabs>
              <w:ind w:left="470" w:hanging="459"/>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6DF44A2E" w14:textId="77777777" w:rsidR="00B97365" w:rsidRDefault="00000000">
            <w:pPr>
              <w:tabs>
                <w:tab w:val="right" w:pos="7938"/>
              </w:tabs>
              <w:ind w:left="18" w:hanging="7"/>
              <w:rPr>
                <w:rFonts w:cs="Calibri"/>
                <w:sz w:val="16"/>
                <w:szCs w:val="16"/>
              </w:rPr>
            </w:pPr>
            <w:r>
              <w:rPr>
                <w:rFonts w:cs="Calibri"/>
                <w:sz w:val="16"/>
                <w:szCs w:val="16"/>
              </w:rPr>
              <w:t>Profile ICCID</w:t>
            </w:r>
          </w:p>
        </w:tc>
        <w:tc>
          <w:tcPr>
            <w:tcW w:w="851" w:type="dxa"/>
            <w:tcBorders>
              <w:top w:val="single" w:sz="6" w:space="0" w:color="auto"/>
              <w:left w:val="single" w:sz="6" w:space="0" w:color="auto"/>
              <w:bottom w:val="single" w:sz="6" w:space="0" w:color="auto"/>
              <w:right w:val="single" w:sz="6" w:space="0" w:color="auto"/>
            </w:tcBorders>
            <w:vAlign w:val="center"/>
            <w:hideMark/>
          </w:tcPr>
          <w:p w14:paraId="4FCEB275" w14:textId="77777777" w:rsidR="00B97365" w:rsidRDefault="00000000">
            <w:pPr>
              <w:tabs>
                <w:tab w:val="right" w:pos="7938"/>
              </w:tabs>
              <w:ind w:left="470" w:hanging="459"/>
              <w:jc w:val="center"/>
              <w:rPr>
                <w:rFonts w:cs="Calibri"/>
                <w:sz w:val="16"/>
                <w:szCs w:val="16"/>
              </w:rPr>
            </w:pPr>
            <w:r>
              <w:rPr>
                <w:rFonts w:cs="Calibri"/>
                <w:sz w:val="16"/>
                <w:szCs w:val="16"/>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47A11423" w14:textId="77777777" w:rsidR="00B97365" w:rsidRDefault="00000000">
            <w:pPr>
              <w:tabs>
                <w:tab w:val="right" w:pos="7938"/>
              </w:tabs>
              <w:ind w:firstLine="11"/>
              <w:rPr>
                <w:rFonts w:cs="Calibri"/>
                <w:sz w:val="16"/>
                <w:szCs w:val="16"/>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098E5032" w14:textId="77777777" w:rsidR="00B97365" w:rsidRDefault="00000000">
            <w:pPr>
              <w:rPr>
                <w:rFonts w:cs="Calibri"/>
                <w:sz w:val="16"/>
                <w:szCs w:val="16"/>
              </w:rPr>
            </w:pPr>
            <w:r>
              <w:rPr>
                <w:rFonts w:cs="Calibri"/>
                <w:sz w:val="16"/>
                <w:szCs w:val="16"/>
              </w:rPr>
              <w:t>Indicates that the Profile identified by this ICCID is known to the function provider but installed on another eUICC than the one identified by the function caller.</w:t>
            </w:r>
          </w:p>
        </w:tc>
      </w:tr>
      <w:tr w:rsidR="00B97365" w14:paraId="351322BE" w14:textId="77777777">
        <w:trPr>
          <w:trHeight w:val="282"/>
          <w:jc w:val="center"/>
        </w:trPr>
        <w:tc>
          <w:tcPr>
            <w:tcW w:w="745" w:type="dxa"/>
            <w:tcBorders>
              <w:top w:val="single" w:sz="6" w:space="0" w:color="auto"/>
              <w:left w:val="single" w:sz="4" w:space="0" w:color="auto"/>
              <w:bottom w:val="single" w:sz="4" w:space="0" w:color="auto"/>
              <w:right w:val="single" w:sz="6" w:space="0" w:color="auto"/>
            </w:tcBorders>
            <w:vAlign w:val="center"/>
            <w:hideMark/>
          </w:tcPr>
          <w:p w14:paraId="317FCE68" w14:textId="77777777" w:rsidR="00B97365" w:rsidRDefault="00000000">
            <w:pPr>
              <w:tabs>
                <w:tab w:val="right" w:pos="7938"/>
              </w:tabs>
              <w:ind w:left="470" w:hanging="459"/>
              <w:jc w:val="center"/>
              <w:rPr>
                <w:rFonts w:cs="Calibri"/>
                <w:sz w:val="16"/>
                <w:szCs w:val="16"/>
              </w:rPr>
            </w:pPr>
            <w:r>
              <w:rPr>
                <w:rFonts w:cs="Calibri"/>
                <w:sz w:val="16"/>
                <w:szCs w:val="16"/>
              </w:rPr>
              <w:t>8.2.3</w:t>
            </w:r>
          </w:p>
        </w:tc>
        <w:tc>
          <w:tcPr>
            <w:tcW w:w="0" w:type="auto"/>
            <w:tcBorders>
              <w:top w:val="single" w:sz="6" w:space="0" w:color="auto"/>
              <w:left w:val="single" w:sz="6" w:space="0" w:color="auto"/>
              <w:bottom w:val="single" w:sz="4" w:space="0" w:color="auto"/>
              <w:right w:val="single" w:sz="6" w:space="0" w:color="auto"/>
            </w:tcBorders>
            <w:vAlign w:val="center"/>
            <w:hideMark/>
          </w:tcPr>
          <w:p w14:paraId="0F1E48EC" w14:textId="77777777" w:rsidR="00B97365" w:rsidRDefault="00000000">
            <w:pPr>
              <w:tabs>
                <w:tab w:val="right" w:pos="7938"/>
              </w:tabs>
              <w:ind w:left="470" w:hanging="459"/>
              <w:rPr>
                <w:rFonts w:cs="Calibri"/>
                <w:sz w:val="16"/>
                <w:szCs w:val="16"/>
              </w:rPr>
            </w:pPr>
            <w:r>
              <w:rPr>
                <w:rFonts w:cs="Calibri"/>
                <w:sz w:val="16"/>
                <w:szCs w:val="16"/>
              </w:rPr>
              <w:t>POL2</w:t>
            </w:r>
          </w:p>
        </w:tc>
        <w:tc>
          <w:tcPr>
            <w:tcW w:w="851" w:type="dxa"/>
            <w:tcBorders>
              <w:top w:val="single" w:sz="6" w:space="0" w:color="auto"/>
              <w:left w:val="single" w:sz="6" w:space="0" w:color="auto"/>
              <w:bottom w:val="single" w:sz="4" w:space="0" w:color="auto"/>
              <w:right w:val="single" w:sz="6" w:space="0" w:color="auto"/>
            </w:tcBorders>
            <w:vAlign w:val="center"/>
            <w:hideMark/>
          </w:tcPr>
          <w:p w14:paraId="17E030BF" w14:textId="77777777" w:rsidR="00B97365" w:rsidRDefault="00000000">
            <w:pPr>
              <w:tabs>
                <w:tab w:val="right" w:pos="7938"/>
              </w:tabs>
              <w:ind w:left="470" w:hanging="459"/>
              <w:jc w:val="center"/>
              <w:rPr>
                <w:rFonts w:cs="Calibri"/>
                <w:sz w:val="16"/>
                <w:szCs w:val="16"/>
              </w:rPr>
            </w:pPr>
            <w:r>
              <w:rPr>
                <w:rFonts w:cs="Calibri"/>
                <w:sz w:val="16"/>
                <w:szCs w:val="16"/>
              </w:rPr>
              <w:t>2.1</w:t>
            </w:r>
          </w:p>
        </w:tc>
        <w:tc>
          <w:tcPr>
            <w:tcW w:w="0" w:type="auto"/>
            <w:tcBorders>
              <w:top w:val="single" w:sz="6" w:space="0" w:color="auto"/>
              <w:left w:val="single" w:sz="6" w:space="0" w:color="auto"/>
              <w:bottom w:val="single" w:sz="4" w:space="0" w:color="auto"/>
              <w:right w:val="single" w:sz="6" w:space="0" w:color="auto"/>
            </w:tcBorders>
            <w:vAlign w:val="center"/>
            <w:hideMark/>
          </w:tcPr>
          <w:p w14:paraId="0EBACCE8" w14:textId="77777777" w:rsidR="00B97365" w:rsidRDefault="00000000">
            <w:pPr>
              <w:rPr>
                <w:rFonts w:cs="Calibri"/>
                <w:sz w:val="16"/>
                <w:szCs w:val="16"/>
              </w:rPr>
            </w:pPr>
            <w:r>
              <w:rPr>
                <w:rFonts w:cs="Calibri"/>
                <w:sz w:val="16"/>
                <w:szCs w:val="16"/>
              </w:rPr>
              <w:t>Invalid</w:t>
            </w:r>
          </w:p>
        </w:tc>
        <w:tc>
          <w:tcPr>
            <w:tcW w:w="0" w:type="auto"/>
            <w:tcBorders>
              <w:top w:val="single" w:sz="6" w:space="0" w:color="auto"/>
              <w:left w:val="single" w:sz="6" w:space="0" w:color="auto"/>
              <w:bottom w:val="single" w:sz="4" w:space="0" w:color="auto"/>
              <w:right w:val="single" w:sz="4" w:space="0" w:color="auto"/>
            </w:tcBorders>
            <w:vAlign w:val="center"/>
            <w:hideMark/>
          </w:tcPr>
          <w:p w14:paraId="2F5398A1" w14:textId="77777777" w:rsidR="00B97365" w:rsidRDefault="00000000">
            <w:pPr>
              <w:rPr>
                <w:rFonts w:cs="Calibri"/>
                <w:sz w:val="16"/>
                <w:szCs w:val="16"/>
              </w:rPr>
            </w:pPr>
            <w:r>
              <w:rPr>
                <w:rFonts w:cs="Calibri"/>
                <w:sz w:val="16"/>
                <w:szCs w:val="16"/>
              </w:rPr>
              <w:t>Indicates that the POL2 is invalid.</w:t>
            </w:r>
          </w:p>
        </w:tc>
      </w:tr>
    </w:tbl>
    <w:p w14:paraId="3A28AD17"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Update Policy Rules Specific Status Codes</w:t>
      </w:r>
    </w:p>
    <w:p w14:paraId="45850B92"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759" w:name="_Toc448998274"/>
      <w:bookmarkStart w:id="3760" w:name="_Toc422150750"/>
      <w:bookmarkStart w:id="3761" w:name="_Toc421874335"/>
      <w:bookmarkStart w:id="3762" w:name="_Toc420594792"/>
      <w:bookmarkStart w:id="3763" w:name="_Toc398214876"/>
      <w:bookmarkStart w:id="3764" w:name="_Toc375158292"/>
      <w:bookmarkStart w:id="3765" w:name="_Toc368932301"/>
      <w:bookmarkStart w:id="3766" w:name="_Ref367978669"/>
      <w:bookmarkStart w:id="3767" w:name="_Ref367978661"/>
      <w:bookmarkStart w:id="3768" w:name="_Ref367974501"/>
      <w:bookmarkStart w:id="3769" w:name="_Ref367973892"/>
      <w:bookmarkStart w:id="3770" w:name="_Ref367972106"/>
      <w:bookmarkStart w:id="3771" w:name="_Toc352671585"/>
      <w:bookmarkStart w:id="3772" w:name="_Toc486332892"/>
      <w:bookmarkStart w:id="3773" w:name="_Toc1977384"/>
      <w:bookmarkStart w:id="3774" w:name="_Toc37062543"/>
      <w:bookmarkStart w:id="3775" w:name="_Toc88839617"/>
      <w:bookmarkStart w:id="3776" w:name="_Toc121504025"/>
      <w:r>
        <w:rPr>
          <w:rFonts w:eastAsia="Times New Roman" w:cs="Arial"/>
          <w:b/>
          <w:sz w:val="24"/>
          <w:szCs w:val="26"/>
          <w:lang w:eastAsia="en-US"/>
        </w:rPr>
        <w:t>Updating eUICC Information</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14:paraId="1C19AD1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UpdateSubscriptionAddress</w:t>
      </w:r>
    </w:p>
    <w:p w14:paraId="2011348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 Profile Enabling, Profile Enabling via SM-DP</w:t>
      </w:r>
    </w:p>
    <w:p w14:paraId="4F18E03B"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Function group</w:t>
      </w:r>
      <w:r>
        <w:rPr>
          <w:szCs w:val="22"/>
          <w:lang w:val="en-US" w:eastAsia="en-GB" w:bidi="ar-SA"/>
        </w:rPr>
        <w:t>: Profile Management</w:t>
      </w:r>
    </w:p>
    <w:p w14:paraId="085F125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424EBA4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enables the caller to update the Subscription Address for a Profile in the eUICC Information Set (EIS) of a particular eUICC identified by the EID and ICCID. The Subscription Address is the identifier, such as MSISDN and/or IMSI, through which the eUICC is accessible from the SM-SR via the mobile network when the Profile is in Enabled state.</w:t>
      </w:r>
    </w:p>
    <w:p w14:paraId="614D954D" w14:textId="77777777" w:rsidR="00B97365" w:rsidRDefault="00000000">
      <w:pPr>
        <w:spacing w:before="0" w:after="200" w:line="276" w:lineRule="auto"/>
        <w:jc w:val="left"/>
        <w:rPr>
          <w:szCs w:val="22"/>
          <w:lang w:val="en-US" w:eastAsia="en-GB" w:bidi="ar-SA"/>
        </w:rPr>
      </w:pPr>
      <w:r>
        <w:rPr>
          <w:szCs w:val="22"/>
          <w:lang w:val="en-US" w:eastAsia="en-GB" w:bidi="ar-SA"/>
        </w:rPr>
        <w:t>The SM-DP SHALL indicate on behalf of which Operator it is requesting this operation.</w:t>
      </w:r>
    </w:p>
    <w:p w14:paraId="7865A4CE" w14:textId="77777777" w:rsidR="00B97365" w:rsidRDefault="00000000">
      <w:pPr>
        <w:spacing w:before="0" w:after="200" w:line="276" w:lineRule="auto"/>
        <w:jc w:val="left"/>
        <w:rPr>
          <w:szCs w:val="22"/>
          <w:lang w:val="en-US" w:eastAsia="en-GB" w:bidi="ar-SA"/>
        </w:rPr>
      </w:pPr>
      <w:r>
        <w:rPr>
          <w:szCs w:val="22"/>
          <w:lang w:val="en-US" w:eastAsia="en-GB" w:bidi="ar-SA"/>
        </w:rPr>
        <w:t>The SM-SR SHALL verify that the request is:</w:t>
      </w:r>
    </w:p>
    <w:p w14:paraId="6E705A02"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Either sent on behalf of an Operator owning the targeted Profile </w:t>
      </w:r>
    </w:p>
    <w:p w14:paraId="673A0393" w14:textId="77777777" w:rsidR="00B97365" w:rsidRDefault="00000000">
      <w:pPr>
        <w:tabs>
          <w:tab w:val="left" w:pos="680"/>
        </w:tabs>
        <w:spacing w:before="0" w:after="200" w:line="276" w:lineRule="auto"/>
        <w:ind w:left="340"/>
        <w:contextualSpacing/>
        <w:jc w:val="left"/>
        <w:rPr>
          <w:szCs w:val="22"/>
          <w:lang w:val="en-US" w:eastAsia="en-GB" w:bidi="ar-SA"/>
        </w:rPr>
      </w:pPr>
      <w:r>
        <w:rPr>
          <w:szCs w:val="22"/>
          <w:lang w:val="en-US" w:eastAsia="en-GB" w:bidi="ar-SA"/>
        </w:rPr>
        <w:tab/>
        <w:t xml:space="preserve">or </w:t>
      </w:r>
    </w:p>
    <w:p w14:paraId="37A7FA31"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Sent on behalf of an Operator that is not the owner of the targeted Profile, but the Operator owning the targeted Profile has granted a PLMA allowing the operation “UpdateSubscriptionAddress” to the Operator requesting the operation.</w:t>
      </w:r>
    </w:p>
    <w:p w14:paraId="4235F0D5" w14:textId="77777777" w:rsidR="00B97365" w:rsidRDefault="00000000">
      <w:pPr>
        <w:spacing w:before="0" w:after="200" w:line="276" w:lineRule="auto"/>
        <w:jc w:val="left"/>
        <w:rPr>
          <w:szCs w:val="22"/>
          <w:lang w:val="en-US" w:eastAsia="en-GB" w:bidi="ar-SA"/>
        </w:rPr>
      </w:pPr>
      <w:r>
        <w:rPr>
          <w:szCs w:val="22"/>
          <w:lang w:val="en-US" w:eastAsia="en-GB" w:bidi="ar-SA"/>
        </w:rPr>
        <w:t>The SM-SR MAY provide additional verifications.</w:t>
      </w:r>
    </w:p>
    <w:p w14:paraId="2A64FCB6" w14:textId="77777777" w:rsidR="00B97365" w:rsidRDefault="00000000">
      <w:pPr>
        <w:spacing w:before="0" w:after="200" w:line="276" w:lineRule="auto"/>
        <w:jc w:val="left"/>
        <w:rPr>
          <w:szCs w:val="22"/>
          <w:lang w:val="en-US" w:eastAsia="en-GB" w:bidi="ar-SA"/>
        </w:rPr>
      </w:pPr>
      <w:r>
        <w:rPr>
          <w:szCs w:val="22"/>
          <w:lang w:val="en-US" w:eastAsia="en-GB" w:bidi="ar-SA"/>
        </w:rPr>
        <w:t>The function replaces the content of the Subscription Address. For consistency within the system, it is the responsibility of the caller to ensure that all data is provided. This function may return:</w:t>
      </w:r>
    </w:p>
    <w:p w14:paraId="7F3FAA14"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UpdateSubscriptionAddress function has been successfully executed by the SM-SR as requested by the function caller. </w:t>
      </w:r>
    </w:p>
    <w:p w14:paraId="486CCAE9" w14:textId="3F126A7C"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rPr>
          <w:szCs w:val="22"/>
          <w:lang w:eastAsia="en-GB" w:bidi="ar-SA"/>
        </w:rPr>
        <w:fldChar w:fldCharType="begin"/>
      </w:r>
      <w:r>
        <w:rPr>
          <w:szCs w:val="22"/>
          <w:lang w:eastAsia="en-GB" w:bidi="ar-SA"/>
        </w:rPr>
        <w:instrText xml:space="preserve"> REF _Ref367974646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r>
        <w:rPr>
          <w:szCs w:val="22"/>
          <w:lang w:eastAsia="en-GB" w:bidi="ar-SA"/>
        </w:rPr>
        <w:t xml:space="preserve"> of a specific status code as defined in the table below.</w:t>
      </w:r>
    </w:p>
    <w:p w14:paraId="10B11A0C" w14:textId="77777777" w:rsidR="00B97365" w:rsidRDefault="00B97365">
      <w:pPr>
        <w:tabs>
          <w:tab w:val="left" w:pos="680"/>
        </w:tabs>
        <w:spacing w:before="0" w:after="200" w:line="276" w:lineRule="auto"/>
        <w:contextualSpacing/>
        <w:jc w:val="left"/>
        <w:rPr>
          <w:rFonts w:cs="Arial"/>
          <w:szCs w:val="22"/>
          <w:lang w:eastAsia="en-GB" w:bidi="ar-SA"/>
        </w:rPr>
      </w:pPr>
    </w:p>
    <w:p w14:paraId="75410A2F" w14:textId="77777777" w:rsidR="00B97365" w:rsidRDefault="00000000">
      <w:pPr>
        <w:spacing w:before="0" w:after="200" w:line="276" w:lineRule="auto"/>
        <w:jc w:val="left"/>
        <w:rPr>
          <w:b/>
          <w:i/>
          <w:szCs w:val="22"/>
          <w:lang w:val="en-US" w:eastAsia="en-GB" w:bidi="ar-SA"/>
        </w:rPr>
      </w:pPr>
      <w:bookmarkStart w:id="3777" w:name="_Toc420594793"/>
      <w:r>
        <w:rPr>
          <w:rFonts w:cs="Arial"/>
          <w:b/>
          <w:i/>
          <w:szCs w:val="22"/>
          <w:lang w:val="en-US" w:eastAsia="en-GB" w:bidi="ar-SA"/>
        </w:rPr>
        <w:t>Additional input data:</w:t>
      </w:r>
      <w:bookmarkEnd w:id="377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1"/>
        <w:gridCol w:w="2951"/>
        <w:gridCol w:w="1652"/>
        <w:gridCol w:w="398"/>
        <w:gridCol w:w="514"/>
      </w:tblGrid>
      <w:tr w:rsidR="00B97365" w14:paraId="345C237E"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B30A66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46BDA6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8A7D68C"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9DEAD60"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EAE00A9"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3A1DF77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DCA794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B9B973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4B044369" w14:textId="53ADA5BF"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_Ref367974659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D9B02D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EC9AB7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9C372F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310FE37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AABA7F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6575B64"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 Profile.</w:t>
            </w:r>
          </w:p>
          <w:p w14:paraId="3059C8B2" w14:textId="261838A5"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_Ref367974665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F75256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C2A0C2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422407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F69A90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995CB4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newSubscriptionAddress</w:t>
            </w:r>
          </w:p>
        </w:tc>
        <w:tc>
          <w:tcPr>
            <w:tcW w:w="0" w:type="auto"/>
            <w:tcBorders>
              <w:top w:val="single" w:sz="6" w:space="0" w:color="auto"/>
              <w:left w:val="single" w:sz="6" w:space="0" w:color="auto"/>
              <w:bottom w:val="single" w:sz="4" w:space="0" w:color="auto"/>
              <w:right w:val="single" w:sz="6" w:space="0" w:color="auto"/>
            </w:tcBorders>
            <w:vAlign w:val="center"/>
            <w:hideMark/>
          </w:tcPr>
          <w:p w14:paraId="12A36EF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The new Subscription Address</w:t>
            </w:r>
          </w:p>
        </w:tc>
        <w:tc>
          <w:tcPr>
            <w:tcW w:w="0" w:type="auto"/>
            <w:tcBorders>
              <w:top w:val="single" w:sz="6" w:space="0" w:color="auto"/>
              <w:left w:val="single" w:sz="6" w:space="0" w:color="auto"/>
              <w:bottom w:val="single" w:sz="4" w:space="0" w:color="auto"/>
              <w:right w:val="single" w:sz="6" w:space="0" w:color="auto"/>
            </w:tcBorders>
            <w:vAlign w:val="center"/>
            <w:hideMark/>
          </w:tcPr>
          <w:p w14:paraId="22E4678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Subscription Address</w:t>
            </w:r>
          </w:p>
        </w:tc>
        <w:tc>
          <w:tcPr>
            <w:tcW w:w="0" w:type="auto"/>
            <w:tcBorders>
              <w:top w:val="single" w:sz="6" w:space="0" w:color="auto"/>
              <w:left w:val="single" w:sz="6" w:space="0" w:color="auto"/>
              <w:bottom w:val="single" w:sz="4" w:space="0" w:color="auto"/>
              <w:right w:val="single" w:sz="6" w:space="0" w:color="auto"/>
            </w:tcBorders>
            <w:vAlign w:val="center"/>
            <w:hideMark/>
          </w:tcPr>
          <w:p w14:paraId="2F64543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36FEFE2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4387A4CD"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Update Subscription Address Additional Input Data</w:t>
      </w:r>
    </w:p>
    <w:p w14:paraId="45CA2C28" w14:textId="77777777" w:rsidR="00B97365" w:rsidRDefault="00000000">
      <w:pPr>
        <w:spacing w:before="0" w:after="200" w:line="276" w:lineRule="auto"/>
        <w:jc w:val="left"/>
        <w:rPr>
          <w:b/>
          <w:i/>
          <w:szCs w:val="22"/>
          <w:lang w:val="en-US" w:eastAsia="en-GB" w:bidi="ar-SA"/>
        </w:rPr>
      </w:pPr>
      <w:bookmarkStart w:id="3778" w:name="_Toc420594794"/>
      <w:r>
        <w:rPr>
          <w:rFonts w:cs="Arial"/>
          <w:b/>
          <w:i/>
          <w:szCs w:val="22"/>
          <w:lang w:val="en-US" w:eastAsia="en-GB" w:bidi="ar-SA"/>
        </w:rPr>
        <w:t>Additional output data:</w:t>
      </w:r>
      <w:bookmarkEnd w:id="3778"/>
    </w:p>
    <w:p w14:paraId="780CD2A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has no additional output data:</w:t>
      </w:r>
    </w:p>
    <w:p w14:paraId="1EF9F529" w14:textId="77777777" w:rsidR="00B97365" w:rsidRDefault="00000000">
      <w:pPr>
        <w:spacing w:before="0" w:after="200" w:line="276" w:lineRule="auto"/>
        <w:jc w:val="left"/>
        <w:rPr>
          <w:b/>
          <w:i/>
          <w:szCs w:val="22"/>
          <w:lang w:val="en-US" w:eastAsia="en-GB" w:bidi="ar-SA"/>
        </w:rPr>
      </w:pPr>
      <w:bookmarkStart w:id="3779" w:name="_Toc420594795"/>
      <w:r>
        <w:rPr>
          <w:rFonts w:cs="Arial"/>
          <w:b/>
          <w:i/>
          <w:szCs w:val="22"/>
          <w:lang w:val="en-US" w:eastAsia="en-GB" w:bidi="ar-SA"/>
        </w:rPr>
        <w:t>Specific status codes</w:t>
      </w:r>
      <w:bookmarkEnd w:id="3779"/>
    </w:p>
    <w:tbl>
      <w:tblPr>
        <w:tblW w:w="96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95"/>
        <w:gridCol w:w="1448"/>
        <w:gridCol w:w="1048"/>
        <w:gridCol w:w="1789"/>
        <w:gridCol w:w="4436"/>
      </w:tblGrid>
      <w:tr w:rsidR="00B97365" w14:paraId="1BEC42DE" w14:textId="77777777">
        <w:trPr>
          <w:trHeight w:val="342"/>
          <w:jc w:val="center"/>
        </w:trPr>
        <w:tc>
          <w:tcPr>
            <w:tcW w:w="89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63EEB0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lastRenderedPageBreak/>
              <w:t>Subject</w:t>
            </w:r>
          </w:p>
          <w:p w14:paraId="66CC44A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572F9C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Subject</w:t>
            </w:r>
          </w:p>
        </w:tc>
        <w:tc>
          <w:tcPr>
            <w:tcW w:w="104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6E6620C"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Reason</w:t>
            </w:r>
          </w:p>
          <w:p w14:paraId="2F4C5D1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F9D4448"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F5145B6"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r>
      <w:tr w:rsidR="00B97365" w14:paraId="721FCAE6" w14:textId="77777777">
        <w:trPr>
          <w:trHeight w:val="282"/>
          <w:jc w:val="center"/>
        </w:trPr>
        <w:tc>
          <w:tcPr>
            <w:tcW w:w="895" w:type="dxa"/>
            <w:tcBorders>
              <w:top w:val="single" w:sz="6" w:space="0" w:color="auto"/>
              <w:left w:val="single" w:sz="4" w:space="0" w:color="auto"/>
              <w:bottom w:val="single" w:sz="6" w:space="0" w:color="auto"/>
              <w:right w:val="single" w:sz="6" w:space="0" w:color="auto"/>
            </w:tcBorders>
            <w:vAlign w:val="center"/>
            <w:hideMark/>
          </w:tcPr>
          <w:p w14:paraId="51CDF9E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65F979D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1048" w:type="dxa"/>
            <w:tcBorders>
              <w:top w:val="single" w:sz="6" w:space="0" w:color="auto"/>
              <w:left w:val="single" w:sz="6" w:space="0" w:color="auto"/>
              <w:bottom w:val="single" w:sz="6" w:space="0" w:color="auto"/>
              <w:right w:val="single" w:sz="6" w:space="0" w:color="auto"/>
            </w:tcBorders>
            <w:vAlign w:val="center"/>
            <w:hideMark/>
          </w:tcPr>
          <w:p w14:paraId="2EC44CA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3BBC8B5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4B39593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EIS identified by this EID, is unknown to the function provider</w:t>
            </w:r>
          </w:p>
        </w:tc>
      </w:tr>
      <w:tr w:rsidR="00B97365" w14:paraId="16F91258" w14:textId="77777777">
        <w:trPr>
          <w:trHeight w:val="282"/>
          <w:jc w:val="center"/>
        </w:trPr>
        <w:tc>
          <w:tcPr>
            <w:tcW w:w="895" w:type="dxa"/>
            <w:tcBorders>
              <w:top w:val="single" w:sz="6" w:space="0" w:color="auto"/>
              <w:left w:val="single" w:sz="4" w:space="0" w:color="auto"/>
              <w:bottom w:val="single" w:sz="6" w:space="0" w:color="auto"/>
              <w:right w:val="single" w:sz="6" w:space="0" w:color="auto"/>
            </w:tcBorders>
            <w:vAlign w:val="center"/>
            <w:hideMark/>
          </w:tcPr>
          <w:p w14:paraId="48B7BD6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4BEB2A1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1048" w:type="dxa"/>
            <w:tcBorders>
              <w:top w:val="single" w:sz="6" w:space="0" w:color="auto"/>
              <w:left w:val="single" w:sz="6" w:space="0" w:color="auto"/>
              <w:bottom w:val="single" w:sz="6" w:space="0" w:color="auto"/>
              <w:right w:val="single" w:sz="6" w:space="0" w:color="auto"/>
            </w:tcBorders>
            <w:vAlign w:val="center"/>
            <w:hideMark/>
          </w:tcPr>
          <w:p w14:paraId="17BB456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066209A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7A1872C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Profile identified by the ICCID, is unknown to the function provider</w:t>
            </w:r>
          </w:p>
        </w:tc>
      </w:tr>
      <w:tr w:rsidR="00B97365" w14:paraId="2EEF9C60" w14:textId="77777777">
        <w:trPr>
          <w:trHeight w:val="282"/>
          <w:jc w:val="center"/>
        </w:trPr>
        <w:tc>
          <w:tcPr>
            <w:tcW w:w="895" w:type="dxa"/>
            <w:tcBorders>
              <w:top w:val="single" w:sz="6" w:space="0" w:color="auto"/>
              <w:left w:val="single" w:sz="4" w:space="0" w:color="auto"/>
              <w:bottom w:val="single" w:sz="4" w:space="0" w:color="auto"/>
              <w:right w:val="single" w:sz="6" w:space="0" w:color="auto"/>
            </w:tcBorders>
            <w:vAlign w:val="center"/>
            <w:hideMark/>
          </w:tcPr>
          <w:p w14:paraId="6C4174C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8.2.6</w:t>
            </w:r>
          </w:p>
        </w:tc>
        <w:tc>
          <w:tcPr>
            <w:tcW w:w="0" w:type="auto"/>
            <w:tcBorders>
              <w:top w:val="single" w:sz="6" w:space="0" w:color="auto"/>
              <w:left w:val="single" w:sz="6" w:space="0" w:color="auto"/>
              <w:bottom w:val="single" w:sz="4" w:space="0" w:color="auto"/>
              <w:right w:val="single" w:sz="6" w:space="0" w:color="auto"/>
            </w:tcBorders>
            <w:vAlign w:val="center"/>
            <w:hideMark/>
          </w:tcPr>
          <w:p w14:paraId="262A336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Subscription Address</w:t>
            </w:r>
          </w:p>
        </w:tc>
        <w:tc>
          <w:tcPr>
            <w:tcW w:w="1048" w:type="dxa"/>
            <w:tcBorders>
              <w:top w:val="single" w:sz="6" w:space="0" w:color="auto"/>
              <w:left w:val="single" w:sz="6" w:space="0" w:color="auto"/>
              <w:bottom w:val="single" w:sz="4" w:space="0" w:color="auto"/>
              <w:right w:val="single" w:sz="6" w:space="0" w:color="auto"/>
            </w:tcBorders>
            <w:vAlign w:val="center"/>
            <w:hideMark/>
          </w:tcPr>
          <w:p w14:paraId="3C032EA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1.2</w:t>
            </w:r>
          </w:p>
        </w:tc>
        <w:tc>
          <w:tcPr>
            <w:tcW w:w="0" w:type="auto"/>
            <w:tcBorders>
              <w:top w:val="single" w:sz="6" w:space="0" w:color="auto"/>
              <w:left w:val="single" w:sz="6" w:space="0" w:color="auto"/>
              <w:bottom w:val="single" w:sz="4" w:space="0" w:color="auto"/>
              <w:right w:val="single" w:sz="6" w:space="0" w:color="auto"/>
            </w:tcBorders>
            <w:vAlign w:val="center"/>
            <w:hideMark/>
          </w:tcPr>
          <w:p w14:paraId="612222B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Not Allowed (Authorisation)</w:t>
            </w:r>
          </w:p>
        </w:tc>
        <w:tc>
          <w:tcPr>
            <w:tcW w:w="0" w:type="auto"/>
            <w:tcBorders>
              <w:top w:val="single" w:sz="6" w:space="0" w:color="auto"/>
              <w:left w:val="single" w:sz="6" w:space="0" w:color="auto"/>
              <w:bottom w:val="single" w:sz="4" w:space="0" w:color="auto"/>
              <w:right w:val="single" w:sz="4" w:space="0" w:color="auto"/>
            </w:tcBorders>
            <w:vAlign w:val="center"/>
            <w:hideMark/>
          </w:tcPr>
          <w:p w14:paraId="7599F8E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Function requester is not allowed to manage the Subscription Address.</w:t>
            </w:r>
          </w:p>
        </w:tc>
      </w:tr>
    </w:tbl>
    <w:p w14:paraId="394EE784" w14:textId="77777777" w:rsidR="00B97365" w:rsidRDefault="00000000">
      <w:pPr>
        <w:numPr>
          <w:ilvl w:val="0"/>
          <w:numId w:val="14"/>
        </w:numPr>
        <w:tabs>
          <w:tab w:val="left" w:pos="1009"/>
        </w:tabs>
        <w:spacing w:after="200" w:line="276" w:lineRule="auto"/>
        <w:jc w:val="center"/>
        <w:rPr>
          <w:rFonts w:cs="Calibri"/>
          <w:i/>
        </w:rPr>
      </w:pPr>
      <w:r>
        <w:rPr>
          <w:rFonts w:cs="Arial"/>
          <w:b/>
          <w:lang w:eastAsia="de-DE" w:bidi="ar-SA"/>
        </w:rPr>
        <w:t>: Update Subscription Address Specific Status Codes</w:t>
      </w:r>
    </w:p>
    <w:p w14:paraId="23148839"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780" w:name="_Toc448998275"/>
      <w:bookmarkStart w:id="3781" w:name="_Toc422150751"/>
      <w:bookmarkStart w:id="3782" w:name="_Toc421874336"/>
      <w:bookmarkStart w:id="3783" w:name="_Toc420594796"/>
      <w:bookmarkStart w:id="3784" w:name="_Toc398214877"/>
      <w:bookmarkStart w:id="3785" w:name="_Toc375158293"/>
      <w:bookmarkStart w:id="3786" w:name="_Toc368932302"/>
      <w:bookmarkStart w:id="3787" w:name="_Ref367978695"/>
      <w:bookmarkStart w:id="3788" w:name="_Ref367978678"/>
      <w:bookmarkStart w:id="3789" w:name="_Ref367974507"/>
      <w:bookmarkStart w:id="3790" w:name="_Ref367970543"/>
      <w:bookmarkStart w:id="3791" w:name="_Toc352671586"/>
      <w:bookmarkStart w:id="3792" w:name="_Toc486332893"/>
      <w:bookmarkStart w:id="3793" w:name="_Toc1977385"/>
      <w:bookmarkStart w:id="3794" w:name="_Toc37062544"/>
      <w:bookmarkStart w:id="3795" w:name="_Toc88839618"/>
      <w:bookmarkStart w:id="3796" w:name="_Toc121504026"/>
      <w:r>
        <w:rPr>
          <w:rFonts w:eastAsia="Times New Roman" w:cs="Arial"/>
          <w:b/>
          <w:sz w:val="24"/>
          <w:szCs w:val="26"/>
          <w:lang w:eastAsia="en-US"/>
        </w:rPr>
        <w:t>Profile Enabling</w:t>
      </w:r>
      <w:bookmarkEnd w:id="3732"/>
      <w:bookmarkEnd w:id="3733"/>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p>
    <w:p w14:paraId="65BAC14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EnableProfile</w:t>
      </w:r>
    </w:p>
    <w:p w14:paraId="4896BBE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Enabling via SM-DP</w:t>
      </w:r>
    </w:p>
    <w:p w14:paraId="59B4773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7B4D9BE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6B636FA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SM-DP to request a Profile Enabling to the SM-SR in charge of the management of the targeted eUICC; eUICC being identified by its EID.</w:t>
      </w:r>
    </w:p>
    <w:p w14:paraId="60BEEEB9" w14:textId="77777777" w:rsidR="00B97365" w:rsidRDefault="00000000">
      <w:pPr>
        <w:spacing w:before="0" w:after="200" w:line="276" w:lineRule="auto"/>
        <w:jc w:val="left"/>
        <w:rPr>
          <w:szCs w:val="22"/>
          <w:lang w:val="en-US" w:eastAsia="en-GB" w:bidi="ar-SA"/>
        </w:rPr>
      </w:pPr>
      <w:r>
        <w:rPr>
          <w:szCs w:val="22"/>
          <w:lang w:val="en-US" w:eastAsia="en-GB" w:bidi="ar-SA"/>
        </w:rPr>
        <w:t>The SM-DP SHALL indicate on behalf of which Operator it is requesting this operation.</w:t>
      </w:r>
    </w:p>
    <w:p w14:paraId="17D90AB2" w14:textId="77777777" w:rsidR="00B97365" w:rsidRDefault="00000000">
      <w:pPr>
        <w:spacing w:before="0" w:after="200" w:line="276" w:lineRule="auto"/>
        <w:jc w:val="left"/>
        <w:rPr>
          <w:szCs w:val="22"/>
          <w:lang w:val="en-US" w:eastAsia="en-GB" w:bidi="ar-SA"/>
        </w:rPr>
      </w:pPr>
      <w:r>
        <w:rPr>
          <w:szCs w:val="22"/>
          <w:lang w:val="en-US" w:eastAsia="en-GB" w:bidi="ar-SA"/>
        </w:rPr>
        <w:t xml:space="preserve">The SM-SR SHALL verify that the request is </w:t>
      </w:r>
    </w:p>
    <w:p w14:paraId="7C7C202F"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Either sent on behalf of an Operator owning the targeted Profile </w:t>
      </w:r>
    </w:p>
    <w:p w14:paraId="40EB9CE4" w14:textId="77777777" w:rsidR="00B97365" w:rsidRDefault="00000000">
      <w:pPr>
        <w:spacing w:before="0" w:after="200" w:line="276" w:lineRule="auto"/>
        <w:ind w:left="720"/>
        <w:contextualSpacing/>
        <w:jc w:val="left"/>
        <w:rPr>
          <w:szCs w:val="22"/>
          <w:lang w:val="en-US" w:eastAsia="en-GB" w:bidi="ar-SA"/>
        </w:rPr>
      </w:pPr>
      <w:r>
        <w:rPr>
          <w:szCs w:val="22"/>
          <w:lang w:val="en-US" w:eastAsia="en-GB" w:bidi="ar-SA"/>
        </w:rPr>
        <w:t xml:space="preserve">or </w:t>
      </w:r>
    </w:p>
    <w:p w14:paraId="29EEAD5F"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Sent on behalf of an Operator that is not the owner of the targeted Profile, but the Operator owning the targeted Profile has granted a PLMA allowing the operation “EnableProfile” to the Operator requesting the operation.</w:t>
      </w:r>
    </w:p>
    <w:p w14:paraId="447DE77C" w14:textId="77777777" w:rsidR="00B97365" w:rsidRDefault="00000000">
      <w:pPr>
        <w:spacing w:before="0" w:after="200" w:line="276" w:lineRule="auto"/>
        <w:jc w:val="left"/>
        <w:rPr>
          <w:szCs w:val="22"/>
          <w:lang w:val="en-US" w:eastAsia="en-GB" w:bidi="ar-SA"/>
        </w:rPr>
      </w:pPr>
      <w:r>
        <w:rPr>
          <w:szCs w:val="22"/>
          <w:lang w:val="en-US" w:eastAsia="en-GB" w:bidi="ar-SA"/>
        </w:rPr>
        <w:t>The SM-SR MAY provide additional verifications.</w:t>
      </w:r>
    </w:p>
    <w:p w14:paraId="2D264EF3" w14:textId="6962C34C"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“Profile Enabling via SM-DP” procedure described in the section </w:t>
      </w:r>
      <w:r>
        <w:fldChar w:fldCharType="begin"/>
      </w:r>
      <w:r>
        <w:instrText xml:space="preserve"> REF _Ref367974686 \r \h  \* MERGEFORMAT </w:instrText>
      </w:r>
      <w:r>
        <w:fldChar w:fldCharType="separate"/>
      </w:r>
      <w:r w:rsidR="001D5AD9" w:rsidRPr="001D5AD9">
        <w:rPr>
          <w:szCs w:val="22"/>
          <w:lang w:val="en-US" w:eastAsia="en-GB" w:bidi="ar-SA"/>
        </w:rPr>
        <w:t>3.3</w:t>
      </w:r>
      <w:r>
        <w:fldChar w:fldCharType="end"/>
      </w:r>
      <w:r>
        <w:rPr>
          <w:szCs w:val="22"/>
          <w:lang w:val="en-US" w:eastAsia="en-GB" w:bidi="ar-SA"/>
        </w:rPr>
        <w:t xml:space="preserve"> of this specification.</w:t>
      </w:r>
    </w:p>
    <w:p w14:paraId="31AF7E0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3482531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Profile has been enabled on the eUICC. </w:t>
      </w:r>
    </w:p>
    <w:p w14:paraId="06B9976F" w14:textId="377B4C64"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_Ref367974707 \r \h  \* MERGEFORMAT </w:instrText>
      </w:r>
      <w:r>
        <w:fldChar w:fldCharType="separate"/>
      </w:r>
      <w:r w:rsidR="001D5AD9" w:rsidRPr="001D5AD9">
        <w:rPr>
          <w:szCs w:val="22"/>
          <w:lang w:eastAsia="en-GB" w:bidi="ar-SA"/>
        </w:rPr>
        <w:t>5.1.6.4</w:t>
      </w:r>
      <w:r>
        <w:fldChar w:fldCharType="end"/>
      </w:r>
    </w:p>
    <w:p w14:paraId="18F33227" w14:textId="5EB6C61F"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_Ref367974714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here after.</w:t>
      </w:r>
    </w:p>
    <w:p w14:paraId="44D7B7D1" w14:textId="77777777" w:rsidR="00B97365" w:rsidRDefault="00B97365">
      <w:pPr>
        <w:tabs>
          <w:tab w:val="left" w:pos="680"/>
        </w:tabs>
        <w:spacing w:before="0" w:after="200" w:line="276" w:lineRule="auto"/>
        <w:contextualSpacing/>
        <w:jc w:val="left"/>
        <w:rPr>
          <w:rFonts w:cs="Arial"/>
          <w:szCs w:val="22"/>
          <w:lang w:eastAsia="en-GB" w:bidi="ar-SA"/>
        </w:rPr>
      </w:pPr>
    </w:p>
    <w:p w14:paraId="22B3A8DD" w14:textId="77777777" w:rsidR="00B97365" w:rsidRDefault="00000000">
      <w:pPr>
        <w:spacing w:before="0" w:after="200" w:line="276" w:lineRule="auto"/>
        <w:jc w:val="left"/>
        <w:rPr>
          <w:b/>
          <w:i/>
          <w:szCs w:val="22"/>
          <w:lang w:val="en-US" w:eastAsia="en-GB" w:bidi="ar-SA"/>
        </w:rPr>
      </w:pPr>
      <w:bookmarkStart w:id="3797" w:name="_Toc420594797"/>
      <w:r>
        <w:rPr>
          <w:rFonts w:cs="Arial"/>
          <w:b/>
          <w:i/>
          <w:szCs w:val="22"/>
          <w:lang w:val="en-US" w:eastAsia="en-GB" w:bidi="ar-SA"/>
        </w:rPr>
        <w:t>Additional input data:</w:t>
      </w:r>
      <w:bookmarkEnd w:id="379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3027"/>
        <w:gridCol w:w="590"/>
        <w:gridCol w:w="474"/>
        <w:gridCol w:w="590"/>
      </w:tblGrid>
      <w:tr w:rsidR="00B97365" w14:paraId="50F695B6"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161FB41" w14:textId="77777777" w:rsidR="00B97365" w:rsidRDefault="00000000">
            <w:pPr>
              <w:jc w:val="center"/>
              <w:rPr>
                <w:rFonts w:cs="Calibri"/>
                <w:b/>
                <w:color w:val="FFFFFF"/>
                <w:sz w:val="16"/>
                <w:szCs w:val="16"/>
              </w:rPr>
            </w:pPr>
            <w:r>
              <w:rPr>
                <w:rFonts w:cs="Calibri"/>
                <w:b/>
                <w:color w:val="FFFFFF"/>
                <w:sz w:val="16"/>
                <w:szCs w:val="16"/>
              </w:rPr>
              <w:lastRenderedPageBreak/>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6F0C5B5"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DDD631B"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12FDF0C"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48C99D6"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1AFF11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1EDA4168"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hideMark/>
          </w:tcPr>
          <w:p w14:paraId="360C07E7" w14:textId="77777777" w:rsidR="00B97365" w:rsidRDefault="00000000">
            <w:pPr>
              <w:rPr>
                <w:rFonts w:eastAsia="Times New Roman" w:cs="Calibri"/>
                <w:sz w:val="16"/>
                <w:szCs w:val="16"/>
                <w:lang w:val="en-US"/>
              </w:rPr>
            </w:pPr>
            <w:r>
              <w:rPr>
                <w:rFonts w:cs="Calibri"/>
                <w:sz w:val="16"/>
                <w:szCs w:val="16"/>
                <w:lang w:val="en-US"/>
              </w:rPr>
              <w:t>Identification of the targeted eUICC.</w:t>
            </w:r>
          </w:p>
          <w:p w14:paraId="0697E996" w14:textId="147BE783" w:rsidR="00B97365" w:rsidRDefault="00000000">
            <w:pPr>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_Ref367974724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hideMark/>
          </w:tcPr>
          <w:p w14:paraId="0CE8C99B"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hideMark/>
          </w:tcPr>
          <w:p w14:paraId="598AF5EE"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43099543"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0F90C4DE"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vAlign w:val="center"/>
            <w:hideMark/>
          </w:tcPr>
          <w:p w14:paraId="35C12A0B"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4E76B94B" w14:textId="7777777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Identification of the Profile to enable.</w:t>
            </w:r>
          </w:p>
          <w:p w14:paraId="3BAF4F28" w14:textId="2BBB0CC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_Ref367974730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4F7C945C" w14:textId="77777777" w:rsidR="00B97365" w:rsidRDefault="00000000">
            <w:pPr>
              <w:keepNext/>
              <w:keepLines/>
              <w:tabs>
                <w:tab w:val="num" w:pos="4320"/>
              </w:tabs>
              <w:spacing w:before="140" w:after="120" w:line="260" w:lineRule="atLeast"/>
              <w:ind w:left="1531" w:hanging="1531"/>
              <w:jc w:val="center"/>
              <w:rPr>
                <w:rFonts w:eastAsia="Times New Roman"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79547DA9" w14:textId="77777777" w:rsidR="00B97365" w:rsidRDefault="00000000">
            <w:pPr>
              <w:spacing w:before="140" w:after="120" w:line="260" w:lineRule="atLeast"/>
              <w:ind w:left="1531" w:hanging="1531"/>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vAlign w:val="center"/>
            <w:hideMark/>
          </w:tcPr>
          <w:p w14:paraId="3965C058"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3FDD2468"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Enable Profile Additional Input Data</w:t>
      </w:r>
    </w:p>
    <w:p w14:paraId="21CA869F" w14:textId="77777777" w:rsidR="00B97365" w:rsidRDefault="00000000">
      <w:pPr>
        <w:spacing w:before="0" w:after="200" w:line="276" w:lineRule="auto"/>
        <w:jc w:val="left"/>
        <w:rPr>
          <w:b/>
          <w:i/>
          <w:szCs w:val="22"/>
          <w:lang w:val="en-US" w:eastAsia="en-GB" w:bidi="ar-SA"/>
        </w:rPr>
      </w:pPr>
      <w:bookmarkStart w:id="3798" w:name="_Toc420594798"/>
      <w:r>
        <w:rPr>
          <w:rFonts w:cs="Arial"/>
          <w:b/>
          <w:i/>
          <w:szCs w:val="22"/>
          <w:lang w:val="en-US" w:eastAsia="en-GB" w:bidi="ar-SA"/>
        </w:rPr>
        <w:t>Additional output data:</w:t>
      </w:r>
      <w:bookmarkEnd w:id="379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583"/>
        <w:gridCol w:w="5250"/>
        <w:gridCol w:w="1249"/>
        <w:gridCol w:w="409"/>
        <w:gridCol w:w="525"/>
      </w:tblGrid>
      <w:tr w:rsidR="00B97365" w14:paraId="57B06927"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19B3742"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AA3D357"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9EF8DE5"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6234323"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1D37159"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0EF9E206"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5BEE6E5" w14:textId="77777777" w:rsidR="00B97365" w:rsidRDefault="00000000">
            <w:pPr>
              <w:tabs>
                <w:tab w:val="right" w:pos="7938"/>
              </w:tabs>
              <w:ind w:left="470" w:hanging="459"/>
              <w:rPr>
                <w:rFonts w:cs="Calibri"/>
                <w:sz w:val="16"/>
                <w:szCs w:val="16"/>
              </w:rPr>
            </w:pPr>
            <w:r>
              <w:rPr>
                <w:rFonts w:cs="Calibri"/>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27AC9DFC" w14:textId="77777777" w:rsidR="00B97365" w:rsidRDefault="00000000">
            <w:pPr>
              <w:rPr>
                <w:rFonts w:cs="Calibri"/>
                <w:b/>
                <w:noProof/>
                <w:sz w:val="16"/>
                <w:szCs w:val="16"/>
              </w:rPr>
            </w:pPr>
            <w:r>
              <w:rPr>
                <w:rFonts w:cs="Calibri"/>
                <w:sz w:val="16"/>
                <w:szCs w:val="16"/>
              </w:rPr>
              <w:t xml:space="preserve">Contains the detailed error returned by the eUICC in case the function execution failed on eUICC. The response data is defined in ES8 depending of the requested function. </w:t>
            </w:r>
          </w:p>
        </w:tc>
        <w:tc>
          <w:tcPr>
            <w:tcW w:w="0" w:type="auto"/>
            <w:tcBorders>
              <w:top w:val="single" w:sz="6" w:space="0" w:color="auto"/>
              <w:left w:val="single" w:sz="6" w:space="0" w:color="auto"/>
              <w:bottom w:val="single" w:sz="4" w:space="0" w:color="auto"/>
              <w:right w:val="single" w:sz="6" w:space="0" w:color="auto"/>
            </w:tcBorders>
            <w:vAlign w:val="center"/>
            <w:hideMark/>
          </w:tcPr>
          <w:p w14:paraId="24358844" w14:textId="77777777" w:rsidR="00B97365" w:rsidRDefault="00000000">
            <w:pPr>
              <w:tabs>
                <w:tab w:val="right" w:pos="7938"/>
              </w:tabs>
              <w:ind w:firstLine="11"/>
              <w:rPr>
                <w:rFonts w:cs="Calibri"/>
                <w:sz w:val="16"/>
                <w:szCs w:val="16"/>
                <w:lang w:val="en-US"/>
              </w:rPr>
            </w:pPr>
            <w:r>
              <w:rPr>
                <w:rFonts w:cs="Calibri"/>
                <w:sz w:val="16"/>
                <w:szCs w:val="16"/>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34B969A0" w14:textId="77777777" w:rsidR="00B97365" w:rsidRDefault="00000000">
            <w:pPr>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815FF8F" w14:textId="77777777" w:rsidR="00B97365" w:rsidRDefault="00000000">
            <w:pPr>
              <w:jc w:val="center"/>
              <w:rPr>
                <w:rFonts w:cs="Calibri"/>
                <w:sz w:val="16"/>
                <w:szCs w:val="16"/>
                <w:lang w:val="en-US"/>
              </w:rPr>
            </w:pPr>
            <w:r>
              <w:rPr>
                <w:rFonts w:cs="Calibri"/>
                <w:sz w:val="16"/>
                <w:szCs w:val="16"/>
                <w:lang w:val="en-US"/>
              </w:rPr>
              <w:t>O</w:t>
            </w:r>
          </w:p>
        </w:tc>
      </w:tr>
    </w:tbl>
    <w:p w14:paraId="2360C830"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Enable Profile Additional Output Data</w:t>
      </w:r>
    </w:p>
    <w:p w14:paraId="52ECA244" w14:textId="77777777" w:rsidR="00B97365" w:rsidRDefault="00000000">
      <w:pPr>
        <w:spacing w:before="0" w:after="200" w:line="276" w:lineRule="auto"/>
        <w:jc w:val="left"/>
        <w:rPr>
          <w:b/>
          <w:i/>
          <w:szCs w:val="22"/>
          <w:lang w:val="en-US" w:eastAsia="en-GB" w:bidi="ar-SA"/>
        </w:rPr>
      </w:pPr>
      <w:bookmarkStart w:id="3799" w:name="_Toc420594799"/>
      <w:r>
        <w:rPr>
          <w:rFonts w:cs="Arial"/>
          <w:b/>
          <w:i/>
          <w:szCs w:val="22"/>
          <w:lang w:val="en-US" w:eastAsia="en-GB" w:bidi="ar-SA"/>
        </w:rPr>
        <w:t>Specific status codes</w:t>
      </w:r>
      <w:bookmarkEnd w:id="3799"/>
    </w:p>
    <w:tbl>
      <w:tblPr>
        <w:tblW w:w="944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036"/>
        <w:gridCol w:w="844"/>
        <w:gridCol w:w="732"/>
        <w:gridCol w:w="1498"/>
        <w:gridCol w:w="5333"/>
      </w:tblGrid>
      <w:tr w:rsidR="00B97365" w14:paraId="1E7AA7F9" w14:textId="77777777">
        <w:trPr>
          <w:trHeight w:val="342"/>
          <w:jc w:val="center"/>
        </w:trPr>
        <w:tc>
          <w:tcPr>
            <w:tcW w:w="103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B19F9D2" w14:textId="77777777" w:rsidR="00B97365" w:rsidRDefault="00000000">
            <w:pPr>
              <w:jc w:val="center"/>
              <w:rPr>
                <w:rFonts w:cs="Calibri"/>
                <w:b/>
                <w:color w:val="FFFFFF"/>
                <w:sz w:val="16"/>
                <w:szCs w:val="16"/>
              </w:rPr>
            </w:pPr>
            <w:r>
              <w:rPr>
                <w:rFonts w:cs="Calibri"/>
                <w:b/>
                <w:color w:val="FFFFFF"/>
                <w:sz w:val="16"/>
                <w:szCs w:val="16"/>
              </w:rPr>
              <w:t>Subject</w:t>
            </w:r>
          </w:p>
          <w:p w14:paraId="0E91D571"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B615F6" w14:textId="77777777" w:rsidR="00B97365" w:rsidRDefault="00000000">
            <w:pPr>
              <w:jc w:val="center"/>
              <w:rPr>
                <w:rFonts w:cs="Calibri"/>
                <w:b/>
                <w:color w:val="FFFFFF"/>
                <w:sz w:val="16"/>
                <w:szCs w:val="16"/>
              </w:rPr>
            </w:pPr>
            <w:r>
              <w:rPr>
                <w:rFonts w:cs="Calibri"/>
                <w:b/>
                <w:color w:val="FFFFFF"/>
                <w:sz w:val="16"/>
                <w:szCs w:val="16"/>
              </w:rPr>
              <w:t>Subject</w:t>
            </w:r>
          </w:p>
        </w:tc>
        <w:tc>
          <w:tcPr>
            <w:tcW w:w="73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37543E6" w14:textId="77777777" w:rsidR="00B97365" w:rsidRDefault="00000000">
            <w:pPr>
              <w:jc w:val="center"/>
              <w:rPr>
                <w:rFonts w:cs="Calibri"/>
                <w:b/>
                <w:color w:val="FFFFFF"/>
                <w:sz w:val="16"/>
                <w:szCs w:val="16"/>
              </w:rPr>
            </w:pPr>
            <w:r>
              <w:rPr>
                <w:rFonts w:cs="Calibri"/>
                <w:b/>
                <w:color w:val="FFFFFF"/>
                <w:sz w:val="16"/>
                <w:szCs w:val="16"/>
              </w:rPr>
              <w:t>Reason</w:t>
            </w:r>
          </w:p>
          <w:p w14:paraId="24BABDFA"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B16D71E"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64775B0"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3BE1F8CD"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628AB66C"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7E854B8F" w14:textId="77777777" w:rsidR="00B97365" w:rsidRDefault="00000000">
            <w:pPr>
              <w:rPr>
                <w:rFonts w:cs="Calibri"/>
                <w:sz w:val="16"/>
                <w:szCs w:val="16"/>
                <w:lang w:val="en-US"/>
              </w:rPr>
            </w:pPr>
            <w:r>
              <w:rPr>
                <w:rFonts w:cs="Calibri"/>
                <w:sz w:val="16"/>
                <w:szCs w:val="16"/>
                <w:lang w:val="en-US"/>
              </w:rPr>
              <w:t>EID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5AB0B697"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4859B29F"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34264997" w14:textId="77777777" w:rsidR="00B97365" w:rsidRDefault="00000000">
            <w:pPr>
              <w:rPr>
                <w:rFonts w:cs="Calibri"/>
                <w:sz w:val="16"/>
                <w:szCs w:val="16"/>
                <w:lang w:val="en-US"/>
              </w:rPr>
            </w:pPr>
            <w:r>
              <w:rPr>
                <w:rFonts w:cs="Calibri"/>
                <w:sz w:val="16"/>
                <w:szCs w:val="16"/>
              </w:rPr>
              <w:t>Indicates that the eUICC, identified by this EID, is unknown to the function provider.</w:t>
            </w:r>
          </w:p>
        </w:tc>
      </w:tr>
      <w:tr w:rsidR="00B97365" w14:paraId="18AD724B"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tcPr>
          <w:p w14:paraId="6712AD3B" w14:textId="77777777" w:rsidR="00B97365" w:rsidRDefault="00000000">
            <w:pPr>
              <w:jc w:val="center"/>
              <w:rPr>
                <w:rFonts w:cs="Calibri"/>
                <w:sz w:val="16"/>
                <w:szCs w:val="16"/>
              </w:rPr>
            </w:pPr>
            <w:r>
              <w:rPr>
                <w:rFonts w:cs="Calibri"/>
                <w:sz w:val="16"/>
                <w:szCs w:val="16"/>
              </w:rPr>
              <w:t>8.2</w:t>
            </w:r>
          </w:p>
        </w:tc>
        <w:tc>
          <w:tcPr>
            <w:tcW w:w="0" w:type="auto"/>
            <w:tcBorders>
              <w:top w:val="single" w:sz="6" w:space="0" w:color="auto"/>
              <w:left w:val="single" w:sz="6" w:space="0" w:color="auto"/>
              <w:bottom w:val="single" w:sz="6" w:space="0" w:color="auto"/>
              <w:right w:val="single" w:sz="6" w:space="0" w:color="auto"/>
            </w:tcBorders>
            <w:vAlign w:val="center"/>
          </w:tcPr>
          <w:p w14:paraId="528CABB1" w14:textId="77777777" w:rsidR="00B97365" w:rsidRDefault="00000000">
            <w:pPr>
              <w:rPr>
                <w:rFonts w:cs="Calibri"/>
                <w:sz w:val="16"/>
                <w:szCs w:val="16"/>
                <w:lang w:val="en-US"/>
              </w:rPr>
            </w:pPr>
            <w:r>
              <w:rPr>
                <w:rFonts w:cs="Calibri"/>
                <w:sz w:val="16"/>
                <w:szCs w:val="16"/>
                <w:lang w:val="en-US"/>
              </w:rPr>
              <w:t>Profile</w:t>
            </w:r>
          </w:p>
        </w:tc>
        <w:tc>
          <w:tcPr>
            <w:tcW w:w="732" w:type="dxa"/>
            <w:tcBorders>
              <w:top w:val="single" w:sz="6" w:space="0" w:color="auto"/>
              <w:left w:val="single" w:sz="6" w:space="0" w:color="auto"/>
              <w:bottom w:val="single" w:sz="6" w:space="0" w:color="auto"/>
              <w:right w:val="single" w:sz="6" w:space="0" w:color="auto"/>
            </w:tcBorders>
            <w:vAlign w:val="center"/>
          </w:tcPr>
          <w:p w14:paraId="79A3776B" w14:textId="77777777" w:rsidR="00B97365" w:rsidRDefault="00000000">
            <w:pPr>
              <w:jc w:val="center"/>
              <w:rPr>
                <w:rFonts w:cs="Calibri"/>
                <w:sz w:val="16"/>
                <w:szCs w:val="16"/>
                <w:lang w:val="en-US"/>
              </w:rPr>
            </w:pPr>
            <w:r>
              <w:rPr>
                <w:rFonts w:cs="Calibri"/>
                <w:sz w:val="16"/>
                <w:szCs w:val="16"/>
                <w:lang w:val="en-US"/>
              </w:rPr>
              <w:t>5.1</w:t>
            </w:r>
          </w:p>
        </w:tc>
        <w:tc>
          <w:tcPr>
            <w:tcW w:w="0" w:type="auto"/>
            <w:tcBorders>
              <w:top w:val="single" w:sz="6" w:space="0" w:color="auto"/>
              <w:left w:val="single" w:sz="6" w:space="0" w:color="auto"/>
              <w:bottom w:val="single" w:sz="6" w:space="0" w:color="auto"/>
              <w:right w:val="single" w:sz="6" w:space="0" w:color="auto"/>
            </w:tcBorders>
            <w:vAlign w:val="center"/>
          </w:tcPr>
          <w:p w14:paraId="0F294713" w14:textId="77777777" w:rsidR="00B97365" w:rsidRDefault="00000000">
            <w:pPr>
              <w:rPr>
                <w:rFonts w:cs="Calibri"/>
                <w:sz w:val="16"/>
                <w:szCs w:val="16"/>
              </w:rPr>
            </w:pPr>
            <w:r>
              <w:rPr>
                <w:rFonts w:cs="Calibri"/>
                <w:sz w:val="16"/>
                <w:szCs w:val="16"/>
              </w:rPr>
              <w:t>Inaccessible</w:t>
            </w:r>
          </w:p>
        </w:tc>
        <w:tc>
          <w:tcPr>
            <w:tcW w:w="0" w:type="auto"/>
            <w:tcBorders>
              <w:top w:val="single" w:sz="6" w:space="0" w:color="auto"/>
              <w:left w:val="single" w:sz="6" w:space="0" w:color="auto"/>
              <w:bottom w:val="single" w:sz="6" w:space="0" w:color="auto"/>
              <w:right w:val="single" w:sz="4" w:space="0" w:color="auto"/>
            </w:tcBorders>
            <w:vAlign w:val="center"/>
          </w:tcPr>
          <w:p w14:paraId="3D98597A" w14:textId="77777777" w:rsidR="00B97365" w:rsidRDefault="00000000">
            <w:pPr>
              <w:rPr>
                <w:rFonts w:cs="Calibri"/>
                <w:sz w:val="16"/>
                <w:szCs w:val="16"/>
              </w:rPr>
            </w:pPr>
            <w:r>
              <w:rPr>
                <w:rFonts w:cs="Calibri"/>
                <w:sz w:val="16"/>
                <w:szCs w:val="16"/>
              </w:rPr>
              <w:t xml:space="preserve">Indicates that the Profile change procedure couldn’t complete after enabling the target Profile, and the Profile change was rolled-back on the eUICC, </w:t>
            </w:r>
          </w:p>
        </w:tc>
      </w:tr>
      <w:tr w:rsidR="00B97365" w14:paraId="47E39B1A"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510659F9"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7BB67E2B"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23133A39"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33AD6743"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1E5F44EB" w14:textId="77777777" w:rsidR="00B97365" w:rsidRDefault="00000000">
            <w:pPr>
              <w:rPr>
                <w:rFonts w:cs="Calibri"/>
                <w:sz w:val="16"/>
                <w:szCs w:val="16"/>
                <w:lang w:val="en-US"/>
              </w:rPr>
            </w:pPr>
            <w:r>
              <w:rPr>
                <w:rFonts w:cs="Calibri"/>
                <w:sz w:val="16"/>
                <w:szCs w:val="16"/>
                <w:lang w:val="en-US"/>
              </w:rPr>
              <w:t>Indicates that the Profile identified by this ICCID is unknown to the function provider.</w:t>
            </w:r>
          </w:p>
        </w:tc>
      </w:tr>
      <w:tr w:rsidR="00B97365" w14:paraId="3B7582EC"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01C202F9"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0AF8CBB9"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05AC33B5" w14:textId="77777777" w:rsidR="00B97365" w:rsidRDefault="00000000">
            <w:pPr>
              <w:jc w:val="center"/>
              <w:rPr>
                <w:rFonts w:cs="Calibri"/>
                <w:sz w:val="16"/>
                <w:szCs w:val="16"/>
                <w:lang w:val="en-US"/>
              </w:rPr>
            </w:pPr>
            <w:r>
              <w:rPr>
                <w:rFonts w:cs="Calibri"/>
                <w:sz w:val="16"/>
                <w:szCs w:val="16"/>
                <w:lang w:val="en-US"/>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3A485367" w14:textId="77777777" w:rsidR="00B97365" w:rsidRDefault="00000000">
            <w:pPr>
              <w:rPr>
                <w:rFonts w:cs="Calibri"/>
                <w:sz w:val="16"/>
                <w:szCs w:val="16"/>
                <w:lang w:val="en-US"/>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03B46AE5" w14:textId="77777777" w:rsidR="00B97365" w:rsidRDefault="00000000">
            <w:pPr>
              <w:rPr>
                <w:rFonts w:cs="Calibri"/>
                <w:sz w:val="16"/>
                <w:szCs w:val="16"/>
                <w:lang w:val="en-US"/>
              </w:rPr>
            </w:pPr>
            <w:r>
              <w:rPr>
                <w:rFonts w:cs="Calibri"/>
                <w:sz w:val="16"/>
                <w:szCs w:val="16"/>
                <w:lang w:val="en-US"/>
              </w:rPr>
              <w:t>Indicates that the Profile identified by this ICCID is known to the function provider but installed on another eUICC than the one identified by the function caller.</w:t>
            </w:r>
          </w:p>
        </w:tc>
      </w:tr>
      <w:tr w:rsidR="00B97365" w14:paraId="28819739"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tcPr>
          <w:p w14:paraId="262C6643"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tcPr>
          <w:p w14:paraId="105BD99B"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tcPr>
          <w:p w14:paraId="2EB7CACE" w14:textId="77777777" w:rsidR="00B97365" w:rsidRDefault="00000000">
            <w:pPr>
              <w:jc w:val="center"/>
              <w:rPr>
                <w:rFonts w:cs="Calibri"/>
                <w:sz w:val="16"/>
                <w:szCs w:val="16"/>
                <w:lang w:val="en-US"/>
              </w:rPr>
            </w:pPr>
            <w:r>
              <w:rPr>
                <w:rFonts w:cs="Calibri"/>
                <w:sz w:val="16"/>
                <w:szCs w:val="16"/>
                <w:lang w:val="en-US"/>
              </w:rPr>
              <w:t>3.5</w:t>
            </w:r>
          </w:p>
        </w:tc>
        <w:tc>
          <w:tcPr>
            <w:tcW w:w="0" w:type="auto"/>
            <w:tcBorders>
              <w:top w:val="single" w:sz="6" w:space="0" w:color="auto"/>
              <w:left w:val="single" w:sz="6" w:space="0" w:color="auto"/>
              <w:bottom w:val="single" w:sz="6" w:space="0" w:color="auto"/>
              <w:right w:val="single" w:sz="6" w:space="0" w:color="auto"/>
            </w:tcBorders>
            <w:vAlign w:val="center"/>
          </w:tcPr>
          <w:p w14:paraId="5BEBFCDA" w14:textId="77777777" w:rsidR="00B97365" w:rsidRDefault="00000000">
            <w:pPr>
              <w:rPr>
                <w:rFonts w:cs="Calibri"/>
                <w:sz w:val="16"/>
                <w:szCs w:val="16"/>
              </w:rPr>
            </w:pPr>
            <w:r>
              <w:rPr>
                <w:rFonts w:cs="Calibri"/>
                <w:sz w:val="16"/>
                <w:szCs w:val="16"/>
                <w:lang w:val="en-US"/>
              </w:rPr>
              <w:t>Invalid Transition</w:t>
            </w:r>
          </w:p>
        </w:tc>
        <w:tc>
          <w:tcPr>
            <w:tcW w:w="0" w:type="auto"/>
            <w:tcBorders>
              <w:top w:val="single" w:sz="6" w:space="0" w:color="auto"/>
              <w:left w:val="single" w:sz="6" w:space="0" w:color="auto"/>
              <w:bottom w:val="single" w:sz="6" w:space="0" w:color="auto"/>
              <w:right w:val="single" w:sz="4" w:space="0" w:color="auto"/>
            </w:tcBorders>
            <w:vAlign w:val="center"/>
          </w:tcPr>
          <w:p w14:paraId="075023FF" w14:textId="77777777" w:rsidR="00B97365" w:rsidRDefault="00000000">
            <w:pPr>
              <w:rPr>
                <w:rFonts w:cs="Calibri"/>
                <w:sz w:val="16"/>
                <w:szCs w:val="16"/>
                <w:lang w:val="en-US"/>
              </w:rPr>
            </w:pPr>
            <w:r>
              <w:rPr>
                <w:rFonts w:cs="Calibri"/>
                <w:sz w:val="16"/>
                <w:szCs w:val="16"/>
                <w:lang w:val="en-US"/>
              </w:rPr>
              <w:t>Indicates that the Profile was already Enabled</w:t>
            </w:r>
          </w:p>
        </w:tc>
      </w:tr>
      <w:tr w:rsidR="00B97365" w14:paraId="4CC13FB0"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0E933848"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40E2DC13"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5A21AE66"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592C75AA" w14:textId="77777777" w:rsidR="00B97365" w:rsidRDefault="00000000">
            <w:pPr>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19AAE934" w14:textId="77777777" w:rsidR="00B97365" w:rsidRDefault="00000000">
            <w:pPr>
              <w:rPr>
                <w:rFonts w:cs="Calibri"/>
                <w:sz w:val="16"/>
                <w:szCs w:val="16"/>
                <w:lang w:val="en-US"/>
              </w:rPr>
            </w:pPr>
            <w:r>
              <w:rPr>
                <w:rFonts w:cs="Calibri"/>
                <w:sz w:val="16"/>
                <w:szCs w:val="16"/>
                <w:lang w:val="en-US"/>
              </w:rPr>
              <w:t>Indicates that the function caller is not allowed to perform this function on the target Profile.</w:t>
            </w:r>
          </w:p>
        </w:tc>
      </w:tr>
      <w:tr w:rsidR="00B97365" w14:paraId="1BE596D0"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2CB52DF0" w14:textId="77777777" w:rsidR="00B97365" w:rsidRDefault="00000000">
            <w:pPr>
              <w:jc w:val="center"/>
              <w:rPr>
                <w:rFonts w:cs="Calibri"/>
                <w:sz w:val="16"/>
                <w:szCs w:val="16"/>
              </w:rPr>
            </w:pPr>
            <w:r>
              <w:rPr>
                <w:rFonts w:cs="Calibri"/>
                <w:sz w:val="16"/>
                <w:szCs w:val="16"/>
              </w:rPr>
              <w:t>8.2.2</w:t>
            </w:r>
          </w:p>
        </w:tc>
        <w:tc>
          <w:tcPr>
            <w:tcW w:w="0" w:type="auto"/>
            <w:tcBorders>
              <w:top w:val="single" w:sz="6" w:space="0" w:color="auto"/>
              <w:left w:val="single" w:sz="6" w:space="0" w:color="auto"/>
              <w:bottom w:val="single" w:sz="6" w:space="0" w:color="auto"/>
              <w:right w:val="single" w:sz="6" w:space="0" w:color="auto"/>
            </w:tcBorders>
            <w:vAlign w:val="center"/>
            <w:hideMark/>
          </w:tcPr>
          <w:p w14:paraId="3DB0125A" w14:textId="77777777" w:rsidR="00B97365" w:rsidRDefault="00000000">
            <w:pPr>
              <w:rPr>
                <w:rFonts w:cs="Calibri"/>
                <w:sz w:val="16"/>
                <w:szCs w:val="16"/>
                <w:lang w:val="en-US"/>
              </w:rPr>
            </w:pPr>
            <w:r>
              <w:rPr>
                <w:rFonts w:cs="Calibri"/>
                <w:sz w:val="16"/>
                <w:szCs w:val="16"/>
                <w:lang w:val="en-US"/>
              </w:rPr>
              <w:t>POL1</w:t>
            </w:r>
          </w:p>
        </w:tc>
        <w:tc>
          <w:tcPr>
            <w:tcW w:w="732" w:type="dxa"/>
            <w:tcBorders>
              <w:top w:val="single" w:sz="6" w:space="0" w:color="auto"/>
              <w:left w:val="single" w:sz="6" w:space="0" w:color="auto"/>
              <w:bottom w:val="single" w:sz="6" w:space="0" w:color="auto"/>
              <w:right w:val="single" w:sz="6" w:space="0" w:color="auto"/>
            </w:tcBorders>
            <w:vAlign w:val="center"/>
            <w:hideMark/>
          </w:tcPr>
          <w:p w14:paraId="26BCC915"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337B01EC"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110585AA" w14:textId="77777777" w:rsidR="00B97365" w:rsidRDefault="00000000">
            <w:pPr>
              <w:rPr>
                <w:rFonts w:cs="Calibri"/>
                <w:sz w:val="16"/>
                <w:szCs w:val="16"/>
                <w:lang w:val="en-US"/>
              </w:rPr>
            </w:pPr>
            <w:r>
              <w:rPr>
                <w:rFonts w:cs="Calibri"/>
                <w:sz w:val="16"/>
                <w:szCs w:val="16"/>
                <w:lang w:val="en-US"/>
              </w:rPr>
              <w:t>The POL1 of the impacted Profiles doesn’t allow this operation.</w:t>
            </w:r>
          </w:p>
        </w:tc>
      </w:tr>
      <w:tr w:rsidR="00B97365" w14:paraId="738F4EC4"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51D76B0D" w14:textId="77777777" w:rsidR="00B97365" w:rsidRDefault="00000000">
            <w:pPr>
              <w:jc w:val="center"/>
              <w:rPr>
                <w:rFonts w:cs="Calibri"/>
                <w:sz w:val="16"/>
                <w:szCs w:val="16"/>
              </w:rPr>
            </w:pPr>
            <w:r>
              <w:rPr>
                <w:rFonts w:cs="Calibri"/>
                <w:sz w:val="16"/>
                <w:szCs w:val="16"/>
              </w:rPr>
              <w:t>8.2.3</w:t>
            </w:r>
          </w:p>
        </w:tc>
        <w:tc>
          <w:tcPr>
            <w:tcW w:w="0" w:type="auto"/>
            <w:tcBorders>
              <w:top w:val="single" w:sz="6" w:space="0" w:color="auto"/>
              <w:left w:val="single" w:sz="6" w:space="0" w:color="auto"/>
              <w:bottom w:val="single" w:sz="6" w:space="0" w:color="auto"/>
              <w:right w:val="single" w:sz="6" w:space="0" w:color="auto"/>
            </w:tcBorders>
            <w:vAlign w:val="center"/>
            <w:hideMark/>
          </w:tcPr>
          <w:p w14:paraId="5032A21F" w14:textId="77777777" w:rsidR="00B97365" w:rsidRDefault="00000000">
            <w:pPr>
              <w:rPr>
                <w:rFonts w:cs="Calibri"/>
                <w:sz w:val="16"/>
                <w:szCs w:val="16"/>
                <w:lang w:val="en-US"/>
              </w:rPr>
            </w:pPr>
            <w:r>
              <w:rPr>
                <w:rFonts w:cs="Calibri"/>
                <w:sz w:val="16"/>
                <w:szCs w:val="16"/>
                <w:lang w:val="en-US"/>
              </w:rPr>
              <w:t>POL2</w:t>
            </w:r>
          </w:p>
        </w:tc>
        <w:tc>
          <w:tcPr>
            <w:tcW w:w="732" w:type="dxa"/>
            <w:tcBorders>
              <w:top w:val="single" w:sz="6" w:space="0" w:color="auto"/>
              <w:left w:val="single" w:sz="6" w:space="0" w:color="auto"/>
              <w:bottom w:val="single" w:sz="6" w:space="0" w:color="auto"/>
              <w:right w:val="single" w:sz="6" w:space="0" w:color="auto"/>
            </w:tcBorders>
            <w:vAlign w:val="center"/>
            <w:hideMark/>
          </w:tcPr>
          <w:p w14:paraId="41825548"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400E72B7"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05539BDE" w14:textId="77777777" w:rsidR="00B97365" w:rsidRDefault="00000000">
            <w:pPr>
              <w:rPr>
                <w:rFonts w:cs="Calibri"/>
                <w:sz w:val="16"/>
                <w:szCs w:val="16"/>
                <w:lang w:val="en-US"/>
              </w:rPr>
            </w:pPr>
            <w:r>
              <w:rPr>
                <w:rFonts w:cs="Calibri"/>
                <w:sz w:val="16"/>
                <w:szCs w:val="16"/>
                <w:lang w:val="en-US"/>
              </w:rPr>
              <w:t>The POL2 of the impacted Profiles doesn’t allow this operation.</w:t>
            </w:r>
          </w:p>
        </w:tc>
      </w:tr>
      <w:tr w:rsidR="00B97365" w14:paraId="390F3DC7"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tcPr>
          <w:p w14:paraId="5BCD9B1B"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79C435D8" w14:textId="77777777" w:rsidR="00B97365" w:rsidRDefault="00000000">
            <w:pPr>
              <w:rPr>
                <w:rFonts w:cs="Calibri"/>
                <w:sz w:val="16"/>
                <w:szCs w:val="16"/>
                <w:lang w:val="en-US"/>
              </w:rPr>
            </w:pPr>
            <w:r>
              <w:rPr>
                <w:rFonts w:cs="Calibri"/>
                <w:sz w:val="16"/>
                <w:szCs w:val="16"/>
                <w:lang w:val="en-US"/>
              </w:rPr>
              <w:t>PLMA</w:t>
            </w:r>
          </w:p>
        </w:tc>
        <w:tc>
          <w:tcPr>
            <w:tcW w:w="732" w:type="dxa"/>
            <w:tcBorders>
              <w:top w:val="single" w:sz="6" w:space="0" w:color="auto"/>
              <w:left w:val="single" w:sz="6" w:space="0" w:color="auto"/>
              <w:bottom w:val="single" w:sz="6" w:space="0" w:color="auto"/>
              <w:right w:val="single" w:sz="6" w:space="0" w:color="auto"/>
            </w:tcBorders>
            <w:vAlign w:val="center"/>
          </w:tcPr>
          <w:p w14:paraId="775293E7"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tcPr>
          <w:p w14:paraId="36010F9C"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tcPr>
          <w:p w14:paraId="61C0B5E7" w14:textId="77777777" w:rsidR="00B97365" w:rsidRDefault="00000000">
            <w:pPr>
              <w:rPr>
                <w:rFonts w:cs="Calibri"/>
                <w:sz w:val="16"/>
                <w:szCs w:val="16"/>
                <w:lang w:val="en-US"/>
              </w:rPr>
            </w:pPr>
            <w:r>
              <w:rPr>
                <w:rFonts w:cs="Calibri"/>
                <w:sz w:val="16"/>
                <w:szCs w:val="16"/>
                <w:lang w:val="en-US"/>
              </w:rPr>
              <w:t>No PLMA allows the SM-DP, or the Operator on behalf of which the SM-DP sent the request, to execute this operation.</w:t>
            </w:r>
          </w:p>
        </w:tc>
      </w:tr>
      <w:tr w:rsidR="00B97365" w14:paraId="67A57D8A" w14:textId="77777777">
        <w:trPr>
          <w:trHeight w:val="282"/>
          <w:jc w:val="center"/>
        </w:trPr>
        <w:tc>
          <w:tcPr>
            <w:tcW w:w="1036" w:type="dxa"/>
            <w:tcBorders>
              <w:top w:val="single" w:sz="6" w:space="0" w:color="auto"/>
              <w:left w:val="single" w:sz="4" w:space="0" w:color="auto"/>
              <w:bottom w:val="single" w:sz="4" w:space="0" w:color="auto"/>
              <w:right w:val="single" w:sz="6" w:space="0" w:color="auto"/>
            </w:tcBorders>
            <w:vAlign w:val="center"/>
            <w:hideMark/>
          </w:tcPr>
          <w:p w14:paraId="18C1D37C" w14:textId="77777777" w:rsidR="00B97365" w:rsidRDefault="00000000">
            <w:pPr>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4" w:space="0" w:color="auto"/>
              <w:right w:val="single" w:sz="6" w:space="0" w:color="auto"/>
            </w:tcBorders>
            <w:vAlign w:val="center"/>
            <w:hideMark/>
          </w:tcPr>
          <w:p w14:paraId="5EDB0DDE" w14:textId="77777777" w:rsidR="00B97365" w:rsidRDefault="00000000">
            <w:pPr>
              <w:rPr>
                <w:rFonts w:cs="Calibri"/>
                <w:sz w:val="16"/>
                <w:szCs w:val="16"/>
                <w:lang w:val="en-US"/>
              </w:rPr>
            </w:pPr>
            <w:r>
              <w:rPr>
                <w:rFonts w:cs="Calibri"/>
                <w:sz w:val="16"/>
                <w:szCs w:val="16"/>
                <w:lang w:val="en-US"/>
              </w:rPr>
              <w:t>ISD-R</w:t>
            </w:r>
          </w:p>
        </w:tc>
        <w:tc>
          <w:tcPr>
            <w:tcW w:w="732" w:type="dxa"/>
            <w:tcBorders>
              <w:top w:val="single" w:sz="6" w:space="0" w:color="auto"/>
              <w:left w:val="single" w:sz="6" w:space="0" w:color="auto"/>
              <w:bottom w:val="single" w:sz="4" w:space="0" w:color="auto"/>
              <w:right w:val="single" w:sz="6" w:space="0" w:color="auto"/>
            </w:tcBorders>
            <w:vAlign w:val="center"/>
            <w:hideMark/>
          </w:tcPr>
          <w:p w14:paraId="14AFE4FA" w14:textId="77777777" w:rsidR="00B97365" w:rsidRDefault="00000000">
            <w:pPr>
              <w:jc w:val="center"/>
              <w:rPr>
                <w:rFonts w:cs="Calibri"/>
                <w:sz w:val="16"/>
                <w:szCs w:val="16"/>
                <w:lang w:val="en-US"/>
              </w:rPr>
            </w:pPr>
            <w:r>
              <w:rPr>
                <w:rFonts w:cs="Calibri"/>
                <w:sz w:val="16"/>
                <w:szCs w:val="16"/>
                <w:lang w:val="en-US"/>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3AF010CE" w14:textId="77777777" w:rsidR="00B97365" w:rsidRDefault="00000000">
            <w:pPr>
              <w:rPr>
                <w:rFonts w:cs="Calibri"/>
                <w:sz w:val="16"/>
                <w:szCs w:val="16"/>
                <w:lang w:val="en-US"/>
              </w:rPr>
            </w:pPr>
            <w:r>
              <w:rPr>
                <w:rFonts w:cs="Calibri"/>
                <w:sz w:val="16"/>
                <w:szCs w:val="16"/>
                <w:lang w:val="en-US"/>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26C17B57" w14:textId="77777777" w:rsidR="00B97365" w:rsidRDefault="00000000">
            <w:pPr>
              <w:rPr>
                <w:rFonts w:cs="Calibri"/>
                <w:sz w:val="16"/>
                <w:szCs w:val="16"/>
                <w:lang w:val="en-US"/>
              </w:rPr>
            </w:pPr>
            <w:r>
              <w:rPr>
                <w:rFonts w:cs="Calibri"/>
                <w:sz w:val="16"/>
                <w:szCs w:val="16"/>
                <w:lang w:val="en-US"/>
              </w:rPr>
              <w:t>Error during execution of the enabling command on the eUICC.</w:t>
            </w:r>
            <w:r>
              <w:rPr>
                <w:rFonts w:cs="Calibri"/>
                <w:sz w:val="16"/>
                <w:szCs w:val="16"/>
              </w:rPr>
              <w:t xml:space="preserve"> In that case, the output data “euiccResponseData” contains the exact response coming from the eUICC.</w:t>
            </w:r>
            <w:r>
              <w:rPr>
                <w:rFonts w:cs="Calibri"/>
                <w:sz w:val="16"/>
                <w:szCs w:val="16"/>
                <w:lang w:val="en-US"/>
              </w:rPr>
              <w:t xml:space="preserve"> </w:t>
            </w:r>
          </w:p>
        </w:tc>
      </w:tr>
    </w:tbl>
    <w:p w14:paraId="52CDF52B" w14:textId="77777777" w:rsidR="00B97365" w:rsidRDefault="00000000">
      <w:pPr>
        <w:numPr>
          <w:ilvl w:val="0"/>
          <w:numId w:val="14"/>
        </w:numPr>
        <w:tabs>
          <w:tab w:val="left" w:pos="1009"/>
        </w:tabs>
        <w:spacing w:after="200" w:line="276" w:lineRule="auto"/>
        <w:jc w:val="center"/>
        <w:rPr>
          <w:rFonts w:cs="Calibri"/>
        </w:rPr>
      </w:pPr>
      <w:r>
        <w:rPr>
          <w:rFonts w:cs="Arial"/>
          <w:b/>
          <w:lang w:eastAsia="de-DE" w:bidi="ar-SA"/>
        </w:rPr>
        <w:t>: Enable Profile Specific Status Codes</w:t>
      </w:r>
    </w:p>
    <w:p w14:paraId="42434AE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800" w:name="_Toc448998276"/>
      <w:bookmarkStart w:id="3801" w:name="_Toc422150752"/>
      <w:bookmarkStart w:id="3802" w:name="_Toc421874337"/>
      <w:bookmarkStart w:id="3803" w:name="_Toc420594800"/>
      <w:bookmarkStart w:id="3804" w:name="_Toc398214878"/>
      <w:bookmarkStart w:id="3805" w:name="_Toc375158294"/>
      <w:bookmarkStart w:id="3806" w:name="_Toc368932303"/>
      <w:bookmarkStart w:id="3807" w:name="_Ref367972179"/>
      <w:bookmarkStart w:id="3808" w:name="_Ref483292613"/>
      <w:bookmarkStart w:id="3809" w:name="_Toc486332894"/>
      <w:bookmarkStart w:id="3810" w:name="_Ref511997520"/>
      <w:bookmarkStart w:id="3811" w:name="_Toc1977386"/>
      <w:bookmarkStart w:id="3812" w:name="_Ref36799180"/>
      <w:bookmarkStart w:id="3813" w:name="_Toc37062545"/>
      <w:bookmarkStart w:id="3814" w:name="_Toc88839619"/>
      <w:bookmarkStart w:id="3815" w:name="_Toc121504027"/>
      <w:bookmarkStart w:id="3816" w:name="_Toc352671587"/>
      <w:bookmarkStart w:id="3817" w:name="_Toc345955224"/>
      <w:bookmarkStart w:id="3818" w:name="_Ref346618067"/>
      <w:r>
        <w:rPr>
          <w:rFonts w:eastAsia="Times New Roman" w:cs="Arial"/>
          <w:b/>
          <w:sz w:val="24"/>
          <w:szCs w:val="26"/>
          <w:lang w:eastAsia="en-US"/>
        </w:rPr>
        <w:t>Profile Disabling</w:t>
      </w:r>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14:paraId="2A9CBF4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DisableProfile</w:t>
      </w:r>
    </w:p>
    <w:p w14:paraId="5A6203D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Disabling via SM-DP</w:t>
      </w:r>
    </w:p>
    <w:p w14:paraId="7D3955A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1B978A4A"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Function Provider</w:t>
      </w:r>
      <w:r>
        <w:rPr>
          <w:szCs w:val="22"/>
          <w:lang w:val="en-US" w:eastAsia="en-GB" w:bidi="ar-SA"/>
        </w:rPr>
        <w:t>: SM-SR</w:t>
      </w:r>
    </w:p>
    <w:p w14:paraId="1FA0E95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allows the SM-DP </w:t>
      </w:r>
      <w:r>
        <w:rPr>
          <w:rFonts w:cs="Calibri"/>
          <w:szCs w:val="22"/>
          <w:lang w:eastAsia="en-GB" w:bidi="ar-SA"/>
        </w:rPr>
        <w:t>authorised by</w:t>
      </w:r>
      <w:r>
        <w:rPr>
          <w:szCs w:val="22"/>
          <w:lang w:val="en-US" w:eastAsia="en-GB" w:bidi="ar-SA"/>
        </w:rPr>
        <w:t xml:space="preserve"> the Operator to request a Profile Disabling to the SM-SR in charge of the management of the targeted eUICC, eUICC being identified by its EID.</w:t>
      </w:r>
    </w:p>
    <w:p w14:paraId="7B255C43" w14:textId="77777777" w:rsidR="00B97365" w:rsidRDefault="00000000">
      <w:pPr>
        <w:spacing w:before="0" w:after="200" w:line="276" w:lineRule="auto"/>
        <w:jc w:val="left"/>
        <w:rPr>
          <w:szCs w:val="22"/>
          <w:lang w:val="en-US" w:eastAsia="en-GB" w:bidi="ar-SA"/>
        </w:rPr>
      </w:pPr>
      <w:r>
        <w:rPr>
          <w:szCs w:val="22"/>
          <w:lang w:val="en-US" w:eastAsia="en-GB" w:bidi="ar-SA"/>
        </w:rPr>
        <w:t>The SM-DP SHALL indicate on behalf of which Operator it is requesting this operation.</w:t>
      </w:r>
    </w:p>
    <w:p w14:paraId="6351817B" w14:textId="2FBEDE71"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Profile Disabling procedure described in section </w:t>
      </w:r>
      <w:r>
        <w:fldChar w:fldCharType="begin"/>
      </w:r>
      <w:r>
        <w:rPr>
          <w:szCs w:val="22"/>
          <w:lang w:val="en-US" w:eastAsia="en-GB" w:bidi="ar-SA"/>
        </w:rPr>
        <w:instrText xml:space="preserve"> REF _Ref367974000 \r \h </w:instrText>
      </w:r>
      <w:r>
        <w:fldChar w:fldCharType="separate"/>
      </w:r>
      <w:r w:rsidR="001D5AD9">
        <w:rPr>
          <w:szCs w:val="22"/>
          <w:lang w:val="en-US" w:eastAsia="en-GB" w:bidi="ar-SA"/>
        </w:rPr>
        <w:t>3.5</w:t>
      </w:r>
      <w:r>
        <w:fldChar w:fldCharType="end"/>
      </w:r>
      <w:r>
        <w:rPr>
          <w:szCs w:val="22"/>
          <w:lang w:val="en-US" w:eastAsia="en-GB" w:bidi="ar-SA"/>
        </w:rPr>
        <w:t xml:space="preserve"> of this specification.</w:t>
      </w:r>
    </w:p>
    <w:p w14:paraId="48E1315C" w14:textId="77777777" w:rsidR="00B97365" w:rsidRDefault="00000000">
      <w:pPr>
        <w:spacing w:before="0" w:after="200" w:line="276" w:lineRule="auto"/>
        <w:jc w:val="left"/>
        <w:rPr>
          <w:szCs w:val="22"/>
          <w:lang w:val="en-US" w:eastAsia="en-GB" w:bidi="ar-SA"/>
        </w:rPr>
      </w:pPr>
      <w:r>
        <w:rPr>
          <w:szCs w:val="22"/>
          <w:lang w:val="en-US" w:eastAsia="en-GB" w:bidi="ar-SA"/>
        </w:rPr>
        <w:t>The SM-SR SHALL verify that the request is:</w:t>
      </w:r>
    </w:p>
    <w:p w14:paraId="022F82EC"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Either sent on behalf of an Operator owning the targeted Profile </w:t>
      </w:r>
    </w:p>
    <w:p w14:paraId="73BE4BCF" w14:textId="77777777" w:rsidR="00B97365" w:rsidRDefault="00000000">
      <w:pPr>
        <w:spacing w:before="0" w:after="200" w:line="276" w:lineRule="auto"/>
        <w:ind w:left="720"/>
        <w:contextualSpacing/>
        <w:jc w:val="left"/>
        <w:rPr>
          <w:szCs w:val="22"/>
          <w:lang w:val="en-US" w:eastAsia="en-GB" w:bidi="ar-SA"/>
        </w:rPr>
      </w:pPr>
      <w:r>
        <w:rPr>
          <w:szCs w:val="22"/>
          <w:lang w:val="en-US" w:eastAsia="en-GB" w:bidi="ar-SA"/>
        </w:rPr>
        <w:t xml:space="preserve">or </w:t>
      </w:r>
    </w:p>
    <w:p w14:paraId="666F2741"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Sent on behalf of an Operator that is not the owner of the targeted Profile, but the Operator owning the targeted Profile has granted a PLMA allowing the operation “DisableProfile” to the Operator requesting the operation.</w:t>
      </w:r>
    </w:p>
    <w:p w14:paraId="5141DE7A" w14:textId="77777777" w:rsidR="00B97365" w:rsidRDefault="00000000">
      <w:pPr>
        <w:spacing w:before="0" w:after="200" w:line="276" w:lineRule="auto"/>
        <w:jc w:val="left"/>
        <w:rPr>
          <w:szCs w:val="22"/>
          <w:lang w:val="en-US" w:eastAsia="en-GB" w:bidi="ar-SA"/>
        </w:rPr>
      </w:pPr>
      <w:r>
        <w:rPr>
          <w:szCs w:val="22"/>
          <w:lang w:val="en-US" w:eastAsia="en-GB" w:bidi="ar-SA"/>
        </w:rPr>
        <w:t>The SM-SR MAY provide additional verifications.</w:t>
      </w:r>
    </w:p>
    <w:p w14:paraId="6700BD7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2270911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‘Executed-Success’ indicating that the Profile has been disabled on the eUICC. </w:t>
      </w:r>
    </w:p>
    <w:p w14:paraId="5379D3B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w:t>
      </w:r>
      <w:r>
        <w:rPr>
          <w:lang w:val="en-US"/>
        </w:rPr>
        <w:t>Executed-WithWarning</w:t>
      </w:r>
      <w:r>
        <w:rPr>
          <w:szCs w:val="22"/>
          <w:lang w:eastAsia="en-GB" w:bidi="ar-SA"/>
        </w:rPr>
        <w:t>’, with a status code as defined below, indicating that the Profile has been disabled on the eUICC, and deleted after application of a POL1 or POL2 rule.</w:t>
      </w:r>
    </w:p>
    <w:p w14:paraId="03BB5F69" w14:textId="656DE0CC"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_Ref367974760 \r \h  \* MERGEFORMAT </w:instrText>
      </w:r>
      <w:r>
        <w:fldChar w:fldCharType="separate"/>
      </w:r>
      <w:r w:rsidR="001D5AD9" w:rsidRPr="001D5AD9">
        <w:rPr>
          <w:szCs w:val="22"/>
          <w:lang w:eastAsia="en-GB" w:bidi="ar-SA"/>
        </w:rPr>
        <w:t>5.1.6.4</w:t>
      </w:r>
      <w:r>
        <w:fldChar w:fldCharType="end"/>
      </w:r>
    </w:p>
    <w:p w14:paraId="4647E967" w14:textId="500D5D76"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_Ref367974768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4FD1FF57" w14:textId="77777777" w:rsidR="00B97365" w:rsidRDefault="00B97365">
      <w:pPr>
        <w:tabs>
          <w:tab w:val="left" w:pos="680"/>
        </w:tabs>
        <w:spacing w:before="0" w:after="200" w:line="276" w:lineRule="auto"/>
        <w:contextualSpacing/>
        <w:jc w:val="left"/>
        <w:rPr>
          <w:rFonts w:cs="Arial"/>
          <w:szCs w:val="22"/>
          <w:lang w:eastAsia="en-GB" w:bidi="ar-SA"/>
        </w:rPr>
      </w:pPr>
    </w:p>
    <w:p w14:paraId="463D8E29" w14:textId="77777777" w:rsidR="00B97365" w:rsidRDefault="00000000">
      <w:pPr>
        <w:spacing w:before="0" w:after="200" w:line="276" w:lineRule="auto"/>
        <w:jc w:val="left"/>
        <w:rPr>
          <w:b/>
          <w:i/>
          <w:szCs w:val="22"/>
          <w:lang w:val="en-US" w:eastAsia="en-GB" w:bidi="ar-SA"/>
        </w:rPr>
      </w:pPr>
      <w:bookmarkStart w:id="3819" w:name="_Toc420594801"/>
      <w:r>
        <w:rPr>
          <w:rFonts w:cs="Arial"/>
          <w:b/>
          <w:i/>
          <w:szCs w:val="22"/>
          <w:lang w:val="en-US" w:eastAsia="en-GB" w:bidi="ar-SA"/>
        </w:rPr>
        <w:t>Additional input data:</w:t>
      </w:r>
      <w:bookmarkEnd w:id="381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2951"/>
        <w:gridCol w:w="576"/>
        <w:gridCol w:w="398"/>
        <w:gridCol w:w="514"/>
      </w:tblGrid>
      <w:tr w:rsidR="00B97365" w14:paraId="3BA5194A"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283A7C4"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FC7E11F"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21430B6"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B9D96C7"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7AE0FE9"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AEFC69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7C7F5D6"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D2EF74B" w14:textId="77777777" w:rsidR="00B97365" w:rsidRDefault="00000000">
            <w:pPr>
              <w:rPr>
                <w:rFonts w:cs="Calibri"/>
                <w:sz w:val="16"/>
                <w:szCs w:val="16"/>
              </w:rPr>
            </w:pPr>
            <w:r>
              <w:rPr>
                <w:rFonts w:cs="Calibri"/>
                <w:sz w:val="16"/>
                <w:szCs w:val="16"/>
              </w:rPr>
              <w:t>Identification of the targeted eUICC.</w:t>
            </w:r>
          </w:p>
          <w:p w14:paraId="6DD1EF4E" w14:textId="1B707D94"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_Ref367974779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9D6753B"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35C0F82"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DCBB51C" w14:textId="77777777" w:rsidR="00B97365" w:rsidRDefault="00000000">
            <w:pPr>
              <w:jc w:val="center"/>
              <w:rPr>
                <w:rFonts w:cs="Calibri"/>
                <w:sz w:val="16"/>
                <w:szCs w:val="16"/>
              </w:rPr>
            </w:pPr>
            <w:r>
              <w:rPr>
                <w:rFonts w:cs="Calibri"/>
                <w:sz w:val="16"/>
                <w:szCs w:val="16"/>
              </w:rPr>
              <w:t>M</w:t>
            </w:r>
          </w:p>
        </w:tc>
      </w:tr>
      <w:tr w:rsidR="00B97365" w14:paraId="251BD445"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BA188E2" w14:textId="77777777" w:rsidR="00B97365" w:rsidRDefault="00000000">
            <w:pP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0F0D28A3" w14:textId="77777777" w:rsidR="00B97365" w:rsidRDefault="00000000">
            <w:pPr>
              <w:rPr>
                <w:rFonts w:cs="Calibri"/>
                <w:sz w:val="16"/>
                <w:szCs w:val="16"/>
              </w:rPr>
            </w:pPr>
            <w:r>
              <w:rPr>
                <w:rFonts w:cs="Calibri"/>
                <w:sz w:val="16"/>
                <w:szCs w:val="16"/>
              </w:rPr>
              <w:t>Identification of the Profile to disable.</w:t>
            </w:r>
          </w:p>
          <w:p w14:paraId="06DCA33A" w14:textId="02CDCFA4"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_Ref367974785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596E896A"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009A7AD5"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166F041" w14:textId="77777777" w:rsidR="00B97365" w:rsidRDefault="00000000">
            <w:pPr>
              <w:jc w:val="center"/>
              <w:rPr>
                <w:rFonts w:cs="Calibri"/>
                <w:sz w:val="16"/>
                <w:szCs w:val="16"/>
              </w:rPr>
            </w:pPr>
            <w:r>
              <w:rPr>
                <w:rFonts w:cs="Calibri"/>
                <w:sz w:val="16"/>
                <w:szCs w:val="16"/>
              </w:rPr>
              <w:t>M</w:t>
            </w:r>
          </w:p>
        </w:tc>
      </w:tr>
    </w:tbl>
    <w:p w14:paraId="37AB142A"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Disable Profile Additional Input Data</w:t>
      </w:r>
    </w:p>
    <w:p w14:paraId="39315278" w14:textId="77777777" w:rsidR="00B97365" w:rsidRDefault="00B97365">
      <w:pPr>
        <w:rPr>
          <w:lang w:val="en-US" w:eastAsia="en-GB" w:bidi="ar-SA"/>
        </w:rPr>
      </w:pPr>
    </w:p>
    <w:p w14:paraId="34359CD0" w14:textId="77777777" w:rsidR="00B97365" w:rsidRDefault="00000000">
      <w:pPr>
        <w:spacing w:before="0" w:after="200" w:line="276" w:lineRule="auto"/>
        <w:jc w:val="left"/>
        <w:rPr>
          <w:b/>
          <w:i/>
          <w:szCs w:val="22"/>
          <w:lang w:val="en-US" w:eastAsia="en-GB" w:bidi="ar-SA"/>
        </w:rPr>
      </w:pPr>
      <w:bookmarkStart w:id="3820" w:name="_Toc420594802"/>
      <w:r>
        <w:rPr>
          <w:rFonts w:cs="Arial"/>
          <w:b/>
          <w:i/>
          <w:szCs w:val="22"/>
          <w:lang w:val="en-US" w:eastAsia="en-GB" w:bidi="ar-SA"/>
        </w:rPr>
        <w:t>Additional output data:</w:t>
      </w:r>
      <w:bookmarkEnd w:id="382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583"/>
        <w:gridCol w:w="5127"/>
        <w:gridCol w:w="1372"/>
        <w:gridCol w:w="409"/>
        <w:gridCol w:w="525"/>
      </w:tblGrid>
      <w:tr w:rsidR="00B97365" w14:paraId="39B4EE92" w14:textId="77777777">
        <w:trPr>
          <w:cantSplit/>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7CD9B87"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5D433DA"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8D619AB"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8A3AF7A"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A8FCCEA"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1BD72199" w14:textId="77777777">
        <w:trPr>
          <w:cantSplit/>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D312E67" w14:textId="77777777" w:rsidR="00B97365" w:rsidRDefault="00000000">
            <w:pPr>
              <w:tabs>
                <w:tab w:val="right" w:pos="7938"/>
              </w:tabs>
              <w:ind w:left="470" w:hanging="459"/>
              <w:rPr>
                <w:rFonts w:cs="Calibri"/>
                <w:sz w:val="16"/>
                <w:szCs w:val="16"/>
              </w:rPr>
            </w:pPr>
            <w:r>
              <w:rPr>
                <w:rFonts w:cs="Calibri"/>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12CE1DAE" w14:textId="77777777" w:rsidR="00B97365" w:rsidRDefault="00000000">
            <w:pPr>
              <w:rPr>
                <w:rFonts w:cs="Calibri"/>
                <w:b/>
                <w:noProof/>
                <w:sz w:val="16"/>
                <w:szCs w:val="16"/>
              </w:rPr>
            </w:pPr>
            <w:r>
              <w:rPr>
                <w:rFonts w:cs="Calibri"/>
                <w:sz w:val="16"/>
                <w:szCs w:val="16"/>
              </w:rPr>
              <w:t xml:space="preserve">Contains the detailed error returned by the eUICC in case of the function execution failed at the eUICC. </w:t>
            </w:r>
          </w:p>
        </w:tc>
        <w:tc>
          <w:tcPr>
            <w:tcW w:w="0" w:type="auto"/>
            <w:tcBorders>
              <w:top w:val="single" w:sz="6" w:space="0" w:color="auto"/>
              <w:left w:val="single" w:sz="6" w:space="0" w:color="auto"/>
              <w:bottom w:val="single" w:sz="4" w:space="0" w:color="auto"/>
              <w:right w:val="single" w:sz="6" w:space="0" w:color="auto"/>
            </w:tcBorders>
            <w:vAlign w:val="center"/>
            <w:hideMark/>
          </w:tcPr>
          <w:p w14:paraId="08556439" w14:textId="77777777" w:rsidR="00B97365" w:rsidRDefault="00000000">
            <w:pPr>
              <w:tabs>
                <w:tab w:val="right" w:pos="7938"/>
              </w:tabs>
              <w:ind w:left="470" w:hanging="459"/>
              <w:rPr>
                <w:rFonts w:cs="Calibri"/>
                <w:sz w:val="16"/>
                <w:szCs w:val="16"/>
                <w:lang w:val="en-US"/>
              </w:rPr>
            </w:pPr>
            <w:r>
              <w:rPr>
                <w:rFonts w:cs="Calibri"/>
                <w:sz w:val="16"/>
                <w:szCs w:val="16"/>
                <w:lang w:val="en-US"/>
              </w:rPr>
              <w:t xml:space="preserve">Hexadecimal String </w:t>
            </w:r>
          </w:p>
        </w:tc>
        <w:tc>
          <w:tcPr>
            <w:tcW w:w="0" w:type="auto"/>
            <w:tcBorders>
              <w:top w:val="single" w:sz="6" w:space="0" w:color="auto"/>
              <w:left w:val="single" w:sz="6" w:space="0" w:color="auto"/>
              <w:bottom w:val="single" w:sz="4" w:space="0" w:color="auto"/>
              <w:right w:val="single" w:sz="6" w:space="0" w:color="auto"/>
            </w:tcBorders>
            <w:vAlign w:val="center"/>
            <w:hideMark/>
          </w:tcPr>
          <w:p w14:paraId="4EF2812C" w14:textId="77777777" w:rsidR="00B97365" w:rsidRDefault="00000000">
            <w:pPr>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852641A" w14:textId="77777777" w:rsidR="00B97365" w:rsidRDefault="00000000">
            <w:pPr>
              <w:jc w:val="center"/>
              <w:rPr>
                <w:rFonts w:cs="Calibri"/>
                <w:sz w:val="16"/>
                <w:szCs w:val="16"/>
                <w:lang w:val="en-US"/>
              </w:rPr>
            </w:pPr>
            <w:r>
              <w:rPr>
                <w:rFonts w:cs="Calibri"/>
                <w:sz w:val="16"/>
                <w:szCs w:val="16"/>
                <w:lang w:val="en-US"/>
              </w:rPr>
              <w:t>O</w:t>
            </w:r>
          </w:p>
        </w:tc>
      </w:tr>
    </w:tbl>
    <w:p w14:paraId="2730B07E"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Disable Profile Additional Output Data</w:t>
      </w:r>
      <w:bookmarkStart w:id="3821" w:name="_Toc420594803"/>
    </w:p>
    <w:p w14:paraId="11EF974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lastRenderedPageBreak/>
        <w:t>Specific status codes</w:t>
      </w:r>
      <w:bookmarkEnd w:id="3821"/>
    </w:p>
    <w:tbl>
      <w:tblPr>
        <w:tblW w:w="96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1162"/>
        <w:gridCol w:w="718"/>
        <w:gridCol w:w="1225"/>
        <w:gridCol w:w="5793"/>
      </w:tblGrid>
      <w:tr w:rsidR="00B97365" w14:paraId="50CFE6F3" w14:textId="77777777">
        <w:trPr>
          <w:trHeight w:val="342"/>
          <w:jc w:val="center"/>
        </w:trPr>
        <w:tc>
          <w:tcPr>
            <w:tcW w:w="718"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F8C7AC1" w14:textId="77777777" w:rsidR="00B97365" w:rsidRDefault="00000000">
            <w:pPr>
              <w:jc w:val="center"/>
              <w:rPr>
                <w:rFonts w:cs="Calibri"/>
                <w:b/>
                <w:color w:val="FFFFFF"/>
                <w:sz w:val="16"/>
                <w:szCs w:val="16"/>
              </w:rPr>
            </w:pPr>
            <w:r>
              <w:rPr>
                <w:rFonts w:cs="Calibri"/>
                <w:b/>
                <w:color w:val="FFFFFF"/>
                <w:sz w:val="16"/>
                <w:szCs w:val="16"/>
              </w:rPr>
              <w:t>Subject</w:t>
            </w:r>
          </w:p>
          <w:p w14:paraId="3B4E1BC6" w14:textId="77777777" w:rsidR="00B97365" w:rsidRDefault="00000000">
            <w:pPr>
              <w:jc w:val="center"/>
              <w:rPr>
                <w:rFonts w:cs="Calibri"/>
                <w:b/>
                <w:color w:val="FFFFFF"/>
                <w:sz w:val="16"/>
                <w:szCs w:val="16"/>
              </w:rPr>
            </w:pPr>
            <w:r>
              <w:rPr>
                <w:rFonts w:cs="Calibri"/>
                <w:b/>
                <w:color w:val="FFFFFF"/>
                <w:sz w:val="16"/>
                <w:szCs w:val="16"/>
              </w:rPr>
              <w:t>code</w:t>
            </w:r>
          </w:p>
        </w:tc>
        <w:tc>
          <w:tcPr>
            <w:tcW w:w="116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E8C56B8" w14:textId="77777777" w:rsidR="00B97365" w:rsidRDefault="00000000">
            <w:pPr>
              <w:jc w:val="center"/>
              <w:rPr>
                <w:rFonts w:cs="Calibri"/>
                <w:b/>
                <w:color w:val="FFFFFF"/>
                <w:sz w:val="16"/>
                <w:szCs w:val="16"/>
              </w:rPr>
            </w:pPr>
            <w:r>
              <w:rPr>
                <w:rFonts w:cs="Calibri"/>
                <w:b/>
                <w:color w:val="FFFFFF"/>
                <w:sz w:val="16"/>
                <w:szCs w:val="16"/>
              </w:rPr>
              <w:t>Subject</w:t>
            </w:r>
          </w:p>
        </w:tc>
        <w:tc>
          <w:tcPr>
            <w:tcW w:w="71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8E797E1" w14:textId="77777777" w:rsidR="00B97365" w:rsidRDefault="00000000">
            <w:pPr>
              <w:jc w:val="center"/>
              <w:rPr>
                <w:rFonts w:cs="Calibri"/>
                <w:b/>
                <w:color w:val="FFFFFF"/>
                <w:sz w:val="16"/>
                <w:szCs w:val="16"/>
              </w:rPr>
            </w:pPr>
            <w:r>
              <w:rPr>
                <w:rFonts w:cs="Calibri"/>
                <w:b/>
                <w:color w:val="FFFFFF"/>
                <w:sz w:val="16"/>
                <w:szCs w:val="16"/>
              </w:rPr>
              <w:t>Reason</w:t>
            </w:r>
          </w:p>
          <w:p w14:paraId="57BA4DB5" w14:textId="77777777" w:rsidR="00B97365" w:rsidRDefault="00000000">
            <w:pPr>
              <w:jc w:val="center"/>
              <w:rPr>
                <w:rFonts w:cs="Calibri"/>
                <w:b/>
                <w:color w:val="FFFFFF"/>
                <w:sz w:val="16"/>
                <w:szCs w:val="16"/>
              </w:rPr>
            </w:pPr>
            <w:r>
              <w:rPr>
                <w:rFonts w:cs="Calibri"/>
                <w:b/>
                <w:color w:val="FFFFFF"/>
                <w:sz w:val="16"/>
                <w:szCs w:val="16"/>
              </w:rPr>
              <w:t>code</w:t>
            </w:r>
          </w:p>
        </w:tc>
        <w:tc>
          <w:tcPr>
            <w:tcW w:w="122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143F0B9" w14:textId="77777777" w:rsidR="00B97365" w:rsidRDefault="00000000">
            <w:pPr>
              <w:jc w:val="center"/>
              <w:rPr>
                <w:rFonts w:cs="Calibri"/>
                <w:b/>
                <w:color w:val="FFFFFF"/>
                <w:sz w:val="16"/>
                <w:szCs w:val="16"/>
              </w:rPr>
            </w:pPr>
            <w:r>
              <w:rPr>
                <w:rFonts w:cs="Calibri"/>
                <w:b/>
                <w:color w:val="FFFFFF"/>
                <w:sz w:val="16"/>
                <w:szCs w:val="16"/>
              </w:rPr>
              <w:t>Reason</w:t>
            </w:r>
          </w:p>
        </w:tc>
        <w:tc>
          <w:tcPr>
            <w:tcW w:w="5793"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676A620"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0C3C2513"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hideMark/>
          </w:tcPr>
          <w:p w14:paraId="52DBE380" w14:textId="77777777" w:rsidR="00B97365" w:rsidRDefault="00000000">
            <w:pPr>
              <w:rPr>
                <w:rFonts w:cs="Calibri"/>
                <w:sz w:val="16"/>
                <w:szCs w:val="16"/>
              </w:rPr>
            </w:pPr>
            <w:r>
              <w:rPr>
                <w:rFonts w:cs="Calibri"/>
                <w:sz w:val="16"/>
                <w:szCs w:val="16"/>
              </w:rPr>
              <w:t>8.1</w:t>
            </w:r>
          </w:p>
        </w:tc>
        <w:tc>
          <w:tcPr>
            <w:tcW w:w="1162" w:type="dxa"/>
            <w:tcBorders>
              <w:top w:val="single" w:sz="6" w:space="0" w:color="auto"/>
              <w:left w:val="single" w:sz="6" w:space="0" w:color="auto"/>
              <w:bottom w:val="single" w:sz="6" w:space="0" w:color="auto"/>
              <w:right w:val="single" w:sz="6" w:space="0" w:color="auto"/>
            </w:tcBorders>
            <w:vAlign w:val="center"/>
            <w:hideMark/>
          </w:tcPr>
          <w:p w14:paraId="58B37C91" w14:textId="77777777" w:rsidR="00B97365" w:rsidRDefault="00000000">
            <w:pPr>
              <w:spacing w:after="60"/>
              <w:rPr>
                <w:rFonts w:eastAsia="Times New Roman" w:cs="Calibri"/>
                <w:sz w:val="16"/>
                <w:szCs w:val="16"/>
                <w:lang w:val="en-US"/>
              </w:rPr>
            </w:pPr>
            <w:r>
              <w:rPr>
                <w:rFonts w:cs="Calibri"/>
                <w:sz w:val="16"/>
                <w:szCs w:val="16"/>
                <w:lang w:val="en-US"/>
              </w:rPr>
              <w:t>eUICC</w:t>
            </w:r>
          </w:p>
        </w:tc>
        <w:tc>
          <w:tcPr>
            <w:tcW w:w="718" w:type="dxa"/>
            <w:tcBorders>
              <w:top w:val="single" w:sz="6" w:space="0" w:color="auto"/>
              <w:left w:val="single" w:sz="6" w:space="0" w:color="auto"/>
              <w:bottom w:val="single" w:sz="6" w:space="0" w:color="auto"/>
              <w:right w:val="single" w:sz="6" w:space="0" w:color="auto"/>
            </w:tcBorders>
            <w:vAlign w:val="center"/>
            <w:hideMark/>
          </w:tcPr>
          <w:p w14:paraId="78BEA30F" w14:textId="77777777" w:rsidR="00B97365" w:rsidRDefault="00000000">
            <w:pPr>
              <w:spacing w:after="60"/>
              <w:rPr>
                <w:rFonts w:eastAsia="Times New Roman" w:cs="Calibri"/>
                <w:sz w:val="16"/>
                <w:szCs w:val="16"/>
                <w:lang w:val="en-US"/>
              </w:rPr>
            </w:pPr>
            <w:r>
              <w:rPr>
                <w:rFonts w:cs="Calibri"/>
                <w:sz w:val="16"/>
                <w:szCs w:val="16"/>
                <w:lang w:val="en-US"/>
              </w:rPr>
              <w:t>3.8</w:t>
            </w:r>
          </w:p>
        </w:tc>
        <w:tc>
          <w:tcPr>
            <w:tcW w:w="1225" w:type="dxa"/>
            <w:tcBorders>
              <w:top w:val="single" w:sz="6" w:space="0" w:color="auto"/>
              <w:left w:val="single" w:sz="6" w:space="0" w:color="auto"/>
              <w:bottom w:val="single" w:sz="6" w:space="0" w:color="auto"/>
              <w:right w:val="single" w:sz="6" w:space="0" w:color="auto"/>
            </w:tcBorders>
            <w:vAlign w:val="center"/>
            <w:hideMark/>
          </w:tcPr>
          <w:p w14:paraId="4482753A" w14:textId="77777777" w:rsidR="00B97365" w:rsidRDefault="00000000">
            <w:pPr>
              <w:spacing w:after="60"/>
              <w:rPr>
                <w:rFonts w:eastAsia="Times New Roman" w:cs="Calibri"/>
                <w:sz w:val="16"/>
                <w:szCs w:val="16"/>
              </w:rPr>
            </w:pPr>
            <w:r>
              <w:rPr>
                <w:rFonts w:cs="Calibri"/>
                <w:sz w:val="16"/>
                <w:szCs w:val="16"/>
                <w:lang w:val="en-US"/>
              </w:rPr>
              <w:t>Refused</w:t>
            </w:r>
          </w:p>
        </w:tc>
        <w:tc>
          <w:tcPr>
            <w:tcW w:w="5793" w:type="dxa"/>
            <w:tcBorders>
              <w:top w:val="single" w:sz="6" w:space="0" w:color="auto"/>
              <w:left w:val="single" w:sz="6" w:space="0" w:color="auto"/>
              <w:bottom w:val="single" w:sz="6" w:space="0" w:color="auto"/>
              <w:right w:val="single" w:sz="4" w:space="0" w:color="auto"/>
            </w:tcBorders>
            <w:vAlign w:val="center"/>
            <w:hideMark/>
          </w:tcPr>
          <w:p w14:paraId="5BD818CC" w14:textId="77777777" w:rsidR="00B97365" w:rsidRDefault="00000000">
            <w:pPr>
              <w:spacing w:after="60"/>
              <w:rPr>
                <w:rFonts w:eastAsia="Times New Roman" w:cs="Calibri"/>
                <w:sz w:val="16"/>
                <w:szCs w:val="16"/>
              </w:rPr>
            </w:pPr>
            <w:r>
              <w:rPr>
                <w:rFonts w:cs="Calibri"/>
                <w:sz w:val="16"/>
                <w:szCs w:val="16"/>
                <w:lang w:val="en-US"/>
              </w:rPr>
              <w:t>Indicates that the target Profile can’t be disabled. (for example the Profile is the only Profile in the eUICC)</w:t>
            </w:r>
          </w:p>
        </w:tc>
      </w:tr>
      <w:tr w:rsidR="00B97365" w14:paraId="425E3D5E"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tcPr>
          <w:p w14:paraId="7A671102" w14:textId="77777777" w:rsidR="00B97365" w:rsidRDefault="00000000">
            <w:pPr>
              <w:rPr>
                <w:rFonts w:cs="Calibri"/>
                <w:sz w:val="16"/>
                <w:szCs w:val="16"/>
              </w:rPr>
            </w:pPr>
            <w:r>
              <w:rPr>
                <w:rFonts w:cs="Calibri"/>
                <w:sz w:val="16"/>
                <w:szCs w:val="16"/>
              </w:rPr>
              <w:t>8.2</w:t>
            </w:r>
          </w:p>
        </w:tc>
        <w:tc>
          <w:tcPr>
            <w:tcW w:w="1162" w:type="dxa"/>
            <w:tcBorders>
              <w:top w:val="single" w:sz="6" w:space="0" w:color="auto"/>
              <w:left w:val="single" w:sz="6" w:space="0" w:color="auto"/>
              <w:bottom w:val="single" w:sz="6" w:space="0" w:color="auto"/>
              <w:right w:val="single" w:sz="6" w:space="0" w:color="auto"/>
            </w:tcBorders>
            <w:vAlign w:val="center"/>
          </w:tcPr>
          <w:p w14:paraId="5F046206" w14:textId="77777777" w:rsidR="00B97365" w:rsidRDefault="00000000">
            <w:pPr>
              <w:spacing w:after="60"/>
              <w:rPr>
                <w:rFonts w:cs="Calibri"/>
                <w:sz w:val="16"/>
                <w:szCs w:val="16"/>
                <w:lang w:val="en-US"/>
              </w:rPr>
            </w:pPr>
            <w:r>
              <w:rPr>
                <w:rFonts w:cs="Calibri"/>
                <w:sz w:val="16"/>
                <w:szCs w:val="16"/>
                <w:lang w:val="en-US"/>
              </w:rPr>
              <w:t>Profile</w:t>
            </w:r>
          </w:p>
        </w:tc>
        <w:tc>
          <w:tcPr>
            <w:tcW w:w="718" w:type="dxa"/>
            <w:tcBorders>
              <w:top w:val="single" w:sz="6" w:space="0" w:color="auto"/>
              <w:left w:val="single" w:sz="6" w:space="0" w:color="auto"/>
              <w:bottom w:val="single" w:sz="6" w:space="0" w:color="auto"/>
              <w:right w:val="single" w:sz="6" w:space="0" w:color="auto"/>
            </w:tcBorders>
            <w:vAlign w:val="center"/>
          </w:tcPr>
          <w:p w14:paraId="46317A63" w14:textId="77777777" w:rsidR="00B97365" w:rsidRDefault="00000000">
            <w:pPr>
              <w:spacing w:after="60"/>
              <w:rPr>
                <w:rFonts w:cs="Calibri"/>
                <w:sz w:val="16"/>
                <w:szCs w:val="16"/>
                <w:lang w:val="en-US"/>
              </w:rPr>
            </w:pPr>
            <w:r>
              <w:rPr>
                <w:rFonts w:cs="Calibri"/>
                <w:sz w:val="16"/>
                <w:szCs w:val="16"/>
                <w:lang w:val="en-US"/>
              </w:rPr>
              <w:t>5.1</w:t>
            </w:r>
          </w:p>
        </w:tc>
        <w:tc>
          <w:tcPr>
            <w:tcW w:w="1225" w:type="dxa"/>
            <w:tcBorders>
              <w:top w:val="single" w:sz="6" w:space="0" w:color="auto"/>
              <w:left w:val="single" w:sz="6" w:space="0" w:color="auto"/>
              <w:bottom w:val="single" w:sz="6" w:space="0" w:color="auto"/>
              <w:right w:val="single" w:sz="6" w:space="0" w:color="auto"/>
            </w:tcBorders>
            <w:vAlign w:val="center"/>
          </w:tcPr>
          <w:p w14:paraId="73310B9E" w14:textId="77777777" w:rsidR="00B97365" w:rsidRDefault="00000000">
            <w:pPr>
              <w:spacing w:after="60"/>
              <w:rPr>
                <w:rFonts w:cs="Calibri"/>
                <w:sz w:val="16"/>
                <w:szCs w:val="16"/>
                <w:lang w:val="en-US"/>
              </w:rPr>
            </w:pPr>
            <w:r>
              <w:rPr>
                <w:rFonts w:cs="Calibri"/>
                <w:sz w:val="16"/>
                <w:szCs w:val="16"/>
              </w:rPr>
              <w:t xml:space="preserve"> Inaccessible</w:t>
            </w:r>
          </w:p>
        </w:tc>
        <w:tc>
          <w:tcPr>
            <w:tcW w:w="5793" w:type="dxa"/>
            <w:tcBorders>
              <w:top w:val="single" w:sz="6" w:space="0" w:color="auto"/>
              <w:left w:val="single" w:sz="6" w:space="0" w:color="auto"/>
              <w:bottom w:val="single" w:sz="6" w:space="0" w:color="auto"/>
              <w:right w:val="single" w:sz="4" w:space="0" w:color="auto"/>
            </w:tcBorders>
            <w:vAlign w:val="center"/>
          </w:tcPr>
          <w:p w14:paraId="3B979C91" w14:textId="77777777" w:rsidR="00B97365" w:rsidRDefault="00000000">
            <w:pPr>
              <w:spacing w:after="60"/>
              <w:rPr>
                <w:rFonts w:cs="Calibri"/>
                <w:sz w:val="16"/>
                <w:szCs w:val="16"/>
                <w:lang w:val="en-US"/>
              </w:rPr>
            </w:pPr>
            <w:r>
              <w:rPr>
                <w:rFonts w:cs="Calibri"/>
                <w:sz w:val="16"/>
                <w:szCs w:val="16"/>
              </w:rPr>
              <w:t xml:space="preserve">Indicates that the Profile change procedure couldn’t complete after enabling the Profile with the Fall-Back Attribute set, and the Profile change was rolled-back on the eUICC, </w:t>
            </w:r>
          </w:p>
        </w:tc>
      </w:tr>
      <w:tr w:rsidR="00B97365" w14:paraId="3E9F0EA6"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hideMark/>
          </w:tcPr>
          <w:p w14:paraId="34651F0F" w14:textId="77777777" w:rsidR="00B97365" w:rsidRDefault="00000000">
            <w:pPr>
              <w:rPr>
                <w:rFonts w:cs="Calibri"/>
                <w:sz w:val="16"/>
                <w:szCs w:val="16"/>
              </w:rPr>
            </w:pPr>
            <w:r>
              <w:rPr>
                <w:rFonts w:cs="Calibri"/>
                <w:sz w:val="16"/>
                <w:szCs w:val="16"/>
              </w:rPr>
              <w:t>8.1.1</w:t>
            </w:r>
          </w:p>
        </w:tc>
        <w:tc>
          <w:tcPr>
            <w:tcW w:w="1162" w:type="dxa"/>
            <w:tcBorders>
              <w:top w:val="single" w:sz="6" w:space="0" w:color="auto"/>
              <w:left w:val="single" w:sz="6" w:space="0" w:color="auto"/>
              <w:bottom w:val="single" w:sz="6" w:space="0" w:color="auto"/>
              <w:right w:val="single" w:sz="6" w:space="0" w:color="auto"/>
            </w:tcBorders>
            <w:vAlign w:val="center"/>
            <w:hideMark/>
          </w:tcPr>
          <w:p w14:paraId="2665491C" w14:textId="77777777" w:rsidR="00B97365" w:rsidRDefault="00000000">
            <w:pPr>
              <w:spacing w:after="60"/>
              <w:rPr>
                <w:rFonts w:eastAsia="Times New Roman" w:cs="Calibri"/>
                <w:sz w:val="16"/>
                <w:szCs w:val="16"/>
                <w:lang w:val="en-US"/>
              </w:rPr>
            </w:pPr>
            <w:r>
              <w:rPr>
                <w:rFonts w:cs="Calibri"/>
                <w:sz w:val="16"/>
                <w:szCs w:val="16"/>
                <w:lang w:val="en-US"/>
              </w:rPr>
              <w:t>EID</w:t>
            </w:r>
          </w:p>
        </w:tc>
        <w:tc>
          <w:tcPr>
            <w:tcW w:w="718" w:type="dxa"/>
            <w:tcBorders>
              <w:top w:val="single" w:sz="6" w:space="0" w:color="auto"/>
              <w:left w:val="single" w:sz="6" w:space="0" w:color="auto"/>
              <w:bottom w:val="single" w:sz="6" w:space="0" w:color="auto"/>
              <w:right w:val="single" w:sz="6" w:space="0" w:color="auto"/>
            </w:tcBorders>
            <w:vAlign w:val="center"/>
            <w:hideMark/>
          </w:tcPr>
          <w:p w14:paraId="16B275AA" w14:textId="77777777" w:rsidR="00B97365" w:rsidRDefault="00000000">
            <w:pPr>
              <w:spacing w:after="60"/>
              <w:rPr>
                <w:rFonts w:eastAsia="Times New Roman" w:cs="Calibri"/>
                <w:sz w:val="16"/>
                <w:szCs w:val="16"/>
                <w:lang w:val="en-US"/>
              </w:rPr>
            </w:pPr>
            <w:r>
              <w:rPr>
                <w:rFonts w:cs="Calibri"/>
                <w:sz w:val="16"/>
                <w:szCs w:val="16"/>
                <w:lang w:val="en-US"/>
              </w:rPr>
              <w:t>3.9</w:t>
            </w:r>
          </w:p>
        </w:tc>
        <w:tc>
          <w:tcPr>
            <w:tcW w:w="1225" w:type="dxa"/>
            <w:tcBorders>
              <w:top w:val="single" w:sz="6" w:space="0" w:color="auto"/>
              <w:left w:val="single" w:sz="6" w:space="0" w:color="auto"/>
              <w:bottom w:val="single" w:sz="6" w:space="0" w:color="auto"/>
              <w:right w:val="single" w:sz="6" w:space="0" w:color="auto"/>
            </w:tcBorders>
            <w:vAlign w:val="center"/>
            <w:hideMark/>
          </w:tcPr>
          <w:p w14:paraId="5758C0F7" w14:textId="77777777" w:rsidR="00B97365" w:rsidRDefault="00000000">
            <w:pPr>
              <w:spacing w:after="60"/>
              <w:rPr>
                <w:rFonts w:eastAsia="Times New Roman" w:cs="Calibri"/>
                <w:sz w:val="16"/>
                <w:szCs w:val="16"/>
              </w:rPr>
            </w:pPr>
            <w:r>
              <w:rPr>
                <w:rFonts w:cs="Calibri"/>
                <w:sz w:val="16"/>
                <w:szCs w:val="16"/>
              </w:rPr>
              <w:t>Unknown</w:t>
            </w:r>
          </w:p>
        </w:tc>
        <w:tc>
          <w:tcPr>
            <w:tcW w:w="5793" w:type="dxa"/>
            <w:tcBorders>
              <w:top w:val="single" w:sz="6" w:space="0" w:color="auto"/>
              <w:left w:val="single" w:sz="6" w:space="0" w:color="auto"/>
              <w:bottom w:val="single" w:sz="6" w:space="0" w:color="auto"/>
              <w:right w:val="single" w:sz="4" w:space="0" w:color="auto"/>
            </w:tcBorders>
            <w:vAlign w:val="center"/>
            <w:hideMark/>
          </w:tcPr>
          <w:p w14:paraId="02EFA524" w14:textId="77777777" w:rsidR="00B97365" w:rsidRDefault="00000000">
            <w:pPr>
              <w:spacing w:after="60"/>
              <w:rPr>
                <w:rFonts w:eastAsia="Times New Roman" w:cs="Calibri"/>
                <w:sz w:val="16"/>
                <w:szCs w:val="16"/>
                <w:lang w:val="en-US"/>
              </w:rPr>
            </w:pPr>
            <w:r>
              <w:rPr>
                <w:rFonts w:cs="Calibri"/>
                <w:sz w:val="16"/>
                <w:szCs w:val="16"/>
              </w:rPr>
              <w:t>Indicates that the eUICC, identified by this EID, is unknown to the SM-SR.</w:t>
            </w:r>
          </w:p>
        </w:tc>
      </w:tr>
      <w:tr w:rsidR="00B97365" w14:paraId="4449A7E6"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hideMark/>
          </w:tcPr>
          <w:p w14:paraId="7701D577" w14:textId="77777777" w:rsidR="00B97365" w:rsidRDefault="00000000">
            <w:pPr>
              <w:rPr>
                <w:rFonts w:cs="Calibri"/>
                <w:sz w:val="16"/>
                <w:szCs w:val="16"/>
              </w:rPr>
            </w:pPr>
            <w:r>
              <w:rPr>
                <w:rFonts w:cs="Calibri"/>
                <w:sz w:val="16"/>
                <w:szCs w:val="16"/>
              </w:rPr>
              <w:t>8.2.1</w:t>
            </w:r>
          </w:p>
        </w:tc>
        <w:tc>
          <w:tcPr>
            <w:tcW w:w="1162" w:type="dxa"/>
            <w:tcBorders>
              <w:top w:val="single" w:sz="6" w:space="0" w:color="auto"/>
              <w:left w:val="single" w:sz="6" w:space="0" w:color="auto"/>
              <w:bottom w:val="single" w:sz="6" w:space="0" w:color="auto"/>
              <w:right w:val="single" w:sz="6" w:space="0" w:color="auto"/>
            </w:tcBorders>
            <w:vAlign w:val="center"/>
            <w:hideMark/>
          </w:tcPr>
          <w:p w14:paraId="1C671AF0" w14:textId="77777777" w:rsidR="00B97365" w:rsidRDefault="00000000">
            <w:pPr>
              <w:spacing w:after="60"/>
              <w:rPr>
                <w:rFonts w:eastAsia="Times New Roman" w:cs="Calibri"/>
                <w:sz w:val="16"/>
                <w:szCs w:val="16"/>
                <w:lang w:val="en-US"/>
              </w:rPr>
            </w:pPr>
            <w:r>
              <w:rPr>
                <w:rFonts w:cs="Calibri"/>
                <w:sz w:val="16"/>
                <w:szCs w:val="16"/>
                <w:lang w:val="en-US"/>
              </w:rPr>
              <w:t>Profile ICCID</w:t>
            </w:r>
          </w:p>
        </w:tc>
        <w:tc>
          <w:tcPr>
            <w:tcW w:w="718" w:type="dxa"/>
            <w:tcBorders>
              <w:top w:val="single" w:sz="6" w:space="0" w:color="auto"/>
              <w:left w:val="single" w:sz="6" w:space="0" w:color="auto"/>
              <w:bottom w:val="single" w:sz="6" w:space="0" w:color="auto"/>
              <w:right w:val="single" w:sz="6" w:space="0" w:color="auto"/>
            </w:tcBorders>
            <w:vAlign w:val="center"/>
            <w:hideMark/>
          </w:tcPr>
          <w:p w14:paraId="3A812176" w14:textId="77777777" w:rsidR="00B97365" w:rsidRDefault="00000000">
            <w:pPr>
              <w:spacing w:after="60"/>
              <w:rPr>
                <w:rFonts w:eastAsia="Times New Roman" w:cs="Calibri"/>
                <w:sz w:val="16"/>
                <w:szCs w:val="16"/>
                <w:lang w:val="en-US"/>
              </w:rPr>
            </w:pPr>
            <w:r>
              <w:rPr>
                <w:rFonts w:cs="Calibri"/>
                <w:sz w:val="16"/>
                <w:szCs w:val="16"/>
                <w:lang w:val="en-US"/>
              </w:rPr>
              <w:t>3.9</w:t>
            </w:r>
          </w:p>
        </w:tc>
        <w:tc>
          <w:tcPr>
            <w:tcW w:w="1225" w:type="dxa"/>
            <w:tcBorders>
              <w:top w:val="single" w:sz="6" w:space="0" w:color="auto"/>
              <w:left w:val="single" w:sz="6" w:space="0" w:color="auto"/>
              <w:bottom w:val="single" w:sz="6" w:space="0" w:color="auto"/>
              <w:right w:val="single" w:sz="6" w:space="0" w:color="auto"/>
            </w:tcBorders>
            <w:vAlign w:val="center"/>
            <w:hideMark/>
          </w:tcPr>
          <w:p w14:paraId="06ED6F28" w14:textId="77777777" w:rsidR="00B97365" w:rsidRDefault="00000000">
            <w:pPr>
              <w:spacing w:after="60"/>
              <w:rPr>
                <w:rFonts w:eastAsia="Times New Roman" w:cs="Calibri"/>
                <w:sz w:val="16"/>
                <w:szCs w:val="16"/>
                <w:lang w:val="en-US"/>
              </w:rPr>
            </w:pPr>
            <w:r>
              <w:rPr>
                <w:rFonts w:cs="Calibri"/>
                <w:sz w:val="16"/>
                <w:szCs w:val="16"/>
              </w:rPr>
              <w:t>Unknown</w:t>
            </w:r>
          </w:p>
        </w:tc>
        <w:tc>
          <w:tcPr>
            <w:tcW w:w="5793" w:type="dxa"/>
            <w:tcBorders>
              <w:top w:val="single" w:sz="6" w:space="0" w:color="auto"/>
              <w:left w:val="single" w:sz="6" w:space="0" w:color="auto"/>
              <w:bottom w:val="single" w:sz="6" w:space="0" w:color="auto"/>
              <w:right w:val="single" w:sz="4" w:space="0" w:color="auto"/>
            </w:tcBorders>
            <w:vAlign w:val="center"/>
            <w:hideMark/>
          </w:tcPr>
          <w:p w14:paraId="5DCE095A" w14:textId="77777777" w:rsidR="00B97365" w:rsidRDefault="00000000">
            <w:pPr>
              <w:spacing w:after="60"/>
              <w:rPr>
                <w:rFonts w:eastAsia="Times New Roman" w:cs="Calibri"/>
                <w:sz w:val="16"/>
                <w:szCs w:val="16"/>
                <w:lang w:val="en-US"/>
              </w:rPr>
            </w:pPr>
            <w:r>
              <w:rPr>
                <w:rFonts w:cs="Calibri"/>
                <w:sz w:val="16"/>
                <w:szCs w:val="16"/>
                <w:lang w:val="en-US"/>
              </w:rPr>
              <w:t>Indicates that the Profile identified by this ICCID is unknown to SM-SR.</w:t>
            </w:r>
          </w:p>
        </w:tc>
      </w:tr>
      <w:tr w:rsidR="00B97365" w14:paraId="73EF621B"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hideMark/>
          </w:tcPr>
          <w:p w14:paraId="58BAF31A" w14:textId="77777777" w:rsidR="00B97365" w:rsidRDefault="00000000">
            <w:pPr>
              <w:rPr>
                <w:rFonts w:cs="Calibri"/>
                <w:sz w:val="16"/>
                <w:szCs w:val="16"/>
              </w:rPr>
            </w:pPr>
            <w:r>
              <w:rPr>
                <w:rFonts w:cs="Calibri"/>
                <w:sz w:val="16"/>
                <w:szCs w:val="16"/>
              </w:rPr>
              <w:t>8.2.1</w:t>
            </w:r>
          </w:p>
        </w:tc>
        <w:tc>
          <w:tcPr>
            <w:tcW w:w="1162" w:type="dxa"/>
            <w:tcBorders>
              <w:top w:val="single" w:sz="6" w:space="0" w:color="auto"/>
              <w:left w:val="single" w:sz="6" w:space="0" w:color="auto"/>
              <w:bottom w:val="single" w:sz="6" w:space="0" w:color="auto"/>
              <w:right w:val="single" w:sz="6" w:space="0" w:color="auto"/>
            </w:tcBorders>
            <w:vAlign w:val="center"/>
            <w:hideMark/>
          </w:tcPr>
          <w:p w14:paraId="170D1067" w14:textId="77777777" w:rsidR="00B97365" w:rsidRDefault="00000000">
            <w:pPr>
              <w:spacing w:after="60"/>
              <w:rPr>
                <w:rFonts w:eastAsia="Times New Roman" w:cs="Calibri"/>
                <w:sz w:val="16"/>
                <w:szCs w:val="16"/>
                <w:lang w:val="en-US"/>
              </w:rPr>
            </w:pPr>
            <w:r>
              <w:rPr>
                <w:rFonts w:cs="Calibri"/>
                <w:sz w:val="16"/>
                <w:szCs w:val="16"/>
                <w:lang w:val="en-US"/>
              </w:rPr>
              <w:t>Profile ICCID</w:t>
            </w:r>
          </w:p>
        </w:tc>
        <w:tc>
          <w:tcPr>
            <w:tcW w:w="718" w:type="dxa"/>
            <w:tcBorders>
              <w:top w:val="single" w:sz="6" w:space="0" w:color="auto"/>
              <w:left w:val="single" w:sz="6" w:space="0" w:color="auto"/>
              <w:bottom w:val="single" w:sz="6" w:space="0" w:color="auto"/>
              <w:right w:val="single" w:sz="6" w:space="0" w:color="auto"/>
            </w:tcBorders>
            <w:vAlign w:val="center"/>
            <w:hideMark/>
          </w:tcPr>
          <w:p w14:paraId="6B3AFEBB" w14:textId="77777777" w:rsidR="00B97365" w:rsidRDefault="00000000">
            <w:pPr>
              <w:spacing w:after="60"/>
              <w:rPr>
                <w:rFonts w:eastAsia="Times New Roman" w:cs="Calibri"/>
                <w:sz w:val="16"/>
                <w:szCs w:val="16"/>
                <w:lang w:val="en-US"/>
              </w:rPr>
            </w:pPr>
            <w:r>
              <w:rPr>
                <w:rFonts w:cs="Calibri"/>
                <w:sz w:val="16"/>
                <w:szCs w:val="16"/>
                <w:lang w:val="en-US"/>
              </w:rPr>
              <w:t>3.4</w:t>
            </w:r>
          </w:p>
        </w:tc>
        <w:tc>
          <w:tcPr>
            <w:tcW w:w="1225" w:type="dxa"/>
            <w:tcBorders>
              <w:top w:val="single" w:sz="6" w:space="0" w:color="auto"/>
              <w:left w:val="single" w:sz="6" w:space="0" w:color="auto"/>
              <w:bottom w:val="single" w:sz="6" w:space="0" w:color="auto"/>
              <w:right w:val="single" w:sz="6" w:space="0" w:color="auto"/>
            </w:tcBorders>
            <w:vAlign w:val="center"/>
            <w:hideMark/>
          </w:tcPr>
          <w:p w14:paraId="514B386E" w14:textId="77777777" w:rsidR="00B97365" w:rsidRDefault="00000000">
            <w:pPr>
              <w:spacing w:after="60"/>
              <w:rPr>
                <w:rFonts w:eastAsia="Times New Roman" w:cs="Calibri"/>
                <w:sz w:val="16"/>
                <w:szCs w:val="16"/>
                <w:lang w:val="en-US"/>
              </w:rPr>
            </w:pPr>
            <w:r>
              <w:rPr>
                <w:rFonts w:cs="Calibri"/>
                <w:sz w:val="16"/>
                <w:szCs w:val="16"/>
              </w:rPr>
              <w:t>Invalid destination</w:t>
            </w:r>
          </w:p>
        </w:tc>
        <w:tc>
          <w:tcPr>
            <w:tcW w:w="5793" w:type="dxa"/>
            <w:tcBorders>
              <w:top w:val="single" w:sz="6" w:space="0" w:color="auto"/>
              <w:left w:val="single" w:sz="6" w:space="0" w:color="auto"/>
              <w:bottom w:val="single" w:sz="6" w:space="0" w:color="auto"/>
              <w:right w:val="single" w:sz="4" w:space="0" w:color="auto"/>
            </w:tcBorders>
            <w:vAlign w:val="center"/>
            <w:hideMark/>
          </w:tcPr>
          <w:p w14:paraId="4DC0AE66" w14:textId="77777777" w:rsidR="00B97365" w:rsidRDefault="00000000">
            <w:pPr>
              <w:spacing w:after="60"/>
              <w:rPr>
                <w:rFonts w:eastAsia="Times New Roman" w:cs="Calibri"/>
                <w:sz w:val="16"/>
                <w:szCs w:val="16"/>
                <w:lang w:val="en-US"/>
              </w:rPr>
            </w:pPr>
            <w:r>
              <w:rPr>
                <w:rFonts w:cs="Calibri"/>
                <w:sz w:val="16"/>
                <w:szCs w:val="16"/>
                <w:lang w:val="en-US"/>
              </w:rPr>
              <w:t>Indicates that the Profile identified by this ICCID is known to the SM-SR but installed on another eUICC than the one identified by the function caller.</w:t>
            </w:r>
          </w:p>
        </w:tc>
      </w:tr>
      <w:tr w:rsidR="00B97365" w14:paraId="4AFEF0FA"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tcPr>
          <w:p w14:paraId="4193AAF5" w14:textId="77777777" w:rsidR="00B97365" w:rsidRDefault="00000000">
            <w:pPr>
              <w:rPr>
                <w:rFonts w:cs="Calibri"/>
                <w:sz w:val="16"/>
                <w:szCs w:val="16"/>
              </w:rPr>
            </w:pPr>
            <w:r>
              <w:rPr>
                <w:rFonts w:cs="Calibri"/>
                <w:sz w:val="16"/>
                <w:szCs w:val="16"/>
              </w:rPr>
              <w:t>8.2.1</w:t>
            </w:r>
          </w:p>
        </w:tc>
        <w:tc>
          <w:tcPr>
            <w:tcW w:w="1162" w:type="dxa"/>
            <w:tcBorders>
              <w:top w:val="single" w:sz="6" w:space="0" w:color="auto"/>
              <w:left w:val="single" w:sz="6" w:space="0" w:color="auto"/>
              <w:bottom w:val="single" w:sz="6" w:space="0" w:color="auto"/>
              <w:right w:val="single" w:sz="6" w:space="0" w:color="auto"/>
            </w:tcBorders>
            <w:vAlign w:val="center"/>
          </w:tcPr>
          <w:p w14:paraId="59124A4D" w14:textId="77777777" w:rsidR="00B97365" w:rsidRDefault="00000000">
            <w:pPr>
              <w:spacing w:after="60"/>
              <w:rPr>
                <w:rFonts w:cs="Calibri"/>
                <w:sz w:val="16"/>
                <w:szCs w:val="16"/>
                <w:lang w:val="en-US"/>
              </w:rPr>
            </w:pPr>
            <w:r>
              <w:rPr>
                <w:rFonts w:cs="Calibri"/>
                <w:sz w:val="16"/>
                <w:szCs w:val="16"/>
                <w:lang w:val="en-US"/>
              </w:rPr>
              <w:t>Profile ICCID</w:t>
            </w:r>
          </w:p>
        </w:tc>
        <w:tc>
          <w:tcPr>
            <w:tcW w:w="718" w:type="dxa"/>
            <w:tcBorders>
              <w:top w:val="single" w:sz="6" w:space="0" w:color="auto"/>
              <w:left w:val="single" w:sz="6" w:space="0" w:color="auto"/>
              <w:bottom w:val="single" w:sz="6" w:space="0" w:color="auto"/>
              <w:right w:val="single" w:sz="6" w:space="0" w:color="auto"/>
            </w:tcBorders>
            <w:vAlign w:val="center"/>
          </w:tcPr>
          <w:p w14:paraId="2DB948E3" w14:textId="77777777" w:rsidR="00B97365" w:rsidRDefault="00000000">
            <w:pPr>
              <w:spacing w:after="60"/>
              <w:rPr>
                <w:rFonts w:cs="Calibri"/>
                <w:sz w:val="16"/>
                <w:szCs w:val="16"/>
                <w:lang w:val="en-US"/>
              </w:rPr>
            </w:pPr>
            <w:r>
              <w:rPr>
                <w:rFonts w:cs="Calibri"/>
                <w:sz w:val="16"/>
                <w:szCs w:val="16"/>
                <w:lang w:val="en-US"/>
              </w:rPr>
              <w:t>3.5</w:t>
            </w:r>
          </w:p>
        </w:tc>
        <w:tc>
          <w:tcPr>
            <w:tcW w:w="1225" w:type="dxa"/>
            <w:tcBorders>
              <w:top w:val="single" w:sz="6" w:space="0" w:color="auto"/>
              <w:left w:val="single" w:sz="6" w:space="0" w:color="auto"/>
              <w:bottom w:val="single" w:sz="6" w:space="0" w:color="auto"/>
              <w:right w:val="single" w:sz="6" w:space="0" w:color="auto"/>
            </w:tcBorders>
            <w:vAlign w:val="center"/>
          </w:tcPr>
          <w:p w14:paraId="382DE8EF" w14:textId="77777777" w:rsidR="00B97365" w:rsidRDefault="00000000">
            <w:pPr>
              <w:spacing w:after="60"/>
              <w:rPr>
                <w:rFonts w:cs="Calibri"/>
                <w:sz w:val="16"/>
                <w:szCs w:val="16"/>
              </w:rPr>
            </w:pPr>
            <w:r>
              <w:rPr>
                <w:rFonts w:cs="Calibri"/>
                <w:sz w:val="16"/>
                <w:szCs w:val="16"/>
                <w:lang w:val="en-US"/>
              </w:rPr>
              <w:t>Invalid Transition</w:t>
            </w:r>
          </w:p>
        </w:tc>
        <w:tc>
          <w:tcPr>
            <w:tcW w:w="5793" w:type="dxa"/>
            <w:tcBorders>
              <w:top w:val="single" w:sz="6" w:space="0" w:color="auto"/>
              <w:left w:val="single" w:sz="6" w:space="0" w:color="auto"/>
              <w:bottom w:val="single" w:sz="6" w:space="0" w:color="auto"/>
              <w:right w:val="single" w:sz="4" w:space="0" w:color="auto"/>
            </w:tcBorders>
            <w:vAlign w:val="center"/>
          </w:tcPr>
          <w:p w14:paraId="544DE2B4" w14:textId="77777777" w:rsidR="00B97365" w:rsidRDefault="00000000">
            <w:pPr>
              <w:spacing w:after="60"/>
              <w:rPr>
                <w:rFonts w:cs="Calibri"/>
                <w:sz w:val="16"/>
                <w:szCs w:val="16"/>
                <w:lang w:val="en-US"/>
              </w:rPr>
            </w:pPr>
            <w:r>
              <w:rPr>
                <w:rFonts w:cs="Calibri"/>
                <w:sz w:val="16"/>
                <w:szCs w:val="16"/>
                <w:lang w:val="en-US"/>
              </w:rPr>
              <w:t>Indicates that the Profile was already Disabled</w:t>
            </w:r>
          </w:p>
        </w:tc>
      </w:tr>
      <w:tr w:rsidR="00B97365" w14:paraId="6D2CAABA"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hideMark/>
          </w:tcPr>
          <w:p w14:paraId="316F7BA4" w14:textId="77777777" w:rsidR="00B97365" w:rsidRDefault="00000000">
            <w:pPr>
              <w:rPr>
                <w:rFonts w:cs="Calibri"/>
                <w:sz w:val="16"/>
                <w:szCs w:val="16"/>
              </w:rPr>
            </w:pPr>
            <w:r>
              <w:rPr>
                <w:rFonts w:cs="Calibri"/>
                <w:sz w:val="16"/>
                <w:szCs w:val="16"/>
              </w:rPr>
              <w:t>8.2.1</w:t>
            </w:r>
          </w:p>
        </w:tc>
        <w:tc>
          <w:tcPr>
            <w:tcW w:w="1162" w:type="dxa"/>
            <w:tcBorders>
              <w:top w:val="single" w:sz="6" w:space="0" w:color="auto"/>
              <w:left w:val="single" w:sz="6" w:space="0" w:color="auto"/>
              <w:bottom w:val="single" w:sz="6" w:space="0" w:color="auto"/>
              <w:right w:val="single" w:sz="6" w:space="0" w:color="auto"/>
            </w:tcBorders>
            <w:vAlign w:val="center"/>
            <w:hideMark/>
          </w:tcPr>
          <w:p w14:paraId="1CE70DBC" w14:textId="77777777" w:rsidR="00B97365" w:rsidRDefault="00000000">
            <w:pPr>
              <w:spacing w:after="60"/>
              <w:rPr>
                <w:rFonts w:eastAsia="Times New Roman" w:cs="Calibri"/>
                <w:sz w:val="16"/>
                <w:szCs w:val="16"/>
                <w:lang w:val="en-US"/>
              </w:rPr>
            </w:pPr>
            <w:r>
              <w:rPr>
                <w:rFonts w:cs="Calibri"/>
                <w:sz w:val="16"/>
                <w:szCs w:val="16"/>
                <w:lang w:val="en-US"/>
              </w:rPr>
              <w:t>Profile ICCID</w:t>
            </w:r>
          </w:p>
        </w:tc>
        <w:tc>
          <w:tcPr>
            <w:tcW w:w="718" w:type="dxa"/>
            <w:tcBorders>
              <w:top w:val="single" w:sz="6" w:space="0" w:color="auto"/>
              <w:left w:val="single" w:sz="6" w:space="0" w:color="auto"/>
              <w:bottom w:val="single" w:sz="6" w:space="0" w:color="auto"/>
              <w:right w:val="single" w:sz="6" w:space="0" w:color="auto"/>
            </w:tcBorders>
            <w:vAlign w:val="center"/>
            <w:hideMark/>
          </w:tcPr>
          <w:p w14:paraId="67069FE4" w14:textId="77777777" w:rsidR="00B97365" w:rsidRDefault="00000000">
            <w:pPr>
              <w:spacing w:after="60"/>
              <w:rPr>
                <w:rFonts w:eastAsia="Times New Roman" w:cs="Calibri"/>
                <w:sz w:val="16"/>
                <w:szCs w:val="16"/>
                <w:lang w:val="en-US"/>
              </w:rPr>
            </w:pPr>
            <w:r>
              <w:rPr>
                <w:rFonts w:cs="Calibri"/>
                <w:sz w:val="16"/>
                <w:szCs w:val="16"/>
                <w:lang w:val="en-US"/>
              </w:rPr>
              <w:t>1.2</w:t>
            </w:r>
          </w:p>
        </w:tc>
        <w:tc>
          <w:tcPr>
            <w:tcW w:w="1225" w:type="dxa"/>
            <w:tcBorders>
              <w:top w:val="single" w:sz="6" w:space="0" w:color="auto"/>
              <w:left w:val="single" w:sz="6" w:space="0" w:color="auto"/>
              <w:bottom w:val="single" w:sz="6" w:space="0" w:color="auto"/>
              <w:right w:val="single" w:sz="6" w:space="0" w:color="auto"/>
            </w:tcBorders>
            <w:vAlign w:val="center"/>
            <w:hideMark/>
          </w:tcPr>
          <w:p w14:paraId="0430C952" w14:textId="77777777" w:rsidR="00B97365" w:rsidRDefault="00000000">
            <w:pPr>
              <w:spacing w:after="60"/>
              <w:rPr>
                <w:rFonts w:eastAsia="Times New Roman" w:cs="Calibri"/>
                <w:sz w:val="16"/>
                <w:szCs w:val="16"/>
                <w:lang w:val="en-US"/>
              </w:rPr>
            </w:pPr>
            <w:r>
              <w:rPr>
                <w:rFonts w:cs="Calibri"/>
                <w:sz w:val="16"/>
                <w:szCs w:val="16"/>
                <w:lang w:val="en-US"/>
              </w:rPr>
              <w:t>Not Allowed (Authorisation)</w:t>
            </w:r>
          </w:p>
        </w:tc>
        <w:tc>
          <w:tcPr>
            <w:tcW w:w="5793" w:type="dxa"/>
            <w:tcBorders>
              <w:top w:val="single" w:sz="6" w:space="0" w:color="auto"/>
              <w:left w:val="single" w:sz="6" w:space="0" w:color="auto"/>
              <w:bottom w:val="single" w:sz="6" w:space="0" w:color="auto"/>
              <w:right w:val="single" w:sz="4" w:space="0" w:color="auto"/>
            </w:tcBorders>
            <w:vAlign w:val="center"/>
            <w:hideMark/>
          </w:tcPr>
          <w:p w14:paraId="5EA7F9F2" w14:textId="77777777" w:rsidR="00B97365" w:rsidRDefault="00000000">
            <w:pPr>
              <w:spacing w:after="60"/>
              <w:rPr>
                <w:rFonts w:eastAsia="Times New Roman" w:cs="Calibri"/>
                <w:sz w:val="16"/>
                <w:szCs w:val="16"/>
                <w:lang w:val="en-US"/>
              </w:rPr>
            </w:pPr>
            <w:r>
              <w:rPr>
                <w:rFonts w:cs="Calibri"/>
                <w:sz w:val="16"/>
                <w:szCs w:val="16"/>
                <w:lang w:val="en-US"/>
              </w:rPr>
              <w:t>Indicates that the function caller is not allowed to perform this function on the target Profile.</w:t>
            </w:r>
          </w:p>
        </w:tc>
      </w:tr>
      <w:tr w:rsidR="00B97365" w14:paraId="2C0CDD56"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tcPr>
          <w:p w14:paraId="659E9E66" w14:textId="77777777" w:rsidR="00B97365" w:rsidRDefault="00000000">
            <w:pPr>
              <w:rPr>
                <w:rFonts w:cs="Calibri"/>
                <w:sz w:val="16"/>
                <w:szCs w:val="16"/>
              </w:rPr>
            </w:pPr>
            <w:r>
              <w:rPr>
                <w:rFonts w:cs="Calibri"/>
                <w:sz w:val="16"/>
                <w:szCs w:val="16"/>
              </w:rPr>
              <w:t>8.2.2</w:t>
            </w:r>
          </w:p>
        </w:tc>
        <w:tc>
          <w:tcPr>
            <w:tcW w:w="1162" w:type="dxa"/>
            <w:tcBorders>
              <w:top w:val="single" w:sz="6" w:space="0" w:color="auto"/>
              <w:left w:val="single" w:sz="6" w:space="0" w:color="auto"/>
              <w:bottom w:val="single" w:sz="6" w:space="0" w:color="auto"/>
              <w:right w:val="single" w:sz="6" w:space="0" w:color="auto"/>
            </w:tcBorders>
            <w:vAlign w:val="center"/>
          </w:tcPr>
          <w:p w14:paraId="112FA093" w14:textId="77777777" w:rsidR="00B97365" w:rsidRDefault="00000000">
            <w:pPr>
              <w:spacing w:after="60"/>
              <w:rPr>
                <w:rFonts w:cs="Calibri"/>
                <w:sz w:val="16"/>
                <w:szCs w:val="16"/>
                <w:lang w:val="en-US"/>
              </w:rPr>
            </w:pPr>
            <w:r>
              <w:rPr>
                <w:rFonts w:cs="Calibri"/>
                <w:sz w:val="16"/>
                <w:szCs w:val="16"/>
                <w:lang w:val="en-US"/>
              </w:rPr>
              <w:t>POL1</w:t>
            </w:r>
          </w:p>
        </w:tc>
        <w:tc>
          <w:tcPr>
            <w:tcW w:w="718" w:type="dxa"/>
            <w:tcBorders>
              <w:top w:val="single" w:sz="6" w:space="0" w:color="auto"/>
              <w:left w:val="single" w:sz="6" w:space="0" w:color="auto"/>
              <w:bottom w:val="single" w:sz="6" w:space="0" w:color="auto"/>
              <w:right w:val="single" w:sz="6" w:space="0" w:color="auto"/>
            </w:tcBorders>
            <w:vAlign w:val="center"/>
          </w:tcPr>
          <w:p w14:paraId="6B2FE1FE" w14:textId="77777777" w:rsidR="00B97365" w:rsidRDefault="00000000">
            <w:pPr>
              <w:spacing w:after="60"/>
              <w:rPr>
                <w:rFonts w:cs="Calibri"/>
                <w:sz w:val="16"/>
                <w:szCs w:val="16"/>
                <w:lang w:val="en-US"/>
              </w:rPr>
            </w:pPr>
            <w:r>
              <w:rPr>
                <w:rFonts w:cs="Calibri"/>
                <w:sz w:val="16"/>
                <w:szCs w:val="16"/>
                <w:lang w:val="en-US"/>
              </w:rPr>
              <w:t>3.6</w:t>
            </w:r>
          </w:p>
        </w:tc>
        <w:tc>
          <w:tcPr>
            <w:tcW w:w="1225" w:type="dxa"/>
            <w:tcBorders>
              <w:top w:val="single" w:sz="6" w:space="0" w:color="auto"/>
              <w:left w:val="single" w:sz="6" w:space="0" w:color="auto"/>
              <w:bottom w:val="single" w:sz="6" w:space="0" w:color="auto"/>
              <w:right w:val="single" w:sz="6" w:space="0" w:color="auto"/>
            </w:tcBorders>
            <w:vAlign w:val="center"/>
          </w:tcPr>
          <w:p w14:paraId="26FDCF20" w14:textId="77777777" w:rsidR="00B97365" w:rsidRDefault="00000000">
            <w:pPr>
              <w:spacing w:after="60"/>
              <w:rPr>
                <w:rFonts w:cs="Calibri"/>
                <w:sz w:val="16"/>
                <w:szCs w:val="16"/>
                <w:lang w:val="en-US"/>
              </w:rPr>
            </w:pPr>
            <w:r>
              <w:rPr>
                <w:rFonts w:cs="Calibri"/>
                <w:sz w:val="16"/>
                <w:szCs w:val="16"/>
                <w:lang w:val="en-US"/>
              </w:rPr>
              <w:t>Related Object Exists</w:t>
            </w:r>
          </w:p>
        </w:tc>
        <w:tc>
          <w:tcPr>
            <w:tcW w:w="5793" w:type="dxa"/>
            <w:tcBorders>
              <w:top w:val="single" w:sz="6" w:space="0" w:color="auto"/>
              <w:left w:val="single" w:sz="6" w:space="0" w:color="auto"/>
              <w:bottom w:val="single" w:sz="6" w:space="0" w:color="auto"/>
              <w:right w:val="single" w:sz="4" w:space="0" w:color="auto"/>
            </w:tcBorders>
            <w:vAlign w:val="center"/>
          </w:tcPr>
          <w:p w14:paraId="71FFD038" w14:textId="77777777" w:rsidR="00B97365" w:rsidRDefault="00000000">
            <w:pPr>
              <w:spacing w:after="60"/>
              <w:rPr>
                <w:rFonts w:cs="Calibri"/>
                <w:sz w:val="16"/>
                <w:szCs w:val="16"/>
                <w:lang w:val="en-US"/>
              </w:rPr>
            </w:pPr>
            <w:r>
              <w:rPr>
                <w:rFonts w:cs="Calibri"/>
                <w:sz w:val="16"/>
                <w:szCs w:val="16"/>
                <w:lang w:val="en-US"/>
              </w:rPr>
              <w:t>The POL1 of the target Profile has triggered its deletion after disabling it</w:t>
            </w:r>
          </w:p>
          <w:p w14:paraId="7DE3ED20" w14:textId="77777777" w:rsidR="00B97365" w:rsidRDefault="00000000">
            <w:pPr>
              <w:spacing w:after="60"/>
              <w:rPr>
                <w:rFonts w:cs="Calibri"/>
                <w:sz w:val="16"/>
                <w:szCs w:val="16"/>
                <w:lang w:val="en-US"/>
              </w:rPr>
            </w:pPr>
            <w:r>
              <w:rPr>
                <w:rFonts w:cs="Calibri"/>
                <w:sz w:val="16"/>
                <w:szCs w:val="16"/>
                <w:lang w:val="en-US"/>
              </w:rPr>
              <w:t>This status code SHALL only be sent along Status =”Executed-WithWarning”</w:t>
            </w:r>
          </w:p>
        </w:tc>
      </w:tr>
      <w:tr w:rsidR="00B97365" w14:paraId="7970D468"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hideMark/>
          </w:tcPr>
          <w:p w14:paraId="0493F7B3" w14:textId="77777777" w:rsidR="00B97365" w:rsidRDefault="00000000">
            <w:pPr>
              <w:rPr>
                <w:rFonts w:cs="Calibri"/>
                <w:sz w:val="16"/>
                <w:szCs w:val="16"/>
              </w:rPr>
            </w:pPr>
            <w:r>
              <w:rPr>
                <w:rFonts w:cs="Calibri"/>
                <w:sz w:val="16"/>
                <w:szCs w:val="16"/>
              </w:rPr>
              <w:t>8.2.2</w:t>
            </w:r>
          </w:p>
        </w:tc>
        <w:tc>
          <w:tcPr>
            <w:tcW w:w="1162" w:type="dxa"/>
            <w:tcBorders>
              <w:top w:val="single" w:sz="6" w:space="0" w:color="auto"/>
              <w:left w:val="single" w:sz="6" w:space="0" w:color="auto"/>
              <w:bottom w:val="single" w:sz="6" w:space="0" w:color="auto"/>
              <w:right w:val="single" w:sz="6" w:space="0" w:color="auto"/>
            </w:tcBorders>
            <w:vAlign w:val="center"/>
            <w:hideMark/>
          </w:tcPr>
          <w:p w14:paraId="3B923E22" w14:textId="77777777" w:rsidR="00B97365" w:rsidRDefault="00000000">
            <w:pPr>
              <w:spacing w:after="60"/>
              <w:rPr>
                <w:rFonts w:eastAsia="Times New Roman" w:cs="Calibri"/>
                <w:sz w:val="16"/>
                <w:szCs w:val="16"/>
                <w:lang w:val="en-US"/>
              </w:rPr>
            </w:pPr>
            <w:r>
              <w:rPr>
                <w:rFonts w:cs="Calibri"/>
                <w:sz w:val="16"/>
                <w:szCs w:val="16"/>
                <w:lang w:val="en-US"/>
              </w:rPr>
              <w:t>POL1</w:t>
            </w:r>
          </w:p>
        </w:tc>
        <w:tc>
          <w:tcPr>
            <w:tcW w:w="718" w:type="dxa"/>
            <w:tcBorders>
              <w:top w:val="single" w:sz="6" w:space="0" w:color="auto"/>
              <w:left w:val="single" w:sz="6" w:space="0" w:color="auto"/>
              <w:bottom w:val="single" w:sz="6" w:space="0" w:color="auto"/>
              <w:right w:val="single" w:sz="6" w:space="0" w:color="auto"/>
            </w:tcBorders>
            <w:vAlign w:val="center"/>
            <w:hideMark/>
          </w:tcPr>
          <w:p w14:paraId="7466695A" w14:textId="77777777" w:rsidR="00B97365" w:rsidRDefault="00000000">
            <w:pPr>
              <w:spacing w:after="60"/>
              <w:rPr>
                <w:rFonts w:eastAsia="Times New Roman" w:cs="Calibri"/>
                <w:sz w:val="16"/>
                <w:szCs w:val="16"/>
                <w:lang w:val="en-US"/>
              </w:rPr>
            </w:pPr>
            <w:r>
              <w:rPr>
                <w:rFonts w:cs="Calibri"/>
                <w:sz w:val="16"/>
                <w:szCs w:val="16"/>
                <w:lang w:val="en-US"/>
              </w:rPr>
              <w:t>3.8</w:t>
            </w:r>
          </w:p>
        </w:tc>
        <w:tc>
          <w:tcPr>
            <w:tcW w:w="1225" w:type="dxa"/>
            <w:tcBorders>
              <w:top w:val="single" w:sz="6" w:space="0" w:color="auto"/>
              <w:left w:val="single" w:sz="6" w:space="0" w:color="auto"/>
              <w:bottom w:val="single" w:sz="6" w:space="0" w:color="auto"/>
              <w:right w:val="single" w:sz="6" w:space="0" w:color="auto"/>
            </w:tcBorders>
            <w:vAlign w:val="center"/>
            <w:hideMark/>
          </w:tcPr>
          <w:p w14:paraId="17E49B15" w14:textId="77777777" w:rsidR="00B97365" w:rsidRDefault="00000000">
            <w:pPr>
              <w:spacing w:after="60"/>
              <w:rPr>
                <w:rFonts w:eastAsia="Times New Roman" w:cs="Calibri"/>
                <w:sz w:val="16"/>
                <w:szCs w:val="16"/>
                <w:lang w:val="en-US"/>
              </w:rPr>
            </w:pPr>
            <w:r>
              <w:rPr>
                <w:rFonts w:cs="Calibri"/>
                <w:sz w:val="16"/>
                <w:szCs w:val="16"/>
                <w:lang w:val="en-US"/>
              </w:rPr>
              <w:t>Refused</w:t>
            </w:r>
          </w:p>
        </w:tc>
        <w:tc>
          <w:tcPr>
            <w:tcW w:w="5793" w:type="dxa"/>
            <w:tcBorders>
              <w:top w:val="single" w:sz="6" w:space="0" w:color="auto"/>
              <w:left w:val="single" w:sz="6" w:space="0" w:color="auto"/>
              <w:bottom w:val="single" w:sz="6" w:space="0" w:color="auto"/>
              <w:right w:val="single" w:sz="4" w:space="0" w:color="auto"/>
            </w:tcBorders>
            <w:vAlign w:val="center"/>
            <w:hideMark/>
          </w:tcPr>
          <w:p w14:paraId="381E31FF" w14:textId="77777777" w:rsidR="00B97365" w:rsidRDefault="00000000">
            <w:pPr>
              <w:spacing w:after="60"/>
              <w:rPr>
                <w:rFonts w:eastAsia="Times New Roman" w:cs="Calibri"/>
                <w:sz w:val="16"/>
                <w:szCs w:val="16"/>
                <w:lang w:val="en-US"/>
              </w:rPr>
            </w:pPr>
            <w:r>
              <w:rPr>
                <w:rFonts w:cs="Calibri"/>
                <w:sz w:val="16"/>
                <w:szCs w:val="16"/>
                <w:lang w:val="en-US"/>
              </w:rPr>
              <w:t>The POL1 of the target Profile doesn’t allow this operation.</w:t>
            </w:r>
          </w:p>
        </w:tc>
      </w:tr>
      <w:tr w:rsidR="00B97365" w14:paraId="40295CFE"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tcPr>
          <w:p w14:paraId="789192A3" w14:textId="77777777" w:rsidR="00B97365" w:rsidRDefault="00000000">
            <w:pPr>
              <w:rPr>
                <w:rFonts w:cs="Calibri"/>
                <w:sz w:val="16"/>
                <w:szCs w:val="16"/>
              </w:rPr>
            </w:pPr>
            <w:r>
              <w:rPr>
                <w:rFonts w:cs="Calibri"/>
                <w:sz w:val="16"/>
                <w:szCs w:val="16"/>
              </w:rPr>
              <w:t>8.2.3</w:t>
            </w:r>
          </w:p>
        </w:tc>
        <w:tc>
          <w:tcPr>
            <w:tcW w:w="1162" w:type="dxa"/>
            <w:tcBorders>
              <w:top w:val="single" w:sz="6" w:space="0" w:color="auto"/>
              <w:left w:val="single" w:sz="6" w:space="0" w:color="auto"/>
              <w:bottom w:val="single" w:sz="6" w:space="0" w:color="auto"/>
              <w:right w:val="single" w:sz="6" w:space="0" w:color="auto"/>
            </w:tcBorders>
            <w:vAlign w:val="center"/>
          </w:tcPr>
          <w:p w14:paraId="03B376F9" w14:textId="77777777" w:rsidR="00B97365" w:rsidRDefault="00000000">
            <w:pPr>
              <w:spacing w:after="60"/>
              <w:rPr>
                <w:rFonts w:cs="Calibri"/>
                <w:sz w:val="16"/>
                <w:szCs w:val="16"/>
                <w:lang w:val="en-US"/>
              </w:rPr>
            </w:pPr>
            <w:r>
              <w:rPr>
                <w:rFonts w:cs="Calibri"/>
                <w:sz w:val="16"/>
                <w:szCs w:val="16"/>
                <w:lang w:val="en-US"/>
              </w:rPr>
              <w:t>POL2</w:t>
            </w:r>
          </w:p>
        </w:tc>
        <w:tc>
          <w:tcPr>
            <w:tcW w:w="718" w:type="dxa"/>
            <w:tcBorders>
              <w:top w:val="single" w:sz="6" w:space="0" w:color="auto"/>
              <w:left w:val="single" w:sz="6" w:space="0" w:color="auto"/>
              <w:bottom w:val="single" w:sz="6" w:space="0" w:color="auto"/>
              <w:right w:val="single" w:sz="6" w:space="0" w:color="auto"/>
            </w:tcBorders>
            <w:vAlign w:val="center"/>
          </w:tcPr>
          <w:p w14:paraId="16E7D666" w14:textId="77777777" w:rsidR="00B97365" w:rsidRDefault="00000000">
            <w:pPr>
              <w:spacing w:after="60"/>
              <w:rPr>
                <w:rFonts w:cs="Calibri"/>
                <w:sz w:val="16"/>
                <w:szCs w:val="16"/>
                <w:lang w:val="en-US"/>
              </w:rPr>
            </w:pPr>
            <w:r>
              <w:rPr>
                <w:rFonts w:cs="Calibri"/>
                <w:sz w:val="16"/>
                <w:szCs w:val="16"/>
                <w:lang w:val="en-US"/>
              </w:rPr>
              <w:t>3.6</w:t>
            </w:r>
          </w:p>
        </w:tc>
        <w:tc>
          <w:tcPr>
            <w:tcW w:w="1225" w:type="dxa"/>
            <w:tcBorders>
              <w:top w:val="single" w:sz="6" w:space="0" w:color="auto"/>
              <w:left w:val="single" w:sz="6" w:space="0" w:color="auto"/>
              <w:bottom w:val="single" w:sz="6" w:space="0" w:color="auto"/>
              <w:right w:val="single" w:sz="6" w:space="0" w:color="auto"/>
            </w:tcBorders>
            <w:vAlign w:val="center"/>
          </w:tcPr>
          <w:p w14:paraId="5718B369" w14:textId="77777777" w:rsidR="00B97365" w:rsidRDefault="00000000">
            <w:pPr>
              <w:spacing w:after="60"/>
              <w:rPr>
                <w:rFonts w:cs="Calibri"/>
                <w:sz w:val="16"/>
                <w:szCs w:val="16"/>
                <w:lang w:val="en-US"/>
              </w:rPr>
            </w:pPr>
            <w:r>
              <w:rPr>
                <w:rFonts w:cs="Calibri"/>
                <w:sz w:val="16"/>
                <w:szCs w:val="16"/>
                <w:lang w:val="en-US"/>
              </w:rPr>
              <w:t>Related Object Exists</w:t>
            </w:r>
          </w:p>
        </w:tc>
        <w:tc>
          <w:tcPr>
            <w:tcW w:w="5793" w:type="dxa"/>
            <w:tcBorders>
              <w:top w:val="single" w:sz="6" w:space="0" w:color="auto"/>
              <w:left w:val="single" w:sz="6" w:space="0" w:color="auto"/>
              <w:bottom w:val="single" w:sz="6" w:space="0" w:color="auto"/>
              <w:right w:val="single" w:sz="4" w:space="0" w:color="auto"/>
            </w:tcBorders>
            <w:vAlign w:val="center"/>
          </w:tcPr>
          <w:p w14:paraId="69A7B15D" w14:textId="77777777" w:rsidR="00B97365" w:rsidRDefault="00000000">
            <w:pPr>
              <w:spacing w:after="60"/>
              <w:rPr>
                <w:rFonts w:cs="Calibri"/>
                <w:sz w:val="16"/>
                <w:szCs w:val="16"/>
                <w:lang w:val="en-US"/>
              </w:rPr>
            </w:pPr>
            <w:r>
              <w:rPr>
                <w:rFonts w:cs="Calibri"/>
                <w:sz w:val="16"/>
                <w:szCs w:val="16"/>
                <w:lang w:val="en-US"/>
              </w:rPr>
              <w:t>The POL2 of the target Profile has triggered its deletion after disabling it</w:t>
            </w:r>
          </w:p>
          <w:p w14:paraId="614C1E0A" w14:textId="77777777" w:rsidR="00B97365" w:rsidRDefault="00000000">
            <w:pPr>
              <w:spacing w:after="60"/>
              <w:rPr>
                <w:rFonts w:cs="Calibri"/>
                <w:sz w:val="16"/>
                <w:szCs w:val="16"/>
                <w:lang w:val="en-US"/>
              </w:rPr>
            </w:pPr>
            <w:r>
              <w:rPr>
                <w:rFonts w:cs="Calibri"/>
                <w:sz w:val="16"/>
                <w:szCs w:val="16"/>
                <w:lang w:val="en-US"/>
              </w:rPr>
              <w:t>This status code SHALL only be sent along Status =”Executed-WithWarning”</w:t>
            </w:r>
          </w:p>
        </w:tc>
      </w:tr>
      <w:tr w:rsidR="00B97365" w14:paraId="473947EB"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hideMark/>
          </w:tcPr>
          <w:p w14:paraId="0DE163AE" w14:textId="77777777" w:rsidR="00B97365" w:rsidRDefault="00000000">
            <w:pPr>
              <w:rPr>
                <w:rFonts w:cs="Calibri"/>
                <w:sz w:val="16"/>
                <w:szCs w:val="16"/>
              </w:rPr>
            </w:pPr>
            <w:r>
              <w:rPr>
                <w:rFonts w:cs="Calibri"/>
                <w:sz w:val="16"/>
                <w:szCs w:val="16"/>
              </w:rPr>
              <w:t>8.2.3</w:t>
            </w:r>
          </w:p>
        </w:tc>
        <w:tc>
          <w:tcPr>
            <w:tcW w:w="1162" w:type="dxa"/>
            <w:tcBorders>
              <w:top w:val="single" w:sz="6" w:space="0" w:color="auto"/>
              <w:left w:val="single" w:sz="6" w:space="0" w:color="auto"/>
              <w:bottom w:val="single" w:sz="6" w:space="0" w:color="auto"/>
              <w:right w:val="single" w:sz="6" w:space="0" w:color="auto"/>
            </w:tcBorders>
            <w:vAlign w:val="center"/>
            <w:hideMark/>
          </w:tcPr>
          <w:p w14:paraId="1AB9B0CD" w14:textId="77777777" w:rsidR="00B97365" w:rsidRDefault="00000000">
            <w:pPr>
              <w:spacing w:after="60"/>
              <w:rPr>
                <w:rFonts w:eastAsia="Times New Roman" w:cs="Calibri"/>
                <w:sz w:val="16"/>
                <w:szCs w:val="16"/>
                <w:lang w:val="en-US"/>
              </w:rPr>
            </w:pPr>
            <w:r>
              <w:rPr>
                <w:rFonts w:cs="Calibri"/>
                <w:sz w:val="16"/>
                <w:szCs w:val="16"/>
                <w:lang w:val="en-US"/>
              </w:rPr>
              <w:t>POL2</w:t>
            </w:r>
          </w:p>
        </w:tc>
        <w:tc>
          <w:tcPr>
            <w:tcW w:w="718" w:type="dxa"/>
            <w:tcBorders>
              <w:top w:val="single" w:sz="6" w:space="0" w:color="auto"/>
              <w:left w:val="single" w:sz="6" w:space="0" w:color="auto"/>
              <w:bottom w:val="single" w:sz="6" w:space="0" w:color="auto"/>
              <w:right w:val="single" w:sz="6" w:space="0" w:color="auto"/>
            </w:tcBorders>
            <w:vAlign w:val="center"/>
            <w:hideMark/>
          </w:tcPr>
          <w:p w14:paraId="60C070DA" w14:textId="77777777" w:rsidR="00B97365" w:rsidRDefault="00000000">
            <w:pPr>
              <w:spacing w:after="60"/>
              <w:rPr>
                <w:rFonts w:eastAsia="Times New Roman" w:cs="Calibri"/>
                <w:sz w:val="16"/>
                <w:szCs w:val="16"/>
                <w:lang w:val="en-US"/>
              </w:rPr>
            </w:pPr>
            <w:r>
              <w:rPr>
                <w:rFonts w:cs="Calibri"/>
                <w:sz w:val="16"/>
                <w:szCs w:val="16"/>
                <w:lang w:val="en-US"/>
              </w:rPr>
              <w:t>3.8</w:t>
            </w:r>
          </w:p>
        </w:tc>
        <w:tc>
          <w:tcPr>
            <w:tcW w:w="1225" w:type="dxa"/>
            <w:tcBorders>
              <w:top w:val="single" w:sz="6" w:space="0" w:color="auto"/>
              <w:left w:val="single" w:sz="6" w:space="0" w:color="auto"/>
              <w:bottom w:val="single" w:sz="6" w:space="0" w:color="auto"/>
              <w:right w:val="single" w:sz="6" w:space="0" w:color="auto"/>
            </w:tcBorders>
            <w:vAlign w:val="center"/>
            <w:hideMark/>
          </w:tcPr>
          <w:p w14:paraId="51B646DE" w14:textId="77777777" w:rsidR="00B97365" w:rsidRDefault="00000000">
            <w:pPr>
              <w:spacing w:after="60"/>
              <w:rPr>
                <w:rFonts w:eastAsia="Times New Roman" w:cs="Calibri"/>
                <w:sz w:val="16"/>
                <w:szCs w:val="16"/>
                <w:lang w:val="en-US"/>
              </w:rPr>
            </w:pPr>
            <w:r>
              <w:rPr>
                <w:rFonts w:cs="Calibri"/>
                <w:sz w:val="16"/>
                <w:szCs w:val="16"/>
                <w:lang w:val="en-US"/>
              </w:rPr>
              <w:t>Refused</w:t>
            </w:r>
          </w:p>
        </w:tc>
        <w:tc>
          <w:tcPr>
            <w:tcW w:w="5793" w:type="dxa"/>
            <w:tcBorders>
              <w:top w:val="single" w:sz="6" w:space="0" w:color="auto"/>
              <w:left w:val="single" w:sz="6" w:space="0" w:color="auto"/>
              <w:bottom w:val="single" w:sz="6" w:space="0" w:color="auto"/>
              <w:right w:val="single" w:sz="4" w:space="0" w:color="auto"/>
            </w:tcBorders>
            <w:vAlign w:val="center"/>
            <w:hideMark/>
          </w:tcPr>
          <w:p w14:paraId="58C98D29" w14:textId="77777777" w:rsidR="00B97365" w:rsidRDefault="00000000">
            <w:pPr>
              <w:spacing w:after="60"/>
              <w:rPr>
                <w:rFonts w:eastAsia="Times New Roman" w:cs="Calibri"/>
                <w:sz w:val="16"/>
                <w:szCs w:val="16"/>
                <w:lang w:val="en-US"/>
              </w:rPr>
            </w:pPr>
            <w:r>
              <w:rPr>
                <w:rFonts w:cs="Calibri"/>
                <w:sz w:val="16"/>
                <w:szCs w:val="16"/>
                <w:lang w:val="en-US"/>
              </w:rPr>
              <w:t>The POL2 of the target Profile doesn’t allow this operation.</w:t>
            </w:r>
          </w:p>
        </w:tc>
      </w:tr>
      <w:tr w:rsidR="00B97365" w14:paraId="3F2CAB2C"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tcPr>
          <w:p w14:paraId="7B88DD08" w14:textId="77777777" w:rsidR="00B97365" w:rsidRDefault="00000000">
            <w:pPr>
              <w:rPr>
                <w:rFonts w:cs="Calibri"/>
                <w:sz w:val="16"/>
                <w:szCs w:val="16"/>
              </w:rPr>
            </w:pPr>
            <w:r>
              <w:rPr>
                <w:rFonts w:cs="Calibri"/>
                <w:sz w:val="16"/>
                <w:szCs w:val="16"/>
              </w:rPr>
              <w:t>8.2.7</w:t>
            </w:r>
          </w:p>
        </w:tc>
        <w:tc>
          <w:tcPr>
            <w:tcW w:w="1162" w:type="dxa"/>
            <w:tcBorders>
              <w:top w:val="single" w:sz="6" w:space="0" w:color="auto"/>
              <w:left w:val="single" w:sz="6" w:space="0" w:color="auto"/>
              <w:bottom w:val="single" w:sz="6" w:space="0" w:color="auto"/>
              <w:right w:val="single" w:sz="6" w:space="0" w:color="auto"/>
            </w:tcBorders>
            <w:vAlign w:val="center"/>
          </w:tcPr>
          <w:p w14:paraId="4C9473DE" w14:textId="77777777" w:rsidR="00B97365" w:rsidRDefault="00000000">
            <w:pPr>
              <w:spacing w:after="60"/>
              <w:rPr>
                <w:rFonts w:cs="Calibri"/>
                <w:sz w:val="16"/>
                <w:szCs w:val="16"/>
                <w:lang w:val="en-US"/>
              </w:rPr>
            </w:pPr>
            <w:r>
              <w:rPr>
                <w:rFonts w:cs="Calibri"/>
                <w:sz w:val="16"/>
                <w:szCs w:val="16"/>
                <w:lang w:val="en-US"/>
              </w:rPr>
              <w:t>PLMA</w:t>
            </w:r>
          </w:p>
        </w:tc>
        <w:tc>
          <w:tcPr>
            <w:tcW w:w="718" w:type="dxa"/>
            <w:tcBorders>
              <w:top w:val="single" w:sz="6" w:space="0" w:color="auto"/>
              <w:left w:val="single" w:sz="6" w:space="0" w:color="auto"/>
              <w:bottom w:val="single" w:sz="6" w:space="0" w:color="auto"/>
              <w:right w:val="single" w:sz="6" w:space="0" w:color="auto"/>
            </w:tcBorders>
            <w:vAlign w:val="center"/>
          </w:tcPr>
          <w:p w14:paraId="762DDE24" w14:textId="77777777" w:rsidR="00B97365" w:rsidRDefault="00000000">
            <w:pPr>
              <w:spacing w:after="60"/>
              <w:rPr>
                <w:rFonts w:cs="Calibri"/>
                <w:sz w:val="16"/>
                <w:szCs w:val="16"/>
                <w:lang w:val="en-US"/>
              </w:rPr>
            </w:pPr>
            <w:r>
              <w:rPr>
                <w:rFonts w:cs="Calibri"/>
                <w:sz w:val="16"/>
                <w:szCs w:val="16"/>
                <w:lang w:val="en-US"/>
              </w:rPr>
              <w:t>3.8</w:t>
            </w:r>
          </w:p>
        </w:tc>
        <w:tc>
          <w:tcPr>
            <w:tcW w:w="1225" w:type="dxa"/>
            <w:tcBorders>
              <w:top w:val="single" w:sz="6" w:space="0" w:color="auto"/>
              <w:left w:val="single" w:sz="6" w:space="0" w:color="auto"/>
              <w:bottom w:val="single" w:sz="6" w:space="0" w:color="auto"/>
              <w:right w:val="single" w:sz="6" w:space="0" w:color="auto"/>
            </w:tcBorders>
            <w:vAlign w:val="center"/>
          </w:tcPr>
          <w:p w14:paraId="58B00AC1" w14:textId="77777777" w:rsidR="00B97365" w:rsidRDefault="00000000">
            <w:pPr>
              <w:spacing w:after="60"/>
              <w:rPr>
                <w:rFonts w:cs="Calibri"/>
                <w:sz w:val="16"/>
                <w:szCs w:val="16"/>
                <w:lang w:val="en-US"/>
              </w:rPr>
            </w:pPr>
            <w:r>
              <w:rPr>
                <w:rFonts w:cs="Calibri"/>
                <w:sz w:val="16"/>
                <w:szCs w:val="16"/>
                <w:lang w:val="en-US"/>
              </w:rPr>
              <w:t>Refused</w:t>
            </w:r>
          </w:p>
        </w:tc>
        <w:tc>
          <w:tcPr>
            <w:tcW w:w="5793" w:type="dxa"/>
            <w:tcBorders>
              <w:top w:val="single" w:sz="6" w:space="0" w:color="auto"/>
              <w:left w:val="single" w:sz="6" w:space="0" w:color="auto"/>
              <w:bottom w:val="single" w:sz="6" w:space="0" w:color="auto"/>
              <w:right w:val="single" w:sz="4" w:space="0" w:color="auto"/>
            </w:tcBorders>
            <w:vAlign w:val="center"/>
          </w:tcPr>
          <w:p w14:paraId="74997BBB" w14:textId="77777777" w:rsidR="00B97365" w:rsidRDefault="00000000">
            <w:pPr>
              <w:spacing w:after="60"/>
              <w:rPr>
                <w:rFonts w:cs="Calibri"/>
                <w:sz w:val="16"/>
                <w:szCs w:val="16"/>
                <w:lang w:val="en-US"/>
              </w:rPr>
            </w:pPr>
            <w:r>
              <w:rPr>
                <w:rFonts w:cs="Calibri"/>
                <w:sz w:val="16"/>
                <w:szCs w:val="16"/>
                <w:lang w:val="en-US"/>
              </w:rPr>
              <w:t>No PLMA allows the SM-DP, or the Operator on behalf of which the SM-DP sent the request, to execute this operation.</w:t>
            </w:r>
          </w:p>
        </w:tc>
      </w:tr>
      <w:tr w:rsidR="00B97365" w14:paraId="36D743D3" w14:textId="77777777">
        <w:trPr>
          <w:trHeight w:val="282"/>
          <w:jc w:val="center"/>
        </w:trPr>
        <w:tc>
          <w:tcPr>
            <w:tcW w:w="718" w:type="dxa"/>
            <w:tcBorders>
              <w:top w:val="single" w:sz="6" w:space="0" w:color="auto"/>
              <w:left w:val="single" w:sz="4" w:space="0" w:color="auto"/>
              <w:bottom w:val="single" w:sz="6" w:space="0" w:color="auto"/>
              <w:right w:val="single" w:sz="6" w:space="0" w:color="auto"/>
            </w:tcBorders>
            <w:vAlign w:val="center"/>
            <w:hideMark/>
          </w:tcPr>
          <w:p w14:paraId="2FAF82BD" w14:textId="77777777" w:rsidR="00B97365" w:rsidRDefault="00000000">
            <w:pPr>
              <w:rPr>
                <w:rFonts w:cs="Calibri"/>
                <w:sz w:val="16"/>
                <w:szCs w:val="16"/>
              </w:rPr>
            </w:pPr>
            <w:r>
              <w:rPr>
                <w:rFonts w:cs="Calibri"/>
                <w:sz w:val="16"/>
                <w:szCs w:val="16"/>
              </w:rPr>
              <w:t>8.4</w:t>
            </w:r>
          </w:p>
        </w:tc>
        <w:tc>
          <w:tcPr>
            <w:tcW w:w="1162" w:type="dxa"/>
            <w:tcBorders>
              <w:top w:val="single" w:sz="6" w:space="0" w:color="auto"/>
              <w:left w:val="single" w:sz="6" w:space="0" w:color="auto"/>
              <w:bottom w:val="single" w:sz="6" w:space="0" w:color="auto"/>
              <w:right w:val="single" w:sz="6" w:space="0" w:color="auto"/>
            </w:tcBorders>
            <w:vAlign w:val="center"/>
            <w:hideMark/>
          </w:tcPr>
          <w:p w14:paraId="7B3758A2" w14:textId="77777777" w:rsidR="00B97365" w:rsidRDefault="00000000">
            <w:pPr>
              <w:spacing w:after="60"/>
              <w:rPr>
                <w:rFonts w:eastAsia="Times New Roman" w:cs="Calibri"/>
                <w:sz w:val="16"/>
                <w:szCs w:val="16"/>
                <w:lang w:val="en-US"/>
              </w:rPr>
            </w:pPr>
            <w:r>
              <w:rPr>
                <w:rFonts w:cs="Calibri"/>
                <w:sz w:val="16"/>
                <w:szCs w:val="16"/>
                <w:lang w:val="en-US"/>
              </w:rPr>
              <w:t>ISD-R</w:t>
            </w:r>
          </w:p>
        </w:tc>
        <w:tc>
          <w:tcPr>
            <w:tcW w:w="718" w:type="dxa"/>
            <w:tcBorders>
              <w:top w:val="single" w:sz="6" w:space="0" w:color="auto"/>
              <w:left w:val="single" w:sz="6" w:space="0" w:color="auto"/>
              <w:bottom w:val="single" w:sz="6" w:space="0" w:color="auto"/>
              <w:right w:val="single" w:sz="6" w:space="0" w:color="auto"/>
            </w:tcBorders>
            <w:vAlign w:val="center"/>
            <w:hideMark/>
          </w:tcPr>
          <w:p w14:paraId="1550461A" w14:textId="77777777" w:rsidR="00B97365" w:rsidRDefault="00000000">
            <w:pPr>
              <w:spacing w:after="60"/>
              <w:rPr>
                <w:rFonts w:eastAsia="Times New Roman" w:cs="Calibri"/>
                <w:sz w:val="16"/>
                <w:szCs w:val="16"/>
                <w:lang w:val="en-US"/>
              </w:rPr>
            </w:pPr>
            <w:r>
              <w:rPr>
                <w:rFonts w:cs="Calibri"/>
                <w:sz w:val="16"/>
                <w:szCs w:val="16"/>
                <w:lang w:val="en-US"/>
              </w:rPr>
              <w:t>4.2</w:t>
            </w:r>
          </w:p>
        </w:tc>
        <w:tc>
          <w:tcPr>
            <w:tcW w:w="1225" w:type="dxa"/>
            <w:tcBorders>
              <w:top w:val="single" w:sz="6" w:space="0" w:color="auto"/>
              <w:left w:val="single" w:sz="6" w:space="0" w:color="auto"/>
              <w:bottom w:val="single" w:sz="6" w:space="0" w:color="auto"/>
              <w:right w:val="single" w:sz="6" w:space="0" w:color="auto"/>
            </w:tcBorders>
            <w:vAlign w:val="center"/>
            <w:hideMark/>
          </w:tcPr>
          <w:p w14:paraId="439E01AD" w14:textId="77777777" w:rsidR="00B97365" w:rsidRDefault="00000000">
            <w:pPr>
              <w:spacing w:after="60"/>
              <w:rPr>
                <w:rFonts w:eastAsia="Times New Roman" w:cs="Calibri"/>
                <w:sz w:val="16"/>
                <w:szCs w:val="16"/>
                <w:lang w:val="en-US"/>
              </w:rPr>
            </w:pPr>
            <w:r>
              <w:rPr>
                <w:rFonts w:cs="Calibri"/>
                <w:sz w:val="16"/>
                <w:szCs w:val="16"/>
                <w:lang w:val="en-US"/>
              </w:rPr>
              <w:t>Execution error</w:t>
            </w:r>
          </w:p>
        </w:tc>
        <w:tc>
          <w:tcPr>
            <w:tcW w:w="5793" w:type="dxa"/>
            <w:tcBorders>
              <w:top w:val="single" w:sz="6" w:space="0" w:color="auto"/>
              <w:left w:val="single" w:sz="6" w:space="0" w:color="auto"/>
              <w:bottom w:val="single" w:sz="6" w:space="0" w:color="auto"/>
              <w:right w:val="single" w:sz="4" w:space="0" w:color="auto"/>
            </w:tcBorders>
            <w:vAlign w:val="center"/>
            <w:hideMark/>
          </w:tcPr>
          <w:p w14:paraId="1FB32676" w14:textId="77777777" w:rsidR="00B97365" w:rsidRDefault="00000000">
            <w:pPr>
              <w:spacing w:after="60"/>
              <w:rPr>
                <w:rFonts w:eastAsia="Times New Roman" w:cs="Calibri"/>
                <w:sz w:val="16"/>
                <w:szCs w:val="16"/>
                <w:lang w:val="en-US"/>
              </w:rPr>
            </w:pPr>
            <w:r>
              <w:rPr>
                <w:rFonts w:cs="Calibri"/>
                <w:sz w:val="16"/>
                <w:szCs w:val="16"/>
                <w:lang w:val="en-US"/>
              </w:rPr>
              <w:t xml:space="preserve">Error during execution of the disabling command on the eUICC. </w:t>
            </w:r>
            <w:r>
              <w:rPr>
                <w:rFonts w:cs="Calibri"/>
                <w:sz w:val="16"/>
                <w:szCs w:val="16"/>
              </w:rPr>
              <w:t>In that case, the output data “euiccResponseData contains the exact response coming from the eUICC.</w:t>
            </w:r>
          </w:p>
        </w:tc>
      </w:tr>
    </w:tbl>
    <w:p w14:paraId="7B51D003"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Disable Profile Specific Status Codes</w:t>
      </w:r>
    </w:p>
    <w:p w14:paraId="0CA6058B" w14:textId="77777777" w:rsidR="00B97365" w:rsidRDefault="00B97365">
      <w:pPr>
        <w:tabs>
          <w:tab w:val="left" w:pos="0"/>
        </w:tabs>
        <w:rPr>
          <w:rFonts w:cs="Arial"/>
          <w:sz w:val="20"/>
        </w:rPr>
      </w:pPr>
    </w:p>
    <w:p w14:paraId="582F621D"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822" w:name="_Toc448998277"/>
      <w:bookmarkStart w:id="3823" w:name="_Toc422150753"/>
      <w:bookmarkStart w:id="3824" w:name="_Toc421874338"/>
      <w:bookmarkStart w:id="3825" w:name="_Toc420594804"/>
      <w:bookmarkStart w:id="3826" w:name="_Toc398214879"/>
      <w:bookmarkStart w:id="3827" w:name="_Toc375158295"/>
      <w:bookmarkStart w:id="3828" w:name="_Toc368932304"/>
      <w:bookmarkStart w:id="3829" w:name="_Ref367978717"/>
      <w:bookmarkStart w:id="3830" w:name="_Ref367978709"/>
      <w:bookmarkStart w:id="3831" w:name="_Ref367974078"/>
      <w:bookmarkStart w:id="3832" w:name="_Toc486332895"/>
      <w:bookmarkStart w:id="3833" w:name="_Toc1977387"/>
      <w:bookmarkStart w:id="3834" w:name="_Toc37062546"/>
      <w:bookmarkStart w:id="3835" w:name="_Toc88839620"/>
      <w:bookmarkStart w:id="3836" w:name="_Toc121504028"/>
      <w:r>
        <w:rPr>
          <w:rFonts w:eastAsia="Times New Roman" w:cs="Arial"/>
          <w:b/>
          <w:bCs/>
          <w:iCs/>
          <w:sz w:val="24"/>
          <w:szCs w:val="26"/>
          <w:lang w:eastAsia="en-US"/>
        </w:rPr>
        <w:t>Delete an ISD-P</w:t>
      </w:r>
      <w:bookmarkEnd w:id="3816"/>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14:paraId="2CD3CA5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DeleteISDP</w:t>
      </w:r>
    </w:p>
    <w:p w14:paraId="5406B40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and ISD-P Deletion via SM-DP</w:t>
      </w:r>
    </w:p>
    <w:p w14:paraId="2035B93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480EC40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7982121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allows the SM-DP to request deletion of the target ISD-P with the Profile to the SM-SR in charge of the management of the targeted eUICC; eUICC being identified by its EID. The target Profile can only be a Profile that can be managed by the SM-DP </w:t>
      </w:r>
      <w:r>
        <w:rPr>
          <w:rFonts w:cs="Calibri"/>
          <w:szCs w:val="22"/>
          <w:lang w:eastAsia="en-GB" w:bidi="ar-SA"/>
        </w:rPr>
        <w:t xml:space="preserve">authorised by </w:t>
      </w:r>
      <w:r>
        <w:rPr>
          <w:szCs w:val="22"/>
          <w:lang w:val="en-US" w:eastAsia="en-GB" w:bidi="ar-SA"/>
        </w:rPr>
        <w:t>the Operator.</w:t>
      </w:r>
    </w:p>
    <w:p w14:paraId="0DFD9B6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SM-DP SHALL indicate on behalf of which Operator it is requesting this operation.</w:t>
      </w:r>
    </w:p>
    <w:p w14:paraId="553FB98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On reception of the function request, the SM-SR SHALL perform the following minimum set of verifications:</w:t>
      </w:r>
    </w:p>
    <w:p w14:paraId="08BD343B"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SM-SR is responsible for the management of the targeted eUICC</w:t>
      </w:r>
    </w:p>
    <w:p w14:paraId="5D897A26"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ISD-P identified by its AID exists on the targeted eUICC</w:t>
      </w:r>
    </w:p>
    <w:p w14:paraId="7E1FDEEA"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The SM-DP is authorised to delete the target Profile by the Operator owning the target Profile. </w:t>
      </w:r>
    </w:p>
    <w:p w14:paraId="27B7B26B"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POL2 of the target Profile allows the deletion</w:t>
      </w:r>
    </w:p>
    <w:p w14:paraId="4D446CA4"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target Profile is not the Profile having the Fall-Back Attribute set</w:t>
      </w:r>
    </w:p>
    <w:p w14:paraId="5508AB24" w14:textId="77777777" w:rsidR="00B97365" w:rsidRDefault="00000000">
      <w:pPr>
        <w:spacing w:before="0" w:after="200" w:line="276" w:lineRule="auto"/>
        <w:jc w:val="left"/>
        <w:rPr>
          <w:szCs w:val="22"/>
          <w:lang w:val="en-US" w:eastAsia="en-GB" w:bidi="ar-SA"/>
        </w:rPr>
      </w:pPr>
      <w:r>
        <w:rPr>
          <w:szCs w:val="22"/>
          <w:lang w:val="en-US" w:eastAsia="en-GB" w:bidi="ar-SA"/>
        </w:rPr>
        <w:t>The SM-SR SHALL verify that the request is:</w:t>
      </w:r>
    </w:p>
    <w:p w14:paraId="489A5C91"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Either sent on behalf of an Operator owning the targeted Profile </w:t>
      </w:r>
    </w:p>
    <w:p w14:paraId="64DE145E" w14:textId="77777777" w:rsidR="00B97365" w:rsidRDefault="00000000">
      <w:pPr>
        <w:tabs>
          <w:tab w:val="left" w:pos="680"/>
        </w:tabs>
        <w:spacing w:before="0" w:after="200" w:line="276" w:lineRule="auto"/>
        <w:ind w:left="340"/>
        <w:contextualSpacing/>
        <w:jc w:val="left"/>
        <w:rPr>
          <w:szCs w:val="22"/>
          <w:lang w:val="en-US" w:eastAsia="en-GB" w:bidi="ar-SA"/>
        </w:rPr>
      </w:pPr>
      <w:r>
        <w:rPr>
          <w:szCs w:val="22"/>
          <w:lang w:val="en-US" w:eastAsia="en-GB" w:bidi="ar-SA"/>
        </w:rPr>
        <w:tab/>
        <w:t xml:space="preserve">or </w:t>
      </w:r>
    </w:p>
    <w:p w14:paraId="36C0575B" w14:textId="77777777" w:rsidR="00B97365" w:rsidRDefault="00000000">
      <w:pPr>
        <w:numPr>
          <w:ilvl w:val="0"/>
          <w:numId w:val="11"/>
        </w:numPr>
        <w:tabs>
          <w:tab w:val="left" w:pos="680"/>
        </w:tabs>
        <w:spacing w:before="0" w:after="200" w:line="276" w:lineRule="auto"/>
        <w:contextualSpacing/>
        <w:jc w:val="left"/>
        <w:rPr>
          <w:rFonts w:cs="Arial"/>
          <w:szCs w:val="22"/>
          <w:lang w:val="en-US" w:eastAsia="en-GB" w:bidi="ar-SA"/>
        </w:rPr>
      </w:pPr>
      <w:r>
        <w:rPr>
          <w:szCs w:val="22"/>
          <w:lang w:val="en-US" w:eastAsia="en-GB" w:bidi="ar-SA"/>
        </w:rPr>
        <w:t>Sent on behalf of an Operator that is not the owner of the targeted Profile, but the Operator owning the targeted Profile has granted a PLMA allowing the operation “DeleteProfile” to the Operator requesting the operation.</w:t>
      </w:r>
    </w:p>
    <w:p w14:paraId="0BE4058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MAY provide additional verifications.</w:t>
      </w:r>
    </w:p>
    <w:p w14:paraId="45B563E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case one of these conditions is not satisfied, the SM-SR SHALL refuse the function request and return a ‘Function execution status’ indicating ‘Failed’ with the relevant status code (see table below).</w:t>
      </w:r>
    </w:p>
    <w:p w14:paraId="5AC6C73F" w14:textId="185FE7D0"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“Profile and ISD-P deletion via SM-DP” procedure described in section </w:t>
      </w:r>
      <w:r>
        <w:fldChar w:fldCharType="begin"/>
      </w:r>
      <w:r>
        <w:rPr>
          <w:szCs w:val="22"/>
          <w:lang w:val="en-US" w:eastAsia="en-GB" w:bidi="ar-SA"/>
        </w:rPr>
        <w:instrText xml:space="preserve"> REF _Ref373939143 \r \h </w:instrText>
      </w:r>
      <w:r>
        <w:fldChar w:fldCharType="separate"/>
      </w:r>
      <w:r w:rsidR="001D5AD9">
        <w:rPr>
          <w:szCs w:val="22"/>
          <w:lang w:val="en-US" w:eastAsia="en-GB" w:bidi="ar-SA"/>
        </w:rPr>
        <w:t>3.7</w:t>
      </w:r>
      <w:r>
        <w:fldChar w:fldCharType="end"/>
      </w:r>
      <w:r>
        <w:rPr>
          <w:szCs w:val="22"/>
          <w:lang w:val="en-US" w:eastAsia="en-GB" w:bidi="ar-SA"/>
        </w:rPr>
        <w:t xml:space="preserve"> of this specification. </w:t>
      </w:r>
    </w:p>
    <w:p w14:paraId="16D6A16B" w14:textId="4800C705" w:rsidR="00B97365" w:rsidRDefault="00000000">
      <w:pPr>
        <w:spacing w:before="0" w:after="200" w:line="276" w:lineRule="auto"/>
        <w:jc w:val="left"/>
        <w:rPr>
          <w:szCs w:val="22"/>
          <w:lang w:val="en-US" w:eastAsia="en-GB" w:bidi="ar-SA"/>
        </w:rPr>
      </w:pPr>
      <w:r>
        <w:rPr>
          <w:rFonts w:cs="Arial"/>
          <w:szCs w:val="22"/>
          <w:lang w:val="en-US" w:eastAsia="en-GB" w:bidi="ar-SA"/>
        </w:rPr>
        <w:t xml:space="preserve">In case the target Profile is “Enabled”, the SM-SR SHALL automatically disable it before executing the deletion. This function is described in section </w:t>
      </w:r>
      <w:r>
        <w:fldChar w:fldCharType="begin"/>
      </w:r>
      <w:r>
        <w:instrText xml:space="preserve"> REF _Ref367974819 \r \h  \* MERGEFORMAT </w:instrText>
      </w:r>
      <w:r>
        <w:fldChar w:fldCharType="separate"/>
      </w:r>
      <w:r w:rsidR="001D5AD9" w:rsidRPr="001D5AD9">
        <w:rPr>
          <w:szCs w:val="22"/>
          <w:lang w:val="en-US" w:eastAsia="en-GB" w:bidi="ar-SA"/>
        </w:rPr>
        <w:t>4.1.1.3</w:t>
      </w:r>
      <w:r>
        <w:fldChar w:fldCharType="end"/>
      </w:r>
      <w:r>
        <w:rPr>
          <w:szCs w:val="22"/>
          <w:lang w:val="en-US" w:eastAsia="en-GB" w:bidi="ar-SA"/>
        </w:rPr>
        <w:t xml:space="preserve"> of this specification.</w:t>
      </w:r>
    </w:p>
    <w:p w14:paraId="42FB3E1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3B88F4DB"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indicating that the Profile has been deleted on the eUICC.</w:t>
      </w:r>
    </w:p>
    <w:p w14:paraId="102657DE" w14:textId="77777777" w:rsidR="00B97365" w:rsidRDefault="00000000">
      <w:pPr>
        <w:numPr>
          <w:ilvl w:val="0"/>
          <w:numId w:val="38"/>
        </w:numPr>
        <w:spacing w:before="0" w:after="200" w:line="276" w:lineRule="auto"/>
        <w:contextualSpacing/>
        <w:rPr>
          <w:szCs w:val="22"/>
          <w:lang w:eastAsia="en-GB" w:bidi="ar-SA"/>
        </w:rPr>
      </w:pPr>
      <w:r>
        <w:rPr>
          <w:szCs w:val="22"/>
          <w:lang w:eastAsia="en-GB" w:bidi="ar-SA"/>
        </w:rPr>
        <w:t xml:space="preserve">A 'Function execution status' with 'Executed- WithWarning' indicating that the Profile has been deleted on the eUICC, with a status code as defined in section 5.1.6.4 or a specific status code as defined in the table below </w:t>
      </w:r>
    </w:p>
    <w:p w14:paraId="2A059F1D" w14:textId="0714C110"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_Ref367974828 \r \h  \* MERGEFORMAT </w:instrText>
      </w:r>
      <w:r>
        <w:fldChar w:fldCharType="separate"/>
      </w:r>
      <w:r w:rsidR="001D5AD9" w:rsidRPr="001D5AD9">
        <w:rPr>
          <w:szCs w:val="22"/>
          <w:lang w:eastAsia="en-GB" w:bidi="ar-SA"/>
        </w:rPr>
        <w:t>5.1.6.4</w:t>
      </w:r>
      <w:r>
        <w:fldChar w:fldCharType="end"/>
      </w:r>
    </w:p>
    <w:p w14:paraId="34B5EF9B" w14:textId="0D912C61"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_Ref367974835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42B5DF81" w14:textId="77777777" w:rsidR="00B97365" w:rsidRDefault="00B97365">
      <w:pPr>
        <w:tabs>
          <w:tab w:val="left" w:pos="680"/>
        </w:tabs>
        <w:spacing w:before="0" w:after="200" w:line="276" w:lineRule="auto"/>
        <w:contextualSpacing/>
        <w:jc w:val="left"/>
        <w:rPr>
          <w:rFonts w:cs="Arial"/>
          <w:szCs w:val="22"/>
          <w:lang w:eastAsia="en-GB" w:bidi="ar-SA"/>
        </w:rPr>
      </w:pPr>
    </w:p>
    <w:p w14:paraId="564C3BAB" w14:textId="77777777" w:rsidR="00B97365" w:rsidRDefault="00000000">
      <w:pPr>
        <w:spacing w:before="0" w:after="200" w:line="276" w:lineRule="auto"/>
        <w:jc w:val="left"/>
        <w:rPr>
          <w:b/>
          <w:i/>
          <w:szCs w:val="22"/>
          <w:lang w:val="en-US" w:eastAsia="en-GB" w:bidi="ar-SA"/>
        </w:rPr>
      </w:pPr>
      <w:bookmarkStart w:id="3837" w:name="_Toc420594805"/>
      <w:r>
        <w:rPr>
          <w:rFonts w:cs="Arial"/>
          <w:b/>
          <w:i/>
          <w:szCs w:val="22"/>
          <w:lang w:val="en-US" w:eastAsia="en-GB" w:bidi="ar-SA"/>
        </w:rPr>
        <w:t>Additional input data:</w:t>
      </w:r>
      <w:bookmarkEnd w:id="383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2951"/>
        <w:gridCol w:w="576"/>
        <w:gridCol w:w="398"/>
        <w:gridCol w:w="514"/>
      </w:tblGrid>
      <w:tr w:rsidR="00B97365" w14:paraId="35F1F75E"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599E6D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C3A7AA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A807F16"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E9832BB"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FDEEB34"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6556BC6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EABA3F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9BD49BD"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targeted eUICC.</w:t>
            </w:r>
          </w:p>
          <w:p w14:paraId="2DC2B4CC" w14:textId="266701EC"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_Ref367974845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19EC77C"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3579D90"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3447C06"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M</w:t>
            </w:r>
          </w:p>
        </w:tc>
      </w:tr>
      <w:tr w:rsidR="00B97365" w14:paraId="45C7F4C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hideMark/>
          </w:tcPr>
          <w:p w14:paraId="4B87C86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4" w:space="0" w:color="auto"/>
              <w:right w:val="single" w:sz="6" w:space="0" w:color="auto"/>
            </w:tcBorders>
            <w:hideMark/>
          </w:tcPr>
          <w:p w14:paraId="331F648B"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Profile to delete.</w:t>
            </w:r>
          </w:p>
          <w:p w14:paraId="5660F585" w14:textId="1411CCBA"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lastRenderedPageBreak/>
              <w:t xml:space="preserve">See section </w:t>
            </w:r>
            <w:r>
              <w:fldChar w:fldCharType="begin"/>
            </w:r>
            <w:r>
              <w:instrText xml:space="preserve"> REF _Ref367974854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hideMark/>
          </w:tcPr>
          <w:p w14:paraId="60B7E507"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lastRenderedPageBreak/>
              <w:t>ICCID</w:t>
            </w:r>
          </w:p>
        </w:tc>
        <w:tc>
          <w:tcPr>
            <w:tcW w:w="0" w:type="auto"/>
            <w:tcBorders>
              <w:top w:val="single" w:sz="6" w:space="0" w:color="auto"/>
              <w:left w:val="single" w:sz="6" w:space="0" w:color="auto"/>
              <w:bottom w:val="single" w:sz="4" w:space="0" w:color="auto"/>
              <w:right w:val="single" w:sz="6" w:space="0" w:color="auto"/>
            </w:tcBorders>
            <w:hideMark/>
          </w:tcPr>
          <w:p w14:paraId="09DA2519"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hideMark/>
          </w:tcPr>
          <w:p w14:paraId="10CDE49C"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M</w:t>
            </w:r>
          </w:p>
        </w:tc>
      </w:tr>
    </w:tbl>
    <w:p w14:paraId="2307959F"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ISD-P Additional Input Data</w:t>
      </w:r>
    </w:p>
    <w:p w14:paraId="7503C83B" w14:textId="77777777" w:rsidR="00B97365" w:rsidRDefault="00000000">
      <w:pPr>
        <w:spacing w:before="0" w:after="200" w:line="276" w:lineRule="auto"/>
        <w:jc w:val="left"/>
        <w:rPr>
          <w:b/>
          <w:i/>
          <w:szCs w:val="22"/>
          <w:lang w:val="en-US" w:eastAsia="en-GB" w:bidi="ar-SA"/>
        </w:rPr>
      </w:pPr>
      <w:bookmarkStart w:id="3838" w:name="_Toc420594806"/>
      <w:r>
        <w:rPr>
          <w:rFonts w:cs="Arial"/>
          <w:b/>
          <w:i/>
          <w:szCs w:val="22"/>
          <w:lang w:val="en-US" w:eastAsia="en-GB" w:bidi="ar-SA"/>
        </w:rPr>
        <w:t>Additional output data:</w:t>
      </w:r>
      <w:bookmarkEnd w:id="383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72"/>
        <w:gridCol w:w="5982"/>
        <w:gridCol w:w="550"/>
        <w:gridCol w:w="398"/>
        <w:gridCol w:w="514"/>
      </w:tblGrid>
      <w:tr w:rsidR="00B97365" w14:paraId="67CE6B10"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D25669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EDE4D2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142D33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BAED7F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D9F6AB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7C8B3818" w14:textId="77777777">
        <w:trPr>
          <w:trHeight w:val="34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4EE2AA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euiccResponseData</w:t>
            </w:r>
          </w:p>
        </w:tc>
        <w:tc>
          <w:tcPr>
            <w:tcW w:w="0" w:type="auto"/>
            <w:tcBorders>
              <w:top w:val="single" w:sz="6" w:space="0" w:color="auto"/>
              <w:left w:val="single" w:sz="6" w:space="0" w:color="auto"/>
              <w:bottom w:val="single" w:sz="4" w:space="0" w:color="auto"/>
              <w:right w:val="single" w:sz="6" w:space="0" w:color="auto"/>
            </w:tcBorders>
            <w:vAlign w:val="center"/>
          </w:tcPr>
          <w:p w14:paraId="6FE6A9A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Contains the detailed error returned by the eUICC in case the function execution failed on eUICC. The response data is defined in ES8 depending of the requested function.</w:t>
            </w:r>
          </w:p>
          <w:p w14:paraId="7F0717A6" w14:textId="77777777" w:rsidR="00B97365" w:rsidRDefault="00B97365">
            <w:pPr>
              <w:spacing w:before="0" w:after="200" w:line="276" w:lineRule="auto"/>
              <w:jc w:val="left"/>
              <w:rPr>
                <w:rFonts w:cs="Calibri"/>
                <w:sz w:val="16"/>
                <w:szCs w:val="16"/>
                <w:lang w:eastAsia="en-GB" w:bidi="ar-SA"/>
              </w:rPr>
            </w:pPr>
          </w:p>
        </w:tc>
        <w:tc>
          <w:tcPr>
            <w:tcW w:w="0" w:type="auto"/>
            <w:tcBorders>
              <w:top w:val="single" w:sz="6" w:space="0" w:color="auto"/>
              <w:left w:val="single" w:sz="6" w:space="0" w:color="auto"/>
              <w:bottom w:val="single" w:sz="4" w:space="0" w:color="auto"/>
              <w:right w:val="single" w:sz="6" w:space="0" w:color="auto"/>
            </w:tcBorders>
            <w:vAlign w:val="center"/>
            <w:hideMark/>
          </w:tcPr>
          <w:p w14:paraId="4E232D1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Byte[]</w:t>
            </w:r>
          </w:p>
        </w:tc>
        <w:tc>
          <w:tcPr>
            <w:tcW w:w="0" w:type="auto"/>
            <w:tcBorders>
              <w:top w:val="single" w:sz="6" w:space="0" w:color="auto"/>
              <w:left w:val="single" w:sz="6" w:space="0" w:color="auto"/>
              <w:bottom w:val="single" w:sz="4" w:space="0" w:color="auto"/>
              <w:right w:val="single" w:sz="6" w:space="0" w:color="auto"/>
            </w:tcBorders>
            <w:vAlign w:val="center"/>
            <w:hideMark/>
          </w:tcPr>
          <w:p w14:paraId="3686D4C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D9EB4C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O</w:t>
            </w:r>
          </w:p>
        </w:tc>
      </w:tr>
    </w:tbl>
    <w:p w14:paraId="03F3FB44"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ISD-P Additional Output Data</w:t>
      </w:r>
      <w:r>
        <w:rPr>
          <w:lang w:val="en-US" w:eastAsia="en-GB" w:bidi="ar-SA"/>
        </w:rPr>
        <w:br w:type="page"/>
      </w:r>
    </w:p>
    <w:p w14:paraId="41FB0DA2" w14:textId="77777777" w:rsidR="00B97365" w:rsidRDefault="00000000">
      <w:pPr>
        <w:spacing w:before="0" w:after="200" w:line="276" w:lineRule="auto"/>
        <w:jc w:val="left"/>
        <w:rPr>
          <w:b/>
          <w:i/>
          <w:szCs w:val="22"/>
          <w:lang w:val="en-US" w:eastAsia="en-GB" w:bidi="ar-SA"/>
        </w:rPr>
      </w:pPr>
      <w:bookmarkStart w:id="3839" w:name="_Toc420594807"/>
      <w:r>
        <w:rPr>
          <w:rFonts w:cs="Arial"/>
          <w:b/>
          <w:i/>
          <w:szCs w:val="22"/>
          <w:lang w:val="en-US" w:eastAsia="en-GB" w:bidi="ar-SA"/>
        </w:rPr>
        <w:lastRenderedPageBreak/>
        <w:t>Specific status codes</w:t>
      </w:r>
      <w:bookmarkEnd w:id="383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8"/>
        <w:gridCol w:w="833"/>
        <w:gridCol w:w="718"/>
        <w:gridCol w:w="1472"/>
        <w:gridCol w:w="5275"/>
      </w:tblGrid>
      <w:tr w:rsidR="00B97365" w14:paraId="77443750" w14:textId="77777777">
        <w:trPr>
          <w:cantSplit/>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746E6F4"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Subject</w:t>
            </w:r>
          </w:p>
          <w:p w14:paraId="5616F615"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9EB5C7E"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54837F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Reason</w:t>
            </w:r>
          </w:p>
          <w:p w14:paraId="1E972784"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7D3BC4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0EBF5E0"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r>
      <w:tr w:rsidR="00B97365" w14:paraId="0388EB66"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F0AE6F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304B23C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DA8CD9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5FE4894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5D72433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eUICC, identified by this EID, is unknown to the function provider.</w:t>
            </w:r>
          </w:p>
        </w:tc>
      </w:tr>
      <w:tr w:rsidR="00B97365" w14:paraId="4D36EBD6"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6BB62C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4DCA158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CA8F20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585AA8E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290F5B8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Profile identified by this ICCID is unknown to the function provider.</w:t>
            </w:r>
          </w:p>
        </w:tc>
      </w:tr>
      <w:tr w:rsidR="00B97365" w14:paraId="1F2895A8"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F02478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257E2D1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495275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1913403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1292A74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Profile identified by this ICCID is known to the function provider but installed on another eUICC than the one identified by the function caller.</w:t>
            </w:r>
          </w:p>
        </w:tc>
      </w:tr>
      <w:tr w:rsidR="00B97365" w14:paraId="16DCC0E1"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302045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2F6DE4F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5F66DC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79DEBAD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70B2CFD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function caller is not allowed to perform this function on the target Profile.</w:t>
            </w:r>
          </w:p>
        </w:tc>
      </w:tr>
      <w:tr w:rsidR="00B97365" w14:paraId="098C2643"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DE033C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0D2E5FE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7223D9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07A1C2C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63BA9FA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Profile cannot be deleted because it is the last Profile of the eUICC or the Fall-Back Profile.</w:t>
            </w:r>
          </w:p>
        </w:tc>
      </w:tr>
      <w:tr w:rsidR="00B97365" w14:paraId="124B6D79"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0A4823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8.2.2</w:t>
            </w:r>
          </w:p>
        </w:tc>
        <w:tc>
          <w:tcPr>
            <w:tcW w:w="0" w:type="auto"/>
            <w:tcBorders>
              <w:top w:val="single" w:sz="6" w:space="0" w:color="auto"/>
              <w:left w:val="single" w:sz="6" w:space="0" w:color="auto"/>
              <w:bottom w:val="single" w:sz="6" w:space="0" w:color="auto"/>
              <w:right w:val="single" w:sz="6" w:space="0" w:color="auto"/>
            </w:tcBorders>
            <w:vAlign w:val="center"/>
            <w:hideMark/>
          </w:tcPr>
          <w:p w14:paraId="2224B32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POL1</w:t>
            </w:r>
          </w:p>
        </w:tc>
        <w:tc>
          <w:tcPr>
            <w:tcW w:w="0" w:type="auto"/>
            <w:tcBorders>
              <w:top w:val="single" w:sz="6" w:space="0" w:color="auto"/>
              <w:left w:val="single" w:sz="6" w:space="0" w:color="auto"/>
              <w:bottom w:val="single" w:sz="6" w:space="0" w:color="auto"/>
              <w:right w:val="single" w:sz="6" w:space="0" w:color="auto"/>
            </w:tcBorders>
            <w:vAlign w:val="center"/>
            <w:hideMark/>
          </w:tcPr>
          <w:p w14:paraId="74F9AEF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29BA24B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651FDC1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The POL1 of the Profile doesn’t allow this operation.</w:t>
            </w:r>
          </w:p>
        </w:tc>
      </w:tr>
      <w:tr w:rsidR="00B97365" w14:paraId="736FD2F2"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2B36BE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8.2.3</w:t>
            </w:r>
          </w:p>
        </w:tc>
        <w:tc>
          <w:tcPr>
            <w:tcW w:w="0" w:type="auto"/>
            <w:tcBorders>
              <w:top w:val="single" w:sz="6" w:space="0" w:color="auto"/>
              <w:left w:val="single" w:sz="6" w:space="0" w:color="auto"/>
              <w:bottom w:val="single" w:sz="6" w:space="0" w:color="auto"/>
              <w:right w:val="single" w:sz="6" w:space="0" w:color="auto"/>
            </w:tcBorders>
            <w:vAlign w:val="center"/>
            <w:hideMark/>
          </w:tcPr>
          <w:p w14:paraId="683EAE64"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POL2</w:t>
            </w:r>
          </w:p>
        </w:tc>
        <w:tc>
          <w:tcPr>
            <w:tcW w:w="0" w:type="auto"/>
            <w:tcBorders>
              <w:top w:val="single" w:sz="6" w:space="0" w:color="auto"/>
              <w:left w:val="single" w:sz="6" w:space="0" w:color="auto"/>
              <w:bottom w:val="single" w:sz="6" w:space="0" w:color="auto"/>
              <w:right w:val="single" w:sz="6" w:space="0" w:color="auto"/>
            </w:tcBorders>
            <w:vAlign w:val="center"/>
            <w:hideMark/>
          </w:tcPr>
          <w:p w14:paraId="47B524B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0B4F74E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024385C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The POL2 of the Profile doesn’t allow this operation.</w:t>
            </w:r>
          </w:p>
        </w:tc>
      </w:tr>
      <w:tr w:rsidR="00B97365" w14:paraId="4E58100A"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23FC7BD7" w14:textId="77777777" w:rsidR="00B97365" w:rsidRDefault="00000000">
            <w:pPr>
              <w:spacing w:before="0" w:after="200" w:line="276" w:lineRule="auto"/>
              <w:jc w:val="left"/>
              <w:rPr>
                <w:rFonts w:cs="Calibri"/>
                <w:sz w:val="16"/>
                <w:szCs w:val="16"/>
                <w:lang w:eastAsia="en-GB" w:bidi="ar-SA"/>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28279D21" w14:textId="77777777" w:rsidR="00B97365" w:rsidRDefault="00000000">
            <w:pPr>
              <w:spacing w:before="0" w:after="200" w:line="276" w:lineRule="auto"/>
              <w:jc w:val="left"/>
              <w:rPr>
                <w:rFonts w:cs="Calibri"/>
                <w:sz w:val="16"/>
                <w:szCs w:val="16"/>
                <w:lang w:eastAsia="en-GB" w:bidi="ar-SA"/>
              </w:rPr>
            </w:pPr>
            <w:r>
              <w:rPr>
                <w:rFonts w:cs="Calibri"/>
                <w:sz w:val="16"/>
                <w:szCs w:val="16"/>
                <w:lang w:val="en-US"/>
              </w:rPr>
              <w:t>PLMA</w:t>
            </w:r>
          </w:p>
        </w:tc>
        <w:tc>
          <w:tcPr>
            <w:tcW w:w="0" w:type="auto"/>
            <w:tcBorders>
              <w:top w:val="single" w:sz="6" w:space="0" w:color="auto"/>
              <w:left w:val="single" w:sz="6" w:space="0" w:color="auto"/>
              <w:bottom w:val="single" w:sz="6" w:space="0" w:color="auto"/>
              <w:right w:val="single" w:sz="6" w:space="0" w:color="auto"/>
            </w:tcBorders>
            <w:vAlign w:val="center"/>
          </w:tcPr>
          <w:p w14:paraId="12C3D368" w14:textId="77777777" w:rsidR="00B97365" w:rsidRDefault="00000000">
            <w:pPr>
              <w:spacing w:before="0" w:after="200" w:line="276" w:lineRule="auto"/>
              <w:jc w:val="left"/>
              <w:rPr>
                <w:rFonts w:cs="Calibri"/>
                <w:sz w:val="16"/>
                <w:szCs w:val="16"/>
                <w:lang w:eastAsia="en-GB" w:bidi="ar-SA"/>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tcPr>
          <w:p w14:paraId="7D91FD24" w14:textId="77777777" w:rsidR="00B97365" w:rsidRDefault="00000000">
            <w:pPr>
              <w:spacing w:before="0" w:after="200" w:line="276" w:lineRule="auto"/>
              <w:jc w:val="left"/>
              <w:rPr>
                <w:rFonts w:cs="Calibri"/>
                <w:sz w:val="16"/>
                <w:szCs w:val="16"/>
                <w:lang w:eastAsia="en-GB" w:bidi="ar-SA"/>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tcPr>
          <w:p w14:paraId="64A94F67" w14:textId="77777777" w:rsidR="00B97365" w:rsidRDefault="00000000">
            <w:pPr>
              <w:spacing w:before="0" w:after="200" w:line="276" w:lineRule="auto"/>
              <w:jc w:val="left"/>
              <w:rPr>
                <w:rFonts w:cs="Calibri"/>
                <w:sz w:val="16"/>
                <w:szCs w:val="16"/>
                <w:lang w:eastAsia="en-GB" w:bidi="ar-SA"/>
              </w:rPr>
            </w:pPr>
            <w:r>
              <w:rPr>
                <w:rFonts w:cs="Calibri"/>
                <w:sz w:val="16"/>
                <w:szCs w:val="16"/>
                <w:lang w:val="en-US"/>
              </w:rPr>
              <w:t>No PLMA allows the SM-DP, or the Operator on behalf of which the SM-DP sent the request, to execute this operation.</w:t>
            </w:r>
          </w:p>
        </w:tc>
      </w:tr>
      <w:tr w:rsidR="00B97365" w14:paraId="63107377"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236C1F8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8.3</w:t>
            </w:r>
          </w:p>
        </w:tc>
        <w:tc>
          <w:tcPr>
            <w:tcW w:w="0" w:type="auto"/>
            <w:tcBorders>
              <w:top w:val="single" w:sz="6" w:space="0" w:color="auto"/>
              <w:left w:val="single" w:sz="6" w:space="0" w:color="auto"/>
              <w:bottom w:val="single" w:sz="6" w:space="0" w:color="auto"/>
              <w:right w:val="single" w:sz="6" w:space="0" w:color="auto"/>
            </w:tcBorders>
            <w:vAlign w:val="center"/>
          </w:tcPr>
          <w:p w14:paraId="060189D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ISD-P</w:t>
            </w:r>
          </w:p>
        </w:tc>
        <w:tc>
          <w:tcPr>
            <w:tcW w:w="0" w:type="auto"/>
            <w:tcBorders>
              <w:top w:val="single" w:sz="6" w:space="0" w:color="auto"/>
              <w:left w:val="single" w:sz="6" w:space="0" w:color="auto"/>
              <w:bottom w:val="single" w:sz="6" w:space="0" w:color="auto"/>
              <w:right w:val="single" w:sz="6" w:space="0" w:color="auto"/>
            </w:tcBorders>
            <w:vAlign w:val="center"/>
          </w:tcPr>
          <w:p w14:paraId="04116E6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4.6</w:t>
            </w:r>
          </w:p>
        </w:tc>
        <w:tc>
          <w:tcPr>
            <w:tcW w:w="0" w:type="auto"/>
            <w:tcBorders>
              <w:top w:val="single" w:sz="6" w:space="0" w:color="auto"/>
              <w:left w:val="single" w:sz="6" w:space="0" w:color="auto"/>
              <w:bottom w:val="single" w:sz="6" w:space="0" w:color="auto"/>
              <w:right w:val="single" w:sz="6" w:space="0" w:color="auto"/>
            </w:tcBorders>
            <w:vAlign w:val="center"/>
          </w:tcPr>
          <w:p w14:paraId="2BC5E7F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Not Present / Missing</w:t>
            </w:r>
          </w:p>
        </w:tc>
        <w:tc>
          <w:tcPr>
            <w:tcW w:w="0" w:type="auto"/>
            <w:tcBorders>
              <w:top w:val="single" w:sz="6" w:space="0" w:color="auto"/>
              <w:left w:val="single" w:sz="6" w:space="0" w:color="auto"/>
              <w:bottom w:val="single" w:sz="6" w:space="0" w:color="auto"/>
              <w:right w:val="single" w:sz="4" w:space="0" w:color="auto"/>
            </w:tcBorders>
            <w:vAlign w:val="center"/>
          </w:tcPr>
          <w:p w14:paraId="6261F56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The target ISD-P was not found on this eUICC (in this case the Function Execution Status SHALL be ‘Executed- WithWarning’</w:t>
            </w:r>
          </w:p>
        </w:tc>
      </w:tr>
      <w:tr w:rsidR="00B97365" w14:paraId="2F9EBDA5" w14:textId="77777777">
        <w:trPr>
          <w:cantSplit/>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92A908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8.4</w:t>
            </w:r>
          </w:p>
        </w:tc>
        <w:tc>
          <w:tcPr>
            <w:tcW w:w="0" w:type="auto"/>
            <w:tcBorders>
              <w:top w:val="single" w:sz="6" w:space="0" w:color="auto"/>
              <w:left w:val="single" w:sz="6" w:space="0" w:color="auto"/>
              <w:bottom w:val="single" w:sz="4" w:space="0" w:color="auto"/>
              <w:right w:val="single" w:sz="6" w:space="0" w:color="auto"/>
            </w:tcBorders>
            <w:vAlign w:val="center"/>
            <w:hideMark/>
          </w:tcPr>
          <w:p w14:paraId="40F7148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ISD-R</w:t>
            </w:r>
          </w:p>
        </w:tc>
        <w:tc>
          <w:tcPr>
            <w:tcW w:w="0" w:type="auto"/>
            <w:tcBorders>
              <w:top w:val="single" w:sz="6" w:space="0" w:color="auto"/>
              <w:left w:val="single" w:sz="6" w:space="0" w:color="auto"/>
              <w:bottom w:val="single" w:sz="4" w:space="0" w:color="auto"/>
              <w:right w:val="single" w:sz="6" w:space="0" w:color="auto"/>
            </w:tcBorders>
            <w:vAlign w:val="center"/>
            <w:hideMark/>
          </w:tcPr>
          <w:p w14:paraId="61DC8E6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6550318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5088EAA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Error during execution of the deletion (or disabling) command on the eUICC. In that case, the output data “euiccResponseData contains the exact response coming from the eUICC.</w:t>
            </w:r>
          </w:p>
        </w:tc>
      </w:tr>
    </w:tbl>
    <w:p w14:paraId="77DE2686"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ISD-P Specific Status Codes</w:t>
      </w:r>
    </w:p>
    <w:p w14:paraId="2078DCBD" w14:textId="77777777" w:rsidR="00B97365" w:rsidRDefault="00B97365">
      <w:pPr>
        <w:rPr>
          <w:rFonts w:cs="Calibri"/>
          <w:i/>
        </w:rPr>
      </w:pPr>
    </w:p>
    <w:p w14:paraId="57B91474" w14:textId="181F11F0" w:rsidR="00B97365" w:rsidRDefault="00000000">
      <w:pPr>
        <w:spacing w:after="200" w:line="276" w:lineRule="auto"/>
        <w:ind w:left="1560" w:hanging="1276"/>
        <w:jc w:val="left"/>
        <w:rPr>
          <w:szCs w:val="22"/>
          <w:lang w:eastAsia="en-GB" w:bidi="ar-SA"/>
        </w:rPr>
      </w:pPr>
      <w:r>
        <w:rPr>
          <w:rFonts w:cs="Arial"/>
          <w:szCs w:val="22"/>
          <w:lang w:val="en-US" w:eastAsia="en-GB" w:bidi="ar-SA"/>
        </w:rPr>
        <w:t xml:space="preserve">NOTE: </w:t>
      </w:r>
      <w:r>
        <w:rPr>
          <w:rFonts w:cs="Arial"/>
          <w:szCs w:val="22"/>
          <w:lang w:val="en-US" w:eastAsia="en-GB" w:bidi="ar-SA"/>
        </w:rPr>
        <w:tab/>
        <w:t>in case Profile Disabling is performed automatically before deletion, this function MAY raises any status code coming from the execution of the Profile disabling function defined in section</w:t>
      </w:r>
      <w:r>
        <w:fldChar w:fldCharType="begin"/>
      </w:r>
      <w:r>
        <w:instrText xml:space="preserve"> REF _Ref511997520 \r \h </w:instrText>
      </w:r>
      <w:r>
        <w:fldChar w:fldCharType="separate"/>
      </w:r>
      <w:r w:rsidR="001D5AD9">
        <w:t>5.4.9</w:t>
      </w:r>
      <w:r>
        <w:fldChar w:fldCharType="end"/>
      </w:r>
      <w:r>
        <w:rPr>
          <w:szCs w:val="22"/>
          <w:lang w:val="en-US" w:eastAsia="en-GB" w:bidi="ar-SA"/>
        </w:rPr>
        <w:t>.</w:t>
      </w:r>
    </w:p>
    <w:p w14:paraId="72527F27" w14:textId="77777777" w:rsidR="00B97365" w:rsidRDefault="00B97365">
      <w:pPr>
        <w:spacing w:before="0" w:after="200" w:line="276" w:lineRule="auto"/>
        <w:jc w:val="left"/>
        <w:rPr>
          <w:rFonts w:cs="Calibri"/>
          <w:szCs w:val="22"/>
          <w:lang w:eastAsia="en-GB" w:bidi="ar-SA"/>
        </w:rPr>
      </w:pPr>
    </w:p>
    <w:p w14:paraId="61E4F347"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840" w:name="_Toc448998278"/>
      <w:bookmarkStart w:id="3841" w:name="_Toc422150754"/>
      <w:bookmarkStart w:id="3842" w:name="_Toc421874339"/>
      <w:bookmarkStart w:id="3843" w:name="_Toc420594808"/>
      <w:bookmarkStart w:id="3844" w:name="_Toc398214880"/>
      <w:bookmarkStart w:id="3845" w:name="_Toc375158296"/>
      <w:bookmarkStart w:id="3846" w:name="_Toc368932305"/>
      <w:bookmarkStart w:id="3847" w:name="_Ref367978746"/>
      <w:bookmarkStart w:id="3848" w:name="_Ref367978732"/>
      <w:bookmarkStart w:id="3849" w:name="_Toc486332896"/>
      <w:bookmarkStart w:id="3850" w:name="_Toc1977388"/>
      <w:bookmarkStart w:id="3851" w:name="_Toc37062547"/>
      <w:bookmarkStart w:id="3852" w:name="_Toc88839621"/>
      <w:bookmarkStart w:id="3853" w:name="_Toc121504029"/>
      <w:bookmarkStart w:id="3854" w:name="_Toc352671588"/>
      <w:bookmarkStart w:id="3855" w:name="_Toc345955225"/>
      <w:bookmarkEnd w:id="3817"/>
      <w:bookmarkEnd w:id="3818"/>
      <w:r>
        <w:rPr>
          <w:rFonts w:eastAsia="Times New Roman" w:cs="Arial"/>
          <w:b/>
          <w:bCs/>
          <w:iCs/>
          <w:sz w:val="24"/>
          <w:szCs w:val="26"/>
          <w:lang w:eastAsia="en-US"/>
        </w:rPr>
        <w:t>Update Connectivity Parameters</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2755CB3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UpdateConnectivityParameters</w:t>
      </w:r>
    </w:p>
    <w:p w14:paraId="2162412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w:t>
      </w:r>
    </w:p>
    <w:p w14:paraId="5169F07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683A349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1C010D6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allows the </w:t>
      </w:r>
      <w:r>
        <w:rPr>
          <w:rFonts w:cs="Calibri"/>
          <w:szCs w:val="22"/>
          <w:lang w:eastAsia="en-GB" w:bidi="ar-SA"/>
        </w:rPr>
        <w:t>Operator, or the</w:t>
      </w:r>
      <w:r>
        <w:rPr>
          <w:szCs w:val="22"/>
          <w:lang w:val="en-US" w:eastAsia="en-GB" w:bidi="ar-SA"/>
        </w:rPr>
        <w:t xml:space="preserve"> SM-DP </w:t>
      </w:r>
      <w:r>
        <w:rPr>
          <w:rFonts w:cs="Calibri"/>
          <w:szCs w:val="22"/>
          <w:lang w:eastAsia="en-GB" w:bidi="ar-SA"/>
        </w:rPr>
        <w:t>authorised by</w:t>
      </w:r>
      <w:r>
        <w:rPr>
          <w:szCs w:val="22"/>
          <w:lang w:val="en-US" w:eastAsia="en-GB" w:bidi="ar-SA"/>
        </w:rPr>
        <w:t xml:space="preserve"> the Operator to update the Connectivity Parameters store in the ISD-P, identified by its ICCID, and installed on an eUICC identified by its EID.</w:t>
      </w:r>
    </w:p>
    <w:p w14:paraId="6F6CF6B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The function can update a Profile in “Disabled” or “Enabled” state and SHALL return an error for any other Profile state.</w:t>
      </w:r>
    </w:p>
    <w:p w14:paraId="4242E9A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function updates the definition of existing Connectivity Parameters. </w:t>
      </w:r>
    </w:p>
    <w:p w14:paraId="1C0ABE0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r>
        <w:rPr>
          <w:rFonts w:cs="Arial"/>
          <w:szCs w:val="22"/>
          <w:lang w:val="en-US" w:eastAsia="en-GB" w:bidi="ar-SA"/>
        </w:rPr>
        <w:tab/>
      </w:r>
    </w:p>
    <w:p w14:paraId="6327FC6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update of the Connectivity Parameters function has been successfully executed by the SM-SR as requested by the function caller. </w:t>
      </w:r>
    </w:p>
    <w:p w14:paraId="100A3B82" w14:textId="4842D56A"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_Ref367974872 \r \h  \* MERGEFORMAT </w:instrText>
      </w:r>
      <w:r>
        <w:fldChar w:fldCharType="separate"/>
      </w:r>
      <w:r w:rsidR="001D5AD9" w:rsidRPr="001D5AD9">
        <w:rPr>
          <w:szCs w:val="22"/>
          <w:lang w:eastAsia="en-GB" w:bidi="ar-SA"/>
        </w:rPr>
        <w:t>5.1.6.4</w:t>
      </w:r>
      <w:r>
        <w:fldChar w:fldCharType="end"/>
      </w:r>
    </w:p>
    <w:p w14:paraId="7399A006" w14:textId="38C4DEA4"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_Ref367974880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below.</w:t>
      </w:r>
    </w:p>
    <w:p w14:paraId="679CF00D" w14:textId="77777777" w:rsidR="00B97365" w:rsidRDefault="00B97365">
      <w:pPr>
        <w:rPr>
          <w:rFonts w:cs="Calibri"/>
          <w:lang w:val="en-US"/>
        </w:rPr>
      </w:pPr>
    </w:p>
    <w:p w14:paraId="0AB215E4" w14:textId="77777777" w:rsidR="00B97365" w:rsidRDefault="00000000">
      <w:pPr>
        <w:spacing w:before="0" w:after="200" w:line="276" w:lineRule="auto"/>
        <w:jc w:val="left"/>
        <w:rPr>
          <w:b/>
          <w:i/>
          <w:szCs w:val="22"/>
          <w:lang w:val="en-US" w:eastAsia="en-GB" w:bidi="ar-SA"/>
        </w:rPr>
      </w:pPr>
      <w:bookmarkStart w:id="3856" w:name="_Toc420594809"/>
      <w:r>
        <w:rPr>
          <w:rFonts w:cs="Arial"/>
          <w:b/>
          <w:i/>
          <w:szCs w:val="22"/>
          <w:lang w:val="en-US" w:eastAsia="en-GB" w:bidi="ar-SA"/>
        </w:rPr>
        <w:t>Additional input data:</w:t>
      </w:r>
      <w:bookmarkEnd w:id="3856"/>
    </w:p>
    <w:tbl>
      <w:tblPr>
        <w:tblW w:w="92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13"/>
        <w:gridCol w:w="5281"/>
        <w:gridCol w:w="1170"/>
        <w:gridCol w:w="398"/>
        <w:gridCol w:w="514"/>
      </w:tblGrid>
      <w:tr w:rsidR="00B97365" w14:paraId="3E32209C" w14:textId="77777777">
        <w:trPr>
          <w:trHeight w:val="342"/>
          <w:jc w:val="center"/>
        </w:trPr>
        <w:tc>
          <w:tcPr>
            <w:tcW w:w="1913"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CFE8645" w14:textId="77777777" w:rsidR="00B97365" w:rsidRDefault="00000000">
            <w:pPr>
              <w:spacing w:before="0" w:after="200" w:line="276" w:lineRule="auto"/>
              <w:jc w:val="center"/>
              <w:rPr>
                <w:rFonts w:cs="Calibri"/>
                <w:b/>
                <w:color w:val="FFFFFF"/>
                <w:sz w:val="16"/>
                <w:szCs w:val="16"/>
                <w:lang w:val="fr-FR" w:eastAsia="en-GB" w:bidi="ar-SA"/>
              </w:rPr>
            </w:pPr>
            <w:r>
              <w:rPr>
                <w:rFonts w:cs="Calibri"/>
                <w:b/>
                <w:color w:val="FFFFFF"/>
                <w:sz w:val="16"/>
                <w:szCs w:val="16"/>
                <w:lang w:val="fr-FR"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B71F8FA" w14:textId="77777777" w:rsidR="00B97365" w:rsidRDefault="00000000">
            <w:pPr>
              <w:spacing w:before="0" w:after="200" w:line="276" w:lineRule="auto"/>
              <w:jc w:val="center"/>
              <w:rPr>
                <w:rFonts w:cs="Calibri"/>
                <w:b/>
                <w:color w:val="FFFFFF"/>
                <w:sz w:val="16"/>
                <w:szCs w:val="16"/>
                <w:lang w:val="fr-FR" w:eastAsia="en-GB" w:bidi="ar-SA"/>
              </w:rPr>
            </w:pPr>
            <w:r>
              <w:rPr>
                <w:rFonts w:cs="Calibri"/>
                <w:b/>
                <w:color w:val="FFFFFF"/>
                <w:sz w:val="16"/>
                <w:szCs w:val="16"/>
                <w:lang w:val="fr-FR"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E698F05" w14:textId="77777777" w:rsidR="00B97365" w:rsidRDefault="00000000">
            <w:pPr>
              <w:spacing w:before="0" w:after="200" w:line="276" w:lineRule="auto"/>
              <w:jc w:val="center"/>
              <w:rPr>
                <w:rFonts w:cs="Calibri"/>
                <w:b/>
                <w:color w:val="FFFFFF"/>
                <w:sz w:val="16"/>
                <w:szCs w:val="16"/>
                <w:lang w:val="fr-FR" w:eastAsia="en-GB" w:bidi="ar-SA"/>
              </w:rPr>
            </w:pPr>
            <w:r>
              <w:rPr>
                <w:rFonts w:cs="Calibri"/>
                <w:b/>
                <w:color w:val="FFFFFF"/>
                <w:sz w:val="16"/>
                <w:szCs w:val="16"/>
                <w:lang w:val="fr-FR"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2A0AAEE" w14:textId="77777777" w:rsidR="00B97365" w:rsidRDefault="00000000">
            <w:pPr>
              <w:spacing w:before="0" w:after="200" w:line="276" w:lineRule="auto"/>
              <w:jc w:val="center"/>
              <w:rPr>
                <w:rFonts w:cs="Calibri"/>
                <w:b/>
                <w:color w:val="FFFFFF"/>
                <w:sz w:val="16"/>
                <w:szCs w:val="16"/>
                <w:lang w:val="fr-FR" w:eastAsia="en-GB" w:bidi="ar-SA"/>
              </w:rPr>
            </w:pPr>
            <w:r>
              <w:rPr>
                <w:rFonts w:cs="Calibri"/>
                <w:b/>
                <w:color w:val="FFFFFF"/>
                <w:sz w:val="16"/>
                <w:szCs w:val="16"/>
                <w:lang w:val="fr-FR"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8CA2675" w14:textId="77777777" w:rsidR="00B97365" w:rsidRDefault="00000000">
            <w:pPr>
              <w:spacing w:before="0" w:after="200" w:line="276" w:lineRule="auto"/>
              <w:jc w:val="center"/>
              <w:rPr>
                <w:rFonts w:cs="Calibri"/>
                <w:b/>
                <w:color w:val="FFFFFF"/>
                <w:sz w:val="16"/>
                <w:szCs w:val="16"/>
                <w:lang w:val="fr-FR" w:eastAsia="en-GB" w:bidi="ar-SA"/>
              </w:rPr>
            </w:pPr>
            <w:r>
              <w:rPr>
                <w:rFonts w:cs="Calibri"/>
                <w:b/>
                <w:color w:val="FFFFFF"/>
                <w:sz w:val="16"/>
                <w:szCs w:val="16"/>
                <w:lang w:val="fr-FR" w:eastAsia="en-GB" w:bidi="ar-SA"/>
              </w:rPr>
              <w:t>MOC</w:t>
            </w:r>
          </w:p>
        </w:tc>
      </w:tr>
      <w:tr w:rsidR="00B97365" w14:paraId="221D72C6" w14:textId="77777777">
        <w:trPr>
          <w:trHeight w:val="282"/>
          <w:jc w:val="center"/>
        </w:trPr>
        <w:tc>
          <w:tcPr>
            <w:tcW w:w="1913" w:type="dxa"/>
            <w:tcBorders>
              <w:top w:val="single" w:sz="6" w:space="0" w:color="auto"/>
              <w:left w:val="single" w:sz="4" w:space="0" w:color="auto"/>
              <w:bottom w:val="single" w:sz="6" w:space="0" w:color="auto"/>
              <w:right w:val="single" w:sz="6" w:space="0" w:color="auto"/>
            </w:tcBorders>
            <w:vAlign w:val="center"/>
            <w:hideMark/>
          </w:tcPr>
          <w:p w14:paraId="2419CCCD" w14:textId="77777777" w:rsidR="00B97365" w:rsidRDefault="00000000">
            <w:pPr>
              <w:spacing w:before="0" w:after="200" w:line="276" w:lineRule="auto"/>
              <w:jc w:val="left"/>
              <w:rPr>
                <w:rFonts w:cs="Calibri"/>
                <w:sz w:val="16"/>
                <w:szCs w:val="16"/>
                <w:lang w:val="fr-FR" w:eastAsia="en-GB" w:bidi="ar-SA"/>
              </w:rPr>
            </w:pPr>
            <w:r>
              <w:rPr>
                <w:rFonts w:cs="Calibri"/>
                <w:sz w:val="16"/>
                <w:szCs w:val="16"/>
                <w:lang w:val="fr-FR"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CD29CEF" w14:textId="77777777" w:rsidR="00B97365" w:rsidRDefault="00000000">
            <w:pPr>
              <w:tabs>
                <w:tab w:val="left" w:pos="0"/>
              </w:tabs>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targeted eUICC.</w:t>
            </w:r>
          </w:p>
          <w:p w14:paraId="06DB22BE" w14:textId="10D4D322" w:rsidR="00B97365" w:rsidRDefault="00000000">
            <w:pPr>
              <w:tabs>
                <w:tab w:val="left" w:pos="0"/>
              </w:tabs>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_Ref367974888 \r \h  \* MERGEFORMAT </w:instrText>
            </w:r>
            <w:r>
              <w:fldChar w:fldCharType="separate"/>
            </w:r>
            <w:r w:rsidR="001D5AD9" w:rsidRPr="001D5AD9">
              <w:rPr>
                <w:rFonts w:cs="Calibri"/>
                <w:sz w:val="16"/>
                <w:szCs w:val="16"/>
                <w:lang w:val="en-US"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FD0830E" w14:textId="77777777" w:rsidR="00B97365" w:rsidRDefault="00000000">
            <w:pPr>
              <w:tabs>
                <w:tab w:val="left" w:pos="0"/>
              </w:tabs>
              <w:spacing w:before="0" w:after="200" w:line="276" w:lineRule="auto"/>
              <w:jc w:val="center"/>
              <w:rPr>
                <w:rFonts w:cs="Calibri"/>
                <w:sz w:val="16"/>
                <w:szCs w:val="16"/>
                <w:lang w:val="fr-FR" w:eastAsia="en-GB" w:bidi="ar-SA"/>
              </w:rPr>
            </w:pPr>
            <w:r>
              <w:rPr>
                <w:rFonts w:cs="Calibri"/>
                <w:sz w:val="16"/>
                <w:szCs w:val="16"/>
                <w:lang w:val="fr-FR"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D407420" w14:textId="77777777" w:rsidR="00B97365" w:rsidRDefault="00000000">
            <w:pPr>
              <w:tabs>
                <w:tab w:val="left" w:pos="213"/>
              </w:tabs>
              <w:spacing w:before="0" w:after="200" w:line="276" w:lineRule="auto"/>
              <w:jc w:val="center"/>
              <w:rPr>
                <w:rFonts w:cs="Calibri"/>
                <w:sz w:val="16"/>
                <w:szCs w:val="16"/>
                <w:lang w:val="fr-FR" w:eastAsia="en-GB" w:bidi="ar-SA"/>
              </w:rPr>
            </w:pPr>
            <w:r>
              <w:rPr>
                <w:rFonts w:cs="Calibri"/>
                <w:sz w:val="16"/>
                <w:szCs w:val="16"/>
                <w:lang w:val="fr-FR"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CB3A067" w14:textId="77777777" w:rsidR="00B97365" w:rsidRDefault="00000000">
            <w:pPr>
              <w:tabs>
                <w:tab w:val="left" w:pos="213"/>
              </w:tabs>
              <w:spacing w:before="0" w:after="200" w:line="276" w:lineRule="auto"/>
              <w:jc w:val="center"/>
              <w:rPr>
                <w:rFonts w:cs="Calibri"/>
                <w:sz w:val="16"/>
                <w:szCs w:val="16"/>
                <w:lang w:val="fr-FR" w:eastAsia="en-GB" w:bidi="ar-SA"/>
              </w:rPr>
            </w:pPr>
            <w:r>
              <w:rPr>
                <w:rFonts w:cs="Calibri"/>
                <w:sz w:val="16"/>
                <w:szCs w:val="16"/>
                <w:lang w:val="fr-FR" w:eastAsia="en-GB" w:bidi="ar-SA"/>
              </w:rPr>
              <w:t>M</w:t>
            </w:r>
          </w:p>
        </w:tc>
      </w:tr>
      <w:tr w:rsidR="00B97365" w14:paraId="0628CAD7" w14:textId="77777777">
        <w:trPr>
          <w:trHeight w:val="282"/>
          <w:jc w:val="center"/>
        </w:trPr>
        <w:tc>
          <w:tcPr>
            <w:tcW w:w="1913" w:type="dxa"/>
            <w:tcBorders>
              <w:top w:val="single" w:sz="6" w:space="0" w:color="auto"/>
              <w:left w:val="single" w:sz="4" w:space="0" w:color="auto"/>
              <w:bottom w:val="single" w:sz="6" w:space="0" w:color="auto"/>
              <w:right w:val="single" w:sz="6" w:space="0" w:color="auto"/>
            </w:tcBorders>
            <w:vAlign w:val="center"/>
            <w:hideMark/>
          </w:tcPr>
          <w:p w14:paraId="5EC8EA39" w14:textId="77777777" w:rsidR="00B97365" w:rsidRDefault="00000000">
            <w:pPr>
              <w:tabs>
                <w:tab w:val="left" w:pos="0"/>
              </w:tabs>
              <w:spacing w:before="0" w:after="200" w:line="276" w:lineRule="auto"/>
              <w:jc w:val="left"/>
              <w:rPr>
                <w:rFonts w:cs="Calibri"/>
                <w:sz w:val="16"/>
                <w:szCs w:val="16"/>
                <w:lang w:val="fr-FR" w:eastAsia="en-GB" w:bidi="ar-SA"/>
              </w:rPr>
            </w:pPr>
            <w:r>
              <w:rPr>
                <w:rFonts w:cs="Calibri"/>
                <w:sz w:val="16"/>
                <w:szCs w:val="16"/>
                <w:lang w:val="fr-FR"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CCE73CF" w14:textId="77777777" w:rsidR="00B97365" w:rsidRDefault="00000000">
            <w:pPr>
              <w:tabs>
                <w:tab w:val="left" w:pos="0"/>
              </w:tabs>
              <w:spacing w:before="0" w:after="200" w:line="276" w:lineRule="auto"/>
              <w:jc w:val="left"/>
              <w:rPr>
                <w:rFonts w:cs="Calibri"/>
                <w:sz w:val="16"/>
                <w:szCs w:val="16"/>
                <w:lang w:val="en-US" w:eastAsia="en-GB" w:bidi="ar-SA"/>
              </w:rPr>
            </w:pPr>
            <w:r>
              <w:rPr>
                <w:rFonts w:cs="Calibri"/>
                <w:sz w:val="16"/>
                <w:szCs w:val="16"/>
                <w:lang w:val="en-US" w:eastAsia="en-GB" w:bidi="ar-SA"/>
              </w:rPr>
              <w:t xml:space="preserve">Identification of the Profile </w:t>
            </w:r>
          </w:p>
          <w:p w14:paraId="773DA3A3" w14:textId="5C1B58DB" w:rsidR="00B97365" w:rsidRDefault="00000000">
            <w:pPr>
              <w:tabs>
                <w:tab w:val="left" w:pos="0"/>
              </w:tabs>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_Ref367974895 \r \h  \* MERGEFORMAT </w:instrText>
            </w:r>
            <w:r>
              <w:fldChar w:fldCharType="separate"/>
            </w:r>
            <w:r w:rsidR="001D5AD9" w:rsidRPr="001D5AD9">
              <w:rPr>
                <w:rFonts w:cs="Calibri"/>
                <w:sz w:val="16"/>
                <w:szCs w:val="16"/>
                <w:lang w:val="en-US"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2BBA372" w14:textId="77777777" w:rsidR="00B97365" w:rsidRDefault="00000000">
            <w:pPr>
              <w:tabs>
                <w:tab w:val="left" w:pos="0"/>
              </w:tabs>
              <w:spacing w:before="0" w:after="200" w:line="276" w:lineRule="auto"/>
              <w:jc w:val="center"/>
              <w:rPr>
                <w:rFonts w:cs="Calibri"/>
                <w:sz w:val="16"/>
                <w:szCs w:val="16"/>
                <w:lang w:val="fr-FR" w:eastAsia="en-GB" w:bidi="ar-SA"/>
              </w:rPr>
            </w:pPr>
            <w:r>
              <w:rPr>
                <w:rFonts w:cs="Calibri"/>
                <w:sz w:val="16"/>
                <w:szCs w:val="16"/>
                <w:lang w:val="fr-FR"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37A1060" w14:textId="77777777" w:rsidR="00B97365" w:rsidRDefault="00000000">
            <w:pPr>
              <w:tabs>
                <w:tab w:val="left" w:pos="213"/>
              </w:tabs>
              <w:spacing w:before="0" w:after="200" w:line="276" w:lineRule="auto"/>
              <w:jc w:val="center"/>
              <w:rPr>
                <w:rFonts w:cs="Calibri"/>
                <w:sz w:val="16"/>
                <w:szCs w:val="16"/>
                <w:lang w:val="fr-FR" w:eastAsia="en-GB" w:bidi="ar-SA"/>
              </w:rPr>
            </w:pPr>
            <w:r>
              <w:rPr>
                <w:rFonts w:cs="Calibri"/>
                <w:sz w:val="16"/>
                <w:szCs w:val="16"/>
                <w:lang w:val="fr-FR"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CD3030C" w14:textId="77777777" w:rsidR="00B97365" w:rsidRDefault="00000000">
            <w:pPr>
              <w:tabs>
                <w:tab w:val="left" w:pos="213"/>
              </w:tabs>
              <w:spacing w:before="0" w:after="200" w:line="276" w:lineRule="auto"/>
              <w:jc w:val="center"/>
              <w:rPr>
                <w:rFonts w:cs="Calibri"/>
                <w:sz w:val="16"/>
                <w:szCs w:val="16"/>
                <w:lang w:val="fr-FR" w:eastAsia="en-GB" w:bidi="ar-SA"/>
              </w:rPr>
            </w:pPr>
            <w:r>
              <w:rPr>
                <w:rFonts w:cs="Calibri"/>
                <w:sz w:val="16"/>
                <w:szCs w:val="16"/>
                <w:lang w:val="fr-FR" w:eastAsia="en-GB" w:bidi="ar-SA"/>
              </w:rPr>
              <w:t>M</w:t>
            </w:r>
          </w:p>
        </w:tc>
      </w:tr>
      <w:tr w:rsidR="00B97365" w14:paraId="4FC96E35" w14:textId="77777777">
        <w:trPr>
          <w:trHeight w:val="282"/>
          <w:jc w:val="center"/>
        </w:trPr>
        <w:tc>
          <w:tcPr>
            <w:tcW w:w="1913" w:type="dxa"/>
            <w:tcBorders>
              <w:top w:val="single" w:sz="6" w:space="0" w:color="auto"/>
              <w:left w:val="single" w:sz="4" w:space="0" w:color="auto"/>
              <w:bottom w:val="single" w:sz="4" w:space="0" w:color="auto"/>
              <w:right w:val="single" w:sz="6" w:space="0" w:color="auto"/>
            </w:tcBorders>
            <w:vAlign w:val="center"/>
            <w:hideMark/>
          </w:tcPr>
          <w:p w14:paraId="65FA47A9" w14:textId="77777777" w:rsidR="00B97365" w:rsidRDefault="00000000">
            <w:pPr>
              <w:tabs>
                <w:tab w:val="left" w:pos="0"/>
              </w:tabs>
              <w:spacing w:before="0" w:after="200" w:line="276" w:lineRule="auto"/>
              <w:jc w:val="left"/>
              <w:rPr>
                <w:rFonts w:cs="Calibri"/>
                <w:sz w:val="16"/>
                <w:szCs w:val="16"/>
                <w:lang w:val="fr-FR" w:eastAsia="en-GB" w:bidi="ar-SA"/>
              </w:rPr>
            </w:pPr>
            <w:r>
              <w:rPr>
                <w:rFonts w:cs="Calibri"/>
                <w:sz w:val="16"/>
                <w:szCs w:val="16"/>
                <w:lang w:val="fr-FR" w:eastAsia="en-GB" w:bidi="ar-SA"/>
              </w:rPr>
              <w:t>connectivityParameters</w:t>
            </w:r>
          </w:p>
        </w:tc>
        <w:tc>
          <w:tcPr>
            <w:tcW w:w="0" w:type="auto"/>
            <w:tcBorders>
              <w:top w:val="single" w:sz="6" w:space="0" w:color="auto"/>
              <w:left w:val="single" w:sz="6" w:space="0" w:color="auto"/>
              <w:bottom w:val="single" w:sz="4" w:space="0" w:color="auto"/>
              <w:right w:val="single" w:sz="6" w:space="0" w:color="auto"/>
            </w:tcBorders>
            <w:vAlign w:val="center"/>
            <w:hideMark/>
          </w:tcPr>
          <w:p w14:paraId="4D9C0904" w14:textId="26DE7288" w:rsidR="00B97365" w:rsidRDefault="00000000">
            <w:pPr>
              <w:tabs>
                <w:tab w:val="left" w:pos="0"/>
              </w:tabs>
              <w:spacing w:before="0" w:after="200" w:line="276" w:lineRule="auto"/>
              <w:jc w:val="left"/>
              <w:rPr>
                <w:rFonts w:cs="Calibri"/>
                <w:sz w:val="16"/>
                <w:szCs w:val="16"/>
                <w:lang w:val="en-US" w:eastAsia="en-GB" w:bidi="ar-SA"/>
              </w:rPr>
            </w:pPr>
            <w:r>
              <w:rPr>
                <w:rFonts w:cs="Calibri"/>
                <w:sz w:val="16"/>
                <w:szCs w:val="16"/>
                <w:lang w:val="en-US" w:eastAsia="en-GB" w:bidi="ar-SA"/>
              </w:rPr>
              <w:t xml:space="preserve">A command string secured with SCP03 as described in section </w:t>
            </w:r>
            <w:r>
              <w:rPr>
                <w:rFonts w:cs="Calibri"/>
                <w:sz w:val="16"/>
                <w:szCs w:val="16"/>
                <w:lang w:val="en-US" w:eastAsia="en-GB" w:bidi="ar-SA"/>
              </w:rPr>
              <w:fldChar w:fldCharType="begin"/>
            </w:r>
            <w:r>
              <w:rPr>
                <w:rFonts w:cs="Calibri"/>
                <w:sz w:val="16"/>
                <w:szCs w:val="16"/>
                <w:lang w:val="en-US" w:eastAsia="en-GB" w:bidi="ar-SA"/>
              </w:rPr>
              <w:instrText xml:space="preserve"> REF _Ref481766735 \r \h </w:instrText>
            </w:r>
            <w:r>
              <w:rPr>
                <w:rFonts w:cs="Calibri"/>
                <w:sz w:val="16"/>
                <w:szCs w:val="16"/>
                <w:lang w:val="en-US" w:eastAsia="en-GB" w:bidi="ar-SA"/>
              </w:rPr>
            </w:r>
            <w:r>
              <w:rPr>
                <w:rFonts w:cs="Calibri"/>
                <w:sz w:val="16"/>
                <w:szCs w:val="16"/>
                <w:lang w:val="en-US" w:eastAsia="en-GB" w:bidi="ar-SA"/>
              </w:rPr>
              <w:fldChar w:fldCharType="separate"/>
            </w:r>
            <w:r w:rsidR="001D5AD9">
              <w:rPr>
                <w:rFonts w:cs="Calibri"/>
                <w:sz w:val="16"/>
                <w:szCs w:val="16"/>
                <w:lang w:val="en-US" w:eastAsia="en-GB" w:bidi="ar-SA"/>
              </w:rPr>
              <w:t>4.1.3.2</w:t>
            </w:r>
            <w:r>
              <w:rPr>
                <w:rFonts w:cs="Calibri"/>
                <w:sz w:val="16"/>
                <w:szCs w:val="16"/>
                <w:lang w:val="en-US" w:eastAsia="en-GB" w:bidi="ar-SA"/>
              </w:rPr>
              <w:fldChar w:fldCharType="end"/>
            </w:r>
            <w:r>
              <w:rPr>
                <w:rFonts w:cs="Calibri"/>
                <w:sz w:val="16"/>
                <w:szCs w:val="16"/>
                <w:lang w:val="en-US" w:eastAsia="en-GB" w:bidi="ar-SA"/>
              </w:rPr>
              <w:t xml:space="preserve">, and including ES8 command “Connectivity Parameters Update” specified in section </w:t>
            </w:r>
            <w:r>
              <w:rPr>
                <w:rFonts w:cs="Calibri"/>
                <w:sz w:val="16"/>
                <w:szCs w:val="16"/>
                <w:lang w:val="en-US" w:eastAsia="en-GB" w:bidi="ar-SA"/>
              </w:rPr>
              <w:fldChar w:fldCharType="begin"/>
            </w:r>
            <w:r>
              <w:rPr>
                <w:rFonts w:cs="Calibri"/>
                <w:sz w:val="16"/>
                <w:szCs w:val="16"/>
                <w:lang w:val="en-US" w:eastAsia="en-GB" w:bidi="ar-SA"/>
              </w:rPr>
              <w:instrText xml:space="preserve"> REF _Ref367973189 \r \h </w:instrText>
            </w:r>
            <w:r>
              <w:rPr>
                <w:rFonts w:cs="Calibri"/>
                <w:sz w:val="16"/>
                <w:szCs w:val="16"/>
                <w:lang w:val="en-US" w:eastAsia="en-GB" w:bidi="ar-SA"/>
              </w:rPr>
            </w:r>
            <w:r>
              <w:rPr>
                <w:rFonts w:cs="Calibri"/>
                <w:sz w:val="16"/>
                <w:szCs w:val="16"/>
                <w:lang w:val="en-US" w:eastAsia="en-GB" w:bidi="ar-SA"/>
              </w:rPr>
              <w:fldChar w:fldCharType="separate"/>
            </w:r>
            <w:r w:rsidR="001D5AD9">
              <w:rPr>
                <w:rFonts w:cs="Calibri"/>
                <w:sz w:val="16"/>
                <w:szCs w:val="16"/>
                <w:lang w:val="en-US" w:eastAsia="en-GB" w:bidi="ar-SA"/>
              </w:rPr>
              <w:t>4.1.3.4</w:t>
            </w:r>
            <w:r>
              <w:rPr>
                <w:rFonts w:cs="Calibri"/>
                <w:sz w:val="16"/>
                <w:szCs w:val="16"/>
                <w:lang w:val="en-US" w:eastAsia="en-GB" w:bidi="ar-SA"/>
              </w:rPr>
              <w:fldChar w:fldCharType="end"/>
            </w:r>
            <w:r>
              <w:rPr>
                <w:rFonts w:cs="Calibri"/>
                <w:sz w:val="16"/>
                <w:szCs w:val="16"/>
                <w:lang w:val="en-US" w:eastAsia="en-GB" w:bidi="ar-SA"/>
              </w:rPr>
              <w:t>, containing the connectivityParameters to associate with the identified Profile.</w:t>
            </w:r>
          </w:p>
        </w:tc>
        <w:tc>
          <w:tcPr>
            <w:tcW w:w="0" w:type="auto"/>
            <w:tcBorders>
              <w:top w:val="single" w:sz="6" w:space="0" w:color="auto"/>
              <w:left w:val="single" w:sz="6" w:space="0" w:color="auto"/>
              <w:bottom w:val="single" w:sz="4" w:space="0" w:color="auto"/>
              <w:right w:val="single" w:sz="6" w:space="0" w:color="auto"/>
            </w:tcBorders>
            <w:vAlign w:val="center"/>
            <w:hideMark/>
          </w:tcPr>
          <w:p w14:paraId="7612CA7F" w14:textId="77777777" w:rsidR="00B97365" w:rsidRDefault="00000000">
            <w:pPr>
              <w:tabs>
                <w:tab w:val="left" w:pos="0"/>
              </w:tabs>
              <w:spacing w:before="0" w:after="200" w:line="276" w:lineRule="auto"/>
              <w:jc w:val="center"/>
              <w:rPr>
                <w:rFonts w:cs="Calibri"/>
                <w:sz w:val="16"/>
                <w:szCs w:val="16"/>
                <w:lang w:val="fr-FR" w:eastAsia="en-GB" w:bidi="ar-SA"/>
              </w:rPr>
            </w:pPr>
            <w:r>
              <w:rPr>
                <w:rFonts w:cs="Calibri"/>
                <w:sz w:val="16"/>
                <w:szCs w:val="16"/>
                <w:lang w:val="fr-FR" w:eastAsia="en-GB" w:bidi="ar-SA"/>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49EF677E" w14:textId="77777777" w:rsidR="00B97365" w:rsidRDefault="00000000">
            <w:pPr>
              <w:tabs>
                <w:tab w:val="left" w:pos="213"/>
              </w:tabs>
              <w:spacing w:before="0" w:after="200" w:line="276" w:lineRule="auto"/>
              <w:jc w:val="center"/>
              <w:rPr>
                <w:rFonts w:cs="Calibri"/>
                <w:sz w:val="16"/>
                <w:szCs w:val="16"/>
                <w:lang w:val="fr-FR" w:eastAsia="en-GB" w:bidi="ar-SA"/>
              </w:rPr>
            </w:pPr>
            <w:r>
              <w:rPr>
                <w:rFonts w:cs="Calibri"/>
                <w:sz w:val="16"/>
                <w:szCs w:val="16"/>
                <w:lang w:val="fr-FR"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0622245" w14:textId="77777777" w:rsidR="00B97365" w:rsidRDefault="00000000">
            <w:pPr>
              <w:tabs>
                <w:tab w:val="left" w:pos="213"/>
              </w:tabs>
              <w:spacing w:before="0" w:after="200" w:line="276" w:lineRule="auto"/>
              <w:jc w:val="center"/>
              <w:rPr>
                <w:rFonts w:cs="Calibri"/>
                <w:sz w:val="16"/>
                <w:szCs w:val="16"/>
                <w:lang w:val="fr-FR" w:eastAsia="en-GB" w:bidi="ar-SA"/>
              </w:rPr>
            </w:pPr>
            <w:r>
              <w:rPr>
                <w:rFonts w:cs="Calibri"/>
                <w:sz w:val="16"/>
                <w:szCs w:val="16"/>
                <w:lang w:val="fr-FR" w:eastAsia="en-GB" w:bidi="ar-SA"/>
              </w:rPr>
              <w:t>M</w:t>
            </w:r>
          </w:p>
        </w:tc>
      </w:tr>
    </w:tbl>
    <w:p w14:paraId="7D95C97C"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Update Connectivity Parameters Additional Input Data</w:t>
      </w:r>
    </w:p>
    <w:p w14:paraId="765F874A" w14:textId="77777777" w:rsidR="00B97365" w:rsidRDefault="00000000">
      <w:pPr>
        <w:spacing w:before="0" w:after="200" w:line="276" w:lineRule="auto"/>
        <w:jc w:val="left"/>
        <w:rPr>
          <w:b/>
          <w:i/>
          <w:szCs w:val="22"/>
          <w:lang w:val="en-US" w:eastAsia="en-GB" w:bidi="ar-SA"/>
        </w:rPr>
      </w:pPr>
      <w:bookmarkStart w:id="3857" w:name="_Toc420594810"/>
      <w:r>
        <w:rPr>
          <w:rFonts w:cs="Arial"/>
          <w:b/>
          <w:i/>
          <w:szCs w:val="22"/>
          <w:lang w:val="en-US" w:eastAsia="en-GB" w:bidi="ar-SA"/>
        </w:rPr>
        <w:t>Additional output data:</w:t>
      </w:r>
      <w:bookmarkEnd w:id="385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72"/>
        <w:gridCol w:w="5243"/>
        <w:gridCol w:w="1289"/>
        <w:gridCol w:w="398"/>
        <w:gridCol w:w="514"/>
      </w:tblGrid>
      <w:tr w:rsidR="00B97365" w14:paraId="7FA88E9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9D61BCA"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5F5029A"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371AF35"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5B2EE4"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422A1D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48F6A4F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073725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67F5C5F9" w14:textId="77777777" w:rsidR="00B97365" w:rsidRDefault="00000000">
            <w:pPr>
              <w:tabs>
                <w:tab w:val="left" w:pos="0"/>
              </w:tabs>
              <w:spacing w:before="0" w:after="200" w:line="276" w:lineRule="auto"/>
              <w:jc w:val="left"/>
              <w:rPr>
                <w:rFonts w:cs="Calibri"/>
                <w:sz w:val="16"/>
                <w:szCs w:val="16"/>
                <w:lang w:val="en-US" w:eastAsia="en-GB" w:bidi="ar-SA"/>
              </w:rPr>
            </w:pPr>
            <w:r>
              <w:rPr>
                <w:rFonts w:cs="Calibri"/>
                <w:sz w:val="16"/>
                <w:szCs w:val="16"/>
                <w:lang w:val="en-US" w:eastAsia="en-GB" w:bidi="ar-SA"/>
              </w:rPr>
              <w:t>Contains the detailed error returned by the eUICC in case of update of the Connectivity Parameters in the ISD-P on the targeted eUICC.</w:t>
            </w:r>
          </w:p>
        </w:tc>
        <w:tc>
          <w:tcPr>
            <w:tcW w:w="0" w:type="auto"/>
            <w:tcBorders>
              <w:top w:val="single" w:sz="6" w:space="0" w:color="auto"/>
              <w:left w:val="single" w:sz="6" w:space="0" w:color="auto"/>
              <w:bottom w:val="single" w:sz="4" w:space="0" w:color="auto"/>
              <w:right w:val="single" w:sz="6" w:space="0" w:color="auto"/>
            </w:tcBorders>
            <w:vAlign w:val="center"/>
            <w:hideMark/>
          </w:tcPr>
          <w:p w14:paraId="5AB8C9E8" w14:textId="77777777" w:rsidR="00B97365" w:rsidRDefault="00000000">
            <w:pPr>
              <w:tabs>
                <w:tab w:val="left" w:pos="0"/>
              </w:tabs>
              <w:spacing w:before="0" w:after="200" w:line="276" w:lineRule="auto"/>
              <w:jc w:val="center"/>
              <w:rPr>
                <w:rFonts w:cs="Calibri"/>
                <w:sz w:val="16"/>
                <w:szCs w:val="16"/>
                <w:lang w:val="fr-FR" w:eastAsia="en-GB" w:bidi="ar-SA"/>
              </w:rPr>
            </w:pPr>
            <w:r>
              <w:rPr>
                <w:rFonts w:cs="Calibri"/>
                <w:sz w:val="16"/>
                <w:szCs w:val="16"/>
                <w:lang w:val="fr-FR" w:eastAsia="en-GB" w:bidi="ar-SA"/>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7E26B686" w14:textId="77777777" w:rsidR="00B97365" w:rsidRDefault="00000000">
            <w:pPr>
              <w:tabs>
                <w:tab w:val="left" w:pos="213"/>
              </w:tabs>
              <w:spacing w:before="0" w:after="200" w:line="276" w:lineRule="auto"/>
              <w:jc w:val="center"/>
              <w:rPr>
                <w:rFonts w:cs="Calibri"/>
                <w:sz w:val="16"/>
                <w:szCs w:val="16"/>
                <w:lang w:val="fr-FR" w:eastAsia="en-GB" w:bidi="ar-SA"/>
              </w:rPr>
            </w:pPr>
            <w:r>
              <w:rPr>
                <w:rFonts w:cs="Calibri"/>
                <w:sz w:val="16"/>
                <w:szCs w:val="16"/>
                <w:lang w:val="fr-FR"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E352C71" w14:textId="77777777" w:rsidR="00B97365" w:rsidRDefault="00000000">
            <w:pPr>
              <w:tabs>
                <w:tab w:val="left" w:pos="213"/>
              </w:tabs>
              <w:spacing w:before="0" w:after="200" w:line="276" w:lineRule="auto"/>
              <w:jc w:val="center"/>
              <w:rPr>
                <w:rFonts w:cs="Calibri"/>
                <w:sz w:val="16"/>
                <w:szCs w:val="16"/>
                <w:lang w:val="fr-FR" w:eastAsia="en-GB" w:bidi="ar-SA"/>
              </w:rPr>
            </w:pPr>
            <w:r>
              <w:rPr>
                <w:rFonts w:cs="Calibri"/>
                <w:sz w:val="16"/>
                <w:szCs w:val="16"/>
                <w:lang w:val="fr-FR" w:eastAsia="en-GB" w:bidi="ar-SA"/>
              </w:rPr>
              <w:t>O</w:t>
            </w:r>
          </w:p>
        </w:tc>
      </w:tr>
    </w:tbl>
    <w:p w14:paraId="3923A798"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Update Connectivity Parameters Additional Output Data</w:t>
      </w:r>
    </w:p>
    <w:p w14:paraId="27E14278" w14:textId="77777777" w:rsidR="00B97365" w:rsidRDefault="00000000">
      <w:pPr>
        <w:spacing w:before="0" w:after="200" w:line="276" w:lineRule="auto"/>
        <w:jc w:val="left"/>
        <w:rPr>
          <w:b/>
          <w:i/>
          <w:szCs w:val="22"/>
          <w:lang w:val="en-US" w:eastAsia="en-GB" w:bidi="ar-SA"/>
        </w:rPr>
      </w:pPr>
      <w:bookmarkStart w:id="3858" w:name="_Toc420594811"/>
      <w:r>
        <w:rPr>
          <w:rFonts w:cs="Arial"/>
          <w:b/>
          <w:i/>
          <w:szCs w:val="22"/>
          <w:lang w:val="en-US" w:eastAsia="en-GB" w:bidi="ar-SA"/>
        </w:rPr>
        <w:t>Specific status codes</w:t>
      </w:r>
      <w:bookmarkEnd w:id="385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9"/>
        <w:gridCol w:w="858"/>
        <w:gridCol w:w="718"/>
        <w:gridCol w:w="1113"/>
        <w:gridCol w:w="5608"/>
      </w:tblGrid>
      <w:tr w:rsidR="00B97365" w14:paraId="0B392F8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7BFBDAE" w14:textId="77777777" w:rsidR="00B97365" w:rsidRDefault="00000000">
            <w:pPr>
              <w:spacing w:before="0" w:after="200" w:line="276" w:lineRule="auto"/>
              <w:jc w:val="center"/>
              <w:rPr>
                <w:rFonts w:cs="Calibri"/>
                <w:b/>
                <w:color w:val="FFFFFF"/>
                <w:sz w:val="16"/>
                <w:szCs w:val="16"/>
                <w:lang w:eastAsia="zh-TW" w:bidi="ar-SA"/>
              </w:rPr>
            </w:pPr>
            <w:r>
              <w:rPr>
                <w:rFonts w:cs="Calibri"/>
                <w:b/>
                <w:color w:val="FFFFFF"/>
                <w:sz w:val="16"/>
                <w:szCs w:val="16"/>
                <w:lang w:eastAsia="en-GB" w:bidi="ar-SA"/>
              </w:rPr>
              <w:t>Subject</w:t>
            </w:r>
          </w:p>
          <w:p w14:paraId="61DC65A5"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F3455F0"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5D1C0B6" w14:textId="77777777" w:rsidR="00B97365" w:rsidRDefault="00000000">
            <w:pPr>
              <w:spacing w:before="0" w:after="200" w:line="276" w:lineRule="auto"/>
              <w:jc w:val="center"/>
              <w:rPr>
                <w:rFonts w:cs="Calibri"/>
                <w:b/>
                <w:color w:val="FFFFFF"/>
                <w:sz w:val="16"/>
                <w:szCs w:val="16"/>
                <w:lang w:eastAsia="zh-TW" w:bidi="ar-SA"/>
              </w:rPr>
            </w:pPr>
            <w:r>
              <w:rPr>
                <w:rFonts w:cs="Calibri"/>
                <w:b/>
                <w:color w:val="FFFFFF"/>
                <w:sz w:val="16"/>
                <w:szCs w:val="16"/>
                <w:lang w:eastAsia="en-GB" w:bidi="ar-SA"/>
              </w:rPr>
              <w:t>Reason</w:t>
            </w:r>
          </w:p>
          <w:p w14:paraId="0ADAEED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C0A9218"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C935539"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Description</w:t>
            </w:r>
          </w:p>
        </w:tc>
      </w:tr>
      <w:tr w:rsidR="00B97365" w14:paraId="24D3E58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BE0C38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68BAE7F0" w14:textId="77777777" w:rsidR="00B97365" w:rsidRDefault="00000000">
            <w:pPr>
              <w:tabs>
                <w:tab w:val="left" w:pos="213"/>
              </w:tabs>
              <w:spacing w:before="0" w:after="200" w:line="276" w:lineRule="auto"/>
              <w:jc w:val="left"/>
              <w:rPr>
                <w:rFonts w:cs="Calibri"/>
                <w:sz w:val="16"/>
                <w:szCs w:val="16"/>
                <w:lang w:val="fr-FR" w:eastAsia="en-GB" w:bidi="ar-SA"/>
              </w:rPr>
            </w:pPr>
            <w:r>
              <w:rPr>
                <w:rFonts w:cs="Calibri"/>
                <w:sz w:val="16"/>
                <w:szCs w:val="16"/>
                <w:lang w:val="fr-FR"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560DBB8" w14:textId="77777777" w:rsidR="00B97365" w:rsidRDefault="00000000">
            <w:pPr>
              <w:tabs>
                <w:tab w:val="left" w:pos="179"/>
              </w:tabs>
              <w:spacing w:before="0" w:after="200" w:line="276" w:lineRule="auto"/>
              <w:jc w:val="left"/>
              <w:rPr>
                <w:rFonts w:cs="Calibri"/>
                <w:sz w:val="16"/>
                <w:szCs w:val="16"/>
                <w:lang w:val="fr-FR" w:eastAsia="en-GB" w:bidi="ar-SA"/>
              </w:rPr>
            </w:pPr>
            <w:r>
              <w:rPr>
                <w:rFonts w:cs="Calibri"/>
                <w:sz w:val="16"/>
                <w:szCs w:val="16"/>
                <w:lang w:val="fr-FR" w:eastAsia="en-GB" w:bidi="ar-SA"/>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4FDA1382" w14:textId="77777777" w:rsidR="00B97365" w:rsidRDefault="00000000">
            <w:pPr>
              <w:tabs>
                <w:tab w:val="left" w:pos="177"/>
              </w:tabs>
              <w:spacing w:before="0" w:after="200" w:line="276" w:lineRule="auto"/>
              <w:jc w:val="left"/>
              <w:rPr>
                <w:rFonts w:cs="Calibri"/>
                <w:sz w:val="16"/>
                <w:szCs w:val="16"/>
                <w:lang w:val="fr-FR" w:eastAsia="en-GB" w:bidi="ar-SA"/>
              </w:rPr>
            </w:pPr>
            <w:r>
              <w:rPr>
                <w:rFonts w:cs="Calibri"/>
                <w:sz w:val="16"/>
                <w:szCs w:val="16"/>
                <w:lang w:val="fr-FR"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7C2B511E" w14:textId="77777777" w:rsidR="00B97365" w:rsidRDefault="00000000">
            <w:pPr>
              <w:tabs>
                <w:tab w:val="left" w:pos="35"/>
              </w:tabs>
              <w:spacing w:before="0" w:after="200" w:line="276" w:lineRule="auto"/>
              <w:jc w:val="left"/>
              <w:rPr>
                <w:rFonts w:cs="Calibri"/>
                <w:sz w:val="16"/>
                <w:szCs w:val="16"/>
                <w:lang w:val="en-US" w:eastAsia="en-GB" w:bidi="ar-SA"/>
              </w:rPr>
            </w:pPr>
            <w:r>
              <w:rPr>
                <w:rFonts w:cs="Calibri"/>
                <w:sz w:val="16"/>
                <w:szCs w:val="16"/>
                <w:lang w:val="en-US" w:eastAsia="en-GB" w:bidi="ar-SA"/>
              </w:rPr>
              <w:t>Indicates that the eUICC, identified by this EID, is unknown to the function provider</w:t>
            </w:r>
          </w:p>
        </w:tc>
      </w:tr>
      <w:tr w:rsidR="00B97365" w14:paraId="43FF766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0187E92" w14:textId="77777777" w:rsidR="00B97365" w:rsidRDefault="00000000">
            <w:pPr>
              <w:tabs>
                <w:tab w:val="left" w:pos="0"/>
              </w:tabs>
              <w:spacing w:before="0" w:after="200" w:line="276" w:lineRule="auto"/>
              <w:ind w:right="39"/>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76BC98C7" w14:textId="77777777" w:rsidR="00B97365" w:rsidRDefault="00000000">
            <w:pPr>
              <w:tabs>
                <w:tab w:val="left" w:pos="213"/>
              </w:tabs>
              <w:spacing w:before="0" w:after="200" w:line="276" w:lineRule="auto"/>
              <w:jc w:val="left"/>
              <w:rPr>
                <w:rFonts w:cs="Calibri"/>
                <w:sz w:val="16"/>
                <w:szCs w:val="16"/>
                <w:lang w:val="fr-FR" w:eastAsia="en-GB" w:bidi="ar-SA"/>
              </w:rPr>
            </w:pPr>
            <w:r>
              <w:rPr>
                <w:rFonts w:cs="Calibri"/>
                <w:sz w:val="16"/>
                <w:szCs w:val="16"/>
                <w:lang w:val="fr-FR" w:eastAsia="en-GB" w:bidi="ar-SA"/>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C3E004E" w14:textId="77777777" w:rsidR="00B97365" w:rsidRDefault="00000000">
            <w:pPr>
              <w:tabs>
                <w:tab w:val="left" w:pos="179"/>
              </w:tabs>
              <w:spacing w:before="0" w:after="200" w:line="276" w:lineRule="auto"/>
              <w:jc w:val="left"/>
              <w:rPr>
                <w:rFonts w:cs="Calibri"/>
                <w:sz w:val="16"/>
                <w:szCs w:val="16"/>
                <w:lang w:val="fr-FR" w:eastAsia="en-GB" w:bidi="ar-SA"/>
              </w:rPr>
            </w:pPr>
            <w:r>
              <w:rPr>
                <w:rFonts w:cs="Calibri"/>
                <w:sz w:val="16"/>
                <w:szCs w:val="16"/>
                <w:lang w:val="fr-FR" w:eastAsia="en-GB" w:bidi="ar-SA"/>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319E8D79" w14:textId="77777777" w:rsidR="00B97365" w:rsidRDefault="00000000">
            <w:pPr>
              <w:tabs>
                <w:tab w:val="left" w:pos="177"/>
              </w:tabs>
              <w:spacing w:before="0" w:after="200" w:line="276" w:lineRule="auto"/>
              <w:jc w:val="left"/>
              <w:rPr>
                <w:rFonts w:cs="Calibri"/>
                <w:sz w:val="16"/>
                <w:szCs w:val="16"/>
                <w:lang w:val="fr-FR" w:eastAsia="en-GB" w:bidi="ar-SA"/>
              </w:rPr>
            </w:pPr>
            <w:r>
              <w:rPr>
                <w:rFonts w:cs="Calibri"/>
                <w:sz w:val="16"/>
                <w:szCs w:val="16"/>
                <w:lang w:val="fr-FR"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2AA62C55" w14:textId="77777777" w:rsidR="00B97365" w:rsidRDefault="00000000">
            <w:pPr>
              <w:tabs>
                <w:tab w:val="left" w:pos="35"/>
              </w:tabs>
              <w:spacing w:before="0" w:after="200" w:line="276" w:lineRule="auto"/>
              <w:jc w:val="left"/>
              <w:rPr>
                <w:rFonts w:cs="Calibri"/>
                <w:sz w:val="16"/>
                <w:szCs w:val="16"/>
                <w:lang w:val="en-US" w:eastAsia="en-GB" w:bidi="ar-SA"/>
              </w:rPr>
            </w:pPr>
            <w:r>
              <w:rPr>
                <w:rFonts w:cs="Calibri"/>
                <w:sz w:val="16"/>
                <w:szCs w:val="16"/>
                <w:lang w:val="en-US" w:eastAsia="en-GB" w:bidi="ar-SA"/>
              </w:rPr>
              <w:t>Indicates that the Profile identified by this ICCID is unknown to the function provider.</w:t>
            </w:r>
          </w:p>
        </w:tc>
      </w:tr>
      <w:tr w:rsidR="00B97365" w14:paraId="13F221D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A6DDF67" w14:textId="77777777" w:rsidR="00B97365" w:rsidRDefault="00000000">
            <w:pPr>
              <w:tabs>
                <w:tab w:val="left" w:pos="87"/>
              </w:tabs>
              <w:spacing w:before="0" w:after="200" w:line="276" w:lineRule="auto"/>
              <w:jc w:val="left"/>
              <w:rPr>
                <w:rFonts w:cs="Calibri"/>
                <w:sz w:val="16"/>
                <w:szCs w:val="16"/>
                <w:lang w:eastAsia="en-GB" w:bidi="ar-SA"/>
              </w:rPr>
            </w:pPr>
            <w:r>
              <w:rPr>
                <w:rFonts w:cs="Calibri"/>
                <w:sz w:val="16"/>
                <w:szCs w:val="16"/>
                <w:lang w:eastAsia="en-GB" w:bidi="ar-SA"/>
              </w:rPr>
              <w:lastRenderedPageBreak/>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24203CAD" w14:textId="77777777" w:rsidR="00B97365" w:rsidRDefault="00000000">
            <w:pPr>
              <w:tabs>
                <w:tab w:val="left" w:pos="71"/>
              </w:tabs>
              <w:spacing w:before="0" w:after="200" w:line="276" w:lineRule="auto"/>
              <w:jc w:val="left"/>
              <w:rPr>
                <w:rFonts w:cs="Calibri"/>
                <w:sz w:val="16"/>
                <w:szCs w:val="16"/>
                <w:lang w:val="fr-FR" w:eastAsia="en-GB" w:bidi="ar-SA"/>
              </w:rPr>
            </w:pPr>
            <w:r>
              <w:rPr>
                <w:rFonts w:cs="Calibri"/>
                <w:sz w:val="16"/>
                <w:szCs w:val="16"/>
                <w:lang w:val="fr-FR" w:eastAsia="en-GB" w:bidi="ar-SA"/>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3C46C8D" w14:textId="77777777" w:rsidR="00B97365" w:rsidRDefault="00000000">
            <w:pPr>
              <w:tabs>
                <w:tab w:val="left" w:pos="0"/>
              </w:tabs>
              <w:spacing w:before="0" w:after="200" w:line="276" w:lineRule="auto"/>
              <w:jc w:val="left"/>
              <w:rPr>
                <w:rFonts w:cs="Calibri"/>
                <w:sz w:val="16"/>
                <w:szCs w:val="16"/>
                <w:lang w:val="fr-FR" w:eastAsia="en-GB" w:bidi="ar-SA"/>
              </w:rPr>
            </w:pPr>
            <w:r>
              <w:rPr>
                <w:rFonts w:cs="Calibri"/>
                <w:sz w:val="16"/>
                <w:szCs w:val="16"/>
                <w:lang w:val="fr-FR" w:eastAsia="en-GB" w:bidi="ar-SA"/>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21851D70" w14:textId="77777777" w:rsidR="00B97365" w:rsidRDefault="00000000">
            <w:pPr>
              <w:tabs>
                <w:tab w:val="left" w:pos="35"/>
              </w:tabs>
              <w:spacing w:before="0" w:after="200" w:line="276" w:lineRule="auto"/>
              <w:jc w:val="left"/>
              <w:rPr>
                <w:rFonts w:cs="Calibri"/>
                <w:sz w:val="16"/>
                <w:szCs w:val="16"/>
                <w:lang w:val="fr-FR" w:eastAsia="en-GB" w:bidi="ar-SA"/>
              </w:rPr>
            </w:pPr>
            <w:r>
              <w:rPr>
                <w:rFonts w:cs="Calibri"/>
                <w:sz w:val="16"/>
                <w:szCs w:val="16"/>
                <w:lang w:val="fr-FR" w:eastAsia="en-GB" w:bidi="ar-SA"/>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0AC71EB8" w14:textId="77777777" w:rsidR="00B97365" w:rsidRDefault="00000000">
            <w:pPr>
              <w:tabs>
                <w:tab w:val="left" w:pos="35"/>
              </w:tabs>
              <w:spacing w:before="0" w:after="200" w:line="276" w:lineRule="auto"/>
              <w:jc w:val="left"/>
              <w:rPr>
                <w:rFonts w:cs="Calibri"/>
                <w:sz w:val="16"/>
                <w:szCs w:val="16"/>
                <w:lang w:val="en-US" w:eastAsia="en-GB" w:bidi="ar-SA"/>
              </w:rPr>
            </w:pPr>
            <w:r>
              <w:rPr>
                <w:rFonts w:cs="Calibri"/>
                <w:sz w:val="16"/>
                <w:szCs w:val="16"/>
                <w:lang w:val="en-US" w:eastAsia="en-GB" w:bidi="ar-SA"/>
              </w:rPr>
              <w:t>Indicates that the Profile identified by this ICCID is known to the function provider but installed on another eUICC than the one identified by the function caller.</w:t>
            </w:r>
          </w:p>
        </w:tc>
      </w:tr>
      <w:tr w:rsidR="00B97365" w14:paraId="71BFC67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B08A991" w14:textId="77777777" w:rsidR="00B97365" w:rsidRDefault="00000000">
            <w:pPr>
              <w:tabs>
                <w:tab w:val="left" w:pos="87"/>
              </w:tabs>
              <w:spacing w:before="0" w:after="200" w:line="276" w:lineRule="auto"/>
              <w:jc w:val="left"/>
              <w:rPr>
                <w:rFonts w:cs="Calibri"/>
                <w:sz w:val="16"/>
                <w:szCs w:val="16"/>
                <w:lang w:eastAsia="en-GB" w:bidi="ar-SA"/>
              </w:rPr>
            </w:pPr>
            <w:r>
              <w:rPr>
                <w:rFonts w:cs="Calibri"/>
                <w:sz w:val="16"/>
                <w:szCs w:val="16"/>
                <w:lang w:eastAsia="en-GB" w:bidi="ar-SA"/>
              </w:rPr>
              <w:t>8.3</w:t>
            </w:r>
          </w:p>
        </w:tc>
        <w:tc>
          <w:tcPr>
            <w:tcW w:w="0" w:type="auto"/>
            <w:tcBorders>
              <w:top w:val="single" w:sz="6" w:space="0" w:color="auto"/>
              <w:left w:val="single" w:sz="6" w:space="0" w:color="auto"/>
              <w:bottom w:val="single" w:sz="4" w:space="0" w:color="auto"/>
              <w:right w:val="single" w:sz="6" w:space="0" w:color="auto"/>
            </w:tcBorders>
            <w:vAlign w:val="center"/>
            <w:hideMark/>
          </w:tcPr>
          <w:p w14:paraId="265DFA91" w14:textId="77777777" w:rsidR="00B97365" w:rsidRDefault="00000000">
            <w:pPr>
              <w:tabs>
                <w:tab w:val="left" w:pos="71"/>
              </w:tabs>
              <w:spacing w:before="0" w:after="200" w:line="276" w:lineRule="auto"/>
              <w:jc w:val="left"/>
              <w:rPr>
                <w:rFonts w:cs="Calibri"/>
                <w:sz w:val="16"/>
                <w:szCs w:val="16"/>
                <w:lang w:val="fr-FR" w:eastAsia="en-GB" w:bidi="ar-SA"/>
              </w:rPr>
            </w:pPr>
            <w:r>
              <w:rPr>
                <w:rFonts w:cs="Calibri"/>
                <w:sz w:val="16"/>
                <w:szCs w:val="16"/>
                <w:lang w:val="fr-FR" w:eastAsia="en-GB" w:bidi="ar-SA"/>
              </w:rPr>
              <w:t>ISD-P</w:t>
            </w:r>
          </w:p>
        </w:tc>
        <w:tc>
          <w:tcPr>
            <w:tcW w:w="0" w:type="auto"/>
            <w:tcBorders>
              <w:top w:val="single" w:sz="6" w:space="0" w:color="auto"/>
              <w:left w:val="single" w:sz="6" w:space="0" w:color="auto"/>
              <w:bottom w:val="single" w:sz="4" w:space="0" w:color="auto"/>
              <w:right w:val="single" w:sz="6" w:space="0" w:color="auto"/>
            </w:tcBorders>
            <w:vAlign w:val="center"/>
            <w:hideMark/>
          </w:tcPr>
          <w:p w14:paraId="7E624CD0" w14:textId="77777777" w:rsidR="00B97365" w:rsidRDefault="00000000">
            <w:pPr>
              <w:tabs>
                <w:tab w:val="left" w:pos="37"/>
              </w:tabs>
              <w:spacing w:before="0" w:after="200" w:line="276" w:lineRule="auto"/>
              <w:jc w:val="left"/>
              <w:rPr>
                <w:rFonts w:cs="Calibri"/>
                <w:sz w:val="16"/>
                <w:szCs w:val="16"/>
                <w:lang w:val="fr-FR" w:eastAsia="en-GB" w:bidi="ar-SA"/>
              </w:rPr>
            </w:pPr>
            <w:r>
              <w:rPr>
                <w:rFonts w:cs="Calibri"/>
                <w:sz w:val="16"/>
                <w:szCs w:val="16"/>
                <w:lang w:val="fr-FR" w:eastAsia="en-GB" w:bidi="ar-SA"/>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1C29B3FC" w14:textId="77777777" w:rsidR="00B97365" w:rsidRDefault="00000000">
            <w:pPr>
              <w:tabs>
                <w:tab w:val="left" w:pos="35"/>
              </w:tabs>
              <w:spacing w:before="0" w:after="200" w:line="276" w:lineRule="auto"/>
              <w:jc w:val="left"/>
              <w:rPr>
                <w:rFonts w:cs="Calibri"/>
                <w:sz w:val="16"/>
                <w:szCs w:val="16"/>
                <w:lang w:val="fr-FR" w:eastAsia="en-GB" w:bidi="ar-SA"/>
              </w:rPr>
            </w:pPr>
            <w:r>
              <w:rPr>
                <w:rFonts w:cs="Calibri"/>
                <w:sz w:val="16"/>
                <w:szCs w:val="16"/>
                <w:lang w:val="fr-FR" w:eastAsia="en-GB" w:bidi="ar-SA"/>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06EA9E19" w14:textId="77777777" w:rsidR="00B97365" w:rsidRDefault="00000000">
            <w:pPr>
              <w:tabs>
                <w:tab w:val="left" w:pos="35"/>
              </w:tabs>
              <w:spacing w:before="0" w:after="200" w:line="276" w:lineRule="auto"/>
              <w:jc w:val="left"/>
              <w:rPr>
                <w:rFonts w:cs="Calibri"/>
                <w:sz w:val="16"/>
                <w:szCs w:val="16"/>
                <w:lang w:eastAsia="en-GB" w:bidi="ar-SA"/>
              </w:rPr>
            </w:pPr>
            <w:r>
              <w:rPr>
                <w:rFonts w:cs="Calibri"/>
                <w:sz w:val="16"/>
                <w:szCs w:val="16"/>
                <w:lang w:eastAsia="en-GB" w:bidi="ar-SA"/>
              </w:rPr>
              <w:t>Error during execution of Connectivity Parameters update. In that case, the output data “euiccResponseData” contains the exact response coming from the eUICC.</w:t>
            </w:r>
          </w:p>
        </w:tc>
      </w:tr>
    </w:tbl>
    <w:p w14:paraId="652EF6C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Update Connectivity Parameters Specific Status Codes</w:t>
      </w:r>
    </w:p>
    <w:p w14:paraId="55BE7893" w14:textId="77777777" w:rsidR="00B97365" w:rsidRDefault="00B97365">
      <w:pPr>
        <w:jc w:val="center"/>
        <w:rPr>
          <w:rFonts w:cs="Calibri"/>
          <w:b/>
        </w:rPr>
      </w:pPr>
    </w:p>
    <w:p w14:paraId="07248D67"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859" w:name="_Toc448998279"/>
      <w:bookmarkStart w:id="3860" w:name="_Toc422150755"/>
      <w:bookmarkStart w:id="3861" w:name="_Toc421874340"/>
      <w:bookmarkStart w:id="3862" w:name="_Toc420594812"/>
      <w:bookmarkStart w:id="3863" w:name="_Toc398214881"/>
      <w:bookmarkStart w:id="3864" w:name="_Toc375158297"/>
      <w:bookmarkStart w:id="3865" w:name="_Toc368932306"/>
      <w:bookmarkStart w:id="3866" w:name="_Ref367978769"/>
      <w:bookmarkStart w:id="3867" w:name="_Toc486332897"/>
      <w:bookmarkStart w:id="3868" w:name="_Toc1977389"/>
      <w:bookmarkStart w:id="3869" w:name="_Toc37062548"/>
      <w:bookmarkStart w:id="3870" w:name="_Toc88839622"/>
      <w:bookmarkStart w:id="3871" w:name="_Toc121504030"/>
      <w:r>
        <w:rPr>
          <w:rFonts w:eastAsia="Times New Roman" w:cs="Arial"/>
          <w:b/>
          <w:bCs/>
          <w:iCs/>
          <w:sz w:val="24"/>
          <w:szCs w:val="26"/>
          <w:lang w:eastAsia="en-US"/>
        </w:rPr>
        <w:t xml:space="preserve">Notify a Profile is </w:t>
      </w:r>
      <w:r>
        <w:rPr>
          <w:rFonts w:eastAsia="Times New Roman" w:cs="Arial"/>
          <w:b/>
          <w:sz w:val="24"/>
          <w:szCs w:val="26"/>
          <w:lang w:eastAsia="en-US"/>
        </w:rPr>
        <w:t>Disabled</w:t>
      </w:r>
      <w:bookmarkEnd w:id="3854"/>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20514E6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HandleProfileDisabledNotification</w:t>
      </w:r>
    </w:p>
    <w:p w14:paraId="6A39C92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 Profile Enabling, Profile Enabling via SM-DP, Fall-Back Activation Procedure, Profile Enabling via M2MSP</w:t>
      </w:r>
    </w:p>
    <w:p w14:paraId="45E6505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2FA58A93" w14:textId="77777777" w:rsidR="00B97365" w:rsidRDefault="00000000">
      <w:pPr>
        <w:spacing w:before="0" w:after="200" w:line="276" w:lineRule="auto"/>
        <w:jc w:val="left"/>
        <w:rPr>
          <w:szCs w:val="22"/>
          <w:lang w:val="en-US" w:eastAsia="en-GB" w:bidi="ar-SA"/>
        </w:rPr>
      </w:pPr>
      <w:bookmarkStart w:id="3872" w:name="_Toc420594813"/>
      <w:r>
        <w:rPr>
          <w:rFonts w:cs="Arial"/>
          <w:b/>
          <w:szCs w:val="22"/>
          <w:lang w:val="en-US" w:eastAsia="en-GB" w:bidi="ar-SA"/>
        </w:rPr>
        <w:t>Notification handler/recipient:</w:t>
      </w:r>
      <w:r>
        <w:rPr>
          <w:szCs w:val="22"/>
          <w:lang w:val="en-US" w:eastAsia="en-GB" w:bidi="ar-SA"/>
        </w:rPr>
        <w:t xml:space="preserve"> SM-DP</w:t>
      </w:r>
      <w:bookmarkEnd w:id="3872"/>
    </w:p>
    <w:p w14:paraId="7CC2093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that the Profile identified by its ICCID has been disabled on the eUICC identified by its EID.</w:t>
      </w:r>
    </w:p>
    <w:p w14:paraId="3AE928DA"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 all SM-DP servers that match one or the other of the following conditions:</w:t>
      </w:r>
    </w:p>
    <w:p w14:paraId="1DD0F5F5" w14:textId="2E525AE0"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The SM-DP can relay the notification to the Operator that owns the Profile, and the Operator has not opted to not receive such notifications (see section </w:t>
      </w:r>
      <w:r>
        <w:rPr>
          <w:szCs w:val="22"/>
          <w:lang w:val="en-US" w:eastAsia="en-GB" w:bidi="ar-SA"/>
        </w:rPr>
        <w:fldChar w:fldCharType="begin"/>
      </w:r>
      <w:r>
        <w:rPr>
          <w:szCs w:val="22"/>
          <w:lang w:val="en-US" w:eastAsia="en-GB" w:bidi="ar-SA"/>
        </w:rPr>
        <w:instrText xml:space="preserve"> REF _Ref536172994 \r \h </w:instrText>
      </w:r>
      <w:r>
        <w:rPr>
          <w:szCs w:val="22"/>
          <w:lang w:val="en-US" w:eastAsia="en-GB" w:bidi="ar-SA"/>
        </w:rPr>
      </w:r>
      <w:r>
        <w:rPr>
          <w:szCs w:val="22"/>
          <w:lang w:val="en-US" w:eastAsia="en-GB" w:bidi="ar-SA"/>
        </w:rPr>
        <w:fldChar w:fldCharType="separate"/>
      </w:r>
      <w:r w:rsidR="001D5AD9">
        <w:rPr>
          <w:szCs w:val="22"/>
          <w:lang w:val="en-US" w:eastAsia="en-GB" w:bidi="ar-SA"/>
        </w:rPr>
        <w:t>3.21</w:t>
      </w:r>
      <w:r>
        <w:rPr>
          <w:szCs w:val="22"/>
          <w:lang w:val="en-US" w:eastAsia="en-GB" w:bidi="ar-SA"/>
        </w:rPr>
        <w:fldChar w:fldCharType="end"/>
      </w:r>
      <w:r>
        <w:rPr>
          <w:szCs w:val="22"/>
          <w:lang w:val="en-US" w:eastAsia="en-GB" w:bidi="ar-SA"/>
        </w:rPr>
        <w:t>).</w:t>
      </w:r>
    </w:p>
    <w:p w14:paraId="74788BC5"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SM-DP can relay the notification to another Operator, and the Operator owner of the Profile has granted the other Operator with a PLMA authorising this Operation “Handle</w:t>
      </w:r>
      <w:r>
        <w:rPr>
          <w:rFonts w:cs="Calibri"/>
          <w:szCs w:val="22"/>
          <w:lang w:eastAsia="en-GB" w:bidi="ar-SA"/>
        </w:rPr>
        <w:t>ProfileDisabledNotification</w:t>
      </w:r>
      <w:r>
        <w:rPr>
          <w:szCs w:val="22"/>
          <w:lang w:val="en-US" w:eastAsia="en-GB" w:bidi="ar-SA"/>
        </w:rPr>
        <w:t>”.</w:t>
      </w:r>
    </w:p>
    <w:p w14:paraId="4F97079E"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700C066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done.</w:t>
      </w:r>
    </w:p>
    <w:p w14:paraId="185E544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In case multiple handlers are served, the SM-SR SHOULD ensure completionTimestamp to be equal for every message.  </w:t>
      </w:r>
    </w:p>
    <w:p w14:paraId="75D38D0A" w14:textId="77777777" w:rsidR="00B97365" w:rsidRDefault="00000000">
      <w:pPr>
        <w:spacing w:before="0" w:after="200" w:line="276" w:lineRule="auto"/>
        <w:jc w:val="left"/>
        <w:rPr>
          <w:b/>
          <w:i/>
          <w:szCs w:val="22"/>
          <w:lang w:val="en-US" w:eastAsia="en-GB" w:bidi="ar-SA"/>
        </w:rPr>
      </w:pPr>
      <w:bookmarkStart w:id="3873" w:name="_Toc420594814"/>
      <w:r>
        <w:rPr>
          <w:rFonts w:cs="Arial"/>
          <w:b/>
          <w:i/>
          <w:szCs w:val="22"/>
          <w:lang w:val="en-US" w:eastAsia="en-GB" w:bidi="ar-SA"/>
        </w:rPr>
        <w:t>Additional input data:</w:t>
      </w:r>
      <w:bookmarkEnd w:id="3873"/>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282"/>
        <w:gridCol w:w="949"/>
        <w:gridCol w:w="398"/>
        <w:gridCol w:w="514"/>
      </w:tblGrid>
      <w:tr w:rsidR="00B97365" w14:paraId="2FB36340"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FD6BEC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C60D158"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94C180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7419BB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B0025B4"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098CA16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FF3679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7D8ECF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28065CB3" w14:textId="2DE37031"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_Ref367974931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71F0AA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CE7A6E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DFA61F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3E1E57C6"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31915F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46D1A0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been disabled.</w:t>
            </w:r>
          </w:p>
          <w:p w14:paraId="088D0C83" w14:textId="6F5DC0C5"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_Ref367974937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625C26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19EACF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F5EACF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71995E3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D1A0AD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mno-id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B1DBD21"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Operator owner of the Profile that has been disabled.</w:t>
            </w:r>
          </w:p>
          <w:p w14:paraId="1EED8696" w14:textId="2CEAD407" w:rsidR="00B97365" w:rsidRDefault="00000000">
            <w:pPr>
              <w:spacing w:before="0" w:after="200" w:line="276" w:lineRule="auto"/>
              <w:jc w:val="left"/>
              <w:rPr>
                <w:rFonts w:cs="Calibri"/>
                <w:sz w:val="16"/>
                <w:szCs w:val="16"/>
                <w:lang w:eastAsia="en-GB" w:bidi="ar-SA"/>
              </w:rPr>
            </w:pPr>
            <w:r>
              <w:rPr>
                <w:rFonts w:cs="Calibri"/>
                <w:sz w:val="16"/>
                <w:szCs w:val="16"/>
                <w:lang w:val="en-US" w:eastAsia="en-GB" w:bidi="ar-SA"/>
              </w:rPr>
              <w:lastRenderedPageBreak/>
              <w:t xml:space="preserve">See section </w:t>
            </w:r>
            <w:r>
              <w:fldChar w:fldCharType="begin"/>
            </w:r>
            <w:r>
              <w:instrText xml:space="preserve"> REF _Ref367974944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950FC0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lastRenderedPageBreak/>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2E1D36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C7863C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3519141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3C0BE1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344995A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05FE2572" w14:textId="4B33E5AC"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_Ref367974951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01EF45B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5352DD1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CF7AF9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1E24B270"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Handle Profile Disabled Notification Additional Input Data</w:t>
      </w:r>
    </w:p>
    <w:p w14:paraId="00DE44BD" w14:textId="77777777" w:rsidR="00B97365" w:rsidRDefault="00B97365">
      <w:pPr>
        <w:rPr>
          <w:rFonts w:cs="Calibri"/>
        </w:rPr>
      </w:pPr>
    </w:p>
    <w:p w14:paraId="69FFB62A"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3874" w:name="_Toc448998280"/>
      <w:bookmarkStart w:id="3875" w:name="_Toc422150756"/>
      <w:bookmarkStart w:id="3876" w:name="_Toc421874341"/>
      <w:bookmarkStart w:id="3877" w:name="_Toc420594815"/>
      <w:bookmarkStart w:id="3878" w:name="_Toc398214882"/>
      <w:bookmarkStart w:id="3879" w:name="_Toc375158298"/>
      <w:bookmarkStart w:id="3880" w:name="_Toc368932307"/>
      <w:bookmarkStart w:id="3881" w:name="_Ref367978778"/>
      <w:bookmarkStart w:id="3882" w:name="_Toc352671589"/>
      <w:bookmarkStart w:id="3883" w:name="_Toc486332898"/>
      <w:bookmarkStart w:id="3884" w:name="_Toc1977390"/>
      <w:bookmarkStart w:id="3885" w:name="_Toc37062549"/>
      <w:bookmarkStart w:id="3886" w:name="_Toc88839623"/>
      <w:bookmarkStart w:id="3887" w:name="_Toc121504031"/>
      <w:r>
        <w:rPr>
          <w:rFonts w:eastAsia="Times New Roman" w:cs="Arial"/>
          <w:b/>
          <w:bCs/>
          <w:iCs/>
          <w:sz w:val="24"/>
          <w:szCs w:val="26"/>
          <w:lang w:eastAsia="en-US"/>
        </w:rPr>
        <w:t xml:space="preserve">Notify a Profile </w:t>
      </w:r>
      <w:r>
        <w:rPr>
          <w:rFonts w:eastAsia="Times New Roman" w:cs="Arial"/>
          <w:b/>
          <w:sz w:val="24"/>
          <w:szCs w:val="26"/>
          <w:lang w:eastAsia="en-US"/>
        </w:rPr>
        <w:t>Enabling</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11FC493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HandleProfileEnabledNotification</w:t>
      </w:r>
    </w:p>
    <w:p w14:paraId="1692A89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Disabling, Profile Disabling via SM-DP, Profile Enabling via M2M SP, Profile Disabling via M2M SP, Fall-Back Activation Procedure</w:t>
      </w:r>
    </w:p>
    <w:p w14:paraId="135B67C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34A80CF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SM-DP</w:t>
      </w:r>
    </w:p>
    <w:p w14:paraId="2E07106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that the Profile identified by its ICCID has been enabled on the eUICC identified by its EID.</w:t>
      </w:r>
    </w:p>
    <w:p w14:paraId="600C94EF"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 all SM-DP servers that match one or the other of the following conditions:</w:t>
      </w:r>
    </w:p>
    <w:p w14:paraId="5DBA6F09" w14:textId="6DED0993"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The SM-DP can relay the notification to the Operator that owns the Profile, and the Operator has not opted to not receive such notifications (see section </w:t>
      </w:r>
      <w:r>
        <w:rPr>
          <w:szCs w:val="22"/>
          <w:lang w:val="en-US" w:eastAsia="en-GB" w:bidi="ar-SA"/>
        </w:rPr>
        <w:fldChar w:fldCharType="begin"/>
      </w:r>
      <w:r>
        <w:rPr>
          <w:szCs w:val="22"/>
          <w:lang w:val="en-US" w:eastAsia="en-GB" w:bidi="ar-SA"/>
        </w:rPr>
        <w:instrText xml:space="preserve"> REF _Ref536172994 \r \h </w:instrText>
      </w:r>
      <w:r>
        <w:rPr>
          <w:szCs w:val="22"/>
          <w:lang w:val="en-US" w:eastAsia="en-GB" w:bidi="ar-SA"/>
        </w:rPr>
      </w:r>
      <w:r>
        <w:rPr>
          <w:szCs w:val="22"/>
          <w:lang w:val="en-US" w:eastAsia="en-GB" w:bidi="ar-SA"/>
        </w:rPr>
        <w:fldChar w:fldCharType="separate"/>
      </w:r>
      <w:r w:rsidR="001D5AD9">
        <w:rPr>
          <w:szCs w:val="22"/>
          <w:lang w:val="en-US" w:eastAsia="en-GB" w:bidi="ar-SA"/>
        </w:rPr>
        <w:t>3.21</w:t>
      </w:r>
      <w:r>
        <w:rPr>
          <w:szCs w:val="22"/>
          <w:lang w:val="en-US" w:eastAsia="en-GB" w:bidi="ar-SA"/>
        </w:rPr>
        <w:fldChar w:fldCharType="end"/>
      </w:r>
      <w:r>
        <w:rPr>
          <w:szCs w:val="22"/>
          <w:lang w:val="en-US" w:eastAsia="en-GB" w:bidi="ar-SA"/>
        </w:rPr>
        <w:t>)</w:t>
      </w:r>
    </w:p>
    <w:p w14:paraId="5442A0C8"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SM-DP can relay the notification to another Operator, and the Operator owner of the Profile has granted the other Operator with a PLMA authorising this Operation “Handle</w:t>
      </w:r>
      <w:r>
        <w:rPr>
          <w:rFonts w:cs="Calibri"/>
          <w:szCs w:val="22"/>
          <w:lang w:eastAsia="en-GB" w:bidi="ar-SA"/>
        </w:rPr>
        <w:t>ProfileEnabledNotification</w:t>
      </w:r>
      <w:r>
        <w:rPr>
          <w:szCs w:val="22"/>
          <w:lang w:val="en-US" w:eastAsia="en-GB" w:bidi="ar-SA"/>
        </w:rPr>
        <w:t>”.</w:t>
      </w:r>
    </w:p>
    <w:p w14:paraId="1B1F03CE"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0FE1C5F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6373425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receiving this notification is out of scope of this specification.</w:t>
      </w:r>
    </w:p>
    <w:p w14:paraId="57C48EEB" w14:textId="77777777" w:rsidR="00B97365" w:rsidRDefault="00000000">
      <w:pPr>
        <w:spacing w:before="0" w:after="200" w:line="276" w:lineRule="auto"/>
        <w:jc w:val="left"/>
        <w:rPr>
          <w:b/>
          <w:i/>
          <w:szCs w:val="22"/>
          <w:lang w:val="en-US" w:eastAsia="en-GB" w:bidi="ar-SA"/>
        </w:rPr>
      </w:pPr>
      <w:bookmarkStart w:id="3888" w:name="_Toc420594816"/>
      <w:r>
        <w:rPr>
          <w:rFonts w:cs="Arial"/>
          <w:b/>
          <w:i/>
          <w:szCs w:val="22"/>
          <w:lang w:val="en-US" w:eastAsia="en-GB" w:bidi="ar-SA"/>
        </w:rPr>
        <w:t>Additional input data:</w:t>
      </w:r>
      <w:bookmarkEnd w:id="388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255"/>
        <w:gridCol w:w="949"/>
        <w:gridCol w:w="398"/>
        <w:gridCol w:w="514"/>
      </w:tblGrid>
      <w:tr w:rsidR="00B97365" w14:paraId="3940A6A8"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AABB79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8B017F8"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6944A54"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1F44C0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416C998"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3FB5FBF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0465E1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69450C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22EBB385" w14:textId="2FF364B2"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752B34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AB4B35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14FDBF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5CAC342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38F911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5BDE3D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been disabled.</w:t>
            </w:r>
          </w:p>
          <w:p w14:paraId="10DA89B2" w14:textId="45B861CA"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AE13C5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DD5BFA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C26843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E16CAB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559E97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lastRenderedPageBreak/>
              <w:t>mno-id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55ECC54"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Operator owner of the Profile that has been enabled.</w:t>
            </w:r>
          </w:p>
          <w:p w14:paraId="50D198A4" w14:textId="1E335771" w:rsidR="00B97365" w:rsidRDefault="00000000">
            <w:pPr>
              <w:spacing w:before="0" w:after="200" w:line="276" w:lineRule="auto"/>
              <w:jc w:val="left"/>
              <w:rPr>
                <w:rFonts w:cs="Calibri"/>
                <w:sz w:val="16"/>
                <w:szCs w:val="16"/>
                <w:lang w:eastAsia="en-GB" w:bidi="ar-SA"/>
              </w:rPr>
            </w:pPr>
            <w:r>
              <w:rPr>
                <w:rFonts w:cs="Calibri"/>
                <w:sz w:val="16"/>
                <w:szCs w:val="16"/>
                <w:lang w:val="en-US" w:eastAsia="en-GB" w:bidi="ar-SA"/>
              </w:rPr>
              <w:t xml:space="preserve">See section </w:t>
            </w:r>
            <w:r>
              <w:fldChar w:fldCharType="begin"/>
            </w:r>
            <w:r>
              <w:instrText xml:space="preserve"> REF _Ref367974970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3D9BB9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2FEA54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E16DC8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4C678C99"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B6B6D4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634C097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77132D5B" w14:textId="60FF9B46"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5BFFF2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21AD831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88BF5F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3B89A632" w14:textId="77777777" w:rsidR="00B97365" w:rsidRDefault="00000000">
      <w:pPr>
        <w:numPr>
          <w:ilvl w:val="0"/>
          <w:numId w:val="14"/>
        </w:numPr>
        <w:tabs>
          <w:tab w:val="left" w:pos="1009"/>
        </w:tabs>
        <w:spacing w:after="200" w:line="276" w:lineRule="auto"/>
        <w:jc w:val="center"/>
        <w:rPr>
          <w:rFonts w:cs="Arial"/>
          <w:lang w:eastAsia="de-DE" w:bidi="ar-SA"/>
        </w:rPr>
      </w:pPr>
      <w:bookmarkStart w:id="3889" w:name="_Toc361324329"/>
      <w:bookmarkStart w:id="3890" w:name="_Toc361324760"/>
      <w:bookmarkStart w:id="3891" w:name="_Toc361325181"/>
      <w:bookmarkStart w:id="3892" w:name="_Toc361325601"/>
      <w:bookmarkStart w:id="3893" w:name="_Toc361326006"/>
      <w:bookmarkStart w:id="3894" w:name="_Toc361326407"/>
      <w:bookmarkStart w:id="3895" w:name="_Toc361326793"/>
      <w:bookmarkStart w:id="3896" w:name="_Toc361327174"/>
      <w:bookmarkStart w:id="3897" w:name="_Toc361327553"/>
      <w:bookmarkStart w:id="3898" w:name="_Toc361327925"/>
      <w:bookmarkStart w:id="3899" w:name="_Toc361328297"/>
      <w:bookmarkStart w:id="3900" w:name="_Toc361328669"/>
      <w:bookmarkStart w:id="3901" w:name="_Toc361394467"/>
      <w:bookmarkStart w:id="3902" w:name="_Toc362882429"/>
      <w:bookmarkStart w:id="3903" w:name="_Toc362882813"/>
      <w:bookmarkStart w:id="3904" w:name="_Toc362883191"/>
      <w:bookmarkStart w:id="3905" w:name="_Toc362883569"/>
      <w:bookmarkStart w:id="3906" w:name="_Toc362883947"/>
      <w:bookmarkStart w:id="3907" w:name="_Toc362884324"/>
      <w:bookmarkStart w:id="3908" w:name="_Toc362884699"/>
      <w:bookmarkStart w:id="3909" w:name="_Toc362885066"/>
      <w:bookmarkStart w:id="3910" w:name="_Toc362946007"/>
      <w:bookmarkStart w:id="3911" w:name="_Toc362946722"/>
      <w:bookmarkStart w:id="3912" w:name="_Toc365571189"/>
      <w:bookmarkStart w:id="3913" w:name="_Toc365624688"/>
      <w:bookmarkStart w:id="3914" w:name="_Toc365899699"/>
      <w:bookmarkStart w:id="3915" w:name="_Toc365982508"/>
      <w:bookmarkStart w:id="3916" w:name="_Toc367445993"/>
      <w:bookmarkStart w:id="3917" w:name="_Toc368048203"/>
      <w:bookmarkStart w:id="3918" w:name="_Toc368583774"/>
      <w:bookmarkStart w:id="3919" w:name="_Toc368652869"/>
      <w:bookmarkStart w:id="3920" w:name="_Toc368932308"/>
      <w:bookmarkStart w:id="3921" w:name="_Toc374345813"/>
      <w:bookmarkStart w:id="3922" w:name="_Toc374346159"/>
      <w:bookmarkStart w:id="3923" w:name="_Toc374346504"/>
      <w:bookmarkStart w:id="3924" w:name="_Toc374346850"/>
      <w:bookmarkStart w:id="3925" w:name="_Toc374347309"/>
      <w:bookmarkStart w:id="3926" w:name="_Toc374347539"/>
      <w:bookmarkStart w:id="3927" w:name="_Toc374347768"/>
      <w:bookmarkStart w:id="3928" w:name="_Toc374348511"/>
      <w:bookmarkStart w:id="3929" w:name="_Toc375054874"/>
      <w:bookmarkStart w:id="3930" w:name="_Toc375157957"/>
      <w:bookmarkStart w:id="3931" w:name="_Toc375158299"/>
      <w:bookmarkStart w:id="3932" w:name="_Toc378865455"/>
      <w:bookmarkStart w:id="3933" w:name="_Toc396149185"/>
      <w:bookmarkStart w:id="3934" w:name="_Toc396149753"/>
      <w:bookmarkStart w:id="3935" w:name="_Toc396150194"/>
      <w:bookmarkStart w:id="3936" w:name="_Toc398214883"/>
      <w:bookmarkStart w:id="3937" w:name="_Toc398291573"/>
      <w:bookmarkStart w:id="3938" w:name="_Toc398291916"/>
      <w:bookmarkStart w:id="3939" w:name="_Toc398293025"/>
      <w:bookmarkStart w:id="3940" w:name="_Toc400964155"/>
      <w:bookmarkStart w:id="3941" w:name="_Toc420594817"/>
      <w:bookmarkStart w:id="3942" w:name="_Toc420928430"/>
      <w:bookmarkStart w:id="3943" w:name="_Toc421106751"/>
      <w:bookmarkStart w:id="3944" w:name="_Toc421173035"/>
      <w:bookmarkStart w:id="3945" w:name="_Toc421874342"/>
      <w:bookmarkStart w:id="3946" w:name="_Toc421885631"/>
      <w:bookmarkStart w:id="3947" w:name="_Toc421886010"/>
      <w:bookmarkStart w:id="3948" w:name="_Toc422028882"/>
      <w:bookmarkStart w:id="3949" w:name="_Toc422029794"/>
      <w:bookmarkStart w:id="3950" w:name="_Toc422150757"/>
      <w:bookmarkStart w:id="3951" w:name="_Toc423443311"/>
      <w:bookmarkStart w:id="3952" w:name="_Toc441422427"/>
      <w:bookmarkStart w:id="3953" w:name="_Toc361324330"/>
      <w:bookmarkStart w:id="3954" w:name="_Toc361324761"/>
      <w:bookmarkStart w:id="3955" w:name="_Toc361325182"/>
      <w:bookmarkStart w:id="3956" w:name="_Toc361325602"/>
      <w:bookmarkStart w:id="3957" w:name="_Toc361326007"/>
      <w:bookmarkStart w:id="3958" w:name="_Toc361326408"/>
      <w:bookmarkStart w:id="3959" w:name="_Toc361326794"/>
      <w:bookmarkStart w:id="3960" w:name="_Toc361327175"/>
      <w:bookmarkStart w:id="3961" w:name="_Toc361327554"/>
      <w:bookmarkStart w:id="3962" w:name="_Toc361327926"/>
      <w:bookmarkStart w:id="3963" w:name="_Toc361328298"/>
      <w:bookmarkStart w:id="3964" w:name="_Toc361328670"/>
      <w:bookmarkStart w:id="3965" w:name="_Toc361394468"/>
      <w:bookmarkStart w:id="3966" w:name="_Toc362882430"/>
      <w:bookmarkStart w:id="3967" w:name="_Toc362882814"/>
      <w:bookmarkStart w:id="3968" w:name="_Toc362883192"/>
      <w:bookmarkStart w:id="3969" w:name="_Toc362883570"/>
      <w:bookmarkStart w:id="3970" w:name="_Toc362883948"/>
      <w:bookmarkStart w:id="3971" w:name="_Toc362884325"/>
      <w:bookmarkStart w:id="3972" w:name="_Toc362884700"/>
      <w:bookmarkStart w:id="3973" w:name="_Toc362885067"/>
      <w:bookmarkStart w:id="3974" w:name="_Toc362946008"/>
      <w:bookmarkStart w:id="3975" w:name="_Toc362946723"/>
      <w:bookmarkStart w:id="3976" w:name="_Toc365571190"/>
      <w:bookmarkStart w:id="3977" w:name="_Toc365624689"/>
      <w:bookmarkStart w:id="3978" w:name="_Toc365899700"/>
      <w:bookmarkStart w:id="3979" w:name="_Toc365982509"/>
      <w:bookmarkStart w:id="3980" w:name="_Toc367445994"/>
      <w:bookmarkStart w:id="3981" w:name="_Toc368048204"/>
      <w:bookmarkStart w:id="3982" w:name="_Toc368583775"/>
      <w:bookmarkStart w:id="3983" w:name="_Toc368652870"/>
      <w:bookmarkStart w:id="3984" w:name="_Toc368932309"/>
      <w:bookmarkStart w:id="3985" w:name="_Toc374345814"/>
      <w:bookmarkStart w:id="3986" w:name="_Toc374346160"/>
      <w:bookmarkStart w:id="3987" w:name="_Toc374346505"/>
      <w:bookmarkStart w:id="3988" w:name="_Toc374346851"/>
      <w:bookmarkStart w:id="3989" w:name="_Toc374347310"/>
      <w:bookmarkStart w:id="3990" w:name="_Toc374347540"/>
      <w:bookmarkStart w:id="3991" w:name="_Toc374347769"/>
      <w:bookmarkStart w:id="3992" w:name="_Toc374348512"/>
      <w:bookmarkStart w:id="3993" w:name="_Toc375054875"/>
      <w:bookmarkStart w:id="3994" w:name="_Toc375157958"/>
      <w:bookmarkStart w:id="3995" w:name="_Toc375158300"/>
      <w:bookmarkStart w:id="3996" w:name="_Toc378865456"/>
      <w:bookmarkStart w:id="3997" w:name="_Toc396149186"/>
      <w:bookmarkStart w:id="3998" w:name="_Toc396149754"/>
      <w:bookmarkStart w:id="3999" w:name="_Toc396150195"/>
      <w:bookmarkStart w:id="4000" w:name="_Toc398214884"/>
      <w:bookmarkStart w:id="4001" w:name="_Toc398291574"/>
      <w:bookmarkStart w:id="4002" w:name="_Toc398291917"/>
      <w:bookmarkStart w:id="4003" w:name="_Toc398293026"/>
      <w:bookmarkStart w:id="4004" w:name="_Toc400964156"/>
      <w:bookmarkStart w:id="4005" w:name="_Toc420594818"/>
      <w:bookmarkStart w:id="4006" w:name="_Toc420928431"/>
      <w:bookmarkStart w:id="4007" w:name="_Toc421106752"/>
      <w:bookmarkStart w:id="4008" w:name="_Toc421173036"/>
      <w:bookmarkStart w:id="4009" w:name="_Toc421874343"/>
      <w:bookmarkStart w:id="4010" w:name="_Toc421885632"/>
      <w:bookmarkStart w:id="4011" w:name="_Toc421886011"/>
      <w:bookmarkStart w:id="4012" w:name="_Toc422028883"/>
      <w:bookmarkStart w:id="4013" w:name="_Toc422029795"/>
      <w:bookmarkStart w:id="4014" w:name="_Toc422150758"/>
      <w:bookmarkStart w:id="4015" w:name="_Toc423443312"/>
      <w:bookmarkStart w:id="4016" w:name="_Toc441422428"/>
      <w:bookmarkStart w:id="4017" w:name="_Toc361324331"/>
      <w:bookmarkStart w:id="4018" w:name="_Toc361324762"/>
      <w:bookmarkStart w:id="4019" w:name="_Toc361325183"/>
      <w:bookmarkStart w:id="4020" w:name="_Toc361325603"/>
      <w:bookmarkStart w:id="4021" w:name="_Toc361326008"/>
      <w:bookmarkStart w:id="4022" w:name="_Toc361326409"/>
      <w:bookmarkStart w:id="4023" w:name="_Toc361326795"/>
      <w:bookmarkStart w:id="4024" w:name="_Toc361327176"/>
      <w:bookmarkStart w:id="4025" w:name="_Toc361327555"/>
      <w:bookmarkStart w:id="4026" w:name="_Toc361327927"/>
      <w:bookmarkStart w:id="4027" w:name="_Toc361328299"/>
      <w:bookmarkStart w:id="4028" w:name="_Toc361328671"/>
      <w:bookmarkStart w:id="4029" w:name="_Toc361394469"/>
      <w:bookmarkStart w:id="4030" w:name="_Toc362882431"/>
      <w:bookmarkStart w:id="4031" w:name="_Toc362882815"/>
      <w:bookmarkStart w:id="4032" w:name="_Toc362883193"/>
      <w:bookmarkStart w:id="4033" w:name="_Toc362883571"/>
      <w:bookmarkStart w:id="4034" w:name="_Toc362883949"/>
      <w:bookmarkStart w:id="4035" w:name="_Toc362884326"/>
      <w:bookmarkStart w:id="4036" w:name="_Toc362884701"/>
      <w:bookmarkStart w:id="4037" w:name="_Toc362885068"/>
      <w:bookmarkStart w:id="4038" w:name="_Toc362946009"/>
      <w:bookmarkStart w:id="4039" w:name="_Toc362946724"/>
      <w:bookmarkStart w:id="4040" w:name="_Toc365571191"/>
      <w:bookmarkStart w:id="4041" w:name="_Toc365624690"/>
      <w:bookmarkStart w:id="4042" w:name="_Toc365899701"/>
      <w:bookmarkStart w:id="4043" w:name="_Toc365982510"/>
      <w:bookmarkStart w:id="4044" w:name="_Toc367445995"/>
      <w:bookmarkStart w:id="4045" w:name="_Toc368048205"/>
      <w:bookmarkStart w:id="4046" w:name="_Toc368583776"/>
      <w:bookmarkStart w:id="4047" w:name="_Toc368652871"/>
      <w:bookmarkStart w:id="4048" w:name="_Toc368932310"/>
      <w:bookmarkStart w:id="4049" w:name="_Toc374345815"/>
      <w:bookmarkStart w:id="4050" w:name="_Toc374346161"/>
      <w:bookmarkStart w:id="4051" w:name="_Toc374346506"/>
      <w:bookmarkStart w:id="4052" w:name="_Toc374346852"/>
      <w:bookmarkStart w:id="4053" w:name="_Toc374347311"/>
      <w:bookmarkStart w:id="4054" w:name="_Toc374347541"/>
      <w:bookmarkStart w:id="4055" w:name="_Toc374347770"/>
      <w:bookmarkStart w:id="4056" w:name="_Toc374348513"/>
      <w:bookmarkStart w:id="4057" w:name="_Toc375054876"/>
      <w:bookmarkStart w:id="4058" w:name="_Toc375157959"/>
      <w:bookmarkStart w:id="4059" w:name="_Toc375158301"/>
      <w:bookmarkStart w:id="4060" w:name="_Toc378865457"/>
      <w:bookmarkStart w:id="4061" w:name="_Toc396149187"/>
      <w:bookmarkStart w:id="4062" w:name="_Toc396149755"/>
      <w:bookmarkStart w:id="4063" w:name="_Toc396150196"/>
      <w:bookmarkStart w:id="4064" w:name="_Toc398214885"/>
      <w:bookmarkStart w:id="4065" w:name="_Toc398291575"/>
      <w:bookmarkStart w:id="4066" w:name="_Toc398291918"/>
      <w:bookmarkStart w:id="4067" w:name="_Toc398293027"/>
      <w:bookmarkStart w:id="4068" w:name="_Toc400964157"/>
      <w:bookmarkStart w:id="4069" w:name="_Toc420594819"/>
      <w:bookmarkStart w:id="4070" w:name="_Toc420928432"/>
      <w:bookmarkStart w:id="4071" w:name="_Toc421106753"/>
      <w:bookmarkStart w:id="4072" w:name="_Toc421173037"/>
      <w:bookmarkStart w:id="4073" w:name="_Toc421874344"/>
      <w:bookmarkStart w:id="4074" w:name="_Toc421885633"/>
      <w:bookmarkStart w:id="4075" w:name="_Toc421886012"/>
      <w:bookmarkStart w:id="4076" w:name="_Toc422028884"/>
      <w:bookmarkStart w:id="4077" w:name="_Toc422029796"/>
      <w:bookmarkStart w:id="4078" w:name="_Toc422150759"/>
      <w:bookmarkStart w:id="4079" w:name="_Toc423443313"/>
      <w:bookmarkStart w:id="4080" w:name="_Toc441422429"/>
      <w:bookmarkStart w:id="4081" w:name="_Toc361324332"/>
      <w:bookmarkStart w:id="4082" w:name="_Toc361324763"/>
      <w:bookmarkStart w:id="4083" w:name="_Toc361325184"/>
      <w:bookmarkStart w:id="4084" w:name="_Toc361325604"/>
      <w:bookmarkStart w:id="4085" w:name="_Toc361326009"/>
      <w:bookmarkStart w:id="4086" w:name="_Toc361326410"/>
      <w:bookmarkStart w:id="4087" w:name="_Toc361326796"/>
      <w:bookmarkStart w:id="4088" w:name="_Toc361327177"/>
      <w:bookmarkStart w:id="4089" w:name="_Toc361327556"/>
      <w:bookmarkStart w:id="4090" w:name="_Toc361327928"/>
      <w:bookmarkStart w:id="4091" w:name="_Toc361328300"/>
      <w:bookmarkStart w:id="4092" w:name="_Toc361328672"/>
      <w:bookmarkStart w:id="4093" w:name="_Toc361394470"/>
      <w:bookmarkStart w:id="4094" w:name="_Toc362882432"/>
      <w:bookmarkStart w:id="4095" w:name="_Toc362882816"/>
      <w:bookmarkStart w:id="4096" w:name="_Toc362883194"/>
      <w:bookmarkStart w:id="4097" w:name="_Toc362883572"/>
      <w:bookmarkStart w:id="4098" w:name="_Toc362883950"/>
      <w:bookmarkStart w:id="4099" w:name="_Toc362884327"/>
      <w:bookmarkStart w:id="4100" w:name="_Toc362884702"/>
      <w:bookmarkStart w:id="4101" w:name="_Toc362885069"/>
      <w:bookmarkStart w:id="4102" w:name="_Toc362946010"/>
      <w:bookmarkStart w:id="4103" w:name="_Toc362946725"/>
      <w:bookmarkStart w:id="4104" w:name="_Toc365571192"/>
      <w:bookmarkStart w:id="4105" w:name="_Toc365624691"/>
      <w:bookmarkStart w:id="4106" w:name="_Toc365899702"/>
      <w:bookmarkStart w:id="4107" w:name="_Toc365982511"/>
      <w:bookmarkStart w:id="4108" w:name="_Toc367445996"/>
      <w:bookmarkStart w:id="4109" w:name="_Toc368048206"/>
      <w:bookmarkStart w:id="4110" w:name="_Toc368583777"/>
      <w:bookmarkStart w:id="4111" w:name="_Toc368652872"/>
      <w:bookmarkStart w:id="4112" w:name="_Toc368932311"/>
      <w:bookmarkStart w:id="4113" w:name="_Toc374345816"/>
      <w:bookmarkStart w:id="4114" w:name="_Toc374346162"/>
      <w:bookmarkStart w:id="4115" w:name="_Toc374346507"/>
      <w:bookmarkStart w:id="4116" w:name="_Toc374346853"/>
      <w:bookmarkStart w:id="4117" w:name="_Toc374347312"/>
      <w:bookmarkStart w:id="4118" w:name="_Toc374347542"/>
      <w:bookmarkStart w:id="4119" w:name="_Toc374347771"/>
      <w:bookmarkStart w:id="4120" w:name="_Toc374348514"/>
      <w:bookmarkStart w:id="4121" w:name="_Toc375054877"/>
      <w:bookmarkStart w:id="4122" w:name="_Toc375157960"/>
      <w:bookmarkStart w:id="4123" w:name="_Toc375158302"/>
      <w:bookmarkStart w:id="4124" w:name="_Toc378865458"/>
      <w:bookmarkStart w:id="4125" w:name="_Toc396149188"/>
      <w:bookmarkStart w:id="4126" w:name="_Toc396149756"/>
      <w:bookmarkStart w:id="4127" w:name="_Toc396150197"/>
      <w:bookmarkStart w:id="4128" w:name="_Toc398214886"/>
      <w:bookmarkStart w:id="4129" w:name="_Toc398291576"/>
      <w:bookmarkStart w:id="4130" w:name="_Toc398291919"/>
      <w:bookmarkStart w:id="4131" w:name="_Toc398293028"/>
      <w:bookmarkStart w:id="4132" w:name="_Toc400964158"/>
      <w:bookmarkStart w:id="4133" w:name="_Toc420594820"/>
      <w:bookmarkStart w:id="4134" w:name="_Toc420928433"/>
      <w:bookmarkStart w:id="4135" w:name="_Toc421106754"/>
      <w:bookmarkStart w:id="4136" w:name="_Toc421173038"/>
      <w:bookmarkStart w:id="4137" w:name="_Toc421874345"/>
      <w:bookmarkStart w:id="4138" w:name="_Toc421885634"/>
      <w:bookmarkStart w:id="4139" w:name="_Toc421886013"/>
      <w:bookmarkStart w:id="4140" w:name="_Toc422028885"/>
      <w:bookmarkStart w:id="4141" w:name="_Toc422029797"/>
      <w:bookmarkStart w:id="4142" w:name="_Toc422150760"/>
      <w:bookmarkStart w:id="4143" w:name="_Toc423443314"/>
      <w:bookmarkStart w:id="4144" w:name="_Toc441422430"/>
      <w:bookmarkStart w:id="4145" w:name="_Toc361324333"/>
      <w:bookmarkStart w:id="4146" w:name="_Toc361324764"/>
      <w:bookmarkStart w:id="4147" w:name="_Toc361325185"/>
      <w:bookmarkStart w:id="4148" w:name="_Toc361325605"/>
      <w:bookmarkStart w:id="4149" w:name="_Toc361326010"/>
      <w:bookmarkStart w:id="4150" w:name="_Toc361326411"/>
      <w:bookmarkStart w:id="4151" w:name="_Toc361326797"/>
      <w:bookmarkStart w:id="4152" w:name="_Toc361327178"/>
      <w:bookmarkStart w:id="4153" w:name="_Toc361327557"/>
      <w:bookmarkStart w:id="4154" w:name="_Toc361327929"/>
      <w:bookmarkStart w:id="4155" w:name="_Toc361328301"/>
      <w:bookmarkStart w:id="4156" w:name="_Toc361328673"/>
      <w:bookmarkStart w:id="4157" w:name="_Toc361394471"/>
      <w:bookmarkStart w:id="4158" w:name="_Toc362882433"/>
      <w:bookmarkStart w:id="4159" w:name="_Toc362882817"/>
      <w:bookmarkStart w:id="4160" w:name="_Toc362883195"/>
      <w:bookmarkStart w:id="4161" w:name="_Toc362883573"/>
      <w:bookmarkStart w:id="4162" w:name="_Toc362883951"/>
      <w:bookmarkStart w:id="4163" w:name="_Toc362884328"/>
      <w:bookmarkStart w:id="4164" w:name="_Toc362884703"/>
      <w:bookmarkStart w:id="4165" w:name="_Toc362885070"/>
      <w:bookmarkStart w:id="4166" w:name="_Toc362946011"/>
      <w:bookmarkStart w:id="4167" w:name="_Toc362946726"/>
      <w:bookmarkStart w:id="4168" w:name="_Toc365571193"/>
      <w:bookmarkStart w:id="4169" w:name="_Toc365624692"/>
      <w:bookmarkStart w:id="4170" w:name="_Toc365899703"/>
      <w:bookmarkStart w:id="4171" w:name="_Toc365982512"/>
      <w:bookmarkStart w:id="4172" w:name="_Toc367445997"/>
      <w:bookmarkStart w:id="4173" w:name="_Toc368048207"/>
      <w:bookmarkStart w:id="4174" w:name="_Toc368583778"/>
      <w:bookmarkStart w:id="4175" w:name="_Toc368652873"/>
      <w:bookmarkStart w:id="4176" w:name="_Toc368932312"/>
      <w:bookmarkStart w:id="4177" w:name="_Toc374345817"/>
      <w:bookmarkStart w:id="4178" w:name="_Toc374346163"/>
      <w:bookmarkStart w:id="4179" w:name="_Toc374346508"/>
      <w:bookmarkStart w:id="4180" w:name="_Toc374346854"/>
      <w:bookmarkStart w:id="4181" w:name="_Toc374347313"/>
      <w:bookmarkStart w:id="4182" w:name="_Toc374347543"/>
      <w:bookmarkStart w:id="4183" w:name="_Toc374347772"/>
      <w:bookmarkStart w:id="4184" w:name="_Toc374348515"/>
      <w:bookmarkStart w:id="4185" w:name="_Toc375054878"/>
      <w:bookmarkStart w:id="4186" w:name="_Toc375157961"/>
      <w:bookmarkStart w:id="4187" w:name="_Toc375158303"/>
      <w:bookmarkStart w:id="4188" w:name="_Toc378865459"/>
      <w:bookmarkStart w:id="4189" w:name="_Toc396149189"/>
      <w:bookmarkStart w:id="4190" w:name="_Toc396149757"/>
      <w:bookmarkStart w:id="4191" w:name="_Toc396150198"/>
      <w:bookmarkStart w:id="4192" w:name="_Toc398214887"/>
      <w:bookmarkStart w:id="4193" w:name="_Toc398291577"/>
      <w:bookmarkStart w:id="4194" w:name="_Toc398291920"/>
      <w:bookmarkStart w:id="4195" w:name="_Toc398293029"/>
      <w:bookmarkStart w:id="4196" w:name="_Toc400964159"/>
      <w:bookmarkStart w:id="4197" w:name="_Toc420594821"/>
      <w:bookmarkStart w:id="4198" w:name="_Toc420928434"/>
      <w:bookmarkStart w:id="4199" w:name="_Toc421106755"/>
      <w:bookmarkStart w:id="4200" w:name="_Toc421173039"/>
      <w:bookmarkStart w:id="4201" w:name="_Toc421874346"/>
      <w:bookmarkStart w:id="4202" w:name="_Toc421885635"/>
      <w:bookmarkStart w:id="4203" w:name="_Toc421886014"/>
      <w:bookmarkStart w:id="4204" w:name="_Toc422028886"/>
      <w:bookmarkStart w:id="4205" w:name="_Toc422029798"/>
      <w:bookmarkStart w:id="4206" w:name="_Toc422150761"/>
      <w:bookmarkStart w:id="4207" w:name="_Toc423443315"/>
      <w:bookmarkStart w:id="4208" w:name="_Toc441422431"/>
      <w:bookmarkStart w:id="4209" w:name="_Toc361324334"/>
      <w:bookmarkStart w:id="4210" w:name="_Toc361324765"/>
      <w:bookmarkStart w:id="4211" w:name="_Toc361325186"/>
      <w:bookmarkStart w:id="4212" w:name="_Toc361325606"/>
      <w:bookmarkStart w:id="4213" w:name="_Toc361326011"/>
      <w:bookmarkStart w:id="4214" w:name="_Toc361326412"/>
      <w:bookmarkStart w:id="4215" w:name="_Toc361326798"/>
      <w:bookmarkStart w:id="4216" w:name="_Toc361327179"/>
      <w:bookmarkStart w:id="4217" w:name="_Toc361327558"/>
      <w:bookmarkStart w:id="4218" w:name="_Toc361327930"/>
      <w:bookmarkStart w:id="4219" w:name="_Toc361328302"/>
      <w:bookmarkStart w:id="4220" w:name="_Toc361328674"/>
      <w:bookmarkStart w:id="4221" w:name="_Toc361394472"/>
      <w:bookmarkStart w:id="4222" w:name="_Toc362882434"/>
      <w:bookmarkStart w:id="4223" w:name="_Toc362882818"/>
      <w:bookmarkStart w:id="4224" w:name="_Toc362883196"/>
      <w:bookmarkStart w:id="4225" w:name="_Toc362883574"/>
      <w:bookmarkStart w:id="4226" w:name="_Toc362883952"/>
      <w:bookmarkStart w:id="4227" w:name="_Toc362884329"/>
      <w:bookmarkStart w:id="4228" w:name="_Toc362884704"/>
      <w:bookmarkStart w:id="4229" w:name="_Toc362885071"/>
      <w:bookmarkStart w:id="4230" w:name="_Toc362946012"/>
      <w:bookmarkStart w:id="4231" w:name="_Toc362946727"/>
      <w:bookmarkStart w:id="4232" w:name="_Toc365571194"/>
      <w:bookmarkStart w:id="4233" w:name="_Toc365624693"/>
      <w:bookmarkStart w:id="4234" w:name="_Toc365899704"/>
      <w:bookmarkStart w:id="4235" w:name="_Toc365982513"/>
      <w:bookmarkStart w:id="4236" w:name="_Toc367445998"/>
      <w:bookmarkStart w:id="4237" w:name="_Toc368048208"/>
      <w:bookmarkStart w:id="4238" w:name="_Toc368583779"/>
      <w:bookmarkStart w:id="4239" w:name="_Toc368652874"/>
      <w:bookmarkStart w:id="4240" w:name="_Toc368932313"/>
      <w:bookmarkStart w:id="4241" w:name="_Toc374345818"/>
      <w:bookmarkStart w:id="4242" w:name="_Toc374346164"/>
      <w:bookmarkStart w:id="4243" w:name="_Toc374346509"/>
      <w:bookmarkStart w:id="4244" w:name="_Toc374346855"/>
      <w:bookmarkStart w:id="4245" w:name="_Toc374347314"/>
      <w:bookmarkStart w:id="4246" w:name="_Toc374347544"/>
      <w:bookmarkStart w:id="4247" w:name="_Toc374347773"/>
      <w:bookmarkStart w:id="4248" w:name="_Toc374348516"/>
      <w:bookmarkStart w:id="4249" w:name="_Toc375054879"/>
      <w:bookmarkStart w:id="4250" w:name="_Toc375157962"/>
      <w:bookmarkStart w:id="4251" w:name="_Toc375158304"/>
      <w:bookmarkStart w:id="4252" w:name="_Toc378865460"/>
      <w:bookmarkStart w:id="4253" w:name="_Toc396149190"/>
      <w:bookmarkStart w:id="4254" w:name="_Toc396149758"/>
      <w:bookmarkStart w:id="4255" w:name="_Toc396150199"/>
      <w:bookmarkStart w:id="4256" w:name="_Toc398214888"/>
      <w:bookmarkStart w:id="4257" w:name="_Toc398291578"/>
      <w:bookmarkStart w:id="4258" w:name="_Toc398291921"/>
      <w:bookmarkStart w:id="4259" w:name="_Toc398293030"/>
      <w:bookmarkStart w:id="4260" w:name="_Toc400964160"/>
      <w:bookmarkStart w:id="4261" w:name="_Toc420594822"/>
      <w:bookmarkStart w:id="4262" w:name="_Toc420928435"/>
      <w:bookmarkStart w:id="4263" w:name="_Toc421106756"/>
      <w:bookmarkStart w:id="4264" w:name="_Toc421173040"/>
      <w:bookmarkStart w:id="4265" w:name="_Toc421874347"/>
      <w:bookmarkStart w:id="4266" w:name="_Toc421885636"/>
      <w:bookmarkStart w:id="4267" w:name="_Toc421886015"/>
      <w:bookmarkStart w:id="4268" w:name="_Toc422028887"/>
      <w:bookmarkStart w:id="4269" w:name="_Toc422029799"/>
      <w:bookmarkStart w:id="4270" w:name="_Toc422150762"/>
      <w:bookmarkStart w:id="4271" w:name="_Toc423443316"/>
      <w:bookmarkStart w:id="4272" w:name="_Toc441422432"/>
      <w:bookmarkStart w:id="4273" w:name="_Toc361324335"/>
      <w:bookmarkStart w:id="4274" w:name="_Toc361324766"/>
      <w:bookmarkStart w:id="4275" w:name="_Toc361325187"/>
      <w:bookmarkStart w:id="4276" w:name="_Toc361325607"/>
      <w:bookmarkStart w:id="4277" w:name="_Toc361326012"/>
      <w:bookmarkStart w:id="4278" w:name="_Toc361326413"/>
      <w:bookmarkStart w:id="4279" w:name="_Toc361326799"/>
      <w:bookmarkStart w:id="4280" w:name="_Toc361327180"/>
      <w:bookmarkStart w:id="4281" w:name="_Toc361327559"/>
      <w:bookmarkStart w:id="4282" w:name="_Toc361327931"/>
      <w:bookmarkStart w:id="4283" w:name="_Toc361328303"/>
      <w:bookmarkStart w:id="4284" w:name="_Toc361328675"/>
      <w:bookmarkStart w:id="4285" w:name="_Toc361394473"/>
      <w:bookmarkStart w:id="4286" w:name="_Toc362882435"/>
      <w:bookmarkStart w:id="4287" w:name="_Toc362882819"/>
      <w:bookmarkStart w:id="4288" w:name="_Toc362883197"/>
      <w:bookmarkStart w:id="4289" w:name="_Toc362883575"/>
      <w:bookmarkStart w:id="4290" w:name="_Toc362883953"/>
      <w:bookmarkStart w:id="4291" w:name="_Toc362884330"/>
      <w:bookmarkStart w:id="4292" w:name="_Toc362884705"/>
      <w:bookmarkStart w:id="4293" w:name="_Toc362885072"/>
      <w:bookmarkStart w:id="4294" w:name="_Toc362946013"/>
      <w:bookmarkStart w:id="4295" w:name="_Toc362946728"/>
      <w:bookmarkStart w:id="4296" w:name="_Toc365571195"/>
      <w:bookmarkStart w:id="4297" w:name="_Toc365624694"/>
      <w:bookmarkStart w:id="4298" w:name="_Toc365899705"/>
      <w:bookmarkStart w:id="4299" w:name="_Toc365982514"/>
      <w:bookmarkStart w:id="4300" w:name="_Toc367445999"/>
      <w:bookmarkStart w:id="4301" w:name="_Toc368048209"/>
      <w:bookmarkStart w:id="4302" w:name="_Toc368583780"/>
      <w:bookmarkStart w:id="4303" w:name="_Toc368652875"/>
      <w:bookmarkStart w:id="4304" w:name="_Toc368932314"/>
      <w:bookmarkStart w:id="4305" w:name="_Toc374345819"/>
      <w:bookmarkStart w:id="4306" w:name="_Toc374346165"/>
      <w:bookmarkStart w:id="4307" w:name="_Toc374346510"/>
      <w:bookmarkStart w:id="4308" w:name="_Toc374346856"/>
      <w:bookmarkStart w:id="4309" w:name="_Toc374347315"/>
      <w:bookmarkStart w:id="4310" w:name="_Toc374347545"/>
      <w:bookmarkStart w:id="4311" w:name="_Toc374347774"/>
      <w:bookmarkStart w:id="4312" w:name="_Toc374348517"/>
      <w:bookmarkStart w:id="4313" w:name="_Toc375054880"/>
      <w:bookmarkStart w:id="4314" w:name="_Toc375157963"/>
      <w:bookmarkStart w:id="4315" w:name="_Toc375158305"/>
      <w:bookmarkStart w:id="4316" w:name="_Toc378865461"/>
      <w:bookmarkStart w:id="4317" w:name="_Toc396149191"/>
      <w:bookmarkStart w:id="4318" w:name="_Toc396149759"/>
      <w:bookmarkStart w:id="4319" w:name="_Toc396150200"/>
      <w:bookmarkStart w:id="4320" w:name="_Toc398214889"/>
      <w:bookmarkStart w:id="4321" w:name="_Toc398291579"/>
      <w:bookmarkStart w:id="4322" w:name="_Toc398291922"/>
      <w:bookmarkStart w:id="4323" w:name="_Toc398293031"/>
      <w:bookmarkStart w:id="4324" w:name="_Toc400964161"/>
      <w:bookmarkStart w:id="4325" w:name="_Toc420594823"/>
      <w:bookmarkStart w:id="4326" w:name="_Toc420928436"/>
      <w:bookmarkStart w:id="4327" w:name="_Toc421106757"/>
      <w:bookmarkStart w:id="4328" w:name="_Toc421173041"/>
      <w:bookmarkStart w:id="4329" w:name="_Toc421874348"/>
      <w:bookmarkStart w:id="4330" w:name="_Toc421885637"/>
      <w:bookmarkStart w:id="4331" w:name="_Toc421886016"/>
      <w:bookmarkStart w:id="4332" w:name="_Toc422028888"/>
      <w:bookmarkStart w:id="4333" w:name="_Toc422029800"/>
      <w:bookmarkStart w:id="4334" w:name="_Toc422150763"/>
      <w:bookmarkStart w:id="4335" w:name="_Toc423443317"/>
      <w:bookmarkStart w:id="4336" w:name="_Toc441422433"/>
      <w:bookmarkStart w:id="4337" w:name="_Toc361324336"/>
      <w:bookmarkStart w:id="4338" w:name="_Toc361324767"/>
      <w:bookmarkStart w:id="4339" w:name="_Toc361325188"/>
      <w:bookmarkStart w:id="4340" w:name="_Toc361325608"/>
      <w:bookmarkStart w:id="4341" w:name="_Toc361326013"/>
      <w:bookmarkStart w:id="4342" w:name="_Toc361326414"/>
      <w:bookmarkStart w:id="4343" w:name="_Toc361326800"/>
      <w:bookmarkStart w:id="4344" w:name="_Toc361327181"/>
      <w:bookmarkStart w:id="4345" w:name="_Toc361327560"/>
      <w:bookmarkStart w:id="4346" w:name="_Toc361327932"/>
      <w:bookmarkStart w:id="4347" w:name="_Toc361328304"/>
      <w:bookmarkStart w:id="4348" w:name="_Toc361328676"/>
      <w:bookmarkStart w:id="4349" w:name="_Toc361394474"/>
      <w:bookmarkStart w:id="4350" w:name="_Toc362882436"/>
      <w:bookmarkStart w:id="4351" w:name="_Toc362882820"/>
      <w:bookmarkStart w:id="4352" w:name="_Toc362883198"/>
      <w:bookmarkStart w:id="4353" w:name="_Toc362883576"/>
      <w:bookmarkStart w:id="4354" w:name="_Toc362883954"/>
      <w:bookmarkStart w:id="4355" w:name="_Toc362884331"/>
      <w:bookmarkStart w:id="4356" w:name="_Toc362884706"/>
      <w:bookmarkStart w:id="4357" w:name="_Toc362885073"/>
      <w:bookmarkStart w:id="4358" w:name="_Toc362946014"/>
      <w:bookmarkStart w:id="4359" w:name="_Toc362946729"/>
      <w:bookmarkStart w:id="4360" w:name="_Toc365571196"/>
      <w:bookmarkStart w:id="4361" w:name="_Toc365624695"/>
      <w:bookmarkStart w:id="4362" w:name="_Toc365899706"/>
      <w:bookmarkStart w:id="4363" w:name="_Toc365982515"/>
      <w:bookmarkStart w:id="4364" w:name="_Toc367446000"/>
      <w:bookmarkStart w:id="4365" w:name="_Toc368048210"/>
      <w:bookmarkStart w:id="4366" w:name="_Toc368583781"/>
      <w:bookmarkStart w:id="4367" w:name="_Toc368652876"/>
      <w:bookmarkStart w:id="4368" w:name="_Toc368932315"/>
      <w:bookmarkStart w:id="4369" w:name="_Toc374345820"/>
      <w:bookmarkStart w:id="4370" w:name="_Toc374346166"/>
      <w:bookmarkStart w:id="4371" w:name="_Toc374346511"/>
      <w:bookmarkStart w:id="4372" w:name="_Toc374346857"/>
      <w:bookmarkStart w:id="4373" w:name="_Toc374347316"/>
      <w:bookmarkStart w:id="4374" w:name="_Toc374347546"/>
      <w:bookmarkStart w:id="4375" w:name="_Toc374347775"/>
      <w:bookmarkStart w:id="4376" w:name="_Toc374348518"/>
      <w:bookmarkStart w:id="4377" w:name="_Toc375054881"/>
      <w:bookmarkStart w:id="4378" w:name="_Toc375157964"/>
      <w:bookmarkStart w:id="4379" w:name="_Toc375158306"/>
      <w:bookmarkStart w:id="4380" w:name="_Toc378865462"/>
      <w:bookmarkStart w:id="4381" w:name="_Toc396149192"/>
      <w:bookmarkStart w:id="4382" w:name="_Toc396149760"/>
      <w:bookmarkStart w:id="4383" w:name="_Toc396150201"/>
      <w:bookmarkStart w:id="4384" w:name="_Toc398214890"/>
      <w:bookmarkStart w:id="4385" w:name="_Toc398291580"/>
      <w:bookmarkStart w:id="4386" w:name="_Toc398291923"/>
      <w:bookmarkStart w:id="4387" w:name="_Toc398293032"/>
      <w:bookmarkStart w:id="4388" w:name="_Toc400964162"/>
      <w:bookmarkStart w:id="4389" w:name="_Toc420594824"/>
      <w:bookmarkStart w:id="4390" w:name="_Toc420928437"/>
      <w:bookmarkStart w:id="4391" w:name="_Toc421106758"/>
      <w:bookmarkStart w:id="4392" w:name="_Toc421173042"/>
      <w:bookmarkStart w:id="4393" w:name="_Toc421874349"/>
      <w:bookmarkStart w:id="4394" w:name="_Toc421885638"/>
      <w:bookmarkStart w:id="4395" w:name="_Toc421886017"/>
      <w:bookmarkStart w:id="4396" w:name="_Toc422028889"/>
      <w:bookmarkStart w:id="4397" w:name="_Toc422029801"/>
      <w:bookmarkStart w:id="4398" w:name="_Toc422150764"/>
      <w:bookmarkStart w:id="4399" w:name="_Toc423443318"/>
      <w:bookmarkStart w:id="4400" w:name="_Toc441422434"/>
      <w:bookmarkStart w:id="4401" w:name="_Toc361324337"/>
      <w:bookmarkStart w:id="4402" w:name="_Toc361324768"/>
      <w:bookmarkStart w:id="4403" w:name="_Toc361325189"/>
      <w:bookmarkStart w:id="4404" w:name="_Toc361325609"/>
      <w:bookmarkStart w:id="4405" w:name="_Toc361326014"/>
      <w:bookmarkStart w:id="4406" w:name="_Toc361326415"/>
      <w:bookmarkStart w:id="4407" w:name="_Toc361326801"/>
      <w:bookmarkStart w:id="4408" w:name="_Toc361327182"/>
      <w:bookmarkStart w:id="4409" w:name="_Toc361327561"/>
      <w:bookmarkStart w:id="4410" w:name="_Toc361327933"/>
      <w:bookmarkStart w:id="4411" w:name="_Toc361328305"/>
      <w:bookmarkStart w:id="4412" w:name="_Toc361328677"/>
      <w:bookmarkStart w:id="4413" w:name="_Toc361394475"/>
      <w:bookmarkStart w:id="4414" w:name="_Toc362882437"/>
      <w:bookmarkStart w:id="4415" w:name="_Toc362882821"/>
      <w:bookmarkStart w:id="4416" w:name="_Toc362883199"/>
      <w:bookmarkStart w:id="4417" w:name="_Toc362883577"/>
      <w:bookmarkStart w:id="4418" w:name="_Toc362883955"/>
      <w:bookmarkStart w:id="4419" w:name="_Toc362884332"/>
      <w:bookmarkStart w:id="4420" w:name="_Toc362884707"/>
      <w:bookmarkStart w:id="4421" w:name="_Toc362885074"/>
      <w:bookmarkStart w:id="4422" w:name="_Toc362946015"/>
      <w:bookmarkStart w:id="4423" w:name="_Toc362946730"/>
      <w:bookmarkStart w:id="4424" w:name="_Toc365571197"/>
      <w:bookmarkStart w:id="4425" w:name="_Toc365624696"/>
      <w:bookmarkStart w:id="4426" w:name="_Toc365899707"/>
      <w:bookmarkStart w:id="4427" w:name="_Toc365982516"/>
      <w:bookmarkStart w:id="4428" w:name="_Toc367446001"/>
      <w:bookmarkStart w:id="4429" w:name="_Toc368048211"/>
      <w:bookmarkStart w:id="4430" w:name="_Toc368583782"/>
      <w:bookmarkStart w:id="4431" w:name="_Toc368652877"/>
      <w:bookmarkStart w:id="4432" w:name="_Toc368932316"/>
      <w:bookmarkStart w:id="4433" w:name="_Toc374345821"/>
      <w:bookmarkStart w:id="4434" w:name="_Toc374346167"/>
      <w:bookmarkStart w:id="4435" w:name="_Toc374346512"/>
      <w:bookmarkStart w:id="4436" w:name="_Toc374346858"/>
      <w:bookmarkStart w:id="4437" w:name="_Toc374347317"/>
      <w:bookmarkStart w:id="4438" w:name="_Toc374347547"/>
      <w:bookmarkStart w:id="4439" w:name="_Toc374347776"/>
      <w:bookmarkStart w:id="4440" w:name="_Toc374348519"/>
      <w:bookmarkStart w:id="4441" w:name="_Toc375054882"/>
      <w:bookmarkStart w:id="4442" w:name="_Toc375157965"/>
      <w:bookmarkStart w:id="4443" w:name="_Toc375158307"/>
      <w:bookmarkStart w:id="4444" w:name="_Toc378865463"/>
      <w:bookmarkStart w:id="4445" w:name="_Toc396149193"/>
      <w:bookmarkStart w:id="4446" w:name="_Toc396149761"/>
      <w:bookmarkStart w:id="4447" w:name="_Toc396150202"/>
      <w:bookmarkStart w:id="4448" w:name="_Toc398214891"/>
      <w:bookmarkStart w:id="4449" w:name="_Toc398291581"/>
      <w:bookmarkStart w:id="4450" w:name="_Toc398291924"/>
      <w:bookmarkStart w:id="4451" w:name="_Toc398293033"/>
      <w:bookmarkStart w:id="4452" w:name="_Toc400964163"/>
      <w:bookmarkStart w:id="4453" w:name="_Toc420594825"/>
      <w:bookmarkStart w:id="4454" w:name="_Toc420928438"/>
      <w:bookmarkStart w:id="4455" w:name="_Toc421106759"/>
      <w:bookmarkStart w:id="4456" w:name="_Toc421173043"/>
      <w:bookmarkStart w:id="4457" w:name="_Toc421874350"/>
      <w:bookmarkStart w:id="4458" w:name="_Toc421885639"/>
      <w:bookmarkStart w:id="4459" w:name="_Toc421886018"/>
      <w:bookmarkStart w:id="4460" w:name="_Toc422028890"/>
      <w:bookmarkStart w:id="4461" w:name="_Toc422029802"/>
      <w:bookmarkStart w:id="4462" w:name="_Toc422150765"/>
      <w:bookmarkStart w:id="4463" w:name="_Toc423443319"/>
      <w:bookmarkStart w:id="4464" w:name="_Toc441422435"/>
      <w:bookmarkStart w:id="4465" w:name="_Toc361324338"/>
      <w:bookmarkStart w:id="4466" w:name="_Toc361324769"/>
      <w:bookmarkStart w:id="4467" w:name="_Toc361325190"/>
      <w:bookmarkStart w:id="4468" w:name="_Toc361325610"/>
      <w:bookmarkStart w:id="4469" w:name="_Toc361326015"/>
      <w:bookmarkStart w:id="4470" w:name="_Toc361326416"/>
      <w:bookmarkStart w:id="4471" w:name="_Toc361326802"/>
      <w:bookmarkStart w:id="4472" w:name="_Toc361327183"/>
      <w:bookmarkStart w:id="4473" w:name="_Toc361327562"/>
      <w:bookmarkStart w:id="4474" w:name="_Toc361327934"/>
      <w:bookmarkStart w:id="4475" w:name="_Toc361328306"/>
      <w:bookmarkStart w:id="4476" w:name="_Toc361328678"/>
      <w:bookmarkStart w:id="4477" w:name="_Toc361394476"/>
      <w:bookmarkStart w:id="4478" w:name="_Toc362882438"/>
      <w:bookmarkStart w:id="4479" w:name="_Toc362882822"/>
      <w:bookmarkStart w:id="4480" w:name="_Toc362883200"/>
      <w:bookmarkStart w:id="4481" w:name="_Toc362883578"/>
      <w:bookmarkStart w:id="4482" w:name="_Toc362883956"/>
      <w:bookmarkStart w:id="4483" w:name="_Toc362884333"/>
      <w:bookmarkStart w:id="4484" w:name="_Toc362884708"/>
      <w:bookmarkStart w:id="4485" w:name="_Toc362885075"/>
      <w:bookmarkStart w:id="4486" w:name="_Toc362946016"/>
      <w:bookmarkStart w:id="4487" w:name="_Toc362946731"/>
      <w:bookmarkStart w:id="4488" w:name="_Toc365571198"/>
      <w:bookmarkStart w:id="4489" w:name="_Toc365624697"/>
      <w:bookmarkStart w:id="4490" w:name="_Toc365899708"/>
      <w:bookmarkStart w:id="4491" w:name="_Toc365982517"/>
      <w:bookmarkStart w:id="4492" w:name="_Toc367446002"/>
      <w:bookmarkStart w:id="4493" w:name="_Toc368048212"/>
      <w:bookmarkStart w:id="4494" w:name="_Toc368583783"/>
      <w:bookmarkStart w:id="4495" w:name="_Toc368652878"/>
      <w:bookmarkStart w:id="4496" w:name="_Toc368932317"/>
      <w:bookmarkStart w:id="4497" w:name="_Toc374345822"/>
      <w:bookmarkStart w:id="4498" w:name="_Toc374346168"/>
      <w:bookmarkStart w:id="4499" w:name="_Toc374346513"/>
      <w:bookmarkStart w:id="4500" w:name="_Toc374346859"/>
      <w:bookmarkStart w:id="4501" w:name="_Toc374347318"/>
      <w:bookmarkStart w:id="4502" w:name="_Toc374347548"/>
      <w:bookmarkStart w:id="4503" w:name="_Toc374347777"/>
      <w:bookmarkStart w:id="4504" w:name="_Toc374348520"/>
      <w:bookmarkStart w:id="4505" w:name="_Toc375054883"/>
      <w:bookmarkStart w:id="4506" w:name="_Toc375157966"/>
      <w:bookmarkStart w:id="4507" w:name="_Toc375158308"/>
      <w:bookmarkStart w:id="4508" w:name="_Toc378865464"/>
      <w:bookmarkStart w:id="4509" w:name="_Toc396149194"/>
      <w:bookmarkStart w:id="4510" w:name="_Toc396149762"/>
      <w:bookmarkStart w:id="4511" w:name="_Toc396150203"/>
      <w:bookmarkStart w:id="4512" w:name="_Toc398214892"/>
      <w:bookmarkStart w:id="4513" w:name="_Toc398291582"/>
      <w:bookmarkStart w:id="4514" w:name="_Toc398291925"/>
      <w:bookmarkStart w:id="4515" w:name="_Toc398293034"/>
      <w:bookmarkStart w:id="4516" w:name="_Toc400964164"/>
      <w:bookmarkStart w:id="4517" w:name="_Toc420594826"/>
      <w:bookmarkStart w:id="4518" w:name="_Toc420928439"/>
      <w:bookmarkStart w:id="4519" w:name="_Toc421106760"/>
      <w:bookmarkStart w:id="4520" w:name="_Toc421173044"/>
      <w:bookmarkStart w:id="4521" w:name="_Toc421874351"/>
      <w:bookmarkStart w:id="4522" w:name="_Toc421885640"/>
      <w:bookmarkStart w:id="4523" w:name="_Toc421886019"/>
      <w:bookmarkStart w:id="4524" w:name="_Toc422028891"/>
      <w:bookmarkStart w:id="4525" w:name="_Toc422029803"/>
      <w:bookmarkStart w:id="4526" w:name="_Toc422150766"/>
      <w:bookmarkStart w:id="4527" w:name="_Toc423443320"/>
      <w:bookmarkStart w:id="4528" w:name="_Toc441422436"/>
      <w:bookmarkStart w:id="4529" w:name="_Toc361324339"/>
      <w:bookmarkStart w:id="4530" w:name="_Toc361324770"/>
      <w:bookmarkStart w:id="4531" w:name="_Toc361325191"/>
      <w:bookmarkStart w:id="4532" w:name="_Toc361325611"/>
      <w:bookmarkStart w:id="4533" w:name="_Toc361326016"/>
      <w:bookmarkStart w:id="4534" w:name="_Toc361326417"/>
      <w:bookmarkStart w:id="4535" w:name="_Toc361326803"/>
      <w:bookmarkStart w:id="4536" w:name="_Toc361327184"/>
      <w:bookmarkStart w:id="4537" w:name="_Toc361327563"/>
      <w:bookmarkStart w:id="4538" w:name="_Toc361327935"/>
      <w:bookmarkStart w:id="4539" w:name="_Toc361328307"/>
      <w:bookmarkStart w:id="4540" w:name="_Toc361328679"/>
      <w:bookmarkStart w:id="4541" w:name="_Toc361394477"/>
      <w:bookmarkStart w:id="4542" w:name="_Toc362882439"/>
      <w:bookmarkStart w:id="4543" w:name="_Toc362882823"/>
      <w:bookmarkStart w:id="4544" w:name="_Toc362883201"/>
      <w:bookmarkStart w:id="4545" w:name="_Toc362883579"/>
      <w:bookmarkStart w:id="4546" w:name="_Toc362883957"/>
      <w:bookmarkStart w:id="4547" w:name="_Toc362884334"/>
      <w:bookmarkStart w:id="4548" w:name="_Toc362884709"/>
      <w:bookmarkStart w:id="4549" w:name="_Toc362885076"/>
      <w:bookmarkStart w:id="4550" w:name="_Toc362946017"/>
      <w:bookmarkStart w:id="4551" w:name="_Toc362946732"/>
      <w:bookmarkStart w:id="4552" w:name="_Toc365571199"/>
      <w:bookmarkStart w:id="4553" w:name="_Toc365624698"/>
      <w:bookmarkStart w:id="4554" w:name="_Toc365899709"/>
      <w:bookmarkStart w:id="4555" w:name="_Toc365982518"/>
      <w:bookmarkStart w:id="4556" w:name="_Toc367446003"/>
      <w:bookmarkStart w:id="4557" w:name="_Toc368048213"/>
      <w:bookmarkStart w:id="4558" w:name="_Toc368583784"/>
      <w:bookmarkStart w:id="4559" w:name="_Toc368652879"/>
      <w:bookmarkStart w:id="4560" w:name="_Toc368932318"/>
      <w:bookmarkStart w:id="4561" w:name="_Toc374345823"/>
      <w:bookmarkStart w:id="4562" w:name="_Toc374346169"/>
      <w:bookmarkStart w:id="4563" w:name="_Toc374346514"/>
      <w:bookmarkStart w:id="4564" w:name="_Toc374346860"/>
      <w:bookmarkStart w:id="4565" w:name="_Toc374347319"/>
      <w:bookmarkStart w:id="4566" w:name="_Toc374347549"/>
      <w:bookmarkStart w:id="4567" w:name="_Toc374347778"/>
      <w:bookmarkStart w:id="4568" w:name="_Toc374348521"/>
      <w:bookmarkStart w:id="4569" w:name="_Toc375054884"/>
      <w:bookmarkStart w:id="4570" w:name="_Toc375157967"/>
      <w:bookmarkStart w:id="4571" w:name="_Toc375158309"/>
      <w:bookmarkStart w:id="4572" w:name="_Toc378865465"/>
      <w:bookmarkStart w:id="4573" w:name="_Toc396149195"/>
      <w:bookmarkStart w:id="4574" w:name="_Toc396149763"/>
      <w:bookmarkStart w:id="4575" w:name="_Toc396150204"/>
      <w:bookmarkStart w:id="4576" w:name="_Toc398214893"/>
      <w:bookmarkStart w:id="4577" w:name="_Toc398291583"/>
      <w:bookmarkStart w:id="4578" w:name="_Toc398291926"/>
      <w:bookmarkStart w:id="4579" w:name="_Toc398293035"/>
      <w:bookmarkStart w:id="4580" w:name="_Toc400964165"/>
      <w:bookmarkStart w:id="4581" w:name="_Toc420594827"/>
      <w:bookmarkStart w:id="4582" w:name="_Toc420928440"/>
      <w:bookmarkStart w:id="4583" w:name="_Toc421106761"/>
      <w:bookmarkStart w:id="4584" w:name="_Toc421173045"/>
      <w:bookmarkStart w:id="4585" w:name="_Toc421874352"/>
      <w:bookmarkStart w:id="4586" w:name="_Toc421885641"/>
      <w:bookmarkStart w:id="4587" w:name="_Toc421886020"/>
      <w:bookmarkStart w:id="4588" w:name="_Toc422028892"/>
      <w:bookmarkStart w:id="4589" w:name="_Toc422029804"/>
      <w:bookmarkStart w:id="4590" w:name="_Toc422150767"/>
      <w:bookmarkStart w:id="4591" w:name="_Toc423443321"/>
      <w:bookmarkStart w:id="4592" w:name="_Toc441422437"/>
      <w:bookmarkStart w:id="4593" w:name="_Toc361324340"/>
      <w:bookmarkStart w:id="4594" w:name="_Toc361324771"/>
      <w:bookmarkStart w:id="4595" w:name="_Toc361325192"/>
      <w:bookmarkStart w:id="4596" w:name="_Toc361325612"/>
      <w:bookmarkStart w:id="4597" w:name="_Toc361326017"/>
      <w:bookmarkStart w:id="4598" w:name="_Toc361326418"/>
      <w:bookmarkStart w:id="4599" w:name="_Toc361326804"/>
      <w:bookmarkStart w:id="4600" w:name="_Toc361327185"/>
      <w:bookmarkStart w:id="4601" w:name="_Toc361327564"/>
      <w:bookmarkStart w:id="4602" w:name="_Toc361327936"/>
      <w:bookmarkStart w:id="4603" w:name="_Toc361328308"/>
      <w:bookmarkStart w:id="4604" w:name="_Toc361328680"/>
      <w:bookmarkStart w:id="4605" w:name="_Toc361394478"/>
      <w:bookmarkStart w:id="4606" w:name="_Toc362882440"/>
      <w:bookmarkStart w:id="4607" w:name="_Toc362882824"/>
      <w:bookmarkStart w:id="4608" w:name="_Toc362883202"/>
      <w:bookmarkStart w:id="4609" w:name="_Toc362883580"/>
      <w:bookmarkStart w:id="4610" w:name="_Toc362883958"/>
      <w:bookmarkStart w:id="4611" w:name="_Toc362884335"/>
      <w:bookmarkStart w:id="4612" w:name="_Toc362884710"/>
      <w:bookmarkStart w:id="4613" w:name="_Toc362885077"/>
      <w:bookmarkStart w:id="4614" w:name="_Toc362946018"/>
      <w:bookmarkStart w:id="4615" w:name="_Toc362946733"/>
      <w:bookmarkStart w:id="4616" w:name="_Toc365571200"/>
      <w:bookmarkStart w:id="4617" w:name="_Toc365624699"/>
      <w:bookmarkStart w:id="4618" w:name="_Toc365899710"/>
      <w:bookmarkStart w:id="4619" w:name="_Toc365982519"/>
      <w:bookmarkStart w:id="4620" w:name="_Toc367446004"/>
      <w:bookmarkStart w:id="4621" w:name="_Toc368048214"/>
      <w:bookmarkStart w:id="4622" w:name="_Toc368583785"/>
      <w:bookmarkStart w:id="4623" w:name="_Toc368652880"/>
      <w:bookmarkStart w:id="4624" w:name="_Toc368932319"/>
      <w:bookmarkStart w:id="4625" w:name="_Toc374345824"/>
      <w:bookmarkStart w:id="4626" w:name="_Toc374346170"/>
      <w:bookmarkStart w:id="4627" w:name="_Toc374346515"/>
      <w:bookmarkStart w:id="4628" w:name="_Toc374346861"/>
      <w:bookmarkStart w:id="4629" w:name="_Toc374347320"/>
      <w:bookmarkStart w:id="4630" w:name="_Toc374347550"/>
      <w:bookmarkStart w:id="4631" w:name="_Toc374347779"/>
      <w:bookmarkStart w:id="4632" w:name="_Toc374348522"/>
      <w:bookmarkStart w:id="4633" w:name="_Toc375054885"/>
      <w:bookmarkStart w:id="4634" w:name="_Toc375157968"/>
      <w:bookmarkStart w:id="4635" w:name="_Toc375158310"/>
      <w:bookmarkStart w:id="4636" w:name="_Toc378865466"/>
      <w:bookmarkStart w:id="4637" w:name="_Toc396149196"/>
      <w:bookmarkStart w:id="4638" w:name="_Toc396149764"/>
      <w:bookmarkStart w:id="4639" w:name="_Toc396150205"/>
      <w:bookmarkStart w:id="4640" w:name="_Toc398214894"/>
      <w:bookmarkStart w:id="4641" w:name="_Toc398291584"/>
      <w:bookmarkStart w:id="4642" w:name="_Toc398291927"/>
      <w:bookmarkStart w:id="4643" w:name="_Toc398293036"/>
      <w:bookmarkStart w:id="4644" w:name="_Toc400964166"/>
      <w:bookmarkStart w:id="4645" w:name="_Toc420594828"/>
      <w:bookmarkStart w:id="4646" w:name="_Toc420928441"/>
      <w:bookmarkStart w:id="4647" w:name="_Toc421106762"/>
      <w:bookmarkStart w:id="4648" w:name="_Toc421173046"/>
      <w:bookmarkStart w:id="4649" w:name="_Toc421874353"/>
      <w:bookmarkStart w:id="4650" w:name="_Toc421885642"/>
      <w:bookmarkStart w:id="4651" w:name="_Toc421886021"/>
      <w:bookmarkStart w:id="4652" w:name="_Toc422028893"/>
      <w:bookmarkStart w:id="4653" w:name="_Toc422029805"/>
      <w:bookmarkStart w:id="4654" w:name="_Toc422150768"/>
      <w:bookmarkStart w:id="4655" w:name="_Toc423443322"/>
      <w:bookmarkStart w:id="4656" w:name="_Toc441422438"/>
      <w:bookmarkStart w:id="4657" w:name="_Toc361324341"/>
      <w:bookmarkStart w:id="4658" w:name="_Toc361324772"/>
      <w:bookmarkStart w:id="4659" w:name="_Toc361325193"/>
      <w:bookmarkStart w:id="4660" w:name="_Toc361325613"/>
      <w:bookmarkStart w:id="4661" w:name="_Toc361326018"/>
      <w:bookmarkStart w:id="4662" w:name="_Toc361326419"/>
      <w:bookmarkStart w:id="4663" w:name="_Toc361326805"/>
      <w:bookmarkStart w:id="4664" w:name="_Toc361327186"/>
      <w:bookmarkStart w:id="4665" w:name="_Toc361327565"/>
      <w:bookmarkStart w:id="4666" w:name="_Toc361327937"/>
      <w:bookmarkStart w:id="4667" w:name="_Toc361328309"/>
      <w:bookmarkStart w:id="4668" w:name="_Toc361328681"/>
      <w:bookmarkStart w:id="4669" w:name="_Toc361394479"/>
      <w:bookmarkStart w:id="4670" w:name="_Toc362882441"/>
      <w:bookmarkStart w:id="4671" w:name="_Toc362882825"/>
      <w:bookmarkStart w:id="4672" w:name="_Toc362883203"/>
      <w:bookmarkStart w:id="4673" w:name="_Toc362883581"/>
      <w:bookmarkStart w:id="4674" w:name="_Toc362883959"/>
      <w:bookmarkStart w:id="4675" w:name="_Toc362884336"/>
      <w:bookmarkStart w:id="4676" w:name="_Toc362884711"/>
      <w:bookmarkStart w:id="4677" w:name="_Toc362885078"/>
      <w:bookmarkStart w:id="4678" w:name="_Toc362946019"/>
      <w:bookmarkStart w:id="4679" w:name="_Toc362946734"/>
      <w:bookmarkStart w:id="4680" w:name="_Toc365571201"/>
      <w:bookmarkStart w:id="4681" w:name="_Toc365624700"/>
      <w:bookmarkStart w:id="4682" w:name="_Toc365899711"/>
      <w:bookmarkStart w:id="4683" w:name="_Toc365982520"/>
      <w:bookmarkStart w:id="4684" w:name="_Toc367446005"/>
      <w:bookmarkStart w:id="4685" w:name="_Toc368048215"/>
      <w:bookmarkStart w:id="4686" w:name="_Toc368583786"/>
      <w:bookmarkStart w:id="4687" w:name="_Toc368652881"/>
      <w:bookmarkStart w:id="4688" w:name="_Toc368932320"/>
      <w:bookmarkStart w:id="4689" w:name="_Toc374345825"/>
      <w:bookmarkStart w:id="4690" w:name="_Toc374346171"/>
      <w:bookmarkStart w:id="4691" w:name="_Toc374346516"/>
      <w:bookmarkStart w:id="4692" w:name="_Toc374346862"/>
      <w:bookmarkStart w:id="4693" w:name="_Toc374347321"/>
      <w:bookmarkStart w:id="4694" w:name="_Toc374347551"/>
      <w:bookmarkStart w:id="4695" w:name="_Toc374347780"/>
      <w:bookmarkStart w:id="4696" w:name="_Toc374348523"/>
      <w:bookmarkStart w:id="4697" w:name="_Toc375054886"/>
      <w:bookmarkStart w:id="4698" w:name="_Toc375157969"/>
      <w:bookmarkStart w:id="4699" w:name="_Toc375158311"/>
      <w:bookmarkStart w:id="4700" w:name="_Toc378865467"/>
      <w:bookmarkStart w:id="4701" w:name="_Toc396149197"/>
      <w:bookmarkStart w:id="4702" w:name="_Toc396149765"/>
      <w:bookmarkStart w:id="4703" w:name="_Toc396150206"/>
      <w:bookmarkStart w:id="4704" w:name="_Toc398214895"/>
      <w:bookmarkStart w:id="4705" w:name="_Toc398291585"/>
      <w:bookmarkStart w:id="4706" w:name="_Toc398291928"/>
      <w:bookmarkStart w:id="4707" w:name="_Toc398293037"/>
      <w:bookmarkStart w:id="4708" w:name="_Toc400964167"/>
      <w:bookmarkStart w:id="4709" w:name="_Toc420594829"/>
      <w:bookmarkStart w:id="4710" w:name="_Toc420928442"/>
      <w:bookmarkStart w:id="4711" w:name="_Toc421106763"/>
      <w:bookmarkStart w:id="4712" w:name="_Toc421173047"/>
      <w:bookmarkStart w:id="4713" w:name="_Toc421874354"/>
      <w:bookmarkStart w:id="4714" w:name="_Toc421885643"/>
      <w:bookmarkStart w:id="4715" w:name="_Toc421886022"/>
      <w:bookmarkStart w:id="4716" w:name="_Toc422028894"/>
      <w:bookmarkStart w:id="4717" w:name="_Toc422029806"/>
      <w:bookmarkStart w:id="4718" w:name="_Toc422150769"/>
      <w:bookmarkStart w:id="4719" w:name="_Toc423443323"/>
      <w:bookmarkStart w:id="4720" w:name="_Toc441422439"/>
      <w:bookmarkStart w:id="4721" w:name="_Toc361324342"/>
      <w:bookmarkStart w:id="4722" w:name="_Toc361324773"/>
      <w:bookmarkStart w:id="4723" w:name="_Toc361325194"/>
      <w:bookmarkStart w:id="4724" w:name="_Toc361325614"/>
      <w:bookmarkStart w:id="4725" w:name="_Toc361326019"/>
      <w:bookmarkStart w:id="4726" w:name="_Toc361326420"/>
      <w:bookmarkStart w:id="4727" w:name="_Toc361326806"/>
      <w:bookmarkStart w:id="4728" w:name="_Toc361327187"/>
      <w:bookmarkStart w:id="4729" w:name="_Toc361327566"/>
      <w:bookmarkStart w:id="4730" w:name="_Toc361327938"/>
      <w:bookmarkStart w:id="4731" w:name="_Toc361328310"/>
      <w:bookmarkStart w:id="4732" w:name="_Toc361328682"/>
      <w:bookmarkStart w:id="4733" w:name="_Toc361394480"/>
      <w:bookmarkStart w:id="4734" w:name="_Toc362882442"/>
      <w:bookmarkStart w:id="4735" w:name="_Toc362882826"/>
      <w:bookmarkStart w:id="4736" w:name="_Toc362883204"/>
      <w:bookmarkStart w:id="4737" w:name="_Toc362883582"/>
      <w:bookmarkStart w:id="4738" w:name="_Toc362883960"/>
      <w:bookmarkStart w:id="4739" w:name="_Toc362884337"/>
      <w:bookmarkStart w:id="4740" w:name="_Toc362884712"/>
      <w:bookmarkStart w:id="4741" w:name="_Toc362885079"/>
      <w:bookmarkStart w:id="4742" w:name="_Toc362946020"/>
      <w:bookmarkStart w:id="4743" w:name="_Toc362946735"/>
      <w:bookmarkStart w:id="4744" w:name="_Toc365571202"/>
      <w:bookmarkStart w:id="4745" w:name="_Toc365624701"/>
      <w:bookmarkStart w:id="4746" w:name="_Toc365899712"/>
      <w:bookmarkStart w:id="4747" w:name="_Toc365982521"/>
      <w:bookmarkStart w:id="4748" w:name="_Toc367446006"/>
      <w:bookmarkStart w:id="4749" w:name="_Toc368048216"/>
      <w:bookmarkStart w:id="4750" w:name="_Toc368583787"/>
      <w:bookmarkStart w:id="4751" w:name="_Toc368652882"/>
      <w:bookmarkStart w:id="4752" w:name="_Toc368932321"/>
      <w:bookmarkStart w:id="4753" w:name="_Toc374345826"/>
      <w:bookmarkStart w:id="4754" w:name="_Toc374346172"/>
      <w:bookmarkStart w:id="4755" w:name="_Toc374346517"/>
      <w:bookmarkStart w:id="4756" w:name="_Toc374346863"/>
      <w:bookmarkStart w:id="4757" w:name="_Toc374347322"/>
      <w:bookmarkStart w:id="4758" w:name="_Toc374347552"/>
      <w:bookmarkStart w:id="4759" w:name="_Toc374347781"/>
      <w:bookmarkStart w:id="4760" w:name="_Toc374348524"/>
      <w:bookmarkStart w:id="4761" w:name="_Toc375054887"/>
      <w:bookmarkStart w:id="4762" w:name="_Toc375157970"/>
      <w:bookmarkStart w:id="4763" w:name="_Toc375158312"/>
      <w:bookmarkStart w:id="4764" w:name="_Toc378865468"/>
      <w:bookmarkStart w:id="4765" w:name="_Toc396149198"/>
      <w:bookmarkStart w:id="4766" w:name="_Toc396149766"/>
      <w:bookmarkStart w:id="4767" w:name="_Toc396150207"/>
      <w:bookmarkStart w:id="4768" w:name="_Toc398214896"/>
      <w:bookmarkStart w:id="4769" w:name="_Toc398291586"/>
      <w:bookmarkStart w:id="4770" w:name="_Toc398291929"/>
      <w:bookmarkStart w:id="4771" w:name="_Toc398293038"/>
      <w:bookmarkStart w:id="4772" w:name="_Toc400964168"/>
      <w:bookmarkStart w:id="4773" w:name="_Toc420594830"/>
      <w:bookmarkStart w:id="4774" w:name="_Toc420928443"/>
      <w:bookmarkStart w:id="4775" w:name="_Toc421106764"/>
      <w:bookmarkStart w:id="4776" w:name="_Toc421173048"/>
      <w:bookmarkStart w:id="4777" w:name="_Toc421874355"/>
      <w:bookmarkStart w:id="4778" w:name="_Toc421885644"/>
      <w:bookmarkStart w:id="4779" w:name="_Toc421886023"/>
      <w:bookmarkStart w:id="4780" w:name="_Toc422028895"/>
      <w:bookmarkStart w:id="4781" w:name="_Toc422029807"/>
      <w:bookmarkStart w:id="4782" w:name="_Toc422150770"/>
      <w:bookmarkStart w:id="4783" w:name="_Toc423443324"/>
      <w:bookmarkStart w:id="4784" w:name="_Toc441422440"/>
      <w:bookmarkStart w:id="4785" w:name="_Toc361324343"/>
      <w:bookmarkStart w:id="4786" w:name="_Toc361324774"/>
      <w:bookmarkStart w:id="4787" w:name="_Toc361325195"/>
      <w:bookmarkStart w:id="4788" w:name="_Toc361325615"/>
      <w:bookmarkStart w:id="4789" w:name="_Toc361326020"/>
      <w:bookmarkStart w:id="4790" w:name="_Toc361326421"/>
      <w:bookmarkStart w:id="4791" w:name="_Toc361326807"/>
      <w:bookmarkStart w:id="4792" w:name="_Toc361327188"/>
      <w:bookmarkStart w:id="4793" w:name="_Toc361327567"/>
      <w:bookmarkStart w:id="4794" w:name="_Toc361327939"/>
      <w:bookmarkStart w:id="4795" w:name="_Toc361328311"/>
      <w:bookmarkStart w:id="4796" w:name="_Toc361328683"/>
      <w:bookmarkStart w:id="4797" w:name="_Toc361394481"/>
      <w:bookmarkStart w:id="4798" w:name="_Toc362882443"/>
      <w:bookmarkStart w:id="4799" w:name="_Toc362882827"/>
      <w:bookmarkStart w:id="4800" w:name="_Toc362883205"/>
      <w:bookmarkStart w:id="4801" w:name="_Toc362883583"/>
      <w:bookmarkStart w:id="4802" w:name="_Toc362883961"/>
      <w:bookmarkStart w:id="4803" w:name="_Toc362884338"/>
      <w:bookmarkStart w:id="4804" w:name="_Toc362884713"/>
      <w:bookmarkStart w:id="4805" w:name="_Toc362885080"/>
      <w:bookmarkStart w:id="4806" w:name="_Toc362946021"/>
      <w:bookmarkStart w:id="4807" w:name="_Toc362946736"/>
      <w:bookmarkStart w:id="4808" w:name="_Toc365571203"/>
      <w:bookmarkStart w:id="4809" w:name="_Toc365624702"/>
      <w:bookmarkStart w:id="4810" w:name="_Toc365899713"/>
      <w:bookmarkStart w:id="4811" w:name="_Toc365982522"/>
      <w:bookmarkStart w:id="4812" w:name="_Toc367446007"/>
      <w:bookmarkStart w:id="4813" w:name="_Toc368048217"/>
      <w:bookmarkStart w:id="4814" w:name="_Toc368583788"/>
      <w:bookmarkStart w:id="4815" w:name="_Toc368652883"/>
      <w:bookmarkStart w:id="4816" w:name="_Toc368932322"/>
      <w:bookmarkStart w:id="4817" w:name="_Toc374345827"/>
      <w:bookmarkStart w:id="4818" w:name="_Toc374346173"/>
      <w:bookmarkStart w:id="4819" w:name="_Toc374346518"/>
      <w:bookmarkStart w:id="4820" w:name="_Toc374346864"/>
      <w:bookmarkStart w:id="4821" w:name="_Toc374347323"/>
      <w:bookmarkStart w:id="4822" w:name="_Toc374347553"/>
      <w:bookmarkStart w:id="4823" w:name="_Toc374347782"/>
      <w:bookmarkStart w:id="4824" w:name="_Toc374348525"/>
      <w:bookmarkStart w:id="4825" w:name="_Toc375054888"/>
      <w:bookmarkStart w:id="4826" w:name="_Toc375157971"/>
      <w:bookmarkStart w:id="4827" w:name="_Toc375158313"/>
      <w:bookmarkStart w:id="4828" w:name="_Toc378865469"/>
      <w:bookmarkStart w:id="4829" w:name="_Toc396149199"/>
      <w:bookmarkStart w:id="4830" w:name="_Toc396149767"/>
      <w:bookmarkStart w:id="4831" w:name="_Toc396150208"/>
      <w:bookmarkStart w:id="4832" w:name="_Toc398214897"/>
      <w:bookmarkStart w:id="4833" w:name="_Toc398291587"/>
      <w:bookmarkStart w:id="4834" w:name="_Toc398291930"/>
      <w:bookmarkStart w:id="4835" w:name="_Toc398293039"/>
      <w:bookmarkStart w:id="4836" w:name="_Toc400964169"/>
      <w:bookmarkStart w:id="4837" w:name="_Toc420594831"/>
      <w:bookmarkStart w:id="4838" w:name="_Toc420928444"/>
      <w:bookmarkStart w:id="4839" w:name="_Toc421106765"/>
      <w:bookmarkStart w:id="4840" w:name="_Toc421173049"/>
      <w:bookmarkStart w:id="4841" w:name="_Toc421874356"/>
      <w:bookmarkStart w:id="4842" w:name="_Toc421885645"/>
      <w:bookmarkStart w:id="4843" w:name="_Toc421886024"/>
      <w:bookmarkStart w:id="4844" w:name="_Toc422028896"/>
      <w:bookmarkStart w:id="4845" w:name="_Toc422029808"/>
      <w:bookmarkStart w:id="4846" w:name="_Toc422150771"/>
      <w:bookmarkStart w:id="4847" w:name="_Toc423443325"/>
      <w:bookmarkStart w:id="4848" w:name="_Toc441422441"/>
      <w:bookmarkStart w:id="4849" w:name="_Toc361324344"/>
      <w:bookmarkStart w:id="4850" w:name="_Toc361324775"/>
      <w:bookmarkStart w:id="4851" w:name="_Toc361325196"/>
      <w:bookmarkStart w:id="4852" w:name="_Toc361325616"/>
      <w:bookmarkStart w:id="4853" w:name="_Toc361326021"/>
      <w:bookmarkStart w:id="4854" w:name="_Toc361326422"/>
      <w:bookmarkStart w:id="4855" w:name="_Toc361326808"/>
      <w:bookmarkStart w:id="4856" w:name="_Toc361327189"/>
      <w:bookmarkStart w:id="4857" w:name="_Toc361327568"/>
      <w:bookmarkStart w:id="4858" w:name="_Toc361327940"/>
      <w:bookmarkStart w:id="4859" w:name="_Toc361328312"/>
      <w:bookmarkStart w:id="4860" w:name="_Toc361328684"/>
      <w:bookmarkStart w:id="4861" w:name="_Toc361394482"/>
      <w:bookmarkStart w:id="4862" w:name="_Toc362882444"/>
      <w:bookmarkStart w:id="4863" w:name="_Toc362882828"/>
      <w:bookmarkStart w:id="4864" w:name="_Toc362883206"/>
      <w:bookmarkStart w:id="4865" w:name="_Toc362883584"/>
      <w:bookmarkStart w:id="4866" w:name="_Toc362883962"/>
      <w:bookmarkStart w:id="4867" w:name="_Toc362884339"/>
      <w:bookmarkStart w:id="4868" w:name="_Toc362884714"/>
      <w:bookmarkStart w:id="4869" w:name="_Toc362885081"/>
      <w:bookmarkStart w:id="4870" w:name="_Toc362946022"/>
      <w:bookmarkStart w:id="4871" w:name="_Toc362946737"/>
      <w:bookmarkStart w:id="4872" w:name="_Toc365571204"/>
      <w:bookmarkStart w:id="4873" w:name="_Toc365624703"/>
      <w:bookmarkStart w:id="4874" w:name="_Toc365899714"/>
      <w:bookmarkStart w:id="4875" w:name="_Toc365982523"/>
      <w:bookmarkStart w:id="4876" w:name="_Toc367446008"/>
      <w:bookmarkStart w:id="4877" w:name="_Toc368048218"/>
      <w:bookmarkStart w:id="4878" w:name="_Toc368583789"/>
      <w:bookmarkStart w:id="4879" w:name="_Toc368652884"/>
      <w:bookmarkStart w:id="4880" w:name="_Toc368932323"/>
      <w:bookmarkStart w:id="4881" w:name="_Toc374345828"/>
      <w:bookmarkStart w:id="4882" w:name="_Toc374346174"/>
      <w:bookmarkStart w:id="4883" w:name="_Toc374346519"/>
      <w:bookmarkStart w:id="4884" w:name="_Toc374346865"/>
      <w:bookmarkStart w:id="4885" w:name="_Toc374347324"/>
      <w:bookmarkStart w:id="4886" w:name="_Toc374347554"/>
      <w:bookmarkStart w:id="4887" w:name="_Toc374347783"/>
      <w:bookmarkStart w:id="4888" w:name="_Toc374348526"/>
      <w:bookmarkStart w:id="4889" w:name="_Toc375054889"/>
      <w:bookmarkStart w:id="4890" w:name="_Toc375157972"/>
      <w:bookmarkStart w:id="4891" w:name="_Toc375158314"/>
      <w:bookmarkStart w:id="4892" w:name="_Toc378865470"/>
      <w:bookmarkStart w:id="4893" w:name="_Toc396149200"/>
      <w:bookmarkStart w:id="4894" w:name="_Toc396149768"/>
      <w:bookmarkStart w:id="4895" w:name="_Toc396150209"/>
      <w:bookmarkStart w:id="4896" w:name="_Toc398214898"/>
      <w:bookmarkStart w:id="4897" w:name="_Toc398291588"/>
      <w:bookmarkStart w:id="4898" w:name="_Toc398291931"/>
      <w:bookmarkStart w:id="4899" w:name="_Toc398293040"/>
      <w:bookmarkStart w:id="4900" w:name="_Toc400964170"/>
      <w:bookmarkStart w:id="4901" w:name="_Toc420594832"/>
      <w:bookmarkStart w:id="4902" w:name="_Toc420928445"/>
      <w:bookmarkStart w:id="4903" w:name="_Toc421106766"/>
      <w:bookmarkStart w:id="4904" w:name="_Toc421173050"/>
      <w:bookmarkStart w:id="4905" w:name="_Toc421874357"/>
      <w:bookmarkStart w:id="4906" w:name="_Toc421885646"/>
      <w:bookmarkStart w:id="4907" w:name="_Toc421886025"/>
      <w:bookmarkStart w:id="4908" w:name="_Toc422028897"/>
      <w:bookmarkStart w:id="4909" w:name="_Toc422029809"/>
      <w:bookmarkStart w:id="4910" w:name="_Toc422150772"/>
      <w:bookmarkStart w:id="4911" w:name="_Toc423443326"/>
      <w:bookmarkStart w:id="4912" w:name="_Toc441422442"/>
      <w:bookmarkStart w:id="4913" w:name="_Toc361324345"/>
      <w:bookmarkStart w:id="4914" w:name="_Toc361324776"/>
      <w:bookmarkStart w:id="4915" w:name="_Toc361325197"/>
      <w:bookmarkStart w:id="4916" w:name="_Toc361325617"/>
      <w:bookmarkStart w:id="4917" w:name="_Toc361326022"/>
      <w:bookmarkStart w:id="4918" w:name="_Toc361326423"/>
      <w:bookmarkStart w:id="4919" w:name="_Toc361326809"/>
      <w:bookmarkStart w:id="4920" w:name="_Toc361327190"/>
      <w:bookmarkStart w:id="4921" w:name="_Toc361327569"/>
      <w:bookmarkStart w:id="4922" w:name="_Toc361327941"/>
      <w:bookmarkStart w:id="4923" w:name="_Toc361328313"/>
      <w:bookmarkStart w:id="4924" w:name="_Toc361328685"/>
      <w:bookmarkStart w:id="4925" w:name="_Toc361394483"/>
      <w:bookmarkStart w:id="4926" w:name="_Toc362882445"/>
      <w:bookmarkStart w:id="4927" w:name="_Toc362882829"/>
      <w:bookmarkStart w:id="4928" w:name="_Toc362883207"/>
      <w:bookmarkStart w:id="4929" w:name="_Toc362883585"/>
      <w:bookmarkStart w:id="4930" w:name="_Toc362883963"/>
      <w:bookmarkStart w:id="4931" w:name="_Toc362884340"/>
      <w:bookmarkStart w:id="4932" w:name="_Toc362884715"/>
      <w:bookmarkStart w:id="4933" w:name="_Toc362885082"/>
      <w:bookmarkStart w:id="4934" w:name="_Toc362946023"/>
      <w:bookmarkStart w:id="4935" w:name="_Toc362946738"/>
      <w:bookmarkStart w:id="4936" w:name="_Toc365571205"/>
      <w:bookmarkStart w:id="4937" w:name="_Toc365624704"/>
      <w:bookmarkStart w:id="4938" w:name="_Toc365899715"/>
      <w:bookmarkStart w:id="4939" w:name="_Toc365982524"/>
      <w:bookmarkStart w:id="4940" w:name="_Toc367446009"/>
      <w:bookmarkStart w:id="4941" w:name="_Toc368048219"/>
      <w:bookmarkStart w:id="4942" w:name="_Toc368583790"/>
      <w:bookmarkStart w:id="4943" w:name="_Toc368652885"/>
      <w:bookmarkStart w:id="4944" w:name="_Toc368932324"/>
      <w:bookmarkStart w:id="4945" w:name="_Toc374345829"/>
      <w:bookmarkStart w:id="4946" w:name="_Toc374346175"/>
      <w:bookmarkStart w:id="4947" w:name="_Toc374346520"/>
      <w:bookmarkStart w:id="4948" w:name="_Toc374346866"/>
      <w:bookmarkStart w:id="4949" w:name="_Toc374347325"/>
      <w:bookmarkStart w:id="4950" w:name="_Toc374347555"/>
      <w:bookmarkStart w:id="4951" w:name="_Toc374347784"/>
      <w:bookmarkStart w:id="4952" w:name="_Toc374348527"/>
      <w:bookmarkStart w:id="4953" w:name="_Toc375054890"/>
      <w:bookmarkStart w:id="4954" w:name="_Toc375157973"/>
      <w:bookmarkStart w:id="4955" w:name="_Toc375158315"/>
      <w:bookmarkStart w:id="4956" w:name="_Toc378865471"/>
      <w:bookmarkStart w:id="4957" w:name="_Toc396149201"/>
      <w:bookmarkStart w:id="4958" w:name="_Toc396149769"/>
      <w:bookmarkStart w:id="4959" w:name="_Toc396150210"/>
      <w:bookmarkStart w:id="4960" w:name="_Toc398214899"/>
      <w:bookmarkStart w:id="4961" w:name="_Toc398291589"/>
      <w:bookmarkStart w:id="4962" w:name="_Toc398291932"/>
      <w:bookmarkStart w:id="4963" w:name="_Toc398293041"/>
      <w:bookmarkStart w:id="4964" w:name="_Toc400964171"/>
      <w:bookmarkStart w:id="4965" w:name="_Toc420594833"/>
      <w:bookmarkStart w:id="4966" w:name="_Toc420928446"/>
      <w:bookmarkStart w:id="4967" w:name="_Toc421106767"/>
      <w:bookmarkStart w:id="4968" w:name="_Toc421173051"/>
      <w:bookmarkStart w:id="4969" w:name="_Toc421874358"/>
      <w:bookmarkStart w:id="4970" w:name="_Toc421885647"/>
      <w:bookmarkStart w:id="4971" w:name="_Toc421886026"/>
      <w:bookmarkStart w:id="4972" w:name="_Toc422028898"/>
      <w:bookmarkStart w:id="4973" w:name="_Toc422029810"/>
      <w:bookmarkStart w:id="4974" w:name="_Toc422150773"/>
      <w:bookmarkStart w:id="4975" w:name="_Toc423443327"/>
      <w:bookmarkStart w:id="4976" w:name="_Toc441422443"/>
      <w:bookmarkStart w:id="4977" w:name="_Toc361324346"/>
      <w:bookmarkStart w:id="4978" w:name="_Toc361324777"/>
      <w:bookmarkStart w:id="4979" w:name="_Toc361325198"/>
      <w:bookmarkStart w:id="4980" w:name="_Toc361325618"/>
      <w:bookmarkStart w:id="4981" w:name="_Toc361326023"/>
      <w:bookmarkStart w:id="4982" w:name="_Toc361326424"/>
      <w:bookmarkStart w:id="4983" w:name="_Toc361326810"/>
      <w:bookmarkStart w:id="4984" w:name="_Toc361327191"/>
      <w:bookmarkStart w:id="4985" w:name="_Toc361327570"/>
      <w:bookmarkStart w:id="4986" w:name="_Toc361327942"/>
      <w:bookmarkStart w:id="4987" w:name="_Toc361328314"/>
      <w:bookmarkStart w:id="4988" w:name="_Toc361328686"/>
      <w:bookmarkStart w:id="4989" w:name="_Toc361394484"/>
      <w:bookmarkStart w:id="4990" w:name="_Toc362882446"/>
      <w:bookmarkStart w:id="4991" w:name="_Toc362882830"/>
      <w:bookmarkStart w:id="4992" w:name="_Toc362883208"/>
      <w:bookmarkStart w:id="4993" w:name="_Toc362883586"/>
      <w:bookmarkStart w:id="4994" w:name="_Toc362883964"/>
      <w:bookmarkStart w:id="4995" w:name="_Toc362884341"/>
      <w:bookmarkStart w:id="4996" w:name="_Toc362884716"/>
      <w:bookmarkStart w:id="4997" w:name="_Toc362885083"/>
      <w:bookmarkStart w:id="4998" w:name="_Toc362946024"/>
      <w:bookmarkStart w:id="4999" w:name="_Toc362946739"/>
      <w:bookmarkStart w:id="5000" w:name="_Toc365571206"/>
      <w:bookmarkStart w:id="5001" w:name="_Toc365624705"/>
      <w:bookmarkStart w:id="5002" w:name="_Toc365899716"/>
      <w:bookmarkStart w:id="5003" w:name="_Toc365982525"/>
      <w:bookmarkStart w:id="5004" w:name="_Toc367446010"/>
      <w:bookmarkStart w:id="5005" w:name="_Toc368048220"/>
      <w:bookmarkStart w:id="5006" w:name="_Toc368583791"/>
      <w:bookmarkStart w:id="5007" w:name="_Toc368652886"/>
      <w:bookmarkStart w:id="5008" w:name="_Toc368932325"/>
      <w:bookmarkStart w:id="5009" w:name="_Toc374345830"/>
      <w:bookmarkStart w:id="5010" w:name="_Toc374346176"/>
      <w:bookmarkStart w:id="5011" w:name="_Toc374346521"/>
      <w:bookmarkStart w:id="5012" w:name="_Toc374346867"/>
      <w:bookmarkStart w:id="5013" w:name="_Toc374347326"/>
      <w:bookmarkStart w:id="5014" w:name="_Toc374347556"/>
      <w:bookmarkStart w:id="5015" w:name="_Toc374347785"/>
      <w:bookmarkStart w:id="5016" w:name="_Toc374348528"/>
      <w:bookmarkStart w:id="5017" w:name="_Toc375054891"/>
      <w:bookmarkStart w:id="5018" w:name="_Toc375157974"/>
      <w:bookmarkStart w:id="5019" w:name="_Toc375158316"/>
      <w:bookmarkStart w:id="5020" w:name="_Toc378865472"/>
      <w:bookmarkStart w:id="5021" w:name="_Toc396149202"/>
      <w:bookmarkStart w:id="5022" w:name="_Toc396149770"/>
      <w:bookmarkStart w:id="5023" w:name="_Toc396150211"/>
      <w:bookmarkStart w:id="5024" w:name="_Toc398214900"/>
      <w:bookmarkStart w:id="5025" w:name="_Toc398291590"/>
      <w:bookmarkStart w:id="5026" w:name="_Toc398291933"/>
      <w:bookmarkStart w:id="5027" w:name="_Toc398293042"/>
      <w:bookmarkStart w:id="5028" w:name="_Toc400964172"/>
      <w:bookmarkStart w:id="5029" w:name="_Toc420594834"/>
      <w:bookmarkStart w:id="5030" w:name="_Toc420928447"/>
      <w:bookmarkStart w:id="5031" w:name="_Toc421106768"/>
      <w:bookmarkStart w:id="5032" w:name="_Toc421173052"/>
      <w:bookmarkStart w:id="5033" w:name="_Toc421874359"/>
      <w:bookmarkStart w:id="5034" w:name="_Toc421885648"/>
      <w:bookmarkStart w:id="5035" w:name="_Toc421886027"/>
      <w:bookmarkStart w:id="5036" w:name="_Toc422028899"/>
      <w:bookmarkStart w:id="5037" w:name="_Toc422029811"/>
      <w:bookmarkStart w:id="5038" w:name="_Toc422150774"/>
      <w:bookmarkStart w:id="5039" w:name="_Toc423443328"/>
      <w:bookmarkStart w:id="5040" w:name="_Toc441422444"/>
      <w:bookmarkStart w:id="5041" w:name="_Toc361324347"/>
      <w:bookmarkStart w:id="5042" w:name="_Toc361324778"/>
      <w:bookmarkStart w:id="5043" w:name="_Toc361325199"/>
      <w:bookmarkStart w:id="5044" w:name="_Toc361325619"/>
      <w:bookmarkStart w:id="5045" w:name="_Toc361326024"/>
      <w:bookmarkStart w:id="5046" w:name="_Toc361326425"/>
      <w:bookmarkStart w:id="5047" w:name="_Toc361326811"/>
      <w:bookmarkStart w:id="5048" w:name="_Toc361327192"/>
      <w:bookmarkStart w:id="5049" w:name="_Toc361327571"/>
      <w:bookmarkStart w:id="5050" w:name="_Toc361327943"/>
      <w:bookmarkStart w:id="5051" w:name="_Toc361328315"/>
      <w:bookmarkStart w:id="5052" w:name="_Toc361328687"/>
      <w:bookmarkStart w:id="5053" w:name="_Toc361394485"/>
      <w:bookmarkStart w:id="5054" w:name="_Toc362882447"/>
      <w:bookmarkStart w:id="5055" w:name="_Toc362882831"/>
      <w:bookmarkStart w:id="5056" w:name="_Toc362883209"/>
      <w:bookmarkStart w:id="5057" w:name="_Toc362883587"/>
      <w:bookmarkStart w:id="5058" w:name="_Toc362883965"/>
      <w:bookmarkStart w:id="5059" w:name="_Toc362884342"/>
      <w:bookmarkStart w:id="5060" w:name="_Toc362884717"/>
      <w:bookmarkStart w:id="5061" w:name="_Toc362885084"/>
      <w:bookmarkStart w:id="5062" w:name="_Toc362946025"/>
      <w:bookmarkStart w:id="5063" w:name="_Toc362946740"/>
      <w:bookmarkStart w:id="5064" w:name="_Toc365571207"/>
      <w:bookmarkStart w:id="5065" w:name="_Toc365624706"/>
      <w:bookmarkStart w:id="5066" w:name="_Toc365899717"/>
      <w:bookmarkStart w:id="5067" w:name="_Toc365982526"/>
      <w:bookmarkStart w:id="5068" w:name="_Toc367446011"/>
      <w:bookmarkStart w:id="5069" w:name="_Toc368048221"/>
      <w:bookmarkStart w:id="5070" w:name="_Toc368583792"/>
      <w:bookmarkStart w:id="5071" w:name="_Toc368652887"/>
      <w:bookmarkStart w:id="5072" w:name="_Toc368932326"/>
      <w:bookmarkStart w:id="5073" w:name="_Toc374345831"/>
      <w:bookmarkStart w:id="5074" w:name="_Toc374346177"/>
      <w:bookmarkStart w:id="5075" w:name="_Toc374346522"/>
      <w:bookmarkStart w:id="5076" w:name="_Toc374346868"/>
      <w:bookmarkStart w:id="5077" w:name="_Toc374347327"/>
      <w:bookmarkStart w:id="5078" w:name="_Toc374347557"/>
      <w:bookmarkStart w:id="5079" w:name="_Toc374347786"/>
      <w:bookmarkStart w:id="5080" w:name="_Toc374348529"/>
      <w:bookmarkStart w:id="5081" w:name="_Toc375054892"/>
      <w:bookmarkStart w:id="5082" w:name="_Toc375157975"/>
      <w:bookmarkStart w:id="5083" w:name="_Toc375158317"/>
      <w:bookmarkStart w:id="5084" w:name="_Toc378865473"/>
      <w:bookmarkStart w:id="5085" w:name="_Toc396149203"/>
      <w:bookmarkStart w:id="5086" w:name="_Toc396149771"/>
      <w:bookmarkStart w:id="5087" w:name="_Toc396150212"/>
      <w:bookmarkStart w:id="5088" w:name="_Toc398214901"/>
      <w:bookmarkStart w:id="5089" w:name="_Toc398291591"/>
      <w:bookmarkStart w:id="5090" w:name="_Toc398291934"/>
      <w:bookmarkStart w:id="5091" w:name="_Toc398293043"/>
      <w:bookmarkStart w:id="5092" w:name="_Toc400964173"/>
      <w:bookmarkStart w:id="5093" w:name="_Toc420594835"/>
      <w:bookmarkStart w:id="5094" w:name="_Toc420928448"/>
      <w:bookmarkStart w:id="5095" w:name="_Toc421106769"/>
      <w:bookmarkStart w:id="5096" w:name="_Toc421173053"/>
      <w:bookmarkStart w:id="5097" w:name="_Toc421874360"/>
      <w:bookmarkStart w:id="5098" w:name="_Toc421885649"/>
      <w:bookmarkStart w:id="5099" w:name="_Toc421886028"/>
      <w:bookmarkStart w:id="5100" w:name="_Toc422028900"/>
      <w:bookmarkStart w:id="5101" w:name="_Toc422029812"/>
      <w:bookmarkStart w:id="5102" w:name="_Toc422150775"/>
      <w:bookmarkStart w:id="5103" w:name="_Toc423443329"/>
      <w:bookmarkStart w:id="5104" w:name="_Toc441422445"/>
      <w:bookmarkStart w:id="5105" w:name="_Toc361324348"/>
      <w:bookmarkStart w:id="5106" w:name="_Toc361324779"/>
      <w:bookmarkStart w:id="5107" w:name="_Toc361325200"/>
      <w:bookmarkStart w:id="5108" w:name="_Toc361325620"/>
      <w:bookmarkStart w:id="5109" w:name="_Toc361326025"/>
      <w:bookmarkStart w:id="5110" w:name="_Toc361326426"/>
      <w:bookmarkStart w:id="5111" w:name="_Toc361326812"/>
      <w:bookmarkStart w:id="5112" w:name="_Toc361327193"/>
      <w:bookmarkStart w:id="5113" w:name="_Toc361327572"/>
      <w:bookmarkStart w:id="5114" w:name="_Toc361327944"/>
      <w:bookmarkStart w:id="5115" w:name="_Toc361328316"/>
      <w:bookmarkStart w:id="5116" w:name="_Toc361328688"/>
      <w:bookmarkStart w:id="5117" w:name="_Toc361394486"/>
      <w:bookmarkStart w:id="5118" w:name="_Toc362882448"/>
      <w:bookmarkStart w:id="5119" w:name="_Toc362882832"/>
      <w:bookmarkStart w:id="5120" w:name="_Toc362883210"/>
      <w:bookmarkStart w:id="5121" w:name="_Toc362883588"/>
      <w:bookmarkStart w:id="5122" w:name="_Toc362883966"/>
      <w:bookmarkStart w:id="5123" w:name="_Toc362884343"/>
      <w:bookmarkStart w:id="5124" w:name="_Toc362884718"/>
      <w:bookmarkStart w:id="5125" w:name="_Toc362885085"/>
      <w:bookmarkStart w:id="5126" w:name="_Toc362946026"/>
      <w:bookmarkStart w:id="5127" w:name="_Toc362946741"/>
      <w:bookmarkStart w:id="5128" w:name="_Toc365571208"/>
      <w:bookmarkStart w:id="5129" w:name="_Toc365624707"/>
      <w:bookmarkStart w:id="5130" w:name="_Toc365899718"/>
      <w:bookmarkStart w:id="5131" w:name="_Toc365982527"/>
      <w:bookmarkStart w:id="5132" w:name="_Toc367446012"/>
      <w:bookmarkStart w:id="5133" w:name="_Toc368048222"/>
      <w:bookmarkStart w:id="5134" w:name="_Toc368583793"/>
      <w:bookmarkStart w:id="5135" w:name="_Toc368652888"/>
      <w:bookmarkStart w:id="5136" w:name="_Toc368932327"/>
      <w:bookmarkStart w:id="5137" w:name="_Toc374345832"/>
      <w:bookmarkStart w:id="5138" w:name="_Toc374346178"/>
      <w:bookmarkStart w:id="5139" w:name="_Toc374346523"/>
      <w:bookmarkStart w:id="5140" w:name="_Toc374346869"/>
      <w:bookmarkStart w:id="5141" w:name="_Toc374347328"/>
      <w:bookmarkStart w:id="5142" w:name="_Toc374347558"/>
      <w:bookmarkStart w:id="5143" w:name="_Toc374347787"/>
      <w:bookmarkStart w:id="5144" w:name="_Toc374348530"/>
      <w:bookmarkStart w:id="5145" w:name="_Toc375054893"/>
      <w:bookmarkStart w:id="5146" w:name="_Toc375157976"/>
      <w:bookmarkStart w:id="5147" w:name="_Toc375158318"/>
      <w:bookmarkStart w:id="5148" w:name="_Toc378865474"/>
      <w:bookmarkStart w:id="5149" w:name="_Toc396149204"/>
      <w:bookmarkStart w:id="5150" w:name="_Toc396149772"/>
      <w:bookmarkStart w:id="5151" w:name="_Toc396150213"/>
      <w:bookmarkStart w:id="5152" w:name="_Toc398214902"/>
      <w:bookmarkStart w:id="5153" w:name="_Toc398291592"/>
      <w:bookmarkStart w:id="5154" w:name="_Toc398291935"/>
      <w:bookmarkStart w:id="5155" w:name="_Toc398293044"/>
      <w:bookmarkStart w:id="5156" w:name="_Toc400964174"/>
      <w:bookmarkStart w:id="5157" w:name="_Toc420594836"/>
      <w:bookmarkStart w:id="5158" w:name="_Toc420928449"/>
      <w:bookmarkStart w:id="5159" w:name="_Toc421106770"/>
      <w:bookmarkStart w:id="5160" w:name="_Toc421173054"/>
      <w:bookmarkStart w:id="5161" w:name="_Toc421874361"/>
      <w:bookmarkStart w:id="5162" w:name="_Toc421885650"/>
      <w:bookmarkStart w:id="5163" w:name="_Toc421886029"/>
      <w:bookmarkStart w:id="5164" w:name="_Toc422028901"/>
      <w:bookmarkStart w:id="5165" w:name="_Toc422029813"/>
      <w:bookmarkStart w:id="5166" w:name="_Toc422150776"/>
      <w:bookmarkStart w:id="5167" w:name="_Toc423443330"/>
      <w:bookmarkStart w:id="5168" w:name="_Toc441422446"/>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r>
        <w:rPr>
          <w:rFonts w:cs="Arial"/>
          <w:b/>
          <w:lang w:eastAsia="de-DE" w:bidi="ar-SA"/>
        </w:rPr>
        <w:t>: Handle Profile Enabled Notification Additional Input Data</w:t>
      </w:r>
    </w:p>
    <w:p w14:paraId="2AB9931F" w14:textId="77777777" w:rsidR="00B97365" w:rsidRDefault="00B97365">
      <w:pPr>
        <w:rPr>
          <w:rFonts w:cs="Arial"/>
          <w:sz w:val="20"/>
        </w:rPr>
      </w:pPr>
    </w:p>
    <w:p w14:paraId="2C4DE6A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169" w:name="_Toc448998281"/>
      <w:bookmarkStart w:id="5170" w:name="_Toc422150777"/>
      <w:bookmarkStart w:id="5171" w:name="_Toc421874362"/>
      <w:bookmarkStart w:id="5172" w:name="_Toc420594837"/>
      <w:bookmarkStart w:id="5173" w:name="_Toc398214903"/>
      <w:bookmarkStart w:id="5174" w:name="_Toc375158319"/>
      <w:bookmarkStart w:id="5175" w:name="_Toc368932328"/>
      <w:bookmarkStart w:id="5176" w:name="_Ref367978794"/>
      <w:bookmarkStart w:id="5177" w:name="_Toc486332899"/>
      <w:bookmarkStart w:id="5178" w:name="_Toc1977391"/>
      <w:bookmarkStart w:id="5179" w:name="_Toc37062550"/>
      <w:bookmarkStart w:id="5180" w:name="_Toc88839624"/>
      <w:bookmarkStart w:id="5181" w:name="_Toc121504032"/>
      <w:r>
        <w:rPr>
          <w:rFonts w:eastAsia="Times New Roman" w:cs="Arial"/>
          <w:b/>
          <w:bCs/>
          <w:iCs/>
          <w:sz w:val="24"/>
          <w:szCs w:val="26"/>
          <w:lang w:eastAsia="en-US"/>
        </w:rPr>
        <w:t xml:space="preserve">Notify an SM-SR </w:t>
      </w:r>
      <w:r>
        <w:rPr>
          <w:rFonts w:eastAsia="Times New Roman" w:cs="Arial"/>
          <w:b/>
          <w:sz w:val="24"/>
          <w:szCs w:val="26"/>
          <w:lang w:eastAsia="en-US"/>
        </w:rPr>
        <w:t>Change</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14:paraId="4395643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HandleSMSRChangeNotification</w:t>
      </w:r>
    </w:p>
    <w:p w14:paraId="55324E8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SM-SR Change</w:t>
      </w:r>
    </w:p>
    <w:p w14:paraId="05FB3B8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eUICC Management</w:t>
      </w:r>
    </w:p>
    <w:p w14:paraId="1227838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SM-DP</w:t>
      </w:r>
    </w:p>
    <w:p w14:paraId="10ECE76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SHALL be called for notifying each SM-DP </w:t>
      </w:r>
      <w:r>
        <w:rPr>
          <w:rFonts w:cs="Calibri"/>
          <w:szCs w:val="22"/>
          <w:lang w:eastAsia="en-GB" w:bidi="ar-SA"/>
        </w:rPr>
        <w:t>authorised by</w:t>
      </w:r>
      <w:r>
        <w:rPr>
          <w:szCs w:val="22"/>
          <w:lang w:val="en-US" w:eastAsia="en-GB" w:bidi="ar-SA"/>
        </w:rPr>
        <w:t xml:space="preserve"> the Operator owning a Profile hosted in the eUICC, identified by its EID, that the SM-SR has changed. The notification is sent by the new SM-SR to the SM-DP, which SHALL route this notification to the Operator.</w:t>
      </w:r>
    </w:p>
    <w:p w14:paraId="6B76E1D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w:t>
      </w:r>
    </w:p>
    <w:p w14:paraId="4AC3CE0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is not related to a particular Profile. It is up to the notification recipient to perform any action related to each Profile that is deployed on this eUICC</w:t>
      </w:r>
    </w:p>
    <w:p w14:paraId="54C2B36F" w14:textId="77777777" w:rsidR="00B97365" w:rsidRDefault="00000000">
      <w:pPr>
        <w:spacing w:before="0" w:after="200" w:line="276" w:lineRule="auto"/>
        <w:jc w:val="left"/>
        <w:rPr>
          <w:b/>
          <w:i/>
          <w:szCs w:val="22"/>
          <w:lang w:val="en-US" w:eastAsia="en-GB" w:bidi="ar-SA"/>
        </w:rPr>
      </w:pPr>
      <w:bookmarkStart w:id="5182" w:name="_Toc420594838"/>
      <w:r>
        <w:rPr>
          <w:rFonts w:cs="Arial"/>
          <w:b/>
          <w:i/>
          <w:szCs w:val="22"/>
          <w:lang w:val="en-US" w:eastAsia="en-GB" w:bidi="ar-SA"/>
        </w:rPr>
        <w:t>Additional input data:</w:t>
      </w:r>
      <w:bookmarkEnd w:id="518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644BEBCE"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C6A969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01F3270"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7DEAC88"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48DBFE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D092E8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62E2D78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FA21F2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19928C97"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The relevant part of the eUICC Information Set linked with the Operator owning the Profile hosted in the eUICC.</w:t>
            </w:r>
          </w:p>
          <w:p w14:paraId="262839C6" w14:textId="2D6ED202"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_Ref367974981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 </w:t>
            </w:r>
            <w:r>
              <w:rPr>
                <w:rFonts w:cs="Calibri"/>
                <w:sz w:val="16"/>
                <w:szCs w:val="16"/>
                <w:lang w:val="en-US" w:eastAsia="en-GB" w:bidi="ar-SA"/>
              </w:rPr>
              <w:br/>
              <w:t xml:space="preserve">The list of EIS data fields that SHALL be included is defined in </w:t>
            </w:r>
            <w:r>
              <w:fldChar w:fldCharType="begin"/>
            </w:r>
            <w:r>
              <w:rPr>
                <w:rFonts w:cs="Calibri"/>
                <w:sz w:val="16"/>
                <w:szCs w:val="16"/>
                <w:lang w:val="en-US" w:eastAsia="en-GB" w:bidi="ar-SA"/>
              </w:rPr>
              <w:instrText xml:space="preserve"> REF _Ref421660657 \r \h </w:instrText>
            </w:r>
            <w:r>
              <w:fldChar w:fldCharType="separate"/>
            </w:r>
            <w:r w:rsidR="001D5AD9">
              <w:rPr>
                <w:rFonts w:cs="Calibri"/>
                <w:sz w:val="16"/>
                <w:szCs w:val="16"/>
                <w:lang w:val="en-US" w:eastAsia="en-GB" w:bidi="ar-SA"/>
              </w:rPr>
              <w:t>Annex E</w:t>
            </w:r>
            <w:r>
              <w:fldChar w:fldCharType="end"/>
            </w:r>
            <w:r>
              <w:rPr>
                <w:rFonts w:cs="Calibri"/>
                <w:sz w:val="16"/>
                <w:szCs w:val="16"/>
                <w:lang w:val="en-US" w:eastAsia="en-GB" w:bidi="ar-S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703D2E41"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76245ED5"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C570EE2" w14:textId="77777777" w:rsidR="00B97365" w:rsidRDefault="00000000">
            <w:pPr>
              <w:spacing w:before="0" w:after="200" w:line="276" w:lineRule="auto"/>
              <w:jc w:val="center"/>
              <w:rPr>
                <w:rFonts w:cs="Calibri"/>
                <w:sz w:val="16"/>
                <w:szCs w:val="16"/>
                <w:lang w:val="en-US" w:eastAsia="en-GB" w:bidi="ar-SA"/>
              </w:rPr>
            </w:pPr>
            <w:r>
              <w:rPr>
                <w:rFonts w:cs="Calibri"/>
                <w:sz w:val="16"/>
                <w:szCs w:val="16"/>
                <w:lang w:val="en-US" w:eastAsia="en-GB" w:bidi="ar-SA"/>
              </w:rPr>
              <w:t>M</w:t>
            </w:r>
          </w:p>
        </w:tc>
      </w:tr>
      <w:tr w:rsidR="00B97365" w14:paraId="0BCFF7B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37357BF" w14:textId="77777777" w:rsidR="00B97365" w:rsidRDefault="00000000">
            <w:pPr>
              <w:tabs>
                <w:tab w:val="left" w:pos="87"/>
              </w:tabs>
              <w:rPr>
                <w:rFonts w:cs="Calibri"/>
                <w:sz w:val="16"/>
                <w:szCs w:val="16"/>
                <w:lang w:val="en-US"/>
              </w:rPr>
            </w:pPr>
            <w:r>
              <w:rPr>
                <w:rFonts w:cs="Calibri"/>
                <w:sz w:val="16"/>
                <w:szCs w:val="16"/>
                <w:lang w:val="en-US"/>
              </w:rPr>
              <w:t>mno-id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AF9FDF8" w14:textId="77777777" w:rsidR="00B97365" w:rsidRDefault="00000000">
            <w:pPr>
              <w:tabs>
                <w:tab w:val="left" w:pos="72"/>
              </w:tabs>
              <w:rPr>
                <w:rFonts w:cs="Calibri"/>
                <w:sz w:val="16"/>
                <w:szCs w:val="16"/>
                <w:lang w:val="en-US"/>
              </w:rPr>
            </w:pPr>
            <w:r>
              <w:rPr>
                <w:rFonts w:cs="Calibri"/>
                <w:sz w:val="16"/>
                <w:szCs w:val="16"/>
                <w:lang w:val="en-US"/>
              </w:rPr>
              <w:t>Identification of the Operator concerned by the SM-SR change.</w:t>
            </w:r>
          </w:p>
          <w:p w14:paraId="13910D28" w14:textId="0E15D6CA" w:rsidR="00B97365" w:rsidRDefault="00000000">
            <w:pPr>
              <w:rPr>
                <w:rFonts w:cs="Calibri"/>
                <w:sz w:val="16"/>
                <w:szCs w:val="16"/>
                <w:lang w:val="en-US"/>
              </w:rPr>
            </w:pPr>
            <w:r>
              <w:rPr>
                <w:rFonts w:cs="Calibri"/>
                <w:sz w:val="16"/>
                <w:szCs w:val="16"/>
                <w:lang w:val="en-US"/>
              </w:rPr>
              <w:t xml:space="preserve">See </w:t>
            </w:r>
            <w:r>
              <w:fldChar w:fldCharType="begin"/>
            </w:r>
            <w:r>
              <w:instrText xml:space="preserve"> REF _Ref346698423 \r \h  \* MERGEFORMAT </w:instrText>
            </w:r>
            <w:r>
              <w:fldChar w:fldCharType="separate"/>
            </w:r>
            <w:r w:rsidR="001D5AD9" w:rsidRPr="001D5AD9">
              <w:rPr>
                <w:rFonts w:cs="Calibri"/>
                <w:sz w:val="16"/>
                <w:szCs w:val="16"/>
                <w:lang w:val="en-US"/>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EB266F6" w14:textId="77777777" w:rsidR="00B97365" w:rsidRDefault="00000000">
            <w:pPr>
              <w:tabs>
                <w:tab w:val="left" w:pos="71"/>
              </w:tabs>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D24C461" w14:textId="77777777" w:rsidR="00B97365" w:rsidRDefault="00000000">
            <w:pPr>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68EB559" w14:textId="77777777" w:rsidR="00B97365" w:rsidRDefault="00000000">
            <w:pPr>
              <w:jc w:val="center"/>
              <w:rPr>
                <w:rFonts w:cs="Calibri"/>
                <w:sz w:val="16"/>
                <w:szCs w:val="16"/>
                <w:lang w:val="en-US"/>
              </w:rPr>
            </w:pPr>
            <w:r>
              <w:rPr>
                <w:rFonts w:cs="Calibri"/>
                <w:sz w:val="16"/>
                <w:szCs w:val="16"/>
                <w:lang w:val="en-US"/>
              </w:rPr>
              <w:t>M</w:t>
            </w:r>
          </w:p>
        </w:tc>
      </w:tr>
      <w:tr w:rsidR="00B97365" w14:paraId="7E4C221A"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45E0B6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66E860E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7BDA9319" w14:textId="34DC2F2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_Ref367974988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0B4A18BA" w14:textId="77777777" w:rsidR="00B97365" w:rsidRDefault="00000000">
            <w:pPr>
              <w:tabs>
                <w:tab w:val="left" w:pos="71"/>
              </w:tabs>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34A347C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770462B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49C549FD"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Handle SM-SR Change Notification Additional Input Data</w:t>
      </w:r>
    </w:p>
    <w:p w14:paraId="30B44335" w14:textId="77777777" w:rsidR="00B97365" w:rsidRDefault="00000000">
      <w:pPr>
        <w:spacing w:before="0" w:after="200" w:line="276" w:lineRule="auto"/>
        <w:jc w:val="left"/>
        <w:rPr>
          <w:b/>
          <w:i/>
          <w:szCs w:val="22"/>
          <w:lang w:val="en-US" w:eastAsia="en-GB" w:bidi="ar-SA"/>
        </w:rPr>
      </w:pPr>
      <w:bookmarkStart w:id="5183" w:name="_Toc420594839"/>
      <w:r>
        <w:rPr>
          <w:rFonts w:cs="Arial"/>
          <w:b/>
          <w:i/>
          <w:szCs w:val="22"/>
          <w:lang w:val="en-US" w:eastAsia="en-GB" w:bidi="ar-SA"/>
        </w:rPr>
        <w:t>Additional output data:</w:t>
      </w:r>
      <w:bookmarkEnd w:id="5183"/>
    </w:p>
    <w:p w14:paraId="0E8308FF" w14:textId="77777777" w:rsidR="00B97365" w:rsidRDefault="00000000">
      <w:pPr>
        <w:spacing w:before="0" w:after="200" w:line="276" w:lineRule="auto"/>
        <w:jc w:val="left"/>
        <w:rPr>
          <w:szCs w:val="22"/>
          <w:lang w:val="en-US" w:eastAsia="en-GB" w:bidi="ar-SA"/>
        </w:rPr>
      </w:pPr>
      <w:bookmarkStart w:id="5184" w:name="_Toc420594840"/>
      <w:r>
        <w:rPr>
          <w:rFonts w:cs="Arial"/>
          <w:szCs w:val="22"/>
          <w:lang w:val="en-US" w:eastAsia="en-GB" w:bidi="ar-SA"/>
        </w:rPr>
        <w:t>No output data is expected in response to this notification.</w:t>
      </w:r>
      <w:bookmarkEnd w:id="5184"/>
    </w:p>
    <w:p w14:paraId="53FCCFB7" w14:textId="77777777" w:rsidR="00B97365" w:rsidRDefault="00B97365">
      <w:pPr>
        <w:spacing w:before="0" w:after="200" w:line="276" w:lineRule="auto"/>
        <w:jc w:val="left"/>
        <w:rPr>
          <w:rFonts w:cs="Arial"/>
          <w:szCs w:val="22"/>
          <w:lang w:val="en-US" w:eastAsia="en-GB" w:bidi="ar-SA"/>
        </w:rPr>
      </w:pPr>
    </w:p>
    <w:p w14:paraId="24B97859"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185" w:name="_Toc448998282"/>
      <w:bookmarkStart w:id="5186" w:name="_Toc422150778"/>
      <w:bookmarkStart w:id="5187" w:name="_Toc421874363"/>
      <w:bookmarkStart w:id="5188" w:name="_Toc420594841"/>
      <w:bookmarkStart w:id="5189" w:name="_Toc398214904"/>
      <w:bookmarkStart w:id="5190" w:name="_Toc375158320"/>
      <w:bookmarkStart w:id="5191" w:name="_Toc368932329"/>
      <w:bookmarkStart w:id="5192" w:name="_Toc486332900"/>
      <w:bookmarkStart w:id="5193" w:name="_Toc1977392"/>
      <w:bookmarkStart w:id="5194" w:name="_Toc37062551"/>
      <w:bookmarkStart w:id="5195" w:name="_Toc88839625"/>
      <w:bookmarkStart w:id="5196" w:name="_Toc121504033"/>
      <w:r>
        <w:rPr>
          <w:rFonts w:eastAsia="Times New Roman" w:cs="Arial"/>
          <w:b/>
          <w:bCs/>
          <w:iCs/>
          <w:sz w:val="24"/>
          <w:szCs w:val="26"/>
          <w:lang w:eastAsia="en-US"/>
        </w:rPr>
        <w:lastRenderedPageBreak/>
        <w:t xml:space="preserve">Notify a </w:t>
      </w:r>
      <w:r>
        <w:rPr>
          <w:rFonts w:eastAsia="Times New Roman" w:cs="Arial"/>
          <w:b/>
          <w:sz w:val="24"/>
          <w:szCs w:val="26"/>
          <w:lang w:eastAsia="en-US"/>
        </w:rPr>
        <w:t>Profile Deletion</w:t>
      </w:r>
      <w:bookmarkEnd w:id="5185"/>
      <w:bookmarkEnd w:id="5186"/>
      <w:bookmarkEnd w:id="5187"/>
      <w:bookmarkEnd w:id="5188"/>
      <w:bookmarkEnd w:id="5189"/>
      <w:bookmarkEnd w:id="5190"/>
      <w:bookmarkEnd w:id="5191"/>
      <w:bookmarkEnd w:id="5192"/>
      <w:bookmarkEnd w:id="5193"/>
      <w:bookmarkEnd w:id="5194"/>
      <w:bookmarkEnd w:id="5195"/>
      <w:bookmarkEnd w:id="5196"/>
    </w:p>
    <w:p w14:paraId="7A4AB22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HandleProfileDeletedNotification</w:t>
      </w:r>
    </w:p>
    <w:p w14:paraId="1EA0F7AE" w14:textId="77777777" w:rsidR="00B97365" w:rsidRDefault="00000000">
      <w:pPr>
        <w:spacing w:before="0" w:after="200" w:line="276" w:lineRule="auto"/>
        <w:jc w:val="left"/>
        <w:rPr>
          <w:szCs w:val="22"/>
          <w:lang w:val="en-US" w:eastAsia="en-GB" w:bidi="ar-SA"/>
        </w:rPr>
      </w:pPr>
      <w:bookmarkStart w:id="5197" w:name="_Toc420594842"/>
      <w:r>
        <w:rPr>
          <w:rFonts w:cs="Arial"/>
          <w:b/>
          <w:szCs w:val="22"/>
          <w:lang w:val="en-US" w:eastAsia="en-GB" w:bidi="ar-SA"/>
        </w:rPr>
        <w:t>Related Procedures</w:t>
      </w:r>
      <w:r>
        <w:rPr>
          <w:szCs w:val="22"/>
          <w:lang w:val="en-US" w:eastAsia="en-GB" w:bidi="ar-SA"/>
        </w:rPr>
        <w:t>: Profile Enabling, Profile Enabling via SM-DP</w:t>
      </w:r>
      <w:bookmarkEnd w:id="5197"/>
      <w:r>
        <w:rPr>
          <w:szCs w:val="22"/>
          <w:lang w:val="en-US" w:eastAsia="en-GB" w:bidi="ar-SA"/>
        </w:rPr>
        <w:t>, Profile Enabling via M2M SP, Profile Disabling via M2M SP, profile and ISD-P Deletion via M2M SP</w:t>
      </w:r>
    </w:p>
    <w:p w14:paraId="204A979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68A568D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SM-DP</w:t>
      </w:r>
    </w:p>
    <w:p w14:paraId="2CB4182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that the Profile identified by its ICCID has been deleted on the eUICC identified by its EID.</w:t>
      </w:r>
    </w:p>
    <w:p w14:paraId="140EBF40"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 all SM-DP servers that match one or the other of the following conditions:</w:t>
      </w:r>
    </w:p>
    <w:p w14:paraId="14CBA723" w14:textId="560BC41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The SM-DP can relay the notification to the Operator that owns the Profile, and the Operator has not opted to not receive such notifications (see section </w:t>
      </w:r>
      <w:r>
        <w:rPr>
          <w:szCs w:val="22"/>
          <w:lang w:val="en-US" w:eastAsia="en-GB" w:bidi="ar-SA"/>
        </w:rPr>
        <w:fldChar w:fldCharType="begin"/>
      </w:r>
      <w:r>
        <w:rPr>
          <w:szCs w:val="22"/>
          <w:lang w:val="en-US" w:eastAsia="en-GB" w:bidi="ar-SA"/>
        </w:rPr>
        <w:instrText xml:space="preserve"> REF _Ref536172994 \r \h </w:instrText>
      </w:r>
      <w:r>
        <w:rPr>
          <w:szCs w:val="22"/>
          <w:lang w:val="en-US" w:eastAsia="en-GB" w:bidi="ar-SA"/>
        </w:rPr>
      </w:r>
      <w:r>
        <w:rPr>
          <w:szCs w:val="22"/>
          <w:lang w:val="en-US" w:eastAsia="en-GB" w:bidi="ar-SA"/>
        </w:rPr>
        <w:fldChar w:fldCharType="separate"/>
      </w:r>
      <w:r w:rsidR="001D5AD9">
        <w:rPr>
          <w:szCs w:val="22"/>
          <w:lang w:val="en-US" w:eastAsia="en-GB" w:bidi="ar-SA"/>
        </w:rPr>
        <w:t>3.21</w:t>
      </w:r>
      <w:r>
        <w:rPr>
          <w:szCs w:val="22"/>
          <w:lang w:val="en-US" w:eastAsia="en-GB" w:bidi="ar-SA"/>
        </w:rPr>
        <w:fldChar w:fldCharType="end"/>
      </w:r>
      <w:r>
        <w:rPr>
          <w:szCs w:val="22"/>
          <w:lang w:val="en-US" w:eastAsia="en-GB" w:bidi="ar-SA"/>
        </w:rPr>
        <w:t>)</w:t>
      </w:r>
    </w:p>
    <w:p w14:paraId="63D7959F"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SM-DP can relay the notification to another Operator, and the Operator owner of the Profile has granted the other Operator with a PLMA authorising this Operation “Handle</w:t>
      </w:r>
      <w:r>
        <w:rPr>
          <w:rFonts w:cs="Calibri"/>
          <w:szCs w:val="22"/>
          <w:lang w:eastAsia="en-GB" w:bidi="ar-SA"/>
        </w:rPr>
        <w:t>ProfileDeletedNotification</w:t>
      </w:r>
      <w:r>
        <w:rPr>
          <w:szCs w:val="22"/>
          <w:lang w:val="en-US" w:eastAsia="en-GB" w:bidi="ar-SA"/>
        </w:rPr>
        <w:t>”.</w:t>
      </w:r>
    </w:p>
    <w:p w14:paraId="6093DF88"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SM-DP notification endpoint.</w:t>
      </w:r>
    </w:p>
    <w:p w14:paraId="23F35E6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of multiply handlers are served, SM-SR SHOULD ensure ‘completionTimestamp’ to be equal for every message.</w:t>
      </w:r>
    </w:p>
    <w:p w14:paraId="4A78F114" w14:textId="77777777" w:rsidR="00B97365" w:rsidRDefault="00000000">
      <w:pPr>
        <w:spacing w:before="0" w:after="200" w:line="276" w:lineRule="auto"/>
        <w:jc w:val="left"/>
        <w:rPr>
          <w:b/>
          <w:i/>
          <w:szCs w:val="22"/>
          <w:lang w:val="en-US" w:eastAsia="en-GB" w:bidi="ar-SA"/>
        </w:rPr>
      </w:pPr>
      <w:bookmarkStart w:id="5198" w:name="_Toc420594843"/>
      <w:r>
        <w:rPr>
          <w:rFonts w:cs="Arial"/>
          <w:b/>
          <w:i/>
          <w:szCs w:val="22"/>
          <w:lang w:val="en-US" w:eastAsia="en-GB" w:bidi="ar-SA"/>
        </w:rPr>
        <w:t>Additional input data:</w:t>
      </w:r>
      <w:bookmarkEnd w:id="519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210"/>
        <w:gridCol w:w="949"/>
        <w:gridCol w:w="398"/>
        <w:gridCol w:w="514"/>
      </w:tblGrid>
      <w:tr w:rsidR="00B97365" w14:paraId="5CDE819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CC56270"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B5E11D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2DE626E"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872F83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DA84EA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6957991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F1E295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323C964"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targeted eUICC.</w:t>
            </w:r>
          </w:p>
          <w:p w14:paraId="2EF1C750" w14:textId="574143F0"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_Ref367974994 \r \h  \* MERGEFORMAT </w:instrText>
            </w:r>
            <w:r>
              <w:fldChar w:fldCharType="separate"/>
            </w:r>
            <w:r w:rsidR="001D5AD9" w:rsidRPr="001D5AD9">
              <w:rPr>
                <w:rFonts w:cs="Calibri"/>
                <w:sz w:val="16"/>
                <w:szCs w:val="16"/>
                <w:lang w:val="en-US"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C78149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5B9C39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29215B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48B0019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0990D8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AA9C046"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Profile that has been deleted.</w:t>
            </w:r>
          </w:p>
          <w:p w14:paraId="0D422668" w14:textId="691F9F3B"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_Ref367975000 \r \h  \* MERGEFORMAT </w:instrText>
            </w:r>
            <w:r>
              <w:fldChar w:fldCharType="separate"/>
            </w:r>
            <w:r w:rsidR="001D5AD9" w:rsidRPr="001D5AD9">
              <w:rPr>
                <w:rFonts w:cs="Calibri"/>
                <w:sz w:val="16"/>
                <w:szCs w:val="16"/>
                <w:lang w:val="en-US"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DC8299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2F150F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EBBE0E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231CA96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338F6F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mno-id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B67FD2F"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Operator owner of the Profile that has been deleted.</w:t>
            </w:r>
          </w:p>
          <w:p w14:paraId="3F68D389" w14:textId="2E8966B0"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_Ref367975012 \r \h  \* MERGEFORMAT </w:instrText>
            </w:r>
            <w:r>
              <w:fldChar w:fldCharType="separate"/>
            </w:r>
            <w:r w:rsidR="001D5AD9" w:rsidRPr="001D5AD9">
              <w:rPr>
                <w:rFonts w:cs="Calibri"/>
                <w:sz w:val="16"/>
                <w:szCs w:val="16"/>
                <w:lang w:val="en-US"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387F1F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15B016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B51906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5BC53A0"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D9C142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07BCCBD5"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Indication of the date/time when the operation has been performed.</w:t>
            </w:r>
          </w:p>
          <w:p w14:paraId="70E46F0C" w14:textId="5D38042C"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See section </w:t>
            </w:r>
            <w:r>
              <w:fldChar w:fldCharType="begin"/>
            </w:r>
            <w:r>
              <w:instrText xml:space="preserve"> REF _Ref367975019 \r \h  \* MERGEFORMAT </w:instrText>
            </w:r>
            <w:r>
              <w:fldChar w:fldCharType="separate"/>
            </w:r>
            <w:r w:rsidR="001D5AD9" w:rsidRPr="001D5AD9">
              <w:rPr>
                <w:rFonts w:cs="Calibri"/>
                <w:sz w:val="16"/>
                <w:szCs w:val="16"/>
                <w:lang w:val="en-US"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06851E8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3BF1DAC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8627F5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24E0CFE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Handle Profile Deleted Notification Additional Input Data</w:t>
      </w:r>
    </w:p>
    <w:p w14:paraId="5F93D1C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199" w:name="_Ref536547006"/>
      <w:bookmarkStart w:id="5200" w:name="_Toc1977393"/>
      <w:bookmarkStart w:id="5201" w:name="_Toc37062552"/>
      <w:bookmarkStart w:id="5202" w:name="_Toc88839626"/>
      <w:bookmarkStart w:id="5203" w:name="_Toc121504034"/>
      <w:r>
        <w:rPr>
          <w:rFonts w:eastAsia="Times New Roman" w:cs="Arial"/>
          <w:b/>
          <w:bCs/>
          <w:iCs/>
          <w:sz w:val="24"/>
          <w:szCs w:val="26"/>
          <w:lang w:eastAsia="en-US"/>
        </w:rPr>
        <w:t>Setting Authorisations of M2M -SP to Access Profiles</w:t>
      </w:r>
      <w:bookmarkEnd w:id="5199"/>
      <w:bookmarkEnd w:id="5200"/>
      <w:bookmarkEnd w:id="5201"/>
      <w:bookmarkEnd w:id="5202"/>
      <w:bookmarkEnd w:id="5203"/>
    </w:p>
    <w:p w14:paraId="44E31CA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SetPLMA</w:t>
      </w:r>
    </w:p>
    <w:p w14:paraId="57CFF5D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Set Profile Lifecycle Management Authorisation via SM-DP</w:t>
      </w:r>
    </w:p>
    <w:p w14:paraId="6016D62D"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Function group</w:t>
      </w:r>
      <w:r>
        <w:rPr>
          <w:szCs w:val="22"/>
          <w:lang w:val="en-US" w:eastAsia="en-GB" w:bidi="ar-SA"/>
        </w:rPr>
        <w:t>: Profile Management</w:t>
      </w:r>
    </w:p>
    <w:p w14:paraId="6723687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546BA18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402195E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Operator owning Profiles to grant a PLMA to an M2M SP to perform certain operations, or receive certain notifications, related to a set of Profiles, identified by a Profile Type.</w:t>
      </w:r>
    </w:p>
    <w:p w14:paraId="637FDC0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receiving this request SHALL verify that the mno-id in the PLMA matches the mno-id of the Operator on behalf of which the SM-DP declares to send this request.</w:t>
      </w:r>
    </w:p>
    <w:p w14:paraId="3B2841EC" w14:textId="77777777" w:rsidR="00B97365" w:rsidRDefault="00000000">
      <w:pPr>
        <w:spacing w:before="0" w:after="200" w:line="276" w:lineRule="auto"/>
        <w:jc w:val="left"/>
        <w:rPr>
          <w:szCs w:val="22"/>
          <w:lang w:val="en-US" w:eastAsia="en-GB" w:bidi="ar-SA"/>
        </w:rPr>
      </w:pPr>
      <w:r>
        <w:rPr>
          <w:rFonts w:cs="Arial"/>
          <w:szCs w:val="22"/>
          <w:lang w:val="en-US" w:eastAsia="en-GB" w:bidi="ar-SA"/>
        </w:rPr>
        <w:t>If the request is acceptable, the SM-SR SHALL record the PLMA. The new PLMA overwrites the previous PLMA that might have been granted with the same identifiers</w:t>
      </w:r>
      <w:r>
        <w:rPr>
          <w:szCs w:val="22"/>
          <w:lang w:val="en-US" w:eastAsia="en-GB" w:bidi="ar-SA"/>
        </w:rPr>
        <w:t>.</w:t>
      </w:r>
    </w:p>
    <w:p w14:paraId="1275C49E" w14:textId="03EAB258" w:rsidR="00B97365" w:rsidRDefault="00000000">
      <w:pPr>
        <w:spacing w:before="0" w:after="200" w:line="276" w:lineRule="auto"/>
        <w:jc w:val="left"/>
        <w:rPr>
          <w:szCs w:val="22"/>
          <w:lang w:val="en-US" w:eastAsia="en-GB" w:bidi="ar-SA"/>
        </w:rPr>
      </w:pPr>
      <w:r>
        <w:rPr>
          <w:szCs w:val="22"/>
          <w:lang w:val="en-US" w:eastAsia="en-GB" w:bidi="ar-SA"/>
        </w:rPr>
        <w:t xml:space="preserve">From this point on, any request from the M2M SP on a Profile matching these identifiers, or any notification to the M2M SP related to a Profile matching these identifiers, SHALL be allowed or not based on the new PLMA, as described in sections </w:t>
      </w:r>
      <w:r>
        <w:rPr>
          <w:szCs w:val="22"/>
          <w:lang w:val="en-US" w:eastAsia="en-GB" w:bidi="ar-SA"/>
        </w:rPr>
        <w:fldChar w:fldCharType="begin"/>
      </w:r>
      <w:r>
        <w:rPr>
          <w:szCs w:val="22"/>
          <w:lang w:val="en-US" w:eastAsia="en-GB" w:bidi="ar-SA"/>
        </w:rPr>
        <w:instrText xml:space="preserve"> REF _Ref536546780 \r \h </w:instrText>
      </w:r>
      <w:r>
        <w:rPr>
          <w:szCs w:val="22"/>
          <w:lang w:val="en-US" w:eastAsia="en-GB" w:bidi="ar-SA"/>
        </w:rPr>
      </w:r>
      <w:r>
        <w:rPr>
          <w:szCs w:val="22"/>
          <w:lang w:val="en-US" w:eastAsia="en-GB" w:bidi="ar-SA"/>
        </w:rPr>
        <w:fldChar w:fldCharType="separate"/>
      </w:r>
      <w:r w:rsidR="001D5AD9">
        <w:rPr>
          <w:szCs w:val="22"/>
          <w:lang w:val="en-US" w:eastAsia="en-GB" w:bidi="ar-SA"/>
        </w:rPr>
        <w:t>5.7.1.1</w:t>
      </w:r>
      <w:r>
        <w:rPr>
          <w:szCs w:val="22"/>
          <w:lang w:val="en-US" w:eastAsia="en-GB" w:bidi="ar-SA"/>
        </w:rPr>
        <w:fldChar w:fldCharType="end"/>
      </w:r>
      <w:r>
        <w:rPr>
          <w:szCs w:val="22"/>
          <w:lang w:val="en-US" w:eastAsia="en-GB" w:bidi="ar-SA"/>
        </w:rPr>
        <w:t xml:space="preserve">, </w:t>
      </w:r>
      <w:r>
        <w:rPr>
          <w:szCs w:val="22"/>
          <w:lang w:val="en-US" w:eastAsia="en-GB" w:bidi="ar-SA"/>
        </w:rPr>
        <w:fldChar w:fldCharType="begin"/>
      </w:r>
      <w:r>
        <w:rPr>
          <w:szCs w:val="22"/>
          <w:lang w:val="en-US" w:eastAsia="en-GB" w:bidi="ar-SA"/>
        </w:rPr>
        <w:instrText xml:space="preserve"> REF _Ref536546785 \r \h </w:instrText>
      </w:r>
      <w:r>
        <w:rPr>
          <w:szCs w:val="22"/>
          <w:lang w:val="en-US" w:eastAsia="en-GB" w:bidi="ar-SA"/>
        </w:rPr>
      </w:r>
      <w:r>
        <w:rPr>
          <w:szCs w:val="22"/>
          <w:lang w:val="en-US" w:eastAsia="en-GB" w:bidi="ar-SA"/>
        </w:rPr>
        <w:fldChar w:fldCharType="separate"/>
      </w:r>
      <w:r w:rsidR="001D5AD9">
        <w:rPr>
          <w:szCs w:val="22"/>
          <w:lang w:val="en-US" w:eastAsia="en-GB" w:bidi="ar-SA"/>
        </w:rPr>
        <w:t>5.7.1.2</w:t>
      </w:r>
      <w:r>
        <w:rPr>
          <w:szCs w:val="22"/>
          <w:lang w:val="en-US" w:eastAsia="en-GB" w:bidi="ar-SA"/>
        </w:rPr>
        <w:fldChar w:fldCharType="end"/>
      </w:r>
      <w:r>
        <w:rPr>
          <w:szCs w:val="22"/>
          <w:lang w:val="en-US" w:eastAsia="en-GB" w:bidi="ar-SA"/>
        </w:rPr>
        <w:t xml:space="preserve">, and </w:t>
      </w:r>
      <w:r>
        <w:rPr>
          <w:szCs w:val="22"/>
          <w:lang w:val="en-US" w:eastAsia="en-GB" w:bidi="ar-SA"/>
        </w:rPr>
        <w:fldChar w:fldCharType="begin"/>
      </w:r>
      <w:r>
        <w:rPr>
          <w:szCs w:val="22"/>
          <w:lang w:val="en-US" w:eastAsia="en-GB" w:bidi="ar-SA"/>
        </w:rPr>
        <w:instrText xml:space="preserve"> REF _Ref536812780 \r \h </w:instrText>
      </w:r>
      <w:r>
        <w:rPr>
          <w:szCs w:val="22"/>
          <w:lang w:val="en-US" w:eastAsia="en-GB" w:bidi="ar-SA"/>
        </w:rPr>
      </w:r>
      <w:r>
        <w:rPr>
          <w:szCs w:val="22"/>
          <w:lang w:val="en-US" w:eastAsia="en-GB" w:bidi="ar-SA"/>
        </w:rPr>
        <w:fldChar w:fldCharType="separate"/>
      </w:r>
      <w:r w:rsidR="001D5AD9">
        <w:rPr>
          <w:szCs w:val="22"/>
          <w:lang w:val="en-US" w:eastAsia="en-GB" w:bidi="ar-SA"/>
        </w:rPr>
        <w:t>5.7.1.3</w:t>
      </w:r>
      <w:r>
        <w:rPr>
          <w:szCs w:val="22"/>
          <w:lang w:val="en-US" w:eastAsia="en-GB" w:bidi="ar-SA"/>
        </w:rPr>
        <w:fldChar w:fldCharType="end"/>
      </w:r>
      <w:r>
        <w:rPr>
          <w:szCs w:val="22"/>
          <w:lang w:val="en-US" w:eastAsia="en-GB" w:bidi="ar-SA"/>
        </w:rPr>
        <w:t>.</w:t>
      </w:r>
    </w:p>
    <w:p w14:paraId="4B04989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0A5FE096"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indicating that the authorisations have been configured in the SM-SR.</w:t>
      </w:r>
    </w:p>
    <w:p w14:paraId="1B377F49"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specific status code as defined in the table here after, indicating that the authorisations have been configured in the SM-SR but that some side-effects of this configuration may require the attention of the Operator.</w:t>
      </w:r>
    </w:p>
    <w:p w14:paraId="3B1ACE1D" w14:textId="73BE8AE0"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0E620A07" w14:textId="77777777" w:rsidR="00B97365" w:rsidRDefault="00B97365">
      <w:pPr>
        <w:spacing w:before="0" w:after="200" w:line="276" w:lineRule="auto"/>
        <w:jc w:val="left"/>
        <w:rPr>
          <w:rFonts w:cs="Arial"/>
          <w:b/>
          <w:i/>
          <w:szCs w:val="22"/>
          <w:lang w:val="en-US" w:eastAsia="en-GB" w:bidi="ar-SA"/>
        </w:rPr>
      </w:pPr>
    </w:p>
    <w:p w14:paraId="622759B3"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535"/>
        <w:gridCol w:w="652"/>
        <w:gridCol w:w="474"/>
        <w:gridCol w:w="590"/>
      </w:tblGrid>
      <w:tr w:rsidR="00B97365" w14:paraId="4BE959AA"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AA919D9"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45149EF"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D8E4731"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64DF5D1"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7DC5D05"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262E0E6B"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Pr>
          <w:p w14:paraId="5221A839" w14:textId="77777777" w:rsidR="00B97365" w:rsidRDefault="00000000">
            <w:pPr>
              <w:rPr>
                <w:rFonts w:cs="Calibri"/>
                <w:sz w:val="16"/>
                <w:szCs w:val="16"/>
              </w:rPr>
            </w:pPr>
            <w:r>
              <w:rPr>
                <w:rFonts w:cs="Calibri"/>
                <w:sz w:val="16"/>
                <w:szCs w:val="16"/>
              </w:rPr>
              <w:t>plma</w:t>
            </w:r>
          </w:p>
        </w:tc>
        <w:tc>
          <w:tcPr>
            <w:tcW w:w="0" w:type="auto"/>
            <w:tcBorders>
              <w:top w:val="single" w:sz="6" w:space="0" w:color="auto"/>
              <w:left w:val="single" w:sz="6" w:space="0" w:color="auto"/>
              <w:bottom w:val="single" w:sz="6" w:space="0" w:color="auto"/>
              <w:right w:val="single" w:sz="6" w:space="0" w:color="auto"/>
            </w:tcBorders>
          </w:tcPr>
          <w:p w14:paraId="703F67E6" w14:textId="77777777" w:rsidR="00B97365" w:rsidRDefault="00000000">
            <w:pPr>
              <w:rPr>
                <w:rFonts w:eastAsia="Times New Roman" w:cs="Calibri"/>
                <w:sz w:val="16"/>
                <w:szCs w:val="16"/>
                <w:lang w:val="en-US"/>
              </w:rPr>
            </w:pPr>
            <w:r>
              <w:rPr>
                <w:rFonts w:cs="Calibri"/>
                <w:sz w:val="16"/>
                <w:szCs w:val="16"/>
                <w:lang w:val="en-US"/>
              </w:rPr>
              <w:t>The specification of the PLMA, and the criteria on which this PLMA applies.</w:t>
            </w:r>
          </w:p>
          <w:p w14:paraId="4B81D08D" w14:textId="77777777" w:rsidR="00B97365" w:rsidRDefault="00000000">
            <w:pPr>
              <w:rPr>
                <w:rFonts w:cs="Calibri"/>
                <w:sz w:val="16"/>
                <w:szCs w:val="16"/>
                <w:lang w:val="en-US"/>
              </w:rPr>
            </w:pPr>
            <w:r>
              <w:rPr>
                <w:rFonts w:cs="Calibri"/>
                <w:sz w:val="16"/>
                <w:szCs w:val="16"/>
                <w:lang w:val="en-US"/>
              </w:rPr>
              <w:t>See section 5.1.1.2.14 for type description.</w:t>
            </w:r>
          </w:p>
        </w:tc>
        <w:tc>
          <w:tcPr>
            <w:tcW w:w="0" w:type="auto"/>
            <w:tcBorders>
              <w:top w:val="single" w:sz="6" w:space="0" w:color="auto"/>
              <w:left w:val="single" w:sz="6" w:space="0" w:color="auto"/>
              <w:bottom w:val="single" w:sz="6" w:space="0" w:color="auto"/>
              <w:right w:val="single" w:sz="6" w:space="0" w:color="auto"/>
            </w:tcBorders>
          </w:tcPr>
          <w:p w14:paraId="4E2A7D93" w14:textId="77777777" w:rsidR="00B97365" w:rsidRDefault="00000000">
            <w:pPr>
              <w:keepNext/>
              <w:keepLines/>
              <w:tabs>
                <w:tab w:val="num" w:pos="1152"/>
                <w:tab w:val="num" w:pos="2160"/>
              </w:tabs>
              <w:spacing w:after="140" w:line="260" w:lineRule="atLeast"/>
              <w:jc w:val="center"/>
              <w:rPr>
                <w:rFonts w:cs="Calibri"/>
                <w:sz w:val="16"/>
                <w:szCs w:val="16"/>
                <w:lang w:val="en-US"/>
              </w:rPr>
            </w:pPr>
            <w:r>
              <w:rPr>
                <w:rFonts w:cs="Calibri"/>
                <w:sz w:val="16"/>
                <w:szCs w:val="16"/>
                <w:lang w:val="en-US"/>
              </w:rPr>
              <w:t>PLMA</w:t>
            </w:r>
          </w:p>
        </w:tc>
        <w:tc>
          <w:tcPr>
            <w:tcW w:w="0" w:type="auto"/>
            <w:tcBorders>
              <w:top w:val="single" w:sz="6" w:space="0" w:color="auto"/>
              <w:left w:val="single" w:sz="6" w:space="0" w:color="auto"/>
              <w:bottom w:val="single" w:sz="6" w:space="0" w:color="auto"/>
              <w:right w:val="single" w:sz="6" w:space="0" w:color="auto"/>
            </w:tcBorders>
          </w:tcPr>
          <w:p w14:paraId="4F204DC3"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Pr>
          <w:p w14:paraId="2554181E"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bl>
    <w:p w14:paraId="4FEBD857"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5416-A: SetPLMA Additional Input Data</w:t>
      </w:r>
    </w:p>
    <w:p w14:paraId="25D767A9"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p w14:paraId="53B08101"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None</w:t>
      </w:r>
    </w:p>
    <w:p w14:paraId="3551EF90" w14:textId="77777777" w:rsidR="00B97365" w:rsidRDefault="00B97365">
      <w:pPr>
        <w:tabs>
          <w:tab w:val="left" w:pos="680"/>
        </w:tabs>
        <w:spacing w:before="0" w:after="200" w:line="276" w:lineRule="auto"/>
        <w:contextualSpacing/>
        <w:jc w:val="left"/>
        <w:rPr>
          <w:rFonts w:cs="Arial"/>
          <w:szCs w:val="22"/>
          <w:lang w:eastAsia="en-GB" w:bidi="ar-SA"/>
        </w:rPr>
      </w:pPr>
    </w:p>
    <w:p w14:paraId="236025E1"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854"/>
        <w:gridCol w:w="718"/>
        <w:gridCol w:w="1514"/>
        <w:gridCol w:w="5212"/>
      </w:tblGrid>
      <w:tr w:rsidR="00B97365" w14:paraId="2004E78B"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A99F5EA" w14:textId="77777777" w:rsidR="00B97365" w:rsidRDefault="00000000">
            <w:pPr>
              <w:jc w:val="center"/>
              <w:rPr>
                <w:rFonts w:cs="Calibri"/>
                <w:b/>
                <w:color w:val="FFFFFF"/>
                <w:sz w:val="16"/>
                <w:szCs w:val="16"/>
              </w:rPr>
            </w:pPr>
            <w:r>
              <w:rPr>
                <w:rFonts w:cs="Calibri"/>
                <w:b/>
                <w:color w:val="FFFFFF"/>
                <w:sz w:val="16"/>
                <w:szCs w:val="16"/>
              </w:rPr>
              <w:t>Subject</w:t>
            </w:r>
          </w:p>
          <w:p w14:paraId="3F7BEF4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097EF8F"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FCDF639" w14:textId="77777777" w:rsidR="00B97365" w:rsidRDefault="00000000">
            <w:pPr>
              <w:jc w:val="center"/>
              <w:rPr>
                <w:rFonts w:cs="Calibri"/>
                <w:b/>
                <w:color w:val="FFFFFF"/>
                <w:sz w:val="16"/>
                <w:szCs w:val="16"/>
              </w:rPr>
            </w:pPr>
            <w:r>
              <w:rPr>
                <w:rFonts w:cs="Calibri"/>
                <w:b/>
                <w:color w:val="FFFFFF"/>
                <w:sz w:val="16"/>
                <w:szCs w:val="16"/>
              </w:rPr>
              <w:t>Reason</w:t>
            </w:r>
          </w:p>
          <w:p w14:paraId="0B6BC82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0EADCD5"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D26AE99"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6F4CE516"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7338FAB" w14:textId="77777777" w:rsidR="00B97365" w:rsidRDefault="00000000">
            <w:pPr>
              <w:jc w:val="center"/>
              <w:rPr>
                <w:rFonts w:cs="Calibri"/>
                <w:sz w:val="16"/>
                <w:szCs w:val="16"/>
              </w:rPr>
            </w:pPr>
            <w:r>
              <w:rPr>
                <w:rFonts w:cs="Calibri"/>
                <w:sz w:val="16"/>
                <w:szCs w:val="16"/>
              </w:rPr>
              <w:lastRenderedPageBreak/>
              <w:t>8.2.5</w:t>
            </w:r>
          </w:p>
        </w:tc>
        <w:tc>
          <w:tcPr>
            <w:tcW w:w="0" w:type="auto"/>
            <w:tcBorders>
              <w:top w:val="single" w:sz="6" w:space="0" w:color="auto"/>
              <w:left w:val="single" w:sz="6" w:space="0" w:color="auto"/>
              <w:bottom w:val="single" w:sz="6" w:space="0" w:color="auto"/>
              <w:right w:val="single" w:sz="6" w:space="0" w:color="auto"/>
            </w:tcBorders>
            <w:vAlign w:val="center"/>
          </w:tcPr>
          <w:p w14:paraId="101B7A9A" w14:textId="77777777" w:rsidR="00B97365" w:rsidRDefault="00000000">
            <w:pPr>
              <w:rPr>
                <w:rFonts w:cs="Calibri"/>
                <w:sz w:val="16"/>
                <w:szCs w:val="16"/>
                <w:lang w:val="en-US"/>
              </w:rPr>
            </w:pPr>
            <w:r>
              <w:rPr>
                <w:rFonts w:cs="Calibri"/>
                <w:sz w:val="16"/>
                <w:szCs w:val="16"/>
                <w:lang w:val="en-US"/>
              </w:rPr>
              <w:t>Profile Type</w:t>
            </w:r>
          </w:p>
        </w:tc>
        <w:tc>
          <w:tcPr>
            <w:tcW w:w="0" w:type="auto"/>
            <w:tcBorders>
              <w:top w:val="single" w:sz="6" w:space="0" w:color="auto"/>
              <w:left w:val="single" w:sz="6" w:space="0" w:color="auto"/>
              <w:bottom w:val="single" w:sz="6" w:space="0" w:color="auto"/>
              <w:right w:val="single" w:sz="6" w:space="0" w:color="auto"/>
            </w:tcBorders>
            <w:vAlign w:val="center"/>
          </w:tcPr>
          <w:p w14:paraId="093B1395" w14:textId="77777777" w:rsidR="00B97365" w:rsidRDefault="00000000">
            <w:pPr>
              <w:jc w:val="center"/>
              <w:rPr>
                <w:rFonts w:cs="Calibri"/>
                <w:sz w:val="16"/>
                <w:szCs w:val="16"/>
                <w:lang w:val="en-US"/>
              </w:rPr>
            </w:pPr>
            <w:r>
              <w:rPr>
                <w:rFonts w:cs="Calibri"/>
                <w:sz w:val="16"/>
                <w:szCs w:val="16"/>
                <w:lang w:val="en-US"/>
              </w:rPr>
              <w:t>4.9</w:t>
            </w:r>
          </w:p>
        </w:tc>
        <w:tc>
          <w:tcPr>
            <w:tcW w:w="0" w:type="auto"/>
            <w:tcBorders>
              <w:top w:val="single" w:sz="6" w:space="0" w:color="auto"/>
              <w:left w:val="single" w:sz="6" w:space="0" w:color="auto"/>
              <w:bottom w:val="single" w:sz="6" w:space="0" w:color="auto"/>
              <w:right w:val="single" w:sz="6" w:space="0" w:color="auto"/>
            </w:tcBorders>
            <w:vAlign w:val="center"/>
          </w:tcPr>
          <w:p w14:paraId="3A6ADFFF" w14:textId="77777777" w:rsidR="00B97365" w:rsidRDefault="00000000">
            <w:pPr>
              <w:rPr>
                <w:rFonts w:cs="Calibri"/>
                <w:sz w:val="16"/>
                <w:szCs w:val="16"/>
                <w:lang w:val="en-US"/>
              </w:rPr>
            </w:pPr>
            <w:r>
              <w:rPr>
                <w:rFonts w:cs="Calibri"/>
                <w:sz w:val="16"/>
                <w:szCs w:val="16"/>
                <w:lang w:val="en-US"/>
              </w:rPr>
              <w:t>Unassigned</w:t>
            </w:r>
          </w:p>
        </w:tc>
        <w:tc>
          <w:tcPr>
            <w:tcW w:w="0" w:type="auto"/>
            <w:tcBorders>
              <w:top w:val="single" w:sz="6" w:space="0" w:color="auto"/>
              <w:left w:val="single" w:sz="6" w:space="0" w:color="auto"/>
              <w:bottom w:val="single" w:sz="6" w:space="0" w:color="auto"/>
              <w:right w:val="single" w:sz="4" w:space="0" w:color="auto"/>
            </w:tcBorders>
            <w:vAlign w:val="center"/>
          </w:tcPr>
          <w:p w14:paraId="311FFB33" w14:textId="77777777" w:rsidR="00B97365" w:rsidRDefault="00000000">
            <w:pPr>
              <w:rPr>
                <w:rFonts w:cs="Calibri"/>
                <w:sz w:val="16"/>
                <w:szCs w:val="16"/>
                <w:lang w:val="en-US"/>
              </w:rPr>
            </w:pPr>
            <w:r>
              <w:rPr>
                <w:rFonts w:cs="Calibri"/>
                <w:sz w:val="16"/>
                <w:szCs w:val="16"/>
                <w:lang w:val="en-US"/>
              </w:rPr>
              <w:t>Indicates that the Profile Type in the PLMA doesn’t match the Profile Type of any Profile owned by the Operator identified by its mno-id.</w:t>
            </w:r>
          </w:p>
          <w:p w14:paraId="32F4AAE5" w14:textId="77777777" w:rsidR="00B97365" w:rsidRDefault="00000000">
            <w:pPr>
              <w:rPr>
                <w:rFonts w:cs="Calibri"/>
                <w:sz w:val="16"/>
                <w:szCs w:val="16"/>
                <w:lang w:val="en-US"/>
              </w:rPr>
            </w:pPr>
            <w:r>
              <w:rPr>
                <w:rFonts w:cs="Calibri"/>
                <w:sz w:val="16"/>
                <w:szCs w:val="16"/>
                <w:lang w:val="en-US"/>
              </w:rPr>
              <w:t>The SM-SR MAY support this Status Code. If it does support it, the SM-SR SHALL record the PLMA anyway, and the Execution Status SHALL be Executed-WithWarning</w:t>
            </w:r>
          </w:p>
        </w:tc>
      </w:tr>
      <w:tr w:rsidR="00B97365" w14:paraId="1CCF2D9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3FD6B49"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5C09B7BE" w14:textId="77777777" w:rsidR="00B97365" w:rsidRDefault="00000000">
            <w:pPr>
              <w:rPr>
                <w:rFonts w:cs="Calibri"/>
                <w:sz w:val="16"/>
                <w:szCs w:val="16"/>
                <w:lang w:val="en-US"/>
              </w:rPr>
            </w:pPr>
            <w:r>
              <w:rPr>
                <w:rFonts w:cs="Calibri"/>
                <w:sz w:val="16"/>
                <w:szCs w:val="16"/>
                <w:lang w:val="en-US"/>
              </w:rPr>
              <w:t>PLMA</w:t>
            </w:r>
          </w:p>
        </w:tc>
        <w:tc>
          <w:tcPr>
            <w:tcW w:w="0" w:type="auto"/>
            <w:tcBorders>
              <w:top w:val="single" w:sz="6" w:space="0" w:color="auto"/>
              <w:left w:val="single" w:sz="6" w:space="0" w:color="auto"/>
              <w:bottom w:val="single" w:sz="6" w:space="0" w:color="auto"/>
              <w:right w:val="single" w:sz="6" w:space="0" w:color="auto"/>
            </w:tcBorders>
            <w:vAlign w:val="center"/>
          </w:tcPr>
          <w:p w14:paraId="7BDAE756" w14:textId="77777777" w:rsidR="00B97365" w:rsidRDefault="00000000">
            <w:pPr>
              <w:jc w:val="center"/>
              <w:rPr>
                <w:rFonts w:cs="Calibri"/>
                <w:sz w:val="16"/>
                <w:szCs w:val="16"/>
                <w:lang w:val="en-US"/>
              </w:rPr>
            </w:pPr>
            <w:r>
              <w:rPr>
                <w:rFonts w:cs="Calibri"/>
                <w:sz w:val="16"/>
                <w:szCs w:val="16"/>
                <w:lang w:val="en-US"/>
              </w:rPr>
              <w:t>3.6</w:t>
            </w:r>
          </w:p>
        </w:tc>
        <w:tc>
          <w:tcPr>
            <w:tcW w:w="0" w:type="auto"/>
            <w:tcBorders>
              <w:top w:val="single" w:sz="6" w:space="0" w:color="auto"/>
              <w:left w:val="single" w:sz="6" w:space="0" w:color="auto"/>
              <w:bottom w:val="single" w:sz="6" w:space="0" w:color="auto"/>
              <w:right w:val="single" w:sz="6" w:space="0" w:color="auto"/>
            </w:tcBorders>
            <w:vAlign w:val="center"/>
          </w:tcPr>
          <w:p w14:paraId="17E9BCFD" w14:textId="77777777" w:rsidR="00B97365" w:rsidRDefault="00000000">
            <w:pPr>
              <w:rPr>
                <w:rFonts w:cs="Calibri"/>
                <w:sz w:val="16"/>
                <w:szCs w:val="16"/>
                <w:lang w:val="en-US"/>
              </w:rPr>
            </w:pPr>
            <w:r>
              <w:rPr>
                <w:rFonts w:cs="Calibri"/>
                <w:sz w:val="16"/>
                <w:szCs w:val="16"/>
                <w:lang w:val="en-US"/>
              </w:rPr>
              <w:t>Related Objects Exists</w:t>
            </w:r>
          </w:p>
        </w:tc>
        <w:tc>
          <w:tcPr>
            <w:tcW w:w="0" w:type="auto"/>
            <w:tcBorders>
              <w:top w:val="single" w:sz="6" w:space="0" w:color="auto"/>
              <w:left w:val="single" w:sz="6" w:space="0" w:color="auto"/>
              <w:bottom w:val="single" w:sz="6" w:space="0" w:color="auto"/>
              <w:right w:val="single" w:sz="4" w:space="0" w:color="auto"/>
            </w:tcBorders>
            <w:vAlign w:val="center"/>
          </w:tcPr>
          <w:p w14:paraId="7D03FB5E" w14:textId="77777777" w:rsidR="00B97365" w:rsidRDefault="00000000">
            <w:pPr>
              <w:rPr>
                <w:rFonts w:cs="Calibri"/>
                <w:sz w:val="16"/>
                <w:szCs w:val="16"/>
                <w:lang w:val="en-US"/>
              </w:rPr>
            </w:pPr>
            <w:r>
              <w:rPr>
                <w:rFonts w:cs="Calibri"/>
                <w:sz w:val="16"/>
                <w:szCs w:val="16"/>
                <w:lang w:val="en-US"/>
              </w:rPr>
              <w:t>Indicates that the new PLMA has overwritten a former PLMA on the same identifiers. In this case the Execution Status SHALL be Executed-WithWarning</w:t>
            </w:r>
          </w:p>
        </w:tc>
      </w:tr>
      <w:tr w:rsidR="00B97365" w14:paraId="3A8FCCA6"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tcPr>
          <w:p w14:paraId="53152883" w14:textId="77777777" w:rsidR="00B97365" w:rsidRDefault="00000000">
            <w:pPr>
              <w:jc w:val="center"/>
              <w:rPr>
                <w:rFonts w:cs="Calibri"/>
                <w:sz w:val="16"/>
                <w:szCs w:val="16"/>
              </w:rPr>
            </w:pPr>
            <w:r>
              <w:rPr>
                <w:rFonts w:cs="Calibri"/>
                <w:sz w:val="16"/>
                <w:szCs w:val="16"/>
              </w:rPr>
              <w:t>8.2</w:t>
            </w:r>
          </w:p>
        </w:tc>
        <w:tc>
          <w:tcPr>
            <w:tcW w:w="0" w:type="auto"/>
            <w:tcBorders>
              <w:top w:val="single" w:sz="6" w:space="0" w:color="auto"/>
              <w:left w:val="single" w:sz="6" w:space="0" w:color="auto"/>
              <w:bottom w:val="single" w:sz="4" w:space="0" w:color="auto"/>
              <w:right w:val="single" w:sz="6" w:space="0" w:color="auto"/>
            </w:tcBorders>
            <w:vAlign w:val="center"/>
          </w:tcPr>
          <w:p w14:paraId="6DC012F0" w14:textId="77777777" w:rsidR="00B97365" w:rsidRDefault="00000000">
            <w:pPr>
              <w:rPr>
                <w:rFonts w:cs="Calibri"/>
                <w:sz w:val="16"/>
                <w:szCs w:val="16"/>
                <w:lang w:val="en-US"/>
              </w:rPr>
            </w:pPr>
            <w:r>
              <w:rPr>
                <w:rFonts w:cs="Calibri"/>
                <w:sz w:val="16"/>
                <w:szCs w:val="16"/>
                <w:lang w:val="en-US"/>
              </w:rPr>
              <w:t>Profile</w:t>
            </w:r>
          </w:p>
        </w:tc>
        <w:tc>
          <w:tcPr>
            <w:tcW w:w="0" w:type="auto"/>
            <w:tcBorders>
              <w:top w:val="single" w:sz="6" w:space="0" w:color="auto"/>
              <w:left w:val="single" w:sz="6" w:space="0" w:color="auto"/>
              <w:bottom w:val="single" w:sz="4" w:space="0" w:color="auto"/>
              <w:right w:val="single" w:sz="6" w:space="0" w:color="auto"/>
            </w:tcBorders>
            <w:vAlign w:val="center"/>
          </w:tcPr>
          <w:p w14:paraId="7CA369DC"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4" w:space="0" w:color="auto"/>
              <w:right w:val="single" w:sz="6" w:space="0" w:color="auto"/>
            </w:tcBorders>
            <w:vAlign w:val="center"/>
          </w:tcPr>
          <w:p w14:paraId="242113AF" w14:textId="77777777" w:rsidR="00B97365" w:rsidRDefault="00000000">
            <w:pPr>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4" w:space="0" w:color="auto"/>
              <w:right w:val="single" w:sz="4" w:space="0" w:color="auto"/>
            </w:tcBorders>
            <w:vAlign w:val="center"/>
          </w:tcPr>
          <w:p w14:paraId="23FCF6AB" w14:textId="77777777" w:rsidR="00B97365" w:rsidRDefault="00000000">
            <w:pPr>
              <w:rPr>
                <w:rFonts w:cs="Calibri"/>
                <w:sz w:val="16"/>
                <w:szCs w:val="16"/>
                <w:lang w:val="en-US"/>
              </w:rPr>
            </w:pPr>
            <w:r>
              <w:rPr>
                <w:rFonts w:cs="Calibri"/>
                <w:sz w:val="16"/>
                <w:szCs w:val="16"/>
                <w:lang w:val="en-US"/>
              </w:rPr>
              <w:t>Indicates that the requesting SM-DP is not allowed to configure PLMAs for the specified Operator</w:t>
            </w:r>
          </w:p>
        </w:tc>
      </w:tr>
      <w:tr w:rsidR="00B97365" w14:paraId="64E7A805"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tcPr>
          <w:p w14:paraId="39AABD91" w14:textId="77777777" w:rsidR="00B97365" w:rsidRDefault="00000000">
            <w:pPr>
              <w:jc w:val="center"/>
              <w:rPr>
                <w:rFonts w:cs="Calibri"/>
                <w:sz w:val="16"/>
                <w:szCs w:val="16"/>
              </w:rPr>
            </w:pPr>
            <w:r>
              <w:rPr>
                <w:rFonts w:cs="Calibri"/>
                <w:sz w:val="16"/>
                <w:szCs w:val="16"/>
              </w:rPr>
              <w:t>8.9</w:t>
            </w:r>
          </w:p>
        </w:tc>
        <w:tc>
          <w:tcPr>
            <w:tcW w:w="0" w:type="auto"/>
            <w:tcBorders>
              <w:top w:val="single" w:sz="6" w:space="0" w:color="auto"/>
              <w:left w:val="single" w:sz="6" w:space="0" w:color="auto"/>
              <w:bottom w:val="single" w:sz="4" w:space="0" w:color="auto"/>
              <w:right w:val="single" w:sz="6" w:space="0" w:color="auto"/>
            </w:tcBorders>
            <w:vAlign w:val="center"/>
          </w:tcPr>
          <w:p w14:paraId="66374588" w14:textId="77777777" w:rsidR="00B97365" w:rsidRDefault="00000000">
            <w:pPr>
              <w:rPr>
                <w:rFonts w:cs="Calibri"/>
                <w:sz w:val="16"/>
                <w:szCs w:val="16"/>
                <w:lang w:val="en-US"/>
              </w:rPr>
            </w:pPr>
            <w:r>
              <w:rPr>
                <w:rFonts w:cs="Calibri"/>
                <w:sz w:val="16"/>
                <w:szCs w:val="16"/>
                <w:lang w:val="en-US"/>
              </w:rPr>
              <w:t>M2M SP</w:t>
            </w:r>
          </w:p>
        </w:tc>
        <w:tc>
          <w:tcPr>
            <w:tcW w:w="0" w:type="auto"/>
            <w:tcBorders>
              <w:top w:val="single" w:sz="6" w:space="0" w:color="auto"/>
              <w:left w:val="single" w:sz="6" w:space="0" w:color="auto"/>
              <w:bottom w:val="single" w:sz="4" w:space="0" w:color="auto"/>
              <w:right w:val="single" w:sz="6" w:space="0" w:color="auto"/>
            </w:tcBorders>
            <w:vAlign w:val="center"/>
          </w:tcPr>
          <w:p w14:paraId="717354C9"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4" w:space="0" w:color="auto"/>
              <w:right w:val="single" w:sz="6" w:space="0" w:color="auto"/>
            </w:tcBorders>
            <w:vAlign w:val="center"/>
          </w:tcPr>
          <w:p w14:paraId="70888FD0"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4" w:space="0" w:color="auto"/>
              <w:right w:val="single" w:sz="4" w:space="0" w:color="auto"/>
            </w:tcBorders>
            <w:vAlign w:val="center"/>
          </w:tcPr>
          <w:p w14:paraId="420214E0" w14:textId="77777777" w:rsidR="00B97365" w:rsidRDefault="00000000">
            <w:pPr>
              <w:rPr>
                <w:rFonts w:cs="Calibri"/>
                <w:sz w:val="16"/>
                <w:szCs w:val="16"/>
                <w:lang w:val="en-US"/>
              </w:rPr>
            </w:pPr>
            <w:r>
              <w:rPr>
                <w:rFonts w:cs="Calibri"/>
                <w:sz w:val="16"/>
                <w:szCs w:val="16"/>
                <w:lang w:val="en-US"/>
              </w:rPr>
              <w:t>Indicates that the M2M SP to grant authorisations to is unknown to or not connected to this SM-SR</w:t>
            </w:r>
          </w:p>
        </w:tc>
      </w:tr>
      <w:tr w:rsidR="00B97365" w14:paraId="789AC5C9"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tcPr>
          <w:p w14:paraId="2625AF12" w14:textId="77777777" w:rsidR="00B97365" w:rsidRDefault="00000000">
            <w:pPr>
              <w:jc w:val="center"/>
              <w:rPr>
                <w:rFonts w:cs="Calibri"/>
                <w:sz w:val="16"/>
                <w:szCs w:val="16"/>
              </w:rPr>
            </w:pPr>
            <w:r>
              <w:rPr>
                <w:rFonts w:cs="Calibri"/>
                <w:sz w:val="16"/>
                <w:szCs w:val="16"/>
              </w:rPr>
              <w:t>8.10</w:t>
            </w:r>
          </w:p>
        </w:tc>
        <w:tc>
          <w:tcPr>
            <w:tcW w:w="0" w:type="auto"/>
            <w:tcBorders>
              <w:top w:val="single" w:sz="6" w:space="0" w:color="auto"/>
              <w:left w:val="single" w:sz="6" w:space="0" w:color="auto"/>
              <w:bottom w:val="single" w:sz="4" w:space="0" w:color="auto"/>
              <w:right w:val="single" w:sz="6" w:space="0" w:color="auto"/>
            </w:tcBorders>
            <w:vAlign w:val="center"/>
          </w:tcPr>
          <w:p w14:paraId="0EBA048F" w14:textId="77777777" w:rsidR="00B97365" w:rsidRDefault="00000000">
            <w:pPr>
              <w:rPr>
                <w:rFonts w:cs="Calibri"/>
                <w:sz w:val="16"/>
                <w:szCs w:val="16"/>
                <w:lang w:val="en-US"/>
              </w:rPr>
            </w:pPr>
            <w:r>
              <w:rPr>
                <w:rFonts w:cs="Calibri"/>
                <w:sz w:val="16"/>
                <w:szCs w:val="16"/>
                <w:lang w:val="en-US"/>
              </w:rPr>
              <w:t>Operator</w:t>
            </w:r>
          </w:p>
        </w:tc>
        <w:tc>
          <w:tcPr>
            <w:tcW w:w="0" w:type="auto"/>
            <w:tcBorders>
              <w:top w:val="single" w:sz="6" w:space="0" w:color="auto"/>
              <w:left w:val="single" w:sz="6" w:space="0" w:color="auto"/>
              <w:bottom w:val="single" w:sz="4" w:space="0" w:color="auto"/>
              <w:right w:val="single" w:sz="6" w:space="0" w:color="auto"/>
            </w:tcBorders>
            <w:vAlign w:val="center"/>
          </w:tcPr>
          <w:p w14:paraId="114D8C36"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4" w:space="0" w:color="auto"/>
              <w:right w:val="single" w:sz="6" w:space="0" w:color="auto"/>
            </w:tcBorders>
            <w:vAlign w:val="center"/>
          </w:tcPr>
          <w:p w14:paraId="6708B82D"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4" w:space="0" w:color="auto"/>
              <w:right w:val="single" w:sz="4" w:space="0" w:color="auto"/>
            </w:tcBorders>
            <w:vAlign w:val="center"/>
          </w:tcPr>
          <w:p w14:paraId="548E77E7" w14:textId="77777777" w:rsidR="00B97365" w:rsidRDefault="00000000">
            <w:pPr>
              <w:rPr>
                <w:rFonts w:cs="Calibri"/>
                <w:sz w:val="16"/>
                <w:szCs w:val="16"/>
                <w:lang w:val="en-US"/>
              </w:rPr>
            </w:pPr>
            <w:r>
              <w:rPr>
                <w:rFonts w:cs="Calibri"/>
                <w:sz w:val="16"/>
                <w:szCs w:val="16"/>
                <w:lang w:val="en-US"/>
              </w:rPr>
              <w:t>Indicates that the Operator, addressed by the mno-id in the PLMA is unknown.</w:t>
            </w:r>
          </w:p>
        </w:tc>
      </w:tr>
    </w:tbl>
    <w:p w14:paraId="64A2AD4C"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5416-B: SetPLMA Specific Status Codes</w:t>
      </w:r>
    </w:p>
    <w:p w14:paraId="4FDF316C"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04" w:name="_Ref536547806"/>
      <w:bookmarkStart w:id="5205" w:name="_Toc1977394"/>
      <w:bookmarkStart w:id="5206" w:name="_Toc37062553"/>
      <w:bookmarkStart w:id="5207" w:name="_Toc88839627"/>
      <w:bookmarkStart w:id="5208" w:name="_Toc121504035"/>
      <w:r>
        <w:rPr>
          <w:rFonts w:eastAsia="Times New Roman" w:cs="Arial"/>
          <w:b/>
          <w:bCs/>
          <w:iCs/>
          <w:sz w:val="24"/>
          <w:szCs w:val="26"/>
          <w:lang w:eastAsia="en-US"/>
        </w:rPr>
        <w:t>Retrieving Authorisations of M2M SP to Access Profiles</w:t>
      </w:r>
      <w:bookmarkEnd w:id="5204"/>
      <w:bookmarkEnd w:id="5205"/>
      <w:bookmarkEnd w:id="5206"/>
      <w:bookmarkEnd w:id="5207"/>
      <w:bookmarkEnd w:id="5208"/>
    </w:p>
    <w:p w14:paraId="4077DCE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GetPLMA</w:t>
      </w:r>
    </w:p>
    <w:p w14:paraId="5161FCCE" w14:textId="77777777" w:rsidR="00B97365" w:rsidRDefault="00000000">
      <w:pPr>
        <w:spacing w:before="0" w:after="200" w:line="276" w:lineRule="auto"/>
        <w:jc w:val="left"/>
        <w:rPr>
          <w:szCs w:val="22"/>
          <w:lang w:eastAsia="en-GB" w:bidi="ar-SA"/>
        </w:rPr>
      </w:pPr>
      <w:r>
        <w:rPr>
          <w:rFonts w:cs="Arial"/>
          <w:b/>
          <w:szCs w:val="22"/>
          <w:lang w:val="en-US" w:eastAsia="en-GB" w:bidi="ar-SA"/>
        </w:rPr>
        <w:t>Related Procedures</w:t>
      </w:r>
      <w:r>
        <w:rPr>
          <w:szCs w:val="22"/>
          <w:lang w:val="en-US" w:eastAsia="en-GB" w:bidi="ar-SA"/>
        </w:rPr>
        <w:t>: Retrieve Profile Lifecycle Management Authorisation by Operator</w:t>
      </w:r>
    </w:p>
    <w:p w14:paraId="372C4CD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398CC46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685847C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1DC6E11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SM-DP to retrieve, on behalf of an Operator owning Profiles, a list of PLMAs applicable to a certain Profile, or a certain Profile Type, or for a certain M2M SP.</w:t>
      </w:r>
    </w:p>
    <w:p w14:paraId="71B5AE2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same function can also be used on behalf of an Operator playing the role of an M2M SP, to retrieve the list of PLMAs granted to this Operator, and applicable to a certain Profile, or a certain Profile Type, owned by another Operator.</w:t>
      </w:r>
    </w:p>
    <w:p w14:paraId="61E711F7" w14:textId="77777777" w:rsidR="00B97365" w:rsidRDefault="00000000">
      <w:pPr>
        <w:spacing w:before="0" w:after="200" w:line="276" w:lineRule="auto"/>
        <w:jc w:val="left"/>
        <w:rPr>
          <w:szCs w:val="22"/>
          <w:lang w:val="en-US" w:eastAsia="en-GB" w:bidi="ar-SA"/>
        </w:rPr>
      </w:pPr>
      <w:r>
        <w:rPr>
          <w:szCs w:val="22"/>
          <w:lang w:val="en-US" w:eastAsia="en-GB" w:bidi="ar-SA"/>
        </w:rPr>
        <w:t xml:space="preserve">The SM-SR SHALL verify that the request is </w:t>
      </w:r>
    </w:p>
    <w:p w14:paraId="78A91E0C"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Either sent on behalf of an Operator owning the targeted Profile </w:t>
      </w:r>
    </w:p>
    <w:p w14:paraId="0AF2B317" w14:textId="77777777" w:rsidR="00B97365" w:rsidRDefault="00000000">
      <w:pPr>
        <w:spacing w:before="0" w:after="200" w:line="276" w:lineRule="auto"/>
        <w:ind w:left="720"/>
        <w:contextualSpacing/>
        <w:jc w:val="left"/>
        <w:rPr>
          <w:szCs w:val="22"/>
          <w:lang w:val="en-US" w:eastAsia="en-GB" w:bidi="ar-SA"/>
        </w:rPr>
      </w:pPr>
      <w:r>
        <w:rPr>
          <w:szCs w:val="22"/>
          <w:lang w:val="en-US" w:eastAsia="en-GB" w:bidi="ar-SA"/>
        </w:rPr>
        <w:t xml:space="preserve">or </w:t>
      </w:r>
    </w:p>
    <w:p w14:paraId="1BCD2F3B"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Sent on behalf of an Operator that is not the owner of the targeted Profile, but the Operator owning the targeted Profile has granted a PLMA allowing at least one operation for the target Profile or Profile Type to the Operator requesting the operation.</w:t>
      </w:r>
    </w:p>
    <w:p w14:paraId="2999B4E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this verification fails, the SM-SR SHALL terminate the request and return a response with the ‘Function execution status’ indicating ‘Failed’, and no PLMA.</w:t>
      </w:r>
    </w:p>
    <w:p w14:paraId="08BE3D9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Otherwise, the SM-SR SHALL return the complete list of all PLMAs applicable to the specified search criterion; if the search criterion is on a specific Profile or Profile Type, this includes even PLMAs that are granted to an M2M SP that is not the Operator on behalf of which the SM-DP sent this request.</w:t>
      </w:r>
    </w:p>
    <w:p w14:paraId="054E8A4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In case the list of PLMAs is very long, the SM-SR MAY truncate the result. The caller can then issue another call to getPLMA with more restrictive criteria.</w:t>
      </w:r>
    </w:p>
    <w:p w14:paraId="311A876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NOTE</w:t>
      </w:r>
      <w:r>
        <w:rPr>
          <w:rFonts w:cs="Arial"/>
          <w:szCs w:val="22"/>
          <w:lang w:val="en-US" w:eastAsia="en-GB" w:bidi="ar-SA"/>
        </w:rPr>
        <w:tab/>
        <w:t>The order of the PLMAs returned in the truncated list is implementation-dependent.</w:t>
      </w:r>
    </w:p>
    <w:p w14:paraId="61C93F3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008A7DFE"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and additional output data providing the PLMAs.</w:t>
      </w:r>
    </w:p>
    <w:p w14:paraId="5C10336B"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to indicate that the result was truncated, plus additional output data providing part of the list of applicable PLMAs.</w:t>
      </w:r>
    </w:p>
    <w:p w14:paraId="749167E9"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indicating ‘Failed’ if the requester was not allowed to request this information.</w:t>
      </w:r>
    </w:p>
    <w:p w14:paraId="094C4B5C" w14:textId="77777777" w:rsidR="00B97365" w:rsidRDefault="00B97365">
      <w:pPr>
        <w:spacing w:before="0" w:after="200" w:line="276" w:lineRule="auto"/>
        <w:jc w:val="left"/>
        <w:rPr>
          <w:rFonts w:cs="Arial"/>
          <w:b/>
          <w:i/>
          <w:szCs w:val="22"/>
          <w:lang w:eastAsia="en-GB" w:bidi="ar-SA"/>
        </w:rPr>
      </w:pPr>
    </w:p>
    <w:p w14:paraId="4EF3C9A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515"/>
        <w:gridCol w:w="5630"/>
        <w:gridCol w:w="590"/>
        <w:gridCol w:w="474"/>
        <w:gridCol w:w="590"/>
      </w:tblGrid>
      <w:tr w:rsidR="00B97365" w14:paraId="4AFFAE54"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98D206D"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621FE58"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1273C7A"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947EB3C"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718519D"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2542218"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4DCFB27E"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profileType</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33FF6DC8" w14:textId="77777777" w:rsidR="00B97365" w:rsidRDefault="00000000">
            <w:pPr>
              <w:rPr>
                <w:rFonts w:cs="Calibri"/>
                <w:sz w:val="16"/>
                <w:szCs w:val="16"/>
                <w:lang w:val="en-US"/>
              </w:rPr>
            </w:pPr>
            <w:r>
              <w:rPr>
                <w:rFonts w:cs="Calibri"/>
                <w:sz w:val="16"/>
                <w:szCs w:val="16"/>
                <w:lang w:val="en-US"/>
              </w:rPr>
              <w:t>Identification of the Profile type for which PLMAs are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9235B9C"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String</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0C7E543B"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657205C4"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5EECE4E6"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50ACD027"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m2m-sp-id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10BA556B" w14:textId="77777777" w:rsidR="00B97365" w:rsidRDefault="00000000">
            <w:pPr>
              <w:rPr>
                <w:rFonts w:cs="Calibri"/>
                <w:sz w:val="16"/>
                <w:szCs w:val="16"/>
                <w:lang w:val="en-US"/>
              </w:rPr>
            </w:pPr>
            <w:r>
              <w:rPr>
                <w:rFonts w:cs="Calibri"/>
                <w:sz w:val="16"/>
                <w:szCs w:val="16"/>
                <w:lang w:val="en-US"/>
              </w:rPr>
              <w:t>Identification of the M2M SP for which PLMAs are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576B96E7"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5588FC20"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033D3A29"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40B87666"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411639A0"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iccid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0CAD9974" w14:textId="77777777" w:rsidR="00B97365" w:rsidRDefault="00000000">
            <w:pPr>
              <w:rPr>
                <w:rFonts w:cs="Calibri"/>
                <w:sz w:val="16"/>
                <w:szCs w:val="16"/>
                <w:lang w:val="en-US"/>
              </w:rPr>
            </w:pPr>
            <w:r>
              <w:rPr>
                <w:rFonts w:cs="Calibri"/>
                <w:sz w:val="16"/>
                <w:szCs w:val="16"/>
                <w:lang w:val="en-US"/>
              </w:rPr>
              <w:t>Identification of one specific Profile</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7AE4A0F3"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2FFF71C1"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75BBCD1B"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76EFFA62"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14:paraId="7FA30EFA"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mno-id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D828A8D" w14:textId="77777777" w:rsidR="00B97365" w:rsidRDefault="00000000">
            <w:pPr>
              <w:rPr>
                <w:rFonts w:cs="Calibri"/>
                <w:sz w:val="16"/>
                <w:szCs w:val="16"/>
                <w:lang w:val="en-US"/>
              </w:rPr>
            </w:pPr>
            <w:r>
              <w:rPr>
                <w:rFonts w:cs="Calibri"/>
                <w:sz w:val="16"/>
                <w:szCs w:val="16"/>
                <w:lang w:val="en-US"/>
              </w:rPr>
              <w:t>Identification of the Operator owning the Profiles to be matched (this input datum SHALL be present only in case the search criterion is a Profile Type).</w:t>
            </w:r>
          </w:p>
          <w:p w14:paraId="040A1546" w14:textId="63727027" w:rsidR="00B97365" w:rsidRDefault="00000000">
            <w:pPr>
              <w:rPr>
                <w:rFonts w:cs="Calibri"/>
                <w:sz w:val="16"/>
                <w:szCs w:val="16"/>
                <w:lang w:val="en-US"/>
              </w:rPr>
            </w:pPr>
            <w:r>
              <w:rPr>
                <w:rFonts w:cs="Calibri"/>
                <w:sz w:val="16"/>
                <w:szCs w:val="16"/>
                <w:lang w:val="en-US"/>
              </w:rPr>
              <w:t xml:space="preserve">See section </w:t>
            </w:r>
            <w:r>
              <w:rPr>
                <w:rFonts w:cs="Calibri"/>
                <w:sz w:val="16"/>
                <w:szCs w:val="16"/>
                <w:lang w:val="en-US"/>
              </w:rPr>
              <w:fldChar w:fldCharType="begin"/>
            </w:r>
            <w:r>
              <w:rPr>
                <w:rFonts w:cs="Calibri"/>
                <w:sz w:val="16"/>
                <w:szCs w:val="16"/>
                <w:lang w:val="en-US"/>
              </w:rPr>
              <w:instrText xml:space="preserve"> REF _Ref367973980 \r \h  \* MERGEFORMAT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5.1.1.1</w:t>
            </w:r>
            <w:r>
              <w:rPr>
                <w:rFonts w:cs="Calibri"/>
                <w:sz w:val="16"/>
                <w:szCs w:val="16"/>
                <w:lang w:val="en-US"/>
              </w:rP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1DECDF0"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B8F29CF"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14:paraId="2E43B7D4"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bl>
    <w:p w14:paraId="6F656E8B" w14:textId="77777777" w:rsidR="00B97365" w:rsidRDefault="00000000">
      <w:pPr>
        <w:tabs>
          <w:tab w:val="left" w:pos="1009"/>
        </w:tabs>
        <w:spacing w:after="200" w:line="276" w:lineRule="auto"/>
        <w:jc w:val="center"/>
        <w:rPr>
          <w:rFonts w:cs="Arial"/>
          <w:lang w:eastAsia="de-DE" w:bidi="ar-SA"/>
        </w:rPr>
      </w:pPr>
      <w:r>
        <w:rPr>
          <w:rFonts w:cs="Arial"/>
          <w:b/>
          <w:lang w:eastAsia="de-DE" w:bidi="ar-SA"/>
        </w:rPr>
        <w:t>Table 5417-A: GetPLMA Additional Input Data</w:t>
      </w:r>
    </w:p>
    <w:p w14:paraId="214ECEE6" w14:textId="77777777" w:rsidR="00B97365" w:rsidRDefault="00000000">
      <w:pPr>
        <w:spacing w:before="0" w:after="200" w:line="276" w:lineRule="auto"/>
        <w:jc w:val="left"/>
        <w:rPr>
          <w:rFonts w:cs="Arial"/>
          <w:b/>
          <w:i/>
          <w:szCs w:val="22"/>
          <w:lang w:val="en-US" w:eastAsia="en-GB" w:bidi="ar-SA"/>
        </w:rPr>
      </w:pPr>
      <w:r>
        <w:rPr>
          <w:rFonts w:cs="Arial"/>
          <w:szCs w:val="22"/>
          <w:lang w:val="en-US" w:eastAsia="en-GB" w:bidi="ar-SA"/>
        </w:rPr>
        <w:t xml:space="preserve">One and only one of the input data </w:t>
      </w:r>
      <w:r>
        <w:rPr>
          <w:rFonts w:cs="Calibri"/>
          <w:szCs w:val="22"/>
        </w:rPr>
        <w:t>profileType</w:t>
      </w:r>
      <w:r>
        <w:rPr>
          <w:rFonts w:cs="Arial"/>
          <w:szCs w:val="22"/>
          <w:lang w:val="en-US" w:eastAsia="en-GB" w:bidi="ar-SA"/>
        </w:rPr>
        <w:t xml:space="preserve">, </w:t>
      </w:r>
      <w:r>
        <w:rPr>
          <w:rFonts w:cs="Calibri"/>
          <w:szCs w:val="22"/>
          <w:lang w:val="en-US"/>
        </w:rPr>
        <w:t>m2m-sp-id</w:t>
      </w:r>
      <w:r>
        <w:rPr>
          <w:rFonts w:cs="Arial"/>
          <w:szCs w:val="22"/>
          <w:lang w:val="en-US" w:eastAsia="en-GB" w:bidi="ar-SA"/>
        </w:rPr>
        <w:t xml:space="preserve"> and </w:t>
      </w:r>
      <w:r>
        <w:rPr>
          <w:rFonts w:cs="Calibri"/>
          <w:szCs w:val="22"/>
          <w:lang w:val="en-US"/>
        </w:rPr>
        <w:t>iccid</w:t>
      </w:r>
      <w:r>
        <w:rPr>
          <w:rFonts w:cs="Arial"/>
          <w:szCs w:val="22"/>
          <w:lang w:val="en-US" w:eastAsia="en-GB" w:bidi="ar-SA"/>
        </w:rPr>
        <w:t xml:space="preserve"> SHALL be present.</w:t>
      </w:r>
    </w:p>
    <w:p w14:paraId="6763FF88"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21"/>
        <w:gridCol w:w="3502"/>
        <w:gridCol w:w="576"/>
        <w:gridCol w:w="400"/>
        <w:gridCol w:w="525"/>
      </w:tblGrid>
      <w:tr w:rsidR="00B97365" w14:paraId="0F6D5B1E"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24EE42B" w14:textId="77777777" w:rsidR="00B97365" w:rsidRDefault="00000000">
            <w:pPr>
              <w:jc w:val="center"/>
              <w:rPr>
                <w:rFonts w:cs="Calibri"/>
                <w:color w:val="FFFFFF"/>
                <w:sz w:val="16"/>
                <w:szCs w:val="16"/>
              </w:rPr>
            </w:pPr>
            <w:r>
              <w:rPr>
                <w:rFonts w:cs="Calibri"/>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793FE58" w14:textId="77777777" w:rsidR="00B97365" w:rsidRDefault="00000000">
            <w:pPr>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3913CB3"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5D2A1DB"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C9807BB"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MOC</w:t>
            </w:r>
          </w:p>
        </w:tc>
      </w:tr>
      <w:tr w:rsidR="00B97365" w14:paraId="3310DCB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14D3AA1" w14:textId="77777777" w:rsidR="00B97365" w:rsidRDefault="00000000">
            <w:pPr>
              <w:tabs>
                <w:tab w:val="right" w:pos="7938"/>
              </w:tabs>
              <w:ind w:left="470" w:hanging="459"/>
              <w:rPr>
                <w:rFonts w:cs="Calibri"/>
                <w:sz w:val="16"/>
                <w:szCs w:val="16"/>
              </w:rPr>
            </w:pPr>
            <w:r>
              <w:rPr>
                <w:rFonts w:cs="Calibri"/>
                <w:sz w:val="16"/>
                <w:szCs w:val="16"/>
              </w:rPr>
              <w:t>plma</w:t>
            </w:r>
          </w:p>
        </w:tc>
        <w:tc>
          <w:tcPr>
            <w:tcW w:w="0" w:type="auto"/>
            <w:tcBorders>
              <w:top w:val="single" w:sz="6" w:space="0" w:color="auto"/>
              <w:left w:val="single" w:sz="6" w:space="0" w:color="auto"/>
              <w:bottom w:val="single" w:sz="4" w:space="0" w:color="auto"/>
              <w:right w:val="single" w:sz="6" w:space="0" w:color="auto"/>
            </w:tcBorders>
            <w:vAlign w:val="center"/>
            <w:hideMark/>
          </w:tcPr>
          <w:p w14:paraId="3ACF1D30" w14:textId="77777777" w:rsidR="00B97365" w:rsidRDefault="00000000">
            <w:pPr>
              <w:rPr>
                <w:rFonts w:cs="Calibri"/>
                <w:sz w:val="16"/>
                <w:szCs w:val="16"/>
              </w:rPr>
            </w:pPr>
            <w:r>
              <w:rPr>
                <w:rFonts w:cs="Calibri"/>
                <w:sz w:val="16"/>
                <w:szCs w:val="16"/>
              </w:rPr>
              <w:t xml:space="preserve">The list of PLMAs that match the search criteria </w:t>
            </w:r>
          </w:p>
          <w:p w14:paraId="369F8717" w14:textId="77777777" w:rsidR="00B97365" w:rsidRDefault="00000000">
            <w:pPr>
              <w:rPr>
                <w:rFonts w:cs="Calibri"/>
                <w:sz w:val="16"/>
                <w:szCs w:val="16"/>
              </w:rPr>
            </w:pPr>
            <w:r>
              <w:rPr>
                <w:rFonts w:cs="Calibri"/>
                <w:sz w:val="16"/>
                <w:szCs w:val="16"/>
              </w:rPr>
              <w:t xml:space="preserve">See </w:t>
            </w:r>
            <w:r>
              <w:rPr>
                <w:rFonts w:cs="Calibri"/>
                <w:sz w:val="16"/>
                <w:szCs w:val="16"/>
                <w:lang w:val="en-US"/>
              </w:rPr>
              <w:t>section 5.1.1.2.14</w:t>
            </w:r>
            <w:r>
              <w:t xml:space="preserve"> </w:t>
            </w:r>
            <w:r>
              <w:rPr>
                <w:rFonts w:cs="Calibri"/>
                <w:sz w:val="16"/>
                <w:szCs w:val="16"/>
              </w:rPr>
              <w:t>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210E503A" w14:textId="77777777" w:rsidR="00B97365" w:rsidRDefault="00000000">
            <w:pPr>
              <w:jc w:val="center"/>
              <w:rPr>
                <w:rFonts w:cs="Calibri"/>
                <w:sz w:val="16"/>
                <w:szCs w:val="16"/>
              </w:rPr>
            </w:pPr>
            <w:r>
              <w:rPr>
                <w:rFonts w:cs="Calibri"/>
                <w:sz w:val="16"/>
                <w:szCs w:val="16"/>
              </w:rPr>
              <w:t>PLMA</w:t>
            </w:r>
          </w:p>
        </w:tc>
        <w:tc>
          <w:tcPr>
            <w:tcW w:w="0" w:type="auto"/>
            <w:tcBorders>
              <w:top w:val="single" w:sz="6" w:space="0" w:color="auto"/>
              <w:left w:val="single" w:sz="6" w:space="0" w:color="auto"/>
              <w:bottom w:val="single" w:sz="4" w:space="0" w:color="auto"/>
              <w:right w:val="single" w:sz="6" w:space="0" w:color="auto"/>
            </w:tcBorders>
            <w:vAlign w:val="center"/>
            <w:hideMark/>
          </w:tcPr>
          <w:p w14:paraId="3D2896DD" w14:textId="77777777" w:rsidR="00B97365" w:rsidRDefault="00000000">
            <w:pPr>
              <w:jc w:val="center"/>
              <w:rPr>
                <w:rFonts w:cs="Calibri"/>
                <w:sz w:val="16"/>
                <w:szCs w:val="16"/>
              </w:rPr>
            </w:pPr>
            <w:r>
              <w:rPr>
                <w:rFonts w:cs="Calibri"/>
                <w:sz w:val="16"/>
                <w:szCs w:val="16"/>
              </w:rPr>
              <w:t>N</w:t>
            </w:r>
          </w:p>
        </w:tc>
        <w:tc>
          <w:tcPr>
            <w:tcW w:w="0" w:type="auto"/>
            <w:tcBorders>
              <w:top w:val="single" w:sz="6" w:space="0" w:color="auto"/>
              <w:left w:val="single" w:sz="6" w:space="0" w:color="auto"/>
              <w:bottom w:val="single" w:sz="4" w:space="0" w:color="auto"/>
              <w:right w:val="single" w:sz="4" w:space="0" w:color="auto"/>
            </w:tcBorders>
            <w:vAlign w:val="center"/>
            <w:hideMark/>
          </w:tcPr>
          <w:p w14:paraId="5930754C" w14:textId="77777777" w:rsidR="00B97365" w:rsidRDefault="00000000">
            <w:pPr>
              <w:jc w:val="center"/>
              <w:rPr>
                <w:rFonts w:cs="Calibri"/>
                <w:sz w:val="16"/>
                <w:szCs w:val="16"/>
              </w:rPr>
            </w:pPr>
            <w:r>
              <w:rPr>
                <w:rFonts w:cs="Calibri"/>
                <w:sz w:val="16"/>
                <w:szCs w:val="16"/>
              </w:rPr>
              <w:t>M</w:t>
            </w:r>
          </w:p>
        </w:tc>
      </w:tr>
    </w:tbl>
    <w:p w14:paraId="28F05F34" w14:textId="77777777" w:rsidR="00B97365" w:rsidRDefault="00000000">
      <w:pPr>
        <w:tabs>
          <w:tab w:val="left" w:pos="1009"/>
        </w:tabs>
        <w:spacing w:after="200" w:line="276" w:lineRule="auto"/>
        <w:jc w:val="center"/>
        <w:rPr>
          <w:rFonts w:cs="Arial"/>
          <w:b/>
          <w:lang w:eastAsia="de-DE" w:bidi="ar-SA"/>
        </w:rPr>
      </w:pPr>
      <w:r>
        <w:rPr>
          <w:rFonts w:cs="Arial"/>
          <w:b/>
          <w:lang w:eastAsia="de-DE" w:bidi="ar-SA"/>
        </w:rPr>
        <w:t>Table 5417-B: GetPLMA Additional Output Data</w:t>
      </w:r>
    </w:p>
    <w:p w14:paraId="288117FF" w14:textId="77777777" w:rsidR="00B97365" w:rsidRDefault="00000000">
      <w:pPr>
        <w:spacing w:before="0" w:after="200" w:line="276" w:lineRule="auto"/>
        <w:jc w:val="left"/>
        <w:rPr>
          <w:rFonts w:cs="Arial"/>
          <w:b/>
          <w:i/>
          <w:szCs w:val="22"/>
          <w:lang w:val="en-US" w:eastAsia="en-GB" w:bidi="ar-SA"/>
        </w:rPr>
      </w:pPr>
      <w:r>
        <w:rPr>
          <w:lang w:eastAsia="en-US"/>
        </w:rPr>
        <w:br w:type="page"/>
      </w:r>
      <w:r>
        <w:rPr>
          <w:rFonts w:cs="Arial"/>
          <w:b/>
          <w:i/>
          <w:szCs w:val="22"/>
          <w:lang w:val="en-US" w:eastAsia="en-GB" w:bidi="ar-SA"/>
        </w:rPr>
        <w:lastRenderedPageBreak/>
        <w:t>Specific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967"/>
        <w:gridCol w:w="718"/>
        <w:gridCol w:w="1386"/>
        <w:gridCol w:w="5227"/>
      </w:tblGrid>
      <w:tr w:rsidR="00B97365" w14:paraId="21FF4A6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B825DC3" w14:textId="77777777" w:rsidR="00B97365" w:rsidRDefault="00000000">
            <w:pPr>
              <w:jc w:val="center"/>
              <w:rPr>
                <w:rFonts w:cs="Calibri"/>
                <w:b/>
                <w:color w:val="FFFFFF"/>
                <w:sz w:val="16"/>
                <w:szCs w:val="16"/>
              </w:rPr>
            </w:pPr>
            <w:r>
              <w:rPr>
                <w:rFonts w:cs="Calibri"/>
                <w:b/>
                <w:color w:val="FFFFFF"/>
                <w:sz w:val="16"/>
                <w:szCs w:val="16"/>
              </w:rPr>
              <w:t>Subject</w:t>
            </w:r>
          </w:p>
          <w:p w14:paraId="5353F0A8"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6444FBF"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5B42FC0" w14:textId="77777777" w:rsidR="00B97365" w:rsidRDefault="00000000">
            <w:pPr>
              <w:jc w:val="center"/>
              <w:rPr>
                <w:rFonts w:cs="Calibri"/>
                <w:b/>
                <w:color w:val="FFFFFF"/>
                <w:sz w:val="16"/>
                <w:szCs w:val="16"/>
              </w:rPr>
            </w:pPr>
            <w:r>
              <w:rPr>
                <w:rFonts w:cs="Calibri"/>
                <w:b/>
                <w:color w:val="FFFFFF"/>
                <w:sz w:val="16"/>
                <w:szCs w:val="16"/>
              </w:rPr>
              <w:t>Reason</w:t>
            </w:r>
          </w:p>
          <w:p w14:paraId="3C9898AA"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5258946"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C102243"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22A83DF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9D5C74D" w14:textId="77777777" w:rsidR="00B97365" w:rsidRDefault="00000000">
            <w:pPr>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tcPr>
          <w:p w14:paraId="794BC12A" w14:textId="77777777" w:rsidR="00B97365" w:rsidRDefault="00000000">
            <w:pPr>
              <w:rPr>
                <w:rFonts w:cs="Calibri"/>
                <w:sz w:val="16"/>
                <w:szCs w:val="16"/>
                <w:lang w:val="en-US"/>
              </w:rPr>
            </w:pPr>
            <w:r>
              <w:rPr>
                <w:rFonts w:cs="Calibri"/>
                <w:sz w:val="16"/>
                <w:szCs w:val="16"/>
                <w:lang w:val="en-US"/>
              </w:rPr>
              <w:t>Function requester</w:t>
            </w:r>
          </w:p>
        </w:tc>
        <w:tc>
          <w:tcPr>
            <w:tcW w:w="0" w:type="auto"/>
            <w:tcBorders>
              <w:top w:val="single" w:sz="6" w:space="0" w:color="auto"/>
              <w:left w:val="single" w:sz="6" w:space="0" w:color="auto"/>
              <w:bottom w:val="single" w:sz="6" w:space="0" w:color="auto"/>
              <w:right w:val="single" w:sz="6" w:space="0" w:color="auto"/>
            </w:tcBorders>
            <w:vAlign w:val="center"/>
          </w:tcPr>
          <w:p w14:paraId="6A3E738C"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6" w:space="0" w:color="auto"/>
              <w:right w:val="single" w:sz="6" w:space="0" w:color="auto"/>
            </w:tcBorders>
            <w:vAlign w:val="center"/>
          </w:tcPr>
          <w:p w14:paraId="78E3B578" w14:textId="77777777" w:rsidR="00B97365" w:rsidRDefault="00000000">
            <w:pPr>
              <w:jc w:val="left"/>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tcPr>
          <w:p w14:paraId="52B5C736" w14:textId="77777777" w:rsidR="00B97365" w:rsidRDefault="00000000">
            <w:pPr>
              <w:rPr>
                <w:rFonts w:cs="Calibri"/>
                <w:sz w:val="16"/>
                <w:szCs w:val="16"/>
                <w:lang w:val="en-US"/>
              </w:rPr>
            </w:pPr>
            <w:r>
              <w:rPr>
                <w:rFonts w:cs="Calibri"/>
                <w:sz w:val="16"/>
                <w:szCs w:val="16"/>
                <w:lang w:val="en-US"/>
              </w:rPr>
              <w:t>Indicates that the Operator on behalf of which the SM-DP called the function is not the owner of the specified Profile, or doesn’t have a PLMA granted that applies to the targeted Profile or Profile type (including, if the targeted Profile or Profile type is unknown to this SM-SR)</w:t>
            </w:r>
          </w:p>
        </w:tc>
      </w:tr>
      <w:tr w:rsidR="00B97365" w14:paraId="01C802C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2B5DA397" w14:textId="77777777" w:rsidR="00B97365" w:rsidRDefault="00000000">
            <w:pPr>
              <w:jc w:val="center"/>
              <w:rPr>
                <w:rFonts w:cs="Calibri"/>
                <w:sz w:val="16"/>
                <w:szCs w:val="16"/>
              </w:rPr>
            </w:pPr>
            <w:r>
              <w:rPr>
                <w:rFonts w:cs="Calibri"/>
                <w:sz w:val="16"/>
                <w:szCs w:val="16"/>
              </w:rPr>
              <w:t>8.2</w:t>
            </w:r>
          </w:p>
        </w:tc>
        <w:tc>
          <w:tcPr>
            <w:tcW w:w="0" w:type="auto"/>
            <w:tcBorders>
              <w:top w:val="single" w:sz="6" w:space="0" w:color="auto"/>
              <w:left w:val="single" w:sz="6" w:space="0" w:color="auto"/>
              <w:bottom w:val="single" w:sz="6" w:space="0" w:color="auto"/>
              <w:right w:val="single" w:sz="6" w:space="0" w:color="auto"/>
            </w:tcBorders>
            <w:vAlign w:val="center"/>
          </w:tcPr>
          <w:p w14:paraId="4259AB8D" w14:textId="77777777" w:rsidR="00B97365" w:rsidRDefault="00000000">
            <w:pPr>
              <w:rPr>
                <w:rFonts w:cs="Calibri"/>
                <w:sz w:val="16"/>
                <w:szCs w:val="16"/>
                <w:lang w:val="en-US"/>
              </w:rPr>
            </w:pPr>
            <w:r>
              <w:rPr>
                <w:rFonts w:cs="Calibri"/>
                <w:sz w:val="16"/>
                <w:szCs w:val="16"/>
                <w:lang w:val="en-US"/>
              </w:rPr>
              <w:t>Profile</w:t>
            </w:r>
          </w:p>
        </w:tc>
        <w:tc>
          <w:tcPr>
            <w:tcW w:w="0" w:type="auto"/>
            <w:tcBorders>
              <w:top w:val="single" w:sz="6" w:space="0" w:color="auto"/>
              <w:left w:val="single" w:sz="6" w:space="0" w:color="auto"/>
              <w:bottom w:val="single" w:sz="6" w:space="0" w:color="auto"/>
              <w:right w:val="single" w:sz="6" w:space="0" w:color="auto"/>
            </w:tcBorders>
            <w:vAlign w:val="center"/>
          </w:tcPr>
          <w:p w14:paraId="051715F2"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6" w:space="0" w:color="auto"/>
              <w:right w:val="single" w:sz="6" w:space="0" w:color="auto"/>
            </w:tcBorders>
            <w:vAlign w:val="center"/>
          </w:tcPr>
          <w:p w14:paraId="61B19098" w14:textId="77777777" w:rsidR="00B97365" w:rsidRDefault="00000000">
            <w:pPr>
              <w:jc w:val="left"/>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tcPr>
          <w:p w14:paraId="74051372" w14:textId="77777777" w:rsidR="00B97365" w:rsidRDefault="00000000">
            <w:pPr>
              <w:rPr>
                <w:rFonts w:cs="Calibri"/>
                <w:sz w:val="16"/>
                <w:szCs w:val="16"/>
                <w:lang w:val="en-US"/>
              </w:rPr>
            </w:pPr>
            <w:r>
              <w:rPr>
                <w:rFonts w:cs="Calibri"/>
                <w:sz w:val="16"/>
                <w:szCs w:val="16"/>
                <w:lang w:val="en-US"/>
              </w:rPr>
              <w:t>Indicates that the requesting SM-DP is not allowed to configure PLMAs for the specified Operator</w:t>
            </w:r>
          </w:p>
        </w:tc>
      </w:tr>
      <w:tr w:rsidR="00B97365" w14:paraId="288D61B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11EC08A" w14:textId="77777777" w:rsidR="00B97365" w:rsidRDefault="00000000">
            <w:pPr>
              <w:jc w:val="center"/>
              <w:rPr>
                <w:rFonts w:cs="Calibri"/>
                <w:sz w:val="16"/>
                <w:szCs w:val="16"/>
              </w:rPr>
            </w:pPr>
            <w:r>
              <w:rPr>
                <w:rFonts w:cs="Calibri"/>
                <w:sz w:val="16"/>
                <w:szCs w:val="16"/>
              </w:rPr>
              <w:t>8.9</w:t>
            </w:r>
          </w:p>
        </w:tc>
        <w:tc>
          <w:tcPr>
            <w:tcW w:w="0" w:type="auto"/>
            <w:tcBorders>
              <w:top w:val="single" w:sz="6" w:space="0" w:color="auto"/>
              <w:left w:val="single" w:sz="6" w:space="0" w:color="auto"/>
              <w:bottom w:val="single" w:sz="6" w:space="0" w:color="auto"/>
              <w:right w:val="single" w:sz="6" w:space="0" w:color="auto"/>
            </w:tcBorders>
            <w:vAlign w:val="center"/>
          </w:tcPr>
          <w:p w14:paraId="43CD55D6" w14:textId="77777777" w:rsidR="00B97365" w:rsidRDefault="00000000">
            <w:pPr>
              <w:rPr>
                <w:rFonts w:cs="Calibri"/>
                <w:sz w:val="16"/>
                <w:szCs w:val="16"/>
                <w:lang w:val="en-US"/>
              </w:rPr>
            </w:pPr>
            <w:r>
              <w:rPr>
                <w:rFonts w:cs="Calibri"/>
                <w:sz w:val="16"/>
                <w:szCs w:val="16"/>
                <w:lang w:val="en-US"/>
              </w:rPr>
              <w:t>M2M SP</w:t>
            </w:r>
          </w:p>
        </w:tc>
        <w:tc>
          <w:tcPr>
            <w:tcW w:w="0" w:type="auto"/>
            <w:tcBorders>
              <w:top w:val="single" w:sz="6" w:space="0" w:color="auto"/>
              <w:left w:val="single" w:sz="6" w:space="0" w:color="auto"/>
              <w:bottom w:val="single" w:sz="6" w:space="0" w:color="auto"/>
              <w:right w:val="single" w:sz="6" w:space="0" w:color="auto"/>
            </w:tcBorders>
            <w:vAlign w:val="center"/>
          </w:tcPr>
          <w:p w14:paraId="3762CC48"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6443C251"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1682874D" w14:textId="77777777" w:rsidR="00B97365" w:rsidRDefault="00000000">
            <w:pPr>
              <w:rPr>
                <w:rFonts w:cs="Calibri"/>
                <w:sz w:val="16"/>
                <w:szCs w:val="16"/>
                <w:lang w:val="en-US"/>
              </w:rPr>
            </w:pPr>
            <w:r>
              <w:rPr>
                <w:rFonts w:cs="Calibri"/>
                <w:sz w:val="16"/>
                <w:szCs w:val="16"/>
                <w:lang w:val="en-US"/>
              </w:rPr>
              <w:t>Indicates that the M2M SP is unknown to or not connected to this SM-SR</w:t>
            </w:r>
          </w:p>
        </w:tc>
      </w:tr>
      <w:tr w:rsidR="00B97365" w14:paraId="28D5C94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2E9E9DE" w14:textId="77777777" w:rsidR="00B97365" w:rsidRDefault="00000000">
            <w:pPr>
              <w:jc w:val="center"/>
              <w:rPr>
                <w:rFonts w:cs="Calibri"/>
                <w:sz w:val="16"/>
                <w:szCs w:val="16"/>
              </w:rPr>
            </w:pPr>
            <w:r>
              <w:rPr>
                <w:rFonts w:cs="Calibri"/>
                <w:sz w:val="16"/>
                <w:szCs w:val="16"/>
              </w:rPr>
              <w:t>8.10</w:t>
            </w:r>
          </w:p>
        </w:tc>
        <w:tc>
          <w:tcPr>
            <w:tcW w:w="0" w:type="auto"/>
            <w:tcBorders>
              <w:top w:val="single" w:sz="6" w:space="0" w:color="auto"/>
              <w:left w:val="single" w:sz="6" w:space="0" w:color="auto"/>
              <w:bottom w:val="single" w:sz="6" w:space="0" w:color="auto"/>
              <w:right w:val="single" w:sz="6" w:space="0" w:color="auto"/>
            </w:tcBorders>
            <w:vAlign w:val="center"/>
          </w:tcPr>
          <w:p w14:paraId="72BDBB51" w14:textId="77777777" w:rsidR="00B97365" w:rsidRDefault="00000000">
            <w:pPr>
              <w:rPr>
                <w:rFonts w:cs="Calibri"/>
                <w:sz w:val="16"/>
                <w:szCs w:val="16"/>
                <w:lang w:val="en-US"/>
              </w:rPr>
            </w:pPr>
            <w:r>
              <w:rPr>
                <w:rFonts w:cs="Calibri"/>
                <w:sz w:val="16"/>
                <w:szCs w:val="16"/>
                <w:lang w:val="en-US"/>
              </w:rPr>
              <w:t>Operator</w:t>
            </w:r>
          </w:p>
        </w:tc>
        <w:tc>
          <w:tcPr>
            <w:tcW w:w="0" w:type="auto"/>
            <w:tcBorders>
              <w:top w:val="single" w:sz="6" w:space="0" w:color="auto"/>
              <w:left w:val="single" w:sz="6" w:space="0" w:color="auto"/>
              <w:bottom w:val="single" w:sz="6" w:space="0" w:color="auto"/>
              <w:right w:val="single" w:sz="6" w:space="0" w:color="auto"/>
            </w:tcBorders>
            <w:vAlign w:val="center"/>
          </w:tcPr>
          <w:p w14:paraId="73C8122D"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5D6E3D02"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69276EE2" w14:textId="77777777" w:rsidR="00B97365" w:rsidRDefault="00000000">
            <w:pPr>
              <w:rPr>
                <w:rFonts w:cs="Calibri"/>
                <w:sz w:val="16"/>
                <w:szCs w:val="16"/>
                <w:lang w:val="en-US"/>
              </w:rPr>
            </w:pPr>
            <w:r>
              <w:rPr>
                <w:rFonts w:cs="Calibri"/>
                <w:sz w:val="16"/>
                <w:szCs w:val="16"/>
                <w:lang w:val="en-US"/>
              </w:rPr>
              <w:t>Indicates that the Operator, addressed by the mno-id in the PLMA is unknown.</w:t>
            </w:r>
          </w:p>
        </w:tc>
      </w:tr>
    </w:tbl>
    <w:p w14:paraId="2C97F905" w14:textId="77777777" w:rsidR="00B97365" w:rsidRDefault="00000000">
      <w:pPr>
        <w:tabs>
          <w:tab w:val="left" w:pos="1009"/>
        </w:tabs>
        <w:spacing w:after="200" w:line="276" w:lineRule="auto"/>
        <w:jc w:val="center"/>
        <w:rPr>
          <w:rFonts w:cs="Arial"/>
          <w:lang w:eastAsia="de-DE" w:bidi="ar-SA"/>
        </w:rPr>
      </w:pPr>
      <w:r>
        <w:rPr>
          <w:rFonts w:cs="Arial"/>
          <w:b/>
          <w:lang w:eastAsia="de-DE" w:bidi="ar-SA"/>
        </w:rPr>
        <w:t>Table 5417-C: GetPLMA Specific Status Codes</w:t>
      </w:r>
    </w:p>
    <w:p w14:paraId="5D39063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09" w:name="_Toc536552295"/>
      <w:bookmarkStart w:id="5210" w:name="_Toc1977395"/>
      <w:bookmarkStart w:id="5211" w:name="_Toc37062554"/>
      <w:bookmarkStart w:id="5212" w:name="_Toc88839628"/>
      <w:bookmarkStart w:id="5213" w:name="_Toc121504036"/>
      <w:bookmarkStart w:id="5214" w:name="_Toc375158321"/>
      <w:bookmarkStart w:id="5215" w:name="_Toc374348531"/>
      <w:bookmarkStart w:id="5216" w:name="_Toc368932330"/>
      <w:bookmarkStart w:id="5217" w:name="_Toc352671590"/>
      <w:bookmarkEnd w:id="5209"/>
      <w:r>
        <w:rPr>
          <w:rFonts w:eastAsia="Times New Roman" w:cs="Arial"/>
          <w:b/>
          <w:bCs/>
          <w:iCs/>
          <w:sz w:val="24"/>
          <w:szCs w:val="26"/>
          <w:lang w:eastAsia="en-US"/>
        </w:rPr>
        <w:t>Notify a Profile Download</w:t>
      </w:r>
      <w:bookmarkEnd w:id="5210"/>
      <w:bookmarkEnd w:id="5211"/>
      <w:bookmarkEnd w:id="5212"/>
      <w:bookmarkEnd w:id="5213"/>
    </w:p>
    <w:p w14:paraId="6FAF435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HandleProfileDownloadNotification</w:t>
      </w:r>
    </w:p>
    <w:p w14:paraId="31B6592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t xml:space="preserve">Profile Download </w:t>
      </w:r>
    </w:p>
    <w:p w14:paraId="3B865DF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2CCFCD2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SM-DP (when the corresponding Operator is in the role of an M2M SP)</w:t>
      </w:r>
    </w:p>
    <w:p w14:paraId="3AFE5E1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an Operator (acting as an M2M SP from the point of view of another Operator) that the Profile identified by its ICCID has been downloaded on the eUICC identified by its EID.</w:t>
      </w:r>
    </w:p>
    <w:p w14:paraId="4B6D2533" w14:textId="77777777" w:rsidR="00B97365" w:rsidRDefault="00000000">
      <w:pPr>
        <w:spacing w:before="0" w:after="200" w:line="276" w:lineRule="auto"/>
        <w:jc w:val="left"/>
        <w:rPr>
          <w:szCs w:val="22"/>
          <w:lang w:val="en-US" w:eastAsia="en-GB" w:bidi="ar-SA"/>
        </w:rPr>
      </w:pPr>
      <w:r>
        <w:rPr>
          <w:szCs w:val="22"/>
          <w:lang w:val="en-US" w:eastAsia="en-GB" w:bidi="ar-SA"/>
        </w:rPr>
        <w:t>The SM-SR SHALL inspect the PLMAs that apply to this Profile, and only send this notification to an SM-DP known to be serving an Operator that has been granted a PLMA by the Operator owner of the Profile for the authorised operation “HandleProfileDownloadedNotification”.</w:t>
      </w:r>
    </w:p>
    <w:p w14:paraId="3538E4E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62B14CED"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96"/>
        <w:gridCol w:w="5359"/>
        <w:gridCol w:w="949"/>
        <w:gridCol w:w="398"/>
        <w:gridCol w:w="514"/>
      </w:tblGrid>
      <w:tr w:rsidR="00B97365" w14:paraId="79E740F4"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6E0FAFC"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0097C0D"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6E8C4C8"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AD20020"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55BB2CE"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B50B13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7B3D2B8"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8A79CE9" w14:textId="77777777" w:rsidR="00B97365" w:rsidRDefault="00000000">
            <w:pPr>
              <w:rPr>
                <w:rFonts w:cs="Calibri"/>
                <w:sz w:val="16"/>
                <w:szCs w:val="16"/>
              </w:rPr>
            </w:pPr>
            <w:r>
              <w:rPr>
                <w:rFonts w:cs="Calibri"/>
                <w:sz w:val="16"/>
                <w:szCs w:val="16"/>
              </w:rPr>
              <w:t>Identification of the targeted eUICC.</w:t>
            </w:r>
          </w:p>
          <w:p w14:paraId="213B55BD" w14:textId="5D2EC5F6"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_Ref367975471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C54E4E2"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FDDBF44"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8FF75A2"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1C9FE30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1AADA34" w14:textId="77777777" w:rsidR="00B97365" w:rsidRDefault="00000000">
            <w:pPr>
              <w:spacing w:line="260" w:lineRule="atLeast"/>
              <w:ind w:left="1531" w:hanging="1531"/>
              <w:outlineLvl w:val="8"/>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281CD37" w14:textId="77777777" w:rsidR="00B97365" w:rsidRDefault="00000000">
            <w:pPr>
              <w:tabs>
                <w:tab w:val="right" w:pos="7938"/>
              </w:tabs>
              <w:ind w:left="470" w:hanging="459"/>
              <w:rPr>
                <w:rFonts w:cs="Calibri"/>
                <w:sz w:val="16"/>
                <w:szCs w:val="16"/>
              </w:rPr>
            </w:pPr>
            <w:r>
              <w:rPr>
                <w:rFonts w:cs="Calibri"/>
                <w:sz w:val="16"/>
                <w:szCs w:val="16"/>
              </w:rPr>
              <w:t>Identification of the Profile that has been downloaded.</w:t>
            </w:r>
          </w:p>
          <w:p w14:paraId="58AA8607" w14:textId="0A01E4B9"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0E4AC96"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FBDBB7F"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CCF0281" w14:textId="77777777" w:rsidR="00B97365" w:rsidRDefault="00000000">
            <w:pPr>
              <w:jc w:val="center"/>
              <w:rPr>
                <w:rFonts w:cs="Calibri"/>
                <w:sz w:val="16"/>
                <w:szCs w:val="16"/>
              </w:rPr>
            </w:pPr>
            <w:r>
              <w:rPr>
                <w:rFonts w:cs="Calibri"/>
                <w:sz w:val="16"/>
                <w:szCs w:val="16"/>
              </w:rPr>
              <w:t>M</w:t>
            </w:r>
          </w:p>
        </w:tc>
      </w:tr>
      <w:tr w:rsidR="00B97365" w14:paraId="71367A0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CD49CE4" w14:textId="77777777" w:rsidR="00B97365" w:rsidRDefault="00000000">
            <w:pPr>
              <w:spacing w:line="260" w:lineRule="atLeast"/>
              <w:ind w:left="1531" w:hanging="1531"/>
              <w:outlineLvl w:val="8"/>
              <w:rPr>
                <w:rFonts w:cs="Calibri"/>
                <w:sz w:val="16"/>
                <w:szCs w:val="16"/>
              </w:rPr>
            </w:pPr>
            <w:r>
              <w:rPr>
                <w:rFonts w:cs="Calibri"/>
                <w:sz w:val="16"/>
                <w:szCs w:val="16"/>
                <w:lang w:eastAsia="en-GB" w:bidi="ar-SA"/>
              </w:rPr>
              <w:t>mno-id</w:t>
            </w:r>
          </w:p>
        </w:tc>
        <w:tc>
          <w:tcPr>
            <w:tcW w:w="0" w:type="auto"/>
            <w:tcBorders>
              <w:top w:val="single" w:sz="6" w:space="0" w:color="auto"/>
              <w:left w:val="single" w:sz="6" w:space="0" w:color="auto"/>
              <w:bottom w:val="single" w:sz="6" w:space="0" w:color="auto"/>
              <w:right w:val="single" w:sz="6" w:space="0" w:color="auto"/>
            </w:tcBorders>
            <w:vAlign w:val="center"/>
          </w:tcPr>
          <w:p w14:paraId="4393B683"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Operator owner of the Profile that has been downloaded.</w:t>
            </w:r>
          </w:p>
          <w:p w14:paraId="14CD97B5" w14:textId="54B7165E" w:rsidR="00B97365" w:rsidRDefault="00000000">
            <w:pPr>
              <w:tabs>
                <w:tab w:val="right" w:pos="7938"/>
              </w:tabs>
              <w:ind w:left="470" w:hanging="459"/>
              <w:rPr>
                <w:rFonts w:cs="Calibri"/>
                <w:sz w:val="16"/>
                <w:szCs w:val="16"/>
              </w:rPr>
            </w:pPr>
            <w:r>
              <w:rPr>
                <w:rFonts w:cs="Calibri"/>
                <w:sz w:val="16"/>
                <w:szCs w:val="16"/>
                <w:lang w:val="en-US" w:eastAsia="en-GB" w:bidi="ar-SA"/>
              </w:rPr>
              <w:t xml:space="preserve">See section </w:t>
            </w:r>
            <w:r>
              <w:fldChar w:fldCharType="begin"/>
            </w:r>
            <w:r>
              <w:instrText xml:space="preserve"> REF _Ref367974944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2E41C59C" w14:textId="77777777" w:rsidR="00B97365" w:rsidRDefault="00000000">
            <w:pPr>
              <w:jc w:val="center"/>
              <w:rPr>
                <w:rFonts w:cs="Calibri"/>
                <w:sz w:val="16"/>
                <w:szCs w:val="16"/>
              </w:rPr>
            </w:pPr>
            <w:r>
              <w:rPr>
                <w:rFonts w:cs="Calibri"/>
                <w:sz w:val="16"/>
                <w:szCs w:val="16"/>
                <w:lang w:eastAsia="en-GB" w:bidi="ar-SA"/>
              </w:rPr>
              <w:t>OID</w:t>
            </w:r>
          </w:p>
        </w:tc>
        <w:tc>
          <w:tcPr>
            <w:tcW w:w="0" w:type="auto"/>
            <w:tcBorders>
              <w:top w:val="single" w:sz="6" w:space="0" w:color="auto"/>
              <w:left w:val="single" w:sz="6" w:space="0" w:color="auto"/>
              <w:bottom w:val="single" w:sz="6" w:space="0" w:color="auto"/>
              <w:right w:val="single" w:sz="6" w:space="0" w:color="auto"/>
            </w:tcBorders>
            <w:vAlign w:val="center"/>
          </w:tcPr>
          <w:p w14:paraId="2C46B6C2" w14:textId="77777777" w:rsidR="00B97365" w:rsidRDefault="00000000">
            <w:pPr>
              <w:jc w:val="center"/>
              <w:rPr>
                <w:rFonts w:cs="Calibri"/>
                <w:sz w:val="16"/>
                <w:szCs w:val="16"/>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tcPr>
          <w:p w14:paraId="2FDDF616" w14:textId="77777777" w:rsidR="00B97365" w:rsidRDefault="00000000">
            <w:pPr>
              <w:jc w:val="center"/>
              <w:rPr>
                <w:rFonts w:cs="Calibri"/>
                <w:sz w:val="16"/>
                <w:szCs w:val="16"/>
              </w:rPr>
            </w:pPr>
            <w:r>
              <w:rPr>
                <w:rFonts w:cs="Calibri"/>
                <w:sz w:val="16"/>
                <w:szCs w:val="16"/>
                <w:lang w:eastAsia="en-GB" w:bidi="ar-SA"/>
              </w:rPr>
              <w:t>M</w:t>
            </w:r>
          </w:p>
        </w:tc>
      </w:tr>
      <w:tr w:rsidR="00B97365" w14:paraId="5CF87EDB"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1F3C4FE" w14:textId="77777777" w:rsidR="00B97365" w:rsidRDefault="00000000">
            <w:pPr>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0FD92083" w14:textId="77777777" w:rsidR="00B97365" w:rsidRDefault="00000000">
            <w:pPr>
              <w:rPr>
                <w:rFonts w:cs="Calibri"/>
                <w:sz w:val="16"/>
                <w:szCs w:val="16"/>
              </w:rPr>
            </w:pPr>
            <w:r>
              <w:rPr>
                <w:rFonts w:cs="Calibri"/>
                <w:sz w:val="16"/>
                <w:szCs w:val="16"/>
              </w:rPr>
              <w:t>Indication of the date/time when the operation has been performed.</w:t>
            </w:r>
          </w:p>
          <w:p w14:paraId="17C10C12" w14:textId="0DC14595" w:rsidR="00B97365" w:rsidRDefault="00000000">
            <w:pPr>
              <w:rPr>
                <w:rFonts w:cs="Calibri"/>
                <w:sz w:val="16"/>
                <w:szCs w:val="16"/>
              </w:rPr>
            </w:pPr>
            <w:r>
              <w:rPr>
                <w:rFonts w:cs="Calibri"/>
                <w:sz w:val="16"/>
                <w:szCs w:val="16"/>
              </w:rPr>
              <w:lastRenderedPageBreak/>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63F8D725" w14:textId="77777777" w:rsidR="00B97365" w:rsidRDefault="00000000">
            <w:pPr>
              <w:jc w:val="center"/>
              <w:rPr>
                <w:rFonts w:cs="Calibri"/>
                <w:sz w:val="16"/>
                <w:szCs w:val="16"/>
              </w:rPr>
            </w:pPr>
            <w:r>
              <w:rPr>
                <w:rFonts w:cs="Calibri"/>
                <w:sz w:val="16"/>
                <w:szCs w:val="16"/>
              </w:rPr>
              <w:lastRenderedPageBreak/>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5C6280A7"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9EE7B2E" w14:textId="77777777" w:rsidR="00B97365" w:rsidRDefault="00000000">
            <w:pPr>
              <w:jc w:val="center"/>
              <w:rPr>
                <w:rFonts w:cs="Calibri"/>
                <w:sz w:val="16"/>
                <w:szCs w:val="16"/>
              </w:rPr>
            </w:pPr>
            <w:r>
              <w:rPr>
                <w:rFonts w:cs="Calibri"/>
                <w:sz w:val="16"/>
                <w:szCs w:val="16"/>
              </w:rPr>
              <w:t>M</w:t>
            </w:r>
          </w:p>
        </w:tc>
      </w:tr>
    </w:tbl>
    <w:p w14:paraId="44278E05"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5418: Handle Profile Downloaded Notification Additional Input Data</w:t>
      </w:r>
    </w:p>
    <w:p w14:paraId="3C80365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18" w:name="_Toc1977396"/>
      <w:bookmarkStart w:id="5219" w:name="_Toc37062555"/>
      <w:bookmarkStart w:id="5220" w:name="_Toc88839629"/>
      <w:bookmarkStart w:id="5221" w:name="_Toc121504037"/>
      <w:r>
        <w:rPr>
          <w:rFonts w:eastAsia="Times New Roman" w:cs="Arial"/>
          <w:b/>
          <w:bCs/>
          <w:iCs/>
          <w:sz w:val="24"/>
          <w:szCs w:val="26"/>
          <w:lang w:eastAsia="en-US"/>
        </w:rPr>
        <w:t>Notify the Change of Policy Rules of a Profile</w:t>
      </w:r>
      <w:bookmarkEnd w:id="5218"/>
      <w:bookmarkEnd w:id="5219"/>
      <w:bookmarkEnd w:id="5220"/>
      <w:bookmarkEnd w:id="5221"/>
    </w:p>
    <w:p w14:paraId="1DB0E63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HandlePolicyRulesUpdatedNotification</w:t>
      </w:r>
    </w:p>
    <w:p w14:paraId="267BD00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t>POL2 Update Via SM-DP</w:t>
      </w:r>
    </w:p>
    <w:p w14:paraId="76E94BE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6F12AEB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SM-DP DP (when the corresponding Operator is in the role of an M2M SP)</w:t>
      </w:r>
    </w:p>
    <w:p w14:paraId="3AC4B636" w14:textId="77777777" w:rsidR="00B97365" w:rsidRDefault="00000000">
      <w:pPr>
        <w:spacing w:before="0" w:after="200" w:line="276" w:lineRule="auto"/>
        <w:jc w:val="left"/>
        <w:rPr>
          <w:szCs w:val="22"/>
          <w:lang w:val="en-US" w:eastAsia="en-GB" w:bidi="ar-SA"/>
        </w:rPr>
      </w:pPr>
      <w:r>
        <w:rPr>
          <w:rFonts w:cs="Arial"/>
          <w:b/>
          <w:lang w:val="en-US"/>
        </w:rPr>
        <w:t>Description</w:t>
      </w:r>
      <w:r>
        <w:rPr>
          <w:lang w:val="en-US"/>
        </w:rPr>
        <w:t xml:space="preserve">: This function SHALL be called to notify an Operator (acting as an M2M SP </w:t>
      </w:r>
      <w:r>
        <w:rPr>
          <w:szCs w:val="22"/>
          <w:lang w:val="en-US" w:eastAsia="en-GB" w:bidi="ar-SA"/>
        </w:rPr>
        <w:t>from the point of view of another Operator) that the Policy Rules have been updated on the Profile identified by its ICCID on the eUICC identified by its EID.</w:t>
      </w:r>
    </w:p>
    <w:p w14:paraId="278EFD7A" w14:textId="77777777" w:rsidR="00B97365" w:rsidRDefault="00000000">
      <w:pPr>
        <w:spacing w:before="0" w:after="200" w:line="276" w:lineRule="auto"/>
        <w:jc w:val="left"/>
        <w:rPr>
          <w:szCs w:val="22"/>
          <w:lang w:val="en-US" w:eastAsia="en-GB" w:bidi="ar-SA"/>
        </w:rPr>
      </w:pPr>
      <w:r>
        <w:rPr>
          <w:szCs w:val="22"/>
          <w:lang w:val="en-US" w:eastAsia="en-GB" w:bidi="ar-SA"/>
        </w:rPr>
        <w:t>The SM-SR SHALL inspect the PLMAs that apply to this Profile, and only send this notification to an SM-DP known to be serving an Operator that has been granted a PLMA by the Operator owner of the Profile for the authorised operation “HandlePolicyRuleUpdatedNotification”.</w:t>
      </w:r>
    </w:p>
    <w:p w14:paraId="339EEC3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72D8CAFA" w14:textId="77777777" w:rsidR="00B97365" w:rsidRDefault="00B97365">
      <w:pPr>
        <w:spacing w:before="0" w:after="200" w:line="276" w:lineRule="auto"/>
        <w:jc w:val="left"/>
        <w:rPr>
          <w:rFonts w:cs="Arial"/>
          <w:szCs w:val="22"/>
          <w:lang w:val="en-US" w:eastAsia="en-GB" w:bidi="ar-SA"/>
        </w:rPr>
      </w:pPr>
    </w:p>
    <w:p w14:paraId="01EFC03A"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96"/>
        <w:gridCol w:w="5359"/>
        <w:gridCol w:w="949"/>
        <w:gridCol w:w="398"/>
        <w:gridCol w:w="514"/>
      </w:tblGrid>
      <w:tr w:rsidR="00B97365" w14:paraId="1561D4F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5AE17A8"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2CE76C7"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5AF8C9B"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AB1E7C1"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614C1F5"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CA4722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53385B5"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49D4E45" w14:textId="77777777" w:rsidR="00B97365" w:rsidRDefault="00000000">
            <w:pPr>
              <w:rPr>
                <w:rFonts w:cs="Calibri"/>
                <w:sz w:val="16"/>
                <w:szCs w:val="16"/>
              </w:rPr>
            </w:pPr>
            <w:r>
              <w:rPr>
                <w:rFonts w:cs="Calibri"/>
                <w:sz w:val="16"/>
                <w:szCs w:val="16"/>
              </w:rPr>
              <w:t>Identification of the targeted eUICC.</w:t>
            </w:r>
          </w:p>
          <w:p w14:paraId="21D0548E" w14:textId="249FE110"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_Ref367975471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0489ADC"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C69CA82"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18A95DF"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4BE595A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BBB98A8" w14:textId="77777777" w:rsidR="00B97365" w:rsidRDefault="00000000">
            <w:pPr>
              <w:spacing w:line="260" w:lineRule="atLeast"/>
              <w:ind w:left="1531" w:hanging="1531"/>
              <w:outlineLvl w:val="8"/>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6DC4D1B" w14:textId="77777777" w:rsidR="00B97365" w:rsidRDefault="00000000">
            <w:pPr>
              <w:tabs>
                <w:tab w:val="right" w:pos="7938"/>
              </w:tabs>
              <w:ind w:left="470" w:hanging="459"/>
              <w:rPr>
                <w:rFonts w:cs="Calibri"/>
                <w:sz w:val="16"/>
                <w:szCs w:val="16"/>
              </w:rPr>
            </w:pPr>
            <w:r>
              <w:rPr>
                <w:rFonts w:cs="Calibri"/>
                <w:sz w:val="16"/>
                <w:szCs w:val="16"/>
              </w:rPr>
              <w:t>Identification of the Profile whose POL2 has been updated.</w:t>
            </w:r>
          </w:p>
          <w:p w14:paraId="0C86EA1D" w14:textId="5C97655F"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ED02431"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209347C"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62F33DE" w14:textId="77777777" w:rsidR="00B97365" w:rsidRDefault="00000000">
            <w:pPr>
              <w:jc w:val="center"/>
              <w:rPr>
                <w:rFonts w:cs="Calibri"/>
                <w:sz w:val="16"/>
                <w:szCs w:val="16"/>
              </w:rPr>
            </w:pPr>
            <w:r>
              <w:rPr>
                <w:rFonts w:cs="Calibri"/>
                <w:sz w:val="16"/>
                <w:szCs w:val="16"/>
              </w:rPr>
              <w:t>M</w:t>
            </w:r>
          </w:p>
        </w:tc>
      </w:tr>
      <w:tr w:rsidR="00B97365" w14:paraId="09A2C9F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1AC105F" w14:textId="77777777" w:rsidR="00B97365" w:rsidRDefault="00000000">
            <w:pPr>
              <w:spacing w:line="260" w:lineRule="atLeast"/>
              <w:ind w:left="1531" w:hanging="1531"/>
              <w:outlineLvl w:val="8"/>
              <w:rPr>
                <w:rFonts w:cs="Calibri"/>
                <w:sz w:val="16"/>
                <w:szCs w:val="16"/>
              </w:rPr>
            </w:pPr>
            <w:r>
              <w:rPr>
                <w:rFonts w:cs="Calibri"/>
                <w:sz w:val="16"/>
                <w:szCs w:val="16"/>
                <w:lang w:eastAsia="en-GB" w:bidi="ar-SA"/>
              </w:rPr>
              <w:t>mno-id</w:t>
            </w:r>
          </w:p>
        </w:tc>
        <w:tc>
          <w:tcPr>
            <w:tcW w:w="0" w:type="auto"/>
            <w:tcBorders>
              <w:top w:val="single" w:sz="6" w:space="0" w:color="auto"/>
              <w:left w:val="single" w:sz="6" w:space="0" w:color="auto"/>
              <w:bottom w:val="single" w:sz="6" w:space="0" w:color="auto"/>
              <w:right w:val="single" w:sz="6" w:space="0" w:color="auto"/>
            </w:tcBorders>
            <w:vAlign w:val="center"/>
          </w:tcPr>
          <w:p w14:paraId="00FCF664"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Operator owner of the Profile whose POL2 has been updated.</w:t>
            </w:r>
          </w:p>
          <w:p w14:paraId="038500B2" w14:textId="5184213D" w:rsidR="00B97365" w:rsidRDefault="00000000">
            <w:pPr>
              <w:tabs>
                <w:tab w:val="right" w:pos="7938"/>
              </w:tabs>
              <w:ind w:left="470" w:hanging="459"/>
              <w:rPr>
                <w:rFonts w:cs="Calibri"/>
                <w:sz w:val="16"/>
                <w:szCs w:val="16"/>
              </w:rPr>
            </w:pPr>
            <w:r>
              <w:rPr>
                <w:rFonts w:cs="Calibri"/>
                <w:sz w:val="16"/>
                <w:szCs w:val="16"/>
                <w:lang w:val="en-US" w:eastAsia="en-GB" w:bidi="ar-SA"/>
              </w:rPr>
              <w:t xml:space="preserve">See section </w:t>
            </w:r>
            <w:r>
              <w:fldChar w:fldCharType="begin"/>
            </w:r>
            <w:r>
              <w:instrText xml:space="preserve"> REF _Ref367974944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20786025" w14:textId="77777777" w:rsidR="00B97365" w:rsidRDefault="00000000">
            <w:pPr>
              <w:jc w:val="center"/>
              <w:rPr>
                <w:rFonts w:cs="Calibri"/>
                <w:sz w:val="16"/>
                <w:szCs w:val="16"/>
              </w:rPr>
            </w:pPr>
            <w:r>
              <w:rPr>
                <w:rFonts w:cs="Calibri"/>
                <w:sz w:val="16"/>
                <w:szCs w:val="16"/>
                <w:lang w:eastAsia="en-GB" w:bidi="ar-SA"/>
              </w:rPr>
              <w:t>OID</w:t>
            </w:r>
          </w:p>
        </w:tc>
        <w:tc>
          <w:tcPr>
            <w:tcW w:w="0" w:type="auto"/>
            <w:tcBorders>
              <w:top w:val="single" w:sz="6" w:space="0" w:color="auto"/>
              <w:left w:val="single" w:sz="6" w:space="0" w:color="auto"/>
              <w:bottom w:val="single" w:sz="6" w:space="0" w:color="auto"/>
              <w:right w:val="single" w:sz="6" w:space="0" w:color="auto"/>
            </w:tcBorders>
            <w:vAlign w:val="center"/>
          </w:tcPr>
          <w:p w14:paraId="450D223F" w14:textId="77777777" w:rsidR="00B97365" w:rsidRDefault="00000000">
            <w:pPr>
              <w:jc w:val="center"/>
              <w:rPr>
                <w:rFonts w:cs="Calibri"/>
                <w:sz w:val="16"/>
                <w:szCs w:val="16"/>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tcPr>
          <w:p w14:paraId="23E7AB49" w14:textId="77777777" w:rsidR="00B97365" w:rsidRDefault="00000000">
            <w:pPr>
              <w:jc w:val="center"/>
              <w:rPr>
                <w:rFonts w:cs="Calibri"/>
                <w:sz w:val="16"/>
                <w:szCs w:val="16"/>
              </w:rPr>
            </w:pPr>
            <w:r>
              <w:rPr>
                <w:rFonts w:cs="Calibri"/>
                <w:sz w:val="16"/>
                <w:szCs w:val="16"/>
                <w:lang w:eastAsia="en-GB" w:bidi="ar-SA"/>
              </w:rPr>
              <w:t>M</w:t>
            </w:r>
          </w:p>
        </w:tc>
      </w:tr>
      <w:tr w:rsidR="00B97365" w14:paraId="79A8AF2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52AD648" w14:textId="77777777" w:rsidR="00B97365" w:rsidRDefault="00000000">
            <w:pPr>
              <w:spacing w:line="260" w:lineRule="atLeast"/>
              <w:ind w:left="1531" w:hanging="1531"/>
              <w:outlineLvl w:val="8"/>
              <w:rPr>
                <w:rFonts w:cs="Calibri"/>
                <w:sz w:val="16"/>
                <w:szCs w:val="16"/>
              </w:rPr>
            </w:pPr>
            <w:r>
              <w:rPr>
                <w:rFonts w:cs="Calibri"/>
                <w:sz w:val="16"/>
                <w:szCs w:val="16"/>
              </w:rPr>
              <w:t>Pol2</w:t>
            </w:r>
          </w:p>
        </w:tc>
        <w:tc>
          <w:tcPr>
            <w:tcW w:w="0" w:type="auto"/>
            <w:tcBorders>
              <w:top w:val="single" w:sz="6" w:space="0" w:color="auto"/>
              <w:left w:val="single" w:sz="6" w:space="0" w:color="auto"/>
              <w:bottom w:val="single" w:sz="6" w:space="0" w:color="auto"/>
              <w:right w:val="single" w:sz="6" w:space="0" w:color="auto"/>
            </w:tcBorders>
            <w:vAlign w:val="center"/>
          </w:tcPr>
          <w:p w14:paraId="176B61EC" w14:textId="77777777" w:rsidR="00B97365" w:rsidRDefault="00000000">
            <w:pPr>
              <w:tabs>
                <w:tab w:val="right" w:pos="7938"/>
              </w:tabs>
              <w:ind w:left="470" w:hanging="459"/>
              <w:rPr>
                <w:rFonts w:cs="Calibri"/>
                <w:sz w:val="16"/>
                <w:szCs w:val="16"/>
              </w:rPr>
            </w:pPr>
            <w:r>
              <w:rPr>
                <w:rFonts w:cs="Calibri"/>
                <w:sz w:val="16"/>
                <w:szCs w:val="16"/>
              </w:rPr>
              <w:t>Value of the POL2 after being updated by the Operator owning the Profile</w:t>
            </w:r>
          </w:p>
          <w:p w14:paraId="0D986571" w14:textId="63F5685B"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2A785733" w14:textId="77777777" w:rsidR="00B97365" w:rsidRDefault="00000000">
            <w:pPr>
              <w:jc w:val="center"/>
              <w:rPr>
                <w:rFonts w:cs="Calibri"/>
                <w:sz w:val="16"/>
                <w:szCs w:val="16"/>
              </w:rPr>
            </w:pPr>
            <w:r>
              <w:rPr>
                <w:rFonts w:cs="Calibri"/>
                <w:sz w:val="16"/>
                <w:szCs w:val="16"/>
              </w:rPr>
              <w:t>POL2</w:t>
            </w:r>
          </w:p>
        </w:tc>
        <w:tc>
          <w:tcPr>
            <w:tcW w:w="0" w:type="auto"/>
            <w:tcBorders>
              <w:top w:val="single" w:sz="6" w:space="0" w:color="auto"/>
              <w:left w:val="single" w:sz="6" w:space="0" w:color="auto"/>
              <w:bottom w:val="single" w:sz="6" w:space="0" w:color="auto"/>
              <w:right w:val="single" w:sz="6" w:space="0" w:color="auto"/>
            </w:tcBorders>
            <w:vAlign w:val="center"/>
          </w:tcPr>
          <w:p w14:paraId="65B60D60"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tcPr>
          <w:p w14:paraId="142C1184" w14:textId="77777777" w:rsidR="00B97365" w:rsidRDefault="00000000">
            <w:pPr>
              <w:jc w:val="center"/>
              <w:rPr>
                <w:rFonts w:cs="Calibri"/>
                <w:sz w:val="16"/>
                <w:szCs w:val="16"/>
              </w:rPr>
            </w:pPr>
            <w:r>
              <w:rPr>
                <w:rFonts w:cs="Calibri"/>
                <w:sz w:val="16"/>
                <w:szCs w:val="16"/>
              </w:rPr>
              <w:t>M</w:t>
            </w:r>
          </w:p>
        </w:tc>
      </w:tr>
      <w:tr w:rsidR="00B97365" w14:paraId="1FDB5BEB"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75509FE" w14:textId="77777777" w:rsidR="00B97365" w:rsidRDefault="00000000">
            <w:pPr>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746D3B66" w14:textId="77777777" w:rsidR="00B97365" w:rsidRDefault="00000000">
            <w:pPr>
              <w:rPr>
                <w:rFonts w:cs="Calibri"/>
                <w:sz w:val="16"/>
                <w:szCs w:val="16"/>
              </w:rPr>
            </w:pPr>
            <w:r>
              <w:rPr>
                <w:rFonts w:cs="Calibri"/>
                <w:sz w:val="16"/>
                <w:szCs w:val="16"/>
              </w:rPr>
              <w:t>Indication of the date/time when the operation has been performed.</w:t>
            </w:r>
          </w:p>
          <w:p w14:paraId="1D8CA800" w14:textId="283C08B9"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815C9DD" w14:textId="77777777" w:rsidR="00B97365" w:rsidRDefault="00000000">
            <w:pPr>
              <w:jc w:val="center"/>
              <w:rPr>
                <w:rFonts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36EDF02A"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1233CAB" w14:textId="77777777" w:rsidR="00B97365" w:rsidRDefault="00000000">
            <w:pPr>
              <w:jc w:val="center"/>
              <w:rPr>
                <w:rFonts w:cs="Calibri"/>
                <w:sz w:val="16"/>
                <w:szCs w:val="16"/>
              </w:rPr>
            </w:pPr>
            <w:r>
              <w:rPr>
                <w:rFonts w:cs="Calibri"/>
                <w:sz w:val="16"/>
                <w:szCs w:val="16"/>
              </w:rPr>
              <w:t>M</w:t>
            </w:r>
          </w:p>
        </w:tc>
      </w:tr>
    </w:tbl>
    <w:p w14:paraId="3D61FA26" w14:textId="77777777" w:rsidR="00B97365" w:rsidRDefault="00000000">
      <w:pPr>
        <w:tabs>
          <w:tab w:val="left" w:pos="1009"/>
        </w:tabs>
        <w:spacing w:after="200" w:line="276" w:lineRule="auto"/>
        <w:jc w:val="center"/>
        <w:rPr>
          <w:rFonts w:cs="Arial"/>
          <w:b/>
          <w:lang w:eastAsia="de-DE" w:bidi="ar-SA"/>
        </w:rPr>
      </w:pPr>
      <w:r>
        <w:rPr>
          <w:rFonts w:cs="Arial"/>
          <w:b/>
          <w:lang w:eastAsia="de-DE" w:bidi="ar-SA"/>
        </w:rPr>
        <w:t>Table 5419: Handle Policy Rules Updated Notification Additional Input Data</w:t>
      </w:r>
    </w:p>
    <w:p w14:paraId="72C64AFC"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22" w:name="_Toc1977397"/>
      <w:bookmarkStart w:id="5223" w:name="_Toc37062556"/>
      <w:bookmarkStart w:id="5224" w:name="_Toc88839630"/>
      <w:bookmarkStart w:id="5225" w:name="_Toc121504038"/>
      <w:r>
        <w:rPr>
          <w:rFonts w:eastAsia="Times New Roman" w:cs="Arial"/>
          <w:b/>
          <w:bCs/>
          <w:iCs/>
          <w:sz w:val="24"/>
          <w:szCs w:val="26"/>
          <w:lang w:eastAsia="en-US"/>
        </w:rPr>
        <w:t>Notify a PLMA Setting</w:t>
      </w:r>
      <w:bookmarkEnd w:id="5222"/>
      <w:bookmarkEnd w:id="5223"/>
      <w:bookmarkEnd w:id="5224"/>
      <w:bookmarkEnd w:id="5225"/>
    </w:p>
    <w:p w14:paraId="3C3794D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HandleSetPLMANotification</w:t>
      </w:r>
    </w:p>
    <w:p w14:paraId="3B54E5BA"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Related Procedures</w:t>
      </w:r>
      <w:r>
        <w:rPr>
          <w:szCs w:val="22"/>
          <w:lang w:val="en-US" w:eastAsia="en-GB" w:bidi="ar-SA"/>
        </w:rPr>
        <w:t xml:space="preserve">: </w:t>
      </w:r>
      <w:r>
        <w:t>Set Profile Lifecycle Management Authorisations, Set Profile Lifecycle Management Authorisation via SM-DP</w:t>
      </w:r>
    </w:p>
    <w:p w14:paraId="42FDD53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1EE9146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SM-DP DP (when the corresponding Operator is in the role of an M2M SP)</w:t>
      </w:r>
    </w:p>
    <w:p w14:paraId="6EC10F4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an Operator (acting as an M2M SP) that a PLMA, granted by another Operator to it, has been set or updated.</w:t>
      </w:r>
    </w:p>
    <w:p w14:paraId="7F732E4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of multiply handlers are served the SM-SR SHOULD ensure ‘completionTimestamp’ to be equal for every message.</w:t>
      </w:r>
    </w:p>
    <w:p w14:paraId="00C2D813"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7FF5A83F"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DE7FDA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7FA1A8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0D96B57"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FF7B376"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CAC7AF3"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37B53A5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E446F5A" w14:textId="77777777" w:rsidR="00B97365" w:rsidRDefault="00000000">
            <w:pPr>
              <w:spacing w:before="0" w:after="200" w:line="276" w:lineRule="auto"/>
              <w:jc w:val="left"/>
              <w:rPr>
                <w:rFonts w:cs="Calibri"/>
                <w:sz w:val="16"/>
                <w:szCs w:val="16"/>
                <w:lang w:eastAsia="en-GB" w:bidi="ar-SA"/>
              </w:rPr>
            </w:pPr>
            <w:r>
              <w:rPr>
                <w:rFonts w:cs="Calibri"/>
                <w:sz w:val="16"/>
                <w:szCs w:val="16"/>
              </w:rPr>
              <w:t>plma</w:t>
            </w:r>
          </w:p>
        </w:tc>
        <w:tc>
          <w:tcPr>
            <w:tcW w:w="0" w:type="auto"/>
            <w:tcBorders>
              <w:top w:val="single" w:sz="6" w:space="0" w:color="auto"/>
              <w:left w:val="single" w:sz="6" w:space="0" w:color="auto"/>
              <w:bottom w:val="single" w:sz="6" w:space="0" w:color="auto"/>
              <w:right w:val="single" w:sz="6" w:space="0" w:color="auto"/>
            </w:tcBorders>
            <w:vAlign w:val="center"/>
          </w:tcPr>
          <w:p w14:paraId="727089E9" w14:textId="77777777" w:rsidR="00B97365" w:rsidRDefault="00000000">
            <w:pPr>
              <w:rPr>
                <w:rFonts w:cs="Calibri"/>
                <w:sz w:val="16"/>
                <w:szCs w:val="16"/>
                <w:lang w:val="en-US"/>
              </w:rPr>
            </w:pPr>
            <w:r>
              <w:rPr>
                <w:rFonts w:cs="Calibri"/>
                <w:sz w:val="16"/>
                <w:szCs w:val="16"/>
                <w:lang w:val="en-US"/>
              </w:rPr>
              <w:t>The specification of the PLMA that now applies on a subset of Profiles. Information about the subset are contained in the PLMA structure.</w:t>
            </w:r>
          </w:p>
          <w:p w14:paraId="6267B504" w14:textId="77777777" w:rsidR="00B97365" w:rsidRDefault="00000000">
            <w:pPr>
              <w:rPr>
                <w:rFonts w:cs="Calibri"/>
                <w:sz w:val="16"/>
                <w:szCs w:val="16"/>
                <w:lang w:val="en-US"/>
              </w:rPr>
            </w:pPr>
            <w:r>
              <w:rPr>
                <w:rFonts w:cs="Calibri"/>
                <w:sz w:val="16"/>
                <w:szCs w:val="16"/>
                <w:lang w:val="en-US"/>
              </w:rPr>
              <w:t>See section 5.1.1.2.14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3F984095" w14:textId="77777777" w:rsidR="00B97365" w:rsidRDefault="00000000">
            <w:pPr>
              <w:spacing w:before="0" w:after="200" w:line="276" w:lineRule="auto"/>
              <w:jc w:val="center"/>
              <w:rPr>
                <w:rFonts w:cs="Calibri"/>
                <w:sz w:val="16"/>
                <w:szCs w:val="16"/>
                <w:lang w:eastAsia="en-GB" w:bidi="ar-SA"/>
              </w:rPr>
            </w:pPr>
            <w:r>
              <w:rPr>
                <w:rFonts w:cs="Calibri"/>
                <w:sz w:val="16"/>
                <w:szCs w:val="16"/>
                <w:lang w:val="en-US"/>
              </w:rPr>
              <w:t>PLMA</w:t>
            </w:r>
          </w:p>
        </w:tc>
        <w:tc>
          <w:tcPr>
            <w:tcW w:w="0" w:type="auto"/>
            <w:tcBorders>
              <w:top w:val="single" w:sz="6" w:space="0" w:color="auto"/>
              <w:left w:val="single" w:sz="6" w:space="0" w:color="auto"/>
              <w:bottom w:val="single" w:sz="6" w:space="0" w:color="auto"/>
              <w:right w:val="single" w:sz="6" w:space="0" w:color="auto"/>
            </w:tcBorders>
            <w:vAlign w:val="center"/>
          </w:tcPr>
          <w:p w14:paraId="4EF25DB5" w14:textId="77777777" w:rsidR="00B97365" w:rsidRDefault="00000000">
            <w:pPr>
              <w:spacing w:before="0" w:after="200" w:line="276" w:lineRule="auto"/>
              <w:jc w:val="center"/>
              <w:rPr>
                <w:rFonts w:cs="Calibri"/>
                <w:sz w:val="16"/>
                <w:szCs w:val="16"/>
                <w:lang w:eastAsia="en-GB" w:bidi="ar-SA"/>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tcPr>
          <w:p w14:paraId="4301D0D4" w14:textId="77777777" w:rsidR="00B97365" w:rsidRDefault="00000000">
            <w:pPr>
              <w:spacing w:before="0" w:after="200" w:line="276" w:lineRule="auto"/>
              <w:jc w:val="center"/>
              <w:rPr>
                <w:rFonts w:cs="Calibri"/>
                <w:sz w:val="16"/>
                <w:szCs w:val="16"/>
                <w:lang w:eastAsia="en-GB" w:bidi="ar-SA"/>
              </w:rPr>
            </w:pPr>
            <w:r>
              <w:rPr>
                <w:rFonts w:cs="Calibri"/>
                <w:sz w:val="16"/>
                <w:szCs w:val="16"/>
                <w:lang w:val="en-US"/>
              </w:rPr>
              <w:t>M</w:t>
            </w:r>
          </w:p>
        </w:tc>
      </w:tr>
      <w:tr w:rsidR="00B97365" w14:paraId="356D43C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E8B2572" w14:textId="77777777" w:rsidR="00B97365" w:rsidRDefault="00000000">
            <w:pPr>
              <w:spacing w:before="0" w:after="200" w:line="276" w:lineRule="auto"/>
              <w:jc w:val="left"/>
              <w:rPr>
                <w:rFonts w:cs="Calibri"/>
                <w:sz w:val="16"/>
                <w:szCs w:val="16"/>
              </w:rPr>
            </w:pPr>
            <w:r>
              <w:rPr>
                <w:rFonts w:cs="Calibri"/>
                <w:sz w:val="16"/>
                <w:szCs w:val="16"/>
                <w:lang w:eastAsia="en-GB" w:bidi="ar-SA"/>
              </w:rPr>
              <w:t>mno-id</w:t>
            </w:r>
          </w:p>
        </w:tc>
        <w:tc>
          <w:tcPr>
            <w:tcW w:w="0" w:type="auto"/>
            <w:tcBorders>
              <w:top w:val="single" w:sz="6" w:space="0" w:color="auto"/>
              <w:left w:val="single" w:sz="6" w:space="0" w:color="auto"/>
              <w:bottom w:val="single" w:sz="6" w:space="0" w:color="auto"/>
              <w:right w:val="single" w:sz="6" w:space="0" w:color="auto"/>
            </w:tcBorders>
            <w:vAlign w:val="center"/>
          </w:tcPr>
          <w:p w14:paraId="7B284F17"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Operator owner of the Profile Type related to PLMA</w:t>
            </w:r>
          </w:p>
          <w:p w14:paraId="546F2CE6" w14:textId="5C10766A" w:rsidR="00B97365" w:rsidRDefault="00000000">
            <w:pPr>
              <w:rPr>
                <w:rFonts w:cs="Calibri"/>
                <w:sz w:val="16"/>
                <w:szCs w:val="16"/>
                <w:lang w:val="en-US"/>
              </w:rPr>
            </w:pPr>
            <w:r>
              <w:rPr>
                <w:rFonts w:cs="Calibri"/>
                <w:sz w:val="16"/>
                <w:szCs w:val="16"/>
                <w:lang w:val="en-US" w:eastAsia="en-GB" w:bidi="ar-SA"/>
              </w:rPr>
              <w:t xml:space="preserve">See section </w:t>
            </w:r>
            <w:r>
              <w:fldChar w:fldCharType="begin"/>
            </w:r>
            <w:r>
              <w:instrText xml:space="preserve"> REF _Ref367974944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481A6406" w14:textId="77777777" w:rsidR="00B97365" w:rsidRDefault="00000000">
            <w:pPr>
              <w:spacing w:before="0" w:after="200" w:line="276" w:lineRule="auto"/>
              <w:jc w:val="center"/>
              <w:rPr>
                <w:rFonts w:cs="Calibri"/>
                <w:sz w:val="16"/>
                <w:szCs w:val="16"/>
                <w:lang w:val="en-US"/>
              </w:rPr>
            </w:pPr>
            <w:r>
              <w:rPr>
                <w:rFonts w:cs="Calibri"/>
                <w:sz w:val="16"/>
                <w:szCs w:val="16"/>
                <w:lang w:eastAsia="en-GB" w:bidi="ar-SA"/>
              </w:rPr>
              <w:t>OID</w:t>
            </w:r>
          </w:p>
        </w:tc>
        <w:tc>
          <w:tcPr>
            <w:tcW w:w="0" w:type="auto"/>
            <w:tcBorders>
              <w:top w:val="single" w:sz="6" w:space="0" w:color="auto"/>
              <w:left w:val="single" w:sz="6" w:space="0" w:color="auto"/>
              <w:bottom w:val="single" w:sz="6" w:space="0" w:color="auto"/>
              <w:right w:val="single" w:sz="6" w:space="0" w:color="auto"/>
            </w:tcBorders>
            <w:vAlign w:val="center"/>
          </w:tcPr>
          <w:p w14:paraId="377C064F" w14:textId="77777777" w:rsidR="00B97365" w:rsidRDefault="00000000">
            <w:pPr>
              <w:spacing w:before="0" w:after="200" w:line="276" w:lineRule="auto"/>
              <w:jc w:val="center"/>
              <w:rPr>
                <w:rFonts w:cs="Calibri"/>
                <w:sz w:val="16"/>
                <w:szCs w:val="16"/>
                <w:lang w:val="en-US"/>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tcPr>
          <w:p w14:paraId="2C0ACD28" w14:textId="77777777" w:rsidR="00B97365" w:rsidRDefault="00000000">
            <w:pPr>
              <w:spacing w:before="0" w:after="200" w:line="276" w:lineRule="auto"/>
              <w:jc w:val="center"/>
              <w:rPr>
                <w:rFonts w:cs="Calibri"/>
                <w:sz w:val="16"/>
                <w:szCs w:val="16"/>
                <w:lang w:val="en-US"/>
              </w:rPr>
            </w:pPr>
            <w:r>
              <w:rPr>
                <w:rFonts w:cs="Calibri"/>
                <w:sz w:val="16"/>
                <w:szCs w:val="16"/>
                <w:lang w:eastAsia="en-GB" w:bidi="ar-SA"/>
              </w:rPr>
              <w:t>M</w:t>
            </w:r>
          </w:p>
        </w:tc>
      </w:tr>
      <w:tr w:rsidR="00B97365" w14:paraId="28FBBBE6"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BCF3298" w14:textId="77777777" w:rsidR="00B97365" w:rsidRDefault="00000000">
            <w:pPr>
              <w:spacing w:before="0" w:after="200" w:line="276" w:lineRule="auto"/>
              <w:jc w:val="left"/>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6" w:space="0" w:color="auto"/>
              <w:right w:val="single" w:sz="6" w:space="0" w:color="auto"/>
            </w:tcBorders>
            <w:vAlign w:val="center"/>
          </w:tcPr>
          <w:p w14:paraId="16D4B542" w14:textId="77777777" w:rsidR="00B97365" w:rsidRDefault="00000000">
            <w:pPr>
              <w:rPr>
                <w:rFonts w:cs="Calibri"/>
                <w:sz w:val="16"/>
                <w:szCs w:val="16"/>
              </w:rPr>
            </w:pPr>
            <w:r>
              <w:rPr>
                <w:rFonts w:cs="Calibri"/>
                <w:sz w:val="16"/>
                <w:szCs w:val="16"/>
              </w:rPr>
              <w:t>Indication of the date/time when the operation has been performed.</w:t>
            </w:r>
          </w:p>
          <w:p w14:paraId="793A55C0" w14:textId="3493C1F3" w:rsidR="00B97365" w:rsidRDefault="00000000">
            <w:pPr>
              <w:rPr>
                <w:rFonts w:cs="Calibri"/>
                <w:sz w:val="16"/>
                <w:szCs w:val="16"/>
                <w:lang w:val="en-US"/>
              </w:rPr>
            </w:pPr>
            <w:r>
              <w:rPr>
                <w:rFonts w:cs="Calibri"/>
                <w:sz w:val="16"/>
                <w:szCs w:val="16"/>
              </w:rPr>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4DF8B078" w14:textId="77777777" w:rsidR="00B97365" w:rsidRDefault="00000000">
            <w:pPr>
              <w:spacing w:before="0" w:after="200" w:line="276" w:lineRule="auto"/>
              <w:jc w:val="center"/>
              <w:rPr>
                <w:rFonts w:cs="Calibri"/>
                <w:sz w:val="16"/>
                <w:szCs w:val="16"/>
                <w:lang w:val="en-US"/>
              </w:rPr>
            </w:pPr>
            <w:r>
              <w:rPr>
                <w:rFonts w:cs="Calibri"/>
                <w:sz w:val="16"/>
                <w:szCs w:val="16"/>
              </w:rPr>
              <w:t>DATETIME</w:t>
            </w:r>
          </w:p>
        </w:tc>
        <w:tc>
          <w:tcPr>
            <w:tcW w:w="0" w:type="auto"/>
            <w:tcBorders>
              <w:top w:val="single" w:sz="6" w:space="0" w:color="auto"/>
              <w:left w:val="single" w:sz="6" w:space="0" w:color="auto"/>
              <w:bottom w:val="single" w:sz="6" w:space="0" w:color="auto"/>
              <w:right w:val="single" w:sz="6" w:space="0" w:color="auto"/>
            </w:tcBorders>
            <w:vAlign w:val="center"/>
          </w:tcPr>
          <w:p w14:paraId="5896C009" w14:textId="77777777" w:rsidR="00B97365" w:rsidRDefault="00000000">
            <w:pPr>
              <w:spacing w:before="0" w:after="200" w:line="276" w:lineRule="auto"/>
              <w:jc w:val="center"/>
              <w:rPr>
                <w:rFonts w:cs="Calibri"/>
                <w:sz w:val="16"/>
                <w:szCs w:val="16"/>
                <w:lang w:val="en-US"/>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tcPr>
          <w:p w14:paraId="2A520E4F" w14:textId="77777777" w:rsidR="00B97365" w:rsidRDefault="00000000">
            <w:pPr>
              <w:spacing w:before="0" w:after="200" w:line="276" w:lineRule="auto"/>
              <w:jc w:val="center"/>
              <w:rPr>
                <w:rFonts w:cs="Calibri"/>
                <w:sz w:val="16"/>
                <w:szCs w:val="16"/>
                <w:lang w:val="en-US"/>
              </w:rPr>
            </w:pPr>
            <w:r>
              <w:rPr>
                <w:rFonts w:cs="Calibri"/>
                <w:sz w:val="16"/>
                <w:szCs w:val="16"/>
              </w:rPr>
              <w:t>M</w:t>
            </w:r>
          </w:p>
        </w:tc>
      </w:tr>
    </w:tbl>
    <w:p w14:paraId="5C64402B"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5420: Handle PLMA Setting Notification Additional Input Data</w:t>
      </w:r>
    </w:p>
    <w:p w14:paraId="0CFE94C1"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26" w:name="_Toc536552299"/>
      <w:bookmarkStart w:id="5227" w:name="_Toc1977398"/>
      <w:bookmarkStart w:id="5228" w:name="_Toc37062557"/>
      <w:bookmarkStart w:id="5229" w:name="_Toc88839631"/>
      <w:bookmarkStart w:id="5230" w:name="_Toc121504039"/>
      <w:bookmarkEnd w:id="5226"/>
      <w:r>
        <w:rPr>
          <w:rFonts w:eastAsia="Times New Roman" w:cs="Arial"/>
          <w:b/>
          <w:bCs/>
          <w:iCs/>
          <w:sz w:val="24"/>
          <w:szCs w:val="26"/>
          <w:lang w:eastAsia="en-US"/>
        </w:rPr>
        <w:t>Setting Operator Configuration to Receive Notifications</w:t>
      </w:r>
      <w:bookmarkEnd w:id="5227"/>
      <w:bookmarkEnd w:id="5228"/>
      <w:bookmarkEnd w:id="5229"/>
      <w:bookmarkEnd w:id="5230"/>
    </w:p>
    <w:p w14:paraId="1D9D6F8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SetONC</w:t>
      </w:r>
    </w:p>
    <w:p w14:paraId="3BCB74F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Set Operator Notifications Configuration via SM-DP</w:t>
      </w:r>
    </w:p>
    <w:p w14:paraId="0752FE0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15E8F5C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252A21A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w:t>
      </w:r>
    </w:p>
    <w:p w14:paraId="5C5999E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Operator to configure for which of its own Profiles, associated with a Profile Type, it wants to receive which kind of status change notifications; whatever the origin of the status change is.</w:t>
      </w:r>
    </w:p>
    <w:p w14:paraId="7472CA8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receiving this request SHALL verify that the mno-id in the ONC matches the mno-id of the Operator on behalf of which the SM-DP declares to send this request.</w:t>
      </w:r>
    </w:p>
    <w:p w14:paraId="72D15890" w14:textId="77777777" w:rsidR="00B97365" w:rsidRDefault="00000000">
      <w:pPr>
        <w:spacing w:before="0" w:after="200" w:line="276" w:lineRule="auto"/>
        <w:jc w:val="left"/>
        <w:rPr>
          <w:szCs w:val="22"/>
          <w:lang w:val="en-US" w:eastAsia="en-GB" w:bidi="ar-SA"/>
        </w:rPr>
      </w:pPr>
      <w:r>
        <w:rPr>
          <w:rFonts w:cs="Arial"/>
          <w:szCs w:val="22"/>
          <w:lang w:val="en-US" w:eastAsia="en-GB" w:bidi="ar-SA"/>
        </w:rPr>
        <w:t>If the request is acceptable, the SM-SR SHALL record the ONC. The new ONC overwrites the previous ONC that might have been granted with the same identifiers</w:t>
      </w:r>
      <w:r>
        <w:rPr>
          <w:szCs w:val="22"/>
          <w:lang w:val="en-US" w:eastAsia="en-GB" w:bidi="ar-SA"/>
        </w:rPr>
        <w:t>.</w:t>
      </w:r>
    </w:p>
    <w:p w14:paraId="643F8851" w14:textId="77777777" w:rsidR="00B97365" w:rsidRDefault="00000000">
      <w:pPr>
        <w:spacing w:before="0" w:after="200" w:line="276" w:lineRule="auto"/>
        <w:jc w:val="left"/>
        <w:rPr>
          <w:szCs w:val="22"/>
          <w:lang w:val="en-US" w:eastAsia="en-GB" w:bidi="ar-SA"/>
        </w:rPr>
      </w:pPr>
      <w:r>
        <w:rPr>
          <w:szCs w:val="22"/>
          <w:lang w:val="en-US" w:eastAsia="en-GB" w:bidi="ar-SA"/>
        </w:rPr>
        <w:t xml:space="preserve">From this point on, any </w:t>
      </w:r>
      <w:r>
        <w:rPr>
          <w:lang w:val="en-US"/>
        </w:rPr>
        <w:t xml:space="preserve">status change notification, irrespective of the cause and </w:t>
      </w:r>
      <w:r>
        <w:rPr>
          <w:szCs w:val="22"/>
          <w:lang w:val="en-US" w:eastAsia="en-GB" w:bidi="ar-SA"/>
        </w:rPr>
        <w:t xml:space="preserve">related to a Profile matching these identifiers, SHALL be </w:t>
      </w:r>
      <w:r>
        <w:rPr>
          <w:lang w:val="en-US"/>
        </w:rPr>
        <w:t xml:space="preserve">sent or not </w:t>
      </w:r>
      <w:r>
        <w:rPr>
          <w:szCs w:val="22"/>
          <w:lang w:val="en-US" w:eastAsia="en-GB" w:bidi="ar-SA"/>
        </w:rPr>
        <w:t xml:space="preserve">based on the new </w:t>
      </w:r>
      <w:r>
        <w:rPr>
          <w:lang w:val="en-US"/>
        </w:rPr>
        <w:t>ONC</w:t>
      </w:r>
      <w:r>
        <w:rPr>
          <w:szCs w:val="22"/>
          <w:lang w:val="en-US" w:eastAsia="en-GB" w:bidi="ar-SA"/>
        </w:rPr>
        <w:t>.</w:t>
      </w:r>
    </w:p>
    <w:p w14:paraId="745D7CF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This function may return:</w:t>
      </w:r>
    </w:p>
    <w:p w14:paraId="418F0A82"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‘Executed-Success’ indicating that the notifications have been configured in the SM-SR.</w:t>
      </w:r>
    </w:p>
    <w:p w14:paraId="2792F8D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specific status code as defined in the table here after, indicating that the notifications have been configured in the SM-SR but that some side-effects of this configuration may require the attention of the Operator.</w:t>
      </w:r>
    </w:p>
    <w:p w14:paraId="4C6215BE" w14:textId="289A0D0E"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69E90398" w14:textId="77777777" w:rsidR="00B97365" w:rsidRDefault="00B97365">
      <w:pPr>
        <w:tabs>
          <w:tab w:val="left" w:pos="680"/>
        </w:tabs>
        <w:spacing w:before="0" w:after="200" w:line="276" w:lineRule="auto"/>
        <w:contextualSpacing/>
        <w:jc w:val="left"/>
        <w:rPr>
          <w:szCs w:val="22"/>
          <w:lang w:eastAsia="en-GB" w:bidi="ar-SA"/>
        </w:rPr>
      </w:pPr>
    </w:p>
    <w:p w14:paraId="2B3BDBCD" w14:textId="748DD1FF"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 xml:space="preserve">If no Operator Notification Configuration has yet been set in the SM-SR for a given Profile Type, then the Operator will receive all notifications for status changes for its own Profiles, associated with this Profile Type, see also section </w:t>
      </w:r>
      <w:r>
        <w:rPr>
          <w:szCs w:val="22"/>
          <w:lang w:val="en-US" w:eastAsia="en-GB" w:bidi="ar-SA"/>
        </w:rPr>
        <w:fldChar w:fldCharType="begin"/>
      </w:r>
      <w:r>
        <w:rPr>
          <w:szCs w:val="22"/>
          <w:lang w:val="en-US" w:eastAsia="en-GB" w:bidi="ar-SA"/>
        </w:rPr>
        <w:instrText xml:space="preserve"> REF _Ref536172994 \r \h </w:instrText>
      </w:r>
      <w:r>
        <w:rPr>
          <w:szCs w:val="22"/>
          <w:lang w:val="en-US" w:eastAsia="en-GB" w:bidi="ar-SA"/>
        </w:rPr>
      </w:r>
      <w:r>
        <w:rPr>
          <w:szCs w:val="22"/>
          <w:lang w:val="en-US" w:eastAsia="en-GB" w:bidi="ar-SA"/>
        </w:rPr>
        <w:fldChar w:fldCharType="separate"/>
      </w:r>
      <w:r w:rsidR="001D5AD9">
        <w:rPr>
          <w:szCs w:val="22"/>
          <w:lang w:val="en-US" w:eastAsia="en-GB" w:bidi="ar-SA"/>
        </w:rPr>
        <w:t>3.21</w:t>
      </w:r>
      <w:r>
        <w:rPr>
          <w:szCs w:val="22"/>
          <w:lang w:val="en-US" w:eastAsia="en-GB" w:bidi="ar-SA"/>
        </w:rPr>
        <w:fldChar w:fldCharType="end"/>
      </w:r>
      <w:r>
        <w:rPr>
          <w:szCs w:val="22"/>
          <w:lang w:val="en-US" w:eastAsia="en-GB" w:bidi="ar-SA"/>
        </w:rPr>
        <w:t xml:space="preserve"> for details.</w:t>
      </w:r>
    </w:p>
    <w:p w14:paraId="326C0B6F" w14:textId="77777777" w:rsidR="00B97365" w:rsidRDefault="00B97365">
      <w:pPr>
        <w:spacing w:before="0"/>
        <w:jc w:val="left"/>
      </w:pPr>
    </w:p>
    <w:p w14:paraId="75FF717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13"/>
        <w:gridCol w:w="4744"/>
        <w:gridCol w:w="590"/>
        <w:gridCol w:w="474"/>
        <w:gridCol w:w="590"/>
      </w:tblGrid>
      <w:tr w:rsidR="00B97365" w14:paraId="3BD632CB" w14:textId="77777777">
        <w:trPr>
          <w:cantSplit/>
          <w:trHeight w:val="342"/>
          <w:tblHeader/>
          <w:jc w:val="center"/>
        </w:trPr>
        <w:tc>
          <w:tcPr>
            <w:tcW w:w="1413"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3B1FC9C" w14:textId="77777777" w:rsidR="00B97365" w:rsidRDefault="00000000">
            <w:pPr>
              <w:jc w:val="center"/>
              <w:rPr>
                <w:rFonts w:cs="Calibri"/>
                <w:b/>
                <w:color w:val="FFFFFF"/>
                <w:sz w:val="16"/>
                <w:szCs w:val="16"/>
              </w:rPr>
            </w:pPr>
            <w:r>
              <w:rPr>
                <w:rFonts w:cs="Calibri"/>
                <w:b/>
                <w:color w:val="FFFFFF"/>
                <w:sz w:val="16"/>
                <w:szCs w:val="16"/>
              </w:rPr>
              <w:t>Input data name</w:t>
            </w:r>
          </w:p>
        </w:tc>
        <w:tc>
          <w:tcPr>
            <w:tcW w:w="474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E34E708"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E8FE923"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1EFA547"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1A46C29"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42568FB" w14:textId="77777777">
        <w:trPr>
          <w:cantSplit/>
          <w:trHeight w:val="282"/>
          <w:jc w:val="center"/>
        </w:trPr>
        <w:tc>
          <w:tcPr>
            <w:tcW w:w="1413" w:type="dxa"/>
            <w:tcBorders>
              <w:top w:val="single" w:sz="6" w:space="0" w:color="auto"/>
              <w:left w:val="single" w:sz="4" w:space="0" w:color="auto"/>
              <w:bottom w:val="single" w:sz="6" w:space="0" w:color="auto"/>
              <w:right w:val="single" w:sz="6" w:space="0" w:color="auto"/>
            </w:tcBorders>
          </w:tcPr>
          <w:p w14:paraId="23675DAE" w14:textId="77777777" w:rsidR="00B97365" w:rsidRDefault="00000000">
            <w:pPr>
              <w:rPr>
                <w:rFonts w:cs="Calibri"/>
                <w:sz w:val="16"/>
                <w:szCs w:val="16"/>
              </w:rPr>
            </w:pPr>
            <w:r>
              <w:rPr>
                <w:rFonts w:cs="Calibri"/>
                <w:sz w:val="16"/>
                <w:szCs w:val="16"/>
              </w:rPr>
              <w:t>onc</w:t>
            </w:r>
          </w:p>
        </w:tc>
        <w:tc>
          <w:tcPr>
            <w:tcW w:w="4744" w:type="dxa"/>
            <w:tcBorders>
              <w:top w:val="single" w:sz="6" w:space="0" w:color="auto"/>
              <w:left w:val="single" w:sz="6" w:space="0" w:color="auto"/>
              <w:bottom w:val="single" w:sz="6" w:space="0" w:color="auto"/>
              <w:right w:val="single" w:sz="6" w:space="0" w:color="auto"/>
            </w:tcBorders>
          </w:tcPr>
          <w:p w14:paraId="4F819E13" w14:textId="77777777" w:rsidR="00B97365" w:rsidRDefault="00000000">
            <w:pPr>
              <w:rPr>
                <w:rFonts w:eastAsia="Times New Roman" w:cs="Calibri"/>
                <w:sz w:val="16"/>
                <w:szCs w:val="16"/>
                <w:lang w:val="en-US"/>
              </w:rPr>
            </w:pPr>
            <w:r>
              <w:rPr>
                <w:rFonts w:cs="Calibri"/>
                <w:sz w:val="16"/>
                <w:szCs w:val="16"/>
                <w:lang w:val="en-US"/>
              </w:rPr>
              <w:t>The specification of the ONC, and the criterion on which this ONC applies.</w:t>
            </w:r>
          </w:p>
          <w:p w14:paraId="3A9A0BC8" w14:textId="77777777" w:rsidR="00B97365" w:rsidRDefault="00000000">
            <w:pPr>
              <w:rPr>
                <w:rFonts w:cs="Calibri"/>
                <w:sz w:val="16"/>
                <w:szCs w:val="16"/>
                <w:lang w:val="en-US"/>
              </w:rPr>
            </w:pPr>
            <w:r>
              <w:rPr>
                <w:rFonts w:cs="Calibri"/>
                <w:sz w:val="16"/>
                <w:szCs w:val="16"/>
                <w:lang w:val="en-US"/>
              </w:rPr>
              <w:t>See section 5.1.1.2.15 for type description.</w:t>
            </w:r>
          </w:p>
        </w:tc>
        <w:tc>
          <w:tcPr>
            <w:tcW w:w="0" w:type="auto"/>
            <w:tcBorders>
              <w:top w:val="single" w:sz="6" w:space="0" w:color="auto"/>
              <w:left w:val="single" w:sz="6" w:space="0" w:color="auto"/>
              <w:bottom w:val="single" w:sz="6" w:space="0" w:color="auto"/>
              <w:right w:val="single" w:sz="6" w:space="0" w:color="auto"/>
            </w:tcBorders>
          </w:tcPr>
          <w:p w14:paraId="42C2B912"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 xml:space="preserve">ONC </w:t>
            </w:r>
          </w:p>
        </w:tc>
        <w:tc>
          <w:tcPr>
            <w:tcW w:w="0" w:type="auto"/>
            <w:tcBorders>
              <w:top w:val="single" w:sz="6" w:space="0" w:color="auto"/>
              <w:left w:val="single" w:sz="6" w:space="0" w:color="auto"/>
              <w:bottom w:val="single" w:sz="6" w:space="0" w:color="auto"/>
              <w:right w:val="single" w:sz="6" w:space="0" w:color="auto"/>
            </w:tcBorders>
          </w:tcPr>
          <w:p w14:paraId="4342B0F8"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Pr>
          <w:p w14:paraId="708BF43B"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bl>
    <w:p w14:paraId="6A392E3D"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5421-A: SetONC Additional Input Data</w:t>
      </w:r>
    </w:p>
    <w:p w14:paraId="2EAFB7D2"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p w14:paraId="262BCF1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None</w:t>
      </w:r>
    </w:p>
    <w:p w14:paraId="79B3F94B" w14:textId="77777777" w:rsidR="00B97365" w:rsidRDefault="00B97365">
      <w:pPr>
        <w:tabs>
          <w:tab w:val="left" w:pos="680"/>
        </w:tabs>
        <w:spacing w:before="0" w:after="200" w:line="276" w:lineRule="auto"/>
        <w:contextualSpacing/>
        <w:jc w:val="left"/>
        <w:rPr>
          <w:rFonts w:cs="Arial"/>
          <w:szCs w:val="22"/>
          <w:lang w:eastAsia="en-GB" w:bidi="ar-SA"/>
        </w:rPr>
      </w:pPr>
    </w:p>
    <w:p w14:paraId="086FB9F2"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855"/>
        <w:gridCol w:w="718"/>
        <w:gridCol w:w="1520"/>
        <w:gridCol w:w="5205"/>
      </w:tblGrid>
      <w:tr w:rsidR="00B97365" w14:paraId="4135374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13D2A97" w14:textId="77777777" w:rsidR="00B97365" w:rsidRDefault="00000000">
            <w:pPr>
              <w:jc w:val="center"/>
              <w:rPr>
                <w:rFonts w:cs="Calibri"/>
                <w:b/>
                <w:color w:val="FFFFFF"/>
                <w:sz w:val="16"/>
                <w:szCs w:val="16"/>
              </w:rPr>
            </w:pPr>
            <w:r>
              <w:rPr>
                <w:rFonts w:cs="Calibri"/>
                <w:b/>
                <w:color w:val="FFFFFF"/>
                <w:sz w:val="16"/>
                <w:szCs w:val="16"/>
              </w:rPr>
              <w:t>Subject</w:t>
            </w:r>
          </w:p>
          <w:p w14:paraId="6297CD1A"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4A44E03"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E51B4AF" w14:textId="77777777" w:rsidR="00B97365" w:rsidRDefault="00000000">
            <w:pPr>
              <w:jc w:val="center"/>
              <w:rPr>
                <w:rFonts w:cs="Calibri"/>
                <w:b/>
                <w:color w:val="FFFFFF"/>
                <w:sz w:val="16"/>
                <w:szCs w:val="16"/>
              </w:rPr>
            </w:pPr>
            <w:r>
              <w:rPr>
                <w:rFonts w:cs="Calibri"/>
                <w:b/>
                <w:color w:val="FFFFFF"/>
                <w:sz w:val="16"/>
                <w:szCs w:val="16"/>
              </w:rPr>
              <w:t>Reason</w:t>
            </w:r>
          </w:p>
          <w:p w14:paraId="7F8D977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5F937D3"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4DF9A74"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26F63AD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19637E5" w14:textId="77777777" w:rsidR="00B97365" w:rsidRDefault="00000000">
            <w:pPr>
              <w:jc w:val="center"/>
              <w:rPr>
                <w:rFonts w:cs="Calibri"/>
                <w:sz w:val="16"/>
                <w:szCs w:val="16"/>
              </w:rPr>
            </w:pPr>
            <w:r>
              <w:rPr>
                <w:rFonts w:cs="Calibri"/>
                <w:sz w:val="16"/>
                <w:szCs w:val="16"/>
              </w:rPr>
              <w:t>8.2.5</w:t>
            </w:r>
          </w:p>
        </w:tc>
        <w:tc>
          <w:tcPr>
            <w:tcW w:w="0" w:type="auto"/>
            <w:tcBorders>
              <w:top w:val="single" w:sz="6" w:space="0" w:color="auto"/>
              <w:left w:val="single" w:sz="6" w:space="0" w:color="auto"/>
              <w:bottom w:val="single" w:sz="6" w:space="0" w:color="auto"/>
              <w:right w:val="single" w:sz="6" w:space="0" w:color="auto"/>
            </w:tcBorders>
            <w:vAlign w:val="center"/>
          </w:tcPr>
          <w:p w14:paraId="6AEB2042" w14:textId="77777777" w:rsidR="00B97365" w:rsidRDefault="00000000">
            <w:pPr>
              <w:rPr>
                <w:rFonts w:cs="Calibri"/>
                <w:sz w:val="16"/>
                <w:szCs w:val="16"/>
                <w:lang w:val="en-US"/>
              </w:rPr>
            </w:pPr>
            <w:r>
              <w:rPr>
                <w:rFonts w:cs="Calibri"/>
                <w:sz w:val="16"/>
                <w:szCs w:val="16"/>
                <w:lang w:val="en-US"/>
              </w:rPr>
              <w:t>Profile Type</w:t>
            </w:r>
          </w:p>
        </w:tc>
        <w:tc>
          <w:tcPr>
            <w:tcW w:w="0" w:type="auto"/>
            <w:tcBorders>
              <w:top w:val="single" w:sz="6" w:space="0" w:color="auto"/>
              <w:left w:val="single" w:sz="6" w:space="0" w:color="auto"/>
              <w:bottom w:val="single" w:sz="6" w:space="0" w:color="auto"/>
              <w:right w:val="single" w:sz="6" w:space="0" w:color="auto"/>
            </w:tcBorders>
            <w:vAlign w:val="center"/>
          </w:tcPr>
          <w:p w14:paraId="59417C89" w14:textId="77777777" w:rsidR="00B97365" w:rsidRDefault="00000000">
            <w:pPr>
              <w:jc w:val="center"/>
              <w:rPr>
                <w:rFonts w:cs="Calibri"/>
                <w:sz w:val="16"/>
                <w:szCs w:val="16"/>
                <w:lang w:val="en-US"/>
              </w:rPr>
            </w:pPr>
            <w:r>
              <w:rPr>
                <w:rFonts w:cs="Calibri"/>
                <w:sz w:val="16"/>
                <w:szCs w:val="16"/>
                <w:lang w:val="en-US"/>
              </w:rPr>
              <w:t>4.9</w:t>
            </w:r>
          </w:p>
        </w:tc>
        <w:tc>
          <w:tcPr>
            <w:tcW w:w="0" w:type="auto"/>
            <w:tcBorders>
              <w:top w:val="single" w:sz="6" w:space="0" w:color="auto"/>
              <w:left w:val="single" w:sz="6" w:space="0" w:color="auto"/>
              <w:bottom w:val="single" w:sz="6" w:space="0" w:color="auto"/>
              <w:right w:val="single" w:sz="6" w:space="0" w:color="auto"/>
            </w:tcBorders>
            <w:vAlign w:val="center"/>
          </w:tcPr>
          <w:p w14:paraId="405377A6" w14:textId="77777777" w:rsidR="00B97365" w:rsidRDefault="00000000">
            <w:pPr>
              <w:rPr>
                <w:rFonts w:cs="Calibri"/>
                <w:sz w:val="16"/>
                <w:szCs w:val="16"/>
                <w:lang w:val="en-US"/>
              </w:rPr>
            </w:pPr>
            <w:r>
              <w:rPr>
                <w:rFonts w:cs="Calibri"/>
                <w:sz w:val="16"/>
                <w:szCs w:val="16"/>
                <w:lang w:val="en-US"/>
              </w:rPr>
              <w:t>Unassigned</w:t>
            </w:r>
          </w:p>
        </w:tc>
        <w:tc>
          <w:tcPr>
            <w:tcW w:w="0" w:type="auto"/>
            <w:tcBorders>
              <w:top w:val="single" w:sz="6" w:space="0" w:color="auto"/>
              <w:left w:val="single" w:sz="6" w:space="0" w:color="auto"/>
              <w:bottom w:val="single" w:sz="6" w:space="0" w:color="auto"/>
              <w:right w:val="single" w:sz="4" w:space="0" w:color="auto"/>
            </w:tcBorders>
            <w:vAlign w:val="center"/>
          </w:tcPr>
          <w:p w14:paraId="5D21FA03" w14:textId="77777777" w:rsidR="00B97365" w:rsidRDefault="00000000">
            <w:pPr>
              <w:rPr>
                <w:rFonts w:cs="Calibri"/>
                <w:sz w:val="16"/>
                <w:szCs w:val="16"/>
                <w:lang w:val="en-US"/>
              </w:rPr>
            </w:pPr>
            <w:r>
              <w:rPr>
                <w:rFonts w:cs="Calibri"/>
                <w:sz w:val="16"/>
                <w:szCs w:val="16"/>
                <w:lang w:val="en-US"/>
              </w:rPr>
              <w:t>Indicates that the Profile Type in the ONC doesn’t match the Profile Type of any Profile owned by the Operator identified by its mno-id.</w:t>
            </w:r>
          </w:p>
          <w:p w14:paraId="7B8135B4" w14:textId="77777777" w:rsidR="00B97365" w:rsidRDefault="00000000">
            <w:pPr>
              <w:rPr>
                <w:rFonts w:cs="Calibri"/>
                <w:sz w:val="16"/>
                <w:szCs w:val="16"/>
                <w:lang w:val="en-US"/>
              </w:rPr>
            </w:pPr>
            <w:r>
              <w:rPr>
                <w:rFonts w:cs="Calibri"/>
                <w:sz w:val="16"/>
                <w:szCs w:val="16"/>
                <w:lang w:val="en-US"/>
              </w:rPr>
              <w:t>The SM-SR MAY support this Status Code. If it does support it, the SM-SR SHALL record the ONC anyway, and the Execution Status SHALL be Executed-WithWarning</w:t>
            </w:r>
          </w:p>
        </w:tc>
      </w:tr>
      <w:tr w:rsidR="00B97365" w14:paraId="1C7D077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F3B4AA7" w14:textId="77777777" w:rsidR="00B97365" w:rsidRDefault="00000000">
            <w:pPr>
              <w:jc w:val="center"/>
              <w:rPr>
                <w:rFonts w:cs="Calibri"/>
                <w:sz w:val="16"/>
                <w:szCs w:val="16"/>
              </w:rPr>
            </w:pPr>
            <w:r>
              <w:rPr>
                <w:rFonts w:cs="Calibri"/>
                <w:sz w:val="16"/>
                <w:szCs w:val="16"/>
              </w:rPr>
              <w:t>8.2.8</w:t>
            </w:r>
          </w:p>
        </w:tc>
        <w:tc>
          <w:tcPr>
            <w:tcW w:w="0" w:type="auto"/>
            <w:tcBorders>
              <w:top w:val="single" w:sz="6" w:space="0" w:color="auto"/>
              <w:left w:val="single" w:sz="6" w:space="0" w:color="auto"/>
              <w:bottom w:val="single" w:sz="6" w:space="0" w:color="auto"/>
              <w:right w:val="single" w:sz="6" w:space="0" w:color="auto"/>
            </w:tcBorders>
            <w:vAlign w:val="center"/>
          </w:tcPr>
          <w:p w14:paraId="30ABC3A2" w14:textId="77777777" w:rsidR="00B97365" w:rsidRDefault="00000000">
            <w:pPr>
              <w:rPr>
                <w:rFonts w:cs="Calibri"/>
                <w:sz w:val="16"/>
                <w:szCs w:val="16"/>
                <w:lang w:val="en-US"/>
              </w:rPr>
            </w:pPr>
            <w:r>
              <w:rPr>
                <w:rFonts w:cs="Calibri"/>
                <w:sz w:val="16"/>
                <w:szCs w:val="16"/>
                <w:lang w:val="en-US"/>
              </w:rPr>
              <w:t>ONC</w:t>
            </w:r>
          </w:p>
        </w:tc>
        <w:tc>
          <w:tcPr>
            <w:tcW w:w="0" w:type="auto"/>
            <w:tcBorders>
              <w:top w:val="single" w:sz="6" w:space="0" w:color="auto"/>
              <w:left w:val="single" w:sz="6" w:space="0" w:color="auto"/>
              <w:bottom w:val="single" w:sz="6" w:space="0" w:color="auto"/>
              <w:right w:val="single" w:sz="6" w:space="0" w:color="auto"/>
            </w:tcBorders>
            <w:vAlign w:val="center"/>
          </w:tcPr>
          <w:p w14:paraId="487CE4F5" w14:textId="77777777" w:rsidR="00B97365" w:rsidRDefault="00000000">
            <w:pPr>
              <w:jc w:val="center"/>
              <w:rPr>
                <w:rFonts w:cs="Calibri"/>
                <w:sz w:val="16"/>
                <w:szCs w:val="16"/>
                <w:lang w:val="en-US"/>
              </w:rPr>
            </w:pPr>
            <w:r>
              <w:rPr>
                <w:rFonts w:cs="Calibri"/>
                <w:sz w:val="16"/>
                <w:szCs w:val="16"/>
                <w:lang w:val="en-US"/>
              </w:rPr>
              <w:t>3.6</w:t>
            </w:r>
          </w:p>
        </w:tc>
        <w:tc>
          <w:tcPr>
            <w:tcW w:w="0" w:type="auto"/>
            <w:tcBorders>
              <w:top w:val="single" w:sz="6" w:space="0" w:color="auto"/>
              <w:left w:val="single" w:sz="6" w:space="0" w:color="auto"/>
              <w:bottom w:val="single" w:sz="6" w:space="0" w:color="auto"/>
              <w:right w:val="single" w:sz="6" w:space="0" w:color="auto"/>
            </w:tcBorders>
            <w:vAlign w:val="center"/>
          </w:tcPr>
          <w:p w14:paraId="7A68734D" w14:textId="77777777" w:rsidR="00B97365" w:rsidRDefault="00000000">
            <w:pPr>
              <w:rPr>
                <w:rFonts w:cs="Calibri"/>
                <w:sz w:val="16"/>
                <w:szCs w:val="16"/>
                <w:lang w:val="en-US"/>
              </w:rPr>
            </w:pPr>
            <w:r>
              <w:rPr>
                <w:rFonts w:cs="Calibri"/>
                <w:sz w:val="16"/>
                <w:szCs w:val="16"/>
                <w:lang w:val="en-US"/>
              </w:rPr>
              <w:t>Related Objects Exists</w:t>
            </w:r>
          </w:p>
        </w:tc>
        <w:tc>
          <w:tcPr>
            <w:tcW w:w="0" w:type="auto"/>
            <w:tcBorders>
              <w:top w:val="single" w:sz="6" w:space="0" w:color="auto"/>
              <w:left w:val="single" w:sz="6" w:space="0" w:color="auto"/>
              <w:bottom w:val="single" w:sz="6" w:space="0" w:color="auto"/>
              <w:right w:val="single" w:sz="4" w:space="0" w:color="auto"/>
            </w:tcBorders>
            <w:vAlign w:val="center"/>
          </w:tcPr>
          <w:p w14:paraId="141C4B2F" w14:textId="77777777" w:rsidR="00B97365" w:rsidRDefault="00000000">
            <w:pPr>
              <w:rPr>
                <w:rFonts w:cs="Calibri"/>
                <w:sz w:val="16"/>
                <w:szCs w:val="16"/>
                <w:lang w:val="en-US"/>
              </w:rPr>
            </w:pPr>
            <w:r>
              <w:rPr>
                <w:rFonts w:cs="Calibri"/>
                <w:sz w:val="16"/>
                <w:szCs w:val="16"/>
                <w:lang w:val="en-US"/>
              </w:rPr>
              <w:t>Indicates that the new ONC has overwritten a former ONC on the same identifiers. In this case the Execution Status SHALL be Executed-WithWarning</w:t>
            </w:r>
          </w:p>
        </w:tc>
      </w:tr>
      <w:tr w:rsidR="00B97365" w14:paraId="0EFE6F6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3934AD4" w14:textId="77777777" w:rsidR="00B97365" w:rsidRDefault="00000000">
            <w:pPr>
              <w:jc w:val="center"/>
              <w:rPr>
                <w:rFonts w:cs="Calibri"/>
                <w:sz w:val="16"/>
                <w:szCs w:val="16"/>
              </w:rPr>
            </w:pPr>
            <w:r>
              <w:rPr>
                <w:rFonts w:cs="Calibri"/>
                <w:sz w:val="16"/>
                <w:szCs w:val="16"/>
              </w:rPr>
              <w:t>8.10</w:t>
            </w:r>
          </w:p>
        </w:tc>
        <w:tc>
          <w:tcPr>
            <w:tcW w:w="0" w:type="auto"/>
            <w:tcBorders>
              <w:top w:val="single" w:sz="6" w:space="0" w:color="auto"/>
              <w:left w:val="single" w:sz="6" w:space="0" w:color="auto"/>
              <w:bottom w:val="single" w:sz="6" w:space="0" w:color="auto"/>
              <w:right w:val="single" w:sz="6" w:space="0" w:color="auto"/>
            </w:tcBorders>
            <w:vAlign w:val="center"/>
          </w:tcPr>
          <w:p w14:paraId="44AA5326" w14:textId="77777777" w:rsidR="00B97365" w:rsidRDefault="00000000">
            <w:pPr>
              <w:rPr>
                <w:rFonts w:cs="Calibri"/>
                <w:sz w:val="16"/>
                <w:szCs w:val="16"/>
                <w:lang w:val="en-US"/>
              </w:rPr>
            </w:pPr>
            <w:r>
              <w:rPr>
                <w:rFonts w:cs="Calibri"/>
                <w:sz w:val="16"/>
                <w:szCs w:val="16"/>
                <w:lang w:val="en-US"/>
              </w:rPr>
              <w:t>Operator</w:t>
            </w:r>
          </w:p>
        </w:tc>
        <w:tc>
          <w:tcPr>
            <w:tcW w:w="0" w:type="auto"/>
            <w:tcBorders>
              <w:top w:val="single" w:sz="6" w:space="0" w:color="auto"/>
              <w:left w:val="single" w:sz="6" w:space="0" w:color="auto"/>
              <w:bottom w:val="single" w:sz="6" w:space="0" w:color="auto"/>
              <w:right w:val="single" w:sz="6" w:space="0" w:color="auto"/>
            </w:tcBorders>
            <w:vAlign w:val="center"/>
          </w:tcPr>
          <w:p w14:paraId="5544B21E"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47721685"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7ED6BC30" w14:textId="77777777" w:rsidR="00B97365" w:rsidRDefault="00000000">
            <w:pPr>
              <w:rPr>
                <w:rFonts w:cs="Calibri"/>
                <w:sz w:val="16"/>
                <w:szCs w:val="16"/>
                <w:lang w:val="en-US"/>
              </w:rPr>
            </w:pPr>
            <w:r>
              <w:rPr>
                <w:rFonts w:cs="Calibri"/>
                <w:sz w:val="16"/>
                <w:szCs w:val="16"/>
                <w:lang w:val="en-US"/>
              </w:rPr>
              <w:t>Indicates that the Operator, addressed by the mno-id in the ONC, is unknown.</w:t>
            </w:r>
          </w:p>
        </w:tc>
      </w:tr>
      <w:tr w:rsidR="00B97365" w14:paraId="4DF632D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204A6E5" w14:textId="77777777" w:rsidR="00B97365" w:rsidRDefault="00000000">
            <w:pPr>
              <w:jc w:val="center"/>
              <w:rPr>
                <w:rFonts w:cs="Calibri"/>
                <w:sz w:val="16"/>
                <w:szCs w:val="16"/>
              </w:rPr>
            </w:pPr>
            <w:r>
              <w:rPr>
                <w:rFonts w:cs="Calibri"/>
                <w:sz w:val="16"/>
                <w:szCs w:val="16"/>
              </w:rPr>
              <w:t>8.10</w:t>
            </w:r>
          </w:p>
        </w:tc>
        <w:tc>
          <w:tcPr>
            <w:tcW w:w="0" w:type="auto"/>
            <w:tcBorders>
              <w:top w:val="single" w:sz="6" w:space="0" w:color="auto"/>
              <w:left w:val="single" w:sz="6" w:space="0" w:color="auto"/>
              <w:bottom w:val="single" w:sz="6" w:space="0" w:color="auto"/>
              <w:right w:val="single" w:sz="6" w:space="0" w:color="auto"/>
            </w:tcBorders>
            <w:vAlign w:val="center"/>
          </w:tcPr>
          <w:p w14:paraId="17838F49" w14:textId="77777777" w:rsidR="00B97365" w:rsidRDefault="00000000">
            <w:pPr>
              <w:rPr>
                <w:rFonts w:cs="Calibri"/>
                <w:sz w:val="16"/>
                <w:szCs w:val="16"/>
                <w:lang w:val="en-US"/>
              </w:rPr>
            </w:pPr>
            <w:r>
              <w:rPr>
                <w:rFonts w:cs="Calibri"/>
                <w:sz w:val="16"/>
                <w:szCs w:val="16"/>
                <w:lang w:val="en-US"/>
              </w:rPr>
              <w:t>Operator</w:t>
            </w:r>
          </w:p>
        </w:tc>
        <w:tc>
          <w:tcPr>
            <w:tcW w:w="0" w:type="auto"/>
            <w:tcBorders>
              <w:top w:val="single" w:sz="6" w:space="0" w:color="auto"/>
              <w:left w:val="single" w:sz="6" w:space="0" w:color="auto"/>
              <w:bottom w:val="single" w:sz="6" w:space="0" w:color="auto"/>
              <w:right w:val="single" w:sz="6" w:space="0" w:color="auto"/>
            </w:tcBorders>
            <w:vAlign w:val="center"/>
          </w:tcPr>
          <w:p w14:paraId="2D1CB32B"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6" w:space="0" w:color="auto"/>
              <w:right w:val="single" w:sz="6" w:space="0" w:color="auto"/>
            </w:tcBorders>
            <w:vAlign w:val="center"/>
          </w:tcPr>
          <w:p w14:paraId="411255AF" w14:textId="77777777" w:rsidR="00B97365" w:rsidRDefault="00000000">
            <w:pPr>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tcPr>
          <w:p w14:paraId="776DE4FA" w14:textId="77777777" w:rsidR="00B97365" w:rsidRDefault="00000000">
            <w:pPr>
              <w:rPr>
                <w:rFonts w:cs="Calibri"/>
                <w:sz w:val="16"/>
                <w:szCs w:val="16"/>
                <w:lang w:val="en-US"/>
              </w:rPr>
            </w:pPr>
            <w:r>
              <w:rPr>
                <w:rFonts w:cs="Calibri"/>
                <w:sz w:val="16"/>
                <w:szCs w:val="16"/>
                <w:lang w:val="en-US"/>
              </w:rPr>
              <w:t>Indicates that the requesting SM-DP is not allowed to configure ONCs for the Operator, addressed by the mno-id in the ONC.</w:t>
            </w:r>
          </w:p>
        </w:tc>
      </w:tr>
    </w:tbl>
    <w:p w14:paraId="7908809F"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5421-B: SetONC Specific Status Codes</w:t>
      </w:r>
    </w:p>
    <w:p w14:paraId="563B47E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31" w:name="_Ref536548102"/>
      <w:bookmarkStart w:id="5232" w:name="_Toc1977399"/>
      <w:bookmarkStart w:id="5233" w:name="_Toc37062558"/>
      <w:bookmarkStart w:id="5234" w:name="_Toc88839632"/>
      <w:bookmarkStart w:id="5235" w:name="_Toc121504040"/>
      <w:r>
        <w:rPr>
          <w:rFonts w:eastAsia="Times New Roman" w:cs="Arial"/>
          <w:b/>
          <w:bCs/>
          <w:iCs/>
          <w:sz w:val="24"/>
          <w:szCs w:val="26"/>
          <w:lang w:eastAsia="en-US"/>
        </w:rPr>
        <w:lastRenderedPageBreak/>
        <w:t>Retrieving Operator Notification Configuration</w:t>
      </w:r>
      <w:bookmarkEnd w:id="5231"/>
      <w:bookmarkEnd w:id="5232"/>
      <w:bookmarkEnd w:id="5233"/>
      <w:bookmarkEnd w:id="5234"/>
      <w:bookmarkEnd w:id="5235"/>
    </w:p>
    <w:p w14:paraId="3B42316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GetONC</w:t>
      </w:r>
    </w:p>
    <w:p w14:paraId="756CFC2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Retrieve Operator Notifications Configuration via SM-DP</w:t>
      </w:r>
    </w:p>
    <w:p w14:paraId="71123A8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635D6A6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11C88F6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5632E21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Operator to retrieve a list of status change notifications it wants not to receive for its own Profiles, associated with a Profile Type.</w:t>
      </w:r>
    </w:p>
    <w:p w14:paraId="7917C37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receiving this request SHALL verify that the mno-id in the ONC matches the mno-id of the Operator on behalf of which the SM-DP declares to send this request.</w:t>
      </w:r>
    </w:p>
    <w:p w14:paraId="1FB1F6B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the request is acceptable, the SM-SR SHALL return the ONC including the list of notifications the Operator does not want to receive, applicable to the specified search criterion.</w:t>
      </w:r>
    </w:p>
    <w:p w14:paraId="095349C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5B4191E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‘Executed-Success’, and additional output data providing the configured ONC.</w:t>
      </w:r>
    </w:p>
    <w:p w14:paraId="7D8769D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specific status code as defined in the table below, indicating that the notifications have been configured in the SM-SR but that some side-effects of this configuration may require the attention of the Operator, and additional output data providing the configured ONC.</w:t>
      </w:r>
    </w:p>
    <w:p w14:paraId="4EF440E9" w14:textId="77777777" w:rsidR="00B97365" w:rsidRDefault="00B97365">
      <w:pPr>
        <w:tabs>
          <w:tab w:val="left" w:pos="680"/>
        </w:tabs>
        <w:spacing w:before="0" w:after="200" w:line="276" w:lineRule="auto"/>
        <w:ind w:left="680"/>
        <w:contextualSpacing/>
        <w:jc w:val="left"/>
        <w:rPr>
          <w:szCs w:val="22"/>
          <w:lang w:eastAsia="en-GB" w:bidi="ar-SA"/>
        </w:rPr>
      </w:pPr>
    </w:p>
    <w:p w14:paraId="0B6B0264" w14:textId="3838F17B"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23475E58" w14:textId="77777777" w:rsidR="00B97365" w:rsidRDefault="00B97365">
      <w:pPr>
        <w:spacing w:before="0"/>
        <w:jc w:val="left"/>
        <w:rPr>
          <w:rFonts w:eastAsia="Times New Roman" w:cs="Arial"/>
          <w:b/>
          <w:bCs/>
          <w:iCs/>
          <w:sz w:val="24"/>
          <w:szCs w:val="28"/>
          <w:lang w:eastAsia="en-US"/>
        </w:rPr>
      </w:pPr>
    </w:p>
    <w:p w14:paraId="03FB094C"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630"/>
        <w:gridCol w:w="590"/>
        <w:gridCol w:w="474"/>
        <w:gridCol w:w="590"/>
      </w:tblGrid>
      <w:tr w:rsidR="00B97365" w14:paraId="51141412"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0A06C58"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5694D9A"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3D2DA6C"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B123407"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462E5BB"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0AD89262"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0A52C7EA"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profileType</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24CC1987" w14:textId="77777777" w:rsidR="00B97365" w:rsidRDefault="00000000">
            <w:pPr>
              <w:rPr>
                <w:rFonts w:cs="Calibri"/>
                <w:sz w:val="16"/>
                <w:szCs w:val="16"/>
                <w:lang w:val="en-US"/>
              </w:rPr>
            </w:pPr>
            <w:r>
              <w:rPr>
                <w:rFonts w:cs="Calibri"/>
                <w:sz w:val="16"/>
                <w:szCs w:val="16"/>
                <w:lang w:val="en-US"/>
              </w:rPr>
              <w:t>Identification of the Profile Type for which the ONC applies is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44FC0864"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String</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13DAAE96"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47686431"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0188EF86"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31746044"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iccid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589DE00D" w14:textId="77777777" w:rsidR="00B97365" w:rsidRDefault="00000000">
            <w:pPr>
              <w:rPr>
                <w:rFonts w:cs="Calibri"/>
                <w:sz w:val="16"/>
                <w:szCs w:val="16"/>
                <w:lang w:val="en-US"/>
              </w:rPr>
            </w:pPr>
            <w:r>
              <w:rPr>
                <w:rFonts w:cs="Calibri"/>
                <w:sz w:val="16"/>
                <w:szCs w:val="16"/>
                <w:lang w:val="en-US"/>
              </w:rPr>
              <w:t>Identification of one specific Profile for which the ONC applies is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3BA93A46"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62D6A51"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77548BED"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bl>
    <w:p w14:paraId="7D5994DC"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5422-A: GetONC Additional Input Data</w:t>
      </w:r>
    </w:p>
    <w:p w14:paraId="70B0AA1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One and only one of the input data profileType and iccid SHALL be present.</w:t>
      </w:r>
    </w:p>
    <w:p w14:paraId="44793401"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04"/>
        <w:gridCol w:w="6686"/>
        <w:gridCol w:w="514"/>
        <w:gridCol w:w="398"/>
        <w:gridCol w:w="514"/>
      </w:tblGrid>
      <w:tr w:rsidR="00B97365" w14:paraId="023BEC68"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8CCDE81"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680FA64"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D12AE28"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0B040F2"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4B86D0B"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37F9BA6"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FE9081B" w14:textId="77777777" w:rsidR="00B97365" w:rsidRDefault="00000000">
            <w:pPr>
              <w:tabs>
                <w:tab w:val="right" w:pos="7938"/>
              </w:tabs>
              <w:ind w:left="470" w:hanging="459"/>
              <w:rPr>
                <w:rFonts w:cs="Calibri"/>
                <w:sz w:val="16"/>
                <w:szCs w:val="16"/>
              </w:rPr>
            </w:pPr>
            <w:r>
              <w:rPr>
                <w:rFonts w:cs="Calibri"/>
                <w:sz w:val="16"/>
                <w:szCs w:val="16"/>
              </w:rPr>
              <w:t>onc</w:t>
            </w:r>
          </w:p>
        </w:tc>
        <w:tc>
          <w:tcPr>
            <w:tcW w:w="0" w:type="auto"/>
            <w:tcBorders>
              <w:top w:val="single" w:sz="6" w:space="0" w:color="auto"/>
              <w:left w:val="single" w:sz="6" w:space="0" w:color="auto"/>
              <w:bottom w:val="single" w:sz="4" w:space="0" w:color="auto"/>
              <w:right w:val="single" w:sz="6" w:space="0" w:color="auto"/>
            </w:tcBorders>
            <w:vAlign w:val="center"/>
            <w:hideMark/>
          </w:tcPr>
          <w:p w14:paraId="39E8C1BD" w14:textId="77777777" w:rsidR="00B97365" w:rsidRDefault="00000000">
            <w:pPr>
              <w:rPr>
                <w:rFonts w:cs="Calibri"/>
                <w:sz w:val="16"/>
                <w:szCs w:val="16"/>
              </w:rPr>
            </w:pPr>
            <w:r>
              <w:rPr>
                <w:rFonts w:cs="Calibri"/>
                <w:sz w:val="16"/>
                <w:szCs w:val="16"/>
              </w:rPr>
              <w:t xml:space="preserve">The ONC including the list of unwanted notifications that match the search criterion </w:t>
            </w:r>
          </w:p>
          <w:p w14:paraId="315D368B" w14:textId="77777777" w:rsidR="00B97365" w:rsidRDefault="00000000">
            <w:pPr>
              <w:rPr>
                <w:rFonts w:cs="Calibri"/>
                <w:sz w:val="16"/>
                <w:szCs w:val="16"/>
              </w:rPr>
            </w:pPr>
            <w:r>
              <w:rPr>
                <w:rFonts w:cs="Calibri"/>
                <w:sz w:val="16"/>
                <w:szCs w:val="16"/>
              </w:rPr>
              <w:lastRenderedPageBreak/>
              <w:t xml:space="preserve">See </w:t>
            </w:r>
            <w:r>
              <w:rPr>
                <w:rFonts w:cs="Calibri"/>
                <w:sz w:val="16"/>
                <w:szCs w:val="16"/>
                <w:lang w:val="en-US"/>
              </w:rPr>
              <w:t>section 5.1.1.2.15</w:t>
            </w:r>
            <w:r>
              <w:t xml:space="preserve"> </w:t>
            </w:r>
            <w:r>
              <w:rPr>
                <w:rFonts w:cs="Calibri"/>
                <w:sz w:val="16"/>
                <w:szCs w:val="16"/>
              </w:rPr>
              <w:t>for type description.</w:t>
            </w:r>
          </w:p>
          <w:p w14:paraId="600245E4" w14:textId="77777777" w:rsidR="00B97365" w:rsidRDefault="00000000">
            <w:pPr>
              <w:rPr>
                <w:rFonts w:cs="Calibri"/>
                <w:sz w:val="16"/>
                <w:szCs w:val="16"/>
              </w:rPr>
            </w:pPr>
            <w:r>
              <w:rPr>
                <w:rFonts w:cs="Calibri"/>
                <w:sz w:val="16"/>
                <w:szCs w:val="16"/>
                <w:u w:val="single"/>
                <w:lang w:val="en-US"/>
              </w:rPr>
              <w:t>NOTE:</w:t>
            </w:r>
            <w:r>
              <w:rPr>
                <w:rFonts w:cs="Calibri"/>
                <w:sz w:val="16"/>
                <w:szCs w:val="16"/>
              </w:rPr>
              <w:t xml:space="preserve"> </w:t>
            </w:r>
          </w:p>
          <w:p w14:paraId="52401C09" w14:textId="77777777" w:rsidR="00B97365" w:rsidRDefault="00000000">
            <w:pPr>
              <w:spacing w:before="0"/>
              <w:jc w:val="left"/>
              <w:rPr>
                <w:rFonts w:cs="Calibri"/>
                <w:sz w:val="16"/>
                <w:szCs w:val="16"/>
                <w:lang w:val="en-US"/>
              </w:rPr>
            </w:pPr>
            <w:r>
              <w:rPr>
                <w:rFonts w:cs="Calibri"/>
                <w:sz w:val="16"/>
                <w:szCs w:val="16"/>
                <w:lang w:val="en-US"/>
              </w:rPr>
              <w:t>If no Operator Notification Configuration has yet been set in the SM-SR for a given Profile Type, then the output data of this function will list no notification names, as all notifications will be sent for Profiles assigned with this Profile Type. See also section 3.21.4 and table 511215-A for details.</w:t>
            </w:r>
          </w:p>
          <w:p w14:paraId="008067CE" w14:textId="77777777" w:rsidR="00B97365" w:rsidRDefault="00B97365">
            <w:pPr>
              <w:rPr>
                <w:rFonts w:cs="Calibri"/>
                <w:sz w:val="16"/>
                <w:szCs w:val="16"/>
                <w:lang w:val="en-US"/>
              </w:rPr>
            </w:pPr>
          </w:p>
        </w:tc>
        <w:tc>
          <w:tcPr>
            <w:tcW w:w="0" w:type="auto"/>
            <w:tcBorders>
              <w:top w:val="single" w:sz="6" w:space="0" w:color="auto"/>
              <w:left w:val="single" w:sz="6" w:space="0" w:color="auto"/>
              <w:bottom w:val="single" w:sz="4" w:space="0" w:color="auto"/>
              <w:right w:val="single" w:sz="6" w:space="0" w:color="auto"/>
            </w:tcBorders>
            <w:vAlign w:val="center"/>
            <w:hideMark/>
          </w:tcPr>
          <w:p w14:paraId="591AF7D7" w14:textId="77777777" w:rsidR="00B97365" w:rsidRDefault="00000000">
            <w:pPr>
              <w:jc w:val="center"/>
              <w:rPr>
                <w:rFonts w:cs="Calibri"/>
                <w:sz w:val="16"/>
                <w:szCs w:val="16"/>
              </w:rPr>
            </w:pPr>
            <w:r>
              <w:rPr>
                <w:rFonts w:cs="Calibri"/>
                <w:sz w:val="16"/>
                <w:szCs w:val="16"/>
                <w:lang w:val="en-US"/>
              </w:rPr>
              <w:lastRenderedPageBreak/>
              <w:t xml:space="preserve">ONC </w:t>
            </w:r>
          </w:p>
        </w:tc>
        <w:tc>
          <w:tcPr>
            <w:tcW w:w="0" w:type="auto"/>
            <w:tcBorders>
              <w:top w:val="single" w:sz="6" w:space="0" w:color="auto"/>
              <w:left w:val="single" w:sz="6" w:space="0" w:color="auto"/>
              <w:bottom w:val="single" w:sz="4" w:space="0" w:color="auto"/>
              <w:right w:val="single" w:sz="6" w:space="0" w:color="auto"/>
            </w:tcBorders>
            <w:vAlign w:val="center"/>
            <w:hideMark/>
          </w:tcPr>
          <w:p w14:paraId="7AA2E12C" w14:textId="77777777" w:rsidR="00B97365" w:rsidRDefault="00000000">
            <w:pPr>
              <w:jc w:val="center"/>
              <w:rPr>
                <w:rFonts w:cs="Calibri"/>
                <w:sz w:val="16"/>
                <w:szCs w:val="16"/>
              </w:rPr>
            </w:pPr>
            <w:r>
              <w:rPr>
                <w:rFonts w:cs="Calibri"/>
                <w:sz w:val="16"/>
                <w:szCs w:val="16"/>
              </w:rPr>
              <w:t>N</w:t>
            </w:r>
          </w:p>
        </w:tc>
        <w:tc>
          <w:tcPr>
            <w:tcW w:w="0" w:type="auto"/>
            <w:tcBorders>
              <w:top w:val="single" w:sz="6" w:space="0" w:color="auto"/>
              <w:left w:val="single" w:sz="6" w:space="0" w:color="auto"/>
              <w:bottom w:val="single" w:sz="4" w:space="0" w:color="auto"/>
              <w:right w:val="single" w:sz="4" w:space="0" w:color="auto"/>
            </w:tcBorders>
            <w:vAlign w:val="center"/>
            <w:hideMark/>
          </w:tcPr>
          <w:p w14:paraId="55A55A22" w14:textId="77777777" w:rsidR="00B97365" w:rsidRDefault="00000000">
            <w:pPr>
              <w:jc w:val="center"/>
              <w:rPr>
                <w:rFonts w:cs="Calibri"/>
                <w:sz w:val="16"/>
                <w:szCs w:val="16"/>
              </w:rPr>
            </w:pPr>
            <w:r>
              <w:rPr>
                <w:rFonts w:cs="Calibri"/>
                <w:sz w:val="16"/>
                <w:szCs w:val="16"/>
              </w:rPr>
              <w:t>M</w:t>
            </w:r>
          </w:p>
        </w:tc>
      </w:tr>
    </w:tbl>
    <w:p w14:paraId="11830C38"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5422-B: GetONC Additional Output Data</w:t>
      </w:r>
    </w:p>
    <w:p w14:paraId="6B787CCF"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36" w:name="_Toc1977400"/>
      <w:bookmarkStart w:id="5237" w:name="_Toc37062559"/>
      <w:bookmarkStart w:id="5238" w:name="_Toc88839633"/>
      <w:bookmarkStart w:id="5239" w:name="_Toc121504041"/>
      <w:r>
        <w:rPr>
          <w:rFonts w:eastAsia="Times New Roman" w:cs="Arial"/>
          <w:b/>
          <w:bCs/>
          <w:iCs/>
          <w:sz w:val="24"/>
          <w:szCs w:val="26"/>
          <w:lang w:eastAsia="en-US"/>
        </w:rPr>
        <w:t>Setting the Emergency Profile Attribute</w:t>
      </w:r>
      <w:bookmarkEnd w:id="5236"/>
      <w:bookmarkEnd w:id="5237"/>
      <w:bookmarkEnd w:id="5238"/>
      <w:bookmarkEnd w:id="5239"/>
    </w:p>
    <w:p w14:paraId="0859017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w:t>
      </w:r>
      <w:r>
        <w:rPr>
          <w:rFonts w:cs="Arial"/>
          <w:szCs w:val="22"/>
          <w:lang w:val="en-US" w:eastAsia="en-GB" w:bidi="ar-SA"/>
        </w:rPr>
        <w:t>EmergencyProfile</w:t>
      </w:r>
      <w:r>
        <w:rPr>
          <w:szCs w:val="22"/>
          <w:lang w:val="en-US" w:eastAsia="en-GB" w:bidi="ar-SA"/>
        </w:rPr>
        <w:t>Attribute</w:t>
      </w:r>
    </w:p>
    <w:p w14:paraId="599929C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rPr>
          <w:rFonts w:cs="Arial"/>
          <w:szCs w:val="22"/>
          <w:lang w:val="en-US" w:eastAsia="en-GB" w:bidi="ar-SA"/>
        </w:rPr>
        <w:t xml:space="preserve">Emergency Profile </w:t>
      </w:r>
      <w:r>
        <w:rPr>
          <w:szCs w:val="22"/>
          <w:lang w:val="en-US" w:eastAsia="en-GB" w:bidi="ar-SA"/>
        </w:rPr>
        <w:t xml:space="preserve">Attribute Management, </w:t>
      </w:r>
      <w:r>
        <w:rPr>
          <w:rFonts w:cs="Arial"/>
          <w:szCs w:val="22"/>
          <w:lang w:val="en-US" w:eastAsia="en-GB" w:bidi="ar-SA"/>
        </w:rPr>
        <w:t xml:space="preserve">Emergency Profile </w:t>
      </w:r>
      <w:r>
        <w:rPr>
          <w:szCs w:val="22"/>
          <w:lang w:val="en-US" w:eastAsia="en-GB" w:bidi="ar-SA"/>
        </w:rPr>
        <w:t xml:space="preserve">Attribute Management via the M2M SP </w:t>
      </w:r>
    </w:p>
    <w:p w14:paraId="63E4E6C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5F76233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5231639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4BC6B907" w14:textId="77777777" w:rsidR="00B97365" w:rsidRDefault="00000000">
      <w:pPr>
        <w:spacing w:before="0" w:after="200" w:line="276" w:lineRule="auto"/>
        <w:jc w:val="left"/>
        <w:rPr>
          <w:szCs w:val="22"/>
          <w:lang w:val="en-US" w:eastAsia="en-GB" w:bidi="ar-SA"/>
        </w:rPr>
      </w:pPr>
      <w:r>
        <w:rPr>
          <w:szCs w:val="22"/>
          <w:lang w:val="en-US" w:eastAsia="en-GB" w:bidi="ar-SA"/>
        </w:rPr>
        <w:t xml:space="preserve">This function allows the SM-DP authorised by the Operator to request the setting of the </w:t>
      </w:r>
      <w:r>
        <w:rPr>
          <w:rFonts w:cs="Arial"/>
          <w:szCs w:val="22"/>
          <w:lang w:val="en-US" w:eastAsia="en-GB" w:bidi="ar-SA"/>
        </w:rPr>
        <w:t xml:space="preserve">Emergency Profile </w:t>
      </w:r>
      <w:r>
        <w:rPr>
          <w:szCs w:val="22"/>
          <w:lang w:val="en-US" w:eastAsia="en-GB" w:bidi="ar-SA"/>
        </w:rPr>
        <w:t xml:space="preserve">Attribute on the targeted Profile to the SM-SR in charge of the management of the targeted eUICC; eUICC being identified by its EID. </w:t>
      </w:r>
    </w:p>
    <w:p w14:paraId="21B51038" w14:textId="77777777" w:rsidR="00B97365" w:rsidRDefault="00000000">
      <w:pPr>
        <w:spacing w:before="0" w:after="200" w:line="276" w:lineRule="auto"/>
        <w:jc w:val="left"/>
        <w:rPr>
          <w:szCs w:val="22"/>
          <w:lang w:val="en-US" w:eastAsia="en-GB" w:bidi="ar-SA"/>
        </w:rPr>
      </w:pPr>
      <w:r>
        <w:rPr>
          <w:szCs w:val="22"/>
          <w:lang w:val="en-US" w:eastAsia="en-GB" w:bidi="ar-SA"/>
        </w:rPr>
        <w:t>The SM-DP SHALL indicate on behalf of which Operator it is requesting this operation.</w:t>
      </w:r>
    </w:p>
    <w:p w14:paraId="3A3C038B" w14:textId="77777777" w:rsidR="00B97365" w:rsidRDefault="00000000">
      <w:pPr>
        <w:spacing w:before="0" w:after="200" w:line="276" w:lineRule="auto"/>
        <w:jc w:val="left"/>
        <w:rPr>
          <w:szCs w:val="22"/>
          <w:lang w:val="en-US" w:eastAsia="en-GB" w:bidi="ar-SA"/>
        </w:rPr>
      </w:pPr>
      <w:r>
        <w:rPr>
          <w:szCs w:val="22"/>
          <w:lang w:val="en-US" w:eastAsia="en-GB" w:bidi="ar-SA"/>
        </w:rPr>
        <w:t xml:space="preserve">The SM-SR SHALL verify that the request is </w:t>
      </w:r>
    </w:p>
    <w:p w14:paraId="2B60C51D"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Either sent on behalf of an Operator owning the targeted Profile </w:t>
      </w:r>
    </w:p>
    <w:p w14:paraId="3A76A64D" w14:textId="77777777" w:rsidR="00B97365" w:rsidRDefault="00000000">
      <w:pPr>
        <w:spacing w:before="0" w:after="200" w:line="276" w:lineRule="auto"/>
        <w:ind w:left="720"/>
        <w:contextualSpacing/>
        <w:jc w:val="left"/>
        <w:rPr>
          <w:szCs w:val="22"/>
          <w:lang w:val="en-US" w:eastAsia="en-GB" w:bidi="ar-SA"/>
        </w:rPr>
      </w:pPr>
      <w:r>
        <w:rPr>
          <w:szCs w:val="22"/>
          <w:lang w:val="en-US" w:eastAsia="en-GB" w:bidi="ar-SA"/>
        </w:rPr>
        <w:t xml:space="preserve">or </w:t>
      </w:r>
    </w:p>
    <w:p w14:paraId="74D6BDB9"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Sent on behalf of an Operator that is not the owner of the targeted Profile, but the Operator owning the targeted Profile has granted a PLMA allowing the operation “Set</w:t>
      </w:r>
      <w:r>
        <w:rPr>
          <w:rFonts w:cs="Arial"/>
          <w:szCs w:val="22"/>
          <w:lang w:val="en-US" w:eastAsia="en-GB" w:bidi="ar-SA"/>
        </w:rPr>
        <w:t>EmergencyProfile</w:t>
      </w:r>
      <w:r>
        <w:rPr>
          <w:szCs w:val="22"/>
          <w:lang w:val="en-US" w:eastAsia="en-GB" w:bidi="ar-SA"/>
        </w:rPr>
        <w:t>Attribute” to the Operator requesting the operation.</w:t>
      </w:r>
    </w:p>
    <w:p w14:paraId="6D3955AB" w14:textId="77777777" w:rsidR="00B97365" w:rsidRDefault="00000000">
      <w:pPr>
        <w:spacing w:before="0" w:after="200" w:line="276" w:lineRule="auto"/>
        <w:jc w:val="left"/>
        <w:rPr>
          <w:szCs w:val="22"/>
          <w:lang w:val="en-US" w:eastAsia="en-GB" w:bidi="ar-SA"/>
        </w:rPr>
      </w:pPr>
      <w:r>
        <w:rPr>
          <w:lang w:eastAsia="en-GB"/>
        </w:rPr>
        <w:t>If one Profile currently has the Emergency Profile Attribute set, the SM-SR SHALL verify that the Operator owning the Profile with the Emergency Profile Attribute set has granted a PLMA authorising the operation “UnsetEmergencyProfileAttribute” to the Operator requesting the operation.</w:t>
      </w:r>
    </w:p>
    <w:p w14:paraId="4B987DE0" w14:textId="77777777" w:rsidR="00B97365" w:rsidRDefault="00000000">
      <w:pPr>
        <w:spacing w:before="0" w:after="200" w:line="276" w:lineRule="auto"/>
        <w:jc w:val="left"/>
        <w:rPr>
          <w:szCs w:val="22"/>
          <w:lang w:val="en-US" w:eastAsia="en-GB" w:bidi="ar-SA"/>
        </w:rPr>
      </w:pPr>
      <w:r>
        <w:rPr>
          <w:szCs w:val="22"/>
          <w:lang w:val="en-US" w:eastAsia="en-GB" w:bidi="ar-SA"/>
        </w:rPr>
        <w:t>The SM-SR MAY provide additional verifications.</w:t>
      </w:r>
    </w:p>
    <w:p w14:paraId="3421E4D9" w14:textId="154C6453"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“Emergency Profile Attribute Management” procedure described in the section </w:t>
      </w:r>
      <w:r>
        <w:fldChar w:fldCharType="begin"/>
      </w:r>
      <w:r>
        <w:rPr>
          <w:rFonts w:cs="Arial"/>
          <w:szCs w:val="22"/>
          <w:lang w:val="en-US" w:eastAsia="en-GB" w:bidi="ar-SA"/>
        </w:rPr>
        <w:instrText xml:space="preserve"> REF _Ref536172225 \r \h </w:instrText>
      </w:r>
      <w:r>
        <w:fldChar w:fldCharType="separate"/>
      </w:r>
      <w:r w:rsidR="001D5AD9">
        <w:rPr>
          <w:rFonts w:cs="Arial"/>
          <w:szCs w:val="22"/>
          <w:lang w:val="en-US" w:eastAsia="en-GB" w:bidi="ar-SA"/>
        </w:rPr>
        <w:t>3.25</w:t>
      </w:r>
      <w:r>
        <w:fldChar w:fldCharType="end"/>
      </w:r>
      <w:r>
        <w:t xml:space="preserve"> </w:t>
      </w:r>
      <w:r>
        <w:rPr>
          <w:szCs w:val="22"/>
          <w:lang w:val="en-US" w:eastAsia="en-GB" w:bidi="ar-SA"/>
        </w:rPr>
        <w:t>of this specification.</w:t>
      </w:r>
    </w:p>
    <w:p w14:paraId="135536F2" w14:textId="77777777" w:rsidR="00B97365" w:rsidRDefault="00000000">
      <w:pPr>
        <w:spacing w:before="0" w:after="200" w:line="276" w:lineRule="auto"/>
        <w:jc w:val="left"/>
        <w:rPr>
          <w:rFonts w:cs="Arial"/>
          <w:szCs w:val="22"/>
          <w:lang w:val="en-US" w:eastAsia="en-GB" w:bidi="ar-SA"/>
        </w:rPr>
      </w:pPr>
      <w:r>
        <w:rPr>
          <w:szCs w:val="22"/>
          <w:lang w:val="en-US" w:eastAsia="en-GB" w:bidi="ar-SA"/>
        </w:rPr>
        <w:t xml:space="preserve">After setting the Emergency Profile Attribute, the SM-SR SHALL add or update the AdditionalProperty </w:t>
      </w:r>
      <w:r w:rsidRPr="003C254C">
        <w:rPr>
          <w:rStyle w:val="CODE"/>
        </w:rPr>
        <w:t>‘gsma.ESIM.EmergencyProfile.AID’</w:t>
      </w:r>
      <w:r>
        <w:rPr>
          <w:szCs w:val="22"/>
          <w:lang w:val="en-US" w:eastAsia="en-GB" w:bidi="ar-SA"/>
        </w:rPr>
        <w:t xml:space="preserve"> of the EIS. </w:t>
      </w:r>
      <w:r>
        <w:rPr>
          <w:rFonts w:cs="Arial"/>
          <w:szCs w:val="22"/>
          <w:lang w:val="en-US" w:eastAsia="en-GB" w:bidi="ar-SA"/>
        </w:rPr>
        <w:t>This function may return:</w:t>
      </w:r>
    </w:p>
    <w:p w14:paraId="47299AC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w:t>
      </w:r>
      <w:r>
        <w:rPr>
          <w:rFonts w:cs="Arial"/>
          <w:szCs w:val="22"/>
          <w:lang w:val="en-US" w:eastAsia="en-GB" w:bidi="ar-SA"/>
        </w:rPr>
        <w:t xml:space="preserve">Emergency Profile </w:t>
      </w:r>
      <w:r>
        <w:rPr>
          <w:szCs w:val="22"/>
          <w:lang w:eastAsia="en-GB" w:bidi="ar-SA"/>
        </w:rPr>
        <w:t xml:space="preserve">Attribute has been set on the targeted Profile. </w:t>
      </w:r>
    </w:p>
    <w:p w14:paraId="2223E5B1" w14:textId="6997A989"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 xml:space="preserve">A ‘Function execution status’ with ‘Expired’ with a status code as defined in section </w:t>
      </w:r>
      <w:r>
        <w:fldChar w:fldCharType="begin"/>
      </w:r>
      <w:r>
        <w:instrText xml:space="preserve"> REF _Ref367974707 \r \h  \* MERGEFORMAT </w:instrText>
      </w:r>
      <w:r>
        <w:fldChar w:fldCharType="separate"/>
      </w:r>
      <w:r w:rsidR="001D5AD9" w:rsidRPr="001D5AD9">
        <w:rPr>
          <w:szCs w:val="22"/>
          <w:lang w:eastAsia="en-GB" w:bidi="ar-SA"/>
        </w:rPr>
        <w:t>5.1.6.4</w:t>
      </w:r>
      <w:r>
        <w:fldChar w:fldCharType="end"/>
      </w:r>
    </w:p>
    <w:p w14:paraId="562F7484" w14:textId="67261F6C"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_Ref367974714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here after.</w:t>
      </w:r>
    </w:p>
    <w:p w14:paraId="7595D526" w14:textId="77777777" w:rsidR="00B97365" w:rsidRDefault="00B97365">
      <w:pPr>
        <w:tabs>
          <w:tab w:val="left" w:pos="680"/>
        </w:tabs>
        <w:spacing w:before="0" w:after="200" w:line="276" w:lineRule="auto"/>
        <w:contextualSpacing/>
        <w:jc w:val="left"/>
        <w:rPr>
          <w:rFonts w:cs="Arial"/>
          <w:szCs w:val="22"/>
          <w:lang w:eastAsia="en-GB" w:bidi="ar-SA"/>
        </w:rPr>
      </w:pPr>
    </w:p>
    <w:p w14:paraId="101F13E9"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4988"/>
        <w:gridCol w:w="590"/>
        <w:gridCol w:w="474"/>
        <w:gridCol w:w="590"/>
      </w:tblGrid>
      <w:tr w:rsidR="00B97365" w14:paraId="03B6C834"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34B83ED"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310CA00"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62256F7"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E6F09F6"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4DE0019"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CE8478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162B35F4"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hideMark/>
          </w:tcPr>
          <w:p w14:paraId="12C19AEC" w14:textId="77777777" w:rsidR="00B97365" w:rsidRDefault="00000000">
            <w:pPr>
              <w:rPr>
                <w:rFonts w:eastAsia="Times New Roman" w:cs="Calibri"/>
                <w:sz w:val="16"/>
                <w:szCs w:val="16"/>
                <w:lang w:val="en-US"/>
              </w:rPr>
            </w:pPr>
            <w:r>
              <w:rPr>
                <w:rFonts w:cs="Calibri"/>
                <w:sz w:val="16"/>
                <w:szCs w:val="16"/>
                <w:lang w:val="en-US"/>
              </w:rPr>
              <w:t>Identification of the targeted eUICC.</w:t>
            </w:r>
          </w:p>
          <w:p w14:paraId="28611BF0" w14:textId="071F4271" w:rsidR="00B97365" w:rsidRDefault="00000000">
            <w:pPr>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_Ref367974724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hideMark/>
          </w:tcPr>
          <w:p w14:paraId="3079959D"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hideMark/>
          </w:tcPr>
          <w:p w14:paraId="436D7031"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5875DE91"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6DB33EDA"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vAlign w:val="center"/>
            <w:hideMark/>
          </w:tcPr>
          <w:p w14:paraId="360DD520"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4BB5EB7D" w14:textId="7777777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Identification of the Profile to get the Emergency Profile Attribute set.</w:t>
            </w:r>
          </w:p>
          <w:p w14:paraId="1D180376" w14:textId="41A09676"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_Ref367974730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3D4992AB" w14:textId="77777777" w:rsidR="00B97365" w:rsidRDefault="00000000">
            <w:pPr>
              <w:keepNext/>
              <w:keepLines/>
              <w:tabs>
                <w:tab w:val="num" w:pos="4320"/>
              </w:tabs>
              <w:spacing w:before="140" w:after="120" w:line="260" w:lineRule="atLeast"/>
              <w:ind w:left="1531" w:hanging="1531"/>
              <w:jc w:val="center"/>
              <w:rPr>
                <w:rFonts w:eastAsia="Times New Roman"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4A8C8AEE" w14:textId="77777777" w:rsidR="00B97365" w:rsidRDefault="00000000">
            <w:pPr>
              <w:spacing w:before="140" w:after="120" w:line="260" w:lineRule="atLeast"/>
              <w:ind w:left="1531" w:hanging="1531"/>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vAlign w:val="center"/>
            <w:hideMark/>
          </w:tcPr>
          <w:p w14:paraId="0CBA9A04"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107F2244"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5423-A: Set Emergency Profile Attribute Additional Input Data</w:t>
      </w:r>
    </w:p>
    <w:p w14:paraId="785241EC"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583"/>
        <w:gridCol w:w="5290"/>
        <w:gridCol w:w="1209"/>
        <w:gridCol w:w="409"/>
        <w:gridCol w:w="525"/>
      </w:tblGrid>
      <w:tr w:rsidR="00B97365" w14:paraId="3E56E25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6B7F5EC"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A620386"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D2E0CA2"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AA7A4B3"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C665EFD"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263BF699"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635A93A" w14:textId="77777777" w:rsidR="00B97365" w:rsidRDefault="00000000">
            <w:pPr>
              <w:tabs>
                <w:tab w:val="right" w:pos="7938"/>
              </w:tabs>
              <w:ind w:left="470" w:hanging="459"/>
              <w:rPr>
                <w:rFonts w:cs="Calibri"/>
                <w:sz w:val="16"/>
                <w:szCs w:val="16"/>
              </w:rPr>
            </w:pPr>
            <w:r>
              <w:rPr>
                <w:rFonts w:cs="Calibri"/>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73A9E172" w14:textId="77777777" w:rsidR="00B97365" w:rsidRDefault="00000000">
            <w:pPr>
              <w:rPr>
                <w:rFonts w:cs="Calibri"/>
                <w:sz w:val="16"/>
                <w:szCs w:val="16"/>
              </w:rPr>
            </w:pPr>
            <w:r>
              <w:rPr>
                <w:rFonts w:cs="Calibri"/>
                <w:sz w:val="16"/>
                <w:szCs w:val="16"/>
              </w:rPr>
              <w:t xml:space="preserve">Contains the detailed error returned by the eUICC in case the function execution failed on eUICC. The response data is defined in ES5.SetEmergencyProfileAttribute. </w:t>
            </w:r>
          </w:p>
        </w:tc>
        <w:tc>
          <w:tcPr>
            <w:tcW w:w="0" w:type="auto"/>
            <w:tcBorders>
              <w:top w:val="single" w:sz="6" w:space="0" w:color="auto"/>
              <w:left w:val="single" w:sz="6" w:space="0" w:color="auto"/>
              <w:bottom w:val="single" w:sz="4" w:space="0" w:color="auto"/>
              <w:right w:val="single" w:sz="6" w:space="0" w:color="auto"/>
            </w:tcBorders>
            <w:vAlign w:val="center"/>
            <w:hideMark/>
          </w:tcPr>
          <w:p w14:paraId="573AC846" w14:textId="77777777" w:rsidR="00B97365" w:rsidRDefault="00000000">
            <w:pPr>
              <w:tabs>
                <w:tab w:val="right" w:pos="7938"/>
              </w:tabs>
              <w:ind w:firstLine="11"/>
              <w:rPr>
                <w:rFonts w:cs="Calibri"/>
                <w:sz w:val="16"/>
                <w:szCs w:val="16"/>
              </w:rPr>
            </w:pPr>
            <w:r>
              <w:rPr>
                <w:rFonts w:cs="Calibri"/>
                <w:sz w:val="16"/>
                <w:szCs w:val="16"/>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05221AFF"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8725BE4" w14:textId="77777777" w:rsidR="00B97365" w:rsidRDefault="00000000">
            <w:pPr>
              <w:jc w:val="center"/>
              <w:rPr>
                <w:rFonts w:cs="Calibri"/>
                <w:sz w:val="16"/>
                <w:szCs w:val="16"/>
              </w:rPr>
            </w:pPr>
            <w:r>
              <w:rPr>
                <w:rFonts w:cs="Calibri"/>
                <w:sz w:val="16"/>
                <w:szCs w:val="16"/>
              </w:rPr>
              <w:t>O</w:t>
            </w:r>
          </w:p>
        </w:tc>
      </w:tr>
    </w:tbl>
    <w:p w14:paraId="65700AF8"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5423-B: Set Emergency Profile Attribute Additional Output Data</w:t>
      </w:r>
    </w:p>
    <w:p w14:paraId="1661BF90"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p>
    <w:tbl>
      <w:tblPr>
        <w:tblW w:w="944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036"/>
        <w:gridCol w:w="865"/>
        <w:gridCol w:w="732"/>
        <w:gridCol w:w="1124"/>
        <w:gridCol w:w="5686"/>
      </w:tblGrid>
      <w:tr w:rsidR="00B97365" w14:paraId="15F416CC" w14:textId="77777777">
        <w:trPr>
          <w:trHeight w:val="342"/>
          <w:jc w:val="center"/>
        </w:trPr>
        <w:tc>
          <w:tcPr>
            <w:tcW w:w="103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EFEA744" w14:textId="77777777" w:rsidR="00B97365" w:rsidRDefault="00000000">
            <w:pPr>
              <w:jc w:val="center"/>
              <w:rPr>
                <w:rFonts w:cs="Calibri"/>
                <w:b/>
                <w:color w:val="FFFFFF"/>
                <w:sz w:val="16"/>
                <w:szCs w:val="16"/>
              </w:rPr>
            </w:pPr>
            <w:r>
              <w:rPr>
                <w:rFonts w:cs="Calibri"/>
                <w:b/>
                <w:color w:val="FFFFFF"/>
                <w:sz w:val="16"/>
                <w:szCs w:val="16"/>
              </w:rPr>
              <w:t>Subject</w:t>
            </w:r>
          </w:p>
          <w:p w14:paraId="4A63BF22"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FA8569D" w14:textId="77777777" w:rsidR="00B97365" w:rsidRDefault="00000000">
            <w:pPr>
              <w:jc w:val="center"/>
              <w:rPr>
                <w:rFonts w:cs="Calibri"/>
                <w:b/>
                <w:color w:val="FFFFFF"/>
                <w:sz w:val="16"/>
                <w:szCs w:val="16"/>
              </w:rPr>
            </w:pPr>
            <w:r>
              <w:rPr>
                <w:rFonts w:cs="Calibri"/>
                <w:b/>
                <w:color w:val="FFFFFF"/>
                <w:sz w:val="16"/>
                <w:szCs w:val="16"/>
              </w:rPr>
              <w:t>Subject</w:t>
            </w:r>
          </w:p>
        </w:tc>
        <w:tc>
          <w:tcPr>
            <w:tcW w:w="73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80FA804" w14:textId="77777777" w:rsidR="00B97365" w:rsidRDefault="00000000">
            <w:pPr>
              <w:jc w:val="center"/>
              <w:rPr>
                <w:rFonts w:cs="Calibri"/>
                <w:b/>
                <w:color w:val="FFFFFF"/>
                <w:sz w:val="16"/>
                <w:szCs w:val="16"/>
              </w:rPr>
            </w:pPr>
            <w:r>
              <w:rPr>
                <w:rFonts w:cs="Calibri"/>
                <w:b/>
                <w:color w:val="FFFFFF"/>
                <w:sz w:val="16"/>
                <w:szCs w:val="16"/>
              </w:rPr>
              <w:t>Reason</w:t>
            </w:r>
          </w:p>
          <w:p w14:paraId="7BAD7957"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9150148"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5DEF89A"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662E4BEF"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501B4455"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411961DF" w14:textId="77777777" w:rsidR="00B97365" w:rsidRDefault="00000000">
            <w:pPr>
              <w:rPr>
                <w:rFonts w:cs="Calibri"/>
                <w:sz w:val="16"/>
                <w:szCs w:val="16"/>
              </w:rPr>
            </w:pPr>
            <w:r>
              <w:rPr>
                <w:rFonts w:cs="Calibri"/>
                <w:sz w:val="16"/>
                <w:szCs w:val="16"/>
              </w:rPr>
              <w:t>EID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05CC7E8F" w14:textId="77777777" w:rsidR="00B97365" w:rsidRDefault="00000000">
            <w:pPr>
              <w:jc w:val="center"/>
              <w:rPr>
                <w:rFonts w:cs="Calibri"/>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111FDF90"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0ED03FDA" w14:textId="77777777" w:rsidR="00B97365" w:rsidRDefault="00000000">
            <w:pPr>
              <w:rPr>
                <w:rFonts w:cs="Calibri"/>
                <w:sz w:val="16"/>
                <w:szCs w:val="16"/>
              </w:rPr>
            </w:pPr>
            <w:r>
              <w:rPr>
                <w:rFonts w:cs="Calibri"/>
                <w:sz w:val="16"/>
                <w:szCs w:val="16"/>
              </w:rPr>
              <w:t>Indicates that the eUICC, identified by this EID, is unknown to the function provider.</w:t>
            </w:r>
          </w:p>
        </w:tc>
      </w:tr>
      <w:tr w:rsidR="00B97365" w14:paraId="482A0734"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19240371"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15A4C3F2" w14:textId="77777777" w:rsidR="00B97365" w:rsidRDefault="00000000">
            <w:pPr>
              <w:rPr>
                <w:rFonts w:cs="Calibri"/>
                <w:sz w:val="16"/>
                <w:szCs w:val="16"/>
              </w:rPr>
            </w:pPr>
            <w:r>
              <w:rPr>
                <w:rFonts w:cs="Calibri"/>
                <w:sz w:val="16"/>
                <w:szCs w:val="16"/>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6CFDCFBC" w14:textId="77777777" w:rsidR="00B97365" w:rsidRDefault="00000000">
            <w:pPr>
              <w:jc w:val="center"/>
              <w:rPr>
                <w:rFonts w:cs="Calibri"/>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601761AC"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7C0ADF6B" w14:textId="77777777" w:rsidR="00B97365" w:rsidRDefault="00000000">
            <w:pPr>
              <w:rPr>
                <w:rFonts w:cs="Calibri"/>
                <w:sz w:val="16"/>
                <w:szCs w:val="16"/>
              </w:rPr>
            </w:pPr>
            <w:r>
              <w:rPr>
                <w:rFonts w:cs="Calibri"/>
                <w:sz w:val="16"/>
                <w:szCs w:val="16"/>
              </w:rPr>
              <w:t>Indicates that the Profile identified by this ICCID is unknown to the function provider.</w:t>
            </w:r>
          </w:p>
        </w:tc>
      </w:tr>
      <w:tr w:rsidR="00B97365" w14:paraId="0A6DABA4"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0F632F22"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6B13EBA3" w14:textId="77777777" w:rsidR="00B97365" w:rsidRDefault="00000000">
            <w:pPr>
              <w:rPr>
                <w:rFonts w:cs="Calibri"/>
                <w:sz w:val="16"/>
                <w:szCs w:val="16"/>
              </w:rPr>
            </w:pPr>
            <w:r>
              <w:rPr>
                <w:rFonts w:cs="Calibri"/>
                <w:sz w:val="16"/>
                <w:szCs w:val="16"/>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7643C692" w14:textId="77777777" w:rsidR="00B97365" w:rsidRDefault="00000000">
            <w:pPr>
              <w:jc w:val="center"/>
              <w:rPr>
                <w:rFonts w:cs="Calibri"/>
                <w:sz w:val="16"/>
                <w:szCs w:val="16"/>
              </w:rPr>
            </w:pPr>
            <w:r>
              <w:rPr>
                <w:rFonts w:cs="Calibri"/>
                <w:sz w:val="16"/>
                <w:szCs w:val="16"/>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2125C0B5" w14:textId="77777777" w:rsidR="00B97365" w:rsidRDefault="00000000">
            <w:pPr>
              <w:rPr>
                <w:rFonts w:cs="Calibri"/>
                <w:sz w:val="16"/>
                <w:szCs w:val="16"/>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405EA85C" w14:textId="77777777" w:rsidR="00B97365" w:rsidRDefault="00000000">
            <w:pPr>
              <w:rPr>
                <w:rFonts w:cs="Calibri"/>
                <w:sz w:val="16"/>
                <w:szCs w:val="16"/>
              </w:rPr>
            </w:pPr>
            <w:r>
              <w:rPr>
                <w:rFonts w:cs="Calibri"/>
                <w:sz w:val="16"/>
                <w:szCs w:val="16"/>
              </w:rPr>
              <w:t>Indicates that the Profile identified by this ICCID is known to the function provider but installed on another eUICC than the one identified by the function caller.</w:t>
            </w:r>
          </w:p>
        </w:tc>
      </w:tr>
      <w:tr w:rsidR="00B97365" w14:paraId="10E5F290"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tcPr>
          <w:p w14:paraId="2C5E5A5E"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3ABD8CEF" w14:textId="77777777" w:rsidR="00B97365" w:rsidRDefault="00000000">
            <w:pPr>
              <w:rPr>
                <w:rFonts w:cs="Calibri"/>
                <w:sz w:val="16"/>
                <w:szCs w:val="16"/>
              </w:rPr>
            </w:pPr>
            <w:r>
              <w:rPr>
                <w:rFonts w:cs="Calibri"/>
                <w:sz w:val="16"/>
                <w:szCs w:val="16"/>
              </w:rPr>
              <w:t>PLMA</w:t>
            </w:r>
          </w:p>
        </w:tc>
        <w:tc>
          <w:tcPr>
            <w:tcW w:w="732" w:type="dxa"/>
            <w:tcBorders>
              <w:top w:val="single" w:sz="6" w:space="0" w:color="auto"/>
              <w:left w:val="single" w:sz="6" w:space="0" w:color="auto"/>
              <w:bottom w:val="single" w:sz="6" w:space="0" w:color="auto"/>
              <w:right w:val="single" w:sz="6" w:space="0" w:color="auto"/>
            </w:tcBorders>
            <w:vAlign w:val="center"/>
          </w:tcPr>
          <w:p w14:paraId="14D47CED" w14:textId="77777777" w:rsidR="00B97365" w:rsidRDefault="00000000">
            <w:pPr>
              <w:jc w:val="center"/>
              <w:rPr>
                <w:rFonts w:cs="Calibri"/>
                <w:sz w:val="16"/>
                <w:szCs w:val="16"/>
              </w:rPr>
            </w:pPr>
            <w:r>
              <w:rPr>
                <w:rFonts w:cs="Calibri"/>
                <w:sz w:val="16"/>
                <w:szCs w:val="16"/>
              </w:rPr>
              <w:t>3.8</w:t>
            </w:r>
          </w:p>
        </w:tc>
        <w:tc>
          <w:tcPr>
            <w:tcW w:w="0" w:type="auto"/>
            <w:tcBorders>
              <w:top w:val="single" w:sz="6" w:space="0" w:color="auto"/>
              <w:left w:val="single" w:sz="6" w:space="0" w:color="auto"/>
              <w:bottom w:val="single" w:sz="6" w:space="0" w:color="auto"/>
              <w:right w:val="single" w:sz="6" w:space="0" w:color="auto"/>
            </w:tcBorders>
            <w:vAlign w:val="center"/>
          </w:tcPr>
          <w:p w14:paraId="36C94A3E" w14:textId="77777777" w:rsidR="00B97365" w:rsidRDefault="00000000">
            <w:pPr>
              <w:rPr>
                <w:rFonts w:cs="Calibri"/>
                <w:sz w:val="16"/>
                <w:szCs w:val="16"/>
              </w:rPr>
            </w:pPr>
            <w:r>
              <w:rPr>
                <w:rFonts w:cs="Calibri"/>
                <w:sz w:val="16"/>
                <w:szCs w:val="16"/>
              </w:rPr>
              <w:t>Refused</w:t>
            </w:r>
          </w:p>
        </w:tc>
        <w:tc>
          <w:tcPr>
            <w:tcW w:w="0" w:type="auto"/>
            <w:tcBorders>
              <w:top w:val="single" w:sz="6" w:space="0" w:color="auto"/>
              <w:left w:val="single" w:sz="6" w:space="0" w:color="auto"/>
              <w:bottom w:val="single" w:sz="6" w:space="0" w:color="auto"/>
              <w:right w:val="single" w:sz="4" w:space="0" w:color="auto"/>
            </w:tcBorders>
            <w:vAlign w:val="center"/>
          </w:tcPr>
          <w:p w14:paraId="63320490" w14:textId="77777777" w:rsidR="00B97365" w:rsidRDefault="00000000">
            <w:pPr>
              <w:rPr>
                <w:rFonts w:cs="Calibri"/>
                <w:sz w:val="16"/>
                <w:szCs w:val="16"/>
              </w:rPr>
            </w:pPr>
            <w:r>
              <w:rPr>
                <w:rFonts w:cs="Calibri"/>
                <w:sz w:val="16"/>
                <w:szCs w:val="16"/>
              </w:rPr>
              <w:t>No PLMA allows the SM-DP, or the Operator on behalf of which the SM-DP sent the request, to execute this operation.</w:t>
            </w:r>
          </w:p>
        </w:tc>
      </w:tr>
      <w:tr w:rsidR="00B97365" w14:paraId="77092FE1" w14:textId="77777777">
        <w:trPr>
          <w:trHeight w:val="282"/>
          <w:jc w:val="center"/>
        </w:trPr>
        <w:tc>
          <w:tcPr>
            <w:tcW w:w="1036" w:type="dxa"/>
            <w:tcBorders>
              <w:top w:val="single" w:sz="6" w:space="0" w:color="auto"/>
              <w:left w:val="single" w:sz="4" w:space="0" w:color="auto"/>
              <w:bottom w:val="single" w:sz="4" w:space="0" w:color="auto"/>
              <w:right w:val="single" w:sz="6" w:space="0" w:color="auto"/>
            </w:tcBorders>
            <w:vAlign w:val="center"/>
            <w:hideMark/>
          </w:tcPr>
          <w:p w14:paraId="60974784" w14:textId="77777777" w:rsidR="00B97365" w:rsidRDefault="00000000">
            <w:pPr>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4" w:space="0" w:color="auto"/>
              <w:right w:val="single" w:sz="6" w:space="0" w:color="auto"/>
            </w:tcBorders>
            <w:vAlign w:val="center"/>
            <w:hideMark/>
          </w:tcPr>
          <w:p w14:paraId="269F7E8D" w14:textId="77777777" w:rsidR="00B97365" w:rsidRDefault="00000000">
            <w:pPr>
              <w:rPr>
                <w:rFonts w:cs="Calibri"/>
                <w:sz w:val="16"/>
                <w:szCs w:val="16"/>
              </w:rPr>
            </w:pPr>
            <w:r>
              <w:rPr>
                <w:rFonts w:cs="Calibri"/>
                <w:sz w:val="16"/>
                <w:szCs w:val="16"/>
              </w:rPr>
              <w:t>ISD-R</w:t>
            </w:r>
          </w:p>
        </w:tc>
        <w:tc>
          <w:tcPr>
            <w:tcW w:w="732" w:type="dxa"/>
            <w:tcBorders>
              <w:top w:val="single" w:sz="6" w:space="0" w:color="auto"/>
              <w:left w:val="single" w:sz="6" w:space="0" w:color="auto"/>
              <w:bottom w:val="single" w:sz="4" w:space="0" w:color="auto"/>
              <w:right w:val="single" w:sz="6" w:space="0" w:color="auto"/>
            </w:tcBorders>
            <w:vAlign w:val="center"/>
            <w:hideMark/>
          </w:tcPr>
          <w:p w14:paraId="4FC6BAC4" w14:textId="77777777" w:rsidR="00B97365" w:rsidRDefault="00000000">
            <w:pPr>
              <w:jc w:val="center"/>
              <w:rPr>
                <w:rFonts w:cs="Calibri"/>
                <w:sz w:val="16"/>
                <w:szCs w:val="16"/>
              </w:rPr>
            </w:pPr>
            <w:r>
              <w:rPr>
                <w:rFonts w:cs="Calibri"/>
                <w:sz w:val="16"/>
                <w:szCs w:val="16"/>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15F7DF5A" w14:textId="77777777" w:rsidR="00B97365" w:rsidRDefault="00000000">
            <w:pPr>
              <w:rPr>
                <w:rFonts w:cs="Calibri"/>
                <w:sz w:val="16"/>
                <w:szCs w:val="16"/>
              </w:rPr>
            </w:pPr>
            <w:r>
              <w:rPr>
                <w:rFonts w:cs="Calibri"/>
                <w:sz w:val="16"/>
                <w:szCs w:val="16"/>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6140339E" w14:textId="77777777" w:rsidR="00B97365" w:rsidRDefault="00000000">
            <w:pPr>
              <w:rPr>
                <w:rFonts w:cs="Calibri"/>
                <w:sz w:val="16"/>
                <w:szCs w:val="16"/>
              </w:rPr>
            </w:pPr>
            <w:r>
              <w:rPr>
                <w:rFonts w:cs="Calibri"/>
                <w:sz w:val="16"/>
                <w:szCs w:val="16"/>
              </w:rPr>
              <w:t xml:space="preserve">Error during execution of the command on the eUICC. In that case, the output data “euiccResponseData” contains the exact response coming from the eUICC. </w:t>
            </w:r>
          </w:p>
        </w:tc>
      </w:tr>
    </w:tbl>
    <w:p w14:paraId="367EB1C4"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5423-C: Set Emergency Profile Attribute Specific Status Codes</w:t>
      </w:r>
    </w:p>
    <w:p w14:paraId="35767CC1"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40" w:name="_Toc1977401"/>
      <w:bookmarkStart w:id="5241" w:name="_Toc37062560"/>
      <w:bookmarkStart w:id="5242" w:name="_Toc88839634"/>
      <w:bookmarkStart w:id="5243" w:name="_Toc121504042"/>
      <w:r>
        <w:rPr>
          <w:rFonts w:eastAsia="Times New Roman" w:cs="Arial"/>
          <w:b/>
          <w:bCs/>
          <w:iCs/>
          <w:sz w:val="24"/>
          <w:szCs w:val="26"/>
          <w:lang w:eastAsia="en-US"/>
        </w:rPr>
        <w:t>Notifying the Emergency Profile Attribute Setting</w:t>
      </w:r>
      <w:bookmarkEnd w:id="5240"/>
      <w:bookmarkEnd w:id="5241"/>
      <w:bookmarkEnd w:id="5242"/>
      <w:bookmarkEnd w:id="5243"/>
    </w:p>
    <w:p w14:paraId="1D9CB5B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HandleEmergencyProfileAttributeSetNotification</w:t>
      </w:r>
    </w:p>
    <w:p w14:paraId="1FF3A01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Emergency Profile Attribute Management, Emergency Profile Attribute Management via M2M SP</w:t>
      </w:r>
    </w:p>
    <w:p w14:paraId="605098A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0EFDD8ED"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Notification handler/recipient</w:t>
      </w:r>
      <w:r>
        <w:rPr>
          <w:szCs w:val="22"/>
          <w:lang w:val="en-US" w:eastAsia="en-GB" w:bidi="ar-SA"/>
        </w:rPr>
        <w:t>: SM-DP</w:t>
      </w:r>
    </w:p>
    <w:p w14:paraId="3B77B8C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SHALL be called to notify that the Emergency Profile Attribute has been set on the Profile identified by its ICCID on the eUICC identified by its EID. </w:t>
      </w:r>
    </w:p>
    <w:p w14:paraId="7AF8FC2A"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 all SM-DP servers that match one or the other of the following conditions:</w:t>
      </w:r>
    </w:p>
    <w:p w14:paraId="3CEECED8" w14:textId="7B82B399"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The SM-DP can relay the notification to the Operator that owns the Profile, and the Operator has opted to receive such notifications (see section </w:t>
      </w:r>
      <w:r>
        <w:rPr>
          <w:szCs w:val="22"/>
          <w:lang w:val="en-US" w:eastAsia="en-GB" w:bidi="ar-SA"/>
        </w:rPr>
        <w:fldChar w:fldCharType="begin"/>
      </w:r>
      <w:r>
        <w:rPr>
          <w:szCs w:val="22"/>
          <w:lang w:val="en-US" w:eastAsia="en-GB" w:bidi="ar-SA"/>
        </w:rPr>
        <w:instrText xml:space="preserve"> REF _Ref536172994 \r \h </w:instrText>
      </w:r>
      <w:r>
        <w:rPr>
          <w:szCs w:val="22"/>
          <w:lang w:val="en-US" w:eastAsia="en-GB" w:bidi="ar-SA"/>
        </w:rPr>
      </w:r>
      <w:r>
        <w:rPr>
          <w:szCs w:val="22"/>
          <w:lang w:val="en-US" w:eastAsia="en-GB" w:bidi="ar-SA"/>
        </w:rPr>
        <w:fldChar w:fldCharType="separate"/>
      </w:r>
      <w:r w:rsidR="001D5AD9">
        <w:rPr>
          <w:szCs w:val="22"/>
          <w:lang w:val="en-US" w:eastAsia="en-GB" w:bidi="ar-SA"/>
        </w:rPr>
        <w:t>3.21</w:t>
      </w:r>
      <w:r>
        <w:rPr>
          <w:szCs w:val="22"/>
          <w:lang w:val="en-US" w:eastAsia="en-GB" w:bidi="ar-SA"/>
        </w:rPr>
        <w:fldChar w:fldCharType="end"/>
      </w:r>
      <w:r>
        <w:rPr>
          <w:szCs w:val="22"/>
          <w:lang w:val="en-US" w:eastAsia="en-GB" w:bidi="ar-SA"/>
        </w:rPr>
        <w:t>)</w:t>
      </w:r>
    </w:p>
    <w:p w14:paraId="30820A6A"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The SM-DP can relay the notification to another Operator, and the Operator owner of the Profile has granted the other Operator with a PLMA authorising this Operation “HandleEmergencyProfileAttributeSet</w:t>
      </w:r>
      <w:r>
        <w:rPr>
          <w:rFonts w:cs="Calibri"/>
          <w:szCs w:val="22"/>
        </w:rPr>
        <w:t>Notification</w:t>
      </w:r>
      <w:r>
        <w:rPr>
          <w:szCs w:val="22"/>
          <w:lang w:val="en-US" w:eastAsia="en-GB" w:bidi="ar-SA"/>
        </w:rPr>
        <w:t>”.</w:t>
      </w:r>
    </w:p>
    <w:p w14:paraId="07D6451A"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The SM-DP can relay the notification to any Operator having a Profile on this eUICC. In this case Identification of the Profile that has the Emergency Profile Attribute set and Identification of the Operator owner of the Profile that has the Emergency Profile Attribute set are optional.</w:t>
      </w:r>
    </w:p>
    <w:p w14:paraId="42259996"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3781F09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0EF80702"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370A11EC"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C31A10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6FA95ED"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6569AE4"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380BE9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D1DB087"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23847AF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85E4D4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4C7354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1954674C" w14:textId="4FB5E594"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60B9B8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65BABB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5D690F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1CD08A2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C6E661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250679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the Emergency Profile Attribute set.</w:t>
            </w:r>
          </w:p>
          <w:p w14:paraId="01A1D0EA" w14:textId="658FBB0E"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7D84D1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011578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457868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C</w:t>
            </w:r>
          </w:p>
        </w:tc>
      </w:tr>
      <w:tr w:rsidR="00B97365" w14:paraId="519A2D4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751395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mno-id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210738D"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Identification of the Operator owner of the Profile that has </w:t>
            </w:r>
            <w:r>
              <w:rPr>
                <w:rFonts w:cs="Calibri"/>
                <w:sz w:val="16"/>
                <w:szCs w:val="16"/>
                <w:lang w:eastAsia="en-GB" w:bidi="ar-SA"/>
              </w:rPr>
              <w:t>the Emergency Profile Attribute set</w:t>
            </w:r>
            <w:r>
              <w:rPr>
                <w:rFonts w:cs="Calibri"/>
                <w:sz w:val="16"/>
                <w:szCs w:val="16"/>
                <w:lang w:val="en-US" w:eastAsia="en-GB" w:bidi="ar-SA"/>
              </w:rPr>
              <w:t>.</w:t>
            </w:r>
          </w:p>
          <w:p w14:paraId="5C2DB89F" w14:textId="0AC30C9F" w:rsidR="00B97365" w:rsidRDefault="00000000">
            <w:pPr>
              <w:spacing w:before="0" w:after="200" w:line="276" w:lineRule="auto"/>
              <w:jc w:val="left"/>
              <w:rPr>
                <w:rFonts w:cs="Calibri"/>
                <w:sz w:val="16"/>
                <w:szCs w:val="16"/>
                <w:lang w:eastAsia="en-GB" w:bidi="ar-SA"/>
              </w:rPr>
            </w:pPr>
            <w:r>
              <w:rPr>
                <w:rFonts w:cs="Calibri"/>
                <w:sz w:val="16"/>
                <w:szCs w:val="16"/>
                <w:lang w:val="en-US" w:eastAsia="en-GB" w:bidi="ar-SA"/>
              </w:rPr>
              <w:t xml:space="preserve">See section </w:t>
            </w:r>
            <w:r>
              <w:fldChar w:fldCharType="begin"/>
            </w:r>
            <w:r>
              <w:instrText xml:space="preserve"> REF _Ref367974970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11081C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14F9D3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64F0C5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C</w:t>
            </w:r>
          </w:p>
        </w:tc>
      </w:tr>
      <w:tr w:rsidR="00B97365" w14:paraId="708829B6"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2C76FA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5814483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1D23564D" w14:textId="4C1D390B"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6FB2862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2ED1C9F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13D879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32B5143E"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5424: Handle  Emergency Profile Attribute Set Notification Additional Input Data</w:t>
      </w:r>
    </w:p>
    <w:p w14:paraId="67D6625E"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44" w:name="_Toc1977402"/>
      <w:bookmarkStart w:id="5245" w:name="_Toc37062561"/>
      <w:bookmarkStart w:id="5246" w:name="_Toc88839635"/>
      <w:bookmarkStart w:id="5247" w:name="_Toc121504043"/>
      <w:r>
        <w:rPr>
          <w:rFonts w:eastAsia="Times New Roman" w:cs="Arial"/>
          <w:b/>
          <w:bCs/>
          <w:iCs/>
          <w:sz w:val="24"/>
          <w:szCs w:val="26"/>
          <w:lang w:eastAsia="en-US"/>
        </w:rPr>
        <w:t>Notifying the Emergency Profile Attribute Unsetting</w:t>
      </w:r>
      <w:bookmarkEnd w:id="5244"/>
      <w:bookmarkEnd w:id="5245"/>
      <w:bookmarkEnd w:id="5246"/>
      <w:bookmarkEnd w:id="5247"/>
    </w:p>
    <w:p w14:paraId="268893C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w:t>
      </w:r>
      <w:r>
        <w:t>EmergencyProfile</w:t>
      </w:r>
      <w:r>
        <w:rPr>
          <w:szCs w:val="22"/>
          <w:lang w:val="en-US" w:eastAsia="en-GB" w:bidi="ar-SA"/>
        </w:rPr>
        <w:t>AttributeUnsetNotification</w:t>
      </w:r>
    </w:p>
    <w:p w14:paraId="609B0FA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t xml:space="preserve">Emergency Profile </w:t>
      </w:r>
      <w:r>
        <w:rPr>
          <w:szCs w:val="22"/>
          <w:lang w:val="en-US" w:eastAsia="en-GB" w:bidi="ar-SA"/>
        </w:rPr>
        <w:t xml:space="preserve">Attribute Management, </w:t>
      </w:r>
      <w:r>
        <w:t xml:space="preserve">Emergency Profile </w:t>
      </w:r>
      <w:r>
        <w:rPr>
          <w:szCs w:val="22"/>
          <w:lang w:val="en-US" w:eastAsia="en-GB" w:bidi="ar-SA"/>
        </w:rPr>
        <w:t>Attribute Management via M2M SP</w:t>
      </w:r>
    </w:p>
    <w:p w14:paraId="37B3DD3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0A39A01C"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Notification handler/recipient</w:t>
      </w:r>
      <w:r>
        <w:rPr>
          <w:szCs w:val="22"/>
          <w:lang w:val="en-US" w:eastAsia="en-GB" w:bidi="ar-SA"/>
        </w:rPr>
        <w:t>: SM-DP</w:t>
      </w:r>
    </w:p>
    <w:p w14:paraId="5FBFF69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SHALL be called to notify that the </w:t>
      </w:r>
      <w:r>
        <w:t xml:space="preserve">Emergency Profile </w:t>
      </w:r>
      <w:r>
        <w:rPr>
          <w:szCs w:val="22"/>
          <w:lang w:val="en-US" w:eastAsia="en-GB" w:bidi="ar-SA"/>
        </w:rPr>
        <w:t xml:space="preserve">Attribute has been unset on the Profile identified by its ICCID on the eUICC identified by its EID. </w:t>
      </w:r>
    </w:p>
    <w:p w14:paraId="6263BCF8"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 all SM-DP servers that match one or the other of the following conditions:</w:t>
      </w:r>
    </w:p>
    <w:p w14:paraId="27556630" w14:textId="768222AF"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The SM-DP can relay the notification to the Operator that owns the Profile, and the Operator has opted to receive such notifications (see section </w:t>
      </w:r>
      <w:r>
        <w:rPr>
          <w:szCs w:val="22"/>
          <w:lang w:val="en-US" w:eastAsia="en-GB" w:bidi="ar-SA"/>
        </w:rPr>
        <w:fldChar w:fldCharType="begin"/>
      </w:r>
      <w:r>
        <w:rPr>
          <w:szCs w:val="22"/>
          <w:lang w:val="en-US" w:eastAsia="en-GB" w:bidi="ar-SA"/>
        </w:rPr>
        <w:instrText xml:space="preserve"> REF _Ref536172994 \r \h </w:instrText>
      </w:r>
      <w:r>
        <w:rPr>
          <w:szCs w:val="22"/>
          <w:lang w:val="en-US" w:eastAsia="en-GB" w:bidi="ar-SA"/>
        </w:rPr>
      </w:r>
      <w:r>
        <w:rPr>
          <w:szCs w:val="22"/>
          <w:lang w:val="en-US" w:eastAsia="en-GB" w:bidi="ar-SA"/>
        </w:rPr>
        <w:fldChar w:fldCharType="separate"/>
      </w:r>
      <w:r w:rsidR="001D5AD9">
        <w:rPr>
          <w:szCs w:val="22"/>
          <w:lang w:val="en-US" w:eastAsia="en-GB" w:bidi="ar-SA"/>
        </w:rPr>
        <w:t>3.21</w:t>
      </w:r>
      <w:r>
        <w:rPr>
          <w:szCs w:val="22"/>
          <w:lang w:val="en-US" w:eastAsia="en-GB" w:bidi="ar-SA"/>
        </w:rPr>
        <w:fldChar w:fldCharType="end"/>
      </w:r>
      <w:r>
        <w:rPr>
          <w:szCs w:val="22"/>
          <w:lang w:val="en-US" w:eastAsia="en-GB" w:bidi="ar-SA"/>
        </w:rPr>
        <w:t>)</w:t>
      </w:r>
    </w:p>
    <w:p w14:paraId="123E0F17"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The SM-DP can relay the notification to another Operator, and the Operator owner of the Profile has granted the other Operator with a PLMA authorising this Operation “HandleEmergencyProfileAttributeUnset</w:t>
      </w:r>
      <w:r>
        <w:rPr>
          <w:rFonts w:cs="Calibri"/>
          <w:szCs w:val="22"/>
        </w:rPr>
        <w:t>Notification</w:t>
      </w:r>
      <w:r>
        <w:rPr>
          <w:szCs w:val="22"/>
          <w:lang w:val="en-US" w:eastAsia="en-GB" w:bidi="ar-SA"/>
        </w:rPr>
        <w:t>”.</w:t>
      </w:r>
    </w:p>
    <w:p w14:paraId="71D59C0D"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2AD08F7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1E1D967D"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415C440C"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022F85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89E5E5B"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E966B73"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BA502E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46E2A5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572F24C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BAB496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52C452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4E665E68" w14:textId="452A6D71"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840A92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3A704A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96B5F2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5A07AE80"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6A2C18E"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CE8479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the Emergency Profile Attribute unset.</w:t>
            </w:r>
          </w:p>
          <w:p w14:paraId="260E5D7E" w14:textId="53038A50"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025801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9B0D47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FD3C3B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E58889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3BE43B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mno-id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53957F7"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Identification of the Operator owner of the Profile that has </w:t>
            </w:r>
            <w:r>
              <w:rPr>
                <w:rFonts w:cs="Calibri"/>
                <w:sz w:val="16"/>
                <w:szCs w:val="16"/>
                <w:lang w:eastAsia="en-GB" w:bidi="ar-SA"/>
              </w:rPr>
              <w:t>the Emergency Profile Attribute unset</w:t>
            </w:r>
            <w:r>
              <w:rPr>
                <w:rFonts w:cs="Calibri"/>
                <w:sz w:val="16"/>
                <w:szCs w:val="16"/>
                <w:lang w:val="en-US" w:eastAsia="en-GB" w:bidi="ar-SA"/>
              </w:rPr>
              <w:t>.</w:t>
            </w:r>
          </w:p>
          <w:p w14:paraId="63F08275" w14:textId="635D8AB1" w:rsidR="00B97365" w:rsidRDefault="00000000">
            <w:pPr>
              <w:spacing w:before="0" w:after="200" w:line="276" w:lineRule="auto"/>
              <w:jc w:val="left"/>
              <w:rPr>
                <w:rFonts w:cs="Calibri"/>
                <w:sz w:val="16"/>
                <w:szCs w:val="16"/>
                <w:lang w:eastAsia="en-GB" w:bidi="ar-SA"/>
              </w:rPr>
            </w:pPr>
            <w:r>
              <w:rPr>
                <w:rFonts w:cs="Calibri"/>
                <w:sz w:val="16"/>
                <w:szCs w:val="16"/>
                <w:lang w:val="en-US" w:eastAsia="en-GB" w:bidi="ar-SA"/>
              </w:rPr>
              <w:t xml:space="preserve">See section </w:t>
            </w:r>
            <w:r>
              <w:fldChar w:fldCharType="begin"/>
            </w:r>
            <w:r>
              <w:instrText xml:space="preserve"> REF _Ref367974970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CC9B9A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1E39B1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3C1013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8B196A9"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57D62D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4644FB4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5F682589" w14:textId="5D350B3E"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974DDB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5369E93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1244D2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1FED86AC"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5425: Handle Emergency Profile Attribute Unset Notification Additional Input Data</w:t>
      </w:r>
    </w:p>
    <w:p w14:paraId="76542D9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48" w:name="_Toc1977403"/>
      <w:bookmarkStart w:id="5249" w:name="_Toc37062562"/>
      <w:bookmarkStart w:id="5250" w:name="_Toc88839636"/>
      <w:bookmarkStart w:id="5251" w:name="_Toc121504044"/>
      <w:r>
        <w:rPr>
          <w:rFonts w:eastAsia="Times New Roman" w:cs="Arial"/>
          <w:b/>
          <w:bCs/>
          <w:iCs/>
          <w:sz w:val="24"/>
          <w:szCs w:val="26"/>
          <w:lang w:eastAsia="en-US"/>
        </w:rPr>
        <w:t>Setting the Fall-Back Attribute</w:t>
      </w:r>
      <w:bookmarkEnd w:id="5248"/>
      <w:bookmarkEnd w:id="5249"/>
      <w:bookmarkEnd w:id="5250"/>
      <w:bookmarkEnd w:id="5251"/>
    </w:p>
    <w:p w14:paraId="1665705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SetFallBackAttribute</w:t>
      </w:r>
    </w:p>
    <w:p w14:paraId="4C9390E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Fall-Back Attribute Management</w:t>
      </w:r>
    </w:p>
    <w:p w14:paraId="542A927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00426B1A" w14:textId="77777777" w:rsidR="00B97365" w:rsidRDefault="00000000">
      <w:pPr>
        <w:spacing w:before="0" w:after="200" w:line="276" w:lineRule="auto"/>
        <w:jc w:val="left"/>
        <w:rPr>
          <w:rFonts w:cs="Arial"/>
          <w:szCs w:val="22"/>
          <w:lang w:val="en-US" w:eastAsia="en-GB" w:bidi="ar-SA"/>
        </w:rPr>
      </w:pPr>
      <w:r>
        <w:rPr>
          <w:rFonts w:cs="Arial"/>
          <w:b/>
          <w:szCs w:val="22"/>
          <w:lang w:val="en-US" w:eastAsia="en-GB" w:bidi="ar-SA"/>
        </w:rPr>
        <w:t>Function Provider</w:t>
      </w:r>
      <w:r>
        <w:rPr>
          <w:szCs w:val="22"/>
          <w:lang w:val="en-US" w:eastAsia="en-GB" w:bidi="ar-SA"/>
        </w:rPr>
        <w:t>: SM-SR</w:t>
      </w:r>
    </w:p>
    <w:p w14:paraId="0F1385F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7B05F238" w14:textId="77777777" w:rsidR="00B97365" w:rsidRDefault="00000000">
      <w:pPr>
        <w:spacing w:before="0" w:after="200" w:line="276" w:lineRule="auto"/>
        <w:jc w:val="left"/>
        <w:rPr>
          <w:szCs w:val="22"/>
          <w:lang w:val="en-US" w:eastAsia="en-GB" w:bidi="ar-SA"/>
        </w:rPr>
      </w:pPr>
      <w:r>
        <w:rPr>
          <w:szCs w:val="22"/>
          <w:lang w:val="en-US" w:eastAsia="en-GB" w:bidi="ar-SA"/>
        </w:rPr>
        <w:lastRenderedPageBreak/>
        <w:t xml:space="preserve">This function allows the SM-DP authorised by the Operator to request the setting of the Fall-Back Attribute on the targeted Profile to the SM-SR in charge of the management of the targeted eUICC; eUICC being identified by its EID. </w:t>
      </w:r>
    </w:p>
    <w:p w14:paraId="2E2A5918" w14:textId="77777777" w:rsidR="00B97365" w:rsidRDefault="00000000">
      <w:pPr>
        <w:spacing w:before="0" w:after="200" w:line="276" w:lineRule="auto"/>
        <w:jc w:val="left"/>
        <w:rPr>
          <w:szCs w:val="22"/>
          <w:lang w:val="en-US" w:eastAsia="en-GB" w:bidi="ar-SA"/>
        </w:rPr>
      </w:pPr>
      <w:r>
        <w:rPr>
          <w:szCs w:val="22"/>
          <w:lang w:val="en-US" w:eastAsia="en-GB" w:bidi="ar-SA"/>
        </w:rPr>
        <w:t>The SM-DP SHALL indicate on behalf of which Operator it is requesting this operation.</w:t>
      </w:r>
    </w:p>
    <w:p w14:paraId="29A8B86D" w14:textId="77777777" w:rsidR="00B97365" w:rsidRDefault="00000000">
      <w:pPr>
        <w:spacing w:before="0" w:after="200" w:line="276" w:lineRule="auto"/>
        <w:jc w:val="left"/>
        <w:rPr>
          <w:szCs w:val="22"/>
          <w:lang w:val="en-US" w:eastAsia="en-GB" w:bidi="ar-SA"/>
        </w:rPr>
      </w:pPr>
      <w:r>
        <w:rPr>
          <w:szCs w:val="22"/>
          <w:lang w:val="en-US" w:eastAsia="en-GB" w:bidi="ar-SA"/>
        </w:rPr>
        <w:t xml:space="preserve">The SM-SR SHALL verify that the request is </w:t>
      </w:r>
    </w:p>
    <w:p w14:paraId="48B7E4BF"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Either sent on behalf of an Operator owning the targeted Profile </w:t>
      </w:r>
    </w:p>
    <w:p w14:paraId="51CF413D" w14:textId="77777777" w:rsidR="00B97365" w:rsidRDefault="00000000">
      <w:pPr>
        <w:spacing w:before="0" w:after="200" w:line="276" w:lineRule="auto"/>
        <w:ind w:left="720"/>
        <w:contextualSpacing/>
        <w:jc w:val="left"/>
        <w:rPr>
          <w:szCs w:val="22"/>
          <w:lang w:val="en-US" w:eastAsia="en-GB" w:bidi="ar-SA"/>
        </w:rPr>
      </w:pPr>
      <w:r>
        <w:rPr>
          <w:szCs w:val="22"/>
          <w:lang w:val="en-US" w:eastAsia="en-GB" w:bidi="ar-SA"/>
        </w:rPr>
        <w:t xml:space="preserve">or </w:t>
      </w:r>
    </w:p>
    <w:p w14:paraId="17069070"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Sent on behalf of an Operator that is not the owner of the targeted Profile, but the Operator owning the targeted Profile has granted a PLMA allowing the operation “SetFallBackAttribute” to the Operator requesting the operation.</w:t>
      </w:r>
    </w:p>
    <w:p w14:paraId="71DFD2E7" w14:textId="77777777" w:rsidR="00B97365" w:rsidRDefault="00000000">
      <w:pPr>
        <w:spacing w:before="0" w:after="200" w:line="276" w:lineRule="auto"/>
        <w:jc w:val="left"/>
        <w:rPr>
          <w:szCs w:val="22"/>
          <w:lang w:val="en-US" w:eastAsia="en-GB" w:bidi="ar-SA"/>
        </w:rPr>
      </w:pPr>
      <w:r>
        <w:rPr>
          <w:szCs w:val="22"/>
          <w:lang w:val="en-US" w:eastAsia="en-GB" w:bidi="ar-SA"/>
        </w:rPr>
        <w:t>In both cases, the SM-SR SHALL verify that the Operator owning the Profile which currently has the Fall-Back Attribute set has granted, to the Operator requesting the operation, a PLMA authorising the operation “UnsetFallBackAttribute”, applicable for the Profile that currently has the Fall-Back Attribute set.</w:t>
      </w:r>
    </w:p>
    <w:p w14:paraId="32AAED4B" w14:textId="77777777" w:rsidR="00B97365" w:rsidRDefault="00000000">
      <w:pPr>
        <w:spacing w:before="0" w:after="200" w:line="276" w:lineRule="auto"/>
        <w:jc w:val="left"/>
        <w:rPr>
          <w:szCs w:val="22"/>
          <w:lang w:val="en-US" w:eastAsia="en-GB" w:bidi="ar-SA"/>
        </w:rPr>
      </w:pPr>
      <w:r>
        <w:rPr>
          <w:szCs w:val="22"/>
          <w:lang w:val="en-US" w:eastAsia="en-GB" w:bidi="ar-SA"/>
        </w:rPr>
        <w:t>The SM-SR MAY provide additional verifications.</w:t>
      </w:r>
    </w:p>
    <w:p w14:paraId="625E1602" w14:textId="4D10C11B"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“Fall-Back Attribute Management via SM-DP” procedure described in the section </w:t>
      </w:r>
      <w:r>
        <w:fldChar w:fldCharType="begin"/>
      </w:r>
      <w:r>
        <w:rPr>
          <w:rFonts w:cs="Arial"/>
          <w:szCs w:val="22"/>
          <w:lang w:val="en-US" w:eastAsia="en-GB" w:bidi="ar-SA"/>
        </w:rPr>
        <w:instrText xml:space="preserve"> REF _Ref536175354 \r \h </w:instrText>
      </w:r>
      <w:r>
        <w:fldChar w:fldCharType="separate"/>
      </w:r>
      <w:r w:rsidR="001D5AD9">
        <w:rPr>
          <w:rFonts w:cs="Arial"/>
          <w:szCs w:val="22"/>
          <w:lang w:val="en-US" w:eastAsia="en-GB" w:bidi="ar-SA"/>
        </w:rPr>
        <w:t>3.28</w:t>
      </w:r>
      <w:r>
        <w:fldChar w:fldCharType="end"/>
      </w:r>
      <w:r>
        <w:t xml:space="preserve"> </w:t>
      </w:r>
      <w:r>
        <w:rPr>
          <w:szCs w:val="22"/>
          <w:lang w:val="en-US" w:eastAsia="en-GB" w:bidi="ar-SA"/>
        </w:rPr>
        <w:t>of this specification.</w:t>
      </w:r>
    </w:p>
    <w:p w14:paraId="4E7F3AA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01FA9A3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Fall-Back Attribute has been set on the targeted Profile. </w:t>
      </w:r>
    </w:p>
    <w:p w14:paraId="05FA5579" w14:textId="51FCAB33"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_Ref367974707 \r \h  \* MERGEFORMAT </w:instrText>
      </w:r>
      <w:r>
        <w:fldChar w:fldCharType="separate"/>
      </w:r>
      <w:r w:rsidR="001D5AD9" w:rsidRPr="001D5AD9">
        <w:rPr>
          <w:szCs w:val="22"/>
          <w:lang w:eastAsia="en-GB" w:bidi="ar-SA"/>
        </w:rPr>
        <w:t>5.1.6.4</w:t>
      </w:r>
      <w:r>
        <w:fldChar w:fldCharType="end"/>
      </w:r>
    </w:p>
    <w:p w14:paraId="6FADA63F" w14:textId="7CDBDA0E"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_Ref367974714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here after.</w:t>
      </w:r>
    </w:p>
    <w:p w14:paraId="73CFC4EC" w14:textId="77777777" w:rsidR="00B97365" w:rsidRDefault="00B97365">
      <w:pPr>
        <w:tabs>
          <w:tab w:val="left" w:pos="680"/>
        </w:tabs>
        <w:spacing w:before="0" w:after="200" w:line="276" w:lineRule="auto"/>
        <w:contextualSpacing/>
        <w:jc w:val="left"/>
        <w:rPr>
          <w:rFonts w:cs="Arial"/>
          <w:szCs w:val="22"/>
          <w:lang w:eastAsia="en-GB" w:bidi="ar-SA"/>
        </w:rPr>
      </w:pPr>
    </w:p>
    <w:p w14:paraId="04C28102"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4756"/>
        <w:gridCol w:w="590"/>
        <w:gridCol w:w="474"/>
        <w:gridCol w:w="590"/>
      </w:tblGrid>
      <w:tr w:rsidR="00B97365" w14:paraId="5974327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4DBD32A"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040B6E4"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DB5315A"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B333286"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625F6A6"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A747F3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59C007B8"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hideMark/>
          </w:tcPr>
          <w:p w14:paraId="36F5028C" w14:textId="77777777" w:rsidR="00B97365" w:rsidRDefault="00000000">
            <w:pPr>
              <w:rPr>
                <w:rFonts w:eastAsia="Times New Roman" w:cs="Calibri"/>
                <w:sz w:val="16"/>
                <w:szCs w:val="16"/>
                <w:lang w:val="en-US"/>
              </w:rPr>
            </w:pPr>
            <w:r>
              <w:rPr>
                <w:rFonts w:cs="Calibri"/>
                <w:sz w:val="16"/>
                <w:szCs w:val="16"/>
                <w:lang w:val="en-US"/>
              </w:rPr>
              <w:t>Identification of the targeted eUICC.</w:t>
            </w:r>
          </w:p>
          <w:p w14:paraId="706F937E" w14:textId="2C52E233" w:rsidR="00B97365" w:rsidRDefault="00000000">
            <w:pPr>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_Ref367974724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hideMark/>
          </w:tcPr>
          <w:p w14:paraId="037A326D"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hideMark/>
          </w:tcPr>
          <w:p w14:paraId="01ED3793"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0479A9D2"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7473A686"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vAlign w:val="center"/>
            <w:hideMark/>
          </w:tcPr>
          <w:p w14:paraId="7241F621"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678C3CA2" w14:textId="7777777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Identification of the Profile on which to set the Fall-Back Attribute.</w:t>
            </w:r>
          </w:p>
          <w:p w14:paraId="09FEFB61" w14:textId="16371675"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_Ref367974730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15FE7AA1" w14:textId="77777777" w:rsidR="00B97365" w:rsidRDefault="00000000">
            <w:pPr>
              <w:keepNext/>
              <w:keepLines/>
              <w:tabs>
                <w:tab w:val="num" w:pos="4320"/>
              </w:tabs>
              <w:spacing w:before="140" w:after="120" w:line="260" w:lineRule="atLeast"/>
              <w:ind w:left="1531" w:hanging="1531"/>
              <w:jc w:val="center"/>
              <w:rPr>
                <w:rFonts w:eastAsia="Times New Roman"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5EB3236A" w14:textId="77777777" w:rsidR="00B97365" w:rsidRDefault="00000000">
            <w:pPr>
              <w:spacing w:before="140" w:after="120" w:line="260" w:lineRule="atLeast"/>
              <w:ind w:left="1531" w:hanging="1531"/>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vAlign w:val="center"/>
            <w:hideMark/>
          </w:tcPr>
          <w:p w14:paraId="19628ACD"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13C84A89"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5426-A: Set Fall-Back Attribute Additional Input Data</w:t>
      </w:r>
    </w:p>
    <w:p w14:paraId="05E013F5"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583"/>
        <w:gridCol w:w="5258"/>
        <w:gridCol w:w="1241"/>
        <w:gridCol w:w="409"/>
        <w:gridCol w:w="525"/>
      </w:tblGrid>
      <w:tr w:rsidR="00B97365" w14:paraId="3D5F8CD4"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06A5B99"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48BBE6"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05D2CB1"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18841E1"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3542015"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6A8FD3D0"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5AA886B" w14:textId="77777777" w:rsidR="00B97365" w:rsidRDefault="00000000">
            <w:pPr>
              <w:tabs>
                <w:tab w:val="right" w:pos="7938"/>
              </w:tabs>
              <w:ind w:left="470" w:hanging="459"/>
              <w:rPr>
                <w:rFonts w:cs="Calibri"/>
                <w:sz w:val="16"/>
                <w:szCs w:val="16"/>
              </w:rPr>
            </w:pPr>
            <w:r>
              <w:rPr>
                <w:rFonts w:cs="Calibri"/>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4A403DD2" w14:textId="77777777" w:rsidR="00B97365" w:rsidRDefault="00000000">
            <w:pPr>
              <w:rPr>
                <w:rFonts w:cs="Calibri"/>
                <w:b/>
                <w:noProof/>
                <w:sz w:val="16"/>
                <w:szCs w:val="16"/>
              </w:rPr>
            </w:pPr>
            <w:r>
              <w:rPr>
                <w:rFonts w:cs="Calibri"/>
                <w:sz w:val="16"/>
                <w:szCs w:val="16"/>
              </w:rPr>
              <w:t xml:space="preserve">Contains the detailed error returned by the eUICC in case the function execution failed on eUICC. The response data is defined in ES5.SetFallBackAttribute. </w:t>
            </w:r>
          </w:p>
        </w:tc>
        <w:tc>
          <w:tcPr>
            <w:tcW w:w="0" w:type="auto"/>
            <w:tcBorders>
              <w:top w:val="single" w:sz="6" w:space="0" w:color="auto"/>
              <w:left w:val="single" w:sz="6" w:space="0" w:color="auto"/>
              <w:bottom w:val="single" w:sz="4" w:space="0" w:color="auto"/>
              <w:right w:val="single" w:sz="6" w:space="0" w:color="auto"/>
            </w:tcBorders>
            <w:vAlign w:val="center"/>
            <w:hideMark/>
          </w:tcPr>
          <w:p w14:paraId="1D909009" w14:textId="77777777" w:rsidR="00B97365" w:rsidRDefault="00000000">
            <w:pPr>
              <w:tabs>
                <w:tab w:val="right" w:pos="7938"/>
              </w:tabs>
              <w:ind w:firstLine="11"/>
              <w:rPr>
                <w:rFonts w:cs="Calibri"/>
                <w:sz w:val="16"/>
                <w:szCs w:val="16"/>
                <w:lang w:val="en-US"/>
              </w:rPr>
            </w:pPr>
            <w:r>
              <w:rPr>
                <w:rFonts w:cs="Calibri"/>
                <w:sz w:val="16"/>
                <w:szCs w:val="16"/>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4DF26E94" w14:textId="77777777" w:rsidR="00B97365" w:rsidRDefault="00000000">
            <w:pPr>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888FE47" w14:textId="77777777" w:rsidR="00B97365" w:rsidRDefault="00000000">
            <w:pPr>
              <w:jc w:val="center"/>
              <w:rPr>
                <w:rFonts w:cs="Calibri"/>
                <w:sz w:val="16"/>
                <w:szCs w:val="16"/>
                <w:lang w:val="en-US"/>
              </w:rPr>
            </w:pPr>
            <w:r>
              <w:rPr>
                <w:rFonts w:cs="Calibri"/>
                <w:sz w:val="16"/>
                <w:szCs w:val="16"/>
                <w:lang w:val="en-US"/>
              </w:rPr>
              <w:t>O</w:t>
            </w:r>
          </w:p>
        </w:tc>
      </w:tr>
    </w:tbl>
    <w:p w14:paraId="2ABDD397" w14:textId="77777777" w:rsidR="00B97365" w:rsidRDefault="00000000">
      <w:pPr>
        <w:spacing w:after="320" w:line="276" w:lineRule="auto"/>
        <w:jc w:val="center"/>
        <w:rPr>
          <w:rFonts w:cs="Arial"/>
          <w:b/>
          <w:szCs w:val="22"/>
          <w:lang w:eastAsia="de-DE" w:bidi="ar-SA"/>
        </w:rPr>
      </w:pPr>
      <w:r>
        <w:rPr>
          <w:rFonts w:cs="Arial"/>
          <w:b/>
          <w:szCs w:val="22"/>
          <w:lang w:eastAsia="de-DE" w:bidi="ar-SA"/>
        </w:rPr>
        <w:lastRenderedPageBreak/>
        <w:t>Table 5426-B: Set Fall-Back Attribute Additional Output Data</w:t>
      </w:r>
    </w:p>
    <w:p w14:paraId="4F6B1974"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p>
    <w:tbl>
      <w:tblPr>
        <w:tblW w:w="944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036"/>
        <w:gridCol w:w="865"/>
        <w:gridCol w:w="732"/>
        <w:gridCol w:w="1124"/>
        <w:gridCol w:w="5686"/>
      </w:tblGrid>
      <w:tr w:rsidR="00B97365" w14:paraId="11D067C3" w14:textId="77777777">
        <w:trPr>
          <w:trHeight w:val="342"/>
          <w:jc w:val="center"/>
        </w:trPr>
        <w:tc>
          <w:tcPr>
            <w:tcW w:w="103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ABC498F" w14:textId="77777777" w:rsidR="00B97365" w:rsidRDefault="00000000">
            <w:pPr>
              <w:jc w:val="center"/>
              <w:rPr>
                <w:rFonts w:cs="Calibri"/>
                <w:b/>
                <w:color w:val="FFFFFF"/>
                <w:sz w:val="16"/>
                <w:szCs w:val="16"/>
              </w:rPr>
            </w:pPr>
            <w:r>
              <w:rPr>
                <w:rFonts w:cs="Calibri"/>
                <w:b/>
                <w:color w:val="FFFFFF"/>
                <w:sz w:val="16"/>
                <w:szCs w:val="16"/>
              </w:rPr>
              <w:t>Subject</w:t>
            </w:r>
          </w:p>
          <w:p w14:paraId="045EEBAA"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8837DC6" w14:textId="77777777" w:rsidR="00B97365" w:rsidRDefault="00000000">
            <w:pPr>
              <w:jc w:val="center"/>
              <w:rPr>
                <w:rFonts w:cs="Calibri"/>
                <w:b/>
                <w:color w:val="FFFFFF"/>
                <w:sz w:val="16"/>
                <w:szCs w:val="16"/>
              </w:rPr>
            </w:pPr>
            <w:r>
              <w:rPr>
                <w:rFonts w:cs="Calibri"/>
                <w:b/>
                <w:color w:val="FFFFFF"/>
                <w:sz w:val="16"/>
                <w:szCs w:val="16"/>
              </w:rPr>
              <w:t>Subject</w:t>
            </w:r>
          </w:p>
        </w:tc>
        <w:tc>
          <w:tcPr>
            <w:tcW w:w="73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77CE46D" w14:textId="77777777" w:rsidR="00B97365" w:rsidRDefault="00000000">
            <w:pPr>
              <w:jc w:val="center"/>
              <w:rPr>
                <w:rFonts w:cs="Calibri"/>
                <w:b/>
                <w:color w:val="FFFFFF"/>
                <w:sz w:val="16"/>
                <w:szCs w:val="16"/>
              </w:rPr>
            </w:pPr>
            <w:r>
              <w:rPr>
                <w:rFonts w:cs="Calibri"/>
                <w:b/>
                <w:color w:val="FFFFFF"/>
                <w:sz w:val="16"/>
                <w:szCs w:val="16"/>
              </w:rPr>
              <w:t>Reason</w:t>
            </w:r>
          </w:p>
          <w:p w14:paraId="0D541F17"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F3961A3"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7639178"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206ABA89"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03295C0A"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64BCA7F3" w14:textId="77777777" w:rsidR="00B97365" w:rsidRDefault="00000000">
            <w:pPr>
              <w:rPr>
                <w:rFonts w:cs="Calibri"/>
                <w:sz w:val="16"/>
                <w:szCs w:val="16"/>
                <w:lang w:val="en-US"/>
              </w:rPr>
            </w:pPr>
            <w:r>
              <w:rPr>
                <w:rFonts w:cs="Calibri"/>
                <w:sz w:val="16"/>
                <w:szCs w:val="16"/>
                <w:lang w:val="en-US"/>
              </w:rPr>
              <w:t>EID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3483F796"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45BE0BF6"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26DDA75F" w14:textId="77777777" w:rsidR="00B97365" w:rsidRDefault="00000000">
            <w:pPr>
              <w:rPr>
                <w:rFonts w:cs="Calibri"/>
                <w:sz w:val="16"/>
                <w:szCs w:val="16"/>
                <w:lang w:val="en-US"/>
              </w:rPr>
            </w:pPr>
            <w:r>
              <w:rPr>
                <w:rFonts w:cs="Calibri"/>
                <w:sz w:val="16"/>
                <w:szCs w:val="16"/>
              </w:rPr>
              <w:t>Indicates that the eUICC, identified by this EID, is unknown to the function provider.</w:t>
            </w:r>
          </w:p>
        </w:tc>
      </w:tr>
      <w:tr w:rsidR="00B97365" w14:paraId="6D0125DE"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3982D723"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6B842A7C"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485ECFE8"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785AD0AB"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4F0424B5" w14:textId="77777777" w:rsidR="00B97365" w:rsidRDefault="00000000">
            <w:pPr>
              <w:rPr>
                <w:rFonts w:cs="Calibri"/>
                <w:sz w:val="16"/>
                <w:szCs w:val="16"/>
                <w:lang w:val="en-US"/>
              </w:rPr>
            </w:pPr>
            <w:r>
              <w:rPr>
                <w:rFonts w:cs="Calibri"/>
                <w:sz w:val="16"/>
                <w:szCs w:val="16"/>
                <w:lang w:val="en-US"/>
              </w:rPr>
              <w:t>Indicates that the Profile identified by this ICCID is unknown to the function provider.</w:t>
            </w:r>
          </w:p>
        </w:tc>
      </w:tr>
      <w:tr w:rsidR="00B97365" w14:paraId="2F75BCDF"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6016A7FD"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603775F1"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4AB48102" w14:textId="77777777" w:rsidR="00B97365" w:rsidRDefault="00000000">
            <w:pPr>
              <w:jc w:val="center"/>
              <w:rPr>
                <w:rFonts w:cs="Calibri"/>
                <w:sz w:val="16"/>
                <w:szCs w:val="16"/>
                <w:lang w:val="en-US"/>
              </w:rPr>
            </w:pPr>
            <w:r>
              <w:rPr>
                <w:rFonts w:cs="Calibri"/>
                <w:sz w:val="16"/>
                <w:szCs w:val="16"/>
                <w:lang w:val="en-US"/>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09C5F722" w14:textId="77777777" w:rsidR="00B97365" w:rsidRDefault="00000000">
            <w:pPr>
              <w:rPr>
                <w:rFonts w:cs="Calibri"/>
                <w:sz w:val="16"/>
                <w:szCs w:val="16"/>
                <w:lang w:val="en-US"/>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0AA678D2" w14:textId="77777777" w:rsidR="00B97365" w:rsidRDefault="00000000">
            <w:pPr>
              <w:rPr>
                <w:rFonts w:cs="Calibri"/>
                <w:sz w:val="16"/>
                <w:szCs w:val="16"/>
                <w:lang w:val="en-US"/>
              </w:rPr>
            </w:pPr>
            <w:r>
              <w:rPr>
                <w:rFonts w:cs="Calibri"/>
                <w:sz w:val="16"/>
                <w:szCs w:val="16"/>
                <w:lang w:val="en-US"/>
              </w:rPr>
              <w:t>Indicates that the Profile identified by this ICCID is known to the function provider but installed on another eUICC than the one identified by the function caller.</w:t>
            </w:r>
          </w:p>
        </w:tc>
      </w:tr>
      <w:tr w:rsidR="00B97365" w14:paraId="26C1582E"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52DB93C6" w14:textId="77777777" w:rsidR="00B97365" w:rsidRDefault="00000000">
            <w:pPr>
              <w:jc w:val="center"/>
              <w:rPr>
                <w:rFonts w:cs="Calibri"/>
                <w:sz w:val="16"/>
                <w:szCs w:val="16"/>
              </w:rPr>
            </w:pPr>
            <w:r>
              <w:rPr>
                <w:rFonts w:cs="Calibri"/>
                <w:sz w:val="16"/>
                <w:szCs w:val="16"/>
              </w:rPr>
              <w:t>8.2.2</w:t>
            </w:r>
          </w:p>
        </w:tc>
        <w:tc>
          <w:tcPr>
            <w:tcW w:w="0" w:type="auto"/>
            <w:tcBorders>
              <w:top w:val="single" w:sz="6" w:space="0" w:color="auto"/>
              <w:left w:val="single" w:sz="6" w:space="0" w:color="auto"/>
              <w:bottom w:val="single" w:sz="6" w:space="0" w:color="auto"/>
              <w:right w:val="single" w:sz="6" w:space="0" w:color="auto"/>
            </w:tcBorders>
            <w:vAlign w:val="center"/>
            <w:hideMark/>
          </w:tcPr>
          <w:p w14:paraId="4CC0E7D3" w14:textId="77777777" w:rsidR="00B97365" w:rsidRDefault="00000000">
            <w:pPr>
              <w:rPr>
                <w:rFonts w:cs="Calibri"/>
                <w:sz w:val="16"/>
                <w:szCs w:val="16"/>
                <w:lang w:val="en-US"/>
              </w:rPr>
            </w:pPr>
            <w:r>
              <w:rPr>
                <w:rFonts w:cs="Calibri"/>
                <w:sz w:val="16"/>
                <w:szCs w:val="16"/>
                <w:lang w:val="en-US"/>
              </w:rPr>
              <w:t>POL1</w:t>
            </w:r>
          </w:p>
        </w:tc>
        <w:tc>
          <w:tcPr>
            <w:tcW w:w="732" w:type="dxa"/>
            <w:tcBorders>
              <w:top w:val="single" w:sz="6" w:space="0" w:color="auto"/>
              <w:left w:val="single" w:sz="6" w:space="0" w:color="auto"/>
              <w:bottom w:val="single" w:sz="6" w:space="0" w:color="auto"/>
              <w:right w:val="single" w:sz="6" w:space="0" w:color="auto"/>
            </w:tcBorders>
            <w:vAlign w:val="center"/>
            <w:hideMark/>
          </w:tcPr>
          <w:p w14:paraId="1F8A5BC7"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19EF97C5"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179E1611" w14:textId="77777777" w:rsidR="00B97365" w:rsidRDefault="00000000">
            <w:pPr>
              <w:rPr>
                <w:rFonts w:cs="Calibri"/>
                <w:sz w:val="16"/>
                <w:szCs w:val="16"/>
                <w:lang w:val="en-US"/>
              </w:rPr>
            </w:pPr>
            <w:r>
              <w:rPr>
                <w:rFonts w:cs="Calibri"/>
                <w:sz w:val="16"/>
                <w:szCs w:val="16"/>
                <w:lang w:val="en-US"/>
              </w:rPr>
              <w:t>The POL1 of a Profile on the targeted eUICC doesn’t allow this operation.</w:t>
            </w:r>
          </w:p>
        </w:tc>
      </w:tr>
      <w:tr w:rsidR="00B97365" w14:paraId="453E743B"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tcPr>
          <w:p w14:paraId="6260938F"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2E09AD4B" w14:textId="77777777" w:rsidR="00B97365" w:rsidRDefault="00000000">
            <w:pPr>
              <w:rPr>
                <w:rFonts w:cs="Calibri"/>
                <w:sz w:val="16"/>
                <w:szCs w:val="16"/>
                <w:lang w:val="en-US"/>
              </w:rPr>
            </w:pPr>
            <w:r>
              <w:rPr>
                <w:rFonts w:cs="Calibri"/>
                <w:sz w:val="16"/>
                <w:szCs w:val="16"/>
                <w:lang w:val="en-US"/>
              </w:rPr>
              <w:t>PLMA</w:t>
            </w:r>
          </w:p>
        </w:tc>
        <w:tc>
          <w:tcPr>
            <w:tcW w:w="732" w:type="dxa"/>
            <w:tcBorders>
              <w:top w:val="single" w:sz="6" w:space="0" w:color="auto"/>
              <w:left w:val="single" w:sz="6" w:space="0" w:color="auto"/>
              <w:bottom w:val="single" w:sz="6" w:space="0" w:color="auto"/>
              <w:right w:val="single" w:sz="6" w:space="0" w:color="auto"/>
            </w:tcBorders>
            <w:vAlign w:val="center"/>
          </w:tcPr>
          <w:p w14:paraId="4449CFA4"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tcPr>
          <w:p w14:paraId="5EAFA5A9"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tcPr>
          <w:p w14:paraId="1373317E" w14:textId="77777777" w:rsidR="00B97365" w:rsidRDefault="00000000">
            <w:pPr>
              <w:rPr>
                <w:rFonts w:cs="Calibri"/>
                <w:sz w:val="16"/>
                <w:szCs w:val="16"/>
                <w:lang w:val="en-US"/>
              </w:rPr>
            </w:pPr>
            <w:r>
              <w:rPr>
                <w:rFonts w:cs="Calibri"/>
                <w:sz w:val="16"/>
                <w:szCs w:val="16"/>
                <w:lang w:val="en-US"/>
              </w:rPr>
              <w:t>No PLMA allows the SM-DP, or the Operator on behalf of which the SM-DP sent the request, to execute this operation.</w:t>
            </w:r>
          </w:p>
        </w:tc>
      </w:tr>
      <w:tr w:rsidR="00B97365" w14:paraId="0D75A570" w14:textId="77777777">
        <w:trPr>
          <w:trHeight w:val="282"/>
          <w:jc w:val="center"/>
        </w:trPr>
        <w:tc>
          <w:tcPr>
            <w:tcW w:w="1036" w:type="dxa"/>
            <w:tcBorders>
              <w:top w:val="single" w:sz="6" w:space="0" w:color="auto"/>
              <w:left w:val="single" w:sz="4" w:space="0" w:color="auto"/>
              <w:bottom w:val="single" w:sz="4" w:space="0" w:color="auto"/>
              <w:right w:val="single" w:sz="6" w:space="0" w:color="auto"/>
            </w:tcBorders>
            <w:vAlign w:val="center"/>
            <w:hideMark/>
          </w:tcPr>
          <w:p w14:paraId="07FDE3E3" w14:textId="77777777" w:rsidR="00B97365" w:rsidRDefault="00000000">
            <w:pPr>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4" w:space="0" w:color="auto"/>
              <w:right w:val="single" w:sz="6" w:space="0" w:color="auto"/>
            </w:tcBorders>
            <w:vAlign w:val="center"/>
            <w:hideMark/>
          </w:tcPr>
          <w:p w14:paraId="321C36E2" w14:textId="77777777" w:rsidR="00B97365" w:rsidRDefault="00000000">
            <w:pPr>
              <w:rPr>
                <w:rFonts w:cs="Calibri"/>
                <w:sz w:val="16"/>
                <w:szCs w:val="16"/>
                <w:lang w:val="en-US"/>
              </w:rPr>
            </w:pPr>
            <w:r>
              <w:rPr>
                <w:rFonts w:cs="Calibri"/>
                <w:sz w:val="16"/>
                <w:szCs w:val="16"/>
                <w:lang w:val="en-US"/>
              </w:rPr>
              <w:t>ISD-R</w:t>
            </w:r>
          </w:p>
        </w:tc>
        <w:tc>
          <w:tcPr>
            <w:tcW w:w="732" w:type="dxa"/>
            <w:tcBorders>
              <w:top w:val="single" w:sz="6" w:space="0" w:color="auto"/>
              <w:left w:val="single" w:sz="6" w:space="0" w:color="auto"/>
              <w:bottom w:val="single" w:sz="4" w:space="0" w:color="auto"/>
              <w:right w:val="single" w:sz="6" w:space="0" w:color="auto"/>
            </w:tcBorders>
            <w:vAlign w:val="center"/>
            <w:hideMark/>
          </w:tcPr>
          <w:p w14:paraId="7F725783" w14:textId="77777777" w:rsidR="00B97365" w:rsidRDefault="00000000">
            <w:pPr>
              <w:jc w:val="center"/>
              <w:rPr>
                <w:rFonts w:cs="Calibri"/>
                <w:sz w:val="16"/>
                <w:szCs w:val="16"/>
                <w:lang w:val="en-US"/>
              </w:rPr>
            </w:pPr>
            <w:r>
              <w:rPr>
                <w:rFonts w:cs="Calibri"/>
                <w:sz w:val="16"/>
                <w:szCs w:val="16"/>
                <w:lang w:val="en-US"/>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60942D81" w14:textId="77777777" w:rsidR="00B97365" w:rsidRDefault="00000000">
            <w:pPr>
              <w:rPr>
                <w:rFonts w:cs="Calibri"/>
                <w:sz w:val="16"/>
                <w:szCs w:val="16"/>
                <w:lang w:val="en-US"/>
              </w:rPr>
            </w:pPr>
            <w:r>
              <w:rPr>
                <w:rFonts w:cs="Calibri"/>
                <w:sz w:val="16"/>
                <w:szCs w:val="16"/>
                <w:lang w:val="en-US"/>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2FA2A3E0" w14:textId="77777777" w:rsidR="00B97365" w:rsidRDefault="00000000">
            <w:pPr>
              <w:rPr>
                <w:rFonts w:cs="Calibri"/>
                <w:sz w:val="16"/>
                <w:szCs w:val="16"/>
                <w:lang w:val="en-US"/>
              </w:rPr>
            </w:pPr>
            <w:r>
              <w:rPr>
                <w:rFonts w:cs="Calibri"/>
                <w:sz w:val="16"/>
                <w:szCs w:val="16"/>
                <w:lang w:val="en-US"/>
              </w:rPr>
              <w:t>Error during execution of the command on the eUICC.</w:t>
            </w:r>
            <w:r>
              <w:rPr>
                <w:rFonts w:cs="Calibri"/>
                <w:sz w:val="16"/>
                <w:szCs w:val="16"/>
              </w:rPr>
              <w:t xml:space="preserve"> In that case, the output data “euiccResponseData” contains the exact response coming from the eUICC.</w:t>
            </w:r>
            <w:r>
              <w:rPr>
                <w:rFonts w:cs="Calibri"/>
                <w:sz w:val="16"/>
                <w:szCs w:val="16"/>
                <w:lang w:val="en-US"/>
              </w:rPr>
              <w:t xml:space="preserve"> </w:t>
            </w:r>
          </w:p>
        </w:tc>
      </w:tr>
    </w:tbl>
    <w:p w14:paraId="75588417"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5426-C: Set Fall-Back Attribute Specific Status Codes</w:t>
      </w:r>
    </w:p>
    <w:p w14:paraId="5FD04E5B"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A POL1 may interfere with the Set Fall-Back Attribute operation in very specific circumstances described in section 4.1.1.7.</w:t>
      </w:r>
    </w:p>
    <w:p w14:paraId="555AD76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52" w:name="_Toc1977404"/>
      <w:bookmarkStart w:id="5253" w:name="_Toc37062563"/>
      <w:bookmarkStart w:id="5254" w:name="_Toc88839637"/>
      <w:bookmarkStart w:id="5255" w:name="_Toc121504045"/>
      <w:r>
        <w:rPr>
          <w:rFonts w:eastAsia="Times New Roman" w:cs="Arial"/>
          <w:b/>
          <w:bCs/>
          <w:iCs/>
          <w:sz w:val="24"/>
          <w:szCs w:val="26"/>
          <w:lang w:eastAsia="en-US"/>
        </w:rPr>
        <w:t>Notifying the Fall-Back Attribute is Set</w:t>
      </w:r>
      <w:bookmarkEnd w:id="5252"/>
      <w:bookmarkEnd w:id="5253"/>
      <w:bookmarkEnd w:id="5254"/>
      <w:bookmarkEnd w:id="5255"/>
    </w:p>
    <w:p w14:paraId="19060B7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HandleProfileFallBackAttributeSetNotification</w:t>
      </w:r>
    </w:p>
    <w:p w14:paraId="17F2C2E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Fall-Back Attribute Management, Fall-Back Attribute Management via SM-DP, Fall-Back Attribute Management via M2M SP</w:t>
      </w:r>
    </w:p>
    <w:p w14:paraId="572BD64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47C7809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SM-DP</w:t>
      </w:r>
    </w:p>
    <w:p w14:paraId="4B9DCA5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7F6789F8" w14:textId="77777777" w:rsidR="00B97365" w:rsidRDefault="00000000">
      <w:pPr>
        <w:spacing w:before="0" w:after="200" w:line="276" w:lineRule="auto"/>
        <w:jc w:val="left"/>
        <w:rPr>
          <w:szCs w:val="22"/>
          <w:lang w:val="en-US" w:eastAsia="en-GB" w:bidi="ar-SA"/>
        </w:rPr>
      </w:pPr>
      <w:r>
        <w:rPr>
          <w:szCs w:val="22"/>
          <w:lang w:val="en-US" w:eastAsia="en-GB" w:bidi="ar-SA"/>
        </w:rPr>
        <w:t xml:space="preserve">This function SHALL be called to notify that the Fall-Back Attribute has been set on the Profile identified by its ICCID on the eUICC identified by its EID. </w:t>
      </w:r>
    </w:p>
    <w:p w14:paraId="4224FBA9"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 all SM-DP servers that match one or the other of the following conditions:</w:t>
      </w:r>
    </w:p>
    <w:p w14:paraId="1FD752F2" w14:textId="7734E8F4"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The SM-DP can relay the notification to the Operator that owns the Profile, and the Operator has opted to receive such notifications (see section </w:t>
      </w:r>
      <w:r>
        <w:rPr>
          <w:lang w:val="en-US"/>
        </w:rPr>
        <w:fldChar w:fldCharType="begin"/>
      </w:r>
      <w:r>
        <w:rPr>
          <w:lang w:val="en-US"/>
        </w:rPr>
        <w:instrText xml:space="preserve"> REF _Ref536172994 \r \h </w:instrText>
      </w:r>
      <w:r>
        <w:rPr>
          <w:lang w:val="en-US"/>
        </w:rPr>
      </w:r>
      <w:r>
        <w:rPr>
          <w:lang w:val="en-US"/>
        </w:rPr>
        <w:fldChar w:fldCharType="separate"/>
      </w:r>
      <w:r w:rsidR="001D5AD9">
        <w:rPr>
          <w:lang w:val="en-US"/>
        </w:rPr>
        <w:t>3.21</w:t>
      </w:r>
      <w:r>
        <w:rPr>
          <w:lang w:val="en-US"/>
        </w:rPr>
        <w:fldChar w:fldCharType="end"/>
      </w:r>
      <w:r>
        <w:rPr>
          <w:szCs w:val="22"/>
          <w:lang w:val="en-US" w:eastAsia="en-GB" w:bidi="ar-SA"/>
        </w:rPr>
        <w:t>)</w:t>
      </w:r>
    </w:p>
    <w:p w14:paraId="2295CB82"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The SM-DP can relay the notification to another Operator, and the Operator owner of the Profile has granted the other Operator with a PLMA authorising this Operation “HandleProfileFallBackAttributeSet</w:t>
      </w:r>
      <w:r>
        <w:rPr>
          <w:rFonts w:cs="Calibri"/>
          <w:szCs w:val="22"/>
        </w:rPr>
        <w:t>Notification</w:t>
      </w:r>
      <w:r>
        <w:rPr>
          <w:szCs w:val="22"/>
          <w:lang w:val="en-US" w:eastAsia="en-GB" w:bidi="ar-SA"/>
        </w:rPr>
        <w:t>”.</w:t>
      </w:r>
    </w:p>
    <w:p w14:paraId="67ACF98A"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71EE0FA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This notification also conveys the date and time specifying when the operation has been done. In case multiple handlers are served, the SM-SR SHOULD ensure completionTimestamp to be equal for every message.</w:t>
      </w:r>
    </w:p>
    <w:p w14:paraId="54DA6DED"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4BAC3997"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AB8003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FED96D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8BFE9C1"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577676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0C7CA64"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3F0FE37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92A38D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3D3418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6A86E04A" w14:textId="14474BEA"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35772D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CDC800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228B76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462E338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F966DA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8F876B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on which the Fall-Back Attribute has been set.</w:t>
            </w:r>
          </w:p>
          <w:p w14:paraId="5EEEC097" w14:textId="14DF29C0"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85F3B9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87E0EC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70A035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850027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57AF07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mno-id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86726AD"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Identification of the Operator owner of the Profile that has had its Fall-Back Attribute set.</w:t>
            </w:r>
          </w:p>
          <w:p w14:paraId="784365A1" w14:textId="5C790A2A" w:rsidR="00B97365" w:rsidRDefault="00000000">
            <w:pPr>
              <w:spacing w:before="0" w:after="200" w:line="276" w:lineRule="auto"/>
              <w:jc w:val="left"/>
              <w:rPr>
                <w:rFonts w:cs="Calibri"/>
                <w:sz w:val="16"/>
                <w:szCs w:val="16"/>
                <w:lang w:eastAsia="en-GB" w:bidi="ar-SA"/>
              </w:rPr>
            </w:pPr>
            <w:r>
              <w:rPr>
                <w:rFonts w:cs="Calibri"/>
                <w:sz w:val="16"/>
                <w:szCs w:val="16"/>
                <w:lang w:val="en-US" w:eastAsia="en-GB" w:bidi="ar-SA"/>
              </w:rPr>
              <w:t xml:space="preserve">See section </w:t>
            </w:r>
            <w:r>
              <w:fldChar w:fldCharType="begin"/>
            </w:r>
            <w:r>
              <w:instrText xml:space="preserve"> REF _Ref367974970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C9EC6D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23E77E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189A37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3FA37D5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07A721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7478537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4726FE62" w14:textId="36E7F081"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DF9C83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3284002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D06241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7E0C5D86"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5427: Handle Profile Fall-Back Attribute Set Notification Additional Input Data</w:t>
      </w:r>
    </w:p>
    <w:p w14:paraId="3B6CE59A"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56" w:name="_Toc1977405"/>
      <w:bookmarkStart w:id="5257" w:name="_Toc37062564"/>
      <w:bookmarkStart w:id="5258" w:name="_Toc88839638"/>
      <w:bookmarkStart w:id="5259" w:name="_Toc121504046"/>
      <w:r>
        <w:rPr>
          <w:rFonts w:eastAsia="Times New Roman" w:cs="Arial"/>
          <w:b/>
          <w:bCs/>
          <w:iCs/>
          <w:sz w:val="24"/>
          <w:szCs w:val="26"/>
          <w:lang w:eastAsia="en-US"/>
        </w:rPr>
        <w:t>Notifying the Fall-Back Attribute is Unset</w:t>
      </w:r>
      <w:bookmarkEnd w:id="5256"/>
      <w:bookmarkEnd w:id="5257"/>
      <w:bookmarkEnd w:id="5258"/>
      <w:bookmarkEnd w:id="5259"/>
    </w:p>
    <w:p w14:paraId="5BB10B9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HandleProfileFallBackAttributeUnsetNotification</w:t>
      </w:r>
    </w:p>
    <w:p w14:paraId="3216F7C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Fall-Back Attribute Management, Fall-Back Attribute Management via SM-DP, Fall-Back Attribute Management via M2M SP</w:t>
      </w:r>
    </w:p>
    <w:p w14:paraId="362D39A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000AA99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SM-DP</w:t>
      </w:r>
    </w:p>
    <w:p w14:paraId="3419F15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SHALL be called to notify that the Fall-Back Attribute has been unset on the Profile identified by its ICCID on the eUICC identified by its EID. </w:t>
      </w:r>
    </w:p>
    <w:p w14:paraId="624C290A"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 all SM-DP servers that match one or the other of the following conditions:</w:t>
      </w:r>
    </w:p>
    <w:p w14:paraId="1ECF3FF9" w14:textId="22E9E8BB"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The SM-DP can relay the notification to the Operator that owns the Profile, and the Operator has opted to receive such notifications (see section </w:t>
      </w:r>
      <w:r>
        <w:rPr>
          <w:szCs w:val="22"/>
          <w:lang w:val="en-US" w:eastAsia="en-GB" w:bidi="ar-SA"/>
        </w:rPr>
        <w:fldChar w:fldCharType="begin"/>
      </w:r>
      <w:r>
        <w:rPr>
          <w:szCs w:val="22"/>
          <w:lang w:val="en-US" w:eastAsia="en-GB" w:bidi="ar-SA"/>
        </w:rPr>
        <w:instrText xml:space="preserve"> REF _Ref536172994 \r \h </w:instrText>
      </w:r>
      <w:r>
        <w:rPr>
          <w:szCs w:val="22"/>
          <w:lang w:val="en-US" w:eastAsia="en-GB" w:bidi="ar-SA"/>
        </w:rPr>
      </w:r>
      <w:r>
        <w:rPr>
          <w:szCs w:val="22"/>
          <w:lang w:val="en-US" w:eastAsia="en-GB" w:bidi="ar-SA"/>
        </w:rPr>
        <w:fldChar w:fldCharType="separate"/>
      </w:r>
      <w:r w:rsidR="001D5AD9">
        <w:rPr>
          <w:szCs w:val="22"/>
          <w:lang w:val="en-US" w:eastAsia="en-GB" w:bidi="ar-SA"/>
        </w:rPr>
        <w:t>3.21</w:t>
      </w:r>
      <w:r>
        <w:rPr>
          <w:szCs w:val="22"/>
          <w:lang w:val="en-US" w:eastAsia="en-GB" w:bidi="ar-SA"/>
        </w:rPr>
        <w:fldChar w:fldCharType="end"/>
      </w:r>
      <w:r>
        <w:rPr>
          <w:szCs w:val="22"/>
          <w:lang w:val="en-US" w:eastAsia="en-GB" w:bidi="ar-SA"/>
        </w:rPr>
        <w:t>)</w:t>
      </w:r>
    </w:p>
    <w:p w14:paraId="0FD5F70C"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The SM-DP can relay the notification to another Operator, and the Operator owner of the Profile has granted the other Operator with a PLMA authorising this Operation “HandleProfileFallBackAttributeUnset</w:t>
      </w:r>
      <w:r>
        <w:rPr>
          <w:rFonts w:cs="Calibri"/>
          <w:szCs w:val="22"/>
        </w:rPr>
        <w:t>Notification</w:t>
      </w:r>
      <w:r>
        <w:rPr>
          <w:szCs w:val="22"/>
          <w:lang w:val="en-US" w:eastAsia="en-GB" w:bidi="ar-SA"/>
        </w:rPr>
        <w:t>”.</w:t>
      </w:r>
    </w:p>
    <w:p w14:paraId="1E7334B2"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44B9400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11D9D1DE"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lastRenderedPageBreak/>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621809DD"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C54E127"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F4E7528"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FF126D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16CFA59"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CCD1127"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48D236BD"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F3F578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C0C98C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1A4DC484" w14:textId="3A073FE2"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478B49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5B537B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4270AB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4CCFA66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38AD5F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03F2E6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on which the Fall-Back Attribute has been unset.</w:t>
            </w:r>
          </w:p>
          <w:p w14:paraId="52E354A5" w14:textId="50A464F9"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6331F1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23DD8A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9AD6A3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72E5066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52EA324"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mno-id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93575FD" w14:textId="77777777" w:rsidR="00B97365" w:rsidRDefault="00000000">
            <w:pPr>
              <w:spacing w:before="0" w:after="200" w:line="276" w:lineRule="auto"/>
              <w:jc w:val="left"/>
              <w:rPr>
                <w:rFonts w:cs="Calibri"/>
                <w:sz w:val="16"/>
                <w:szCs w:val="16"/>
                <w:lang w:val="en-US" w:eastAsia="en-GB" w:bidi="ar-SA"/>
              </w:rPr>
            </w:pPr>
            <w:r>
              <w:rPr>
                <w:rFonts w:cs="Calibri"/>
                <w:sz w:val="16"/>
                <w:szCs w:val="16"/>
                <w:lang w:val="en-US" w:eastAsia="en-GB" w:bidi="ar-SA"/>
              </w:rPr>
              <w:t xml:space="preserve">Identification of the Operator owner of the Profile </w:t>
            </w:r>
            <w:r>
              <w:rPr>
                <w:rFonts w:cs="Calibri"/>
                <w:sz w:val="16"/>
                <w:szCs w:val="16"/>
                <w:lang w:eastAsia="en-GB" w:bidi="ar-SA"/>
              </w:rPr>
              <w:t>on which the Fall-Back Attribute has been unset</w:t>
            </w:r>
            <w:r>
              <w:rPr>
                <w:rFonts w:cs="Calibri"/>
                <w:sz w:val="16"/>
                <w:szCs w:val="16"/>
                <w:lang w:val="en-US" w:eastAsia="en-GB" w:bidi="ar-SA"/>
              </w:rPr>
              <w:t>.</w:t>
            </w:r>
          </w:p>
          <w:p w14:paraId="12FC69EB" w14:textId="38FE2096" w:rsidR="00B97365" w:rsidRDefault="00000000">
            <w:pPr>
              <w:spacing w:before="0" w:after="200" w:line="276" w:lineRule="auto"/>
              <w:jc w:val="left"/>
              <w:rPr>
                <w:rFonts w:cs="Calibri"/>
                <w:sz w:val="16"/>
                <w:szCs w:val="16"/>
                <w:lang w:eastAsia="en-GB" w:bidi="ar-SA"/>
              </w:rPr>
            </w:pPr>
            <w:r>
              <w:rPr>
                <w:rFonts w:cs="Calibri"/>
                <w:sz w:val="16"/>
                <w:szCs w:val="16"/>
                <w:lang w:val="en-US" w:eastAsia="en-GB" w:bidi="ar-SA"/>
              </w:rPr>
              <w:t xml:space="preserve">See section </w:t>
            </w:r>
            <w:r>
              <w:fldChar w:fldCharType="begin"/>
            </w:r>
            <w:r>
              <w:instrText xml:space="preserve"> REF _Ref367974970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8780B59"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058514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73261F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DDBF7FA"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733E78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7D44EEF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589169C7" w14:textId="6F103AC5"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5D93D98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0C0CC88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1762E5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4AC4F2C8"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5427: Handle Profile Fall-Back Attribute Unset Notification Additional Input Data</w:t>
      </w:r>
    </w:p>
    <w:p w14:paraId="00A2CF02"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val="de-DE" w:eastAsia="en-US"/>
        </w:rPr>
      </w:pPr>
      <w:bookmarkStart w:id="5260" w:name="_Toc448998283"/>
      <w:bookmarkStart w:id="5261" w:name="_Toc422150779"/>
      <w:bookmarkStart w:id="5262" w:name="_Toc421874364"/>
      <w:bookmarkStart w:id="5263" w:name="_Toc420594844"/>
      <w:bookmarkStart w:id="5264" w:name="_Toc398214905"/>
      <w:bookmarkStart w:id="5265" w:name="_Toc486332901"/>
      <w:bookmarkStart w:id="5266" w:name="_Toc1977406"/>
      <w:bookmarkStart w:id="5267" w:name="_Toc37062565"/>
      <w:bookmarkStart w:id="5268" w:name="_Toc88839639"/>
      <w:bookmarkStart w:id="5269" w:name="_Toc121504047"/>
      <w:r>
        <w:rPr>
          <w:rFonts w:eastAsia="Times New Roman" w:cs="Arial"/>
          <w:b/>
          <w:bCs/>
          <w:iCs/>
          <w:sz w:val="24"/>
          <w:szCs w:val="28"/>
          <w:lang w:val="de-DE" w:eastAsia="en-US"/>
        </w:rPr>
        <w:t>ES4 (Operator - SM-SR, and  M2M SP – SM-SR) Interface Description</w:t>
      </w:r>
      <w:bookmarkEnd w:id="3855"/>
      <w:bookmarkEnd w:id="5214"/>
      <w:bookmarkEnd w:id="5215"/>
      <w:bookmarkEnd w:id="5216"/>
      <w:bookmarkEnd w:id="5217"/>
      <w:bookmarkEnd w:id="5260"/>
      <w:bookmarkEnd w:id="5261"/>
      <w:bookmarkEnd w:id="5262"/>
      <w:bookmarkEnd w:id="5263"/>
      <w:bookmarkEnd w:id="5264"/>
      <w:bookmarkEnd w:id="5265"/>
      <w:bookmarkEnd w:id="5266"/>
      <w:bookmarkEnd w:id="5267"/>
      <w:bookmarkEnd w:id="5268"/>
      <w:bookmarkEnd w:id="5269"/>
    </w:p>
    <w:p w14:paraId="00EC25DF"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The execution of several ES4 functions by the SM-SR is conditioned by the verification that the Operator or M2M SP requesting to perform an operation on a Profile, or the Operator or M2M SP to be notified, is authorised for this operation or notification by the owner of the Profile. The specification of this verification by the SM-SR is described in sections 5.7.1.2 and 5.7.1.3.</w:t>
      </w:r>
    </w:p>
    <w:p w14:paraId="7E757A9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70" w:name="_Toc536552309"/>
      <w:bookmarkStart w:id="5271" w:name="_Toc356915048"/>
      <w:bookmarkStart w:id="5272" w:name="_Toc352671591"/>
      <w:bookmarkStart w:id="5273" w:name="_Ref367978820"/>
      <w:bookmarkStart w:id="5274" w:name="_Ref367978830"/>
      <w:bookmarkStart w:id="5275" w:name="_Toc368932331"/>
      <w:bookmarkStart w:id="5276" w:name="_Toc375158322"/>
      <w:bookmarkStart w:id="5277" w:name="_Toc398214906"/>
      <w:bookmarkStart w:id="5278" w:name="_Toc420594845"/>
      <w:bookmarkStart w:id="5279" w:name="_Toc421874365"/>
      <w:bookmarkStart w:id="5280" w:name="_Toc422150780"/>
      <w:bookmarkStart w:id="5281" w:name="_Toc448998284"/>
      <w:bookmarkStart w:id="5282" w:name="_Toc486332902"/>
      <w:bookmarkStart w:id="5283" w:name="_Toc1977407"/>
      <w:bookmarkStart w:id="5284" w:name="_Toc37062566"/>
      <w:bookmarkStart w:id="5285" w:name="_Toc88839640"/>
      <w:bookmarkStart w:id="5286" w:name="_Toc121504048"/>
      <w:bookmarkEnd w:id="5270"/>
      <w:bookmarkEnd w:id="5271"/>
      <w:r>
        <w:rPr>
          <w:rFonts w:eastAsia="Times New Roman" w:cs="Arial"/>
          <w:b/>
          <w:sz w:val="24"/>
          <w:szCs w:val="26"/>
          <w:lang w:eastAsia="en-US"/>
        </w:rPr>
        <w:t>Getting eUICC Information</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7BEC8FA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GetEIS</w:t>
      </w:r>
    </w:p>
    <w:p w14:paraId="3D503CB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w:t>
      </w:r>
    </w:p>
    <w:p w14:paraId="4A35BE6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xml:space="preserve">: </w:t>
      </w:r>
      <w:r>
        <w:rPr>
          <w:rFonts w:cs="Calibri"/>
          <w:szCs w:val="22"/>
          <w:lang w:eastAsia="en-GB" w:bidi="ar-SA"/>
        </w:rPr>
        <w:t>Profile Management</w:t>
      </w:r>
    </w:p>
    <w:p w14:paraId="0AD6364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56EE33B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allows </w:t>
      </w:r>
      <w:r>
        <w:rPr>
          <w:rFonts w:cstheme="minorHAnsi"/>
          <w:lang w:val="en-US" w:eastAsia="en-GB"/>
        </w:rPr>
        <w:t>the Operator or the M2M SP</w:t>
      </w:r>
      <w:r>
        <w:rPr>
          <w:lang w:val="en-US" w:eastAsia="en-GB"/>
        </w:rPr>
        <w:t xml:space="preserve"> to </w:t>
      </w:r>
      <w:r>
        <w:rPr>
          <w:szCs w:val="22"/>
          <w:lang w:val="en-US" w:eastAsia="en-GB" w:bidi="ar-SA"/>
        </w:rPr>
        <w:t>retrieve the eUICC Information Set (EIS) of a particular eUICC from the SM-SR information database based on the EID. The retrieved EIS contains only the data that is applicable for that particular Operator. The Operator utilises the retrieved EIS, for instance, to verify the eligibility of the eUICC (for example type, certificate and memory).</w:t>
      </w:r>
    </w:p>
    <w:p w14:paraId="0B42C41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B6A045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download function has been successfully executed on the SM-SR as requested by the function caller. </w:t>
      </w:r>
    </w:p>
    <w:p w14:paraId="4D366BB4" w14:textId="5651AD65"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_Ref367975107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below.</w:t>
      </w:r>
    </w:p>
    <w:p w14:paraId="3BCEC543" w14:textId="77777777" w:rsidR="00B97365" w:rsidRDefault="00B97365">
      <w:pPr>
        <w:tabs>
          <w:tab w:val="left" w:pos="680"/>
        </w:tabs>
        <w:spacing w:before="0" w:after="200" w:line="276" w:lineRule="auto"/>
        <w:contextualSpacing/>
        <w:jc w:val="left"/>
        <w:rPr>
          <w:rFonts w:cs="Arial"/>
          <w:szCs w:val="22"/>
          <w:lang w:eastAsia="en-GB" w:bidi="ar-SA"/>
        </w:rPr>
      </w:pPr>
    </w:p>
    <w:p w14:paraId="06727243" w14:textId="77777777" w:rsidR="00B97365" w:rsidRDefault="00000000">
      <w:pPr>
        <w:spacing w:before="0" w:after="200" w:line="276" w:lineRule="auto"/>
        <w:jc w:val="left"/>
        <w:rPr>
          <w:b/>
          <w:i/>
          <w:szCs w:val="22"/>
          <w:lang w:val="en-US" w:eastAsia="en-GB" w:bidi="ar-SA"/>
        </w:rPr>
      </w:pPr>
      <w:bookmarkStart w:id="5287" w:name="_Toc420594846"/>
      <w:r>
        <w:rPr>
          <w:rFonts w:cs="Arial"/>
          <w:b/>
          <w:i/>
          <w:szCs w:val="22"/>
          <w:lang w:val="en-US" w:eastAsia="en-GB" w:bidi="ar-SA"/>
        </w:rPr>
        <w:t>Additional input data:</w:t>
      </w:r>
      <w:bookmarkEnd w:id="528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97"/>
        <w:gridCol w:w="2962"/>
        <w:gridCol w:w="496"/>
        <w:gridCol w:w="389"/>
        <w:gridCol w:w="514"/>
      </w:tblGrid>
      <w:tr w:rsidR="00B97365" w14:paraId="09D19E2A"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F961C6D" w14:textId="77777777" w:rsidR="00B97365" w:rsidRDefault="00000000">
            <w:pPr>
              <w:jc w:val="center"/>
              <w:rPr>
                <w:rFonts w:cs="Calibri"/>
                <w:color w:val="FFFFFF"/>
                <w:sz w:val="16"/>
                <w:szCs w:val="16"/>
              </w:rPr>
            </w:pPr>
            <w:r>
              <w:rPr>
                <w:rFonts w:cs="Calibri"/>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CCD6241" w14:textId="77777777" w:rsidR="00B97365" w:rsidRDefault="00000000">
            <w:pPr>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E3F3DBE"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B306BAD" w14:textId="77777777" w:rsidR="00B97365" w:rsidRDefault="00000000">
            <w:pPr>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B9FBAE5" w14:textId="77777777" w:rsidR="00B97365" w:rsidRDefault="00000000">
            <w:pPr>
              <w:jc w:val="center"/>
              <w:rPr>
                <w:rFonts w:cs="Calibri"/>
                <w:color w:val="FFFFFF"/>
                <w:sz w:val="16"/>
                <w:szCs w:val="16"/>
              </w:rPr>
            </w:pPr>
            <w:r>
              <w:rPr>
                <w:rFonts w:cs="Calibri"/>
                <w:color w:val="FFFFFF"/>
                <w:sz w:val="16"/>
                <w:szCs w:val="16"/>
              </w:rPr>
              <w:t>MOC</w:t>
            </w:r>
          </w:p>
        </w:tc>
      </w:tr>
      <w:tr w:rsidR="00B97365" w14:paraId="603FDAD1"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9AD62DC" w14:textId="77777777" w:rsidR="00B97365" w:rsidRDefault="00000000">
            <w:pPr>
              <w:tabs>
                <w:tab w:val="right" w:pos="7938"/>
              </w:tabs>
              <w:ind w:left="470" w:hanging="459"/>
              <w:rPr>
                <w:rFonts w:cs="Calibri"/>
                <w:sz w:val="16"/>
                <w:szCs w:val="16"/>
              </w:rPr>
            </w:pPr>
            <w:r>
              <w:rPr>
                <w:rFonts w:cs="Calibri"/>
                <w:sz w:val="16"/>
                <w:szCs w:val="16"/>
              </w:rPr>
              <w:t>eid</w:t>
            </w:r>
          </w:p>
        </w:tc>
        <w:tc>
          <w:tcPr>
            <w:tcW w:w="0" w:type="auto"/>
            <w:tcBorders>
              <w:top w:val="single" w:sz="6" w:space="0" w:color="auto"/>
              <w:left w:val="single" w:sz="6" w:space="0" w:color="auto"/>
              <w:bottom w:val="single" w:sz="4" w:space="0" w:color="auto"/>
              <w:right w:val="single" w:sz="6" w:space="0" w:color="auto"/>
            </w:tcBorders>
            <w:vAlign w:val="center"/>
            <w:hideMark/>
          </w:tcPr>
          <w:p w14:paraId="1BB67534" w14:textId="77777777" w:rsidR="00B97365" w:rsidRDefault="00000000">
            <w:pPr>
              <w:tabs>
                <w:tab w:val="right" w:pos="7938"/>
              </w:tabs>
              <w:ind w:left="470" w:hanging="459"/>
              <w:rPr>
                <w:rFonts w:cs="Calibri"/>
                <w:sz w:val="16"/>
                <w:szCs w:val="16"/>
              </w:rPr>
            </w:pPr>
            <w:r>
              <w:rPr>
                <w:rFonts w:cs="Calibri"/>
                <w:sz w:val="16"/>
                <w:szCs w:val="16"/>
              </w:rPr>
              <w:t>Identification of the targeted eUICC.</w:t>
            </w:r>
          </w:p>
          <w:p w14:paraId="41BB1938" w14:textId="43901CEE"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_Ref367975048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41C33E34"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4" w:space="0" w:color="auto"/>
              <w:right w:val="single" w:sz="6" w:space="0" w:color="auto"/>
            </w:tcBorders>
            <w:vAlign w:val="center"/>
            <w:hideMark/>
          </w:tcPr>
          <w:p w14:paraId="7A3627F4"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AA7BE65" w14:textId="77777777" w:rsidR="00B97365" w:rsidRDefault="00000000">
            <w:pPr>
              <w:jc w:val="center"/>
              <w:rPr>
                <w:rFonts w:cs="Calibri"/>
                <w:sz w:val="16"/>
                <w:szCs w:val="16"/>
              </w:rPr>
            </w:pPr>
            <w:r>
              <w:rPr>
                <w:rFonts w:cs="Calibri"/>
                <w:sz w:val="16"/>
                <w:szCs w:val="16"/>
              </w:rPr>
              <w:t>M</w:t>
            </w:r>
          </w:p>
        </w:tc>
      </w:tr>
    </w:tbl>
    <w:p w14:paraId="0CBA71A0"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Get EIS Additional Input Data</w:t>
      </w:r>
    </w:p>
    <w:p w14:paraId="67A5B79A" w14:textId="77777777" w:rsidR="00B97365" w:rsidRDefault="00000000">
      <w:pPr>
        <w:spacing w:before="0" w:after="200" w:line="276" w:lineRule="auto"/>
        <w:jc w:val="left"/>
        <w:rPr>
          <w:szCs w:val="22"/>
          <w:lang w:val="en-US" w:eastAsia="en-GB" w:bidi="ar-SA"/>
        </w:rPr>
      </w:pPr>
      <w:bookmarkStart w:id="5288" w:name="_Toc420594847"/>
      <w:r>
        <w:rPr>
          <w:szCs w:val="22"/>
          <w:lang w:val="en-US" w:eastAsia="en-GB" w:bidi="ar-SA"/>
        </w:rPr>
        <w:t>The SM-SR SHALL filter the list of Profiles returned in the EIS, considering the authorisation granted by the Profile owners; for each Profile, this includes:</w:t>
      </w:r>
    </w:p>
    <w:p w14:paraId="5B817CCA"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If the function caller is the owner of the Profile, the SM-SR SHALL include this Profile in the returned EIS.</w:t>
      </w:r>
    </w:p>
    <w:p w14:paraId="119D362A"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If the function caller is not the owner of the targeted Profile, the SM-SR SHALL include the Profile in the returned EIS only if the Operator owning the Profile has granted a PLMA allowing the operation “GetEIS” to the function caller.</w:t>
      </w:r>
    </w:p>
    <w:p w14:paraId="5733A87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bookmarkEnd w:id="528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21"/>
        <w:gridCol w:w="5228"/>
        <w:gridCol w:w="496"/>
        <w:gridCol w:w="400"/>
        <w:gridCol w:w="525"/>
      </w:tblGrid>
      <w:tr w:rsidR="00B97365" w14:paraId="5F348F42"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3D3F5A9" w14:textId="77777777" w:rsidR="00B97365" w:rsidRDefault="00000000">
            <w:pPr>
              <w:jc w:val="center"/>
              <w:rPr>
                <w:rFonts w:cs="Calibri"/>
                <w:color w:val="FFFFFF"/>
                <w:sz w:val="16"/>
                <w:szCs w:val="16"/>
              </w:rPr>
            </w:pPr>
            <w:r>
              <w:rPr>
                <w:rFonts w:cs="Calibri"/>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5845952" w14:textId="77777777" w:rsidR="00B97365" w:rsidRDefault="00000000">
            <w:pPr>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1635B41"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BB0BCDB"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649FB26"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MOC</w:t>
            </w:r>
          </w:p>
        </w:tc>
      </w:tr>
      <w:tr w:rsidR="00B97365" w14:paraId="78E33859"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E68C87D" w14:textId="77777777" w:rsidR="00B97365" w:rsidRDefault="00000000">
            <w:pPr>
              <w:tabs>
                <w:tab w:val="right" w:pos="7938"/>
              </w:tabs>
              <w:ind w:left="470" w:hanging="459"/>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14E06ABC" w14:textId="77777777" w:rsidR="00B97365" w:rsidRDefault="00000000">
            <w:pPr>
              <w:rPr>
                <w:rFonts w:cs="Calibri"/>
                <w:sz w:val="16"/>
                <w:szCs w:val="16"/>
              </w:rPr>
            </w:pPr>
            <w:r>
              <w:rPr>
                <w:rFonts w:cs="Calibri"/>
                <w:sz w:val="16"/>
                <w:szCs w:val="16"/>
              </w:rPr>
              <w:t xml:space="preserve">The relevant eUICC Information Set of the eUICC </w:t>
            </w:r>
          </w:p>
          <w:p w14:paraId="006B6393" w14:textId="7B334C2A"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_Ref367975054 \r \h  \* MERGEFORMAT </w:instrText>
            </w:r>
            <w:r>
              <w:fldChar w:fldCharType="separate"/>
            </w:r>
            <w:r w:rsidR="001D5AD9">
              <w:t>5.1.1.1</w:t>
            </w:r>
            <w:r>
              <w:fldChar w:fldCharType="end"/>
            </w:r>
            <w:r>
              <w:rPr>
                <w:rFonts w:cs="Calibri"/>
                <w:sz w:val="16"/>
                <w:szCs w:val="16"/>
              </w:rPr>
              <w:t xml:space="preserve"> for type description. </w:t>
            </w:r>
            <w:r>
              <w:rPr>
                <w:rFonts w:cs="Calibri"/>
                <w:sz w:val="16"/>
                <w:szCs w:val="16"/>
              </w:rPr>
              <w:br/>
              <w:t xml:space="preserve">The list of EIS data fields that SHALL be included is defined in </w:t>
            </w:r>
            <w:r>
              <w:rPr>
                <w:rFonts w:cs="Calibri"/>
                <w:sz w:val="16"/>
                <w:szCs w:val="16"/>
              </w:rPr>
              <w:fldChar w:fldCharType="begin"/>
            </w:r>
            <w:r>
              <w:rPr>
                <w:rFonts w:cs="Calibri"/>
                <w:sz w:val="16"/>
                <w:szCs w:val="16"/>
              </w:rPr>
              <w:instrText xml:space="preserve"> REF _Ref421660675 \r \h </w:instrText>
            </w:r>
            <w:r>
              <w:rPr>
                <w:rFonts w:cs="Calibri"/>
                <w:sz w:val="16"/>
                <w:szCs w:val="16"/>
              </w:rPr>
            </w:r>
            <w:r>
              <w:rPr>
                <w:rFonts w:cs="Calibri"/>
                <w:sz w:val="16"/>
                <w:szCs w:val="16"/>
              </w:rPr>
              <w:fldChar w:fldCharType="separate"/>
            </w:r>
            <w:r w:rsidR="001D5AD9">
              <w:rPr>
                <w:rFonts w:cs="Calibri"/>
                <w:sz w:val="16"/>
                <w:szCs w:val="16"/>
              </w:rPr>
              <w:t>Annex E</w:t>
            </w:r>
            <w:r>
              <w:rPr>
                <w:rFonts w:cs="Calibri"/>
                <w:sz w:val="16"/>
                <w:szCs w:val="16"/>
              </w:rPr>
              <w:fldChar w:fldCharType="end"/>
            </w:r>
            <w:r>
              <w:rPr>
                <w:rFonts w:cs="Calibri"/>
                <w:sz w:val="16"/>
                <w:szCs w:val="16"/>
              </w:rPr>
              <w:t>.</w:t>
            </w:r>
          </w:p>
        </w:tc>
        <w:tc>
          <w:tcPr>
            <w:tcW w:w="0" w:type="auto"/>
            <w:tcBorders>
              <w:top w:val="single" w:sz="6" w:space="0" w:color="auto"/>
              <w:left w:val="single" w:sz="6" w:space="0" w:color="auto"/>
              <w:bottom w:val="single" w:sz="4" w:space="0" w:color="auto"/>
              <w:right w:val="single" w:sz="6" w:space="0" w:color="auto"/>
            </w:tcBorders>
            <w:vAlign w:val="center"/>
            <w:hideMark/>
          </w:tcPr>
          <w:p w14:paraId="32D7B780" w14:textId="77777777" w:rsidR="00B97365" w:rsidRDefault="00000000">
            <w:pPr>
              <w:jc w:val="center"/>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18A76CB7"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6A0264D5" w14:textId="77777777" w:rsidR="00B97365" w:rsidRDefault="00000000">
            <w:pPr>
              <w:jc w:val="center"/>
              <w:rPr>
                <w:rFonts w:cs="Calibri"/>
                <w:sz w:val="16"/>
                <w:szCs w:val="16"/>
              </w:rPr>
            </w:pPr>
            <w:r>
              <w:rPr>
                <w:rFonts w:cs="Calibri"/>
                <w:sz w:val="16"/>
                <w:szCs w:val="16"/>
              </w:rPr>
              <w:t>C</w:t>
            </w:r>
          </w:p>
        </w:tc>
      </w:tr>
    </w:tbl>
    <w:p w14:paraId="3FF5A55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Get EIS Additional Output Data</w:t>
      </w:r>
    </w:p>
    <w:p w14:paraId="4DD3FF59" w14:textId="77777777" w:rsidR="00B97365" w:rsidRDefault="00000000">
      <w:pPr>
        <w:spacing w:before="0"/>
        <w:jc w:val="left"/>
        <w:rPr>
          <w:rFonts w:cs="Arial"/>
          <w:b/>
          <w:i/>
          <w:szCs w:val="22"/>
          <w:lang w:val="en-US" w:eastAsia="en-GB" w:bidi="ar-SA"/>
        </w:rPr>
      </w:pPr>
      <w:r>
        <w:rPr>
          <w:b/>
          <w:i/>
          <w:szCs w:val="22"/>
          <w:lang w:val="en-US" w:eastAsia="en-GB" w:bidi="ar-SA"/>
        </w:rPr>
        <w:br w:type="page"/>
      </w:r>
      <w:bookmarkStart w:id="5289" w:name="_Toc420594848"/>
      <w:r>
        <w:rPr>
          <w:rFonts w:cs="Arial"/>
          <w:b/>
          <w:i/>
          <w:szCs w:val="22"/>
          <w:lang w:val="en-US" w:eastAsia="en-GB" w:bidi="ar-SA"/>
        </w:rPr>
        <w:lastRenderedPageBreak/>
        <w:t>Specific status codes</w:t>
      </w:r>
      <w:bookmarkEnd w:id="528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74"/>
        <w:gridCol w:w="674"/>
        <w:gridCol w:w="692"/>
        <w:gridCol w:w="1983"/>
        <w:gridCol w:w="4993"/>
      </w:tblGrid>
      <w:tr w:rsidR="00B97365" w14:paraId="7909F74B"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8F7DAE3" w14:textId="77777777" w:rsidR="00B97365" w:rsidRDefault="00000000">
            <w:pPr>
              <w:jc w:val="center"/>
              <w:rPr>
                <w:rFonts w:cs="Calibri"/>
                <w:color w:val="FFFFFF"/>
                <w:sz w:val="16"/>
                <w:szCs w:val="16"/>
              </w:rPr>
            </w:pPr>
            <w:r>
              <w:rPr>
                <w:rFonts w:cs="Calibri"/>
                <w:color w:val="FFFFFF"/>
                <w:sz w:val="16"/>
                <w:szCs w:val="16"/>
              </w:rPr>
              <w:t>Subject</w:t>
            </w:r>
          </w:p>
          <w:p w14:paraId="37952356" w14:textId="77777777" w:rsidR="00B97365" w:rsidRDefault="00000000">
            <w:pPr>
              <w:jc w:val="center"/>
              <w:rPr>
                <w:rFonts w:cs="Calibri"/>
                <w:color w:val="FFFFFF"/>
                <w:sz w:val="16"/>
                <w:szCs w:val="16"/>
              </w:rPr>
            </w:pPr>
            <w:r>
              <w:rPr>
                <w:rFonts w:cs="Calibri"/>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F797128" w14:textId="77777777" w:rsidR="00B97365" w:rsidRDefault="00000000">
            <w:pPr>
              <w:jc w:val="center"/>
              <w:rPr>
                <w:rFonts w:cs="Calibri"/>
                <w:color w:val="FFFFFF"/>
                <w:sz w:val="16"/>
                <w:szCs w:val="16"/>
              </w:rPr>
            </w:pPr>
            <w:r>
              <w:rPr>
                <w:rFonts w:cs="Calibri"/>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0F70059" w14:textId="77777777" w:rsidR="00B97365" w:rsidRDefault="00000000">
            <w:pPr>
              <w:jc w:val="center"/>
              <w:rPr>
                <w:rFonts w:cs="Calibri"/>
                <w:color w:val="FFFFFF"/>
                <w:sz w:val="16"/>
                <w:szCs w:val="16"/>
              </w:rPr>
            </w:pPr>
            <w:r>
              <w:rPr>
                <w:rFonts w:cs="Calibri"/>
                <w:color w:val="FFFFFF"/>
                <w:sz w:val="16"/>
                <w:szCs w:val="16"/>
              </w:rPr>
              <w:t>Reason</w:t>
            </w:r>
          </w:p>
          <w:p w14:paraId="3ED510B4" w14:textId="77777777" w:rsidR="00B97365" w:rsidRDefault="00000000">
            <w:pPr>
              <w:jc w:val="center"/>
              <w:rPr>
                <w:rFonts w:cs="Calibri"/>
                <w:color w:val="FFFFFF"/>
                <w:sz w:val="16"/>
                <w:szCs w:val="16"/>
              </w:rPr>
            </w:pPr>
            <w:r>
              <w:rPr>
                <w:rFonts w:cs="Calibri"/>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EEE8FFA" w14:textId="77777777" w:rsidR="00B97365" w:rsidRDefault="00000000">
            <w:pPr>
              <w:jc w:val="center"/>
              <w:rPr>
                <w:rFonts w:cs="Calibri"/>
                <w:color w:val="FFFFFF"/>
                <w:sz w:val="16"/>
                <w:szCs w:val="16"/>
              </w:rPr>
            </w:pPr>
            <w:r>
              <w:rPr>
                <w:rFonts w:cs="Calibri"/>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1162157" w14:textId="77777777" w:rsidR="00B97365" w:rsidRDefault="00000000">
            <w:pPr>
              <w:jc w:val="center"/>
              <w:rPr>
                <w:rFonts w:cs="Calibri"/>
                <w:color w:val="FFFFFF"/>
                <w:sz w:val="16"/>
                <w:szCs w:val="16"/>
              </w:rPr>
            </w:pPr>
            <w:r>
              <w:rPr>
                <w:rFonts w:cs="Calibri"/>
                <w:color w:val="FFFFFF"/>
                <w:sz w:val="16"/>
                <w:szCs w:val="16"/>
              </w:rPr>
              <w:t>Description</w:t>
            </w:r>
          </w:p>
        </w:tc>
      </w:tr>
      <w:tr w:rsidR="00B97365" w14:paraId="21BA59D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E60FFA5" w14:textId="77777777" w:rsidR="00B97365" w:rsidRDefault="00000000">
            <w:pPr>
              <w:tabs>
                <w:tab w:val="right" w:pos="7938"/>
              </w:tabs>
              <w:ind w:left="470" w:hanging="459"/>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3A3C191C" w14:textId="77777777" w:rsidR="00B97365" w:rsidRDefault="00000000">
            <w:pPr>
              <w:tabs>
                <w:tab w:val="right" w:pos="7938"/>
              </w:tabs>
              <w:ind w:left="470" w:hanging="459"/>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E9C1B8B" w14:textId="77777777" w:rsidR="00B97365" w:rsidRDefault="00000000">
            <w:pPr>
              <w:tabs>
                <w:tab w:val="right" w:pos="7938"/>
              </w:tabs>
              <w:ind w:left="470" w:hanging="459"/>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35D96B34" w14:textId="77777777" w:rsidR="00B97365" w:rsidRDefault="00000000">
            <w:pPr>
              <w:tabs>
                <w:tab w:val="right" w:pos="7938"/>
              </w:tabs>
              <w:ind w:left="470" w:hanging="459"/>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70F27D35" w14:textId="77777777" w:rsidR="00B97365" w:rsidRDefault="00000000">
            <w:pPr>
              <w:rPr>
                <w:rFonts w:cs="Calibri"/>
                <w:sz w:val="16"/>
                <w:szCs w:val="16"/>
              </w:rPr>
            </w:pPr>
            <w:r>
              <w:rPr>
                <w:rFonts w:cs="Calibri"/>
                <w:sz w:val="16"/>
                <w:szCs w:val="16"/>
              </w:rPr>
              <w:t>Indicates that the EID, is unknown to the function provider</w:t>
            </w:r>
          </w:p>
        </w:tc>
      </w:tr>
      <w:tr w:rsidR="00B97365" w14:paraId="0B0E2F6C"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5160D4A" w14:textId="77777777" w:rsidR="00B97365" w:rsidRDefault="00000000">
            <w:pPr>
              <w:tabs>
                <w:tab w:val="right" w:pos="7938"/>
              </w:tabs>
              <w:ind w:left="470" w:hanging="459"/>
              <w:jc w:val="center"/>
              <w:rPr>
                <w:rFonts w:cs="Calibri"/>
                <w:sz w:val="16"/>
                <w:szCs w:val="16"/>
              </w:rPr>
            </w:pPr>
            <w:r>
              <w:rPr>
                <w:rFonts w:cs="Calibri"/>
                <w:sz w:val="16"/>
                <w:szCs w:val="16"/>
              </w:rPr>
              <w:t>8.6</w:t>
            </w:r>
          </w:p>
        </w:tc>
        <w:tc>
          <w:tcPr>
            <w:tcW w:w="0" w:type="auto"/>
            <w:tcBorders>
              <w:top w:val="single" w:sz="6" w:space="0" w:color="auto"/>
              <w:left w:val="single" w:sz="6" w:space="0" w:color="auto"/>
              <w:bottom w:val="single" w:sz="4" w:space="0" w:color="auto"/>
              <w:right w:val="single" w:sz="6" w:space="0" w:color="auto"/>
            </w:tcBorders>
            <w:vAlign w:val="center"/>
            <w:hideMark/>
          </w:tcPr>
          <w:p w14:paraId="3A08847C" w14:textId="77777777" w:rsidR="00B97365" w:rsidRDefault="00000000">
            <w:pPr>
              <w:tabs>
                <w:tab w:val="right" w:pos="7938"/>
              </w:tabs>
              <w:ind w:left="470" w:hanging="459"/>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73CF5027" w14:textId="77777777" w:rsidR="00B97365" w:rsidRDefault="00000000">
            <w:pPr>
              <w:tabs>
                <w:tab w:val="right" w:pos="7938"/>
              </w:tabs>
              <w:ind w:left="470" w:hanging="459"/>
              <w:jc w:val="center"/>
              <w:rPr>
                <w:rFonts w:cs="Calibri"/>
                <w:sz w:val="16"/>
                <w:szCs w:val="16"/>
              </w:rPr>
            </w:pPr>
            <w:r>
              <w:rPr>
                <w:rFonts w:cs="Calibri"/>
                <w:sz w:val="16"/>
                <w:szCs w:val="16"/>
              </w:rPr>
              <w:t>1.2</w:t>
            </w:r>
          </w:p>
        </w:tc>
        <w:tc>
          <w:tcPr>
            <w:tcW w:w="0" w:type="auto"/>
            <w:tcBorders>
              <w:top w:val="single" w:sz="6" w:space="0" w:color="auto"/>
              <w:left w:val="single" w:sz="6" w:space="0" w:color="auto"/>
              <w:bottom w:val="single" w:sz="4" w:space="0" w:color="auto"/>
              <w:right w:val="single" w:sz="6" w:space="0" w:color="auto"/>
            </w:tcBorders>
            <w:vAlign w:val="center"/>
            <w:hideMark/>
          </w:tcPr>
          <w:p w14:paraId="7342D077" w14:textId="77777777" w:rsidR="00B97365" w:rsidRDefault="00000000">
            <w:pPr>
              <w:rPr>
                <w:rFonts w:cs="Calibri"/>
                <w:sz w:val="16"/>
                <w:szCs w:val="16"/>
              </w:rPr>
            </w:pPr>
            <w:r>
              <w:rPr>
                <w:rFonts w:cs="Calibri"/>
                <w:sz w:val="16"/>
                <w:szCs w:val="16"/>
              </w:rPr>
              <w:t>Not Allowed (Authorisation)</w:t>
            </w:r>
          </w:p>
        </w:tc>
        <w:tc>
          <w:tcPr>
            <w:tcW w:w="0" w:type="auto"/>
            <w:tcBorders>
              <w:top w:val="single" w:sz="6" w:space="0" w:color="auto"/>
              <w:left w:val="single" w:sz="6" w:space="0" w:color="auto"/>
              <w:bottom w:val="single" w:sz="4" w:space="0" w:color="auto"/>
              <w:right w:val="single" w:sz="4" w:space="0" w:color="auto"/>
            </w:tcBorders>
            <w:vAlign w:val="center"/>
            <w:hideMark/>
          </w:tcPr>
          <w:p w14:paraId="65445F70" w14:textId="77777777" w:rsidR="00B97365" w:rsidRDefault="00000000">
            <w:pPr>
              <w:rPr>
                <w:rFonts w:cs="Calibri"/>
                <w:sz w:val="16"/>
                <w:szCs w:val="16"/>
              </w:rPr>
            </w:pPr>
            <w:r>
              <w:rPr>
                <w:rFonts w:cs="Calibri"/>
                <w:sz w:val="16"/>
                <w:szCs w:val="16"/>
              </w:rPr>
              <w:t>Function requester is not allowed to manage this EIS, identified by this EID.</w:t>
            </w:r>
          </w:p>
        </w:tc>
      </w:tr>
    </w:tbl>
    <w:p w14:paraId="3A3DECA5" w14:textId="77777777" w:rsidR="00B97365" w:rsidRDefault="00000000">
      <w:pPr>
        <w:numPr>
          <w:ilvl w:val="0"/>
          <w:numId w:val="14"/>
        </w:numPr>
        <w:tabs>
          <w:tab w:val="left" w:pos="1009"/>
        </w:tabs>
        <w:spacing w:after="200" w:line="276" w:lineRule="auto"/>
        <w:jc w:val="center"/>
        <w:rPr>
          <w:rFonts w:cs="Calibri"/>
        </w:rPr>
      </w:pPr>
      <w:r>
        <w:rPr>
          <w:rFonts w:cs="Arial"/>
          <w:b/>
          <w:lang w:eastAsia="de-DE" w:bidi="ar-SA"/>
        </w:rPr>
        <w:t>: Get EIS Specific Status Code</w:t>
      </w:r>
    </w:p>
    <w:p w14:paraId="74AC486F"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290" w:name="_Toc448998285"/>
      <w:bookmarkStart w:id="5291" w:name="_Toc422150781"/>
      <w:bookmarkStart w:id="5292" w:name="_Toc421874366"/>
      <w:bookmarkStart w:id="5293" w:name="_Toc420594849"/>
      <w:bookmarkStart w:id="5294" w:name="_Toc398214907"/>
      <w:bookmarkStart w:id="5295" w:name="_Toc375158323"/>
      <w:bookmarkStart w:id="5296" w:name="_Toc368932332"/>
      <w:bookmarkStart w:id="5297" w:name="_Ref367978860"/>
      <w:bookmarkStart w:id="5298" w:name="_Ref367978840"/>
      <w:bookmarkStart w:id="5299" w:name="_Toc352671592"/>
      <w:bookmarkStart w:id="5300" w:name="_Toc486332903"/>
      <w:bookmarkStart w:id="5301" w:name="_Toc1977408"/>
      <w:bookmarkStart w:id="5302" w:name="_Toc37062567"/>
      <w:bookmarkStart w:id="5303" w:name="_Toc88839641"/>
      <w:bookmarkStart w:id="5304" w:name="_Toc121504049"/>
      <w:r>
        <w:rPr>
          <w:rFonts w:eastAsia="Times New Roman" w:cs="Arial"/>
          <w:b/>
          <w:sz w:val="24"/>
          <w:szCs w:val="26"/>
          <w:lang w:eastAsia="en-US"/>
        </w:rPr>
        <w:t>Updating the Policy Rules of a Profile</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14:paraId="1063CA0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UpdatePolicyRules</w:t>
      </w:r>
    </w:p>
    <w:p w14:paraId="5F494F9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w:t>
      </w:r>
    </w:p>
    <w:p w14:paraId="1A8056A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488876D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Function Provider: SM-SR</w:t>
      </w:r>
    </w:p>
    <w:p w14:paraId="3643145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Description: This function allows the Operator to update POL2 of a Profile, identified by its ICCID, and installed on an eUICC identified by its EID.</w:t>
      </w:r>
    </w:p>
    <w:p w14:paraId="466FC3A4" w14:textId="19E80B2C" w:rsidR="00B97365" w:rsidRDefault="00000000">
      <w:pPr>
        <w:spacing w:before="0" w:after="200" w:line="276" w:lineRule="auto"/>
        <w:jc w:val="left"/>
        <w:rPr>
          <w:rFonts w:asciiTheme="minorHAnsi" w:hAnsiTheme="minorHAnsi" w:cstheme="minorHAnsi"/>
        </w:rPr>
      </w:pPr>
      <w:r>
        <w:rPr>
          <w:rFonts w:cs="Arial"/>
          <w:szCs w:val="22"/>
          <w:lang w:val="en-US" w:eastAsia="en-GB" w:bidi="ar-SA"/>
        </w:rPr>
        <w:t xml:space="preserve">The general description of this function is detailed in section </w:t>
      </w:r>
      <w:r>
        <w:fldChar w:fldCharType="begin"/>
      </w:r>
      <w:r>
        <w:instrText xml:space="preserve"> REF _Ref367975074 \r \h  \* MERGEFORMAT </w:instrText>
      </w:r>
      <w:r>
        <w:fldChar w:fldCharType="separate"/>
      </w:r>
      <w:r w:rsidR="001D5AD9" w:rsidRPr="001D5AD9">
        <w:rPr>
          <w:szCs w:val="22"/>
          <w:lang w:val="en-US" w:eastAsia="en-GB" w:bidi="ar-SA"/>
        </w:rPr>
        <w:t>5.4.6</w:t>
      </w:r>
      <w:r>
        <w:fldChar w:fldCharType="end"/>
      </w:r>
      <w:r>
        <w:rPr>
          <w:szCs w:val="22"/>
          <w:lang w:val="en-US" w:eastAsia="en-GB" w:bidi="ar-SA"/>
        </w:rPr>
        <w:t xml:space="preserve"> of this specification.</w:t>
      </w:r>
    </w:p>
    <w:p w14:paraId="48B13E59"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305" w:name="_Toc448998286"/>
      <w:bookmarkStart w:id="5306" w:name="_Toc422150782"/>
      <w:bookmarkStart w:id="5307" w:name="_Toc421874367"/>
      <w:bookmarkStart w:id="5308" w:name="_Toc420594850"/>
      <w:bookmarkStart w:id="5309" w:name="_Toc398214908"/>
      <w:bookmarkStart w:id="5310" w:name="_Toc375158324"/>
      <w:bookmarkStart w:id="5311" w:name="_Toc368932333"/>
      <w:bookmarkStart w:id="5312" w:name="_Ref367978891"/>
      <w:bookmarkStart w:id="5313" w:name="_Ref367978878"/>
      <w:bookmarkStart w:id="5314" w:name="_Toc352671593"/>
      <w:bookmarkStart w:id="5315" w:name="_Toc486332904"/>
      <w:bookmarkStart w:id="5316" w:name="_Toc1977409"/>
      <w:bookmarkStart w:id="5317" w:name="_Toc37062568"/>
      <w:bookmarkStart w:id="5318" w:name="_Toc88839642"/>
      <w:bookmarkStart w:id="5319" w:name="_Toc121504050"/>
      <w:r>
        <w:rPr>
          <w:rFonts w:eastAsia="Times New Roman" w:cs="Arial"/>
          <w:b/>
          <w:sz w:val="24"/>
          <w:szCs w:val="26"/>
          <w:lang w:eastAsia="en-US"/>
        </w:rPr>
        <w:t>Updating eUICC Information</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14:paraId="52B1B90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UpdateSubscriptionAddress</w:t>
      </w:r>
    </w:p>
    <w:p w14:paraId="0713C2B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Enabling</w:t>
      </w:r>
    </w:p>
    <w:p w14:paraId="1C22C94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7D90122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1B15B4A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enables the caller to update the Subscription Address for a Profile in the eUICC Information Set (EIS) of a particular eUICC identified by the EID and ICCID. The function replaces the content of the Subscription Address. For consistency within the system, it is the responsibility of the caller to ensure that all data is provided.</w:t>
      </w:r>
    </w:p>
    <w:p w14:paraId="2ABFDA4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On reception of the function request, the SM-SR SHALL perform the following minimum set of verifications:</w:t>
      </w:r>
    </w:p>
    <w:p w14:paraId="1D24F849"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The SM-SR is responsible for the management of the targeted eUICC.</w:t>
      </w:r>
    </w:p>
    <w:p w14:paraId="2E55C7FC"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The Profile identified by its ICCID is loaded on the targeted eUICC.</w:t>
      </w:r>
    </w:p>
    <w:p w14:paraId="2BE5E29E"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The target Profile is owned by the requesting Operator, or an Operator that had granted a PLMA that authorises the requesting M2M SP to perform the operation “</w:t>
      </w:r>
      <w:r>
        <w:rPr>
          <w:rFonts w:cs="Calibri"/>
          <w:szCs w:val="22"/>
        </w:rPr>
        <w:t>UpdateSubscriptionAddress</w:t>
      </w:r>
      <w:r>
        <w:rPr>
          <w:szCs w:val="22"/>
          <w:lang w:eastAsia="en-GB" w:bidi="ar-SA"/>
        </w:rPr>
        <w:t>” on a Profile that matches the criteria of the PLMA (see section 5.7.1.1 for the detail of the matching of the criteria)</w:t>
      </w:r>
    </w:p>
    <w:p w14:paraId="2D339999" w14:textId="77777777" w:rsidR="00B97365" w:rsidRDefault="00000000">
      <w:pPr>
        <w:spacing w:before="0" w:after="200" w:line="276" w:lineRule="auto"/>
        <w:jc w:val="left"/>
        <w:rPr>
          <w:szCs w:val="22"/>
          <w:lang w:val="en-US" w:eastAsia="en-GB" w:bidi="ar-SA"/>
        </w:rPr>
      </w:pPr>
      <w:r>
        <w:rPr>
          <w:szCs w:val="22"/>
          <w:lang w:val="en-US" w:eastAsia="en-GB" w:bidi="ar-SA"/>
        </w:rPr>
        <w:t>This function may return:</w:t>
      </w:r>
    </w:p>
    <w:p w14:paraId="2F98400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UpdateSubscriptionAddress function has been successfully executed by the SM-SR as requested by the function caller. </w:t>
      </w:r>
    </w:p>
    <w:p w14:paraId="7EDCFDEB" w14:textId="2CC5C931" w:rsidR="00B97365" w:rsidRDefault="00000000">
      <w:pPr>
        <w:tabs>
          <w:tab w:val="left" w:pos="680"/>
        </w:tabs>
        <w:spacing w:before="0" w:after="200" w:line="276" w:lineRule="auto"/>
        <w:ind w:left="680"/>
        <w:contextualSpacing/>
        <w:jc w:val="left"/>
        <w:rPr>
          <w:szCs w:val="22"/>
          <w:lang w:eastAsia="en-GB" w:bidi="ar-SA"/>
        </w:rPr>
      </w:pPr>
      <w:r>
        <w:rPr>
          <w:szCs w:val="22"/>
          <w:lang w:eastAsia="en-GB" w:bidi="ar-SA"/>
        </w:rPr>
        <w:lastRenderedPageBreak/>
        <w:t xml:space="preserve">A ‘Function execution status’ indicating ‘Failed’ with a status code as defined in section </w:t>
      </w:r>
      <w:r>
        <w:fldChar w:fldCharType="begin"/>
      </w:r>
      <w:r>
        <w:instrText xml:space="preserve"> REF _Ref367975107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below.</w:t>
      </w:r>
    </w:p>
    <w:p w14:paraId="7F06151B" w14:textId="77777777" w:rsidR="00B97365" w:rsidRDefault="00B97365">
      <w:pPr>
        <w:tabs>
          <w:tab w:val="left" w:pos="680"/>
        </w:tabs>
        <w:spacing w:before="0" w:after="200" w:line="276" w:lineRule="auto"/>
        <w:contextualSpacing/>
        <w:jc w:val="left"/>
        <w:rPr>
          <w:rFonts w:cs="Arial"/>
          <w:b/>
          <w:i/>
          <w:szCs w:val="22"/>
          <w:lang w:val="en-US" w:eastAsia="en-GB" w:bidi="ar-SA"/>
        </w:rPr>
      </w:pPr>
    </w:p>
    <w:p w14:paraId="2764AD03" w14:textId="77777777" w:rsidR="00B97365" w:rsidRDefault="00000000">
      <w:pPr>
        <w:spacing w:before="0" w:after="200" w:line="276" w:lineRule="auto"/>
        <w:jc w:val="left"/>
        <w:rPr>
          <w:b/>
          <w:i/>
          <w:szCs w:val="22"/>
          <w:lang w:val="en-US" w:eastAsia="en-GB" w:bidi="ar-SA"/>
        </w:rPr>
      </w:pPr>
      <w:bookmarkStart w:id="5320" w:name="_Toc420594851"/>
      <w:r>
        <w:rPr>
          <w:rFonts w:cs="Arial"/>
          <w:b/>
          <w:i/>
          <w:szCs w:val="22"/>
          <w:lang w:val="en-US" w:eastAsia="en-GB" w:bidi="ar-SA"/>
        </w:rPr>
        <w:t>Additional input data:</w:t>
      </w:r>
      <w:bookmarkEnd w:id="532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1"/>
        <w:gridCol w:w="2951"/>
        <w:gridCol w:w="1652"/>
        <w:gridCol w:w="398"/>
        <w:gridCol w:w="514"/>
      </w:tblGrid>
      <w:tr w:rsidR="00B97365" w14:paraId="602FA07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C4E1DD6"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BDB7B1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E0E5E8C"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84E135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6492C27"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MOC</w:t>
            </w:r>
          </w:p>
        </w:tc>
      </w:tr>
      <w:tr w:rsidR="00B97365" w14:paraId="38C31EB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E2B0BC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470C83B"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25BE7CF1" w14:textId="14150764"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_Ref367975115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7CBE69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45B16A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581346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78E3187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07D41A5"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04C2C8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 Profile.</w:t>
            </w:r>
          </w:p>
          <w:p w14:paraId="155461B4" w14:textId="16546651"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_Ref367975122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134EE2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6A093F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958A5F3"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CCDBD0A"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3B2F82F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newSubscriptionAddress</w:t>
            </w:r>
          </w:p>
        </w:tc>
        <w:tc>
          <w:tcPr>
            <w:tcW w:w="0" w:type="auto"/>
            <w:tcBorders>
              <w:top w:val="single" w:sz="6" w:space="0" w:color="auto"/>
              <w:left w:val="single" w:sz="6" w:space="0" w:color="auto"/>
              <w:bottom w:val="single" w:sz="4" w:space="0" w:color="auto"/>
              <w:right w:val="single" w:sz="6" w:space="0" w:color="auto"/>
            </w:tcBorders>
            <w:vAlign w:val="center"/>
            <w:hideMark/>
          </w:tcPr>
          <w:p w14:paraId="28C0653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The new Subscription Address</w:t>
            </w:r>
          </w:p>
        </w:tc>
        <w:tc>
          <w:tcPr>
            <w:tcW w:w="0" w:type="auto"/>
            <w:tcBorders>
              <w:top w:val="single" w:sz="6" w:space="0" w:color="auto"/>
              <w:left w:val="single" w:sz="6" w:space="0" w:color="auto"/>
              <w:bottom w:val="single" w:sz="4" w:space="0" w:color="auto"/>
              <w:right w:val="single" w:sz="6" w:space="0" w:color="auto"/>
            </w:tcBorders>
            <w:vAlign w:val="center"/>
            <w:hideMark/>
          </w:tcPr>
          <w:p w14:paraId="77F707B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Subscription Address</w:t>
            </w:r>
          </w:p>
        </w:tc>
        <w:tc>
          <w:tcPr>
            <w:tcW w:w="0" w:type="auto"/>
            <w:tcBorders>
              <w:top w:val="single" w:sz="6" w:space="0" w:color="auto"/>
              <w:left w:val="single" w:sz="6" w:space="0" w:color="auto"/>
              <w:bottom w:val="single" w:sz="4" w:space="0" w:color="auto"/>
              <w:right w:val="single" w:sz="6" w:space="0" w:color="auto"/>
            </w:tcBorders>
            <w:vAlign w:val="center"/>
            <w:hideMark/>
          </w:tcPr>
          <w:p w14:paraId="5AF05F3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5282539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2BDA2C2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Update Subscription Address Additional Input Data</w:t>
      </w:r>
    </w:p>
    <w:p w14:paraId="6BDBE5CC" w14:textId="77777777" w:rsidR="00B97365" w:rsidRDefault="00B97365">
      <w:pPr>
        <w:jc w:val="center"/>
        <w:rPr>
          <w:rFonts w:cs="Calibri"/>
        </w:rPr>
      </w:pPr>
    </w:p>
    <w:p w14:paraId="6E0BADF4" w14:textId="77777777" w:rsidR="00B97365" w:rsidRDefault="00000000">
      <w:pPr>
        <w:spacing w:before="0" w:after="200" w:line="276" w:lineRule="auto"/>
        <w:jc w:val="left"/>
        <w:rPr>
          <w:b/>
          <w:i/>
          <w:szCs w:val="22"/>
          <w:lang w:val="en-US" w:eastAsia="en-GB" w:bidi="ar-SA"/>
        </w:rPr>
      </w:pPr>
      <w:bookmarkStart w:id="5321" w:name="_Toc420594852"/>
      <w:r>
        <w:rPr>
          <w:rFonts w:cs="Arial"/>
          <w:b/>
          <w:i/>
          <w:szCs w:val="22"/>
          <w:lang w:val="en-US" w:eastAsia="en-GB" w:bidi="ar-SA"/>
        </w:rPr>
        <w:t>Additional output data:</w:t>
      </w:r>
      <w:bookmarkEnd w:id="5321"/>
    </w:p>
    <w:p w14:paraId="511D6AB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has no additional output data.</w:t>
      </w:r>
    </w:p>
    <w:p w14:paraId="7094D3A9" w14:textId="77777777" w:rsidR="00B97365" w:rsidRDefault="00000000">
      <w:pPr>
        <w:spacing w:before="0" w:after="200" w:line="276" w:lineRule="auto"/>
        <w:jc w:val="left"/>
        <w:rPr>
          <w:b/>
          <w:i/>
          <w:szCs w:val="22"/>
          <w:lang w:val="en-US" w:eastAsia="en-GB" w:bidi="ar-SA"/>
        </w:rPr>
      </w:pPr>
      <w:bookmarkStart w:id="5322" w:name="_Toc420594853"/>
      <w:r>
        <w:rPr>
          <w:rFonts w:cs="Arial"/>
          <w:b/>
          <w:i/>
          <w:szCs w:val="22"/>
          <w:lang w:val="en-US" w:eastAsia="en-GB" w:bidi="ar-SA"/>
        </w:rPr>
        <w:t>Specific status codes</w:t>
      </w:r>
      <w:bookmarkEnd w:id="5322"/>
    </w:p>
    <w:tbl>
      <w:tblPr>
        <w:tblW w:w="947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95"/>
        <w:gridCol w:w="1448"/>
        <w:gridCol w:w="906"/>
        <w:gridCol w:w="1789"/>
        <w:gridCol w:w="4436"/>
      </w:tblGrid>
      <w:tr w:rsidR="00B97365" w14:paraId="036F3EF6" w14:textId="77777777">
        <w:trPr>
          <w:trHeight w:val="342"/>
          <w:jc w:val="center"/>
        </w:trPr>
        <w:tc>
          <w:tcPr>
            <w:tcW w:w="89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888F607"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Subject</w:t>
            </w:r>
          </w:p>
          <w:p w14:paraId="5953394B"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8C9C86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Subject</w:t>
            </w:r>
          </w:p>
        </w:tc>
        <w:tc>
          <w:tcPr>
            <w:tcW w:w="90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01A600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Reason</w:t>
            </w:r>
          </w:p>
          <w:p w14:paraId="2EE1C382"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6160E1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7278D94"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r>
      <w:tr w:rsidR="00B97365" w14:paraId="437997C4" w14:textId="77777777">
        <w:trPr>
          <w:trHeight w:val="282"/>
          <w:jc w:val="center"/>
        </w:trPr>
        <w:tc>
          <w:tcPr>
            <w:tcW w:w="895" w:type="dxa"/>
            <w:tcBorders>
              <w:top w:val="single" w:sz="6" w:space="0" w:color="auto"/>
              <w:left w:val="single" w:sz="4" w:space="0" w:color="auto"/>
              <w:bottom w:val="single" w:sz="6" w:space="0" w:color="auto"/>
              <w:right w:val="single" w:sz="6" w:space="0" w:color="auto"/>
            </w:tcBorders>
            <w:vAlign w:val="center"/>
            <w:hideMark/>
          </w:tcPr>
          <w:p w14:paraId="5DCF0ED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6B789BF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906" w:type="dxa"/>
            <w:tcBorders>
              <w:top w:val="single" w:sz="6" w:space="0" w:color="auto"/>
              <w:left w:val="single" w:sz="6" w:space="0" w:color="auto"/>
              <w:bottom w:val="single" w:sz="6" w:space="0" w:color="auto"/>
              <w:right w:val="single" w:sz="6" w:space="0" w:color="auto"/>
            </w:tcBorders>
            <w:vAlign w:val="center"/>
            <w:hideMark/>
          </w:tcPr>
          <w:p w14:paraId="0D04B22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0833E84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4A62984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EIS identified by this EID, is unknown to the function provider</w:t>
            </w:r>
          </w:p>
        </w:tc>
      </w:tr>
      <w:tr w:rsidR="00B97365" w14:paraId="4DFBB738" w14:textId="77777777">
        <w:trPr>
          <w:trHeight w:val="282"/>
          <w:jc w:val="center"/>
        </w:trPr>
        <w:tc>
          <w:tcPr>
            <w:tcW w:w="895" w:type="dxa"/>
            <w:tcBorders>
              <w:top w:val="single" w:sz="6" w:space="0" w:color="auto"/>
              <w:left w:val="single" w:sz="4" w:space="0" w:color="auto"/>
              <w:bottom w:val="single" w:sz="6" w:space="0" w:color="auto"/>
              <w:right w:val="single" w:sz="6" w:space="0" w:color="auto"/>
            </w:tcBorders>
            <w:vAlign w:val="center"/>
            <w:hideMark/>
          </w:tcPr>
          <w:p w14:paraId="2AC0133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25AE1D1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906" w:type="dxa"/>
            <w:tcBorders>
              <w:top w:val="single" w:sz="6" w:space="0" w:color="auto"/>
              <w:left w:val="single" w:sz="6" w:space="0" w:color="auto"/>
              <w:bottom w:val="single" w:sz="6" w:space="0" w:color="auto"/>
              <w:right w:val="single" w:sz="6" w:space="0" w:color="auto"/>
            </w:tcBorders>
            <w:vAlign w:val="center"/>
            <w:hideMark/>
          </w:tcPr>
          <w:p w14:paraId="239EDBB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205FC59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152BD79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Indicates that the Profile identified by the ICCID, is unknown to the function provider</w:t>
            </w:r>
          </w:p>
        </w:tc>
      </w:tr>
      <w:tr w:rsidR="00B97365" w14:paraId="419A9B73" w14:textId="77777777">
        <w:trPr>
          <w:trHeight w:val="282"/>
          <w:jc w:val="center"/>
        </w:trPr>
        <w:tc>
          <w:tcPr>
            <w:tcW w:w="895" w:type="dxa"/>
            <w:tcBorders>
              <w:top w:val="single" w:sz="6" w:space="0" w:color="auto"/>
              <w:left w:val="single" w:sz="4" w:space="0" w:color="auto"/>
              <w:bottom w:val="single" w:sz="4" w:space="0" w:color="auto"/>
              <w:right w:val="single" w:sz="6" w:space="0" w:color="auto"/>
            </w:tcBorders>
            <w:vAlign w:val="center"/>
            <w:hideMark/>
          </w:tcPr>
          <w:p w14:paraId="4CB0AB9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8.2.6</w:t>
            </w:r>
          </w:p>
        </w:tc>
        <w:tc>
          <w:tcPr>
            <w:tcW w:w="0" w:type="auto"/>
            <w:tcBorders>
              <w:top w:val="single" w:sz="6" w:space="0" w:color="auto"/>
              <w:left w:val="single" w:sz="6" w:space="0" w:color="auto"/>
              <w:bottom w:val="single" w:sz="4" w:space="0" w:color="auto"/>
              <w:right w:val="single" w:sz="6" w:space="0" w:color="auto"/>
            </w:tcBorders>
            <w:vAlign w:val="center"/>
            <w:hideMark/>
          </w:tcPr>
          <w:p w14:paraId="30B4C92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Subscription Address</w:t>
            </w:r>
          </w:p>
        </w:tc>
        <w:tc>
          <w:tcPr>
            <w:tcW w:w="906" w:type="dxa"/>
            <w:tcBorders>
              <w:top w:val="single" w:sz="6" w:space="0" w:color="auto"/>
              <w:left w:val="single" w:sz="6" w:space="0" w:color="auto"/>
              <w:bottom w:val="single" w:sz="4" w:space="0" w:color="auto"/>
              <w:right w:val="single" w:sz="6" w:space="0" w:color="auto"/>
            </w:tcBorders>
            <w:vAlign w:val="center"/>
            <w:hideMark/>
          </w:tcPr>
          <w:p w14:paraId="2295C79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1.2</w:t>
            </w:r>
          </w:p>
        </w:tc>
        <w:tc>
          <w:tcPr>
            <w:tcW w:w="0" w:type="auto"/>
            <w:tcBorders>
              <w:top w:val="single" w:sz="6" w:space="0" w:color="auto"/>
              <w:left w:val="single" w:sz="6" w:space="0" w:color="auto"/>
              <w:bottom w:val="single" w:sz="4" w:space="0" w:color="auto"/>
              <w:right w:val="single" w:sz="6" w:space="0" w:color="auto"/>
            </w:tcBorders>
            <w:vAlign w:val="center"/>
            <w:hideMark/>
          </w:tcPr>
          <w:p w14:paraId="6715DCD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Not Allowed (Authorisation)</w:t>
            </w:r>
          </w:p>
        </w:tc>
        <w:tc>
          <w:tcPr>
            <w:tcW w:w="0" w:type="auto"/>
            <w:tcBorders>
              <w:top w:val="single" w:sz="6" w:space="0" w:color="auto"/>
              <w:left w:val="single" w:sz="6" w:space="0" w:color="auto"/>
              <w:bottom w:val="single" w:sz="4" w:space="0" w:color="auto"/>
              <w:right w:val="single" w:sz="4" w:space="0" w:color="auto"/>
            </w:tcBorders>
            <w:vAlign w:val="center"/>
            <w:hideMark/>
          </w:tcPr>
          <w:p w14:paraId="4CC5214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Function caller is not allowed to manage the Subscription Address.</w:t>
            </w:r>
          </w:p>
        </w:tc>
      </w:tr>
    </w:tbl>
    <w:p w14:paraId="634A71E0" w14:textId="77777777" w:rsidR="00B97365" w:rsidRDefault="00000000">
      <w:pPr>
        <w:numPr>
          <w:ilvl w:val="0"/>
          <w:numId w:val="14"/>
        </w:numPr>
        <w:tabs>
          <w:tab w:val="left" w:pos="1009"/>
        </w:tabs>
        <w:spacing w:after="200" w:line="276" w:lineRule="auto"/>
        <w:jc w:val="center"/>
        <w:rPr>
          <w:rFonts w:cs="Arial"/>
          <w:lang w:eastAsia="de-DE" w:bidi="ar-SA"/>
        </w:rPr>
      </w:pPr>
      <w:bookmarkStart w:id="5323" w:name="_Toc352671594"/>
      <w:r>
        <w:rPr>
          <w:rFonts w:cs="Arial"/>
          <w:b/>
          <w:lang w:eastAsia="de-DE" w:bidi="ar-SA"/>
        </w:rPr>
        <w:t>: Update Subscription Address Status Codes</w:t>
      </w:r>
    </w:p>
    <w:p w14:paraId="39FF9C2E" w14:textId="77777777" w:rsidR="00B97365" w:rsidRDefault="00B97365">
      <w:pPr>
        <w:jc w:val="center"/>
        <w:rPr>
          <w:rFonts w:cs="Calibri"/>
          <w:i/>
        </w:rPr>
      </w:pPr>
    </w:p>
    <w:p w14:paraId="1E17699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324" w:name="_Toc448998287"/>
      <w:bookmarkStart w:id="5325" w:name="_Toc422150783"/>
      <w:bookmarkStart w:id="5326" w:name="_Toc421874368"/>
      <w:bookmarkStart w:id="5327" w:name="_Toc420594854"/>
      <w:bookmarkStart w:id="5328" w:name="_Toc398214909"/>
      <w:bookmarkStart w:id="5329" w:name="_Toc375158325"/>
      <w:bookmarkStart w:id="5330" w:name="_Toc368932334"/>
      <w:bookmarkStart w:id="5331" w:name="_Ref367978910"/>
      <w:bookmarkStart w:id="5332" w:name="_Ref367978902"/>
      <w:bookmarkStart w:id="5333" w:name="_Toc486332905"/>
      <w:bookmarkStart w:id="5334" w:name="_Toc1977410"/>
      <w:bookmarkStart w:id="5335" w:name="_Toc37062569"/>
      <w:bookmarkStart w:id="5336" w:name="_Toc88839643"/>
      <w:bookmarkStart w:id="5337" w:name="_Toc121504051"/>
      <w:r>
        <w:rPr>
          <w:rFonts w:eastAsia="Times New Roman" w:cs="Arial"/>
          <w:b/>
          <w:sz w:val="24"/>
          <w:szCs w:val="26"/>
          <w:lang w:eastAsia="en-US"/>
        </w:rPr>
        <w:t>Auditing eUICC Information</w:t>
      </w:r>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p>
    <w:p w14:paraId="033A169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AuditEIS</w:t>
      </w:r>
    </w:p>
    <w:p w14:paraId="6680EE0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w:t>
      </w:r>
    </w:p>
    <w:p w14:paraId="7B3765B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17462E0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7A60382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Operator to retrieve the up to date EIS information. The SM-SR SHALL use the relevant functions of the ES5 interface to retrieve the information from the eUICC. The SM-SR SHALL update its EIS database upon the basis of this information.</w:t>
      </w:r>
    </w:p>
    <w:p w14:paraId="58561A4F" w14:textId="77777777" w:rsidR="00B97365" w:rsidRDefault="00000000">
      <w:pPr>
        <w:spacing w:before="0" w:after="200" w:line="276" w:lineRule="auto"/>
        <w:jc w:val="left"/>
        <w:rPr>
          <w:szCs w:val="22"/>
          <w:lang w:val="en-US" w:eastAsia="en-GB" w:bidi="ar-SA"/>
        </w:rPr>
      </w:pPr>
      <w:r>
        <w:rPr>
          <w:szCs w:val="22"/>
          <w:lang w:val="en-US" w:eastAsia="en-GB" w:bidi="ar-SA"/>
        </w:rPr>
        <w:lastRenderedPageBreak/>
        <w:t xml:space="preserve">If the function caller provides a list of ICCID of Profiles to audit, the SM-SR SHALL verify for each Profile that the function caller </w:t>
      </w:r>
    </w:p>
    <w:p w14:paraId="7A3C3E1C" w14:textId="77777777" w:rsidR="00B97365" w:rsidRDefault="00000000">
      <w:pPr>
        <w:numPr>
          <w:ilvl w:val="0"/>
          <w:numId w:val="68"/>
        </w:numPr>
        <w:spacing w:before="0" w:after="200" w:line="276" w:lineRule="auto"/>
        <w:contextualSpacing/>
        <w:jc w:val="left"/>
        <w:rPr>
          <w:szCs w:val="22"/>
          <w:lang w:val="en-US" w:eastAsia="en-GB" w:bidi="ar-SA"/>
        </w:rPr>
      </w:pPr>
      <w:r>
        <w:rPr>
          <w:szCs w:val="22"/>
          <w:lang w:val="en-US" w:eastAsia="en-GB" w:bidi="ar-SA"/>
        </w:rPr>
        <w:t xml:space="preserve">is either the owner of the targeted Profile </w:t>
      </w:r>
      <w:r>
        <w:rPr>
          <w:szCs w:val="22"/>
          <w:lang w:val="en-US" w:eastAsia="en-GB" w:bidi="ar-SA"/>
        </w:rPr>
        <w:br/>
        <w:t xml:space="preserve">or </w:t>
      </w:r>
    </w:p>
    <w:p w14:paraId="7427AA36" w14:textId="77777777" w:rsidR="00B97365" w:rsidRDefault="00000000">
      <w:pPr>
        <w:numPr>
          <w:ilvl w:val="0"/>
          <w:numId w:val="68"/>
        </w:numPr>
        <w:spacing w:before="0" w:after="200" w:line="276" w:lineRule="auto"/>
        <w:contextualSpacing/>
        <w:jc w:val="left"/>
        <w:rPr>
          <w:szCs w:val="22"/>
          <w:lang w:val="en-US" w:eastAsia="en-GB" w:bidi="ar-SA"/>
        </w:rPr>
      </w:pPr>
      <w:r>
        <w:rPr>
          <w:szCs w:val="22"/>
          <w:lang w:val="en-US" w:eastAsia="en-GB" w:bidi="ar-SA"/>
        </w:rPr>
        <w:t xml:space="preserve">is authorised by the Operator owning the targeted Profile(s) </w:t>
      </w:r>
    </w:p>
    <w:p w14:paraId="30B9C524" w14:textId="77777777" w:rsidR="00B97365" w:rsidRDefault="00000000">
      <w:pPr>
        <w:jc w:val="left"/>
        <w:rPr>
          <w:szCs w:val="22"/>
          <w:lang w:val="en-US" w:eastAsia="en-GB" w:bidi="ar-SA"/>
        </w:rPr>
      </w:pPr>
      <w:r>
        <w:rPr>
          <w:szCs w:val="22"/>
          <w:lang w:val="en-US" w:eastAsia="en-GB" w:bidi="ar-SA"/>
        </w:rPr>
        <w:t>to perform the operation “AuditEIS” on a Profile that matches the criteria of the PLMA (see section 5.7.1.1 for the detail of the matching of the criteria).</w:t>
      </w:r>
    </w:p>
    <w:p w14:paraId="61CCC2BA" w14:textId="77777777" w:rsidR="00B97365" w:rsidRDefault="00B97365">
      <w:pPr>
        <w:spacing w:before="0" w:after="200" w:line="276" w:lineRule="auto"/>
        <w:jc w:val="left"/>
        <w:rPr>
          <w:szCs w:val="22"/>
          <w:lang w:val="en-US" w:eastAsia="en-GB" w:bidi="ar-SA"/>
        </w:rPr>
      </w:pPr>
    </w:p>
    <w:p w14:paraId="075752CF" w14:textId="77777777" w:rsidR="00B97365" w:rsidRDefault="00000000">
      <w:pPr>
        <w:spacing w:before="0" w:after="200" w:line="276" w:lineRule="auto"/>
        <w:jc w:val="left"/>
        <w:rPr>
          <w:szCs w:val="22"/>
          <w:lang w:val="en-US" w:eastAsia="en-GB" w:bidi="ar-SA"/>
        </w:rPr>
      </w:pPr>
      <w:r>
        <w:rPr>
          <w:szCs w:val="22"/>
          <w:lang w:val="en-US" w:eastAsia="en-GB" w:bidi="ar-SA"/>
        </w:rPr>
        <w:t xml:space="preserve">This SHALL also be applied if the list of ICCIDs identifies </w:t>
      </w:r>
    </w:p>
    <w:p w14:paraId="3C107EA1" w14:textId="77777777" w:rsidR="00B97365" w:rsidRDefault="00000000">
      <w:pPr>
        <w:numPr>
          <w:ilvl w:val="0"/>
          <w:numId w:val="67"/>
        </w:numPr>
        <w:spacing w:before="0" w:after="200" w:line="276" w:lineRule="auto"/>
        <w:contextualSpacing/>
        <w:jc w:val="left"/>
        <w:rPr>
          <w:szCs w:val="22"/>
          <w:lang w:val="en-US" w:eastAsia="en-GB" w:bidi="ar-SA"/>
        </w:rPr>
      </w:pPr>
      <w:r>
        <w:rPr>
          <w:szCs w:val="22"/>
          <w:lang w:val="en-US" w:eastAsia="en-GB" w:bidi="ar-SA"/>
        </w:rPr>
        <w:t>Profiles that are owned by this Operator</w:t>
      </w:r>
    </w:p>
    <w:p w14:paraId="5FD6BF80" w14:textId="77777777" w:rsidR="00B97365" w:rsidRDefault="00000000">
      <w:pPr>
        <w:spacing w:before="0" w:after="200" w:line="276" w:lineRule="auto"/>
        <w:ind w:left="360" w:firstLine="348"/>
        <w:contextualSpacing/>
        <w:jc w:val="left"/>
        <w:rPr>
          <w:szCs w:val="22"/>
          <w:lang w:val="en-US" w:eastAsia="en-GB" w:bidi="ar-SA"/>
        </w:rPr>
      </w:pPr>
      <w:r>
        <w:rPr>
          <w:szCs w:val="22"/>
          <w:lang w:val="en-US" w:eastAsia="en-GB" w:bidi="ar-SA"/>
        </w:rPr>
        <w:t>and / or</w:t>
      </w:r>
    </w:p>
    <w:p w14:paraId="4C7D899C" w14:textId="77777777" w:rsidR="00B97365" w:rsidRDefault="00000000">
      <w:pPr>
        <w:numPr>
          <w:ilvl w:val="0"/>
          <w:numId w:val="67"/>
        </w:numPr>
        <w:spacing w:before="0" w:after="200" w:line="276" w:lineRule="auto"/>
        <w:contextualSpacing/>
        <w:jc w:val="left"/>
        <w:rPr>
          <w:szCs w:val="22"/>
          <w:lang w:val="en-US" w:eastAsia="en-GB" w:bidi="ar-SA"/>
        </w:rPr>
      </w:pPr>
      <w:r>
        <w:rPr>
          <w:szCs w:val="22"/>
          <w:lang w:val="en-US" w:eastAsia="en-GB" w:bidi="ar-SA"/>
        </w:rPr>
        <w:t>Profiles that are owned by other Operators.</w:t>
      </w:r>
    </w:p>
    <w:p w14:paraId="07150609" w14:textId="77777777" w:rsidR="00B97365" w:rsidRDefault="00000000">
      <w:pPr>
        <w:jc w:val="left"/>
        <w:rPr>
          <w:szCs w:val="22"/>
          <w:lang w:val="en-US" w:eastAsia="en-GB" w:bidi="ar-SA"/>
        </w:rPr>
      </w:pPr>
      <w:r>
        <w:rPr>
          <w:szCs w:val="22"/>
          <w:lang w:val="en-US" w:eastAsia="en-GB" w:bidi="ar-SA"/>
        </w:rPr>
        <w:t>The SM-SR MAY provide additional verifications.</w:t>
      </w:r>
    </w:p>
    <w:p w14:paraId="4C952B03" w14:textId="77777777" w:rsidR="00B97365" w:rsidRDefault="00B97365">
      <w:pPr>
        <w:spacing w:before="0" w:after="200" w:line="276" w:lineRule="auto"/>
        <w:jc w:val="left"/>
        <w:rPr>
          <w:rFonts w:cs="Arial"/>
          <w:b/>
          <w:i/>
          <w:szCs w:val="22"/>
          <w:lang w:val="en-US" w:eastAsia="en-GB" w:bidi="ar-SA"/>
        </w:rPr>
      </w:pPr>
    </w:p>
    <w:p w14:paraId="119FDE3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3D1CD2CD"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function has been successfully executed on the SM-SR as requested by the function caller. </w:t>
      </w:r>
    </w:p>
    <w:p w14:paraId="15CFCEC1" w14:textId="17D29DD4"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rPr>
          <w:szCs w:val="22"/>
          <w:lang w:eastAsia="en-GB" w:bidi="ar-SA"/>
        </w:rPr>
        <w:fldChar w:fldCharType="begin"/>
      </w:r>
      <w:r>
        <w:rPr>
          <w:szCs w:val="22"/>
          <w:lang w:eastAsia="en-GB" w:bidi="ar-SA"/>
        </w:rPr>
        <w:instrText xml:space="preserve"> REF _Ref367974203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p>
    <w:p w14:paraId="603B7224" w14:textId="6CEFA751"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rPr>
          <w:szCs w:val="22"/>
          <w:lang w:eastAsia="en-GB" w:bidi="ar-SA"/>
        </w:rPr>
        <w:fldChar w:fldCharType="begin"/>
      </w:r>
      <w:r>
        <w:rPr>
          <w:szCs w:val="22"/>
          <w:lang w:eastAsia="en-GB" w:bidi="ar-SA"/>
        </w:rPr>
        <w:instrText xml:space="preserve"> REF _Ref367974212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r>
        <w:rPr>
          <w:szCs w:val="22"/>
          <w:lang w:eastAsia="en-GB" w:bidi="ar-SA"/>
        </w:rPr>
        <w:t xml:space="preserve"> of a specific status code as defined in the table below.</w:t>
      </w:r>
    </w:p>
    <w:p w14:paraId="6396B979" w14:textId="77777777" w:rsidR="00B97365" w:rsidRDefault="00000000">
      <w:pPr>
        <w:spacing w:before="0" w:after="200" w:line="276" w:lineRule="auto"/>
        <w:jc w:val="left"/>
        <w:rPr>
          <w:b/>
          <w:i/>
          <w:szCs w:val="22"/>
          <w:lang w:val="en-US" w:eastAsia="en-GB" w:bidi="ar-SA"/>
        </w:rPr>
      </w:pPr>
      <w:bookmarkStart w:id="5338" w:name="_Toc420594855"/>
      <w:r>
        <w:rPr>
          <w:rFonts w:cs="Arial"/>
          <w:b/>
          <w:i/>
          <w:szCs w:val="22"/>
          <w:lang w:val="en-US" w:eastAsia="en-GB" w:bidi="ar-SA"/>
        </w:rPr>
        <w:t>Additional input data:</w:t>
      </w:r>
      <w:bookmarkEnd w:id="533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3609"/>
        <w:gridCol w:w="576"/>
        <w:gridCol w:w="434"/>
        <w:gridCol w:w="514"/>
      </w:tblGrid>
      <w:tr w:rsidR="00B97365" w14:paraId="15C9595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8565477"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2F3163A"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2A85D01"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004B01A"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EE4ACE3"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813B39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874D5B0"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536A989" w14:textId="77777777" w:rsidR="00B97365" w:rsidRDefault="00000000">
            <w:pPr>
              <w:rPr>
                <w:rFonts w:cs="Calibri"/>
                <w:sz w:val="16"/>
                <w:szCs w:val="16"/>
              </w:rPr>
            </w:pPr>
            <w:r>
              <w:rPr>
                <w:rFonts w:cs="Calibri"/>
                <w:sz w:val="16"/>
                <w:szCs w:val="16"/>
              </w:rPr>
              <w:t>Identification of the targeted eUICC.to be audited</w:t>
            </w:r>
          </w:p>
          <w:p w14:paraId="7D12DC7C" w14:textId="3CF0D39E"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_Ref367975128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7A17A94"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8E87194"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85A3799" w14:textId="77777777" w:rsidR="00B97365" w:rsidRDefault="00000000">
            <w:pPr>
              <w:jc w:val="center"/>
              <w:rPr>
                <w:rFonts w:cs="Calibri"/>
                <w:sz w:val="16"/>
                <w:szCs w:val="16"/>
              </w:rPr>
            </w:pPr>
            <w:r>
              <w:rPr>
                <w:rFonts w:cs="Calibri"/>
                <w:sz w:val="16"/>
                <w:szCs w:val="16"/>
              </w:rPr>
              <w:t>M</w:t>
            </w:r>
          </w:p>
        </w:tc>
      </w:tr>
      <w:tr w:rsidR="00B97365" w14:paraId="53C82636"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6DD5484" w14:textId="77777777" w:rsidR="00B97365" w:rsidRDefault="00000000">
            <w:pPr>
              <w:rPr>
                <w:rFonts w:cs="Calibri"/>
                <w:sz w:val="16"/>
                <w:szCs w:val="16"/>
              </w:rPr>
            </w:pPr>
            <w:r>
              <w:rPr>
                <w:rFonts w:cs="Calibri"/>
                <w:sz w:val="16"/>
                <w:szCs w:val="16"/>
              </w:rPr>
              <w:t>iccid-list</w:t>
            </w:r>
          </w:p>
        </w:tc>
        <w:tc>
          <w:tcPr>
            <w:tcW w:w="0" w:type="auto"/>
            <w:tcBorders>
              <w:top w:val="single" w:sz="6" w:space="0" w:color="auto"/>
              <w:left w:val="single" w:sz="6" w:space="0" w:color="auto"/>
              <w:bottom w:val="single" w:sz="4" w:space="0" w:color="auto"/>
              <w:right w:val="single" w:sz="6" w:space="0" w:color="auto"/>
            </w:tcBorders>
            <w:vAlign w:val="center"/>
            <w:hideMark/>
          </w:tcPr>
          <w:p w14:paraId="14000953" w14:textId="77777777" w:rsidR="00B97365" w:rsidRDefault="00000000">
            <w:pPr>
              <w:rPr>
                <w:rFonts w:cs="Calibri"/>
                <w:sz w:val="16"/>
                <w:szCs w:val="16"/>
              </w:rPr>
            </w:pPr>
            <w:r>
              <w:rPr>
                <w:rFonts w:cs="Calibri"/>
                <w:sz w:val="16"/>
                <w:szCs w:val="16"/>
              </w:rPr>
              <w:t xml:space="preserve">List of “iccid” identifying Profiles to be audited  </w:t>
            </w:r>
          </w:p>
        </w:tc>
        <w:tc>
          <w:tcPr>
            <w:tcW w:w="0" w:type="auto"/>
            <w:tcBorders>
              <w:top w:val="single" w:sz="6" w:space="0" w:color="auto"/>
              <w:left w:val="single" w:sz="6" w:space="0" w:color="auto"/>
              <w:bottom w:val="single" w:sz="4" w:space="0" w:color="auto"/>
              <w:right w:val="single" w:sz="6" w:space="0" w:color="auto"/>
            </w:tcBorders>
            <w:vAlign w:val="center"/>
            <w:hideMark/>
          </w:tcPr>
          <w:p w14:paraId="60725F8F"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1EC8E9D0" w14:textId="77777777" w:rsidR="00B97365" w:rsidRDefault="00000000">
            <w:pPr>
              <w:jc w:val="center"/>
              <w:rPr>
                <w:rFonts w:cs="Calibri"/>
                <w:sz w:val="16"/>
                <w:szCs w:val="16"/>
              </w:rPr>
            </w:pPr>
            <w:r>
              <w:rPr>
                <w:rFonts w:cs="Calibri"/>
                <w:sz w:val="16"/>
                <w:szCs w:val="16"/>
              </w:rPr>
              <w:t>1..N</w:t>
            </w:r>
          </w:p>
        </w:tc>
        <w:tc>
          <w:tcPr>
            <w:tcW w:w="0" w:type="auto"/>
            <w:tcBorders>
              <w:top w:val="single" w:sz="6" w:space="0" w:color="auto"/>
              <w:left w:val="single" w:sz="6" w:space="0" w:color="auto"/>
              <w:bottom w:val="single" w:sz="4" w:space="0" w:color="auto"/>
              <w:right w:val="single" w:sz="4" w:space="0" w:color="auto"/>
            </w:tcBorders>
            <w:vAlign w:val="center"/>
            <w:hideMark/>
          </w:tcPr>
          <w:p w14:paraId="1CBE8384" w14:textId="77777777" w:rsidR="00B97365" w:rsidRDefault="00000000">
            <w:pPr>
              <w:jc w:val="center"/>
              <w:rPr>
                <w:rFonts w:cs="Calibri"/>
                <w:sz w:val="16"/>
                <w:szCs w:val="16"/>
              </w:rPr>
            </w:pPr>
            <w:r>
              <w:rPr>
                <w:rFonts w:cs="Calibri"/>
                <w:sz w:val="16"/>
                <w:szCs w:val="16"/>
              </w:rPr>
              <w:t>C</w:t>
            </w:r>
          </w:p>
        </w:tc>
      </w:tr>
    </w:tbl>
    <w:p w14:paraId="406EB57E"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AuditEIS Additional Input Data</w:t>
      </w:r>
    </w:p>
    <w:p w14:paraId="72356E6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no list of ICCIDs is provided, it is implied that all authorised Profiles in the EIS are requested.</w:t>
      </w:r>
    </w:p>
    <w:p w14:paraId="06D83D48" w14:textId="77777777" w:rsidR="00B97365" w:rsidRDefault="00000000">
      <w:pPr>
        <w:spacing w:before="0" w:after="200" w:line="276" w:lineRule="auto"/>
        <w:jc w:val="left"/>
        <w:rPr>
          <w:szCs w:val="22"/>
          <w:lang w:val="en-US" w:eastAsia="en-GB" w:bidi="ar-SA"/>
        </w:rPr>
      </w:pPr>
      <w:r>
        <w:rPr>
          <w:szCs w:val="22"/>
          <w:lang w:val="en-US" w:eastAsia="en-GB" w:bidi="ar-SA"/>
        </w:rPr>
        <w:t>The SM-SR SHALL filter the list of Profiles returned in the EIS, considering the authorisation granted by the Profile owners; for each Profile, this includes:</w:t>
      </w:r>
    </w:p>
    <w:p w14:paraId="30B3B5EB"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If the function caller is the owner of the Profile, the SM-SR SHALL include this Profile in the returned EIS.</w:t>
      </w:r>
    </w:p>
    <w:p w14:paraId="7956CC23"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If the function caller is not the owner of the targeted Profile, the SM-SR SHALL include the Profile in the returned EIS only if the Operator owning the Profile has granted a PLMA allowing the operation “AuditEIS” to the function caller.</w:t>
      </w:r>
    </w:p>
    <w:p w14:paraId="11E25DC4" w14:textId="77777777" w:rsidR="00B97365" w:rsidRDefault="00000000">
      <w:pPr>
        <w:spacing w:before="0" w:after="200" w:line="276" w:lineRule="auto"/>
        <w:jc w:val="left"/>
        <w:rPr>
          <w:b/>
          <w:i/>
          <w:szCs w:val="22"/>
          <w:lang w:val="en-US" w:eastAsia="en-GB" w:bidi="ar-SA"/>
        </w:rPr>
      </w:pPr>
      <w:bookmarkStart w:id="5339" w:name="_Toc420594856"/>
      <w:r>
        <w:rPr>
          <w:rFonts w:cs="Arial"/>
          <w:b/>
          <w:i/>
          <w:szCs w:val="22"/>
          <w:lang w:val="en-US" w:eastAsia="en-GB" w:bidi="ar-SA"/>
        </w:rPr>
        <w:t>Additional output data:</w:t>
      </w:r>
      <w:bookmarkEnd w:id="533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35"/>
        <w:gridCol w:w="6755"/>
        <w:gridCol w:w="514"/>
        <w:gridCol w:w="398"/>
        <w:gridCol w:w="514"/>
      </w:tblGrid>
      <w:tr w:rsidR="00B97365" w14:paraId="625EA1F8" w14:textId="77777777">
        <w:trPr>
          <w:cantSplit/>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433F634"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lastRenderedPageBreak/>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879061A"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5EBEBC9"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6C15DC8"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3377A60" w14:textId="77777777" w:rsidR="00B97365" w:rsidRDefault="00000000">
            <w:pPr>
              <w:overflowPunct w:val="0"/>
              <w:autoSpaceDE w:val="0"/>
              <w:autoSpaceDN w:val="0"/>
              <w:adjustRightInd w:val="0"/>
              <w:spacing w:after="180"/>
              <w:jc w:val="center"/>
              <w:rPr>
                <w:rFonts w:cs="Calibri"/>
                <w:b/>
                <w:color w:val="FFFFFF"/>
                <w:sz w:val="16"/>
                <w:szCs w:val="16"/>
              </w:rPr>
            </w:pPr>
            <w:r>
              <w:rPr>
                <w:rFonts w:cs="Calibri"/>
                <w:b/>
                <w:color w:val="FFFFFF"/>
                <w:sz w:val="16"/>
                <w:szCs w:val="16"/>
              </w:rPr>
              <w:t>MOC</w:t>
            </w:r>
          </w:p>
        </w:tc>
      </w:tr>
      <w:tr w:rsidR="00B97365" w14:paraId="23EB8FE4" w14:textId="77777777">
        <w:trPr>
          <w:cantSplit/>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37892EA" w14:textId="77777777" w:rsidR="00B97365" w:rsidRDefault="00000000">
            <w:pPr>
              <w:overflowPunct w:val="0"/>
              <w:autoSpaceDE w:val="0"/>
              <w:autoSpaceDN w:val="0"/>
              <w:adjustRightInd w:val="0"/>
              <w:spacing w:before="40" w:after="40"/>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23A90376" w14:textId="43CE339A" w:rsidR="00B97365" w:rsidRDefault="00000000">
            <w:pPr>
              <w:tabs>
                <w:tab w:val="left" w:pos="720"/>
              </w:tabs>
              <w:overflowPunct w:val="0"/>
              <w:autoSpaceDE w:val="0"/>
              <w:autoSpaceDN w:val="0"/>
              <w:adjustRightInd w:val="0"/>
              <w:spacing w:before="0" w:after="200" w:line="276" w:lineRule="auto"/>
              <w:contextualSpacing/>
              <w:textAlignment w:val="baseline"/>
              <w:rPr>
                <w:rFonts w:cs="Calibri"/>
                <w:b/>
                <w:strike/>
                <w:sz w:val="16"/>
                <w:szCs w:val="16"/>
              </w:rPr>
            </w:pPr>
            <w:r>
              <w:rPr>
                <w:rFonts w:cs="Calibri"/>
                <w:sz w:val="16"/>
                <w:szCs w:val="16"/>
                <w:lang w:val="en-US"/>
              </w:rPr>
              <w:t xml:space="preserve">For the relevant eUICC Information Set see section </w:t>
            </w:r>
            <w:r>
              <w:fldChar w:fldCharType="begin"/>
            </w:r>
            <w:r>
              <w:instrText xml:space="preserve"> REF _Ref367975135 \r \h  \* MERGEFORMAT </w:instrText>
            </w:r>
            <w:r>
              <w:fldChar w:fldCharType="separate"/>
            </w:r>
            <w:r w:rsidR="001D5AD9">
              <w:t>5.1.1.1</w:t>
            </w:r>
            <w:r>
              <w:fldChar w:fldCharType="end"/>
            </w:r>
            <w:r>
              <w:rPr>
                <w:rFonts w:cs="Calibri"/>
                <w:sz w:val="16"/>
                <w:szCs w:val="16"/>
                <w:lang w:val="en-US"/>
              </w:rPr>
              <w:t xml:space="preserve"> for type description. The list of EIS data fields that SHALL be included is defined in </w:t>
            </w:r>
            <w:r>
              <w:fldChar w:fldCharType="begin"/>
            </w:r>
            <w:r>
              <w:instrText xml:space="preserve"> REF _Ref421660683 \r \h  \* MERGEFORMAT </w:instrText>
            </w:r>
            <w:r>
              <w:fldChar w:fldCharType="separate"/>
            </w:r>
            <w:r w:rsidR="001D5AD9" w:rsidRPr="001D5AD9">
              <w:rPr>
                <w:rFonts w:cs="Calibri"/>
                <w:sz w:val="16"/>
                <w:szCs w:val="16"/>
                <w:lang w:val="en-US"/>
              </w:rPr>
              <w:t>Annex E</w:t>
            </w:r>
            <w:r>
              <w:fldChar w:fldCharType="end"/>
            </w:r>
            <w:r>
              <w:rPr>
                <w:rFonts w:cs="Calibri"/>
                <w:sz w:val="16"/>
                <w:szCs w:val="16"/>
                <w:lang w:val="en-US"/>
              </w:rPr>
              <w:t>.Only data for the requested Profiles is returned within EIS. The Profiles that do not belong to the requestor are not included in the response. This access control function is realised within the SM-SR, there is no need to limit the data on the eUICC side.</w:t>
            </w:r>
          </w:p>
        </w:tc>
        <w:tc>
          <w:tcPr>
            <w:tcW w:w="0" w:type="auto"/>
            <w:tcBorders>
              <w:top w:val="single" w:sz="6" w:space="0" w:color="auto"/>
              <w:left w:val="single" w:sz="6" w:space="0" w:color="auto"/>
              <w:bottom w:val="single" w:sz="4" w:space="0" w:color="auto"/>
              <w:right w:val="single" w:sz="6" w:space="0" w:color="auto"/>
            </w:tcBorders>
            <w:vAlign w:val="center"/>
            <w:hideMark/>
          </w:tcPr>
          <w:p w14:paraId="25F6814A"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EIS</w:t>
            </w:r>
          </w:p>
        </w:tc>
        <w:tc>
          <w:tcPr>
            <w:tcW w:w="0" w:type="auto"/>
            <w:tcBorders>
              <w:top w:val="single" w:sz="6" w:space="0" w:color="auto"/>
              <w:left w:val="single" w:sz="6" w:space="0" w:color="auto"/>
              <w:bottom w:val="single" w:sz="4" w:space="0" w:color="auto"/>
              <w:right w:val="single" w:sz="6" w:space="0" w:color="auto"/>
            </w:tcBorders>
            <w:vAlign w:val="center"/>
            <w:hideMark/>
          </w:tcPr>
          <w:p w14:paraId="7CCAA8EE"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5BFA362" w14:textId="77777777" w:rsidR="00B97365" w:rsidRDefault="00000000">
            <w:pPr>
              <w:overflowPunct w:val="0"/>
              <w:autoSpaceDE w:val="0"/>
              <w:autoSpaceDN w:val="0"/>
              <w:adjustRightInd w:val="0"/>
              <w:spacing w:after="180"/>
              <w:jc w:val="center"/>
              <w:rPr>
                <w:rFonts w:cs="Calibri"/>
                <w:sz w:val="16"/>
                <w:szCs w:val="16"/>
              </w:rPr>
            </w:pPr>
            <w:r>
              <w:rPr>
                <w:rFonts w:cs="Calibri"/>
                <w:sz w:val="16"/>
                <w:szCs w:val="16"/>
              </w:rPr>
              <w:t>C</w:t>
            </w:r>
          </w:p>
        </w:tc>
      </w:tr>
    </w:tbl>
    <w:p w14:paraId="1EFBD487"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AuditEIS Additional Output Data</w:t>
      </w:r>
    </w:p>
    <w:p w14:paraId="3E150972" w14:textId="77777777" w:rsidR="00B97365" w:rsidRDefault="00000000">
      <w:pPr>
        <w:spacing w:before="0" w:after="200" w:line="276" w:lineRule="auto"/>
        <w:jc w:val="left"/>
        <w:rPr>
          <w:b/>
          <w:i/>
          <w:szCs w:val="22"/>
          <w:lang w:val="en-US" w:eastAsia="en-GB" w:bidi="ar-SA"/>
        </w:rPr>
      </w:pPr>
      <w:bookmarkStart w:id="5340" w:name="_Toc420594857"/>
      <w:r>
        <w:rPr>
          <w:rFonts w:cs="Arial"/>
          <w:b/>
          <w:i/>
          <w:szCs w:val="22"/>
          <w:lang w:val="en-US" w:eastAsia="en-GB" w:bidi="ar-SA"/>
        </w:rPr>
        <w:t>Specific status codes</w:t>
      </w:r>
      <w:bookmarkEnd w:id="5340"/>
    </w:p>
    <w:tbl>
      <w:tblPr>
        <w:tblW w:w="95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94"/>
        <w:gridCol w:w="872"/>
        <w:gridCol w:w="1024"/>
        <w:gridCol w:w="1555"/>
        <w:gridCol w:w="5248"/>
      </w:tblGrid>
      <w:tr w:rsidR="00B97365" w14:paraId="336B8069" w14:textId="77777777">
        <w:trPr>
          <w:trHeight w:val="342"/>
          <w:jc w:val="center"/>
        </w:trPr>
        <w:tc>
          <w:tcPr>
            <w:tcW w:w="894"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818426A" w14:textId="77777777" w:rsidR="00B97365" w:rsidRDefault="00000000">
            <w:pPr>
              <w:jc w:val="center"/>
              <w:rPr>
                <w:rFonts w:cs="Calibri"/>
                <w:b/>
                <w:color w:val="FFFFFF"/>
                <w:sz w:val="16"/>
                <w:szCs w:val="16"/>
              </w:rPr>
            </w:pPr>
            <w:r>
              <w:rPr>
                <w:rFonts w:cs="Calibri"/>
                <w:b/>
                <w:color w:val="FFFFFF"/>
                <w:sz w:val="16"/>
                <w:szCs w:val="16"/>
              </w:rPr>
              <w:t>Subject</w:t>
            </w:r>
          </w:p>
          <w:p w14:paraId="65B8BAD7"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AE4BE3E" w14:textId="77777777" w:rsidR="00B97365" w:rsidRDefault="00000000">
            <w:pPr>
              <w:jc w:val="center"/>
              <w:rPr>
                <w:rFonts w:cs="Calibri"/>
                <w:b/>
                <w:color w:val="FFFFFF"/>
                <w:sz w:val="16"/>
                <w:szCs w:val="16"/>
              </w:rPr>
            </w:pPr>
            <w:r>
              <w:rPr>
                <w:rFonts w:cs="Calibri"/>
                <w:b/>
                <w:color w:val="FFFFFF"/>
                <w:sz w:val="16"/>
                <w:szCs w:val="16"/>
              </w:rPr>
              <w:t>Subject</w:t>
            </w:r>
          </w:p>
        </w:tc>
        <w:tc>
          <w:tcPr>
            <w:tcW w:w="102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4633F32" w14:textId="77777777" w:rsidR="00B97365" w:rsidRDefault="00000000">
            <w:pPr>
              <w:jc w:val="center"/>
              <w:rPr>
                <w:rFonts w:cs="Calibri"/>
                <w:b/>
                <w:color w:val="FFFFFF"/>
                <w:sz w:val="16"/>
                <w:szCs w:val="16"/>
              </w:rPr>
            </w:pPr>
            <w:r>
              <w:rPr>
                <w:rFonts w:cs="Calibri"/>
                <w:b/>
                <w:color w:val="FFFFFF"/>
                <w:sz w:val="16"/>
                <w:szCs w:val="16"/>
              </w:rPr>
              <w:t>Reason</w:t>
            </w:r>
          </w:p>
          <w:p w14:paraId="5E7C1F94"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AD4565E"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F0239AE"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40A2D00E"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tcPr>
          <w:p w14:paraId="3E29F876" w14:textId="77777777" w:rsidR="00B97365" w:rsidRDefault="00000000">
            <w:pPr>
              <w:jc w:val="center"/>
              <w:rPr>
                <w:rFonts w:cs="Calibri"/>
                <w:sz w:val="16"/>
                <w:szCs w:val="16"/>
              </w:rPr>
            </w:pPr>
            <w:r>
              <w:rPr>
                <w:rFonts w:cs="Calibri"/>
                <w:sz w:val="16"/>
                <w:szCs w:val="16"/>
              </w:rPr>
              <w:t>1.6</w:t>
            </w:r>
          </w:p>
        </w:tc>
        <w:tc>
          <w:tcPr>
            <w:tcW w:w="0" w:type="auto"/>
            <w:tcBorders>
              <w:top w:val="single" w:sz="6" w:space="0" w:color="auto"/>
              <w:left w:val="single" w:sz="6" w:space="0" w:color="auto"/>
              <w:bottom w:val="single" w:sz="6" w:space="0" w:color="auto"/>
              <w:right w:val="single" w:sz="6" w:space="0" w:color="auto"/>
            </w:tcBorders>
            <w:vAlign w:val="center"/>
          </w:tcPr>
          <w:p w14:paraId="6B2DA92C" w14:textId="77777777" w:rsidR="00B97365" w:rsidRDefault="00000000">
            <w:pPr>
              <w:rPr>
                <w:rFonts w:cs="Calibri"/>
                <w:sz w:val="16"/>
                <w:szCs w:val="16"/>
              </w:rPr>
            </w:pPr>
            <w:r>
              <w:rPr>
                <w:rFonts w:cs="Calibri"/>
                <w:sz w:val="16"/>
                <w:szCs w:val="16"/>
              </w:rPr>
              <w:t>Function</w:t>
            </w:r>
          </w:p>
        </w:tc>
        <w:tc>
          <w:tcPr>
            <w:tcW w:w="1024" w:type="dxa"/>
            <w:tcBorders>
              <w:top w:val="single" w:sz="6" w:space="0" w:color="auto"/>
              <w:left w:val="single" w:sz="6" w:space="0" w:color="auto"/>
              <w:bottom w:val="single" w:sz="6" w:space="0" w:color="auto"/>
              <w:right w:val="single" w:sz="6" w:space="0" w:color="auto"/>
            </w:tcBorders>
            <w:vAlign w:val="center"/>
          </w:tcPr>
          <w:p w14:paraId="51BFE2D0" w14:textId="77777777" w:rsidR="00B97365" w:rsidRDefault="00000000">
            <w:pPr>
              <w:jc w:val="center"/>
              <w:rPr>
                <w:rFonts w:cs="Calibri"/>
                <w:sz w:val="16"/>
                <w:szCs w:val="16"/>
              </w:rPr>
            </w:pPr>
            <w:r>
              <w:rPr>
                <w:rFonts w:cs="Calibri"/>
                <w:sz w:val="16"/>
                <w:szCs w:val="16"/>
              </w:rPr>
              <w:t>5.4</w:t>
            </w:r>
          </w:p>
        </w:tc>
        <w:tc>
          <w:tcPr>
            <w:tcW w:w="0" w:type="auto"/>
            <w:tcBorders>
              <w:top w:val="single" w:sz="6" w:space="0" w:color="auto"/>
              <w:left w:val="single" w:sz="6" w:space="0" w:color="auto"/>
              <w:bottom w:val="single" w:sz="6" w:space="0" w:color="auto"/>
              <w:right w:val="single" w:sz="6" w:space="0" w:color="auto"/>
            </w:tcBorders>
            <w:vAlign w:val="center"/>
          </w:tcPr>
          <w:p w14:paraId="496D19B5" w14:textId="77777777" w:rsidR="00B97365" w:rsidRDefault="00000000">
            <w:pPr>
              <w:rPr>
                <w:rFonts w:cs="Calibri"/>
                <w:sz w:val="16"/>
                <w:szCs w:val="16"/>
              </w:rPr>
            </w:pPr>
            <w:r>
              <w:rPr>
                <w:rFonts w:cs="Calibri"/>
                <w:sz w:val="16"/>
                <w:szCs w:val="16"/>
              </w:rPr>
              <w:t>Delivered With No Response</w:t>
            </w:r>
          </w:p>
        </w:tc>
        <w:tc>
          <w:tcPr>
            <w:tcW w:w="0" w:type="auto"/>
            <w:tcBorders>
              <w:top w:val="single" w:sz="6" w:space="0" w:color="auto"/>
              <w:left w:val="single" w:sz="6" w:space="0" w:color="auto"/>
              <w:bottom w:val="single" w:sz="6" w:space="0" w:color="auto"/>
              <w:right w:val="single" w:sz="4" w:space="0" w:color="auto"/>
            </w:tcBorders>
            <w:vAlign w:val="center"/>
          </w:tcPr>
          <w:p w14:paraId="79800DEA" w14:textId="77777777" w:rsidR="00B97365" w:rsidRDefault="00000000">
            <w:pPr>
              <w:rPr>
                <w:rFonts w:cs="Calibri"/>
                <w:sz w:val="16"/>
                <w:szCs w:val="16"/>
              </w:rPr>
            </w:pPr>
            <w:r>
              <w:rPr>
                <w:rFonts w:cs="Calibri"/>
                <w:sz w:val="16"/>
                <w:szCs w:val="16"/>
              </w:rPr>
              <w:t xml:space="preserve">The function execution request has been delivered to the remote entity but no response is received. </w:t>
            </w:r>
          </w:p>
        </w:tc>
      </w:tr>
      <w:tr w:rsidR="00B97365" w14:paraId="1ECB767A"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41148147"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4AB0529D" w14:textId="77777777" w:rsidR="00B97365" w:rsidRDefault="00000000">
            <w:pPr>
              <w:rPr>
                <w:rFonts w:cs="Calibri"/>
                <w:sz w:val="16"/>
                <w:szCs w:val="16"/>
              </w:rPr>
            </w:pPr>
            <w:r>
              <w:rPr>
                <w:rFonts w:cs="Calibri"/>
                <w:sz w:val="16"/>
                <w:szCs w:val="16"/>
              </w:rPr>
              <w:t>EID</w:t>
            </w:r>
          </w:p>
        </w:tc>
        <w:tc>
          <w:tcPr>
            <w:tcW w:w="1024" w:type="dxa"/>
            <w:tcBorders>
              <w:top w:val="single" w:sz="6" w:space="0" w:color="auto"/>
              <w:left w:val="single" w:sz="6" w:space="0" w:color="auto"/>
              <w:bottom w:val="single" w:sz="6" w:space="0" w:color="auto"/>
              <w:right w:val="single" w:sz="6" w:space="0" w:color="auto"/>
            </w:tcBorders>
            <w:vAlign w:val="center"/>
            <w:hideMark/>
          </w:tcPr>
          <w:p w14:paraId="695E385C" w14:textId="77777777" w:rsidR="00B97365" w:rsidRDefault="00000000">
            <w:pPr>
              <w:jc w:val="center"/>
              <w:rPr>
                <w:rFonts w:cs="Calibri"/>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5EA50DC4"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7D0E0B11" w14:textId="77777777" w:rsidR="00B97365" w:rsidRDefault="00000000">
            <w:pPr>
              <w:rPr>
                <w:rFonts w:cs="Calibri"/>
                <w:sz w:val="16"/>
                <w:szCs w:val="16"/>
              </w:rPr>
            </w:pPr>
            <w:r>
              <w:rPr>
                <w:rFonts w:cs="Calibri"/>
                <w:sz w:val="16"/>
                <w:szCs w:val="16"/>
              </w:rPr>
              <w:t>Indicates that the eUICC, identified by this EID, is unknown to the function provider</w:t>
            </w:r>
          </w:p>
        </w:tc>
      </w:tr>
      <w:tr w:rsidR="00B97365" w14:paraId="159913EC"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7E8CDDFD" w14:textId="77777777" w:rsidR="00B97365" w:rsidRDefault="00000000">
            <w:pPr>
              <w:jc w:val="center"/>
              <w:rPr>
                <w:rFonts w:cs="Calibri"/>
                <w:sz w:val="16"/>
                <w:szCs w:val="16"/>
              </w:rPr>
            </w:pPr>
            <w:r>
              <w:rPr>
                <w:rFonts w:cs="Calibri"/>
                <w:sz w:val="16"/>
                <w:szCs w:val="16"/>
              </w:rPr>
              <w:t>8.2</w:t>
            </w:r>
          </w:p>
        </w:tc>
        <w:tc>
          <w:tcPr>
            <w:tcW w:w="0" w:type="auto"/>
            <w:tcBorders>
              <w:top w:val="single" w:sz="6" w:space="0" w:color="auto"/>
              <w:left w:val="single" w:sz="6" w:space="0" w:color="auto"/>
              <w:bottom w:val="single" w:sz="6" w:space="0" w:color="auto"/>
              <w:right w:val="single" w:sz="6" w:space="0" w:color="auto"/>
            </w:tcBorders>
            <w:vAlign w:val="center"/>
            <w:hideMark/>
          </w:tcPr>
          <w:p w14:paraId="7D2D3189" w14:textId="77777777" w:rsidR="00B97365" w:rsidRDefault="00000000">
            <w:pPr>
              <w:rPr>
                <w:rFonts w:cs="Calibri"/>
                <w:sz w:val="16"/>
                <w:szCs w:val="16"/>
              </w:rPr>
            </w:pPr>
            <w:r>
              <w:rPr>
                <w:rFonts w:cs="Calibri"/>
                <w:sz w:val="16"/>
                <w:szCs w:val="16"/>
              </w:rPr>
              <w:t>Profile</w:t>
            </w:r>
          </w:p>
        </w:tc>
        <w:tc>
          <w:tcPr>
            <w:tcW w:w="1024" w:type="dxa"/>
            <w:tcBorders>
              <w:top w:val="single" w:sz="6" w:space="0" w:color="auto"/>
              <w:left w:val="single" w:sz="6" w:space="0" w:color="auto"/>
              <w:bottom w:val="single" w:sz="6" w:space="0" w:color="auto"/>
              <w:right w:val="single" w:sz="6" w:space="0" w:color="auto"/>
            </w:tcBorders>
            <w:vAlign w:val="center"/>
            <w:hideMark/>
          </w:tcPr>
          <w:p w14:paraId="49D25413" w14:textId="77777777" w:rsidR="00B97365" w:rsidRDefault="00000000">
            <w:pPr>
              <w:jc w:val="center"/>
              <w:rPr>
                <w:rFonts w:cs="Calibri"/>
                <w:sz w:val="16"/>
                <w:szCs w:val="16"/>
              </w:rPr>
            </w:pPr>
            <w:r>
              <w:rPr>
                <w:rFonts w:cs="Calibri"/>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24F027C2" w14:textId="77777777" w:rsidR="00B97365" w:rsidRDefault="00000000">
            <w:pPr>
              <w:rPr>
                <w:rFonts w:cs="Calibri"/>
                <w:sz w:val="16"/>
                <w:szCs w:val="16"/>
              </w:rPr>
            </w:pPr>
            <w:r>
              <w:rPr>
                <w:rFonts w:cs="Calibri"/>
                <w:sz w:val="16"/>
                <w:szCs w:val="16"/>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2C320290" w14:textId="77777777" w:rsidR="00B97365" w:rsidRDefault="00000000">
            <w:pPr>
              <w:rPr>
                <w:rFonts w:cs="Calibri"/>
                <w:sz w:val="16"/>
                <w:szCs w:val="16"/>
              </w:rPr>
            </w:pPr>
            <w:r>
              <w:rPr>
                <w:rFonts w:cs="Calibri"/>
                <w:sz w:val="16"/>
                <w:szCs w:val="16"/>
              </w:rPr>
              <w:t>One or more Profiles identified by ICCIDs in the list do not belong to function requester</w:t>
            </w:r>
          </w:p>
        </w:tc>
      </w:tr>
      <w:tr w:rsidR="00B97365" w14:paraId="58C7FA59"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tcPr>
          <w:p w14:paraId="2C9E14C2"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tcPr>
          <w:p w14:paraId="478F3004" w14:textId="77777777" w:rsidR="00B97365" w:rsidRDefault="00000000">
            <w:pPr>
              <w:rPr>
                <w:rFonts w:cs="Calibri"/>
                <w:sz w:val="16"/>
                <w:szCs w:val="16"/>
              </w:rPr>
            </w:pPr>
            <w:r>
              <w:rPr>
                <w:rFonts w:cs="Calibri"/>
                <w:sz w:val="16"/>
                <w:szCs w:val="16"/>
                <w:lang w:val="en-US"/>
              </w:rPr>
              <w:t>Profile ICCID</w:t>
            </w:r>
          </w:p>
        </w:tc>
        <w:tc>
          <w:tcPr>
            <w:tcW w:w="1024" w:type="dxa"/>
            <w:tcBorders>
              <w:top w:val="single" w:sz="6" w:space="0" w:color="auto"/>
              <w:left w:val="single" w:sz="6" w:space="0" w:color="auto"/>
              <w:bottom w:val="single" w:sz="6" w:space="0" w:color="auto"/>
              <w:right w:val="single" w:sz="6" w:space="0" w:color="auto"/>
            </w:tcBorders>
            <w:vAlign w:val="center"/>
          </w:tcPr>
          <w:p w14:paraId="5B31E59D" w14:textId="77777777" w:rsidR="00B97365" w:rsidRDefault="00000000">
            <w:pPr>
              <w:jc w:val="center"/>
              <w:rPr>
                <w:rFonts w:cs="Calibri"/>
                <w:sz w:val="16"/>
                <w:szCs w:val="16"/>
              </w:rPr>
            </w:pPr>
            <w:r>
              <w:rPr>
                <w:rFonts w:cs="Calibri"/>
                <w:sz w:val="16"/>
                <w:szCs w:val="16"/>
                <w:lang w:val="en-US"/>
              </w:rPr>
              <w:t>3.4</w:t>
            </w:r>
          </w:p>
        </w:tc>
        <w:tc>
          <w:tcPr>
            <w:tcW w:w="0" w:type="auto"/>
            <w:tcBorders>
              <w:top w:val="single" w:sz="6" w:space="0" w:color="auto"/>
              <w:left w:val="single" w:sz="6" w:space="0" w:color="auto"/>
              <w:bottom w:val="single" w:sz="6" w:space="0" w:color="auto"/>
              <w:right w:val="single" w:sz="6" w:space="0" w:color="auto"/>
            </w:tcBorders>
            <w:vAlign w:val="center"/>
          </w:tcPr>
          <w:p w14:paraId="2442A1E9" w14:textId="77777777" w:rsidR="00B97365" w:rsidRDefault="00000000">
            <w:pPr>
              <w:rPr>
                <w:rFonts w:cs="Calibri"/>
                <w:sz w:val="16"/>
                <w:szCs w:val="16"/>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tcPr>
          <w:p w14:paraId="2B4A345F" w14:textId="77777777" w:rsidR="00B97365" w:rsidRDefault="00000000">
            <w:pPr>
              <w:rPr>
                <w:rFonts w:cs="Calibri"/>
                <w:sz w:val="16"/>
                <w:szCs w:val="16"/>
              </w:rPr>
            </w:pPr>
            <w:r>
              <w:rPr>
                <w:rFonts w:cs="Calibri"/>
                <w:sz w:val="16"/>
                <w:szCs w:val="16"/>
                <w:lang w:val="en-US"/>
              </w:rPr>
              <w:t>Indicates that the Profile identified by one of the ICCIDs in the list is known to the function provider but installed on another eUICC than the one identified by the function caller.</w:t>
            </w:r>
          </w:p>
        </w:tc>
      </w:tr>
      <w:tr w:rsidR="00B97365" w14:paraId="1B859B30"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tcPr>
          <w:p w14:paraId="0ADC205F"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39D28F8A" w14:textId="77777777" w:rsidR="00B97365" w:rsidRDefault="00000000">
            <w:pPr>
              <w:rPr>
                <w:rFonts w:cs="Calibri"/>
                <w:sz w:val="16"/>
                <w:szCs w:val="16"/>
                <w:lang w:val="en-US"/>
              </w:rPr>
            </w:pPr>
            <w:r>
              <w:rPr>
                <w:rFonts w:cs="Calibri"/>
                <w:sz w:val="16"/>
                <w:szCs w:val="16"/>
                <w:lang w:val="en-US"/>
              </w:rPr>
              <w:t>PLMA</w:t>
            </w:r>
          </w:p>
        </w:tc>
        <w:tc>
          <w:tcPr>
            <w:tcW w:w="1024" w:type="dxa"/>
            <w:tcBorders>
              <w:top w:val="single" w:sz="6" w:space="0" w:color="auto"/>
              <w:left w:val="single" w:sz="6" w:space="0" w:color="auto"/>
              <w:bottom w:val="single" w:sz="6" w:space="0" w:color="auto"/>
              <w:right w:val="single" w:sz="6" w:space="0" w:color="auto"/>
            </w:tcBorders>
            <w:vAlign w:val="center"/>
          </w:tcPr>
          <w:p w14:paraId="5DD96F5B"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tcPr>
          <w:p w14:paraId="7991E82C" w14:textId="77777777" w:rsidR="00B97365" w:rsidRDefault="00000000">
            <w:pPr>
              <w:rPr>
                <w:rFonts w:cs="Calibri"/>
                <w:sz w:val="16"/>
                <w:szCs w:val="16"/>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tcPr>
          <w:p w14:paraId="6D84D253" w14:textId="77777777" w:rsidR="00B97365" w:rsidRDefault="00000000">
            <w:pPr>
              <w:rPr>
                <w:rFonts w:cs="Calibri"/>
                <w:sz w:val="16"/>
                <w:szCs w:val="16"/>
                <w:lang w:val="en-US"/>
              </w:rPr>
            </w:pPr>
            <w:r>
              <w:rPr>
                <w:rFonts w:cs="Calibri"/>
                <w:sz w:val="16"/>
                <w:szCs w:val="16"/>
                <w:lang w:val="en-US"/>
              </w:rPr>
              <w:t>No PLMA allows the M2M SP to execute this operation.</w:t>
            </w:r>
          </w:p>
        </w:tc>
      </w:tr>
      <w:tr w:rsidR="00B97365" w14:paraId="25D9CE31"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6F9F3C9A" w14:textId="77777777" w:rsidR="00B97365" w:rsidRDefault="00000000">
            <w:pPr>
              <w:tabs>
                <w:tab w:val="right" w:pos="7938"/>
              </w:tabs>
              <w:ind w:left="470" w:hanging="459"/>
              <w:jc w:val="center"/>
              <w:rPr>
                <w:rFonts w:cs="Calibri"/>
                <w:sz w:val="16"/>
                <w:szCs w:val="16"/>
              </w:rPr>
            </w:pPr>
            <w:r>
              <w:rPr>
                <w:rFonts w:cs="Calibri"/>
                <w:sz w:val="16"/>
                <w:szCs w:val="16"/>
              </w:rPr>
              <w:t>8.6</w:t>
            </w:r>
          </w:p>
        </w:tc>
        <w:tc>
          <w:tcPr>
            <w:tcW w:w="0" w:type="auto"/>
            <w:tcBorders>
              <w:top w:val="single" w:sz="6" w:space="0" w:color="auto"/>
              <w:left w:val="single" w:sz="6" w:space="0" w:color="auto"/>
              <w:bottom w:val="single" w:sz="6" w:space="0" w:color="auto"/>
              <w:right w:val="single" w:sz="6" w:space="0" w:color="auto"/>
            </w:tcBorders>
            <w:vAlign w:val="center"/>
            <w:hideMark/>
          </w:tcPr>
          <w:p w14:paraId="4AE4DAAD" w14:textId="77777777" w:rsidR="00B97365" w:rsidRDefault="00000000">
            <w:pPr>
              <w:tabs>
                <w:tab w:val="right" w:pos="7938"/>
              </w:tabs>
              <w:ind w:left="470" w:hanging="459"/>
              <w:rPr>
                <w:rFonts w:cs="Calibri"/>
                <w:sz w:val="16"/>
                <w:szCs w:val="16"/>
              </w:rPr>
            </w:pPr>
            <w:r>
              <w:rPr>
                <w:rFonts w:cs="Calibri"/>
                <w:sz w:val="16"/>
                <w:szCs w:val="16"/>
              </w:rPr>
              <w:t>EIS</w:t>
            </w:r>
          </w:p>
        </w:tc>
        <w:tc>
          <w:tcPr>
            <w:tcW w:w="1024" w:type="dxa"/>
            <w:tcBorders>
              <w:top w:val="single" w:sz="6" w:space="0" w:color="auto"/>
              <w:left w:val="single" w:sz="6" w:space="0" w:color="auto"/>
              <w:bottom w:val="single" w:sz="6" w:space="0" w:color="auto"/>
              <w:right w:val="single" w:sz="6" w:space="0" w:color="auto"/>
            </w:tcBorders>
            <w:vAlign w:val="center"/>
            <w:hideMark/>
          </w:tcPr>
          <w:p w14:paraId="48A60D11" w14:textId="77777777" w:rsidR="00B97365" w:rsidRDefault="00000000">
            <w:pPr>
              <w:jc w:val="center"/>
              <w:rPr>
                <w:rFonts w:cs="Calibri"/>
                <w:sz w:val="16"/>
                <w:szCs w:val="16"/>
              </w:rPr>
            </w:pPr>
            <w:r>
              <w:rPr>
                <w:rFonts w:cs="Calibri"/>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2550266F" w14:textId="77777777" w:rsidR="00B97365" w:rsidRDefault="00000000">
            <w:pPr>
              <w:rPr>
                <w:rFonts w:cs="Calibri"/>
                <w:sz w:val="16"/>
                <w:szCs w:val="16"/>
              </w:rPr>
            </w:pPr>
            <w:r>
              <w:rPr>
                <w:rFonts w:cs="Calibri"/>
                <w:sz w:val="16"/>
                <w:szCs w:val="16"/>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0EDF4153" w14:textId="77777777" w:rsidR="00B97365" w:rsidRDefault="00000000">
            <w:pPr>
              <w:rPr>
                <w:rFonts w:cs="Calibri"/>
                <w:sz w:val="16"/>
                <w:szCs w:val="16"/>
              </w:rPr>
            </w:pPr>
            <w:r>
              <w:rPr>
                <w:rFonts w:cs="Calibri"/>
                <w:sz w:val="16"/>
                <w:szCs w:val="16"/>
              </w:rPr>
              <w:t>Function requester is not allowed to manage this EIS, identified by this EID.</w:t>
            </w:r>
          </w:p>
        </w:tc>
      </w:tr>
    </w:tbl>
    <w:bookmarkEnd w:id="5323"/>
    <w:p w14:paraId="2FC7FAC1"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AuditEIS Additional Specific Status Codes</w:t>
      </w:r>
    </w:p>
    <w:p w14:paraId="25EB867F" w14:textId="77777777" w:rsidR="00B97365" w:rsidRDefault="00B97365">
      <w:pPr>
        <w:rPr>
          <w:rFonts w:cs="Calibri"/>
        </w:rPr>
      </w:pPr>
    </w:p>
    <w:p w14:paraId="57937B72"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341" w:name="_Toc448998288"/>
      <w:bookmarkStart w:id="5342" w:name="_Toc422150784"/>
      <w:bookmarkStart w:id="5343" w:name="_Toc421874369"/>
      <w:bookmarkStart w:id="5344" w:name="_Toc420594858"/>
      <w:bookmarkStart w:id="5345" w:name="_Toc398214910"/>
      <w:bookmarkStart w:id="5346" w:name="_Toc375158326"/>
      <w:bookmarkStart w:id="5347" w:name="_Toc368932335"/>
      <w:bookmarkStart w:id="5348" w:name="_Ref367978926"/>
      <w:bookmarkStart w:id="5349" w:name="_Ref367978918"/>
      <w:bookmarkStart w:id="5350" w:name="_Ref367973553"/>
      <w:bookmarkStart w:id="5351" w:name="_Ref367970625"/>
      <w:bookmarkStart w:id="5352" w:name="_Toc352671595"/>
      <w:bookmarkStart w:id="5353" w:name="_Toc486332906"/>
      <w:bookmarkStart w:id="5354" w:name="_Toc1977411"/>
      <w:bookmarkStart w:id="5355" w:name="_Toc37062570"/>
      <w:bookmarkStart w:id="5356" w:name="_Toc88839644"/>
      <w:bookmarkStart w:id="5357" w:name="_Toc121504052"/>
      <w:r>
        <w:rPr>
          <w:rFonts w:eastAsia="Times New Roman" w:cs="Arial"/>
          <w:b/>
          <w:sz w:val="24"/>
          <w:szCs w:val="26"/>
          <w:lang w:eastAsia="en-US"/>
        </w:rPr>
        <w:t>Profile Enabling</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p>
    <w:p w14:paraId="4FF39EE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EnableProfile</w:t>
      </w:r>
    </w:p>
    <w:p w14:paraId="5024D41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Enabling</w:t>
      </w:r>
    </w:p>
    <w:p w14:paraId="2FEA83E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52D3ECB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272C3B1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Operator to request a Profile Enabling to the SM-SR in charge of the management of the targeted eUICC; eUICC being identified by its EID.</w:t>
      </w:r>
    </w:p>
    <w:p w14:paraId="66E38D5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On reception of the function request, the SM-SR SHALL perform the following minimum set of verifications:</w:t>
      </w:r>
    </w:p>
    <w:p w14:paraId="42B20DFC"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SM-SR is responsible for the management of the targeted eUICC.</w:t>
      </w:r>
    </w:p>
    <w:p w14:paraId="43CF4C0C"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Profile identified by its ICCID is loaded on the targeted eUICC.</w:t>
      </w:r>
    </w:p>
    <w:p w14:paraId="02A5377D"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target Profile is owned by the requesting Operator or an Operator that had granted a PLMA that authorises the requesting M2M SP to perform the operation “</w:t>
      </w:r>
      <w:r>
        <w:rPr>
          <w:rFonts w:cs="Calibri"/>
          <w:szCs w:val="22"/>
          <w:lang w:eastAsia="en-GB" w:bidi="ar-SA"/>
        </w:rPr>
        <w:t>EnableProfile</w:t>
      </w:r>
      <w:r>
        <w:rPr>
          <w:szCs w:val="22"/>
          <w:lang w:eastAsia="en-GB" w:bidi="ar-SA"/>
        </w:rPr>
        <w:t xml:space="preserve">” on a Profile that matches the criteria of the PLMA (see section 5.7.1.1 for the detail of the matching of the criteria). </w:t>
      </w:r>
    </w:p>
    <w:p w14:paraId="174E62B2"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lastRenderedPageBreak/>
        <w:t>The target Profile is in Disabled state</w:t>
      </w:r>
    </w:p>
    <w:p w14:paraId="352D078E"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POL2 of the target Profile and the POL2 of the currently Enabled Profile allow the enabling.</w:t>
      </w:r>
    </w:p>
    <w:p w14:paraId="1B87A89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MAY provide additional verifications.</w:t>
      </w:r>
    </w:p>
    <w:p w14:paraId="3E5C09D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case one of these conditions is not satisfied, the SM-SR SHALL refuse the function request and return a ‘Function execution status’ indicating ‘Failed’ with the relevant status code (see table below).</w:t>
      </w:r>
    </w:p>
    <w:p w14:paraId="6BF34F08" w14:textId="25617313"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“Profile Enabling” procedure described in the section </w:t>
      </w:r>
      <w:r>
        <w:fldChar w:fldCharType="begin"/>
      </w:r>
      <w:r>
        <w:instrText xml:space="preserve"> REF _Ref367975150 \r \h  \* MERGEFORMAT </w:instrText>
      </w:r>
      <w:r>
        <w:fldChar w:fldCharType="separate"/>
      </w:r>
      <w:r w:rsidR="001D5AD9" w:rsidRPr="001D5AD9">
        <w:rPr>
          <w:szCs w:val="22"/>
          <w:lang w:val="en-US" w:eastAsia="en-GB" w:bidi="ar-SA"/>
        </w:rPr>
        <w:t>3.2</w:t>
      </w:r>
      <w:r>
        <w:fldChar w:fldCharType="end"/>
      </w:r>
      <w:r>
        <w:rPr>
          <w:szCs w:val="22"/>
          <w:lang w:val="en-US" w:eastAsia="en-GB" w:bidi="ar-SA"/>
        </w:rPr>
        <w:t xml:space="preserve"> of this specification.</w:t>
      </w:r>
    </w:p>
    <w:p w14:paraId="702BC763" w14:textId="77777777" w:rsidR="00B97365" w:rsidRDefault="00000000">
      <w:pPr>
        <w:rPr>
          <w:rFonts w:asciiTheme="minorHAnsi" w:hAnsiTheme="minorHAnsi" w:cstheme="minorHAnsi"/>
        </w:rPr>
      </w:pPr>
      <w:r>
        <w:rPr>
          <w:rFonts w:asciiTheme="minorHAnsi" w:hAnsiTheme="minorHAnsi" w:cstheme="minorHAnsi"/>
        </w:rPr>
        <w:t>This function may return:</w:t>
      </w:r>
    </w:p>
    <w:p w14:paraId="5A8D06F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Profile has been enabled on the eUICC. </w:t>
      </w:r>
    </w:p>
    <w:p w14:paraId="6F502DA1" w14:textId="5C8B0181"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_Ref367975160 \r \h  \* MERGEFORMAT </w:instrText>
      </w:r>
      <w:r>
        <w:fldChar w:fldCharType="separate"/>
      </w:r>
      <w:r w:rsidR="001D5AD9" w:rsidRPr="001D5AD9">
        <w:rPr>
          <w:szCs w:val="22"/>
          <w:lang w:eastAsia="en-GB" w:bidi="ar-SA"/>
        </w:rPr>
        <w:t>5.1.6.4</w:t>
      </w:r>
      <w:r>
        <w:fldChar w:fldCharType="end"/>
      </w:r>
    </w:p>
    <w:p w14:paraId="71F370C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t>
      </w:r>
    </w:p>
    <w:p w14:paraId="233A3C5D"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with a status code indicating a Unknown eUICC</w:t>
      </w:r>
    </w:p>
    <w:p w14:paraId="0C2A8CF0"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with a status code indicating a Unknown ICCID</w:t>
      </w:r>
    </w:p>
    <w:p w14:paraId="576D7BCC" w14:textId="4761A979"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With a status code as defined in section </w:t>
      </w:r>
      <w:r>
        <w:fldChar w:fldCharType="begin"/>
      </w:r>
      <w:r>
        <w:instrText xml:space="preserve"> REF _Ref367975168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1E332C2F" w14:textId="77777777" w:rsidR="00B97365" w:rsidRDefault="00B97365">
      <w:pPr>
        <w:tabs>
          <w:tab w:val="left" w:pos="680"/>
        </w:tabs>
        <w:spacing w:before="0" w:after="200" w:line="276" w:lineRule="auto"/>
        <w:contextualSpacing/>
        <w:jc w:val="left"/>
        <w:rPr>
          <w:rFonts w:cs="Arial"/>
          <w:szCs w:val="22"/>
          <w:lang w:eastAsia="en-GB" w:bidi="ar-SA"/>
        </w:rPr>
      </w:pPr>
    </w:p>
    <w:p w14:paraId="2C32D035" w14:textId="77777777" w:rsidR="00B97365" w:rsidRDefault="00000000">
      <w:pPr>
        <w:spacing w:before="0" w:after="200" w:line="276" w:lineRule="auto"/>
        <w:jc w:val="left"/>
        <w:rPr>
          <w:b/>
          <w:i/>
          <w:szCs w:val="22"/>
          <w:lang w:val="en-US" w:eastAsia="en-GB" w:bidi="ar-SA"/>
        </w:rPr>
      </w:pPr>
      <w:bookmarkStart w:id="5358" w:name="_Toc420594859"/>
      <w:r>
        <w:rPr>
          <w:rFonts w:cs="Arial"/>
          <w:b/>
          <w:i/>
          <w:szCs w:val="22"/>
          <w:lang w:val="en-US" w:eastAsia="en-GB" w:bidi="ar-SA"/>
        </w:rPr>
        <w:t>Additional input data:</w:t>
      </w:r>
      <w:bookmarkEnd w:id="535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2951"/>
        <w:gridCol w:w="576"/>
        <w:gridCol w:w="398"/>
        <w:gridCol w:w="514"/>
      </w:tblGrid>
      <w:tr w:rsidR="00B97365" w14:paraId="5C51066A"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46A3F85"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B13A8FB"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C4692F3"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A807886"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D9C9D72"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1212AF5D"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B6FEED8"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02AA240" w14:textId="77777777" w:rsidR="00B97365" w:rsidRDefault="00000000">
            <w:pPr>
              <w:rPr>
                <w:rFonts w:cs="Calibri"/>
                <w:sz w:val="16"/>
                <w:szCs w:val="16"/>
              </w:rPr>
            </w:pPr>
            <w:r>
              <w:rPr>
                <w:rFonts w:cs="Calibri"/>
                <w:sz w:val="16"/>
                <w:szCs w:val="16"/>
              </w:rPr>
              <w:t>Identification of the targeted eUICC.</w:t>
            </w:r>
          </w:p>
          <w:p w14:paraId="7E9F1330" w14:textId="4AA88936"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_Ref367975177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7B02382"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B4EF8E1"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FAEDAF5" w14:textId="77777777" w:rsidR="00B97365" w:rsidRDefault="00000000">
            <w:pPr>
              <w:jc w:val="center"/>
              <w:rPr>
                <w:rFonts w:cs="Calibri"/>
                <w:sz w:val="16"/>
                <w:szCs w:val="16"/>
              </w:rPr>
            </w:pPr>
            <w:r>
              <w:rPr>
                <w:rFonts w:cs="Calibri"/>
                <w:sz w:val="16"/>
                <w:szCs w:val="16"/>
              </w:rPr>
              <w:t>M</w:t>
            </w:r>
          </w:p>
        </w:tc>
      </w:tr>
      <w:tr w:rsidR="00B97365" w14:paraId="719C58B0"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1DE4BC3" w14:textId="77777777" w:rsidR="00B97365" w:rsidRDefault="00000000">
            <w:pP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780D74E4" w14:textId="77777777" w:rsidR="00B97365" w:rsidRDefault="00000000">
            <w:pPr>
              <w:rPr>
                <w:rFonts w:cs="Calibri"/>
                <w:sz w:val="16"/>
                <w:szCs w:val="16"/>
              </w:rPr>
            </w:pPr>
            <w:r>
              <w:rPr>
                <w:rFonts w:cs="Calibri"/>
                <w:sz w:val="16"/>
                <w:szCs w:val="16"/>
              </w:rPr>
              <w:t>Identification of the Profile to enable.</w:t>
            </w:r>
          </w:p>
          <w:p w14:paraId="374A552D" w14:textId="52D85711"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_Ref367975182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9B26D0D"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0D0E4D10"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78AF2145" w14:textId="77777777" w:rsidR="00B97365" w:rsidRDefault="00000000">
            <w:pPr>
              <w:jc w:val="center"/>
              <w:rPr>
                <w:rFonts w:cs="Calibri"/>
                <w:sz w:val="16"/>
                <w:szCs w:val="16"/>
              </w:rPr>
            </w:pPr>
            <w:r>
              <w:rPr>
                <w:rFonts w:cs="Calibri"/>
                <w:sz w:val="16"/>
                <w:szCs w:val="16"/>
              </w:rPr>
              <w:t>M</w:t>
            </w:r>
          </w:p>
        </w:tc>
      </w:tr>
    </w:tbl>
    <w:p w14:paraId="16034543"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Enable Profile Additional Input Data</w:t>
      </w:r>
    </w:p>
    <w:p w14:paraId="1684CF6B" w14:textId="77777777" w:rsidR="00B97365" w:rsidRDefault="00000000">
      <w:pPr>
        <w:spacing w:before="0" w:after="200" w:line="276" w:lineRule="auto"/>
        <w:jc w:val="left"/>
        <w:rPr>
          <w:b/>
          <w:i/>
          <w:szCs w:val="22"/>
          <w:lang w:val="en-US" w:eastAsia="en-GB" w:bidi="ar-SA"/>
        </w:rPr>
      </w:pPr>
      <w:bookmarkStart w:id="5359" w:name="_Toc420594860"/>
      <w:r>
        <w:rPr>
          <w:rFonts w:cs="Arial"/>
          <w:b/>
          <w:i/>
          <w:szCs w:val="22"/>
          <w:lang w:val="en-US" w:eastAsia="en-GB" w:bidi="ar-SA"/>
        </w:rPr>
        <w:t>Additional output data:</w:t>
      </w:r>
      <w:bookmarkEnd w:id="535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583"/>
        <w:gridCol w:w="5784"/>
        <w:gridCol w:w="715"/>
        <w:gridCol w:w="409"/>
        <w:gridCol w:w="525"/>
      </w:tblGrid>
      <w:tr w:rsidR="00B97365" w14:paraId="041F53FF"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015F891"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5ED8B18"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4FE0F4E"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19E06EB"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67C2836"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41CDEDA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0E61B57" w14:textId="77777777" w:rsidR="00B97365" w:rsidRDefault="00000000">
            <w:pPr>
              <w:tabs>
                <w:tab w:val="right" w:pos="7938"/>
              </w:tabs>
              <w:ind w:left="470" w:hanging="459"/>
              <w:rPr>
                <w:rFonts w:cs="Calibri"/>
                <w:sz w:val="16"/>
                <w:szCs w:val="16"/>
              </w:rPr>
            </w:pPr>
            <w:r>
              <w:rPr>
                <w:rFonts w:cs="Calibri"/>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56B3B58E" w14:textId="77777777" w:rsidR="00B97365" w:rsidRDefault="00000000">
            <w:pPr>
              <w:spacing w:after="60"/>
              <w:rPr>
                <w:rFonts w:cs="Calibri"/>
                <w:b/>
                <w:noProof/>
                <w:sz w:val="16"/>
                <w:szCs w:val="16"/>
              </w:rPr>
            </w:pPr>
            <w:r>
              <w:rPr>
                <w:rFonts w:cs="Calibri"/>
                <w:sz w:val="16"/>
                <w:szCs w:val="16"/>
              </w:rPr>
              <w:t xml:space="preserve">Contains the detailed error returned by the eUICC in case the function execution failed on eUICC. The response data is defined in ES5 depending of the requested function. </w:t>
            </w:r>
          </w:p>
        </w:tc>
        <w:tc>
          <w:tcPr>
            <w:tcW w:w="0" w:type="auto"/>
            <w:tcBorders>
              <w:top w:val="single" w:sz="6" w:space="0" w:color="auto"/>
              <w:left w:val="single" w:sz="6" w:space="0" w:color="auto"/>
              <w:bottom w:val="single" w:sz="4" w:space="0" w:color="auto"/>
              <w:right w:val="single" w:sz="6" w:space="0" w:color="auto"/>
            </w:tcBorders>
            <w:vAlign w:val="center"/>
            <w:hideMark/>
          </w:tcPr>
          <w:p w14:paraId="4748DBC2" w14:textId="77777777" w:rsidR="00B97365" w:rsidRDefault="00000000">
            <w:pPr>
              <w:tabs>
                <w:tab w:val="right" w:pos="7938"/>
              </w:tabs>
              <w:spacing w:after="60"/>
              <w:jc w:val="center"/>
              <w:rPr>
                <w:rFonts w:eastAsia="Times New Roman" w:cs="Calibri"/>
                <w:sz w:val="16"/>
                <w:szCs w:val="16"/>
                <w:lang w:val="en-US"/>
              </w:rPr>
            </w:pPr>
            <w:r>
              <w:rPr>
                <w:rFonts w:cs="Calibri"/>
                <w:sz w:val="16"/>
                <w:szCs w:val="16"/>
                <w:lang w:val="en-US"/>
              </w:rPr>
              <w:t>Hex binary</w:t>
            </w:r>
          </w:p>
        </w:tc>
        <w:tc>
          <w:tcPr>
            <w:tcW w:w="0" w:type="auto"/>
            <w:tcBorders>
              <w:top w:val="single" w:sz="6" w:space="0" w:color="auto"/>
              <w:left w:val="single" w:sz="6" w:space="0" w:color="auto"/>
              <w:bottom w:val="single" w:sz="4" w:space="0" w:color="auto"/>
              <w:right w:val="single" w:sz="6" w:space="0" w:color="auto"/>
            </w:tcBorders>
            <w:vAlign w:val="center"/>
            <w:hideMark/>
          </w:tcPr>
          <w:p w14:paraId="51236CC7"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5710FD30" w14:textId="77777777" w:rsidR="00B97365" w:rsidRDefault="00000000">
            <w:pPr>
              <w:spacing w:after="60"/>
              <w:jc w:val="center"/>
              <w:rPr>
                <w:rFonts w:cs="Calibri"/>
                <w:sz w:val="16"/>
                <w:szCs w:val="16"/>
                <w:lang w:val="en-US"/>
              </w:rPr>
            </w:pPr>
            <w:r>
              <w:rPr>
                <w:rFonts w:cs="Calibri"/>
                <w:sz w:val="16"/>
                <w:szCs w:val="16"/>
                <w:lang w:val="en-US"/>
              </w:rPr>
              <w:t>O</w:t>
            </w:r>
          </w:p>
        </w:tc>
      </w:tr>
    </w:tbl>
    <w:p w14:paraId="142424D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Enable Profile Additional Output Data</w:t>
      </w:r>
    </w:p>
    <w:p w14:paraId="49A65D3E" w14:textId="77777777" w:rsidR="00B97365" w:rsidRDefault="00B97365">
      <w:pPr>
        <w:spacing w:before="0" w:after="200" w:line="276" w:lineRule="auto"/>
        <w:jc w:val="left"/>
        <w:rPr>
          <w:rFonts w:cs="Arial"/>
          <w:b/>
          <w:i/>
          <w:szCs w:val="22"/>
          <w:lang w:val="en-US" w:eastAsia="en-GB" w:bidi="ar-SA"/>
        </w:rPr>
      </w:pPr>
    </w:p>
    <w:p w14:paraId="0E53E726" w14:textId="77777777" w:rsidR="00B97365" w:rsidRDefault="00000000">
      <w:pPr>
        <w:spacing w:before="0" w:after="200" w:line="276" w:lineRule="auto"/>
        <w:jc w:val="left"/>
        <w:rPr>
          <w:b/>
          <w:i/>
          <w:szCs w:val="22"/>
          <w:lang w:val="en-US" w:eastAsia="en-GB" w:bidi="ar-SA"/>
        </w:rPr>
      </w:pPr>
      <w:bookmarkStart w:id="5360" w:name="_Toc420594861"/>
      <w:r>
        <w:rPr>
          <w:rFonts w:cs="Arial"/>
          <w:b/>
          <w:i/>
          <w:szCs w:val="22"/>
          <w:lang w:val="en-US" w:eastAsia="en-GB" w:bidi="ar-SA"/>
        </w:rPr>
        <w:t>Specific status codes</w:t>
      </w:r>
      <w:bookmarkEnd w:id="536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857"/>
        <w:gridCol w:w="718"/>
        <w:gridCol w:w="1494"/>
        <w:gridCol w:w="5229"/>
      </w:tblGrid>
      <w:tr w:rsidR="00B97365" w14:paraId="26C27AFE"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3D74531" w14:textId="77777777" w:rsidR="00B97365" w:rsidRDefault="00000000">
            <w:pPr>
              <w:jc w:val="center"/>
              <w:rPr>
                <w:rFonts w:cs="Calibri"/>
                <w:b/>
                <w:color w:val="FFFFFF"/>
                <w:sz w:val="16"/>
                <w:szCs w:val="16"/>
              </w:rPr>
            </w:pPr>
            <w:r>
              <w:rPr>
                <w:rFonts w:cs="Calibri"/>
                <w:b/>
                <w:color w:val="FFFFFF"/>
                <w:sz w:val="16"/>
                <w:szCs w:val="16"/>
              </w:rPr>
              <w:t>Subject</w:t>
            </w:r>
          </w:p>
          <w:p w14:paraId="34863EF8"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D2A8597"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353AF00" w14:textId="77777777" w:rsidR="00B97365" w:rsidRDefault="00000000">
            <w:pPr>
              <w:jc w:val="center"/>
              <w:rPr>
                <w:rFonts w:cs="Calibri"/>
                <w:b/>
                <w:color w:val="FFFFFF"/>
                <w:sz w:val="16"/>
                <w:szCs w:val="16"/>
              </w:rPr>
            </w:pPr>
            <w:r>
              <w:rPr>
                <w:rFonts w:cs="Calibri"/>
                <w:b/>
                <w:color w:val="FFFFFF"/>
                <w:sz w:val="16"/>
                <w:szCs w:val="16"/>
              </w:rPr>
              <w:t>Reason</w:t>
            </w:r>
          </w:p>
          <w:p w14:paraId="3C6D4EDE"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8777983"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A7D5F6C"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5208E2D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DF52410"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10753FB9" w14:textId="77777777" w:rsidR="00B97365" w:rsidRDefault="00000000">
            <w:pPr>
              <w:rPr>
                <w:rFonts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D1A61BD"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78247F13"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2B2C0001" w14:textId="77777777" w:rsidR="00B97365" w:rsidRDefault="00000000">
            <w:pPr>
              <w:rPr>
                <w:rFonts w:cs="Calibri"/>
                <w:sz w:val="16"/>
                <w:szCs w:val="16"/>
                <w:lang w:val="en-US"/>
              </w:rPr>
            </w:pPr>
            <w:r>
              <w:rPr>
                <w:rFonts w:cs="Calibri"/>
                <w:sz w:val="16"/>
                <w:szCs w:val="16"/>
              </w:rPr>
              <w:t>Indicates that the eUICC, identified by this EID, is unknown to the function provider.</w:t>
            </w:r>
          </w:p>
        </w:tc>
      </w:tr>
      <w:tr w:rsidR="00B97365" w14:paraId="121C10C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9F2CF42" w14:textId="77777777" w:rsidR="00B97365" w:rsidRDefault="00000000">
            <w:pPr>
              <w:jc w:val="center"/>
              <w:rPr>
                <w:rFonts w:cs="Calibri"/>
                <w:sz w:val="16"/>
                <w:szCs w:val="16"/>
              </w:rPr>
            </w:pPr>
            <w:r>
              <w:rPr>
                <w:rFonts w:cs="Calibri"/>
                <w:sz w:val="16"/>
                <w:szCs w:val="16"/>
              </w:rPr>
              <w:lastRenderedPageBreak/>
              <w:t>8.2</w:t>
            </w:r>
          </w:p>
        </w:tc>
        <w:tc>
          <w:tcPr>
            <w:tcW w:w="0" w:type="auto"/>
            <w:tcBorders>
              <w:top w:val="single" w:sz="6" w:space="0" w:color="auto"/>
              <w:left w:val="single" w:sz="6" w:space="0" w:color="auto"/>
              <w:bottom w:val="single" w:sz="6" w:space="0" w:color="auto"/>
              <w:right w:val="single" w:sz="6" w:space="0" w:color="auto"/>
            </w:tcBorders>
            <w:vAlign w:val="center"/>
          </w:tcPr>
          <w:p w14:paraId="3305F490" w14:textId="77777777" w:rsidR="00B97365" w:rsidRDefault="00000000">
            <w:pPr>
              <w:rPr>
                <w:rFonts w:cs="Calibri"/>
                <w:sz w:val="16"/>
                <w:szCs w:val="16"/>
                <w:lang w:val="en-US"/>
              </w:rPr>
            </w:pPr>
            <w:r>
              <w:rPr>
                <w:rFonts w:cs="Calibri"/>
                <w:sz w:val="16"/>
                <w:szCs w:val="16"/>
                <w:lang w:val="en-US"/>
              </w:rPr>
              <w:t>Profile</w:t>
            </w:r>
          </w:p>
        </w:tc>
        <w:tc>
          <w:tcPr>
            <w:tcW w:w="0" w:type="auto"/>
            <w:tcBorders>
              <w:top w:val="single" w:sz="6" w:space="0" w:color="auto"/>
              <w:left w:val="single" w:sz="6" w:space="0" w:color="auto"/>
              <w:bottom w:val="single" w:sz="6" w:space="0" w:color="auto"/>
              <w:right w:val="single" w:sz="6" w:space="0" w:color="auto"/>
            </w:tcBorders>
            <w:vAlign w:val="center"/>
          </w:tcPr>
          <w:p w14:paraId="06840D23" w14:textId="77777777" w:rsidR="00B97365" w:rsidRDefault="00000000">
            <w:pPr>
              <w:jc w:val="center"/>
              <w:rPr>
                <w:rFonts w:cs="Calibri"/>
                <w:sz w:val="16"/>
                <w:szCs w:val="16"/>
                <w:lang w:val="en-US"/>
              </w:rPr>
            </w:pPr>
            <w:r>
              <w:rPr>
                <w:rFonts w:cs="Calibri"/>
                <w:sz w:val="16"/>
                <w:szCs w:val="16"/>
                <w:lang w:val="en-US"/>
              </w:rPr>
              <w:t>5.1</w:t>
            </w:r>
          </w:p>
        </w:tc>
        <w:tc>
          <w:tcPr>
            <w:tcW w:w="0" w:type="auto"/>
            <w:tcBorders>
              <w:top w:val="single" w:sz="6" w:space="0" w:color="auto"/>
              <w:left w:val="single" w:sz="6" w:space="0" w:color="auto"/>
              <w:bottom w:val="single" w:sz="6" w:space="0" w:color="auto"/>
              <w:right w:val="single" w:sz="6" w:space="0" w:color="auto"/>
            </w:tcBorders>
            <w:vAlign w:val="center"/>
          </w:tcPr>
          <w:p w14:paraId="12F89C82" w14:textId="77777777" w:rsidR="00B97365" w:rsidRDefault="00000000">
            <w:pPr>
              <w:rPr>
                <w:rFonts w:cs="Calibri"/>
                <w:sz w:val="16"/>
                <w:szCs w:val="16"/>
              </w:rPr>
            </w:pPr>
            <w:r>
              <w:rPr>
                <w:rFonts w:cs="Calibri"/>
                <w:sz w:val="16"/>
                <w:szCs w:val="16"/>
              </w:rPr>
              <w:t>Inaccessible</w:t>
            </w:r>
          </w:p>
        </w:tc>
        <w:tc>
          <w:tcPr>
            <w:tcW w:w="0" w:type="auto"/>
            <w:tcBorders>
              <w:top w:val="single" w:sz="6" w:space="0" w:color="auto"/>
              <w:left w:val="single" w:sz="6" w:space="0" w:color="auto"/>
              <w:bottom w:val="single" w:sz="6" w:space="0" w:color="auto"/>
              <w:right w:val="single" w:sz="4" w:space="0" w:color="auto"/>
            </w:tcBorders>
            <w:vAlign w:val="center"/>
          </w:tcPr>
          <w:p w14:paraId="6698E1D2" w14:textId="77777777" w:rsidR="00B97365" w:rsidRDefault="00000000">
            <w:pPr>
              <w:rPr>
                <w:rFonts w:cs="Calibri"/>
                <w:sz w:val="16"/>
                <w:szCs w:val="16"/>
              </w:rPr>
            </w:pPr>
            <w:r>
              <w:rPr>
                <w:rFonts w:cs="Calibri"/>
                <w:sz w:val="16"/>
                <w:szCs w:val="16"/>
              </w:rPr>
              <w:t xml:space="preserve">Indicates that the Profile change procedure couldn’t complete after enabling the target Profile, and the Profile change was rolled-back on the eUICC, </w:t>
            </w:r>
          </w:p>
        </w:tc>
      </w:tr>
      <w:tr w:rsidR="00B97365" w14:paraId="78C8D5DD"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9BC73D0"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2DB3E461" w14:textId="77777777" w:rsidR="00B97365" w:rsidRDefault="00000000">
            <w:pPr>
              <w:rPr>
                <w:rFonts w:cs="Calibri"/>
                <w:sz w:val="16"/>
                <w:szCs w:val="16"/>
                <w:lang w:val="en-US"/>
              </w:rPr>
            </w:pPr>
            <w:r>
              <w:rPr>
                <w:rFonts w:cs="Calibri"/>
                <w:sz w:val="16"/>
                <w:szCs w:val="16"/>
                <w:lang w:val="en-US"/>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94D33B4"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51C571C2"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1EA9F280" w14:textId="77777777" w:rsidR="00B97365" w:rsidRDefault="00000000">
            <w:pPr>
              <w:rPr>
                <w:rFonts w:cs="Calibri"/>
                <w:sz w:val="16"/>
                <w:szCs w:val="16"/>
                <w:lang w:val="en-US"/>
              </w:rPr>
            </w:pPr>
            <w:r>
              <w:rPr>
                <w:rFonts w:cs="Calibri"/>
                <w:sz w:val="16"/>
                <w:szCs w:val="16"/>
                <w:lang w:val="en-US"/>
              </w:rPr>
              <w:t>Indicates that the Profile identified by this ICCID is unknown to the function provider.</w:t>
            </w:r>
          </w:p>
        </w:tc>
      </w:tr>
      <w:tr w:rsidR="00B97365" w14:paraId="5200D6C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BC1766C"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57E8DFE1" w14:textId="77777777" w:rsidR="00B97365" w:rsidRDefault="00000000">
            <w:pPr>
              <w:rPr>
                <w:rFonts w:cs="Calibri"/>
                <w:sz w:val="16"/>
                <w:szCs w:val="16"/>
                <w:lang w:val="en-US"/>
              </w:rPr>
            </w:pPr>
            <w:r>
              <w:rPr>
                <w:rFonts w:cs="Calibri"/>
                <w:sz w:val="16"/>
                <w:szCs w:val="16"/>
                <w:lang w:val="en-US"/>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BE1A1FE" w14:textId="77777777" w:rsidR="00B97365" w:rsidRDefault="00000000">
            <w:pPr>
              <w:jc w:val="center"/>
              <w:rPr>
                <w:rFonts w:cs="Calibri"/>
                <w:sz w:val="16"/>
                <w:szCs w:val="16"/>
                <w:lang w:val="en-US"/>
              </w:rPr>
            </w:pPr>
            <w:r>
              <w:rPr>
                <w:rFonts w:cs="Calibri"/>
                <w:sz w:val="16"/>
                <w:szCs w:val="16"/>
                <w:lang w:val="en-US"/>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3A104C4A" w14:textId="77777777" w:rsidR="00B97365" w:rsidRDefault="00000000">
            <w:pPr>
              <w:rPr>
                <w:rFonts w:cs="Calibri"/>
                <w:sz w:val="16"/>
                <w:szCs w:val="16"/>
                <w:lang w:val="en-US"/>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1E4B8382" w14:textId="77777777" w:rsidR="00B97365" w:rsidRDefault="00000000">
            <w:pPr>
              <w:rPr>
                <w:rFonts w:cs="Calibri"/>
                <w:sz w:val="16"/>
                <w:szCs w:val="16"/>
                <w:lang w:val="en-US"/>
              </w:rPr>
            </w:pPr>
            <w:r>
              <w:rPr>
                <w:rFonts w:cs="Calibri"/>
                <w:sz w:val="16"/>
                <w:szCs w:val="16"/>
                <w:lang w:val="en-US"/>
              </w:rPr>
              <w:t>Indicates that the Profile identified by this ICCID is known to the function provider but installed on another eUICC than the one identified by the function caller.</w:t>
            </w:r>
          </w:p>
        </w:tc>
      </w:tr>
      <w:tr w:rsidR="00B97365" w14:paraId="1387BA0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53CBE95" w14:textId="77777777" w:rsidR="00B97365" w:rsidRDefault="00000000">
            <w:pPr>
              <w:jc w:val="center"/>
              <w:rPr>
                <w:rFonts w:cs="Calibri"/>
                <w:sz w:val="16"/>
                <w:szCs w:val="16"/>
              </w:rPr>
            </w:pPr>
            <w:r>
              <w:rPr>
                <w:rFonts w:eastAsia="Times New Roman" w:cs="Arial"/>
                <w:sz w:val="16"/>
                <w:szCs w:val="16"/>
                <w:lang w:eastAsia="en-GB" w:bidi="ar-SA"/>
              </w:rPr>
              <w:t>8.2.1 </w:t>
            </w:r>
          </w:p>
        </w:tc>
        <w:tc>
          <w:tcPr>
            <w:tcW w:w="0" w:type="auto"/>
            <w:tcBorders>
              <w:top w:val="single" w:sz="6" w:space="0" w:color="auto"/>
              <w:left w:val="single" w:sz="6" w:space="0" w:color="auto"/>
              <w:bottom w:val="single" w:sz="6" w:space="0" w:color="auto"/>
              <w:right w:val="single" w:sz="6" w:space="0" w:color="auto"/>
            </w:tcBorders>
            <w:vAlign w:val="center"/>
          </w:tcPr>
          <w:p w14:paraId="0667FA47" w14:textId="77777777" w:rsidR="00B97365" w:rsidRDefault="00000000">
            <w:pPr>
              <w:rPr>
                <w:rFonts w:cs="Calibri"/>
                <w:sz w:val="16"/>
                <w:szCs w:val="16"/>
                <w:lang w:val="en-US"/>
              </w:rPr>
            </w:pPr>
            <w:r>
              <w:rPr>
                <w:rFonts w:eastAsia="Times New Roman" w:cs="Arial"/>
                <w:sz w:val="16"/>
                <w:szCs w:val="16"/>
                <w:lang w:eastAsia="en-GB" w:bidi="ar-SA"/>
              </w:rPr>
              <w:t>Profile ICCID </w:t>
            </w:r>
          </w:p>
        </w:tc>
        <w:tc>
          <w:tcPr>
            <w:tcW w:w="0" w:type="auto"/>
            <w:tcBorders>
              <w:top w:val="single" w:sz="6" w:space="0" w:color="auto"/>
              <w:left w:val="single" w:sz="6" w:space="0" w:color="auto"/>
              <w:bottom w:val="single" w:sz="6" w:space="0" w:color="auto"/>
              <w:right w:val="single" w:sz="6" w:space="0" w:color="auto"/>
            </w:tcBorders>
            <w:vAlign w:val="center"/>
          </w:tcPr>
          <w:p w14:paraId="5DF92658" w14:textId="77777777" w:rsidR="00B97365" w:rsidRDefault="00000000">
            <w:pPr>
              <w:jc w:val="center"/>
              <w:rPr>
                <w:rFonts w:cs="Calibri"/>
                <w:sz w:val="16"/>
                <w:szCs w:val="16"/>
                <w:lang w:val="en-US"/>
              </w:rPr>
            </w:pPr>
            <w:r>
              <w:rPr>
                <w:rFonts w:eastAsia="Times New Roman" w:cs="Arial"/>
                <w:sz w:val="16"/>
                <w:szCs w:val="16"/>
                <w:lang w:eastAsia="en-GB" w:bidi="ar-SA"/>
              </w:rPr>
              <w:t>3.5 </w:t>
            </w:r>
          </w:p>
        </w:tc>
        <w:tc>
          <w:tcPr>
            <w:tcW w:w="0" w:type="auto"/>
            <w:tcBorders>
              <w:top w:val="single" w:sz="6" w:space="0" w:color="auto"/>
              <w:left w:val="single" w:sz="6" w:space="0" w:color="auto"/>
              <w:bottom w:val="single" w:sz="6" w:space="0" w:color="auto"/>
              <w:right w:val="single" w:sz="6" w:space="0" w:color="auto"/>
            </w:tcBorders>
            <w:vAlign w:val="center"/>
          </w:tcPr>
          <w:p w14:paraId="3A40F2C8" w14:textId="77777777" w:rsidR="00B97365" w:rsidRDefault="00000000">
            <w:pPr>
              <w:rPr>
                <w:rFonts w:cs="Calibri"/>
                <w:sz w:val="16"/>
                <w:szCs w:val="16"/>
              </w:rPr>
            </w:pPr>
            <w:r>
              <w:rPr>
                <w:rFonts w:eastAsia="Times New Roman" w:cs="Arial"/>
                <w:sz w:val="16"/>
                <w:szCs w:val="16"/>
                <w:lang w:eastAsia="en-GB" w:bidi="ar-SA"/>
              </w:rPr>
              <w:t>Invalid Transition </w:t>
            </w:r>
          </w:p>
        </w:tc>
        <w:tc>
          <w:tcPr>
            <w:tcW w:w="0" w:type="auto"/>
            <w:tcBorders>
              <w:top w:val="single" w:sz="6" w:space="0" w:color="auto"/>
              <w:left w:val="single" w:sz="6" w:space="0" w:color="auto"/>
              <w:bottom w:val="single" w:sz="6" w:space="0" w:color="auto"/>
              <w:right w:val="single" w:sz="4" w:space="0" w:color="auto"/>
            </w:tcBorders>
            <w:vAlign w:val="center"/>
          </w:tcPr>
          <w:p w14:paraId="68AEC350" w14:textId="77777777" w:rsidR="00B97365" w:rsidRDefault="00000000">
            <w:pPr>
              <w:rPr>
                <w:rFonts w:cs="Calibri"/>
                <w:sz w:val="16"/>
                <w:szCs w:val="16"/>
                <w:lang w:val="en-US"/>
              </w:rPr>
            </w:pPr>
            <w:r>
              <w:rPr>
                <w:rFonts w:eastAsia="Times New Roman" w:cs="Arial"/>
                <w:sz w:val="16"/>
                <w:szCs w:val="16"/>
                <w:lang w:eastAsia="en-GB" w:bidi="ar-SA"/>
              </w:rPr>
              <w:t>Indicates that the Profile was already Enabled </w:t>
            </w:r>
          </w:p>
        </w:tc>
      </w:tr>
      <w:tr w:rsidR="00B97365" w14:paraId="21862CB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8F8F3A3"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61A7A488" w14:textId="77777777" w:rsidR="00B97365" w:rsidRDefault="00000000">
            <w:pPr>
              <w:rPr>
                <w:rFonts w:cs="Calibri"/>
                <w:sz w:val="16"/>
                <w:szCs w:val="16"/>
                <w:lang w:val="en-US"/>
              </w:rPr>
            </w:pPr>
            <w:r>
              <w:rPr>
                <w:rFonts w:cs="Calibri"/>
                <w:sz w:val="16"/>
                <w:szCs w:val="16"/>
                <w:lang w:val="en-US"/>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75FD9F5"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33398311" w14:textId="77777777" w:rsidR="00B97365" w:rsidRDefault="00000000">
            <w:pPr>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4065EEC7" w14:textId="77777777" w:rsidR="00B97365" w:rsidRDefault="00000000">
            <w:pPr>
              <w:rPr>
                <w:rFonts w:cs="Calibri"/>
                <w:sz w:val="16"/>
                <w:szCs w:val="16"/>
                <w:lang w:val="en-US"/>
              </w:rPr>
            </w:pPr>
            <w:r>
              <w:rPr>
                <w:rFonts w:cs="Calibri"/>
                <w:sz w:val="16"/>
                <w:szCs w:val="16"/>
                <w:lang w:val="en-US"/>
              </w:rPr>
              <w:t>Indicates that the function caller is not allowed to perform this function on the target Profile.</w:t>
            </w:r>
          </w:p>
        </w:tc>
      </w:tr>
      <w:tr w:rsidR="00B97365" w14:paraId="0BBFD35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36D91CA" w14:textId="77777777" w:rsidR="00B97365" w:rsidRDefault="00000000">
            <w:pPr>
              <w:jc w:val="center"/>
              <w:rPr>
                <w:rFonts w:cs="Calibri"/>
                <w:sz w:val="16"/>
                <w:szCs w:val="16"/>
              </w:rPr>
            </w:pPr>
            <w:r>
              <w:rPr>
                <w:rFonts w:cs="Calibri"/>
                <w:sz w:val="16"/>
                <w:szCs w:val="16"/>
              </w:rPr>
              <w:t>8.2.2</w:t>
            </w:r>
          </w:p>
        </w:tc>
        <w:tc>
          <w:tcPr>
            <w:tcW w:w="0" w:type="auto"/>
            <w:tcBorders>
              <w:top w:val="single" w:sz="6" w:space="0" w:color="auto"/>
              <w:left w:val="single" w:sz="6" w:space="0" w:color="auto"/>
              <w:bottom w:val="single" w:sz="6" w:space="0" w:color="auto"/>
              <w:right w:val="single" w:sz="6" w:space="0" w:color="auto"/>
            </w:tcBorders>
            <w:vAlign w:val="center"/>
            <w:hideMark/>
          </w:tcPr>
          <w:p w14:paraId="0D7EC628" w14:textId="77777777" w:rsidR="00B97365" w:rsidRDefault="00000000">
            <w:pPr>
              <w:rPr>
                <w:rFonts w:cs="Calibri"/>
                <w:sz w:val="16"/>
                <w:szCs w:val="16"/>
                <w:lang w:val="en-US"/>
              </w:rPr>
            </w:pPr>
            <w:r>
              <w:rPr>
                <w:rFonts w:cs="Calibri"/>
                <w:sz w:val="16"/>
                <w:szCs w:val="16"/>
                <w:lang w:val="en-US"/>
              </w:rPr>
              <w:t>POL1</w:t>
            </w:r>
          </w:p>
        </w:tc>
        <w:tc>
          <w:tcPr>
            <w:tcW w:w="0" w:type="auto"/>
            <w:tcBorders>
              <w:top w:val="single" w:sz="6" w:space="0" w:color="auto"/>
              <w:left w:val="single" w:sz="6" w:space="0" w:color="auto"/>
              <w:bottom w:val="single" w:sz="6" w:space="0" w:color="auto"/>
              <w:right w:val="single" w:sz="6" w:space="0" w:color="auto"/>
            </w:tcBorders>
            <w:vAlign w:val="center"/>
            <w:hideMark/>
          </w:tcPr>
          <w:p w14:paraId="5384A2DA"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2268797C"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1D09604B" w14:textId="77777777" w:rsidR="00B97365" w:rsidRDefault="00000000">
            <w:pPr>
              <w:rPr>
                <w:rFonts w:cs="Calibri"/>
                <w:sz w:val="16"/>
                <w:szCs w:val="16"/>
                <w:lang w:val="en-US"/>
              </w:rPr>
            </w:pPr>
            <w:r>
              <w:rPr>
                <w:rFonts w:cs="Calibri"/>
                <w:sz w:val="16"/>
                <w:szCs w:val="16"/>
                <w:lang w:val="en-US"/>
              </w:rPr>
              <w:t>The POL1 of one the impacted Profiles don’t allow this operation.</w:t>
            </w:r>
          </w:p>
        </w:tc>
      </w:tr>
      <w:tr w:rsidR="00B97365" w14:paraId="5B17FFB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91BB65A" w14:textId="77777777" w:rsidR="00B97365" w:rsidRDefault="00000000">
            <w:pPr>
              <w:jc w:val="center"/>
              <w:rPr>
                <w:rFonts w:cs="Calibri"/>
                <w:sz w:val="16"/>
                <w:szCs w:val="16"/>
              </w:rPr>
            </w:pPr>
            <w:r>
              <w:rPr>
                <w:rFonts w:cs="Calibri"/>
                <w:sz w:val="16"/>
                <w:szCs w:val="16"/>
              </w:rPr>
              <w:t>8.2.3</w:t>
            </w:r>
          </w:p>
        </w:tc>
        <w:tc>
          <w:tcPr>
            <w:tcW w:w="0" w:type="auto"/>
            <w:tcBorders>
              <w:top w:val="single" w:sz="6" w:space="0" w:color="auto"/>
              <w:left w:val="single" w:sz="6" w:space="0" w:color="auto"/>
              <w:bottom w:val="single" w:sz="6" w:space="0" w:color="auto"/>
              <w:right w:val="single" w:sz="6" w:space="0" w:color="auto"/>
            </w:tcBorders>
            <w:vAlign w:val="center"/>
            <w:hideMark/>
          </w:tcPr>
          <w:p w14:paraId="172F7D4E" w14:textId="77777777" w:rsidR="00B97365" w:rsidRDefault="00000000">
            <w:pPr>
              <w:rPr>
                <w:rFonts w:cs="Calibri"/>
                <w:sz w:val="16"/>
                <w:szCs w:val="16"/>
                <w:lang w:val="en-US"/>
              </w:rPr>
            </w:pPr>
            <w:r>
              <w:rPr>
                <w:rFonts w:cs="Calibri"/>
                <w:sz w:val="16"/>
                <w:szCs w:val="16"/>
                <w:lang w:val="en-US"/>
              </w:rPr>
              <w:t>POL2</w:t>
            </w:r>
          </w:p>
        </w:tc>
        <w:tc>
          <w:tcPr>
            <w:tcW w:w="0" w:type="auto"/>
            <w:tcBorders>
              <w:top w:val="single" w:sz="6" w:space="0" w:color="auto"/>
              <w:left w:val="single" w:sz="6" w:space="0" w:color="auto"/>
              <w:bottom w:val="single" w:sz="6" w:space="0" w:color="auto"/>
              <w:right w:val="single" w:sz="6" w:space="0" w:color="auto"/>
            </w:tcBorders>
            <w:vAlign w:val="center"/>
            <w:hideMark/>
          </w:tcPr>
          <w:p w14:paraId="13E6CE50"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188596A7"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57F13200" w14:textId="77777777" w:rsidR="00B97365" w:rsidRDefault="00000000">
            <w:pPr>
              <w:rPr>
                <w:rFonts w:cs="Calibri"/>
                <w:sz w:val="16"/>
                <w:szCs w:val="16"/>
                <w:lang w:val="en-US"/>
              </w:rPr>
            </w:pPr>
            <w:r>
              <w:rPr>
                <w:rFonts w:cs="Calibri"/>
                <w:sz w:val="16"/>
                <w:szCs w:val="16"/>
                <w:lang w:val="en-US"/>
              </w:rPr>
              <w:t>The POL2 of one the impacted Profiles don’t allow this operation.</w:t>
            </w:r>
          </w:p>
        </w:tc>
      </w:tr>
      <w:tr w:rsidR="00B97365" w14:paraId="63CE39A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2BA07E4"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75CD8BB1" w14:textId="77777777" w:rsidR="00B97365" w:rsidRDefault="00000000">
            <w:pPr>
              <w:rPr>
                <w:rFonts w:cs="Calibri"/>
                <w:sz w:val="16"/>
                <w:szCs w:val="16"/>
                <w:lang w:val="en-US"/>
              </w:rPr>
            </w:pPr>
            <w:r>
              <w:rPr>
                <w:rFonts w:cs="Calibri"/>
                <w:sz w:val="16"/>
                <w:szCs w:val="16"/>
                <w:lang w:val="en-US"/>
              </w:rPr>
              <w:t>PLMA</w:t>
            </w:r>
          </w:p>
        </w:tc>
        <w:tc>
          <w:tcPr>
            <w:tcW w:w="0" w:type="auto"/>
            <w:tcBorders>
              <w:top w:val="single" w:sz="6" w:space="0" w:color="auto"/>
              <w:left w:val="single" w:sz="6" w:space="0" w:color="auto"/>
              <w:bottom w:val="single" w:sz="6" w:space="0" w:color="auto"/>
              <w:right w:val="single" w:sz="6" w:space="0" w:color="auto"/>
            </w:tcBorders>
            <w:vAlign w:val="center"/>
          </w:tcPr>
          <w:p w14:paraId="69750BA5"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tcPr>
          <w:p w14:paraId="4A4CAD01"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tcPr>
          <w:p w14:paraId="7A95E710" w14:textId="77777777" w:rsidR="00B97365" w:rsidRDefault="00000000">
            <w:pPr>
              <w:rPr>
                <w:rFonts w:cs="Calibri"/>
                <w:sz w:val="16"/>
                <w:szCs w:val="16"/>
                <w:lang w:val="en-US"/>
              </w:rPr>
            </w:pPr>
            <w:r>
              <w:rPr>
                <w:rFonts w:cs="Calibri"/>
                <w:sz w:val="16"/>
                <w:szCs w:val="16"/>
                <w:lang w:val="en-US"/>
              </w:rPr>
              <w:t>No PLMA allows the M2M SP to execute this operation.</w:t>
            </w:r>
          </w:p>
        </w:tc>
      </w:tr>
      <w:tr w:rsidR="00B97365" w14:paraId="2194E4C2"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7986008C" w14:textId="77777777" w:rsidR="00B97365" w:rsidRDefault="00000000">
            <w:pPr>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4" w:space="0" w:color="auto"/>
              <w:right w:val="single" w:sz="6" w:space="0" w:color="auto"/>
            </w:tcBorders>
            <w:vAlign w:val="center"/>
            <w:hideMark/>
          </w:tcPr>
          <w:p w14:paraId="24CFEF00" w14:textId="77777777" w:rsidR="00B97365" w:rsidRDefault="00000000">
            <w:pPr>
              <w:rPr>
                <w:rFonts w:cs="Calibri"/>
                <w:sz w:val="16"/>
                <w:szCs w:val="16"/>
                <w:lang w:val="en-US"/>
              </w:rPr>
            </w:pPr>
            <w:r>
              <w:rPr>
                <w:rFonts w:cs="Calibri"/>
                <w:sz w:val="16"/>
                <w:szCs w:val="16"/>
                <w:lang w:val="en-US"/>
              </w:rPr>
              <w:t>ISD-R</w:t>
            </w:r>
          </w:p>
        </w:tc>
        <w:tc>
          <w:tcPr>
            <w:tcW w:w="0" w:type="auto"/>
            <w:tcBorders>
              <w:top w:val="single" w:sz="6" w:space="0" w:color="auto"/>
              <w:left w:val="single" w:sz="6" w:space="0" w:color="auto"/>
              <w:bottom w:val="single" w:sz="4" w:space="0" w:color="auto"/>
              <w:right w:val="single" w:sz="6" w:space="0" w:color="auto"/>
            </w:tcBorders>
            <w:vAlign w:val="center"/>
            <w:hideMark/>
          </w:tcPr>
          <w:p w14:paraId="58109B74" w14:textId="77777777" w:rsidR="00B97365" w:rsidRDefault="00000000">
            <w:pPr>
              <w:jc w:val="center"/>
              <w:rPr>
                <w:rFonts w:cs="Calibri"/>
                <w:sz w:val="16"/>
                <w:szCs w:val="16"/>
                <w:lang w:val="en-US"/>
              </w:rPr>
            </w:pPr>
            <w:r>
              <w:rPr>
                <w:rFonts w:cs="Calibri"/>
                <w:sz w:val="16"/>
                <w:szCs w:val="16"/>
                <w:lang w:val="en-US"/>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1028A3C9" w14:textId="77777777" w:rsidR="00B97365" w:rsidRDefault="00000000">
            <w:pPr>
              <w:rPr>
                <w:rFonts w:cs="Calibri"/>
                <w:sz w:val="16"/>
                <w:szCs w:val="16"/>
                <w:lang w:val="en-US"/>
              </w:rPr>
            </w:pPr>
            <w:r>
              <w:rPr>
                <w:rFonts w:cs="Calibri"/>
                <w:sz w:val="16"/>
                <w:szCs w:val="16"/>
                <w:lang w:val="en-US"/>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0220060D" w14:textId="77777777" w:rsidR="00B97365" w:rsidRDefault="00000000">
            <w:pPr>
              <w:rPr>
                <w:rFonts w:cs="Calibri"/>
                <w:sz w:val="16"/>
                <w:szCs w:val="16"/>
                <w:lang w:val="en-US"/>
              </w:rPr>
            </w:pPr>
            <w:r>
              <w:rPr>
                <w:rFonts w:cs="Calibri"/>
                <w:sz w:val="16"/>
                <w:szCs w:val="16"/>
                <w:lang w:val="en-US"/>
              </w:rPr>
              <w:t xml:space="preserve">Error during execution of the enabling command on the eUICC. </w:t>
            </w:r>
            <w:r>
              <w:rPr>
                <w:rFonts w:cs="Calibri"/>
                <w:sz w:val="16"/>
                <w:szCs w:val="16"/>
              </w:rPr>
              <w:t>In that case, the output data “euiccResponseData contains the exact response coming from the eUICC.</w:t>
            </w:r>
          </w:p>
        </w:tc>
      </w:tr>
    </w:tbl>
    <w:p w14:paraId="6818BD9E"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Enable Profile Specific Status Codes</w:t>
      </w:r>
    </w:p>
    <w:p w14:paraId="182F50C2" w14:textId="77777777" w:rsidR="00B97365" w:rsidRDefault="00B97365">
      <w:pPr>
        <w:rPr>
          <w:rFonts w:cs="Calibri"/>
        </w:rPr>
      </w:pPr>
    </w:p>
    <w:p w14:paraId="6A39EDB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361" w:name="_Toc448998289"/>
      <w:bookmarkStart w:id="5362" w:name="_Toc422150785"/>
      <w:bookmarkStart w:id="5363" w:name="_Toc421874370"/>
      <w:bookmarkStart w:id="5364" w:name="_Toc420594862"/>
      <w:bookmarkStart w:id="5365" w:name="_Toc398214911"/>
      <w:bookmarkStart w:id="5366" w:name="_Toc375158327"/>
      <w:bookmarkStart w:id="5367" w:name="_Toc368932336"/>
      <w:bookmarkStart w:id="5368" w:name="_Ref367978960"/>
      <w:bookmarkStart w:id="5369" w:name="_Ref367978938"/>
      <w:bookmarkStart w:id="5370" w:name="_Ref367971686"/>
      <w:bookmarkStart w:id="5371" w:name="_Toc352671596"/>
      <w:bookmarkStart w:id="5372" w:name="_Toc486332907"/>
      <w:bookmarkStart w:id="5373" w:name="_Ref511997646"/>
      <w:bookmarkStart w:id="5374" w:name="_Ref511997651"/>
      <w:bookmarkStart w:id="5375" w:name="_Toc1977412"/>
      <w:bookmarkStart w:id="5376" w:name="_Toc37062571"/>
      <w:bookmarkStart w:id="5377" w:name="_Toc88839645"/>
      <w:bookmarkStart w:id="5378" w:name="_Toc121504053"/>
      <w:r>
        <w:rPr>
          <w:rFonts w:eastAsia="Times New Roman" w:cs="Arial"/>
          <w:b/>
          <w:sz w:val="24"/>
          <w:szCs w:val="26"/>
          <w:lang w:eastAsia="en-US"/>
        </w:rPr>
        <w:t>Profile Disabling</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p>
    <w:p w14:paraId="4B60FA51" w14:textId="77777777" w:rsidR="00B97365" w:rsidRDefault="00000000">
      <w:pPr>
        <w:spacing w:before="0" w:after="200" w:line="276" w:lineRule="auto"/>
        <w:jc w:val="left"/>
        <w:rPr>
          <w:szCs w:val="22"/>
          <w:lang w:val="en-US" w:eastAsia="en-GB" w:bidi="ar-SA"/>
        </w:rPr>
      </w:pPr>
      <w:bookmarkStart w:id="5379" w:name="_Toc420594863"/>
      <w:r>
        <w:rPr>
          <w:rFonts w:cs="Arial"/>
          <w:b/>
          <w:szCs w:val="22"/>
          <w:lang w:val="en-US" w:eastAsia="en-GB" w:bidi="ar-SA"/>
        </w:rPr>
        <w:t>Function name:</w:t>
      </w:r>
      <w:r>
        <w:rPr>
          <w:szCs w:val="22"/>
          <w:lang w:val="en-US" w:eastAsia="en-GB" w:bidi="ar-SA"/>
        </w:rPr>
        <w:t xml:space="preserve"> DisableProfile</w:t>
      </w:r>
      <w:bookmarkEnd w:id="5379"/>
    </w:p>
    <w:p w14:paraId="626FCCCA" w14:textId="77777777" w:rsidR="00B97365" w:rsidRDefault="00000000">
      <w:pPr>
        <w:spacing w:before="0" w:after="200" w:line="276" w:lineRule="auto"/>
        <w:jc w:val="left"/>
        <w:rPr>
          <w:szCs w:val="22"/>
          <w:lang w:val="en-US" w:eastAsia="en-GB" w:bidi="ar-SA"/>
        </w:rPr>
      </w:pPr>
      <w:bookmarkStart w:id="5380" w:name="_Toc420594864"/>
      <w:r>
        <w:rPr>
          <w:rFonts w:cs="Arial"/>
          <w:b/>
          <w:szCs w:val="22"/>
          <w:lang w:val="en-US" w:eastAsia="en-GB" w:bidi="ar-SA"/>
        </w:rPr>
        <w:t>Related Procedures</w:t>
      </w:r>
      <w:r>
        <w:rPr>
          <w:szCs w:val="22"/>
          <w:lang w:val="en-US" w:eastAsia="en-GB" w:bidi="ar-SA"/>
        </w:rPr>
        <w:t>: Profile Disabling</w:t>
      </w:r>
      <w:bookmarkEnd w:id="5380"/>
    </w:p>
    <w:p w14:paraId="761059A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6C4BD6D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347F113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Operator or the M2M SP to request a Profile Disabling to the SM-SR in charge of the management of the targeted eUICC; eUICC being identified by its EID.</w:t>
      </w:r>
    </w:p>
    <w:p w14:paraId="09C51E1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On reception of the function request, the SM-SR SHALL perform the following minimum set of verifications:</w:t>
      </w:r>
    </w:p>
    <w:p w14:paraId="6A2106EA"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SM-SR is responsible for the management of the targeted eUICC.</w:t>
      </w:r>
    </w:p>
    <w:p w14:paraId="10132AAF"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Profile identified by its ICCID is loaded on the targeted eUICC.</w:t>
      </w:r>
    </w:p>
    <w:p w14:paraId="4A592FB9"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target Profile is owned by the requesting Operator, or an Operator that had granted a PLMA that authorises the requesting M2M SP to perform the operation “</w:t>
      </w:r>
      <w:r>
        <w:rPr>
          <w:rFonts w:cs="Calibri"/>
          <w:szCs w:val="22"/>
          <w:lang w:eastAsia="en-GB" w:bidi="ar-SA"/>
        </w:rPr>
        <w:t>DisableProfile</w:t>
      </w:r>
      <w:r>
        <w:rPr>
          <w:szCs w:val="22"/>
          <w:lang w:eastAsia="en-GB" w:bidi="ar-SA"/>
        </w:rPr>
        <w:t>” on a Profile that matches the criteria of the PLMA (see section 5.7.1.1 for the detail of the matching of the criteria)</w:t>
      </w:r>
    </w:p>
    <w:p w14:paraId="5A88B63B"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target Profile is in Enabled state</w:t>
      </w:r>
    </w:p>
    <w:p w14:paraId="49C3D019"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POL2 of the target Profile allows the disabling.</w:t>
      </w:r>
    </w:p>
    <w:p w14:paraId="781320A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0D985A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‘Executed-Success’ indicating that the Profile has been disabled on the eUICC. </w:t>
      </w:r>
    </w:p>
    <w:p w14:paraId="03E86A3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A ‘Function execution status’ with ‘</w:t>
      </w:r>
      <w:r>
        <w:rPr>
          <w:lang w:val="en-US"/>
        </w:rPr>
        <w:t>Executed-WithWarning</w:t>
      </w:r>
      <w:r>
        <w:rPr>
          <w:szCs w:val="22"/>
          <w:lang w:eastAsia="en-GB" w:bidi="ar-SA"/>
        </w:rPr>
        <w:t>’, with a status code as defined below, indicating that the Profile has been disabled on the eUICC, and deleted after application of a POL1 or POL2 rule.</w:t>
      </w:r>
    </w:p>
    <w:p w14:paraId="063EF1E9" w14:textId="68AF67CB"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_Ref367975209 \r \h  \* MERGEFORMAT </w:instrText>
      </w:r>
      <w:r>
        <w:fldChar w:fldCharType="separate"/>
      </w:r>
      <w:r w:rsidR="001D5AD9" w:rsidRPr="001D5AD9">
        <w:rPr>
          <w:szCs w:val="22"/>
          <w:lang w:eastAsia="en-GB" w:bidi="ar-SA"/>
        </w:rPr>
        <w:t>5.1.6.4</w:t>
      </w:r>
      <w:r>
        <w:fldChar w:fldCharType="end"/>
      </w:r>
    </w:p>
    <w:p w14:paraId="37D320C8" w14:textId="709FB35E"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_Ref367975216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399D67C8" w14:textId="77777777" w:rsidR="00B97365" w:rsidRDefault="00B97365">
      <w:pPr>
        <w:spacing w:before="0" w:after="200" w:line="276" w:lineRule="auto"/>
        <w:jc w:val="left"/>
        <w:rPr>
          <w:rFonts w:cs="Arial"/>
          <w:b/>
          <w:i/>
          <w:szCs w:val="22"/>
          <w:lang w:val="en-US" w:eastAsia="en-GB" w:bidi="ar-SA"/>
        </w:rPr>
      </w:pPr>
    </w:p>
    <w:p w14:paraId="66A3364D" w14:textId="77777777" w:rsidR="00B97365" w:rsidRDefault="00000000">
      <w:pPr>
        <w:spacing w:before="0" w:after="200" w:line="276" w:lineRule="auto"/>
        <w:jc w:val="left"/>
        <w:rPr>
          <w:b/>
          <w:i/>
          <w:szCs w:val="22"/>
          <w:lang w:val="en-US" w:eastAsia="en-GB" w:bidi="ar-SA"/>
        </w:rPr>
      </w:pPr>
      <w:bookmarkStart w:id="5381" w:name="_Toc420594865"/>
      <w:r>
        <w:rPr>
          <w:rFonts w:cs="Arial"/>
          <w:b/>
          <w:i/>
          <w:szCs w:val="22"/>
          <w:lang w:val="en-US" w:eastAsia="en-GB" w:bidi="ar-SA"/>
        </w:rPr>
        <w:t>Additional input data:</w:t>
      </w:r>
      <w:bookmarkEnd w:id="538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2951"/>
        <w:gridCol w:w="576"/>
        <w:gridCol w:w="398"/>
        <w:gridCol w:w="514"/>
      </w:tblGrid>
      <w:tr w:rsidR="00B97365" w14:paraId="52EE2AF8"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E670F3A"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2BFE315"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677939D"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466D8F4"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89E1090"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F7C634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5F350F3"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275407C" w14:textId="77777777" w:rsidR="00B97365" w:rsidRDefault="00000000">
            <w:pPr>
              <w:rPr>
                <w:rFonts w:cs="Calibri"/>
                <w:sz w:val="16"/>
                <w:szCs w:val="16"/>
              </w:rPr>
            </w:pPr>
            <w:r>
              <w:rPr>
                <w:rFonts w:cs="Calibri"/>
                <w:sz w:val="16"/>
                <w:szCs w:val="16"/>
              </w:rPr>
              <w:t>Identification of the targeted eUICC.</w:t>
            </w:r>
          </w:p>
          <w:p w14:paraId="5737B674" w14:textId="58EE2C64"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_Ref367975228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F5F5F14"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8CF3B0F"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119A284" w14:textId="77777777" w:rsidR="00B97365" w:rsidRDefault="00000000">
            <w:pPr>
              <w:jc w:val="center"/>
              <w:rPr>
                <w:rFonts w:cs="Calibri"/>
                <w:sz w:val="16"/>
                <w:szCs w:val="16"/>
              </w:rPr>
            </w:pPr>
            <w:r>
              <w:rPr>
                <w:rFonts w:cs="Calibri"/>
                <w:sz w:val="16"/>
                <w:szCs w:val="16"/>
              </w:rPr>
              <w:t>M</w:t>
            </w:r>
          </w:p>
        </w:tc>
      </w:tr>
      <w:tr w:rsidR="00B97365" w14:paraId="393A5B1C"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1F9F6B6" w14:textId="77777777" w:rsidR="00B97365" w:rsidRDefault="00000000">
            <w:pP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3D7A5C17" w14:textId="77777777" w:rsidR="00B97365" w:rsidRDefault="00000000">
            <w:pPr>
              <w:rPr>
                <w:rFonts w:cs="Calibri"/>
                <w:sz w:val="16"/>
                <w:szCs w:val="16"/>
              </w:rPr>
            </w:pPr>
            <w:r>
              <w:rPr>
                <w:rFonts w:cs="Calibri"/>
                <w:sz w:val="16"/>
                <w:szCs w:val="16"/>
              </w:rPr>
              <w:t>Identification of the Profile to disable.</w:t>
            </w:r>
          </w:p>
          <w:p w14:paraId="1A2BAC22" w14:textId="16BAC767"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_Ref367975235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18775CA9"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362A7DBC"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72673EF" w14:textId="77777777" w:rsidR="00B97365" w:rsidRDefault="00000000">
            <w:pPr>
              <w:jc w:val="center"/>
              <w:rPr>
                <w:rFonts w:cs="Calibri"/>
                <w:sz w:val="16"/>
                <w:szCs w:val="16"/>
              </w:rPr>
            </w:pPr>
            <w:r>
              <w:rPr>
                <w:rFonts w:cs="Calibri"/>
                <w:sz w:val="16"/>
                <w:szCs w:val="16"/>
              </w:rPr>
              <w:t>M</w:t>
            </w:r>
          </w:p>
        </w:tc>
      </w:tr>
    </w:tbl>
    <w:p w14:paraId="0EC61F5C"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Disable Profile Additional Input Data</w:t>
      </w:r>
    </w:p>
    <w:p w14:paraId="61ADCC42" w14:textId="77777777" w:rsidR="00B97365" w:rsidRDefault="00000000">
      <w:pPr>
        <w:spacing w:before="0" w:after="200" w:line="276" w:lineRule="auto"/>
        <w:jc w:val="left"/>
        <w:rPr>
          <w:b/>
          <w:i/>
          <w:szCs w:val="22"/>
          <w:lang w:val="en-US" w:eastAsia="en-GB" w:bidi="ar-SA"/>
        </w:rPr>
      </w:pPr>
      <w:bookmarkStart w:id="5382" w:name="_Toc420594866"/>
      <w:r>
        <w:rPr>
          <w:rFonts w:cs="Arial"/>
          <w:b/>
          <w:i/>
          <w:szCs w:val="22"/>
          <w:lang w:val="en-US" w:eastAsia="en-GB" w:bidi="ar-SA"/>
        </w:rPr>
        <w:t>Additional output data:</w:t>
      </w:r>
      <w:bookmarkEnd w:id="538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583"/>
        <w:gridCol w:w="5806"/>
        <w:gridCol w:w="715"/>
        <w:gridCol w:w="398"/>
        <w:gridCol w:w="514"/>
      </w:tblGrid>
      <w:tr w:rsidR="00B97365" w14:paraId="30937F3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381F6E3"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E9466C"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F3F5C8D"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CCE535C"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260A47F" w14:textId="77777777" w:rsidR="00B97365" w:rsidRDefault="00000000">
            <w:pPr>
              <w:spacing w:before="0" w:after="200" w:line="276" w:lineRule="auto"/>
              <w:jc w:val="center"/>
              <w:rPr>
                <w:rFonts w:cs="Calibri"/>
                <w:b/>
                <w:color w:val="FFFFFF"/>
                <w:sz w:val="16"/>
                <w:szCs w:val="16"/>
                <w:lang w:val="en-US" w:eastAsia="en-GB" w:bidi="ar-SA"/>
              </w:rPr>
            </w:pPr>
            <w:r>
              <w:rPr>
                <w:rFonts w:cs="Calibri"/>
                <w:b/>
                <w:color w:val="FFFFFF"/>
                <w:sz w:val="16"/>
                <w:szCs w:val="16"/>
                <w:lang w:val="en-US" w:eastAsia="en-GB" w:bidi="ar-SA"/>
              </w:rPr>
              <w:t>MOC</w:t>
            </w:r>
          </w:p>
        </w:tc>
      </w:tr>
      <w:tr w:rsidR="00B97365" w14:paraId="5FEF00BB"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5835996" w14:textId="77777777" w:rsidR="00B97365" w:rsidRDefault="00000000">
            <w:pPr>
              <w:tabs>
                <w:tab w:val="right" w:pos="7938"/>
              </w:tabs>
              <w:ind w:left="470" w:hanging="459"/>
              <w:rPr>
                <w:rFonts w:cs="Calibri"/>
                <w:sz w:val="16"/>
                <w:szCs w:val="16"/>
              </w:rPr>
            </w:pPr>
            <w:r>
              <w:rPr>
                <w:rFonts w:cs="Calibri"/>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3B10A0B7" w14:textId="77777777" w:rsidR="00B97365" w:rsidRDefault="00000000">
            <w:pPr>
              <w:spacing w:after="60"/>
              <w:rPr>
                <w:rFonts w:cs="Calibri"/>
                <w:b/>
                <w:noProof/>
                <w:sz w:val="16"/>
                <w:szCs w:val="16"/>
              </w:rPr>
            </w:pPr>
            <w:r>
              <w:rPr>
                <w:rFonts w:cs="Calibri"/>
                <w:sz w:val="16"/>
                <w:szCs w:val="16"/>
              </w:rPr>
              <w:t xml:space="preserve">Contains the detailed error returned by the eUICC in case the function execution failed on eUICC. The response data is defined in ES5 depending of the requested function. </w:t>
            </w:r>
          </w:p>
        </w:tc>
        <w:tc>
          <w:tcPr>
            <w:tcW w:w="0" w:type="auto"/>
            <w:tcBorders>
              <w:top w:val="single" w:sz="6" w:space="0" w:color="auto"/>
              <w:left w:val="single" w:sz="6" w:space="0" w:color="auto"/>
              <w:bottom w:val="single" w:sz="4" w:space="0" w:color="auto"/>
              <w:right w:val="single" w:sz="6" w:space="0" w:color="auto"/>
            </w:tcBorders>
            <w:vAlign w:val="center"/>
            <w:hideMark/>
          </w:tcPr>
          <w:p w14:paraId="07F2626D" w14:textId="77777777" w:rsidR="00B97365" w:rsidRDefault="00000000">
            <w:pPr>
              <w:tabs>
                <w:tab w:val="right" w:pos="7938"/>
              </w:tabs>
              <w:spacing w:after="60"/>
              <w:rPr>
                <w:rFonts w:eastAsia="Times New Roman" w:cs="Calibri"/>
                <w:sz w:val="16"/>
                <w:szCs w:val="16"/>
                <w:lang w:val="en-US"/>
              </w:rPr>
            </w:pPr>
            <w:r>
              <w:rPr>
                <w:rFonts w:cs="Calibri"/>
                <w:sz w:val="16"/>
                <w:szCs w:val="16"/>
                <w:lang w:val="en-US"/>
              </w:rPr>
              <w:t>Hex binary</w:t>
            </w:r>
          </w:p>
        </w:tc>
        <w:tc>
          <w:tcPr>
            <w:tcW w:w="0" w:type="auto"/>
            <w:tcBorders>
              <w:top w:val="single" w:sz="6" w:space="0" w:color="auto"/>
              <w:left w:val="single" w:sz="6" w:space="0" w:color="auto"/>
              <w:bottom w:val="single" w:sz="4" w:space="0" w:color="auto"/>
              <w:right w:val="single" w:sz="6" w:space="0" w:color="auto"/>
            </w:tcBorders>
            <w:vAlign w:val="center"/>
            <w:hideMark/>
          </w:tcPr>
          <w:p w14:paraId="78B6B02F"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391EAF2"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O</w:t>
            </w:r>
          </w:p>
        </w:tc>
      </w:tr>
    </w:tbl>
    <w:p w14:paraId="6EFBF653"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Disable Profile Additional Output Data</w:t>
      </w:r>
    </w:p>
    <w:p w14:paraId="5325B9AC" w14:textId="77777777" w:rsidR="00B97365" w:rsidRDefault="00B97365">
      <w:pPr>
        <w:rPr>
          <w:rFonts w:cs="Calibri"/>
          <w:i/>
        </w:rPr>
      </w:pPr>
    </w:p>
    <w:p w14:paraId="6950EE7F" w14:textId="77777777" w:rsidR="00B97365" w:rsidRDefault="00000000">
      <w:pPr>
        <w:spacing w:before="0" w:after="200" w:line="276" w:lineRule="auto"/>
        <w:jc w:val="left"/>
        <w:rPr>
          <w:b/>
          <w:i/>
          <w:szCs w:val="22"/>
          <w:lang w:val="en-US" w:eastAsia="en-GB" w:bidi="ar-SA"/>
        </w:rPr>
      </w:pPr>
      <w:bookmarkStart w:id="5383" w:name="_Toc420594867"/>
      <w:r>
        <w:rPr>
          <w:rFonts w:cs="Arial"/>
          <w:b/>
          <w:i/>
          <w:szCs w:val="22"/>
          <w:lang w:val="en-US" w:eastAsia="en-GB" w:bidi="ar-SA"/>
        </w:rPr>
        <w:t>Specific status codes</w:t>
      </w:r>
      <w:bookmarkEnd w:id="5383"/>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674"/>
        <w:gridCol w:w="1022"/>
        <w:gridCol w:w="709"/>
        <w:gridCol w:w="1181"/>
        <w:gridCol w:w="5430"/>
      </w:tblGrid>
      <w:tr w:rsidR="00B97365" w14:paraId="6B346579"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0DA775E" w14:textId="77777777" w:rsidR="00B97365" w:rsidRDefault="00000000">
            <w:pPr>
              <w:jc w:val="center"/>
              <w:rPr>
                <w:rFonts w:cs="Calibri"/>
                <w:color w:val="FFFFFF"/>
                <w:sz w:val="16"/>
                <w:szCs w:val="16"/>
              </w:rPr>
            </w:pPr>
            <w:r>
              <w:rPr>
                <w:rFonts w:cs="Calibri"/>
                <w:color w:val="FFFFFF"/>
                <w:sz w:val="16"/>
                <w:szCs w:val="16"/>
              </w:rPr>
              <w:t>Subject</w:t>
            </w:r>
          </w:p>
          <w:p w14:paraId="38224D4E" w14:textId="77777777" w:rsidR="00B97365" w:rsidRDefault="00000000">
            <w:pPr>
              <w:jc w:val="center"/>
              <w:rPr>
                <w:rFonts w:cs="Calibri"/>
                <w:color w:val="FFFFFF"/>
                <w:sz w:val="16"/>
                <w:szCs w:val="16"/>
              </w:rPr>
            </w:pPr>
            <w:r>
              <w:rPr>
                <w:rFonts w:cs="Calibri"/>
                <w:color w:val="FFFFFF"/>
                <w:sz w:val="16"/>
                <w:szCs w:val="16"/>
              </w:rPr>
              <w:t>code</w:t>
            </w:r>
          </w:p>
        </w:tc>
        <w:tc>
          <w:tcPr>
            <w:tcW w:w="102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6FC825B" w14:textId="77777777" w:rsidR="00B97365" w:rsidRDefault="00000000">
            <w:pPr>
              <w:jc w:val="center"/>
              <w:rPr>
                <w:rFonts w:cs="Calibri"/>
                <w:color w:val="FFFFFF"/>
                <w:sz w:val="16"/>
                <w:szCs w:val="16"/>
              </w:rPr>
            </w:pPr>
            <w:r>
              <w:rPr>
                <w:rFonts w:cs="Calibri"/>
                <w:color w:val="FFFFFF"/>
                <w:sz w:val="16"/>
                <w:szCs w:val="16"/>
              </w:rPr>
              <w:t>Subject</w:t>
            </w:r>
          </w:p>
        </w:tc>
        <w:tc>
          <w:tcPr>
            <w:tcW w:w="70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0218871" w14:textId="77777777" w:rsidR="00B97365" w:rsidRDefault="00000000">
            <w:pPr>
              <w:jc w:val="center"/>
              <w:rPr>
                <w:rFonts w:cs="Calibri"/>
                <w:color w:val="FFFFFF"/>
                <w:sz w:val="16"/>
                <w:szCs w:val="16"/>
              </w:rPr>
            </w:pPr>
            <w:r>
              <w:rPr>
                <w:rFonts w:cs="Calibri"/>
                <w:color w:val="FFFFFF"/>
                <w:sz w:val="16"/>
                <w:szCs w:val="16"/>
              </w:rPr>
              <w:t>Reason</w:t>
            </w:r>
          </w:p>
          <w:p w14:paraId="517C3768" w14:textId="77777777" w:rsidR="00B97365" w:rsidRDefault="00000000">
            <w:pPr>
              <w:jc w:val="center"/>
              <w:rPr>
                <w:rFonts w:cs="Calibri"/>
                <w:color w:val="FFFFFF"/>
                <w:sz w:val="16"/>
                <w:szCs w:val="16"/>
              </w:rPr>
            </w:pPr>
            <w:r>
              <w:rPr>
                <w:rFonts w:cs="Calibri"/>
                <w:color w:val="FFFFFF"/>
                <w:sz w:val="16"/>
                <w:szCs w:val="16"/>
              </w:rPr>
              <w:t>code</w:t>
            </w:r>
          </w:p>
        </w:tc>
        <w:tc>
          <w:tcPr>
            <w:tcW w:w="118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5668167" w14:textId="77777777" w:rsidR="00B97365" w:rsidRDefault="00000000">
            <w:pPr>
              <w:jc w:val="center"/>
              <w:rPr>
                <w:rFonts w:cs="Calibri"/>
                <w:color w:val="FFFFFF"/>
                <w:sz w:val="16"/>
                <w:szCs w:val="16"/>
              </w:rPr>
            </w:pPr>
            <w:r>
              <w:rPr>
                <w:rFonts w:cs="Calibri"/>
                <w:color w:val="FFFFFF"/>
                <w:sz w:val="16"/>
                <w:szCs w:val="16"/>
              </w:rPr>
              <w:t>Reason</w:t>
            </w:r>
          </w:p>
        </w:tc>
        <w:tc>
          <w:tcPr>
            <w:tcW w:w="543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87F001E" w14:textId="77777777" w:rsidR="00B97365" w:rsidRDefault="00000000">
            <w:pPr>
              <w:jc w:val="center"/>
              <w:rPr>
                <w:rFonts w:cs="Calibri"/>
                <w:color w:val="FFFFFF"/>
                <w:sz w:val="16"/>
                <w:szCs w:val="16"/>
              </w:rPr>
            </w:pPr>
            <w:r>
              <w:rPr>
                <w:rFonts w:cs="Calibri"/>
                <w:color w:val="FFFFFF"/>
                <w:sz w:val="16"/>
                <w:szCs w:val="16"/>
              </w:rPr>
              <w:t>Description</w:t>
            </w:r>
          </w:p>
        </w:tc>
      </w:tr>
      <w:tr w:rsidR="00B97365" w14:paraId="1E01DCF6"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425C658" w14:textId="77777777" w:rsidR="00B97365" w:rsidRDefault="00000000">
            <w:pPr>
              <w:rPr>
                <w:rFonts w:cs="Calibri"/>
                <w:sz w:val="16"/>
                <w:szCs w:val="16"/>
              </w:rPr>
            </w:pPr>
            <w:r>
              <w:rPr>
                <w:rFonts w:cs="Calibri"/>
                <w:sz w:val="16"/>
                <w:szCs w:val="16"/>
              </w:rPr>
              <w:t>8.1</w:t>
            </w:r>
          </w:p>
        </w:tc>
        <w:tc>
          <w:tcPr>
            <w:tcW w:w="1022" w:type="dxa"/>
            <w:tcBorders>
              <w:top w:val="single" w:sz="6" w:space="0" w:color="auto"/>
              <w:left w:val="single" w:sz="6" w:space="0" w:color="auto"/>
              <w:bottom w:val="single" w:sz="6" w:space="0" w:color="auto"/>
              <w:right w:val="single" w:sz="6" w:space="0" w:color="auto"/>
            </w:tcBorders>
            <w:vAlign w:val="center"/>
            <w:hideMark/>
          </w:tcPr>
          <w:p w14:paraId="483713AE" w14:textId="77777777" w:rsidR="00B97365" w:rsidRDefault="00000000">
            <w:pPr>
              <w:spacing w:after="60"/>
              <w:rPr>
                <w:rFonts w:eastAsia="Times New Roman" w:cs="Calibri"/>
                <w:sz w:val="16"/>
                <w:szCs w:val="16"/>
                <w:lang w:val="en-US"/>
              </w:rPr>
            </w:pPr>
            <w:r>
              <w:rPr>
                <w:rFonts w:cs="Calibri"/>
                <w:sz w:val="16"/>
                <w:szCs w:val="16"/>
                <w:lang w:val="en-US"/>
              </w:rPr>
              <w:t>UICC</w:t>
            </w:r>
          </w:p>
        </w:tc>
        <w:tc>
          <w:tcPr>
            <w:tcW w:w="709" w:type="dxa"/>
            <w:tcBorders>
              <w:top w:val="single" w:sz="6" w:space="0" w:color="auto"/>
              <w:left w:val="single" w:sz="6" w:space="0" w:color="auto"/>
              <w:bottom w:val="single" w:sz="6" w:space="0" w:color="auto"/>
              <w:right w:val="single" w:sz="6" w:space="0" w:color="auto"/>
            </w:tcBorders>
            <w:vAlign w:val="center"/>
            <w:hideMark/>
          </w:tcPr>
          <w:p w14:paraId="03FAE1C4" w14:textId="77777777" w:rsidR="00B97365" w:rsidRDefault="00000000">
            <w:pPr>
              <w:spacing w:after="60"/>
              <w:rPr>
                <w:rFonts w:eastAsia="Times New Roman" w:cs="Calibri"/>
                <w:sz w:val="16"/>
                <w:szCs w:val="16"/>
                <w:lang w:val="en-US"/>
              </w:rPr>
            </w:pPr>
            <w:r>
              <w:rPr>
                <w:rFonts w:cs="Calibri"/>
                <w:sz w:val="16"/>
                <w:szCs w:val="16"/>
                <w:lang w:val="en-US"/>
              </w:rPr>
              <w:t>3.8</w:t>
            </w:r>
          </w:p>
        </w:tc>
        <w:tc>
          <w:tcPr>
            <w:tcW w:w="1181" w:type="dxa"/>
            <w:tcBorders>
              <w:top w:val="single" w:sz="6" w:space="0" w:color="auto"/>
              <w:left w:val="single" w:sz="6" w:space="0" w:color="auto"/>
              <w:bottom w:val="single" w:sz="6" w:space="0" w:color="auto"/>
              <w:right w:val="single" w:sz="6" w:space="0" w:color="auto"/>
            </w:tcBorders>
            <w:vAlign w:val="center"/>
            <w:hideMark/>
          </w:tcPr>
          <w:p w14:paraId="4AB3D0BA" w14:textId="77777777" w:rsidR="00B97365" w:rsidRDefault="00000000">
            <w:pPr>
              <w:spacing w:after="60"/>
              <w:rPr>
                <w:rFonts w:eastAsia="Times New Roman" w:cs="Calibri"/>
                <w:sz w:val="16"/>
                <w:szCs w:val="16"/>
              </w:rPr>
            </w:pPr>
            <w:r>
              <w:rPr>
                <w:rFonts w:cs="Calibri"/>
                <w:sz w:val="16"/>
                <w:szCs w:val="16"/>
                <w:lang w:val="en-US"/>
              </w:rPr>
              <w:t>Refused</w:t>
            </w:r>
          </w:p>
        </w:tc>
        <w:tc>
          <w:tcPr>
            <w:tcW w:w="5430" w:type="dxa"/>
            <w:tcBorders>
              <w:top w:val="single" w:sz="6" w:space="0" w:color="auto"/>
              <w:left w:val="single" w:sz="6" w:space="0" w:color="auto"/>
              <w:bottom w:val="single" w:sz="6" w:space="0" w:color="auto"/>
              <w:right w:val="single" w:sz="4" w:space="0" w:color="auto"/>
            </w:tcBorders>
            <w:vAlign w:val="center"/>
            <w:hideMark/>
          </w:tcPr>
          <w:p w14:paraId="6F5B5612" w14:textId="77777777" w:rsidR="00B97365" w:rsidRDefault="00000000">
            <w:pPr>
              <w:spacing w:after="60"/>
              <w:rPr>
                <w:rFonts w:eastAsia="Times New Roman" w:cs="Calibri"/>
                <w:sz w:val="16"/>
                <w:szCs w:val="16"/>
              </w:rPr>
            </w:pPr>
            <w:r>
              <w:rPr>
                <w:rFonts w:cs="Calibri"/>
                <w:sz w:val="16"/>
                <w:szCs w:val="16"/>
                <w:lang w:val="en-US"/>
              </w:rPr>
              <w:t>Indicates that the target Profile can’t be disabled. (for example the Profile is the only Profile in the eUICC)</w:t>
            </w:r>
          </w:p>
        </w:tc>
      </w:tr>
      <w:tr w:rsidR="00B97365" w14:paraId="719A6ED1"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8869CE9" w14:textId="77777777" w:rsidR="00B97365" w:rsidRDefault="00000000">
            <w:pPr>
              <w:rPr>
                <w:rFonts w:cs="Calibri"/>
                <w:sz w:val="16"/>
                <w:szCs w:val="16"/>
              </w:rPr>
            </w:pPr>
            <w:r>
              <w:rPr>
                <w:rFonts w:cs="Calibri"/>
                <w:sz w:val="16"/>
                <w:szCs w:val="16"/>
              </w:rPr>
              <w:t>8.2</w:t>
            </w:r>
          </w:p>
        </w:tc>
        <w:tc>
          <w:tcPr>
            <w:tcW w:w="1022" w:type="dxa"/>
            <w:tcBorders>
              <w:top w:val="single" w:sz="6" w:space="0" w:color="auto"/>
              <w:left w:val="single" w:sz="6" w:space="0" w:color="auto"/>
              <w:bottom w:val="single" w:sz="6" w:space="0" w:color="auto"/>
              <w:right w:val="single" w:sz="6" w:space="0" w:color="auto"/>
            </w:tcBorders>
            <w:vAlign w:val="center"/>
          </w:tcPr>
          <w:p w14:paraId="6F3E84C9" w14:textId="77777777" w:rsidR="00B97365" w:rsidRDefault="00000000">
            <w:pPr>
              <w:spacing w:after="60"/>
              <w:rPr>
                <w:rFonts w:cs="Calibri"/>
                <w:sz w:val="16"/>
                <w:szCs w:val="16"/>
                <w:lang w:val="en-US"/>
              </w:rPr>
            </w:pPr>
            <w:r>
              <w:rPr>
                <w:rFonts w:cs="Calibri"/>
                <w:sz w:val="16"/>
                <w:szCs w:val="16"/>
                <w:lang w:val="en-US"/>
              </w:rPr>
              <w:t>Profile</w:t>
            </w:r>
          </w:p>
        </w:tc>
        <w:tc>
          <w:tcPr>
            <w:tcW w:w="709" w:type="dxa"/>
            <w:tcBorders>
              <w:top w:val="single" w:sz="6" w:space="0" w:color="auto"/>
              <w:left w:val="single" w:sz="6" w:space="0" w:color="auto"/>
              <w:bottom w:val="single" w:sz="6" w:space="0" w:color="auto"/>
              <w:right w:val="single" w:sz="6" w:space="0" w:color="auto"/>
            </w:tcBorders>
            <w:vAlign w:val="center"/>
          </w:tcPr>
          <w:p w14:paraId="4C7913AC" w14:textId="77777777" w:rsidR="00B97365" w:rsidRDefault="00000000">
            <w:pPr>
              <w:spacing w:after="60"/>
              <w:rPr>
                <w:rFonts w:cs="Calibri"/>
                <w:sz w:val="16"/>
                <w:szCs w:val="16"/>
                <w:lang w:val="en-US"/>
              </w:rPr>
            </w:pPr>
            <w:r>
              <w:rPr>
                <w:rFonts w:cs="Calibri"/>
                <w:sz w:val="16"/>
                <w:szCs w:val="16"/>
                <w:lang w:val="en-US"/>
              </w:rPr>
              <w:t>5.1</w:t>
            </w:r>
          </w:p>
        </w:tc>
        <w:tc>
          <w:tcPr>
            <w:tcW w:w="1181" w:type="dxa"/>
            <w:tcBorders>
              <w:top w:val="single" w:sz="6" w:space="0" w:color="auto"/>
              <w:left w:val="single" w:sz="6" w:space="0" w:color="auto"/>
              <w:bottom w:val="single" w:sz="6" w:space="0" w:color="auto"/>
              <w:right w:val="single" w:sz="6" w:space="0" w:color="auto"/>
            </w:tcBorders>
            <w:vAlign w:val="center"/>
          </w:tcPr>
          <w:p w14:paraId="5BF482AD" w14:textId="77777777" w:rsidR="00B97365" w:rsidRDefault="00000000">
            <w:pPr>
              <w:spacing w:after="60"/>
              <w:rPr>
                <w:rFonts w:cs="Calibri"/>
                <w:sz w:val="16"/>
                <w:szCs w:val="16"/>
                <w:lang w:val="en-US"/>
              </w:rPr>
            </w:pPr>
            <w:r>
              <w:rPr>
                <w:rFonts w:cs="Calibri"/>
                <w:sz w:val="16"/>
                <w:szCs w:val="16"/>
              </w:rPr>
              <w:t>Inaccessible</w:t>
            </w:r>
          </w:p>
        </w:tc>
        <w:tc>
          <w:tcPr>
            <w:tcW w:w="5430" w:type="dxa"/>
            <w:tcBorders>
              <w:top w:val="single" w:sz="6" w:space="0" w:color="auto"/>
              <w:left w:val="single" w:sz="6" w:space="0" w:color="auto"/>
              <w:bottom w:val="single" w:sz="6" w:space="0" w:color="auto"/>
              <w:right w:val="single" w:sz="4" w:space="0" w:color="auto"/>
            </w:tcBorders>
            <w:vAlign w:val="center"/>
          </w:tcPr>
          <w:p w14:paraId="4E4614D8" w14:textId="77777777" w:rsidR="00B97365" w:rsidRDefault="00000000">
            <w:pPr>
              <w:spacing w:after="60"/>
              <w:rPr>
                <w:rFonts w:cs="Calibri"/>
                <w:sz w:val="16"/>
                <w:szCs w:val="16"/>
                <w:lang w:val="en-US"/>
              </w:rPr>
            </w:pPr>
            <w:r>
              <w:rPr>
                <w:rFonts w:cs="Calibri"/>
                <w:sz w:val="16"/>
                <w:szCs w:val="16"/>
              </w:rPr>
              <w:t xml:space="preserve">Indicates that the Profile change procedure couldn’t complete after enabling the Profile with the Fall-Back Attribute set, and the Profile change was rolled-back on the eUICC, </w:t>
            </w:r>
          </w:p>
        </w:tc>
      </w:tr>
      <w:tr w:rsidR="00B97365" w14:paraId="549EEEE5"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C9A4BA6" w14:textId="77777777" w:rsidR="00B97365" w:rsidRDefault="00000000">
            <w:pPr>
              <w:rPr>
                <w:rFonts w:cs="Calibri"/>
                <w:sz w:val="16"/>
                <w:szCs w:val="16"/>
              </w:rPr>
            </w:pPr>
            <w:r>
              <w:rPr>
                <w:rFonts w:cs="Calibri"/>
                <w:sz w:val="16"/>
                <w:szCs w:val="16"/>
              </w:rPr>
              <w:t>8.1.1</w:t>
            </w:r>
          </w:p>
        </w:tc>
        <w:tc>
          <w:tcPr>
            <w:tcW w:w="1022" w:type="dxa"/>
            <w:tcBorders>
              <w:top w:val="single" w:sz="6" w:space="0" w:color="auto"/>
              <w:left w:val="single" w:sz="6" w:space="0" w:color="auto"/>
              <w:bottom w:val="single" w:sz="6" w:space="0" w:color="auto"/>
              <w:right w:val="single" w:sz="6" w:space="0" w:color="auto"/>
            </w:tcBorders>
            <w:vAlign w:val="center"/>
            <w:hideMark/>
          </w:tcPr>
          <w:p w14:paraId="565505BB" w14:textId="77777777" w:rsidR="00B97365" w:rsidRDefault="00000000">
            <w:pPr>
              <w:spacing w:after="60"/>
              <w:rPr>
                <w:rFonts w:eastAsia="Times New Roman" w:cs="Calibri"/>
                <w:sz w:val="16"/>
                <w:szCs w:val="16"/>
                <w:lang w:val="en-US"/>
              </w:rPr>
            </w:pPr>
            <w:r>
              <w:rPr>
                <w:rFonts w:cs="Calibri"/>
                <w:sz w:val="16"/>
                <w:szCs w:val="16"/>
                <w:lang w:val="en-US"/>
              </w:rPr>
              <w:t>EID</w:t>
            </w:r>
          </w:p>
        </w:tc>
        <w:tc>
          <w:tcPr>
            <w:tcW w:w="709" w:type="dxa"/>
            <w:tcBorders>
              <w:top w:val="single" w:sz="6" w:space="0" w:color="auto"/>
              <w:left w:val="single" w:sz="6" w:space="0" w:color="auto"/>
              <w:bottom w:val="single" w:sz="6" w:space="0" w:color="auto"/>
              <w:right w:val="single" w:sz="6" w:space="0" w:color="auto"/>
            </w:tcBorders>
            <w:vAlign w:val="center"/>
            <w:hideMark/>
          </w:tcPr>
          <w:p w14:paraId="16C9BC64" w14:textId="77777777" w:rsidR="00B97365" w:rsidRDefault="00000000">
            <w:pPr>
              <w:spacing w:after="60"/>
              <w:rPr>
                <w:rFonts w:eastAsia="Times New Roman" w:cs="Calibri"/>
                <w:sz w:val="16"/>
                <w:szCs w:val="16"/>
                <w:lang w:val="en-US"/>
              </w:rPr>
            </w:pPr>
            <w:r>
              <w:rPr>
                <w:rFonts w:cs="Calibri"/>
                <w:sz w:val="16"/>
                <w:szCs w:val="16"/>
                <w:lang w:val="en-US"/>
              </w:rPr>
              <w:t>3.9</w:t>
            </w:r>
          </w:p>
        </w:tc>
        <w:tc>
          <w:tcPr>
            <w:tcW w:w="1181" w:type="dxa"/>
            <w:tcBorders>
              <w:top w:val="single" w:sz="6" w:space="0" w:color="auto"/>
              <w:left w:val="single" w:sz="6" w:space="0" w:color="auto"/>
              <w:bottom w:val="single" w:sz="6" w:space="0" w:color="auto"/>
              <w:right w:val="single" w:sz="6" w:space="0" w:color="auto"/>
            </w:tcBorders>
            <w:vAlign w:val="center"/>
            <w:hideMark/>
          </w:tcPr>
          <w:p w14:paraId="544CF98E" w14:textId="77777777" w:rsidR="00B97365" w:rsidRDefault="00000000">
            <w:pPr>
              <w:spacing w:after="60"/>
              <w:rPr>
                <w:rFonts w:eastAsia="Times New Roman" w:cs="Calibri"/>
                <w:sz w:val="16"/>
                <w:szCs w:val="16"/>
              </w:rPr>
            </w:pPr>
            <w:r>
              <w:rPr>
                <w:rFonts w:cs="Calibri"/>
                <w:sz w:val="16"/>
                <w:szCs w:val="16"/>
              </w:rPr>
              <w:t>Unknown</w:t>
            </w:r>
          </w:p>
        </w:tc>
        <w:tc>
          <w:tcPr>
            <w:tcW w:w="5430" w:type="dxa"/>
            <w:tcBorders>
              <w:top w:val="single" w:sz="6" w:space="0" w:color="auto"/>
              <w:left w:val="single" w:sz="6" w:space="0" w:color="auto"/>
              <w:bottom w:val="single" w:sz="6" w:space="0" w:color="auto"/>
              <w:right w:val="single" w:sz="4" w:space="0" w:color="auto"/>
            </w:tcBorders>
            <w:vAlign w:val="center"/>
            <w:hideMark/>
          </w:tcPr>
          <w:p w14:paraId="280EA364" w14:textId="77777777" w:rsidR="00B97365" w:rsidRDefault="00000000">
            <w:pPr>
              <w:spacing w:after="60"/>
              <w:rPr>
                <w:rFonts w:eastAsia="Times New Roman" w:cs="Calibri"/>
                <w:sz w:val="16"/>
                <w:szCs w:val="16"/>
                <w:lang w:val="en-US"/>
              </w:rPr>
            </w:pPr>
            <w:r>
              <w:rPr>
                <w:rFonts w:cs="Calibri"/>
                <w:sz w:val="16"/>
                <w:szCs w:val="16"/>
              </w:rPr>
              <w:t>Indicates that the eUICC, identified by this EID, is unknown to the function provider.</w:t>
            </w:r>
          </w:p>
        </w:tc>
      </w:tr>
      <w:tr w:rsidR="00B97365" w14:paraId="0BF25340"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03FB08A" w14:textId="77777777" w:rsidR="00B97365" w:rsidRDefault="00000000">
            <w:pPr>
              <w:rPr>
                <w:rFonts w:cs="Calibri"/>
                <w:sz w:val="16"/>
                <w:szCs w:val="16"/>
              </w:rPr>
            </w:pPr>
            <w:r>
              <w:rPr>
                <w:rFonts w:cs="Calibri"/>
                <w:sz w:val="16"/>
                <w:szCs w:val="16"/>
              </w:rPr>
              <w:t>8.2.1</w:t>
            </w:r>
          </w:p>
        </w:tc>
        <w:tc>
          <w:tcPr>
            <w:tcW w:w="1022" w:type="dxa"/>
            <w:tcBorders>
              <w:top w:val="single" w:sz="6" w:space="0" w:color="auto"/>
              <w:left w:val="single" w:sz="6" w:space="0" w:color="auto"/>
              <w:bottom w:val="single" w:sz="6" w:space="0" w:color="auto"/>
              <w:right w:val="single" w:sz="6" w:space="0" w:color="auto"/>
            </w:tcBorders>
            <w:vAlign w:val="center"/>
            <w:hideMark/>
          </w:tcPr>
          <w:p w14:paraId="566486CE" w14:textId="77777777" w:rsidR="00B97365" w:rsidRDefault="00000000">
            <w:pPr>
              <w:spacing w:after="60"/>
              <w:rPr>
                <w:rFonts w:eastAsia="Times New Roman" w:cs="Calibri"/>
                <w:sz w:val="16"/>
                <w:szCs w:val="16"/>
                <w:lang w:val="en-US"/>
              </w:rPr>
            </w:pPr>
            <w:r>
              <w:rPr>
                <w:rFonts w:cs="Calibri"/>
                <w:sz w:val="16"/>
                <w:szCs w:val="16"/>
                <w:lang w:val="en-US"/>
              </w:rPr>
              <w:t>Profile ICCID</w:t>
            </w:r>
          </w:p>
        </w:tc>
        <w:tc>
          <w:tcPr>
            <w:tcW w:w="709" w:type="dxa"/>
            <w:tcBorders>
              <w:top w:val="single" w:sz="6" w:space="0" w:color="auto"/>
              <w:left w:val="single" w:sz="6" w:space="0" w:color="auto"/>
              <w:bottom w:val="single" w:sz="6" w:space="0" w:color="auto"/>
              <w:right w:val="single" w:sz="6" w:space="0" w:color="auto"/>
            </w:tcBorders>
            <w:vAlign w:val="center"/>
            <w:hideMark/>
          </w:tcPr>
          <w:p w14:paraId="69948398" w14:textId="77777777" w:rsidR="00B97365" w:rsidRDefault="00000000">
            <w:pPr>
              <w:spacing w:after="60"/>
              <w:rPr>
                <w:rFonts w:eastAsia="Times New Roman" w:cs="Calibri"/>
                <w:sz w:val="16"/>
                <w:szCs w:val="16"/>
                <w:lang w:val="en-US"/>
              </w:rPr>
            </w:pPr>
            <w:r>
              <w:rPr>
                <w:rFonts w:cs="Calibri"/>
                <w:sz w:val="16"/>
                <w:szCs w:val="16"/>
                <w:lang w:val="en-US"/>
              </w:rPr>
              <w:t>3.9</w:t>
            </w:r>
          </w:p>
        </w:tc>
        <w:tc>
          <w:tcPr>
            <w:tcW w:w="1181" w:type="dxa"/>
            <w:tcBorders>
              <w:top w:val="single" w:sz="6" w:space="0" w:color="auto"/>
              <w:left w:val="single" w:sz="6" w:space="0" w:color="auto"/>
              <w:bottom w:val="single" w:sz="6" w:space="0" w:color="auto"/>
              <w:right w:val="single" w:sz="6" w:space="0" w:color="auto"/>
            </w:tcBorders>
            <w:vAlign w:val="center"/>
            <w:hideMark/>
          </w:tcPr>
          <w:p w14:paraId="01895A9B" w14:textId="77777777" w:rsidR="00B97365" w:rsidRDefault="00000000">
            <w:pPr>
              <w:spacing w:after="60"/>
              <w:rPr>
                <w:rFonts w:eastAsia="Times New Roman" w:cs="Calibri"/>
                <w:sz w:val="16"/>
                <w:szCs w:val="16"/>
                <w:lang w:val="en-US"/>
              </w:rPr>
            </w:pPr>
            <w:r>
              <w:rPr>
                <w:rFonts w:cs="Calibri"/>
                <w:sz w:val="16"/>
                <w:szCs w:val="16"/>
              </w:rPr>
              <w:t>Unknown</w:t>
            </w:r>
          </w:p>
        </w:tc>
        <w:tc>
          <w:tcPr>
            <w:tcW w:w="5430" w:type="dxa"/>
            <w:tcBorders>
              <w:top w:val="single" w:sz="6" w:space="0" w:color="auto"/>
              <w:left w:val="single" w:sz="6" w:space="0" w:color="auto"/>
              <w:bottom w:val="single" w:sz="6" w:space="0" w:color="auto"/>
              <w:right w:val="single" w:sz="4" w:space="0" w:color="auto"/>
            </w:tcBorders>
            <w:vAlign w:val="center"/>
            <w:hideMark/>
          </w:tcPr>
          <w:p w14:paraId="0D658D81" w14:textId="77777777" w:rsidR="00B97365" w:rsidRDefault="00000000">
            <w:pPr>
              <w:spacing w:after="60"/>
              <w:rPr>
                <w:rFonts w:eastAsia="Times New Roman" w:cs="Calibri"/>
                <w:sz w:val="16"/>
                <w:szCs w:val="16"/>
                <w:lang w:val="en-US"/>
              </w:rPr>
            </w:pPr>
            <w:r>
              <w:rPr>
                <w:rFonts w:cs="Calibri"/>
                <w:sz w:val="16"/>
                <w:szCs w:val="16"/>
                <w:lang w:val="en-US"/>
              </w:rPr>
              <w:t>Indicates that the Profile identified by this ICCID is unknown to the function provider.</w:t>
            </w:r>
          </w:p>
        </w:tc>
      </w:tr>
      <w:tr w:rsidR="00B97365" w14:paraId="01D25492"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A7084DE" w14:textId="77777777" w:rsidR="00B97365" w:rsidRDefault="00000000">
            <w:pPr>
              <w:rPr>
                <w:rFonts w:cs="Calibri"/>
                <w:sz w:val="16"/>
                <w:szCs w:val="16"/>
              </w:rPr>
            </w:pPr>
            <w:r>
              <w:rPr>
                <w:rFonts w:cs="Calibri"/>
                <w:sz w:val="16"/>
                <w:szCs w:val="16"/>
              </w:rPr>
              <w:t>8.2.1</w:t>
            </w:r>
          </w:p>
        </w:tc>
        <w:tc>
          <w:tcPr>
            <w:tcW w:w="1022" w:type="dxa"/>
            <w:tcBorders>
              <w:top w:val="single" w:sz="6" w:space="0" w:color="auto"/>
              <w:left w:val="single" w:sz="6" w:space="0" w:color="auto"/>
              <w:bottom w:val="single" w:sz="6" w:space="0" w:color="auto"/>
              <w:right w:val="single" w:sz="6" w:space="0" w:color="auto"/>
            </w:tcBorders>
            <w:vAlign w:val="center"/>
            <w:hideMark/>
          </w:tcPr>
          <w:p w14:paraId="79A62D32" w14:textId="77777777" w:rsidR="00B97365" w:rsidRDefault="00000000">
            <w:pPr>
              <w:spacing w:after="60"/>
              <w:rPr>
                <w:rFonts w:eastAsia="Times New Roman" w:cs="Calibri"/>
                <w:sz w:val="16"/>
                <w:szCs w:val="16"/>
                <w:lang w:val="en-US"/>
              </w:rPr>
            </w:pPr>
            <w:r>
              <w:rPr>
                <w:rFonts w:cs="Calibri"/>
                <w:sz w:val="16"/>
                <w:szCs w:val="16"/>
                <w:lang w:val="en-US"/>
              </w:rPr>
              <w:t>Profile ICCID</w:t>
            </w:r>
          </w:p>
        </w:tc>
        <w:tc>
          <w:tcPr>
            <w:tcW w:w="709" w:type="dxa"/>
            <w:tcBorders>
              <w:top w:val="single" w:sz="6" w:space="0" w:color="auto"/>
              <w:left w:val="single" w:sz="6" w:space="0" w:color="auto"/>
              <w:bottom w:val="single" w:sz="6" w:space="0" w:color="auto"/>
              <w:right w:val="single" w:sz="6" w:space="0" w:color="auto"/>
            </w:tcBorders>
            <w:vAlign w:val="center"/>
            <w:hideMark/>
          </w:tcPr>
          <w:p w14:paraId="7720D8F0" w14:textId="77777777" w:rsidR="00B97365" w:rsidRDefault="00000000">
            <w:pPr>
              <w:spacing w:after="60"/>
              <w:rPr>
                <w:rFonts w:eastAsia="Times New Roman" w:cs="Calibri"/>
                <w:sz w:val="16"/>
                <w:szCs w:val="16"/>
                <w:lang w:val="en-US"/>
              </w:rPr>
            </w:pPr>
            <w:r>
              <w:rPr>
                <w:rFonts w:cs="Calibri"/>
                <w:sz w:val="16"/>
                <w:szCs w:val="16"/>
                <w:lang w:val="en-US"/>
              </w:rPr>
              <w:t>3.4</w:t>
            </w:r>
          </w:p>
        </w:tc>
        <w:tc>
          <w:tcPr>
            <w:tcW w:w="1181" w:type="dxa"/>
            <w:tcBorders>
              <w:top w:val="single" w:sz="6" w:space="0" w:color="auto"/>
              <w:left w:val="single" w:sz="6" w:space="0" w:color="auto"/>
              <w:bottom w:val="single" w:sz="6" w:space="0" w:color="auto"/>
              <w:right w:val="single" w:sz="6" w:space="0" w:color="auto"/>
            </w:tcBorders>
            <w:vAlign w:val="center"/>
            <w:hideMark/>
          </w:tcPr>
          <w:p w14:paraId="422F601B" w14:textId="77777777" w:rsidR="00B97365" w:rsidRDefault="00000000">
            <w:pPr>
              <w:spacing w:after="60"/>
              <w:rPr>
                <w:rFonts w:eastAsia="Times New Roman" w:cs="Calibri"/>
                <w:sz w:val="16"/>
                <w:szCs w:val="16"/>
                <w:lang w:val="en-US"/>
              </w:rPr>
            </w:pPr>
            <w:r>
              <w:rPr>
                <w:rFonts w:cs="Calibri"/>
                <w:sz w:val="16"/>
                <w:szCs w:val="16"/>
              </w:rPr>
              <w:t>Invalid destination</w:t>
            </w:r>
          </w:p>
        </w:tc>
        <w:tc>
          <w:tcPr>
            <w:tcW w:w="5430" w:type="dxa"/>
            <w:tcBorders>
              <w:top w:val="single" w:sz="6" w:space="0" w:color="auto"/>
              <w:left w:val="single" w:sz="6" w:space="0" w:color="auto"/>
              <w:bottom w:val="single" w:sz="6" w:space="0" w:color="auto"/>
              <w:right w:val="single" w:sz="4" w:space="0" w:color="auto"/>
            </w:tcBorders>
            <w:vAlign w:val="center"/>
            <w:hideMark/>
          </w:tcPr>
          <w:p w14:paraId="2E86BB75" w14:textId="77777777" w:rsidR="00B97365" w:rsidRDefault="00000000">
            <w:pPr>
              <w:spacing w:after="60"/>
              <w:rPr>
                <w:rFonts w:eastAsia="Times New Roman" w:cs="Calibri"/>
                <w:sz w:val="16"/>
                <w:szCs w:val="16"/>
                <w:lang w:val="en-US"/>
              </w:rPr>
            </w:pPr>
            <w:r>
              <w:rPr>
                <w:rFonts w:cs="Calibri"/>
                <w:sz w:val="16"/>
                <w:szCs w:val="16"/>
                <w:lang w:val="en-US"/>
              </w:rPr>
              <w:t>Indicates that the Profile identified by this ICCID is known to the function provider but installed on another eUICC than the one identified by the function caller.</w:t>
            </w:r>
          </w:p>
        </w:tc>
      </w:tr>
      <w:tr w:rsidR="00B97365" w14:paraId="30BFA8FA"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D030914" w14:textId="77777777" w:rsidR="00B97365" w:rsidRDefault="00000000">
            <w:pPr>
              <w:rPr>
                <w:rFonts w:cs="Calibri"/>
                <w:sz w:val="16"/>
                <w:szCs w:val="16"/>
              </w:rPr>
            </w:pPr>
            <w:r>
              <w:rPr>
                <w:rFonts w:cs="Calibri"/>
                <w:sz w:val="16"/>
                <w:szCs w:val="16"/>
              </w:rPr>
              <w:t>8.2.1</w:t>
            </w:r>
          </w:p>
        </w:tc>
        <w:tc>
          <w:tcPr>
            <w:tcW w:w="1022" w:type="dxa"/>
            <w:tcBorders>
              <w:top w:val="single" w:sz="6" w:space="0" w:color="auto"/>
              <w:left w:val="single" w:sz="6" w:space="0" w:color="auto"/>
              <w:bottom w:val="single" w:sz="6" w:space="0" w:color="auto"/>
              <w:right w:val="single" w:sz="6" w:space="0" w:color="auto"/>
            </w:tcBorders>
            <w:vAlign w:val="center"/>
          </w:tcPr>
          <w:p w14:paraId="78802C44" w14:textId="77777777" w:rsidR="00B97365" w:rsidRDefault="00000000">
            <w:pPr>
              <w:spacing w:after="60"/>
              <w:rPr>
                <w:rFonts w:cs="Calibri"/>
                <w:sz w:val="16"/>
                <w:szCs w:val="16"/>
                <w:lang w:val="en-US"/>
              </w:rPr>
            </w:pPr>
            <w:r>
              <w:rPr>
                <w:rFonts w:cs="Calibri"/>
                <w:sz w:val="16"/>
                <w:szCs w:val="16"/>
                <w:lang w:val="en-US"/>
              </w:rPr>
              <w:t>Profile ICCID</w:t>
            </w:r>
          </w:p>
        </w:tc>
        <w:tc>
          <w:tcPr>
            <w:tcW w:w="709" w:type="dxa"/>
            <w:tcBorders>
              <w:top w:val="single" w:sz="6" w:space="0" w:color="auto"/>
              <w:left w:val="single" w:sz="6" w:space="0" w:color="auto"/>
              <w:bottom w:val="single" w:sz="6" w:space="0" w:color="auto"/>
              <w:right w:val="single" w:sz="6" w:space="0" w:color="auto"/>
            </w:tcBorders>
            <w:vAlign w:val="center"/>
          </w:tcPr>
          <w:p w14:paraId="682F221D" w14:textId="77777777" w:rsidR="00B97365" w:rsidRDefault="00000000">
            <w:pPr>
              <w:spacing w:after="60"/>
              <w:rPr>
                <w:rFonts w:cs="Calibri"/>
                <w:sz w:val="16"/>
                <w:szCs w:val="16"/>
                <w:lang w:val="en-US"/>
              </w:rPr>
            </w:pPr>
            <w:r>
              <w:rPr>
                <w:rFonts w:cs="Calibri"/>
                <w:sz w:val="16"/>
                <w:szCs w:val="16"/>
                <w:lang w:val="en-US"/>
              </w:rPr>
              <w:t>3.5</w:t>
            </w:r>
          </w:p>
        </w:tc>
        <w:tc>
          <w:tcPr>
            <w:tcW w:w="1181" w:type="dxa"/>
            <w:tcBorders>
              <w:top w:val="single" w:sz="6" w:space="0" w:color="auto"/>
              <w:left w:val="single" w:sz="6" w:space="0" w:color="auto"/>
              <w:bottom w:val="single" w:sz="6" w:space="0" w:color="auto"/>
              <w:right w:val="single" w:sz="6" w:space="0" w:color="auto"/>
            </w:tcBorders>
            <w:vAlign w:val="center"/>
          </w:tcPr>
          <w:p w14:paraId="733CA4A6" w14:textId="77777777" w:rsidR="00B97365" w:rsidRDefault="00000000">
            <w:pPr>
              <w:spacing w:after="60"/>
              <w:rPr>
                <w:rFonts w:cs="Calibri"/>
                <w:sz w:val="16"/>
                <w:szCs w:val="16"/>
              </w:rPr>
            </w:pPr>
            <w:r>
              <w:rPr>
                <w:rFonts w:eastAsia="Times New Roman" w:cs="Arial"/>
                <w:sz w:val="16"/>
                <w:szCs w:val="16"/>
                <w:lang w:eastAsia="en-GB" w:bidi="ar-SA"/>
              </w:rPr>
              <w:t>Invalid Transition </w:t>
            </w:r>
          </w:p>
        </w:tc>
        <w:tc>
          <w:tcPr>
            <w:tcW w:w="5430" w:type="dxa"/>
            <w:tcBorders>
              <w:top w:val="single" w:sz="6" w:space="0" w:color="auto"/>
              <w:left w:val="single" w:sz="6" w:space="0" w:color="auto"/>
              <w:bottom w:val="single" w:sz="6" w:space="0" w:color="auto"/>
              <w:right w:val="single" w:sz="4" w:space="0" w:color="auto"/>
            </w:tcBorders>
            <w:vAlign w:val="center"/>
          </w:tcPr>
          <w:p w14:paraId="788566A4" w14:textId="77777777" w:rsidR="00B97365" w:rsidRDefault="00000000">
            <w:pPr>
              <w:spacing w:after="60"/>
              <w:rPr>
                <w:rFonts w:cs="Calibri"/>
                <w:sz w:val="16"/>
                <w:szCs w:val="16"/>
                <w:lang w:val="en-US"/>
              </w:rPr>
            </w:pPr>
            <w:r>
              <w:rPr>
                <w:rFonts w:eastAsia="Times New Roman" w:cs="Arial"/>
                <w:sz w:val="16"/>
                <w:szCs w:val="16"/>
                <w:lang w:eastAsia="en-GB" w:bidi="ar-SA"/>
              </w:rPr>
              <w:t>Indicates that the Profile was already Disabled </w:t>
            </w:r>
          </w:p>
        </w:tc>
      </w:tr>
      <w:tr w:rsidR="00B97365" w14:paraId="7F12A682"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3C23AFD" w14:textId="77777777" w:rsidR="00B97365" w:rsidRDefault="00000000">
            <w:pPr>
              <w:rPr>
                <w:rFonts w:cs="Calibri"/>
                <w:sz w:val="16"/>
                <w:szCs w:val="16"/>
              </w:rPr>
            </w:pPr>
            <w:r>
              <w:rPr>
                <w:rFonts w:cs="Calibri"/>
                <w:sz w:val="16"/>
                <w:szCs w:val="16"/>
              </w:rPr>
              <w:t>8.2.1</w:t>
            </w:r>
          </w:p>
        </w:tc>
        <w:tc>
          <w:tcPr>
            <w:tcW w:w="1022" w:type="dxa"/>
            <w:tcBorders>
              <w:top w:val="single" w:sz="6" w:space="0" w:color="auto"/>
              <w:left w:val="single" w:sz="6" w:space="0" w:color="auto"/>
              <w:bottom w:val="single" w:sz="6" w:space="0" w:color="auto"/>
              <w:right w:val="single" w:sz="6" w:space="0" w:color="auto"/>
            </w:tcBorders>
            <w:vAlign w:val="center"/>
            <w:hideMark/>
          </w:tcPr>
          <w:p w14:paraId="0D5DD048" w14:textId="77777777" w:rsidR="00B97365" w:rsidRDefault="00000000">
            <w:pPr>
              <w:spacing w:after="60"/>
              <w:rPr>
                <w:rFonts w:eastAsia="Times New Roman" w:cs="Calibri"/>
                <w:sz w:val="16"/>
                <w:szCs w:val="16"/>
                <w:lang w:val="en-US"/>
              </w:rPr>
            </w:pPr>
            <w:r>
              <w:rPr>
                <w:rFonts w:cs="Calibri"/>
                <w:sz w:val="16"/>
                <w:szCs w:val="16"/>
                <w:lang w:val="en-US"/>
              </w:rPr>
              <w:t>Profile ICCID</w:t>
            </w:r>
          </w:p>
        </w:tc>
        <w:tc>
          <w:tcPr>
            <w:tcW w:w="709" w:type="dxa"/>
            <w:tcBorders>
              <w:top w:val="single" w:sz="6" w:space="0" w:color="auto"/>
              <w:left w:val="single" w:sz="6" w:space="0" w:color="auto"/>
              <w:bottom w:val="single" w:sz="6" w:space="0" w:color="auto"/>
              <w:right w:val="single" w:sz="6" w:space="0" w:color="auto"/>
            </w:tcBorders>
            <w:vAlign w:val="center"/>
            <w:hideMark/>
          </w:tcPr>
          <w:p w14:paraId="630C21DC" w14:textId="77777777" w:rsidR="00B97365" w:rsidRDefault="00000000">
            <w:pPr>
              <w:spacing w:after="60"/>
              <w:rPr>
                <w:rFonts w:eastAsia="Times New Roman" w:cs="Calibri"/>
                <w:sz w:val="16"/>
                <w:szCs w:val="16"/>
                <w:lang w:val="en-US"/>
              </w:rPr>
            </w:pPr>
            <w:r>
              <w:rPr>
                <w:rFonts w:cs="Calibri"/>
                <w:sz w:val="16"/>
                <w:szCs w:val="16"/>
                <w:lang w:val="en-US"/>
              </w:rPr>
              <w:t>1.2</w:t>
            </w:r>
          </w:p>
        </w:tc>
        <w:tc>
          <w:tcPr>
            <w:tcW w:w="1181" w:type="dxa"/>
            <w:tcBorders>
              <w:top w:val="single" w:sz="6" w:space="0" w:color="auto"/>
              <w:left w:val="single" w:sz="6" w:space="0" w:color="auto"/>
              <w:bottom w:val="single" w:sz="6" w:space="0" w:color="auto"/>
              <w:right w:val="single" w:sz="6" w:space="0" w:color="auto"/>
            </w:tcBorders>
            <w:vAlign w:val="center"/>
            <w:hideMark/>
          </w:tcPr>
          <w:p w14:paraId="637BEE9B" w14:textId="77777777" w:rsidR="00B97365" w:rsidRDefault="00000000">
            <w:pPr>
              <w:spacing w:after="60"/>
              <w:rPr>
                <w:rFonts w:eastAsia="Times New Roman" w:cs="Calibri"/>
                <w:sz w:val="16"/>
                <w:szCs w:val="16"/>
                <w:lang w:val="en-US"/>
              </w:rPr>
            </w:pPr>
            <w:r>
              <w:rPr>
                <w:rFonts w:cs="Calibri"/>
                <w:sz w:val="16"/>
                <w:szCs w:val="16"/>
                <w:lang w:val="en-US"/>
              </w:rPr>
              <w:t>Not Allowed (Authorisation)</w:t>
            </w:r>
          </w:p>
        </w:tc>
        <w:tc>
          <w:tcPr>
            <w:tcW w:w="5430" w:type="dxa"/>
            <w:tcBorders>
              <w:top w:val="single" w:sz="6" w:space="0" w:color="auto"/>
              <w:left w:val="single" w:sz="6" w:space="0" w:color="auto"/>
              <w:bottom w:val="single" w:sz="6" w:space="0" w:color="auto"/>
              <w:right w:val="single" w:sz="4" w:space="0" w:color="auto"/>
            </w:tcBorders>
            <w:vAlign w:val="center"/>
            <w:hideMark/>
          </w:tcPr>
          <w:p w14:paraId="247D898D" w14:textId="77777777" w:rsidR="00B97365" w:rsidRDefault="00000000">
            <w:pPr>
              <w:spacing w:after="60"/>
              <w:rPr>
                <w:rFonts w:eastAsia="Times New Roman" w:cs="Calibri"/>
                <w:sz w:val="16"/>
                <w:szCs w:val="16"/>
                <w:lang w:val="en-US"/>
              </w:rPr>
            </w:pPr>
            <w:r>
              <w:rPr>
                <w:rFonts w:cs="Calibri"/>
                <w:sz w:val="16"/>
                <w:szCs w:val="16"/>
                <w:lang w:val="en-US"/>
              </w:rPr>
              <w:t>Indicates that the function caller is not allowed to perform this function on the target Profile.</w:t>
            </w:r>
          </w:p>
        </w:tc>
      </w:tr>
      <w:tr w:rsidR="00B97365" w14:paraId="7443CAEB"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98AC397" w14:textId="77777777" w:rsidR="00B97365" w:rsidRDefault="00000000">
            <w:pPr>
              <w:rPr>
                <w:rFonts w:cs="Calibri"/>
                <w:sz w:val="16"/>
                <w:szCs w:val="16"/>
              </w:rPr>
            </w:pPr>
            <w:r>
              <w:rPr>
                <w:rFonts w:cs="Calibri"/>
                <w:sz w:val="16"/>
                <w:szCs w:val="16"/>
              </w:rPr>
              <w:lastRenderedPageBreak/>
              <w:t>8.2.2</w:t>
            </w:r>
          </w:p>
        </w:tc>
        <w:tc>
          <w:tcPr>
            <w:tcW w:w="1022" w:type="dxa"/>
            <w:tcBorders>
              <w:top w:val="single" w:sz="6" w:space="0" w:color="auto"/>
              <w:left w:val="single" w:sz="6" w:space="0" w:color="auto"/>
              <w:bottom w:val="single" w:sz="6" w:space="0" w:color="auto"/>
              <w:right w:val="single" w:sz="6" w:space="0" w:color="auto"/>
            </w:tcBorders>
            <w:vAlign w:val="center"/>
          </w:tcPr>
          <w:p w14:paraId="2B7E1CCC" w14:textId="77777777" w:rsidR="00B97365" w:rsidRDefault="00000000">
            <w:pPr>
              <w:spacing w:after="60"/>
              <w:rPr>
                <w:rFonts w:cs="Calibri"/>
                <w:sz w:val="16"/>
                <w:szCs w:val="16"/>
                <w:lang w:val="en-US"/>
              </w:rPr>
            </w:pPr>
            <w:r>
              <w:rPr>
                <w:rFonts w:cs="Calibri"/>
                <w:sz w:val="16"/>
                <w:szCs w:val="16"/>
                <w:lang w:val="en-US"/>
              </w:rPr>
              <w:t>POL1</w:t>
            </w:r>
          </w:p>
        </w:tc>
        <w:tc>
          <w:tcPr>
            <w:tcW w:w="709" w:type="dxa"/>
            <w:tcBorders>
              <w:top w:val="single" w:sz="6" w:space="0" w:color="auto"/>
              <w:left w:val="single" w:sz="6" w:space="0" w:color="auto"/>
              <w:bottom w:val="single" w:sz="6" w:space="0" w:color="auto"/>
              <w:right w:val="single" w:sz="6" w:space="0" w:color="auto"/>
            </w:tcBorders>
            <w:vAlign w:val="center"/>
          </w:tcPr>
          <w:p w14:paraId="202386A4" w14:textId="77777777" w:rsidR="00B97365" w:rsidRDefault="00000000">
            <w:pPr>
              <w:spacing w:after="60"/>
              <w:rPr>
                <w:rFonts w:cs="Calibri"/>
                <w:sz w:val="16"/>
                <w:szCs w:val="16"/>
                <w:lang w:val="en-US"/>
              </w:rPr>
            </w:pPr>
            <w:r>
              <w:rPr>
                <w:rFonts w:cs="Calibri"/>
                <w:sz w:val="16"/>
                <w:szCs w:val="16"/>
                <w:lang w:val="en-US"/>
              </w:rPr>
              <w:t>3.6</w:t>
            </w:r>
          </w:p>
        </w:tc>
        <w:tc>
          <w:tcPr>
            <w:tcW w:w="1181" w:type="dxa"/>
            <w:tcBorders>
              <w:top w:val="single" w:sz="6" w:space="0" w:color="auto"/>
              <w:left w:val="single" w:sz="6" w:space="0" w:color="auto"/>
              <w:bottom w:val="single" w:sz="6" w:space="0" w:color="auto"/>
              <w:right w:val="single" w:sz="6" w:space="0" w:color="auto"/>
            </w:tcBorders>
            <w:vAlign w:val="center"/>
          </w:tcPr>
          <w:p w14:paraId="0DF114D4" w14:textId="77777777" w:rsidR="00B97365" w:rsidRDefault="00000000">
            <w:pPr>
              <w:spacing w:after="60"/>
              <w:rPr>
                <w:rFonts w:cs="Calibri"/>
                <w:sz w:val="16"/>
                <w:szCs w:val="16"/>
                <w:lang w:val="en-US"/>
              </w:rPr>
            </w:pPr>
            <w:r>
              <w:rPr>
                <w:rFonts w:cs="Calibri"/>
                <w:sz w:val="16"/>
                <w:szCs w:val="16"/>
                <w:lang w:val="en-US"/>
              </w:rPr>
              <w:t>Related Object Exists</w:t>
            </w:r>
          </w:p>
        </w:tc>
        <w:tc>
          <w:tcPr>
            <w:tcW w:w="5430" w:type="dxa"/>
            <w:tcBorders>
              <w:top w:val="single" w:sz="6" w:space="0" w:color="auto"/>
              <w:left w:val="single" w:sz="6" w:space="0" w:color="auto"/>
              <w:bottom w:val="single" w:sz="6" w:space="0" w:color="auto"/>
              <w:right w:val="single" w:sz="4" w:space="0" w:color="auto"/>
            </w:tcBorders>
            <w:vAlign w:val="center"/>
          </w:tcPr>
          <w:p w14:paraId="74B8B4EC" w14:textId="77777777" w:rsidR="00B97365" w:rsidRDefault="00000000">
            <w:pPr>
              <w:spacing w:after="60"/>
              <w:rPr>
                <w:rFonts w:cs="Calibri"/>
                <w:sz w:val="16"/>
                <w:szCs w:val="16"/>
                <w:lang w:val="en-US"/>
              </w:rPr>
            </w:pPr>
            <w:r>
              <w:rPr>
                <w:rFonts w:cs="Calibri"/>
                <w:sz w:val="16"/>
                <w:szCs w:val="16"/>
                <w:lang w:val="en-US"/>
              </w:rPr>
              <w:t>The POL1 of the target Profile has triggered its deletion after disabling it</w:t>
            </w:r>
          </w:p>
          <w:p w14:paraId="6D01AC81" w14:textId="77777777" w:rsidR="00B97365" w:rsidRDefault="00000000">
            <w:pPr>
              <w:spacing w:after="60"/>
              <w:rPr>
                <w:rFonts w:cs="Calibri"/>
                <w:sz w:val="16"/>
                <w:szCs w:val="16"/>
                <w:lang w:val="en-US"/>
              </w:rPr>
            </w:pPr>
            <w:r>
              <w:rPr>
                <w:rFonts w:cs="Calibri"/>
                <w:sz w:val="16"/>
                <w:szCs w:val="16"/>
                <w:lang w:val="en-US"/>
              </w:rPr>
              <w:t>This status code SHALL only be sent along Status =”Executed-WithWarning”</w:t>
            </w:r>
          </w:p>
        </w:tc>
      </w:tr>
      <w:tr w:rsidR="00B97365" w14:paraId="2C86D084"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7CC9586" w14:textId="77777777" w:rsidR="00B97365" w:rsidRDefault="00000000">
            <w:pPr>
              <w:rPr>
                <w:rFonts w:cs="Calibri"/>
                <w:sz w:val="16"/>
                <w:szCs w:val="16"/>
              </w:rPr>
            </w:pPr>
            <w:r>
              <w:rPr>
                <w:rFonts w:cs="Calibri"/>
                <w:sz w:val="16"/>
                <w:szCs w:val="16"/>
              </w:rPr>
              <w:t>8.2.2</w:t>
            </w:r>
          </w:p>
        </w:tc>
        <w:tc>
          <w:tcPr>
            <w:tcW w:w="1022" w:type="dxa"/>
            <w:tcBorders>
              <w:top w:val="single" w:sz="6" w:space="0" w:color="auto"/>
              <w:left w:val="single" w:sz="6" w:space="0" w:color="auto"/>
              <w:bottom w:val="single" w:sz="6" w:space="0" w:color="auto"/>
              <w:right w:val="single" w:sz="6" w:space="0" w:color="auto"/>
            </w:tcBorders>
            <w:vAlign w:val="center"/>
            <w:hideMark/>
          </w:tcPr>
          <w:p w14:paraId="2E913522" w14:textId="77777777" w:rsidR="00B97365" w:rsidRDefault="00000000">
            <w:pPr>
              <w:spacing w:after="60"/>
              <w:rPr>
                <w:rFonts w:eastAsia="Times New Roman" w:cs="Calibri"/>
                <w:sz w:val="16"/>
                <w:szCs w:val="16"/>
                <w:lang w:val="en-US"/>
              </w:rPr>
            </w:pPr>
            <w:r>
              <w:rPr>
                <w:rFonts w:cs="Calibri"/>
                <w:sz w:val="16"/>
                <w:szCs w:val="16"/>
                <w:lang w:val="en-US"/>
              </w:rPr>
              <w:t>POL1</w:t>
            </w:r>
          </w:p>
        </w:tc>
        <w:tc>
          <w:tcPr>
            <w:tcW w:w="709" w:type="dxa"/>
            <w:tcBorders>
              <w:top w:val="single" w:sz="6" w:space="0" w:color="auto"/>
              <w:left w:val="single" w:sz="6" w:space="0" w:color="auto"/>
              <w:bottom w:val="single" w:sz="6" w:space="0" w:color="auto"/>
              <w:right w:val="single" w:sz="6" w:space="0" w:color="auto"/>
            </w:tcBorders>
            <w:vAlign w:val="center"/>
            <w:hideMark/>
          </w:tcPr>
          <w:p w14:paraId="13B03212" w14:textId="77777777" w:rsidR="00B97365" w:rsidRDefault="00000000">
            <w:pPr>
              <w:spacing w:after="60"/>
              <w:rPr>
                <w:rFonts w:eastAsia="Times New Roman" w:cs="Calibri"/>
                <w:sz w:val="16"/>
                <w:szCs w:val="16"/>
                <w:lang w:val="en-US"/>
              </w:rPr>
            </w:pPr>
            <w:r>
              <w:rPr>
                <w:rFonts w:cs="Calibri"/>
                <w:sz w:val="16"/>
                <w:szCs w:val="16"/>
                <w:lang w:val="en-US"/>
              </w:rPr>
              <w:t>3.8</w:t>
            </w:r>
          </w:p>
        </w:tc>
        <w:tc>
          <w:tcPr>
            <w:tcW w:w="1181" w:type="dxa"/>
            <w:tcBorders>
              <w:top w:val="single" w:sz="6" w:space="0" w:color="auto"/>
              <w:left w:val="single" w:sz="6" w:space="0" w:color="auto"/>
              <w:bottom w:val="single" w:sz="6" w:space="0" w:color="auto"/>
              <w:right w:val="single" w:sz="6" w:space="0" w:color="auto"/>
            </w:tcBorders>
            <w:vAlign w:val="center"/>
            <w:hideMark/>
          </w:tcPr>
          <w:p w14:paraId="697D9269" w14:textId="77777777" w:rsidR="00B97365" w:rsidRDefault="00000000">
            <w:pPr>
              <w:spacing w:after="60"/>
              <w:rPr>
                <w:rFonts w:eastAsia="Times New Roman" w:cs="Calibri"/>
                <w:sz w:val="16"/>
                <w:szCs w:val="16"/>
                <w:lang w:val="en-US"/>
              </w:rPr>
            </w:pPr>
            <w:r>
              <w:rPr>
                <w:rFonts w:cs="Calibri"/>
                <w:sz w:val="16"/>
                <w:szCs w:val="16"/>
                <w:lang w:val="en-US"/>
              </w:rPr>
              <w:t>Refused</w:t>
            </w:r>
          </w:p>
        </w:tc>
        <w:tc>
          <w:tcPr>
            <w:tcW w:w="5430" w:type="dxa"/>
            <w:tcBorders>
              <w:top w:val="single" w:sz="6" w:space="0" w:color="auto"/>
              <w:left w:val="single" w:sz="6" w:space="0" w:color="auto"/>
              <w:bottom w:val="single" w:sz="6" w:space="0" w:color="auto"/>
              <w:right w:val="single" w:sz="4" w:space="0" w:color="auto"/>
            </w:tcBorders>
            <w:vAlign w:val="center"/>
            <w:hideMark/>
          </w:tcPr>
          <w:p w14:paraId="1166B6FD" w14:textId="77777777" w:rsidR="00B97365" w:rsidRDefault="00000000">
            <w:pPr>
              <w:spacing w:after="60"/>
              <w:rPr>
                <w:rFonts w:eastAsia="Times New Roman" w:cs="Calibri"/>
                <w:sz w:val="16"/>
                <w:szCs w:val="16"/>
                <w:lang w:val="en-US"/>
              </w:rPr>
            </w:pPr>
            <w:r>
              <w:rPr>
                <w:rFonts w:cs="Calibri"/>
                <w:sz w:val="16"/>
                <w:szCs w:val="16"/>
                <w:lang w:val="en-US"/>
              </w:rPr>
              <w:t>The POL1 of the target Profile doesn’t allow this operation.</w:t>
            </w:r>
          </w:p>
        </w:tc>
      </w:tr>
      <w:tr w:rsidR="00B97365" w14:paraId="572E363F"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AFA322B" w14:textId="77777777" w:rsidR="00B97365" w:rsidRDefault="00000000">
            <w:pPr>
              <w:rPr>
                <w:rFonts w:cs="Calibri"/>
                <w:sz w:val="16"/>
                <w:szCs w:val="16"/>
              </w:rPr>
            </w:pPr>
            <w:r>
              <w:rPr>
                <w:rFonts w:cs="Calibri"/>
                <w:sz w:val="16"/>
                <w:szCs w:val="16"/>
              </w:rPr>
              <w:t>8.2.3</w:t>
            </w:r>
          </w:p>
        </w:tc>
        <w:tc>
          <w:tcPr>
            <w:tcW w:w="1022" w:type="dxa"/>
            <w:tcBorders>
              <w:top w:val="single" w:sz="6" w:space="0" w:color="auto"/>
              <w:left w:val="single" w:sz="6" w:space="0" w:color="auto"/>
              <w:bottom w:val="single" w:sz="6" w:space="0" w:color="auto"/>
              <w:right w:val="single" w:sz="6" w:space="0" w:color="auto"/>
            </w:tcBorders>
            <w:vAlign w:val="center"/>
          </w:tcPr>
          <w:p w14:paraId="7B6369C5" w14:textId="77777777" w:rsidR="00B97365" w:rsidRDefault="00000000">
            <w:pPr>
              <w:spacing w:after="60"/>
              <w:rPr>
                <w:rFonts w:cs="Calibri"/>
                <w:sz w:val="16"/>
                <w:szCs w:val="16"/>
                <w:lang w:val="en-US"/>
              </w:rPr>
            </w:pPr>
            <w:r>
              <w:rPr>
                <w:rFonts w:cs="Calibri"/>
                <w:sz w:val="16"/>
                <w:szCs w:val="16"/>
                <w:lang w:val="en-US"/>
              </w:rPr>
              <w:t>POL2</w:t>
            </w:r>
          </w:p>
        </w:tc>
        <w:tc>
          <w:tcPr>
            <w:tcW w:w="709" w:type="dxa"/>
            <w:tcBorders>
              <w:top w:val="single" w:sz="6" w:space="0" w:color="auto"/>
              <w:left w:val="single" w:sz="6" w:space="0" w:color="auto"/>
              <w:bottom w:val="single" w:sz="6" w:space="0" w:color="auto"/>
              <w:right w:val="single" w:sz="6" w:space="0" w:color="auto"/>
            </w:tcBorders>
            <w:vAlign w:val="center"/>
          </w:tcPr>
          <w:p w14:paraId="2FDD95B7" w14:textId="77777777" w:rsidR="00B97365" w:rsidRDefault="00000000">
            <w:pPr>
              <w:spacing w:after="60"/>
              <w:rPr>
                <w:rFonts w:cs="Calibri"/>
                <w:sz w:val="16"/>
                <w:szCs w:val="16"/>
                <w:lang w:val="en-US"/>
              </w:rPr>
            </w:pPr>
            <w:r>
              <w:rPr>
                <w:rFonts w:cs="Calibri"/>
                <w:sz w:val="16"/>
                <w:szCs w:val="16"/>
                <w:lang w:val="en-US"/>
              </w:rPr>
              <w:t>3.6</w:t>
            </w:r>
          </w:p>
        </w:tc>
        <w:tc>
          <w:tcPr>
            <w:tcW w:w="1181" w:type="dxa"/>
            <w:tcBorders>
              <w:top w:val="single" w:sz="6" w:space="0" w:color="auto"/>
              <w:left w:val="single" w:sz="6" w:space="0" w:color="auto"/>
              <w:bottom w:val="single" w:sz="6" w:space="0" w:color="auto"/>
              <w:right w:val="single" w:sz="6" w:space="0" w:color="auto"/>
            </w:tcBorders>
            <w:vAlign w:val="center"/>
          </w:tcPr>
          <w:p w14:paraId="62C55DBA" w14:textId="77777777" w:rsidR="00B97365" w:rsidRDefault="00000000">
            <w:pPr>
              <w:spacing w:after="60"/>
              <w:rPr>
                <w:rFonts w:cs="Calibri"/>
                <w:sz w:val="16"/>
                <w:szCs w:val="16"/>
                <w:lang w:val="en-US"/>
              </w:rPr>
            </w:pPr>
            <w:r>
              <w:rPr>
                <w:rFonts w:cs="Calibri"/>
                <w:sz w:val="16"/>
                <w:szCs w:val="16"/>
                <w:lang w:val="en-US"/>
              </w:rPr>
              <w:t>Related Object Exists</w:t>
            </w:r>
          </w:p>
        </w:tc>
        <w:tc>
          <w:tcPr>
            <w:tcW w:w="5430" w:type="dxa"/>
            <w:tcBorders>
              <w:top w:val="single" w:sz="6" w:space="0" w:color="auto"/>
              <w:left w:val="single" w:sz="6" w:space="0" w:color="auto"/>
              <w:bottom w:val="single" w:sz="6" w:space="0" w:color="auto"/>
              <w:right w:val="single" w:sz="4" w:space="0" w:color="auto"/>
            </w:tcBorders>
            <w:vAlign w:val="center"/>
          </w:tcPr>
          <w:p w14:paraId="48A99704" w14:textId="77777777" w:rsidR="00B97365" w:rsidRDefault="00000000">
            <w:pPr>
              <w:spacing w:after="60"/>
              <w:rPr>
                <w:rFonts w:cs="Calibri"/>
                <w:sz w:val="16"/>
                <w:szCs w:val="16"/>
                <w:lang w:val="en-US"/>
              </w:rPr>
            </w:pPr>
            <w:r>
              <w:rPr>
                <w:rFonts w:cs="Calibri"/>
                <w:sz w:val="16"/>
                <w:szCs w:val="16"/>
                <w:lang w:val="en-US"/>
              </w:rPr>
              <w:t>The POL2 of the target Profile has triggered its deletion after disabling it</w:t>
            </w:r>
          </w:p>
          <w:p w14:paraId="2D134441" w14:textId="77777777" w:rsidR="00B97365" w:rsidRDefault="00000000">
            <w:pPr>
              <w:spacing w:after="60"/>
              <w:rPr>
                <w:rFonts w:cs="Calibri"/>
                <w:sz w:val="16"/>
                <w:szCs w:val="16"/>
                <w:lang w:val="en-US"/>
              </w:rPr>
            </w:pPr>
            <w:r>
              <w:rPr>
                <w:rFonts w:cs="Calibri"/>
                <w:sz w:val="16"/>
                <w:szCs w:val="16"/>
                <w:lang w:val="en-US"/>
              </w:rPr>
              <w:t>This status code SHALL only be sent along Status =”Executed-WithWarning”</w:t>
            </w:r>
          </w:p>
        </w:tc>
      </w:tr>
      <w:tr w:rsidR="00B97365" w14:paraId="5FFA3ADC"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2E3F76A" w14:textId="77777777" w:rsidR="00B97365" w:rsidRDefault="00000000">
            <w:pPr>
              <w:rPr>
                <w:rFonts w:cs="Calibri"/>
                <w:sz w:val="16"/>
                <w:szCs w:val="16"/>
              </w:rPr>
            </w:pPr>
            <w:r>
              <w:rPr>
                <w:rFonts w:cs="Calibri"/>
                <w:sz w:val="16"/>
                <w:szCs w:val="16"/>
              </w:rPr>
              <w:t>8.2.3</w:t>
            </w:r>
          </w:p>
        </w:tc>
        <w:tc>
          <w:tcPr>
            <w:tcW w:w="1022" w:type="dxa"/>
            <w:tcBorders>
              <w:top w:val="single" w:sz="6" w:space="0" w:color="auto"/>
              <w:left w:val="single" w:sz="6" w:space="0" w:color="auto"/>
              <w:bottom w:val="single" w:sz="6" w:space="0" w:color="auto"/>
              <w:right w:val="single" w:sz="6" w:space="0" w:color="auto"/>
            </w:tcBorders>
            <w:vAlign w:val="center"/>
            <w:hideMark/>
          </w:tcPr>
          <w:p w14:paraId="1E975FE6" w14:textId="77777777" w:rsidR="00B97365" w:rsidRDefault="00000000">
            <w:pPr>
              <w:spacing w:after="60"/>
              <w:rPr>
                <w:rFonts w:eastAsia="Times New Roman" w:cs="Calibri"/>
                <w:sz w:val="16"/>
                <w:szCs w:val="16"/>
                <w:lang w:val="en-US"/>
              </w:rPr>
            </w:pPr>
            <w:r>
              <w:rPr>
                <w:rFonts w:cs="Calibri"/>
                <w:sz w:val="16"/>
                <w:szCs w:val="16"/>
                <w:lang w:val="en-US"/>
              </w:rPr>
              <w:t>POL2</w:t>
            </w:r>
          </w:p>
        </w:tc>
        <w:tc>
          <w:tcPr>
            <w:tcW w:w="709" w:type="dxa"/>
            <w:tcBorders>
              <w:top w:val="single" w:sz="6" w:space="0" w:color="auto"/>
              <w:left w:val="single" w:sz="6" w:space="0" w:color="auto"/>
              <w:bottom w:val="single" w:sz="6" w:space="0" w:color="auto"/>
              <w:right w:val="single" w:sz="6" w:space="0" w:color="auto"/>
            </w:tcBorders>
            <w:vAlign w:val="center"/>
            <w:hideMark/>
          </w:tcPr>
          <w:p w14:paraId="3046AB7C" w14:textId="77777777" w:rsidR="00B97365" w:rsidRDefault="00000000">
            <w:pPr>
              <w:spacing w:after="60"/>
              <w:rPr>
                <w:rFonts w:eastAsia="Times New Roman" w:cs="Calibri"/>
                <w:sz w:val="16"/>
                <w:szCs w:val="16"/>
                <w:lang w:val="en-US"/>
              </w:rPr>
            </w:pPr>
            <w:r>
              <w:rPr>
                <w:rFonts w:cs="Calibri"/>
                <w:sz w:val="16"/>
                <w:szCs w:val="16"/>
                <w:lang w:val="en-US"/>
              </w:rPr>
              <w:t>3.8</w:t>
            </w:r>
          </w:p>
        </w:tc>
        <w:tc>
          <w:tcPr>
            <w:tcW w:w="1181" w:type="dxa"/>
            <w:tcBorders>
              <w:top w:val="single" w:sz="6" w:space="0" w:color="auto"/>
              <w:left w:val="single" w:sz="6" w:space="0" w:color="auto"/>
              <w:bottom w:val="single" w:sz="6" w:space="0" w:color="auto"/>
              <w:right w:val="single" w:sz="6" w:space="0" w:color="auto"/>
            </w:tcBorders>
            <w:vAlign w:val="center"/>
            <w:hideMark/>
          </w:tcPr>
          <w:p w14:paraId="222D7EFA" w14:textId="77777777" w:rsidR="00B97365" w:rsidRDefault="00000000">
            <w:pPr>
              <w:spacing w:after="60"/>
              <w:rPr>
                <w:rFonts w:eastAsia="Times New Roman" w:cs="Calibri"/>
                <w:sz w:val="16"/>
                <w:szCs w:val="16"/>
                <w:lang w:val="en-US"/>
              </w:rPr>
            </w:pPr>
            <w:r>
              <w:rPr>
                <w:rFonts w:cs="Calibri"/>
                <w:sz w:val="16"/>
                <w:szCs w:val="16"/>
                <w:lang w:val="en-US"/>
              </w:rPr>
              <w:t>Refused</w:t>
            </w:r>
          </w:p>
        </w:tc>
        <w:tc>
          <w:tcPr>
            <w:tcW w:w="5430" w:type="dxa"/>
            <w:tcBorders>
              <w:top w:val="single" w:sz="6" w:space="0" w:color="auto"/>
              <w:left w:val="single" w:sz="6" w:space="0" w:color="auto"/>
              <w:bottom w:val="single" w:sz="6" w:space="0" w:color="auto"/>
              <w:right w:val="single" w:sz="4" w:space="0" w:color="auto"/>
            </w:tcBorders>
            <w:vAlign w:val="center"/>
            <w:hideMark/>
          </w:tcPr>
          <w:p w14:paraId="466D08DF" w14:textId="77777777" w:rsidR="00B97365" w:rsidRDefault="00000000">
            <w:pPr>
              <w:spacing w:after="60"/>
              <w:rPr>
                <w:rFonts w:eastAsia="Times New Roman" w:cs="Calibri"/>
                <w:sz w:val="16"/>
                <w:szCs w:val="16"/>
                <w:lang w:val="en-US"/>
              </w:rPr>
            </w:pPr>
            <w:r>
              <w:rPr>
                <w:rFonts w:cs="Calibri"/>
                <w:sz w:val="16"/>
                <w:szCs w:val="16"/>
                <w:lang w:val="en-US"/>
              </w:rPr>
              <w:t>The POL2 of the target Profile doesn’t allow this operation.</w:t>
            </w:r>
          </w:p>
        </w:tc>
      </w:tr>
      <w:tr w:rsidR="00B97365" w14:paraId="3D1CE67E"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DB100B0" w14:textId="77777777" w:rsidR="00B97365" w:rsidRDefault="00000000">
            <w:pPr>
              <w:rPr>
                <w:rFonts w:cs="Calibri"/>
                <w:sz w:val="16"/>
                <w:szCs w:val="16"/>
              </w:rPr>
            </w:pPr>
            <w:r>
              <w:rPr>
                <w:rFonts w:cs="Calibri"/>
                <w:sz w:val="16"/>
                <w:szCs w:val="16"/>
              </w:rPr>
              <w:t>8.2.7</w:t>
            </w:r>
          </w:p>
        </w:tc>
        <w:tc>
          <w:tcPr>
            <w:tcW w:w="1022" w:type="dxa"/>
            <w:tcBorders>
              <w:top w:val="single" w:sz="6" w:space="0" w:color="auto"/>
              <w:left w:val="single" w:sz="6" w:space="0" w:color="auto"/>
              <w:bottom w:val="single" w:sz="6" w:space="0" w:color="auto"/>
              <w:right w:val="single" w:sz="6" w:space="0" w:color="auto"/>
            </w:tcBorders>
            <w:vAlign w:val="center"/>
          </w:tcPr>
          <w:p w14:paraId="2A740F98" w14:textId="77777777" w:rsidR="00B97365" w:rsidRDefault="00000000">
            <w:pPr>
              <w:spacing w:after="60"/>
              <w:rPr>
                <w:rFonts w:cs="Calibri"/>
                <w:sz w:val="16"/>
                <w:szCs w:val="16"/>
                <w:lang w:val="en-US"/>
              </w:rPr>
            </w:pPr>
            <w:r>
              <w:rPr>
                <w:rFonts w:cs="Calibri"/>
                <w:sz w:val="16"/>
                <w:szCs w:val="16"/>
                <w:lang w:val="en-US"/>
              </w:rPr>
              <w:t>PLMA</w:t>
            </w:r>
          </w:p>
        </w:tc>
        <w:tc>
          <w:tcPr>
            <w:tcW w:w="709" w:type="dxa"/>
            <w:tcBorders>
              <w:top w:val="single" w:sz="6" w:space="0" w:color="auto"/>
              <w:left w:val="single" w:sz="6" w:space="0" w:color="auto"/>
              <w:bottom w:val="single" w:sz="6" w:space="0" w:color="auto"/>
              <w:right w:val="single" w:sz="6" w:space="0" w:color="auto"/>
            </w:tcBorders>
            <w:vAlign w:val="center"/>
          </w:tcPr>
          <w:p w14:paraId="418701C7" w14:textId="77777777" w:rsidR="00B97365" w:rsidRDefault="00000000">
            <w:pPr>
              <w:spacing w:after="60"/>
              <w:rPr>
                <w:rFonts w:cs="Calibri"/>
                <w:sz w:val="16"/>
                <w:szCs w:val="16"/>
                <w:lang w:val="en-US"/>
              </w:rPr>
            </w:pPr>
            <w:r>
              <w:rPr>
                <w:rFonts w:cs="Calibri"/>
                <w:sz w:val="16"/>
                <w:szCs w:val="16"/>
                <w:lang w:val="en-US"/>
              </w:rPr>
              <w:t>3.8</w:t>
            </w:r>
          </w:p>
        </w:tc>
        <w:tc>
          <w:tcPr>
            <w:tcW w:w="1181" w:type="dxa"/>
            <w:tcBorders>
              <w:top w:val="single" w:sz="6" w:space="0" w:color="auto"/>
              <w:left w:val="single" w:sz="6" w:space="0" w:color="auto"/>
              <w:bottom w:val="single" w:sz="6" w:space="0" w:color="auto"/>
              <w:right w:val="single" w:sz="6" w:space="0" w:color="auto"/>
            </w:tcBorders>
            <w:vAlign w:val="center"/>
          </w:tcPr>
          <w:p w14:paraId="735BF4AC" w14:textId="77777777" w:rsidR="00B97365" w:rsidRDefault="00000000">
            <w:pPr>
              <w:spacing w:after="60"/>
              <w:rPr>
                <w:rFonts w:cs="Calibri"/>
                <w:sz w:val="16"/>
                <w:szCs w:val="16"/>
                <w:lang w:val="en-US"/>
              </w:rPr>
            </w:pPr>
            <w:r>
              <w:rPr>
                <w:rFonts w:cs="Calibri"/>
                <w:sz w:val="16"/>
                <w:szCs w:val="16"/>
                <w:lang w:val="en-US"/>
              </w:rPr>
              <w:t>Refused</w:t>
            </w:r>
          </w:p>
        </w:tc>
        <w:tc>
          <w:tcPr>
            <w:tcW w:w="5430" w:type="dxa"/>
            <w:tcBorders>
              <w:top w:val="single" w:sz="6" w:space="0" w:color="auto"/>
              <w:left w:val="single" w:sz="6" w:space="0" w:color="auto"/>
              <w:bottom w:val="single" w:sz="6" w:space="0" w:color="auto"/>
              <w:right w:val="single" w:sz="4" w:space="0" w:color="auto"/>
            </w:tcBorders>
            <w:vAlign w:val="center"/>
          </w:tcPr>
          <w:p w14:paraId="29C67255" w14:textId="77777777" w:rsidR="00B97365" w:rsidRDefault="00000000">
            <w:pPr>
              <w:spacing w:after="60"/>
              <w:rPr>
                <w:rFonts w:cs="Calibri"/>
                <w:sz w:val="16"/>
                <w:szCs w:val="16"/>
                <w:lang w:val="en-US"/>
              </w:rPr>
            </w:pPr>
            <w:r>
              <w:rPr>
                <w:rFonts w:cs="Calibri"/>
                <w:sz w:val="16"/>
                <w:szCs w:val="16"/>
                <w:lang w:val="en-US"/>
              </w:rPr>
              <w:t>No PLMA allows the M2M SP to execute this operation.</w:t>
            </w:r>
          </w:p>
        </w:tc>
      </w:tr>
      <w:tr w:rsidR="00B97365" w14:paraId="6D76E427"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8C351C8" w14:textId="77777777" w:rsidR="00B97365" w:rsidRDefault="00000000">
            <w:pPr>
              <w:rPr>
                <w:rFonts w:cs="Calibri"/>
                <w:sz w:val="16"/>
                <w:szCs w:val="16"/>
              </w:rPr>
            </w:pPr>
            <w:r>
              <w:rPr>
                <w:rFonts w:cs="Calibri"/>
                <w:sz w:val="16"/>
                <w:szCs w:val="16"/>
              </w:rPr>
              <w:t>8.4</w:t>
            </w:r>
          </w:p>
        </w:tc>
        <w:tc>
          <w:tcPr>
            <w:tcW w:w="1022" w:type="dxa"/>
            <w:tcBorders>
              <w:top w:val="single" w:sz="6" w:space="0" w:color="auto"/>
              <w:left w:val="single" w:sz="6" w:space="0" w:color="auto"/>
              <w:bottom w:val="single" w:sz="6" w:space="0" w:color="auto"/>
              <w:right w:val="single" w:sz="6" w:space="0" w:color="auto"/>
            </w:tcBorders>
            <w:vAlign w:val="center"/>
            <w:hideMark/>
          </w:tcPr>
          <w:p w14:paraId="18252F9D" w14:textId="77777777" w:rsidR="00B97365" w:rsidRDefault="00000000">
            <w:pPr>
              <w:spacing w:after="60"/>
              <w:rPr>
                <w:rFonts w:eastAsia="Times New Roman" w:cs="Calibri"/>
                <w:sz w:val="16"/>
                <w:szCs w:val="16"/>
                <w:lang w:val="en-US"/>
              </w:rPr>
            </w:pPr>
            <w:r>
              <w:rPr>
                <w:rFonts w:cs="Calibri"/>
                <w:sz w:val="16"/>
                <w:szCs w:val="16"/>
                <w:lang w:val="en-US"/>
              </w:rPr>
              <w:t>ISD-R</w:t>
            </w:r>
          </w:p>
        </w:tc>
        <w:tc>
          <w:tcPr>
            <w:tcW w:w="709" w:type="dxa"/>
            <w:tcBorders>
              <w:top w:val="single" w:sz="6" w:space="0" w:color="auto"/>
              <w:left w:val="single" w:sz="6" w:space="0" w:color="auto"/>
              <w:bottom w:val="single" w:sz="6" w:space="0" w:color="auto"/>
              <w:right w:val="single" w:sz="6" w:space="0" w:color="auto"/>
            </w:tcBorders>
            <w:vAlign w:val="center"/>
            <w:hideMark/>
          </w:tcPr>
          <w:p w14:paraId="65A05839" w14:textId="77777777" w:rsidR="00B97365" w:rsidRDefault="00000000">
            <w:pPr>
              <w:spacing w:after="60"/>
              <w:rPr>
                <w:rFonts w:eastAsia="Times New Roman" w:cs="Calibri"/>
                <w:sz w:val="16"/>
                <w:szCs w:val="16"/>
                <w:lang w:val="en-US"/>
              </w:rPr>
            </w:pPr>
            <w:r>
              <w:rPr>
                <w:rFonts w:cs="Calibri"/>
                <w:sz w:val="16"/>
                <w:szCs w:val="16"/>
                <w:lang w:val="en-US"/>
              </w:rPr>
              <w:t>4.2</w:t>
            </w:r>
          </w:p>
        </w:tc>
        <w:tc>
          <w:tcPr>
            <w:tcW w:w="1181" w:type="dxa"/>
            <w:tcBorders>
              <w:top w:val="single" w:sz="6" w:space="0" w:color="auto"/>
              <w:left w:val="single" w:sz="6" w:space="0" w:color="auto"/>
              <w:bottom w:val="single" w:sz="6" w:space="0" w:color="auto"/>
              <w:right w:val="single" w:sz="6" w:space="0" w:color="auto"/>
            </w:tcBorders>
            <w:vAlign w:val="center"/>
            <w:hideMark/>
          </w:tcPr>
          <w:p w14:paraId="536579C4" w14:textId="77777777" w:rsidR="00B97365" w:rsidRDefault="00000000">
            <w:pPr>
              <w:spacing w:after="60"/>
              <w:rPr>
                <w:rFonts w:eastAsia="Times New Roman" w:cs="Calibri"/>
                <w:sz w:val="16"/>
                <w:szCs w:val="16"/>
                <w:lang w:val="en-US"/>
              </w:rPr>
            </w:pPr>
            <w:r>
              <w:rPr>
                <w:rFonts w:cs="Calibri"/>
                <w:sz w:val="16"/>
                <w:szCs w:val="16"/>
                <w:lang w:val="en-US"/>
              </w:rPr>
              <w:t>Execution error</w:t>
            </w:r>
          </w:p>
        </w:tc>
        <w:tc>
          <w:tcPr>
            <w:tcW w:w="5430" w:type="dxa"/>
            <w:tcBorders>
              <w:top w:val="single" w:sz="6" w:space="0" w:color="auto"/>
              <w:left w:val="single" w:sz="6" w:space="0" w:color="auto"/>
              <w:bottom w:val="single" w:sz="6" w:space="0" w:color="auto"/>
              <w:right w:val="single" w:sz="4" w:space="0" w:color="auto"/>
            </w:tcBorders>
            <w:vAlign w:val="center"/>
            <w:hideMark/>
          </w:tcPr>
          <w:p w14:paraId="76FD4617" w14:textId="77777777" w:rsidR="00B97365" w:rsidRDefault="00000000">
            <w:pPr>
              <w:spacing w:after="60"/>
              <w:rPr>
                <w:rFonts w:eastAsia="Times New Roman" w:cs="Calibri"/>
                <w:sz w:val="16"/>
                <w:szCs w:val="16"/>
                <w:lang w:val="en-US"/>
              </w:rPr>
            </w:pPr>
            <w:r>
              <w:rPr>
                <w:rFonts w:cs="Calibri"/>
                <w:sz w:val="16"/>
                <w:szCs w:val="16"/>
                <w:lang w:val="en-US"/>
              </w:rPr>
              <w:t xml:space="preserve">Error during execution of the disabling command on the eUICC. </w:t>
            </w:r>
            <w:r>
              <w:rPr>
                <w:rFonts w:cs="Calibri"/>
                <w:sz w:val="16"/>
                <w:szCs w:val="16"/>
              </w:rPr>
              <w:t>In that case, the output data “euiccResponseData” contains the exact response coming from the eUICC.</w:t>
            </w:r>
          </w:p>
        </w:tc>
      </w:tr>
    </w:tbl>
    <w:p w14:paraId="051B997E" w14:textId="77777777" w:rsidR="00B97365" w:rsidRDefault="00000000">
      <w:pPr>
        <w:numPr>
          <w:ilvl w:val="0"/>
          <w:numId w:val="14"/>
        </w:numPr>
        <w:tabs>
          <w:tab w:val="left" w:pos="1009"/>
        </w:tabs>
        <w:spacing w:after="200" w:line="276" w:lineRule="auto"/>
        <w:jc w:val="center"/>
        <w:rPr>
          <w:rFonts w:cs="Arial"/>
          <w:lang w:eastAsia="de-DE" w:bidi="ar-SA"/>
        </w:rPr>
      </w:pPr>
      <w:bookmarkStart w:id="5384" w:name="_Toc352671597"/>
      <w:r>
        <w:rPr>
          <w:rFonts w:cs="Arial"/>
          <w:b/>
          <w:lang w:eastAsia="de-DE" w:bidi="ar-SA"/>
        </w:rPr>
        <w:t>: Disable Profile Specific Status Codes</w:t>
      </w:r>
    </w:p>
    <w:p w14:paraId="0EDC2ADA" w14:textId="77777777" w:rsidR="00B97365" w:rsidRDefault="00B97365">
      <w:pPr>
        <w:spacing w:before="0" w:after="200" w:line="276" w:lineRule="auto"/>
        <w:jc w:val="left"/>
        <w:rPr>
          <w:rFonts w:cs="Arial"/>
          <w:szCs w:val="22"/>
          <w:lang w:eastAsia="en-GB" w:bidi="ar-SA"/>
        </w:rPr>
      </w:pPr>
    </w:p>
    <w:p w14:paraId="2F64A9E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385" w:name="_Toc448998290"/>
      <w:bookmarkStart w:id="5386" w:name="_Toc422150786"/>
      <w:bookmarkStart w:id="5387" w:name="_Toc421874371"/>
      <w:bookmarkStart w:id="5388" w:name="_Toc420594868"/>
      <w:bookmarkStart w:id="5389" w:name="_Toc398214912"/>
      <w:bookmarkStart w:id="5390" w:name="_Toc375158328"/>
      <w:bookmarkStart w:id="5391" w:name="_Toc368932337"/>
      <w:bookmarkStart w:id="5392" w:name="_Ref367978990"/>
      <w:bookmarkStart w:id="5393" w:name="_Ref367978974"/>
      <w:bookmarkStart w:id="5394" w:name="_Toc486332908"/>
      <w:bookmarkStart w:id="5395" w:name="_Toc1977413"/>
      <w:bookmarkStart w:id="5396" w:name="_Toc37062572"/>
      <w:bookmarkStart w:id="5397" w:name="_Toc88839646"/>
      <w:bookmarkStart w:id="5398" w:name="_Toc121504054"/>
      <w:r>
        <w:rPr>
          <w:rFonts w:eastAsia="Times New Roman" w:cs="Arial"/>
          <w:b/>
          <w:bCs/>
          <w:iCs/>
          <w:sz w:val="24"/>
          <w:szCs w:val="26"/>
          <w:lang w:eastAsia="en-US"/>
        </w:rPr>
        <w:t>Delete a P</w:t>
      </w:r>
      <w:bookmarkEnd w:id="5384"/>
      <w:r>
        <w:rPr>
          <w:rFonts w:eastAsia="Times New Roman" w:cs="Arial"/>
          <w:b/>
          <w:bCs/>
          <w:iCs/>
          <w:sz w:val="24"/>
          <w:szCs w:val="26"/>
          <w:lang w:eastAsia="en-US"/>
        </w:rPr>
        <w:t>rofile</w:t>
      </w:r>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p>
    <w:p w14:paraId="43D6484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DeleteProfile</w:t>
      </w:r>
    </w:p>
    <w:p w14:paraId="0E9E907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and ISD-P Deletion</w:t>
      </w:r>
    </w:p>
    <w:p w14:paraId="741947E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08E8298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4D8D29E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allows the Operator or the M2M SP to request deletion of the target ISD-P with the Profile to the SM-SR in charge of the management of the targeted eUICC; eUICC being identified by its EID.</w:t>
      </w:r>
    </w:p>
    <w:p w14:paraId="3B8C8BC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On reception of the function request, the SM-SR SHALL perform the following minimum set of verifications:</w:t>
      </w:r>
    </w:p>
    <w:p w14:paraId="19DB58D7"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SM-SR is responsible for the management of the targeted eUICC.</w:t>
      </w:r>
    </w:p>
    <w:p w14:paraId="0EEBFA23"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Profile identified by its ICCID is loaded on the targeted eUICC.</w:t>
      </w:r>
    </w:p>
    <w:p w14:paraId="0DE7D5E1"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POL2 of the target Profile allows the deletion.</w:t>
      </w:r>
    </w:p>
    <w:p w14:paraId="1204BEF4"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target Profile is not the Profile having the Fall-Back Attribute.</w:t>
      </w:r>
    </w:p>
    <w:p w14:paraId="5B1E628B" w14:textId="77777777" w:rsidR="00B97365" w:rsidRDefault="00000000">
      <w:pPr>
        <w:numPr>
          <w:ilvl w:val="0"/>
          <w:numId w:val="11"/>
        </w:numPr>
        <w:tabs>
          <w:tab w:val="left" w:pos="680"/>
        </w:tabs>
        <w:spacing w:before="0" w:after="200" w:line="276" w:lineRule="auto"/>
        <w:contextualSpacing/>
        <w:jc w:val="left"/>
        <w:rPr>
          <w:rFonts w:cs="Arial"/>
          <w:szCs w:val="22"/>
          <w:lang w:eastAsia="en-GB" w:bidi="ar-SA"/>
        </w:rPr>
      </w:pPr>
      <w:r>
        <w:rPr>
          <w:szCs w:val="22"/>
          <w:lang w:eastAsia="en-GB" w:bidi="ar-SA"/>
        </w:rPr>
        <w:t>The target Profile is owned by the requesting Operator, or an Operator that had granted a PLMA that authorises the requesting M2M SP to perform the operation “</w:t>
      </w:r>
      <w:r>
        <w:rPr>
          <w:rFonts w:cs="Calibri"/>
          <w:szCs w:val="22"/>
          <w:lang w:eastAsia="en-GB" w:bidi="ar-SA"/>
        </w:rPr>
        <w:t>DeleteProfile</w:t>
      </w:r>
      <w:r>
        <w:rPr>
          <w:szCs w:val="22"/>
          <w:lang w:eastAsia="en-GB" w:bidi="ar-SA"/>
        </w:rPr>
        <w:t>” on a Profile that matches the criteria of the PLMA (see section 5.7.1.1 for the detail of the matching of the criteria).</w:t>
      </w:r>
    </w:p>
    <w:p w14:paraId="37B7486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MAY provide additional verifications.</w:t>
      </w:r>
    </w:p>
    <w:p w14:paraId="0D61BCC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case one of these conditions is not satisfied, the SM-SR SHALL refuse the function request and return a ‘Function execution status’ indicating ‘Failed’ with the relevant status code (see table below).</w:t>
      </w:r>
    </w:p>
    <w:p w14:paraId="79944049" w14:textId="5AF8B9D9" w:rsidR="00B97365" w:rsidRDefault="00000000">
      <w:pPr>
        <w:spacing w:before="0" w:after="200" w:line="276" w:lineRule="auto"/>
        <w:jc w:val="left"/>
        <w:rPr>
          <w:szCs w:val="22"/>
          <w:lang w:val="en-US" w:eastAsia="en-GB" w:bidi="ar-SA"/>
        </w:rPr>
      </w:pPr>
      <w:r>
        <w:rPr>
          <w:rFonts w:cs="Arial"/>
          <w:szCs w:val="22"/>
          <w:lang w:val="en-US" w:eastAsia="en-GB" w:bidi="ar-SA"/>
        </w:rPr>
        <w:lastRenderedPageBreak/>
        <w:t xml:space="preserve">The SM-SR receiving this request SHALL process it according to “ISD-P Deletion” procedure described in the section </w:t>
      </w:r>
      <w:r>
        <w:fldChar w:fldCharType="begin"/>
      </w:r>
      <w:r>
        <w:instrText xml:space="preserve"> REF _Ref367975248 \r \h  \* MERGEFORMAT </w:instrText>
      </w:r>
      <w:r>
        <w:fldChar w:fldCharType="separate"/>
      </w:r>
      <w:r w:rsidR="001D5AD9" w:rsidRPr="001D5AD9">
        <w:rPr>
          <w:szCs w:val="22"/>
          <w:lang w:val="en-US" w:eastAsia="en-GB" w:bidi="ar-SA"/>
        </w:rPr>
        <w:t>3.6</w:t>
      </w:r>
      <w:r>
        <w:fldChar w:fldCharType="end"/>
      </w:r>
      <w:r>
        <w:rPr>
          <w:szCs w:val="22"/>
          <w:lang w:val="en-US" w:eastAsia="en-GB" w:bidi="ar-SA"/>
        </w:rPr>
        <w:t xml:space="preserve"> of this specification. </w:t>
      </w:r>
    </w:p>
    <w:p w14:paraId="4773257C" w14:textId="4FAFAE66" w:rsidR="00B97365" w:rsidRDefault="00000000">
      <w:pPr>
        <w:spacing w:before="0" w:after="200" w:line="276" w:lineRule="auto"/>
        <w:jc w:val="left"/>
        <w:rPr>
          <w:szCs w:val="22"/>
          <w:lang w:val="en-US" w:eastAsia="en-GB" w:bidi="ar-SA"/>
        </w:rPr>
      </w:pPr>
      <w:r>
        <w:rPr>
          <w:rFonts w:cs="Arial"/>
          <w:szCs w:val="22"/>
          <w:lang w:val="en-US" w:eastAsia="en-GB" w:bidi="ar-SA"/>
        </w:rPr>
        <w:t xml:space="preserve">In case the target Profile is “Enabled”, the SM-SR SHALL automatically disable it before executing the deletion. This function is described in section </w:t>
      </w:r>
      <w:r>
        <w:fldChar w:fldCharType="begin"/>
      </w:r>
      <w:r>
        <w:instrText xml:space="preserve"> REF _Ref367975272 \r \h  \* MERGEFORMAT </w:instrText>
      </w:r>
      <w:r>
        <w:fldChar w:fldCharType="separate"/>
      </w:r>
      <w:r w:rsidR="001D5AD9" w:rsidRPr="001D5AD9">
        <w:rPr>
          <w:szCs w:val="22"/>
          <w:lang w:val="en-US" w:eastAsia="en-GB" w:bidi="ar-SA"/>
        </w:rPr>
        <w:t>4.1.1.3</w:t>
      </w:r>
      <w:r>
        <w:fldChar w:fldCharType="end"/>
      </w:r>
      <w:r>
        <w:rPr>
          <w:szCs w:val="22"/>
          <w:lang w:val="en-US" w:eastAsia="en-GB" w:bidi="ar-SA"/>
        </w:rPr>
        <w:t>.</w:t>
      </w:r>
    </w:p>
    <w:p w14:paraId="2771CE5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5406376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indicating that the Profile has been deleted on the eUICC.</w:t>
      </w:r>
    </w:p>
    <w:p w14:paraId="0D8822B1" w14:textId="77777777" w:rsidR="00B97365" w:rsidRDefault="00000000">
      <w:pPr>
        <w:numPr>
          <w:ilvl w:val="0"/>
          <w:numId w:val="38"/>
        </w:numPr>
        <w:spacing w:before="0" w:after="200" w:line="276" w:lineRule="auto"/>
        <w:contextualSpacing/>
        <w:rPr>
          <w:szCs w:val="22"/>
          <w:lang w:eastAsia="en-GB" w:bidi="ar-SA"/>
        </w:rPr>
      </w:pPr>
      <w:r>
        <w:rPr>
          <w:szCs w:val="22"/>
          <w:lang w:eastAsia="en-GB" w:bidi="ar-SA"/>
        </w:rPr>
        <w:t>A 'Function execution status' with 'Executed- WithWarning' indicating that the Profile has been deleted on the eUICC, with a status code as defined in section 5.1.6.4 or a specific status code as defined in the table below</w:t>
      </w:r>
    </w:p>
    <w:p w14:paraId="3AA7A396" w14:textId="3AAA9A6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_Ref367975281 \r \h  \* MERGEFORMAT </w:instrText>
      </w:r>
      <w:r>
        <w:fldChar w:fldCharType="separate"/>
      </w:r>
      <w:r w:rsidR="001D5AD9" w:rsidRPr="001D5AD9">
        <w:rPr>
          <w:szCs w:val="22"/>
          <w:lang w:eastAsia="en-GB" w:bidi="ar-SA"/>
        </w:rPr>
        <w:t>5.1.6.4</w:t>
      </w:r>
      <w:r>
        <w:fldChar w:fldCharType="end"/>
      </w:r>
    </w:p>
    <w:p w14:paraId="4C3B8FAD" w14:textId="10FD82F8"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_Ref367975289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2403C60D" w14:textId="77777777" w:rsidR="00B97365" w:rsidRDefault="00B97365">
      <w:pPr>
        <w:rPr>
          <w:rFonts w:cs="Calibri"/>
          <w:i/>
          <w:iCs/>
        </w:rPr>
      </w:pPr>
    </w:p>
    <w:p w14:paraId="3FD1B145" w14:textId="77777777" w:rsidR="00B97365" w:rsidRDefault="00B97365">
      <w:pPr>
        <w:spacing w:before="0" w:after="200" w:line="276" w:lineRule="auto"/>
        <w:jc w:val="left"/>
        <w:rPr>
          <w:rFonts w:cs="Arial"/>
          <w:b/>
          <w:i/>
          <w:szCs w:val="22"/>
          <w:lang w:val="en-US" w:eastAsia="en-GB" w:bidi="ar-SA"/>
        </w:rPr>
      </w:pPr>
      <w:bookmarkStart w:id="5399" w:name="_Toc420594869"/>
    </w:p>
    <w:p w14:paraId="6A8A8805"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bookmarkEnd w:id="539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97"/>
        <w:gridCol w:w="2951"/>
        <w:gridCol w:w="576"/>
        <w:gridCol w:w="389"/>
        <w:gridCol w:w="514"/>
      </w:tblGrid>
      <w:tr w:rsidR="00B97365" w14:paraId="4B1F3438"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F910D7E" w14:textId="77777777" w:rsidR="00B97365" w:rsidRDefault="00000000">
            <w:pPr>
              <w:jc w:val="center"/>
              <w:rPr>
                <w:rFonts w:cs="Calibri"/>
                <w:color w:val="FFFFFF"/>
                <w:sz w:val="16"/>
                <w:szCs w:val="16"/>
              </w:rPr>
            </w:pPr>
            <w:r>
              <w:rPr>
                <w:rFonts w:cs="Calibri"/>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ABF8745" w14:textId="77777777" w:rsidR="00B97365" w:rsidRDefault="00000000">
            <w:pPr>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0B53C82"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3DF03EB" w14:textId="77777777" w:rsidR="00B97365" w:rsidRDefault="00000000">
            <w:pPr>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DA62D28" w14:textId="77777777" w:rsidR="00B97365" w:rsidRDefault="00000000">
            <w:pPr>
              <w:jc w:val="center"/>
              <w:rPr>
                <w:rFonts w:cs="Calibri"/>
                <w:color w:val="FFFFFF"/>
                <w:sz w:val="16"/>
                <w:szCs w:val="16"/>
              </w:rPr>
            </w:pPr>
            <w:r>
              <w:rPr>
                <w:rFonts w:cs="Calibri"/>
                <w:color w:val="FFFFFF"/>
                <w:sz w:val="16"/>
                <w:szCs w:val="16"/>
              </w:rPr>
              <w:t>MOC</w:t>
            </w:r>
          </w:p>
        </w:tc>
      </w:tr>
      <w:tr w:rsidR="00B97365" w14:paraId="2E8F364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7231646"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81A2B4F" w14:textId="77777777" w:rsidR="00B97365" w:rsidRDefault="00000000">
            <w:pPr>
              <w:rPr>
                <w:rFonts w:cs="Calibri"/>
                <w:sz w:val="16"/>
                <w:szCs w:val="16"/>
              </w:rPr>
            </w:pPr>
            <w:r>
              <w:rPr>
                <w:rFonts w:cs="Calibri"/>
                <w:sz w:val="16"/>
                <w:szCs w:val="16"/>
              </w:rPr>
              <w:t>Identification of the targeted eUICC.</w:t>
            </w:r>
          </w:p>
          <w:p w14:paraId="4EFC5229" w14:textId="647A0686"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_Ref367975302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0E8CE47" w14:textId="77777777" w:rsidR="00B97365" w:rsidRDefault="00000000">
            <w:pPr>
              <w:keepNext/>
              <w:keepLines/>
              <w:tabs>
                <w:tab w:val="num" w:pos="1152"/>
              </w:tabs>
              <w:spacing w:after="140" w:line="260" w:lineRule="atLeast"/>
              <w:ind w:left="1152" w:hanging="1152"/>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E3E5C66" w14:textId="77777777" w:rsidR="00B97365" w:rsidRDefault="00000000">
            <w:pPr>
              <w:keepNext/>
              <w:keepLines/>
              <w:tabs>
                <w:tab w:val="num" w:pos="1152"/>
              </w:tabs>
              <w:spacing w:after="140" w:line="260" w:lineRule="atLeast"/>
              <w:ind w:left="1152" w:hanging="1152"/>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796B9064" w14:textId="77777777" w:rsidR="00B97365" w:rsidRDefault="00000000">
            <w:pPr>
              <w:keepNext/>
              <w:keepLines/>
              <w:tabs>
                <w:tab w:val="num" w:pos="1152"/>
              </w:tabs>
              <w:spacing w:after="140" w:line="260" w:lineRule="atLeast"/>
              <w:ind w:left="1152" w:hanging="1152"/>
              <w:jc w:val="center"/>
              <w:rPr>
                <w:rFonts w:cs="Calibri"/>
                <w:sz w:val="16"/>
                <w:szCs w:val="16"/>
              </w:rPr>
            </w:pPr>
            <w:r>
              <w:rPr>
                <w:rFonts w:cs="Calibri"/>
                <w:sz w:val="16"/>
                <w:szCs w:val="16"/>
              </w:rPr>
              <w:t>M</w:t>
            </w:r>
          </w:p>
        </w:tc>
      </w:tr>
      <w:tr w:rsidR="00B97365" w14:paraId="70833CDC"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472215A3" w14:textId="77777777" w:rsidR="00B97365" w:rsidRDefault="00000000">
            <w:pPr>
              <w:keepNext/>
              <w:keepLines/>
              <w:tabs>
                <w:tab w:val="num" w:pos="1152"/>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01A4F1E0" w14:textId="77777777" w:rsidR="00B97365" w:rsidRDefault="00000000">
            <w:pPr>
              <w:keepNext/>
              <w:keepLines/>
              <w:tabs>
                <w:tab w:val="num" w:pos="1152"/>
              </w:tabs>
              <w:spacing w:after="140" w:line="260" w:lineRule="atLeast"/>
              <w:ind w:left="1152" w:hanging="1152"/>
              <w:rPr>
                <w:rFonts w:cs="Calibri"/>
                <w:sz w:val="16"/>
                <w:szCs w:val="16"/>
              </w:rPr>
            </w:pPr>
            <w:r>
              <w:rPr>
                <w:rFonts w:cs="Calibri"/>
                <w:sz w:val="16"/>
                <w:szCs w:val="16"/>
              </w:rPr>
              <w:t>Identification of the Profile to delete.</w:t>
            </w:r>
          </w:p>
          <w:p w14:paraId="2FDFC1D1" w14:textId="502EAEE4" w:rsidR="00B97365" w:rsidRDefault="00000000">
            <w:pPr>
              <w:keepNext/>
              <w:keepLines/>
              <w:tabs>
                <w:tab w:val="num" w:pos="1152"/>
              </w:tabs>
              <w:spacing w:after="140" w:line="260" w:lineRule="atLeast"/>
              <w:ind w:left="1152" w:hanging="1152"/>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_Ref367975309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361B458C" w14:textId="77777777" w:rsidR="00B97365" w:rsidRDefault="00000000">
            <w:pPr>
              <w:spacing w:before="140" w:after="120" w:line="260" w:lineRule="atLeast"/>
              <w:ind w:left="1531" w:hanging="1531"/>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vAlign w:val="center"/>
            <w:hideMark/>
          </w:tcPr>
          <w:p w14:paraId="4F47C9F0" w14:textId="77777777" w:rsidR="00B97365" w:rsidRDefault="00000000">
            <w:pPr>
              <w:spacing w:before="140" w:after="120" w:line="260" w:lineRule="atLeast"/>
              <w:ind w:left="1531" w:hanging="1531"/>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01AD5A8" w14:textId="77777777" w:rsidR="00B97365" w:rsidRDefault="00000000">
            <w:pPr>
              <w:spacing w:before="140" w:after="120" w:line="260" w:lineRule="atLeast"/>
              <w:ind w:left="1531" w:hanging="1531"/>
              <w:rPr>
                <w:rFonts w:cs="Calibri"/>
                <w:sz w:val="16"/>
                <w:szCs w:val="16"/>
              </w:rPr>
            </w:pPr>
            <w:r>
              <w:rPr>
                <w:rFonts w:cs="Calibri"/>
                <w:sz w:val="16"/>
                <w:szCs w:val="16"/>
              </w:rPr>
              <w:t>M</w:t>
            </w:r>
          </w:p>
        </w:tc>
      </w:tr>
    </w:tbl>
    <w:p w14:paraId="75C2B1EA"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Profile Additional InputDdata</w:t>
      </w:r>
    </w:p>
    <w:p w14:paraId="493050B9" w14:textId="77777777" w:rsidR="00B97365" w:rsidRDefault="00B97365">
      <w:pPr>
        <w:spacing w:before="0" w:after="200" w:line="276" w:lineRule="auto"/>
        <w:jc w:val="left"/>
        <w:rPr>
          <w:rFonts w:cs="Arial"/>
          <w:b/>
          <w:i/>
          <w:szCs w:val="22"/>
          <w:lang w:val="en-US" w:eastAsia="en-GB" w:bidi="ar-SA"/>
        </w:rPr>
      </w:pPr>
    </w:p>
    <w:p w14:paraId="5D95A6A4" w14:textId="77777777" w:rsidR="00B97365" w:rsidRDefault="00000000">
      <w:pPr>
        <w:spacing w:before="0" w:after="200" w:line="276" w:lineRule="auto"/>
        <w:jc w:val="left"/>
        <w:rPr>
          <w:b/>
          <w:i/>
          <w:szCs w:val="22"/>
          <w:lang w:val="en-US" w:eastAsia="en-GB" w:bidi="ar-SA"/>
        </w:rPr>
      </w:pPr>
      <w:bookmarkStart w:id="5400" w:name="_Toc420594870"/>
      <w:r>
        <w:rPr>
          <w:rFonts w:cs="Arial"/>
          <w:b/>
          <w:i/>
          <w:szCs w:val="22"/>
          <w:lang w:val="en-US" w:eastAsia="en-GB" w:bidi="ar-SA"/>
        </w:rPr>
        <w:t>Additional output data:</w:t>
      </w:r>
      <w:bookmarkEnd w:id="540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83"/>
        <w:gridCol w:w="5947"/>
        <w:gridCol w:w="561"/>
        <w:gridCol w:w="400"/>
        <w:gridCol w:w="525"/>
      </w:tblGrid>
      <w:tr w:rsidR="00B97365" w14:paraId="3D09BBD6"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126CED3" w14:textId="77777777" w:rsidR="00B97365" w:rsidRDefault="00000000">
            <w:pPr>
              <w:jc w:val="center"/>
              <w:rPr>
                <w:rFonts w:cs="Calibri"/>
                <w:color w:val="FFFFFF"/>
                <w:sz w:val="16"/>
                <w:szCs w:val="16"/>
              </w:rPr>
            </w:pPr>
            <w:r>
              <w:rPr>
                <w:rFonts w:cs="Calibri"/>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8D9480C" w14:textId="77777777" w:rsidR="00B97365" w:rsidRDefault="00000000">
            <w:pPr>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2ADD492"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1C0A136"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5F5429F"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MOC</w:t>
            </w:r>
          </w:p>
        </w:tc>
      </w:tr>
      <w:tr w:rsidR="00B97365" w14:paraId="67786C5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3977C4B4" w14:textId="77777777" w:rsidR="00B97365" w:rsidRDefault="00000000">
            <w:pPr>
              <w:tabs>
                <w:tab w:val="right" w:pos="7938"/>
              </w:tabs>
              <w:ind w:left="470" w:hanging="459"/>
              <w:rPr>
                <w:rFonts w:cs="Calibri"/>
                <w:sz w:val="16"/>
                <w:szCs w:val="16"/>
              </w:rPr>
            </w:pPr>
            <w:r>
              <w:rPr>
                <w:rFonts w:cs="Calibri"/>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42C1FD90" w14:textId="77777777" w:rsidR="00B97365" w:rsidRDefault="00000000">
            <w:pPr>
              <w:tabs>
                <w:tab w:val="right" w:pos="7938"/>
              </w:tabs>
              <w:ind w:left="470" w:hanging="459"/>
              <w:rPr>
                <w:rFonts w:cs="Calibri"/>
                <w:b/>
                <w:noProof/>
                <w:sz w:val="16"/>
                <w:szCs w:val="16"/>
              </w:rPr>
            </w:pPr>
            <w:r>
              <w:rPr>
                <w:rFonts w:cs="Calibri"/>
                <w:sz w:val="16"/>
                <w:szCs w:val="16"/>
              </w:rPr>
              <w:t xml:space="preserve">Contains the detailed error returned by the eUICC in case the function execution failed on eUICC </w:t>
            </w:r>
          </w:p>
        </w:tc>
        <w:tc>
          <w:tcPr>
            <w:tcW w:w="0" w:type="auto"/>
            <w:tcBorders>
              <w:top w:val="single" w:sz="6" w:space="0" w:color="auto"/>
              <w:left w:val="single" w:sz="6" w:space="0" w:color="auto"/>
              <w:bottom w:val="single" w:sz="4" w:space="0" w:color="auto"/>
              <w:right w:val="single" w:sz="6" w:space="0" w:color="auto"/>
            </w:tcBorders>
            <w:vAlign w:val="center"/>
            <w:hideMark/>
          </w:tcPr>
          <w:p w14:paraId="272964CA" w14:textId="77777777" w:rsidR="00B97365" w:rsidRDefault="00000000">
            <w:pPr>
              <w:tabs>
                <w:tab w:val="right" w:pos="7938"/>
              </w:tabs>
              <w:ind w:left="470" w:hanging="459"/>
              <w:jc w:val="center"/>
              <w:rPr>
                <w:rFonts w:cs="Calibri"/>
                <w:sz w:val="16"/>
                <w:szCs w:val="16"/>
              </w:rPr>
            </w:pPr>
            <w:r>
              <w:rPr>
                <w:rFonts w:cs="Calibri"/>
                <w:sz w:val="16"/>
                <w:szCs w:val="16"/>
              </w:rPr>
              <w:t>Byte[]</w:t>
            </w:r>
          </w:p>
        </w:tc>
        <w:tc>
          <w:tcPr>
            <w:tcW w:w="0" w:type="auto"/>
            <w:tcBorders>
              <w:top w:val="single" w:sz="6" w:space="0" w:color="auto"/>
              <w:left w:val="single" w:sz="6" w:space="0" w:color="auto"/>
              <w:bottom w:val="single" w:sz="4" w:space="0" w:color="auto"/>
              <w:right w:val="single" w:sz="6" w:space="0" w:color="auto"/>
            </w:tcBorders>
            <w:vAlign w:val="center"/>
            <w:hideMark/>
          </w:tcPr>
          <w:p w14:paraId="7A0C6D4D"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9CA0D98" w14:textId="77777777" w:rsidR="00B97365" w:rsidRDefault="00000000">
            <w:pPr>
              <w:jc w:val="center"/>
              <w:rPr>
                <w:rFonts w:cs="Calibri"/>
                <w:sz w:val="16"/>
                <w:szCs w:val="16"/>
              </w:rPr>
            </w:pPr>
            <w:r>
              <w:rPr>
                <w:rFonts w:cs="Calibri"/>
                <w:sz w:val="16"/>
                <w:szCs w:val="16"/>
              </w:rPr>
              <w:t>O</w:t>
            </w:r>
          </w:p>
        </w:tc>
      </w:tr>
    </w:tbl>
    <w:p w14:paraId="11E1239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Profile Additional Output Data</w:t>
      </w:r>
    </w:p>
    <w:p w14:paraId="051E42FA" w14:textId="77777777" w:rsidR="00B97365" w:rsidRDefault="00000000">
      <w:pPr>
        <w:spacing w:before="0" w:after="200" w:line="276" w:lineRule="auto"/>
        <w:jc w:val="left"/>
        <w:rPr>
          <w:b/>
          <w:i/>
          <w:szCs w:val="22"/>
          <w:lang w:val="en-US" w:eastAsia="en-GB" w:bidi="ar-SA"/>
        </w:rPr>
      </w:pPr>
      <w:bookmarkStart w:id="5401" w:name="_Toc420594871"/>
      <w:r>
        <w:rPr>
          <w:rFonts w:cs="Arial"/>
          <w:b/>
          <w:i/>
          <w:szCs w:val="22"/>
          <w:lang w:val="en-US" w:eastAsia="en-GB" w:bidi="ar-SA"/>
        </w:rPr>
        <w:t>Specific status codes</w:t>
      </w:r>
      <w:bookmarkEnd w:id="540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74"/>
        <w:gridCol w:w="805"/>
        <w:gridCol w:w="692"/>
        <w:gridCol w:w="1475"/>
        <w:gridCol w:w="5370"/>
      </w:tblGrid>
      <w:tr w:rsidR="00B97365" w14:paraId="61BB9064"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4FC275D" w14:textId="77777777" w:rsidR="00B97365" w:rsidRDefault="00000000">
            <w:pPr>
              <w:jc w:val="center"/>
              <w:rPr>
                <w:rFonts w:cs="Calibri"/>
                <w:color w:val="FFFFFF"/>
                <w:sz w:val="16"/>
                <w:szCs w:val="16"/>
              </w:rPr>
            </w:pPr>
            <w:r>
              <w:rPr>
                <w:rFonts w:cs="Calibri"/>
                <w:color w:val="FFFFFF"/>
                <w:sz w:val="16"/>
                <w:szCs w:val="16"/>
              </w:rPr>
              <w:t>Subject</w:t>
            </w:r>
          </w:p>
          <w:p w14:paraId="087F23FC" w14:textId="77777777" w:rsidR="00B97365" w:rsidRDefault="00000000">
            <w:pPr>
              <w:jc w:val="center"/>
              <w:rPr>
                <w:rFonts w:cs="Calibri"/>
                <w:color w:val="FFFFFF"/>
                <w:sz w:val="16"/>
                <w:szCs w:val="16"/>
              </w:rPr>
            </w:pPr>
            <w:r>
              <w:rPr>
                <w:rFonts w:cs="Calibri"/>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0941E24" w14:textId="77777777" w:rsidR="00B97365" w:rsidRDefault="00000000">
            <w:pPr>
              <w:jc w:val="center"/>
              <w:rPr>
                <w:rFonts w:cs="Calibri"/>
                <w:color w:val="FFFFFF"/>
                <w:sz w:val="16"/>
                <w:szCs w:val="16"/>
              </w:rPr>
            </w:pPr>
            <w:r>
              <w:rPr>
                <w:rFonts w:cs="Calibri"/>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D550945" w14:textId="77777777" w:rsidR="00B97365" w:rsidRDefault="00000000">
            <w:pPr>
              <w:jc w:val="center"/>
              <w:rPr>
                <w:rFonts w:cs="Calibri"/>
                <w:color w:val="FFFFFF"/>
                <w:sz w:val="16"/>
                <w:szCs w:val="16"/>
              </w:rPr>
            </w:pPr>
            <w:r>
              <w:rPr>
                <w:rFonts w:cs="Calibri"/>
                <w:color w:val="FFFFFF"/>
                <w:sz w:val="16"/>
                <w:szCs w:val="16"/>
              </w:rPr>
              <w:t>Reason</w:t>
            </w:r>
          </w:p>
          <w:p w14:paraId="62516CC3" w14:textId="77777777" w:rsidR="00B97365" w:rsidRDefault="00000000">
            <w:pPr>
              <w:jc w:val="center"/>
              <w:rPr>
                <w:rFonts w:cs="Calibri"/>
                <w:color w:val="FFFFFF"/>
                <w:sz w:val="16"/>
                <w:szCs w:val="16"/>
              </w:rPr>
            </w:pPr>
            <w:r>
              <w:rPr>
                <w:rFonts w:cs="Calibri"/>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8C666BB" w14:textId="77777777" w:rsidR="00B97365" w:rsidRDefault="00000000">
            <w:pPr>
              <w:jc w:val="center"/>
              <w:rPr>
                <w:rFonts w:cs="Calibri"/>
                <w:color w:val="FFFFFF"/>
                <w:sz w:val="16"/>
                <w:szCs w:val="16"/>
              </w:rPr>
            </w:pPr>
            <w:r>
              <w:rPr>
                <w:rFonts w:cs="Calibri"/>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E5FF15F" w14:textId="77777777" w:rsidR="00B97365" w:rsidRDefault="00000000">
            <w:pPr>
              <w:jc w:val="center"/>
              <w:rPr>
                <w:rFonts w:cs="Calibri"/>
                <w:color w:val="FFFFFF"/>
                <w:sz w:val="16"/>
                <w:szCs w:val="16"/>
              </w:rPr>
            </w:pPr>
            <w:r>
              <w:rPr>
                <w:rFonts w:cs="Calibri"/>
                <w:color w:val="FFFFFF"/>
                <w:sz w:val="16"/>
                <w:szCs w:val="16"/>
              </w:rPr>
              <w:t>Description</w:t>
            </w:r>
          </w:p>
        </w:tc>
      </w:tr>
      <w:tr w:rsidR="00B97365" w14:paraId="1E24F4B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39F4615"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40509A33"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F38790E" w14:textId="77777777" w:rsidR="00B97365" w:rsidRDefault="00000000">
            <w:pPr>
              <w:jc w:val="center"/>
              <w:rPr>
                <w:rFonts w:cs="Calibri"/>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648908D1"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78242824" w14:textId="77777777" w:rsidR="00B97365" w:rsidRDefault="00000000">
            <w:pPr>
              <w:rPr>
                <w:rFonts w:cs="Calibri"/>
                <w:sz w:val="16"/>
                <w:szCs w:val="16"/>
              </w:rPr>
            </w:pPr>
            <w:r>
              <w:rPr>
                <w:rFonts w:cs="Calibri"/>
                <w:sz w:val="16"/>
                <w:szCs w:val="16"/>
              </w:rPr>
              <w:t>Indicates that the eUICC, identified by this EID, is unknown to the function provider.</w:t>
            </w:r>
          </w:p>
        </w:tc>
      </w:tr>
      <w:tr w:rsidR="00B97365" w14:paraId="6E73896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ACC482E"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59F9B552" w14:textId="77777777" w:rsidR="00B97365" w:rsidRDefault="00000000">
            <w:pPr>
              <w:rPr>
                <w:rFonts w:cs="Calibri"/>
                <w:sz w:val="16"/>
                <w:szCs w:val="16"/>
              </w:rPr>
            </w:pPr>
            <w:r>
              <w:rPr>
                <w:rFonts w:cs="Calibri"/>
                <w:sz w:val="16"/>
                <w:szCs w:val="16"/>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BADF5DC" w14:textId="77777777" w:rsidR="00B97365" w:rsidRDefault="00000000">
            <w:pPr>
              <w:jc w:val="center"/>
              <w:rPr>
                <w:rFonts w:cs="Calibri"/>
                <w:sz w:val="16"/>
                <w:szCs w:val="16"/>
              </w:rPr>
            </w:pPr>
            <w:r>
              <w:rPr>
                <w:rFonts w:cs="Calibri"/>
                <w:sz w:val="16"/>
                <w:szCs w:val="16"/>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3BBDE86A"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7F8A0F22" w14:textId="77777777" w:rsidR="00B97365" w:rsidRDefault="00000000">
            <w:pPr>
              <w:rPr>
                <w:rFonts w:cs="Calibri"/>
                <w:sz w:val="16"/>
                <w:szCs w:val="16"/>
              </w:rPr>
            </w:pPr>
            <w:r>
              <w:rPr>
                <w:rFonts w:cs="Calibri"/>
                <w:sz w:val="16"/>
                <w:szCs w:val="16"/>
              </w:rPr>
              <w:t>Indicates that the Profile identified by this ICCID is unknown to the function provider.</w:t>
            </w:r>
          </w:p>
        </w:tc>
      </w:tr>
      <w:tr w:rsidR="00B97365" w14:paraId="255B81B0"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16A3C28" w14:textId="77777777" w:rsidR="00B97365" w:rsidRDefault="00000000">
            <w:pPr>
              <w:jc w:val="center"/>
              <w:rPr>
                <w:rFonts w:cs="Calibri"/>
                <w:sz w:val="16"/>
                <w:szCs w:val="16"/>
              </w:rPr>
            </w:pPr>
            <w:r>
              <w:rPr>
                <w:rFonts w:cs="Calibri"/>
                <w:sz w:val="16"/>
                <w:szCs w:val="16"/>
              </w:rPr>
              <w:lastRenderedPageBreak/>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4392B65A" w14:textId="77777777" w:rsidR="00B97365" w:rsidRDefault="00000000">
            <w:pPr>
              <w:rPr>
                <w:rFonts w:cs="Calibri"/>
                <w:sz w:val="16"/>
                <w:szCs w:val="16"/>
              </w:rPr>
            </w:pPr>
            <w:r>
              <w:rPr>
                <w:rFonts w:cs="Calibri"/>
                <w:sz w:val="16"/>
                <w:szCs w:val="16"/>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E6A8325" w14:textId="77777777" w:rsidR="00B97365" w:rsidRDefault="00000000">
            <w:pPr>
              <w:jc w:val="center"/>
              <w:rPr>
                <w:rFonts w:cs="Calibri"/>
                <w:sz w:val="16"/>
                <w:szCs w:val="16"/>
              </w:rPr>
            </w:pPr>
            <w:r>
              <w:rPr>
                <w:rFonts w:cs="Calibri"/>
                <w:sz w:val="16"/>
                <w:szCs w:val="16"/>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0736043A" w14:textId="77777777" w:rsidR="00B97365" w:rsidRDefault="00000000">
            <w:pPr>
              <w:rPr>
                <w:rFonts w:cs="Calibri"/>
                <w:sz w:val="16"/>
                <w:szCs w:val="16"/>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3E4CDA32" w14:textId="77777777" w:rsidR="00B97365" w:rsidRDefault="00000000">
            <w:pPr>
              <w:rPr>
                <w:rFonts w:cs="Calibri"/>
                <w:sz w:val="16"/>
                <w:szCs w:val="16"/>
              </w:rPr>
            </w:pPr>
            <w:r>
              <w:rPr>
                <w:rFonts w:cs="Calibri"/>
                <w:sz w:val="16"/>
                <w:szCs w:val="16"/>
              </w:rPr>
              <w:t>Indicates that the Profile identified by this ICCID is known to the function provider but installed on another eUICC than the one identified by the function caller.</w:t>
            </w:r>
          </w:p>
        </w:tc>
      </w:tr>
      <w:tr w:rsidR="00B97365" w14:paraId="40B34B0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28B0864"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6ACDBACB" w14:textId="77777777" w:rsidR="00B97365" w:rsidRDefault="00000000">
            <w:pPr>
              <w:rPr>
                <w:rFonts w:cs="Calibri"/>
                <w:sz w:val="16"/>
                <w:szCs w:val="16"/>
              </w:rPr>
            </w:pPr>
            <w:r>
              <w:rPr>
                <w:rFonts w:cs="Calibri"/>
                <w:sz w:val="16"/>
                <w:szCs w:val="16"/>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183EF1C" w14:textId="77777777" w:rsidR="00B97365" w:rsidRDefault="00000000">
            <w:pPr>
              <w:jc w:val="center"/>
              <w:rPr>
                <w:rFonts w:cs="Calibri"/>
                <w:sz w:val="16"/>
                <w:szCs w:val="16"/>
              </w:rPr>
            </w:pPr>
            <w:r>
              <w:rPr>
                <w:rFonts w:cs="Calibri"/>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6D78FEA1" w14:textId="77777777" w:rsidR="00B97365" w:rsidRDefault="00000000">
            <w:pPr>
              <w:rPr>
                <w:rFonts w:cs="Calibri"/>
                <w:sz w:val="16"/>
                <w:szCs w:val="16"/>
              </w:rPr>
            </w:pPr>
            <w:r>
              <w:rPr>
                <w:rFonts w:cs="Calibri"/>
                <w:sz w:val="16"/>
                <w:szCs w:val="16"/>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55CD5143" w14:textId="77777777" w:rsidR="00B97365" w:rsidRDefault="00000000">
            <w:pPr>
              <w:rPr>
                <w:rFonts w:cs="Calibri"/>
                <w:sz w:val="16"/>
                <w:szCs w:val="16"/>
              </w:rPr>
            </w:pPr>
            <w:r>
              <w:rPr>
                <w:rFonts w:cs="Calibri"/>
                <w:sz w:val="16"/>
                <w:szCs w:val="16"/>
              </w:rPr>
              <w:t>Indicates that the function caller is not allowed to perform this function on the target Profile.</w:t>
            </w:r>
          </w:p>
        </w:tc>
      </w:tr>
      <w:tr w:rsidR="00B97365" w14:paraId="178BC91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9526DFD"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2A5254F5" w14:textId="77777777" w:rsidR="00B97365" w:rsidRDefault="00000000">
            <w:pPr>
              <w:rPr>
                <w:rFonts w:cs="Calibri"/>
                <w:sz w:val="16"/>
                <w:szCs w:val="16"/>
              </w:rPr>
            </w:pPr>
            <w:r>
              <w:rPr>
                <w:rFonts w:cs="Calibri"/>
                <w:sz w:val="16"/>
                <w:szCs w:val="16"/>
              </w:rPr>
              <w:t>Profile 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39210DF" w14:textId="77777777" w:rsidR="00B97365" w:rsidRDefault="00000000">
            <w:pPr>
              <w:jc w:val="center"/>
              <w:rPr>
                <w:rFonts w:cs="Calibri"/>
                <w:sz w:val="16"/>
                <w:szCs w:val="16"/>
              </w:rPr>
            </w:pPr>
            <w:r>
              <w:rPr>
                <w:rFonts w:cs="Calibri"/>
                <w:sz w:val="16"/>
                <w:szCs w:val="16"/>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059E1B00" w14:textId="77777777" w:rsidR="00B97365" w:rsidRDefault="00000000">
            <w:pPr>
              <w:rPr>
                <w:rFonts w:cs="Calibri"/>
                <w:sz w:val="16"/>
                <w:szCs w:val="16"/>
              </w:rPr>
            </w:pPr>
            <w:r>
              <w:rPr>
                <w:rFonts w:cs="Calibri"/>
                <w:sz w:val="16"/>
                <w:szCs w:val="16"/>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1D7E7644" w14:textId="77777777" w:rsidR="00B97365" w:rsidRDefault="00000000">
            <w:pPr>
              <w:rPr>
                <w:rFonts w:cs="Calibri"/>
                <w:sz w:val="16"/>
                <w:szCs w:val="16"/>
              </w:rPr>
            </w:pPr>
            <w:r>
              <w:rPr>
                <w:rFonts w:cs="Calibri"/>
                <w:sz w:val="16"/>
                <w:szCs w:val="16"/>
              </w:rPr>
              <w:t>Indicates that the Profile cannot be deleted because it is the last Profile of the eUICC or the Fall-Back Profile.</w:t>
            </w:r>
          </w:p>
        </w:tc>
      </w:tr>
      <w:tr w:rsidR="00B97365" w14:paraId="4B996CF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8ADA47C" w14:textId="77777777" w:rsidR="00B97365" w:rsidRDefault="00000000">
            <w:pPr>
              <w:jc w:val="center"/>
              <w:rPr>
                <w:rFonts w:cs="Calibri"/>
                <w:sz w:val="16"/>
                <w:szCs w:val="16"/>
              </w:rPr>
            </w:pPr>
            <w:r>
              <w:rPr>
                <w:rFonts w:cs="Calibri"/>
                <w:sz w:val="16"/>
                <w:szCs w:val="16"/>
              </w:rPr>
              <w:t>8.2.2</w:t>
            </w:r>
          </w:p>
        </w:tc>
        <w:tc>
          <w:tcPr>
            <w:tcW w:w="0" w:type="auto"/>
            <w:tcBorders>
              <w:top w:val="single" w:sz="6" w:space="0" w:color="auto"/>
              <w:left w:val="single" w:sz="6" w:space="0" w:color="auto"/>
              <w:bottom w:val="single" w:sz="6" w:space="0" w:color="auto"/>
              <w:right w:val="single" w:sz="6" w:space="0" w:color="auto"/>
            </w:tcBorders>
            <w:vAlign w:val="center"/>
            <w:hideMark/>
          </w:tcPr>
          <w:p w14:paraId="688C06EE" w14:textId="77777777" w:rsidR="00B97365" w:rsidRDefault="00000000">
            <w:pPr>
              <w:rPr>
                <w:rFonts w:cs="Calibri"/>
                <w:sz w:val="16"/>
                <w:szCs w:val="16"/>
              </w:rPr>
            </w:pPr>
            <w:r>
              <w:rPr>
                <w:rFonts w:cs="Calibri"/>
                <w:sz w:val="16"/>
                <w:szCs w:val="16"/>
              </w:rPr>
              <w:t>POL1</w:t>
            </w:r>
          </w:p>
        </w:tc>
        <w:tc>
          <w:tcPr>
            <w:tcW w:w="0" w:type="auto"/>
            <w:tcBorders>
              <w:top w:val="single" w:sz="6" w:space="0" w:color="auto"/>
              <w:left w:val="single" w:sz="6" w:space="0" w:color="auto"/>
              <w:bottom w:val="single" w:sz="6" w:space="0" w:color="auto"/>
              <w:right w:val="single" w:sz="6" w:space="0" w:color="auto"/>
            </w:tcBorders>
            <w:vAlign w:val="center"/>
            <w:hideMark/>
          </w:tcPr>
          <w:p w14:paraId="5EF2C927" w14:textId="77777777" w:rsidR="00B97365" w:rsidRDefault="00000000">
            <w:pPr>
              <w:jc w:val="center"/>
              <w:rPr>
                <w:rFonts w:cs="Calibri"/>
                <w:sz w:val="16"/>
                <w:szCs w:val="16"/>
              </w:rPr>
            </w:pPr>
            <w:r>
              <w:rPr>
                <w:rFonts w:cs="Calibri"/>
                <w:sz w:val="16"/>
                <w:szCs w:val="16"/>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231BBE34" w14:textId="77777777" w:rsidR="00B97365" w:rsidRDefault="00000000">
            <w:pPr>
              <w:rPr>
                <w:rFonts w:cs="Calibri"/>
                <w:sz w:val="16"/>
                <w:szCs w:val="16"/>
              </w:rPr>
            </w:pPr>
            <w:r>
              <w:rPr>
                <w:rFonts w:cs="Calibri"/>
                <w:sz w:val="16"/>
                <w:szCs w:val="16"/>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7A5C8CFB" w14:textId="77777777" w:rsidR="00B97365" w:rsidRDefault="00000000">
            <w:pPr>
              <w:rPr>
                <w:rFonts w:cs="Calibri"/>
                <w:sz w:val="16"/>
                <w:szCs w:val="16"/>
              </w:rPr>
            </w:pPr>
            <w:r>
              <w:rPr>
                <w:rFonts w:cs="Calibri"/>
                <w:sz w:val="16"/>
                <w:szCs w:val="16"/>
              </w:rPr>
              <w:t>The POL1 of the Profile doesn’t allow this operation.</w:t>
            </w:r>
          </w:p>
        </w:tc>
      </w:tr>
      <w:tr w:rsidR="00B97365" w14:paraId="1C17663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7F5722E" w14:textId="77777777" w:rsidR="00B97365" w:rsidRDefault="00000000">
            <w:pPr>
              <w:jc w:val="center"/>
              <w:rPr>
                <w:rFonts w:cs="Calibri"/>
                <w:sz w:val="16"/>
                <w:szCs w:val="16"/>
              </w:rPr>
            </w:pPr>
            <w:r>
              <w:rPr>
                <w:rFonts w:cs="Calibri"/>
                <w:sz w:val="16"/>
                <w:szCs w:val="16"/>
              </w:rPr>
              <w:t>8.2.3</w:t>
            </w:r>
          </w:p>
        </w:tc>
        <w:tc>
          <w:tcPr>
            <w:tcW w:w="0" w:type="auto"/>
            <w:tcBorders>
              <w:top w:val="single" w:sz="6" w:space="0" w:color="auto"/>
              <w:left w:val="single" w:sz="6" w:space="0" w:color="auto"/>
              <w:bottom w:val="single" w:sz="6" w:space="0" w:color="auto"/>
              <w:right w:val="single" w:sz="6" w:space="0" w:color="auto"/>
            </w:tcBorders>
            <w:vAlign w:val="center"/>
            <w:hideMark/>
          </w:tcPr>
          <w:p w14:paraId="7E2A289F" w14:textId="77777777" w:rsidR="00B97365" w:rsidRDefault="00000000">
            <w:pPr>
              <w:rPr>
                <w:rFonts w:cs="Calibri"/>
                <w:sz w:val="16"/>
                <w:szCs w:val="16"/>
              </w:rPr>
            </w:pPr>
            <w:r>
              <w:rPr>
                <w:rFonts w:cs="Calibri"/>
                <w:sz w:val="16"/>
                <w:szCs w:val="16"/>
              </w:rPr>
              <w:t>POL2</w:t>
            </w:r>
          </w:p>
        </w:tc>
        <w:tc>
          <w:tcPr>
            <w:tcW w:w="0" w:type="auto"/>
            <w:tcBorders>
              <w:top w:val="single" w:sz="6" w:space="0" w:color="auto"/>
              <w:left w:val="single" w:sz="6" w:space="0" w:color="auto"/>
              <w:bottom w:val="single" w:sz="6" w:space="0" w:color="auto"/>
              <w:right w:val="single" w:sz="6" w:space="0" w:color="auto"/>
            </w:tcBorders>
            <w:vAlign w:val="center"/>
            <w:hideMark/>
          </w:tcPr>
          <w:p w14:paraId="32655AC4" w14:textId="77777777" w:rsidR="00B97365" w:rsidRDefault="00000000">
            <w:pPr>
              <w:jc w:val="center"/>
              <w:rPr>
                <w:rFonts w:cs="Calibri"/>
                <w:sz w:val="16"/>
                <w:szCs w:val="16"/>
              </w:rPr>
            </w:pPr>
            <w:r>
              <w:rPr>
                <w:rFonts w:cs="Calibri"/>
                <w:sz w:val="16"/>
                <w:szCs w:val="16"/>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7557E68B" w14:textId="77777777" w:rsidR="00B97365" w:rsidRDefault="00000000">
            <w:pPr>
              <w:rPr>
                <w:rFonts w:cs="Calibri"/>
                <w:sz w:val="16"/>
                <w:szCs w:val="16"/>
              </w:rPr>
            </w:pPr>
            <w:r>
              <w:rPr>
                <w:rFonts w:cs="Calibri"/>
                <w:sz w:val="16"/>
                <w:szCs w:val="16"/>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48345E6D" w14:textId="77777777" w:rsidR="00B97365" w:rsidRDefault="00000000">
            <w:pPr>
              <w:rPr>
                <w:rFonts w:cs="Calibri"/>
                <w:sz w:val="16"/>
                <w:szCs w:val="16"/>
              </w:rPr>
            </w:pPr>
            <w:r>
              <w:rPr>
                <w:rFonts w:cs="Calibri"/>
                <w:sz w:val="16"/>
                <w:szCs w:val="16"/>
              </w:rPr>
              <w:t>The POL2 of the Profile doesn’t allow this operation.</w:t>
            </w:r>
          </w:p>
        </w:tc>
      </w:tr>
      <w:tr w:rsidR="00B97365" w14:paraId="34DD82C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8B95E64"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0A66F953" w14:textId="77777777" w:rsidR="00B97365" w:rsidRDefault="00000000">
            <w:pPr>
              <w:rPr>
                <w:rFonts w:cs="Calibri"/>
                <w:sz w:val="16"/>
                <w:szCs w:val="16"/>
              </w:rPr>
            </w:pPr>
            <w:r>
              <w:rPr>
                <w:rFonts w:cs="Calibri"/>
                <w:sz w:val="16"/>
                <w:szCs w:val="16"/>
                <w:lang w:val="en-US"/>
              </w:rPr>
              <w:t>PLMA</w:t>
            </w:r>
          </w:p>
        </w:tc>
        <w:tc>
          <w:tcPr>
            <w:tcW w:w="0" w:type="auto"/>
            <w:tcBorders>
              <w:top w:val="single" w:sz="6" w:space="0" w:color="auto"/>
              <w:left w:val="single" w:sz="6" w:space="0" w:color="auto"/>
              <w:bottom w:val="single" w:sz="6" w:space="0" w:color="auto"/>
              <w:right w:val="single" w:sz="6" w:space="0" w:color="auto"/>
            </w:tcBorders>
            <w:vAlign w:val="center"/>
          </w:tcPr>
          <w:p w14:paraId="2B779435" w14:textId="77777777" w:rsidR="00B97365" w:rsidRDefault="00000000">
            <w:pPr>
              <w:jc w:val="center"/>
              <w:rPr>
                <w:rFonts w:cs="Calibri"/>
                <w:sz w:val="16"/>
                <w:szCs w:val="16"/>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tcPr>
          <w:p w14:paraId="257D91CB" w14:textId="77777777" w:rsidR="00B97365" w:rsidRDefault="00000000">
            <w:pPr>
              <w:rPr>
                <w:rFonts w:cs="Calibri"/>
                <w:sz w:val="16"/>
                <w:szCs w:val="16"/>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tcPr>
          <w:p w14:paraId="5D4ED8BC" w14:textId="77777777" w:rsidR="00B97365" w:rsidRDefault="00000000">
            <w:pPr>
              <w:rPr>
                <w:rFonts w:cs="Calibri"/>
                <w:sz w:val="16"/>
                <w:szCs w:val="16"/>
              </w:rPr>
            </w:pPr>
            <w:r>
              <w:rPr>
                <w:rFonts w:cs="Calibri"/>
                <w:sz w:val="16"/>
                <w:szCs w:val="16"/>
                <w:lang w:val="en-US"/>
              </w:rPr>
              <w:t>No PLMA allows the M2M SP to execute this operation.</w:t>
            </w:r>
          </w:p>
        </w:tc>
      </w:tr>
      <w:tr w:rsidR="00B97365" w14:paraId="0726533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0EF0E5F" w14:textId="77777777" w:rsidR="00B97365" w:rsidRDefault="00000000">
            <w:pPr>
              <w:jc w:val="center"/>
              <w:rPr>
                <w:rFonts w:cs="Calibri"/>
                <w:sz w:val="16"/>
                <w:szCs w:val="16"/>
              </w:rPr>
            </w:pPr>
            <w:r>
              <w:rPr>
                <w:rFonts w:cs="Calibri"/>
                <w:sz w:val="16"/>
                <w:szCs w:val="16"/>
              </w:rPr>
              <w:t>8.3</w:t>
            </w:r>
          </w:p>
        </w:tc>
        <w:tc>
          <w:tcPr>
            <w:tcW w:w="0" w:type="auto"/>
            <w:tcBorders>
              <w:top w:val="single" w:sz="6" w:space="0" w:color="auto"/>
              <w:left w:val="single" w:sz="6" w:space="0" w:color="auto"/>
              <w:bottom w:val="single" w:sz="6" w:space="0" w:color="auto"/>
              <w:right w:val="single" w:sz="6" w:space="0" w:color="auto"/>
            </w:tcBorders>
            <w:vAlign w:val="center"/>
          </w:tcPr>
          <w:p w14:paraId="5E071293" w14:textId="77777777" w:rsidR="00B97365" w:rsidRDefault="00000000">
            <w:pPr>
              <w:rPr>
                <w:rFonts w:cs="Calibri"/>
                <w:sz w:val="16"/>
                <w:szCs w:val="16"/>
              </w:rPr>
            </w:pPr>
            <w:r>
              <w:rPr>
                <w:rFonts w:cs="Calibri"/>
                <w:sz w:val="16"/>
                <w:szCs w:val="16"/>
              </w:rPr>
              <w:t>ISD-P</w:t>
            </w:r>
          </w:p>
        </w:tc>
        <w:tc>
          <w:tcPr>
            <w:tcW w:w="0" w:type="auto"/>
            <w:tcBorders>
              <w:top w:val="single" w:sz="6" w:space="0" w:color="auto"/>
              <w:left w:val="single" w:sz="6" w:space="0" w:color="auto"/>
              <w:bottom w:val="single" w:sz="6" w:space="0" w:color="auto"/>
              <w:right w:val="single" w:sz="6" w:space="0" w:color="auto"/>
            </w:tcBorders>
            <w:vAlign w:val="center"/>
          </w:tcPr>
          <w:p w14:paraId="506076DB" w14:textId="77777777" w:rsidR="00B97365" w:rsidRDefault="00000000">
            <w:pPr>
              <w:rPr>
                <w:rFonts w:cs="Calibri"/>
                <w:sz w:val="16"/>
                <w:szCs w:val="16"/>
              </w:rPr>
            </w:pPr>
            <w:r>
              <w:rPr>
                <w:rFonts w:cs="Calibri"/>
                <w:sz w:val="16"/>
                <w:szCs w:val="16"/>
              </w:rPr>
              <w:t>4.6</w:t>
            </w:r>
          </w:p>
        </w:tc>
        <w:tc>
          <w:tcPr>
            <w:tcW w:w="0" w:type="auto"/>
            <w:tcBorders>
              <w:top w:val="single" w:sz="6" w:space="0" w:color="auto"/>
              <w:left w:val="single" w:sz="6" w:space="0" w:color="auto"/>
              <w:bottom w:val="single" w:sz="6" w:space="0" w:color="auto"/>
              <w:right w:val="single" w:sz="6" w:space="0" w:color="auto"/>
            </w:tcBorders>
            <w:vAlign w:val="center"/>
          </w:tcPr>
          <w:p w14:paraId="1FBC8727" w14:textId="77777777" w:rsidR="00B97365" w:rsidRDefault="00000000">
            <w:pPr>
              <w:rPr>
                <w:rFonts w:cs="Calibri"/>
                <w:sz w:val="16"/>
                <w:szCs w:val="16"/>
              </w:rPr>
            </w:pPr>
            <w:r>
              <w:rPr>
                <w:rFonts w:cs="Calibri"/>
                <w:sz w:val="16"/>
                <w:szCs w:val="16"/>
              </w:rPr>
              <w:t>Not Present / Missing</w:t>
            </w:r>
          </w:p>
        </w:tc>
        <w:tc>
          <w:tcPr>
            <w:tcW w:w="0" w:type="auto"/>
            <w:tcBorders>
              <w:top w:val="single" w:sz="6" w:space="0" w:color="auto"/>
              <w:left w:val="single" w:sz="6" w:space="0" w:color="auto"/>
              <w:bottom w:val="single" w:sz="6" w:space="0" w:color="auto"/>
              <w:right w:val="single" w:sz="4" w:space="0" w:color="auto"/>
            </w:tcBorders>
            <w:vAlign w:val="center"/>
          </w:tcPr>
          <w:p w14:paraId="1E99A39C" w14:textId="77777777" w:rsidR="00B97365" w:rsidRDefault="00000000">
            <w:pPr>
              <w:rPr>
                <w:rFonts w:cs="Calibri"/>
                <w:sz w:val="16"/>
                <w:szCs w:val="16"/>
              </w:rPr>
            </w:pPr>
            <w:r>
              <w:rPr>
                <w:rFonts w:cs="Calibri"/>
                <w:sz w:val="16"/>
                <w:szCs w:val="16"/>
              </w:rPr>
              <w:t>The target ISD-P was not found on this eUICC (in this case the Function Execution Status SHALL be ‘Executed- WithWarning’)</w:t>
            </w:r>
          </w:p>
        </w:tc>
      </w:tr>
      <w:tr w:rsidR="00B97365" w14:paraId="3B1E5B24"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4543482" w14:textId="77777777" w:rsidR="00B97365" w:rsidRDefault="00000000">
            <w:pPr>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4" w:space="0" w:color="auto"/>
              <w:right w:val="single" w:sz="6" w:space="0" w:color="auto"/>
            </w:tcBorders>
            <w:vAlign w:val="center"/>
            <w:hideMark/>
          </w:tcPr>
          <w:p w14:paraId="0D6F47E8" w14:textId="77777777" w:rsidR="00B97365" w:rsidRDefault="00000000">
            <w:pPr>
              <w:rPr>
                <w:rFonts w:cs="Calibri"/>
                <w:sz w:val="16"/>
                <w:szCs w:val="16"/>
              </w:rPr>
            </w:pPr>
            <w:r>
              <w:rPr>
                <w:rFonts w:cs="Calibri"/>
                <w:sz w:val="16"/>
                <w:szCs w:val="16"/>
              </w:rPr>
              <w:t>ISD-R</w:t>
            </w:r>
          </w:p>
        </w:tc>
        <w:tc>
          <w:tcPr>
            <w:tcW w:w="0" w:type="auto"/>
            <w:tcBorders>
              <w:top w:val="single" w:sz="6" w:space="0" w:color="auto"/>
              <w:left w:val="single" w:sz="6" w:space="0" w:color="auto"/>
              <w:bottom w:val="single" w:sz="4" w:space="0" w:color="auto"/>
              <w:right w:val="single" w:sz="6" w:space="0" w:color="auto"/>
            </w:tcBorders>
            <w:vAlign w:val="center"/>
            <w:hideMark/>
          </w:tcPr>
          <w:p w14:paraId="0126393F" w14:textId="77777777" w:rsidR="00B97365" w:rsidRDefault="00000000">
            <w:pPr>
              <w:jc w:val="center"/>
              <w:rPr>
                <w:rFonts w:cs="Calibri"/>
                <w:sz w:val="16"/>
                <w:szCs w:val="16"/>
              </w:rPr>
            </w:pPr>
            <w:r>
              <w:rPr>
                <w:rFonts w:cs="Calibri"/>
                <w:sz w:val="16"/>
                <w:szCs w:val="16"/>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326ECE93" w14:textId="77777777" w:rsidR="00B97365" w:rsidRDefault="00000000">
            <w:pPr>
              <w:rPr>
                <w:rFonts w:cs="Calibri"/>
                <w:sz w:val="16"/>
                <w:szCs w:val="16"/>
              </w:rPr>
            </w:pPr>
            <w:r>
              <w:rPr>
                <w:rFonts w:cs="Calibri"/>
                <w:sz w:val="16"/>
                <w:szCs w:val="16"/>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5FF7A914" w14:textId="77777777" w:rsidR="00B97365" w:rsidRDefault="00000000">
            <w:pPr>
              <w:rPr>
                <w:rFonts w:cs="Calibri"/>
                <w:sz w:val="16"/>
                <w:szCs w:val="16"/>
              </w:rPr>
            </w:pPr>
            <w:r>
              <w:rPr>
                <w:rFonts w:cs="Calibri"/>
                <w:sz w:val="16"/>
                <w:szCs w:val="16"/>
              </w:rPr>
              <w:t>Error during execution of the deletion (or disabling) command on the eUICC. In that case, the output data “euiccResponseData” contains the exact response coming from the eUICC.</w:t>
            </w:r>
          </w:p>
        </w:tc>
      </w:tr>
    </w:tbl>
    <w:p w14:paraId="169B4168"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Delete Profile Specific Status Codes</w:t>
      </w:r>
    </w:p>
    <w:p w14:paraId="5D28F7A4" w14:textId="31E42FD2" w:rsidR="00B97365" w:rsidRDefault="00000000">
      <w:pPr>
        <w:spacing w:after="200" w:line="276" w:lineRule="auto"/>
        <w:ind w:left="1560" w:hanging="1276"/>
        <w:jc w:val="left"/>
        <w:rPr>
          <w:szCs w:val="22"/>
          <w:lang w:val="en-US" w:eastAsia="en-GB" w:bidi="ar-SA"/>
        </w:rPr>
      </w:pPr>
      <w:r>
        <w:rPr>
          <w:rFonts w:cs="Arial"/>
          <w:szCs w:val="22"/>
          <w:lang w:val="en-US" w:eastAsia="en-GB" w:bidi="ar-SA"/>
        </w:rPr>
        <w:t xml:space="preserve">NOTE: </w:t>
      </w:r>
      <w:r>
        <w:rPr>
          <w:rFonts w:cs="Arial"/>
          <w:szCs w:val="22"/>
          <w:lang w:val="en-US" w:eastAsia="en-GB" w:bidi="ar-SA"/>
        </w:rPr>
        <w:tab/>
        <w:t>in case Profile disabling is performed automatically before deletion, this function MAY raise any status code coming from the execution of the Profile disabling function defined in section</w:t>
      </w:r>
      <w:r>
        <w:t xml:space="preserve"> </w:t>
      </w:r>
      <w:r>
        <w:fldChar w:fldCharType="begin"/>
      </w:r>
      <w:r>
        <w:instrText xml:space="preserve"> REF _Ref511997651 \r \h </w:instrText>
      </w:r>
      <w:r>
        <w:fldChar w:fldCharType="separate"/>
      </w:r>
      <w:r w:rsidR="001D5AD9">
        <w:t>5.5.6</w:t>
      </w:r>
      <w:r>
        <w:fldChar w:fldCharType="end"/>
      </w:r>
      <w:r>
        <w:rPr>
          <w:szCs w:val="22"/>
          <w:lang w:val="en-US" w:eastAsia="en-GB" w:bidi="ar-SA"/>
        </w:rPr>
        <w:t>.</w:t>
      </w:r>
    </w:p>
    <w:p w14:paraId="07B125A6" w14:textId="77777777" w:rsidR="00B97365" w:rsidRDefault="00B97365">
      <w:pPr>
        <w:rPr>
          <w:rFonts w:cs="Calibri"/>
        </w:rPr>
      </w:pPr>
    </w:p>
    <w:p w14:paraId="31FE075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402" w:name="_Toc448998291"/>
      <w:bookmarkStart w:id="5403" w:name="_Toc422150787"/>
      <w:bookmarkStart w:id="5404" w:name="_Toc421874372"/>
      <w:bookmarkStart w:id="5405" w:name="_Toc420594872"/>
      <w:bookmarkStart w:id="5406" w:name="_Toc398214913"/>
      <w:bookmarkStart w:id="5407" w:name="_Toc375158329"/>
      <w:bookmarkStart w:id="5408" w:name="_Toc368932338"/>
      <w:bookmarkStart w:id="5409" w:name="_Ref367979016"/>
      <w:bookmarkStart w:id="5410" w:name="_Ref367979007"/>
      <w:bookmarkStart w:id="5411" w:name="_Toc486332909"/>
      <w:bookmarkStart w:id="5412" w:name="_Toc1977414"/>
      <w:bookmarkStart w:id="5413" w:name="_Toc37062573"/>
      <w:bookmarkStart w:id="5414" w:name="_Toc88839647"/>
      <w:bookmarkStart w:id="5415" w:name="_Toc121504055"/>
      <w:bookmarkStart w:id="5416" w:name="_Toc352671598"/>
      <w:r>
        <w:rPr>
          <w:rFonts w:eastAsia="Times New Roman" w:cs="Arial"/>
          <w:b/>
          <w:bCs/>
          <w:iCs/>
          <w:sz w:val="24"/>
          <w:szCs w:val="26"/>
          <w:lang w:eastAsia="en-US"/>
        </w:rPr>
        <w:t>Prepare SM-SR Change</w:t>
      </w:r>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14:paraId="796BF9E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PrepareSMSRChange </w:t>
      </w:r>
    </w:p>
    <w:p w14:paraId="3E60063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SM-SR Change</w:t>
      </w:r>
    </w:p>
    <w:p w14:paraId="04DA3A7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eUICC Management</w:t>
      </w:r>
    </w:p>
    <w:p w14:paraId="4302286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44D48ED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allows the Initiator to request to a new SM-SR to prepare for a change for an eUICC identified by its EID. </w:t>
      </w:r>
    </w:p>
    <w:p w14:paraId="2979D53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check is used to give the opportunity to the new SM-SR to ensure that any necessary business agreement is in place. </w:t>
      </w:r>
    </w:p>
    <w:p w14:paraId="41F6189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9194E3E"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PrepareSMSRChange function has been successfully executed on the SM-SR as requested by the function caller. </w:t>
      </w:r>
    </w:p>
    <w:p w14:paraId="7ADB52A6" w14:textId="4213D615" w:rsidR="00B97365" w:rsidRDefault="00000000">
      <w:pPr>
        <w:numPr>
          <w:ilvl w:val="0"/>
          <w:numId w:val="11"/>
        </w:numPr>
        <w:tabs>
          <w:tab w:val="left" w:pos="680"/>
        </w:tabs>
        <w:spacing w:before="0" w:after="200" w:line="276" w:lineRule="auto"/>
        <w:contextualSpacing/>
        <w:jc w:val="left"/>
        <w:rPr>
          <w:szCs w:val="22"/>
          <w:lang w:eastAsia="en-GB" w:bidi="ar-SA"/>
        </w:rPr>
      </w:pPr>
      <w:bookmarkStart w:id="5417" w:name="_Toc441422481"/>
      <w:r>
        <w:rPr>
          <w:szCs w:val="22"/>
          <w:lang w:eastAsia="en-GB" w:bidi="ar-SA"/>
        </w:rPr>
        <w:t xml:space="preserve">A ‘Function execution status’ with ‘Expired’ with a status code as defined in section </w:t>
      </w:r>
      <w:r>
        <w:rPr>
          <w:szCs w:val="22"/>
          <w:lang w:eastAsia="en-GB" w:bidi="ar-SA"/>
        </w:rPr>
        <w:fldChar w:fldCharType="begin"/>
      </w:r>
      <w:r>
        <w:rPr>
          <w:szCs w:val="22"/>
          <w:lang w:eastAsia="en-GB" w:bidi="ar-SA"/>
        </w:rPr>
        <w:instrText xml:space="preserve"> REF _Ref367975281 \r \h  \* MERGEFORMAT </w:instrText>
      </w:r>
      <w:r>
        <w:rPr>
          <w:szCs w:val="22"/>
          <w:lang w:eastAsia="en-GB" w:bidi="ar-SA"/>
        </w:rPr>
      </w:r>
      <w:r>
        <w:rPr>
          <w:szCs w:val="22"/>
          <w:lang w:eastAsia="en-GB" w:bidi="ar-SA"/>
        </w:rPr>
        <w:fldChar w:fldCharType="separate"/>
      </w:r>
      <w:r w:rsidR="001D5AD9">
        <w:rPr>
          <w:szCs w:val="22"/>
          <w:lang w:eastAsia="en-GB" w:bidi="ar-SA"/>
        </w:rPr>
        <w:t>5.1.6.4</w:t>
      </w:r>
      <w:bookmarkEnd w:id="5417"/>
      <w:r>
        <w:rPr>
          <w:szCs w:val="22"/>
          <w:lang w:eastAsia="en-GB" w:bidi="ar-SA"/>
        </w:rPr>
        <w:fldChar w:fldCharType="end"/>
      </w:r>
    </w:p>
    <w:p w14:paraId="4AFE9800" w14:textId="01538B05"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rPr>
          <w:szCs w:val="22"/>
          <w:lang w:eastAsia="en-GB" w:bidi="ar-SA"/>
        </w:rPr>
        <w:fldChar w:fldCharType="begin"/>
      </w:r>
      <w:r>
        <w:rPr>
          <w:szCs w:val="22"/>
          <w:lang w:eastAsia="en-GB" w:bidi="ar-SA"/>
        </w:rPr>
        <w:instrText xml:space="preserve"> REF _Ref367975339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r>
        <w:rPr>
          <w:szCs w:val="22"/>
          <w:lang w:eastAsia="en-GB" w:bidi="ar-SA"/>
        </w:rPr>
        <w:t xml:space="preserve"> of a specific status code as defined in the table below.</w:t>
      </w:r>
    </w:p>
    <w:p w14:paraId="241A0ED8" w14:textId="77777777" w:rsidR="00B97365" w:rsidRDefault="00B97365">
      <w:pPr>
        <w:tabs>
          <w:tab w:val="left" w:pos="680"/>
        </w:tabs>
        <w:spacing w:before="0" w:after="200" w:line="276" w:lineRule="auto"/>
        <w:contextualSpacing/>
        <w:jc w:val="left"/>
        <w:rPr>
          <w:rFonts w:cs="Arial"/>
          <w:szCs w:val="22"/>
          <w:lang w:eastAsia="en-GB" w:bidi="ar-SA"/>
        </w:rPr>
      </w:pPr>
    </w:p>
    <w:p w14:paraId="16B83BF4" w14:textId="77777777" w:rsidR="00B97365" w:rsidRDefault="00000000">
      <w:pPr>
        <w:spacing w:before="0" w:after="200" w:line="276" w:lineRule="auto"/>
        <w:jc w:val="left"/>
        <w:rPr>
          <w:b/>
          <w:i/>
          <w:szCs w:val="22"/>
          <w:lang w:val="en-US" w:eastAsia="en-GB" w:bidi="ar-SA"/>
        </w:rPr>
      </w:pPr>
      <w:bookmarkStart w:id="5418" w:name="_Toc420594873"/>
      <w:r>
        <w:rPr>
          <w:rFonts w:cs="Arial"/>
          <w:b/>
          <w:i/>
          <w:szCs w:val="22"/>
          <w:lang w:val="en-US" w:eastAsia="en-GB" w:bidi="ar-SA"/>
        </w:rPr>
        <w:t>Additional input data:</w:t>
      </w:r>
      <w:bookmarkEnd w:id="541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08"/>
        <w:gridCol w:w="2951"/>
        <w:gridCol w:w="507"/>
        <w:gridCol w:w="400"/>
        <w:gridCol w:w="525"/>
      </w:tblGrid>
      <w:tr w:rsidR="00B97365" w14:paraId="7BA1F81D"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4E0BE0F"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CE804B1"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C08B977"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5BFE8CA"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E527010"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MOC</w:t>
            </w:r>
          </w:p>
        </w:tc>
      </w:tr>
      <w:tr w:rsidR="00B97365" w14:paraId="73FF0D5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FB87CBB" w14:textId="77777777" w:rsidR="00B97365" w:rsidRDefault="00000000">
            <w:pPr>
              <w:tabs>
                <w:tab w:val="right" w:pos="7938"/>
              </w:tabs>
              <w:ind w:left="470" w:hanging="459"/>
              <w:rPr>
                <w:rFonts w:cs="Calibri"/>
                <w:sz w:val="16"/>
                <w:szCs w:val="16"/>
              </w:rPr>
            </w:pPr>
            <w:r>
              <w:rPr>
                <w:rFonts w:cs="Calibri"/>
                <w:sz w:val="16"/>
                <w:szCs w:val="16"/>
              </w:rPr>
              <w:lastRenderedPageBreak/>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395BFB7" w14:textId="77777777" w:rsidR="00B97365" w:rsidRDefault="00000000">
            <w:pPr>
              <w:rPr>
                <w:rFonts w:cs="Calibri"/>
                <w:sz w:val="16"/>
                <w:szCs w:val="16"/>
              </w:rPr>
            </w:pPr>
            <w:r>
              <w:rPr>
                <w:rFonts w:cs="Calibri"/>
                <w:sz w:val="16"/>
                <w:szCs w:val="16"/>
              </w:rPr>
              <w:t>provide the EID of the eUICC</w:t>
            </w:r>
          </w:p>
          <w:p w14:paraId="12E8A8A6" w14:textId="5935F096"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_Ref367975350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29AA1A1"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1374F3F" w14:textId="77777777" w:rsidR="00B97365" w:rsidRDefault="00000000">
            <w:pPr>
              <w:tabs>
                <w:tab w:val="right" w:pos="7938"/>
              </w:tabs>
              <w:ind w:left="470" w:hanging="459"/>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1E7C861" w14:textId="77777777" w:rsidR="00B97365" w:rsidRDefault="00000000">
            <w:pPr>
              <w:tabs>
                <w:tab w:val="right" w:pos="7938"/>
              </w:tabs>
              <w:ind w:left="470" w:hanging="459"/>
              <w:jc w:val="center"/>
              <w:rPr>
                <w:rFonts w:cs="Calibri"/>
                <w:sz w:val="16"/>
                <w:szCs w:val="16"/>
              </w:rPr>
            </w:pPr>
            <w:r>
              <w:rPr>
                <w:rFonts w:cs="Calibri"/>
                <w:sz w:val="16"/>
                <w:szCs w:val="16"/>
              </w:rPr>
              <w:t>M</w:t>
            </w:r>
          </w:p>
        </w:tc>
      </w:tr>
      <w:tr w:rsidR="00B97365" w14:paraId="2158122E"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AAED297" w14:textId="77777777" w:rsidR="00B97365" w:rsidRDefault="00000000">
            <w:pPr>
              <w:tabs>
                <w:tab w:val="right" w:pos="7938"/>
              </w:tabs>
              <w:ind w:left="470" w:hanging="459"/>
              <w:rPr>
                <w:rFonts w:cs="Calibri"/>
                <w:sz w:val="16"/>
                <w:szCs w:val="16"/>
              </w:rPr>
            </w:pPr>
            <w:r>
              <w:rPr>
                <w:rFonts w:cs="Calibri"/>
                <w:sz w:val="16"/>
                <w:szCs w:val="16"/>
              </w:rPr>
              <w:t>currentSMSRid</w:t>
            </w:r>
          </w:p>
        </w:tc>
        <w:tc>
          <w:tcPr>
            <w:tcW w:w="0" w:type="auto"/>
            <w:tcBorders>
              <w:top w:val="single" w:sz="6" w:space="0" w:color="auto"/>
              <w:left w:val="single" w:sz="6" w:space="0" w:color="auto"/>
              <w:bottom w:val="single" w:sz="4" w:space="0" w:color="auto"/>
              <w:right w:val="single" w:sz="6" w:space="0" w:color="auto"/>
            </w:tcBorders>
            <w:vAlign w:val="center"/>
            <w:hideMark/>
          </w:tcPr>
          <w:p w14:paraId="3FD1AF91" w14:textId="77777777" w:rsidR="00B97365" w:rsidRDefault="00000000">
            <w:pPr>
              <w:tabs>
                <w:tab w:val="right" w:pos="7938"/>
              </w:tabs>
              <w:ind w:left="470" w:hanging="459"/>
              <w:rPr>
                <w:rFonts w:cs="Calibri"/>
                <w:sz w:val="16"/>
                <w:szCs w:val="16"/>
              </w:rPr>
            </w:pPr>
            <w:r>
              <w:rPr>
                <w:rFonts w:cs="Calibri"/>
                <w:sz w:val="16"/>
                <w:szCs w:val="16"/>
              </w:rPr>
              <w:t>Identification of the current SM-SR.</w:t>
            </w:r>
          </w:p>
          <w:p w14:paraId="6A4916CE" w14:textId="22A5C5EA"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_Ref367975365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10FCC178" w14:textId="77777777" w:rsidR="00B97365" w:rsidRDefault="00000000">
            <w:pPr>
              <w:jc w:val="center"/>
              <w:rPr>
                <w:rFonts w:cs="Calibri"/>
                <w:sz w:val="16"/>
                <w:szCs w:val="16"/>
              </w:rPr>
            </w:pPr>
            <w:r>
              <w:rPr>
                <w:rFonts w:cs="Calibri"/>
                <w:sz w:val="16"/>
                <w:szCs w:val="16"/>
              </w:rPr>
              <w:t>OID</w:t>
            </w:r>
          </w:p>
        </w:tc>
        <w:tc>
          <w:tcPr>
            <w:tcW w:w="0" w:type="auto"/>
            <w:tcBorders>
              <w:top w:val="single" w:sz="6" w:space="0" w:color="auto"/>
              <w:left w:val="single" w:sz="6" w:space="0" w:color="auto"/>
              <w:bottom w:val="single" w:sz="4" w:space="0" w:color="auto"/>
              <w:right w:val="single" w:sz="6" w:space="0" w:color="auto"/>
            </w:tcBorders>
            <w:vAlign w:val="center"/>
            <w:hideMark/>
          </w:tcPr>
          <w:p w14:paraId="4B96C9E5" w14:textId="77777777" w:rsidR="00B97365" w:rsidRDefault="00000000">
            <w:pPr>
              <w:tabs>
                <w:tab w:val="right" w:pos="7938"/>
              </w:tabs>
              <w:ind w:left="470" w:hanging="459"/>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72CC43F5" w14:textId="77777777" w:rsidR="00B97365" w:rsidRDefault="00000000">
            <w:pPr>
              <w:tabs>
                <w:tab w:val="right" w:pos="7938"/>
              </w:tabs>
              <w:ind w:left="470" w:hanging="459"/>
              <w:jc w:val="center"/>
              <w:rPr>
                <w:rFonts w:cs="Calibri"/>
                <w:sz w:val="16"/>
                <w:szCs w:val="16"/>
              </w:rPr>
            </w:pPr>
            <w:r>
              <w:rPr>
                <w:rFonts w:cs="Calibri"/>
                <w:sz w:val="16"/>
                <w:szCs w:val="16"/>
              </w:rPr>
              <w:t>M</w:t>
            </w:r>
          </w:p>
        </w:tc>
      </w:tr>
    </w:tbl>
    <w:p w14:paraId="4ABE3212"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Prepare SM-SR Change Additional Input Data</w:t>
      </w:r>
    </w:p>
    <w:p w14:paraId="7D93C1B0" w14:textId="77777777" w:rsidR="00B97365" w:rsidRDefault="00B97365">
      <w:pPr>
        <w:rPr>
          <w:rFonts w:cs="Calibri"/>
        </w:rPr>
      </w:pPr>
    </w:p>
    <w:p w14:paraId="287A8562" w14:textId="77777777" w:rsidR="00B97365" w:rsidRDefault="00000000">
      <w:pPr>
        <w:numPr>
          <w:ilvl w:val="0"/>
          <w:numId w:val="14"/>
        </w:numPr>
        <w:tabs>
          <w:tab w:val="left" w:pos="1009"/>
        </w:tabs>
        <w:spacing w:after="200" w:line="276" w:lineRule="auto"/>
        <w:jc w:val="center"/>
        <w:rPr>
          <w:b/>
          <w:i/>
          <w:lang w:val="en-US"/>
        </w:rPr>
      </w:pPr>
      <w:r>
        <w:rPr>
          <w:rFonts w:cs="Arial"/>
          <w:b/>
          <w:lang w:eastAsia="de-DE" w:bidi="ar-SA"/>
        </w:rPr>
        <w:t>: Void</w:t>
      </w:r>
    </w:p>
    <w:p w14:paraId="7F5BD198"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Void</w:t>
      </w:r>
    </w:p>
    <w:p w14:paraId="0084C1FD" w14:textId="77777777" w:rsidR="00B97365" w:rsidRDefault="00000000">
      <w:pPr>
        <w:spacing w:before="0" w:after="200" w:line="276" w:lineRule="auto"/>
        <w:jc w:val="left"/>
        <w:rPr>
          <w:b/>
          <w:i/>
          <w:szCs w:val="22"/>
          <w:lang w:val="en-US" w:eastAsia="en-GB" w:bidi="ar-SA"/>
        </w:rPr>
      </w:pPr>
      <w:bookmarkStart w:id="5419" w:name="_Toc420594874"/>
      <w:r>
        <w:rPr>
          <w:rFonts w:cs="Arial"/>
          <w:b/>
          <w:i/>
          <w:szCs w:val="22"/>
          <w:lang w:val="en-US" w:eastAsia="en-GB" w:bidi="ar-SA"/>
        </w:rPr>
        <w:t>Specific status codes</w:t>
      </w:r>
      <w:bookmarkEnd w:id="5419"/>
    </w:p>
    <w:tbl>
      <w:tblPr>
        <w:tblW w:w="940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94"/>
        <w:gridCol w:w="1511"/>
        <w:gridCol w:w="720"/>
        <w:gridCol w:w="1818"/>
        <w:gridCol w:w="4460"/>
      </w:tblGrid>
      <w:tr w:rsidR="00B97365" w14:paraId="744CA7A0" w14:textId="77777777">
        <w:trPr>
          <w:cantSplit/>
          <w:trHeight w:val="342"/>
          <w:tblHeader/>
          <w:jc w:val="center"/>
        </w:trPr>
        <w:tc>
          <w:tcPr>
            <w:tcW w:w="894"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012AD81" w14:textId="77777777" w:rsidR="00B97365" w:rsidRDefault="00000000">
            <w:pPr>
              <w:jc w:val="center"/>
              <w:rPr>
                <w:rFonts w:cs="Calibri"/>
                <w:b/>
                <w:color w:val="FFFFFF"/>
                <w:sz w:val="16"/>
                <w:szCs w:val="16"/>
              </w:rPr>
            </w:pPr>
            <w:r>
              <w:rPr>
                <w:rFonts w:cs="Calibri"/>
                <w:b/>
                <w:color w:val="FFFFFF"/>
                <w:sz w:val="16"/>
                <w:szCs w:val="16"/>
              </w:rPr>
              <w:t>Subject</w:t>
            </w:r>
          </w:p>
          <w:p w14:paraId="6796CFE1" w14:textId="77777777" w:rsidR="00B97365" w:rsidRDefault="00000000">
            <w:pPr>
              <w:jc w:val="center"/>
              <w:rPr>
                <w:rFonts w:cs="Calibri"/>
                <w:b/>
                <w:color w:val="FFFFFF"/>
                <w:sz w:val="16"/>
                <w:szCs w:val="16"/>
              </w:rPr>
            </w:pPr>
            <w:r>
              <w:rPr>
                <w:rFonts w:cs="Calibri"/>
                <w:b/>
                <w:color w:val="FFFFFF"/>
                <w:sz w:val="16"/>
                <w:szCs w:val="16"/>
              </w:rPr>
              <w:t>Code</w:t>
            </w:r>
          </w:p>
        </w:tc>
        <w:tc>
          <w:tcPr>
            <w:tcW w:w="151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FB1E1E9" w14:textId="77777777" w:rsidR="00B97365" w:rsidRDefault="00000000">
            <w:pPr>
              <w:jc w:val="center"/>
              <w:rPr>
                <w:rFonts w:cs="Calibri"/>
                <w:b/>
                <w:color w:val="FFFFFF"/>
                <w:sz w:val="16"/>
                <w:szCs w:val="16"/>
              </w:rPr>
            </w:pPr>
            <w:r>
              <w:rPr>
                <w:rFonts w:cs="Calibri"/>
                <w:b/>
                <w:color w:val="FFFFFF"/>
                <w:sz w:val="16"/>
                <w:szCs w:val="16"/>
              </w:rPr>
              <w:t>Subject</w:t>
            </w:r>
          </w:p>
        </w:tc>
        <w:tc>
          <w:tcPr>
            <w:tcW w:w="72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6347BF1" w14:textId="77777777" w:rsidR="00B97365" w:rsidRDefault="00000000">
            <w:pPr>
              <w:jc w:val="center"/>
              <w:rPr>
                <w:rFonts w:cs="Calibri"/>
                <w:b/>
                <w:color w:val="FFFFFF"/>
                <w:sz w:val="16"/>
                <w:szCs w:val="16"/>
              </w:rPr>
            </w:pPr>
            <w:r>
              <w:rPr>
                <w:rFonts w:cs="Calibri"/>
                <w:b/>
                <w:color w:val="FFFFFF"/>
                <w:sz w:val="16"/>
                <w:szCs w:val="16"/>
              </w:rPr>
              <w:t>Reason</w:t>
            </w:r>
          </w:p>
          <w:p w14:paraId="26838D4A"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FD02754"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F817405"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Description</w:t>
            </w:r>
          </w:p>
        </w:tc>
      </w:tr>
      <w:tr w:rsidR="00B97365" w14:paraId="4C6D13E5"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3BC78DBA" w14:textId="77777777" w:rsidR="00B97365" w:rsidRDefault="00000000">
            <w:pPr>
              <w:tabs>
                <w:tab w:val="right" w:pos="7938"/>
              </w:tabs>
              <w:ind w:left="470" w:hanging="459"/>
              <w:jc w:val="center"/>
              <w:rPr>
                <w:rFonts w:cs="Calibri"/>
                <w:sz w:val="16"/>
                <w:szCs w:val="16"/>
              </w:rPr>
            </w:pPr>
            <w:r>
              <w:rPr>
                <w:rFonts w:cs="Calibri"/>
                <w:sz w:val="16"/>
                <w:szCs w:val="16"/>
              </w:rPr>
              <w:t>1.2</w:t>
            </w:r>
          </w:p>
        </w:tc>
        <w:tc>
          <w:tcPr>
            <w:tcW w:w="1511" w:type="dxa"/>
            <w:tcBorders>
              <w:top w:val="single" w:sz="6" w:space="0" w:color="auto"/>
              <w:left w:val="single" w:sz="6" w:space="0" w:color="auto"/>
              <w:bottom w:val="single" w:sz="6" w:space="0" w:color="auto"/>
              <w:right w:val="single" w:sz="6" w:space="0" w:color="auto"/>
            </w:tcBorders>
            <w:vAlign w:val="center"/>
            <w:hideMark/>
          </w:tcPr>
          <w:p w14:paraId="7194E1EC" w14:textId="77777777" w:rsidR="00B97365" w:rsidRDefault="00000000">
            <w:pPr>
              <w:tabs>
                <w:tab w:val="right" w:pos="7938"/>
              </w:tabs>
              <w:ind w:left="470" w:hanging="459"/>
              <w:rPr>
                <w:rFonts w:cs="Calibri"/>
                <w:sz w:val="16"/>
                <w:szCs w:val="16"/>
              </w:rPr>
            </w:pPr>
            <w:r>
              <w:rPr>
                <w:rFonts w:cs="Calibri"/>
                <w:sz w:val="16"/>
                <w:szCs w:val="16"/>
              </w:rPr>
              <w:t>Function Provider</w:t>
            </w:r>
          </w:p>
        </w:tc>
        <w:tc>
          <w:tcPr>
            <w:tcW w:w="720" w:type="dxa"/>
            <w:tcBorders>
              <w:top w:val="single" w:sz="6" w:space="0" w:color="auto"/>
              <w:left w:val="single" w:sz="6" w:space="0" w:color="auto"/>
              <w:bottom w:val="single" w:sz="6" w:space="0" w:color="auto"/>
              <w:right w:val="single" w:sz="6" w:space="0" w:color="auto"/>
            </w:tcBorders>
            <w:vAlign w:val="center"/>
            <w:hideMark/>
          </w:tcPr>
          <w:p w14:paraId="77AC1444" w14:textId="77777777" w:rsidR="00B97365" w:rsidRDefault="00000000">
            <w:pPr>
              <w:tabs>
                <w:tab w:val="right" w:pos="7938"/>
              </w:tabs>
              <w:ind w:left="470" w:hanging="459"/>
              <w:jc w:val="center"/>
              <w:rPr>
                <w:rFonts w:cs="Calibri"/>
                <w:sz w:val="16"/>
                <w:szCs w:val="16"/>
              </w:rPr>
            </w:pPr>
            <w:r>
              <w:rPr>
                <w:rFonts w:cs="Calibri"/>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hideMark/>
          </w:tcPr>
          <w:p w14:paraId="1F926686" w14:textId="77777777" w:rsidR="00B97365" w:rsidRDefault="00000000">
            <w:pPr>
              <w:rPr>
                <w:rFonts w:cs="Calibri"/>
                <w:sz w:val="16"/>
                <w:szCs w:val="16"/>
              </w:rPr>
            </w:pPr>
            <w:r>
              <w:rPr>
                <w:rFonts w:cs="Calibri"/>
                <w:sz w:val="16"/>
                <w:szCs w:val="16"/>
              </w:rPr>
              <w:t>Condition Of Use Not satisfied</w:t>
            </w:r>
          </w:p>
        </w:tc>
        <w:tc>
          <w:tcPr>
            <w:tcW w:w="0" w:type="auto"/>
            <w:tcBorders>
              <w:top w:val="single" w:sz="6" w:space="0" w:color="auto"/>
              <w:left w:val="single" w:sz="6" w:space="0" w:color="auto"/>
              <w:bottom w:val="single" w:sz="6" w:space="0" w:color="auto"/>
              <w:right w:val="single" w:sz="4" w:space="0" w:color="auto"/>
            </w:tcBorders>
            <w:vAlign w:val="center"/>
            <w:hideMark/>
          </w:tcPr>
          <w:p w14:paraId="4E73D2DC" w14:textId="77777777" w:rsidR="00B97365" w:rsidRDefault="00000000">
            <w:pPr>
              <w:rPr>
                <w:rFonts w:cs="Calibri"/>
                <w:sz w:val="16"/>
                <w:szCs w:val="16"/>
              </w:rPr>
            </w:pPr>
            <w:r>
              <w:rPr>
                <w:rFonts w:cs="Calibri"/>
                <w:sz w:val="16"/>
                <w:szCs w:val="16"/>
              </w:rPr>
              <w:t xml:space="preserve">Indicates that function provider is not capable of managing the eUICC  identified by this EID, </w:t>
            </w:r>
          </w:p>
        </w:tc>
      </w:tr>
      <w:tr w:rsidR="00B97365" w14:paraId="1DD55E13"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tcPr>
          <w:p w14:paraId="0FA10718" w14:textId="77777777" w:rsidR="00B97365" w:rsidRDefault="00000000">
            <w:pPr>
              <w:tabs>
                <w:tab w:val="right" w:pos="7938"/>
              </w:tabs>
              <w:ind w:left="470" w:hanging="459"/>
              <w:jc w:val="center"/>
              <w:rPr>
                <w:rFonts w:cs="Calibri"/>
                <w:sz w:val="16"/>
                <w:szCs w:val="16"/>
              </w:rPr>
            </w:pPr>
            <w:r>
              <w:rPr>
                <w:rFonts w:cs="Calibri"/>
                <w:sz w:val="16"/>
                <w:szCs w:val="16"/>
              </w:rPr>
              <w:t>8.7</w:t>
            </w:r>
          </w:p>
        </w:tc>
        <w:tc>
          <w:tcPr>
            <w:tcW w:w="1511" w:type="dxa"/>
            <w:tcBorders>
              <w:top w:val="single" w:sz="6" w:space="0" w:color="auto"/>
              <w:left w:val="single" w:sz="6" w:space="0" w:color="auto"/>
              <w:bottom w:val="single" w:sz="6" w:space="0" w:color="auto"/>
              <w:right w:val="single" w:sz="6" w:space="0" w:color="auto"/>
            </w:tcBorders>
            <w:vAlign w:val="center"/>
          </w:tcPr>
          <w:p w14:paraId="2F99E176" w14:textId="77777777" w:rsidR="00B97365" w:rsidRDefault="00000000">
            <w:pPr>
              <w:tabs>
                <w:tab w:val="right" w:pos="7938"/>
              </w:tabs>
              <w:ind w:left="470" w:hanging="459"/>
              <w:rPr>
                <w:rFonts w:cs="Calibri"/>
                <w:sz w:val="16"/>
                <w:szCs w:val="16"/>
              </w:rPr>
            </w:pPr>
            <w:r>
              <w:rPr>
                <w:rFonts w:cs="Calibri"/>
                <w:sz w:val="16"/>
                <w:szCs w:val="16"/>
              </w:rPr>
              <w:t>SM-SR</w:t>
            </w:r>
          </w:p>
        </w:tc>
        <w:tc>
          <w:tcPr>
            <w:tcW w:w="720" w:type="dxa"/>
            <w:tcBorders>
              <w:top w:val="single" w:sz="6" w:space="0" w:color="auto"/>
              <w:left w:val="single" w:sz="6" w:space="0" w:color="auto"/>
              <w:bottom w:val="single" w:sz="6" w:space="0" w:color="auto"/>
              <w:right w:val="single" w:sz="6" w:space="0" w:color="auto"/>
            </w:tcBorders>
            <w:vAlign w:val="center"/>
          </w:tcPr>
          <w:p w14:paraId="3D6B391E" w14:textId="77777777" w:rsidR="00B97365" w:rsidRDefault="00000000">
            <w:pPr>
              <w:tabs>
                <w:tab w:val="right" w:pos="7938"/>
              </w:tabs>
              <w:ind w:left="470" w:hanging="459"/>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tcPr>
          <w:p w14:paraId="557B1827"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6E5A6B5A" w14:textId="77777777" w:rsidR="00B97365" w:rsidRDefault="00000000">
            <w:pPr>
              <w:rPr>
                <w:rFonts w:cs="Calibri"/>
                <w:sz w:val="16"/>
                <w:szCs w:val="16"/>
              </w:rPr>
            </w:pPr>
            <w:r>
              <w:rPr>
                <w:rFonts w:cs="Calibri"/>
                <w:sz w:val="16"/>
                <w:szCs w:val="16"/>
              </w:rPr>
              <w:t>The new SM-SR doesn’t know or have access to the current SM-SR managing this eUICC</w:t>
            </w:r>
          </w:p>
        </w:tc>
      </w:tr>
      <w:tr w:rsidR="00B97365" w14:paraId="682BB1AF" w14:textId="77777777">
        <w:trPr>
          <w:trHeight w:val="282"/>
          <w:jc w:val="center"/>
        </w:trPr>
        <w:tc>
          <w:tcPr>
            <w:tcW w:w="894" w:type="dxa"/>
            <w:tcBorders>
              <w:top w:val="single" w:sz="6" w:space="0" w:color="auto"/>
              <w:left w:val="single" w:sz="4" w:space="0" w:color="auto"/>
              <w:bottom w:val="single" w:sz="4" w:space="0" w:color="auto"/>
              <w:right w:val="single" w:sz="6" w:space="0" w:color="auto"/>
            </w:tcBorders>
            <w:vAlign w:val="center"/>
          </w:tcPr>
          <w:p w14:paraId="1D86B47A" w14:textId="77777777" w:rsidR="00B97365" w:rsidRDefault="00000000">
            <w:pPr>
              <w:tabs>
                <w:tab w:val="right" w:pos="7938"/>
              </w:tabs>
              <w:ind w:left="470" w:hanging="459"/>
              <w:jc w:val="center"/>
              <w:rPr>
                <w:rFonts w:cs="Calibri"/>
                <w:sz w:val="16"/>
                <w:szCs w:val="16"/>
              </w:rPr>
            </w:pPr>
            <w:r>
              <w:rPr>
                <w:rFonts w:cs="Calibri"/>
                <w:sz w:val="16"/>
                <w:szCs w:val="16"/>
              </w:rPr>
              <w:t>8.1.1</w:t>
            </w:r>
          </w:p>
        </w:tc>
        <w:tc>
          <w:tcPr>
            <w:tcW w:w="1511" w:type="dxa"/>
            <w:tcBorders>
              <w:top w:val="single" w:sz="6" w:space="0" w:color="auto"/>
              <w:left w:val="single" w:sz="6" w:space="0" w:color="auto"/>
              <w:bottom w:val="single" w:sz="4" w:space="0" w:color="auto"/>
              <w:right w:val="single" w:sz="6" w:space="0" w:color="auto"/>
            </w:tcBorders>
            <w:vAlign w:val="center"/>
          </w:tcPr>
          <w:p w14:paraId="53C6814A" w14:textId="77777777" w:rsidR="00B97365" w:rsidRDefault="00000000">
            <w:pPr>
              <w:tabs>
                <w:tab w:val="right" w:pos="7938"/>
              </w:tabs>
              <w:ind w:left="470" w:hanging="459"/>
              <w:rPr>
                <w:rFonts w:cs="Calibri"/>
                <w:sz w:val="16"/>
                <w:szCs w:val="16"/>
              </w:rPr>
            </w:pPr>
            <w:r>
              <w:rPr>
                <w:rFonts w:cs="Calibri"/>
                <w:sz w:val="16"/>
                <w:szCs w:val="16"/>
              </w:rPr>
              <w:t>EID</w:t>
            </w:r>
          </w:p>
        </w:tc>
        <w:tc>
          <w:tcPr>
            <w:tcW w:w="720" w:type="dxa"/>
            <w:tcBorders>
              <w:top w:val="single" w:sz="6" w:space="0" w:color="auto"/>
              <w:left w:val="single" w:sz="6" w:space="0" w:color="auto"/>
              <w:bottom w:val="single" w:sz="4" w:space="0" w:color="auto"/>
              <w:right w:val="single" w:sz="6" w:space="0" w:color="auto"/>
            </w:tcBorders>
            <w:vAlign w:val="center"/>
          </w:tcPr>
          <w:p w14:paraId="015ACCFA" w14:textId="77777777" w:rsidR="00B97365" w:rsidRDefault="00000000">
            <w:pPr>
              <w:tabs>
                <w:tab w:val="right" w:pos="7938"/>
              </w:tabs>
              <w:ind w:left="470" w:hanging="459"/>
              <w:jc w:val="center"/>
              <w:rPr>
                <w:rFonts w:cs="Calibri"/>
                <w:sz w:val="16"/>
                <w:szCs w:val="16"/>
              </w:rPr>
            </w:pPr>
            <w:r>
              <w:rPr>
                <w:rFonts w:cs="Calibri"/>
                <w:sz w:val="16"/>
                <w:szCs w:val="16"/>
              </w:rPr>
              <w:t>3.3</w:t>
            </w:r>
          </w:p>
        </w:tc>
        <w:tc>
          <w:tcPr>
            <w:tcW w:w="0" w:type="auto"/>
            <w:tcBorders>
              <w:top w:val="single" w:sz="6" w:space="0" w:color="auto"/>
              <w:left w:val="single" w:sz="6" w:space="0" w:color="auto"/>
              <w:bottom w:val="single" w:sz="4" w:space="0" w:color="auto"/>
              <w:right w:val="single" w:sz="6" w:space="0" w:color="auto"/>
            </w:tcBorders>
            <w:vAlign w:val="center"/>
          </w:tcPr>
          <w:p w14:paraId="1376452D" w14:textId="77777777" w:rsidR="00B97365" w:rsidRDefault="00000000">
            <w:pPr>
              <w:rPr>
                <w:rFonts w:cs="Calibri"/>
                <w:sz w:val="16"/>
                <w:szCs w:val="16"/>
              </w:rPr>
            </w:pPr>
            <w:r>
              <w:rPr>
                <w:rFonts w:cs="Calibri"/>
                <w:sz w:val="16"/>
                <w:szCs w:val="16"/>
              </w:rPr>
              <w:t>Already in Use (Uniqueness)</w:t>
            </w:r>
          </w:p>
        </w:tc>
        <w:tc>
          <w:tcPr>
            <w:tcW w:w="0" w:type="auto"/>
            <w:tcBorders>
              <w:top w:val="single" w:sz="6" w:space="0" w:color="auto"/>
              <w:left w:val="single" w:sz="6" w:space="0" w:color="auto"/>
              <w:bottom w:val="single" w:sz="4" w:space="0" w:color="auto"/>
              <w:right w:val="single" w:sz="4" w:space="0" w:color="auto"/>
            </w:tcBorders>
            <w:vAlign w:val="center"/>
          </w:tcPr>
          <w:p w14:paraId="3B488539" w14:textId="77777777" w:rsidR="00B97365" w:rsidRDefault="00000000">
            <w:pPr>
              <w:rPr>
                <w:rFonts w:cs="Calibri"/>
                <w:sz w:val="16"/>
                <w:szCs w:val="16"/>
              </w:rPr>
            </w:pPr>
            <w:r>
              <w:rPr>
                <w:rFonts w:cs="Calibri"/>
                <w:sz w:val="16"/>
                <w:szCs w:val="16"/>
              </w:rPr>
              <w:t xml:space="preserve">Indicates that the eUICC identified by this  EID is already managed by this SM-SR. </w:t>
            </w:r>
          </w:p>
        </w:tc>
      </w:tr>
    </w:tbl>
    <w:p w14:paraId="6F4C8427"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Prepare SM-SR Change Specific Status Codes</w:t>
      </w:r>
    </w:p>
    <w:p w14:paraId="6576B67D" w14:textId="77777777" w:rsidR="00B97365" w:rsidRDefault="00B97365">
      <w:pPr>
        <w:rPr>
          <w:rFonts w:cs="Calibri"/>
        </w:rPr>
      </w:pPr>
    </w:p>
    <w:p w14:paraId="1643D00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420" w:name="_Toc448998292"/>
      <w:bookmarkStart w:id="5421" w:name="_Toc422150788"/>
      <w:bookmarkStart w:id="5422" w:name="_Toc421874373"/>
      <w:bookmarkStart w:id="5423" w:name="_Toc420594875"/>
      <w:bookmarkStart w:id="5424" w:name="_Toc398214914"/>
      <w:bookmarkStart w:id="5425" w:name="_Toc375158330"/>
      <w:bookmarkStart w:id="5426" w:name="_Toc368932339"/>
      <w:bookmarkStart w:id="5427" w:name="_Ref367979034"/>
      <w:bookmarkStart w:id="5428" w:name="_Ref367979026"/>
      <w:bookmarkStart w:id="5429" w:name="_Toc486332910"/>
      <w:bookmarkStart w:id="5430" w:name="_Toc1977415"/>
      <w:bookmarkStart w:id="5431" w:name="_Toc37062574"/>
      <w:bookmarkStart w:id="5432" w:name="_Toc88839648"/>
      <w:bookmarkStart w:id="5433" w:name="_Toc121504056"/>
      <w:r>
        <w:rPr>
          <w:rFonts w:eastAsia="Times New Roman" w:cs="Arial"/>
          <w:b/>
          <w:sz w:val="24"/>
          <w:szCs w:val="26"/>
          <w:lang w:eastAsia="en-US"/>
        </w:rPr>
        <w:t>SM-SR Change</w:t>
      </w:r>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p>
    <w:p w14:paraId="42903E4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xml:space="preserve">: SMSRChange </w:t>
      </w:r>
    </w:p>
    <w:p w14:paraId="32B1602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SM-SR Change</w:t>
      </w:r>
    </w:p>
    <w:p w14:paraId="59C209B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eUICC Management</w:t>
      </w:r>
    </w:p>
    <w:p w14:paraId="03FB73A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6090435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allows the initiator to request to the current SM-SR to change for a specific eUICC identified by its EID. </w:t>
      </w:r>
    </w:p>
    <w:p w14:paraId="1973C4CF" w14:textId="28A813FD"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the “SM-SR Change” procedure described in GSMA Remote Provisioning Architecture for Embedded UICC </w:t>
      </w:r>
      <w:r>
        <w:fldChar w:fldCharType="begin"/>
      </w:r>
      <w:r>
        <w:rPr>
          <w:szCs w:val="22"/>
          <w:lang w:val="en-US" w:eastAsia="en-GB" w:bidi="ar-SA"/>
        </w:rPr>
        <w:instrText xml:space="preserve"> REF _Ref421631399 \r \h </w:instrText>
      </w:r>
      <w:r>
        <w:fldChar w:fldCharType="separate"/>
      </w:r>
      <w:r w:rsidR="001D5AD9">
        <w:rPr>
          <w:szCs w:val="22"/>
          <w:lang w:val="en-US" w:eastAsia="en-GB" w:bidi="ar-SA"/>
        </w:rPr>
        <w:t>[1]</w:t>
      </w:r>
      <w:r>
        <w:fldChar w:fldCharType="end"/>
      </w:r>
      <w:r>
        <w:rPr>
          <w:szCs w:val="22"/>
          <w:lang w:val="en-US" w:eastAsia="en-GB" w:bidi="ar-SA"/>
        </w:rPr>
        <w:t xml:space="preserve">. </w:t>
      </w:r>
    </w:p>
    <w:p w14:paraId="0952042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2A75320B"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‘Executed-Success’ indicating that the function has been successfully executed by the function provider as requested by the function caller. In this case, the eUICC is unambiguously managed by the new SM-SR (SM-SR2).</w:t>
      </w:r>
    </w:p>
    <w:p w14:paraId="6D0D917B"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indicating either:</w:t>
      </w:r>
    </w:p>
    <w:p w14:paraId="3C931272"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 xml:space="preserve">that the eUICC has been successfully transferred to the new SM-SR, but additional configuration has not completed and may need to be done again. In this case, the eUICC is unambiguously managed by the new SM-SR (SM-SR2), but </w:t>
      </w:r>
      <w:r>
        <w:rPr>
          <w:szCs w:val="22"/>
          <w:lang w:eastAsia="en-GB" w:bidi="ar-SA"/>
        </w:rPr>
        <w:lastRenderedPageBreak/>
        <w:t>the new SM-SR SHALL perform such configuration operations automatically at a later point in time</w:t>
      </w:r>
    </w:p>
    <w:p w14:paraId="71377581"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or that the eUICC was already managed by the new SM-SR (SM-SR2). This happens when this is the second attempt to perform the SM-SR Change, after the first attempt expired whereas it was already successful from the point of view of the new SM-SR.</w:t>
      </w:r>
    </w:p>
    <w:p w14:paraId="77A3CAC0" w14:textId="34A71821"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rPr>
          <w:szCs w:val="22"/>
          <w:lang w:eastAsia="en-GB" w:bidi="ar-SA"/>
        </w:rPr>
        <w:fldChar w:fldCharType="begin"/>
      </w:r>
      <w:r>
        <w:rPr>
          <w:szCs w:val="22"/>
          <w:lang w:eastAsia="en-GB" w:bidi="ar-SA"/>
        </w:rPr>
        <w:instrText xml:space="preserve"> REF _Ref367975387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r>
        <w:rPr>
          <w:szCs w:val="22"/>
          <w:lang w:eastAsia="en-GB" w:bidi="ar-SA"/>
        </w:rPr>
        <w:t xml:space="preserve"> of a specific status code as defined in the Specific status code table below, to indicate that the procedure has failed or expired before the effective transfer of OTA management to the new SM-SR. In this case, the eUICC is still managed unambiguously by the current SM-SR (SM-SR1).</w:t>
      </w:r>
    </w:p>
    <w:p w14:paraId="61A60F60" w14:textId="3030B361"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‘Expired’ with the status code as defined in section </w:t>
      </w:r>
      <w:r>
        <w:rPr>
          <w:szCs w:val="22"/>
          <w:lang w:eastAsia="en-GB" w:bidi="ar-SA"/>
        </w:rPr>
        <w:fldChar w:fldCharType="begin"/>
      </w:r>
      <w:r>
        <w:rPr>
          <w:szCs w:val="22"/>
          <w:lang w:eastAsia="en-GB" w:bidi="ar-SA"/>
        </w:rPr>
        <w:instrText xml:space="preserve"> REF _Ref367975379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r>
        <w:rPr>
          <w:szCs w:val="22"/>
          <w:lang w:eastAsia="en-GB" w:bidi="ar-SA"/>
        </w:rPr>
        <w:t>, indicating that the procedure has expired before confirming the proper transfer.</w:t>
      </w:r>
    </w:p>
    <w:p w14:paraId="3AA8B7CF" w14:textId="77777777" w:rsidR="00B97365" w:rsidRDefault="00B97365">
      <w:pPr>
        <w:tabs>
          <w:tab w:val="left" w:pos="680"/>
        </w:tabs>
        <w:spacing w:before="0" w:after="200" w:line="276" w:lineRule="auto"/>
        <w:contextualSpacing/>
        <w:jc w:val="left"/>
        <w:rPr>
          <w:rFonts w:cs="Arial"/>
          <w:szCs w:val="22"/>
          <w:lang w:eastAsia="en-GB" w:bidi="ar-SA"/>
        </w:rPr>
      </w:pPr>
    </w:p>
    <w:p w14:paraId="75A0432F" w14:textId="77777777" w:rsidR="00B97365" w:rsidRDefault="00000000">
      <w:pPr>
        <w:spacing w:before="0" w:after="200" w:line="276" w:lineRule="auto"/>
        <w:jc w:val="left"/>
        <w:rPr>
          <w:b/>
          <w:i/>
          <w:szCs w:val="22"/>
          <w:lang w:val="en-US" w:eastAsia="en-GB" w:bidi="ar-SA"/>
        </w:rPr>
      </w:pPr>
      <w:bookmarkStart w:id="5434" w:name="_Toc420594876"/>
      <w:r>
        <w:rPr>
          <w:rFonts w:cs="Arial"/>
          <w:b/>
          <w:i/>
          <w:szCs w:val="22"/>
          <w:lang w:val="en-US" w:eastAsia="en-GB" w:bidi="ar-SA"/>
        </w:rPr>
        <w:t>Additional input data:</w:t>
      </w:r>
      <w:bookmarkEnd w:id="543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2951"/>
        <w:gridCol w:w="514"/>
        <w:gridCol w:w="398"/>
        <w:gridCol w:w="514"/>
      </w:tblGrid>
      <w:tr w:rsidR="00B97365" w14:paraId="13BDDBA2"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03E4AC0"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0C67827"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8FC1FD3"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B5DA935"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3314201"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862635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59FA354"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849B751" w14:textId="77777777" w:rsidR="00B97365" w:rsidRDefault="00000000">
            <w:pPr>
              <w:rPr>
                <w:rFonts w:cs="Calibri"/>
                <w:sz w:val="16"/>
                <w:szCs w:val="16"/>
              </w:rPr>
            </w:pPr>
            <w:r>
              <w:rPr>
                <w:rFonts w:cs="Calibri"/>
                <w:sz w:val="16"/>
                <w:szCs w:val="16"/>
              </w:rPr>
              <w:t>Identification of the targeted eUICC.</w:t>
            </w:r>
          </w:p>
          <w:p w14:paraId="0F0A6430" w14:textId="5A74A5D1"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_Ref367975399 \r \h  \* MERGEFORMAT </w:instrText>
            </w:r>
            <w:r>
              <w:fldChar w:fldCharType="separate"/>
            </w:r>
            <w:r w:rsidR="001D5AD9" w:rsidRPr="001D5AD9">
              <w:rPr>
                <w:rFonts w:cs="Calibri"/>
                <w:sz w:val="16"/>
                <w:szCs w:val="16"/>
                <w:lang w:val="en-US"/>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CB23D09" w14:textId="77777777" w:rsidR="00B97365" w:rsidRDefault="00000000">
            <w:pPr>
              <w:jc w:val="cente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CDC5390"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B7EBE97" w14:textId="77777777" w:rsidR="00B97365" w:rsidRDefault="00000000">
            <w:pPr>
              <w:jc w:val="center"/>
              <w:rPr>
                <w:rFonts w:cs="Calibri"/>
                <w:sz w:val="16"/>
                <w:szCs w:val="16"/>
              </w:rPr>
            </w:pPr>
            <w:r>
              <w:rPr>
                <w:rFonts w:cs="Calibri"/>
                <w:sz w:val="16"/>
                <w:szCs w:val="16"/>
              </w:rPr>
              <w:t>M</w:t>
            </w:r>
          </w:p>
        </w:tc>
      </w:tr>
      <w:tr w:rsidR="00B97365" w14:paraId="4ABAE02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31893108" w14:textId="77777777" w:rsidR="00B97365" w:rsidRDefault="00000000">
            <w:pPr>
              <w:rPr>
                <w:rFonts w:cs="Calibri"/>
                <w:sz w:val="16"/>
                <w:szCs w:val="16"/>
              </w:rPr>
            </w:pPr>
            <w:r>
              <w:rPr>
                <w:rFonts w:cs="Calibri"/>
                <w:sz w:val="16"/>
                <w:szCs w:val="16"/>
              </w:rPr>
              <w:t>targetSMSRid</w:t>
            </w:r>
          </w:p>
        </w:tc>
        <w:tc>
          <w:tcPr>
            <w:tcW w:w="0" w:type="auto"/>
            <w:tcBorders>
              <w:top w:val="single" w:sz="6" w:space="0" w:color="auto"/>
              <w:left w:val="single" w:sz="6" w:space="0" w:color="auto"/>
              <w:bottom w:val="single" w:sz="4" w:space="0" w:color="auto"/>
              <w:right w:val="single" w:sz="6" w:space="0" w:color="auto"/>
            </w:tcBorders>
            <w:vAlign w:val="center"/>
            <w:hideMark/>
          </w:tcPr>
          <w:p w14:paraId="772ADD7D" w14:textId="77777777" w:rsidR="00B97365" w:rsidRDefault="00000000">
            <w:pPr>
              <w:rPr>
                <w:rFonts w:cs="Calibri"/>
                <w:sz w:val="16"/>
                <w:szCs w:val="16"/>
              </w:rPr>
            </w:pPr>
            <w:r>
              <w:rPr>
                <w:rFonts w:cs="Calibri"/>
                <w:sz w:val="16"/>
                <w:szCs w:val="16"/>
              </w:rPr>
              <w:t>Identification of the new SM-SR.</w:t>
            </w:r>
          </w:p>
          <w:p w14:paraId="427FFF98" w14:textId="4ADB3063"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_Ref367975409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437D355F" w14:textId="77777777" w:rsidR="00B97365" w:rsidRDefault="00000000">
            <w:pPr>
              <w:jc w:val="center"/>
              <w:rPr>
                <w:rFonts w:cs="Calibri"/>
                <w:sz w:val="16"/>
                <w:szCs w:val="16"/>
              </w:rPr>
            </w:pPr>
            <w:r>
              <w:rPr>
                <w:rFonts w:cs="Calibri"/>
                <w:sz w:val="16"/>
                <w:szCs w:val="16"/>
              </w:rPr>
              <w:t>OID</w:t>
            </w:r>
          </w:p>
        </w:tc>
        <w:tc>
          <w:tcPr>
            <w:tcW w:w="0" w:type="auto"/>
            <w:tcBorders>
              <w:top w:val="single" w:sz="6" w:space="0" w:color="auto"/>
              <w:left w:val="single" w:sz="6" w:space="0" w:color="auto"/>
              <w:bottom w:val="single" w:sz="4" w:space="0" w:color="auto"/>
              <w:right w:val="single" w:sz="6" w:space="0" w:color="auto"/>
            </w:tcBorders>
            <w:vAlign w:val="center"/>
            <w:hideMark/>
          </w:tcPr>
          <w:p w14:paraId="35755E78"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72B5FD14" w14:textId="77777777" w:rsidR="00B97365" w:rsidRDefault="00000000">
            <w:pPr>
              <w:jc w:val="center"/>
              <w:rPr>
                <w:rFonts w:cs="Calibri"/>
                <w:sz w:val="16"/>
                <w:szCs w:val="16"/>
              </w:rPr>
            </w:pPr>
            <w:r>
              <w:rPr>
                <w:rFonts w:cs="Calibri"/>
                <w:sz w:val="16"/>
                <w:szCs w:val="16"/>
              </w:rPr>
              <w:t>M</w:t>
            </w:r>
          </w:p>
        </w:tc>
      </w:tr>
    </w:tbl>
    <w:p w14:paraId="7E36039E" w14:textId="77777777" w:rsidR="00B97365" w:rsidRDefault="00000000">
      <w:pPr>
        <w:numPr>
          <w:ilvl w:val="0"/>
          <w:numId w:val="14"/>
        </w:numPr>
        <w:tabs>
          <w:tab w:val="left" w:pos="1009"/>
        </w:tabs>
        <w:spacing w:after="200" w:line="276" w:lineRule="auto"/>
        <w:jc w:val="center"/>
        <w:rPr>
          <w:rFonts w:cs="Arial"/>
          <w:b/>
          <w:i/>
          <w:szCs w:val="22"/>
          <w:lang w:val="en-US" w:eastAsia="en-GB" w:bidi="ar-SA"/>
        </w:rPr>
      </w:pPr>
      <w:r>
        <w:rPr>
          <w:rFonts w:cs="Arial"/>
          <w:b/>
          <w:lang w:eastAsia="de-DE" w:bidi="ar-SA"/>
        </w:rPr>
        <w:t>: SM-SR Change Additional Input Data</w:t>
      </w:r>
      <w:bookmarkStart w:id="5435" w:name="_Toc420594877"/>
    </w:p>
    <w:p w14:paraId="7935C13A"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Specific status codes</w:t>
      </w:r>
      <w:bookmarkEnd w:id="5435"/>
    </w:p>
    <w:p w14:paraId="1E42BF97" w14:textId="77777777" w:rsidR="00B97365" w:rsidRDefault="00000000">
      <w:pPr>
        <w:spacing w:before="0" w:after="200" w:line="276" w:lineRule="auto"/>
        <w:jc w:val="left"/>
        <w:rPr>
          <w:szCs w:val="22"/>
          <w:lang w:val="en-US" w:eastAsia="en-GB" w:bidi="ar-SA"/>
        </w:rPr>
      </w:pPr>
      <w:r>
        <w:rPr>
          <w:szCs w:val="22"/>
          <w:lang w:val="en-US" w:eastAsia="en-GB" w:bidi="ar-SA"/>
        </w:rPr>
        <w:t>In addition to the status codes returned by ES7.handoverEUICC, this function can return the following specific status codes:</w:t>
      </w:r>
    </w:p>
    <w:tbl>
      <w:tblPr>
        <w:tblW w:w="946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94"/>
        <w:gridCol w:w="1341"/>
        <w:gridCol w:w="830"/>
        <w:gridCol w:w="1371"/>
        <w:gridCol w:w="5033"/>
      </w:tblGrid>
      <w:tr w:rsidR="00B97365" w14:paraId="1B419148" w14:textId="77777777">
        <w:trPr>
          <w:trHeight w:val="342"/>
          <w:jc w:val="center"/>
        </w:trPr>
        <w:tc>
          <w:tcPr>
            <w:tcW w:w="894"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1BCBE87" w14:textId="77777777" w:rsidR="00B97365" w:rsidRDefault="00000000">
            <w:pPr>
              <w:jc w:val="center"/>
              <w:rPr>
                <w:rFonts w:cs="Calibri"/>
                <w:b/>
                <w:color w:val="FFFFFF"/>
                <w:sz w:val="16"/>
                <w:szCs w:val="16"/>
              </w:rPr>
            </w:pPr>
            <w:r>
              <w:rPr>
                <w:rFonts w:cs="Calibri"/>
                <w:b/>
                <w:color w:val="FFFFFF"/>
                <w:sz w:val="16"/>
                <w:szCs w:val="16"/>
              </w:rPr>
              <w:t>Subject</w:t>
            </w:r>
          </w:p>
          <w:p w14:paraId="40E5FD23"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22CF51E" w14:textId="77777777" w:rsidR="00B97365" w:rsidRDefault="00000000">
            <w:pPr>
              <w:jc w:val="center"/>
              <w:rPr>
                <w:rFonts w:cs="Calibri"/>
                <w:b/>
                <w:color w:val="FFFFFF"/>
                <w:sz w:val="16"/>
                <w:szCs w:val="16"/>
              </w:rPr>
            </w:pPr>
            <w:r>
              <w:rPr>
                <w:rFonts w:cs="Calibri"/>
                <w:b/>
                <w:color w:val="FFFFFF"/>
                <w:sz w:val="16"/>
                <w:szCs w:val="16"/>
              </w:rPr>
              <w:t>Subject</w:t>
            </w:r>
          </w:p>
        </w:tc>
        <w:tc>
          <w:tcPr>
            <w:tcW w:w="83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1C462BB" w14:textId="77777777" w:rsidR="00B97365" w:rsidRDefault="00000000">
            <w:pPr>
              <w:jc w:val="center"/>
              <w:rPr>
                <w:rFonts w:cs="Calibri"/>
                <w:b/>
                <w:color w:val="FFFFFF"/>
                <w:sz w:val="16"/>
                <w:szCs w:val="16"/>
              </w:rPr>
            </w:pPr>
            <w:r>
              <w:rPr>
                <w:rFonts w:cs="Calibri"/>
                <w:b/>
                <w:color w:val="FFFFFF"/>
                <w:sz w:val="16"/>
                <w:szCs w:val="16"/>
              </w:rPr>
              <w:t>Reason</w:t>
            </w:r>
          </w:p>
          <w:p w14:paraId="060C69D1"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5442E26"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3AB3CA0"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Description</w:t>
            </w:r>
          </w:p>
        </w:tc>
      </w:tr>
      <w:tr w:rsidR="00B97365" w14:paraId="692F20BD" w14:textId="77777777">
        <w:trPr>
          <w:trHeight w:val="342"/>
          <w:jc w:val="center"/>
        </w:trPr>
        <w:tc>
          <w:tcPr>
            <w:tcW w:w="894" w:type="dxa"/>
            <w:tcBorders>
              <w:top w:val="single" w:sz="6" w:space="0" w:color="auto"/>
              <w:left w:val="single" w:sz="4" w:space="0" w:color="auto"/>
              <w:bottom w:val="single" w:sz="6" w:space="0" w:color="auto"/>
              <w:right w:val="single" w:sz="6" w:space="0" w:color="auto"/>
            </w:tcBorders>
          </w:tcPr>
          <w:p w14:paraId="3D6F31C0" w14:textId="77777777" w:rsidR="00B97365" w:rsidRDefault="00000000">
            <w:pPr>
              <w:spacing w:before="40" w:after="40" w:line="276" w:lineRule="auto"/>
              <w:jc w:val="left"/>
              <w:rPr>
                <w:sz w:val="16"/>
                <w:szCs w:val="16"/>
                <w:lang w:eastAsia="de-DE" w:bidi="ar-SA"/>
              </w:rPr>
            </w:pPr>
            <w:r>
              <w:rPr>
                <w:sz w:val="16"/>
                <w:szCs w:val="16"/>
                <w:lang w:eastAsia="de-DE" w:bidi="ar-SA"/>
              </w:rPr>
              <w:t xml:space="preserve">1.6 </w:t>
            </w:r>
          </w:p>
        </w:tc>
        <w:tc>
          <w:tcPr>
            <w:tcW w:w="0" w:type="auto"/>
            <w:tcBorders>
              <w:top w:val="single" w:sz="6" w:space="0" w:color="auto"/>
              <w:left w:val="single" w:sz="6" w:space="0" w:color="auto"/>
              <w:bottom w:val="single" w:sz="6" w:space="0" w:color="auto"/>
              <w:right w:val="single" w:sz="6" w:space="0" w:color="auto"/>
            </w:tcBorders>
          </w:tcPr>
          <w:p w14:paraId="6DD46E3C" w14:textId="77777777" w:rsidR="00B97365" w:rsidRDefault="00000000">
            <w:pPr>
              <w:spacing w:before="40" w:after="40" w:line="276" w:lineRule="auto"/>
              <w:jc w:val="left"/>
              <w:rPr>
                <w:sz w:val="16"/>
                <w:szCs w:val="16"/>
                <w:lang w:eastAsia="de-DE" w:bidi="ar-SA"/>
              </w:rPr>
            </w:pPr>
            <w:r>
              <w:rPr>
                <w:sz w:val="16"/>
                <w:szCs w:val="16"/>
                <w:lang w:eastAsia="de-DE" w:bidi="ar-SA"/>
              </w:rPr>
              <w:t xml:space="preserve">Function </w:t>
            </w:r>
          </w:p>
        </w:tc>
        <w:tc>
          <w:tcPr>
            <w:tcW w:w="830" w:type="dxa"/>
            <w:tcBorders>
              <w:top w:val="single" w:sz="6" w:space="0" w:color="auto"/>
              <w:left w:val="single" w:sz="6" w:space="0" w:color="auto"/>
              <w:bottom w:val="single" w:sz="6" w:space="0" w:color="auto"/>
              <w:right w:val="single" w:sz="6" w:space="0" w:color="auto"/>
            </w:tcBorders>
          </w:tcPr>
          <w:p w14:paraId="0995EBB0" w14:textId="77777777" w:rsidR="00B97365" w:rsidRDefault="00000000">
            <w:pPr>
              <w:spacing w:before="40" w:after="40" w:line="276" w:lineRule="auto"/>
              <w:jc w:val="left"/>
              <w:rPr>
                <w:sz w:val="16"/>
                <w:szCs w:val="16"/>
                <w:lang w:eastAsia="de-DE" w:bidi="ar-SA"/>
              </w:rPr>
            </w:pPr>
            <w:r>
              <w:rPr>
                <w:sz w:val="16"/>
                <w:szCs w:val="16"/>
                <w:lang w:eastAsia="de-DE" w:bidi="ar-SA"/>
              </w:rPr>
              <w:t xml:space="preserve">5.3 </w:t>
            </w:r>
          </w:p>
        </w:tc>
        <w:tc>
          <w:tcPr>
            <w:tcW w:w="0" w:type="auto"/>
            <w:tcBorders>
              <w:top w:val="single" w:sz="6" w:space="0" w:color="auto"/>
              <w:left w:val="single" w:sz="6" w:space="0" w:color="auto"/>
              <w:bottom w:val="single" w:sz="6" w:space="0" w:color="auto"/>
              <w:right w:val="single" w:sz="6" w:space="0" w:color="auto"/>
            </w:tcBorders>
          </w:tcPr>
          <w:p w14:paraId="577F6407" w14:textId="77777777" w:rsidR="00B97365" w:rsidRDefault="00000000">
            <w:pPr>
              <w:spacing w:before="40" w:after="40" w:line="276" w:lineRule="auto"/>
              <w:jc w:val="left"/>
              <w:rPr>
                <w:sz w:val="16"/>
                <w:szCs w:val="16"/>
                <w:lang w:eastAsia="de-DE" w:bidi="ar-SA"/>
              </w:rPr>
            </w:pPr>
            <w:r>
              <w:rPr>
                <w:sz w:val="16"/>
                <w:szCs w:val="16"/>
                <w:lang w:eastAsia="de-DE" w:bidi="ar-SA"/>
              </w:rPr>
              <w:t xml:space="preserve">Time to live expired </w:t>
            </w:r>
          </w:p>
        </w:tc>
        <w:tc>
          <w:tcPr>
            <w:tcW w:w="0" w:type="auto"/>
            <w:tcBorders>
              <w:top w:val="single" w:sz="6" w:space="0" w:color="auto"/>
              <w:left w:val="single" w:sz="6" w:space="0" w:color="auto"/>
              <w:bottom w:val="single" w:sz="6" w:space="0" w:color="auto"/>
              <w:right w:val="single" w:sz="4" w:space="0" w:color="auto"/>
            </w:tcBorders>
          </w:tcPr>
          <w:p w14:paraId="4D2D3702" w14:textId="77777777" w:rsidR="00B97365" w:rsidRDefault="00000000">
            <w:pPr>
              <w:spacing w:before="40" w:after="40" w:line="276" w:lineRule="auto"/>
              <w:jc w:val="left"/>
              <w:rPr>
                <w:sz w:val="16"/>
                <w:szCs w:val="16"/>
                <w:lang w:eastAsia="de-DE" w:bidi="ar-SA"/>
              </w:rPr>
            </w:pPr>
            <w:r>
              <w:rPr>
                <w:sz w:val="16"/>
                <w:szCs w:val="16"/>
                <w:lang w:eastAsia="de-DE" w:bidi="ar-SA"/>
              </w:rPr>
              <w:t>The function execution request has expired (end of validity period has been reached). This may be because the server had no time to execute the function or because the function was requesting a remote communication with the eUICC which was not present on the network during all the validity period.</w:t>
            </w:r>
          </w:p>
          <w:p w14:paraId="5AA43917" w14:textId="77777777" w:rsidR="00B97365" w:rsidRDefault="00000000">
            <w:pPr>
              <w:spacing w:before="40" w:after="40" w:line="276" w:lineRule="auto"/>
              <w:jc w:val="left"/>
              <w:rPr>
                <w:sz w:val="16"/>
                <w:szCs w:val="16"/>
                <w:lang w:eastAsia="de-DE" w:bidi="ar-SA"/>
              </w:rPr>
            </w:pPr>
            <w:r>
              <w:rPr>
                <w:sz w:val="16"/>
                <w:szCs w:val="16"/>
                <w:lang w:eastAsia="de-DE" w:bidi="ar-SA"/>
              </w:rPr>
              <w:t>If this status code is returned when ‘Execution Status‘ is ‘Failed’, this means the current SM-SR (SM-SR1) is still managing the eUICC.</w:t>
            </w:r>
          </w:p>
        </w:tc>
      </w:tr>
      <w:tr w:rsidR="00B97365" w14:paraId="027CC729" w14:textId="77777777">
        <w:trPr>
          <w:trHeight w:val="342"/>
          <w:jc w:val="center"/>
        </w:trPr>
        <w:tc>
          <w:tcPr>
            <w:tcW w:w="894" w:type="dxa"/>
            <w:tcBorders>
              <w:top w:val="single" w:sz="6" w:space="0" w:color="auto"/>
              <w:left w:val="single" w:sz="4" w:space="0" w:color="auto"/>
              <w:bottom w:val="single" w:sz="6" w:space="0" w:color="auto"/>
              <w:right w:val="single" w:sz="6" w:space="0" w:color="auto"/>
            </w:tcBorders>
          </w:tcPr>
          <w:p w14:paraId="5007D664" w14:textId="77777777" w:rsidR="00B97365" w:rsidRDefault="00000000">
            <w:pPr>
              <w:spacing w:before="40" w:after="40" w:line="276" w:lineRule="auto"/>
              <w:jc w:val="left"/>
              <w:rPr>
                <w:sz w:val="16"/>
                <w:szCs w:val="16"/>
                <w:lang w:eastAsia="de-DE" w:bidi="ar-SA"/>
              </w:rPr>
            </w:pPr>
            <w:r>
              <w:rPr>
                <w:sz w:val="16"/>
                <w:szCs w:val="16"/>
                <w:lang w:eastAsia="de-DE" w:bidi="ar-SA"/>
              </w:rPr>
              <w:t>1.6</w:t>
            </w:r>
          </w:p>
        </w:tc>
        <w:tc>
          <w:tcPr>
            <w:tcW w:w="0" w:type="auto"/>
            <w:tcBorders>
              <w:top w:val="single" w:sz="6" w:space="0" w:color="auto"/>
              <w:left w:val="single" w:sz="6" w:space="0" w:color="auto"/>
              <w:bottom w:val="single" w:sz="6" w:space="0" w:color="auto"/>
              <w:right w:val="single" w:sz="6" w:space="0" w:color="auto"/>
            </w:tcBorders>
          </w:tcPr>
          <w:p w14:paraId="57B88B1A" w14:textId="77777777" w:rsidR="00B97365" w:rsidRDefault="00000000">
            <w:pPr>
              <w:spacing w:before="40" w:after="40" w:line="276" w:lineRule="auto"/>
              <w:jc w:val="left"/>
              <w:rPr>
                <w:sz w:val="16"/>
                <w:szCs w:val="16"/>
                <w:lang w:eastAsia="de-DE" w:bidi="ar-SA"/>
              </w:rPr>
            </w:pPr>
            <w:r>
              <w:rPr>
                <w:sz w:val="16"/>
                <w:szCs w:val="16"/>
                <w:lang w:eastAsia="de-DE" w:bidi="ar-SA"/>
              </w:rPr>
              <w:t>Function</w:t>
            </w:r>
          </w:p>
        </w:tc>
        <w:tc>
          <w:tcPr>
            <w:tcW w:w="830" w:type="dxa"/>
            <w:tcBorders>
              <w:top w:val="single" w:sz="6" w:space="0" w:color="auto"/>
              <w:left w:val="single" w:sz="6" w:space="0" w:color="auto"/>
              <w:bottom w:val="single" w:sz="6" w:space="0" w:color="auto"/>
              <w:right w:val="single" w:sz="6" w:space="0" w:color="auto"/>
            </w:tcBorders>
          </w:tcPr>
          <w:p w14:paraId="5DBD36F1" w14:textId="77777777" w:rsidR="00B97365" w:rsidRDefault="00000000">
            <w:pPr>
              <w:spacing w:before="40" w:after="40" w:line="276" w:lineRule="auto"/>
              <w:jc w:val="left"/>
              <w:rPr>
                <w:sz w:val="16"/>
                <w:szCs w:val="16"/>
                <w:lang w:eastAsia="de-DE" w:bidi="ar-SA"/>
              </w:rPr>
            </w:pPr>
            <w:r>
              <w:rPr>
                <w:sz w:val="16"/>
                <w:szCs w:val="16"/>
                <w:lang w:eastAsia="de-DE" w:bidi="ar-SA"/>
              </w:rPr>
              <w:t>4.5</w:t>
            </w:r>
          </w:p>
        </w:tc>
        <w:tc>
          <w:tcPr>
            <w:tcW w:w="0" w:type="auto"/>
            <w:tcBorders>
              <w:top w:val="single" w:sz="6" w:space="0" w:color="auto"/>
              <w:left w:val="single" w:sz="6" w:space="0" w:color="auto"/>
              <w:bottom w:val="single" w:sz="6" w:space="0" w:color="auto"/>
              <w:right w:val="single" w:sz="6" w:space="0" w:color="auto"/>
            </w:tcBorders>
          </w:tcPr>
          <w:p w14:paraId="3EF194DE" w14:textId="77777777" w:rsidR="00B97365" w:rsidRDefault="00000000">
            <w:pPr>
              <w:spacing w:before="40" w:after="40" w:line="276" w:lineRule="auto"/>
              <w:jc w:val="left"/>
              <w:rPr>
                <w:sz w:val="16"/>
                <w:szCs w:val="16"/>
                <w:lang w:eastAsia="de-DE" w:bidi="ar-SA"/>
              </w:rPr>
            </w:pPr>
            <w:r>
              <w:rPr>
                <w:sz w:val="16"/>
                <w:szCs w:val="16"/>
                <w:lang w:eastAsia="de-DE" w:bidi="ar-SA"/>
              </w:rPr>
              <w:t>Operation Already Processed</w:t>
            </w:r>
          </w:p>
        </w:tc>
        <w:tc>
          <w:tcPr>
            <w:tcW w:w="0" w:type="auto"/>
            <w:tcBorders>
              <w:top w:val="single" w:sz="6" w:space="0" w:color="auto"/>
              <w:left w:val="single" w:sz="6" w:space="0" w:color="auto"/>
              <w:bottom w:val="single" w:sz="6" w:space="0" w:color="auto"/>
              <w:right w:val="single" w:sz="4" w:space="0" w:color="auto"/>
            </w:tcBorders>
          </w:tcPr>
          <w:p w14:paraId="54E8CFE7" w14:textId="77777777" w:rsidR="00B97365" w:rsidRDefault="00000000">
            <w:pPr>
              <w:spacing w:before="40" w:after="40" w:line="276" w:lineRule="auto"/>
              <w:jc w:val="left"/>
              <w:rPr>
                <w:sz w:val="16"/>
                <w:szCs w:val="16"/>
                <w:lang w:eastAsia="de-DE" w:bidi="ar-SA"/>
              </w:rPr>
            </w:pPr>
            <w:r>
              <w:rPr>
                <w:sz w:val="16"/>
                <w:szCs w:val="16"/>
                <w:lang w:eastAsia="de-DE" w:bidi="ar-SA"/>
              </w:rPr>
              <w:t>The function is the second attempt to transfer the same eUICC to the same new SM-SR after a previous attempt has expired, and the previous attempt had indeed succeeded from the point of view of the new SM-SR. In this case the Execution-Status SHALL be ‘Executed-WithWarning’</w:t>
            </w:r>
          </w:p>
        </w:tc>
      </w:tr>
      <w:tr w:rsidR="00B97365" w14:paraId="3602EC1E" w14:textId="77777777">
        <w:trPr>
          <w:trHeight w:val="34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07F11523" w14:textId="77777777" w:rsidR="00B97365" w:rsidRDefault="00000000">
            <w:pPr>
              <w:spacing w:before="40" w:after="40" w:line="276" w:lineRule="auto"/>
              <w:jc w:val="left"/>
              <w:rPr>
                <w:b/>
                <w:sz w:val="16"/>
                <w:szCs w:val="16"/>
                <w:lang w:eastAsia="de-DE" w:bidi="ar-SA"/>
              </w:rPr>
            </w:pPr>
            <w:r>
              <w:rPr>
                <w:sz w:val="16"/>
                <w:szCs w:val="16"/>
                <w:lang w:eastAsia="de-DE" w:bidi="ar-SA"/>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46C49DC2" w14:textId="77777777" w:rsidR="00B97365" w:rsidRDefault="00000000">
            <w:pPr>
              <w:spacing w:before="40" w:after="40" w:line="276" w:lineRule="auto"/>
              <w:jc w:val="left"/>
              <w:rPr>
                <w:b/>
                <w:sz w:val="16"/>
                <w:szCs w:val="16"/>
                <w:lang w:eastAsia="de-DE" w:bidi="ar-SA"/>
              </w:rPr>
            </w:pPr>
            <w:r>
              <w:rPr>
                <w:sz w:val="16"/>
                <w:szCs w:val="16"/>
                <w:lang w:eastAsia="de-DE" w:bidi="ar-SA"/>
              </w:rPr>
              <w:t>EID</w:t>
            </w:r>
          </w:p>
        </w:tc>
        <w:tc>
          <w:tcPr>
            <w:tcW w:w="830" w:type="dxa"/>
            <w:tcBorders>
              <w:top w:val="single" w:sz="6" w:space="0" w:color="auto"/>
              <w:left w:val="single" w:sz="6" w:space="0" w:color="auto"/>
              <w:bottom w:val="single" w:sz="6" w:space="0" w:color="auto"/>
              <w:right w:val="single" w:sz="6" w:space="0" w:color="auto"/>
            </w:tcBorders>
            <w:vAlign w:val="center"/>
            <w:hideMark/>
          </w:tcPr>
          <w:p w14:paraId="7FE4F53A" w14:textId="77777777" w:rsidR="00B97365" w:rsidRDefault="00000000">
            <w:pPr>
              <w:spacing w:before="40" w:after="40" w:line="276" w:lineRule="auto"/>
              <w:jc w:val="left"/>
              <w:rPr>
                <w:b/>
                <w:sz w:val="16"/>
                <w:szCs w:val="16"/>
                <w:lang w:eastAsia="de-DE" w:bidi="ar-SA"/>
              </w:rPr>
            </w:pPr>
            <w:r>
              <w:rPr>
                <w:sz w:val="16"/>
                <w:szCs w:val="16"/>
                <w:lang w:eastAsia="de-DE" w:bidi="ar-SA"/>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0DA0BA38" w14:textId="77777777" w:rsidR="00B97365" w:rsidRDefault="00000000">
            <w:pPr>
              <w:spacing w:before="40" w:after="40" w:line="276" w:lineRule="auto"/>
              <w:jc w:val="left"/>
              <w:rPr>
                <w:b/>
                <w:sz w:val="16"/>
                <w:szCs w:val="16"/>
                <w:lang w:eastAsia="de-DE" w:bidi="ar-SA"/>
              </w:rPr>
            </w:pPr>
            <w:r>
              <w:rPr>
                <w:sz w:val="16"/>
                <w:szCs w:val="16"/>
                <w:lang w:eastAsia="de-DE"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6A14AB77" w14:textId="77777777" w:rsidR="00B97365" w:rsidRDefault="00000000">
            <w:pPr>
              <w:spacing w:before="40" w:after="40" w:line="276" w:lineRule="auto"/>
              <w:jc w:val="left"/>
              <w:rPr>
                <w:b/>
                <w:sz w:val="16"/>
                <w:szCs w:val="16"/>
                <w:lang w:eastAsia="de-DE" w:bidi="ar-SA"/>
              </w:rPr>
            </w:pPr>
            <w:r>
              <w:rPr>
                <w:sz w:val="16"/>
                <w:szCs w:val="16"/>
                <w:lang w:eastAsia="de-DE" w:bidi="ar-SA"/>
              </w:rPr>
              <w:t>Indicates that the EID , is unknown to the function provider</w:t>
            </w:r>
          </w:p>
        </w:tc>
      </w:tr>
      <w:tr w:rsidR="00B97365" w14:paraId="6C62C5F0" w14:textId="77777777">
        <w:trPr>
          <w:trHeight w:val="34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2929065A" w14:textId="77777777" w:rsidR="00B97365" w:rsidRDefault="00000000">
            <w:pPr>
              <w:spacing w:before="40" w:after="40" w:line="276" w:lineRule="auto"/>
              <w:jc w:val="left"/>
              <w:rPr>
                <w:b/>
                <w:sz w:val="16"/>
                <w:szCs w:val="16"/>
                <w:lang w:eastAsia="de-DE" w:bidi="ar-SA"/>
              </w:rPr>
            </w:pPr>
            <w:r>
              <w:rPr>
                <w:sz w:val="16"/>
                <w:szCs w:val="16"/>
                <w:lang w:eastAsia="de-DE" w:bidi="ar-SA"/>
              </w:rPr>
              <w:t>8.1</w:t>
            </w:r>
          </w:p>
        </w:tc>
        <w:tc>
          <w:tcPr>
            <w:tcW w:w="0" w:type="auto"/>
            <w:tcBorders>
              <w:top w:val="single" w:sz="6" w:space="0" w:color="auto"/>
              <w:left w:val="single" w:sz="6" w:space="0" w:color="auto"/>
              <w:bottom w:val="single" w:sz="6" w:space="0" w:color="auto"/>
              <w:right w:val="single" w:sz="6" w:space="0" w:color="auto"/>
            </w:tcBorders>
            <w:vAlign w:val="center"/>
            <w:hideMark/>
          </w:tcPr>
          <w:p w14:paraId="25E5812A" w14:textId="77777777" w:rsidR="00B97365" w:rsidRDefault="00000000">
            <w:pPr>
              <w:spacing w:before="40" w:after="40" w:line="276" w:lineRule="auto"/>
              <w:jc w:val="left"/>
              <w:rPr>
                <w:b/>
                <w:sz w:val="16"/>
                <w:szCs w:val="16"/>
                <w:lang w:eastAsia="de-DE" w:bidi="ar-SA"/>
              </w:rPr>
            </w:pPr>
            <w:r>
              <w:rPr>
                <w:sz w:val="16"/>
                <w:szCs w:val="16"/>
                <w:lang w:eastAsia="de-DE" w:bidi="ar-SA"/>
              </w:rPr>
              <w:t>eUICC</w:t>
            </w:r>
          </w:p>
        </w:tc>
        <w:tc>
          <w:tcPr>
            <w:tcW w:w="830" w:type="dxa"/>
            <w:tcBorders>
              <w:top w:val="single" w:sz="6" w:space="0" w:color="auto"/>
              <w:left w:val="single" w:sz="6" w:space="0" w:color="auto"/>
              <w:bottom w:val="single" w:sz="6" w:space="0" w:color="auto"/>
              <w:right w:val="single" w:sz="6" w:space="0" w:color="auto"/>
            </w:tcBorders>
            <w:vAlign w:val="center"/>
            <w:hideMark/>
          </w:tcPr>
          <w:p w14:paraId="7098F342" w14:textId="77777777" w:rsidR="00B97365" w:rsidRDefault="00000000">
            <w:pPr>
              <w:spacing w:before="40" w:after="40" w:line="276" w:lineRule="auto"/>
              <w:jc w:val="left"/>
              <w:rPr>
                <w:b/>
                <w:sz w:val="16"/>
                <w:szCs w:val="16"/>
                <w:lang w:eastAsia="de-DE" w:bidi="ar-SA"/>
              </w:rPr>
            </w:pPr>
            <w:r>
              <w:rPr>
                <w:sz w:val="16"/>
                <w:szCs w:val="16"/>
                <w:lang w:eastAsia="de-DE" w:bidi="ar-SA"/>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36B9245C" w14:textId="77777777" w:rsidR="00B97365" w:rsidRDefault="00000000">
            <w:pPr>
              <w:spacing w:before="40" w:after="40" w:line="276" w:lineRule="auto"/>
              <w:jc w:val="left"/>
              <w:rPr>
                <w:b/>
                <w:sz w:val="16"/>
                <w:szCs w:val="16"/>
                <w:lang w:eastAsia="de-DE" w:bidi="ar-SA"/>
              </w:rPr>
            </w:pPr>
            <w:r>
              <w:rPr>
                <w:sz w:val="16"/>
                <w:szCs w:val="16"/>
                <w:lang w:eastAsia="de-DE" w:bidi="ar-SA"/>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77B4C126" w14:textId="77777777" w:rsidR="00B97365" w:rsidRDefault="00000000">
            <w:pPr>
              <w:spacing w:before="40" w:after="40" w:line="276" w:lineRule="auto"/>
              <w:jc w:val="left"/>
              <w:rPr>
                <w:b/>
                <w:sz w:val="16"/>
                <w:szCs w:val="16"/>
                <w:lang w:eastAsia="de-DE" w:bidi="ar-SA"/>
              </w:rPr>
            </w:pPr>
            <w:r>
              <w:rPr>
                <w:sz w:val="16"/>
                <w:szCs w:val="16"/>
                <w:lang w:eastAsia="de-DE" w:bidi="ar-SA"/>
              </w:rPr>
              <w:t>Function requester is not allowed to manage the eUICC</w:t>
            </w:r>
          </w:p>
        </w:tc>
      </w:tr>
      <w:tr w:rsidR="00B97365" w14:paraId="185369F0" w14:textId="77777777">
        <w:trPr>
          <w:trHeight w:val="342"/>
          <w:jc w:val="center"/>
        </w:trPr>
        <w:tc>
          <w:tcPr>
            <w:tcW w:w="894" w:type="dxa"/>
            <w:tcBorders>
              <w:top w:val="single" w:sz="6" w:space="0" w:color="auto"/>
              <w:left w:val="single" w:sz="4" w:space="0" w:color="auto"/>
              <w:bottom w:val="single" w:sz="6" w:space="0" w:color="auto"/>
              <w:right w:val="single" w:sz="6" w:space="0" w:color="auto"/>
            </w:tcBorders>
            <w:vAlign w:val="center"/>
          </w:tcPr>
          <w:p w14:paraId="24508133" w14:textId="77777777" w:rsidR="00B97365" w:rsidRDefault="00000000">
            <w:pPr>
              <w:spacing w:before="40" w:after="40" w:line="276" w:lineRule="auto"/>
              <w:jc w:val="left"/>
              <w:rPr>
                <w:sz w:val="16"/>
                <w:szCs w:val="16"/>
                <w:lang w:eastAsia="de-DE" w:bidi="ar-SA"/>
              </w:rPr>
            </w:pPr>
            <w:r>
              <w:rPr>
                <w:sz w:val="16"/>
                <w:szCs w:val="16"/>
                <w:lang w:eastAsia="de-DE" w:bidi="ar-SA"/>
              </w:rPr>
              <w:t>8.1</w:t>
            </w:r>
          </w:p>
        </w:tc>
        <w:tc>
          <w:tcPr>
            <w:tcW w:w="0" w:type="auto"/>
            <w:tcBorders>
              <w:top w:val="single" w:sz="6" w:space="0" w:color="auto"/>
              <w:left w:val="single" w:sz="6" w:space="0" w:color="auto"/>
              <w:bottom w:val="single" w:sz="6" w:space="0" w:color="auto"/>
              <w:right w:val="single" w:sz="6" w:space="0" w:color="auto"/>
            </w:tcBorders>
            <w:vAlign w:val="center"/>
          </w:tcPr>
          <w:p w14:paraId="3F79427E" w14:textId="77777777" w:rsidR="00B97365" w:rsidRDefault="00000000">
            <w:pPr>
              <w:spacing w:before="40" w:after="40" w:line="276" w:lineRule="auto"/>
              <w:jc w:val="left"/>
              <w:rPr>
                <w:sz w:val="16"/>
                <w:szCs w:val="16"/>
                <w:lang w:eastAsia="de-DE" w:bidi="ar-SA"/>
              </w:rPr>
            </w:pPr>
            <w:r>
              <w:rPr>
                <w:sz w:val="16"/>
                <w:szCs w:val="16"/>
                <w:lang w:eastAsia="de-DE" w:bidi="ar-SA"/>
              </w:rPr>
              <w:t>eUICC</w:t>
            </w:r>
          </w:p>
        </w:tc>
        <w:tc>
          <w:tcPr>
            <w:tcW w:w="830" w:type="dxa"/>
            <w:tcBorders>
              <w:top w:val="single" w:sz="6" w:space="0" w:color="auto"/>
              <w:left w:val="single" w:sz="6" w:space="0" w:color="auto"/>
              <w:bottom w:val="single" w:sz="6" w:space="0" w:color="auto"/>
              <w:right w:val="single" w:sz="6" w:space="0" w:color="auto"/>
            </w:tcBorders>
            <w:vAlign w:val="center"/>
          </w:tcPr>
          <w:p w14:paraId="29F8A1C2" w14:textId="77777777" w:rsidR="00B97365" w:rsidRDefault="00000000">
            <w:pPr>
              <w:spacing w:before="40" w:after="40" w:line="276" w:lineRule="auto"/>
              <w:jc w:val="left"/>
              <w:rPr>
                <w:sz w:val="16"/>
                <w:szCs w:val="16"/>
                <w:lang w:eastAsia="de-DE" w:bidi="ar-SA"/>
              </w:rPr>
            </w:pPr>
            <w:r>
              <w:rPr>
                <w:sz w:val="16"/>
                <w:szCs w:val="16"/>
                <w:lang w:eastAsia="de-DE" w:bidi="ar-SA"/>
              </w:rPr>
              <w:t>4.4</w:t>
            </w:r>
          </w:p>
        </w:tc>
        <w:tc>
          <w:tcPr>
            <w:tcW w:w="0" w:type="auto"/>
            <w:tcBorders>
              <w:top w:val="single" w:sz="6" w:space="0" w:color="auto"/>
              <w:left w:val="single" w:sz="6" w:space="0" w:color="auto"/>
              <w:bottom w:val="single" w:sz="6" w:space="0" w:color="auto"/>
              <w:right w:val="single" w:sz="6" w:space="0" w:color="auto"/>
            </w:tcBorders>
            <w:vAlign w:val="center"/>
          </w:tcPr>
          <w:p w14:paraId="42625BFB" w14:textId="77777777" w:rsidR="00B97365" w:rsidRDefault="00000000">
            <w:pPr>
              <w:spacing w:before="40" w:after="40" w:line="276" w:lineRule="auto"/>
              <w:jc w:val="left"/>
              <w:rPr>
                <w:sz w:val="16"/>
                <w:szCs w:val="16"/>
                <w:lang w:eastAsia="de-DE" w:bidi="ar-SA"/>
              </w:rPr>
            </w:pPr>
            <w:r>
              <w:rPr>
                <w:sz w:val="16"/>
                <w:szCs w:val="16"/>
                <w:lang w:eastAsia="de-DE" w:bidi="ar-SA"/>
              </w:rPr>
              <w:t>Busy</w:t>
            </w:r>
          </w:p>
        </w:tc>
        <w:tc>
          <w:tcPr>
            <w:tcW w:w="0" w:type="auto"/>
            <w:tcBorders>
              <w:top w:val="single" w:sz="6" w:space="0" w:color="auto"/>
              <w:left w:val="single" w:sz="6" w:space="0" w:color="auto"/>
              <w:bottom w:val="single" w:sz="6" w:space="0" w:color="auto"/>
              <w:right w:val="single" w:sz="4" w:space="0" w:color="auto"/>
            </w:tcBorders>
            <w:vAlign w:val="center"/>
          </w:tcPr>
          <w:p w14:paraId="526F711E" w14:textId="77777777" w:rsidR="00B97365" w:rsidRDefault="00000000">
            <w:pPr>
              <w:spacing w:before="40" w:after="40" w:line="276" w:lineRule="auto"/>
              <w:jc w:val="left"/>
              <w:rPr>
                <w:sz w:val="16"/>
                <w:szCs w:val="16"/>
                <w:lang w:eastAsia="de-DE" w:bidi="ar-SA"/>
              </w:rPr>
            </w:pPr>
            <w:r>
              <w:rPr>
                <w:sz w:val="16"/>
                <w:szCs w:val="16"/>
                <w:lang w:eastAsia="de-DE" w:bidi="ar-SA"/>
              </w:rPr>
              <w:t>Other operations pending on the eUICC</w:t>
            </w:r>
          </w:p>
        </w:tc>
      </w:tr>
      <w:tr w:rsidR="00B97365" w14:paraId="325C905A" w14:textId="77777777">
        <w:trPr>
          <w:trHeight w:val="34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5313CE17" w14:textId="77777777" w:rsidR="00B97365" w:rsidRDefault="00000000">
            <w:pPr>
              <w:spacing w:before="40" w:after="40" w:line="276" w:lineRule="auto"/>
              <w:jc w:val="left"/>
              <w:rPr>
                <w:b/>
                <w:sz w:val="16"/>
                <w:szCs w:val="16"/>
                <w:lang w:eastAsia="de-DE" w:bidi="ar-SA"/>
              </w:rPr>
            </w:pPr>
            <w:r>
              <w:rPr>
                <w:sz w:val="16"/>
                <w:szCs w:val="16"/>
                <w:lang w:eastAsia="de-DE" w:bidi="ar-SA"/>
              </w:rPr>
              <w:t>8.4</w:t>
            </w:r>
          </w:p>
        </w:tc>
        <w:tc>
          <w:tcPr>
            <w:tcW w:w="0" w:type="auto"/>
            <w:tcBorders>
              <w:top w:val="single" w:sz="6" w:space="0" w:color="auto"/>
              <w:left w:val="single" w:sz="6" w:space="0" w:color="auto"/>
              <w:bottom w:val="single" w:sz="6" w:space="0" w:color="auto"/>
              <w:right w:val="single" w:sz="6" w:space="0" w:color="auto"/>
            </w:tcBorders>
            <w:vAlign w:val="center"/>
            <w:hideMark/>
          </w:tcPr>
          <w:p w14:paraId="39D62125" w14:textId="77777777" w:rsidR="00B97365" w:rsidRDefault="00000000">
            <w:pPr>
              <w:spacing w:before="40" w:after="40" w:line="276" w:lineRule="auto"/>
              <w:jc w:val="left"/>
              <w:rPr>
                <w:b/>
                <w:sz w:val="16"/>
                <w:szCs w:val="16"/>
                <w:lang w:eastAsia="de-DE" w:bidi="ar-SA"/>
              </w:rPr>
            </w:pPr>
            <w:r>
              <w:rPr>
                <w:sz w:val="16"/>
                <w:szCs w:val="16"/>
                <w:lang w:eastAsia="de-DE" w:bidi="ar-SA"/>
              </w:rPr>
              <w:t>ISD-R</w:t>
            </w:r>
          </w:p>
        </w:tc>
        <w:tc>
          <w:tcPr>
            <w:tcW w:w="830" w:type="dxa"/>
            <w:tcBorders>
              <w:top w:val="single" w:sz="6" w:space="0" w:color="auto"/>
              <w:left w:val="single" w:sz="6" w:space="0" w:color="auto"/>
              <w:bottom w:val="single" w:sz="6" w:space="0" w:color="auto"/>
              <w:right w:val="single" w:sz="6" w:space="0" w:color="auto"/>
            </w:tcBorders>
            <w:vAlign w:val="center"/>
            <w:hideMark/>
          </w:tcPr>
          <w:p w14:paraId="66C26BA5" w14:textId="77777777" w:rsidR="00B97365" w:rsidRDefault="00000000">
            <w:pPr>
              <w:spacing w:before="40" w:after="40" w:line="276" w:lineRule="auto"/>
              <w:jc w:val="left"/>
              <w:rPr>
                <w:b/>
                <w:sz w:val="16"/>
                <w:szCs w:val="16"/>
                <w:lang w:eastAsia="de-DE" w:bidi="ar-SA"/>
              </w:rPr>
            </w:pPr>
            <w:r>
              <w:rPr>
                <w:sz w:val="16"/>
                <w:szCs w:val="16"/>
                <w:lang w:eastAsia="de-DE" w:bidi="ar-SA"/>
              </w:rPr>
              <w:t>4.2</w:t>
            </w:r>
          </w:p>
        </w:tc>
        <w:tc>
          <w:tcPr>
            <w:tcW w:w="0" w:type="auto"/>
            <w:tcBorders>
              <w:top w:val="single" w:sz="6" w:space="0" w:color="auto"/>
              <w:left w:val="single" w:sz="6" w:space="0" w:color="auto"/>
              <w:bottom w:val="single" w:sz="6" w:space="0" w:color="auto"/>
              <w:right w:val="single" w:sz="6" w:space="0" w:color="auto"/>
            </w:tcBorders>
            <w:vAlign w:val="center"/>
            <w:hideMark/>
          </w:tcPr>
          <w:p w14:paraId="4BA885A9" w14:textId="77777777" w:rsidR="00B97365" w:rsidRDefault="00000000">
            <w:pPr>
              <w:spacing w:before="40" w:after="40" w:line="276" w:lineRule="auto"/>
              <w:jc w:val="left"/>
              <w:rPr>
                <w:b/>
                <w:sz w:val="16"/>
                <w:szCs w:val="16"/>
                <w:lang w:eastAsia="de-DE" w:bidi="ar-SA"/>
              </w:rPr>
            </w:pPr>
            <w:r>
              <w:rPr>
                <w:sz w:val="16"/>
                <w:szCs w:val="16"/>
                <w:lang w:eastAsia="de-DE" w:bidi="ar-SA"/>
              </w:rPr>
              <w:t>Execution error</w:t>
            </w:r>
          </w:p>
        </w:tc>
        <w:tc>
          <w:tcPr>
            <w:tcW w:w="0" w:type="auto"/>
            <w:tcBorders>
              <w:top w:val="single" w:sz="6" w:space="0" w:color="auto"/>
              <w:left w:val="single" w:sz="6" w:space="0" w:color="auto"/>
              <w:bottom w:val="single" w:sz="6" w:space="0" w:color="auto"/>
              <w:right w:val="single" w:sz="4" w:space="0" w:color="auto"/>
            </w:tcBorders>
            <w:vAlign w:val="center"/>
            <w:hideMark/>
          </w:tcPr>
          <w:p w14:paraId="1B1C93BE" w14:textId="77777777" w:rsidR="00B97365" w:rsidRDefault="00000000">
            <w:pPr>
              <w:spacing w:before="40" w:after="40" w:line="276" w:lineRule="auto"/>
              <w:jc w:val="left"/>
              <w:rPr>
                <w:b/>
                <w:sz w:val="16"/>
                <w:szCs w:val="16"/>
                <w:lang w:eastAsia="de-DE" w:bidi="ar-SA"/>
              </w:rPr>
            </w:pPr>
            <w:r>
              <w:rPr>
                <w:sz w:val="16"/>
                <w:szCs w:val="16"/>
                <w:lang w:eastAsia="de-DE" w:bidi="ar-SA"/>
              </w:rPr>
              <w:t>Error during the creation of a new key set at the ISD-R level</w:t>
            </w:r>
          </w:p>
        </w:tc>
      </w:tr>
      <w:tr w:rsidR="00B97365" w14:paraId="3ECDE942" w14:textId="77777777">
        <w:trPr>
          <w:trHeight w:val="34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241AAC9B" w14:textId="77777777" w:rsidR="00B97365" w:rsidRDefault="00000000">
            <w:pPr>
              <w:spacing w:before="40" w:after="40" w:line="276" w:lineRule="auto"/>
              <w:jc w:val="left"/>
              <w:rPr>
                <w:b/>
                <w:sz w:val="16"/>
                <w:szCs w:val="16"/>
                <w:lang w:eastAsia="de-DE" w:bidi="ar-SA"/>
              </w:rPr>
            </w:pPr>
            <w:r>
              <w:rPr>
                <w:sz w:val="16"/>
                <w:szCs w:val="16"/>
                <w:lang w:eastAsia="de-DE" w:bidi="ar-SA"/>
              </w:rPr>
              <w:lastRenderedPageBreak/>
              <w:t>8.5.2</w:t>
            </w:r>
          </w:p>
        </w:tc>
        <w:tc>
          <w:tcPr>
            <w:tcW w:w="0" w:type="auto"/>
            <w:tcBorders>
              <w:top w:val="single" w:sz="6" w:space="0" w:color="auto"/>
              <w:left w:val="single" w:sz="6" w:space="0" w:color="auto"/>
              <w:bottom w:val="single" w:sz="6" w:space="0" w:color="auto"/>
              <w:right w:val="single" w:sz="6" w:space="0" w:color="auto"/>
            </w:tcBorders>
            <w:vAlign w:val="center"/>
            <w:hideMark/>
          </w:tcPr>
          <w:p w14:paraId="2E5C7CF8" w14:textId="77777777" w:rsidR="00B97365" w:rsidRDefault="00000000">
            <w:pPr>
              <w:spacing w:before="40" w:after="40" w:line="276" w:lineRule="auto"/>
              <w:jc w:val="left"/>
              <w:rPr>
                <w:b/>
                <w:sz w:val="16"/>
                <w:szCs w:val="16"/>
                <w:lang w:eastAsia="de-DE" w:bidi="ar-SA"/>
              </w:rPr>
            </w:pPr>
            <w:r>
              <w:rPr>
                <w:sz w:val="16"/>
                <w:szCs w:val="16"/>
                <w:lang w:eastAsia="de-DE" w:bidi="ar-SA"/>
              </w:rPr>
              <w:t>eUICC Certificate Authority Certification</w:t>
            </w:r>
          </w:p>
        </w:tc>
        <w:tc>
          <w:tcPr>
            <w:tcW w:w="830" w:type="dxa"/>
            <w:tcBorders>
              <w:top w:val="single" w:sz="6" w:space="0" w:color="auto"/>
              <w:left w:val="single" w:sz="6" w:space="0" w:color="auto"/>
              <w:bottom w:val="single" w:sz="6" w:space="0" w:color="auto"/>
              <w:right w:val="single" w:sz="6" w:space="0" w:color="auto"/>
            </w:tcBorders>
            <w:vAlign w:val="center"/>
            <w:hideMark/>
          </w:tcPr>
          <w:p w14:paraId="2D32F496" w14:textId="77777777" w:rsidR="00B97365" w:rsidRDefault="00000000">
            <w:pPr>
              <w:spacing w:before="40" w:after="40" w:line="276" w:lineRule="auto"/>
              <w:jc w:val="left"/>
              <w:rPr>
                <w:b/>
                <w:sz w:val="16"/>
                <w:szCs w:val="16"/>
                <w:lang w:eastAsia="de-DE" w:bidi="ar-SA"/>
              </w:rPr>
            </w:pPr>
            <w:r>
              <w:rPr>
                <w:sz w:val="16"/>
                <w:szCs w:val="16"/>
                <w:lang w:eastAsia="de-DE" w:bidi="ar-SA"/>
              </w:rPr>
              <w:t>6.3</w:t>
            </w:r>
          </w:p>
        </w:tc>
        <w:tc>
          <w:tcPr>
            <w:tcW w:w="0" w:type="auto"/>
            <w:tcBorders>
              <w:top w:val="single" w:sz="6" w:space="0" w:color="auto"/>
              <w:left w:val="single" w:sz="6" w:space="0" w:color="auto"/>
              <w:bottom w:val="single" w:sz="6" w:space="0" w:color="auto"/>
              <w:right w:val="single" w:sz="6" w:space="0" w:color="auto"/>
            </w:tcBorders>
            <w:vAlign w:val="center"/>
            <w:hideMark/>
          </w:tcPr>
          <w:p w14:paraId="16DDE4B4" w14:textId="77777777" w:rsidR="00B97365" w:rsidRDefault="00000000">
            <w:pPr>
              <w:spacing w:before="40" w:after="40" w:line="276" w:lineRule="auto"/>
              <w:jc w:val="left"/>
              <w:rPr>
                <w:b/>
                <w:sz w:val="16"/>
                <w:szCs w:val="16"/>
                <w:lang w:eastAsia="de-DE" w:bidi="ar-SA"/>
              </w:rPr>
            </w:pPr>
            <w:r>
              <w:rPr>
                <w:sz w:val="16"/>
                <w:szCs w:val="16"/>
                <w:lang w:eastAsia="de-DE" w:bidi="ar-SA"/>
              </w:rPr>
              <w:t>Certificate Expired</w:t>
            </w:r>
          </w:p>
        </w:tc>
        <w:tc>
          <w:tcPr>
            <w:tcW w:w="0" w:type="auto"/>
            <w:tcBorders>
              <w:top w:val="single" w:sz="6" w:space="0" w:color="auto"/>
              <w:left w:val="single" w:sz="6" w:space="0" w:color="auto"/>
              <w:bottom w:val="single" w:sz="6" w:space="0" w:color="auto"/>
              <w:right w:val="single" w:sz="4" w:space="0" w:color="auto"/>
            </w:tcBorders>
            <w:vAlign w:val="center"/>
            <w:hideMark/>
          </w:tcPr>
          <w:p w14:paraId="599B886F" w14:textId="77777777" w:rsidR="00B97365" w:rsidRDefault="00000000">
            <w:pPr>
              <w:spacing w:before="40" w:after="40" w:line="276" w:lineRule="auto"/>
              <w:jc w:val="left"/>
              <w:rPr>
                <w:b/>
                <w:sz w:val="16"/>
                <w:szCs w:val="16"/>
                <w:lang w:eastAsia="de-DE" w:bidi="ar-SA"/>
              </w:rPr>
            </w:pPr>
            <w:r>
              <w:rPr>
                <w:sz w:val="16"/>
                <w:szCs w:val="16"/>
                <w:lang w:eastAsia="de-DE" w:bidi="ar-SA"/>
              </w:rPr>
              <w:t>ECASD Certificate Expired</w:t>
            </w:r>
          </w:p>
        </w:tc>
      </w:tr>
      <w:tr w:rsidR="00B97365" w14:paraId="3C3834F2" w14:textId="77777777">
        <w:trPr>
          <w:trHeight w:val="342"/>
          <w:jc w:val="center"/>
        </w:trPr>
        <w:tc>
          <w:tcPr>
            <w:tcW w:w="894" w:type="dxa"/>
            <w:tcBorders>
              <w:top w:val="single" w:sz="6" w:space="0" w:color="auto"/>
              <w:left w:val="single" w:sz="4" w:space="0" w:color="auto"/>
              <w:bottom w:val="single" w:sz="4" w:space="0" w:color="auto"/>
              <w:right w:val="single" w:sz="6" w:space="0" w:color="auto"/>
            </w:tcBorders>
          </w:tcPr>
          <w:p w14:paraId="7C7A6822" w14:textId="77777777" w:rsidR="00B97365" w:rsidRDefault="00000000">
            <w:pPr>
              <w:spacing w:before="40" w:after="40" w:line="276" w:lineRule="auto"/>
              <w:jc w:val="left"/>
              <w:rPr>
                <w:sz w:val="16"/>
                <w:szCs w:val="16"/>
                <w:lang w:eastAsia="de-DE" w:bidi="ar-SA"/>
              </w:rPr>
            </w:pPr>
            <w:r>
              <w:rPr>
                <w:sz w:val="20"/>
                <w:szCs w:val="22"/>
                <w:lang w:eastAsia="de-DE" w:bidi="ar-SA"/>
              </w:rPr>
              <w:t>8.7</w:t>
            </w:r>
          </w:p>
        </w:tc>
        <w:tc>
          <w:tcPr>
            <w:tcW w:w="0" w:type="auto"/>
            <w:tcBorders>
              <w:top w:val="single" w:sz="6" w:space="0" w:color="auto"/>
              <w:left w:val="single" w:sz="6" w:space="0" w:color="auto"/>
              <w:bottom w:val="single" w:sz="4" w:space="0" w:color="auto"/>
              <w:right w:val="single" w:sz="6" w:space="0" w:color="auto"/>
            </w:tcBorders>
          </w:tcPr>
          <w:p w14:paraId="7EF9D469" w14:textId="77777777" w:rsidR="00B97365" w:rsidRDefault="00000000">
            <w:pPr>
              <w:spacing w:before="40" w:after="40" w:line="276" w:lineRule="auto"/>
              <w:jc w:val="left"/>
              <w:rPr>
                <w:sz w:val="16"/>
                <w:szCs w:val="16"/>
                <w:lang w:eastAsia="de-DE" w:bidi="ar-SA"/>
              </w:rPr>
            </w:pPr>
            <w:r>
              <w:rPr>
                <w:sz w:val="20"/>
                <w:szCs w:val="22"/>
                <w:lang w:eastAsia="de-DE" w:bidi="ar-SA"/>
              </w:rPr>
              <w:t>SM-SR</w:t>
            </w:r>
          </w:p>
        </w:tc>
        <w:tc>
          <w:tcPr>
            <w:tcW w:w="830" w:type="dxa"/>
            <w:tcBorders>
              <w:top w:val="single" w:sz="6" w:space="0" w:color="auto"/>
              <w:left w:val="single" w:sz="6" w:space="0" w:color="auto"/>
              <w:bottom w:val="single" w:sz="4" w:space="0" w:color="auto"/>
              <w:right w:val="single" w:sz="6" w:space="0" w:color="auto"/>
            </w:tcBorders>
          </w:tcPr>
          <w:p w14:paraId="5156CE48" w14:textId="77777777" w:rsidR="00B97365" w:rsidRDefault="00000000">
            <w:pPr>
              <w:spacing w:before="40" w:after="40" w:line="276" w:lineRule="auto"/>
              <w:jc w:val="left"/>
              <w:rPr>
                <w:sz w:val="16"/>
                <w:szCs w:val="16"/>
                <w:lang w:eastAsia="de-DE" w:bidi="ar-SA"/>
              </w:rPr>
            </w:pPr>
            <w:r>
              <w:rPr>
                <w:sz w:val="20"/>
                <w:szCs w:val="22"/>
                <w:lang w:eastAsia="de-DE" w:bidi="ar-SA"/>
              </w:rPr>
              <w:t>3.9</w:t>
            </w:r>
          </w:p>
        </w:tc>
        <w:tc>
          <w:tcPr>
            <w:tcW w:w="0" w:type="auto"/>
            <w:tcBorders>
              <w:top w:val="single" w:sz="6" w:space="0" w:color="auto"/>
              <w:left w:val="single" w:sz="6" w:space="0" w:color="auto"/>
              <w:bottom w:val="single" w:sz="4" w:space="0" w:color="auto"/>
              <w:right w:val="single" w:sz="6" w:space="0" w:color="auto"/>
            </w:tcBorders>
          </w:tcPr>
          <w:p w14:paraId="0A349007" w14:textId="77777777" w:rsidR="00B97365" w:rsidRDefault="00000000">
            <w:pPr>
              <w:spacing w:before="40" w:after="40" w:line="276" w:lineRule="auto"/>
              <w:jc w:val="left"/>
              <w:rPr>
                <w:sz w:val="16"/>
                <w:szCs w:val="16"/>
                <w:lang w:eastAsia="de-DE" w:bidi="ar-SA"/>
              </w:rPr>
            </w:pPr>
            <w:r>
              <w:rPr>
                <w:sz w:val="20"/>
                <w:szCs w:val="22"/>
                <w:lang w:eastAsia="de-DE" w:bidi="ar-SA"/>
              </w:rPr>
              <w:t>Unknown</w:t>
            </w:r>
          </w:p>
        </w:tc>
        <w:tc>
          <w:tcPr>
            <w:tcW w:w="0" w:type="auto"/>
            <w:tcBorders>
              <w:top w:val="single" w:sz="6" w:space="0" w:color="auto"/>
              <w:left w:val="single" w:sz="6" w:space="0" w:color="auto"/>
              <w:bottom w:val="single" w:sz="4" w:space="0" w:color="auto"/>
              <w:right w:val="single" w:sz="4" w:space="0" w:color="auto"/>
            </w:tcBorders>
          </w:tcPr>
          <w:p w14:paraId="1D86174A" w14:textId="77777777" w:rsidR="00B97365" w:rsidRDefault="00000000">
            <w:pPr>
              <w:spacing w:before="40" w:after="40" w:line="276" w:lineRule="auto"/>
              <w:jc w:val="left"/>
              <w:rPr>
                <w:sz w:val="16"/>
                <w:szCs w:val="16"/>
                <w:lang w:eastAsia="de-DE" w:bidi="ar-SA"/>
              </w:rPr>
            </w:pPr>
            <w:r>
              <w:rPr>
                <w:sz w:val="20"/>
                <w:szCs w:val="22"/>
                <w:lang w:eastAsia="de-DE" w:bidi="ar-SA"/>
              </w:rPr>
              <w:t>The targetSMSRid is unknown</w:t>
            </w:r>
          </w:p>
        </w:tc>
      </w:tr>
    </w:tbl>
    <w:p w14:paraId="5353F131"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SM-SR Change Specific Status Codes</w:t>
      </w:r>
    </w:p>
    <w:p w14:paraId="5658D75D" w14:textId="77777777" w:rsidR="00B97365" w:rsidRDefault="00B97365">
      <w:pPr>
        <w:spacing w:line="276" w:lineRule="auto"/>
        <w:ind w:left="360"/>
        <w:jc w:val="left"/>
        <w:rPr>
          <w:rFonts w:ascii="Calibri" w:eastAsia="Times New Roman" w:hAnsi="Calibri"/>
          <w:sz w:val="20"/>
          <w:lang w:eastAsia="en-GB" w:bidi="ar-SA"/>
        </w:rPr>
      </w:pPr>
    </w:p>
    <w:p w14:paraId="294B009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436" w:name="_Toc448998293"/>
      <w:bookmarkStart w:id="5437" w:name="_Toc422150789"/>
      <w:bookmarkStart w:id="5438" w:name="_Toc421874374"/>
      <w:bookmarkStart w:id="5439" w:name="_Toc420594878"/>
      <w:bookmarkStart w:id="5440" w:name="_Toc398214915"/>
      <w:bookmarkStart w:id="5441" w:name="_Toc375158331"/>
      <w:bookmarkStart w:id="5442" w:name="_Toc368932340"/>
      <w:bookmarkStart w:id="5443" w:name="_Ref367979047"/>
      <w:bookmarkStart w:id="5444" w:name="_Toc486332911"/>
      <w:bookmarkStart w:id="5445" w:name="_Toc1977416"/>
      <w:bookmarkStart w:id="5446" w:name="_Toc37062575"/>
      <w:bookmarkStart w:id="5447" w:name="_Toc88839649"/>
      <w:bookmarkStart w:id="5448" w:name="_Toc121504057"/>
      <w:r>
        <w:rPr>
          <w:rFonts w:eastAsia="Times New Roman" w:cs="Arial"/>
          <w:b/>
          <w:sz w:val="24"/>
          <w:szCs w:val="26"/>
          <w:lang w:eastAsia="en-US"/>
        </w:rPr>
        <w:t>Notify a Profile is Disabled</w:t>
      </w:r>
      <w:bookmarkEnd w:id="5416"/>
      <w:bookmarkEnd w:id="5436"/>
      <w:bookmarkEnd w:id="5437"/>
      <w:bookmarkEnd w:id="5438"/>
      <w:bookmarkEnd w:id="5439"/>
      <w:bookmarkEnd w:id="5440"/>
      <w:bookmarkEnd w:id="5441"/>
      <w:bookmarkEnd w:id="5442"/>
      <w:bookmarkEnd w:id="5443"/>
      <w:bookmarkEnd w:id="5444"/>
      <w:bookmarkEnd w:id="5445"/>
      <w:bookmarkEnd w:id="5446"/>
      <w:bookmarkEnd w:id="5447"/>
      <w:bookmarkEnd w:id="5448"/>
    </w:p>
    <w:p w14:paraId="3D61CF8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HandleProfileDisabledNotification</w:t>
      </w:r>
    </w:p>
    <w:p w14:paraId="6C6477B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 and Installation, Profile Enabling, Fall-Back Activation Procedure, Profile Enabling via M2MSP, Profile Disabling via M2MSP, Profile Enabling via SM-DP</w:t>
      </w:r>
    </w:p>
    <w:p w14:paraId="65518E5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04CF2209" w14:textId="77777777" w:rsidR="00B97365" w:rsidRDefault="00000000">
      <w:pPr>
        <w:spacing w:before="0" w:after="200" w:line="276" w:lineRule="auto"/>
        <w:jc w:val="left"/>
        <w:rPr>
          <w:szCs w:val="22"/>
          <w:lang w:val="en-US" w:eastAsia="en-GB" w:bidi="ar-SA"/>
        </w:rPr>
      </w:pPr>
      <w:bookmarkStart w:id="5449" w:name="_Toc420594879"/>
      <w:r>
        <w:rPr>
          <w:rFonts w:cs="Arial"/>
          <w:b/>
          <w:szCs w:val="22"/>
          <w:lang w:val="en-US" w:eastAsia="en-GB" w:bidi="ar-SA"/>
        </w:rPr>
        <w:t>Notification handler/recipient</w:t>
      </w:r>
      <w:r>
        <w:rPr>
          <w:szCs w:val="22"/>
          <w:lang w:val="en-US" w:eastAsia="en-GB" w:bidi="ar-SA"/>
        </w:rPr>
        <w:t xml:space="preserve">: </w:t>
      </w:r>
      <w:bookmarkEnd w:id="5449"/>
      <w:r>
        <w:rPr>
          <w:szCs w:val="22"/>
          <w:lang w:val="en-US" w:eastAsia="en-GB" w:bidi="ar-SA"/>
        </w:rPr>
        <w:t>Operator or M2M SP</w:t>
      </w:r>
    </w:p>
    <w:p w14:paraId="1959791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that the Profile identified by its ICCID has been disabled on the eUICC identified by its EID, if and only if:</w:t>
      </w:r>
    </w:p>
    <w:p w14:paraId="1887BF60"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recipient of the notification is the Operator owning the Profile and</w:t>
      </w:r>
      <w:r>
        <w:rPr>
          <w:szCs w:val="22"/>
          <w:lang w:eastAsia="en-GB" w:bidi="ar-SA"/>
        </w:rPr>
        <w:t xml:space="preserve"> has not set an ONC  to discard those notifications,</w:t>
      </w:r>
      <w:r>
        <w:rPr>
          <w:szCs w:val="22"/>
          <w:lang w:val="en-US" w:eastAsia="en-GB" w:bidi="ar-SA"/>
        </w:rPr>
        <w:t xml:space="preserve"> </w:t>
      </w:r>
    </w:p>
    <w:p w14:paraId="2AC5930E" w14:textId="77777777" w:rsidR="00B97365" w:rsidRDefault="00000000">
      <w:pPr>
        <w:tabs>
          <w:tab w:val="left" w:pos="680"/>
        </w:tabs>
        <w:spacing w:before="0" w:after="200" w:line="276" w:lineRule="auto"/>
        <w:ind w:left="680"/>
        <w:contextualSpacing/>
        <w:jc w:val="left"/>
        <w:rPr>
          <w:szCs w:val="22"/>
          <w:lang w:val="en-US" w:eastAsia="en-GB" w:bidi="ar-SA"/>
        </w:rPr>
      </w:pPr>
      <w:r>
        <w:rPr>
          <w:szCs w:val="22"/>
          <w:lang w:val="en-US" w:eastAsia="en-GB" w:bidi="ar-SA"/>
        </w:rPr>
        <w:t>or</w:t>
      </w:r>
    </w:p>
    <w:p w14:paraId="78A73701"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recipient of the notification is an M2M SP (including, another Operator that is not the owner of the Profile), and the Operator owner of the Profile has granted the M2M SP with a PLMA authorising the Operation “Handle</w:t>
      </w:r>
      <w:r>
        <w:rPr>
          <w:rFonts w:cs="Calibri"/>
          <w:szCs w:val="22"/>
          <w:lang w:eastAsia="en-GB" w:bidi="ar-SA"/>
        </w:rPr>
        <w:t>ProfileDisabledNotification</w:t>
      </w:r>
      <w:r>
        <w:rPr>
          <w:szCs w:val="22"/>
          <w:lang w:val="en-US" w:eastAsia="en-GB" w:bidi="ar-SA"/>
        </w:rPr>
        <w:t>”.</w:t>
      </w:r>
    </w:p>
    <w:p w14:paraId="41F62709" w14:textId="77777777" w:rsidR="00B97365" w:rsidRDefault="00B97365">
      <w:pPr>
        <w:spacing w:before="0" w:after="200" w:line="276" w:lineRule="auto"/>
        <w:jc w:val="left"/>
        <w:rPr>
          <w:szCs w:val="22"/>
          <w:lang w:val="en-US" w:eastAsia="en-GB" w:bidi="ar-SA"/>
        </w:rPr>
      </w:pPr>
    </w:p>
    <w:p w14:paraId="1B445FE9"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292026B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done.</w:t>
      </w:r>
    </w:p>
    <w:p w14:paraId="517B0A3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In case multiple handlers are served, the SM-SR SHOULD ensure completionTimestamp to be equal for every message.  </w:t>
      </w:r>
    </w:p>
    <w:p w14:paraId="7844770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or M2M SP receiving this notification is out of scope of this specification.</w:t>
      </w:r>
    </w:p>
    <w:p w14:paraId="75969869" w14:textId="77777777" w:rsidR="00B97365" w:rsidRDefault="00000000">
      <w:pPr>
        <w:spacing w:before="0" w:after="200" w:line="276" w:lineRule="auto"/>
        <w:jc w:val="left"/>
        <w:rPr>
          <w:b/>
          <w:i/>
          <w:szCs w:val="22"/>
          <w:lang w:val="en-US" w:eastAsia="en-GB" w:bidi="ar-SA"/>
        </w:rPr>
      </w:pPr>
      <w:bookmarkStart w:id="5450" w:name="_Toc420594880"/>
      <w:r>
        <w:rPr>
          <w:rFonts w:cs="Arial"/>
          <w:b/>
          <w:i/>
          <w:szCs w:val="22"/>
          <w:lang w:val="en-US" w:eastAsia="en-GB" w:bidi="ar-SA"/>
        </w:rPr>
        <w:t>Additional input data:</w:t>
      </w:r>
      <w:bookmarkEnd w:id="545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4899"/>
        <w:gridCol w:w="949"/>
        <w:gridCol w:w="389"/>
        <w:gridCol w:w="514"/>
      </w:tblGrid>
      <w:tr w:rsidR="00B97365" w14:paraId="5179EABE"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D61EAC2" w14:textId="77777777" w:rsidR="00B97365" w:rsidRDefault="00000000">
            <w:pPr>
              <w:jc w:val="center"/>
              <w:rPr>
                <w:rFonts w:cs="Calibri"/>
                <w:color w:val="FFFFFF"/>
                <w:sz w:val="16"/>
                <w:szCs w:val="16"/>
              </w:rPr>
            </w:pPr>
            <w:r>
              <w:rPr>
                <w:rFonts w:cs="Calibri"/>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077DCA2" w14:textId="77777777" w:rsidR="00B97365" w:rsidRDefault="00000000">
            <w:pPr>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158099F"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975D947" w14:textId="77777777" w:rsidR="00B97365" w:rsidRDefault="00000000">
            <w:pPr>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91D3B54" w14:textId="77777777" w:rsidR="00B97365" w:rsidRDefault="00000000">
            <w:pPr>
              <w:jc w:val="center"/>
              <w:rPr>
                <w:rFonts w:cs="Calibri"/>
                <w:color w:val="FFFFFF"/>
                <w:sz w:val="16"/>
                <w:szCs w:val="16"/>
              </w:rPr>
            </w:pPr>
            <w:r>
              <w:rPr>
                <w:rFonts w:cs="Calibri"/>
                <w:color w:val="FFFFFF"/>
                <w:sz w:val="16"/>
                <w:szCs w:val="16"/>
              </w:rPr>
              <w:t>MOC</w:t>
            </w:r>
          </w:p>
        </w:tc>
      </w:tr>
      <w:tr w:rsidR="00B97365" w14:paraId="64F1AB1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D2F6413"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E1EF9B5" w14:textId="77777777" w:rsidR="00B97365" w:rsidRDefault="00000000">
            <w:pPr>
              <w:rPr>
                <w:rFonts w:cs="Calibri"/>
                <w:sz w:val="16"/>
                <w:szCs w:val="16"/>
              </w:rPr>
            </w:pPr>
            <w:r>
              <w:rPr>
                <w:rFonts w:cs="Calibri"/>
                <w:sz w:val="16"/>
                <w:szCs w:val="16"/>
              </w:rPr>
              <w:t>Identification of the targeted eUICC.</w:t>
            </w:r>
          </w:p>
          <w:p w14:paraId="755E4F32" w14:textId="1A6ED0B3"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_Ref367975419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E112514"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2C84A1B"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8CFBF7B"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2C538BD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63CC621" w14:textId="77777777" w:rsidR="00B97365" w:rsidRDefault="00000000">
            <w:pPr>
              <w:spacing w:line="260" w:lineRule="atLeast"/>
              <w:ind w:left="1531" w:hanging="1531"/>
              <w:outlineLvl w:val="8"/>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489ABBF" w14:textId="77777777" w:rsidR="00B97365" w:rsidRDefault="00000000">
            <w:pPr>
              <w:tabs>
                <w:tab w:val="left" w:pos="0"/>
              </w:tabs>
              <w:spacing w:before="140" w:after="120" w:line="260" w:lineRule="atLeast"/>
              <w:outlineLvl w:val="8"/>
              <w:rPr>
                <w:rFonts w:cs="Calibri"/>
                <w:sz w:val="16"/>
                <w:szCs w:val="16"/>
              </w:rPr>
            </w:pPr>
            <w:r>
              <w:rPr>
                <w:rFonts w:cs="Calibri"/>
                <w:sz w:val="16"/>
                <w:szCs w:val="16"/>
              </w:rPr>
              <w:t>Identification of the Profile that has been disabled.</w:t>
            </w:r>
          </w:p>
          <w:p w14:paraId="308E6401" w14:textId="1921AB52" w:rsidR="00B97365" w:rsidRDefault="00000000">
            <w:pPr>
              <w:spacing w:before="140" w:after="120" w:line="260" w:lineRule="atLeast"/>
              <w:ind w:left="1531" w:hanging="1531"/>
              <w:outlineLvl w:val="8"/>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_Ref367975425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19F34E1"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3BC969F"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4EB2767" w14:textId="77777777" w:rsidR="00B97365" w:rsidRDefault="00000000">
            <w:pPr>
              <w:jc w:val="center"/>
              <w:rPr>
                <w:rFonts w:cs="Calibri"/>
                <w:sz w:val="16"/>
                <w:szCs w:val="16"/>
              </w:rPr>
            </w:pPr>
            <w:r>
              <w:rPr>
                <w:rFonts w:cs="Calibri"/>
                <w:sz w:val="16"/>
                <w:szCs w:val="16"/>
              </w:rPr>
              <w:t>M</w:t>
            </w:r>
          </w:p>
        </w:tc>
      </w:tr>
      <w:tr w:rsidR="00B97365" w14:paraId="503F2BCD"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C2950EA" w14:textId="77777777" w:rsidR="00B97365" w:rsidRDefault="00000000">
            <w:pPr>
              <w:rPr>
                <w:rFonts w:cs="Calibri"/>
                <w:sz w:val="16"/>
                <w:szCs w:val="16"/>
              </w:rPr>
            </w:pPr>
            <w:r>
              <w:rPr>
                <w:rFonts w:cs="Calibri"/>
                <w:sz w:val="16"/>
                <w:szCs w:val="16"/>
              </w:rPr>
              <w:lastRenderedPageBreak/>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7811DA40" w14:textId="77777777" w:rsidR="00B97365" w:rsidRDefault="00000000">
            <w:pPr>
              <w:rPr>
                <w:rFonts w:cs="Calibri"/>
                <w:sz w:val="16"/>
                <w:szCs w:val="16"/>
              </w:rPr>
            </w:pPr>
            <w:r>
              <w:rPr>
                <w:rFonts w:cs="Calibri"/>
                <w:sz w:val="16"/>
                <w:szCs w:val="16"/>
              </w:rPr>
              <w:t>Indication of the date/time when the operation has been performed.</w:t>
            </w:r>
          </w:p>
          <w:p w14:paraId="5FEEC0C2" w14:textId="54A38BA8"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_Ref367975431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6565C7E3" w14:textId="77777777" w:rsidR="00B97365" w:rsidRDefault="00000000">
            <w:pPr>
              <w:jc w:val="center"/>
              <w:rPr>
                <w:rFonts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0CB24182"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D87DD3D" w14:textId="77777777" w:rsidR="00B97365" w:rsidRDefault="00000000">
            <w:pPr>
              <w:jc w:val="center"/>
              <w:rPr>
                <w:rFonts w:cs="Calibri"/>
                <w:sz w:val="16"/>
                <w:szCs w:val="16"/>
              </w:rPr>
            </w:pPr>
            <w:r>
              <w:rPr>
                <w:rFonts w:cs="Calibri"/>
                <w:sz w:val="16"/>
                <w:szCs w:val="16"/>
              </w:rPr>
              <w:t>M</w:t>
            </w:r>
          </w:p>
        </w:tc>
      </w:tr>
    </w:tbl>
    <w:p w14:paraId="22802B9F"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Handle Profile Disabled Notification Additional Input Data</w:t>
      </w:r>
    </w:p>
    <w:p w14:paraId="2A162591" w14:textId="77777777" w:rsidR="00B97365" w:rsidRDefault="00B97365">
      <w:pPr>
        <w:rPr>
          <w:rFonts w:cs="Calibri"/>
        </w:rPr>
      </w:pPr>
    </w:p>
    <w:p w14:paraId="2EABE4FF"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451" w:name="_Toc448998294"/>
      <w:bookmarkStart w:id="5452" w:name="_Toc422150790"/>
      <w:bookmarkStart w:id="5453" w:name="_Toc421874375"/>
      <w:bookmarkStart w:id="5454" w:name="_Toc420594881"/>
      <w:bookmarkStart w:id="5455" w:name="_Toc398214916"/>
      <w:bookmarkStart w:id="5456" w:name="_Toc375158332"/>
      <w:bookmarkStart w:id="5457" w:name="_Toc368932341"/>
      <w:bookmarkStart w:id="5458" w:name="_Ref367979055"/>
      <w:bookmarkStart w:id="5459" w:name="_Toc352671599"/>
      <w:bookmarkStart w:id="5460" w:name="_Toc486332912"/>
      <w:bookmarkStart w:id="5461" w:name="_Toc1977417"/>
      <w:bookmarkStart w:id="5462" w:name="_Toc37062576"/>
      <w:bookmarkStart w:id="5463" w:name="_Toc88839650"/>
      <w:bookmarkStart w:id="5464" w:name="_Toc121504058"/>
      <w:r>
        <w:rPr>
          <w:rFonts w:eastAsia="Times New Roman" w:cs="Arial"/>
          <w:b/>
          <w:sz w:val="24"/>
          <w:szCs w:val="26"/>
          <w:lang w:eastAsia="en-US"/>
        </w:rPr>
        <w:t xml:space="preserve">Notify a Profile </w:t>
      </w:r>
      <w:bookmarkEnd w:id="5451"/>
      <w:bookmarkEnd w:id="5452"/>
      <w:bookmarkEnd w:id="5453"/>
      <w:bookmarkEnd w:id="5454"/>
      <w:bookmarkEnd w:id="5455"/>
      <w:bookmarkEnd w:id="5456"/>
      <w:bookmarkEnd w:id="5457"/>
      <w:bookmarkEnd w:id="5458"/>
      <w:bookmarkEnd w:id="5459"/>
      <w:bookmarkEnd w:id="5460"/>
      <w:r>
        <w:rPr>
          <w:rFonts w:eastAsia="Times New Roman" w:cs="Arial"/>
          <w:b/>
          <w:sz w:val="24"/>
          <w:szCs w:val="26"/>
          <w:lang w:eastAsia="en-US"/>
        </w:rPr>
        <w:t>is Enabled</w:t>
      </w:r>
      <w:bookmarkEnd w:id="5461"/>
      <w:bookmarkEnd w:id="5462"/>
      <w:bookmarkEnd w:id="5463"/>
      <w:bookmarkEnd w:id="5464"/>
    </w:p>
    <w:p w14:paraId="137CE2C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HandleProfileEnabledNotification</w:t>
      </w:r>
    </w:p>
    <w:p w14:paraId="3913D0F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Disabling, Profile Disabling via SM-DP, Fall-Back Activation Procedure, Profile Enabling via M2M SP, Profile Disabling via M2M SP</w:t>
      </w:r>
    </w:p>
    <w:p w14:paraId="48447F2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06CFCD53" w14:textId="77777777" w:rsidR="00B97365" w:rsidRDefault="00000000">
      <w:pPr>
        <w:spacing w:before="0" w:after="200" w:line="276" w:lineRule="auto"/>
        <w:jc w:val="left"/>
        <w:rPr>
          <w:szCs w:val="22"/>
          <w:lang w:val="en-US" w:eastAsia="en-GB" w:bidi="ar-SA"/>
        </w:rPr>
      </w:pPr>
      <w:bookmarkStart w:id="5465" w:name="_Toc420594882"/>
      <w:r>
        <w:rPr>
          <w:rFonts w:cs="Arial"/>
          <w:b/>
          <w:szCs w:val="22"/>
          <w:lang w:val="en-US" w:eastAsia="en-GB" w:bidi="ar-SA"/>
        </w:rPr>
        <w:t>Notification handler/recipient</w:t>
      </w:r>
      <w:r>
        <w:rPr>
          <w:szCs w:val="22"/>
          <w:lang w:val="en-US" w:eastAsia="en-GB" w:bidi="ar-SA"/>
        </w:rPr>
        <w:t xml:space="preserve">: </w:t>
      </w:r>
      <w:bookmarkEnd w:id="5465"/>
      <w:r>
        <w:rPr>
          <w:szCs w:val="22"/>
          <w:lang w:val="en-US" w:eastAsia="en-GB" w:bidi="ar-SA"/>
        </w:rPr>
        <w:t>Operator or M2M SP</w:t>
      </w:r>
    </w:p>
    <w:p w14:paraId="6D0492C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that the Profile identified by its ICCID has been enabled on the eUICC identified by its EID, if and only if:</w:t>
      </w:r>
    </w:p>
    <w:p w14:paraId="63810F1A"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The recipient of the notification is the Operator owning the Profile  and has not set an ONC  to discard those notifications </w:t>
      </w:r>
    </w:p>
    <w:p w14:paraId="692D34AE" w14:textId="77777777" w:rsidR="00B97365" w:rsidRDefault="00000000">
      <w:pPr>
        <w:tabs>
          <w:tab w:val="left" w:pos="680"/>
        </w:tabs>
        <w:spacing w:before="0" w:after="200" w:line="276" w:lineRule="auto"/>
        <w:ind w:left="680"/>
        <w:contextualSpacing/>
        <w:jc w:val="left"/>
        <w:rPr>
          <w:szCs w:val="22"/>
          <w:lang w:val="en-US" w:eastAsia="en-GB" w:bidi="ar-SA"/>
        </w:rPr>
      </w:pPr>
      <w:r>
        <w:rPr>
          <w:szCs w:val="22"/>
          <w:lang w:val="en-US" w:eastAsia="en-GB" w:bidi="ar-SA"/>
        </w:rPr>
        <w:t>Or</w:t>
      </w:r>
    </w:p>
    <w:p w14:paraId="064AE80F"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recipient of the notification is an M2M SP (including, another Operator that is not the owner of the Profile), and the Operator owner of the Profile has granted the M2M SP with a PLMA authorising the Operation “HandleProfileEnabledNotification”.</w:t>
      </w:r>
    </w:p>
    <w:p w14:paraId="02B529B2"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7B0D458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4730A71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or M2M SP receiving this notification is out of scope of this specification.</w:t>
      </w:r>
    </w:p>
    <w:p w14:paraId="30879299" w14:textId="77777777" w:rsidR="00B97365" w:rsidRDefault="00B97365">
      <w:pPr>
        <w:rPr>
          <w:rFonts w:cs="Calibri"/>
          <w:i/>
          <w:iCs/>
        </w:rPr>
      </w:pPr>
    </w:p>
    <w:p w14:paraId="5C0FBE9D" w14:textId="77777777" w:rsidR="00B97365" w:rsidRDefault="00000000">
      <w:pPr>
        <w:spacing w:before="0" w:after="200" w:line="276" w:lineRule="auto"/>
        <w:jc w:val="left"/>
        <w:rPr>
          <w:b/>
          <w:i/>
          <w:szCs w:val="22"/>
          <w:lang w:val="en-US" w:eastAsia="en-GB" w:bidi="ar-SA"/>
        </w:rPr>
      </w:pPr>
      <w:bookmarkStart w:id="5466" w:name="_Toc420594883"/>
      <w:r>
        <w:rPr>
          <w:rFonts w:cs="Arial"/>
          <w:b/>
          <w:i/>
          <w:szCs w:val="22"/>
          <w:lang w:val="en-US" w:eastAsia="en-GB" w:bidi="ar-SA"/>
        </w:rPr>
        <w:t>Additional input data:</w:t>
      </w:r>
      <w:bookmarkEnd w:id="546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4899"/>
        <w:gridCol w:w="949"/>
        <w:gridCol w:w="398"/>
        <w:gridCol w:w="514"/>
      </w:tblGrid>
      <w:tr w:rsidR="00B97365" w14:paraId="3349D506"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3106E5D"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866E41E"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E4A0FD0"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A4D9241"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CF08C78"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077C574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27E23B8"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C2D09D6" w14:textId="77777777" w:rsidR="00B97365" w:rsidRDefault="00000000">
            <w:pPr>
              <w:rPr>
                <w:rFonts w:cs="Calibri"/>
                <w:sz w:val="16"/>
                <w:szCs w:val="16"/>
              </w:rPr>
            </w:pPr>
            <w:r>
              <w:rPr>
                <w:rFonts w:cs="Calibri"/>
                <w:sz w:val="16"/>
                <w:szCs w:val="16"/>
              </w:rPr>
              <w:t>Identification of the targeted eUICC.</w:t>
            </w:r>
          </w:p>
          <w:p w14:paraId="56DF0EDD" w14:textId="081F7D31"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_Ref367975438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64A0FFF"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2549011"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1279B45"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136F271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82DBF0C" w14:textId="77777777" w:rsidR="00B97365" w:rsidRDefault="00000000">
            <w:pPr>
              <w:spacing w:line="260" w:lineRule="atLeast"/>
              <w:ind w:left="1531" w:hanging="1531"/>
              <w:outlineLvl w:val="8"/>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E07114B" w14:textId="77777777" w:rsidR="00B97365" w:rsidRDefault="00000000">
            <w:pPr>
              <w:tabs>
                <w:tab w:val="right" w:pos="7938"/>
              </w:tabs>
              <w:ind w:firstLine="11"/>
              <w:rPr>
                <w:rFonts w:cs="Calibri"/>
                <w:sz w:val="16"/>
                <w:szCs w:val="16"/>
              </w:rPr>
            </w:pPr>
            <w:r>
              <w:rPr>
                <w:rFonts w:cs="Calibri"/>
                <w:sz w:val="16"/>
                <w:szCs w:val="16"/>
              </w:rPr>
              <w:t>Identification of the Profile that has been disabled.</w:t>
            </w:r>
          </w:p>
          <w:p w14:paraId="102F2D3C" w14:textId="4C518CFE"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_Ref367975444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CE7191B"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8BB177F"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C813230" w14:textId="77777777" w:rsidR="00B97365" w:rsidRDefault="00000000">
            <w:pPr>
              <w:jc w:val="center"/>
              <w:rPr>
                <w:rFonts w:cs="Calibri"/>
                <w:sz w:val="16"/>
                <w:szCs w:val="16"/>
              </w:rPr>
            </w:pPr>
            <w:r>
              <w:rPr>
                <w:rFonts w:cs="Calibri"/>
                <w:sz w:val="16"/>
                <w:szCs w:val="16"/>
              </w:rPr>
              <w:t>M</w:t>
            </w:r>
          </w:p>
        </w:tc>
      </w:tr>
      <w:tr w:rsidR="00B97365" w14:paraId="5EBA1AF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A3C6EE9" w14:textId="77777777" w:rsidR="00B97365" w:rsidRDefault="00000000">
            <w:pPr>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6B779F48" w14:textId="77777777" w:rsidR="00B97365" w:rsidRDefault="00000000">
            <w:pPr>
              <w:rPr>
                <w:rFonts w:cs="Calibri"/>
                <w:sz w:val="16"/>
                <w:szCs w:val="16"/>
              </w:rPr>
            </w:pPr>
            <w:r>
              <w:rPr>
                <w:rFonts w:cs="Calibri"/>
                <w:sz w:val="16"/>
                <w:szCs w:val="16"/>
              </w:rPr>
              <w:t>Indication of the date/time when the operation has been performed.</w:t>
            </w:r>
          </w:p>
          <w:p w14:paraId="672687A9" w14:textId="20E2AA5F"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_Ref367975450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4C2F5DFF" w14:textId="77777777" w:rsidR="00B97365" w:rsidRDefault="00000000">
            <w:pPr>
              <w:jc w:val="center"/>
              <w:rPr>
                <w:rFonts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5035E64A"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3ED078E1" w14:textId="77777777" w:rsidR="00B97365" w:rsidRDefault="00000000">
            <w:pPr>
              <w:jc w:val="center"/>
              <w:rPr>
                <w:rFonts w:cs="Calibri"/>
                <w:sz w:val="16"/>
                <w:szCs w:val="16"/>
              </w:rPr>
            </w:pPr>
            <w:r>
              <w:rPr>
                <w:rFonts w:cs="Calibri"/>
                <w:sz w:val="16"/>
                <w:szCs w:val="16"/>
              </w:rPr>
              <w:t>M</w:t>
            </w:r>
          </w:p>
        </w:tc>
      </w:tr>
    </w:tbl>
    <w:p w14:paraId="24A95DA8" w14:textId="77777777" w:rsidR="00B97365" w:rsidRDefault="00000000">
      <w:pPr>
        <w:numPr>
          <w:ilvl w:val="0"/>
          <w:numId w:val="14"/>
        </w:numPr>
        <w:tabs>
          <w:tab w:val="left" w:pos="1009"/>
        </w:tabs>
        <w:spacing w:after="200" w:line="276" w:lineRule="auto"/>
        <w:jc w:val="center"/>
        <w:rPr>
          <w:rFonts w:cs="Arial"/>
          <w:lang w:eastAsia="de-DE" w:bidi="ar-SA"/>
        </w:rPr>
      </w:pPr>
      <w:bookmarkStart w:id="5467" w:name="_Toc352671600"/>
      <w:r>
        <w:rPr>
          <w:rFonts w:cs="Arial"/>
          <w:b/>
          <w:lang w:eastAsia="de-DE" w:bidi="ar-SA"/>
        </w:rPr>
        <w:t>: Handle Profile Enabled Notification Additional Input Data</w:t>
      </w:r>
    </w:p>
    <w:p w14:paraId="107ACD67" w14:textId="77777777" w:rsidR="00B97365" w:rsidRDefault="00B97365">
      <w:pPr>
        <w:spacing w:before="0" w:after="200" w:line="276" w:lineRule="auto"/>
        <w:jc w:val="left"/>
        <w:rPr>
          <w:rFonts w:cs="Arial"/>
          <w:szCs w:val="22"/>
          <w:lang w:eastAsia="en-GB" w:bidi="ar-SA"/>
        </w:rPr>
      </w:pPr>
    </w:p>
    <w:p w14:paraId="522693F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468" w:name="_Toc448998295"/>
      <w:bookmarkStart w:id="5469" w:name="_Toc422150791"/>
      <w:bookmarkStart w:id="5470" w:name="_Toc421874376"/>
      <w:bookmarkStart w:id="5471" w:name="_Toc420594884"/>
      <w:bookmarkStart w:id="5472" w:name="_Toc398214917"/>
      <w:bookmarkStart w:id="5473" w:name="_Toc375158333"/>
      <w:bookmarkStart w:id="5474" w:name="_Toc368932342"/>
      <w:bookmarkStart w:id="5475" w:name="_Ref367979069"/>
      <w:bookmarkStart w:id="5476" w:name="_Toc486332913"/>
      <w:bookmarkStart w:id="5477" w:name="_Toc1977418"/>
      <w:bookmarkStart w:id="5478" w:name="_Toc37062577"/>
      <w:bookmarkStart w:id="5479" w:name="_Toc88839651"/>
      <w:bookmarkStart w:id="5480" w:name="_Toc121504059"/>
      <w:r>
        <w:rPr>
          <w:rFonts w:eastAsia="Times New Roman" w:cs="Arial"/>
          <w:b/>
          <w:bCs/>
          <w:iCs/>
          <w:sz w:val="24"/>
          <w:szCs w:val="26"/>
          <w:lang w:eastAsia="en-US"/>
        </w:rPr>
        <w:lastRenderedPageBreak/>
        <w:t xml:space="preserve">Notify a SM-SR </w:t>
      </w:r>
      <w:r>
        <w:rPr>
          <w:rFonts w:eastAsia="Times New Roman" w:cs="Arial"/>
          <w:b/>
          <w:sz w:val="24"/>
          <w:szCs w:val="26"/>
          <w:lang w:eastAsia="en-US"/>
        </w:rPr>
        <w:t>Change</w:t>
      </w:r>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p>
    <w:p w14:paraId="2D06BF9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HandleSMSRChangeNotification</w:t>
      </w:r>
    </w:p>
    <w:p w14:paraId="76F02C4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SM-SR Change</w:t>
      </w:r>
    </w:p>
    <w:p w14:paraId="76DEF99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eUICC Management</w:t>
      </w:r>
    </w:p>
    <w:p w14:paraId="63198AB0" w14:textId="77777777" w:rsidR="00B97365" w:rsidRDefault="00000000">
      <w:pPr>
        <w:spacing w:before="0" w:after="200" w:line="276" w:lineRule="auto"/>
        <w:jc w:val="left"/>
        <w:rPr>
          <w:szCs w:val="22"/>
          <w:lang w:val="en-US" w:eastAsia="en-GB" w:bidi="ar-SA"/>
        </w:rPr>
      </w:pPr>
      <w:bookmarkStart w:id="5481" w:name="_Toc420594885"/>
      <w:r>
        <w:rPr>
          <w:rFonts w:cs="Arial"/>
          <w:b/>
          <w:szCs w:val="22"/>
          <w:lang w:val="en-US" w:eastAsia="en-GB" w:bidi="ar-SA"/>
        </w:rPr>
        <w:t>Notification handler/recipient</w:t>
      </w:r>
      <w:r>
        <w:rPr>
          <w:szCs w:val="22"/>
          <w:lang w:val="en-US" w:eastAsia="en-GB" w:bidi="ar-SA"/>
        </w:rPr>
        <w:t xml:space="preserve">: </w:t>
      </w:r>
      <w:bookmarkEnd w:id="5481"/>
      <w:r>
        <w:rPr>
          <w:szCs w:val="22"/>
          <w:lang w:val="en-US" w:eastAsia="en-GB" w:bidi="ar-SA"/>
        </w:rPr>
        <w:t>Operator</w:t>
      </w:r>
    </w:p>
    <w:p w14:paraId="65EA7FB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for notifying each Operator owning a Profile hosted in the eUICC, identified by its EID, that the SM-SR has changed. The notification is sent by the new SM-SR.</w:t>
      </w:r>
    </w:p>
    <w:p w14:paraId="703374E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w:t>
      </w:r>
    </w:p>
    <w:p w14:paraId="011812A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This notification is not related to a particular Profile. It is up to the notification recipient to perform any action related to each Profile that is deployed on this eUICC. </w:t>
      </w:r>
    </w:p>
    <w:p w14:paraId="138FDFE5" w14:textId="77777777" w:rsidR="00B97365" w:rsidRDefault="00000000">
      <w:pPr>
        <w:spacing w:before="0" w:after="200" w:line="276" w:lineRule="auto"/>
        <w:jc w:val="left"/>
        <w:rPr>
          <w:b/>
          <w:i/>
          <w:szCs w:val="22"/>
          <w:lang w:val="en-US" w:eastAsia="en-GB" w:bidi="ar-SA"/>
        </w:rPr>
      </w:pPr>
      <w:bookmarkStart w:id="5482" w:name="_Toc420594886"/>
      <w:r>
        <w:rPr>
          <w:rFonts w:cs="Arial"/>
          <w:b/>
          <w:i/>
          <w:szCs w:val="22"/>
          <w:lang w:val="en-US" w:eastAsia="en-GB" w:bidi="ar-SA"/>
        </w:rPr>
        <w:t>Additional input data:</w:t>
      </w:r>
      <w:bookmarkEnd w:id="548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28"/>
        <w:gridCol w:w="949"/>
        <w:gridCol w:w="409"/>
        <w:gridCol w:w="525"/>
      </w:tblGrid>
      <w:tr w:rsidR="00B97365" w14:paraId="275A5F6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18CFE28"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8FEF8B7"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898852C"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E39AE5F"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5E32DA1"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46EBAFE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10A5A5E" w14:textId="77777777" w:rsidR="00B97365" w:rsidRDefault="00000000">
            <w:pPr>
              <w:tabs>
                <w:tab w:val="right" w:pos="7938"/>
              </w:tabs>
              <w:ind w:left="470" w:hanging="459"/>
              <w:rPr>
                <w:rFonts w:cs="Calibri"/>
                <w:sz w:val="16"/>
                <w:szCs w:val="16"/>
              </w:rPr>
            </w:pPr>
            <w:r>
              <w:rPr>
                <w:rFonts w:cs="Calibri"/>
                <w:sz w:val="16"/>
                <w:szCs w:val="16"/>
              </w:rPr>
              <w:t>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1539963A" w14:textId="77777777" w:rsidR="00B97365" w:rsidRDefault="00000000">
            <w:pPr>
              <w:tabs>
                <w:tab w:val="right" w:pos="7938"/>
              </w:tabs>
              <w:spacing w:after="60"/>
              <w:rPr>
                <w:rFonts w:eastAsia="Times New Roman" w:cs="Calibri"/>
                <w:sz w:val="16"/>
                <w:szCs w:val="16"/>
                <w:lang w:val="en-US"/>
              </w:rPr>
            </w:pPr>
            <w:r>
              <w:rPr>
                <w:rFonts w:cs="Calibri"/>
                <w:sz w:val="16"/>
                <w:szCs w:val="16"/>
                <w:lang w:val="en-US"/>
              </w:rPr>
              <w:t>The relevant part of the eUICC Information Set linked with the Operator owning the Profile hosted in the eUICC.</w:t>
            </w:r>
          </w:p>
          <w:p w14:paraId="5D44ECE2" w14:textId="23E2F11F" w:rsidR="00B97365" w:rsidRDefault="00000000">
            <w:pPr>
              <w:rPr>
                <w:rFonts w:cs="Calibri"/>
                <w:sz w:val="16"/>
                <w:szCs w:val="16"/>
                <w:lang w:val="en-US"/>
              </w:rPr>
            </w:pPr>
            <w:r>
              <w:rPr>
                <w:rFonts w:cs="Calibri"/>
                <w:sz w:val="16"/>
                <w:szCs w:val="16"/>
                <w:lang w:val="en-US"/>
              </w:rPr>
              <w:t xml:space="preserve">See section </w:t>
            </w:r>
            <w:r>
              <w:rPr>
                <w:rFonts w:cs="Calibri"/>
                <w:sz w:val="16"/>
                <w:szCs w:val="16"/>
                <w:lang w:val="en-US"/>
              </w:rPr>
              <w:fldChar w:fldCharType="begin"/>
            </w:r>
            <w:r>
              <w:rPr>
                <w:rFonts w:cs="Calibri"/>
                <w:sz w:val="16"/>
                <w:szCs w:val="16"/>
                <w:lang w:val="en-US"/>
              </w:rPr>
              <w:instrText xml:space="preserve"> REF _Ref84539156 \r \h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5.1.1.2.13</w:t>
            </w:r>
            <w:r>
              <w:rPr>
                <w:rFonts w:cs="Calibri"/>
                <w:sz w:val="16"/>
                <w:szCs w:val="16"/>
                <w:lang w:val="en-US"/>
              </w:rPr>
              <w:fldChar w:fldCharType="end"/>
            </w:r>
            <w:r>
              <w:rPr>
                <w:rFonts w:cs="Calibri"/>
                <w:sz w:val="16"/>
                <w:szCs w:val="16"/>
                <w:lang w:val="en-US"/>
              </w:rPr>
              <w:t xml:space="preserve"> for type description. </w:t>
            </w:r>
            <w:r>
              <w:rPr>
                <w:rFonts w:cs="Calibri"/>
                <w:sz w:val="16"/>
                <w:szCs w:val="16"/>
                <w:lang w:val="en-US"/>
              </w:rPr>
              <w:br/>
              <w:t xml:space="preserve">The list of EIS data fields that SHALL be included is defined in </w:t>
            </w:r>
            <w:r>
              <w:rPr>
                <w:rFonts w:cs="Calibri"/>
                <w:sz w:val="16"/>
                <w:szCs w:val="16"/>
                <w:lang w:val="en-US"/>
              </w:rPr>
              <w:fldChar w:fldCharType="begin"/>
            </w:r>
            <w:r>
              <w:rPr>
                <w:rFonts w:cs="Calibri"/>
                <w:sz w:val="16"/>
                <w:szCs w:val="16"/>
                <w:lang w:val="en-US"/>
              </w:rPr>
              <w:instrText xml:space="preserve"> REF _Ref421660691 \r \h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Annex E</w:t>
            </w:r>
            <w:r>
              <w:rPr>
                <w:rFonts w:cs="Calibri"/>
                <w:sz w:val="16"/>
                <w:szCs w:val="16"/>
                <w:lang w:val="en-US"/>
              </w:rPr>
              <w:fldChar w:fldCharType="end"/>
            </w:r>
            <w:r>
              <w:rPr>
                <w:rFonts w:cs="Calibri"/>
                <w:sz w:val="16"/>
                <w:szCs w:val="16"/>
                <w:lang w:val="en-US"/>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384094AF" w14:textId="77777777" w:rsidR="00B97365" w:rsidRDefault="00000000">
            <w:pPr>
              <w:spacing w:after="60"/>
              <w:jc w:val="center"/>
              <w:rPr>
                <w:rFonts w:eastAsia="Times New Roman" w:cs="Calibri"/>
                <w:sz w:val="16"/>
                <w:szCs w:val="16"/>
                <w:lang w:val="en-US"/>
              </w:rPr>
            </w:pPr>
            <w:r>
              <w:rPr>
                <w:rFonts w:cs="Calibri"/>
                <w:sz w:val="16"/>
                <w:szCs w:val="16"/>
                <w:lang w:val="en-US"/>
              </w:rPr>
              <w:t>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2094DDB6"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A0A4452"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1425F543"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5AC891B4" w14:textId="77777777" w:rsidR="00B97365" w:rsidRDefault="00000000">
            <w:pPr>
              <w:spacing w:after="60"/>
              <w:rPr>
                <w:rFonts w:eastAsia="Times New Roman"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5B8A7D3B" w14:textId="77777777" w:rsidR="00B97365" w:rsidRDefault="00000000">
            <w:pPr>
              <w:spacing w:after="60"/>
              <w:rPr>
                <w:rFonts w:eastAsia="Times New Roman" w:cs="Calibri"/>
                <w:sz w:val="16"/>
                <w:szCs w:val="16"/>
              </w:rPr>
            </w:pPr>
            <w:r>
              <w:rPr>
                <w:rFonts w:cs="Calibri"/>
                <w:sz w:val="16"/>
                <w:szCs w:val="16"/>
              </w:rPr>
              <w:t>Indication of the date/time when the operation has been performed.</w:t>
            </w:r>
          </w:p>
          <w:p w14:paraId="6AF32E47" w14:textId="0E7F545B" w:rsidR="00B97365" w:rsidRDefault="00000000">
            <w:pPr>
              <w:spacing w:after="200"/>
              <w:rPr>
                <w:rFonts w:eastAsia="Times New Roman"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_Ref367975464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0E433E93" w14:textId="77777777" w:rsidR="00B97365" w:rsidRDefault="00000000">
            <w:pPr>
              <w:spacing w:after="60"/>
              <w:jc w:val="center"/>
              <w:rPr>
                <w:rFonts w:eastAsia="Times New Roman"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44C44CB7" w14:textId="77777777" w:rsidR="00B97365" w:rsidRDefault="00000000">
            <w:pPr>
              <w:spacing w:after="60"/>
              <w:jc w:val="center"/>
              <w:rPr>
                <w:rFonts w:eastAsia="Times New Roman"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39BFF4FA" w14:textId="77777777" w:rsidR="00B97365" w:rsidRDefault="00000000">
            <w:pPr>
              <w:spacing w:after="60"/>
              <w:jc w:val="center"/>
              <w:rPr>
                <w:rFonts w:cs="Calibri"/>
                <w:sz w:val="16"/>
                <w:szCs w:val="16"/>
              </w:rPr>
            </w:pPr>
            <w:r>
              <w:rPr>
                <w:rFonts w:cs="Calibri"/>
                <w:sz w:val="16"/>
                <w:szCs w:val="16"/>
              </w:rPr>
              <w:t>M</w:t>
            </w:r>
          </w:p>
        </w:tc>
      </w:tr>
    </w:tbl>
    <w:p w14:paraId="0F3EC809"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Handle SM-SR Change Notification Additional Input Data</w:t>
      </w:r>
    </w:p>
    <w:p w14:paraId="768CB9B0" w14:textId="77777777" w:rsidR="00B97365" w:rsidRDefault="00000000">
      <w:pPr>
        <w:spacing w:before="0" w:after="200" w:line="276" w:lineRule="auto"/>
        <w:jc w:val="left"/>
        <w:rPr>
          <w:b/>
          <w:i/>
          <w:szCs w:val="22"/>
          <w:lang w:val="en-US" w:eastAsia="en-GB" w:bidi="ar-SA"/>
        </w:rPr>
      </w:pPr>
      <w:bookmarkStart w:id="5483" w:name="_Toc420594887"/>
      <w:r>
        <w:rPr>
          <w:rFonts w:cs="Arial"/>
          <w:b/>
          <w:i/>
          <w:szCs w:val="22"/>
          <w:lang w:val="en-US" w:eastAsia="en-GB" w:bidi="ar-SA"/>
        </w:rPr>
        <w:t>Additional output data:</w:t>
      </w:r>
      <w:bookmarkEnd w:id="5483"/>
    </w:p>
    <w:p w14:paraId="0FBC8C87" w14:textId="77777777" w:rsidR="00B97365" w:rsidRDefault="00000000">
      <w:pPr>
        <w:spacing w:before="0" w:after="200" w:line="276" w:lineRule="auto"/>
        <w:jc w:val="left"/>
        <w:rPr>
          <w:szCs w:val="22"/>
          <w:lang w:val="en-US" w:eastAsia="en-GB" w:bidi="ar-SA"/>
        </w:rPr>
      </w:pPr>
      <w:bookmarkStart w:id="5484" w:name="_Toc420594888"/>
      <w:r>
        <w:rPr>
          <w:rFonts w:cs="Arial"/>
          <w:szCs w:val="22"/>
          <w:lang w:val="en-US" w:eastAsia="en-GB" w:bidi="ar-SA"/>
        </w:rPr>
        <w:t>No output data is expected in response to this notification.</w:t>
      </w:r>
      <w:bookmarkEnd w:id="5484"/>
    </w:p>
    <w:p w14:paraId="4F67C69F" w14:textId="77777777" w:rsidR="00B97365" w:rsidRDefault="00B97365">
      <w:pPr>
        <w:rPr>
          <w:rFonts w:asciiTheme="minorHAnsi" w:hAnsiTheme="minorHAnsi" w:cstheme="minorHAnsi"/>
        </w:rPr>
      </w:pPr>
    </w:p>
    <w:p w14:paraId="5B3BA8B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485" w:name="_Toc448998296"/>
      <w:bookmarkStart w:id="5486" w:name="_Toc422150792"/>
      <w:bookmarkStart w:id="5487" w:name="_Toc421874377"/>
      <w:bookmarkStart w:id="5488" w:name="_Toc420594889"/>
      <w:bookmarkStart w:id="5489" w:name="_Toc398214918"/>
      <w:bookmarkStart w:id="5490" w:name="_Toc375158334"/>
      <w:bookmarkStart w:id="5491" w:name="_Toc368932343"/>
      <w:bookmarkStart w:id="5492" w:name="_Toc486332914"/>
      <w:bookmarkStart w:id="5493" w:name="_Toc1977419"/>
      <w:bookmarkStart w:id="5494" w:name="_Toc37062578"/>
      <w:bookmarkStart w:id="5495" w:name="_Toc88839652"/>
      <w:bookmarkStart w:id="5496" w:name="_Toc121504060"/>
      <w:r>
        <w:rPr>
          <w:rFonts w:eastAsia="Times New Roman" w:cs="Arial"/>
          <w:b/>
          <w:bCs/>
          <w:iCs/>
          <w:sz w:val="24"/>
          <w:szCs w:val="26"/>
          <w:lang w:eastAsia="en-US"/>
        </w:rPr>
        <w:t xml:space="preserve">Notify a </w:t>
      </w:r>
      <w:r>
        <w:rPr>
          <w:rFonts w:eastAsia="Times New Roman" w:cs="Arial"/>
          <w:b/>
          <w:sz w:val="24"/>
          <w:szCs w:val="26"/>
          <w:lang w:eastAsia="en-US"/>
        </w:rPr>
        <w:t>Profile Deletion</w:t>
      </w:r>
      <w:bookmarkEnd w:id="5485"/>
      <w:bookmarkEnd w:id="5486"/>
      <w:bookmarkEnd w:id="5487"/>
      <w:bookmarkEnd w:id="5488"/>
      <w:bookmarkEnd w:id="5489"/>
      <w:bookmarkEnd w:id="5490"/>
      <w:bookmarkEnd w:id="5491"/>
      <w:bookmarkEnd w:id="5492"/>
      <w:bookmarkEnd w:id="5493"/>
      <w:bookmarkEnd w:id="5494"/>
      <w:bookmarkEnd w:id="5495"/>
      <w:bookmarkEnd w:id="5496"/>
    </w:p>
    <w:p w14:paraId="1AC43DF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HandleProfileDeletedNotification</w:t>
      </w:r>
    </w:p>
    <w:p w14:paraId="758ACDA7" w14:textId="77777777" w:rsidR="00B97365" w:rsidRDefault="00000000">
      <w:pPr>
        <w:spacing w:before="0" w:after="200" w:line="276" w:lineRule="auto"/>
        <w:jc w:val="left"/>
        <w:rPr>
          <w:szCs w:val="22"/>
          <w:lang w:val="en-US" w:eastAsia="en-GB" w:bidi="ar-SA"/>
        </w:rPr>
      </w:pPr>
      <w:bookmarkStart w:id="5497" w:name="_Toc420594890"/>
      <w:r>
        <w:rPr>
          <w:rFonts w:cs="Arial"/>
          <w:b/>
          <w:szCs w:val="22"/>
          <w:lang w:val="en-US" w:eastAsia="en-GB" w:bidi="ar-SA"/>
        </w:rPr>
        <w:t>Related Procedures</w:t>
      </w:r>
      <w:r>
        <w:rPr>
          <w:szCs w:val="22"/>
          <w:lang w:val="en-US" w:eastAsia="en-GB" w:bidi="ar-SA"/>
        </w:rPr>
        <w:t>: Profile enabling, Profile Enabling via SM-DP</w:t>
      </w:r>
      <w:bookmarkEnd w:id="5497"/>
      <w:r>
        <w:rPr>
          <w:szCs w:val="22"/>
          <w:lang w:val="en-US" w:eastAsia="en-GB" w:bidi="ar-SA"/>
        </w:rPr>
        <w:t>, Profile Enabling via M2M SP, Profile Disabling via M2M SP, Profile and ISD-P Deletion via M2M SP</w:t>
      </w:r>
    </w:p>
    <w:p w14:paraId="6900691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4FCC8713" w14:textId="77777777" w:rsidR="00B97365" w:rsidRDefault="00000000">
      <w:pPr>
        <w:spacing w:before="0" w:after="200" w:line="276" w:lineRule="auto"/>
        <w:jc w:val="left"/>
        <w:rPr>
          <w:szCs w:val="22"/>
          <w:lang w:val="en-US" w:eastAsia="en-GB" w:bidi="ar-SA"/>
        </w:rPr>
      </w:pPr>
      <w:bookmarkStart w:id="5498" w:name="_Toc420594891"/>
      <w:r>
        <w:rPr>
          <w:rFonts w:cs="Arial"/>
          <w:b/>
          <w:szCs w:val="22"/>
          <w:lang w:val="en-US" w:eastAsia="en-GB" w:bidi="ar-SA"/>
        </w:rPr>
        <w:t>Notification handler/recipient</w:t>
      </w:r>
      <w:r>
        <w:rPr>
          <w:szCs w:val="22"/>
          <w:lang w:val="en-US" w:eastAsia="en-GB" w:bidi="ar-SA"/>
        </w:rPr>
        <w:t xml:space="preserve">: </w:t>
      </w:r>
      <w:bookmarkEnd w:id="5498"/>
      <w:r>
        <w:rPr>
          <w:szCs w:val="22"/>
          <w:lang w:val="en-US" w:eastAsia="en-GB" w:bidi="ar-SA"/>
        </w:rPr>
        <w:t>Operator or M2M SP</w:t>
      </w:r>
    </w:p>
    <w:p w14:paraId="7466B71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that the Profile identified by its ICCID has been deleted on the eUICC identified by its EID, if and only if:</w:t>
      </w:r>
    </w:p>
    <w:p w14:paraId="238A1F35"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lastRenderedPageBreak/>
        <w:t xml:space="preserve">The recipient of the notification is the Operator owning the Profile and has not set an ONC  to discard those notifications </w:t>
      </w:r>
    </w:p>
    <w:p w14:paraId="04DBFCDD" w14:textId="77777777" w:rsidR="00B97365" w:rsidRDefault="00000000">
      <w:pPr>
        <w:tabs>
          <w:tab w:val="left" w:pos="680"/>
        </w:tabs>
        <w:spacing w:before="0" w:after="200" w:line="276" w:lineRule="auto"/>
        <w:ind w:left="680"/>
        <w:contextualSpacing/>
        <w:jc w:val="left"/>
        <w:rPr>
          <w:szCs w:val="22"/>
          <w:lang w:val="en-US" w:eastAsia="en-GB" w:bidi="ar-SA"/>
        </w:rPr>
      </w:pPr>
      <w:r>
        <w:rPr>
          <w:szCs w:val="22"/>
          <w:lang w:val="en-US" w:eastAsia="en-GB" w:bidi="ar-SA"/>
        </w:rPr>
        <w:t>or</w:t>
      </w:r>
    </w:p>
    <w:p w14:paraId="06805E24"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recipient of the notification is an M2M SP (including, another Operator that is not the owner of the Profile), and the Operator owner of the Profile has granted the M2M SP with a PLMA authorising the Operation “Handle</w:t>
      </w:r>
      <w:r>
        <w:rPr>
          <w:rFonts w:cs="Calibri"/>
          <w:szCs w:val="22"/>
          <w:lang w:eastAsia="en-GB" w:bidi="ar-SA"/>
        </w:rPr>
        <w:t>ProfileDeletedNotification</w:t>
      </w:r>
      <w:r>
        <w:rPr>
          <w:szCs w:val="22"/>
          <w:lang w:val="en-US" w:eastAsia="en-GB" w:bidi="ar-SA"/>
        </w:rPr>
        <w:t>”.</w:t>
      </w:r>
    </w:p>
    <w:p w14:paraId="05A832DE"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20B4336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3C25F96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or M2M SP receiving this notification is out of scope of this specification.</w:t>
      </w:r>
    </w:p>
    <w:p w14:paraId="17DE84BF" w14:textId="77777777" w:rsidR="00B97365" w:rsidRDefault="00000000">
      <w:pPr>
        <w:spacing w:before="0" w:after="200" w:line="276" w:lineRule="auto"/>
        <w:jc w:val="left"/>
        <w:rPr>
          <w:b/>
          <w:i/>
          <w:szCs w:val="22"/>
          <w:lang w:val="en-US" w:eastAsia="en-GB" w:bidi="ar-SA"/>
        </w:rPr>
      </w:pPr>
      <w:bookmarkStart w:id="5499" w:name="_Toc420594892"/>
      <w:r>
        <w:rPr>
          <w:rFonts w:cs="Arial"/>
          <w:b/>
          <w:i/>
          <w:szCs w:val="22"/>
          <w:lang w:val="en-US" w:eastAsia="en-GB" w:bidi="ar-SA"/>
        </w:rPr>
        <w:t>Additional input data:</w:t>
      </w:r>
      <w:bookmarkEnd w:id="549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4899"/>
        <w:gridCol w:w="949"/>
        <w:gridCol w:w="398"/>
        <w:gridCol w:w="514"/>
      </w:tblGrid>
      <w:tr w:rsidR="00B97365" w14:paraId="351295D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E974510"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C416110"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3356C05"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37DC10E"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A63E345"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886C0F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50B801F"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53EFA61" w14:textId="77777777" w:rsidR="00B97365" w:rsidRDefault="00000000">
            <w:pPr>
              <w:rPr>
                <w:rFonts w:cs="Calibri"/>
                <w:sz w:val="16"/>
                <w:szCs w:val="16"/>
              </w:rPr>
            </w:pPr>
            <w:r>
              <w:rPr>
                <w:rFonts w:cs="Calibri"/>
                <w:sz w:val="16"/>
                <w:szCs w:val="16"/>
              </w:rPr>
              <w:t>Identification of the targeted eUICC.</w:t>
            </w:r>
          </w:p>
          <w:p w14:paraId="1C184244" w14:textId="6EE043FF"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_Ref367975471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9B2FB2D"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25ACA56"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01108AE"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7E1C0D1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4A5C80F" w14:textId="77777777" w:rsidR="00B97365" w:rsidRDefault="00000000">
            <w:pPr>
              <w:spacing w:line="260" w:lineRule="atLeast"/>
              <w:ind w:left="1531" w:hanging="1531"/>
              <w:outlineLvl w:val="8"/>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6F89262" w14:textId="77777777" w:rsidR="00B97365" w:rsidRDefault="00000000">
            <w:pPr>
              <w:tabs>
                <w:tab w:val="right" w:pos="7938"/>
              </w:tabs>
              <w:ind w:left="470" w:hanging="459"/>
              <w:rPr>
                <w:rFonts w:cs="Calibri"/>
                <w:sz w:val="16"/>
                <w:szCs w:val="16"/>
              </w:rPr>
            </w:pPr>
            <w:r>
              <w:rPr>
                <w:rFonts w:cs="Calibri"/>
                <w:sz w:val="16"/>
                <w:szCs w:val="16"/>
              </w:rPr>
              <w:t>Identification of the Profile that has been deleted.</w:t>
            </w:r>
          </w:p>
          <w:p w14:paraId="79149682" w14:textId="2EE21645"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5DF026C"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76CB32F"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0231CFE" w14:textId="77777777" w:rsidR="00B97365" w:rsidRDefault="00000000">
            <w:pPr>
              <w:jc w:val="center"/>
              <w:rPr>
                <w:rFonts w:cs="Calibri"/>
                <w:sz w:val="16"/>
                <w:szCs w:val="16"/>
              </w:rPr>
            </w:pPr>
            <w:r>
              <w:rPr>
                <w:rFonts w:cs="Calibri"/>
                <w:sz w:val="16"/>
                <w:szCs w:val="16"/>
              </w:rPr>
              <w:t>M</w:t>
            </w:r>
          </w:p>
        </w:tc>
      </w:tr>
      <w:tr w:rsidR="00B97365" w14:paraId="789D083A"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53037BB" w14:textId="77777777" w:rsidR="00B97365" w:rsidRDefault="00000000">
            <w:pPr>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75D6AFE9" w14:textId="77777777" w:rsidR="00B97365" w:rsidRDefault="00000000">
            <w:pPr>
              <w:rPr>
                <w:rFonts w:cs="Calibri"/>
                <w:sz w:val="16"/>
                <w:szCs w:val="16"/>
              </w:rPr>
            </w:pPr>
            <w:r>
              <w:rPr>
                <w:rFonts w:cs="Calibri"/>
                <w:sz w:val="16"/>
                <w:szCs w:val="16"/>
              </w:rPr>
              <w:t>Indication of the date/time when the operation has been performed.</w:t>
            </w:r>
          </w:p>
          <w:p w14:paraId="48277993" w14:textId="077A6C16"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2D6FE707" w14:textId="77777777" w:rsidR="00B97365" w:rsidRDefault="00000000">
            <w:pPr>
              <w:jc w:val="center"/>
              <w:rPr>
                <w:rFonts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38FEBD3A"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FAE3110" w14:textId="77777777" w:rsidR="00B97365" w:rsidRDefault="00000000">
            <w:pPr>
              <w:jc w:val="center"/>
              <w:rPr>
                <w:rFonts w:cs="Calibri"/>
                <w:sz w:val="16"/>
                <w:szCs w:val="16"/>
              </w:rPr>
            </w:pPr>
            <w:r>
              <w:rPr>
                <w:rFonts w:cs="Calibri"/>
                <w:sz w:val="16"/>
                <w:szCs w:val="16"/>
              </w:rPr>
              <w:t>M</w:t>
            </w:r>
          </w:p>
        </w:tc>
      </w:tr>
    </w:tbl>
    <w:p w14:paraId="3B519BF8"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Handle Profile Deleted Notification Additional Input Data</w:t>
      </w:r>
    </w:p>
    <w:p w14:paraId="44D95F8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00" w:name="_Toc1977420"/>
      <w:bookmarkStart w:id="5501" w:name="_Toc37062579"/>
      <w:bookmarkStart w:id="5502" w:name="_Toc88839653"/>
      <w:bookmarkStart w:id="5503" w:name="_Toc121504061"/>
      <w:r>
        <w:rPr>
          <w:rFonts w:eastAsia="Times New Roman" w:cs="Arial"/>
          <w:b/>
          <w:bCs/>
          <w:iCs/>
          <w:sz w:val="24"/>
          <w:szCs w:val="26"/>
          <w:lang w:eastAsia="en-US"/>
        </w:rPr>
        <w:t>Notify a Profile Download</w:t>
      </w:r>
      <w:bookmarkEnd w:id="5500"/>
      <w:bookmarkEnd w:id="5501"/>
      <w:bookmarkEnd w:id="5502"/>
      <w:bookmarkEnd w:id="5503"/>
    </w:p>
    <w:p w14:paraId="623256C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HandleProfileDownloadedNotification</w:t>
      </w:r>
    </w:p>
    <w:p w14:paraId="40379B2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Profile Download</w:t>
      </w:r>
    </w:p>
    <w:p w14:paraId="3048345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5D0C82C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M2M SP</w:t>
      </w:r>
    </w:p>
    <w:p w14:paraId="4403288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that the Profile identified by its ICCID has been downloaded on the eUICC identified by its EID.</w:t>
      </w:r>
    </w:p>
    <w:p w14:paraId="48376B89" w14:textId="77777777" w:rsidR="00B97365" w:rsidRDefault="00000000">
      <w:pPr>
        <w:spacing w:before="0" w:after="200" w:line="276" w:lineRule="auto"/>
        <w:jc w:val="left"/>
        <w:rPr>
          <w:szCs w:val="22"/>
          <w:lang w:val="en-US" w:eastAsia="en-GB" w:bidi="ar-SA"/>
        </w:rPr>
      </w:pPr>
      <w:r>
        <w:rPr>
          <w:szCs w:val="22"/>
          <w:lang w:val="en-US" w:eastAsia="en-GB" w:bidi="ar-SA"/>
        </w:rPr>
        <w:t>The SM-SR SHALL inspect the PLMAs that apply to this Profile, and only send this notification to recipients which have a PLMA that includes the authorisation to receive this notification.</w:t>
      </w:r>
    </w:p>
    <w:p w14:paraId="1125371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5BBF62C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M2M SP receiving this notification is out of scope of this specification.</w:t>
      </w:r>
    </w:p>
    <w:p w14:paraId="583CEB3E"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lastRenderedPageBreak/>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4899"/>
        <w:gridCol w:w="949"/>
        <w:gridCol w:w="398"/>
        <w:gridCol w:w="514"/>
      </w:tblGrid>
      <w:tr w:rsidR="00B97365" w14:paraId="69220648"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41994E6"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471FA32"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398244F"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EB5C3DD"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E27D4F8"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39E027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957F057"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DAC20EF" w14:textId="77777777" w:rsidR="00B97365" w:rsidRDefault="00000000">
            <w:pPr>
              <w:rPr>
                <w:rFonts w:cs="Calibri"/>
                <w:sz w:val="16"/>
                <w:szCs w:val="16"/>
              </w:rPr>
            </w:pPr>
            <w:r>
              <w:rPr>
                <w:rFonts w:cs="Calibri"/>
                <w:sz w:val="16"/>
                <w:szCs w:val="16"/>
              </w:rPr>
              <w:t>Identification of the targeted eUICC.</w:t>
            </w:r>
          </w:p>
          <w:p w14:paraId="6F7836CE" w14:textId="253015EE"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_Ref367975471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1DB6FB3"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A591167"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5FD5B23"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45CEE11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FD16446" w14:textId="77777777" w:rsidR="00B97365" w:rsidRDefault="00000000">
            <w:pPr>
              <w:spacing w:line="260" w:lineRule="atLeast"/>
              <w:ind w:left="1531" w:hanging="1531"/>
              <w:outlineLvl w:val="8"/>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F00B17D" w14:textId="77777777" w:rsidR="00B97365" w:rsidRDefault="00000000">
            <w:pPr>
              <w:tabs>
                <w:tab w:val="right" w:pos="7938"/>
              </w:tabs>
              <w:ind w:left="470" w:hanging="459"/>
              <w:rPr>
                <w:rFonts w:cs="Calibri"/>
                <w:sz w:val="16"/>
                <w:szCs w:val="16"/>
              </w:rPr>
            </w:pPr>
            <w:r>
              <w:rPr>
                <w:rFonts w:cs="Calibri"/>
                <w:sz w:val="16"/>
                <w:szCs w:val="16"/>
              </w:rPr>
              <w:t>Identification of the Profile that has been downloaded.</w:t>
            </w:r>
          </w:p>
          <w:p w14:paraId="48A5DD01" w14:textId="0AFF5EC1"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E1C4BFA"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E9B7CC7"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E0EB8A7" w14:textId="77777777" w:rsidR="00B97365" w:rsidRDefault="00000000">
            <w:pPr>
              <w:jc w:val="center"/>
              <w:rPr>
                <w:rFonts w:cs="Calibri"/>
                <w:sz w:val="16"/>
                <w:szCs w:val="16"/>
              </w:rPr>
            </w:pPr>
            <w:r>
              <w:rPr>
                <w:rFonts w:cs="Calibri"/>
                <w:sz w:val="16"/>
                <w:szCs w:val="16"/>
              </w:rPr>
              <w:t>M</w:t>
            </w:r>
          </w:p>
        </w:tc>
      </w:tr>
      <w:tr w:rsidR="00B97365" w14:paraId="5B669AB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C9F1EE1" w14:textId="77777777" w:rsidR="00B97365" w:rsidRDefault="00000000">
            <w:pPr>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6F70758D" w14:textId="77777777" w:rsidR="00B97365" w:rsidRDefault="00000000">
            <w:pPr>
              <w:rPr>
                <w:rFonts w:cs="Calibri"/>
                <w:sz w:val="16"/>
                <w:szCs w:val="16"/>
              </w:rPr>
            </w:pPr>
            <w:r>
              <w:rPr>
                <w:rFonts w:cs="Calibri"/>
                <w:sz w:val="16"/>
                <w:szCs w:val="16"/>
              </w:rPr>
              <w:t>Indication of the date/time when the operation has been performed.</w:t>
            </w:r>
          </w:p>
          <w:p w14:paraId="485A9DEE" w14:textId="73EB41B7"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5769891A" w14:textId="77777777" w:rsidR="00B97365" w:rsidRDefault="00000000">
            <w:pPr>
              <w:jc w:val="center"/>
              <w:rPr>
                <w:rFonts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06BD9BE4"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33122D74" w14:textId="77777777" w:rsidR="00B97365" w:rsidRDefault="00000000">
            <w:pPr>
              <w:jc w:val="center"/>
              <w:rPr>
                <w:rFonts w:cs="Calibri"/>
                <w:sz w:val="16"/>
                <w:szCs w:val="16"/>
              </w:rPr>
            </w:pPr>
            <w:r>
              <w:rPr>
                <w:rFonts w:cs="Calibri"/>
                <w:sz w:val="16"/>
                <w:szCs w:val="16"/>
              </w:rPr>
              <w:t>M</w:t>
            </w:r>
          </w:p>
        </w:tc>
      </w:tr>
    </w:tbl>
    <w:p w14:paraId="0A4B88E7" w14:textId="77777777" w:rsidR="00B97365" w:rsidRDefault="00000000">
      <w:pPr>
        <w:tabs>
          <w:tab w:val="left" w:pos="1009"/>
        </w:tabs>
        <w:spacing w:after="200" w:line="276" w:lineRule="auto"/>
        <w:jc w:val="center"/>
        <w:rPr>
          <w:rFonts w:cs="Arial"/>
          <w:b/>
          <w:lang w:eastAsia="de-DE" w:bidi="ar-SA"/>
        </w:rPr>
      </w:pPr>
      <w:r>
        <w:rPr>
          <w:rFonts w:cs="Arial"/>
          <w:b/>
          <w:lang w:eastAsia="de-DE" w:bidi="ar-SA"/>
        </w:rPr>
        <w:t>Table 5514: Handle Profile Downloaded Notification Additional Input Data</w:t>
      </w:r>
    </w:p>
    <w:p w14:paraId="0ECFAE88"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04" w:name="_Toc1977421"/>
      <w:bookmarkStart w:id="5505" w:name="_Toc37062580"/>
      <w:bookmarkStart w:id="5506" w:name="_Toc88839654"/>
      <w:bookmarkStart w:id="5507" w:name="_Toc121504062"/>
      <w:r>
        <w:rPr>
          <w:rFonts w:eastAsia="Times New Roman" w:cs="Arial"/>
          <w:b/>
          <w:bCs/>
          <w:iCs/>
          <w:sz w:val="24"/>
          <w:szCs w:val="26"/>
          <w:lang w:eastAsia="en-US"/>
        </w:rPr>
        <w:t>Notify the Change of Policy Rules of a Profile</w:t>
      </w:r>
      <w:bookmarkEnd w:id="5504"/>
      <w:bookmarkEnd w:id="5505"/>
      <w:bookmarkEnd w:id="5506"/>
      <w:bookmarkEnd w:id="5507"/>
    </w:p>
    <w:p w14:paraId="50675C1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HandlePolicyRulesUpdatedNotification</w:t>
      </w:r>
    </w:p>
    <w:p w14:paraId="2845B40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POL2 Update, </w:t>
      </w:r>
      <w:r>
        <w:t>POL2 Update via SM-DP</w:t>
      </w:r>
    </w:p>
    <w:p w14:paraId="1518552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618850A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M2M SP</w:t>
      </w:r>
    </w:p>
    <w:p w14:paraId="458ADE13" w14:textId="77777777" w:rsidR="00B97365" w:rsidRDefault="00000000">
      <w:pPr>
        <w:spacing w:before="0" w:after="200" w:line="276" w:lineRule="auto"/>
        <w:jc w:val="left"/>
        <w:rPr>
          <w:szCs w:val="22"/>
          <w:lang w:val="en-US" w:eastAsia="en-GB" w:bidi="ar-SA"/>
        </w:rPr>
      </w:pPr>
      <w:r>
        <w:rPr>
          <w:rFonts w:cs="Arial"/>
          <w:b/>
          <w:lang w:val="en-US"/>
        </w:rPr>
        <w:t>Description</w:t>
      </w:r>
      <w:r>
        <w:rPr>
          <w:lang w:val="en-US"/>
        </w:rPr>
        <w:t>: This function SHALL be called to notify an M2M SP</w:t>
      </w:r>
      <w:r>
        <w:rPr>
          <w:szCs w:val="22"/>
          <w:lang w:val="en-US" w:eastAsia="en-GB" w:bidi="ar-SA"/>
        </w:rPr>
        <w:t xml:space="preserve"> that the Policy Rules have been updated on the Profile identified by its ICCID on the eUICC identified by its EID.</w:t>
      </w:r>
    </w:p>
    <w:p w14:paraId="7B765CB6" w14:textId="77777777" w:rsidR="00B97365" w:rsidRDefault="00000000">
      <w:pPr>
        <w:spacing w:before="0" w:after="200" w:line="276" w:lineRule="auto"/>
        <w:jc w:val="left"/>
        <w:rPr>
          <w:szCs w:val="22"/>
          <w:lang w:val="en-US" w:eastAsia="en-GB" w:bidi="ar-SA"/>
        </w:rPr>
      </w:pPr>
      <w:r>
        <w:rPr>
          <w:szCs w:val="22"/>
          <w:lang w:val="en-US" w:eastAsia="en-GB" w:bidi="ar-SA"/>
        </w:rPr>
        <w:t>The SM-SR SHALL inspect the PLMAs that apply to this Profile, and only send this notification to an M2M SP that has been granted a PLMA by the Operator owner of the Profile for the authorised operation “HandlePolicyRuleUpdatedNotification”.</w:t>
      </w:r>
    </w:p>
    <w:p w14:paraId="06CF9BD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659A6C5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M2M SP receiving this notification is out of scope of this specification.</w:t>
      </w:r>
    </w:p>
    <w:p w14:paraId="703AE1ED"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355"/>
        <w:gridCol w:w="949"/>
        <w:gridCol w:w="398"/>
        <w:gridCol w:w="514"/>
      </w:tblGrid>
      <w:tr w:rsidR="00B97365" w14:paraId="267452F1"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DFA3444"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2B3CF39"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7219239"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DF390B7"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403878F"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2BF483A"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79EA0CB"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B8B8341" w14:textId="77777777" w:rsidR="00B97365" w:rsidRDefault="00000000">
            <w:pPr>
              <w:rPr>
                <w:rFonts w:cs="Calibri"/>
                <w:sz w:val="16"/>
                <w:szCs w:val="16"/>
              </w:rPr>
            </w:pPr>
            <w:r>
              <w:rPr>
                <w:rFonts w:cs="Calibri"/>
                <w:sz w:val="16"/>
                <w:szCs w:val="16"/>
              </w:rPr>
              <w:t>Identification of the targeted eUICC.</w:t>
            </w:r>
          </w:p>
          <w:p w14:paraId="323749F4" w14:textId="279A8965"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_Ref367975471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E1CDA81"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3F73792"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E1B9210"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5EFE3BC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F42BFCC" w14:textId="77777777" w:rsidR="00B97365" w:rsidRDefault="00000000">
            <w:pPr>
              <w:spacing w:line="260" w:lineRule="atLeast"/>
              <w:ind w:left="1531" w:hanging="1531"/>
              <w:outlineLvl w:val="8"/>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EC4D012" w14:textId="77777777" w:rsidR="00B97365" w:rsidRDefault="00000000">
            <w:pPr>
              <w:tabs>
                <w:tab w:val="right" w:pos="7938"/>
              </w:tabs>
              <w:ind w:left="470" w:hanging="459"/>
              <w:rPr>
                <w:rFonts w:cs="Calibri"/>
                <w:sz w:val="16"/>
                <w:szCs w:val="16"/>
              </w:rPr>
            </w:pPr>
            <w:r>
              <w:rPr>
                <w:rFonts w:cs="Calibri"/>
                <w:sz w:val="16"/>
                <w:szCs w:val="16"/>
              </w:rPr>
              <w:t>Identification of the Profile whose POL2 has been updated.</w:t>
            </w:r>
          </w:p>
          <w:p w14:paraId="5F6F3002" w14:textId="7D126AEB"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791A51A" w14:textId="77777777" w:rsidR="00B97365" w:rsidRDefault="00000000">
            <w:pPr>
              <w:jc w:val="center"/>
              <w:rPr>
                <w:rFonts w:cs="Calibri"/>
                <w:sz w:val="16"/>
                <w:szCs w:val="16"/>
              </w:rPr>
            </w:pPr>
            <w:r>
              <w:rPr>
                <w:rFonts w:cs="Calibri"/>
                <w:sz w:val="16"/>
                <w:szCs w:val="16"/>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977B142"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FD81083" w14:textId="77777777" w:rsidR="00B97365" w:rsidRDefault="00000000">
            <w:pPr>
              <w:jc w:val="center"/>
              <w:rPr>
                <w:rFonts w:cs="Calibri"/>
                <w:sz w:val="16"/>
                <w:szCs w:val="16"/>
              </w:rPr>
            </w:pPr>
            <w:r>
              <w:rPr>
                <w:rFonts w:cs="Calibri"/>
                <w:sz w:val="16"/>
                <w:szCs w:val="16"/>
              </w:rPr>
              <w:t>M</w:t>
            </w:r>
          </w:p>
        </w:tc>
      </w:tr>
      <w:tr w:rsidR="00B97365" w14:paraId="07D3F64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A47C7A9" w14:textId="77777777" w:rsidR="00B97365" w:rsidRDefault="00000000">
            <w:pPr>
              <w:spacing w:line="260" w:lineRule="atLeast"/>
              <w:ind w:left="1531" w:hanging="1531"/>
              <w:outlineLvl w:val="8"/>
              <w:rPr>
                <w:rFonts w:cs="Calibri"/>
                <w:sz w:val="16"/>
                <w:szCs w:val="16"/>
              </w:rPr>
            </w:pPr>
            <w:r>
              <w:rPr>
                <w:rFonts w:cs="Calibri"/>
                <w:sz w:val="16"/>
                <w:szCs w:val="16"/>
              </w:rPr>
              <w:t>Pol2</w:t>
            </w:r>
          </w:p>
        </w:tc>
        <w:tc>
          <w:tcPr>
            <w:tcW w:w="0" w:type="auto"/>
            <w:tcBorders>
              <w:top w:val="single" w:sz="6" w:space="0" w:color="auto"/>
              <w:left w:val="single" w:sz="6" w:space="0" w:color="auto"/>
              <w:bottom w:val="single" w:sz="6" w:space="0" w:color="auto"/>
              <w:right w:val="single" w:sz="6" w:space="0" w:color="auto"/>
            </w:tcBorders>
            <w:vAlign w:val="center"/>
          </w:tcPr>
          <w:p w14:paraId="0EC38919" w14:textId="77777777" w:rsidR="00B97365" w:rsidRDefault="00000000">
            <w:pPr>
              <w:tabs>
                <w:tab w:val="right" w:pos="7938"/>
              </w:tabs>
              <w:ind w:left="470" w:hanging="459"/>
              <w:rPr>
                <w:rFonts w:cs="Calibri"/>
                <w:sz w:val="16"/>
                <w:szCs w:val="16"/>
              </w:rPr>
            </w:pPr>
            <w:r>
              <w:rPr>
                <w:rFonts w:cs="Calibri"/>
                <w:sz w:val="16"/>
                <w:szCs w:val="16"/>
              </w:rPr>
              <w:t>Value of the POL2 after being updated by the Operator owning the Profile</w:t>
            </w:r>
          </w:p>
          <w:p w14:paraId="7E6F2A5E" w14:textId="04C496F2" w:rsidR="00B97365" w:rsidRDefault="00000000">
            <w:pPr>
              <w:tabs>
                <w:tab w:val="right" w:pos="7938"/>
              </w:tabs>
              <w:ind w:left="470" w:hanging="459"/>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_Ref367975477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09B95163" w14:textId="77777777" w:rsidR="00B97365" w:rsidRDefault="00000000">
            <w:pPr>
              <w:jc w:val="center"/>
              <w:rPr>
                <w:rFonts w:cs="Calibri"/>
                <w:sz w:val="16"/>
                <w:szCs w:val="16"/>
              </w:rPr>
            </w:pPr>
            <w:r>
              <w:rPr>
                <w:rFonts w:cs="Calibri"/>
                <w:sz w:val="16"/>
                <w:szCs w:val="16"/>
              </w:rPr>
              <w:t>POL2</w:t>
            </w:r>
          </w:p>
        </w:tc>
        <w:tc>
          <w:tcPr>
            <w:tcW w:w="0" w:type="auto"/>
            <w:tcBorders>
              <w:top w:val="single" w:sz="6" w:space="0" w:color="auto"/>
              <w:left w:val="single" w:sz="6" w:space="0" w:color="auto"/>
              <w:bottom w:val="single" w:sz="6" w:space="0" w:color="auto"/>
              <w:right w:val="single" w:sz="6" w:space="0" w:color="auto"/>
            </w:tcBorders>
            <w:vAlign w:val="center"/>
          </w:tcPr>
          <w:p w14:paraId="2573F28C"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tcPr>
          <w:p w14:paraId="6C2CA572" w14:textId="77777777" w:rsidR="00B97365" w:rsidRDefault="00000000">
            <w:pPr>
              <w:jc w:val="center"/>
              <w:rPr>
                <w:rFonts w:cs="Calibri"/>
                <w:sz w:val="16"/>
                <w:szCs w:val="16"/>
              </w:rPr>
            </w:pPr>
            <w:r>
              <w:rPr>
                <w:rFonts w:cs="Calibri"/>
                <w:sz w:val="16"/>
                <w:szCs w:val="16"/>
              </w:rPr>
              <w:t>M</w:t>
            </w:r>
          </w:p>
        </w:tc>
      </w:tr>
      <w:tr w:rsidR="00B97365" w14:paraId="191AF94A"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99C0956" w14:textId="77777777" w:rsidR="00B97365" w:rsidRDefault="00000000">
            <w:pPr>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221F18A3" w14:textId="77777777" w:rsidR="00B97365" w:rsidRDefault="00000000">
            <w:pPr>
              <w:rPr>
                <w:rFonts w:cs="Calibri"/>
                <w:sz w:val="16"/>
                <w:szCs w:val="16"/>
              </w:rPr>
            </w:pPr>
            <w:r>
              <w:rPr>
                <w:rFonts w:cs="Calibri"/>
                <w:sz w:val="16"/>
                <w:szCs w:val="16"/>
              </w:rPr>
              <w:t>Indication of the date/time when the operation has been performed.</w:t>
            </w:r>
          </w:p>
          <w:p w14:paraId="1E00EA60" w14:textId="0E61CF94"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242C3174" w14:textId="77777777" w:rsidR="00B97365" w:rsidRDefault="00000000">
            <w:pPr>
              <w:jc w:val="center"/>
              <w:rPr>
                <w:rFonts w:cs="Calibri"/>
                <w:sz w:val="16"/>
                <w:szCs w:val="16"/>
              </w:rPr>
            </w:pPr>
            <w:r>
              <w:rPr>
                <w:rFonts w:cs="Calibri"/>
                <w:sz w:val="16"/>
                <w:szCs w:val="16"/>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4E71FB0B" w14:textId="77777777" w:rsidR="00B97365" w:rsidRDefault="00000000">
            <w:pPr>
              <w:jc w:val="center"/>
              <w:rPr>
                <w:rFonts w:cs="Calibri"/>
                <w:sz w:val="16"/>
                <w:szCs w:val="16"/>
              </w:rPr>
            </w:pPr>
            <w:r>
              <w:rPr>
                <w:rFonts w:cs="Calibri"/>
                <w:sz w:val="16"/>
                <w:szCs w:val="16"/>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5B8AEEA" w14:textId="77777777" w:rsidR="00B97365" w:rsidRDefault="00000000">
            <w:pPr>
              <w:jc w:val="center"/>
              <w:rPr>
                <w:rFonts w:cs="Calibri"/>
                <w:sz w:val="16"/>
                <w:szCs w:val="16"/>
              </w:rPr>
            </w:pPr>
            <w:r>
              <w:rPr>
                <w:rFonts w:cs="Calibri"/>
                <w:sz w:val="16"/>
                <w:szCs w:val="16"/>
              </w:rPr>
              <w:t>M</w:t>
            </w:r>
          </w:p>
        </w:tc>
      </w:tr>
    </w:tbl>
    <w:p w14:paraId="3ADA3ACA"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5515: Handle Policy Rules Updated Notification Additional Input Data</w:t>
      </w:r>
    </w:p>
    <w:p w14:paraId="610E25FB"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08" w:name="_Toc1977422"/>
      <w:bookmarkStart w:id="5509" w:name="_Toc37062581"/>
      <w:bookmarkStart w:id="5510" w:name="_Toc88839655"/>
      <w:bookmarkStart w:id="5511" w:name="_Toc121504063"/>
      <w:r>
        <w:rPr>
          <w:rFonts w:eastAsia="Times New Roman" w:cs="Arial"/>
          <w:b/>
          <w:bCs/>
          <w:iCs/>
          <w:sz w:val="24"/>
          <w:szCs w:val="26"/>
          <w:lang w:eastAsia="en-US"/>
        </w:rPr>
        <w:lastRenderedPageBreak/>
        <w:t>Notify a PLMA Setting</w:t>
      </w:r>
      <w:bookmarkEnd w:id="5508"/>
      <w:bookmarkEnd w:id="5509"/>
      <w:bookmarkEnd w:id="5510"/>
      <w:bookmarkEnd w:id="5511"/>
    </w:p>
    <w:p w14:paraId="76D3FCC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HandleSetPLMANotification</w:t>
      </w:r>
    </w:p>
    <w:p w14:paraId="3D953C0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Set Profile Lifecycle Management Authorisation, </w:t>
      </w:r>
      <w:r>
        <w:t>Set Profile Lifecycle Management Authorisation via SM-DP</w:t>
      </w:r>
    </w:p>
    <w:p w14:paraId="212CBB6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4C1D1BC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M2M SP</w:t>
      </w:r>
    </w:p>
    <w:p w14:paraId="13BE98B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SHALL be called to notify an M2M SP that a PLMA concerning this M2M SP has been set or updated.</w:t>
      </w:r>
    </w:p>
    <w:p w14:paraId="11F4DFD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of multiple handlers are served the SM-SR SHOULD ensure ‘completionTimestamp’ to be equal for every message.</w:t>
      </w:r>
    </w:p>
    <w:p w14:paraId="7A3C52F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M2M SP receiving this notification is out of scope of this specification.</w:t>
      </w:r>
    </w:p>
    <w:p w14:paraId="77486E80"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610210B3"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0C42680"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005DC08"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BD70F73"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4788205"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E20F273"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63F1E9E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7478496" w14:textId="77777777" w:rsidR="00B97365" w:rsidRDefault="00000000">
            <w:pPr>
              <w:rPr>
                <w:rFonts w:cs="Calibri"/>
                <w:sz w:val="16"/>
                <w:szCs w:val="16"/>
              </w:rPr>
            </w:pPr>
            <w:r>
              <w:rPr>
                <w:rFonts w:cs="Calibri"/>
                <w:sz w:val="16"/>
                <w:szCs w:val="16"/>
              </w:rPr>
              <w:t>plma</w:t>
            </w:r>
          </w:p>
        </w:tc>
        <w:tc>
          <w:tcPr>
            <w:tcW w:w="0" w:type="auto"/>
            <w:tcBorders>
              <w:top w:val="single" w:sz="6" w:space="0" w:color="auto"/>
              <w:left w:val="single" w:sz="6" w:space="0" w:color="auto"/>
              <w:bottom w:val="single" w:sz="6" w:space="0" w:color="auto"/>
              <w:right w:val="single" w:sz="6" w:space="0" w:color="auto"/>
            </w:tcBorders>
            <w:vAlign w:val="center"/>
            <w:hideMark/>
          </w:tcPr>
          <w:p w14:paraId="7DB634FF" w14:textId="77777777" w:rsidR="00B97365" w:rsidRDefault="00000000">
            <w:pPr>
              <w:rPr>
                <w:rFonts w:cs="Calibri"/>
                <w:sz w:val="16"/>
                <w:szCs w:val="16"/>
              </w:rPr>
            </w:pPr>
            <w:r>
              <w:rPr>
                <w:rFonts w:cs="Calibri"/>
                <w:sz w:val="16"/>
                <w:szCs w:val="16"/>
              </w:rPr>
              <w:t>The specification of the PLMA that now applies on a Profile Type. Information about the Profile Type are contained in the PLMA structure</w:t>
            </w:r>
          </w:p>
          <w:p w14:paraId="521C17EB" w14:textId="77777777" w:rsidR="00B97365" w:rsidRDefault="00000000">
            <w:pPr>
              <w:rPr>
                <w:rFonts w:cs="Calibri"/>
                <w:sz w:val="16"/>
                <w:szCs w:val="16"/>
              </w:rPr>
            </w:pPr>
            <w:r>
              <w:rPr>
                <w:rFonts w:cs="Calibri"/>
                <w:sz w:val="16"/>
                <w:szCs w:val="16"/>
              </w:rPr>
              <w:t xml:space="preserve">See </w:t>
            </w:r>
            <w:r>
              <w:rPr>
                <w:rFonts w:cs="Calibri"/>
                <w:sz w:val="16"/>
                <w:szCs w:val="16"/>
                <w:lang w:val="en-US"/>
              </w:rPr>
              <w:t>section 5.1.1.2.14 for type</w:t>
            </w:r>
            <w:r>
              <w:rPr>
                <w:rFonts w:cs="Calibri"/>
                <w:sz w:val="16"/>
                <w:szCs w:val="16"/>
              </w:rPr>
              <w:t xml:space="preserv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ACE60D3"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PLMA</w:t>
            </w:r>
          </w:p>
        </w:tc>
        <w:tc>
          <w:tcPr>
            <w:tcW w:w="0" w:type="auto"/>
            <w:tcBorders>
              <w:top w:val="single" w:sz="6" w:space="0" w:color="auto"/>
              <w:left w:val="single" w:sz="6" w:space="0" w:color="auto"/>
              <w:bottom w:val="single" w:sz="6" w:space="0" w:color="auto"/>
              <w:right w:val="single" w:sz="6" w:space="0" w:color="auto"/>
            </w:tcBorders>
            <w:vAlign w:val="center"/>
            <w:hideMark/>
          </w:tcPr>
          <w:p w14:paraId="7A6538F1"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84681E5"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r w:rsidR="00B97365" w14:paraId="3146233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2A76091" w14:textId="77777777" w:rsidR="00B97365" w:rsidRDefault="00000000">
            <w:pPr>
              <w:rPr>
                <w:rFonts w:cs="Calibri"/>
                <w:sz w:val="16"/>
                <w:szCs w:val="16"/>
              </w:rPr>
            </w:pPr>
            <w:r>
              <w:rPr>
                <w:rFonts w:cs="Calibri"/>
                <w:sz w:val="16"/>
                <w:szCs w:val="16"/>
              </w:rPr>
              <w:t>completionTimestamp</w:t>
            </w:r>
          </w:p>
        </w:tc>
        <w:tc>
          <w:tcPr>
            <w:tcW w:w="0" w:type="auto"/>
            <w:tcBorders>
              <w:top w:val="single" w:sz="6" w:space="0" w:color="auto"/>
              <w:left w:val="single" w:sz="6" w:space="0" w:color="auto"/>
              <w:bottom w:val="single" w:sz="6" w:space="0" w:color="auto"/>
              <w:right w:val="single" w:sz="6" w:space="0" w:color="auto"/>
            </w:tcBorders>
            <w:vAlign w:val="center"/>
          </w:tcPr>
          <w:p w14:paraId="7A307B1B" w14:textId="77777777" w:rsidR="00B97365" w:rsidRDefault="00000000">
            <w:pPr>
              <w:rPr>
                <w:rFonts w:cs="Calibri"/>
                <w:sz w:val="16"/>
                <w:szCs w:val="16"/>
              </w:rPr>
            </w:pPr>
            <w:r>
              <w:rPr>
                <w:rFonts w:cs="Calibri"/>
                <w:sz w:val="16"/>
                <w:szCs w:val="16"/>
              </w:rPr>
              <w:t>Indication of the date/time when the operation has been performed.</w:t>
            </w:r>
          </w:p>
          <w:p w14:paraId="30EFB23F" w14:textId="151CC7D4" w:rsidR="00B97365" w:rsidRDefault="00000000">
            <w:pPr>
              <w:rPr>
                <w:rFonts w:cs="Calibri"/>
                <w:sz w:val="16"/>
                <w:szCs w:val="16"/>
              </w:rPr>
            </w:pPr>
            <w:r>
              <w:rPr>
                <w:rFonts w:cs="Calibri"/>
                <w:sz w:val="16"/>
                <w:szCs w:val="16"/>
              </w:rPr>
              <w:t xml:space="preserve">See </w:t>
            </w:r>
            <w:r>
              <w:rPr>
                <w:rFonts w:cs="Calibri"/>
                <w:sz w:val="16"/>
                <w:szCs w:val="16"/>
                <w:lang w:val="en-US"/>
              </w:rPr>
              <w:t xml:space="preserve">section </w:t>
            </w:r>
            <w:r>
              <w:fldChar w:fldCharType="begin"/>
            </w:r>
            <w:r>
              <w:instrText xml:space="preserve"> REF _Ref367975485 \r \h  \* MERGEFORMAT </w:instrText>
            </w:r>
            <w:r>
              <w:fldChar w:fldCharType="separate"/>
            </w:r>
            <w:r w:rsidR="001D5AD9" w:rsidRPr="001D5AD9">
              <w:rPr>
                <w:rFonts w:cs="Calibri"/>
                <w:sz w:val="16"/>
                <w:szCs w:val="16"/>
              </w:rPr>
              <w:t>5.1.1.1</w:t>
            </w:r>
            <w: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tcPr>
          <w:p w14:paraId="7695E30A"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DATETIME</w:t>
            </w:r>
          </w:p>
        </w:tc>
        <w:tc>
          <w:tcPr>
            <w:tcW w:w="0" w:type="auto"/>
            <w:tcBorders>
              <w:top w:val="single" w:sz="6" w:space="0" w:color="auto"/>
              <w:left w:val="single" w:sz="6" w:space="0" w:color="auto"/>
              <w:bottom w:val="single" w:sz="6" w:space="0" w:color="auto"/>
              <w:right w:val="single" w:sz="6" w:space="0" w:color="auto"/>
            </w:tcBorders>
            <w:vAlign w:val="center"/>
          </w:tcPr>
          <w:p w14:paraId="6F33F3C3"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1</w:t>
            </w:r>
          </w:p>
        </w:tc>
        <w:tc>
          <w:tcPr>
            <w:tcW w:w="0" w:type="auto"/>
            <w:tcBorders>
              <w:top w:val="single" w:sz="6" w:space="0" w:color="auto"/>
              <w:left w:val="single" w:sz="6" w:space="0" w:color="auto"/>
              <w:bottom w:val="single" w:sz="6" w:space="0" w:color="auto"/>
              <w:right w:val="single" w:sz="4" w:space="0" w:color="auto"/>
            </w:tcBorders>
            <w:vAlign w:val="center"/>
          </w:tcPr>
          <w:p w14:paraId="371B66DE" w14:textId="77777777" w:rsidR="00B97365" w:rsidRDefault="00000000">
            <w:pPr>
              <w:spacing w:before="140" w:after="120" w:line="260" w:lineRule="atLeast"/>
              <w:ind w:left="1531" w:hanging="1531"/>
              <w:jc w:val="center"/>
              <w:outlineLvl w:val="8"/>
              <w:rPr>
                <w:rFonts w:cs="Calibri"/>
                <w:sz w:val="16"/>
                <w:szCs w:val="16"/>
              </w:rPr>
            </w:pPr>
            <w:r>
              <w:rPr>
                <w:rFonts w:cs="Calibri"/>
                <w:sz w:val="16"/>
                <w:szCs w:val="16"/>
              </w:rPr>
              <w:t>M</w:t>
            </w:r>
          </w:p>
        </w:tc>
      </w:tr>
    </w:tbl>
    <w:p w14:paraId="6AC1191E"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5516-A: Handle PLMA Changed Notification Additional Input Data</w:t>
      </w:r>
    </w:p>
    <w:p w14:paraId="0CED7994"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12" w:name="_Ref536547832"/>
      <w:bookmarkStart w:id="5513" w:name="_Toc1977423"/>
      <w:bookmarkStart w:id="5514" w:name="_Toc37062582"/>
      <w:bookmarkStart w:id="5515" w:name="_Toc88839656"/>
      <w:bookmarkStart w:id="5516" w:name="_Toc121504064"/>
      <w:r>
        <w:rPr>
          <w:rFonts w:eastAsia="Times New Roman" w:cs="Arial"/>
          <w:b/>
          <w:bCs/>
          <w:iCs/>
          <w:sz w:val="24"/>
          <w:szCs w:val="26"/>
          <w:lang w:eastAsia="en-US"/>
        </w:rPr>
        <w:t>Retrieving Authorisations of M2M SP to Access Profiles</w:t>
      </w:r>
      <w:bookmarkEnd w:id="5512"/>
      <w:bookmarkEnd w:id="5513"/>
      <w:bookmarkEnd w:id="5514"/>
      <w:bookmarkEnd w:id="5515"/>
      <w:bookmarkEnd w:id="5516"/>
    </w:p>
    <w:p w14:paraId="0D5DE8E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GetPLMA</w:t>
      </w:r>
    </w:p>
    <w:p w14:paraId="66BC99FE" w14:textId="77777777" w:rsidR="00B97365" w:rsidRDefault="00000000">
      <w:pPr>
        <w:spacing w:before="0" w:after="200" w:line="276" w:lineRule="auto"/>
        <w:jc w:val="left"/>
        <w:rPr>
          <w:szCs w:val="22"/>
          <w:lang w:eastAsia="en-GB" w:bidi="ar-SA"/>
        </w:rPr>
      </w:pPr>
      <w:r>
        <w:rPr>
          <w:rFonts w:cs="Arial"/>
          <w:b/>
          <w:szCs w:val="22"/>
          <w:lang w:val="en-US" w:eastAsia="en-GB" w:bidi="ar-SA"/>
        </w:rPr>
        <w:t>Related Procedures</w:t>
      </w:r>
      <w:r>
        <w:rPr>
          <w:szCs w:val="22"/>
          <w:lang w:val="en-US" w:eastAsia="en-GB" w:bidi="ar-SA"/>
        </w:rPr>
        <w:t>: Retrieve Profile Lifecycle Management Authorisation by Operator, Retrieve Profile Lifecycle Management Authorisation by M2M SP</w:t>
      </w:r>
    </w:p>
    <w:p w14:paraId="6C6C885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1AB6DD4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7454A44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6E2EC7F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Operator owner of Profiles to retrieve the list of PLMAs applicable to a certain Profile, or a certain Profile Type, or for a certain M2M SP.</w:t>
      </w:r>
    </w:p>
    <w:p w14:paraId="13BAA4A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same function can also be used by the M2M SP to retrieve the list of PLMAs granted to this M2M SP, and applicable to a certain Profile, or a certain Profile Type.</w:t>
      </w:r>
    </w:p>
    <w:p w14:paraId="7A4B649E" w14:textId="77777777" w:rsidR="00B97365" w:rsidRDefault="00000000">
      <w:pPr>
        <w:spacing w:before="0" w:after="200" w:line="276" w:lineRule="auto"/>
        <w:jc w:val="left"/>
        <w:rPr>
          <w:szCs w:val="22"/>
          <w:lang w:val="en-US" w:eastAsia="en-GB" w:bidi="ar-SA"/>
        </w:rPr>
      </w:pPr>
      <w:r>
        <w:rPr>
          <w:rFonts w:cs="Arial"/>
          <w:szCs w:val="22"/>
          <w:lang w:val="en-US" w:eastAsia="en-GB" w:bidi="ar-SA"/>
        </w:rPr>
        <w:t>The SM-SR receiving this request SHALL verify the requester is allowed to retrieve such information, and return the list of all PLMAs applicable to the specified search criterion</w:t>
      </w:r>
      <w:r>
        <w:rPr>
          <w:szCs w:val="22"/>
          <w:lang w:val="en-US" w:eastAsia="en-GB" w:bidi="ar-SA"/>
        </w:rPr>
        <w:t>:</w:t>
      </w:r>
    </w:p>
    <w:p w14:paraId="39600C51" w14:textId="77777777" w:rsidR="00B97365" w:rsidRDefault="00000000">
      <w:pPr>
        <w:numPr>
          <w:ilvl w:val="0"/>
          <w:numId w:val="69"/>
        </w:numPr>
        <w:spacing w:before="0" w:after="200" w:line="276" w:lineRule="auto"/>
        <w:contextualSpacing/>
        <w:jc w:val="left"/>
        <w:rPr>
          <w:szCs w:val="22"/>
          <w:lang w:val="en-US" w:eastAsia="en-GB" w:bidi="ar-SA"/>
        </w:rPr>
      </w:pPr>
      <w:r>
        <w:rPr>
          <w:szCs w:val="22"/>
          <w:lang w:val="en-US" w:eastAsia="en-GB" w:bidi="ar-SA"/>
        </w:rPr>
        <w:lastRenderedPageBreak/>
        <w:t>If the requester is the owner of the targeted Profiles, the authorisation is implied.</w:t>
      </w:r>
    </w:p>
    <w:p w14:paraId="34C55046" w14:textId="77777777" w:rsidR="00B97365" w:rsidRDefault="00000000">
      <w:pPr>
        <w:numPr>
          <w:ilvl w:val="0"/>
          <w:numId w:val="69"/>
        </w:numPr>
        <w:spacing w:before="0" w:after="200" w:line="276" w:lineRule="auto"/>
        <w:contextualSpacing/>
        <w:jc w:val="left"/>
        <w:rPr>
          <w:szCs w:val="22"/>
          <w:lang w:val="en-US" w:eastAsia="en-GB" w:bidi="ar-SA"/>
        </w:rPr>
      </w:pPr>
      <w:r>
        <w:rPr>
          <w:szCs w:val="22"/>
          <w:lang w:val="en-US" w:eastAsia="en-GB" w:bidi="ar-SA"/>
        </w:rPr>
        <w:t>If the requester is an M2M SP (including, another Operator that is not the owner of the targeted Profiles), the list of PLMAs is only returned if at least a PLMA exist for this M2M SP and for the targeted Profile or Profile Type</w:t>
      </w:r>
    </w:p>
    <w:p w14:paraId="10A566E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this verification fails, the SM-SR SHALL terminate the request and return a response with the ‘Function execution status’ indicating ‘Failed’, and no PLMA.</w:t>
      </w:r>
    </w:p>
    <w:p w14:paraId="3469346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Otherwise, the SM-SR SHALL return the complete list of all PLMAs applicable to the specified search criterion; if the search criterion is on a specific Profile or Profile Type, this includes even PLMAs that are granted to an M2M SP that is not the function requester.</w:t>
      </w:r>
    </w:p>
    <w:p w14:paraId="430B819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case the list of PLMAs is very long, the SM-SR MAY truncate the result. The caller can then issue another call to getPLMA with more restrictive criteria.</w:t>
      </w:r>
    </w:p>
    <w:p w14:paraId="2B7796E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NOTE</w:t>
      </w:r>
      <w:r>
        <w:rPr>
          <w:rFonts w:cs="Arial"/>
          <w:szCs w:val="22"/>
          <w:lang w:val="en-US" w:eastAsia="en-GB" w:bidi="ar-SA"/>
        </w:rPr>
        <w:tab/>
        <w:t>The order of the PLMAs returned in the truncated list is implementation-dependent.</w:t>
      </w:r>
    </w:p>
    <w:p w14:paraId="25E62C3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0A39ED5B"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and additional output data providing the PLMAs.</w:t>
      </w:r>
    </w:p>
    <w:p w14:paraId="6B536D36"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to indicate that the result was truncated, plus additional output data providing part of the list of applicable PLMAs.</w:t>
      </w:r>
    </w:p>
    <w:p w14:paraId="7A919072"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indicating ‘Failed’ if the requester was not allowed to request this information.</w:t>
      </w:r>
    </w:p>
    <w:p w14:paraId="3D5F71E8" w14:textId="77777777" w:rsidR="00B97365" w:rsidRDefault="00B97365">
      <w:pPr>
        <w:spacing w:before="0" w:after="200" w:line="276" w:lineRule="auto"/>
        <w:jc w:val="left"/>
        <w:rPr>
          <w:rFonts w:cs="Arial"/>
          <w:b/>
          <w:i/>
          <w:szCs w:val="22"/>
          <w:lang w:eastAsia="en-GB" w:bidi="ar-SA"/>
        </w:rPr>
      </w:pPr>
    </w:p>
    <w:p w14:paraId="11A19AF0"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515"/>
        <w:gridCol w:w="5630"/>
        <w:gridCol w:w="590"/>
        <w:gridCol w:w="474"/>
        <w:gridCol w:w="590"/>
      </w:tblGrid>
      <w:tr w:rsidR="00B97365" w14:paraId="048B1D1E"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FC1B1DD"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4D172D5"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22F1F7C"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4D7A42C"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FC21ACD"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3186CFF"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67E8B813"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profileType</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5EAA93C" w14:textId="77777777" w:rsidR="00B97365" w:rsidRDefault="00000000">
            <w:pPr>
              <w:rPr>
                <w:rFonts w:cs="Calibri"/>
                <w:sz w:val="16"/>
                <w:szCs w:val="16"/>
                <w:lang w:val="en-US"/>
              </w:rPr>
            </w:pPr>
            <w:r>
              <w:rPr>
                <w:rFonts w:cs="Calibri"/>
                <w:sz w:val="16"/>
                <w:szCs w:val="16"/>
                <w:lang w:val="en-US"/>
              </w:rPr>
              <w:t>Identification of the Profile type for which PLMAs are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766B580F"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String</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0F1E1B8F"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1113E3D7"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50FB0E44"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1B1A4DD4"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m2m-sp-id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5B2873AA" w14:textId="77777777" w:rsidR="00B97365" w:rsidRDefault="00000000">
            <w:pPr>
              <w:rPr>
                <w:rFonts w:cs="Calibri"/>
                <w:sz w:val="16"/>
                <w:szCs w:val="16"/>
                <w:lang w:val="en-US"/>
              </w:rPr>
            </w:pPr>
            <w:r>
              <w:rPr>
                <w:rFonts w:cs="Calibri"/>
                <w:sz w:val="16"/>
                <w:szCs w:val="16"/>
                <w:lang w:val="en-US"/>
              </w:rPr>
              <w:t>Identification of the M2M SP for which PLMAs are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39EA1CB2"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55BADA1"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0920F8F2"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099586B3"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4A5F22F1"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iccid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3ECC4208" w14:textId="77777777" w:rsidR="00B97365" w:rsidRDefault="00000000">
            <w:pPr>
              <w:rPr>
                <w:rFonts w:cs="Calibri"/>
                <w:sz w:val="16"/>
                <w:szCs w:val="16"/>
                <w:lang w:val="en-US"/>
              </w:rPr>
            </w:pPr>
            <w:r>
              <w:rPr>
                <w:rFonts w:cs="Calibri"/>
                <w:sz w:val="16"/>
                <w:szCs w:val="16"/>
                <w:lang w:val="en-US"/>
              </w:rPr>
              <w:t>Identification of one specific Profile</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3D0DF583"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5B907CCD"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5110B8FC"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0A1164C4"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14:paraId="485D2AC3"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mno-id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93E5B59" w14:textId="77777777" w:rsidR="00B97365" w:rsidRDefault="00000000">
            <w:pPr>
              <w:rPr>
                <w:rFonts w:cs="Calibri"/>
                <w:sz w:val="16"/>
                <w:szCs w:val="16"/>
                <w:lang w:val="en-US"/>
              </w:rPr>
            </w:pPr>
            <w:r>
              <w:rPr>
                <w:rFonts w:cs="Calibri"/>
                <w:sz w:val="16"/>
                <w:szCs w:val="16"/>
                <w:lang w:val="en-US"/>
              </w:rPr>
              <w:t>Identification of the Operator owning the Profiles to be matched (this input datum SHALL be present only in case the search criterion is a Profile Type).</w:t>
            </w:r>
          </w:p>
          <w:p w14:paraId="28433D60" w14:textId="617A94D9" w:rsidR="00B97365" w:rsidRDefault="00000000">
            <w:pPr>
              <w:rPr>
                <w:rFonts w:cs="Calibri"/>
                <w:sz w:val="16"/>
                <w:szCs w:val="16"/>
                <w:lang w:val="en-US"/>
              </w:rPr>
            </w:pPr>
            <w:r>
              <w:rPr>
                <w:rFonts w:cs="Calibri"/>
                <w:sz w:val="16"/>
                <w:szCs w:val="16"/>
                <w:lang w:val="en-US"/>
              </w:rPr>
              <w:t xml:space="preserve">See section </w:t>
            </w:r>
            <w:r>
              <w:rPr>
                <w:rFonts w:cs="Calibri"/>
                <w:sz w:val="16"/>
                <w:szCs w:val="16"/>
                <w:lang w:val="en-US"/>
              </w:rPr>
              <w:fldChar w:fldCharType="begin"/>
            </w:r>
            <w:r>
              <w:rPr>
                <w:rFonts w:cs="Calibri"/>
                <w:sz w:val="16"/>
                <w:szCs w:val="16"/>
                <w:lang w:val="en-US"/>
              </w:rPr>
              <w:instrText xml:space="preserve"> REF _Ref367973980 \r \h  \* MERGEFORMAT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5.1.1.1</w:t>
            </w:r>
            <w:r>
              <w:rPr>
                <w:rFonts w:cs="Calibri"/>
                <w:sz w:val="16"/>
                <w:szCs w:val="16"/>
                <w:lang w:val="en-US"/>
              </w:rP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6964FC3"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F7EB50C"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14:paraId="7AF45297"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bl>
    <w:p w14:paraId="58537B0F" w14:textId="77777777" w:rsidR="00B97365" w:rsidRDefault="00000000">
      <w:pPr>
        <w:tabs>
          <w:tab w:val="left" w:pos="1009"/>
        </w:tabs>
        <w:spacing w:after="200" w:line="276" w:lineRule="auto"/>
        <w:jc w:val="center"/>
        <w:rPr>
          <w:rFonts w:cs="Arial"/>
          <w:lang w:eastAsia="de-DE" w:bidi="ar-SA"/>
        </w:rPr>
      </w:pPr>
      <w:r>
        <w:rPr>
          <w:rFonts w:cs="Arial"/>
          <w:b/>
          <w:lang w:eastAsia="de-DE" w:bidi="ar-SA"/>
        </w:rPr>
        <w:t>Table 5517-A: GetPLMA Additional Input Data</w:t>
      </w:r>
    </w:p>
    <w:p w14:paraId="15A4CFB6" w14:textId="77777777" w:rsidR="00B97365" w:rsidRDefault="00000000">
      <w:pPr>
        <w:spacing w:before="0" w:after="200" w:line="276" w:lineRule="auto"/>
        <w:jc w:val="left"/>
        <w:rPr>
          <w:rFonts w:cs="Arial"/>
          <w:b/>
          <w:i/>
          <w:szCs w:val="22"/>
          <w:lang w:val="en-US" w:eastAsia="en-GB" w:bidi="ar-SA"/>
        </w:rPr>
      </w:pPr>
      <w:r>
        <w:rPr>
          <w:rFonts w:cs="Arial"/>
          <w:szCs w:val="22"/>
          <w:lang w:val="en-US" w:eastAsia="en-GB" w:bidi="ar-SA"/>
        </w:rPr>
        <w:t xml:space="preserve">One and only one of the input data </w:t>
      </w:r>
      <w:r>
        <w:rPr>
          <w:rFonts w:cs="Calibri"/>
          <w:szCs w:val="22"/>
        </w:rPr>
        <w:t>profileType</w:t>
      </w:r>
      <w:r>
        <w:rPr>
          <w:rFonts w:cs="Arial"/>
          <w:szCs w:val="22"/>
          <w:lang w:val="en-US" w:eastAsia="en-GB" w:bidi="ar-SA"/>
        </w:rPr>
        <w:t xml:space="preserve">, </w:t>
      </w:r>
      <w:r>
        <w:rPr>
          <w:rFonts w:cs="Calibri"/>
          <w:szCs w:val="22"/>
          <w:lang w:val="en-US"/>
        </w:rPr>
        <w:t>m2m-sp-id</w:t>
      </w:r>
      <w:r>
        <w:rPr>
          <w:rFonts w:cs="Arial"/>
          <w:szCs w:val="22"/>
          <w:lang w:val="en-US" w:eastAsia="en-GB" w:bidi="ar-SA"/>
        </w:rPr>
        <w:t xml:space="preserve"> and </w:t>
      </w:r>
      <w:r>
        <w:rPr>
          <w:rFonts w:cs="Calibri"/>
          <w:szCs w:val="22"/>
          <w:lang w:val="en-US"/>
        </w:rPr>
        <w:t>iccid</w:t>
      </w:r>
      <w:r>
        <w:rPr>
          <w:rFonts w:cs="Arial"/>
          <w:szCs w:val="22"/>
          <w:lang w:val="en-US" w:eastAsia="en-GB" w:bidi="ar-SA"/>
        </w:rPr>
        <w:t xml:space="preserve"> SHALL be present.</w:t>
      </w:r>
    </w:p>
    <w:p w14:paraId="6EC123C0"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21"/>
        <w:gridCol w:w="3591"/>
        <w:gridCol w:w="576"/>
        <w:gridCol w:w="400"/>
        <w:gridCol w:w="525"/>
      </w:tblGrid>
      <w:tr w:rsidR="00B97365" w14:paraId="3EC44D4C"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2856428" w14:textId="77777777" w:rsidR="00B97365" w:rsidRDefault="00000000">
            <w:pPr>
              <w:jc w:val="center"/>
              <w:rPr>
                <w:rFonts w:cs="Calibri"/>
                <w:color w:val="FFFFFF"/>
                <w:sz w:val="16"/>
                <w:szCs w:val="16"/>
              </w:rPr>
            </w:pPr>
            <w:r>
              <w:rPr>
                <w:rFonts w:cs="Calibri"/>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25FF91E" w14:textId="77777777" w:rsidR="00B97365" w:rsidRDefault="00000000">
            <w:pPr>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6E4E2A5"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5D7B041"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E917F0F"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MOC</w:t>
            </w:r>
          </w:p>
        </w:tc>
      </w:tr>
      <w:tr w:rsidR="00B97365" w14:paraId="79171ECC"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BD63734" w14:textId="77777777" w:rsidR="00B97365" w:rsidRDefault="00000000">
            <w:pPr>
              <w:tabs>
                <w:tab w:val="right" w:pos="7938"/>
              </w:tabs>
              <w:ind w:left="470" w:hanging="459"/>
              <w:rPr>
                <w:rFonts w:cs="Calibri"/>
                <w:sz w:val="16"/>
                <w:szCs w:val="16"/>
              </w:rPr>
            </w:pPr>
            <w:r>
              <w:rPr>
                <w:rFonts w:cs="Calibri"/>
                <w:sz w:val="16"/>
                <w:szCs w:val="16"/>
              </w:rPr>
              <w:t>plma</w:t>
            </w:r>
          </w:p>
        </w:tc>
        <w:tc>
          <w:tcPr>
            <w:tcW w:w="0" w:type="auto"/>
            <w:tcBorders>
              <w:top w:val="single" w:sz="6" w:space="0" w:color="auto"/>
              <w:left w:val="single" w:sz="6" w:space="0" w:color="auto"/>
              <w:bottom w:val="single" w:sz="4" w:space="0" w:color="auto"/>
              <w:right w:val="single" w:sz="6" w:space="0" w:color="auto"/>
            </w:tcBorders>
            <w:vAlign w:val="center"/>
            <w:hideMark/>
          </w:tcPr>
          <w:p w14:paraId="34106A28" w14:textId="77777777" w:rsidR="00B97365" w:rsidRDefault="00000000">
            <w:pPr>
              <w:rPr>
                <w:rFonts w:cs="Calibri"/>
                <w:sz w:val="16"/>
                <w:szCs w:val="16"/>
              </w:rPr>
            </w:pPr>
            <w:r>
              <w:rPr>
                <w:rFonts w:cs="Calibri"/>
                <w:sz w:val="16"/>
                <w:szCs w:val="16"/>
              </w:rPr>
              <w:t xml:space="preserve">The list of PLMAs that match the search criterion </w:t>
            </w:r>
          </w:p>
          <w:p w14:paraId="74C55712" w14:textId="77777777" w:rsidR="00B97365" w:rsidRDefault="00000000">
            <w:pPr>
              <w:rPr>
                <w:rFonts w:cs="Calibri"/>
                <w:sz w:val="16"/>
                <w:szCs w:val="16"/>
              </w:rPr>
            </w:pPr>
            <w:r>
              <w:rPr>
                <w:rFonts w:cs="Calibri"/>
                <w:sz w:val="16"/>
                <w:szCs w:val="16"/>
              </w:rPr>
              <w:t xml:space="preserve">See </w:t>
            </w:r>
            <w:r>
              <w:rPr>
                <w:rFonts w:cs="Calibri"/>
                <w:sz w:val="16"/>
                <w:szCs w:val="16"/>
                <w:lang w:val="en-US"/>
              </w:rPr>
              <w:t>section 5.1.1.2.14</w:t>
            </w:r>
            <w:r>
              <w:t xml:space="preserve"> </w:t>
            </w:r>
            <w:r>
              <w:rPr>
                <w:rFonts w:cs="Calibri"/>
                <w:sz w:val="16"/>
                <w:szCs w:val="16"/>
              </w:rPr>
              <w:t>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51AA45E0" w14:textId="77777777" w:rsidR="00B97365" w:rsidRDefault="00000000">
            <w:pPr>
              <w:jc w:val="center"/>
              <w:rPr>
                <w:rFonts w:cs="Calibri"/>
                <w:sz w:val="16"/>
                <w:szCs w:val="16"/>
              </w:rPr>
            </w:pPr>
            <w:r>
              <w:rPr>
                <w:rFonts w:cs="Calibri"/>
                <w:sz w:val="16"/>
                <w:szCs w:val="16"/>
              </w:rPr>
              <w:t>PLMA</w:t>
            </w:r>
          </w:p>
        </w:tc>
        <w:tc>
          <w:tcPr>
            <w:tcW w:w="0" w:type="auto"/>
            <w:tcBorders>
              <w:top w:val="single" w:sz="6" w:space="0" w:color="auto"/>
              <w:left w:val="single" w:sz="6" w:space="0" w:color="auto"/>
              <w:bottom w:val="single" w:sz="4" w:space="0" w:color="auto"/>
              <w:right w:val="single" w:sz="6" w:space="0" w:color="auto"/>
            </w:tcBorders>
            <w:vAlign w:val="center"/>
            <w:hideMark/>
          </w:tcPr>
          <w:p w14:paraId="0C47716E" w14:textId="77777777" w:rsidR="00B97365" w:rsidRDefault="00000000">
            <w:pPr>
              <w:jc w:val="center"/>
              <w:rPr>
                <w:rFonts w:cs="Calibri"/>
                <w:sz w:val="16"/>
                <w:szCs w:val="16"/>
              </w:rPr>
            </w:pPr>
            <w:r>
              <w:rPr>
                <w:rFonts w:cs="Calibri"/>
                <w:sz w:val="16"/>
                <w:szCs w:val="16"/>
              </w:rPr>
              <w:t>N</w:t>
            </w:r>
          </w:p>
        </w:tc>
        <w:tc>
          <w:tcPr>
            <w:tcW w:w="0" w:type="auto"/>
            <w:tcBorders>
              <w:top w:val="single" w:sz="6" w:space="0" w:color="auto"/>
              <w:left w:val="single" w:sz="6" w:space="0" w:color="auto"/>
              <w:bottom w:val="single" w:sz="4" w:space="0" w:color="auto"/>
              <w:right w:val="single" w:sz="4" w:space="0" w:color="auto"/>
            </w:tcBorders>
            <w:vAlign w:val="center"/>
            <w:hideMark/>
          </w:tcPr>
          <w:p w14:paraId="2BD72E47" w14:textId="77777777" w:rsidR="00B97365" w:rsidRDefault="00000000">
            <w:pPr>
              <w:jc w:val="center"/>
              <w:rPr>
                <w:rFonts w:cs="Calibri"/>
                <w:sz w:val="16"/>
                <w:szCs w:val="16"/>
              </w:rPr>
            </w:pPr>
            <w:r>
              <w:rPr>
                <w:rFonts w:cs="Calibri"/>
                <w:sz w:val="16"/>
                <w:szCs w:val="16"/>
              </w:rPr>
              <w:t>M</w:t>
            </w:r>
          </w:p>
        </w:tc>
      </w:tr>
    </w:tbl>
    <w:p w14:paraId="0705837B" w14:textId="77777777" w:rsidR="00B97365" w:rsidRDefault="00000000">
      <w:pPr>
        <w:tabs>
          <w:tab w:val="left" w:pos="1009"/>
        </w:tabs>
        <w:spacing w:after="200" w:line="276" w:lineRule="auto"/>
        <w:ind w:left="360"/>
        <w:jc w:val="center"/>
        <w:rPr>
          <w:rFonts w:cs="Arial"/>
          <w:lang w:eastAsia="de-DE" w:bidi="ar-SA"/>
        </w:rPr>
      </w:pPr>
      <w:r>
        <w:rPr>
          <w:rFonts w:cs="Arial"/>
          <w:b/>
          <w:lang w:eastAsia="de-DE" w:bidi="ar-SA"/>
        </w:rPr>
        <w:t>Table 5517-B: RetrievePLMA Additional Output Data</w:t>
      </w:r>
    </w:p>
    <w:p w14:paraId="7991B376"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lastRenderedPageBreak/>
        <w:t>Specific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998"/>
        <w:gridCol w:w="718"/>
        <w:gridCol w:w="1429"/>
        <w:gridCol w:w="5153"/>
      </w:tblGrid>
      <w:tr w:rsidR="00B97365" w14:paraId="67C116E2"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59EB565" w14:textId="77777777" w:rsidR="00B97365" w:rsidRDefault="00000000">
            <w:pPr>
              <w:jc w:val="center"/>
              <w:rPr>
                <w:rFonts w:cs="Calibri"/>
                <w:b/>
                <w:color w:val="FFFFFF"/>
                <w:sz w:val="16"/>
                <w:szCs w:val="16"/>
              </w:rPr>
            </w:pPr>
            <w:r>
              <w:rPr>
                <w:rFonts w:cs="Calibri"/>
                <w:b/>
                <w:color w:val="FFFFFF"/>
                <w:sz w:val="16"/>
                <w:szCs w:val="16"/>
              </w:rPr>
              <w:t>Subject</w:t>
            </w:r>
          </w:p>
          <w:p w14:paraId="14A1C387"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CD6D1BC"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838DBE8" w14:textId="77777777" w:rsidR="00B97365" w:rsidRDefault="00000000">
            <w:pPr>
              <w:jc w:val="center"/>
              <w:rPr>
                <w:rFonts w:cs="Calibri"/>
                <w:b/>
                <w:color w:val="FFFFFF"/>
                <w:sz w:val="16"/>
                <w:szCs w:val="16"/>
              </w:rPr>
            </w:pPr>
            <w:r>
              <w:rPr>
                <w:rFonts w:cs="Calibri"/>
                <w:b/>
                <w:color w:val="FFFFFF"/>
                <w:sz w:val="16"/>
                <w:szCs w:val="16"/>
              </w:rPr>
              <w:t>Reason</w:t>
            </w:r>
          </w:p>
          <w:p w14:paraId="38593F7A"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2E5103F"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8AD346D"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27AFC57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597BB68" w14:textId="77777777" w:rsidR="00B97365" w:rsidRDefault="00000000">
            <w:pPr>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tcPr>
          <w:p w14:paraId="58FD86C8" w14:textId="77777777" w:rsidR="00B97365" w:rsidRDefault="00000000">
            <w:pPr>
              <w:rPr>
                <w:rFonts w:cs="Calibri"/>
                <w:sz w:val="16"/>
                <w:szCs w:val="16"/>
                <w:lang w:val="en-US"/>
              </w:rPr>
            </w:pPr>
            <w:r>
              <w:rPr>
                <w:rFonts w:cs="Calibri"/>
                <w:sz w:val="16"/>
                <w:szCs w:val="16"/>
                <w:lang w:val="en-US"/>
              </w:rPr>
              <w:t>Function requester</w:t>
            </w:r>
          </w:p>
        </w:tc>
        <w:tc>
          <w:tcPr>
            <w:tcW w:w="0" w:type="auto"/>
            <w:tcBorders>
              <w:top w:val="single" w:sz="6" w:space="0" w:color="auto"/>
              <w:left w:val="single" w:sz="6" w:space="0" w:color="auto"/>
              <w:bottom w:val="single" w:sz="6" w:space="0" w:color="auto"/>
              <w:right w:val="single" w:sz="6" w:space="0" w:color="auto"/>
            </w:tcBorders>
            <w:vAlign w:val="center"/>
          </w:tcPr>
          <w:p w14:paraId="11288631"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6" w:space="0" w:color="auto"/>
              <w:right w:val="single" w:sz="6" w:space="0" w:color="auto"/>
            </w:tcBorders>
            <w:vAlign w:val="center"/>
          </w:tcPr>
          <w:p w14:paraId="5AB0CFFA" w14:textId="77777777" w:rsidR="00B97365" w:rsidRDefault="00000000">
            <w:pPr>
              <w:jc w:val="left"/>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tcPr>
          <w:p w14:paraId="4C27A347" w14:textId="77777777" w:rsidR="00B97365" w:rsidRDefault="00000000">
            <w:pPr>
              <w:rPr>
                <w:rFonts w:cs="Calibri"/>
                <w:sz w:val="16"/>
                <w:szCs w:val="16"/>
                <w:lang w:val="en-US"/>
              </w:rPr>
            </w:pPr>
            <w:r>
              <w:rPr>
                <w:rFonts w:cs="Calibri"/>
                <w:sz w:val="16"/>
                <w:szCs w:val="16"/>
                <w:lang w:val="en-US"/>
              </w:rPr>
              <w:t>Indicates that the Operator or M2M SP which called this function is not doesn’t have a PLMA granted that applies to the targeted Profile or Profile type (including, if the targeted Profile or Profile type is unknown to this SM-SR)</w:t>
            </w:r>
          </w:p>
        </w:tc>
      </w:tr>
      <w:tr w:rsidR="00B97365" w14:paraId="6C262ED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D383F6D" w14:textId="77777777" w:rsidR="00B97365" w:rsidRDefault="00000000">
            <w:pPr>
              <w:jc w:val="center"/>
              <w:rPr>
                <w:rFonts w:cs="Calibri"/>
                <w:sz w:val="16"/>
                <w:szCs w:val="16"/>
              </w:rPr>
            </w:pPr>
            <w:r>
              <w:rPr>
                <w:rFonts w:cs="Calibri"/>
                <w:sz w:val="16"/>
                <w:szCs w:val="16"/>
              </w:rPr>
              <w:t>8.9</w:t>
            </w:r>
          </w:p>
        </w:tc>
        <w:tc>
          <w:tcPr>
            <w:tcW w:w="0" w:type="auto"/>
            <w:tcBorders>
              <w:top w:val="single" w:sz="6" w:space="0" w:color="auto"/>
              <w:left w:val="single" w:sz="6" w:space="0" w:color="auto"/>
              <w:bottom w:val="single" w:sz="6" w:space="0" w:color="auto"/>
              <w:right w:val="single" w:sz="6" w:space="0" w:color="auto"/>
            </w:tcBorders>
            <w:vAlign w:val="center"/>
          </w:tcPr>
          <w:p w14:paraId="11E60B79" w14:textId="77777777" w:rsidR="00B97365" w:rsidRDefault="00000000">
            <w:pPr>
              <w:rPr>
                <w:rFonts w:cs="Calibri"/>
                <w:sz w:val="16"/>
                <w:szCs w:val="16"/>
                <w:lang w:val="en-US"/>
              </w:rPr>
            </w:pPr>
            <w:r>
              <w:rPr>
                <w:rFonts w:cs="Calibri"/>
                <w:sz w:val="16"/>
                <w:szCs w:val="16"/>
                <w:lang w:val="en-US"/>
              </w:rPr>
              <w:t>M2M SP</w:t>
            </w:r>
          </w:p>
        </w:tc>
        <w:tc>
          <w:tcPr>
            <w:tcW w:w="0" w:type="auto"/>
            <w:tcBorders>
              <w:top w:val="single" w:sz="6" w:space="0" w:color="auto"/>
              <w:left w:val="single" w:sz="6" w:space="0" w:color="auto"/>
              <w:bottom w:val="single" w:sz="6" w:space="0" w:color="auto"/>
              <w:right w:val="single" w:sz="6" w:space="0" w:color="auto"/>
            </w:tcBorders>
            <w:vAlign w:val="center"/>
          </w:tcPr>
          <w:p w14:paraId="4152D063"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21113EFB"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2DA9F4EF" w14:textId="77777777" w:rsidR="00B97365" w:rsidRDefault="00000000">
            <w:pPr>
              <w:rPr>
                <w:rFonts w:cs="Calibri"/>
                <w:sz w:val="16"/>
                <w:szCs w:val="16"/>
                <w:lang w:val="en-US"/>
              </w:rPr>
            </w:pPr>
            <w:r>
              <w:rPr>
                <w:rFonts w:cs="Calibri"/>
                <w:sz w:val="16"/>
                <w:szCs w:val="16"/>
                <w:lang w:val="en-US"/>
              </w:rPr>
              <w:t>Indicates that the M2M SP specified in the search criterion is unknown to this SM-SR</w:t>
            </w:r>
          </w:p>
        </w:tc>
      </w:tr>
      <w:tr w:rsidR="00B97365" w14:paraId="62FAAC9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0FDEF865" w14:textId="77777777" w:rsidR="00B97365" w:rsidRDefault="00000000">
            <w:pPr>
              <w:jc w:val="center"/>
              <w:rPr>
                <w:rFonts w:cs="Calibri"/>
                <w:sz w:val="16"/>
                <w:szCs w:val="16"/>
              </w:rPr>
            </w:pPr>
            <w:r>
              <w:rPr>
                <w:rFonts w:cs="Calibri"/>
                <w:sz w:val="16"/>
                <w:szCs w:val="16"/>
              </w:rPr>
              <w:t>8.10</w:t>
            </w:r>
          </w:p>
        </w:tc>
        <w:tc>
          <w:tcPr>
            <w:tcW w:w="0" w:type="auto"/>
            <w:tcBorders>
              <w:top w:val="single" w:sz="6" w:space="0" w:color="auto"/>
              <w:left w:val="single" w:sz="6" w:space="0" w:color="auto"/>
              <w:bottom w:val="single" w:sz="6" w:space="0" w:color="auto"/>
              <w:right w:val="single" w:sz="6" w:space="0" w:color="auto"/>
            </w:tcBorders>
            <w:vAlign w:val="center"/>
          </w:tcPr>
          <w:p w14:paraId="77EC06E4" w14:textId="77777777" w:rsidR="00B97365" w:rsidRDefault="00000000">
            <w:pPr>
              <w:rPr>
                <w:rFonts w:cs="Calibri"/>
                <w:sz w:val="16"/>
                <w:szCs w:val="16"/>
                <w:lang w:val="en-US"/>
              </w:rPr>
            </w:pPr>
            <w:r>
              <w:rPr>
                <w:rFonts w:cs="Calibri"/>
                <w:sz w:val="16"/>
                <w:szCs w:val="16"/>
                <w:lang w:val="en-US"/>
              </w:rPr>
              <w:t>Operator</w:t>
            </w:r>
          </w:p>
        </w:tc>
        <w:tc>
          <w:tcPr>
            <w:tcW w:w="0" w:type="auto"/>
            <w:tcBorders>
              <w:top w:val="single" w:sz="6" w:space="0" w:color="auto"/>
              <w:left w:val="single" w:sz="6" w:space="0" w:color="auto"/>
              <w:bottom w:val="single" w:sz="6" w:space="0" w:color="auto"/>
              <w:right w:val="single" w:sz="6" w:space="0" w:color="auto"/>
            </w:tcBorders>
            <w:vAlign w:val="center"/>
          </w:tcPr>
          <w:p w14:paraId="34D14E9E"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5CC1CB8E"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11AADD5B" w14:textId="77777777" w:rsidR="00B97365" w:rsidRDefault="00000000">
            <w:pPr>
              <w:rPr>
                <w:rFonts w:cs="Calibri"/>
                <w:sz w:val="16"/>
                <w:szCs w:val="16"/>
                <w:lang w:val="en-US"/>
              </w:rPr>
            </w:pPr>
            <w:r>
              <w:rPr>
                <w:rFonts w:cs="Calibri"/>
                <w:sz w:val="16"/>
                <w:szCs w:val="16"/>
                <w:lang w:val="en-US"/>
              </w:rPr>
              <w:t>Indicates that the Operator, addressed by the mno-id in the PLMA, is unknown.</w:t>
            </w:r>
          </w:p>
        </w:tc>
      </w:tr>
    </w:tbl>
    <w:p w14:paraId="45BB45F0"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5517-C: GetPLMA Specific Status Codes</w:t>
      </w:r>
    </w:p>
    <w:p w14:paraId="3C76ED6B"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17" w:name="_Toc1977424"/>
      <w:bookmarkStart w:id="5518" w:name="_Toc37062583"/>
      <w:bookmarkStart w:id="5519" w:name="_Toc88839657"/>
      <w:bookmarkStart w:id="5520" w:name="_Toc121504065"/>
      <w:r>
        <w:rPr>
          <w:rFonts w:eastAsia="Times New Roman" w:cs="Arial"/>
          <w:b/>
          <w:bCs/>
          <w:iCs/>
          <w:sz w:val="24"/>
          <w:szCs w:val="26"/>
          <w:lang w:eastAsia="en-US"/>
        </w:rPr>
        <w:t>Setting the Emergency Profile Attribute</w:t>
      </w:r>
      <w:bookmarkEnd w:id="5517"/>
      <w:bookmarkEnd w:id="5518"/>
      <w:bookmarkEnd w:id="5519"/>
      <w:bookmarkEnd w:id="5520"/>
    </w:p>
    <w:p w14:paraId="397EE48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w:t>
      </w:r>
      <w:r>
        <w:rPr>
          <w:rFonts w:cs="Arial"/>
          <w:szCs w:val="22"/>
          <w:lang w:val="en-US" w:eastAsia="en-GB" w:bidi="ar-SA"/>
        </w:rPr>
        <w:t>EmergencyProfile</w:t>
      </w:r>
      <w:r>
        <w:rPr>
          <w:szCs w:val="22"/>
          <w:lang w:val="en-US" w:eastAsia="en-GB" w:bidi="ar-SA"/>
        </w:rPr>
        <w:t>Attribute</w:t>
      </w:r>
    </w:p>
    <w:p w14:paraId="54130EC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rPr>
          <w:rFonts w:cs="Arial"/>
          <w:szCs w:val="22"/>
          <w:lang w:val="en-US" w:eastAsia="en-GB" w:bidi="ar-SA"/>
        </w:rPr>
        <w:t xml:space="preserve">Emergency Profile </w:t>
      </w:r>
      <w:r>
        <w:rPr>
          <w:szCs w:val="22"/>
          <w:lang w:val="en-US" w:eastAsia="en-GB" w:bidi="ar-SA"/>
        </w:rPr>
        <w:t>Attribute Management</w:t>
      </w:r>
    </w:p>
    <w:p w14:paraId="7A29BC8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Platform Management</w:t>
      </w:r>
    </w:p>
    <w:p w14:paraId="2E33878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09E2135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410CC247" w14:textId="77777777" w:rsidR="00B97365" w:rsidRDefault="00000000">
      <w:pPr>
        <w:spacing w:before="0" w:after="200" w:line="276" w:lineRule="auto"/>
        <w:jc w:val="left"/>
        <w:rPr>
          <w:szCs w:val="22"/>
          <w:lang w:val="en-US" w:eastAsia="en-GB" w:bidi="ar-SA"/>
        </w:rPr>
      </w:pPr>
      <w:r>
        <w:rPr>
          <w:szCs w:val="22"/>
          <w:lang w:val="en-US" w:eastAsia="en-GB" w:bidi="ar-SA"/>
        </w:rPr>
        <w:t xml:space="preserve">This function allows an Operator or an M2M SP authorised by the Operator via PLMA to request the setting of the </w:t>
      </w:r>
      <w:r>
        <w:rPr>
          <w:rFonts w:cs="Arial"/>
          <w:szCs w:val="22"/>
          <w:lang w:val="en-US" w:eastAsia="en-GB" w:bidi="ar-SA"/>
        </w:rPr>
        <w:t xml:space="preserve">Emergency Profile </w:t>
      </w:r>
      <w:r>
        <w:rPr>
          <w:szCs w:val="22"/>
          <w:lang w:val="en-US" w:eastAsia="en-GB" w:bidi="ar-SA"/>
        </w:rPr>
        <w:t xml:space="preserve">Attribute on the targeted Profile to the SM-SR in charge of the management of the targeted eUICC, eUICC being identified by its EID. </w:t>
      </w:r>
    </w:p>
    <w:p w14:paraId="2185F72F" w14:textId="77777777" w:rsidR="00B97365" w:rsidRDefault="00000000">
      <w:pPr>
        <w:spacing w:before="0" w:after="200" w:line="276" w:lineRule="auto"/>
        <w:jc w:val="left"/>
        <w:rPr>
          <w:szCs w:val="22"/>
          <w:lang w:val="en-US" w:eastAsia="en-GB" w:bidi="ar-SA"/>
        </w:rPr>
      </w:pPr>
      <w:r>
        <w:rPr>
          <w:szCs w:val="22"/>
          <w:lang w:val="en-US" w:eastAsia="en-GB" w:bidi="ar-SA"/>
        </w:rPr>
        <w:t xml:space="preserve">The SM-SR SHALL verify that the request is </w:t>
      </w:r>
    </w:p>
    <w:p w14:paraId="2B68944D"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Either sent by an Operator owning the targeted Profile </w:t>
      </w:r>
    </w:p>
    <w:p w14:paraId="660E19B9" w14:textId="77777777" w:rsidR="00B97365" w:rsidRDefault="00000000">
      <w:pPr>
        <w:spacing w:before="0" w:after="200" w:line="276" w:lineRule="auto"/>
        <w:ind w:left="720"/>
        <w:contextualSpacing/>
        <w:jc w:val="left"/>
        <w:rPr>
          <w:szCs w:val="22"/>
          <w:lang w:val="en-US" w:eastAsia="en-GB" w:bidi="ar-SA"/>
        </w:rPr>
      </w:pPr>
      <w:r>
        <w:rPr>
          <w:szCs w:val="22"/>
          <w:lang w:val="en-US" w:eastAsia="en-GB" w:bidi="ar-SA"/>
        </w:rPr>
        <w:t xml:space="preserve">or </w:t>
      </w:r>
    </w:p>
    <w:p w14:paraId="45FDC08C"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Sent by an M2M SP, but the Operator owning the targeted Profile has granted a PLMA allowing the operation “Set</w:t>
      </w:r>
      <w:r>
        <w:rPr>
          <w:rFonts w:cs="Arial"/>
          <w:szCs w:val="22"/>
          <w:lang w:val="en-US" w:eastAsia="en-GB" w:bidi="ar-SA"/>
        </w:rPr>
        <w:t>EmergencyProfile</w:t>
      </w:r>
      <w:r>
        <w:rPr>
          <w:szCs w:val="22"/>
          <w:lang w:val="en-US" w:eastAsia="en-GB" w:bidi="ar-SA"/>
        </w:rPr>
        <w:t>Attribute” to the M2M SP requesting the operation.</w:t>
      </w:r>
    </w:p>
    <w:p w14:paraId="32D09BBE" w14:textId="77777777" w:rsidR="00B97365" w:rsidRDefault="00000000">
      <w:pPr>
        <w:spacing w:before="0" w:after="200" w:line="276" w:lineRule="auto"/>
        <w:jc w:val="left"/>
        <w:rPr>
          <w:szCs w:val="22"/>
          <w:lang w:val="en-US" w:eastAsia="en-GB" w:bidi="ar-SA"/>
        </w:rPr>
      </w:pPr>
      <w:r>
        <w:rPr>
          <w:lang w:eastAsia="en-GB"/>
        </w:rPr>
        <w:t>If one Profile currently has the Emergency Profile Attribute set, the SM-SR SHALL verify that the Operator owning the Profile with the Emergency Profile Attribute set has granted a PLMA authorising the operation “UnsetEmergencyProfileAttribute” to the Operator requesting the operation.</w:t>
      </w:r>
    </w:p>
    <w:p w14:paraId="07F39C8C" w14:textId="77777777" w:rsidR="00B97365" w:rsidRDefault="00000000">
      <w:pPr>
        <w:spacing w:before="0" w:after="200" w:line="276" w:lineRule="auto"/>
        <w:jc w:val="left"/>
        <w:rPr>
          <w:szCs w:val="22"/>
          <w:lang w:val="en-US" w:eastAsia="en-GB" w:bidi="ar-SA"/>
        </w:rPr>
      </w:pPr>
      <w:r>
        <w:rPr>
          <w:szCs w:val="22"/>
          <w:lang w:val="en-US" w:eastAsia="en-GB" w:bidi="ar-SA"/>
        </w:rPr>
        <w:t>The SM-SR MAY provide additional verifications.</w:t>
      </w:r>
    </w:p>
    <w:p w14:paraId="27C95624" w14:textId="20DD1E08"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“Emergency Profile Attribute Management” procedure described in sections </w:t>
      </w:r>
      <w:r>
        <w:fldChar w:fldCharType="begin"/>
      </w:r>
      <w:r>
        <w:rPr>
          <w:rFonts w:cs="Arial"/>
          <w:szCs w:val="22"/>
          <w:lang w:val="en-US" w:eastAsia="en-GB" w:bidi="ar-SA"/>
        </w:rPr>
        <w:instrText xml:space="preserve"> REF _Ref536172225 \r \h </w:instrText>
      </w:r>
      <w:r>
        <w:fldChar w:fldCharType="separate"/>
      </w:r>
      <w:r w:rsidR="001D5AD9">
        <w:rPr>
          <w:rFonts w:cs="Arial"/>
          <w:szCs w:val="22"/>
          <w:lang w:val="en-US" w:eastAsia="en-GB" w:bidi="ar-SA"/>
        </w:rPr>
        <w:t>3.25</w:t>
      </w:r>
      <w:r>
        <w:fldChar w:fldCharType="end"/>
      </w:r>
      <w:r>
        <w:t xml:space="preserve"> and </w:t>
      </w:r>
      <w:r>
        <w:fldChar w:fldCharType="begin"/>
      </w:r>
      <w:r>
        <w:instrText xml:space="preserve"> REF _Ref536173294 \r \h </w:instrText>
      </w:r>
      <w:r>
        <w:fldChar w:fldCharType="separate"/>
      </w:r>
      <w:r w:rsidR="001D5AD9">
        <w:t>3.26</w:t>
      </w:r>
      <w:r>
        <w:fldChar w:fldCharType="end"/>
      </w:r>
      <w:r>
        <w:t xml:space="preserve"> </w:t>
      </w:r>
      <w:r>
        <w:rPr>
          <w:szCs w:val="22"/>
          <w:lang w:val="en-US" w:eastAsia="en-GB" w:bidi="ar-SA"/>
        </w:rPr>
        <w:t>of this specification.</w:t>
      </w:r>
    </w:p>
    <w:p w14:paraId="71FA6E27" w14:textId="77777777" w:rsidR="00B97365" w:rsidRDefault="00000000">
      <w:pPr>
        <w:spacing w:before="0" w:after="200" w:line="276" w:lineRule="auto"/>
        <w:jc w:val="left"/>
        <w:rPr>
          <w:szCs w:val="22"/>
          <w:lang w:val="en-US" w:eastAsia="en-GB" w:bidi="ar-SA"/>
        </w:rPr>
      </w:pPr>
      <w:r>
        <w:rPr>
          <w:szCs w:val="22"/>
          <w:lang w:val="en-US" w:eastAsia="en-GB" w:bidi="ar-SA"/>
        </w:rPr>
        <w:t xml:space="preserve">After setting the Emergency Profile Attribute, the SM-SR SHALL add or update the AdditionalProperty </w:t>
      </w:r>
      <w:r w:rsidRPr="003C254C">
        <w:rPr>
          <w:rStyle w:val="CODE"/>
        </w:rPr>
        <w:t>‘gsma.ESIM.EmergencyProfile.AID’</w:t>
      </w:r>
      <w:r>
        <w:rPr>
          <w:szCs w:val="22"/>
          <w:lang w:val="en-US" w:eastAsia="en-GB" w:bidi="ar-SA"/>
        </w:rPr>
        <w:t xml:space="preserve"> of the EIS.</w:t>
      </w:r>
    </w:p>
    <w:p w14:paraId="2F60CE8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2FDFA40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 xml:space="preserve">A ‘Function execution status’ with ‘Executed- Success’ indicating that the </w:t>
      </w:r>
      <w:r>
        <w:rPr>
          <w:rFonts w:cs="Arial"/>
          <w:szCs w:val="22"/>
          <w:lang w:val="en-US" w:eastAsia="en-GB" w:bidi="ar-SA"/>
        </w:rPr>
        <w:t xml:space="preserve">Emergency Profile </w:t>
      </w:r>
      <w:r>
        <w:rPr>
          <w:szCs w:val="22"/>
          <w:lang w:eastAsia="en-GB" w:bidi="ar-SA"/>
        </w:rPr>
        <w:t xml:space="preserve">Attribute has been set on the targeted Profile. </w:t>
      </w:r>
    </w:p>
    <w:p w14:paraId="31A36C1E" w14:textId="6FFFE6E6"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_Ref367974707 \r \h  \* MERGEFORMAT </w:instrText>
      </w:r>
      <w:r>
        <w:fldChar w:fldCharType="separate"/>
      </w:r>
      <w:r w:rsidR="001D5AD9" w:rsidRPr="001D5AD9">
        <w:rPr>
          <w:szCs w:val="22"/>
          <w:lang w:eastAsia="en-GB" w:bidi="ar-SA"/>
        </w:rPr>
        <w:t>5.1.6.4</w:t>
      </w:r>
      <w:r>
        <w:fldChar w:fldCharType="end"/>
      </w:r>
    </w:p>
    <w:p w14:paraId="657785C0" w14:textId="7A5EFCBD"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_Ref367974714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here after.</w:t>
      </w:r>
    </w:p>
    <w:p w14:paraId="35530233" w14:textId="77777777" w:rsidR="00B97365" w:rsidRDefault="00B97365">
      <w:pPr>
        <w:tabs>
          <w:tab w:val="left" w:pos="680"/>
        </w:tabs>
        <w:spacing w:before="0" w:after="200" w:line="276" w:lineRule="auto"/>
        <w:contextualSpacing/>
        <w:jc w:val="left"/>
        <w:rPr>
          <w:rFonts w:cs="Arial"/>
          <w:szCs w:val="22"/>
          <w:lang w:eastAsia="en-GB" w:bidi="ar-SA"/>
        </w:rPr>
      </w:pPr>
    </w:p>
    <w:p w14:paraId="4C882423"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4988"/>
        <w:gridCol w:w="590"/>
        <w:gridCol w:w="474"/>
        <w:gridCol w:w="590"/>
      </w:tblGrid>
      <w:tr w:rsidR="00B97365" w14:paraId="33E03FB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DDF22BE"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4448634"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3DD2EB1"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754FFCF"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2E69B4B"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C7F7E9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3CF96DE1"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hideMark/>
          </w:tcPr>
          <w:p w14:paraId="47F92A21" w14:textId="77777777" w:rsidR="00B97365" w:rsidRDefault="00000000">
            <w:pPr>
              <w:rPr>
                <w:rFonts w:eastAsia="Times New Roman" w:cs="Calibri"/>
                <w:sz w:val="16"/>
                <w:szCs w:val="16"/>
                <w:lang w:val="en-US"/>
              </w:rPr>
            </w:pPr>
            <w:r>
              <w:rPr>
                <w:rFonts w:cs="Calibri"/>
                <w:sz w:val="16"/>
                <w:szCs w:val="16"/>
                <w:lang w:val="en-US"/>
              </w:rPr>
              <w:t>Identification of the targeted eUICC.</w:t>
            </w:r>
          </w:p>
          <w:p w14:paraId="3CD20237" w14:textId="54A62E7A" w:rsidR="00B97365" w:rsidRDefault="00000000">
            <w:pPr>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_Ref367974724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hideMark/>
          </w:tcPr>
          <w:p w14:paraId="5FABC3BB"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hideMark/>
          </w:tcPr>
          <w:p w14:paraId="5B80CF46"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779C914F"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1B4152D1"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vAlign w:val="center"/>
            <w:hideMark/>
          </w:tcPr>
          <w:p w14:paraId="5227EFC5"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61264A02" w14:textId="7777777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Identification of the Profile to get the Emergency Profile Attribute set.</w:t>
            </w:r>
          </w:p>
          <w:p w14:paraId="14F208B8" w14:textId="0CF28DAA"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_Ref367974730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24453417" w14:textId="77777777" w:rsidR="00B97365" w:rsidRDefault="00000000">
            <w:pPr>
              <w:keepNext/>
              <w:keepLines/>
              <w:tabs>
                <w:tab w:val="num" w:pos="4320"/>
              </w:tabs>
              <w:spacing w:before="140" w:after="120" w:line="260" w:lineRule="atLeast"/>
              <w:ind w:left="1531" w:hanging="1531"/>
              <w:jc w:val="center"/>
              <w:rPr>
                <w:rFonts w:eastAsia="Times New Roman"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0DEC2782" w14:textId="77777777" w:rsidR="00B97365" w:rsidRDefault="00000000">
            <w:pPr>
              <w:spacing w:before="140" w:after="120" w:line="260" w:lineRule="atLeast"/>
              <w:ind w:left="1531" w:hanging="1531"/>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vAlign w:val="center"/>
            <w:hideMark/>
          </w:tcPr>
          <w:p w14:paraId="37B44ED7"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3412E50F"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5518-A: Set Emergency Profile Attribute Additional Input Data</w:t>
      </w:r>
    </w:p>
    <w:p w14:paraId="53EA2EB7"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583"/>
        <w:gridCol w:w="5290"/>
        <w:gridCol w:w="1209"/>
        <w:gridCol w:w="409"/>
        <w:gridCol w:w="525"/>
      </w:tblGrid>
      <w:tr w:rsidR="00B97365" w14:paraId="5CB11080"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A0EFA25"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9F4B37"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915346D"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D892352"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11CE604"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139477ED"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FD2F1AB" w14:textId="77777777" w:rsidR="00B97365" w:rsidRDefault="00000000">
            <w:pPr>
              <w:tabs>
                <w:tab w:val="right" w:pos="7938"/>
              </w:tabs>
              <w:ind w:left="470" w:hanging="459"/>
              <w:rPr>
                <w:rFonts w:cs="Calibri"/>
                <w:sz w:val="16"/>
                <w:szCs w:val="16"/>
              </w:rPr>
            </w:pPr>
            <w:r>
              <w:rPr>
                <w:rFonts w:cs="Calibri"/>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2A8DE791" w14:textId="77777777" w:rsidR="00B97365" w:rsidRDefault="00000000">
            <w:pPr>
              <w:rPr>
                <w:rFonts w:cs="Calibri"/>
                <w:b/>
                <w:noProof/>
                <w:sz w:val="16"/>
                <w:szCs w:val="16"/>
              </w:rPr>
            </w:pPr>
            <w:r>
              <w:rPr>
                <w:rFonts w:cs="Calibri"/>
                <w:sz w:val="16"/>
                <w:szCs w:val="16"/>
              </w:rPr>
              <w:t xml:space="preserve">Contains the detailed error returned by the eUICC in case the function execution failed on eUICC. The response data is defined in ES5.SetEmergencyProfileAttribute. </w:t>
            </w:r>
          </w:p>
        </w:tc>
        <w:tc>
          <w:tcPr>
            <w:tcW w:w="0" w:type="auto"/>
            <w:tcBorders>
              <w:top w:val="single" w:sz="6" w:space="0" w:color="auto"/>
              <w:left w:val="single" w:sz="6" w:space="0" w:color="auto"/>
              <w:bottom w:val="single" w:sz="4" w:space="0" w:color="auto"/>
              <w:right w:val="single" w:sz="6" w:space="0" w:color="auto"/>
            </w:tcBorders>
            <w:vAlign w:val="center"/>
            <w:hideMark/>
          </w:tcPr>
          <w:p w14:paraId="20F9733B" w14:textId="77777777" w:rsidR="00B97365" w:rsidRDefault="00000000">
            <w:pPr>
              <w:tabs>
                <w:tab w:val="right" w:pos="7938"/>
              </w:tabs>
              <w:ind w:firstLine="11"/>
              <w:rPr>
                <w:rFonts w:cs="Calibri"/>
                <w:sz w:val="16"/>
                <w:szCs w:val="16"/>
                <w:lang w:val="en-US"/>
              </w:rPr>
            </w:pPr>
            <w:r>
              <w:rPr>
                <w:rFonts w:cs="Calibri"/>
                <w:sz w:val="16"/>
                <w:szCs w:val="16"/>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1CC651D6" w14:textId="77777777" w:rsidR="00B97365" w:rsidRDefault="00000000">
            <w:pPr>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7F3E4971" w14:textId="77777777" w:rsidR="00B97365" w:rsidRDefault="00000000">
            <w:pPr>
              <w:jc w:val="center"/>
              <w:rPr>
                <w:rFonts w:cs="Calibri"/>
                <w:sz w:val="16"/>
                <w:szCs w:val="16"/>
                <w:lang w:val="en-US"/>
              </w:rPr>
            </w:pPr>
            <w:r>
              <w:rPr>
                <w:rFonts w:cs="Calibri"/>
                <w:sz w:val="16"/>
                <w:szCs w:val="16"/>
                <w:lang w:val="en-US"/>
              </w:rPr>
              <w:t>O</w:t>
            </w:r>
          </w:p>
        </w:tc>
      </w:tr>
    </w:tbl>
    <w:p w14:paraId="41C98CF3"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5518-B: Set Emergency Profile Attribute Additional Output Data</w:t>
      </w:r>
    </w:p>
    <w:p w14:paraId="6C31158D"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p>
    <w:tbl>
      <w:tblPr>
        <w:tblW w:w="944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036"/>
        <w:gridCol w:w="865"/>
        <w:gridCol w:w="732"/>
        <w:gridCol w:w="1124"/>
        <w:gridCol w:w="5686"/>
      </w:tblGrid>
      <w:tr w:rsidR="00B97365" w14:paraId="486175F4" w14:textId="77777777">
        <w:trPr>
          <w:trHeight w:val="342"/>
          <w:jc w:val="center"/>
        </w:trPr>
        <w:tc>
          <w:tcPr>
            <w:tcW w:w="103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214A2CE" w14:textId="77777777" w:rsidR="00B97365" w:rsidRDefault="00000000">
            <w:pPr>
              <w:jc w:val="center"/>
              <w:rPr>
                <w:rFonts w:cs="Calibri"/>
                <w:b/>
                <w:color w:val="FFFFFF"/>
                <w:sz w:val="16"/>
                <w:szCs w:val="16"/>
              </w:rPr>
            </w:pPr>
            <w:r>
              <w:rPr>
                <w:rFonts w:cs="Calibri"/>
                <w:b/>
                <w:color w:val="FFFFFF"/>
                <w:sz w:val="16"/>
                <w:szCs w:val="16"/>
              </w:rPr>
              <w:t>Subject</w:t>
            </w:r>
          </w:p>
          <w:p w14:paraId="5CB697E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3EEFF77" w14:textId="77777777" w:rsidR="00B97365" w:rsidRDefault="00000000">
            <w:pPr>
              <w:jc w:val="center"/>
              <w:rPr>
                <w:rFonts w:cs="Calibri"/>
                <w:b/>
                <w:color w:val="FFFFFF"/>
                <w:sz w:val="16"/>
                <w:szCs w:val="16"/>
              </w:rPr>
            </w:pPr>
            <w:r>
              <w:rPr>
                <w:rFonts w:cs="Calibri"/>
                <w:b/>
                <w:color w:val="FFFFFF"/>
                <w:sz w:val="16"/>
                <w:szCs w:val="16"/>
              </w:rPr>
              <w:t>Subject</w:t>
            </w:r>
          </w:p>
        </w:tc>
        <w:tc>
          <w:tcPr>
            <w:tcW w:w="73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2CB640D" w14:textId="77777777" w:rsidR="00B97365" w:rsidRDefault="00000000">
            <w:pPr>
              <w:jc w:val="center"/>
              <w:rPr>
                <w:rFonts w:cs="Calibri"/>
                <w:b/>
                <w:color w:val="FFFFFF"/>
                <w:sz w:val="16"/>
                <w:szCs w:val="16"/>
              </w:rPr>
            </w:pPr>
            <w:r>
              <w:rPr>
                <w:rFonts w:cs="Calibri"/>
                <w:b/>
                <w:color w:val="FFFFFF"/>
                <w:sz w:val="16"/>
                <w:szCs w:val="16"/>
              </w:rPr>
              <w:t>Reason</w:t>
            </w:r>
          </w:p>
          <w:p w14:paraId="2FCA2F2D"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A808CC3"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0A5169E"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39C55B91"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5DF6E137"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632AD112" w14:textId="77777777" w:rsidR="00B97365" w:rsidRDefault="00000000">
            <w:pPr>
              <w:rPr>
                <w:rFonts w:cs="Calibri"/>
                <w:sz w:val="16"/>
                <w:szCs w:val="16"/>
                <w:lang w:val="en-US"/>
              </w:rPr>
            </w:pPr>
            <w:r>
              <w:rPr>
                <w:rFonts w:cs="Calibri"/>
                <w:sz w:val="16"/>
                <w:szCs w:val="16"/>
                <w:lang w:val="en-US"/>
              </w:rPr>
              <w:t>EID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7CA3946C"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2A82013A"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5875C9A3" w14:textId="77777777" w:rsidR="00B97365" w:rsidRDefault="00000000">
            <w:pPr>
              <w:rPr>
                <w:rFonts w:cs="Calibri"/>
                <w:sz w:val="16"/>
                <w:szCs w:val="16"/>
                <w:lang w:val="en-US"/>
              </w:rPr>
            </w:pPr>
            <w:r>
              <w:rPr>
                <w:rFonts w:cs="Calibri"/>
                <w:sz w:val="16"/>
                <w:szCs w:val="16"/>
              </w:rPr>
              <w:t>Indicates that the eUICC, identified by this EID, is unknown to the function provider.</w:t>
            </w:r>
          </w:p>
        </w:tc>
      </w:tr>
      <w:tr w:rsidR="00B97365" w14:paraId="4EF03596"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63568BFC"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0A45393D"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1CB181D9"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60CF2D82"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0711BF9A" w14:textId="77777777" w:rsidR="00B97365" w:rsidRDefault="00000000">
            <w:pPr>
              <w:rPr>
                <w:rFonts w:cs="Calibri"/>
                <w:sz w:val="16"/>
                <w:szCs w:val="16"/>
                <w:lang w:val="en-US"/>
              </w:rPr>
            </w:pPr>
            <w:r>
              <w:rPr>
                <w:rFonts w:cs="Calibri"/>
                <w:sz w:val="16"/>
                <w:szCs w:val="16"/>
                <w:lang w:val="en-US"/>
              </w:rPr>
              <w:t>Indicates that the Profile identified by this ICCID is unknown to the function provider.</w:t>
            </w:r>
          </w:p>
        </w:tc>
      </w:tr>
      <w:tr w:rsidR="00B97365" w14:paraId="478D23F4"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70448FA2"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11473962"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74711E12" w14:textId="77777777" w:rsidR="00B97365" w:rsidRDefault="00000000">
            <w:pPr>
              <w:jc w:val="center"/>
              <w:rPr>
                <w:rFonts w:cs="Calibri"/>
                <w:sz w:val="16"/>
                <w:szCs w:val="16"/>
                <w:lang w:val="en-US"/>
              </w:rPr>
            </w:pPr>
            <w:r>
              <w:rPr>
                <w:rFonts w:cs="Calibri"/>
                <w:sz w:val="16"/>
                <w:szCs w:val="16"/>
                <w:lang w:val="en-US"/>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329B7E98" w14:textId="77777777" w:rsidR="00B97365" w:rsidRDefault="00000000">
            <w:pPr>
              <w:rPr>
                <w:rFonts w:cs="Calibri"/>
                <w:sz w:val="16"/>
                <w:szCs w:val="16"/>
                <w:lang w:val="en-US"/>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12544FFC" w14:textId="77777777" w:rsidR="00B97365" w:rsidRDefault="00000000">
            <w:pPr>
              <w:rPr>
                <w:rFonts w:cs="Calibri"/>
                <w:sz w:val="16"/>
                <w:szCs w:val="16"/>
                <w:lang w:val="en-US"/>
              </w:rPr>
            </w:pPr>
            <w:r>
              <w:rPr>
                <w:rFonts w:cs="Calibri"/>
                <w:sz w:val="16"/>
                <w:szCs w:val="16"/>
                <w:lang w:val="en-US"/>
              </w:rPr>
              <w:t>Indicates that the Profile identified by this ICCID is known to the function provider but installed on another eUICC than the one identified by the function caller.</w:t>
            </w:r>
          </w:p>
        </w:tc>
      </w:tr>
      <w:tr w:rsidR="00B97365" w14:paraId="064E3653"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tcPr>
          <w:p w14:paraId="0CA92455"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4FE37871" w14:textId="77777777" w:rsidR="00B97365" w:rsidRDefault="00000000">
            <w:pPr>
              <w:rPr>
                <w:rFonts w:cs="Calibri"/>
                <w:sz w:val="16"/>
                <w:szCs w:val="16"/>
                <w:lang w:val="en-US"/>
              </w:rPr>
            </w:pPr>
            <w:r>
              <w:rPr>
                <w:rFonts w:cs="Calibri"/>
                <w:sz w:val="16"/>
                <w:szCs w:val="16"/>
                <w:lang w:val="en-US"/>
              </w:rPr>
              <w:t>PLMA</w:t>
            </w:r>
          </w:p>
        </w:tc>
        <w:tc>
          <w:tcPr>
            <w:tcW w:w="732" w:type="dxa"/>
            <w:tcBorders>
              <w:top w:val="single" w:sz="6" w:space="0" w:color="auto"/>
              <w:left w:val="single" w:sz="6" w:space="0" w:color="auto"/>
              <w:bottom w:val="single" w:sz="6" w:space="0" w:color="auto"/>
              <w:right w:val="single" w:sz="6" w:space="0" w:color="auto"/>
            </w:tcBorders>
            <w:vAlign w:val="center"/>
          </w:tcPr>
          <w:p w14:paraId="64905D4B"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tcPr>
          <w:p w14:paraId="1157E2B6"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tcPr>
          <w:p w14:paraId="73A11923" w14:textId="77777777" w:rsidR="00B97365" w:rsidRDefault="00000000">
            <w:pPr>
              <w:rPr>
                <w:rFonts w:cs="Calibri"/>
                <w:sz w:val="16"/>
                <w:szCs w:val="16"/>
                <w:lang w:val="en-US"/>
              </w:rPr>
            </w:pPr>
            <w:r>
              <w:rPr>
                <w:rFonts w:cs="Calibri"/>
                <w:sz w:val="16"/>
                <w:szCs w:val="16"/>
                <w:lang w:val="en-US"/>
              </w:rPr>
              <w:t>No PLMA allows the M2M SP to execute this operation.</w:t>
            </w:r>
          </w:p>
        </w:tc>
      </w:tr>
      <w:tr w:rsidR="00B97365" w14:paraId="00F1BB78" w14:textId="77777777">
        <w:trPr>
          <w:trHeight w:val="282"/>
          <w:jc w:val="center"/>
        </w:trPr>
        <w:tc>
          <w:tcPr>
            <w:tcW w:w="1036" w:type="dxa"/>
            <w:tcBorders>
              <w:top w:val="single" w:sz="6" w:space="0" w:color="auto"/>
              <w:left w:val="single" w:sz="4" w:space="0" w:color="auto"/>
              <w:bottom w:val="single" w:sz="4" w:space="0" w:color="auto"/>
              <w:right w:val="single" w:sz="6" w:space="0" w:color="auto"/>
            </w:tcBorders>
            <w:vAlign w:val="center"/>
            <w:hideMark/>
          </w:tcPr>
          <w:p w14:paraId="0186C321" w14:textId="77777777" w:rsidR="00B97365" w:rsidRDefault="00000000">
            <w:pPr>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4" w:space="0" w:color="auto"/>
              <w:right w:val="single" w:sz="6" w:space="0" w:color="auto"/>
            </w:tcBorders>
            <w:vAlign w:val="center"/>
            <w:hideMark/>
          </w:tcPr>
          <w:p w14:paraId="29F88C93" w14:textId="77777777" w:rsidR="00B97365" w:rsidRDefault="00000000">
            <w:pPr>
              <w:rPr>
                <w:rFonts w:cs="Calibri"/>
                <w:sz w:val="16"/>
                <w:szCs w:val="16"/>
                <w:lang w:val="en-US"/>
              </w:rPr>
            </w:pPr>
            <w:r>
              <w:rPr>
                <w:rFonts w:cs="Calibri"/>
                <w:sz w:val="16"/>
                <w:szCs w:val="16"/>
                <w:lang w:val="en-US"/>
              </w:rPr>
              <w:t>ISD-R</w:t>
            </w:r>
          </w:p>
        </w:tc>
        <w:tc>
          <w:tcPr>
            <w:tcW w:w="732" w:type="dxa"/>
            <w:tcBorders>
              <w:top w:val="single" w:sz="6" w:space="0" w:color="auto"/>
              <w:left w:val="single" w:sz="6" w:space="0" w:color="auto"/>
              <w:bottom w:val="single" w:sz="4" w:space="0" w:color="auto"/>
              <w:right w:val="single" w:sz="6" w:space="0" w:color="auto"/>
            </w:tcBorders>
            <w:vAlign w:val="center"/>
            <w:hideMark/>
          </w:tcPr>
          <w:p w14:paraId="3F35B719" w14:textId="77777777" w:rsidR="00B97365" w:rsidRDefault="00000000">
            <w:pPr>
              <w:jc w:val="center"/>
              <w:rPr>
                <w:rFonts w:cs="Calibri"/>
                <w:sz w:val="16"/>
                <w:szCs w:val="16"/>
                <w:lang w:val="en-US"/>
              </w:rPr>
            </w:pPr>
            <w:r>
              <w:rPr>
                <w:rFonts w:cs="Calibri"/>
                <w:sz w:val="16"/>
                <w:szCs w:val="16"/>
                <w:lang w:val="en-US"/>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0ABE1B4E" w14:textId="77777777" w:rsidR="00B97365" w:rsidRDefault="00000000">
            <w:pPr>
              <w:rPr>
                <w:rFonts w:cs="Calibri"/>
                <w:sz w:val="16"/>
                <w:szCs w:val="16"/>
                <w:lang w:val="en-US"/>
              </w:rPr>
            </w:pPr>
            <w:r>
              <w:rPr>
                <w:rFonts w:cs="Calibri"/>
                <w:sz w:val="16"/>
                <w:szCs w:val="16"/>
                <w:lang w:val="en-US"/>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3A2A39A1" w14:textId="77777777" w:rsidR="00B97365" w:rsidRDefault="00000000">
            <w:pPr>
              <w:rPr>
                <w:rFonts w:cs="Calibri"/>
                <w:sz w:val="16"/>
                <w:szCs w:val="16"/>
                <w:lang w:val="en-US"/>
              </w:rPr>
            </w:pPr>
            <w:r>
              <w:rPr>
                <w:rFonts w:cs="Calibri"/>
                <w:sz w:val="16"/>
                <w:szCs w:val="16"/>
                <w:lang w:val="en-US"/>
              </w:rPr>
              <w:t>Error during execution of the command on the eUICC.</w:t>
            </w:r>
            <w:r>
              <w:rPr>
                <w:rFonts w:cs="Calibri"/>
                <w:sz w:val="16"/>
                <w:szCs w:val="16"/>
              </w:rPr>
              <w:t xml:space="preserve"> In that case, the output data “euiccResponseData” contains the exact response coming from the eUICC.</w:t>
            </w:r>
            <w:r>
              <w:rPr>
                <w:rFonts w:cs="Calibri"/>
                <w:sz w:val="16"/>
                <w:szCs w:val="16"/>
                <w:lang w:val="en-US"/>
              </w:rPr>
              <w:t xml:space="preserve"> </w:t>
            </w:r>
          </w:p>
        </w:tc>
      </w:tr>
    </w:tbl>
    <w:p w14:paraId="54B1A63C" w14:textId="77777777" w:rsidR="00B97365" w:rsidRDefault="00000000">
      <w:pPr>
        <w:spacing w:after="320" w:line="276" w:lineRule="auto"/>
        <w:jc w:val="center"/>
        <w:rPr>
          <w:rFonts w:cs="Arial"/>
          <w:b/>
          <w:szCs w:val="22"/>
          <w:lang w:eastAsia="en-US" w:bidi="ar-SA"/>
        </w:rPr>
      </w:pPr>
      <w:r>
        <w:rPr>
          <w:rFonts w:cs="Arial"/>
          <w:b/>
          <w:szCs w:val="22"/>
          <w:lang w:eastAsia="de-DE" w:bidi="ar-SA"/>
        </w:rPr>
        <w:t>Table 5518-C: Set Emergency Profile Attribute Specific Status Codes</w:t>
      </w:r>
    </w:p>
    <w:p w14:paraId="3E433C1E"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21" w:name="_Toc1977425"/>
      <w:bookmarkStart w:id="5522" w:name="_Toc37062584"/>
      <w:bookmarkStart w:id="5523" w:name="_Toc88839658"/>
      <w:bookmarkStart w:id="5524" w:name="_Toc121504066"/>
      <w:r>
        <w:rPr>
          <w:rFonts w:eastAsia="Times New Roman" w:cs="Arial"/>
          <w:b/>
          <w:bCs/>
          <w:iCs/>
          <w:sz w:val="24"/>
          <w:szCs w:val="26"/>
          <w:lang w:eastAsia="en-US"/>
        </w:rPr>
        <w:t>Notifying the Emergency Profile Attribute setting</w:t>
      </w:r>
      <w:bookmarkEnd w:id="5521"/>
      <w:bookmarkEnd w:id="5522"/>
      <w:bookmarkEnd w:id="5523"/>
      <w:bookmarkEnd w:id="5524"/>
    </w:p>
    <w:p w14:paraId="3466148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HandleEmergencyProfileAttributeSetNotification</w:t>
      </w:r>
    </w:p>
    <w:p w14:paraId="4B2F5444"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Emergency Profile Attribute Management, Emergency Profile Attribute Management via M2M SP</w:t>
      </w:r>
    </w:p>
    <w:p w14:paraId="71C095E2"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Function group</w:t>
      </w:r>
      <w:r>
        <w:rPr>
          <w:szCs w:val="22"/>
          <w:lang w:val="en-US" w:eastAsia="en-GB" w:bidi="ar-SA"/>
        </w:rPr>
        <w:t>: Profile Management</w:t>
      </w:r>
    </w:p>
    <w:p w14:paraId="0442EF7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 or M2M SP</w:t>
      </w:r>
    </w:p>
    <w:p w14:paraId="16EAA04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SHALL be called to notify that the Emergency Profile Attribute has been set on the Profile identified by its ICCID on the eUICC identified by its EID. </w:t>
      </w:r>
    </w:p>
    <w:p w14:paraId="42145030"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 all Operator and M2M SP servers that match one or the other of the following conditions:</w:t>
      </w:r>
    </w:p>
    <w:p w14:paraId="20550D58" w14:textId="1387ADD3"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The Operator that owns the Profile, and the Operator has not set an ONC to discard such notifications (see section </w:t>
      </w:r>
      <w:r>
        <w:rPr>
          <w:szCs w:val="22"/>
          <w:lang w:val="en-US" w:eastAsia="en-GB" w:bidi="ar-SA"/>
        </w:rPr>
        <w:fldChar w:fldCharType="begin"/>
      </w:r>
      <w:r>
        <w:rPr>
          <w:szCs w:val="22"/>
          <w:lang w:val="en-US" w:eastAsia="en-GB" w:bidi="ar-SA"/>
        </w:rPr>
        <w:instrText xml:space="preserve"> REF _Ref536172994 \r \h </w:instrText>
      </w:r>
      <w:r>
        <w:rPr>
          <w:szCs w:val="22"/>
          <w:lang w:val="en-US" w:eastAsia="en-GB" w:bidi="ar-SA"/>
        </w:rPr>
      </w:r>
      <w:r>
        <w:rPr>
          <w:szCs w:val="22"/>
          <w:lang w:val="en-US" w:eastAsia="en-GB" w:bidi="ar-SA"/>
        </w:rPr>
        <w:fldChar w:fldCharType="separate"/>
      </w:r>
      <w:r w:rsidR="001D5AD9">
        <w:rPr>
          <w:szCs w:val="22"/>
          <w:lang w:val="en-US" w:eastAsia="en-GB" w:bidi="ar-SA"/>
        </w:rPr>
        <w:t>3.21</w:t>
      </w:r>
      <w:r>
        <w:rPr>
          <w:szCs w:val="22"/>
          <w:lang w:val="en-US" w:eastAsia="en-GB" w:bidi="ar-SA"/>
        </w:rPr>
        <w:fldChar w:fldCharType="end"/>
      </w:r>
      <w:r>
        <w:rPr>
          <w:szCs w:val="22"/>
          <w:lang w:val="en-US" w:eastAsia="en-GB" w:bidi="ar-SA"/>
        </w:rPr>
        <w:t>)</w:t>
      </w:r>
    </w:p>
    <w:p w14:paraId="79ED9C84"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The M2M SP, where the Operator owner of the Profile has granted the M2M SP with a PLMA authorising this Operation “HandleEmergencyProfileAttributeSet</w:t>
      </w:r>
      <w:r>
        <w:rPr>
          <w:rFonts w:cs="Calibri"/>
          <w:szCs w:val="22"/>
        </w:rPr>
        <w:t>Notification</w:t>
      </w:r>
      <w:r>
        <w:rPr>
          <w:szCs w:val="22"/>
          <w:lang w:val="en-US" w:eastAsia="en-GB" w:bidi="ar-SA"/>
        </w:rPr>
        <w:t>”.</w:t>
      </w:r>
    </w:p>
    <w:p w14:paraId="2B9A72F5"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Any Operator having a Profile on this eUICC. In this case identification of the Profile that has the Emergency Profile Attribute set and Identification of the Operator owner of the Profile that has the Emergency Profile Attribute set are optional.</w:t>
      </w:r>
    </w:p>
    <w:p w14:paraId="5F38F658"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274F89E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316A270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or M2M SP receiving this notification is out of scope of this specification.</w:t>
      </w:r>
    </w:p>
    <w:p w14:paraId="506815A7"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52"/>
        <w:gridCol w:w="5157"/>
        <w:gridCol w:w="949"/>
        <w:gridCol w:w="398"/>
        <w:gridCol w:w="514"/>
      </w:tblGrid>
      <w:tr w:rsidR="00B97365" w14:paraId="1BA5239F" w14:textId="77777777">
        <w:trPr>
          <w:trHeight w:val="342"/>
          <w:jc w:val="center"/>
        </w:trPr>
        <w:tc>
          <w:tcPr>
            <w:tcW w:w="1852"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41386E7"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C2B2096"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D8DFE12"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B58E1BD"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BD8EA67"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38546380" w14:textId="77777777">
        <w:trPr>
          <w:trHeight w:val="282"/>
          <w:jc w:val="center"/>
        </w:trPr>
        <w:tc>
          <w:tcPr>
            <w:tcW w:w="1852" w:type="dxa"/>
            <w:tcBorders>
              <w:top w:val="single" w:sz="6" w:space="0" w:color="auto"/>
              <w:left w:val="single" w:sz="4" w:space="0" w:color="auto"/>
              <w:bottom w:val="single" w:sz="6" w:space="0" w:color="auto"/>
              <w:right w:val="single" w:sz="6" w:space="0" w:color="auto"/>
            </w:tcBorders>
            <w:vAlign w:val="center"/>
            <w:hideMark/>
          </w:tcPr>
          <w:p w14:paraId="2954591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3E98D8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51E788A0" w14:textId="2189034F"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A71436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632D79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0785EFF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13CA2DA6" w14:textId="77777777">
        <w:trPr>
          <w:trHeight w:val="282"/>
          <w:jc w:val="center"/>
        </w:trPr>
        <w:tc>
          <w:tcPr>
            <w:tcW w:w="1852" w:type="dxa"/>
            <w:tcBorders>
              <w:top w:val="single" w:sz="6" w:space="0" w:color="auto"/>
              <w:left w:val="single" w:sz="4" w:space="0" w:color="auto"/>
              <w:bottom w:val="single" w:sz="6" w:space="0" w:color="auto"/>
              <w:right w:val="single" w:sz="6" w:space="0" w:color="auto"/>
            </w:tcBorders>
            <w:vAlign w:val="center"/>
            <w:hideMark/>
          </w:tcPr>
          <w:p w14:paraId="1879EDE2"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8A7BC6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the Emergency Profile Attribute set.</w:t>
            </w:r>
          </w:p>
          <w:p w14:paraId="75F3E2A8" w14:textId="53494A3B"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84B310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7A5C0D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CE3373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C</w:t>
            </w:r>
          </w:p>
        </w:tc>
      </w:tr>
      <w:tr w:rsidR="00B97365" w14:paraId="583E592D" w14:textId="77777777">
        <w:trPr>
          <w:trHeight w:val="282"/>
          <w:jc w:val="center"/>
        </w:trPr>
        <w:tc>
          <w:tcPr>
            <w:tcW w:w="1852" w:type="dxa"/>
            <w:tcBorders>
              <w:top w:val="single" w:sz="6" w:space="0" w:color="auto"/>
              <w:left w:val="single" w:sz="4" w:space="0" w:color="auto"/>
              <w:bottom w:val="single" w:sz="4" w:space="0" w:color="auto"/>
              <w:right w:val="single" w:sz="6" w:space="0" w:color="auto"/>
            </w:tcBorders>
            <w:vAlign w:val="center"/>
            <w:hideMark/>
          </w:tcPr>
          <w:p w14:paraId="4E45E5A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6A88729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0FA1D24C" w14:textId="60F2D006"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4E0D583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70FF29E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07F8360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6AF005FC"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5519: Handle Emergency Profile Attribute Set Notification Additional Input Data</w:t>
      </w:r>
    </w:p>
    <w:p w14:paraId="1522914E"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25" w:name="_Toc1977426"/>
      <w:bookmarkStart w:id="5526" w:name="_Toc37062585"/>
      <w:bookmarkStart w:id="5527" w:name="_Toc88839659"/>
      <w:bookmarkStart w:id="5528" w:name="_Toc121504067"/>
      <w:r>
        <w:rPr>
          <w:rFonts w:eastAsia="Times New Roman" w:cs="Arial"/>
          <w:b/>
          <w:bCs/>
          <w:iCs/>
          <w:sz w:val="24"/>
          <w:szCs w:val="26"/>
          <w:lang w:eastAsia="en-US"/>
        </w:rPr>
        <w:t>Notifying the Emergency Profile Attribute Unsetting</w:t>
      </w:r>
      <w:bookmarkEnd w:id="5525"/>
      <w:bookmarkEnd w:id="5526"/>
      <w:bookmarkEnd w:id="5527"/>
      <w:bookmarkEnd w:id="5528"/>
    </w:p>
    <w:p w14:paraId="6A2D217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w:t>
      </w:r>
      <w:r>
        <w:t>EmergencyProfile</w:t>
      </w:r>
      <w:r>
        <w:rPr>
          <w:szCs w:val="22"/>
          <w:lang w:val="en-US" w:eastAsia="en-GB" w:bidi="ar-SA"/>
        </w:rPr>
        <w:t>AttributeUnsetNotification</w:t>
      </w:r>
    </w:p>
    <w:p w14:paraId="6068F08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xml:space="preserve">: </w:t>
      </w:r>
      <w:r>
        <w:t xml:space="preserve">Emergency Profile </w:t>
      </w:r>
      <w:r>
        <w:rPr>
          <w:szCs w:val="22"/>
          <w:lang w:val="en-US" w:eastAsia="en-GB" w:bidi="ar-SA"/>
        </w:rPr>
        <w:t xml:space="preserve">Attribute Management, </w:t>
      </w:r>
      <w:r>
        <w:t xml:space="preserve">Emergency Profile </w:t>
      </w:r>
      <w:r>
        <w:rPr>
          <w:szCs w:val="22"/>
          <w:lang w:val="en-US" w:eastAsia="en-GB" w:bidi="ar-SA"/>
        </w:rPr>
        <w:t>Attribute Management via M2M SP</w:t>
      </w:r>
    </w:p>
    <w:p w14:paraId="34E023E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15CE9CAE"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Notification handler/recipient</w:t>
      </w:r>
      <w:r>
        <w:rPr>
          <w:szCs w:val="22"/>
          <w:lang w:val="en-US" w:eastAsia="en-GB" w:bidi="ar-SA"/>
        </w:rPr>
        <w:t>: Operator or M2M SP</w:t>
      </w:r>
    </w:p>
    <w:p w14:paraId="325D7C6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SHALL be called to notify that the </w:t>
      </w:r>
      <w:r>
        <w:t xml:space="preserve">Emergency Profile </w:t>
      </w:r>
      <w:r>
        <w:rPr>
          <w:szCs w:val="22"/>
          <w:lang w:val="en-US" w:eastAsia="en-GB" w:bidi="ar-SA"/>
        </w:rPr>
        <w:t xml:space="preserve">Attribute has been unset on the Profile identified by its ICCID on the eUICC identified by its EID. </w:t>
      </w:r>
    </w:p>
    <w:p w14:paraId="477B4ACC"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 all Operator and M2M SP servers that match one or the other of the following conditions:</w:t>
      </w:r>
    </w:p>
    <w:p w14:paraId="5FF14ED9" w14:textId="0B688580"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 xml:space="preserve">The Operator that owns the Profile, and the Operator has opted to receive such notifications (see section </w:t>
      </w:r>
      <w:r>
        <w:rPr>
          <w:szCs w:val="22"/>
          <w:lang w:val="en-US" w:eastAsia="en-GB" w:bidi="ar-SA"/>
        </w:rPr>
        <w:fldChar w:fldCharType="begin"/>
      </w:r>
      <w:r>
        <w:rPr>
          <w:szCs w:val="22"/>
          <w:lang w:val="en-US" w:eastAsia="en-GB" w:bidi="ar-SA"/>
        </w:rPr>
        <w:instrText xml:space="preserve"> REF _Ref536172994 \r \h </w:instrText>
      </w:r>
      <w:r>
        <w:rPr>
          <w:szCs w:val="22"/>
          <w:lang w:val="en-US" w:eastAsia="en-GB" w:bidi="ar-SA"/>
        </w:rPr>
      </w:r>
      <w:r>
        <w:rPr>
          <w:szCs w:val="22"/>
          <w:lang w:val="en-US" w:eastAsia="en-GB" w:bidi="ar-SA"/>
        </w:rPr>
        <w:fldChar w:fldCharType="separate"/>
      </w:r>
      <w:r w:rsidR="001D5AD9">
        <w:rPr>
          <w:szCs w:val="22"/>
          <w:lang w:val="en-US" w:eastAsia="en-GB" w:bidi="ar-SA"/>
        </w:rPr>
        <w:t>3.21</w:t>
      </w:r>
      <w:r>
        <w:rPr>
          <w:szCs w:val="22"/>
          <w:lang w:val="en-US" w:eastAsia="en-GB" w:bidi="ar-SA"/>
        </w:rPr>
        <w:fldChar w:fldCharType="end"/>
      </w:r>
      <w:r>
        <w:rPr>
          <w:szCs w:val="22"/>
          <w:lang w:val="en-US" w:eastAsia="en-GB" w:bidi="ar-SA"/>
        </w:rPr>
        <w:t>)</w:t>
      </w:r>
    </w:p>
    <w:p w14:paraId="476AB366" w14:textId="77777777" w:rsidR="00B97365" w:rsidRDefault="00000000">
      <w:pPr>
        <w:numPr>
          <w:ilvl w:val="0"/>
          <w:numId w:val="66"/>
        </w:numPr>
        <w:spacing w:before="0" w:after="200" w:line="276" w:lineRule="auto"/>
        <w:contextualSpacing/>
        <w:jc w:val="left"/>
        <w:rPr>
          <w:szCs w:val="22"/>
          <w:lang w:val="en-US" w:eastAsia="en-GB" w:bidi="ar-SA"/>
        </w:rPr>
      </w:pPr>
      <w:r>
        <w:rPr>
          <w:szCs w:val="22"/>
          <w:lang w:val="en-US" w:eastAsia="en-GB" w:bidi="ar-SA"/>
        </w:rPr>
        <w:t>The M2M SP, and the Operator owner of the Profile has granted the M2M SP with a PLMA authorising this Operation “HandleEmergencyProfileAttributeUnset</w:t>
      </w:r>
      <w:r>
        <w:rPr>
          <w:rFonts w:cs="Calibri"/>
          <w:szCs w:val="22"/>
        </w:rPr>
        <w:t>Notification</w:t>
      </w:r>
      <w:r>
        <w:rPr>
          <w:szCs w:val="22"/>
          <w:lang w:val="en-US" w:eastAsia="en-GB" w:bidi="ar-SA"/>
        </w:rPr>
        <w:t>”.</w:t>
      </w:r>
    </w:p>
    <w:p w14:paraId="63711E5A"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SM-SR should map it internally to Operator notification endpoint.</w:t>
      </w:r>
    </w:p>
    <w:p w14:paraId="05A65BC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5A1BCF8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or M2M SP receiving this notification is out of scope of this specification.</w:t>
      </w:r>
    </w:p>
    <w:p w14:paraId="77F4B5D8"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334"/>
        <w:gridCol w:w="949"/>
        <w:gridCol w:w="398"/>
        <w:gridCol w:w="514"/>
      </w:tblGrid>
      <w:tr w:rsidR="00B97365" w14:paraId="55AF941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1F116D5"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905AA7F"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96A77B3"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47EC2ED"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E08E115"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068295B3"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BD0BEF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23B2C0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5314CCA7" w14:textId="0D42FD6A"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FFC00C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1B6B18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38C55CB6"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F927D6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AB5B6D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8351707"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that has the Emergency Profile Attribute unset.</w:t>
            </w:r>
          </w:p>
          <w:p w14:paraId="77C119BE" w14:textId="56D49B88"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60582B0"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C736CB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31F371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632075F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1E1836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237BD0A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5FFF76C5" w14:textId="31215833"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667C4BF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497A375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70AACA51"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6F5A7E56"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5520: Handle Emergency Profile Attribute Unset Notification Additional Input Data</w:t>
      </w:r>
    </w:p>
    <w:p w14:paraId="7DADA1E0"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29" w:name="_Toc1977427"/>
      <w:bookmarkStart w:id="5530" w:name="_Toc37062586"/>
      <w:bookmarkStart w:id="5531" w:name="_Toc88839660"/>
      <w:bookmarkStart w:id="5532" w:name="_Toc121504068"/>
      <w:r>
        <w:rPr>
          <w:rFonts w:eastAsia="Times New Roman" w:cs="Arial"/>
          <w:b/>
          <w:bCs/>
          <w:iCs/>
          <w:sz w:val="24"/>
          <w:szCs w:val="26"/>
          <w:lang w:eastAsia="en-US"/>
        </w:rPr>
        <w:t>Setting the Fall-Back Attribute</w:t>
      </w:r>
      <w:bookmarkEnd w:id="5529"/>
      <w:bookmarkEnd w:id="5530"/>
      <w:bookmarkEnd w:id="5531"/>
      <w:bookmarkEnd w:id="5532"/>
    </w:p>
    <w:p w14:paraId="0927F94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SetFallBackAttribute</w:t>
      </w:r>
    </w:p>
    <w:p w14:paraId="5D93BA3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Fall-Back Attribute Management</w:t>
      </w:r>
    </w:p>
    <w:p w14:paraId="075CAA0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08F294C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5D4324E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73ECC1F5" w14:textId="77777777" w:rsidR="00B97365" w:rsidRDefault="00000000">
      <w:pPr>
        <w:spacing w:before="0" w:after="200" w:line="276" w:lineRule="auto"/>
        <w:jc w:val="left"/>
        <w:rPr>
          <w:szCs w:val="22"/>
          <w:lang w:val="en-US" w:eastAsia="en-GB" w:bidi="ar-SA"/>
        </w:rPr>
      </w:pPr>
      <w:r>
        <w:rPr>
          <w:rFonts w:cs="Arial"/>
          <w:szCs w:val="22"/>
          <w:lang w:val="en-US" w:eastAsia="en-GB" w:bidi="ar-SA"/>
        </w:rPr>
        <w:lastRenderedPageBreak/>
        <w:t xml:space="preserve">This function allows the Operator owner of the Profile or an M2M SP authorised by the Operator owner of the Profile, to request the SM-SR to set the Fall-Back Attribute on a Profile in a specified eUICC, eUICC being identified by its EID. </w:t>
      </w:r>
      <w:r>
        <w:rPr>
          <w:szCs w:val="22"/>
          <w:lang w:val="en-US" w:eastAsia="en-GB" w:bidi="ar-SA"/>
        </w:rPr>
        <w:t xml:space="preserve">On reception of this request, the SM-SR SHALL </w:t>
      </w:r>
      <w:r>
        <w:rPr>
          <w:rFonts w:cs="Arial"/>
          <w:szCs w:val="22"/>
          <w:lang w:val="en-US" w:eastAsia="en-GB" w:bidi="ar-SA"/>
        </w:rPr>
        <w:t>perform the following minimum set of verifications:</w:t>
      </w:r>
      <w:r>
        <w:rPr>
          <w:szCs w:val="22"/>
          <w:lang w:val="en-US" w:eastAsia="en-GB" w:bidi="ar-SA"/>
        </w:rPr>
        <w:t xml:space="preserve"> </w:t>
      </w:r>
    </w:p>
    <w:p w14:paraId="5CD9CBBD" w14:textId="77777777" w:rsidR="00B97365" w:rsidRDefault="00000000">
      <w:pPr>
        <w:numPr>
          <w:ilvl w:val="0"/>
          <w:numId w:val="66"/>
        </w:numPr>
        <w:tabs>
          <w:tab w:val="left" w:pos="680"/>
        </w:tabs>
        <w:spacing w:before="0" w:after="200" w:line="276" w:lineRule="auto"/>
        <w:contextualSpacing/>
        <w:jc w:val="left"/>
        <w:rPr>
          <w:szCs w:val="22"/>
          <w:lang w:eastAsia="en-GB" w:bidi="ar-SA"/>
        </w:rPr>
      </w:pPr>
      <w:r>
        <w:rPr>
          <w:szCs w:val="22"/>
          <w:lang w:eastAsia="en-GB" w:bidi="ar-SA"/>
        </w:rPr>
        <w:t>The SM-SR is responsible for the management of the targeted eUICC.</w:t>
      </w:r>
    </w:p>
    <w:p w14:paraId="2A69F5B1" w14:textId="77777777" w:rsidR="00B97365" w:rsidRDefault="00000000">
      <w:pPr>
        <w:numPr>
          <w:ilvl w:val="0"/>
          <w:numId w:val="66"/>
        </w:numPr>
        <w:tabs>
          <w:tab w:val="left" w:pos="680"/>
        </w:tabs>
        <w:spacing w:before="0" w:after="200" w:line="276" w:lineRule="auto"/>
        <w:contextualSpacing/>
        <w:jc w:val="left"/>
        <w:rPr>
          <w:szCs w:val="22"/>
          <w:lang w:eastAsia="en-GB" w:bidi="ar-SA"/>
        </w:rPr>
      </w:pPr>
      <w:r>
        <w:rPr>
          <w:szCs w:val="22"/>
          <w:lang w:eastAsia="en-GB" w:bidi="ar-SA"/>
        </w:rPr>
        <w:t>The Profile identified by its ICCID is loaded on the targeted eUICC.</w:t>
      </w:r>
    </w:p>
    <w:p w14:paraId="3E034D95" w14:textId="77777777" w:rsidR="00B97365" w:rsidRDefault="00000000">
      <w:pPr>
        <w:numPr>
          <w:ilvl w:val="0"/>
          <w:numId w:val="66"/>
        </w:numPr>
        <w:tabs>
          <w:tab w:val="left" w:pos="680"/>
        </w:tabs>
        <w:spacing w:before="0" w:after="200" w:line="276" w:lineRule="auto"/>
        <w:contextualSpacing/>
        <w:jc w:val="left"/>
        <w:rPr>
          <w:szCs w:val="22"/>
          <w:lang w:eastAsia="en-GB" w:bidi="ar-SA"/>
        </w:rPr>
      </w:pPr>
      <w:r>
        <w:rPr>
          <w:szCs w:val="22"/>
          <w:lang w:eastAsia="en-GB" w:bidi="ar-SA"/>
        </w:rPr>
        <w:t>The target Profile is owned by the requesting Operator, or by an Operator that had granted a PLMA that authorises the requesting M2M SP to perform the operation “</w:t>
      </w:r>
      <w:r>
        <w:rPr>
          <w:rFonts w:cs="Calibri"/>
          <w:szCs w:val="22"/>
        </w:rPr>
        <w:t>setFallbackAttribute</w:t>
      </w:r>
      <w:r>
        <w:rPr>
          <w:szCs w:val="22"/>
          <w:lang w:eastAsia="en-GB" w:bidi="ar-SA"/>
        </w:rPr>
        <w:t>” on a Profile that matches the criteria of the PLMA (see section 5.7.1.1 for the detail of the matching of the criteria)</w:t>
      </w:r>
    </w:p>
    <w:p w14:paraId="1FC43582" w14:textId="77777777" w:rsidR="00B97365" w:rsidRDefault="00000000">
      <w:pPr>
        <w:numPr>
          <w:ilvl w:val="0"/>
          <w:numId w:val="66"/>
        </w:numPr>
        <w:tabs>
          <w:tab w:val="left" w:pos="680"/>
        </w:tabs>
        <w:spacing w:before="0" w:after="200" w:line="276" w:lineRule="auto"/>
        <w:contextualSpacing/>
        <w:jc w:val="left"/>
        <w:rPr>
          <w:szCs w:val="22"/>
          <w:lang w:eastAsia="en-GB" w:bidi="ar-SA"/>
        </w:rPr>
      </w:pPr>
      <w:r>
        <w:rPr>
          <w:szCs w:val="22"/>
          <w:lang w:val="en-US" w:eastAsia="en-GB" w:bidi="ar-SA"/>
        </w:rPr>
        <w:t xml:space="preserve">The Operator owning the Profile which currently has the Fall-Back Attribute set has granted a PLMA that authorises the requesting Operator or M2M SP to perform the operation “UnsetFallBackAttribute”, and that the Profile that currently has the Fall-Back Attribute set matches </w:t>
      </w:r>
      <w:r>
        <w:rPr>
          <w:szCs w:val="22"/>
          <w:lang w:eastAsia="en-GB" w:bidi="ar-SA"/>
        </w:rPr>
        <w:t>the criteria of the PLMA (see section 5.7.1.1 for the detail of the matching of the criteria)</w:t>
      </w:r>
      <w:r>
        <w:rPr>
          <w:szCs w:val="22"/>
          <w:lang w:val="en-US" w:eastAsia="en-GB" w:bidi="ar-SA"/>
        </w:rPr>
        <w:t>.</w:t>
      </w:r>
    </w:p>
    <w:p w14:paraId="454570AD" w14:textId="77777777" w:rsidR="00B97365" w:rsidRDefault="00000000">
      <w:pPr>
        <w:spacing w:before="0" w:after="200" w:line="276" w:lineRule="auto"/>
        <w:jc w:val="left"/>
        <w:rPr>
          <w:szCs w:val="22"/>
          <w:lang w:val="en-US" w:eastAsia="en-GB" w:bidi="ar-SA"/>
        </w:rPr>
      </w:pPr>
      <w:r>
        <w:rPr>
          <w:szCs w:val="22"/>
          <w:lang w:val="en-US" w:eastAsia="en-GB" w:bidi="ar-SA"/>
        </w:rPr>
        <w:t>The SM-SR MAY provide additional verifications.</w:t>
      </w:r>
    </w:p>
    <w:p w14:paraId="14007C62" w14:textId="672ADA3C" w:rsidR="00B97365" w:rsidRDefault="00000000">
      <w:pPr>
        <w:spacing w:before="0" w:after="200" w:line="276" w:lineRule="auto"/>
        <w:jc w:val="left"/>
        <w:rPr>
          <w:szCs w:val="22"/>
          <w:lang w:val="en-US" w:eastAsia="en-GB" w:bidi="ar-SA"/>
        </w:rPr>
      </w:pPr>
      <w:r>
        <w:rPr>
          <w:rFonts w:cs="Arial"/>
          <w:szCs w:val="22"/>
          <w:lang w:val="en-US" w:eastAsia="en-GB" w:bidi="ar-SA"/>
        </w:rPr>
        <w:t xml:space="preserve">The SM-SR receiving this request SHALL process it according to “Fall-Back Attribute Management” procedures described in section </w:t>
      </w:r>
      <w:r>
        <w:rPr>
          <w:rFonts w:cs="Arial"/>
          <w:szCs w:val="22"/>
          <w:lang w:val="en-US" w:eastAsia="en-GB" w:bidi="ar-SA"/>
        </w:rPr>
        <w:fldChar w:fldCharType="begin"/>
      </w:r>
      <w:r>
        <w:rPr>
          <w:rFonts w:cs="Arial"/>
          <w:szCs w:val="22"/>
          <w:lang w:val="en-US" w:eastAsia="en-GB" w:bidi="ar-SA"/>
        </w:rPr>
        <w:instrText xml:space="preserve"> REF _Ref536175310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3.27</w:t>
      </w:r>
      <w:r>
        <w:rPr>
          <w:rFonts w:cs="Arial"/>
          <w:szCs w:val="22"/>
          <w:lang w:val="en-US" w:eastAsia="en-GB" w:bidi="ar-SA"/>
        </w:rPr>
        <w:fldChar w:fldCharType="end"/>
      </w:r>
      <w:r>
        <w:rPr>
          <w:rFonts w:cs="Arial"/>
          <w:szCs w:val="22"/>
          <w:lang w:val="en-US" w:eastAsia="en-GB" w:bidi="ar-SA"/>
        </w:rPr>
        <w:t xml:space="preserve"> and </w:t>
      </w:r>
      <w:r>
        <w:rPr>
          <w:rFonts w:cs="Arial"/>
          <w:szCs w:val="22"/>
          <w:lang w:val="en-US" w:eastAsia="en-GB" w:bidi="ar-SA"/>
        </w:rPr>
        <w:fldChar w:fldCharType="begin"/>
      </w:r>
      <w:r>
        <w:rPr>
          <w:rFonts w:cs="Arial"/>
          <w:szCs w:val="22"/>
          <w:lang w:val="en-US" w:eastAsia="en-GB" w:bidi="ar-SA"/>
        </w:rPr>
        <w:instrText xml:space="preserve"> REF _Ref536175313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3.29</w:t>
      </w:r>
      <w:r>
        <w:rPr>
          <w:rFonts w:cs="Arial"/>
          <w:szCs w:val="22"/>
          <w:lang w:val="en-US" w:eastAsia="en-GB" w:bidi="ar-SA"/>
        </w:rPr>
        <w:fldChar w:fldCharType="end"/>
      </w:r>
      <w:r>
        <w:rPr>
          <w:rFonts w:cs="Arial"/>
          <w:szCs w:val="22"/>
          <w:lang w:val="en-US" w:eastAsia="en-GB" w:bidi="ar-SA"/>
        </w:rPr>
        <w:t xml:space="preserve"> </w:t>
      </w:r>
      <w:r>
        <w:rPr>
          <w:szCs w:val="22"/>
          <w:lang w:val="en-US" w:eastAsia="en-GB" w:bidi="ar-SA"/>
        </w:rPr>
        <w:t>of this specification.</w:t>
      </w:r>
    </w:p>
    <w:p w14:paraId="71B085C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C091CC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Fall-Back Attribute has been set on the targeted Profile. </w:t>
      </w:r>
    </w:p>
    <w:p w14:paraId="24A0DC86" w14:textId="7EF0A632"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_Ref367974707 \r \h  \* MERGEFORMAT </w:instrText>
      </w:r>
      <w:r>
        <w:fldChar w:fldCharType="separate"/>
      </w:r>
      <w:r w:rsidR="001D5AD9" w:rsidRPr="001D5AD9">
        <w:rPr>
          <w:szCs w:val="22"/>
          <w:lang w:eastAsia="en-GB" w:bidi="ar-SA"/>
        </w:rPr>
        <w:t>5.1.6.4</w:t>
      </w:r>
      <w:r>
        <w:fldChar w:fldCharType="end"/>
      </w:r>
    </w:p>
    <w:p w14:paraId="4A38D44D" w14:textId="2A511473"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_Ref367974714 \r \h  \* MERGEFORMAT </w:instrText>
      </w:r>
      <w:r>
        <w:fldChar w:fldCharType="separate"/>
      </w:r>
      <w:r w:rsidR="001D5AD9" w:rsidRPr="001D5AD9">
        <w:rPr>
          <w:szCs w:val="22"/>
          <w:lang w:eastAsia="en-GB" w:bidi="ar-SA"/>
        </w:rPr>
        <w:t>5.1.6.4</w:t>
      </w:r>
      <w:r>
        <w:fldChar w:fldCharType="end"/>
      </w:r>
      <w:r>
        <w:rPr>
          <w:szCs w:val="22"/>
          <w:lang w:eastAsia="en-GB" w:bidi="ar-SA"/>
        </w:rPr>
        <w:t xml:space="preserve"> of a specific status code as defined in the table here after.</w:t>
      </w:r>
    </w:p>
    <w:p w14:paraId="01355CBA" w14:textId="77777777" w:rsidR="00B97365" w:rsidRDefault="00B97365">
      <w:pPr>
        <w:tabs>
          <w:tab w:val="left" w:pos="680"/>
        </w:tabs>
        <w:spacing w:before="0" w:after="200" w:line="276" w:lineRule="auto"/>
        <w:contextualSpacing/>
        <w:jc w:val="left"/>
        <w:rPr>
          <w:rFonts w:cs="Arial"/>
          <w:szCs w:val="22"/>
          <w:lang w:eastAsia="en-GB" w:bidi="ar-SA"/>
        </w:rPr>
      </w:pPr>
    </w:p>
    <w:p w14:paraId="7732FB5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4756"/>
        <w:gridCol w:w="590"/>
        <w:gridCol w:w="474"/>
        <w:gridCol w:w="590"/>
      </w:tblGrid>
      <w:tr w:rsidR="00B97365" w14:paraId="3640094A"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9E2675E"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DA47043"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873C8EE"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CF01F69"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2F1EDE4"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C79103D"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51B11DF8"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hideMark/>
          </w:tcPr>
          <w:p w14:paraId="12D794E1" w14:textId="77777777" w:rsidR="00B97365" w:rsidRDefault="00000000">
            <w:pPr>
              <w:rPr>
                <w:rFonts w:eastAsia="Times New Roman" w:cs="Calibri"/>
                <w:sz w:val="16"/>
                <w:szCs w:val="16"/>
                <w:lang w:val="en-US"/>
              </w:rPr>
            </w:pPr>
            <w:r>
              <w:rPr>
                <w:rFonts w:cs="Calibri"/>
                <w:sz w:val="16"/>
                <w:szCs w:val="16"/>
                <w:lang w:val="en-US"/>
              </w:rPr>
              <w:t>Identification of the targeted eUICC.</w:t>
            </w:r>
          </w:p>
          <w:p w14:paraId="737730C9" w14:textId="6D29D93E" w:rsidR="00B97365" w:rsidRDefault="00000000">
            <w:pPr>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_Ref367974724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hideMark/>
          </w:tcPr>
          <w:p w14:paraId="3E977FF0"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hideMark/>
          </w:tcPr>
          <w:p w14:paraId="5513E9D6"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77FE93CD"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r w:rsidR="00B97365" w14:paraId="5904067F"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vAlign w:val="center"/>
            <w:hideMark/>
          </w:tcPr>
          <w:p w14:paraId="4B70DC3C"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43BDCF2D" w14:textId="7777777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Identification of the Profile on which to set the Fall-Back Attribute.</w:t>
            </w:r>
          </w:p>
          <w:p w14:paraId="63C1C1F8" w14:textId="3F31E3A7" w:rsidR="00B97365" w:rsidRDefault="00000000">
            <w:pPr>
              <w:keepNext/>
              <w:keepLines/>
              <w:tabs>
                <w:tab w:val="num" w:pos="1152"/>
                <w:tab w:val="num" w:pos="2160"/>
              </w:tabs>
              <w:spacing w:after="140" w:line="260" w:lineRule="atLeast"/>
              <w:ind w:left="1152" w:hanging="1152"/>
              <w:rPr>
                <w:rFonts w:eastAsia="Times New Roman" w:cs="Calibri"/>
                <w:sz w:val="16"/>
                <w:szCs w:val="16"/>
                <w:lang w:val="en-US"/>
              </w:rPr>
            </w:pPr>
            <w:r>
              <w:rPr>
                <w:rFonts w:cs="Calibri"/>
                <w:sz w:val="16"/>
                <w:szCs w:val="16"/>
                <w:lang w:val="en-US"/>
              </w:rPr>
              <w:t xml:space="preserve">See section </w:t>
            </w:r>
            <w:r>
              <w:fldChar w:fldCharType="begin"/>
            </w:r>
            <w:r>
              <w:instrText xml:space="preserve"> REF _Ref367974730 \r \h  \* MERGEFORMAT </w:instrText>
            </w:r>
            <w:r>
              <w:fldChar w:fldCharType="separate"/>
            </w:r>
            <w:r w:rsidR="001D5AD9" w:rsidRPr="001D5AD9">
              <w:rPr>
                <w:rFonts w:cs="Calibri"/>
                <w:sz w:val="16"/>
                <w:szCs w:val="16"/>
              </w:rPr>
              <w:t>5.1.1.1</w:t>
            </w:r>
            <w: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1B3B3205" w14:textId="77777777" w:rsidR="00B97365" w:rsidRDefault="00000000">
            <w:pPr>
              <w:keepNext/>
              <w:keepLines/>
              <w:tabs>
                <w:tab w:val="num" w:pos="4320"/>
              </w:tabs>
              <w:spacing w:before="140" w:after="120" w:line="260" w:lineRule="atLeast"/>
              <w:ind w:left="1531" w:hanging="1531"/>
              <w:jc w:val="center"/>
              <w:rPr>
                <w:rFonts w:eastAsia="Times New Roman"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vAlign w:val="center"/>
            <w:hideMark/>
          </w:tcPr>
          <w:p w14:paraId="48FAA502" w14:textId="77777777" w:rsidR="00B97365" w:rsidRDefault="00000000">
            <w:pPr>
              <w:spacing w:before="140" w:after="120" w:line="260" w:lineRule="atLeast"/>
              <w:ind w:left="1531" w:hanging="1531"/>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vAlign w:val="center"/>
            <w:hideMark/>
          </w:tcPr>
          <w:p w14:paraId="52992A99"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M</w:t>
            </w:r>
          </w:p>
        </w:tc>
      </w:tr>
    </w:tbl>
    <w:p w14:paraId="0A7A2AF4"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5521-A: Set Fall-Back Attribute Additional Input Data</w:t>
      </w:r>
    </w:p>
    <w:p w14:paraId="0BCE8CF0"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583"/>
        <w:gridCol w:w="5258"/>
        <w:gridCol w:w="1241"/>
        <w:gridCol w:w="409"/>
        <w:gridCol w:w="525"/>
      </w:tblGrid>
      <w:tr w:rsidR="00B97365" w14:paraId="6433391F"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E0192CE"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D69A47A"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8D7CCA4"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9D26DD8"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8CCCF22"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0D74660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C233826" w14:textId="77777777" w:rsidR="00B97365" w:rsidRDefault="00000000">
            <w:pPr>
              <w:tabs>
                <w:tab w:val="right" w:pos="7938"/>
              </w:tabs>
              <w:ind w:left="470" w:hanging="459"/>
              <w:rPr>
                <w:rFonts w:cs="Calibri"/>
                <w:sz w:val="16"/>
                <w:szCs w:val="16"/>
              </w:rPr>
            </w:pPr>
            <w:r>
              <w:rPr>
                <w:rFonts w:cs="Calibri"/>
                <w:sz w:val="16"/>
                <w:szCs w:val="16"/>
              </w:rPr>
              <w:t>euiccResponseData</w:t>
            </w:r>
          </w:p>
        </w:tc>
        <w:tc>
          <w:tcPr>
            <w:tcW w:w="0" w:type="auto"/>
            <w:tcBorders>
              <w:top w:val="single" w:sz="6" w:space="0" w:color="auto"/>
              <w:left w:val="single" w:sz="6" w:space="0" w:color="auto"/>
              <w:bottom w:val="single" w:sz="4" w:space="0" w:color="auto"/>
              <w:right w:val="single" w:sz="6" w:space="0" w:color="auto"/>
            </w:tcBorders>
            <w:vAlign w:val="center"/>
            <w:hideMark/>
          </w:tcPr>
          <w:p w14:paraId="0E2DD423" w14:textId="77777777" w:rsidR="00B97365" w:rsidRDefault="00000000">
            <w:pPr>
              <w:rPr>
                <w:rFonts w:cs="Calibri"/>
                <w:b/>
                <w:noProof/>
                <w:sz w:val="16"/>
                <w:szCs w:val="16"/>
              </w:rPr>
            </w:pPr>
            <w:r>
              <w:rPr>
                <w:rFonts w:cs="Calibri"/>
                <w:sz w:val="16"/>
                <w:szCs w:val="16"/>
              </w:rPr>
              <w:t xml:space="preserve">Contains the detailed error returned by the eUICC in case the function execution failed on eUICC. The response data is defined in ES5.SetFallBackAttribute. </w:t>
            </w:r>
          </w:p>
        </w:tc>
        <w:tc>
          <w:tcPr>
            <w:tcW w:w="0" w:type="auto"/>
            <w:tcBorders>
              <w:top w:val="single" w:sz="6" w:space="0" w:color="auto"/>
              <w:left w:val="single" w:sz="6" w:space="0" w:color="auto"/>
              <w:bottom w:val="single" w:sz="4" w:space="0" w:color="auto"/>
              <w:right w:val="single" w:sz="6" w:space="0" w:color="auto"/>
            </w:tcBorders>
            <w:vAlign w:val="center"/>
            <w:hideMark/>
          </w:tcPr>
          <w:p w14:paraId="0F2FFD63" w14:textId="77777777" w:rsidR="00B97365" w:rsidRDefault="00000000">
            <w:pPr>
              <w:tabs>
                <w:tab w:val="right" w:pos="7938"/>
              </w:tabs>
              <w:ind w:firstLine="11"/>
              <w:rPr>
                <w:rFonts w:cs="Calibri"/>
                <w:sz w:val="16"/>
                <w:szCs w:val="16"/>
                <w:lang w:val="en-US"/>
              </w:rPr>
            </w:pPr>
            <w:r>
              <w:rPr>
                <w:rFonts w:cs="Calibri"/>
                <w:sz w:val="16"/>
                <w:szCs w:val="16"/>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3F187B0F" w14:textId="77777777" w:rsidR="00B97365" w:rsidRDefault="00000000">
            <w:pPr>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2935BBDA" w14:textId="77777777" w:rsidR="00B97365" w:rsidRDefault="00000000">
            <w:pPr>
              <w:jc w:val="center"/>
              <w:rPr>
                <w:rFonts w:cs="Calibri"/>
                <w:sz w:val="16"/>
                <w:szCs w:val="16"/>
                <w:lang w:val="en-US"/>
              </w:rPr>
            </w:pPr>
            <w:r>
              <w:rPr>
                <w:rFonts w:cs="Calibri"/>
                <w:sz w:val="16"/>
                <w:szCs w:val="16"/>
                <w:lang w:val="en-US"/>
              </w:rPr>
              <w:t>O</w:t>
            </w:r>
          </w:p>
        </w:tc>
      </w:tr>
    </w:tbl>
    <w:p w14:paraId="457AC720"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5521-B: Set Fall-Back Attribute Additional Output Data</w:t>
      </w:r>
    </w:p>
    <w:p w14:paraId="1235F364"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lastRenderedPageBreak/>
        <w:t>Specific status codes</w:t>
      </w:r>
    </w:p>
    <w:tbl>
      <w:tblPr>
        <w:tblW w:w="944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036"/>
        <w:gridCol w:w="865"/>
        <w:gridCol w:w="732"/>
        <w:gridCol w:w="1124"/>
        <w:gridCol w:w="5686"/>
      </w:tblGrid>
      <w:tr w:rsidR="00B97365" w14:paraId="240240C0" w14:textId="77777777">
        <w:trPr>
          <w:trHeight w:val="342"/>
          <w:jc w:val="center"/>
        </w:trPr>
        <w:tc>
          <w:tcPr>
            <w:tcW w:w="103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AC6F1DC" w14:textId="77777777" w:rsidR="00B97365" w:rsidRDefault="00000000">
            <w:pPr>
              <w:jc w:val="center"/>
              <w:rPr>
                <w:rFonts w:cs="Calibri"/>
                <w:b/>
                <w:color w:val="FFFFFF"/>
                <w:sz w:val="16"/>
                <w:szCs w:val="16"/>
              </w:rPr>
            </w:pPr>
            <w:r>
              <w:rPr>
                <w:rFonts w:cs="Calibri"/>
                <w:b/>
                <w:color w:val="FFFFFF"/>
                <w:sz w:val="16"/>
                <w:szCs w:val="16"/>
              </w:rPr>
              <w:t>Subject</w:t>
            </w:r>
          </w:p>
          <w:p w14:paraId="7D39570A"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BCD1DD6" w14:textId="77777777" w:rsidR="00B97365" w:rsidRDefault="00000000">
            <w:pPr>
              <w:jc w:val="center"/>
              <w:rPr>
                <w:rFonts w:cs="Calibri"/>
                <w:b/>
                <w:color w:val="FFFFFF"/>
                <w:sz w:val="16"/>
                <w:szCs w:val="16"/>
              </w:rPr>
            </w:pPr>
            <w:r>
              <w:rPr>
                <w:rFonts w:cs="Calibri"/>
                <w:b/>
                <w:color w:val="FFFFFF"/>
                <w:sz w:val="16"/>
                <w:szCs w:val="16"/>
              </w:rPr>
              <w:t>Subject</w:t>
            </w:r>
          </w:p>
        </w:tc>
        <w:tc>
          <w:tcPr>
            <w:tcW w:w="73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6FE5051" w14:textId="77777777" w:rsidR="00B97365" w:rsidRDefault="00000000">
            <w:pPr>
              <w:jc w:val="center"/>
              <w:rPr>
                <w:rFonts w:cs="Calibri"/>
                <w:b/>
                <w:color w:val="FFFFFF"/>
                <w:sz w:val="16"/>
                <w:szCs w:val="16"/>
              </w:rPr>
            </w:pPr>
            <w:r>
              <w:rPr>
                <w:rFonts w:cs="Calibri"/>
                <w:b/>
                <w:color w:val="FFFFFF"/>
                <w:sz w:val="16"/>
                <w:szCs w:val="16"/>
              </w:rPr>
              <w:t>Reason</w:t>
            </w:r>
          </w:p>
          <w:p w14:paraId="055C0866"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6BAE3C8"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AC1485F"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020E43FB"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057AD03C" w14:textId="77777777" w:rsidR="00B97365" w:rsidRDefault="00000000">
            <w:pPr>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5393300A" w14:textId="77777777" w:rsidR="00B97365" w:rsidRDefault="00000000">
            <w:pPr>
              <w:rPr>
                <w:rFonts w:cs="Calibri"/>
                <w:sz w:val="16"/>
                <w:szCs w:val="16"/>
                <w:lang w:val="en-US"/>
              </w:rPr>
            </w:pPr>
            <w:r>
              <w:rPr>
                <w:rFonts w:cs="Calibri"/>
                <w:sz w:val="16"/>
                <w:szCs w:val="16"/>
                <w:lang w:val="en-US"/>
              </w:rPr>
              <w:t>EID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50A6C9D9"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299A57FC" w14:textId="77777777" w:rsidR="00B97365" w:rsidRDefault="00000000">
            <w:pPr>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212E2355" w14:textId="77777777" w:rsidR="00B97365" w:rsidRDefault="00000000">
            <w:pPr>
              <w:rPr>
                <w:rFonts w:cs="Calibri"/>
                <w:sz w:val="16"/>
                <w:szCs w:val="16"/>
                <w:lang w:val="en-US"/>
              </w:rPr>
            </w:pPr>
            <w:r>
              <w:rPr>
                <w:rFonts w:cs="Calibri"/>
                <w:sz w:val="16"/>
                <w:szCs w:val="16"/>
              </w:rPr>
              <w:t>Indicates that the eUICC, identified by this EID, is unknown to the function provider.</w:t>
            </w:r>
          </w:p>
        </w:tc>
      </w:tr>
      <w:tr w:rsidR="00B97365" w14:paraId="72F0B962"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7852AE53"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16F6A490"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0F13DCD7" w14:textId="77777777" w:rsidR="00B97365" w:rsidRDefault="00000000">
            <w:pPr>
              <w:jc w:val="center"/>
              <w:rPr>
                <w:rFonts w:cs="Calibri"/>
                <w:sz w:val="16"/>
                <w:szCs w:val="16"/>
                <w:lang w:val="en-US"/>
              </w:rPr>
            </w:pPr>
            <w:r>
              <w:rPr>
                <w:rFonts w:cs="Calibri"/>
                <w:sz w:val="16"/>
                <w:szCs w:val="16"/>
                <w:lang w:val="en-U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080BE43F" w14:textId="77777777" w:rsidR="00B97365" w:rsidRDefault="00000000">
            <w:pPr>
              <w:rPr>
                <w:rFonts w:cs="Calibri"/>
                <w:sz w:val="16"/>
                <w:szCs w:val="16"/>
                <w:lang w:val="en-US"/>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4B400AF2" w14:textId="77777777" w:rsidR="00B97365" w:rsidRDefault="00000000">
            <w:pPr>
              <w:rPr>
                <w:rFonts w:cs="Calibri"/>
                <w:sz w:val="16"/>
                <w:szCs w:val="16"/>
                <w:lang w:val="en-US"/>
              </w:rPr>
            </w:pPr>
            <w:r>
              <w:rPr>
                <w:rFonts w:cs="Calibri"/>
                <w:sz w:val="16"/>
                <w:szCs w:val="16"/>
                <w:lang w:val="en-US"/>
              </w:rPr>
              <w:t>Indicates that the Profile identified by this ICCID is unknown to the function provider.</w:t>
            </w:r>
          </w:p>
        </w:tc>
      </w:tr>
      <w:tr w:rsidR="00B97365" w14:paraId="15249C7C"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1804CBC8" w14:textId="77777777" w:rsidR="00B97365" w:rsidRDefault="00000000">
            <w:pPr>
              <w:jc w:val="center"/>
              <w:rPr>
                <w:rFonts w:cs="Calibri"/>
                <w:sz w:val="16"/>
                <w:szCs w:val="16"/>
              </w:rPr>
            </w:pPr>
            <w:r>
              <w:rPr>
                <w:rFonts w:cs="Calibri"/>
                <w:sz w:val="16"/>
                <w:szCs w:val="16"/>
              </w:rPr>
              <w:t>8.2.1</w:t>
            </w:r>
          </w:p>
        </w:tc>
        <w:tc>
          <w:tcPr>
            <w:tcW w:w="0" w:type="auto"/>
            <w:tcBorders>
              <w:top w:val="single" w:sz="6" w:space="0" w:color="auto"/>
              <w:left w:val="single" w:sz="6" w:space="0" w:color="auto"/>
              <w:bottom w:val="single" w:sz="6" w:space="0" w:color="auto"/>
              <w:right w:val="single" w:sz="6" w:space="0" w:color="auto"/>
            </w:tcBorders>
            <w:vAlign w:val="center"/>
            <w:hideMark/>
          </w:tcPr>
          <w:p w14:paraId="0B0A6FC8" w14:textId="77777777" w:rsidR="00B97365" w:rsidRDefault="00000000">
            <w:pPr>
              <w:rPr>
                <w:rFonts w:cs="Calibri"/>
                <w:sz w:val="16"/>
                <w:szCs w:val="16"/>
                <w:lang w:val="en-US"/>
              </w:rPr>
            </w:pPr>
            <w:r>
              <w:rPr>
                <w:rFonts w:cs="Calibri"/>
                <w:sz w:val="16"/>
                <w:szCs w:val="16"/>
                <w:lang w:val="en-US"/>
              </w:rPr>
              <w:t>Profile ICCID</w:t>
            </w:r>
          </w:p>
        </w:tc>
        <w:tc>
          <w:tcPr>
            <w:tcW w:w="732" w:type="dxa"/>
            <w:tcBorders>
              <w:top w:val="single" w:sz="6" w:space="0" w:color="auto"/>
              <w:left w:val="single" w:sz="6" w:space="0" w:color="auto"/>
              <w:bottom w:val="single" w:sz="6" w:space="0" w:color="auto"/>
              <w:right w:val="single" w:sz="6" w:space="0" w:color="auto"/>
            </w:tcBorders>
            <w:vAlign w:val="center"/>
            <w:hideMark/>
          </w:tcPr>
          <w:p w14:paraId="2A6F0102" w14:textId="77777777" w:rsidR="00B97365" w:rsidRDefault="00000000">
            <w:pPr>
              <w:jc w:val="center"/>
              <w:rPr>
                <w:rFonts w:cs="Calibri"/>
                <w:sz w:val="16"/>
                <w:szCs w:val="16"/>
                <w:lang w:val="en-US"/>
              </w:rPr>
            </w:pPr>
            <w:r>
              <w:rPr>
                <w:rFonts w:cs="Calibri"/>
                <w:sz w:val="16"/>
                <w:szCs w:val="16"/>
                <w:lang w:val="en-US"/>
              </w:rPr>
              <w:t>3.4</w:t>
            </w:r>
          </w:p>
        </w:tc>
        <w:tc>
          <w:tcPr>
            <w:tcW w:w="0" w:type="auto"/>
            <w:tcBorders>
              <w:top w:val="single" w:sz="6" w:space="0" w:color="auto"/>
              <w:left w:val="single" w:sz="6" w:space="0" w:color="auto"/>
              <w:bottom w:val="single" w:sz="6" w:space="0" w:color="auto"/>
              <w:right w:val="single" w:sz="6" w:space="0" w:color="auto"/>
            </w:tcBorders>
            <w:vAlign w:val="center"/>
            <w:hideMark/>
          </w:tcPr>
          <w:p w14:paraId="7F8669C9" w14:textId="77777777" w:rsidR="00B97365" w:rsidRDefault="00000000">
            <w:pPr>
              <w:rPr>
                <w:rFonts w:cs="Calibri"/>
                <w:sz w:val="16"/>
                <w:szCs w:val="16"/>
                <w:lang w:val="en-US"/>
              </w:rPr>
            </w:pPr>
            <w:r>
              <w:rPr>
                <w:rFonts w:cs="Calibri"/>
                <w:sz w:val="16"/>
                <w:szCs w:val="16"/>
              </w:rPr>
              <w:t>Invalid destination</w:t>
            </w:r>
          </w:p>
        </w:tc>
        <w:tc>
          <w:tcPr>
            <w:tcW w:w="0" w:type="auto"/>
            <w:tcBorders>
              <w:top w:val="single" w:sz="6" w:space="0" w:color="auto"/>
              <w:left w:val="single" w:sz="6" w:space="0" w:color="auto"/>
              <w:bottom w:val="single" w:sz="6" w:space="0" w:color="auto"/>
              <w:right w:val="single" w:sz="4" w:space="0" w:color="auto"/>
            </w:tcBorders>
            <w:vAlign w:val="center"/>
            <w:hideMark/>
          </w:tcPr>
          <w:p w14:paraId="62954FD5" w14:textId="77777777" w:rsidR="00B97365" w:rsidRDefault="00000000">
            <w:pPr>
              <w:rPr>
                <w:rFonts w:cs="Calibri"/>
                <w:sz w:val="16"/>
                <w:szCs w:val="16"/>
                <w:lang w:val="en-US"/>
              </w:rPr>
            </w:pPr>
            <w:r>
              <w:rPr>
                <w:rFonts w:cs="Calibri"/>
                <w:sz w:val="16"/>
                <w:szCs w:val="16"/>
                <w:lang w:val="en-US"/>
              </w:rPr>
              <w:t>Indicates that the Profile identified by this ICCID is known to the function provider but installed on another eUICC than the one identified by the function caller.</w:t>
            </w:r>
          </w:p>
        </w:tc>
      </w:tr>
      <w:tr w:rsidR="00B97365" w14:paraId="266390A0"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hideMark/>
          </w:tcPr>
          <w:p w14:paraId="38940F6C" w14:textId="77777777" w:rsidR="00B97365" w:rsidRDefault="00000000">
            <w:pPr>
              <w:jc w:val="center"/>
              <w:rPr>
                <w:rFonts w:cs="Calibri"/>
                <w:sz w:val="16"/>
                <w:szCs w:val="16"/>
              </w:rPr>
            </w:pPr>
            <w:r>
              <w:rPr>
                <w:rFonts w:cs="Calibri"/>
                <w:sz w:val="16"/>
                <w:szCs w:val="16"/>
              </w:rPr>
              <w:t>8.2.2</w:t>
            </w:r>
          </w:p>
        </w:tc>
        <w:tc>
          <w:tcPr>
            <w:tcW w:w="0" w:type="auto"/>
            <w:tcBorders>
              <w:top w:val="single" w:sz="6" w:space="0" w:color="auto"/>
              <w:left w:val="single" w:sz="6" w:space="0" w:color="auto"/>
              <w:bottom w:val="single" w:sz="6" w:space="0" w:color="auto"/>
              <w:right w:val="single" w:sz="6" w:space="0" w:color="auto"/>
            </w:tcBorders>
            <w:vAlign w:val="center"/>
            <w:hideMark/>
          </w:tcPr>
          <w:p w14:paraId="23207BED" w14:textId="77777777" w:rsidR="00B97365" w:rsidRDefault="00000000">
            <w:pPr>
              <w:rPr>
                <w:rFonts w:cs="Calibri"/>
                <w:sz w:val="16"/>
                <w:szCs w:val="16"/>
                <w:lang w:val="en-US"/>
              </w:rPr>
            </w:pPr>
            <w:r>
              <w:rPr>
                <w:rFonts w:cs="Calibri"/>
                <w:sz w:val="16"/>
                <w:szCs w:val="16"/>
                <w:lang w:val="en-US"/>
              </w:rPr>
              <w:t>POL1</w:t>
            </w:r>
          </w:p>
        </w:tc>
        <w:tc>
          <w:tcPr>
            <w:tcW w:w="732" w:type="dxa"/>
            <w:tcBorders>
              <w:top w:val="single" w:sz="6" w:space="0" w:color="auto"/>
              <w:left w:val="single" w:sz="6" w:space="0" w:color="auto"/>
              <w:bottom w:val="single" w:sz="6" w:space="0" w:color="auto"/>
              <w:right w:val="single" w:sz="6" w:space="0" w:color="auto"/>
            </w:tcBorders>
            <w:vAlign w:val="center"/>
            <w:hideMark/>
          </w:tcPr>
          <w:p w14:paraId="303EF6D6"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hideMark/>
          </w:tcPr>
          <w:p w14:paraId="7A902B02"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hideMark/>
          </w:tcPr>
          <w:p w14:paraId="07CEDF92" w14:textId="77777777" w:rsidR="00B97365" w:rsidRDefault="00000000">
            <w:pPr>
              <w:rPr>
                <w:rFonts w:cs="Calibri"/>
                <w:sz w:val="16"/>
                <w:szCs w:val="16"/>
                <w:lang w:val="en-US"/>
              </w:rPr>
            </w:pPr>
            <w:r>
              <w:rPr>
                <w:rFonts w:cs="Calibri"/>
                <w:sz w:val="16"/>
                <w:szCs w:val="16"/>
                <w:lang w:val="en-US"/>
              </w:rPr>
              <w:t>The POL1 of a Profile on the targeted eUICC doesn’t allow this operation (see Note).</w:t>
            </w:r>
          </w:p>
        </w:tc>
      </w:tr>
      <w:tr w:rsidR="00B97365" w14:paraId="02C705EE" w14:textId="77777777">
        <w:trPr>
          <w:trHeight w:val="282"/>
          <w:jc w:val="center"/>
        </w:trPr>
        <w:tc>
          <w:tcPr>
            <w:tcW w:w="1036" w:type="dxa"/>
            <w:tcBorders>
              <w:top w:val="single" w:sz="6" w:space="0" w:color="auto"/>
              <w:left w:val="single" w:sz="4" w:space="0" w:color="auto"/>
              <w:bottom w:val="single" w:sz="6" w:space="0" w:color="auto"/>
              <w:right w:val="single" w:sz="6" w:space="0" w:color="auto"/>
            </w:tcBorders>
            <w:vAlign w:val="center"/>
          </w:tcPr>
          <w:p w14:paraId="54B00086"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7F10E992" w14:textId="77777777" w:rsidR="00B97365" w:rsidRDefault="00000000">
            <w:pPr>
              <w:rPr>
                <w:rFonts w:cs="Calibri"/>
                <w:sz w:val="16"/>
                <w:szCs w:val="16"/>
                <w:lang w:val="en-US"/>
              </w:rPr>
            </w:pPr>
            <w:r>
              <w:rPr>
                <w:rFonts w:cs="Calibri"/>
                <w:sz w:val="16"/>
                <w:szCs w:val="16"/>
                <w:lang w:val="en-US"/>
              </w:rPr>
              <w:t>PLMA</w:t>
            </w:r>
          </w:p>
        </w:tc>
        <w:tc>
          <w:tcPr>
            <w:tcW w:w="732" w:type="dxa"/>
            <w:tcBorders>
              <w:top w:val="single" w:sz="6" w:space="0" w:color="auto"/>
              <w:left w:val="single" w:sz="6" w:space="0" w:color="auto"/>
              <w:bottom w:val="single" w:sz="6" w:space="0" w:color="auto"/>
              <w:right w:val="single" w:sz="6" w:space="0" w:color="auto"/>
            </w:tcBorders>
            <w:vAlign w:val="center"/>
          </w:tcPr>
          <w:p w14:paraId="46DD7E86" w14:textId="77777777" w:rsidR="00B97365" w:rsidRDefault="00000000">
            <w:pPr>
              <w:jc w:val="center"/>
              <w:rPr>
                <w:rFonts w:cs="Calibri"/>
                <w:sz w:val="16"/>
                <w:szCs w:val="16"/>
                <w:lang w:val="en-US"/>
              </w:rPr>
            </w:pPr>
            <w:r>
              <w:rPr>
                <w:rFonts w:cs="Calibri"/>
                <w:sz w:val="16"/>
                <w:szCs w:val="16"/>
                <w:lang w:val="en-US"/>
              </w:rPr>
              <w:t>3.8</w:t>
            </w:r>
          </w:p>
        </w:tc>
        <w:tc>
          <w:tcPr>
            <w:tcW w:w="0" w:type="auto"/>
            <w:tcBorders>
              <w:top w:val="single" w:sz="6" w:space="0" w:color="auto"/>
              <w:left w:val="single" w:sz="6" w:space="0" w:color="auto"/>
              <w:bottom w:val="single" w:sz="6" w:space="0" w:color="auto"/>
              <w:right w:val="single" w:sz="6" w:space="0" w:color="auto"/>
            </w:tcBorders>
            <w:vAlign w:val="center"/>
          </w:tcPr>
          <w:p w14:paraId="3A4BB784" w14:textId="77777777" w:rsidR="00B97365" w:rsidRDefault="00000000">
            <w:pPr>
              <w:rPr>
                <w:rFonts w:cs="Calibri"/>
                <w:sz w:val="16"/>
                <w:szCs w:val="16"/>
                <w:lang w:val="en-US"/>
              </w:rPr>
            </w:pPr>
            <w:r>
              <w:rPr>
                <w:rFonts w:cs="Calibri"/>
                <w:sz w:val="16"/>
                <w:szCs w:val="16"/>
                <w:lang w:val="en-US"/>
              </w:rPr>
              <w:t>Refused</w:t>
            </w:r>
          </w:p>
        </w:tc>
        <w:tc>
          <w:tcPr>
            <w:tcW w:w="0" w:type="auto"/>
            <w:tcBorders>
              <w:top w:val="single" w:sz="6" w:space="0" w:color="auto"/>
              <w:left w:val="single" w:sz="6" w:space="0" w:color="auto"/>
              <w:bottom w:val="single" w:sz="6" w:space="0" w:color="auto"/>
              <w:right w:val="single" w:sz="4" w:space="0" w:color="auto"/>
            </w:tcBorders>
            <w:vAlign w:val="center"/>
          </w:tcPr>
          <w:p w14:paraId="05CC1ED2" w14:textId="77777777" w:rsidR="00B97365" w:rsidRDefault="00000000">
            <w:pPr>
              <w:rPr>
                <w:rFonts w:cs="Calibri"/>
                <w:sz w:val="16"/>
                <w:szCs w:val="16"/>
                <w:lang w:val="en-US"/>
              </w:rPr>
            </w:pPr>
            <w:r>
              <w:rPr>
                <w:rFonts w:cs="Calibri"/>
                <w:sz w:val="16"/>
                <w:szCs w:val="16"/>
                <w:lang w:val="en-US"/>
              </w:rPr>
              <w:t>No PLMA allows the function requester to execute this operation.</w:t>
            </w:r>
          </w:p>
        </w:tc>
      </w:tr>
      <w:tr w:rsidR="00B97365" w14:paraId="1BAF1288" w14:textId="77777777">
        <w:trPr>
          <w:trHeight w:val="282"/>
          <w:jc w:val="center"/>
        </w:trPr>
        <w:tc>
          <w:tcPr>
            <w:tcW w:w="1036" w:type="dxa"/>
            <w:tcBorders>
              <w:top w:val="single" w:sz="6" w:space="0" w:color="auto"/>
              <w:left w:val="single" w:sz="4" w:space="0" w:color="auto"/>
              <w:bottom w:val="single" w:sz="4" w:space="0" w:color="auto"/>
              <w:right w:val="single" w:sz="6" w:space="0" w:color="auto"/>
            </w:tcBorders>
            <w:vAlign w:val="center"/>
            <w:hideMark/>
          </w:tcPr>
          <w:p w14:paraId="283B324F" w14:textId="77777777" w:rsidR="00B97365" w:rsidRDefault="00000000">
            <w:pPr>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4" w:space="0" w:color="auto"/>
              <w:right w:val="single" w:sz="6" w:space="0" w:color="auto"/>
            </w:tcBorders>
            <w:vAlign w:val="center"/>
            <w:hideMark/>
          </w:tcPr>
          <w:p w14:paraId="0205D90C" w14:textId="77777777" w:rsidR="00B97365" w:rsidRDefault="00000000">
            <w:pPr>
              <w:rPr>
                <w:rFonts w:cs="Calibri"/>
                <w:sz w:val="16"/>
                <w:szCs w:val="16"/>
                <w:lang w:val="en-US"/>
              </w:rPr>
            </w:pPr>
            <w:r>
              <w:rPr>
                <w:rFonts w:cs="Calibri"/>
                <w:sz w:val="16"/>
                <w:szCs w:val="16"/>
                <w:lang w:val="en-US"/>
              </w:rPr>
              <w:t>ISD-R</w:t>
            </w:r>
          </w:p>
        </w:tc>
        <w:tc>
          <w:tcPr>
            <w:tcW w:w="732" w:type="dxa"/>
            <w:tcBorders>
              <w:top w:val="single" w:sz="6" w:space="0" w:color="auto"/>
              <w:left w:val="single" w:sz="6" w:space="0" w:color="auto"/>
              <w:bottom w:val="single" w:sz="4" w:space="0" w:color="auto"/>
              <w:right w:val="single" w:sz="6" w:space="0" w:color="auto"/>
            </w:tcBorders>
            <w:vAlign w:val="center"/>
            <w:hideMark/>
          </w:tcPr>
          <w:p w14:paraId="35644B65" w14:textId="77777777" w:rsidR="00B97365" w:rsidRDefault="00000000">
            <w:pPr>
              <w:jc w:val="center"/>
              <w:rPr>
                <w:rFonts w:cs="Calibri"/>
                <w:sz w:val="16"/>
                <w:szCs w:val="16"/>
                <w:lang w:val="en-US"/>
              </w:rPr>
            </w:pPr>
            <w:r>
              <w:rPr>
                <w:rFonts w:cs="Calibri"/>
                <w:sz w:val="16"/>
                <w:szCs w:val="16"/>
                <w:lang w:val="en-US"/>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63AD37B6" w14:textId="77777777" w:rsidR="00B97365" w:rsidRDefault="00000000">
            <w:pPr>
              <w:rPr>
                <w:rFonts w:cs="Calibri"/>
                <w:sz w:val="16"/>
                <w:szCs w:val="16"/>
                <w:lang w:val="en-US"/>
              </w:rPr>
            </w:pPr>
            <w:r>
              <w:rPr>
                <w:rFonts w:cs="Calibri"/>
                <w:sz w:val="16"/>
                <w:szCs w:val="16"/>
                <w:lang w:val="en-US"/>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073F1FAE" w14:textId="77777777" w:rsidR="00B97365" w:rsidRDefault="00000000">
            <w:pPr>
              <w:rPr>
                <w:rFonts w:cs="Calibri"/>
                <w:sz w:val="16"/>
                <w:szCs w:val="16"/>
                <w:lang w:val="en-US"/>
              </w:rPr>
            </w:pPr>
            <w:r>
              <w:rPr>
                <w:rFonts w:cs="Calibri"/>
                <w:sz w:val="16"/>
                <w:szCs w:val="16"/>
                <w:lang w:val="en-US"/>
              </w:rPr>
              <w:t>Error during execution of the command on the eUICC.</w:t>
            </w:r>
            <w:r>
              <w:rPr>
                <w:rFonts w:cs="Calibri"/>
                <w:sz w:val="16"/>
                <w:szCs w:val="16"/>
              </w:rPr>
              <w:t xml:space="preserve"> In that case, the output data “euiccResponseData” contains the exact response coming from the eUICC.</w:t>
            </w:r>
            <w:r>
              <w:rPr>
                <w:rFonts w:cs="Calibri"/>
                <w:sz w:val="16"/>
                <w:szCs w:val="16"/>
                <w:lang w:val="en-US"/>
              </w:rPr>
              <w:t xml:space="preserve"> </w:t>
            </w:r>
          </w:p>
        </w:tc>
      </w:tr>
    </w:tbl>
    <w:p w14:paraId="2666A75A"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5521-C: Set Fall-Back Attribute Specific Status Codes</w:t>
      </w:r>
    </w:p>
    <w:p w14:paraId="4B2EE729"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A POL1 may interfere with the Set Fall-Back Attribute operation in very specific circumstances described in section 4.1.1.7</w:t>
      </w:r>
    </w:p>
    <w:p w14:paraId="6166E3F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33" w:name="_Toc1977428"/>
      <w:bookmarkStart w:id="5534" w:name="_Toc37062587"/>
      <w:bookmarkStart w:id="5535" w:name="_Toc88839661"/>
      <w:bookmarkStart w:id="5536" w:name="_Toc121504069"/>
      <w:r>
        <w:rPr>
          <w:rFonts w:eastAsia="Times New Roman" w:cs="Arial"/>
          <w:b/>
          <w:bCs/>
          <w:iCs/>
          <w:sz w:val="24"/>
          <w:szCs w:val="26"/>
          <w:lang w:eastAsia="en-US"/>
        </w:rPr>
        <w:t>Notifying the Fall-Back Attribute is Set</w:t>
      </w:r>
      <w:bookmarkEnd w:id="5533"/>
      <w:bookmarkEnd w:id="5534"/>
      <w:bookmarkEnd w:id="5535"/>
      <w:bookmarkEnd w:id="5536"/>
    </w:p>
    <w:p w14:paraId="43444CE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HandleProfileFallBackAttributeSetNotification</w:t>
      </w:r>
    </w:p>
    <w:p w14:paraId="2E4803E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Fall-Back Attribute Management, Fall-Back Attribute Management via M2M SP</w:t>
      </w:r>
    </w:p>
    <w:p w14:paraId="1BCA8CA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4482FDC5"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 or M2M SP</w:t>
      </w:r>
    </w:p>
    <w:p w14:paraId="704E484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0636CFB7" w14:textId="77777777" w:rsidR="00B97365" w:rsidRDefault="00000000">
      <w:pPr>
        <w:spacing w:before="0" w:after="200" w:line="276" w:lineRule="auto"/>
        <w:jc w:val="left"/>
        <w:rPr>
          <w:szCs w:val="22"/>
          <w:lang w:val="en-US" w:eastAsia="en-GB" w:bidi="ar-SA"/>
        </w:rPr>
      </w:pPr>
      <w:r>
        <w:rPr>
          <w:szCs w:val="22"/>
          <w:lang w:val="en-US" w:eastAsia="en-GB" w:bidi="ar-SA"/>
        </w:rPr>
        <w:t xml:space="preserve">This function SHALL be called to notify the Operator and the M2M SP that the Fall-Back Attribute has been set on the Profile identified by its ICCID on the eUICC identified by its EID. </w:t>
      </w:r>
    </w:p>
    <w:p w14:paraId="7FCB5ABF"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w:t>
      </w:r>
    </w:p>
    <w:p w14:paraId="3765453A" w14:textId="77777777" w:rsidR="00B97365" w:rsidRDefault="00000000">
      <w:pPr>
        <w:numPr>
          <w:ilvl w:val="0"/>
          <w:numId w:val="81"/>
        </w:numPr>
        <w:spacing w:before="0" w:after="200" w:line="276" w:lineRule="auto"/>
        <w:contextualSpacing/>
        <w:jc w:val="left"/>
        <w:rPr>
          <w:szCs w:val="22"/>
          <w:lang w:val="en-US" w:eastAsia="en-GB" w:bidi="ar-SA"/>
        </w:rPr>
      </w:pPr>
      <w:r>
        <w:rPr>
          <w:szCs w:val="22"/>
          <w:lang w:val="en-US" w:eastAsia="en-GB" w:bidi="ar-SA"/>
        </w:rPr>
        <w:t>the Operator owning the Profile, if it has not set an ONC to not receive those notifications</w:t>
      </w:r>
    </w:p>
    <w:p w14:paraId="431D9504" w14:textId="77777777" w:rsidR="00B97365" w:rsidRDefault="00000000">
      <w:pPr>
        <w:numPr>
          <w:ilvl w:val="0"/>
          <w:numId w:val="81"/>
        </w:numPr>
        <w:spacing w:before="0" w:after="200" w:line="276" w:lineRule="auto"/>
        <w:contextualSpacing/>
        <w:jc w:val="left"/>
        <w:rPr>
          <w:szCs w:val="22"/>
          <w:lang w:val="en-US" w:eastAsia="en-GB" w:bidi="ar-SA"/>
        </w:rPr>
      </w:pPr>
      <w:r>
        <w:rPr>
          <w:szCs w:val="22"/>
          <w:lang w:val="en-US" w:eastAsia="en-GB" w:bidi="ar-SA"/>
        </w:rPr>
        <w:t>the M2M SP SP (including, another Operator that is not the owner of the Profile), if the Operator owner of the Profile has granted the M2M SP with a PLMA authorising the operation “HandleProfileFallBackAttributeSetNotification”</w:t>
      </w:r>
    </w:p>
    <w:p w14:paraId="60EA9736"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the SM-SR should map it internally to Operator or M2M SP notification endpoint.</w:t>
      </w:r>
    </w:p>
    <w:p w14:paraId="22B7EDE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052D7C8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What is performed by the Operator or M2M SP receiving this notification is out of scope of this specification.</w:t>
      </w:r>
    </w:p>
    <w:p w14:paraId="3D0DF0F9"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281"/>
        <w:gridCol w:w="949"/>
        <w:gridCol w:w="398"/>
        <w:gridCol w:w="514"/>
      </w:tblGrid>
      <w:tr w:rsidR="00B97365" w14:paraId="09AA6BD7"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AE25C51"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8FC83C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A58B998"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8D4D48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7EB51B6"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64DCC87D"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9F7DDD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5064690"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3CCDEAC3" w14:textId="63F3C9C8"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2B41C9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2BADB2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57717E7"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0CB3CADC"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5045FD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3DE962D"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on which the Fall-Back Attribute has been set.</w:t>
            </w:r>
          </w:p>
          <w:p w14:paraId="5D33FD9C" w14:textId="426B6C04"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E952B8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BB3BC6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950680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25C2684D"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87A062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2C4A0046"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2DF94091" w14:textId="754EF6DE"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4E2ECAEC"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742BAE2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4AC5EA82"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2E281B1B"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5522: Handle Profile Fall-Back Attribute Set Notification Additional Input Data</w:t>
      </w:r>
    </w:p>
    <w:p w14:paraId="53A4991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37" w:name="_Toc1977429"/>
      <w:bookmarkStart w:id="5538" w:name="_Toc37062588"/>
      <w:bookmarkStart w:id="5539" w:name="_Toc88839662"/>
      <w:bookmarkStart w:id="5540" w:name="_Toc121504070"/>
      <w:r>
        <w:rPr>
          <w:rFonts w:eastAsia="Times New Roman" w:cs="Arial"/>
          <w:b/>
          <w:bCs/>
          <w:iCs/>
          <w:sz w:val="24"/>
          <w:szCs w:val="26"/>
          <w:lang w:eastAsia="en-US"/>
        </w:rPr>
        <w:t>Notifying the Fall-Back Attribute is Unset</w:t>
      </w:r>
      <w:bookmarkEnd w:id="5537"/>
      <w:bookmarkEnd w:id="5538"/>
      <w:bookmarkEnd w:id="5539"/>
      <w:bookmarkEnd w:id="5540"/>
    </w:p>
    <w:p w14:paraId="6C91459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HandleProfileFallBackAttributeUnsetNotification</w:t>
      </w:r>
    </w:p>
    <w:p w14:paraId="1C26B97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Fall-Back Attribute Management, Fall-Back Attribute Management via SM-DP, Fall-Back Attribute Management via M2M SP</w:t>
      </w:r>
    </w:p>
    <w:p w14:paraId="14A5284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1F07DC4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Notification handler/recipient</w:t>
      </w:r>
      <w:r>
        <w:rPr>
          <w:szCs w:val="22"/>
          <w:lang w:val="en-US" w:eastAsia="en-GB" w:bidi="ar-SA"/>
        </w:rPr>
        <w:t>: Operator or M2M SP</w:t>
      </w:r>
    </w:p>
    <w:p w14:paraId="0B9B570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6165A3D1" w14:textId="77777777" w:rsidR="00B97365" w:rsidRDefault="00000000">
      <w:pPr>
        <w:spacing w:before="0" w:after="200" w:line="276" w:lineRule="auto"/>
        <w:jc w:val="left"/>
        <w:rPr>
          <w:szCs w:val="22"/>
          <w:lang w:val="en-US" w:eastAsia="en-GB" w:bidi="ar-SA"/>
        </w:rPr>
      </w:pPr>
      <w:r>
        <w:rPr>
          <w:szCs w:val="22"/>
          <w:lang w:val="en-US" w:eastAsia="en-GB" w:bidi="ar-SA"/>
        </w:rPr>
        <w:t xml:space="preserve">This function SHALL be called to notify that the Fall-Back Attribute has been unset on the Profile identified by its ICCID on the eUICC identified by its EID. </w:t>
      </w:r>
    </w:p>
    <w:p w14:paraId="134A7CB1" w14:textId="77777777" w:rsidR="00B97365" w:rsidRDefault="00000000">
      <w:pPr>
        <w:spacing w:before="0" w:after="200" w:line="276" w:lineRule="auto"/>
        <w:jc w:val="left"/>
        <w:rPr>
          <w:szCs w:val="22"/>
          <w:lang w:val="en-US" w:eastAsia="en-GB" w:bidi="ar-SA"/>
        </w:rPr>
      </w:pPr>
      <w:r>
        <w:rPr>
          <w:szCs w:val="22"/>
          <w:lang w:val="en-US" w:eastAsia="en-GB" w:bidi="ar-SA"/>
        </w:rPr>
        <w:t>The SM-SR SHALL send this notification to:</w:t>
      </w:r>
    </w:p>
    <w:p w14:paraId="2B9E5E21" w14:textId="77777777" w:rsidR="00B97365" w:rsidRDefault="00000000">
      <w:pPr>
        <w:numPr>
          <w:ilvl w:val="0"/>
          <w:numId w:val="81"/>
        </w:numPr>
        <w:spacing w:before="0" w:after="200" w:line="276" w:lineRule="auto"/>
        <w:contextualSpacing/>
        <w:jc w:val="left"/>
        <w:rPr>
          <w:szCs w:val="22"/>
          <w:lang w:val="en-US" w:eastAsia="en-GB" w:bidi="ar-SA"/>
        </w:rPr>
      </w:pPr>
      <w:r>
        <w:rPr>
          <w:szCs w:val="22"/>
          <w:lang w:val="en-US" w:eastAsia="en-GB" w:bidi="ar-SA"/>
        </w:rPr>
        <w:t>the Operator owning the Profile, if it has not set an ONC to not receive those notifications</w:t>
      </w:r>
    </w:p>
    <w:p w14:paraId="758DEAEE" w14:textId="77777777" w:rsidR="00B97365" w:rsidRDefault="00000000">
      <w:pPr>
        <w:numPr>
          <w:ilvl w:val="0"/>
          <w:numId w:val="81"/>
        </w:numPr>
        <w:spacing w:before="0" w:after="200" w:line="276" w:lineRule="auto"/>
        <w:contextualSpacing/>
        <w:jc w:val="left"/>
        <w:rPr>
          <w:szCs w:val="22"/>
          <w:lang w:val="en-US" w:eastAsia="en-GB" w:bidi="ar-SA"/>
        </w:rPr>
      </w:pPr>
      <w:r>
        <w:rPr>
          <w:szCs w:val="22"/>
          <w:lang w:val="en-US" w:eastAsia="en-GB" w:bidi="ar-SA"/>
        </w:rPr>
        <w:t>the M2M SP SP (including, another Operator that is not the owner of the Profile), if the Operator owner of the Profile has granted the M2M SP with a PLMA authorising the operation “HandleProfileFallBackAttributeUnsetNotification”</w:t>
      </w:r>
    </w:p>
    <w:p w14:paraId="607AAF95" w14:textId="77777777" w:rsidR="00B97365" w:rsidRDefault="00000000">
      <w:pPr>
        <w:spacing w:before="0" w:after="200" w:line="276" w:lineRule="auto"/>
        <w:jc w:val="left"/>
        <w:rPr>
          <w:szCs w:val="22"/>
          <w:lang w:val="en-US" w:eastAsia="en-GB" w:bidi="ar-SA"/>
        </w:rPr>
      </w:pPr>
      <w:r>
        <w:rPr>
          <w:szCs w:val="22"/>
          <w:lang w:val="en-US" w:eastAsia="en-GB" w:bidi="ar-SA"/>
        </w:rPr>
        <w:t>ICCID may be not enough to identify right address of recipient, the SM-SR should map it internally to Operator or M2M SP notification endpoint.</w:t>
      </w:r>
    </w:p>
    <w:p w14:paraId="5DAEE28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notification also conveys the date and time specifying when the operation has been done. In case multiple handlers are served the SM-SR SHOULD ensure completionTimestamp to be equal for every message.</w:t>
      </w:r>
    </w:p>
    <w:p w14:paraId="193581D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What is performed by the Operator or M2M SP receiving this notification is out of scope of this specification.</w:t>
      </w:r>
    </w:p>
    <w:p w14:paraId="34C2769C"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lastRenderedPageBreak/>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05"/>
        <w:gridCol w:w="5450"/>
        <w:gridCol w:w="949"/>
        <w:gridCol w:w="398"/>
        <w:gridCol w:w="514"/>
      </w:tblGrid>
      <w:tr w:rsidR="00B97365" w14:paraId="0C8D85D3"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34D1B49"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01C867A" w14:textId="77777777" w:rsidR="00B97365" w:rsidRDefault="00000000">
            <w:pPr>
              <w:spacing w:before="0" w:after="200" w:line="276" w:lineRule="auto"/>
              <w:jc w:val="center"/>
              <w:rPr>
                <w:rFonts w:cs="Calibri"/>
                <w:b/>
                <w:sz w:val="16"/>
                <w:szCs w:val="16"/>
                <w:lang w:eastAsia="en-GB" w:bidi="ar-SA"/>
              </w:rPr>
            </w:pPr>
            <w:r>
              <w:rPr>
                <w:rFonts w:cs="Calibri"/>
                <w:b/>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15FD0AF"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3D5A5AA"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641274E" w14:textId="77777777" w:rsidR="00B97365" w:rsidRDefault="00000000">
            <w:pPr>
              <w:spacing w:before="0" w:after="200" w:line="276" w:lineRule="auto"/>
              <w:jc w:val="center"/>
              <w:rPr>
                <w:rFonts w:cs="Calibri"/>
                <w:b/>
                <w:color w:val="FFFFFF"/>
                <w:sz w:val="16"/>
                <w:szCs w:val="16"/>
                <w:lang w:eastAsia="en-GB" w:bidi="ar-SA"/>
              </w:rPr>
            </w:pPr>
            <w:r>
              <w:rPr>
                <w:rFonts w:cs="Calibri"/>
                <w:b/>
                <w:color w:val="FFFFFF"/>
                <w:sz w:val="16"/>
                <w:szCs w:val="16"/>
                <w:lang w:eastAsia="en-GB" w:bidi="ar-SA"/>
              </w:rPr>
              <w:t>MOC</w:t>
            </w:r>
          </w:p>
        </w:tc>
      </w:tr>
      <w:tr w:rsidR="00B97365" w14:paraId="194BC571"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C53A2C1"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F979B4F"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targeted eUICC.</w:t>
            </w:r>
          </w:p>
          <w:p w14:paraId="162DED55" w14:textId="46307F4B"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_Ref367974957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AF6A23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2BA8ECB"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A04E82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727C3BC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AE23148"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22895799"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Identification of the Profile on which the Fall-Back Attribute has been unset.</w:t>
            </w:r>
          </w:p>
          <w:p w14:paraId="09F24427" w14:textId="2F45445C"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_Ref367974963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E2D4F2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1B4273D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F62F5CA"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r w:rsidR="00B97365" w14:paraId="40E582AC"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30ECCCA"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completionTimestamp</w:t>
            </w:r>
          </w:p>
        </w:tc>
        <w:tc>
          <w:tcPr>
            <w:tcW w:w="0" w:type="auto"/>
            <w:tcBorders>
              <w:top w:val="single" w:sz="6" w:space="0" w:color="auto"/>
              <w:left w:val="single" w:sz="6" w:space="0" w:color="auto"/>
              <w:bottom w:val="single" w:sz="4" w:space="0" w:color="auto"/>
              <w:right w:val="single" w:sz="6" w:space="0" w:color="auto"/>
            </w:tcBorders>
            <w:vAlign w:val="center"/>
            <w:hideMark/>
          </w:tcPr>
          <w:p w14:paraId="09D3268C"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Indication of the date/time when the operation has been performed.</w:t>
            </w:r>
          </w:p>
          <w:p w14:paraId="047A6F14" w14:textId="5FCF6D96"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_Ref367974976 \r \h  \* MERGEFORMAT </w:instrText>
            </w:r>
            <w:r>
              <w:fldChar w:fldCharType="separate"/>
            </w:r>
            <w:r w:rsidR="001D5AD9" w:rsidRPr="001D5AD9">
              <w:rPr>
                <w:rFonts w:cs="Calibri"/>
                <w:sz w:val="16"/>
                <w:szCs w:val="16"/>
                <w:lang w:eastAsia="en-GB" w:bidi="ar-SA"/>
              </w:rPr>
              <w:t>5.1.1.1</w:t>
            </w:r>
            <w:r>
              <w:fldChar w:fldCharType="end"/>
            </w:r>
            <w:r>
              <w:rPr>
                <w:rFonts w:cs="Calibri"/>
                <w:sz w:val="16"/>
                <w:szCs w:val="16"/>
                <w:lang w:eastAsia="en-GB" w:bidi="ar-SA"/>
              </w:rPr>
              <w:t xml:space="preserve"> for type description.</w:t>
            </w:r>
          </w:p>
        </w:tc>
        <w:tc>
          <w:tcPr>
            <w:tcW w:w="0" w:type="auto"/>
            <w:tcBorders>
              <w:top w:val="single" w:sz="6" w:space="0" w:color="auto"/>
              <w:left w:val="single" w:sz="6" w:space="0" w:color="auto"/>
              <w:bottom w:val="single" w:sz="4" w:space="0" w:color="auto"/>
              <w:right w:val="single" w:sz="6" w:space="0" w:color="auto"/>
            </w:tcBorders>
            <w:vAlign w:val="center"/>
            <w:hideMark/>
          </w:tcPr>
          <w:p w14:paraId="6803F7CD"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DATETIME</w:t>
            </w:r>
          </w:p>
        </w:tc>
        <w:tc>
          <w:tcPr>
            <w:tcW w:w="0" w:type="auto"/>
            <w:tcBorders>
              <w:top w:val="single" w:sz="6" w:space="0" w:color="auto"/>
              <w:left w:val="single" w:sz="6" w:space="0" w:color="auto"/>
              <w:bottom w:val="single" w:sz="4" w:space="0" w:color="auto"/>
              <w:right w:val="single" w:sz="6" w:space="0" w:color="auto"/>
            </w:tcBorders>
            <w:vAlign w:val="center"/>
            <w:hideMark/>
          </w:tcPr>
          <w:p w14:paraId="7B4673BF"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58D36564"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3FD2D60E"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5523: Handle Profile Fall-Back Attribute Unset Notification Additional Input Data</w:t>
      </w:r>
    </w:p>
    <w:p w14:paraId="166A9B33"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val="de-DE" w:eastAsia="en-US"/>
        </w:rPr>
      </w:pPr>
      <w:bookmarkStart w:id="5541" w:name="_Toc448998297"/>
      <w:bookmarkStart w:id="5542" w:name="_Toc422150793"/>
      <w:bookmarkStart w:id="5543" w:name="_Toc421874378"/>
      <w:bookmarkStart w:id="5544" w:name="_Toc420594893"/>
      <w:bookmarkStart w:id="5545" w:name="_Toc398214919"/>
      <w:bookmarkStart w:id="5546" w:name="_Toc375158335"/>
      <w:bookmarkStart w:id="5547" w:name="_Toc374348532"/>
      <w:bookmarkStart w:id="5548" w:name="_Toc368932344"/>
      <w:bookmarkStart w:id="5549" w:name="_Toc352671601"/>
      <w:bookmarkStart w:id="5550" w:name="_Toc345955226"/>
      <w:bookmarkStart w:id="5551" w:name="_Toc486332915"/>
      <w:bookmarkStart w:id="5552" w:name="_Toc1977430"/>
      <w:bookmarkStart w:id="5553" w:name="_Toc37062589"/>
      <w:bookmarkStart w:id="5554" w:name="_Toc88839663"/>
      <w:bookmarkStart w:id="5555" w:name="_Toc121504071"/>
      <w:r>
        <w:rPr>
          <w:rFonts w:eastAsia="Times New Roman" w:cs="Arial"/>
          <w:b/>
          <w:bCs/>
          <w:iCs/>
          <w:sz w:val="24"/>
          <w:szCs w:val="28"/>
          <w:lang w:val="de-DE" w:eastAsia="en-US"/>
        </w:rPr>
        <w:t>ES7 (SM-SR – SM-SR) Interface Description</w:t>
      </w:r>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p>
    <w:p w14:paraId="12D0AB47"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56" w:name="_Toc356915050"/>
      <w:bookmarkStart w:id="5557" w:name="_Toc353536224"/>
      <w:bookmarkStart w:id="5558" w:name="_Ref367979179"/>
      <w:bookmarkStart w:id="5559" w:name="_Ref367979187"/>
      <w:bookmarkStart w:id="5560" w:name="_Toc368932345"/>
      <w:bookmarkStart w:id="5561" w:name="_Toc375158336"/>
      <w:bookmarkStart w:id="5562" w:name="_Toc398214920"/>
      <w:bookmarkStart w:id="5563" w:name="_Toc420594894"/>
      <w:bookmarkStart w:id="5564" w:name="_Toc421874379"/>
      <w:bookmarkStart w:id="5565" w:name="_Toc422150794"/>
      <w:bookmarkStart w:id="5566" w:name="_Toc448998298"/>
      <w:bookmarkStart w:id="5567" w:name="_Toc486332916"/>
      <w:bookmarkStart w:id="5568" w:name="_Ref534230482"/>
      <w:bookmarkStart w:id="5569" w:name="_Toc1977431"/>
      <w:bookmarkStart w:id="5570" w:name="_Toc37062590"/>
      <w:bookmarkStart w:id="5571" w:name="_Toc88839664"/>
      <w:bookmarkStart w:id="5572" w:name="_Toc121504072"/>
      <w:bookmarkStart w:id="5573" w:name="_Toc352671604"/>
      <w:bookmarkEnd w:id="5556"/>
      <w:r>
        <w:rPr>
          <w:rFonts w:eastAsia="Times New Roman" w:cs="Arial"/>
          <w:b/>
          <w:sz w:val="24"/>
          <w:szCs w:val="26"/>
          <w:lang w:eastAsia="en-US"/>
        </w:rPr>
        <w:t>Create Additional Key Set</w:t>
      </w:r>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bookmarkEnd w:id="5573"/>
    <w:p w14:paraId="6A477BA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CreateAdditionalKeySet</w:t>
      </w:r>
    </w:p>
    <w:p w14:paraId="535FFD6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SM-SR Change</w:t>
      </w:r>
    </w:p>
    <w:p w14:paraId="248A222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eUICC Management</w:t>
      </w:r>
    </w:p>
    <w:p w14:paraId="624E018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current SM-SR</w:t>
      </w:r>
    </w:p>
    <w:p w14:paraId="659E3298"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enables a new SM-SR to request for a new key set to be created in the ISD-R for the eUICC identified by the EID. The new key set belongs the new SM-SR and is unknown to the current SM-SR.</w:t>
      </w:r>
    </w:p>
    <w:p w14:paraId="0107F027" w14:textId="67941257" w:rsidR="00B97365" w:rsidRDefault="00000000">
      <w:pPr>
        <w:spacing w:before="0" w:after="200" w:line="276" w:lineRule="auto"/>
        <w:jc w:val="left"/>
      </w:pPr>
      <w:r>
        <w:rPr>
          <w:rFonts w:cs="Arial"/>
          <w:szCs w:val="22"/>
          <w:lang w:val="en-US" w:eastAsia="en-GB" w:bidi="ar-SA"/>
        </w:rPr>
        <w:t xml:space="preserve">The current SM-SR SHALL map this function onto the second STORE DATA command in the </w:t>
      </w:r>
      <w:r>
        <w:rPr>
          <w:rFonts w:cs="Arial"/>
          <w:b/>
          <w:szCs w:val="22"/>
          <w:lang w:val="en-US" w:eastAsia="en-GB" w:bidi="ar-SA"/>
        </w:rPr>
        <w:t>ES5.EstablishISDRKeySet</w:t>
      </w:r>
      <w:r>
        <w:rPr>
          <w:rFonts w:cs="Arial"/>
          <w:szCs w:val="22"/>
          <w:lang w:val="en-US" w:eastAsia="en-GB" w:bidi="ar-SA"/>
        </w:rPr>
        <w:t xml:space="preserve"> (see section </w:t>
      </w:r>
      <w:r>
        <w:fldChar w:fldCharType="begin"/>
      </w:r>
      <w:r>
        <w:instrText xml:space="preserve"> REF _Ref367975499 \r \h  \* MERGEFORMAT </w:instrText>
      </w:r>
      <w:r>
        <w:fldChar w:fldCharType="separate"/>
      </w:r>
      <w:r w:rsidR="001D5AD9" w:rsidRPr="001D5AD9">
        <w:rPr>
          <w:szCs w:val="22"/>
          <w:lang w:val="en-US" w:eastAsia="en-GB" w:bidi="ar-SA"/>
        </w:rPr>
        <w:t>4.1.1.8</w:t>
      </w:r>
      <w:r>
        <w:fldChar w:fldCharType="end"/>
      </w:r>
      <w:r>
        <w:t>), using the following rules:</w:t>
      </w:r>
    </w:p>
    <w:p w14:paraId="2894B01B" w14:textId="5FE5A783"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The order of TLVs SHALL follow the order denoted in </w:t>
      </w:r>
      <w:r>
        <w:rPr>
          <w:szCs w:val="22"/>
          <w:lang w:val="en-US" w:eastAsia="en-GB" w:bidi="ar-SA"/>
        </w:rPr>
        <w:fldChar w:fldCharType="begin"/>
      </w:r>
      <w:r>
        <w:rPr>
          <w:szCs w:val="22"/>
          <w:lang w:val="en-US" w:eastAsia="en-GB" w:bidi="ar-SA"/>
        </w:rPr>
        <w:instrText xml:space="preserve"> REF _Ref479348633 \r \h </w:instrText>
      </w:r>
      <w:r>
        <w:rPr>
          <w:szCs w:val="22"/>
          <w:lang w:val="en-US" w:eastAsia="en-GB" w:bidi="ar-SA"/>
        </w:rPr>
      </w:r>
      <w:r>
        <w:rPr>
          <w:szCs w:val="22"/>
          <w:lang w:val="en-US" w:eastAsia="en-GB" w:bidi="ar-SA"/>
        </w:rPr>
        <w:fldChar w:fldCharType="separate"/>
      </w:r>
      <w:r w:rsidR="001D5AD9">
        <w:rPr>
          <w:szCs w:val="22"/>
          <w:lang w:val="en-US" w:eastAsia="en-GB" w:bidi="ar-SA"/>
        </w:rPr>
        <w:t>Table 44</w:t>
      </w:r>
      <w:r>
        <w:rPr>
          <w:szCs w:val="22"/>
          <w:lang w:val="en-US" w:eastAsia="en-GB" w:bidi="ar-SA"/>
        </w:rPr>
        <w:fldChar w:fldCharType="end"/>
      </w:r>
      <w:r>
        <w:rPr>
          <w:szCs w:val="22"/>
          <w:lang w:val="en-US" w:eastAsia="en-GB" w:bidi="ar-SA"/>
        </w:rPr>
        <w:t xml:space="preserve"> </w:t>
      </w:r>
    </w:p>
    <w:p w14:paraId="6B34CE87" w14:textId="3C19F55A"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 xml:space="preserve">The following parameters of this command as defined in </w:t>
      </w:r>
      <w:r>
        <w:rPr>
          <w:szCs w:val="22"/>
          <w:lang w:val="en-US" w:eastAsia="en-GB" w:bidi="ar-SA"/>
        </w:rPr>
        <w:fldChar w:fldCharType="begin"/>
      </w:r>
      <w:r>
        <w:rPr>
          <w:szCs w:val="22"/>
          <w:lang w:val="en-US" w:eastAsia="en-GB" w:bidi="ar-SA"/>
        </w:rPr>
        <w:instrText xml:space="preserve"> REF _Ref373942623 \r \h </w:instrText>
      </w:r>
      <w:r>
        <w:rPr>
          <w:szCs w:val="22"/>
          <w:lang w:val="en-US" w:eastAsia="en-GB" w:bidi="ar-SA"/>
        </w:rPr>
      </w:r>
      <w:r>
        <w:rPr>
          <w:szCs w:val="22"/>
          <w:lang w:val="en-US" w:eastAsia="en-GB" w:bidi="ar-SA"/>
        </w:rPr>
        <w:fldChar w:fldCharType="separate"/>
      </w:r>
      <w:r w:rsidR="001D5AD9">
        <w:rPr>
          <w:szCs w:val="22"/>
          <w:lang w:val="en-US" w:eastAsia="en-GB" w:bidi="ar-SA"/>
        </w:rPr>
        <w:t>Table 42</w:t>
      </w:r>
      <w:r>
        <w:rPr>
          <w:szCs w:val="22"/>
          <w:lang w:val="en-US" w:eastAsia="en-GB" w:bidi="ar-SA"/>
        </w:rPr>
        <w:fldChar w:fldCharType="end"/>
      </w:r>
      <w:r>
        <w:rPr>
          <w:szCs w:val="22"/>
          <w:lang w:val="en-US" w:eastAsia="en-GB" w:bidi="ar-SA"/>
        </w:rPr>
        <w:t xml:space="preserve"> are not provided by the new SM-SR and it is the current SM-SR’s responsibility to set these parameters as defined below.</w:t>
      </w:r>
    </w:p>
    <w:p w14:paraId="63E40AC3"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Scenario identifier SHALL be set to '03'</w:t>
      </w:r>
    </w:p>
    <w:p w14:paraId="3E7DCADC"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Key Usage Qualifier SHALL be set to '10' (3 secure channel keys)</w:t>
      </w:r>
    </w:p>
    <w:p w14:paraId="7ADC2299"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Key Access SHALL no be present, meaning a default value of ‘00’ (The key may be used by the Security Domain and any associated Application)</w:t>
      </w:r>
    </w:p>
    <w:p w14:paraId="6A284F20"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Key Type SHALL be set to ‘88’ (AES)</w:t>
      </w:r>
    </w:p>
    <w:p w14:paraId="27706F18"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Key Length SHALL be set to '10' (16 bytes)</w:t>
      </w:r>
    </w:p>
    <w:p w14:paraId="1F62B7D9"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Key Identifier SHALL be set to '01'</w:t>
      </w:r>
    </w:p>
    <w:p w14:paraId="2933C84A"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The length of </w:t>
      </w:r>
      <w:r>
        <w:rPr>
          <w:rFonts w:ascii="Courier New" w:hAnsi="Courier New" w:cs="Courier New"/>
          <w:szCs w:val="22"/>
          <w:lang w:eastAsia="en-GB" w:bidi="ar-SA"/>
        </w:rPr>
        <w:t>Initial value of sequence counter</w:t>
      </w:r>
      <w:r>
        <w:rPr>
          <w:szCs w:val="22"/>
          <w:lang w:eastAsia="en-GB" w:bidi="ar-SA"/>
        </w:rPr>
        <w:t xml:space="preserve"> SHALL be 0, meaning the sequence counter SHALL have its default value</w:t>
      </w:r>
    </w:p>
    <w:p w14:paraId="42978B29" w14:textId="02D2A7C6"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lastRenderedPageBreak/>
        <w:t xml:space="preserve">The SDIN (tag 45 in </w:t>
      </w:r>
      <w:r>
        <w:rPr>
          <w:szCs w:val="22"/>
          <w:lang w:val="en-US" w:eastAsia="en-GB" w:bidi="ar-SA"/>
        </w:rPr>
        <w:fldChar w:fldCharType="begin"/>
      </w:r>
      <w:r>
        <w:rPr>
          <w:szCs w:val="22"/>
          <w:lang w:val="en-US" w:eastAsia="en-GB" w:bidi="ar-SA"/>
        </w:rPr>
        <w:instrText xml:space="preserve"> REF _Ref479348633 \r \h </w:instrText>
      </w:r>
      <w:r>
        <w:rPr>
          <w:szCs w:val="22"/>
          <w:lang w:val="en-US" w:eastAsia="en-GB" w:bidi="ar-SA"/>
        </w:rPr>
      </w:r>
      <w:r>
        <w:rPr>
          <w:szCs w:val="22"/>
          <w:lang w:val="en-US" w:eastAsia="en-GB" w:bidi="ar-SA"/>
        </w:rPr>
        <w:fldChar w:fldCharType="separate"/>
      </w:r>
      <w:r w:rsidR="001D5AD9">
        <w:rPr>
          <w:szCs w:val="22"/>
          <w:lang w:val="en-US" w:eastAsia="en-GB" w:bidi="ar-SA"/>
        </w:rPr>
        <w:t>Table 44</w:t>
      </w:r>
      <w:r>
        <w:rPr>
          <w:szCs w:val="22"/>
          <w:lang w:val="en-US" w:eastAsia="en-GB" w:bidi="ar-SA"/>
        </w:rPr>
        <w:fldChar w:fldCharType="end"/>
      </w:r>
      <w:r>
        <w:rPr>
          <w:szCs w:val="22"/>
          <w:lang w:eastAsia="en-GB" w:bidi="ar-SA"/>
        </w:rPr>
        <w:t>) SHALL be included if and only if the bit b3 of the byte of Parameter for Scenario #3 is set to 1. In this case, the value of this field SHALL be the value of the SDIN of the ISD-R</w:t>
      </w:r>
    </w:p>
    <w:p w14:paraId="4AC27A49"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value of other parameters are provided by the new SM-SR.</w:t>
      </w:r>
    </w:p>
    <w:p w14:paraId="21DA2CEB"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eastAsia="en-GB" w:bidi="ar-SA"/>
        </w:rPr>
        <w:t>NOTE</w:t>
      </w:r>
      <w:r>
        <w:rPr>
          <w:szCs w:val="22"/>
          <w:lang w:eastAsia="en-GB" w:bidi="ar-SA"/>
        </w:rPr>
        <w:tab/>
        <w:t>This command includes a signature that is computed by the new SM-SR. Structural differences, for example in the order of TLVs, would invalidate the signature as the eUICC would not be able to verify it. The rules above ensure that both SM-SR follow the same structure, and the same values, even for parameters not explicitly supplied by the new SM-SR.</w:t>
      </w:r>
    </w:p>
    <w:p w14:paraId="49FA0A83" w14:textId="77777777" w:rsidR="00B97365" w:rsidRDefault="00B97365">
      <w:pPr>
        <w:spacing w:before="0" w:after="200" w:line="276" w:lineRule="auto"/>
        <w:jc w:val="left"/>
        <w:rPr>
          <w:rFonts w:cs="Arial"/>
          <w:szCs w:val="22"/>
          <w:lang w:val="en-US" w:eastAsia="en-GB" w:bidi="ar-SA"/>
        </w:rPr>
      </w:pPr>
    </w:p>
    <w:p w14:paraId="187226F3" w14:textId="77777777" w:rsidR="00B97365" w:rsidRDefault="00B97365">
      <w:pPr>
        <w:spacing w:before="0" w:after="200" w:line="276" w:lineRule="auto"/>
        <w:jc w:val="left"/>
        <w:rPr>
          <w:rFonts w:cs="Arial"/>
          <w:szCs w:val="22"/>
          <w:lang w:val="en-US" w:eastAsia="en-GB" w:bidi="ar-SA"/>
        </w:rPr>
      </w:pPr>
    </w:p>
    <w:p w14:paraId="6E4CE63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728665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function has been successfully executed by the function provider as requested by the function caller. </w:t>
      </w:r>
    </w:p>
    <w:p w14:paraId="03EB8881" w14:textId="1631AD2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_Ref367975510 \r \h  \* MERGEFORMAT </w:instrText>
      </w:r>
      <w:r>
        <w:fldChar w:fldCharType="separate"/>
      </w:r>
      <w:r w:rsidR="001D5AD9" w:rsidRPr="001D5AD9">
        <w:rPr>
          <w:szCs w:val="22"/>
          <w:lang w:eastAsia="en-GB" w:bidi="ar-SA"/>
        </w:rPr>
        <w:t>5.1.6.4</w:t>
      </w:r>
      <w:r>
        <w:fldChar w:fldCharType="end"/>
      </w:r>
    </w:p>
    <w:p w14:paraId="7DE06F5D" w14:textId="5F99AFF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_Ref367975518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261D2CF6" w14:textId="77777777" w:rsidR="00B97365" w:rsidRDefault="00B97365">
      <w:pPr>
        <w:tabs>
          <w:tab w:val="left" w:pos="680"/>
        </w:tabs>
        <w:spacing w:before="0" w:after="200" w:line="276" w:lineRule="auto"/>
        <w:contextualSpacing/>
        <w:jc w:val="left"/>
        <w:rPr>
          <w:rFonts w:cs="Arial"/>
          <w:szCs w:val="22"/>
          <w:lang w:eastAsia="en-GB" w:bidi="ar-SA"/>
        </w:rPr>
      </w:pPr>
    </w:p>
    <w:p w14:paraId="48529BAE" w14:textId="77777777" w:rsidR="00B97365" w:rsidRDefault="00000000">
      <w:pPr>
        <w:spacing w:before="0" w:after="200" w:line="276" w:lineRule="auto"/>
        <w:jc w:val="left"/>
        <w:rPr>
          <w:b/>
          <w:i/>
          <w:szCs w:val="22"/>
          <w:lang w:val="en-US" w:eastAsia="en-GB" w:bidi="ar-SA"/>
        </w:rPr>
      </w:pPr>
      <w:bookmarkStart w:id="5574" w:name="_Toc420594895"/>
      <w:r>
        <w:rPr>
          <w:rFonts w:cs="Arial"/>
          <w:b/>
          <w:i/>
          <w:szCs w:val="22"/>
          <w:lang w:val="en-US" w:eastAsia="en-GB" w:bidi="ar-SA"/>
        </w:rPr>
        <w:t>Additional input data:</w:t>
      </w:r>
      <w:bookmarkEnd w:id="557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95"/>
        <w:gridCol w:w="3815"/>
        <w:gridCol w:w="2181"/>
        <w:gridCol w:w="398"/>
        <w:gridCol w:w="827"/>
      </w:tblGrid>
      <w:tr w:rsidR="00B97365" w14:paraId="4C96F363"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42B3289"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83E80D2"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0E0C3F9"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9CAC61A"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31EB874"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3AB958E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603EE1D" w14:textId="77777777" w:rsidR="00B97365" w:rsidRDefault="00000000">
            <w:pPr>
              <w:rPr>
                <w:rFonts w:cs="Calibri"/>
                <w:sz w:val="16"/>
                <w:szCs w:val="16"/>
              </w:rPr>
            </w:pPr>
            <w:r>
              <w:rPr>
                <w:rFonts w:cs="Calibri"/>
                <w:sz w:val="16"/>
                <w:szCs w:val="16"/>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6FD2B483" w14:textId="77777777" w:rsidR="00B97365" w:rsidRDefault="00000000">
            <w:pPr>
              <w:tabs>
                <w:tab w:val="right" w:pos="7938"/>
              </w:tabs>
              <w:rPr>
                <w:rFonts w:cs="Calibri"/>
                <w:sz w:val="16"/>
                <w:szCs w:val="16"/>
              </w:rPr>
            </w:pPr>
            <w:r>
              <w:rPr>
                <w:rFonts w:cs="Calibri"/>
                <w:sz w:val="16"/>
                <w:szCs w:val="16"/>
              </w:rPr>
              <w:t>Identification of the targeted eUICC.</w:t>
            </w:r>
          </w:p>
          <w:p w14:paraId="0163E79A" w14:textId="79DD035B" w:rsidR="00B97365" w:rsidRDefault="00000000">
            <w:pPr>
              <w:tabs>
                <w:tab w:val="right" w:pos="7938"/>
              </w:tabs>
              <w:rPr>
                <w:rFonts w:cs="Calibri"/>
                <w:sz w:val="16"/>
                <w:szCs w:val="16"/>
              </w:rPr>
            </w:pPr>
            <w:r>
              <w:rPr>
                <w:rFonts w:cs="Calibri"/>
                <w:sz w:val="16"/>
                <w:szCs w:val="16"/>
              </w:rPr>
              <w:t xml:space="preserve">See  </w:t>
            </w:r>
            <w:r>
              <w:rPr>
                <w:rFonts w:cs="Calibri"/>
                <w:sz w:val="16"/>
                <w:szCs w:val="16"/>
              </w:rPr>
              <w:fldChar w:fldCharType="begin"/>
            </w:r>
            <w:r>
              <w:rPr>
                <w:rFonts w:cs="Calibri"/>
                <w:sz w:val="16"/>
                <w:szCs w:val="16"/>
              </w:rPr>
              <w:instrText xml:space="preserve"> REF _Ref421808973 \r \h </w:instrText>
            </w:r>
            <w:r>
              <w:rPr>
                <w:rFonts w:cs="Calibri"/>
                <w:sz w:val="16"/>
                <w:szCs w:val="16"/>
              </w:rPr>
            </w:r>
            <w:r>
              <w:rPr>
                <w:rFonts w:cs="Calibri"/>
                <w:sz w:val="16"/>
                <w:szCs w:val="16"/>
              </w:rPr>
              <w:fldChar w:fldCharType="separate"/>
            </w:r>
            <w:r w:rsidR="001D5AD9">
              <w:rPr>
                <w:rFonts w:cs="Calibri"/>
                <w:sz w:val="16"/>
                <w:szCs w:val="16"/>
              </w:rPr>
              <w:t>5.1.1.1</w:t>
            </w:r>
            <w:r>
              <w:rPr>
                <w:rFonts w:cs="Calibri"/>
                <w:sz w:val="16"/>
                <w:szCs w:val="16"/>
              </w:rPr>
              <w:fldChar w:fldCharType="end"/>
            </w:r>
            <w:r>
              <w:rPr>
                <w:rFonts w:cs="Calibri"/>
                <w:sz w:val="16"/>
                <w:szCs w:val="16"/>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0B8A289" w14:textId="77777777" w:rsidR="00B97365" w:rsidRDefault="00000000">
            <w:pPr>
              <w:spacing w:after="60"/>
              <w:jc w:val="center"/>
              <w:rPr>
                <w:rFonts w:eastAsia="Times New Roman" w:cs="Calibri"/>
                <w:sz w:val="16"/>
                <w:szCs w:val="16"/>
                <w:lang w:val="en-US"/>
              </w:rPr>
            </w:pPr>
            <w:r>
              <w:rPr>
                <w:rFonts w:cs="Calibri"/>
                <w:sz w:val="16"/>
                <w:szCs w:val="16"/>
                <w:lang w:val="en-US"/>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76404652"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AD6BA64"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611DCD6F"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7393A5AC" w14:textId="77777777" w:rsidR="00B97365" w:rsidRDefault="00000000">
            <w:pPr>
              <w:rPr>
                <w:rFonts w:cs="Calibri"/>
                <w:sz w:val="16"/>
                <w:szCs w:val="16"/>
              </w:rPr>
            </w:pPr>
            <w:r>
              <w:rPr>
                <w:rFonts w:cs="Calibri"/>
                <w:sz w:val="16"/>
                <w:szCs w:val="16"/>
              </w:rPr>
              <w:t>keyVersionNumber</w:t>
            </w:r>
          </w:p>
        </w:tc>
        <w:tc>
          <w:tcPr>
            <w:tcW w:w="0" w:type="auto"/>
            <w:tcBorders>
              <w:top w:val="single" w:sz="6" w:space="0" w:color="auto"/>
              <w:left w:val="single" w:sz="6" w:space="0" w:color="auto"/>
              <w:bottom w:val="single" w:sz="6" w:space="0" w:color="auto"/>
              <w:right w:val="single" w:sz="6" w:space="0" w:color="auto"/>
            </w:tcBorders>
            <w:vAlign w:val="center"/>
            <w:hideMark/>
          </w:tcPr>
          <w:p w14:paraId="0247B3F2" w14:textId="77777777" w:rsidR="00B97365" w:rsidRDefault="00000000">
            <w:pPr>
              <w:tabs>
                <w:tab w:val="right" w:pos="7938"/>
              </w:tabs>
              <w:rPr>
                <w:rFonts w:cs="Calibri"/>
                <w:sz w:val="16"/>
                <w:szCs w:val="16"/>
              </w:rPr>
            </w:pPr>
            <w:r>
              <w:rPr>
                <w:rFonts w:cs="Calibri"/>
                <w:sz w:val="16"/>
                <w:szCs w:val="16"/>
              </w:rPr>
              <w:t>The Key Version Number of the to-be-created keyset.</w:t>
            </w:r>
          </w:p>
        </w:tc>
        <w:tc>
          <w:tcPr>
            <w:tcW w:w="0" w:type="auto"/>
            <w:tcBorders>
              <w:top w:val="single" w:sz="6" w:space="0" w:color="auto"/>
              <w:left w:val="single" w:sz="6" w:space="0" w:color="auto"/>
              <w:bottom w:val="single" w:sz="6" w:space="0" w:color="auto"/>
              <w:right w:val="single" w:sz="6" w:space="0" w:color="auto"/>
            </w:tcBorders>
            <w:vAlign w:val="center"/>
            <w:hideMark/>
          </w:tcPr>
          <w:p w14:paraId="13CEF327" w14:textId="77777777" w:rsidR="00B97365" w:rsidRDefault="00000000">
            <w:pPr>
              <w:spacing w:after="60"/>
              <w:jc w:val="center"/>
              <w:rPr>
                <w:rFonts w:eastAsia="Times New Roman" w:cs="Calibri"/>
                <w:sz w:val="16"/>
                <w:szCs w:val="16"/>
                <w:lang w:val="en-US"/>
              </w:rPr>
            </w:pPr>
            <w:r>
              <w:rPr>
                <w:rFonts w:eastAsia="Times New Roman" w:cs="Calibri"/>
                <w:sz w:val="16"/>
                <w:szCs w:val="16"/>
                <w:lang w:val="en-US"/>
              </w:rPr>
              <w:t>Integer</w:t>
            </w:r>
          </w:p>
        </w:tc>
        <w:tc>
          <w:tcPr>
            <w:tcW w:w="0" w:type="auto"/>
            <w:tcBorders>
              <w:top w:val="single" w:sz="6" w:space="0" w:color="auto"/>
              <w:left w:val="single" w:sz="6" w:space="0" w:color="auto"/>
              <w:bottom w:val="single" w:sz="6" w:space="0" w:color="auto"/>
              <w:right w:val="single" w:sz="6" w:space="0" w:color="auto"/>
            </w:tcBorders>
            <w:vAlign w:val="center"/>
            <w:hideMark/>
          </w:tcPr>
          <w:p w14:paraId="0552E768" w14:textId="77777777" w:rsidR="00B97365" w:rsidRDefault="00000000">
            <w:pPr>
              <w:spacing w:after="60"/>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588428CB"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3F8D5B7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F5F056C" w14:textId="77777777" w:rsidR="00B97365" w:rsidRDefault="00000000">
            <w:pPr>
              <w:rPr>
                <w:rFonts w:cs="Calibri"/>
                <w:sz w:val="16"/>
                <w:szCs w:val="16"/>
              </w:rPr>
            </w:pPr>
            <w:r>
              <w:rPr>
                <w:rFonts w:cs="Calibri"/>
                <w:sz w:val="16"/>
                <w:szCs w:val="16"/>
              </w:rPr>
              <w:t>initialSequenceCounter</w:t>
            </w:r>
          </w:p>
        </w:tc>
        <w:tc>
          <w:tcPr>
            <w:tcW w:w="0" w:type="auto"/>
            <w:tcBorders>
              <w:top w:val="single" w:sz="6" w:space="0" w:color="auto"/>
              <w:left w:val="single" w:sz="6" w:space="0" w:color="auto"/>
              <w:bottom w:val="single" w:sz="6" w:space="0" w:color="auto"/>
              <w:right w:val="single" w:sz="6" w:space="0" w:color="auto"/>
            </w:tcBorders>
            <w:vAlign w:val="center"/>
            <w:hideMark/>
          </w:tcPr>
          <w:p w14:paraId="0B5FE1DF" w14:textId="77777777" w:rsidR="00B97365" w:rsidRDefault="00000000">
            <w:pPr>
              <w:tabs>
                <w:tab w:val="right" w:pos="7938"/>
              </w:tabs>
              <w:rPr>
                <w:rFonts w:cs="Calibri"/>
                <w:sz w:val="16"/>
                <w:szCs w:val="16"/>
              </w:rPr>
            </w:pPr>
            <w:r>
              <w:rPr>
                <w:rFonts w:cs="Calibri"/>
                <w:sz w:val="16"/>
                <w:szCs w:val="16"/>
              </w:rPr>
              <w:t>The initial value of the Sequence Counter of the keyset</w:t>
            </w:r>
          </w:p>
        </w:tc>
        <w:tc>
          <w:tcPr>
            <w:tcW w:w="0" w:type="auto"/>
            <w:tcBorders>
              <w:top w:val="single" w:sz="6" w:space="0" w:color="auto"/>
              <w:left w:val="single" w:sz="6" w:space="0" w:color="auto"/>
              <w:bottom w:val="single" w:sz="6" w:space="0" w:color="auto"/>
              <w:right w:val="single" w:sz="6" w:space="0" w:color="auto"/>
            </w:tcBorders>
            <w:vAlign w:val="center"/>
            <w:hideMark/>
          </w:tcPr>
          <w:p w14:paraId="7868CF1F" w14:textId="77777777" w:rsidR="00B97365" w:rsidRDefault="00000000">
            <w:pPr>
              <w:spacing w:after="60"/>
              <w:jc w:val="center"/>
              <w:rPr>
                <w:rFonts w:eastAsia="Times New Roman" w:cs="Calibri"/>
                <w:sz w:val="16"/>
                <w:szCs w:val="16"/>
                <w:lang w:val="en-US"/>
              </w:rPr>
            </w:pPr>
            <w:r>
              <w:rPr>
                <w:rFonts w:eastAsia="Times New Roman" w:cs="Calibri"/>
                <w:sz w:val="16"/>
                <w:szCs w:val="16"/>
                <w:lang w:val="en-US"/>
              </w:rPr>
              <w:t>Integer</w:t>
            </w:r>
          </w:p>
        </w:tc>
        <w:tc>
          <w:tcPr>
            <w:tcW w:w="0" w:type="auto"/>
            <w:tcBorders>
              <w:top w:val="single" w:sz="6" w:space="0" w:color="auto"/>
              <w:left w:val="single" w:sz="6" w:space="0" w:color="auto"/>
              <w:bottom w:val="single" w:sz="6" w:space="0" w:color="auto"/>
              <w:right w:val="single" w:sz="6" w:space="0" w:color="auto"/>
            </w:tcBorders>
            <w:vAlign w:val="center"/>
            <w:hideMark/>
          </w:tcPr>
          <w:p w14:paraId="67DED16B" w14:textId="77777777" w:rsidR="00B97365" w:rsidRDefault="00000000">
            <w:pPr>
              <w:spacing w:after="60"/>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A14EB22" w14:textId="77777777" w:rsidR="00B97365" w:rsidRDefault="00000000">
            <w:pPr>
              <w:spacing w:after="60"/>
              <w:jc w:val="center"/>
              <w:rPr>
                <w:rFonts w:cs="Calibri"/>
                <w:sz w:val="16"/>
                <w:szCs w:val="16"/>
                <w:lang w:val="en-US"/>
              </w:rPr>
            </w:pPr>
            <w:r>
              <w:rPr>
                <w:rFonts w:cs="Calibri"/>
                <w:sz w:val="16"/>
                <w:szCs w:val="16"/>
                <w:lang w:val="en-US"/>
              </w:rPr>
              <w:t>O (see note 1)</w:t>
            </w:r>
          </w:p>
        </w:tc>
      </w:tr>
      <w:tr w:rsidR="00B97365" w14:paraId="483DBCC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CFA64C2" w14:textId="77777777" w:rsidR="00B97365" w:rsidRDefault="00000000">
            <w:pPr>
              <w:rPr>
                <w:rFonts w:cs="Calibri"/>
                <w:sz w:val="16"/>
                <w:szCs w:val="16"/>
              </w:rPr>
            </w:pPr>
            <w:r>
              <w:rPr>
                <w:rFonts w:cs="Calibri"/>
                <w:sz w:val="16"/>
                <w:szCs w:val="16"/>
              </w:rPr>
              <w:t>eccKeyLength</w:t>
            </w:r>
          </w:p>
        </w:tc>
        <w:tc>
          <w:tcPr>
            <w:tcW w:w="0" w:type="auto"/>
            <w:tcBorders>
              <w:top w:val="single" w:sz="6" w:space="0" w:color="auto"/>
              <w:left w:val="single" w:sz="6" w:space="0" w:color="auto"/>
              <w:bottom w:val="single" w:sz="6" w:space="0" w:color="auto"/>
              <w:right w:val="single" w:sz="6" w:space="0" w:color="auto"/>
            </w:tcBorders>
            <w:vAlign w:val="center"/>
            <w:hideMark/>
          </w:tcPr>
          <w:p w14:paraId="1CF8245F" w14:textId="77777777" w:rsidR="00B97365" w:rsidRDefault="00000000">
            <w:pPr>
              <w:tabs>
                <w:tab w:val="right" w:pos="7938"/>
              </w:tabs>
              <w:rPr>
                <w:rFonts w:cs="Calibri"/>
                <w:sz w:val="16"/>
                <w:szCs w:val="16"/>
              </w:rPr>
            </w:pPr>
            <w:r>
              <w:rPr>
                <w:rFonts w:cs="Calibri"/>
                <w:sz w:val="16"/>
                <w:szCs w:val="16"/>
              </w:rPr>
              <w:t>The length of the Elliptic Curve Cryptography keys.</w:t>
            </w:r>
          </w:p>
        </w:tc>
        <w:tc>
          <w:tcPr>
            <w:tcW w:w="0" w:type="auto"/>
            <w:tcBorders>
              <w:top w:val="single" w:sz="6" w:space="0" w:color="auto"/>
              <w:left w:val="single" w:sz="6" w:space="0" w:color="auto"/>
              <w:bottom w:val="single" w:sz="6" w:space="0" w:color="auto"/>
              <w:right w:val="single" w:sz="6" w:space="0" w:color="auto"/>
            </w:tcBorders>
            <w:vAlign w:val="center"/>
            <w:hideMark/>
          </w:tcPr>
          <w:p w14:paraId="76980555" w14:textId="77777777" w:rsidR="00B97365" w:rsidRDefault="00000000">
            <w:pPr>
              <w:spacing w:after="60"/>
              <w:jc w:val="center"/>
              <w:rPr>
                <w:rFonts w:eastAsia="Times New Roman" w:cs="Calibri"/>
                <w:sz w:val="16"/>
                <w:szCs w:val="16"/>
                <w:lang w:val="en-US"/>
              </w:rPr>
            </w:pPr>
            <w:r>
              <w:rPr>
                <w:rFonts w:cs="Calibri"/>
                <w:sz w:val="16"/>
                <w:szCs w:val="16"/>
                <w:lang w:val="en-US"/>
              </w:rPr>
              <w:t>Enumeration</w:t>
            </w:r>
          </w:p>
          <w:p w14:paraId="41119041" w14:textId="77777777" w:rsidR="00B97365" w:rsidRDefault="00000000">
            <w:pPr>
              <w:spacing w:after="60"/>
              <w:jc w:val="center"/>
              <w:rPr>
                <w:rFonts w:eastAsia="Times New Roman" w:cs="Calibri"/>
                <w:sz w:val="16"/>
                <w:szCs w:val="16"/>
                <w:lang w:val="en-US"/>
              </w:rPr>
            </w:pPr>
            <w:r>
              <w:rPr>
                <w:rFonts w:cs="Calibri"/>
                <w:sz w:val="16"/>
                <w:szCs w:val="16"/>
                <w:lang w:val="en-US"/>
              </w:rPr>
              <w:t>{ECC-256,</w:t>
            </w:r>
          </w:p>
          <w:p w14:paraId="59D7E98D" w14:textId="77777777" w:rsidR="00B97365" w:rsidRDefault="00000000">
            <w:pPr>
              <w:spacing w:after="60"/>
              <w:jc w:val="center"/>
              <w:rPr>
                <w:rFonts w:eastAsia="Times New Roman" w:cs="Calibri"/>
                <w:sz w:val="16"/>
                <w:szCs w:val="16"/>
                <w:lang w:val="en-US"/>
              </w:rPr>
            </w:pPr>
            <w:r>
              <w:rPr>
                <w:rFonts w:cs="Calibri"/>
                <w:sz w:val="16"/>
                <w:szCs w:val="16"/>
                <w:lang w:val="en-US"/>
              </w:rPr>
              <w:t>ECC-354,</w:t>
            </w:r>
          </w:p>
          <w:p w14:paraId="4B279B31" w14:textId="77777777" w:rsidR="00B97365" w:rsidRDefault="00000000">
            <w:pPr>
              <w:spacing w:after="60"/>
              <w:jc w:val="center"/>
              <w:rPr>
                <w:rFonts w:eastAsia="Times New Roman" w:cs="Calibri"/>
                <w:sz w:val="16"/>
                <w:szCs w:val="16"/>
                <w:lang w:val="en-US"/>
              </w:rPr>
            </w:pPr>
            <w:r>
              <w:rPr>
                <w:rFonts w:cs="Calibri"/>
                <w:sz w:val="16"/>
                <w:szCs w:val="16"/>
                <w:lang w:val="en-US"/>
              </w:rPr>
              <w:t>ECC-512,</w:t>
            </w:r>
          </w:p>
          <w:p w14:paraId="49797FE4" w14:textId="77777777" w:rsidR="00B97365" w:rsidRDefault="00000000">
            <w:pPr>
              <w:spacing w:after="60"/>
              <w:jc w:val="center"/>
              <w:rPr>
                <w:rFonts w:eastAsia="Times New Roman" w:cs="Calibri"/>
                <w:sz w:val="16"/>
                <w:szCs w:val="16"/>
                <w:lang w:val="en-US"/>
              </w:rPr>
            </w:pPr>
            <w:r>
              <w:rPr>
                <w:rFonts w:cs="Calibri"/>
                <w:sz w:val="16"/>
                <w:szCs w:val="16"/>
                <w:lang w:val="en-US"/>
              </w:rPr>
              <w:t>ECC-521 }</w:t>
            </w:r>
          </w:p>
        </w:tc>
        <w:tc>
          <w:tcPr>
            <w:tcW w:w="0" w:type="auto"/>
            <w:tcBorders>
              <w:top w:val="single" w:sz="6" w:space="0" w:color="auto"/>
              <w:left w:val="single" w:sz="6" w:space="0" w:color="auto"/>
              <w:bottom w:val="single" w:sz="6" w:space="0" w:color="auto"/>
              <w:right w:val="single" w:sz="6" w:space="0" w:color="auto"/>
            </w:tcBorders>
            <w:vAlign w:val="center"/>
            <w:hideMark/>
          </w:tcPr>
          <w:p w14:paraId="552C268B"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19CF7EBC"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52498800"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37FE6E7" w14:textId="77777777" w:rsidR="00B97365" w:rsidRDefault="00000000">
            <w:pPr>
              <w:rPr>
                <w:rFonts w:cs="Calibri"/>
                <w:sz w:val="16"/>
                <w:szCs w:val="16"/>
              </w:rPr>
            </w:pPr>
            <w:r>
              <w:rPr>
                <w:rFonts w:cs="Calibri"/>
                <w:sz w:val="16"/>
                <w:szCs w:val="16"/>
              </w:rPr>
              <w:t>scenarioParameter</w:t>
            </w:r>
          </w:p>
        </w:tc>
        <w:tc>
          <w:tcPr>
            <w:tcW w:w="0" w:type="auto"/>
            <w:tcBorders>
              <w:top w:val="single" w:sz="6" w:space="0" w:color="auto"/>
              <w:left w:val="single" w:sz="6" w:space="0" w:color="auto"/>
              <w:bottom w:val="single" w:sz="6" w:space="0" w:color="auto"/>
              <w:right w:val="single" w:sz="6" w:space="0" w:color="auto"/>
            </w:tcBorders>
            <w:vAlign w:val="center"/>
            <w:hideMark/>
          </w:tcPr>
          <w:p w14:paraId="5CC9DFC4" w14:textId="7BF9ED6F" w:rsidR="00B97365" w:rsidRDefault="00000000">
            <w:pPr>
              <w:tabs>
                <w:tab w:val="right" w:pos="7938"/>
              </w:tabs>
              <w:rPr>
                <w:rFonts w:cs="Calibri"/>
                <w:sz w:val="16"/>
                <w:szCs w:val="16"/>
              </w:rPr>
            </w:pPr>
            <w:r>
              <w:rPr>
                <w:rFonts w:cs="Calibri"/>
                <w:sz w:val="16"/>
                <w:szCs w:val="16"/>
              </w:rPr>
              <w:t xml:space="preserve">Scenario parameter as defined in </w:t>
            </w:r>
            <w:r>
              <w:rPr>
                <w:rFonts w:cs="Calibri"/>
                <w:sz w:val="16"/>
                <w:szCs w:val="16"/>
              </w:rPr>
              <w:fldChar w:fldCharType="begin"/>
            </w:r>
            <w:r>
              <w:rPr>
                <w:rFonts w:cs="Calibri"/>
                <w:sz w:val="16"/>
                <w:szCs w:val="16"/>
              </w:rPr>
              <w:instrText xml:space="preserve"> REF _Ref421658560 \r \h </w:instrText>
            </w:r>
            <w:r>
              <w:rPr>
                <w:rFonts w:cs="Calibri"/>
                <w:sz w:val="16"/>
                <w:szCs w:val="16"/>
              </w:rPr>
            </w:r>
            <w:r>
              <w:rPr>
                <w:rFonts w:cs="Calibri"/>
                <w:sz w:val="16"/>
                <w:szCs w:val="16"/>
              </w:rPr>
              <w:fldChar w:fldCharType="separate"/>
            </w:r>
            <w:r w:rsidR="001D5AD9">
              <w:rPr>
                <w:rFonts w:cs="Calibri"/>
                <w:sz w:val="16"/>
                <w:szCs w:val="16"/>
              </w:rPr>
              <w:t>Table 45</w:t>
            </w:r>
            <w:r>
              <w:rPr>
                <w:rFonts w:cs="Calibri"/>
                <w:sz w:val="16"/>
                <w:szCs w:val="16"/>
              </w:rPr>
              <w:fldChar w:fldCharType="end"/>
            </w:r>
          </w:p>
        </w:tc>
        <w:tc>
          <w:tcPr>
            <w:tcW w:w="0" w:type="auto"/>
            <w:tcBorders>
              <w:top w:val="single" w:sz="6" w:space="0" w:color="auto"/>
              <w:left w:val="single" w:sz="6" w:space="0" w:color="auto"/>
              <w:bottom w:val="single" w:sz="6" w:space="0" w:color="auto"/>
              <w:right w:val="single" w:sz="6" w:space="0" w:color="auto"/>
            </w:tcBorders>
            <w:vAlign w:val="center"/>
            <w:hideMark/>
          </w:tcPr>
          <w:p w14:paraId="479A56B7" w14:textId="77777777" w:rsidR="00B97365" w:rsidRDefault="00000000">
            <w:pPr>
              <w:spacing w:after="60"/>
              <w:jc w:val="center"/>
              <w:rPr>
                <w:rFonts w:cs="Calibri"/>
                <w:sz w:val="16"/>
                <w:szCs w:val="16"/>
                <w:lang w:val="en-US"/>
              </w:rPr>
            </w:pPr>
            <w:r>
              <w:rPr>
                <w:rFonts w:cs="Calibri"/>
                <w:sz w:val="16"/>
                <w:szCs w:val="16"/>
                <w:lang w:val="en-US"/>
              </w:rPr>
              <w:t>Hexadecimal String representation of 1 Byte</w:t>
            </w:r>
          </w:p>
        </w:tc>
        <w:tc>
          <w:tcPr>
            <w:tcW w:w="0" w:type="auto"/>
            <w:tcBorders>
              <w:top w:val="single" w:sz="6" w:space="0" w:color="auto"/>
              <w:left w:val="single" w:sz="6" w:space="0" w:color="auto"/>
              <w:bottom w:val="single" w:sz="6" w:space="0" w:color="auto"/>
              <w:right w:val="single" w:sz="6" w:space="0" w:color="auto"/>
            </w:tcBorders>
            <w:vAlign w:val="center"/>
            <w:hideMark/>
          </w:tcPr>
          <w:p w14:paraId="06FD95A2" w14:textId="77777777" w:rsidR="00B97365" w:rsidRDefault="00000000">
            <w:pPr>
              <w:spacing w:after="60"/>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49621196"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28D7026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69F3400A" w14:textId="77777777" w:rsidR="00B97365" w:rsidRDefault="00000000">
            <w:pPr>
              <w:rPr>
                <w:rFonts w:cs="Calibri"/>
                <w:sz w:val="16"/>
                <w:szCs w:val="16"/>
              </w:rPr>
            </w:pPr>
            <w:r>
              <w:rPr>
                <w:rFonts w:cs="Calibri"/>
                <w:sz w:val="16"/>
                <w:szCs w:val="16"/>
              </w:rPr>
              <w:t>hostId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3ECA9E2" w14:textId="77777777" w:rsidR="00B97365" w:rsidRDefault="00000000">
            <w:pPr>
              <w:tabs>
                <w:tab w:val="right" w:pos="7938"/>
              </w:tabs>
              <w:rPr>
                <w:rFonts w:cs="Calibri"/>
                <w:sz w:val="16"/>
                <w:szCs w:val="16"/>
              </w:rPr>
            </w:pPr>
            <w:r>
              <w:rPr>
                <w:rFonts w:cs="Calibri"/>
                <w:sz w:val="16"/>
                <w:szCs w:val="16"/>
              </w:rPr>
              <w:t xml:space="preserve">Host ID as defined in Table 4-17 of the </w:t>
            </w:r>
          </w:p>
          <w:p w14:paraId="193E0C4F" w14:textId="09AC15CA" w:rsidR="00B97365" w:rsidRDefault="00000000">
            <w:pPr>
              <w:tabs>
                <w:tab w:val="right" w:pos="7938"/>
              </w:tabs>
              <w:rPr>
                <w:rFonts w:cs="Calibri"/>
                <w:sz w:val="16"/>
                <w:szCs w:val="16"/>
              </w:rPr>
            </w:pPr>
            <w:r>
              <w:rPr>
                <w:rFonts w:cs="Calibri"/>
                <w:sz w:val="16"/>
                <w:szCs w:val="16"/>
              </w:rPr>
              <w:t xml:space="preserve">Amendment E of GlobalPlatform 2.2 Card Specification </w:t>
            </w:r>
            <w:r>
              <w:rPr>
                <w:rFonts w:cs="Calibri"/>
                <w:sz w:val="16"/>
                <w:szCs w:val="16"/>
              </w:rPr>
              <w:fldChar w:fldCharType="begin"/>
            </w:r>
            <w:r>
              <w:rPr>
                <w:rFonts w:cs="Calibri"/>
                <w:sz w:val="16"/>
                <w:szCs w:val="16"/>
              </w:rPr>
              <w:instrText xml:space="preserve"> REF _Ref421632038 \r \h </w:instrText>
            </w:r>
            <w:r>
              <w:rPr>
                <w:rFonts w:cs="Calibri"/>
                <w:sz w:val="16"/>
                <w:szCs w:val="16"/>
              </w:rPr>
            </w:r>
            <w:r>
              <w:rPr>
                <w:rFonts w:cs="Calibri"/>
                <w:sz w:val="16"/>
                <w:szCs w:val="16"/>
              </w:rPr>
              <w:fldChar w:fldCharType="separate"/>
            </w:r>
            <w:r w:rsidR="001D5AD9">
              <w:rPr>
                <w:rFonts w:cs="Calibri"/>
                <w:sz w:val="16"/>
                <w:szCs w:val="16"/>
              </w:rPr>
              <w:t>[11]</w:t>
            </w:r>
            <w:r>
              <w:rPr>
                <w:rFonts w:cs="Calibri"/>
                <w:sz w:val="16"/>
                <w:szCs w:val="16"/>
              </w:rPr>
              <w:fldChar w:fldCharType="end"/>
            </w:r>
          </w:p>
        </w:tc>
        <w:tc>
          <w:tcPr>
            <w:tcW w:w="0" w:type="auto"/>
            <w:tcBorders>
              <w:top w:val="single" w:sz="6" w:space="0" w:color="auto"/>
              <w:left w:val="single" w:sz="6" w:space="0" w:color="auto"/>
              <w:bottom w:val="single" w:sz="6" w:space="0" w:color="auto"/>
              <w:right w:val="single" w:sz="6" w:space="0" w:color="auto"/>
            </w:tcBorders>
            <w:vAlign w:val="center"/>
            <w:hideMark/>
          </w:tcPr>
          <w:p w14:paraId="7C6AF7EE" w14:textId="77777777" w:rsidR="00B97365" w:rsidRDefault="00000000">
            <w:pPr>
              <w:spacing w:after="60"/>
              <w:jc w:val="center"/>
              <w:rPr>
                <w:rFonts w:cs="Calibri"/>
                <w:sz w:val="16"/>
                <w:szCs w:val="16"/>
                <w:lang w:val="en-US"/>
              </w:rPr>
            </w:pPr>
            <w:r>
              <w:rPr>
                <w:rFonts w:cs="Calibri"/>
                <w:sz w:val="16"/>
                <w:szCs w:val="16"/>
                <w:lang w:val="en-US"/>
              </w:rPr>
              <w:t>Hexadecimal 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2EB65F5F" w14:textId="77777777" w:rsidR="00B97365" w:rsidRDefault="00000000">
            <w:pPr>
              <w:spacing w:after="60"/>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575875F" w14:textId="77777777" w:rsidR="00B97365" w:rsidRDefault="00000000">
            <w:pPr>
              <w:spacing w:after="60"/>
              <w:jc w:val="center"/>
              <w:rPr>
                <w:rFonts w:cs="Calibri"/>
                <w:sz w:val="16"/>
                <w:szCs w:val="16"/>
                <w:lang w:val="en-US"/>
              </w:rPr>
            </w:pPr>
            <w:r>
              <w:rPr>
                <w:rFonts w:cs="Calibri"/>
                <w:sz w:val="16"/>
                <w:szCs w:val="16"/>
                <w:lang w:val="en-US"/>
              </w:rPr>
              <w:t>C (see note 2)</w:t>
            </w:r>
          </w:p>
        </w:tc>
      </w:tr>
      <w:tr w:rsidR="00B97365" w14:paraId="5D7CD422"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5B8420C7" w14:textId="77777777" w:rsidR="00B97365" w:rsidRDefault="00000000">
            <w:pPr>
              <w:rPr>
                <w:rFonts w:cs="Calibri"/>
                <w:sz w:val="16"/>
                <w:szCs w:val="16"/>
              </w:rPr>
            </w:pPr>
            <w:r>
              <w:rPr>
                <w:rFonts w:cs="Calibri"/>
                <w:sz w:val="16"/>
                <w:szCs w:val="16"/>
              </w:rPr>
              <w:t>ephemeralPublicKey</w:t>
            </w:r>
          </w:p>
        </w:tc>
        <w:tc>
          <w:tcPr>
            <w:tcW w:w="0" w:type="auto"/>
            <w:tcBorders>
              <w:top w:val="single" w:sz="6" w:space="0" w:color="auto"/>
              <w:left w:val="single" w:sz="6" w:space="0" w:color="auto"/>
              <w:bottom w:val="single" w:sz="6" w:space="0" w:color="auto"/>
              <w:right w:val="single" w:sz="6" w:space="0" w:color="auto"/>
            </w:tcBorders>
            <w:vAlign w:val="center"/>
            <w:hideMark/>
          </w:tcPr>
          <w:p w14:paraId="76EA59B1" w14:textId="77777777" w:rsidR="00B97365" w:rsidRDefault="00000000">
            <w:pPr>
              <w:tabs>
                <w:tab w:val="right" w:pos="7938"/>
              </w:tabs>
              <w:rPr>
                <w:rFonts w:cs="Calibri"/>
                <w:sz w:val="16"/>
                <w:szCs w:val="16"/>
              </w:rPr>
            </w:pPr>
            <w:r>
              <w:rPr>
                <w:rFonts w:cs="Calibri"/>
                <w:sz w:val="16"/>
                <w:szCs w:val="16"/>
              </w:rPr>
              <w:t>The ephemeral public key calculated by new SM-SR</w:t>
            </w:r>
          </w:p>
        </w:tc>
        <w:tc>
          <w:tcPr>
            <w:tcW w:w="0" w:type="auto"/>
            <w:tcBorders>
              <w:top w:val="single" w:sz="6" w:space="0" w:color="auto"/>
              <w:left w:val="single" w:sz="6" w:space="0" w:color="auto"/>
              <w:bottom w:val="single" w:sz="6" w:space="0" w:color="auto"/>
              <w:right w:val="single" w:sz="6" w:space="0" w:color="auto"/>
            </w:tcBorders>
            <w:vAlign w:val="center"/>
            <w:hideMark/>
          </w:tcPr>
          <w:p w14:paraId="177FCE9E" w14:textId="77777777" w:rsidR="00B97365" w:rsidRDefault="00000000">
            <w:pPr>
              <w:spacing w:after="60"/>
              <w:jc w:val="center"/>
              <w:rPr>
                <w:rFonts w:eastAsia="Times New Roman" w:cs="Calibri"/>
                <w:sz w:val="16"/>
                <w:szCs w:val="16"/>
                <w:lang w:val="en-US"/>
              </w:rPr>
            </w:pPr>
            <w:r>
              <w:rPr>
                <w:rFonts w:cs="Calibri"/>
                <w:sz w:val="16"/>
                <w:szCs w:val="16"/>
                <w:lang w:val="en-US"/>
              </w:rPr>
              <w:t>Byte[]</w:t>
            </w:r>
          </w:p>
        </w:tc>
        <w:tc>
          <w:tcPr>
            <w:tcW w:w="0" w:type="auto"/>
            <w:tcBorders>
              <w:top w:val="single" w:sz="6" w:space="0" w:color="auto"/>
              <w:left w:val="single" w:sz="6" w:space="0" w:color="auto"/>
              <w:bottom w:val="single" w:sz="6" w:space="0" w:color="auto"/>
              <w:right w:val="single" w:sz="6" w:space="0" w:color="auto"/>
            </w:tcBorders>
            <w:vAlign w:val="center"/>
            <w:hideMark/>
          </w:tcPr>
          <w:p w14:paraId="1D264BDB"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6138DCD5" w14:textId="77777777" w:rsidR="00B97365" w:rsidRDefault="00000000">
            <w:pPr>
              <w:spacing w:after="60"/>
              <w:jc w:val="center"/>
              <w:rPr>
                <w:rFonts w:cs="Calibri"/>
                <w:sz w:val="16"/>
                <w:szCs w:val="16"/>
                <w:lang w:val="en-US"/>
              </w:rPr>
            </w:pPr>
            <w:r>
              <w:rPr>
                <w:rFonts w:cs="Calibri"/>
                <w:sz w:val="16"/>
                <w:szCs w:val="16"/>
                <w:lang w:val="en-US"/>
              </w:rPr>
              <w:t>M</w:t>
            </w:r>
          </w:p>
        </w:tc>
      </w:tr>
      <w:tr w:rsidR="00B97365" w14:paraId="3663C53E"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8E306C1" w14:textId="77777777" w:rsidR="00B97365" w:rsidRDefault="00000000">
            <w:pPr>
              <w:rPr>
                <w:rFonts w:cs="Calibri"/>
                <w:sz w:val="16"/>
                <w:szCs w:val="16"/>
              </w:rPr>
            </w:pPr>
            <w:r>
              <w:rPr>
                <w:rFonts w:cs="Calibri"/>
                <w:sz w:val="16"/>
                <w:szCs w:val="16"/>
              </w:rPr>
              <w:t>signature</w:t>
            </w:r>
          </w:p>
        </w:tc>
        <w:tc>
          <w:tcPr>
            <w:tcW w:w="0" w:type="auto"/>
            <w:tcBorders>
              <w:top w:val="single" w:sz="6" w:space="0" w:color="auto"/>
              <w:left w:val="single" w:sz="6" w:space="0" w:color="auto"/>
              <w:bottom w:val="single" w:sz="4" w:space="0" w:color="auto"/>
              <w:right w:val="single" w:sz="6" w:space="0" w:color="auto"/>
            </w:tcBorders>
            <w:vAlign w:val="center"/>
            <w:hideMark/>
          </w:tcPr>
          <w:p w14:paraId="5886CAE4" w14:textId="77777777" w:rsidR="00B97365" w:rsidRDefault="00000000">
            <w:pPr>
              <w:tabs>
                <w:tab w:val="right" w:pos="7938"/>
              </w:tabs>
              <w:rPr>
                <w:rFonts w:cs="Calibri"/>
                <w:sz w:val="16"/>
                <w:szCs w:val="16"/>
              </w:rPr>
            </w:pPr>
            <w:r>
              <w:rPr>
                <w:rFonts w:cs="Calibri"/>
                <w:sz w:val="16"/>
                <w:szCs w:val="16"/>
              </w:rPr>
              <w:t xml:space="preserve">The signature associated to the authenticate SM-SR function. </w:t>
            </w:r>
          </w:p>
          <w:p w14:paraId="4622702F" w14:textId="2AF4EA8D" w:rsidR="00B97365" w:rsidRDefault="00000000">
            <w:pPr>
              <w:tabs>
                <w:tab w:val="right" w:pos="7938"/>
              </w:tabs>
              <w:rPr>
                <w:rFonts w:cs="Calibri"/>
                <w:sz w:val="16"/>
                <w:szCs w:val="16"/>
              </w:rPr>
            </w:pPr>
            <w:r>
              <w:rPr>
                <w:rFonts w:cs="Calibri"/>
                <w:sz w:val="16"/>
                <w:szCs w:val="16"/>
              </w:rPr>
              <w:t xml:space="preserve">The signature is computed off-card by the new SM-SR SK.SR. ECDSA. See section </w:t>
            </w:r>
            <w:r>
              <w:fldChar w:fldCharType="begin"/>
            </w:r>
            <w:r>
              <w:instrText xml:space="preserve"> REF _Ref367975529 \r \h  \* MERGEFORMAT </w:instrText>
            </w:r>
            <w:r>
              <w:fldChar w:fldCharType="separate"/>
            </w:r>
            <w:r w:rsidR="001D5AD9" w:rsidRPr="001D5AD9">
              <w:rPr>
                <w:rFonts w:cs="Calibri"/>
                <w:sz w:val="16"/>
                <w:szCs w:val="16"/>
              </w:rPr>
              <w:t>4.1.1.8</w:t>
            </w:r>
            <w:r>
              <w:fldChar w:fldCharType="end"/>
            </w:r>
          </w:p>
        </w:tc>
        <w:tc>
          <w:tcPr>
            <w:tcW w:w="0" w:type="auto"/>
            <w:tcBorders>
              <w:top w:val="single" w:sz="6" w:space="0" w:color="auto"/>
              <w:left w:val="single" w:sz="6" w:space="0" w:color="auto"/>
              <w:bottom w:val="single" w:sz="4" w:space="0" w:color="auto"/>
              <w:right w:val="single" w:sz="6" w:space="0" w:color="auto"/>
            </w:tcBorders>
            <w:vAlign w:val="center"/>
            <w:hideMark/>
          </w:tcPr>
          <w:p w14:paraId="32368F5F" w14:textId="77777777" w:rsidR="00B97365" w:rsidRDefault="00000000">
            <w:pPr>
              <w:spacing w:after="60"/>
              <w:jc w:val="center"/>
              <w:rPr>
                <w:rFonts w:cs="Calibri"/>
                <w:sz w:val="16"/>
                <w:szCs w:val="16"/>
                <w:lang w:val="en-US"/>
              </w:rPr>
            </w:pPr>
            <w:r>
              <w:rPr>
                <w:rFonts w:cs="Calibri"/>
                <w:sz w:val="16"/>
                <w:szCs w:val="16"/>
                <w:lang w:val="en-US"/>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7226F03F" w14:textId="77777777" w:rsidR="00B97365" w:rsidRDefault="00000000">
            <w:pPr>
              <w:spacing w:after="60"/>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5ADB9EB1" w14:textId="77777777" w:rsidR="00B97365" w:rsidRDefault="00000000">
            <w:pPr>
              <w:spacing w:after="60"/>
              <w:jc w:val="center"/>
              <w:rPr>
                <w:rFonts w:cs="Calibri"/>
                <w:sz w:val="16"/>
                <w:szCs w:val="16"/>
                <w:lang w:val="en-US"/>
              </w:rPr>
            </w:pPr>
            <w:r>
              <w:rPr>
                <w:rFonts w:cs="Calibri"/>
                <w:sz w:val="16"/>
                <w:szCs w:val="16"/>
                <w:lang w:val="en-US"/>
              </w:rPr>
              <w:t>M</w:t>
            </w:r>
          </w:p>
        </w:tc>
      </w:tr>
    </w:tbl>
    <w:p w14:paraId="2C92A64E"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lastRenderedPageBreak/>
        <w:t>: Create Additional Key Set Additional Input Data</w:t>
      </w:r>
    </w:p>
    <w:p w14:paraId="1102BC74" w14:textId="77777777" w:rsidR="00B97365" w:rsidRDefault="00000000">
      <w:pPr>
        <w:tabs>
          <w:tab w:val="left" w:pos="1560"/>
        </w:tabs>
        <w:spacing w:before="0" w:after="200" w:line="276" w:lineRule="auto"/>
        <w:ind w:left="1559" w:hanging="1202"/>
        <w:jc w:val="left"/>
        <w:rPr>
          <w:szCs w:val="22"/>
          <w:lang w:val="en-US" w:eastAsia="en-GB" w:bidi="ar-SA"/>
        </w:rPr>
      </w:pPr>
      <w:bookmarkStart w:id="5575" w:name="_Toc420594896"/>
      <w:r>
        <w:rPr>
          <w:szCs w:val="22"/>
          <w:lang w:val="en-US" w:eastAsia="en-GB" w:bidi="ar-SA"/>
        </w:rPr>
        <w:t>NOTE 1:</w:t>
      </w:r>
      <w:r>
        <w:rPr>
          <w:szCs w:val="22"/>
          <w:lang w:val="en-US" w:eastAsia="en-GB" w:bidi="ar-SA"/>
        </w:rPr>
        <w:tab/>
        <w:t xml:space="preserve">the input argument </w:t>
      </w:r>
      <w:r>
        <w:rPr>
          <w:noProof/>
          <w:sz w:val="18"/>
          <w:szCs w:val="18"/>
          <w:lang w:eastAsia="en-GB"/>
        </w:rPr>
        <w:t>initialSequenceCounter</w:t>
      </w:r>
      <w:r>
        <w:rPr>
          <w:szCs w:val="22"/>
          <w:lang w:val="en-US" w:eastAsia="en-GB" w:bidi="ar-SA"/>
        </w:rPr>
        <w:t xml:space="preserve"> is kept for backwards-compatibility of the API, but the rules stated above imply that the current SM-SR SHALL ignore the value provided by the new SM-SR.</w:t>
      </w:r>
    </w:p>
    <w:p w14:paraId="310477DF" w14:textId="1EE8AC54"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 2:</w:t>
      </w:r>
      <w:r>
        <w:rPr>
          <w:szCs w:val="22"/>
          <w:lang w:val="en-US" w:eastAsia="en-GB" w:bidi="ar-SA"/>
        </w:rPr>
        <w:tab/>
        <w:t xml:space="preserve">According to </w:t>
      </w:r>
      <w:r>
        <w:rPr>
          <w:szCs w:val="22"/>
          <w:lang w:val="en-US" w:eastAsia="en-GB" w:bidi="ar-SA"/>
        </w:rPr>
        <w:fldChar w:fldCharType="begin"/>
      </w:r>
      <w:r>
        <w:rPr>
          <w:szCs w:val="22"/>
          <w:lang w:val="en-US" w:eastAsia="en-GB" w:bidi="ar-SA"/>
        </w:rPr>
        <w:instrText xml:space="preserve"> REF _Ref479348633 \r \h </w:instrText>
      </w:r>
      <w:r>
        <w:rPr>
          <w:szCs w:val="22"/>
          <w:lang w:val="en-US" w:eastAsia="en-GB" w:bidi="ar-SA"/>
        </w:rPr>
      </w:r>
      <w:r>
        <w:rPr>
          <w:szCs w:val="22"/>
          <w:lang w:val="en-US" w:eastAsia="en-GB" w:bidi="ar-SA"/>
        </w:rPr>
        <w:fldChar w:fldCharType="separate"/>
      </w:r>
      <w:r w:rsidR="001D5AD9">
        <w:rPr>
          <w:szCs w:val="22"/>
          <w:lang w:val="en-US" w:eastAsia="en-GB" w:bidi="ar-SA"/>
        </w:rPr>
        <w:t>Table 44</w:t>
      </w:r>
      <w:r>
        <w:rPr>
          <w:szCs w:val="22"/>
          <w:lang w:val="en-US" w:eastAsia="en-GB" w:bidi="ar-SA"/>
        </w:rPr>
        <w:fldChar w:fldCharType="end"/>
      </w:r>
      <w:r>
        <w:rPr>
          <w:szCs w:val="22"/>
          <w:lang w:val="en-US" w:eastAsia="en-GB" w:bidi="ar-SA"/>
        </w:rPr>
        <w:t>, hostId SHALL only be present in the Second STORE DATA APDU of ISD-R key establishment when the bit b3, of the byte of Parameter for Scenario #3, is set to 1.</w:t>
      </w:r>
    </w:p>
    <w:p w14:paraId="137775AA"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bookmarkEnd w:id="557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01"/>
        <w:gridCol w:w="3841"/>
        <w:gridCol w:w="1528"/>
        <w:gridCol w:w="398"/>
        <w:gridCol w:w="514"/>
      </w:tblGrid>
      <w:tr w:rsidR="00B97365" w14:paraId="6B9E6F79"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8E9B174" w14:textId="77777777" w:rsidR="00B97365" w:rsidRDefault="00000000">
            <w:pPr>
              <w:jc w:val="center"/>
              <w:rPr>
                <w:rFonts w:cs="Calibri"/>
                <w:b/>
                <w:color w:val="FFFFFF"/>
                <w:sz w:val="16"/>
                <w:szCs w:val="16"/>
              </w:rPr>
            </w:pPr>
            <w:r>
              <w:rPr>
                <w:rFonts w:cs="Calibri"/>
                <w:b/>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8499FE8"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B886F48"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C21FB7D"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EB9DE9F"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45452355"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8275C95" w14:textId="77777777" w:rsidR="00B97365" w:rsidRDefault="00000000">
            <w:pPr>
              <w:rPr>
                <w:rFonts w:cs="Calibri"/>
                <w:sz w:val="16"/>
                <w:szCs w:val="16"/>
              </w:rPr>
            </w:pPr>
            <w:r>
              <w:rPr>
                <w:rFonts w:cs="Calibri"/>
                <w:sz w:val="16"/>
                <w:szCs w:val="16"/>
              </w:rPr>
              <w:t>derivationRandom</w:t>
            </w:r>
          </w:p>
        </w:tc>
        <w:tc>
          <w:tcPr>
            <w:tcW w:w="0" w:type="auto"/>
            <w:tcBorders>
              <w:top w:val="single" w:sz="6" w:space="0" w:color="auto"/>
              <w:left w:val="single" w:sz="6" w:space="0" w:color="auto"/>
              <w:bottom w:val="single" w:sz="6" w:space="0" w:color="auto"/>
              <w:right w:val="single" w:sz="6" w:space="0" w:color="auto"/>
            </w:tcBorders>
            <w:vAlign w:val="center"/>
            <w:hideMark/>
          </w:tcPr>
          <w:p w14:paraId="5917A20F" w14:textId="77777777" w:rsidR="00B97365" w:rsidRDefault="00000000">
            <w:pPr>
              <w:spacing w:after="60"/>
              <w:rPr>
                <w:rFonts w:eastAsia="Times New Roman" w:cs="Calibri"/>
                <w:sz w:val="16"/>
                <w:szCs w:val="16"/>
                <w:lang w:val="en-US"/>
              </w:rPr>
            </w:pPr>
            <w:r>
              <w:rPr>
                <w:rFonts w:cs="Calibri"/>
                <w:sz w:val="16"/>
                <w:szCs w:val="16"/>
                <w:lang w:val="en-US"/>
              </w:rPr>
              <w:t xml:space="preserve">A random number generated in the SE for additional </w:t>
            </w:r>
          </w:p>
          <w:p w14:paraId="7AB102CC" w14:textId="77777777" w:rsidR="00B97365" w:rsidRDefault="00000000">
            <w:pPr>
              <w:spacing w:after="200"/>
              <w:rPr>
                <w:rFonts w:eastAsia="Times New Roman" w:cs="Calibri"/>
                <w:sz w:val="16"/>
                <w:szCs w:val="16"/>
                <w:lang w:val="en-US"/>
              </w:rPr>
            </w:pPr>
            <w:r>
              <w:rPr>
                <w:rFonts w:cs="Calibri"/>
                <w:sz w:val="16"/>
                <w:szCs w:val="16"/>
                <w:lang w:val="en-US"/>
              </w:rPr>
              <w:t>entropy in the key derivation process</w:t>
            </w:r>
          </w:p>
        </w:tc>
        <w:tc>
          <w:tcPr>
            <w:tcW w:w="0" w:type="auto"/>
            <w:tcBorders>
              <w:top w:val="single" w:sz="6" w:space="0" w:color="auto"/>
              <w:left w:val="single" w:sz="6" w:space="0" w:color="auto"/>
              <w:bottom w:val="single" w:sz="6" w:space="0" w:color="auto"/>
              <w:right w:val="single" w:sz="6" w:space="0" w:color="auto"/>
            </w:tcBorders>
            <w:vAlign w:val="center"/>
            <w:hideMark/>
          </w:tcPr>
          <w:p w14:paraId="73C534C8" w14:textId="77777777" w:rsidR="00B97365" w:rsidRDefault="00000000">
            <w:pPr>
              <w:spacing w:after="60"/>
              <w:jc w:val="center"/>
              <w:rPr>
                <w:rFonts w:eastAsia="Times New Roman" w:cs="Calibri"/>
                <w:sz w:val="16"/>
                <w:szCs w:val="16"/>
                <w:lang w:val="en-US"/>
              </w:rPr>
            </w:pPr>
            <w:r>
              <w:rPr>
                <w:rFonts w:cs="Calibri"/>
                <w:sz w:val="16"/>
                <w:szCs w:val="16"/>
                <w:lang w:val="en-US"/>
              </w:rPr>
              <w:t>Hexadecimal String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6F86D36A"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26985F7" w14:textId="77777777" w:rsidR="00B97365" w:rsidRDefault="00000000">
            <w:pPr>
              <w:spacing w:after="60"/>
              <w:jc w:val="center"/>
              <w:rPr>
                <w:rFonts w:cs="Calibri"/>
                <w:sz w:val="16"/>
                <w:szCs w:val="16"/>
                <w:lang w:val="en-US"/>
              </w:rPr>
            </w:pPr>
            <w:r>
              <w:rPr>
                <w:rFonts w:cs="Calibri"/>
                <w:sz w:val="16"/>
                <w:szCs w:val="16"/>
                <w:lang w:val="en-US"/>
              </w:rPr>
              <w:t>C</w:t>
            </w:r>
          </w:p>
        </w:tc>
      </w:tr>
      <w:tr w:rsidR="00B97365" w14:paraId="111C9D57"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08693C1D" w14:textId="77777777" w:rsidR="00B97365" w:rsidRDefault="00000000">
            <w:pPr>
              <w:rPr>
                <w:rFonts w:cs="Calibri"/>
                <w:sz w:val="16"/>
                <w:szCs w:val="16"/>
              </w:rPr>
            </w:pPr>
            <w:r>
              <w:rPr>
                <w:rFonts w:cs="Calibri"/>
                <w:sz w:val="16"/>
                <w:szCs w:val="16"/>
              </w:rPr>
              <w:t>Receipt</w:t>
            </w:r>
          </w:p>
        </w:tc>
        <w:tc>
          <w:tcPr>
            <w:tcW w:w="0" w:type="auto"/>
            <w:tcBorders>
              <w:top w:val="single" w:sz="6" w:space="0" w:color="auto"/>
              <w:left w:val="single" w:sz="6" w:space="0" w:color="auto"/>
              <w:bottom w:val="single" w:sz="4" w:space="0" w:color="auto"/>
              <w:right w:val="single" w:sz="6" w:space="0" w:color="auto"/>
            </w:tcBorders>
            <w:vAlign w:val="center"/>
            <w:hideMark/>
          </w:tcPr>
          <w:p w14:paraId="4833DBE8" w14:textId="77777777" w:rsidR="00B97365" w:rsidRDefault="00000000">
            <w:pPr>
              <w:spacing w:after="200"/>
              <w:rPr>
                <w:rFonts w:eastAsia="Times New Roman" w:cs="Calibri"/>
                <w:sz w:val="16"/>
                <w:szCs w:val="16"/>
                <w:lang w:val="en-US"/>
              </w:rPr>
            </w:pPr>
            <w:r>
              <w:rPr>
                <w:rFonts w:eastAsia="Times New Roman" w:cs="Calibri"/>
                <w:sz w:val="16"/>
                <w:szCs w:val="16"/>
                <w:lang w:val="en-US"/>
              </w:rPr>
              <w:t xml:space="preserve">A Message Authentication Code (MAC) </w:t>
            </w:r>
          </w:p>
        </w:tc>
        <w:tc>
          <w:tcPr>
            <w:tcW w:w="0" w:type="auto"/>
            <w:tcBorders>
              <w:top w:val="single" w:sz="6" w:space="0" w:color="auto"/>
              <w:left w:val="single" w:sz="6" w:space="0" w:color="auto"/>
              <w:bottom w:val="single" w:sz="4" w:space="0" w:color="auto"/>
              <w:right w:val="single" w:sz="6" w:space="0" w:color="auto"/>
            </w:tcBorders>
            <w:vAlign w:val="center"/>
            <w:hideMark/>
          </w:tcPr>
          <w:p w14:paraId="0888360A" w14:textId="77777777" w:rsidR="00B97365" w:rsidRDefault="00000000">
            <w:pPr>
              <w:spacing w:after="60"/>
              <w:jc w:val="center"/>
              <w:rPr>
                <w:rFonts w:eastAsia="Times New Roman" w:cs="Calibri"/>
                <w:sz w:val="16"/>
                <w:szCs w:val="16"/>
                <w:lang w:val="en-US"/>
              </w:rPr>
            </w:pPr>
            <w:r>
              <w:rPr>
                <w:rFonts w:cs="Calibri"/>
                <w:sz w:val="16"/>
                <w:szCs w:val="16"/>
                <w:lang w:val="en-US"/>
              </w:rPr>
              <w:t>Hexadecimal String</w:t>
            </w:r>
          </w:p>
        </w:tc>
        <w:tc>
          <w:tcPr>
            <w:tcW w:w="0" w:type="auto"/>
            <w:tcBorders>
              <w:top w:val="single" w:sz="6" w:space="0" w:color="auto"/>
              <w:left w:val="single" w:sz="6" w:space="0" w:color="auto"/>
              <w:bottom w:val="single" w:sz="4" w:space="0" w:color="auto"/>
              <w:right w:val="single" w:sz="6" w:space="0" w:color="auto"/>
            </w:tcBorders>
            <w:vAlign w:val="center"/>
            <w:hideMark/>
          </w:tcPr>
          <w:p w14:paraId="6C8DE08B" w14:textId="77777777" w:rsidR="00B97365" w:rsidRDefault="00000000">
            <w:pPr>
              <w:spacing w:after="60"/>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9EC1635" w14:textId="77777777" w:rsidR="00B97365" w:rsidRDefault="00000000">
            <w:pPr>
              <w:spacing w:after="60"/>
              <w:jc w:val="center"/>
              <w:rPr>
                <w:rFonts w:cs="Calibri"/>
                <w:sz w:val="16"/>
                <w:szCs w:val="16"/>
                <w:lang w:val="en-US"/>
              </w:rPr>
            </w:pPr>
            <w:r>
              <w:rPr>
                <w:rFonts w:cs="Calibri"/>
                <w:sz w:val="16"/>
                <w:szCs w:val="16"/>
                <w:lang w:val="en-US"/>
              </w:rPr>
              <w:t>M</w:t>
            </w:r>
          </w:p>
        </w:tc>
      </w:tr>
    </w:tbl>
    <w:p w14:paraId="11CCBAEC"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Create Additional Key Set Additional Output Data</w:t>
      </w:r>
    </w:p>
    <w:p w14:paraId="762B9891" w14:textId="77777777" w:rsidR="00B97365" w:rsidRDefault="00000000">
      <w:pPr>
        <w:tabs>
          <w:tab w:val="left" w:pos="1560"/>
        </w:tabs>
        <w:spacing w:before="0" w:after="200" w:line="276" w:lineRule="auto"/>
        <w:ind w:left="1559" w:hanging="1202"/>
        <w:jc w:val="left"/>
        <w:rPr>
          <w:szCs w:val="22"/>
          <w:lang w:val="en-US" w:eastAsia="en-GB" w:bidi="ar-SA"/>
        </w:rPr>
      </w:pPr>
      <w:bookmarkStart w:id="5576" w:name="_Toc420594897"/>
      <w:r>
        <w:rPr>
          <w:szCs w:val="22"/>
          <w:lang w:val="en-US" w:eastAsia="en-GB" w:bidi="ar-SA"/>
        </w:rPr>
        <w:t>NOTE:</w:t>
      </w:r>
      <w:r>
        <w:rPr>
          <w:szCs w:val="22"/>
          <w:lang w:val="en-US" w:eastAsia="en-GB" w:bidi="ar-SA"/>
        </w:rPr>
        <w:tab/>
      </w:r>
      <w:r>
        <w:rPr>
          <w:szCs w:val="22"/>
          <w:lang w:val="en-US" w:eastAsia="en-GB" w:bidi="ar-SA"/>
        </w:rPr>
        <w:tab/>
        <w:t>To avoid subliminal channel attacks, in case the execution Status is Failed or Expired, the SM-SR SHOULD return empty hexadecimal strings for derivation random and Receipt.</w:t>
      </w:r>
    </w:p>
    <w:p w14:paraId="0188F2A8"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bookmarkEnd w:id="5576"/>
    </w:p>
    <w:tbl>
      <w:tblPr>
        <w:tblW w:w="93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94"/>
        <w:gridCol w:w="718"/>
        <w:gridCol w:w="738"/>
        <w:gridCol w:w="1009"/>
        <w:gridCol w:w="5948"/>
      </w:tblGrid>
      <w:tr w:rsidR="00B97365" w14:paraId="6C60C17E" w14:textId="77777777">
        <w:trPr>
          <w:trHeight w:val="342"/>
          <w:jc w:val="center"/>
        </w:trPr>
        <w:tc>
          <w:tcPr>
            <w:tcW w:w="894"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DD1D3CB" w14:textId="77777777" w:rsidR="00B97365" w:rsidRDefault="00000000">
            <w:pPr>
              <w:jc w:val="center"/>
              <w:rPr>
                <w:rFonts w:cs="Calibri"/>
                <w:b/>
                <w:color w:val="FFFFFF"/>
                <w:sz w:val="16"/>
                <w:szCs w:val="16"/>
              </w:rPr>
            </w:pPr>
            <w:r>
              <w:rPr>
                <w:rFonts w:cs="Calibri"/>
                <w:b/>
                <w:color w:val="FFFFFF"/>
                <w:sz w:val="16"/>
                <w:szCs w:val="16"/>
              </w:rPr>
              <w:t>Subject</w:t>
            </w:r>
          </w:p>
          <w:p w14:paraId="75B71EDC"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D27DCEE" w14:textId="77777777" w:rsidR="00B97365" w:rsidRDefault="00000000">
            <w:pPr>
              <w:jc w:val="center"/>
              <w:rPr>
                <w:rFonts w:cs="Calibri"/>
                <w:b/>
                <w:color w:val="FFFFFF"/>
                <w:sz w:val="16"/>
                <w:szCs w:val="16"/>
              </w:rPr>
            </w:pPr>
            <w:r>
              <w:rPr>
                <w:rFonts w:cs="Calibri"/>
                <w:b/>
                <w:color w:val="FFFFFF"/>
                <w:sz w:val="16"/>
                <w:szCs w:val="16"/>
              </w:rPr>
              <w:t>Subject</w:t>
            </w:r>
          </w:p>
        </w:tc>
        <w:tc>
          <w:tcPr>
            <w:tcW w:w="73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D534571" w14:textId="77777777" w:rsidR="00B97365" w:rsidRDefault="00000000">
            <w:pPr>
              <w:jc w:val="center"/>
              <w:rPr>
                <w:rFonts w:cs="Calibri"/>
                <w:b/>
                <w:color w:val="FFFFFF"/>
                <w:sz w:val="16"/>
                <w:szCs w:val="16"/>
              </w:rPr>
            </w:pPr>
            <w:r>
              <w:rPr>
                <w:rFonts w:cs="Calibri"/>
                <w:b/>
                <w:color w:val="FFFFFF"/>
                <w:sz w:val="16"/>
                <w:szCs w:val="16"/>
              </w:rPr>
              <w:t>Reason</w:t>
            </w:r>
          </w:p>
          <w:p w14:paraId="0E9BD59F"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B5EF8E0"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57E611F"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76B440A4" w14:textId="77777777">
        <w:trPr>
          <w:trHeight w:val="282"/>
          <w:jc w:val="center"/>
        </w:trPr>
        <w:tc>
          <w:tcPr>
            <w:tcW w:w="894" w:type="dxa"/>
            <w:tcBorders>
              <w:top w:val="single" w:sz="6" w:space="0" w:color="auto"/>
              <w:left w:val="single" w:sz="4" w:space="0" w:color="auto"/>
              <w:bottom w:val="single" w:sz="6" w:space="0" w:color="auto"/>
              <w:right w:val="single" w:sz="6" w:space="0" w:color="auto"/>
            </w:tcBorders>
            <w:vAlign w:val="center"/>
            <w:hideMark/>
          </w:tcPr>
          <w:p w14:paraId="56EBF9CE" w14:textId="77777777" w:rsidR="00B97365" w:rsidRDefault="00000000">
            <w:pPr>
              <w:tabs>
                <w:tab w:val="right" w:pos="7938"/>
              </w:tabs>
              <w:ind w:left="470" w:hanging="459"/>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35DB3791" w14:textId="77777777" w:rsidR="00B97365" w:rsidRDefault="00000000">
            <w:pPr>
              <w:tabs>
                <w:tab w:val="right" w:pos="7938"/>
              </w:tabs>
              <w:spacing w:after="60"/>
              <w:rPr>
                <w:rFonts w:eastAsia="Times New Roman" w:cs="Calibri"/>
                <w:sz w:val="16"/>
                <w:szCs w:val="16"/>
                <w:lang w:val="en-US"/>
              </w:rPr>
            </w:pPr>
            <w:r>
              <w:rPr>
                <w:rFonts w:eastAsia="Times New Roman" w:cs="Calibri"/>
                <w:sz w:val="16"/>
                <w:szCs w:val="16"/>
                <w:lang w:val="en-US"/>
              </w:rPr>
              <w:t>EID</w:t>
            </w:r>
          </w:p>
        </w:tc>
        <w:tc>
          <w:tcPr>
            <w:tcW w:w="738" w:type="dxa"/>
            <w:tcBorders>
              <w:top w:val="single" w:sz="6" w:space="0" w:color="auto"/>
              <w:left w:val="single" w:sz="6" w:space="0" w:color="auto"/>
              <w:bottom w:val="single" w:sz="6" w:space="0" w:color="auto"/>
              <w:right w:val="single" w:sz="6" w:space="0" w:color="auto"/>
            </w:tcBorders>
            <w:vAlign w:val="center"/>
            <w:hideMark/>
          </w:tcPr>
          <w:p w14:paraId="35EF8673" w14:textId="77777777" w:rsidR="00B97365" w:rsidRDefault="00000000">
            <w:pPr>
              <w:spacing w:after="60"/>
              <w:rPr>
                <w:rFonts w:eastAsia="Times New Roman"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4105BC46" w14:textId="77777777" w:rsidR="00B97365" w:rsidRDefault="00000000">
            <w:pPr>
              <w:spacing w:after="60"/>
              <w:rPr>
                <w:rFonts w:eastAsia="Times New Roman"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1414A2BF" w14:textId="77777777" w:rsidR="00B97365" w:rsidRDefault="00000000">
            <w:pPr>
              <w:spacing w:after="60"/>
              <w:rPr>
                <w:rFonts w:eastAsia="Times New Roman" w:cs="Calibri"/>
                <w:sz w:val="16"/>
                <w:szCs w:val="16"/>
              </w:rPr>
            </w:pPr>
            <w:r>
              <w:rPr>
                <w:rFonts w:cs="Calibri"/>
                <w:sz w:val="16"/>
                <w:szCs w:val="16"/>
              </w:rPr>
              <w:t>Indicates that the EID, is unknown to the function provider</w:t>
            </w:r>
          </w:p>
        </w:tc>
      </w:tr>
      <w:tr w:rsidR="00B97365" w14:paraId="10A421A0" w14:textId="77777777">
        <w:trPr>
          <w:trHeight w:val="282"/>
          <w:jc w:val="center"/>
        </w:trPr>
        <w:tc>
          <w:tcPr>
            <w:tcW w:w="894" w:type="dxa"/>
            <w:tcBorders>
              <w:top w:val="single" w:sz="6" w:space="0" w:color="auto"/>
              <w:left w:val="single" w:sz="4" w:space="0" w:color="auto"/>
              <w:bottom w:val="single" w:sz="4" w:space="0" w:color="auto"/>
              <w:right w:val="single" w:sz="6" w:space="0" w:color="auto"/>
            </w:tcBorders>
            <w:vAlign w:val="center"/>
            <w:hideMark/>
          </w:tcPr>
          <w:p w14:paraId="7C20C9D0" w14:textId="77777777" w:rsidR="00B97365" w:rsidRDefault="00000000">
            <w:pPr>
              <w:tabs>
                <w:tab w:val="right" w:pos="7938"/>
              </w:tabs>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4" w:space="0" w:color="auto"/>
              <w:right w:val="single" w:sz="6" w:space="0" w:color="auto"/>
            </w:tcBorders>
            <w:vAlign w:val="center"/>
            <w:hideMark/>
          </w:tcPr>
          <w:p w14:paraId="10EB22AE" w14:textId="77777777" w:rsidR="00B97365" w:rsidRDefault="00000000">
            <w:pPr>
              <w:numPr>
                <w:ilvl w:val="0"/>
                <w:numId w:val="18"/>
              </w:numPr>
              <w:tabs>
                <w:tab w:val="right" w:pos="7938"/>
              </w:tabs>
              <w:spacing w:after="60"/>
              <w:ind w:left="11"/>
              <w:rPr>
                <w:rFonts w:eastAsia="Times New Roman" w:cs="Calibri"/>
                <w:sz w:val="16"/>
                <w:szCs w:val="16"/>
                <w:lang w:val="en-US"/>
              </w:rPr>
            </w:pPr>
            <w:r>
              <w:rPr>
                <w:rFonts w:cs="Calibri"/>
                <w:sz w:val="16"/>
                <w:szCs w:val="16"/>
                <w:lang w:val="en-US"/>
              </w:rPr>
              <w:t>ISD-R</w:t>
            </w:r>
          </w:p>
        </w:tc>
        <w:tc>
          <w:tcPr>
            <w:tcW w:w="738" w:type="dxa"/>
            <w:tcBorders>
              <w:top w:val="single" w:sz="6" w:space="0" w:color="auto"/>
              <w:left w:val="single" w:sz="6" w:space="0" w:color="auto"/>
              <w:bottom w:val="single" w:sz="4" w:space="0" w:color="auto"/>
              <w:right w:val="single" w:sz="6" w:space="0" w:color="auto"/>
            </w:tcBorders>
            <w:vAlign w:val="center"/>
            <w:hideMark/>
          </w:tcPr>
          <w:p w14:paraId="279E3944" w14:textId="77777777" w:rsidR="00B97365" w:rsidRDefault="00000000">
            <w:pPr>
              <w:spacing w:after="60"/>
              <w:rPr>
                <w:rFonts w:eastAsia="Times New Roman" w:cs="Calibri"/>
                <w:sz w:val="16"/>
                <w:szCs w:val="16"/>
                <w:lang w:val="en-US"/>
              </w:rPr>
            </w:pPr>
            <w:r>
              <w:rPr>
                <w:rFonts w:cs="Calibri"/>
                <w:sz w:val="16"/>
                <w:szCs w:val="16"/>
                <w:lang w:val="en-US"/>
              </w:rPr>
              <w:t>4.2</w:t>
            </w:r>
          </w:p>
        </w:tc>
        <w:tc>
          <w:tcPr>
            <w:tcW w:w="0" w:type="auto"/>
            <w:tcBorders>
              <w:top w:val="single" w:sz="6" w:space="0" w:color="auto"/>
              <w:left w:val="single" w:sz="6" w:space="0" w:color="auto"/>
              <w:bottom w:val="single" w:sz="4" w:space="0" w:color="auto"/>
              <w:right w:val="single" w:sz="6" w:space="0" w:color="auto"/>
            </w:tcBorders>
            <w:vAlign w:val="center"/>
            <w:hideMark/>
          </w:tcPr>
          <w:p w14:paraId="7C07A730" w14:textId="77777777" w:rsidR="00B97365" w:rsidRDefault="00000000">
            <w:pPr>
              <w:spacing w:after="60"/>
              <w:rPr>
                <w:rFonts w:eastAsia="Times New Roman" w:cs="Calibri"/>
                <w:sz w:val="16"/>
                <w:szCs w:val="16"/>
              </w:rPr>
            </w:pPr>
            <w:r>
              <w:rPr>
                <w:rFonts w:cs="Calibri"/>
                <w:sz w:val="16"/>
                <w:szCs w:val="16"/>
              </w:rPr>
              <w:t>Execution error</w:t>
            </w:r>
          </w:p>
        </w:tc>
        <w:tc>
          <w:tcPr>
            <w:tcW w:w="0" w:type="auto"/>
            <w:tcBorders>
              <w:top w:val="single" w:sz="6" w:space="0" w:color="auto"/>
              <w:left w:val="single" w:sz="6" w:space="0" w:color="auto"/>
              <w:bottom w:val="single" w:sz="4" w:space="0" w:color="auto"/>
              <w:right w:val="single" w:sz="4" w:space="0" w:color="auto"/>
            </w:tcBorders>
            <w:vAlign w:val="center"/>
            <w:hideMark/>
          </w:tcPr>
          <w:p w14:paraId="4CA5D333" w14:textId="77777777" w:rsidR="00B97365" w:rsidRDefault="00000000">
            <w:pPr>
              <w:spacing w:after="60"/>
              <w:rPr>
                <w:rFonts w:eastAsia="Times New Roman" w:cs="Calibri"/>
                <w:sz w:val="16"/>
                <w:szCs w:val="16"/>
              </w:rPr>
            </w:pPr>
            <w:r>
              <w:rPr>
                <w:rFonts w:cs="Calibri"/>
                <w:sz w:val="16"/>
                <w:szCs w:val="16"/>
              </w:rPr>
              <w:t>Error during the creation of the key set at the ISD-R level. In that case, the output data “euiccResponseData contains the exact response coming from the eUICC.</w:t>
            </w:r>
          </w:p>
        </w:tc>
      </w:tr>
    </w:tbl>
    <w:p w14:paraId="03AA9F4A" w14:textId="77777777" w:rsidR="00B97365" w:rsidRDefault="00000000">
      <w:pPr>
        <w:numPr>
          <w:ilvl w:val="0"/>
          <w:numId w:val="14"/>
        </w:numPr>
        <w:tabs>
          <w:tab w:val="left" w:pos="1009"/>
        </w:tabs>
        <w:spacing w:after="200" w:line="276" w:lineRule="auto"/>
        <w:jc w:val="center"/>
        <w:rPr>
          <w:rFonts w:cs="Calibri"/>
          <w:color w:val="FF0000"/>
          <w:szCs w:val="22"/>
          <w:lang w:eastAsia="en-GB" w:bidi="ar-SA"/>
        </w:rPr>
      </w:pPr>
      <w:r>
        <w:rPr>
          <w:rFonts w:cs="Arial"/>
          <w:b/>
          <w:lang w:eastAsia="de-DE" w:bidi="ar-SA"/>
        </w:rPr>
        <w:t>: Create Additional Key Set Specific Status Codes</w:t>
      </w:r>
    </w:p>
    <w:p w14:paraId="43AD9B2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77" w:name="_Toc448998299"/>
      <w:bookmarkStart w:id="5578" w:name="_Toc422150795"/>
      <w:bookmarkStart w:id="5579" w:name="_Toc421874380"/>
      <w:bookmarkStart w:id="5580" w:name="_Toc420594898"/>
      <w:bookmarkStart w:id="5581" w:name="_Toc398214921"/>
      <w:bookmarkStart w:id="5582" w:name="_Toc375158337"/>
      <w:bookmarkStart w:id="5583" w:name="_Toc368932346"/>
      <w:bookmarkStart w:id="5584" w:name="_Ref367979256"/>
      <w:bookmarkStart w:id="5585" w:name="_Ref367979249"/>
      <w:bookmarkStart w:id="5586" w:name="_Toc352671605"/>
      <w:bookmarkStart w:id="5587" w:name="_Toc486332917"/>
      <w:bookmarkStart w:id="5588" w:name="_Toc1977432"/>
      <w:bookmarkStart w:id="5589" w:name="_Toc37062591"/>
      <w:bookmarkStart w:id="5590" w:name="_Toc88839665"/>
      <w:bookmarkStart w:id="5591" w:name="_Toc121504073"/>
      <w:r>
        <w:rPr>
          <w:rFonts w:eastAsia="Times New Roman" w:cs="Arial"/>
          <w:b/>
          <w:sz w:val="24"/>
          <w:szCs w:val="26"/>
          <w:lang w:eastAsia="en-US"/>
        </w:rPr>
        <w:t>Handover eUICC Information</w:t>
      </w:r>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7625BC4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HandoverEUICC</w:t>
      </w:r>
    </w:p>
    <w:p w14:paraId="20B591F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SM-SR Change</w:t>
      </w:r>
    </w:p>
    <w:p w14:paraId="70AE83C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eUICC Management</w:t>
      </w:r>
    </w:p>
    <w:p w14:paraId="72026692"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6125E3D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This function enables to request for the handover management of an eUICC represented by its eUICC Information Set (EIS).</w:t>
      </w:r>
    </w:p>
    <w:p w14:paraId="05A302E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EIS contains the complete set of data including information about Profiles, audit trail, which is applicable for the SM-SR to manage the lifecycle of this eUICC</w:t>
      </w:r>
    </w:p>
    <w:p w14:paraId="59B42B0B" w14:textId="398B22DE" w:rsidR="00B97365" w:rsidRDefault="00000000">
      <w:pPr>
        <w:spacing w:before="0" w:after="200" w:line="276" w:lineRule="auto"/>
        <w:jc w:val="left"/>
        <w:rPr>
          <w:szCs w:val="22"/>
          <w:lang w:val="en-US" w:eastAsia="en-GB" w:bidi="ar-SA"/>
        </w:rPr>
      </w:pPr>
      <w:r>
        <w:rPr>
          <w:rFonts w:cs="Arial"/>
          <w:szCs w:val="22"/>
          <w:lang w:val="en-US" w:eastAsia="en-GB" w:bidi="ar-SA"/>
        </w:rPr>
        <w:t xml:space="preserve">The function provider SHALL execute the function accordingly to the procedure detailed in section </w:t>
      </w:r>
      <w:r>
        <w:rPr>
          <w:szCs w:val="22"/>
          <w:lang w:val="en-US" w:eastAsia="en-GB" w:bidi="ar-SA"/>
        </w:rPr>
        <w:fldChar w:fldCharType="begin"/>
      </w:r>
      <w:r>
        <w:rPr>
          <w:szCs w:val="22"/>
          <w:lang w:val="en-US" w:eastAsia="en-GB" w:bidi="ar-SA"/>
        </w:rPr>
        <w:instrText xml:space="preserve"> REF _Ref367972637 \r \h </w:instrText>
      </w:r>
      <w:r>
        <w:rPr>
          <w:szCs w:val="22"/>
          <w:lang w:val="en-US" w:eastAsia="en-GB" w:bidi="ar-SA"/>
        </w:rPr>
      </w:r>
      <w:r>
        <w:rPr>
          <w:szCs w:val="22"/>
          <w:lang w:val="en-US" w:eastAsia="en-GB" w:bidi="ar-SA"/>
        </w:rPr>
        <w:fldChar w:fldCharType="separate"/>
      </w:r>
      <w:r w:rsidR="001D5AD9">
        <w:rPr>
          <w:szCs w:val="22"/>
          <w:lang w:val="en-US" w:eastAsia="en-GB" w:bidi="ar-SA"/>
        </w:rPr>
        <w:t>3.8</w:t>
      </w:r>
      <w:r>
        <w:rPr>
          <w:szCs w:val="22"/>
          <w:lang w:val="en-US" w:eastAsia="en-GB" w:bidi="ar-SA"/>
        </w:rPr>
        <w:fldChar w:fldCharType="end"/>
      </w:r>
      <w:r>
        <w:rPr>
          <w:szCs w:val="22"/>
          <w:lang w:val="en-US" w:eastAsia="en-GB" w:bidi="ar-SA"/>
        </w:rPr>
        <w:t xml:space="preserve">. The handover is only committed at the end of the successfully procedure </w:t>
      </w:r>
      <w:r>
        <w:rPr>
          <w:szCs w:val="22"/>
          <w:lang w:val="en-US" w:eastAsia="en-GB" w:bidi="ar-SA"/>
        </w:rPr>
        <w:lastRenderedPageBreak/>
        <w:t>execution. In particular, if one of the operations fails or expires before having verified the receipt, the function provider SHALL return an error (Function execution status indicating ‘Failed’)</w:t>
      </w:r>
    </w:p>
    <w:p w14:paraId="6FE422E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E1B026F"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indicating that the Handover eUICC function has been successfully executed on the SM-SR as requested by the function caller.</w:t>
      </w:r>
    </w:p>
    <w:p w14:paraId="0D3916FF"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status code defined in the table below, indicating either:</w:t>
      </w:r>
    </w:p>
    <w:p w14:paraId="6233F0BA"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that the eUICC has been successfully transferred to the new SM-SR, but additional configuration has not completed and may need to be done again. The new SM-SR SHALL perform such operations automatically at a later point in time.</w:t>
      </w:r>
    </w:p>
    <w:p w14:paraId="7DA70355"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or that the eUICC is already managed by the receiving SM-SR (SM-SR2). This may happen when this is the second attempt to perform the SM-SR Change, after the first attempt expired on the old SM-SR (SM-SR1), whereas it was already successful from the point of view of SM-SR2.</w:t>
      </w:r>
    </w:p>
    <w:p w14:paraId="0B37C613" w14:textId="15957D24"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rPr>
          <w:szCs w:val="22"/>
          <w:lang w:eastAsia="en-GB" w:bidi="ar-SA"/>
        </w:rPr>
        <w:fldChar w:fldCharType="begin"/>
      </w:r>
      <w:r>
        <w:rPr>
          <w:szCs w:val="22"/>
          <w:lang w:eastAsia="en-GB" w:bidi="ar-SA"/>
        </w:rPr>
        <w:instrText xml:space="preserve"> REF _Ref367975554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p>
    <w:p w14:paraId="75B6737B" w14:textId="32BEF854"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rPr>
          <w:szCs w:val="22"/>
          <w:lang w:eastAsia="en-GB" w:bidi="ar-SA"/>
        </w:rPr>
        <w:fldChar w:fldCharType="begin"/>
      </w:r>
      <w:r>
        <w:rPr>
          <w:szCs w:val="22"/>
          <w:lang w:eastAsia="en-GB" w:bidi="ar-SA"/>
        </w:rPr>
        <w:instrText xml:space="preserve"> REF _Ref367975562 \r \h  \* MERGEFORMAT </w:instrText>
      </w:r>
      <w:r>
        <w:rPr>
          <w:szCs w:val="22"/>
          <w:lang w:eastAsia="en-GB" w:bidi="ar-SA"/>
        </w:rPr>
      </w:r>
      <w:r>
        <w:rPr>
          <w:szCs w:val="22"/>
          <w:lang w:eastAsia="en-GB" w:bidi="ar-SA"/>
        </w:rPr>
        <w:fldChar w:fldCharType="separate"/>
      </w:r>
      <w:r w:rsidR="001D5AD9">
        <w:rPr>
          <w:szCs w:val="22"/>
          <w:lang w:eastAsia="en-GB" w:bidi="ar-SA"/>
        </w:rPr>
        <w:t>5.1.6.4</w:t>
      </w:r>
      <w:r>
        <w:rPr>
          <w:szCs w:val="22"/>
          <w:lang w:eastAsia="en-GB" w:bidi="ar-SA"/>
        </w:rPr>
        <w:fldChar w:fldCharType="end"/>
      </w:r>
      <w:r>
        <w:rPr>
          <w:szCs w:val="22"/>
          <w:lang w:eastAsia="en-GB" w:bidi="ar-SA"/>
        </w:rPr>
        <w:t xml:space="preserve"> of a specific status code as defined in the table below.</w:t>
      </w:r>
    </w:p>
    <w:p w14:paraId="737938CE" w14:textId="77777777" w:rsidR="00B97365" w:rsidRDefault="00B97365">
      <w:pPr>
        <w:spacing w:before="0" w:after="200" w:line="276" w:lineRule="auto"/>
        <w:jc w:val="left"/>
        <w:rPr>
          <w:rFonts w:cs="Arial"/>
          <w:b/>
          <w:i/>
          <w:szCs w:val="22"/>
          <w:lang w:val="en-US" w:eastAsia="en-GB" w:bidi="ar-SA"/>
        </w:rPr>
      </w:pPr>
      <w:bookmarkStart w:id="5592" w:name="_Toc420594899"/>
    </w:p>
    <w:p w14:paraId="0C85323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bookmarkEnd w:id="559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80"/>
        <w:gridCol w:w="6239"/>
        <w:gridCol w:w="567"/>
        <w:gridCol w:w="426"/>
        <w:gridCol w:w="704"/>
      </w:tblGrid>
      <w:tr w:rsidR="00B97365" w14:paraId="3B8E61A6"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CE554A7" w14:textId="77777777" w:rsidR="00B97365" w:rsidRDefault="00000000">
            <w:pPr>
              <w:jc w:val="center"/>
              <w:rPr>
                <w:rFonts w:cs="Calibri"/>
                <w:b/>
                <w:color w:val="FFFFFF"/>
                <w:sz w:val="16"/>
                <w:szCs w:val="16"/>
              </w:rPr>
            </w:pPr>
            <w:r>
              <w:rPr>
                <w:rFonts w:cs="Calibri"/>
                <w:b/>
                <w:color w:val="FFFFFF"/>
                <w:sz w:val="16"/>
                <w:szCs w:val="16"/>
              </w:rPr>
              <w:t>Input data name</w:t>
            </w:r>
          </w:p>
        </w:tc>
        <w:tc>
          <w:tcPr>
            <w:tcW w:w="623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4ED8C98" w14:textId="77777777" w:rsidR="00B97365" w:rsidRDefault="00000000">
            <w:pPr>
              <w:jc w:val="center"/>
              <w:rPr>
                <w:rFonts w:cs="Calibri"/>
                <w:b/>
                <w:color w:val="FFFFFF"/>
                <w:sz w:val="16"/>
                <w:szCs w:val="16"/>
              </w:rPr>
            </w:pPr>
            <w:r>
              <w:rPr>
                <w:rFonts w:cs="Calibri"/>
                <w:b/>
                <w:color w:val="FFFFFF"/>
                <w:sz w:val="16"/>
                <w:szCs w:val="16"/>
              </w:rPr>
              <w:t>Description</w:t>
            </w:r>
          </w:p>
        </w:tc>
        <w:tc>
          <w:tcPr>
            <w:tcW w:w="56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8377BDD"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Type</w:t>
            </w:r>
          </w:p>
        </w:tc>
        <w:tc>
          <w:tcPr>
            <w:tcW w:w="42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3977C31"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No.</w:t>
            </w:r>
          </w:p>
        </w:tc>
        <w:tc>
          <w:tcPr>
            <w:tcW w:w="70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5843268" w14:textId="77777777" w:rsidR="00B97365" w:rsidRDefault="00000000">
            <w:pPr>
              <w:tabs>
                <w:tab w:val="right" w:pos="7938"/>
              </w:tabs>
              <w:ind w:left="470" w:hanging="459"/>
              <w:jc w:val="center"/>
              <w:rPr>
                <w:rFonts w:cs="Calibri"/>
                <w:b/>
                <w:color w:val="FFFFFF"/>
                <w:sz w:val="16"/>
                <w:szCs w:val="16"/>
              </w:rPr>
            </w:pPr>
            <w:r>
              <w:rPr>
                <w:rFonts w:cs="Calibri"/>
                <w:b/>
                <w:color w:val="FFFFFF"/>
                <w:sz w:val="16"/>
                <w:szCs w:val="16"/>
              </w:rPr>
              <w:t>MOC</w:t>
            </w:r>
          </w:p>
        </w:tc>
      </w:tr>
      <w:tr w:rsidR="00B97365" w14:paraId="7DCD42E3"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044FB0A" w14:textId="77777777" w:rsidR="00B97365" w:rsidRDefault="00000000">
            <w:pPr>
              <w:tabs>
                <w:tab w:val="right" w:pos="7938"/>
              </w:tabs>
              <w:ind w:left="470" w:hanging="459"/>
              <w:rPr>
                <w:rFonts w:cs="Calibri"/>
                <w:sz w:val="16"/>
                <w:szCs w:val="16"/>
              </w:rPr>
            </w:pPr>
            <w:r>
              <w:rPr>
                <w:rFonts w:cs="Calibri"/>
                <w:sz w:val="16"/>
                <w:szCs w:val="16"/>
              </w:rPr>
              <w:t>eis</w:t>
            </w:r>
          </w:p>
        </w:tc>
        <w:tc>
          <w:tcPr>
            <w:tcW w:w="6239" w:type="dxa"/>
            <w:tcBorders>
              <w:top w:val="single" w:sz="6" w:space="0" w:color="auto"/>
              <w:left w:val="single" w:sz="6" w:space="0" w:color="auto"/>
              <w:bottom w:val="single" w:sz="4" w:space="0" w:color="auto"/>
              <w:right w:val="single" w:sz="6" w:space="0" w:color="auto"/>
            </w:tcBorders>
            <w:vAlign w:val="center"/>
            <w:hideMark/>
          </w:tcPr>
          <w:p w14:paraId="515F9163" w14:textId="77777777"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The eUICC Information Set of the eUICC </w:t>
            </w:r>
          </w:p>
          <w:p w14:paraId="5A596C3D" w14:textId="716DFEF6" w:rsidR="00B97365" w:rsidRDefault="00000000">
            <w:pPr>
              <w:spacing w:before="0" w:after="200" w:line="276" w:lineRule="auto"/>
              <w:jc w:val="left"/>
              <w:rPr>
                <w:rFonts w:cs="Calibri"/>
                <w:sz w:val="16"/>
                <w:szCs w:val="16"/>
                <w:lang w:eastAsia="en-GB" w:bidi="ar-SA"/>
              </w:rPr>
            </w:pPr>
            <w:r>
              <w:rPr>
                <w:rFonts w:cs="Calibri"/>
                <w:sz w:val="16"/>
                <w:szCs w:val="16"/>
                <w:lang w:eastAsia="en-GB" w:bidi="ar-SA"/>
              </w:rPr>
              <w:t xml:space="preserve">See </w:t>
            </w:r>
            <w:r>
              <w:rPr>
                <w:rFonts w:cs="Calibri"/>
                <w:sz w:val="16"/>
                <w:szCs w:val="16"/>
                <w:lang w:val="en-US" w:eastAsia="en-GB" w:bidi="ar-SA"/>
              </w:rPr>
              <w:t xml:space="preserve">section </w:t>
            </w:r>
            <w:r>
              <w:fldChar w:fldCharType="begin"/>
            </w:r>
            <w:r>
              <w:instrText xml:space="preserve"> REF _Ref367975573 \r \h  \* MERGEFORMAT </w:instrText>
            </w:r>
            <w:r>
              <w:fldChar w:fldCharType="separate"/>
            </w:r>
            <w:r w:rsidR="001D5AD9">
              <w:t>5.1.1.1</w:t>
            </w:r>
            <w:r>
              <w:fldChar w:fldCharType="end"/>
            </w:r>
            <w:r>
              <w:rPr>
                <w:rFonts w:cs="Calibri"/>
                <w:sz w:val="16"/>
                <w:szCs w:val="16"/>
                <w:lang w:eastAsia="en-GB" w:bidi="ar-SA"/>
              </w:rPr>
              <w:t xml:space="preserve"> for type description. </w:t>
            </w:r>
            <w:r>
              <w:rPr>
                <w:rFonts w:cs="Calibri"/>
                <w:sz w:val="16"/>
                <w:szCs w:val="16"/>
                <w:lang w:val="en-US" w:eastAsia="en-GB" w:bidi="ar-SA"/>
              </w:rPr>
              <w:t xml:space="preserve">The list of EIS data fields that SHALL be included is defined in </w:t>
            </w:r>
            <w:r>
              <w:rPr>
                <w:rFonts w:cs="Calibri"/>
                <w:sz w:val="16"/>
                <w:szCs w:val="16"/>
                <w:lang w:val="en-US"/>
              </w:rPr>
              <w:fldChar w:fldCharType="begin"/>
            </w:r>
            <w:r>
              <w:rPr>
                <w:rFonts w:cs="Calibri"/>
                <w:sz w:val="16"/>
                <w:szCs w:val="16"/>
                <w:lang w:val="en-US"/>
              </w:rPr>
              <w:instrText xml:space="preserve"> REF _Ref421660691 \r \h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Annex E</w:t>
            </w:r>
            <w:r>
              <w:rPr>
                <w:rFonts w:cs="Calibri"/>
                <w:sz w:val="16"/>
                <w:szCs w:val="16"/>
                <w:lang w:val="en-US"/>
              </w:rPr>
              <w:fldChar w:fldCharType="end"/>
            </w:r>
            <w:r>
              <w:rPr>
                <w:rFonts w:cs="Calibri"/>
                <w:sz w:val="16"/>
                <w:szCs w:val="16"/>
                <w:lang w:val="en-US" w:eastAsia="en-GB" w:bidi="ar-SA"/>
              </w:rPr>
              <w:t>.</w:t>
            </w:r>
          </w:p>
        </w:tc>
        <w:tc>
          <w:tcPr>
            <w:tcW w:w="567" w:type="dxa"/>
            <w:tcBorders>
              <w:top w:val="single" w:sz="6" w:space="0" w:color="auto"/>
              <w:left w:val="single" w:sz="6" w:space="0" w:color="auto"/>
              <w:bottom w:val="single" w:sz="4" w:space="0" w:color="auto"/>
              <w:right w:val="single" w:sz="6" w:space="0" w:color="auto"/>
            </w:tcBorders>
            <w:vAlign w:val="center"/>
            <w:hideMark/>
          </w:tcPr>
          <w:p w14:paraId="339A41DE"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EIS</w:t>
            </w:r>
          </w:p>
        </w:tc>
        <w:tc>
          <w:tcPr>
            <w:tcW w:w="426" w:type="dxa"/>
            <w:tcBorders>
              <w:top w:val="single" w:sz="6" w:space="0" w:color="auto"/>
              <w:left w:val="single" w:sz="6" w:space="0" w:color="auto"/>
              <w:bottom w:val="single" w:sz="4" w:space="0" w:color="auto"/>
              <w:right w:val="single" w:sz="6" w:space="0" w:color="auto"/>
            </w:tcBorders>
            <w:vAlign w:val="center"/>
            <w:hideMark/>
          </w:tcPr>
          <w:p w14:paraId="3FDDB618"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1</w:t>
            </w:r>
          </w:p>
        </w:tc>
        <w:tc>
          <w:tcPr>
            <w:tcW w:w="704" w:type="dxa"/>
            <w:tcBorders>
              <w:top w:val="single" w:sz="6" w:space="0" w:color="auto"/>
              <w:left w:val="single" w:sz="6" w:space="0" w:color="auto"/>
              <w:bottom w:val="single" w:sz="4" w:space="0" w:color="auto"/>
              <w:right w:val="single" w:sz="4" w:space="0" w:color="auto"/>
            </w:tcBorders>
            <w:vAlign w:val="center"/>
            <w:hideMark/>
          </w:tcPr>
          <w:p w14:paraId="379F8565" w14:textId="77777777" w:rsidR="00B97365" w:rsidRDefault="00000000">
            <w:pPr>
              <w:spacing w:before="0" w:after="200" w:line="276" w:lineRule="auto"/>
              <w:jc w:val="center"/>
              <w:rPr>
                <w:rFonts w:cs="Calibri"/>
                <w:sz w:val="16"/>
                <w:szCs w:val="16"/>
                <w:lang w:eastAsia="en-GB" w:bidi="ar-SA"/>
              </w:rPr>
            </w:pPr>
            <w:r>
              <w:rPr>
                <w:rFonts w:cs="Calibri"/>
                <w:sz w:val="16"/>
                <w:szCs w:val="16"/>
                <w:lang w:eastAsia="en-GB" w:bidi="ar-SA"/>
              </w:rPr>
              <w:t>M</w:t>
            </w:r>
          </w:p>
        </w:tc>
      </w:tr>
    </w:tbl>
    <w:p w14:paraId="468BFE71"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Handover EUICC Additional Input Data</w:t>
      </w:r>
    </w:p>
    <w:p w14:paraId="03AD182F" w14:textId="77777777" w:rsidR="00B97365" w:rsidRDefault="00B97365">
      <w:pPr>
        <w:spacing w:before="0" w:after="200" w:line="276" w:lineRule="auto"/>
        <w:jc w:val="left"/>
        <w:rPr>
          <w:rFonts w:cs="Arial"/>
          <w:b/>
          <w:i/>
          <w:szCs w:val="22"/>
          <w:lang w:val="en-US" w:eastAsia="en-GB" w:bidi="ar-SA"/>
        </w:rPr>
      </w:pPr>
      <w:bookmarkStart w:id="5593" w:name="_Toc420594900"/>
    </w:p>
    <w:p w14:paraId="22858277" w14:textId="77777777" w:rsidR="00B97365" w:rsidRDefault="00000000">
      <w:pPr>
        <w:spacing w:before="0" w:after="200" w:line="276" w:lineRule="auto"/>
        <w:jc w:val="left"/>
        <w:rPr>
          <w:rFonts w:cs="Arial"/>
          <w:b/>
          <w:i/>
          <w:szCs w:val="22"/>
          <w:lang w:val="en-US" w:eastAsia="en-GB" w:bidi="ar-SA"/>
        </w:rPr>
      </w:pPr>
      <w:r>
        <w:rPr>
          <w:rFonts w:cs="Arial"/>
          <w:b/>
          <w:i/>
          <w:szCs w:val="22"/>
          <w:lang w:val="en-US" w:eastAsia="en-GB" w:bidi="ar-SA"/>
        </w:rPr>
        <w:t>Specific status codes</w:t>
      </w:r>
      <w:bookmarkEnd w:id="5593"/>
    </w:p>
    <w:p w14:paraId="76EADC54" w14:textId="77777777" w:rsidR="00B97365" w:rsidRDefault="00000000">
      <w:pPr>
        <w:spacing w:before="0" w:after="200" w:line="276" w:lineRule="auto"/>
        <w:jc w:val="left"/>
        <w:rPr>
          <w:szCs w:val="22"/>
          <w:lang w:val="en-US" w:eastAsia="en-GB" w:bidi="ar-SA"/>
        </w:rPr>
      </w:pPr>
      <w:r>
        <w:rPr>
          <w:szCs w:val="22"/>
          <w:lang w:val="en-US" w:eastAsia="en-GB" w:bidi="ar-SA"/>
        </w:rPr>
        <w:t>In addition to the status codes returned by ES7.AuthenticateSMSR and ES7.CreateAdditionalKeyset, this function may return one of the following specific status codes:</w:t>
      </w:r>
    </w:p>
    <w:tbl>
      <w:tblPr>
        <w:tblW w:w="96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37"/>
        <w:gridCol w:w="1369"/>
        <w:gridCol w:w="905"/>
        <w:gridCol w:w="1425"/>
        <w:gridCol w:w="4880"/>
      </w:tblGrid>
      <w:tr w:rsidR="00B97365" w14:paraId="774C3F50" w14:textId="77777777">
        <w:trPr>
          <w:trHeight w:val="342"/>
          <w:jc w:val="center"/>
        </w:trPr>
        <w:tc>
          <w:tcPr>
            <w:tcW w:w="103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B137F33" w14:textId="77777777" w:rsidR="00B97365" w:rsidRDefault="00000000">
            <w:pPr>
              <w:jc w:val="center"/>
              <w:rPr>
                <w:rFonts w:cs="Calibri"/>
                <w:b/>
                <w:color w:val="FFFFFF"/>
                <w:sz w:val="16"/>
                <w:szCs w:val="16"/>
              </w:rPr>
            </w:pPr>
            <w:r>
              <w:rPr>
                <w:rFonts w:cs="Calibri"/>
                <w:b/>
                <w:color w:val="FFFFFF"/>
                <w:sz w:val="16"/>
                <w:szCs w:val="16"/>
              </w:rPr>
              <w:t>Subject</w:t>
            </w:r>
          </w:p>
          <w:p w14:paraId="26038499"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002967B" w14:textId="77777777" w:rsidR="00B97365" w:rsidRDefault="00000000">
            <w:pPr>
              <w:jc w:val="center"/>
              <w:rPr>
                <w:rFonts w:cs="Calibri"/>
                <w:b/>
                <w:color w:val="FFFFFF"/>
                <w:sz w:val="16"/>
                <w:szCs w:val="16"/>
              </w:rPr>
            </w:pPr>
            <w:r>
              <w:rPr>
                <w:rFonts w:cs="Calibri"/>
                <w:b/>
                <w:color w:val="FFFFFF"/>
                <w:sz w:val="16"/>
                <w:szCs w:val="16"/>
              </w:rPr>
              <w:t>Subject</w:t>
            </w:r>
          </w:p>
        </w:tc>
        <w:tc>
          <w:tcPr>
            <w:tcW w:w="90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E53CFAA" w14:textId="77777777" w:rsidR="00B97365" w:rsidRDefault="00000000">
            <w:pPr>
              <w:jc w:val="center"/>
              <w:rPr>
                <w:rFonts w:cs="Calibri"/>
                <w:b/>
                <w:color w:val="FFFFFF"/>
                <w:sz w:val="16"/>
                <w:szCs w:val="16"/>
              </w:rPr>
            </w:pPr>
            <w:r>
              <w:rPr>
                <w:rFonts w:cs="Calibri"/>
                <w:b/>
                <w:color w:val="FFFFFF"/>
                <w:sz w:val="16"/>
                <w:szCs w:val="16"/>
              </w:rPr>
              <w:t>Reason</w:t>
            </w:r>
          </w:p>
          <w:p w14:paraId="605284A6"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8B7B09D"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9FF6ED9"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64F8D843" w14:textId="77777777">
        <w:trPr>
          <w:trHeight w:val="282"/>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325E104" w14:textId="77777777" w:rsidR="00B97365" w:rsidRDefault="00000000">
            <w:pPr>
              <w:tabs>
                <w:tab w:val="right" w:pos="7938"/>
              </w:tabs>
              <w:ind w:left="470" w:hanging="459"/>
              <w:jc w:val="center"/>
              <w:rPr>
                <w:rFonts w:cs="Calibri"/>
                <w:sz w:val="16"/>
                <w:szCs w:val="16"/>
              </w:rPr>
            </w:pPr>
            <w:r>
              <w:rPr>
                <w:rFonts w:cs="Calibri"/>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1F362129" w14:textId="77777777" w:rsidR="00B97365" w:rsidRDefault="00000000">
            <w:pPr>
              <w:tabs>
                <w:tab w:val="right" w:pos="7938"/>
              </w:tabs>
              <w:spacing w:after="60"/>
              <w:ind w:left="11"/>
              <w:rPr>
                <w:rFonts w:cs="Calibri"/>
                <w:sz w:val="16"/>
                <w:szCs w:val="16"/>
              </w:rPr>
            </w:pPr>
            <w:r>
              <w:rPr>
                <w:rFonts w:cs="Calibri"/>
                <w:sz w:val="16"/>
                <w:szCs w:val="16"/>
              </w:rPr>
              <w:t>Function Provider</w:t>
            </w:r>
          </w:p>
        </w:tc>
        <w:tc>
          <w:tcPr>
            <w:tcW w:w="905" w:type="dxa"/>
            <w:tcBorders>
              <w:top w:val="single" w:sz="6" w:space="0" w:color="auto"/>
              <w:left w:val="single" w:sz="6" w:space="0" w:color="auto"/>
              <w:bottom w:val="single" w:sz="6" w:space="0" w:color="auto"/>
              <w:right w:val="single" w:sz="6" w:space="0" w:color="auto"/>
            </w:tcBorders>
            <w:vAlign w:val="center"/>
            <w:hideMark/>
          </w:tcPr>
          <w:p w14:paraId="7AA2D90A" w14:textId="77777777" w:rsidR="00B97365" w:rsidRDefault="00000000">
            <w:pPr>
              <w:spacing w:after="60"/>
              <w:rPr>
                <w:rFonts w:cs="Calibri"/>
                <w:sz w:val="16"/>
                <w:szCs w:val="16"/>
              </w:rPr>
            </w:pPr>
            <w:r>
              <w:rPr>
                <w:rFonts w:cs="Calibri"/>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hideMark/>
          </w:tcPr>
          <w:p w14:paraId="546D48D8" w14:textId="77777777" w:rsidR="00B97365" w:rsidRDefault="00000000">
            <w:pPr>
              <w:spacing w:after="60"/>
              <w:rPr>
                <w:rFonts w:cs="Calibri"/>
                <w:sz w:val="16"/>
                <w:szCs w:val="16"/>
              </w:rPr>
            </w:pPr>
            <w:r>
              <w:rPr>
                <w:rFonts w:cs="Calibri"/>
                <w:sz w:val="16"/>
                <w:szCs w:val="16"/>
              </w:rPr>
              <w:t>Condition Of Use Not satisfied</w:t>
            </w:r>
          </w:p>
        </w:tc>
        <w:tc>
          <w:tcPr>
            <w:tcW w:w="0" w:type="auto"/>
            <w:tcBorders>
              <w:top w:val="single" w:sz="6" w:space="0" w:color="auto"/>
              <w:left w:val="single" w:sz="6" w:space="0" w:color="auto"/>
              <w:bottom w:val="single" w:sz="6" w:space="0" w:color="auto"/>
              <w:right w:val="single" w:sz="4" w:space="0" w:color="auto"/>
            </w:tcBorders>
            <w:vAlign w:val="center"/>
            <w:hideMark/>
          </w:tcPr>
          <w:p w14:paraId="7F907C2D" w14:textId="77777777" w:rsidR="00B97365" w:rsidRDefault="00000000">
            <w:pPr>
              <w:spacing w:after="60"/>
              <w:rPr>
                <w:rFonts w:cs="Calibri"/>
                <w:sz w:val="16"/>
                <w:szCs w:val="16"/>
              </w:rPr>
            </w:pPr>
            <w:r>
              <w:rPr>
                <w:rFonts w:cs="Calibri"/>
                <w:sz w:val="16"/>
                <w:szCs w:val="16"/>
              </w:rPr>
              <w:t xml:space="preserve">Indicates that function provider is not capable of managing the eUICC  identified by this EID. </w:t>
            </w:r>
          </w:p>
        </w:tc>
      </w:tr>
      <w:tr w:rsidR="00B97365" w14:paraId="3EDD8BDB" w14:textId="77777777">
        <w:trPr>
          <w:trHeight w:val="282"/>
          <w:jc w:val="center"/>
        </w:trPr>
        <w:tc>
          <w:tcPr>
            <w:tcW w:w="1037" w:type="dxa"/>
            <w:tcBorders>
              <w:top w:val="single" w:sz="6" w:space="0" w:color="auto"/>
              <w:left w:val="single" w:sz="4" w:space="0" w:color="auto"/>
              <w:bottom w:val="single" w:sz="6" w:space="0" w:color="auto"/>
              <w:right w:val="single" w:sz="6" w:space="0" w:color="auto"/>
            </w:tcBorders>
            <w:vAlign w:val="center"/>
          </w:tcPr>
          <w:p w14:paraId="398D5D61" w14:textId="77777777" w:rsidR="00B97365" w:rsidRDefault="00000000">
            <w:pPr>
              <w:tabs>
                <w:tab w:val="right" w:pos="7938"/>
              </w:tabs>
              <w:ind w:left="470" w:hanging="459"/>
              <w:jc w:val="center"/>
              <w:rPr>
                <w:rFonts w:cs="Calibri"/>
                <w:sz w:val="16"/>
                <w:szCs w:val="16"/>
              </w:rPr>
            </w:pPr>
            <w:r>
              <w:rPr>
                <w:rFonts w:cs="Calibri"/>
                <w:sz w:val="16"/>
                <w:szCs w:val="16"/>
              </w:rPr>
              <w:t>1.4</w:t>
            </w:r>
          </w:p>
        </w:tc>
        <w:tc>
          <w:tcPr>
            <w:tcW w:w="0" w:type="auto"/>
            <w:tcBorders>
              <w:top w:val="single" w:sz="6" w:space="0" w:color="auto"/>
              <w:left w:val="single" w:sz="6" w:space="0" w:color="auto"/>
              <w:bottom w:val="single" w:sz="6" w:space="0" w:color="auto"/>
              <w:right w:val="single" w:sz="6" w:space="0" w:color="auto"/>
            </w:tcBorders>
            <w:vAlign w:val="center"/>
          </w:tcPr>
          <w:p w14:paraId="7F44204F" w14:textId="77777777" w:rsidR="00B97365" w:rsidRDefault="00000000">
            <w:pPr>
              <w:tabs>
                <w:tab w:val="right" w:pos="7938"/>
              </w:tabs>
              <w:spacing w:after="60"/>
              <w:ind w:left="11"/>
              <w:rPr>
                <w:rFonts w:cs="Calibri"/>
                <w:sz w:val="16"/>
                <w:szCs w:val="16"/>
              </w:rPr>
            </w:pPr>
            <w:r>
              <w:rPr>
                <w:rFonts w:cs="Calibri"/>
                <w:sz w:val="16"/>
                <w:szCs w:val="16"/>
              </w:rPr>
              <w:t>External Resource</w:t>
            </w:r>
          </w:p>
        </w:tc>
        <w:tc>
          <w:tcPr>
            <w:tcW w:w="905" w:type="dxa"/>
            <w:tcBorders>
              <w:top w:val="single" w:sz="6" w:space="0" w:color="auto"/>
              <w:left w:val="single" w:sz="6" w:space="0" w:color="auto"/>
              <w:bottom w:val="single" w:sz="6" w:space="0" w:color="auto"/>
              <w:right w:val="single" w:sz="6" w:space="0" w:color="auto"/>
            </w:tcBorders>
            <w:vAlign w:val="center"/>
          </w:tcPr>
          <w:p w14:paraId="7398813D" w14:textId="77777777" w:rsidR="00B97365" w:rsidRDefault="00000000">
            <w:pPr>
              <w:spacing w:after="60"/>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tcPr>
          <w:p w14:paraId="3CA2FBD1" w14:textId="77777777" w:rsidR="00B97365" w:rsidRDefault="00000000">
            <w:pPr>
              <w:spacing w:after="60"/>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53A3681A" w14:textId="77777777" w:rsidR="00B97365" w:rsidRDefault="00000000">
            <w:pPr>
              <w:spacing w:after="60"/>
              <w:rPr>
                <w:rFonts w:cs="Calibri"/>
                <w:sz w:val="16"/>
                <w:szCs w:val="16"/>
              </w:rPr>
            </w:pPr>
            <w:r>
              <w:rPr>
                <w:rFonts w:cs="Calibri"/>
                <w:sz w:val="16"/>
                <w:szCs w:val="16"/>
              </w:rPr>
              <w:t>One Operator owning a Profile on this eUICC is unknown to or not reachable from the new SM-SR</w:t>
            </w:r>
          </w:p>
        </w:tc>
      </w:tr>
      <w:tr w:rsidR="00B97365" w14:paraId="171801DB" w14:textId="77777777">
        <w:trPr>
          <w:trHeight w:val="282"/>
          <w:jc w:val="center"/>
        </w:trPr>
        <w:tc>
          <w:tcPr>
            <w:tcW w:w="1037" w:type="dxa"/>
            <w:tcBorders>
              <w:top w:val="single" w:sz="6" w:space="0" w:color="auto"/>
              <w:left w:val="single" w:sz="4" w:space="0" w:color="auto"/>
              <w:bottom w:val="single" w:sz="6" w:space="0" w:color="auto"/>
              <w:right w:val="single" w:sz="6" w:space="0" w:color="auto"/>
            </w:tcBorders>
            <w:vAlign w:val="center"/>
          </w:tcPr>
          <w:p w14:paraId="544B254D" w14:textId="77777777" w:rsidR="00B97365" w:rsidRDefault="00000000">
            <w:pPr>
              <w:tabs>
                <w:tab w:val="right" w:pos="7938"/>
              </w:tabs>
              <w:ind w:left="470" w:hanging="459"/>
              <w:jc w:val="center"/>
              <w:rPr>
                <w:rFonts w:cs="Calibri"/>
                <w:sz w:val="16"/>
                <w:szCs w:val="16"/>
              </w:rPr>
            </w:pPr>
            <w:r>
              <w:rPr>
                <w:rFonts w:cs="Calibri"/>
                <w:sz w:val="16"/>
                <w:szCs w:val="16"/>
              </w:rPr>
              <w:lastRenderedPageBreak/>
              <w:t>1.6</w:t>
            </w:r>
          </w:p>
        </w:tc>
        <w:tc>
          <w:tcPr>
            <w:tcW w:w="0" w:type="auto"/>
            <w:tcBorders>
              <w:top w:val="single" w:sz="6" w:space="0" w:color="auto"/>
              <w:left w:val="single" w:sz="6" w:space="0" w:color="auto"/>
              <w:bottom w:val="single" w:sz="6" w:space="0" w:color="auto"/>
              <w:right w:val="single" w:sz="6" w:space="0" w:color="auto"/>
            </w:tcBorders>
            <w:vAlign w:val="center"/>
          </w:tcPr>
          <w:p w14:paraId="61E2E585" w14:textId="77777777" w:rsidR="00B97365" w:rsidRDefault="00000000">
            <w:pPr>
              <w:tabs>
                <w:tab w:val="right" w:pos="7938"/>
              </w:tabs>
              <w:spacing w:after="60"/>
              <w:ind w:left="11"/>
              <w:rPr>
                <w:rFonts w:cs="Calibri"/>
                <w:sz w:val="16"/>
                <w:szCs w:val="16"/>
              </w:rPr>
            </w:pPr>
            <w:r>
              <w:rPr>
                <w:rFonts w:cs="Calibri"/>
                <w:sz w:val="16"/>
                <w:szCs w:val="16"/>
              </w:rPr>
              <w:t>Function</w:t>
            </w:r>
          </w:p>
        </w:tc>
        <w:tc>
          <w:tcPr>
            <w:tcW w:w="905" w:type="dxa"/>
            <w:tcBorders>
              <w:top w:val="single" w:sz="6" w:space="0" w:color="auto"/>
              <w:left w:val="single" w:sz="6" w:space="0" w:color="auto"/>
              <w:bottom w:val="single" w:sz="6" w:space="0" w:color="auto"/>
              <w:right w:val="single" w:sz="6" w:space="0" w:color="auto"/>
            </w:tcBorders>
            <w:vAlign w:val="center"/>
          </w:tcPr>
          <w:p w14:paraId="588C0465" w14:textId="77777777" w:rsidR="00B97365" w:rsidRDefault="00000000">
            <w:pPr>
              <w:spacing w:after="60"/>
              <w:rPr>
                <w:rFonts w:cs="Calibri"/>
                <w:sz w:val="16"/>
                <w:szCs w:val="16"/>
              </w:rPr>
            </w:pPr>
            <w:r>
              <w:rPr>
                <w:rFonts w:cs="Calibri"/>
                <w:sz w:val="16"/>
                <w:szCs w:val="16"/>
              </w:rPr>
              <w:t>4.5</w:t>
            </w:r>
          </w:p>
        </w:tc>
        <w:tc>
          <w:tcPr>
            <w:tcW w:w="0" w:type="auto"/>
            <w:tcBorders>
              <w:top w:val="single" w:sz="6" w:space="0" w:color="auto"/>
              <w:left w:val="single" w:sz="6" w:space="0" w:color="auto"/>
              <w:bottom w:val="single" w:sz="6" w:space="0" w:color="auto"/>
              <w:right w:val="single" w:sz="6" w:space="0" w:color="auto"/>
            </w:tcBorders>
            <w:vAlign w:val="center"/>
          </w:tcPr>
          <w:p w14:paraId="0E9171CF" w14:textId="77777777" w:rsidR="00B97365" w:rsidRDefault="00000000">
            <w:pPr>
              <w:spacing w:after="60"/>
              <w:rPr>
                <w:rFonts w:cs="Calibri"/>
                <w:sz w:val="16"/>
                <w:szCs w:val="16"/>
              </w:rPr>
            </w:pPr>
            <w:r>
              <w:rPr>
                <w:rFonts w:cs="Calibri"/>
                <w:sz w:val="16"/>
                <w:szCs w:val="16"/>
              </w:rPr>
              <w:t>Operation Already Processed</w:t>
            </w:r>
          </w:p>
        </w:tc>
        <w:tc>
          <w:tcPr>
            <w:tcW w:w="0" w:type="auto"/>
            <w:tcBorders>
              <w:top w:val="single" w:sz="6" w:space="0" w:color="auto"/>
              <w:left w:val="single" w:sz="6" w:space="0" w:color="auto"/>
              <w:bottom w:val="single" w:sz="6" w:space="0" w:color="auto"/>
              <w:right w:val="single" w:sz="4" w:space="0" w:color="auto"/>
            </w:tcBorders>
            <w:vAlign w:val="center"/>
          </w:tcPr>
          <w:p w14:paraId="7CC7C0E0" w14:textId="77777777" w:rsidR="00B97365" w:rsidRDefault="00000000">
            <w:pPr>
              <w:spacing w:after="60"/>
              <w:rPr>
                <w:rFonts w:cs="Calibri"/>
                <w:sz w:val="16"/>
                <w:szCs w:val="16"/>
              </w:rPr>
            </w:pPr>
            <w:r>
              <w:rPr>
                <w:rFonts w:cs="Calibri"/>
                <w:sz w:val="16"/>
                <w:szCs w:val="16"/>
              </w:rPr>
              <w:t xml:space="preserve">The function is the second attempt to transfer an eUICC to the same new SM-SR, after a previous attempt had already succeeded from the point of view of this SM-SR, whereas it had expired from the point of view of the old SM-SR. </w:t>
            </w:r>
          </w:p>
          <w:p w14:paraId="163F57CD" w14:textId="77777777" w:rsidR="00B97365" w:rsidRDefault="00000000">
            <w:pPr>
              <w:spacing w:after="60"/>
              <w:rPr>
                <w:rFonts w:cs="Calibri"/>
                <w:sz w:val="16"/>
                <w:szCs w:val="16"/>
              </w:rPr>
            </w:pPr>
            <w:r>
              <w:rPr>
                <w:rFonts w:cs="Calibri"/>
                <w:sz w:val="16"/>
                <w:szCs w:val="16"/>
              </w:rPr>
              <w:t>In this case the Execution-Status SHALL be ‘Executed-WithWarning’.</w:t>
            </w:r>
          </w:p>
        </w:tc>
      </w:tr>
      <w:tr w:rsidR="00B97365" w14:paraId="018D1B7B" w14:textId="77777777">
        <w:trPr>
          <w:trHeight w:val="282"/>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0F0BF2BF" w14:textId="77777777" w:rsidR="00B97365" w:rsidRDefault="00000000">
            <w:pPr>
              <w:tabs>
                <w:tab w:val="right" w:pos="7938"/>
              </w:tabs>
              <w:ind w:left="470" w:hanging="459"/>
              <w:jc w:val="center"/>
              <w:rPr>
                <w:rFonts w:cs="Calibri"/>
                <w:sz w:val="16"/>
                <w:szCs w:val="16"/>
              </w:rPr>
            </w:pPr>
            <w:r>
              <w:rPr>
                <w:rFonts w:cs="Calibri"/>
                <w:sz w:val="16"/>
                <w:szCs w:val="16"/>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586C481A" w14:textId="77777777" w:rsidR="00B97365" w:rsidRDefault="00000000">
            <w:pPr>
              <w:tabs>
                <w:tab w:val="right" w:pos="7938"/>
              </w:tabs>
              <w:spacing w:after="60"/>
              <w:ind w:left="11"/>
              <w:rPr>
                <w:rFonts w:cs="Calibri"/>
                <w:sz w:val="16"/>
                <w:szCs w:val="16"/>
              </w:rPr>
            </w:pPr>
            <w:r>
              <w:rPr>
                <w:rFonts w:cs="Calibri"/>
                <w:sz w:val="16"/>
                <w:szCs w:val="16"/>
              </w:rPr>
              <w:t>EID</w:t>
            </w:r>
          </w:p>
        </w:tc>
        <w:tc>
          <w:tcPr>
            <w:tcW w:w="905" w:type="dxa"/>
            <w:tcBorders>
              <w:top w:val="single" w:sz="6" w:space="0" w:color="auto"/>
              <w:left w:val="single" w:sz="6" w:space="0" w:color="auto"/>
              <w:bottom w:val="single" w:sz="6" w:space="0" w:color="auto"/>
              <w:right w:val="single" w:sz="6" w:space="0" w:color="auto"/>
            </w:tcBorders>
            <w:vAlign w:val="center"/>
            <w:hideMark/>
          </w:tcPr>
          <w:p w14:paraId="4D16E88F" w14:textId="77777777" w:rsidR="00B97365" w:rsidRDefault="00000000">
            <w:pPr>
              <w:spacing w:after="60"/>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02E48AFF" w14:textId="77777777" w:rsidR="00B97365" w:rsidRDefault="00000000">
            <w:pPr>
              <w:spacing w:after="60"/>
              <w:rPr>
                <w:rFonts w:cs="Calibri"/>
                <w:sz w:val="16"/>
                <w:szCs w:val="16"/>
              </w:rPr>
            </w:pPr>
            <w:r>
              <w:rPr>
                <w:rFonts w:cs="Calibri"/>
                <w:sz w:val="16"/>
                <w:szCs w:val="16"/>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14B51256" w14:textId="77777777" w:rsidR="00B97365" w:rsidRDefault="00000000">
            <w:pPr>
              <w:spacing w:after="60"/>
              <w:rPr>
                <w:rFonts w:cs="Calibri"/>
                <w:sz w:val="16"/>
                <w:szCs w:val="16"/>
              </w:rPr>
            </w:pPr>
            <w:r>
              <w:rPr>
                <w:rFonts w:cs="Calibri"/>
                <w:sz w:val="16"/>
                <w:szCs w:val="16"/>
              </w:rPr>
              <w:t>Indicates that the preparation step hasn’t been performed for the eUICC</w:t>
            </w:r>
          </w:p>
        </w:tc>
      </w:tr>
      <w:tr w:rsidR="00B97365" w14:paraId="020082CF" w14:textId="77777777">
        <w:trPr>
          <w:trHeight w:val="282"/>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1D63E493" w14:textId="77777777" w:rsidR="00B97365" w:rsidRDefault="00000000">
            <w:pPr>
              <w:tabs>
                <w:tab w:val="right" w:pos="7938"/>
              </w:tabs>
              <w:ind w:left="470" w:hanging="459"/>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6" w:space="0" w:color="auto"/>
              <w:right w:val="single" w:sz="6" w:space="0" w:color="auto"/>
            </w:tcBorders>
            <w:vAlign w:val="center"/>
            <w:hideMark/>
          </w:tcPr>
          <w:p w14:paraId="1C44994C" w14:textId="77777777" w:rsidR="00B97365" w:rsidRDefault="00000000">
            <w:pPr>
              <w:tabs>
                <w:tab w:val="right" w:pos="7938"/>
              </w:tabs>
              <w:spacing w:after="60"/>
              <w:ind w:left="11"/>
              <w:rPr>
                <w:rFonts w:cs="Calibri"/>
                <w:sz w:val="16"/>
                <w:szCs w:val="16"/>
              </w:rPr>
            </w:pPr>
            <w:r>
              <w:rPr>
                <w:rFonts w:cs="Calibri"/>
                <w:sz w:val="16"/>
                <w:szCs w:val="16"/>
              </w:rPr>
              <w:t>ISD-R</w:t>
            </w:r>
          </w:p>
        </w:tc>
        <w:tc>
          <w:tcPr>
            <w:tcW w:w="905" w:type="dxa"/>
            <w:tcBorders>
              <w:top w:val="single" w:sz="6" w:space="0" w:color="auto"/>
              <w:left w:val="single" w:sz="6" w:space="0" w:color="auto"/>
              <w:bottom w:val="single" w:sz="6" w:space="0" w:color="auto"/>
              <w:right w:val="single" w:sz="6" w:space="0" w:color="auto"/>
            </w:tcBorders>
            <w:vAlign w:val="center"/>
            <w:hideMark/>
          </w:tcPr>
          <w:p w14:paraId="0EB9B8F0" w14:textId="77777777" w:rsidR="00B97365" w:rsidRDefault="00000000">
            <w:pPr>
              <w:tabs>
                <w:tab w:val="right" w:pos="7938"/>
              </w:tabs>
              <w:spacing w:after="60"/>
              <w:ind w:left="470" w:hanging="459"/>
              <w:rPr>
                <w:rFonts w:cs="Calibri"/>
                <w:sz w:val="16"/>
                <w:szCs w:val="16"/>
              </w:rPr>
            </w:pPr>
            <w:r>
              <w:rPr>
                <w:rFonts w:cs="Calibri"/>
                <w:sz w:val="16"/>
                <w:szCs w:val="16"/>
              </w:rPr>
              <w:t>4.2</w:t>
            </w:r>
          </w:p>
        </w:tc>
        <w:tc>
          <w:tcPr>
            <w:tcW w:w="0" w:type="auto"/>
            <w:tcBorders>
              <w:top w:val="single" w:sz="6" w:space="0" w:color="auto"/>
              <w:left w:val="single" w:sz="6" w:space="0" w:color="auto"/>
              <w:bottom w:val="single" w:sz="6" w:space="0" w:color="auto"/>
              <w:right w:val="single" w:sz="6" w:space="0" w:color="auto"/>
            </w:tcBorders>
            <w:vAlign w:val="center"/>
            <w:hideMark/>
          </w:tcPr>
          <w:p w14:paraId="05F8937D" w14:textId="77777777" w:rsidR="00B97365" w:rsidRDefault="00000000">
            <w:pPr>
              <w:tabs>
                <w:tab w:val="right" w:pos="7938"/>
              </w:tabs>
              <w:spacing w:after="60"/>
              <w:ind w:left="470" w:hanging="459"/>
              <w:rPr>
                <w:rFonts w:cs="Calibri"/>
                <w:sz w:val="16"/>
                <w:szCs w:val="16"/>
              </w:rPr>
            </w:pPr>
            <w:r>
              <w:rPr>
                <w:rFonts w:cs="Calibri"/>
                <w:sz w:val="16"/>
                <w:szCs w:val="16"/>
              </w:rPr>
              <w:t>Execution error</w:t>
            </w:r>
          </w:p>
        </w:tc>
        <w:tc>
          <w:tcPr>
            <w:tcW w:w="0" w:type="auto"/>
            <w:tcBorders>
              <w:top w:val="single" w:sz="6" w:space="0" w:color="auto"/>
              <w:left w:val="single" w:sz="6" w:space="0" w:color="auto"/>
              <w:bottom w:val="single" w:sz="6" w:space="0" w:color="auto"/>
              <w:right w:val="single" w:sz="4" w:space="0" w:color="auto"/>
            </w:tcBorders>
            <w:vAlign w:val="center"/>
            <w:hideMark/>
          </w:tcPr>
          <w:p w14:paraId="2C3ED866" w14:textId="77777777" w:rsidR="00B97365" w:rsidRDefault="00000000">
            <w:pPr>
              <w:spacing w:after="60"/>
              <w:rPr>
                <w:rFonts w:cs="Calibri"/>
                <w:sz w:val="16"/>
                <w:szCs w:val="16"/>
              </w:rPr>
            </w:pPr>
            <w:r>
              <w:rPr>
                <w:rFonts w:cs="Calibri"/>
                <w:sz w:val="16"/>
                <w:szCs w:val="16"/>
              </w:rPr>
              <w:t>Error during the creation of the key set at the ISD-R level. In that case, the output data “euiccResponseData contains the exact response coming from the eUICC.</w:t>
            </w:r>
          </w:p>
        </w:tc>
      </w:tr>
      <w:tr w:rsidR="00B97365" w14:paraId="7103ED2C" w14:textId="77777777">
        <w:trPr>
          <w:trHeight w:val="282"/>
          <w:jc w:val="center"/>
        </w:trPr>
        <w:tc>
          <w:tcPr>
            <w:tcW w:w="1037" w:type="dxa"/>
            <w:tcBorders>
              <w:top w:val="single" w:sz="6" w:space="0" w:color="auto"/>
              <w:left w:val="single" w:sz="4" w:space="0" w:color="auto"/>
              <w:bottom w:val="single" w:sz="6" w:space="0" w:color="auto"/>
              <w:right w:val="single" w:sz="6" w:space="0" w:color="auto"/>
            </w:tcBorders>
            <w:vAlign w:val="center"/>
          </w:tcPr>
          <w:p w14:paraId="68A6EE70" w14:textId="77777777" w:rsidR="00B97365" w:rsidRDefault="00000000">
            <w:pPr>
              <w:tabs>
                <w:tab w:val="right" w:pos="7938"/>
              </w:tabs>
              <w:ind w:left="470" w:hanging="459"/>
              <w:jc w:val="center"/>
              <w:rPr>
                <w:rFonts w:cs="Calibri"/>
                <w:sz w:val="16"/>
                <w:szCs w:val="16"/>
              </w:rPr>
            </w:pPr>
            <w:r>
              <w:rPr>
                <w:rFonts w:cs="Calibri"/>
                <w:sz w:val="16"/>
                <w:szCs w:val="16"/>
              </w:rPr>
              <w:t>8.4</w:t>
            </w:r>
          </w:p>
        </w:tc>
        <w:tc>
          <w:tcPr>
            <w:tcW w:w="0" w:type="auto"/>
            <w:tcBorders>
              <w:top w:val="single" w:sz="6" w:space="0" w:color="auto"/>
              <w:left w:val="single" w:sz="6" w:space="0" w:color="auto"/>
              <w:bottom w:val="single" w:sz="6" w:space="0" w:color="auto"/>
              <w:right w:val="single" w:sz="6" w:space="0" w:color="auto"/>
            </w:tcBorders>
            <w:vAlign w:val="center"/>
          </w:tcPr>
          <w:p w14:paraId="67163FD4" w14:textId="77777777" w:rsidR="00B97365" w:rsidRDefault="00000000">
            <w:pPr>
              <w:tabs>
                <w:tab w:val="right" w:pos="7938"/>
              </w:tabs>
              <w:spacing w:after="60"/>
              <w:ind w:left="11"/>
              <w:rPr>
                <w:rFonts w:cs="Calibri"/>
                <w:sz w:val="16"/>
                <w:szCs w:val="16"/>
              </w:rPr>
            </w:pPr>
            <w:r>
              <w:rPr>
                <w:rFonts w:cs="Calibri"/>
                <w:sz w:val="16"/>
                <w:szCs w:val="16"/>
              </w:rPr>
              <w:t>ISD-R</w:t>
            </w:r>
          </w:p>
        </w:tc>
        <w:tc>
          <w:tcPr>
            <w:tcW w:w="905" w:type="dxa"/>
            <w:tcBorders>
              <w:top w:val="single" w:sz="6" w:space="0" w:color="auto"/>
              <w:left w:val="single" w:sz="6" w:space="0" w:color="auto"/>
              <w:bottom w:val="single" w:sz="6" w:space="0" w:color="auto"/>
              <w:right w:val="single" w:sz="6" w:space="0" w:color="auto"/>
            </w:tcBorders>
            <w:vAlign w:val="center"/>
          </w:tcPr>
          <w:p w14:paraId="5B9B87D9" w14:textId="77777777" w:rsidR="00B97365" w:rsidRDefault="00000000">
            <w:pPr>
              <w:tabs>
                <w:tab w:val="right" w:pos="7938"/>
              </w:tabs>
              <w:spacing w:after="60"/>
              <w:ind w:left="470" w:hanging="459"/>
              <w:rPr>
                <w:rFonts w:cs="Calibri"/>
                <w:sz w:val="16"/>
                <w:szCs w:val="16"/>
              </w:rPr>
            </w:pPr>
            <w:r>
              <w:rPr>
                <w:rFonts w:cs="Calibri"/>
                <w:sz w:val="16"/>
                <w:szCs w:val="16"/>
              </w:rPr>
              <w:t>4.3</w:t>
            </w:r>
          </w:p>
        </w:tc>
        <w:tc>
          <w:tcPr>
            <w:tcW w:w="0" w:type="auto"/>
            <w:tcBorders>
              <w:top w:val="single" w:sz="6" w:space="0" w:color="auto"/>
              <w:left w:val="single" w:sz="6" w:space="0" w:color="auto"/>
              <w:bottom w:val="single" w:sz="6" w:space="0" w:color="auto"/>
              <w:right w:val="single" w:sz="6" w:space="0" w:color="auto"/>
            </w:tcBorders>
            <w:vAlign w:val="center"/>
          </w:tcPr>
          <w:p w14:paraId="78B775E2" w14:textId="77777777" w:rsidR="00B97365" w:rsidRDefault="00000000">
            <w:pPr>
              <w:tabs>
                <w:tab w:val="right" w:pos="7938"/>
              </w:tabs>
              <w:spacing w:after="60"/>
              <w:ind w:left="470" w:hanging="459"/>
              <w:rPr>
                <w:rFonts w:cs="Calibri"/>
                <w:sz w:val="16"/>
                <w:szCs w:val="16"/>
              </w:rPr>
            </w:pPr>
            <w:r>
              <w:rPr>
                <w:rFonts w:cs="Calibri"/>
                <w:sz w:val="16"/>
                <w:szCs w:val="16"/>
              </w:rPr>
              <w:t>Stopped on Warning</w:t>
            </w:r>
          </w:p>
        </w:tc>
        <w:tc>
          <w:tcPr>
            <w:tcW w:w="0" w:type="auto"/>
            <w:tcBorders>
              <w:top w:val="single" w:sz="6" w:space="0" w:color="auto"/>
              <w:left w:val="single" w:sz="6" w:space="0" w:color="auto"/>
              <w:bottom w:val="single" w:sz="6" w:space="0" w:color="auto"/>
              <w:right w:val="single" w:sz="4" w:space="0" w:color="auto"/>
            </w:tcBorders>
            <w:vAlign w:val="center"/>
          </w:tcPr>
          <w:p w14:paraId="31324814" w14:textId="77777777" w:rsidR="00B97365" w:rsidRDefault="00000000">
            <w:pPr>
              <w:spacing w:after="60"/>
              <w:rPr>
                <w:rFonts w:cs="Calibri"/>
                <w:sz w:val="16"/>
                <w:szCs w:val="16"/>
              </w:rPr>
            </w:pPr>
            <w:r>
              <w:rPr>
                <w:rFonts w:cs="Calibri"/>
                <w:sz w:val="16"/>
                <w:szCs w:val="16"/>
              </w:rPr>
              <w:t>Error during the configuration of ISD-R by SM-SR2, after creating SM-SR2 keyset. This Status Code SHALL only be used when the Function Execution Status’ is “Executed_WithWarning”</w:t>
            </w:r>
          </w:p>
        </w:tc>
      </w:tr>
      <w:tr w:rsidR="00B97365" w14:paraId="29974AAB" w14:textId="77777777">
        <w:trPr>
          <w:trHeight w:val="282"/>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EAE9CE2" w14:textId="77777777" w:rsidR="00B97365" w:rsidRDefault="00000000">
            <w:pPr>
              <w:tabs>
                <w:tab w:val="right" w:pos="7938"/>
              </w:tabs>
              <w:ind w:left="470" w:hanging="459"/>
              <w:jc w:val="center"/>
              <w:rPr>
                <w:rFonts w:cs="Calibri"/>
                <w:sz w:val="16"/>
                <w:szCs w:val="16"/>
              </w:rPr>
            </w:pPr>
            <w:r>
              <w:rPr>
                <w:rFonts w:cs="Calibri"/>
                <w:sz w:val="16"/>
                <w:szCs w:val="16"/>
              </w:rPr>
              <w:t>8.5.2</w:t>
            </w:r>
          </w:p>
        </w:tc>
        <w:tc>
          <w:tcPr>
            <w:tcW w:w="0" w:type="auto"/>
            <w:tcBorders>
              <w:top w:val="single" w:sz="6" w:space="0" w:color="auto"/>
              <w:left w:val="single" w:sz="6" w:space="0" w:color="auto"/>
              <w:bottom w:val="single" w:sz="6" w:space="0" w:color="auto"/>
              <w:right w:val="single" w:sz="6" w:space="0" w:color="auto"/>
            </w:tcBorders>
            <w:vAlign w:val="center"/>
            <w:hideMark/>
          </w:tcPr>
          <w:p w14:paraId="4BC55328" w14:textId="77777777" w:rsidR="00B97365" w:rsidRDefault="00000000">
            <w:pPr>
              <w:tabs>
                <w:tab w:val="right" w:pos="7938"/>
              </w:tabs>
              <w:spacing w:after="60"/>
              <w:ind w:left="11"/>
              <w:rPr>
                <w:rFonts w:cs="Calibri"/>
                <w:sz w:val="16"/>
                <w:szCs w:val="16"/>
              </w:rPr>
            </w:pPr>
            <w:r>
              <w:rPr>
                <w:rFonts w:cs="Calibri"/>
                <w:sz w:val="16"/>
                <w:szCs w:val="16"/>
              </w:rPr>
              <w:t>eUICC Certificate Authority Certificate</w:t>
            </w:r>
          </w:p>
        </w:tc>
        <w:tc>
          <w:tcPr>
            <w:tcW w:w="905" w:type="dxa"/>
            <w:tcBorders>
              <w:top w:val="single" w:sz="6" w:space="0" w:color="auto"/>
              <w:left w:val="single" w:sz="6" w:space="0" w:color="auto"/>
              <w:bottom w:val="single" w:sz="6" w:space="0" w:color="auto"/>
              <w:right w:val="single" w:sz="6" w:space="0" w:color="auto"/>
            </w:tcBorders>
            <w:vAlign w:val="center"/>
            <w:hideMark/>
          </w:tcPr>
          <w:p w14:paraId="6C140330" w14:textId="77777777" w:rsidR="00B97365" w:rsidRDefault="00000000">
            <w:pPr>
              <w:spacing w:after="60"/>
              <w:rPr>
                <w:rFonts w:cs="Calibri"/>
                <w:sz w:val="16"/>
                <w:szCs w:val="16"/>
              </w:rPr>
            </w:pPr>
            <w:r>
              <w:rPr>
                <w:rFonts w:cs="Calibri"/>
                <w:sz w:val="16"/>
                <w:szCs w:val="16"/>
              </w:rPr>
              <w:t>6.3</w:t>
            </w:r>
          </w:p>
        </w:tc>
        <w:tc>
          <w:tcPr>
            <w:tcW w:w="0" w:type="auto"/>
            <w:tcBorders>
              <w:top w:val="single" w:sz="6" w:space="0" w:color="auto"/>
              <w:left w:val="single" w:sz="6" w:space="0" w:color="auto"/>
              <w:bottom w:val="single" w:sz="6" w:space="0" w:color="auto"/>
              <w:right w:val="single" w:sz="6" w:space="0" w:color="auto"/>
            </w:tcBorders>
            <w:vAlign w:val="center"/>
            <w:hideMark/>
          </w:tcPr>
          <w:p w14:paraId="56CB4A96" w14:textId="77777777" w:rsidR="00B97365" w:rsidRDefault="00000000">
            <w:pPr>
              <w:spacing w:after="60"/>
              <w:rPr>
                <w:rFonts w:cs="Calibri"/>
                <w:sz w:val="16"/>
                <w:szCs w:val="16"/>
              </w:rPr>
            </w:pPr>
            <w:r>
              <w:rPr>
                <w:rFonts w:cs="Calibri"/>
                <w:sz w:val="16"/>
                <w:szCs w:val="16"/>
              </w:rPr>
              <w:t>Certificate Expired</w:t>
            </w:r>
          </w:p>
        </w:tc>
        <w:tc>
          <w:tcPr>
            <w:tcW w:w="0" w:type="auto"/>
            <w:tcBorders>
              <w:top w:val="single" w:sz="6" w:space="0" w:color="auto"/>
              <w:left w:val="single" w:sz="6" w:space="0" w:color="auto"/>
              <w:bottom w:val="single" w:sz="6" w:space="0" w:color="auto"/>
              <w:right w:val="single" w:sz="4" w:space="0" w:color="auto"/>
            </w:tcBorders>
            <w:vAlign w:val="center"/>
            <w:hideMark/>
          </w:tcPr>
          <w:p w14:paraId="4FF949F6" w14:textId="77777777" w:rsidR="00B97365" w:rsidRDefault="00000000">
            <w:pPr>
              <w:spacing w:after="60"/>
              <w:rPr>
                <w:rFonts w:cs="Calibri"/>
                <w:sz w:val="16"/>
                <w:szCs w:val="16"/>
              </w:rPr>
            </w:pPr>
            <w:r>
              <w:rPr>
                <w:rFonts w:cs="Calibri"/>
                <w:sz w:val="16"/>
                <w:szCs w:val="16"/>
              </w:rPr>
              <w:t>ECASD Certificate expired</w:t>
            </w:r>
          </w:p>
        </w:tc>
      </w:tr>
      <w:tr w:rsidR="00B97365" w14:paraId="6AB0D73B" w14:textId="77777777">
        <w:trPr>
          <w:trHeight w:val="282"/>
          <w:jc w:val="center"/>
        </w:trPr>
        <w:tc>
          <w:tcPr>
            <w:tcW w:w="1037" w:type="dxa"/>
            <w:tcBorders>
              <w:top w:val="single" w:sz="6" w:space="0" w:color="auto"/>
              <w:left w:val="single" w:sz="4" w:space="0" w:color="auto"/>
              <w:bottom w:val="single" w:sz="4" w:space="0" w:color="auto"/>
              <w:right w:val="single" w:sz="6" w:space="0" w:color="auto"/>
            </w:tcBorders>
          </w:tcPr>
          <w:p w14:paraId="2C1855F8" w14:textId="77777777" w:rsidR="00B97365" w:rsidRDefault="00000000">
            <w:pPr>
              <w:tabs>
                <w:tab w:val="right" w:pos="7938"/>
              </w:tabs>
              <w:spacing w:after="60"/>
              <w:ind w:left="11"/>
              <w:rPr>
                <w:rFonts w:cs="Calibri"/>
                <w:sz w:val="16"/>
                <w:szCs w:val="16"/>
              </w:rPr>
            </w:pPr>
            <w:r>
              <w:rPr>
                <w:rFonts w:cs="Calibri"/>
                <w:sz w:val="16"/>
                <w:szCs w:val="16"/>
              </w:rPr>
              <w:t>8.5.1</w:t>
            </w:r>
          </w:p>
        </w:tc>
        <w:tc>
          <w:tcPr>
            <w:tcW w:w="0" w:type="auto"/>
            <w:tcBorders>
              <w:top w:val="single" w:sz="6" w:space="0" w:color="auto"/>
              <w:left w:val="single" w:sz="6" w:space="0" w:color="auto"/>
              <w:bottom w:val="single" w:sz="4" w:space="0" w:color="auto"/>
              <w:right w:val="single" w:sz="6" w:space="0" w:color="auto"/>
            </w:tcBorders>
          </w:tcPr>
          <w:p w14:paraId="3CA6C863" w14:textId="77777777" w:rsidR="00B97365" w:rsidRDefault="00000000">
            <w:pPr>
              <w:tabs>
                <w:tab w:val="right" w:pos="7938"/>
              </w:tabs>
              <w:spacing w:after="60"/>
              <w:ind w:left="11"/>
              <w:rPr>
                <w:rFonts w:cs="Calibri"/>
                <w:sz w:val="16"/>
                <w:szCs w:val="16"/>
              </w:rPr>
            </w:pPr>
            <w:r>
              <w:rPr>
                <w:rFonts w:cs="Calibri"/>
                <w:sz w:val="16"/>
                <w:szCs w:val="16"/>
              </w:rPr>
              <w:t>ECASD Certification Request</w:t>
            </w:r>
          </w:p>
        </w:tc>
        <w:tc>
          <w:tcPr>
            <w:tcW w:w="905" w:type="dxa"/>
            <w:tcBorders>
              <w:top w:val="single" w:sz="6" w:space="0" w:color="auto"/>
              <w:left w:val="single" w:sz="6" w:space="0" w:color="auto"/>
              <w:bottom w:val="single" w:sz="4" w:space="0" w:color="auto"/>
              <w:right w:val="single" w:sz="6" w:space="0" w:color="auto"/>
            </w:tcBorders>
          </w:tcPr>
          <w:p w14:paraId="656247C4" w14:textId="77777777" w:rsidR="00B97365" w:rsidRDefault="00000000">
            <w:pPr>
              <w:tabs>
                <w:tab w:val="right" w:pos="7938"/>
              </w:tabs>
              <w:spacing w:after="60"/>
              <w:ind w:left="11"/>
              <w:rPr>
                <w:rFonts w:cs="Calibri"/>
                <w:sz w:val="16"/>
                <w:szCs w:val="16"/>
              </w:rPr>
            </w:pPr>
            <w:r>
              <w:rPr>
                <w:rFonts w:cs="Calibri"/>
                <w:sz w:val="16"/>
                <w:szCs w:val="16"/>
              </w:rPr>
              <w:t>6.1</w:t>
            </w:r>
          </w:p>
        </w:tc>
        <w:tc>
          <w:tcPr>
            <w:tcW w:w="0" w:type="auto"/>
            <w:tcBorders>
              <w:top w:val="single" w:sz="6" w:space="0" w:color="auto"/>
              <w:left w:val="single" w:sz="6" w:space="0" w:color="auto"/>
              <w:bottom w:val="single" w:sz="4" w:space="0" w:color="auto"/>
              <w:right w:val="single" w:sz="6" w:space="0" w:color="auto"/>
            </w:tcBorders>
          </w:tcPr>
          <w:p w14:paraId="06682730" w14:textId="77777777" w:rsidR="00B97365" w:rsidRDefault="00000000">
            <w:pPr>
              <w:tabs>
                <w:tab w:val="right" w:pos="7938"/>
              </w:tabs>
              <w:spacing w:after="60"/>
              <w:ind w:left="11"/>
              <w:rPr>
                <w:rFonts w:cs="Calibri"/>
                <w:sz w:val="16"/>
                <w:szCs w:val="16"/>
              </w:rPr>
            </w:pPr>
            <w:r>
              <w:rPr>
                <w:rFonts w:cs="Calibri"/>
                <w:sz w:val="16"/>
                <w:szCs w:val="16"/>
              </w:rPr>
              <w:t>Verification Failed</w:t>
            </w:r>
          </w:p>
        </w:tc>
        <w:tc>
          <w:tcPr>
            <w:tcW w:w="0" w:type="auto"/>
            <w:tcBorders>
              <w:top w:val="single" w:sz="6" w:space="0" w:color="auto"/>
              <w:left w:val="single" w:sz="6" w:space="0" w:color="auto"/>
              <w:bottom w:val="single" w:sz="4" w:space="0" w:color="auto"/>
              <w:right w:val="single" w:sz="4" w:space="0" w:color="auto"/>
            </w:tcBorders>
          </w:tcPr>
          <w:p w14:paraId="64B40F03" w14:textId="77777777" w:rsidR="00B97365" w:rsidRDefault="00000000">
            <w:pPr>
              <w:tabs>
                <w:tab w:val="right" w:pos="7938"/>
              </w:tabs>
              <w:spacing w:after="60"/>
              <w:ind w:left="11"/>
              <w:rPr>
                <w:rFonts w:cs="Calibri"/>
                <w:sz w:val="16"/>
                <w:szCs w:val="16"/>
              </w:rPr>
            </w:pPr>
            <w:r>
              <w:rPr>
                <w:rFonts w:cs="Calibri"/>
                <w:sz w:val="16"/>
                <w:szCs w:val="16"/>
              </w:rPr>
              <w:t>The verification of the receipt by SM-SR2 failed. SM-SR2 sends the failure message to SM-SR1.</w:t>
            </w:r>
          </w:p>
        </w:tc>
      </w:tr>
    </w:tbl>
    <w:p w14:paraId="1D3DD6EA"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Handover eUICC Specific Status Codes</w:t>
      </w:r>
    </w:p>
    <w:p w14:paraId="686A98BC" w14:textId="77777777" w:rsidR="00B97365" w:rsidRDefault="00B97365">
      <w:pPr>
        <w:rPr>
          <w:rFonts w:cs="Arial"/>
          <w:sz w:val="20"/>
        </w:rPr>
      </w:pPr>
    </w:p>
    <w:p w14:paraId="5C725A4F"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5594" w:name="_Toc448998300"/>
      <w:bookmarkStart w:id="5595" w:name="_Toc422150796"/>
      <w:bookmarkStart w:id="5596" w:name="_Toc421874381"/>
      <w:bookmarkStart w:id="5597" w:name="_Toc420594901"/>
      <w:bookmarkStart w:id="5598" w:name="_Toc398214922"/>
      <w:bookmarkStart w:id="5599" w:name="_Toc375158338"/>
      <w:bookmarkStart w:id="5600" w:name="_Toc368932347"/>
      <w:bookmarkStart w:id="5601" w:name="_Ref367979274"/>
      <w:bookmarkStart w:id="5602" w:name="_Ref367979264"/>
      <w:bookmarkStart w:id="5603" w:name="_Toc486332918"/>
      <w:bookmarkStart w:id="5604" w:name="_Toc1977433"/>
      <w:bookmarkStart w:id="5605" w:name="_Toc37062592"/>
      <w:bookmarkStart w:id="5606" w:name="_Toc88839666"/>
      <w:bookmarkStart w:id="5607" w:name="_Toc121504074"/>
      <w:r>
        <w:rPr>
          <w:rFonts w:eastAsia="Times New Roman" w:cs="Arial"/>
          <w:b/>
          <w:bCs/>
          <w:iCs/>
          <w:sz w:val="24"/>
          <w:szCs w:val="26"/>
          <w:lang w:eastAsia="en-US"/>
        </w:rPr>
        <w:t>Authenticate SM-SR</w:t>
      </w:r>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14:paraId="29FF65C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AuthenticateSMSR</w:t>
      </w:r>
    </w:p>
    <w:p w14:paraId="45EFB43E"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SM-SR Change</w:t>
      </w:r>
    </w:p>
    <w:p w14:paraId="17E2968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eUICC Management</w:t>
      </w:r>
    </w:p>
    <w:p w14:paraId="6AB5710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4DBD743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This function is used to authenticate the new SM-SR to the eUICC identified by the EID. The function will return the random challenge generated by the eUICC to be used to create the signature for the second step in the SM-SR key establishment procedure.  </w:t>
      </w:r>
    </w:p>
    <w:p w14:paraId="7820C3B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C020E5E"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‘Executed- Success’ indicating that the AuthenticateSMSR function has been successfully executed by the SM-SR as requested by the function caller. </w:t>
      </w:r>
    </w:p>
    <w:p w14:paraId="15EDE46C" w14:textId="2586911A"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with ‘Expired’ with a status code as defined in section </w:t>
      </w:r>
      <w:r>
        <w:fldChar w:fldCharType="begin"/>
      </w:r>
      <w:r>
        <w:instrText xml:space="preserve"> REF _Ref367975584 \r \h  \* MERGEFORMAT </w:instrText>
      </w:r>
      <w:r>
        <w:fldChar w:fldCharType="separate"/>
      </w:r>
      <w:r w:rsidR="001D5AD9" w:rsidRPr="001D5AD9">
        <w:rPr>
          <w:szCs w:val="22"/>
          <w:lang w:eastAsia="en-GB" w:bidi="ar-SA"/>
        </w:rPr>
        <w:t>5.1.6.4</w:t>
      </w:r>
      <w:r>
        <w:fldChar w:fldCharType="end"/>
      </w:r>
    </w:p>
    <w:p w14:paraId="6260C685" w14:textId="6A3C29B3"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_Ref367975591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below.</w:t>
      </w:r>
    </w:p>
    <w:p w14:paraId="35ACBA81" w14:textId="77777777" w:rsidR="00B97365" w:rsidRDefault="00B97365">
      <w:pPr>
        <w:tabs>
          <w:tab w:val="left" w:pos="680"/>
        </w:tabs>
        <w:spacing w:before="0" w:after="200" w:line="276" w:lineRule="auto"/>
        <w:contextualSpacing/>
        <w:jc w:val="left"/>
        <w:rPr>
          <w:rFonts w:cs="Arial"/>
          <w:szCs w:val="22"/>
          <w:lang w:eastAsia="en-GB" w:bidi="ar-SA"/>
        </w:rPr>
      </w:pPr>
    </w:p>
    <w:p w14:paraId="3E7BA6B4" w14:textId="77777777" w:rsidR="00B97365" w:rsidRDefault="00000000">
      <w:pPr>
        <w:spacing w:before="0" w:after="200" w:line="276" w:lineRule="auto"/>
        <w:jc w:val="left"/>
        <w:rPr>
          <w:b/>
          <w:i/>
          <w:szCs w:val="22"/>
          <w:lang w:val="en-US" w:eastAsia="en-GB" w:bidi="ar-SA"/>
        </w:rPr>
      </w:pPr>
      <w:bookmarkStart w:id="5608" w:name="_Toc420594902"/>
      <w:r>
        <w:rPr>
          <w:rFonts w:cs="Arial"/>
          <w:b/>
          <w:i/>
          <w:szCs w:val="22"/>
          <w:lang w:val="en-US" w:eastAsia="en-GB" w:bidi="ar-SA"/>
        </w:rPr>
        <w:t>Additional input data:</w:t>
      </w:r>
      <w:bookmarkEnd w:id="560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67"/>
        <w:gridCol w:w="3317"/>
        <w:gridCol w:w="550"/>
        <w:gridCol w:w="398"/>
        <w:gridCol w:w="514"/>
      </w:tblGrid>
      <w:tr w:rsidR="00B97365" w14:paraId="0ADEA43B"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8B717F1" w14:textId="77777777" w:rsidR="00B97365" w:rsidRDefault="00000000">
            <w:pPr>
              <w:spacing w:after="200" w:line="276" w:lineRule="auto"/>
              <w:jc w:val="center"/>
              <w:rPr>
                <w:rFonts w:cs="Arial"/>
                <w:b/>
                <w:color w:val="FFFFFF"/>
                <w:sz w:val="16"/>
                <w:szCs w:val="16"/>
                <w:lang w:eastAsia="en-GB" w:bidi="ar-SA"/>
              </w:rPr>
            </w:pPr>
            <w:r>
              <w:rPr>
                <w:rFonts w:cs="Arial"/>
                <w:b/>
                <w:color w:val="FFFFFF"/>
                <w:sz w:val="16"/>
                <w:szCs w:val="16"/>
                <w:lang w:eastAsia="en-GB" w:bidi="ar-SA"/>
              </w:rPr>
              <w:lastRenderedPageBreak/>
              <w:t>Input data name</w:t>
            </w:r>
          </w:p>
        </w:tc>
        <w:tc>
          <w:tcPr>
            <w:tcW w:w="331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31E3625"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90FE8C2"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261209C"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32CDB1D"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MOC</w:t>
            </w:r>
          </w:p>
        </w:tc>
      </w:tr>
      <w:tr w:rsidR="00B97365" w14:paraId="599DBAF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A4F23DB" w14:textId="77777777" w:rsidR="00B97365" w:rsidRDefault="00000000">
            <w:pPr>
              <w:spacing w:after="200" w:line="276" w:lineRule="auto"/>
              <w:rPr>
                <w:rFonts w:cs="Arial"/>
                <w:sz w:val="16"/>
                <w:szCs w:val="16"/>
                <w:lang w:eastAsia="en-GB" w:bidi="ar-SA"/>
              </w:rPr>
            </w:pPr>
            <w:r>
              <w:rPr>
                <w:rFonts w:cs="Arial"/>
                <w:sz w:val="16"/>
                <w:szCs w:val="16"/>
                <w:lang w:eastAsia="en-GB" w:bidi="ar-SA"/>
              </w:rPr>
              <w:t>eid</w:t>
            </w:r>
          </w:p>
        </w:tc>
        <w:tc>
          <w:tcPr>
            <w:tcW w:w="3317" w:type="dxa"/>
            <w:tcBorders>
              <w:top w:val="single" w:sz="6" w:space="0" w:color="auto"/>
              <w:left w:val="single" w:sz="6" w:space="0" w:color="auto"/>
              <w:bottom w:val="single" w:sz="6" w:space="0" w:color="auto"/>
              <w:right w:val="single" w:sz="6" w:space="0" w:color="auto"/>
            </w:tcBorders>
            <w:vAlign w:val="center"/>
            <w:hideMark/>
          </w:tcPr>
          <w:p w14:paraId="691F59C7"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Identification of the targeted eUICC.</w:t>
            </w:r>
          </w:p>
          <w:p w14:paraId="72C42399" w14:textId="49C87EFB" w:rsidR="00B97365" w:rsidRDefault="00000000">
            <w:pPr>
              <w:spacing w:after="200" w:line="276" w:lineRule="auto"/>
              <w:rPr>
                <w:rFonts w:cs="Arial"/>
                <w:sz w:val="16"/>
                <w:szCs w:val="16"/>
                <w:lang w:val="en-US" w:eastAsia="en-GB" w:bidi="ar-SA"/>
              </w:rPr>
            </w:pPr>
            <w:r>
              <w:rPr>
                <w:rFonts w:cs="Arial"/>
                <w:sz w:val="16"/>
                <w:szCs w:val="16"/>
                <w:lang w:val="en-US" w:eastAsia="en-GB" w:bidi="ar-SA"/>
              </w:rPr>
              <w:t xml:space="preserve">See section </w:t>
            </w:r>
            <w:r>
              <w:fldChar w:fldCharType="begin"/>
            </w:r>
            <w:r>
              <w:instrText xml:space="preserve"> REF _Ref367975601 \r \h  \* MERGEFORMAT </w:instrText>
            </w:r>
            <w:r>
              <w:fldChar w:fldCharType="separate"/>
            </w:r>
            <w:r w:rsidR="001D5AD9" w:rsidRPr="001D5AD9">
              <w:rPr>
                <w:rFonts w:cs="Arial"/>
                <w:sz w:val="16"/>
                <w:szCs w:val="16"/>
                <w:lang w:val="en-US" w:eastAsia="en-GB" w:bidi="ar-SA"/>
              </w:rPr>
              <w:t>5.1.1.1</w:t>
            </w:r>
            <w:r>
              <w:fldChar w:fldCharType="end"/>
            </w:r>
            <w:r>
              <w:rPr>
                <w:rFonts w:cs="Arial"/>
                <w:sz w:val="16"/>
                <w:szCs w:val="16"/>
                <w:lang w:val="en-US" w:eastAsia="en-GB" w:bidi="ar-SA"/>
              </w:rPr>
              <w:t xml:space="preserve"> for type 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9968B88"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EID</w:t>
            </w:r>
          </w:p>
        </w:tc>
        <w:tc>
          <w:tcPr>
            <w:tcW w:w="0" w:type="auto"/>
            <w:tcBorders>
              <w:top w:val="single" w:sz="6" w:space="0" w:color="auto"/>
              <w:left w:val="single" w:sz="6" w:space="0" w:color="auto"/>
              <w:bottom w:val="single" w:sz="6" w:space="0" w:color="auto"/>
              <w:right w:val="single" w:sz="6" w:space="0" w:color="auto"/>
            </w:tcBorders>
            <w:vAlign w:val="center"/>
            <w:hideMark/>
          </w:tcPr>
          <w:p w14:paraId="4F73D06C"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1</w:t>
            </w:r>
          </w:p>
        </w:tc>
        <w:tc>
          <w:tcPr>
            <w:tcW w:w="0" w:type="auto"/>
            <w:tcBorders>
              <w:top w:val="single" w:sz="6" w:space="0" w:color="auto"/>
              <w:left w:val="single" w:sz="6" w:space="0" w:color="auto"/>
              <w:bottom w:val="single" w:sz="6" w:space="0" w:color="auto"/>
              <w:right w:val="single" w:sz="4" w:space="0" w:color="auto"/>
            </w:tcBorders>
            <w:vAlign w:val="center"/>
            <w:hideMark/>
          </w:tcPr>
          <w:p w14:paraId="290FAE48"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M</w:t>
            </w:r>
          </w:p>
        </w:tc>
      </w:tr>
      <w:tr w:rsidR="00B97365" w14:paraId="5D4F1A2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131AD2DA" w14:textId="77777777" w:rsidR="00B97365" w:rsidRDefault="00000000">
            <w:pPr>
              <w:spacing w:after="200" w:line="276" w:lineRule="auto"/>
              <w:rPr>
                <w:rFonts w:cs="Arial"/>
                <w:sz w:val="16"/>
                <w:szCs w:val="16"/>
                <w:lang w:eastAsia="en-GB" w:bidi="ar-SA"/>
              </w:rPr>
            </w:pPr>
            <w:r>
              <w:rPr>
                <w:rFonts w:cs="Arial"/>
                <w:sz w:val="16"/>
                <w:szCs w:val="16"/>
                <w:lang w:eastAsia="en-GB" w:bidi="ar-SA"/>
              </w:rPr>
              <w:t>smsrCertificate</w:t>
            </w:r>
          </w:p>
        </w:tc>
        <w:tc>
          <w:tcPr>
            <w:tcW w:w="3317" w:type="dxa"/>
            <w:tcBorders>
              <w:top w:val="single" w:sz="6" w:space="0" w:color="auto"/>
              <w:left w:val="single" w:sz="6" w:space="0" w:color="auto"/>
              <w:bottom w:val="single" w:sz="4" w:space="0" w:color="auto"/>
              <w:right w:val="single" w:sz="6" w:space="0" w:color="auto"/>
            </w:tcBorders>
            <w:vAlign w:val="center"/>
            <w:hideMark/>
          </w:tcPr>
          <w:p w14:paraId="0717BA5C"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SM-SR Certificate.</w:t>
            </w:r>
          </w:p>
          <w:p w14:paraId="345501A3" w14:textId="6E5B8DE9"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 xml:space="preserve">The format of this field is a byte array which content corresponds to the full content of tag '7F21' (including the two '7F21' bytes)  defined in </w:t>
            </w:r>
            <w:r>
              <w:fldChar w:fldCharType="begin"/>
            </w:r>
            <w:r>
              <w:rPr>
                <w:rFonts w:cs="Arial"/>
                <w:sz w:val="16"/>
                <w:szCs w:val="16"/>
                <w:lang w:val="en-US" w:eastAsia="en-GB" w:bidi="ar-SA"/>
              </w:rPr>
              <w:instrText xml:space="preserve"> REF _Ref373942738 \r \h </w:instrText>
            </w:r>
            <w:r>
              <w:fldChar w:fldCharType="separate"/>
            </w:r>
            <w:r w:rsidR="001D5AD9">
              <w:rPr>
                <w:rFonts w:cs="Arial"/>
                <w:sz w:val="16"/>
                <w:szCs w:val="16"/>
                <w:lang w:val="en-US" w:eastAsia="en-GB" w:bidi="ar-SA"/>
              </w:rPr>
              <w:t>Table 39</w:t>
            </w:r>
            <w:r>
              <w:fldChar w:fldCharType="end"/>
            </w:r>
            <w:r>
              <w:rPr>
                <w:rFonts w:cs="Arial"/>
                <w:sz w:val="16"/>
                <w:szCs w:val="16"/>
                <w:lang w:val="en-US" w:eastAsia="en-GB" w:bidi="ar-SA"/>
              </w:rPr>
              <w:br/>
              <w:t xml:space="preserve"> </w:t>
            </w:r>
          </w:p>
        </w:tc>
        <w:tc>
          <w:tcPr>
            <w:tcW w:w="0" w:type="auto"/>
            <w:tcBorders>
              <w:top w:val="single" w:sz="6" w:space="0" w:color="auto"/>
              <w:left w:val="single" w:sz="6" w:space="0" w:color="auto"/>
              <w:bottom w:val="single" w:sz="4" w:space="0" w:color="auto"/>
              <w:right w:val="single" w:sz="6" w:space="0" w:color="auto"/>
            </w:tcBorders>
            <w:vAlign w:val="center"/>
            <w:hideMark/>
          </w:tcPr>
          <w:p w14:paraId="3C2C961E"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Byte[]</w:t>
            </w:r>
          </w:p>
        </w:tc>
        <w:tc>
          <w:tcPr>
            <w:tcW w:w="0" w:type="auto"/>
            <w:tcBorders>
              <w:top w:val="single" w:sz="6" w:space="0" w:color="auto"/>
              <w:left w:val="single" w:sz="6" w:space="0" w:color="auto"/>
              <w:bottom w:val="single" w:sz="4" w:space="0" w:color="auto"/>
              <w:right w:val="single" w:sz="6" w:space="0" w:color="auto"/>
            </w:tcBorders>
            <w:vAlign w:val="center"/>
            <w:hideMark/>
          </w:tcPr>
          <w:p w14:paraId="1587D6D1"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1748C235"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M</w:t>
            </w:r>
          </w:p>
        </w:tc>
      </w:tr>
    </w:tbl>
    <w:p w14:paraId="3EAB657F"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Authenticate SM-SR Additional Input Data</w:t>
      </w:r>
    </w:p>
    <w:p w14:paraId="5061815E" w14:textId="77777777" w:rsidR="00B97365" w:rsidRDefault="00000000">
      <w:pPr>
        <w:spacing w:before="0" w:after="200" w:line="276" w:lineRule="auto"/>
        <w:jc w:val="left"/>
        <w:rPr>
          <w:b/>
          <w:i/>
          <w:szCs w:val="22"/>
          <w:lang w:val="en-US" w:eastAsia="en-GB" w:bidi="ar-SA"/>
        </w:rPr>
      </w:pPr>
      <w:bookmarkStart w:id="5609" w:name="_Toc420594903"/>
      <w:r>
        <w:rPr>
          <w:rFonts w:cs="Arial"/>
          <w:b/>
          <w:i/>
          <w:szCs w:val="22"/>
          <w:lang w:val="en-US" w:eastAsia="en-GB" w:bidi="ar-SA"/>
        </w:rPr>
        <w:t>Additional output data:</w:t>
      </w:r>
      <w:bookmarkEnd w:id="560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01"/>
        <w:gridCol w:w="1348"/>
        <w:gridCol w:w="550"/>
        <w:gridCol w:w="398"/>
        <w:gridCol w:w="514"/>
      </w:tblGrid>
      <w:tr w:rsidR="00B97365" w14:paraId="649B1E5C"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7ACD0E2" w14:textId="77777777" w:rsidR="00B97365" w:rsidRDefault="00000000">
            <w:pPr>
              <w:spacing w:after="200" w:line="276" w:lineRule="auto"/>
              <w:jc w:val="center"/>
              <w:rPr>
                <w:rFonts w:cs="Arial"/>
                <w:b/>
                <w:color w:val="FFFFFF"/>
                <w:sz w:val="16"/>
                <w:szCs w:val="16"/>
                <w:lang w:eastAsia="en-GB" w:bidi="ar-SA"/>
              </w:rPr>
            </w:pPr>
            <w:r>
              <w:rPr>
                <w:rFonts w:cs="Arial"/>
                <w:b/>
                <w:color w:val="FFFFFF"/>
                <w:sz w:val="16"/>
                <w:szCs w:val="16"/>
                <w:lang w:eastAsia="en-GB" w:bidi="ar-SA"/>
              </w:rPr>
              <w:t>Output data name</w:t>
            </w:r>
          </w:p>
        </w:tc>
        <w:tc>
          <w:tcPr>
            <w:tcW w:w="134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BD650DB"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7E8CAD4"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8BA2F16"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9AD336F"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MOC</w:t>
            </w:r>
          </w:p>
        </w:tc>
      </w:tr>
      <w:tr w:rsidR="00B97365" w14:paraId="14C6EF7E"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2DE8A4FC"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randomChallenge</w:t>
            </w:r>
          </w:p>
        </w:tc>
        <w:tc>
          <w:tcPr>
            <w:tcW w:w="1348" w:type="dxa"/>
            <w:tcBorders>
              <w:top w:val="single" w:sz="6" w:space="0" w:color="auto"/>
              <w:left w:val="single" w:sz="6" w:space="0" w:color="auto"/>
              <w:bottom w:val="single" w:sz="4" w:space="0" w:color="auto"/>
              <w:right w:val="single" w:sz="6" w:space="0" w:color="auto"/>
            </w:tcBorders>
            <w:vAlign w:val="center"/>
            <w:hideMark/>
          </w:tcPr>
          <w:p w14:paraId="510E3129"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The random challenge</w:t>
            </w:r>
          </w:p>
        </w:tc>
        <w:tc>
          <w:tcPr>
            <w:tcW w:w="0" w:type="auto"/>
            <w:tcBorders>
              <w:top w:val="single" w:sz="6" w:space="0" w:color="auto"/>
              <w:left w:val="single" w:sz="6" w:space="0" w:color="auto"/>
              <w:bottom w:val="single" w:sz="4" w:space="0" w:color="auto"/>
              <w:right w:val="single" w:sz="6" w:space="0" w:color="auto"/>
            </w:tcBorders>
            <w:vAlign w:val="center"/>
            <w:hideMark/>
          </w:tcPr>
          <w:p w14:paraId="2880D507"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Byte[]</w:t>
            </w:r>
          </w:p>
        </w:tc>
        <w:tc>
          <w:tcPr>
            <w:tcW w:w="0" w:type="auto"/>
            <w:tcBorders>
              <w:top w:val="single" w:sz="6" w:space="0" w:color="auto"/>
              <w:left w:val="single" w:sz="6" w:space="0" w:color="auto"/>
              <w:bottom w:val="single" w:sz="4" w:space="0" w:color="auto"/>
              <w:right w:val="single" w:sz="6" w:space="0" w:color="auto"/>
            </w:tcBorders>
            <w:vAlign w:val="center"/>
            <w:hideMark/>
          </w:tcPr>
          <w:p w14:paraId="71792CEE"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1</w:t>
            </w:r>
          </w:p>
        </w:tc>
        <w:tc>
          <w:tcPr>
            <w:tcW w:w="0" w:type="auto"/>
            <w:tcBorders>
              <w:top w:val="single" w:sz="6" w:space="0" w:color="auto"/>
              <w:left w:val="single" w:sz="6" w:space="0" w:color="auto"/>
              <w:bottom w:val="single" w:sz="4" w:space="0" w:color="auto"/>
              <w:right w:val="single" w:sz="4" w:space="0" w:color="auto"/>
            </w:tcBorders>
            <w:vAlign w:val="center"/>
            <w:hideMark/>
          </w:tcPr>
          <w:p w14:paraId="50BD99ED" w14:textId="77777777" w:rsidR="00B97365" w:rsidRDefault="00000000">
            <w:pPr>
              <w:spacing w:before="0" w:after="200" w:line="276" w:lineRule="auto"/>
              <w:jc w:val="center"/>
              <w:rPr>
                <w:rFonts w:cs="Arial"/>
                <w:sz w:val="16"/>
                <w:szCs w:val="16"/>
                <w:lang w:val="en-US" w:eastAsia="en-GB" w:bidi="ar-SA"/>
              </w:rPr>
            </w:pPr>
            <w:r>
              <w:rPr>
                <w:rFonts w:cs="Arial"/>
                <w:sz w:val="16"/>
                <w:szCs w:val="16"/>
                <w:lang w:val="en-US" w:eastAsia="en-GB" w:bidi="ar-SA"/>
              </w:rPr>
              <w:t>M</w:t>
            </w:r>
          </w:p>
        </w:tc>
      </w:tr>
    </w:tbl>
    <w:p w14:paraId="2EDE78CF"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Authenticate SM-SR Additional Output Data</w:t>
      </w:r>
    </w:p>
    <w:p w14:paraId="27CD7458" w14:textId="77777777" w:rsidR="00B97365" w:rsidRDefault="00000000">
      <w:pPr>
        <w:tabs>
          <w:tab w:val="left" w:pos="1560"/>
        </w:tabs>
        <w:spacing w:before="0" w:after="200" w:line="276" w:lineRule="auto"/>
        <w:ind w:left="1559" w:hanging="1202"/>
        <w:jc w:val="left"/>
        <w:rPr>
          <w:szCs w:val="22"/>
          <w:lang w:val="en-US" w:eastAsia="en-GB" w:bidi="ar-SA"/>
        </w:rPr>
      </w:pPr>
      <w:bookmarkStart w:id="5610" w:name="_Toc420594904"/>
      <w:r>
        <w:rPr>
          <w:szCs w:val="22"/>
          <w:lang w:val="en-US" w:eastAsia="en-GB" w:bidi="ar-SA"/>
        </w:rPr>
        <w:t>NOTE:</w:t>
      </w:r>
      <w:r>
        <w:rPr>
          <w:szCs w:val="22"/>
          <w:lang w:val="en-US" w:eastAsia="en-GB" w:bidi="ar-SA"/>
        </w:rPr>
        <w:tab/>
      </w:r>
      <w:r>
        <w:rPr>
          <w:szCs w:val="22"/>
          <w:lang w:val="en-US" w:eastAsia="en-GB" w:bidi="ar-SA"/>
        </w:rPr>
        <w:tab/>
        <w:t>To avoid subliminal channel attacks, in case the execution Status is Failed or Expired, the SM-SR SHOULD return an empty hexadecimal strings as Random Challenge.</w:t>
      </w:r>
    </w:p>
    <w:p w14:paraId="0FF510F7"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bookmarkEnd w:id="5610"/>
    </w:p>
    <w:tbl>
      <w:tblPr>
        <w:tblW w:w="952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04"/>
        <w:gridCol w:w="1341"/>
        <w:gridCol w:w="958"/>
        <w:gridCol w:w="1374"/>
        <w:gridCol w:w="4449"/>
      </w:tblGrid>
      <w:tr w:rsidR="00B97365" w14:paraId="3024AEF2" w14:textId="77777777">
        <w:trPr>
          <w:trHeight w:val="342"/>
          <w:jc w:val="center"/>
        </w:trPr>
        <w:tc>
          <w:tcPr>
            <w:tcW w:w="1404"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79881A9" w14:textId="77777777" w:rsidR="00B97365" w:rsidRDefault="00000000">
            <w:pPr>
              <w:spacing w:after="200" w:line="276" w:lineRule="auto"/>
              <w:jc w:val="center"/>
              <w:rPr>
                <w:rFonts w:cs="Arial"/>
                <w:b/>
                <w:color w:val="FFFFFF"/>
                <w:sz w:val="16"/>
                <w:szCs w:val="16"/>
                <w:lang w:eastAsia="en-GB" w:bidi="ar-SA"/>
              </w:rPr>
            </w:pPr>
            <w:r>
              <w:rPr>
                <w:rFonts w:cs="Arial"/>
                <w:b/>
                <w:color w:val="FFFFFF"/>
                <w:sz w:val="16"/>
                <w:szCs w:val="16"/>
                <w:lang w:eastAsia="en-GB" w:bidi="ar-SA"/>
              </w:rPr>
              <w:t>Subject</w:t>
            </w:r>
          </w:p>
          <w:p w14:paraId="40B3177F" w14:textId="77777777" w:rsidR="00B97365" w:rsidRDefault="00000000">
            <w:pPr>
              <w:spacing w:after="200" w:line="276" w:lineRule="auto"/>
              <w:jc w:val="center"/>
              <w:rPr>
                <w:rFonts w:cs="Arial"/>
                <w:b/>
                <w:color w:val="FFFFFF"/>
                <w:sz w:val="16"/>
                <w:szCs w:val="16"/>
                <w:lang w:eastAsia="en-GB" w:bidi="ar-SA"/>
              </w:rPr>
            </w:pPr>
            <w:r>
              <w:rPr>
                <w:rFonts w:cs="Arial"/>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1993A94"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Subject</w:t>
            </w:r>
          </w:p>
        </w:tc>
        <w:tc>
          <w:tcPr>
            <w:tcW w:w="95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E6918A1"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Reason</w:t>
            </w:r>
          </w:p>
          <w:p w14:paraId="00E2C2AA" w14:textId="77777777" w:rsidR="00B97365" w:rsidRDefault="00000000">
            <w:pPr>
              <w:spacing w:after="200" w:line="276" w:lineRule="auto"/>
              <w:jc w:val="center"/>
              <w:rPr>
                <w:rFonts w:cs="Arial"/>
                <w:b/>
                <w:color w:val="FFFFFF"/>
                <w:sz w:val="16"/>
                <w:szCs w:val="16"/>
                <w:lang w:eastAsia="en-GB" w:bidi="ar-SA"/>
              </w:rPr>
            </w:pPr>
            <w:r>
              <w:rPr>
                <w:rFonts w:cs="Arial"/>
                <w:b/>
                <w:color w:val="FFFFFF"/>
                <w:sz w:val="16"/>
                <w:szCs w:val="16"/>
                <w:lang w:eastAsia="en-GB" w:bidi="ar-SA"/>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652B5FF"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E1CC0FD"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Description</w:t>
            </w:r>
          </w:p>
        </w:tc>
      </w:tr>
      <w:tr w:rsidR="00B97365" w14:paraId="3BE42A62" w14:textId="77777777">
        <w:trPr>
          <w:trHeight w:val="282"/>
          <w:jc w:val="center"/>
        </w:trPr>
        <w:tc>
          <w:tcPr>
            <w:tcW w:w="1404" w:type="dxa"/>
            <w:tcBorders>
              <w:top w:val="single" w:sz="6" w:space="0" w:color="auto"/>
              <w:left w:val="single" w:sz="4" w:space="0" w:color="auto"/>
              <w:bottom w:val="single" w:sz="6" w:space="0" w:color="auto"/>
              <w:right w:val="single" w:sz="6" w:space="0" w:color="auto"/>
            </w:tcBorders>
            <w:vAlign w:val="center"/>
            <w:hideMark/>
          </w:tcPr>
          <w:p w14:paraId="0A5853E8" w14:textId="77777777" w:rsidR="00B97365" w:rsidRDefault="00000000">
            <w:pPr>
              <w:spacing w:after="200" w:line="276" w:lineRule="auto"/>
              <w:rPr>
                <w:rFonts w:cs="Arial"/>
                <w:sz w:val="16"/>
                <w:szCs w:val="16"/>
                <w:lang w:eastAsia="en-GB" w:bidi="ar-SA"/>
              </w:rPr>
            </w:pPr>
            <w:r>
              <w:rPr>
                <w:rFonts w:cs="Arial"/>
                <w:sz w:val="16"/>
                <w:szCs w:val="16"/>
                <w:lang w:eastAsia="en-GB" w:bidi="ar-SA"/>
              </w:rPr>
              <w:t>8.1.1</w:t>
            </w:r>
          </w:p>
        </w:tc>
        <w:tc>
          <w:tcPr>
            <w:tcW w:w="0" w:type="auto"/>
            <w:tcBorders>
              <w:top w:val="single" w:sz="6" w:space="0" w:color="auto"/>
              <w:left w:val="single" w:sz="6" w:space="0" w:color="auto"/>
              <w:bottom w:val="single" w:sz="6" w:space="0" w:color="auto"/>
              <w:right w:val="single" w:sz="6" w:space="0" w:color="auto"/>
            </w:tcBorders>
            <w:vAlign w:val="center"/>
            <w:hideMark/>
          </w:tcPr>
          <w:p w14:paraId="7997A486"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EID</w:t>
            </w:r>
          </w:p>
        </w:tc>
        <w:tc>
          <w:tcPr>
            <w:tcW w:w="958" w:type="dxa"/>
            <w:tcBorders>
              <w:top w:val="single" w:sz="6" w:space="0" w:color="auto"/>
              <w:left w:val="single" w:sz="6" w:space="0" w:color="auto"/>
              <w:bottom w:val="single" w:sz="6" w:space="0" w:color="auto"/>
              <w:right w:val="single" w:sz="6" w:space="0" w:color="auto"/>
            </w:tcBorders>
            <w:vAlign w:val="center"/>
            <w:hideMark/>
          </w:tcPr>
          <w:p w14:paraId="498FA031"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260146DA"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Unknown</w:t>
            </w:r>
          </w:p>
        </w:tc>
        <w:tc>
          <w:tcPr>
            <w:tcW w:w="0" w:type="auto"/>
            <w:tcBorders>
              <w:top w:val="single" w:sz="6" w:space="0" w:color="auto"/>
              <w:left w:val="single" w:sz="6" w:space="0" w:color="auto"/>
              <w:bottom w:val="single" w:sz="6" w:space="0" w:color="auto"/>
              <w:right w:val="single" w:sz="4" w:space="0" w:color="auto"/>
            </w:tcBorders>
            <w:vAlign w:val="center"/>
            <w:hideMark/>
          </w:tcPr>
          <w:p w14:paraId="1A07E4E0"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Indicates that the EID, is unknown to the function provider</w:t>
            </w:r>
          </w:p>
        </w:tc>
      </w:tr>
      <w:tr w:rsidR="00B97365" w14:paraId="7B87198C" w14:textId="77777777">
        <w:trPr>
          <w:trHeight w:val="282"/>
          <w:jc w:val="center"/>
        </w:trPr>
        <w:tc>
          <w:tcPr>
            <w:tcW w:w="1404" w:type="dxa"/>
            <w:tcBorders>
              <w:top w:val="single" w:sz="6" w:space="0" w:color="auto"/>
              <w:left w:val="single" w:sz="4" w:space="0" w:color="auto"/>
              <w:bottom w:val="single" w:sz="6" w:space="0" w:color="auto"/>
              <w:right w:val="single" w:sz="6" w:space="0" w:color="auto"/>
            </w:tcBorders>
            <w:vAlign w:val="center"/>
            <w:hideMark/>
          </w:tcPr>
          <w:p w14:paraId="3B3AD69B" w14:textId="77777777" w:rsidR="00B97365" w:rsidRDefault="00000000">
            <w:pPr>
              <w:spacing w:after="200" w:line="276" w:lineRule="auto"/>
              <w:rPr>
                <w:rFonts w:cs="Arial"/>
                <w:sz w:val="16"/>
                <w:szCs w:val="16"/>
                <w:lang w:eastAsia="en-GB" w:bidi="ar-SA"/>
              </w:rPr>
            </w:pPr>
            <w:r>
              <w:rPr>
                <w:rFonts w:cs="Arial"/>
                <w:sz w:val="16"/>
                <w:szCs w:val="16"/>
                <w:lang w:eastAsia="en-GB" w:bidi="ar-SA"/>
              </w:rPr>
              <w:t>8.4</w:t>
            </w:r>
          </w:p>
        </w:tc>
        <w:tc>
          <w:tcPr>
            <w:tcW w:w="0" w:type="auto"/>
            <w:tcBorders>
              <w:top w:val="single" w:sz="6" w:space="0" w:color="auto"/>
              <w:left w:val="single" w:sz="6" w:space="0" w:color="auto"/>
              <w:bottom w:val="single" w:sz="6" w:space="0" w:color="auto"/>
              <w:right w:val="single" w:sz="6" w:space="0" w:color="auto"/>
            </w:tcBorders>
            <w:vAlign w:val="center"/>
            <w:hideMark/>
          </w:tcPr>
          <w:p w14:paraId="5B47CC74"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ISD-R</w:t>
            </w:r>
          </w:p>
        </w:tc>
        <w:tc>
          <w:tcPr>
            <w:tcW w:w="958" w:type="dxa"/>
            <w:tcBorders>
              <w:top w:val="single" w:sz="6" w:space="0" w:color="auto"/>
              <w:left w:val="single" w:sz="6" w:space="0" w:color="auto"/>
              <w:bottom w:val="single" w:sz="6" w:space="0" w:color="auto"/>
              <w:right w:val="single" w:sz="6" w:space="0" w:color="auto"/>
            </w:tcBorders>
            <w:vAlign w:val="center"/>
            <w:hideMark/>
          </w:tcPr>
          <w:p w14:paraId="6C7B574E"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4.2</w:t>
            </w:r>
          </w:p>
        </w:tc>
        <w:tc>
          <w:tcPr>
            <w:tcW w:w="0" w:type="auto"/>
            <w:tcBorders>
              <w:top w:val="single" w:sz="6" w:space="0" w:color="auto"/>
              <w:left w:val="single" w:sz="6" w:space="0" w:color="auto"/>
              <w:bottom w:val="single" w:sz="6" w:space="0" w:color="auto"/>
              <w:right w:val="single" w:sz="6" w:space="0" w:color="auto"/>
            </w:tcBorders>
            <w:vAlign w:val="center"/>
            <w:hideMark/>
          </w:tcPr>
          <w:p w14:paraId="52D12B05"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Execution error</w:t>
            </w:r>
          </w:p>
        </w:tc>
        <w:tc>
          <w:tcPr>
            <w:tcW w:w="0" w:type="auto"/>
            <w:tcBorders>
              <w:top w:val="single" w:sz="6" w:space="0" w:color="auto"/>
              <w:left w:val="single" w:sz="6" w:space="0" w:color="auto"/>
              <w:bottom w:val="single" w:sz="6" w:space="0" w:color="auto"/>
              <w:right w:val="single" w:sz="4" w:space="0" w:color="auto"/>
            </w:tcBorders>
            <w:vAlign w:val="center"/>
            <w:hideMark/>
          </w:tcPr>
          <w:p w14:paraId="3D6C3702"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Error during the creation of the Random Challenge at the ISD-R level</w:t>
            </w:r>
          </w:p>
        </w:tc>
      </w:tr>
      <w:tr w:rsidR="00B97365" w14:paraId="1894A640" w14:textId="77777777">
        <w:trPr>
          <w:trHeight w:val="282"/>
          <w:jc w:val="center"/>
        </w:trPr>
        <w:tc>
          <w:tcPr>
            <w:tcW w:w="1404" w:type="dxa"/>
            <w:tcBorders>
              <w:top w:val="single" w:sz="6" w:space="0" w:color="auto"/>
              <w:left w:val="single" w:sz="4" w:space="0" w:color="auto"/>
              <w:bottom w:val="single" w:sz="6" w:space="0" w:color="auto"/>
              <w:right w:val="single" w:sz="6" w:space="0" w:color="auto"/>
            </w:tcBorders>
            <w:vAlign w:val="center"/>
            <w:hideMark/>
          </w:tcPr>
          <w:p w14:paraId="08EBF730" w14:textId="77777777" w:rsidR="00B97365" w:rsidRDefault="00000000">
            <w:pPr>
              <w:spacing w:after="200" w:line="276" w:lineRule="auto"/>
              <w:rPr>
                <w:rFonts w:cs="Arial"/>
                <w:sz w:val="16"/>
                <w:szCs w:val="16"/>
                <w:lang w:eastAsia="en-GB" w:bidi="ar-SA"/>
              </w:rPr>
            </w:pPr>
            <w:r>
              <w:rPr>
                <w:rFonts w:cs="Arial"/>
                <w:sz w:val="16"/>
                <w:szCs w:val="16"/>
                <w:lang w:eastAsia="en-GB" w:bidi="ar-SA"/>
              </w:rPr>
              <w:t>8.7.1</w:t>
            </w:r>
          </w:p>
        </w:tc>
        <w:tc>
          <w:tcPr>
            <w:tcW w:w="0" w:type="auto"/>
            <w:tcBorders>
              <w:top w:val="single" w:sz="6" w:space="0" w:color="auto"/>
              <w:left w:val="single" w:sz="6" w:space="0" w:color="auto"/>
              <w:bottom w:val="single" w:sz="6" w:space="0" w:color="auto"/>
              <w:right w:val="single" w:sz="6" w:space="0" w:color="auto"/>
            </w:tcBorders>
            <w:vAlign w:val="center"/>
            <w:hideMark/>
          </w:tcPr>
          <w:p w14:paraId="5F76B27E"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SM-SR Certificate</w:t>
            </w:r>
          </w:p>
        </w:tc>
        <w:tc>
          <w:tcPr>
            <w:tcW w:w="958" w:type="dxa"/>
            <w:tcBorders>
              <w:top w:val="single" w:sz="6" w:space="0" w:color="auto"/>
              <w:left w:val="single" w:sz="6" w:space="0" w:color="auto"/>
              <w:bottom w:val="single" w:sz="6" w:space="0" w:color="auto"/>
              <w:right w:val="single" w:sz="6" w:space="0" w:color="auto"/>
            </w:tcBorders>
            <w:vAlign w:val="center"/>
            <w:hideMark/>
          </w:tcPr>
          <w:p w14:paraId="67AA859B"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6.3</w:t>
            </w:r>
          </w:p>
        </w:tc>
        <w:tc>
          <w:tcPr>
            <w:tcW w:w="0" w:type="auto"/>
            <w:tcBorders>
              <w:top w:val="single" w:sz="6" w:space="0" w:color="auto"/>
              <w:left w:val="single" w:sz="6" w:space="0" w:color="auto"/>
              <w:bottom w:val="single" w:sz="6" w:space="0" w:color="auto"/>
              <w:right w:val="single" w:sz="6" w:space="0" w:color="auto"/>
            </w:tcBorders>
            <w:vAlign w:val="center"/>
            <w:hideMark/>
          </w:tcPr>
          <w:p w14:paraId="13D4727D"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Certificate Expired</w:t>
            </w:r>
          </w:p>
        </w:tc>
        <w:tc>
          <w:tcPr>
            <w:tcW w:w="0" w:type="auto"/>
            <w:tcBorders>
              <w:top w:val="single" w:sz="6" w:space="0" w:color="auto"/>
              <w:left w:val="single" w:sz="6" w:space="0" w:color="auto"/>
              <w:bottom w:val="single" w:sz="6" w:space="0" w:color="auto"/>
              <w:right w:val="single" w:sz="4" w:space="0" w:color="auto"/>
            </w:tcBorders>
            <w:vAlign w:val="center"/>
            <w:hideMark/>
          </w:tcPr>
          <w:p w14:paraId="5838DD75"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SM-SR certificate expired</w:t>
            </w:r>
          </w:p>
        </w:tc>
      </w:tr>
      <w:tr w:rsidR="00B97365" w14:paraId="50C71935" w14:textId="77777777">
        <w:trPr>
          <w:trHeight w:val="282"/>
          <w:jc w:val="center"/>
        </w:trPr>
        <w:tc>
          <w:tcPr>
            <w:tcW w:w="1404" w:type="dxa"/>
            <w:tcBorders>
              <w:top w:val="single" w:sz="6" w:space="0" w:color="auto"/>
              <w:left w:val="single" w:sz="4" w:space="0" w:color="auto"/>
              <w:bottom w:val="single" w:sz="4" w:space="0" w:color="auto"/>
              <w:right w:val="single" w:sz="6" w:space="0" w:color="auto"/>
            </w:tcBorders>
            <w:vAlign w:val="center"/>
          </w:tcPr>
          <w:p w14:paraId="19BAA970" w14:textId="77777777" w:rsidR="00B97365" w:rsidRDefault="00000000">
            <w:pPr>
              <w:spacing w:after="200" w:line="276" w:lineRule="auto"/>
              <w:rPr>
                <w:rFonts w:cs="Arial"/>
                <w:sz w:val="16"/>
                <w:szCs w:val="16"/>
                <w:lang w:eastAsia="en-GB" w:bidi="ar-SA"/>
              </w:rPr>
            </w:pPr>
            <w:r>
              <w:rPr>
                <w:rFonts w:cs="Arial"/>
                <w:sz w:val="16"/>
                <w:szCs w:val="16"/>
                <w:lang w:eastAsia="en-GB" w:bidi="ar-SA"/>
              </w:rPr>
              <w:t>8.7.1</w:t>
            </w:r>
          </w:p>
        </w:tc>
        <w:tc>
          <w:tcPr>
            <w:tcW w:w="0" w:type="auto"/>
            <w:tcBorders>
              <w:top w:val="single" w:sz="6" w:space="0" w:color="auto"/>
              <w:left w:val="single" w:sz="6" w:space="0" w:color="auto"/>
              <w:bottom w:val="single" w:sz="4" w:space="0" w:color="auto"/>
              <w:right w:val="single" w:sz="6" w:space="0" w:color="auto"/>
            </w:tcBorders>
            <w:vAlign w:val="center"/>
          </w:tcPr>
          <w:p w14:paraId="2902EC67"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SM-SR Certificate</w:t>
            </w:r>
          </w:p>
        </w:tc>
        <w:tc>
          <w:tcPr>
            <w:tcW w:w="958" w:type="dxa"/>
            <w:tcBorders>
              <w:top w:val="single" w:sz="6" w:space="0" w:color="auto"/>
              <w:left w:val="single" w:sz="6" w:space="0" w:color="auto"/>
              <w:bottom w:val="single" w:sz="4" w:space="0" w:color="auto"/>
              <w:right w:val="single" w:sz="6" w:space="0" w:color="auto"/>
            </w:tcBorders>
            <w:vAlign w:val="center"/>
          </w:tcPr>
          <w:p w14:paraId="70340687" w14:textId="77777777" w:rsidR="00B97365" w:rsidRDefault="00000000">
            <w:pPr>
              <w:spacing w:before="0" w:after="200" w:line="276" w:lineRule="auto"/>
              <w:jc w:val="left"/>
              <w:rPr>
                <w:rFonts w:cs="Arial"/>
                <w:sz w:val="16"/>
                <w:szCs w:val="16"/>
                <w:lang w:val="en-US" w:eastAsia="en-GB" w:bidi="ar-SA"/>
              </w:rPr>
            </w:pPr>
            <w:r>
              <w:rPr>
                <w:rFonts w:cs="Arial"/>
                <w:sz w:val="16"/>
                <w:szCs w:val="16"/>
                <w:lang w:val="en-US" w:eastAsia="en-GB" w:bidi="ar-SA"/>
              </w:rPr>
              <w:t>6.1</w:t>
            </w:r>
          </w:p>
        </w:tc>
        <w:tc>
          <w:tcPr>
            <w:tcW w:w="0" w:type="auto"/>
            <w:tcBorders>
              <w:top w:val="single" w:sz="6" w:space="0" w:color="auto"/>
              <w:left w:val="single" w:sz="6" w:space="0" w:color="auto"/>
              <w:bottom w:val="single" w:sz="4" w:space="0" w:color="auto"/>
              <w:right w:val="single" w:sz="6" w:space="0" w:color="auto"/>
            </w:tcBorders>
            <w:vAlign w:val="center"/>
          </w:tcPr>
          <w:p w14:paraId="16EB6474"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Verification failed</w:t>
            </w:r>
          </w:p>
        </w:tc>
        <w:tc>
          <w:tcPr>
            <w:tcW w:w="0" w:type="auto"/>
            <w:tcBorders>
              <w:top w:val="single" w:sz="6" w:space="0" w:color="auto"/>
              <w:left w:val="single" w:sz="6" w:space="0" w:color="auto"/>
              <w:bottom w:val="single" w:sz="4" w:space="0" w:color="auto"/>
              <w:right w:val="single" w:sz="4" w:space="0" w:color="auto"/>
            </w:tcBorders>
            <w:vAlign w:val="center"/>
          </w:tcPr>
          <w:p w14:paraId="5F796FE9"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SM-SR certificate signature cannot be verified</w:t>
            </w:r>
          </w:p>
        </w:tc>
      </w:tr>
    </w:tbl>
    <w:p w14:paraId="011EDEC0" w14:textId="77777777" w:rsidR="00B97365" w:rsidRDefault="00000000">
      <w:pPr>
        <w:numPr>
          <w:ilvl w:val="0"/>
          <w:numId w:val="14"/>
        </w:numPr>
        <w:tabs>
          <w:tab w:val="left" w:pos="1009"/>
        </w:tabs>
        <w:spacing w:after="200" w:line="276" w:lineRule="auto"/>
        <w:jc w:val="center"/>
        <w:rPr>
          <w:rFonts w:cs="Arial"/>
          <w:b/>
          <w:lang w:eastAsia="de-DE" w:bidi="ar-SA"/>
        </w:rPr>
      </w:pPr>
      <w:bookmarkStart w:id="5611" w:name="_Toc355200634"/>
      <w:r>
        <w:rPr>
          <w:rFonts w:cs="Arial"/>
          <w:b/>
          <w:lang w:eastAsia="de-DE" w:bidi="ar-SA"/>
        </w:rPr>
        <w:t>: Authenticate SM-SR Specific Status Codes</w:t>
      </w:r>
    </w:p>
    <w:p w14:paraId="18540CB9" w14:textId="77777777" w:rsidR="00B97365" w:rsidRDefault="00B97365">
      <w:pPr>
        <w:rPr>
          <w:rFonts w:cs="Arial"/>
          <w:sz w:val="20"/>
        </w:rPr>
      </w:pPr>
    </w:p>
    <w:p w14:paraId="6B78C5AF" w14:textId="77777777" w:rsidR="00B97365" w:rsidRDefault="00000000">
      <w:pPr>
        <w:numPr>
          <w:ilvl w:val="0"/>
          <w:numId w:val="14"/>
        </w:numPr>
        <w:tabs>
          <w:tab w:val="left" w:pos="1009"/>
        </w:tabs>
        <w:spacing w:after="200" w:line="276" w:lineRule="auto"/>
        <w:jc w:val="center"/>
        <w:rPr>
          <w:rFonts w:cs="Arial"/>
          <w:b/>
          <w:lang w:eastAsia="de-DE" w:bidi="ar-SA"/>
        </w:rPr>
      </w:pPr>
      <w:bookmarkStart w:id="5612" w:name="_Toc361324406"/>
      <w:bookmarkStart w:id="5613" w:name="_Toc361324837"/>
      <w:bookmarkStart w:id="5614" w:name="_Toc361325258"/>
      <w:bookmarkStart w:id="5615" w:name="_Toc361325678"/>
      <w:bookmarkStart w:id="5616" w:name="_Toc361326083"/>
      <w:bookmarkStart w:id="5617" w:name="_Toc361326484"/>
      <w:bookmarkStart w:id="5618" w:name="_Toc361326870"/>
      <w:bookmarkStart w:id="5619" w:name="_Toc361327251"/>
      <w:bookmarkStart w:id="5620" w:name="_Toc361327630"/>
      <w:bookmarkStart w:id="5621" w:name="_Toc361328002"/>
      <w:bookmarkStart w:id="5622" w:name="_Toc361328369"/>
      <w:bookmarkStart w:id="5623" w:name="_Toc361328741"/>
      <w:bookmarkStart w:id="5624" w:name="_Toc361394539"/>
      <w:bookmarkStart w:id="5625" w:name="_Toc362882501"/>
      <w:bookmarkStart w:id="5626" w:name="_Toc362882885"/>
      <w:bookmarkStart w:id="5627" w:name="_Toc362883263"/>
      <w:bookmarkStart w:id="5628" w:name="_Toc362883641"/>
      <w:bookmarkStart w:id="5629" w:name="_Toc362884019"/>
      <w:bookmarkStart w:id="5630" w:name="_Toc362884396"/>
      <w:bookmarkStart w:id="5631" w:name="_Toc362884771"/>
      <w:bookmarkStart w:id="5632" w:name="_Toc362885138"/>
      <w:bookmarkStart w:id="5633" w:name="_Toc362946079"/>
      <w:bookmarkStart w:id="5634" w:name="_Toc362946794"/>
      <w:bookmarkStart w:id="5635" w:name="_Toc365571261"/>
      <w:bookmarkStart w:id="5636" w:name="_Toc365624760"/>
      <w:bookmarkStart w:id="5637" w:name="_Toc365899771"/>
      <w:bookmarkStart w:id="5638" w:name="_Toc365982580"/>
      <w:bookmarkStart w:id="5639" w:name="_Toc361324407"/>
      <w:bookmarkStart w:id="5640" w:name="_Toc361324838"/>
      <w:bookmarkStart w:id="5641" w:name="_Toc361325259"/>
      <w:bookmarkStart w:id="5642" w:name="_Toc361325679"/>
      <w:bookmarkStart w:id="5643" w:name="_Toc361326084"/>
      <w:bookmarkStart w:id="5644" w:name="_Toc361326485"/>
      <w:bookmarkStart w:id="5645" w:name="_Toc361326871"/>
      <w:bookmarkStart w:id="5646" w:name="_Toc361327252"/>
      <w:bookmarkStart w:id="5647" w:name="_Toc361327631"/>
      <w:bookmarkStart w:id="5648" w:name="_Toc361328003"/>
      <w:bookmarkStart w:id="5649" w:name="_Toc361328370"/>
      <w:bookmarkStart w:id="5650" w:name="_Toc361328742"/>
      <w:bookmarkStart w:id="5651" w:name="_Toc361394540"/>
      <w:bookmarkStart w:id="5652" w:name="_Toc362882502"/>
      <w:bookmarkStart w:id="5653" w:name="_Toc362882886"/>
      <w:bookmarkStart w:id="5654" w:name="_Toc362883264"/>
      <w:bookmarkStart w:id="5655" w:name="_Toc362883642"/>
      <w:bookmarkStart w:id="5656" w:name="_Toc362884020"/>
      <w:bookmarkStart w:id="5657" w:name="_Toc362884397"/>
      <w:bookmarkStart w:id="5658" w:name="_Toc362884772"/>
      <w:bookmarkStart w:id="5659" w:name="_Toc362885139"/>
      <w:bookmarkStart w:id="5660" w:name="_Toc362946080"/>
      <w:bookmarkStart w:id="5661" w:name="_Toc362946795"/>
      <w:bookmarkStart w:id="5662" w:name="_Toc365571262"/>
      <w:bookmarkStart w:id="5663" w:name="_Toc365624761"/>
      <w:bookmarkStart w:id="5664" w:name="_Toc365899772"/>
      <w:bookmarkStart w:id="5665" w:name="_Toc365982581"/>
      <w:bookmarkStart w:id="5666" w:name="_Toc361324408"/>
      <w:bookmarkStart w:id="5667" w:name="_Toc361324839"/>
      <w:bookmarkStart w:id="5668" w:name="_Toc361325260"/>
      <w:bookmarkStart w:id="5669" w:name="_Toc361325680"/>
      <w:bookmarkStart w:id="5670" w:name="_Toc361326085"/>
      <w:bookmarkStart w:id="5671" w:name="_Toc361326486"/>
      <w:bookmarkStart w:id="5672" w:name="_Toc361326872"/>
      <w:bookmarkStart w:id="5673" w:name="_Toc361327253"/>
      <w:bookmarkStart w:id="5674" w:name="_Toc361327632"/>
      <w:bookmarkStart w:id="5675" w:name="_Toc361328004"/>
      <w:bookmarkStart w:id="5676" w:name="_Toc361328371"/>
      <w:bookmarkStart w:id="5677" w:name="_Toc361328743"/>
      <w:bookmarkStart w:id="5678" w:name="_Toc361394541"/>
      <w:bookmarkStart w:id="5679" w:name="_Toc362882503"/>
      <w:bookmarkStart w:id="5680" w:name="_Toc362882887"/>
      <w:bookmarkStart w:id="5681" w:name="_Toc362883265"/>
      <w:bookmarkStart w:id="5682" w:name="_Toc362883643"/>
      <w:bookmarkStart w:id="5683" w:name="_Toc362884021"/>
      <w:bookmarkStart w:id="5684" w:name="_Toc362884398"/>
      <w:bookmarkStart w:id="5685" w:name="_Toc362884773"/>
      <w:bookmarkStart w:id="5686" w:name="_Toc362885140"/>
      <w:bookmarkStart w:id="5687" w:name="_Toc362946081"/>
      <w:bookmarkStart w:id="5688" w:name="_Toc362946796"/>
      <w:bookmarkStart w:id="5689" w:name="_Toc365571263"/>
      <w:bookmarkStart w:id="5690" w:name="_Toc365624762"/>
      <w:bookmarkStart w:id="5691" w:name="_Toc365899773"/>
      <w:bookmarkStart w:id="5692" w:name="_Toc365982582"/>
      <w:bookmarkStart w:id="5693" w:name="_Toc361324409"/>
      <w:bookmarkStart w:id="5694" w:name="_Toc361324840"/>
      <w:bookmarkStart w:id="5695" w:name="_Toc361325261"/>
      <w:bookmarkStart w:id="5696" w:name="_Toc361325681"/>
      <w:bookmarkStart w:id="5697" w:name="_Toc361326086"/>
      <w:bookmarkStart w:id="5698" w:name="_Toc361326487"/>
      <w:bookmarkStart w:id="5699" w:name="_Toc361326873"/>
      <w:bookmarkStart w:id="5700" w:name="_Toc361327254"/>
      <w:bookmarkStart w:id="5701" w:name="_Toc361327633"/>
      <w:bookmarkStart w:id="5702" w:name="_Toc361328005"/>
      <w:bookmarkStart w:id="5703" w:name="_Toc361328372"/>
      <w:bookmarkStart w:id="5704" w:name="_Toc361328744"/>
      <w:bookmarkStart w:id="5705" w:name="_Toc361394542"/>
      <w:bookmarkStart w:id="5706" w:name="_Toc362882504"/>
      <w:bookmarkStart w:id="5707" w:name="_Toc362882888"/>
      <w:bookmarkStart w:id="5708" w:name="_Toc362883266"/>
      <w:bookmarkStart w:id="5709" w:name="_Toc362883644"/>
      <w:bookmarkStart w:id="5710" w:name="_Toc362884022"/>
      <w:bookmarkStart w:id="5711" w:name="_Toc362884399"/>
      <w:bookmarkStart w:id="5712" w:name="_Toc362884774"/>
      <w:bookmarkStart w:id="5713" w:name="_Toc362885141"/>
      <w:bookmarkStart w:id="5714" w:name="_Toc362946082"/>
      <w:bookmarkStart w:id="5715" w:name="_Toc362946797"/>
      <w:bookmarkStart w:id="5716" w:name="_Toc365571264"/>
      <w:bookmarkStart w:id="5717" w:name="_Toc365624763"/>
      <w:bookmarkStart w:id="5718" w:name="_Toc365899774"/>
      <w:bookmarkStart w:id="5719" w:name="_Toc365982583"/>
      <w:bookmarkStart w:id="5720" w:name="_Toc361324410"/>
      <w:bookmarkStart w:id="5721" w:name="_Toc361324841"/>
      <w:bookmarkStart w:id="5722" w:name="_Toc361325262"/>
      <w:bookmarkStart w:id="5723" w:name="_Toc361325682"/>
      <w:bookmarkStart w:id="5724" w:name="_Toc361326087"/>
      <w:bookmarkStart w:id="5725" w:name="_Toc361326488"/>
      <w:bookmarkStart w:id="5726" w:name="_Toc361326874"/>
      <w:bookmarkStart w:id="5727" w:name="_Toc361327255"/>
      <w:bookmarkStart w:id="5728" w:name="_Toc361327634"/>
      <w:bookmarkStart w:id="5729" w:name="_Toc361328006"/>
      <w:bookmarkStart w:id="5730" w:name="_Toc361328373"/>
      <w:bookmarkStart w:id="5731" w:name="_Toc361328745"/>
      <w:bookmarkStart w:id="5732" w:name="_Toc361394543"/>
      <w:bookmarkStart w:id="5733" w:name="_Toc362882505"/>
      <w:bookmarkStart w:id="5734" w:name="_Toc362882889"/>
      <w:bookmarkStart w:id="5735" w:name="_Toc362883267"/>
      <w:bookmarkStart w:id="5736" w:name="_Toc362883645"/>
      <w:bookmarkStart w:id="5737" w:name="_Toc362884023"/>
      <w:bookmarkStart w:id="5738" w:name="_Toc362884400"/>
      <w:bookmarkStart w:id="5739" w:name="_Toc362884775"/>
      <w:bookmarkStart w:id="5740" w:name="_Toc362885142"/>
      <w:bookmarkStart w:id="5741" w:name="_Toc362946083"/>
      <w:bookmarkStart w:id="5742" w:name="_Toc362946798"/>
      <w:bookmarkStart w:id="5743" w:name="_Toc365571265"/>
      <w:bookmarkStart w:id="5744" w:name="_Toc365624764"/>
      <w:bookmarkStart w:id="5745" w:name="_Toc365899775"/>
      <w:bookmarkStart w:id="5746" w:name="_Toc365982584"/>
      <w:bookmarkStart w:id="5747" w:name="_Toc361324411"/>
      <w:bookmarkStart w:id="5748" w:name="_Toc361324842"/>
      <w:bookmarkStart w:id="5749" w:name="_Toc361325263"/>
      <w:bookmarkStart w:id="5750" w:name="_Toc361325683"/>
      <w:bookmarkStart w:id="5751" w:name="_Toc361326088"/>
      <w:bookmarkStart w:id="5752" w:name="_Toc361326489"/>
      <w:bookmarkStart w:id="5753" w:name="_Toc361326875"/>
      <w:bookmarkStart w:id="5754" w:name="_Toc361327256"/>
      <w:bookmarkStart w:id="5755" w:name="_Toc361327635"/>
      <w:bookmarkStart w:id="5756" w:name="_Toc361328007"/>
      <w:bookmarkStart w:id="5757" w:name="_Toc361328374"/>
      <w:bookmarkStart w:id="5758" w:name="_Toc361328746"/>
      <w:bookmarkStart w:id="5759" w:name="_Toc361394544"/>
      <w:bookmarkStart w:id="5760" w:name="_Toc362882506"/>
      <w:bookmarkStart w:id="5761" w:name="_Toc362882890"/>
      <w:bookmarkStart w:id="5762" w:name="_Toc362883268"/>
      <w:bookmarkStart w:id="5763" w:name="_Toc362883646"/>
      <w:bookmarkStart w:id="5764" w:name="_Toc362884024"/>
      <w:bookmarkStart w:id="5765" w:name="_Toc362884401"/>
      <w:bookmarkStart w:id="5766" w:name="_Toc362884776"/>
      <w:bookmarkStart w:id="5767" w:name="_Toc362885143"/>
      <w:bookmarkStart w:id="5768" w:name="_Toc362946084"/>
      <w:bookmarkStart w:id="5769" w:name="_Toc362946799"/>
      <w:bookmarkStart w:id="5770" w:name="_Toc365571266"/>
      <w:bookmarkStart w:id="5771" w:name="_Toc365624765"/>
      <w:bookmarkStart w:id="5772" w:name="_Toc365899776"/>
      <w:bookmarkStart w:id="5773" w:name="_Toc365982585"/>
      <w:bookmarkStart w:id="5774" w:name="_Toc361324412"/>
      <w:bookmarkStart w:id="5775" w:name="_Toc361324843"/>
      <w:bookmarkStart w:id="5776" w:name="_Toc361325264"/>
      <w:bookmarkStart w:id="5777" w:name="_Toc361325684"/>
      <w:bookmarkStart w:id="5778" w:name="_Toc361326089"/>
      <w:bookmarkStart w:id="5779" w:name="_Toc361326490"/>
      <w:bookmarkStart w:id="5780" w:name="_Toc361326876"/>
      <w:bookmarkStart w:id="5781" w:name="_Toc361327257"/>
      <w:bookmarkStart w:id="5782" w:name="_Toc361327636"/>
      <w:bookmarkStart w:id="5783" w:name="_Toc361328008"/>
      <w:bookmarkStart w:id="5784" w:name="_Toc361328375"/>
      <w:bookmarkStart w:id="5785" w:name="_Toc361328747"/>
      <w:bookmarkStart w:id="5786" w:name="_Toc361394545"/>
      <w:bookmarkStart w:id="5787" w:name="_Toc362882507"/>
      <w:bookmarkStart w:id="5788" w:name="_Toc362882891"/>
      <w:bookmarkStart w:id="5789" w:name="_Toc362883269"/>
      <w:bookmarkStart w:id="5790" w:name="_Toc362883647"/>
      <w:bookmarkStart w:id="5791" w:name="_Toc362884025"/>
      <w:bookmarkStart w:id="5792" w:name="_Toc362884402"/>
      <w:bookmarkStart w:id="5793" w:name="_Toc362884777"/>
      <w:bookmarkStart w:id="5794" w:name="_Toc362885144"/>
      <w:bookmarkStart w:id="5795" w:name="_Toc362946085"/>
      <w:bookmarkStart w:id="5796" w:name="_Toc362946800"/>
      <w:bookmarkStart w:id="5797" w:name="_Toc365571267"/>
      <w:bookmarkStart w:id="5798" w:name="_Toc365624766"/>
      <w:bookmarkStart w:id="5799" w:name="_Toc365899777"/>
      <w:bookmarkStart w:id="5800" w:name="_Toc365982586"/>
      <w:bookmarkStart w:id="5801" w:name="_Toc361324413"/>
      <w:bookmarkStart w:id="5802" w:name="_Toc361324844"/>
      <w:bookmarkStart w:id="5803" w:name="_Toc361325265"/>
      <w:bookmarkStart w:id="5804" w:name="_Toc361325685"/>
      <w:bookmarkStart w:id="5805" w:name="_Toc361326090"/>
      <w:bookmarkStart w:id="5806" w:name="_Toc361326491"/>
      <w:bookmarkStart w:id="5807" w:name="_Toc361326877"/>
      <w:bookmarkStart w:id="5808" w:name="_Toc361327258"/>
      <w:bookmarkStart w:id="5809" w:name="_Toc361327637"/>
      <w:bookmarkStart w:id="5810" w:name="_Toc361328009"/>
      <w:bookmarkStart w:id="5811" w:name="_Toc361328376"/>
      <w:bookmarkStart w:id="5812" w:name="_Toc361328748"/>
      <w:bookmarkStart w:id="5813" w:name="_Toc361394546"/>
      <w:bookmarkStart w:id="5814" w:name="_Toc362882508"/>
      <w:bookmarkStart w:id="5815" w:name="_Toc362882892"/>
      <w:bookmarkStart w:id="5816" w:name="_Toc362883270"/>
      <w:bookmarkStart w:id="5817" w:name="_Toc362883648"/>
      <w:bookmarkStart w:id="5818" w:name="_Toc362884026"/>
      <w:bookmarkStart w:id="5819" w:name="_Toc362884403"/>
      <w:bookmarkStart w:id="5820" w:name="_Toc362884778"/>
      <w:bookmarkStart w:id="5821" w:name="_Toc362885145"/>
      <w:bookmarkStart w:id="5822" w:name="_Toc362946086"/>
      <w:bookmarkStart w:id="5823" w:name="_Toc362946801"/>
      <w:bookmarkStart w:id="5824" w:name="_Toc365571268"/>
      <w:bookmarkStart w:id="5825" w:name="_Toc365624767"/>
      <w:bookmarkStart w:id="5826" w:name="_Toc365899778"/>
      <w:bookmarkStart w:id="5827" w:name="_Toc365982587"/>
      <w:bookmarkStart w:id="5828" w:name="_Toc361324414"/>
      <w:bookmarkStart w:id="5829" w:name="_Toc361324845"/>
      <w:bookmarkStart w:id="5830" w:name="_Toc361325266"/>
      <w:bookmarkStart w:id="5831" w:name="_Toc361325686"/>
      <w:bookmarkStart w:id="5832" w:name="_Toc361326091"/>
      <w:bookmarkStart w:id="5833" w:name="_Toc361326492"/>
      <w:bookmarkStart w:id="5834" w:name="_Toc361326878"/>
      <w:bookmarkStart w:id="5835" w:name="_Toc361327259"/>
      <w:bookmarkStart w:id="5836" w:name="_Toc361327638"/>
      <w:bookmarkStart w:id="5837" w:name="_Toc361328010"/>
      <w:bookmarkStart w:id="5838" w:name="_Toc361328377"/>
      <w:bookmarkStart w:id="5839" w:name="_Toc361328749"/>
      <w:bookmarkStart w:id="5840" w:name="_Toc361394547"/>
      <w:bookmarkStart w:id="5841" w:name="_Toc362882509"/>
      <w:bookmarkStart w:id="5842" w:name="_Toc362882893"/>
      <w:bookmarkStart w:id="5843" w:name="_Toc362883271"/>
      <w:bookmarkStart w:id="5844" w:name="_Toc362883649"/>
      <w:bookmarkStart w:id="5845" w:name="_Toc362884027"/>
      <w:bookmarkStart w:id="5846" w:name="_Toc362884404"/>
      <w:bookmarkStart w:id="5847" w:name="_Toc362884779"/>
      <w:bookmarkStart w:id="5848" w:name="_Toc362885146"/>
      <w:bookmarkStart w:id="5849" w:name="_Toc362946087"/>
      <w:bookmarkStart w:id="5850" w:name="_Toc362946802"/>
      <w:bookmarkStart w:id="5851" w:name="_Toc365571269"/>
      <w:bookmarkStart w:id="5852" w:name="_Toc365624768"/>
      <w:bookmarkStart w:id="5853" w:name="_Toc365899779"/>
      <w:bookmarkStart w:id="5854" w:name="_Toc365982588"/>
      <w:bookmarkStart w:id="5855" w:name="_Toc361324415"/>
      <w:bookmarkStart w:id="5856" w:name="_Toc361324846"/>
      <w:bookmarkStart w:id="5857" w:name="_Toc361325267"/>
      <w:bookmarkStart w:id="5858" w:name="_Toc361325687"/>
      <w:bookmarkStart w:id="5859" w:name="_Toc361326092"/>
      <w:bookmarkStart w:id="5860" w:name="_Toc361326493"/>
      <w:bookmarkStart w:id="5861" w:name="_Toc361326879"/>
      <w:bookmarkStart w:id="5862" w:name="_Toc361327260"/>
      <w:bookmarkStart w:id="5863" w:name="_Toc361327639"/>
      <w:bookmarkStart w:id="5864" w:name="_Toc361328011"/>
      <w:bookmarkStart w:id="5865" w:name="_Toc361328378"/>
      <w:bookmarkStart w:id="5866" w:name="_Toc361328750"/>
      <w:bookmarkStart w:id="5867" w:name="_Toc361394548"/>
      <w:bookmarkStart w:id="5868" w:name="_Toc362882510"/>
      <w:bookmarkStart w:id="5869" w:name="_Toc362882894"/>
      <w:bookmarkStart w:id="5870" w:name="_Toc362883272"/>
      <w:bookmarkStart w:id="5871" w:name="_Toc362883650"/>
      <w:bookmarkStart w:id="5872" w:name="_Toc362884028"/>
      <w:bookmarkStart w:id="5873" w:name="_Toc362884405"/>
      <w:bookmarkStart w:id="5874" w:name="_Toc362884780"/>
      <w:bookmarkStart w:id="5875" w:name="_Toc362885147"/>
      <w:bookmarkStart w:id="5876" w:name="_Toc362946088"/>
      <w:bookmarkStart w:id="5877" w:name="_Toc362946803"/>
      <w:bookmarkStart w:id="5878" w:name="_Toc365571270"/>
      <w:bookmarkStart w:id="5879" w:name="_Toc365624769"/>
      <w:bookmarkStart w:id="5880" w:name="_Toc365899780"/>
      <w:bookmarkStart w:id="5881" w:name="_Toc365982589"/>
      <w:bookmarkStart w:id="5882" w:name="_Toc361324416"/>
      <w:bookmarkStart w:id="5883" w:name="_Toc361324847"/>
      <w:bookmarkStart w:id="5884" w:name="_Toc361325268"/>
      <w:bookmarkStart w:id="5885" w:name="_Toc361325688"/>
      <w:bookmarkStart w:id="5886" w:name="_Toc361326093"/>
      <w:bookmarkStart w:id="5887" w:name="_Toc361326494"/>
      <w:bookmarkStart w:id="5888" w:name="_Toc361326880"/>
      <w:bookmarkStart w:id="5889" w:name="_Toc361327261"/>
      <w:bookmarkStart w:id="5890" w:name="_Toc361327640"/>
      <w:bookmarkStart w:id="5891" w:name="_Toc361328012"/>
      <w:bookmarkStart w:id="5892" w:name="_Toc361328379"/>
      <w:bookmarkStart w:id="5893" w:name="_Toc361328751"/>
      <w:bookmarkStart w:id="5894" w:name="_Toc361394549"/>
      <w:bookmarkStart w:id="5895" w:name="_Toc362882511"/>
      <w:bookmarkStart w:id="5896" w:name="_Toc362882895"/>
      <w:bookmarkStart w:id="5897" w:name="_Toc362883273"/>
      <w:bookmarkStart w:id="5898" w:name="_Toc362883651"/>
      <w:bookmarkStart w:id="5899" w:name="_Toc362884029"/>
      <w:bookmarkStart w:id="5900" w:name="_Toc362884406"/>
      <w:bookmarkStart w:id="5901" w:name="_Toc362884781"/>
      <w:bookmarkStart w:id="5902" w:name="_Toc362885148"/>
      <w:bookmarkStart w:id="5903" w:name="_Toc362946089"/>
      <w:bookmarkStart w:id="5904" w:name="_Toc362946804"/>
      <w:bookmarkStart w:id="5905" w:name="_Toc365571271"/>
      <w:bookmarkStart w:id="5906" w:name="_Toc365624770"/>
      <w:bookmarkStart w:id="5907" w:name="_Toc365899781"/>
      <w:bookmarkStart w:id="5908" w:name="_Toc365982590"/>
      <w:bookmarkStart w:id="5909" w:name="_Toc362882513"/>
      <w:bookmarkStart w:id="5910" w:name="_Toc362882897"/>
      <w:bookmarkStart w:id="5911" w:name="_Toc362883275"/>
      <w:bookmarkStart w:id="5912" w:name="_Toc362883653"/>
      <w:bookmarkStart w:id="5913" w:name="_Toc362884031"/>
      <w:bookmarkStart w:id="5914" w:name="_Toc362884408"/>
      <w:bookmarkStart w:id="5915" w:name="_Toc362884783"/>
      <w:bookmarkStart w:id="5916" w:name="_Toc362885150"/>
      <w:bookmarkStart w:id="5917" w:name="_Toc362946091"/>
      <w:bookmarkStart w:id="5918" w:name="_Toc362946806"/>
      <w:bookmarkStart w:id="5919" w:name="_Toc365571273"/>
      <w:bookmarkStart w:id="5920" w:name="_Toc365624772"/>
      <w:bookmarkStart w:id="5921" w:name="_Toc365899783"/>
      <w:bookmarkStart w:id="5922" w:name="_Toc365982592"/>
      <w:bookmarkStart w:id="5923" w:name="_Toc361324429"/>
      <w:bookmarkStart w:id="5924" w:name="_Toc361324860"/>
      <w:bookmarkStart w:id="5925" w:name="_Toc361325281"/>
      <w:bookmarkStart w:id="5926" w:name="_Toc361325701"/>
      <w:bookmarkStart w:id="5927" w:name="_Toc361326106"/>
      <w:bookmarkStart w:id="5928" w:name="_Toc361326507"/>
      <w:bookmarkStart w:id="5929" w:name="_Toc361326893"/>
      <w:bookmarkStart w:id="5930" w:name="_Toc361327274"/>
      <w:bookmarkStart w:id="5931" w:name="_Toc361327653"/>
      <w:bookmarkStart w:id="5932" w:name="_Toc361328025"/>
      <w:bookmarkStart w:id="5933" w:name="_Toc361328392"/>
      <w:bookmarkStart w:id="5934" w:name="_Toc361328764"/>
      <w:bookmarkStart w:id="5935" w:name="_Toc361394562"/>
      <w:bookmarkStart w:id="5936" w:name="_Toc362882525"/>
      <w:bookmarkStart w:id="5937" w:name="_Toc362882909"/>
      <w:bookmarkStart w:id="5938" w:name="_Toc362883287"/>
      <w:bookmarkStart w:id="5939" w:name="_Toc362883665"/>
      <w:bookmarkStart w:id="5940" w:name="_Toc362884043"/>
      <w:bookmarkStart w:id="5941" w:name="_Toc362884420"/>
      <w:bookmarkStart w:id="5942" w:name="_Toc362884795"/>
      <w:bookmarkStart w:id="5943" w:name="_Toc362885162"/>
      <w:bookmarkStart w:id="5944" w:name="_Toc362946103"/>
      <w:bookmarkStart w:id="5945" w:name="_Toc362946818"/>
      <w:bookmarkStart w:id="5946" w:name="_Toc365571285"/>
      <w:bookmarkStart w:id="5947" w:name="_Toc365624784"/>
      <w:bookmarkStart w:id="5948" w:name="_Toc365899795"/>
      <w:bookmarkStart w:id="5949" w:name="_Toc365982604"/>
      <w:bookmarkStart w:id="5950" w:name="_Toc361324430"/>
      <w:bookmarkStart w:id="5951" w:name="_Toc361324861"/>
      <w:bookmarkStart w:id="5952" w:name="_Toc361325282"/>
      <w:bookmarkStart w:id="5953" w:name="_Toc361325702"/>
      <w:bookmarkStart w:id="5954" w:name="_Toc361326107"/>
      <w:bookmarkStart w:id="5955" w:name="_Toc361326508"/>
      <w:bookmarkStart w:id="5956" w:name="_Toc361326894"/>
      <w:bookmarkStart w:id="5957" w:name="_Toc361327275"/>
      <w:bookmarkStart w:id="5958" w:name="_Toc361327654"/>
      <w:bookmarkStart w:id="5959" w:name="_Toc361328026"/>
      <w:bookmarkStart w:id="5960" w:name="_Toc361328393"/>
      <w:bookmarkStart w:id="5961" w:name="_Toc361328765"/>
      <w:bookmarkStart w:id="5962" w:name="_Toc361394563"/>
      <w:bookmarkStart w:id="5963" w:name="_Toc362882526"/>
      <w:bookmarkStart w:id="5964" w:name="_Toc362882910"/>
      <w:bookmarkStart w:id="5965" w:name="_Toc362883288"/>
      <w:bookmarkStart w:id="5966" w:name="_Toc362883666"/>
      <w:bookmarkStart w:id="5967" w:name="_Toc362884044"/>
      <w:bookmarkStart w:id="5968" w:name="_Toc362884421"/>
      <w:bookmarkStart w:id="5969" w:name="_Toc362884796"/>
      <w:bookmarkStart w:id="5970" w:name="_Toc362885163"/>
      <w:bookmarkStart w:id="5971" w:name="_Toc362946104"/>
      <w:bookmarkStart w:id="5972" w:name="_Toc362946819"/>
      <w:bookmarkStart w:id="5973" w:name="_Toc365571286"/>
      <w:bookmarkStart w:id="5974" w:name="_Toc365624785"/>
      <w:bookmarkStart w:id="5975" w:name="_Toc365899796"/>
      <w:bookmarkStart w:id="5976" w:name="_Toc365982605"/>
      <w:bookmarkStart w:id="5977" w:name="_Toc361324431"/>
      <w:bookmarkStart w:id="5978" w:name="_Toc361324862"/>
      <w:bookmarkStart w:id="5979" w:name="_Toc361325283"/>
      <w:bookmarkStart w:id="5980" w:name="_Toc361325703"/>
      <w:bookmarkStart w:id="5981" w:name="_Toc361326108"/>
      <w:bookmarkStart w:id="5982" w:name="_Toc361326509"/>
      <w:bookmarkStart w:id="5983" w:name="_Toc361326895"/>
      <w:bookmarkStart w:id="5984" w:name="_Toc361327276"/>
      <w:bookmarkStart w:id="5985" w:name="_Toc361327655"/>
      <w:bookmarkStart w:id="5986" w:name="_Toc361328027"/>
      <w:bookmarkStart w:id="5987" w:name="_Toc361328394"/>
      <w:bookmarkStart w:id="5988" w:name="_Toc361328766"/>
      <w:bookmarkStart w:id="5989" w:name="_Toc361394564"/>
      <w:bookmarkStart w:id="5990" w:name="_Toc362882527"/>
      <w:bookmarkStart w:id="5991" w:name="_Toc362882911"/>
      <w:bookmarkStart w:id="5992" w:name="_Toc362883289"/>
      <w:bookmarkStart w:id="5993" w:name="_Toc362883667"/>
      <w:bookmarkStart w:id="5994" w:name="_Toc362884045"/>
      <w:bookmarkStart w:id="5995" w:name="_Toc362884422"/>
      <w:bookmarkStart w:id="5996" w:name="_Toc362884797"/>
      <w:bookmarkStart w:id="5997" w:name="_Toc362885164"/>
      <w:bookmarkStart w:id="5998" w:name="_Toc362946105"/>
      <w:bookmarkStart w:id="5999" w:name="_Toc362946820"/>
      <w:bookmarkStart w:id="6000" w:name="_Toc365571287"/>
      <w:bookmarkStart w:id="6001" w:name="_Toc365624786"/>
      <w:bookmarkStart w:id="6002" w:name="_Toc365899797"/>
      <w:bookmarkStart w:id="6003" w:name="_Toc365982606"/>
      <w:bookmarkStart w:id="6004" w:name="_Toc361324432"/>
      <w:bookmarkStart w:id="6005" w:name="_Toc361324863"/>
      <w:bookmarkStart w:id="6006" w:name="_Toc361325284"/>
      <w:bookmarkStart w:id="6007" w:name="_Toc361325704"/>
      <w:bookmarkStart w:id="6008" w:name="_Toc361326109"/>
      <w:bookmarkStart w:id="6009" w:name="_Toc361326510"/>
      <w:bookmarkStart w:id="6010" w:name="_Toc361326896"/>
      <w:bookmarkStart w:id="6011" w:name="_Toc361327277"/>
      <w:bookmarkStart w:id="6012" w:name="_Toc361327656"/>
      <w:bookmarkStart w:id="6013" w:name="_Toc361328028"/>
      <w:bookmarkStart w:id="6014" w:name="_Toc361328395"/>
      <w:bookmarkStart w:id="6015" w:name="_Toc361328767"/>
      <w:bookmarkStart w:id="6016" w:name="_Toc361394565"/>
      <w:bookmarkStart w:id="6017" w:name="_Toc362882528"/>
      <w:bookmarkStart w:id="6018" w:name="_Toc362882912"/>
      <w:bookmarkStart w:id="6019" w:name="_Toc362883290"/>
      <w:bookmarkStart w:id="6020" w:name="_Toc362883668"/>
      <w:bookmarkStart w:id="6021" w:name="_Toc362884046"/>
      <w:bookmarkStart w:id="6022" w:name="_Toc362884423"/>
      <w:bookmarkStart w:id="6023" w:name="_Toc362884798"/>
      <w:bookmarkStart w:id="6024" w:name="_Toc362885165"/>
      <w:bookmarkStart w:id="6025" w:name="_Toc362946106"/>
      <w:bookmarkStart w:id="6026" w:name="_Toc362946821"/>
      <w:bookmarkStart w:id="6027" w:name="_Toc365571288"/>
      <w:bookmarkStart w:id="6028" w:name="_Toc365624787"/>
      <w:bookmarkStart w:id="6029" w:name="_Toc365899798"/>
      <w:bookmarkStart w:id="6030" w:name="_Toc365982607"/>
      <w:bookmarkStart w:id="6031" w:name="_Toc361324433"/>
      <w:bookmarkStart w:id="6032" w:name="_Toc361324864"/>
      <w:bookmarkStart w:id="6033" w:name="_Toc361325285"/>
      <w:bookmarkStart w:id="6034" w:name="_Toc361325705"/>
      <w:bookmarkStart w:id="6035" w:name="_Toc361326110"/>
      <w:bookmarkStart w:id="6036" w:name="_Toc361326511"/>
      <w:bookmarkStart w:id="6037" w:name="_Toc361326897"/>
      <w:bookmarkStart w:id="6038" w:name="_Toc361327278"/>
      <w:bookmarkStart w:id="6039" w:name="_Toc361327657"/>
      <w:bookmarkStart w:id="6040" w:name="_Toc361328029"/>
      <w:bookmarkStart w:id="6041" w:name="_Toc361328396"/>
      <w:bookmarkStart w:id="6042" w:name="_Toc361328768"/>
      <w:bookmarkStart w:id="6043" w:name="_Toc361394566"/>
      <w:bookmarkStart w:id="6044" w:name="_Toc362882529"/>
      <w:bookmarkStart w:id="6045" w:name="_Toc362882913"/>
      <w:bookmarkStart w:id="6046" w:name="_Toc362883291"/>
      <w:bookmarkStart w:id="6047" w:name="_Toc362883669"/>
      <w:bookmarkStart w:id="6048" w:name="_Toc362884047"/>
      <w:bookmarkStart w:id="6049" w:name="_Toc362884424"/>
      <w:bookmarkStart w:id="6050" w:name="_Toc362884799"/>
      <w:bookmarkStart w:id="6051" w:name="_Toc362885166"/>
      <w:bookmarkStart w:id="6052" w:name="_Toc362946107"/>
      <w:bookmarkStart w:id="6053" w:name="_Toc362946822"/>
      <w:bookmarkStart w:id="6054" w:name="_Toc365571289"/>
      <w:bookmarkStart w:id="6055" w:name="_Toc365624788"/>
      <w:bookmarkStart w:id="6056" w:name="_Toc365899799"/>
      <w:bookmarkStart w:id="6057" w:name="_Toc365982608"/>
      <w:bookmarkStart w:id="6058" w:name="_Toc361324434"/>
      <w:bookmarkStart w:id="6059" w:name="_Toc361324865"/>
      <w:bookmarkStart w:id="6060" w:name="_Toc361325286"/>
      <w:bookmarkStart w:id="6061" w:name="_Toc361325706"/>
      <w:bookmarkStart w:id="6062" w:name="_Toc361326111"/>
      <w:bookmarkStart w:id="6063" w:name="_Toc361326512"/>
      <w:bookmarkStart w:id="6064" w:name="_Toc361326898"/>
      <w:bookmarkStart w:id="6065" w:name="_Toc361327279"/>
      <w:bookmarkStart w:id="6066" w:name="_Toc361327658"/>
      <w:bookmarkStart w:id="6067" w:name="_Toc361328030"/>
      <w:bookmarkStart w:id="6068" w:name="_Toc361328397"/>
      <w:bookmarkStart w:id="6069" w:name="_Toc361328769"/>
      <w:bookmarkStart w:id="6070" w:name="_Toc361394567"/>
      <w:bookmarkStart w:id="6071" w:name="_Toc362882530"/>
      <w:bookmarkStart w:id="6072" w:name="_Toc362882914"/>
      <w:bookmarkStart w:id="6073" w:name="_Toc362883292"/>
      <w:bookmarkStart w:id="6074" w:name="_Toc362883670"/>
      <w:bookmarkStart w:id="6075" w:name="_Toc362884048"/>
      <w:bookmarkStart w:id="6076" w:name="_Toc362884425"/>
      <w:bookmarkStart w:id="6077" w:name="_Toc362884800"/>
      <w:bookmarkStart w:id="6078" w:name="_Toc362885167"/>
      <w:bookmarkStart w:id="6079" w:name="_Toc362946108"/>
      <w:bookmarkStart w:id="6080" w:name="_Toc362946823"/>
      <w:bookmarkStart w:id="6081" w:name="_Toc365571290"/>
      <w:bookmarkStart w:id="6082" w:name="_Toc365624789"/>
      <w:bookmarkStart w:id="6083" w:name="_Toc365899800"/>
      <w:bookmarkStart w:id="6084" w:name="_Toc365982609"/>
      <w:bookmarkStart w:id="6085" w:name="_Toc361324435"/>
      <w:bookmarkStart w:id="6086" w:name="_Toc361324866"/>
      <w:bookmarkStart w:id="6087" w:name="_Toc361325287"/>
      <w:bookmarkStart w:id="6088" w:name="_Toc361325707"/>
      <w:bookmarkStart w:id="6089" w:name="_Toc361326112"/>
      <w:bookmarkStart w:id="6090" w:name="_Toc361326513"/>
      <w:bookmarkStart w:id="6091" w:name="_Toc361326899"/>
      <w:bookmarkStart w:id="6092" w:name="_Toc361327280"/>
      <w:bookmarkStart w:id="6093" w:name="_Toc361327659"/>
      <w:bookmarkStart w:id="6094" w:name="_Toc361328031"/>
      <w:bookmarkStart w:id="6095" w:name="_Toc361328398"/>
      <w:bookmarkStart w:id="6096" w:name="_Toc361328770"/>
      <w:bookmarkStart w:id="6097" w:name="_Toc361394568"/>
      <w:bookmarkStart w:id="6098" w:name="_Toc362882531"/>
      <w:bookmarkStart w:id="6099" w:name="_Toc362882915"/>
      <w:bookmarkStart w:id="6100" w:name="_Toc362883293"/>
      <w:bookmarkStart w:id="6101" w:name="_Toc362883671"/>
      <w:bookmarkStart w:id="6102" w:name="_Toc362884049"/>
      <w:bookmarkStart w:id="6103" w:name="_Toc362884426"/>
      <w:bookmarkStart w:id="6104" w:name="_Toc362884801"/>
      <w:bookmarkStart w:id="6105" w:name="_Toc362885168"/>
      <w:bookmarkStart w:id="6106" w:name="_Toc362946109"/>
      <w:bookmarkStart w:id="6107" w:name="_Toc362946824"/>
      <w:bookmarkStart w:id="6108" w:name="_Toc365571291"/>
      <w:bookmarkStart w:id="6109" w:name="_Toc365624790"/>
      <w:bookmarkStart w:id="6110" w:name="_Toc365899801"/>
      <w:bookmarkStart w:id="6111" w:name="_Toc365982610"/>
      <w:bookmarkStart w:id="6112" w:name="_Toc361324436"/>
      <w:bookmarkStart w:id="6113" w:name="_Toc361324867"/>
      <w:bookmarkStart w:id="6114" w:name="_Toc361325288"/>
      <w:bookmarkStart w:id="6115" w:name="_Toc361325708"/>
      <w:bookmarkStart w:id="6116" w:name="_Toc361326113"/>
      <w:bookmarkStart w:id="6117" w:name="_Toc361326514"/>
      <w:bookmarkStart w:id="6118" w:name="_Toc361326900"/>
      <w:bookmarkStart w:id="6119" w:name="_Toc361327281"/>
      <w:bookmarkStart w:id="6120" w:name="_Toc361327660"/>
      <w:bookmarkStart w:id="6121" w:name="_Toc361328032"/>
      <w:bookmarkStart w:id="6122" w:name="_Toc361328399"/>
      <w:bookmarkStart w:id="6123" w:name="_Toc361328771"/>
      <w:bookmarkStart w:id="6124" w:name="_Toc361394569"/>
      <w:bookmarkStart w:id="6125" w:name="_Toc362882532"/>
      <w:bookmarkStart w:id="6126" w:name="_Toc362882916"/>
      <w:bookmarkStart w:id="6127" w:name="_Toc362883294"/>
      <w:bookmarkStart w:id="6128" w:name="_Toc362883672"/>
      <w:bookmarkStart w:id="6129" w:name="_Toc362884050"/>
      <w:bookmarkStart w:id="6130" w:name="_Toc362884427"/>
      <w:bookmarkStart w:id="6131" w:name="_Toc362884802"/>
      <w:bookmarkStart w:id="6132" w:name="_Toc362885169"/>
      <w:bookmarkStart w:id="6133" w:name="_Toc362946110"/>
      <w:bookmarkStart w:id="6134" w:name="_Toc362946825"/>
      <w:bookmarkStart w:id="6135" w:name="_Toc365571292"/>
      <w:bookmarkStart w:id="6136" w:name="_Toc365624791"/>
      <w:bookmarkStart w:id="6137" w:name="_Toc365899802"/>
      <w:bookmarkStart w:id="6138" w:name="_Toc365982611"/>
      <w:bookmarkStart w:id="6139" w:name="_Toc361324437"/>
      <w:bookmarkStart w:id="6140" w:name="_Toc361324868"/>
      <w:bookmarkStart w:id="6141" w:name="_Toc361325289"/>
      <w:bookmarkStart w:id="6142" w:name="_Toc361325709"/>
      <w:bookmarkStart w:id="6143" w:name="_Toc361326114"/>
      <w:bookmarkStart w:id="6144" w:name="_Toc361326515"/>
      <w:bookmarkStart w:id="6145" w:name="_Toc361326901"/>
      <w:bookmarkStart w:id="6146" w:name="_Toc361327282"/>
      <w:bookmarkStart w:id="6147" w:name="_Toc361327661"/>
      <w:bookmarkStart w:id="6148" w:name="_Toc361328033"/>
      <w:bookmarkStart w:id="6149" w:name="_Toc361328400"/>
      <w:bookmarkStart w:id="6150" w:name="_Toc361328772"/>
      <w:bookmarkStart w:id="6151" w:name="_Toc361394570"/>
      <w:bookmarkStart w:id="6152" w:name="_Toc362882533"/>
      <w:bookmarkStart w:id="6153" w:name="_Toc362882917"/>
      <w:bookmarkStart w:id="6154" w:name="_Toc362883295"/>
      <w:bookmarkStart w:id="6155" w:name="_Toc362883673"/>
      <w:bookmarkStart w:id="6156" w:name="_Toc362884051"/>
      <w:bookmarkStart w:id="6157" w:name="_Toc362884428"/>
      <w:bookmarkStart w:id="6158" w:name="_Toc362884803"/>
      <w:bookmarkStart w:id="6159" w:name="_Toc362885170"/>
      <w:bookmarkStart w:id="6160" w:name="_Toc362946111"/>
      <w:bookmarkStart w:id="6161" w:name="_Toc362946826"/>
      <w:bookmarkStart w:id="6162" w:name="_Toc365571293"/>
      <w:bookmarkStart w:id="6163" w:name="_Toc365624792"/>
      <w:bookmarkStart w:id="6164" w:name="_Toc365899803"/>
      <w:bookmarkStart w:id="6165" w:name="_Toc365982612"/>
      <w:bookmarkStart w:id="6166" w:name="_Toc361324438"/>
      <w:bookmarkStart w:id="6167" w:name="_Toc361324869"/>
      <w:bookmarkStart w:id="6168" w:name="_Toc361325290"/>
      <w:bookmarkStart w:id="6169" w:name="_Toc361325710"/>
      <w:bookmarkStart w:id="6170" w:name="_Toc361326115"/>
      <w:bookmarkStart w:id="6171" w:name="_Toc361326516"/>
      <w:bookmarkStart w:id="6172" w:name="_Toc361326902"/>
      <w:bookmarkStart w:id="6173" w:name="_Toc361327283"/>
      <w:bookmarkStart w:id="6174" w:name="_Toc361327662"/>
      <w:bookmarkStart w:id="6175" w:name="_Toc361328034"/>
      <w:bookmarkStart w:id="6176" w:name="_Toc361328401"/>
      <w:bookmarkStart w:id="6177" w:name="_Toc361328773"/>
      <w:bookmarkStart w:id="6178" w:name="_Toc361394571"/>
      <w:bookmarkStart w:id="6179" w:name="_Toc362882534"/>
      <w:bookmarkStart w:id="6180" w:name="_Toc362882918"/>
      <w:bookmarkStart w:id="6181" w:name="_Toc362883296"/>
      <w:bookmarkStart w:id="6182" w:name="_Toc362883674"/>
      <w:bookmarkStart w:id="6183" w:name="_Toc362884052"/>
      <w:bookmarkStart w:id="6184" w:name="_Toc362884429"/>
      <w:bookmarkStart w:id="6185" w:name="_Toc362884804"/>
      <w:bookmarkStart w:id="6186" w:name="_Toc362885171"/>
      <w:bookmarkStart w:id="6187" w:name="_Toc362946112"/>
      <w:bookmarkStart w:id="6188" w:name="_Toc362946827"/>
      <w:bookmarkStart w:id="6189" w:name="_Toc365571294"/>
      <w:bookmarkStart w:id="6190" w:name="_Toc365624793"/>
      <w:bookmarkStart w:id="6191" w:name="_Toc365899804"/>
      <w:bookmarkStart w:id="6192" w:name="_Toc365982613"/>
      <w:bookmarkStart w:id="6193" w:name="_Toc361324439"/>
      <w:bookmarkStart w:id="6194" w:name="_Toc361324870"/>
      <w:bookmarkStart w:id="6195" w:name="_Toc361325291"/>
      <w:bookmarkStart w:id="6196" w:name="_Toc361325711"/>
      <w:bookmarkStart w:id="6197" w:name="_Toc361326116"/>
      <w:bookmarkStart w:id="6198" w:name="_Toc361326517"/>
      <w:bookmarkStart w:id="6199" w:name="_Toc361326903"/>
      <w:bookmarkStart w:id="6200" w:name="_Toc361327284"/>
      <w:bookmarkStart w:id="6201" w:name="_Toc361327663"/>
      <w:bookmarkStart w:id="6202" w:name="_Toc361328035"/>
      <w:bookmarkStart w:id="6203" w:name="_Toc361328402"/>
      <w:bookmarkStart w:id="6204" w:name="_Toc361328774"/>
      <w:bookmarkStart w:id="6205" w:name="_Toc361394572"/>
      <w:bookmarkStart w:id="6206" w:name="_Toc362882535"/>
      <w:bookmarkStart w:id="6207" w:name="_Toc362882919"/>
      <w:bookmarkStart w:id="6208" w:name="_Toc362883297"/>
      <w:bookmarkStart w:id="6209" w:name="_Toc362883675"/>
      <w:bookmarkStart w:id="6210" w:name="_Toc362884053"/>
      <w:bookmarkStart w:id="6211" w:name="_Toc362884430"/>
      <w:bookmarkStart w:id="6212" w:name="_Toc362884805"/>
      <w:bookmarkStart w:id="6213" w:name="_Toc362885172"/>
      <w:bookmarkStart w:id="6214" w:name="_Toc362946113"/>
      <w:bookmarkStart w:id="6215" w:name="_Toc362946828"/>
      <w:bookmarkStart w:id="6216" w:name="_Toc365571295"/>
      <w:bookmarkStart w:id="6217" w:name="_Toc365624794"/>
      <w:bookmarkStart w:id="6218" w:name="_Toc365899805"/>
      <w:bookmarkStart w:id="6219" w:name="_Toc365982614"/>
      <w:bookmarkStart w:id="6220" w:name="_Toc361324440"/>
      <w:bookmarkStart w:id="6221" w:name="_Toc361324871"/>
      <w:bookmarkStart w:id="6222" w:name="_Toc361325292"/>
      <w:bookmarkStart w:id="6223" w:name="_Toc361325712"/>
      <w:bookmarkStart w:id="6224" w:name="_Toc361326117"/>
      <w:bookmarkStart w:id="6225" w:name="_Toc361326518"/>
      <w:bookmarkStart w:id="6226" w:name="_Toc361326904"/>
      <w:bookmarkStart w:id="6227" w:name="_Toc361327285"/>
      <w:bookmarkStart w:id="6228" w:name="_Toc361327664"/>
      <w:bookmarkStart w:id="6229" w:name="_Toc361328036"/>
      <w:bookmarkStart w:id="6230" w:name="_Toc361328403"/>
      <w:bookmarkStart w:id="6231" w:name="_Toc361328775"/>
      <w:bookmarkStart w:id="6232" w:name="_Toc361394573"/>
      <w:bookmarkStart w:id="6233" w:name="_Toc362882536"/>
      <w:bookmarkStart w:id="6234" w:name="_Toc362882920"/>
      <w:bookmarkStart w:id="6235" w:name="_Toc362883298"/>
      <w:bookmarkStart w:id="6236" w:name="_Toc362883676"/>
      <w:bookmarkStart w:id="6237" w:name="_Toc362884054"/>
      <w:bookmarkStart w:id="6238" w:name="_Toc362884431"/>
      <w:bookmarkStart w:id="6239" w:name="_Toc362884806"/>
      <w:bookmarkStart w:id="6240" w:name="_Toc362885173"/>
      <w:bookmarkStart w:id="6241" w:name="_Toc362946114"/>
      <w:bookmarkStart w:id="6242" w:name="_Toc362946829"/>
      <w:bookmarkStart w:id="6243" w:name="_Toc365571296"/>
      <w:bookmarkStart w:id="6244" w:name="_Toc365624795"/>
      <w:bookmarkStart w:id="6245" w:name="_Toc365899806"/>
      <w:bookmarkStart w:id="6246" w:name="_Toc365982615"/>
      <w:bookmarkStart w:id="6247" w:name="_Toc361324459"/>
      <w:bookmarkStart w:id="6248" w:name="_Toc361324890"/>
      <w:bookmarkStart w:id="6249" w:name="_Toc361325311"/>
      <w:bookmarkStart w:id="6250" w:name="_Toc361325731"/>
      <w:bookmarkStart w:id="6251" w:name="_Toc361326136"/>
      <w:bookmarkStart w:id="6252" w:name="_Toc361326537"/>
      <w:bookmarkStart w:id="6253" w:name="_Toc361326923"/>
      <w:bookmarkStart w:id="6254" w:name="_Toc361327304"/>
      <w:bookmarkStart w:id="6255" w:name="_Toc361327683"/>
      <w:bookmarkStart w:id="6256" w:name="_Toc361328055"/>
      <w:bookmarkStart w:id="6257" w:name="_Toc361328422"/>
      <w:bookmarkStart w:id="6258" w:name="_Toc361328794"/>
      <w:bookmarkStart w:id="6259" w:name="_Toc361394592"/>
      <w:bookmarkStart w:id="6260" w:name="_Toc362882550"/>
      <w:bookmarkStart w:id="6261" w:name="_Toc362882934"/>
      <w:bookmarkStart w:id="6262" w:name="_Toc362883312"/>
      <w:bookmarkStart w:id="6263" w:name="_Toc362883690"/>
      <w:bookmarkStart w:id="6264" w:name="_Toc362884068"/>
      <w:bookmarkStart w:id="6265" w:name="_Toc362884445"/>
      <w:bookmarkStart w:id="6266" w:name="_Toc362884820"/>
      <w:bookmarkStart w:id="6267" w:name="_Toc362885187"/>
      <w:bookmarkStart w:id="6268" w:name="_Toc362946128"/>
      <w:bookmarkStart w:id="6269" w:name="_Toc362946843"/>
      <w:bookmarkStart w:id="6270" w:name="_Toc365571310"/>
      <w:bookmarkStart w:id="6271" w:name="_Toc365624809"/>
      <w:bookmarkStart w:id="6272" w:name="_Toc365899820"/>
      <w:bookmarkStart w:id="6273" w:name="_Toc365982629"/>
      <w:bookmarkStart w:id="6274" w:name="_Toc361324460"/>
      <w:bookmarkStart w:id="6275" w:name="_Toc361324891"/>
      <w:bookmarkStart w:id="6276" w:name="_Toc361325312"/>
      <w:bookmarkStart w:id="6277" w:name="_Toc361325732"/>
      <w:bookmarkStart w:id="6278" w:name="_Toc361326137"/>
      <w:bookmarkStart w:id="6279" w:name="_Toc361326538"/>
      <w:bookmarkStart w:id="6280" w:name="_Toc361326924"/>
      <w:bookmarkStart w:id="6281" w:name="_Toc361327305"/>
      <w:bookmarkStart w:id="6282" w:name="_Toc361327684"/>
      <w:bookmarkStart w:id="6283" w:name="_Toc361328056"/>
      <w:bookmarkStart w:id="6284" w:name="_Toc361328423"/>
      <w:bookmarkStart w:id="6285" w:name="_Toc361328795"/>
      <w:bookmarkStart w:id="6286" w:name="_Toc361394593"/>
      <w:bookmarkStart w:id="6287" w:name="_Toc362882551"/>
      <w:bookmarkStart w:id="6288" w:name="_Toc362882935"/>
      <w:bookmarkStart w:id="6289" w:name="_Toc362883313"/>
      <w:bookmarkStart w:id="6290" w:name="_Toc362883691"/>
      <w:bookmarkStart w:id="6291" w:name="_Toc362884069"/>
      <w:bookmarkStart w:id="6292" w:name="_Toc362884446"/>
      <w:bookmarkStart w:id="6293" w:name="_Toc362884821"/>
      <w:bookmarkStart w:id="6294" w:name="_Toc362885188"/>
      <w:bookmarkStart w:id="6295" w:name="_Toc362946129"/>
      <w:bookmarkStart w:id="6296" w:name="_Toc362946844"/>
      <w:bookmarkStart w:id="6297" w:name="_Toc365571311"/>
      <w:bookmarkStart w:id="6298" w:name="_Toc365624810"/>
      <w:bookmarkStart w:id="6299" w:name="_Toc365899821"/>
      <w:bookmarkStart w:id="6300" w:name="_Toc365982630"/>
      <w:bookmarkStart w:id="6301" w:name="_Toc361324461"/>
      <w:bookmarkStart w:id="6302" w:name="_Toc361324892"/>
      <w:bookmarkStart w:id="6303" w:name="_Toc361325313"/>
      <w:bookmarkStart w:id="6304" w:name="_Toc361325733"/>
      <w:bookmarkStart w:id="6305" w:name="_Toc361326138"/>
      <w:bookmarkStart w:id="6306" w:name="_Toc361326539"/>
      <w:bookmarkStart w:id="6307" w:name="_Toc361326925"/>
      <w:bookmarkStart w:id="6308" w:name="_Toc361327306"/>
      <w:bookmarkStart w:id="6309" w:name="_Toc361327685"/>
      <w:bookmarkStart w:id="6310" w:name="_Toc361328057"/>
      <w:bookmarkStart w:id="6311" w:name="_Toc361328424"/>
      <w:bookmarkStart w:id="6312" w:name="_Toc361328796"/>
      <w:bookmarkStart w:id="6313" w:name="_Toc361394594"/>
      <w:bookmarkStart w:id="6314" w:name="_Toc362882552"/>
      <w:bookmarkStart w:id="6315" w:name="_Toc362882936"/>
      <w:bookmarkStart w:id="6316" w:name="_Toc362883314"/>
      <w:bookmarkStart w:id="6317" w:name="_Toc362883692"/>
      <w:bookmarkStart w:id="6318" w:name="_Toc362884070"/>
      <w:bookmarkStart w:id="6319" w:name="_Toc362884447"/>
      <w:bookmarkStart w:id="6320" w:name="_Toc362884822"/>
      <w:bookmarkStart w:id="6321" w:name="_Toc362885189"/>
      <w:bookmarkStart w:id="6322" w:name="_Toc362946130"/>
      <w:bookmarkStart w:id="6323" w:name="_Toc362946845"/>
      <w:bookmarkStart w:id="6324" w:name="_Toc365571312"/>
      <w:bookmarkStart w:id="6325" w:name="_Toc365624811"/>
      <w:bookmarkStart w:id="6326" w:name="_Toc365899822"/>
      <w:bookmarkStart w:id="6327" w:name="_Toc365982631"/>
      <w:bookmarkStart w:id="6328" w:name="_Toc361324462"/>
      <w:bookmarkStart w:id="6329" w:name="_Toc361324893"/>
      <w:bookmarkStart w:id="6330" w:name="_Toc361325314"/>
      <w:bookmarkStart w:id="6331" w:name="_Toc361325734"/>
      <w:bookmarkStart w:id="6332" w:name="_Toc361326139"/>
      <w:bookmarkStart w:id="6333" w:name="_Toc361326540"/>
      <w:bookmarkStart w:id="6334" w:name="_Toc361326926"/>
      <w:bookmarkStart w:id="6335" w:name="_Toc361327307"/>
      <w:bookmarkStart w:id="6336" w:name="_Toc361327686"/>
      <w:bookmarkStart w:id="6337" w:name="_Toc361328058"/>
      <w:bookmarkStart w:id="6338" w:name="_Toc361328425"/>
      <w:bookmarkStart w:id="6339" w:name="_Toc361328797"/>
      <w:bookmarkStart w:id="6340" w:name="_Toc361394595"/>
      <w:bookmarkStart w:id="6341" w:name="_Toc362882553"/>
      <w:bookmarkStart w:id="6342" w:name="_Toc362882937"/>
      <w:bookmarkStart w:id="6343" w:name="_Toc362883315"/>
      <w:bookmarkStart w:id="6344" w:name="_Toc362883693"/>
      <w:bookmarkStart w:id="6345" w:name="_Toc362884071"/>
      <w:bookmarkStart w:id="6346" w:name="_Toc362884448"/>
      <w:bookmarkStart w:id="6347" w:name="_Toc362884823"/>
      <w:bookmarkStart w:id="6348" w:name="_Toc362885190"/>
      <w:bookmarkStart w:id="6349" w:name="_Toc362946131"/>
      <w:bookmarkStart w:id="6350" w:name="_Toc362946846"/>
      <w:bookmarkStart w:id="6351" w:name="_Toc365571313"/>
      <w:bookmarkStart w:id="6352" w:name="_Toc365624812"/>
      <w:bookmarkStart w:id="6353" w:name="_Toc365899823"/>
      <w:bookmarkStart w:id="6354" w:name="_Toc365982632"/>
      <w:bookmarkStart w:id="6355" w:name="_Toc361324463"/>
      <w:bookmarkStart w:id="6356" w:name="_Toc361324894"/>
      <w:bookmarkStart w:id="6357" w:name="_Toc361325315"/>
      <w:bookmarkStart w:id="6358" w:name="_Toc361325735"/>
      <w:bookmarkStart w:id="6359" w:name="_Toc361326140"/>
      <w:bookmarkStart w:id="6360" w:name="_Toc361326541"/>
      <w:bookmarkStart w:id="6361" w:name="_Toc361326927"/>
      <w:bookmarkStart w:id="6362" w:name="_Toc361327308"/>
      <w:bookmarkStart w:id="6363" w:name="_Toc361327687"/>
      <w:bookmarkStart w:id="6364" w:name="_Toc361328059"/>
      <w:bookmarkStart w:id="6365" w:name="_Toc361328426"/>
      <w:bookmarkStart w:id="6366" w:name="_Toc361328798"/>
      <w:bookmarkStart w:id="6367" w:name="_Toc361394596"/>
      <w:bookmarkStart w:id="6368" w:name="_Toc362882554"/>
      <w:bookmarkStart w:id="6369" w:name="_Toc362882938"/>
      <w:bookmarkStart w:id="6370" w:name="_Toc362883316"/>
      <w:bookmarkStart w:id="6371" w:name="_Toc362883694"/>
      <w:bookmarkStart w:id="6372" w:name="_Toc362884072"/>
      <w:bookmarkStart w:id="6373" w:name="_Toc362884449"/>
      <w:bookmarkStart w:id="6374" w:name="_Toc362884824"/>
      <w:bookmarkStart w:id="6375" w:name="_Toc362885191"/>
      <w:bookmarkStart w:id="6376" w:name="_Toc362946132"/>
      <w:bookmarkStart w:id="6377" w:name="_Toc362946847"/>
      <w:bookmarkStart w:id="6378" w:name="_Toc365571314"/>
      <w:bookmarkStart w:id="6379" w:name="_Toc365624813"/>
      <w:bookmarkStart w:id="6380" w:name="_Toc365899824"/>
      <w:bookmarkStart w:id="6381" w:name="_Toc365982633"/>
      <w:bookmarkStart w:id="6382" w:name="_Toc361324464"/>
      <w:bookmarkStart w:id="6383" w:name="_Toc361324895"/>
      <w:bookmarkStart w:id="6384" w:name="_Toc361325316"/>
      <w:bookmarkStart w:id="6385" w:name="_Toc361325736"/>
      <w:bookmarkStart w:id="6386" w:name="_Toc361326141"/>
      <w:bookmarkStart w:id="6387" w:name="_Toc361326542"/>
      <w:bookmarkStart w:id="6388" w:name="_Toc361326928"/>
      <w:bookmarkStart w:id="6389" w:name="_Toc361327309"/>
      <w:bookmarkStart w:id="6390" w:name="_Toc361327688"/>
      <w:bookmarkStart w:id="6391" w:name="_Toc361328060"/>
      <w:bookmarkStart w:id="6392" w:name="_Toc361328427"/>
      <w:bookmarkStart w:id="6393" w:name="_Toc361328799"/>
      <w:bookmarkStart w:id="6394" w:name="_Toc361394597"/>
      <w:bookmarkStart w:id="6395" w:name="_Toc362882555"/>
      <w:bookmarkStart w:id="6396" w:name="_Toc362882939"/>
      <w:bookmarkStart w:id="6397" w:name="_Toc362883317"/>
      <w:bookmarkStart w:id="6398" w:name="_Toc362883695"/>
      <w:bookmarkStart w:id="6399" w:name="_Toc362884073"/>
      <w:bookmarkStart w:id="6400" w:name="_Toc362884450"/>
      <w:bookmarkStart w:id="6401" w:name="_Toc362884825"/>
      <w:bookmarkStart w:id="6402" w:name="_Toc362885192"/>
      <w:bookmarkStart w:id="6403" w:name="_Toc362946133"/>
      <w:bookmarkStart w:id="6404" w:name="_Toc362946848"/>
      <w:bookmarkStart w:id="6405" w:name="_Toc365571315"/>
      <w:bookmarkStart w:id="6406" w:name="_Toc365624814"/>
      <w:bookmarkStart w:id="6407" w:name="_Toc365899825"/>
      <w:bookmarkStart w:id="6408" w:name="_Toc365982634"/>
      <w:bookmarkStart w:id="6409" w:name="_Toc361324465"/>
      <w:bookmarkStart w:id="6410" w:name="_Toc361324896"/>
      <w:bookmarkStart w:id="6411" w:name="_Toc361325317"/>
      <w:bookmarkStart w:id="6412" w:name="_Toc361325737"/>
      <w:bookmarkStart w:id="6413" w:name="_Toc361326142"/>
      <w:bookmarkStart w:id="6414" w:name="_Toc361326543"/>
      <w:bookmarkStart w:id="6415" w:name="_Toc361326929"/>
      <w:bookmarkStart w:id="6416" w:name="_Toc361327310"/>
      <w:bookmarkStart w:id="6417" w:name="_Toc361327689"/>
      <w:bookmarkStart w:id="6418" w:name="_Toc361328061"/>
      <w:bookmarkStart w:id="6419" w:name="_Toc361328428"/>
      <w:bookmarkStart w:id="6420" w:name="_Toc361328800"/>
      <w:bookmarkStart w:id="6421" w:name="_Toc361394598"/>
      <w:bookmarkStart w:id="6422" w:name="_Toc362882556"/>
      <w:bookmarkStart w:id="6423" w:name="_Toc362882940"/>
      <w:bookmarkStart w:id="6424" w:name="_Toc362883318"/>
      <w:bookmarkStart w:id="6425" w:name="_Toc362883696"/>
      <w:bookmarkStart w:id="6426" w:name="_Toc362884074"/>
      <w:bookmarkStart w:id="6427" w:name="_Toc362884451"/>
      <w:bookmarkStart w:id="6428" w:name="_Toc362884826"/>
      <w:bookmarkStart w:id="6429" w:name="_Toc362885193"/>
      <w:bookmarkStart w:id="6430" w:name="_Toc362946134"/>
      <w:bookmarkStart w:id="6431" w:name="_Toc362946849"/>
      <w:bookmarkStart w:id="6432" w:name="_Toc365571316"/>
      <w:bookmarkStart w:id="6433" w:name="_Toc365624815"/>
      <w:bookmarkStart w:id="6434" w:name="_Toc365899826"/>
      <w:bookmarkStart w:id="6435" w:name="_Toc365982635"/>
      <w:bookmarkStart w:id="6436" w:name="_Toc361324466"/>
      <w:bookmarkStart w:id="6437" w:name="_Toc361324897"/>
      <w:bookmarkStart w:id="6438" w:name="_Toc361325318"/>
      <w:bookmarkStart w:id="6439" w:name="_Toc361325738"/>
      <w:bookmarkStart w:id="6440" w:name="_Toc361326143"/>
      <w:bookmarkStart w:id="6441" w:name="_Toc361326544"/>
      <w:bookmarkStart w:id="6442" w:name="_Toc361326930"/>
      <w:bookmarkStart w:id="6443" w:name="_Toc361327311"/>
      <w:bookmarkStart w:id="6444" w:name="_Toc361327690"/>
      <w:bookmarkStart w:id="6445" w:name="_Toc361328062"/>
      <w:bookmarkStart w:id="6446" w:name="_Toc361328429"/>
      <w:bookmarkStart w:id="6447" w:name="_Toc361328801"/>
      <w:bookmarkStart w:id="6448" w:name="_Toc361394599"/>
      <w:bookmarkStart w:id="6449" w:name="_Toc362882557"/>
      <w:bookmarkStart w:id="6450" w:name="_Toc362882941"/>
      <w:bookmarkStart w:id="6451" w:name="_Toc362883319"/>
      <w:bookmarkStart w:id="6452" w:name="_Toc362883697"/>
      <w:bookmarkStart w:id="6453" w:name="_Toc362884075"/>
      <w:bookmarkStart w:id="6454" w:name="_Toc362884452"/>
      <w:bookmarkStart w:id="6455" w:name="_Toc362884827"/>
      <w:bookmarkStart w:id="6456" w:name="_Toc362885194"/>
      <w:bookmarkStart w:id="6457" w:name="_Toc362946135"/>
      <w:bookmarkStart w:id="6458" w:name="_Toc362946850"/>
      <w:bookmarkStart w:id="6459" w:name="_Toc365571317"/>
      <w:bookmarkStart w:id="6460" w:name="_Toc365624816"/>
      <w:bookmarkStart w:id="6461" w:name="_Toc365899827"/>
      <w:bookmarkStart w:id="6462" w:name="_Toc365982636"/>
      <w:bookmarkStart w:id="6463" w:name="_Toc361324467"/>
      <w:bookmarkStart w:id="6464" w:name="_Toc361324898"/>
      <w:bookmarkStart w:id="6465" w:name="_Toc361325319"/>
      <w:bookmarkStart w:id="6466" w:name="_Toc361325739"/>
      <w:bookmarkStart w:id="6467" w:name="_Toc361326144"/>
      <w:bookmarkStart w:id="6468" w:name="_Toc361326545"/>
      <w:bookmarkStart w:id="6469" w:name="_Toc361326931"/>
      <w:bookmarkStart w:id="6470" w:name="_Toc361327312"/>
      <w:bookmarkStart w:id="6471" w:name="_Toc361327691"/>
      <w:bookmarkStart w:id="6472" w:name="_Toc361328063"/>
      <w:bookmarkStart w:id="6473" w:name="_Toc361328430"/>
      <w:bookmarkStart w:id="6474" w:name="_Toc361328802"/>
      <w:bookmarkStart w:id="6475" w:name="_Toc361394600"/>
      <w:bookmarkStart w:id="6476" w:name="_Toc362882558"/>
      <w:bookmarkStart w:id="6477" w:name="_Toc362882942"/>
      <w:bookmarkStart w:id="6478" w:name="_Toc362883320"/>
      <w:bookmarkStart w:id="6479" w:name="_Toc362883698"/>
      <w:bookmarkStart w:id="6480" w:name="_Toc362884076"/>
      <w:bookmarkStart w:id="6481" w:name="_Toc362884453"/>
      <w:bookmarkStart w:id="6482" w:name="_Toc362884828"/>
      <w:bookmarkStart w:id="6483" w:name="_Toc362885195"/>
      <w:bookmarkStart w:id="6484" w:name="_Toc362946136"/>
      <w:bookmarkStart w:id="6485" w:name="_Toc362946851"/>
      <w:bookmarkStart w:id="6486" w:name="_Toc365571318"/>
      <w:bookmarkStart w:id="6487" w:name="_Toc365624817"/>
      <w:bookmarkStart w:id="6488" w:name="_Toc365899828"/>
      <w:bookmarkStart w:id="6489" w:name="_Toc365982637"/>
      <w:bookmarkStart w:id="6490" w:name="_Toc361324468"/>
      <w:bookmarkStart w:id="6491" w:name="_Toc361324899"/>
      <w:bookmarkStart w:id="6492" w:name="_Toc361325320"/>
      <w:bookmarkStart w:id="6493" w:name="_Toc361325740"/>
      <w:bookmarkStart w:id="6494" w:name="_Toc361326145"/>
      <w:bookmarkStart w:id="6495" w:name="_Toc361326546"/>
      <w:bookmarkStart w:id="6496" w:name="_Toc361326932"/>
      <w:bookmarkStart w:id="6497" w:name="_Toc361327313"/>
      <w:bookmarkStart w:id="6498" w:name="_Toc361327692"/>
      <w:bookmarkStart w:id="6499" w:name="_Toc361328064"/>
      <w:bookmarkStart w:id="6500" w:name="_Toc361328431"/>
      <w:bookmarkStart w:id="6501" w:name="_Toc361328803"/>
      <w:bookmarkStart w:id="6502" w:name="_Toc361394601"/>
      <w:bookmarkStart w:id="6503" w:name="_Toc362882559"/>
      <w:bookmarkStart w:id="6504" w:name="_Toc362882943"/>
      <w:bookmarkStart w:id="6505" w:name="_Toc362883321"/>
      <w:bookmarkStart w:id="6506" w:name="_Toc362883699"/>
      <w:bookmarkStart w:id="6507" w:name="_Toc362884077"/>
      <w:bookmarkStart w:id="6508" w:name="_Toc362884454"/>
      <w:bookmarkStart w:id="6509" w:name="_Toc362884829"/>
      <w:bookmarkStart w:id="6510" w:name="_Toc362885196"/>
      <w:bookmarkStart w:id="6511" w:name="_Toc362946137"/>
      <w:bookmarkStart w:id="6512" w:name="_Toc362946852"/>
      <w:bookmarkStart w:id="6513" w:name="_Toc365571319"/>
      <w:bookmarkStart w:id="6514" w:name="_Toc365624818"/>
      <w:bookmarkStart w:id="6515" w:name="_Toc365899829"/>
      <w:bookmarkStart w:id="6516" w:name="_Toc365982638"/>
      <w:bookmarkStart w:id="6517" w:name="_Toc361324469"/>
      <w:bookmarkStart w:id="6518" w:name="_Toc361324900"/>
      <w:bookmarkStart w:id="6519" w:name="_Toc361325321"/>
      <w:bookmarkStart w:id="6520" w:name="_Toc361325741"/>
      <w:bookmarkStart w:id="6521" w:name="_Toc361326146"/>
      <w:bookmarkStart w:id="6522" w:name="_Toc361326547"/>
      <w:bookmarkStart w:id="6523" w:name="_Toc361326933"/>
      <w:bookmarkStart w:id="6524" w:name="_Toc361327314"/>
      <w:bookmarkStart w:id="6525" w:name="_Toc361327693"/>
      <w:bookmarkStart w:id="6526" w:name="_Toc361328065"/>
      <w:bookmarkStart w:id="6527" w:name="_Toc361328432"/>
      <w:bookmarkStart w:id="6528" w:name="_Toc361328804"/>
      <w:bookmarkStart w:id="6529" w:name="_Toc361394602"/>
      <w:bookmarkStart w:id="6530" w:name="_Toc362882560"/>
      <w:bookmarkStart w:id="6531" w:name="_Toc362882944"/>
      <w:bookmarkStart w:id="6532" w:name="_Toc362883322"/>
      <w:bookmarkStart w:id="6533" w:name="_Toc362883700"/>
      <w:bookmarkStart w:id="6534" w:name="_Toc362884078"/>
      <w:bookmarkStart w:id="6535" w:name="_Toc362884455"/>
      <w:bookmarkStart w:id="6536" w:name="_Toc362884830"/>
      <w:bookmarkStart w:id="6537" w:name="_Toc362885197"/>
      <w:bookmarkStart w:id="6538" w:name="_Toc362946138"/>
      <w:bookmarkStart w:id="6539" w:name="_Toc362946853"/>
      <w:bookmarkStart w:id="6540" w:name="_Toc365571320"/>
      <w:bookmarkStart w:id="6541" w:name="_Toc365624819"/>
      <w:bookmarkStart w:id="6542" w:name="_Toc365899830"/>
      <w:bookmarkStart w:id="6543" w:name="_Toc365982639"/>
      <w:bookmarkStart w:id="6544" w:name="_Toc361324470"/>
      <w:bookmarkStart w:id="6545" w:name="_Toc361324901"/>
      <w:bookmarkStart w:id="6546" w:name="_Toc361325322"/>
      <w:bookmarkStart w:id="6547" w:name="_Toc361325742"/>
      <w:bookmarkStart w:id="6548" w:name="_Toc361326147"/>
      <w:bookmarkStart w:id="6549" w:name="_Toc361326548"/>
      <w:bookmarkStart w:id="6550" w:name="_Toc361326934"/>
      <w:bookmarkStart w:id="6551" w:name="_Toc361327315"/>
      <w:bookmarkStart w:id="6552" w:name="_Toc361327694"/>
      <w:bookmarkStart w:id="6553" w:name="_Toc361328066"/>
      <w:bookmarkStart w:id="6554" w:name="_Toc361328433"/>
      <w:bookmarkStart w:id="6555" w:name="_Toc361328805"/>
      <w:bookmarkStart w:id="6556" w:name="_Toc361394603"/>
      <w:bookmarkStart w:id="6557" w:name="_Toc362882561"/>
      <w:bookmarkStart w:id="6558" w:name="_Toc362882945"/>
      <w:bookmarkStart w:id="6559" w:name="_Toc362883323"/>
      <w:bookmarkStart w:id="6560" w:name="_Toc362883701"/>
      <w:bookmarkStart w:id="6561" w:name="_Toc362884079"/>
      <w:bookmarkStart w:id="6562" w:name="_Toc362884456"/>
      <w:bookmarkStart w:id="6563" w:name="_Toc362884831"/>
      <w:bookmarkStart w:id="6564" w:name="_Toc362885198"/>
      <w:bookmarkStart w:id="6565" w:name="_Toc362946139"/>
      <w:bookmarkStart w:id="6566" w:name="_Toc362946854"/>
      <w:bookmarkStart w:id="6567" w:name="_Toc365571321"/>
      <w:bookmarkStart w:id="6568" w:name="_Toc365624820"/>
      <w:bookmarkStart w:id="6569" w:name="_Toc365899831"/>
      <w:bookmarkStart w:id="6570" w:name="_Toc365982640"/>
      <w:bookmarkStart w:id="6571" w:name="_Toc361324471"/>
      <w:bookmarkStart w:id="6572" w:name="_Toc361324902"/>
      <w:bookmarkStart w:id="6573" w:name="_Toc361325323"/>
      <w:bookmarkStart w:id="6574" w:name="_Toc361325743"/>
      <w:bookmarkStart w:id="6575" w:name="_Toc361326148"/>
      <w:bookmarkStart w:id="6576" w:name="_Toc361326549"/>
      <w:bookmarkStart w:id="6577" w:name="_Toc361326935"/>
      <w:bookmarkStart w:id="6578" w:name="_Toc361327316"/>
      <w:bookmarkStart w:id="6579" w:name="_Toc361327695"/>
      <w:bookmarkStart w:id="6580" w:name="_Toc361328067"/>
      <w:bookmarkStart w:id="6581" w:name="_Toc361328434"/>
      <w:bookmarkStart w:id="6582" w:name="_Toc361328806"/>
      <w:bookmarkStart w:id="6583" w:name="_Toc361394604"/>
      <w:bookmarkStart w:id="6584" w:name="_Toc362882562"/>
      <w:bookmarkStart w:id="6585" w:name="_Toc362882946"/>
      <w:bookmarkStart w:id="6586" w:name="_Toc362883324"/>
      <w:bookmarkStart w:id="6587" w:name="_Toc362883702"/>
      <w:bookmarkStart w:id="6588" w:name="_Toc362884080"/>
      <w:bookmarkStart w:id="6589" w:name="_Toc362884457"/>
      <w:bookmarkStart w:id="6590" w:name="_Toc362884832"/>
      <w:bookmarkStart w:id="6591" w:name="_Toc362885199"/>
      <w:bookmarkStart w:id="6592" w:name="_Toc362946140"/>
      <w:bookmarkStart w:id="6593" w:name="_Toc362946855"/>
      <w:bookmarkStart w:id="6594" w:name="_Toc365571322"/>
      <w:bookmarkStart w:id="6595" w:name="_Toc365624821"/>
      <w:bookmarkStart w:id="6596" w:name="_Toc365899832"/>
      <w:bookmarkStart w:id="6597" w:name="_Toc365982641"/>
      <w:bookmarkStart w:id="6598" w:name="_Toc361324484"/>
      <w:bookmarkStart w:id="6599" w:name="_Toc361324915"/>
      <w:bookmarkStart w:id="6600" w:name="_Toc361325336"/>
      <w:bookmarkStart w:id="6601" w:name="_Toc361325756"/>
      <w:bookmarkStart w:id="6602" w:name="_Toc361326161"/>
      <w:bookmarkStart w:id="6603" w:name="_Toc361326562"/>
      <w:bookmarkStart w:id="6604" w:name="_Toc361326948"/>
      <w:bookmarkStart w:id="6605" w:name="_Toc361327329"/>
      <w:bookmarkStart w:id="6606" w:name="_Toc361327708"/>
      <w:bookmarkStart w:id="6607" w:name="_Toc361328080"/>
      <w:bookmarkStart w:id="6608" w:name="_Toc361328447"/>
      <w:bookmarkStart w:id="6609" w:name="_Toc361328819"/>
      <w:bookmarkStart w:id="6610" w:name="_Toc361394617"/>
      <w:bookmarkStart w:id="6611" w:name="_Toc362882575"/>
      <w:bookmarkStart w:id="6612" w:name="_Toc362882959"/>
      <w:bookmarkStart w:id="6613" w:name="_Toc362883337"/>
      <w:bookmarkStart w:id="6614" w:name="_Toc362883715"/>
      <w:bookmarkStart w:id="6615" w:name="_Toc362884093"/>
      <w:bookmarkStart w:id="6616" w:name="_Toc362884470"/>
      <w:bookmarkStart w:id="6617" w:name="_Toc362884845"/>
      <w:bookmarkStart w:id="6618" w:name="_Toc362885212"/>
      <w:bookmarkStart w:id="6619" w:name="_Toc362946153"/>
      <w:bookmarkStart w:id="6620" w:name="_Toc362946868"/>
      <w:bookmarkStart w:id="6621" w:name="_Toc365571335"/>
      <w:bookmarkStart w:id="6622" w:name="_Toc365624834"/>
      <w:bookmarkStart w:id="6623" w:name="_Toc365899845"/>
      <w:bookmarkStart w:id="6624" w:name="_Toc365982654"/>
      <w:bookmarkStart w:id="6625" w:name="_Toc361324485"/>
      <w:bookmarkStart w:id="6626" w:name="_Toc361324916"/>
      <w:bookmarkStart w:id="6627" w:name="_Toc361325337"/>
      <w:bookmarkStart w:id="6628" w:name="_Toc361325757"/>
      <w:bookmarkStart w:id="6629" w:name="_Toc361326162"/>
      <w:bookmarkStart w:id="6630" w:name="_Toc361326563"/>
      <w:bookmarkStart w:id="6631" w:name="_Toc361326949"/>
      <w:bookmarkStart w:id="6632" w:name="_Toc361327330"/>
      <w:bookmarkStart w:id="6633" w:name="_Toc361327709"/>
      <w:bookmarkStart w:id="6634" w:name="_Toc361328081"/>
      <w:bookmarkStart w:id="6635" w:name="_Toc361328448"/>
      <w:bookmarkStart w:id="6636" w:name="_Toc361328820"/>
      <w:bookmarkStart w:id="6637" w:name="_Toc361394618"/>
      <w:bookmarkStart w:id="6638" w:name="_Toc362882576"/>
      <w:bookmarkStart w:id="6639" w:name="_Toc362882960"/>
      <w:bookmarkStart w:id="6640" w:name="_Toc362883338"/>
      <w:bookmarkStart w:id="6641" w:name="_Toc362883716"/>
      <w:bookmarkStart w:id="6642" w:name="_Toc362884094"/>
      <w:bookmarkStart w:id="6643" w:name="_Toc362884471"/>
      <w:bookmarkStart w:id="6644" w:name="_Toc362884846"/>
      <w:bookmarkStart w:id="6645" w:name="_Toc362885213"/>
      <w:bookmarkStart w:id="6646" w:name="_Toc362946154"/>
      <w:bookmarkStart w:id="6647" w:name="_Toc362946869"/>
      <w:bookmarkStart w:id="6648" w:name="_Toc365571336"/>
      <w:bookmarkStart w:id="6649" w:name="_Toc365624835"/>
      <w:bookmarkStart w:id="6650" w:name="_Toc365899846"/>
      <w:bookmarkStart w:id="6651" w:name="_Toc365982655"/>
      <w:bookmarkStart w:id="6652" w:name="_Toc361324486"/>
      <w:bookmarkStart w:id="6653" w:name="_Toc361324917"/>
      <w:bookmarkStart w:id="6654" w:name="_Toc361325338"/>
      <w:bookmarkStart w:id="6655" w:name="_Toc361325758"/>
      <w:bookmarkStart w:id="6656" w:name="_Toc361326163"/>
      <w:bookmarkStart w:id="6657" w:name="_Toc361326564"/>
      <w:bookmarkStart w:id="6658" w:name="_Toc361326950"/>
      <w:bookmarkStart w:id="6659" w:name="_Toc361327331"/>
      <w:bookmarkStart w:id="6660" w:name="_Toc361327710"/>
      <w:bookmarkStart w:id="6661" w:name="_Toc361328082"/>
      <w:bookmarkStart w:id="6662" w:name="_Toc361328449"/>
      <w:bookmarkStart w:id="6663" w:name="_Toc361328821"/>
      <w:bookmarkStart w:id="6664" w:name="_Toc361394619"/>
      <w:bookmarkStart w:id="6665" w:name="_Toc362882577"/>
      <w:bookmarkStart w:id="6666" w:name="_Toc362882961"/>
      <w:bookmarkStart w:id="6667" w:name="_Toc362883339"/>
      <w:bookmarkStart w:id="6668" w:name="_Toc362883717"/>
      <w:bookmarkStart w:id="6669" w:name="_Toc362884095"/>
      <w:bookmarkStart w:id="6670" w:name="_Toc362884472"/>
      <w:bookmarkStart w:id="6671" w:name="_Toc362884847"/>
      <w:bookmarkStart w:id="6672" w:name="_Toc362885214"/>
      <w:bookmarkStart w:id="6673" w:name="_Toc362946155"/>
      <w:bookmarkStart w:id="6674" w:name="_Toc362946870"/>
      <w:bookmarkStart w:id="6675" w:name="_Toc365571337"/>
      <w:bookmarkStart w:id="6676" w:name="_Toc365624836"/>
      <w:bookmarkStart w:id="6677" w:name="_Toc365899847"/>
      <w:bookmarkStart w:id="6678" w:name="_Toc365982656"/>
      <w:bookmarkStart w:id="6679" w:name="_Toc361324487"/>
      <w:bookmarkStart w:id="6680" w:name="_Toc361324918"/>
      <w:bookmarkStart w:id="6681" w:name="_Toc361325339"/>
      <w:bookmarkStart w:id="6682" w:name="_Toc361325759"/>
      <w:bookmarkStart w:id="6683" w:name="_Toc361326164"/>
      <w:bookmarkStart w:id="6684" w:name="_Toc361326565"/>
      <w:bookmarkStart w:id="6685" w:name="_Toc361326951"/>
      <w:bookmarkStart w:id="6686" w:name="_Toc361327332"/>
      <w:bookmarkStart w:id="6687" w:name="_Toc361327711"/>
      <w:bookmarkStart w:id="6688" w:name="_Toc361328083"/>
      <w:bookmarkStart w:id="6689" w:name="_Toc361328450"/>
      <w:bookmarkStart w:id="6690" w:name="_Toc361328822"/>
      <w:bookmarkStart w:id="6691" w:name="_Toc361394620"/>
      <w:bookmarkStart w:id="6692" w:name="_Toc362882578"/>
      <w:bookmarkStart w:id="6693" w:name="_Toc362882962"/>
      <w:bookmarkStart w:id="6694" w:name="_Toc362883340"/>
      <w:bookmarkStart w:id="6695" w:name="_Toc362883718"/>
      <w:bookmarkStart w:id="6696" w:name="_Toc362884096"/>
      <w:bookmarkStart w:id="6697" w:name="_Toc362884473"/>
      <w:bookmarkStart w:id="6698" w:name="_Toc362884848"/>
      <w:bookmarkStart w:id="6699" w:name="_Toc362885215"/>
      <w:bookmarkStart w:id="6700" w:name="_Toc362946156"/>
      <w:bookmarkStart w:id="6701" w:name="_Toc362946871"/>
      <w:bookmarkStart w:id="6702" w:name="_Toc365571338"/>
      <w:bookmarkStart w:id="6703" w:name="_Toc365624837"/>
      <w:bookmarkStart w:id="6704" w:name="_Toc365899848"/>
      <w:bookmarkStart w:id="6705" w:name="_Toc365982657"/>
      <w:bookmarkStart w:id="6706" w:name="_Toc361324488"/>
      <w:bookmarkStart w:id="6707" w:name="_Toc361324919"/>
      <w:bookmarkStart w:id="6708" w:name="_Toc361325340"/>
      <w:bookmarkStart w:id="6709" w:name="_Toc361325760"/>
      <w:bookmarkStart w:id="6710" w:name="_Toc361326165"/>
      <w:bookmarkStart w:id="6711" w:name="_Toc361326566"/>
      <w:bookmarkStart w:id="6712" w:name="_Toc361326952"/>
      <w:bookmarkStart w:id="6713" w:name="_Toc361327333"/>
      <w:bookmarkStart w:id="6714" w:name="_Toc361327712"/>
      <w:bookmarkStart w:id="6715" w:name="_Toc361328084"/>
      <w:bookmarkStart w:id="6716" w:name="_Toc361328451"/>
      <w:bookmarkStart w:id="6717" w:name="_Toc361328823"/>
      <w:bookmarkStart w:id="6718" w:name="_Toc361394621"/>
      <w:bookmarkStart w:id="6719" w:name="_Toc362882579"/>
      <w:bookmarkStart w:id="6720" w:name="_Toc362882963"/>
      <w:bookmarkStart w:id="6721" w:name="_Toc362883341"/>
      <w:bookmarkStart w:id="6722" w:name="_Toc362883719"/>
      <w:bookmarkStart w:id="6723" w:name="_Toc362884097"/>
      <w:bookmarkStart w:id="6724" w:name="_Toc362884474"/>
      <w:bookmarkStart w:id="6725" w:name="_Toc362884849"/>
      <w:bookmarkStart w:id="6726" w:name="_Toc362885216"/>
      <w:bookmarkStart w:id="6727" w:name="_Toc362946157"/>
      <w:bookmarkStart w:id="6728" w:name="_Toc362946872"/>
      <w:bookmarkStart w:id="6729" w:name="_Toc365571339"/>
      <w:bookmarkStart w:id="6730" w:name="_Toc365624838"/>
      <w:bookmarkStart w:id="6731" w:name="_Toc365899849"/>
      <w:bookmarkStart w:id="6732" w:name="_Toc365982658"/>
      <w:bookmarkStart w:id="6733" w:name="_Toc361324489"/>
      <w:bookmarkStart w:id="6734" w:name="_Toc361324920"/>
      <w:bookmarkStart w:id="6735" w:name="_Toc361325341"/>
      <w:bookmarkStart w:id="6736" w:name="_Toc361325761"/>
      <w:bookmarkStart w:id="6737" w:name="_Toc361326166"/>
      <w:bookmarkStart w:id="6738" w:name="_Toc361326567"/>
      <w:bookmarkStart w:id="6739" w:name="_Toc361326953"/>
      <w:bookmarkStart w:id="6740" w:name="_Toc361327334"/>
      <w:bookmarkStart w:id="6741" w:name="_Toc361327713"/>
      <w:bookmarkStart w:id="6742" w:name="_Toc361328085"/>
      <w:bookmarkStart w:id="6743" w:name="_Toc361328452"/>
      <w:bookmarkStart w:id="6744" w:name="_Toc361328824"/>
      <w:bookmarkStart w:id="6745" w:name="_Toc361394622"/>
      <w:bookmarkStart w:id="6746" w:name="_Toc362882580"/>
      <w:bookmarkStart w:id="6747" w:name="_Toc362882964"/>
      <w:bookmarkStart w:id="6748" w:name="_Toc362883342"/>
      <w:bookmarkStart w:id="6749" w:name="_Toc362883720"/>
      <w:bookmarkStart w:id="6750" w:name="_Toc362884098"/>
      <w:bookmarkStart w:id="6751" w:name="_Toc362884475"/>
      <w:bookmarkStart w:id="6752" w:name="_Toc362884850"/>
      <w:bookmarkStart w:id="6753" w:name="_Toc362885217"/>
      <w:bookmarkStart w:id="6754" w:name="_Toc362946158"/>
      <w:bookmarkStart w:id="6755" w:name="_Toc362946873"/>
      <w:bookmarkStart w:id="6756" w:name="_Toc365571340"/>
      <w:bookmarkStart w:id="6757" w:name="_Toc365624839"/>
      <w:bookmarkStart w:id="6758" w:name="_Toc365899850"/>
      <w:bookmarkStart w:id="6759" w:name="_Toc365982659"/>
      <w:bookmarkStart w:id="6760" w:name="_Toc361324490"/>
      <w:bookmarkStart w:id="6761" w:name="_Toc361324921"/>
      <w:bookmarkStart w:id="6762" w:name="_Toc361325342"/>
      <w:bookmarkStart w:id="6763" w:name="_Toc361325762"/>
      <w:bookmarkStart w:id="6764" w:name="_Toc361326167"/>
      <w:bookmarkStart w:id="6765" w:name="_Toc361326568"/>
      <w:bookmarkStart w:id="6766" w:name="_Toc361326954"/>
      <w:bookmarkStart w:id="6767" w:name="_Toc361327335"/>
      <w:bookmarkStart w:id="6768" w:name="_Toc361327714"/>
      <w:bookmarkStart w:id="6769" w:name="_Toc361328086"/>
      <w:bookmarkStart w:id="6770" w:name="_Toc361328453"/>
      <w:bookmarkStart w:id="6771" w:name="_Toc361328825"/>
      <w:bookmarkStart w:id="6772" w:name="_Toc361394623"/>
      <w:bookmarkStart w:id="6773" w:name="_Toc362882581"/>
      <w:bookmarkStart w:id="6774" w:name="_Toc362882965"/>
      <w:bookmarkStart w:id="6775" w:name="_Toc362883343"/>
      <w:bookmarkStart w:id="6776" w:name="_Toc362883721"/>
      <w:bookmarkStart w:id="6777" w:name="_Toc362884099"/>
      <w:bookmarkStart w:id="6778" w:name="_Toc362884476"/>
      <w:bookmarkStart w:id="6779" w:name="_Toc362884851"/>
      <w:bookmarkStart w:id="6780" w:name="_Toc362885218"/>
      <w:bookmarkStart w:id="6781" w:name="_Toc362946159"/>
      <w:bookmarkStart w:id="6782" w:name="_Toc362946874"/>
      <w:bookmarkStart w:id="6783" w:name="_Toc365571341"/>
      <w:bookmarkStart w:id="6784" w:name="_Toc365624840"/>
      <w:bookmarkStart w:id="6785" w:name="_Toc365899851"/>
      <w:bookmarkStart w:id="6786" w:name="_Toc365982660"/>
      <w:bookmarkStart w:id="6787" w:name="_Toc361324491"/>
      <w:bookmarkStart w:id="6788" w:name="_Toc361324922"/>
      <w:bookmarkStart w:id="6789" w:name="_Toc361325343"/>
      <w:bookmarkStart w:id="6790" w:name="_Toc361325763"/>
      <w:bookmarkStart w:id="6791" w:name="_Toc361326168"/>
      <w:bookmarkStart w:id="6792" w:name="_Toc361326569"/>
      <w:bookmarkStart w:id="6793" w:name="_Toc361326955"/>
      <w:bookmarkStart w:id="6794" w:name="_Toc361327336"/>
      <w:bookmarkStart w:id="6795" w:name="_Toc361327715"/>
      <w:bookmarkStart w:id="6796" w:name="_Toc361328087"/>
      <w:bookmarkStart w:id="6797" w:name="_Toc361328454"/>
      <w:bookmarkStart w:id="6798" w:name="_Toc361328826"/>
      <w:bookmarkStart w:id="6799" w:name="_Toc361394624"/>
      <w:bookmarkStart w:id="6800" w:name="_Toc362882582"/>
      <w:bookmarkStart w:id="6801" w:name="_Toc362882966"/>
      <w:bookmarkStart w:id="6802" w:name="_Toc362883344"/>
      <w:bookmarkStart w:id="6803" w:name="_Toc362883722"/>
      <w:bookmarkStart w:id="6804" w:name="_Toc362884100"/>
      <w:bookmarkStart w:id="6805" w:name="_Toc362884477"/>
      <w:bookmarkStart w:id="6806" w:name="_Toc362884852"/>
      <w:bookmarkStart w:id="6807" w:name="_Toc362885219"/>
      <w:bookmarkStart w:id="6808" w:name="_Toc362946160"/>
      <w:bookmarkStart w:id="6809" w:name="_Toc362946875"/>
      <w:bookmarkStart w:id="6810" w:name="_Toc365571342"/>
      <w:bookmarkStart w:id="6811" w:name="_Toc365624841"/>
      <w:bookmarkStart w:id="6812" w:name="_Toc365899852"/>
      <w:bookmarkStart w:id="6813" w:name="_Toc365982661"/>
      <w:bookmarkStart w:id="6814" w:name="_Toc361324492"/>
      <w:bookmarkStart w:id="6815" w:name="_Toc361324923"/>
      <w:bookmarkStart w:id="6816" w:name="_Toc361325344"/>
      <w:bookmarkStart w:id="6817" w:name="_Toc361325764"/>
      <w:bookmarkStart w:id="6818" w:name="_Toc361326169"/>
      <w:bookmarkStart w:id="6819" w:name="_Toc361326570"/>
      <w:bookmarkStart w:id="6820" w:name="_Toc361326956"/>
      <w:bookmarkStart w:id="6821" w:name="_Toc361327337"/>
      <w:bookmarkStart w:id="6822" w:name="_Toc361327716"/>
      <w:bookmarkStart w:id="6823" w:name="_Toc361328088"/>
      <w:bookmarkStart w:id="6824" w:name="_Toc361328455"/>
      <w:bookmarkStart w:id="6825" w:name="_Toc361328827"/>
      <w:bookmarkStart w:id="6826" w:name="_Toc361394625"/>
      <w:bookmarkStart w:id="6827" w:name="_Toc362882583"/>
      <w:bookmarkStart w:id="6828" w:name="_Toc362882967"/>
      <w:bookmarkStart w:id="6829" w:name="_Toc362883345"/>
      <w:bookmarkStart w:id="6830" w:name="_Toc362883723"/>
      <w:bookmarkStart w:id="6831" w:name="_Toc362884101"/>
      <w:bookmarkStart w:id="6832" w:name="_Toc362884478"/>
      <w:bookmarkStart w:id="6833" w:name="_Toc362884853"/>
      <w:bookmarkStart w:id="6834" w:name="_Toc362885220"/>
      <w:bookmarkStart w:id="6835" w:name="_Toc362946161"/>
      <w:bookmarkStart w:id="6836" w:name="_Toc362946876"/>
      <w:bookmarkStart w:id="6837" w:name="_Toc365571343"/>
      <w:bookmarkStart w:id="6838" w:name="_Toc365624842"/>
      <w:bookmarkStart w:id="6839" w:name="_Toc365899853"/>
      <w:bookmarkStart w:id="6840" w:name="_Toc365982662"/>
      <w:bookmarkStart w:id="6841" w:name="_Toc361324493"/>
      <w:bookmarkStart w:id="6842" w:name="_Toc361324924"/>
      <w:bookmarkStart w:id="6843" w:name="_Toc361325345"/>
      <w:bookmarkStart w:id="6844" w:name="_Toc361325765"/>
      <w:bookmarkStart w:id="6845" w:name="_Toc361326170"/>
      <w:bookmarkStart w:id="6846" w:name="_Toc361326571"/>
      <w:bookmarkStart w:id="6847" w:name="_Toc361326957"/>
      <w:bookmarkStart w:id="6848" w:name="_Toc361327338"/>
      <w:bookmarkStart w:id="6849" w:name="_Toc361327717"/>
      <w:bookmarkStart w:id="6850" w:name="_Toc361328089"/>
      <w:bookmarkStart w:id="6851" w:name="_Toc361328456"/>
      <w:bookmarkStart w:id="6852" w:name="_Toc361328828"/>
      <w:bookmarkStart w:id="6853" w:name="_Toc361394626"/>
      <w:bookmarkStart w:id="6854" w:name="_Toc362882584"/>
      <w:bookmarkStart w:id="6855" w:name="_Toc362882968"/>
      <w:bookmarkStart w:id="6856" w:name="_Toc362883346"/>
      <w:bookmarkStart w:id="6857" w:name="_Toc362883724"/>
      <w:bookmarkStart w:id="6858" w:name="_Toc362884102"/>
      <w:bookmarkStart w:id="6859" w:name="_Toc362884479"/>
      <w:bookmarkStart w:id="6860" w:name="_Toc362884854"/>
      <w:bookmarkStart w:id="6861" w:name="_Toc362885221"/>
      <w:bookmarkStart w:id="6862" w:name="_Toc362946162"/>
      <w:bookmarkStart w:id="6863" w:name="_Toc362946877"/>
      <w:bookmarkStart w:id="6864" w:name="_Toc365571344"/>
      <w:bookmarkStart w:id="6865" w:name="_Toc365624843"/>
      <w:bookmarkStart w:id="6866" w:name="_Toc365899854"/>
      <w:bookmarkStart w:id="6867" w:name="_Toc365982663"/>
      <w:bookmarkStart w:id="6868" w:name="_Toc361324494"/>
      <w:bookmarkStart w:id="6869" w:name="_Toc361324925"/>
      <w:bookmarkStart w:id="6870" w:name="_Toc361325346"/>
      <w:bookmarkStart w:id="6871" w:name="_Toc361325766"/>
      <w:bookmarkStart w:id="6872" w:name="_Toc361326171"/>
      <w:bookmarkStart w:id="6873" w:name="_Toc361326572"/>
      <w:bookmarkStart w:id="6874" w:name="_Toc361326958"/>
      <w:bookmarkStart w:id="6875" w:name="_Toc361327339"/>
      <w:bookmarkStart w:id="6876" w:name="_Toc361327718"/>
      <w:bookmarkStart w:id="6877" w:name="_Toc361328090"/>
      <w:bookmarkStart w:id="6878" w:name="_Toc361328457"/>
      <w:bookmarkStart w:id="6879" w:name="_Toc361328829"/>
      <w:bookmarkStart w:id="6880" w:name="_Toc361394627"/>
      <w:bookmarkStart w:id="6881" w:name="_Toc362882585"/>
      <w:bookmarkStart w:id="6882" w:name="_Toc362882969"/>
      <w:bookmarkStart w:id="6883" w:name="_Toc362883347"/>
      <w:bookmarkStart w:id="6884" w:name="_Toc362883725"/>
      <w:bookmarkStart w:id="6885" w:name="_Toc362884103"/>
      <w:bookmarkStart w:id="6886" w:name="_Toc362884480"/>
      <w:bookmarkStart w:id="6887" w:name="_Toc362884855"/>
      <w:bookmarkStart w:id="6888" w:name="_Toc362885222"/>
      <w:bookmarkStart w:id="6889" w:name="_Toc362946163"/>
      <w:bookmarkStart w:id="6890" w:name="_Toc362946878"/>
      <w:bookmarkStart w:id="6891" w:name="_Toc365571345"/>
      <w:bookmarkStart w:id="6892" w:name="_Toc365624844"/>
      <w:bookmarkStart w:id="6893" w:name="_Toc365899855"/>
      <w:bookmarkStart w:id="6894" w:name="_Toc365982664"/>
      <w:bookmarkStart w:id="6895" w:name="_Toc361324495"/>
      <w:bookmarkStart w:id="6896" w:name="_Toc361324926"/>
      <w:bookmarkStart w:id="6897" w:name="_Toc361325347"/>
      <w:bookmarkStart w:id="6898" w:name="_Toc361325767"/>
      <w:bookmarkStart w:id="6899" w:name="_Toc361326172"/>
      <w:bookmarkStart w:id="6900" w:name="_Toc361326573"/>
      <w:bookmarkStart w:id="6901" w:name="_Toc361326959"/>
      <w:bookmarkStart w:id="6902" w:name="_Toc361327340"/>
      <w:bookmarkStart w:id="6903" w:name="_Toc361327719"/>
      <w:bookmarkStart w:id="6904" w:name="_Toc361328091"/>
      <w:bookmarkStart w:id="6905" w:name="_Toc361328458"/>
      <w:bookmarkStart w:id="6906" w:name="_Toc361328830"/>
      <w:bookmarkStart w:id="6907" w:name="_Toc361394628"/>
      <w:bookmarkStart w:id="6908" w:name="_Toc362882586"/>
      <w:bookmarkStart w:id="6909" w:name="_Toc362882970"/>
      <w:bookmarkStart w:id="6910" w:name="_Toc362883348"/>
      <w:bookmarkStart w:id="6911" w:name="_Toc362883726"/>
      <w:bookmarkStart w:id="6912" w:name="_Toc362884104"/>
      <w:bookmarkStart w:id="6913" w:name="_Toc362884481"/>
      <w:bookmarkStart w:id="6914" w:name="_Toc362884856"/>
      <w:bookmarkStart w:id="6915" w:name="_Toc362885223"/>
      <w:bookmarkStart w:id="6916" w:name="_Toc362946164"/>
      <w:bookmarkStart w:id="6917" w:name="_Toc362946879"/>
      <w:bookmarkStart w:id="6918" w:name="_Toc365571346"/>
      <w:bookmarkStart w:id="6919" w:name="_Toc365624845"/>
      <w:bookmarkStart w:id="6920" w:name="_Toc365899856"/>
      <w:bookmarkStart w:id="6921" w:name="_Toc365982665"/>
      <w:bookmarkStart w:id="6922" w:name="_Toc361324496"/>
      <w:bookmarkStart w:id="6923" w:name="_Toc361324927"/>
      <w:bookmarkStart w:id="6924" w:name="_Toc361325348"/>
      <w:bookmarkStart w:id="6925" w:name="_Toc361325768"/>
      <w:bookmarkStart w:id="6926" w:name="_Toc361326173"/>
      <w:bookmarkStart w:id="6927" w:name="_Toc361326574"/>
      <w:bookmarkStart w:id="6928" w:name="_Toc361326960"/>
      <w:bookmarkStart w:id="6929" w:name="_Toc361327341"/>
      <w:bookmarkStart w:id="6930" w:name="_Toc361327720"/>
      <w:bookmarkStart w:id="6931" w:name="_Toc361328092"/>
      <w:bookmarkStart w:id="6932" w:name="_Toc361328459"/>
      <w:bookmarkStart w:id="6933" w:name="_Toc361328831"/>
      <w:bookmarkStart w:id="6934" w:name="_Toc361394629"/>
      <w:bookmarkStart w:id="6935" w:name="_Toc362882587"/>
      <w:bookmarkStart w:id="6936" w:name="_Toc362882971"/>
      <w:bookmarkStart w:id="6937" w:name="_Toc362883349"/>
      <w:bookmarkStart w:id="6938" w:name="_Toc362883727"/>
      <w:bookmarkStart w:id="6939" w:name="_Toc362884105"/>
      <w:bookmarkStart w:id="6940" w:name="_Toc362884482"/>
      <w:bookmarkStart w:id="6941" w:name="_Toc362884857"/>
      <w:bookmarkStart w:id="6942" w:name="_Toc362885224"/>
      <w:bookmarkStart w:id="6943" w:name="_Toc362946165"/>
      <w:bookmarkStart w:id="6944" w:name="_Toc362946880"/>
      <w:bookmarkStart w:id="6945" w:name="_Toc365571347"/>
      <w:bookmarkStart w:id="6946" w:name="_Toc365624846"/>
      <w:bookmarkStart w:id="6947" w:name="_Toc365899857"/>
      <w:bookmarkStart w:id="6948" w:name="_Toc365982666"/>
      <w:bookmarkStart w:id="6949" w:name="_Toc361324497"/>
      <w:bookmarkStart w:id="6950" w:name="_Toc361324928"/>
      <w:bookmarkStart w:id="6951" w:name="_Toc361325349"/>
      <w:bookmarkStart w:id="6952" w:name="_Toc361325769"/>
      <w:bookmarkStart w:id="6953" w:name="_Toc361326174"/>
      <w:bookmarkStart w:id="6954" w:name="_Toc361326575"/>
      <w:bookmarkStart w:id="6955" w:name="_Toc361326961"/>
      <w:bookmarkStart w:id="6956" w:name="_Toc361327342"/>
      <w:bookmarkStart w:id="6957" w:name="_Toc361327721"/>
      <w:bookmarkStart w:id="6958" w:name="_Toc361328093"/>
      <w:bookmarkStart w:id="6959" w:name="_Toc361328460"/>
      <w:bookmarkStart w:id="6960" w:name="_Toc361328832"/>
      <w:bookmarkStart w:id="6961" w:name="_Toc361394630"/>
      <w:bookmarkStart w:id="6962" w:name="_Toc362882588"/>
      <w:bookmarkStart w:id="6963" w:name="_Toc362882972"/>
      <w:bookmarkStart w:id="6964" w:name="_Toc362883350"/>
      <w:bookmarkStart w:id="6965" w:name="_Toc362883728"/>
      <w:bookmarkStart w:id="6966" w:name="_Toc362884106"/>
      <w:bookmarkStart w:id="6967" w:name="_Toc362884483"/>
      <w:bookmarkStart w:id="6968" w:name="_Toc362884858"/>
      <w:bookmarkStart w:id="6969" w:name="_Toc362885225"/>
      <w:bookmarkStart w:id="6970" w:name="_Toc362946166"/>
      <w:bookmarkStart w:id="6971" w:name="_Toc362946881"/>
      <w:bookmarkStart w:id="6972" w:name="_Toc365571348"/>
      <w:bookmarkStart w:id="6973" w:name="_Toc365624847"/>
      <w:bookmarkStart w:id="6974" w:name="_Toc365899858"/>
      <w:bookmarkStart w:id="6975" w:name="_Toc365982667"/>
      <w:bookmarkStart w:id="6976" w:name="_Toc361324498"/>
      <w:bookmarkStart w:id="6977" w:name="_Toc361324929"/>
      <w:bookmarkStart w:id="6978" w:name="_Toc361325350"/>
      <w:bookmarkStart w:id="6979" w:name="_Toc361325770"/>
      <w:bookmarkStart w:id="6980" w:name="_Toc361326175"/>
      <w:bookmarkStart w:id="6981" w:name="_Toc361326576"/>
      <w:bookmarkStart w:id="6982" w:name="_Toc361326962"/>
      <w:bookmarkStart w:id="6983" w:name="_Toc361327343"/>
      <w:bookmarkStart w:id="6984" w:name="_Toc361327722"/>
      <w:bookmarkStart w:id="6985" w:name="_Toc361328094"/>
      <w:bookmarkStart w:id="6986" w:name="_Toc361328461"/>
      <w:bookmarkStart w:id="6987" w:name="_Toc361328833"/>
      <w:bookmarkStart w:id="6988" w:name="_Toc361394631"/>
      <w:bookmarkStart w:id="6989" w:name="_Toc362882589"/>
      <w:bookmarkStart w:id="6990" w:name="_Toc362882973"/>
      <w:bookmarkStart w:id="6991" w:name="_Toc362883351"/>
      <w:bookmarkStart w:id="6992" w:name="_Toc362883729"/>
      <w:bookmarkStart w:id="6993" w:name="_Toc362884107"/>
      <w:bookmarkStart w:id="6994" w:name="_Toc362884484"/>
      <w:bookmarkStart w:id="6995" w:name="_Toc362884859"/>
      <w:bookmarkStart w:id="6996" w:name="_Toc362885226"/>
      <w:bookmarkStart w:id="6997" w:name="_Toc362946167"/>
      <w:bookmarkStart w:id="6998" w:name="_Toc362946882"/>
      <w:bookmarkStart w:id="6999" w:name="_Toc365571349"/>
      <w:bookmarkStart w:id="7000" w:name="_Toc365624848"/>
      <w:bookmarkStart w:id="7001" w:name="_Toc365899859"/>
      <w:bookmarkStart w:id="7002" w:name="_Toc365982668"/>
      <w:bookmarkStart w:id="7003" w:name="_Toc361324502"/>
      <w:bookmarkStart w:id="7004" w:name="_Toc361324933"/>
      <w:bookmarkStart w:id="7005" w:name="_Toc361325354"/>
      <w:bookmarkStart w:id="7006" w:name="_Toc361325774"/>
      <w:bookmarkStart w:id="7007" w:name="_Toc361326179"/>
      <w:bookmarkStart w:id="7008" w:name="_Toc361326580"/>
      <w:bookmarkStart w:id="7009" w:name="_Toc361326966"/>
      <w:bookmarkStart w:id="7010" w:name="_Toc361327347"/>
      <w:bookmarkStart w:id="7011" w:name="_Toc361327726"/>
      <w:bookmarkStart w:id="7012" w:name="_Toc361328098"/>
      <w:bookmarkStart w:id="7013" w:name="_Toc361328465"/>
      <w:bookmarkStart w:id="7014" w:name="_Toc361328837"/>
      <w:bookmarkStart w:id="7015" w:name="_Toc361394635"/>
      <w:bookmarkStart w:id="7016" w:name="_Toc362882593"/>
      <w:bookmarkStart w:id="7017" w:name="_Toc362882977"/>
      <w:bookmarkStart w:id="7018" w:name="_Toc362883355"/>
      <w:bookmarkStart w:id="7019" w:name="_Toc362883733"/>
      <w:bookmarkStart w:id="7020" w:name="_Toc362884111"/>
      <w:bookmarkStart w:id="7021" w:name="_Toc362884488"/>
      <w:bookmarkStart w:id="7022" w:name="_Toc362884863"/>
      <w:bookmarkStart w:id="7023" w:name="_Toc362885230"/>
      <w:bookmarkStart w:id="7024" w:name="_Toc362946171"/>
      <w:bookmarkStart w:id="7025" w:name="_Toc362946886"/>
      <w:bookmarkStart w:id="7026" w:name="_Toc365571353"/>
      <w:bookmarkStart w:id="7027" w:name="_Toc365624852"/>
      <w:bookmarkStart w:id="7028" w:name="_Toc365899863"/>
      <w:bookmarkStart w:id="7029" w:name="_Toc365982672"/>
      <w:bookmarkStart w:id="7030" w:name="_Toc361324503"/>
      <w:bookmarkStart w:id="7031" w:name="_Toc361324934"/>
      <w:bookmarkStart w:id="7032" w:name="_Toc361325355"/>
      <w:bookmarkStart w:id="7033" w:name="_Toc361325775"/>
      <w:bookmarkStart w:id="7034" w:name="_Toc361326180"/>
      <w:bookmarkStart w:id="7035" w:name="_Toc361326581"/>
      <w:bookmarkStart w:id="7036" w:name="_Toc361326967"/>
      <w:bookmarkStart w:id="7037" w:name="_Toc361327348"/>
      <w:bookmarkStart w:id="7038" w:name="_Toc361327727"/>
      <w:bookmarkStart w:id="7039" w:name="_Toc361328099"/>
      <w:bookmarkStart w:id="7040" w:name="_Toc361328466"/>
      <w:bookmarkStart w:id="7041" w:name="_Toc361328838"/>
      <w:bookmarkStart w:id="7042" w:name="_Toc361394636"/>
      <w:bookmarkStart w:id="7043" w:name="_Toc362882594"/>
      <w:bookmarkStart w:id="7044" w:name="_Toc362882978"/>
      <w:bookmarkStart w:id="7045" w:name="_Toc362883356"/>
      <w:bookmarkStart w:id="7046" w:name="_Toc362883734"/>
      <w:bookmarkStart w:id="7047" w:name="_Toc362884112"/>
      <w:bookmarkStart w:id="7048" w:name="_Toc362884489"/>
      <w:bookmarkStart w:id="7049" w:name="_Toc362884864"/>
      <w:bookmarkStart w:id="7050" w:name="_Toc362885231"/>
      <w:bookmarkStart w:id="7051" w:name="_Toc362946172"/>
      <w:bookmarkStart w:id="7052" w:name="_Toc362946887"/>
      <w:bookmarkStart w:id="7053" w:name="_Toc365571354"/>
      <w:bookmarkStart w:id="7054" w:name="_Toc365624853"/>
      <w:bookmarkStart w:id="7055" w:name="_Toc365899864"/>
      <w:bookmarkStart w:id="7056" w:name="_Toc365982673"/>
      <w:bookmarkStart w:id="7057" w:name="_Toc361324504"/>
      <w:bookmarkStart w:id="7058" w:name="_Toc361324935"/>
      <w:bookmarkStart w:id="7059" w:name="_Toc361325356"/>
      <w:bookmarkStart w:id="7060" w:name="_Toc361325776"/>
      <w:bookmarkStart w:id="7061" w:name="_Toc361326181"/>
      <w:bookmarkStart w:id="7062" w:name="_Toc361326582"/>
      <w:bookmarkStart w:id="7063" w:name="_Toc361326968"/>
      <w:bookmarkStart w:id="7064" w:name="_Toc361327349"/>
      <w:bookmarkStart w:id="7065" w:name="_Toc361327728"/>
      <w:bookmarkStart w:id="7066" w:name="_Toc361328100"/>
      <w:bookmarkStart w:id="7067" w:name="_Toc361328467"/>
      <w:bookmarkStart w:id="7068" w:name="_Toc361328839"/>
      <w:bookmarkStart w:id="7069" w:name="_Toc361394637"/>
      <w:bookmarkStart w:id="7070" w:name="_Toc362882595"/>
      <w:bookmarkStart w:id="7071" w:name="_Toc362882979"/>
      <w:bookmarkStart w:id="7072" w:name="_Toc362883357"/>
      <w:bookmarkStart w:id="7073" w:name="_Toc362883735"/>
      <w:bookmarkStart w:id="7074" w:name="_Toc362884113"/>
      <w:bookmarkStart w:id="7075" w:name="_Toc362884490"/>
      <w:bookmarkStart w:id="7076" w:name="_Toc362884865"/>
      <w:bookmarkStart w:id="7077" w:name="_Toc362885232"/>
      <w:bookmarkStart w:id="7078" w:name="_Toc362946173"/>
      <w:bookmarkStart w:id="7079" w:name="_Toc362946888"/>
      <w:bookmarkStart w:id="7080" w:name="_Toc365571355"/>
      <w:bookmarkStart w:id="7081" w:name="_Toc365624854"/>
      <w:bookmarkStart w:id="7082" w:name="_Toc365899865"/>
      <w:bookmarkStart w:id="7083" w:name="_Toc365982674"/>
      <w:bookmarkStart w:id="7084" w:name="_Toc361324505"/>
      <w:bookmarkStart w:id="7085" w:name="_Toc361324936"/>
      <w:bookmarkStart w:id="7086" w:name="_Toc361325357"/>
      <w:bookmarkStart w:id="7087" w:name="_Toc361325777"/>
      <w:bookmarkStart w:id="7088" w:name="_Toc361326182"/>
      <w:bookmarkStart w:id="7089" w:name="_Toc361326583"/>
      <w:bookmarkStart w:id="7090" w:name="_Toc361326969"/>
      <w:bookmarkStart w:id="7091" w:name="_Toc361327350"/>
      <w:bookmarkStart w:id="7092" w:name="_Toc361327729"/>
      <w:bookmarkStart w:id="7093" w:name="_Toc361328101"/>
      <w:bookmarkStart w:id="7094" w:name="_Toc361328468"/>
      <w:bookmarkStart w:id="7095" w:name="_Toc361328840"/>
      <w:bookmarkStart w:id="7096" w:name="_Toc361394638"/>
      <w:bookmarkStart w:id="7097" w:name="_Toc362882596"/>
      <w:bookmarkStart w:id="7098" w:name="_Toc362882980"/>
      <w:bookmarkStart w:id="7099" w:name="_Toc362883358"/>
      <w:bookmarkStart w:id="7100" w:name="_Toc362883736"/>
      <w:bookmarkStart w:id="7101" w:name="_Toc362884114"/>
      <w:bookmarkStart w:id="7102" w:name="_Toc362884491"/>
      <w:bookmarkStart w:id="7103" w:name="_Toc362884866"/>
      <w:bookmarkStart w:id="7104" w:name="_Toc362885233"/>
      <w:bookmarkStart w:id="7105" w:name="_Toc362946174"/>
      <w:bookmarkStart w:id="7106" w:name="_Toc362946889"/>
      <w:bookmarkStart w:id="7107" w:name="_Toc365571356"/>
      <w:bookmarkStart w:id="7108" w:name="_Toc365624855"/>
      <w:bookmarkStart w:id="7109" w:name="_Toc365899866"/>
      <w:bookmarkStart w:id="7110" w:name="_Toc365982675"/>
      <w:bookmarkStart w:id="7111" w:name="_Toc361324506"/>
      <w:bookmarkStart w:id="7112" w:name="_Toc361324937"/>
      <w:bookmarkStart w:id="7113" w:name="_Toc361325358"/>
      <w:bookmarkStart w:id="7114" w:name="_Toc361325778"/>
      <w:bookmarkStart w:id="7115" w:name="_Toc361326183"/>
      <w:bookmarkStart w:id="7116" w:name="_Toc361326584"/>
      <w:bookmarkStart w:id="7117" w:name="_Toc361326970"/>
      <w:bookmarkStart w:id="7118" w:name="_Toc361327351"/>
      <w:bookmarkStart w:id="7119" w:name="_Toc361327730"/>
      <w:bookmarkStart w:id="7120" w:name="_Toc361328102"/>
      <w:bookmarkStart w:id="7121" w:name="_Toc361328469"/>
      <w:bookmarkStart w:id="7122" w:name="_Toc361328841"/>
      <w:bookmarkStart w:id="7123" w:name="_Toc361394639"/>
      <w:bookmarkStart w:id="7124" w:name="_Toc362882597"/>
      <w:bookmarkStart w:id="7125" w:name="_Toc362882981"/>
      <w:bookmarkStart w:id="7126" w:name="_Toc362883359"/>
      <w:bookmarkStart w:id="7127" w:name="_Toc362883737"/>
      <w:bookmarkStart w:id="7128" w:name="_Toc362884115"/>
      <w:bookmarkStart w:id="7129" w:name="_Toc362884492"/>
      <w:bookmarkStart w:id="7130" w:name="_Toc362884867"/>
      <w:bookmarkStart w:id="7131" w:name="_Toc362885234"/>
      <w:bookmarkStart w:id="7132" w:name="_Toc362946175"/>
      <w:bookmarkStart w:id="7133" w:name="_Toc362946890"/>
      <w:bookmarkStart w:id="7134" w:name="_Toc365571357"/>
      <w:bookmarkStart w:id="7135" w:name="_Toc365624856"/>
      <w:bookmarkStart w:id="7136" w:name="_Toc365899867"/>
      <w:bookmarkStart w:id="7137" w:name="_Toc365982676"/>
      <w:bookmarkStart w:id="7138" w:name="_Toc361324507"/>
      <w:bookmarkStart w:id="7139" w:name="_Toc361324938"/>
      <w:bookmarkStart w:id="7140" w:name="_Toc361325359"/>
      <w:bookmarkStart w:id="7141" w:name="_Toc361325779"/>
      <w:bookmarkStart w:id="7142" w:name="_Toc361326184"/>
      <w:bookmarkStart w:id="7143" w:name="_Toc361326585"/>
      <w:bookmarkStart w:id="7144" w:name="_Toc361326971"/>
      <w:bookmarkStart w:id="7145" w:name="_Toc361327352"/>
      <w:bookmarkStart w:id="7146" w:name="_Toc361327731"/>
      <w:bookmarkStart w:id="7147" w:name="_Toc361328103"/>
      <w:bookmarkStart w:id="7148" w:name="_Toc361328470"/>
      <w:bookmarkStart w:id="7149" w:name="_Toc361328842"/>
      <w:bookmarkStart w:id="7150" w:name="_Toc361394640"/>
      <w:bookmarkStart w:id="7151" w:name="_Toc362882598"/>
      <w:bookmarkStart w:id="7152" w:name="_Toc362882982"/>
      <w:bookmarkStart w:id="7153" w:name="_Toc362883360"/>
      <w:bookmarkStart w:id="7154" w:name="_Toc362883738"/>
      <w:bookmarkStart w:id="7155" w:name="_Toc362884116"/>
      <w:bookmarkStart w:id="7156" w:name="_Toc362884493"/>
      <w:bookmarkStart w:id="7157" w:name="_Toc362884868"/>
      <w:bookmarkStart w:id="7158" w:name="_Toc362885235"/>
      <w:bookmarkStart w:id="7159" w:name="_Toc362946176"/>
      <w:bookmarkStart w:id="7160" w:name="_Toc362946891"/>
      <w:bookmarkStart w:id="7161" w:name="_Toc365571358"/>
      <w:bookmarkStart w:id="7162" w:name="_Toc365624857"/>
      <w:bookmarkStart w:id="7163" w:name="_Toc365899868"/>
      <w:bookmarkStart w:id="7164" w:name="_Toc365982677"/>
      <w:bookmarkStart w:id="7165" w:name="_Toc361324508"/>
      <w:bookmarkStart w:id="7166" w:name="_Toc361324939"/>
      <w:bookmarkStart w:id="7167" w:name="_Toc361325360"/>
      <w:bookmarkStart w:id="7168" w:name="_Toc361325780"/>
      <w:bookmarkStart w:id="7169" w:name="_Toc361326185"/>
      <w:bookmarkStart w:id="7170" w:name="_Toc361326586"/>
      <w:bookmarkStart w:id="7171" w:name="_Toc361326972"/>
      <w:bookmarkStart w:id="7172" w:name="_Toc361327353"/>
      <w:bookmarkStart w:id="7173" w:name="_Toc361327732"/>
      <w:bookmarkStart w:id="7174" w:name="_Toc361328104"/>
      <w:bookmarkStart w:id="7175" w:name="_Toc361328471"/>
      <w:bookmarkStart w:id="7176" w:name="_Toc361328843"/>
      <w:bookmarkStart w:id="7177" w:name="_Toc361394641"/>
      <w:bookmarkStart w:id="7178" w:name="_Toc362882599"/>
      <w:bookmarkStart w:id="7179" w:name="_Toc362882983"/>
      <w:bookmarkStart w:id="7180" w:name="_Toc362883361"/>
      <w:bookmarkStart w:id="7181" w:name="_Toc362883739"/>
      <w:bookmarkStart w:id="7182" w:name="_Toc362884117"/>
      <w:bookmarkStart w:id="7183" w:name="_Toc362884494"/>
      <w:bookmarkStart w:id="7184" w:name="_Toc362884869"/>
      <w:bookmarkStart w:id="7185" w:name="_Toc362885236"/>
      <w:bookmarkStart w:id="7186" w:name="_Toc362946177"/>
      <w:bookmarkStart w:id="7187" w:name="_Toc362946892"/>
      <w:bookmarkStart w:id="7188" w:name="_Toc365571359"/>
      <w:bookmarkStart w:id="7189" w:name="_Toc365624858"/>
      <w:bookmarkStart w:id="7190" w:name="_Toc365899869"/>
      <w:bookmarkStart w:id="7191" w:name="_Toc365982678"/>
      <w:bookmarkStart w:id="7192" w:name="_Toc361324509"/>
      <w:bookmarkStart w:id="7193" w:name="_Toc361324940"/>
      <w:bookmarkStart w:id="7194" w:name="_Toc361325361"/>
      <w:bookmarkStart w:id="7195" w:name="_Toc361325781"/>
      <w:bookmarkStart w:id="7196" w:name="_Toc361326186"/>
      <w:bookmarkStart w:id="7197" w:name="_Toc361326587"/>
      <w:bookmarkStart w:id="7198" w:name="_Toc361326973"/>
      <w:bookmarkStart w:id="7199" w:name="_Toc361327354"/>
      <w:bookmarkStart w:id="7200" w:name="_Toc361327733"/>
      <w:bookmarkStart w:id="7201" w:name="_Toc361328105"/>
      <w:bookmarkStart w:id="7202" w:name="_Toc361328472"/>
      <w:bookmarkStart w:id="7203" w:name="_Toc361328844"/>
      <w:bookmarkStart w:id="7204" w:name="_Toc361394642"/>
      <w:bookmarkStart w:id="7205" w:name="_Toc362882600"/>
      <w:bookmarkStart w:id="7206" w:name="_Toc362882984"/>
      <w:bookmarkStart w:id="7207" w:name="_Toc362883362"/>
      <w:bookmarkStart w:id="7208" w:name="_Toc362883740"/>
      <w:bookmarkStart w:id="7209" w:name="_Toc362884118"/>
      <w:bookmarkStart w:id="7210" w:name="_Toc362884495"/>
      <w:bookmarkStart w:id="7211" w:name="_Toc362884870"/>
      <w:bookmarkStart w:id="7212" w:name="_Toc362885237"/>
      <w:bookmarkStart w:id="7213" w:name="_Toc362946178"/>
      <w:bookmarkStart w:id="7214" w:name="_Toc362946893"/>
      <w:bookmarkStart w:id="7215" w:name="_Toc365571360"/>
      <w:bookmarkStart w:id="7216" w:name="_Toc365624859"/>
      <w:bookmarkStart w:id="7217" w:name="_Toc365899870"/>
      <w:bookmarkStart w:id="7218" w:name="_Toc365982679"/>
      <w:bookmarkStart w:id="7219" w:name="_Toc361324510"/>
      <w:bookmarkStart w:id="7220" w:name="_Toc361324941"/>
      <w:bookmarkStart w:id="7221" w:name="_Toc361325362"/>
      <w:bookmarkStart w:id="7222" w:name="_Toc361325782"/>
      <w:bookmarkStart w:id="7223" w:name="_Toc361326187"/>
      <w:bookmarkStart w:id="7224" w:name="_Toc361326588"/>
      <w:bookmarkStart w:id="7225" w:name="_Toc361326974"/>
      <w:bookmarkStart w:id="7226" w:name="_Toc361327355"/>
      <w:bookmarkStart w:id="7227" w:name="_Toc361327734"/>
      <w:bookmarkStart w:id="7228" w:name="_Toc361328106"/>
      <w:bookmarkStart w:id="7229" w:name="_Toc361328473"/>
      <w:bookmarkStart w:id="7230" w:name="_Toc361328845"/>
      <w:bookmarkStart w:id="7231" w:name="_Toc361394643"/>
      <w:bookmarkStart w:id="7232" w:name="_Toc362882601"/>
      <w:bookmarkStart w:id="7233" w:name="_Toc362882985"/>
      <w:bookmarkStart w:id="7234" w:name="_Toc362883363"/>
      <w:bookmarkStart w:id="7235" w:name="_Toc362883741"/>
      <w:bookmarkStart w:id="7236" w:name="_Toc362884119"/>
      <w:bookmarkStart w:id="7237" w:name="_Toc362884496"/>
      <w:bookmarkStart w:id="7238" w:name="_Toc362884871"/>
      <w:bookmarkStart w:id="7239" w:name="_Toc362885238"/>
      <w:bookmarkStart w:id="7240" w:name="_Toc362946179"/>
      <w:bookmarkStart w:id="7241" w:name="_Toc362946894"/>
      <w:bookmarkStart w:id="7242" w:name="_Toc365571361"/>
      <w:bookmarkStart w:id="7243" w:name="_Toc365624860"/>
      <w:bookmarkStart w:id="7244" w:name="_Toc365899871"/>
      <w:bookmarkStart w:id="7245" w:name="_Toc365982680"/>
      <w:bookmarkStart w:id="7246" w:name="_Toc361324511"/>
      <w:bookmarkStart w:id="7247" w:name="_Toc361324942"/>
      <w:bookmarkStart w:id="7248" w:name="_Toc361325363"/>
      <w:bookmarkStart w:id="7249" w:name="_Toc361325783"/>
      <w:bookmarkStart w:id="7250" w:name="_Toc361326188"/>
      <w:bookmarkStart w:id="7251" w:name="_Toc361326589"/>
      <w:bookmarkStart w:id="7252" w:name="_Toc361326975"/>
      <w:bookmarkStart w:id="7253" w:name="_Toc361327356"/>
      <w:bookmarkStart w:id="7254" w:name="_Toc361327735"/>
      <w:bookmarkStart w:id="7255" w:name="_Toc361328107"/>
      <w:bookmarkStart w:id="7256" w:name="_Toc361328474"/>
      <w:bookmarkStart w:id="7257" w:name="_Toc361328846"/>
      <w:bookmarkStart w:id="7258" w:name="_Toc361394644"/>
      <w:bookmarkStart w:id="7259" w:name="_Toc362882602"/>
      <w:bookmarkStart w:id="7260" w:name="_Toc362882986"/>
      <w:bookmarkStart w:id="7261" w:name="_Toc362883364"/>
      <w:bookmarkStart w:id="7262" w:name="_Toc362883742"/>
      <w:bookmarkStart w:id="7263" w:name="_Toc362884120"/>
      <w:bookmarkStart w:id="7264" w:name="_Toc362884497"/>
      <w:bookmarkStart w:id="7265" w:name="_Toc362884872"/>
      <w:bookmarkStart w:id="7266" w:name="_Toc362885239"/>
      <w:bookmarkStart w:id="7267" w:name="_Toc362946180"/>
      <w:bookmarkStart w:id="7268" w:name="_Toc362946895"/>
      <w:bookmarkStart w:id="7269" w:name="_Toc365571362"/>
      <w:bookmarkStart w:id="7270" w:name="_Toc365624861"/>
      <w:bookmarkStart w:id="7271" w:name="_Toc365899872"/>
      <w:bookmarkStart w:id="7272" w:name="_Toc365982681"/>
      <w:bookmarkStart w:id="7273" w:name="_Toc361324512"/>
      <w:bookmarkStart w:id="7274" w:name="_Toc361324943"/>
      <w:bookmarkStart w:id="7275" w:name="_Toc361325364"/>
      <w:bookmarkStart w:id="7276" w:name="_Toc361325784"/>
      <w:bookmarkStart w:id="7277" w:name="_Toc361326189"/>
      <w:bookmarkStart w:id="7278" w:name="_Toc361326590"/>
      <w:bookmarkStart w:id="7279" w:name="_Toc361326976"/>
      <w:bookmarkStart w:id="7280" w:name="_Toc361327357"/>
      <w:bookmarkStart w:id="7281" w:name="_Toc361327736"/>
      <w:bookmarkStart w:id="7282" w:name="_Toc361328108"/>
      <w:bookmarkStart w:id="7283" w:name="_Toc361328475"/>
      <w:bookmarkStart w:id="7284" w:name="_Toc361328847"/>
      <w:bookmarkStart w:id="7285" w:name="_Toc361394645"/>
      <w:bookmarkStart w:id="7286" w:name="_Toc362882603"/>
      <w:bookmarkStart w:id="7287" w:name="_Toc362882987"/>
      <w:bookmarkStart w:id="7288" w:name="_Toc362883365"/>
      <w:bookmarkStart w:id="7289" w:name="_Toc362883743"/>
      <w:bookmarkStart w:id="7290" w:name="_Toc362884121"/>
      <w:bookmarkStart w:id="7291" w:name="_Toc362884498"/>
      <w:bookmarkStart w:id="7292" w:name="_Toc362884873"/>
      <w:bookmarkStart w:id="7293" w:name="_Toc362885240"/>
      <w:bookmarkStart w:id="7294" w:name="_Toc362946181"/>
      <w:bookmarkStart w:id="7295" w:name="_Toc362946896"/>
      <w:bookmarkStart w:id="7296" w:name="_Toc365571363"/>
      <w:bookmarkStart w:id="7297" w:name="_Toc365624862"/>
      <w:bookmarkStart w:id="7298" w:name="_Toc365899873"/>
      <w:bookmarkStart w:id="7299" w:name="_Toc365982682"/>
      <w:bookmarkStart w:id="7300" w:name="_Toc361324513"/>
      <w:bookmarkStart w:id="7301" w:name="_Toc361324944"/>
      <w:bookmarkStart w:id="7302" w:name="_Toc361325365"/>
      <w:bookmarkStart w:id="7303" w:name="_Toc361325785"/>
      <w:bookmarkStart w:id="7304" w:name="_Toc361326190"/>
      <w:bookmarkStart w:id="7305" w:name="_Toc361326591"/>
      <w:bookmarkStart w:id="7306" w:name="_Toc361326977"/>
      <w:bookmarkStart w:id="7307" w:name="_Toc361327358"/>
      <w:bookmarkStart w:id="7308" w:name="_Toc361327737"/>
      <w:bookmarkStart w:id="7309" w:name="_Toc361328109"/>
      <w:bookmarkStart w:id="7310" w:name="_Toc361328476"/>
      <w:bookmarkStart w:id="7311" w:name="_Toc361328848"/>
      <w:bookmarkStart w:id="7312" w:name="_Toc361394646"/>
      <w:bookmarkStart w:id="7313" w:name="_Toc362882604"/>
      <w:bookmarkStart w:id="7314" w:name="_Toc362882988"/>
      <w:bookmarkStart w:id="7315" w:name="_Toc362883366"/>
      <w:bookmarkStart w:id="7316" w:name="_Toc362883744"/>
      <w:bookmarkStart w:id="7317" w:name="_Toc362884122"/>
      <w:bookmarkStart w:id="7318" w:name="_Toc362884499"/>
      <w:bookmarkStart w:id="7319" w:name="_Toc362884874"/>
      <w:bookmarkStart w:id="7320" w:name="_Toc362885241"/>
      <w:bookmarkStart w:id="7321" w:name="_Toc362946182"/>
      <w:bookmarkStart w:id="7322" w:name="_Toc362946897"/>
      <w:bookmarkStart w:id="7323" w:name="_Toc365571364"/>
      <w:bookmarkStart w:id="7324" w:name="_Toc365624863"/>
      <w:bookmarkStart w:id="7325" w:name="_Toc365899874"/>
      <w:bookmarkStart w:id="7326" w:name="_Toc365982683"/>
      <w:bookmarkStart w:id="7327" w:name="_Toc361324514"/>
      <w:bookmarkStart w:id="7328" w:name="_Toc361324945"/>
      <w:bookmarkStart w:id="7329" w:name="_Toc361325366"/>
      <w:bookmarkStart w:id="7330" w:name="_Toc361325786"/>
      <w:bookmarkStart w:id="7331" w:name="_Toc361326191"/>
      <w:bookmarkStart w:id="7332" w:name="_Toc361326592"/>
      <w:bookmarkStart w:id="7333" w:name="_Toc361326978"/>
      <w:bookmarkStart w:id="7334" w:name="_Toc361327359"/>
      <w:bookmarkStart w:id="7335" w:name="_Toc361327738"/>
      <w:bookmarkStart w:id="7336" w:name="_Toc361328110"/>
      <w:bookmarkStart w:id="7337" w:name="_Toc361328477"/>
      <w:bookmarkStart w:id="7338" w:name="_Toc361328849"/>
      <w:bookmarkStart w:id="7339" w:name="_Toc361394647"/>
      <w:bookmarkStart w:id="7340" w:name="_Toc362882605"/>
      <w:bookmarkStart w:id="7341" w:name="_Toc362882989"/>
      <w:bookmarkStart w:id="7342" w:name="_Toc362883367"/>
      <w:bookmarkStart w:id="7343" w:name="_Toc362883745"/>
      <w:bookmarkStart w:id="7344" w:name="_Toc362884123"/>
      <w:bookmarkStart w:id="7345" w:name="_Toc362884500"/>
      <w:bookmarkStart w:id="7346" w:name="_Toc362884875"/>
      <w:bookmarkStart w:id="7347" w:name="_Toc362885242"/>
      <w:bookmarkStart w:id="7348" w:name="_Toc362946183"/>
      <w:bookmarkStart w:id="7349" w:name="_Toc362946898"/>
      <w:bookmarkStart w:id="7350" w:name="_Toc365571365"/>
      <w:bookmarkStart w:id="7351" w:name="_Toc365624864"/>
      <w:bookmarkStart w:id="7352" w:name="_Toc365899875"/>
      <w:bookmarkStart w:id="7353" w:name="_Toc365982684"/>
      <w:bookmarkStart w:id="7354" w:name="_Toc361324515"/>
      <w:bookmarkStart w:id="7355" w:name="_Toc361324946"/>
      <w:bookmarkStart w:id="7356" w:name="_Toc361325367"/>
      <w:bookmarkStart w:id="7357" w:name="_Toc361325787"/>
      <w:bookmarkStart w:id="7358" w:name="_Toc361326192"/>
      <w:bookmarkStart w:id="7359" w:name="_Toc361326593"/>
      <w:bookmarkStart w:id="7360" w:name="_Toc361326979"/>
      <w:bookmarkStart w:id="7361" w:name="_Toc361327360"/>
      <w:bookmarkStart w:id="7362" w:name="_Toc361327739"/>
      <w:bookmarkStart w:id="7363" w:name="_Toc361328111"/>
      <w:bookmarkStart w:id="7364" w:name="_Toc361328478"/>
      <w:bookmarkStart w:id="7365" w:name="_Toc361328850"/>
      <w:bookmarkStart w:id="7366" w:name="_Toc361394648"/>
      <w:bookmarkStart w:id="7367" w:name="_Toc362882606"/>
      <w:bookmarkStart w:id="7368" w:name="_Toc362882990"/>
      <w:bookmarkStart w:id="7369" w:name="_Toc362883368"/>
      <w:bookmarkStart w:id="7370" w:name="_Toc362883746"/>
      <w:bookmarkStart w:id="7371" w:name="_Toc362884124"/>
      <w:bookmarkStart w:id="7372" w:name="_Toc362884501"/>
      <w:bookmarkStart w:id="7373" w:name="_Toc362884876"/>
      <w:bookmarkStart w:id="7374" w:name="_Toc362885243"/>
      <w:bookmarkStart w:id="7375" w:name="_Toc362946184"/>
      <w:bookmarkStart w:id="7376" w:name="_Toc362946899"/>
      <w:bookmarkStart w:id="7377" w:name="_Toc365571366"/>
      <w:bookmarkStart w:id="7378" w:name="_Toc365624865"/>
      <w:bookmarkStart w:id="7379" w:name="_Toc365899876"/>
      <w:bookmarkStart w:id="7380" w:name="_Toc365982685"/>
      <w:bookmarkStart w:id="7381" w:name="_Toc361324516"/>
      <w:bookmarkStart w:id="7382" w:name="_Toc361324947"/>
      <w:bookmarkStart w:id="7383" w:name="_Toc361325368"/>
      <w:bookmarkStart w:id="7384" w:name="_Toc361325788"/>
      <w:bookmarkStart w:id="7385" w:name="_Toc361326193"/>
      <w:bookmarkStart w:id="7386" w:name="_Toc361326594"/>
      <w:bookmarkStart w:id="7387" w:name="_Toc361326980"/>
      <w:bookmarkStart w:id="7388" w:name="_Toc361327361"/>
      <w:bookmarkStart w:id="7389" w:name="_Toc361327740"/>
      <w:bookmarkStart w:id="7390" w:name="_Toc361328112"/>
      <w:bookmarkStart w:id="7391" w:name="_Toc361328479"/>
      <w:bookmarkStart w:id="7392" w:name="_Toc361328851"/>
      <w:bookmarkStart w:id="7393" w:name="_Toc361394649"/>
      <w:bookmarkStart w:id="7394" w:name="_Toc362882607"/>
      <w:bookmarkStart w:id="7395" w:name="_Toc362882991"/>
      <w:bookmarkStart w:id="7396" w:name="_Toc362883369"/>
      <w:bookmarkStart w:id="7397" w:name="_Toc362883747"/>
      <w:bookmarkStart w:id="7398" w:name="_Toc362884125"/>
      <w:bookmarkStart w:id="7399" w:name="_Toc362884502"/>
      <w:bookmarkStart w:id="7400" w:name="_Toc362884877"/>
      <w:bookmarkStart w:id="7401" w:name="_Toc362885244"/>
      <w:bookmarkStart w:id="7402" w:name="_Toc362946185"/>
      <w:bookmarkStart w:id="7403" w:name="_Toc362946900"/>
      <w:bookmarkStart w:id="7404" w:name="_Toc365571367"/>
      <w:bookmarkStart w:id="7405" w:name="_Toc365624866"/>
      <w:bookmarkStart w:id="7406" w:name="_Toc365899877"/>
      <w:bookmarkStart w:id="7407" w:name="_Toc365982686"/>
      <w:bookmarkStart w:id="7408" w:name="_Toc361324519"/>
      <w:bookmarkStart w:id="7409" w:name="_Toc361324950"/>
      <w:bookmarkStart w:id="7410" w:name="_Toc361325371"/>
      <w:bookmarkStart w:id="7411" w:name="_Toc361325791"/>
      <w:bookmarkStart w:id="7412" w:name="_Toc361326196"/>
      <w:bookmarkStart w:id="7413" w:name="_Toc361326597"/>
      <w:bookmarkStart w:id="7414" w:name="_Toc361326983"/>
      <w:bookmarkStart w:id="7415" w:name="_Toc361327364"/>
      <w:bookmarkStart w:id="7416" w:name="_Toc361327743"/>
      <w:bookmarkStart w:id="7417" w:name="_Toc361328115"/>
      <w:bookmarkStart w:id="7418" w:name="_Toc361328482"/>
      <w:bookmarkStart w:id="7419" w:name="_Toc361328854"/>
      <w:bookmarkStart w:id="7420" w:name="_Toc361394652"/>
      <w:bookmarkStart w:id="7421" w:name="_Toc362882610"/>
      <w:bookmarkStart w:id="7422" w:name="_Toc362882994"/>
      <w:bookmarkStart w:id="7423" w:name="_Toc362883372"/>
      <w:bookmarkStart w:id="7424" w:name="_Toc362883750"/>
      <w:bookmarkStart w:id="7425" w:name="_Toc362884128"/>
      <w:bookmarkStart w:id="7426" w:name="_Toc362884505"/>
      <w:bookmarkStart w:id="7427" w:name="_Toc362884880"/>
      <w:bookmarkStart w:id="7428" w:name="_Toc362885247"/>
      <w:bookmarkStart w:id="7429" w:name="_Toc362946188"/>
      <w:bookmarkStart w:id="7430" w:name="_Toc362946903"/>
      <w:bookmarkStart w:id="7431" w:name="_Toc365571370"/>
      <w:bookmarkStart w:id="7432" w:name="_Toc365624869"/>
      <w:bookmarkStart w:id="7433" w:name="_Toc365899880"/>
      <w:bookmarkStart w:id="7434" w:name="_Toc365982689"/>
      <w:bookmarkStart w:id="7435" w:name="_Toc361324520"/>
      <w:bookmarkStart w:id="7436" w:name="_Toc361324951"/>
      <w:bookmarkStart w:id="7437" w:name="_Toc361325372"/>
      <w:bookmarkStart w:id="7438" w:name="_Toc361325792"/>
      <w:bookmarkStart w:id="7439" w:name="_Toc361326197"/>
      <w:bookmarkStart w:id="7440" w:name="_Toc361326598"/>
      <w:bookmarkStart w:id="7441" w:name="_Toc361326984"/>
      <w:bookmarkStart w:id="7442" w:name="_Toc361327365"/>
      <w:bookmarkStart w:id="7443" w:name="_Toc361327744"/>
      <w:bookmarkStart w:id="7444" w:name="_Toc361328116"/>
      <w:bookmarkStart w:id="7445" w:name="_Toc361328483"/>
      <w:bookmarkStart w:id="7446" w:name="_Toc361328855"/>
      <w:bookmarkStart w:id="7447" w:name="_Toc361394653"/>
      <w:bookmarkStart w:id="7448" w:name="_Toc362882611"/>
      <w:bookmarkStart w:id="7449" w:name="_Toc362882995"/>
      <w:bookmarkStart w:id="7450" w:name="_Toc362883373"/>
      <w:bookmarkStart w:id="7451" w:name="_Toc362883751"/>
      <w:bookmarkStart w:id="7452" w:name="_Toc362884129"/>
      <w:bookmarkStart w:id="7453" w:name="_Toc362884506"/>
      <w:bookmarkStart w:id="7454" w:name="_Toc362884881"/>
      <w:bookmarkStart w:id="7455" w:name="_Toc362885248"/>
      <w:bookmarkStart w:id="7456" w:name="_Toc362946189"/>
      <w:bookmarkStart w:id="7457" w:name="_Toc362946904"/>
      <w:bookmarkStart w:id="7458" w:name="_Toc365571371"/>
      <w:bookmarkStart w:id="7459" w:name="_Toc365624870"/>
      <w:bookmarkStart w:id="7460" w:name="_Toc365899881"/>
      <w:bookmarkStart w:id="7461" w:name="_Toc365982690"/>
      <w:bookmarkStart w:id="7462" w:name="_Toc361324521"/>
      <w:bookmarkStart w:id="7463" w:name="_Toc361324952"/>
      <w:bookmarkStart w:id="7464" w:name="_Toc361325373"/>
      <w:bookmarkStart w:id="7465" w:name="_Toc361325793"/>
      <w:bookmarkStart w:id="7466" w:name="_Toc361326198"/>
      <w:bookmarkStart w:id="7467" w:name="_Toc361326599"/>
      <w:bookmarkStart w:id="7468" w:name="_Toc361326985"/>
      <w:bookmarkStart w:id="7469" w:name="_Toc361327366"/>
      <w:bookmarkStart w:id="7470" w:name="_Toc361327745"/>
      <w:bookmarkStart w:id="7471" w:name="_Toc361328117"/>
      <w:bookmarkStart w:id="7472" w:name="_Toc361328484"/>
      <w:bookmarkStart w:id="7473" w:name="_Toc361328856"/>
      <w:bookmarkStart w:id="7474" w:name="_Toc361394654"/>
      <w:bookmarkStart w:id="7475" w:name="_Toc362882612"/>
      <w:bookmarkStart w:id="7476" w:name="_Toc362882996"/>
      <w:bookmarkStart w:id="7477" w:name="_Toc362883374"/>
      <w:bookmarkStart w:id="7478" w:name="_Toc362883752"/>
      <w:bookmarkStart w:id="7479" w:name="_Toc362884130"/>
      <w:bookmarkStart w:id="7480" w:name="_Toc362884507"/>
      <w:bookmarkStart w:id="7481" w:name="_Toc362884882"/>
      <w:bookmarkStart w:id="7482" w:name="_Toc362885249"/>
      <w:bookmarkStart w:id="7483" w:name="_Toc362946190"/>
      <w:bookmarkStart w:id="7484" w:name="_Toc362946905"/>
      <w:bookmarkStart w:id="7485" w:name="_Toc365571372"/>
      <w:bookmarkStart w:id="7486" w:name="_Toc365624871"/>
      <w:bookmarkStart w:id="7487" w:name="_Toc365899882"/>
      <w:bookmarkStart w:id="7488" w:name="_Toc365982691"/>
      <w:bookmarkStart w:id="7489" w:name="_Toc361324522"/>
      <w:bookmarkStart w:id="7490" w:name="_Toc361324953"/>
      <w:bookmarkStart w:id="7491" w:name="_Toc361325374"/>
      <w:bookmarkStart w:id="7492" w:name="_Toc361325794"/>
      <w:bookmarkStart w:id="7493" w:name="_Toc361326199"/>
      <w:bookmarkStart w:id="7494" w:name="_Toc361326600"/>
      <w:bookmarkStart w:id="7495" w:name="_Toc361326986"/>
      <w:bookmarkStart w:id="7496" w:name="_Toc361327367"/>
      <w:bookmarkStart w:id="7497" w:name="_Toc361327746"/>
      <w:bookmarkStart w:id="7498" w:name="_Toc361328118"/>
      <w:bookmarkStart w:id="7499" w:name="_Toc361328485"/>
      <w:bookmarkStart w:id="7500" w:name="_Toc361328857"/>
      <w:bookmarkStart w:id="7501" w:name="_Toc361394655"/>
      <w:bookmarkStart w:id="7502" w:name="_Toc362882613"/>
      <w:bookmarkStart w:id="7503" w:name="_Toc362882997"/>
      <w:bookmarkStart w:id="7504" w:name="_Toc362883375"/>
      <w:bookmarkStart w:id="7505" w:name="_Toc362883753"/>
      <w:bookmarkStart w:id="7506" w:name="_Toc362884131"/>
      <w:bookmarkStart w:id="7507" w:name="_Toc362884508"/>
      <w:bookmarkStart w:id="7508" w:name="_Toc362884883"/>
      <w:bookmarkStart w:id="7509" w:name="_Toc362885250"/>
      <w:bookmarkStart w:id="7510" w:name="_Toc362946191"/>
      <w:bookmarkStart w:id="7511" w:name="_Toc362946906"/>
      <w:bookmarkStart w:id="7512" w:name="_Toc365571373"/>
      <w:bookmarkStart w:id="7513" w:name="_Toc365624872"/>
      <w:bookmarkStart w:id="7514" w:name="_Toc365899883"/>
      <w:bookmarkStart w:id="7515" w:name="_Toc365982692"/>
      <w:bookmarkStart w:id="7516" w:name="_Toc361324523"/>
      <w:bookmarkStart w:id="7517" w:name="_Toc361324954"/>
      <w:bookmarkStart w:id="7518" w:name="_Toc361325375"/>
      <w:bookmarkStart w:id="7519" w:name="_Toc361325795"/>
      <w:bookmarkStart w:id="7520" w:name="_Toc361326200"/>
      <w:bookmarkStart w:id="7521" w:name="_Toc361326601"/>
      <w:bookmarkStart w:id="7522" w:name="_Toc361326987"/>
      <w:bookmarkStart w:id="7523" w:name="_Toc361327368"/>
      <w:bookmarkStart w:id="7524" w:name="_Toc361327747"/>
      <w:bookmarkStart w:id="7525" w:name="_Toc361328119"/>
      <w:bookmarkStart w:id="7526" w:name="_Toc361328486"/>
      <w:bookmarkStart w:id="7527" w:name="_Toc361328858"/>
      <w:bookmarkStart w:id="7528" w:name="_Toc361394656"/>
      <w:bookmarkStart w:id="7529" w:name="_Toc362882614"/>
      <w:bookmarkStart w:id="7530" w:name="_Toc362882998"/>
      <w:bookmarkStart w:id="7531" w:name="_Toc362883376"/>
      <w:bookmarkStart w:id="7532" w:name="_Toc362883754"/>
      <w:bookmarkStart w:id="7533" w:name="_Toc362884132"/>
      <w:bookmarkStart w:id="7534" w:name="_Toc362884509"/>
      <w:bookmarkStart w:id="7535" w:name="_Toc362884884"/>
      <w:bookmarkStart w:id="7536" w:name="_Toc362885251"/>
      <w:bookmarkStart w:id="7537" w:name="_Toc362946192"/>
      <w:bookmarkStart w:id="7538" w:name="_Toc362946907"/>
      <w:bookmarkStart w:id="7539" w:name="_Toc365571374"/>
      <w:bookmarkStart w:id="7540" w:name="_Toc365624873"/>
      <w:bookmarkStart w:id="7541" w:name="_Toc365899884"/>
      <w:bookmarkStart w:id="7542" w:name="_Toc365982693"/>
      <w:bookmarkStart w:id="7543" w:name="_Toc361324524"/>
      <w:bookmarkStart w:id="7544" w:name="_Toc361324955"/>
      <w:bookmarkStart w:id="7545" w:name="_Toc361325376"/>
      <w:bookmarkStart w:id="7546" w:name="_Toc361325796"/>
      <w:bookmarkStart w:id="7547" w:name="_Toc361326201"/>
      <w:bookmarkStart w:id="7548" w:name="_Toc361326602"/>
      <w:bookmarkStart w:id="7549" w:name="_Toc361326988"/>
      <w:bookmarkStart w:id="7550" w:name="_Toc361327369"/>
      <w:bookmarkStart w:id="7551" w:name="_Toc361327748"/>
      <w:bookmarkStart w:id="7552" w:name="_Toc361328120"/>
      <w:bookmarkStart w:id="7553" w:name="_Toc361328487"/>
      <w:bookmarkStart w:id="7554" w:name="_Toc361328859"/>
      <w:bookmarkStart w:id="7555" w:name="_Toc361394657"/>
      <w:bookmarkStart w:id="7556" w:name="_Toc362882615"/>
      <w:bookmarkStart w:id="7557" w:name="_Toc362882999"/>
      <w:bookmarkStart w:id="7558" w:name="_Toc362883377"/>
      <w:bookmarkStart w:id="7559" w:name="_Toc362883755"/>
      <w:bookmarkStart w:id="7560" w:name="_Toc362884133"/>
      <w:bookmarkStart w:id="7561" w:name="_Toc362884510"/>
      <w:bookmarkStart w:id="7562" w:name="_Toc362884885"/>
      <w:bookmarkStart w:id="7563" w:name="_Toc362885252"/>
      <w:bookmarkStart w:id="7564" w:name="_Toc362946193"/>
      <w:bookmarkStart w:id="7565" w:name="_Toc362946908"/>
      <w:bookmarkStart w:id="7566" w:name="_Toc365571375"/>
      <w:bookmarkStart w:id="7567" w:name="_Toc365624874"/>
      <w:bookmarkStart w:id="7568" w:name="_Toc365899885"/>
      <w:bookmarkStart w:id="7569" w:name="_Toc365982694"/>
      <w:bookmarkStart w:id="7570" w:name="_Toc361324525"/>
      <w:bookmarkStart w:id="7571" w:name="_Toc361324956"/>
      <w:bookmarkStart w:id="7572" w:name="_Toc361325377"/>
      <w:bookmarkStart w:id="7573" w:name="_Toc361325797"/>
      <w:bookmarkStart w:id="7574" w:name="_Toc361326202"/>
      <w:bookmarkStart w:id="7575" w:name="_Toc361326603"/>
      <w:bookmarkStart w:id="7576" w:name="_Toc361326989"/>
      <w:bookmarkStart w:id="7577" w:name="_Toc361327370"/>
      <w:bookmarkStart w:id="7578" w:name="_Toc361327749"/>
      <w:bookmarkStart w:id="7579" w:name="_Toc361328121"/>
      <w:bookmarkStart w:id="7580" w:name="_Toc361328488"/>
      <w:bookmarkStart w:id="7581" w:name="_Toc361328860"/>
      <w:bookmarkStart w:id="7582" w:name="_Toc361394658"/>
      <w:bookmarkStart w:id="7583" w:name="_Toc362882616"/>
      <w:bookmarkStart w:id="7584" w:name="_Toc362883000"/>
      <w:bookmarkStart w:id="7585" w:name="_Toc362883378"/>
      <w:bookmarkStart w:id="7586" w:name="_Toc362883756"/>
      <w:bookmarkStart w:id="7587" w:name="_Toc362884134"/>
      <w:bookmarkStart w:id="7588" w:name="_Toc362884511"/>
      <w:bookmarkStart w:id="7589" w:name="_Toc362884886"/>
      <w:bookmarkStart w:id="7590" w:name="_Toc362885253"/>
      <w:bookmarkStart w:id="7591" w:name="_Toc362946194"/>
      <w:bookmarkStart w:id="7592" w:name="_Toc362946909"/>
      <w:bookmarkStart w:id="7593" w:name="_Toc365571376"/>
      <w:bookmarkStart w:id="7594" w:name="_Toc365624875"/>
      <w:bookmarkStart w:id="7595" w:name="_Toc365899886"/>
      <w:bookmarkStart w:id="7596" w:name="_Toc365982695"/>
      <w:bookmarkStart w:id="7597" w:name="_Toc361324526"/>
      <w:bookmarkStart w:id="7598" w:name="_Toc361324957"/>
      <w:bookmarkStart w:id="7599" w:name="_Toc361325378"/>
      <w:bookmarkStart w:id="7600" w:name="_Toc361325798"/>
      <w:bookmarkStart w:id="7601" w:name="_Toc361326203"/>
      <w:bookmarkStart w:id="7602" w:name="_Toc361326604"/>
      <w:bookmarkStart w:id="7603" w:name="_Toc361326990"/>
      <w:bookmarkStart w:id="7604" w:name="_Toc361327371"/>
      <w:bookmarkStart w:id="7605" w:name="_Toc361327750"/>
      <w:bookmarkStart w:id="7606" w:name="_Toc361328122"/>
      <w:bookmarkStart w:id="7607" w:name="_Toc361328489"/>
      <w:bookmarkStart w:id="7608" w:name="_Toc361328861"/>
      <w:bookmarkStart w:id="7609" w:name="_Toc361394659"/>
      <w:bookmarkStart w:id="7610" w:name="_Toc362882617"/>
      <w:bookmarkStart w:id="7611" w:name="_Toc362883001"/>
      <w:bookmarkStart w:id="7612" w:name="_Toc362883379"/>
      <w:bookmarkStart w:id="7613" w:name="_Toc362883757"/>
      <w:bookmarkStart w:id="7614" w:name="_Toc362884135"/>
      <w:bookmarkStart w:id="7615" w:name="_Toc362884512"/>
      <w:bookmarkStart w:id="7616" w:name="_Toc362884887"/>
      <w:bookmarkStart w:id="7617" w:name="_Toc362885254"/>
      <w:bookmarkStart w:id="7618" w:name="_Toc362946195"/>
      <w:bookmarkStart w:id="7619" w:name="_Toc362946910"/>
      <w:bookmarkStart w:id="7620" w:name="_Toc365571377"/>
      <w:bookmarkStart w:id="7621" w:name="_Toc365624876"/>
      <w:bookmarkStart w:id="7622" w:name="_Toc365899887"/>
      <w:bookmarkStart w:id="7623" w:name="_Toc365982696"/>
      <w:bookmarkStart w:id="7624" w:name="_Toc361324527"/>
      <w:bookmarkStart w:id="7625" w:name="_Toc361324958"/>
      <w:bookmarkStart w:id="7626" w:name="_Toc361325379"/>
      <w:bookmarkStart w:id="7627" w:name="_Toc361325799"/>
      <w:bookmarkStart w:id="7628" w:name="_Toc361326204"/>
      <w:bookmarkStart w:id="7629" w:name="_Toc361326605"/>
      <w:bookmarkStart w:id="7630" w:name="_Toc361326991"/>
      <w:bookmarkStart w:id="7631" w:name="_Toc361327372"/>
      <w:bookmarkStart w:id="7632" w:name="_Toc361327751"/>
      <w:bookmarkStart w:id="7633" w:name="_Toc361328123"/>
      <w:bookmarkStart w:id="7634" w:name="_Toc361328490"/>
      <w:bookmarkStart w:id="7635" w:name="_Toc361328862"/>
      <w:bookmarkStart w:id="7636" w:name="_Toc361394660"/>
      <w:bookmarkStart w:id="7637" w:name="_Toc362882618"/>
      <w:bookmarkStart w:id="7638" w:name="_Toc362883002"/>
      <w:bookmarkStart w:id="7639" w:name="_Toc362883380"/>
      <w:bookmarkStart w:id="7640" w:name="_Toc362883758"/>
      <w:bookmarkStart w:id="7641" w:name="_Toc362884136"/>
      <w:bookmarkStart w:id="7642" w:name="_Toc362884513"/>
      <w:bookmarkStart w:id="7643" w:name="_Toc362884888"/>
      <w:bookmarkStart w:id="7644" w:name="_Toc362885255"/>
      <w:bookmarkStart w:id="7645" w:name="_Toc362946196"/>
      <w:bookmarkStart w:id="7646" w:name="_Toc362946911"/>
      <w:bookmarkStart w:id="7647" w:name="_Toc365571378"/>
      <w:bookmarkStart w:id="7648" w:name="_Toc365624877"/>
      <w:bookmarkStart w:id="7649" w:name="_Toc365899888"/>
      <w:bookmarkStart w:id="7650" w:name="_Toc365982697"/>
      <w:bookmarkStart w:id="7651" w:name="_Toc361324528"/>
      <w:bookmarkStart w:id="7652" w:name="_Toc361324959"/>
      <w:bookmarkStart w:id="7653" w:name="_Toc361325380"/>
      <w:bookmarkStart w:id="7654" w:name="_Toc361325800"/>
      <w:bookmarkStart w:id="7655" w:name="_Toc361326205"/>
      <w:bookmarkStart w:id="7656" w:name="_Toc361326606"/>
      <w:bookmarkStart w:id="7657" w:name="_Toc361326992"/>
      <w:bookmarkStart w:id="7658" w:name="_Toc361327373"/>
      <w:bookmarkStart w:id="7659" w:name="_Toc361327752"/>
      <w:bookmarkStart w:id="7660" w:name="_Toc361328124"/>
      <w:bookmarkStart w:id="7661" w:name="_Toc361328491"/>
      <w:bookmarkStart w:id="7662" w:name="_Toc361328863"/>
      <w:bookmarkStart w:id="7663" w:name="_Toc361394661"/>
      <w:bookmarkStart w:id="7664" w:name="_Toc362882619"/>
      <w:bookmarkStart w:id="7665" w:name="_Toc362883003"/>
      <w:bookmarkStart w:id="7666" w:name="_Toc362883381"/>
      <w:bookmarkStart w:id="7667" w:name="_Toc362883759"/>
      <w:bookmarkStart w:id="7668" w:name="_Toc362884137"/>
      <w:bookmarkStart w:id="7669" w:name="_Toc362884514"/>
      <w:bookmarkStart w:id="7670" w:name="_Toc362884889"/>
      <w:bookmarkStart w:id="7671" w:name="_Toc362885256"/>
      <w:bookmarkStart w:id="7672" w:name="_Toc362946197"/>
      <w:bookmarkStart w:id="7673" w:name="_Toc362946912"/>
      <w:bookmarkStart w:id="7674" w:name="_Toc365571379"/>
      <w:bookmarkStart w:id="7675" w:name="_Toc365624878"/>
      <w:bookmarkStart w:id="7676" w:name="_Toc365899889"/>
      <w:bookmarkStart w:id="7677" w:name="_Toc365982698"/>
      <w:bookmarkStart w:id="7678" w:name="_Toc361324529"/>
      <w:bookmarkStart w:id="7679" w:name="_Toc361324960"/>
      <w:bookmarkStart w:id="7680" w:name="_Toc361325381"/>
      <w:bookmarkStart w:id="7681" w:name="_Toc361325801"/>
      <w:bookmarkStart w:id="7682" w:name="_Toc361326206"/>
      <w:bookmarkStart w:id="7683" w:name="_Toc361326607"/>
      <w:bookmarkStart w:id="7684" w:name="_Toc361326993"/>
      <w:bookmarkStart w:id="7685" w:name="_Toc361327374"/>
      <w:bookmarkStart w:id="7686" w:name="_Toc361327753"/>
      <w:bookmarkStart w:id="7687" w:name="_Toc361328125"/>
      <w:bookmarkStart w:id="7688" w:name="_Toc361328492"/>
      <w:bookmarkStart w:id="7689" w:name="_Toc361328864"/>
      <w:bookmarkStart w:id="7690" w:name="_Toc361394662"/>
      <w:bookmarkStart w:id="7691" w:name="_Toc362882620"/>
      <w:bookmarkStart w:id="7692" w:name="_Toc362883004"/>
      <w:bookmarkStart w:id="7693" w:name="_Toc362883382"/>
      <w:bookmarkStart w:id="7694" w:name="_Toc362883760"/>
      <w:bookmarkStart w:id="7695" w:name="_Toc362884138"/>
      <w:bookmarkStart w:id="7696" w:name="_Toc362884515"/>
      <w:bookmarkStart w:id="7697" w:name="_Toc362884890"/>
      <w:bookmarkStart w:id="7698" w:name="_Toc362885257"/>
      <w:bookmarkStart w:id="7699" w:name="_Toc362946198"/>
      <w:bookmarkStart w:id="7700" w:name="_Toc362946913"/>
      <w:bookmarkStart w:id="7701" w:name="_Toc365571380"/>
      <w:bookmarkStart w:id="7702" w:name="_Toc365624879"/>
      <w:bookmarkStart w:id="7703" w:name="_Toc365899890"/>
      <w:bookmarkStart w:id="7704" w:name="_Toc365982699"/>
      <w:bookmarkStart w:id="7705" w:name="_Toc361324530"/>
      <w:bookmarkStart w:id="7706" w:name="_Toc361324961"/>
      <w:bookmarkStart w:id="7707" w:name="_Toc361325382"/>
      <w:bookmarkStart w:id="7708" w:name="_Toc361325802"/>
      <w:bookmarkStart w:id="7709" w:name="_Toc361326207"/>
      <w:bookmarkStart w:id="7710" w:name="_Toc361326608"/>
      <w:bookmarkStart w:id="7711" w:name="_Toc361326994"/>
      <w:bookmarkStart w:id="7712" w:name="_Toc361327375"/>
      <w:bookmarkStart w:id="7713" w:name="_Toc361327754"/>
      <w:bookmarkStart w:id="7714" w:name="_Toc361328126"/>
      <w:bookmarkStart w:id="7715" w:name="_Toc361328493"/>
      <w:bookmarkStart w:id="7716" w:name="_Toc361328865"/>
      <w:bookmarkStart w:id="7717" w:name="_Toc361394663"/>
      <w:bookmarkStart w:id="7718" w:name="_Toc362882621"/>
      <w:bookmarkStart w:id="7719" w:name="_Toc362883005"/>
      <w:bookmarkStart w:id="7720" w:name="_Toc362883383"/>
      <w:bookmarkStart w:id="7721" w:name="_Toc362883761"/>
      <w:bookmarkStart w:id="7722" w:name="_Toc362884139"/>
      <w:bookmarkStart w:id="7723" w:name="_Toc362884516"/>
      <w:bookmarkStart w:id="7724" w:name="_Toc362884891"/>
      <w:bookmarkStart w:id="7725" w:name="_Toc362885258"/>
      <w:bookmarkStart w:id="7726" w:name="_Toc362946199"/>
      <w:bookmarkStart w:id="7727" w:name="_Toc362946914"/>
      <w:bookmarkStart w:id="7728" w:name="_Toc365571381"/>
      <w:bookmarkStart w:id="7729" w:name="_Toc365624880"/>
      <w:bookmarkStart w:id="7730" w:name="_Toc365899891"/>
      <w:bookmarkStart w:id="7731" w:name="_Toc365982700"/>
      <w:bookmarkStart w:id="7732" w:name="_Toc361324531"/>
      <w:bookmarkStart w:id="7733" w:name="_Toc361324962"/>
      <w:bookmarkStart w:id="7734" w:name="_Toc361325383"/>
      <w:bookmarkStart w:id="7735" w:name="_Toc361325803"/>
      <w:bookmarkStart w:id="7736" w:name="_Toc361326208"/>
      <w:bookmarkStart w:id="7737" w:name="_Toc361326609"/>
      <w:bookmarkStart w:id="7738" w:name="_Toc361326995"/>
      <w:bookmarkStart w:id="7739" w:name="_Toc361327376"/>
      <w:bookmarkStart w:id="7740" w:name="_Toc361327755"/>
      <w:bookmarkStart w:id="7741" w:name="_Toc361328127"/>
      <w:bookmarkStart w:id="7742" w:name="_Toc361328494"/>
      <w:bookmarkStart w:id="7743" w:name="_Toc361328866"/>
      <w:bookmarkStart w:id="7744" w:name="_Toc361394664"/>
      <w:bookmarkStart w:id="7745" w:name="_Toc362882622"/>
      <w:bookmarkStart w:id="7746" w:name="_Toc362883006"/>
      <w:bookmarkStart w:id="7747" w:name="_Toc362883384"/>
      <w:bookmarkStart w:id="7748" w:name="_Toc362883762"/>
      <w:bookmarkStart w:id="7749" w:name="_Toc362884140"/>
      <w:bookmarkStart w:id="7750" w:name="_Toc362884517"/>
      <w:bookmarkStart w:id="7751" w:name="_Toc362884892"/>
      <w:bookmarkStart w:id="7752" w:name="_Toc362885259"/>
      <w:bookmarkStart w:id="7753" w:name="_Toc362946200"/>
      <w:bookmarkStart w:id="7754" w:name="_Toc362946915"/>
      <w:bookmarkStart w:id="7755" w:name="_Toc365571382"/>
      <w:bookmarkStart w:id="7756" w:name="_Toc365624881"/>
      <w:bookmarkStart w:id="7757" w:name="_Toc365899892"/>
      <w:bookmarkStart w:id="7758" w:name="_Toc365982701"/>
      <w:bookmarkStart w:id="7759" w:name="_Toc361324532"/>
      <w:bookmarkStart w:id="7760" w:name="_Toc361324963"/>
      <w:bookmarkStart w:id="7761" w:name="_Toc361325384"/>
      <w:bookmarkStart w:id="7762" w:name="_Toc361325804"/>
      <w:bookmarkStart w:id="7763" w:name="_Toc361326209"/>
      <w:bookmarkStart w:id="7764" w:name="_Toc361326610"/>
      <w:bookmarkStart w:id="7765" w:name="_Toc361326996"/>
      <w:bookmarkStart w:id="7766" w:name="_Toc361327377"/>
      <w:bookmarkStart w:id="7767" w:name="_Toc361327756"/>
      <w:bookmarkStart w:id="7768" w:name="_Toc361328128"/>
      <w:bookmarkStart w:id="7769" w:name="_Toc361328495"/>
      <w:bookmarkStart w:id="7770" w:name="_Toc361328867"/>
      <w:bookmarkStart w:id="7771" w:name="_Toc361394665"/>
      <w:bookmarkStart w:id="7772" w:name="_Toc362882623"/>
      <w:bookmarkStart w:id="7773" w:name="_Toc362883007"/>
      <w:bookmarkStart w:id="7774" w:name="_Toc362883385"/>
      <w:bookmarkStart w:id="7775" w:name="_Toc362883763"/>
      <w:bookmarkStart w:id="7776" w:name="_Toc362884141"/>
      <w:bookmarkStart w:id="7777" w:name="_Toc362884518"/>
      <w:bookmarkStart w:id="7778" w:name="_Toc362884893"/>
      <w:bookmarkStart w:id="7779" w:name="_Toc362885260"/>
      <w:bookmarkStart w:id="7780" w:name="_Toc362946201"/>
      <w:bookmarkStart w:id="7781" w:name="_Toc362946916"/>
      <w:bookmarkStart w:id="7782" w:name="_Toc365571383"/>
      <w:bookmarkStart w:id="7783" w:name="_Toc365624882"/>
      <w:bookmarkStart w:id="7784" w:name="_Toc365899893"/>
      <w:bookmarkStart w:id="7785" w:name="_Toc365982702"/>
      <w:bookmarkStart w:id="7786" w:name="_Toc361324533"/>
      <w:bookmarkStart w:id="7787" w:name="_Toc361324964"/>
      <w:bookmarkStart w:id="7788" w:name="_Toc361325385"/>
      <w:bookmarkStart w:id="7789" w:name="_Toc361325805"/>
      <w:bookmarkStart w:id="7790" w:name="_Toc361326210"/>
      <w:bookmarkStart w:id="7791" w:name="_Toc361326611"/>
      <w:bookmarkStart w:id="7792" w:name="_Toc361326997"/>
      <w:bookmarkStart w:id="7793" w:name="_Toc361327378"/>
      <w:bookmarkStart w:id="7794" w:name="_Toc361327757"/>
      <w:bookmarkStart w:id="7795" w:name="_Toc361328129"/>
      <w:bookmarkStart w:id="7796" w:name="_Toc361328496"/>
      <w:bookmarkStart w:id="7797" w:name="_Toc361328868"/>
      <w:bookmarkStart w:id="7798" w:name="_Toc361394666"/>
      <w:bookmarkStart w:id="7799" w:name="_Toc362882624"/>
      <w:bookmarkStart w:id="7800" w:name="_Toc362883008"/>
      <w:bookmarkStart w:id="7801" w:name="_Toc362883386"/>
      <w:bookmarkStart w:id="7802" w:name="_Toc362883764"/>
      <w:bookmarkStart w:id="7803" w:name="_Toc362884142"/>
      <w:bookmarkStart w:id="7804" w:name="_Toc362884519"/>
      <w:bookmarkStart w:id="7805" w:name="_Toc362884894"/>
      <w:bookmarkStart w:id="7806" w:name="_Toc362885261"/>
      <w:bookmarkStart w:id="7807" w:name="_Toc362946202"/>
      <w:bookmarkStart w:id="7808" w:name="_Toc362946917"/>
      <w:bookmarkStart w:id="7809" w:name="_Toc365571384"/>
      <w:bookmarkStart w:id="7810" w:name="_Toc365624883"/>
      <w:bookmarkStart w:id="7811" w:name="_Toc365899894"/>
      <w:bookmarkStart w:id="7812" w:name="_Toc365982703"/>
      <w:bookmarkStart w:id="7813" w:name="_Toc361324534"/>
      <w:bookmarkStart w:id="7814" w:name="_Toc361324965"/>
      <w:bookmarkStart w:id="7815" w:name="_Toc361325386"/>
      <w:bookmarkStart w:id="7816" w:name="_Toc361325806"/>
      <w:bookmarkStart w:id="7817" w:name="_Toc361326211"/>
      <w:bookmarkStart w:id="7818" w:name="_Toc361326612"/>
      <w:bookmarkStart w:id="7819" w:name="_Toc361326998"/>
      <w:bookmarkStart w:id="7820" w:name="_Toc361327379"/>
      <w:bookmarkStart w:id="7821" w:name="_Toc361327758"/>
      <w:bookmarkStart w:id="7822" w:name="_Toc361328130"/>
      <w:bookmarkStart w:id="7823" w:name="_Toc361328497"/>
      <w:bookmarkStart w:id="7824" w:name="_Toc361328869"/>
      <w:bookmarkStart w:id="7825" w:name="_Toc361394667"/>
      <w:bookmarkStart w:id="7826" w:name="_Toc362882625"/>
      <w:bookmarkStart w:id="7827" w:name="_Toc362883009"/>
      <w:bookmarkStart w:id="7828" w:name="_Toc362883387"/>
      <w:bookmarkStart w:id="7829" w:name="_Toc362883765"/>
      <w:bookmarkStart w:id="7830" w:name="_Toc362884143"/>
      <w:bookmarkStart w:id="7831" w:name="_Toc362884520"/>
      <w:bookmarkStart w:id="7832" w:name="_Toc362884895"/>
      <w:bookmarkStart w:id="7833" w:name="_Toc362885262"/>
      <w:bookmarkStart w:id="7834" w:name="_Toc362946203"/>
      <w:bookmarkStart w:id="7835" w:name="_Toc362946918"/>
      <w:bookmarkStart w:id="7836" w:name="_Toc365571385"/>
      <w:bookmarkStart w:id="7837" w:name="_Toc365624884"/>
      <w:bookmarkStart w:id="7838" w:name="_Toc365899895"/>
      <w:bookmarkStart w:id="7839" w:name="_Toc365982704"/>
      <w:bookmarkStart w:id="7840" w:name="_Toc361324535"/>
      <w:bookmarkStart w:id="7841" w:name="_Toc361324966"/>
      <w:bookmarkStart w:id="7842" w:name="_Toc361325387"/>
      <w:bookmarkStart w:id="7843" w:name="_Toc361325807"/>
      <w:bookmarkStart w:id="7844" w:name="_Toc361326212"/>
      <w:bookmarkStart w:id="7845" w:name="_Toc361326613"/>
      <w:bookmarkStart w:id="7846" w:name="_Toc361326999"/>
      <w:bookmarkStart w:id="7847" w:name="_Toc361327380"/>
      <w:bookmarkStart w:id="7848" w:name="_Toc361327759"/>
      <w:bookmarkStart w:id="7849" w:name="_Toc361328131"/>
      <w:bookmarkStart w:id="7850" w:name="_Toc361328498"/>
      <w:bookmarkStart w:id="7851" w:name="_Toc361328870"/>
      <w:bookmarkStart w:id="7852" w:name="_Toc361394668"/>
      <w:bookmarkStart w:id="7853" w:name="_Toc362882626"/>
      <w:bookmarkStart w:id="7854" w:name="_Toc362883010"/>
      <w:bookmarkStart w:id="7855" w:name="_Toc362883388"/>
      <w:bookmarkStart w:id="7856" w:name="_Toc362883766"/>
      <w:bookmarkStart w:id="7857" w:name="_Toc362884144"/>
      <w:bookmarkStart w:id="7858" w:name="_Toc362884521"/>
      <w:bookmarkStart w:id="7859" w:name="_Toc362884896"/>
      <w:bookmarkStart w:id="7860" w:name="_Toc362885263"/>
      <w:bookmarkStart w:id="7861" w:name="_Toc362946204"/>
      <w:bookmarkStart w:id="7862" w:name="_Toc362946919"/>
      <w:bookmarkStart w:id="7863" w:name="_Toc365571386"/>
      <w:bookmarkStart w:id="7864" w:name="_Toc365624885"/>
      <w:bookmarkStart w:id="7865" w:name="_Toc365899896"/>
      <w:bookmarkStart w:id="7866" w:name="_Toc365982705"/>
      <w:bookmarkStart w:id="7867" w:name="_Toc361324537"/>
      <w:bookmarkStart w:id="7868" w:name="_Toc361324968"/>
      <w:bookmarkStart w:id="7869" w:name="_Toc361325389"/>
      <w:bookmarkStart w:id="7870" w:name="_Toc361325809"/>
      <w:bookmarkStart w:id="7871" w:name="_Toc361326214"/>
      <w:bookmarkStart w:id="7872" w:name="_Toc361326615"/>
      <w:bookmarkStart w:id="7873" w:name="_Toc361327001"/>
      <w:bookmarkStart w:id="7874" w:name="_Toc361327382"/>
      <w:bookmarkStart w:id="7875" w:name="_Toc361327761"/>
      <w:bookmarkStart w:id="7876" w:name="_Toc361328133"/>
      <w:bookmarkStart w:id="7877" w:name="_Toc361328500"/>
      <w:bookmarkStart w:id="7878" w:name="_Toc361328872"/>
      <w:bookmarkStart w:id="7879" w:name="_Toc361394670"/>
      <w:bookmarkStart w:id="7880" w:name="_Toc362882628"/>
      <w:bookmarkStart w:id="7881" w:name="_Toc362883012"/>
      <w:bookmarkStart w:id="7882" w:name="_Toc362883390"/>
      <w:bookmarkStart w:id="7883" w:name="_Toc362883768"/>
      <w:bookmarkStart w:id="7884" w:name="_Toc362884146"/>
      <w:bookmarkStart w:id="7885" w:name="_Toc362884523"/>
      <w:bookmarkStart w:id="7886" w:name="_Toc362884898"/>
      <w:bookmarkStart w:id="7887" w:name="_Toc362885265"/>
      <w:bookmarkStart w:id="7888" w:name="_Toc362946206"/>
      <w:bookmarkStart w:id="7889" w:name="_Toc362946921"/>
      <w:bookmarkStart w:id="7890" w:name="_Toc365571388"/>
      <w:bookmarkStart w:id="7891" w:name="_Toc365624887"/>
      <w:bookmarkStart w:id="7892" w:name="_Toc365899898"/>
      <w:bookmarkStart w:id="7893" w:name="_Toc365982707"/>
      <w:bookmarkStart w:id="7894" w:name="_Toc367446036"/>
      <w:bookmarkStart w:id="7895" w:name="_Toc368048243"/>
      <w:bookmarkStart w:id="7896" w:name="_Toc368583814"/>
      <w:bookmarkStart w:id="7897" w:name="_Toc368652909"/>
      <w:bookmarkStart w:id="7898" w:name="_Toc368932348"/>
      <w:bookmarkStart w:id="7899" w:name="_Toc374345835"/>
      <w:bookmarkStart w:id="7900" w:name="_Toc374346181"/>
      <w:bookmarkStart w:id="7901" w:name="_Toc374346526"/>
      <w:bookmarkStart w:id="7902" w:name="_Toc374346872"/>
      <w:bookmarkStart w:id="7903" w:name="_Toc374347331"/>
      <w:bookmarkStart w:id="7904" w:name="_Toc374347561"/>
      <w:bookmarkStart w:id="7905" w:name="_Toc374347790"/>
      <w:bookmarkStart w:id="7906" w:name="_Toc374348533"/>
      <w:bookmarkStart w:id="7907" w:name="_Toc375054914"/>
      <w:bookmarkStart w:id="7908" w:name="_Toc375157997"/>
      <w:bookmarkStart w:id="7909" w:name="_Toc375158339"/>
      <w:bookmarkStart w:id="7910" w:name="_Toc378865495"/>
      <w:bookmarkStart w:id="7911" w:name="_Toc396149225"/>
      <w:bookmarkStart w:id="7912" w:name="_Toc396149793"/>
      <w:bookmarkStart w:id="7913" w:name="_Toc396150234"/>
      <w:bookmarkStart w:id="7914" w:name="_Toc398214923"/>
      <w:bookmarkStart w:id="7915" w:name="_Toc398291613"/>
      <w:bookmarkStart w:id="7916" w:name="_Toc398291956"/>
      <w:bookmarkStart w:id="7917" w:name="_Toc398293065"/>
      <w:bookmarkStart w:id="7918" w:name="_Toc400964195"/>
      <w:bookmarkStart w:id="7919" w:name="_Toc420594905"/>
      <w:bookmarkStart w:id="7920" w:name="_Toc420928470"/>
      <w:bookmarkStart w:id="7921" w:name="_Toc421106791"/>
      <w:bookmarkStart w:id="7922" w:name="_Toc421173075"/>
      <w:bookmarkStart w:id="7923" w:name="_Toc421874382"/>
      <w:bookmarkStart w:id="7924" w:name="_Toc421885671"/>
      <w:bookmarkStart w:id="7925" w:name="_Toc421886050"/>
      <w:bookmarkStart w:id="7926" w:name="_Toc422028922"/>
      <w:bookmarkStart w:id="7927" w:name="_Toc422029834"/>
      <w:bookmarkStart w:id="7928" w:name="_Toc422150797"/>
      <w:bookmarkStart w:id="7929" w:name="_Toc423443351"/>
      <w:bookmarkStart w:id="7930" w:name="_Toc441422518"/>
      <w:bookmarkStart w:id="7931" w:name="_Toc361324538"/>
      <w:bookmarkStart w:id="7932" w:name="_Toc361324969"/>
      <w:bookmarkStart w:id="7933" w:name="_Toc361325390"/>
      <w:bookmarkStart w:id="7934" w:name="_Toc361325810"/>
      <w:bookmarkStart w:id="7935" w:name="_Toc361326215"/>
      <w:bookmarkStart w:id="7936" w:name="_Toc361326616"/>
      <w:bookmarkStart w:id="7937" w:name="_Toc361327002"/>
      <w:bookmarkStart w:id="7938" w:name="_Toc361327383"/>
      <w:bookmarkStart w:id="7939" w:name="_Toc361327762"/>
      <w:bookmarkStart w:id="7940" w:name="_Toc361328134"/>
      <w:bookmarkStart w:id="7941" w:name="_Toc361328501"/>
      <w:bookmarkStart w:id="7942" w:name="_Toc361328873"/>
      <w:bookmarkStart w:id="7943" w:name="_Toc361394671"/>
      <w:bookmarkStart w:id="7944" w:name="_Toc362882629"/>
      <w:bookmarkStart w:id="7945" w:name="_Toc362883013"/>
      <w:bookmarkStart w:id="7946" w:name="_Toc362883391"/>
      <w:bookmarkStart w:id="7947" w:name="_Toc362883769"/>
      <w:bookmarkStart w:id="7948" w:name="_Toc362884147"/>
      <w:bookmarkStart w:id="7949" w:name="_Toc362884524"/>
      <w:bookmarkStart w:id="7950" w:name="_Toc362884899"/>
      <w:bookmarkStart w:id="7951" w:name="_Toc362885266"/>
      <w:bookmarkStart w:id="7952" w:name="_Toc362946207"/>
      <w:bookmarkStart w:id="7953" w:name="_Toc362946922"/>
      <w:bookmarkStart w:id="7954" w:name="_Toc365571389"/>
      <w:bookmarkStart w:id="7955" w:name="_Toc365624888"/>
      <w:bookmarkStart w:id="7956" w:name="_Toc365899899"/>
      <w:bookmarkStart w:id="7957" w:name="_Toc365982708"/>
      <w:bookmarkStart w:id="7958" w:name="_Toc367446037"/>
      <w:bookmarkStart w:id="7959" w:name="_Toc368048244"/>
      <w:bookmarkStart w:id="7960" w:name="_Toc368583815"/>
      <w:bookmarkStart w:id="7961" w:name="_Toc368652910"/>
      <w:bookmarkStart w:id="7962" w:name="_Toc368932349"/>
      <w:bookmarkStart w:id="7963" w:name="_Toc374345836"/>
      <w:bookmarkStart w:id="7964" w:name="_Toc374346182"/>
      <w:bookmarkStart w:id="7965" w:name="_Toc374346527"/>
      <w:bookmarkStart w:id="7966" w:name="_Toc374346873"/>
      <w:bookmarkStart w:id="7967" w:name="_Toc374347332"/>
      <w:bookmarkStart w:id="7968" w:name="_Toc374347562"/>
      <w:bookmarkStart w:id="7969" w:name="_Toc374347791"/>
      <w:bookmarkStart w:id="7970" w:name="_Toc374348534"/>
      <w:bookmarkStart w:id="7971" w:name="_Toc375054915"/>
      <w:bookmarkStart w:id="7972" w:name="_Toc375157998"/>
      <w:bookmarkStart w:id="7973" w:name="_Toc375158340"/>
      <w:bookmarkStart w:id="7974" w:name="_Toc378865496"/>
      <w:bookmarkStart w:id="7975" w:name="_Toc396149226"/>
      <w:bookmarkStart w:id="7976" w:name="_Toc396149794"/>
      <w:bookmarkStart w:id="7977" w:name="_Toc396150235"/>
      <w:bookmarkStart w:id="7978" w:name="_Toc398214924"/>
      <w:bookmarkStart w:id="7979" w:name="_Toc398291614"/>
      <w:bookmarkStart w:id="7980" w:name="_Toc398291957"/>
      <w:bookmarkStart w:id="7981" w:name="_Toc398293066"/>
      <w:bookmarkStart w:id="7982" w:name="_Toc400964196"/>
      <w:bookmarkStart w:id="7983" w:name="_Toc420594906"/>
      <w:bookmarkStart w:id="7984" w:name="_Toc420928471"/>
      <w:bookmarkStart w:id="7985" w:name="_Toc421106792"/>
      <w:bookmarkStart w:id="7986" w:name="_Toc421173076"/>
      <w:bookmarkStart w:id="7987" w:name="_Toc421874383"/>
      <w:bookmarkStart w:id="7988" w:name="_Toc421885672"/>
      <w:bookmarkStart w:id="7989" w:name="_Toc421886051"/>
      <w:bookmarkStart w:id="7990" w:name="_Toc422028923"/>
      <w:bookmarkStart w:id="7991" w:name="_Toc422029835"/>
      <w:bookmarkStart w:id="7992" w:name="_Toc422150798"/>
      <w:bookmarkStart w:id="7993" w:name="_Toc423443352"/>
      <w:bookmarkStart w:id="7994" w:name="_Toc441422519"/>
      <w:bookmarkStart w:id="7995" w:name="_Toc361324539"/>
      <w:bookmarkStart w:id="7996" w:name="_Toc361324970"/>
      <w:bookmarkStart w:id="7997" w:name="_Toc361325391"/>
      <w:bookmarkStart w:id="7998" w:name="_Toc361325811"/>
      <w:bookmarkStart w:id="7999" w:name="_Toc361326216"/>
      <w:bookmarkStart w:id="8000" w:name="_Toc361326617"/>
      <w:bookmarkStart w:id="8001" w:name="_Toc361327003"/>
      <w:bookmarkStart w:id="8002" w:name="_Toc361327384"/>
      <w:bookmarkStart w:id="8003" w:name="_Toc361327763"/>
      <w:bookmarkStart w:id="8004" w:name="_Toc361328135"/>
      <w:bookmarkStart w:id="8005" w:name="_Toc361328502"/>
      <w:bookmarkStart w:id="8006" w:name="_Toc361328874"/>
      <w:bookmarkStart w:id="8007" w:name="_Toc361394672"/>
      <w:bookmarkStart w:id="8008" w:name="_Toc362882630"/>
      <w:bookmarkStart w:id="8009" w:name="_Toc362883014"/>
      <w:bookmarkStart w:id="8010" w:name="_Toc362883392"/>
      <w:bookmarkStart w:id="8011" w:name="_Toc362883770"/>
      <w:bookmarkStart w:id="8012" w:name="_Toc362884148"/>
      <w:bookmarkStart w:id="8013" w:name="_Toc362884525"/>
      <w:bookmarkStart w:id="8014" w:name="_Toc362884900"/>
      <w:bookmarkStart w:id="8015" w:name="_Toc362885267"/>
      <w:bookmarkStart w:id="8016" w:name="_Toc362946208"/>
      <w:bookmarkStart w:id="8017" w:name="_Toc362946923"/>
      <w:bookmarkStart w:id="8018" w:name="_Toc365571390"/>
      <w:bookmarkStart w:id="8019" w:name="_Toc365624889"/>
      <w:bookmarkStart w:id="8020" w:name="_Toc365899900"/>
      <w:bookmarkStart w:id="8021" w:name="_Toc365982709"/>
      <w:bookmarkStart w:id="8022" w:name="_Toc367446038"/>
      <w:bookmarkStart w:id="8023" w:name="_Toc368048245"/>
      <w:bookmarkStart w:id="8024" w:name="_Toc368583816"/>
      <w:bookmarkStart w:id="8025" w:name="_Toc368652911"/>
      <w:bookmarkStart w:id="8026" w:name="_Toc368932350"/>
      <w:bookmarkStart w:id="8027" w:name="_Toc374345837"/>
      <w:bookmarkStart w:id="8028" w:name="_Toc374346183"/>
      <w:bookmarkStart w:id="8029" w:name="_Toc374346528"/>
      <w:bookmarkStart w:id="8030" w:name="_Toc374346874"/>
      <w:bookmarkStart w:id="8031" w:name="_Toc374347333"/>
      <w:bookmarkStart w:id="8032" w:name="_Toc374347563"/>
      <w:bookmarkStart w:id="8033" w:name="_Toc374347792"/>
      <w:bookmarkStart w:id="8034" w:name="_Toc374348535"/>
      <w:bookmarkStart w:id="8035" w:name="_Toc375054916"/>
      <w:bookmarkStart w:id="8036" w:name="_Toc375157999"/>
      <w:bookmarkStart w:id="8037" w:name="_Toc375158341"/>
      <w:bookmarkStart w:id="8038" w:name="_Toc378865497"/>
      <w:bookmarkStart w:id="8039" w:name="_Toc396149227"/>
      <w:bookmarkStart w:id="8040" w:name="_Toc396149795"/>
      <w:bookmarkStart w:id="8041" w:name="_Toc396150236"/>
      <w:bookmarkStart w:id="8042" w:name="_Toc398214925"/>
      <w:bookmarkStart w:id="8043" w:name="_Toc398291615"/>
      <w:bookmarkStart w:id="8044" w:name="_Toc398291958"/>
      <w:bookmarkStart w:id="8045" w:name="_Toc398293067"/>
      <w:bookmarkStart w:id="8046" w:name="_Toc400964197"/>
      <w:bookmarkStart w:id="8047" w:name="_Toc420594907"/>
      <w:bookmarkStart w:id="8048" w:name="_Toc420928472"/>
      <w:bookmarkStart w:id="8049" w:name="_Toc421106793"/>
      <w:bookmarkStart w:id="8050" w:name="_Toc421173077"/>
      <w:bookmarkStart w:id="8051" w:name="_Toc421874384"/>
      <w:bookmarkStart w:id="8052" w:name="_Toc421885673"/>
      <w:bookmarkStart w:id="8053" w:name="_Toc421886052"/>
      <w:bookmarkStart w:id="8054" w:name="_Toc422028924"/>
      <w:bookmarkStart w:id="8055" w:name="_Toc422029836"/>
      <w:bookmarkStart w:id="8056" w:name="_Toc422150799"/>
      <w:bookmarkStart w:id="8057" w:name="_Toc423443353"/>
      <w:bookmarkStart w:id="8058" w:name="_Toc441422520"/>
      <w:bookmarkStart w:id="8059" w:name="_Toc361324540"/>
      <w:bookmarkStart w:id="8060" w:name="_Toc361324971"/>
      <w:bookmarkStart w:id="8061" w:name="_Toc361325392"/>
      <w:bookmarkStart w:id="8062" w:name="_Toc361325812"/>
      <w:bookmarkStart w:id="8063" w:name="_Toc361326217"/>
      <w:bookmarkStart w:id="8064" w:name="_Toc361326618"/>
      <w:bookmarkStart w:id="8065" w:name="_Toc361327004"/>
      <w:bookmarkStart w:id="8066" w:name="_Toc361327385"/>
      <w:bookmarkStart w:id="8067" w:name="_Toc361327764"/>
      <w:bookmarkStart w:id="8068" w:name="_Toc361328136"/>
      <w:bookmarkStart w:id="8069" w:name="_Toc361328503"/>
      <w:bookmarkStart w:id="8070" w:name="_Toc361328875"/>
      <w:bookmarkStart w:id="8071" w:name="_Toc361394673"/>
      <w:bookmarkStart w:id="8072" w:name="_Toc362882631"/>
      <w:bookmarkStart w:id="8073" w:name="_Toc362883015"/>
      <w:bookmarkStart w:id="8074" w:name="_Toc362883393"/>
      <w:bookmarkStart w:id="8075" w:name="_Toc362883771"/>
      <w:bookmarkStart w:id="8076" w:name="_Toc362884149"/>
      <w:bookmarkStart w:id="8077" w:name="_Toc362884526"/>
      <w:bookmarkStart w:id="8078" w:name="_Toc362884901"/>
      <w:bookmarkStart w:id="8079" w:name="_Toc362885268"/>
      <w:bookmarkStart w:id="8080" w:name="_Toc362946209"/>
      <w:bookmarkStart w:id="8081" w:name="_Toc362946924"/>
      <w:bookmarkStart w:id="8082" w:name="_Toc365571391"/>
      <w:bookmarkStart w:id="8083" w:name="_Toc365624890"/>
      <w:bookmarkStart w:id="8084" w:name="_Toc365899901"/>
      <w:bookmarkStart w:id="8085" w:name="_Toc365982710"/>
      <w:bookmarkStart w:id="8086" w:name="_Toc367446039"/>
      <w:bookmarkStart w:id="8087" w:name="_Toc368048246"/>
      <w:bookmarkStart w:id="8088" w:name="_Toc368583817"/>
      <w:bookmarkStart w:id="8089" w:name="_Toc368652912"/>
      <w:bookmarkStart w:id="8090" w:name="_Toc368932351"/>
      <w:bookmarkStart w:id="8091" w:name="_Toc374345838"/>
      <w:bookmarkStart w:id="8092" w:name="_Toc374346184"/>
      <w:bookmarkStart w:id="8093" w:name="_Toc374346529"/>
      <w:bookmarkStart w:id="8094" w:name="_Toc374346875"/>
      <w:bookmarkStart w:id="8095" w:name="_Toc374347334"/>
      <w:bookmarkStart w:id="8096" w:name="_Toc374347564"/>
      <w:bookmarkStart w:id="8097" w:name="_Toc374347793"/>
      <w:bookmarkStart w:id="8098" w:name="_Toc374348536"/>
      <w:bookmarkStart w:id="8099" w:name="_Toc375054917"/>
      <w:bookmarkStart w:id="8100" w:name="_Toc375158000"/>
      <w:bookmarkStart w:id="8101" w:name="_Toc375158342"/>
      <w:bookmarkStart w:id="8102" w:name="_Toc378865498"/>
      <w:bookmarkStart w:id="8103" w:name="_Toc396149228"/>
      <w:bookmarkStart w:id="8104" w:name="_Toc396149796"/>
      <w:bookmarkStart w:id="8105" w:name="_Toc396150237"/>
      <w:bookmarkStart w:id="8106" w:name="_Toc398214926"/>
      <w:bookmarkStart w:id="8107" w:name="_Toc398291616"/>
      <w:bookmarkStart w:id="8108" w:name="_Toc398291959"/>
      <w:bookmarkStart w:id="8109" w:name="_Toc398293068"/>
      <w:bookmarkStart w:id="8110" w:name="_Toc400964198"/>
      <w:bookmarkStart w:id="8111" w:name="_Toc420594908"/>
      <w:bookmarkStart w:id="8112" w:name="_Toc420928473"/>
      <w:bookmarkStart w:id="8113" w:name="_Toc421106794"/>
      <w:bookmarkStart w:id="8114" w:name="_Toc421173078"/>
      <w:bookmarkStart w:id="8115" w:name="_Toc421874385"/>
      <w:bookmarkStart w:id="8116" w:name="_Toc421885674"/>
      <w:bookmarkStart w:id="8117" w:name="_Toc421886053"/>
      <w:bookmarkStart w:id="8118" w:name="_Toc422028925"/>
      <w:bookmarkStart w:id="8119" w:name="_Toc422029837"/>
      <w:bookmarkStart w:id="8120" w:name="_Toc422150800"/>
      <w:bookmarkStart w:id="8121" w:name="_Toc423443354"/>
      <w:bookmarkStart w:id="8122" w:name="_Toc441422521"/>
      <w:bookmarkStart w:id="8123" w:name="_Toc361324541"/>
      <w:bookmarkStart w:id="8124" w:name="_Toc361324972"/>
      <w:bookmarkStart w:id="8125" w:name="_Toc361325393"/>
      <w:bookmarkStart w:id="8126" w:name="_Toc361325813"/>
      <w:bookmarkStart w:id="8127" w:name="_Toc361326218"/>
      <w:bookmarkStart w:id="8128" w:name="_Toc361326619"/>
      <w:bookmarkStart w:id="8129" w:name="_Toc361327005"/>
      <w:bookmarkStart w:id="8130" w:name="_Toc361327386"/>
      <w:bookmarkStart w:id="8131" w:name="_Toc361327765"/>
      <w:bookmarkStart w:id="8132" w:name="_Toc361328137"/>
      <w:bookmarkStart w:id="8133" w:name="_Toc361328504"/>
      <w:bookmarkStart w:id="8134" w:name="_Toc361328876"/>
      <w:bookmarkStart w:id="8135" w:name="_Toc361394674"/>
      <w:bookmarkStart w:id="8136" w:name="_Toc362882632"/>
      <w:bookmarkStart w:id="8137" w:name="_Toc362883016"/>
      <w:bookmarkStart w:id="8138" w:name="_Toc362883394"/>
      <w:bookmarkStart w:id="8139" w:name="_Toc362883772"/>
      <w:bookmarkStart w:id="8140" w:name="_Toc362884150"/>
      <w:bookmarkStart w:id="8141" w:name="_Toc362884527"/>
      <w:bookmarkStart w:id="8142" w:name="_Toc362884902"/>
      <w:bookmarkStart w:id="8143" w:name="_Toc362885269"/>
      <w:bookmarkStart w:id="8144" w:name="_Toc362946210"/>
      <w:bookmarkStart w:id="8145" w:name="_Toc362946925"/>
      <w:bookmarkStart w:id="8146" w:name="_Toc365571392"/>
      <w:bookmarkStart w:id="8147" w:name="_Toc365624891"/>
      <w:bookmarkStart w:id="8148" w:name="_Toc365899902"/>
      <w:bookmarkStart w:id="8149" w:name="_Toc365982711"/>
      <w:bookmarkStart w:id="8150" w:name="_Toc367446040"/>
      <w:bookmarkStart w:id="8151" w:name="_Toc368048247"/>
      <w:bookmarkStart w:id="8152" w:name="_Toc368583818"/>
      <w:bookmarkStart w:id="8153" w:name="_Toc368652913"/>
      <w:bookmarkStart w:id="8154" w:name="_Toc368932352"/>
      <w:bookmarkStart w:id="8155" w:name="_Toc374345839"/>
      <w:bookmarkStart w:id="8156" w:name="_Toc374346185"/>
      <w:bookmarkStart w:id="8157" w:name="_Toc374346530"/>
      <w:bookmarkStart w:id="8158" w:name="_Toc374346876"/>
      <w:bookmarkStart w:id="8159" w:name="_Toc374347335"/>
      <w:bookmarkStart w:id="8160" w:name="_Toc374347565"/>
      <w:bookmarkStart w:id="8161" w:name="_Toc374347794"/>
      <w:bookmarkStart w:id="8162" w:name="_Toc374348537"/>
      <w:bookmarkStart w:id="8163" w:name="_Toc375054918"/>
      <w:bookmarkStart w:id="8164" w:name="_Toc375158001"/>
      <w:bookmarkStart w:id="8165" w:name="_Toc375158343"/>
      <w:bookmarkStart w:id="8166" w:name="_Toc378865499"/>
      <w:bookmarkStart w:id="8167" w:name="_Toc396149229"/>
      <w:bookmarkStart w:id="8168" w:name="_Toc396149797"/>
      <w:bookmarkStart w:id="8169" w:name="_Toc396150238"/>
      <w:bookmarkStart w:id="8170" w:name="_Toc398214927"/>
      <w:bookmarkStart w:id="8171" w:name="_Toc398291617"/>
      <w:bookmarkStart w:id="8172" w:name="_Toc398291960"/>
      <w:bookmarkStart w:id="8173" w:name="_Toc398293069"/>
      <w:bookmarkStart w:id="8174" w:name="_Toc400964199"/>
      <w:bookmarkStart w:id="8175" w:name="_Toc420594909"/>
      <w:bookmarkStart w:id="8176" w:name="_Toc420928474"/>
      <w:bookmarkStart w:id="8177" w:name="_Toc421106795"/>
      <w:bookmarkStart w:id="8178" w:name="_Toc421173079"/>
      <w:bookmarkStart w:id="8179" w:name="_Toc421874386"/>
      <w:bookmarkStart w:id="8180" w:name="_Toc421885675"/>
      <w:bookmarkStart w:id="8181" w:name="_Toc421886054"/>
      <w:bookmarkStart w:id="8182" w:name="_Toc422028926"/>
      <w:bookmarkStart w:id="8183" w:name="_Toc422029838"/>
      <w:bookmarkStart w:id="8184" w:name="_Toc422150801"/>
      <w:bookmarkStart w:id="8185" w:name="_Toc423443355"/>
      <w:bookmarkStart w:id="8186" w:name="_Toc441422522"/>
      <w:bookmarkStart w:id="8187" w:name="_Toc361324542"/>
      <w:bookmarkStart w:id="8188" w:name="_Toc361324973"/>
      <w:bookmarkStart w:id="8189" w:name="_Toc361325394"/>
      <w:bookmarkStart w:id="8190" w:name="_Toc361325814"/>
      <w:bookmarkStart w:id="8191" w:name="_Toc361326219"/>
      <w:bookmarkStart w:id="8192" w:name="_Toc361326620"/>
      <w:bookmarkStart w:id="8193" w:name="_Toc361327006"/>
      <w:bookmarkStart w:id="8194" w:name="_Toc361327387"/>
      <w:bookmarkStart w:id="8195" w:name="_Toc361327766"/>
      <w:bookmarkStart w:id="8196" w:name="_Toc361328138"/>
      <w:bookmarkStart w:id="8197" w:name="_Toc361328505"/>
      <w:bookmarkStart w:id="8198" w:name="_Toc361328877"/>
      <w:bookmarkStart w:id="8199" w:name="_Toc361394675"/>
      <w:bookmarkStart w:id="8200" w:name="_Toc362882633"/>
      <w:bookmarkStart w:id="8201" w:name="_Toc362883017"/>
      <w:bookmarkStart w:id="8202" w:name="_Toc362883395"/>
      <w:bookmarkStart w:id="8203" w:name="_Toc362883773"/>
      <w:bookmarkStart w:id="8204" w:name="_Toc362884151"/>
      <w:bookmarkStart w:id="8205" w:name="_Toc362884528"/>
      <w:bookmarkStart w:id="8206" w:name="_Toc362884903"/>
      <w:bookmarkStart w:id="8207" w:name="_Toc362885270"/>
      <w:bookmarkStart w:id="8208" w:name="_Toc362946211"/>
      <w:bookmarkStart w:id="8209" w:name="_Toc362946926"/>
      <w:bookmarkStart w:id="8210" w:name="_Toc365571393"/>
      <w:bookmarkStart w:id="8211" w:name="_Toc365624892"/>
      <w:bookmarkStart w:id="8212" w:name="_Toc365899903"/>
      <w:bookmarkStart w:id="8213" w:name="_Toc365982712"/>
      <w:bookmarkStart w:id="8214" w:name="_Toc367446041"/>
      <w:bookmarkStart w:id="8215" w:name="_Toc368048248"/>
      <w:bookmarkStart w:id="8216" w:name="_Toc368583819"/>
      <w:bookmarkStart w:id="8217" w:name="_Toc368652914"/>
      <w:bookmarkStart w:id="8218" w:name="_Toc368932353"/>
      <w:bookmarkStart w:id="8219" w:name="_Toc374345840"/>
      <w:bookmarkStart w:id="8220" w:name="_Toc374346186"/>
      <w:bookmarkStart w:id="8221" w:name="_Toc374346531"/>
      <w:bookmarkStart w:id="8222" w:name="_Toc374346877"/>
      <w:bookmarkStart w:id="8223" w:name="_Toc374347336"/>
      <w:bookmarkStart w:id="8224" w:name="_Toc374347566"/>
      <w:bookmarkStart w:id="8225" w:name="_Toc374347795"/>
      <w:bookmarkStart w:id="8226" w:name="_Toc374348538"/>
      <w:bookmarkStart w:id="8227" w:name="_Toc375054919"/>
      <w:bookmarkStart w:id="8228" w:name="_Toc375158002"/>
      <w:bookmarkStart w:id="8229" w:name="_Toc375158344"/>
      <w:bookmarkStart w:id="8230" w:name="_Toc378865500"/>
      <w:bookmarkStart w:id="8231" w:name="_Toc396149230"/>
      <w:bookmarkStart w:id="8232" w:name="_Toc396149798"/>
      <w:bookmarkStart w:id="8233" w:name="_Toc396150239"/>
      <w:bookmarkStart w:id="8234" w:name="_Toc398214928"/>
      <w:bookmarkStart w:id="8235" w:name="_Toc398291618"/>
      <w:bookmarkStart w:id="8236" w:name="_Toc398291961"/>
      <w:bookmarkStart w:id="8237" w:name="_Toc398293070"/>
      <w:bookmarkStart w:id="8238" w:name="_Toc400964200"/>
      <w:bookmarkStart w:id="8239" w:name="_Toc420594910"/>
      <w:bookmarkStart w:id="8240" w:name="_Toc420928475"/>
      <w:bookmarkStart w:id="8241" w:name="_Toc421106796"/>
      <w:bookmarkStart w:id="8242" w:name="_Toc421173080"/>
      <w:bookmarkStart w:id="8243" w:name="_Toc421874387"/>
      <w:bookmarkStart w:id="8244" w:name="_Toc421885676"/>
      <w:bookmarkStart w:id="8245" w:name="_Toc421886055"/>
      <w:bookmarkStart w:id="8246" w:name="_Toc422028927"/>
      <w:bookmarkStart w:id="8247" w:name="_Toc422029839"/>
      <w:bookmarkStart w:id="8248" w:name="_Toc422150802"/>
      <w:bookmarkStart w:id="8249" w:name="_Toc423443356"/>
      <w:bookmarkStart w:id="8250" w:name="_Toc441422523"/>
      <w:bookmarkStart w:id="8251" w:name="_Toc361324543"/>
      <w:bookmarkStart w:id="8252" w:name="_Toc361324974"/>
      <w:bookmarkStart w:id="8253" w:name="_Toc361325395"/>
      <w:bookmarkStart w:id="8254" w:name="_Toc361325815"/>
      <w:bookmarkStart w:id="8255" w:name="_Toc361326220"/>
      <w:bookmarkStart w:id="8256" w:name="_Toc361326621"/>
      <w:bookmarkStart w:id="8257" w:name="_Toc361327007"/>
      <w:bookmarkStart w:id="8258" w:name="_Toc361327388"/>
      <w:bookmarkStart w:id="8259" w:name="_Toc361327767"/>
      <w:bookmarkStart w:id="8260" w:name="_Toc361328139"/>
      <w:bookmarkStart w:id="8261" w:name="_Toc361328506"/>
      <w:bookmarkStart w:id="8262" w:name="_Toc361328878"/>
      <w:bookmarkStart w:id="8263" w:name="_Toc361394676"/>
      <w:bookmarkStart w:id="8264" w:name="_Toc362882634"/>
      <w:bookmarkStart w:id="8265" w:name="_Toc362883018"/>
      <w:bookmarkStart w:id="8266" w:name="_Toc362883396"/>
      <w:bookmarkStart w:id="8267" w:name="_Toc362883774"/>
      <w:bookmarkStart w:id="8268" w:name="_Toc362884152"/>
      <w:bookmarkStart w:id="8269" w:name="_Toc362884529"/>
      <w:bookmarkStart w:id="8270" w:name="_Toc362884904"/>
      <w:bookmarkStart w:id="8271" w:name="_Toc362885271"/>
      <w:bookmarkStart w:id="8272" w:name="_Toc362946212"/>
      <w:bookmarkStart w:id="8273" w:name="_Toc362946927"/>
      <w:bookmarkStart w:id="8274" w:name="_Toc365571394"/>
      <w:bookmarkStart w:id="8275" w:name="_Toc365624893"/>
      <w:bookmarkStart w:id="8276" w:name="_Toc365899904"/>
      <w:bookmarkStart w:id="8277" w:name="_Toc365982713"/>
      <w:bookmarkStart w:id="8278" w:name="_Toc367446042"/>
      <w:bookmarkStart w:id="8279" w:name="_Toc368048249"/>
      <w:bookmarkStart w:id="8280" w:name="_Toc368583820"/>
      <w:bookmarkStart w:id="8281" w:name="_Toc368652915"/>
      <w:bookmarkStart w:id="8282" w:name="_Toc368932354"/>
      <w:bookmarkStart w:id="8283" w:name="_Toc374345841"/>
      <w:bookmarkStart w:id="8284" w:name="_Toc374346187"/>
      <w:bookmarkStart w:id="8285" w:name="_Toc374346532"/>
      <w:bookmarkStart w:id="8286" w:name="_Toc374346878"/>
      <w:bookmarkStart w:id="8287" w:name="_Toc374347337"/>
      <w:bookmarkStart w:id="8288" w:name="_Toc374347567"/>
      <w:bookmarkStart w:id="8289" w:name="_Toc374347796"/>
      <w:bookmarkStart w:id="8290" w:name="_Toc374348539"/>
      <w:bookmarkStart w:id="8291" w:name="_Toc375054920"/>
      <w:bookmarkStart w:id="8292" w:name="_Toc375158003"/>
      <w:bookmarkStart w:id="8293" w:name="_Toc375158345"/>
      <w:bookmarkStart w:id="8294" w:name="_Toc378865501"/>
      <w:bookmarkStart w:id="8295" w:name="_Toc396149231"/>
      <w:bookmarkStart w:id="8296" w:name="_Toc396149799"/>
      <w:bookmarkStart w:id="8297" w:name="_Toc396150240"/>
      <w:bookmarkStart w:id="8298" w:name="_Toc398214929"/>
      <w:bookmarkStart w:id="8299" w:name="_Toc398291619"/>
      <w:bookmarkStart w:id="8300" w:name="_Toc398291962"/>
      <w:bookmarkStart w:id="8301" w:name="_Toc398293071"/>
      <w:bookmarkStart w:id="8302" w:name="_Toc400964201"/>
      <w:bookmarkStart w:id="8303" w:name="_Toc420594911"/>
      <w:bookmarkStart w:id="8304" w:name="_Toc420928476"/>
      <w:bookmarkStart w:id="8305" w:name="_Toc421106797"/>
      <w:bookmarkStart w:id="8306" w:name="_Toc421173081"/>
      <w:bookmarkStart w:id="8307" w:name="_Toc421874388"/>
      <w:bookmarkStart w:id="8308" w:name="_Toc421885677"/>
      <w:bookmarkStart w:id="8309" w:name="_Toc421886056"/>
      <w:bookmarkStart w:id="8310" w:name="_Toc422028928"/>
      <w:bookmarkStart w:id="8311" w:name="_Toc422029840"/>
      <w:bookmarkStart w:id="8312" w:name="_Toc422150803"/>
      <w:bookmarkStart w:id="8313" w:name="_Toc423443357"/>
      <w:bookmarkStart w:id="8314" w:name="_Toc441422524"/>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r>
        <w:rPr>
          <w:rFonts w:cs="Arial"/>
          <w:b/>
          <w:lang w:eastAsia="de-DE" w:bidi="ar-SA"/>
        </w:rPr>
        <w:t>: Void</w:t>
      </w:r>
    </w:p>
    <w:p w14:paraId="1344C3EC" w14:textId="77777777" w:rsidR="00B97365" w:rsidRDefault="00000000">
      <w:pPr>
        <w:keepNext/>
        <w:keepLines/>
        <w:numPr>
          <w:ilvl w:val="1"/>
          <w:numId w:val="1"/>
        </w:numPr>
        <w:spacing w:before="240" w:after="60" w:line="276" w:lineRule="auto"/>
        <w:jc w:val="left"/>
        <w:outlineLvl w:val="1"/>
        <w:rPr>
          <w:rFonts w:eastAsia="Times New Roman" w:cs="Arial"/>
          <w:b/>
          <w:bCs/>
          <w:iCs/>
          <w:sz w:val="24"/>
          <w:szCs w:val="28"/>
          <w:lang w:eastAsia="en-US"/>
        </w:rPr>
      </w:pPr>
      <w:bookmarkStart w:id="8315" w:name="_Ref536546047"/>
      <w:bookmarkStart w:id="8316" w:name="_Toc1977434"/>
      <w:bookmarkStart w:id="8317" w:name="_Toc37062593"/>
      <w:bookmarkStart w:id="8318" w:name="_Toc88839667"/>
      <w:bookmarkStart w:id="8319" w:name="_Toc121504075"/>
      <w:r>
        <w:rPr>
          <w:rFonts w:eastAsia="Times New Roman" w:cs="Arial"/>
          <w:b/>
          <w:bCs/>
          <w:iCs/>
          <w:sz w:val="24"/>
          <w:szCs w:val="28"/>
          <w:lang w:eastAsia="en-US"/>
        </w:rPr>
        <w:t>ES4A (Operator – SM-SR) Interface Description</w:t>
      </w:r>
      <w:bookmarkEnd w:id="8315"/>
      <w:bookmarkEnd w:id="8316"/>
      <w:bookmarkEnd w:id="8317"/>
      <w:bookmarkEnd w:id="8318"/>
      <w:bookmarkEnd w:id="8319"/>
    </w:p>
    <w:p w14:paraId="501D01D6"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8320" w:name="_Ref536546923"/>
      <w:bookmarkStart w:id="8321" w:name="_Toc1977435"/>
      <w:bookmarkStart w:id="8322" w:name="_Toc37062594"/>
      <w:bookmarkStart w:id="8323" w:name="_Toc88839668"/>
      <w:bookmarkStart w:id="8324" w:name="_Toc121504076"/>
      <w:r>
        <w:rPr>
          <w:rFonts w:eastAsia="Times New Roman" w:cs="Arial"/>
          <w:b/>
          <w:bCs/>
          <w:iCs/>
          <w:sz w:val="24"/>
          <w:szCs w:val="26"/>
          <w:lang w:eastAsia="en-US"/>
        </w:rPr>
        <w:t>Setting M2M -SP Authorisations to Access Profiles</w:t>
      </w:r>
      <w:bookmarkEnd w:id="8320"/>
      <w:bookmarkEnd w:id="8321"/>
      <w:bookmarkEnd w:id="8322"/>
      <w:bookmarkEnd w:id="8323"/>
      <w:bookmarkEnd w:id="8324"/>
    </w:p>
    <w:p w14:paraId="03DC451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SetPLMA</w:t>
      </w:r>
    </w:p>
    <w:p w14:paraId="345233E1"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Related Procedures</w:t>
      </w:r>
      <w:r>
        <w:rPr>
          <w:szCs w:val="22"/>
          <w:lang w:val="en-US" w:eastAsia="en-GB" w:bidi="ar-SA"/>
        </w:rPr>
        <w:t>: Set Profile Lifecycle Management Authorisations</w:t>
      </w:r>
    </w:p>
    <w:p w14:paraId="509D1A00"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35FB54FB"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05F7F901"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15184A5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Operator owner of Profiles to grant a PLMA to an M2M SP to perform certain operations, or receive certain notifications, related to a certain subset of the Profiles owned by the Operator.</w:t>
      </w:r>
    </w:p>
    <w:p w14:paraId="5FE8E78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receiving this request SHALL verify that the mno-id in the PLMA matches the mno-id of the Operator who sends this request.</w:t>
      </w:r>
    </w:p>
    <w:p w14:paraId="05075D3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If the request is acceptable, the SM-SR SHALL record the PLMA. </w:t>
      </w:r>
    </w:p>
    <w:p w14:paraId="0690F1A3" w14:textId="77777777" w:rsidR="00B97365" w:rsidRDefault="00000000">
      <w:pPr>
        <w:spacing w:before="0" w:after="200" w:line="276" w:lineRule="auto"/>
        <w:jc w:val="left"/>
        <w:rPr>
          <w:szCs w:val="22"/>
          <w:lang w:val="en-US" w:eastAsia="en-GB" w:bidi="ar-SA"/>
        </w:rPr>
      </w:pPr>
      <w:r>
        <w:rPr>
          <w:rFonts w:cs="Arial"/>
          <w:szCs w:val="22"/>
          <w:lang w:val="en-US" w:eastAsia="en-GB" w:bidi="ar-SA"/>
        </w:rPr>
        <w:t>The new PLMA overwrites the previous PLMA that might have been granted with the same identifiers</w:t>
      </w:r>
      <w:r>
        <w:rPr>
          <w:szCs w:val="22"/>
          <w:lang w:val="en-US" w:eastAsia="en-GB" w:bidi="ar-SA"/>
        </w:rPr>
        <w:t>.</w:t>
      </w:r>
    </w:p>
    <w:p w14:paraId="0192B317" w14:textId="77777777" w:rsidR="00B97365" w:rsidRDefault="00000000">
      <w:pPr>
        <w:spacing w:before="0" w:after="200" w:line="276" w:lineRule="auto"/>
        <w:jc w:val="left"/>
        <w:rPr>
          <w:szCs w:val="22"/>
          <w:lang w:val="en-US" w:eastAsia="en-GB" w:bidi="ar-SA"/>
        </w:rPr>
      </w:pPr>
      <w:r>
        <w:rPr>
          <w:szCs w:val="22"/>
          <w:lang w:val="en-US" w:eastAsia="en-GB" w:bidi="ar-SA"/>
        </w:rPr>
        <w:t>From this point on, any request from the M2M SP on such a Profile, or any notification to the M2M SP related to such a Profile, SHALL be allowed or not based on the new PLMA, as described in sections 5.7.1.1 to 5.7.1.3.</w:t>
      </w:r>
    </w:p>
    <w:p w14:paraId="73ED27A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6C1761F9"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indicating that the authorisations have been configured in the SM-SR.</w:t>
      </w:r>
    </w:p>
    <w:p w14:paraId="58168245"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specific status code as defined in the table here after, indicating that the authorisations have been configured in the SM-SR but that some side-effects of this configuration may require the attention of the Operator.</w:t>
      </w:r>
    </w:p>
    <w:p w14:paraId="729071CC" w14:textId="075D783E"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2A6A8C0F" w14:textId="77777777" w:rsidR="00B97365" w:rsidRDefault="00B97365">
      <w:pPr>
        <w:spacing w:before="0" w:after="200" w:line="276" w:lineRule="auto"/>
        <w:jc w:val="left"/>
        <w:rPr>
          <w:rFonts w:cs="Arial"/>
          <w:b/>
          <w:i/>
          <w:szCs w:val="22"/>
          <w:lang w:val="en-US" w:eastAsia="en-GB" w:bidi="ar-SA"/>
        </w:rPr>
      </w:pPr>
    </w:p>
    <w:p w14:paraId="548BD31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535"/>
        <w:gridCol w:w="652"/>
        <w:gridCol w:w="474"/>
        <w:gridCol w:w="590"/>
      </w:tblGrid>
      <w:tr w:rsidR="00B97365" w14:paraId="4F45D60A"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32F2488"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29927D6"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899F996"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608B5D9"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7735352C"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B332FBA"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hideMark/>
          </w:tcPr>
          <w:p w14:paraId="45311D9E" w14:textId="77777777" w:rsidR="00B97365" w:rsidRDefault="00000000">
            <w:pPr>
              <w:rPr>
                <w:rFonts w:cs="Calibri"/>
                <w:sz w:val="16"/>
                <w:szCs w:val="16"/>
              </w:rPr>
            </w:pPr>
            <w:r>
              <w:rPr>
                <w:rFonts w:cs="Calibri"/>
                <w:sz w:val="16"/>
                <w:szCs w:val="16"/>
              </w:rPr>
              <w:t>plma</w:t>
            </w:r>
          </w:p>
        </w:tc>
        <w:tc>
          <w:tcPr>
            <w:tcW w:w="0" w:type="auto"/>
            <w:tcBorders>
              <w:top w:val="single" w:sz="6" w:space="0" w:color="auto"/>
              <w:left w:val="single" w:sz="6" w:space="0" w:color="auto"/>
              <w:bottom w:val="single" w:sz="6" w:space="0" w:color="auto"/>
              <w:right w:val="single" w:sz="6" w:space="0" w:color="auto"/>
            </w:tcBorders>
            <w:hideMark/>
          </w:tcPr>
          <w:p w14:paraId="084A0407" w14:textId="77777777" w:rsidR="00B97365" w:rsidRDefault="00000000">
            <w:pPr>
              <w:rPr>
                <w:rFonts w:eastAsia="Times New Roman" w:cs="Calibri"/>
                <w:sz w:val="16"/>
                <w:szCs w:val="16"/>
                <w:lang w:val="en-US"/>
              </w:rPr>
            </w:pPr>
            <w:r>
              <w:rPr>
                <w:rFonts w:cs="Calibri"/>
                <w:sz w:val="16"/>
                <w:szCs w:val="16"/>
                <w:lang w:val="en-US"/>
              </w:rPr>
              <w:t>The specification of the PLMA, and the criteria on which this PLMA applies.</w:t>
            </w:r>
          </w:p>
          <w:p w14:paraId="1A893AEA" w14:textId="77777777" w:rsidR="00B97365" w:rsidRDefault="00000000">
            <w:pPr>
              <w:rPr>
                <w:rFonts w:eastAsia="Times New Roman" w:cs="Calibri"/>
                <w:sz w:val="16"/>
                <w:szCs w:val="16"/>
                <w:lang w:val="en-US"/>
              </w:rPr>
            </w:pPr>
            <w:r>
              <w:rPr>
                <w:rFonts w:cs="Calibri"/>
                <w:sz w:val="16"/>
                <w:szCs w:val="16"/>
                <w:lang w:val="en-US"/>
              </w:rPr>
              <w:t>See section 5.1.1.2.14 for type description.</w:t>
            </w:r>
          </w:p>
        </w:tc>
        <w:tc>
          <w:tcPr>
            <w:tcW w:w="0" w:type="auto"/>
            <w:tcBorders>
              <w:top w:val="single" w:sz="6" w:space="0" w:color="auto"/>
              <w:left w:val="single" w:sz="6" w:space="0" w:color="auto"/>
              <w:bottom w:val="single" w:sz="6" w:space="0" w:color="auto"/>
              <w:right w:val="single" w:sz="6" w:space="0" w:color="auto"/>
            </w:tcBorders>
            <w:hideMark/>
          </w:tcPr>
          <w:p w14:paraId="1DA5E998"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PLMA</w:t>
            </w:r>
          </w:p>
        </w:tc>
        <w:tc>
          <w:tcPr>
            <w:tcW w:w="0" w:type="auto"/>
            <w:tcBorders>
              <w:top w:val="single" w:sz="6" w:space="0" w:color="auto"/>
              <w:left w:val="single" w:sz="6" w:space="0" w:color="auto"/>
              <w:bottom w:val="single" w:sz="6" w:space="0" w:color="auto"/>
              <w:right w:val="single" w:sz="6" w:space="0" w:color="auto"/>
            </w:tcBorders>
            <w:hideMark/>
          </w:tcPr>
          <w:p w14:paraId="00FF23BF" w14:textId="77777777" w:rsidR="00B97365" w:rsidRDefault="00000000">
            <w:pPr>
              <w:keepNext/>
              <w:keepLines/>
              <w:tabs>
                <w:tab w:val="num" w:pos="1152"/>
                <w:tab w:val="num" w:pos="2160"/>
              </w:tabs>
              <w:spacing w:after="140" w:line="260" w:lineRule="atLeast"/>
              <w:ind w:left="1152" w:hanging="1152"/>
              <w:jc w:val="center"/>
              <w:rPr>
                <w:rFonts w:eastAsia="Times New Roman"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hideMark/>
          </w:tcPr>
          <w:p w14:paraId="570AFA5A"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bl>
    <w:p w14:paraId="55BAE07D"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571-A: Set PLMA Additional Input Data</w:t>
      </w:r>
    </w:p>
    <w:p w14:paraId="7D430727"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p w14:paraId="0F766B04"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None</w:t>
      </w:r>
    </w:p>
    <w:p w14:paraId="4CF43811" w14:textId="77777777" w:rsidR="00B97365" w:rsidRDefault="00B97365">
      <w:pPr>
        <w:tabs>
          <w:tab w:val="left" w:pos="680"/>
        </w:tabs>
        <w:spacing w:before="0" w:after="200" w:line="276" w:lineRule="auto"/>
        <w:contextualSpacing/>
        <w:jc w:val="left"/>
        <w:rPr>
          <w:rFonts w:cs="Arial"/>
          <w:szCs w:val="22"/>
          <w:lang w:eastAsia="en-GB" w:bidi="ar-SA"/>
        </w:rPr>
      </w:pPr>
    </w:p>
    <w:p w14:paraId="5017C62E"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9"/>
        <w:gridCol w:w="851"/>
        <w:gridCol w:w="718"/>
        <w:gridCol w:w="1258"/>
        <w:gridCol w:w="5470"/>
      </w:tblGrid>
      <w:tr w:rsidR="00B97365" w14:paraId="40443CA5"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B1AC307" w14:textId="77777777" w:rsidR="00B97365" w:rsidRDefault="00000000">
            <w:pPr>
              <w:jc w:val="center"/>
              <w:rPr>
                <w:rFonts w:cs="Calibri"/>
                <w:b/>
                <w:color w:val="FFFFFF"/>
                <w:sz w:val="16"/>
                <w:szCs w:val="16"/>
              </w:rPr>
            </w:pPr>
            <w:r>
              <w:rPr>
                <w:rFonts w:cs="Calibri"/>
                <w:b/>
                <w:color w:val="FFFFFF"/>
                <w:sz w:val="16"/>
                <w:szCs w:val="16"/>
              </w:rPr>
              <w:t>Subject</w:t>
            </w:r>
          </w:p>
          <w:p w14:paraId="0CB8C81A" w14:textId="77777777" w:rsidR="00B97365" w:rsidRDefault="00000000">
            <w:pPr>
              <w:jc w:val="center"/>
              <w:rPr>
                <w:rFonts w:cs="Calibri"/>
                <w:b/>
                <w:color w:val="FFFFFF"/>
                <w:sz w:val="16"/>
                <w:szCs w:val="16"/>
              </w:rPr>
            </w:pPr>
            <w:r>
              <w:rPr>
                <w:rFonts w:cs="Calibri"/>
                <w:b/>
                <w:color w:val="FFFFFF"/>
                <w:sz w:val="16"/>
                <w:szCs w:val="16"/>
              </w:rPr>
              <w:lastRenderedPageBreak/>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7E137C8" w14:textId="77777777" w:rsidR="00B97365" w:rsidRDefault="00000000">
            <w:pPr>
              <w:jc w:val="center"/>
              <w:rPr>
                <w:rFonts w:cs="Calibri"/>
                <w:b/>
                <w:color w:val="FFFFFF"/>
                <w:sz w:val="16"/>
                <w:szCs w:val="16"/>
              </w:rPr>
            </w:pPr>
            <w:r>
              <w:rPr>
                <w:rFonts w:cs="Calibri"/>
                <w:b/>
                <w:color w:val="FFFFFF"/>
                <w:sz w:val="16"/>
                <w:szCs w:val="16"/>
              </w:rPr>
              <w:lastRenderedPageBreak/>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625BF30" w14:textId="77777777" w:rsidR="00B97365" w:rsidRDefault="00000000">
            <w:pPr>
              <w:jc w:val="center"/>
              <w:rPr>
                <w:rFonts w:cs="Calibri"/>
                <w:b/>
                <w:color w:val="FFFFFF"/>
                <w:sz w:val="16"/>
                <w:szCs w:val="16"/>
              </w:rPr>
            </w:pPr>
            <w:r>
              <w:rPr>
                <w:rFonts w:cs="Calibri"/>
                <w:b/>
                <w:color w:val="FFFFFF"/>
                <w:sz w:val="16"/>
                <w:szCs w:val="16"/>
              </w:rPr>
              <w:t>Reason</w:t>
            </w:r>
          </w:p>
          <w:p w14:paraId="71244B82" w14:textId="77777777" w:rsidR="00B97365" w:rsidRDefault="00000000">
            <w:pPr>
              <w:jc w:val="center"/>
              <w:rPr>
                <w:rFonts w:cs="Calibri"/>
                <w:b/>
                <w:color w:val="FFFFFF"/>
                <w:sz w:val="16"/>
                <w:szCs w:val="16"/>
              </w:rPr>
            </w:pPr>
            <w:r>
              <w:rPr>
                <w:rFonts w:cs="Calibri"/>
                <w:b/>
                <w:color w:val="FFFFFF"/>
                <w:sz w:val="16"/>
                <w:szCs w:val="16"/>
              </w:rPr>
              <w:lastRenderedPageBreak/>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871A77A" w14:textId="77777777" w:rsidR="00B97365" w:rsidRDefault="00000000">
            <w:pPr>
              <w:jc w:val="center"/>
              <w:rPr>
                <w:rFonts w:cs="Calibri"/>
                <w:b/>
                <w:color w:val="FFFFFF"/>
                <w:sz w:val="16"/>
                <w:szCs w:val="16"/>
              </w:rPr>
            </w:pPr>
            <w:r>
              <w:rPr>
                <w:rFonts w:cs="Calibri"/>
                <w:b/>
                <w:color w:val="FFFFFF"/>
                <w:sz w:val="16"/>
                <w:szCs w:val="16"/>
              </w:rPr>
              <w:lastRenderedPageBreak/>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B32A080"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676C129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4D7603C" w14:textId="77777777" w:rsidR="00B97365" w:rsidRDefault="00000000">
            <w:pPr>
              <w:jc w:val="center"/>
              <w:rPr>
                <w:rFonts w:cs="Calibri"/>
                <w:sz w:val="16"/>
                <w:szCs w:val="16"/>
              </w:rPr>
            </w:pPr>
            <w:r>
              <w:rPr>
                <w:rFonts w:cs="Calibri"/>
                <w:sz w:val="16"/>
                <w:szCs w:val="16"/>
              </w:rPr>
              <w:t>8.9</w:t>
            </w:r>
          </w:p>
        </w:tc>
        <w:tc>
          <w:tcPr>
            <w:tcW w:w="0" w:type="auto"/>
            <w:tcBorders>
              <w:top w:val="single" w:sz="6" w:space="0" w:color="auto"/>
              <w:left w:val="single" w:sz="6" w:space="0" w:color="auto"/>
              <w:bottom w:val="single" w:sz="6" w:space="0" w:color="auto"/>
              <w:right w:val="single" w:sz="6" w:space="0" w:color="auto"/>
            </w:tcBorders>
            <w:vAlign w:val="center"/>
          </w:tcPr>
          <w:p w14:paraId="25938C8E" w14:textId="77777777" w:rsidR="00B97365" w:rsidRDefault="00000000">
            <w:pPr>
              <w:rPr>
                <w:rFonts w:cs="Calibri"/>
                <w:sz w:val="16"/>
                <w:szCs w:val="16"/>
                <w:lang w:val="en-US"/>
              </w:rPr>
            </w:pPr>
            <w:r>
              <w:rPr>
                <w:rFonts w:cs="Calibri"/>
                <w:sz w:val="16"/>
                <w:szCs w:val="16"/>
                <w:lang w:val="en-US"/>
              </w:rPr>
              <w:t>M2M SP</w:t>
            </w:r>
          </w:p>
        </w:tc>
        <w:tc>
          <w:tcPr>
            <w:tcW w:w="0" w:type="auto"/>
            <w:tcBorders>
              <w:top w:val="single" w:sz="6" w:space="0" w:color="auto"/>
              <w:left w:val="single" w:sz="6" w:space="0" w:color="auto"/>
              <w:bottom w:val="single" w:sz="6" w:space="0" w:color="auto"/>
              <w:right w:val="single" w:sz="6" w:space="0" w:color="auto"/>
            </w:tcBorders>
            <w:vAlign w:val="center"/>
          </w:tcPr>
          <w:p w14:paraId="2883E440"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66D83BB9"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10780532" w14:textId="77777777" w:rsidR="00B97365" w:rsidRDefault="00000000">
            <w:pPr>
              <w:rPr>
                <w:rFonts w:cs="Calibri"/>
                <w:sz w:val="16"/>
                <w:szCs w:val="16"/>
                <w:lang w:val="en-US"/>
              </w:rPr>
            </w:pPr>
            <w:r>
              <w:rPr>
                <w:rFonts w:cs="Calibri"/>
                <w:sz w:val="16"/>
                <w:szCs w:val="16"/>
                <w:lang w:val="en-US"/>
              </w:rPr>
              <w:t>Indicates that the M2M SP to grant authorisations to is unknown to or not connected to this SM-SR</w:t>
            </w:r>
          </w:p>
        </w:tc>
      </w:tr>
      <w:tr w:rsidR="00B97365" w14:paraId="34A7E17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81263B4" w14:textId="77777777" w:rsidR="00B97365" w:rsidRDefault="00000000">
            <w:pPr>
              <w:jc w:val="center"/>
              <w:rPr>
                <w:rFonts w:cs="Calibri"/>
                <w:sz w:val="16"/>
                <w:szCs w:val="16"/>
              </w:rPr>
            </w:pPr>
            <w:r>
              <w:rPr>
                <w:rFonts w:cs="Calibri"/>
                <w:sz w:val="16"/>
                <w:szCs w:val="16"/>
              </w:rPr>
              <w:t>8.2.5</w:t>
            </w:r>
          </w:p>
        </w:tc>
        <w:tc>
          <w:tcPr>
            <w:tcW w:w="0" w:type="auto"/>
            <w:tcBorders>
              <w:top w:val="single" w:sz="6" w:space="0" w:color="auto"/>
              <w:left w:val="single" w:sz="6" w:space="0" w:color="auto"/>
              <w:bottom w:val="single" w:sz="6" w:space="0" w:color="auto"/>
              <w:right w:val="single" w:sz="6" w:space="0" w:color="auto"/>
            </w:tcBorders>
            <w:vAlign w:val="center"/>
          </w:tcPr>
          <w:p w14:paraId="3487CE5A" w14:textId="77777777" w:rsidR="00B97365" w:rsidRDefault="00000000">
            <w:pPr>
              <w:rPr>
                <w:rFonts w:cs="Calibri"/>
                <w:sz w:val="16"/>
                <w:szCs w:val="16"/>
                <w:lang w:val="en-US"/>
              </w:rPr>
            </w:pPr>
            <w:r>
              <w:rPr>
                <w:rFonts w:cs="Calibri"/>
                <w:sz w:val="16"/>
                <w:szCs w:val="16"/>
                <w:lang w:val="en-US"/>
              </w:rPr>
              <w:t>Profile Type</w:t>
            </w:r>
          </w:p>
        </w:tc>
        <w:tc>
          <w:tcPr>
            <w:tcW w:w="0" w:type="auto"/>
            <w:tcBorders>
              <w:top w:val="single" w:sz="6" w:space="0" w:color="auto"/>
              <w:left w:val="single" w:sz="6" w:space="0" w:color="auto"/>
              <w:bottom w:val="single" w:sz="6" w:space="0" w:color="auto"/>
              <w:right w:val="single" w:sz="6" w:space="0" w:color="auto"/>
            </w:tcBorders>
            <w:vAlign w:val="center"/>
          </w:tcPr>
          <w:p w14:paraId="590423FE" w14:textId="77777777" w:rsidR="00B97365" w:rsidRDefault="00000000">
            <w:pPr>
              <w:jc w:val="center"/>
              <w:rPr>
                <w:rFonts w:cs="Calibri"/>
                <w:sz w:val="16"/>
                <w:szCs w:val="16"/>
                <w:lang w:val="en-US"/>
              </w:rPr>
            </w:pPr>
            <w:r>
              <w:rPr>
                <w:rFonts w:cs="Calibri"/>
                <w:sz w:val="16"/>
                <w:szCs w:val="16"/>
                <w:lang w:val="en-US"/>
              </w:rPr>
              <w:t>4.9</w:t>
            </w:r>
          </w:p>
        </w:tc>
        <w:tc>
          <w:tcPr>
            <w:tcW w:w="0" w:type="auto"/>
            <w:tcBorders>
              <w:top w:val="single" w:sz="6" w:space="0" w:color="auto"/>
              <w:left w:val="single" w:sz="6" w:space="0" w:color="auto"/>
              <w:bottom w:val="single" w:sz="6" w:space="0" w:color="auto"/>
              <w:right w:val="single" w:sz="6" w:space="0" w:color="auto"/>
            </w:tcBorders>
            <w:vAlign w:val="center"/>
          </w:tcPr>
          <w:p w14:paraId="0EE5A430" w14:textId="77777777" w:rsidR="00B97365" w:rsidRDefault="00000000">
            <w:pPr>
              <w:rPr>
                <w:rFonts w:cs="Calibri"/>
                <w:sz w:val="16"/>
                <w:szCs w:val="16"/>
                <w:lang w:val="en-US"/>
              </w:rPr>
            </w:pPr>
            <w:r>
              <w:rPr>
                <w:rFonts w:cs="Calibri"/>
                <w:sz w:val="16"/>
                <w:szCs w:val="16"/>
                <w:lang w:val="en-US"/>
              </w:rPr>
              <w:t>Unassigned</w:t>
            </w:r>
          </w:p>
        </w:tc>
        <w:tc>
          <w:tcPr>
            <w:tcW w:w="0" w:type="auto"/>
            <w:tcBorders>
              <w:top w:val="single" w:sz="6" w:space="0" w:color="auto"/>
              <w:left w:val="single" w:sz="6" w:space="0" w:color="auto"/>
              <w:bottom w:val="single" w:sz="6" w:space="0" w:color="auto"/>
              <w:right w:val="single" w:sz="4" w:space="0" w:color="auto"/>
            </w:tcBorders>
            <w:vAlign w:val="center"/>
          </w:tcPr>
          <w:p w14:paraId="1AD881E8" w14:textId="77777777" w:rsidR="00B97365" w:rsidRDefault="00000000">
            <w:pPr>
              <w:rPr>
                <w:rFonts w:cs="Calibri"/>
                <w:sz w:val="16"/>
                <w:szCs w:val="16"/>
                <w:lang w:val="en-US"/>
              </w:rPr>
            </w:pPr>
            <w:r>
              <w:rPr>
                <w:rFonts w:cs="Calibri"/>
                <w:sz w:val="16"/>
                <w:szCs w:val="16"/>
                <w:lang w:val="en-US"/>
              </w:rPr>
              <w:t>Indicates that the Profile Type in the PLMA doesn’t match the Profile Type of any Profile owned by the Operator identified by its mno-id.</w:t>
            </w:r>
          </w:p>
          <w:p w14:paraId="7EFC6B28" w14:textId="77777777" w:rsidR="00B97365" w:rsidRDefault="00000000">
            <w:pPr>
              <w:rPr>
                <w:rFonts w:cs="Calibri"/>
                <w:sz w:val="16"/>
                <w:szCs w:val="16"/>
                <w:lang w:val="en-US"/>
              </w:rPr>
            </w:pPr>
            <w:r>
              <w:rPr>
                <w:rFonts w:cs="Calibri"/>
                <w:sz w:val="16"/>
                <w:szCs w:val="16"/>
                <w:lang w:val="en-US"/>
              </w:rPr>
              <w:t>The SM-SR MAY support this Status Code. If it does support it, the SM-SR SHALL record the PLMA anyway, and the Execution Status SHALL be Executed-WithWarning</w:t>
            </w:r>
          </w:p>
        </w:tc>
      </w:tr>
      <w:tr w:rsidR="00B97365" w14:paraId="09803A3D"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27820094" w14:textId="77777777" w:rsidR="00B97365" w:rsidRDefault="00000000">
            <w:pPr>
              <w:jc w:val="center"/>
              <w:rPr>
                <w:rFonts w:cs="Calibri"/>
                <w:sz w:val="16"/>
                <w:szCs w:val="16"/>
              </w:rPr>
            </w:pPr>
            <w:r>
              <w:rPr>
                <w:rFonts w:cs="Calibri"/>
                <w:sz w:val="16"/>
                <w:szCs w:val="16"/>
              </w:rPr>
              <w:t>8.2.7</w:t>
            </w:r>
          </w:p>
        </w:tc>
        <w:tc>
          <w:tcPr>
            <w:tcW w:w="0" w:type="auto"/>
            <w:tcBorders>
              <w:top w:val="single" w:sz="6" w:space="0" w:color="auto"/>
              <w:left w:val="single" w:sz="6" w:space="0" w:color="auto"/>
              <w:bottom w:val="single" w:sz="6" w:space="0" w:color="auto"/>
              <w:right w:val="single" w:sz="6" w:space="0" w:color="auto"/>
            </w:tcBorders>
            <w:vAlign w:val="center"/>
          </w:tcPr>
          <w:p w14:paraId="415CFFE3" w14:textId="77777777" w:rsidR="00B97365" w:rsidRDefault="00000000">
            <w:pPr>
              <w:rPr>
                <w:rFonts w:cs="Calibri"/>
                <w:sz w:val="16"/>
                <w:szCs w:val="16"/>
                <w:lang w:val="en-US"/>
              </w:rPr>
            </w:pPr>
            <w:r>
              <w:rPr>
                <w:rFonts w:cs="Calibri"/>
                <w:sz w:val="16"/>
                <w:szCs w:val="16"/>
                <w:lang w:val="en-US"/>
              </w:rPr>
              <w:t>PLMA</w:t>
            </w:r>
          </w:p>
        </w:tc>
        <w:tc>
          <w:tcPr>
            <w:tcW w:w="0" w:type="auto"/>
            <w:tcBorders>
              <w:top w:val="single" w:sz="6" w:space="0" w:color="auto"/>
              <w:left w:val="single" w:sz="6" w:space="0" w:color="auto"/>
              <w:bottom w:val="single" w:sz="6" w:space="0" w:color="auto"/>
              <w:right w:val="single" w:sz="6" w:space="0" w:color="auto"/>
            </w:tcBorders>
            <w:vAlign w:val="center"/>
          </w:tcPr>
          <w:p w14:paraId="27D1844E" w14:textId="77777777" w:rsidR="00B97365" w:rsidRDefault="00000000">
            <w:pPr>
              <w:jc w:val="center"/>
              <w:rPr>
                <w:rFonts w:cs="Calibri"/>
                <w:sz w:val="16"/>
                <w:szCs w:val="16"/>
                <w:lang w:val="en-US"/>
              </w:rPr>
            </w:pPr>
            <w:r>
              <w:rPr>
                <w:rFonts w:cs="Calibri"/>
                <w:sz w:val="16"/>
                <w:szCs w:val="16"/>
                <w:lang w:val="en-US"/>
              </w:rPr>
              <w:t>3.6</w:t>
            </w:r>
          </w:p>
        </w:tc>
        <w:tc>
          <w:tcPr>
            <w:tcW w:w="0" w:type="auto"/>
            <w:tcBorders>
              <w:top w:val="single" w:sz="6" w:space="0" w:color="auto"/>
              <w:left w:val="single" w:sz="6" w:space="0" w:color="auto"/>
              <w:bottom w:val="single" w:sz="6" w:space="0" w:color="auto"/>
              <w:right w:val="single" w:sz="6" w:space="0" w:color="auto"/>
            </w:tcBorders>
            <w:vAlign w:val="center"/>
          </w:tcPr>
          <w:p w14:paraId="2BCD59D6" w14:textId="77777777" w:rsidR="00B97365" w:rsidRDefault="00000000">
            <w:pPr>
              <w:rPr>
                <w:rFonts w:cs="Calibri"/>
                <w:sz w:val="16"/>
                <w:szCs w:val="16"/>
                <w:lang w:val="en-US"/>
              </w:rPr>
            </w:pPr>
            <w:r>
              <w:rPr>
                <w:rFonts w:cs="Calibri"/>
                <w:sz w:val="16"/>
                <w:szCs w:val="16"/>
                <w:lang w:val="en-US"/>
              </w:rPr>
              <w:t>Related Objects Exists</w:t>
            </w:r>
          </w:p>
        </w:tc>
        <w:tc>
          <w:tcPr>
            <w:tcW w:w="0" w:type="auto"/>
            <w:tcBorders>
              <w:top w:val="single" w:sz="6" w:space="0" w:color="auto"/>
              <w:left w:val="single" w:sz="6" w:space="0" w:color="auto"/>
              <w:bottom w:val="single" w:sz="6" w:space="0" w:color="auto"/>
              <w:right w:val="single" w:sz="4" w:space="0" w:color="auto"/>
            </w:tcBorders>
            <w:vAlign w:val="center"/>
          </w:tcPr>
          <w:p w14:paraId="7FFC34BD" w14:textId="77777777" w:rsidR="00B97365" w:rsidRDefault="00000000">
            <w:pPr>
              <w:rPr>
                <w:rFonts w:cs="Calibri"/>
                <w:sz w:val="16"/>
                <w:szCs w:val="16"/>
                <w:lang w:val="en-US"/>
              </w:rPr>
            </w:pPr>
            <w:r>
              <w:rPr>
                <w:rFonts w:cs="Calibri"/>
                <w:sz w:val="16"/>
                <w:szCs w:val="16"/>
                <w:lang w:val="en-US"/>
              </w:rPr>
              <w:t>Indicates that the new PLMA has overwritten a former PLMA on the same set of Profile/eUICC for the same M2M SP. In this case the Execution Status SHALL be Executed-WithWarning</w:t>
            </w:r>
          </w:p>
        </w:tc>
      </w:tr>
      <w:tr w:rsidR="00B97365" w14:paraId="0562BAC8"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746E824" w14:textId="77777777" w:rsidR="00B97365" w:rsidRDefault="00000000">
            <w:pPr>
              <w:jc w:val="center"/>
              <w:rPr>
                <w:rFonts w:cs="Calibri"/>
                <w:sz w:val="16"/>
                <w:szCs w:val="16"/>
              </w:rPr>
            </w:pPr>
            <w:r>
              <w:rPr>
                <w:rFonts w:cs="Calibri"/>
                <w:sz w:val="16"/>
                <w:szCs w:val="16"/>
              </w:rPr>
              <w:t>8.10</w:t>
            </w:r>
          </w:p>
        </w:tc>
        <w:tc>
          <w:tcPr>
            <w:tcW w:w="0" w:type="auto"/>
            <w:tcBorders>
              <w:top w:val="single" w:sz="6" w:space="0" w:color="auto"/>
              <w:left w:val="single" w:sz="6" w:space="0" w:color="auto"/>
              <w:bottom w:val="single" w:sz="6" w:space="0" w:color="auto"/>
              <w:right w:val="single" w:sz="6" w:space="0" w:color="auto"/>
            </w:tcBorders>
            <w:vAlign w:val="center"/>
          </w:tcPr>
          <w:p w14:paraId="1644667A" w14:textId="77777777" w:rsidR="00B97365" w:rsidRDefault="00000000">
            <w:pPr>
              <w:rPr>
                <w:rFonts w:cs="Calibri"/>
                <w:sz w:val="16"/>
                <w:szCs w:val="16"/>
                <w:lang w:val="en-US"/>
              </w:rPr>
            </w:pPr>
            <w:r>
              <w:rPr>
                <w:rFonts w:cs="Calibri"/>
                <w:sz w:val="16"/>
                <w:szCs w:val="16"/>
                <w:lang w:val="en-US"/>
              </w:rPr>
              <w:t>Operator</w:t>
            </w:r>
          </w:p>
        </w:tc>
        <w:tc>
          <w:tcPr>
            <w:tcW w:w="0" w:type="auto"/>
            <w:tcBorders>
              <w:top w:val="single" w:sz="6" w:space="0" w:color="auto"/>
              <w:left w:val="single" w:sz="6" w:space="0" w:color="auto"/>
              <w:bottom w:val="single" w:sz="6" w:space="0" w:color="auto"/>
              <w:right w:val="single" w:sz="6" w:space="0" w:color="auto"/>
            </w:tcBorders>
            <w:vAlign w:val="center"/>
          </w:tcPr>
          <w:p w14:paraId="591C0F0A"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2479DFBB"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7288CE64" w14:textId="77777777" w:rsidR="00B97365" w:rsidRDefault="00000000">
            <w:pPr>
              <w:rPr>
                <w:rFonts w:cs="Calibri"/>
                <w:sz w:val="16"/>
                <w:szCs w:val="16"/>
                <w:lang w:val="en-US"/>
              </w:rPr>
            </w:pPr>
            <w:r>
              <w:rPr>
                <w:rFonts w:cs="Calibri"/>
                <w:sz w:val="16"/>
                <w:szCs w:val="16"/>
                <w:lang w:val="en-US"/>
              </w:rPr>
              <w:t>Indicates that the Operator, addressed by the mno-id in the PLMA, is unknown.</w:t>
            </w:r>
          </w:p>
        </w:tc>
      </w:tr>
    </w:tbl>
    <w:p w14:paraId="37A4463A"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571-B: SetPLMA Specific Status Codes</w:t>
      </w:r>
    </w:p>
    <w:p w14:paraId="3426E20F"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8325" w:name="_Ref536546780"/>
      <w:bookmarkStart w:id="8326" w:name="_Toc1977436"/>
      <w:bookmarkStart w:id="8327" w:name="_Toc37062595"/>
      <w:r>
        <w:rPr>
          <w:rFonts w:ascii="Arial Bold" w:eastAsia="Times New Roman" w:hAnsi="Arial Bold" w:cs="Arial"/>
          <w:b/>
          <w:iCs/>
          <w:szCs w:val="28"/>
          <w:lang w:eastAsia="en-US"/>
        </w:rPr>
        <w:t>Matching of PLMAs Criteria When Receiving ES4 Requests</w:t>
      </w:r>
      <w:bookmarkEnd w:id="8325"/>
      <w:bookmarkEnd w:id="8326"/>
      <w:bookmarkEnd w:id="8327"/>
    </w:p>
    <w:p w14:paraId="52BB1BC3" w14:textId="77777777" w:rsidR="00B97365" w:rsidRDefault="00000000">
      <w:pPr>
        <w:spacing w:before="0" w:after="200" w:line="276" w:lineRule="auto"/>
        <w:jc w:val="left"/>
        <w:rPr>
          <w:szCs w:val="22"/>
          <w:lang w:eastAsia="en-US"/>
        </w:rPr>
      </w:pPr>
      <w:r>
        <w:rPr>
          <w:szCs w:val="22"/>
          <w:lang w:eastAsia="en-US"/>
        </w:rPr>
        <w:t>When an SM-SR receives a request on ES4 interface (where the client is an Operator or an M2M SP) to perform a Profile Lifecycle Management command targeting a certain Profile, it SHALL verify that the function requester is authorised to perform that operation on that Profile. The verification SHALL include:</w:t>
      </w:r>
    </w:p>
    <w:p w14:paraId="6F24D829"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If the ES4 function requester is  the Operator owner of the Profile, the authorisation is granted</w:t>
      </w:r>
    </w:p>
    <w:p w14:paraId="7385924E"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If the ES4 function requester is an M2M -SP (including, if the requester is an Operator that is not the owner of the targeted Profile), the SM-SR SHALL:</w:t>
      </w:r>
    </w:p>
    <w:p w14:paraId="664AAC73"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Check that the requested operation is eligible to PLMAs (e.g. updatePolicyRules is not eligible to such an authorisation)</w:t>
      </w:r>
    </w:p>
    <w:p w14:paraId="59C6AA31"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Check that there exists a PLMA, that includes:</w:t>
      </w:r>
    </w:p>
    <w:p w14:paraId="357C01A7"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An m2m-sp-id that matches the identifier of the requesting M2M -SP.</w:t>
      </w:r>
    </w:p>
    <w:p w14:paraId="71583410"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An mno-id that matches the targeted Profile’s mno-id</w:t>
      </w:r>
    </w:p>
    <w:p w14:paraId="5FD24631"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 profileType that matches the targeted Profile’s ProfileType, or, if the targeted Profile’s Profile Type is missing, an empty profileType</w:t>
      </w:r>
    </w:p>
    <w:p w14:paraId="20DBB3B9"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An authorisedOperation that matches the Profile Lifecycle Management command name, as listed in section 5.5.16.1.</w:t>
      </w:r>
    </w:p>
    <w:p w14:paraId="278A8598"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Even passing these checks doesn’t mean that the request will be accepted and executed, as the SM-SR also performs other checks (e.g. POL2).</w:t>
      </w:r>
    </w:p>
    <w:p w14:paraId="0833D357"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The Profile Type of the targeted Profile can be found in the EIS of the eUICC where this Profile is installed</w:t>
      </w:r>
    </w:p>
    <w:p w14:paraId="473F7025"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8328" w:name="_Ref536546785"/>
      <w:bookmarkStart w:id="8329" w:name="_Toc1977437"/>
      <w:bookmarkStart w:id="8330" w:name="_Toc37062596"/>
      <w:r>
        <w:rPr>
          <w:rFonts w:ascii="Arial Bold" w:eastAsia="Times New Roman" w:hAnsi="Arial Bold" w:cs="Arial"/>
          <w:b/>
          <w:iCs/>
          <w:szCs w:val="28"/>
          <w:lang w:eastAsia="en-US"/>
        </w:rPr>
        <w:t>Matching of PLMAs Criteria When Receiving ES3 Requests</w:t>
      </w:r>
      <w:bookmarkEnd w:id="8328"/>
      <w:bookmarkEnd w:id="8329"/>
      <w:bookmarkEnd w:id="8330"/>
    </w:p>
    <w:p w14:paraId="67BE167A" w14:textId="77777777" w:rsidR="00B97365" w:rsidRDefault="00000000">
      <w:pPr>
        <w:spacing w:before="0" w:after="200" w:line="276" w:lineRule="auto"/>
        <w:jc w:val="left"/>
        <w:rPr>
          <w:szCs w:val="22"/>
          <w:lang w:eastAsia="en-US"/>
        </w:rPr>
      </w:pPr>
      <w:r>
        <w:rPr>
          <w:szCs w:val="22"/>
          <w:lang w:eastAsia="en-US"/>
        </w:rPr>
        <w:t>When an SM-SR receives a request on ES3 interface (where the client is an SM-DP acting on behalf of an Operator) to perform a Profile Lifecycle Management command targeting a certain Profile, it SHALL verify that the function requester is authorised to perform that operation on that Profile. The verification SHALL include:</w:t>
      </w:r>
    </w:p>
    <w:p w14:paraId="02713AC3"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The SM-SR SHALL extract the identity of the Operator that initiated the request to the SM-DP (ES2 requester)</w:t>
      </w:r>
    </w:p>
    <w:p w14:paraId="4CE808A8"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lastRenderedPageBreak/>
        <w:t>If this ES2 requester is the Operator owning the target Profile, the authorisation is granted</w:t>
      </w:r>
    </w:p>
    <w:p w14:paraId="7CA0E940"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If this ES2 requester is an Operator that is not the owner of the targeted Profile, the SM-SR SHALL</w:t>
      </w:r>
    </w:p>
    <w:p w14:paraId="44213363"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Check that the requested operation is eligible to PLMAs (e.g. updatePolicyRules is not eligible to such an authorisation)</w:t>
      </w:r>
    </w:p>
    <w:p w14:paraId="48BD2F9C"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Check that there exists a PLMA, that includes:</w:t>
      </w:r>
    </w:p>
    <w:p w14:paraId="1CD85AED"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An m2m-sp-id that matches the identifier of the ES2 requester.</w:t>
      </w:r>
    </w:p>
    <w:p w14:paraId="3324F51D"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An mno-id that matches the targeted Profile’s mno-id</w:t>
      </w:r>
    </w:p>
    <w:p w14:paraId="2BDC2A29"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 profileType that matches the targeted Profile’s profileType, or, if the targeted Profile’s profileType is missing, an empty profileType</w:t>
      </w:r>
    </w:p>
    <w:p w14:paraId="384A2B74"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An authorisedOperation that matches the Profile Lifecycle Management command name, as listed in section 5.5.16.1</w:t>
      </w:r>
    </w:p>
    <w:p w14:paraId="1071E2B3"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 xml:space="preserve">NOTE  </w:t>
      </w:r>
      <w:r>
        <w:rPr>
          <w:szCs w:val="22"/>
          <w:lang w:eastAsia="en-GB" w:bidi="ar-SA"/>
        </w:rPr>
        <w:tab/>
        <w:t>Even passing these checks doesn’t mean that the request will be accepted and executed, as the SM-SR also performs other checks (e.g. POL2).</w:t>
      </w:r>
    </w:p>
    <w:p w14:paraId="7C12B388"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The Profile Type of the targeted Profile can be found in the EIS of the eUICC where this Profile is installed</w:t>
      </w:r>
    </w:p>
    <w:p w14:paraId="747E65AF" w14:textId="77777777" w:rsidR="00B97365" w:rsidRDefault="00000000">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bookmarkStart w:id="8331" w:name="_Ref536812780"/>
      <w:bookmarkStart w:id="8332" w:name="_Toc1977438"/>
      <w:bookmarkStart w:id="8333" w:name="_Toc37062597"/>
      <w:r>
        <w:rPr>
          <w:rFonts w:ascii="Arial Bold" w:eastAsia="Times New Roman" w:hAnsi="Arial Bold" w:cs="Arial"/>
          <w:b/>
          <w:iCs/>
          <w:szCs w:val="28"/>
          <w:lang w:eastAsia="en-US"/>
        </w:rPr>
        <w:t>Matching of PLMA Criteria Before Sending Notifications</w:t>
      </w:r>
      <w:bookmarkEnd w:id="8331"/>
      <w:bookmarkEnd w:id="8332"/>
      <w:bookmarkEnd w:id="8333"/>
    </w:p>
    <w:p w14:paraId="300FDF64" w14:textId="77777777" w:rsidR="00B97365" w:rsidRDefault="00000000">
      <w:pPr>
        <w:spacing w:before="0" w:after="200" w:line="276" w:lineRule="auto"/>
        <w:jc w:val="left"/>
        <w:rPr>
          <w:szCs w:val="22"/>
          <w:lang w:eastAsia="en-US"/>
        </w:rPr>
      </w:pPr>
      <w:r>
        <w:rPr>
          <w:szCs w:val="22"/>
          <w:lang w:eastAsia="en-US"/>
        </w:rPr>
        <w:t>Similarly, after executing an operation that affects a Profile, the SM-SR SHALL verify if a notification recipient is authorised to receive notifications indicating Profile state changes. The verification SHALL include:</w:t>
      </w:r>
    </w:p>
    <w:p w14:paraId="6BF9B9B2"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If the notification recipient is  the Operator owner of the Profile, the authorisation is granted</w:t>
      </w:r>
    </w:p>
    <w:p w14:paraId="6655CE9C"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If the notification recipient is an M2M SP (including, if the notification recipient is an Operator that is not the owner of the targeted Profile), the SM-SR SHALL:</w:t>
      </w:r>
    </w:p>
    <w:p w14:paraId="04E414B6"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Check that the requested notification is eligible to PLMA</w:t>
      </w:r>
    </w:p>
    <w:p w14:paraId="3CFB3C05"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Check that there exists a PLMA, that includes:</w:t>
      </w:r>
    </w:p>
    <w:p w14:paraId="0D3A649C"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An m2m-sp-id that matches the identifier of the M2M SP.</w:t>
      </w:r>
    </w:p>
    <w:p w14:paraId="14327184"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An mno-id that matches the targeted Profile’s mno-id.</w:t>
      </w:r>
    </w:p>
    <w:p w14:paraId="6E399B4F"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 profileType that matches the targeted Profile’s profileType, or, if the targeted Profile’s Profile Type is missing, an empty profileType.</w:t>
      </w:r>
    </w:p>
    <w:p w14:paraId="3308150B"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An authorisedOperation that matches the notification name, as listed in section 5.5.16.1.</w:t>
      </w:r>
    </w:p>
    <w:p w14:paraId="581C1DD6"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 xml:space="preserve">Even passing these checks doesn’t mean that the notification will be sent, as the SM-SR also performs other checks (e.g. check that the Operator has not set an ONC to discard this </w:t>
      </w:r>
      <w:r>
        <w:rPr>
          <w:rFonts w:cs="Arial"/>
          <w:szCs w:val="22"/>
          <w:lang w:eastAsia="en-GB" w:bidi="ar-SA"/>
        </w:rPr>
        <w:t>notifications</w:t>
      </w:r>
      <w:r>
        <w:rPr>
          <w:szCs w:val="22"/>
          <w:lang w:val="en-US" w:eastAsia="en-GB" w:bidi="ar-SA"/>
        </w:rPr>
        <w:t>).</w:t>
      </w:r>
    </w:p>
    <w:p w14:paraId="49B18896" w14:textId="77777777" w:rsidR="00B97365" w:rsidRDefault="00000000">
      <w:pPr>
        <w:tabs>
          <w:tab w:val="left" w:pos="1560"/>
        </w:tabs>
        <w:spacing w:before="0" w:after="200" w:line="276" w:lineRule="auto"/>
        <w:ind w:left="1559" w:hanging="1202"/>
        <w:jc w:val="left"/>
        <w:rPr>
          <w:szCs w:val="22"/>
          <w:lang w:eastAsia="en-GB" w:bidi="ar-SA"/>
        </w:rPr>
      </w:pPr>
      <w:r>
        <w:rPr>
          <w:szCs w:val="22"/>
          <w:lang w:val="en-US" w:eastAsia="en-GB" w:bidi="ar-SA"/>
        </w:rPr>
        <w:t>NOTE</w:t>
      </w:r>
      <w:r>
        <w:rPr>
          <w:szCs w:val="22"/>
          <w:lang w:val="en-US" w:eastAsia="en-GB" w:bidi="ar-SA"/>
        </w:rPr>
        <w:tab/>
        <w:t>The Profile Type of the targeted Profile can be found in the EIS of the eUICC where this Profile is installed.</w:t>
      </w:r>
    </w:p>
    <w:p w14:paraId="3AD1C745"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2"/>
          <w:lang w:eastAsia="en-US"/>
        </w:rPr>
      </w:pPr>
      <w:bookmarkStart w:id="8334" w:name="_Ref536547036"/>
      <w:bookmarkStart w:id="8335" w:name="_Toc1977439"/>
      <w:bookmarkStart w:id="8336" w:name="_Toc37062598"/>
      <w:bookmarkStart w:id="8337" w:name="_Toc88839669"/>
      <w:bookmarkStart w:id="8338" w:name="_Toc121504077"/>
      <w:r>
        <w:rPr>
          <w:rFonts w:eastAsia="Times New Roman" w:cs="Arial"/>
          <w:b/>
          <w:bCs/>
          <w:iCs/>
          <w:sz w:val="24"/>
          <w:szCs w:val="26"/>
          <w:lang w:eastAsia="en-US"/>
        </w:rPr>
        <w:t>Retrieving M2M SP Authorisations to Access Profiles</w:t>
      </w:r>
      <w:bookmarkEnd w:id="8334"/>
      <w:bookmarkEnd w:id="8335"/>
      <w:bookmarkEnd w:id="8336"/>
      <w:bookmarkEnd w:id="8337"/>
      <w:bookmarkEnd w:id="8338"/>
    </w:p>
    <w:p w14:paraId="1CD687A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GetPLMA</w:t>
      </w:r>
    </w:p>
    <w:p w14:paraId="6D1F90A6" w14:textId="77777777" w:rsidR="00B97365" w:rsidRDefault="00000000">
      <w:pPr>
        <w:spacing w:before="0" w:after="200" w:line="276" w:lineRule="auto"/>
        <w:jc w:val="left"/>
        <w:rPr>
          <w:szCs w:val="22"/>
          <w:lang w:eastAsia="en-GB" w:bidi="ar-SA"/>
        </w:rPr>
      </w:pPr>
      <w:r>
        <w:rPr>
          <w:rFonts w:cs="Arial"/>
          <w:b/>
          <w:szCs w:val="22"/>
          <w:lang w:val="en-US" w:eastAsia="en-GB" w:bidi="ar-SA"/>
        </w:rPr>
        <w:t>Related Procedures</w:t>
      </w:r>
      <w:r>
        <w:rPr>
          <w:szCs w:val="22"/>
          <w:lang w:val="en-US" w:eastAsia="en-GB" w:bidi="ar-SA"/>
        </w:rPr>
        <w:t>: Retrieve Profile Lifecycle Management Authorisation by Operator</w:t>
      </w:r>
    </w:p>
    <w:p w14:paraId="6EFD0EDD" w14:textId="77777777" w:rsidR="00B97365" w:rsidRDefault="00000000">
      <w:pPr>
        <w:spacing w:before="0" w:after="200" w:line="276" w:lineRule="auto"/>
        <w:jc w:val="left"/>
        <w:rPr>
          <w:szCs w:val="22"/>
          <w:lang w:val="en-US" w:eastAsia="en-GB" w:bidi="ar-SA"/>
        </w:rPr>
      </w:pPr>
      <w:r>
        <w:rPr>
          <w:rFonts w:cs="Arial"/>
          <w:b/>
          <w:szCs w:val="22"/>
          <w:lang w:val="en-US" w:eastAsia="en-GB" w:bidi="ar-SA"/>
        </w:rPr>
        <w:lastRenderedPageBreak/>
        <w:t>Function group</w:t>
      </w:r>
      <w:r>
        <w:rPr>
          <w:szCs w:val="22"/>
          <w:lang w:val="en-US" w:eastAsia="en-GB" w:bidi="ar-SA"/>
        </w:rPr>
        <w:t>: Profile Management</w:t>
      </w:r>
    </w:p>
    <w:p w14:paraId="7D30171D"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38F3A3D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75E1C6D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Operator owner of Profiles to retrieve the list of PLMA applicable to a certain Profile, or a certain Profile type, or for a certain M2M SP.</w:t>
      </w:r>
    </w:p>
    <w:p w14:paraId="71956451" w14:textId="77777777" w:rsidR="00B97365" w:rsidRDefault="00000000">
      <w:pPr>
        <w:spacing w:before="0" w:after="200" w:line="276" w:lineRule="auto"/>
        <w:jc w:val="left"/>
        <w:rPr>
          <w:szCs w:val="22"/>
          <w:lang w:val="en-US" w:eastAsia="en-GB" w:bidi="ar-SA"/>
        </w:rPr>
      </w:pPr>
      <w:r>
        <w:rPr>
          <w:rFonts w:cs="Arial"/>
          <w:szCs w:val="22"/>
          <w:lang w:val="en-US" w:eastAsia="en-GB" w:bidi="ar-SA"/>
        </w:rPr>
        <w:t>The SM-SR receiving this request SHALL verify that the requester is the owner of the targeted Profile(s), and return the list of all PLMAs applicable to the specified search criteria</w:t>
      </w:r>
      <w:r>
        <w:rPr>
          <w:szCs w:val="22"/>
          <w:lang w:val="en-US" w:eastAsia="en-GB" w:bidi="ar-SA"/>
        </w:rPr>
        <w:t>.</w:t>
      </w:r>
    </w:p>
    <w:p w14:paraId="0B36655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case the list of PLMAs is very long, the SM-SR MAY truncate the result. The caller can then issue another call to getPLMA with more restrictive criteria.</w:t>
      </w:r>
    </w:p>
    <w:p w14:paraId="40DACCCA"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The order of the PLMAs returned in the list is implementation-dependant.</w:t>
      </w:r>
    </w:p>
    <w:p w14:paraId="24EF49D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0AF0522A"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 Success’, and additional output data providing the PLMAs.</w:t>
      </w:r>
    </w:p>
    <w:p w14:paraId="408CCA4F" w14:textId="77777777" w:rsidR="00B97365" w:rsidRDefault="00000000">
      <w:pPr>
        <w:numPr>
          <w:ilvl w:val="0"/>
          <w:numId w:val="65"/>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to indicate that the result was truncated, plus additional output data providing part of the list of applicable PLMAs.</w:t>
      </w:r>
    </w:p>
    <w:p w14:paraId="743A0340" w14:textId="77777777" w:rsidR="00B97365" w:rsidRDefault="00B97365">
      <w:pPr>
        <w:spacing w:before="0" w:after="200" w:line="276" w:lineRule="auto"/>
        <w:jc w:val="left"/>
        <w:rPr>
          <w:rFonts w:cs="Arial"/>
          <w:b/>
          <w:i/>
          <w:szCs w:val="22"/>
          <w:lang w:eastAsia="en-GB" w:bidi="ar-SA"/>
        </w:rPr>
      </w:pPr>
    </w:p>
    <w:p w14:paraId="709BA42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515"/>
        <w:gridCol w:w="5630"/>
        <w:gridCol w:w="590"/>
        <w:gridCol w:w="474"/>
        <w:gridCol w:w="590"/>
      </w:tblGrid>
      <w:tr w:rsidR="00B97365" w14:paraId="745EB976"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DF69BAF"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8BF3EC0"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BD70BBC"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3EA3026"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4A45D73A"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54009BF5"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70FDEB8F"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profileType</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5842CB5A" w14:textId="77777777" w:rsidR="00B97365" w:rsidRDefault="00000000">
            <w:pPr>
              <w:rPr>
                <w:rFonts w:cs="Calibri"/>
                <w:sz w:val="16"/>
                <w:szCs w:val="16"/>
                <w:lang w:val="en-US"/>
              </w:rPr>
            </w:pPr>
            <w:r>
              <w:rPr>
                <w:rFonts w:cs="Calibri"/>
                <w:sz w:val="16"/>
                <w:szCs w:val="16"/>
                <w:lang w:val="en-US"/>
              </w:rPr>
              <w:t>Identification of the Profile type for which PLMAs are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15802605"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String</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703F5DFD"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4A059A63"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1B108930"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366BF799"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m2m-sp-id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7066A24" w14:textId="77777777" w:rsidR="00B97365" w:rsidRDefault="00000000">
            <w:pPr>
              <w:rPr>
                <w:rFonts w:cs="Calibri"/>
                <w:sz w:val="16"/>
                <w:szCs w:val="16"/>
                <w:lang w:val="en-US"/>
              </w:rPr>
            </w:pPr>
            <w:r>
              <w:rPr>
                <w:rFonts w:cs="Calibri"/>
                <w:sz w:val="16"/>
                <w:szCs w:val="16"/>
                <w:lang w:val="en-US"/>
              </w:rPr>
              <w:t>Identification of the M2M SP for which PLMAs are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7C22E4CE"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1B0AB18"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51A0A616"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1E4E5412"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646BBF31"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iccid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1492A2F4" w14:textId="77777777" w:rsidR="00B97365" w:rsidRDefault="00000000">
            <w:pPr>
              <w:rPr>
                <w:rFonts w:cs="Calibri"/>
                <w:sz w:val="16"/>
                <w:szCs w:val="16"/>
                <w:lang w:val="en-US"/>
              </w:rPr>
            </w:pPr>
            <w:r>
              <w:rPr>
                <w:rFonts w:cs="Calibri"/>
                <w:sz w:val="16"/>
                <w:szCs w:val="16"/>
                <w:lang w:val="en-US"/>
              </w:rPr>
              <w:t>Identification of one specific Profile</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5882308C"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158D56C2"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6A461988"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2BBFA6A7"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14:paraId="3DFBEBF7"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mno-id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49829C4" w14:textId="77777777" w:rsidR="00B97365" w:rsidRDefault="00000000">
            <w:pPr>
              <w:rPr>
                <w:rFonts w:cs="Calibri"/>
                <w:sz w:val="16"/>
                <w:szCs w:val="16"/>
                <w:lang w:val="en-US"/>
              </w:rPr>
            </w:pPr>
            <w:r>
              <w:rPr>
                <w:rFonts w:cs="Calibri"/>
                <w:sz w:val="16"/>
                <w:szCs w:val="16"/>
                <w:lang w:val="en-US"/>
              </w:rPr>
              <w:t>Identification of the Operator owning the Profiles to be matched (this input datum SHALL be present only in case the search criterion is a Profile Type).</w:t>
            </w:r>
          </w:p>
          <w:p w14:paraId="5C86FF2C" w14:textId="072C7603" w:rsidR="00B97365" w:rsidRDefault="00000000">
            <w:pPr>
              <w:rPr>
                <w:rFonts w:cs="Calibri"/>
                <w:sz w:val="16"/>
                <w:szCs w:val="16"/>
                <w:lang w:val="en-US"/>
              </w:rPr>
            </w:pPr>
            <w:r>
              <w:rPr>
                <w:rFonts w:cs="Calibri"/>
                <w:sz w:val="16"/>
                <w:szCs w:val="16"/>
                <w:lang w:val="en-US"/>
              </w:rPr>
              <w:t xml:space="preserve">See section </w:t>
            </w:r>
            <w:r>
              <w:rPr>
                <w:rFonts w:cs="Calibri"/>
                <w:sz w:val="16"/>
                <w:szCs w:val="16"/>
                <w:lang w:val="en-US"/>
              </w:rPr>
              <w:fldChar w:fldCharType="begin"/>
            </w:r>
            <w:r>
              <w:rPr>
                <w:rFonts w:cs="Calibri"/>
                <w:sz w:val="16"/>
                <w:szCs w:val="16"/>
                <w:lang w:val="en-US"/>
              </w:rPr>
              <w:instrText xml:space="preserve"> REF _Ref367973980 \r \h  \* MERGEFORMAT </w:instrText>
            </w:r>
            <w:r>
              <w:rPr>
                <w:rFonts w:cs="Calibri"/>
                <w:sz w:val="16"/>
                <w:szCs w:val="16"/>
                <w:lang w:val="en-US"/>
              </w:rPr>
            </w:r>
            <w:r>
              <w:rPr>
                <w:rFonts w:cs="Calibri"/>
                <w:sz w:val="16"/>
                <w:szCs w:val="16"/>
                <w:lang w:val="en-US"/>
              </w:rPr>
              <w:fldChar w:fldCharType="separate"/>
            </w:r>
            <w:r w:rsidR="001D5AD9">
              <w:rPr>
                <w:rFonts w:cs="Calibri"/>
                <w:sz w:val="16"/>
                <w:szCs w:val="16"/>
                <w:lang w:val="en-US"/>
              </w:rPr>
              <w:t>5.1.1.1</w:t>
            </w:r>
            <w:r>
              <w:rPr>
                <w:rFonts w:cs="Calibri"/>
                <w:sz w:val="16"/>
                <w:szCs w:val="16"/>
                <w:lang w:val="en-US"/>
              </w:rPr>
              <w:fldChar w:fldCharType="end"/>
            </w:r>
            <w:r>
              <w:rPr>
                <w:rFonts w:cs="Calibri"/>
                <w:sz w:val="16"/>
                <w:szCs w:val="16"/>
                <w:lang w:val="en-US"/>
              </w:rPr>
              <w:t xml:space="preserve"> for type description.</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1F812F3"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OID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4FBD78E"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14:paraId="2C895647"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bl>
    <w:p w14:paraId="72692BBB"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572-A: retrievePLMA Additional Input Data</w:t>
      </w:r>
    </w:p>
    <w:p w14:paraId="47BFA7AF" w14:textId="77777777" w:rsidR="00B97365" w:rsidRDefault="00000000">
      <w:pPr>
        <w:spacing w:before="0" w:after="200" w:line="276" w:lineRule="auto"/>
        <w:jc w:val="left"/>
        <w:rPr>
          <w:rFonts w:cs="Arial"/>
          <w:b/>
          <w:i/>
          <w:szCs w:val="22"/>
          <w:lang w:val="en-US" w:eastAsia="en-GB" w:bidi="ar-SA"/>
        </w:rPr>
      </w:pPr>
      <w:r>
        <w:rPr>
          <w:rFonts w:cs="Arial"/>
          <w:szCs w:val="22"/>
          <w:lang w:val="en-US" w:eastAsia="en-GB" w:bidi="ar-SA"/>
        </w:rPr>
        <w:t xml:space="preserve">One and only one of the input data </w:t>
      </w:r>
      <w:r>
        <w:rPr>
          <w:rFonts w:cs="Calibri"/>
          <w:szCs w:val="22"/>
        </w:rPr>
        <w:t>profileType</w:t>
      </w:r>
      <w:r>
        <w:rPr>
          <w:rFonts w:cs="Arial"/>
          <w:szCs w:val="22"/>
          <w:lang w:val="en-US" w:eastAsia="en-GB" w:bidi="ar-SA"/>
        </w:rPr>
        <w:t xml:space="preserve">, </w:t>
      </w:r>
      <w:r>
        <w:rPr>
          <w:rFonts w:cs="Calibri"/>
          <w:szCs w:val="22"/>
          <w:lang w:val="en-US"/>
        </w:rPr>
        <w:t>m2m-sp-id</w:t>
      </w:r>
      <w:r>
        <w:rPr>
          <w:rFonts w:cs="Arial"/>
          <w:szCs w:val="22"/>
          <w:lang w:val="en-US" w:eastAsia="en-GB" w:bidi="ar-SA"/>
        </w:rPr>
        <w:t xml:space="preserve"> and </w:t>
      </w:r>
      <w:r>
        <w:rPr>
          <w:rFonts w:cs="Calibri"/>
          <w:szCs w:val="22"/>
          <w:lang w:val="en-US"/>
        </w:rPr>
        <w:t>iccid</w:t>
      </w:r>
      <w:r>
        <w:rPr>
          <w:rFonts w:cs="Arial"/>
          <w:szCs w:val="22"/>
          <w:lang w:val="en-US" w:eastAsia="en-GB" w:bidi="ar-SA"/>
        </w:rPr>
        <w:t xml:space="preserve"> SHALL be present.</w:t>
      </w:r>
    </w:p>
    <w:p w14:paraId="1E90BD11"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21"/>
        <w:gridCol w:w="3511"/>
        <w:gridCol w:w="576"/>
        <w:gridCol w:w="400"/>
        <w:gridCol w:w="525"/>
      </w:tblGrid>
      <w:tr w:rsidR="00B97365" w14:paraId="00483DD2"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1B1FC82" w14:textId="77777777" w:rsidR="00B97365" w:rsidRDefault="00000000">
            <w:pPr>
              <w:jc w:val="center"/>
              <w:rPr>
                <w:rFonts w:cs="Calibri"/>
                <w:color w:val="FFFFFF"/>
                <w:sz w:val="16"/>
                <w:szCs w:val="16"/>
              </w:rPr>
            </w:pPr>
            <w:r>
              <w:rPr>
                <w:rFonts w:cs="Calibri"/>
                <w:color w:val="FFFFFF"/>
                <w:sz w:val="16"/>
                <w:szCs w:val="16"/>
              </w:rPr>
              <w:t>Output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430DE12" w14:textId="77777777" w:rsidR="00B97365" w:rsidRDefault="00000000">
            <w:pPr>
              <w:jc w:val="center"/>
              <w:rPr>
                <w:rFonts w:cs="Calibri"/>
                <w:color w:val="FFFFFF"/>
                <w:sz w:val="16"/>
                <w:szCs w:val="16"/>
              </w:rPr>
            </w:pPr>
            <w:r>
              <w:rPr>
                <w:rFonts w:cs="Calibri"/>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1C42006"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C0D4498"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340D60D3"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MOC</w:t>
            </w:r>
          </w:p>
        </w:tc>
      </w:tr>
      <w:tr w:rsidR="00B97365" w14:paraId="5FEB9C95"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6E78597C" w14:textId="77777777" w:rsidR="00B97365" w:rsidRDefault="00000000">
            <w:pPr>
              <w:tabs>
                <w:tab w:val="right" w:pos="7938"/>
              </w:tabs>
              <w:ind w:left="470" w:hanging="459"/>
              <w:rPr>
                <w:rFonts w:cs="Calibri"/>
                <w:sz w:val="16"/>
                <w:szCs w:val="16"/>
              </w:rPr>
            </w:pPr>
            <w:r>
              <w:rPr>
                <w:rFonts w:cs="Calibri"/>
                <w:sz w:val="16"/>
                <w:szCs w:val="16"/>
              </w:rPr>
              <w:t>plma</w:t>
            </w:r>
          </w:p>
        </w:tc>
        <w:tc>
          <w:tcPr>
            <w:tcW w:w="0" w:type="auto"/>
            <w:tcBorders>
              <w:top w:val="single" w:sz="6" w:space="0" w:color="auto"/>
              <w:left w:val="single" w:sz="6" w:space="0" w:color="auto"/>
              <w:bottom w:val="single" w:sz="4" w:space="0" w:color="auto"/>
              <w:right w:val="single" w:sz="6" w:space="0" w:color="auto"/>
            </w:tcBorders>
            <w:vAlign w:val="center"/>
            <w:hideMark/>
          </w:tcPr>
          <w:p w14:paraId="1A0DCCBB" w14:textId="77777777" w:rsidR="00B97365" w:rsidRDefault="00000000">
            <w:pPr>
              <w:rPr>
                <w:rFonts w:cs="Calibri"/>
                <w:sz w:val="16"/>
                <w:szCs w:val="16"/>
              </w:rPr>
            </w:pPr>
            <w:r>
              <w:rPr>
                <w:rFonts w:cs="Calibri"/>
                <w:sz w:val="16"/>
                <w:szCs w:val="16"/>
              </w:rPr>
              <w:t xml:space="preserve">The list of PLMA that match the search criterion </w:t>
            </w:r>
          </w:p>
          <w:p w14:paraId="1E73EC57" w14:textId="77777777" w:rsidR="00B97365" w:rsidRDefault="00000000">
            <w:pPr>
              <w:rPr>
                <w:rFonts w:cs="Calibri"/>
                <w:sz w:val="16"/>
                <w:szCs w:val="16"/>
              </w:rPr>
            </w:pPr>
            <w:r>
              <w:rPr>
                <w:rFonts w:cs="Calibri"/>
                <w:sz w:val="16"/>
                <w:szCs w:val="16"/>
              </w:rPr>
              <w:t xml:space="preserve">See </w:t>
            </w:r>
            <w:r>
              <w:rPr>
                <w:rFonts w:cs="Calibri"/>
                <w:sz w:val="16"/>
                <w:szCs w:val="16"/>
                <w:lang w:val="en-US"/>
              </w:rPr>
              <w:t>section 5.1.1.2.14</w:t>
            </w:r>
            <w:r>
              <w:t xml:space="preserve"> </w:t>
            </w:r>
            <w:r>
              <w:rPr>
                <w:rFonts w:cs="Calibri"/>
                <w:sz w:val="16"/>
                <w:szCs w:val="16"/>
              </w:rPr>
              <w:t>for type description.</w:t>
            </w:r>
          </w:p>
          <w:p w14:paraId="603E873E" w14:textId="77777777" w:rsidR="00B97365" w:rsidRDefault="00B97365">
            <w:pPr>
              <w:rPr>
                <w:rFonts w:cs="Calibri"/>
                <w:sz w:val="16"/>
                <w:szCs w:val="16"/>
              </w:rPr>
            </w:pPr>
          </w:p>
        </w:tc>
        <w:tc>
          <w:tcPr>
            <w:tcW w:w="0" w:type="auto"/>
            <w:tcBorders>
              <w:top w:val="single" w:sz="6" w:space="0" w:color="auto"/>
              <w:left w:val="single" w:sz="6" w:space="0" w:color="auto"/>
              <w:bottom w:val="single" w:sz="4" w:space="0" w:color="auto"/>
              <w:right w:val="single" w:sz="6" w:space="0" w:color="auto"/>
            </w:tcBorders>
            <w:vAlign w:val="center"/>
            <w:hideMark/>
          </w:tcPr>
          <w:p w14:paraId="59D733DB" w14:textId="77777777" w:rsidR="00B97365" w:rsidRDefault="00000000">
            <w:pPr>
              <w:jc w:val="center"/>
              <w:rPr>
                <w:rFonts w:cs="Calibri"/>
                <w:sz w:val="16"/>
                <w:szCs w:val="16"/>
              </w:rPr>
            </w:pPr>
            <w:r>
              <w:rPr>
                <w:rFonts w:cs="Calibri"/>
                <w:sz w:val="16"/>
                <w:szCs w:val="16"/>
              </w:rPr>
              <w:t>PLMA</w:t>
            </w:r>
          </w:p>
        </w:tc>
        <w:tc>
          <w:tcPr>
            <w:tcW w:w="0" w:type="auto"/>
            <w:tcBorders>
              <w:top w:val="single" w:sz="6" w:space="0" w:color="auto"/>
              <w:left w:val="single" w:sz="6" w:space="0" w:color="auto"/>
              <w:bottom w:val="single" w:sz="4" w:space="0" w:color="auto"/>
              <w:right w:val="single" w:sz="6" w:space="0" w:color="auto"/>
            </w:tcBorders>
            <w:vAlign w:val="center"/>
            <w:hideMark/>
          </w:tcPr>
          <w:p w14:paraId="2FED4CB3" w14:textId="77777777" w:rsidR="00B97365" w:rsidRDefault="00000000">
            <w:pPr>
              <w:jc w:val="center"/>
              <w:rPr>
                <w:rFonts w:cs="Calibri"/>
                <w:sz w:val="16"/>
                <w:szCs w:val="16"/>
              </w:rPr>
            </w:pPr>
            <w:r>
              <w:rPr>
                <w:rFonts w:cs="Calibri"/>
                <w:sz w:val="16"/>
                <w:szCs w:val="16"/>
              </w:rPr>
              <w:t>N</w:t>
            </w:r>
          </w:p>
        </w:tc>
        <w:tc>
          <w:tcPr>
            <w:tcW w:w="0" w:type="auto"/>
            <w:tcBorders>
              <w:top w:val="single" w:sz="6" w:space="0" w:color="auto"/>
              <w:left w:val="single" w:sz="6" w:space="0" w:color="auto"/>
              <w:bottom w:val="single" w:sz="4" w:space="0" w:color="auto"/>
              <w:right w:val="single" w:sz="4" w:space="0" w:color="auto"/>
            </w:tcBorders>
            <w:vAlign w:val="center"/>
            <w:hideMark/>
          </w:tcPr>
          <w:p w14:paraId="3DA43755" w14:textId="77777777" w:rsidR="00B97365" w:rsidRDefault="00000000">
            <w:pPr>
              <w:jc w:val="center"/>
              <w:rPr>
                <w:rFonts w:cs="Calibri"/>
                <w:sz w:val="16"/>
                <w:szCs w:val="16"/>
              </w:rPr>
            </w:pPr>
            <w:r>
              <w:rPr>
                <w:rFonts w:cs="Calibri"/>
                <w:sz w:val="16"/>
                <w:szCs w:val="16"/>
              </w:rPr>
              <w:t>M</w:t>
            </w:r>
          </w:p>
        </w:tc>
      </w:tr>
    </w:tbl>
    <w:p w14:paraId="6CE2DEC3"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572-B: retrievePLMA Additional Output Data</w:t>
      </w:r>
    </w:p>
    <w:p w14:paraId="5688C87D"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lastRenderedPageBreak/>
        <w:t>Specific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998"/>
        <w:gridCol w:w="718"/>
        <w:gridCol w:w="1429"/>
        <w:gridCol w:w="5153"/>
      </w:tblGrid>
      <w:tr w:rsidR="00B97365" w14:paraId="2A7AF357"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588041BE" w14:textId="77777777" w:rsidR="00B97365" w:rsidRDefault="00000000">
            <w:pPr>
              <w:jc w:val="center"/>
              <w:rPr>
                <w:rFonts w:cs="Calibri"/>
                <w:b/>
                <w:color w:val="FFFFFF"/>
                <w:sz w:val="16"/>
                <w:szCs w:val="16"/>
              </w:rPr>
            </w:pPr>
            <w:r>
              <w:rPr>
                <w:rFonts w:cs="Calibri"/>
                <w:b/>
                <w:color w:val="FFFFFF"/>
                <w:sz w:val="16"/>
                <w:szCs w:val="16"/>
              </w:rPr>
              <w:t>Subject</w:t>
            </w:r>
          </w:p>
          <w:p w14:paraId="4B670A29"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AFDB590"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22B3A05" w14:textId="77777777" w:rsidR="00B97365" w:rsidRDefault="00000000">
            <w:pPr>
              <w:jc w:val="center"/>
              <w:rPr>
                <w:rFonts w:cs="Calibri"/>
                <w:b/>
                <w:color w:val="FFFFFF"/>
                <w:sz w:val="16"/>
                <w:szCs w:val="16"/>
              </w:rPr>
            </w:pPr>
            <w:r>
              <w:rPr>
                <w:rFonts w:cs="Calibri"/>
                <w:b/>
                <w:color w:val="FFFFFF"/>
                <w:sz w:val="16"/>
                <w:szCs w:val="16"/>
              </w:rPr>
              <w:t>Reason</w:t>
            </w:r>
          </w:p>
          <w:p w14:paraId="4F5D8A16"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28757A5"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D3A23C4"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56257044"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49D621FA" w14:textId="77777777" w:rsidR="00B97365" w:rsidRDefault="00000000">
            <w:pPr>
              <w:jc w:val="center"/>
              <w:rPr>
                <w:rFonts w:cs="Calibri"/>
                <w:sz w:val="16"/>
                <w:szCs w:val="16"/>
              </w:rPr>
            </w:pPr>
            <w:r>
              <w:rPr>
                <w:rFonts w:cs="Calibri"/>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tcPr>
          <w:p w14:paraId="36E257B3" w14:textId="77777777" w:rsidR="00B97365" w:rsidRDefault="00000000">
            <w:pPr>
              <w:rPr>
                <w:rFonts w:cs="Calibri"/>
                <w:sz w:val="16"/>
                <w:szCs w:val="16"/>
                <w:lang w:val="en-US"/>
              </w:rPr>
            </w:pPr>
            <w:r>
              <w:rPr>
                <w:rFonts w:cs="Calibri"/>
                <w:sz w:val="16"/>
                <w:szCs w:val="16"/>
                <w:lang w:val="en-US"/>
              </w:rPr>
              <w:t>Function requester</w:t>
            </w:r>
          </w:p>
        </w:tc>
        <w:tc>
          <w:tcPr>
            <w:tcW w:w="0" w:type="auto"/>
            <w:tcBorders>
              <w:top w:val="single" w:sz="6" w:space="0" w:color="auto"/>
              <w:left w:val="single" w:sz="6" w:space="0" w:color="auto"/>
              <w:bottom w:val="single" w:sz="6" w:space="0" w:color="auto"/>
              <w:right w:val="single" w:sz="6" w:space="0" w:color="auto"/>
            </w:tcBorders>
            <w:vAlign w:val="center"/>
          </w:tcPr>
          <w:p w14:paraId="244B4CBD"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6" w:space="0" w:color="auto"/>
              <w:right w:val="single" w:sz="6" w:space="0" w:color="auto"/>
            </w:tcBorders>
            <w:vAlign w:val="center"/>
          </w:tcPr>
          <w:p w14:paraId="77CBB8E9" w14:textId="77777777" w:rsidR="00B97365" w:rsidRDefault="00000000">
            <w:pPr>
              <w:jc w:val="left"/>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tcPr>
          <w:p w14:paraId="5D81C312" w14:textId="77777777" w:rsidR="00B97365" w:rsidRDefault="00000000">
            <w:pPr>
              <w:rPr>
                <w:rFonts w:cs="Calibri"/>
                <w:sz w:val="16"/>
                <w:szCs w:val="16"/>
                <w:lang w:val="en-US"/>
              </w:rPr>
            </w:pPr>
            <w:r>
              <w:rPr>
                <w:rFonts w:cs="Calibri"/>
                <w:sz w:val="16"/>
                <w:szCs w:val="16"/>
                <w:lang w:val="en-US"/>
              </w:rPr>
              <w:t>Indicates that the Operator or M2M SP which called this function is not doesn’t have a PLMA granted that applies to the targeted Profile or Profile type (including, if the targeted Profile or Profile type is unknown to this SM-SR)</w:t>
            </w:r>
          </w:p>
        </w:tc>
      </w:tr>
      <w:tr w:rsidR="00B97365" w14:paraId="18DAF77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7550BBAA" w14:textId="77777777" w:rsidR="00B97365" w:rsidRDefault="00000000">
            <w:pPr>
              <w:jc w:val="center"/>
              <w:rPr>
                <w:rFonts w:cs="Calibri"/>
                <w:sz w:val="16"/>
                <w:szCs w:val="16"/>
              </w:rPr>
            </w:pPr>
            <w:r>
              <w:rPr>
                <w:rFonts w:cs="Calibri"/>
                <w:sz w:val="16"/>
                <w:szCs w:val="16"/>
              </w:rPr>
              <w:t>8.9</w:t>
            </w:r>
          </w:p>
        </w:tc>
        <w:tc>
          <w:tcPr>
            <w:tcW w:w="0" w:type="auto"/>
            <w:tcBorders>
              <w:top w:val="single" w:sz="6" w:space="0" w:color="auto"/>
              <w:left w:val="single" w:sz="6" w:space="0" w:color="auto"/>
              <w:bottom w:val="single" w:sz="6" w:space="0" w:color="auto"/>
              <w:right w:val="single" w:sz="6" w:space="0" w:color="auto"/>
            </w:tcBorders>
            <w:vAlign w:val="center"/>
          </w:tcPr>
          <w:p w14:paraId="353C563B" w14:textId="77777777" w:rsidR="00B97365" w:rsidRDefault="00000000">
            <w:pPr>
              <w:rPr>
                <w:rFonts w:cs="Calibri"/>
                <w:sz w:val="16"/>
                <w:szCs w:val="16"/>
                <w:lang w:val="en-US"/>
              </w:rPr>
            </w:pPr>
            <w:r>
              <w:rPr>
                <w:rFonts w:cs="Calibri"/>
                <w:sz w:val="16"/>
                <w:szCs w:val="16"/>
                <w:lang w:val="en-US"/>
              </w:rPr>
              <w:t>M2M SP</w:t>
            </w:r>
          </w:p>
        </w:tc>
        <w:tc>
          <w:tcPr>
            <w:tcW w:w="0" w:type="auto"/>
            <w:tcBorders>
              <w:top w:val="single" w:sz="6" w:space="0" w:color="auto"/>
              <w:left w:val="single" w:sz="6" w:space="0" w:color="auto"/>
              <w:bottom w:val="single" w:sz="6" w:space="0" w:color="auto"/>
              <w:right w:val="single" w:sz="6" w:space="0" w:color="auto"/>
            </w:tcBorders>
            <w:vAlign w:val="center"/>
          </w:tcPr>
          <w:p w14:paraId="66C4D772"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288A0B3B"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52DD8F9A" w14:textId="77777777" w:rsidR="00B97365" w:rsidRDefault="00000000">
            <w:pPr>
              <w:rPr>
                <w:rFonts w:cs="Calibri"/>
                <w:sz w:val="16"/>
                <w:szCs w:val="16"/>
                <w:lang w:val="en-US"/>
              </w:rPr>
            </w:pPr>
            <w:r>
              <w:rPr>
                <w:rFonts w:cs="Calibri"/>
                <w:sz w:val="16"/>
                <w:szCs w:val="16"/>
                <w:lang w:val="en-US"/>
              </w:rPr>
              <w:t>Indicates that the M2M SP specified in the search criterion is unknown to this SM-SR</w:t>
            </w:r>
          </w:p>
        </w:tc>
      </w:tr>
      <w:tr w:rsidR="00B97365" w14:paraId="11D87A6B"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23554982" w14:textId="77777777" w:rsidR="00B97365" w:rsidRDefault="00000000">
            <w:pPr>
              <w:jc w:val="center"/>
              <w:rPr>
                <w:rFonts w:cs="Calibri"/>
                <w:sz w:val="16"/>
                <w:szCs w:val="16"/>
              </w:rPr>
            </w:pPr>
            <w:r>
              <w:rPr>
                <w:rFonts w:cs="Calibri"/>
                <w:sz w:val="16"/>
                <w:szCs w:val="16"/>
              </w:rPr>
              <w:t>8.10</w:t>
            </w:r>
          </w:p>
        </w:tc>
        <w:tc>
          <w:tcPr>
            <w:tcW w:w="0" w:type="auto"/>
            <w:tcBorders>
              <w:top w:val="single" w:sz="6" w:space="0" w:color="auto"/>
              <w:left w:val="single" w:sz="6" w:space="0" w:color="auto"/>
              <w:bottom w:val="single" w:sz="6" w:space="0" w:color="auto"/>
              <w:right w:val="single" w:sz="6" w:space="0" w:color="auto"/>
            </w:tcBorders>
            <w:vAlign w:val="center"/>
          </w:tcPr>
          <w:p w14:paraId="19F1C490" w14:textId="77777777" w:rsidR="00B97365" w:rsidRDefault="00000000">
            <w:pPr>
              <w:rPr>
                <w:rFonts w:cs="Calibri"/>
                <w:sz w:val="16"/>
                <w:szCs w:val="16"/>
                <w:lang w:val="en-US"/>
              </w:rPr>
            </w:pPr>
            <w:r>
              <w:rPr>
                <w:rFonts w:cs="Calibri"/>
                <w:sz w:val="16"/>
                <w:szCs w:val="16"/>
                <w:lang w:val="en-US"/>
              </w:rPr>
              <w:t>Operator</w:t>
            </w:r>
          </w:p>
        </w:tc>
        <w:tc>
          <w:tcPr>
            <w:tcW w:w="0" w:type="auto"/>
            <w:tcBorders>
              <w:top w:val="single" w:sz="6" w:space="0" w:color="auto"/>
              <w:left w:val="single" w:sz="6" w:space="0" w:color="auto"/>
              <w:bottom w:val="single" w:sz="6" w:space="0" w:color="auto"/>
              <w:right w:val="single" w:sz="6" w:space="0" w:color="auto"/>
            </w:tcBorders>
            <w:vAlign w:val="center"/>
          </w:tcPr>
          <w:p w14:paraId="6B0E94F6"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29759A9A"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1FB8DBE4" w14:textId="77777777" w:rsidR="00B97365" w:rsidRDefault="00000000">
            <w:pPr>
              <w:rPr>
                <w:rFonts w:cs="Calibri"/>
                <w:sz w:val="16"/>
                <w:szCs w:val="16"/>
                <w:lang w:val="en-US"/>
              </w:rPr>
            </w:pPr>
            <w:r>
              <w:rPr>
                <w:rFonts w:cs="Calibri"/>
                <w:sz w:val="16"/>
                <w:szCs w:val="16"/>
                <w:lang w:val="en-US"/>
              </w:rPr>
              <w:t>Indicates that the Operator, addressed by the mno-id in the PLMA is unknown.</w:t>
            </w:r>
          </w:p>
        </w:tc>
      </w:tr>
    </w:tbl>
    <w:p w14:paraId="38DD2460"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572-C: getPLMA Specific Status Codes</w:t>
      </w:r>
    </w:p>
    <w:p w14:paraId="16C957FC"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8339" w:name="_Toc536552343"/>
      <w:bookmarkStart w:id="8340" w:name="_Ref536546744"/>
      <w:bookmarkStart w:id="8341" w:name="_Toc1977440"/>
      <w:bookmarkStart w:id="8342" w:name="_Toc37062599"/>
      <w:bookmarkStart w:id="8343" w:name="_Toc88839670"/>
      <w:bookmarkStart w:id="8344" w:name="_Toc121504078"/>
      <w:bookmarkEnd w:id="8339"/>
      <w:r>
        <w:rPr>
          <w:rFonts w:eastAsia="Times New Roman" w:cs="Arial"/>
          <w:b/>
          <w:bCs/>
          <w:iCs/>
          <w:sz w:val="24"/>
          <w:szCs w:val="26"/>
          <w:lang w:eastAsia="en-US"/>
        </w:rPr>
        <w:t>Setting Operator Configuration to Receive Notifications</w:t>
      </w:r>
      <w:bookmarkEnd w:id="8340"/>
      <w:bookmarkEnd w:id="8341"/>
      <w:bookmarkEnd w:id="8342"/>
      <w:bookmarkEnd w:id="8343"/>
      <w:bookmarkEnd w:id="8344"/>
    </w:p>
    <w:p w14:paraId="4541219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SetONC</w:t>
      </w:r>
    </w:p>
    <w:p w14:paraId="6EB326F3"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Set Operator Notifications Configuration</w:t>
      </w:r>
    </w:p>
    <w:p w14:paraId="69EA2AD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577A6FF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0F264C39"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4B46D2F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Operator to configure for which of its own Profiles, associated with a Profile Type, it wants to receive which kind of status change notifications; whatever the origin of the status change is.</w:t>
      </w:r>
    </w:p>
    <w:p w14:paraId="77191B2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SM-SR receiving this request SHALL verify that the mno-id of the function caller matches with the one in the ONC.</w:t>
      </w:r>
    </w:p>
    <w:p w14:paraId="1933D946" w14:textId="77777777" w:rsidR="00B97365" w:rsidRDefault="00000000">
      <w:pPr>
        <w:spacing w:before="0" w:after="200" w:line="276" w:lineRule="auto"/>
        <w:jc w:val="left"/>
        <w:rPr>
          <w:szCs w:val="22"/>
          <w:lang w:val="en-US" w:eastAsia="en-GB" w:bidi="ar-SA"/>
        </w:rPr>
      </w:pPr>
      <w:r>
        <w:rPr>
          <w:rFonts w:cs="Arial"/>
          <w:szCs w:val="22"/>
          <w:lang w:val="en-US" w:eastAsia="en-GB" w:bidi="ar-SA"/>
        </w:rPr>
        <w:t>If the request is acceptable, the SM-SR SHALL record the ONC. The new ONC overwrites the previous ONC that might have been granted with the same identifiers</w:t>
      </w:r>
      <w:r>
        <w:rPr>
          <w:szCs w:val="22"/>
          <w:lang w:val="en-US" w:eastAsia="en-GB" w:bidi="ar-SA"/>
        </w:rPr>
        <w:t>.</w:t>
      </w:r>
    </w:p>
    <w:p w14:paraId="75232320" w14:textId="77777777" w:rsidR="00B97365" w:rsidRDefault="00000000">
      <w:pPr>
        <w:spacing w:before="0" w:after="200" w:line="276" w:lineRule="auto"/>
        <w:jc w:val="left"/>
        <w:rPr>
          <w:szCs w:val="22"/>
          <w:lang w:val="en-US" w:eastAsia="en-GB" w:bidi="ar-SA"/>
        </w:rPr>
      </w:pPr>
      <w:r>
        <w:rPr>
          <w:szCs w:val="22"/>
          <w:lang w:val="en-US" w:eastAsia="en-GB" w:bidi="ar-SA"/>
        </w:rPr>
        <w:t xml:space="preserve">From this point on, any </w:t>
      </w:r>
      <w:r>
        <w:rPr>
          <w:lang w:val="en-US"/>
        </w:rPr>
        <w:t xml:space="preserve">status change notification, irrespective of the cause and </w:t>
      </w:r>
      <w:r>
        <w:rPr>
          <w:szCs w:val="22"/>
          <w:lang w:val="en-US" w:eastAsia="en-GB" w:bidi="ar-SA"/>
        </w:rPr>
        <w:t xml:space="preserve">related to a Profile matching these identifiers, SHALL be </w:t>
      </w:r>
      <w:r>
        <w:rPr>
          <w:lang w:val="en-US"/>
        </w:rPr>
        <w:t xml:space="preserve">sent or not </w:t>
      </w:r>
      <w:r>
        <w:rPr>
          <w:szCs w:val="22"/>
          <w:lang w:val="en-US" w:eastAsia="en-GB" w:bidi="ar-SA"/>
        </w:rPr>
        <w:t xml:space="preserve">based on the new </w:t>
      </w:r>
      <w:r>
        <w:rPr>
          <w:lang w:val="en-US"/>
        </w:rPr>
        <w:t>ONC.</w:t>
      </w:r>
    </w:p>
    <w:p w14:paraId="6007748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190DC96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‘Executed-Success’ indicating that the notifications have been configured in the SM-SR.</w:t>
      </w:r>
    </w:p>
    <w:p w14:paraId="40F3C836"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specific status code as defined in the table here after, indicating that the notifications have been configured in the SM-SR but that some side-effects of this configuration may require the attention of the Operator.</w:t>
      </w:r>
    </w:p>
    <w:p w14:paraId="63549303" w14:textId="6306CFAA"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3E98BA4C" w14:textId="77777777" w:rsidR="00B97365" w:rsidRDefault="00B97365">
      <w:pPr>
        <w:tabs>
          <w:tab w:val="left" w:pos="680"/>
        </w:tabs>
        <w:spacing w:before="0" w:after="200" w:line="276" w:lineRule="auto"/>
        <w:contextualSpacing/>
        <w:jc w:val="left"/>
        <w:rPr>
          <w:szCs w:val="22"/>
          <w:lang w:eastAsia="en-GB" w:bidi="ar-SA"/>
        </w:rPr>
      </w:pPr>
    </w:p>
    <w:p w14:paraId="042FD82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br/>
        <w:t xml:space="preserve">If no Operator Notification Configuration has yet been set in the SM-SR for a given Profile </w:t>
      </w:r>
      <w:r>
        <w:rPr>
          <w:rFonts w:cs="Arial"/>
          <w:szCs w:val="22"/>
          <w:lang w:val="en-US" w:eastAsia="en-GB" w:bidi="ar-SA"/>
        </w:rPr>
        <w:lastRenderedPageBreak/>
        <w:t>Type, then the Operator will receive all notifications for status changes for its own Profiles, associated with this Profile Type, see also section 3.21 for details.</w:t>
      </w:r>
    </w:p>
    <w:p w14:paraId="3A83B173" w14:textId="77777777" w:rsidR="00B97365" w:rsidRDefault="00B97365">
      <w:pPr>
        <w:spacing w:before="0"/>
        <w:jc w:val="left"/>
      </w:pPr>
    </w:p>
    <w:p w14:paraId="693B507B"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463"/>
        <w:gridCol w:w="590"/>
        <w:gridCol w:w="474"/>
        <w:gridCol w:w="590"/>
      </w:tblGrid>
      <w:tr w:rsidR="00B97365" w14:paraId="7D38644B"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38B785F"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8958764"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5B77C79E"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D31CC65"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1A7B09EC"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7A1A448F"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Pr>
          <w:p w14:paraId="776C8EF9" w14:textId="77777777" w:rsidR="00B97365" w:rsidRDefault="00000000">
            <w:pPr>
              <w:rPr>
                <w:rFonts w:cs="Calibri"/>
                <w:sz w:val="16"/>
                <w:szCs w:val="16"/>
              </w:rPr>
            </w:pPr>
            <w:r>
              <w:rPr>
                <w:rFonts w:cs="Calibri"/>
                <w:sz w:val="16"/>
                <w:szCs w:val="16"/>
              </w:rPr>
              <w:t>onc</w:t>
            </w:r>
          </w:p>
        </w:tc>
        <w:tc>
          <w:tcPr>
            <w:tcW w:w="0" w:type="auto"/>
            <w:tcBorders>
              <w:top w:val="single" w:sz="6" w:space="0" w:color="auto"/>
              <w:left w:val="single" w:sz="6" w:space="0" w:color="auto"/>
              <w:bottom w:val="single" w:sz="6" w:space="0" w:color="auto"/>
              <w:right w:val="single" w:sz="6" w:space="0" w:color="auto"/>
            </w:tcBorders>
          </w:tcPr>
          <w:p w14:paraId="1AB5DEDF" w14:textId="77777777" w:rsidR="00B97365" w:rsidRDefault="00000000">
            <w:pPr>
              <w:rPr>
                <w:rFonts w:eastAsia="Times New Roman" w:cs="Calibri"/>
                <w:sz w:val="16"/>
                <w:szCs w:val="16"/>
                <w:lang w:val="en-US"/>
              </w:rPr>
            </w:pPr>
            <w:r>
              <w:rPr>
                <w:rFonts w:cs="Calibri"/>
                <w:sz w:val="16"/>
                <w:szCs w:val="16"/>
                <w:lang w:val="en-US"/>
              </w:rPr>
              <w:t>The specification of the ONC, and the criterion on which this ONC applies.</w:t>
            </w:r>
          </w:p>
          <w:p w14:paraId="4E33C097" w14:textId="77777777" w:rsidR="00B97365" w:rsidRDefault="00000000">
            <w:pPr>
              <w:rPr>
                <w:rFonts w:cs="Calibri"/>
                <w:sz w:val="16"/>
                <w:szCs w:val="16"/>
                <w:lang w:val="en-US"/>
              </w:rPr>
            </w:pPr>
            <w:r>
              <w:rPr>
                <w:rFonts w:cs="Calibri"/>
                <w:sz w:val="16"/>
                <w:szCs w:val="16"/>
                <w:lang w:val="en-US"/>
              </w:rPr>
              <w:t>See section 5.1.1.2.15 for type description.</w:t>
            </w:r>
          </w:p>
        </w:tc>
        <w:tc>
          <w:tcPr>
            <w:tcW w:w="0" w:type="auto"/>
            <w:tcBorders>
              <w:top w:val="single" w:sz="6" w:space="0" w:color="auto"/>
              <w:left w:val="single" w:sz="6" w:space="0" w:color="auto"/>
              <w:bottom w:val="single" w:sz="6" w:space="0" w:color="auto"/>
              <w:right w:val="single" w:sz="6" w:space="0" w:color="auto"/>
            </w:tcBorders>
          </w:tcPr>
          <w:p w14:paraId="327047CF"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 xml:space="preserve">ONC </w:t>
            </w:r>
          </w:p>
        </w:tc>
        <w:tc>
          <w:tcPr>
            <w:tcW w:w="0" w:type="auto"/>
            <w:tcBorders>
              <w:top w:val="single" w:sz="6" w:space="0" w:color="auto"/>
              <w:left w:val="single" w:sz="6" w:space="0" w:color="auto"/>
              <w:bottom w:val="single" w:sz="6" w:space="0" w:color="auto"/>
              <w:right w:val="single" w:sz="6" w:space="0" w:color="auto"/>
            </w:tcBorders>
          </w:tcPr>
          <w:p w14:paraId="187F99B5"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Pr>
          <w:p w14:paraId="72386F7F" w14:textId="77777777" w:rsidR="00B97365" w:rsidRDefault="00000000">
            <w:pPr>
              <w:keepNext/>
              <w:keepLines/>
              <w:tabs>
                <w:tab w:val="num" w:pos="1152"/>
                <w:tab w:val="num" w:pos="2160"/>
              </w:tabs>
              <w:spacing w:after="140" w:line="260" w:lineRule="atLeast"/>
              <w:ind w:left="1152" w:hanging="1152"/>
              <w:jc w:val="center"/>
              <w:rPr>
                <w:rFonts w:cs="Calibri"/>
                <w:sz w:val="16"/>
                <w:szCs w:val="16"/>
                <w:lang w:val="en-US"/>
              </w:rPr>
            </w:pPr>
            <w:r>
              <w:rPr>
                <w:rFonts w:cs="Calibri"/>
                <w:sz w:val="16"/>
                <w:szCs w:val="16"/>
                <w:lang w:val="en-US"/>
              </w:rPr>
              <w:t>M</w:t>
            </w:r>
          </w:p>
        </w:tc>
      </w:tr>
    </w:tbl>
    <w:p w14:paraId="5CC511AA"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573-A: SetONC Additional Input Data</w:t>
      </w:r>
    </w:p>
    <w:p w14:paraId="0F43A05F" w14:textId="77777777" w:rsidR="00B97365" w:rsidRDefault="00B97365">
      <w:pPr>
        <w:tabs>
          <w:tab w:val="left" w:pos="1009"/>
        </w:tabs>
        <w:spacing w:after="200" w:line="276" w:lineRule="auto"/>
        <w:rPr>
          <w:rFonts w:cs="Arial"/>
          <w:lang w:val="en-US" w:eastAsia="de-DE" w:bidi="ar-SA"/>
        </w:rPr>
      </w:pPr>
    </w:p>
    <w:p w14:paraId="306C086C"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p w14:paraId="3B8BDBA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None</w:t>
      </w:r>
    </w:p>
    <w:p w14:paraId="7F761C8F" w14:textId="77777777" w:rsidR="00B97365" w:rsidRDefault="00B97365">
      <w:pPr>
        <w:tabs>
          <w:tab w:val="left" w:pos="680"/>
        </w:tabs>
        <w:spacing w:before="0" w:after="200" w:line="276" w:lineRule="auto"/>
        <w:contextualSpacing/>
        <w:jc w:val="left"/>
        <w:rPr>
          <w:rFonts w:cs="Arial"/>
          <w:szCs w:val="22"/>
          <w:lang w:eastAsia="en-GB" w:bidi="ar-SA"/>
        </w:rPr>
      </w:pPr>
    </w:p>
    <w:p w14:paraId="71328F0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Specific status codes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718"/>
        <w:gridCol w:w="855"/>
        <w:gridCol w:w="718"/>
        <w:gridCol w:w="1520"/>
        <w:gridCol w:w="5205"/>
      </w:tblGrid>
      <w:tr w:rsidR="00B97365" w14:paraId="55398227"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3BA72F0E" w14:textId="77777777" w:rsidR="00B97365" w:rsidRDefault="00000000">
            <w:pPr>
              <w:jc w:val="center"/>
              <w:rPr>
                <w:rFonts w:cs="Calibri"/>
                <w:b/>
                <w:color w:val="FFFFFF"/>
                <w:sz w:val="16"/>
                <w:szCs w:val="16"/>
              </w:rPr>
            </w:pPr>
            <w:r>
              <w:rPr>
                <w:rFonts w:cs="Calibri"/>
                <w:b/>
                <w:color w:val="FFFFFF"/>
                <w:sz w:val="16"/>
                <w:szCs w:val="16"/>
              </w:rPr>
              <w:t>Subject</w:t>
            </w:r>
          </w:p>
          <w:p w14:paraId="17C508A0"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CE8A21C" w14:textId="77777777" w:rsidR="00B97365" w:rsidRDefault="00000000">
            <w:pPr>
              <w:jc w:val="center"/>
              <w:rPr>
                <w:rFonts w:cs="Calibri"/>
                <w:b/>
                <w:color w:val="FFFFFF"/>
                <w:sz w:val="16"/>
                <w:szCs w:val="16"/>
              </w:rPr>
            </w:pPr>
            <w:r>
              <w:rPr>
                <w:rFonts w:cs="Calibri"/>
                <w:b/>
                <w:color w:val="FFFFFF"/>
                <w:sz w:val="16"/>
                <w:szCs w:val="16"/>
              </w:rPr>
              <w:t>Subject</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3A01106" w14:textId="77777777" w:rsidR="00B97365" w:rsidRDefault="00000000">
            <w:pPr>
              <w:jc w:val="center"/>
              <w:rPr>
                <w:rFonts w:cs="Calibri"/>
                <w:b/>
                <w:color w:val="FFFFFF"/>
                <w:sz w:val="16"/>
                <w:szCs w:val="16"/>
              </w:rPr>
            </w:pPr>
            <w:r>
              <w:rPr>
                <w:rFonts w:cs="Calibri"/>
                <w:b/>
                <w:color w:val="FFFFFF"/>
                <w:sz w:val="16"/>
                <w:szCs w:val="16"/>
              </w:rPr>
              <w:t>Reason</w:t>
            </w:r>
          </w:p>
          <w:p w14:paraId="2EB9C89B" w14:textId="77777777" w:rsidR="00B97365" w:rsidRDefault="00000000">
            <w:pPr>
              <w:jc w:val="center"/>
              <w:rPr>
                <w:rFonts w:cs="Calibri"/>
                <w:b/>
                <w:color w:val="FFFFFF"/>
                <w:sz w:val="16"/>
                <w:szCs w:val="16"/>
              </w:rPr>
            </w:pPr>
            <w:r>
              <w:rPr>
                <w:rFonts w:cs="Calibri"/>
                <w:b/>
                <w:color w:val="FFFFFF"/>
                <w:sz w:val="16"/>
                <w:szCs w:val="16"/>
              </w:rPr>
              <w:t>code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2851A958" w14:textId="77777777" w:rsidR="00B97365" w:rsidRDefault="00000000">
            <w:pPr>
              <w:jc w:val="center"/>
              <w:rPr>
                <w:rFonts w:cs="Calibri"/>
                <w:b/>
                <w:color w:val="FFFFFF"/>
                <w:sz w:val="16"/>
                <w:szCs w:val="16"/>
              </w:rPr>
            </w:pPr>
            <w:r>
              <w:rPr>
                <w:rFonts w:cs="Calibri"/>
                <w:b/>
                <w:color w:val="FFFFFF"/>
                <w:sz w:val="16"/>
                <w:szCs w:val="16"/>
              </w:rPr>
              <w:t>Reason</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FDA4FF0" w14:textId="77777777" w:rsidR="00B97365" w:rsidRDefault="00000000">
            <w:pPr>
              <w:jc w:val="center"/>
              <w:rPr>
                <w:rFonts w:cs="Calibri"/>
                <w:b/>
                <w:color w:val="FFFFFF"/>
                <w:sz w:val="16"/>
                <w:szCs w:val="16"/>
              </w:rPr>
            </w:pPr>
            <w:r>
              <w:rPr>
                <w:rFonts w:cs="Calibri"/>
                <w:b/>
                <w:color w:val="FFFFFF"/>
                <w:sz w:val="16"/>
                <w:szCs w:val="16"/>
              </w:rPr>
              <w:t>Description</w:t>
            </w:r>
          </w:p>
        </w:tc>
      </w:tr>
      <w:tr w:rsidR="00B97365" w14:paraId="655E47E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1A42F573" w14:textId="77777777" w:rsidR="00B97365" w:rsidRDefault="00000000">
            <w:pPr>
              <w:jc w:val="center"/>
              <w:rPr>
                <w:rFonts w:cs="Calibri"/>
                <w:sz w:val="16"/>
                <w:szCs w:val="16"/>
              </w:rPr>
            </w:pPr>
            <w:r>
              <w:rPr>
                <w:rFonts w:cs="Calibri"/>
                <w:sz w:val="16"/>
                <w:szCs w:val="16"/>
              </w:rPr>
              <w:t>8.2.5</w:t>
            </w:r>
          </w:p>
        </w:tc>
        <w:tc>
          <w:tcPr>
            <w:tcW w:w="0" w:type="auto"/>
            <w:tcBorders>
              <w:top w:val="single" w:sz="6" w:space="0" w:color="auto"/>
              <w:left w:val="single" w:sz="6" w:space="0" w:color="auto"/>
              <w:bottom w:val="single" w:sz="6" w:space="0" w:color="auto"/>
              <w:right w:val="single" w:sz="6" w:space="0" w:color="auto"/>
            </w:tcBorders>
            <w:vAlign w:val="center"/>
          </w:tcPr>
          <w:p w14:paraId="15CF0A1B" w14:textId="77777777" w:rsidR="00B97365" w:rsidRDefault="00000000">
            <w:pPr>
              <w:rPr>
                <w:rFonts w:cs="Calibri"/>
                <w:sz w:val="16"/>
                <w:szCs w:val="16"/>
                <w:lang w:val="en-US"/>
              </w:rPr>
            </w:pPr>
            <w:r>
              <w:rPr>
                <w:rFonts w:cs="Calibri"/>
                <w:sz w:val="16"/>
                <w:szCs w:val="16"/>
                <w:lang w:val="en-US"/>
              </w:rPr>
              <w:t>Profile Type</w:t>
            </w:r>
          </w:p>
        </w:tc>
        <w:tc>
          <w:tcPr>
            <w:tcW w:w="0" w:type="auto"/>
            <w:tcBorders>
              <w:top w:val="single" w:sz="6" w:space="0" w:color="auto"/>
              <w:left w:val="single" w:sz="6" w:space="0" w:color="auto"/>
              <w:bottom w:val="single" w:sz="6" w:space="0" w:color="auto"/>
              <w:right w:val="single" w:sz="6" w:space="0" w:color="auto"/>
            </w:tcBorders>
            <w:vAlign w:val="center"/>
          </w:tcPr>
          <w:p w14:paraId="42C372AB" w14:textId="77777777" w:rsidR="00B97365" w:rsidRDefault="00000000">
            <w:pPr>
              <w:jc w:val="center"/>
              <w:rPr>
                <w:rFonts w:cs="Calibri"/>
                <w:sz w:val="16"/>
                <w:szCs w:val="16"/>
                <w:lang w:val="en-US"/>
              </w:rPr>
            </w:pPr>
            <w:r>
              <w:rPr>
                <w:rFonts w:cs="Calibri"/>
                <w:sz w:val="16"/>
                <w:szCs w:val="16"/>
                <w:lang w:val="en-US"/>
              </w:rPr>
              <w:t>4.9</w:t>
            </w:r>
          </w:p>
        </w:tc>
        <w:tc>
          <w:tcPr>
            <w:tcW w:w="0" w:type="auto"/>
            <w:tcBorders>
              <w:top w:val="single" w:sz="6" w:space="0" w:color="auto"/>
              <w:left w:val="single" w:sz="6" w:space="0" w:color="auto"/>
              <w:bottom w:val="single" w:sz="6" w:space="0" w:color="auto"/>
              <w:right w:val="single" w:sz="6" w:space="0" w:color="auto"/>
            </w:tcBorders>
            <w:vAlign w:val="center"/>
          </w:tcPr>
          <w:p w14:paraId="5F12E130" w14:textId="77777777" w:rsidR="00B97365" w:rsidRDefault="00000000">
            <w:pPr>
              <w:rPr>
                <w:rFonts w:cs="Calibri"/>
                <w:sz w:val="16"/>
                <w:szCs w:val="16"/>
                <w:lang w:val="en-US"/>
              </w:rPr>
            </w:pPr>
            <w:r>
              <w:rPr>
                <w:rFonts w:cs="Calibri"/>
                <w:sz w:val="16"/>
                <w:szCs w:val="16"/>
                <w:lang w:val="en-US"/>
              </w:rPr>
              <w:t>Unassigned</w:t>
            </w:r>
          </w:p>
        </w:tc>
        <w:tc>
          <w:tcPr>
            <w:tcW w:w="0" w:type="auto"/>
            <w:tcBorders>
              <w:top w:val="single" w:sz="6" w:space="0" w:color="auto"/>
              <w:left w:val="single" w:sz="6" w:space="0" w:color="auto"/>
              <w:bottom w:val="single" w:sz="6" w:space="0" w:color="auto"/>
              <w:right w:val="single" w:sz="4" w:space="0" w:color="auto"/>
            </w:tcBorders>
            <w:vAlign w:val="center"/>
          </w:tcPr>
          <w:p w14:paraId="7255CAD2" w14:textId="77777777" w:rsidR="00B97365" w:rsidRDefault="00000000">
            <w:pPr>
              <w:rPr>
                <w:rFonts w:cs="Calibri"/>
                <w:sz w:val="16"/>
                <w:szCs w:val="16"/>
                <w:lang w:val="en-US"/>
              </w:rPr>
            </w:pPr>
            <w:r>
              <w:rPr>
                <w:rFonts w:cs="Calibri"/>
                <w:sz w:val="16"/>
                <w:szCs w:val="16"/>
                <w:lang w:val="en-US"/>
              </w:rPr>
              <w:t>Indicates that the Profile Type in the ONC doesn’t match the Profile Type of any Profile owned by the Operator identified by its mno-id.</w:t>
            </w:r>
          </w:p>
          <w:p w14:paraId="6052D911" w14:textId="77777777" w:rsidR="00B97365" w:rsidRDefault="00000000">
            <w:pPr>
              <w:rPr>
                <w:rFonts w:cs="Calibri"/>
                <w:sz w:val="16"/>
                <w:szCs w:val="16"/>
                <w:lang w:val="en-US"/>
              </w:rPr>
            </w:pPr>
            <w:r>
              <w:rPr>
                <w:rFonts w:cs="Calibri"/>
                <w:sz w:val="16"/>
                <w:szCs w:val="16"/>
                <w:lang w:val="en-US"/>
              </w:rPr>
              <w:t>The SM-SR MAY support this Status Code. If it does support it, the SM-SR SHALL record the ONC anyway, and the Execution Status SHALL be Executed-WithWarning</w:t>
            </w:r>
          </w:p>
        </w:tc>
      </w:tr>
      <w:tr w:rsidR="00B97365" w14:paraId="304B7669"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6CF943E1" w14:textId="77777777" w:rsidR="00B97365" w:rsidRDefault="00000000">
            <w:pPr>
              <w:jc w:val="center"/>
              <w:rPr>
                <w:rFonts w:cs="Calibri"/>
                <w:sz w:val="16"/>
                <w:szCs w:val="16"/>
              </w:rPr>
            </w:pPr>
            <w:r>
              <w:rPr>
                <w:rFonts w:cs="Calibri"/>
                <w:sz w:val="16"/>
                <w:szCs w:val="16"/>
              </w:rPr>
              <w:t>8.2.8</w:t>
            </w:r>
          </w:p>
        </w:tc>
        <w:tc>
          <w:tcPr>
            <w:tcW w:w="0" w:type="auto"/>
            <w:tcBorders>
              <w:top w:val="single" w:sz="6" w:space="0" w:color="auto"/>
              <w:left w:val="single" w:sz="6" w:space="0" w:color="auto"/>
              <w:bottom w:val="single" w:sz="6" w:space="0" w:color="auto"/>
              <w:right w:val="single" w:sz="6" w:space="0" w:color="auto"/>
            </w:tcBorders>
            <w:vAlign w:val="center"/>
          </w:tcPr>
          <w:p w14:paraId="31ADFC36" w14:textId="77777777" w:rsidR="00B97365" w:rsidRDefault="00000000">
            <w:pPr>
              <w:rPr>
                <w:rFonts w:cs="Calibri"/>
                <w:sz w:val="16"/>
                <w:szCs w:val="16"/>
                <w:lang w:val="en-US"/>
              </w:rPr>
            </w:pPr>
            <w:r>
              <w:rPr>
                <w:rFonts w:cs="Calibri"/>
                <w:sz w:val="16"/>
                <w:szCs w:val="16"/>
                <w:lang w:val="en-US"/>
              </w:rPr>
              <w:t>ONC</w:t>
            </w:r>
          </w:p>
        </w:tc>
        <w:tc>
          <w:tcPr>
            <w:tcW w:w="0" w:type="auto"/>
            <w:tcBorders>
              <w:top w:val="single" w:sz="6" w:space="0" w:color="auto"/>
              <w:left w:val="single" w:sz="6" w:space="0" w:color="auto"/>
              <w:bottom w:val="single" w:sz="6" w:space="0" w:color="auto"/>
              <w:right w:val="single" w:sz="6" w:space="0" w:color="auto"/>
            </w:tcBorders>
            <w:vAlign w:val="center"/>
          </w:tcPr>
          <w:p w14:paraId="7AB165A0" w14:textId="77777777" w:rsidR="00B97365" w:rsidRDefault="00000000">
            <w:pPr>
              <w:jc w:val="center"/>
              <w:rPr>
                <w:rFonts w:cs="Calibri"/>
                <w:sz w:val="16"/>
                <w:szCs w:val="16"/>
                <w:lang w:val="en-US"/>
              </w:rPr>
            </w:pPr>
            <w:r>
              <w:rPr>
                <w:rFonts w:cs="Calibri"/>
                <w:sz w:val="16"/>
                <w:szCs w:val="16"/>
                <w:lang w:val="en-US"/>
              </w:rPr>
              <w:t>3.6</w:t>
            </w:r>
          </w:p>
        </w:tc>
        <w:tc>
          <w:tcPr>
            <w:tcW w:w="0" w:type="auto"/>
            <w:tcBorders>
              <w:top w:val="single" w:sz="6" w:space="0" w:color="auto"/>
              <w:left w:val="single" w:sz="6" w:space="0" w:color="auto"/>
              <w:bottom w:val="single" w:sz="6" w:space="0" w:color="auto"/>
              <w:right w:val="single" w:sz="6" w:space="0" w:color="auto"/>
            </w:tcBorders>
            <w:vAlign w:val="center"/>
          </w:tcPr>
          <w:p w14:paraId="0294AC4E" w14:textId="77777777" w:rsidR="00B97365" w:rsidRDefault="00000000">
            <w:pPr>
              <w:rPr>
                <w:rFonts w:cs="Calibri"/>
                <w:sz w:val="16"/>
                <w:szCs w:val="16"/>
                <w:lang w:val="en-US"/>
              </w:rPr>
            </w:pPr>
            <w:r>
              <w:rPr>
                <w:rFonts w:cs="Calibri"/>
                <w:sz w:val="16"/>
                <w:szCs w:val="16"/>
                <w:lang w:val="en-US"/>
              </w:rPr>
              <w:t>Related Objects Exists</w:t>
            </w:r>
          </w:p>
        </w:tc>
        <w:tc>
          <w:tcPr>
            <w:tcW w:w="0" w:type="auto"/>
            <w:tcBorders>
              <w:top w:val="single" w:sz="6" w:space="0" w:color="auto"/>
              <w:left w:val="single" w:sz="6" w:space="0" w:color="auto"/>
              <w:bottom w:val="single" w:sz="6" w:space="0" w:color="auto"/>
              <w:right w:val="single" w:sz="4" w:space="0" w:color="auto"/>
            </w:tcBorders>
            <w:vAlign w:val="center"/>
          </w:tcPr>
          <w:p w14:paraId="1CA2E582" w14:textId="77777777" w:rsidR="00B97365" w:rsidRDefault="00000000">
            <w:pPr>
              <w:rPr>
                <w:rFonts w:cs="Calibri"/>
                <w:sz w:val="16"/>
                <w:szCs w:val="16"/>
                <w:lang w:val="en-US"/>
              </w:rPr>
            </w:pPr>
            <w:r>
              <w:rPr>
                <w:rFonts w:cs="Calibri"/>
                <w:sz w:val="16"/>
                <w:szCs w:val="16"/>
                <w:lang w:val="en-US"/>
              </w:rPr>
              <w:t>Indicates that the new ONC has overwritten a former ONC on the same identifiers. In this case the Execution Status SHALL be Executed-WithWarning</w:t>
            </w:r>
          </w:p>
        </w:tc>
      </w:tr>
      <w:tr w:rsidR="00B97365" w14:paraId="49A74BE7"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5A0A5DE1" w14:textId="77777777" w:rsidR="00B97365" w:rsidRDefault="00000000">
            <w:pPr>
              <w:jc w:val="center"/>
              <w:rPr>
                <w:rFonts w:cs="Calibri"/>
                <w:sz w:val="16"/>
                <w:szCs w:val="16"/>
              </w:rPr>
            </w:pPr>
            <w:r>
              <w:rPr>
                <w:rFonts w:cs="Calibri"/>
                <w:sz w:val="16"/>
                <w:szCs w:val="16"/>
              </w:rPr>
              <w:t>8.10</w:t>
            </w:r>
          </w:p>
        </w:tc>
        <w:tc>
          <w:tcPr>
            <w:tcW w:w="0" w:type="auto"/>
            <w:tcBorders>
              <w:top w:val="single" w:sz="6" w:space="0" w:color="auto"/>
              <w:left w:val="single" w:sz="6" w:space="0" w:color="auto"/>
              <w:bottom w:val="single" w:sz="6" w:space="0" w:color="auto"/>
              <w:right w:val="single" w:sz="6" w:space="0" w:color="auto"/>
            </w:tcBorders>
            <w:vAlign w:val="center"/>
          </w:tcPr>
          <w:p w14:paraId="5AC0625E" w14:textId="77777777" w:rsidR="00B97365" w:rsidRDefault="00000000">
            <w:pPr>
              <w:rPr>
                <w:rFonts w:cs="Calibri"/>
                <w:sz w:val="16"/>
                <w:szCs w:val="16"/>
                <w:lang w:val="en-US"/>
              </w:rPr>
            </w:pPr>
            <w:r>
              <w:rPr>
                <w:rFonts w:cs="Calibri"/>
                <w:sz w:val="16"/>
                <w:szCs w:val="16"/>
                <w:lang w:val="en-US"/>
              </w:rPr>
              <w:t>Operator</w:t>
            </w:r>
          </w:p>
        </w:tc>
        <w:tc>
          <w:tcPr>
            <w:tcW w:w="0" w:type="auto"/>
            <w:tcBorders>
              <w:top w:val="single" w:sz="6" w:space="0" w:color="auto"/>
              <w:left w:val="single" w:sz="6" w:space="0" w:color="auto"/>
              <w:bottom w:val="single" w:sz="6" w:space="0" w:color="auto"/>
              <w:right w:val="single" w:sz="6" w:space="0" w:color="auto"/>
            </w:tcBorders>
            <w:vAlign w:val="center"/>
          </w:tcPr>
          <w:p w14:paraId="218AA3FD" w14:textId="77777777" w:rsidR="00B97365" w:rsidRDefault="00000000">
            <w:pPr>
              <w:jc w:val="center"/>
              <w:rPr>
                <w:rFonts w:cs="Calibri"/>
                <w:sz w:val="16"/>
                <w:szCs w:val="16"/>
                <w:lang w:val="en-US"/>
              </w:rPr>
            </w:pPr>
            <w:r>
              <w:rPr>
                <w:rFonts w:cs="Calibri"/>
                <w:sz w:val="16"/>
                <w:szCs w:val="16"/>
                <w:lang w:val="en-US"/>
              </w:rPr>
              <w:t>1.1</w:t>
            </w:r>
          </w:p>
        </w:tc>
        <w:tc>
          <w:tcPr>
            <w:tcW w:w="0" w:type="auto"/>
            <w:tcBorders>
              <w:top w:val="single" w:sz="6" w:space="0" w:color="auto"/>
              <w:left w:val="single" w:sz="6" w:space="0" w:color="auto"/>
              <w:bottom w:val="single" w:sz="6" w:space="0" w:color="auto"/>
              <w:right w:val="single" w:sz="6" w:space="0" w:color="auto"/>
            </w:tcBorders>
            <w:vAlign w:val="center"/>
          </w:tcPr>
          <w:p w14:paraId="5EC1F3B4" w14:textId="77777777" w:rsidR="00B97365" w:rsidRDefault="00000000">
            <w:pPr>
              <w:rPr>
                <w:rFonts w:cs="Calibri"/>
                <w:sz w:val="16"/>
                <w:szCs w:val="16"/>
                <w:lang w:val="en-US"/>
              </w:rPr>
            </w:pPr>
            <w:r>
              <w:rPr>
                <w:rFonts w:cs="Calibri"/>
                <w:sz w:val="16"/>
                <w:szCs w:val="16"/>
                <w:lang w:val="en-US"/>
              </w:rPr>
              <w:t>Unknown</w:t>
            </w:r>
          </w:p>
        </w:tc>
        <w:tc>
          <w:tcPr>
            <w:tcW w:w="0" w:type="auto"/>
            <w:tcBorders>
              <w:top w:val="single" w:sz="6" w:space="0" w:color="auto"/>
              <w:left w:val="single" w:sz="6" w:space="0" w:color="auto"/>
              <w:bottom w:val="single" w:sz="6" w:space="0" w:color="auto"/>
              <w:right w:val="single" w:sz="4" w:space="0" w:color="auto"/>
            </w:tcBorders>
            <w:vAlign w:val="center"/>
          </w:tcPr>
          <w:p w14:paraId="51AF3594" w14:textId="77777777" w:rsidR="00B97365" w:rsidRDefault="00000000">
            <w:pPr>
              <w:rPr>
                <w:rFonts w:cs="Calibri"/>
                <w:sz w:val="16"/>
                <w:szCs w:val="16"/>
                <w:lang w:val="en-US"/>
              </w:rPr>
            </w:pPr>
            <w:r>
              <w:rPr>
                <w:rFonts w:cs="Calibri"/>
                <w:sz w:val="16"/>
                <w:szCs w:val="16"/>
                <w:lang w:val="en-US"/>
              </w:rPr>
              <w:t>Indicates that the Operator, addressed by the mno-id in the ONC, is unknown.</w:t>
            </w:r>
          </w:p>
        </w:tc>
      </w:tr>
      <w:tr w:rsidR="00B97365" w14:paraId="2C3F162E" w14:textId="77777777">
        <w:trPr>
          <w:trHeight w:val="282"/>
          <w:jc w:val="center"/>
        </w:trPr>
        <w:tc>
          <w:tcPr>
            <w:tcW w:w="0" w:type="auto"/>
            <w:tcBorders>
              <w:top w:val="single" w:sz="6" w:space="0" w:color="auto"/>
              <w:left w:val="single" w:sz="4" w:space="0" w:color="auto"/>
              <w:bottom w:val="single" w:sz="6" w:space="0" w:color="auto"/>
              <w:right w:val="single" w:sz="6" w:space="0" w:color="auto"/>
            </w:tcBorders>
            <w:vAlign w:val="center"/>
          </w:tcPr>
          <w:p w14:paraId="3217AE4B" w14:textId="77777777" w:rsidR="00B97365" w:rsidRDefault="00000000">
            <w:pPr>
              <w:jc w:val="center"/>
              <w:rPr>
                <w:rFonts w:cs="Calibri"/>
                <w:sz w:val="16"/>
                <w:szCs w:val="16"/>
              </w:rPr>
            </w:pPr>
            <w:r>
              <w:rPr>
                <w:rFonts w:cs="Calibri"/>
                <w:sz w:val="16"/>
                <w:szCs w:val="16"/>
              </w:rPr>
              <w:t>8.10</w:t>
            </w:r>
          </w:p>
        </w:tc>
        <w:tc>
          <w:tcPr>
            <w:tcW w:w="0" w:type="auto"/>
            <w:tcBorders>
              <w:top w:val="single" w:sz="6" w:space="0" w:color="auto"/>
              <w:left w:val="single" w:sz="6" w:space="0" w:color="auto"/>
              <w:bottom w:val="single" w:sz="6" w:space="0" w:color="auto"/>
              <w:right w:val="single" w:sz="6" w:space="0" w:color="auto"/>
            </w:tcBorders>
            <w:vAlign w:val="center"/>
          </w:tcPr>
          <w:p w14:paraId="518630C3" w14:textId="77777777" w:rsidR="00B97365" w:rsidRDefault="00000000">
            <w:pPr>
              <w:rPr>
                <w:rFonts w:cs="Calibri"/>
                <w:sz w:val="16"/>
                <w:szCs w:val="16"/>
                <w:lang w:val="en-US"/>
              </w:rPr>
            </w:pPr>
            <w:r>
              <w:rPr>
                <w:rFonts w:cs="Calibri"/>
                <w:sz w:val="16"/>
                <w:szCs w:val="16"/>
                <w:lang w:val="en-US"/>
              </w:rPr>
              <w:t>Operator</w:t>
            </w:r>
          </w:p>
        </w:tc>
        <w:tc>
          <w:tcPr>
            <w:tcW w:w="0" w:type="auto"/>
            <w:tcBorders>
              <w:top w:val="single" w:sz="6" w:space="0" w:color="auto"/>
              <w:left w:val="single" w:sz="6" w:space="0" w:color="auto"/>
              <w:bottom w:val="single" w:sz="6" w:space="0" w:color="auto"/>
              <w:right w:val="single" w:sz="6" w:space="0" w:color="auto"/>
            </w:tcBorders>
            <w:vAlign w:val="center"/>
          </w:tcPr>
          <w:p w14:paraId="2409878D" w14:textId="77777777" w:rsidR="00B97365" w:rsidRDefault="00000000">
            <w:pPr>
              <w:jc w:val="center"/>
              <w:rPr>
                <w:rFonts w:cs="Calibri"/>
                <w:sz w:val="16"/>
                <w:szCs w:val="16"/>
                <w:lang w:val="en-US"/>
              </w:rPr>
            </w:pPr>
            <w:r>
              <w:rPr>
                <w:rFonts w:cs="Calibri"/>
                <w:sz w:val="16"/>
                <w:szCs w:val="16"/>
                <w:lang w:val="en-US"/>
              </w:rPr>
              <w:t>1.2</w:t>
            </w:r>
          </w:p>
        </w:tc>
        <w:tc>
          <w:tcPr>
            <w:tcW w:w="0" w:type="auto"/>
            <w:tcBorders>
              <w:top w:val="single" w:sz="6" w:space="0" w:color="auto"/>
              <w:left w:val="single" w:sz="6" w:space="0" w:color="auto"/>
              <w:bottom w:val="single" w:sz="6" w:space="0" w:color="auto"/>
              <w:right w:val="single" w:sz="6" w:space="0" w:color="auto"/>
            </w:tcBorders>
            <w:vAlign w:val="center"/>
          </w:tcPr>
          <w:p w14:paraId="1CA1F67B" w14:textId="77777777" w:rsidR="00B97365" w:rsidRDefault="00000000">
            <w:pPr>
              <w:rPr>
                <w:rFonts w:cs="Calibri"/>
                <w:sz w:val="16"/>
                <w:szCs w:val="16"/>
                <w:lang w:val="en-US"/>
              </w:rPr>
            </w:pPr>
            <w:r>
              <w:rPr>
                <w:rFonts w:cs="Calibri"/>
                <w:sz w:val="16"/>
                <w:szCs w:val="16"/>
                <w:lang w:val="en-US"/>
              </w:rPr>
              <w:t>Not Allowed (Authorisation)</w:t>
            </w:r>
          </w:p>
        </w:tc>
        <w:tc>
          <w:tcPr>
            <w:tcW w:w="0" w:type="auto"/>
            <w:tcBorders>
              <w:top w:val="single" w:sz="6" w:space="0" w:color="auto"/>
              <w:left w:val="single" w:sz="6" w:space="0" w:color="auto"/>
              <w:bottom w:val="single" w:sz="6" w:space="0" w:color="auto"/>
              <w:right w:val="single" w:sz="4" w:space="0" w:color="auto"/>
            </w:tcBorders>
            <w:vAlign w:val="center"/>
          </w:tcPr>
          <w:p w14:paraId="0C798063" w14:textId="77777777" w:rsidR="00B97365" w:rsidRDefault="00000000">
            <w:pPr>
              <w:rPr>
                <w:rFonts w:cs="Calibri"/>
                <w:sz w:val="16"/>
                <w:szCs w:val="16"/>
                <w:lang w:val="en-US"/>
              </w:rPr>
            </w:pPr>
            <w:r>
              <w:rPr>
                <w:rFonts w:cs="Calibri"/>
                <w:sz w:val="16"/>
                <w:szCs w:val="16"/>
                <w:lang w:val="en-US"/>
              </w:rPr>
              <w:t>Indicates that the requesting SM-DP is not allowed to configure ONCs for the Operator, addressed by the mno-id in the ONC.</w:t>
            </w:r>
          </w:p>
        </w:tc>
      </w:tr>
    </w:tbl>
    <w:p w14:paraId="0B42AFBE"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573-B: SetONC Specific Status Codes</w:t>
      </w:r>
    </w:p>
    <w:p w14:paraId="185CB503" w14:textId="77777777" w:rsidR="00B97365" w:rsidRDefault="00000000">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8345" w:name="_Ref536547022"/>
      <w:bookmarkStart w:id="8346" w:name="_Toc1977441"/>
      <w:bookmarkStart w:id="8347" w:name="_Toc37062600"/>
      <w:bookmarkStart w:id="8348" w:name="_Toc88839671"/>
      <w:bookmarkStart w:id="8349" w:name="_Toc121504079"/>
      <w:r>
        <w:rPr>
          <w:rFonts w:eastAsia="Times New Roman" w:cs="Arial"/>
          <w:b/>
          <w:bCs/>
          <w:iCs/>
          <w:sz w:val="24"/>
          <w:szCs w:val="26"/>
          <w:lang w:eastAsia="en-US"/>
        </w:rPr>
        <w:t>Retrieving Operator Notification Configuration</w:t>
      </w:r>
      <w:bookmarkEnd w:id="8345"/>
      <w:bookmarkEnd w:id="8346"/>
      <w:bookmarkEnd w:id="8347"/>
      <w:bookmarkEnd w:id="8348"/>
      <w:bookmarkEnd w:id="8349"/>
    </w:p>
    <w:p w14:paraId="3798F547"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name</w:t>
      </w:r>
      <w:r>
        <w:rPr>
          <w:szCs w:val="22"/>
          <w:lang w:val="en-US" w:eastAsia="en-GB" w:bidi="ar-SA"/>
        </w:rPr>
        <w:t>: GetONC</w:t>
      </w:r>
    </w:p>
    <w:p w14:paraId="02067FAF" w14:textId="77777777" w:rsidR="00B97365" w:rsidRDefault="00000000">
      <w:pPr>
        <w:spacing w:before="0" w:after="200" w:line="276" w:lineRule="auto"/>
        <w:jc w:val="left"/>
        <w:rPr>
          <w:szCs w:val="22"/>
          <w:lang w:val="en-US" w:eastAsia="en-GB" w:bidi="ar-SA"/>
        </w:rPr>
      </w:pPr>
      <w:r>
        <w:rPr>
          <w:rFonts w:cs="Arial"/>
          <w:b/>
          <w:szCs w:val="22"/>
          <w:lang w:val="en-US" w:eastAsia="en-GB" w:bidi="ar-SA"/>
        </w:rPr>
        <w:t>Related Procedures</w:t>
      </w:r>
      <w:r>
        <w:rPr>
          <w:szCs w:val="22"/>
          <w:lang w:val="en-US" w:eastAsia="en-GB" w:bidi="ar-SA"/>
        </w:rPr>
        <w:t>: Retrieve Operator Notifications Configuration</w:t>
      </w:r>
    </w:p>
    <w:p w14:paraId="4E5D1CB6"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group</w:t>
      </w:r>
      <w:r>
        <w:rPr>
          <w:szCs w:val="22"/>
          <w:lang w:val="en-US" w:eastAsia="en-GB" w:bidi="ar-SA"/>
        </w:rPr>
        <w:t>: Profile Management</w:t>
      </w:r>
    </w:p>
    <w:p w14:paraId="65235E8A" w14:textId="77777777" w:rsidR="00B97365" w:rsidRDefault="00000000">
      <w:pPr>
        <w:spacing w:before="0" w:after="200" w:line="276" w:lineRule="auto"/>
        <w:jc w:val="left"/>
        <w:rPr>
          <w:szCs w:val="22"/>
          <w:lang w:val="en-US" w:eastAsia="en-GB" w:bidi="ar-SA"/>
        </w:rPr>
      </w:pPr>
      <w:r>
        <w:rPr>
          <w:rFonts w:cs="Arial"/>
          <w:b/>
          <w:szCs w:val="22"/>
          <w:lang w:val="en-US" w:eastAsia="en-GB" w:bidi="ar-SA"/>
        </w:rPr>
        <w:t>Function Provider</w:t>
      </w:r>
      <w:r>
        <w:rPr>
          <w:szCs w:val="22"/>
          <w:lang w:val="en-US" w:eastAsia="en-GB" w:bidi="ar-SA"/>
        </w:rPr>
        <w:t>: SM-SR</w:t>
      </w:r>
    </w:p>
    <w:p w14:paraId="18EEBE9C" w14:textId="77777777" w:rsidR="00B97365" w:rsidRDefault="00000000">
      <w:pPr>
        <w:spacing w:before="0" w:after="200" w:line="276" w:lineRule="auto"/>
        <w:jc w:val="left"/>
        <w:rPr>
          <w:szCs w:val="22"/>
          <w:lang w:val="en-US" w:eastAsia="en-GB" w:bidi="ar-SA"/>
        </w:rPr>
      </w:pPr>
      <w:r>
        <w:rPr>
          <w:rFonts w:cs="Arial"/>
          <w:b/>
          <w:szCs w:val="22"/>
          <w:lang w:val="en-US" w:eastAsia="en-GB" w:bidi="ar-SA"/>
        </w:rPr>
        <w:t>Description</w:t>
      </w:r>
      <w:r>
        <w:rPr>
          <w:szCs w:val="22"/>
          <w:lang w:val="en-US" w:eastAsia="en-GB" w:bidi="ar-SA"/>
        </w:rPr>
        <w:t xml:space="preserve">: </w:t>
      </w:r>
    </w:p>
    <w:p w14:paraId="1A131E6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allows the Operator to retrieve a list of status change notifications it does not want to receive for its own Profiles, associated with a Profile Type.</w:t>
      </w:r>
    </w:p>
    <w:p w14:paraId="6A82CE1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lastRenderedPageBreak/>
        <w:t>The SM-SR receiving this request SHALL verify that the mno-id of the function caller matches with the one in the ONC.</w:t>
      </w:r>
    </w:p>
    <w:p w14:paraId="3729B67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the request is acceptable, the SM-SR SHALLreturn the ONC including the list of requested notifications applicable to the specified search criterion.</w:t>
      </w:r>
    </w:p>
    <w:p w14:paraId="564A49E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may return:</w:t>
      </w:r>
    </w:p>
    <w:p w14:paraId="7B01E5C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‘Executed-Success’, and additional output data providing the configured ONC.</w:t>
      </w:r>
    </w:p>
    <w:p w14:paraId="12D7F7DB"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‘Function execution status’ with ‘Executed-WithWarning’ with a specific status code as defined in the table below, indicating that the notifications have been configured in the SM-SR but that some side-effects of this configuration may require the attention of the Operator, and additional output data providing the configured ONC.</w:t>
      </w:r>
    </w:p>
    <w:p w14:paraId="024C3ED7" w14:textId="77777777" w:rsidR="00B97365" w:rsidRDefault="00B97365">
      <w:pPr>
        <w:tabs>
          <w:tab w:val="left" w:pos="680"/>
        </w:tabs>
        <w:spacing w:before="0" w:after="200" w:line="276" w:lineRule="auto"/>
        <w:ind w:left="680"/>
        <w:contextualSpacing/>
        <w:jc w:val="left"/>
        <w:rPr>
          <w:szCs w:val="22"/>
          <w:lang w:eastAsia="en-GB" w:bidi="ar-SA"/>
        </w:rPr>
      </w:pPr>
    </w:p>
    <w:p w14:paraId="42136D03" w14:textId="614E0496"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A ‘Function execution status’ indicating ‘Failed’ with a status code as defined in section </w:t>
      </w:r>
      <w:r>
        <w:fldChar w:fldCharType="begin"/>
      </w:r>
      <w:r>
        <w:instrText xml:space="preserve"> REF _Ref367973959 \r \h  \* MERGEFORMAT </w:instrText>
      </w:r>
      <w:r>
        <w:fldChar w:fldCharType="separate"/>
      </w:r>
      <w:r w:rsidR="001D5AD9" w:rsidRPr="001D5AD9">
        <w:rPr>
          <w:szCs w:val="22"/>
          <w:lang w:eastAsia="en-GB" w:bidi="ar-SA"/>
        </w:rPr>
        <w:t>5.1.6.4</w:t>
      </w:r>
      <w:r>
        <w:fldChar w:fldCharType="end"/>
      </w:r>
      <w:r>
        <w:rPr>
          <w:szCs w:val="22"/>
          <w:lang w:eastAsia="en-GB" w:bidi="ar-SA"/>
        </w:rPr>
        <w:t xml:space="preserve"> or a specific status code as defined in the table here after.</w:t>
      </w:r>
    </w:p>
    <w:p w14:paraId="7E49DAB0" w14:textId="77777777" w:rsidR="00B97365" w:rsidRDefault="00B97365">
      <w:pPr>
        <w:spacing w:before="0"/>
        <w:jc w:val="left"/>
        <w:rPr>
          <w:rFonts w:eastAsia="Times New Roman" w:cs="Arial"/>
          <w:b/>
          <w:bCs/>
          <w:iCs/>
          <w:sz w:val="24"/>
          <w:szCs w:val="28"/>
          <w:lang w:eastAsia="en-US"/>
        </w:rPr>
      </w:pPr>
    </w:p>
    <w:p w14:paraId="72579788"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input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43"/>
        <w:gridCol w:w="5630"/>
        <w:gridCol w:w="590"/>
        <w:gridCol w:w="474"/>
        <w:gridCol w:w="590"/>
      </w:tblGrid>
      <w:tr w:rsidR="00B97365" w14:paraId="06B19308" w14:textId="77777777">
        <w:trPr>
          <w:cantSplit/>
          <w:trHeight w:val="342"/>
          <w:tblHeade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255D3784" w14:textId="77777777" w:rsidR="00B97365" w:rsidRDefault="00000000">
            <w:pPr>
              <w:jc w:val="center"/>
              <w:rPr>
                <w:rFonts w:cs="Calibri"/>
                <w:b/>
                <w:color w:val="FFFFFF"/>
                <w:sz w:val="16"/>
                <w:szCs w:val="16"/>
              </w:rPr>
            </w:pPr>
            <w:r>
              <w:rPr>
                <w:rFonts w:cs="Calibri"/>
                <w:b/>
                <w:color w:val="FFFFFF"/>
                <w:sz w:val="16"/>
                <w:szCs w:val="16"/>
              </w:rPr>
              <w:t>Input data name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04278737" w14:textId="77777777" w:rsidR="00B97365" w:rsidRDefault="00000000">
            <w:pPr>
              <w:jc w:val="center"/>
              <w:rPr>
                <w:rFonts w:cs="Calibri"/>
                <w:b/>
                <w:color w:val="FFFFFF"/>
                <w:sz w:val="16"/>
                <w:szCs w:val="16"/>
              </w:rPr>
            </w:pPr>
            <w:r>
              <w:rPr>
                <w:rFonts w:cs="Calibri"/>
                <w:b/>
                <w:color w:val="FFFFFF"/>
                <w:sz w:val="16"/>
                <w:szCs w:val="16"/>
              </w:rPr>
              <w:t>Description</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B7B0EA9" w14:textId="77777777" w:rsidR="00B97365" w:rsidRDefault="00000000">
            <w:pPr>
              <w:jc w:val="center"/>
              <w:rPr>
                <w:rFonts w:cs="Calibri"/>
                <w:b/>
                <w:color w:val="FFFFFF"/>
                <w:sz w:val="16"/>
                <w:szCs w:val="16"/>
              </w:rPr>
            </w:pPr>
            <w:r>
              <w:rPr>
                <w:rFonts w:cs="Calibri"/>
                <w:b/>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3AEE66C0" w14:textId="77777777" w:rsidR="00B97365" w:rsidRDefault="00000000">
            <w:pPr>
              <w:jc w:val="center"/>
              <w:rPr>
                <w:rFonts w:cs="Calibri"/>
                <w:b/>
                <w:color w:val="FFFFFF"/>
                <w:sz w:val="16"/>
                <w:szCs w:val="16"/>
              </w:rPr>
            </w:pPr>
            <w:r>
              <w:rPr>
                <w:rFonts w:cs="Calibri"/>
                <w:b/>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6E8A93E" w14:textId="77777777" w:rsidR="00B97365" w:rsidRDefault="00000000">
            <w:pPr>
              <w:jc w:val="center"/>
              <w:rPr>
                <w:rFonts w:cs="Calibri"/>
                <w:b/>
                <w:color w:val="FFFFFF"/>
                <w:sz w:val="16"/>
                <w:szCs w:val="16"/>
              </w:rPr>
            </w:pPr>
            <w:r>
              <w:rPr>
                <w:rFonts w:cs="Calibri"/>
                <w:b/>
                <w:color w:val="FFFFFF"/>
                <w:sz w:val="16"/>
                <w:szCs w:val="16"/>
              </w:rPr>
              <w:t>MOC</w:t>
            </w:r>
          </w:p>
        </w:tc>
      </w:tr>
      <w:tr w:rsidR="00B97365" w14:paraId="118AD655"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656255C6"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rPr>
              <w:t>profileType</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08816BCB" w14:textId="77777777" w:rsidR="00B97365" w:rsidRDefault="00000000">
            <w:pPr>
              <w:rPr>
                <w:rFonts w:cs="Calibri"/>
                <w:sz w:val="16"/>
                <w:szCs w:val="16"/>
                <w:lang w:val="en-US"/>
              </w:rPr>
            </w:pPr>
            <w:r>
              <w:rPr>
                <w:rFonts w:cs="Calibri"/>
                <w:sz w:val="16"/>
                <w:szCs w:val="16"/>
                <w:lang w:val="en-US"/>
              </w:rPr>
              <w:t>Identification of the Profile Type for which the ONC is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810FC92"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String</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EB66539"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66562308"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r w:rsidR="00B97365" w14:paraId="43C07C5A" w14:textId="77777777">
        <w:trPr>
          <w:cantSplit/>
          <w:trHeight w:val="282"/>
          <w:jc w:val="center"/>
        </w:trPr>
        <w:tc>
          <w:tcPr>
            <w:tcW w:w="0" w:type="auto"/>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14:paraId="164D27FD" w14:textId="77777777" w:rsidR="00B97365" w:rsidRDefault="00000000">
            <w:pPr>
              <w:keepNext/>
              <w:keepLines/>
              <w:tabs>
                <w:tab w:val="num" w:pos="1152"/>
                <w:tab w:val="num" w:pos="2160"/>
              </w:tabs>
              <w:spacing w:line="260" w:lineRule="atLeast"/>
              <w:ind w:left="1152" w:hanging="1152"/>
              <w:rPr>
                <w:rFonts w:cs="Calibri"/>
                <w:sz w:val="16"/>
                <w:szCs w:val="16"/>
              </w:rPr>
            </w:pPr>
            <w:r>
              <w:rPr>
                <w:rFonts w:cs="Calibri"/>
                <w:sz w:val="16"/>
                <w:szCs w:val="16"/>
                <w:lang w:val="en-US"/>
              </w:rPr>
              <w:t>iccid</w:t>
            </w:r>
          </w:p>
        </w:tc>
        <w:tc>
          <w:tcPr>
            <w:tcW w:w="563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2903D5BA" w14:textId="77777777" w:rsidR="00B97365" w:rsidRDefault="00000000">
            <w:pPr>
              <w:rPr>
                <w:rFonts w:cs="Calibri"/>
                <w:sz w:val="16"/>
                <w:szCs w:val="16"/>
                <w:lang w:val="en-US"/>
              </w:rPr>
            </w:pPr>
            <w:r>
              <w:rPr>
                <w:rFonts w:cs="Calibri"/>
                <w:sz w:val="16"/>
                <w:szCs w:val="16"/>
                <w:lang w:val="en-US"/>
              </w:rPr>
              <w:t>Identification of one specific Profile for which the ONC is searched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132AF89F" w14:textId="77777777" w:rsidR="00B97365" w:rsidRDefault="00000000">
            <w:pPr>
              <w:keepNext/>
              <w:keepLines/>
              <w:tabs>
                <w:tab w:val="num" w:pos="4320"/>
              </w:tabs>
              <w:spacing w:before="140" w:after="120" w:line="260" w:lineRule="atLeast"/>
              <w:ind w:left="1531" w:hanging="1531"/>
              <w:jc w:val="center"/>
              <w:rPr>
                <w:rFonts w:cs="Calibri"/>
                <w:sz w:val="16"/>
                <w:szCs w:val="16"/>
                <w:lang w:val="en-US"/>
              </w:rPr>
            </w:pPr>
            <w:r>
              <w:rPr>
                <w:rFonts w:cs="Calibri"/>
                <w:sz w:val="16"/>
                <w:szCs w:val="16"/>
                <w:lang w:val="en-US"/>
              </w:rPr>
              <w:t>ICCID</w:t>
            </w:r>
          </w:p>
        </w:tc>
        <w:tc>
          <w:tcPr>
            <w:tcW w:w="0" w:type="auto"/>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72909A24"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1</w:t>
            </w:r>
          </w:p>
        </w:tc>
        <w:tc>
          <w:tcPr>
            <w:tcW w:w="0" w:type="auto"/>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14:paraId="307641A1" w14:textId="77777777" w:rsidR="00B97365" w:rsidRDefault="00000000">
            <w:pPr>
              <w:spacing w:before="140" w:after="120" w:line="260" w:lineRule="atLeast"/>
              <w:ind w:left="1531" w:hanging="1531"/>
              <w:jc w:val="center"/>
              <w:rPr>
                <w:rFonts w:cs="Calibri"/>
                <w:sz w:val="16"/>
                <w:szCs w:val="16"/>
                <w:lang w:val="en-US"/>
              </w:rPr>
            </w:pPr>
            <w:r>
              <w:rPr>
                <w:rFonts w:cs="Calibri"/>
                <w:sz w:val="16"/>
                <w:szCs w:val="16"/>
                <w:lang w:val="en-US"/>
              </w:rPr>
              <w:t>C</w:t>
            </w:r>
          </w:p>
        </w:tc>
      </w:tr>
    </w:tbl>
    <w:p w14:paraId="4A6F71BF"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574-A: GetONC Additional Input Data</w:t>
      </w:r>
    </w:p>
    <w:p w14:paraId="306B7931"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One and only one of the input data profileType and iccid SHALL be present.</w:t>
      </w:r>
    </w:p>
    <w:p w14:paraId="2615073F" w14:textId="77777777" w:rsidR="00B97365" w:rsidRDefault="00000000">
      <w:pPr>
        <w:spacing w:before="0" w:after="200" w:line="276" w:lineRule="auto"/>
        <w:jc w:val="left"/>
        <w:rPr>
          <w:b/>
          <w:i/>
          <w:szCs w:val="22"/>
          <w:lang w:val="en-US" w:eastAsia="en-GB" w:bidi="ar-SA"/>
        </w:rPr>
      </w:pPr>
      <w:r>
        <w:rPr>
          <w:rFonts w:cs="Arial"/>
          <w:b/>
          <w:i/>
          <w:szCs w:val="22"/>
          <w:lang w:val="en-US" w:eastAsia="en-GB" w:bidi="ar-SA"/>
        </w:rPr>
        <w:t>Additional output data: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20"/>
        <w:gridCol w:w="6063"/>
        <w:gridCol w:w="1008"/>
        <w:gridCol w:w="400"/>
        <w:gridCol w:w="525"/>
      </w:tblGrid>
      <w:tr w:rsidR="00B97365" w14:paraId="63868D8B" w14:textId="77777777">
        <w:trPr>
          <w:trHeight w:val="342"/>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0FC3C971" w14:textId="77777777" w:rsidR="00B97365" w:rsidRDefault="00000000">
            <w:pPr>
              <w:jc w:val="center"/>
              <w:rPr>
                <w:rFonts w:cs="Calibri"/>
                <w:color w:val="FFFFFF"/>
                <w:sz w:val="16"/>
                <w:szCs w:val="16"/>
              </w:rPr>
            </w:pPr>
            <w:r>
              <w:rPr>
                <w:rFonts w:cs="Calibri"/>
                <w:color w:val="FFFFFF"/>
                <w:sz w:val="16"/>
                <w:szCs w:val="16"/>
              </w:rPr>
              <w:t>Output data name</w:t>
            </w:r>
          </w:p>
        </w:tc>
        <w:tc>
          <w:tcPr>
            <w:tcW w:w="6063"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513A773" w14:textId="77777777" w:rsidR="00B97365" w:rsidRDefault="00000000">
            <w:pPr>
              <w:jc w:val="center"/>
              <w:rPr>
                <w:rFonts w:cs="Calibri"/>
                <w:color w:val="FFFFFF"/>
                <w:sz w:val="16"/>
                <w:szCs w:val="16"/>
              </w:rPr>
            </w:pPr>
            <w:r>
              <w:rPr>
                <w:rFonts w:cs="Calibri"/>
                <w:color w:val="FFFFFF"/>
                <w:sz w:val="16"/>
                <w:szCs w:val="16"/>
              </w:rPr>
              <w:t>Description</w:t>
            </w:r>
          </w:p>
        </w:tc>
        <w:tc>
          <w:tcPr>
            <w:tcW w:w="100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E0BD7D8" w14:textId="77777777" w:rsidR="00B97365" w:rsidRDefault="00000000">
            <w:pPr>
              <w:jc w:val="center"/>
              <w:rPr>
                <w:rFonts w:cs="Calibri"/>
                <w:color w:val="FFFFFF"/>
                <w:sz w:val="16"/>
                <w:szCs w:val="16"/>
              </w:rPr>
            </w:pPr>
            <w:r>
              <w:rPr>
                <w:rFonts w:cs="Calibri"/>
                <w:color w:val="FFFFFF"/>
                <w:sz w:val="16"/>
                <w:szCs w:val="16"/>
              </w:rPr>
              <w:t>Type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676456FA"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0F69A90A" w14:textId="77777777" w:rsidR="00B97365" w:rsidRDefault="00000000">
            <w:pPr>
              <w:tabs>
                <w:tab w:val="right" w:pos="7938"/>
              </w:tabs>
              <w:ind w:left="470" w:hanging="459"/>
              <w:jc w:val="center"/>
              <w:rPr>
                <w:rFonts w:cs="Calibri"/>
                <w:color w:val="FFFFFF"/>
                <w:sz w:val="16"/>
                <w:szCs w:val="16"/>
              </w:rPr>
            </w:pPr>
            <w:r>
              <w:rPr>
                <w:rFonts w:cs="Calibri"/>
                <w:color w:val="FFFFFF"/>
                <w:sz w:val="16"/>
                <w:szCs w:val="16"/>
              </w:rPr>
              <w:t>MOC</w:t>
            </w:r>
          </w:p>
        </w:tc>
      </w:tr>
      <w:tr w:rsidR="00B97365" w14:paraId="2E923C88" w14:textId="77777777">
        <w:trPr>
          <w:trHeight w:val="282"/>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3BF0EE14" w14:textId="77777777" w:rsidR="00B97365" w:rsidRDefault="00000000">
            <w:pPr>
              <w:tabs>
                <w:tab w:val="right" w:pos="7938"/>
              </w:tabs>
              <w:ind w:left="470" w:hanging="459"/>
              <w:rPr>
                <w:rFonts w:cs="Calibri"/>
                <w:sz w:val="16"/>
                <w:szCs w:val="16"/>
              </w:rPr>
            </w:pPr>
            <w:r>
              <w:rPr>
                <w:rFonts w:cs="Calibri"/>
                <w:sz w:val="16"/>
                <w:szCs w:val="16"/>
              </w:rPr>
              <w:t>onc</w:t>
            </w:r>
          </w:p>
        </w:tc>
        <w:tc>
          <w:tcPr>
            <w:tcW w:w="6063" w:type="dxa"/>
            <w:tcBorders>
              <w:top w:val="single" w:sz="6" w:space="0" w:color="auto"/>
              <w:left w:val="single" w:sz="6" w:space="0" w:color="auto"/>
              <w:bottom w:val="single" w:sz="4" w:space="0" w:color="auto"/>
              <w:right w:val="single" w:sz="6" w:space="0" w:color="auto"/>
            </w:tcBorders>
            <w:vAlign w:val="center"/>
            <w:hideMark/>
          </w:tcPr>
          <w:p w14:paraId="24EA5447" w14:textId="77777777" w:rsidR="00B97365" w:rsidRDefault="00000000">
            <w:pPr>
              <w:rPr>
                <w:rFonts w:cs="Calibri"/>
                <w:sz w:val="16"/>
                <w:szCs w:val="16"/>
              </w:rPr>
            </w:pPr>
            <w:r>
              <w:rPr>
                <w:rFonts w:cs="Calibri"/>
                <w:sz w:val="16"/>
                <w:szCs w:val="16"/>
              </w:rPr>
              <w:t xml:space="preserve">The ONC including the list of discarded notifications that match the search criterion </w:t>
            </w:r>
          </w:p>
          <w:p w14:paraId="4CAFE78E" w14:textId="77777777" w:rsidR="00B97365" w:rsidRDefault="00000000">
            <w:pPr>
              <w:rPr>
                <w:rFonts w:cs="Calibri"/>
                <w:sz w:val="16"/>
                <w:szCs w:val="16"/>
              </w:rPr>
            </w:pPr>
            <w:r>
              <w:rPr>
                <w:rFonts w:cs="Calibri"/>
                <w:sz w:val="16"/>
                <w:szCs w:val="16"/>
              </w:rPr>
              <w:t xml:space="preserve">See </w:t>
            </w:r>
            <w:r>
              <w:rPr>
                <w:rFonts w:cs="Calibri"/>
                <w:sz w:val="16"/>
                <w:szCs w:val="16"/>
                <w:lang w:val="en-US"/>
              </w:rPr>
              <w:t>section 5.1.1.2.15</w:t>
            </w:r>
            <w:r>
              <w:t xml:space="preserve"> </w:t>
            </w:r>
            <w:r>
              <w:rPr>
                <w:rFonts w:cs="Calibri"/>
                <w:sz w:val="16"/>
                <w:szCs w:val="16"/>
              </w:rPr>
              <w:t>for type description.</w:t>
            </w:r>
          </w:p>
          <w:p w14:paraId="13532288" w14:textId="77777777" w:rsidR="00B97365" w:rsidRDefault="00000000">
            <w:pPr>
              <w:rPr>
                <w:rFonts w:cs="Calibri"/>
                <w:sz w:val="16"/>
                <w:szCs w:val="16"/>
              </w:rPr>
            </w:pPr>
            <w:r>
              <w:rPr>
                <w:rFonts w:cs="Calibri"/>
                <w:sz w:val="16"/>
                <w:szCs w:val="16"/>
                <w:u w:val="single"/>
                <w:lang w:val="en-US"/>
              </w:rPr>
              <w:t>NOTE:</w:t>
            </w:r>
            <w:r>
              <w:rPr>
                <w:rFonts w:cs="Calibri"/>
                <w:sz w:val="16"/>
                <w:szCs w:val="16"/>
              </w:rPr>
              <w:t xml:space="preserve"> </w:t>
            </w:r>
          </w:p>
          <w:p w14:paraId="77607D1E" w14:textId="77777777" w:rsidR="00B97365" w:rsidRDefault="00000000">
            <w:pPr>
              <w:spacing w:before="0"/>
              <w:jc w:val="left"/>
              <w:rPr>
                <w:rFonts w:cs="Calibri"/>
                <w:sz w:val="16"/>
                <w:szCs w:val="16"/>
                <w:lang w:val="en-US"/>
              </w:rPr>
            </w:pPr>
            <w:r>
              <w:rPr>
                <w:rFonts w:cs="Calibri"/>
                <w:sz w:val="16"/>
                <w:szCs w:val="16"/>
                <w:lang w:val="en-US"/>
              </w:rPr>
              <w:t>If no Operator Notification Configuration has yet been set in the SM-SR for a given Profile Type, then the output data of this function will list no notification names, as all notifications will be sent for Profiles assigned with this Profile Type. See also section 3.21.3 and table 511215-A for details.</w:t>
            </w:r>
          </w:p>
          <w:p w14:paraId="4BACCD33" w14:textId="77777777" w:rsidR="00B97365" w:rsidRDefault="00B97365">
            <w:pPr>
              <w:rPr>
                <w:rFonts w:cs="Calibri"/>
                <w:sz w:val="16"/>
                <w:szCs w:val="16"/>
              </w:rPr>
            </w:pPr>
          </w:p>
        </w:tc>
        <w:tc>
          <w:tcPr>
            <w:tcW w:w="1008" w:type="dxa"/>
            <w:tcBorders>
              <w:top w:val="single" w:sz="6" w:space="0" w:color="auto"/>
              <w:left w:val="single" w:sz="6" w:space="0" w:color="auto"/>
              <w:bottom w:val="single" w:sz="4" w:space="0" w:color="auto"/>
              <w:right w:val="single" w:sz="6" w:space="0" w:color="auto"/>
            </w:tcBorders>
            <w:vAlign w:val="center"/>
            <w:hideMark/>
          </w:tcPr>
          <w:p w14:paraId="3F490D8C" w14:textId="77777777" w:rsidR="00B97365" w:rsidRDefault="00000000">
            <w:pPr>
              <w:jc w:val="center"/>
              <w:rPr>
                <w:rFonts w:cs="Calibri"/>
                <w:sz w:val="16"/>
                <w:szCs w:val="16"/>
              </w:rPr>
            </w:pPr>
            <w:r>
              <w:rPr>
                <w:rFonts w:cs="Calibri"/>
                <w:sz w:val="16"/>
                <w:szCs w:val="16"/>
                <w:lang w:val="en-US"/>
              </w:rPr>
              <w:t xml:space="preserve">ONC </w:t>
            </w:r>
          </w:p>
        </w:tc>
        <w:tc>
          <w:tcPr>
            <w:tcW w:w="0" w:type="auto"/>
            <w:tcBorders>
              <w:top w:val="single" w:sz="6" w:space="0" w:color="auto"/>
              <w:left w:val="single" w:sz="6" w:space="0" w:color="auto"/>
              <w:bottom w:val="single" w:sz="4" w:space="0" w:color="auto"/>
              <w:right w:val="single" w:sz="6" w:space="0" w:color="auto"/>
            </w:tcBorders>
            <w:vAlign w:val="center"/>
            <w:hideMark/>
          </w:tcPr>
          <w:p w14:paraId="70997C8A" w14:textId="77777777" w:rsidR="00B97365" w:rsidRDefault="00000000">
            <w:pPr>
              <w:jc w:val="center"/>
              <w:rPr>
                <w:rFonts w:cs="Calibri"/>
                <w:sz w:val="16"/>
                <w:szCs w:val="16"/>
              </w:rPr>
            </w:pPr>
            <w:r>
              <w:rPr>
                <w:rFonts w:cs="Calibri"/>
                <w:sz w:val="16"/>
                <w:szCs w:val="16"/>
              </w:rPr>
              <w:t>N</w:t>
            </w:r>
          </w:p>
        </w:tc>
        <w:tc>
          <w:tcPr>
            <w:tcW w:w="0" w:type="auto"/>
            <w:tcBorders>
              <w:top w:val="single" w:sz="6" w:space="0" w:color="auto"/>
              <w:left w:val="single" w:sz="6" w:space="0" w:color="auto"/>
              <w:bottom w:val="single" w:sz="4" w:space="0" w:color="auto"/>
              <w:right w:val="single" w:sz="4" w:space="0" w:color="auto"/>
            </w:tcBorders>
            <w:vAlign w:val="center"/>
            <w:hideMark/>
          </w:tcPr>
          <w:p w14:paraId="4B4B9B50" w14:textId="77777777" w:rsidR="00B97365" w:rsidRDefault="00000000">
            <w:pPr>
              <w:jc w:val="center"/>
              <w:rPr>
                <w:rFonts w:cs="Calibri"/>
                <w:sz w:val="16"/>
                <w:szCs w:val="16"/>
              </w:rPr>
            </w:pPr>
            <w:r>
              <w:rPr>
                <w:rFonts w:cs="Calibri"/>
                <w:sz w:val="16"/>
                <w:szCs w:val="16"/>
              </w:rPr>
              <w:t>M</w:t>
            </w:r>
          </w:p>
        </w:tc>
      </w:tr>
    </w:tbl>
    <w:p w14:paraId="3B28F989" w14:textId="77777777" w:rsidR="00B97365" w:rsidRDefault="00000000">
      <w:pPr>
        <w:spacing w:after="320" w:line="276" w:lineRule="auto"/>
        <w:jc w:val="center"/>
        <w:rPr>
          <w:rFonts w:cs="Arial"/>
          <w:b/>
          <w:szCs w:val="22"/>
          <w:lang w:eastAsia="en-US"/>
        </w:rPr>
      </w:pPr>
      <w:r>
        <w:rPr>
          <w:rFonts w:cs="Arial"/>
          <w:b/>
          <w:szCs w:val="22"/>
          <w:lang w:eastAsia="de-DE" w:bidi="ar-SA"/>
        </w:rPr>
        <w:t>Table 574-B: GetONC Additional Output Data</w:t>
      </w:r>
    </w:p>
    <w:p w14:paraId="2DF9C53A" w14:textId="77777777" w:rsidR="00B97365" w:rsidRDefault="00B97365">
      <w:pPr>
        <w:spacing w:before="0" w:after="200" w:line="276" w:lineRule="auto"/>
        <w:jc w:val="left"/>
        <w:rPr>
          <w:szCs w:val="22"/>
          <w:lang w:eastAsia="en-US"/>
        </w:rPr>
      </w:pPr>
    </w:p>
    <w:p w14:paraId="62100E58" w14:textId="77777777" w:rsidR="00B97365" w:rsidRDefault="00000000">
      <w:pPr>
        <w:spacing w:before="0"/>
        <w:jc w:val="left"/>
        <w:rPr>
          <w:szCs w:val="22"/>
          <w:lang w:eastAsia="en-US" w:bidi="ar-SA"/>
        </w:rPr>
      </w:pPr>
      <w:r>
        <w:rPr>
          <w:lang w:eastAsia="en-US"/>
        </w:rPr>
        <w:br w:type="page"/>
      </w:r>
    </w:p>
    <w:p w14:paraId="1D0342BA" w14:textId="77777777" w:rsidR="00B97365" w:rsidRDefault="00B97365">
      <w:pPr>
        <w:spacing w:before="0" w:after="200" w:line="276" w:lineRule="auto"/>
        <w:jc w:val="left"/>
        <w:rPr>
          <w:szCs w:val="22"/>
          <w:lang w:eastAsia="en-US" w:bidi="ar-SA"/>
        </w:rPr>
      </w:pPr>
    </w:p>
    <w:p w14:paraId="21239D9B" w14:textId="77777777" w:rsidR="00B97365" w:rsidRDefault="00000000">
      <w:pPr>
        <w:keepNext/>
        <w:keepLines/>
        <w:numPr>
          <w:ilvl w:val="0"/>
          <w:numId w:val="36"/>
        </w:numPr>
        <w:spacing w:before="360" w:after="60" w:line="276" w:lineRule="auto"/>
        <w:jc w:val="left"/>
        <w:outlineLvl w:val="0"/>
        <w:rPr>
          <w:b/>
          <w:sz w:val="28"/>
          <w:lang w:eastAsia="en-US"/>
        </w:rPr>
      </w:pPr>
      <w:bookmarkStart w:id="8350" w:name="_Toc448998302"/>
      <w:bookmarkStart w:id="8351" w:name="_Toc422150805"/>
      <w:bookmarkStart w:id="8352" w:name="_Toc421874390"/>
      <w:bookmarkStart w:id="8353" w:name="_Ref421660437"/>
      <w:bookmarkStart w:id="8354" w:name="_Toc420594916"/>
      <w:bookmarkStart w:id="8355" w:name="_Toc398214931"/>
      <w:bookmarkStart w:id="8356" w:name="_Toc375158347"/>
      <w:bookmarkStart w:id="8357" w:name="_Toc374348540"/>
      <w:bookmarkStart w:id="8358" w:name="_Toc368932355"/>
      <w:bookmarkStart w:id="8359" w:name="_Toc486332919"/>
      <w:bookmarkStart w:id="8360" w:name="_Toc1977442"/>
      <w:bookmarkStart w:id="8361" w:name="_Toc37062601"/>
      <w:bookmarkStart w:id="8362" w:name="_Toc88839672"/>
      <w:bookmarkStart w:id="8363" w:name="_Toc121504080"/>
      <w:r>
        <w:rPr>
          <w:b/>
          <w:sz w:val="28"/>
          <w:lang w:eastAsia="en-US"/>
        </w:rPr>
        <w:t>Mapping of Functions into Messages (Normative)</w:t>
      </w:r>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p>
    <w:p w14:paraId="6E621A73" w14:textId="3528622D"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Annex provides the mapping of the functions defined in section </w:t>
      </w:r>
      <w:r>
        <w:fldChar w:fldCharType="begin"/>
      </w:r>
      <w:r>
        <w:rPr>
          <w:rFonts w:cs="Arial"/>
          <w:szCs w:val="22"/>
          <w:lang w:val="en-US" w:eastAsia="en-GB" w:bidi="ar-SA"/>
        </w:rPr>
        <w:instrText xml:space="preserve"> REF _Ref367967916 \r \h </w:instrText>
      </w:r>
      <w:r>
        <w:fldChar w:fldCharType="separate"/>
      </w:r>
      <w:r w:rsidR="001D5AD9">
        <w:rPr>
          <w:rFonts w:cs="Arial"/>
          <w:szCs w:val="22"/>
          <w:lang w:val="en-US" w:eastAsia="en-GB" w:bidi="ar-SA"/>
        </w:rPr>
        <w:t>5</w:t>
      </w:r>
      <w:r>
        <w:fldChar w:fldCharType="end"/>
      </w:r>
      <w:r>
        <w:rPr>
          <w:szCs w:val="22"/>
          <w:lang w:val="en-US" w:eastAsia="en-GB" w:bidi="ar-SA"/>
        </w:rPr>
        <w:t xml:space="preserve"> into messages to be exchanged between the Roles.</w:t>
      </w:r>
    </w:p>
    <w:p w14:paraId="449D912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Any technology can be used to transport those messages (mail, file, Web Services…) as soon as it is agreed between the sender and the receiver.</w:t>
      </w:r>
    </w:p>
    <w:p w14:paraId="6BD599CB" w14:textId="01D76F63" w:rsidR="00B97365" w:rsidRDefault="00000000">
      <w:pPr>
        <w:spacing w:before="0" w:after="200" w:line="276" w:lineRule="auto"/>
        <w:jc w:val="left"/>
        <w:rPr>
          <w:szCs w:val="22"/>
          <w:lang w:val="en-US" w:eastAsia="en-GB" w:bidi="ar-SA"/>
        </w:rPr>
      </w:pPr>
      <w:r>
        <w:rPr>
          <w:rFonts w:cs="Arial"/>
          <w:szCs w:val="22"/>
          <w:lang w:val="en-US" w:eastAsia="en-GB" w:bidi="ar-SA"/>
        </w:rPr>
        <w:t xml:space="preserve">However, for interoperability purpose, </w:t>
      </w:r>
      <w:r>
        <w:rPr>
          <w:szCs w:val="22"/>
          <w:highlight w:val="green"/>
          <w:lang w:val="en-US" w:eastAsia="en-GB" w:bidi="ar-SA"/>
        </w:rPr>
        <w:fldChar w:fldCharType="begin"/>
      </w:r>
      <w:r>
        <w:rPr>
          <w:szCs w:val="22"/>
          <w:lang w:val="en-US" w:eastAsia="en-GB" w:bidi="ar-SA"/>
        </w:rPr>
        <w:instrText xml:space="preserve"> REF _Ref421660513 \r \h </w:instrText>
      </w:r>
      <w:r>
        <w:rPr>
          <w:szCs w:val="22"/>
          <w:highlight w:val="green"/>
          <w:lang w:val="en-US" w:eastAsia="en-GB" w:bidi="ar-SA"/>
        </w:rPr>
      </w:r>
      <w:r>
        <w:rPr>
          <w:szCs w:val="22"/>
          <w:highlight w:val="green"/>
          <w:lang w:val="en-US" w:eastAsia="en-GB" w:bidi="ar-SA"/>
        </w:rPr>
        <w:fldChar w:fldCharType="separate"/>
      </w:r>
      <w:r w:rsidR="001D5AD9">
        <w:rPr>
          <w:szCs w:val="22"/>
          <w:lang w:val="en-US" w:eastAsia="en-GB" w:bidi="ar-SA"/>
        </w:rPr>
        <w:t>Annex B</w:t>
      </w:r>
      <w:r>
        <w:rPr>
          <w:szCs w:val="22"/>
          <w:highlight w:val="green"/>
          <w:lang w:val="en-US" w:eastAsia="en-GB" w:bidi="ar-SA"/>
        </w:rPr>
        <w:fldChar w:fldCharType="end"/>
      </w:r>
      <w:r>
        <w:rPr>
          <w:szCs w:val="22"/>
          <w:lang w:val="en-US" w:eastAsia="en-GB" w:bidi="ar-SA"/>
        </w:rPr>
        <w:t xml:space="preserve"> of this specification specifies the particular binding to the Web Service technology, following the OASIS and W3C WS-* standard.</w:t>
      </w:r>
    </w:p>
    <w:p w14:paraId="7C79F5C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All along this Annex we can indifferently use either “function caller” or “sender entity” wording to designate the entity that has issued the function execution request. It is also the case regarding “function provider” and “receiver entity” to designate the entity that executes the function.</w:t>
      </w:r>
    </w:p>
    <w:p w14:paraId="6DD6EF5E"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rPr>
      </w:pPr>
      <w:bookmarkStart w:id="8364" w:name="_Toc374345843"/>
      <w:bookmarkStart w:id="8365" w:name="_Toc374346189"/>
      <w:bookmarkStart w:id="8366" w:name="_Toc374346534"/>
      <w:bookmarkStart w:id="8367" w:name="_Toc374346880"/>
      <w:bookmarkStart w:id="8368" w:name="_Toc368932356"/>
      <w:bookmarkStart w:id="8369" w:name="_Toc374348541"/>
      <w:bookmarkStart w:id="8370" w:name="_Toc375158348"/>
      <w:bookmarkStart w:id="8371" w:name="_Toc398214932"/>
      <w:bookmarkStart w:id="8372" w:name="_Toc420594917"/>
      <w:bookmarkStart w:id="8373" w:name="_Toc421874391"/>
      <w:bookmarkStart w:id="8374" w:name="_Toc422150806"/>
      <w:bookmarkStart w:id="8375" w:name="_Toc448998303"/>
      <w:bookmarkStart w:id="8376" w:name="_Toc486332920"/>
      <w:bookmarkStart w:id="8377" w:name="_Toc1977443"/>
      <w:bookmarkStart w:id="8378" w:name="_Toc37062602"/>
      <w:bookmarkStart w:id="8379" w:name="_Toc88839673"/>
      <w:bookmarkStart w:id="8380" w:name="_Toc121504081"/>
      <w:bookmarkEnd w:id="8364"/>
      <w:bookmarkEnd w:id="8365"/>
      <w:bookmarkEnd w:id="8366"/>
      <w:bookmarkEnd w:id="8367"/>
      <w:r>
        <w:rPr>
          <w:rFonts w:ascii="Arial Bold" w:hAnsi="Arial Bold"/>
          <w:b/>
          <w:sz w:val="24"/>
          <w:szCs w:val="24"/>
        </w:rPr>
        <w:t>Namespaces and Schema References</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p>
    <w:p w14:paraId="69A9D0C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the context of this specification, a specific set of namespaces is used:</w:t>
      </w:r>
    </w:p>
    <w:p w14:paraId="32BB1DDD" w14:textId="77777777" w:rsidR="00B97365" w:rsidRDefault="00000000">
      <w:pPr>
        <w:numPr>
          <w:ilvl w:val="0"/>
          <w:numId w:val="38"/>
        </w:numPr>
        <w:tabs>
          <w:tab w:val="left" w:pos="680"/>
        </w:tabs>
        <w:spacing w:before="0" w:after="200" w:line="276" w:lineRule="auto"/>
        <w:contextualSpacing/>
        <w:jc w:val="left"/>
        <w:rPr>
          <w:szCs w:val="22"/>
          <w:lang w:val="fr-FR" w:eastAsia="en-GB" w:bidi="ar-SA"/>
        </w:rPr>
      </w:pPr>
      <w:r>
        <w:rPr>
          <w:szCs w:val="22"/>
          <w:lang w:val="fr-FR" w:eastAsia="en-GB" w:bidi="ar-SA"/>
        </w:rPr>
        <w:t>rpsX: http://namespaces.gsma.org/esim-messaging/X</w:t>
      </w:r>
    </w:p>
    <w:p w14:paraId="4F756A4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“X” at the end of the URI indicates the major version (for example 3 or 4) of this specification.</w:t>
      </w:r>
    </w:p>
    <w:p w14:paraId="667AC1BD" w14:textId="77777777" w:rsidR="00B97365" w:rsidRDefault="00000000">
      <w:pPr>
        <w:tabs>
          <w:tab w:val="left" w:pos="1560"/>
        </w:tabs>
        <w:spacing w:before="0" w:after="200" w:line="276" w:lineRule="auto"/>
        <w:ind w:left="1559" w:hanging="1202"/>
        <w:jc w:val="left"/>
        <w:rPr>
          <w:szCs w:val="22"/>
          <w:lang w:eastAsia="en-GB" w:bidi="ar-SA"/>
        </w:rPr>
      </w:pPr>
      <w:r>
        <w:rPr>
          <w:szCs w:val="22"/>
          <w:lang w:val="en-US" w:eastAsia="en-GB" w:bidi="ar-SA"/>
        </w:rPr>
        <w:t>Note:</w:t>
      </w:r>
      <w:r>
        <w:rPr>
          <w:szCs w:val="22"/>
          <w:lang w:val="en-US" w:eastAsia="en-GB" w:bidi="ar-SA"/>
        </w:rPr>
        <w:tab/>
        <w:t>For backward-compatibility with former versions, version 4 of this specification uses constructs in namespace “/4” but also continues to use constructs defined in the “/3” namespace for operations and types that already existed in v3.</w:t>
      </w:r>
    </w:p>
    <w:p w14:paraId="0E67665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XML schema defined in this specification refers to the following namespaces:</w:t>
      </w:r>
    </w:p>
    <w:p w14:paraId="2FCE3362" w14:textId="576BB0CE"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xs: Extensible Markup Language (XML) 1.0, W3C Recommendation as defined in </w:t>
      </w:r>
      <w:r>
        <w:rPr>
          <w:szCs w:val="22"/>
          <w:lang w:eastAsia="en-GB" w:bidi="ar-SA"/>
        </w:rPr>
        <w:fldChar w:fldCharType="begin"/>
      </w:r>
      <w:r>
        <w:rPr>
          <w:szCs w:val="22"/>
          <w:lang w:eastAsia="en-GB" w:bidi="ar-SA"/>
        </w:rPr>
        <w:instrText xml:space="preserve"> REF _Ref421635120 \r \h </w:instrText>
      </w:r>
      <w:r>
        <w:rPr>
          <w:szCs w:val="22"/>
          <w:lang w:eastAsia="en-GB" w:bidi="ar-SA"/>
        </w:rPr>
      </w:r>
      <w:r>
        <w:rPr>
          <w:szCs w:val="22"/>
          <w:lang w:eastAsia="en-GB" w:bidi="ar-SA"/>
        </w:rPr>
        <w:fldChar w:fldCharType="separate"/>
      </w:r>
      <w:r w:rsidR="001D5AD9">
        <w:rPr>
          <w:szCs w:val="22"/>
          <w:lang w:eastAsia="en-GB" w:bidi="ar-SA"/>
        </w:rPr>
        <w:t>[47]</w:t>
      </w:r>
      <w:r>
        <w:rPr>
          <w:szCs w:val="22"/>
          <w:lang w:eastAsia="en-GB" w:bidi="ar-SA"/>
        </w:rPr>
        <w:fldChar w:fldCharType="end"/>
      </w:r>
      <w:r>
        <w:rPr>
          <w:szCs w:val="22"/>
          <w:lang w:eastAsia="en-GB" w:bidi="ar-SA"/>
        </w:rPr>
        <w:t>.</w:t>
      </w:r>
    </w:p>
    <w:p w14:paraId="14960248" w14:textId="6F0BE188" w:rsidR="00B97365" w:rsidRDefault="00000000">
      <w:pPr>
        <w:numPr>
          <w:ilvl w:val="0"/>
          <w:numId w:val="38"/>
        </w:numPr>
        <w:tabs>
          <w:tab w:val="left" w:pos="680"/>
        </w:tabs>
        <w:spacing w:before="0" w:after="200" w:line="276" w:lineRule="auto"/>
        <w:contextualSpacing/>
        <w:jc w:val="left"/>
        <w:rPr>
          <w:rFonts w:cs="Calibri"/>
          <w:szCs w:val="22"/>
          <w:lang w:eastAsia="en-GB" w:bidi="ar-SA"/>
        </w:rPr>
      </w:pPr>
      <w:r>
        <w:rPr>
          <w:szCs w:val="22"/>
          <w:lang w:eastAsia="en-GB" w:bidi="ar-SA"/>
        </w:rPr>
        <w:t xml:space="preserve">ds: XML Signature Syntax and Processing (Second Edition), W3C Recommendation as defined in </w:t>
      </w:r>
      <w:r>
        <w:rPr>
          <w:szCs w:val="22"/>
          <w:lang w:eastAsia="en-GB" w:bidi="ar-SA"/>
        </w:rPr>
        <w:fldChar w:fldCharType="begin"/>
      </w:r>
      <w:r>
        <w:rPr>
          <w:szCs w:val="22"/>
          <w:lang w:eastAsia="en-GB" w:bidi="ar-SA"/>
        </w:rPr>
        <w:instrText xml:space="preserve"> REF _Ref421635129 \r \h </w:instrText>
      </w:r>
      <w:r>
        <w:rPr>
          <w:szCs w:val="22"/>
          <w:lang w:eastAsia="en-GB" w:bidi="ar-SA"/>
        </w:rPr>
      </w:r>
      <w:r>
        <w:rPr>
          <w:szCs w:val="22"/>
          <w:lang w:eastAsia="en-GB" w:bidi="ar-SA"/>
        </w:rPr>
        <w:fldChar w:fldCharType="separate"/>
      </w:r>
      <w:r w:rsidR="001D5AD9">
        <w:rPr>
          <w:szCs w:val="22"/>
          <w:lang w:eastAsia="en-GB" w:bidi="ar-SA"/>
        </w:rPr>
        <w:t>[48]</w:t>
      </w:r>
      <w:r>
        <w:rPr>
          <w:szCs w:val="22"/>
          <w:lang w:eastAsia="en-GB" w:bidi="ar-SA"/>
        </w:rPr>
        <w:fldChar w:fldCharType="end"/>
      </w:r>
      <w:r>
        <w:rPr>
          <w:szCs w:val="22"/>
          <w:lang w:eastAsia="en-GB" w:bidi="ar-SA"/>
        </w:rPr>
        <w:t>.</w:t>
      </w:r>
    </w:p>
    <w:p w14:paraId="59E2492A"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rPr>
      </w:pPr>
      <w:bookmarkStart w:id="8381" w:name="_Toc448998304"/>
      <w:bookmarkStart w:id="8382" w:name="_Toc422150807"/>
      <w:bookmarkStart w:id="8383" w:name="_Toc421874392"/>
      <w:bookmarkStart w:id="8384" w:name="_Ref421868868"/>
      <w:bookmarkStart w:id="8385" w:name="_Toc420594918"/>
      <w:bookmarkStart w:id="8386" w:name="_Toc398214933"/>
      <w:bookmarkStart w:id="8387" w:name="_Toc375158349"/>
      <w:bookmarkStart w:id="8388" w:name="_Toc374348542"/>
      <w:bookmarkStart w:id="8389" w:name="_Toc368932357"/>
      <w:bookmarkStart w:id="8390" w:name="_Toc486332921"/>
      <w:bookmarkStart w:id="8391" w:name="_Toc1977444"/>
      <w:bookmarkStart w:id="8392" w:name="_Toc37062603"/>
      <w:bookmarkStart w:id="8393" w:name="_Toc88839674"/>
      <w:bookmarkStart w:id="8394" w:name="_Toc121504082"/>
      <w:r>
        <w:rPr>
          <w:rFonts w:ascii="Arial Bold" w:hAnsi="Arial Bold"/>
          <w:b/>
          <w:sz w:val="24"/>
          <w:szCs w:val="24"/>
        </w:rPr>
        <w:t>Message: &lt;rps3:RPSMessage&gt;</w:t>
      </w:r>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p>
    <w:p w14:paraId="591DB54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A message in the context of GSMA Embedded UICC Remote Provisioning and Management is composed of a mandatory header and a mandatory body. RPS message types are located in </w:t>
      </w:r>
      <w:r>
        <w:rPr>
          <w:rFonts w:cs="Arial"/>
          <w:b/>
          <w:szCs w:val="22"/>
          <w:lang w:val="en-US" w:eastAsia="en-GB" w:bidi="ar-SA"/>
        </w:rPr>
        <w:t>euicc.root.xsd</w:t>
      </w:r>
      <w:r>
        <w:rPr>
          <w:rFonts w:cs="Arial"/>
          <w:szCs w:val="22"/>
          <w:lang w:val="en-US" w:eastAsia="en-GB" w:bidi="ar-SA"/>
        </w:rPr>
        <w:t xml:space="preserve"> file</w:t>
      </w:r>
    </w:p>
    <w:p w14:paraId="63BF9F7C" w14:textId="77777777" w:rsidR="00B97365" w:rsidRDefault="00B97365">
      <w:pPr>
        <w:spacing w:before="0" w:after="200" w:line="276" w:lineRule="auto"/>
        <w:jc w:val="left"/>
        <w:rPr>
          <w:rFonts w:cs="Arial"/>
          <w:szCs w:val="22"/>
          <w:lang w:val="en-US" w:eastAsia="en-GB" w:bidi="ar-SA"/>
        </w:rPr>
      </w:pPr>
    </w:p>
    <w:tbl>
      <w:tblPr>
        <w:tblStyle w:val="TableGrid"/>
        <w:tblW w:w="9493" w:type="dxa"/>
        <w:tblLook w:val="04A0" w:firstRow="1" w:lastRow="0" w:firstColumn="1" w:lastColumn="0" w:noHBand="0" w:noVBand="1"/>
      </w:tblPr>
      <w:tblGrid>
        <w:gridCol w:w="2338"/>
        <w:gridCol w:w="7155"/>
      </w:tblGrid>
      <w:tr w:rsidR="00B97365" w14:paraId="54399616" w14:textId="77777777">
        <w:trPr>
          <w:trHeight w:val="435"/>
        </w:trPr>
        <w:tc>
          <w:tcPr>
            <w:tcW w:w="2338" w:type="dxa"/>
            <w:shd w:val="clear" w:color="auto" w:fill="C00000"/>
          </w:tcPr>
          <w:p w14:paraId="49563136" w14:textId="77777777" w:rsidR="00B97365" w:rsidRDefault="00000000">
            <w:pPr>
              <w:spacing w:before="0" w:after="200" w:line="276" w:lineRule="auto"/>
              <w:jc w:val="left"/>
              <w:rPr>
                <w:b/>
                <w:szCs w:val="22"/>
                <w:lang w:eastAsia="en-US"/>
              </w:rPr>
            </w:pPr>
            <w:r>
              <w:rPr>
                <w:b/>
                <w:szCs w:val="22"/>
                <w:lang w:eastAsia="en-US"/>
              </w:rPr>
              <w:t>XML Type</w:t>
            </w:r>
          </w:p>
        </w:tc>
        <w:tc>
          <w:tcPr>
            <w:tcW w:w="7155" w:type="dxa"/>
            <w:shd w:val="clear" w:color="auto" w:fill="C00000"/>
          </w:tcPr>
          <w:p w14:paraId="0AAAC44E" w14:textId="77777777" w:rsidR="00B97365" w:rsidRDefault="00000000">
            <w:pPr>
              <w:spacing w:before="0" w:after="200" w:line="276" w:lineRule="auto"/>
              <w:jc w:val="left"/>
              <w:rPr>
                <w:b/>
                <w:szCs w:val="22"/>
                <w:lang w:eastAsia="en-US"/>
              </w:rPr>
            </w:pPr>
            <w:r>
              <w:rPr>
                <w:b/>
                <w:szCs w:val="22"/>
                <w:lang w:eastAsia="en-US"/>
              </w:rPr>
              <w:t>Description</w:t>
            </w:r>
          </w:p>
        </w:tc>
      </w:tr>
      <w:tr w:rsidR="00B97365" w14:paraId="0E7C7E01" w14:textId="77777777">
        <w:trPr>
          <w:trHeight w:val="435"/>
        </w:trPr>
        <w:tc>
          <w:tcPr>
            <w:tcW w:w="2338" w:type="dxa"/>
          </w:tcPr>
          <w:p w14:paraId="403FBB36" w14:textId="77777777" w:rsidR="00B97365" w:rsidRDefault="00000000">
            <w:pPr>
              <w:spacing w:before="0" w:after="200" w:line="276" w:lineRule="auto"/>
              <w:jc w:val="left"/>
              <w:rPr>
                <w:szCs w:val="22"/>
                <w:lang w:eastAsia="en-US"/>
              </w:rPr>
            </w:pPr>
            <w:r>
              <w:rPr>
                <w:szCs w:val="22"/>
                <w:lang w:eastAsia="en-US"/>
              </w:rPr>
              <w:t>rps3:RPSMessage</w:t>
            </w:r>
          </w:p>
        </w:tc>
        <w:tc>
          <w:tcPr>
            <w:tcW w:w="7155" w:type="dxa"/>
          </w:tcPr>
          <w:p w14:paraId="67FDCBB3" w14:textId="77777777" w:rsidR="00B97365" w:rsidRDefault="00000000">
            <w:pPr>
              <w:spacing w:before="0" w:after="200" w:line="276" w:lineRule="auto"/>
              <w:jc w:val="left"/>
              <w:rPr>
                <w:szCs w:val="22"/>
                <w:lang w:eastAsia="en-US"/>
              </w:rPr>
            </w:pPr>
            <w:r>
              <w:rPr>
                <w:szCs w:val="22"/>
                <w:lang w:eastAsia="en-US"/>
              </w:rPr>
              <w:t>Root element of any GSMA Embedded SIM Remote Provisioning and Subscription Management message. Any RPS message is composed of a mandatory header and a mandatory body.</w:t>
            </w:r>
          </w:p>
        </w:tc>
      </w:tr>
      <w:tr w:rsidR="00B97365" w14:paraId="40FE9801" w14:textId="77777777">
        <w:trPr>
          <w:trHeight w:val="435"/>
        </w:trPr>
        <w:tc>
          <w:tcPr>
            <w:tcW w:w="2338" w:type="dxa"/>
          </w:tcPr>
          <w:p w14:paraId="58FA9606" w14:textId="77777777" w:rsidR="00B97365" w:rsidRDefault="00000000">
            <w:pPr>
              <w:spacing w:before="0" w:after="200" w:line="276" w:lineRule="auto"/>
              <w:jc w:val="left"/>
              <w:rPr>
                <w:szCs w:val="22"/>
                <w:lang w:eastAsia="en-US"/>
              </w:rPr>
            </w:pPr>
            <w:r>
              <w:rPr>
                <w:szCs w:val="22"/>
                <w:lang w:eastAsia="en-US"/>
              </w:rPr>
              <w:lastRenderedPageBreak/>
              <w:t>rps3:RPSHeader</w:t>
            </w:r>
          </w:p>
        </w:tc>
        <w:tc>
          <w:tcPr>
            <w:tcW w:w="7155" w:type="dxa"/>
          </w:tcPr>
          <w:p w14:paraId="205A3DB9" w14:textId="77777777" w:rsidR="00B97365" w:rsidRDefault="00000000">
            <w:pPr>
              <w:spacing w:before="0" w:after="200" w:line="276" w:lineRule="auto"/>
              <w:jc w:val="left"/>
              <w:rPr>
                <w:szCs w:val="22"/>
                <w:lang w:eastAsia="en-US"/>
              </w:rPr>
            </w:pPr>
            <w:r>
              <w:rPr>
                <w:szCs w:val="22"/>
                <w:lang w:eastAsia="en-US"/>
              </w:rPr>
              <w:t>Header of the message. Contains mainly information for the transport of the message.</w:t>
            </w:r>
          </w:p>
        </w:tc>
      </w:tr>
      <w:tr w:rsidR="00B97365" w14:paraId="7991964E" w14:textId="77777777">
        <w:trPr>
          <w:trHeight w:val="435"/>
        </w:trPr>
        <w:tc>
          <w:tcPr>
            <w:tcW w:w="2338" w:type="dxa"/>
          </w:tcPr>
          <w:p w14:paraId="021A483E" w14:textId="77777777" w:rsidR="00B97365" w:rsidRDefault="00000000">
            <w:pPr>
              <w:spacing w:before="0" w:after="200" w:line="276" w:lineRule="auto"/>
              <w:jc w:val="left"/>
              <w:rPr>
                <w:szCs w:val="22"/>
                <w:lang w:eastAsia="en-US"/>
              </w:rPr>
            </w:pPr>
            <w:r>
              <w:rPr>
                <w:szCs w:val="22"/>
                <w:lang w:eastAsia="en-US"/>
              </w:rPr>
              <w:t>rps3:RPSBody</w:t>
            </w:r>
          </w:p>
        </w:tc>
        <w:tc>
          <w:tcPr>
            <w:tcW w:w="7155" w:type="dxa"/>
          </w:tcPr>
          <w:p w14:paraId="455218E3" w14:textId="77777777" w:rsidR="00B97365" w:rsidRDefault="00000000">
            <w:pPr>
              <w:spacing w:before="0" w:after="200" w:line="276" w:lineRule="auto"/>
              <w:jc w:val="left"/>
              <w:rPr>
                <w:szCs w:val="22"/>
                <w:lang w:eastAsia="en-US"/>
              </w:rPr>
            </w:pPr>
            <w:r>
              <w:rPr>
                <w:szCs w:val="22"/>
                <w:lang w:val="en-US" w:eastAsia="en-US"/>
              </w:rPr>
              <w:t>Contains the core of the message. In the context of this specification, it SHALL be composed of one single element defined within one of the interfaces ES1, ES2, ES3, ES4 and ES7.</w:t>
            </w:r>
          </w:p>
        </w:tc>
      </w:tr>
    </w:tbl>
    <w:p w14:paraId="61401702"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A2: RPS message types</w:t>
      </w:r>
    </w:p>
    <w:p w14:paraId="72BF9E7C" w14:textId="77777777" w:rsidR="00B97365" w:rsidRDefault="00000000">
      <w:pPr>
        <w:pStyle w:val="NOTE"/>
        <w:rPr>
          <w:lang w:val="en-US"/>
        </w:rPr>
      </w:pPr>
      <w:r>
        <w:rPr>
          <w:lang w:val="en-US"/>
        </w:rPr>
        <w:t>NOTE:</w:t>
      </w:r>
      <w:r>
        <w:rPr>
          <w:lang w:val="en-US"/>
        </w:rPr>
        <w:tab/>
        <w:t>To avoid misleading interpretation of WSA messages, it is recommended to avoid the presence of the characters ’#’ and ’?’ in rps3 messages.</w:t>
      </w:r>
    </w:p>
    <w:p w14:paraId="3C2FF76E"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8395" w:name="_Toc536552349"/>
      <w:bookmarkStart w:id="8396" w:name="_Toc536552350"/>
      <w:bookmarkStart w:id="8397" w:name="_Toc536552351"/>
      <w:bookmarkStart w:id="8398" w:name="_Toc536552352"/>
      <w:bookmarkStart w:id="8399" w:name="_Toc536552353"/>
      <w:bookmarkStart w:id="8400" w:name="_Toc536552354"/>
      <w:bookmarkStart w:id="8401" w:name="_Toc448998305"/>
      <w:bookmarkStart w:id="8402" w:name="_Toc422150808"/>
      <w:bookmarkStart w:id="8403" w:name="_Toc421874393"/>
      <w:bookmarkStart w:id="8404" w:name="_Toc420594920"/>
      <w:bookmarkStart w:id="8405" w:name="_Toc398214934"/>
      <w:bookmarkStart w:id="8406" w:name="_Toc375158350"/>
      <w:bookmarkStart w:id="8407" w:name="_Toc374348543"/>
      <w:bookmarkStart w:id="8408" w:name="_Toc368932358"/>
      <w:bookmarkStart w:id="8409" w:name="_Toc486332922"/>
      <w:bookmarkStart w:id="8410" w:name="_Toc1977445"/>
      <w:bookmarkStart w:id="8411" w:name="_Toc37062604"/>
      <w:bookmarkStart w:id="8412" w:name="_Toc88839675"/>
      <w:bookmarkStart w:id="8413" w:name="_Toc121504083"/>
      <w:bookmarkEnd w:id="8395"/>
      <w:bookmarkEnd w:id="8396"/>
      <w:bookmarkEnd w:id="8397"/>
      <w:bookmarkEnd w:id="8398"/>
      <w:bookmarkEnd w:id="8399"/>
      <w:bookmarkEnd w:id="8400"/>
      <w:r>
        <w:rPr>
          <w:rFonts w:ascii="Arial Bold" w:hAnsi="Arial Bold"/>
          <w:sz w:val="24"/>
          <w:szCs w:val="24"/>
          <w:lang w:eastAsia="en-US"/>
        </w:rPr>
        <w:t>Void</w:t>
      </w:r>
      <w:bookmarkEnd w:id="8401"/>
      <w:bookmarkEnd w:id="8402"/>
      <w:bookmarkEnd w:id="8403"/>
      <w:bookmarkEnd w:id="8404"/>
      <w:bookmarkEnd w:id="8405"/>
      <w:bookmarkEnd w:id="8406"/>
      <w:bookmarkEnd w:id="8407"/>
      <w:bookmarkEnd w:id="8408"/>
      <w:bookmarkEnd w:id="8409"/>
      <w:bookmarkEnd w:id="8410"/>
      <w:bookmarkEnd w:id="8411"/>
      <w:bookmarkEnd w:id="8412"/>
      <w:bookmarkEnd w:id="8413"/>
      <w:r>
        <w:rPr>
          <w:rFonts w:ascii="Arial Bold" w:hAnsi="Arial Bold"/>
          <w:sz w:val="24"/>
          <w:szCs w:val="24"/>
          <w:lang w:eastAsia="en-US"/>
        </w:rPr>
        <w:t xml:space="preserve"> </w:t>
      </w:r>
    </w:p>
    <w:p w14:paraId="1733FE85" w14:textId="77777777" w:rsidR="00B97365" w:rsidRDefault="00B97365">
      <w:pPr>
        <w:spacing w:before="40" w:after="40" w:line="276" w:lineRule="auto"/>
        <w:jc w:val="left"/>
        <w:rPr>
          <w:rFonts w:cs="Arial"/>
          <w:sz w:val="20"/>
          <w:szCs w:val="22"/>
          <w:lang w:eastAsia="de-DE" w:bidi="ar-SA"/>
        </w:rPr>
      </w:pPr>
    </w:p>
    <w:p w14:paraId="40B7F9B3" w14:textId="77777777" w:rsidR="00B97365" w:rsidRDefault="00B97365">
      <w:pPr>
        <w:rPr>
          <w:rFonts w:cs="Calibri"/>
        </w:rPr>
      </w:pPr>
    </w:p>
    <w:p w14:paraId="6CF32982"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val="en-US" w:eastAsia="en-GB" w:bidi="ar-SA"/>
        </w:rPr>
      </w:pPr>
      <w:bookmarkStart w:id="8414" w:name="_Toc448998306"/>
      <w:bookmarkStart w:id="8415" w:name="_Toc422150809"/>
      <w:bookmarkStart w:id="8416" w:name="_Toc421874394"/>
      <w:bookmarkStart w:id="8417" w:name="_Toc420594922"/>
      <w:bookmarkStart w:id="8418" w:name="_Toc398214935"/>
      <w:bookmarkStart w:id="8419" w:name="_Toc375158351"/>
      <w:bookmarkStart w:id="8420" w:name="_Toc374348544"/>
      <w:bookmarkStart w:id="8421" w:name="_Toc368932359"/>
      <w:bookmarkStart w:id="8422" w:name="_Toc486332923"/>
      <w:bookmarkStart w:id="8423" w:name="_Toc1977446"/>
      <w:bookmarkStart w:id="8424" w:name="_Toc37062605"/>
      <w:bookmarkStart w:id="8425" w:name="_Toc88839676"/>
      <w:bookmarkStart w:id="8426" w:name="_Toc121504084"/>
      <w:r>
        <w:rPr>
          <w:rFonts w:ascii="Arial Bold" w:hAnsi="Arial Bold"/>
          <w:sz w:val="24"/>
          <w:szCs w:val="24"/>
          <w:lang w:eastAsia="en-US"/>
        </w:rPr>
        <w:t>Void</w:t>
      </w:r>
      <w:bookmarkStart w:id="8427" w:name="_Toc463381"/>
      <w:bookmarkStart w:id="8428" w:name="_Toc463382"/>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p>
    <w:p w14:paraId="478C4621" w14:textId="77777777" w:rsidR="00B97365" w:rsidRDefault="00B97365">
      <w:pPr>
        <w:rPr>
          <w:rFonts w:cs="Calibri"/>
        </w:rPr>
      </w:pPr>
    </w:p>
    <w:p w14:paraId="6B6B3B06"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lang w:val="en-US"/>
        </w:rPr>
      </w:pPr>
      <w:bookmarkStart w:id="8429" w:name="_Toc448998307"/>
      <w:bookmarkStart w:id="8430" w:name="_Toc422150810"/>
      <w:bookmarkStart w:id="8431" w:name="_Toc421874395"/>
      <w:bookmarkStart w:id="8432" w:name="_Toc420594923"/>
      <w:bookmarkStart w:id="8433" w:name="_Toc398214936"/>
      <w:bookmarkStart w:id="8434" w:name="_Toc375158352"/>
      <w:bookmarkStart w:id="8435" w:name="_Toc374348545"/>
      <w:bookmarkStart w:id="8436" w:name="_Toc368932360"/>
      <w:bookmarkStart w:id="8437" w:name="_Toc486332924"/>
      <w:bookmarkStart w:id="8438" w:name="_Toc1977447"/>
      <w:bookmarkStart w:id="8439" w:name="_Toc37062606"/>
      <w:bookmarkStart w:id="8440" w:name="_Toc88839677"/>
      <w:bookmarkStart w:id="8441" w:name="_Toc121504085"/>
      <w:r>
        <w:rPr>
          <w:rFonts w:ascii="Arial Bold" w:hAnsi="Arial Bold"/>
          <w:b/>
          <w:sz w:val="24"/>
          <w:szCs w:val="24"/>
          <w:lang w:val="en-US"/>
        </w:rPr>
        <w:t>Common Types</w:t>
      </w:r>
      <w:bookmarkEnd w:id="8429"/>
      <w:bookmarkEnd w:id="8430"/>
      <w:bookmarkEnd w:id="8431"/>
      <w:bookmarkEnd w:id="8432"/>
      <w:bookmarkEnd w:id="8433"/>
      <w:bookmarkEnd w:id="8434"/>
      <w:bookmarkEnd w:id="8435"/>
      <w:bookmarkEnd w:id="8436"/>
      <w:bookmarkEnd w:id="8437"/>
      <w:bookmarkEnd w:id="8438"/>
      <w:bookmarkEnd w:id="8439"/>
      <w:bookmarkEnd w:id="8440"/>
      <w:bookmarkEnd w:id="8441"/>
    </w:p>
    <w:p w14:paraId="0BC4499F" w14:textId="77777777" w:rsidR="00B97365" w:rsidRDefault="00000000">
      <w:pPr>
        <w:keepNext/>
        <w:keepLines/>
        <w:numPr>
          <w:ilvl w:val="2"/>
          <w:numId w:val="36"/>
        </w:numPr>
        <w:spacing w:before="240" w:after="60" w:line="276" w:lineRule="auto"/>
        <w:jc w:val="left"/>
        <w:outlineLvl w:val="2"/>
        <w:rPr>
          <w:rFonts w:ascii="Arial Bold" w:eastAsia="Times New Roman" w:hAnsi="Arial Bold"/>
          <w:sz w:val="24"/>
          <w:szCs w:val="24"/>
          <w:lang w:eastAsia="en-US"/>
        </w:rPr>
      </w:pPr>
      <w:bookmarkStart w:id="8442" w:name="_Toc448998308"/>
      <w:bookmarkStart w:id="8443" w:name="_Toc422150811"/>
      <w:bookmarkStart w:id="8444" w:name="_Toc421874396"/>
      <w:bookmarkStart w:id="8445" w:name="_Toc420594924"/>
      <w:bookmarkStart w:id="8446" w:name="_Toc398214937"/>
      <w:bookmarkStart w:id="8447" w:name="_Toc375158353"/>
      <w:bookmarkStart w:id="8448" w:name="_Toc374348546"/>
      <w:bookmarkStart w:id="8449" w:name="_Toc368932361"/>
      <w:bookmarkStart w:id="8450" w:name="_Toc486332925"/>
      <w:bookmarkStart w:id="8451" w:name="_Toc1977448"/>
      <w:bookmarkStart w:id="8452" w:name="_Toc37062607"/>
      <w:bookmarkStart w:id="8453" w:name="_Toc88839678"/>
      <w:bookmarkStart w:id="8454" w:name="_Toc121504086"/>
      <w:r>
        <w:rPr>
          <w:rFonts w:ascii="Arial Bold" w:hAnsi="Arial Bold"/>
          <w:sz w:val="24"/>
          <w:szCs w:val="24"/>
          <w:lang w:val="en-US" w:eastAsia="en-US"/>
        </w:rPr>
        <w:t>Common Message Types</w:t>
      </w:r>
      <w:bookmarkEnd w:id="8442"/>
      <w:bookmarkEnd w:id="8443"/>
      <w:bookmarkEnd w:id="8444"/>
      <w:bookmarkEnd w:id="8445"/>
      <w:bookmarkEnd w:id="8446"/>
      <w:bookmarkEnd w:id="8447"/>
      <w:bookmarkEnd w:id="8448"/>
      <w:bookmarkEnd w:id="8449"/>
      <w:bookmarkEnd w:id="8450"/>
      <w:bookmarkEnd w:id="8451"/>
      <w:bookmarkEnd w:id="8452"/>
      <w:bookmarkEnd w:id="8453"/>
      <w:bookmarkEnd w:id="8454"/>
    </w:p>
    <w:p w14:paraId="044916BB" w14:textId="77777777" w:rsidR="00B97365" w:rsidRDefault="00000000">
      <w:pPr>
        <w:spacing w:before="0" w:after="200" w:line="276" w:lineRule="auto"/>
        <w:jc w:val="left"/>
        <w:rPr>
          <w:szCs w:val="22"/>
          <w:lang w:eastAsia="en-US" w:bidi="ar-SA"/>
        </w:rPr>
      </w:pPr>
      <w:r>
        <w:rPr>
          <w:szCs w:val="22"/>
          <w:lang w:val="en-US" w:eastAsia="en-GB" w:bidi="ar-SA"/>
        </w:rPr>
        <w:t xml:space="preserve">Common request types are located in </w:t>
      </w:r>
      <w:r>
        <w:rPr>
          <w:b/>
          <w:szCs w:val="22"/>
          <w:lang w:val="en-US" w:eastAsia="en-GB" w:bidi="ar-SA"/>
        </w:rPr>
        <w:t>euicc.common.request.xsd</w:t>
      </w:r>
      <w:r>
        <w:rPr>
          <w:szCs w:val="22"/>
          <w:lang w:val="en-US" w:eastAsia="en-GB" w:bidi="ar-SA"/>
        </w:rPr>
        <w:t xml:space="preserve"> file. </w:t>
      </w:r>
    </w:p>
    <w:tbl>
      <w:tblPr>
        <w:tblStyle w:val="TableGrid"/>
        <w:tblW w:w="9493" w:type="dxa"/>
        <w:tblLook w:val="04A0" w:firstRow="1" w:lastRow="0" w:firstColumn="1" w:lastColumn="0" w:noHBand="0" w:noVBand="1"/>
      </w:tblPr>
      <w:tblGrid>
        <w:gridCol w:w="2784"/>
        <w:gridCol w:w="6709"/>
      </w:tblGrid>
      <w:tr w:rsidR="00B97365" w14:paraId="3D2CFD2F" w14:textId="77777777">
        <w:trPr>
          <w:trHeight w:val="435"/>
        </w:trPr>
        <w:tc>
          <w:tcPr>
            <w:tcW w:w="2263" w:type="dxa"/>
            <w:shd w:val="clear" w:color="auto" w:fill="C00000"/>
          </w:tcPr>
          <w:p w14:paraId="02F9BFBB" w14:textId="77777777" w:rsidR="00B97365" w:rsidRDefault="00000000">
            <w:pPr>
              <w:spacing w:before="0" w:after="200" w:line="276" w:lineRule="auto"/>
              <w:jc w:val="left"/>
              <w:rPr>
                <w:b/>
                <w:szCs w:val="22"/>
                <w:lang w:eastAsia="en-US"/>
              </w:rPr>
            </w:pPr>
            <w:r>
              <w:rPr>
                <w:b/>
                <w:szCs w:val="22"/>
                <w:lang w:eastAsia="en-US"/>
              </w:rPr>
              <w:t>XML Type</w:t>
            </w:r>
          </w:p>
        </w:tc>
        <w:tc>
          <w:tcPr>
            <w:tcW w:w="7230" w:type="dxa"/>
            <w:shd w:val="clear" w:color="auto" w:fill="C00000"/>
          </w:tcPr>
          <w:p w14:paraId="423D1A76" w14:textId="77777777" w:rsidR="00B97365" w:rsidRDefault="00000000">
            <w:pPr>
              <w:spacing w:before="0" w:after="200" w:line="276" w:lineRule="auto"/>
              <w:jc w:val="left"/>
              <w:rPr>
                <w:b/>
                <w:szCs w:val="22"/>
                <w:lang w:eastAsia="en-US"/>
              </w:rPr>
            </w:pPr>
            <w:r>
              <w:rPr>
                <w:b/>
                <w:szCs w:val="22"/>
                <w:lang w:eastAsia="en-US"/>
              </w:rPr>
              <w:t>Description</w:t>
            </w:r>
          </w:p>
        </w:tc>
      </w:tr>
      <w:tr w:rsidR="00B97365" w14:paraId="7661DC42" w14:textId="77777777">
        <w:trPr>
          <w:trHeight w:val="435"/>
        </w:trPr>
        <w:tc>
          <w:tcPr>
            <w:tcW w:w="2263" w:type="dxa"/>
          </w:tcPr>
          <w:p w14:paraId="01F9B62A" w14:textId="77777777" w:rsidR="00B97365" w:rsidRDefault="00000000">
            <w:pPr>
              <w:spacing w:before="0" w:after="200" w:line="276" w:lineRule="auto"/>
              <w:jc w:val="left"/>
              <w:rPr>
                <w:szCs w:val="22"/>
                <w:lang w:eastAsia="en-US"/>
              </w:rPr>
            </w:pPr>
            <w:r>
              <w:rPr>
                <w:szCs w:val="22"/>
                <w:lang w:eastAsia="en-US"/>
              </w:rPr>
              <w:t>rps3:BaseRequestType</w:t>
            </w:r>
          </w:p>
        </w:tc>
        <w:tc>
          <w:tcPr>
            <w:tcW w:w="7230" w:type="dxa"/>
          </w:tcPr>
          <w:p w14:paraId="63CE24AD" w14:textId="77777777" w:rsidR="00B97365" w:rsidRDefault="00000000">
            <w:pPr>
              <w:spacing w:before="0" w:after="200" w:line="276" w:lineRule="auto"/>
              <w:jc w:val="left"/>
              <w:rPr>
                <w:szCs w:val="22"/>
                <w:lang w:eastAsia="en-US"/>
              </w:rPr>
            </w:pPr>
            <w:r>
              <w:rPr>
                <w:szCs w:val="22"/>
                <w:lang w:eastAsia="en-US"/>
              </w:rPr>
              <w:t>The base type for a Request types. All requests extend this type.</w:t>
            </w:r>
          </w:p>
        </w:tc>
      </w:tr>
      <w:tr w:rsidR="00B97365" w14:paraId="1BB95179" w14:textId="77777777">
        <w:trPr>
          <w:trHeight w:val="435"/>
        </w:trPr>
        <w:tc>
          <w:tcPr>
            <w:tcW w:w="2263" w:type="dxa"/>
          </w:tcPr>
          <w:p w14:paraId="234BD7E6" w14:textId="77777777" w:rsidR="00B97365" w:rsidRDefault="00000000">
            <w:pPr>
              <w:spacing w:before="0" w:after="200" w:line="276" w:lineRule="auto"/>
              <w:jc w:val="left"/>
              <w:rPr>
                <w:szCs w:val="22"/>
                <w:lang w:eastAsia="en-US"/>
              </w:rPr>
            </w:pPr>
            <w:r>
              <w:rPr>
                <w:szCs w:val="22"/>
                <w:lang w:eastAsia="en-US"/>
              </w:rPr>
              <w:t>rps3:BaseResponseType</w:t>
            </w:r>
          </w:p>
        </w:tc>
        <w:tc>
          <w:tcPr>
            <w:tcW w:w="7230" w:type="dxa"/>
          </w:tcPr>
          <w:p w14:paraId="2FA65937" w14:textId="77777777" w:rsidR="00B97365" w:rsidRDefault="00000000">
            <w:pPr>
              <w:spacing w:before="0" w:after="200" w:line="276" w:lineRule="auto"/>
              <w:jc w:val="left"/>
              <w:rPr>
                <w:szCs w:val="22"/>
                <w:lang w:eastAsia="en-US"/>
              </w:rPr>
            </w:pPr>
            <w:r>
              <w:rPr>
                <w:szCs w:val="22"/>
                <w:lang w:eastAsia="en-US"/>
              </w:rPr>
              <w:t>The base type for a Response types. All responses extend this type.</w:t>
            </w:r>
          </w:p>
        </w:tc>
      </w:tr>
      <w:tr w:rsidR="00B97365" w14:paraId="131811B2" w14:textId="77777777">
        <w:trPr>
          <w:trHeight w:val="435"/>
        </w:trPr>
        <w:tc>
          <w:tcPr>
            <w:tcW w:w="2263" w:type="dxa"/>
          </w:tcPr>
          <w:p w14:paraId="2F77552B" w14:textId="77777777" w:rsidR="00B97365" w:rsidRDefault="00000000">
            <w:pPr>
              <w:spacing w:before="0" w:after="200" w:line="276" w:lineRule="auto"/>
              <w:jc w:val="left"/>
              <w:rPr>
                <w:szCs w:val="22"/>
                <w:lang w:eastAsia="en-US"/>
              </w:rPr>
            </w:pPr>
            <w:r>
              <w:rPr>
                <w:szCs w:val="22"/>
                <w:lang w:eastAsia="en-US"/>
              </w:rPr>
              <w:t>rps3:BaseNotificationType</w:t>
            </w:r>
          </w:p>
        </w:tc>
        <w:tc>
          <w:tcPr>
            <w:tcW w:w="7230" w:type="dxa"/>
          </w:tcPr>
          <w:p w14:paraId="100B0DAB" w14:textId="77777777" w:rsidR="00B97365" w:rsidRDefault="00000000">
            <w:pPr>
              <w:spacing w:before="0" w:after="200" w:line="276" w:lineRule="auto"/>
              <w:jc w:val="left"/>
              <w:rPr>
                <w:szCs w:val="22"/>
                <w:lang w:eastAsia="en-US"/>
              </w:rPr>
            </w:pPr>
            <w:r>
              <w:rPr>
                <w:szCs w:val="22"/>
                <w:lang w:eastAsia="en-US"/>
              </w:rPr>
              <w:t>The base type for a Notification types. All notifications extend this type.</w:t>
            </w:r>
          </w:p>
        </w:tc>
      </w:tr>
    </w:tbl>
    <w:p w14:paraId="1D6B9276"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A31: Common Message Types</w:t>
      </w:r>
    </w:p>
    <w:p w14:paraId="42DE8691" w14:textId="77777777" w:rsidR="00B97365" w:rsidRDefault="00B97365">
      <w:pPr>
        <w:spacing w:before="40" w:after="40" w:line="276" w:lineRule="auto"/>
        <w:jc w:val="left"/>
        <w:rPr>
          <w:rFonts w:cs="Arial"/>
          <w:sz w:val="20"/>
          <w:szCs w:val="22"/>
          <w:lang w:eastAsia="de-DE" w:bidi="ar-SA"/>
        </w:rPr>
      </w:pPr>
    </w:p>
    <w:p w14:paraId="6DDD5060" w14:textId="77777777" w:rsidR="00B97365" w:rsidRDefault="00B97365">
      <w:pPr>
        <w:rPr>
          <w:rFonts w:cs="Calibri"/>
        </w:rPr>
      </w:pPr>
    </w:p>
    <w:p w14:paraId="5E615BB3"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8455" w:name="_Toc448998309"/>
      <w:bookmarkStart w:id="8456" w:name="_Toc422150812"/>
      <w:bookmarkStart w:id="8457" w:name="_Toc421874397"/>
      <w:bookmarkStart w:id="8458" w:name="_Toc420594925"/>
      <w:bookmarkStart w:id="8459" w:name="_Toc486332926"/>
      <w:bookmarkStart w:id="8460" w:name="_Toc1977449"/>
      <w:bookmarkStart w:id="8461" w:name="_Toc37062608"/>
      <w:bookmarkStart w:id="8462" w:name="_Toc88839679"/>
      <w:bookmarkStart w:id="8463" w:name="_Toc121504087"/>
      <w:r>
        <w:rPr>
          <w:rFonts w:ascii="Arial Bold" w:hAnsi="Arial Bold"/>
          <w:sz w:val="24"/>
          <w:szCs w:val="24"/>
          <w:lang w:eastAsia="en-US"/>
        </w:rPr>
        <w:t>Void</w:t>
      </w:r>
      <w:bookmarkEnd w:id="8455"/>
      <w:bookmarkEnd w:id="8456"/>
      <w:bookmarkEnd w:id="8457"/>
      <w:bookmarkEnd w:id="8458"/>
      <w:bookmarkEnd w:id="8459"/>
      <w:bookmarkEnd w:id="8460"/>
      <w:bookmarkEnd w:id="8461"/>
      <w:bookmarkEnd w:id="8462"/>
      <w:bookmarkEnd w:id="8463"/>
    </w:p>
    <w:p w14:paraId="5807C05C" w14:textId="77777777" w:rsidR="00B97365" w:rsidRDefault="00B97365">
      <w:pPr>
        <w:rPr>
          <w:rFonts w:cs="Calibri"/>
        </w:rPr>
      </w:pPr>
    </w:p>
    <w:p w14:paraId="3C6B7D90"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8464" w:name="_Toc1977450"/>
      <w:bookmarkStart w:id="8465" w:name="_Toc37062609"/>
      <w:bookmarkStart w:id="8466" w:name="_Toc88839680"/>
      <w:bookmarkStart w:id="8467" w:name="_Toc121504088"/>
      <w:r>
        <w:rPr>
          <w:rFonts w:ascii="Arial Bold" w:hAnsi="Arial Bold"/>
          <w:sz w:val="24"/>
          <w:szCs w:val="24"/>
          <w:lang w:eastAsia="en-US"/>
        </w:rPr>
        <w:t>Void</w:t>
      </w:r>
      <w:bookmarkEnd w:id="8464"/>
      <w:bookmarkEnd w:id="8465"/>
      <w:bookmarkEnd w:id="8466"/>
      <w:bookmarkEnd w:id="8467"/>
    </w:p>
    <w:p w14:paraId="02BCC59F" w14:textId="77777777" w:rsidR="00B97365" w:rsidRDefault="00B97365">
      <w:pPr>
        <w:spacing w:before="40" w:after="40" w:line="276" w:lineRule="auto"/>
        <w:jc w:val="left"/>
        <w:rPr>
          <w:rFonts w:cs="Arial"/>
          <w:sz w:val="20"/>
          <w:szCs w:val="22"/>
          <w:lang w:eastAsia="de-DE" w:bidi="ar-SA"/>
        </w:rPr>
      </w:pPr>
    </w:p>
    <w:p w14:paraId="1EF6231B" w14:textId="77777777" w:rsidR="00B97365" w:rsidRDefault="00B97365">
      <w:pPr>
        <w:tabs>
          <w:tab w:val="left" w:pos="1009"/>
        </w:tabs>
        <w:spacing w:after="200" w:line="276" w:lineRule="auto"/>
        <w:rPr>
          <w:rFonts w:cs="Calibri"/>
          <w:b/>
          <w:lang w:eastAsia="de-DE" w:bidi="ar-SA"/>
        </w:rPr>
      </w:pPr>
    </w:p>
    <w:p w14:paraId="63AD7B15"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8468" w:name="_Toc448998311"/>
      <w:bookmarkStart w:id="8469" w:name="_Toc422150814"/>
      <w:bookmarkStart w:id="8470" w:name="_Toc421874399"/>
      <w:bookmarkStart w:id="8471" w:name="_Toc420594927"/>
      <w:bookmarkStart w:id="8472" w:name="_Toc398214940"/>
      <w:bookmarkStart w:id="8473" w:name="_Toc375158356"/>
      <w:bookmarkStart w:id="8474" w:name="_Toc374348549"/>
      <w:bookmarkStart w:id="8475" w:name="_Toc368932364"/>
      <w:bookmarkStart w:id="8476" w:name="_Toc486332928"/>
      <w:bookmarkStart w:id="8477" w:name="_Toc1977451"/>
      <w:bookmarkStart w:id="8478" w:name="_Toc37062610"/>
      <w:bookmarkStart w:id="8479" w:name="_Toc88839681"/>
      <w:bookmarkStart w:id="8480" w:name="_Toc121504089"/>
      <w:r>
        <w:rPr>
          <w:rFonts w:ascii="Arial Bold" w:hAnsi="Arial Bold"/>
          <w:sz w:val="24"/>
          <w:szCs w:val="24"/>
          <w:lang w:eastAsia="en-US"/>
        </w:rPr>
        <w:lastRenderedPageBreak/>
        <w:t>Simple Types Mapping</w:t>
      </w:r>
      <w:bookmarkEnd w:id="8468"/>
      <w:bookmarkEnd w:id="8469"/>
      <w:bookmarkEnd w:id="8470"/>
      <w:bookmarkEnd w:id="8471"/>
      <w:bookmarkEnd w:id="8472"/>
      <w:bookmarkEnd w:id="8473"/>
      <w:bookmarkEnd w:id="8474"/>
      <w:bookmarkEnd w:id="8475"/>
      <w:bookmarkEnd w:id="8476"/>
      <w:bookmarkEnd w:id="8477"/>
      <w:bookmarkEnd w:id="8478"/>
      <w:bookmarkEnd w:id="8479"/>
      <w:bookmarkEnd w:id="8480"/>
    </w:p>
    <w:p w14:paraId="1157AEEC" w14:textId="77777777" w:rsidR="00B97365" w:rsidRDefault="00000000">
      <w:pPr>
        <w:spacing w:before="0" w:after="200" w:line="276" w:lineRule="auto"/>
        <w:jc w:val="left"/>
        <w:rPr>
          <w:szCs w:val="22"/>
          <w:lang w:eastAsia="en-US" w:bidi="ar-SA"/>
        </w:rPr>
      </w:pPr>
      <w:r>
        <w:rPr>
          <w:szCs w:val="22"/>
          <w:lang w:eastAsia="en-US"/>
        </w:rPr>
        <w:t xml:space="preserve">Common simple types are located in </w:t>
      </w:r>
      <w:r>
        <w:rPr>
          <w:b/>
          <w:szCs w:val="22"/>
          <w:lang w:eastAsia="en-US"/>
        </w:rPr>
        <w:t>euicc.common.types.xsd</w:t>
      </w:r>
      <w:r>
        <w:rPr>
          <w:szCs w:val="22"/>
          <w:lang w:eastAsia="en-US"/>
        </w:rPr>
        <w:t xml:space="preserve"> file.</w:t>
      </w:r>
    </w:p>
    <w:tbl>
      <w:tblPr>
        <w:tblStyle w:val="TableGrid"/>
        <w:tblW w:w="9453" w:type="dxa"/>
        <w:tblLook w:val="04A0" w:firstRow="1" w:lastRow="0" w:firstColumn="1" w:lastColumn="0" w:noHBand="0" w:noVBand="1"/>
      </w:tblPr>
      <w:tblGrid>
        <w:gridCol w:w="1427"/>
        <w:gridCol w:w="3090"/>
        <w:gridCol w:w="4936"/>
      </w:tblGrid>
      <w:tr w:rsidR="00B97365" w14:paraId="02E3F2C1" w14:textId="77777777">
        <w:trPr>
          <w:trHeight w:val="435"/>
        </w:trPr>
        <w:tc>
          <w:tcPr>
            <w:tcW w:w="1427" w:type="dxa"/>
            <w:shd w:val="clear" w:color="auto" w:fill="C00000"/>
          </w:tcPr>
          <w:p w14:paraId="6BDE427D" w14:textId="77777777" w:rsidR="00B97365" w:rsidRDefault="00000000">
            <w:pPr>
              <w:spacing w:before="0" w:after="200" w:line="276" w:lineRule="auto"/>
              <w:jc w:val="left"/>
              <w:rPr>
                <w:b/>
                <w:szCs w:val="22"/>
                <w:lang w:eastAsia="en-US"/>
              </w:rPr>
            </w:pPr>
            <w:r>
              <w:rPr>
                <w:b/>
                <w:szCs w:val="22"/>
                <w:lang w:eastAsia="en-US"/>
              </w:rPr>
              <w:t>Type</w:t>
            </w:r>
          </w:p>
        </w:tc>
        <w:tc>
          <w:tcPr>
            <w:tcW w:w="3090" w:type="dxa"/>
            <w:shd w:val="clear" w:color="auto" w:fill="C00000"/>
          </w:tcPr>
          <w:p w14:paraId="48A99C70" w14:textId="77777777" w:rsidR="00B97365" w:rsidRDefault="00000000">
            <w:pPr>
              <w:spacing w:before="0" w:after="200" w:line="276" w:lineRule="auto"/>
              <w:jc w:val="left"/>
              <w:rPr>
                <w:b/>
                <w:szCs w:val="22"/>
                <w:lang w:eastAsia="en-US"/>
              </w:rPr>
            </w:pPr>
            <w:r>
              <w:rPr>
                <w:b/>
                <w:szCs w:val="22"/>
                <w:lang w:eastAsia="en-US"/>
              </w:rPr>
              <w:t>XML Type</w:t>
            </w:r>
          </w:p>
        </w:tc>
        <w:tc>
          <w:tcPr>
            <w:tcW w:w="4936" w:type="dxa"/>
            <w:shd w:val="clear" w:color="auto" w:fill="C00000"/>
          </w:tcPr>
          <w:p w14:paraId="2DE3453D" w14:textId="77777777" w:rsidR="00B97365" w:rsidRDefault="00000000">
            <w:pPr>
              <w:spacing w:before="0" w:after="200" w:line="276" w:lineRule="auto"/>
              <w:jc w:val="left"/>
              <w:rPr>
                <w:b/>
                <w:szCs w:val="22"/>
                <w:lang w:eastAsia="en-US"/>
              </w:rPr>
            </w:pPr>
            <w:r>
              <w:rPr>
                <w:b/>
                <w:szCs w:val="22"/>
                <w:lang w:eastAsia="en-US"/>
              </w:rPr>
              <w:t>Description</w:t>
            </w:r>
          </w:p>
        </w:tc>
      </w:tr>
      <w:tr w:rsidR="00B97365" w14:paraId="5F25BBC1" w14:textId="77777777">
        <w:trPr>
          <w:trHeight w:val="435"/>
        </w:trPr>
        <w:tc>
          <w:tcPr>
            <w:tcW w:w="1427" w:type="dxa"/>
          </w:tcPr>
          <w:p w14:paraId="7DE4956D" w14:textId="77777777" w:rsidR="00B97365" w:rsidRDefault="00000000">
            <w:pPr>
              <w:spacing w:before="0" w:after="200" w:line="276" w:lineRule="auto"/>
              <w:jc w:val="left"/>
              <w:rPr>
                <w:szCs w:val="22"/>
                <w:lang w:eastAsia="en-US"/>
              </w:rPr>
            </w:pPr>
            <w:r>
              <w:rPr>
                <w:szCs w:val="22"/>
                <w:lang w:eastAsia="en-US"/>
              </w:rPr>
              <w:t>AID</w:t>
            </w:r>
          </w:p>
        </w:tc>
        <w:tc>
          <w:tcPr>
            <w:tcW w:w="3090" w:type="dxa"/>
          </w:tcPr>
          <w:p w14:paraId="45456319" w14:textId="77777777" w:rsidR="00B97365" w:rsidRDefault="00000000">
            <w:pPr>
              <w:spacing w:before="0" w:after="200" w:line="276" w:lineRule="auto"/>
              <w:jc w:val="left"/>
              <w:rPr>
                <w:szCs w:val="22"/>
                <w:lang w:eastAsia="en-US"/>
              </w:rPr>
            </w:pPr>
            <w:r>
              <w:rPr>
                <w:szCs w:val="22"/>
                <w:lang w:eastAsia="en-US"/>
              </w:rPr>
              <w:t>rps3:AIDType</w:t>
            </w:r>
          </w:p>
        </w:tc>
        <w:tc>
          <w:tcPr>
            <w:tcW w:w="4936" w:type="dxa"/>
          </w:tcPr>
          <w:p w14:paraId="11F7813D" w14:textId="3AE2490C" w:rsidR="00B97365" w:rsidRDefault="00000000">
            <w:pPr>
              <w:spacing w:before="0" w:after="200" w:line="276" w:lineRule="auto"/>
              <w:jc w:val="left"/>
              <w:rPr>
                <w:szCs w:val="22"/>
                <w:lang w:eastAsia="en-US"/>
              </w:rPr>
            </w:pPr>
            <w:r>
              <w:rPr>
                <w:rFonts w:cs="Arial"/>
                <w:szCs w:val="22"/>
                <w:lang w:val="en-US" w:eastAsia="en-GB" w:bidi="ar-SA"/>
              </w:rPr>
              <w:t xml:space="preserve">The AID (Application IDentifier) type defined in section </w:t>
            </w:r>
            <w:r>
              <w:rPr>
                <w:szCs w:val="22"/>
                <w:lang w:eastAsia="en-GB" w:bidi="ar-SA"/>
              </w:rPr>
              <w:fldChar w:fldCharType="begin"/>
            </w:r>
            <w:r>
              <w:rPr>
                <w:szCs w:val="22"/>
                <w:lang w:eastAsia="en-GB" w:bidi="ar-SA"/>
              </w:rPr>
              <w:instrText xml:space="preserve"> REF _Ref367976455 \r \h  \* MERGEFORMAT </w:instrText>
            </w:r>
            <w:r>
              <w:rPr>
                <w:szCs w:val="22"/>
                <w:lang w:eastAsia="en-GB" w:bidi="ar-SA"/>
              </w:rPr>
            </w:r>
            <w:r>
              <w:rPr>
                <w:szCs w:val="22"/>
                <w:lang w:eastAsia="en-GB" w:bidi="ar-SA"/>
              </w:rPr>
              <w:fldChar w:fldCharType="separate"/>
            </w:r>
            <w:r w:rsidR="001D5AD9" w:rsidRPr="001D5AD9">
              <w:rPr>
                <w:szCs w:val="22"/>
                <w:lang w:val="en-US" w:eastAsia="en-GB" w:bidi="ar-SA"/>
              </w:rPr>
              <w:t>5.1.1.1</w:t>
            </w:r>
            <w:r>
              <w:rPr>
                <w:szCs w:val="22"/>
                <w:lang w:eastAsia="en-GB" w:bidi="ar-SA"/>
              </w:rPr>
              <w:fldChar w:fldCharType="end"/>
            </w:r>
            <w:r>
              <w:rPr>
                <w:szCs w:val="22"/>
                <w:lang w:val="en-US" w:eastAsia="en-GB" w:bidi="ar-SA"/>
              </w:rPr>
              <w:t xml:space="preserve"> SHALL be mapped to the &lt;rps3:AIDType&gt;. The type is defined as a hexadecimal string representation of 5 to 16 bytes.</w:t>
            </w:r>
          </w:p>
        </w:tc>
      </w:tr>
      <w:tr w:rsidR="00B97365" w14:paraId="1D5A48D4" w14:textId="77777777">
        <w:trPr>
          <w:trHeight w:val="435"/>
        </w:trPr>
        <w:tc>
          <w:tcPr>
            <w:tcW w:w="1427" w:type="dxa"/>
          </w:tcPr>
          <w:p w14:paraId="45A0B69A" w14:textId="77777777" w:rsidR="00B97365" w:rsidRDefault="00000000">
            <w:pPr>
              <w:spacing w:before="0" w:after="200" w:line="276" w:lineRule="auto"/>
              <w:jc w:val="left"/>
              <w:rPr>
                <w:szCs w:val="22"/>
                <w:lang w:eastAsia="en-US"/>
              </w:rPr>
            </w:pPr>
            <w:r>
              <w:rPr>
                <w:szCs w:val="22"/>
                <w:lang w:eastAsia="en-US"/>
              </w:rPr>
              <w:t>Datetime</w:t>
            </w:r>
          </w:p>
        </w:tc>
        <w:tc>
          <w:tcPr>
            <w:tcW w:w="3090" w:type="dxa"/>
          </w:tcPr>
          <w:p w14:paraId="418A0378" w14:textId="77777777" w:rsidR="00B97365" w:rsidRDefault="00000000">
            <w:pPr>
              <w:spacing w:before="0" w:after="200" w:line="276" w:lineRule="auto"/>
              <w:jc w:val="left"/>
              <w:rPr>
                <w:szCs w:val="22"/>
                <w:lang w:eastAsia="en-US"/>
              </w:rPr>
            </w:pPr>
            <w:r>
              <w:rPr>
                <w:szCs w:val="22"/>
                <w:lang w:eastAsia="en-US"/>
              </w:rPr>
              <w:t>xs:dateTime</w:t>
            </w:r>
          </w:p>
        </w:tc>
        <w:tc>
          <w:tcPr>
            <w:tcW w:w="4936" w:type="dxa"/>
          </w:tcPr>
          <w:p w14:paraId="66B3DE0B" w14:textId="5C14524C" w:rsidR="00B97365" w:rsidRDefault="00000000">
            <w:pPr>
              <w:spacing w:before="0" w:after="200" w:line="276" w:lineRule="auto"/>
              <w:jc w:val="left"/>
              <w:rPr>
                <w:szCs w:val="22"/>
                <w:lang w:val="en-US" w:eastAsia="en-US"/>
              </w:rPr>
            </w:pPr>
            <w:r>
              <w:rPr>
                <w:szCs w:val="22"/>
                <w:lang w:val="en-US" w:eastAsia="en-US"/>
              </w:rPr>
              <w:t xml:space="preserve">The Datetime type defined in section </w:t>
            </w:r>
            <w:r>
              <w:rPr>
                <w:szCs w:val="22"/>
                <w:lang w:eastAsia="en-US" w:bidi="ar-SA"/>
              </w:rPr>
              <w:fldChar w:fldCharType="begin"/>
            </w:r>
            <w:r>
              <w:rPr>
                <w:szCs w:val="22"/>
                <w:lang w:eastAsia="en-US" w:bidi="ar-SA"/>
              </w:rPr>
              <w:instrText xml:space="preserve"> REF _Ref367976462 \r \h  \* MERGEFORMAT </w:instrText>
            </w:r>
            <w:r>
              <w:rPr>
                <w:szCs w:val="22"/>
                <w:lang w:eastAsia="en-US" w:bidi="ar-SA"/>
              </w:rPr>
            </w:r>
            <w:r>
              <w:rPr>
                <w:szCs w:val="22"/>
                <w:lang w:eastAsia="en-US" w:bidi="ar-SA"/>
              </w:rPr>
              <w:fldChar w:fldCharType="separate"/>
            </w:r>
            <w:r w:rsidR="001D5AD9" w:rsidRPr="001D5AD9">
              <w:rPr>
                <w:szCs w:val="22"/>
                <w:lang w:val="en-US" w:eastAsia="en-US"/>
              </w:rPr>
              <w:t>5.1.1.1</w:t>
            </w:r>
            <w:r>
              <w:rPr>
                <w:szCs w:val="22"/>
                <w:lang w:eastAsia="en-US" w:bidi="ar-SA"/>
              </w:rPr>
              <w:fldChar w:fldCharType="end"/>
            </w:r>
            <w:r>
              <w:rPr>
                <w:szCs w:val="22"/>
                <w:lang w:val="en-US" w:eastAsia="en-US"/>
              </w:rPr>
              <w:t xml:space="preserve"> SHALL be mapped to the simple built-in XML time &lt;xs:datetime&gt;.</w:t>
            </w:r>
          </w:p>
        </w:tc>
      </w:tr>
      <w:tr w:rsidR="00B97365" w14:paraId="294F2DBC" w14:textId="77777777">
        <w:trPr>
          <w:trHeight w:val="435"/>
        </w:trPr>
        <w:tc>
          <w:tcPr>
            <w:tcW w:w="1427" w:type="dxa"/>
          </w:tcPr>
          <w:p w14:paraId="2BA8B805" w14:textId="77777777" w:rsidR="00B97365" w:rsidRDefault="00000000">
            <w:pPr>
              <w:spacing w:before="0" w:after="200" w:line="276" w:lineRule="auto"/>
              <w:jc w:val="left"/>
              <w:rPr>
                <w:szCs w:val="22"/>
                <w:lang w:eastAsia="en-US"/>
              </w:rPr>
            </w:pPr>
            <w:r>
              <w:rPr>
                <w:szCs w:val="22"/>
                <w:lang w:eastAsia="en-US"/>
              </w:rPr>
              <w:t>EID</w:t>
            </w:r>
          </w:p>
        </w:tc>
        <w:tc>
          <w:tcPr>
            <w:tcW w:w="3090" w:type="dxa"/>
          </w:tcPr>
          <w:p w14:paraId="02A86AD7" w14:textId="77777777" w:rsidR="00B97365" w:rsidRDefault="00000000">
            <w:pPr>
              <w:spacing w:before="0" w:after="200" w:line="276" w:lineRule="auto"/>
              <w:jc w:val="left"/>
              <w:rPr>
                <w:szCs w:val="22"/>
                <w:lang w:eastAsia="en-US"/>
              </w:rPr>
            </w:pPr>
            <w:r>
              <w:rPr>
                <w:szCs w:val="22"/>
                <w:lang w:eastAsia="en-US"/>
              </w:rPr>
              <w:t>rps3:EIDType</w:t>
            </w:r>
          </w:p>
        </w:tc>
        <w:tc>
          <w:tcPr>
            <w:tcW w:w="4936" w:type="dxa"/>
          </w:tcPr>
          <w:p w14:paraId="1217777A" w14:textId="07616DFA" w:rsidR="00B97365" w:rsidRDefault="00000000">
            <w:pPr>
              <w:spacing w:before="0" w:after="200" w:line="276" w:lineRule="auto"/>
              <w:jc w:val="left"/>
              <w:rPr>
                <w:szCs w:val="22"/>
                <w:lang w:val="en-US" w:eastAsia="en-GB" w:bidi="ar-SA"/>
              </w:rPr>
            </w:pPr>
            <w:r>
              <w:rPr>
                <w:rFonts w:cs="Arial"/>
                <w:szCs w:val="22"/>
                <w:lang w:val="en-US" w:eastAsia="en-GB" w:bidi="ar-SA"/>
              </w:rPr>
              <w:t xml:space="preserve">The EID (eUICC IDentifier) type defined in section </w:t>
            </w:r>
            <w:r>
              <w:fldChar w:fldCharType="begin"/>
            </w:r>
            <w:r>
              <w:instrText xml:space="preserve"> REF _Ref367976470 \r \h  \* MERGEFORMAT </w:instrText>
            </w:r>
            <w:r>
              <w:fldChar w:fldCharType="separate"/>
            </w:r>
            <w:r w:rsidR="001D5AD9" w:rsidRPr="001D5AD9">
              <w:rPr>
                <w:szCs w:val="22"/>
                <w:lang w:val="en-US" w:eastAsia="en-GB" w:bidi="ar-SA"/>
              </w:rPr>
              <w:t>5.1.1.1</w:t>
            </w:r>
            <w:r>
              <w:fldChar w:fldCharType="end"/>
            </w:r>
            <w:r>
              <w:rPr>
                <w:szCs w:val="22"/>
                <w:lang w:val="en-US" w:eastAsia="en-GB" w:bidi="ar-SA"/>
              </w:rPr>
              <w:t xml:space="preserve"> SHALL be mapped to the &lt;rps3:EIDType&gt;. The type is defined as a hexadecimal string representation of 16 bytes.</w:t>
            </w:r>
          </w:p>
        </w:tc>
      </w:tr>
      <w:tr w:rsidR="00B97365" w14:paraId="6B0A81D8" w14:textId="77777777">
        <w:trPr>
          <w:trHeight w:val="435"/>
        </w:trPr>
        <w:tc>
          <w:tcPr>
            <w:tcW w:w="1427" w:type="dxa"/>
          </w:tcPr>
          <w:p w14:paraId="5D9A486E" w14:textId="77777777" w:rsidR="00B97365" w:rsidRDefault="00000000">
            <w:pPr>
              <w:spacing w:before="0" w:after="200" w:line="276" w:lineRule="auto"/>
              <w:jc w:val="left"/>
              <w:rPr>
                <w:szCs w:val="22"/>
                <w:lang w:eastAsia="en-US"/>
              </w:rPr>
            </w:pPr>
            <w:r>
              <w:rPr>
                <w:szCs w:val="22"/>
                <w:lang w:eastAsia="en-US"/>
              </w:rPr>
              <w:t>ICCID</w:t>
            </w:r>
          </w:p>
        </w:tc>
        <w:tc>
          <w:tcPr>
            <w:tcW w:w="3090" w:type="dxa"/>
          </w:tcPr>
          <w:p w14:paraId="02D99A94" w14:textId="77777777" w:rsidR="00B97365" w:rsidRDefault="00000000">
            <w:pPr>
              <w:spacing w:before="0" w:after="200" w:line="276" w:lineRule="auto"/>
              <w:jc w:val="left"/>
              <w:rPr>
                <w:szCs w:val="22"/>
                <w:lang w:eastAsia="en-US"/>
              </w:rPr>
            </w:pPr>
            <w:r>
              <w:rPr>
                <w:szCs w:val="22"/>
                <w:lang w:eastAsia="en-US"/>
              </w:rPr>
              <w:t>rps3:ICCIDType</w:t>
            </w:r>
          </w:p>
        </w:tc>
        <w:tc>
          <w:tcPr>
            <w:tcW w:w="4936" w:type="dxa"/>
          </w:tcPr>
          <w:p w14:paraId="710BC17B" w14:textId="7C2B9944" w:rsidR="00B97365" w:rsidRDefault="00000000">
            <w:pPr>
              <w:spacing w:before="0" w:after="200" w:line="276" w:lineRule="auto"/>
              <w:jc w:val="left"/>
              <w:rPr>
                <w:szCs w:val="22"/>
                <w:lang w:val="en-US" w:eastAsia="en-GB" w:bidi="ar-SA"/>
              </w:rPr>
            </w:pPr>
            <w:r>
              <w:rPr>
                <w:rFonts w:cs="Arial"/>
                <w:szCs w:val="22"/>
                <w:lang w:val="en-US" w:eastAsia="en-GB" w:bidi="ar-SA"/>
              </w:rPr>
              <w:t xml:space="preserve">The ICCID (Integrated Circuit Card IDentifier) type defined in section </w:t>
            </w:r>
            <w:r>
              <w:fldChar w:fldCharType="begin"/>
            </w:r>
            <w:r>
              <w:instrText xml:space="preserve"> REF _Ref367976478 \r \h  \* MERGEFORMAT </w:instrText>
            </w:r>
            <w:r>
              <w:fldChar w:fldCharType="separate"/>
            </w:r>
            <w:r w:rsidR="001D5AD9" w:rsidRPr="001D5AD9">
              <w:rPr>
                <w:szCs w:val="22"/>
                <w:lang w:val="en-US" w:eastAsia="en-GB" w:bidi="ar-SA"/>
              </w:rPr>
              <w:t>5.1.1.1</w:t>
            </w:r>
            <w:r>
              <w:fldChar w:fldCharType="end"/>
            </w:r>
            <w:r>
              <w:rPr>
                <w:szCs w:val="22"/>
                <w:lang w:val="en-US" w:eastAsia="en-GB" w:bidi="ar-SA"/>
              </w:rPr>
              <w:t xml:space="preserve"> SHALL be mapped to the &lt;rps3:ICCIDType&gt;.  The type is defined as a string representation (up to 20 digits), non-swapped as per ITU E.118 representation. Example: 893301000000000011</w:t>
            </w:r>
          </w:p>
        </w:tc>
      </w:tr>
      <w:tr w:rsidR="00B97365" w14:paraId="62B2B4B7" w14:textId="77777777">
        <w:trPr>
          <w:trHeight w:val="435"/>
        </w:trPr>
        <w:tc>
          <w:tcPr>
            <w:tcW w:w="1427" w:type="dxa"/>
          </w:tcPr>
          <w:p w14:paraId="0D243D79" w14:textId="77777777" w:rsidR="00B97365" w:rsidRDefault="00000000">
            <w:pPr>
              <w:spacing w:before="0" w:after="200" w:line="276" w:lineRule="auto"/>
              <w:jc w:val="left"/>
              <w:rPr>
                <w:szCs w:val="22"/>
                <w:lang w:eastAsia="en-US"/>
              </w:rPr>
            </w:pPr>
            <w:r>
              <w:rPr>
                <w:szCs w:val="22"/>
                <w:lang w:eastAsia="en-US"/>
              </w:rPr>
              <w:t>MSISDN</w:t>
            </w:r>
          </w:p>
        </w:tc>
        <w:tc>
          <w:tcPr>
            <w:tcW w:w="3090" w:type="dxa"/>
          </w:tcPr>
          <w:p w14:paraId="42570421" w14:textId="77777777" w:rsidR="00B97365" w:rsidRDefault="00000000">
            <w:pPr>
              <w:spacing w:before="0" w:after="200" w:line="276" w:lineRule="auto"/>
              <w:jc w:val="left"/>
              <w:rPr>
                <w:szCs w:val="22"/>
                <w:lang w:eastAsia="en-US"/>
              </w:rPr>
            </w:pPr>
            <w:r>
              <w:rPr>
                <w:szCs w:val="22"/>
                <w:lang w:eastAsia="en-US"/>
              </w:rPr>
              <w:t>rps3:MSISDNType</w:t>
            </w:r>
          </w:p>
        </w:tc>
        <w:tc>
          <w:tcPr>
            <w:tcW w:w="4936" w:type="dxa"/>
          </w:tcPr>
          <w:p w14:paraId="1F46302B" w14:textId="3A0E79E4" w:rsidR="00B97365" w:rsidRDefault="00000000">
            <w:pPr>
              <w:spacing w:before="0" w:after="200" w:line="276" w:lineRule="auto"/>
              <w:jc w:val="left"/>
              <w:rPr>
                <w:szCs w:val="22"/>
                <w:lang w:val="en-US" w:eastAsia="en-GB" w:bidi="ar-SA"/>
              </w:rPr>
            </w:pPr>
            <w:r>
              <w:rPr>
                <w:rFonts w:cs="Arial"/>
                <w:szCs w:val="22"/>
                <w:lang w:val="en-US" w:eastAsia="en-GB" w:bidi="ar-SA"/>
              </w:rPr>
              <w:t xml:space="preserve">The MSIDN (Mobile Station ISDN Number) type defined in section </w:t>
            </w:r>
            <w:r>
              <w:fldChar w:fldCharType="begin"/>
            </w:r>
            <w:r>
              <w:instrText xml:space="preserve"> REF _Ref367976486 \r \h  \* MERGEFORMAT </w:instrText>
            </w:r>
            <w:r>
              <w:fldChar w:fldCharType="separate"/>
            </w:r>
            <w:r w:rsidR="001D5AD9" w:rsidRPr="001D5AD9">
              <w:rPr>
                <w:szCs w:val="22"/>
                <w:lang w:val="en-US" w:eastAsia="en-GB" w:bidi="ar-SA"/>
              </w:rPr>
              <w:t>5.1.1.1</w:t>
            </w:r>
            <w:r>
              <w:fldChar w:fldCharType="end"/>
            </w:r>
            <w:r>
              <w:rPr>
                <w:szCs w:val="22"/>
                <w:lang w:val="en-US" w:eastAsia="en-GB" w:bidi="ar-SA"/>
              </w:rPr>
              <w:t xml:space="preserve"> SHALL be mapped to the &lt;rps3:MSISDNType&gt;.  The type is defined as a string representation of up to 15 decimal digits as defined in ITU E.164, including Country code, National Destination Code (optional) and Subscriber Number. Example: 380561234567</w:t>
            </w:r>
          </w:p>
        </w:tc>
      </w:tr>
      <w:tr w:rsidR="00B97365" w14:paraId="02E2FCB3" w14:textId="77777777">
        <w:trPr>
          <w:trHeight w:val="435"/>
        </w:trPr>
        <w:tc>
          <w:tcPr>
            <w:tcW w:w="1427" w:type="dxa"/>
          </w:tcPr>
          <w:p w14:paraId="7CCBBB2D" w14:textId="77777777" w:rsidR="00B97365" w:rsidRDefault="00000000">
            <w:pPr>
              <w:spacing w:before="0" w:after="200" w:line="276" w:lineRule="auto"/>
              <w:jc w:val="left"/>
              <w:rPr>
                <w:szCs w:val="22"/>
                <w:lang w:eastAsia="en-US"/>
              </w:rPr>
            </w:pPr>
            <w:r>
              <w:rPr>
                <w:szCs w:val="22"/>
                <w:lang w:eastAsia="en-US"/>
              </w:rPr>
              <w:t>IMSI</w:t>
            </w:r>
          </w:p>
        </w:tc>
        <w:tc>
          <w:tcPr>
            <w:tcW w:w="3090" w:type="dxa"/>
          </w:tcPr>
          <w:p w14:paraId="2ED8A05D" w14:textId="77777777" w:rsidR="00B97365" w:rsidRDefault="00000000">
            <w:pPr>
              <w:spacing w:before="0" w:after="200" w:line="276" w:lineRule="auto"/>
              <w:jc w:val="left"/>
              <w:rPr>
                <w:szCs w:val="22"/>
                <w:lang w:eastAsia="en-US"/>
              </w:rPr>
            </w:pPr>
            <w:r>
              <w:rPr>
                <w:szCs w:val="22"/>
                <w:lang w:eastAsia="en-US"/>
              </w:rPr>
              <w:t>rps3:IMSIType</w:t>
            </w:r>
          </w:p>
        </w:tc>
        <w:tc>
          <w:tcPr>
            <w:tcW w:w="4936" w:type="dxa"/>
          </w:tcPr>
          <w:p w14:paraId="478CE2BB" w14:textId="0250FD9D" w:rsidR="00B97365" w:rsidRDefault="00000000">
            <w:pPr>
              <w:spacing w:before="0" w:after="200" w:line="276" w:lineRule="auto"/>
              <w:jc w:val="left"/>
              <w:rPr>
                <w:szCs w:val="22"/>
                <w:lang w:val="en-US" w:eastAsia="en-GB" w:bidi="ar-SA"/>
              </w:rPr>
            </w:pPr>
            <w:r>
              <w:rPr>
                <w:rFonts w:cs="Arial"/>
                <w:szCs w:val="22"/>
                <w:lang w:val="en-US" w:eastAsia="en-GB" w:bidi="ar-SA"/>
              </w:rPr>
              <w:t xml:space="preserve">The IMSI (International Mobile Subscriber Identity) type defined in section </w:t>
            </w:r>
            <w:r>
              <w:fldChar w:fldCharType="begin"/>
            </w:r>
            <w:r>
              <w:instrText xml:space="preserve"> REF _Ref367976493 \r \h  \* MERGEFORMAT </w:instrText>
            </w:r>
            <w:r>
              <w:fldChar w:fldCharType="separate"/>
            </w:r>
            <w:r w:rsidR="001D5AD9" w:rsidRPr="001D5AD9">
              <w:rPr>
                <w:szCs w:val="22"/>
                <w:lang w:val="en-US" w:eastAsia="en-GB" w:bidi="ar-SA"/>
              </w:rPr>
              <w:t>5.1.1.1</w:t>
            </w:r>
            <w:r>
              <w:fldChar w:fldCharType="end"/>
            </w:r>
            <w:r>
              <w:rPr>
                <w:szCs w:val="22"/>
                <w:lang w:val="en-US" w:eastAsia="en-GB" w:bidi="ar-SA"/>
              </w:rPr>
              <w:t xml:space="preserve"> SHALL be mapped to the &lt;rps3:IMSIType&gt;. The type is defined as a string representation of up to 15 decimal digits including MCC (3 digits) and MNC (2 or 3 digits), as defined in ITU E.212. Example: 242011234567890</w:t>
            </w:r>
          </w:p>
        </w:tc>
      </w:tr>
      <w:tr w:rsidR="00B97365" w14:paraId="7FD42B08" w14:textId="77777777">
        <w:trPr>
          <w:trHeight w:val="435"/>
        </w:trPr>
        <w:tc>
          <w:tcPr>
            <w:tcW w:w="1427" w:type="dxa"/>
          </w:tcPr>
          <w:p w14:paraId="59050D8E" w14:textId="77777777" w:rsidR="00B97365" w:rsidRDefault="00000000">
            <w:pPr>
              <w:spacing w:before="0" w:after="200" w:line="276" w:lineRule="auto"/>
              <w:jc w:val="left"/>
              <w:rPr>
                <w:szCs w:val="22"/>
                <w:lang w:eastAsia="en-US"/>
              </w:rPr>
            </w:pPr>
            <w:r>
              <w:rPr>
                <w:szCs w:val="22"/>
                <w:lang w:eastAsia="en-US"/>
              </w:rPr>
              <w:t>OID</w:t>
            </w:r>
          </w:p>
        </w:tc>
        <w:tc>
          <w:tcPr>
            <w:tcW w:w="3090" w:type="dxa"/>
          </w:tcPr>
          <w:p w14:paraId="31E5F913" w14:textId="77777777" w:rsidR="00B97365" w:rsidRDefault="00000000">
            <w:pPr>
              <w:spacing w:before="0" w:after="200" w:line="276" w:lineRule="auto"/>
              <w:jc w:val="left"/>
              <w:rPr>
                <w:szCs w:val="22"/>
                <w:lang w:eastAsia="en-US"/>
              </w:rPr>
            </w:pPr>
            <w:r>
              <w:rPr>
                <w:szCs w:val="22"/>
                <w:lang w:eastAsia="en-US"/>
              </w:rPr>
              <w:t>rps3:ObjectIdentifierType</w:t>
            </w:r>
          </w:p>
        </w:tc>
        <w:tc>
          <w:tcPr>
            <w:tcW w:w="4936" w:type="dxa"/>
          </w:tcPr>
          <w:p w14:paraId="5E911B60" w14:textId="3958F257" w:rsidR="00B97365" w:rsidRDefault="00000000">
            <w:pPr>
              <w:spacing w:before="0" w:after="200" w:line="276" w:lineRule="auto"/>
              <w:jc w:val="left"/>
              <w:rPr>
                <w:szCs w:val="22"/>
                <w:lang w:val="en-US" w:eastAsia="en-GB" w:bidi="ar-SA"/>
              </w:rPr>
            </w:pPr>
            <w:r>
              <w:rPr>
                <w:rFonts w:cs="Arial"/>
                <w:szCs w:val="22"/>
                <w:lang w:val="en-US" w:eastAsia="en-GB" w:bidi="ar-SA"/>
              </w:rPr>
              <w:t xml:space="preserve">The OID (Object Identifier) type defined in section </w:t>
            </w:r>
            <w:r>
              <w:fldChar w:fldCharType="begin"/>
            </w:r>
            <w:r>
              <w:instrText xml:space="preserve"> REF _Ref367976501 \r \h  \* MERGEFORMAT </w:instrText>
            </w:r>
            <w:r>
              <w:fldChar w:fldCharType="separate"/>
            </w:r>
            <w:r w:rsidR="001D5AD9" w:rsidRPr="001D5AD9">
              <w:rPr>
                <w:szCs w:val="22"/>
                <w:lang w:val="en-US" w:eastAsia="en-GB" w:bidi="ar-SA"/>
              </w:rPr>
              <w:t>5.1.1.1</w:t>
            </w:r>
            <w:r>
              <w:fldChar w:fldCharType="end"/>
            </w:r>
            <w:r>
              <w:rPr>
                <w:szCs w:val="22"/>
                <w:lang w:val="en-US" w:eastAsia="en-GB" w:bidi="ar-SA"/>
              </w:rPr>
              <w:t xml:space="preserve"> SHALL be mapped to the &lt;rps3:ObjectIdentifierType&gt;. The type is defined as a string representation of an OID, i.e. of </w:t>
            </w:r>
            <w:r>
              <w:rPr>
                <w:szCs w:val="22"/>
                <w:lang w:val="en-US" w:eastAsia="en-GB" w:bidi="ar-SA"/>
              </w:rPr>
              <w:lastRenderedPageBreak/>
              <w:t>integers separated with dots (for example: '1.2', '3.4.5').</w:t>
            </w:r>
          </w:p>
        </w:tc>
      </w:tr>
      <w:tr w:rsidR="00B97365" w14:paraId="1A282858" w14:textId="77777777">
        <w:trPr>
          <w:trHeight w:val="435"/>
        </w:trPr>
        <w:tc>
          <w:tcPr>
            <w:tcW w:w="1427" w:type="dxa"/>
          </w:tcPr>
          <w:p w14:paraId="0983C719" w14:textId="77777777" w:rsidR="00B97365" w:rsidRDefault="00000000">
            <w:pPr>
              <w:spacing w:before="0" w:after="200" w:line="276" w:lineRule="auto"/>
              <w:jc w:val="left"/>
              <w:rPr>
                <w:szCs w:val="22"/>
                <w:lang w:eastAsia="en-US"/>
              </w:rPr>
            </w:pPr>
            <w:r>
              <w:rPr>
                <w:szCs w:val="22"/>
                <w:lang w:eastAsia="en-US"/>
              </w:rPr>
              <w:lastRenderedPageBreak/>
              <w:t>TAR</w:t>
            </w:r>
          </w:p>
        </w:tc>
        <w:tc>
          <w:tcPr>
            <w:tcW w:w="3090" w:type="dxa"/>
          </w:tcPr>
          <w:p w14:paraId="1F79C0DB" w14:textId="77777777" w:rsidR="00B97365" w:rsidRDefault="00000000">
            <w:pPr>
              <w:spacing w:before="0" w:after="200" w:line="276" w:lineRule="auto"/>
              <w:jc w:val="left"/>
              <w:rPr>
                <w:szCs w:val="22"/>
                <w:lang w:eastAsia="en-US"/>
              </w:rPr>
            </w:pPr>
            <w:r>
              <w:rPr>
                <w:szCs w:val="22"/>
                <w:lang w:eastAsia="en-US"/>
              </w:rPr>
              <w:t>rps3:TARType</w:t>
            </w:r>
          </w:p>
        </w:tc>
        <w:tc>
          <w:tcPr>
            <w:tcW w:w="4936" w:type="dxa"/>
          </w:tcPr>
          <w:p w14:paraId="1CE862EF" w14:textId="0913B2F9" w:rsidR="00B97365" w:rsidRDefault="00000000">
            <w:pPr>
              <w:spacing w:before="0" w:after="200" w:line="276" w:lineRule="auto"/>
              <w:jc w:val="left"/>
              <w:rPr>
                <w:szCs w:val="22"/>
                <w:lang w:val="en-US" w:eastAsia="en-GB" w:bidi="ar-SA"/>
              </w:rPr>
            </w:pPr>
            <w:r>
              <w:rPr>
                <w:rFonts w:cs="Arial"/>
                <w:szCs w:val="22"/>
                <w:lang w:val="en-US" w:eastAsia="en-GB" w:bidi="ar-SA"/>
              </w:rPr>
              <w:t xml:space="preserve">The TAR (Toolkit Application reference) type defined in section </w:t>
            </w:r>
            <w:r>
              <w:fldChar w:fldCharType="begin"/>
            </w:r>
            <w:r>
              <w:instrText xml:space="preserve"> REF _Ref367976510 \r \h  \* MERGEFORMAT </w:instrText>
            </w:r>
            <w:r>
              <w:fldChar w:fldCharType="separate"/>
            </w:r>
            <w:r w:rsidR="001D5AD9" w:rsidRPr="001D5AD9">
              <w:rPr>
                <w:szCs w:val="22"/>
                <w:lang w:val="en-US" w:eastAsia="en-GB" w:bidi="ar-SA"/>
              </w:rPr>
              <w:t>5.1.1.1</w:t>
            </w:r>
            <w:r>
              <w:fldChar w:fldCharType="end"/>
            </w:r>
            <w:r>
              <w:rPr>
                <w:szCs w:val="22"/>
                <w:lang w:val="en-US" w:eastAsia="en-GB" w:bidi="ar-SA"/>
              </w:rPr>
              <w:t xml:space="preserve"> SHALL be mapped to the &lt;rps3:TARType&gt;. The type is defined as a hexadecimal string representation of exactly 3 bytes.                Example: 363443.</w:t>
            </w:r>
          </w:p>
        </w:tc>
      </w:tr>
      <w:tr w:rsidR="00B97365" w14:paraId="3F96C202" w14:textId="77777777">
        <w:trPr>
          <w:trHeight w:val="435"/>
        </w:trPr>
        <w:tc>
          <w:tcPr>
            <w:tcW w:w="1427" w:type="dxa"/>
          </w:tcPr>
          <w:p w14:paraId="11A07051" w14:textId="77777777" w:rsidR="00B97365" w:rsidRDefault="00000000">
            <w:pPr>
              <w:spacing w:before="0" w:after="200" w:line="276" w:lineRule="auto"/>
              <w:jc w:val="left"/>
              <w:rPr>
                <w:szCs w:val="22"/>
                <w:lang w:eastAsia="en-US"/>
              </w:rPr>
            </w:pPr>
            <w:r>
              <w:rPr>
                <w:szCs w:val="22"/>
                <w:lang w:eastAsia="en-US"/>
              </w:rPr>
              <w:t>Version</w:t>
            </w:r>
          </w:p>
        </w:tc>
        <w:tc>
          <w:tcPr>
            <w:tcW w:w="3090" w:type="dxa"/>
          </w:tcPr>
          <w:p w14:paraId="53019DAE" w14:textId="77777777" w:rsidR="00B97365" w:rsidRDefault="00000000">
            <w:pPr>
              <w:spacing w:before="0" w:after="200" w:line="276" w:lineRule="auto"/>
              <w:jc w:val="left"/>
              <w:rPr>
                <w:szCs w:val="22"/>
                <w:lang w:eastAsia="en-US"/>
              </w:rPr>
            </w:pPr>
            <w:r>
              <w:rPr>
                <w:szCs w:val="22"/>
                <w:lang w:eastAsia="en-US"/>
              </w:rPr>
              <w:t>rps3:ThreeDigitVersion</w:t>
            </w:r>
          </w:p>
        </w:tc>
        <w:tc>
          <w:tcPr>
            <w:tcW w:w="4936" w:type="dxa"/>
          </w:tcPr>
          <w:p w14:paraId="000AF647" w14:textId="5FCB9139" w:rsidR="00B97365" w:rsidRDefault="00000000">
            <w:pPr>
              <w:spacing w:before="0" w:after="200" w:line="276" w:lineRule="auto"/>
              <w:jc w:val="left"/>
              <w:rPr>
                <w:szCs w:val="22"/>
                <w:lang w:val="en-US" w:eastAsia="en-GB" w:bidi="ar-SA"/>
              </w:rPr>
            </w:pPr>
            <w:r>
              <w:rPr>
                <w:rFonts w:cs="Arial"/>
                <w:szCs w:val="22"/>
                <w:lang w:val="en-US" w:eastAsia="en-GB" w:bidi="ar-SA"/>
              </w:rPr>
              <w:t xml:space="preserve">The Version type defined in section </w:t>
            </w:r>
            <w:r>
              <w:fldChar w:fldCharType="begin"/>
            </w:r>
            <w:r>
              <w:instrText xml:space="preserve"> REF _Ref367976517 \r \h  \* MERGEFORMAT </w:instrText>
            </w:r>
            <w:r>
              <w:fldChar w:fldCharType="separate"/>
            </w:r>
            <w:r w:rsidR="001D5AD9" w:rsidRPr="001D5AD9">
              <w:rPr>
                <w:szCs w:val="22"/>
                <w:lang w:val="en-US" w:eastAsia="en-GB" w:bidi="ar-SA"/>
              </w:rPr>
              <w:t>5.1.1.1</w:t>
            </w:r>
            <w:r>
              <w:fldChar w:fldCharType="end"/>
            </w:r>
            <w:r>
              <w:rPr>
                <w:szCs w:val="22"/>
                <w:lang w:val="en-US" w:eastAsia="en-GB" w:bidi="ar-SA"/>
              </w:rPr>
              <w:t xml:space="preserve"> SHALL be mapped to the &lt;rps3: ThreeDigitVersion&gt;. The type is defined as a string representation of exactly 3 integers separated by a '.'. Example: 1.15.9</w:t>
            </w:r>
          </w:p>
        </w:tc>
      </w:tr>
    </w:tbl>
    <w:p w14:paraId="159D93C2"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A34: Common Simple Types</w:t>
      </w:r>
    </w:p>
    <w:p w14:paraId="593A3019"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481" w:name="_Toc536552362"/>
      <w:bookmarkStart w:id="8482" w:name="_Toc1977452"/>
      <w:bookmarkStart w:id="8483" w:name="_Toc37062611"/>
      <w:bookmarkEnd w:id="8481"/>
      <w:r>
        <w:rPr>
          <w:rFonts w:ascii="Arial Bold" w:hAnsi="Arial Bold"/>
          <w:szCs w:val="22"/>
          <w:lang w:val="fr-FR" w:eastAsia="en-US"/>
        </w:rPr>
        <w:t>Void</w:t>
      </w:r>
      <w:bookmarkEnd w:id="8482"/>
      <w:bookmarkEnd w:id="8483"/>
    </w:p>
    <w:p w14:paraId="285418E2"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484" w:name="_Toc536552364"/>
      <w:bookmarkStart w:id="8485" w:name="_Toc536552365"/>
      <w:bookmarkStart w:id="8486" w:name="_Toc536552366"/>
      <w:bookmarkStart w:id="8487" w:name="_Toc536552367"/>
      <w:bookmarkStart w:id="8488" w:name="_Toc1977453"/>
      <w:bookmarkStart w:id="8489" w:name="_Toc37062612"/>
      <w:bookmarkEnd w:id="8484"/>
      <w:bookmarkEnd w:id="8485"/>
      <w:bookmarkEnd w:id="8486"/>
      <w:bookmarkEnd w:id="8487"/>
      <w:r>
        <w:rPr>
          <w:rFonts w:ascii="Arial Bold" w:hAnsi="Arial Bold"/>
          <w:szCs w:val="22"/>
          <w:lang w:val="fr-FR" w:eastAsia="en-US"/>
        </w:rPr>
        <w:t>Void</w:t>
      </w:r>
      <w:bookmarkEnd w:id="8488"/>
      <w:bookmarkEnd w:id="8489"/>
    </w:p>
    <w:p w14:paraId="3D4B5BDC"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490" w:name="_Toc536552369"/>
      <w:bookmarkStart w:id="8491" w:name="_Toc536552370"/>
      <w:bookmarkStart w:id="8492" w:name="_Toc1977454"/>
      <w:bookmarkStart w:id="8493" w:name="_Toc37062613"/>
      <w:bookmarkEnd w:id="8490"/>
      <w:bookmarkEnd w:id="8491"/>
      <w:r>
        <w:rPr>
          <w:rFonts w:ascii="Arial Bold" w:hAnsi="Arial Bold"/>
          <w:szCs w:val="22"/>
          <w:lang w:val="fr-FR" w:eastAsia="en-US"/>
        </w:rPr>
        <w:t>Void</w:t>
      </w:r>
      <w:bookmarkEnd w:id="8492"/>
      <w:bookmarkEnd w:id="8493"/>
    </w:p>
    <w:p w14:paraId="0F0FE4E3" w14:textId="77777777" w:rsidR="00B97365" w:rsidRDefault="00000000">
      <w:pPr>
        <w:keepNext/>
        <w:keepLines/>
        <w:numPr>
          <w:ilvl w:val="3"/>
          <w:numId w:val="36"/>
        </w:numPr>
        <w:spacing w:before="240" w:after="60" w:line="276" w:lineRule="auto"/>
        <w:jc w:val="left"/>
        <w:outlineLvl w:val="3"/>
        <w:rPr>
          <w:rFonts w:ascii="Arial Bold" w:hAnsi="Arial Bold" w:cs="Calibri"/>
          <w:szCs w:val="22"/>
          <w:lang w:val="fr-FR"/>
        </w:rPr>
      </w:pPr>
      <w:bookmarkStart w:id="8494" w:name="_Toc536552372"/>
      <w:bookmarkStart w:id="8495" w:name="_Toc536552373"/>
      <w:bookmarkStart w:id="8496" w:name="_Toc536552374"/>
      <w:bookmarkStart w:id="8497" w:name="_Toc536552375"/>
      <w:bookmarkStart w:id="8498" w:name="_Toc536552376"/>
      <w:bookmarkStart w:id="8499" w:name="_Toc1977455"/>
      <w:bookmarkStart w:id="8500" w:name="_Toc37062614"/>
      <w:bookmarkEnd w:id="8494"/>
      <w:bookmarkEnd w:id="8495"/>
      <w:bookmarkEnd w:id="8496"/>
      <w:bookmarkEnd w:id="8497"/>
      <w:bookmarkEnd w:id="8498"/>
      <w:r>
        <w:rPr>
          <w:rFonts w:ascii="Arial Bold" w:hAnsi="Arial Bold"/>
          <w:szCs w:val="22"/>
          <w:lang w:val="fr-FR" w:eastAsia="en-US"/>
        </w:rPr>
        <w:t>Void</w:t>
      </w:r>
      <w:bookmarkStart w:id="8501" w:name="_Toc536552378"/>
      <w:bookmarkStart w:id="8502" w:name="_Toc536552379"/>
      <w:bookmarkStart w:id="8503" w:name="_Toc536552380"/>
      <w:bookmarkEnd w:id="8499"/>
      <w:bookmarkEnd w:id="8500"/>
      <w:bookmarkEnd w:id="8501"/>
      <w:bookmarkEnd w:id="8502"/>
      <w:bookmarkEnd w:id="8503"/>
    </w:p>
    <w:p w14:paraId="6FCC8365" w14:textId="77777777" w:rsidR="00B97365" w:rsidRDefault="00000000">
      <w:pPr>
        <w:keepNext/>
        <w:keepLines/>
        <w:numPr>
          <w:ilvl w:val="3"/>
          <w:numId w:val="36"/>
        </w:numPr>
        <w:spacing w:before="240" w:after="60" w:line="276" w:lineRule="auto"/>
        <w:jc w:val="left"/>
        <w:outlineLvl w:val="3"/>
        <w:rPr>
          <w:rFonts w:ascii="Arial Bold" w:hAnsi="Arial Bold" w:cs="Calibri"/>
          <w:szCs w:val="22"/>
          <w:lang w:val="fr-FR"/>
        </w:rPr>
      </w:pPr>
      <w:bookmarkStart w:id="8504" w:name="_Toc1977456"/>
      <w:bookmarkStart w:id="8505" w:name="_Toc37062615"/>
      <w:r>
        <w:rPr>
          <w:rFonts w:ascii="Arial Bold" w:hAnsi="Arial Bold"/>
          <w:szCs w:val="22"/>
          <w:lang w:val="fr-FR" w:eastAsia="en-US"/>
        </w:rPr>
        <w:t>Void</w:t>
      </w:r>
      <w:bookmarkStart w:id="8506" w:name="_Toc536552383"/>
      <w:bookmarkStart w:id="8507" w:name="_Toc536552384"/>
      <w:bookmarkStart w:id="8508" w:name="_Toc536552385"/>
      <w:bookmarkEnd w:id="8504"/>
      <w:bookmarkEnd w:id="8505"/>
      <w:bookmarkEnd w:id="8506"/>
      <w:bookmarkEnd w:id="8507"/>
      <w:bookmarkEnd w:id="8508"/>
    </w:p>
    <w:p w14:paraId="13D9BCF8"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509" w:name="_Toc1977457"/>
      <w:bookmarkStart w:id="8510" w:name="_Toc37062616"/>
      <w:r>
        <w:rPr>
          <w:rFonts w:ascii="Arial Bold" w:hAnsi="Arial Bold"/>
          <w:szCs w:val="22"/>
          <w:lang w:val="fr-FR" w:eastAsia="en-US"/>
        </w:rPr>
        <w:t>Void</w:t>
      </w:r>
      <w:bookmarkEnd w:id="8509"/>
      <w:bookmarkEnd w:id="8510"/>
    </w:p>
    <w:p w14:paraId="23333290"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511" w:name="_Toc536552388"/>
      <w:bookmarkStart w:id="8512" w:name="_Toc536552389"/>
      <w:bookmarkStart w:id="8513" w:name="_Toc536552390"/>
      <w:bookmarkStart w:id="8514" w:name="_Toc536552391"/>
      <w:bookmarkStart w:id="8515" w:name="_Toc1977458"/>
      <w:bookmarkStart w:id="8516" w:name="_Toc37062617"/>
      <w:bookmarkEnd w:id="8511"/>
      <w:bookmarkEnd w:id="8512"/>
      <w:bookmarkEnd w:id="8513"/>
      <w:bookmarkEnd w:id="8514"/>
      <w:r>
        <w:rPr>
          <w:rFonts w:ascii="Arial Bold" w:hAnsi="Arial Bold"/>
          <w:szCs w:val="22"/>
          <w:lang w:val="fr-FR" w:eastAsia="en-US"/>
        </w:rPr>
        <w:t>Void</w:t>
      </w:r>
      <w:bookmarkEnd w:id="8515"/>
      <w:bookmarkEnd w:id="8516"/>
    </w:p>
    <w:p w14:paraId="7E278830"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517" w:name="_Toc536552393"/>
      <w:bookmarkStart w:id="8518" w:name="_Toc536552394"/>
      <w:bookmarkStart w:id="8519" w:name="_Toc536552395"/>
      <w:bookmarkStart w:id="8520" w:name="_Toc536552396"/>
      <w:bookmarkStart w:id="8521" w:name="_Toc1977459"/>
      <w:bookmarkStart w:id="8522" w:name="_Toc37062618"/>
      <w:bookmarkEnd w:id="8517"/>
      <w:bookmarkEnd w:id="8518"/>
      <w:bookmarkEnd w:id="8519"/>
      <w:bookmarkEnd w:id="8520"/>
      <w:r>
        <w:rPr>
          <w:rFonts w:ascii="Arial Bold" w:hAnsi="Arial Bold"/>
          <w:szCs w:val="22"/>
          <w:lang w:val="fr-FR" w:eastAsia="en-US"/>
        </w:rPr>
        <w:t>Void</w:t>
      </w:r>
      <w:bookmarkEnd w:id="8521"/>
      <w:bookmarkEnd w:id="8522"/>
    </w:p>
    <w:p w14:paraId="4DA09D63"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523" w:name="_Toc536552398"/>
      <w:bookmarkStart w:id="8524" w:name="_Toc536552399"/>
      <w:bookmarkStart w:id="8525" w:name="_Toc536552400"/>
      <w:bookmarkStart w:id="8526" w:name="_Toc536552401"/>
      <w:bookmarkStart w:id="8527" w:name="_Toc1977460"/>
      <w:bookmarkStart w:id="8528" w:name="_Toc37062619"/>
      <w:bookmarkEnd w:id="8523"/>
      <w:bookmarkEnd w:id="8524"/>
      <w:bookmarkEnd w:id="8525"/>
      <w:bookmarkEnd w:id="8526"/>
      <w:r>
        <w:rPr>
          <w:rFonts w:ascii="Arial Bold" w:hAnsi="Arial Bold"/>
          <w:szCs w:val="22"/>
          <w:lang w:val="fr-FR" w:eastAsia="en-US"/>
        </w:rPr>
        <w:t>Void</w:t>
      </w:r>
      <w:bookmarkEnd w:id="8527"/>
      <w:bookmarkEnd w:id="8528"/>
    </w:p>
    <w:p w14:paraId="25C2B3DC"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8529" w:name="_Toc536552403"/>
      <w:bookmarkStart w:id="8530" w:name="_Toc536552404"/>
      <w:bookmarkStart w:id="8531" w:name="_Toc536552405"/>
      <w:bookmarkStart w:id="8532" w:name="_Toc536552406"/>
      <w:bookmarkStart w:id="8533" w:name="_Toc536552407"/>
      <w:bookmarkStart w:id="8534" w:name="_Toc448998312"/>
      <w:bookmarkStart w:id="8535" w:name="_Toc422150815"/>
      <w:bookmarkStart w:id="8536" w:name="_Toc421874400"/>
      <w:bookmarkStart w:id="8537" w:name="_Toc420594937"/>
      <w:bookmarkStart w:id="8538" w:name="_Toc398214950"/>
      <w:bookmarkStart w:id="8539" w:name="_Toc375158366"/>
      <w:bookmarkStart w:id="8540" w:name="_Toc374348550"/>
      <w:bookmarkStart w:id="8541" w:name="_Toc368932374"/>
      <w:bookmarkStart w:id="8542" w:name="_Toc486332929"/>
      <w:bookmarkStart w:id="8543" w:name="_Toc1977461"/>
      <w:bookmarkStart w:id="8544" w:name="_Ref31623153"/>
      <w:bookmarkStart w:id="8545" w:name="_Toc37062620"/>
      <w:bookmarkStart w:id="8546" w:name="_Ref84540905"/>
      <w:bookmarkStart w:id="8547" w:name="_Ref84540989"/>
      <w:bookmarkStart w:id="8548" w:name="_Toc88839682"/>
      <w:bookmarkStart w:id="8549" w:name="_Toc121504090"/>
      <w:bookmarkEnd w:id="8529"/>
      <w:bookmarkEnd w:id="8530"/>
      <w:bookmarkEnd w:id="8531"/>
      <w:bookmarkEnd w:id="8532"/>
      <w:bookmarkEnd w:id="8533"/>
      <w:r>
        <w:rPr>
          <w:rFonts w:ascii="Arial Bold" w:hAnsi="Arial Bold"/>
          <w:sz w:val="24"/>
          <w:szCs w:val="24"/>
          <w:lang w:eastAsia="en-US"/>
        </w:rPr>
        <w:t>Complex Type Mapping</w:t>
      </w:r>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p>
    <w:p w14:paraId="397AD10B" w14:textId="77777777" w:rsidR="00B97365" w:rsidRDefault="00000000">
      <w:pPr>
        <w:spacing w:before="0" w:after="200" w:line="276" w:lineRule="auto"/>
        <w:jc w:val="left"/>
        <w:rPr>
          <w:szCs w:val="22"/>
          <w:lang w:eastAsia="en-US"/>
        </w:rPr>
      </w:pPr>
      <w:r>
        <w:rPr>
          <w:szCs w:val="22"/>
          <w:lang w:val="en-US" w:eastAsia="en-US"/>
        </w:rPr>
        <w:t xml:space="preserve">Common complex types already defined in version 3 of this specification are located in </w:t>
      </w:r>
      <w:r>
        <w:rPr>
          <w:b/>
          <w:szCs w:val="22"/>
          <w:lang w:val="en-US" w:eastAsia="en-US"/>
        </w:rPr>
        <w:t>euicc.common.types.xsd</w:t>
      </w:r>
      <w:r>
        <w:rPr>
          <w:szCs w:val="22"/>
          <w:lang w:val="en-US" w:eastAsia="en-US"/>
        </w:rPr>
        <w:t xml:space="preserve"> file.</w:t>
      </w:r>
    </w:p>
    <w:tbl>
      <w:tblPr>
        <w:tblStyle w:val="TableGrid"/>
        <w:tblW w:w="9453" w:type="dxa"/>
        <w:tblLook w:val="04A0" w:firstRow="1" w:lastRow="0" w:firstColumn="1" w:lastColumn="0" w:noHBand="0" w:noVBand="1"/>
      </w:tblPr>
      <w:tblGrid>
        <w:gridCol w:w="1427"/>
        <w:gridCol w:w="3212"/>
        <w:gridCol w:w="4814"/>
      </w:tblGrid>
      <w:tr w:rsidR="00B97365" w14:paraId="11FF13E5" w14:textId="77777777">
        <w:trPr>
          <w:trHeight w:val="435"/>
        </w:trPr>
        <w:tc>
          <w:tcPr>
            <w:tcW w:w="1427" w:type="dxa"/>
            <w:shd w:val="clear" w:color="auto" w:fill="C00000"/>
          </w:tcPr>
          <w:p w14:paraId="37B26FD5" w14:textId="77777777" w:rsidR="00B97365" w:rsidRDefault="00000000">
            <w:pPr>
              <w:spacing w:before="0" w:after="200" w:line="276" w:lineRule="auto"/>
              <w:jc w:val="left"/>
              <w:rPr>
                <w:b/>
                <w:szCs w:val="22"/>
                <w:lang w:eastAsia="en-US"/>
              </w:rPr>
            </w:pPr>
            <w:r>
              <w:rPr>
                <w:b/>
                <w:szCs w:val="22"/>
                <w:lang w:eastAsia="en-US"/>
              </w:rPr>
              <w:t>Type</w:t>
            </w:r>
          </w:p>
        </w:tc>
        <w:tc>
          <w:tcPr>
            <w:tcW w:w="3090" w:type="dxa"/>
            <w:shd w:val="clear" w:color="auto" w:fill="C00000"/>
          </w:tcPr>
          <w:p w14:paraId="53791A3D" w14:textId="77777777" w:rsidR="00B97365" w:rsidRDefault="00000000">
            <w:pPr>
              <w:spacing w:before="0" w:after="200" w:line="276" w:lineRule="auto"/>
              <w:jc w:val="left"/>
              <w:rPr>
                <w:b/>
                <w:szCs w:val="22"/>
                <w:lang w:eastAsia="en-US"/>
              </w:rPr>
            </w:pPr>
            <w:r>
              <w:rPr>
                <w:b/>
                <w:szCs w:val="22"/>
                <w:lang w:eastAsia="en-US"/>
              </w:rPr>
              <w:t>XML Type</w:t>
            </w:r>
          </w:p>
        </w:tc>
        <w:tc>
          <w:tcPr>
            <w:tcW w:w="4936" w:type="dxa"/>
            <w:shd w:val="clear" w:color="auto" w:fill="C00000"/>
          </w:tcPr>
          <w:p w14:paraId="67F08A86" w14:textId="77777777" w:rsidR="00B97365" w:rsidRDefault="00000000">
            <w:pPr>
              <w:spacing w:before="0" w:after="200" w:line="276" w:lineRule="auto"/>
              <w:jc w:val="left"/>
              <w:rPr>
                <w:b/>
                <w:szCs w:val="22"/>
                <w:lang w:eastAsia="en-US"/>
              </w:rPr>
            </w:pPr>
            <w:r>
              <w:rPr>
                <w:b/>
                <w:szCs w:val="22"/>
                <w:lang w:eastAsia="en-US"/>
              </w:rPr>
              <w:t>Description</w:t>
            </w:r>
          </w:p>
        </w:tc>
      </w:tr>
      <w:tr w:rsidR="00B97365" w14:paraId="1D57789F" w14:textId="77777777">
        <w:trPr>
          <w:trHeight w:val="435"/>
        </w:trPr>
        <w:tc>
          <w:tcPr>
            <w:tcW w:w="1427" w:type="dxa"/>
          </w:tcPr>
          <w:p w14:paraId="01AAEA2C" w14:textId="77777777" w:rsidR="00B97365" w:rsidRDefault="00000000">
            <w:pPr>
              <w:spacing w:before="0" w:after="200" w:line="276" w:lineRule="auto"/>
              <w:jc w:val="left"/>
              <w:rPr>
                <w:szCs w:val="22"/>
                <w:lang w:eastAsia="en-US"/>
              </w:rPr>
            </w:pPr>
            <w:r>
              <w:rPr>
                <w:szCs w:val="22"/>
                <w:lang w:eastAsia="en-US"/>
              </w:rPr>
              <w:t>EIS</w:t>
            </w:r>
          </w:p>
        </w:tc>
        <w:tc>
          <w:tcPr>
            <w:tcW w:w="3090" w:type="dxa"/>
          </w:tcPr>
          <w:p w14:paraId="14E65362" w14:textId="77777777" w:rsidR="00B97365" w:rsidRDefault="00000000">
            <w:pPr>
              <w:spacing w:before="0" w:after="200" w:line="276" w:lineRule="auto"/>
              <w:jc w:val="left"/>
              <w:rPr>
                <w:szCs w:val="22"/>
                <w:lang w:eastAsia="en-US"/>
              </w:rPr>
            </w:pPr>
            <w:r>
              <w:rPr>
                <w:szCs w:val="22"/>
                <w:lang w:eastAsia="en-US"/>
              </w:rPr>
              <w:t>rps3:EISType</w:t>
            </w:r>
          </w:p>
        </w:tc>
        <w:tc>
          <w:tcPr>
            <w:tcW w:w="4936" w:type="dxa"/>
          </w:tcPr>
          <w:p w14:paraId="63198F53" w14:textId="4ED4B734" w:rsidR="00B97365" w:rsidRDefault="00000000">
            <w:pPr>
              <w:spacing w:before="0" w:after="200" w:line="276" w:lineRule="auto"/>
              <w:jc w:val="left"/>
              <w:rPr>
                <w:szCs w:val="22"/>
                <w:lang w:val="en-US" w:eastAsia="en-GB" w:bidi="ar-SA"/>
              </w:rPr>
            </w:pPr>
            <w:r>
              <w:rPr>
                <w:rFonts w:cs="Arial"/>
                <w:szCs w:val="22"/>
                <w:lang w:val="en-US" w:eastAsia="en-GB" w:bidi="ar-SA"/>
              </w:rPr>
              <w:t xml:space="preserve">The EIS type defined in section </w:t>
            </w:r>
            <w:r>
              <w:fldChar w:fldCharType="begin"/>
            </w:r>
            <w:r>
              <w:instrText xml:space="preserve"> REF _Ref367976581 \r \h  \* MERGEFORMAT </w:instrText>
            </w:r>
            <w:r>
              <w:fldChar w:fldCharType="separate"/>
            </w:r>
            <w:r w:rsidR="001D5AD9" w:rsidRPr="001D5AD9">
              <w:rPr>
                <w:szCs w:val="22"/>
                <w:lang w:val="en-US" w:eastAsia="en-GB" w:bidi="ar-SA"/>
              </w:rPr>
              <w:t>5.1.1.2.13</w:t>
            </w:r>
            <w:r>
              <w:fldChar w:fldCharType="end"/>
            </w:r>
            <w:r>
              <w:rPr>
                <w:szCs w:val="22"/>
                <w:lang w:val="en-US" w:eastAsia="en-GB" w:bidi="ar-SA"/>
              </w:rPr>
              <w:t xml:space="preserve"> SHALL be mapped to the &lt;rps3: EISType&gt;. This type contains the whole information defined for EIS, but depending on the function where it is used, it may be filled with only a partial content.</w:t>
            </w:r>
          </w:p>
          <w:p w14:paraId="669C40E3" w14:textId="77777777" w:rsidR="00B97365" w:rsidRDefault="00000000">
            <w:pPr>
              <w:spacing w:before="0" w:after="200" w:line="276" w:lineRule="auto"/>
              <w:jc w:val="left"/>
              <w:rPr>
                <w:szCs w:val="22"/>
                <w:lang w:val="en-US" w:eastAsia="en-GB" w:bidi="ar-SA"/>
              </w:rPr>
            </w:pPr>
            <w:r>
              <w:rPr>
                <w:rFonts w:cs="Arial"/>
                <w:szCs w:val="22"/>
                <w:lang w:val="en-US" w:eastAsia="en-GB" w:bidi="ar-SA"/>
              </w:rPr>
              <w:lastRenderedPageBreak/>
              <w:t xml:space="preserve">All information requiring to be signed by the EUM at registration time is regrouped under the element &lt;rps3:EumSignedInfo&gt;. The signature is provided within the &lt;ds:Signature&gt; element (see section </w:t>
            </w:r>
            <w:r>
              <w:t>A.10</w:t>
            </w:r>
            <w:r>
              <w:rPr>
                <w:szCs w:val="22"/>
                <w:lang w:val="en-US" w:eastAsia="en-GB" w:bidi="ar-SA"/>
              </w:rPr>
              <w:t xml:space="preserve"> of this Annex).</w:t>
            </w:r>
          </w:p>
          <w:p w14:paraId="13722739" w14:textId="77777777" w:rsidR="00B97365" w:rsidRDefault="00B97365">
            <w:pPr>
              <w:spacing w:before="0" w:after="200" w:line="276" w:lineRule="auto"/>
              <w:jc w:val="left"/>
              <w:rPr>
                <w:rFonts w:cs="Arial"/>
                <w:szCs w:val="22"/>
                <w:lang w:val="en-US" w:eastAsia="en-GB" w:bidi="ar-SA"/>
              </w:rPr>
            </w:pPr>
          </w:p>
        </w:tc>
      </w:tr>
      <w:tr w:rsidR="00B97365" w14:paraId="3AD06515" w14:textId="77777777">
        <w:trPr>
          <w:trHeight w:val="435"/>
        </w:trPr>
        <w:tc>
          <w:tcPr>
            <w:tcW w:w="1427" w:type="dxa"/>
          </w:tcPr>
          <w:p w14:paraId="3FBB271B" w14:textId="77777777" w:rsidR="00B97365" w:rsidRDefault="00000000">
            <w:pPr>
              <w:spacing w:before="0" w:after="200" w:line="276" w:lineRule="auto"/>
              <w:jc w:val="left"/>
              <w:rPr>
                <w:szCs w:val="22"/>
                <w:lang w:eastAsia="en-US"/>
              </w:rPr>
            </w:pPr>
            <w:r>
              <w:rPr>
                <w:szCs w:val="22"/>
                <w:lang w:eastAsia="en-GB" w:bidi="ar-SA"/>
              </w:rPr>
              <w:lastRenderedPageBreak/>
              <w:t>Additional Properties</w:t>
            </w:r>
          </w:p>
        </w:tc>
        <w:tc>
          <w:tcPr>
            <w:tcW w:w="3090" w:type="dxa"/>
          </w:tcPr>
          <w:p w14:paraId="09D80B42" w14:textId="77777777" w:rsidR="00B97365" w:rsidRDefault="00000000">
            <w:pPr>
              <w:spacing w:before="0" w:after="200" w:line="276" w:lineRule="auto"/>
              <w:jc w:val="left"/>
              <w:rPr>
                <w:szCs w:val="22"/>
                <w:lang w:eastAsia="en-US"/>
              </w:rPr>
            </w:pPr>
            <w:r>
              <w:rPr>
                <w:szCs w:val="22"/>
                <w:lang w:eastAsia="en-US"/>
              </w:rPr>
              <w:t>rps3:</w:t>
            </w:r>
            <w:r>
              <w:rPr>
                <w:szCs w:val="22"/>
                <w:lang w:eastAsia="en-GB" w:bidi="ar-SA"/>
              </w:rPr>
              <w:t>AdditionalProperties</w:t>
            </w:r>
          </w:p>
        </w:tc>
        <w:tc>
          <w:tcPr>
            <w:tcW w:w="4936" w:type="dxa"/>
          </w:tcPr>
          <w:p w14:paraId="40348B4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&lt;rps3:AdditionalProperties&gt; allows a neutral representation of any data based on a "Key:Value pair" representation. Such representation can be used without breaking the XML validation process.</w:t>
            </w:r>
          </w:p>
        </w:tc>
      </w:tr>
      <w:tr w:rsidR="00B97365" w14:paraId="22642290" w14:textId="77777777">
        <w:trPr>
          <w:trHeight w:val="435"/>
        </w:trPr>
        <w:tc>
          <w:tcPr>
            <w:tcW w:w="1427" w:type="dxa"/>
          </w:tcPr>
          <w:p w14:paraId="67C2B03E" w14:textId="77777777" w:rsidR="00B97365" w:rsidRDefault="00000000">
            <w:pPr>
              <w:spacing w:before="0" w:after="200" w:line="276" w:lineRule="auto"/>
              <w:jc w:val="left"/>
              <w:rPr>
                <w:szCs w:val="22"/>
                <w:lang w:eastAsia="en-GB" w:bidi="ar-SA"/>
              </w:rPr>
            </w:pPr>
            <w:r>
              <w:rPr>
                <w:szCs w:val="22"/>
                <w:lang w:eastAsia="en-GB" w:bidi="ar-SA"/>
              </w:rPr>
              <w:t>Eum Signed Info</w:t>
            </w:r>
          </w:p>
        </w:tc>
        <w:tc>
          <w:tcPr>
            <w:tcW w:w="3090" w:type="dxa"/>
          </w:tcPr>
          <w:p w14:paraId="32F01DA8" w14:textId="77777777" w:rsidR="00B97365" w:rsidRDefault="00000000">
            <w:pPr>
              <w:spacing w:before="0" w:after="200" w:line="276" w:lineRule="auto"/>
              <w:jc w:val="left"/>
              <w:rPr>
                <w:szCs w:val="22"/>
                <w:lang w:eastAsia="en-US"/>
              </w:rPr>
            </w:pPr>
            <w:r>
              <w:rPr>
                <w:szCs w:val="22"/>
                <w:lang w:eastAsia="en-US"/>
              </w:rPr>
              <w:t>rps3:EumSignedInfo</w:t>
            </w:r>
          </w:p>
        </w:tc>
        <w:tc>
          <w:tcPr>
            <w:tcW w:w="4936" w:type="dxa"/>
          </w:tcPr>
          <w:p w14:paraId="40AE756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&lt;rps3:EumSignedInfo&gt; element contains all data included in the signature performed by the EUM.</w:t>
            </w:r>
          </w:p>
          <w:p w14:paraId="7FDB7D5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All other data of the EIS are not signed.</w:t>
            </w:r>
          </w:p>
        </w:tc>
      </w:tr>
      <w:tr w:rsidR="00B97365" w14:paraId="0D080E3F" w14:textId="77777777">
        <w:trPr>
          <w:trHeight w:val="435"/>
        </w:trPr>
        <w:tc>
          <w:tcPr>
            <w:tcW w:w="1427" w:type="dxa"/>
          </w:tcPr>
          <w:p w14:paraId="768EAB60" w14:textId="77777777" w:rsidR="00B97365" w:rsidRDefault="00000000">
            <w:pPr>
              <w:spacing w:before="0" w:after="200" w:line="276" w:lineRule="auto"/>
              <w:jc w:val="left"/>
              <w:rPr>
                <w:szCs w:val="22"/>
                <w:lang w:eastAsia="en-GB" w:bidi="ar-SA"/>
              </w:rPr>
            </w:pPr>
            <w:r>
              <w:rPr>
                <w:szCs w:val="22"/>
                <w:lang w:eastAsia="en-GB" w:bidi="ar-SA"/>
              </w:rPr>
              <w:t>Profile Info</w:t>
            </w:r>
          </w:p>
        </w:tc>
        <w:tc>
          <w:tcPr>
            <w:tcW w:w="3090" w:type="dxa"/>
          </w:tcPr>
          <w:p w14:paraId="5A518380" w14:textId="77777777" w:rsidR="00B97365" w:rsidRDefault="00000000">
            <w:pPr>
              <w:spacing w:before="0" w:after="200" w:line="276" w:lineRule="auto"/>
              <w:jc w:val="left"/>
              <w:rPr>
                <w:szCs w:val="22"/>
                <w:lang w:eastAsia="en-US"/>
              </w:rPr>
            </w:pPr>
            <w:r>
              <w:rPr>
                <w:szCs w:val="22"/>
                <w:lang w:eastAsia="en-US"/>
              </w:rPr>
              <w:t>rps3:ProfileInfo</w:t>
            </w:r>
          </w:p>
        </w:tc>
        <w:tc>
          <w:tcPr>
            <w:tcW w:w="4936" w:type="dxa"/>
          </w:tcPr>
          <w:p w14:paraId="042EA8A2" w14:textId="7B6F96FB" w:rsidR="00B97365" w:rsidRDefault="00000000">
            <w:pPr>
              <w:spacing w:before="0" w:after="200" w:line="276" w:lineRule="auto"/>
              <w:jc w:val="left"/>
              <w:rPr>
                <w:szCs w:val="22"/>
                <w:lang w:val="en-US" w:eastAsia="en-GB" w:bidi="ar-SA"/>
              </w:rPr>
            </w:pPr>
            <w:r>
              <w:rPr>
                <w:rFonts w:cs="Arial"/>
                <w:szCs w:val="22"/>
                <w:lang w:val="en-US" w:eastAsia="en-GB" w:bidi="ar-SA"/>
              </w:rPr>
              <w:t xml:space="preserve">The &lt;rps3:ProfileInfo&gt; element contains the description of one Profile loaded on the eUICC (the &lt;rps3:Eis&gt; may contain several Profile &lt;rps3:ProfileInfo&gt;). The &lt;rps3:ProfileInfo&gt; maps the PROFILE INFO type defined in section </w:t>
            </w:r>
            <w:r>
              <w:fldChar w:fldCharType="begin"/>
            </w:r>
            <w:r>
              <w:instrText xml:space="preserve"> REF _Ref367977077 \r \h  \* MERGEFORMAT </w:instrText>
            </w:r>
            <w:r>
              <w:fldChar w:fldCharType="separate"/>
            </w:r>
            <w:r w:rsidR="001D5AD9" w:rsidRPr="001D5AD9">
              <w:rPr>
                <w:szCs w:val="22"/>
                <w:lang w:val="en-US" w:eastAsia="en-GB" w:bidi="ar-SA"/>
              </w:rPr>
              <w:t>5.1.1.2.4</w:t>
            </w:r>
            <w:r>
              <w:fldChar w:fldCharType="end"/>
            </w:r>
            <w:r>
              <w:rPr>
                <w:szCs w:val="22"/>
                <w:lang w:val="en-US" w:eastAsia="en-GB" w:bidi="ar-SA"/>
              </w:rPr>
              <w:t>.</w:t>
            </w:r>
          </w:p>
        </w:tc>
      </w:tr>
      <w:tr w:rsidR="00B97365" w14:paraId="6F33C4F2" w14:textId="77777777">
        <w:trPr>
          <w:trHeight w:val="435"/>
        </w:trPr>
        <w:tc>
          <w:tcPr>
            <w:tcW w:w="1427" w:type="dxa"/>
          </w:tcPr>
          <w:p w14:paraId="09172DA1" w14:textId="77777777" w:rsidR="00B97365" w:rsidRDefault="00000000">
            <w:pPr>
              <w:spacing w:before="0" w:after="200" w:line="276" w:lineRule="auto"/>
              <w:jc w:val="left"/>
              <w:rPr>
                <w:szCs w:val="22"/>
                <w:lang w:eastAsia="en-GB" w:bidi="ar-SA"/>
              </w:rPr>
            </w:pPr>
            <w:r>
              <w:rPr>
                <w:szCs w:val="22"/>
                <w:lang w:eastAsia="en-GB" w:bidi="ar-SA"/>
              </w:rPr>
              <w:t>Security Domain</w:t>
            </w:r>
          </w:p>
        </w:tc>
        <w:tc>
          <w:tcPr>
            <w:tcW w:w="3090" w:type="dxa"/>
          </w:tcPr>
          <w:p w14:paraId="593E2971" w14:textId="77777777" w:rsidR="00B97365" w:rsidRDefault="00000000">
            <w:pPr>
              <w:spacing w:before="0" w:after="200" w:line="276" w:lineRule="auto"/>
              <w:jc w:val="left"/>
              <w:rPr>
                <w:szCs w:val="22"/>
                <w:lang w:eastAsia="en-US"/>
              </w:rPr>
            </w:pPr>
            <w:r>
              <w:rPr>
                <w:szCs w:val="22"/>
                <w:lang w:eastAsia="en-US"/>
              </w:rPr>
              <w:t>rps3:SecurityDomainType</w:t>
            </w:r>
          </w:p>
        </w:tc>
        <w:tc>
          <w:tcPr>
            <w:tcW w:w="4936" w:type="dxa"/>
          </w:tcPr>
          <w:p w14:paraId="40C8B77B" w14:textId="360AB801"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&lt;rps3:SecurityDomainType&gt; provides description of a Security Domain and maps the SECURITY-DOMAIN type defined in section </w:t>
            </w:r>
            <w:r>
              <w:rPr>
                <w:rFonts w:cs="Arial"/>
                <w:szCs w:val="22"/>
                <w:lang w:eastAsia="en-GB" w:bidi="ar-SA"/>
              </w:rPr>
              <w:fldChar w:fldCharType="begin"/>
            </w:r>
            <w:r>
              <w:rPr>
                <w:rFonts w:cs="Arial"/>
                <w:szCs w:val="22"/>
                <w:lang w:eastAsia="en-GB" w:bidi="ar-SA"/>
              </w:rPr>
              <w:instrText xml:space="preserve"> REF _Ref367977310 \r \h  \* MERGEFORMAT </w:instrText>
            </w:r>
            <w:r>
              <w:rPr>
                <w:rFonts w:cs="Arial"/>
                <w:szCs w:val="22"/>
                <w:lang w:eastAsia="en-GB" w:bidi="ar-SA"/>
              </w:rPr>
            </w:r>
            <w:r>
              <w:rPr>
                <w:rFonts w:cs="Arial"/>
                <w:szCs w:val="22"/>
                <w:lang w:eastAsia="en-GB" w:bidi="ar-SA"/>
              </w:rPr>
              <w:fldChar w:fldCharType="separate"/>
            </w:r>
            <w:r w:rsidR="001D5AD9" w:rsidRPr="001D5AD9">
              <w:rPr>
                <w:rFonts w:cs="Arial"/>
                <w:szCs w:val="22"/>
                <w:lang w:val="en-US" w:eastAsia="en-GB" w:bidi="ar-SA"/>
              </w:rPr>
              <w:t>5.1.1.2.9</w:t>
            </w:r>
            <w:r>
              <w:rPr>
                <w:rFonts w:cs="Arial"/>
                <w:szCs w:val="22"/>
                <w:lang w:val="en-US" w:eastAsia="en-GB" w:bidi="ar-SA"/>
              </w:rPr>
              <w:fldChar w:fldCharType="end"/>
            </w:r>
            <w:r>
              <w:rPr>
                <w:rFonts w:cs="Arial"/>
                <w:szCs w:val="22"/>
                <w:lang w:val="en-US" w:eastAsia="en-GB" w:bidi="ar-SA"/>
              </w:rPr>
              <w:t>. It is used to contain the information of the ISD-R and ECASD.</w:t>
            </w:r>
          </w:p>
        </w:tc>
      </w:tr>
      <w:tr w:rsidR="00B97365" w14:paraId="6D383EFF" w14:textId="77777777">
        <w:trPr>
          <w:trHeight w:val="435"/>
        </w:trPr>
        <w:tc>
          <w:tcPr>
            <w:tcW w:w="1427" w:type="dxa"/>
          </w:tcPr>
          <w:p w14:paraId="30175AE5" w14:textId="77777777" w:rsidR="00B97365" w:rsidRDefault="00000000">
            <w:pPr>
              <w:spacing w:before="0" w:after="200" w:line="276" w:lineRule="auto"/>
              <w:jc w:val="left"/>
              <w:rPr>
                <w:szCs w:val="22"/>
                <w:lang w:eastAsia="en-GB" w:bidi="ar-SA"/>
              </w:rPr>
            </w:pPr>
            <w:r>
              <w:rPr>
                <w:szCs w:val="22"/>
                <w:lang w:eastAsia="en-GB" w:bidi="ar-SA"/>
              </w:rPr>
              <w:t>Key Set</w:t>
            </w:r>
          </w:p>
        </w:tc>
        <w:tc>
          <w:tcPr>
            <w:tcW w:w="3090" w:type="dxa"/>
          </w:tcPr>
          <w:p w14:paraId="0B06DB16" w14:textId="77777777" w:rsidR="00B97365" w:rsidRDefault="00000000">
            <w:pPr>
              <w:spacing w:before="0" w:after="200" w:line="276" w:lineRule="auto"/>
              <w:jc w:val="left"/>
              <w:rPr>
                <w:szCs w:val="22"/>
                <w:lang w:eastAsia="en-US"/>
              </w:rPr>
            </w:pPr>
            <w:r>
              <w:rPr>
                <w:szCs w:val="22"/>
                <w:lang w:eastAsia="en-US"/>
              </w:rPr>
              <w:t>rps3:KeySet</w:t>
            </w:r>
          </w:p>
        </w:tc>
        <w:tc>
          <w:tcPr>
            <w:tcW w:w="4936" w:type="dxa"/>
          </w:tcPr>
          <w:p w14:paraId="210F90F1" w14:textId="7E777B65" w:rsidR="00B97365" w:rsidRDefault="00000000">
            <w:pPr>
              <w:spacing w:before="0" w:after="200" w:line="276" w:lineRule="auto"/>
              <w:jc w:val="left"/>
              <w:rPr>
                <w:szCs w:val="22"/>
                <w:lang w:val="en-US" w:eastAsia="en-GB" w:bidi="ar-SA"/>
              </w:rPr>
            </w:pPr>
            <w:r>
              <w:rPr>
                <w:rFonts w:cs="Arial"/>
                <w:szCs w:val="22"/>
                <w:lang w:val="en-US" w:eastAsia="en-GB" w:bidi="ar-SA"/>
              </w:rPr>
              <w:t xml:space="preserve">The &lt;rps3:Keyset&gt; element contains the description of a key set and maps the KEYSET type defined in section </w:t>
            </w:r>
            <w:r>
              <w:fldChar w:fldCharType="begin"/>
            </w:r>
            <w:r>
              <w:instrText xml:space="preserve"> REF _Ref367977409 \r \h  \* MERGEFORMAT </w:instrText>
            </w:r>
            <w:r>
              <w:fldChar w:fldCharType="separate"/>
            </w:r>
            <w:r w:rsidR="001D5AD9" w:rsidRPr="001D5AD9">
              <w:rPr>
                <w:szCs w:val="22"/>
                <w:lang w:val="en-US" w:eastAsia="en-GB" w:bidi="ar-SA"/>
              </w:rPr>
              <w:t>5.1.1.2.8</w:t>
            </w:r>
            <w:r>
              <w:fldChar w:fldCharType="end"/>
            </w:r>
            <w:r>
              <w:rPr>
                <w:szCs w:val="22"/>
                <w:lang w:val="en-US" w:eastAsia="en-GB" w:bidi="ar-SA"/>
              </w:rPr>
              <w:t>.</w:t>
            </w:r>
          </w:p>
        </w:tc>
      </w:tr>
      <w:tr w:rsidR="00B97365" w14:paraId="64AE6DCA" w14:textId="77777777">
        <w:trPr>
          <w:trHeight w:val="435"/>
        </w:trPr>
        <w:tc>
          <w:tcPr>
            <w:tcW w:w="1427" w:type="dxa"/>
          </w:tcPr>
          <w:p w14:paraId="21D5A77D" w14:textId="77777777" w:rsidR="00B97365" w:rsidRDefault="00000000">
            <w:pPr>
              <w:spacing w:before="0" w:after="200" w:line="276" w:lineRule="auto"/>
              <w:jc w:val="left"/>
              <w:rPr>
                <w:szCs w:val="22"/>
                <w:lang w:eastAsia="en-GB" w:bidi="ar-SA"/>
              </w:rPr>
            </w:pPr>
            <w:r>
              <w:rPr>
                <w:szCs w:val="22"/>
                <w:lang w:eastAsia="en-GB" w:bidi="ar-SA"/>
              </w:rPr>
              <w:t>Key Type</w:t>
            </w:r>
          </w:p>
        </w:tc>
        <w:tc>
          <w:tcPr>
            <w:tcW w:w="3090" w:type="dxa"/>
          </w:tcPr>
          <w:p w14:paraId="1C871ACA" w14:textId="77777777" w:rsidR="00B97365" w:rsidRDefault="00000000">
            <w:pPr>
              <w:spacing w:before="0" w:after="200" w:line="276" w:lineRule="auto"/>
              <w:jc w:val="left"/>
              <w:rPr>
                <w:szCs w:val="22"/>
                <w:lang w:eastAsia="en-US"/>
              </w:rPr>
            </w:pPr>
            <w:r>
              <w:rPr>
                <w:szCs w:val="22"/>
                <w:lang w:eastAsia="en-US"/>
              </w:rPr>
              <w:t>rps3:KeyType</w:t>
            </w:r>
          </w:p>
        </w:tc>
        <w:tc>
          <w:tcPr>
            <w:tcW w:w="4936" w:type="dxa"/>
          </w:tcPr>
          <w:p w14:paraId="061B6997" w14:textId="69EF3A78" w:rsidR="00B97365" w:rsidRDefault="00000000">
            <w:pPr>
              <w:spacing w:before="0" w:after="200" w:line="276" w:lineRule="auto"/>
              <w:jc w:val="left"/>
              <w:rPr>
                <w:szCs w:val="22"/>
                <w:lang w:val="en-US" w:eastAsia="en-GB" w:bidi="ar-SA"/>
              </w:rPr>
            </w:pPr>
            <w:r>
              <w:rPr>
                <w:rFonts w:cs="Arial"/>
                <w:szCs w:val="22"/>
                <w:lang w:val="en-US" w:eastAsia="en-GB" w:bidi="ar-SA"/>
              </w:rPr>
              <w:t xml:space="preserve">The &lt;rps3:KeyType&gt; contains the description of a key and maps the KEY type defined in section </w:t>
            </w:r>
            <w:r>
              <w:fldChar w:fldCharType="begin"/>
            </w:r>
            <w:r>
              <w:instrText xml:space="preserve"> REF _Ref367977469 \r \h  \* MERGEFORMAT </w:instrText>
            </w:r>
            <w:r>
              <w:fldChar w:fldCharType="separate"/>
            </w:r>
            <w:r w:rsidR="001D5AD9" w:rsidRPr="001D5AD9">
              <w:rPr>
                <w:szCs w:val="22"/>
                <w:lang w:val="en-US" w:eastAsia="en-GB" w:bidi="ar-SA"/>
              </w:rPr>
              <w:t>5.1.1.2.6</w:t>
            </w:r>
            <w:r>
              <w:fldChar w:fldCharType="end"/>
            </w:r>
            <w:r>
              <w:rPr>
                <w:szCs w:val="22"/>
                <w:lang w:val="en-US" w:eastAsia="en-GB" w:bidi="ar-SA"/>
              </w:rPr>
              <w:t>.</w:t>
            </w:r>
          </w:p>
        </w:tc>
      </w:tr>
      <w:tr w:rsidR="00B97365" w14:paraId="55F50144" w14:textId="77777777">
        <w:trPr>
          <w:trHeight w:val="435"/>
        </w:trPr>
        <w:tc>
          <w:tcPr>
            <w:tcW w:w="1427" w:type="dxa"/>
          </w:tcPr>
          <w:p w14:paraId="12B6D778" w14:textId="77777777" w:rsidR="00B97365" w:rsidRDefault="00000000">
            <w:pPr>
              <w:spacing w:before="0" w:after="200" w:line="276" w:lineRule="auto"/>
              <w:jc w:val="left"/>
              <w:rPr>
                <w:szCs w:val="22"/>
                <w:lang w:eastAsia="en-GB" w:bidi="ar-SA"/>
              </w:rPr>
            </w:pPr>
            <w:r>
              <w:rPr>
                <w:szCs w:val="22"/>
                <w:lang w:eastAsia="en-GB" w:bidi="ar-SA"/>
              </w:rPr>
              <w:t>Key Component</w:t>
            </w:r>
          </w:p>
        </w:tc>
        <w:tc>
          <w:tcPr>
            <w:tcW w:w="3090" w:type="dxa"/>
          </w:tcPr>
          <w:p w14:paraId="0B74DE74" w14:textId="77777777" w:rsidR="00B97365" w:rsidRDefault="00000000">
            <w:pPr>
              <w:spacing w:before="0" w:after="200" w:line="276" w:lineRule="auto"/>
              <w:jc w:val="left"/>
              <w:rPr>
                <w:szCs w:val="22"/>
                <w:lang w:eastAsia="en-US"/>
              </w:rPr>
            </w:pPr>
            <w:r>
              <w:rPr>
                <w:szCs w:val="22"/>
                <w:lang w:eastAsia="en-US"/>
              </w:rPr>
              <w:t>rps3:KeyComponent</w:t>
            </w:r>
          </w:p>
        </w:tc>
        <w:tc>
          <w:tcPr>
            <w:tcW w:w="4936" w:type="dxa"/>
          </w:tcPr>
          <w:p w14:paraId="1D86C309" w14:textId="1B86A8A0" w:rsidR="00B97365" w:rsidRDefault="00000000">
            <w:pPr>
              <w:spacing w:before="0" w:after="200" w:line="276" w:lineRule="auto"/>
              <w:jc w:val="left"/>
              <w:rPr>
                <w:szCs w:val="22"/>
                <w:lang w:val="en-US" w:eastAsia="en-GB" w:bidi="ar-SA"/>
              </w:rPr>
            </w:pPr>
            <w:r>
              <w:rPr>
                <w:rFonts w:cs="Arial"/>
                <w:szCs w:val="22"/>
                <w:lang w:val="en-US" w:eastAsia="en-GB" w:bidi="ar-SA"/>
              </w:rPr>
              <w:t xml:space="preserve">The &lt;rps3:KeyComponent&gt; element contains the description of a key component and maps the KEY-COMPONENT type defined in section </w:t>
            </w:r>
            <w:r>
              <w:fldChar w:fldCharType="begin"/>
            </w:r>
            <w:r>
              <w:instrText xml:space="preserve"> REF _Ref367977502 \r \h  \* MERGEFORMAT </w:instrText>
            </w:r>
            <w:r>
              <w:fldChar w:fldCharType="separate"/>
            </w:r>
            <w:r w:rsidR="001D5AD9" w:rsidRPr="001D5AD9">
              <w:rPr>
                <w:szCs w:val="22"/>
                <w:lang w:val="en-US" w:eastAsia="en-GB" w:bidi="ar-SA"/>
              </w:rPr>
              <w:t>5.1.1.2.5</w:t>
            </w:r>
            <w:r>
              <w:fldChar w:fldCharType="end"/>
            </w:r>
            <w:r>
              <w:rPr>
                <w:szCs w:val="22"/>
                <w:lang w:val="en-US" w:eastAsia="en-GB" w:bidi="ar-SA"/>
              </w:rPr>
              <w:t>.</w:t>
            </w:r>
          </w:p>
        </w:tc>
      </w:tr>
      <w:tr w:rsidR="00B97365" w14:paraId="47CF8E2A" w14:textId="77777777">
        <w:trPr>
          <w:trHeight w:val="435"/>
        </w:trPr>
        <w:tc>
          <w:tcPr>
            <w:tcW w:w="1427" w:type="dxa"/>
          </w:tcPr>
          <w:p w14:paraId="333E751B" w14:textId="77777777" w:rsidR="00B97365" w:rsidRDefault="00000000">
            <w:pPr>
              <w:spacing w:before="0" w:after="200" w:line="276" w:lineRule="auto"/>
              <w:jc w:val="left"/>
              <w:rPr>
                <w:szCs w:val="22"/>
                <w:lang w:eastAsia="en-GB" w:bidi="ar-SA"/>
              </w:rPr>
            </w:pPr>
            <w:r>
              <w:rPr>
                <w:szCs w:val="22"/>
                <w:lang w:eastAsia="en-GB" w:bidi="ar-SA"/>
              </w:rPr>
              <w:t>GP Certificate</w:t>
            </w:r>
          </w:p>
        </w:tc>
        <w:tc>
          <w:tcPr>
            <w:tcW w:w="3090" w:type="dxa"/>
          </w:tcPr>
          <w:p w14:paraId="7E1F59C2" w14:textId="77777777" w:rsidR="00B97365" w:rsidRDefault="00000000">
            <w:pPr>
              <w:spacing w:before="0" w:after="200" w:line="276" w:lineRule="auto"/>
              <w:jc w:val="left"/>
              <w:rPr>
                <w:szCs w:val="22"/>
                <w:lang w:eastAsia="en-US"/>
              </w:rPr>
            </w:pPr>
            <w:r>
              <w:rPr>
                <w:szCs w:val="22"/>
                <w:lang w:eastAsia="en-US"/>
              </w:rPr>
              <w:t>rps3:GPCertificateType</w:t>
            </w:r>
          </w:p>
        </w:tc>
        <w:tc>
          <w:tcPr>
            <w:tcW w:w="4936" w:type="dxa"/>
          </w:tcPr>
          <w:p w14:paraId="13C35639" w14:textId="4A39ABD9" w:rsidR="00B97365" w:rsidRDefault="00000000">
            <w:pPr>
              <w:spacing w:before="0" w:after="200" w:line="276" w:lineRule="auto"/>
              <w:jc w:val="left"/>
              <w:rPr>
                <w:szCs w:val="22"/>
                <w:lang w:val="en-US" w:eastAsia="en-GB" w:bidi="ar-SA"/>
              </w:rPr>
            </w:pPr>
            <w:r>
              <w:rPr>
                <w:rFonts w:cs="Arial"/>
                <w:szCs w:val="22"/>
                <w:lang w:val="en-US" w:eastAsia="en-GB" w:bidi="ar-SA"/>
              </w:rPr>
              <w:t xml:space="preserve">The &lt;rps3:GPCertificateType&gt; contains the description of a key and maps the </w:t>
            </w:r>
            <w:r>
              <w:rPr>
                <w:rFonts w:cs="Arial"/>
                <w:szCs w:val="22"/>
                <w:lang w:val="en-US" w:eastAsia="en-GB" w:bidi="ar-SA"/>
              </w:rPr>
              <w:lastRenderedPageBreak/>
              <w:t xml:space="preserve">CERTIFICATE type. defined in section </w:t>
            </w:r>
            <w:r>
              <w:fldChar w:fldCharType="begin"/>
            </w:r>
            <w:r>
              <w:instrText xml:space="preserve"> REF _Ref367977528 \r \h  \* MERGEFORMAT </w:instrText>
            </w:r>
            <w:r>
              <w:fldChar w:fldCharType="separate"/>
            </w:r>
            <w:r w:rsidR="001D5AD9" w:rsidRPr="001D5AD9">
              <w:rPr>
                <w:szCs w:val="22"/>
                <w:lang w:val="en-US" w:eastAsia="en-GB" w:bidi="ar-SA"/>
              </w:rPr>
              <w:t>5.1.1.2.7</w:t>
            </w:r>
            <w:r>
              <w:fldChar w:fldCharType="end"/>
            </w:r>
            <w:r>
              <w:rPr>
                <w:szCs w:val="22"/>
                <w:lang w:val="en-US" w:eastAsia="en-GB" w:bidi="ar-SA"/>
              </w:rPr>
              <w:t>.</w:t>
            </w:r>
          </w:p>
        </w:tc>
      </w:tr>
      <w:tr w:rsidR="00B97365" w14:paraId="77D98E17" w14:textId="77777777">
        <w:trPr>
          <w:trHeight w:val="435"/>
        </w:trPr>
        <w:tc>
          <w:tcPr>
            <w:tcW w:w="1427" w:type="dxa"/>
          </w:tcPr>
          <w:p w14:paraId="008DC9B6" w14:textId="77777777" w:rsidR="00B97365" w:rsidRDefault="00000000">
            <w:pPr>
              <w:spacing w:before="0" w:after="200" w:line="276" w:lineRule="auto"/>
              <w:jc w:val="left"/>
              <w:rPr>
                <w:szCs w:val="22"/>
                <w:lang w:eastAsia="en-GB" w:bidi="ar-SA"/>
              </w:rPr>
            </w:pPr>
            <w:r>
              <w:rPr>
                <w:szCs w:val="22"/>
                <w:lang w:eastAsia="en-GB" w:bidi="ar-SA"/>
              </w:rPr>
              <w:lastRenderedPageBreak/>
              <w:t>Audit Trail</w:t>
            </w:r>
          </w:p>
        </w:tc>
        <w:tc>
          <w:tcPr>
            <w:tcW w:w="3090" w:type="dxa"/>
          </w:tcPr>
          <w:p w14:paraId="5A800689" w14:textId="77777777" w:rsidR="00B97365" w:rsidRDefault="00000000">
            <w:pPr>
              <w:spacing w:before="0" w:after="200" w:line="276" w:lineRule="auto"/>
              <w:jc w:val="left"/>
              <w:rPr>
                <w:szCs w:val="22"/>
                <w:lang w:eastAsia="en-US"/>
              </w:rPr>
            </w:pPr>
            <w:r>
              <w:rPr>
                <w:szCs w:val="22"/>
                <w:lang w:eastAsia="en-US"/>
              </w:rPr>
              <w:t>rps3:AuditTrail</w:t>
            </w:r>
          </w:p>
        </w:tc>
        <w:tc>
          <w:tcPr>
            <w:tcW w:w="4936" w:type="dxa"/>
          </w:tcPr>
          <w:p w14:paraId="7C87912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History of all the platform and Profile Management operations or eUICC notifications related to the eUICC. It contains list of Audit Trail Records.</w:t>
            </w:r>
          </w:p>
        </w:tc>
      </w:tr>
      <w:tr w:rsidR="00B97365" w14:paraId="4127F6AE" w14:textId="77777777">
        <w:trPr>
          <w:trHeight w:val="435"/>
        </w:trPr>
        <w:tc>
          <w:tcPr>
            <w:tcW w:w="1427" w:type="dxa"/>
          </w:tcPr>
          <w:p w14:paraId="702CF646" w14:textId="77777777" w:rsidR="00B97365" w:rsidRDefault="00000000">
            <w:pPr>
              <w:spacing w:before="0" w:after="200" w:line="276" w:lineRule="auto"/>
              <w:jc w:val="left"/>
              <w:rPr>
                <w:szCs w:val="22"/>
                <w:lang w:eastAsia="en-GB" w:bidi="ar-SA"/>
              </w:rPr>
            </w:pPr>
            <w:r>
              <w:rPr>
                <w:szCs w:val="22"/>
                <w:lang w:eastAsia="en-GB" w:bidi="ar-SA"/>
              </w:rPr>
              <w:t>Audit Trail Record</w:t>
            </w:r>
          </w:p>
        </w:tc>
        <w:tc>
          <w:tcPr>
            <w:tcW w:w="3090" w:type="dxa"/>
          </w:tcPr>
          <w:p w14:paraId="07F0C741" w14:textId="77777777" w:rsidR="00B97365" w:rsidRDefault="00000000">
            <w:pPr>
              <w:spacing w:before="0" w:after="200" w:line="276" w:lineRule="auto"/>
              <w:jc w:val="left"/>
              <w:rPr>
                <w:szCs w:val="22"/>
                <w:lang w:eastAsia="en-US"/>
              </w:rPr>
            </w:pPr>
            <w:r>
              <w:rPr>
                <w:szCs w:val="22"/>
                <w:lang w:eastAsia="en-US"/>
              </w:rPr>
              <w:t>rps3:AuditTrailRecord</w:t>
            </w:r>
          </w:p>
        </w:tc>
        <w:tc>
          <w:tcPr>
            <w:tcW w:w="4936" w:type="dxa"/>
          </w:tcPr>
          <w:p w14:paraId="3B18CAC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Single record contains eUICC audit information. Defined in section 5.1.1.2.11.</w:t>
            </w:r>
          </w:p>
        </w:tc>
      </w:tr>
      <w:tr w:rsidR="00B97365" w14:paraId="5A503409" w14:textId="77777777">
        <w:trPr>
          <w:trHeight w:val="435"/>
        </w:trPr>
        <w:tc>
          <w:tcPr>
            <w:tcW w:w="1427" w:type="dxa"/>
          </w:tcPr>
          <w:p w14:paraId="352F4881" w14:textId="77777777" w:rsidR="00B97365" w:rsidRDefault="00000000">
            <w:pPr>
              <w:spacing w:before="0" w:after="200" w:line="276" w:lineRule="auto"/>
              <w:jc w:val="left"/>
              <w:rPr>
                <w:szCs w:val="22"/>
                <w:lang w:eastAsia="en-GB" w:bidi="ar-SA"/>
              </w:rPr>
            </w:pPr>
            <w:r>
              <w:rPr>
                <w:szCs w:val="22"/>
                <w:lang w:eastAsia="en-GB" w:bidi="ar-SA"/>
              </w:rPr>
              <w:t xml:space="preserve">eUICC Capabilities </w:t>
            </w:r>
          </w:p>
        </w:tc>
        <w:tc>
          <w:tcPr>
            <w:tcW w:w="3090" w:type="dxa"/>
          </w:tcPr>
          <w:p w14:paraId="71FD47CA" w14:textId="77777777" w:rsidR="00B97365" w:rsidRDefault="00000000">
            <w:pPr>
              <w:spacing w:before="0" w:after="200" w:line="276" w:lineRule="auto"/>
              <w:jc w:val="left"/>
              <w:rPr>
                <w:szCs w:val="22"/>
                <w:lang w:eastAsia="en-US"/>
              </w:rPr>
            </w:pPr>
            <w:r>
              <w:rPr>
                <w:szCs w:val="22"/>
                <w:lang w:eastAsia="en-US"/>
              </w:rPr>
              <w:t>rps3:EuiccCapablities</w:t>
            </w:r>
          </w:p>
        </w:tc>
        <w:tc>
          <w:tcPr>
            <w:tcW w:w="4936" w:type="dxa"/>
          </w:tcPr>
          <w:p w14:paraId="1CB802CD" w14:textId="24AEF195" w:rsidR="00B97365" w:rsidRDefault="00000000">
            <w:pPr>
              <w:spacing w:before="0" w:after="200" w:line="276" w:lineRule="auto"/>
              <w:jc w:val="left"/>
              <w:rPr>
                <w:szCs w:val="22"/>
                <w:lang w:val="en-US" w:eastAsia="en-GB" w:bidi="ar-SA"/>
              </w:rPr>
            </w:pPr>
            <w:r>
              <w:rPr>
                <w:rFonts w:cs="Arial"/>
                <w:szCs w:val="22"/>
                <w:lang w:val="en-US" w:eastAsia="en-GB" w:bidi="ar-SA"/>
              </w:rPr>
              <w:t xml:space="preserve">The &lt;rps3:EuiccCapabilities&gt; element maps the EUICC-CAPABILITIES data type defined in section </w:t>
            </w:r>
            <w:r>
              <w:fldChar w:fldCharType="begin"/>
            </w:r>
            <w:r>
              <w:instrText xml:space="preserve"> REF _Ref367977808 \r \h  \* MERGEFORMAT </w:instrText>
            </w:r>
            <w:r>
              <w:fldChar w:fldCharType="separate"/>
            </w:r>
            <w:r w:rsidR="001D5AD9" w:rsidRPr="001D5AD9">
              <w:rPr>
                <w:szCs w:val="22"/>
                <w:lang w:val="en-US" w:eastAsia="en-GB" w:bidi="ar-SA"/>
              </w:rPr>
              <w:t>5.1.1.2.10</w:t>
            </w:r>
            <w:r>
              <w:fldChar w:fldCharType="end"/>
            </w:r>
            <w:r>
              <w:rPr>
                <w:szCs w:val="22"/>
                <w:lang w:val="en-US" w:eastAsia="en-GB" w:bidi="ar-SA"/>
              </w:rPr>
              <w:t>.</w:t>
            </w:r>
          </w:p>
        </w:tc>
      </w:tr>
      <w:tr w:rsidR="00B97365" w14:paraId="79063874" w14:textId="77777777">
        <w:trPr>
          <w:trHeight w:val="435"/>
        </w:trPr>
        <w:tc>
          <w:tcPr>
            <w:tcW w:w="1427" w:type="dxa"/>
          </w:tcPr>
          <w:p w14:paraId="51E914A3" w14:textId="77777777" w:rsidR="00B97365" w:rsidRDefault="00000000">
            <w:pPr>
              <w:spacing w:before="0" w:after="200" w:line="276" w:lineRule="auto"/>
              <w:jc w:val="left"/>
              <w:rPr>
                <w:szCs w:val="22"/>
                <w:lang w:eastAsia="en-GB" w:bidi="ar-SA"/>
              </w:rPr>
            </w:pPr>
            <w:r>
              <w:rPr>
                <w:szCs w:val="22"/>
                <w:lang w:eastAsia="en-GB" w:bidi="ar-SA"/>
              </w:rPr>
              <w:t>POL2</w:t>
            </w:r>
          </w:p>
        </w:tc>
        <w:tc>
          <w:tcPr>
            <w:tcW w:w="3090" w:type="dxa"/>
          </w:tcPr>
          <w:p w14:paraId="75C9831C" w14:textId="77777777" w:rsidR="00B97365" w:rsidRDefault="00000000">
            <w:pPr>
              <w:spacing w:before="0" w:after="200" w:line="276" w:lineRule="auto"/>
              <w:jc w:val="left"/>
              <w:rPr>
                <w:szCs w:val="22"/>
                <w:lang w:eastAsia="en-US"/>
              </w:rPr>
            </w:pPr>
            <w:r>
              <w:rPr>
                <w:szCs w:val="22"/>
                <w:lang w:eastAsia="en-US"/>
              </w:rPr>
              <w:t>rps3:POL2Type</w:t>
            </w:r>
          </w:p>
        </w:tc>
        <w:tc>
          <w:tcPr>
            <w:tcW w:w="4936" w:type="dxa"/>
          </w:tcPr>
          <w:p w14:paraId="4EB7B77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List of POL2 rules.</w:t>
            </w:r>
          </w:p>
        </w:tc>
      </w:tr>
      <w:tr w:rsidR="00B97365" w14:paraId="39BB1FE5" w14:textId="77777777">
        <w:trPr>
          <w:trHeight w:val="435"/>
        </w:trPr>
        <w:tc>
          <w:tcPr>
            <w:tcW w:w="1427" w:type="dxa"/>
          </w:tcPr>
          <w:p w14:paraId="7EB0AD60" w14:textId="77777777" w:rsidR="00B97365" w:rsidRDefault="00000000">
            <w:pPr>
              <w:spacing w:before="0" w:after="200" w:line="276" w:lineRule="auto"/>
              <w:jc w:val="left"/>
              <w:rPr>
                <w:szCs w:val="22"/>
                <w:lang w:eastAsia="en-GB" w:bidi="ar-SA"/>
              </w:rPr>
            </w:pPr>
            <w:r>
              <w:rPr>
                <w:szCs w:val="22"/>
                <w:lang w:eastAsia="en-GB" w:bidi="ar-SA"/>
              </w:rPr>
              <w:t>POL2 Rule</w:t>
            </w:r>
          </w:p>
        </w:tc>
        <w:tc>
          <w:tcPr>
            <w:tcW w:w="3090" w:type="dxa"/>
          </w:tcPr>
          <w:p w14:paraId="5AF84A2A" w14:textId="77777777" w:rsidR="00B97365" w:rsidRDefault="00000000">
            <w:pPr>
              <w:spacing w:before="0" w:after="200" w:line="276" w:lineRule="auto"/>
              <w:jc w:val="left"/>
              <w:rPr>
                <w:szCs w:val="22"/>
                <w:lang w:eastAsia="en-US"/>
              </w:rPr>
            </w:pPr>
            <w:r>
              <w:rPr>
                <w:szCs w:val="22"/>
                <w:lang w:eastAsia="en-US"/>
              </w:rPr>
              <w:t>rps3:POL2RuleType</w:t>
            </w:r>
          </w:p>
        </w:tc>
        <w:tc>
          <w:tcPr>
            <w:tcW w:w="4936" w:type="dxa"/>
          </w:tcPr>
          <w:p w14:paraId="024204B4" w14:textId="71D04635"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&lt;rps3:POL2Type&gt; maps the POL2 data type defined in section </w:t>
            </w:r>
            <w:r>
              <w:fldChar w:fldCharType="begin"/>
            </w:r>
            <w:r>
              <w:instrText xml:space="preserve"> REF _Ref367977874 \r \h  \* MERGEFORMAT </w:instrText>
            </w:r>
            <w:r>
              <w:fldChar w:fldCharType="separate"/>
            </w:r>
            <w:r w:rsidR="001D5AD9" w:rsidRPr="001D5AD9">
              <w:rPr>
                <w:szCs w:val="22"/>
                <w:lang w:val="en-US" w:eastAsia="en-GB" w:bidi="ar-SA"/>
              </w:rPr>
              <w:t>5.1.1.2.3</w:t>
            </w:r>
            <w:r>
              <w:fldChar w:fldCharType="end"/>
            </w:r>
            <w:r>
              <w:rPr>
                <w:szCs w:val="22"/>
                <w:lang w:val="en-US" w:eastAsia="en-GB" w:bidi="ar-SA"/>
              </w:rPr>
              <w:t>.</w:t>
            </w:r>
          </w:p>
        </w:tc>
      </w:tr>
      <w:tr w:rsidR="00B97365" w14:paraId="4F598293" w14:textId="77777777">
        <w:trPr>
          <w:trHeight w:val="435"/>
        </w:trPr>
        <w:tc>
          <w:tcPr>
            <w:tcW w:w="1427" w:type="dxa"/>
          </w:tcPr>
          <w:p w14:paraId="5AC35801" w14:textId="77777777" w:rsidR="00B97365" w:rsidRDefault="00000000">
            <w:pPr>
              <w:spacing w:before="0" w:after="200" w:line="276" w:lineRule="auto"/>
              <w:jc w:val="left"/>
              <w:rPr>
                <w:szCs w:val="22"/>
                <w:lang w:eastAsia="en-GB" w:bidi="ar-SA"/>
              </w:rPr>
            </w:pPr>
            <w:r>
              <w:rPr>
                <w:szCs w:val="22"/>
                <w:lang w:eastAsia="en-GB" w:bidi="ar-SA"/>
              </w:rPr>
              <w:t>Subscription Address</w:t>
            </w:r>
          </w:p>
        </w:tc>
        <w:tc>
          <w:tcPr>
            <w:tcW w:w="3090" w:type="dxa"/>
          </w:tcPr>
          <w:p w14:paraId="1313F79B" w14:textId="77777777" w:rsidR="00B97365" w:rsidRDefault="00000000">
            <w:pPr>
              <w:spacing w:before="0" w:after="200" w:line="276" w:lineRule="auto"/>
              <w:jc w:val="left"/>
              <w:rPr>
                <w:szCs w:val="22"/>
                <w:lang w:eastAsia="en-US"/>
              </w:rPr>
            </w:pPr>
            <w:r>
              <w:rPr>
                <w:szCs w:val="22"/>
                <w:lang w:eastAsia="en-US"/>
              </w:rPr>
              <w:t>rps3:SubscriptionAddressType</w:t>
            </w:r>
          </w:p>
        </w:tc>
        <w:tc>
          <w:tcPr>
            <w:tcW w:w="4936" w:type="dxa"/>
          </w:tcPr>
          <w:p w14:paraId="000EB59A" w14:textId="63A16C1F"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&lt;rps3:SubscriptionAddressType&gt; maps the SUBSCRIPTION-ADDRESS data type defined in section </w:t>
            </w:r>
            <w:r>
              <w:fldChar w:fldCharType="begin"/>
            </w:r>
            <w:r>
              <w:instrText xml:space="preserve"> REF _Ref367977930 \r \h  \* MERGEFORMAT </w:instrText>
            </w:r>
            <w:r>
              <w:fldChar w:fldCharType="separate"/>
            </w:r>
            <w:r w:rsidR="001D5AD9" w:rsidRPr="001D5AD9">
              <w:rPr>
                <w:szCs w:val="22"/>
                <w:lang w:val="en-US" w:eastAsia="en-GB" w:bidi="ar-SA"/>
              </w:rPr>
              <w:t>5.1.1.2.1</w:t>
            </w:r>
            <w:r>
              <w:fldChar w:fldCharType="end"/>
            </w:r>
            <w:r>
              <w:t>.</w:t>
            </w:r>
          </w:p>
        </w:tc>
      </w:tr>
    </w:tbl>
    <w:p w14:paraId="37F332FF"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A35: Common Complex Types</w:t>
      </w:r>
    </w:p>
    <w:p w14:paraId="07F82FD7" w14:textId="77777777" w:rsidR="00B97365" w:rsidRDefault="00000000">
      <w:pPr>
        <w:spacing w:before="0" w:after="200" w:line="276" w:lineRule="auto"/>
        <w:jc w:val="left"/>
        <w:rPr>
          <w:szCs w:val="22"/>
          <w:lang w:eastAsia="en-US"/>
        </w:rPr>
      </w:pPr>
      <w:r>
        <w:rPr>
          <w:szCs w:val="22"/>
          <w:lang w:val="en-US" w:eastAsia="en-US"/>
        </w:rPr>
        <w:t xml:space="preserve">Common complex types introduced in version 4 of this specification are located in </w:t>
      </w:r>
      <w:r>
        <w:rPr>
          <w:b/>
          <w:szCs w:val="22"/>
          <w:lang w:val="en-US" w:eastAsia="en-US"/>
        </w:rPr>
        <w:t>rps4.euicc.common.types.xsd</w:t>
      </w:r>
      <w:r>
        <w:rPr>
          <w:szCs w:val="22"/>
          <w:lang w:val="en-US" w:eastAsia="en-US"/>
        </w:rPr>
        <w:t xml:space="preserve"> file.</w:t>
      </w:r>
    </w:p>
    <w:tbl>
      <w:tblPr>
        <w:tblStyle w:val="TableGrid"/>
        <w:tblW w:w="9453" w:type="dxa"/>
        <w:tblLook w:val="04A0" w:firstRow="1" w:lastRow="0" w:firstColumn="1" w:lastColumn="0" w:noHBand="0" w:noVBand="1"/>
      </w:tblPr>
      <w:tblGrid>
        <w:gridCol w:w="1427"/>
        <w:gridCol w:w="3090"/>
        <w:gridCol w:w="4936"/>
      </w:tblGrid>
      <w:tr w:rsidR="00B97365" w14:paraId="508BABE7" w14:textId="77777777">
        <w:trPr>
          <w:trHeight w:val="435"/>
        </w:trPr>
        <w:tc>
          <w:tcPr>
            <w:tcW w:w="1427" w:type="dxa"/>
            <w:shd w:val="clear" w:color="auto" w:fill="C00000"/>
          </w:tcPr>
          <w:p w14:paraId="574FFE5B" w14:textId="77777777" w:rsidR="00B97365" w:rsidRDefault="00000000">
            <w:pPr>
              <w:spacing w:before="0" w:after="200" w:line="276" w:lineRule="auto"/>
              <w:jc w:val="left"/>
              <w:rPr>
                <w:b/>
                <w:szCs w:val="22"/>
                <w:lang w:eastAsia="en-US"/>
              </w:rPr>
            </w:pPr>
            <w:r>
              <w:rPr>
                <w:b/>
                <w:szCs w:val="22"/>
                <w:lang w:eastAsia="en-US"/>
              </w:rPr>
              <w:t>Type</w:t>
            </w:r>
          </w:p>
        </w:tc>
        <w:tc>
          <w:tcPr>
            <w:tcW w:w="3090" w:type="dxa"/>
            <w:shd w:val="clear" w:color="auto" w:fill="C00000"/>
          </w:tcPr>
          <w:p w14:paraId="32DDCC31" w14:textId="77777777" w:rsidR="00B97365" w:rsidRDefault="00000000">
            <w:pPr>
              <w:spacing w:before="0" w:after="200" w:line="276" w:lineRule="auto"/>
              <w:jc w:val="left"/>
              <w:rPr>
                <w:b/>
                <w:szCs w:val="22"/>
                <w:lang w:eastAsia="en-US"/>
              </w:rPr>
            </w:pPr>
            <w:r>
              <w:rPr>
                <w:b/>
                <w:szCs w:val="22"/>
                <w:lang w:eastAsia="en-US"/>
              </w:rPr>
              <w:t>XML Type</w:t>
            </w:r>
          </w:p>
        </w:tc>
        <w:tc>
          <w:tcPr>
            <w:tcW w:w="4936" w:type="dxa"/>
            <w:shd w:val="clear" w:color="auto" w:fill="C00000"/>
          </w:tcPr>
          <w:p w14:paraId="01EF3332" w14:textId="77777777" w:rsidR="00B97365" w:rsidRDefault="00000000">
            <w:pPr>
              <w:spacing w:before="0" w:after="200" w:line="276" w:lineRule="auto"/>
              <w:jc w:val="left"/>
              <w:rPr>
                <w:b/>
                <w:szCs w:val="22"/>
                <w:lang w:eastAsia="en-US"/>
              </w:rPr>
            </w:pPr>
            <w:r>
              <w:rPr>
                <w:b/>
                <w:szCs w:val="22"/>
                <w:lang w:eastAsia="en-US"/>
              </w:rPr>
              <w:t>Description</w:t>
            </w:r>
          </w:p>
        </w:tc>
      </w:tr>
      <w:tr w:rsidR="00B97365" w14:paraId="37D2005E" w14:textId="77777777">
        <w:trPr>
          <w:trHeight w:val="435"/>
        </w:trPr>
        <w:tc>
          <w:tcPr>
            <w:tcW w:w="1427" w:type="dxa"/>
          </w:tcPr>
          <w:p w14:paraId="194E933E" w14:textId="77777777" w:rsidR="00B97365" w:rsidRDefault="00000000">
            <w:pPr>
              <w:spacing w:before="0" w:after="200" w:line="276" w:lineRule="auto"/>
              <w:jc w:val="left"/>
              <w:rPr>
                <w:szCs w:val="22"/>
                <w:lang w:eastAsia="en-US"/>
              </w:rPr>
            </w:pPr>
            <w:r>
              <w:rPr>
                <w:szCs w:val="22"/>
                <w:lang w:eastAsia="en-US"/>
              </w:rPr>
              <w:t>PLMA</w:t>
            </w:r>
          </w:p>
        </w:tc>
        <w:tc>
          <w:tcPr>
            <w:tcW w:w="3090" w:type="dxa"/>
          </w:tcPr>
          <w:p w14:paraId="76735F3A" w14:textId="77777777" w:rsidR="00B97365" w:rsidRDefault="00000000">
            <w:pPr>
              <w:spacing w:before="0" w:after="200" w:line="276" w:lineRule="auto"/>
              <w:jc w:val="left"/>
              <w:rPr>
                <w:szCs w:val="22"/>
                <w:lang w:eastAsia="en-US"/>
              </w:rPr>
            </w:pPr>
            <w:r>
              <w:rPr>
                <w:szCs w:val="22"/>
                <w:lang w:eastAsia="en-US"/>
              </w:rPr>
              <w:t>rps4:PLMAtype</w:t>
            </w:r>
          </w:p>
        </w:tc>
        <w:tc>
          <w:tcPr>
            <w:tcW w:w="4936" w:type="dxa"/>
          </w:tcPr>
          <w:p w14:paraId="43192CA1" w14:textId="03A5C749"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PLMA type defined in section </w:t>
            </w:r>
            <w:r>
              <w:fldChar w:fldCharType="begin"/>
            </w:r>
            <w:r>
              <w:rPr>
                <w:rFonts w:cs="Arial"/>
                <w:szCs w:val="22"/>
                <w:lang w:val="en-US" w:eastAsia="en-GB" w:bidi="ar-SA"/>
              </w:rPr>
              <w:instrText xml:space="preserve"> REF _Ref536518899 \r \h </w:instrText>
            </w:r>
            <w:r>
              <w:fldChar w:fldCharType="separate"/>
            </w:r>
            <w:r w:rsidR="001D5AD9">
              <w:rPr>
                <w:rFonts w:cs="Arial"/>
                <w:szCs w:val="22"/>
                <w:lang w:val="en-US" w:eastAsia="en-GB" w:bidi="ar-SA"/>
              </w:rPr>
              <w:t>5.1.1.2.14</w:t>
            </w:r>
            <w:r>
              <w:fldChar w:fldCharType="end"/>
            </w:r>
            <w:r>
              <w:t xml:space="preserve"> </w:t>
            </w:r>
            <w:r>
              <w:rPr>
                <w:szCs w:val="22"/>
                <w:lang w:val="en-US" w:eastAsia="en-GB" w:bidi="ar-SA"/>
              </w:rPr>
              <w:t>SHALL be mapped to the &lt;rps4:PLMAType&gt;.</w:t>
            </w:r>
          </w:p>
        </w:tc>
      </w:tr>
      <w:tr w:rsidR="00B97365" w14:paraId="798AF0B8" w14:textId="77777777">
        <w:trPr>
          <w:trHeight w:val="435"/>
        </w:trPr>
        <w:tc>
          <w:tcPr>
            <w:tcW w:w="1427" w:type="dxa"/>
          </w:tcPr>
          <w:p w14:paraId="0E64F4DC" w14:textId="77777777" w:rsidR="00B97365" w:rsidRDefault="00000000">
            <w:pPr>
              <w:spacing w:before="0" w:after="200" w:line="276" w:lineRule="auto"/>
              <w:jc w:val="left"/>
              <w:rPr>
                <w:szCs w:val="22"/>
                <w:lang w:eastAsia="en-US"/>
              </w:rPr>
            </w:pPr>
            <w:r>
              <w:rPr>
                <w:szCs w:val="22"/>
                <w:lang w:eastAsia="en-US"/>
              </w:rPr>
              <w:t>ONC</w:t>
            </w:r>
          </w:p>
        </w:tc>
        <w:tc>
          <w:tcPr>
            <w:tcW w:w="3090" w:type="dxa"/>
          </w:tcPr>
          <w:p w14:paraId="5212662D" w14:textId="77777777" w:rsidR="00B97365" w:rsidRDefault="00000000">
            <w:pPr>
              <w:spacing w:before="0" w:after="200" w:line="276" w:lineRule="auto"/>
              <w:jc w:val="left"/>
              <w:rPr>
                <w:szCs w:val="22"/>
                <w:lang w:eastAsia="en-US"/>
              </w:rPr>
            </w:pPr>
            <w:r>
              <w:rPr>
                <w:szCs w:val="22"/>
                <w:lang w:eastAsia="en-US"/>
              </w:rPr>
              <w:t>rps4:ONCtype</w:t>
            </w:r>
          </w:p>
        </w:tc>
        <w:tc>
          <w:tcPr>
            <w:tcW w:w="4936" w:type="dxa"/>
          </w:tcPr>
          <w:p w14:paraId="26E6A66A" w14:textId="2ECD6149" w:rsidR="00B97365" w:rsidRDefault="00000000">
            <w:pPr>
              <w:spacing w:before="0" w:after="200" w:line="276" w:lineRule="auto"/>
              <w:jc w:val="left"/>
            </w:pPr>
            <w:r>
              <w:rPr>
                <w:rFonts w:cs="Arial"/>
                <w:szCs w:val="22"/>
                <w:lang w:val="en-US" w:eastAsia="en-GB" w:bidi="ar-SA"/>
              </w:rPr>
              <w:t xml:space="preserve">The ONC type defined in section </w:t>
            </w:r>
            <w:r>
              <w:fldChar w:fldCharType="begin"/>
            </w:r>
            <w:r>
              <w:instrText xml:space="preserve"> REF _Ref536815306 \r \h </w:instrText>
            </w:r>
            <w:r>
              <w:fldChar w:fldCharType="separate"/>
            </w:r>
            <w:r w:rsidR="001D5AD9">
              <w:t>5.1.1.2.15</w:t>
            </w:r>
            <w:r>
              <w:fldChar w:fldCharType="end"/>
            </w:r>
            <w:r>
              <w:t xml:space="preserve"> </w:t>
            </w:r>
            <w:r>
              <w:rPr>
                <w:szCs w:val="22"/>
                <w:lang w:val="en-US" w:eastAsia="en-GB" w:bidi="ar-SA"/>
              </w:rPr>
              <w:t>SHALL be mapped to the &lt;rps4:ONCType&gt;.</w:t>
            </w:r>
          </w:p>
        </w:tc>
      </w:tr>
    </w:tbl>
    <w:p w14:paraId="6241B63B" w14:textId="77777777" w:rsidR="00B97365" w:rsidRDefault="00B97365">
      <w:pPr>
        <w:spacing w:before="0" w:after="200" w:line="276" w:lineRule="auto"/>
        <w:jc w:val="left"/>
        <w:rPr>
          <w:szCs w:val="22"/>
          <w:lang w:eastAsia="de-DE" w:bidi="ar-SA"/>
        </w:rPr>
      </w:pPr>
    </w:p>
    <w:p w14:paraId="0DF8EB26"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550" w:name="_Toc1977462"/>
      <w:bookmarkStart w:id="8551" w:name="_Toc37062621"/>
      <w:r>
        <w:rPr>
          <w:rFonts w:ascii="Arial Bold" w:hAnsi="Arial Bold"/>
          <w:szCs w:val="22"/>
          <w:lang w:val="fr-FR" w:eastAsia="en-US"/>
        </w:rPr>
        <w:t>Void</w:t>
      </w:r>
      <w:bookmarkEnd w:id="8550"/>
      <w:bookmarkEnd w:id="8551"/>
    </w:p>
    <w:p w14:paraId="2161D1FF" w14:textId="77777777" w:rsidR="00B97365" w:rsidRDefault="00B97365">
      <w:pPr>
        <w:spacing w:after="320" w:line="276" w:lineRule="auto"/>
        <w:rPr>
          <w:rFonts w:cs="Arial"/>
          <w:b/>
          <w:szCs w:val="22"/>
          <w:lang w:eastAsia="de-DE" w:bidi="ar-SA"/>
        </w:rPr>
      </w:pPr>
    </w:p>
    <w:p w14:paraId="40C1D829"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552" w:name="_Toc536552410"/>
      <w:bookmarkStart w:id="8553" w:name="_Toc1977463"/>
      <w:bookmarkStart w:id="8554" w:name="_Toc37062622"/>
      <w:bookmarkEnd w:id="8552"/>
      <w:r>
        <w:rPr>
          <w:rFonts w:ascii="Arial Bold" w:hAnsi="Arial Bold"/>
          <w:szCs w:val="22"/>
          <w:lang w:val="fr-FR" w:eastAsia="en-US"/>
        </w:rPr>
        <w:t>Void</w:t>
      </w:r>
      <w:bookmarkEnd w:id="8553"/>
      <w:bookmarkEnd w:id="8554"/>
    </w:p>
    <w:p w14:paraId="678E8365"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555" w:name="_Toc536552412"/>
      <w:bookmarkStart w:id="8556" w:name="_Toc536552413"/>
      <w:bookmarkStart w:id="8557" w:name="_Toc536552414"/>
      <w:bookmarkStart w:id="8558" w:name="_Toc536552415"/>
      <w:bookmarkStart w:id="8559" w:name="_Toc536552416"/>
      <w:bookmarkStart w:id="8560" w:name="_Toc536552417"/>
      <w:bookmarkStart w:id="8561" w:name="_Toc536552455"/>
      <w:bookmarkStart w:id="8562" w:name="_Toc536552456"/>
      <w:bookmarkStart w:id="8563" w:name="_Toc420594940"/>
      <w:bookmarkStart w:id="8564" w:name="_Toc398214953"/>
      <w:bookmarkStart w:id="8565" w:name="_Toc375158369"/>
      <w:bookmarkStart w:id="8566" w:name="_Toc368932377"/>
      <w:bookmarkStart w:id="8567" w:name="_Ref367976655"/>
      <w:bookmarkStart w:id="8568" w:name="_Toc1977464"/>
      <w:bookmarkStart w:id="8569" w:name="_Toc37062623"/>
      <w:bookmarkEnd w:id="8555"/>
      <w:bookmarkEnd w:id="8556"/>
      <w:bookmarkEnd w:id="8557"/>
      <w:bookmarkEnd w:id="8558"/>
      <w:bookmarkEnd w:id="8559"/>
      <w:bookmarkEnd w:id="8560"/>
      <w:bookmarkEnd w:id="8561"/>
      <w:bookmarkEnd w:id="8562"/>
      <w:r>
        <w:rPr>
          <w:rFonts w:ascii="Arial Bold" w:hAnsi="Arial Bold"/>
          <w:szCs w:val="22"/>
          <w:lang w:val="fr-FR" w:eastAsia="en-US"/>
        </w:rPr>
        <w:t>EUM Signature</w:t>
      </w:r>
      <w:bookmarkEnd w:id="8563"/>
      <w:bookmarkEnd w:id="8564"/>
      <w:bookmarkEnd w:id="8565"/>
      <w:bookmarkEnd w:id="8566"/>
      <w:bookmarkEnd w:id="8567"/>
      <w:bookmarkEnd w:id="8568"/>
      <w:bookmarkEnd w:id="8569"/>
    </w:p>
    <w:p w14:paraId="6153A61C" w14:textId="367CE9EB"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Description moved to section </w:t>
      </w:r>
      <w:r>
        <w:rPr>
          <w:rFonts w:cs="Arial"/>
          <w:szCs w:val="22"/>
          <w:lang w:val="en-US" w:eastAsia="en-GB" w:bidi="ar-SA"/>
        </w:rPr>
        <w:fldChar w:fldCharType="begin"/>
      </w:r>
      <w:r>
        <w:rPr>
          <w:rFonts w:cs="Arial"/>
          <w:szCs w:val="22"/>
          <w:lang w:val="en-US" w:eastAsia="en-GB" w:bidi="ar-SA"/>
        </w:rPr>
        <w:instrText xml:space="preserve"> REF _Ref536183405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A.10</w:t>
      </w:r>
      <w:r>
        <w:rPr>
          <w:rFonts w:cs="Arial"/>
          <w:szCs w:val="22"/>
          <w:lang w:val="en-US" w:eastAsia="en-GB" w:bidi="ar-SA"/>
        </w:rPr>
        <w:fldChar w:fldCharType="end"/>
      </w:r>
    </w:p>
    <w:p w14:paraId="61187A01"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570" w:name="_Toc536552458"/>
      <w:bookmarkStart w:id="8571" w:name="_Toc536552459"/>
      <w:bookmarkStart w:id="8572" w:name="_Toc536552460"/>
      <w:bookmarkStart w:id="8573" w:name="_Toc536552461"/>
      <w:bookmarkStart w:id="8574" w:name="_Toc536552462"/>
      <w:bookmarkStart w:id="8575" w:name="_Toc536552463"/>
      <w:bookmarkStart w:id="8576" w:name="_Toc536552464"/>
      <w:bookmarkStart w:id="8577" w:name="_Toc536552465"/>
      <w:bookmarkStart w:id="8578" w:name="_Toc536552466"/>
      <w:bookmarkStart w:id="8579" w:name="_Toc536552467"/>
      <w:bookmarkStart w:id="8580" w:name="_Toc536552468"/>
      <w:bookmarkStart w:id="8581" w:name="_Toc536552469"/>
      <w:bookmarkStart w:id="8582" w:name="_Toc536552470"/>
      <w:bookmarkStart w:id="8583" w:name="_Toc536552471"/>
      <w:bookmarkStart w:id="8584" w:name="_Toc536552472"/>
      <w:bookmarkStart w:id="8585" w:name="_Toc536552473"/>
      <w:bookmarkStart w:id="8586" w:name="_Toc536552474"/>
      <w:bookmarkStart w:id="8587" w:name="_Toc536552475"/>
      <w:bookmarkStart w:id="8588" w:name="_Toc536552476"/>
      <w:bookmarkStart w:id="8589" w:name="_Toc536552477"/>
      <w:bookmarkStart w:id="8590" w:name="_Toc536552478"/>
      <w:bookmarkStart w:id="8591" w:name="_Toc536552479"/>
      <w:bookmarkStart w:id="8592" w:name="_Toc536552480"/>
      <w:bookmarkStart w:id="8593" w:name="_Toc536552481"/>
      <w:bookmarkStart w:id="8594" w:name="_Toc536552482"/>
      <w:bookmarkStart w:id="8595" w:name="_Toc536552483"/>
      <w:bookmarkStart w:id="8596" w:name="_Toc536552484"/>
      <w:bookmarkStart w:id="8597" w:name="_Toc536552485"/>
      <w:bookmarkStart w:id="8598" w:name="_Toc536552486"/>
      <w:bookmarkStart w:id="8599" w:name="_Toc536552487"/>
      <w:bookmarkStart w:id="8600" w:name="_Toc536552488"/>
      <w:bookmarkStart w:id="8601" w:name="_Toc536552489"/>
      <w:bookmarkStart w:id="8602" w:name="_Toc536552490"/>
      <w:bookmarkStart w:id="8603" w:name="_Toc536552491"/>
      <w:bookmarkStart w:id="8604" w:name="_Toc536552492"/>
      <w:bookmarkStart w:id="8605" w:name="_Toc536552493"/>
      <w:bookmarkStart w:id="8606" w:name="_Toc536552494"/>
      <w:bookmarkStart w:id="8607" w:name="_Toc536552495"/>
      <w:bookmarkStart w:id="8608" w:name="_Toc536552496"/>
      <w:bookmarkStart w:id="8609" w:name="_Toc536552497"/>
      <w:bookmarkStart w:id="8610" w:name="_Toc536552498"/>
      <w:bookmarkStart w:id="8611" w:name="_Toc536552499"/>
      <w:bookmarkStart w:id="8612" w:name="_Toc536552500"/>
      <w:bookmarkStart w:id="8613" w:name="_Toc536552501"/>
      <w:bookmarkStart w:id="8614" w:name="_Toc536552502"/>
      <w:bookmarkStart w:id="8615" w:name="_Toc536552503"/>
      <w:bookmarkStart w:id="8616" w:name="_Toc1977465"/>
      <w:bookmarkStart w:id="8617" w:name="_Toc37062624"/>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r>
        <w:rPr>
          <w:rFonts w:ascii="Arial Bold" w:hAnsi="Arial Bold"/>
          <w:szCs w:val="22"/>
          <w:lang w:val="fr-FR" w:eastAsia="en-US"/>
        </w:rPr>
        <w:lastRenderedPageBreak/>
        <w:t>Void</w:t>
      </w:r>
      <w:bookmarkEnd w:id="8616"/>
      <w:bookmarkEnd w:id="8617"/>
    </w:p>
    <w:p w14:paraId="030D5F8B"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618" w:name="_Toc536552505"/>
      <w:bookmarkStart w:id="8619" w:name="_Toc536552506"/>
      <w:bookmarkStart w:id="8620" w:name="_Toc536552507"/>
      <w:bookmarkStart w:id="8621" w:name="_Toc536552508"/>
      <w:bookmarkStart w:id="8622" w:name="_Toc536552552"/>
      <w:bookmarkStart w:id="8623" w:name="_Toc536552553"/>
      <w:bookmarkStart w:id="8624" w:name="_Toc1977466"/>
      <w:bookmarkStart w:id="8625" w:name="_Toc37062625"/>
      <w:bookmarkEnd w:id="8618"/>
      <w:bookmarkEnd w:id="8619"/>
      <w:bookmarkEnd w:id="8620"/>
      <w:bookmarkEnd w:id="8621"/>
      <w:bookmarkEnd w:id="8622"/>
      <w:bookmarkEnd w:id="8623"/>
      <w:r>
        <w:rPr>
          <w:rFonts w:ascii="Arial Bold" w:hAnsi="Arial Bold"/>
          <w:szCs w:val="22"/>
          <w:lang w:val="fr-FR" w:eastAsia="en-US"/>
        </w:rPr>
        <w:t>Void</w:t>
      </w:r>
      <w:bookmarkEnd w:id="8624"/>
      <w:bookmarkEnd w:id="8625"/>
    </w:p>
    <w:p w14:paraId="33170F8B" w14:textId="77777777" w:rsidR="00B97365" w:rsidRDefault="00B97365">
      <w:pPr>
        <w:tabs>
          <w:tab w:val="left" w:pos="1009"/>
        </w:tabs>
        <w:spacing w:after="200" w:line="276" w:lineRule="auto"/>
        <w:rPr>
          <w:rFonts w:cs="Arial"/>
          <w:b/>
          <w:lang w:eastAsia="de-DE" w:bidi="ar-SA"/>
        </w:rPr>
      </w:pPr>
    </w:p>
    <w:p w14:paraId="16BC1C3F"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626" w:name="_Toc1977467"/>
      <w:bookmarkStart w:id="8627" w:name="_Toc37062626"/>
      <w:r>
        <w:rPr>
          <w:rFonts w:ascii="Arial Bold" w:hAnsi="Arial Bold"/>
          <w:szCs w:val="22"/>
          <w:lang w:val="fr-FR" w:eastAsia="en-US"/>
        </w:rPr>
        <w:t>Void</w:t>
      </w:r>
      <w:bookmarkEnd w:id="8626"/>
      <w:bookmarkEnd w:id="8627"/>
    </w:p>
    <w:p w14:paraId="499451B6" w14:textId="77777777" w:rsidR="00B97365" w:rsidRDefault="00B97365">
      <w:pPr>
        <w:spacing w:before="0" w:after="200" w:line="276" w:lineRule="auto"/>
        <w:jc w:val="left"/>
        <w:rPr>
          <w:rFonts w:cs="Arial"/>
          <w:szCs w:val="22"/>
          <w:lang w:eastAsia="en-GB" w:bidi="ar-SA"/>
        </w:rPr>
      </w:pPr>
    </w:p>
    <w:p w14:paraId="5A0F8F21" w14:textId="77777777" w:rsidR="00B97365" w:rsidRDefault="00000000">
      <w:pPr>
        <w:keepNext/>
        <w:keepLines/>
        <w:numPr>
          <w:ilvl w:val="3"/>
          <w:numId w:val="8"/>
        </w:numPr>
        <w:spacing w:before="240" w:after="60" w:line="276" w:lineRule="auto"/>
        <w:jc w:val="left"/>
        <w:outlineLvl w:val="3"/>
        <w:rPr>
          <w:rFonts w:ascii="Arial Bold" w:hAnsi="Arial Bold"/>
          <w:szCs w:val="22"/>
          <w:lang w:val="fr-FR" w:eastAsia="en-US"/>
        </w:rPr>
      </w:pPr>
      <w:bookmarkStart w:id="8628" w:name="_Toc1977468"/>
      <w:bookmarkStart w:id="8629" w:name="_Toc37062627"/>
      <w:bookmarkStart w:id="8630" w:name="_Toc420594951"/>
      <w:bookmarkStart w:id="8631" w:name="_Toc398214958"/>
      <w:bookmarkStart w:id="8632" w:name="_Toc375158374"/>
      <w:bookmarkStart w:id="8633" w:name="_Toc368932382"/>
      <w:bookmarkStart w:id="8634" w:name="_Ref367977289"/>
      <w:r>
        <w:rPr>
          <w:rFonts w:ascii="Arial Bold" w:hAnsi="Arial Bold"/>
          <w:szCs w:val="22"/>
          <w:lang w:val="fr-FR" w:eastAsia="en-US"/>
        </w:rPr>
        <w:t>Void</w:t>
      </w:r>
      <w:bookmarkEnd w:id="8628"/>
      <w:bookmarkEnd w:id="8629"/>
    </w:p>
    <w:p w14:paraId="21F2C0ED" w14:textId="77777777" w:rsidR="00B97365" w:rsidRDefault="00B97365">
      <w:pPr>
        <w:rPr>
          <w:rFonts w:cs="Calibri"/>
        </w:rPr>
      </w:pPr>
    </w:p>
    <w:p w14:paraId="78E01910"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635" w:name="_Toc1977469"/>
      <w:bookmarkStart w:id="8636" w:name="_Toc37062628"/>
      <w:bookmarkEnd w:id="8630"/>
      <w:bookmarkEnd w:id="8631"/>
      <w:bookmarkEnd w:id="8632"/>
      <w:bookmarkEnd w:id="8633"/>
      <w:bookmarkEnd w:id="8634"/>
      <w:r>
        <w:rPr>
          <w:rFonts w:ascii="Arial Bold" w:hAnsi="Arial Bold"/>
          <w:szCs w:val="22"/>
          <w:lang w:val="fr-FR" w:eastAsia="en-US"/>
        </w:rPr>
        <w:t>Void</w:t>
      </w:r>
      <w:bookmarkEnd w:id="8635"/>
      <w:bookmarkEnd w:id="8636"/>
    </w:p>
    <w:p w14:paraId="482E7A44" w14:textId="77777777" w:rsidR="00B97365" w:rsidRDefault="00B97365">
      <w:pPr>
        <w:rPr>
          <w:rFonts w:cs="Calibri"/>
        </w:rPr>
      </w:pPr>
    </w:p>
    <w:p w14:paraId="3A155B7E"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8637" w:name="_Toc1977470"/>
      <w:bookmarkStart w:id="8638" w:name="_Toc37062629"/>
      <w:r>
        <w:rPr>
          <w:rFonts w:ascii="Arial Bold" w:hAnsi="Arial Bold"/>
          <w:szCs w:val="22"/>
          <w:lang w:val="fr-FR" w:eastAsia="en-US"/>
        </w:rPr>
        <w:t>Void</w:t>
      </w:r>
      <w:bookmarkEnd w:id="8637"/>
      <w:bookmarkEnd w:id="8638"/>
    </w:p>
    <w:p w14:paraId="6063D3FA" w14:textId="77777777" w:rsidR="00B97365" w:rsidRDefault="00B97365">
      <w:pPr>
        <w:rPr>
          <w:rFonts w:cs="Calibri"/>
        </w:rPr>
      </w:pPr>
    </w:p>
    <w:p w14:paraId="70C80A8A"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lang w:eastAsia="en-US"/>
        </w:rPr>
      </w:pPr>
      <w:bookmarkStart w:id="8639" w:name="_Toc374345854"/>
      <w:bookmarkStart w:id="8640" w:name="_Toc374346200"/>
      <w:bookmarkStart w:id="8641" w:name="_Toc374346545"/>
      <w:bookmarkStart w:id="8642" w:name="_Toc374346891"/>
      <w:bookmarkStart w:id="8643" w:name="_Toc374345855"/>
      <w:bookmarkStart w:id="8644" w:name="_Toc374346201"/>
      <w:bookmarkStart w:id="8645" w:name="_Toc374346546"/>
      <w:bookmarkStart w:id="8646" w:name="_Toc374346892"/>
      <w:bookmarkStart w:id="8647" w:name="_Toc368932384"/>
      <w:bookmarkStart w:id="8648" w:name="_Toc374348551"/>
      <w:bookmarkStart w:id="8649" w:name="_Toc375158376"/>
      <w:bookmarkStart w:id="8650" w:name="_Toc398214960"/>
      <w:bookmarkStart w:id="8651" w:name="_Toc420594953"/>
      <w:bookmarkStart w:id="8652" w:name="_Toc421874401"/>
      <w:bookmarkStart w:id="8653" w:name="_Toc422150816"/>
      <w:bookmarkStart w:id="8654" w:name="_Toc448998313"/>
      <w:bookmarkStart w:id="8655" w:name="_Toc486332930"/>
      <w:bookmarkStart w:id="8656" w:name="_Toc1977471"/>
      <w:bookmarkStart w:id="8657" w:name="_Toc37062630"/>
      <w:bookmarkStart w:id="8658" w:name="_Toc88839683"/>
      <w:bookmarkStart w:id="8659" w:name="_Toc121504091"/>
      <w:bookmarkEnd w:id="8639"/>
      <w:bookmarkEnd w:id="8640"/>
      <w:bookmarkEnd w:id="8641"/>
      <w:bookmarkEnd w:id="8642"/>
      <w:bookmarkEnd w:id="8643"/>
      <w:bookmarkEnd w:id="8644"/>
      <w:bookmarkEnd w:id="8645"/>
      <w:bookmarkEnd w:id="8646"/>
      <w:r>
        <w:rPr>
          <w:rFonts w:ascii="Arial Bold" w:hAnsi="Arial Bold"/>
          <w:b/>
          <w:sz w:val="24"/>
          <w:szCs w:val="24"/>
          <w:lang w:eastAsia="en-US"/>
        </w:rPr>
        <w:t>The ES1 Interface Functions</w:t>
      </w:r>
      <w:bookmarkEnd w:id="8647"/>
      <w:bookmarkEnd w:id="8648"/>
      <w:bookmarkEnd w:id="8649"/>
      <w:bookmarkEnd w:id="8650"/>
      <w:bookmarkEnd w:id="8651"/>
      <w:bookmarkEnd w:id="8652"/>
      <w:bookmarkEnd w:id="8653"/>
      <w:bookmarkEnd w:id="8654"/>
      <w:bookmarkEnd w:id="8655"/>
      <w:bookmarkEnd w:id="8656"/>
      <w:bookmarkEnd w:id="8657"/>
      <w:bookmarkEnd w:id="8658"/>
      <w:bookmarkEnd w:id="8659"/>
    </w:p>
    <w:p w14:paraId="45493F7A" w14:textId="77777777" w:rsidR="00B97365" w:rsidRDefault="00B97365">
      <w:pPr>
        <w:spacing w:before="0" w:after="200" w:line="276" w:lineRule="auto"/>
        <w:jc w:val="left"/>
        <w:rPr>
          <w:szCs w:val="22"/>
          <w:lang w:eastAsia="en-GB" w:bidi="ar-SA"/>
        </w:rPr>
      </w:pPr>
    </w:p>
    <w:p w14:paraId="2615022A" w14:textId="77777777" w:rsidR="00B97365" w:rsidRDefault="00000000">
      <w:pPr>
        <w:spacing w:before="0" w:after="200" w:line="276" w:lineRule="auto"/>
        <w:jc w:val="left"/>
        <w:rPr>
          <w:szCs w:val="22"/>
          <w:lang w:eastAsia="en-GB" w:bidi="ar-SA"/>
        </w:rPr>
      </w:pPr>
      <w:r>
        <w:rPr>
          <w:szCs w:val="22"/>
          <w:lang w:val="en-US"/>
        </w:rPr>
        <w:t xml:space="preserve">The table below describe where definition of ES1 functions messages are located in </w:t>
      </w:r>
      <w:r>
        <w:rPr>
          <w:b/>
          <w:szCs w:val="22"/>
          <w:lang w:eastAsia="en-GB" w:bidi="ar-SA"/>
        </w:rPr>
        <w:t>euicc.request.ES1.xsd</w:t>
      </w:r>
      <w:r>
        <w:rPr>
          <w:szCs w:val="22"/>
          <w:lang w:eastAsia="en-GB" w:bidi="ar-SA"/>
        </w:rPr>
        <w:t xml:space="preserve"> </w:t>
      </w:r>
      <w:r>
        <w:rPr>
          <w:szCs w:val="22"/>
          <w:lang w:val="en-US"/>
        </w:rPr>
        <w:t xml:space="preserve">and </w:t>
      </w:r>
      <w:r>
        <w:rPr>
          <w:b/>
          <w:szCs w:val="22"/>
          <w:lang w:val="en-US"/>
        </w:rPr>
        <w:t>rps4.</w:t>
      </w:r>
      <w:r>
        <w:rPr>
          <w:b/>
          <w:szCs w:val="22"/>
          <w:lang w:eastAsia="en-US"/>
        </w:rPr>
        <w:t>euicc.request.ES1.xsd</w:t>
      </w:r>
      <w:r>
        <w:rPr>
          <w:szCs w:val="22"/>
          <w:lang w:val="en-U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529"/>
      </w:tblGrid>
      <w:tr w:rsidR="00B97365" w14:paraId="297CD54B" w14:textId="77777777">
        <w:trPr>
          <w:trHeight w:val="435"/>
        </w:trPr>
        <w:tc>
          <w:tcPr>
            <w:tcW w:w="3964" w:type="dxa"/>
            <w:shd w:val="clear" w:color="auto" w:fill="C00000"/>
          </w:tcPr>
          <w:p w14:paraId="0F00CCBE" w14:textId="77777777" w:rsidR="00B97365" w:rsidRDefault="00000000">
            <w:pPr>
              <w:spacing w:before="0" w:after="200" w:line="276" w:lineRule="auto"/>
              <w:jc w:val="left"/>
              <w:rPr>
                <w:b/>
                <w:szCs w:val="22"/>
                <w:lang w:eastAsia="en-US"/>
              </w:rPr>
            </w:pPr>
            <w:r>
              <w:rPr>
                <w:b/>
                <w:szCs w:val="22"/>
                <w:lang w:eastAsia="en-US"/>
              </w:rPr>
              <w:t>Interface.Function</w:t>
            </w:r>
          </w:p>
        </w:tc>
        <w:tc>
          <w:tcPr>
            <w:tcW w:w="5529" w:type="dxa"/>
            <w:shd w:val="clear" w:color="auto" w:fill="C00000"/>
          </w:tcPr>
          <w:p w14:paraId="2CBB5371" w14:textId="77777777" w:rsidR="00B97365" w:rsidRDefault="00000000">
            <w:pPr>
              <w:spacing w:before="0" w:after="200" w:line="276" w:lineRule="auto"/>
              <w:jc w:val="left"/>
              <w:rPr>
                <w:b/>
                <w:szCs w:val="22"/>
                <w:lang w:eastAsia="en-US"/>
              </w:rPr>
            </w:pPr>
            <w:r>
              <w:rPr>
                <w:b/>
                <w:szCs w:val="22"/>
                <w:lang w:eastAsia="en-US"/>
              </w:rPr>
              <w:t>XML Type</w:t>
            </w:r>
          </w:p>
        </w:tc>
      </w:tr>
      <w:tr w:rsidR="00B97365" w14:paraId="1720D313" w14:textId="77777777">
        <w:trPr>
          <w:trHeight w:val="435"/>
        </w:trPr>
        <w:tc>
          <w:tcPr>
            <w:tcW w:w="3964" w:type="dxa"/>
            <w:vMerge w:val="restart"/>
          </w:tcPr>
          <w:p w14:paraId="350F5D69" w14:textId="77777777" w:rsidR="00B97365" w:rsidRDefault="00000000">
            <w:pPr>
              <w:spacing w:before="0" w:after="200" w:line="276" w:lineRule="auto"/>
              <w:jc w:val="left"/>
              <w:rPr>
                <w:szCs w:val="22"/>
                <w:lang w:eastAsia="en-US"/>
              </w:rPr>
            </w:pPr>
            <w:r>
              <w:rPr>
                <w:szCs w:val="22"/>
                <w:lang w:eastAsia="en-US"/>
              </w:rPr>
              <w:t>ES1.RegisterEIS</w:t>
            </w:r>
          </w:p>
        </w:tc>
        <w:tc>
          <w:tcPr>
            <w:tcW w:w="5529" w:type="dxa"/>
          </w:tcPr>
          <w:p w14:paraId="297F63B5" w14:textId="77777777" w:rsidR="00B97365" w:rsidRDefault="00000000">
            <w:pPr>
              <w:spacing w:before="0" w:after="200" w:line="276" w:lineRule="auto"/>
              <w:jc w:val="left"/>
              <w:rPr>
                <w:szCs w:val="22"/>
                <w:lang w:eastAsia="en-US"/>
              </w:rPr>
            </w:pPr>
            <w:r>
              <w:rPr>
                <w:szCs w:val="22"/>
                <w:lang w:eastAsia="en-US"/>
              </w:rPr>
              <w:t>rps3:ES1-RegisterEISRequest</w:t>
            </w:r>
          </w:p>
        </w:tc>
      </w:tr>
      <w:tr w:rsidR="00B97365" w14:paraId="5F9D3EAD" w14:textId="77777777">
        <w:trPr>
          <w:trHeight w:val="435"/>
        </w:trPr>
        <w:tc>
          <w:tcPr>
            <w:tcW w:w="3964" w:type="dxa"/>
            <w:vMerge/>
          </w:tcPr>
          <w:p w14:paraId="614E3BD8" w14:textId="77777777" w:rsidR="00B97365" w:rsidRDefault="00B97365">
            <w:pPr>
              <w:spacing w:before="0" w:after="200" w:line="276" w:lineRule="auto"/>
              <w:jc w:val="left"/>
              <w:rPr>
                <w:szCs w:val="22"/>
                <w:lang w:eastAsia="en-US"/>
              </w:rPr>
            </w:pPr>
          </w:p>
        </w:tc>
        <w:tc>
          <w:tcPr>
            <w:tcW w:w="5529" w:type="dxa"/>
          </w:tcPr>
          <w:p w14:paraId="115AB34D" w14:textId="77777777" w:rsidR="00B97365" w:rsidRDefault="00000000">
            <w:pPr>
              <w:spacing w:before="0" w:after="200" w:line="276" w:lineRule="auto"/>
              <w:jc w:val="left"/>
              <w:rPr>
                <w:szCs w:val="22"/>
                <w:lang w:eastAsia="en-US"/>
              </w:rPr>
            </w:pPr>
            <w:r>
              <w:rPr>
                <w:szCs w:val="22"/>
                <w:lang w:eastAsia="en-US"/>
              </w:rPr>
              <w:t>rps3:ES1RegisterEISResponse</w:t>
            </w:r>
          </w:p>
        </w:tc>
      </w:tr>
      <w:tr w:rsidR="00B97365" w14:paraId="07C2AE2D" w14:textId="77777777">
        <w:trPr>
          <w:trHeight w:val="435"/>
        </w:trPr>
        <w:tc>
          <w:tcPr>
            <w:tcW w:w="3964" w:type="dxa"/>
            <w:vMerge w:val="restart"/>
          </w:tcPr>
          <w:p w14:paraId="2E7A6B69" w14:textId="77777777" w:rsidR="00B97365" w:rsidRDefault="00000000">
            <w:pPr>
              <w:spacing w:before="0" w:after="200" w:line="276" w:lineRule="auto"/>
              <w:jc w:val="left"/>
              <w:rPr>
                <w:szCs w:val="22"/>
                <w:lang w:eastAsia="en-US"/>
              </w:rPr>
            </w:pPr>
            <w:r>
              <w:rPr>
                <w:szCs w:val="22"/>
                <w:lang w:eastAsia="en-US"/>
              </w:rPr>
              <w:t>ES1.UpdateEISAdditionalProperties</w:t>
            </w:r>
          </w:p>
          <w:p w14:paraId="29775896" w14:textId="77777777" w:rsidR="00B97365" w:rsidRDefault="00B97365">
            <w:pPr>
              <w:spacing w:before="0" w:after="200" w:line="276" w:lineRule="auto"/>
              <w:jc w:val="left"/>
              <w:rPr>
                <w:szCs w:val="22"/>
                <w:lang w:eastAsia="en-US"/>
              </w:rPr>
            </w:pPr>
          </w:p>
        </w:tc>
        <w:tc>
          <w:tcPr>
            <w:tcW w:w="5529" w:type="dxa"/>
          </w:tcPr>
          <w:p w14:paraId="628E4A3B" w14:textId="77777777" w:rsidR="00B97365" w:rsidRDefault="00000000">
            <w:pPr>
              <w:spacing w:before="0" w:after="200" w:line="276" w:lineRule="auto"/>
              <w:jc w:val="left"/>
              <w:rPr>
                <w:szCs w:val="22"/>
                <w:lang w:eastAsia="en-US"/>
              </w:rPr>
            </w:pPr>
            <w:r>
              <w:rPr>
                <w:szCs w:val="22"/>
                <w:lang w:eastAsia="en-US"/>
              </w:rPr>
              <w:t>rps4:</w:t>
            </w:r>
            <w:r>
              <w:rPr>
                <w:szCs w:val="22"/>
                <w:lang w:eastAsia="en-GB" w:bidi="ar-SA"/>
              </w:rPr>
              <w:t xml:space="preserve"> </w:t>
            </w:r>
            <w:r>
              <w:rPr>
                <w:szCs w:val="22"/>
                <w:lang w:eastAsia="en-US"/>
              </w:rPr>
              <w:t>ES1-UpdateEISAdditionalPropertiesRequest</w:t>
            </w:r>
          </w:p>
        </w:tc>
      </w:tr>
      <w:tr w:rsidR="00B97365" w14:paraId="4ABF44C3" w14:textId="77777777">
        <w:trPr>
          <w:trHeight w:val="435"/>
        </w:trPr>
        <w:tc>
          <w:tcPr>
            <w:tcW w:w="3964" w:type="dxa"/>
            <w:vMerge/>
          </w:tcPr>
          <w:p w14:paraId="52A0A7AC" w14:textId="77777777" w:rsidR="00B97365" w:rsidRDefault="00B97365">
            <w:pPr>
              <w:spacing w:before="0" w:after="200" w:line="276" w:lineRule="auto"/>
              <w:jc w:val="left"/>
              <w:rPr>
                <w:szCs w:val="22"/>
                <w:lang w:eastAsia="en-US"/>
              </w:rPr>
            </w:pPr>
          </w:p>
        </w:tc>
        <w:tc>
          <w:tcPr>
            <w:tcW w:w="5529" w:type="dxa"/>
          </w:tcPr>
          <w:p w14:paraId="784D5B94" w14:textId="77777777" w:rsidR="00B97365" w:rsidRDefault="00000000">
            <w:pPr>
              <w:spacing w:before="0" w:after="200" w:line="276" w:lineRule="auto"/>
              <w:jc w:val="left"/>
              <w:rPr>
                <w:szCs w:val="22"/>
                <w:lang w:eastAsia="en-US"/>
              </w:rPr>
            </w:pPr>
            <w:r>
              <w:rPr>
                <w:szCs w:val="22"/>
                <w:lang w:eastAsia="en-US"/>
              </w:rPr>
              <w:t>rps4:</w:t>
            </w:r>
            <w:r>
              <w:rPr>
                <w:szCs w:val="22"/>
                <w:lang w:eastAsia="en-GB" w:bidi="ar-SA"/>
              </w:rPr>
              <w:t xml:space="preserve"> </w:t>
            </w:r>
            <w:r>
              <w:rPr>
                <w:szCs w:val="22"/>
                <w:lang w:eastAsia="en-US"/>
              </w:rPr>
              <w:t>ES1-UpdateEISAdditionalPropertiesResponse</w:t>
            </w:r>
          </w:p>
        </w:tc>
      </w:tr>
    </w:tbl>
    <w:p w14:paraId="26BDBA64"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A4: ES1 Interface Functions</w:t>
      </w:r>
    </w:p>
    <w:p w14:paraId="57A46817"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8660" w:name="_Toc536552560"/>
      <w:bookmarkStart w:id="8661" w:name="_Toc1977472"/>
      <w:bookmarkStart w:id="8662" w:name="_Toc37062631"/>
      <w:bookmarkStart w:id="8663" w:name="_Toc88839684"/>
      <w:bookmarkStart w:id="8664" w:name="_Toc121504092"/>
      <w:bookmarkEnd w:id="8660"/>
      <w:r>
        <w:rPr>
          <w:rFonts w:ascii="Arial Bold" w:hAnsi="Arial Bold"/>
          <w:sz w:val="24"/>
          <w:szCs w:val="24"/>
          <w:lang w:eastAsia="en-US"/>
        </w:rPr>
        <w:t>Void</w:t>
      </w:r>
      <w:bookmarkEnd w:id="8661"/>
      <w:bookmarkEnd w:id="8662"/>
      <w:bookmarkEnd w:id="8663"/>
      <w:bookmarkEnd w:id="8664"/>
    </w:p>
    <w:p w14:paraId="593A2B6C"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lang w:eastAsia="en-US"/>
        </w:rPr>
      </w:pPr>
      <w:bookmarkStart w:id="8665" w:name="_Toc536552562"/>
      <w:bookmarkStart w:id="8666" w:name="_Toc536552563"/>
      <w:bookmarkStart w:id="8667" w:name="_Toc536552564"/>
      <w:bookmarkStart w:id="8668" w:name="_Toc536552565"/>
      <w:bookmarkStart w:id="8669" w:name="_Toc536552566"/>
      <w:bookmarkStart w:id="8670" w:name="_Toc536552567"/>
      <w:bookmarkStart w:id="8671" w:name="_Toc536552568"/>
      <w:bookmarkStart w:id="8672" w:name="_Toc536552569"/>
      <w:bookmarkStart w:id="8673" w:name="_Toc536552570"/>
      <w:bookmarkStart w:id="8674" w:name="_Toc365571428"/>
      <w:bookmarkStart w:id="8675" w:name="_Toc365624928"/>
      <w:bookmarkStart w:id="8676" w:name="_Toc365899939"/>
      <w:bookmarkStart w:id="8677" w:name="_Toc365982748"/>
      <w:bookmarkStart w:id="8678" w:name="_Toc367446074"/>
      <w:bookmarkStart w:id="8679" w:name="_Toc368048281"/>
      <w:bookmarkStart w:id="8680" w:name="_Toc368583852"/>
      <w:bookmarkStart w:id="8681" w:name="_Toc368652947"/>
      <w:bookmarkStart w:id="8682" w:name="_Toc368932386"/>
      <w:bookmarkStart w:id="8683" w:name="_Toc374345858"/>
      <w:bookmarkStart w:id="8684" w:name="_Toc374346204"/>
      <w:bookmarkStart w:id="8685" w:name="_Toc374346549"/>
      <w:bookmarkStart w:id="8686" w:name="_Toc374346895"/>
      <w:bookmarkStart w:id="8687" w:name="_Toc374347351"/>
      <w:bookmarkStart w:id="8688" w:name="_Toc374347581"/>
      <w:bookmarkStart w:id="8689" w:name="_Toc374347810"/>
      <w:bookmarkStart w:id="8690" w:name="_Toc374348553"/>
      <w:bookmarkStart w:id="8691" w:name="_Toc375054953"/>
      <w:bookmarkStart w:id="8692" w:name="_Toc375158036"/>
      <w:bookmarkStart w:id="8693" w:name="_Toc375158378"/>
      <w:bookmarkStart w:id="8694" w:name="_Toc378865534"/>
      <w:bookmarkStart w:id="8695" w:name="_Toc396149264"/>
      <w:bookmarkStart w:id="8696" w:name="_Toc396149832"/>
      <w:bookmarkStart w:id="8697" w:name="_Toc396150273"/>
      <w:bookmarkStart w:id="8698" w:name="_Toc398214962"/>
      <w:bookmarkStart w:id="8699" w:name="_Toc398291652"/>
      <w:bookmarkStart w:id="8700" w:name="_Toc398291995"/>
      <w:bookmarkStart w:id="8701" w:name="_Toc398293104"/>
      <w:bookmarkStart w:id="8702" w:name="_Toc400964234"/>
      <w:bookmarkStart w:id="8703" w:name="_Toc420594955"/>
      <w:bookmarkStart w:id="8704" w:name="_Toc420928509"/>
      <w:bookmarkStart w:id="8705" w:name="_Toc421106830"/>
      <w:bookmarkStart w:id="8706" w:name="_Toc421173096"/>
      <w:bookmarkStart w:id="8707" w:name="_Toc421874403"/>
      <w:bookmarkStart w:id="8708" w:name="_Toc421885692"/>
      <w:bookmarkStart w:id="8709" w:name="_Toc421886071"/>
      <w:bookmarkStart w:id="8710" w:name="_Toc422028943"/>
      <w:bookmarkStart w:id="8711" w:name="_Toc422029855"/>
      <w:bookmarkStart w:id="8712" w:name="_Toc422150818"/>
      <w:bookmarkStart w:id="8713" w:name="_Toc423443372"/>
      <w:bookmarkStart w:id="8714" w:name="_Toc441422550"/>
      <w:bookmarkStart w:id="8715" w:name="_Toc365571429"/>
      <w:bookmarkStart w:id="8716" w:name="_Toc365624929"/>
      <w:bookmarkStart w:id="8717" w:name="_Toc365899940"/>
      <w:bookmarkStart w:id="8718" w:name="_Toc365982749"/>
      <w:bookmarkStart w:id="8719" w:name="_Toc367446075"/>
      <w:bookmarkStart w:id="8720" w:name="_Toc368048282"/>
      <w:bookmarkStart w:id="8721" w:name="_Toc368583853"/>
      <w:bookmarkStart w:id="8722" w:name="_Toc368652948"/>
      <w:bookmarkStart w:id="8723" w:name="_Toc368932387"/>
      <w:bookmarkStart w:id="8724" w:name="_Toc374345859"/>
      <w:bookmarkStart w:id="8725" w:name="_Toc374346205"/>
      <w:bookmarkStart w:id="8726" w:name="_Toc374346550"/>
      <w:bookmarkStart w:id="8727" w:name="_Toc374346896"/>
      <w:bookmarkStart w:id="8728" w:name="_Toc374347352"/>
      <w:bookmarkStart w:id="8729" w:name="_Toc374347582"/>
      <w:bookmarkStart w:id="8730" w:name="_Toc374347811"/>
      <w:bookmarkStart w:id="8731" w:name="_Toc374348554"/>
      <w:bookmarkStart w:id="8732" w:name="_Toc375054954"/>
      <w:bookmarkStart w:id="8733" w:name="_Toc375158037"/>
      <w:bookmarkStart w:id="8734" w:name="_Toc375158379"/>
      <w:bookmarkStart w:id="8735" w:name="_Toc378865535"/>
      <w:bookmarkStart w:id="8736" w:name="_Toc396149265"/>
      <w:bookmarkStart w:id="8737" w:name="_Toc396149833"/>
      <w:bookmarkStart w:id="8738" w:name="_Toc396150274"/>
      <w:bookmarkStart w:id="8739" w:name="_Toc398214963"/>
      <w:bookmarkStart w:id="8740" w:name="_Toc398291653"/>
      <w:bookmarkStart w:id="8741" w:name="_Toc398291996"/>
      <w:bookmarkStart w:id="8742" w:name="_Toc398293105"/>
      <w:bookmarkStart w:id="8743" w:name="_Toc400964235"/>
      <w:bookmarkStart w:id="8744" w:name="_Toc420594956"/>
      <w:bookmarkStart w:id="8745" w:name="_Toc420928510"/>
      <w:bookmarkStart w:id="8746" w:name="_Toc421106831"/>
      <w:bookmarkStart w:id="8747" w:name="_Toc421173097"/>
      <w:bookmarkStart w:id="8748" w:name="_Toc421874404"/>
      <w:bookmarkStart w:id="8749" w:name="_Toc421885693"/>
      <w:bookmarkStart w:id="8750" w:name="_Toc421886072"/>
      <w:bookmarkStart w:id="8751" w:name="_Toc422028944"/>
      <w:bookmarkStart w:id="8752" w:name="_Toc422029856"/>
      <w:bookmarkStart w:id="8753" w:name="_Toc422150819"/>
      <w:bookmarkStart w:id="8754" w:name="_Toc423443373"/>
      <w:bookmarkStart w:id="8755" w:name="_Toc441422551"/>
      <w:bookmarkStart w:id="8756" w:name="_Toc365571430"/>
      <w:bookmarkStart w:id="8757" w:name="_Toc365624930"/>
      <w:bookmarkStart w:id="8758" w:name="_Toc365899941"/>
      <w:bookmarkStart w:id="8759" w:name="_Toc365982750"/>
      <w:bookmarkStart w:id="8760" w:name="_Toc367446076"/>
      <w:bookmarkStart w:id="8761" w:name="_Toc368048283"/>
      <w:bookmarkStart w:id="8762" w:name="_Toc368583854"/>
      <w:bookmarkStart w:id="8763" w:name="_Toc368652949"/>
      <w:bookmarkStart w:id="8764" w:name="_Toc368932388"/>
      <w:bookmarkStart w:id="8765" w:name="_Toc374345860"/>
      <w:bookmarkStart w:id="8766" w:name="_Toc374346206"/>
      <w:bookmarkStart w:id="8767" w:name="_Toc374346551"/>
      <w:bookmarkStart w:id="8768" w:name="_Toc374346897"/>
      <w:bookmarkStart w:id="8769" w:name="_Toc374347353"/>
      <w:bookmarkStart w:id="8770" w:name="_Toc374347583"/>
      <w:bookmarkStart w:id="8771" w:name="_Toc374347812"/>
      <w:bookmarkStart w:id="8772" w:name="_Toc374348555"/>
      <w:bookmarkStart w:id="8773" w:name="_Toc375054955"/>
      <w:bookmarkStart w:id="8774" w:name="_Toc375158038"/>
      <w:bookmarkStart w:id="8775" w:name="_Toc375158380"/>
      <w:bookmarkStart w:id="8776" w:name="_Toc378865536"/>
      <w:bookmarkStart w:id="8777" w:name="_Toc396149266"/>
      <w:bookmarkStart w:id="8778" w:name="_Toc396149834"/>
      <w:bookmarkStart w:id="8779" w:name="_Toc396150275"/>
      <w:bookmarkStart w:id="8780" w:name="_Toc398214964"/>
      <w:bookmarkStart w:id="8781" w:name="_Toc398291654"/>
      <w:bookmarkStart w:id="8782" w:name="_Toc398291997"/>
      <w:bookmarkStart w:id="8783" w:name="_Toc398293106"/>
      <w:bookmarkStart w:id="8784" w:name="_Toc400964236"/>
      <w:bookmarkStart w:id="8785" w:name="_Toc420594957"/>
      <w:bookmarkStart w:id="8786" w:name="_Toc420928511"/>
      <w:bookmarkStart w:id="8787" w:name="_Toc421106832"/>
      <w:bookmarkStart w:id="8788" w:name="_Toc421173098"/>
      <w:bookmarkStart w:id="8789" w:name="_Toc421874405"/>
      <w:bookmarkStart w:id="8790" w:name="_Toc421885694"/>
      <w:bookmarkStart w:id="8791" w:name="_Toc421886073"/>
      <w:bookmarkStart w:id="8792" w:name="_Toc422028945"/>
      <w:bookmarkStart w:id="8793" w:name="_Toc422029857"/>
      <w:bookmarkStart w:id="8794" w:name="_Toc422150820"/>
      <w:bookmarkStart w:id="8795" w:name="_Toc423443374"/>
      <w:bookmarkStart w:id="8796" w:name="_Toc441422552"/>
      <w:bookmarkStart w:id="8797" w:name="_Toc365571431"/>
      <w:bookmarkStart w:id="8798" w:name="_Toc365624931"/>
      <w:bookmarkStart w:id="8799" w:name="_Toc365899942"/>
      <w:bookmarkStart w:id="8800" w:name="_Toc365982751"/>
      <w:bookmarkStart w:id="8801" w:name="_Toc367446077"/>
      <w:bookmarkStart w:id="8802" w:name="_Toc368048284"/>
      <w:bookmarkStart w:id="8803" w:name="_Toc368583855"/>
      <w:bookmarkStart w:id="8804" w:name="_Toc368652950"/>
      <w:bookmarkStart w:id="8805" w:name="_Toc368932389"/>
      <w:bookmarkStart w:id="8806" w:name="_Toc374345861"/>
      <w:bookmarkStart w:id="8807" w:name="_Toc374346207"/>
      <w:bookmarkStart w:id="8808" w:name="_Toc374346552"/>
      <w:bookmarkStart w:id="8809" w:name="_Toc374346898"/>
      <w:bookmarkStart w:id="8810" w:name="_Toc374347354"/>
      <w:bookmarkStart w:id="8811" w:name="_Toc374347584"/>
      <w:bookmarkStart w:id="8812" w:name="_Toc374347813"/>
      <w:bookmarkStart w:id="8813" w:name="_Toc374348556"/>
      <w:bookmarkStart w:id="8814" w:name="_Toc375054956"/>
      <w:bookmarkStart w:id="8815" w:name="_Toc375158039"/>
      <w:bookmarkStart w:id="8816" w:name="_Toc375158381"/>
      <w:bookmarkStart w:id="8817" w:name="_Toc378865537"/>
      <w:bookmarkStart w:id="8818" w:name="_Toc396149267"/>
      <w:bookmarkStart w:id="8819" w:name="_Toc396149835"/>
      <w:bookmarkStart w:id="8820" w:name="_Toc396150276"/>
      <w:bookmarkStart w:id="8821" w:name="_Toc398214965"/>
      <w:bookmarkStart w:id="8822" w:name="_Toc398291655"/>
      <w:bookmarkStart w:id="8823" w:name="_Toc398291998"/>
      <w:bookmarkStart w:id="8824" w:name="_Toc398293107"/>
      <w:bookmarkStart w:id="8825" w:name="_Toc400964237"/>
      <w:bookmarkStart w:id="8826" w:name="_Toc420594958"/>
      <w:bookmarkStart w:id="8827" w:name="_Toc420928512"/>
      <w:bookmarkStart w:id="8828" w:name="_Toc421106833"/>
      <w:bookmarkStart w:id="8829" w:name="_Toc421173099"/>
      <w:bookmarkStart w:id="8830" w:name="_Toc421874406"/>
      <w:bookmarkStart w:id="8831" w:name="_Toc421885695"/>
      <w:bookmarkStart w:id="8832" w:name="_Toc421886074"/>
      <w:bookmarkStart w:id="8833" w:name="_Toc422028946"/>
      <w:bookmarkStart w:id="8834" w:name="_Toc422029858"/>
      <w:bookmarkStart w:id="8835" w:name="_Toc422150821"/>
      <w:bookmarkStart w:id="8836" w:name="_Toc423443375"/>
      <w:bookmarkStart w:id="8837" w:name="_Toc441422553"/>
      <w:bookmarkStart w:id="8838" w:name="_Toc365571432"/>
      <w:bookmarkStart w:id="8839" w:name="_Toc365624932"/>
      <w:bookmarkStart w:id="8840" w:name="_Toc365899943"/>
      <w:bookmarkStart w:id="8841" w:name="_Toc365982752"/>
      <w:bookmarkStart w:id="8842" w:name="_Toc367446078"/>
      <w:bookmarkStart w:id="8843" w:name="_Toc368048285"/>
      <w:bookmarkStart w:id="8844" w:name="_Toc368583856"/>
      <w:bookmarkStart w:id="8845" w:name="_Toc368652951"/>
      <w:bookmarkStart w:id="8846" w:name="_Toc368932390"/>
      <w:bookmarkStart w:id="8847" w:name="_Toc374345862"/>
      <w:bookmarkStart w:id="8848" w:name="_Toc374346208"/>
      <w:bookmarkStart w:id="8849" w:name="_Toc374346553"/>
      <w:bookmarkStart w:id="8850" w:name="_Toc374346899"/>
      <w:bookmarkStart w:id="8851" w:name="_Toc374347355"/>
      <w:bookmarkStart w:id="8852" w:name="_Toc374347585"/>
      <w:bookmarkStart w:id="8853" w:name="_Toc374347814"/>
      <w:bookmarkStart w:id="8854" w:name="_Toc374348557"/>
      <w:bookmarkStart w:id="8855" w:name="_Toc375054957"/>
      <w:bookmarkStart w:id="8856" w:name="_Toc375158040"/>
      <w:bookmarkStart w:id="8857" w:name="_Toc375158382"/>
      <w:bookmarkStart w:id="8858" w:name="_Toc378865538"/>
      <w:bookmarkStart w:id="8859" w:name="_Toc396149268"/>
      <w:bookmarkStart w:id="8860" w:name="_Toc396149836"/>
      <w:bookmarkStart w:id="8861" w:name="_Toc396150277"/>
      <w:bookmarkStart w:id="8862" w:name="_Toc398214966"/>
      <w:bookmarkStart w:id="8863" w:name="_Toc398291656"/>
      <w:bookmarkStart w:id="8864" w:name="_Toc398291999"/>
      <w:bookmarkStart w:id="8865" w:name="_Toc398293108"/>
      <w:bookmarkStart w:id="8866" w:name="_Toc400964238"/>
      <w:bookmarkStart w:id="8867" w:name="_Toc420594959"/>
      <w:bookmarkStart w:id="8868" w:name="_Toc420928513"/>
      <w:bookmarkStart w:id="8869" w:name="_Toc421106834"/>
      <w:bookmarkStart w:id="8870" w:name="_Toc421173100"/>
      <w:bookmarkStart w:id="8871" w:name="_Toc421874407"/>
      <w:bookmarkStart w:id="8872" w:name="_Toc421885696"/>
      <w:bookmarkStart w:id="8873" w:name="_Toc421886075"/>
      <w:bookmarkStart w:id="8874" w:name="_Toc422028947"/>
      <w:bookmarkStart w:id="8875" w:name="_Toc422029859"/>
      <w:bookmarkStart w:id="8876" w:name="_Toc422150822"/>
      <w:bookmarkStart w:id="8877" w:name="_Toc423443376"/>
      <w:bookmarkStart w:id="8878" w:name="_Toc441422554"/>
      <w:bookmarkStart w:id="8879" w:name="_Toc365571433"/>
      <w:bookmarkStart w:id="8880" w:name="_Toc365624933"/>
      <w:bookmarkStart w:id="8881" w:name="_Toc365899944"/>
      <w:bookmarkStart w:id="8882" w:name="_Toc365982753"/>
      <w:bookmarkStart w:id="8883" w:name="_Toc367446079"/>
      <w:bookmarkStart w:id="8884" w:name="_Toc368048286"/>
      <w:bookmarkStart w:id="8885" w:name="_Toc368583857"/>
      <w:bookmarkStart w:id="8886" w:name="_Toc368652952"/>
      <w:bookmarkStart w:id="8887" w:name="_Toc368932391"/>
      <w:bookmarkStart w:id="8888" w:name="_Toc374345863"/>
      <w:bookmarkStart w:id="8889" w:name="_Toc374346209"/>
      <w:bookmarkStart w:id="8890" w:name="_Toc374346554"/>
      <w:bookmarkStart w:id="8891" w:name="_Toc374346900"/>
      <w:bookmarkStart w:id="8892" w:name="_Toc374347356"/>
      <w:bookmarkStart w:id="8893" w:name="_Toc374347586"/>
      <w:bookmarkStart w:id="8894" w:name="_Toc374347815"/>
      <w:bookmarkStart w:id="8895" w:name="_Toc374348558"/>
      <w:bookmarkStart w:id="8896" w:name="_Toc375054958"/>
      <w:bookmarkStart w:id="8897" w:name="_Toc375158041"/>
      <w:bookmarkStart w:id="8898" w:name="_Toc375158383"/>
      <w:bookmarkStart w:id="8899" w:name="_Toc378865539"/>
      <w:bookmarkStart w:id="8900" w:name="_Toc396149269"/>
      <w:bookmarkStart w:id="8901" w:name="_Toc396149837"/>
      <w:bookmarkStart w:id="8902" w:name="_Toc396150278"/>
      <w:bookmarkStart w:id="8903" w:name="_Toc398214967"/>
      <w:bookmarkStart w:id="8904" w:name="_Toc398291657"/>
      <w:bookmarkStart w:id="8905" w:name="_Toc398292000"/>
      <w:bookmarkStart w:id="8906" w:name="_Toc398293109"/>
      <w:bookmarkStart w:id="8907" w:name="_Toc400964239"/>
      <w:bookmarkStart w:id="8908" w:name="_Toc420594960"/>
      <w:bookmarkStart w:id="8909" w:name="_Toc420928514"/>
      <w:bookmarkStart w:id="8910" w:name="_Toc421106835"/>
      <w:bookmarkStart w:id="8911" w:name="_Toc421173101"/>
      <w:bookmarkStart w:id="8912" w:name="_Toc421874408"/>
      <w:bookmarkStart w:id="8913" w:name="_Toc421885697"/>
      <w:bookmarkStart w:id="8914" w:name="_Toc421886076"/>
      <w:bookmarkStart w:id="8915" w:name="_Toc422028948"/>
      <w:bookmarkStart w:id="8916" w:name="_Toc422029860"/>
      <w:bookmarkStart w:id="8917" w:name="_Toc422150823"/>
      <w:bookmarkStart w:id="8918" w:name="_Toc423443377"/>
      <w:bookmarkStart w:id="8919" w:name="_Toc441422555"/>
      <w:bookmarkStart w:id="8920" w:name="_Toc365571434"/>
      <w:bookmarkStart w:id="8921" w:name="_Toc365624934"/>
      <w:bookmarkStart w:id="8922" w:name="_Toc365899945"/>
      <w:bookmarkStart w:id="8923" w:name="_Toc365982754"/>
      <w:bookmarkStart w:id="8924" w:name="_Toc367446080"/>
      <w:bookmarkStart w:id="8925" w:name="_Toc368048287"/>
      <w:bookmarkStart w:id="8926" w:name="_Toc368583858"/>
      <w:bookmarkStart w:id="8927" w:name="_Toc368652953"/>
      <w:bookmarkStart w:id="8928" w:name="_Toc368932392"/>
      <w:bookmarkStart w:id="8929" w:name="_Toc374345864"/>
      <w:bookmarkStart w:id="8930" w:name="_Toc374346210"/>
      <w:bookmarkStart w:id="8931" w:name="_Toc374346555"/>
      <w:bookmarkStart w:id="8932" w:name="_Toc374346901"/>
      <w:bookmarkStart w:id="8933" w:name="_Toc374347357"/>
      <w:bookmarkStart w:id="8934" w:name="_Toc374347587"/>
      <w:bookmarkStart w:id="8935" w:name="_Toc374347816"/>
      <w:bookmarkStart w:id="8936" w:name="_Toc374348559"/>
      <w:bookmarkStart w:id="8937" w:name="_Toc375054959"/>
      <w:bookmarkStart w:id="8938" w:name="_Toc375158042"/>
      <w:bookmarkStart w:id="8939" w:name="_Toc375158384"/>
      <w:bookmarkStart w:id="8940" w:name="_Toc378865540"/>
      <w:bookmarkStart w:id="8941" w:name="_Toc396149270"/>
      <w:bookmarkStart w:id="8942" w:name="_Toc396149838"/>
      <w:bookmarkStart w:id="8943" w:name="_Toc396150279"/>
      <w:bookmarkStart w:id="8944" w:name="_Toc398214968"/>
      <w:bookmarkStart w:id="8945" w:name="_Toc398291658"/>
      <w:bookmarkStart w:id="8946" w:name="_Toc398292001"/>
      <w:bookmarkStart w:id="8947" w:name="_Toc398293110"/>
      <w:bookmarkStart w:id="8948" w:name="_Toc400964240"/>
      <w:bookmarkStart w:id="8949" w:name="_Toc420594961"/>
      <w:bookmarkStart w:id="8950" w:name="_Toc420928515"/>
      <w:bookmarkStart w:id="8951" w:name="_Toc421106836"/>
      <w:bookmarkStart w:id="8952" w:name="_Toc421173102"/>
      <w:bookmarkStart w:id="8953" w:name="_Toc421874409"/>
      <w:bookmarkStart w:id="8954" w:name="_Toc421885698"/>
      <w:bookmarkStart w:id="8955" w:name="_Toc421886077"/>
      <w:bookmarkStart w:id="8956" w:name="_Toc422028949"/>
      <w:bookmarkStart w:id="8957" w:name="_Toc422029861"/>
      <w:bookmarkStart w:id="8958" w:name="_Toc422150824"/>
      <w:bookmarkStart w:id="8959" w:name="_Toc423443378"/>
      <w:bookmarkStart w:id="8960" w:name="_Toc441422556"/>
      <w:bookmarkStart w:id="8961" w:name="_Toc365571435"/>
      <w:bookmarkStart w:id="8962" w:name="_Toc365624935"/>
      <w:bookmarkStart w:id="8963" w:name="_Toc365899946"/>
      <w:bookmarkStart w:id="8964" w:name="_Toc365982755"/>
      <w:bookmarkStart w:id="8965" w:name="_Toc367446081"/>
      <w:bookmarkStart w:id="8966" w:name="_Toc368048288"/>
      <w:bookmarkStart w:id="8967" w:name="_Toc368583859"/>
      <w:bookmarkStart w:id="8968" w:name="_Toc368652954"/>
      <w:bookmarkStart w:id="8969" w:name="_Toc368932393"/>
      <w:bookmarkStart w:id="8970" w:name="_Toc374345865"/>
      <w:bookmarkStart w:id="8971" w:name="_Toc374346211"/>
      <w:bookmarkStart w:id="8972" w:name="_Toc374346556"/>
      <w:bookmarkStart w:id="8973" w:name="_Toc374346902"/>
      <w:bookmarkStart w:id="8974" w:name="_Toc374347358"/>
      <w:bookmarkStart w:id="8975" w:name="_Toc374347588"/>
      <w:bookmarkStart w:id="8976" w:name="_Toc374347817"/>
      <w:bookmarkStart w:id="8977" w:name="_Toc374348560"/>
      <w:bookmarkStart w:id="8978" w:name="_Toc375054960"/>
      <w:bookmarkStart w:id="8979" w:name="_Toc375158043"/>
      <w:bookmarkStart w:id="8980" w:name="_Toc375158385"/>
      <w:bookmarkStart w:id="8981" w:name="_Toc378865541"/>
      <w:bookmarkStart w:id="8982" w:name="_Toc396149271"/>
      <w:bookmarkStart w:id="8983" w:name="_Toc396149839"/>
      <w:bookmarkStart w:id="8984" w:name="_Toc396150280"/>
      <w:bookmarkStart w:id="8985" w:name="_Toc398214969"/>
      <w:bookmarkStart w:id="8986" w:name="_Toc398291659"/>
      <w:bookmarkStart w:id="8987" w:name="_Toc398292002"/>
      <w:bookmarkStart w:id="8988" w:name="_Toc398293111"/>
      <w:bookmarkStart w:id="8989" w:name="_Toc400964241"/>
      <w:bookmarkStart w:id="8990" w:name="_Toc420594962"/>
      <w:bookmarkStart w:id="8991" w:name="_Toc420928516"/>
      <w:bookmarkStart w:id="8992" w:name="_Toc421106837"/>
      <w:bookmarkStart w:id="8993" w:name="_Toc421173103"/>
      <w:bookmarkStart w:id="8994" w:name="_Toc421874410"/>
      <w:bookmarkStart w:id="8995" w:name="_Toc421885699"/>
      <w:bookmarkStart w:id="8996" w:name="_Toc421886078"/>
      <w:bookmarkStart w:id="8997" w:name="_Toc422028950"/>
      <w:bookmarkStart w:id="8998" w:name="_Toc422029862"/>
      <w:bookmarkStart w:id="8999" w:name="_Toc422150825"/>
      <w:bookmarkStart w:id="9000" w:name="_Toc423443379"/>
      <w:bookmarkStart w:id="9001" w:name="_Toc441422557"/>
      <w:bookmarkStart w:id="9002" w:name="_Toc365571436"/>
      <w:bookmarkStart w:id="9003" w:name="_Toc365624936"/>
      <w:bookmarkStart w:id="9004" w:name="_Toc365899947"/>
      <w:bookmarkStart w:id="9005" w:name="_Toc365982756"/>
      <w:bookmarkStart w:id="9006" w:name="_Toc367446082"/>
      <w:bookmarkStart w:id="9007" w:name="_Toc368048289"/>
      <w:bookmarkStart w:id="9008" w:name="_Toc368583860"/>
      <w:bookmarkStart w:id="9009" w:name="_Toc368652955"/>
      <w:bookmarkStart w:id="9010" w:name="_Toc368932394"/>
      <w:bookmarkStart w:id="9011" w:name="_Toc374345866"/>
      <w:bookmarkStart w:id="9012" w:name="_Toc374346212"/>
      <w:bookmarkStart w:id="9013" w:name="_Toc374346557"/>
      <w:bookmarkStart w:id="9014" w:name="_Toc374346903"/>
      <w:bookmarkStart w:id="9015" w:name="_Toc374347359"/>
      <w:bookmarkStart w:id="9016" w:name="_Toc374347589"/>
      <w:bookmarkStart w:id="9017" w:name="_Toc374347818"/>
      <w:bookmarkStart w:id="9018" w:name="_Toc374348561"/>
      <w:bookmarkStart w:id="9019" w:name="_Toc375054961"/>
      <w:bookmarkStart w:id="9020" w:name="_Toc375158044"/>
      <w:bookmarkStart w:id="9021" w:name="_Toc375158386"/>
      <w:bookmarkStart w:id="9022" w:name="_Toc378865542"/>
      <w:bookmarkStart w:id="9023" w:name="_Toc396149272"/>
      <w:bookmarkStart w:id="9024" w:name="_Toc396149840"/>
      <w:bookmarkStart w:id="9025" w:name="_Toc396150281"/>
      <w:bookmarkStart w:id="9026" w:name="_Toc398214970"/>
      <w:bookmarkStart w:id="9027" w:name="_Toc398291660"/>
      <w:bookmarkStart w:id="9028" w:name="_Toc398292003"/>
      <w:bookmarkStart w:id="9029" w:name="_Toc398293112"/>
      <w:bookmarkStart w:id="9030" w:name="_Toc400964242"/>
      <w:bookmarkStart w:id="9031" w:name="_Toc420594963"/>
      <w:bookmarkStart w:id="9032" w:name="_Toc420928517"/>
      <w:bookmarkStart w:id="9033" w:name="_Toc421106838"/>
      <w:bookmarkStart w:id="9034" w:name="_Toc421173104"/>
      <w:bookmarkStart w:id="9035" w:name="_Toc421874411"/>
      <w:bookmarkStart w:id="9036" w:name="_Toc421885700"/>
      <w:bookmarkStart w:id="9037" w:name="_Toc421886079"/>
      <w:bookmarkStart w:id="9038" w:name="_Toc422028951"/>
      <w:bookmarkStart w:id="9039" w:name="_Toc422029863"/>
      <w:bookmarkStart w:id="9040" w:name="_Toc422150826"/>
      <w:bookmarkStart w:id="9041" w:name="_Toc423443380"/>
      <w:bookmarkStart w:id="9042" w:name="_Toc441422558"/>
      <w:bookmarkStart w:id="9043" w:name="_Toc365571437"/>
      <w:bookmarkStart w:id="9044" w:name="_Toc365624937"/>
      <w:bookmarkStart w:id="9045" w:name="_Toc365899948"/>
      <w:bookmarkStart w:id="9046" w:name="_Toc365982757"/>
      <w:bookmarkStart w:id="9047" w:name="_Toc367446083"/>
      <w:bookmarkStart w:id="9048" w:name="_Toc368048290"/>
      <w:bookmarkStart w:id="9049" w:name="_Toc368583861"/>
      <w:bookmarkStart w:id="9050" w:name="_Toc368652956"/>
      <w:bookmarkStart w:id="9051" w:name="_Toc368932395"/>
      <w:bookmarkStart w:id="9052" w:name="_Toc374345867"/>
      <w:bookmarkStart w:id="9053" w:name="_Toc374346213"/>
      <w:bookmarkStart w:id="9054" w:name="_Toc374346558"/>
      <w:bookmarkStart w:id="9055" w:name="_Toc374346904"/>
      <w:bookmarkStart w:id="9056" w:name="_Toc374347360"/>
      <w:bookmarkStart w:id="9057" w:name="_Toc374347590"/>
      <w:bookmarkStart w:id="9058" w:name="_Toc374347819"/>
      <w:bookmarkStart w:id="9059" w:name="_Toc374348562"/>
      <w:bookmarkStart w:id="9060" w:name="_Toc375054962"/>
      <w:bookmarkStart w:id="9061" w:name="_Toc375158045"/>
      <w:bookmarkStart w:id="9062" w:name="_Toc375158387"/>
      <w:bookmarkStart w:id="9063" w:name="_Toc378865543"/>
      <w:bookmarkStart w:id="9064" w:name="_Toc396149273"/>
      <w:bookmarkStart w:id="9065" w:name="_Toc396149841"/>
      <w:bookmarkStart w:id="9066" w:name="_Toc396150282"/>
      <w:bookmarkStart w:id="9067" w:name="_Toc398214971"/>
      <w:bookmarkStart w:id="9068" w:name="_Toc398291661"/>
      <w:bookmarkStart w:id="9069" w:name="_Toc398292004"/>
      <w:bookmarkStart w:id="9070" w:name="_Toc398293113"/>
      <w:bookmarkStart w:id="9071" w:name="_Toc400964243"/>
      <w:bookmarkStart w:id="9072" w:name="_Toc420594964"/>
      <w:bookmarkStart w:id="9073" w:name="_Toc420928518"/>
      <w:bookmarkStart w:id="9074" w:name="_Toc421106839"/>
      <w:bookmarkStart w:id="9075" w:name="_Toc421173105"/>
      <w:bookmarkStart w:id="9076" w:name="_Toc421874412"/>
      <w:bookmarkStart w:id="9077" w:name="_Toc421885701"/>
      <w:bookmarkStart w:id="9078" w:name="_Toc421886080"/>
      <w:bookmarkStart w:id="9079" w:name="_Toc422028952"/>
      <w:bookmarkStart w:id="9080" w:name="_Toc422029864"/>
      <w:bookmarkStart w:id="9081" w:name="_Toc422150827"/>
      <w:bookmarkStart w:id="9082" w:name="_Toc423443381"/>
      <w:bookmarkStart w:id="9083" w:name="_Toc441422559"/>
      <w:bookmarkStart w:id="9084" w:name="_Toc365571438"/>
      <w:bookmarkStart w:id="9085" w:name="_Toc365624938"/>
      <w:bookmarkStart w:id="9086" w:name="_Toc365899949"/>
      <w:bookmarkStart w:id="9087" w:name="_Toc365982758"/>
      <w:bookmarkStart w:id="9088" w:name="_Toc367446084"/>
      <w:bookmarkStart w:id="9089" w:name="_Toc368048291"/>
      <w:bookmarkStart w:id="9090" w:name="_Toc368583862"/>
      <w:bookmarkStart w:id="9091" w:name="_Toc368652957"/>
      <w:bookmarkStart w:id="9092" w:name="_Toc368932396"/>
      <w:bookmarkStart w:id="9093" w:name="_Toc374345868"/>
      <w:bookmarkStart w:id="9094" w:name="_Toc374346214"/>
      <w:bookmarkStart w:id="9095" w:name="_Toc374346559"/>
      <w:bookmarkStart w:id="9096" w:name="_Toc374346905"/>
      <w:bookmarkStart w:id="9097" w:name="_Toc374347361"/>
      <w:bookmarkStart w:id="9098" w:name="_Toc374347591"/>
      <w:bookmarkStart w:id="9099" w:name="_Toc374347820"/>
      <w:bookmarkStart w:id="9100" w:name="_Toc374348563"/>
      <w:bookmarkStart w:id="9101" w:name="_Toc375054963"/>
      <w:bookmarkStart w:id="9102" w:name="_Toc375158046"/>
      <w:bookmarkStart w:id="9103" w:name="_Toc375158388"/>
      <w:bookmarkStart w:id="9104" w:name="_Toc378865544"/>
      <w:bookmarkStart w:id="9105" w:name="_Toc396149274"/>
      <w:bookmarkStart w:id="9106" w:name="_Toc396149842"/>
      <w:bookmarkStart w:id="9107" w:name="_Toc396150283"/>
      <w:bookmarkStart w:id="9108" w:name="_Toc398214972"/>
      <w:bookmarkStart w:id="9109" w:name="_Toc398291662"/>
      <w:bookmarkStart w:id="9110" w:name="_Toc398292005"/>
      <w:bookmarkStart w:id="9111" w:name="_Toc398293114"/>
      <w:bookmarkStart w:id="9112" w:name="_Toc400964244"/>
      <w:bookmarkStart w:id="9113" w:name="_Toc420594965"/>
      <w:bookmarkStart w:id="9114" w:name="_Toc420928519"/>
      <w:bookmarkStart w:id="9115" w:name="_Toc421106840"/>
      <w:bookmarkStart w:id="9116" w:name="_Toc421173106"/>
      <w:bookmarkStart w:id="9117" w:name="_Toc421874413"/>
      <w:bookmarkStart w:id="9118" w:name="_Toc421885702"/>
      <w:bookmarkStart w:id="9119" w:name="_Toc421886081"/>
      <w:bookmarkStart w:id="9120" w:name="_Toc422028953"/>
      <w:bookmarkStart w:id="9121" w:name="_Toc422029865"/>
      <w:bookmarkStart w:id="9122" w:name="_Toc422150828"/>
      <w:bookmarkStart w:id="9123" w:name="_Toc423443382"/>
      <w:bookmarkStart w:id="9124" w:name="_Toc441422560"/>
      <w:bookmarkStart w:id="9125" w:name="_Toc536552571"/>
      <w:bookmarkStart w:id="9126" w:name="_Toc448998315"/>
      <w:bookmarkStart w:id="9127" w:name="_Toc422150829"/>
      <w:bookmarkStart w:id="9128" w:name="_Toc421874414"/>
      <w:bookmarkStart w:id="9129" w:name="_Toc420594966"/>
      <w:bookmarkStart w:id="9130" w:name="_Toc398214973"/>
      <w:bookmarkStart w:id="9131" w:name="_Toc375158389"/>
      <w:bookmarkStart w:id="9132" w:name="_Toc374348564"/>
      <w:bookmarkStart w:id="9133" w:name="_Toc368932397"/>
      <w:bookmarkStart w:id="9134" w:name="_Toc486332932"/>
      <w:bookmarkStart w:id="9135" w:name="_Ref536181124"/>
      <w:bookmarkStart w:id="9136" w:name="_Ref536181129"/>
      <w:bookmarkStart w:id="9137" w:name="_Toc1977473"/>
      <w:bookmarkStart w:id="9138" w:name="_Toc37062632"/>
      <w:bookmarkStart w:id="9139" w:name="_Toc88839685"/>
      <w:bookmarkStart w:id="9140" w:name="_Toc121504093"/>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r>
        <w:rPr>
          <w:rFonts w:ascii="Arial Bold" w:hAnsi="Arial Bold"/>
          <w:b/>
          <w:sz w:val="24"/>
          <w:szCs w:val="24"/>
          <w:lang w:eastAsia="en-US"/>
        </w:rPr>
        <w:t>The ES2 Interface Functions</w:t>
      </w:r>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p>
    <w:p w14:paraId="27A0ABBF" w14:textId="77777777" w:rsidR="00B97365" w:rsidRDefault="00000000">
      <w:pPr>
        <w:spacing w:before="0" w:after="200" w:line="276" w:lineRule="auto"/>
        <w:jc w:val="left"/>
        <w:rPr>
          <w:szCs w:val="22"/>
          <w:lang w:eastAsia="en-US"/>
        </w:rPr>
      </w:pPr>
      <w:r>
        <w:rPr>
          <w:szCs w:val="22"/>
          <w:lang w:eastAsia="en-US"/>
        </w:rPr>
        <w:t xml:space="preserve">The table </w:t>
      </w:r>
      <w:r>
        <w:rPr>
          <w:szCs w:val="22"/>
          <w:lang w:val="en-US"/>
        </w:rPr>
        <w:t xml:space="preserve">below describe where definition of ES2 functions messages are located in </w:t>
      </w:r>
      <w:r>
        <w:rPr>
          <w:b/>
          <w:szCs w:val="22"/>
          <w:lang w:val="en-US"/>
        </w:rPr>
        <w:t>rps3.</w:t>
      </w:r>
      <w:r>
        <w:rPr>
          <w:b/>
          <w:szCs w:val="22"/>
          <w:lang w:eastAsia="en-US"/>
        </w:rPr>
        <w:t>euicc.request.ES2.xsd</w:t>
      </w:r>
      <w:r>
        <w:rPr>
          <w:szCs w:val="22"/>
          <w:lang w:val="en-US"/>
        </w:rPr>
        <w:t xml:space="preserve"> and </w:t>
      </w:r>
      <w:r>
        <w:rPr>
          <w:b/>
          <w:szCs w:val="22"/>
          <w:lang w:val="en-US"/>
        </w:rPr>
        <w:t>rps4.</w:t>
      </w:r>
      <w:r>
        <w:rPr>
          <w:b/>
          <w:szCs w:val="22"/>
          <w:lang w:eastAsia="en-US"/>
        </w:rPr>
        <w:t>euicc.request.ES2.xsd</w:t>
      </w:r>
      <w:r>
        <w:rPr>
          <w:szCs w:val="22"/>
          <w:lang w:val="en-US"/>
        </w:rPr>
        <w:t>.</w:t>
      </w:r>
    </w:p>
    <w:tbl>
      <w:tblPr>
        <w:tblW w:w="9498" w:type="dxa"/>
        <w:tblLayout w:type="fixed"/>
        <w:tblLook w:val="04A0" w:firstRow="1" w:lastRow="0" w:firstColumn="1" w:lastColumn="0" w:noHBand="0" w:noVBand="1"/>
      </w:tblPr>
      <w:tblGrid>
        <w:gridCol w:w="3965"/>
        <w:gridCol w:w="5533"/>
      </w:tblGrid>
      <w:tr w:rsidR="00B97365" w14:paraId="2CE3B5E9" w14:textId="77777777">
        <w:trPr>
          <w:trHeight w:val="435"/>
        </w:trPr>
        <w:tc>
          <w:tcPr>
            <w:tcW w:w="3966" w:type="dxa"/>
            <w:tcBorders>
              <w:top w:val="single" w:sz="4" w:space="0" w:color="auto"/>
              <w:left w:val="single" w:sz="4" w:space="0" w:color="auto"/>
              <w:bottom w:val="single" w:sz="4" w:space="0" w:color="auto"/>
              <w:right w:val="single" w:sz="4" w:space="0" w:color="auto"/>
            </w:tcBorders>
            <w:shd w:val="clear" w:color="auto" w:fill="C00000"/>
          </w:tcPr>
          <w:p w14:paraId="59E98C3C" w14:textId="77777777" w:rsidR="00B97365" w:rsidRDefault="00000000">
            <w:pPr>
              <w:spacing w:before="0" w:after="200" w:line="276" w:lineRule="auto"/>
              <w:jc w:val="left"/>
              <w:rPr>
                <w:b/>
                <w:szCs w:val="22"/>
                <w:lang w:eastAsia="en-US"/>
              </w:rPr>
            </w:pPr>
            <w:r>
              <w:rPr>
                <w:b/>
                <w:szCs w:val="22"/>
                <w:lang w:eastAsia="en-US"/>
              </w:rPr>
              <w:t>Interface.Function</w:t>
            </w:r>
          </w:p>
        </w:tc>
        <w:tc>
          <w:tcPr>
            <w:tcW w:w="5532" w:type="dxa"/>
            <w:tcBorders>
              <w:top w:val="single" w:sz="4" w:space="0" w:color="auto"/>
              <w:left w:val="single" w:sz="4" w:space="0" w:color="auto"/>
              <w:bottom w:val="single" w:sz="4" w:space="0" w:color="auto"/>
              <w:right w:val="single" w:sz="4" w:space="0" w:color="auto"/>
            </w:tcBorders>
            <w:shd w:val="clear" w:color="auto" w:fill="C00000"/>
          </w:tcPr>
          <w:p w14:paraId="6FB5CF6F" w14:textId="77777777" w:rsidR="00B97365" w:rsidRDefault="00000000">
            <w:pPr>
              <w:spacing w:before="0" w:after="200" w:line="276" w:lineRule="auto"/>
              <w:jc w:val="left"/>
              <w:rPr>
                <w:b/>
                <w:szCs w:val="22"/>
                <w:lang w:eastAsia="en-US"/>
              </w:rPr>
            </w:pPr>
            <w:r>
              <w:rPr>
                <w:b/>
                <w:szCs w:val="22"/>
                <w:lang w:eastAsia="en-US"/>
              </w:rPr>
              <w:t>XML Type</w:t>
            </w:r>
          </w:p>
        </w:tc>
      </w:tr>
      <w:tr w:rsidR="00B97365" w14:paraId="06311390" w14:textId="77777777">
        <w:trPr>
          <w:trHeight w:val="435"/>
        </w:trPr>
        <w:tc>
          <w:tcPr>
            <w:tcW w:w="3966" w:type="dxa"/>
            <w:vMerge w:val="restart"/>
            <w:tcBorders>
              <w:top w:val="single" w:sz="4" w:space="0" w:color="auto"/>
              <w:left w:val="single" w:sz="4" w:space="0" w:color="auto"/>
              <w:bottom w:val="single" w:sz="4" w:space="0" w:color="auto"/>
              <w:right w:val="single" w:sz="4" w:space="0" w:color="auto"/>
            </w:tcBorders>
          </w:tcPr>
          <w:p w14:paraId="36C6645E" w14:textId="77777777" w:rsidR="00B97365" w:rsidRDefault="00000000">
            <w:pPr>
              <w:spacing w:before="0" w:after="200" w:line="276" w:lineRule="auto"/>
              <w:jc w:val="left"/>
              <w:rPr>
                <w:szCs w:val="22"/>
                <w:lang w:eastAsia="en-US"/>
              </w:rPr>
            </w:pPr>
            <w:r>
              <w:rPr>
                <w:szCs w:val="22"/>
                <w:lang w:eastAsia="en-US"/>
              </w:rPr>
              <w:t>ES2.GetEIS</w:t>
            </w:r>
          </w:p>
        </w:tc>
        <w:tc>
          <w:tcPr>
            <w:tcW w:w="5532" w:type="dxa"/>
            <w:tcBorders>
              <w:top w:val="single" w:sz="4" w:space="0" w:color="auto"/>
              <w:left w:val="single" w:sz="4" w:space="0" w:color="auto"/>
              <w:bottom w:val="single" w:sz="4" w:space="0" w:color="auto"/>
              <w:right w:val="single" w:sz="4" w:space="0" w:color="auto"/>
            </w:tcBorders>
          </w:tcPr>
          <w:p w14:paraId="740530E1" w14:textId="77777777" w:rsidR="00B97365" w:rsidRDefault="00000000">
            <w:pPr>
              <w:spacing w:before="0" w:after="200" w:line="276" w:lineRule="auto"/>
              <w:jc w:val="left"/>
              <w:rPr>
                <w:szCs w:val="22"/>
                <w:lang w:eastAsia="en-US"/>
              </w:rPr>
            </w:pPr>
            <w:r>
              <w:rPr>
                <w:szCs w:val="22"/>
                <w:lang w:eastAsia="en-US"/>
              </w:rPr>
              <w:t>rps3:ES2-GetEISRequest</w:t>
            </w:r>
          </w:p>
        </w:tc>
      </w:tr>
      <w:tr w:rsidR="00B97365" w14:paraId="012B7E0D" w14:textId="77777777">
        <w:trPr>
          <w:trHeight w:val="435"/>
        </w:trPr>
        <w:tc>
          <w:tcPr>
            <w:tcW w:w="3966" w:type="dxa"/>
            <w:vMerge/>
            <w:tcBorders>
              <w:top w:val="single" w:sz="4" w:space="0" w:color="auto"/>
              <w:left w:val="single" w:sz="4" w:space="0" w:color="auto"/>
              <w:bottom w:val="single" w:sz="4" w:space="0" w:color="auto"/>
              <w:right w:val="single" w:sz="4" w:space="0" w:color="auto"/>
            </w:tcBorders>
          </w:tcPr>
          <w:p w14:paraId="23C83D7A" w14:textId="77777777" w:rsidR="00B97365" w:rsidRDefault="00B97365">
            <w:pPr>
              <w:spacing w:before="0" w:after="200" w:line="276" w:lineRule="auto"/>
              <w:jc w:val="left"/>
              <w:rPr>
                <w:szCs w:val="22"/>
                <w:lang w:eastAsia="en-US"/>
              </w:rPr>
            </w:pPr>
          </w:p>
        </w:tc>
        <w:tc>
          <w:tcPr>
            <w:tcW w:w="5532" w:type="dxa"/>
            <w:tcBorders>
              <w:top w:val="single" w:sz="4" w:space="0" w:color="auto"/>
              <w:left w:val="single" w:sz="4" w:space="0" w:color="auto"/>
              <w:bottom w:val="single" w:sz="4" w:space="0" w:color="auto"/>
              <w:right w:val="single" w:sz="4" w:space="0" w:color="auto"/>
            </w:tcBorders>
          </w:tcPr>
          <w:p w14:paraId="53EB33B5" w14:textId="77777777" w:rsidR="00B97365" w:rsidRDefault="00000000">
            <w:pPr>
              <w:spacing w:before="0" w:after="200" w:line="276" w:lineRule="auto"/>
              <w:jc w:val="left"/>
              <w:rPr>
                <w:szCs w:val="22"/>
                <w:lang w:eastAsia="en-US"/>
              </w:rPr>
            </w:pPr>
            <w:r>
              <w:rPr>
                <w:szCs w:val="22"/>
                <w:lang w:eastAsia="en-US"/>
              </w:rPr>
              <w:t>rps3:ES2-GetEISResponse</w:t>
            </w:r>
          </w:p>
        </w:tc>
      </w:tr>
      <w:tr w:rsidR="00B97365" w14:paraId="05A2E34B" w14:textId="77777777">
        <w:trPr>
          <w:trHeight w:val="435"/>
        </w:trPr>
        <w:tc>
          <w:tcPr>
            <w:tcW w:w="3966" w:type="dxa"/>
            <w:vMerge w:val="restart"/>
            <w:tcBorders>
              <w:top w:val="single" w:sz="4" w:space="0" w:color="auto"/>
              <w:left w:val="single" w:sz="4" w:space="0" w:color="auto"/>
              <w:bottom w:val="single" w:sz="4" w:space="0" w:color="auto"/>
              <w:right w:val="single" w:sz="4" w:space="0" w:color="auto"/>
            </w:tcBorders>
          </w:tcPr>
          <w:p w14:paraId="7C8F5D49" w14:textId="77777777" w:rsidR="00B97365" w:rsidRDefault="00000000">
            <w:pPr>
              <w:spacing w:before="0" w:after="200" w:line="276" w:lineRule="auto"/>
              <w:jc w:val="left"/>
              <w:rPr>
                <w:szCs w:val="22"/>
                <w:lang w:eastAsia="en-US"/>
              </w:rPr>
            </w:pPr>
            <w:r>
              <w:rPr>
                <w:szCs w:val="22"/>
                <w:lang w:eastAsia="en-US"/>
              </w:rPr>
              <w:t>ES2.DownloadProfile</w:t>
            </w:r>
          </w:p>
        </w:tc>
        <w:tc>
          <w:tcPr>
            <w:tcW w:w="5532" w:type="dxa"/>
            <w:tcBorders>
              <w:top w:val="single" w:sz="4" w:space="0" w:color="auto"/>
              <w:left w:val="single" w:sz="4" w:space="0" w:color="auto"/>
              <w:bottom w:val="single" w:sz="4" w:space="0" w:color="auto"/>
              <w:right w:val="single" w:sz="4" w:space="0" w:color="auto"/>
            </w:tcBorders>
          </w:tcPr>
          <w:p w14:paraId="22FAABF0" w14:textId="77777777" w:rsidR="00B97365" w:rsidRDefault="00000000">
            <w:pPr>
              <w:spacing w:before="0" w:after="200" w:line="276" w:lineRule="auto"/>
              <w:jc w:val="left"/>
              <w:rPr>
                <w:szCs w:val="22"/>
                <w:lang w:eastAsia="en-US"/>
              </w:rPr>
            </w:pPr>
            <w:r>
              <w:rPr>
                <w:szCs w:val="22"/>
                <w:lang w:eastAsia="en-US"/>
              </w:rPr>
              <w:t>rps3:ES2-DownloadProfileRequest</w:t>
            </w:r>
          </w:p>
        </w:tc>
      </w:tr>
      <w:tr w:rsidR="00B97365" w14:paraId="36F92144" w14:textId="77777777">
        <w:trPr>
          <w:trHeight w:val="435"/>
        </w:trPr>
        <w:tc>
          <w:tcPr>
            <w:tcW w:w="3966" w:type="dxa"/>
            <w:vMerge/>
            <w:tcBorders>
              <w:top w:val="single" w:sz="4" w:space="0" w:color="auto"/>
              <w:left w:val="single" w:sz="4" w:space="0" w:color="auto"/>
              <w:bottom w:val="single" w:sz="4" w:space="0" w:color="auto"/>
              <w:right w:val="single" w:sz="4" w:space="0" w:color="auto"/>
            </w:tcBorders>
          </w:tcPr>
          <w:p w14:paraId="54F66433" w14:textId="77777777" w:rsidR="00B97365" w:rsidRDefault="00B97365">
            <w:pPr>
              <w:spacing w:before="0" w:after="200" w:line="276" w:lineRule="auto"/>
              <w:jc w:val="left"/>
              <w:rPr>
                <w:szCs w:val="22"/>
                <w:lang w:eastAsia="en-US"/>
              </w:rPr>
            </w:pPr>
          </w:p>
        </w:tc>
        <w:tc>
          <w:tcPr>
            <w:tcW w:w="5532" w:type="dxa"/>
            <w:tcBorders>
              <w:top w:val="single" w:sz="4" w:space="0" w:color="auto"/>
              <w:left w:val="single" w:sz="4" w:space="0" w:color="auto"/>
              <w:bottom w:val="single" w:sz="4" w:space="0" w:color="auto"/>
              <w:right w:val="single" w:sz="4" w:space="0" w:color="auto"/>
            </w:tcBorders>
          </w:tcPr>
          <w:p w14:paraId="0B6EDBF6" w14:textId="77777777" w:rsidR="00B97365" w:rsidRDefault="00000000">
            <w:pPr>
              <w:spacing w:before="0" w:after="200" w:line="276" w:lineRule="auto"/>
              <w:jc w:val="left"/>
              <w:rPr>
                <w:szCs w:val="22"/>
                <w:lang w:eastAsia="en-US"/>
              </w:rPr>
            </w:pPr>
            <w:r>
              <w:rPr>
                <w:szCs w:val="22"/>
                <w:lang w:eastAsia="en-US"/>
              </w:rPr>
              <w:t>rps3:ES2-DownloadProfileResponse</w:t>
            </w:r>
          </w:p>
        </w:tc>
      </w:tr>
      <w:tr w:rsidR="00B97365" w14:paraId="279D8EAC" w14:textId="77777777">
        <w:trPr>
          <w:trHeight w:val="435"/>
        </w:trPr>
        <w:tc>
          <w:tcPr>
            <w:tcW w:w="3966" w:type="dxa"/>
            <w:vMerge w:val="restart"/>
            <w:tcBorders>
              <w:top w:val="single" w:sz="4" w:space="0" w:color="auto"/>
              <w:left w:val="single" w:sz="4" w:space="0" w:color="auto"/>
              <w:bottom w:val="single" w:sz="4" w:space="0" w:color="auto"/>
              <w:right w:val="single" w:sz="4" w:space="0" w:color="auto"/>
            </w:tcBorders>
          </w:tcPr>
          <w:p w14:paraId="0E7E10B0" w14:textId="77777777" w:rsidR="00B97365" w:rsidRDefault="00000000">
            <w:pPr>
              <w:spacing w:before="0" w:after="200" w:line="276" w:lineRule="auto"/>
              <w:jc w:val="left"/>
              <w:rPr>
                <w:szCs w:val="22"/>
                <w:lang w:eastAsia="en-US"/>
              </w:rPr>
            </w:pPr>
            <w:r>
              <w:rPr>
                <w:szCs w:val="22"/>
                <w:lang w:eastAsia="en-US"/>
              </w:rPr>
              <w:t>ES2.UpdatePolicyRules</w:t>
            </w:r>
          </w:p>
        </w:tc>
        <w:tc>
          <w:tcPr>
            <w:tcW w:w="5532" w:type="dxa"/>
            <w:tcBorders>
              <w:top w:val="single" w:sz="4" w:space="0" w:color="auto"/>
              <w:left w:val="single" w:sz="4" w:space="0" w:color="auto"/>
              <w:bottom w:val="single" w:sz="4" w:space="0" w:color="auto"/>
              <w:right w:val="single" w:sz="4" w:space="0" w:color="auto"/>
            </w:tcBorders>
          </w:tcPr>
          <w:p w14:paraId="1552E165" w14:textId="77777777" w:rsidR="00B97365" w:rsidRDefault="00000000">
            <w:pPr>
              <w:spacing w:before="0" w:after="200" w:line="276" w:lineRule="auto"/>
              <w:jc w:val="left"/>
              <w:rPr>
                <w:szCs w:val="22"/>
                <w:lang w:eastAsia="en-US"/>
              </w:rPr>
            </w:pPr>
            <w:r>
              <w:rPr>
                <w:szCs w:val="22"/>
                <w:lang w:eastAsia="en-US"/>
              </w:rPr>
              <w:t>rps3:ES2-UpdatePolicyRulesRequest</w:t>
            </w:r>
          </w:p>
        </w:tc>
      </w:tr>
      <w:tr w:rsidR="00B97365" w14:paraId="41C8E746" w14:textId="77777777">
        <w:trPr>
          <w:trHeight w:val="435"/>
        </w:trPr>
        <w:tc>
          <w:tcPr>
            <w:tcW w:w="3966" w:type="dxa"/>
            <w:vMerge/>
            <w:tcBorders>
              <w:top w:val="single" w:sz="4" w:space="0" w:color="auto"/>
              <w:left w:val="single" w:sz="4" w:space="0" w:color="auto"/>
              <w:bottom w:val="single" w:sz="4" w:space="0" w:color="auto"/>
              <w:right w:val="single" w:sz="4" w:space="0" w:color="auto"/>
            </w:tcBorders>
          </w:tcPr>
          <w:p w14:paraId="6277320D" w14:textId="77777777" w:rsidR="00B97365" w:rsidRDefault="00B97365">
            <w:pPr>
              <w:spacing w:before="0" w:after="200" w:line="276" w:lineRule="auto"/>
              <w:jc w:val="left"/>
              <w:rPr>
                <w:szCs w:val="22"/>
                <w:lang w:eastAsia="en-US"/>
              </w:rPr>
            </w:pPr>
          </w:p>
        </w:tc>
        <w:tc>
          <w:tcPr>
            <w:tcW w:w="5532" w:type="dxa"/>
            <w:tcBorders>
              <w:top w:val="single" w:sz="4" w:space="0" w:color="auto"/>
              <w:left w:val="single" w:sz="4" w:space="0" w:color="auto"/>
              <w:bottom w:val="single" w:sz="4" w:space="0" w:color="auto"/>
              <w:right w:val="single" w:sz="4" w:space="0" w:color="auto"/>
            </w:tcBorders>
          </w:tcPr>
          <w:p w14:paraId="11C80733" w14:textId="77777777" w:rsidR="00B97365" w:rsidRDefault="00000000">
            <w:pPr>
              <w:spacing w:before="0" w:after="200" w:line="276" w:lineRule="auto"/>
              <w:jc w:val="left"/>
              <w:rPr>
                <w:szCs w:val="22"/>
                <w:lang w:eastAsia="en-US"/>
              </w:rPr>
            </w:pPr>
            <w:r>
              <w:rPr>
                <w:szCs w:val="22"/>
                <w:lang w:eastAsia="en-US"/>
              </w:rPr>
              <w:t>rps3:ES2-UpdatePolicyRulesResponse</w:t>
            </w:r>
          </w:p>
        </w:tc>
      </w:tr>
      <w:tr w:rsidR="00B97365" w14:paraId="72434E2D" w14:textId="77777777">
        <w:trPr>
          <w:trHeight w:val="435"/>
        </w:trPr>
        <w:tc>
          <w:tcPr>
            <w:tcW w:w="3966" w:type="dxa"/>
            <w:vMerge w:val="restart"/>
            <w:tcBorders>
              <w:top w:val="single" w:sz="4" w:space="0" w:color="auto"/>
              <w:left w:val="single" w:sz="4" w:space="0" w:color="auto"/>
              <w:bottom w:val="single" w:sz="4" w:space="0" w:color="auto"/>
              <w:right w:val="single" w:sz="4" w:space="0" w:color="auto"/>
            </w:tcBorders>
          </w:tcPr>
          <w:p w14:paraId="535D47AA" w14:textId="77777777" w:rsidR="00B97365" w:rsidRDefault="00000000">
            <w:pPr>
              <w:spacing w:before="0" w:after="200" w:line="276" w:lineRule="auto"/>
              <w:jc w:val="left"/>
              <w:rPr>
                <w:szCs w:val="22"/>
                <w:lang w:eastAsia="en-US"/>
              </w:rPr>
            </w:pPr>
            <w:r>
              <w:rPr>
                <w:szCs w:val="22"/>
                <w:lang w:eastAsia="en-US"/>
              </w:rPr>
              <w:t>ES2.UpdateSubscriptionAddress</w:t>
            </w:r>
          </w:p>
        </w:tc>
        <w:tc>
          <w:tcPr>
            <w:tcW w:w="5532" w:type="dxa"/>
            <w:tcBorders>
              <w:top w:val="single" w:sz="4" w:space="0" w:color="auto"/>
              <w:left w:val="single" w:sz="4" w:space="0" w:color="auto"/>
              <w:bottom w:val="single" w:sz="4" w:space="0" w:color="auto"/>
              <w:right w:val="single" w:sz="4" w:space="0" w:color="auto"/>
            </w:tcBorders>
          </w:tcPr>
          <w:p w14:paraId="3C93196D" w14:textId="77777777" w:rsidR="00B97365" w:rsidRDefault="00000000">
            <w:pPr>
              <w:spacing w:before="0" w:after="200" w:line="276" w:lineRule="auto"/>
              <w:jc w:val="left"/>
              <w:rPr>
                <w:szCs w:val="22"/>
                <w:lang w:eastAsia="en-US"/>
              </w:rPr>
            </w:pPr>
            <w:r>
              <w:rPr>
                <w:szCs w:val="22"/>
                <w:lang w:eastAsia="en-US"/>
              </w:rPr>
              <w:t>rps3:ES2-UpdateSubscriptionAddressRequest</w:t>
            </w:r>
          </w:p>
        </w:tc>
      </w:tr>
      <w:tr w:rsidR="00B97365" w14:paraId="7405CC25" w14:textId="77777777">
        <w:trPr>
          <w:trHeight w:val="435"/>
        </w:trPr>
        <w:tc>
          <w:tcPr>
            <w:tcW w:w="3966" w:type="dxa"/>
            <w:vMerge/>
            <w:tcBorders>
              <w:top w:val="single" w:sz="4" w:space="0" w:color="auto"/>
              <w:left w:val="single" w:sz="4" w:space="0" w:color="auto"/>
              <w:bottom w:val="single" w:sz="4" w:space="0" w:color="auto"/>
              <w:right w:val="single" w:sz="4" w:space="0" w:color="auto"/>
            </w:tcBorders>
          </w:tcPr>
          <w:p w14:paraId="1B1AFD8D" w14:textId="77777777" w:rsidR="00B97365" w:rsidRDefault="00B97365">
            <w:pPr>
              <w:spacing w:before="0" w:after="200" w:line="276" w:lineRule="auto"/>
              <w:jc w:val="left"/>
              <w:rPr>
                <w:szCs w:val="22"/>
                <w:lang w:eastAsia="en-US"/>
              </w:rPr>
            </w:pPr>
          </w:p>
        </w:tc>
        <w:tc>
          <w:tcPr>
            <w:tcW w:w="5532" w:type="dxa"/>
            <w:tcBorders>
              <w:top w:val="single" w:sz="4" w:space="0" w:color="auto"/>
              <w:left w:val="single" w:sz="4" w:space="0" w:color="auto"/>
              <w:bottom w:val="single" w:sz="4" w:space="0" w:color="auto"/>
              <w:right w:val="single" w:sz="4" w:space="0" w:color="auto"/>
            </w:tcBorders>
          </w:tcPr>
          <w:p w14:paraId="757DBE98" w14:textId="77777777" w:rsidR="00B97365" w:rsidRDefault="00000000">
            <w:pPr>
              <w:spacing w:before="0" w:after="200" w:line="276" w:lineRule="auto"/>
              <w:jc w:val="left"/>
              <w:rPr>
                <w:szCs w:val="22"/>
                <w:lang w:eastAsia="en-US"/>
              </w:rPr>
            </w:pPr>
            <w:r>
              <w:rPr>
                <w:szCs w:val="22"/>
                <w:lang w:eastAsia="en-US"/>
              </w:rPr>
              <w:t>rps3:ES2-UpdateSubscriptionAddressResponse</w:t>
            </w:r>
          </w:p>
        </w:tc>
      </w:tr>
      <w:tr w:rsidR="00B97365" w14:paraId="2748FEEB" w14:textId="77777777">
        <w:trPr>
          <w:trHeight w:val="435"/>
        </w:trPr>
        <w:tc>
          <w:tcPr>
            <w:tcW w:w="3966" w:type="dxa"/>
            <w:vMerge w:val="restart"/>
            <w:tcBorders>
              <w:top w:val="single" w:sz="4" w:space="0" w:color="auto"/>
              <w:left w:val="single" w:sz="4" w:space="0" w:color="auto"/>
              <w:bottom w:val="single" w:sz="4" w:space="0" w:color="auto"/>
              <w:right w:val="single" w:sz="4" w:space="0" w:color="auto"/>
            </w:tcBorders>
          </w:tcPr>
          <w:p w14:paraId="1D759C42" w14:textId="77777777" w:rsidR="00B97365" w:rsidRDefault="00000000">
            <w:pPr>
              <w:spacing w:before="0" w:after="200" w:line="276" w:lineRule="auto"/>
              <w:jc w:val="left"/>
              <w:rPr>
                <w:szCs w:val="22"/>
                <w:lang w:eastAsia="en-US"/>
              </w:rPr>
            </w:pPr>
            <w:r>
              <w:rPr>
                <w:szCs w:val="22"/>
                <w:lang w:eastAsia="en-US"/>
              </w:rPr>
              <w:t>ES2.EnableProfile</w:t>
            </w:r>
          </w:p>
        </w:tc>
        <w:tc>
          <w:tcPr>
            <w:tcW w:w="5532" w:type="dxa"/>
            <w:tcBorders>
              <w:top w:val="single" w:sz="4" w:space="0" w:color="auto"/>
              <w:left w:val="single" w:sz="4" w:space="0" w:color="auto"/>
              <w:bottom w:val="single" w:sz="4" w:space="0" w:color="auto"/>
              <w:right w:val="single" w:sz="4" w:space="0" w:color="auto"/>
            </w:tcBorders>
          </w:tcPr>
          <w:p w14:paraId="43F84A59" w14:textId="77777777" w:rsidR="00B97365" w:rsidRDefault="00000000">
            <w:pPr>
              <w:spacing w:before="0" w:after="200" w:line="276" w:lineRule="auto"/>
              <w:jc w:val="left"/>
              <w:rPr>
                <w:szCs w:val="22"/>
                <w:lang w:eastAsia="en-US"/>
              </w:rPr>
            </w:pPr>
            <w:r>
              <w:rPr>
                <w:szCs w:val="22"/>
                <w:lang w:eastAsia="en-US"/>
              </w:rPr>
              <w:t>rps3:ES2-EnableProfileRequest</w:t>
            </w:r>
          </w:p>
        </w:tc>
      </w:tr>
      <w:tr w:rsidR="00B97365" w14:paraId="6B747259" w14:textId="77777777">
        <w:trPr>
          <w:trHeight w:val="435"/>
        </w:trPr>
        <w:tc>
          <w:tcPr>
            <w:tcW w:w="3966" w:type="dxa"/>
            <w:vMerge/>
            <w:tcBorders>
              <w:top w:val="single" w:sz="4" w:space="0" w:color="auto"/>
              <w:left w:val="single" w:sz="4" w:space="0" w:color="auto"/>
              <w:bottom w:val="single" w:sz="4" w:space="0" w:color="auto"/>
              <w:right w:val="single" w:sz="4" w:space="0" w:color="auto"/>
            </w:tcBorders>
          </w:tcPr>
          <w:p w14:paraId="366834E5" w14:textId="77777777" w:rsidR="00B97365" w:rsidRDefault="00B97365">
            <w:pPr>
              <w:spacing w:before="0" w:after="200" w:line="276" w:lineRule="auto"/>
              <w:jc w:val="left"/>
              <w:rPr>
                <w:szCs w:val="22"/>
                <w:lang w:eastAsia="en-US"/>
              </w:rPr>
            </w:pPr>
          </w:p>
        </w:tc>
        <w:tc>
          <w:tcPr>
            <w:tcW w:w="5532" w:type="dxa"/>
            <w:tcBorders>
              <w:top w:val="single" w:sz="4" w:space="0" w:color="auto"/>
              <w:left w:val="single" w:sz="4" w:space="0" w:color="auto"/>
              <w:bottom w:val="single" w:sz="4" w:space="0" w:color="auto"/>
              <w:right w:val="single" w:sz="4" w:space="0" w:color="auto"/>
            </w:tcBorders>
          </w:tcPr>
          <w:p w14:paraId="56C1FF85" w14:textId="77777777" w:rsidR="00B97365" w:rsidRDefault="00000000">
            <w:pPr>
              <w:spacing w:before="0" w:after="200" w:line="276" w:lineRule="auto"/>
              <w:jc w:val="left"/>
              <w:rPr>
                <w:szCs w:val="22"/>
                <w:lang w:eastAsia="en-US"/>
              </w:rPr>
            </w:pPr>
            <w:r>
              <w:rPr>
                <w:szCs w:val="22"/>
                <w:lang w:eastAsia="en-US"/>
              </w:rPr>
              <w:t>rps3:ES2-EnableProfileResponse</w:t>
            </w:r>
          </w:p>
        </w:tc>
      </w:tr>
      <w:tr w:rsidR="00B97365" w14:paraId="51C666AA" w14:textId="77777777">
        <w:trPr>
          <w:trHeight w:val="435"/>
        </w:trPr>
        <w:tc>
          <w:tcPr>
            <w:tcW w:w="3966" w:type="dxa"/>
            <w:vMerge w:val="restart"/>
            <w:tcBorders>
              <w:top w:val="single" w:sz="4" w:space="0" w:color="auto"/>
              <w:left w:val="single" w:sz="4" w:space="0" w:color="auto"/>
              <w:bottom w:val="single" w:sz="4" w:space="0" w:color="auto"/>
              <w:right w:val="single" w:sz="4" w:space="0" w:color="auto"/>
            </w:tcBorders>
          </w:tcPr>
          <w:p w14:paraId="6D53A2C9" w14:textId="77777777" w:rsidR="00B97365" w:rsidRDefault="00000000">
            <w:pPr>
              <w:spacing w:before="0" w:after="200" w:line="276" w:lineRule="auto"/>
              <w:jc w:val="left"/>
              <w:rPr>
                <w:szCs w:val="22"/>
                <w:lang w:eastAsia="en-US"/>
              </w:rPr>
            </w:pPr>
            <w:r>
              <w:rPr>
                <w:szCs w:val="22"/>
                <w:lang w:eastAsia="en-US"/>
              </w:rPr>
              <w:t>ES2.DisableProfile</w:t>
            </w:r>
          </w:p>
        </w:tc>
        <w:tc>
          <w:tcPr>
            <w:tcW w:w="5532" w:type="dxa"/>
            <w:tcBorders>
              <w:top w:val="single" w:sz="4" w:space="0" w:color="auto"/>
              <w:left w:val="single" w:sz="4" w:space="0" w:color="auto"/>
              <w:bottom w:val="single" w:sz="4" w:space="0" w:color="auto"/>
              <w:right w:val="single" w:sz="4" w:space="0" w:color="auto"/>
            </w:tcBorders>
          </w:tcPr>
          <w:p w14:paraId="3C98ECEF" w14:textId="77777777" w:rsidR="00B97365" w:rsidRDefault="00000000">
            <w:pPr>
              <w:spacing w:before="0" w:after="200" w:line="276" w:lineRule="auto"/>
              <w:jc w:val="left"/>
              <w:rPr>
                <w:szCs w:val="22"/>
                <w:lang w:eastAsia="en-US"/>
              </w:rPr>
            </w:pPr>
            <w:r>
              <w:rPr>
                <w:szCs w:val="22"/>
                <w:lang w:eastAsia="en-US"/>
              </w:rPr>
              <w:t>rps3:ES2-DisableProfileRequest</w:t>
            </w:r>
          </w:p>
        </w:tc>
      </w:tr>
      <w:tr w:rsidR="00B97365" w14:paraId="05600CED" w14:textId="77777777">
        <w:trPr>
          <w:trHeight w:val="435"/>
        </w:trPr>
        <w:tc>
          <w:tcPr>
            <w:tcW w:w="3966" w:type="dxa"/>
            <w:vMerge/>
            <w:tcBorders>
              <w:top w:val="single" w:sz="4" w:space="0" w:color="auto"/>
              <w:left w:val="single" w:sz="4" w:space="0" w:color="auto"/>
              <w:bottom w:val="single" w:sz="4" w:space="0" w:color="auto"/>
              <w:right w:val="single" w:sz="4" w:space="0" w:color="auto"/>
            </w:tcBorders>
          </w:tcPr>
          <w:p w14:paraId="435D596E" w14:textId="77777777" w:rsidR="00B97365" w:rsidRDefault="00B97365">
            <w:pPr>
              <w:spacing w:before="0" w:after="200" w:line="276" w:lineRule="auto"/>
              <w:jc w:val="left"/>
              <w:rPr>
                <w:szCs w:val="22"/>
                <w:lang w:eastAsia="en-US"/>
              </w:rPr>
            </w:pPr>
          </w:p>
        </w:tc>
        <w:tc>
          <w:tcPr>
            <w:tcW w:w="5532" w:type="dxa"/>
            <w:tcBorders>
              <w:top w:val="single" w:sz="4" w:space="0" w:color="auto"/>
              <w:left w:val="single" w:sz="4" w:space="0" w:color="auto"/>
              <w:bottom w:val="single" w:sz="4" w:space="0" w:color="auto"/>
              <w:right w:val="single" w:sz="4" w:space="0" w:color="auto"/>
            </w:tcBorders>
          </w:tcPr>
          <w:p w14:paraId="6F3CAA59" w14:textId="77777777" w:rsidR="00B97365" w:rsidRDefault="00000000">
            <w:pPr>
              <w:spacing w:before="0" w:after="200" w:line="276" w:lineRule="auto"/>
              <w:jc w:val="left"/>
              <w:rPr>
                <w:szCs w:val="22"/>
                <w:lang w:eastAsia="en-US"/>
              </w:rPr>
            </w:pPr>
            <w:r>
              <w:rPr>
                <w:szCs w:val="22"/>
                <w:lang w:eastAsia="en-US"/>
              </w:rPr>
              <w:t>rps3:ES2-DisableProfileResponse</w:t>
            </w:r>
          </w:p>
        </w:tc>
      </w:tr>
      <w:tr w:rsidR="00B97365" w14:paraId="29EF2ED9" w14:textId="77777777">
        <w:trPr>
          <w:trHeight w:val="435"/>
        </w:trPr>
        <w:tc>
          <w:tcPr>
            <w:tcW w:w="3966" w:type="dxa"/>
            <w:vMerge w:val="restart"/>
            <w:tcBorders>
              <w:top w:val="single" w:sz="4" w:space="0" w:color="auto"/>
              <w:left w:val="single" w:sz="4" w:space="0" w:color="auto"/>
              <w:bottom w:val="single" w:sz="4" w:space="0" w:color="auto"/>
              <w:right w:val="single" w:sz="4" w:space="0" w:color="auto"/>
            </w:tcBorders>
          </w:tcPr>
          <w:p w14:paraId="50DC857C" w14:textId="77777777" w:rsidR="00B97365" w:rsidRDefault="00000000">
            <w:pPr>
              <w:spacing w:before="0" w:after="200" w:line="276" w:lineRule="auto"/>
              <w:jc w:val="left"/>
              <w:rPr>
                <w:szCs w:val="22"/>
                <w:lang w:eastAsia="en-US"/>
              </w:rPr>
            </w:pPr>
            <w:r>
              <w:rPr>
                <w:szCs w:val="22"/>
                <w:lang w:eastAsia="en-US"/>
              </w:rPr>
              <w:t>ES2.DeleteProfile</w:t>
            </w:r>
          </w:p>
        </w:tc>
        <w:tc>
          <w:tcPr>
            <w:tcW w:w="5532" w:type="dxa"/>
            <w:tcBorders>
              <w:top w:val="single" w:sz="4" w:space="0" w:color="auto"/>
              <w:left w:val="single" w:sz="4" w:space="0" w:color="auto"/>
              <w:bottom w:val="single" w:sz="4" w:space="0" w:color="auto"/>
              <w:right w:val="single" w:sz="4" w:space="0" w:color="auto"/>
            </w:tcBorders>
          </w:tcPr>
          <w:p w14:paraId="36F9D863" w14:textId="77777777" w:rsidR="00B97365" w:rsidRDefault="00000000">
            <w:pPr>
              <w:spacing w:before="0" w:after="200" w:line="276" w:lineRule="auto"/>
              <w:jc w:val="left"/>
              <w:rPr>
                <w:szCs w:val="22"/>
                <w:lang w:eastAsia="en-US"/>
              </w:rPr>
            </w:pPr>
            <w:r>
              <w:rPr>
                <w:szCs w:val="22"/>
                <w:lang w:eastAsia="en-US"/>
              </w:rPr>
              <w:t>rps3:ES2-DeleteProfileRequest</w:t>
            </w:r>
          </w:p>
        </w:tc>
      </w:tr>
      <w:tr w:rsidR="00B97365" w14:paraId="2BC165AF" w14:textId="77777777">
        <w:trPr>
          <w:trHeight w:val="435"/>
        </w:trPr>
        <w:tc>
          <w:tcPr>
            <w:tcW w:w="3966" w:type="dxa"/>
            <w:vMerge/>
            <w:tcBorders>
              <w:top w:val="single" w:sz="4" w:space="0" w:color="auto"/>
              <w:left w:val="single" w:sz="4" w:space="0" w:color="auto"/>
              <w:bottom w:val="single" w:sz="4" w:space="0" w:color="auto"/>
              <w:right w:val="single" w:sz="4" w:space="0" w:color="auto"/>
            </w:tcBorders>
          </w:tcPr>
          <w:p w14:paraId="57E50F5A" w14:textId="77777777" w:rsidR="00B97365" w:rsidRDefault="00B97365">
            <w:pPr>
              <w:spacing w:before="0" w:after="200" w:line="276" w:lineRule="auto"/>
              <w:jc w:val="left"/>
              <w:rPr>
                <w:szCs w:val="22"/>
                <w:lang w:eastAsia="en-US"/>
              </w:rPr>
            </w:pPr>
          </w:p>
        </w:tc>
        <w:tc>
          <w:tcPr>
            <w:tcW w:w="5532" w:type="dxa"/>
            <w:tcBorders>
              <w:top w:val="single" w:sz="4" w:space="0" w:color="auto"/>
              <w:left w:val="single" w:sz="4" w:space="0" w:color="auto"/>
              <w:bottom w:val="single" w:sz="4" w:space="0" w:color="auto"/>
              <w:right w:val="single" w:sz="4" w:space="0" w:color="auto"/>
            </w:tcBorders>
          </w:tcPr>
          <w:p w14:paraId="098AC558" w14:textId="77777777" w:rsidR="00B97365" w:rsidRDefault="00000000">
            <w:pPr>
              <w:spacing w:before="0" w:after="200" w:line="276" w:lineRule="auto"/>
              <w:jc w:val="left"/>
              <w:rPr>
                <w:szCs w:val="22"/>
                <w:lang w:eastAsia="en-US"/>
              </w:rPr>
            </w:pPr>
            <w:r>
              <w:rPr>
                <w:szCs w:val="22"/>
                <w:lang w:eastAsia="en-US"/>
              </w:rPr>
              <w:t>rps3:ES2-DeleteProfileResponse</w:t>
            </w:r>
          </w:p>
        </w:tc>
      </w:tr>
      <w:tr w:rsidR="00B97365" w14:paraId="1C29D9E2" w14:textId="77777777">
        <w:trPr>
          <w:trHeight w:val="435"/>
        </w:trPr>
        <w:tc>
          <w:tcPr>
            <w:tcW w:w="3966" w:type="dxa"/>
            <w:tcBorders>
              <w:top w:val="single" w:sz="4" w:space="0" w:color="auto"/>
              <w:left w:val="single" w:sz="4" w:space="0" w:color="auto"/>
              <w:bottom w:val="single" w:sz="4" w:space="0" w:color="auto"/>
              <w:right w:val="single" w:sz="4" w:space="0" w:color="auto"/>
            </w:tcBorders>
          </w:tcPr>
          <w:p w14:paraId="3566C490" w14:textId="77777777" w:rsidR="00B97365" w:rsidRDefault="00000000">
            <w:pPr>
              <w:spacing w:before="0" w:after="200" w:line="276" w:lineRule="auto"/>
              <w:jc w:val="left"/>
              <w:rPr>
                <w:szCs w:val="22"/>
                <w:lang w:eastAsia="en-US"/>
              </w:rPr>
            </w:pPr>
            <w:r>
              <w:rPr>
                <w:szCs w:val="22"/>
                <w:lang w:eastAsia="en-US"/>
              </w:rPr>
              <w:t>ES2.HandleProfileDisabledNotification</w:t>
            </w:r>
          </w:p>
        </w:tc>
        <w:tc>
          <w:tcPr>
            <w:tcW w:w="5532" w:type="dxa"/>
            <w:tcBorders>
              <w:top w:val="single" w:sz="4" w:space="0" w:color="auto"/>
              <w:left w:val="single" w:sz="4" w:space="0" w:color="auto"/>
              <w:bottom w:val="single" w:sz="4" w:space="0" w:color="auto"/>
              <w:right w:val="single" w:sz="4" w:space="0" w:color="auto"/>
            </w:tcBorders>
          </w:tcPr>
          <w:p w14:paraId="428FA7EC" w14:textId="77777777" w:rsidR="00B97365" w:rsidRDefault="00000000">
            <w:pPr>
              <w:spacing w:before="0" w:after="200" w:line="276" w:lineRule="auto"/>
              <w:jc w:val="left"/>
              <w:rPr>
                <w:szCs w:val="22"/>
                <w:lang w:eastAsia="en-US"/>
              </w:rPr>
            </w:pPr>
            <w:r>
              <w:rPr>
                <w:szCs w:val="22"/>
                <w:lang w:val="en-US" w:eastAsia="en-US"/>
              </w:rPr>
              <w:t>rps3:ES2-HandleProfileDisabledNotification</w:t>
            </w:r>
          </w:p>
        </w:tc>
      </w:tr>
      <w:tr w:rsidR="00B97365" w14:paraId="409628F3" w14:textId="77777777">
        <w:trPr>
          <w:trHeight w:val="435"/>
        </w:trPr>
        <w:tc>
          <w:tcPr>
            <w:tcW w:w="3966" w:type="dxa"/>
            <w:tcBorders>
              <w:top w:val="single" w:sz="4" w:space="0" w:color="auto"/>
              <w:left w:val="single" w:sz="4" w:space="0" w:color="auto"/>
              <w:bottom w:val="single" w:sz="4" w:space="0" w:color="auto"/>
              <w:right w:val="single" w:sz="4" w:space="0" w:color="auto"/>
            </w:tcBorders>
          </w:tcPr>
          <w:p w14:paraId="0C988214" w14:textId="77777777" w:rsidR="00B97365" w:rsidRDefault="00000000">
            <w:pPr>
              <w:spacing w:before="0" w:after="200" w:line="276" w:lineRule="auto"/>
              <w:jc w:val="left"/>
              <w:rPr>
                <w:szCs w:val="22"/>
                <w:lang w:eastAsia="en-US"/>
              </w:rPr>
            </w:pPr>
            <w:r>
              <w:rPr>
                <w:szCs w:val="22"/>
                <w:lang w:eastAsia="en-US"/>
              </w:rPr>
              <w:t>ES2.HandleProfileEnabledNotification</w:t>
            </w:r>
          </w:p>
        </w:tc>
        <w:tc>
          <w:tcPr>
            <w:tcW w:w="5532" w:type="dxa"/>
            <w:tcBorders>
              <w:top w:val="single" w:sz="4" w:space="0" w:color="auto"/>
              <w:left w:val="single" w:sz="4" w:space="0" w:color="auto"/>
              <w:bottom w:val="single" w:sz="4" w:space="0" w:color="auto"/>
              <w:right w:val="single" w:sz="4" w:space="0" w:color="auto"/>
            </w:tcBorders>
          </w:tcPr>
          <w:p w14:paraId="51C2FDF9" w14:textId="77777777" w:rsidR="00B97365" w:rsidRDefault="00000000">
            <w:pPr>
              <w:spacing w:before="0" w:after="200" w:line="276" w:lineRule="auto"/>
              <w:jc w:val="left"/>
              <w:rPr>
                <w:szCs w:val="22"/>
                <w:lang w:eastAsia="en-US"/>
              </w:rPr>
            </w:pPr>
            <w:r>
              <w:rPr>
                <w:szCs w:val="22"/>
                <w:lang w:val="en-US" w:eastAsia="en-US"/>
              </w:rPr>
              <w:t>rps3:ES2-HandleProfileEnabledNotification</w:t>
            </w:r>
          </w:p>
        </w:tc>
      </w:tr>
      <w:tr w:rsidR="00B97365" w14:paraId="08F986B0" w14:textId="77777777">
        <w:trPr>
          <w:trHeight w:val="435"/>
        </w:trPr>
        <w:tc>
          <w:tcPr>
            <w:tcW w:w="3966" w:type="dxa"/>
            <w:tcBorders>
              <w:top w:val="single" w:sz="4" w:space="0" w:color="auto"/>
              <w:left w:val="single" w:sz="4" w:space="0" w:color="auto"/>
              <w:bottom w:val="single" w:sz="4" w:space="0" w:color="auto"/>
              <w:right w:val="single" w:sz="4" w:space="0" w:color="auto"/>
            </w:tcBorders>
          </w:tcPr>
          <w:p w14:paraId="5BADD6E8" w14:textId="77777777" w:rsidR="00B97365" w:rsidRDefault="00000000">
            <w:pPr>
              <w:spacing w:before="0" w:after="200" w:line="276" w:lineRule="auto"/>
              <w:jc w:val="left"/>
              <w:rPr>
                <w:szCs w:val="22"/>
                <w:lang w:eastAsia="en-US"/>
              </w:rPr>
            </w:pPr>
            <w:r>
              <w:rPr>
                <w:szCs w:val="22"/>
                <w:lang w:eastAsia="en-US"/>
              </w:rPr>
              <w:t>ES2.HandleSMSRChangeNotification</w:t>
            </w:r>
          </w:p>
        </w:tc>
        <w:tc>
          <w:tcPr>
            <w:tcW w:w="5532" w:type="dxa"/>
            <w:tcBorders>
              <w:top w:val="single" w:sz="4" w:space="0" w:color="auto"/>
              <w:left w:val="single" w:sz="4" w:space="0" w:color="auto"/>
              <w:bottom w:val="single" w:sz="4" w:space="0" w:color="auto"/>
              <w:right w:val="single" w:sz="4" w:space="0" w:color="auto"/>
            </w:tcBorders>
          </w:tcPr>
          <w:p w14:paraId="371A59F3" w14:textId="77777777" w:rsidR="00B97365" w:rsidRDefault="00000000">
            <w:pPr>
              <w:spacing w:before="0" w:after="200" w:line="276" w:lineRule="auto"/>
              <w:jc w:val="left"/>
              <w:rPr>
                <w:szCs w:val="22"/>
                <w:lang w:eastAsia="en-US"/>
              </w:rPr>
            </w:pPr>
            <w:r>
              <w:rPr>
                <w:szCs w:val="22"/>
                <w:lang w:val="en-US" w:eastAsia="en-GB" w:bidi="ar-SA"/>
              </w:rPr>
              <w:t>rps3:ES2-HandleSMSRChangeNotification</w:t>
            </w:r>
          </w:p>
        </w:tc>
      </w:tr>
      <w:tr w:rsidR="00B97365" w14:paraId="7311974E" w14:textId="77777777">
        <w:trPr>
          <w:trHeight w:val="435"/>
        </w:trPr>
        <w:tc>
          <w:tcPr>
            <w:tcW w:w="3966" w:type="dxa"/>
            <w:tcBorders>
              <w:top w:val="single" w:sz="4" w:space="0" w:color="auto"/>
              <w:left w:val="single" w:sz="4" w:space="0" w:color="auto"/>
              <w:bottom w:val="single" w:sz="4" w:space="0" w:color="auto"/>
              <w:right w:val="single" w:sz="4" w:space="0" w:color="auto"/>
            </w:tcBorders>
          </w:tcPr>
          <w:p w14:paraId="67B0C562" w14:textId="77777777" w:rsidR="00B97365" w:rsidRDefault="00000000">
            <w:pPr>
              <w:spacing w:before="0" w:after="200" w:line="276" w:lineRule="auto"/>
              <w:jc w:val="left"/>
              <w:rPr>
                <w:szCs w:val="22"/>
                <w:lang w:eastAsia="en-US"/>
              </w:rPr>
            </w:pPr>
            <w:r>
              <w:rPr>
                <w:szCs w:val="22"/>
                <w:lang w:eastAsia="en-US"/>
              </w:rPr>
              <w:t>ES2.HandleProfileDeletedNotification</w:t>
            </w:r>
          </w:p>
        </w:tc>
        <w:tc>
          <w:tcPr>
            <w:tcW w:w="5532" w:type="dxa"/>
            <w:tcBorders>
              <w:top w:val="single" w:sz="4" w:space="0" w:color="auto"/>
              <w:left w:val="single" w:sz="4" w:space="0" w:color="auto"/>
              <w:bottom w:val="single" w:sz="4" w:space="0" w:color="auto"/>
              <w:right w:val="single" w:sz="4" w:space="0" w:color="auto"/>
            </w:tcBorders>
          </w:tcPr>
          <w:p w14:paraId="03912A54" w14:textId="77777777" w:rsidR="00B97365" w:rsidRDefault="00000000">
            <w:pPr>
              <w:spacing w:before="0" w:after="200" w:line="276" w:lineRule="auto"/>
              <w:jc w:val="left"/>
              <w:rPr>
                <w:szCs w:val="22"/>
                <w:lang w:val="en-US" w:eastAsia="en-GB" w:bidi="ar-SA"/>
              </w:rPr>
            </w:pPr>
            <w:r>
              <w:rPr>
                <w:szCs w:val="22"/>
                <w:lang w:val="en-US" w:eastAsia="en-GB" w:bidi="ar-SA"/>
              </w:rPr>
              <w:t>rps3:ES2-HandleProfileDeletedNotification</w:t>
            </w:r>
          </w:p>
        </w:tc>
      </w:tr>
      <w:tr w:rsidR="00B97365" w14:paraId="0743960E" w14:textId="77777777">
        <w:trPr>
          <w:trHeight w:val="435"/>
        </w:trPr>
        <w:tc>
          <w:tcPr>
            <w:tcW w:w="3966" w:type="dxa"/>
            <w:vMerge w:val="restart"/>
            <w:tcBorders>
              <w:top w:val="single" w:sz="4" w:space="0" w:color="auto"/>
              <w:left w:val="single" w:sz="4" w:space="0" w:color="auto"/>
              <w:bottom w:val="single" w:sz="4" w:space="0" w:color="auto"/>
              <w:right w:val="single" w:sz="4" w:space="0" w:color="auto"/>
            </w:tcBorders>
          </w:tcPr>
          <w:p w14:paraId="04E66D6C" w14:textId="77777777" w:rsidR="00B97365" w:rsidRDefault="00000000">
            <w:pPr>
              <w:spacing w:before="0" w:after="200" w:line="276" w:lineRule="auto"/>
              <w:jc w:val="left"/>
              <w:rPr>
                <w:szCs w:val="22"/>
                <w:lang w:eastAsia="en-US"/>
              </w:rPr>
            </w:pPr>
            <w:r>
              <w:rPr>
                <w:szCs w:val="22"/>
                <w:lang w:eastAsia="en-US"/>
              </w:rPr>
              <w:t>ES2.AuditEis</w:t>
            </w:r>
          </w:p>
        </w:tc>
        <w:tc>
          <w:tcPr>
            <w:tcW w:w="5532" w:type="dxa"/>
            <w:tcBorders>
              <w:top w:val="single" w:sz="4" w:space="0" w:color="auto"/>
              <w:left w:val="single" w:sz="4" w:space="0" w:color="auto"/>
              <w:bottom w:val="single" w:sz="4" w:space="0" w:color="auto"/>
              <w:right w:val="single" w:sz="4" w:space="0" w:color="auto"/>
            </w:tcBorders>
          </w:tcPr>
          <w:p w14:paraId="170072DF" w14:textId="77777777" w:rsidR="00B97365" w:rsidRDefault="00000000">
            <w:pPr>
              <w:spacing w:before="0" w:after="200" w:line="276" w:lineRule="auto"/>
              <w:jc w:val="left"/>
              <w:rPr>
                <w:szCs w:val="22"/>
                <w:lang w:val="en-US" w:eastAsia="en-GB" w:bidi="ar-SA"/>
              </w:rPr>
            </w:pPr>
            <w:r>
              <w:rPr>
                <w:szCs w:val="22"/>
                <w:lang w:val="en-US" w:eastAsia="en-GB" w:bidi="ar-SA"/>
              </w:rPr>
              <w:t>rps3:ES2-AuditEISRequest</w:t>
            </w:r>
          </w:p>
        </w:tc>
      </w:tr>
      <w:tr w:rsidR="00B97365" w14:paraId="6D1C42BD" w14:textId="77777777">
        <w:trPr>
          <w:trHeight w:val="435"/>
        </w:trPr>
        <w:tc>
          <w:tcPr>
            <w:tcW w:w="3966" w:type="dxa"/>
            <w:vMerge/>
            <w:tcBorders>
              <w:top w:val="single" w:sz="4" w:space="0" w:color="auto"/>
              <w:left w:val="single" w:sz="4" w:space="0" w:color="auto"/>
              <w:bottom w:val="single" w:sz="4" w:space="0" w:color="auto"/>
              <w:right w:val="single" w:sz="4" w:space="0" w:color="auto"/>
            </w:tcBorders>
          </w:tcPr>
          <w:p w14:paraId="46E03DAD" w14:textId="77777777" w:rsidR="00B97365" w:rsidRDefault="00B97365">
            <w:pPr>
              <w:spacing w:before="0" w:after="200" w:line="276" w:lineRule="auto"/>
              <w:jc w:val="left"/>
              <w:rPr>
                <w:szCs w:val="22"/>
                <w:lang w:eastAsia="en-US"/>
              </w:rPr>
            </w:pPr>
          </w:p>
        </w:tc>
        <w:tc>
          <w:tcPr>
            <w:tcW w:w="5532" w:type="dxa"/>
            <w:tcBorders>
              <w:top w:val="single" w:sz="4" w:space="0" w:color="auto"/>
              <w:left w:val="single" w:sz="4" w:space="0" w:color="auto"/>
              <w:bottom w:val="single" w:sz="4" w:space="0" w:color="auto"/>
              <w:right w:val="single" w:sz="4" w:space="0" w:color="auto"/>
            </w:tcBorders>
          </w:tcPr>
          <w:p w14:paraId="23AADE3B" w14:textId="77777777" w:rsidR="00B97365" w:rsidRDefault="00000000">
            <w:pPr>
              <w:spacing w:before="0" w:after="200" w:line="276" w:lineRule="auto"/>
              <w:jc w:val="left"/>
              <w:rPr>
                <w:szCs w:val="22"/>
                <w:lang w:val="en-US" w:eastAsia="en-GB" w:bidi="ar-SA"/>
              </w:rPr>
            </w:pPr>
            <w:r>
              <w:rPr>
                <w:szCs w:val="22"/>
                <w:lang w:val="en-US" w:eastAsia="en-GB" w:bidi="ar-SA"/>
              </w:rPr>
              <w:t>rps3:ES2-AuditEISResponse</w:t>
            </w:r>
          </w:p>
        </w:tc>
      </w:tr>
      <w:tr w:rsidR="00B97365" w14:paraId="4AEDC8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val="restart"/>
            <w:tcBorders>
              <w:top w:val="single" w:sz="4" w:space="0" w:color="auto"/>
            </w:tcBorders>
          </w:tcPr>
          <w:p w14:paraId="70394D89" w14:textId="77777777" w:rsidR="00B97365" w:rsidRDefault="00000000">
            <w:pPr>
              <w:spacing w:before="0" w:after="200" w:line="276" w:lineRule="auto"/>
              <w:jc w:val="left"/>
              <w:rPr>
                <w:szCs w:val="22"/>
                <w:lang w:eastAsia="en-US"/>
              </w:rPr>
            </w:pPr>
            <w:r>
              <w:rPr>
                <w:szCs w:val="22"/>
                <w:lang w:eastAsia="en-US"/>
              </w:rPr>
              <w:t>ES2.GetONC</w:t>
            </w:r>
          </w:p>
        </w:tc>
        <w:tc>
          <w:tcPr>
            <w:tcW w:w="5534" w:type="dxa"/>
            <w:tcBorders>
              <w:top w:val="single" w:sz="4" w:space="0" w:color="auto"/>
            </w:tcBorders>
          </w:tcPr>
          <w:p w14:paraId="61606ACB" w14:textId="77777777" w:rsidR="00B97365" w:rsidRDefault="00000000">
            <w:pPr>
              <w:spacing w:before="0" w:after="200" w:line="276" w:lineRule="auto"/>
              <w:jc w:val="left"/>
              <w:rPr>
                <w:szCs w:val="22"/>
                <w:lang w:val="en-US" w:eastAsia="en-GB" w:bidi="ar-SA"/>
              </w:rPr>
            </w:pPr>
            <w:r>
              <w:rPr>
                <w:szCs w:val="22"/>
                <w:lang w:val="en-US" w:eastAsia="en-GB" w:bidi="ar-SA"/>
              </w:rPr>
              <w:t>rps4:ES2-GetONCRequest</w:t>
            </w:r>
          </w:p>
        </w:tc>
      </w:tr>
      <w:tr w:rsidR="00B97365" w14:paraId="40F513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tcPr>
          <w:p w14:paraId="1F31159D" w14:textId="77777777" w:rsidR="00B97365" w:rsidRDefault="00B97365">
            <w:pPr>
              <w:spacing w:before="0" w:after="200" w:line="276" w:lineRule="auto"/>
              <w:jc w:val="left"/>
              <w:rPr>
                <w:szCs w:val="22"/>
                <w:lang w:eastAsia="en-US"/>
              </w:rPr>
            </w:pPr>
          </w:p>
        </w:tc>
        <w:tc>
          <w:tcPr>
            <w:tcW w:w="5534" w:type="dxa"/>
          </w:tcPr>
          <w:p w14:paraId="3916F656" w14:textId="77777777" w:rsidR="00B97365" w:rsidRDefault="00000000">
            <w:pPr>
              <w:spacing w:before="0" w:after="200" w:line="276" w:lineRule="auto"/>
              <w:jc w:val="left"/>
              <w:rPr>
                <w:szCs w:val="22"/>
                <w:lang w:val="en-US" w:eastAsia="en-GB" w:bidi="ar-SA"/>
              </w:rPr>
            </w:pPr>
            <w:r>
              <w:rPr>
                <w:szCs w:val="22"/>
                <w:lang w:val="en-US" w:eastAsia="en-GB" w:bidi="ar-SA"/>
              </w:rPr>
              <w:t>rps4:ES2-GetONCResponse</w:t>
            </w:r>
          </w:p>
        </w:tc>
      </w:tr>
      <w:tr w:rsidR="00B97365" w14:paraId="2D1C67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val="restart"/>
          </w:tcPr>
          <w:p w14:paraId="150BB297" w14:textId="77777777" w:rsidR="00B97365" w:rsidRDefault="00000000">
            <w:pPr>
              <w:spacing w:before="0" w:after="200" w:line="276" w:lineRule="auto"/>
              <w:jc w:val="left"/>
              <w:rPr>
                <w:szCs w:val="22"/>
                <w:lang w:eastAsia="en-US"/>
              </w:rPr>
            </w:pPr>
            <w:r>
              <w:rPr>
                <w:szCs w:val="22"/>
                <w:lang w:eastAsia="en-US"/>
              </w:rPr>
              <w:t>ES2.SetONC</w:t>
            </w:r>
          </w:p>
        </w:tc>
        <w:tc>
          <w:tcPr>
            <w:tcW w:w="5534" w:type="dxa"/>
          </w:tcPr>
          <w:p w14:paraId="7CCF05BF" w14:textId="77777777" w:rsidR="00B97365" w:rsidRDefault="00000000">
            <w:pPr>
              <w:spacing w:before="0" w:after="200" w:line="276" w:lineRule="auto"/>
              <w:jc w:val="left"/>
              <w:rPr>
                <w:szCs w:val="22"/>
                <w:lang w:val="en-US" w:eastAsia="en-GB" w:bidi="ar-SA"/>
              </w:rPr>
            </w:pPr>
            <w:r>
              <w:rPr>
                <w:szCs w:val="22"/>
                <w:lang w:val="en-US" w:eastAsia="en-GB" w:bidi="ar-SA"/>
              </w:rPr>
              <w:t>rps4:ES2-SetONCRequest</w:t>
            </w:r>
          </w:p>
        </w:tc>
      </w:tr>
      <w:tr w:rsidR="00B97365" w14:paraId="393FD8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tcPr>
          <w:p w14:paraId="35C4F1DD" w14:textId="77777777" w:rsidR="00B97365" w:rsidRDefault="00B97365">
            <w:pPr>
              <w:spacing w:before="0" w:after="200" w:line="276" w:lineRule="auto"/>
              <w:jc w:val="left"/>
              <w:rPr>
                <w:szCs w:val="22"/>
                <w:lang w:eastAsia="en-US"/>
              </w:rPr>
            </w:pPr>
          </w:p>
        </w:tc>
        <w:tc>
          <w:tcPr>
            <w:tcW w:w="5534" w:type="dxa"/>
          </w:tcPr>
          <w:p w14:paraId="5F7F7F34" w14:textId="77777777" w:rsidR="00B97365" w:rsidRDefault="00000000">
            <w:pPr>
              <w:spacing w:before="0" w:after="200" w:line="276" w:lineRule="auto"/>
              <w:jc w:val="left"/>
              <w:rPr>
                <w:szCs w:val="22"/>
                <w:lang w:val="en-US" w:eastAsia="en-GB" w:bidi="ar-SA"/>
              </w:rPr>
            </w:pPr>
            <w:r>
              <w:rPr>
                <w:szCs w:val="22"/>
                <w:lang w:val="en-US" w:eastAsia="en-GB" w:bidi="ar-SA"/>
              </w:rPr>
              <w:t>rps4:ES2-SetONCResponse</w:t>
            </w:r>
          </w:p>
        </w:tc>
      </w:tr>
      <w:tr w:rsidR="00B97365" w14:paraId="0E5D67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val="restart"/>
          </w:tcPr>
          <w:p w14:paraId="616205A2" w14:textId="77777777" w:rsidR="00B97365" w:rsidRDefault="00000000">
            <w:pPr>
              <w:spacing w:before="0" w:after="200" w:line="276" w:lineRule="auto"/>
              <w:jc w:val="left"/>
              <w:rPr>
                <w:szCs w:val="22"/>
                <w:lang w:eastAsia="en-US"/>
              </w:rPr>
            </w:pPr>
            <w:r>
              <w:rPr>
                <w:szCs w:val="22"/>
                <w:lang w:eastAsia="en-US"/>
              </w:rPr>
              <w:t>ES2.GetPLMA</w:t>
            </w:r>
          </w:p>
        </w:tc>
        <w:tc>
          <w:tcPr>
            <w:tcW w:w="5534" w:type="dxa"/>
          </w:tcPr>
          <w:p w14:paraId="087F1536" w14:textId="77777777" w:rsidR="00B97365" w:rsidRDefault="00000000">
            <w:pPr>
              <w:spacing w:before="0" w:after="200" w:line="276" w:lineRule="auto"/>
              <w:jc w:val="left"/>
              <w:rPr>
                <w:szCs w:val="22"/>
                <w:lang w:val="en-US" w:eastAsia="en-GB" w:bidi="ar-SA"/>
              </w:rPr>
            </w:pPr>
            <w:r>
              <w:rPr>
                <w:szCs w:val="22"/>
                <w:lang w:val="en-US" w:eastAsia="en-GB" w:bidi="ar-SA"/>
              </w:rPr>
              <w:t>rps4:ES2-GetPLMARequest</w:t>
            </w:r>
          </w:p>
        </w:tc>
      </w:tr>
      <w:tr w:rsidR="00B97365" w14:paraId="0FA49C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tcPr>
          <w:p w14:paraId="305F0E06" w14:textId="77777777" w:rsidR="00B97365" w:rsidRDefault="00B97365">
            <w:pPr>
              <w:spacing w:before="0" w:after="200" w:line="276" w:lineRule="auto"/>
              <w:jc w:val="left"/>
              <w:rPr>
                <w:szCs w:val="22"/>
                <w:lang w:eastAsia="en-US"/>
              </w:rPr>
            </w:pPr>
          </w:p>
        </w:tc>
        <w:tc>
          <w:tcPr>
            <w:tcW w:w="5534" w:type="dxa"/>
          </w:tcPr>
          <w:p w14:paraId="49A9BC2B" w14:textId="77777777" w:rsidR="00B97365" w:rsidRDefault="00000000">
            <w:pPr>
              <w:spacing w:before="0" w:after="200" w:line="276" w:lineRule="auto"/>
              <w:jc w:val="left"/>
              <w:rPr>
                <w:szCs w:val="22"/>
                <w:lang w:val="en-US" w:eastAsia="en-GB" w:bidi="ar-SA"/>
              </w:rPr>
            </w:pPr>
            <w:r>
              <w:rPr>
                <w:szCs w:val="22"/>
                <w:lang w:val="en-US" w:eastAsia="en-GB" w:bidi="ar-SA"/>
              </w:rPr>
              <w:t>rps4:ES2-GetPLMAResponse</w:t>
            </w:r>
          </w:p>
        </w:tc>
      </w:tr>
      <w:tr w:rsidR="00B97365" w14:paraId="6575CD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val="restart"/>
          </w:tcPr>
          <w:p w14:paraId="39059386" w14:textId="77777777" w:rsidR="00B97365" w:rsidRDefault="00000000">
            <w:pPr>
              <w:spacing w:before="0" w:after="200" w:line="276" w:lineRule="auto"/>
              <w:jc w:val="left"/>
              <w:rPr>
                <w:szCs w:val="22"/>
                <w:lang w:eastAsia="en-US"/>
              </w:rPr>
            </w:pPr>
            <w:r>
              <w:rPr>
                <w:szCs w:val="22"/>
                <w:lang w:eastAsia="en-US"/>
              </w:rPr>
              <w:t>ES2.SetPLMA</w:t>
            </w:r>
          </w:p>
        </w:tc>
        <w:tc>
          <w:tcPr>
            <w:tcW w:w="5534" w:type="dxa"/>
          </w:tcPr>
          <w:p w14:paraId="25F93BBF" w14:textId="77777777" w:rsidR="00B97365" w:rsidRDefault="00000000">
            <w:pPr>
              <w:spacing w:before="0" w:after="200" w:line="276" w:lineRule="auto"/>
              <w:jc w:val="left"/>
              <w:rPr>
                <w:szCs w:val="22"/>
                <w:lang w:val="en-US" w:eastAsia="en-GB" w:bidi="ar-SA"/>
              </w:rPr>
            </w:pPr>
            <w:r>
              <w:rPr>
                <w:szCs w:val="22"/>
                <w:lang w:val="en-US" w:eastAsia="en-GB" w:bidi="ar-SA"/>
              </w:rPr>
              <w:t>rps4:ES2-SetPLMARequest</w:t>
            </w:r>
          </w:p>
        </w:tc>
      </w:tr>
      <w:tr w:rsidR="00B97365" w14:paraId="754A3C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tcPr>
          <w:p w14:paraId="735898E9" w14:textId="77777777" w:rsidR="00B97365" w:rsidRDefault="00B97365">
            <w:pPr>
              <w:spacing w:before="0" w:after="200" w:line="276" w:lineRule="auto"/>
              <w:jc w:val="left"/>
              <w:rPr>
                <w:szCs w:val="22"/>
                <w:lang w:eastAsia="en-US"/>
              </w:rPr>
            </w:pPr>
          </w:p>
        </w:tc>
        <w:tc>
          <w:tcPr>
            <w:tcW w:w="5534" w:type="dxa"/>
          </w:tcPr>
          <w:p w14:paraId="28EF0973" w14:textId="77777777" w:rsidR="00B97365" w:rsidRDefault="00000000">
            <w:pPr>
              <w:spacing w:before="0" w:after="200" w:line="276" w:lineRule="auto"/>
              <w:jc w:val="left"/>
              <w:rPr>
                <w:szCs w:val="22"/>
                <w:lang w:val="en-US" w:eastAsia="en-GB" w:bidi="ar-SA"/>
              </w:rPr>
            </w:pPr>
            <w:r>
              <w:rPr>
                <w:szCs w:val="22"/>
                <w:lang w:val="en-US" w:eastAsia="en-GB" w:bidi="ar-SA"/>
              </w:rPr>
              <w:t>rps4:ES2-SetPLMAResponse</w:t>
            </w:r>
          </w:p>
        </w:tc>
      </w:tr>
      <w:tr w:rsidR="00B97365" w14:paraId="1B3D9E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tcPr>
          <w:p w14:paraId="3BF9E552" w14:textId="77777777" w:rsidR="00B97365" w:rsidRDefault="00000000">
            <w:pPr>
              <w:spacing w:before="0" w:after="200" w:line="276" w:lineRule="auto"/>
              <w:jc w:val="left"/>
              <w:rPr>
                <w:szCs w:val="22"/>
                <w:lang w:eastAsia="en-US"/>
              </w:rPr>
            </w:pPr>
            <w:r>
              <w:rPr>
                <w:szCs w:val="22"/>
                <w:lang w:eastAsia="en-US"/>
              </w:rPr>
              <w:t>ES2.HandleProfileDownloadedNotification</w:t>
            </w:r>
          </w:p>
        </w:tc>
        <w:tc>
          <w:tcPr>
            <w:tcW w:w="5534" w:type="dxa"/>
          </w:tcPr>
          <w:p w14:paraId="7CDF3D3F" w14:textId="77777777" w:rsidR="00B97365" w:rsidRDefault="00000000">
            <w:pPr>
              <w:spacing w:before="0" w:after="200" w:line="276" w:lineRule="auto"/>
              <w:jc w:val="left"/>
              <w:rPr>
                <w:szCs w:val="22"/>
                <w:lang w:val="en-US" w:eastAsia="en-GB" w:bidi="ar-SA"/>
              </w:rPr>
            </w:pPr>
            <w:r>
              <w:rPr>
                <w:szCs w:val="22"/>
                <w:lang w:val="en-US" w:eastAsia="en-GB" w:bidi="ar-SA"/>
              </w:rPr>
              <w:t>rps4:ES2-</w:t>
            </w:r>
            <w:r>
              <w:rPr>
                <w:szCs w:val="22"/>
                <w:lang w:eastAsia="en-US"/>
              </w:rPr>
              <w:t>HandleProfileDownloadedNotification</w:t>
            </w:r>
          </w:p>
        </w:tc>
      </w:tr>
      <w:tr w:rsidR="00B97365" w14:paraId="32DB85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tcPr>
          <w:p w14:paraId="25F6CE8D" w14:textId="77777777" w:rsidR="00B97365" w:rsidRDefault="00000000">
            <w:pPr>
              <w:spacing w:before="0" w:after="200" w:line="276" w:lineRule="auto"/>
              <w:jc w:val="left"/>
              <w:rPr>
                <w:szCs w:val="22"/>
                <w:lang w:eastAsia="en-US" w:bidi="ar-SA"/>
              </w:rPr>
            </w:pPr>
            <w:r>
              <w:rPr>
                <w:szCs w:val="22"/>
                <w:lang w:eastAsia="en-US"/>
              </w:rPr>
              <w:lastRenderedPageBreak/>
              <w:t>ES2.</w:t>
            </w:r>
            <w:r>
              <w:rPr>
                <w:szCs w:val="22"/>
                <w:lang w:eastAsia="en-US" w:bidi="ar-SA"/>
              </w:rPr>
              <w:t>HandlePLMAChangedNotification</w:t>
            </w:r>
          </w:p>
        </w:tc>
        <w:tc>
          <w:tcPr>
            <w:tcW w:w="5534" w:type="dxa"/>
          </w:tcPr>
          <w:p w14:paraId="085EAB3A" w14:textId="77777777" w:rsidR="00B97365" w:rsidRDefault="00000000">
            <w:pPr>
              <w:spacing w:before="0" w:after="200" w:line="276" w:lineRule="auto"/>
              <w:jc w:val="left"/>
              <w:rPr>
                <w:szCs w:val="22"/>
                <w:lang w:val="en-US" w:eastAsia="en-GB" w:bidi="ar-SA"/>
              </w:rPr>
            </w:pPr>
            <w:r>
              <w:rPr>
                <w:szCs w:val="22"/>
                <w:lang w:val="en-US" w:eastAsia="en-GB" w:bidi="ar-SA"/>
              </w:rPr>
              <w:t>rps4:ES2-</w:t>
            </w:r>
            <w:r>
              <w:rPr>
                <w:szCs w:val="22"/>
                <w:lang w:eastAsia="en-US" w:bidi="ar-SA"/>
              </w:rPr>
              <w:t>HandlePLMAChangedNotification</w:t>
            </w:r>
          </w:p>
        </w:tc>
      </w:tr>
      <w:tr w:rsidR="00B97365" w14:paraId="329193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tcPr>
          <w:p w14:paraId="2AA89FA7" w14:textId="77777777" w:rsidR="00B97365" w:rsidRDefault="00000000">
            <w:pPr>
              <w:spacing w:before="0" w:after="200" w:line="276" w:lineRule="auto"/>
              <w:jc w:val="left"/>
              <w:rPr>
                <w:szCs w:val="22"/>
                <w:lang w:eastAsia="en-US"/>
              </w:rPr>
            </w:pPr>
            <w:r>
              <w:rPr>
                <w:szCs w:val="22"/>
                <w:lang w:eastAsia="en-US"/>
              </w:rPr>
              <w:t>ES2.HandlePolicyRulesUpdatedNotification</w:t>
            </w:r>
          </w:p>
        </w:tc>
        <w:tc>
          <w:tcPr>
            <w:tcW w:w="5534" w:type="dxa"/>
          </w:tcPr>
          <w:p w14:paraId="22019A85" w14:textId="77777777" w:rsidR="00B97365" w:rsidRDefault="00000000">
            <w:pPr>
              <w:spacing w:before="0" w:after="200" w:line="276" w:lineRule="auto"/>
              <w:jc w:val="left"/>
              <w:rPr>
                <w:szCs w:val="22"/>
                <w:lang w:val="en-US" w:eastAsia="en-GB" w:bidi="ar-SA"/>
              </w:rPr>
            </w:pPr>
            <w:r>
              <w:rPr>
                <w:szCs w:val="22"/>
                <w:lang w:val="en-US" w:eastAsia="en-GB" w:bidi="ar-SA"/>
              </w:rPr>
              <w:t>rps4:ES2-</w:t>
            </w:r>
            <w:r>
              <w:rPr>
                <w:szCs w:val="22"/>
                <w:lang w:eastAsia="en-US"/>
              </w:rPr>
              <w:t>HandlePolicyRulesUpdatedNotification</w:t>
            </w:r>
          </w:p>
        </w:tc>
      </w:tr>
      <w:tr w:rsidR="00B97365" w14:paraId="524F25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val="restart"/>
          </w:tcPr>
          <w:p w14:paraId="15D14511" w14:textId="77777777" w:rsidR="00B97365" w:rsidRDefault="00000000">
            <w:pPr>
              <w:spacing w:before="0" w:after="200" w:line="276" w:lineRule="auto"/>
              <w:jc w:val="left"/>
              <w:rPr>
                <w:szCs w:val="22"/>
                <w:lang w:eastAsia="en-US"/>
              </w:rPr>
            </w:pPr>
            <w:r>
              <w:rPr>
                <w:szCs w:val="22"/>
                <w:lang w:eastAsia="en-US"/>
              </w:rPr>
              <w:t>ES2.SetFallBackAttribute</w:t>
            </w:r>
          </w:p>
        </w:tc>
        <w:tc>
          <w:tcPr>
            <w:tcW w:w="5534" w:type="dxa"/>
          </w:tcPr>
          <w:p w14:paraId="185364CF" w14:textId="77777777" w:rsidR="00B97365" w:rsidRDefault="00000000">
            <w:pPr>
              <w:spacing w:before="0" w:after="200" w:line="276" w:lineRule="auto"/>
              <w:jc w:val="left"/>
              <w:rPr>
                <w:szCs w:val="22"/>
                <w:lang w:val="en-US" w:eastAsia="en-GB" w:bidi="ar-SA"/>
              </w:rPr>
            </w:pPr>
            <w:r>
              <w:rPr>
                <w:szCs w:val="22"/>
                <w:lang w:val="en-US" w:eastAsia="en-GB" w:bidi="ar-SA"/>
              </w:rPr>
              <w:t>rps4:ES2-SetFallBackAttributeRequest</w:t>
            </w:r>
          </w:p>
        </w:tc>
      </w:tr>
      <w:tr w:rsidR="00B97365" w14:paraId="092EA6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tcPr>
          <w:p w14:paraId="41606F95" w14:textId="77777777" w:rsidR="00B97365" w:rsidRDefault="00B97365">
            <w:pPr>
              <w:spacing w:before="0" w:after="200" w:line="276" w:lineRule="auto"/>
              <w:jc w:val="left"/>
              <w:rPr>
                <w:szCs w:val="22"/>
                <w:lang w:eastAsia="en-US"/>
              </w:rPr>
            </w:pPr>
          </w:p>
        </w:tc>
        <w:tc>
          <w:tcPr>
            <w:tcW w:w="5534" w:type="dxa"/>
          </w:tcPr>
          <w:p w14:paraId="2BA58D68" w14:textId="77777777" w:rsidR="00B97365" w:rsidRDefault="00000000">
            <w:pPr>
              <w:spacing w:before="0" w:after="200" w:line="276" w:lineRule="auto"/>
              <w:jc w:val="left"/>
              <w:rPr>
                <w:szCs w:val="22"/>
                <w:lang w:val="en-US" w:eastAsia="en-GB" w:bidi="ar-SA"/>
              </w:rPr>
            </w:pPr>
            <w:r>
              <w:rPr>
                <w:szCs w:val="22"/>
                <w:lang w:val="en-US" w:eastAsia="en-GB" w:bidi="ar-SA"/>
              </w:rPr>
              <w:t>rps4:ES2-SetFallBackAttributeResponse</w:t>
            </w:r>
          </w:p>
        </w:tc>
      </w:tr>
      <w:tr w:rsidR="00B97365" w14:paraId="00A208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val="restart"/>
          </w:tcPr>
          <w:p w14:paraId="5DAE9171" w14:textId="77777777" w:rsidR="00B97365" w:rsidRDefault="00000000">
            <w:pPr>
              <w:spacing w:before="0" w:after="200" w:line="276" w:lineRule="auto"/>
              <w:jc w:val="left"/>
              <w:rPr>
                <w:szCs w:val="22"/>
                <w:lang w:eastAsia="en-US"/>
              </w:rPr>
            </w:pPr>
            <w:r>
              <w:rPr>
                <w:szCs w:val="22"/>
                <w:lang w:eastAsia="en-US"/>
              </w:rPr>
              <w:t>ES2.SetEmergencyProfileAttribute</w:t>
            </w:r>
          </w:p>
        </w:tc>
        <w:tc>
          <w:tcPr>
            <w:tcW w:w="5534" w:type="dxa"/>
          </w:tcPr>
          <w:p w14:paraId="0D0E821B" w14:textId="77777777" w:rsidR="00B97365" w:rsidRDefault="00000000">
            <w:pPr>
              <w:spacing w:before="0" w:after="200" w:line="276" w:lineRule="auto"/>
              <w:jc w:val="left"/>
              <w:rPr>
                <w:szCs w:val="22"/>
                <w:lang w:val="en-US" w:eastAsia="en-GB" w:bidi="ar-SA"/>
              </w:rPr>
            </w:pPr>
            <w:r>
              <w:rPr>
                <w:szCs w:val="22"/>
                <w:lang w:val="en-US" w:eastAsia="en-GB" w:bidi="ar-SA"/>
              </w:rPr>
              <w:t>rps4:ES2-</w:t>
            </w:r>
            <w:r>
              <w:rPr>
                <w:szCs w:val="22"/>
                <w:lang w:eastAsia="en-US"/>
              </w:rPr>
              <w:t>SetEmergencyProfileAttributeRequest</w:t>
            </w:r>
          </w:p>
        </w:tc>
      </w:tr>
      <w:tr w:rsidR="00B97365" w14:paraId="617A76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vMerge/>
          </w:tcPr>
          <w:p w14:paraId="6329DD11" w14:textId="77777777" w:rsidR="00B97365" w:rsidRDefault="00B97365">
            <w:pPr>
              <w:spacing w:before="0" w:after="200" w:line="276" w:lineRule="auto"/>
              <w:jc w:val="left"/>
              <w:rPr>
                <w:szCs w:val="22"/>
                <w:lang w:eastAsia="en-US"/>
              </w:rPr>
            </w:pPr>
          </w:p>
        </w:tc>
        <w:tc>
          <w:tcPr>
            <w:tcW w:w="5534" w:type="dxa"/>
          </w:tcPr>
          <w:p w14:paraId="5812BA1B" w14:textId="77777777" w:rsidR="00B97365" w:rsidRDefault="00000000">
            <w:pPr>
              <w:spacing w:before="0" w:after="200" w:line="276" w:lineRule="auto"/>
              <w:jc w:val="left"/>
              <w:rPr>
                <w:szCs w:val="22"/>
                <w:lang w:val="en-US" w:eastAsia="en-GB" w:bidi="ar-SA"/>
              </w:rPr>
            </w:pPr>
            <w:r>
              <w:rPr>
                <w:szCs w:val="22"/>
                <w:lang w:val="en-US" w:eastAsia="en-GB" w:bidi="ar-SA"/>
              </w:rPr>
              <w:t>rps4:ES2-</w:t>
            </w:r>
            <w:r>
              <w:rPr>
                <w:szCs w:val="22"/>
                <w:lang w:eastAsia="en-US"/>
              </w:rPr>
              <w:t>SetEmergencyProfileAttributeResponse</w:t>
            </w:r>
          </w:p>
        </w:tc>
      </w:tr>
      <w:tr w:rsidR="00B97365" w14:paraId="1C183E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tcPr>
          <w:p w14:paraId="321EEF0C" w14:textId="77777777" w:rsidR="00B97365" w:rsidRDefault="00000000">
            <w:pPr>
              <w:spacing w:before="0" w:after="200" w:line="276" w:lineRule="auto"/>
              <w:jc w:val="left"/>
              <w:rPr>
                <w:szCs w:val="22"/>
                <w:lang w:eastAsia="en-US"/>
              </w:rPr>
            </w:pPr>
            <w:r>
              <w:rPr>
                <w:szCs w:val="22"/>
                <w:lang w:val="en-US" w:eastAsia="en-GB" w:bidi="ar-SA"/>
              </w:rPr>
              <w:t>ES2.</w:t>
            </w:r>
            <w:r>
              <w:rPr>
                <w:szCs w:val="22"/>
                <w:lang w:eastAsia="en-GB" w:bidi="ar-SA"/>
              </w:rPr>
              <w:t>HandleEmergencyProfileAttributeSetNotification</w:t>
            </w:r>
          </w:p>
        </w:tc>
        <w:tc>
          <w:tcPr>
            <w:tcW w:w="5534" w:type="dxa"/>
          </w:tcPr>
          <w:p w14:paraId="67C56DF5" w14:textId="77777777" w:rsidR="00B97365" w:rsidRDefault="00000000">
            <w:pPr>
              <w:spacing w:before="0" w:after="200" w:line="276" w:lineRule="auto"/>
              <w:jc w:val="left"/>
              <w:rPr>
                <w:szCs w:val="22"/>
                <w:lang w:eastAsia="en-GB" w:bidi="ar-SA"/>
              </w:rPr>
            </w:pPr>
            <w:r>
              <w:rPr>
                <w:szCs w:val="22"/>
                <w:lang w:val="en-US" w:eastAsia="en-GB" w:bidi="ar-SA"/>
              </w:rPr>
              <w:t>rps4:ES2-</w:t>
            </w:r>
            <w:r>
              <w:rPr>
                <w:szCs w:val="22"/>
                <w:lang w:eastAsia="en-GB" w:bidi="ar-SA"/>
              </w:rPr>
              <w:t>HandleEmergencyProfileAttributeSetNotification</w:t>
            </w:r>
          </w:p>
        </w:tc>
      </w:tr>
      <w:tr w:rsidR="00B97365" w14:paraId="71F194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tcPr>
          <w:p w14:paraId="69265151" w14:textId="77777777" w:rsidR="00B97365" w:rsidRDefault="00000000">
            <w:pPr>
              <w:spacing w:before="0" w:after="200" w:line="276" w:lineRule="auto"/>
              <w:jc w:val="left"/>
              <w:rPr>
                <w:szCs w:val="22"/>
                <w:lang w:eastAsia="en-US"/>
              </w:rPr>
            </w:pPr>
            <w:r>
              <w:rPr>
                <w:szCs w:val="22"/>
                <w:lang w:val="en-US" w:eastAsia="en-GB" w:bidi="ar-SA"/>
              </w:rPr>
              <w:t>ES2.</w:t>
            </w:r>
            <w:r>
              <w:rPr>
                <w:szCs w:val="22"/>
                <w:lang w:eastAsia="en-GB" w:bidi="ar-SA"/>
              </w:rPr>
              <w:t>HandleEmergencyProfileAttributeUnsetNotification</w:t>
            </w:r>
          </w:p>
        </w:tc>
        <w:tc>
          <w:tcPr>
            <w:tcW w:w="5534" w:type="dxa"/>
          </w:tcPr>
          <w:p w14:paraId="7E0A732E" w14:textId="77777777" w:rsidR="00B97365" w:rsidRDefault="00000000">
            <w:pPr>
              <w:spacing w:before="0" w:after="200" w:line="276" w:lineRule="auto"/>
              <w:jc w:val="left"/>
              <w:rPr>
                <w:szCs w:val="22"/>
                <w:lang w:eastAsia="en-GB" w:bidi="ar-SA"/>
              </w:rPr>
            </w:pPr>
            <w:r>
              <w:rPr>
                <w:szCs w:val="22"/>
                <w:lang w:val="en-US" w:eastAsia="en-GB" w:bidi="ar-SA"/>
              </w:rPr>
              <w:t>rps4:ES2-</w:t>
            </w:r>
            <w:r>
              <w:rPr>
                <w:szCs w:val="22"/>
                <w:lang w:eastAsia="en-GB" w:bidi="ar-SA"/>
              </w:rPr>
              <w:t>HandleEmergencyProfileAttributeUnsetNotification</w:t>
            </w:r>
          </w:p>
        </w:tc>
      </w:tr>
      <w:tr w:rsidR="00B97365" w14:paraId="0523D2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tcPr>
          <w:p w14:paraId="5BED6954" w14:textId="77777777" w:rsidR="00B97365" w:rsidRDefault="00000000">
            <w:pPr>
              <w:spacing w:before="0" w:after="200" w:line="276" w:lineRule="auto"/>
              <w:jc w:val="left"/>
              <w:rPr>
                <w:szCs w:val="22"/>
                <w:lang w:eastAsia="en-US"/>
              </w:rPr>
            </w:pPr>
            <w:r>
              <w:rPr>
                <w:szCs w:val="22"/>
                <w:lang w:val="en-US" w:eastAsia="en-GB" w:bidi="ar-SA"/>
              </w:rPr>
              <w:t>ES2.</w:t>
            </w:r>
            <w:r>
              <w:rPr>
                <w:szCs w:val="22"/>
                <w:lang w:eastAsia="en-GB" w:bidi="ar-SA"/>
              </w:rPr>
              <w:t>HandleProfileFallBackAttributeSetNotification</w:t>
            </w:r>
          </w:p>
        </w:tc>
        <w:tc>
          <w:tcPr>
            <w:tcW w:w="5534" w:type="dxa"/>
          </w:tcPr>
          <w:p w14:paraId="3DEE9701" w14:textId="77777777" w:rsidR="00B97365" w:rsidRDefault="00000000">
            <w:pPr>
              <w:spacing w:before="0" w:after="200" w:line="276" w:lineRule="auto"/>
              <w:jc w:val="left"/>
              <w:rPr>
                <w:szCs w:val="22"/>
                <w:lang w:eastAsia="en-GB" w:bidi="ar-SA"/>
              </w:rPr>
            </w:pPr>
            <w:r>
              <w:rPr>
                <w:szCs w:val="22"/>
                <w:lang w:val="en-US" w:eastAsia="en-GB" w:bidi="ar-SA"/>
              </w:rPr>
              <w:t>rps4:ES2-</w:t>
            </w:r>
            <w:r>
              <w:rPr>
                <w:szCs w:val="22"/>
                <w:lang w:eastAsia="en-GB" w:bidi="ar-SA"/>
              </w:rPr>
              <w:t>HandleProfileFallBackAttributeSetNotification</w:t>
            </w:r>
          </w:p>
        </w:tc>
      </w:tr>
      <w:tr w:rsidR="00B97365" w14:paraId="20E65D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964" w:type="dxa"/>
          </w:tcPr>
          <w:p w14:paraId="4A5E19EB" w14:textId="77777777" w:rsidR="00B97365" w:rsidRDefault="00000000">
            <w:pPr>
              <w:spacing w:before="0" w:after="200" w:line="276" w:lineRule="auto"/>
              <w:jc w:val="left"/>
              <w:rPr>
                <w:szCs w:val="22"/>
                <w:lang w:eastAsia="en-US"/>
              </w:rPr>
            </w:pPr>
            <w:r>
              <w:rPr>
                <w:szCs w:val="22"/>
                <w:lang w:val="en-US" w:eastAsia="en-GB" w:bidi="ar-SA"/>
              </w:rPr>
              <w:t>ES2.</w:t>
            </w:r>
            <w:r>
              <w:rPr>
                <w:szCs w:val="22"/>
                <w:lang w:eastAsia="en-GB" w:bidi="ar-SA"/>
              </w:rPr>
              <w:t>HandleProfileFallBackAttributeUnsetNotification</w:t>
            </w:r>
          </w:p>
        </w:tc>
        <w:tc>
          <w:tcPr>
            <w:tcW w:w="5534" w:type="dxa"/>
          </w:tcPr>
          <w:p w14:paraId="171522D7" w14:textId="77777777" w:rsidR="00B97365" w:rsidRDefault="00000000">
            <w:pPr>
              <w:spacing w:before="0" w:after="200" w:line="276" w:lineRule="auto"/>
              <w:jc w:val="left"/>
              <w:rPr>
                <w:szCs w:val="22"/>
                <w:lang w:val="en-US" w:eastAsia="en-GB" w:bidi="ar-SA"/>
              </w:rPr>
            </w:pPr>
            <w:r>
              <w:rPr>
                <w:szCs w:val="22"/>
                <w:lang w:val="en-US" w:eastAsia="en-GB" w:bidi="ar-SA"/>
              </w:rPr>
              <w:t>rps4:ES2-</w:t>
            </w:r>
            <w:r>
              <w:rPr>
                <w:szCs w:val="22"/>
                <w:lang w:eastAsia="en-GB" w:bidi="ar-SA"/>
              </w:rPr>
              <w:t>HandleProfileFallBackAttributeUnsetNotification</w:t>
            </w:r>
          </w:p>
        </w:tc>
      </w:tr>
    </w:tbl>
    <w:p w14:paraId="408ECE31"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A5: ES2 Interface Functions</w:t>
      </w:r>
    </w:p>
    <w:p w14:paraId="41891188" w14:textId="77777777" w:rsidR="00B97365" w:rsidRDefault="00B97365">
      <w:pPr>
        <w:spacing w:line="276" w:lineRule="auto"/>
        <w:ind w:left="360"/>
        <w:jc w:val="left"/>
        <w:rPr>
          <w:rFonts w:ascii="Calibri" w:eastAsia="Times New Roman" w:hAnsi="Calibri"/>
          <w:sz w:val="20"/>
          <w:lang w:eastAsia="en-GB" w:bidi="ar-SA"/>
        </w:rPr>
      </w:pPr>
      <w:bookmarkStart w:id="9141" w:name="_Toc365571440"/>
      <w:bookmarkStart w:id="9142" w:name="_Toc365624940"/>
      <w:bookmarkStart w:id="9143" w:name="_Toc365899951"/>
      <w:bookmarkStart w:id="9144" w:name="_Toc365982760"/>
      <w:bookmarkStart w:id="9145" w:name="_Toc367446086"/>
      <w:bookmarkStart w:id="9146" w:name="_Toc368048293"/>
      <w:bookmarkStart w:id="9147" w:name="_Toc368583864"/>
      <w:bookmarkStart w:id="9148" w:name="_Toc368652959"/>
      <w:bookmarkStart w:id="9149" w:name="_Toc368932398"/>
      <w:bookmarkStart w:id="9150" w:name="_Toc375054965"/>
      <w:bookmarkStart w:id="9151" w:name="_Toc375158048"/>
      <w:bookmarkStart w:id="9152" w:name="_Toc375158390"/>
      <w:bookmarkStart w:id="9153" w:name="_Toc378865546"/>
      <w:bookmarkStart w:id="9154" w:name="_Toc396149276"/>
      <w:bookmarkStart w:id="9155" w:name="_Toc396149844"/>
      <w:bookmarkStart w:id="9156" w:name="_Toc396150285"/>
      <w:bookmarkStart w:id="9157" w:name="_Toc398214974"/>
      <w:bookmarkStart w:id="9158" w:name="_Toc398291664"/>
      <w:bookmarkStart w:id="9159" w:name="_Toc398292007"/>
      <w:bookmarkStart w:id="9160" w:name="_Toc398293116"/>
      <w:bookmarkStart w:id="9161" w:name="_Toc400964246"/>
      <w:bookmarkStart w:id="9162" w:name="_Toc420594967"/>
      <w:bookmarkStart w:id="9163" w:name="_Toc420928521"/>
      <w:bookmarkStart w:id="9164" w:name="_Toc421106842"/>
      <w:bookmarkStart w:id="9165" w:name="_Toc421173108"/>
      <w:bookmarkStart w:id="9166" w:name="_Toc421874415"/>
      <w:bookmarkStart w:id="9167" w:name="_Toc421885704"/>
      <w:bookmarkStart w:id="9168" w:name="_Toc421886083"/>
      <w:bookmarkStart w:id="9169" w:name="_Toc422028955"/>
      <w:bookmarkStart w:id="9170" w:name="_Toc422029867"/>
      <w:bookmarkStart w:id="9171" w:name="_Toc422150830"/>
      <w:bookmarkStart w:id="9172" w:name="_Toc423443384"/>
      <w:bookmarkStart w:id="9173" w:name="_Toc441422562"/>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p>
    <w:p w14:paraId="42725F2E"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9174" w:name="_Toc448998316"/>
      <w:bookmarkStart w:id="9175" w:name="_Toc422150831"/>
      <w:bookmarkStart w:id="9176" w:name="_Toc421874416"/>
      <w:bookmarkStart w:id="9177" w:name="_Toc420594968"/>
      <w:bookmarkStart w:id="9178" w:name="_Toc398214975"/>
      <w:bookmarkStart w:id="9179" w:name="_Toc375158391"/>
      <w:bookmarkStart w:id="9180" w:name="_Toc374348565"/>
      <w:bookmarkStart w:id="9181" w:name="_Toc368932399"/>
      <w:bookmarkStart w:id="9182" w:name="_Toc486332933"/>
      <w:bookmarkStart w:id="9183" w:name="_Toc1977474"/>
      <w:bookmarkStart w:id="9184" w:name="_Toc37062633"/>
      <w:bookmarkStart w:id="9185" w:name="_Toc88839686"/>
      <w:bookmarkStart w:id="9186" w:name="_Toc121504094"/>
      <w:r>
        <w:rPr>
          <w:rFonts w:ascii="Arial Bold" w:hAnsi="Arial Bold"/>
          <w:sz w:val="24"/>
          <w:szCs w:val="24"/>
          <w:lang w:eastAsia="en-US"/>
        </w:rPr>
        <w:t>To</w:t>
      </w:r>
      <w:r>
        <w:rPr>
          <w:rFonts w:ascii="Arial Bold" w:hAnsi="Arial Bold"/>
          <w:sz w:val="24"/>
          <w:szCs w:val="24"/>
          <w:lang w:eastAsia="en-US"/>
        </w:rPr>
        <w:tab/>
        <w:t>A.5.12</w:t>
      </w:r>
      <w:r>
        <w:rPr>
          <w:rFonts w:ascii="Arial Bold" w:hAnsi="Arial Bold"/>
          <w:sz w:val="24"/>
          <w:szCs w:val="24"/>
          <w:lang w:eastAsia="en-US"/>
        </w:rPr>
        <w:tab/>
        <w:t>Void</w:t>
      </w:r>
      <w:bookmarkEnd w:id="9174"/>
      <w:bookmarkEnd w:id="9175"/>
      <w:bookmarkEnd w:id="9176"/>
      <w:bookmarkEnd w:id="9177"/>
      <w:bookmarkEnd w:id="9178"/>
      <w:bookmarkEnd w:id="9179"/>
      <w:bookmarkEnd w:id="9180"/>
      <w:bookmarkEnd w:id="9181"/>
      <w:bookmarkEnd w:id="9182"/>
      <w:bookmarkEnd w:id="9183"/>
      <w:bookmarkEnd w:id="9184"/>
      <w:bookmarkEnd w:id="9185"/>
      <w:bookmarkEnd w:id="9186"/>
    </w:p>
    <w:p w14:paraId="38BA3A35" w14:textId="73B0783A" w:rsidR="00B97365" w:rsidRDefault="00000000">
      <w:pPr>
        <w:spacing w:before="0" w:after="200" w:line="276" w:lineRule="auto"/>
        <w:jc w:val="left"/>
      </w:pPr>
      <w:r>
        <w:rPr>
          <w:rFonts w:cs="Arial"/>
          <w:szCs w:val="22"/>
          <w:lang w:val="en-US" w:eastAsia="en-GB" w:bidi="ar-SA"/>
        </w:rPr>
        <w:t xml:space="preserve">Descriptions moved to table and files referenced by section </w:t>
      </w:r>
      <w:r>
        <w:rPr>
          <w:rFonts w:cs="Arial"/>
          <w:szCs w:val="22"/>
          <w:lang w:val="en-US" w:eastAsia="en-GB" w:bidi="ar-SA"/>
        </w:rPr>
        <w:fldChar w:fldCharType="begin"/>
      </w:r>
      <w:r>
        <w:rPr>
          <w:rFonts w:cs="Arial"/>
          <w:szCs w:val="22"/>
          <w:lang w:val="en-US" w:eastAsia="en-GB" w:bidi="ar-SA"/>
        </w:rPr>
        <w:instrText xml:space="preserve"> REF _Ref536181129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A.5</w:t>
      </w:r>
      <w:r>
        <w:rPr>
          <w:rFonts w:cs="Arial"/>
          <w:szCs w:val="22"/>
          <w:lang w:val="en-US" w:eastAsia="en-GB" w:bidi="ar-SA"/>
        </w:rPr>
        <w:fldChar w:fldCharType="end"/>
      </w:r>
      <w:bookmarkStart w:id="9187" w:name="_Toc463432"/>
      <w:bookmarkStart w:id="9188" w:name="_Toc365571452"/>
      <w:bookmarkStart w:id="9189" w:name="_Toc365624952"/>
      <w:bookmarkStart w:id="9190" w:name="_Toc365899963"/>
      <w:bookmarkStart w:id="9191" w:name="_Toc365982772"/>
      <w:bookmarkStart w:id="9192" w:name="_Toc367446099"/>
      <w:bookmarkStart w:id="9193" w:name="_Toc368048305"/>
      <w:bookmarkStart w:id="9194" w:name="_Toc368583876"/>
      <w:bookmarkStart w:id="9195" w:name="_Toc368652971"/>
      <w:bookmarkStart w:id="9196" w:name="_Toc368932410"/>
      <w:bookmarkStart w:id="9197" w:name="_Toc374345881"/>
      <w:bookmarkStart w:id="9198" w:name="_Toc374346227"/>
      <w:bookmarkStart w:id="9199" w:name="_Toc374346572"/>
      <w:bookmarkStart w:id="9200" w:name="_Toc374346918"/>
      <w:bookmarkStart w:id="9201" w:name="_Toc374347374"/>
      <w:bookmarkStart w:id="9202" w:name="_Toc374347604"/>
      <w:bookmarkStart w:id="9203" w:name="_Toc374347833"/>
      <w:bookmarkStart w:id="9204" w:name="_Toc374348576"/>
      <w:bookmarkStart w:id="9205" w:name="_Toc375054977"/>
      <w:bookmarkStart w:id="9206" w:name="_Toc375158060"/>
      <w:bookmarkStart w:id="9207" w:name="_Toc375158402"/>
      <w:bookmarkStart w:id="9208" w:name="_Toc378865558"/>
      <w:bookmarkStart w:id="9209" w:name="_Toc396149288"/>
      <w:bookmarkStart w:id="9210" w:name="_Toc396149856"/>
      <w:bookmarkStart w:id="9211" w:name="_Toc396150297"/>
      <w:bookmarkStart w:id="9212" w:name="_Toc398214986"/>
      <w:bookmarkStart w:id="9213" w:name="_Toc398291676"/>
      <w:bookmarkStart w:id="9214" w:name="_Toc398292019"/>
      <w:bookmarkStart w:id="9215" w:name="_Toc398293128"/>
      <w:bookmarkStart w:id="9216" w:name="_Toc400964258"/>
      <w:bookmarkStart w:id="9217" w:name="_Toc420594979"/>
      <w:bookmarkStart w:id="9218" w:name="_Toc420928533"/>
      <w:bookmarkStart w:id="9219" w:name="_Toc421106854"/>
      <w:bookmarkStart w:id="9220" w:name="_Toc421173120"/>
      <w:bookmarkStart w:id="9221" w:name="_Toc421874427"/>
      <w:bookmarkStart w:id="9222" w:name="_Toc421885716"/>
      <w:bookmarkStart w:id="9223" w:name="_Toc421886095"/>
      <w:bookmarkStart w:id="9224" w:name="_Toc422028967"/>
      <w:bookmarkStart w:id="9225" w:name="_Toc422029879"/>
      <w:bookmarkStart w:id="9226" w:name="_Toc422150842"/>
      <w:bookmarkStart w:id="9227" w:name="_Toc423443396"/>
      <w:bookmarkStart w:id="9228" w:name="_Toc441422574"/>
      <w:bookmarkStart w:id="9229" w:name="_Toc365571453"/>
      <w:bookmarkStart w:id="9230" w:name="_Toc365624953"/>
      <w:bookmarkStart w:id="9231" w:name="_Toc365899964"/>
      <w:bookmarkStart w:id="9232" w:name="_Toc365982773"/>
      <w:bookmarkStart w:id="9233" w:name="_Toc367446100"/>
      <w:bookmarkStart w:id="9234" w:name="_Toc368048306"/>
      <w:bookmarkStart w:id="9235" w:name="_Toc368583877"/>
      <w:bookmarkStart w:id="9236" w:name="_Toc368652972"/>
      <w:bookmarkStart w:id="9237" w:name="_Toc368932411"/>
      <w:bookmarkStart w:id="9238" w:name="_Toc374345882"/>
      <w:bookmarkStart w:id="9239" w:name="_Toc374346228"/>
      <w:bookmarkStart w:id="9240" w:name="_Toc374346573"/>
      <w:bookmarkStart w:id="9241" w:name="_Toc374346919"/>
      <w:bookmarkStart w:id="9242" w:name="_Toc374347375"/>
      <w:bookmarkStart w:id="9243" w:name="_Toc374347605"/>
      <w:bookmarkStart w:id="9244" w:name="_Toc374347834"/>
      <w:bookmarkStart w:id="9245" w:name="_Toc374348577"/>
      <w:bookmarkStart w:id="9246" w:name="_Toc375054978"/>
      <w:bookmarkStart w:id="9247" w:name="_Toc375158061"/>
      <w:bookmarkStart w:id="9248" w:name="_Toc375158403"/>
      <w:bookmarkStart w:id="9249" w:name="_Toc378865559"/>
      <w:bookmarkStart w:id="9250" w:name="_Toc396149289"/>
      <w:bookmarkStart w:id="9251" w:name="_Toc396149857"/>
      <w:bookmarkStart w:id="9252" w:name="_Toc396150298"/>
      <w:bookmarkStart w:id="9253" w:name="_Toc398214987"/>
      <w:bookmarkStart w:id="9254" w:name="_Toc398291677"/>
      <w:bookmarkStart w:id="9255" w:name="_Toc398292020"/>
      <w:bookmarkStart w:id="9256" w:name="_Toc398293129"/>
      <w:bookmarkStart w:id="9257" w:name="_Toc400964259"/>
      <w:bookmarkStart w:id="9258" w:name="_Toc420594980"/>
      <w:bookmarkStart w:id="9259" w:name="_Toc420928534"/>
      <w:bookmarkStart w:id="9260" w:name="_Toc421106855"/>
      <w:bookmarkStart w:id="9261" w:name="_Toc421173121"/>
      <w:bookmarkStart w:id="9262" w:name="_Toc421874428"/>
      <w:bookmarkStart w:id="9263" w:name="_Toc421885717"/>
      <w:bookmarkStart w:id="9264" w:name="_Toc421886096"/>
      <w:bookmarkStart w:id="9265" w:name="_Toc422028968"/>
      <w:bookmarkStart w:id="9266" w:name="_Toc422029880"/>
      <w:bookmarkStart w:id="9267" w:name="_Toc422150843"/>
      <w:bookmarkStart w:id="9268" w:name="_Toc423443397"/>
      <w:bookmarkStart w:id="9269" w:name="_Toc441422575"/>
      <w:bookmarkStart w:id="9270" w:name="_Toc365571454"/>
      <w:bookmarkStart w:id="9271" w:name="_Toc365624954"/>
      <w:bookmarkStart w:id="9272" w:name="_Toc365899965"/>
      <w:bookmarkStart w:id="9273" w:name="_Toc365982774"/>
      <w:bookmarkStart w:id="9274" w:name="_Toc367446101"/>
      <w:bookmarkStart w:id="9275" w:name="_Toc368048307"/>
      <w:bookmarkStart w:id="9276" w:name="_Toc368583878"/>
      <w:bookmarkStart w:id="9277" w:name="_Toc368652973"/>
      <w:bookmarkStart w:id="9278" w:name="_Toc368932412"/>
      <w:bookmarkStart w:id="9279" w:name="_Toc374345883"/>
      <w:bookmarkStart w:id="9280" w:name="_Toc374346229"/>
      <w:bookmarkStart w:id="9281" w:name="_Toc374346574"/>
      <w:bookmarkStart w:id="9282" w:name="_Toc374346920"/>
      <w:bookmarkStart w:id="9283" w:name="_Toc374347376"/>
      <w:bookmarkStart w:id="9284" w:name="_Toc374347606"/>
      <w:bookmarkStart w:id="9285" w:name="_Toc374347835"/>
      <w:bookmarkStart w:id="9286" w:name="_Toc374348578"/>
      <w:bookmarkStart w:id="9287" w:name="_Toc375054979"/>
      <w:bookmarkStart w:id="9288" w:name="_Toc375158062"/>
      <w:bookmarkStart w:id="9289" w:name="_Toc375158404"/>
      <w:bookmarkStart w:id="9290" w:name="_Toc378865560"/>
      <w:bookmarkStart w:id="9291" w:name="_Toc396149290"/>
      <w:bookmarkStart w:id="9292" w:name="_Toc396149858"/>
      <w:bookmarkStart w:id="9293" w:name="_Toc396150299"/>
      <w:bookmarkStart w:id="9294" w:name="_Toc398214988"/>
      <w:bookmarkStart w:id="9295" w:name="_Toc398291678"/>
      <w:bookmarkStart w:id="9296" w:name="_Toc398292021"/>
      <w:bookmarkStart w:id="9297" w:name="_Toc398293130"/>
      <w:bookmarkStart w:id="9298" w:name="_Toc400964260"/>
      <w:bookmarkStart w:id="9299" w:name="_Toc420594981"/>
      <w:bookmarkStart w:id="9300" w:name="_Toc420928535"/>
      <w:bookmarkStart w:id="9301" w:name="_Toc421106856"/>
      <w:bookmarkStart w:id="9302" w:name="_Toc421173122"/>
      <w:bookmarkStart w:id="9303" w:name="_Toc421874429"/>
      <w:bookmarkStart w:id="9304" w:name="_Toc421885718"/>
      <w:bookmarkStart w:id="9305" w:name="_Toc421886097"/>
      <w:bookmarkStart w:id="9306" w:name="_Toc422028969"/>
      <w:bookmarkStart w:id="9307" w:name="_Toc422029881"/>
      <w:bookmarkStart w:id="9308" w:name="_Toc422150844"/>
      <w:bookmarkStart w:id="9309" w:name="_Toc423443398"/>
      <w:bookmarkStart w:id="9310" w:name="_Toc441422576"/>
      <w:bookmarkStart w:id="9311" w:name="_Toc365571455"/>
      <w:bookmarkStart w:id="9312" w:name="_Toc365624955"/>
      <w:bookmarkStart w:id="9313" w:name="_Toc365899966"/>
      <w:bookmarkStart w:id="9314" w:name="_Toc365982775"/>
      <w:bookmarkStart w:id="9315" w:name="_Toc367446102"/>
      <w:bookmarkStart w:id="9316" w:name="_Toc368048308"/>
      <w:bookmarkStart w:id="9317" w:name="_Toc368583879"/>
      <w:bookmarkStart w:id="9318" w:name="_Toc368652974"/>
      <w:bookmarkStart w:id="9319" w:name="_Toc368932413"/>
      <w:bookmarkStart w:id="9320" w:name="_Toc374345884"/>
      <w:bookmarkStart w:id="9321" w:name="_Toc374346230"/>
      <w:bookmarkStart w:id="9322" w:name="_Toc374346575"/>
      <w:bookmarkStart w:id="9323" w:name="_Toc374346921"/>
      <w:bookmarkStart w:id="9324" w:name="_Toc374347377"/>
      <w:bookmarkStart w:id="9325" w:name="_Toc374347607"/>
      <w:bookmarkStart w:id="9326" w:name="_Toc374347836"/>
      <w:bookmarkStart w:id="9327" w:name="_Toc374348579"/>
      <w:bookmarkStart w:id="9328" w:name="_Toc375054980"/>
      <w:bookmarkStart w:id="9329" w:name="_Toc375158063"/>
      <w:bookmarkStart w:id="9330" w:name="_Toc375158405"/>
      <w:bookmarkStart w:id="9331" w:name="_Toc378865561"/>
      <w:bookmarkStart w:id="9332" w:name="_Toc396149291"/>
      <w:bookmarkStart w:id="9333" w:name="_Toc396149859"/>
      <w:bookmarkStart w:id="9334" w:name="_Toc396150300"/>
      <w:bookmarkStart w:id="9335" w:name="_Toc398214989"/>
      <w:bookmarkStart w:id="9336" w:name="_Toc398291679"/>
      <w:bookmarkStart w:id="9337" w:name="_Toc398292022"/>
      <w:bookmarkStart w:id="9338" w:name="_Toc398293131"/>
      <w:bookmarkStart w:id="9339" w:name="_Toc400964261"/>
      <w:bookmarkStart w:id="9340" w:name="_Toc420594982"/>
      <w:bookmarkStart w:id="9341" w:name="_Toc420928536"/>
      <w:bookmarkStart w:id="9342" w:name="_Toc421106857"/>
      <w:bookmarkStart w:id="9343" w:name="_Toc421173123"/>
      <w:bookmarkStart w:id="9344" w:name="_Toc421874430"/>
      <w:bookmarkStart w:id="9345" w:name="_Toc421885719"/>
      <w:bookmarkStart w:id="9346" w:name="_Toc421886098"/>
      <w:bookmarkStart w:id="9347" w:name="_Toc422028970"/>
      <w:bookmarkStart w:id="9348" w:name="_Toc422029882"/>
      <w:bookmarkStart w:id="9349" w:name="_Toc422150845"/>
      <w:bookmarkStart w:id="9350" w:name="_Toc423443399"/>
      <w:bookmarkStart w:id="9351" w:name="_Toc441422577"/>
      <w:bookmarkStart w:id="9352" w:name="_Toc365571456"/>
      <w:bookmarkStart w:id="9353" w:name="_Toc365624956"/>
      <w:bookmarkStart w:id="9354" w:name="_Toc365899967"/>
      <w:bookmarkStart w:id="9355" w:name="_Toc365982776"/>
      <w:bookmarkStart w:id="9356" w:name="_Toc367446103"/>
      <w:bookmarkStart w:id="9357" w:name="_Toc368048309"/>
      <w:bookmarkStart w:id="9358" w:name="_Toc368583880"/>
      <w:bookmarkStart w:id="9359" w:name="_Toc368652975"/>
      <w:bookmarkStart w:id="9360" w:name="_Toc368932414"/>
      <w:bookmarkStart w:id="9361" w:name="_Toc374345885"/>
      <w:bookmarkStart w:id="9362" w:name="_Toc374346231"/>
      <w:bookmarkStart w:id="9363" w:name="_Toc374346576"/>
      <w:bookmarkStart w:id="9364" w:name="_Toc374346922"/>
      <w:bookmarkStart w:id="9365" w:name="_Toc374347378"/>
      <w:bookmarkStart w:id="9366" w:name="_Toc374347608"/>
      <w:bookmarkStart w:id="9367" w:name="_Toc374347837"/>
      <w:bookmarkStart w:id="9368" w:name="_Toc374348580"/>
      <w:bookmarkStart w:id="9369" w:name="_Toc375054981"/>
      <w:bookmarkStart w:id="9370" w:name="_Toc375158064"/>
      <w:bookmarkStart w:id="9371" w:name="_Toc375158406"/>
      <w:bookmarkStart w:id="9372" w:name="_Toc378865562"/>
      <w:bookmarkStart w:id="9373" w:name="_Toc396149292"/>
      <w:bookmarkStart w:id="9374" w:name="_Toc396149860"/>
      <w:bookmarkStart w:id="9375" w:name="_Toc396150301"/>
      <w:bookmarkStart w:id="9376" w:name="_Toc398214990"/>
      <w:bookmarkStart w:id="9377" w:name="_Toc398291680"/>
      <w:bookmarkStart w:id="9378" w:name="_Toc398292023"/>
      <w:bookmarkStart w:id="9379" w:name="_Toc398293132"/>
      <w:bookmarkStart w:id="9380" w:name="_Toc400964262"/>
      <w:bookmarkStart w:id="9381" w:name="_Toc420594983"/>
      <w:bookmarkStart w:id="9382" w:name="_Toc420928537"/>
      <w:bookmarkStart w:id="9383" w:name="_Toc421106858"/>
      <w:bookmarkStart w:id="9384" w:name="_Toc421173124"/>
      <w:bookmarkStart w:id="9385" w:name="_Toc421874431"/>
      <w:bookmarkStart w:id="9386" w:name="_Toc421885720"/>
      <w:bookmarkStart w:id="9387" w:name="_Toc421886099"/>
      <w:bookmarkStart w:id="9388" w:name="_Toc422028971"/>
      <w:bookmarkStart w:id="9389" w:name="_Toc422029883"/>
      <w:bookmarkStart w:id="9390" w:name="_Toc422150846"/>
      <w:bookmarkStart w:id="9391" w:name="_Toc423443400"/>
      <w:bookmarkStart w:id="9392" w:name="_Toc441422578"/>
      <w:bookmarkStart w:id="9393" w:name="_Toc365571457"/>
      <w:bookmarkStart w:id="9394" w:name="_Toc365624957"/>
      <w:bookmarkStart w:id="9395" w:name="_Toc365899968"/>
      <w:bookmarkStart w:id="9396" w:name="_Toc365982777"/>
      <w:bookmarkStart w:id="9397" w:name="_Toc367446104"/>
      <w:bookmarkStart w:id="9398" w:name="_Toc368048310"/>
      <w:bookmarkStart w:id="9399" w:name="_Toc368583881"/>
      <w:bookmarkStart w:id="9400" w:name="_Toc368652976"/>
      <w:bookmarkStart w:id="9401" w:name="_Toc368932415"/>
      <w:bookmarkStart w:id="9402" w:name="_Toc374345886"/>
      <w:bookmarkStart w:id="9403" w:name="_Toc374346232"/>
      <w:bookmarkStart w:id="9404" w:name="_Toc374346577"/>
      <w:bookmarkStart w:id="9405" w:name="_Toc374346923"/>
      <w:bookmarkStart w:id="9406" w:name="_Toc374347379"/>
      <w:bookmarkStart w:id="9407" w:name="_Toc374347609"/>
      <w:bookmarkStart w:id="9408" w:name="_Toc374347838"/>
      <w:bookmarkStart w:id="9409" w:name="_Toc374348581"/>
      <w:bookmarkStart w:id="9410" w:name="_Toc375054982"/>
      <w:bookmarkStart w:id="9411" w:name="_Toc375158065"/>
      <w:bookmarkStart w:id="9412" w:name="_Toc375158407"/>
      <w:bookmarkStart w:id="9413" w:name="_Toc378865563"/>
      <w:bookmarkStart w:id="9414" w:name="_Toc396149293"/>
      <w:bookmarkStart w:id="9415" w:name="_Toc396149861"/>
      <w:bookmarkStart w:id="9416" w:name="_Toc396150302"/>
      <w:bookmarkStart w:id="9417" w:name="_Toc398214991"/>
      <w:bookmarkStart w:id="9418" w:name="_Toc398291681"/>
      <w:bookmarkStart w:id="9419" w:name="_Toc398292024"/>
      <w:bookmarkStart w:id="9420" w:name="_Toc398293133"/>
      <w:bookmarkStart w:id="9421" w:name="_Toc400964263"/>
      <w:bookmarkStart w:id="9422" w:name="_Toc420594984"/>
      <w:bookmarkStart w:id="9423" w:name="_Toc420928538"/>
      <w:bookmarkStart w:id="9424" w:name="_Toc421106859"/>
      <w:bookmarkStart w:id="9425" w:name="_Toc421173125"/>
      <w:bookmarkStart w:id="9426" w:name="_Toc421874432"/>
      <w:bookmarkStart w:id="9427" w:name="_Toc421885721"/>
      <w:bookmarkStart w:id="9428" w:name="_Toc421886100"/>
      <w:bookmarkStart w:id="9429" w:name="_Toc422028972"/>
      <w:bookmarkStart w:id="9430" w:name="_Toc422029884"/>
      <w:bookmarkStart w:id="9431" w:name="_Toc422150847"/>
      <w:bookmarkStart w:id="9432" w:name="_Toc423443401"/>
      <w:bookmarkStart w:id="9433" w:name="_Toc441422579"/>
      <w:bookmarkStart w:id="9434" w:name="_Toc365571458"/>
      <w:bookmarkStart w:id="9435" w:name="_Toc365624958"/>
      <w:bookmarkStart w:id="9436" w:name="_Toc365899969"/>
      <w:bookmarkStart w:id="9437" w:name="_Toc365982778"/>
      <w:bookmarkStart w:id="9438" w:name="_Toc367446105"/>
      <w:bookmarkStart w:id="9439" w:name="_Toc368048311"/>
      <w:bookmarkStart w:id="9440" w:name="_Toc368583882"/>
      <w:bookmarkStart w:id="9441" w:name="_Toc368652977"/>
      <w:bookmarkStart w:id="9442" w:name="_Toc368932416"/>
      <w:bookmarkStart w:id="9443" w:name="_Toc374345887"/>
      <w:bookmarkStart w:id="9444" w:name="_Toc374346233"/>
      <w:bookmarkStart w:id="9445" w:name="_Toc374346578"/>
      <w:bookmarkStart w:id="9446" w:name="_Toc374346924"/>
      <w:bookmarkStart w:id="9447" w:name="_Toc374347380"/>
      <w:bookmarkStart w:id="9448" w:name="_Toc374347610"/>
      <w:bookmarkStart w:id="9449" w:name="_Toc374347839"/>
      <w:bookmarkStart w:id="9450" w:name="_Toc374348582"/>
      <w:bookmarkStart w:id="9451" w:name="_Toc375054983"/>
      <w:bookmarkStart w:id="9452" w:name="_Toc375158066"/>
      <w:bookmarkStart w:id="9453" w:name="_Toc375158408"/>
      <w:bookmarkStart w:id="9454" w:name="_Toc378865564"/>
      <w:bookmarkStart w:id="9455" w:name="_Toc396149294"/>
      <w:bookmarkStart w:id="9456" w:name="_Toc396149862"/>
      <w:bookmarkStart w:id="9457" w:name="_Toc396150303"/>
      <w:bookmarkStart w:id="9458" w:name="_Toc398214992"/>
      <w:bookmarkStart w:id="9459" w:name="_Toc398291682"/>
      <w:bookmarkStart w:id="9460" w:name="_Toc398292025"/>
      <w:bookmarkStart w:id="9461" w:name="_Toc398293134"/>
      <w:bookmarkStart w:id="9462" w:name="_Toc400964264"/>
      <w:bookmarkStart w:id="9463" w:name="_Toc420594985"/>
      <w:bookmarkStart w:id="9464" w:name="_Toc420928539"/>
      <w:bookmarkStart w:id="9465" w:name="_Toc421106860"/>
      <w:bookmarkStart w:id="9466" w:name="_Toc421173126"/>
      <w:bookmarkStart w:id="9467" w:name="_Toc421874433"/>
      <w:bookmarkStart w:id="9468" w:name="_Toc421885722"/>
      <w:bookmarkStart w:id="9469" w:name="_Toc421886101"/>
      <w:bookmarkStart w:id="9470" w:name="_Toc422028973"/>
      <w:bookmarkStart w:id="9471" w:name="_Toc422029885"/>
      <w:bookmarkStart w:id="9472" w:name="_Toc422150848"/>
      <w:bookmarkStart w:id="9473" w:name="_Toc423443402"/>
      <w:bookmarkStart w:id="9474" w:name="_Toc441422580"/>
      <w:bookmarkStart w:id="9475" w:name="_Toc365571459"/>
      <w:bookmarkStart w:id="9476" w:name="_Toc365624959"/>
      <w:bookmarkStart w:id="9477" w:name="_Toc365899970"/>
      <w:bookmarkStart w:id="9478" w:name="_Toc365982779"/>
      <w:bookmarkStart w:id="9479" w:name="_Toc367446106"/>
      <w:bookmarkStart w:id="9480" w:name="_Toc368048312"/>
      <w:bookmarkStart w:id="9481" w:name="_Toc368583883"/>
      <w:bookmarkStart w:id="9482" w:name="_Toc368652978"/>
      <w:bookmarkStart w:id="9483" w:name="_Toc368932417"/>
      <w:bookmarkStart w:id="9484" w:name="_Toc374345888"/>
      <w:bookmarkStart w:id="9485" w:name="_Toc374346234"/>
      <w:bookmarkStart w:id="9486" w:name="_Toc374346579"/>
      <w:bookmarkStart w:id="9487" w:name="_Toc374346925"/>
      <w:bookmarkStart w:id="9488" w:name="_Toc374347381"/>
      <w:bookmarkStart w:id="9489" w:name="_Toc374347611"/>
      <w:bookmarkStart w:id="9490" w:name="_Toc374347840"/>
      <w:bookmarkStart w:id="9491" w:name="_Toc374348583"/>
      <w:bookmarkStart w:id="9492" w:name="_Toc375054984"/>
      <w:bookmarkStart w:id="9493" w:name="_Toc375158067"/>
      <w:bookmarkStart w:id="9494" w:name="_Toc375158409"/>
      <w:bookmarkStart w:id="9495" w:name="_Toc378865565"/>
      <w:bookmarkStart w:id="9496" w:name="_Toc396149295"/>
      <w:bookmarkStart w:id="9497" w:name="_Toc396149863"/>
      <w:bookmarkStart w:id="9498" w:name="_Toc396150304"/>
      <w:bookmarkStart w:id="9499" w:name="_Toc398214993"/>
      <w:bookmarkStart w:id="9500" w:name="_Toc398291683"/>
      <w:bookmarkStart w:id="9501" w:name="_Toc398292026"/>
      <w:bookmarkStart w:id="9502" w:name="_Toc398293135"/>
      <w:bookmarkStart w:id="9503" w:name="_Toc400964265"/>
      <w:bookmarkStart w:id="9504" w:name="_Toc420594986"/>
      <w:bookmarkStart w:id="9505" w:name="_Toc420928540"/>
      <w:bookmarkStart w:id="9506" w:name="_Toc421106861"/>
      <w:bookmarkStart w:id="9507" w:name="_Toc421173127"/>
      <w:bookmarkStart w:id="9508" w:name="_Toc421874434"/>
      <w:bookmarkStart w:id="9509" w:name="_Toc421885723"/>
      <w:bookmarkStart w:id="9510" w:name="_Toc421886102"/>
      <w:bookmarkStart w:id="9511" w:name="_Toc422028974"/>
      <w:bookmarkStart w:id="9512" w:name="_Toc422029886"/>
      <w:bookmarkStart w:id="9513" w:name="_Toc422150849"/>
      <w:bookmarkStart w:id="9514" w:name="_Toc423443403"/>
      <w:bookmarkStart w:id="9515" w:name="_Toc441422581"/>
      <w:bookmarkStart w:id="9516" w:name="_Toc365571460"/>
      <w:bookmarkStart w:id="9517" w:name="_Toc365624960"/>
      <w:bookmarkStart w:id="9518" w:name="_Toc365899971"/>
      <w:bookmarkStart w:id="9519" w:name="_Toc365982780"/>
      <w:bookmarkStart w:id="9520" w:name="_Toc367446107"/>
      <w:bookmarkStart w:id="9521" w:name="_Toc368048313"/>
      <w:bookmarkStart w:id="9522" w:name="_Toc368583884"/>
      <w:bookmarkStart w:id="9523" w:name="_Toc368652979"/>
      <w:bookmarkStart w:id="9524" w:name="_Toc368932418"/>
      <w:bookmarkStart w:id="9525" w:name="_Toc374345889"/>
      <w:bookmarkStart w:id="9526" w:name="_Toc374346235"/>
      <w:bookmarkStart w:id="9527" w:name="_Toc374346580"/>
      <w:bookmarkStart w:id="9528" w:name="_Toc374346926"/>
      <w:bookmarkStart w:id="9529" w:name="_Toc374347382"/>
      <w:bookmarkStart w:id="9530" w:name="_Toc374347612"/>
      <w:bookmarkStart w:id="9531" w:name="_Toc374347841"/>
      <w:bookmarkStart w:id="9532" w:name="_Toc374348584"/>
      <w:bookmarkStart w:id="9533" w:name="_Toc375054985"/>
      <w:bookmarkStart w:id="9534" w:name="_Toc375158068"/>
      <w:bookmarkStart w:id="9535" w:name="_Toc375158410"/>
      <w:bookmarkStart w:id="9536" w:name="_Toc378865566"/>
      <w:bookmarkStart w:id="9537" w:name="_Toc396149296"/>
      <w:bookmarkStart w:id="9538" w:name="_Toc396149864"/>
      <w:bookmarkStart w:id="9539" w:name="_Toc396150305"/>
      <w:bookmarkStart w:id="9540" w:name="_Toc398214994"/>
      <w:bookmarkStart w:id="9541" w:name="_Toc398291684"/>
      <w:bookmarkStart w:id="9542" w:name="_Toc398292027"/>
      <w:bookmarkStart w:id="9543" w:name="_Toc398293136"/>
      <w:bookmarkStart w:id="9544" w:name="_Toc400964266"/>
      <w:bookmarkStart w:id="9545" w:name="_Toc420594987"/>
      <w:bookmarkStart w:id="9546" w:name="_Toc420928541"/>
      <w:bookmarkStart w:id="9547" w:name="_Toc421106862"/>
      <w:bookmarkStart w:id="9548" w:name="_Toc421173128"/>
      <w:bookmarkStart w:id="9549" w:name="_Toc421874435"/>
      <w:bookmarkStart w:id="9550" w:name="_Toc421885724"/>
      <w:bookmarkStart w:id="9551" w:name="_Toc421886103"/>
      <w:bookmarkStart w:id="9552" w:name="_Toc422028975"/>
      <w:bookmarkStart w:id="9553" w:name="_Toc422029887"/>
      <w:bookmarkStart w:id="9554" w:name="_Toc422150850"/>
      <w:bookmarkStart w:id="9555" w:name="_Toc423443404"/>
      <w:bookmarkStart w:id="9556" w:name="_Toc441422582"/>
      <w:bookmarkStart w:id="9557" w:name="_Toc365571461"/>
      <w:bookmarkStart w:id="9558" w:name="_Toc365624961"/>
      <w:bookmarkStart w:id="9559" w:name="_Toc365899972"/>
      <w:bookmarkStart w:id="9560" w:name="_Toc365982781"/>
      <w:bookmarkStart w:id="9561" w:name="_Toc367446108"/>
      <w:bookmarkStart w:id="9562" w:name="_Toc368048314"/>
      <w:bookmarkStart w:id="9563" w:name="_Toc368583885"/>
      <w:bookmarkStart w:id="9564" w:name="_Toc368652980"/>
      <w:bookmarkStart w:id="9565" w:name="_Toc368932419"/>
      <w:bookmarkStart w:id="9566" w:name="_Toc374345890"/>
      <w:bookmarkStart w:id="9567" w:name="_Toc374346236"/>
      <w:bookmarkStart w:id="9568" w:name="_Toc374346581"/>
      <w:bookmarkStart w:id="9569" w:name="_Toc374346927"/>
      <w:bookmarkStart w:id="9570" w:name="_Toc374347383"/>
      <w:bookmarkStart w:id="9571" w:name="_Toc374347613"/>
      <w:bookmarkStart w:id="9572" w:name="_Toc374347842"/>
      <w:bookmarkStart w:id="9573" w:name="_Toc374348585"/>
      <w:bookmarkStart w:id="9574" w:name="_Toc375054986"/>
      <w:bookmarkStart w:id="9575" w:name="_Toc375158069"/>
      <w:bookmarkStart w:id="9576" w:name="_Toc375158411"/>
      <w:bookmarkStart w:id="9577" w:name="_Toc378865567"/>
      <w:bookmarkStart w:id="9578" w:name="_Toc396149297"/>
      <w:bookmarkStart w:id="9579" w:name="_Toc396149865"/>
      <w:bookmarkStart w:id="9580" w:name="_Toc396150306"/>
      <w:bookmarkStart w:id="9581" w:name="_Toc398214995"/>
      <w:bookmarkStart w:id="9582" w:name="_Toc398291685"/>
      <w:bookmarkStart w:id="9583" w:name="_Toc398292028"/>
      <w:bookmarkStart w:id="9584" w:name="_Toc398293137"/>
      <w:bookmarkStart w:id="9585" w:name="_Toc400964267"/>
      <w:bookmarkStart w:id="9586" w:name="_Toc420594988"/>
      <w:bookmarkStart w:id="9587" w:name="_Toc420928542"/>
      <w:bookmarkStart w:id="9588" w:name="_Toc421106863"/>
      <w:bookmarkStart w:id="9589" w:name="_Toc421173129"/>
      <w:bookmarkStart w:id="9590" w:name="_Toc421874436"/>
      <w:bookmarkStart w:id="9591" w:name="_Toc421885725"/>
      <w:bookmarkStart w:id="9592" w:name="_Toc421886104"/>
      <w:bookmarkStart w:id="9593" w:name="_Toc422028976"/>
      <w:bookmarkStart w:id="9594" w:name="_Toc422029888"/>
      <w:bookmarkStart w:id="9595" w:name="_Toc422150851"/>
      <w:bookmarkStart w:id="9596" w:name="_Toc423443405"/>
      <w:bookmarkStart w:id="9597" w:name="_Toc441422583"/>
      <w:bookmarkStart w:id="9598" w:name="_Toc365571462"/>
      <w:bookmarkStart w:id="9599" w:name="_Toc365624962"/>
      <w:bookmarkStart w:id="9600" w:name="_Toc365899973"/>
      <w:bookmarkStart w:id="9601" w:name="_Toc365982782"/>
      <w:bookmarkStart w:id="9602" w:name="_Toc367446109"/>
      <w:bookmarkStart w:id="9603" w:name="_Toc368048315"/>
      <w:bookmarkStart w:id="9604" w:name="_Toc368583886"/>
      <w:bookmarkStart w:id="9605" w:name="_Toc368652981"/>
      <w:bookmarkStart w:id="9606" w:name="_Toc368932420"/>
      <w:bookmarkStart w:id="9607" w:name="_Toc374345891"/>
      <w:bookmarkStart w:id="9608" w:name="_Toc374346237"/>
      <w:bookmarkStart w:id="9609" w:name="_Toc374346582"/>
      <w:bookmarkStart w:id="9610" w:name="_Toc374346928"/>
      <w:bookmarkStart w:id="9611" w:name="_Toc374347384"/>
      <w:bookmarkStart w:id="9612" w:name="_Toc374347614"/>
      <w:bookmarkStart w:id="9613" w:name="_Toc374347843"/>
      <w:bookmarkStart w:id="9614" w:name="_Toc374348586"/>
      <w:bookmarkStart w:id="9615" w:name="_Toc375054987"/>
      <w:bookmarkStart w:id="9616" w:name="_Toc375158070"/>
      <w:bookmarkStart w:id="9617" w:name="_Toc375158412"/>
      <w:bookmarkStart w:id="9618" w:name="_Toc378865568"/>
      <w:bookmarkStart w:id="9619" w:name="_Toc396149298"/>
      <w:bookmarkStart w:id="9620" w:name="_Toc396149866"/>
      <w:bookmarkStart w:id="9621" w:name="_Toc396150307"/>
      <w:bookmarkStart w:id="9622" w:name="_Toc398214996"/>
      <w:bookmarkStart w:id="9623" w:name="_Toc398291686"/>
      <w:bookmarkStart w:id="9624" w:name="_Toc398292029"/>
      <w:bookmarkStart w:id="9625" w:name="_Toc398293138"/>
      <w:bookmarkStart w:id="9626" w:name="_Toc400964268"/>
      <w:bookmarkStart w:id="9627" w:name="_Toc420594989"/>
      <w:bookmarkStart w:id="9628" w:name="_Toc420928543"/>
      <w:bookmarkStart w:id="9629" w:name="_Toc421106864"/>
      <w:bookmarkStart w:id="9630" w:name="_Toc421173130"/>
      <w:bookmarkStart w:id="9631" w:name="_Toc421874437"/>
      <w:bookmarkStart w:id="9632" w:name="_Toc421885726"/>
      <w:bookmarkStart w:id="9633" w:name="_Toc421886105"/>
      <w:bookmarkStart w:id="9634" w:name="_Toc422028977"/>
      <w:bookmarkStart w:id="9635" w:name="_Toc422029889"/>
      <w:bookmarkStart w:id="9636" w:name="_Toc422150852"/>
      <w:bookmarkStart w:id="9637" w:name="_Toc423443406"/>
      <w:bookmarkStart w:id="9638" w:name="_Toc441422584"/>
      <w:bookmarkStart w:id="9639" w:name="_Toc365571463"/>
      <w:bookmarkStart w:id="9640" w:name="_Toc365624963"/>
      <w:bookmarkStart w:id="9641" w:name="_Toc365899974"/>
      <w:bookmarkStart w:id="9642" w:name="_Toc365982783"/>
      <w:bookmarkStart w:id="9643" w:name="_Toc367446110"/>
      <w:bookmarkStart w:id="9644" w:name="_Toc368048316"/>
      <w:bookmarkStart w:id="9645" w:name="_Toc368583887"/>
      <w:bookmarkStart w:id="9646" w:name="_Toc368652982"/>
      <w:bookmarkStart w:id="9647" w:name="_Toc368932421"/>
      <w:bookmarkStart w:id="9648" w:name="_Toc374345892"/>
      <w:bookmarkStart w:id="9649" w:name="_Toc374346238"/>
      <w:bookmarkStart w:id="9650" w:name="_Toc374346583"/>
      <w:bookmarkStart w:id="9651" w:name="_Toc374346929"/>
      <w:bookmarkStart w:id="9652" w:name="_Toc374347385"/>
      <w:bookmarkStart w:id="9653" w:name="_Toc374347615"/>
      <w:bookmarkStart w:id="9654" w:name="_Toc374347844"/>
      <w:bookmarkStart w:id="9655" w:name="_Toc374348587"/>
      <w:bookmarkStart w:id="9656" w:name="_Toc375054988"/>
      <w:bookmarkStart w:id="9657" w:name="_Toc375158071"/>
      <w:bookmarkStart w:id="9658" w:name="_Toc375158413"/>
      <w:bookmarkStart w:id="9659" w:name="_Toc378865569"/>
      <w:bookmarkStart w:id="9660" w:name="_Toc396149299"/>
      <w:bookmarkStart w:id="9661" w:name="_Toc396149867"/>
      <w:bookmarkStart w:id="9662" w:name="_Toc396150308"/>
      <w:bookmarkStart w:id="9663" w:name="_Toc398214997"/>
      <w:bookmarkStart w:id="9664" w:name="_Toc398291687"/>
      <w:bookmarkStart w:id="9665" w:name="_Toc398292030"/>
      <w:bookmarkStart w:id="9666" w:name="_Toc398293139"/>
      <w:bookmarkStart w:id="9667" w:name="_Toc400964269"/>
      <w:bookmarkStart w:id="9668" w:name="_Toc420594990"/>
      <w:bookmarkStart w:id="9669" w:name="_Toc420928544"/>
      <w:bookmarkStart w:id="9670" w:name="_Toc421106865"/>
      <w:bookmarkStart w:id="9671" w:name="_Toc421173131"/>
      <w:bookmarkStart w:id="9672" w:name="_Toc421874438"/>
      <w:bookmarkStart w:id="9673" w:name="_Toc421885727"/>
      <w:bookmarkStart w:id="9674" w:name="_Toc421886106"/>
      <w:bookmarkStart w:id="9675" w:name="_Toc422028978"/>
      <w:bookmarkStart w:id="9676" w:name="_Toc422029890"/>
      <w:bookmarkStart w:id="9677" w:name="_Toc422150853"/>
      <w:bookmarkStart w:id="9678" w:name="_Toc423443407"/>
      <w:bookmarkStart w:id="9679" w:name="_Toc441422585"/>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p>
    <w:p w14:paraId="5B57DC91"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lang w:eastAsia="en-US"/>
        </w:rPr>
      </w:pPr>
      <w:bookmarkStart w:id="9680" w:name="_Toc448998327"/>
      <w:bookmarkStart w:id="9681" w:name="_Toc422150854"/>
      <w:bookmarkStart w:id="9682" w:name="_Toc421874439"/>
      <w:bookmarkStart w:id="9683" w:name="_Toc420594991"/>
      <w:bookmarkStart w:id="9684" w:name="_Toc398214998"/>
      <w:bookmarkStart w:id="9685" w:name="_Toc375158414"/>
      <w:bookmarkStart w:id="9686" w:name="_Toc374348588"/>
      <w:bookmarkStart w:id="9687" w:name="_Toc368932422"/>
      <w:bookmarkStart w:id="9688" w:name="_Toc486332944"/>
      <w:bookmarkStart w:id="9689" w:name="_Ref536181332"/>
      <w:bookmarkStart w:id="9690" w:name="_Toc1977475"/>
      <w:bookmarkStart w:id="9691" w:name="_Toc37062634"/>
      <w:bookmarkStart w:id="9692" w:name="_Toc88839687"/>
      <w:bookmarkStart w:id="9693" w:name="_Toc121504095"/>
      <w:r>
        <w:rPr>
          <w:rFonts w:ascii="Arial Bold" w:hAnsi="Arial Bold"/>
          <w:b/>
          <w:sz w:val="24"/>
          <w:szCs w:val="24"/>
          <w:lang w:eastAsia="en-US"/>
        </w:rPr>
        <w:t>The ES3 Interface Functions</w:t>
      </w:r>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p>
    <w:p w14:paraId="54B5944C" w14:textId="77777777" w:rsidR="00B97365" w:rsidRDefault="00000000">
      <w:pPr>
        <w:spacing w:before="0" w:after="200" w:line="276" w:lineRule="auto"/>
        <w:jc w:val="left"/>
        <w:rPr>
          <w:szCs w:val="22"/>
          <w:lang w:eastAsia="en-US"/>
        </w:rPr>
      </w:pPr>
      <w:r>
        <w:rPr>
          <w:szCs w:val="22"/>
          <w:lang w:eastAsia="en-US"/>
        </w:rPr>
        <w:t xml:space="preserve">The </w:t>
      </w:r>
      <w:r>
        <w:rPr>
          <w:szCs w:val="22"/>
          <w:lang w:val="en-US"/>
        </w:rPr>
        <w:t xml:space="preserve">table below describe where definition of ES3 functions messages are located in </w:t>
      </w:r>
      <w:r>
        <w:rPr>
          <w:b/>
          <w:szCs w:val="22"/>
          <w:lang w:val="en-US"/>
        </w:rPr>
        <w:t>rps3.</w:t>
      </w:r>
      <w:r>
        <w:rPr>
          <w:b/>
          <w:szCs w:val="22"/>
          <w:lang w:eastAsia="en-US"/>
        </w:rPr>
        <w:t xml:space="preserve">euicc.request.ES3.xsd </w:t>
      </w:r>
      <w:r>
        <w:rPr>
          <w:szCs w:val="22"/>
          <w:lang w:val="en-US"/>
        </w:rPr>
        <w:t xml:space="preserve">and </w:t>
      </w:r>
      <w:r>
        <w:rPr>
          <w:b/>
          <w:szCs w:val="22"/>
          <w:lang w:val="en-US"/>
        </w:rPr>
        <w:t>rps4.</w:t>
      </w:r>
      <w:r>
        <w:rPr>
          <w:b/>
          <w:szCs w:val="22"/>
          <w:lang w:eastAsia="en-US"/>
        </w:rPr>
        <w:t>euicc.request.ES3.xsd</w:t>
      </w:r>
      <w:r>
        <w:rPr>
          <w:szCs w:val="22"/>
          <w:lang w:val="en-US"/>
        </w:rPr>
        <w:t>.</w:t>
      </w:r>
    </w:p>
    <w:tbl>
      <w:tblPr>
        <w:tblStyle w:val="TableGrid"/>
        <w:tblW w:w="9493" w:type="dxa"/>
        <w:tblLayout w:type="fixed"/>
        <w:tblLook w:val="04A0" w:firstRow="1" w:lastRow="0" w:firstColumn="1" w:lastColumn="0" w:noHBand="0" w:noVBand="1"/>
      </w:tblPr>
      <w:tblGrid>
        <w:gridCol w:w="3964"/>
        <w:gridCol w:w="5529"/>
      </w:tblGrid>
      <w:tr w:rsidR="00B97365" w14:paraId="4D9E93B5" w14:textId="77777777">
        <w:trPr>
          <w:trHeight w:val="435"/>
        </w:trPr>
        <w:tc>
          <w:tcPr>
            <w:tcW w:w="3964" w:type="dxa"/>
            <w:shd w:val="clear" w:color="auto" w:fill="C00000"/>
          </w:tcPr>
          <w:p w14:paraId="5506F77B" w14:textId="77777777" w:rsidR="00B97365" w:rsidRDefault="00000000">
            <w:pPr>
              <w:spacing w:before="0" w:after="200" w:line="276" w:lineRule="auto"/>
              <w:jc w:val="left"/>
              <w:rPr>
                <w:b/>
                <w:szCs w:val="22"/>
                <w:lang w:eastAsia="en-US"/>
              </w:rPr>
            </w:pPr>
            <w:r>
              <w:rPr>
                <w:b/>
                <w:szCs w:val="22"/>
                <w:lang w:eastAsia="en-US"/>
              </w:rPr>
              <w:t>Interface.Function</w:t>
            </w:r>
          </w:p>
        </w:tc>
        <w:tc>
          <w:tcPr>
            <w:tcW w:w="5529" w:type="dxa"/>
            <w:shd w:val="clear" w:color="auto" w:fill="C00000"/>
          </w:tcPr>
          <w:p w14:paraId="07511BA7" w14:textId="77777777" w:rsidR="00B97365" w:rsidRDefault="00000000">
            <w:pPr>
              <w:spacing w:before="0" w:after="200" w:line="276" w:lineRule="auto"/>
              <w:jc w:val="left"/>
              <w:rPr>
                <w:b/>
                <w:szCs w:val="22"/>
                <w:lang w:eastAsia="en-US"/>
              </w:rPr>
            </w:pPr>
            <w:r>
              <w:rPr>
                <w:b/>
                <w:szCs w:val="22"/>
                <w:lang w:eastAsia="en-US"/>
              </w:rPr>
              <w:t>XML Type</w:t>
            </w:r>
          </w:p>
        </w:tc>
      </w:tr>
      <w:tr w:rsidR="00B97365" w14:paraId="4BF1FDEA" w14:textId="77777777">
        <w:trPr>
          <w:trHeight w:val="435"/>
        </w:trPr>
        <w:tc>
          <w:tcPr>
            <w:tcW w:w="3964" w:type="dxa"/>
            <w:vMerge w:val="restart"/>
          </w:tcPr>
          <w:p w14:paraId="57956FE1" w14:textId="77777777" w:rsidR="00B97365" w:rsidRDefault="00000000">
            <w:pPr>
              <w:spacing w:before="0" w:after="200" w:line="276" w:lineRule="auto"/>
              <w:jc w:val="left"/>
              <w:rPr>
                <w:szCs w:val="22"/>
                <w:lang w:eastAsia="en-US"/>
              </w:rPr>
            </w:pPr>
            <w:r>
              <w:rPr>
                <w:szCs w:val="22"/>
                <w:lang w:eastAsia="en-US"/>
              </w:rPr>
              <w:t>ES3.GetEIS</w:t>
            </w:r>
          </w:p>
        </w:tc>
        <w:tc>
          <w:tcPr>
            <w:tcW w:w="5529" w:type="dxa"/>
          </w:tcPr>
          <w:p w14:paraId="1AF1DE83" w14:textId="77777777" w:rsidR="00B97365" w:rsidRDefault="00000000">
            <w:pPr>
              <w:spacing w:before="0" w:after="200" w:line="276" w:lineRule="auto"/>
              <w:jc w:val="left"/>
              <w:rPr>
                <w:szCs w:val="22"/>
                <w:lang w:val="en-US" w:eastAsia="en-GB" w:bidi="ar-SA"/>
              </w:rPr>
            </w:pPr>
            <w:r>
              <w:rPr>
                <w:szCs w:val="22"/>
                <w:lang w:val="en-US" w:eastAsia="en-GB" w:bidi="ar-SA"/>
              </w:rPr>
              <w:t>rps3:ES3-GetEISRequest</w:t>
            </w:r>
          </w:p>
        </w:tc>
      </w:tr>
      <w:tr w:rsidR="00B97365" w14:paraId="166352A4" w14:textId="77777777">
        <w:trPr>
          <w:trHeight w:val="435"/>
        </w:trPr>
        <w:tc>
          <w:tcPr>
            <w:tcW w:w="3964" w:type="dxa"/>
            <w:vMerge/>
          </w:tcPr>
          <w:p w14:paraId="1DA6C7F0" w14:textId="77777777" w:rsidR="00B97365" w:rsidRDefault="00B97365">
            <w:pPr>
              <w:spacing w:before="0" w:after="200" w:line="276" w:lineRule="auto"/>
              <w:jc w:val="left"/>
              <w:rPr>
                <w:szCs w:val="22"/>
                <w:lang w:eastAsia="en-US"/>
              </w:rPr>
            </w:pPr>
          </w:p>
        </w:tc>
        <w:tc>
          <w:tcPr>
            <w:tcW w:w="5529" w:type="dxa"/>
          </w:tcPr>
          <w:p w14:paraId="2250F212" w14:textId="77777777" w:rsidR="00B97365" w:rsidRDefault="00000000">
            <w:pPr>
              <w:spacing w:before="0" w:after="200" w:line="276" w:lineRule="auto"/>
              <w:jc w:val="left"/>
              <w:rPr>
                <w:szCs w:val="22"/>
                <w:lang w:val="en-US" w:eastAsia="en-GB" w:bidi="ar-SA"/>
              </w:rPr>
            </w:pPr>
            <w:r>
              <w:rPr>
                <w:szCs w:val="22"/>
                <w:lang w:val="en-US" w:eastAsia="en-GB" w:bidi="ar-SA"/>
              </w:rPr>
              <w:t>rps3:ES3-GetEISResponse</w:t>
            </w:r>
          </w:p>
        </w:tc>
      </w:tr>
      <w:tr w:rsidR="00B97365" w14:paraId="735BE2C6" w14:textId="77777777">
        <w:trPr>
          <w:trHeight w:val="435"/>
        </w:trPr>
        <w:tc>
          <w:tcPr>
            <w:tcW w:w="3964" w:type="dxa"/>
            <w:vMerge w:val="restart"/>
          </w:tcPr>
          <w:p w14:paraId="7B661698" w14:textId="77777777" w:rsidR="00B97365" w:rsidRDefault="00000000">
            <w:pPr>
              <w:spacing w:before="0" w:after="200" w:line="276" w:lineRule="auto"/>
              <w:jc w:val="left"/>
              <w:rPr>
                <w:szCs w:val="22"/>
                <w:lang w:eastAsia="en-US"/>
              </w:rPr>
            </w:pPr>
            <w:r>
              <w:rPr>
                <w:szCs w:val="22"/>
                <w:lang w:eastAsia="en-US"/>
              </w:rPr>
              <w:t>ES3.AuditEIS</w:t>
            </w:r>
          </w:p>
        </w:tc>
        <w:tc>
          <w:tcPr>
            <w:tcW w:w="5529" w:type="dxa"/>
          </w:tcPr>
          <w:p w14:paraId="167DCE31" w14:textId="77777777" w:rsidR="00B97365" w:rsidRDefault="00000000">
            <w:pPr>
              <w:spacing w:before="0" w:after="200" w:line="276" w:lineRule="auto"/>
              <w:jc w:val="left"/>
              <w:rPr>
                <w:szCs w:val="22"/>
                <w:lang w:val="en-US" w:eastAsia="en-GB" w:bidi="ar-SA"/>
              </w:rPr>
            </w:pPr>
            <w:r>
              <w:rPr>
                <w:szCs w:val="22"/>
                <w:lang w:val="en-US" w:eastAsia="en-GB" w:bidi="ar-SA"/>
              </w:rPr>
              <w:t>rps3:ES3-AuditEISRequest</w:t>
            </w:r>
          </w:p>
        </w:tc>
      </w:tr>
      <w:tr w:rsidR="00B97365" w14:paraId="22791DC9" w14:textId="77777777">
        <w:trPr>
          <w:trHeight w:val="435"/>
        </w:trPr>
        <w:tc>
          <w:tcPr>
            <w:tcW w:w="3964" w:type="dxa"/>
            <w:vMerge/>
          </w:tcPr>
          <w:p w14:paraId="2717AFE1" w14:textId="77777777" w:rsidR="00B97365" w:rsidRDefault="00B97365">
            <w:pPr>
              <w:spacing w:before="0" w:after="200" w:line="276" w:lineRule="auto"/>
              <w:jc w:val="left"/>
              <w:rPr>
                <w:szCs w:val="22"/>
                <w:lang w:eastAsia="en-US"/>
              </w:rPr>
            </w:pPr>
          </w:p>
        </w:tc>
        <w:tc>
          <w:tcPr>
            <w:tcW w:w="5529" w:type="dxa"/>
          </w:tcPr>
          <w:p w14:paraId="52C31E95" w14:textId="77777777" w:rsidR="00B97365" w:rsidRDefault="00000000">
            <w:pPr>
              <w:spacing w:before="0" w:after="200" w:line="276" w:lineRule="auto"/>
              <w:jc w:val="left"/>
              <w:rPr>
                <w:szCs w:val="22"/>
                <w:lang w:val="en-US" w:eastAsia="en-GB" w:bidi="ar-SA"/>
              </w:rPr>
            </w:pPr>
            <w:r>
              <w:rPr>
                <w:szCs w:val="22"/>
                <w:lang w:val="en-US" w:eastAsia="en-GB" w:bidi="ar-SA"/>
              </w:rPr>
              <w:t>rps3:ES3-AudtiEISResponse</w:t>
            </w:r>
          </w:p>
        </w:tc>
      </w:tr>
      <w:tr w:rsidR="00B97365" w14:paraId="5F996A01" w14:textId="77777777">
        <w:trPr>
          <w:trHeight w:val="435"/>
        </w:trPr>
        <w:tc>
          <w:tcPr>
            <w:tcW w:w="3964" w:type="dxa"/>
            <w:vMerge w:val="restart"/>
          </w:tcPr>
          <w:p w14:paraId="1B7871D4" w14:textId="77777777" w:rsidR="00B97365" w:rsidRDefault="00000000">
            <w:pPr>
              <w:spacing w:before="0" w:after="200" w:line="276" w:lineRule="auto"/>
              <w:jc w:val="left"/>
              <w:rPr>
                <w:szCs w:val="22"/>
                <w:lang w:eastAsia="en-US"/>
              </w:rPr>
            </w:pPr>
            <w:r>
              <w:rPr>
                <w:szCs w:val="22"/>
                <w:lang w:eastAsia="en-US"/>
              </w:rPr>
              <w:t>ES3.CreateISDP</w:t>
            </w:r>
          </w:p>
        </w:tc>
        <w:tc>
          <w:tcPr>
            <w:tcW w:w="5529" w:type="dxa"/>
          </w:tcPr>
          <w:p w14:paraId="76B38244" w14:textId="77777777" w:rsidR="00B97365" w:rsidRDefault="00000000">
            <w:pPr>
              <w:spacing w:before="0" w:after="200" w:line="276" w:lineRule="auto"/>
              <w:jc w:val="left"/>
              <w:rPr>
                <w:szCs w:val="22"/>
                <w:lang w:val="en-US" w:eastAsia="en-GB" w:bidi="ar-SA"/>
              </w:rPr>
            </w:pPr>
            <w:r>
              <w:rPr>
                <w:szCs w:val="22"/>
                <w:lang w:val="en-US" w:eastAsia="en-GB" w:bidi="ar-SA"/>
              </w:rPr>
              <w:t>rps3:ES3-CreateISDPRequest</w:t>
            </w:r>
          </w:p>
        </w:tc>
      </w:tr>
      <w:tr w:rsidR="00B97365" w14:paraId="539C3997" w14:textId="77777777">
        <w:trPr>
          <w:trHeight w:val="435"/>
        </w:trPr>
        <w:tc>
          <w:tcPr>
            <w:tcW w:w="3964" w:type="dxa"/>
            <w:vMerge/>
          </w:tcPr>
          <w:p w14:paraId="1B849995" w14:textId="77777777" w:rsidR="00B97365" w:rsidRDefault="00B97365">
            <w:pPr>
              <w:spacing w:before="0" w:after="200" w:line="276" w:lineRule="auto"/>
              <w:jc w:val="left"/>
              <w:rPr>
                <w:szCs w:val="22"/>
                <w:lang w:eastAsia="en-US"/>
              </w:rPr>
            </w:pPr>
          </w:p>
        </w:tc>
        <w:tc>
          <w:tcPr>
            <w:tcW w:w="5529" w:type="dxa"/>
          </w:tcPr>
          <w:p w14:paraId="4904AE36" w14:textId="77777777" w:rsidR="00B97365" w:rsidRDefault="00000000">
            <w:pPr>
              <w:spacing w:before="0" w:after="200" w:line="276" w:lineRule="auto"/>
              <w:jc w:val="left"/>
              <w:rPr>
                <w:szCs w:val="22"/>
                <w:lang w:val="en-US" w:eastAsia="en-GB" w:bidi="ar-SA"/>
              </w:rPr>
            </w:pPr>
            <w:r>
              <w:rPr>
                <w:szCs w:val="22"/>
                <w:lang w:val="en-US" w:eastAsia="en-GB" w:bidi="ar-SA"/>
              </w:rPr>
              <w:t>rps3:</w:t>
            </w:r>
            <w:r>
              <w:rPr>
                <w:rFonts w:cs="Arial"/>
                <w:szCs w:val="22"/>
                <w:lang w:val="en-US" w:eastAsia="en-GB" w:bidi="ar-SA"/>
              </w:rPr>
              <w:t xml:space="preserve"> ES3-CreateISDPResponse</w:t>
            </w:r>
          </w:p>
        </w:tc>
      </w:tr>
      <w:tr w:rsidR="00B97365" w14:paraId="16A039F5" w14:textId="77777777">
        <w:trPr>
          <w:trHeight w:val="435"/>
        </w:trPr>
        <w:tc>
          <w:tcPr>
            <w:tcW w:w="3964" w:type="dxa"/>
            <w:vMerge w:val="restart"/>
          </w:tcPr>
          <w:p w14:paraId="2B5A25E1" w14:textId="77777777" w:rsidR="00B97365" w:rsidRDefault="00000000">
            <w:pPr>
              <w:spacing w:before="0" w:after="200" w:line="276" w:lineRule="auto"/>
              <w:jc w:val="left"/>
              <w:rPr>
                <w:szCs w:val="22"/>
                <w:lang w:eastAsia="en-US"/>
              </w:rPr>
            </w:pPr>
            <w:r>
              <w:rPr>
                <w:szCs w:val="22"/>
                <w:lang w:eastAsia="en-US"/>
              </w:rPr>
              <w:lastRenderedPageBreak/>
              <w:t>ES3.SendData</w:t>
            </w:r>
          </w:p>
        </w:tc>
        <w:tc>
          <w:tcPr>
            <w:tcW w:w="5529" w:type="dxa"/>
          </w:tcPr>
          <w:p w14:paraId="3C6C0247" w14:textId="77777777" w:rsidR="00B97365" w:rsidRDefault="00000000">
            <w:pPr>
              <w:spacing w:before="0" w:after="200" w:line="276" w:lineRule="auto"/>
              <w:jc w:val="left"/>
              <w:rPr>
                <w:szCs w:val="22"/>
                <w:lang w:val="en-US" w:eastAsia="en-GB" w:bidi="ar-SA"/>
              </w:rPr>
            </w:pPr>
            <w:r>
              <w:rPr>
                <w:szCs w:val="22"/>
                <w:lang w:val="en-US" w:eastAsia="en-GB" w:bidi="ar-SA"/>
              </w:rPr>
              <w:t>rps3:ES3-SendDataRequest</w:t>
            </w:r>
          </w:p>
        </w:tc>
      </w:tr>
      <w:tr w:rsidR="00B97365" w14:paraId="4B88980D" w14:textId="77777777">
        <w:trPr>
          <w:trHeight w:val="435"/>
        </w:trPr>
        <w:tc>
          <w:tcPr>
            <w:tcW w:w="3964" w:type="dxa"/>
            <w:vMerge/>
          </w:tcPr>
          <w:p w14:paraId="1BDC2F84" w14:textId="77777777" w:rsidR="00B97365" w:rsidRDefault="00B97365">
            <w:pPr>
              <w:spacing w:before="0" w:after="200" w:line="276" w:lineRule="auto"/>
              <w:jc w:val="left"/>
              <w:rPr>
                <w:szCs w:val="22"/>
                <w:lang w:eastAsia="en-US"/>
              </w:rPr>
            </w:pPr>
          </w:p>
        </w:tc>
        <w:tc>
          <w:tcPr>
            <w:tcW w:w="5529" w:type="dxa"/>
          </w:tcPr>
          <w:p w14:paraId="6917A7AD" w14:textId="77777777" w:rsidR="00B97365" w:rsidRDefault="00000000">
            <w:pPr>
              <w:spacing w:before="0" w:after="200" w:line="276" w:lineRule="auto"/>
              <w:jc w:val="left"/>
              <w:rPr>
                <w:szCs w:val="22"/>
                <w:lang w:val="en-US" w:eastAsia="en-GB" w:bidi="ar-SA"/>
              </w:rPr>
            </w:pPr>
            <w:r>
              <w:rPr>
                <w:szCs w:val="22"/>
                <w:lang w:val="en-US" w:eastAsia="en-GB" w:bidi="ar-SA"/>
              </w:rPr>
              <w:t>rps3:ES3-SendDataResponse</w:t>
            </w:r>
          </w:p>
        </w:tc>
      </w:tr>
      <w:tr w:rsidR="00B97365" w14:paraId="75595BDA" w14:textId="77777777">
        <w:trPr>
          <w:trHeight w:val="435"/>
        </w:trPr>
        <w:tc>
          <w:tcPr>
            <w:tcW w:w="3964" w:type="dxa"/>
            <w:vMerge w:val="restart"/>
          </w:tcPr>
          <w:p w14:paraId="523DFC65" w14:textId="77777777" w:rsidR="00B97365" w:rsidRDefault="00000000">
            <w:pPr>
              <w:spacing w:before="0" w:after="200" w:line="276" w:lineRule="auto"/>
              <w:jc w:val="left"/>
              <w:rPr>
                <w:szCs w:val="22"/>
                <w:lang w:eastAsia="en-US"/>
              </w:rPr>
            </w:pPr>
            <w:r>
              <w:rPr>
                <w:szCs w:val="22"/>
                <w:lang w:eastAsia="en-US"/>
              </w:rPr>
              <w:t>ES3.ProfileDownloadCompleted</w:t>
            </w:r>
          </w:p>
        </w:tc>
        <w:tc>
          <w:tcPr>
            <w:tcW w:w="5529" w:type="dxa"/>
          </w:tcPr>
          <w:p w14:paraId="2F088815" w14:textId="77777777" w:rsidR="00B97365" w:rsidRDefault="00000000">
            <w:pPr>
              <w:spacing w:before="0" w:after="200" w:line="276" w:lineRule="auto"/>
              <w:jc w:val="left"/>
              <w:rPr>
                <w:szCs w:val="22"/>
                <w:lang w:val="en-US" w:eastAsia="en-GB" w:bidi="ar-SA"/>
              </w:rPr>
            </w:pPr>
            <w:r>
              <w:rPr>
                <w:szCs w:val="22"/>
                <w:lang w:val="en-US" w:eastAsia="en-GB" w:bidi="ar-SA"/>
              </w:rPr>
              <w:t>rps3:ES3-ProfileDownloadCompletedRequest</w:t>
            </w:r>
          </w:p>
        </w:tc>
      </w:tr>
      <w:tr w:rsidR="00B97365" w14:paraId="62785163" w14:textId="77777777">
        <w:trPr>
          <w:trHeight w:val="435"/>
        </w:trPr>
        <w:tc>
          <w:tcPr>
            <w:tcW w:w="3964" w:type="dxa"/>
            <w:vMerge/>
          </w:tcPr>
          <w:p w14:paraId="0025AC51" w14:textId="77777777" w:rsidR="00B97365" w:rsidRDefault="00B97365">
            <w:pPr>
              <w:spacing w:before="0" w:after="200" w:line="276" w:lineRule="auto"/>
              <w:jc w:val="left"/>
              <w:rPr>
                <w:szCs w:val="22"/>
                <w:lang w:eastAsia="en-US"/>
              </w:rPr>
            </w:pPr>
          </w:p>
        </w:tc>
        <w:tc>
          <w:tcPr>
            <w:tcW w:w="5529" w:type="dxa"/>
          </w:tcPr>
          <w:p w14:paraId="4050451D" w14:textId="77777777" w:rsidR="00B97365" w:rsidRDefault="00000000">
            <w:pPr>
              <w:spacing w:before="0" w:after="200" w:line="276" w:lineRule="auto"/>
              <w:jc w:val="left"/>
              <w:rPr>
                <w:szCs w:val="22"/>
                <w:lang w:val="en-US" w:eastAsia="en-GB" w:bidi="ar-SA"/>
              </w:rPr>
            </w:pPr>
            <w:r>
              <w:rPr>
                <w:szCs w:val="22"/>
                <w:lang w:val="en-US" w:eastAsia="en-GB" w:bidi="ar-SA"/>
              </w:rPr>
              <w:t>rps3:ES3-ProfileDownloadCompletedResponse</w:t>
            </w:r>
          </w:p>
        </w:tc>
      </w:tr>
      <w:tr w:rsidR="00B97365" w14:paraId="5CD78D66" w14:textId="77777777">
        <w:trPr>
          <w:trHeight w:val="435"/>
        </w:trPr>
        <w:tc>
          <w:tcPr>
            <w:tcW w:w="3964" w:type="dxa"/>
            <w:vMerge w:val="restart"/>
          </w:tcPr>
          <w:p w14:paraId="3CD721C0" w14:textId="77777777" w:rsidR="00B97365" w:rsidRDefault="00000000">
            <w:pPr>
              <w:spacing w:before="0" w:after="200" w:line="276" w:lineRule="auto"/>
              <w:jc w:val="left"/>
              <w:rPr>
                <w:szCs w:val="22"/>
                <w:lang w:eastAsia="en-US"/>
              </w:rPr>
            </w:pPr>
            <w:r>
              <w:rPr>
                <w:szCs w:val="22"/>
                <w:lang w:eastAsia="en-US" w:bidi="ar-SA"/>
              </w:rPr>
              <w:t>ES3.UpdatePolicyRules</w:t>
            </w:r>
          </w:p>
        </w:tc>
        <w:tc>
          <w:tcPr>
            <w:tcW w:w="5529" w:type="dxa"/>
          </w:tcPr>
          <w:p w14:paraId="243693F9" w14:textId="77777777" w:rsidR="00B97365" w:rsidRDefault="00000000">
            <w:pPr>
              <w:spacing w:before="0" w:after="200" w:line="276" w:lineRule="auto"/>
              <w:jc w:val="left"/>
              <w:rPr>
                <w:szCs w:val="22"/>
                <w:lang w:val="en-US" w:eastAsia="en-GB" w:bidi="ar-SA"/>
              </w:rPr>
            </w:pPr>
            <w:r>
              <w:rPr>
                <w:szCs w:val="22"/>
                <w:lang w:val="en-US" w:eastAsia="en-GB" w:bidi="ar-SA"/>
              </w:rPr>
              <w:t>rps3:ES3-UpdatePolicyRulesRequest</w:t>
            </w:r>
          </w:p>
        </w:tc>
      </w:tr>
      <w:tr w:rsidR="00B97365" w14:paraId="360A278B" w14:textId="77777777">
        <w:trPr>
          <w:trHeight w:val="435"/>
        </w:trPr>
        <w:tc>
          <w:tcPr>
            <w:tcW w:w="3964" w:type="dxa"/>
            <w:vMerge/>
          </w:tcPr>
          <w:p w14:paraId="54586901" w14:textId="77777777" w:rsidR="00B97365" w:rsidRDefault="00B97365">
            <w:pPr>
              <w:spacing w:before="0" w:after="200" w:line="276" w:lineRule="auto"/>
              <w:jc w:val="left"/>
              <w:rPr>
                <w:szCs w:val="22"/>
                <w:lang w:eastAsia="en-US"/>
              </w:rPr>
            </w:pPr>
          </w:p>
        </w:tc>
        <w:tc>
          <w:tcPr>
            <w:tcW w:w="5529" w:type="dxa"/>
          </w:tcPr>
          <w:p w14:paraId="5EC13B3B" w14:textId="77777777" w:rsidR="00B97365" w:rsidRDefault="00000000">
            <w:pPr>
              <w:spacing w:before="0" w:after="200" w:line="276" w:lineRule="auto"/>
              <w:jc w:val="left"/>
              <w:rPr>
                <w:szCs w:val="22"/>
                <w:lang w:val="en-US" w:eastAsia="en-GB" w:bidi="ar-SA"/>
              </w:rPr>
            </w:pPr>
            <w:r>
              <w:rPr>
                <w:szCs w:val="22"/>
                <w:lang w:val="en-US" w:eastAsia="en-GB" w:bidi="ar-SA"/>
              </w:rPr>
              <w:t>rps3:</w:t>
            </w:r>
            <w:r>
              <w:rPr>
                <w:szCs w:val="22"/>
                <w:lang w:eastAsia="en-GB" w:bidi="ar-SA"/>
              </w:rPr>
              <w:t xml:space="preserve"> </w:t>
            </w:r>
            <w:r>
              <w:rPr>
                <w:szCs w:val="22"/>
                <w:lang w:val="en-US" w:eastAsia="en-GB" w:bidi="ar-SA"/>
              </w:rPr>
              <w:t>ES3-UpdatePolicyRulesResponse</w:t>
            </w:r>
          </w:p>
        </w:tc>
      </w:tr>
      <w:tr w:rsidR="00B97365" w14:paraId="6F32F0A2" w14:textId="77777777">
        <w:trPr>
          <w:trHeight w:val="435"/>
        </w:trPr>
        <w:tc>
          <w:tcPr>
            <w:tcW w:w="3964" w:type="dxa"/>
            <w:vMerge w:val="restart"/>
          </w:tcPr>
          <w:p w14:paraId="3E9BC28F" w14:textId="77777777" w:rsidR="00B97365" w:rsidRDefault="00000000">
            <w:pPr>
              <w:spacing w:before="0" w:after="200" w:line="276" w:lineRule="auto"/>
              <w:jc w:val="left"/>
              <w:rPr>
                <w:szCs w:val="22"/>
                <w:lang w:eastAsia="en-US"/>
              </w:rPr>
            </w:pPr>
            <w:r>
              <w:rPr>
                <w:szCs w:val="22"/>
                <w:lang w:eastAsia="en-US"/>
              </w:rPr>
              <w:t>ES3.UpdateSubscriptionAddress</w:t>
            </w:r>
          </w:p>
        </w:tc>
        <w:tc>
          <w:tcPr>
            <w:tcW w:w="5529" w:type="dxa"/>
          </w:tcPr>
          <w:p w14:paraId="7883B13A" w14:textId="77777777" w:rsidR="00B97365" w:rsidRDefault="00000000">
            <w:pPr>
              <w:spacing w:before="0" w:after="200" w:line="276" w:lineRule="auto"/>
              <w:jc w:val="left"/>
              <w:rPr>
                <w:szCs w:val="22"/>
                <w:lang w:val="en-US" w:eastAsia="en-GB" w:bidi="ar-SA"/>
              </w:rPr>
            </w:pPr>
            <w:r>
              <w:rPr>
                <w:szCs w:val="22"/>
                <w:lang w:val="en-US" w:eastAsia="en-GB" w:bidi="ar-SA"/>
              </w:rPr>
              <w:t>rps3:ES3-UpdateSubscriptionAddressRequest</w:t>
            </w:r>
          </w:p>
        </w:tc>
      </w:tr>
      <w:tr w:rsidR="00B97365" w14:paraId="4A8D27D3" w14:textId="77777777">
        <w:trPr>
          <w:trHeight w:val="435"/>
        </w:trPr>
        <w:tc>
          <w:tcPr>
            <w:tcW w:w="3964" w:type="dxa"/>
            <w:vMerge/>
          </w:tcPr>
          <w:p w14:paraId="10466CB8" w14:textId="77777777" w:rsidR="00B97365" w:rsidRDefault="00B97365">
            <w:pPr>
              <w:spacing w:before="0" w:after="200" w:line="276" w:lineRule="auto"/>
              <w:jc w:val="left"/>
              <w:rPr>
                <w:szCs w:val="22"/>
                <w:lang w:eastAsia="en-US"/>
              </w:rPr>
            </w:pPr>
          </w:p>
        </w:tc>
        <w:tc>
          <w:tcPr>
            <w:tcW w:w="5529" w:type="dxa"/>
          </w:tcPr>
          <w:p w14:paraId="78C577AD" w14:textId="77777777" w:rsidR="00B97365" w:rsidRDefault="00000000">
            <w:pPr>
              <w:spacing w:before="0" w:after="200" w:line="276" w:lineRule="auto"/>
              <w:jc w:val="left"/>
              <w:rPr>
                <w:szCs w:val="22"/>
                <w:lang w:val="en-US" w:eastAsia="en-GB" w:bidi="ar-SA"/>
              </w:rPr>
            </w:pPr>
            <w:r>
              <w:rPr>
                <w:szCs w:val="22"/>
                <w:lang w:val="en-US" w:eastAsia="en-GB" w:bidi="ar-SA"/>
              </w:rPr>
              <w:t>rps3:ES3-UpdateSubscriptionAddressResponse</w:t>
            </w:r>
          </w:p>
        </w:tc>
      </w:tr>
      <w:tr w:rsidR="00B97365" w14:paraId="270B3B3F" w14:textId="77777777">
        <w:trPr>
          <w:trHeight w:val="435"/>
        </w:trPr>
        <w:tc>
          <w:tcPr>
            <w:tcW w:w="3964" w:type="dxa"/>
            <w:vMerge w:val="restart"/>
          </w:tcPr>
          <w:p w14:paraId="243DACC9" w14:textId="77777777" w:rsidR="00B97365" w:rsidRDefault="00000000">
            <w:pPr>
              <w:spacing w:before="0" w:after="200" w:line="276" w:lineRule="auto"/>
              <w:jc w:val="left"/>
              <w:rPr>
                <w:szCs w:val="22"/>
                <w:lang w:eastAsia="en-US"/>
              </w:rPr>
            </w:pPr>
            <w:r>
              <w:rPr>
                <w:szCs w:val="22"/>
                <w:lang w:eastAsia="en-US"/>
              </w:rPr>
              <w:t>ES3.EnableProfile</w:t>
            </w:r>
          </w:p>
        </w:tc>
        <w:tc>
          <w:tcPr>
            <w:tcW w:w="5529" w:type="dxa"/>
          </w:tcPr>
          <w:p w14:paraId="6D1A5A68" w14:textId="77777777" w:rsidR="00B97365" w:rsidRDefault="00000000">
            <w:pPr>
              <w:spacing w:before="0" w:after="200" w:line="276" w:lineRule="auto"/>
              <w:jc w:val="left"/>
              <w:rPr>
                <w:szCs w:val="22"/>
                <w:lang w:val="en-US" w:eastAsia="en-GB" w:bidi="ar-SA"/>
              </w:rPr>
            </w:pPr>
            <w:r>
              <w:rPr>
                <w:szCs w:val="22"/>
                <w:lang w:val="en-US" w:eastAsia="en-GB" w:bidi="ar-SA"/>
              </w:rPr>
              <w:t>rps3:ES3-EnableProfileRequest</w:t>
            </w:r>
          </w:p>
        </w:tc>
      </w:tr>
      <w:tr w:rsidR="00B97365" w14:paraId="4BEFAAF1" w14:textId="77777777">
        <w:trPr>
          <w:trHeight w:val="435"/>
        </w:trPr>
        <w:tc>
          <w:tcPr>
            <w:tcW w:w="3964" w:type="dxa"/>
            <w:vMerge/>
          </w:tcPr>
          <w:p w14:paraId="74ECB647" w14:textId="77777777" w:rsidR="00B97365" w:rsidRDefault="00B97365">
            <w:pPr>
              <w:spacing w:before="0" w:after="200" w:line="276" w:lineRule="auto"/>
              <w:jc w:val="left"/>
              <w:rPr>
                <w:szCs w:val="22"/>
                <w:lang w:eastAsia="en-US"/>
              </w:rPr>
            </w:pPr>
          </w:p>
        </w:tc>
        <w:tc>
          <w:tcPr>
            <w:tcW w:w="5529" w:type="dxa"/>
          </w:tcPr>
          <w:p w14:paraId="3819AC31" w14:textId="77777777" w:rsidR="00B97365" w:rsidRDefault="00000000">
            <w:pPr>
              <w:spacing w:before="0" w:after="200" w:line="276" w:lineRule="auto"/>
              <w:jc w:val="left"/>
              <w:rPr>
                <w:szCs w:val="22"/>
                <w:lang w:val="en-US" w:eastAsia="en-GB" w:bidi="ar-SA"/>
              </w:rPr>
            </w:pPr>
            <w:r>
              <w:rPr>
                <w:szCs w:val="22"/>
                <w:lang w:val="en-US" w:eastAsia="en-GB" w:bidi="ar-SA"/>
              </w:rPr>
              <w:t>rps3:ES3-EnableProfileResponse</w:t>
            </w:r>
          </w:p>
        </w:tc>
      </w:tr>
      <w:tr w:rsidR="00B97365" w14:paraId="68F47880" w14:textId="77777777">
        <w:trPr>
          <w:trHeight w:val="435"/>
        </w:trPr>
        <w:tc>
          <w:tcPr>
            <w:tcW w:w="3964" w:type="dxa"/>
            <w:vMerge w:val="restart"/>
          </w:tcPr>
          <w:p w14:paraId="447DC2E8" w14:textId="77777777" w:rsidR="00B97365" w:rsidRDefault="00000000">
            <w:pPr>
              <w:spacing w:before="0" w:after="200" w:line="276" w:lineRule="auto"/>
              <w:jc w:val="left"/>
              <w:rPr>
                <w:szCs w:val="22"/>
                <w:lang w:eastAsia="en-US"/>
              </w:rPr>
            </w:pPr>
            <w:r>
              <w:rPr>
                <w:szCs w:val="22"/>
                <w:lang w:eastAsia="en-US"/>
              </w:rPr>
              <w:t>ES3.DisableProfile</w:t>
            </w:r>
          </w:p>
        </w:tc>
        <w:tc>
          <w:tcPr>
            <w:tcW w:w="5529" w:type="dxa"/>
          </w:tcPr>
          <w:p w14:paraId="27AB1294" w14:textId="77777777" w:rsidR="00B97365" w:rsidRDefault="00000000">
            <w:pPr>
              <w:spacing w:before="0" w:after="200" w:line="276" w:lineRule="auto"/>
              <w:jc w:val="left"/>
              <w:rPr>
                <w:szCs w:val="22"/>
                <w:lang w:val="en-US" w:eastAsia="en-GB" w:bidi="ar-SA"/>
              </w:rPr>
            </w:pPr>
            <w:r>
              <w:rPr>
                <w:szCs w:val="22"/>
                <w:lang w:val="en-US" w:eastAsia="en-GB" w:bidi="ar-SA"/>
              </w:rPr>
              <w:t>rps3:ES3-DisableProfileRequest</w:t>
            </w:r>
          </w:p>
        </w:tc>
      </w:tr>
      <w:tr w:rsidR="00B97365" w14:paraId="6A9937B3" w14:textId="77777777">
        <w:trPr>
          <w:trHeight w:val="435"/>
        </w:trPr>
        <w:tc>
          <w:tcPr>
            <w:tcW w:w="3964" w:type="dxa"/>
            <w:vMerge/>
          </w:tcPr>
          <w:p w14:paraId="05BFC44F" w14:textId="77777777" w:rsidR="00B97365" w:rsidRDefault="00B97365">
            <w:pPr>
              <w:spacing w:before="0" w:after="200" w:line="276" w:lineRule="auto"/>
              <w:jc w:val="left"/>
              <w:rPr>
                <w:szCs w:val="22"/>
                <w:lang w:eastAsia="en-US"/>
              </w:rPr>
            </w:pPr>
          </w:p>
        </w:tc>
        <w:tc>
          <w:tcPr>
            <w:tcW w:w="5529" w:type="dxa"/>
          </w:tcPr>
          <w:p w14:paraId="28DABD34" w14:textId="77777777" w:rsidR="00B97365" w:rsidRDefault="00000000">
            <w:pPr>
              <w:spacing w:before="0" w:after="200" w:line="276" w:lineRule="auto"/>
              <w:jc w:val="left"/>
              <w:rPr>
                <w:szCs w:val="22"/>
                <w:lang w:val="en-US" w:eastAsia="en-GB" w:bidi="ar-SA"/>
              </w:rPr>
            </w:pPr>
            <w:r>
              <w:rPr>
                <w:szCs w:val="22"/>
                <w:lang w:val="en-US" w:eastAsia="en-GB" w:bidi="ar-SA"/>
              </w:rPr>
              <w:t>rps3:ES3-DisableProfileResponse</w:t>
            </w:r>
          </w:p>
        </w:tc>
      </w:tr>
      <w:tr w:rsidR="00B97365" w14:paraId="3B62BCA4" w14:textId="77777777">
        <w:trPr>
          <w:trHeight w:val="435"/>
        </w:trPr>
        <w:tc>
          <w:tcPr>
            <w:tcW w:w="3964" w:type="dxa"/>
            <w:vMerge w:val="restart"/>
          </w:tcPr>
          <w:p w14:paraId="12FAB6A1" w14:textId="77777777" w:rsidR="00B97365" w:rsidRDefault="00000000">
            <w:pPr>
              <w:spacing w:before="0" w:after="200" w:line="276" w:lineRule="auto"/>
              <w:jc w:val="left"/>
              <w:rPr>
                <w:szCs w:val="22"/>
                <w:lang w:eastAsia="en-US"/>
              </w:rPr>
            </w:pPr>
            <w:r>
              <w:rPr>
                <w:szCs w:val="22"/>
                <w:lang w:eastAsia="en-US"/>
              </w:rPr>
              <w:t>ES3.DeleteISDP</w:t>
            </w:r>
          </w:p>
        </w:tc>
        <w:tc>
          <w:tcPr>
            <w:tcW w:w="5529" w:type="dxa"/>
          </w:tcPr>
          <w:p w14:paraId="373D07D8" w14:textId="77777777" w:rsidR="00B97365" w:rsidRDefault="00000000">
            <w:pPr>
              <w:spacing w:before="0" w:after="200" w:line="276" w:lineRule="auto"/>
              <w:jc w:val="left"/>
              <w:rPr>
                <w:szCs w:val="22"/>
                <w:lang w:val="en-US" w:eastAsia="en-GB" w:bidi="ar-SA"/>
              </w:rPr>
            </w:pPr>
            <w:r>
              <w:rPr>
                <w:szCs w:val="22"/>
                <w:lang w:val="en-US" w:eastAsia="en-GB" w:bidi="ar-SA"/>
              </w:rPr>
              <w:t>rps3:ES3-DeleteISDPRequest</w:t>
            </w:r>
          </w:p>
        </w:tc>
      </w:tr>
      <w:tr w:rsidR="00B97365" w14:paraId="3045E219" w14:textId="77777777">
        <w:trPr>
          <w:trHeight w:val="435"/>
        </w:trPr>
        <w:tc>
          <w:tcPr>
            <w:tcW w:w="3964" w:type="dxa"/>
            <w:vMerge/>
          </w:tcPr>
          <w:p w14:paraId="55EBAAE1" w14:textId="77777777" w:rsidR="00B97365" w:rsidRDefault="00B97365">
            <w:pPr>
              <w:spacing w:before="0" w:after="200" w:line="276" w:lineRule="auto"/>
              <w:jc w:val="left"/>
              <w:rPr>
                <w:szCs w:val="22"/>
                <w:lang w:eastAsia="en-US"/>
              </w:rPr>
            </w:pPr>
          </w:p>
        </w:tc>
        <w:tc>
          <w:tcPr>
            <w:tcW w:w="5529" w:type="dxa"/>
          </w:tcPr>
          <w:p w14:paraId="4D0768A2" w14:textId="77777777" w:rsidR="00B97365" w:rsidRDefault="00000000">
            <w:pPr>
              <w:spacing w:before="0" w:after="200" w:line="276" w:lineRule="auto"/>
              <w:jc w:val="left"/>
              <w:rPr>
                <w:szCs w:val="22"/>
                <w:lang w:val="en-US" w:eastAsia="en-GB" w:bidi="ar-SA"/>
              </w:rPr>
            </w:pPr>
            <w:r>
              <w:rPr>
                <w:szCs w:val="22"/>
                <w:lang w:val="en-US" w:eastAsia="en-GB" w:bidi="ar-SA"/>
              </w:rPr>
              <w:t>rps3:ES3-DeleteISDPResponse</w:t>
            </w:r>
          </w:p>
        </w:tc>
      </w:tr>
      <w:tr w:rsidR="00B97365" w14:paraId="58FC7D36" w14:textId="77777777">
        <w:trPr>
          <w:trHeight w:val="435"/>
        </w:trPr>
        <w:tc>
          <w:tcPr>
            <w:tcW w:w="3964" w:type="dxa"/>
            <w:vMerge w:val="restart"/>
          </w:tcPr>
          <w:p w14:paraId="03FFAB5B" w14:textId="77777777" w:rsidR="00B97365" w:rsidRDefault="00000000">
            <w:pPr>
              <w:spacing w:before="0" w:after="200" w:line="276" w:lineRule="auto"/>
              <w:jc w:val="left"/>
              <w:rPr>
                <w:szCs w:val="22"/>
                <w:lang w:eastAsia="en-US"/>
              </w:rPr>
            </w:pPr>
            <w:r>
              <w:rPr>
                <w:szCs w:val="22"/>
                <w:lang w:eastAsia="en-US"/>
              </w:rPr>
              <w:t>ES3.UpdateConnectivityParameters</w:t>
            </w:r>
          </w:p>
        </w:tc>
        <w:tc>
          <w:tcPr>
            <w:tcW w:w="5529" w:type="dxa"/>
          </w:tcPr>
          <w:p w14:paraId="025D8679" w14:textId="77777777" w:rsidR="00B97365" w:rsidRDefault="00000000">
            <w:pPr>
              <w:spacing w:before="0" w:after="200" w:line="276" w:lineRule="auto"/>
              <w:jc w:val="left"/>
              <w:rPr>
                <w:szCs w:val="22"/>
                <w:lang w:val="en-US" w:eastAsia="en-GB" w:bidi="ar-SA"/>
              </w:rPr>
            </w:pPr>
            <w:r>
              <w:rPr>
                <w:szCs w:val="22"/>
                <w:lang w:val="en-US" w:eastAsia="en-GB" w:bidi="ar-SA"/>
              </w:rPr>
              <w:t>rps3:ES3-</w:t>
            </w:r>
            <w:r>
              <w:rPr>
                <w:szCs w:val="22"/>
                <w:lang w:eastAsia="en-GB" w:bidi="ar-SA"/>
              </w:rPr>
              <w:t xml:space="preserve"> </w:t>
            </w:r>
            <w:r>
              <w:rPr>
                <w:szCs w:val="22"/>
                <w:lang w:val="en-US" w:eastAsia="en-GB" w:bidi="ar-SA"/>
              </w:rPr>
              <w:t>UpdateConnectivityParametersRequest</w:t>
            </w:r>
          </w:p>
        </w:tc>
      </w:tr>
      <w:tr w:rsidR="00B97365" w14:paraId="53FBFC3C" w14:textId="77777777">
        <w:trPr>
          <w:trHeight w:val="435"/>
        </w:trPr>
        <w:tc>
          <w:tcPr>
            <w:tcW w:w="3964" w:type="dxa"/>
            <w:vMerge/>
          </w:tcPr>
          <w:p w14:paraId="695C75BB" w14:textId="77777777" w:rsidR="00B97365" w:rsidRDefault="00B97365">
            <w:pPr>
              <w:spacing w:before="0" w:after="200" w:line="276" w:lineRule="auto"/>
              <w:jc w:val="left"/>
              <w:rPr>
                <w:szCs w:val="22"/>
                <w:lang w:eastAsia="en-US"/>
              </w:rPr>
            </w:pPr>
          </w:p>
        </w:tc>
        <w:tc>
          <w:tcPr>
            <w:tcW w:w="5529" w:type="dxa"/>
          </w:tcPr>
          <w:p w14:paraId="1B1D741B" w14:textId="77777777" w:rsidR="00B97365" w:rsidRDefault="00000000">
            <w:pPr>
              <w:spacing w:before="0" w:after="200" w:line="276" w:lineRule="auto"/>
              <w:jc w:val="left"/>
              <w:rPr>
                <w:szCs w:val="22"/>
                <w:lang w:val="en-US" w:eastAsia="en-GB" w:bidi="ar-SA"/>
              </w:rPr>
            </w:pPr>
            <w:r>
              <w:rPr>
                <w:szCs w:val="22"/>
                <w:lang w:val="en-US" w:eastAsia="en-GB" w:bidi="ar-SA"/>
              </w:rPr>
              <w:t>rps3:ES3-</w:t>
            </w:r>
            <w:r>
              <w:rPr>
                <w:szCs w:val="22"/>
                <w:lang w:eastAsia="en-GB" w:bidi="ar-SA"/>
              </w:rPr>
              <w:t xml:space="preserve"> </w:t>
            </w:r>
            <w:r>
              <w:rPr>
                <w:szCs w:val="22"/>
                <w:lang w:val="en-US" w:eastAsia="en-GB" w:bidi="ar-SA"/>
              </w:rPr>
              <w:t>UpdateConnectivityParametersResponse</w:t>
            </w:r>
          </w:p>
        </w:tc>
      </w:tr>
      <w:tr w:rsidR="00B97365" w14:paraId="4F19078C" w14:textId="77777777">
        <w:trPr>
          <w:trHeight w:val="435"/>
        </w:trPr>
        <w:tc>
          <w:tcPr>
            <w:tcW w:w="3964" w:type="dxa"/>
          </w:tcPr>
          <w:p w14:paraId="05086E21" w14:textId="77777777" w:rsidR="00B97365" w:rsidRDefault="00000000">
            <w:pPr>
              <w:spacing w:before="0" w:after="200" w:line="276" w:lineRule="auto"/>
              <w:jc w:val="left"/>
              <w:rPr>
                <w:szCs w:val="22"/>
                <w:lang w:eastAsia="en-US"/>
              </w:rPr>
            </w:pPr>
            <w:r>
              <w:rPr>
                <w:szCs w:val="22"/>
                <w:lang w:eastAsia="en-US"/>
              </w:rPr>
              <w:t>ES3.HandleProfileDisabledNotification</w:t>
            </w:r>
          </w:p>
        </w:tc>
        <w:tc>
          <w:tcPr>
            <w:tcW w:w="5529" w:type="dxa"/>
          </w:tcPr>
          <w:p w14:paraId="2F75A3C8" w14:textId="77777777" w:rsidR="00B97365" w:rsidRDefault="00000000">
            <w:pPr>
              <w:spacing w:before="0" w:after="200" w:line="276" w:lineRule="auto"/>
              <w:jc w:val="left"/>
              <w:rPr>
                <w:szCs w:val="22"/>
                <w:lang w:val="en-US" w:eastAsia="en-GB" w:bidi="ar-SA"/>
              </w:rPr>
            </w:pPr>
            <w:r>
              <w:rPr>
                <w:szCs w:val="22"/>
                <w:lang w:val="en-US" w:eastAsia="en-GB" w:bidi="ar-SA"/>
              </w:rPr>
              <w:t>rps3:ES3-HandleProfileDisabledNotification</w:t>
            </w:r>
          </w:p>
        </w:tc>
      </w:tr>
      <w:tr w:rsidR="00B97365" w14:paraId="63027DCF" w14:textId="77777777">
        <w:trPr>
          <w:trHeight w:val="435"/>
        </w:trPr>
        <w:tc>
          <w:tcPr>
            <w:tcW w:w="3964" w:type="dxa"/>
          </w:tcPr>
          <w:p w14:paraId="0E43622D" w14:textId="77777777" w:rsidR="00B97365" w:rsidRDefault="00000000">
            <w:pPr>
              <w:spacing w:before="0" w:after="200" w:line="276" w:lineRule="auto"/>
              <w:jc w:val="left"/>
              <w:rPr>
                <w:szCs w:val="22"/>
                <w:lang w:eastAsia="en-US"/>
              </w:rPr>
            </w:pPr>
            <w:r>
              <w:rPr>
                <w:szCs w:val="22"/>
                <w:lang w:eastAsia="en-US"/>
              </w:rPr>
              <w:t>ES3.HandleProfileEnabledNotification</w:t>
            </w:r>
          </w:p>
        </w:tc>
        <w:tc>
          <w:tcPr>
            <w:tcW w:w="5529" w:type="dxa"/>
          </w:tcPr>
          <w:p w14:paraId="4A1A036E" w14:textId="77777777" w:rsidR="00B97365" w:rsidRDefault="00000000">
            <w:pPr>
              <w:spacing w:before="0" w:after="200" w:line="276" w:lineRule="auto"/>
              <w:jc w:val="left"/>
              <w:rPr>
                <w:szCs w:val="22"/>
                <w:lang w:val="en-US" w:eastAsia="en-GB" w:bidi="ar-SA"/>
              </w:rPr>
            </w:pPr>
            <w:r>
              <w:rPr>
                <w:szCs w:val="22"/>
                <w:lang w:val="en-US" w:eastAsia="en-GB" w:bidi="ar-SA"/>
              </w:rPr>
              <w:t>rps3:</w:t>
            </w:r>
            <w:r>
              <w:rPr>
                <w:szCs w:val="22"/>
                <w:lang w:eastAsia="en-GB" w:bidi="ar-SA"/>
              </w:rPr>
              <w:t>ES3-</w:t>
            </w:r>
            <w:r>
              <w:rPr>
                <w:szCs w:val="22"/>
                <w:lang w:val="en-US" w:eastAsia="en-GB" w:bidi="ar-SA"/>
              </w:rPr>
              <w:t>HandleProfileEnabledNotification</w:t>
            </w:r>
          </w:p>
        </w:tc>
      </w:tr>
      <w:tr w:rsidR="00B97365" w14:paraId="5FDBA1A1" w14:textId="77777777">
        <w:trPr>
          <w:trHeight w:val="435"/>
        </w:trPr>
        <w:tc>
          <w:tcPr>
            <w:tcW w:w="3964" w:type="dxa"/>
          </w:tcPr>
          <w:p w14:paraId="71A148C9" w14:textId="77777777" w:rsidR="00B97365" w:rsidRDefault="00000000">
            <w:pPr>
              <w:spacing w:before="0" w:after="200" w:line="276" w:lineRule="auto"/>
              <w:jc w:val="left"/>
              <w:rPr>
                <w:szCs w:val="22"/>
                <w:lang w:eastAsia="en-US"/>
              </w:rPr>
            </w:pPr>
            <w:r>
              <w:rPr>
                <w:szCs w:val="22"/>
                <w:lang w:eastAsia="en-US"/>
              </w:rPr>
              <w:t>ES3.HandleSMSRChangeNotification</w:t>
            </w:r>
          </w:p>
        </w:tc>
        <w:tc>
          <w:tcPr>
            <w:tcW w:w="5529" w:type="dxa"/>
          </w:tcPr>
          <w:p w14:paraId="53723803" w14:textId="77777777" w:rsidR="00B97365" w:rsidRDefault="00000000">
            <w:pPr>
              <w:spacing w:before="0" w:after="200" w:line="276" w:lineRule="auto"/>
              <w:jc w:val="left"/>
              <w:rPr>
                <w:szCs w:val="22"/>
                <w:lang w:val="en-US" w:eastAsia="en-GB" w:bidi="ar-SA"/>
              </w:rPr>
            </w:pPr>
            <w:r>
              <w:rPr>
                <w:szCs w:val="22"/>
                <w:lang w:val="en-US" w:eastAsia="en-GB" w:bidi="ar-SA"/>
              </w:rPr>
              <w:t>rps3:</w:t>
            </w:r>
            <w:r>
              <w:rPr>
                <w:szCs w:val="22"/>
                <w:lang w:eastAsia="en-GB" w:bidi="ar-SA"/>
              </w:rPr>
              <w:t xml:space="preserve"> </w:t>
            </w:r>
            <w:r>
              <w:rPr>
                <w:szCs w:val="22"/>
                <w:lang w:val="en-US" w:eastAsia="en-GB" w:bidi="ar-SA"/>
              </w:rPr>
              <w:t>ES3-HandleSMSRChangeNotification</w:t>
            </w:r>
          </w:p>
        </w:tc>
      </w:tr>
      <w:tr w:rsidR="00B97365" w14:paraId="555D9B53" w14:textId="77777777">
        <w:trPr>
          <w:trHeight w:val="435"/>
        </w:trPr>
        <w:tc>
          <w:tcPr>
            <w:tcW w:w="3964" w:type="dxa"/>
          </w:tcPr>
          <w:p w14:paraId="07D495D4" w14:textId="77777777" w:rsidR="00B97365" w:rsidRDefault="00000000">
            <w:pPr>
              <w:spacing w:before="0" w:after="200" w:line="276" w:lineRule="auto"/>
              <w:jc w:val="left"/>
              <w:rPr>
                <w:szCs w:val="22"/>
                <w:lang w:eastAsia="en-US"/>
              </w:rPr>
            </w:pPr>
            <w:r>
              <w:rPr>
                <w:szCs w:val="22"/>
                <w:lang w:eastAsia="en-US" w:bidi="ar-SA"/>
              </w:rPr>
              <w:t>ES3.HandleProfileDeletedNotification</w:t>
            </w:r>
          </w:p>
        </w:tc>
        <w:tc>
          <w:tcPr>
            <w:tcW w:w="5529" w:type="dxa"/>
          </w:tcPr>
          <w:p w14:paraId="01848E8E" w14:textId="77777777" w:rsidR="00B97365" w:rsidRDefault="00000000">
            <w:pPr>
              <w:spacing w:before="0" w:after="200" w:line="276" w:lineRule="auto"/>
              <w:jc w:val="left"/>
              <w:rPr>
                <w:szCs w:val="22"/>
                <w:lang w:val="en-US" w:eastAsia="en-GB" w:bidi="ar-SA"/>
              </w:rPr>
            </w:pPr>
            <w:r>
              <w:rPr>
                <w:szCs w:val="22"/>
                <w:lang w:val="en-US" w:eastAsia="en-GB" w:bidi="ar-SA"/>
              </w:rPr>
              <w:t>rps3:</w:t>
            </w:r>
            <w:r>
              <w:rPr>
                <w:szCs w:val="22"/>
                <w:lang w:eastAsia="en-GB" w:bidi="ar-SA"/>
              </w:rPr>
              <w:t xml:space="preserve"> </w:t>
            </w:r>
            <w:r>
              <w:rPr>
                <w:szCs w:val="22"/>
                <w:lang w:val="en-US" w:eastAsia="en-GB" w:bidi="ar-SA"/>
              </w:rPr>
              <w:t>ES3-HandleProfileDeletedNotification</w:t>
            </w:r>
          </w:p>
        </w:tc>
      </w:tr>
      <w:tr w:rsidR="00B97365" w14:paraId="301448E9" w14:textId="77777777">
        <w:trPr>
          <w:trHeight w:val="435"/>
        </w:trPr>
        <w:tc>
          <w:tcPr>
            <w:tcW w:w="3964" w:type="dxa"/>
            <w:vMerge w:val="restart"/>
          </w:tcPr>
          <w:p w14:paraId="031CB2C6" w14:textId="77777777" w:rsidR="00B97365" w:rsidRDefault="00000000">
            <w:pPr>
              <w:spacing w:before="0" w:after="200" w:line="276" w:lineRule="auto"/>
              <w:jc w:val="left"/>
              <w:rPr>
                <w:szCs w:val="22"/>
                <w:lang w:eastAsia="en-US" w:bidi="ar-SA"/>
              </w:rPr>
            </w:pPr>
            <w:r>
              <w:rPr>
                <w:szCs w:val="22"/>
                <w:lang w:eastAsia="en-US"/>
              </w:rPr>
              <w:t>ES3.GetONC</w:t>
            </w:r>
          </w:p>
        </w:tc>
        <w:tc>
          <w:tcPr>
            <w:tcW w:w="5529" w:type="dxa"/>
          </w:tcPr>
          <w:p w14:paraId="7F02F8EB" w14:textId="77777777" w:rsidR="00B97365" w:rsidRDefault="00000000">
            <w:pPr>
              <w:spacing w:before="0" w:after="200" w:line="276" w:lineRule="auto"/>
              <w:jc w:val="left"/>
              <w:rPr>
                <w:szCs w:val="22"/>
                <w:lang w:val="en-US" w:eastAsia="en-GB" w:bidi="ar-SA"/>
              </w:rPr>
            </w:pPr>
            <w:r>
              <w:rPr>
                <w:szCs w:val="22"/>
                <w:lang w:val="en-US" w:eastAsia="en-GB" w:bidi="ar-SA"/>
              </w:rPr>
              <w:t>rps4:ES3-GetONCRequest</w:t>
            </w:r>
          </w:p>
        </w:tc>
      </w:tr>
      <w:tr w:rsidR="00B97365" w14:paraId="261625C0" w14:textId="77777777">
        <w:trPr>
          <w:trHeight w:val="435"/>
        </w:trPr>
        <w:tc>
          <w:tcPr>
            <w:tcW w:w="3964" w:type="dxa"/>
            <w:vMerge/>
          </w:tcPr>
          <w:p w14:paraId="153DCEAA" w14:textId="77777777" w:rsidR="00B97365" w:rsidRDefault="00B97365">
            <w:pPr>
              <w:spacing w:before="0" w:after="200" w:line="276" w:lineRule="auto"/>
              <w:jc w:val="left"/>
              <w:rPr>
                <w:szCs w:val="22"/>
                <w:lang w:eastAsia="en-US" w:bidi="ar-SA"/>
              </w:rPr>
            </w:pPr>
          </w:p>
        </w:tc>
        <w:tc>
          <w:tcPr>
            <w:tcW w:w="5529" w:type="dxa"/>
          </w:tcPr>
          <w:p w14:paraId="7F2E1630" w14:textId="77777777" w:rsidR="00B97365" w:rsidRDefault="00000000">
            <w:pPr>
              <w:spacing w:before="0" w:after="200" w:line="276" w:lineRule="auto"/>
              <w:jc w:val="left"/>
              <w:rPr>
                <w:szCs w:val="22"/>
                <w:lang w:val="en-US" w:eastAsia="en-GB" w:bidi="ar-SA"/>
              </w:rPr>
            </w:pPr>
            <w:r>
              <w:rPr>
                <w:szCs w:val="22"/>
                <w:lang w:val="en-US" w:eastAsia="en-GB" w:bidi="ar-SA"/>
              </w:rPr>
              <w:t>rps4:ES3-GetONCResponse</w:t>
            </w:r>
          </w:p>
        </w:tc>
      </w:tr>
      <w:tr w:rsidR="00B97365" w14:paraId="18ED58EE" w14:textId="77777777">
        <w:trPr>
          <w:trHeight w:val="435"/>
        </w:trPr>
        <w:tc>
          <w:tcPr>
            <w:tcW w:w="3964" w:type="dxa"/>
            <w:vMerge w:val="restart"/>
          </w:tcPr>
          <w:p w14:paraId="3AB30966" w14:textId="77777777" w:rsidR="00B97365" w:rsidRDefault="00000000">
            <w:pPr>
              <w:spacing w:before="0" w:after="200" w:line="276" w:lineRule="auto"/>
              <w:jc w:val="left"/>
              <w:rPr>
                <w:szCs w:val="22"/>
                <w:lang w:eastAsia="en-US" w:bidi="ar-SA"/>
              </w:rPr>
            </w:pPr>
            <w:r>
              <w:rPr>
                <w:szCs w:val="22"/>
                <w:lang w:eastAsia="en-US"/>
              </w:rPr>
              <w:t>ES3.SetONC</w:t>
            </w:r>
          </w:p>
        </w:tc>
        <w:tc>
          <w:tcPr>
            <w:tcW w:w="5529" w:type="dxa"/>
          </w:tcPr>
          <w:p w14:paraId="017C4EF2" w14:textId="77777777" w:rsidR="00B97365" w:rsidRDefault="00000000">
            <w:pPr>
              <w:spacing w:before="0" w:after="200" w:line="276" w:lineRule="auto"/>
              <w:jc w:val="left"/>
              <w:rPr>
                <w:szCs w:val="22"/>
                <w:lang w:val="en-US" w:eastAsia="en-GB" w:bidi="ar-SA"/>
              </w:rPr>
            </w:pPr>
            <w:r>
              <w:rPr>
                <w:szCs w:val="22"/>
                <w:lang w:val="en-US" w:eastAsia="en-GB" w:bidi="ar-SA"/>
              </w:rPr>
              <w:t>rps4:ES3-SetONCRequest</w:t>
            </w:r>
          </w:p>
        </w:tc>
      </w:tr>
      <w:tr w:rsidR="00B97365" w14:paraId="2E5359F7" w14:textId="77777777">
        <w:trPr>
          <w:trHeight w:val="435"/>
        </w:trPr>
        <w:tc>
          <w:tcPr>
            <w:tcW w:w="3964" w:type="dxa"/>
            <w:vMerge/>
          </w:tcPr>
          <w:p w14:paraId="64797315" w14:textId="77777777" w:rsidR="00B97365" w:rsidRDefault="00B97365">
            <w:pPr>
              <w:spacing w:before="0" w:after="200" w:line="276" w:lineRule="auto"/>
              <w:jc w:val="left"/>
              <w:rPr>
                <w:szCs w:val="22"/>
                <w:lang w:eastAsia="en-US" w:bidi="ar-SA"/>
              </w:rPr>
            </w:pPr>
          </w:p>
        </w:tc>
        <w:tc>
          <w:tcPr>
            <w:tcW w:w="5529" w:type="dxa"/>
          </w:tcPr>
          <w:p w14:paraId="2240E30E" w14:textId="77777777" w:rsidR="00B97365" w:rsidRDefault="00000000">
            <w:pPr>
              <w:spacing w:before="0" w:after="200" w:line="276" w:lineRule="auto"/>
              <w:jc w:val="left"/>
              <w:rPr>
                <w:szCs w:val="22"/>
                <w:lang w:val="en-US" w:eastAsia="en-GB" w:bidi="ar-SA"/>
              </w:rPr>
            </w:pPr>
            <w:r>
              <w:rPr>
                <w:szCs w:val="22"/>
                <w:lang w:val="en-US" w:eastAsia="en-GB" w:bidi="ar-SA"/>
              </w:rPr>
              <w:t>rps4:ES3-SetONCResponse</w:t>
            </w:r>
          </w:p>
        </w:tc>
      </w:tr>
      <w:tr w:rsidR="00B97365" w14:paraId="1467BA0B" w14:textId="77777777">
        <w:trPr>
          <w:trHeight w:val="435"/>
        </w:trPr>
        <w:tc>
          <w:tcPr>
            <w:tcW w:w="3964" w:type="dxa"/>
            <w:vMerge w:val="restart"/>
          </w:tcPr>
          <w:p w14:paraId="4EAF3651" w14:textId="77777777" w:rsidR="00B97365" w:rsidRDefault="00000000">
            <w:pPr>
              <w:spacing w:before="0" w:after="200" w:line="276" w:lineRule="auto"/>
              <w:jc w:val="left"/>
              <w:rPr>
                <w:szCs w:val="22"/>
                <w:lang w:eastAsia="en-US" w:bidi="ar-SA"/>
              </w:rPr>
            </w:pPr>
            <w:r>
              <w:rPr>
                <w:szCs w:val="22"/>
                <w:lang w:eastAsia="en-US"/>
              </w:rPr>
              <w:t>ES3.GetPLMA</w:t>
            </w:r>
          </w:p>
        </w:tc>
        <w:tc>
          <w:tcPr>
            <w:tcW w:w="5529" w:type="dxa"/>
          </w:tcPr>
          <w:p w14:paraId="32C3963F" w14:textId="77777777" w:rsidR="00B97365" w:rsidRDefault="00000000">
            <w:pPr>
              <w:spacing w:before="0" w:after="200" w:line="276" w:lineRule="auto"/>
              <w:jc w:val="left"/>
              <w:rPr>
                <w:szCs w:val="22"/>
                <w:lang w:val="en-US" w:eastAsia="en-GB" w:bidi="ar-SA"/>
              </w:rPr>
            </w:pPr>
            <w:r>
              <w:rPr>
                <w:szCs w:val="22"/>
                <w:lang w:val="en-US" w:eastAsia="en-GB" w:bidi="ar-SA"/>
              </w:rPr>
              <w:t>rps4:ES3-GetPLMARequest</w:t>
            </w:r>
          </w:p>
        </w:tc>
      </w:tr>
      <w:tr w:rsidR="00B97365" w14:paraId="73E60F7D" w14:textId="77777777">
        <w:trPr>
          <w:trHeight w:val="435"/>
        </w:trPr>
        <w:tc>
          <w:tcPr>
            <w:tcW w:w="3964" w:type="dxa"/>
            <w:vMerge/>
          </w:tcPr>
          <w:p w14:paraId="6A58F296" w14:textId="77777777" w:rsidR="00B97365" w:rsidRDefault="00B97365">
            <w:pPr>
              <w:spacing w:before="0" w:after="200" w:line="276" w:lineRule="auto"/>
              <w:jc w:val="left"/>
              <w:rPr>
                <w:szCs w:val="22"/>
                <w:lang w:eastAsia="en-US" w:bidi="ar-SA"/>
              </w:rPr>
            </w:pPr>
          </w:p>
        </w:tc>
        <w:tc>
          <w:tcPr>
            <w:tcW w:w="5529" w:type="dxa"/>
          </w:tcPr>
          <w:p w14:paraId="715F6657" w14:textId="77777777" w:rsidR="00B97365" w:rsidRDefault="00000000">
            <w:pPr>
              <w:spacing w:before="0" w:after="200" w:line="276" w:lineRule="auto"/>
              <w:jc w:val="left"/>
              <w:rPr>
                <w:szCs w:val="22"/>
                <w:lang w:val="en-US" w:eastAsia="en-GB" w:bidi="ar-SA"/>
              </w:rPr>
            </w:pPr>
            <w:r>
              <w:rPr>
                <w:szCs w:val="22"/>
                <w:lang w:val="en-US" w:eastAsia="en-GB" w:bidi="ar-SA"/>
              </w:rPr>
              <w:t>rps4:ES3-GetPLMAResponse</w:t>
            </w:r>
          </w:p>
        </w:tc>
      </w:tr>
      <w:tr w:rsidR="00B97365" w14:paraId="41CE8402" w14:textId="77777777">
        <w:trPr>
          <w:trHeight w:val="435"/>
        </w:trPr>
        <w:tc>
          <w:tcPr>
            <w:tcW w:w="3964" w:type="dxa"/>
            <w:vMerge w:val="restart"/>
          </w:tcPr>
          <w:p w14:paraId="5BED203A" w14:textId="77777777" w:rsidR="00B97365" w:rsidRDefault="00000000">
            <w:pPr>
              <w:spacing w:before="0" w:after="200" w:line="276" w:lineRule="auto"/>
              <w:jc w:val="left"/>
              <w:rPr>
                <w:szCs w:val="22"/>
                <w:lang w:eastAsia="en-US" w:bidi="ar-SA"/>
              </w:rPr>
            </w:pPr>
            <w:r>
              <w:rPr>
                <w:szCs w:val="22"/>
                <w:lang w:eastAsia="en-US"/>
              </w:rPr>
              <w:t>ES3.SetPLMA</w:t>
            </w:r>
          </w:p>
        </w:tc>
        <w:tc>
          <w:tcPr>
            <w:tcW w:w="5529" w:type="dxa"/>
          </w:tcPr>
          <w:p w14:paraId="32FA279D" w14:textId="77777777" w:rsidR="00B97365" w:rsidRDefault="00000000">
            <w:pPr>
              <w:spacing w:before="0" w:after="200" w:line="276" w:lineRule="auto"/>
              <w:jc w:val="left"/>
              <w:rPr>
                <w:szCs w:val="22"/>
                <w:lang w:val="en-US" w:eastAsia="en-GB" w:bidi="ar-SA"/>
              </w:rPr>
            </w:pPr>
            <w:r>
              <w:rPr>
                <w:szCs w:val="22"/>
                <w:lang w:val="en-US" w:eastAsia="en-GB" w:bidi="ar-SA"/>
              </w:rPr>
              <w:t>rps4:ES3-SetPLMARequest</w:t>
            </w:r>
          </w:p>
        </w:tc>
      </w:tr>
      <w:tr w:rsidR="00B97365" w14:paraId="6BD011AF" w14:textId="77777777">
        <w:trPr>
          <w:trHeight w:val="435"/>
        </w:trPr>
        <w:tc>
          <w:tcPr>
            <w:tcW w:w="3964" w:type="dxa"/>
            <w:vMerge/>
          </w:tcPr>
          <w:p w14:paraId="2AAB0FA1" w14:textId="77777777" w:rsidR="00B97365" w:rsidRDefault="00B97365">
            <w:pPr>
              <w:spacing w:before="0" w:after="200" w:line="276" w:lineRule="auto"/>
              <w:jc w:val="left"/>
              <w:rPr>
                <w:szCs w:val="22"/>
                <w:lang w:eastAsia="en-US" w:bidi="ar-SA"/>
              </w:rPr>
            </w:pPr>
          </w:p>
        </w:tc>
        <w:tc>
          <w:tcPr>
            <w:tcW w:w="5529" w:type="dxa"/>
          </w:tcPr>
          <w:p w14:paraId="7F83513A" w14:textId="77777777" w:rsidR="00B97365" w:rsidRDefault="00000000">
            <w:pPr>
              <w:spacing w:before="0" w:after="200" w:line="276" w:lineRule="auto"/>
              <w:jc w:val="left"/>
              <w:rPr>
                <w:szCs w:val="22"/>
                <w:lang w:val="en-US" w:eastAsia="en-GB" w:bidi="ar-SA"/>
              </w:rPr>
            </w:pPr>
            <w:r>
              <w:rPr>
                <w:szCs w:val="22"/>
                <w:lang w:val="en-US" w:eastAsia="en-GB" w:bidi="ar-SA"/>
              </w:rPr>
              <w:t>rps4:ES3-SetPLMAResponse</w:t>
            </w:r>
          </w:p>
        </w:tc>
      </w:tr>
      <w:tr w:rsidR="00B97365" w14:paraId="08CB2AAB" w14:textId="77777777">
        <w:trPr>
          <w:trHeight w:val="435"/>
        </w:trPr>
        <w:tc>
          <w:tcPr>
            <w:tcW w:w="3964" w:type="dxa"/>
          </w:tcPr>
          <w:p w14:paraId="28434AE8" w14:textId="77777777" w:rsidR="00B97365" w:rsidRDefault="00000000">
            <w:pPr>
              <w:spacing w:before="0" w:after="200" w:line="276" w:lineRule="auto"/>
              <w:jc w:val="left"/>
              <w:rPr>
                <w:szCs w:val="22"/>
                <w:lang w:eastAsia="en-US" w:bidi="ar-SA"/>
              </w:rPr>
            </w:pPr>
            <w:r>
              <w:rPr>
                <w:szCs w:val="22"/>
                <w:lang w:val="en-US" w:eastAsia="en-GB" w:bidi="ar-SA"/>
              </w:rPr>
              <w:t>ES3.</w:t>
            </w:r>
            <w:r>
              <w:rPr>
                <w:szCs w:val="22"/>
                <w:lang w:eastAsia="en-GB" w:bidi="ar-SA"/>
              </w:rPr>
              <w:t>HandleProfileDownloadedNotification</w:t>
            </w:r>
          </w:p>
        </w:tc>
        <w:tc>
          <w:tcPr>
            <w:tcW w:w="5529" w:type="dxa"/>
          </w:tcPr>
          <w:p w14:paraId="389D6226" w14:textId="77777777" w:rsidR="00B97365" w:rsidRDefault="00000000">
            <w:pPr>
              <w:spacing w:before="0" w:after="200" w:line="276" w:lineRule="auto"/>
              <w:jc w:val="left"/>
              <w:rPr>
                <w:szCs w:val="22"/>
                <w:lang w:eastAsia="en-GB" w:bidi="ar-SA"/>
              </w:rPr>
            </w:pPr>
            <w:r>
              <w:rPr>
                <w:szCs w:val="22"/>
                <w:lang w:val="en-US" w:eastAsia="en-GB" w:bidi="ar-SA"/>
              </w:rPr>
              <w:t>rps4:ES3-</w:t>
            </w:r>
            <w:r>
              <w:rPr>
                <w:szCs w:val="22"/>
                <w:lang w:eastAsia="en-GB" w:bidi="ar-SA"/>
              </w:rPr>
              <w:t>HandleProfileDownloadedNotification</w:t>
            </w:r>
          </w:p>
        </w:tc>
      </w:tr>
      <w:tr w:rsidR="00B97365" w14:paraId="5785DD68" w14:textId="77777777">
        <w:trPr>
          <w:trHeight w:val="435"/>
        </w:trPr>
        <w:tc>
          <w:tcPr>
            <w:tcW w:w="3964" w:type="dxa"/>
          </w:tcPr>
          <w:p w14:paraId="753093F2" w14:textId="77777777" w:rsidR="00B97365" w:rsidRDefault="00000000">
            <w:pPr>
              <w:spacing w:before="0" w:after="200" w:line="276" w:lineRule="auto"/>
              <w:jc w:val="left"/>
              <w:rPr>
                <w:szCs w:val="22"/>
                <w:lang w:eastAsia="en-US" w:bidi="ar-SA"/>
              </w:rPr>
            </w:pPr>
            <w:r>
              <w:rPr>
                <w:szCs w:val="22"/>
                <w:lang w:val="en-US" w:eastAsia="en-GB" w:bidi="ar-SA"/>
              </w:rPr>
              <w:t>ES3.</w:t>
            </w:r>
            <w:r>
              <w:rPr>
                <w:szCs w:val="22"/>
                <w:lang w:eastAsia="en-GB" w:bidi="ar-SA"/>
              </w:rPr>
              <w:t>HandlePLMAChangedNotification</w:t>
            </w:r>
          </w:p>
        </w:tc>
        <w:tc>
          <w:tcPr>
            <w:tcW w:w="5529" w:type="dxa"/>
          </w:tcPr>
          <w:p w14:paraId="63A8A319" w14:textId="77777777" w:rsidR="00B97365" w:rsidRDefault="00000000">
            <w:pPr>
              <w:spacing w:before="0" w:after="200" w:line="276" w:lineRule="auto"/>
              <w:jc w:val="left"/>
              <w:rPr>
                <w:szCs w:val="22"/>
                <w:lang w:eastAsia="en-GB" w:bidi="ar-SA"/>
              </w:rPr>
            </w:pPr>
            <w:r>
              <w:rPr>
                <w:szCs w:val="22"/>
                <w:lang w:val="en-US" w:eastAsia="en-GB" w:bidi="ar-SA"/>
              </w:rPr>
              <w:t>rps4:ES3-</w:t>
            </w:r>
            <w:r>
              <w:rPr>
                <w:szCs w:val="22"/>
                <w:lang w:eastAsia="en-GB" w:bidi="ar-SA"/>
              </w:rPr>
              <w:t>HandlePLMAChangedNotification</w:t>
            </w:r>
          </w:p>
        </w:tc>
      </w:tr>
      <w:tr w:rsidR="00B97365" w14:paraId="57670FB5" w14:textId="77777777">
        <w:trPr>
          <w:trHeight w:val="435"/>
        </w:trPr>
        <w:tc>
          <w:tcPr>
            <w:tcW w:w="3964" w:type="dxa"/>
          </w:tcPr>
          <w:p w14:paraId="458BCB21" w14:textId="77777777" w:rsidR="00B97365" w:rsidRDefault="00000000">
            <w:pPr>
              <w:spacing w:before="0" w:after="200" w:line="276" w:lineRule="auto"/>
              <w:jc w:val="left"/>
              <w:rPr>
                <w:szCs w:val="22"/>
                <w:lang w:eastAsia="en-US" w:bidi="ar-SA"/>
              </w:rPr>
            </w:pPr>
            <w:r>
              <w:rPr>
                <w:szCs w:val="22"/>
                <w:lang w:val="en-US" w:eastAsia="en-GB" w:bidi="ar-SA"/>
              </w:rPr>
              <w:t>ES3.</w:t>
            </w:r>
            <w:r>
              <w:rPr>
                <w:szCs w:val="22"/>
                <w:lang w:eastAsia="en-GB" w:bidi="ar-SA"/>
              </w:rPr>
              <w:t>HandlePolicyRulesUpdatedNotification</w:t>
            </w:r>
          </w:p>
        </w:tc>
        <w:tc>
          <w:tcPr>
            <w:tcW w:w="5529" w:type="dxa"/>
          </w:tcPr>
          <w:p w14:paraId="1EFC7D7E" w14:textId="77777777" w:rsidR="00B97365" w:rsidRDefault="00000000">
            <w:pPr>
              <w:spacing w:before="0" w:after="200" w:line="276" w:lineRule="auto"/>
              <w:jc w:val="left"/>
              <w:rPr>
                <w:szCs w:val="22"/>
                <w:lang w:val="en-US" w:eastAsia="en-GB" w:bidi="ar-SA"/>
              </w:rPr>
            </w:pPr>
            <w:r>
              <w:rPr>
                <w:szCs w:val="22"/>
                <w:lang w:val="en-US" w:eastAsia="en-GB" w:bidi="ar-SA"/>
              </w:rPr>
              <w:t>rps4:ES3-</w:t>
            </w:r>
            <w:r>
              <w:rPr>
                <w:szCs w:val="22"/>
                <w:lang w:eastAsia="en-GB" w:bidi="ar-SA"/>
              </w:rPr>
              <w:t>HandlePolicyRulesUpdatedNotification</w:t>
            </w:r>
          </w:p>
        </w:tc>
      </w:tr>
      <w:tr w:rsidR="00B97365" w14:paraId="11073219" w14:textId="77777777">
        <w:trPr>
          <w:trHeight w:val="435"/>
        </w:trPr>
        <w:tc>
          <w:tcPr>
            <w:tcW w:w="3964" w:type="dxa"/>
            <w:vMerge w:val="restart"/>
          </w:tcPr>
          <w:p w14:paraId="27D270CA" w14:textId="77777777" w:rsidR="00B97365" w:rsidRDefault="00000000">
            <w:pPr>
              <w:spacing w:before="0" w:after="200" w:line="276" w:lineRule="auto"/>
              <w:jc w:val="left"/>
              <w:rPr>
                <w:szCs w:val="22"/>
                <w:lang w:eastAsia="en-US" w:bidi="ar-SA"/>
              </w:rPr>
            </w:pPr>
            <w:r>
              <w:rPr>
                <w:szCs w:val="22"/>
                <w:lang w:eastAsia="en-US"/>
              </w:rPr>
              <w:t>ES3.SetFallBackAttribute</w:t>
            </w:r>
          </w:p>
        </w:tc>
        <w:tc>
          <w:tcPr>
            <w:tcW w:w="5529" w:type="dxa"/>
          </w:tcPr>
          <w:p w14:paraId="4F3DCDA6" w14:textId="77777777" w:rsidR="00B97365" w:rsidRDefault="00000000">
            <w:pPr>
              <w:spacing w:before="0" w:after="200" w:line="276" w:lineRule="auto"/>
              <w:jc w:val="left"/>
              <w:rPr>
                <w:szCs w:val="22"/>
                <w:lang w:val="en-US" w:eastAsia="en-GB" w:bidi="ar-SA"/>
              </w:rPr>
            </w:pPr>
            <w:r>
              <w:rPr>
                <w:szCs w:val="22"/>
                <w:lang w:val="en-US" w:eastAsia="en-GB" w:bidi="ar-SA"/>
              </w:rPr>
              <w:t>rps4:ES3-SetFallBackAttributeRequest</w:t>
            </w:r>
          </w:p>
        </w:tc>
      </w:tr>
      <w:tr w:rsidR="00B97365" w14:paraId="0098C07D" w14:textId="77777777">
        <w:trPr>
          <w:trHeight w:val="435"/>
        </w:trPr>
        <w:tc>
          <w:tcPr>
            <w:tcW w:w="3964" w:type="dxa"/>
            <w:vMerge/>
          </w:tcPr>
          <w:p w14:paraId="5C19A5EC" w14:textId="77777777" w:rsidR="00B97365" w:rsidRDefault="00B97365">
            <w:pPr>
              <w:spacing w:before="0" w:after="200" w:line="276" w:lineRule="auto"/>
              <w:jc w:val="left"/>
              <w:rPr>
                <w:szCs w:val="22"/>
                <w:lang w:eastAsia="en-US" w:bidi="ar-SA"/>
              </w:rPr>
            </w:pPr>
          </w:p>
        </w:tc>
        <w:tc>
          <w:tcPr>
            <w:tcW w:w="5529" w:type="dxa"/>
          </w:tcPr>
          <w:p w14:paraId="5EFF3B74" w14:textId="77777777" w:rsidR="00B97365" w:rsidRDefault="00000000">
            <w:pPr>
              <w:spacing w:before="0" w:after="200" w:line="276" w:lineRule="auto"/>
              <w:jc w:val="left"/>
              <w:rPr>
                <w:szCs w:val="22"/>
                <w:lang w:val="en-US" w:eastAsia="en-GB" w:bidi="ar-SA"/>
              </w:rPr>
            </w:pPr>
            <w:r>
              <w:rPr>
                <w:szCs w:val="22"/>
                <w:lang w:val="en-US" w:eastAsia="en-GB" w:bidi="ar-SA"/>
              </w:rPr>
              <w:t>rps4:ES3-SetFallBackAttributeResponse</w:t>
            </w:r>
          </w:p>
        </w:tc>
      </w:tr>
      <w:tr w:rsidR="00B97365" w14:paraId="022BA03D" w14:textId="77777777">
        <w:trPr>
          <w:trHeight w:val="435"/>
        </w:trPr>
        <w:tc>
          <w:tcPr>
            <w:tcW w:w="3964" w:type="dxa"/>
            <w:vMerge w:val="restart"/>
          </w:tcPr>
          <w:p w14:paraId="7F1D2BBC" w14:textId="77777777" w:rsidR="00B97365" w:rsidRDefault="00000000">
            <w:pPr>
              <w:spacing w:before="0" w:after="200" w:line="276" w:lineRule="auto"/>
              <w:jc w:val="left"/>
              <w:rPr>
                <w:szCs w:val="22"/>
                <w:lang w:eastAsia="en-US" w:bidi="ar-SA"/>
              </w:rPr>
            </w:pPr>
            <w:r>
              <w:rPr>
                <w:szCs w:val="22"/>
                <w:lang w:eastAsia="en-US"/>
              </w:rPr>
              <w:t>ES3.SetEmergencyProfileAttribute</w:t>
            </w:r>
          </w:p>
        </w:tc>
        <w:tc>
          <w:tcPr>
            <w:tcW w:w="5529" w:type="dxa"/>
          </w:tcPr>
          <w:p w14:paraId="1D23D192" w14:textId="77777777" w:rsidR="00B97365" w:rsidRDefault="00000000">
            <w:pPr>
              <w:spacing w:before="0" w:after="200" w:line="276" w:lineRule="auto"/>
              <w:jc w:val="left"/>
              <w:rPr>
                <w:szCs w:val="22"/>
                <w:lang w:val="en-US" w:eastAsia="en-GB" w:bidi="ar-SA"/>
              </w:rPr>
            </w:pPr>
            <w:r>
              <w:rPr>
                <w:szCs w:val="22"/>
                <w:lang w:val="en-US" w:eastAsia="en-GB" w:bidi="ar-SA"/>
              </w:rPr>
              <w:t>rps4:ES3-</w:t>
            </w:r>
            <w:r>
              <w:rPr>
                <w:szCs w:val="22"/>
                <w:lang w:eastAsia="en-US"/>
              </w:rPr>
              <w:t>SetEmergencyProfileAttributeRequest</w:t>
            </w:r>
          </w:p>
        </w:tc>
      </w:tr>
      <w:tr w:rsidR="00B97365" w14:paraId="163A6D52" w14:textId="77777777">
        <w:trPr>
          <w:trHeight w:val="435"/>
        </w:trPr>
        <w:tc>
          <w:tcPr>
            <w:tcW w:w="3964" w:type="dxa"/>
            <w:vMerge/>
          </w:tcPr>
          <w:p w14:paraId="5EAF019A" w14:textId="77777777" w:rsidR="00B97365" w:rsidRDefault="00B97365">
            <w:pPr>
              <w:spacing w:before="0" w:after="200" w:line="276" w:lineRule="auto"/>
              <w:jc w:val="left"/>
              <w:rPr>
                <w:szCs w:val="22"/>
                <w:lang w:eastAsia="en-US" w:bidi="ar-SA"/>
              </w:rPr>
            </w:pPr>
          </w:p>
        </w:tc>
        <w:tc>
          <w:tcPr>
            <w:tcW w:w="5529" w:type="dxa"/>
          </w:tcPr>
          <w:p w14:paraId="7ADD48AF" w14:textId="77777777" w:rsidR="00B97365" w:rsidRDefault="00000000">
            <w:pPr>
              <w:spacing w:before="0" w:after="200" w:line="276" w:lineRule="auto"/>
              <w:jc w:val="left"/>
              <w:rPr>
                <w:szCs w:val="22"/>
                <w:lang w:val="en-US" w:eastAsia="en-GB" w:bidi="ar-SA"/>
              </w:rPr>
            </w:pPr>
            <w:r>
              <w:rPr>
                <w:szCs w:val="22"/>
                <w:lang w:val="en-US" w:eastAsia="en-GB" w:bidi="ar-SA"/>
              </w:rPr>
              <w:t>rps4:ES3-</w:t>
            </w:r>
            <w:r>
              <w:rPr>
                <w:szCs w:val="22"/>
                <w:lang w:eastAsia="en-US"/>
              </w:rPr>
              <w:t>SetEmergencyProfileAttributeResponse</w:t>
            </w:r>
          </w:p>
        </w:tc>
      </w:tr>
      <w:tr w:rsidR="00B97365" w14:paraId="36E8459B" w14:textId="77777777">
        <w:trPr>
          <w:trHeight w:val="435"/>
        </w:trPr>
        <w:tc>
          <w:tcPr>
            <w:tcW w:w="3964" w:type="dxa"/>
          </w:tcPr>
          <w:p w14:paraId="5A808D1F" w14:textId="77777777" w:rsidR="00B97365" w:rsidRDefault="00000000">
            <w:pPr>
              <w:spacing w:before="0" w:after="200" w:line="276" w:lineRule="auto"/>
              <w:jc w:val="left"/>
              <w:rPr>
                <w:szCs w:val="22"/>
                <w:lang w:eastAsia="en-US" w:bidi="ar-SA"/>
              </w:rPr>
            </w:pPr>
            <w:r>
              <w:rPr>
                <w:szCs w:val="22"/>
                <w:lang w:val="en-US" w:eastAsia="en-GB" w:bidi="ar-SA"/>
              </w:rPr>
              <w:t>ES3.</w:t>
            </w:r>
            <w:r>
              <w:rPr>
                <w:szCs w:val="22"/>
                <w:lang w:eastAsia="en-GB" w:bidi="ar-SA"/>
              </w:rPr>
              <w:t>HandleEmergencyProfileAttributeSetNotification</w:t>
            </w:r>
          </w:p>
        </w:tc>
        <w:tc>
          <w:tcPr>
            <w:tcW w:w="5529" w:type="dxa"/>
          </w:tcPr>
          <w:p w14:paraId="10B2D028" w14:textId="77777777" w:rsidR="00B97365" w:rsidRDefault="00000000">
            <w:pPr>
              <w:spacing w:before="0" w:after="200" w:line="276" w:lineRule="auto"/>
              <w:jc w:val="left"/>
              <w:rPr>
                <w:szCs w:val="22"/>
                <w:lang w:val="en-US" w:eastAsia="en-GB" w:bidi="ar-SA"/>
              </w:rPr>
            </w:pPr>
            <w:r>
              <w:rPr>
                <w:szCs w:val="22"/>
                <w:lang w:val="en-US" w:eastAsia="en-GB" w:bidi="ar-SA"/>
              </w:rPr>
              <w:t>rps4:ES3-</w:t>
            </w:r>
            <w:r>
              <w:rPr>
                <w:szCs w:val="22"/>
                <w:lang w:eastAsia="en-GB" w:bidi="ar-SA"/>
              </w:rPr>
              <w:t>HandleEmergencyProfileAttributeSetNotification</w:t>
            </w:r>
          </w:p>
        </w:tc>
      </w:tr>
      <w:tr w:rsidR="00B97365" w14:paraId="7A3D1F5E" w14:textId="77777777">
        <w:trPr>
          <w:trHeight w:val="435"/>
        </w:trPr>
        <w:tc>
          <w:tcPr>
            <w:tcW w:w="3964" w:type="dxa"/>
          </w:tcPr>
          <w:p w14:paraId="07C31232" w14:textId="77777777" w:rsidR="00B97365" w:rsidRDefault="00000000">
            <w:pPr>
              <w:spacing w:before="0" w:after="200" w:line="276" w:lineRule="auto"/>
              <w:jc w:val="left"/>
              <w:rPr>
                <w:szCs w:val="22"/>
                <w:lang w:eastAsia="en-US" w:bidi="ar-SA"/>
              </w:rPr>
            </w:pPr>
            <w:r>
              <w:rPr>
                <w:szCs w:val="22"/>
                <w:lang w:val="en-US" w:eastAsia="en-GB" w:bidi="ar-SA"/>
              </w:rPr>
              <w:t>ES3.</w:t>
            </w:r>
            <w:r>
              <w:rPr>
                <w:szCs w:val="22"/>
                <w:lang w:eastAsia="en-GB" w:bidi="ar-SA"/>
              </w:rPr>
              <w:t>HandleEmergencyProfileAttributeUnsetNotification</w:t>
            </w:r>
          </w:p>
        </w:tc>
        <w:tc>
          <w:tcPr>
            <w:tcW w:w="5529" w:type="dxa"/>
          </w:tcPr>
          <w:p w14:paraId="619DB532" w14:textId="77777777" w:rsidR="00B97365" w:rsidRDefault="00000000">
            <w:pPr>
              <w:spacing w:before="0" w:after="200" w:line="276" w:lineRule="auto"/>
              <w:jc w:val="left"/>
              <w:rPr>
                <w:szCs w:val="22"/>
                <w:lang w:val="en-US" w:eastAsia="en-GB" w:bidi="ar-SA"/>
              </w:rPr>
            </w:pPr>
            <w:r>
              <w:rPr>
                <w:szCs w:val="22"/>
                <w:lang w:val="en-US" w:eastAsia="en-GB" w:bidi="ar-SA"/>
              </w:rPr>
              <w:t>rps4:ES3-</w:t>
            </w:r>
            <w:r>
              <w:rPr>
                <w:szCs w:val="22"/>
                <w:lang w:eastAsia="en-GB" w:bidi="ar-SA"/>
              </w:rPr>
              <w:t>HandleEmergencyProfileAttributeUnsetNotification</w:t>
            </w:r>
          </w:p>
        </w:tc>
      </w:tr>
      <w:tr w:rsidR="00B97365" w14:paraId="351401BA" w14:textId="77777777">
        <w:trPr>
          <w:trHeight w:val="435"/>
        </w:trPr>
        <w:tc>
          <w:tcPr>
            <w:tcW w:w="3964" w:type="dxa"/>
          </w:tcPr>
          <w:p w14:paraId="15E9620C" w14:textId="77777777" w:rsidR="00B97365" w:rsidRDefault="00000000">
            <w:pPr>
              <w:spacing w:before="0" w:after="200" w:line="276" w:lineRule="auto"/>
              <w:jc w:val="left"/>
              <w:rPr>
                <w:szCs w:val="22"/>
                <w:lang w:eastAsia="en-US" w:bidi="ar-SA"/>
              </w:rPr>
            </w:pPr>
            <w:r>
              <w:rPr>
                <w:szCs w:val="22"/>
                <w:lang w:val="en-US" w:eastAsia="en-GB" w:bidi="ar-SA"/>
              </w:rPr>
              <w:t>ES3.</w:t>
            </w:r>
            <w:r>
              <w:rPr>
                <w:szCs w:val="22"/>
                <w:lang w:eastAsia="en-GB" w:bidi="ar-SA"/>
              </w:rPr>
              <w:t>HandleProfileFallBackAttributeSetNotification</w:t>
            </w:r>
          </w:p>
        </w:tc>
        <w:tc>
          <w:tcPr>
            <w:tcW w:w="5529" w:type="dxa"/>
          </w:tcPr>
          <w:p w14:paraId="35631471" w14:textId="77777777" w:rsidR="00B97365" w:rsidRDefault="00000000">
            <w:pPr>
              <w:spacing w:before="0" w:after="200" w:line="276" w:lineRule="auto"/>
              <w:jc w:val="left"/>
              <w:rPr>
                <w:szCs w:val="22"/>
                <w:lang w:val="en-US" w:eastAsia="en-GB" w:bidi="ar-SA"/>
              </w:rPr>
            </w:pPr>
            <w:r>
              <w:rPr>
                <w:szCs w:val="22"/>
                <w:lang w:val="en-US" w:eastAsia="en-GB" w:bidi="ar-SA"/>
              </w:rPr>
              <w:t>rps4:ES3-</w:t>
            </w:r>
            <w:r>
              <w:rPr>
                <w:szCs w:val="22"/>
                <w:lang w:eastAsia="en-GB" w:bidi="ar-SA"/>
              </w:rPr>
              <w:t>HandleProfileFallBackAttributeSetNotification</w:t>
            </w:r>
          </w:p>
        </w:tc>
      </w:tr>
      <w:tr w:rsidR="00B97365" w14:paraId="6E24EDD7" w14:textId="77777777">
        <w:trPr>
          <w:trHeight w:val="435"/>
        </w:trPr>
        <w:tc>
          <w:tcPr>
            <w:tcW w:w="3964" w:type="dxa"/>
          </w:tcPr>
          <w:p w14:paraId="5B930BC5" w14:textId="77777777" w:rsidR="00B97365" w:rsidRDefault="00000000">
            <w:pPr>
              <w:spacing w:before="0" w:after="200" w:line="276" w:lineRule="auto"/>
              <w:jc w:val="left"/>
              <w:rPr>
                <w:szCs w:val="22"/>
                <w:lang w:val="en-US" w:eastAsia="en-GB" w:bidi="ar-SA"/>
              </w:rPr>
            </w:pPr>
            <w:r>
              <w:rPr>
                <w:szCs w:val="22"/>
                <w:lang w:val="en-US" w:eastAsia="en-GB" w:bidi="ar-SA"/>
              </w:rPr>
              <w:t>ES3.</w:t>
            </w:r>
            <w:r>
              <w:rPr>
                <w:szCs w:val="22"/>
                <w:lang w:eastAsia="en-GB" w:bidi="ar-SA"/>
              </w:rPr>
              <w:t>HandleProfileFallBackAttributeUnsetNotification</w:t>
            </w:r>
          </w:p>
        </w:tc>
        <w:tc>
          <w:tcPr>
            <w:tcW w:w="5529" w:type="dxa"/>
          </w:tcPr>
          <w:p w14:paraId="33375E2F" w14:textId="77777777" w:rsidR="00B97365" w:rsidRDefault="00000000">
            <w:pPr>
              <w:spacing w:before="0" w:after="200" w:line="276" w:lineRule="auto"/>
              <w:jc w:val="left"/>
              <w:rPr>
                <w:szCs w:val="22"/>
                <w:lang w:val="en-US" w:eastAsia="en-GB" w:bidi="ar-SA"/>
              </w:rPr>
            </w:pPr>
            <w:r>
              <w:rPr>
                <w:szCs w:val="22"/>
                <w:lang w:val="en-US" w:eastAsia="en-GB" w:bidi="ar-SA"/>
              </w:rPr>
              <w:t>rps4:ES3-</w:t>
            </w:r>
            <w:r>
              <w:rPr>
                <w:szCs w:val="22"/>
                <w:lang w:eastAsia="en-GB" w:bidi="ar-SA"/>
              </w:rPr>
              <w:t>HandleProfileFallBackAttributeUnsetNotification</w:t>
            </w:r>
          </w:p>
        </w:tc>
      </w:tr>
    </w:tbl>
    <w:p w14:paraId="19C536DC"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A6: ES3 Interface functions</w:t>
      </w:r>
    </w:p>
    <w:p w14:paraId="3DD6632C"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9694" w:name="_Toc536552575"/>
      <w:bookmarkStart w:id="9695" w:name="_Toc448998328"/>
      <w:bookmarkStart w:id="9696" w:name="_Toc422150855"/>
      <w:bookmarkStart w:id="9697" w:name="_Toc421874440"/>
      <w:bookmarkStart w:id="9698" w:name="_Toc420594992"/>
      <w:bookmarkStart w:id="9699" w:name="_Toc398214999"/>
      <w:bookmarkStart w:id="9700" w:name="_Toc375158415"/>
      <w:bookmarkStart w:id="9701" w:name="_Toc374348589"/>
      <w:bookmarkStart w:id="9702" w:name="_Toc368932423"/>
      <w:bookmarkStart w:id="9703" w:name="_Toc486332945"/>
      <w:bookmarkStart w:id="9704" w:name="_Toc1977476"/>
      <w:bookmarkStart w:id="9705" w:name="_Toc37062635"/>
      <w:bookmarkStart w:id="9706" w:name="_Toc88839688"/>
      <w:bookmarkStart w:id="9707" w:name="_Toc121504096"/>
      <w:bookmarkEnd w:id="9694"/>
      <w:r>
        <w:rPr>
          <w:rFonts w:ascii="Arial Bold" w:hAnsi="Arial Bold"/>
          <w:sz w:val="24"/>
          <w:szCs w:val="24"/>
          <w:lang w:eastAsia="en-US"/>
        </w:rPr>
        <w:t xml:space="preserve">to </w:t>
      </w:r>
      <w:r>
        <w:rPr>
          <w:rFonts w:ascii="Arial Bold" w:hAnsi="Arial Bold"/>
          <w:sz w:val="24"/>
          <w:szCs w:val="24"/>
          <w:lang w:eastAsia="en-US"/>
        </w:rPr>
        <w:tab/>
        <w:t>A.615</w:t>
      </w:r>
      <w:r>
        <w:rPr>
          <w:rFonts w:ascii="Arial Bold" w:hAnsi="Arial Bold"/>
          <w:sz w:val="24"/>
          <w:szCs w:val="24"/>
          <w:lang w:eastAsia="en-US"/>
        </w:rPr>
        <w:tab/>
        <w:t>Void</w:t>
      </w:r>
      <w:bookmarkEnd w:id="9695"/>
      <w:bookmarkEnd w:id="9696"/>
      <w:bookmarkEnd w:id="9697"/>
      <w:bookmarkEnd w:id="9698"/>
      <w:bookmarkEnd w:id="9699"/>
      <w:bookmarkEnd w:id="9700"/>
      <w:bookmarkEnd w:id="9701"/>
      <w:bookmarkEnd w:id="9702"/>
      <w:bookmarkEnd w:id="9703"/>
      <w:bookmarkEnd w:id="9704"/>
      <w:bookmarkEnd w:id="9705"/>
      <w:bookmarkEnd w:id="9706"/>
      <w:bookmarkEnd w:id="9707"/>
    </w:p>
    <w:p w14:paraId="64A7733D" w14:textId="50C0D00A" w:rsidR="00B97365" w:rsidRDefault="00000000">
      <w:pPr>
        <w:spacing w:before="0" w:after="200" w:line="276" w:lineRule="auto"/>
        <w:jc w:val="left"/>
      </w:pPr>
      <w:bookmarkStart w:id="9708" w:name="_Toc365571477"/>
      <w:bookmarkStart w:id="9709" w:name="_Toc365624977"/>
      <w:bookmarkStart w:id="9710" w:name="_Toc365899988"/>
      <w:bookmarkStart w:id="9711" w:name="_Toc365982797"/>
      <w:bookmarkStart w:id="9712" w:name="_Toc367446127"/>
      <w:bookmarkStart w:id="9713" w:name="_Toc368048333"/>
      <w:bookmarkStart w:id="9714" w:name="_Toc368583904"/>
      <w:bookmarkStart w:id="9715" w:name="_Toc368652999"/>
      <w:bookmarkStart w:id="9716" w:name="_Toc368932438"/>
      <w:bookmarkStart w:id="9717" w:name="_Toc374345909"/>
      <w:bookmarkStart w:id="9718" w:name="_Toc374346255"/>
      <w:bookmarkStart w:id="9719" w:name="_Toc374346600"/>
      <w:bookmarkStart w:id="9720" w:name="_Toc374346946"/>
      <w:bookmarkStart w:id="9721" w:name="_Toc374347402"/>
      <w:bookmarkStart w:id="9722" w:name="_Toc374347632"/>
      <w:bookmarkStart w:id="9723" w:name="_Toc374347861"/>
      <w:bookmarkStart w:id="9724" w:name="_Toc374348604"/>
      <w:bookmarkStart w:id="9725" w:name="_Toc375055005"/>
      <w:bookmarkStart w:id="9726" w:name="_Toc375158088"/>
      <w:bookmarkStart w:id="9727" w:name="_Toc375158430"/>
      <w:bookmarkStart w:id="9728" w:name="_Toc378865586"/>
      <w:bookmarkStart w:id="9729" w:name="_Toc396149316"/>
      <w:bookmarkStart w:id="9730" w:name="_Toc396149884"/>
      <w:bookmarkStart w:id="9731" w:name="_Toc396150325"/>
      <w:bookmarkStart w:id="9732" w:name="_Toc398215014"/>
      <w:bookmarkStart w:id="9733" w:name="_Toc398291704"/>
      <w:bookmarkStart w:id="9734" w:name="_Toc398292047"/>
      <w:bookmarkStart w:id="9735" w:name="_Toc398293156"/>
      <w:bookmarkStart w:id="9736" w:name="_Toc400964286"/>
      <w:bookmarkStart w:id="9737" w:name="_Toc420595007"/>
      <w:bookmarkStart w:id="9738" w:name="_Toc420928561"/>
      <w:bookmarkStart w:id="9739" w:name="_Toc421106882"/>
      <w:bookmarkStart w:id="9740" w:name="_Toc421173148"/>
      <w:bookmarkStart w:id="9741" w:name="_Toc421874455"/>
      <w:bookmarkStart w:id="9742" w:name="_Toc421885744"/>
      <w:bookmarkStart w:id="9743" w:name="_Toc421886123"/>
      <w:bookmarkStart w:id="9744" w:name="_Toc422028995"/>
      <w:bookmarkStart w:id="9745" w:name="_Toc422029907"/>
      <w:bookmarkStart w:id="9746" w:name="_Toc422150870"/>
      <w:bookmarkStart w:id="9747" w:name="_Toc423443424"/>
      <w:bookmarkStart w:id="9748" w:name="_Toc441422602"/>
      <w:bookmarkStart w:id="9749" w:name="_Toc365571478"/>
      <w:bookmarkStart w:id="9750" w:name="_Toc365624978"/>
      <w:bookmarkStart w:id="9751" w:name="_Toc365899989"/>
      <w:bookmarkStart w:id="9752" w:name="_Toc365982798"/>
      <w:bookmarkStart w:id="9753" w:name="_Toc367446128"/>
      <w:bookmarkStart w:id="9754" w:name="_Toc368048334"/>
      <w:bookmarkStart w:id="9755" w:name="_Toc368583905"/>
      <w:bookmarkStart w:id="9756" w:name="_Toc368653000"/>
      <w:bookmarkStart w:id="9757" w:name="_Toc368932439"/>
      <w:bookmarkStart w:id="9758" w:name="_Toc374345910"/>
      <w:bookmarkStart w:id="9759" w:name="_Toc374346256"/>
      <w:bookmarkStart w:id="9760" w:name="_Toc374346601"/>
      <w:bookmarkStart w:id="9761" w:name="_Toc374346947"/>
      <w:bookmarkStart w:id="9762" w:name="_Toc374347403"/>
      <w:bookmarkStart w:id="9763" w:name="_Toc374347633"/>
      <w:bookmarkStart w:id="9764" w:name="_Toc374347862"/>
      <w:bookmarkStart w:id="9765" w:name="_Toc374348605"/>
      <w:bookmarkStart w:id="9766" w:name="_Toc375055006"/>
      <w:bookmarkStart w:id="9767" w:name="_Toc375158089"/>
      <w:bookmarkStart w:id="9768" w:name="_Toc375158431"/>
      <w:bookmarkStart w:id="9769" w:name="_Toc378865587"/>
      <w:bookmarkStart w:id="9770" w:name="_Toc396149317"/>
      <w:bookmarkStart w:id="9771" w:name="_Toc396149885"/>
      <w:bookmarkStart w:id="9772" w:name="_Toc396150326"/>
      <w:bookmarkStart w:id="9773" w:name="_Toc398215015"/>
      <w:bookmarkStart w:id="9774" w:name="_Toc398291705"/>
      <w:bookmarkStart w:id="9775" w:name="_Toc398292048"/>
      <w:bookmarkStart w:id="9776" w:name="_Toc398293157"/>
      <w:bookmarkStart w:id="9777" w:name="_Toc400964287"/>
      <w:bookmarkStart w:id="9778" w:name="_Toc420595008"/>
      <w:bookmarkStart w:id="9779" w:name="_Toc420928562"/>
      <w:bookmarkStart w:id="9780" w:name="_Toc421106883"/>
      <w:bookmarkStart w:id="9781" w:name="_Toc421173149"/>
      <w:bookmarkStart w:id="9782" w:name="_Toc421874456"/>
      <w:bookmarkStart w:id="9783" w:name="_Toc421885745"/>
      <w:bookmarkStart w:id="9784" w:name="_Toc421886124"/>
      <w:bookmarkStart w:id="9785" w:name="_Toc422028996"/>
      <w:bookmarkStart w:id="9786" w:name="_Toc422029908"/>
      <w:bookmarkStart w:id="9787" w:name="_Toc422150871"/>
      <w:bookmarkStart w:id="9788" w:name="_Toc423443425"/>
      <w:bookmarkStart w:id="9789" w:name="_Toc441422603"/>
      <w:bookmarkStart w:id="9790" w:name="_Toc365571479"/>
      <w:bookmarkStart w:id="9791" w:name="_Toc365624979"/>
      <w:bookmarkStart w:id="9792" w:name="_Toc365899990"/>
      <w:bookmarkStart w:id="9793" w:name="_Toc365982799"/>
      <w:bookmarkStart w:id="9794" w:name="_Toc367446129"/>
      <w:bookmarkStart w:id="9795" w:name="_Toc368048335"/>
      <w:bookmarkStart w:id="9796" w:name="_Toc368583906"/>
      <w:bookmarkStart w:id="9797" w:name="_Toc368653001"/>
      <w:bookmarkStart w:id="9798" w:name="_Toc368932440"/>
      <w:bookmarkStart w:id="9799" w:name="_Toc374345911"/>
      <w:bookmarkStart w:id="9800" w:name="_Toc374346257"/>
      <w:bookmarkStart w:id="9801" w:name="_Toc374346602"/>
      <w:bookmarkStart w:id="9802" w:name="_Toc374346948"/>
      <w:bookmarkStart w:id="9803" w:name="_Toc374347404"/>
      <w:bookmarkStart w:id="9804" w:name="_Toc374347634"/>
      <w:bookmarkStart w:id="9805" w:name="_Toc374347863"/>
      <w:bookmarkStart w:id="9806" w:name="_Toc374348606"/>
      <w:bookmarkStart w:id="9807" w:name="_Toc375055007"/>
      <w:bookmarkStart w:id="9808" w:name="_Toc375158090"/>
      <w:bookmarkStart w:id="9809" w:name="_Toc375158432"/>
      <w:bookmarkStart w:id="9810" w:name="_Toc378865588"/>
      <w:bookmarkStart w:id="9811" w:name="_Toc396149318"/>
      <w:bookmarkStart w:id="9812" w:name="_Toc396149886"/>
      <w:bookmarkStart w:id="9813" w:name="_Toc396150327"/>
      <w:bookmarkStart w:id="9814" w:name="_Toc398215016"/>
      <w:bookmarkStart w:id="9815" w:name="_Toc398291706"/>
      <w:bookmarkStart w:id="9816" w:name="_Toc398292049"/>
      <w:bookmarkStart w:id="9817" w:name="_Toc398293158"/>
      <w:bookmarkStart w:id="9818" w:name="_Toc400964288"/>
      <w:bookmarkStart w:id="9819" w:name="_Toc420595009"/>
      <w:bookmarkStart w:id="9820" w:name="_Toc420928563"/>
      <w:bookmarkStart w:id="9821" w:name="_Toc421106884"/>
      <w:bookmarkStart w:id="9822" w:name="_Toc421173150"/>
      <w:bookmarkStart w:id="9823" w:name="_Toc421874457"/>
      <w:bookmarkStart w:id="9824" w:name="_Toc421885746"/>
      <w:bookmarkStart w:id="9825" w:name="_Toc421886125"/>
      <w:bookmarkStart w:id="9826" w:name="_Toc422028997"/>
      <w:bookmarkStart w:id="9827" w:name="_Toc422029909"/>
      <w:bookmarkStart w:id="9828" w:name="_Toc422150872"/>
      <w:bookmarkStart w:id="9829" w:name="_Toc423443426"/>
      <w:bookmarkStart w:id="9830" w:name="_Toc441422604"/>
      <w:bookmarkStart w:id="9831" w:name="_Toc365571480"/>
      <w:bookmarkStart w:id="9832" w:name="_Toc365624980"/>
      <w:bookmarkStart w:id="9833" w:name="_Toc365899991"/>
      <w:bookmarkStart w:id="9834" w:name="_Toc365982800"/>
      <w:bookmarkStart w:id="9835" w:name="_Toc367446130"/>
      <w:bookmarkStart w:id="9836" w:name="_Toc368048336"/>
      <w:bookmarkStart w:id="9837" w:name="_Toc368583907"/>
      <w:bookmarkStart w:id="9838" w:name="_Toc368653002"/>
      <w:bookmarkStart w:id="9839" w:name="_Toc368932441"/>
      <w:bookmarkStart w:id="9840" w:name="_Toc374345912"/>
      <w:bookmarkStart w:id="9841" w:name="_Toc374346258"/>
      <w:bookmarkStart w:id="9842" w:name="_Toc374346603"/>
      <w:bookmarkStart w:id="9843" w:name="_Toc374346949"/>
      <w:bookmarkStart w:id="9844" w:name="_Toc374347405"/>
      <w:bookmarkStart w:id="9845" w:name="_Toc374347635"/>
      <w:bookmarkStart w:id="9846" w:name="_Toc374347864"/>
      <w:bookmarkStart w:id="9847" w:name="_Toc374348607"/>
      <w:bookmarkStart w:id="9848" w:name="_Toc375055008"/>
      <w:bookmarkStart w:id="9849" w:name="_Toc375158091"/>
      <w:bookmarkStart w:id="9850" w:name="_Toc375158433"/>
      <w:bookmarkStart w:id="9851" w:name="_Toc378865589"/>
      <w:bookmarkStart w:id="9852" w:name="_Toc396149319"/>
      <w:bookmarkStart w:id="9853" w:name="_Toc396149887"/>
      <w:bookmarkStart w:id="9854" w:name="_Toc396150328"/>
      <w:bookmarkStart w:id="9855" w:name="_Toc398215017"/>
      <w:bookmarkStart w:id="9856" w:name="_Toc398291707"/>
      <w:bookmarkStart w:id="9857" w:name="_Toc398292050"/>
      <w:bookmarkStart w:id="9858" w:name="_Toc398293159"/>
      <w:bookmarkStart w:id="9859" w:name="_Toc400964289"/>
      <w:bookmarkStart w:id="9860" w:name="_Toc420595010"/>
      <w:bookmarkStart w:id="9861" w:name="_Toc420928564"/>
      <w:bookmarkStart w:id="9862" w:name="_Toc421106885"/>
      <w:bookmarkStart w:id="9863" w:name="_Toc421173151"/>
      <w:bookmarkStart w:id="9864" w:name="_Toc421874458"/>
      <w:bookmarkStart w:id="9865" w:name="_Toc421885747"/>
      <w:bookmarkStart w:id="9866" w:name="_Toc421886126"/>
      <w:bookmarkStart w:id="9867" w:name="_Toc422028998"/>
      <w:bookmarkStart w:id="9868" w:name="_Toc422029910"/>
      <w:bookmarkStart w:id="9869" w:name="_Toc422150873"/>
      <w:bookmarkStart w:id="9870" w:name="_Toc423443427"/>
      <w:bookmarkStart w:id="9871" w:name="_Toc441422605"/>
      <w:bookmarkStart w:id="9872" w:name="_Toc365571481"/>
      <w:bookmarkStart w:id="9873" w:name="_Toc365624981"/>
      <w:bookmarkStart w:id="9874" w:name="_Toc365899992"/>
      <w:bookmarkStart w:id="9875" w:name="_Toc365982801"/>
      <w:bookmarkStart w:id="9876" w:name="_Toc367446131"/>
      <w:bookmarkStart w:id="9877" w:name="_Toc368048337"/>
      <w:bookmarkStart w:id="9878" w:name="_Toc368583908"/>
      <w:bookmarkStart w:id="9879" w:name="_Toc368653003"/>
      <w:bookmarkStart w:id="9880" w:name="_Toc368932442"/>
      <w:bookmarkStart w:id="9881" w:name="_Toc374345913"/>
      <w:bookmarkStart w:id="9882" w:name="_Toc374346259"/>
      <w:bookmarkStart w:id="9883" w:name="_Toc374346604"/>
      <w:bookmarkStart w:id="9884" w:name="_Toc374346950"/>
      <w:bookmarkStart w:id="9885" w:name="_Toc374347406"/>
      <w:bookmarkStart w:id="9886" w:name="_Toc374347636"/>
      <w:bookmarkStart w:id="9887" w:name="_Toc374347865"/>
      <w:bookmarkStart w:id="9888" w:name="_Toc374348608"/>
      <w:bookmarkStart w:id="9889" w:name="_Toc375055009"/>
      <w:bookmarkStart w:id="9890" w:name="_Toc375158092"/>
      <w:bookmarkStart w:id="9891" w:name="_Toc375158434"/>
      <w:bookmarkStart w:id="9892" w:name="_Toc378865590"/>
      <w:bookmarkStart w:id="9893" w:name="_Toc396149320"/>
      <w:bookmarkStart w:id="9894" w:name="_Toc396149888"/>
      <w:bookmarkStart w:id="9895" w:name="_Toc396150329"/>
      <w:bookmarkStart w:id="9896" w:name="_Toc398215018"/>
      <w:bookmarkStart w:id="9897" w:name="_Toc398291708"/>
      <w:bookmarkStart w:id="9898" w:name="_Toc398292051"/>
      <w:bookmarkStart w:id="9899" w:name="_Toc398293160"/>
      <w:bookmarkStart w:id="9900" w:name="_Toc400964290"/>
      <w:bookmarkStart w:id="9901" w:name="_Toc420595011"/>
      <w:bookmarkStart w:id="9902" w:name="_Toc420928565"/>
      <w:bookmarkStart w:id="9903" w:name="_Toc421106886"/>
      <w:bookmarkStart w:id="9904" w:name="_Toc421173152"/>
      <w:bookmarkStart w:id="9905" w:name="_Toc421874459"/>
      <w:bookmarkStart w:id="9906" w:name="_Toc421885748"/>
      <w:bookmarkStart w:id="9907" w:name="_Toc421886127"/>
      <w:bookmarkStart w:id="9908" w:name="_Toc422028999"/>
      <w:bookmarkStart w:id="9909" w:name="_Toc422029911"/>
      <w:bookmarkStart w:id="9910" w:name="_Toc422150874"/>
      <w:bookmarkStart w:id="9911" w:name="_Toc423443428"/>
      <w:bookmarkStart w:id="9912" w:name="_Toc441422606"/>
      <w:bookmarkStart w:id="9913" w:name="_Toc365571482"/>
      <w:bookmarkStart w:id="9914" w:name="_Toc365624982"/>
      <w:bookmarkStart w:id="9915" w:name="_Toc365899993"/>
      <w:bookmarkStart w:id="9916" w:name="_Toc365982802"/>
      <w:bookmarkStart w:id="9917" w:name="_Toc367446132"/>
      <w:bookmarkStart w:id="9918" w:name="_Toc368048338"/>
      <w:bookmarkStart w:id="9919" w:name="_Toc368583909"/>
      <w:bookmarkStart w:id="9920" w:name="_Toc368653004"/>
      <w:bookmarkStart w:id="9921" w:name="_Toc368932443"/>
      <w:bookmarkStart w:id="9922" w:name="_Toc374345914"/>
      <w:bookmarkStart w:id="9923" w:name="_Toc374346260"/>
      <w:bookmarkStart w:id="9924" w:name="_Toc374346605"/>
      <w:bookmarkStart w:id="9925" w:name="_Toc374346951"/>
      <w:bookmarkStart w:id="9926" w:name="_Toc374347407"/>
      <w:bookmarkStart w:id="9927" w:name="_Toc374347637"/>
      <w:bookmarkStart w:id="9928" w:name="_Toc374347866"/>
      <w:bookmarkStart w:id="9929" w:name="_Toc374348609"/>
      <w:bookmarkStart w:id="9930" w:name="_Toc375055010"/>
      <w:bookmarkStart w:id="9931" w:name="_Toc375158093"/>
      <w:bookmarkStart w:id="9932" w:name="_Toc375158435"/>
      <w:bookmarkStart w:id="9933" w:name="_Toc378865591"/>
      <w:bookmarkStart w:id="9934" w:name="_Toc396149321"/>
      <w:bookmarkStart w:id="9935" w:name="_Toc396149889"/>
      <w:bookmarkStart w:id="9936" w:name="_Toc396150330"/>
      <w:bookmarkStart w:id="9937" w:name="_Toc398215019"/>
      <w:bookmarkStart w:id="9938" w:name="_Toc398291709"/>
      <w:bookmarkStart w:id="9939" w:name="_Toc398292052"/>
      <w:bookmarkStart w:id="9940" w:name="_Toc398293161"/>
      <w:bookmarkStart w:id="9941" w:name="_Toc400964291"/>
      <w:bookmarkStart w:id="9942" w:name="_Toc420595012"/>
      <w:bookmarkStart w:id="9943" w:name="_Toc420928566"/>
      <w:bookmarkStart w:id="9944" w:name="_Toc421106887"/>
      <w:bookmarkStart w:id="9945" w:name="_Toc421173153"/>
      <w:bookmarkStart w:id="9946" w:name="_Toc421874460"/>
      <w:bookmarkStart w:id="9947" w:name="_Toc421885749"/>
      <w:bookmarkStart w:id="9948" w:name="_Toc421886128"/>
      <w:bookmarkStart w:id="9949" w:name="_Toc422029000"/>
      <w:bookmarkStart w:id="9950" w:name="_Toc422029912"/>
      <w:bookmarkStart w:id="9951" w:name="_Toc422150875"/>
      <w:bookmarkStart w:id="9952" w:name="_Toc423443429"/>
      <w:bookmarkStart w:id="9953" w:name="_Toc441422607"/>
      <w:bookmarkStart w:id="9954" w:name="_Toc365571483"/>
      <w:bookmarkStart w:id="9955" w:name="_Toc365624983"/>
      <w:bookmarkStart w:id="9956" w:name="_Toc365899994"/>
      <w:bookmarkStart w:id="9957" w:name="_Toc365982803"/>
      <w:bookmarkStart w:id="9958" w:name="_Toc367446133"/>
      <w:bookmarkStart w:id="9959" w:name="_Toc368048339"/>
      <w:bookmarkStart w:id="9960" w:name="_Toc368583910"/>
      <w:bookmarkStart w:id="9961" w:name="_Toc368653005"/>
      <w:bookmarkStart w:id="9962" w:name="_Toc368932444"/>
      <w:bookmarkStart w:id="9963" w:name="_Toc374345915"/>
      <w:bookmarkStart w:id="9964" w:name="_Toc374346261"/>
      <w:bookmarkStart w:id="9965" w:name="_Toc374346606"/>
      <w:bookmarkStart w:id="9966" w:name="_Toc374346952"/>
      <w:bookmarkStart w:id="9967" w:name="_Toc374347408"/>
      <w:bookmarkStart w:id="9968" w:name="_Toc374347638"/>
      <w:bookmarkStart w:id="9969" w:name="_Toc374347867"/>
      <w:bookmarkStart w:id="9970" w:name="_Toc374348610"/>
      <w:bookmarkStart w:id="9971" w:name="_Toc375055011"/>
      <w:bookmarkStart w:id="9972" w:name="_Toc375158094"/>
      <w:bookmarkStart w:id="9973" w:name="_Toc375158436"/>
      <w:bookmarkStart w:id="9974" w:name="_Toc378865592"/>
      <w:bookmarkStart w:id="9975" w:name="_Toc396149322"/>
      <w:bookmarkStart w:id="9976" w:name="_Toc396149890"/>
      <w:bookmarkStart w:id="9977" w:name="_Toc396150331"/>
      <w:bookmarkStart w:id="9978" w:name="_Toc398215020"/>
      <w:bookmarkStart w:id="9979" w:name="_Toc398291710"/>
      <w:bookmarkStart w:id="9980" w:name="_Toc398292053"/>
      <w:bookmarkStart w:id="9981" w:name="_Toc398293162"/>
      <w:bookmarkStart w:id="9982" w:name="_Toc400964292"/>
      <w:bookmarkStart w:id="9983" w:name="_Toc420595013"/>
      <w:bookmarkStart w:id="9984" w:name="_Toc420928567"/>
      <w:bookmarkStart w:id="9985" w:name="_Toc421106888"/>
      <w:bookmarkStart w:id="9986" w:name="_Toc421173154"/>
      <w:bookmarkStart w:id="9987" w:name="_Toc421874461"/>
      <w:bookmarkStart w:id="9988" w:name="_Toc421885750"/>
      <w:bookmarkStart w:id="9989" w:name="_Toc421886129"/>
      <w:bookmarkStart w:id="9990" w:name="_Toc422029001"/>
      <w:bookmarkStart w:id="9991" w:name="_Toc422029913"/>
      <w:bookmarkStart w:id="9992" w:name="_Toc422150876"/>
      <w:bookmarkStart w:id="9993" w:name="_Toc423443430"/>
      <w:bookmarkStart w:id="9994" w:name="_Toc441422608"/>
      <w:bookmarkStart w:id="9995" w:name="_Toc365571484"/>
      <w:bookmarkStart w:id="9996" w:name="_Toc365624984"/>
      <w:bookmarkStart w:id="9997" w:name="_Toc365899995"/>
      <w:bookmarkStart w:id="9998" w:name="_Toc365982804"/>
      <w:bookmarkStart w:id="9999" w:name="_Toc367446134"/>
      <w:bookmarkStart w:id="10000" w:name="_Toc368048340"/>
      <w:bookmarkStart w:id="10001" w:name="_Toc368583911"/>
      <w:bookmarkStart w:id="10002" w:name="_Toc368653006"/>
      <w:bookmarkStart w:id="10003" w:name="_Toc368932445"/>
      <w:bookmarkStart w:id="10004" w:name="_Toc374345916"/>
      <w:bookmarkStart w:id="10005" w:name="_Toc374346262"/>
      <w:bookmarkStart w:id="10006" w:name="_Toc374346607"/>
      <w:bookmarkStart w:id="10007" w:name="_Toc374346953"/>
      <w:bookmarkStart w:id="10008" w:name="_Toc374347409"/>
      <w:bookmarkStart w:id="10009" w:name="_Toc374347639"/>
      <w:bookmarkStart w:id="10010" w:name="_Toc374347868"/>
      <w:bookmarkStart w:id="10011" w:name="_Toc374348611"/>
      <w:bookmarkStart w:id="10012" w:name="_Toc375055012"/>
      <w:bookmarkStart w:id="10013" w:name="_Toc375158095"/>
      <w:bookmarkStart w:id="10014" w:name="_Toc375158437"/>
      <w:bookmarkStart w:id="10015" w:name="_Toc378865593"/>
      <w:bookmarkStart w:id="10016" w:name="_Toc396149323"/>
      <w:bookmarkStart w:id="10017" w:name="_Toc396149891"/>
      <w:bookmarkStart w:id="10018" w:name="_Toc396150332"/>
      <w:bookmarkStart w:id="10019" w:name="_Toc398215021"/>
      <w:bookmarkStart w:id="10020" w:name="_Toc398291711"/>
      <w:bookmarkStart w:id="10021" w:name="_Toc398292054"/>
      <w:bookmarkStart w:id="10022" w:name="_Toc398293163"/>
      <w:bookmarkStart w:id="10023" w:name="_Toc400964293"/>
      <w:bookmarkStart w:id="10024" w:name="_Toc420595014"/>
      <w:bookmarkStart w:id="10025" w:name="_Toc420928568"/>
      <w:bookmarkStart w:id="10026" w:name="_Toc421106889"/>
      <w:bookmarkStart w:id="10027" w:name="_Toc421173155"/>
      <w:bookmarkStart w:id="10028" w:name="_Toc421874462"/>
      <w:bookmarkStart w:id="10029" w:name="_Toc421885751"/>
      <w:bookmarkStart w:id="10030" w:name="_Toc421886130"/>
      <w:bookmarkStart w:id="10031" w:name="_Toc422029002"/>
      <w:bookmarkStart w:id="10032" w:name="_Toc422029914"/>
      <w:bookmarkStart w:id="10033" w:name="_Toc422150877"/>
      <w:bookmarkStart w:id="10034" w:name="_Toc423443431"/>
      <w:bookmarkStart w:id="10035" w:name="_Toc441422609"/>
      <w:bookmarkStart w:id="10036" w:name="_Toc365571485"/>
      <w:bookmarkStart w:id="10037" w:name="_Toc365624985"/>
      <w:bookmarkStart w:id="10038" w:name="_Toc365899996"/>
      <w:bookmarkStart w:id="10039" w:name="_Toc365982805"/>
      <w:bookmarkStart w:id="10040" w:name="_Toc367446135"/>
      <w:bookmarkStart w:id="10041" w:name="_Toc368048341"/>
      <w:bookmarkStart w:id="10042" w:name="_Toc368583912"/>
      <w:bookmarkStart w:id="10043" w:name="_Toc368653007"/>
      <w:bookmarkStart w:id="10044" w:name="_Toc368932446"/>
      <w:bookmarkStart w:id="10045" w:name="_Toc374345917"/>
      <w:bookmarkStart w:id="10046" w:name="_Toc374346263"/>
      <w:bookmarkStart w:id="10047" w:name="_Toc374346608"/>
      <w:bookmarkStart w:id="10048" w:name="_Toc374346954"/>
      <w:bookmarkStart w:id="10049" w:name="_Toc374347410"/>
      <w:bookmarkStart w:id="10050" w:name="_Toc374347640"/>
      <w:bookmarkStart w:id="10051" w:name="_Toc374347869"/>
      <w:bookmarkStart w:id="10052" w:name="_Toc374348612"/>
      <w:bookmarkStart w:id="10053" w:name="_Toc375055013"/>
      <w:bookmarkStart w:id="10054" w:name="_Toc375158096"/>
      <w:bookmarkStart w:id="10055" w:name="_Toc375158438"/>
      <w:bookmarkStart w:id="10056" w:name="_Toc378865594"/>
      <w:bookmarkStart w:id="10057" w:name="_Toc396149324"/>
      <w:bookmarkStart w:id="10058" w:name="_Toc396149892"/>
      <w:bookmarkStart w:id="10059" w:name="_Toc396150333"/>
      <w:bookmarkStart w:id="10060" w:name="_Toc398215022"/>
      <w:bookmarkStart w:id="10061" w:name="_Toc398291712"/>
      <w:bookmarkStart w:id="10062" w:name="_Toc398292055"/>
      <w:bookmarkStart w:id="10063" w:name="_Toc398293164"/>
      <w:bookmarkStart w:id="10064" w:name="_Toc400964294"/>
      <w:bookmarkStart w:id="10065" w:name="_Toc420595015"/>
      <w:bookmarkStart w:id="10066" w:name="_Toc420928569"/>
      <w:bookmarkStart w:id="10067" w:name="_Toc421106890"/>
      <w:bookmarkStart w:id="10068" w:name="_Toc421173156"/>
      <w:bookmarkStart w:id="10069" w:name="_Toc421874463"/>
      <w:bookmarkStart w:id="10070" w:name="_Toc421885752"/>
      <w:bookmarkStart w:id="10071" w:name="_Toc421886131"/>
      <w:bookmarkStart w:id="10072" w:name="_Toc422029003"/>
      <w:bookmarkStart w:id="10073" w:name="_Toc422029915"/>
      <w:bookmarkStart w:id="10074" w:name="_Toc422150878"/>
      <w:bookmarkStart w:id="10075" w:name="_Toc423443432"/>
      <w:bookmarkStart w:id="10076" w:name="_Toc441422610"/>
      <w:bookmarkStart w:id="10077" w:name="_Toc365571486"/>
      <w:bookmarkStart w:id="10078" w:name="_Toc365624986"/>
      <w:bookmarkStart w:id="10079" w:name="_Toc365899997"/>
      <w:bookmarkStart w:id="10080" w:name="_Toc365982806"/>
      <w:bookmarkStart w:id="10081" w:name="_Toc367446136"/>
      <w:bookmarkStart w:id="10082" w:name="_Toc368048342"/>
      <w:bookmarkStart w:id="10083" w:name="_Toc368583913"/>
      <w:bookmarkStart w:id="10084" w:name="_Toc368653008"/>
      <w:bookmarkStart w:id="10085" w:name="_Toc368932447"/>
      <w:bookmarkStart w:id="10086" w:name="_Toc374345918"/>
      <w:bookmarkStart w:id="10087" w:name="_Toc374346264"/>
      <w:bookmarkStart w:id="10088" w:name="_Toc374346609"/>
      <w:bookmarkStart w:id="10089" w:name="_Toc374346955"/>
      <w:bookmarkStart w:id="10090" w:name="_Toc374347411"/>
      <w:bookmarkStart w:id="10091" w:name="_Toc374347641"/>
      <w:bookmarkStart w:id="10092" w:name="_Toc374347870"/>
      <w:bookmarkStart w:id="10093" w:name="_Toc374348613"/>
      <w:bookmarkStart w:id="10094" w:name="_Toc375055014"/>
      <w:bookmarkStart w:id="10095" w:name="_Toc375158097"/>
      <w:bookmarkStart w:id="10096" w:name="_Toc375158439"/>
      <w:bookmarkStart w:id="10097" w:name="_Toc378865595"/>
      <w:bookmarkStart w:id="10098" w:name="_Toc396149325"/>
      <w:bookmarkStart w:id="10099" w:name="_Toc396149893"/>
      <w:bookmarkStart w:id="10100" w:name="_Toc396150334"/>
      <w:bookmarkStart w:id="10101" w:name="_Toc398215023"/>
      <w:bookmarkStart w:id="10102" w:name="_Toc398291713"/>
      <w:bookmarkStart w:id="10103" w:name="_Toc398292056"/>
      <w:bookmarkStart w:id="10104" w:name="_Toc398293165"/>
      <w:bookmarkStart w:id="10105" w:name="_Toc400964295"/>
      <w:bookmarkStart w:id="10106" w:name="_Toc420595016"/>
      <w:bookmarkStart w:id="10107" w:name="_Toc420928570"/>
      <w:bookmarkStart w:id="10108" w:name="_Toc421106891"/>
      <w:bookmarkStart w:id="10109" w:name="_Toc421173157"/>
      <w:bookmarkStart w:id="10110" w:name="_Toc421874464"/>
      <w:bookmarkStart w:id="10111" w:name="_Toc421885753"/>
      <w:bookmarkStart w:id="10112" w:name="_Toc421886132"/>
      <w:bookmarkStart w:id="10113" w:name="_Toc422029004"/>
      <w:bookmarkStart w:id="10114" w:name="_Toc422029916"/>
      <w:bookmarkStart w:id="10115" w:name="_Toc422150879"/>
      <w:bookmarkStart w:id="10116" w:name="_Toc423443433"/>
      <w:bookmarkStart w:id="10117" w:name="_Toc441422611"/>
      <w:bookmarkStart w:id="10118" w:name="_Toc365571487"/>
      <w:bookmarkStart w:id="10119" w:name="_Toc365624987"/>
      <w:bookmarkStart w:id="10120" w:name="_Toc365899998"/>
      <w:bookmarkStart w:id="10121" w:name="_Toc365982807"/>
      <w:bookmarkStart w:id="10122" w:name="_Toc367446137"/>
      <w:bookmarkStart w:id="10123" w:name="_Toc368048343"/>
      <w:bookmarkStart w:id="10124" w:name="_Toc368583914"/>
      <w:bookmarkStart w:id="10125" w:name="_Toc368653009"/>
      <w:bookmarkStart w:id="10126" w:name="_Toc368932448"/>
      <w:bookmarkStart w:id="10127" w:name="_Toc374345919"/>
      <w:bookmarkStart w:id="10128" w:name="_Toc374346265"/>
      <w:bookmarkStart w:id="10129" w:name="_Toc374346610"/>
      <w:bookmarkStart w:id="10130" w:name="_Toc374346956"/>
      <w:bookmarkStart w:id="10131" w:name="_Toc374347412"/>
      <w:bookmarkStart w:id="10132" w:name="_Toc374347642"/>
      <w:bookmarkStart w:id="10133" w:name="_Toc374347871"/>
      <w:bookmarkStart w:id="10134" w:name="_Toc374348614"/>
      <w:bookmarkStart w:id="10135" w:name="_Toc375055015"/>
      <w:bookmarkStart w:id="10136" w:name="_Toc375158098"/>
      <w:bookmarkStart w:id="10137" w:name="_Toc375158440"/>
      <w:bookmarkStart w:id="10138" w:name="_Toc378865596"/>
      <w:bookmarkStart w:id="10139" w:name="_Toc396149326"/>
      <w:bookmarkStart w:id="10140" w:name="_Toc396149894"/>
      <w:bookmarkStart w:id="10141" w:name="_Toc396150335"/>
      <w:bookmarkStart w:id="10142" w:name="_Toc398215024"/>
      <w:bookmarkStart w:id="10143" w:name="_Toc398291714"/>
      <w:bookmarkStart w:id="10144" w:name="_Toc398292057"/>
      <w:bookmarkStart w:id="10145" w:name="_Toc398293166"/>
      <w:bookmarkStart w:id="10146" w:name="_Toc400964296"/>
      <w:bookmarkStart w:id="10147" w:name="_Toc420595017"/>
      <w:bookmarkStart w:id="10148" w:name="_Toc420928571"/>
      <w:bookmarkStart w:id="10149" w:name="_Toc421106892"/>
      <w:bookmarkStart w:id="10150" w:name="_Toc421173158"/>
      <w:bookmarkStart w:id="10151" w:name="_Toc421874465"/>
      <w:bookmarkStart w:id="10152" w:name="_Toc421885754"/>
      <w:bookmarkStart w:id="10153" w:name="_Toc421886133"/>
      <w:bookmarkStart w:id="10154" w:name="_Toc422029005"/>
      <w:bookmarkStart w:id="10155" w:name="_Toc422029917"/>
      <w:bookmarkStart w:id="10156" w:name="_Toc422150880"/>
      <w:bookmarkStart w:id="10157" w:name="_Toc423443434"/>
      <w:bookmarkStart w:id="10158" w:name="_Toc441422612"/>
      <w:bookmarkStart w:id="10159" w:name="_Toc365571488"/>
      <w:bookmarkStart w:id="10160" w:name="_Toc365624988"/>
      <w:bookmarkStart w:id="10161" w:name="_Toc365899999"/>
      <w:bookmarkStart w:id="10162" w:name="_Toc365982808"/>
      <w:bookmarkStart w:id="10163" w:name="_Toc367446138"/>
      <w:bookmarkStart w:id="10164" w:name="_Toc368048344"/>
      <w:bookmarkStart w:id="10165" w:name="_Toc368583915"/>
      <w:bookmarkStart w:id="10166" w:name="_Toc368653010"/>
      <w:bookmarkStart w:id="10167" w:name="_Toc368932449"/>
      <w:bookmarkStart w:id="10168" w:name="_Toc374345920"/>
      <w:bookmarkStart w:id="10169" w:name="_Toc374346266"/>
      <w:bookmarkStart w:id="10170" w:name="_Toc374346611"/>
      <w:bookmarkStart w:id="10171" w:name="_Toc374346957"/>
      <w:bookmarkStart w:id="10172" w:name="_Toc374347413"/>
      <w:bookmarkStart w:id="10173" w:name="_Toc374347643"/>
      <w:bookmarkStart w:id="10174" w:name="_Toc374347872"/>
      <w:bookmarkStart w:id="10175" w:name="_Toc374348615"/>
      <w:bookmarkStart w:id="10176" w:name="_Toc375055016"/>
      <w:bookmarkStart w:id="10177" w:name="_Toc375158099"/>
      <w:bookmarkStart w:id="10178" w:name="_Toc375158441"/>
      <w:bookmarkStart w:id="10179" w:name="_Toc378865597"/>
      <w:bookmarkStart w:id="10180" w:name="_Toc396149327"/>
      <w:bookmarkStart w:id="10181" w:name="_Toc396149895"/>
      <w:bookmarkStart w:id="10182" w:name="_Toc396150336"/>
      <w:bookmarkStart w:id="10183" w:name="_Toc398215025"/>
      <w:bookmarkStart w:id="10184" w:name="_Toc398291715"/>
      <w:bookmarkStart w:id="10185" w:name="_Toc398292058"/>
      <w:bookmarkStart w:id="10186" w:name="_Toc398293167"/>
      <w:bookmarkStart w:id="10187" w:name="_Toc400964297"/>
      <w:bookmarkStart w:id="10188" w:name="_Toc420595018"/>
      <w:bookmarkStart w:id="10189" w:name="_Toc420928572"/>
      <w:bookmarkStart w:id="10190" w:name="_Toc421106893"/>
      <w:bookmarkStart w:id="10191" w:name="_Toc421173159"/>
      <w:bookmarkStart w:id="10192" w:name="_Toc421874466"/>
      <w:bookmarkStart w:id="10193" w:name="_Toc421885755"/>
      <w:bookmarkStart w:id="10194" w:name="_Toc421886134"/>
      <w:bookmarkStart w:id="10195" w:name="_Toc422029006"/>
      <w:bookmarkStart w:id="10196" w:name="_Toc422029918"/>
      <w:bookmarkStart w:id="10197" w:name="_Toc422150881"/>
      <w:bookmarkStart w:id="10198" w:name="_Toc423443435"/>
      <w:bookmarkStart w:id="10199" w:name="_Toc441422613"/>
      <w:bookmarkStart w:id="10200" w:name="_Toc365571489"/>
      <w:bookmarkStart w:id="10201" w:name="_Toc365624989"/>
      <w:bookmarkStart w:id="10202" w:name="_Toc365900000"/>
      <w:bookmarkStart w:id="10203" w:name="_Toc365982809"/>
      <w:bookmarkStart w:id="10204" w:name="_Toc367446139"/>
      <w:bookmarkStart w:id="10205" w:name="_Toc368048345"/>
      <w:bookmarkStart w:id="10206" w:name="_Toc368583916"/>
      <w:bookmarkStart w:id="10207" w:name="_Toc368653011"/>
      <w:bookmarkStart w:id="10208" w:name="_Toc368932450"/>
      <w:bookmarkStart w:id="10209" w:name="_Toc374345921"/>
      <w:bookmarkStart w:id="10210" w:name="_Toc374346267"/>
      <w:bookmarkStart w:id="10211" w:name="_Toc374346612"/>
      <w:bookmarkStart w:id="10212" w:name="_Toc374346958"/>
      <w:bookmarkStart w:id="10213" w:name="_Toc374347414"/>
      <w:bookmarkStart w:id="10214" w:name="_Toc374347644"/>
      <w:bookmarkStart w:id="10215" w:name="_Toc374347873"/>
      <w:bookmarkStart w:id="10216" w:name="_Toc374348616"/>
      <w:bookmarkStart w:id="10217" w:name="_Toc375055017"/>
      <w:bookmarkStart w:id="10218" w:name="_Toc375158100"/>
      <w:bookmarkStart w:id="10219" w:name="_Toc375158442"/>
      <w:bookmarkStart w:id="10220" w:name="_Toc378865598"/>
      <w:bookmarkStart w:id="10221" w:name="_Toc396149328"/>
      <w:bookmarkStart w:id="10222" w:name="_Toc396149896"/>
      <w:bookmarkStart w:id="10223" w:name="_Toc396150337"/>
      <w:bookmarkStart w:id="10224" w:name="_Toc398215026"/>
      <w:bookmarkStart w:id="10225" w:name="_Toc398291716"/>
      <w:bookmarkStart w:id="10226" w:name="_Toc398292059"/>
      <w:bookmarkStart w:id="10227" w:name="_Toc398293168"/>
      <w:bookmarkStart w:id="10228" w:name="_Toc400964298"/>
      <w:bookmarkStart w:id="10229" w:name="_Toc420595019"/>
      <w:bookmarkStart w:id="10230" w:name="_Toc420928573"/>
      <w:bookmarkStart w:id="10231" w:name="_Toc421106894"/>
      <w:bookmarkStart w:id="10232" w:name="_Toc421173160"/>
      <w:bookmarkStart w:id="10233" w:name="_Toc421874467"/>
      <w:bookmarkStart w:id="10234" w:name="_Toc421885756"/>
      <w:bookmarkStart w:id="10235" w:name="_Toc421886135"/>
      <w:bookmarkStart w:id="10236" w:name="_Toc422029007"/>
      <w:bookmarkStart w:id="10237" w:name="_Toc422029919"/>
      <w:bookmarkStart w:id="10238" w:name="_Toc422150882"/>
      <w:bookmarkStart w:id="10239" w:name="_Toc423443436"/>
      <w:bookmarkStart w:id="10240" w:name="_Toc441422614"/>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r>
        <w:rPr>
          <w:rFonts w:cs="Arial"/>
          <w:szCs w:val="22"/>
          <w:lang w:val="en-US" w:eastAsia="en-GB" w:bidi="ar-SA"/>
        </w:rPr>
        <w:t xml:space="preserve">Descriptions moved to table and files referenced by section </w:t>
      </w:r>
      <w:r>
        <w:rPr>
          <w:rFonts w:cs="Arial"/>
          <w:szCs w:val="22"/>
          <w:lang w:val="en-US" w:eastAsia="en-GB" w:bidi="ar-SA"/>
        </w:rPr>
        <w:fldChar w:fldCharType="begin"/>
      </w:r>
      <w:r>
        <w:rPr>
          <w:rFonts w:cs="Arial"/>
          <w:szCs w:val="22"/>
          <w:lang w:val="en-US" w:eastAsia="en-GB" w:bidi="ar-SA"/>
        </w:rPr>
        <w:instrText xml:space="preserve"> REF _Ref536181332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A.6</w:t>
      </w:r>
      <w:r>
        <w:rPr>
          <w:rFonts w:cs="Arial"/>
          <w:szCs w:val="22"/>
          <w:lang w:val="en-US" w:eastAsia="en-GB" w:bidi="ar-SA"/>
        </w:rPr>
        <w:fldChar w:fldCharType="end"/>
      </w:r>
    </w:p>
    <w:p w14:paraId="06FCC65A" w14:textId="77777777" w:rsidR="00B97365" w:rsidRDefault="00B97365">
      <w:pPr>
        <w:spacing w:line="276" w:lineRule="auto"/>
        <w:jc w:val="left"/>
        <w:rPr>
          <w:rFonts w:ascii="Calibri" w:eastAsia="Times New Roman" w:hAnsi="Calibri"/>
          <w:sz w:val="20"/>
          <w:lang w:eastAsia="en-GB" w:bidi="ar-SA"/>
        </w:rPr>
      </w:pPr>
    </w:p>
    <w:p w14:paraId="2A522058"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lang w:eastAsia="en-US"/>
        </w:rPr>
      </w:pPr>
      <w:bookmarkStart w:id="10241" w:name="_Toc448998343"/>
      <w:bookmarkStart w:id="10242" w:name="_Toc422150883"/>
      <w:bookmarkStart w:id="10243" w:name="_Toc421874468"/>
      <w:bookmarkStart w:id="10244" w:name="_Toc420595020"/>
      <w:bookmarkStart w:id="10245" w:name="_Toc398215027"/>
      <w:bookmarkStart w:id="10246" w:name="_Toc375158443"/>
      <w:bookmarkStart w:id="10247" w:name="_Toc374348617"/>
      <w:bookmarkStart w:id="10248" w:name="_Toc368932451"/>
      <w:bookmarkStart w:id="10249" w:name="_Toc486332960"/>
      <w:bookmarkStart w:id="10250" w:name="_Ref536181473"/>
      <w:bookmarkStart w:id="10251" w:name="_Ref536181499"/>
      <w:bookmarkStart w:id="10252" w:name="_Toc1977477"/>
      <w:bookmarkStart w:id="10253" w:name="_Toc37062636"/>
      <w:bookmarkStart w:id="10254" w:name="_Toc88839689"/>
      <w:bookmarkStart w:id="10255" w:name="_Toc121504097"/>
      <w:r>
        <w:rPr>
          <w:rFonts w:ascii="Arial Bold" w:hAnsi="Arial Bold"/>
          <w:b/>
          <w:sz w:val="24"/>
          <w:szCs w:val="24"/>
          <w:lang w:eastAsia="en-US"/>
        </w:rPr>
        <w:t>The ES4 Interface Functions</w:t>
      </w:r>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p>
    <w:p w14:paraId="2BAFABE8" w14:textId="77777777" w:rsidR="00B97365" w:rsidRDefault="00000000">
      <w:pPr>
        <w:spacing w:before="0" w:after="200" w:line="276" w:lineRule="auto"/>
        <w:jc w:val="left"/>
        <w:rPr>
          <w:szCs w:val="22"/>
          <w:lang w:eastAsia="en-US"/>
        </w:rPr>
      </w:pPr>
      <w:r>
        <w:rPr>
          <w:szCs w:val="22"/>
          <w:lang w:eastAsia="en-US"/>
        </w:rPr>
        <w:t xml:space="preserve">The table </w:t>
      </w:r>
      <w:r>
        <w:rPr>
          <w:szCs w:val="22"/>
          <w:lang w:val="en-US"/>
        </w:rPr>
        <w:t xml:space="preserve">below describe where definition of ES4 functions messages are located in </w:t>
      </w:r>
      <w:r>
        <w:rPr>
          <w:b/>
          <w:szCs w:val="22"/>
          <w:lang w:val="en-US"/>
        </w:rPr>
        <w:t>rps3.</w:t>
      </w:r>
      <w:r>
        <w:rPr>
          <w:b/>
          <w:szCs w:val="22"/>
          <w:lang w:eastAsia="en-US"/>
        </w:rPr>
        <w:t xml:space="preserve">euicc.request.ES4.xsd </w:t>
      </w:r>
      <w:r>
        <w:rPr>
          <w:szCs w:val="22"/>
          <w:lang w:val="en-US"/>
        </w:rPr>
        <w:t xml:space="preserve">and </w:t>
      </w:r>
      <w:r>
        <w:rPr>
          <w:b/>
          <w:szCs w:val="22"/>
          <w:lang w:val="en-US"/>
        </w:rPr>
        <w:t>rps4.</w:t>
      </w:r>
      <w:r>
        <w:rPr>
          <w:b/>
          <w:szCs w:val="22"/>
          <w:lang w:eastAsia="en-US"/>
        </w:rPr>
        <w:t>euicc.request.ES4.xsd</w:t>
      </w:r>
      <w:r>
        <w:rPr>
          <w:szCs w:val="22"/>
          <w:lang w:val="en-US"/>
        </w:rPr>
        <w:t>.</w:t>
      </w:r>
    </w:p>
    <w:tbl>
      <w:tblPr>
        <w:tblW w:w="9498" w:type="dxa"/>
        <w:tblLayout w:type="fixed"/>
        <w:tblLook w:val="04A0" w:firstRow="1" w:lastRow="0" w:firstColumn="1" w:lastColumn="0" w:noHBand="0" w:noVBand="1"/>
      </w:tblPr>
      <w:tblGrid>
        <w:gridCol w:w="3966"/>
        <w:gridCol w:w="5532"/>
      </w:tblGrid>
      <w:tr w:rsidR="00B97365" w14:paraId="733B0A51" w14:textId="77777777">
        <w:trPr>
          <w:trHeight w:val="435"/>
        </w:trPr>
        <w:tc>
          <w:tcPr>
            <w:tcW w:w="3964" w:type="dxa"/>
            <w:tcBorders>
              <w:top w:val="single" w:sz="4" w:space="0" w:color="auto"/>
              <w:left w:val="single" w:sz="4" w:space="0" w:color="auto"/>
              <w:bottom w:val="single" w:sz="4" w:space="0" w:color="auto"/>
              <w:right w:val="single" w:sz="4" w:space="0" w:color="auto"/>
            </w:tcBorders>
            <w:shd w:val="clear" w:color="auto" w:fill="C00000"/>
          </w:tcPr>
          <w:p w14:paraId="0D62B841" w14:textId="77777777" w:rsidR="00B97365" w:rsidRDefault="00000000">
            <w:pPr>
              <w:spacing w:before="0" w:after="200" w:line="276" w:lineRule="auto"/>
              <w:jc w:val="left"/>
              <w:rPr>
                <w:b/>
                <w:szCs w:val="22"/>
                <w:lang w:eastAsia="en-US"/>
              </w:rPr>
            </w:pPr>
            <w:r>
              <w:rPr>
                <w:b/>
                <w:szCs w:val="22"/>
                <w:lang w:eastAsia="en-US"/>
              </w:rPr>
              <w:t>Interface.Function</w:t>
            </w:r>
          </w:p>
        </w:tc>
        <w:tc>
          <w:tcPr>
            <w:tcW w:w="5529" w:type="dxa"/>
            <w:tcBorders>
              <w:top w:val="single" w:sz="4" w:space="0" w:color="auto"/>
              <w:left w:val="single" w:sz="4" w:space="0" w:color="auto"/>
              <w:bottom w:val="single" w:sz="4" w:space="0" w:color="auto"/>
              <w:right w:val="single" w:sz="4" w:space="0" w:color="auto"/>
            </w:tcBorders>
            <w:shd w:val="clear" w:color="auto" w:fill="C00000"/>
          </w:tcPr>
          <w:p w14:paraId="1F434858" w14:textId="77777777" w:rsidR="00B97365" w:rsidRDefault="00000000">
            <w:pPr>
              <w:spacing w:before="0" w:after="200" w:line="276" w:lineRule="auto"/>
              <w:jc w:val="left"/>
              <w:rPr>
                <w:b/>
                <w:szCs w:val="22"/>
                <w:lang w:eastAsia="en-US"/>
              </w:rPr>
            </w:pPr>
            <w:r>
              <w:rPr>
                <w:b/>
                <w:szCs w:val="22"/>
                <w:lang w:eastAsia="en-US"/>
              </w:rPr>
              <w:t>XML Type</w:t>
            </w:r>
          </w:p>
        </w:tc>
      </w:tr>
      <w:tr w:rsidR="00B97365" w14:paraId="4CC5B1A8"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3B07C807" w14:textId="77777777" w:rsidR="00B97365" w:rsidRDefault="00000000">
            <w:pPr>
              <w:spacing w:before="0" w:after="200" w:line="276" w:lineRule="auto"/>
              <w:jc w:val="left"/>
              <w:rPr>
                <w:szCs w:val="22"/>
                <w:lang w:eastAsia="en-US"/>
              </w:rPr>
            </w:pPr>
            <w:r>
              <w:rPr>
                <w:szCs w:val="22"/>
                <w:lang w:eastAsia="en-US" w:bidi="ar-SA"/>
              </w:rPr>
              <w:t>ES4.GetEIS</w:t>
            </w:r>
          </w:p>
        </w:tc>
        <w:tc>
          <w:tcPr>
            <w:tcW w:w="5529" w:type="dxa"/>
            <w:tcBorders>
              <w:top w:val="single" w:sz="4" w:space="0" w:color="auto"/>
              <w:left w:val="single" w:sz="4" w:space="0" w:color="auto"/>
              <w:bottom w:val="single" w:sz="4" w:space="0" w:color="auto"/>
              <w:right w:val="single" w:sz="4" w:space="0" w:color="auto"/>
            </w:tcBorders>
          </w:tcPr>
          <w:p w14:paraId="34917F19" w14:textId="77777777" w:rsidR="00B97365" w:rsidRDefault="00000000">
            <w:pPr>
              <w:spacing w:before="0" w:after="200" w:line="276" w:lineRule="auto"/>
              <w:jc w:val="left"/>
              <w:rPr>
                <w:szCs w:val="22"/>
                <w:lang w:val="en-US" w:eastAsia="en-GB" w:bidi="ar-SA"/>
              </w:rPr>
            </w:pPr>
            <w:r>
              <w:rPr>
                <w:szCs w:val="22"/>
                <w:lang w:val="en-US" w:eastAsia="en-GB" w:bidi="ar-SA"/>
              </w:rPr>
              <w:t>rps3:ES4-GetEISRequest</w:t>
            </w:r>
          </w:p>
        </w:tc>
      </w:tr>
      <w:tr w:rsidR="00B97365" w14:paraId="00875B6F"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573D501F" w14:textId="77777777" w:rsidR="00B97365" w:rsidRDefault="00B97365">
            <w:pPr>
              <w:spacing w:before="0" w:after="200" w:line="276" w:lineRule="auto"/>
              <w:jc w:val="left"/>
              <w:rPr>
                <w:szCs w:val="22"/>
                <w:lang w:eastAsia="en-US"/>
              </w:rPr>
            </w:pPr>
          </w:p>
        </w:tc>
        <w:tc>
          <w:tcPr>
            <w:tcW w:w="5529" w:type="dxa"/>
            <w:tcBorders>
              <w:top w:val="single" w:sz="4" w:space="0" w:color="auto"/>
              <w:left w:val="single" w:sz="4" w:space="0" w:color="auto"/>
              <w:bottom w:val="single" w:sz="4" w:space="0" w:color="auto"/>
              <w:right w:val="single" w:sz="4" w:space="0" w:color="auto"/>
            </w:tcBorders>
          </w:tcPr>
          <w:p w14:paraId="6637AA26" w14:textId="77777777" w:rsidR="00B97365" w:rsidRDefault="00000000">
            <w:pPr>
              <w:spacing w:before="0" w:after="200" w:line="276" w:lineRule="auto"/>
              <w:jc w:val="left"/>
              <w:rPr>
                <w:szCs w:val="22"/>
                <w:lang w:val="en-US" w:eastAsia="en-GB" w:bidi="ar-SA"/>
              </w:rPr>
            </w:pPr>
            <w:r>
              <w:rPr>
                <w:szCs w:val="22"/>
                <w:lang w:val="en-US" w:eastAsia="en-GB" w:bidi="ar-SA"/>
              </w:rPr>
              <w:t>rps3:ES4-GetEISResponse</w:t>
            </w:r>
          </w:p>
        </w:tc>
      </w:tr>
      <w:tr w:rsidR="00B97365" w14:paraId="27535899"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63CB6CD1" w14:textId="77777777" w:rsidR="00B97365" w:rsidRDefault="00000000">
            <w:pPr>
              <w:spacing w:before="0" w:after="200" w:line="276" w:lineRule="auto"/>
              <w:jc w:val="left"/>
              <w:rPr>
                <w:szCs w:val="22"/>
                <w:lang w:eastAsia="en-US"/>
              </w:rPr>
            </w:pPr>
            <w:r>
              <w:rPr>
                <w:szCs w:val="22"/>
                <w:lang w:eastAsia="en-US" w:bidi="ar-SA"/>
              </w:rPr>
              <w:t>ES4.UpdatePolicyRules</w:t>
            </w:r>
          </w:p>
        </w:tc>
        <w:tc>
          <w:tcPr>
            <w:tcW w:w="5529" w:type="dxa"/>
            <w:tcBorders>
              <w:top w:val="single" w:sz="4" w:space="0" w:color="auto"/>
              <w:left w:val="single" w:sz="4" w:space="0" w:color="auto"/>
              <w:bottom w:val="single" w:sz="4" w:space="0" w:color="auto"/>
              <w:right w:val="single" w:sz="4" w:space="0" w:color="auto"/>
            </w:tcBorders>
          </w:tcPr>
          <w:p w14:paraId="0E1A7050" w14:textId="77777777" w:rsidR="00B97365" w:rsidRDefault="00000000">
            <w:pPr>
              <w:spacing w:before="0" w:after="200" w:line="276" w:lineRule="auto"/>
              <w:jc w:val="left"/>
              <w:rPr>
                <w:szCs w:val="22"/>
                <w:lang w:val="en-US" w:eastAsia="en-GB" w:bidi="ar-SA"/>
              </w:rPr>
            </w:pPr>
            <w:r>
              <w:rPr>
                <w:szCs w:val="22"/>
                <w:lang w:val="en-US" w:eastAsia="en-GB" w:bidi="ar-SA"/>
              </w:rPr>
              <w:t>rps3:ES4-UpdatePolicyRulesRequest</w:t>
            </w:r>
          </w:p>
        </w:tc>
      </w:tr>
      <w:tr w:rsidR="00B97365" w14:paraId="6A5EB8CD"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437AAD83" w14:textId="77777777" w:rsidR="00B97365" w:rsidRDefault="00B97365">
            <w:pPr>
              <w:spacing w:before="0" w:after="200" w:line="276" w:lineRule="auto"/>
              <w:jc w:val="left"/>
              <w:rPr>
                <w:szCs w:val="22"/>
                <w:lang w:eastAsia="en-US"/>
              </w:rPr>
            </w:pPr>
          </w:p>
        </w:tc>
        <w:tc>
          <w:tcPr>
            <w:tcW w:w="5529" w:type="dxa"/>
            <w:tcBorders>
              <w:top w:val="single" w:sz="4" w:space="0" w:color="auto"/>
              <w:left w:val="single" w:sz="4" w:space="0" w:color="auto"/>
              <w:bottom w:val="single" w:sz="4" w:space="0" w:color="auto"/>
              <w:right w:val="single" w:sz="4" w:space="0" w:color="auto"/>
            </w:tcBorders>
          </w:tcPr>
          <w:p w14:paraId="545F62D0" w14:textId="77777777" w:rsidR="00B97365" w:rsidRDefault="00000000">
            <w:pPr>
              <w:spacing w:before="0" w:after="200" w:line="276" w:lineRule="auto"/>
              <w:jc w:val="left"/>
              <w:rPr>
                <w:szCs w:val="22"/>
                <w:lang w:val="en-US" w:eastAsia="en-GB" w:bidi="ar-SA"/>
              </w:rPr>
            </w:pPr>
            <w:r>
              <w:rPr>
                <w:szCs w:val="22"/>
                <w:lang w:val="en-US" w:eastAsia="en-GB" w:bidi="ar-SA"/>
              </w:rPr>
              <w:t>rps3:ES4-UpdatePolicyRulesResponse</w:t>
            </w:r>
          </w:p>
        </w:tc>
      </w:tr>
      <w:tr w:rsidR="00B97365" w14:paraId="6A820559"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4EE4783F" w14:textId="77777777" w:rsidR="00B97365" w:rsidRDefault="00000000">
            <w:pPr>
              <w:spacing w:before="0" w:after="200" w:line="276" w:lineRule="auto"/>
              <w:jc w:val="left"/>
              <w:rPr>
                <w:szCs w:val="22"/>
                <w:lang w:eastAsia="en-US"/>
              </w:rPr>
            </w:pPr>
            <w:r>
              <w:rPr>
                <w:szCs w:val="22"/>
                <w:lang w:eastAsia="en-US" w:bidi="ar-SA"/>
              </w:rPr>
              <w:t>ES4.UpdateSubscriptionAddress</w:t>
            </w:r>
          </w:p>
        </w:tc>
        <w:tc>
          <w:tcPr>
            <w:tcW w:w="5529" w:type="dxa"/>
            <w:tcBorders>
              <w:top w:val="single" w:sz="4" w:space="0" w:color="auto"/>
              <w:left w:val="single" w:sz="4" w:space="0" w:color="auto"/>
              <w:bottom w:val="single" w:sz="4" w:space="0" w:color="auto"/>
              <w:right w:val="single" w:sz="4" w:space="0" w:color="auto"/>
            </w:tcBorders>
          </w:tcPr>
          <w:p w14:paraId="2DE5F8AE" w14:textId="77777777" w:rsidR="00B97365" w:rsidRDefault="00000000">
            <w:pPr>
              <w:spacing w:before="0" w:after="200" w:line="276" w:lineRule="auto"/>
              <w:jc w:val="left"/>
              <w:rPr>
                <w:szCs w:val="22"/>
                <w:lang w:val="en-US" w:eastAsia="en-GB" w:bidi="ar-SA"/>
              </w:rPr>
            </w:pPr>
            <w:r>
              <w:rPr>
                <w:szCs w:val="22"/>
                <w:lang w:val="en-US" w:eastAsia="en-GB" w:bidi="ar-SA"/>
              </w:rPr>
              <w:t>rps3:ES4-UpdateSubscriptionAddressRequest</w:t>
            </w:r>
          </w:p>
        </w:tc>
      </w:tr>
      <w:tr w:rsidR="00B97365" w14:paraId="5191BDAA"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191414E1" w14:textId="77777777" w:rsidR="00B97365" w:rsidRDefault="00B97365">
            <w:pPr>
              <w:spacing w:before="0" w:after="200" w:line="276" w:lineRule="auto"/>
              <w:jc w:val="left"/>
              <w:rPr>
                <w:szCs w:val="22"/>
                <w:lang w:eastAsia="en-US"/>
              </w:rPr>
            </w:pPr>
          </w:p>
        </w:tc>
        <w:tc>
          <w:tcPr>
            <w:tcW w:w="5529" w:type="dxa"/>
            <w:tcBorders>
              <w:top w:val="single" w:sz="4" w:space="0" w:color="auto"/>
              <w:left w:val="single" w:sz="4" w:space="0" w:color="auto"/>
              <w:bottom w:val="single" w:sz="4" w:space="0" w:color="auto"/>
              <w:right w:val="single" w:sz="4" w:space="0" w:color="auto"/>
            </w:tcBorders>
          </w:tcPr>
          <w:p w14:paraId="3271C4A5" w14:textId="77777777" w:rsidR="00B97365" w:rsidRDefault="00000000">
            <w:pPr>
              <w:spacing w:before="0" w:after="200" w:line="276" w:lineRule="auto"/>
              <w:jc w:val="left"/>
              <w:rPr>
                <w:szCs w:val="22"/>
                <w:lang w:val="en-US" w:eastAsia="en-GB" w:bidi="ar-SA"/>
              </w:rPr>
            </w:pPr>
            <w:r>
              <w:rPr>
                <w:szCs w:val="22"/>
                <w:lang w:val="en-US" w:eastAsia="en-GB" w:bidi="ar-SA"/>
              </w:rPr>
              <w:t>rps3:ES4-UpdateSubscriptionAddressResponse</w:t>
            </w:r>
          </w:p>
        </w:tc>
      </w:tr>
      <w:tr w:rsidR="00B97365" w14:paraId="1EB41723"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5F2606C9" w14:textId="77777777" w:rsidR="00B97365" w:rsidRDefault="00000000">
            <w:pPr>
              <w:spacing w:before="0" w:after="200" w:line="276" w:lineRule="auto"/>
              <w:jc w:val="left"/>
              <w:rPr>
                <w:szCs w:val="22"/>
                <w:lang w:eastAsia="en-US"/>
              </w:rPr>
            </w:pPr>
            <w:r>
              <w:rPr>
                <w:szCs w:val="22"/>
                <w:lang w:eastAsia="en-US" w:bidi="ar-SA"/>
              </w:rPr>
              <w:t>ES4.AuditEIS</w:t>
            </w:r>
          </w:p>
        </w:tc>
        <w:tc>
          <w:tcPr>
            <w:tcW w:w="5529" w:type="dxa"/>
            <w:tcBorders>
              <w:top w:val="single" w:sz="4" w:space="0" w:color="auto"/>
              <w:left w:val="single" w:sz="4" w:space="0" w:color="auto"/>
              <w:bottom w:val="single" w:sz="4" w:space="0" w:color="auto"/>
              <w:right w:val="single" w:sz="4" w:space="0" w:color="auto"/>
            </w:tcBorders>
          </w:tcPr>
          <w:p w14:paraId="50DF39AA" w14:textId="77777777" w:rsidR="00B97365" w:rsidRDefault="00000000">
            <w:pPr>
              <w:spacing w:before="0" w:after="200" w:line="276" w:lineRule="auto"/>
              <w:jc w:val="left"/>
              <w:rPr>
                <w:szCs w:val="22"/>
                <w:lang w:val="en-US" w:eastAsia="en-GB" w:bidi="ar-SA"/>
              </w:rPr>
            </w:pPr>
            <w:r>
              <w:rPr>
                <w:szCs w:val="22"/>
                <w:lang w:val="en-US" w:eastAsia="en-GB" w:bidi="ar-SA"/>
              </w:rPr>
              <w:t>rps3:ES4-AuditEISRequest</w:t>
            </w:r>
          </w:p>
        </w:tc>
      </w:tr>
      <w:tr w:rsidR="00B97365" w14:paraId="5858B600"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7DE84E29" w14:textId="77777777" w:rsidR="00B97365" w:rsidRDefault="00B97365">
            <w:pPr>
              <w:spacing w:before="0" w:after="200" w:line="276" w:lineRule="auto"/>
              <w:jc w:val="left"/>
              <w:rPr>
                <w:szCs w:val="22"/>
                <w:lang w:eastAsia="en-US"/>
              </w:rPr>
            </w:pPr>
          </w:p>
        </w:tc>
        <w:tc>
          <w:tcPr>
            <w:tcW w:w="5529" w:type="dxa"/>
            <w:tcBorders>
              <w:top w:val="single" w:sz="4" w:space="0" w:color="auto"/>
              <w:left w:val="single" w:sz="4" w:space="0" w:color="auto"/>
              <w:bottom w:val="single" w:sz="4" w:space="0" w:color="auto"/>
              <w:right w:val="single" w:sz="4" w:space="0" w:color="auto"/>
            </w:tcBorders>
          </w:tcPr>
          <w:p w14:paraId="540B80CA" w14:textId="77777777" w:rsidR="00B97365" w:rsidRDefault="00000000">
            <w:pPr>
              <w:spacing w:before="0" w:after="200" w:line="276" w:lineRule="auto"/>
              <w:jc w:val="left"/>
              <w:rPr>
                <w:szCs w:val="22"/>
                <w:lang w:val="en-US" w:eastAsia="en-GB" w:bidi="ar-SA"/>
              </w:rPr>
            </w:pPr>
            <w:r>
              <w:rPr>
                <w:szCs w:val="22"/>
                <w:lang w:val="en-US" w:eastAsia="en-GB" w:bidi="ar-SA"/>
              </w:rPr>
              <w:t>rps3:ES4-AuditEISResponse</w:t>
            </w:r>
          </w:p>
        </w:tc>
      </w:tr>
      <w:tr w:rsidR="00B97365" w14:paraId="1EE71D5B"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5E4AF810" w14:textId="77777777" w:rsidR="00B97365" w:rsidRDefault="00000000">
            <w:pPr>
              <w:spacing w:before="0" w:after="200" w:line="276" w:lineRule="auto"/>
              <w:jc w:val="left"/>
              <w:rPr>
                <w:szCs w:val="22"/>
                <w:lang w:eastAsia="en-US"/>
              </w:rPr>
            </w:pPr>
            <w:r>
              <w:rPr>
                <w:szCs w:val="22"/>
                <w:lang w:eastAsia="en-US" w:bidi="ar-SA"/>
              </w:rPr>
              <w:t>ES4.EnableProfile</w:t>
            </w:r>
          </w:p>
        </w:tc>
        <w:tc>
          <w:tcPr>
            <w:tcW w:w="5529" w:type="dxa"/>
            <w:tcBorders>
              <w:top w:val="single" w:sz="4" w:space="0" w:color="auto"/>
              <w:left w:val="single" w:sz="4" w:space="0" w:color="auto"/>
              <w:bottom w:val="single" w:sz="4" w:space="0" w:color="auto"/>
              <w:right w:val="single" w:sz="4" w:space="0" w:color="auto"/>
            </w:tcBorders>
          </w:tcPr>
          <w:p w14:paraId="7D1B6463" w14:textId="77777777" w:rsidR="00B97365" w:rsidRDefault="00000000">
            <w:pPr>
              <w:spacing w:before="0" w:after="200" w:line="276" w:lineRule="auto"/>
              <w:jc w:val="left"/>
              <w:rPr>
                <w:szCs w:val="22"/>
                <w:lang w:val="en-US" w:eastAsia="en-GB" w:bidi="ar-SA"/>
              </w:rPr>
            </w:pPr>
            <w:r>
              <w:rPr>
                <w:szCs w:val="22"/>
                <w:lang w:val="en-US" w:eastAsia="en-GB" w:bidi="ar-SA"/>
              </w:rPr>
              <w:t>rps3:ES4-EnableProfileRequest</w:t>
            </w:r>
          </w:p>
        </w:tc>
      </w:tr>
      <w:tr w:rsidR="00B97365" w14:paraId="1B1A13C5"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235DFB69" w14:textId="77777777" w:rsidR="00B97365" w:rsidRDefault="00B97365">
            <w:pPr>
              <w:spacing w:before="0" w:after="200" w:line="276" w:lineRule="auto"/>
              <w:jc w:val="left"/>
              <w:rPr>
                <w:szCs w:val="22"/>
                <w:lang w:eastAsia="en-US"/>
              </w:rPr>
            </w:pPr>
          </w:p>
        </w:tc>
        <w:tc>
          <w:tcPr>
            <w:tcW w:w="5529" w:type="dxa"/>
            <w:tcBorders>
              <w:top w:val="single" w:sz="4" w:space="0" w:color="auto"/>
              <w:left w:val="single" w:sz="4" w:space="0" w:color="auto"/>
              <w:bottom w:val="single" w:sz="4" w:space="0" w:color="auto"/>
              <w:right w:val="single" w:sz="4" w:space="0" w:color="auto"/>
            </w:tcBorders>
          </w:tcPr>
          <w:p w14:paraId="6782AC54" w14:textId="77777777" w:rsidR="00B97365" w:rsidRDefault="00000000">
            <w:pPr>
              <w:spacing w:before="0" w:after="200" w:line="276" w:lineRule="auto"/>
              <w:jc w:val="left"/>
              <w:rPr>
                <w:szCs w:val="22"/>
                <w:lang w:val="en-US" w:eastAsia="en-GB" w:bidi="ar-SA"/>
              </w:rPr>
            </w:pPr>
            <w:r>
              <w:rPr>
                <w:szCs w:val="22"/>
                <w:lang w:val="en-US" w:eastAsia="en-GB" w:bidi="ar-SA"/>
              </w:rPr>
              <w:t>rps3:ES4-EnableProfileResponse</w:t>
            </w:r>
          </w:p>
        </w:tc>
      </w:tr>
      <w:tr w:rsidR="00B97365" w14:paraId="7823BC08"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52752CB4" w14:textId="77777777" w:rsidR="00B97365" w:rsidRDefault="00000000">
            <w:pPr>
              <w:spacing w:before="0" w:after="200" w:line="276" w:lineRule="auto"/>
              <w:jc w:val="left"/>
              <w:rPr>
                <w:szCs w:val="22"/>
                <w:lang w:eastAsia="en-US"/>
              </w:rPr>
            </w:pPr>
            <w:r>
              <w:rPr>
                <w:szCs w:val="22"/>
                <w:lang w:eastAsia="en-US" w:bidi="ar-SA"/>
              </w:rPr>
              <w:t>ES4.DisableProfile</w:t>
            </w:r>
          </w:p>
        </w:tc>
        <w:tc>
          <w:tcPr>
            <w:tcW w:w="5529" w:type="dxa"/>
            <w:tcBorders>
              <w:top w:val="single" w:sz="4" w:space="0" w:color="auto"/>
              <w:left w:val="single" w:sz="4" w:space="0" w:color="auto"/>
              <w:bottom w:val="single" w:sz="4" w:space="0" w:color="auto"/>
              <w:right w:val="single" w:sz="4" w:space="0" w:color="auto"/>
            </w:tcBorders>
          </w:tcPr>
          <w:p w14:paraId="7440E1CF" w14:textId="77777777" w:rsidR="00B97365" w:rsidRDefault="00000000">
            <w:pPr>
              <w:spacing w:before="0" w:after="200" w:line="276" w:lineRule="auto"/>
              <w:jc w:val="left"/>
              <w:rPr>
                <w:szCs w:val="22"/>
                <w:lang w:val="en-US" w:eastAsia="en-GB" w:bidi="ar-SA"/>
              </w:rPr>
            </w:pPr>
            <w:r>
              <w:rPr>
                <w:szCs w:val="22"/>
                <w:lang w:val="en-US" w:eastAsia="en-GB" w:bidi="ar-SA"/>
              </w:rPr>
              <w:t>rps3:ES4-DisableProfileRequest</w:t>
            </w:r>
          </w:p>
        </w:tc>
      </w:tr>
      <w:tr w:rsidR="00B97365" w14:paraId="71DE9207"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0DF1663C" w14:textId="77777777" w:rsidR="00B97365" w:rsidRDefault="00B97365">
            <w:pPr>
              <w:spacing w:before="0" w:after="200" w:line="276" w:lineRule="auto"/>
              <w:jc w:val="left"/>
              <w:rPr>
                <w:szCs w:val="22"/>
                <w:lang w:eastAsia="en-US"/>
              </w:rPr>
            </w:pPr>
          </w:p>
        </w:tc>
        <w:tc>
          <w:tcPr>
            <w:tcW w:w="5529" w:type="dxa"/>
            <w:tcBorders>
              <w:top w:val="single" w:sz="4" w:space="0" w:color="auto"/>
              <w:left w:val="single" w:sz="4" w:space="0" w:color="auto"/>
              <w:bottom w:val="single" w:sz="4" w:space="0" w:color="auto"/>
              <w:right w:val="single" w:sz="4" w:space="0" w:color="auto"/>
            </w:tcBorders>
          </w:tcPr>
          <w:p w14:paraId="00EBD1DC" w14:textId="77777777" w:rsidR="00B97365" w:rsidRDefault="00000000">
            <w:pPr>
              <w:spacing w:before="0" w:after="200" w:line="276" w:lineRule="auto"/>
              <w:jc w:val="left"/>
              <w:rPr>
                <w:szCs w:val="22"/>
                <w:lang w:val="en-US" w:eastAsia="en-GB" w:bidi="ar-SA"/>
              </w:rPr>
            </w:pPr>
            <w:r>
              <w:rPr>
                <w:szCs w:val="22"/>
                <w:lang w:val="en-US" w:eastAsia="en-GB" w:bidi="ar-SA"/>
              </w:rPr>
              <w:t>rps3:ES4-DisableProfileResponse</w:t>
            </w:r>
          </w:p>
        </w:tc>
      </w:tr>
      <w:tr w:rsidR="00B97365" w14:paraId="440ED050"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0294FDB9" w14:textId="77777777" w:rsidR="00B97365" w:rsidRDefault="00000000">
            <w:pPr>
              <w:spacing w:before="0" w:after="200" w:line="276" w:lineRule="auto"/>
              <w:jc w:val="left"/>
              <w:rPr>
                <w:szCs w:val="22"/>
                <w:lang w:eastAsia="en-US"/>
              </w:rPr>
            </w:pPr>
            <w:r>
              <w:rPr>
                <w:szCs w:val="22"/>
                <w:lang w:eastAsia="en-US" w:bidi="ar-SA"/>
              </w:rPr>
              <w:t>ES4.DeleteProfile</w:t>
            </w:r>
          </w:p>
        </w:tc>
        <w:tc>
          <w:tcPr>
            <w:tcW w:w="5529" w:type="dxa"/>
            <w:tcBorders>
              <w:top w:val="single" w:sz="4" w:space="0" w:color="auto"/>
              <w:left w:val="single" w:sz="4" w:space="0" w:color="auto"/>
              <w:bottom w:val="single" w:sz="4" w:space="0" w:color="auto"/>
              <w:right w:val="single" w:sz="4" w:space="0" w:color="auto"/>
            </w:tcBorders>
          </w:tcPr>
          <w:p w14:paraId="28D665DE" w14:textId="77777777" w:rsidR="00B97365" w:rsidRDefault="00000000">
            <w:pPr>
              <w:spacing w:before="0" w:after="200" w:line="276" w:lineRule="auto"/>
              <w:jc w:val="left"/>
              <w:rPr>
                <w:szCs w:val="22"/>
                <w:lang w:val="en-US" w:eastAsia="en-GB" w:bidi="ar-SA"/>
              </w:rPr>
            </w:pPr>
            <w:r>
              <w:rPr>
                <w:szCs w:val="22"/>
                <w:lang w:val="en-US" w:eastAsia="en-GB" w:bidi="ar-SA"/>
              </w:rPr>
              <w:t>rps3:ES4-DeleteProfileRequest</w:t>
            </w:r>
          </w:p>
        </w:tc>
      </w:tr>
      <w:tr w:rsidR="00B97365" w14:paraId="7F505FB4"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075A75AB" w14:textId="77777777" w:rsidR="00B97365" w:rsidRDefault="00B97365">
            <w:pPr>
              <w:spacing w:before="0" w:after="200" w:line="276" w:lineRule="auto"/>
              <w:jc w:val="left"/>
              <w:rPr>
                <w:szCs w:val="22"/>
                <w:lang w:eastAsia="en-US"/>
              </w:rPr>
            </w:pPr>
          </w:p>
        </w:tc>
        <w:tc>
          <w:tcPr>
            <w:tcW w:w="5529" w:type="dxa"/>
            <w:tcBorders>
              <w:top w:val="single" w:sz="4" w:space="0" w:color="auto"/>
              <w:left w:val="single" w:sz="4" w:space="0" w:color="auto"/>
              <w:bottom w:val="single" w:sz="4" w:space="0" w:color="auto"/>
              <w:right w:val="single" w:sz="4" w:space="0" w:color="auto"/>
            </w:tcBorders>
          </w:tcPr>
          <w:p w14:paraId="3460C41D" w14:textId="77777777" w:rsidR="00B97365" w:rsidRDefault="00000000">
            <w:pPr>
              <w:spacing w:before="0" w:after="200" w:line="276" w:lineRule="auto"/>
              <w:jc w:val="left"/>
              <w:rPr>
                <w:szCs w:val="22"/>
                <w:lang w:val="en-US" w:eastAsia="en-GB" w:bidi="ar-SA"/>
              </w:rPr>
            </w:pPr>
            <w:r>
              <w:rPr>
                <w:szCs w:val="22"/>
                <w:lang w:val="en-US" w:eastAsia="en-GB" w:bidi="ar-SA"/>
              </w:rPr>
              <w:t>rps3:ES4-DeleteProfileResponse</w:t>
            </w:r>
          </w:p>
        </w:tc>
      </w:tr>
      <w:tr w:rsidR="00B97365" w14:paraId="5E55394C"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49746E0E" w14:textId="77777777" w:rsidR="00B97365" w:rsidRDefault="00000000">
            <w:pPr>
              <w:spacing w:before="0" w:after="200" w:line="276" w:lineRule="auto"/>
              <w:jc w:val="left"/>
              <w:rPr>
                <w:szCs w:val="22"/>
                <w:lang w:eastAsia="en-US"/>
              </w:rPr>
            </w:pPr>
            <w:r>
              <w:rPr>
                <w:szCs w:val="22"/>
                <w:lang w:eastAsia="en-US"/>
              </w:rPr>
              <w:t>ES4.PrepareSMSRChange</w:t>
            </w:r>
          </w:p>
        </w:tc>
        <w:tc>
          <w:tcPr>
            <w:tcW w:w="5529" w:type="dxa"/>
            <w:tcBorders>
              <w:top w:val="single" w:sz="4" w:space="0" w:color="auto"/>
              <w:left w:val="single" w:sz="4" w:space="0" w:color="auto"/>
              <w:bottom w:val="single" w:sz="4" w:space="0" w:color="auto"/>
              <w:right w:val="single" w:sz="4" w:space="0" w:color="auto"/>
            </w:tcBorders>
          </w:tcPr>
          <w:p w14:paraId="12AEFE0F" w14:textId="77777777" w:rsidR="00B97365" w:rsidRDefault="00000000">
            <w:pPr>
              <w:spacing w:before="0" w:after="200" w:line="276" w:lineRule="auto"/>
              <w:jc w:val="left"/>
              <w:rPr>
                <w:szCs w:val="22"/>
                <w:lang w:val="en-US" w:eastAsia="en-GB" w:bidi="ar-SA"/>
              </w:rPr>
            </w:pPr>
            <w:r>
              <w:rPr>
                <w:szCs w:val="22"/>
                <w:lang w:val="en-US" w:eastAsia="en-GB" w:bidi="ar-SA"/>
              </w:rPr>
              <w:t>rps3:ES4-PrepareSMSRChangeRequest</w:t>
            </w:r>
          </w:p>
        </w:tc>
      </w:tr>
      <w:tr w:rsidR="00B97365" w14:paraId="5A25113E"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06840D20" w14:textId="77777777" w:rsidR="00B97365" w:rsidRDefault="00B97365">
            <w:pPr>
              <w:spacing w:before="0" w:after="200" w:line="276" w:lineRule="auto"/>
              <w:jc w:val="left"/>
              <w:rPr>
                <w:szCs w:val="22"/>
                <w:lang w:eastAsia="en-US"/>
              </w:rPr>
            </w:pPr>
          </w:p>
        </w:tc>
        <w:tc>
          <w:tcPr>
            <w:tcW w:w="5529" w:type="dxa"/>
            <w:tcBorders>
              <w:top w:val="single" w:sz="4" w:space="0" w:color="auto"/>
              <w:left w:val="single" w:sz="4" w:space="0" w:color="auto"/>
              <w:bottom w:val="single" w:sz="4" w:space="0" w:color="auto"/>
              <w:right w:val="single" w:sz="4" w:space="0" w:color="auto"/>
            </w:tcBorders>
          </w:tcPr>
          <w:p w14:paraId="12F8496A" w14:textId="77777777" w:rsidR="00B97365" w:rsidRDefault="00000000">
            <w:pPr>
              <w:spacing w:before="0" w:after="200" w:line="276" w:lineRule="auto"/>
              <w:jc w:val="left"/>
              <w:rPr>
                <w:szCs w:val="22"/>
                <w:lang w:val="en-US" w:eastAsia="en-GB" w:bidi="ar-SA"/>
              </w:rPr>
            </w:pPr>
            <w:r>
              <w:rPr>
                <w:szCs w:val="22"/>
                <w:lang w:val="en-US" w:eastAsia="en-GB" w:bidi="ar-SA"/>
              </w:rPr>
              <w:t>rps3:ES4-PrepareSMSRChangeResponse</w:t>
            </w:r>
          </w:p>
        </w:tc>
      </w:tr>
      <w:tr w:rsidR="00B97365" w14:paraId="76EEE829"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5B135808" w14:textId="77777777" w:rsidR="00B97365" w:rsidRDefault="00000000">
            <w:pPr>
              <w:spacing w:before="0" w:after="200" w:line="276" w:lineRule="auto"/>
              <w:jc w:val="left"/>
              <w:rPr>
                <w:szCs w:val="22"/>
                <w:lang w:eastAsia="en-US"/>
              </w:rPr>
            </w:pPr>
            <w:r>
              <w:rPr>
                <w:szCs w:val="22"/>
                <w:lang w:eastAsia="en-US" w:bidi="ar-SA"/>
              </w:rPr>
              <w:t>ES4.SMSRChange</w:t>
            </w:r>
          </w:p>
        </w:tc>
        <w:tc>
          <w:tcPr>
            <w:tcW w:w="5529" w:type="dxa"/>
            <w:tcBorders>
              <w:top w:val="single" w:sz="4" w:space="0" w:color="auto"/>
              <w:left w:val="single" w:sz="4" w:space="0" w:color="auto"/>
              <w:bottom w:val="single" w:sz="4" w:space="0" w:color="auto"/>
              <w:right w:val="single" w:sz="4" w:space="0" w:color="auto"/>
            </w:tcBorders>
          </w:tcPr>
          <w:p w14:paraId="102502F3" w14:textId="77777777" w:rsidR="00B97365" w:rsidRDefault="00000000">
            <w:pPr>
              <w:spacing w:before="0" w:after="200" w:line="276" w:lineRule="auto"/>
              <w:jc w:val="left"/>
              <w:rPr>
                <w:szCs w:val="22"/>
                <w:lang w:val="en-US" w:eastAsia="en-GB" w:bidi="ar-SA"/>
              </w:rPr>
            </w:pPr>
            <w:r>
              <w:rPr>
                <w:szCs w:val="22"/>
                <w:lang w:val="en-US" w:eastAsia="en-GB" w:bidi="ar-SA"/>
              </w:rPr>
              <w:t>rps3:ES4-SMSRChangeRequest</w:t>
            </w:r>
          </w:p>
        </w:tc>
      </w:tr>
      <w:tr w:rsidR="00B97365" w14:paraId="73C4B6A5"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464D5C76" w14:textId="77777777" w:rsidR="00B97365" w:rsidRDefault="00B97365">
            <w:pPr>
              <w:spacing w:before="0" w:after="200" w:line="276" w:lineRule="auto"/>
              <w:jc w:val="left"/>
              <w:rPr>
                <w:szCs w:val="22"/>
                <w:lang w:eastAsia="en-US"/>
              </w:rPr>
            </w:pPr>
          </w:p>
        </w:tc>
        <w:tc>
          <w:tcPr>
            <w:tcW w:w="5529" w:type="dxa"/>
            <w:tcBorders>
              <w:top w:val="single" w:sz="4" w:space="0" w:color="auto"/>
              <w:left w:val="single" w:sz="4" w:space="0" w:color="auto"/>
              <w:bottom w:val="single" w:sz="4" w:space="0" w:color="auto"/>
              <w:right w:val="single" w:sz="4" w:space="0" w:color="auto"/>
            </w:tcBorders>
          </w:tcPr>
          <w:p w14:paraId="20E1068B" w14:textId="77777777" w:rsidR="00B97365" w:rsidRDefault="00000000">
            <w:pPr>
              <w:spacing w:before="0" w:after="200" w:line="276" w:lineRule="auto"/>
              <w:jc w:val="left"/>
              <w:rPr>
                <w:szCs w:val="22"/>
                <w:lang w:val="en-US" w:eastAsia="en-GB" w:bidi="ar-SA"/>
              </w:rPr>
            </w:pPr>
            <w:r>
              <w:rPr>
                <w:szCs w:val="22"/>
                <w:lang w:val="en-US" w:eastAsia="en-GB" w:bidi="ar-SA"/>
              </w:rPr>
              <w:t>rps3:ES4-SMSRChangeResponse</w:t>
            </w:r>
          </w:p>
        </w:tc>
      </w:tr>
      <w:tr w:rsidR="00B97365" w14:paraId="0D1C032A"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5C9FC1F7" w14:textId="77777777" w:rsidR="00B97365" w:rsidRDefault="00000000">
            <w:pPr>
              <w:spacing w:before="0" w:after="200" w:line="276" w:lineRule="auto"/>
              <w:jc w:val="left"/>
              <w:rPr>
                <w:szCs w:val="22"/>
                <w:lang w:eastAsia="en-US"/>
              </w:rPr>
            </w:pPr>
            <w:r>
              <w:rPr>
                <w:szCs w:val="22"/>
                <w:lang w:eastAsia="en-US" w:bidi="ar-SA"/>
              </w:rPr>
              <w:t>ES4.HandleProfileDisabledNotification</w:t>
            </w:r>
          </w:p>
        </w:tc>
        <w:tc>
          <w:tcPr>
            <w:tcW w:w="5529" w:type="dxa"/>
            <w:tcBorders>
              <w:top w:val="single" w:sz="4" w:space="0" w:color="auto"/>
              <w:left w:val="single" w:sz="4" w:space="0" w:color="auto"/>
              <w:bottom w:val="single" w:sz="4" w:space="0" w:color="auto"/>
              <w:right w:val="single" w:sz="4" w:space="0" w:color="auto"/>
            </w:tcBorders>
          </w:tcPr>
          <w:p w14:paraId="77E0FB77" w14:textId="77777777" w:rsidR="00B97365" w:rsidRDefault="00000000">
            <w:pPr>
              <w:spacing w:before="0" w:after="200" w:line="276" w:lineRule="auto"/>
              <w:jc w:val="left"/>
              <w:rPr>
                <w:szCs w:val="22"/>
                <w:lang w:val="en-US" w:eastAsia="en-GB" w:bidi="ar-SA"/>
              </w:rPr>
            </w:pPr>
            <w:r>
              <w:rPr>
                <w:szCs w:val="22"/>
                <w:lang w:val="en-US" w:eastAsia="en-GB" w:bidi="ar-SA"/>
              </w:rPr>
              <w:t>rps3:ES4-HandleProfileDisabledNotification</w:t>
            </w:r>
          </w:p>
        </w:tc>
      </w:tr>
      <w:tr w:rsidR="00B97365" w14:paraId="7B288A19"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06B20A59" w14:textId="77777777" w:rsidR="00B97365" w:rsidRDefault="00000000">
            <w:pPr>
              <w:spacing w:before="0" w:after="200" w:line="276" w:lineRule="auto"/>
              <w:jc w:val="left"/>
              <w:rPr>
                <w:szCs w:val="22"/>
                <w:lang w:eastAsia="en-US"/>
              </w:rPr>
            </w:pPr>
            <w:r>
              <w:rPr>
                <w:szCs w:val="22"/>
                <w:lang w:eastAsia="en-US" w:bidi="ar-SA"/>
              </w:rPr>
              <w:t>ES4.HandleProfileEnabledNotification</w:t>
            </w:r>
          </w:p>
        </w:tc>
        <w:tc>
          <w:tcPr>
            <w:tcW w:w="5529" w:type="dxa"/>
            <w:tcBorders>
              <w:top w:val="single" w:sz="4" w:space="0" w:color="auto"/>
              <w:left w:val="single" w:sz="4" w:space="0" w:color="auto"/>
              <w:bottom w:val="single" w:sz="4" w:space="0" w:color="auto"/>
              <w:right w:val="single" w:sz="4" w:space="0" w:color="auto"/>
            </w:tcBorders>
          </w:tcPr>
          <w:p w14:paraId="7743B2A0" w14:textId="77777777" w:rsidR="00B97365" w:rsidRDefault="00000000">
            <w:pPr>
              <w:spacing w:before="0" w:after="200" w:line="276" w:lineRule="auto"/>
              <w:jc w:val="left"/>
              <w:rPr>
                <w:szCs w:val="22"/>
                <w:lang w:val="en-US" w:eastAsia="en-GB" w:bidi="ar-SA"/>
              </w:rPr>
            </w:pPr>
            <w:r>
              <w:rPr>
                <w:szCs w:val="22"/>
                <w:lang w:val="en-US" w:eastAsia="en-GB" w:bidi="ar-SA"/>
              </w:rPr>
              <w:t>rps3:ES4-HandleProfileEnabledNotification</w:t>
            </w:r>
          </w:p>
        </w:tc>
      </w:tr>
      <w:tr w:rsidR="00B97365" w14:paraId="4B89B409"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5D46E986" w14:textId="77777777" w:rsidR="00B97365" w:rsidRDefault="00000000">
            <w:pPr>
              <w:spacing w:before="0" w:after="200" w:line="276" w:lineRule="auto"/>
              <w:jc w:val="left"/>
              <w:rPr>
                <w:szCs w:val="22"/>
                <w:lang w:eastAsia="en-US"/>
              </w:rPr>
            </w:pPr>
            <w:r>
              <w:rPr>
                <w:szCs w:val="22"/>
                <w:lang w:eastAsia="en-US"/>
              </w:rPr>
              <w:t>ES4.HandleSMSRChangeNotification</w:t>
            </w:r>
          </w:p>
        </w:tc>
        <w:tc>
          <w:tcPr>
            <w:tcW w:w="5529" w:type="dxa"/>
            <w:tcBorders>
              <w:top w:val="single" w:sz="4" w:space="0" w:color="auto"/>
              <w:left w:val="single" w:sz="4" w:space="0" w:color="auto"/>
              <w:bottom w:val="single" w:sz="4" w:space="0" w:color="auto"/>
              <w:right w:val="single" w:sz="4" w:space="0" w:color="auto"/>
            </w:tcBorders>
          </w:tcPr>
          <w:p w14:paraId="0479B10B" w14:textId="77777777" w:rsidR="00B97365" w:rsidRDefault="00000000">
            <w:pPr>
              <w:spacing w:before="0" w:after="200" w:line="276" w:lineRule="auto"/>
              <w:jc w:val="left"/>
              <w:rPr>
                <w:szCs w:val="22"/>
                <w:lang w:val="en-US" w:eastAsia="en-GB" w:bidi="ar-SA"/>
              </w:rPr>
            </w:pPr>
            <w:r>
              <w:rPr>
                <w:szCs w:val="22"/>
                <w:lang w:val="en-US" w:eastAsia="en-GB" w:bidi="ar-SA"/>
              </w:rPr>
              <w:t>rps3:ES4-HandleSMSRChangeNotification</w:t>
            </w:r>
          </w:p>
        </w:tc>
      </w:tr>
      <w:tr w:rsidR="00B97365" w14:paraId="109BB8D1"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7CCC8A38" w14:textId="77777777" w:rsidR="00B97365" w:rsidRDefault="00000000">
            <w:pPr>
              <w:spacing w:before="0" w:after="200" w:line="276" w:lineRule="auto"/>
              <w:jc w:val="left"/>
              <w:rPr>
                <w:szCs w:val="22"/>
                <w:lang w:eastAsia="en-US"/>
              </w:rPr>
            </w:pPr>
            <w:r>
              <w:rPr>
                <w:szCs w:val="22"/>
                <w:lang w:eastAsia="en-US" w:bidi="ar-SA"/>
              </w:rPr>
              <w:t>ES4.HandleProfileDeletedNotification</w:t>
            </w:r>
          </w:p>
        </w:tc>
        <w:tc>
          <w:tcPr>
            <w:tcW w:w="5529" w:type="dxa"/>
            <w:tcBorders>
              <w:top w:val="single" w:sz="4" w:space="0" w:color="auto"/>
              <w:left w:val="single" w:sz="4" w:space="0" w:color="auto"/>
              <w:bottom w:val="single" w:sz="4" w:space="0" w:color="auto"/>
              <w:right w:val="single" w:sz="4" w:space="0" w:color="auto"/>
            </w:tcBorders>
          </w:tcPr>
          <w:p w14:paraId="4DDF7516" w14:textId="77777777" w:rsidR="00B97365" w:rsidRDefault="00000000">
            <w:pPr>
              <w:spacing w:before="0" w:after="200" w:line="276" w:lineRule="auto"/>
              <w:jc w:val="left"/>
              <w:rPr>
                <w:szCs w:val="22"/>
                <w:lang w:val="en-US" w:eastAsia="en-GB" w:bidi="ar-SA"/>
              </w:rPr>
            </w:pPr>
            <w:r>
              <w:rPr>
                <w:szCs w:val="22"/>
                <w:lang w:val="en-US" w:eastAsia="en-GB" w:bidi="ar-SA"/>
              </w:rPr>
              <w:t>rps3:ES4-HandleProfileDeletedNotification</w:t>
            </w:r>
          </w:p>
        </w:tc>
      </w:tr>
      <w:tr w:rsidR="00B97365" w14:paraId="58A8166C" w14:textId="77777777">
        <w:trPr>
          <w:trHeight w:val="435"/>
        </w:trPr>
        <w:tc>
          <w:tcPr>
            <w:tcW w:w="3964" w:type="dxa"/>
            <w:vMerge w:val="restart"/>
            <w:tcBorders>
              <w:top w:val="single" w:sz="4" w:space="0" w:color="auto"/>
              <w:left w:val="single" w:sz="4" w:space="0" w:color="auto"/>
              <w:bottom w:val="single" w:sz="4" w:space="0" w:color="auto"/>
              <w:right w:val="single" w:sz="4" w:space="0" w:color="auto"/>
            </w:tcBorders>
          </w:tcPr>
          <w:p w14:paraId="410DEC03" w14:textId="77777777" w:rsidR="00B97365" w:rsidRDefault="00000000">
            <w:pPr>
              <w:spacing w:before="0" w:after="200" w:line="276" w:lineRule="auto"/>
              <w:jc w:val="left"/>
              <w:rPr>
                <w:szCs w:val="22"/>
                <w:lang w:eastAsia="en-US" w:bidi="ar-SA"/>
              </w:rPr>
            </w:pPr>
            <w:r>
              <w:rPr>
                <w:szCs w:val="22"/>
                <w:lang w:eastAsia="en-US"/>
              </w:rPr>
              <w:t>ES4.GetPLMA</w:t>
            </w:r>
          </w:p>
        </w:tc>
        <w:tc>
          <w:tcPr>
            <w:tcW w:w="5529" w:type="dxa"/>
            <w:tcBorders>
              <w:top w:val="single" w:sz="4" w:space="0" w:color="auto"/>
              <w:left w:val="single" w:sz="4" w:space="0" w:color="auto"/>
              <w:bottom w:val="single" w:sz="4" w:space="0" w:color="auto"/>
              <w:right w:val="single" w:sz="4" w:space="0" w:color="auto"/>
            </w:tcBorders>
          </w:tcPr>
          <w:p w14:paraId="4E2410DF" w14:textId="77777777" w:rsidR="00B97365" w:rsidRDefault="00000000">
            <w:pPr>
              <w:spacing w:before="0" w:after="200" w:line="276" w:lineRule="auto"/>
              <w:jc w:val="left"/>
              <w:rPr>
                <w:szCs w:val="22"/>
                <w:lang w:val="en-US" w:eastAsia="en-GB" w:bidi="ar-SA"/>
              </w:rPr>
            </w:pPr>
            <w:r>
              <w:rPr>
                <w:szCs w:val="22"/>
                <w:lang w:val="en-US" w:eastAsia="en-GB" w:bidi="ar-SA"/>
              </w:rPr>
              <w:t>rps4:ES4-GetPLMARequest</w:t>
            </w:r>
          </w:p>
        </w:tc>
      </w:tr>
      <w:tr w:rsidR="00B97365" w14:paraId="0EB0881F" w14:textId="77777777">
        <w:trPr>
          <w:trHeight w:val="435"/>
        </w:trPr>
        <w:tc>
          <w:tcPr>
            <w:tcW w:w="3964" w:type="dxa"/>
            <w:vMerge/>
            <w:tcBorders>
              <w:top w:val="single" w:sz="4" w:space="0" w:color="auto"/>
              <w:left w:val="single" w:sz="4" w:space="0" w:color="auto"/>
              <w:bottom w:val="single" w:sz="4" w:space="0" w:color="auto"/>
              <w:right w:val="single" w:sz="4" w:space="0" w:color="auto"/>
            </w:tcBorders>
          </w:tcPr>
          <w:p w14:paraId="43711E27" w14:textId="77777777" w:rsidR="00B97365" w:rsidRDefault="00B97365">
            <w:pPr>
              <w:spacing w:before="0" w:after="200" w:line="276" w:lineRule="auto"/>
              <w:jc w:val="left"/>
              <w:rPr>
                <w:szCs w:val="22"/>
                <w:lang w:eastAsia="en-US" w:bidi="ar-SA"/>
              </w:rPr>
            </w:pPr>
          </w:p>
        </w:tc>
        <w:tc>
          <w:tcPr>
            <w:tcW w:w="5529" w:type="dxa"/>
            <w:tcBorders>
              <w:top w:val="single" w:sz="4" w:space="0" w:color="auto"/>
              <w:left w:val="single" w:sz="4" w:space="0" w:color="auto"/>
              <w:bottom w:val="single" w:sz="4" w:space="0" w:color="auto"/>
              <w:right w:val="single" w:sz="4" w:space="0" w:color="auto"/>
            </w:tcBorders>
          </w:tcPr>
          <w:p w14:paraId="659E8DBD" w14:textId="77777777" w:rsidR="00B97365" w:rsidRDefault="00000000">
            <w:pPr>
              <w:spacing w:before="0" w:after="200" w:line="276" w:lineRule="auto"/>
              <w:jc w:val="left"/>
              <w:rPr>
                <w:szCs w:val="22"/>
                <w:lang w:val="en-US" w:eastAsia="en-GB" w:bidi="ar-SA"/>
              </w:rPr>
            </w:pPr>
            <w:r>
              <w:rPr>
                <w:szCs w:val="22"/>
                <w:lang w:val="en-US" w:eastAsia="en-GB" w:bidi="ar-SA"/>
              </w:rPr>
              <w:t>rps4:ES4-GetPLMAResponse</w:t>
            </w:r>
          </w:p>
        </w:tc>
      </w:tr>
      <w:tr w:rsidR="00B97365" w14:paraId="0B23F4C8"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2562B56D" w14:textId="77777777" w:rsidR="00B97365" w:rsidRDefault="00000000">
            <w:pPr>
              <w:spacing w:before="0" w:after="200" w:line="276" w:lineRule="auto"/>
              <w:jc w:val="left"/>
              <w:rPr>
                <w:szCs w:val="22"/>
                <w:lang w:eastAsia="en-US" w:bidi="ar-SA"/>
              </w:rPr>
            </w:pPr>
            <w:r>
              <w:rPr>
                <w:szCs w:val="22"/>
                <w:lang w:val="en-US" w:eastAsia="en-GB" w:bidi="ar-SA"/>
              </w:rPr>
              <w:t>ES4.HandleProfileDownloadedNotification</w:t>
            </w:r>
          </w:p>
        </w:tc>
        <w:tc>
          <w:tcPr>
            <w:tcW w:w="5529" w:type="dxa"/>
            <w:tcBorders>
              <w:top w:val="single" w:sz="4" w:space="0" w:color="auto"/>
              <w:left w:val="single" w:sz="4" w:space="0" w:color="auto"/>
              <w:bottom w:val="single" w:sz="4" w:space="0" w:color="auto"/>
              <w:right w:val="single" w:sz="4" w:space="0" w:color="auto"/>
            </w:tcBorders>
          </w:tcPr>
          <w:p w14:paraId="56D6D7DC" w14:textId="77777777" w:rsidR="00B97365" w:rsidRDefault="00000000">
            <w:pPr>
              <w:spacing w:before="0" w:after="200" w:line="276" w:lineRule="auto"/>
              <w:jc w:val="left"/>
              <w:rPr>
                <w:szCs w:val="22"/>
                <w:lang w:val="en-US" w:eastAsia="en-GB" w:bidi="ar-SA"/>
              </w:rPr>
            </w:pPr>
            <w:r>
              <w:rPr>
                <w:szCs w:val="22"/>
                <w:lang w:val="en-US" w:eastAsia="en-GB" w:bidi="ar-SA"/>
              </w:rPr>
              <w:t>rps4:ES4-HandleProfileDownloadedNotification</w:t>
            </w:r>
          </w:p>
        </w:tc>
      </w:tr>
      <w:tr w:rsidR="00B97365" w14:paraId="4877B91B"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7D7258AC" w14:textId="77777777" w:rsidR="00B97365" w:rsidRDefault="00000000">
            <w:pPr>
              <w:spacing w:before="0" w:after="200" w:line="276" w:lineRule="auto"/>
              <w:jc w:val="left"/>
              <w:rPr>
                <w:szCs w:val="22"/>
                <w:lang w:eastAsia="en-US" w:bidi="ar-SA"/>
              </w:rPr>
            </w:pPr>
            <w:r>
              <w:rPr>
                <w:szCs w:val="22"/>
                <w:lang w:val="en-US" w:eastAsia="en-GB" w:bidi="ar-SA"/>
              </w:rPr>
              <w:t>ES4.HandlePLMAChangedNotification</w:t>
            </w:r>
          </w:p>
        </w:tc>
        <w:tc>
          <w:tcPr>
            <w:tcW w:w="5529" w:type="dxa"/>
            <w:tcBorders>
              <w:top w:val="single" w:sz="4" w:space="0" w:color="auto"/>
              <w:left w:val="single" w:sz="4" w:space="0" w:color="auto"/>
              <w:bottom w:val="single" w:sz="4" w:space="0" w:color="auto"/>
              <w:right w:val="single" w:sz="4" w:space="0" w:color="auto"/>
            </w:tcBorders>
          </w:tcPr>
          <w:p w14:paraId="26C0AB48" w14:textId="77777777" w:rsidR="00B97365" w:rsidRDefault="00000000">
            <w:pPr>
              <w:spacing w:before="0" w:after="200" w:line="276" w:lineRule="auto"/>
              <w:jc w:val="left"/>
              <w:rPr>
                <w:szCs w:val="22"/>
                <w:lang w:val="en-US" w:eastAsia="en-GB" w:bidi="ar-SA"/>
              </w:rPr>
            </w:pPr>
            <w:r>
              <w:rPr>
                <w:szCs w:val="22"/>
                <w:lang w:val="en-US" w:eastAsia="en-GB" w:bidi="ar-SA"/>
              </w:rPr>
              <w:t>rps4:ES4-HandlePLMAChangedNotification</w:t>
            </w:r>
          </w:p>
        </w:tc>
      </w:tr>
      <w:tr w:rsidR="00B97365" w14:paraId="49AEE7D1"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34051361" w14:textId="77777777" w:rsidR="00B97365" w:rsidRDefault="00000000">
            <w:pPr>
              <w:spacing w:before="0" w:after="200" w:line="276" w:lineRule="auto"/>
              <w:jc w:val="left"/>
              <w:rPr>
                <w:szCs w:val="22"/>
                <w:lang w:eastAsia="en-US" w:bidi="ar-SA"/>
              </w:rPr>
            </w:pPr>
            <w:r>
              <w:rPr>
                <w:szCs w:val="22"/>
                <w:lang w:val="en-US" w:eastAsia="en-GB" w:bidi="ar-SA"/>
              </w:rPr>
              <w:t>ES4.HandlePolicyRulesUpdatedNotification</w:t>
            </w:r>
          </w:p>
        </w:tc>
        <w:tc>
          <w:tcPr>
            <w:tcW w:w="5529" w:type="dxa"/>
            <w:tcBorders>
              <w:top w:val="single" w:sz="4" w:space="0" w:color="auto"/>
              <w:left w:val="single" w:sz="4" w:space="0" w:color="auto"/>
              <w:bottom w:val="single" w:sz="4" w:space="0" w:color="auto"/>
              <w:right w:val="single" w:sz="4" w:space="0" w:color="auto"/>
            </w:tcBorders>
          </w:tcPr>
          <w:p w14:paraId="41C55085" w14:textId="77777777" w:rsidR="00B97365" w:rsidRDefault="00000000">
            <w:pPr>
              <w:spacing w:before="0" w:after="200" w:line="276" w:lineRule="auto"/>
              <w:jc w:val="left"/>
              <w:rPr>
                <w:szCs w:val="22"/>
                <w:lang w:val="en-US" w:eastAsia="en-GB" w:bidi="ar-SA"/>
              </w:rPr>
            </w:pPr>
            <w:r>
              <w:rPr>
                <w:szCs w:val="22"/>
                <w:lang w:val="en-US" w:eastAsia="en-GB" w:bidi="ar-SA"/>
              </w:rPr>
              <w:t>rps4:ES4-HandlePolicyRulesUpdatedNotification</w:t>
            </w:r>
          </w:p>
        </w:tc>
      </w:tr>
      <w:tr w:rsidR="00B97365" w14:paraId="19BC2EC3"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56000D2C" w14:textId="77777777" w:rsidR="00B97365" w:rsidRDefault="00000000">
            <w:pPr>
              <w:spacing w:before="0" w:after="200" w:line="276" w:lineRule="auto"/>
              <w:jc w:val="left"/>
              <w:rPr>
                <w:szCs w:val="22"/>
                <w:lang w:eastAsia="en-US" w:bidi="ar-SA"/>
              </w:rPr>
            </w:pPr>
            <w:r>
              <w:rPr>
                <w:szCs w:val="22"/>
                <w:lang w:val="en-US" w:eastAsia="en-GB" w:bidi="ar-SA"/>
              </w:rPr>
              <w:lastRenderedPageBreak/>
              <w:t>ES4.</w:t>
            </w:r>
            <w:r>
              <w:rPr>
                <w:szCs w:val="22"/>
                <w:lang w:eastAsia="en-GB" w:bidi="ar-SA"/>
              </w:rPr>
              <w:t>HandleEmergencyProfileAttributeSetNotification</w:t>
            </w:r>
          </w:p>
        </w:tc>
        <w:tc>
          <w:tcPr>
            <w:tcW w:w="5529" w:type="dxa"/>
            <w:tcBorders>
              <w:top w:val="single" w:sz="4" w:space="0" w:color="auto"/>
              <w:left w:val="single" w:sz="4" w:space="0" w:color="auto"/>
              <w:bottom w:val="single" w:sz="4" w:space="0" w:color="auto"/>
              <w:right w:val="single" w:sz="4" w:space="0" w:color="auto"/>
            </w:tcBorders>
          </w:tcPr>
          <w:p w14:paraId="5B063F6D" w14:textId="77777777" w:rsidR="00B97365" w:rsidRDefault="00000000">
            <w:pPr>
              <w:spacing w:before="0" w:after="200" w:line="276" w:lineRule="auto"/>
              <w:jc w:val="left"/>
              <w:rPr>
                <w:szCs w:val="22"/>
                <w:lang w:val="en-US" w:eastAsia="en-GB" w:bidi="ar-SA"/>
              </w:rPr>
            </w:pPr>
            <w:r>
              <w:rPr>
                <w:szCs w:val="22"/>
                <w:lang w:val="en-US" w:eastAsia="en-GB" w:bidi="ar-SA"/>
              </w:rPr>
              <w:t>rps4:ES4-</w:t>
            </w:r>
            <w:r>
              <w:rPr>
                <w:szCs w:val="22"/>
                <w:lang w:eastAsia="en-GB" w:bidi="ar-SA"/>
              </w:rPr>
              <w:t>HandleEmergencyProfileAttributeSetNotification</w:t>
            </w:r>
          </w:p>
        </w:tc>
      </w:tr>
      <w:tr w:rsidR="00B97365" w14:paraId="163F8470"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635AB379" w14:textId="77777777" w:rsidR="00B97365" w:rsidRDefault="00000000">
            <w:pPr>
              <w:spacing w:before="0" w:after="200" w:line="276" w:lineRule="auto"/>
              <w:jc w:val="left"/>
              <w:rPr>
                <w:szCs w:val="22"/>
                <w:lang w:eastAsia="en-US" w:bidi="ar-SA"/>
              </w:rPr>
            </w:pPr>
            <w:r>
              <w:rPr>
                <w:szCs w:val="22"/>
                <w:lang w:val="en-US" w:eastAsia="en-GB" w:bidi="ar-SA"/>
              </w:rPr>
              <w:t>ES4.</w:t>
            </w:r>
            <w:r>
              <w:rPr>
                <w:szCs w:val="22"/>
                <w:lang w:eastAsia="en-GB" w:bidi="ar-SA"/>
              </w:rPr>
              <w:t>HandleEmergencyProfileAttributeUnsetNotification</w:t>
            </w:r>
          </w:p>
        </w:tc>
        <w:tc>
          <w:tcPr>
            <w:tcW w:w="5529" w:type="dxa"/>
            <w:tcBorders>
              <w:top w:val="single" w:sz="4" w:space="0" w:color="auto"/>
              <w:left w:val="single" w:sz="4" w:space="0" w:color="auto"/>
              <w:bottom w:val="single" w:sz="4" w:space="0" w:color="auto"/>
              <w:right w:val="single" w:sz="4" w:space="0" w:color="auto"/>
            </w:tcBorders>
          </w:tcPr>
          <w:p w14:paraId="29A4117C" w14:textId="77777777" w:rsidR="00B97365" w:rsidRDefault="00000000">
            <w:pPr>
              <w:spacing w:before="0" w:after="200" w:line="276" w:lineRule="auto"/>
              <w:jc w:val="left"/>
              <w:rPr>
                <w:szCs w:val="22"/>
                <w:lang w:val="en-US" w:eastAsia="en-GB" w:bidi="ar-SA"/>
              </w:rPr>
            </w:pPr>
            <w:r>
              <w:rPr>
                <w:szCs w:val="22"/>
                <w:lang w:val="en-US" w:eastAsia="en-GB" w:bidi="ar-SA"/>
              </w:rPr>
              <w:t>rps4:ES4-</w:t>
            </w:r>
            <w:r>
              <w:rPr>
                <w:szCs w:val="22"/>
                <w:lang w:eastAsia="en-GB" w:bidi="ar-SA"/>
              </w:rPr>
              <w:t>HandleEmergencyProfileAttributeUnsetNotification</w:t>
            </w:r>
          </w:p>
        </w:tc>
      </w:tr>
      <w:tr w:rsidR="00B97365" w14:paraId="0EFF8F92"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1DC86D9E" w14:textId="77777777" w:rsidR="00B97365" w:rsidRDefault="00000000">
            <w:pPr>
              <w:spacing w:before="0" w:after="200" w:line="276" w:lineRule="auto"/>
              <w:jc w:val="left"/>
              <w:rPr>
                <w:szCs w:val="22"/>
                <w:lang w:eastAsia="en-US" w:bidi="ar-SA"/>
              </w:rPr>
            </w:pPr>
            <w:r>
              <w:rPr>
                <w:szCs w:val="22"/>
                <w:lang w:val="en-US" w:eastAsia="en-GB" w:bidi="ar-SA"/>
              </w:rPr>
              <w:t>ES4.</w:t>
            </w:r>
            <w:r>
              <w:rPr>
                <w:szCs w:val="22"/>
                <w:lang w:eastAsia="en-GB" w:bidi="ar-SA"/>
              </w:rPr>
              <w:t>HandleProfileFallBackAttributeSetNotification</w:t>
            </w:r>
          </w:p>
        </w:tc>
        <w:tc>
          <w:tcPr>
            <w:tcW w:w="5529" w:type="dxa"/>
            <w:tcBorders>
              <w:top w:val="single" w:sz="4" w:space="0" w:color="auto"/>
              <w:left w:val="single" w:sz="4" w:space="0" w:color="auto"/>
              <w:bottom w:val="single" w:sz="4" w:space="0" w:color="auto"/>
              <w:right w:val="single" w:sz="4" w:space="0" w:color="auto"/>
            </w:tcBorders>
          </w:tcPr>
          <w:p w14:paraId="2D221154" w14:textId="77777777" w:rsidR="00B97365" w:rsidRDefault="00000000">
            <w:pPr>
              <w:spacing w:before="0" w:after="200" w:line="276" w:lineRule="auto"/>
              <w:jc w:val="left"/>
              <w:rPr>
                <w:szCs w:val="22"/>
                <w:lang w:val="en-US" w:eastAsia="en-GB" w:bidi="ar-SA"/>
              </w:rPr>
            </w:pPr>
            <w:r>
              <w:rPr>
                <w:szCs w:val="22"/>
                <w:lang w:val="en-US" w:eastAsia="en-GB" w:bidi="ar-SA"/>
              </w:rPr>
              <w:t>rps4:ES4-</w:t>
            </w:r>
            <w:r>
              <w:rPr>
                <w:szCs w:val="22"/>
                <w:lang w:eastAsia="en-GB" w:bidi="ar-SA"/>
              </w:rPr>
              <w:t>HandleProfileFallBackAttributeSetNotification</w:t>
            </w:r>
          </w:p>
        </w:tc>
      </w:tr>
      <w:tr w:rsidR="00B97365" w14:paraId="6B41C124" w14:textId="77777777">
        <w:trPr>
          <w:trHeight w:val="435"/>
        </w:trPr>
        <w:tc>
          <w:tcPr>
            <w:tcW w:w="3964" w:type="dxa"/>
            <w:tcBorders>
              <w:top w:val="single" w:sz="4" w:space="0" w:color="auto"/>
              <w:left w:val="single" w:sz="4" w:space="0" w:color="auto"/>
              <w:bottom w:val="single" w:sz="4" w:space="0" w:color="auto"/>
              <w:right w:val="single" w:sz="4" w:space="0" w:color="auto"/>
            </w:tcBorders>
          </w:tcPr>
          <w:p w14:paraId="7D339586" w14:textId="77777777" w:rsidR="00B97365" w:rsidRDefault="00000000">
            <w:pPr>
              <w:spacing w:before="0" w:after="200" w:line="276" w:lineRule="auto"/>
              <w:jc w:val="left"/>
              <w:rPr>
                <w:szCs w:val="22"/>
                <w:lang w:eastAsia="en-US" w:bidi="ar-SA"/>
              </w:rPr>
            </w:pPr>
            <w:r>
              <w:rPr>
                <w:szCs w:val="22"/>
                <w:lang w:val="en-US" w:eastAsia="en-GB" w:bidi="ar-SA"/>
              </w:rPr>
              <w:t>ES4.</w:t>
            </w:r>
            <w:r>
              <w:rPr>
                <w:szCs w:val="22"/>
                <w:lang w:eastAsia="en-GB" w:bidi="ar-SA"/>
              </w:rPr>
              <w:t>HandleProfileFallBackAttributeUnsetNotification</w:t>
            </w:r>
          </w:p>
        </w:tc>
        <w:tc>
          <w:tcPr>
            <w:tcW w:w="5529" w:type="dxa"/>
            <w:tcBorders>
              <w:top w:val="single" w:sz="4" w:space="0" w:color="auto"/>
              <w:left w:val="single" w:sz="4" w:space="0" w:color="auto"/>
              <w:bottom w:val="single" w:sz="4" w:space="0" w:color="auto"/>
              <w:right w:val="single" w:sz="4" w:space="0" w:color="auto"/>
            </w:tcBorders>
          </w:tcPr>
          <w:p w14:paraId="3EFC2C71" w14:textId="77777777" w:rsidR="00B97365" w:rsidRDefault="00000000">
            <w:pPr>
              <w:spacing w:before="0" w:after="200" w:line="276" w:lineRule="auto"/>
              <w:jc w:val="left"/>
              <w:rPr>
                <w:szCs w:val="22"/>
                <w:lang w:val="en-US" w:eastAsia="en-GB" w:bidi="ar-SA"/>
              </w:rPr>
            </w:pPr>
            <w:r>
              <w:rPr>
                <w:szCs w:val="22"/>
                <w:lang w:val="en-US" w:eastAsia="en-GB" w:bidi="ar-SA"/>
              </w:rPr>
              <w:t>rps4:ES4-</w:t>
            </w:r>
            <w:r>
              <w:rPr>
                <w:szCs w:val="22"/>
                <w:lang w:eastAsia="en-GB" w:bidi="ar-SA"/>
              </w:rPr>
              <w:t>HandleProfileFallBackAttributeUnsetNotification</w:t>
            </w:r>
          </w:p>
        </w:tc>
      </w:tr>
    </w:tbl>
    <w:p w14:paraId="549B76F7"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A7: ES4 Interface functions</w:t>
      </w:r>
    </w:p>
    <w:p w14:paraId="6B2FC95B"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0256" w:name="_Toc448998344"/>
      <w:bookmarkStart w:id="10257" w:name="_Toc422150884"/>
      <w:bookmarkStart w:id="10258" w:name="_Toc421874469"/>
      <w:bookmarkStart w:id="10259" w:name="_Toc420595021"/>
      <w:bookmarkStart w:id="10260" w:name="_Toc398215028"/>
      <w:bookmarkStart w:id="10261" w:name="_Toc375158444"/>
      <w:bookmarkStart w:id="10262" w:name="_Toc374348618"/>
      <w:bookmarkStart w:id="10263" w:name="_Toc368932452"/>
      <w:bookmarkStart w:id="10264" w:name="_Toc486332961"/>
      <w:bookmarkStart w:id="10265" w:name="_Toc1977478"/>
      <w:bookmarkStart w:id="10266" w:name="_Toc37062637"/>
      <w:bookmarkStart w:id="10267" w:name="_Toc88839690"/>
      <w:bookmarkStart w:id="10268" w:name="_Toc121504098"/>
      <w:r>
        <w:rPr>
          <w:rFonts w:ascii="Arial Bold" w:hAnsi="Arial Bold"/>
          <w:sz w:val="24"/>
          <w:szCs w:val="24"/>
          <w:lang w:eastAsia="en-US"/>
        </w:rPr>
        <w:t>to</w:t>
      </w:r>
      <w:r>
        <w:rPr>
          <w:rFonts w:ascii="Arial Bold" w:hAnsi="Arial Bold"/>
          <w:sz w:val="24"/>
          <w:szCs w:val="24"/>
          <w:lang w:eastAsia="en-US"/>
        </w:rPr>
        <w:tab/>
        <w:t>A.7.13</w:t>
      </w:r>
      <w:r>
        <w:rPr>
          <w:rFonts w:ascii="Arial Bold" w:hAnsi="Arial Bold"/>
          <w:sz w:val="24"/>
          <w:szCs w:val="24"/>
          <w:lang w:eastAsia="en-US"/>
        </w:rPr>
        <w:tab/>
        <w:t>Void</w:t>
      </w:r>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p>
    <w:p w14:paraId="234C89EB" w14:textId="3B59672F"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Descriptions moved to table and files referenced by section </w:t>
      </w:r>
      <w:r>
        <w:rPr>
          <w:rFonts w:cs="Arial"/>
          <w:szCs w:val="22"/>
          <w:lang w:val="en-US" w:eastAsia="en-GB" w:bidi="ar-SA"/>
        </w:rPr>
        <w:fldChar w:fldCharType="begin"/>
      </w:r>
      <w:r>
        <w:rPr>
          <w:rFonts w:cs="Arial"/>
          <w:szCs w:val="22"/>
          <w:lang w:val="en-US" w:eastAsia="en-GB" w:bidi="ar-SA"/>
        </w:rPr>
        <w:instrText xml:space="preserve"> PAGEREF _Ref536181473 \h </w:instrText>
      </w:r>
      <w:r>
        <w:rPr>
          <w:rFonts w:cs="Arial"/>
          <w:szCs w:val="22"/>
          <w:lang w:val="en-US" w:eastAsia="en-GB" w:bidi="ar-SA"/>
        </w:rPr>
      </w:r>
      <w:r>
        <w:rPr>
          <w:rFonts w:cs="Arial"/>
          <w:szCs w:val="22"/>
          <w:lang w:val="en-US" w:eastAsia="en-GB" w:bidi="ar-SA"/>
        </w:rPr>
        <w:fldChar w:fldCharType="separate"/>
      </w:r>
      <w:r w:rsidR="001D5AD9">
        <w:rPr>
          <w:rFonts w:cs="Arial"/>
          <w:noProof/>
          <w:szCs w:val="22"/>
          <w:lang w:val="en-US" w:eastAsia="en-GB" w:bidi="ar-SA"/>
        </w:rPr>
        <w:t>394</w:t>
      </w:r>
      <w:r>
        <w:rPr>
          <w:rFonts w:cs="Arial"/>
          <w:szCs w:val="22"/>
          <w:lang w:val="en-US" w:eastAsia="en-GB" w:bidi="ar-SA"/>
        </w:rPr>
        <w:fldChar w:fldCharType="end"/>
      </w:r>
      <w:r>
        <w:rPr>
          <w:rFonts w:cs="Arial"/>
          <w:szCs w:val="22"/>
          <w:lang w:val="en-US" w:eastAsia="en-GB" w:bidi="ar-SA"/>
        </w:rPr>
        <w:fldChar w:fldCharType="begin"/>
      </w:r>
      <w:r>
        <w:rPr>
          <w:rFonts w:cs="Arial"/>
          <w:szCs w:val="22"/>
          <w:lang w:val="en-US" w:eastAsia="en-GB" w:bidi="ar-SA"/>
        </w:rPr>
        <w:instrText xml:space="preserve"> REF _Ref536181499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A.7</w:t>
      </w:r>
      <w:r>
        <w:rPr>
          <w:rFonts w:cs="Arial"/>
          <w:szCs w:val="22"/>
          <w:lang w:val="en-US" w:eastAsia="en-GB" w:bidi="ar-SA"/>
        </w:rPr>
        <w:fldChar w:fldCharType="end"/>
      </w:r>
    </w:p>
    <w:p w14:paraId="4A53B88A" w14:textId="77777777" w:rsidR="00B97365" w:rsidRDefault="00000000">
      <w:pPr>
        <w:keepNext/>
        <w:keepLines/>
        <w:numPr>
          <w:ilvl w:val="1"/>
          <w:numId w:val="8"/>
        </w:numPr>
        <w:spacing w:before="240" w:after="60" w:line="276" w:lineRule="auto"/>
        <w:jc w:val="left"/>
        <w:outlineLvl w:val="1"/>
        <w:rPr>
          <w:rFonts w:ascii="Arial Bold" w:hAnsi="Arial Bold"/>
          <w:b/>
          <w:sz w:val="24"/>
          <w:szCs w:val="24"/>
          <w:lang w:val="en-US" w:eastAsia="en-GB" w:bidi="ar-SA"/>
        </w:rPr>
      </w:pPr>
      <w:bookmarkStart w:id="10269" w:name="_Toc1977479"/>
      <w:bookmarkStart w:id="10270" w:name="_Toc37062638"/>
      <w:bookmarkStart w:id="10271" w:name="_Toc88839691"/>
      <w:bookmarkStart w:id="10272" w:name="_Toc121504099"/>
      <w:r>
        <w:rPr>
          <w:rFonts w:ascii="Arial Bold" w:hAnsi="Arial Bold"/>
          <w:b/>
          <w:sz w:val="24"/>
          <w:szCs w:val="24"/>
          <w:lang w:val="en-US" w:eastAsia="en-GB" w:bidi="ar-SA"/>
        </w:rPr>
        <w:t>The ES4A Interface Functions</w:t>
      </w:r>
      <w:bookmarkEnd w:id="10269"/>
      <w:bookmarkEnd w:id="10270"/>
      <w:bookmarkEnd w:id="10271"/>
      <w:bookmarkEnd w:id="10272"/>
    </w:p>
    <w:p w14:paraId="08DB5A81" w14:textId="77777777" w:rsidR="00B97365" w:rsidRDefault="00000000">
      <w:pPr>
        <w:spacing w:before="0" w:after="200" w:line="276" w:lineRule="auto"/>
        <w:jc w:val="left"/>
        <w:rPr>
          <w:szCs w:val="22"/>
          <w:lang w:eastAsia="en-US"/>
        </w:rPr>
      </w:pPr>
      <w:r>
        <w:rPr>
          <w:rFonts w:cs="Arial"/>
          <w:szCs w:val="22"/>
          <w:lang w:val="en-US" w:eastAsia="en-GB" w:bidi="ar-SA"/>
        </w:rPr>
        <w:t>The table below</w:t>
      </w:r>
      <w:r>
        <w:rPr>
          <w:szCs w:val="22"/>
          <w:lang w:val="en-US"/>
        </w:rPr>
        <w:t xml:space="preserve"> describes where definition of ES4A functions messages are located in </w:t>
      </w:r>
      <w:r>
        <w:rPr>
          <w:b/>
          <w:szCs w:val="22"/>
          <w:lang w:val="en-US"/>
        </w:rPr>
        <w:t>rps4.</w:t>
      </w:r>
      <w:r>
        <w:rPr>
          <w:b/>
          <w:szCs w:val="22"/>
          <w:lang w:eastAsia="en-US"/>
        </w:rPr>
        <w:t>euicc.request.ES4A.xsd</w:t>
      </w:r>
      <w:r>
        <w:rPr>
          <w:szCs w:val="22"/>
          <w:lang w:val="en-US"/>
        </w:rPr>
        <w:t>.</w:t>
      </w:r>
    </w:p>
    <w:tbl>
      <w:tblPr>
        <w:tblStyle w:val="TableGrid"/>
        <w:tblW w:w="9493" w:type="dxa"/>
        <w:tblLayout w:type="fixed"/>
        <w:tblLook w:val="04A0" w:firstRow="1" w:lastRow="0" w:firstColumn="1" w:lastColumn="0" w:noHBand="0" w:noVBand="1"/>
      </w:tblPr>
      <w:tblGrid>
        <w:gridCol w:w="3964"/>
        <w:gridCol w:w="5529"/>
      </w:tblGrid>
      <w:tr w:rsidR="00B97365" w14:paraId="3AE8C4A9" w14:textId="77777777">
        <w:trPr>
          <w:trHeight w:val="435"/>
        </w:trPr>
        <w:tc>
          <w:tcPr>
            <w:tcW w:w="3964" w:type="dxa"/>
            <w:shd w:val="clear" w:color="auto" w:fill="C00000"/>
          </w:tcPr>
          <w:p w14:paraId="622BCE91" w14:textId="77777777" w:rsidR="00B97365" w:rsidRDefault="00000000">
            <w:pPr>
              <w:spacing w:before="0" w:after="200" w:line="276" w:lineRule="auto"/>
              <w:jc w:val="left"/>
              <w:rPr>
                <w:b/>
                <w:szCs w:val="22"/>
                <w:lang w:eastAsia="en-US"/>
              </w:rPr>
            </w:pPr>
            <w:r>
              <w:rPr>
                <w:b/>
                <w:szCs w:val="22"/>
                <w:lang w:eastAsia="en-US"/>
              </w:rPr>
              <w:t>Interface Function</w:t>
            </w:r>
          </w:p>
        </w:tc>
        <w:tc>
          <w:tcPr>
            <w:tcW w:w="5529" w:type="dxa"/>
            <w:shd w:val="clear" w:color="auto" w:fill="C00000"/>
          </w:tcPr>
          <w:p w14:paraId="45A08A5C" w14:textId="77777777" w:rsidR="00B97365" w:rsidRDefault="00000000">
            <w:pPr>
              <w:spacing w:before="0" w:after="200" w:line="276" w:lineRule="auto"/>
              <w:jc w:val="left"/>
              <w:rPr>
                <w:b/>
                <w:szCs w:val="22"/>
                <w:lang w:eastAsia="en-US"/>
              </w:rPr>
            </w:pPr>
            <w:r>
              <w:rPr>
                <w:b/>
                <w:szCs w:val="22"/>
                <w:lang w:eastAsia="en-US"/>
              </w:rPr>
              <w:t>XML Type</w:t>
            </w:r>
          </w:p>
        </w:tc>
      </w:tr>
      <w:tr w:rsidR="00B97365" w14:paraId="76ABEC49" w14:textId="77777777">
        <w:trPr>
          <w:trHeight w:val="435"/>
        </w:trPr>
        <w:tc>
          <w:tcPr>
            <w:tcW w:w="3964" w:type="dxa"/>
            <w:vMerge w:val="restart"/>
          </w:tcPr>
          <w:p w14:paraId="0ECD6E0D" w14:textId="77777777" w:rsidR="00B97365" w:rsidRDefault="00000000">
            <w:pPr>
              <w:spacing w:before="0" w:after="200" w:line="276" w:lineRule="auto"/>
              <w:jc w:val="left"/>
              <w:rPr>
                <w:szCs w:val="22"/>
                <w:lang w:eastAsia="en-US" w:bidi="ar-SA"/>
              </w:rPr>
            </w:pPr>
            <w:r>
              <w:rPr>
                <w:szCs w:val="22"/>
                <w:lang w:eastAsia="en-US"/>
              </w:rPr>
              <w:t>ES4A.GetONC</w:t>
            </w:r>
          </w:p>
        </w:tc>
        <w:tc>
          <w:tcPr>
            <w:tcW w:w="5529" w:type="dxa"/>
          </w:tcPr>
          <w:p w14:paraId="7A03965A" w14:textId="77777777" w:rsidR="00B97365" w:rsidRDefault="00000000">
            <w:pPr>
              <w:spacing w:before="0" w:after="200" w:line="276" w:lineRule="auto"/>
              <w:jc w:val="left"/>
              <w:rPr>
                <w:szCs w:val="22"/>
                <w:lang w:val="en-US" w:eastAsia="en-GB" w:bidi="ar-SA"/>
              </w:rPr>
            </w:pPr>
            <w:r>
              <w:rPr>
                <w:szCs w:val="22"/>
                <w:lang w:val="en-US" w:eastAsia="en-GB" w:bidi="ar-SA"/>
              </w:rPr>
              <w:t>rps4:ES4A-GetONCRequest</w:t>
            </w:r>
          </w:p>
        </w:tc>
      </w:tr>
      <w:tr w:rsidR="00B97365" w14:paraId="14009A6D" w14:textId="77777777">
        <w:trPr>
          <w:trHeight w:val="435"/>
        </w:trPr>
        <w:tc>
          <w:tcPr>
            <w:tcW w:w="3964" w:type="dxa"/>
            <w:vMerge/>
          </w:tcPr>
          <w:p w14:paraId="3C949472" w14:textId="77777777" w:rsidR="00B97365" w:rsidRDefault="00B97365">
            <w:pPr>
              <w:spacing w:before="0" w:after="200" w:line="276" w:lineRule="auto"/>
              <w:jc w:val="left"/>
              <w:rPr>
                <w:szCs w:val="22"/>
                <w:lang w:eastAsia="en-US" w:bidi="ar-SA"/>
              </w:rPr>
            </w:pPr>
          </w:p>
        </w:tc>
        <w:tc>
          <w:tcPr>
            <w:tcW w:w="5529" w:type="dxa"/>
          </w:tcPr>
          <w:p w14:paraId="2B0FB0DB" w14:textId="77777777" w:rsidR="00B97365" w:rsidRDefault="00000000">
            <w:pPr>
              <w:spacing w:before="0" w:after="200" w:line="276" w:lineRule="auto"/>
              <w:jc w:val="left"/>
              <w:rPr>
                <w:szCs w:val="22"/>
                <w:lang w:val="en-US" w:eastAsia="en-GB" w:bidi="ar-SA"/>
              </w:rPr>
            </w:pPr>
            <w:r>
              <w:rPr>
                <w:szCs w:val="22"/>
                <w:lang w:val="en-US" w:eastAsia="en-GB" w:bidi="ar-SA"/>
              </w:rPr>
              <w:t>rps4:ES4A-GetONCResponse</w:t>
            </w:r>
          </w:p>
        </w:tc>
      </w:tr>
      <w:tr w:rsidR="00B97365" w14:paraId="65C9E1F4" w14:textId="77777777">
        <w:trPr>
          <w:trHeight w:val="435"/>
        </w:trPr>
        <w:tc>
          <w:tcPr>
            <w:tcW w:w="3964" w:type="dxa"/>
            <w:vMerge w:val="restart"/>
          </w:tcPr>
          <w:p w14:paraId="76310B68" w14:textId="77777777" w:rsidR="00B97365" w:rsidRDefault="00000000">
            <w:pPr>
              <w:spacing w:before="0" w:after="200" w:line="276" w:lineRule="auto"/>
              <w:jc w:val="left"/>
              <w:rPr>
                <w:szCs w:val="22"/>
                <w:lang w:eastAsia="en-US" w:bidi="ar-SA"/>
              </w:rPr>
            </w:pPr>
            <w:r>
              <w:rPr>
                <w:szCs w:val="22"/>
                <w:lang w:eastAsia="en-US"/>
              </w:rPr>
              <w:t>ES4A.SetONC</w:t>
            </w:r>
          </w:p>
        </w:tc>
        <w:tc>
          <w:tcPr>
            <w:tcW w:w="5529" w:type="dxa"/>
          </w:tcPr>
          <w:p w14:paraId="528F7D61" w14:textId="77777777" w:rsidR="00B97365" w:rsidRDefault="00000000">
            <w:pPr>
              <w:spacing w:before="0" w:after="200" w:line="276" w:lineRule="auto"/>
              <w:jc w:val="left"/>
              <w:rPr>
                <w:szCs w:val="22"/>
                <w:lang w:val="en-US" w:eastAsia="en-GB" w:bidi="ar-SA"/>
              </w:rPr>
            </w:pPr>
            <w:r>
              <w:rPr>
                <w:szCs w:val="22"/>
                <w:lang w:val="en-US" w:eastAsia="en-GB" w:bidi="ar-SA"/>
              </w:rPr>
              <w:t>rps4:ES4A-SetONCRequest</w:t>
            </w:r>
          </w:p>
        </w:tc>
      </w:tr>
      <w:tr w:rsidR="00B97365" w14:paraId="62155332" w14:textId="77777777">
        <w:trPr>
          <w:trHeight w:val="435"/>
        </w:trPr>
        <w:tc>
          <w:tcPr>
            <w:tcW w:w="3964" w:type="dxa"/>
            <w:vMerge/>
          </w:tcPr>
          <w:p w14:paraId="0CEE472E" w14:textId="77777777" w:rsidR="00B97365" w:rsidRDefault="00B97365">
            <w:pPr>
              <w:spacing w:before="0" w:after="200" w:line="276" w:lineRule="auto"/>
              <w:jc w:val="left"/>
              <w:rPr>
                <w:szCs w:val="22"/>
                <w:lang w:eastAsia="en-US" w:bidi="ar-SA"/>
              </w:rPr>
            </w:pPr>
          </w:p>
        </w:tc>
        <w:tc>
          <w:tcPr>
            <w:tcW w:w="5529" w:type="dxa"/>
          </w:tcPr>
          <w:p w14:paraId="2C2D54A7" w14:textId="77777777" w:rsidR="00B97365" w:rsidRDefault="00000000">
            <w:pPr>
              <w:spacing w:before="0" w:after="200" w:line="276" w:lineRule="auto"/>
              <w:jc w:val="left"/>
              <w:rPr>
                <w:szCs w:val="22"/>
                <w:lang w:val="en-US" w:eastAsia="en-GB" w:bidi="ar-SA"/>
              </w:rPr>
            </w:pPr>
            <w:r>
              <w:rPr>
                <w:szCs w:val="22"/>
                <w:lang w:val="en-US" w:eastAsia="en-GB" w:bidi="ar-SA"/>
              </w:rPr>
              <w:t>rps4:ES4A-SetONCResponse</w:t>
            </w:r>
          </w:p>
        </w:tc>
      </w:tr>
      <w:tr w:rsidR="00B97365" w14:paraId="6C67634C" w14:textId="77777777">
        <w:trPr>
          <w:trHeight w:val="435"/>
        </w:trPr>
        <w:tc>
          <w:tcPr>
            <w:tcW w:w="3964" w:type="dxa"/>
            <w:vMerge w:val="restart"/>
          </w:tcPr>
          <w:p w14:paraId="67259EC5" w14:textId="77777777" w:rsidR="00B97365" w:rsidRDefault="00000000">
            <w:pPr>
              <w:spacing w:before="0" w:after="200" w:line="276" w:lineRule="auto"/>
              <w:jc w:val="left"/>
              <w:rPr>
                <w:szCs w:val="22"/>
                <w:lang w:eastAsia="en-US" w:bidi="ar-SA"/>
              </w:rPr>
            </w:pPr>
            <w:r>
              <w:rPr>
                <w:szCs w:val="22"/>
                <w:lang w:eastAsia="en-US"/>
              </w:rPr>
              <w:t>ES4A.GetPLMA</w:t>
            </w:r>
          </w:p>
        </w:tc>
        <w:tc>
          <w:tcPr>
            <w:tcW w:w="5529" w:type="dxa"/>
          </w:tcPr>
          <w:p w14:paraId="2948E434" w14:textId="77777777" w:rsidR="00B97365" w:rsidRDefault="00000000">
            <w:pPr>
              <w:spacing w:before="0" w:after="200" w:line="276" w:lineRule="auto"/>
              <w:jc w:val="left"/>
              <w:rPr>
                <w:szCs w:val="22"/>
                <w:lang w:val="en-US" w:eastAsia="en-GB" w:bidi="ar-SA"/>
              </w:rPr>
            </w:pPr>
            <w:r>
              <w:rPr>
                <w:szCs w:val="22"/>
                <w:lang w:val="en-US" w:eastAsia="en-GB" w:bidi="ar-SA"/>
              </w:rPr>
              <w:t>rps4:ES4A-GetPLMARequest</w:t>
            </w:r>
          </w:p>
        </w:tc>
      </w:tr>
      <w:tr w:rsidR="00B97365" w14:paraId="61641542" w14:textId="77777777">
        <w:trPr>
          <w:trHeight w:val="435"/>
        </w:trPr>
        <w:tc>
          <w:tcPr>
            <w:tcW w:w="3964" w:type="dxa"/>
            <w:vMerge/>
          </w:tcPr>
          <w:p w14:paraId="55595497" w14:textId="77777777" w:rsidR="00B97365" w:rsidRDefault="00B97365">
            <w:pPr>
              <w:spacing w:before="0" w:after="200" w:line="276" w:lineRule="auto"/>
              <w:jc w:val="left"/>
              <w:rPr>
                <w:szCs w:val="22"/>
                <w:lang w:eastAsia="en-US" w:bidi="ar-SA"/>
              </w:rPr>
            </w:pPr>
          </w:p>
        </w:tc>
        <w:tc>
          <w:tcPr>
            <w:tcW w:w="5529" w:type="dxa"/>
          </w:tcPr>
          <w:p w14:paraId="5F0F19F8" w14:textId="77777777" w:rsidR="00B97365" w:rsidRDefault="00000000">
            <w:pPr>
              <w:spacing w:before="0" w:after="200" w:line="276" w:lineRule="auto"/>
              <w:jc w:val="left"/>
              <w:rPr>
                <w:szCs w:val="22"/>
                <w:lang w:val="en-US" w:eastAsia="en-GB" w:bidi="ar-SA"/>
              </w:rPr>
            </w:pPr>
            <w:r>
              <w:rPr>
                <w:szCs w:val="22"/>
                <w:lang w:val="en-US" w:eastAsia="en-GB" w:bidi="ar-SA"/>
              </w:rPr>
              <w:t>rps4:ES4A-GetPLMAResponse</w:t>
            </w:r>
          </w:p>
        </w:tc>
      </w:tr>
      <w:tr w:rsidR="00B97365" w14:paraId="0FFE1656" w14:textId="77777777">
        <w:trPr>
          <w:trHeight w:val="435"/>
        </w:trPr>
        <w:tc>
          <w:tcPr>
            <w:tcW w:w="3964" w:type="dxa"/>
            <w:vMerge w:val="restart"/>
          </w:tcPr>
          <w:p w14:paraId="579080D5" w14:textId="77777777" w:rsidR="00B97365" w:rsidRDefault="00000000">
            <w:pPr>
              <w:spacing w:before="0" w:after="200" w:line="276" w:lineRule="auto"/>
              <w:jc w:val="left"/>
              <w:rPr>
                <w:szCs w:val="22"/>
                <w:lang w:eastAsia="en-US" w:bidi="ar-SA"/>
              </w:rPr>
            </w:pPr>
            <w:r>
              <w:rPr>
                <w:szCs w:val="22"/>
                <w:lang w:eastAsia="en-US"/>
              </w:rPr>
              <w:t>ES4A.SetPLMA</w:t>
            </w:r>
          </w:p>
        </w:tc>
        <w:tc>
          <w:tcPr>
            <w:tcW w:w="5529" w:type="dxa"/>
          </w:tcPr>
          <w:p w14:paraId="5DAB4EE2" w14:textId="77777777" w:rsidR="00B97365" w:rsidRDefault="00000000">
            <w:pPr>
              <w:spacing w:before="0" w:after="200" w:line="276" w:lineRule="auto"/>
              <w:jc w:val="left"/>
              <w:rPr>
                <w:szCs w:val="22"/>
                <w:lang w:val="en-US" w:eastAsia="en-GB" w:bidi="ar-SA"/>
              </w:rPr>
            </w:pPr>
            <w:r>
              <w:rPr>
                <w:szCs w:val="22"/>
                <w:lang w:val="en-US" w:eastAsia="en-GB" w:bidi="ar-SA"/>
              </w:rPr>
              <w:t>rps4:ES4A-SetPLMARequest</w:t>
            </w:r>
          </w:p>
        </w:tc>
      </w:tr>
      <w:tr w:rsidR="00B97365" w14:paraId="5C0DE004" w14:textId="77777777">
        <w:trPr>
          <w:trHeight w:val="435"/>
        </w:trPr>
        <w:tc>
          <w:tcPr>
            <w:tcW w:w="3964" w:type="dxa"/>
            <w:vMerge/>
          </w:tcPr>
          <w:p w14:paraId="21AB99BE" w14:textId="77777777" w:rsidR="00B97365" w:rsidRDefault="00B97365">
            <w:pPr>
              <w:spacing w:before="0" w:after="200" w:line="276" w:lineRule="auto"/>
              <w:jc w:val="left"/>
              <w:rPr>
                <w:szCs w:val="22"/>
                <w:lang w:eastAsia="en-US" w:bidi="ar-SA"/>
              </w:rPr>
            </w:pPr>
          </w:p>
        </w:tc>
        <w:tc>
          <w:tcPr>
            <w:tcW w:w="5529" w:type="dxa"/>
          </w:tcPr>
          <w:p w14:paraId="4F35BFDA" w14:textId="77777777" w:rsidR="00B97365" w:rsidRDefault="00000000">
            <w:pPr>
              <w:spacing w:before="0" w:after="200" w:line="276" w:lineRule="auto"/>
              <w:jc w:val="left"/>
              <w:rPr>
                <w:szCs w:val="22"/>
                <w:lang w:val="en-US" w:eastAsia="en-GB" w:bidi="ar-SA"/>
              </w:rPr>
            </w:pPr>
            <w:r>
              <w:rPr>
                <w:szCs w:val="22"/>
                <w:lang w:val="en-US" w:eastAsia="en-GB" w:bidi="ar-SA"/>
              </w:rPr>
              <w:t>rps4:ES4A-SetPLMAResponse</w:t>
            </w:r>
          </w:p>
        </w:tc>
      </w:tr>
    </w:tbl>
    <w:p w14:paraId="1B57E0C8" w14:textId="77777777" w:rsidR="00B97365" w:rsidRDefault="00000000">
      <w:pPr>
        <w:spacing w:after="320" w:line="276" w:lineRule="auto"/>
        <w:jc w:val="center"/>
        <w:rPr>
          <w:rFonts w:cs="Arial"/>
          <w:b/>
          <w:szCs w:val="22"/>
          <w:lang w:val="en-US" w:eastAsia="de-DE" w:bidi="ar-SA"/>
        </w:rPr>
      </w:pPr>
      <w:r>
        <w:rPr>
          <w:rFonts w:cs="Arial"/>
          <w:b/>
          <w:szCs w:val="22"/>
          <w:lang w:val="en-US" w:eastAsia="de-DE" w:bidi="ar-SA"/>
        </w:rPr>
        <w:t>Table A8: ES4A Interface Functions</w:t>
      </w:r>
    </w:p>
    <w:p w14:paraId="15571EA4" w14:textId="77777777" w:rsidR="00B97365" w:rsidRDefault="00B97365">
      <w:pPr>
        <w:spacing w:before="0" w:after="200" w:line="276" w:lineRule="auto"/>
        <w:jc w:val="left"/>
        <w:rPr>
          <w:rFonts w:cs="Arial"/>
          <w:szCs w:val="22"/>
          <w:lang w:val="en-US" w:eastAsia="en-GB" w:bidi="ar-SA"/>
        </w:rPr>
      </w:pPr>
    </w:p>
    <w:p w14:paraId="4A3F4614"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lang w:eastAsia="en-US"/>
        </w:rPr>
      </w:pPr>
      <w:bookmarkStart w:id="10273" w:name="_Toc374345936"/>
      <w:bookmarkStart w:id="10274" w:name="_Toc374346282"/>
      <w:bookmarkStart w:id="10275" w:name="_Toc374346627"/>
      <w:bookmarkStart w:id="10276" w:name="_Toc374346973"/>
      <w:bookmarkStart w:id="10277" w:name="_Toc374348631"/>
      <w:bookmarkStart w:id="10278" w:name="_Toc375158457"/>
      <w:bookmarkStart w:id="10279" w:name="_Toc398215041"/>
      <w:bookmarkStart w:id="10280" w:name="_Toc420595034"/>
      <w:bookmarkStart w:id="10281" w:name="_Toc421874482"/>
      <w:bookmarkStart w:id="10282" w:name="_Toc422150897"/>
      <w:bookmarkStart w:id="10283" w:name="_Toc448998357"/>
      <w:bookmarkStart w:id="10284" w:name="_Toc486332974"/>
      <w:bookmarkStart w:id="10285" w:name="_Ref536181739"/>
      <w:bookmarkStart w:id="10286" w:name="_Toc1977480"/>
      <w:bookmarkStart w:id="10287" w:name="_Toc37062639"/>
      <w:bookmarkStart w:id="10288" w:name="_Toc88839692"/>
      <w:bookmarkStart w:id="10289" w:name="_Toc121504100"/>
      <w:bookmarkEnd w:id="10273"/>
      <w:bookmarkEnd w:id="10274"/>
      <w:bookmarkEnd w:id="10275"/>
      <w:bookmarkEnd w:id="10276"/>
      <w:r>
        <w:rPr>
          <w:rFonts w:ascii="Arial Bold" w:hAnsi="Arial Bold"/>
          <w:b/>
          <w:sz w:val="24"/>
          <w:szCs w:val="24"/>
          <w:lang w:eastAsia="en-US"/>
        </w:rPr>
        <w:t>The ES7 Interface Functions</w:t>
      </w:r>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p>
    <w:p w14:paraId="7870588F" w14:textId="77777777" w:rsidR="00B97365" w:rsidRDefault="00000000">
      <w:pPr>
        <w:spacing w:before="0" w:after="200" w:line="276" w:lineRule="auto"/>
        <w:jc w:val="left"/>
        <w:rPr>
          <w:szCs w:val="22"/>
          <w:lang w:eastAsia="en-US"/>
        </w:rPr>
      </w:pPr>
      <w:r>
        <w:rPr>
          <w:szCs w:val="22"/>
          <w:lang w:val="en-US"/>
        </w:rPr>
        <w:t xml:space="preserve">The table below describes where the definition of ES7 functions messages are located in </w:t>
      </w:r>
      <w:r>
        <w:rPr>
          <w:szCs w:val="22"/>
          <w:lang w:eastAsia="en-US"/>
        </w:rPr>
        <w:t>euicc.request.ES7.xsd</w:t>
      </w:r>
      <w:r>
        <w:rPr>
          <w:szCs w:val="22"/>
          <w:lang w:val="en-US"/>
        </w:rPr>
        <w:t>.</w:t>
      </w:r>
    </w:p>
    <w:tbl>
      <w:tblPr>
        <w:tblStyle w:val="TableGrid"/>
        <w:tblW w:w="9493" w:type="dxa"/>
        <w:tblLayout w:type="fixed"/>
        <w:tblLook w:val="04A0" w:firstRow="1" w:lastRow="0" w:firstColumn="1" w:lastColumn="0" w:noHBand="0" w:noVBand="1"/>
      </w:tblPr>
      <w:tblGrid>
        <w:gridCol w:w="2689"/>
        <w:gridCol w:w="4394"/>
        <w:gridCol w:w="2410"/>
      </w:tblGrid>
      <w:tr w:rsidR="00B97365" w14:paraId="1024A79C" w14:textId="77777777">
        <w:trPr>
          <w:trHeight w:val="435"/>
        </w:trPr>
        <w:tc>
          <w:tcPr>
            <w:tcW w:w="2689" w:type="dxa"/>
            <w:shd w:val="clear" w:color="auto" w:fill="C00000"/>
          </w:tcPr>
          <w:p w14:paraId="09026A5A" w14:textId="77777777" w:rsidR="00B97365" w:rsidRDefault="00000000">
            <w:pPr>
              <w:spacing w:before="0" w:after="200" w:line="276" w:lineRule="auto"/>
              <w:jc w:val="left"/>
              <w:rPr>
                <w:b/>
                <w:szCs w:val="22"/>
                <w:lang w:eastAsia="en-US"/>
              </w:rPr>
            </w:pPr>
            <w:r>
              <w:rPr>
                <w:b/>
                <w:szCs w:val="22"/>
                <w:lang w:eastAsia="en-US"/>
              </w:rPr>
              <w:t>Interface.Function</w:t>
            </w:r>
          </w:p>
        </w:tc>
        <w:tc>
          <w:tcPr>
            <w:tcW w:w="4394" w:type="dxa"/>
            <w:shd w:val="clear" w:color="auto" w:fill="C00000"/>
          </w:tcPr>
          <w:p w14:paraId="3CB6B0AC" w14:textId="77777777" w:rsidR="00B97365" w:rsidRDefault="00000000">
            <w:pPr>
              <w:spacing w:before="0" w:after="200" w:line="276" w:lineRule="auto"/>
              <w:jc w:val="left"/>
              <w:rPr>
                <w:b/>
                <w:szCs w:val="22"/>
                <w:lang w:eastAsia="en-US"/>
              </w:rPr>
            </w:pPr>
            <w:r>
              <w:rPr>
                <w:b/>
                <w:szCs w:val="22"/>
                <w:lang w:eastAsia="en-US"/>
              </w:rPr>
              <w:t>XML Type</w:t>
            </w:r>
          </w:p>
        </w:tc>
        <w:tc>
          <w:tcPr>
            <w:tcW w:w="2410" w:type="dxa"/>
            <w:shd w:val="clear" w:color="auto" w:fill="C00000"/>
          </w:tcPr>
          <w:p w14:paraId="47A4963E" w14:textId="77777777" w:rsidR="00B97365" w:rsidRDefault="00000000">
            <w:pPr>
              <w:spacing w:before="0" w:after="200" w:line="276" w:lineRule="auto"/>
              <w:jc w:val="left"/>
              <w:rPr>
                <w:b/>
                <w:szCs w:val="22"/>
                <w:lang w:eastAsia="en-US"/>
              </w:rPr>
            </w:pPr>
            <w:r>
              <w:rPr>
                <w:b/>
                <w:szCs w:val="22"/>
                <w:lang w:eastAsia="en-US"/>
              </w:rPr>
              <w:t>XSD File</w:t>
            </w:r>
          </w:p>
        </w:tc>
      </w:tr>
      <w:tr w:rsidR="00B97365" w14:paraId="214FFE24" w14:textId="77777777">
        <w:trPr>
          <w:trHeight w:val="435"/>
        </w:trPr>
        <w:tc>
          <w:tcPr>
            <w:tcW w:w="2689" w:type="dxa"/>
            <w:vMerge w:val="restart"/>
          </w:tcPr>
          <w:p w14:paraId="693ED267" w14:textId="77777777" w:rsidR="00B97365" w:rsidRDefault="00000000">
            <w:pPr>
              <w:spacing w:before="0" w:after="200" w:line="276" w:lineRule="auto"/>
              <w:jc w:val="left"/>
              <w:rPr>
                <w:szCs w:val="22"/>
                <w:lang w:eastAsia="en-US"/>
              </w:rPr>
            </w:pPr>
            <w:r>
              <w:rPr>
                <w:szCs w:val="22"/>
                <w:lang w:eastAsia="en-US"/>
              </w:rPr>
              <w:lastRenderedPageBreak/>
              <w:t>ES7.CreateAdditionalKeySet</w:t>
            </w:r>
          </w:p>
          <w:p w14:paraId="2A1AA53E" w14:textId="77777777" w:rsidR="00B97365" w:rsidRDefault="00B97365">
            <w:pPr>
              <w:spacing w:before="0" w:after="200" w:line="276" w:lineRule="auto"/>
              <w:jc w:val="left"/>
              <w:rPr>
                <w:szCs w:val="22"/>
                <w:lang w:eastAsia="en-US"/>
              </w:rPr>
            </w:pPr>
          </w:p>
        </w:tc>
        <w:tc>
          <w:tcPr>
            <w:tcW w:w="4394" w:type="dxa"/>
          </w:tcPr>
          <w:p w14:paraId="5B41FD9C" w14:textId="77777777" w:rsidR="00B97365" w:rsidRDefault="00000000">
            <w:pPr>
              <w:spacing w:before="0" w:after="200" w:line="276" w:lineRule="auto"/>
              <w:jc w:val="left"/>
              <w:rPr>
                <w:szCs w:val="22"/>
                <w:lang w:val="en-US" w:eastAsia="en-GB" w:bidi="ar-SA"/>
              </w:rPr>
            </w:pPr>
            <w:r>
              <w:rPr>
                <w:szCs w:val="22"/>
                <w:lang w:val="en-US" w:eastAsia="en-GB" w:bidi="ar-SA"/>
              </w:rPr>
              <w:t>rps3:ES7-CreateAdditionalKeySetRequest</w:t>
            </w:r>
          </w:p>
          <w:p w14:paraId="0DAB2B75" w14:textId="77777777" w:rsidR="00B97365" w:rsidRDefault="00000000">
            <w:pPr>
              <w:spacing w:before="0" w:after="200" w:line="276" w:lineRule="auto"/>
              <w:jc w:val="left"/>
              <w:rPr>
                <w:szCs w:val="22"/>
                <w:lang w:val="en-US" w:eastAsia="en-GB" w:bidi="ar-SA"/>
              </w:rPr>
            </w:pPr>
            <w:r>
              <w:rPr>
                <w:szCs w:val="22"/>
                <w:lang w:val="en-US" w:eastAsia="en-GB" w:bidi="ar-SA"/>
              </w:rPr>
              <w:t>See Notes 1 and 2</w:t>
            </w:r>
          </w:p>
        </w:tc>
        <w:tc>
          <w:tcPr>
            <w:tcW w:w="2410" w:type="dxa"/>
            <w:vMerge w:val="restart"/>
          </w:tcPr>
          <w:p w14:paraId="7AAEDC8D" w14:textId="77777777" w:rsidR="00B97365" w:rsidRDefault="00000000">
            <w:pPr>
              <w:spacing w:before="0" w:after="200" w:line="276" w:lineRule="auto"/>
              <w:jc w:val="left"/>
              <w:rPr>
                <w:szCs w:val="22"/>
                <w:lang w:eastAsia="en-US"/>
              </w:rPr>
            </w:pPr>
            <w:r>
              <w:rPr>
                <w:szCs w:val="22"/>
                <w:lang w:eastAsia="en-US"/>
              </w:rPr>
              <w:t>euicc.request.ES7.xsd</w:t>
            </w:r>
          </w:p>
        </w:tc>
      </w:tr>
      <w:tr w:rsidR="00B97365" w14:paraId="5F56D09D" w14:textId="77777777">
        <w:trPr>
          <w:trHeight w:val="435"/>
        </w:trPr>
        <w:tc>
          <w:tcPr>
            <w:tcW w:w="2689" w:type="dxa"/>
            <w:vMerge/>
          </w:tcPr>
          <w:p w14:paraId="14D57ABB" w14:textId="77777777" w:rsidR="00B97365" w:rsidRDefault="00B97365">
            <w:pPr>
              <w:spacing w:before="0" w:after="200" w:line="276" w:lineRule="auto"/>
              <w:jc w:val="left"/>
              <w:rPr>
                <w:szCs w:val="22"/>
                <w:lang w:eastAsia="en-US"/>
              </w:rPr>
            </w:pPr>
          </w:p>
        </w:tc>
        <w:tc>
          <w:tcPr>
            <w:tcW w:w="4394" w:type="dxa"/>
          </w:tcPr>
          <w:p w14:paraId="5CD20EA1" w14:textId="77777777" w:rsidR="00B97365" w:rsidRDefault="00000000">
            <w:pPr>
              <w:spacing w:before="0" w:after="200" w:line="276" w:lineRule="auto"/>
              <w:jc w:val="left"/>
              <w:rPr>
                <w:szCs w:val="22"/>
                <w:lang w:val="en-US" w:eastAsia="en-GB" w:bidi="ar-SA"/>
              </w:rPr>
            </w:pPr>
            <w:r>
              <w:rPr>
                <w:szCs w:val="22"/>
                <w:lang w:val="en-US" w:eastAsia="en-GB" w:bidi="ar-SA"/>
              </w:rPr>
              <w:t>rps3:ES7-CreateAdditionalKeySetResponse</w:t>
            </w:r>
          </w:p>
        </w:tc>
        <w:tc>
          <w:tcPr>
            <w:tcW w:w="2410" w:type="dxa"/>
            <w:vMerge/>
          </w:tcPr>
          <w:p w14:paraId="01882742" w14:textId="77777777" w:rsidR="00B97365" w:rsidRDefault="00B97365">
            <w:pPr>
              <w:spacing w:before="0" w:after="200" w:line="276" w:lineRule="auto"/>
              <w:jc w:val="left"/>
              <w:rPr>
                <w:szCs w:val="22"/>
                <w:lang w:eastAsia="en-US"/>
              </w:rPr>
            </w:pPr>
          </w:p>
        </w:tc>
      </w:tr>
      <w:tr w:rsidR="00B97365" w14:paraId="13BA056B" w14:textId="77777777">
        <w:trPr>
          <w:trHeight w:val="435"/>
        </w:trPr>
        <w:tc>
          <w:tcPr>
            <w:tcW w:w="2689" w:type="dxa"/>
            <w:vMerge w:val="restart"/>
          </w:tcPr>
          <w:p w14:paraId="208DF560" w14:textId="77777777" w:rsidR="00B97365" w:rsidRDefault="00000000">
            <w:pPr>
              <w:spacing w:before="0" w:after="200" w:line="276" w:lineRule="auto"/>
              <w:jc w:val="left"/>
              <w:rPr>
                <w:szCs w:val="22"/>
                <w:lang w:eastAsia="en-US"/>
              </w:rPr>
            </w:pPr>
            <w:r>
              <w:rPr>
                <w:szCs w:val="22"/>
                <w:lang w:eastAsia="en-US"/>
              </w:rPr>
              <w:t>ES7.HandoverEUICC</w:t>
            </w:r>
          </w:p>
        </w:tc>
        <w:tc>
          <w:tcPr>
            <w:tcW w:w="4394" w:type="dxa"/>
          </w:tcPr>
          <w:p w14:paraId="010B16C1" w14:textId="77777777" w:rsidR="00B97365" w:rsidRDefault="00000000">
            <w:pPr>
              <w:spacing w:before="0" w:after="200" w:line="276" w:lineRule="auto"/>
              <w:jc w:val="left"/>
              <w:rPr>
                <w:szCs w:val="22"/>
                <w:lang w:val="en-US" w:eastAsia="en-GB" w:bidi="ar-SA"/>
              </w:rPr>
            </w:pPr>
            <w:r>
              <w:rPr>
                <w:szCs w:val="22"/>
                <w:lang w:val="en-US" w:eastAsia="en-GB" w:bidi="ar-SA"/>
              </w:rPr>
              <w:t>rps3:ES7-HandoverEUICCRequest</w:t>
            </w:r>
          </w:p>
        </w:tc>
        <w:tc>
          <w:tcPr>
            <w:tcW w:w="2410" w:type="dxa"/>
            <w:vMerge/>
          </w:tcPr>
          <w:p w14:paraId="2174AA67" w14:textId="77777777" w:rsidR="00B97365" w:rsidRDefault="00B97365">
            <w:pPr>
              <w:spacing w:before="0" w:after="200" w:line="276" w:lineRule="auto"/>
              <w:jc w:val="left"/>
              <w:rPr>
                <w:szCs w:val="22"/>
                <w:lang w:eastAsia="en-US"/>
              </w:rPr>
            </w:pPr>
          </w:p>
        </w:tc>
      </w:tr>
      <w:tr w:rsidR="00B97365" w14:paraId="0440F5DD" w14:textId="77777777">
        <w:trPr>
          <w:trHeight w:val="435"/>
        </w:trPr>
        <w:tc>
          <w:tcPr>
            <w:tcW w:w="2689" w:type="dxa"/>
            <w:vMerge/>
          </w:tcPr>
          <w:p w14:paraId="626E8A3C" w14:textId="77777777" w:rsidR="00B97365" w:rsidRDefault="00B97365">
            <w:pPr>
              <w:spacing w:before="0" w:after="200" w:line="276" w:lineRule="auto"/>
              <w:jc w:val="left"/>
              <w:rPr>
                <w:szCs w:val="22"/>
                <w:lang w:eastAsia="en-US"/>
              </w:rPr>
            </w:pPr>
          </w:p>
        </w:tc>
        <w:tc>
          <w:tcPr>
            <w:tcW w:w="4394" w:type="dxa"/>
          </w:tcPr>
          <w:p w14:paraId="45BA165F" w14:textId="77777777" w:rsidR="00B97365" w:rsidRDefault="00000000">
            <w:pPr>
              <w:spacing w:before="0" w:after="200" w:line="276" w:lineRule="auto"/>
              <w:jc w:val="left"/>
              <w:rPr>
                <w:szCs w:val="22"/>
                <w:lang w:val="en-US" w:eastAsia="en-GB" w:bidi="ar-SA"/>
              </w:rPr>
            </w:pPr>
            <w:r>
              <w:rPr>
                <w:szCs w:val="22"/>
                <w:lang w:val="en-US" w:eastAsia="en-GB" w:bidi="ar-SA"/>
              </w:rPr>
              <w:t>rps3:ES7-HandoverEUICCResponse</w:t>
            </w:r>
          </w:p>
        </w:tc>
        <w:tc>
          <w:tcPr>
            <w:tcW w:w="2410" w:type="dxa"/>
            <w:vMerge/>
          </w:tcPr>
          <w:p w14:paraId="0EF91255" w14:textId="77777777" w:rsidR="00B97365" w:rsidRDefault="00B97365">
            <w:pPr>
              <w:spacing w:before="0" w:after="200" w:line="276" w:lineRule="auto"/>
              <w:jc w:val="left"/>
              <w:rPr>
                <w:szCs w:val="22"/>
                <w:lang w:eastAsia="en-US"/>
              </w:rPr>
            </w:pPr>
          </w:p>
        </w:tc>
      </w:tr>
      <w:tr w:rsidR="00B97365" w14:paraId="3148D5DA" w14:textId="77777777">
        <w:trPr>
          <w:trHeight w:val="435"/>
        </w:trPr>
        <w:tc>
          <w:tcPr>
            <w:tcW w:w="2689" w:type="dxa"/>
            <w:vMerge w:val="restart"/>
          </w:tcPr>
          <w:p w14:paraId="4B24CE7D" w14:textId="77777777" w:rsidR="00B97365" w:rsidRDefault="00000000">
            <w:pPr>
              <w:spacing w:before="0" w:after="200" w:line="276" w:lineRule="auto"/>
              <w:jc w:val="left"/>
              <w:rPr>
                <w:szCs w:val="22"/>
                <w:lang w:eastAsia="en-US"/>
              </w:rPr>
            </w:pPr>
            <w:r>
              <w:rPr>
                <w:szCs w:val="22"/>
                <w:lang w:eastAsia="en-US"/>
              </w:rPr>
              <w:t>ES7.AuthenticateSMSR</w:t>
            </w:r>
          </w:p>
        </w:tc>
        <w:tc>
          <w:tcPr>
            <w:tcW w:w="4394" w:type="dxa"/>
          </w:tcPr>
          <w:p w14:paraId="5E127BE2" w14:textId="77777777" w:rsidR="00B97365" w:rsidRDefault="00000000">
            <w:pPr>
              <w:spacing w:before="0" w:after="200" w:line="276" w:lineRule="auto"/>
              <w:jc w:val="left"/>
              <w:rPr>
                <w:szCs w:val="22"/>
                <w:lang w:val="en-US" w:eastAsia="en-GB" w:bidi="ar-SA"/>
              </w:rPr>
            </w:pPr>
            <w:r>
              <w:rPr>
                <w:szCs w:val="22"/>
                <w:lang w:val="en-US" w:eastAsia="en-GB" w:bidi="ar-SA"/>
              </w:rPr>
              <w:t>rps3:ES7-AuthenticateSMSRRequest</w:t>
            </w:r>
          </w:p>
        </w:tc>
        <w:tc>
          <w:tcPr>
            <w:tcW w:w="2410" w:type="dxa"/>
            <w:vMerge/>
          </w:tcPr>
          <w:p w14:paraId="06276B37" w14:textId="77777777" w:rsidR="00B97365" w:rsidRDefault="00B97365">
            <w:pPr>
              <w:spacing w:before="0" w:after="200" w:line="276" w:lineRule="auto"/>
              <w:jc w:val="left"/>
              <w:rPr>
                <w:szCs w:val="22"/>
                <w:lang w:eastAsia="en-US"/>
              </w:rPr>
            </w:pPr>
          </w:p>
        </w:tc>
      </w:tr>
      <w:tr w:rsidR="00B97365" w14:paraId="470223C9" w14:textId="77777777">
        <w:trPr>
          <w:trHeight w:val="435"/>
        </w:trPr>
        <w:tc>
          <w:tcPr>
            <w:tcW w:w="2689" w:type="dxa"/>
            <w:vMerge/>
          </w:tcPr>
          <w:p w14:paraId="5240E0DD" w14:textId="77777777" w:rsidR="00B97365" w:rsidRDefault="00B97365">
            <w:pPr>
              <w:spacing w:before="0" w:after="200" w:line="276" w:lineRule="auto"/>
              <w:jc w:val="left"/>
              <w:rPr>
                <w:szCs w:val="22"/>
                <w:lang w:eastAsia="en-US"/>
              </w:rPr>
            </w:pPr>
          </w:p>
        </w:tc>
        <w:tc>
          <w:tcPr>
            <w:tcW w:w="4394" w:type="dxa"/>
          </w:tcPr>
          <w:p w14:paraId="1DFF61DE" w14:textId="77777777" w:rsidR="00B97365" w:rsidRDefault="00000000">
            <w:pPr>
              <w:spacing w:before="0" w:after="200" w:line="276" w:lineRule="auto"/>
              <w:jc w:val="left"/>
              <w:rPr>
                <w:szCs w:val="22"/>
                <w:lang w:val="en-US" w:eastAsia="en-GB" w:bidi="ar-SA"/>
              </w:rPr>
            </w:pPr>
            <w:r>
              <w:rPr>
                <w:szCs w:val="22"/>
                <w:lang w:val="en-US" w:eastAsia="en-GB" w:bidi="ar-SA"/>
              </w:rPr>
              <w:t>rps3:ES7-AuthenticateSMSRResponse</w:t>
            </w:r>
          </w:p>
        </w:tc>
        <w:tc>
          <w:tcPr>
            <w:tcW w:w="2410" w:type="dxa"/>
            <w:vMerge/>
          </w:tcPr>
          <w:p w14:paraId="695A447B" w14:textId="77777777" w:rsidR="00B97365" w:rsidRDefault="00B97365">
            <w:pPr>
              <w:spacing w:before="0" w:after="200" w:line="276" w:lineRule="auto"/>
              <w:jc w:val="left"/>
              <w:rPr>
                <w:szCs w:val="22"/>
                <w:lang w:eastAsia="en-US"/>
              </w:rPr>
            </w:pPr>
          </w:p>
        </w:tc>
      </w:tr>
    </w:tbl>
    <w:p w14:paraId="3823AE96" w14:textId="77777777" w:rsidR="00B97365" w:rsidRDefault="00B97365">
      <w:pPr>
        <w:spacing w:before="0" w:after="200" w:line="276" w:lineRule="auto"/>
        <w:jc w:val="left"/>
        <w:rPr>
          <w:szCs w:val="22"/>
          <w:lang w:eastAsia="en-US"/>
        </w:rPr>
      </w:pPr>
    </w:p>
    <w:p w14:paraId="4BED7ECB" w14:textId="59B507B6"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NOTE1</w:t>
      </w:r>
      <w:r>
        <w:rPr>
          <w:szCs w:val="22"/>
          <w:lang w:eastAsia="en-GB" w:bidi="ar-SA"/>
        </w:rPr>
        <w:tab/>
      </w:r>
      <w:r>
        <w:rPr>
          <w:b/>
          <w:szCs w:val="22"/>
          <w:lang w:eastAsia="en-GB" w:bidi="ar-SA"/>
        </w:rPr>
        <w:t>ES7.CreateAdditionalKeySet</w:t>
      </w:r>
      <w:r>
        <w:rPr>
          <w:szCs w:val="22"/>
          <w:lang w:eastAsia="en-GB" w:bidi="ar-SA"/>
        </w:rPr>
        <w:t xml:space="preserve">: Due to backward compatibility reasons, the XML Schema defining this element does not allow to omit the initialSequenceCounter element, nor to give it an empty value. However, whichever value set in this element by the calling SM-SR will be ignored by the SM-SR receiving this command (see NOTE 1 of section </w:t>
      </w:r>
      <w:r>
        <w:rPr>
          <w:szCs w:val="22"/>
          <w:lang w:eastAsia="en-GB" w:bidi="ar-SA"/>
        </w:rPr>
        <w:fldChar w:fldCharType="begin"/>
      </w:r>
      <w:r>
        <w:rPr>
          <w:szCs w:val="22"/>
          <w:lang w:eastAsia="en-GB" w:bidi="ar-SA"/>
        </w:rPr>
        <w:instrText xml:space="preserve"> REF _Ref534230482 \r \h  \* MERGEFORMAT </w:instrText>
      </w:r>
      <w:r>
        <w:rPr>
          <w:szCs w:val="22"/>
          <w:lang w:eastAsia="en-GB" w:bidi="ar-SA"/>
        </w:rPr>
      </w:r>
      <w:r>
        <w:rPr>
          <w:szCs w:val="22"/>
          <w:lang w:eastAsia="en-GB" w:bidi="ar-SA"/>
        </w:rPr>
        <w:fldChar w:fldCharType="separate"/>
      </w:r>
      <w:r w:rsidR="001D5AD9">
        <w:rPr>
          <w:szCs w:val="22"/>
          <w:lang w:eastAsia="en-GB" w:bidi="ar-SA"/>
        </w:rPr>
        <w:t>5.6.1</w:t>
      </w:r>
      <w:r>
        <w:rPr>
          <w:szCs w:val="22"/>
          <w:lang w:eastAsia="en-GB" w:bidi="ar-SA"/>
        </w:rPr>
        <w:fldChar w:fldCharType="end"/>
      </w:r>
      <w:r>
        <w:rPr>
          <w:szCs w:val="22"/>
          <w:lang w:eastAsia="en-GB" w:bidi="ar-SA"/>
        </w:rPr>
        <w:t>). The calling SM-SR SHOULD set a value that is clearly not relevant as an initial sequence counter value (e.g. -1)</w:t>
      </w:r>
    </w:p>
    <w:p w14:paraId="71260477" w14:textId="3DEB30D0"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 2</w:t>
      </w:r>
      <w:r>
        <w:rPr>
          <w:szCs w:val="22"/>
          <w:lang w:val="en-US" w:eastAsia="en-GB" w:bidi="ar-SA"/>
        </w:rPr>
        <w:tab/>
      </w:r>
      <w:r>
        <w:rPr>
          <w:b/>
          <w:szCs w:val="22"/>
          <w:lang w:val="en-US" w:eastAsia="en-GB" w:bidi="ar-SA"/>
        </w:rPr>
        <w:t xml:space="preserve">ES7.CreateAdditionalKeySet: </w:t>
      </w:r>
      <w:r>
        <w:rPr>
          <w:szCs w:val="22"/>
          <w:lang w:val="en-US" w:eastAsia="en-GB" w:bidi="ar-SA"/>
        </w:rPr>
        <w:t xml:space="preserve">Due to backward compatibility reasons, the XML Schema defining this element does not allow to omit the hostId element. However, the value set in this element by the calling SM-SR is irrelevant if the scenarioParameter does not specify to use a hostId (see NOTE 2 of section </w:t>
      </w:r>
      <w:r>
        <w:rPr>
          <w:szCs w:val="22"/>
          <w:lang w:val="en-US" w:eastAsia="en-GB" w:bidi="ar-SA"/>
        </w:rPr>
        <w:fldChar w:fldCharType="begin"/>
      </w:r>
      <w:r>
        <w:rPr>
          <w:szCs w:val="22"/>
          <w:lang w:val="en-US" w:eastAsia="en-GB" w:bidi="ar-SA"/>
        </w:rPr>
        <w:instrText xml:space="preserve"> REF _Ref534230482 \r \h </w:instrText>
      </w:r>
      <w:r>
        <w:rPr>
          <w:szCs w:val="22"/>
          <w:lang w:val="en-US" w:eastAsia="en-GB" w:bidi="ar-SA"/>
        </w:rPr>
      </w:r>
      <w:r>
        <w:rPr>
          <w:szCs w:val="22"/>
          <w:lang w:val="en-US" w:eastAsia="en-GB" w:bidi="ar-SA"/>
        </w:rPr>
        <w:fldChar w:fldCharType="separate"/>
      </w:r>
      <w:r w:rsidR="001D5AD9">
        <w:rPr>
          <w:szCs w:val="22"/>
          <w:lang w:val="en-US" w:eastAsia="en-GB" w:bidi="ar-SA"/>
        </w:rPr>
        <w:t>5.6.1</w:t>
      </w:r>
      <w:r>
        <w:rPr>
          <w:szCs w:val="22"/>
          <w:lang w:val="en-US" w:eastAsia="en-GB" w:bidi="ar-SA"/>
        </w:rPr>
        <w:fldChar w:fldCharType="end"/>
      </w:r>
      <w:r>
        <w:rPr>
          <w:szCs w:val="22"/>
          <w:lang w:val="en-US" w:eastAsia="en-GB" w:bidi="ar-SA"/>
        </w:rPr>
        <w:t>). In this case, the calling SM-SR SHOULD set an empty value (empty string).</w:t>
      </w:r>
    </w:p>
    <w:p w14:paraId="5A863773" w14:textId="77777777" w:rsidR="00B97365" w:rsidRDefault="00B97365">
      <w:pPr>
        <w:spacing w:before="0" w:after="200" w:line="276" w:lineRule="auto"/>
        <w:jc w:val="left"/>
        <w:rPr>
          <w:szCs w:val="22"/>
          <w:lang w:eastAsia="en-US" w:bidi="ar-SA"/>
        </w:rPr>
      </w:pPr>
    </w:p>
    <w:p w14:paraId="6A0A181B"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0290" w:name="_Toc365571502"/>
      <w:bookmarkStart w:id="10291" w:name="_Toc365625002"/>
      <w:bookmarkStart w:id="10292" w:name="_Toc365900013"/>
      <w:bookmarkStart w:id="10293" w:name="_Toc365982822"/>
      <w:bookmarkStart w:id="10294" w:name="_Toc367446155"/>
      <w:bookmarkStart w:id="10295" w:name="_Toc368048361"/>
      <w:bookmarkStart w:id="10296" w:name="_Toc368583932"/>
      <w:bookmarkStart w:id="10297" w:name="_Toc368653027"/>
      <w:bookmarkStart w:id="10298" w:name="_Toc368932466"/>
      <w:bookmarkStart w:id="10299" w:name="_Toc374345939"/>
      <w:bookmarkStart w:id="10300" w:name="_Toc374346285"/>
      <w:bookmarkStart w:id="10301" w:name="_Toc374346630"/>
      <w:bookmarkStart w:id="10302" w:name="_Toc374346976"/>
      <w:bookmarkStart w:id="10303" w:name="_Toc374347431"/>
      <w:bookmarkStart w:id="10304" w:name="_Toc374347660"/>
      <w:bookmarkStart w:id="10305" w:name="_Toc374347889"/>
      <w:bookmarkStart w:id="10306" w:name="_Toc374348632"/>
      <w:bookmarkStart w:id="10307" w:name="_Toc375055033"/>
      <w:bookmarkStart w:id="10308" w:name="_Toc375158116"/>
      <w:bookmarkStart w:id="10309" w:name="_Toc375158458"/>
      <w:bookmarkStart w:id="10310" w:name="_Toc378865614"/>
      <w:bookmarkStart w:id="10311" w:name="_Toc396149344"/>
      <w:bookmarkStart w:id="10312" w:name="_Toc396149912"/>
      <w:bookmarkStart w:id="10313" w:name="_Toc396150353"/>
      <w:bookmarkStart w:id="10314" w:name="_Toc398215042"/>
      <w:bookmarkStart w:id="10315" w:name="_Toc398291732"/>
      <w:bookmarkStart w:id="10316" w:name="_Toc398292075"/>
      <w:bookmarkStart w:id="10317" w:name="_Toc398293184"/>
      <w:bookmarkStart w:id="10318" w:name="_Toc400964314"/>
      <w:bookmarkStart w:id="10319" w:name="_Toc420595035"/>
      <w:bookmarkStart w:id="10320" w:name="_Toc420928589"/>
      <w:bookmarkStart w:id="10321" w:name="_Toc421106910"/>
      <w:bookmarkStart w:id="10322" w:name="_Toc421173176"/>
      <w:bookmarkStart w:id="10323" w:name="_Toc421874483"/>
      <w:bookmarkStart w:id="10324" w:name="_Toc421885772"/>
      <w:bookmarkStart w:id="10325" w:name="_Toc421886151"/>
      <w:bookmarkStart w:id="10326" w:name="_Toc422029023"/>
      <w:bookmarkStart w:id="10327" w:name="_Toc422029935"/>
      <w:bookmarkStart w:id="10328" w:name="_Toc422150898"/>
      <w:bookmarkStart w:id="10329" w:name="_Toc423443452"/>
      <w:bookmarkStart w:id="10330" w:name="_Toc441422630"/>
      <w:bookmarkStart w:id="10331" w:name="_Toc365571503"/>
      <w:bookmarkStart w:id="10332" w:name="_Toc365625003"/>
      <w:bookmarkStart w:id="10333" w:name="_Toc365900014"/>
      <w:bookmarkStart w:id="10334" w:name="_Toc365982823"/>
      <w:bookmarkStart w:id="10335" w:name="_Toc367446156"/>
      <w:bookmarkStart w:id="10336" w:name="_Toc368048362"/>
      <w:bookmarkStart w:id="10337" w:name="_Toc368583933"/>
      <w:bookmarkStart w:id="10338" w:name="_Toc368653028"/>
      <w:bookmarkStart w:id="10339" w:name="_Toc368932467"/>
      <w:bookmarkStart w:id="10340" w:name="_Toc374345940"/>
      <w:bookmarkStart w:id="10341" w:name="_Toc374346286"/>
      <w:bookmarkStart w:id="10342" w:name="_Toc374346631"/>
      <w:bookmarkStart w:id="10343" w:name="_Toc374346977"/>
      <w:bookmarkStart w:id="10344" w:name="_Toc374347432"/>
      <w:bookmarkStart w:id="10345" w:name="_Toc374347661"/>
      <w:bookmarkStart w:id="10346" w:name="_Toc374347890"/>
      <w:bookmarkStart w:id="10347" w:name="_Toc374348633"/>
      <w:bookmarkStart w:id="10348" w:name="_Toc375055034"/>
      <w:bookmarkStart w:id="10349" w:name="_Toc375158117"/>
      <w:bookmarkStart w:id="10350" w:name="_Toc375158459"/>
      <w:bookmarkStart w:id="10351" w:name="_Toc378865615"/>
      <w:bookmarkStart w:id="10352" w:name="_Toc396149345"/>
      <w:bookmarkStart w:id="10353" w:name="_Toc396149913"/>
      <w:bookmarkStart w:id="10354" w:name="_Toc396150354"/>
      <w:bookmarkStart w:id="10355" w:name="_Toc398215043"/>
      <w:bookmarkStart w:id="10356" w:name="_Toc398291733"/>
      <w:bookmarkStart w:id="10357" w:name="_Toc398292076"/>
      <w:bookmarkStart w:id="10358" w:name="_Toc398293185"/>
      <w:bookmarkStart w:id="10359" w:name="_Toc400964315"/>
      <w:bookmarkStart w:id="10360" w:name="_Toc420595036"/>
      <w:bookmarkStart w:id="10361" w:name="_Toc420928590"/>
      <w:bookmarkStart w:id="10362" w:name="_Toc421106911"/>
      <w:bookmarkStart w:id="10363" w:name="_Toc421173177"/>
      <w:bookmarkStart w:id="10364" w:name="_Toc421874484"/>
      <w:bookmarkStart w:id="10365" w:name="_Toc421885773"/>
      <w:bookmarkStart w:id="10366" w:name="_Toc421886152"/>
      <w:bookmarkStart w:id="10367" w:name="_Toc422029024"/>
      <w:bookmarkStart w:id="10368" w:name="_Toc422029936"/>
      <w:bookmarkStart w:id="10369" w:name="_Toc422150899"/>
      <w:bookmarkStart w:id="10370" w:name="_Toc423443453"/>
      <w:bookmarkStart w:id="10371" w:name="_Toc441422631"/>
      <w:bookmarkStart w:id="10372" w:name="_Toc365571504"/>
      <w:bookmarkStart w:id="10373" w:name="_Toc365625004"/>
      <w:bookmarkStart w:id="10374" w:name="_Toc365900015"/>
      <w:bookmarkStart w:id="10375" w:name="_Toc365982824"/>
      <w:bookmarkStart w:id="10376" w:name="_Toc367446157"/>
      <w:bookmarkStart w:id="10377" w:name="_Toc368048363"/>
      <w:bookmarkStart w:id="10378" w:name="_Toc368583934"/>
      <w:bookmarkStart w:id="10379" w:name="_Toc368653029"/>
      <w:bookmarkStart w:id="10380" w:name="_Toc368932468"/>
      <w:bookmarkStart w:id="10381" w:name="_Toc374345941"/>
      <w:bookmarkStart w:id="10382" w:name="_Toc374346287"/>
      <w:bookmarkStart w:id="10383" w:name="_Toc374346632"/>
      <w:bookmarkStart w:id="10384" w:name="_Toc374346978"/>
      <w:bookmarkStart w:id="10385" w:name="_Toc374347433"/>
      <w:bookmarkStart w:id="10386" w:name="_Toc374347662"/>
      <w:bookmarkStart w:id="10387" w:name="_Toc374347891"/>
      <w:bookmarkStart w:id="10388" w:name="_Toc374348634"/>
      <w:bookmarkStart w:id="10389" w:name="_Toc375055035"/>
      <w:bookmarkStart w:id="10390" w:name="_Toc375158118"/>
      <w:bookmarkStart w:id="10391" w:name="_Toc375158460"/>
      <w:bookmarkStart w:id="10392" w:name="_Toc378865616"/>
      <w:bookmarkStart w:id="10393" w:name="_Toc396149346"/>
      <w:bookmarkStart w:id="10394" w:name="_Toc396149914"/>
      <w:bookmarkStart w:id="10395" w:name="_Toc396150355"/>
      <w:bookmarkStart w:id="10396" w:name="_Toc398215044"/>
      <w:bookmarkStart w:id="10397" w:name="_Toc398291734"/>
      <w:bookmarkStart w:id="10398" w:name="_Toc398292077"/>
      <w:bookmarkStart w:id="10399" w:name="_Toc398293186"/>
      <w:bookmarkStart w:id="10400" w:name="_Toc400964316"/>
      <w:bookmarkStart w:id="10401" w:name="_Toc420595037"/>
      <w:bookmarkStart w:id="10402" w:name="_Toc420928591"/>
      <w:bookmarkStart w:id="10403" w:name="_Toc421106912"/>
      <w:bookmarkStart w:id="10404" w:name="_Toc421173178"/>
      <w:bookmarkStart w:id="10405" w:name="_Toc421874485"/>
      <w:bookmarkStart w:id="10406" w:name="_Toc421885774"/>
      <w:bookmarkStart w:id="10407" w:name="_Toc421886153"/>
      <w:bookmarkStart w:id="10408" w:name="_Toc422029025"/>
      <w:bookmarkStart w:id="10409" w:name="_Toc422029937"/>
      <w:bookmarkStart w:id="10410" w:name="_Toc422150900"/>
      <w:bookmarkStart w:id="10411" w:name="_Toc423443454"/>
      <w:bookmarkStart w:id="10412" w:name="_Toc441422632"/>
      <w:bookmarkStart w:id="10413" w:name="_Toc365571505"/>
      <w:bookmarkStart w:id="10414" w:name="_Toc365625005"/>
      <w:bookmarkStart w:id="10415" w:name="_Toc365900016"/>
      <w:bookmarkStart w:id="10416" w:name="_Toc365982825"/>
      <w:bookmarkStart w:id="10417" w:name="_Toc367446158"/>
      <w:bookmarkStart w:id="10418" w:name="_Toc368048364"/>
      <w:bookmarkStart w:id="10419" w:name="_Toc368583935"/>
      <w:bookmarkStart w:id="10420" w:name="_Toc368653030"/>
      <w:bookmarkStart w:id="10421" w:name="_Toc368932469"/>
      <w:bookmarkStart w:id="10422" w:name="_Toc374345942"/>
      <w:bookmarkStart w:id="10423" w:name="_Toc374346288"/>
      <w:bookmarkStart w:id="10424" w:name="_Toc374346633"/>
      <w:bookmarkStart w:id="10425" w:name="_Toc374346979"/>
      <w:bookmarkStart w:id="10426" w:name="_Toc374347434"/>
      <w:bookmarkStart w:id="10427" w:name="_Toc374347663"/>
      <w:bookmarkStart w:id="10428" w:name="_Toc374347892"/>
      <w:bookmarkStart w:id="10429" w:name="_Toc374348635"/>
      <w:bookmarkStart w:id="10430" w:name="_Toc375055036"/>
      <w:bookmarkStart w:id="10431" w:name="_Toc375158119"/>
      <w:bookmarkStart w:id="10432" w:name="_Toc375158461"/>
      <w:bookmarkStart w:id="10433" w:name="_Toc378865617"/>
      <w:bookmarkStart w:id="10434" w:name="_Toc396149347"/>
      <w:bookmarkStart w:id="10435" w:name="_Toc396149915"/>
      <w:bookmarkStart w:id="10436" w:name="_Toc396150356"/>
      <w:bookmarkStart w:id="10437" w:name="_Toc398215045"/>
      <w:bookmarkStart w:id="10438" w:name="_Toc398291735"/>
      <w:bookmarkStart w:id="10439" w:name="_Toc398292078"/>
      <w:bookmarkStart w:id="10440" w:name="_Toc398293187"/>
      <w:bookmarkStart w:id="10441" w:name="_Toc400964317"/>
      <w:bookmarkStart w:id="10442" w:name="_Toc420595038"/>
      <w:bookmarkStart w:id="10443" w:name="_Toc420928592"/>
      <w:bookmarkStart w:id="10444" w:name="_Toc421106913"/>
      <w:bookmarkStart w:id="10445" w:name="_Toc421173179"/>
      <w:bookmarkStart w:id="10446" w:name="_Toc421874486"/>
      <w:bookmarkStart w:id="10447" w:name="_Toc421885775"/>
      <w:bookmarkStart w:id="10448" w:name="_Toc421886154"/>
      <w:bookmarkStart w:id="10449" w:name="_Toc422029026"/>
      <w:bookmarkStart w:id="10450" w:name="_Toc422029938"/>
      <w:bookmarkStart w:id="10451" w:name="_Toc422150901"/>
      <w:bookmarkStart w:id="10452" w:name="_Toc423443455"/>
      <w:bookmarkStart w:id="10453" w:name="_Toc441422633"/>
      <w:bookmarkStart w:id="10454" w:name="_Toc365571506"/>
      <w:bookmarkStart w:id="10455" w:name="_Toc365625006"/>
      <w:bookmarkStart w:id="10456" w:name="_Toc365900017"/>
      <w:bookmarkStart w:id="10457" w:name="_Toc365982826"/>
      <w:bookmarkStart w:id="10458" w:name="_Toc367446159"/>
      <w:bookmarkStart w:id="10459" w:name="_Toc368048365"/>
      <w:bookmarkStart w:id="10460" w:name="_Toc368583936"/>
      <w:bookmarkStart w:id="10461" w:name="_Toc368653031"/>
      <w:bookmarkStart w:id="10462" w:name="_Toc368932470"/>
      <w:bookmarkStart w:id="10463" w:name="_Toc374345943"/>
      <w:bookmarkStart w:id="10464" w:name="_Toc374346289"/>
      <w:bookmarkStart w:id="10465" w:name="_Toc374346634"/>
      <w:bookmarkStart w:id="10466" w:name="_Toc374346980"/>
      <w:bookmarkStart w:id="10467" w:name="_Toc374347435"/>
      <w:bookmarkStart w:id="10468" w:name="_Toc374347664"/>
      <w:bookmarkStart w:id="10469" w:name="_Toc374347893"/>
      <w:bookmarkStart w:id="10470" w:name="_Toc374348636"/>
      <w:bookmarkStart w:id="10471" w:name="_Toc375055037"/>
      <w:bookmarkStart w:id="10472" w:name="_Toc375158120"/>
      <w:bookmarkStart w:id="10473" w:name="_Toc375158462"/>
      <w:bookmarkStart w:id="10474" w:name="_Toc378865618"/>
      <w:bookmarkStart w:id="10475" w:name="_Toc396149348"/>
      <w:bookmarkStart w:id="10476" w:name="_Toc396149916"/>
      <w:bookmarkStart w:id="10477" w:name="_Toc396150357"/>
      <w:bookmarkStart w:id="10478" w:name="_Toc398215046"/>
      <w:bookmarkStart w:id="10479" w:name="_Toc398291736"/>
      <w:bookmarkStart w:id="10480" w:name="_Toc398292079"/>
      <w:bookmarkStart w:id="10481" w:name="_Toc398293188"/>
      <w:bookmarkStart w:id="10482" w:name="_Toc400964318"/>
      <w:bookmarkStart w:id="10483" w:name="_Toc420595039"/>
      <w:bookmarkStart w:id="10484" w:name="_Toc420928593"/>
      <w:bookmarkStart w:id="10485" w:name="_Toc421106914"/>
      <w:bookmarkStart w:id="10486" w:name="_Toc421173180"/>
      <w:bookmarkStart w:id="10487" w:name="_Toc421874487"/>
      <w:bookmarkStart w:id="10488" w:name="_Toc421885776"/>
      <w:bookmarkStart w:id="10489" w:name="_Toc421886155"/>
      <w:bookmarkStart w:id="10490" w:name="_Toc422029027"/>
      <w:bookmarkStart w:id="10491" w:name="_Toc422029939"/>
      <w:bookmarkStart w:id="10492" w:name="_Toc422150902"/>
      <w:bookmarkStart w:id="10493" w:name="_Toc423443456"/>
      <w:bookmarkStart w:id="10494" w:name="_Toc441422634"/>
      <w:bookmarkStart w:id="10495" w:name="_Toc365571507"/>
      <w:bookmarkStart w:id="10496" w:name="_Toc365625007"/>
      <w:bookmarkStart w:id="10497" w:name="_Toc365900018"/>
      <w:bookmarkStart w:id="10498" w:name="_Toc365982827"/>
      <w:bookmarkStart w:id="10499" w:name="_Toc367446160"/>
      <w:bookmarkStart w:id="10500" w:name="_Toc368048366"/>
      <w:bookmarkStart w:id="10501" w:name="_Toc368583937"/>
      <w:bookmarkStart w:id="10502" w:name="_Toc368653032"/>
      <w:bookmarkStart w:id="10503" w:name="_Toc368932471"/>
      <w:bookmarkStart w:id="10504" w:name="_Toc374345944"/>
      <w:bookmarkStart w:id="10505" w:name="_Toc374346290"/>
      <w:bookmarkStart w:id="10506" w:name="_Toc374346635"/>
      <w:bookmarkStart w:id="10507" w:name="_Toc374346981"/>
      <w:bookmarkStart w:id="10508" w:name="_Toc374347436"/>
      <w:bookmarkStart w:id="10509" w:name="_Toc374347665"/>
      <w:bookmarkStart w:id="10510" w:name="_Toc374347894"/>
      <w:bookmarkStart w:id="10511" w:name="_Toc374348637"/>
      <w:bookmarkStart w:id="10512" w:name="_Toc375055038"/>
      <w:bookmarkStart w:id="10513" w:name="_Toc375158121"/>
      <w:bookmarkStart w:id="10514" w:name="_Toc375158463"/>
      <w:bookmarkStart w:id="10515" w:name="_Toc378865619"/>
      <w:bookmarkStart w:id="10516" w:name="_Toc396149349"/>
      <w:bookmarkStart w:id="10517" w:name="_Toc396149917"/>
      <w:bookmarkStart w:id="10518" w:name="_Toc396150358"/>
      <w:bookmarkStart w:id="10519" w:name="_Toc398215047"/>
      <w:bookmarkStart w:id="10520" w:name="_Toc398291737"/>
      <w:bookmarkStart w:id="10521" w:name="_Toc398292080"/>
      <w:bookmarkStart w:id="10522" w:name="_Toc398293189"/>
      <w:bookmarkStart w:id="10523" w:name="_Toc400964319"/>
      <w:bookmarkStart w:id="10524" w:name="_Toc420595040"/>
      <w:bookmarkStart w:id="10525" w:name="_Toc420928594"/>
      <w:bookmarkStart w:id="10526" w:name="_Toc421106915"/>
      <w:bookmarkStart w:id="10527" w:name="_Toc421173181"/>
      <w:bookmarkStart w:id="10528" w:name="_Toc421874488"/>
      <w:bookmarkStart w:id="10529" w:name="_Toc421885777"/>
      <w:bookmarkStart w:id="10530" w:name="_Toc421886156"/>
      <w:bookmarkStart w:id="10531" w:name="_Toc422029028"/>
      <w:bookmarkStart w:id="10532" w:name="_Toc422029940"/>
      <w:bookmarkStart w:id="10533" w:name="_Toc422150903"/>
      <w:bookmarkStart w:id="10534" w:name="_Toc423443457"/>
      <w:bookmarkStart w:id="10535" w:name="_Toc441422635"/>
      <w:bookmarkStart w:id="10536" w:name="_Toc365571508"/>
      <w:bookmarkStart w:id="10537" w:name="_Toc365625008"/>
      <w:bookmarkStart w:id="10538" w:name="_Toc365900019"/>
      <w:bookmarkStart w:id="10539" w:name="_Toc365982828"/>
      <w:bookmarkStart w:id="10540" w:name="_Toc367446161"/>
      <w:bookmarkStart w:id="10541" w:name="_Toc368048367"/>
      <w:bookmarkStart w:id="10542" w:name="_Toc368583938"/>
      <w:bookmarkStart w:id="10543" w:name="_Toc368653033"/>
      <w:bookmarkStart w:id="10544" w:name="_Toc368932472"/>
      <w:bookmarkStart w:id="10545" w:name="_Toc374345945"/>
      <w:bookmarkStart w:id="10546" w:name="_Toc374346291"/>
      <w:bookmarkStart w:id="10547" w:name="_Toc374346636"/>
      <w:bookmarkStart w:id="10548" w:name="_Toc374346982"/>
      <w:bookmarkStart w:id="10549" w:name="_Toc374347437"/>
      <w:bookmarkStart w:id="10550" w:name="_Toc374347666"/>
      <w:bookmarkStart w:id="10551" w:name="_Toc374347895"/>
      <w:bookmarkStart w:id="10552" w:name="_Toc374348638"/>
      <w:bookmarkStart w:id="10553" w:name="_Toc375055039"/>
      <w:bookmarkStart w:id="10554" w:name="_Toc375158122"/>
      <w:bookmarkStart w:id="10555" w:name="_Toc375158464"/>
      <w:bookmarkStart w:id="10556" w:name="_Toc378865620"/>
      <w:bookmarkStart w:id="10557" w:name="_Toc396149350"/>
      <w:bookmarkStart w:id="10558" w:name="_Toc396149918"/>
      <w:bookmarkStart w:id="10559" w:name="_Toc396150359"/>
      <w:bookmarkStart w:id="10560" w:name="_Toc398215048"/>
      <w:bookmarkStart w:id="10561" w:name="_Toc398291738"/>
      <w:bookmarkStart w:id="10562" w:name="_Toc398292081"/>
      <w:bookmarkStart w:id="10563" w:name="_Toc398293190"/>
      <w:bookmarkStart w:id="10564" w:name="_Toc400964320"/>
      <w:bookmarkStart w:id="10565" w:name="_Toc420595041"/>
      <w:bookmarkStart w:id="10566" w:name="_Toc420928595"/>
      <w:bookmarkStart w:id="10567" w:name="_Toc421106916"/>
      <w:bookmarkStart w:id="10568" w:name="_Toc421173182"/>
      <w:bookmarkStart w:id="10569" w:name="_Toc421874489"/>
      <w:bookmarkStart w:id="10570" w:name="_Toc421885778"/>
      <w:bookmarkStart w:id="10571" w:name="_Toc421886157"/>
      <w:bookmarkStart w:id="10572" w:name="_Toc422029029"/>
      <w:bookmarkStart w:id="10573" w:name="_Toc422029941"/>
      <w:bookmarkStart w:id="10574" w:name="_Toc422150904"/>
      <w:bookmarkStart w:id="10575" w:name="_Toc423443458"/>
      <w:bookmarkStart w:id="10576" w:name="_Toc441422636"/>
      <w:bookmarkStart w:id="10577" w:name="_Toc365571509"/>
      <w:bookmarkStart w:id="10578" w:name="_Toc365625009"/>
      <w:bookmarkStart w:id="10579" w:name="_Toc365900020"/>
      <w:bookmarkStart w:id="10580" w:name="_Toc365982829"/>
      <w:bookmarkStart w:id="10581" w:name="_Toc367446162"/>
      <w:bookmarkStart w:id="10582" w:name="_Toc368048368"/>
      <w:bookmarkStart w:id="10583" w:name="_Toc368583939"/>
      <w:bookmarkStart w:id="10584" w:name="_Toc368653034"/>
      <w:bookmarkStart w:id="10585" w:name="_Toc368932473"/>
      <w:bookmarkStart w:id="10586" w:name="_Toc374345946"/>
      <w:bookmarkStart w:id="10587" w:name="_Toc374346292"/>
      <w:bookmarkStart w:id="10588" w:name="_Toc374346637"/>
      <w:bookmarkStart w:id="10589" w:name="_Toc374346983"/>
      <w:bookmarkStart w:id="10590" w:name="_Toc374347438"/>
      <w:bookmarkStart w:id="10591" w:name="_Toc374347667"/>
      <w:bookmarkStart w:id="10592" w:name="_Toc374347896"/>
      <w:bookmarkStart w:id="10593" w:name="_Toc374348639"/>
      <w:bookmarkStart w:id="10594" w:name="_Toc375055040"/>
      <w:bookmarkStart w:id="10595" w:name="_Toc375158123"/>
      <w:bookmarkStart w:id="10596" w:name="_Toc375158465"/>
      <w:bookmarkStart w:id="10597" w:name="_Toc378865621"/>
      <w:bookmarkStart w:id="10598" w:name="_Toc396149351"/>
      <w:bookmarkStart w:id="10599" w:name="_Toc396149919"/>
      <w:bookmarkStart w:id="10600" w:name="_Toc396150360"/>
      <w:bookmarkStart w:id="10601" w:name="_Toc398215049"/>
      <w:bookmarkStart w:id="10602" w:name="_Toc398291739"/>
      <w:bookmarkStart w:id="10603" w:name="_Toc398292082"/>
      <w:bookmarkStart w:id="10604" w:name="_Toc398293191"/>
      <w:bookmarkStart w:id="10605" w:name="_Toc400964321"/>
      <w:bookmarkStart w:id="10606" w:name="_Toc420595042"/>
      <w:bookmarkStart w:id="10607" w:name="_Toc420928596"/>
      <w:bookmarkStart w:id="10608" w:name="_Toc421106917"/>
      <w:bookmarkStart w:id="10609" w:name="_Toc421173183"/>
      <w:bookmarkStart w:id="10610" w:name="_Toc421874490"/>
      <w:bookmarkStart w:id="10611" w:name="_Toc421885779"/>
      <w:bookmarkStart w:id="10612" w:name="_Toc421886158"/>
      <w:bookmarkStart w:id="10613" w:name="_Toc422029030"/>
      <w:bookmarkStart w:id="10614" w:name="_Toc422029942"/>
      <w:bookmarkStart w:id="10615" w:name="_Toc422150905"/>
      <w:bookmarkStart w:id="10616" w:name="_Toc423443459"/>
      <w:bookmarkStart w:id="10617" w:name="_Toc441422637"/>
      <w:bookmarkStart w:id="10618" w:name="_Toc365571510"/>
      <w:bookmarkStart w:id="10619" w:name="_Toc365625010"/>
      <w:bookmarkStart w:id="10620" w:name="_Toc365900021"/>
      <w:bookmarkStart w:id="10621" w:name="_Toc365982830"/>
      <w:bookmarkStart w:id="10622" w:name="_Toc367446163"/>
      <w:bookmarkStart w:id="10623" w:name="_Toc368048369"/>
      <w:bookmarkStart w:id="10624" w:name="_Toc368583940"/>
      <w:bookmarkStart w:id="10625" w:name="_Toc368653035"/>
      <w:bookmarkStart w:id="10626" w:name="_Toc368932474"/>
      <w:bookmarkStart w:id="10627" w:name="_Toc374345947"/>
      <w:bookmarkStart w:id="10628" w:name="_Toc374346293"/>
      <w:bookmarkStart w:id="10629" w:name="_Toc374346638"/>
      <w:bookmarkStart w:id="10630" w:name="_Toc374346984"/>
      <w:bookmarkStart w:id="10631" w:name="_Toc374347439"/>
      <w:bookmarkStart w:id="10632" w:name="_Toc374347668"/>
      <w:bookmarkStart w:id="10633" w:name="_Toc374347897"/>
      <w:bookmarkStart w:id="10634" w:name="_Toc374348640"/>
      <w:bookmarkStart w:id="10635" w:name="_Toc375055041"/>
      <w:bookmarkStart w:id="10636" w:name="_Toc375158124"/>
      <w:bookmarkStart w:id="10637" w:name="_Toc375158466"/>
      <w:bookmarkStart w:id="10638" w:name="_Toc378865622"/>
      <w:bookmarkStart w:id="10639" w:name="_Toc396149352"/>
      <w:bookmarkStart w:id="10640" w:name="_Toc396149920"/>
      <w:bookmarkStart w:id="10641" w:name="_Toc396150361"/>
      <w:bookmarkStart w:id="10642" w:name="_Toc398215050"/>
      <w:bookmarkStart w:id="10643" w:name="_Toc398291740"/>
      <w:bookmarkStart w:id="10644" w:name="_Toc398292083"/>
      <w:bookmarkStart w:id="10645" w:name="_Toc398293192"/>
      <w:bookmarkStart w:id="10646" w:name="_Toc400964322"/>
      <w:bookmarkStart w:id="10647" w:name="_Toc420595043"/>
      <w:bookmarkStart w:id="10648" w:name="_Toc420928597"/>
      <w:bookmarkStart w:id="10649" w:name="_Toc421106918"/>
      <w:bookmarkStart w:id="10650" w:name="_Toc421173184"/>
      <w:bookmarkStart w:id="10651" w:name="_Toc421874491"/>
      <w:bookmarkStart w:id="10652" w:name="_Toc421885780"/>
      <w:bookmarkStart w:id="10653" w:name="_Toc421886159"/>
      <w:bookmarkStart w:id="10654" w:name="_Toc422029031"/>
      <w:bookmarkStart w:id="10655" w:name="_Toc422029943"/>
      <w:bookmarkStart w:id="10656" w:name="_Toc422150906"/>
      <w:bookmarkStart w:id="10657" w:name="_Toc423443460"/>
      <w:bookmarkStart w:id="10658" w:name="_Toc441422638"/>
      <w:bookmarkStart w:id="10659" w:name="_Toc365571511"/>
      <w:bookmarkStart w:id="10660" w:name="_Toc365625011"/>
      <w:bookmarkStart w:id="10661" w:name="_Toc365900022"/>
      <w:bookmarkStart w:id="10662" w:name="_Toc365982831"/>
      <w:bookmarkStart w:id="10663" w:name="_Toc367446164"/>
      <w:bookmarkStart w:id="10664" w:name="_Toc368048370"/>
      <w:bookmarkStart w:id="10665" w:name="_Toc368583941"/>
      <w:bookmarkStart w:id="10666" w:name="_Toc368653036"/>
      <w:bookmarkStart w:id="10667" w:name="_Toc368932475"/>
      <w:bookmarkStart w:id="10668" w:name="_Toc374345948"/>
      <w:bookmarkStart w:id="10669" w:name="_Toc374346294"/>
      <w:bookmarkStart w:id="10670" w:name="_Toc374346639"/>
      <w:bookmarkStart w:id="10671" w:name="_Toc374346985"/>
      <w:bookmarkStart w:id="10672" w:name="_Toc374347440"/>
      <w:bookmarkStart w:id="10673" w:name="_Toc374347669"/>
      <w:bookmarkStart w:id="10674" w:name="_Toc374347898"/>
      <w:bookmarkStart w:id="10675" w:name="_Toc374348641"/>
      <w:bookmarkStart w:id="10676" w:name="_Toc375055042"/>
      <w:bookmarkStart w:id="10677" w:name="_Toc375158125"/>
      <w:bookmarkStart w:id="10678" w:name="_Toc375158467"/>
      <w:bookmarkStart w:id="10679" w:name="_Toc378865623"/>
      <w:bookmarkStart w:id="10680" w:name="_Toc396149353"/>
      <w:bookmarkStart w:id="10681" w:name="_Toc396149921"/>
      <w:bookmarkStart w:id="10682" w:name="_Toc396150362"/>
      <w:bookmarkStart w:id="10683" w:name="_Toc398215051"/>
      <w:bookmarkStart w:id="10684" w:name="_Toc398291741"/>
      <w:bookmarkStart w:id="10685" w:name="_Toc398292084"/>
      <w:bookmarkStart w:id="10686" w:name="_Toc398293193"/>
      <w:bookmarkStart w:id="10687" w:name="_Toc400964323"/>
      <w:bookmarkStart w:id="10688" w:name="_Toc420595044"/>
      <w:bookmarkStart w:id="10689" w:name="_Toc420928598"/>
      <w:bookmarkStart w:id="10690" w:name="_Toc421106919"/>
      <w:bookmarkStart w:id="10691" w:name="_Toc421173185"/>
      <w:bookmarkStart w:id="10692" w:name="_Toc421874492"/>
      <w:bookmarkStart w:id="10693" w:name="_Toc421885781"/>
      <w:bookmarkStart w:id="10694" w:name="_Toc421886160"/>
      <w:bookmarkStart w:id="10695" w:name="_Toc422029032"/>
      <w:bookmarkStart w:id="10696" w:name="_Toc422029944"/>
      <w:bookmarkStart w:id="10697" w:name="_Toc422150907"/>
      <w:bookmarkStart w:id="10698" w:name="_Toc423443461"/>
      <w:bookmarkStart w:id="10699" w:name="_Toc441422639"/>
      <w:bookmarkStart w:id="10700" w:name="_Toc365571512"/>
      <w:bookmarkStart w:id="10701" w:name="_Toc365625012"/>
      <w:bookmarkStart w:id="10702" w:name="_Toc365900023"/>
      <w:bookmarkStart w:id="10703" w:name="_Toc365982832"/>
      <w:bookmarkStart w:id="10704" w:name="_Toc367446165"/>
      <w:bookmarkStart w:id="10705" w:name="_Toc368048371"/>
      <w:bookmarkStart w:id="10706" w:name="_Toc368583942"/>
      <w:bookmarkStart w:id="10707" w:name="_Toc368653037"/>
      <w:bookmarkStart w:id="10708" w:name="_Toc368932476"/>
      <w:bookmarkStart w:id="10709" w:name="_Toc374345949"/>
      <w:bookmarkStart w:id="10710" w:name="_Toc374346295"/>
      <w:bookmarkStart w:id="10711" w:name="_Toc374346640"/>
      <w:bookmarkStart w:id="10712" w:name="_Toc374346986"/>
      <w:bookmarkStart w:id="10713" w:name="_Toc374347441"/>
      <w:bookmarkStart w:id="10714" w:name="_Toc374347670"/>
      <w:bookmarkStart w:id="10715" w:name="_Toc374347899"/>
      <w:bookmarkStart w:id="10716" w:name="_Toc374348642"/>
      <w:bookmarkStart w:id="10717" w:name="_Toc375055043"/>
      <w:bookmarkStart w:id="10718" w:name="_Toc375158126"/>
      <w:bookmarkStart w:id="10719" w:name="_Toc375158468"/>
      <w:bookmarkStart w:id="10720" w:name="_Toc378865624"/>
      <w:bookmarkStart w:id="10721" w:name="_Toc396149354"/>
      <w:bookmarkStart w:id="10722" w:name="_Toc396149922"/>
      <w:bookmarkStart w:id="10723" w:name="_Toc396150363"/>
      <w:bookmarkStart w:id="10724" w:name="_Toc398215052"/>
      <w:bookmarkStart w:id="10725" w:name="_Toc398291742"/>
      <w:bookmarkStart w:id="10726" w:name="_Toc398292085"/>
      <w:bookmarkStart w:id="10727" w:name="_Toc398293194"/>
      <w:bookmarkStart w:id="10728" w:name="_Toc400964324"/>
      <w:bookmarkStart w:id="10729" w:name="_Toc420595045"/>
      <w:bookmarkStart w:id="10730" w:name="_Toc420928599"/>
      <w:bookmarkStart w:id="10731" w:name="_Toc421106920"/>
      <w:bookmarkStart w:id="10732" w:name="_Toc421173186"/>
      <w:bookmarkStart w:id="10733" w:name="_Toc421874493"/>
      <w:bookmarkStart w:id="10734" w:name="_Toc421885782"/>
      <w:bookmarkStart w:id="10735" w:name="_Toc421886161"/>
      <w:bookmarkStart w:id="10736" w:name="_Toc422029033"/>
      <w:bookmarkStart w:id="10737" w:name="_Toc422029945"/>
      <w:bookmarkStart w:id="10738" w:name="_Toc422150908"/>
      <w:bookmarkStart w:id="10739" w:name="_Toc423443462"/>
      <w:bookmarkStart w:id="10740" w:name="_Toc441422640"/>
      <w:bookmarkStart w:id="10741" w:name="_Toc365571513"/>
      <w:bookmarkStart w:id="10742" w:name="_Toc365625013"/>
      <w:bookmarkStart w:id="10743" w:name="_Toc365900024"/>
      <w:bookmarkStart w:id="10744" w:name="_Toc365982833"/>
      <w:bookmarkStart w:id="10745" w:name="_Toc367446166"/>
      <w:bookmarkStart w:id="10746" w:name="_Toc368048372"/>
      <w:bookmarkStart w:id="10747" w:name="_Toc368583943"/>
      <w:bookmarkStart w:id="10748" w:name="_Toc368653038"/>
      <w:bookmarkStart w:id="10749" w:name="_Toc368932477"/>
      <w:bookmarkStart w:id="10750" w:name="_Toc374345950"/>
      <w:bookmarkStart w:id="10751" w:name="_Toc374346296"/>
      <w:bookmarkStart w:id="10752" w:name="_Toc374346641"/>
      <w:bookmarkStart w:id="10753" w:name="_Toc374346987"/>
      <w:bookmarkStart w:id="10754" w:name="_Toc374347442"/>
      <w:bookmarkStart w:id="10755" w:name="_Toc374347671"/>
      <w:bookmarkStart w:id="10756" w:name="_Toc374347900"/>
      <w:bookmarkStart w:id="10757" w:name="_Toc374348643"/>
      <w:bookmarkStart w:id="10758" w:name="_Toc375055044"/>
      <w:bookmarkStart w:id="10759" w:name="_Toc375158127"/>
      <w:bookmarkStart w:id="10760" w:name="_Toc375158469"/>
      <w:bookmarkStart w:id="10761" w:name="_Toc378865625"/>
      <w:bookmarkStart w:id="10762" w:name="_Toc396149355"/>
      <w:bookmarkStart w:id="10763" w:name="_Toc396149923"/>
      <w:bookmarkStart w:id="10764" w:name="_Toc396150364"/>
      <w:bookmarkStart w:id="10765" w:name="_Toc398215053"/>
      <w:bookmarkStart w:id="10766" w:name="_Toc398291743"/>
      <w:bookmarkStart w:id="10767" w:name="_Toc398292086"/>
      <w:bookmarkStart w:id="10768" w:name="_Toc398293195"/>
      <w:bookmarkStart w:id="10769" w:name="_Toc400964325"/>
      <w:bookmarkStart w:id="10770" w:name="_Toc420595046"/>
      <w:bookmarkStart w:id="10771" w:name="_Toc420928600"/>
      <w:bookmarkStart w:id="10772" w:name="_Toc421106921"/>
      <w:bookmarkStart w:id="10773" w:name="_Toc421173187"/>
      <w:bookmarkStart w:id="10774" w:name="_Toc421874494"/>
      <w:bookmarkStart w:id="10775" w:name="_Toc421885783"/>
      <w:bookmarkStart w:id="10776" w:name="_Toc421886162"/>
      <w:bookmarkStart w:id="10777" w:name="_Toc422029034"/>
      <w:bookmarkStart w:id="10778" w:name="_Toc422029946"/>
      <w:bookmarkStart w:id="10779" w:name="_Toc422150909"/>
      <w:bookmarkStart w:id="10780" w:name="_Toc423443463"/>
      <w:bookmarkStart w:id="10781" w:name="_Toc441422641"/>
      <w:bookmarkStart w:id="10782" w:name="_Toc365571514"/>
      <w:bookmarkStart w:id="10783" w:name="_Toc365625014"/>
      <w:bookmarkStart w:id="10784" w:name="_Toc365900025"/>
      <w:bookmarkStart w:id="10785" w:name="_Toc365982834"/>
      <w:bookmarkStart w:id="10786" w:name="_Toc367446167"/>
      <w:bookmarkStart w:id="10787" w:name="_Toc368048373"/>
      <w:bookmarkStart w:id="10788" w:name="_Toc368583944"/>
      <w:bookmarkStart w:id="10789" w:name="_Toc368653039"/>
      <w:bookmarkStart w:id="10790" w:name="_Toc368932478"/>
      <w:bookmarkStart w:id="10791" w:name="_Toc374345951"/>
      <w:bookmarkStart w:id="10792" w:name="_Toc374346297"/>
      <w:bookmarkStart w:id="10793" w:name="_Toc374346642"/>
      <w:bookmarkStart w:id="10794" w:name="_Toc374346988"/>
      <w:bookmarkStart w:id="10795" w:name="_Toc374347443"/>
      <w:bookmarkStart w:id="10796" w:name="_Toc374347672"/>
      <w:bookmarkStart w:id="10797" w:name="_Toc374347901"/>
      <w:bookmarkStart w:id="10798" w:name="_Toc374348644"/>
      <w:bookmarkStart w:id="10799" w:name="_Toc375055045"/>
      <w:bookmarkStart w:id="10800" w:name="_Toc375158128"/>
      <w:bookmarkStart w:id="10801" w:name="_Toc375158470"/>
      <w:bookmarkStart w:id="10802" w:name="_Toc378865626"/>
      <w:bookmarkStart w:id="10803" w:name="_Toc396149356"/>
      <w:bookmarkStart w:id="10804" w:name="_Toc396149924"/>
      <w:bookmarkStart w:id="10805" w:name="_Toc396150365"/>
      <w:bookmarkStart w:id="10806" w:name="_Toc398215054"/>
      <w:bookmarkStart w:id="10807" w:name="_Toc398291744"/>
      <w:bookmarkStart w:id="10808" w:name="_Toc398292087"/>
      <w:bookmarkStart w:id="10809" w:name="_Toc398293196"/>
      <w:bookmarkStart w:id="10810" w:name="_Toc400964326"/>
      <w:bookmarkStart w:id="10811" w:name="_Toc420595047"/>
      <w:bookmarkStart w:id="10812" w:name="_Toc420928601"/>
      <w:bookmarkStart w:id="10813" w:name="_Toc421106922"/>
      <w:bookmarkStart w:id="10814" w:name="_Toc421173188"/>
      <w:bookmarkStart w:id="10815" w:name="_Toc421874495"/>
      <w:bookmarkStart w:id="10816" w:name="_Toc421885784"/>
      <w:bookmarkStart w:id="10817" w:name="_Toc421886163"/>
      <w:bookmarkStart w:id="10818" w:name="_Toc422029035"/>
      <w:bookmarkStart w:id="10819" w:name="_Toc422029947"/>
      <w:bookmarkStart w:id="10820" w:name="_Toc422150910"/>
      <w:bookmarkStart w:id="10821" w:name="_Toc423443464"/>
      <w:bookmarkStart w:id="10822" w:name="_Toc441422642"/>
      <w:bookmarkStart w:id="10823" w:name="_Toc365571515"/>
      <w:bookmarkStart w:id="10824" w:name="_Toc365625015"/>
      <w:bookmarkStart w:id="10825" w:name="_Toc365900026"/>
      <w:bookmarkStart w:id="10826" w:name="_Toc365982835"/>
      <w:bookmarkStart w:id="10827" w:name="_Toc367446168"/>
      <w:bookmarkStart w:id="10828" w:name="_Toc368048374"/>
      <w:bookmarkStart w:id="10829" w:name="_Toc368583945"/>
      <w:bookmarkStart w:id="10830" w:name="_Toc368653040"/>
      <w:bookmarkStart w:id="10831" w:name="_Toc368932479"/>
      <w:bookmarkStart w:id="10832" w:name="_Toc374345952"/>
      <w:bookmarkStart w:id="10833" w:name="_Toc374346298"/>
      <w:bookmarkStart w:id="10834" w:name="_Toc374346643"/>
      <w:bookmarkStart w:id="10835" w:name="_Toc374346989"/>
      <w:bookmarkStart w:id="10836" w:name="_Toc374347444"/>
      <w:bookmarkStart w:id="10837" w:name="_Toc374347673"/>
      <w:bookmarkStart w:id="10838" w:name="_Toc374347902"/>
      <w:bookmarkStart w:id="10839" w:name="_Toc374348645"/>
      <w:bookmarkStart w:id="10840" w:name="_Toc375055046"/>
      <w:bookmarkStart w:id="10841" w:name="_Toc375158129"/>
      <w:bookmarkStart w:id="10842" w:name="_Toc375158471"/>
      <w:bookmarkStart w:id="10843" w:name="_Toc378865627"/>
      <w:bookmarkStart w:id="10844" w:name="_Toc396149357"/>
      <w:bookmarkStart w:id="10845" w:name="_Toc396149925"/>
      <w:bookmarkStart w:id="10846" w:name="_Toc396150366"/>
      <w:bookmarkStart w:id="10847" w:name="_Toc398215055"/>
      <w:bookmarkStart w:id="10848" w:name="_Toc398291745"/>
      <w:bookmarkStart w:id="10849" w:name="_Toc398292088"/>
      <w:bookmarkStart w:id="10850" w:name="_Toc398293197"/>
      <w:bookmarkStart w:id="10851" w:name="_Toc400964327"/>
      <w:bookmarkStart w:id="10852" w:name="_Toc420595048"/>
      <w:bookmarkStart w:id="10853" w:name="_Toc420928602"/>
      <w:bookmarkStart w:id="10854" w:name="_Toc421106923"/>
      <w:bookmarkStart w:id="10855" w:name="_Toc421173189"/>
      <w:bookmarkStart w:id="10856" w:name="_Toc421874496"/>
      <w:bookmarkStart w:id="10857" w:name="_Toc421885785"/>
      <w:bookmarkStart w:id="10858" w:name="_Toc421886164"/>
      <w:bookmarkStart w:id="10859" w:name="_Toc422029036"/>
      <w:bookmarkStart w:id="10860" w:name="_Toc422029948"/>
      <w:bookmarkStart w:id="10861" w:name="_Toc422150911"/>
      <w:bookmarkStart w:id="10862" w:name="_Toc423443465"/>
      <w:bookmarkStart w:id="10863" w:name="_Toc441422643"/>
      <w:bookmarkStart w:id="10864" w:name="_Toc365571516"/>
      <w:bookmarkStart w:id="10865" w:name="_Toc365625016"/>
      <w:bookmarkStart w:id="10866" w:name="_Toc365900027"/>
      <w:bookmarkStart w:id="10867" w:name="_Toc365982836"/>
      <w:bookmarkStart w:id="10868" w:name="_Toc367446169"/>
      <w:bookmarkStart w:id="10869" w:name="_Toc368048375"/>
      <w:bookmarkStart w:id="10870" w:name="_Toc368583946"/>
      <w:bookmarkStart w:id="10871" w:name="_Toc368653041"/>
      <w:bookmarkStart w:id="10872" w:name="_Toc368932480"/>
      <w:bookmarkStart w:id="10873" w:name="_Toc374345953"/>
      <w:bookmarkStart w:id="10874" w:name="_Toc374346299"/>
      <w:bookmarkStart w:id="10875" w:name="_Toc374346644"/>
      <w:bookmarkStart w:id="10876" w:name="_Toc374346990"/>
      <w:bookmarkStart w:id="10877" w:name="_Toc374347445"/>
      <w:bookmarkStart w:id="10878" w:name="_Toc374347674"/>
      <w:bookmarkStart w:id="10879" w:name="_Toc374347903"/>
      <w:bookmarkStart w:id="10880" w:name="_Toc374348646"/>
      <w:bookmarkStart w:id="10881" w:name="_Toc375055047"/>
      <w:bookmarkStart w:id="10882" w:name="_Toc375158130"/>
      <w:bookmarkStart w:id="10883" w:name="_Toc375158472"/>
      <w:bookmarkStart w:id="10884" w:name="_Toc378865628"/>
      <w:bookmarkStart w:id="10885" w:name="_Toc396149358"/>
      <w:bookmarkStart w:id="10886" w:name="_Toc396149926"/>
      <w:bookmarkStart w:id="10887" w:name="_Toc396150367"/>
      <w:bookmarkStart w:id="10888" w:name="_Toc398215056"/>
      <w:bookmarkStart w:id="10889" w:name="_Toc398291746"/>
      <w:bookmarkStart w:id="10890" w:name="_Toc398292089"/>
      <w:bookmarkStart w:id="10891" w:name="_Toc398293198"/>
      <w:bookmarkStart w:id="10892" w:name="_Toc400964328"/>
      <w:bookmarkStart w:id="10893" w:name="_Toc420595049"/>
      <w:bookmarkStart w:id="10894" w:name="_Toc420928603"/>
      <w:bookmarkStart w:id="10895" w:name="_Toc421106924"/>
      <w:bookmarkStart w:id="10896" w:name="_Toc421173190"/>
      <w:bookmarkStart w:id="10897" w:name="_Toc421874497"/>
      <w:bookmarkStart w:id="10898" w:name="_Toc421885786"/>
      <w:bookmarkStart w:id="10899" w:name="_Toc421886165"/>
      <w:bookmarkStart w:id="10900" w:name="_Toc422029037"/>
      <w:bookmarkStart w:id="10901" w:name="_Toc422029949"/>
      <w:bookmarkStart w:id="10902" w:name="_Toc422150912"/>
      <w:bookmarkStart w:id="10903" w:name="_Toc423443466"/>
      <w:bookmarkStart w:id="10904" w:name="_Toc441422644"/>
      <w:bookmarkStart w:id="10905" w:name="_Toc448998358"/>
      <w:bookmarkStart w:id="10906" w:name="_Toc422150913"/>
      <w:bookmarkStart w:id="10907" w:name="_Toc421874498"/>
      <w:bookmarkStart w:id="10908" w:name="_Toc420595050"/>
      <w:bookmarkStart w:id="10909" w:name="_Toc398215057"/>
      <w:bookmarkStart w:id="10910" w:name="_Toc375158473"/>
      <w:bookmarkStart w:id="10911" w:name="_Toc374348647"/>
      <w:bookmarkStart w:id="10912" w:name="_Toc368932481"/>
      <w:bookmarkStart w:id="10913" w:name="_Toc486332975"/>
      <w:bookmarkStart w:id="10914" w:name="_Toc1977481"/>
      <w:bookmarkStart w:id="10915" w:name="_Toc37062640"/>
      <w:bookmarkStart w:id="10916" w:name="_Toc88839693"/>
      <w:bookmarkStart w:id="10917" w:name="_Toc121504101"/>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r>
        <w:rPr>
          <w:rFonts w:ascii="Arial Bold" w:hAnsi="Arial Bold"/>
          <w:sz w:val="24"/>
          <w:szCs w:val="24"/>
          <w:lang w:eastAsia="en-US"/>
        </w:rPr>
        <w:t>to</w:t>
      </w:r>
      <w:r>
        <w:rPr>
          <w:rFonts w:ascii="Arial Bold" w:hAnsi="Arial Bold"/>
          <w:sz w:val="24"/>
          <w:szCs w:val="24"/>
          <w:lang w:eastAsia="en-US"/>
        </w:rPr>
        <w:tab/>
        <w:t>A.8.3</w:t>
      </w:r>
      <w:r>
        <w:rPr>
          <w:rFonts w:ascii="Arial Bold" w:hAnsi="Arial Bold"/>
          <w:sz w:val="24"/>
          <w:szCs w:val="24"/>
          <w:lang w:eastAsia="en-US"/>
        </w:rPr>
        <w:tab/>
        <w:t>Void</w:t>
      </w:r>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p>
    <w:p w14:paraId="204BC224" w14:textId="71C1821C"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Descriptions moved to table and files referenced by section </w:t>
      </w:r>
      <w:r>
        <w:rPr>
          <w:rFonts w:cs="Arial"/>
          <w:szCs w:val="22"/>
          <w:lang w:val="en-US" w:eastAsia="en-GB" w:bidi="ar-SA"/>
        </w:rPr>
        <w:fldChar w:fldCharType="begin"/>
      </w:r>
      <w:r>
        <w:rPr>
          <w:rFonts w:cs="Arial"/>
          <w:szCs w:val="22"/>
          <w:lang w:val="en-US" w:eastAsia="en-GB" w:bidi="ar-SA"/>
        </w:rPr>
        <w:instrText xml:space="preserve"> PAGEREF _Ref536181473 \h </w:instrText>
      </w:r>
      <w:r>
        <w:rPr>
          <w:rFonts w:cs="Arial"/>
          <w:szCs w:val="22"/>
          <w:lang w:val="en-US" w:eastAsia="en-GB" w:bidi="ar-SA"/>
        </w:rPr>
      </w:r>
      <w:r>
        <w:rPr>
          <w:rFonts w:cs="Arial"/>
          <w:szCs w:val="22"/>
          <w:lang w:val="en-US" w:eastAsia="en-GB" w:bidi="ar-SA"/>
        </w:rPr>
        <w:fldChar w:fldCharType="separate"/>
      </w:r>
      <w:r w:rsidR="001D5AD9">
        <w:rPr>
          <w:rFonts w:cs="Arial"/>
          <w:noProof/>
          <w:szCs w:val="22"/>
          <w:lang w:val="en-US" w:eastAsia="en-GB" w:bidi="ar-SA"/>
        </w:rPr>
        <w:t>394</w:t>
      </w:r>
      <w:r>
        <w:rPr>
          <w:rFonts w:cs="Arial"/>
          <w:szCs w:val="22"/>
          <w:lang w:val="en-US" w:eastAsia="en-GB" w:bidi="ar-SA"/>
        </w:rPr>
        <w:fldChar w:fldCharType="end"/>
      </w:r>
      <w:r>
        <w:rPr>
          <w:rFonts w:cs="Arial"/>
          <w:szCs w:val="22"/>
          <w:lang w:val="en-US" w:eastAsia="en-GB" w:bidi="ar-SA"/>
        </w:rPr>
        <w:fldChar w:fldCharType="begin"/>
      </w:r>
      <w:r>
        <w:rPr>
          <w:rFonts w:cs="Arial"/>
          <w:szCs w:val="22"/>
          <w:lang w:val="en-US" w:eastAsia="en-GB" w:bidi="ar-SA"/>
        </w:rPr>
        <w:instrText xml:space="preserve"> REF _Ref536181739 \r \h </w:instrText>
      </w:r>
      <w:r>
        <w:rPr>
          <w:rFonts w:cs="Arial"/>
          <w:szCs w:val="22"/>
          <w:lang w:val="en-US" w:eastAsia="en-GB" w:bidi="ar-SA"/>
        </w:rPr>
      </w:r>
      <w:r>
        <w:rPr>
          <w:rFonts w:cs="Arial"/>
          <w:szCs w:val="22"/>
          <w:lang w:val="en-US" w:eastAsia="en-GB" w:bidi="ar-SA"/>
        </w:rPr>
        <w:fldChar w:fldCharType="separate"/>
      </w:r>
      <w:r w:rsidR="001D5AD9">
        <w:rPr>
          <w:rFonts w:cs="Arial"/>
          <w:szCs w:val="22"/>
          <w:lang w:val="en-US" w:eastAsia="en-GB" w:bidi="ar-SA"/>
        </w:rPr>
        <w:t>A.9</w:t>
      </w:r>
      <w:r>
        <w:rPr>
          <w:rFonts w:cs="Arial"/>
          <w:szCs w:val="22"/>
          <w:lang w:val="en-US" w:eastAsia="en-GB" w:bidi="ar-SA"/>
        </w:rPr>
        <w:fldChar w:fldCharType="end"/>
      </w:r>
    </w:p>
    <w:p w14:paraId="15639BFF" w14:textId="77777777" w:rsidR="00B97365" w:rsidRDefault="00B97365">
      <w:pPr>
        <w:spacing w:before="0" w:after="200" w:line="276" w:lineRule="auto"/>
        <w:jc w:val="left"/>
        <w:rPr>
          <w:rFonts w:cs="Arial"/>
          <w:szCs w:val="22"/>
          <w:lang w:val="en-US" w:eastAsia="en-GB" w:bidi="ar-SA"/>
        </w:rPr>
      </w:pPr>
    </w:p>
    <w:p w14:paraId="296452F7" w14:textId="77777777" w:rsidR="00B97365" w:rsidRDefault="00000000">
      <w:pPr>
        <w:keepNext/>
        <w:keepLines/>
        <w:numPr>
          <w:ilvl w:val="1"/>
          <w:numId w:val="8"/>
        </w:numPr>
        <w:spacing w:before="240" w:after="60" w:line="276" w:lineRule="auto"/>
        <w:jc w:val="left"/>
        <w:outlineLvl w:val="1"/>
        <w:rPr>
          <w:rFonts w:ascii="Arial Bold" w:hAnsi="Arial Bold"/>
          <w:b/>
          <w:sz w:val="24"/>
          <w:szCs w:val="24"/>
          <w:lang w:val="en-US" w:eastAsia="en-GB" w:bidi="ar-SA"/>
        </w:rPr>
      </w:pPr>
      <w:bookmarkStart w:id="10918" w:name="_Ref536183405"/>
      <w:bookmarkStart w:id="10919" w:name="_Toc1977482"/>
      <w:bookmarkStart w:id="10920" w:name="_Toc37062641"/>
      <w:bookmarkStart w:id="10921" w:name="_Toc88839694"/>
      <w:bookmarkStart w:id="10922" w:name="_Toc121504102"/>
      <w:r>
        <w:rPr>
          <w:rFonts w:ascii="Arial Bold" w:hAnsi="Arial Bold"/>
          <w:b/>
          <w:sz w:val="24"/>
          <w:szCs w:val="24"/>
          <w:lang w:val="en-US" w:eastAsia="en-GB" w:bidi="ar-SA"/>
        </w:rPr>
        <w:t>EUM Signature</w:t>
      </w:r>
      <w:bookmarkEnd w:id="10918"/>
      <w:bookmarkEnd w:id="10919"/>
      <w:bookmarkEnd w:id="10920"/>
      <w:bookmarkEnd w:id="10921"/>
      <w:bookmarkEnd w:id="10922"/>
    </w:p>
    <w:p w14:paraId="08CF9298" w14:textId="2808E38F" w:rsidR="00B97365" w:rsidRDefault="00000000">
      <w:pPr>
        <w:spacing w:before="0" w:after="200" w:line="276" w:lineRule="auto"/>
        <w:jc w:val="left"/>
        <w:rPr>
          <w:szCs w:val="22"/>
          <w:lang w:val="en-US" w:eastAsia="en-GB" w:bidi="ar-SA"/>
        </w:rPr>
      </w:pPr>
      <w:r>
        <w:rPr>
          <w:rFonts w:cs="Arial"/>
          <w:szCs w:val="22"/>
          <w:lang w:val="en-US" w:eastAsia="en-GB" w:bidi="ar-SA"/>
        </w:rPr>
        <w:t xml:space="preserve">The EUM signature over some information of the EIS is provided within the &lt;rps3:EumSignature&gt; element of type &lt;ds:SignatureType&gt; as defined in XML Signature Syntax and Processing (Second Edition) </w:t>
      </w:r>
      <w:r>
        <w:rPr>
          <w:szCs w:val="22"/>
          <w:lang w:val="en-US" w:eastAsia="en-GB" w:bidi="ar-SA"/>
        </w:rPr>
        <w:fldChar w:fldCharType="begin"/>
      </w:r>
      <w:r>
        <w:rPr>
          <w:szCs w:val="22"/>
          <w:lang w:val="en-US" w:eastAsia="en-GB" w:bidi="ar-SA"/>
        </w:rPr>
        <w:instrText xml:space="preserve"> REF _Ref421635142 \r \h </w:instrText>
      </w:r>
      <w:r>
        <w:rPr>
          <w:szCs w:val="22"/>
          <w:lang w:val="en-US" w:eastAsia="en-GB" w:bidi="ar-SA"/>
        </w:rPr>
      </w:r>
      <w:r>
        <w:rPr>
          <w:szCs w:val="22"/>
          <w:lang w:val="en-US" w:eastAsia="en-GB" w:bidi="ar-SA"/>
        </w:rPr>
        <w:fldChar w:fldCharType="separate"/>
      </w:r>
      <w:r w:rsidR="001D5AD9">
        <w:rPr>
          <w:szCs w:val="22"/>
          <w:lang w:val="en-US" w:eastAsia="en-GB" w:bidi="ar-SA"/>
        </w:rPr>
        <w:t>[26]</w:t>
      </w:r>
      <w:r>
        <w:rPr>
          <w:szCs w:val="22"/>
          <w:lang w:val="en-US" w:eastAsia="en-GB" w:bidi="ar-SA"/>
        </w:rPr>
        <w:fldChar w:fldCharType="end"/>
      </w:r>
      <w:r>
        <w:rPr>
          <w:szCs w:val="22"/>
          <w:lang w:val="en-US" w:eastAsia="en-GB" w:bidi="ar-SA"/>
        </w:rPr>
        <w:t>.</w:t>
      </w:r>
    </w:p>
    <w:p w14:paraId="1E3781E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&lt;rps3:EumSignature&gt; SHALL include:</w:t>
      </w:r>
      <w:r>
        <w:rPr>
          <w:rFonts w:cs="Arial"/>
          <w:szCs w:val="22"/>
          <w:lang w:val="en-US" w:eastAsia="en-GB" w:bidi="ar-SA"/>
        </w:rPr>
        <w:tab/>
      </w:r>
    </w:p>
    <w:p w14:paraId="5280171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&lt;ds:SignedInfo&gt; element specifying:</w:t>
      </w:r>
    </w:p>
    <w:p w14:paraId="1703D8AE"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a </w:t>
      </w:r>
      <w:r>
        <w:rPr>
          <w:rFonts w:cs="Arial"/>
          <w:szCs w:val="22"/>
        </w:rPr>
        <w:t>&lt;ds:CanonicalizationMethod</w:t>
      </w:r>
      <w:r>
        <w:rPr>
          <w:szCs w:val="22"/>
          <w:lang w:eastAsia="en-GB" w:bidi="ar-SA"/>
        </w:rPr>
        <w:t>&gt; element;</w:t>
      </w:r>
    </w:p>
    <w:p w14:paraId="099C4B94" w14:textId="77777777" w:rsidR="00B97365" w:rsidRDefault="00000000">
      <w:pPr>
        <w:tabs>
          <w:tab w:val="left" w:pos="1021"/>
        </w:tabs>
        <w:spacing w:before="0" w:after="200" w:line="276" w:lineRule="auto"/>
        <w:ind w:left="1020"/>
        <w:contextualSpacing/>
        <w:jc w:val="left"/>
        <w:rPr>
          <w:szCs w:val="22"/>
          <w:lang w:eastAsia="en-GB" w:bidi="ar-SA"/>
        </w:rPr>
      </w:pPr>
      <w:r>
        <w:rPr>
          <w:rFonts w:cs="Arial"/>
        </w:rPr>
        <w:lastRenderedPageBreak/>
        <w:t>This specification mandates the support of the following method ‘</w:t>
      </w:r>
      <w:hyperlink r:id="rId107" w:tooltip="http://www.w3.org/2001/10/xml-exc-c14n#" w:history="1">
        <w:r>
          <w:rPr>
            <w:rFonts w:cs="Arial"/>
            <w:color w:val="808080"/>
          </w:rPr>
          <w:t>http://www.w3.org/2001/10/xml-exc-c14n#</w:t>
        </w:r>
      </w:hyperlink>
      <w:r>
        <w:rPr>
          <w:rFonts w:cs="Arial"/>
        </w:rPr>
        <w:t>’</w:t>
      </w:r>
      <w:r>
        <w:rPr>
          <w:rFonts w:cs="Arial"/>
        </w:rPr>
        <w:br/>
      </w:r>
    </w:p>
    <w:p w14:paraId="4C0C215D" w14:textId="67754BAB"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a &lt;ds:SignatureMethod&gt; element; this specification mandates usage of one of the following signature method to have a compliant level of security (RSA and EC key length following recommendation given in section</w:t>
      </w:r>
      <w:r>
        <w:t xml:space="preserve"> </w:t>
      </w:r>
      <w:r>
        <w:fldChar w:fldCharType="begin"/>
      </w:r>
      <w:r>
        <w:instrText xml:space="preserve"> REF _Ref420594284 \r \h </w:instrText>
      </w:r>
      <w:r>
        <w:fldChar w:fldCharType="separate"/>
      </w:r>
      <w:r w:rsidR="001D5AD9">
        <w:t>2.3.3</w:t>
      </w:r>
      <w:r>
        <w:fldChar w:fldCharType="end"/>
      </w:r>
      <w:r>
        <w:rPr>
          <w:szCs w:val="22"/>
          <w:lang w:eastAsia="en-GB" w:bidi="ar-SA"/>
        </w:rPr>
        <w:t>)</w:t>
      </w:r>
    </w:p>
    <w:p w14:paraId="0868DA42"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http://www.w3.org/2001/04/xmldsig-more#rsa-sha256</w:t>
      </w:r>
    </w:p>
    <w:p w14:paraId="3989D7EA"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http://www.w3.org/2001/04/xmldsig-more#rsa-sha384</w:t>
      </w:r>
    </w:p>
    <w:p w14:paraId="782CFFD9"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http://www.w3.org/2001/04/xmldsig-more#rsa-sha512</w:t>
      </w:r>
    </w:p>
    <w:p w14:paraId="716031D9"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http://www.w3.org/2001/04/xmldsig-more#ecdsa-sha256</w:t>
      </w:r>
    </w:p>
    <w:p w14:paraId="12654227"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http://www.w3.org/2001/04/xmldsig-more#ecdsa-sha384</w:t>
      </w:r>
    </w:p>
    <w:p w14:paraId="51A7906F"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http://www.w3.org/2001/04/xmldsig-more#ecdsa-sha512</w:t>
      </w:r>
    </w:p>
    <w:p w14:paraId="245CC9FE"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a unique &lt;ds:Reference&gt; element</w:t>
      </w:r>
    </w:p>
    <w:p w14:paraId="16BDDCAF" w14:textId="77777777" w:rsidR="00B97365" w:rsidRDefault="00000000">
      <w:pPr>
        <w:numPr>
          <w:ilvl w:val="2"/>
          <w:numId w:val="38"/>
        </w:numPr>
        <w:tabs>
          <w:tab w:val="left" w:pos="1021"/>
        </w:tabs>
        <w:spacing w:before="0" w:after="200" w:line="276" w:lineRule="auto"/>
        <w:contextualSpacing/>
        <w:jc w:val="left"/>
        <w:rPr>
          <w:szCs w:val="22"/>
          <w:lang w:eastAsia="en-GB" w:bidi="ar-SA"/>
        </w:rPr>
      </w:pPr>
      <w:r>
        <w:rPr>
          <w:szCs w:val="22"/>
          <w:lang w:eastAsia="en-GB" w:bidi="ar-SA"/>
        </w:rPr>
        <w:t>with no URI attribute as the signed info applies always only on the whole &lt;rps3:EumSignedInfo&gt;  element (so no need to specify it in the instance document);</w:t>
      </w:r>
    </w:p>
    <w:p w14:paraId="0CC7DD06" w14:textId="77777777" w:rsidR="00B97365" w:rsidRDefault="00000000">
      <w:pPr>
        <w:numPr>
          <w:ilvl w:val="2"/>
          <w:numId w:val="38"/>
        </w:numPr>
        <w:tabs>
          <w:tab w:val="left" w:pos="1021"/>
        </w:tabs>
        <w:spacing w:before="0" w:after="200" w:line="276" w:lineRule="auto"/>
        <w:contextualSpacing/>
        <w:jc w:val="left"/>
        <w:rPr>
          <w:szCs w:val="22"/>
          <w:lang w:eastAsia="en-GB" w:bidi="ar-SA"/>
        </w:rPr>
      </w:pPr>
      <w:r>
        <w:rPr>
          <w:szCs w:val="22"/>
          <w:lang w:eastAsia="en-GB" w:bidi="ar-SA"/>
        </w:rPr>
        <w:t xml:space="preserve"> with a digesting method as one of:</w:t>
      </w:r>
    </w:p>
    <w:p w14:paraId="6A76F28A"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http://www.w3.org/2001/04/xmlenc#sha256</w:t>
      </w:r>
    </w:p>
    <w:p w14:paraId="70437D49"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http://www.w3.org/2001/04/xmldsig-more#sha384</w:t>
      </w:r>
    </w:p>
    <w:p w14:paraId="682A3B99"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hyperlink r:id="rId108" w:anchor="sha512" w:history="1">
        <w:r>
          <w:rPr>
            <w:rFonts w:cs="Arial"/>
            <w:color w:val="0000FF"/>
            <w:szCs w:val="22"/>
            <w:u w:val="single"/>
            <w:lang w:eastAsia="en-GB" w:bidi="ar-SA"/>
          </w:rPr>
          <w:t>http://www.w3.org/2001/04/xmlenc#sha512</w:t>
        </w:r>
      </w:hyperlink>
    </w:p>
    <w:p w14:paraId="373D53F2" w14:textId="77777777" w:rsidR="00B97365" w:rsidRDefault="00000000">
      <w:pPr>
        <w:numPr>
          <w:ilvl w:val="2"/>
          <w:numId w:val="38"/>
        </w:numPr>
        <w:tabs>
          <w:tab w:val="left" w:pos="1021"/>
        </w:tabs>
        <w:spacing w:before="0" w:after="200" w:line="276" w:lineRule="auto"/>
        <w:contextualSpacing/>
        <w:jc w:val="left"/>
        <w:rPr>
          <w:szCs w:val="22"/>
          <w:lang w:eastAsia="en-GB" w:bidi="ar-SA"/>
        </w:rPr>
      </w:pPr>
      <w:r>
        <w:rPr>
          <w:szCs w:val="22"/>
          <w:lang w:eastAsia="en-GB" w:bidi="ar-SA"/>
        </w:rPr>
        <w:t>with a &lt;ds:Transforms&gt; transforms element containing one single &lt;ds:Transform&gt; element, to specify the canonicalization method for the reference</w:t>
      </w:r>
    </w:p>
    <w:p w14:paraId="46CA2BF4" w14:textId="77777777" w:rsidR="00B97365" w:rsidRDefault="00000000">
      <w:pPr>
        <w:numPr>
          <w:ilvl w:val="3"/>
          <w:numId w:val="38"/>
        </w:numPr>
        <w:tabs>
          <w:tab w:val="left" w:pos="1021"/>
        </w:tabs>
        <w:spacing w:before="0" w:after="200" w:line="276" w:lineRule="auto"/>
        <w:contextualSpacing/>
        <w:jc w:val="left"/>
        <w:rPr>
          <w:szCs w:val="22"/>
          <w:lang w:eastAsia="en-GB" w:bidi="ar-SA"/>
        </w:rPr>
      </w:pPr>
      <w:r>
        <w:rPr>
          <w:szCs w:val="22"/>
          <w:lang w:eastAsia="en-GB" w:bidi="ar-SA"/>
        </w:rPr>
        <w:t>This specification mandates the support of the following method ‘</w:t>
      </w:r>
      <w:hyperlink r:id="rId109" w:tooltip="http://www.w3.org/2001/10/xml-exc-c14n#" w:history="1">
        <w:r>
          <w:t>http://www.w3.org/2001/10/xml-exc-c14n#</w:t>
        </w:r>
      </w:hyperlink>
      <w:r>
        <w:rPr>
          <w:szCs w:val="22"/>
          <w:lang w:eastAsia="en-GB" w:bidi="ar-SA"/>
        </w:rPr>
        <w:t>’</w:t>
      </w:r>
      <w:r>
        <w:rPr>
          <w:szCs w:val="22"/>
          <w:lang w:eastAsia="en-GB" w:bidi="ar-SA"/>
        </w:rPr>
        <w:br/>
      </w:r>
    </w:p>
    <w:p w14:paraId="5504FC9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A &lt;ds:KeyInfo&gt; containing a reference to the certificate used to generate the signature. This is achieved by including a &lt;ds:X509Data&gt; element containing either:</w:t>
      </w:r>
    </w:p>
    <w:p w14:paraId="3B5B1B9A"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a &lt;ds:X509SubjectName&gt;, providing the subject value of a certificate that the receiving entity is supposed to have. In this case, it is the responsibility of the EUM to ensure that the Subject of its certificates are sufficiently distinctive to uniquely identify its certificates (for a given eum-id).</w:t>
      </w:r>
    </w:p>
    <w:p w14:paraId="313EA841"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Or a &lt;ds:X509Certificate&gt;, containing the full certificate definition (including the public key)</w:t>
      </w:r>
    </w:p>
    <w:p w14:paraId="4BC9A02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&lt;ds:SignatureValue&gt; element providing the signature value applied on whole &lt;ds:SignedInfo&gt; element, as specified by the W3C, after application of the specified canonicalization, transform and digesting methods as specified within the &lt;ds:SignedInfo&gt; element.</w:t>
      </w:r>
    </w:p>
    <w:p w14:paraId="1110D5A7" w14:textId="77777777" w:rsidR="00B97365" w:rsidRDefault="00B97365">
      <w:pPr>
        <w:rPr>
          <w:rFonts w:cs="Calibri"/>
        </w:rPr>
      </w:pPr>
    </w:p>
    <w:p w14:paraId="4DE11BF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Example of &lt;ds:Signature&gt;:</w:t>
      </w:r>
    </w:p>
    <w:p w14:paraId="4FFACAB1" w14:textId="77777777" w:rsidR="00B97365" w:rsidRDefault="00000000">
      <w:pPr>
        <w:tabs>
          <w:tab w:val="left" w:pos="284"/>
          <w:tab w:val="left" w:pos="567"/>
          <w:tab w:val="left" w:pos="851"/>
          <w:tab w:val="left" w:pos="1134"/>
          <w:tab w:val="left" w:pos="1418"/>
        </w:tabs>
        <w:rPr>
          <w:rFonts w:cs="Arial"/>
          <w:sz w:val="20"/>
        </w:rPr>
      </w:pPr>
      <w:r>
        <w:rPr>
          <w:rFonts w:cs="Arial"/>
          <w:sz w:val="20"/>
        </w:rPr>
        <w:t>&lt;EumSignature xmlns:ds="http://www.w3.org/2000/09/xmldsig#"&gt;</w:t>
      </w:r>
    </w:p>
    <w:p w14:paraId="633EBAB8" w14:textId="77777777" w:rsidR="00B97365" w:rsidRDefault="00000000">
      <w:pPr>
        <w:tabs>
          <w:tab w:val="left" w:pos="284"/>
          <w:tab w:val="left" w:pos="567"/>
          <w:tab w:val="left" w:pos="851"/>
          <w:tab w:val="left" w:pos="1134"/>
          <w:tab w:val="left" w:pos="1418"/>
        </w:tabs>
        <w:rPr>
          <w:rFonts w:cs="Arial"/>
          <w:sz w:val="20"/>
        </w:rPr>
      </w:pPr>
      <w:r>
        <w:rPr>
          <w:rFonts w:cs="Arial"/>
          <w:sz w:val="20"/>
        </w:rPr>
        <w:tab/>
        <w:t>&lt;ds:SignedInfo&gt;</w:t>
      </w:r>
    </w:p>
    <w:p w14:paraId="788E1D8D" w14:textId="77777777" w:rsidR="00B97365" w:rsidRDefault="00000000">
      <w:pPr>
        <w:tabs>
          <w:tab w:val="left" w:pos="284"/>
          <w:tab w:val="left" w:pos="567"/>
          <w:tab w:val="left" w:pos="851"/>
          <w:tab w:val="left" w:pos="1134"/>
          <w:tab w:val="left" w:pos="1418"/>
        </w:tabs>
        <w:rPr>
          <w:rFonts w:cs="Arial"/>
          <w:sz w:val="20"/>
        </w:rPr>
      </w:pPr>
      <w:r>
        <w:rPr>
          <w:rFonts w:cs="Arial"/>
          <w:sz w:val="20"/>
        </w:rPr>
        <w:tab/>
      </w:r>
      <w:r>
        <w:rPr>
          <w:rFonts w:cs="Arial"/>
          <w:sz w:val="20"/>
        </w:rPr>
        <w:tab/>
        <w:t>&lt;ds:CanonicalizationMethod Algorithm=http://www.w3.org/2001/10/xml-exc-c14n#/&gt;</w:t>
      </w:r>
    </w:p>
    <w:p w14:paraId="7F109BF6" w14:textId="77777777" w:rsidR="00B97365" w:rsidRDefault="00000000">
      <w:pPr>
        <w:tabs>
          <w:tab w:val="left" w:pos="284"/>
          <w:tab w:val="left" w:pos="567"/>
          <w:tab w:val="left" w:pos="851"/>
          <w:tab w:val="left" w:pos="1134"/>
          <w:tab w:val="left" w:pos="1418"/>
        </w:tabs>
        <w:rPr>
          <w:rFonts w:cs="Arial"/>
          <w:sz w:val="20"/>
        </w:rPr>
      </w:pPr>
      <w:r>
        <w:rPr>
          <w:rFonts w:cs="Arial"/>
          <w:sz w:val="20"/>
        </w:rPr>
        <w:tab/>
      </w:r>
      <w:r>
        <w:rPr>
          <w:rFonts w:cs="Arial"/>
          <w:sz w:val="20"/>
        </w:rPr>
        <w:tab/>
        <w:t>&lt;ds:SignatureMethod Algorithm=http://www.w3.org/2001/04/xmldsig-more#rsa-sha256/&gt;</w:t>
      </w:r>
    </w:p>
    <w:p w14:paraId="3B3C2261" w14:textId="77777777" w:rsidR="00B97365" w:rsidRDefault="00000000">
      <w:pPr>
        <w:tabs>
          <w:tab w:val="left" w:pos="284"/>
          <w:tab w:val="left" w:pos="567"/>
          <w:tab w:val="left" w:pos="851"/>
          <w:tab w:val="left" w:pos="1134"/>
          <w:tab w:val="left" w:pos="1418"/>
        </w:tabs>
        <w:rPr>
          <w:rFonts w:cs="Arial"/>
          <w:sz w:val="20"/>
        </w:rPr>
      </w:pPr>
      <w:r>
        <w:rPr>
          <w:rFonts w:cs="Arial"/>
          <w:sz w:val="20"/>
        </w:rPr>
        <w:tab/>
      </w:r>
      <w:r>
        <w:rPr>
          <w:rFonts w:cs="Arial"/>
          <w:sz w:val="20"/>
        </w:rPr>
        <w:tab/>
        <w:t>&lt;ds:Reference&gt;</w:t>
      </w:r>
    </w:p>
    <w:p w14:paraId="0CFFC061" w14:textId="77777777" w:rsidR="00B97365" w:rsidRDefault="00000000">
      <w:pPr>
        <w:tabs>
          <w:tab w:val="left" w:pos="284"/>
          <w:tab w:val="left" w:pos="567"/>
          <w:tab w:val="left" w:pos="851"/>
          <w:tab w:val="left" w:pos="1134"/>
          <w:tab w:val="left" w:pos="1418"/>
        </w:tabs>
        <w:rPr>
          <w:rFonts w:cs="Arial"/>
          <w:sz w:val="20"/>
        </w:rPr>
      </w:pPr>
      <w:r>
        <w:rPr>
          <w:rFonts w:cs="Arial"/>
          <w:sz w:val="20"/>
        </w:rPr>
        <w:lastRenderedPageBreak/>
        <w:tab/>
      </w:r>
      <w:r>
        <w:rPr>
          <w:rFonts w:cs="Arial"/>
          <w:sz w:val="20"/>
        </w:rPr>
        <w:tab/>
      </w:r>
      <w:r>
        <w:rPr>
          <w:rFonts w:cs="Arial"/>
          <w:sz w:val="20"/>
        </w:rPr>
        <w:tab/>
        <w:t>&lt;ds:Transforms&gt;</w:t>
      </w:r>
    </w:p>
    <w:p w14:paraId="4A83F43F" w14:textId="77777777" w:rsidR="00B97365" w:rsidRDefault="00000000">
      <w:pPr>
        <w:spacing w:line="300" w:lineRule="atLeast"/>
        <w:textAlignment w:val="baseline"/>
        <w:rPr>
          <w:rFonts w:cs="Arial"/>
          <w:sz w:val="20"/>
        </w:rPr>
      </w:pPr>
      <w:r>
        <w:rPr>
          <w:rFonts w:cs="Arial"/>
          <w:sz w:val="20"/>
        </w:rPr>
        <w:t xml:space="preserve">                       &lt;ds:Transform Algorithm="</w:t>
      </w:r>
      <w:hyperlink r:id="rId110" w:history="1">
        <w:r>
          <w:rPr>
            <w:rFonts w:cs="Arial"/>
            <w:sz w:val="20"/>
          </w:rPr>
          <w:t>http://www.w3.org/2001/10/xml-exc-c14n#"</w:t>
        </w:r>
      </w:hyperlink>
      <w:r>
        <w:rPr>
          <w:rFonts w:cs="Arial"/>
          <w:sz w:val="20"/>
        </w:rPr>
        <w:t> /&gt;</w:t>
      </w:r>
    </w:p>
    <w:p w14:paraId="433DF8C4" w14:textId="77777777" w:rsidR="00B97365" w:rsidRDefault="00000000">
      <w:pPr>
        <w:spacing w:line="300" w:lineRule="atLeast"/>
        <w:textAlignment w:val="baseline"/>
        <w:rPr>
          <w:rFonts w:cs="Arial"/>
          <w:sz w:val="20"/>
        </w:rPr>
      </w:pPr>
      <w:r>
        <w:rPr>
          <w:rFonts w:cs="Arial"/>
          <w:sz w:val="20"/>
        </w:rPr>
        <w:t xml:space="preserve">               &lt;/ds:Transforms&gt; </w:t>
      </w:r>
    </w:p>
    <w:p w14:paraId="3B7D55EA" w14:textId="77777777" w:rsidR="00B97365" w:rsidRDefault="00000000">
      <w:pPr>
        <w:tabs>
          <w:tab w:val="left" w:pos="284"/>
          <w:tab w:val="left" w:pos="567"/>
          <w:tab w:val="left" w:pos="851"/>
          <w:tab w:val="left" w:pos="1134"/>
          <w:tab w:val="left" w:pos="1418"/>
        </w:tabs>
        <w:rPr>
          <w:rFonts w:cs="Arial"/>
          <w:sz w:val="20"/>
        </w:rPr>
      </w:pPr>
      <w:r>
        <w:rPr>
          <w:rFonts w:cs="Arial"/>
          <w:sz w:val="20"/>
        </w:rPr>
        <w:tab/>
      </w:r>
      <w:r>
        <w:rPr>
          <w:rFonts w:cs="Arial"/>
          <w:sz w:val="20"/>
        </w:rPr>
        <w:tab/>
      </w:r>
      <w:r>
        <w:rPr>
          <w:rFonts w:cs="Arial"/>
          <w:sz w:val="20"/>
        </w:rPr>
        <w:tab/>
        <w:t>&lt;ds:DigestMethod Algorithm=http://www.w3.org/2001/04/xmlenc#sha256/&gt;</w:t>
      </w:r>
    </w:p>
    <w:p w14:paraId="5255BC43" w14:textId="77777777" w:rsidR="00B97365" w:rsidRDefault="00000000">
      <w:pPr>
        <w:tabs>
          <w:tab w:val="left" w:pos="284"/>
          <w:tab w:val="left" w:pos="567"/>
          <w:tab w:val="left" w:pos="851"/>
          <w:tab w:val="left" w:pos="1134"/>
          <w:tab w:val="left" w:pos="1418"/>
        </w:tabs>
        <w:rPr>
          <w:rFonts w:cs="Arial"/>
          <w:sz w:val="20"/>
        </w:rPr>
      </w:pPr>
      <w:r>
        <w:rPr>
          <w:rFonts w:cs="Arial"/>
          <w:sz w:val="20"/>
        </w:rPr>
        <w:tab/>
      </w:r>
      <w:r>
        <w:rPr>
          <w:rFonts w:cs="Arial"/>
          <w:sz w:val="20"/>
        </w:rPr>
        <w:tab/>
      </w:r>
      <w:r>
        <w:rPr>
          <w:rFonts w:cs="Arial"/>
          <w:sz w:val="20"/>
        </w:rPr>
        <w:tab/>
        <w:t>&lt;ds:DigestValue&gt;dHLkPm5pcyBub3QgYSBzaWduYXR1cmGB&lt;/ds:DigestValue&gt;</w:t>
      </w:r>
    </w:p>
    <w:p w14:paraId="3E243067" w14:textId="77777777" w:rsidR="00B97365" w:rsidRDefault="00000000">
      <w:pPr>
        <w:tabs>
          <w:tab w:val="left" w:pos="284"/>
          <w:tab w:val="left" w:pos="567"/>
          <w:tab w:val="left" w:pos="851"/>
          <w:tab w:val="left" w:pos="1134"/>
          <w:tab w:val="left" w:pos="1418"/>
        </w:tabs>
        <w:rPr>
          <w:rFonts w:cs="Arial"/>
          <w:sz w:val="20"/>
        </w:rPr>
      </w:pPr>
      <w:r>
        <w:rPr>
          <w:rFonts w:cs="Arial"/>
          <w:sz w:val="20"/>
        </w:rPr>
        <w:tab/>
      </w:r>
      <w:r>
        <w:rPr>
          <w:rFonts w:cs="Arial"/>
          <w:sz w:val="20"/>
        </w:rPr>
        <w:tab/>
        <w:t>&lt;/ds:Reference&gt;</w:t>
      </w:r>
    </w:p>
    <w:p w14:paraId="0D61C600" w14:textId="77777777" w:rsidR="00B97365" w:rsidRDefault="00000000">
      <w:pPr>
        <w:tabs>
          <w:tab w:val="left" w:pos="284"/>
          <w:tab w:val="left" w:pos="567"/>
          <w:tab w:val="left" w:pos="851"/>
          <w:tab w:val="left" w:pos="1134"/>
          <w:tab w:val="left" w:pos="1418"/>
        </w:tabs>
        <w:rPr>
          <w:rFonts w:cs="Arial"/>
          <w:sz w:val="20"/>
        </w:rPr>
      </w:pPr>
      <w:r>
        <w:rPr>
          <w:rFonts w:cs="Arial"/>
          <w:sz w:val="20"/>
        </w:rPr>
        <w:tab/>
        <w:t>&lt;/ds:SignedInfo&gt;</w:t>
      </w:r>
    </w:p>
    <w:p w14:paraId="7AF594A9" w14:textId="77777777" w:rsidR="00B97365" w:rsidRDefault="00000000">
      <w:pPr>
        <w:tabs>
          <w:tab w:val="left" w:pos="284"/>
          <w:tab w:val="left" w:pos="567"/>
          <w:tab w:val="left" w:pos="851"/>
          <w:tab w:val="left" w:pos="1134"/>
          <w:tab w:val="left" w:pos="1418"/>
        </w:tabs>
        <w:rPr>
          <w:rFonts w:cs="Arial"/>
          <w:sz w:val="20"/>
        </w:rPr>
      </w:pPr>
      <w:r>
        <w:rPr>
          <w:rFonts w:cs="Arial"/>
          <w:sz w:val="20"/>
        </w:rPr>
        <w:tab/>
        <w:t>&lt;ds:SignatureValue&gt;dHLkPm5pcyBub3QgYSBzaWduYXR1cmGB&lt;/ds:SignatureValue&gt;</w:t>
      </w:r>
    </w:p>
    <w:p w14:paraId="3A550D1C" w14:textId="77777777" w:rsidR="00B97365" w:rsidRDefault="00000000">
      <w:pPr>
        <w:tabs>
          <w:tab w:val="left" w:pos="284"/>
          <w:tab w:val="left" w:pos="567"/>
          <w:tab w:val="left" w:pos="851"/>
          <w:tab w:val="left" w:pos="1134"/>
          <w:tab w:val="left" w:pos="1418"/>
        </w:tabs>
        <w:rPr>
          <w:rFonts w:cs="Arial"/>
          <w:sz w:val="20"/>
        </w:rPr>
      </w:pPr>
      <w:r>
        <w:rPr>
          <w:rFonts w:cs="Arial"/>
          <w:sz w:val="20"/>
        </w:rPr>
        <w:tab/>
        <w:t>&lt;ds:KeyInfo&gt;</w:t>
      </w:r>
    </w:p>
    <w:p w14:paraId="6BE4AC6F" w14:textId="77777777" w:rsidR="00B97365" w:rsidRDefault="00000000">
      <w:pPr>
        <w:tabs>
          <w:tab w:val="left" w:pos="284"/>
          <w:tab w:val="left" w:pos="567"/>
          <w:tab w:val="left" w:pos="851"/>
          <w:tab w:val="left" w:pos="1134"/>
          <w:tab w:val="left" w:pos="1418"/>
        </w:tabs>
        <w:rPr>
          <w:rFonts w:cs="Arial"/>
          <w:sz w:val="20"/>
        </w:rPr>
      </w:pPr>
      <w:r>
        <w:rPr>
          <w:rFonts w:cs="Arial"/>
          <w:sz w:val="20"/>
        </w:rPr>
        <w:tab/>
      </w:r>
      <w:r>
        <w:rPr>
          <w:rFonts w:cs="Arial"/>
          <w:sz w:val="20"/>
        </w:rPr>
        <w:tab/>
        <w:t>&lt;ds:X509Data&gt;</w:t>
      </w:r>
    </w:p>
    <w:p w14:paraId="3EB8002E" w14:textId="77777777" w:rsidR="00B97365" w:rsidRDefault="00000000">
      <w:pPr>
        <w:tabs>
          <w:tab w:val="left" w:pos="284"/>
          <w:tab w:val="left" w:pos="567"/>
          <w:tab w:val="left" w:pos="851"/>
          <w:tab w:val="left" w:pos="1134"/>
          <w:tab w:val="left" w:pos="1418"/>
        </w:tabs>
        <w:rPr>
          <w:rFonts w:cs="Arial"/>
          <w:sz w:val="20"/>
        </w:rPr>
      </w:pPr>
      <w:r>
        <w:rPr>
          <w:rFonts w:cs="Arial"/>
          <w:sz w:val="20"/>
        </w:rPr>
        <w:tab/>
      </w:r>
      <w:r>
        <w:rPr>
          <w:rFonts w:cs="Arial"/>
          <w:sz w:val="20"/>
        </w:rPr>
        <w:tab/>
      </w:r>
      <w:r>
        <w:rPr>
          <w:rFonts w:cs="Arial"/>
          <w:sz w:val="20"/>
        </w:rPr>
        <w:tab/>
        <w:t>&lt;ds:X509SubjectName&gt;CN=gsma, O=GSMA, C=UK&lt;/ds:X509SubjectName&gt;</w:t>
      </w:r>
    </w:p>
    <w:p w14:paraId="33EBC73E" w14:textId="77777777" w:rsidR="00B97365" w:rsidRDefault="00000000">
      <w:pPr>
        <w:tabs>
          <w:tab w:val="left" w:pos="284"/>
          <w:tab w:val="left" w:pos="567"/>
          <w:tab w:val="left" w:pos="851"/>
          <w:tab w:val="left" w:pos="1134"/>
          <w:tab w:val="left" w:pos="1418"/>
        </w:tabs>
        <w:rPr>
          <w:rFonts w:cs="Arial"/>
          <w:sz w:val="20"/>
        </w:rPr>
      </w:pPr>
      <w:r>
        <w:rPr>
          <w:rFonts w:cs="Arial"/>
          <w:sz w:val="20"/>
        </w:rPr>
        <w:tab/>
      </w:r>
      <w:r>
        <w:rPr>
          <w:rFonts w:cs="Arial"/>
          <w:sz w:val="20"/>
        </w:rPr>
        <w:tab/>
        <w:t>&lt;/ds:X509Data&gt;</w:t>
      </w:r>
    </w:p>
    <w:p w14:paraId="774769E4" w14:textId="77777777" w:rsidR="00B97365" w:rsidRDefault="00000000">
      <w:pPr>
        <w:tabs>
          <w:tab w:val="left" w:pos="284"/>
          <w:tab w:val="left" w:pos="567"/>
          <w:tab w:val="left" w:pos="851"/>
          <w:tab w:val="left" w:pos="1134"/>
          <w:tab w:val="left" w:pos="1418"/>
        </w:tabs>
        <w:rPr>
          <w:rFonts w:cs="Arial"/>
          <w:sz w:val="20"/>
        </w:rPr>
      </w:pPr>
      <w:r>
        <w:rPr>
          <w:rFonts w:cs="Arial"/>
          <w:sz w:val="20"/>
        </w:rPr>
        <w:tab/>
        <w:t>&lt;/ds:KeyInfo&gt;</w:t>
      </w:r>
    </w:p>
    <w:p w14:paraId="09B63DE7" w14:textId="77777777" w:rsidR="00B97365" w:rsidRDefault="00000000">
      <w:pPr>
        <w:spacing w:before="0"/>
        <w:jc w:val="left"/>
        <w:rPr>
          <w:rFonts w:cs="Arial"/>
          <w:szCs w:val="22"/>
          <w:lang w:val="en-US" w:eastAsia="en-GB" w:bidi="ar-SA"/>
        </w:rPr>
      </w:pPr>
      <w:r>
        <w:rPr>
          <w:rFonts w:cs="Arial"/>
          <w:sz w:val="20"/>
        </w:rPr>
        <w:t>&lt;/ds:Signature&gt;</w:t>
      </w:r>
      <w:r>
        <w:rPr>
          <w:lang w:val="en-US"/>
        </w:rPr>
        <w:br w:type="page"/>
      </w:r>
    </w:p>
    <w:p w14:paraId="2F7173F4" w14:textId="77777777" w:rsidR="00B97365" w:rsidRDefault="00B97365">
      <w:pPr>
        <w:spacing w:before="0" w:after="200" w:line="276" w:lineRule="auto"/>
        <w:jc w:val="left"/>
        <w:rPr>
          <w:rFonts w:cs="Calibri"/>
          <w:szCs w:val="22"/>
          <w:lang w:eastAsia="en-GB" w:bidi="ar-SA"/>
        </w:rPr>
      </w:pPr>
    </w:p>
    <w:p w14:paraId="2E7A117D" w14:textId="77777777" w:rsidR="00B97365" w:rsidRDefault="00000000">
      <w:pPr>
        <w:keepNext/>
        <w:keepLines/>
        <w:numPr>
          <w:ilvl w:val="0"/>
          <w:numId w:val="36"/>
        </w:numPr>
        <w:spacing w:before="360" w:after="60" w:line="276" w:lineRule="auto"/>
        <w:jc w:val="left"/>
        <w:outlineLvl w:val="0"/>
        <w:rPr>
          <w:b/>
          <w:sz w:val="28"/>
          <w:lang w:eastAsia="en-US"/>
        </w:rPr>
      </w:pPr>
      <w:bookmarkStart w:id="10923" w:name="_Toc365571520"/>
      <w:bookmarkStart w:id="10924" w:name="_Toc365625020"/>
      <w:bookmarkStart w:id="10925" w:name="_Toc365900031"/>
      <w:bookmarkStart w:id="10926" w:name="_Toc365982840"/>
      <w:bookmarkStart w:id="10927" w:name="_Toc367446173"/>
      <w:bookmarkStart w:id="10928" w:name="_Toc368048379"/>
      <w:bookmarkStart w:id="10929" w:name="_Toc368583950"/>
      <w:bookmarkStart w:id="10930" w:name="_Toc368653045"/>
      <w:bookmarkStart w:id="10931" w:name="_Toc368932484"/>
      <w:bookmarkStart w:id="10932" w:name="_Toc374345957"/>
      <w:bookmarkStart w:id="10933" w:name="_Toc374346303"/>
      <w:bookmarkStart w:id="10934" w:name="_Toc374346648"/>
      <w:bookmarkStart w:id="10935" w:name="_Toc374346994"/>
      <w:bookmarkStart w:id="10936" w:name="_Toc374347449"/>
      <w:bookmarkStart w:id="10937" w:name="_Toc374347678"/>
      <w:bookmarkStart w:id="10938" w:name="_Toc374347907"/>
      <w:bookmarkStart w:id="10939" w:name="_Toc374348650"/>
      <w:bookmarkStart w:id="10940" w:name="_Toc375055051"/>
      <w:bookmarkStart w:id="10941" w:name="_Toc375158134"/>
      <w:bookmarkStart w:id="10942" w:name="_Toc375158476"/>
      <w:bookmarkStart w:id="10943" w:name="_Toc378865632"/>
      <w:bookmarkStart w:id="10944" w:name="_Toc396149362"/>
      <w:bookmarkStart w:id="10945" w:name="_Toc396149930"/>
      <w:bookmarkStart w:id="10946" w:name="_Toc396150371"/>
      <w:bookmarkStart w:id="10947" w:name="_Toc398215060"/>
      <w:bookmarkStart w:id="10948" w:name="_Toc398291750"/>
      <w:bookmarkStart w:id="10949" w:name="_Toc398292093"/>
      <w:bookmarkStart w:id="10950" w:name="_Toc398293202"/>
      <w:bookmarkStart w:id="10951" w:name="_Toc400964332"/>
      <w:bookmarkStart w:id="10952" w:name="_Toc420595053"/>
      <w:bookmarkStart w:id="10953" w:name="_Toc420928607"/>
      <w:bookmarkStart w:id="10954" w:name="_Toc421106928"/>
      <w:bookmarkStart w:id="10955" w:name="_Toc421173194"/>
      <w:bookmarkStart w:id="10956" w:name="_Toc421874501"/>
      <w:bookmarkStart w:id="10957" w:name="_Toc421885790"/>
      <w:bookmarkStart w:id="10958" w:name="_Toc421886169"/>
      <w:bookmarkStart w:id="10959" w:name="_Toc422029041"/>
      <w:bookmarkStart w:id="10960" w:name="_Toc422029953"/>
      <w:bookmarkStart w:id="10961" w:name="_Toc422150916"/>
      <w:bookmarkStart w:id="10962" w:name="_Toc423443470"/>
      <w:bookmarkStart w:id="10963" w:name="_Toc441422648"/>
      <w:bookmarkStart w:id="10964" w:name="_Toc365571521"/>
      <w:bookmarkStart w:id="10965" w:name="_Toc365625021"/>
      <w:bookmarkStart w:id="10966" w:name="_Toc365900032"/>
      <w:bookmarkStart w:id="10967" w:name="_Toc365982841"/>
      <w:bookmarkStart w:id="10968" w:name="_Toc367446174"/>
      <w:bookmarkStart w:id="10969" w:name="_Toc368048380"/>
      <w:bookmarkStart w:id="10970" w:name="_Toc368583951"/>
      <w:bookmarkStart w:id="10971" w:name="_Toc368653046"/>
      <w:bookmarkStart w:id="10972" w:name="_Toc368932485"/>
      <w:bookmarkStart w:id="10973" w:name="_Toc374345958"/>
      <w:bookmarkStart w:id="10974" w:name="_Toc374346304"/>
      <w:bookmarkStart w:id="10975" w:name="_Toc374346649"/>
      <w:bookmarkStart w:id="10976" w:name="_Toc374346995"/>
      <w:bookmarkStart w:id="10977" w:name="_Toc374347450"/>
      <w:bookmarkStart w:id="10978" w:name="_Toc374347679"/>
      <w:bookmarkStart w:id="10979" w:name="_Toc374347908"/>
      <w:bookmarkStart w:id="10980" w:name="_Toc374348651"/>
      <w:bookmarkStart w:id="10981" w:name="_Toc375055052"/>
      <w:bookmarkStart w:id="10982" w:name="_Toc375158135"/>
      <w:bookmarkStart w:id="10983" w:name="_Toc375158477"/>
      <w:bookmarkStart w:id="10984" w:name="_Toc378865633"/>
      <w:bookmarkStart w:id="10985" w:name="_Toc396149363"/>
      <w:bookmarkStart w:id="10986" w:name="_Toc396149931"/>
      <w:bookmarkStart w:id="10987" w:name="_Toc396150372"/>
      <w:bookmarkStart w:id="10988" w:name="_Toc398215061"/>
      <w:bookmarkStart w:id="10989" w:name="_Toc398291751"/>
      <w:bookmarkStart w:id="10990" w:name="_Toc398292094"/>
      <w:bookmarkStart w:id="10991" w:name="_Toc398293203"/>
      <w:bookmarkStart w:id="10992" w:name="_Toc400964333"/>
      <w:bookmarkStart w:id="10993" w:name="_Toc420595054"/>
      <w:bookmarkStart w:id="10994" w:name="_Toc420928608"/>
      <w:bookmarkStart w:id="10995" w:name="_Toc421106929"/>
      <w:bookmarkStart w:id="10996" w:name="_Toc421173195"/>
      <w:bookmarkStart w:id="10997" w:name="_Toc421874502"/>
      <w:bookmarkStart w:id="10998" w:name="_Toc421885791"/>
      <w:bookmarkStart w:id="10999" w:name="_Toc421886170"/>
      <w:bookmarkStart w:id="11000" w:name="_Toc422029042"/>
      <w:bookmarkStart w:id="11001" w:name="_Toc422029954"/>
      <w:bookmarkStart w:id="11002" w:name="_Toc422150917"/>
      <w:bookmarkStart w:id="11003" w:name="_Toc423443471"/>
      <w:bookmarkStart w:id="11004" w:name="_Toc441422649"/>
      <w:bookmarkStart w:id="11005" w:name="_Toc365571522"/>
      <w:bookmarkStart w:id="11006" w:name="_Toc365625022"/>
      <w:bookmarkStart w:id="11007" w:name="_Toc365900033"/>
      <w:bookmarkStart w:id="11008" w:name="_Toc365982842"/>
      <w:bookmarkStart w:id="11009" w:name="_Toc367446175"/>
      <w:bookmarkStart w:id="11010" w:name="_Toc368048381"/>
      <w:bookmarkStart w:id="11011" w:name="_Toc368583952"/>
      <w:bookmarkStart w:id="11012" w:name="_Toc368653047"/>
      <w:bookmarkStart w:id="11013" w:name="_Toc368932486"/>
      <w:bookmarkStart w:id="11014" w:name="_Toc374345959"/>
      <w:bookmarkStart w:id="11015" w:name="_Toc374346305"/>
      <w:bookmarkStart w:id="11016" w:name="_Toc374346650"/>
      <w:bookmarkStart w:id="11017" w:name="_Toc374346996"/>
      <w:bookmarkStart w:id="11018" w:name="_Toc374347451"/>
      <w:bookmarkStart w:id="11019" w:name="_Toc374347680"/>
      <w:bookmarkStart w:id="11020" w:name="_Toc374347909"/>
      <w:bookmarkStart w:id="11021" w:name="_Toc374348652"/>
      <w:bookmarkStart w:id="11022" w:name="_Toc375055053"/>
      <w:bookmarkStart w:id="11023" w:name="_Toc375158136"/>
      <w:bookmarkStart w:id="11024" w:name="_Toc375158478"/>
      <w:bookmarkStart w:id="11025" w:name="_Toc378865634"/>
      <w:bookmarkStart w:id="11026" w:name="_Toc396149364"/>
      <w:bookmarkStart w:id="11027" w:name="_Toc396149932"/>
      <w:bookmarkStart w:id="11028" w:name="_Toc396150373"/>
      <w:bookmarkStart w:id="11029" w:name="_Toc398215062"/>
      <w:bookmarkStart w:id="11030" w:name="_Toc398291752"/>
      <w:bookmarkStart w:id="11031" w:name="_Toc398292095"/>
      <w:bookmarkStart w:id="11032" w:name="_Toc398293204"/>
      <w:bookmarkStart w:id="11033" w:name="_Toc400964334"/>
      <w:bookmarkStart w:id="11034" w:name="_Toc420595055"/>
      <w:bookmarkStart w:id="11035" w:name="_Toc420928609"/>
      <w:bookmarkStart w:id="11036" w:name="_Toc421106930"/>
      <w:bookmarkStart w:id="11037" w:name="_Toc421173196"/>
      <w:bookmarkStart w:id="11038" w:name="_Toc421874503"/>
      <w:bookmarkStart w:id="11039" w:name="_Toc421885792"/>
      <w:bookmarkStart w:id="11040" w:name="_Toc421886171"/>
      <w:bookmarkStart w:id="11041" w:name="_Toc422029043"/>
      <w:bookmarkStart w:id="11042" w:name="_Toc422029955"/>
      <w:bookmarkStart w:id="11043" w:name="_Toc422150918"/>
      <w:bookmarkStart w:id="11044" w:name="_Toc423443472"/>
      <w:bookmarkStart w:id="11045" w:name="_Toc441422650"/>
      <w:bookmarkStart w:id="11046" w:name="_Toc365571523"/>
      <w:bookmarkStart w:id="11047" w:name="_Toc365625023"/>
      <w:bookmarkStart w:id="11048" w:name="_Toc365900034"/>
      <w:bookmarkStart w:id="11049" w:name="_Toc365982843"/>
      <w:bookmarkStart w:id="11050" w:name="_Toc367446176"/>
      <w:bookmarkStart w:id="11051" w:name="_Toc368048382"/>
      <w:bookmarkStart w:id="11052" w:name="_Toc368583953"/>
      <w:bookmarkStart w:id="11053" w:name="_Toc368653048"/>
      <w:bookmarkStart w:id="11054" w:name="_Toc368932487"/>
      <w:bookmarkStart w:id="11055" w:name="_Toc374345960"/>
      <w:bookmarkStart w:id="11056" w:name="_Toc374346306"/>
      <w:bookmarkStart w:id="11057" w:name="_Toc374346651"/>
      <w:bookmarkStart w:id="11058" w:name="_Toc374346997"/>
      <w:bookmarkStart w:id="11059" w:name="_Toc374347452"/>
      <w:bookmarkStart w:id="11060" w:name="_Toc374347681"/>
      <w:bookmarkStart w:id="11061" w:name="_Toc374347910"/>
      <w:bookmarkStart w:id="11062" w:name="_Toc374348653"/>
      <w:bookmarkStart w:id="11063" w:name="_Toc375055054"/>
      <w:bookmarkStart w:id="11064" w:name="_Toc375158137"/>
      <w:bookmarkStart w:id="11065" w:name="_Toc375158479"/>
      <w:bookmarkStart w:id="11066" w:name="_Toc378865635"/>
      <w:bookmarkStart w:id="11067" w:name="_Toc396149365"/>
      <w:bookmarkStart w:id="11068" w:name="_Toc396149933"/>
      <w:bookmarkStart w:id="11069" w:name="_Toc396150374"/>
      <w:bookmarkStart w:id="11070" w:name="_Toc398215063"/>
      <w:bookmarkStart w:id="11071" w:name="_Toc398291753"/>
      <w:bookmarkStart w:id="11072" w:name="_Toc398292096"/>
      <w:bookmarkStart w:id="11073" w:name="_Toc398293205"/>
      <w:bookmarkStart w:id="11074" w:name="_Toc400964335"/>
      <w:bookmarkStart w:id="11075" w:name="_Toc420595056"/>
      <w:bookmarkStart w:id="11076" w:name="_Toc420928610"/>
      <w:bookmarkStart w:id="11077" w:name="_Toc421106931"/>
      <w:bookmarkStart w:id="11078" w:name="_Toc421173197"/>
      <w:bookmarkStart w:id="11079" w:name="_Toc421874504"/>
      <w:bookmarkStart w:id="11080" w:name="_Toc421885793"/>
      <w:bookmarkStart w:id="11081" w:name="_Toc421886172"/>
      <w:bookmarkStart w:id="11082" w:name="_Toc422029044"/>
      <w:bookmarkStart w:id="11083" w:name="_Toc422029956"/>
      <w:bookmarkStart w:id="11084" w:name="_Toc422150919"/>
      <w:bookmarkStart w:id="11085" w:name="_Toc423443473"/>
      <w:bookmarkStart w:id="11086" w:name="_Toc441422651"/>
      <w:bookmarkStart w:id="11087" w:name="_Toc365571524"/>
      <w:bookmarkStart w:id="11088" w:name="_Toc365625024"/>
      <w:bookmarkStart w:id="11089" w:name="_Toc365900035"/>
      <w:bookmarkStart w:id="11090" w:name="_Toc365982844"/>
      <w:bookmarkStart w:id="11091" w:name="_Toc367446177"/>
      <w:bookmarkStart w:id="11092" w:name="_Toc368048383"/>
      <w:bookmarkStart w:id="11093" w:name="_Toc368583954"/>
      <w:bookmarkStart w:id="11094" w:name="_Toc368653049"/>
      <w:bookmarkStart w:id="11095" w:name="_Toc368932488"/>
      <w:bookmarkStart w:id="11096" w:name="_Toc374345961"/>
      <w:bookmarkStart w:id="11097" w:name="_Toc374346307"/>
      <w:bookmarkStart w:id="11098" w:name="_Toc374346652"/>
      <w:bookmarkStart w:id="11099" w:name="_Toc374346998"/>
      <w:bookmarkStart w:id="11100" w:name="_Toc374347453"/>
      <w:bookmarkStart w:id="11101" w:name="_Toc374347682"/>
      <w:bookmarkStart w:id="11102" w:name="_Toc374347911"/>
      <w:bookmarkStart w:id="11103" w:name="_Toc374348654"/>
      <w:bookmarkStart w:id="11104" w:name="_Toc375055055"/>
      <w:bookmarkStart w:id="11105" w:name="_Toc375158138"/>
      <w:bookmarkStart w:id="11106" w:name="_Toc375158480"/>
      <w:bookmarkStart w:id="11107" w:name="_Toc378865636"/>
      <w:bookmarkStart w:id="11108" w:name="_Toc396149366"/>
      <w:bookmarkStart w:id="11109" w:name="_Toc396149934"/>
      <w:bookmarkStart w:id="11110" w:name="_Toc396150375"/>
      <w:bookmarkStart w:id="11111" w:name="_Toc398215064"/>
      <w:bookmarkStart w:id="11112" w:name="_Toc398291754"/>
      <w:bookmarkStart w:id="11113" w:name="_Toc398292097"/>
      <w:bookmarkStart w:id="11114" w:name="_Toc398293206"/>
      <w:bookmarkStart w:id="11115" w:name="_Toc400964336"/>
      <w:bookmarkStart w:id="11116" w:name="_Toc420595057"/>
      <w:bookmarkStart w:id="11117" w:name="_Toc420928611"/>
      <w:bookmarkStart w:id="11118" w:name="_Toc421106932"/>
      <w:bookmarkStart w:id="11119" w:name="_Toc421173198"/>
      <w:bookmarkStart w:id="11120" w:name="_Toc421874505"/>
      <w:bookmarkStart w:id="11121" w:name="_Toc421885794"/>
      <w:bookmarkStart w:id="11122" w:name="_Toc421886173"/>
      <w:bookmarkStart w:id="11123" w:name="_Toc422029045"/>
      <w:bookmarkStart w:id="11124" w:name="_Toc422029957"/>
      <w:bookmarkStart w:id="11125" w:name="_Toc422150920"/>
      <w:bookmarkStart w:id="11126" w:name="_Toc423443474"/>
      <w:bookmarkStart w:id="11127" w:name="_Toc441422652"/>
      <w:bookmarkStart w:id="11128" w:name="_Toc365571525"/>
      <w:bookmarkStart w:id="11129" w:name="_Toc365625025"/>
      <w:bookmarkStart w:id="11130" w:name="_Toc365900036"/>
      <w:bookmarkStart w:id="11131" w:name="_Toc365982845"/>
      <w:bookmarkStart w:id="11132" w:name="_Toc367446178"/>
      <w:bookmarkStart w:id="11133" w:name="_Toc368048384"/>
      <w:bookmarkStart w:id="11134" w:name="_Toc368583955"/>
      <w:bookmarkStart w:id="11135" w:name="_Toc368653050"/>
      <w:bookmarkStart w:id="11136" w:name="_Toc368932489"/>
      <w:bookmarkStart w:id="11137" w:name="_Toc374345962"/>
      <w:bookmarkStart w:id="11138" w:name="_Toc374346308"/>
      <w:bookmarkStart w:id="11139" w:name="_Toc374346653"/>
      <w:bookmarkStart w:id="11140" w:name="_Toc374346999"/>
      <w:bookmarkStart w:id="11141" w:name="_Toc374347454"/>
      <w:bookmarkStart w:id="11142" w:name="_Toc374347683"/>
      <w:bookmarkStart w:id="11143" w:name="_Toc374347912"/>
      <w:bookmarkStart w:id="11144" w:name="_Toc374348655"/>
      <w:bookmarkStart w:id="11145" w:name="_Toc375055056"/>
      <w:bookmarkStart w:id="11146" w:name="_Toc375158139"/>
      <w:bookmarkStart w:id="11147" w:name="_Toc375158481"/>
      <w:bookmarkStart w:id="11148" w:name="_Toc378865637"/>
      <w:bookmarkStart w:id="11149" w:name="_Toc396149367"/>
      <w:bookmarkStart w:id="11150" w:name="_Toc396149935"/>
      <w:bookmarkStart w:id="11151" w:name="_Toc396150376"/>
      <w:bookmarkStart w:id="11152" w:name="_Toc398215065"/>
      <w:bookmarkStart w:id="11153" w:name="_Toc398291755"/>
      <w:bookmarkStart w:id="11154" w:name="_Toc398292098"/>
      <w:bookmarkStart w:id="11155" w:name="_Toc398293207"/>
      <w:bookmarkStart w:id="11156" w:name="_Toc400964337"/>
      <w:bookmarkStart w:id="11157" w:name="_Toc420595058"/>
      <w:bookmarkStart w:id="11158" w:name="_Toc420928612"/>
      <w:bookmarkStart w:id="11159" w:name="_Toc421106933"/>
      <w:bookmarkStart w:id="11160" w:name="_Toc421173199"/>
      <w:bookmarkStart w:id="11161" w:name="_Toc421874506"/>
      <w:bookmarkStart w:id="11162" w:name="_Toc421885795"/>
      <w:bookmarkStart w:id="11163" w:name="_Toc421886174"/>
      <w:bookmarkStart w:id="11164" w:name="_Toc422029046"/>
      <w:bookmarkStart w:id="11165" w:name="_Toc422029958"/>
      <w:bookmarkStart w:id="11166" w:name="_Toc422150921"/>
      <w:bookmarkStart w:id="11167" w:name="_Toc423443475"/>
      <w:bookmarkStart w:id="11168" w:name="_Toc441422653"/>
      <w:bookmarkStart w:id="11169" w:name="_Toc365571526"/>
      <w:bookmarkStart w:id="11170" w:name="_Toc365625026"/>
      <w:bookmarkStart w:id="11171" w:name="_Toc365900037"/>
      <w:bookmarkStart w:id="11172" w:name="_Toc365982846"/>
      <w:bookmarkStart w:id="11173" w:name="_Toc367446179"/>
      <w:bookmarkStart w:id="11174" w:name="_Toc368048385"/>
      <w:bookmarkStart w:id="11175" w:name="_Toc368583956"/>
      <w:bookmarkStart w:id="11176" w:name="_Toc368653051"/>
      <w:bookmarkStart w:id="11177" w:name="_Toc368932490"/>
      <w:bookmarkStart w:id="11178" w:name="_Toc374345963"/>
      <w:bookmarkStart w:id="11179" w:name="_Toc374346309"/>
      <w:bookmarkStart w:id="11180" w:name="_Toc374346654"/>
      <w:bookmarkStart w:id="11181" w:name="_Toc374347000"/>
      <w:bookmarkStart w:id="11182" w:name="_Toc374347455"/>
      <w:bookmarkStart w:id="11183" w:name="_Toc374347684"/>
      <w:bookmarkStart w:id="11184" w:name="_Toc374347913"/>
      <w:bookmarkStart w:id="11185" w:name="_Toc374348656"/>
      <w:bookmarkStart w:id="11186" w:name="_Toc375055057"/>
      <w:bookmarkStart w:id="11187" w:name="_Toc375158140"/>
      <w:bookmarkStart w:id="11188" w:name="_Toc375158482"/>
      <w:bookmarkStart w:id="11189" w:name="_Toc378865638"/>
      <w:bookmarkStart w:id="11190" w:name="_Toc396149368"/>
      <w:bookmarkStart w:id="11191" w:name="_Toc396149936"/>
      <w:bookmarkStart w:id="11192" w:name="_Toc396150377"/>
      <w:bookmarkStart w:id="11193" w:name="_Toc398215066"/>
      <w:bookmarkStart w:id="11194" w:name="_Toc398291756"/>
      <w:bookmarkStart w:id="11195" w:name="_Toc398292099"/>
      <w:bookmarkStart w:id="11196" w:name="_Toc398293208"/>
      <w:bookmarkStart w:id="11197" w:name="_Toc400964338"/>
      <w:bookmarkStart w:id="11198" w:name="_Toc420595059"/>
      <w:bookmarkStart w:id="11199" w:name="_Toc420928613"/>
      <w:bookmarkStart w:id="11200" w:name="_Toc421106934"/>
      <w:bookmarkStart w:id="11201" w:name="_Toc421173200"/>
      <w:bookmarkStart w:id="11202" w:name="_Toc421874507"/>
      <w:bookmarkStart w:id="11203" w:name="_Toc421885796"/>
      <w:bookmarkStart w:id="11204" w:name="_Toc421886175"/>
      <w:bookmarkStart w:id="11205" w:name="_Toc422029047"/>
      <w:bookmarkStart w:id="11206" w:name="_Toc422029959"/>
      <w:bookmarkStart w:id="11207" w:name="_Toc422150922"/>
      <w:bookmarkStart w:id="11208" w:name="_Toc423443476"/>
      <w:bookmarkStart w:id="11209" w:name="_Toc441422654"/>
      <w:bookmarkStart w:id="11210" w:name="_Toc365571527"/>
      <w:bookmarkStart w:id="11211" w:name="_Toc365625027"/>
      <w:bookmarkStart w:id="11212" w:name="_Toc365900038"/>
      <w:bookmarkStart w:id="11213" w:name="_Toc365982847"/>
      <w:bookmarkStart w:id="11214" w:name="_Toc367446180"/>
      <w:bookmarkStart w:id="11215" w:name="_Toc368048386"/>
      <w:bookmarkStart w:id="11216" w:name="_Toc368583957"/>
      <w:bookmarkStart w:id="11217" w:name="_Toc368653052"/>
      <w:bookmarkStart w:id="11218" w:name="_Toc368932491"/>
      <w:bookmarkStart w:id="11219" w:name="_Toc374345964"/>
      <w:bookmarkStart w:id="11220" w:name="_Toc374346310"/>
      <w:bookmarkStart w:id="11221" w:name="_Toc374346655"/>
      <w:bookmarkStart w:id="11222" w:name="_Toc374347001"/>
      <w:bookmarkStart w:id="11223" w:name="_Toc374347456"/>
      <w:bookmarkStart w:id="11224" w:name="_Toc374347685"/>
      <w:bookmarkStart w:id="11225" w:name="_Toc374347914"/>
      <w:bookmarkStart w:id="11226" w:name="_Toc374348657"/>
      <w:bookmarkStart w:id="11227" w:name="_Toc375055058"/>
      <w:bookmarkStart w:id="11228" w:name="_Toc375158141"/>
      <w:bookmarkStart w:id="11229" w:name="_Toc375158483"/>
      <w:bookmarkStart w:id="11230" w:name="_Toc378865639"/>
      <w:bookmarkStart w:id="11231" w:name="_Toc396149369"/>
      <w:bookmarkStart w:id="11232" w:name="_Toc396149937"/>
      <w:bookmarkStart w:id="11233" w:name="_Toc396150378"/>
      <w:bookmarkStart w:id="11234" w:name="_Toc398215067"/>
      <w:bookmarkStart w:id="11235" w:name="_Toc398291757"/>
      <w:bookmarkStart w:id="11236" w:name="_Toc398292100"/>
      <w:bookmarkStart w:id="11237" w:name="_Toc398293209"/>
      <w:bookmarkStart w:id="11238" w:name="_Toc400964339"/>
      <w:bookmarkStart w:id="11239" w:name="_Toc420595060"/>
      <w:bookmarkStart w:id="11240" w:name="_Toc420928614"/>
      <w:bookmarkStart w:id="11241" w:name="_Toc421106935"/>
      <w:bookmarkStart w:id="11242" w:name="_Toc421173201"/>
      <w:bookmarkStart w:id="11243" w:name="_Toc421874508"/>
      <w:bookmarkStart w:id="11244" w:name="_Toc421885797"/>
      <w:bookmarkStart w:id="11245" w:name="_Toc421886176"/>
      <w:bookmarkStart w:id="11246" w:name="_Toc422029048"/>
      <w:bookmarkStart w:id="11247" w:name="_Toc422029960"/>
      <w:bookmarkStart w:id="11248" w:name="_Toc422150923"/>
      <w:bookmarkStart w:id="11249" w:name="_Toc423443477"/>
      <w:bookmarkStart w:id="11250" w:name="_Toc441422655"/>
      <w:bookmarkStart w:id="11251" w:name="_Toc365571528"/>
      <w:bookmarkStart w:id="11252" w:name="_Toc365625028"/>
      <w:bookmarkStart w:id="11253" w:name="_Toc365900039"/>
      <w:bookmarkStart w:id="11254" w:name="_Toc365982848"/>
      <w:bookmarkStart w:id="11255" w:name="_Toc367446181"/>
      <w:bookmarkStart w:id="11256" w:name="_Toc368048387"/>
      <w:bookmarkStart w:id="11257" w:name="_Toc368583958"/>
      <w:bookmarkStart w:id="11258" w:name="_Toc368653053"/>
      <w:bookmarkStart w:id="11259" w:name="_Toc368932492"/>
      <w:bookmarkStart w:id="11260" w:name="_Toc374345965"/>
      <w:bookmarkStart w:id="11261" w:name="_Toc374346311"/>
      <w:bookmarkStart w:id="11262" w:name="_Toc374346656"/>
      <w:bookmarkStart w:id="11263" w:name="_Toc374347002"/>
      <w:bookmarkStart w:id="11264" w:name="_Toc374347457"/>
      <w:bookmarkStart w:id="11265" w:name="_Toc374347686"/>
      <w:bookmarkStart w:id="11266" w:name="_Toc374347915"/>
      <w:bookmarkStart w:id="11267" w:name="_Toc374348658"/>
      <w:bookmarkStart w:id="11268" w:name="_Toc375055059"/>
      <w:bookmarkStart w:id="11269" w:name="_Toc375158142"/>
      <w:bookmarkStart w:id="11270" w:name="_Toc375158484"/>
      <w:bookmarkStart w:id="11271" w:name="_Toc378865640"/>
      <w:bookmarkStart w:id="11272" w:name="_Toc396149370"/>
      <w:bookmarkStart w:id="11273" w:name="_Toc396149938"/>
      <w:bookmarkStart w:id="11274" w:name="_Toc396150379"/>
      <w:bookmarkStart w:id="11275" w:name="_Toc398215068"/>
      <w:bookmarkStart w:id="11276" w:name="_Toc398291758"/>
      <w:bookmarkStart w:id="11277" w:name="_Toc398292101"/>
      <w:bookmarkStart w:id="11278" w:name="_Toc398293210"/>
      <w:bookmarkStart w:id="11279" w:name="_Toc400964340"/>
      <w:bookmarkStart w:id="11280" w:name="_Toc420595061"/>
      <w:bookmarkStart w:id="11281" w:name="_Toc420928615"/>
      <w:bookmarkStart w:id="11282" w:name="_Toc421106936"/>
      <w:bookmarkStart w:id="11283" w:name="_Toc421173202"/>
      <w:bookmarkStart w:id="11284" w:name="_Toc421874509"/>
      <w:bookmarkStart w:id="11285" w:name="_Toc421885798"/>
      <w:bookmarkStart w:id="11286" w:name="_Toc421886177"/>
      <w:bookmarkStart w:id="11287" w:name="_Toc422029049"/>
      <w:bookmarkStart w:id="11288" w:name="_Toc422029961"/>
      <w:bookmarkStart w:id="11289" w:name="_Toc422150924"/>
      <w:bookmarkStart w:id="11290" w:name="_Toc423443478"/>
      <w:bookmarkStart w:id="11291" w:name="_Toc441422656"/>
      <w:bookmarkStart w:id="11292" w:name="_Toc365571529"/>
      <w:bookmarkStart w:id="11293" w:name="_Toc365625029"/>
      <w:bookmarkStart w:id="11294" w:name="_Toc365900040"/>
      <w:bookmarkStart w:id="11295" w:name="_Toc365982849"/>
      <w:bookmarkStart w:id="11296" w:name="_Toc367446182"/>
      <w:bookmarkStart w:id="11297" w:name="_Toc368048388"/>
      <w:bookmarkStart w:id="11298" w:name="_Toc368583959"/>
      <w:bookmarkStart w:id="11299" w:name="_Toc368653054"/>
      <w:bookmarkStart w:id="11300" w:name="_Toc368932493"/>
      <w:bookmarkStart w:id="11301" w:name="_Toc374345966"/>
      <w:bookmarkStart w:id="11302" w:name="_Toc374346312"/>
      <w:bookmarkStart w:id="11303" w:name="_Toc374346657"/>
      <w:bookmarkStart w:id="11304" w:name="_Toc374347003"/>
      <w:bookmarkStart w:id="11305" w:name="_Toc374347458"/>
      <w:bookmarkStart w:id="11306" w:name="_Toc374347687"/>
      <w:bookmarkStart w:id="11307" w:name="_Toc374347916"/>
      <w:bookmarkStart w:id="11308" w:name="_Toc374348659"/>
      <w:bookmarkStart w:id="11309" w:name="_Toc375055060"/>
      <w:bookmarkStart w:id="11310" w:name="_Toc375158143"/>
      <w:bookmarkStart w:id="11311" w:name="_Toc375158485"/>
      <w:bookmarkStart w:id="11312" w:name="_Toc378865641"/>
      <w:bookmarkStart w:id="11313" w:name="_Toc396149371"/>
      <w:bookmarkStart w:id="11314" w:name="_Toc396149939"/>
      <w:bookmarkStart w:id="11315" w:name="_Toc396150380"/>
      <w:bookmarkStart w:id="11316" w:name="_Toc398215069"/>
      <w:bookmarkStart w:id="11317" w:name="_Toc398291759"/>
      <w:bookmarkStart w:id="11318" w:name="_Toc398292102"/>
      <w:bookmarkStart w:id="11319" w:name="_Toc398293211"/>
      <w:bookmarkStart w:id="11320" w:name="_Toc400964341"/>
      <w:bookmarkStart w:id="11321" w:name="_Toc420595062"/>
      <w:bookmarkStart w:id="11322" w:name="_Toc420928616"/>
      <w:bookmarkStart w:id="11323" w:name="_Toc421106937"/>
      <w:bookmarkStart w:id="11324" w:name="_Toc421173203"/>
      <w:bookmarkStart w:id="11325" w:name="_Toc421874510"/>
      <w:bookmarkStart w:id="11326" w:name="_Toc421885799"/>
      <w:bookmarkStart w:id="11327" w:name="_Toc421886178"/>
      <w:bookmarkStart w:id="11328" w:name="_Toc422029050"/>
      <w:bookmarkStart w:id="11329" w:name="_Toc422029962"/>
      <w:bookmarkStart w:id="11330" w:name="_Toc422150925"/>
      <w:bookmarkStart w:id="11331" w:name="_Toc423443479"/>
      <w:bookmarkStart w:id="11332" w:name="_Toc441422657"/>
      <w:bookmarkStart w:id="11333" w:name="_Toc365571530"/>
      <w:bookmarkStart w:id="11334" w:name="_Toc365625030"/>
      <w:bookmarkStart w:id="11335" w:name="_Toc365900041"/>
      <w:bookmarkStart w:id="11336" w:name="_Toc365982850"/>
      <w:bookmarkStart w:id="11337" w:name="_Toc367446183"/>
      <w:bookmarkStart w:id="11338" w:name="_Toc368048389"/>
      <w:bookmarkStart w:id="11339" w:name="_Toc368583960"/>
      <w:bookmarkStart w:id="11340" w:name="_Toc368653055"/>
      <w:bookmarkStart w:id="11341" w:name="_Toc368932494"/>
      <w:bookmarkStart w:id="11342" w:name="_Toc374345967"/>
      <w:bookmarkStart w:id="11343" w:name="_Toc374346313"/>
      <w:bookmarkStart w:id="11344" w:name="_Toc374346658"/>
      <w:bookmarkStart w:id="11345" w:name="_Toc374347004"/>
      <w:bookmarkStart w:id="11346" w:name="_Toc374347459"/>
      <w:bookmarkStart w:id="11347" w:name="_Toc374347688"/>
      <w:bookmarkStart w:id="11348" w:name="_Toc374347917"/>
      <w:bookmarkStart w:id="11349" w:name="_Toc374348660"/>
      <w:bookmarkStart w:id="11350" w:name="_Toc375055061"/>
      <w:bookmarkStart w:id="11351" w:name="_Toc375158144"/>
      <w:bookmarkStart w:id="11352" w:name="_Toc375158486"/>
      <w:bookmarkStart w:id="11353" w:name="_Toc378865642"/>
      <w:bookmarkStart w:id="11354" w:name="_Toc396149372"/>
      <w:bookmarkStart w:id="11355" w:name="_Toc396149940"/>
      <w:bookmarkStart w:id="11356" w:name="_Toc396150381"/>
      <w:bookmarkStart w:id="11357" w:name="_Toc398215070"/>
      <w:bookmarkStart w:id="11358" w:name="_Toc398291760"/>
      <w:bookmarkStart w:id="11359" w:name="_Toc398292103"/>
      <w:bookmarkStart w:id="11360" w:name="_Toc398293212"/>
      <w:bookmarkStart w:id="11361" w:name="_Toc400964342"/>
      <w:bookmarkStart w:id="11362" w:name="_Toc420595063"/>
      <w:bookmarkStart w:id="11363" w:name="_Toc420928617"/>
      <w:bookmarkStart w:id="11364" w:name="_Toc421106938"/>
      <w:bookmarkStart w:id="11365" w:name="_Toc421173204"/>
      <w:bookmarkStart w:id="11366" w:name="_Toc421874511"/>
      <w:bookmarkStart w:id="11367" w:name="_Toc421885800"/>
      <w:bookmarkStart w:id="11368" w:name="_Toc421886179"/>
      <w:bookmarkStart w:id="11369" w:name="_Toc422029051"/>
      <w:bookmarkStart w:id="11370" w:name="_Toc422029963"/>
      <w:bookmarkStart w:id="11371" w:name="_Toc422150926"/>
      <w:bookmarkStart w:id="11372" w:name="_Toc423443480"/>
      <w:bookmarkStart w:id="11373" w:name="_Toc441422658"/>
      <w:bookmarkStart w:id="11374" w:name="_Toc365571531"/>
      <w:bookmarkStart w:id="11375" w:name="_Toc365625031"/>
      <w:bookmarkStart w:id="11376" w:name="_Toc365900042"/>
      <w:bookmarkStart w:id="11377" w:name="_Toc365982851"/>
      <w:bookmarkStart w:id="11378" w:name="_Toc367446184"/>
      <w:bookmarkStart w:id="11379" w:name="_Toc368048390"/>
      <w:bookmarkStart w:id="11380" w:name="_Toc368583961"/>
      <w:bookmarkStart w:id="11381" w:name="_Toc368653056"/>
      <w:bookmarkStart w:id="11382" w:name="_Toc368932495"/>
      <w:bookmarkStart w:id="11383" w:name="_Toc374345968"/>
      <w:bookmarkStart w:id="11384" w:name="_Toc374346314"/>
      <w:bookmarkStart w:id="11385" w:name="_Toc374346659"/>
      <w:bookmarkStart w:id="11386" w:name="_Toc374347005"/>
      <w:bookmarkStart w:id="11387" w:name="_Toc374347460"/>
      <w:bookmarkStart w:id="11388" w:name="_Toc374347689"/>
      <w:bookmarkStart w:id="11389" w:name="_Toc374347918"/>
      <w:bookmarkStart w:id="11390" w:name="_Toc374348661"/>
      <w:bookmarkStart w:id="11391" w:name="_Toc375055062"/>
      <w:bookmarkStart w:id="11392" w:name="_Toc375158145"/>
      <w:bookmarkStart w:id="11393" w:name="_Toc375158487"/>
      <w:bookmarkStart w:id="11394" w:name="_Toc378865643"/>
      <w:bookmarkStart w:id="11395" w:name="_Toc396149373"/>
      <w:bookmarkStart w:id="11396" w:name="_Toc396149941"/>
      <w:bookmarkStart w:id="11397" w:name="_Toc396150382"/>
      <w:bookmarkStart w:id="11398" w:name="_Toc398215071"/>
      <w:bookmarkStart w:id="11399" w:name="_Toc398291761"/>
      <w:bookmarkStart w:id="11400" w:name="_Toc398292104"/>
      <w:bookmarkStart w:id="11401" w:name="_Toc398293213"/>
      <w:bookmarkStart w:id="11402" w:name="_Toc400964343"/>
      <w:bookmarkStart w:id="11403" w:name="_Toc420595064"/>
      <w:bookmarkStart w:id="11404" w:name="_Toc420928618"/>
      <w:bookmarkStart w:id="11405" w:name="_Toc421106939"/>
      <w:bookmarkStart w:id="11406" w:name="_Toc421173205"/>
      <w:bookmarkStart w:id="11407" w:name="_Toc421874512"/>
      <w:bookmarkStart w:id="11408" w:name="_Toc421885801"/>
      <w:bookmarkStart w:id="11409" w:name="_Toc421886180"/>
      <w:bookmarkStart w:id="11410" w:name="_Toc422029052"/>
      <w:bookmarkStart w:id="11411" w:name="_Toc422029964"/>
      <w:bookmarkStart w:id="11412" w:name="_Toc422150927"/>
      <w:bookmarkStart w:id="11413" w:name="_Toc423443481"/>
      <w:bookmarkStart w:id="11414" w:name="_Toc441422659"/>
      <w:bookmarkStart w:id="11415" w:name="_Toc365571532"/>
      <w:bookmarkStart w:id="11416" w:name="_Toc365625032"/>
      <w:bookmarkStart w:id="11417" w:name="_Toc365900043"/>
      <w:bookmarkStart w:id="11418" w:name="_Toc365982852"/>
      <w:bookmarkStart w:id="11419" w:name="_Toc367446185"/>
      <w:bookmarkStart w:id="11420" w:name="_Toc368048391"/>
      <w:bookmarkStart w:id="11421" w:name="_Toc368583962"/>
      <w:bookmarkStart w:id="11422" w:name="_Toc368653057"/>
      <w:bookmarkStart w:id="11423" w:name="_Toc368932496"/>
      <w:bookmarkStart w:id="11424" w:name="_Toc374345969"/>
      <w:bookmarkStart w:id="11425" w:name="_Toc374346315"/>
      <w:bookmarkStart w:id="11426" w:name="_Toc374346660"/>
      <w:bookmarkStart w:id="11427" w:name="_Toc374347006"/>
      <w:bookmarkStart w:id="11428" w:name="_Toc374347461"/>
      <w:bookmarkStart w:id="11429" w:name="_Toc374347690"/>
      <w:bookmarkStart w:id="11430" w:name="_Toc374347919"/>
      <w:bookmarkStart w:id="11431" w:name="_Toc374348662"/>
      <w:bookmarkStart w:id="11432" w:name="_Toc375055063"/>
      <w:bookmarkStart w:id="11433" w:name="_Toc375158146"/>
      <w:bookmarkStart w:id="11434" w:name="_Toc375158488"/>
      <w:bookmarkStart w:id="11435" w:name="_Toc378865644"/>
      <w:bookmarkStart w:id="11436" w:name="_Toc396149374"/>
      <w:bookmarkStart w:id="11437" w:name="_Toc396149942"/>
      <w:bookmarkStart w:id="11438" w:name="_Toc396150383"/>
      <w:bookmarkStart w:id="11439" w:name="_Toc398215072"/>
      <w:bookmarkStart w:id="11440" w:name="_Toc398291762"/>
      <w:bookmarkStart w:id="11441" w:name="_Toc398292105"/>
      <w:bookmarkStart w:id="11442" w:name="_Toc398293214"/>
      <w:bookmarkStart w:id="11443" w:name="_Toc400964344"/>
      <w:bookmarkStart w:id="11444" w:name="_Toc420595065"/>
      <w:bookmarkStart w:id="11445" w:name="_Toc420928619"/>
      <w:bookmarkStart w:id="11446" w:name="_Toc421106940"/>
      <w:bookmarkStart w:id="11447" w:name="_Toc421173206"/>
      <w:bookmarkStart w:id="11448" w:name="_Toc421874513"/>
      <w:bookmarkStart w:id="11449" w:name="_Toc421885802"/>
      <w:bookmarkStart w:id="11450" w:name="_Toc421886181"/>
      <w:bookmarkStart w:id="11451" w:name="_Toc422029053"/>
      <w:bookmarkStart w:id="11452" w:name="_Toc422029965"/>
      <w:bookmarkStart w:id="11453" w:name="_Toc422150928"/>
      <w:bookmarkStart w:id="11454" w:name="_Toc423443482"/>
      <w:bookmarkStart w:id="11455" w:name="_Toc441422660"/>
      <w:bookmarkStart w:id="11456" w:name="_Toc365571533"/>
      <w:bookmarkStart w:id="11457" w:name="_Toc365625033"/>
      <w:bookmarkStart w:id="11458" w:name="_Toc365900044"/>
      <w:bookmarkStart w:id="11459" w:name="_Toc365982853"/>
      <w:bookmarkStart w:id="11460" w:name="_Toc367446186"/>
      <w:bookmarkStart w:id="11461" w:name="_Toc368048392"/>
      <w:bookmarkStart w:id="11462" w:name="_Toc368583963"/>
      <w:bookmarkStart w:id="11463" w:name="_Toc368653058"/>
      <w:bookmarkStart w:id="11464" w:name="_Toc368932497"/>
      <w:bookmarkStart w:id="11465" w:name="_Toc374345970"/>
      <w:bookmarkStart w:id="11466" w:name="_Toc374346316"/>
      <w:bookmarkStart w:id="11467" w:name="_Toc374346661"/>
      <w:bookmarkStart w:id="11468" w:name="_Toc374347007"/>
      <w:bookmarkStart w:id="11469" w:name="_Toc374347462"/>
      <w:bookmarkStart w:id="11470" w:name="_Toc374347691"/>
      <w:bookmarkStart w:id="11471" w:name="_Toc374347920"/>
      <w:bookmarkStart w:id="11472" w:name="_Toc374348663"/>
      <w:bookmarkStart w:id="11473" w:name="_Toc375055064"/>
      <w:bookmarkStart w:id="11474" w:name="_Toc375158147"/>
      <w:bookmarkStart w:id="11475" w:name="_Toc375158489"/>
      <w:bookmarkStart w:id="11476" w:name="_Toc378865645"/>
      <w:bookmarkStart w:id="11477" w:name="_Toc396149375"/>
      <w:bookmarkStart w:id="11478" w:name="_Toc396149943"/>
      <w:bookmarkStart w:id="11479" w:name="_Toc396150384"/>
      <w:bookmarkStart w:id="11480" w:name="_Toc398215073"/>
      <w:bookmarkStart w:id="11481" w:name="_Toc398291763"/>
      <w:bookmarkStart w:id="11482" w:name="_Toc398292106"/>
      <w:bookmarkStart w:id="11483" w:name="_Toc398293215"/>
      <w:bookmarkStart w:id="11484" w:name="_Toc400964345"/>
      <w:bookmarkStart w:id="11485" w:name="_Toc420595066"/>
      <w:bookmarkStart w:id="11486" w:name="_Toc420928620"/>
      <w:bookmarkStart w:id="11487" w:name="_Toc421106941"/>
      <w:bookmarkStart w:id="11488" w:name="_Toc421173207"/>
      <w:bookmarkStart w:id="11489" w:name="_Toc421874514"/>
      <w:bookmarkStart w:id="11490" w:name="_Toc421885803"/>
      <w:bookmarkStart w:id="11491" w:name="_Toc421886182"/>
      <w:bookmarkStart w:id="11492" w:name="_Toc422029054"/>
      <w:bookmarkStart w:id="11493" w:name="_Toc422029966"/>
      <w:bookmarkStart w:id="11494" w:name="_Toc422150929"/>
      <w:bookmarkStart w:id="11495" w:name="_Toc423443483"/>
      <w:bookmarkStart w:id="11496" w:name="_Toc441422661"/>
      <w:bookmarkStart w:id="11497" w:name="_Toc365571534"/>
      <w:bookmarkStart w:id="11498" w:name="_Toc365625034"/>
      <w:bookmarkStart w:id="11499" w:name="_Toc365900045"/>
      <w:bookmarkStart w:id="11500" w:name="_Toc365982854"/>
      <w:bookmarkStart w:id="11501" w:name="_Toc367446187"/>
      <w:bookmarkStart w:id="11502" w:name="_Toc368048393"/>
      <w:bookmarkStart w:id="11503" w:name="_Toc368583964"/>
      <w:bookmarkStart w:id="11504" w:name="_Toc368653059"/>
      <w:bookmarkStart w:id="11505" w:name="_Toc368932498"/>
      <w:bookmarkStart w:id="11506" w:name="_Toc374345971"/>
      <w:bookmarkStart w:id="11507" w:name="_Toc374346317"/>
      <w:bookmarkStart w:id="11508" w:name="_Toc374346662"/>
      <w:bookmarkStart w:id="11509" w:name="_Toc374347008"/>
      <w:bookmarkStart w:id="11510" w:name="_Toc374347463"/>
      <w:bookmarkStart w:id="11511" w:name="_Toc374347692"/>
      <w:bookmarkStart w:id="11512" w:name="_Toc374347921"/>
      <w:bookmarkStart w:id="11513" w:name="_Toc374348664"/>
      <w:bookmarkStart w:id="11514" w:name="_Toc375055065"/>
      <w:bookmarkStart w:id="11515" w:name="_Toc375158148"/>
      <w:bookmarkStart w:id="11516" w:name="_Toc375158490"/>
      <w:bookmarkStart w:id="11517" w:name="_Toc378865646"/>
      <w:bookmarkStart w:id="11518" w:name="_Toc396149376"/>
      <w:bookmarkStart w:id="11519" w:name="_Toc396149944"/>
      <w:bookmarkStart w:id="11520" w:name="_Toc396150385"/>
      <w:bookmarkStart w:id="11521" w:name="_Toc398215074"/>
      <w:bookmarkStart w:id="11522" w:name="_Toc398291764"/>
      <w:bookmarkStart w:id="11523" w:name="_Toc398292107"/>
      <w:bookmarkStart w:id="11524" w:name="_Toc398293216"/>
      <w:bookmarkStart w:id="11525" w:name="_Toc400964346"/>
      <w:bookmarkStart w:id="11526" w:name="_Toc420595067"/>
      <w:bookmarkStart w:id="11527" w:name="_Toc420928621"/>
      <w:bookmarkStart w:id="11528" w:name="_Toc421106942"/>
      <w:bookmarkStart w:id="11529" w:name="_Toc421173208"/>
      <w:bookmarkStart w:id="11530" w:name="_Toc421874515"/>
      <w:bookmarkStart w:id="11531" w:name="_Toc421885804"/>
      <w:bookmarkStart w:id="11532" w:name="_Toc421886183"/>
      <w:bookmarkStart w:id="11533" w:name="_Toc422029055"/>
      <w:bookmarkStart w:id="11534" w:name="_Toc422029967"/>
      <w:bookmarkStart w:id="11535" w:name="_Toc422150930"/>
      <w:bookmarkStart w:id="11536" w:name="_Toc423443484"/>
      <w:bookmarkStart w:id="11537" w:name="_Toc441422662"/>
      <w:bookmarkStart w:id="11538" w:name="_Toc365571537"/>
      <w:bookmarkStart w:id="11539" w:name="_Toc365625037"/>
      <w:bookmarkStart w:id="11540" w:name="_Toc365900048"/>
      <w:bookmarkStart w:id="11541" w:name="_Toc365982857"/>
      <w:bookmarkStart w:id="11542" w:name="_Toc367446190"/>
      <w:bookmarkStart w:id="11543" w:name="_Toc365571538"/>
      <w:bookmarkStart w:id="11544" w:name="_Toc365625038"/>
      <w:bookmarkStart w:id="11545" w:name="_Toc365900049"/>
      <w:bookmarkStart w:id="11546" w:name="_Toc365982858"/>
      <w:bookmarkStart w:id="11547" w:name="_Toc367446191"/>
      <w:bookmarkStart w:id="11548" w:name="_Toc365571539"/>
      <w:bookmarkStart w:id="11549" w:name="_Toc365625039"/>
      <w:bookmarkStart w:id="11550" w:name="_Toc365900050"/>
      <w:bookmarkStart w:id="11551" w:name="_Toc365982859"/>
      <w:bookmarkStart w:id="11552" w:name="_Toc367446192"/>
      <w:bookmarkStart w:id="11553" w:name="_Toc365571540"/>
      <w:bookmarkStart w:id="11554" w:name="_Toc365625040"/>
      <w:bookmarkStart w:id="11555" w:name="_Toc365900051"/>
      <w:bookmarkStart w:id="11556" w:name="_Toc365982860"/>
      <w:bookmarkStart w:id="11557" w:name="_Toc367446193"/>
      <w:bookmarkStart w:id="11558" w:name="_Toc365571541"/>
      <w:bookmarkStart w:id="11559" w:name="_Toc365625041"/>
      <w:bookmarkStart w:id="11560" w:name="_Toc365900052"/>
      <w:bookmarkStart w:id="11561" w:name="_Toc365982861"/>
      <w:bookmarkStart w:id="11562" w:name="_Toc367446194"/>
      <w:bookmarkStart w:id="11563" w:name="_Toc365571542"/>
      <w:bookmarkStart w:id="11564" w:name="_Toc365625042"/>
      <w:bookmarkStart w:id="11565" w:name="_Toc365900053"/>
      <w:bookmarkStart w:id="11566" w:name="_Toc365982862"/>
      <w:bookmarkStart w:id="11567" w:name="_Toc367446195"/>
      <w:bookmarkStart w:id="11568" w:name="_Toc365571543"/>
      <w:bookmarkStart w:id="11569" w:name="_Toc365625043"/>
      <w:bookmarkStart w:id="11570" w:name="_Toc365900054"/>
      <w:bookmarkStart w:id="11571" w:name="_Toc365982863"/>
      <w:bookmarkStart w:id="11572" w:name="_Toc367446196"/>
      <w:bookmarkStart w:id="11573" w:name="_Toc365571544"/>
      <w:bookmarkStart w:id="11574" w:name="_Toc365625044"/>
      <w:bookmarkStart w:id="11575" w:name="_Toc365900055"/>
      <w:bookmarkStart w:id="11576" w:name="_Toc365982864"/>
      <w:bookmarkStart w:id="11577" w:name="_Toc367446197"/>
      <w:bookmarkStart w:id="11578" w:name="_Toc365571545"/>
      <w:bookmarkStart w:id="11579" w:name="_Toc365625045"/>
      <w:bookmarkStart w:id="11580" w:name="_Toc365900056"/>
      <w:bookmarkStart w:id="11581" w:name="_Toc365982865"/>
      <w:bookmarkStart w:id="11582" w:name="_Toc367446198"/>
      <w:bookmarkStart w:id="11583" w:name="_Toc365571546"/>
      <w:bookmarkStart w:id="11584" w:name="_Toc365625046"/>
      <w:bookmarkStart w:id="11585" w:name="_Toc365900057"/>
      <w:bookmarkStart w:id="11586" w:name="_Toc365982866"/>
      <w:bookmarkStart w:id="11587" w:name="_Toc367446199"/>
      <w:bookmarkStart w:id="11588" w:name="_Toc365571547"/>
      <w:bookmarkStart w:id="11589" w:name="_Toc365625047"/>
      <w:bookmarkStart w:id="11590" w:name="_Toc365900058"/>
      <w:bookmarkStart w:id="11591" w:name="_Toc365982867"/>
      <w:bookmarkStart w:id="11592" w:name="_Toc367446200"/>
      <w:bookmarkStart w:id="11593" w:name="_Toc365571548"/>
      <w:bookmarkStart w:id="11594" w:name="_Toc365625048"/>
      <w:bookmarkStart w:id="11595" w:name="_Toc365900059"/>
      <w:bookmarkStart w:id="11596" w:name="_Toc365982868"/>
      <w:bookmarkStart w:id="11597" w:name="_Toc367446201"/>
      <w:bookmarkStart w:id="11598" w:name="_Toc365571549"/>
      <w:bookmarkStart w:id="11599" w:name="_Toc365625049"/>
      <w:bookmarkStart w:id="11600" w:name="_Toc365900060"/>
      <w:bookmarkStart w:id="11601" w:name="_Toc365982869"/>
      <w:bookmarkStart w:id="11602" w:name="_Toc367446202"/>
      <w:bookmarkStart w:id="11603" w:name="_Toc365571550"/>
      <w:bookmarkStart w:id="11604" w:name="_Toc365625050"/>
      <w:bookmarkStart w:id="11605" w:name="_Toc365900061"/>
      <w:bookmarkStart w:id="11606" w:name="_Toc365982870"/>
      <w:bookmarkStart w:id="11607" w:name="_Toc367446203"/>
      <w:bookmarkStart w:id="11608" w:name="_Toc365571551"/>
      <w:bookmarkStart w:id="11609" w:name="_Toc365625051"/>
      <w:bookmarkStart w:id="11610" w:name="_Toc365900062"/>
      <w:bookmarkStart w:id="11611" w:name="_Toc365982871"/>
      <w:bookmarkStart w:id="11612" w:name="_Toc367446204"/>
      <w:bookmarkStart w:id="11613" w:name="_Toc365571552"/>
      <w:bookmarkStart w:id="11614" w:name="_Toc365625052"/>
      <w:bookmarkStart w:id="11615" w:name="_Toc365900063"/>
      <w:bookmarkStart w:id="11616" w:name="_Toc365982872"/>
      <w:bookmarkStart w:id="11617" w:name="_Toc367446205"/>
      <w:bookmarkStart w:id="11618" w:name="_Toc365571553"/>
      <w:bookmarkStart w:id="11619" w:name="_Toc365625053"/>
      <w:bookmarkStart w:id="11620" w:name="_Toc365900064"/>
      <w:bookmarkStart w:id="11621" w:name="_Toc365982873"/>
      <w:bookmarkStart w:id="11622" w:name="_Toc367446206"/>
      <w:bookmarkStart w:id="11623" w:name="_Toc368932499"/>
      <w:bookmarkStart w:id="11624" w:name="_Toc374348665"/>
      <w:bookmarkStart w:id="11625" w:name="_Toc375158491"/>
      <w:bookmarkStart w:id="11626" w:name="_Toc398215075"/>
      <w:bookmarkStart w:id="11627" w:name="_Toc420595068"/>
      <w:bookmarkStart w:id="11628" w:name="_Ref421660513"/>
      <w:bookmarkStart w:id="11629" w:name="_Toc421874516"/>
      <w:bookmarkStart w:id="11630" w:name="_Toc422150931"/>
      <w:bookmarkStart w:id="11631" w:name="_Toc448998361"/>
      <w:bookmarkStart w:id="11632" w:name="_Toc486332978"/>
      <w:bookmarkStart w:id="11633" w:name="_Toc1977483"/>
      <w:bookmarkStart w:id="11634" w:name="_Toc37062642"/>
      <w:bookmarkStart w:id="11635" w:name="_Toc88839695"/>
      <w:bookmarkStart w:id="11636" w:name="_Toc121504103"/>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r>
        <w:rPr>
          <w:b/>
          <w:sz w:val="28"/>
          <w:lang w:eastAsia="en-US"/>
        </w:rPr>
        <w:t>Binding to SOA Environment (Normative)</w:t>
      </w:r>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14:paraId="1BFDA495" w14:textId="77563E80" w:rsidR="00B97365" w:rsidRDefault="00000000">
      <w:pPr>
        <w:spacing w:before="0" w:after="200" w:line="276" w:lineRule="auto"/>
        <w:rPr>
          <w:szCs w:val="22"/>
          <w:lang w:val="en-US" w:eastAsia="en-GB" w:bidi="ar-SA"/>
        </w:rPr>
      </w:pPr>
      <w:r>
        <w:rPr>
          <w:rFonts w:cs="Arial"/>
          <w:szCs w:val="22"/>
          <w:lang w:val="en-US" w:eastAsia="en-GB" w:bidi="ar-SA"/>
        </w:rPr>
        <w:t xml:space="preserve">This section provides the binding of the messages defined in </w:t>
      </w:r>
      <w:r>
        <w:rPr>
          <w:szCs w:val="22"/>
          <w:lang w:val="en-US" w:eastAsia="en-GB" w:bidi="ar-SA"/>
        </w:rPr>
        <w:fldChar w:fldCharType="begin"/>
      </w:r>
      <w:r>
        <w:rPr>
          <w:szCs w:val="22"/>
          <w:lang w:val="en-US" w:eastAsia="en-GB" w:bidi="ar-SA"/>
        </w:rPr>
        <w:instrText xml:space="preserve"> REF _Ref421660437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Annex A</w:t>
      </w:r>
      <w:r>
        <w:rPr>
          <w:szCs w:val="22"/>
          <w:lang w:val="en-US" w:eastAsia="en-GB" w:bidi="ar-SA"/>
        </w:rPr>
        <w:fldChar w:fldCharType="end"/>
      </w:r>
      <w:r>
        <w:rPr>
          <w:szCs w:val="22"/>
          <w:lang w:val="en-US" w:eastAsia="en-GB" w:bidi="ar-SA"/>
        </w:rPr>
        <w:t xml:space="preserve"> into a SOA infrastructure.</w:t>
      </w:r>
    </w:p>
    <w:p w14:paraId="6C9F9622"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Web Services technology, following the OASIS and W3C WS-* standard, is the SOA environment recommended for the deployment of the off-card entities interfaces specified in this document. This technology provides interoperability and loose coupling between the interface provider and the interface consumer, also named respectively as "message receiver" and "message sender", “or “function provider” and “function requester”.</w:t>
      </w:r>
    </w:p>
    <w:p w14:paraId="414F846C"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However this specification does not prevent from using another type of technology if it is suitable for a specific deployment. For sure, it implies that both message sender and message receiver uses the same technology and security around matches the level of expectation expressed in this document.</w:t>
      </w:r>
    </w:p>
    <w:p w14:paraId="2297F6A2"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 xml:space="preserve">Nevertheless, in case Web Services is used, this section is normative and implementation SHALL comply with the requirements provided in this section. </w:t>
      </w:r>
    </w:p>
    <w:p w14:paraId="3ADD5EB2" w14:textId="77777777" w:rsidR="00B97365" w:rsidRDefault="00B97365">
      <w:pPr>
        <w:spacing w:before="0" w:after="200" w:line="276" w:lineRule="auto"/>
        <w:jc w:val="left"/>
        <w:rPr>
          <w:rFonts w:cs="Calibri"/>
          <w:szCs w:val="22"/>
          <w:lang w:eastAsia="en-GB" w:bidi="ar-SA"/>
        </w:rPr>
      </w:pPr>
    </w:p>
    <w:p w14:paraId="5986B532" w14:textId="77777777" w:rsidR="00B97365" w:rsidRDefault="00000000">
      <w:pPr>
        <w:keepNext/>
        <w:keepLines/>
        <w:numPr>
          <w:ilvl w:val="1"/>
          <w:numId w:val="36"/>
        </w:numPr>
        <w:spacing w:before="240" w:after="60" w:line="276" w:lineRule="auto"/>
        <w:jc w:val="left"/>
        <w:outlineLvl w:val="1"/>
        <w:rPr>
          <w:rFonts w:ascii="Arial Bold" w:hAnsi="Arial Bold"/>
          <w:b/>
          <w:bCs/>
          <w:sz w:val="24"/>
          <w:szCs w:val="24"/>
        </w:rPr>
      </w:pPr>
      <w:bookmarkStart w:id="11637" w:name="_Toc448998362"/>
      <w:bookmarkStart w:id="11638" w:name="_Toc422150932"/>
      <w:bookmarkStart w:id="11639" w:name="_Toc421874517"/>
      <w:bookmarkStart w:id="11640" w:name="_Toc420595069"/>
      <w:bookmarkStart w:id="11641" w:name="_Toc398215076"/>
      <w:bookmarkStart w:id="11642" w:name="_Toc375158492"/>
      <w:bookmarkStart w:id="11643" w:name="_Toc374348666"/>
      <w:bookmarkStart w:id="11644" w:name="_Toc368932500"/>
      <w:bookmarkStart w:id="11645" w:name="_Toc486332979"/>
      <w:bookmarkStart w:id="11646" w:name="_Toc1977484"/>
      <w:bookmarkStart w:id="11647" w:name="_Toc37062643"/>
      <w:bookmarkStart w:id="11648" w:name="_Toc88839696"/>
      <w:bookmarkStart w:id="11649" w:name="_Toc121504104"/>
      <w:r>
        <w:rPr>
          <w:rFonts w:ascii="Arial Bold" w:hAnsi="Arial Bold"/>
          <w:b/>
          <w:sz w:val="24"/>
          <w:szCs w:val="24"/>
        </w:rPr>
        <w:t>General Recommendations</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p>
    <w:p w14:paraId="1FE21389"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Systems are now highly multi-threaded. It is consequently possible for a function caller to perform massive parallel processing, and thus to call several Web Services in parallel. However, to avoid implementation and integration issues, this specification mandates that Function requester SHALL NOT perform parallel Web Services calls when they are targeting the same eUICC.</w:t>
      </w:r>
    </w:p>
    <w:p w14:paraId="3F14367A" w14:textId="5C93B5DC" w:rsidR="00B97365" w:rsidRDefault="00000000">
      <w:pPr>
        <w:spacing w:before="0" w:after="200" w:line="276" w:lineRule="auto"/>
        <w:rPr>
          <w:szCs w:val="22"/>
          <w:lang w:val="en-US" w:eastAsia="en-GB" w:bidi="ar-SA"/>
        </w:rPr>
      </w:pPr>
      <w:r>
        <w:rPr>
          <w:rFonts w:cs="Arial"/>
          <w:szCs w:val="22"/>
          <w:lang w:val="en-US" w:eastAsia="en-GB" w:bidi="ar-SA"/>
        </w:rPr>
        <w:t xml:space="preserve">Web Services related to the same eUICC SHALL be serialised by the Function requester. For example to avoid key establishment to happen before ISD-P is created. Procedures described in section </w:t>
      </w:r>
      <w:r>
        <w:fldChar w:fldCharType="begin"/>
      </w:r>
      <w:r>
        <w:instrText xml:space="preserve"> REF _Ref367979292 \r \h  \* MERGEFORMAT </w:instrText>
      </w:r>
      <w:r>
        <w:fldChar w:fldCharType="separate"/>
      </w:r>
      <w:r w:rsidR="001D5AD9">
        <w:t>3</w:t>
      </w:r>
      <w:r>
        <w:fldChar w:fldCharType="end"/>
      </w:r>
      <w:r>
        <w:rPr>
          <w:szCs w:val="22"/>
          <w:lang w:val="en-US" w:eastAsia="en-GB" w:bidi="ar-SA"/>
        </w:rPr>
        <w:t xml:space="preserve"> SHALL be strictly followed regarding the sequence call.</w:t>
      </w:r>
    </w:p>
    <w:p w14:paraId="057AB9A5"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If several Web Service calls are received by the Function provider for the same eUICC, then the Function provider could either:</w:t>
      </w:r>
    </w:p>
    <w:p w14:paraId="5030A1D1" w14:textId="77777777" w:rsidR="00B97365" w:rsidRDefault="00000000">
      <w:pPr>
        <w:numPr>
          <w:ilvl w:val="0"/>
          <w:numId w:val="38"/>
        </w:numPr>
        <w:tabs>
          <w:tab w:val="left" w:pos="680"/>
        </w:tabs>
        <w:spacing w:before="0" w:after="200" w:line="276" w:lineRule="auto"/>
        <w:contextualSpacing/>
        <w:rPr>
          <w:szCs w:val="22"/>
          <w:lang w:eastAsia="en-GB" w:bidi="ar-SA"/>
        </w:rPr>
      </w:pPr>
      <w:r>
        <w:rPr>
          <w:szCs w:val="22"/>
          <w:lang w:eastAsia="en-GB" w:bidi="ar-SA"/>
        </w:rPr>
        <w:t>Return the following exception: 'Function for the same eUICC is already in process'.</w:t>
      </w:r>
    </w:p>
    <w:p w14:paraId="74BCB593" w14:textId="13C78277" w:rsidR="00B97365" w:rsidRDefault="00000000">
      <w:pPr>
        <w:numPr>
          <w:ilvl w:val="0"/>
          <w:numId w:val="38"/>
        </w:numPr>
        <w:tabs>
          <w:tab w:val="left" w:pos="680"/>
        </w:tabs>
        <w:spacing w:before="0" w:after="200" w:line="276" w:lineRule="auto"/>
        <w:contextualSpacing/>
        <w:rPr>
          <w:szCs w:val="22"/>
          <w:lang w:eastAsia="en-GB" w:bidi="ar-SA"/>
        </w:rPr>
      </w:pPr>
      <w:r>
        <w:rPr>
          <w:szCs w:val="22"/>
          <w:lang w:eastAsia="en-GB" w:bidi="ar-SA"/>
        </w:rPr>
        <w:t xml:space="preserve">Or accept the new function execution request, and queue it to be executed after the already accepted function execution requests for this eUICC. This can only be applicable to asynchronous request (see </w:t>
      </w:r>
      <w:r>
        <w:rPr>
          <w:szCs w:val="22"/>
          <w:lang w:eastAsia="en-GB" w:bidi="ar-SA"/>
        </w:rPr>
        <w:fldChar w:fldCharType="begin"/>
      </w:r>
      <w:r>
        <w:rPr>
          <w:szCs w:val="22"/>
          <w:lang w:eastAsia="en-GB" w:bidi="ar-SA"/>
        </w:rPr>
        <w:instrText xml:space="preserve"> REF _Ref421868555 \r \h  \* MERGEFORMAT </w:instrText>
      </w:r>
      <w:r>
        <w:rPr>
          <w:szCs w:val="22"/>
          <w:lang w:eastAsia="en-GB" w:bidi="ar-SA"/>
        </w:rPr>
      </w:r>
      <w:r>
        <w:rPr>
          <w:szCs w:val="22"/>
          <w:lang w:eastAsia="en-GB" w:bidi="ar-SA"/>
        </w:rPr>
        <w:fldChar w:fldCharType="separate"/>
      </w:r>
      <w:r w:rsidR="001D5AD9">
        <w:rPr>
          <w:szCs w:val="22"/>
          <w:lang w:eastAsia="en-GB" w:bidi="ar-SA"/>
        </w:rPr>
        <w:t>B.2.3.3</w:t>
      </w:r>
      <w:r>
        <w:rPr>
          <w:szCs w:val="22"/>
          <w:lang w:eastAsia="en-GB" w:bidi="ar-SA"/>
        </w:rPr>
        <w:fldChar w:fldCharType="end"/>
      </w:r>
      <w:r>
        <w:rPr>
          <w:szCs w:val="22"/>
          <w:lang w:eastAsia="en-GB" w:bidi="ar-SA"/>
        </w:rPr>
        <w:t xml:space="preserve">). </w:t>
      </w:r>
    </w:p>
    <w:p w14:paraId="068EC2C4" w14:textId="77777777" w:rsidR="00B97365" w:rsidRDefault="00B97365">
      <w:pPr>
        <w:spacing w:before="0" w:after="200" w:line="276" w:lineRule="auto"/>
        <w:jc w:val="left"/>
        <w:rPr>
          <w:rFonts w:cs="Calibri"/>
          <w:szCs w:val="22"/>
          <w:lang w:eastAsia="en-GB" w:bidi="ar-SA"/>
        </w:rPr>
      </w:pPr>
    </w:p>
    <w:p w14:paraId="2DD27E25" w14:textId="77777777" w:rsidR="00B97365" w:rsidRDefault="00000000">
      <w:pPr>
        <w:keepNext/>
        <w:keepLines/>
        <w:numPr>
          <w:ilvl w:val="1"/>
          <w:numId w:val="36"/>
        </w:numPr>
        <w:spacing w:before="240" w:after="60" w:line="276" w:lineRule="auto"/>
        <w:jc w:val="left"/>
        <w:outlineLvl w:val="1"/>
        <w:rPr>
          <w:rFonts w:ascii="Arial Bold" w:hAnsi="Arial Bold" w:cs="Calibri"/>
          <w:b/>
          <w:bCs/>
          <w:sz w:val="24"/>
          <w:szCs w:val="24"/>
        </w:rPr>
      </w:pPr>
      <w:bookmarkStart w:id="11650" w:name="_Toc448998363"/>
      <w:bookmarkStart w:id="11651" w:name="_Toc422150933"/>
      <w:bookmarkStart w:id="11652" w:name="_Toc421874518"/>
      <w:bookmarkStart w:id="11653" w:name="_Toc420595070"/>
      <w:bookmarkStart w:id="11654" w:name="_Toc398215077"/>
      <w:bookmarkStart w:id="11655" w:name="_Toc375158493"/>
      <w:bookmarkStart w:id="11656" w:name="_Toc374348667"/>
      <w:bookmarkStart w:id="11657" w:name="_Toc368932501"/>
      <w:bookmarkStart w:id="11658" w:name="_Toc486332980"/>
      <w:bookmarkStart w:id="11659" w:name="_Toc1977485"/>
      <w:bookmarkStart w:id="11660" w:name="_Toc37062644"/>
      <w:bookmarkStart w:id="11661" w:name="_Toc88839697"/>
      <w:bookmarkStart w:id="11662" w:name="_Toc121504105"/>
      <w:r>
        <w:rPr>
          <w:rFonts w:ascii="Arial Bold" w:hAnsi="Arial Bold" w:cs="Calibri"/>
          <w:b/>
          <w:sz w:val="24"/>
          <w:szCs w:val="24"/>
        </w:rPr>
        <w:t xml:space="preserve">SOAP </w:t>
      </w:r>
      <w:r>
        <w:rPr>
          <w:rFonts w:ascii="Arial Bold" w:hAnsi="Arial Bold"/>
          <w:b/>
          <w:sz w:val="24"/>
          <w:szCs w:val="24"/>
        </w:rPr>
        <w:t>Binding</w:t>
      </w:r>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p>
    <w:p w14:paraId="7F3E19F8" w14:textId="4B702C53" w:rsidR="00B97365" w:rsidRDefault="00000000">
      <w:pPr>
        <w:spacing w:before="0" w:after="200" w:line="276" w:lineRule="auto"/>
        <w:rPr>
          <w:szCs w:val="22"/>
          <w:lang w:val="en-US" w:eastAsia="en-GB" w:bidi="ar-SA"/>
        </w:rPr>
      </w:pPr>
      <w:r>
        <w:rPr>
          <w:rFonts w:cs="Arial"/>
          <w:szCs w:val="22"/>
          <w:lang w:val="en-US" w:eastAsia="en-GB" w:bidi="ar-SA"/>
        </w:rPr>
        <w:t xml:space="preserve">This section provides normative rules defining how to map the GSMA Embedded UICC Remote Provisioning messages (called RPS messages in the rest of section) defined in </w:t>
      </w:r>
      <w:r>
        <w:rPr>
          <w:szCs w:val="22"/>
          <w:lang w:val="en-US" w:eastAsia="en-GB" w:bidi="ar-SA"/>
        </w:rPr>
        <w:fldChar w:fldCharType="begin"/>
      </w:r>
      <w:r>
        <w:rPr>
          <w:szCs w:val="22"/>
          <w:lang w:val="en-US" w:eastAsia="en-GB" w:bidi="ar-SA"/>
        </w:rPr>
        <w:instrText xml:space="preserve"> REF _Ref421660437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Annex A</w:t>
      </w:r>
      <w:r>
        <w:rPr>
          <w:szCs w:val="22"/>
          <w:lang w:val="en-US" w:eastAsia="en-GB" w:bidi="ar-SA"/>
        </w:rPr>
        <w:fldChar w:fldCharType="end"/>
      </w:r>
      <w:r>
        <w:rPr>
          <w:szCs w:val="22"/>
          <w:lang w:val="en-US" w:eastAsia="en-GB" w:bidi="ar-SA"/>
        </w:rPr>
        <w:t xml:space="preserve"> to a Web Services implementation, the rules being conditioned by Message Exchange Patterns (MEP), see </w:t>
      </w:r>
      <w:r>
        <w:rPr>
          <w:szCs w:val="22"/>
          <w:lang w:val="en-US" w:eastAsia="en-GB" w:bidi="ar-SA"/>
        </w:rPr>
        <w:fldChar w:fldCharType="begin"/>
      </w:r>
      <w:r>
        <w:rPr>
          <w:szCs w:val="22"/>
          <w:lang w:val="en-US" w:eastAsia="en-GB" w:bidi="ar-SA"/>
        </w:rPr>
        <w:instrText xml:space="preserve"> REF _Ref367979437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B.2.3</w:t>
      </w:r>
      <w:r>
        <w:rPr>
          <w:szCs w:val="22"/>
          <w:lang w:val="en-US" w:eastAsia="en-GB" w:bidi="ar-SA"/>
        </w:rPr>
        <w:fldChar w:fldCharType="end"/>
      </w:r>
      <w:r>
        <w:rPr>
          <w:szCs w:val="22"/>
          <w:lang w:val="en-US" w:eastAsia="en-GB" w:bidi="ar-SA"/>
        </w:rPr>
        <w:t>).</w:t>
      </w:r>
    </w:p>
    <w:p w14:paraId="0C7738B5" w14:textId="77777777" w:rsidR="00B97365" w:rsidRDefault="00B97365">
      <w:pPr>
        <w:spacing w:before="0" w:after="200" w:line="276" w:lineRule="auto"/>
        <w:jc w:val="left"/>
        <w:rPr>
          <w:rFonts w:cs="Arial"/>
          <w:szCs w:val="22"/>
          <w:lang w:val="en-US" w:eastAsia="en-GB" w:bidi="ar-SA"/>
        </w:rPr>
      </w:pPr>
    </w:p>
    <w:p w14:paraId="54C723BC" w14:textId="143CCDA5"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specification mandates usage of SOAP v1.2 as the minimal version and specified in </w:t>
      </w:r>
      <w:r>
        <w:rPr>
          <w:szCs w:val="22"/>
          <w:lang w:val="en-US" w:eastAsia="en-GB" w:bidi="ar-SA"/>
        </w:rPr>
        <w:fldChar w:fldCharType="begin"/>
      </w:r>
      <w:r>
        <w:rPr>
          <w:szCs w:val="22"/>
          <w:lang w:val="en-US" w:eastAsia="en-GB" w:bidi="ar-SA"/>
        </w:rPr>
        <w:instrText xml:space="preserve"> REF _Ref421635154 \r \h </w:instrText>
      </w:r>
      <w:r>
        <w:rPr>
          <w:szCs w:val="22"/>
          <w:lang w:val="en-US" w:eastAsia="en-GB" w:bidi="ar-SA"/>
        </w:rPr>
      </w:r>
      <w:r>
        <w:rPr>
          <w:szCs w:val="22"/>
          <w:lang w:val="en-US" w:eastAsia="en-GB" w:bidi="ar-SA"/>
        </w:rPr>
        <w:fldChar w:fldCharType="separate"/>
      </w:r>
      <w:r w:rsidR="001D5AD9">
        <w:rPr>
          <w:szCs w:val="22"/>
          <w:lang w:val="en-US" w:eastAsia="en-GB" w:bidi="ar-SA"/>
        </w:rPr>
        <w:t>[40]</w:t>
      </w:r>
      <w:r>
        <w:rPr>
          <w:szCs w:val="22"/>
          <w:lang w:val="en-US" w:eastAsia="en-GB" w:bidi="ar-SA"/>
        </w:rPr>
        <w:fldChar w:fldCharType="end"/>
      </w:r>
      <w:r>
        <w:rPr>
          <w:szCs w:val="22"/>
          <w:lang w:val="en-US" w:eastAsia="en-GB" w:bidi="ar-SA"/>
        </w:rPr>
        <w:t>.</w:t>
      </w:r>
    </w:p>
    <w:p w14:paraId="76B2D50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section makes use of the following namespaces:</w:t>
      </w:r>
    </w:p>
    <w:p w14:paraId="45A3B022" w14:textId="4354E1E0"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wsa: the namespace for WS-Addressing message elements as defined in </w:t>
      </w:r>
      <w:r>
        <w:rPr>
          <w:szCs w:val="22"/>
          <w:lang w:eastAsia="en-GB" w:bidi="ar-SA"/>
        </w:rPr>
        <w:fldChar w:fldCharType="begin"/>
      </w:r>
      <w:r>
        <w:rPr>
          <w:szCs w:val="22"/>
          <w:lang w:eastAsia="en-GB" w:bidi="ar-SA"/>
        </w:rPr>
        <w:instrText xml:space="preserve"> REF _Ref421635163 \r \h </w:instrText>
      </w:r>
      <w:r>
        <w:rPr>
          <w:szCs w:val="22"/>
          <w:lang w:eastAsia="en-GB" w:bidi="ar-SA"/>
        </w:rPr>
      </w:r>
      <w:r>
        <w:rPr>
          <w:szCs w:val="22"/>
          <w:lang w:eastAsia="en-GB" w:bidi="ar-SA"/>
        </w:rPr>
        <w:fldChar w:fldCharType="separate"/>
      </w:r>
      <w:r w:rsidR="001D5AD9">
        <w:rPr>
          <w:szCs w:val="22"/>
          <w:lang w:eastAsia="en-GB" w:bidi="ar-SA"/>
        </w:rPr>
        <w:t>[41]</w:t>
      </w:r>
      <w:r>
        <w:rPr>
          <w:szCs w:val="22"/>
          <w:lang w:eastAsia="en-GB" w:bidi="ar-SA"/>
        </w:rPr>
        <w:fldChar w:fldCharType="end"/>
      </w:r>
    </w:p>
    <w:p w14:paraId="33A8D78D" w14:textId="44D7E030"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wsmc: the namespace for WS-MakeConnection elements as defined in </w:t>
      </w:r>
      <w:r>
        <w:rPr>
          <w:szCs w:val="22"/>
          <w:lang w:eastAsia="en-GB" w:bidi="ar-SA"/>
        </w:rPr>
        <w:fldChar w:fldCharType="begin"/>
      </w:r>
      <w:r>
        <w:rPr>
          <w:szCs w:val="22"/>
          <w:lang w:eastAsia="en-GB" w:bidi="ar-SA"/>
        </w:rPr>
        <w:instrText xml:space="preserve"> REF _Ref421635172 \r \h </w:instrText>
      </w:r>
      <w:r>
        <w:rPr>
          <w:szCs w:val="22"/>
          <w:lang w:eastAsia="en-GB" w:bidi="ar-SA"/>
        </w:rPr>
      </w:r>
      <w:r>
        <w:rPr>
          <w:szCs w:val="22"/>
          <w:lang w:eastAsia="en-GB" w:bidi="ar-SA"/>
        </w:rPr>
        <w:fldChar w:fldCharType="separate"/>
      </w:r>
      <w:r w:rsidR="001D5AD9">
        <w:rPr>
          <w:szCs w:val="22"/>
          <w:lang w:eastAsia="en-GB" w:bidi="ar-SA"/>
        </w:rPr>
        <w:t>[43]</w:t>
      </w:r>
      <w:r>
        <w:rPr>
          <w:szCs w:val="22"/>
          <w:lang w:eastAsia="en-GB" w:bidi="ar-SA"/>
        </w:rPr>
        <w:fldChar w:fldCharType="end"/>
      </w:r>
    </w:p>
    <w:p w14:paraId="6F6215D6" w14:textId="77777777" w:rsidR="00B97365" w:rsidRDefault="00B97365">
      <w:pPr>
        <w:spacing w:before="0" w:after="200" w:line="276" w:lineRule="auto"/>
        <w:jc w:val="left"/>
        <w:rPr>
          <w:rFonts w:cs="Calibri"/>
          <w:szCs w:val="22"/>
          <w:lang w:eastAsia="en-GB" w:bidi="ar-SA"/>
        </w:rPr>
      </w:pPr>
    </w:p>
    <w:p w14:paraId="20EC95E0"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1663" w:name="_Toc448998364"/>
      <w:bookmarkStart w:id="11664" w:name="_Toc422150934"/>
      <w:bookmarkStart w:id="11665" w:name="_Toc421874519"/>
      <w:bookmarkStart w:id="11666" w:name="_Toc420595071"/>
      <w:bookmarkStart w:id="11667" w:name="_Toc398215078"/>
      <w:bookmarkStart w:id="11668" w:name="_Toc375158494"/>
      <w:bookmarkStart w:id="11669" w:name="_Toc374348668"/>
      <w:bookmarkStart w:id="11670" w:name="_Toc368932502"/>
      <w:bookmarkStart w:id="11671" w:name="_Toc486332981"/>
      <w:bookmarkStart w:id="11672" w:name="_Toc1977486"/>
      <w:bookmarkStart w:id="11673" w:name="_Toc37062645"/>
      <w:bookmarkStart w:id="11674" w:name="_Toc88839698"/>
      <w:bookmarkStart w:id="11675" w:name="_Toc121504106"/>
      <w:r>
        <w:rPr>
          <w:rFonts w:ascii="Arial Bold" w:hAnsi="Arial Bold"/>
          <w:sz w:val="24"/>
          <w:szCs w:val="24"/>
          <w:lang w:eastAsia="en-US"/>
        </w:rPr>
        <w:t>Message Binding</w:t>
      </w:r>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p>
    <w:p w14:paraId="2F3E71D7" w14:textId="79534F4A" w:rsidR="00B97365" w:rsidRDefault="00000000">
      <w:pPr>
        <w:spacing w:before="0" w:after="200" w:line="276" w:lineRule="auto"/>
        <w:rPr>
          <w:szCs w:val="22"/>
          <w:lang w:val="en-US" w:eastAsia="en-GB" w:bidi="ar-SA"/>
        </w:rPr>
      </w:pPr>
      <w:r>
        <w:rPr>
          <w:rFonts w:cs="Arial"/>
          <w:szCs w:val="22"/>
          <w:lang w:val="en-US" w:eastAsia="en-GB" w:bidi="ar-SA"/>
        </w:rPr>
        <w:t xml:space="preserve">A RPS message consists of a body and a header (see </w:t>
      </w:r>
      <w:r>
        <w:rPr>
          <w:szCs w:val="22"/>
          <w:lang w:val="en-US" w:eastAsia="en-GB" w:bidi="ar-SA"/>
        </w:rPr>
        <w:fldChar w:fldCharType="begin"/>
      </w:r>
      <w:r>
        <w:rPr>
          <w:szCs w:val="22"/>
          <w:lang w:val="en-US" w:eastAsia="en-GB" w:bidi="ar-SA"/>
        </w:rPr>
        <w:instrText xml:space="preserve"> REF _Ref421868868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A.2</w:t>
      </w:r>
      <w:r>
        <w:rPr>
          <w:szCs w:val="22"/>
          <w:lang w:val="en-US" w:eastAsia="en-GB" w:bidi="ar-SA"/>
        </w:rPr>
        <w:fldChar w:fldCharType="end"/>
      </w:r>
      <w:r>
        <w:rPr>
          <w:szCs w:val="22"/>
          <w:lang w:val="en-US" w:eastAsia="en-GB" w:bidi="ar-SA"/>
        </w:rPr>
        <w:t>). This concept maps very well to the concept of SOAP messages that also contains a header and a body.</w:t>
      </w:r>
    </w:p>
    <w:p w14:paraId="09A2192E" w14:textId="3930542C" w:rsidR="00B97365" w:rsidRDefault="00000000">
      <w:pPr>
        <w:spacing w:before="0" w:after="200" w:line="276" w:lineRule="auto"/>
        <w:rPr>
          <w:szCs w:val="22"/>
          <w:lang w:val="en-US" w:eastAsia="en-GB" w:bidi="ar-SA"/>
        </w:rPr>
      </w:pPr>
      <w:r>
        <w:rPr>
          <w:rFonts w:cs="Arial"/>
          <w:szCs w:val="22"/>
          <w:lang w:val="en-US" w:eastAsia="en-GB" w:bidi="ar-SA"/>
        </w:rPr>
        <w:t xml:space="preserve">The binding of the messages defined in </w:t>
      </w:r>
      <w:r>
        <w:rPr>
          <w:szCs w:val="22"/>
          <w:lang w:val="en-US" w:eastAsia="en-GB" w:bidi="ar-SA"/>
        </w:rPr>
        <w:fldChar w:fldCharType="begin"/>
      </w:r>
      <w:r>
        <w:rPr>
          <w:szCs w:val="22"/>
          <w:lang w:val="en-US" w:eastAsia="en-GB" w:bidi="ar-SA"/>
        </w:rPr>
        <w:instrText xml:space="preserve"> REF _Ref421660437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Annex A</w:t>
      </w:r>
      <w:r>
        <w:rPr>
          <w:szCs w:val="22"/>
          <w:lang w:val="en-US" w:eastAsia="en-GB" w:bidi="ar-SA"/>
        </w:rPr>
        <w:fldChar w:fldCharType="end"/>
      </w:r>
      <w:r>
        <w:rPr>
          <w:szCs w:val="22"/>
          <w:lang w:val="en-US" w:eastAsia="en-GB" w:bidi="ar-SA"/>
        </w:rPr>
        <w:t xml:space="preserve"> to SOAP SHALL follow the rules defined in this section.</w:t>
      </w:r>
    </w:p>
    <w:p w14:paraId="2AACA58C" w14:textId="77777777" w:rsidR="00B97365" w:rsidRDefault="00000000">
      <w:pPr>
        <w:numPr>
          <w:ilvl w:val="0"/>
          <w:numId w:val="38"/>
        </w:numPr>
        <w:tabs>
          <w:tab w:val="left" w:pos="680"/>
        </w:tabs>
        <w:spacing w:before="0" w:after="200" w:line="276" w:lineRule="auto"/>
        <w:contextualSpacing/>
        <w:rPr>
          <w:szCs w:val="22"/>
          <w:lang w:eastAsia="en-GB" w:bidi="ar-SA"/>
        </w:rPr>
      </w:pPr>
      <w:r>
        <w:rPr>
          <w:szCs w:val="22"/>
          <w:lang w:eastAsia="en-GB" w:bidi="ar-SA"/>
        </w:rPr>
        <w:t>SOAP Header</w:t>
      </w:r>
    </w:p>
    <w:p w14:paraId="3C57A94D" w14:textId="15CA47E3" w:rsidR="00B97365" w:rsidRDefault="00000000">
      <w:pPr>
        <w:numPr>
          <w:ilvl w:val="1"/>
          <w:numId w:val="38"/>
        </w:numPr>
        <w:tabs>
          <w:tab w:val="left" w:pos="1021"/>
        </w:tabs>
        <w:spacing w:before="0" w:after="200" w:line="276" w:lineRule="auto"/>
        <w:contextualSpacing/>
        <w:rPr>
          <w:szCs w:val="22"/>
          <w:lang w:eastAsia="en-GB" w:bidi="ar-SA"/>
        </w:rPr>
      </w:pPr>
      <w:r>
        <w:rPr>
          <w:szCs w:val="22"/>
          <w:lang w:eastAsia="en-GB" w:bidi="ar-SA"/>
        </w:rPr>
        <w:t xml:space="preserve">The information contained in the RPSHeader of the message SHALL be transferred into the SOAP header. See also </w:t>
      </w:r>
      <w:r>
        <w:rPr>
          <w:szCs w:val="22"/>
          <w:lang w:val="en-US" w:eastAsia="en-GB" w:bidi="ar-SA"/>
        </w:rPr>
        <w:fldChar w:fldCharType="begin"/>
      </w:r>
      <w:r>
        <w:rPr>
          <w:szCs w:val="22"/>
          <w:lang w:val="en-US" w:eastAsia="en-GB" w:bidi="ar-SA"/>
        </w:rPr>
        <w:instrText xml:space="preserve"> REF _Ref84532438 \r \h </w:instrText>
      </w:r>
      <w:r>
        <w:rPr>
          <w:szCs w:val="22"/>
          <w:lang w:val="en-US" w:eastAsia="en-GB" w:bidi="ar-SA"/>
        </w:rPr>
      </w:r>
      <w:r>
        <w:rPr>
          <w:szCs w:val="22"/>
          <w:lang w:val="en-US" w:eastAsia="en-GB" w:bidi="ar-SA"/>
        </w:rPr>
        <w:fldChar w:fldCharType="separate"/>
      </w:r>
      <w:r w:rsidR="001D5AD9">
        <w:rPr>
          <w:szCs w:val="22"/>
          <w:lang w:val="en-US" w:eastAsia="en-GB" w:bidi="ar-SA"/>
        </w:rPr>
        <w:t>B.2.1.1</w:t>
      </w:r>
      <w:r>
        <w:rPr>
          <w:szCs w:val="22"/>
          <w:lang w:val="en-US" w:eastAsia="en-GB" w:bidi="ar-SA"/>
        </w:rPr>
        <w:fldChar w:fldCharType="end"/>
      </w:r>
    </w:p>
    <w:p w14:paraId="0A06C6B8" w14:textId="77777777" w:rsidR="00B97365" w:rsidRDefault="00000000">
      <w:pPr>
        <w:numPr>
          <w:ilvl w:val="0"/>
          <w:numId w:val="38"/>
        </w:numPr>
        <w:tabs>
          <w:tab w:val="left" w:pos="680"/>
        </w:tabs>
        <w:spacing w:before="0" w:after="200" w:line="276" w:lineRule="auto"/>
        <w:contextualSpacing/>
        <w:rPr>
          <w:szCs w:val="22"/>
          <w:lang w:eastAsia="en-GB" w:bidi="ar-SA"/>
        </w:rPr>
      </w:pPr>
      <w:r>
        <w:rPr>
          <w:szCs w:val="22"/>
          <w:lang w:eastAsia="en-GB" w:bidi="ar-SA"/>
        </w:rPr>
        <w:t>SOAP Body</w:t>
      </w:r>
    </w:p>
    <w:p w14:paraId="410228DB" w14:textId="77777777" w:rsidR="00B97365" w:rsidRDefault="00000000">
      <w:pPr>
        <w:numPr>
          <w:ilvl w:val="1"/>
          <w:numId w:val="38"/>
        </w:numPr>
        <w:tabs>
          <w:tab w:val="left" w:pos="1021"/>
        </w:tabs>
        <w:spacing w:before="0" w:after="200" w:line="276" w:lineRule="auto"/>
        <w:contextualSpacing/>
        <w:rPr>
          <w:szCs w:val="22"/>
          <w:lang w:eastAsia="en-GB" w:bidi="ar-SA"/>
        </w:rPr>
      </w:pPr>
      <w:r>
        <w:rPr>
          <w:szCs w:val="22"/>
          <w:lang w:eastAsia="en-GB" w:bidi="ar-SA"/>
        </w:rPr>
        <w:t>Only the element contained in the RPSBody structure SHALL be sent into the SOAP Body. It means that:</w:t>
      </w:r>
    </w:p>
    <w:p w14:paraId="0AE63340" w14:textId="77777777" w:rsidR="00B97365" w:rsidRDefault="00000000">
      <w:pPr>
        <w:tabs>
          <w:tab w:val="left" w:pos="1361"/>
        </w:tabs>
        <w:spacing w:before="0" w:after="200" w:line="276" w:lineRule="auto"/>
        <w:ind w:left="1360" w:hanging="340"/>
        <w:contextualSpacing/>
        <w:rPr>
          <w:rFonts w:cs="Arial"/>
          <w:szCs w:val="22"/>
          <w:lang w:eastAsia="en-GB" w:bidi="ar-SA"/>
        </w:rPr>
      </w:pPr>
      <w:r>
        <w:rPr>
          <w:rFonts w:cs="Arial"/>
          <w:szCs w:val="22"/>
          <w:lang w:eastAsia="en-GB" w:bidi="ar-SA"/>
        </w:rPr>
        <w:t>The RPSMessage envelope SHALL NOT be sent.</w:t>
      </w:r>
    </w:p>
    <w:p w14:paraId="3C48E1FC" w14:textId="77777777" w:rsidR="00B97365" w:rsidRDefault="00000000">
      <w:pPr>
        <w:tabs>
          <w:tab w:val="left" w:pos="1361"/>
        </w:tabs>
        <w:spacing w:before="0" w:after="200" w:line="276" w:lineRule="auto"/>
        <w:ind w:left="1360" w:hanging="340"/>
        <w:contextualSpacing/>
        <w:rPr>
          <w:rFonts w:cs="Arial"/>
          <w:szCs w:val="22"/>
          <w:lang w:eastAsia="en-GB" w:bidi="ar-SA"/>
        </w:rPr>
      </w:pPr>
      <w:r>
        <w:rPr>
          <w:rFonts w:cs="Arial"/>
          <w:szCs w:val="22"/>
          <w:lang w:eastAsia="en-GB" w:bidi="ar-SA"/>
        </w:rPr>
        <w:t>The full RPSHeader structure SHALL NOT be sent.</w:t>
      </w:r>
    </w:p>
    <w:p w14:paraId="5312622D" w14:textId="77777777" w:rsidR="00B97365" w:rsidRDefault="00000000">
      <w:pPr>
        <w:tabs>
          <w:tab w:val="left" w:pos="1361"/>
        </w:tabs>
        <w:spacing w:before="0" w:after="200" w:line="276" w:lineRule="auto"/>
        <w:ind w:left="1360" w:hanging="340"/>
        <w:contextualSpacing/>
        <w:rPr>
          <w:rFonts w:cs="Arial"/>
          <w:szCs w:val="22"/>
          <w:lang w:eastAsia="en-GB" w:bidi="ar-SA"/>
        </w:rPr>
      </w:pPr>
      <w:r>
        <w:rPr>
          <w:rFonts w:cs="Arial"/>
          <w:szCs w:val="22"/>
          <w:lang w:eastAsia="en-GB" w:bidi="ar-SA"/>
        </w:rPr>
        <w:t>The RPSBody envelope SHALL NOT be sent</w:t>
      </w:r>
    </w:p>
    <w:p w14:paraId="034D4C31" w14:textId="77777777" w:rsidR="00B97365" w:rsidRDefault="00000000">
      <w:pPr>
        <w:numPr>
          <w:ilvl w:val="1"/>
          <w:numId w:val="38"/>
        </w:numPr>
        <w:tabs>
          <w:tab w:val="left" w:pos="1021"/>
        </w:tabs>
        <w:spacing w:before="0" w:after="200" w:line="276" w:lineRule="auto"/>
        <w:contextualSpacing/>
        <w:rPr>
          <w:szCs w:val="22"/>
          <w:lang w:eastAsia="en-GB" w:bidi="ar-SA"/>
        </w:rPr>
      </w:pPr>
      <w:r>
        <w:rPr>
          <w:szCs w:val="22"/>
          <w:lang w:eastAsia="en-GB" w:bidi="ar-SA"/>
        </w:rPr>
        <w:t>The SOAP body SHALL contain the rps3:MessageVersion attribute filled with the value of the &lt;rps3:RPSMessage&gt;/&lt;rps3:MessageVersion&gt; attribute.</w:t>
      </w:r>
    </w:p>
    <w:p w14:paraId="4770A03C" w14:textId="77777777" w:rsidR="00B97365" w:rsidRDefault="00000000">
      <w:pPr>
        <w:numPr>
          <w:ilvl w:val="1"/>
          <w:numId w:val="38"/>
        </w:numPr>
        <w:spacing w:before="0" w:after="200" w:line="276" w:lineRule="auto"/>
        <w:contextualSpacing/>
        <w:rPr>
          <w:szCs w:val="22"/>
          <w:lang w:eastAsia="en-GB" w:bidi="ar-SA"/>
        </w:rPr>
      </w:pPr>
      <w:r>
        <w:rPr>
          <w:szCs w:val="22"/>
          <w:lang w:eastAsia="en-GB" w:bidi="ar-SA"/>
        </w:rPr>
        <w:t>The SOAP body SHALL use pre-defined namespaces prefixes for XML nodes which are used as signature material. Namespace to prefix mapping:</w:t>
      </w:r>
    </w:p>
    <w:p w14:paraId="46BFECA0"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rFonts w:ascii="Courier New" w:hAnsi="Courier New"/>
          <w:noProof/>
          <w:szCs w:val="22"/>
          <w:lang w:eastAsia="en-GB" w:bidi="ar-SA"/>
        </w:rPr>
        <w:t>‘http://namespaces.gsma.org/esim-messaging/3’</w:t>
      </w:r>
      <w:r>
        <w:rPr>
          <w:szCs w:val="22"/>
          <w:lang w:eastAsia="en-GB" w:bidi="ar-SA"/>
        </w:rPr>
        <w:t xml:space="preserve"> SHALL be mapped to </w:t>
      </w:r>
      <w:r>
        <w:rPr>
          <w:rFonts w:ascii="Courier New" w:hAnsi="Courier New"/>
          <w:noProof/>
          <w:szCs w:val="22"/>
          <w:lang w:eastAsia="en-GB" w:bidi="ar-SA"/>
        </w:rPr>
        <w:t>‘rps3’</w:t>
      </w:r>
      <w:r>
        <w:rPr>
          <w:szCs w:val="22"/>
          <w:lang w:eastAsia="en-GB" w:bidi="ar-SA"/>
        </w:rPr>
        <w:t>.</w:t>
      </w:r>
    </w:p>
    <w:p w14:paraId="4BE583E6" w14:textId="77777777" w:rsidR="00B97365" w:rsidRDefault="00000000">
      <w:pPr>
        <w:numPr>
          <w:ilvl w:val="2"/>
          <w:numId w:val="11"/>
        </w:numPr>
        <w:tabs>
          <w:tab w:val="left" w:pos="1361"/>
        </w:tabs>
        <w:spacing w:before="0" w:after="200" w:line="276" w:lineRule="auto"/>
        <w:contextualSpacing/>
        <w:jc w:val="left"/>
        <w:rPr>
          <w:szCs w:val="22"/>
          <w:lang w:eastAsia="en-GB" w:bidi="ar-SA"/>
        </w:rPr>
      </w:pPr>
      <w:r>
        <w:rPr>
          <w:szCs w:val="22"/>
          <w:lang w:eastAsia="en-GB" w:bidi="ar-SA"/>
        </w:rPr>
        <w:tab/>
      </w:r>
      <w:r>
        <w:rPr>
          <w:rFonts w:ascii="Courier New" w:hAnsi="Courier New"/>
          <w:noProof/>
          <w:szCs w:val="22"/>
          <w:lang w:eastAsia="en-GB" w:bidi="ar-SA"/>
        </w:rPr>
        <w:t>‘http://www.w3.org/2000/09/xmldsig#’</w:t>
      </w:r>
      <w:r>
        <w:rPr>
          <w:szCs w:val="22"/>
          <w:lang w:eastAsia="en-GB" w:bidi="ar-SA"/>
        </w:rPr>
        <w:t xml:space="preserve"> SHALL be mapped to </w:t>
      </w:r>
      <w:r>
        <w:rPr>
          <w:rFonts w:ascii="Courier New" w:hAnsi="Courier New"/>
          <w:noProof/>
          <w:szCs w:val="22"/>
          <w:lang w:eastAsia="en-GB" w:bidi="ar-SA"/>
        </w:rPr>
        <w:t>‘ds’</w:t>
      </w:r>
      <w:r>
        <w:rPr>
          <w:szCs w:val="22"/>
          <w:lang w:eastAsia="en-GB" w:bidi="ar-SA"/>
        </w:rPr>
        <w:t>.</w:t>
      </w:r>
    </w:p>
    <w:p w14:paraId="3F01FD39" w14:textId="77777777" w:rsidR="00B97365" w:rsidRDefault="00B97365">
      <w:pPr>
        <w:tabs>
          <w:tab w:val="left" w:pos="1560"/>
        </w:tabs>
        <w:spacing w:before="0" w:after="200" w:line="276" w:lineRule="auto"/>
        <w:ind w:left="1202" w:hanging="1202"/>
        <w:jc w:val="left"/>
        <w:rPr>
          <w:szCs w:val="22"/>
          <w:lang w:val="en-US" w:eastAsia="en-GB" w:bidi="ar-SA"/>
        </w:rPr>
      </w:pPr>
    </w:p>
    <w:p w14:paraId="4A5C5869"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the location of namespace declaration in XML affects the signature computation. The canonicalization method specified in A.3.5.3 ensures the consistent location of the namespace declaration before computation or verification of the signature.</w:t>
      </w:r>
    </w:p>
    <w:p w14:paraId="53B892C7"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 xml:space="preserve">As a consequence one RPS message corresponds to one SOAP message, and it is impossible to send several RPS messages in a single SOAP message. </w:t>
      </w:r>
    </w:p>
    <w:p w14:paraId="6AE3C5F1"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 xml:space="preserve">Note that all information of the RPS message is bound to the SOAP message, so no information is lost during the binding. </w:t>
      </w:r>
    </w:p>
    <w:p w14:paraId="3F2D8CBC" w14:textId="77777777" w:rsidR="00B97365" w:rsidRDefault="00000000">
      <w:pPr>
        <w:spacing w:before="0" w:after="200" w:line="276" w:lineRule="auto"/>
        <w:jc w:val="center"/>
        <w:rPr>
          <w:rFonts w:cs="Calibri"/>
          <w:szCs w:val="22"/>
          <w:lang w:eastAsia="en-GB" w:bidi="ar-SA"/>
        </w:rPr>
      </w:pPr>
      <w:r>
        <w:rPr>
          <w:rFonts w:cs="Calibri"/>
          <w:szCs w:val="22"/>
          <w:lang w:eastAsia="en-GB" w:bidi="ar-SA"/>
        </w:rPr>
        <w:object w:dxaOrig="8316" w:dyaOrig="3900" w14:anchorId="4DEC0E5D">
          <v:shape id="_x0000_i1043" type="#_x0000_t75" style="width:421.1pt;height:191.75pt" o:ole="">
            <v:imagedata r:id="rId111" o:title=""/>
          </v:shape>
          <o:OLEObject Type="Embed" ProgID="PowerPoint.Slide.12" ShapeID="_x0000_i1043" DrawAspect="Content" ObjectID="_1738512088" r:id="rId112"/>
        </w:object>
      </w:r>
    </w:p>
    <w:p w14:paraId="517CEE93" w14:textId="77777777" w:rsidR="00B97365" w:rsidRDefault="00000000">
      <w:pPr>
        <w:numPr>
          <w:ilvl w:val="0"/>
          <w:numId w:val="82"/>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RPS Message Binding</w:t>
      </w:r>
    </w:p>
    <w:p w14:paraId="40D954EB" w14:textId="77777777" w:rsidR="00B97365" w:rsidRDefault="00000000">
      <w:pPr>
        <w:pStyle w:val="NOTE"/>
      </w:pPr>
      <w:r>
        <w:t>NOTE:</w:t>
      </w:r>
      <w:r>
        <w:tab/>
        <w:t>Characters ’#’ and ’?’ in rps3 message values should not be present.</w:t>
      </w:r>
    </w:p>
    <w:p w14:paraId="6C9B9B34" w14:textId="77777777" w:rsidR="00B97365" w:rsidRDefault="00000000">
      <w:pPr>
        <w:keepNext/>
        <w:keepLines/>
        <w:numPr>
          <w:ilvl w:val="3"/>
          <w:numId w:val="36"/>
        </w:numPr>
        <w:spacing w:before="240" w:after="60" w:line="276" w:lineRule="auto"/>
        <w:jc w:val="left"/>
        <w:outlineLvl w:val="3"/>
        <w:rPr>
          <w:rFonts w:ascii="Arial Bold" w:hAnsi="Arial Bold"/>
          <w:szCs w:val="22"/>
          <w:lang w:val="en-US" w:eastAsia="en-US"/>
        </w:rPr>
      </w:pPr>
      <w:bookmarkStart w:id="11676" w:name="_Toc358825717"/>
      <w:bookmarkStart w:id="11677" w:name="_Ref272784822"/>
      <w:bookmarkStart w:id="11678" w:name="_Toc420595072"/>
      <w:bookmarkStart w:id="11679" w:name="_Toc398215079"/>
      <w:bookmarkStart w:id="11680" w:name="_Toc375158495"/>
      <w:bookmarkStart w:id="11681" w:name="_Toc368932503"/>
      <w:bookmarkStart w:id="11682" w:name="_Toc1977487"/>
      <w:bookmarkStart w:id="11683" w:name="_Toc37062646"/>
      <w:bookmarkStart w:id="11684" w:name="_Ref84532438"/>
      <w:r>
        <w:rPr>
          <w:rFonts w:ascii="Arial Bold" w:hAnsi="Arial Bold"/>
          <w:szCs w:val="22"/>
          <w:lang w:val="en-US" w:eastAsia="en-US"/>
        </w:rPr>
        <w:t xml:space="preserve">RPS Header Binding to WS-Addressing </w:t>
      </w:r>
      <w:bookmarkEnd w:id="11676"/>
      <w:bookmarkEnd w:id="11677"/>
      <w:r>
        <w:rPr>
          <w:rFonts w:ascii="Arial Bold" w:hAnsi="Arial Bold"/>
          <w:szCs w:val="22"/>
          <w:lang w:val="en-US" w:eastAsia="en-US"/>
        </w:rPr>
        <w:t>Elements</w:t>
      </w:r>
      <w:bookmarkEnd w:id="11678"/>
      <w:bookmarkEnd w:id="11679"/>
      <w:bookmarkEnd w:id="11680"/>
      <w:bookmarkEnd w:id="11681"/>
      <w:bookmarkEnd w:id="11682"/>
      <w:bookmarkEnd w:id="11683"/>
      <w:bookmarkEnd w:id="11684"/>
    </w:p>
    <w:p w14:paraId="289DFFF2" w14:textId="497E9184"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section describes the binding of RPS header into WS-Addressing properties. WS-Addressing properties are described in further detail in </w:t>
      </w:r>
      <w:r>
        <w:rPr>
          <w:szCs w:val="22"/>
          <w:lang w:val="en-US" w:eastAsia="en-GB" w:bidi="ar-SA"/>
        </w:rPr>
        <w:fldChar w:fldCharType="begin"/>
      </w:r>
      <w:r>
        <w:rPr>
          <w:szCs w:val="22"/>
          <w:lang w:val="en-US" w:eastAsia="en-GB" w:bidi="ar-SA"/>
        </w:rPr>
        <w:instrText xml:space="preserve"> REF _Ref421635163 \r \h </w:instrText>
      </w:r>
      <w:r>
        <w:rPr>
          <w:szCs w:val="22"/>
          <w:lang w:val="en-US" w:eastAsia="en-GB" w:bidi="ar-SA"/>
        </w:rPr>
      </w:r>
      <w:r>
        <w:rPr>
          <w:szCs w:val="22"/>
          <w:lang w:val="en-US" w:eastAsia="en-GB" w:bidi="ar-SA"/>
        </w:rPr>
        <w:fldChar w:fldCharType="separate"/>
      </w:r>
      <w:r w:rsidR="001D5AD9">
        <w:rPr>
          <w:szCs w:val="22"/>
          <w:lang w:val="en-US" w:eastAsia="en-GB" w:bidi="ar-SA"/>
        </w:rPr>
        <w:t>[41]</w:t>
      </w:r>
      <w:r>
        <w:rPr>
          <w:szCs w:val="22"/>
          <w:lang w:val="en-US" w:eastAsia="en-GB" w:bidi="ar-SA"/>
        </w:rPr>
        <w:fldChar w:fldCharType="end"/>
      </w:r>
      <w:r>
        <w:rPr>
          <w:szCs w:val="22"/>
          <w:lang w:val="en-US" w:eastAsia="en-GB" w:bidi="ar-SA"/>
        </w:rPr>
        <w:t xml:space="preserve"> and </w:t>
      </w:r>
      <w:r>
        <w:rPr>
          <w:szCs w:val="22"/>
          <w:lang w:val="en-US" w:eastAsia="en-GB" w:bidi="ar-SA"/>
        </w:rPr>
        <w:fldChar w:fldCharType="begin"/>
      </w:r>
      <w:r>
        <w:rPr>
          <w:szCs w:val="22"/>
          <w:lang w:val="en-US" w:eastAsia="en-GB" w:bidi="ar-SA"/>
        </w:rPr>
        <w:instrText xml:space="preserve"> REF _Ref421635186 \r \h </w:instrText>
      </w:r>
      <w:r>
        <w:rPr>
          <w:szCs w:val="22"/>
          <w:lang w:val="en-US" w:eastAsia="en-GB" w:bidi="ar-SA"/>
        </w:rPr>
      </w:r>
      <w:r>
        <w:rPr>
          <w:szCs w:val="22"/>
          <w:lang w:val="en-US" w:eastAsia="en-GB" w:bidi="ar-SA"/>
        </w:rPr>
        <w:fldChar w:fldCharType="separate"/>
      </w:r>
      <w:r w:rsidR="001D5AD9">
        <w:rPr>
          <w:szCs w:val="22"/>
          <w:lang w:val="en-US" w:eastAsia="en-GB" w:bidi="ar-SA"/>
        </w:rPr>
        <w:t>[42]</w:t>
      </w:r>
      <w:r>
        <w:rPr>
          <w:szCs w:val="22"/>
          <w:lang w:val="en-US" w:eastAsia="en-GB" w:bidi="ar-SA"/>
        </w:rPr>
        <w:fldChar w:fldCharType="end"/>
      </w:r>
      <w:r>
        <w:rPr>
          <w:szCs w:val="22"/>
          <w:lang w:val="en-US" w:eastAsia="en-GB" w:bidi="ar-SA"/>
        </w:rPr>
        <w:t>. Only the elements that are used throughout this section are detailed here.</w:t>
      </w:r>
    </w:p>
    <w:p w14:paraId="5070A9AD" w14:textId="20E5C41A" w:rsidR="00B97365" w:rsidRDefault="00000000">
      <w:pPr>
        <w:spacing w:before="0" w:after="200" w:line="276" w:lineRule="auto"/>
        <w:jc w:val="left"/>
        <w:rPr>
          <w:szCs w:val="22"/>
          <w:lang w:val="en-US" w:eastAsia="en-GB" w:bidi="ar-SA"/>
        </w:rPr>
      </w:pPr>
      <w:r>
        <w:rPr>
          <w:szCs w:val="22"/>
          <w:lang w:val="en-US" w:eastAsia="en-GB" w:bidi="ar-SA"/>
        </w:rPr>
        <w:t xml:space="preserve">The presence of the characters ’#’ and ’?’ SHOULD be avoided in rps3 fields, in order to avoid ambiguity and interoperability problems. These problems could be caused by the presence of these characters in fields that will be encapsulated in a URI. However, if present, those characters SHOULD be escaped as described in RFC 3986 </w:t>
      </w:r>
      <w:r>
        <w:rPr>
          <w:szCs w:val="22"/>
          <w:lang w:val="en-US" w:eastAsia="en-GB" w:bidi="ar-SA"/>
        </w:rPr>
        <w:fldChar w:fldCharType="begin"/>
      </w:r>
      <w:r>
        <w:rPr>
          <w:szCs w:val="22"/>
          <w:lang w:val="en-US" w:eastAsia="en-GB" w:bidi="ar-SA"/>
        </w:rPr>
        <w:instrText xml:space="preserve"> REF _Ref84532596 \r \h </w:instrText>
      </w:r>
      <w:r>
        <w:rPr>
          <w:szCs w:val="22"/>
          <w:lang w:val="en-US" w:eastAsia="en-GB" w:bidi="ar-SA"/>
        </w:rPr>
      </w:r>
      <w:r>
        <w:rPr>
          <w:szCs w:val="22"/>
          <w:lang w:val="en-US" w:eastAsia="en-GB" w:bidi="ar-SA"/>
        </w:rPr>
        <w:fldChar w:fldCharType="separate"/>
      </w:r>
      <w:r w:rsidR="001D5AD9">
        <w:rPr>
          <w:szCs w:val="22"/>
          <w:lang w:val="en-US" w:eastAsia="en-GB" w:bidi="ar-SA"/>
        </w:rPr>
        <w:t>[74]</w:t>
      </w:r>
      <w:r>
        <w:rPr>
          <w:szCs w:val="22"/>
          <w:lang w:val="en-US" w:eastAsia="en-GB" w:bidi="ar-SA"/>
        </w:rPr>
        <w:fldChar w:fldCharType="end"/>
      </w:r>
      <w:r>
        <w:rPr>
          <w:szCs w:val="22"/>
          <w:lang w:val="en-US" w:eastAsia="en-GB" w:bidi="ar-SA"/>
        </w:rPr>
        <w:t xml:space="preserve"> section 2.1.</w:t>
      </w:r>
    </w:p>
    <w:p w14:paraId="0D2A259F" w14:textId="77777777" w:rsidR="00B97365" w:rsidRDefault="00000000">
      <w:pPr>
        <w:numPr>
          <w:ilvl w:val="0"/>
          <w:numId w:val="38"/>
        </w:numPr>
        <w:tabs>
          <w:tab w:val="left" w:pos="680"/>
        </w:tabs>
        <w:spacing w:before="0" w:after="200" w:line="276" w:lineRule="auto"/>
        <w:contextualSpacing/>
        <w:jc w:val="left"/>
        <w:rPr>
          <w:rFonts w:ascii="Courier New" w:hAnsi="Courier New" w:cs="Courier New"/>
          <w:szCs w:val="22"/>
          <w:lang w:eastAsia="en-GB" w:bidi="ar-SA"/>
        </w:rPr>
      </w:pPr>
      <w:r>
        <w:rPr>
          <w:rFonts w:ascii="Courier New" w:hAnsi="Courier New" w:cs="Courier New"/>
          <w:szCs w:val="22"/>
          <w:lang w:eastAsia="en-GB" w:bidi="ar-SA"/>
        </w:rPr>
        <w:t>/wsa:From</w:t>
      </w:r>
    </w:p>
    <w:p w14:paraId="24F1FB1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element is defined in WS-Addressing core specifications [41] as:</w:t>
      </w:r>
    </w:p>
    <w:p w14:paraId="723A48EA" w14:textId="77777777" w:rsidR="00B97365" w:rsidRDefault="00000000">
      <w:pPr>
        <w:spacing w:before="0" w:after="200" w:line="276" w:lineRule="auto"/>
        <w:jc w:val="left"/>
        <w:rPr>
          <w:i/>
          <w:szCs w:val="22"/>
          <w:lang w:val="en-US" w:eastAsia="en-GB" w:bidi="ar-SA"/>
        </w:rPr>
      </w:pPr>
      <w:r>
        <w:rPr>
          <w:rFonts w:cs="Arial"/>
          <w:i/>
          <w:szCs w:val="22"/>
          <w:lang w:val="en-US" w:eastAsia="en-GB" w:bidi="ar-SA"/>
        </w:rPr>
        <w:t xml:space="preserve">This OPTIONAL element (of type </w:t>
      </w:r>
      <w:r>
        <w:rPr>
          <w:rFonts w:ascii="Courier New" w:hAnsi="Courier New" w:cs="Courier New"/>
          <w:i/>
          <w:szCs w:val="22"/>
          <w:lang w:val="en-US" w:eastAsia="en-GB" w:bidi="ar-SA"/>
        </w:rPr>
        <w:t>wsa:EndpointReferenceType</w:t>
      </w:r>
      <w:r>
        <w:rPr>
          <w:i/>
          <w:szCs w:val="22"/>
          <w:lang w:val="en-US" w:eastAsia="en-GB" w:bidi="ar-SA"/>
        </w:rPr>
        <w:t>) provides the value for the [source endpoint] property.</w:t>
      </w:r>
    </w:p>
    <w:p w14:paraId="410C359D" w14:textId="77777777" w:rsidR="00B97365" w:rsidRDefault="00000000">
      <w:pPr>
        <w:spacing w:before="0" w:after="200" w:line="276" w:lineRule="auto"/>
        <w:jc w:val="left"/>
        <w:rPr>
          <w:szCs w:val="22"/>
          <w:lang w:val="en-US" w:eastAsia="en-GB" w:bidi="ar-SA"/>
        </w:rPr>
      </w:pPr>
      <w:r>
        <w:rPr>
          <w:rFonts w:cs="Arial"/>
          <w:szCs w:val="22"/>
          <w:lang w:val="en-US" w:eastAsia="en-GB" w:bidi="ar-SA"/>
        </w:rPr>
        <w:t xml:space="preserve">In the context of this specification this element is MANDATORY </w:t>
      </w:r>
      <w:r>
        <w:rPr>
          <w:rFonts w:cs="Arial"/>
          <w:lang w:eastAsia="en-GB"/>
        </w:rPr>
        <w:t xml:space="preserve">except in the </w:t>
      </w:r>
      <w:r>
        <w:rPr>
          <w:lang w:eastAsia="en-GB"/>
        </w:rPr>
        <w:t>synchronous response</w:t>
      </w:r>
      <w:r>
        <w:rPr>
          <w:rFonts w:cs="Arial"/>
          <w:lang w:eastAsia="en-GB"/>
        </w:rPr>
        <w:t xml:space="preserve"> </w:t>
      </w:r>
      <w:r>
        <w:rPr>
          <w:szCs w:val="22"/>
          <w:lang w:val="en-US" w:eastAsia="en-GB" w:bidi="ar-SA"/>
        </w:rPr>
        <w:t>and defines the function requester. It SHALL be filled with:</w:t>
      </w:r>
    </w:p>
    <w:p w14:paraId="0C71A493"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The sender URI. This value is not mapped from any value of the RPS Header, but it should be representative of the sender entity.</w:t>
      </w:r>
    </w:p>
    <w:p w14:paraId="7EC35B63"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A mandatory query parameter “EntityId” containing the </w:t>
      </w:r>
      <w:r>
        <w:rPr>
          <w:rFonts w:ascii="Courier New" w:hAnsi="Courier New" w:cs="Courier New"/>
          <w:szCs w:val="22"/>
          <w:lang w:eastAsia="en-GB" w:bidi="ar-SA"/>
        </w:rPr>
        <w:t>&lt;rps3:SenderEntity&gt;/&lt;rps3:EntityId&gt;</w:t>
      </w:r>
      <w:r>
        <w:rPr>
          <w:szCs w:val="22"/>
          <w:lang w:eastAsia="en-GB" w:bidi="ar-SA"/>
        </w:rPr>
        <w:t xml:space="preserve"> value. Identifies the direct function caller.</w:t>
      </w:r>
    </w:p>
    <w:p w14:paraId="2795E9D1"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An optional query parameter “EntityName” containing the </w:t>
      </w:r>
      <w:r>
        <w:rPr>
          <w:rFonts w:ascii="Courier New" w:hAnsi="Courier New" w:cs="Courier New"/>
          <w:szCs w:val="22"/>
          <w:lang w:eastAsia="en-GB" w:bidi="ar-SA"/>
        </w:rPr>
        <w:t>&lt;rps3:SenderEntity&gt;/&lt;rps3:EntityName&gt;</w:t>
      </w:r>
      <w:r>
        <w:rPr>
          <w:szCs w:val="22"/>
          <w:lang w:eastAsia="en-GB" w:bidi="ar-SA"/>
        </w:rPr>
        <w:t xml:space="preserve"> value. Names the direct function caller.</w:t>
      </w:r>
    </w:p>
    <w:p w14:paraId="3D37AC5A"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An optional query parameter “UserName” containing the </w:t>
      </w:r>
      <w:r>
        <w:rPr>
          <w:rFonts w:ascii="Courier New" w:hAnsi="Courier New" w:cs="Courier New"/>
          <w:szCs w:val="22"/>
          <w:lang w:eastAsia="en-GB" w:bidi="ar-SA"/>
        </w:rPr>
        <w:t>&lt;rps3:SenderName&gt;</w:t>
      </w:r>
    </w:p>
    <w:p w14:paraId="1BDBBFBB" w14:textId="77777777" w:rsidR="00B97365" w:rsidRDefault="00000000">
      <w:pPr>
        <w:numPr>
          <w:ilvl w:val="1"/>
          <w:numId w:val="38"/>
        </w:numPr>
        <w:spacing w:before="0" w:after="200" w:line="276" w:lineRule="auto"/>
        <w:contextualSpacing/>
        <w:rPr>
          <w:szCs w:val="22"/>
          <w:lang w:eastAsia="en-GB" w:bidi="ar-SA"/>
        </w:rPr>
      </w:pPr>
      <w:r>
        <w:rPr>
          <w:szCs w:val="22"/>
          <w:lang w:eastAsia="en-GB" w:bidi="ar-SA"/>
        </w:rPr>
        <w:lastRenderedPageBreak/>
        <w:t xml:space="preserve">A mandatory query parameter "MnoId" only for ES3 request messages containing the </w:t>
      </w:r>
      <w:r>
        <w:rPr>
          <w:rFonts w:ascii="Courier New" w:hAnsi="Courier New" w:cs="Courier New"/>
          <w:szCs w:val="22"/>
          <w:lang w:eastAsia="en-GB" w:bidi="ar-SA"/>
        </w:rPr>
        <w:t>&lt;rps3:MnoId&gt;&lt;/rps3:MnoId&gt;</w:t>
      </w:r>
      <w:r>
        <w:rPr>
          <w:szCs w:val="22"/>
          <w:lang w:eastAsia="en-GB" w:bidi="ar-SA"/>
        </w:rPr>
        <w:t xml:space="preserve"> value, to identify the Operator which sent the request to the SM-DP via ES2. </w:t>
      </w:r>
    </w:p>
    <w:p w14:paraId="585723E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Example:</w:t>
      </w:r>
    </w:p>
    <w:p w14:paraId="22092CE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content:</w:t>
      </w:r>
    </w:p>
    <w:p w14:paraId="550BBD61" w14:textId="77777777" w:rsidR="00B97365" w:rsidRDefault="00000000">
      <w:pPr>
        <w:pStyle w:val="ED-CODEBlock"/>
        <w:ind w:left="720"/>
      </w:pPr>
      <w:bookmarkStart w:id="11685" w:name="_Toc420595073"/>
      <w:r>
        <w:t>&lt;rps:SenderEntity&gt;</w:t>
      </w:r>
      <w:bookmarkEnd w:id="11685"/>
    </w:p>
    <w:p w14:paraId="3E6D25EE" w14:textId="77777777" w:rsidR="00B97365" w:rsidRDefault="00000000">
      <w:pPr>
        <w:pStyle w:val="ED-CODEBlock"/>
        <w:ind w:left="720"/>
      </w:pPr>
      <w:r>
        <w:tab/>
        <w:t>&lt;rps:EntityId&gt;1.3.6.1.4.1.11111&lt;/rps:EntityId&gt;</w:t>
      </w:r>
    </w:p>
    <w:p w14:paraId="7C54E051" w14:textId="77777777" w:rsidR="00B97365" w:rsidRDefault="00000000">
      <w:pPr>
        <w:pStyle w:val="ED-CODEBlock"/>
        <w:ind w:left="720"/>
      </w:pPr>
      <w:r>
        <w:tab/>
      </w:r>
      <w:bookmarkStart w:id="11686" w:name="_Toc420595074"/>
      <w:r>
        <w:t>&lt;rps:EntityName&gt;ACompany&lt;/rps:EntityName&gt;</w:t>
      </w:r>
      <w:bookmarkEnd w:id="11686"/>
    </w:p>
    <w:p w14:paraId="5F2E80DB" w14:textId="77777777" w:rsidR="00B97365" w:rsidRDefault="00000000">
      <w:pPr>
        <w:pStyle w:val="ED-CODEBlock"/>
        <w:ind w:left="720"/>
      </w:pPr>
      <w:r>
        <w:t>&lt;/rps:SenderEntity&gt;</w:t>
      </w:r>
    </w:p>
    <w:p w14:paraId="16122E19" w14:textId="77777777" w:rsidR="00B97365" w:rsidRDefault="00000000">
      <w:pPr>
        <w:pStyle w:val="ED-CODEBlock"/>
        <w:ind w:left="720"/>
      </w:pPr>
      <w:bookmarkStart w:id="11687" w:name="_Toc420595075"/>
      <w:r>
        <w:t>&lt;rps:SenderName&gt;aSenderAccountId&lt;/rps:SenderName&gt;</w:t>
      </w:r>
      <w:bookmarkEnd w:id="11687"/>
    </w:p>
    <w:p w14:paraId="527F3512" w14:textId="77777777" w:rsidR="00B97365" w:rsidRDefault="00000000">
      <w:pPr>
        <w:pStyle w:val="ED-CODEBlock"/>
        <w:ind w:left="720"/>
      </w:pPr>
      <w:r>
        <w:t>&lt;rps3:MnoId&gt;1.3.5.6.1&lt;/rps3:MnoId&gt;</w:t>
      </w:r>
    </w:p>
    <w:p w14:paraId="7523D20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Would be mapped into:</w:t>
      </w:r>
    </w:p>
    <w:p w14:paraId="7A3D0BE4" w14:textId="77777777" w:rsidR="00B97365" w:rsidRDefault="00000000">
      <w:pPr>
        <w:pStyle w:val="ED-CODEBlock"/>
        <w:ind w:left="720"/>
      </w:pPr>
      <w:bookmarkStart w:id="11688" w:name="_Toc420595076"/>
      <w:r>
        <w:t>&lt;wsa:From&gt;</w:t>
      </w:r>
      <w:bookmarkEnd w:id="11688"/>
    </w:p>
    <w:p w14:paraId="12FE1042" w14:textId="77777777" w:rsidR="00B97365" w:rsidRDefault="00000000">
      <w:pPr>
        <w:pStyle w:val="ED-CODEBlock"/>
        <w:ind w:left="720"/>
      </w:pPr>
      <w:r>
        <w:tab/>
        <w:t>&lt;wsa:Address&gt;http://ACompany.com/RPS?EntityId=1.3.6.1.4.1.11111?EntityName=ACompany?UserName=aSenderAccountId?MnoId=1.3.5.6.1&lt;/wsa:Address&gt;</w:t>
      </w:r>
    </w:p>
    <w:p w14:paraId="37C27324" w14:textId="77777777" w:rsidR="00B97365" w:rsidRDefault="00000000">
      <w:pPr>
        <w:pStyle w:val="ED-CODEBlock"/>
        <w:ind w:left="720"/>
        <w:rPr>
          <w:rFonts w:cs="Calibri"/>
        </w:rPr>
      </w:pPr>
      <w:r>
        <w:t>&lt;/wsa:From&gt;</w:t>
      </w:r>
    </w:p>
    <w:p w14:paraId="39C80AA3" w14:textId="77777777" w:rsidR="00B97365" w:rsidRDefault="00000000">
      <w:pPr>
        <w:numPr>
          <w:ilvl w:val="0"/>
          <w:numId w:val="38"/>
        </w:numPr>
        <w:tabs>
          <w:tab w:val="left" w:pos="680"/>
        </w:tabs>
        <w:spacing w:before="0" w:after="200" w:line="276" w:lineRule="auto"/>
        <w:contextualSpacing/>
        <w:jc w:val="left"/>
        <w:rPr>
          <w:rFonts w:ascii="Courier New" w:hAnsi="Courier New" w:cs="Courier New"/>
          <w:szCs w:val="22"/>
          <w:lang w:eastAsia="en-GB" w:bidi="ar-SA"/>
        </w:rPr>
      </w:pPr>
      <w:r>
        <w:rPr>
          <w:rFonts w:ascii="Courier New" w:hAnsi="Courier New" w:cs="Courier New"/>
          <w:szCs w:val="22"/>
          <w:lang w:eastAsia="en-GB" w:bidi="ar-SA"/>
        </w:rPr>
        <w:t>/wsa:To</w:t>
      </w:r>
    </w:p>
    <w:p w14:paraId="4A4CF1E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element is defined in WS-Addressing core specifications [41] as:</w:t>
      </w:r>
    </w:p>
    <w:p w14:paraId="04E8C080" w14:textId="77777777" w:rsidR="00B97365" w:rsidRDefault="00000000">
      <w:pPr>
        <w:spacing w:before="0" w:after="200" w:line="276" w:lineRule="auto"/>
        <w:jc w:val="left"/>
        <w:rPr>
          <w:i/>
          <w:szCs w:val="22"/>
          <w:lang w:val="en-US" w:eastAsia="en-GB" w:bidi="ar-SA"/>
        </w:rPr>
      </w:pPr>
      <w:r>
        <w:rPr>
          <w:rFonts w:cs="Arial"/>
          <w:i/>
          <w:szCs w:val="22"/>
          <w:lang w:val="en-US" w:eastAsia="en-GB" w:bidi="ar-SA"/>
        </w:rPr>
        <w:t xml:space="preserve">This REQUIRED element (of type </w:t>
      </w:r>
      <w:r>
        <w:rPr>
          <w:rFonts w:ascii="Courier New" w:hAnsi="Courier New" w:cs="Courier New"/>
          <w:i/>
          <w:szCs w:val="22"/>
          <w:lang w:val="en-US" w:eastAsia="en-GB" w:bidi="ar-SA"/>
        </w:rPr>
        <w:t>xs:anyURI</w:t>
      </w:r>
      <w:r>
        <w:rPr>
          <w:i/>
          <w:szCs w:val="22"/>
          <w:lang w:val="en-US" w:eastAsia="en-GB" w:bidi="ar-SA"/>
        </w:rPr>
        <w:t>) provides the value for the [destination] property.</w:t>
      </w:r>
    </w:p>
    <w:p w14:paraId="702DADF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the context of this specification this element is MANDATORY and defines the function provider. It SHALL be filled with:</w:t>
      </w:r>
    </w:p>
    <w:p w14:paraId="2377B0CD"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The URL of the web service endpoint to which the message is sent. This value is not mapped from any value of the RPS Header, but it should be representative of the receiving entity.</w:t>
      </w:r>
    </w:p>
    <w:p w14:paraId="41C67AD2"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An optional query parameter “EntityId” containing the </w:t>
      </w:r>
      <w:r>
        <w:rPr>
          <w:rFonts w:ascii="Courier New" w:hAnsi="Courier New" w:cs="Courier New"/>
          <w:szCs w:val="22"/>
          <w:lang w:eastAsia="en-GB" w:bidi="ar-SA"/>
        </w:rPr>
        <w:t>&lt;rps3:ReceiverEntity&gt;/&lt;rps3:EntityId&gt;</w:t>
      </w:r>
      <w:r>
        <w:rPr>
          <w:szCs w:val="22"/>
          <w:lang w:eastAsia="en-GB" w:bidi="ar-SA"/>
        </w:rPr>
        <w:t xml:space="preserve"> value</w:t>
      </w:r>
    </w:p>
    <w:p w14:paraId="766295AA"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A mandatory query parameter “MnoId” only for ES3 response and notification messages containing the </w:t>
      </w:r>
      <w:r>
        <w:rPr>
          <w:rFonts w:ascii="Courier New" w:hAnsi="Courier New" w:cs="Courier New"/>
          <w:szCs w:val="22"/>
          <w:lang w:eastAsia="en-GB" w:bidi="ar-SA"/>
        </w:rPr>
        <w:t>&lt;rps3:MnoId&gt;&lt;/rps3:MnoId&gt;</w:t>
      </w:r>
      <w:r>
        <w:rPr>
          <w:szCs w:val="22"/>
          <w:lang w:eastAsia="en-GB" w:bidi="ar-SA"/>
        </w:rPr>
        <w:t xml:space="preserve"> value, to identify the Operator to which the SM-DP SHALL send the response or notification via ES2. The parameter “MnoId” represents:</w:t>
      </w:r>
    </w:p>
    <w:p w14:paraId="3F14909F" w14:textId="77777777" w:rsidR="00B97365" w:rsidRDefault="00000000">
      <w:pPr>
        <w:numPr>
          <w:ilvl w:val="2"/>
          <w:numId w:val="38"/>
        </w:numPr>
        <w:tabs>
          <w:tab w:val="left" w:pos="1021"/>
        </w:tabs>
        <w:spacing w:before="0" w:after="200" w:line="276" w:lineRule="auto"/>
        <w:contextualSpacing/>
        <w:jc w:val="left"/>
        <w:rPr>
          <w:szCs w:val="22"/>
          <w:lang w:eastAsia="en-GB" w:bidi="ar-SA"/>
        </w:rPr>
      </w:pPr>
      <w:r>
        <w:rPr>
          <w:szCs w:val="22"/>
          <w:lang w:eastAsia="en-GB" w:bidi="ar-SA"/>
        </w:rPr>
        <w:t>Either the Operator which is owner of the Profile</w:t>
      </w:r>
    </w:p>
    <w:p w14:paraId="12FCF2F7" w14:textId="77777777" w:rsidR="00B97365" w:rsidRDefault="00000000">
      <w:pPr>
        <w:numPr>
          <w:ilvl w:val="2"/>
          <w:numId w:val="38"/>
        </w:numPr>
        <w:tabs>
          <w:tab w:val="left" w:pos="1021"/>
        </w:tabs>
        <w:spacing w:before="0" w:after="200" w:line="276" w:lineRule="auto"/>
        <w:contextualSpacing/>
        <w:jc w:val="left"/>
        <w:rPr>
          <w:szCs w:val="22"/>
          <w:lang w:eastAsia="en-GB" w:bidi="ar-SA"/>
        </w:rPr>
      </w:pPr>
      <w:r>
        <w:rPr>
          <w:szCs w:val="22"/>
          <w:lang w:eastAsia="en-GB" w:bidi="ar-SA"/>
        </w:rPr>
        <w:t>Or the Operator which is an M2M SP and has a PLMA set to receive this notification</w:t>
      </w:r>
    </w:p>
    <w:p w14:paraId="0D01A0FC" w14:textId="77777777" w:rsidR="00B97365" w:rsidRDefault="00000000">
      <w:pPr>
        <w:spacing w:before="0" w:after="200" w:line="276" w:lineRule="auto"/>
        <w:jc w:val="center"/>
        <w:rPr>
          <w:rFonts w:cs="Arial"/>
          <w:szCs w:val="22"/>
          <w:lang w:val="en-US" w:eastAsia="en-GB" w:bidi="ar-SA"/>
        </w:rPr>
      </w:pPr>
      <w:r>
        <w:rPr>
          <w:noProof/>
          <w:szCs w:val="22"/>
          <w:lang w:eastAsia="en-GB" w:bidi="ar-SA"/>
        </w:rPr>
        <w:lastRenderedPageBreak/>
        <w:drawing>
          <wp:inline distT="0" distB="0" distL="0" distR="0" wp14:anchorId="73EFDC79" wp14:editId="53EA143A">
            <wp:extent cx="5046687" cy="3147028"/>
            <wp:effectExtent l="0" t="0" r="1905" b="0"/>
            <wp:docPr id="462" name="Grafik 2" descr="C:\Users\Holger.Jacobs\Data\GSMA\M2M-SP Micro Group\SGP.02 Update\SGP.02 Section 5\PLMA\New CR\New submission to WI4\neu\B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ger.Jacobs\Data\GSMA\M2M-SP Micro Group\SGP.02 Update\SGP.02 Section 5\PLMA\New CR\New submission to WI4\neu\B2.1.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72150" cy="3162906"/>
                    </a:xfrm>
                    <a:prstGeom prst="rect">
                      <a:avLst/>
                    </a:prstGeom>
                    <a:noFill/>
                    <a:ln>
                      <a:noFill/>
                    </a:ln>
                  </pic:spPr>
                </pic:pic>
              </a:graphicData>
            </a:graphic>
          </wp:inline>
        </w:drawing>
      </w:r>
    </w:p>
    <w:p w14:paraId="1289A051" w14:textId="77777777" w:rsidR="00B97365" w:rsidRDefault="00000000">
      <w:pPr>
        <w:spacing w:after="320" w:line="276" w:lineRule="auto"/>
        <w:jc w:val="center"/>
        <w:rPr>
          <w:rFonts w:cs="Arial"/>
          <w:b/>
          <w:szCs w:val="22"/>
          <w:lang w:val="en-US" w:eastAsia="de-DE" w:bidi="ar-SA"/>
        </w:rPr>
      </w:pPr>
      <w:r>
        <w:rPr>
          <w:rFonts w:cs="Arial"/>
          <w:b/>
          <w:szCs w:val="22"/>
          <w:lang w:val="en-US" w:eastAsia="de-DE" w:bidi="ar-SA"/>
        </w:rPr>
        <w:t>Figure B211-A: MnoId Parameter on ES3 Interface</w:t>
      </w:r>
    </w:p>
    <w:p w14:paraId="44D802D1" w14:textId="77777777" w:rsidR="00B97365" w:rsidRDefault="00000000">
      <w:pPr>
        <w:spacing w:before="0" w:after="200" w:line="276" w:lineRule="auto"/>
        <w:jc w:val="left"/>
        <w:rPr>
          <w:rFonts w:cs="Arial"/>
          <w:lang w:val="en-US" w:eastAsia="en-GB" w:bidi="ar-SA"/>
        </w:rPr>
      </w:pPr>
      <w:r>
        <w:rPr>
          <w:rFonts w:cs="Arial"/>
          <w:lang w:val="en-US" w:eastAsia="en-GB" w:bidi="ar-SA"/>
        </w:rPr>
        <w:t>By mapping the “MnoID”, provided on ES3 interface, into the “EntityId” on the ES2 interface, the SM-DP or any interconnected routing entity can identify the Operator to which the response or notification SHALL be sent.</w:t>
      </w:r>
    </w:p>
    <w:p w14:paraId="2DF0D90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Example:</w:t>
      </w:r>
    </w:p>
    <w:p w14:paraId="0BC2B7D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content:</w:t>
      </w:r>
    </w:p>
    <w:p w14:paraId="4814565A" w14:textId="77777777" w:rsidR="00B97365" w:rsidRDefault="00000000">
      <w:pPr>
        <w:pStyle w:val="ED-CODEBlock"/>
        <w:ind w:left="340"/>
      </w:pPr>
      <w:bookmarkStart w:id="11689" w:name="_Toc420595077"/>
      <w:r>
        <w:t>&lt;rps3:ReceiverEntity&gt;</w:t>
      </w:r>
      <w:bookmarkEnd w:id="11689"/>
    </w:p>
    <w:p w14:paraId="4F4195F5" w14:textId="77777777" w:rsidR="00B97365" w:rsidRDefault="00000000">
      <w:pPr>
        <w:pStyle w:val="ED-CODEBlock"/>
        <w:ind w:left="340"/>
      </w:pPr>
      <w:r>
        <w:tab/>
        <w:t>&lt;rps3:EntityId&gt;1.3.6.1.4.1.22222&lt;/rps3:EntityId&gt;</w:t>
      </w:r>
    </w:p>
    <w:p w14:paraId="2222BAFC" w14:textId="77777777" w:rsidR="00B97365" w:rsidRDefault="00000000">
      <w:pPr>
        <w:pStyle w:val="ED-CODEBlock"/>
        <w:ind w:left="340"/>
      </w:pPr>
      <w:bookmarkStart w:id="11690" w:name="_Toc420595078"/>
      <w:r>
        <w:t>&lt;/rps3:ReceiverEntity&gt;</w:t>
      </w:r>
      <w:bookmarkEnd w:id="11690"/>
    </w:p>
    <w:p w14:paraId="296C2D5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Would be mapped into:</w:t>
      </w:r>
    </w:p>
    <w:p w14:paraId="36151E21" w14:textId="77777777" w:rsidR="00B97365" w:rsidRDefault="00000000">
      <w:pPr>
        <w:pStyle w:val="ED-CODEBlock"/>
        <w:ind w:left="340"/>
      </w:pPr>
      <w:r>
        <w:t>&lt;wsa:To&gt;http://ACompany.com/SMDP/ES2Services?EntityId=1.3.6.1.4.1.22222&lt;/wsa:To&gt;</w:t>
      </w:r>
    </w:p>
    <w:p w14:paraId="6331AD8E" w14:textId="77777777" w:rsidR="00B97365" w:rsidRDefault="00B97365">
      <w:pPr>
        <w:spacing w:before="0" w:after="200" w:line="276" w:lineRule="auto"/>
        <w:jc w:val="left"/>
        <w:rPr>
          <w:rFonts w:cs="Calibri"/>
          <w:sz w:val="20"/>
          <w:lang w:val="en-US" w:eastAsia="en-GB" w:bidi="ar-SA"/>
        </w:rPr>
      </w:pPr>
      <w:bookmarkStart w:id="11691" w:name="_Toc358825718"/>
    </w:p>
    <w:p w14:paraId="03DC0B10" w14:textId="77777777" w:rsidR="00B97365" w:rsidRDefault="00000000">
      <w:pPr>
        <w:numPr>
          <w:ilvl w:val="0"/>
          <w:numId w:val="38"/>
        </w:numPr>
        <w:tabs>
          <w:tab w:val="left" w:pos="680"/>
        </w:tabs>
        <w:spacing w:before="0" w:after="200" w:line="276" w:lineRule="auto"/>
        <w:contextualSpacing/>
        <w:jc w:val="left"/>
        <w:rPr>
          <w:rFonts w:ascii="Courier New" w:hAnsi="Courier New" w:cs="Courier New"/>
          <w:szCs w:val="22"/>
          <w:lang w:eastAsia="en-GB" w:bidi="ar-SA"/>
        </w:rPr>
      </w:pPr>
      <w:r>
        <w:rPr>
          <w:rFonts w:ascii="Courier New" w:hAnsi="Courier New" w:cs="Courier New"/>
          <w:szCs w:val="22"/>
          <w:lang w:eastAsia="en-GB" w:bidi="ar-SA"/>
        </w:rPr>
        <w:t>/wsa:ReplyTo</w:t>
      </w:r>
    </w:p>
    <w:p w14:paraId="2BA11C90" w14:textId="77777777" w:rsidR="00B97365" w:rsidRDefault="00000000">
      <w:pPr>
        <w:spacing w:before="0" w:after="200" w:line="276" w:lineRule="auto"/>
        <w:jc w:val="left"/>
        <w:rPr>
          <w:rFonts w:cs="Arial"/>
          <w:i/>
          <w:szCs w:val="22"/>
          <w:lang w:val="en-US" w:eastAsia="en-GB" w:bidi="ar-SA"/>
        </w:rPr>
      </w:pPr>
      <w:r>
        <w:rPr>
          <w:szCs w:val="22"/>
          <w:lang w:val="en-US" w:eastAsia="en-GB"/>
        </w:rPr>
        <w:t xml:space="preserve">This element is </w:t>
      </w:r>
      <w:r>
        <w:rPr>
          <w:rFonts w:cs="Arial"/>
          <w:szCs w:val="22"/>
          <w:lang w:val="en-US" w:eastAsia="en-GB" w:bidi="ar-SA"/>
        </w:rPr>
        <w:t xml:space="preserve">defined in </w:t>
      </w:r>
      <w:r>
        <w:rPr>
          <w:rFonts w:eastAsia="Calibri"/>
          <w:szCs w:val="22"/>
          <w:lang w:val="en-US" w:eastAsia="en-GB"/>
        </w:rPr>
        <w:t>WS-Addressing core specifications [41] as:</w:t>
      </w:r>
    </w:p>
    <w:p w14:paraId="5ED1792E" w14:textId="77777777" w:rsidR="00B97365" w:rsidRDefault="00000000">
      <w:pPr>
        <w:spacing w:before="0" w:after="200" w:line="276" w:lineRule="auto"/>
        <w:jc w:val="left"/>
        <w:rPr>
          <w:i/>
          <w:szCs w:val="22"/>
          <w:lang w:val="en-US" w:eastAsia="en-GB" w:bidi="ar-SA"/>
        </w:rPr>
      </w:pPr>
      <w:r>
        <w:rPr>
          <w:rFonts w:cs="Arial"/>
          <w:i/>
          <w:szCs w:val="22"/>
          <w:lang w:val="en-US" w:eastAsia="en-GB" w:bidi="ar-SA"/>
        </w:rPr>
        <w:t xml:space="preserve">This OPTIONAL element (of type </w:t>
      </w:r>
      <w:r>
        <w:rPr>
          <w:rFonts w:ascii="Courier New" w:hAnsi="Courier New" w:cs="Courier New"/>
          <w:i/>
          <w:szCs w:val="22"/>
          <w:lang w:val="en-US" w:eastAsia="en-GB" w:bidi="ar-SA"/>
        </w:rPr>
        <w:t>wsa:EndpointReferenceType</w:t>
      </w:r>
      <w:r>
        <w:rPr>
          <w:i/>
          <w:szCs w:val="22"/>
          <w:lang w:val="en-US" w:eastAsia="en-GB" w:bidi="ar-SA"/>
        </w:rPr>
        <w:t>) provides the value for the [reply endpoint] property. If this element is NOT present, then the value of the [address] property of the [reply endpoint] EPR is "http://www.w3.org/2005/08/addressing/anonymous".</w:t>
      </w:r>
    </w:p>
    <w:p w14:paraId="2522D4B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the context of this specification this element is OPTIONAL. This element SHALL be present only when:</w:t>
      </w:r>
    </w:p>
    <w:p w14:paraId="4448609A"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MEP follows Asynchronous Request-Response with callback and </w:t>
      </w:r>
    </w:p>
    <w:p w14:paraId="27AEDD25"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When Message sender wants the response to be sent to a specific endpoint</w:t>
      </w:r>
    </w:p>
    <w:p w14:paraId="7A66AF2D" w14:textId="77777777" w:rsidR="00B97365" w:rsidRDefault="00B97365">
      <w:pPr>
        <w:spacing w:before="0" w:after="200" w:line="276" w:lineRule="auto"/>
        <w:jc w:val="left"/>
        <w:rPr>
          <w:rFonts w:cs="Arial"/>
          <w:szCs w:val="22"/>
          <w:lang w:val="en-US" w:eastAsia="en-GB" w:bidi="ar-SA"/>
        </w:rPr>
      </w:pPr>
    </w:p>
    <w:p w14:paraId="505B504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missing, the response SHALL be sent to (in the preferred order):</w:t>
      </w:r>
    </w:p>
    <w:p w14:paraId="5A23823E"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a well-known endpoint mutually agreed between message sender and message receiver </w:t>
      </w:r>
    </w:p>
    <w:p w14:paraId="1F48652F"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or to the message originating endpoint.</w:t>
      </w:r>
    </w:p>
    <w:p w14:paraId="375E7BB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present, the /wsa:ReplyTo SHALL be filled with:</w:t>
      </w:r>
    </w:p>
    <w:p w14:paraId="3EBBF0F2"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val="en-US" w:eastAsia="en-GB" w:bidi="ar-SA"/>
        </w:rPr>
        <w:t>The value set in &lt;rps3:ResponseEndpoint&gt;</w:t>
      </w:r>
    </w:p>
    <w:p w14:paraId="4B173DDE"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An optional query parameter “EntityId” containing the &lt;rps3:ReceiverEntity&gt;/&lt;rps3:EntityId&gt; value</w:t>
      </w:r>
    </w:p>
    <w:p w14:paraId="55AD5234"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Example:</w:t>
      </w:r>
    </w:p>
    <w:p w14:paraId="7537659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content:</w:t>
      </w:r>
    </w:p>
    <w:p w14:paraId="69411D62" w14:textId="77777777" w:rsidR="00B97365" w:rsidRDefault="00000000">
      <w:pPr>
        <w:pStyle w:val="ED-CODEBlock"/>
        <w:ind w:left="720"/>
      </w:pPr>
      <w:r>
        <w:t>&lt;rps3:ResponseEndpoint&gt;http://ACompany.com/SMDP/ES3Services&lt;/rps3:ResponseEndpoint&gt;</w:t>
      </w:r>
    </w:p>
    <w:p w14:paraId="0211160B" w14:textId="77777777" w:rsidR="00B97365" w:rsidRDefault="00000000">
      <w:pPr>
        <w:pStyle w:val="ED-CODEBlock"/>
        <w:ind w:left="720"/>
      </w:pPr>
      <w:r>
        <w:t>&lt;rps3:ReceiverEntity&gt;</w:t>
      </w:r>
    </w:p>
    <w:p w14:paraId="64874483" w14:textId="77777777" w:rsidR="00B97365" w:rsidRDefault="00000000">
      <w:pPr>
        <w:pStyle w:val="ED-CODEBlock"/>
        <w:ind w:left="720"/>
      </w:pPr>
      <w:r>
        <w:tab/>
        <w:t>&lt;rps3:EntityId&gt;1.3.6.1.4.1.33333&lt;/rps3:EntityId&gt;</w:t>
      </w:r>
    </w:p>
    <w:p w14:paraId="345C4F5A" w14:textId="77777777" w:rsidR="00B97365" w:rsidRDefault="00000000">
      <w:pPr>
        <w:pStyle w:val="ED-CODEBlock"/>
        <w:ind w:left="720"/>
        <w:rPr>
          <w:lang w:val="en-GB"/>
        </w:rPr>
      </w:pPr>
      <w:r>
        <w:t>&lt;/rps3:ReceiverEntity&gt;</w:t>
      </w:r>
    </w:p>
    <w:p w14:paraId="545D008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Would be mapped into:</w:t>
      </w:r>
    </w:p>
    <w:p w14:paraId="0EEAADF7" w14:textId="77777777" w:rsidR="00B97365" w:rsidRDefault="00000000">
      <w:pPr>
        <w:pStyle w:val="ED-CODEBlock"/>
        <w:ind w:left="720"/>
      </w:pPr>
      <w:bookmarkStart w:id="11692" w:name="_Toc420595079"/>
      <w:r>
        <w:t>&lt;wsa:ReplyTo&gt;</w:t>
      </w:r>
      <w:bookmarkEnd w:id="11692"/>
    </w:p>
    <w:p w14:paraId="5C208B8F" w14:textId="77777777" w:rsidR="00B97365" w:rsidRDefault="00000000">
      <w:pPr>
        <w:pStyle w:val="ED-CODEBlock"/>
        <w:ind w:left="720" w:firstLine="720"/>
      </w:pPr>
      <w:r>
        <w:t>&lt;wsa:Address&gt;http://ACompany.com/SMDP/ES3Services?EntityId=1.3.6.1.4.1.33333&lt;/wsa:Address&gt;</w:t>
      </w:r>
    </w:p>
    <w:p w14:paraId="6796DAF1" w14:textId="77777777" w:rsidR="00B97365" w:rsidRDefault="00000000">
      <w:pPr>
        <w:pStyle w:val="ED-CODEBlock"/>
        <w:ind w:left="720"/>
      </w:pPr>
      <w:r>
        <w:t>&lt;/wsa:ReplyTo&gt;</w:t>
      </w:r>
    </w:p>
    <w:p w14:paraId="215A4245" w14:textId="77777777" w:rsidR="00B97365" w:rsidRDefault="00B97365">
      <w:pPr>
        <w:pStyle w:val="ED-CODEBlock"/>
        <w:ind w:left="720"/>
        <w:rPr>
          <w:rFonts w:cs="Calibri"/>
          <w:lang w:eastAsia="en-GB" w:bidi="ar-SA"/>
        </w:rPr>
      </w:pPr>
    </w:p>
    <w:p w14:paraId="1EAD0811" w14:textId="77777777" w:rsidR="00B97365" w:rsidRDefault="00000000">
      <w:pPr>
        <w:numPr>
          <w:ilvl w:val="0"/>
          <w:numId w:val="38"/>
        </w:numPr>
        <w:tabs>
          <w:tab w:val="left" w:pos="680"/>
        </w:tabs>
        <w:spacing w:before="0" w:after="200" w:line="276" w:lineRule="auto"/>
        <w:contextualSpacing/>
        <w:jc w:val="left"/>
        <w:rPr>
          <w:rFonts w:ascii="Courier New" w:hAnsi="Courier New" w:cs="Courier New"/>
          <w:szCs w:val="22"/>
          <w:lang w:eastAsia="en-GB" w:bidi="ar-SA"/>
        </w:rPr>
      </w:pPr>
      <w:r>
        <w:rPr>
          <w:rFonts w:ascii="Courier New" w:hAnsi="Courier New" w:cs="Courier New"/>
          <w:szCs w:val="22"/>
          <w:lang w:eastAsia="en-GB" w:bidi="ar-SA"/>
        </w:rPr>
        <w:t>/wsa:MessageID</w:t>
      </w:r>
    </w:p>
    <w:p w14:paraId="6F1B3416" w14:textId="77777777" w:rsidR="00B97365" w:rsidRDefault="00000000">
      <w:pPr>
        <w:spacing w:before="0" w:after="200" w:line="276" w:lineRule="auto"/>
        <w:jc w:val="left"/>
        <w:rPr>
          <w:rFonts w:eastAsia="Calibri"/>
          <w:szCs w:val="22"/>
          <w:lang w:val="en-US" w:eastAsia="en-GB"/>
        </w:rPr>
      </w:pPr>
      <w:r>
        <w:rPr>
          <w:szCs w:val="22"/>
          <w:lang w:val="en-US" w:eastAsia="en-GB"/>
        </w:rPr>
        <w:t xml:space="preserve">This element is </w:t>
      </w:r>
      <w:r>
        <w:rPr>
          <w:rFonts w:cs="Arial"/>
          <w:szCs w:val="22"/>
          <w:lang w:val="en-US" w:eastAsia="en-GB" w:bidi="ar-SA"/>
        </w:rPr>
        <w:t xml:space="preserve">defined in </w:t>
      </w:r>
      <w:r>
        <w:rPr>
          <w:rFonts w:eastAsia="Calibri"/>
          <w:szCs w:val="22"/>
          <w:lang w:val="en-US" w:eastAsia="en-GB"/>
        </w:rPr>
        <w:t>WS-Addressing core specifications [41] as:</w:t>
      </w:r>
    </w:p>
    <w:p w14:paraId="01AA2DE0" w14:textId="77777777" w:rsidR="00B97365" w:rsidRDefault="00000000">
      <w:pPr>
        <w:spacing w:before="0" w:after="200" w:line="276" w:lineRule="auto"/>
        <w:jc w:val="left"/>
        <w:rPr>
          <w:i/>
          <w:szCs w:val="22"/>
          <w:lang w:val="en-US" w:eastAsia="en-GB" w:bidi="ar-SA"/>
        </w:rPr>
      </w:pPr>
      <w:r>
        <w:rPr>
          <w:rFonts w:cs="Arial"/>
          <w:i/>
          <w:szCs w:val="22"/>
          <w:lang w:val="en-US" w:eastAsia="en-GB" w:bidi="ar-SA"/>
        </w:rPr>
        <w:t xml:space="preserve">This OPTIONAL element (whose content is of type </w:t>
      </w:r>
      <w:r>
        <w:rPr>
          <w:rFonts w:ascii="Courier New" w:hAnsi="Courier New" w:cs="Courier New"/>
          <w:i/>
          <w:szCs w:val="22"/>
          <w:lang w:val="en-US" w:eastAsia="en-GB" w:bidi="ar-SA"/>
        </w:rPr>
        <w:t>xs:anyURI</w:t>
      </w:r>
      <w:r>
        <w:rPr>
          <w:i/>
          <w:szCs w:val="22"/>
          <w:lang w:val="en-US" w:eastAsia="en-GB" w:bidi="ar-SA"/>
        </w:rPr>
        <w:t>) conveys the [message id] property.</w:t>
      </w:r>
    </w:p>
    <w:p w14:paraId="78AEA3D8"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the context of this specification this element is MANDATORY whatever the MEP. This element SHALL be filled with:</w:t>
      </w:r>
    </w:p>
    <w:p w14:paraId="5ED07B85"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The value set in </w:t>
      </w:r>
      <w:r>
        <w:rPr>
          <w:rFonts w:ascii="Courier New" w:hAnsi="Courier New" w:cs="Courier New"/>
          <w:szCs w:val="22"/>
          <w:lang w:eastAsia="en-GB" w:bidi="ar-SA"/>
        </w:rPr>
        <w:t>&lt;rps3:MessageId&gt;</w:t>
      </w:r>
      <w:r>
        <w:rPr>
          <w:szCs w:val="22"/>
          <w:lang w:eastAsia="en-GB" w:bidi="ar-SA"/>
        </w:rPr>
        <w:t>.</w:t>
      </w:r>
    </w:p>
    <w:p w14:paraId="7F1F91D4" w14:textId="77777777" w:rsidR="00B97365" w:rsidRDefault="00000000">
      <w:pPr>
        <w:pStyle w:val="NOTE"/>
      </w:pPr>
      <w:r>
        <w:t>NOTE:</w:t>
      </w:r>
      <w:r>
        <w:tab/>
        <w:t xml:space="preserve">Usage of a fragment in </w:t>
      </w:r>
      <w:r>
        <w:rPr>
          <w:rFonts w:ascii="Courier New" w:hAnsi="Courier New" w:cs="Courier New"/>
        </w:rPr>
        <w:t>&lt;rps3:MessageId&gt;</w:t>
      </w:r>
      <w:r>
        <w:t xml:space="preserve"> should be avoided.</w:t>
      </w:r>
    </w:p>
    <w:p w14:paraId="792A5D29"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An optional query parameter “TransactionID” containing the </w:t>
      </w:r>
      <w:r>
        <w:rPr>
          <w:rFonts w:ascii="Courier New" w:hAnsi="Courier New" w:cs="Courier New"/>
          <w:szCs w:val="22"/>
          <w:lang w:eastAsia="en-GB" w:bidi="ar-SA"/>
        </w:rPr>
        <w:t>&lt;rps3:TransactionId&gt;</w:t>
      </w:r>
      <w:r>
        <w:rPr>
          <w:szCs w:val="22"/>
          <w:lang w:eastAsia="en-GB" w:bidi="ar-SA"/>
        </w:rPr>
        <w:t xml:space="preserve"> value. This query parameter SHALL be present only if </w:t>
      </w:r>
      <w:r>
        <w:rPr>
          <w:rFonts w:ascii="Courier New" w:hAnsi="Courier New" w:cs="Courier New"/>
          <w:szCs w:val="22"/>
          <w:lang w:eastAsia="en-GB" w:bidi="ar-SA"/>
        </w:rPr>
        <w:t>&lt;rps3:TransactionId&gt;</w:t>
      </w:r>
      <w:r>
        <w:rPr>
          <w:szCs w:val="22"/>
          <w:lang w:eastAsia="en-GB" w:bidi="ar-SA"/>
        </w:rPr>
        <w:t xml:space="preserve"> is present.</w:t>
      </w:r>
    </w:p>
    <w:p w14:paraId="6944E481" w14:textId="77777777" w:rsidR="00B97365" w:rsidRDefault="00000000">
      <w:pPr>
        <w:numPr>
          <w:ilvl w:val="1"/>
          <w:numId w:val="38"/>
        </w:numPr>
        <w:tabs>
          <w:tab w:val="left" w:pos="1021"/>
        </w:tabs>
        <w:spacing w:before="0" w:after="200" w:line="276" w:lineRule="auto"/>
        <w:contextualSpacing/>
        <w:jc w:val="left"/>
        <w:rPr>
          <w:lang w:eastAsia="en-GB"/>
        </w:rPr>
      </w:pPr>
      <w:r>
        <w:rPr>
          <w:lang w:eastAsia="en-GB"/>
        </w:rPr>
        <w:t xml:space="preserve">An optional  query parameter “ContextID” containing the </w:t>
      </w:r>
      <w:r>
        <w:rPr>
          <w:rFonts w:ascii="Courier New" w:hAnsi="Courier New" w:cs="Courier New"/>
          <w:lang w:eastAsia="en-GB"/>
        </w:rPr>
        <w:t>&lt;rps3:ContextId&gt;</w:t>
      </w:r>
      <w:r>
        <w:rPr>
          <w:lang w:eastAsia="en-GB"/>
        </w:rPr>
        <w:t xml:space="preserve"> value. If this optional query parameter is present, it SHALL be included in any new request generated by the function provider entity for another functional provider entity.   This identifier MAY be used to provide end-to-end logging management between the different web services.</w:t>
      </w:r>
    </w:p>
    <w:p w14:paraId="12FF1763"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A mandatory query parameter “MessageDate” containing the </w:t>
      </w:r>
      <w:r>
        <w:rPr>
          <w:rFonts w:ascii="Courier New" w:hAnsi="Courier New" w:cs="Courier New"/>
          <w:szCs w:val="22"/>
          <w:lang w:eastAsia="en-GB" w:bidi="ar-SA"/>
        </w:rPr>
        <w:t>&lt;rps3:MessageDate&gt;</w:t>
      </w:r>
      <w:r>
        <w:rPr>
          <w:szCs w:val="22"/>
          <w:lang w:eastAsia="en-GB" w:bidi="ar-SA"/>
        </w:rPr>
        <w:t xml:space="preserve"> value</w:t>
      </w:r>
    </w:p>
    <w:p w14:paraId="5F30E15E"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lastRenderedPageBreak/>
        <w:t xml:space="preserve">A mandatory query parameter "ProfileType" only for notifications messages containing the </w:t>
      </w:r>
      <w:r>
        <w:rPr>
          <w:rFonts w:ascii="Courier New" w:hAnsi="Courier New" w:cs="Courier New"/>
          <w:szCs w:val="22"/>
          <w:lang w:eastAsia="en-GB" w:bidi="ar-SA"/>
        </w:rPr>
        <w:t>&lt;rps3:ProfileType&gt;&lt;/rps3:ProfileType&gt;</w:t>
      </w:r>
      <w:r>
        <w:rPr>
          <w:szCs w:val="22"/>
          <w:lang w:eastAsia="en-GB" w:bidi="ar-SA"/>
        </w:rPr>
        <w:t xml:space="preserve"> value. </w:t>
      </w:r>
    </w:p>
    <w:p w14:paraId="7142BA06" w14:textId="77777777" w:rsidR="00B97365" w:rsidRDefault="00000000">
      <w:pPr>
        <w:tabs>
          <w:tab w:val="left" w:pos="1560"/>
        </w:tabs>
        <w:spacing w:before="0" w:after="200" w:line="276" w:lineRule="auto"/>
        <w:ind w:left="1559" w:hanging="1202"/>
        <w:jc w:val="left"/>
        <w:rPr>
          <w:szCs w:val="22"/>
          <w:lang w:eastAsia="en-GB" w:bidi="ar-SA"/>
        </w:rPr>
      </w:pPr>
      <w:r>
        <w:rPr>
          <w:szCs w:val="22"/>
          <w:lang w:eastAsia="en-GB" w:bidi="ar-SA"/>
        </w:rPr>
        <w:t>NOTE:</w:t>
      </w:r>
      <w:r>
        <w:rPr>
          <w:szCs w:val="22"/>
          <w:lang w:eastAsia="en-GB" w:bidi="ar-SA"/>
        </w:rPr>
        <w:tab/>
        <w:t>This information allows the recipient to route the message based on "ProfileType".</w:t>
      </w:r>
    </w:p>
    <w:p w14:paraId="27E76115" w14:textId="77777777" w:rsidR="00B97365" w:rsidRDefault="00B97365">
      <w:pPr>
        <w:tabs>
          <w:tab w:val="left" w:pos="1021"/>
        </w:tabs>
        <w:spacing w:before="0" w:after="200" w:line="276" w:lineRule="auto"/>
        <w:ind w:left="1020"/>
        <w:contextualSpacing/>
        <w:jc w:val="left"/>
        <w:rPr>
          <w:szCs w:val="22"/>
          <w:lang w:eastAsia="en-GB" w:bidi="ar-SA"/>
        </w:rPr>
      </w:pPr>
    </w:p>
    <w:p w14:paraId="7284217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Example:</w:t>
      </w:r>
    </w:p>
    <w:p w14:paraId="5205C7D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content:</w:t>
      </w:r>
    </w:p>
    <w:p w14:paraId="42CFB69B" w14:textId="77777777" w:rsidR="00B97365" w:rsidRDefault="00000000">
      <w:pPr>
        <w:pStyle w:val="ED-CODEBlock"/>
      </w:pPr>
      <w:r>
        <w:t>&lt;rps3:MessageId&gt;//MySenderDomain/123&lt;/rps3:MessageId&gt;</w:t>
      </w:r>
    </w:p>
    <w:p w14:paraId="359D20B1" w14:textId="77777777" w:rsidR="00B97365" w:rsidRDefault="00000000">
      <w:pPr>
        <w:pStyle w:val="ED-CODEBlock"/>
      </w:pPr>
      <w:r>
        <w:t>&lt;rps3:TransactionId&gt;MyTansactionID1&lt;/rps3:TransactionId&gt;</w:t>
      </w:r>
    </w:p>
    <w:p w14:paraId="67FBEB9B" w14:textId="77777777" w:rsidR="00B97365" w:rsidRDefault="00000000">
      <w:pPr>
        <w:pStyle w:val="ED-CODEBlock"/>
        <w:rPr>
          <w:lang w:val="fr-FR"/>
        </w:rPr>
      </w:pPr>
      <w:r>
        <w:rPr>
          <w:lang w:val="fr-FR"/>
        </w:rPr>
        <w:t>&lt;rps3:ContextId&gt;MyContextID1&lt;/rps3:ContextId&gt;</w:t>
      </w:r>
    </w:p>
    <w:p w14:paraId="468A9A2F" w14:textId="77777777" w:rsidR="00B97365" w:rsidRDefault="00000000">
      <w:pPr>
        <w:pStyle w:val="ED-CODEBlock"/>
        <w:rPr>
          <w:lang w:val="fr-FR"/>
        </w:rPr>
      </w:pPr>
      <w:r>
        <w:rPr>
          <w:lang w:val="fr-FR"/>
        </w:rPr>
        <w:t>&lt;rps3:MessageDate&gt;2013-04-18T09:45:00Z&lt;/rps3:MessageDate&gt;</w:t>
      </w:r>
    </w:p>
    <w:p w14:paraId="4E49E719" w14:textId="77777777" w:rsidR="00B97365" w:rsidRDefault="00000000">
      <w:pPr>
        <w:pStyle w:val="ED-CODEBlock"/>
        <w:rPr>
          <w:lang w:eastAsia="en-GB" w:bidi="ar-SA"/>
        </w:rPr>
      </w:pPr>
      <w:r>
        <w:t>&lt;rps3:ProfileType&gt;3G_16K&lt;/rps3:ProfileType&gt;</w:t>
      </w:r>
    </w:p>
    <w:p w14:paraId="043384C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Would be mapped into:</w:t>
      </w:r>
    </w:p>
    <w:p w14:paraId="477864FC" w14:textId="77777777" w:rsidR="00B97365" w:rsidRDefault="00000000">
      <w:pPr>
        <w:pStyle w:val="ED-CODEBlock"/>
        <w:rPr>
          <w:lang w:eastAsia="en-GB" w:bidi="ar-SA"/>
        </w:rPr>
      </w:pPr>
      <w:r>
        <w:t>&lt;wsa:MessageID&gt;//MySenderDomain/123?TransactionId=MyTansactionID1?ContextId=MyContextID1?MessageDate=2013-04-18T09:45:00Z?ProfileType=3G_16K &lt;/wsa:MessageID&gt;</w:t>
      </w:r>
    </w:p>
    <w:p w14:paraId="70C6E9F7" w14:textId="77777777" w:rsidR="00B97365" w:rsidRDefault="00000000">
      <w:pPr>
        <w:numPr>
          <w:ilvl w:val="0"/>
          <w:numId w:val="38"/>
        </w:numPr>
        <w:tabs>
          <w:tab w:val="left" w:pos="680"/>
        </w:tabs>
        <w:spacing w:before="0" w:after="200" w:line="276" w:lineRule="auto"/>
        <w:contextualSpacing/>
        <w:jc w:val="left"/>
        <w:rPr>
          <w:rFonts w:ascii="Courier New" w:hAnsi="Courier New" w:cs="Courier New"/>
          <w:szCs w:val="22"/>
          <w:lang w:eastAsia="en-GB" w:bidi="ar-SA"/>
        </w:rPr>
      </w:pPr>
      <w:r>
        <w:rPr>
          <w:rFonts w:ascii="Courier New" w:hAnsi="Courier New" w:cs="Courier New"/>
          <w:szCs w:val="22"/>
          <w:lang w:eastAsia="en-GB" w:bidi="ar-SA"/>
        </w:rPr>
        <w:t>/wsa:Action</w:t>
      </w:r>
    </w:p>
    <w:p w14:paraId="1A0AA171" w14:textId="77777777" w:rsidR="00B97365" w:rsidRDefault="00000000">
      <w:pPr>
        <w:spacing w:before="0" w:after="200" w:line="276" w:lineRule="auto"/>
        <w:jc w:val="left"/>
        <w:rPr>
          <w:rFonts w:eastAsia="Calibri"/>
          <w:szCs w:val="22"/>
          <w:lang w:val="en-US" w:eastAsia="en-GB"/>
        </w:rPr>
      </w:pPr>
      <w:r>
        <w:rPr>
          <w:szCs w:val="22"/>
          <w:lang w:val="en-US" w:eastAsia="en-GB"/>
        </w:rPr>
        <w:t xml:space="preserve">This element is </w:t>
      </w:r>
      <w:r>
        <w:rPr>
          <w:rFonts w:cs="Arial"/>
          <w:szCs w:val="22"/>
          <w:lang w:val="en-US" w:eastAsia="en-GB" w:bidi="ar-SA"/>
        </w:rPr>
        <w:t xml:space="preserve">defined in </w:t>
      </w:r>
      <w:r>
        <w:rPr>
          <w:rFonts w:eastAsia="Calibri"/>
          <w:szCs w:val="22"/>
          <w:lang w:val="en-US" w:eastAsia="en-GB"/>
        </w:rPr>
        <w:t>WS-Addressing core specifications [41] as:</w:t>
      </w:r>
    </w:p>
    <w:p w14:paraId="24E03781" w14:textId="77777777" w:rsidR="00B97365" w:rsidRDefault="00000000">
      <w:pPr>
        <w:spacing w:before="0" w:after="200" w:line="276" w:lineRule="auto"/>
        <w:jc w:val="left"/>
        <w:rPr>
          <w:i/>
          <w:szCs w:val="22"/>
          <w:lang w:val="en-US" w:eastAsia="en-GB" w:bidi="ar-SA"/>
        </w:rPr>
      </w:pPr>
      <w:r>
        <w:rPr>
          <w:rFonts w:cs="Arial"/>
          <w:i/>
          <w:szCs w:val="22"/>
          <w:lang w:val="en-US" w:eastAsia="en-GB" w:bidi="ar-SA"/>
        </w:rPr>
        <w:t xml:space="preserve">This REQUIRED element (whose content is of type </w:t>
      </w:r>
      <w:r>
        <w:rPr>
          <w:rFonts w:ascii="Courier New" w:hAnsi="Courier New" w:cs="Courier New"/>
          <w:i/>
          <w:szCs w:val="22"/>
          <w:lang w:val="en-US" w:eastAsia="en-GB" w:bidi="ar-SA"/>
        </w:rPr>
        <w:t>xs:anyURI</w:t>
      </w:r>
      <w:r>
        <w:rPr>
          <w:i/>
          <w:szCs w:val="22"/>
          <w:lang w:val="en-US" w:eastAsia="en-GB" w:bidi="ar-SA"/>
        </w:rPr>
        <w:t>) conveys the value of the [action] property.</w:t>
      </w:r>
    </w:p>
    <w:p w14:paraId="48BE265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the context of this specification this element is MANDATORY, and the format of this element SHALL be:</w:t>
      </w:r>
    </w:p>
    <w:p w14:paraId="41D155E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b/>
        <w:t>[target namespace] [delimiter][interface name] [delimiter][function group][delimiter][operation name][direction token]</w:t>
      </w:r>
    </w:p>
    <w:p w14:paraId="16D8922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Where:</w:t>
      </w:r>
    </w:p>
    <w:p w14:paraId="0D6A92FF"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[target namespace]: ‘http://gsma.com’</w:t>
      </w:r>
    </w:p>
    <w:p w14:paraId="4C95EB0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[interface name]: One of the following label ‘ES1’, ‘ES2’ ‘ES3’, ‘ES4’ ‘ES7’, </w:t>
      </w:r>
    </w:p>
    <w:p w14:paraId="2E66FDDB"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[function group]:</w:t>
      </w:r>
    </w:p>
    <w:p w14:paraId="402593E0" w14:textId="51014402"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For Synchronous Request-Response MEP, for Notification MEP, and for Asynchronous with Polling MEP, the [function group] value SHALL be filled with the name of the functions group (see </w:t>
      </w:r>
      <w:r>
        <w:fldChar w:fldCharType="begin"/>
      </w:r>
      <w:r>
        <w:rPr>
          <w:szCs w:val="22"/>
          <w:lang w:eastAsia="en-GB" w:bidi="ar-SA"/>
        </w:rPr>
        <w:instrText xml:space="preserve"> REF _Ref373942064 \r \h </w:instrText>
      </w:r>
      <w:r>
        <w:fldChar w:fldCharType="separate"/>
      </w:r>
      <w:r w:rsidR="001D5AD9">
        <w:rPr>
          <w:szCs w:val="22"/>
          <w:lang w:eastAsia="en-GB" w:bidi="ar-SA"/>
        </w:rPr>
        <w:t>Table 96</w:t>
      </w:r>
      <w:r>
        <w:fldChar w:fldCharType="end"/>
      </w:r>
      <w:r>
        <w:rPr>
          <w:szCs w:val="22"/>
          <w:lang w:eastAsia="en-GB" w:bidi="ar-SA"/>
        </w:rPr>
        <w:t xml:space="preserve"> and </w:t>
      </w:r>
      <w:r>
        <w:fldChar w:fldCharType="begin"/>
      </w:r>
      <w:r>
        <w:rPr>
          <w:szCs w:val="22"/>
          <w:lang w:eastAsia="en-GB" w:bidi="ar-SA"/>
        </w:rPr>
        <w:instrText xml:space="preserve"> REF _Ref373942072 \r \h </w:instrText>
      </w:r>
      <w:r>
        <w:fldChar w:fldCharType="separate"/>
      </w:r>
      <w:r w:rsidR="001D5AD9">
        <w:rPr>
          <w:szCs w:val="22"/>
          <w:lang w:eastAsia="en-GB" w:bidi="ar-SA"/>
        </w:rPr>
        <w:t>Table 97</w:t>
      </w:r>
      <w:r>
        <w:fldChar w:fldCharType="end"/>
      </w:r>
      <w:r>
        <w:rPr>
          <w:szCs w:val="22"/>
          <w:lang w:eastAsia="en-GB" w:bidi="ar-SA"/>
        </w:rPr>
        <w:t xml:space="preserve">). Possible values are:  </w:t>
      </w:r>
    </w:p>
    <w:p w14:paraId="7CA6BFA1"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eUICCManagement</w:t>
      </w:r>
    </w:p>
    <w:p w14:paraId="241279BA"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ProfileManagement</w:t>
      </w:r>
    </w:p>
    <w:p w14:paraId="73D4A052"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PlatformManagement</w:t>
      </w:r>
    </w:p>
    <w:p w14:paraId="3F175C21"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Asynchronous with callback MEP, the [function group] value SHALL be filled with the name of the functions group appended with the "CallBack" string. Possible values are:</w:t>
      </w:r>
    </w:p>
    <w:p w14:paraId="7E363F04"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ProfileManagementCallBack</w:t>
      </w:r>
    </w:p>
    <w:p w14:paraId="021C8547"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PlatformManagementCallBack</w:t>
      </w:r>
    </w:p>
    <w:p w14:paraId="1B319BFC"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eUICCManagementCallBack</w:t>
      </w:r>
    </w:p>
    <w:p w14:paraId="5939C5F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lastRenderedPageBreak/>
        <w:t>[Operation name]: the name of the function as contained in the /</w:t>
      </w:r>
      <w:r>
        <w:rPr>
          <w:rFonts w:ascii="Courier New" w:hAnsi="Courier New" w:cs="Courier New"/>
          <w:szCs w:val="22"/>
          <w:lang w:eastAsia="en-GB" w:bidi="ar-SA"/>
        </w:rPr>
        <w:t>rps3:RPSHeader/rps3:MessageType</w:t>
      </w:r>
      <w:r>
        <w:rPr>
          <w:szCs w:val="22"/>
          <w:lang w:eastAsia="en-GB" w:bidi="ar-SA"/>
        </w:rPr>
        <w:t xml:space="preserve"> element</w:t>
      </w:r>
    </w:p>
    <w:p w14:paraId="186BDCF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[direction token] = Follows OASIS WS-* specifications, i.e.:</w:t>
      </w:r>
    </w:p>
    <w:p w14:paraId="7D0983FD"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Synchronous Request-Response MEP: the [direction token] is already part of the [Operation Name] as the "Request" string for the request, and as the "Response" string for the response. So no additional qualifier SHALL be added.</w:t>
      </w:r>
    </w:p>
    <w:p w14:paraId="711975F2"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Notification (One-Way MEP): no direction Token (empty string) needs to be added after the [Operation name]</w:t>
      </w:r>
    </w:p>
    <w:p w14:paraId="78CEBAA0"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Asynchronous with callback MEP or Asynchronous with Polling: as these MEP are indeed mapped to two one-way service calls, then there is no need to have a direction token, neither for the request, nor for the asynchronous response (empty strings). The ‘Resquest’ and ‘Response’ qualifier SHALL be removed from the [Operation name].</w:t>
      </w:r>
    </w:p>
    <w:p w14:paraId="2DDA73C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[delimiter]: “/”</w:t>
      </w:r>
    </w:p>
    <w:p w14:paraId="30976EAF"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Examples:</w:t>
      </w:r>
    </w:p>
    <w:p w14:paraId="3C7DF290"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For the ES2 ‘GetEIS’ part of the ‘</w:t>
      </w:r>
      <w:r>
        <w:rPr>
          <w:lang w:eastAsia="en-GB"/>
        </w:rPr>
        <w:t>Profile Management</w:t>
      </w:r>
      <w:r>
        <w:rPr>
          <w:szCs w:val="22"/>
          <w:lang w:eastAsia="en-GB" w:bidi="ar-SA"/>
        </w:rPr>
        <w:t>’ function group, the relevant /wsa:Action SHALL be (assumed to be called as a Synchronous Request-Response MEP):</w:t>
      </w:r>
    </w:p>
    <w:p w14:paraId="46CF40A0"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the request:</w:t>
      </w:r>
    </w:p>
    <w:p w14:paraId="17EF0A73" w14:textId="77777777" w:rsidR="00B97365" w:rsidRDefault="00000000">
      <w:pPr>
        <w:rPr>
          <w:rFonts w:ascii="Courier New" w:hAnsi="Courier New" w:cs="Courier New"/>
          <w:sz w:val="20"/>
          <w:lang w:val="en-US"/>
        </w:rPr>
      </w:pPr>
      <w:r>
        <w:rPr>
          <w:rFonts w:cs="Arial"/>
          <w:sz w:val="20"/>
          <w:lang w:val="en-US"/>
        </w:rPr>
        <w:t xml:space="preserve"> </w:t>
      </w:r>
      <w:r>
        <w:rPr>
          <w:rFonts w:cs="Arial"/>
          <w:sz w:val="20"/>
          <w:lang w:val="en-US"/>
        </w:rPr>
        <w:tab/>
      </w:r>
      <w:r>
        <w:rPr>
          <w:rFonts w:ascii="Courier New" w:hAnsi="Courier New" w:cs="Courier New"/>
          <w:sz w:val="20"/>
          <w:lang w:val="en-US"/>
        </w:rPr>
        <w:t>&lt;wsa:Action&gt;http://gsma.com/ES2/</w:t>
      </w:r>
      <w:r>
        <w:rPr>
          <w:rFonts w:ascii="Courier New" w:hAnsi="Courier New" w:cs="Courier New"/>
          <w:sz w:val="20"/>
        </w:rPr>
        <w:t>ProfileManagement</w:t>
      </w:r>
      <w:r>
        <w:rPr>
          <w:rFonts w:ascii="Courier New" w:hAnsi="Courier New" w:cs="Courier New"/>
          <w:sz w:val="20"/>
          <w:lang w:val="en-US"/>
        </w:rPr>
        <w:t>/ES2-GetEISRequest&lt;/wsa:Action&gt;</w:t>
      </w:r>
    </w:p>
    <w:p w14:paraId="4870ACD4"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the response:</w:t>
      </w:r>
    </w:p>
    <w:p w14:paraId="25A30CB2" w14:textId="77777777" w:rsidR="00B97365" w:rsidRDefault="00000000">
      <w:pPr>
        <w:rPr>
          <w:rFonts w:ascii="Courier New" w:hAnsi="Courier New" w:cs="Courier New"/>
          <w:sz w:val="20"/>
          <w:lang w:val="en-US"/>
        </w:rPr>
      </w:pPr>
      <w:r>
        <w:rPr>
          <w:rFonts w:cs="Arial"/>
          <w:sz w:val="20"/>
          <w:lang w:val="en-US"/>
        </w:rPr>
        <w:t xml:space="preserve"> </w:t>
      </w:r>
      <w:r>
        <w:rPr>
          <w:rFonts w:cs="Arial"/>
          <w:sz w:val="20"/>
          <w:lang w:val="en-US"/>
        </w:rPr>
        <w:tab/>
      </w:r>
      <w:r>
        <w:rPr>
          <w:rFonts w:ascii="Courier New" w:hAnsi="Courier New" w:cs="Courier New"/>
          <w:sz w:val="20"/>
          <w:lang w:val="en-US"/>
        </w:rPr>
        <w:t>&lt;wsa:Action&gt;http://gsma.com/ES2/</w:t>
      </w:r>
      <w:r>
        <w:rPr>
          <w:rFonts w:ascii="Courier New" w:hAnsi="Courier New" w:cs="Courier New"/>
          <w:sz w:val="20"/>
        </w:rPr>
        <w:t>ProfileManagement</w:t>
      </w:r>
      <w:r>
        <w:rPr>
          <w:rFonts w:ascii="Courier New" w:hAnsi="Courier New" w:cs="Courier New"/>
          <w:sz w:val="20"/>
          <w:lang w:val="en-US"/>
        </w:rPr>
        <w:t>/ES2-GetEISResponse&lt;/wsa:Action&gt;</w:t>
      </w:r>
    </w:p>
    <w:p w14:paraId="7B2ACDAB" w14:textId="77777777" w:rsidR="00B97365" w:rsidRDefault="00B97365">
      <w:pPr>
        <w:spacing w:before="0" w:after="200" w:line="276" w:lineRule="auto"/>
        <w:jc w:val="left"/>
        <w:rPr>
          <w:rFonts w:cs="Calibri"/>
          <w:sz w:val="20"/>
          <w:lang w:val="en-US" w:eastAsia="en-GB" w:bidi="ar-SA"/>
        </w:rPr>
      </w:pPr>
    </w:p>
    <w:p w14:paraId="3421247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For the ES3 ‘HandleProfileDisabledNotification’ part of the ‘Platform Management’ function group, the relevant /wsa:Action SHALL be for the request (no response expected):</w:t>
      </w:r>
    </w:p>
    <w:p w14:paraId="7681A38D" w14:textId="77777777" w:rsidR="00B97365" w:rsidRDefault="00000000">
      <w:pPr>
        <w:rPr>
          <w:rFonts w:ascii="Courier New" w:hAnsi="Courier New" w:cs="Courier New"/>
          <w:sz w:val="20"/>
          <w:lang w:val="en-US"/>
        </w:rPr>
      </w:pPr>
      <w:r>
        <w:rPr>
          <w:rFonts w:cs="Arial"/>
          <w:sz w:val="20"/>
          <w:lang w:val="en-US"/>
        </w:rPr>
        <w:tab/>
      </w:r>
      <w:r>
        <w:rPr>
          <w:rFonts w:ascii="Courier New" w:hAnsi="Courier New" w:cs="Courier New"/>
          <w:sz w:val="20"/>
          <w:lang w:val="en-US"/>
        </w:rPr>
        <w:t>&lt;wsa:Action&gt;http://gsma.com/ES3/PlatformManagement/ES3-HandleProfileDisabledNotification&lt;/wsa:Action&gt;</w:t>
      </w:r>
    </w:p>
    <w:p w14:paraId="666C57C0" w14:textId="77777777" w:rsidR="00B97365" w:rsidRDefault="00B97365">
      <w:pPr>
        <w:spacing w:before="0" w:after="200" w:line="276" w:lineRule="auto"/>
        <w:jc w:val="left"/>
        <w:rPr>
          <w:rFonts w:cs="Calibri"/>
          <w:sz w:val="20"/>
          <w:lang w:val="en-US" w:eastAsia="en-GB" w:bidi="ar-SA"/>
        </w:rPr>
      </w:pPr>
    </w:p>
    <w:p w14:paraId="656F4095"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For the ES3 ‘EnableProfile’ part of the ‘Platform Management’ function group, the relevant /wsa:Action SHALL be (assumed to be called as a Asynchronous Request-Response with callback MEP):</w:t>
      </w:r>
    </w:p>
    <w:p w14:paraId="780D7A2E"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the request:</w:t>
      </w:r>
    </w:p>
    <w:p w14:paraId="38151FB0" w14:textId="77777777" w:rsidR="00B97365" w:rsidRDefault="00000000">
      <w:pPr>
        <w:rPr>
          <w:rFonts w:ascii="Courier New" w:hAnsi="Courier New" w:cs="Courier New"/>
          <w:sz w:val="20"/>
          <w:lang w:val="en-US"/>
        </w:rPr>
      </w:pPr>
      <w:r>
        <w:rPr>
          <w:rFonts w:cs="Arial"/>
          <w:sz w:val="20"/>
          <w:lang w:val="en-US"/>
        </w:rPr>
        <w:t xml:space="preserve"> </w:t>
      </w:r>
      <w:r>
        <w:rPr>
          <w:rFonts w:cs="Arial"/>
          <w:sz w:val="20"/>
          <w:lang w:val="en-US"/>
        </w:rPr>
        <w:tab/>
      </w:r>
      <w:r>
        <w:rPr>
          <w:rFonts w:ascii="Courier New" w:hAnsi="Courier New" w:cs="Courier New"/>
          <w:sz w:val="20"/>
          <w:lang w:val="en-US"/>
        </w:rPr>
        <w:t>&lt;wsa:Action&gt;http://gsma.com/ES3/PlatformManagement/ES3-EnableProfile&lt;/wsa:Action&gt;</w:t>
      </w:r>
    </w:p>
    <w:p w14:paraId="1D6D68D9"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the response:</w:t>
      </w:r>
    </w:p>
    <w:p w14:paraId="095C125F" w14:textId="77777777" w:rsidR="00B97365" w:rsidRDefault="00000000">
      <w:pPr>
        <w:rPr>
          <w:rFonts w:ascii="Courier New" w:hAnsi="Courier New" w:cs="Courier New"/>
          <w:sz w:val="20"/>
          <w:lang w:val="en-US"/>
        </w:rPr>
      </w:pPr>
      <w:r>
        <w:rPr>
          <w:rFonts w:cs="Arial"/>
          <w:sz w:val="20"/>
          <w:lang w:val="en-US"/>
        </w:rPr>
        <w:t xml:space="preserve"> </w:t>
      </w:r>
      <w:r>
        <w:rPr>
          <w:rFonts w:cs="Arial"/>
          <w:sz w:val="20"/>
          <w:lang w:val="en-US"/>
        </w:rPr>
        <w:tab/>
      </w:r>
      <w:r>
        <w:rPr>
          <w:rFonts w:ascii="Courier New" w:hAnsi="Courier New" w:cs="Courier New"/>
          <w:sz w:val="20"/>
          <w:lang w:val="en-US"/>
        </w:rPr>
        <w:t>&lt;wsa:Action&gt;http://gsma.com/ES3/PlatformManagementCallBack/ES3-EnableProfile&lt;/wsa:Action&gt;</w:t>
      </w:r>
    </w:p>
    <w:p w14:paraId="2C396934" w14:textId="77777777" w:rsidR="00B97365" w:rsidRDefault="00B97365">
      <w:pPr>
        <w:spacing w:before="0" w:after="200" w:line="276" w:lineRule="auto"/>
        <w:jc w:val="left"/>
        <w:rPr>
          <w:rFonts w:cs="Calibri"/>
          <w:sz w:val="20"/>
          <w:lang w:val="en-US" w:eastAsia="en-GB" w:bidi="ar-SA"/>
        </w:rPr>
      </w:pPr>
    </w:p>
    <w:p w14:paraId="3185CD8D"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For the ES3 ‘EnableProfile’ part of the ‘Platform Management’ function group, the relevant /wsa:Action SHALL be (assumed to be called as a Asynchronous with Polling MEP):</w:t>
      </w:r>
    </w:p>
    <w:p w14:paraId="752B7602"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the request:</w:t>
      </w:r>
    </w:p>
    <w:p w14:paraId="1F5B1820" w14:textId="77777777" w:rsidR="00B97365" w:rsidRDefault="00000000">
      <w:pPr>
        <w:rPr>
          <w:rFonts w:ascii="Courier New" w:hAnsi="Courier New" w:cs="Courier New"/>
          <w:sz w:val="20"/>
          <w:lang w:val="en-US"/>
        </w:rPr>
      </w:pPr>
      <w:r>
        <w:rPr>
          <w:rFonts w:cs="Arial"/>
          <w:sz w:val="20"/>
          <w:lang w:val="en-US"/>
        </w:rPr>
        <w:lastRenderedPageBreak/>
        <w:t xml:space="preserve"> </w:t>
      </w:r>
      <w:r>
        <w:rPr>
          <w:rFonts w:cs="Arial"/>
          <w:sz w:val="20"/>
          <w:lang w:val="en-US"/>
        </w:rPr>
        <w:tab/>
      </w:r>
      <w:r>
        <w:rPr>
          <w:rFonts w:ascii="Courier New" w:hAnsi="Courier New" w:cs="Courier New"/>
          <w:sz w:val="20"/>
          <w:lang w:val="en-US"/>
        </w:rPr>
        <w:t>&lt;wsa:Action&gt;http://gsma.com/ES3/PlatformManagement/ES3-EnableProfile&lt;/wsa:Action&gt;</w:t>
      </w:r>
    </w:p>
    <w:p w14:paraId="04B93E99"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For the response:</w:t>
      </w:r>
    </w:p>
    <w:p w14:paraId="51A3252F" w14:textId="77777777" w:rsidR="00B97365" w:rsidRDefault="00000000">
      <w:pPr>
        <w:rPr>
          <w:rFonts w:ascii="Courier New" w:hAnsi="Courier New" w:cs="Courier New"/>
          <w:sz w:val="20"/>
          <w:lang w:val="en-US"/>
        </w:rPr>
      </w:pPr>
      <w:r>
        <w:rPr>
          <w:rFonts w:cs="Arial"/>
          <w:sz w:val="20"/>
          <w:lang w:val="en-US"/>
        </w:rPr>
        <w:t xml:space="preserve"> </w:t>
      </w:r>
      <w:r>
        <w:rPr>
          <w:rFonts w:cs="Arial"/>
          <w:sz w:val="20"/>
          <w:lang w:val="en-US"/>
        </w:rPr>
        <w:tab/>
      </w:r>
      <w:r>
        <w:rPr>
          <w:rFonts w:ascii="Courier New" w:hAnsi="Courier New" w:cs="Courier New"/>
          <w:sz w:val="20"/>
          <w:lang w:val="en-US"/>
        </w:rPr>
        <w:t>&lt;wsa:Action&gt;http://gsma.com/ES3/PlatformManagement/ES3-EnableProfile&lt;/wsa:Action&gt;</w:t>
      </w:r>
    </w:p>
    <w:p w14:paraId="7AD65F5A" w14:textId="77777777" w:rsidR="00B97365" w:rsidRDefault="00B97365">
      <w:pPr>
        <w:spacing w:before="0" w:after="200" w:line="276" w:lineRule="auto"/>
        <w:jc w:val="left"/>
        <w:rPr>
          <w:rFonts w:cs="Calibri"/>
          <w:szCs w:val="22"/>
          <w:lang w:val="en-US" w:eastAsia="en-GB" w:bidi="ar-SA"/>
        </w:rPr>
      </w:pPr>
    </w:p>
    <w:p w14:paraId="0D14F363" w14:textId="77777777" w:rsidR="00B97365" w:rsidRDefault="00000000">
      <w:pPr>
        <w:numPr>
          <w:ilvl w:val="0"/>
          <w:numId w:val="38"/>
        </w:numPr>
        <w:tabs>
          <w:tab w:val="left" w:pos="680"/>
        </w:tabs>
        <w:spacing w:before="0" w:after="200" w:line="276" w:lineRule="auto"/>
        <w:contextualSpacing/>
        <w:jc w:val="left"/>
        <w:rPr>
          <w:rFonts w:ascii="Courier New" w:hAnsi="Courier New" w:cs="Courier New"/>
          <w:szCs w:val="22"/>
          <w:lang w:eastAsia="en-GB" w:bidi="ar-SA"/>
        </w:rPr>
      </w:pPr>
      <w:r>
        <w:rPr>
          <w:rFonts w:ascii="Courier New" w:hAnsi="Courier New" w:cs="Courier New"/>
          <w:szCs w:val="22"/>
          <w:lang w:eastAsia="en-GB" w:bidi="ar-SA"/>
        </w:rPr>
        <w:t>/wsa:FaultTo</w:t>
      </w:r>
    </w:p>
    <w:p w14:paraId="77C9E1D2" w14:textId="77777777" w:rsidR="00B97365" w:rsidRDefault="00000000">
      <w:pPr>
        <w:spacing w:before="0" w:after="200" w:line="276" w:lineRule="auto"/>
        <w:jc w:val="left"/>
        <w:rPr>
          <w:rFonts w:eastAsia="Calibri"/>
          <w:szCs w:val="22"/>
          <w:lang w:val="en-US" w:eastAsia="en-GB"/>
        </w:rPr>
      </w:pPr>
      <w:r>
        <w:rPr>
          <w:szCs w:val="22"/>
          <w:lang w:val="en-US" w:eastAsia="en-GB"/>
        </w:rPr>
        <w:t xml:space="preserve">This element is </w:t>
      </w:r>
      <w:r>
        <w:rPr>
          <w:rFonts w:cs="Arial"/>
          <w:szCs w:val="22"/>
          <w:lang w:val="en-US" w:eastAsia="en-GB" w:bidi="ar-SA"/>
        </w:rPr>
        <w:t xml:space="preserve">defined in </w:t>
      </w:r>
      <w:r>
        <w:rPr>
          <w:rFonts w:eastAsia="Calibri"/>
          <w:szCs w:val="22"/>
          <w:lang w:val="en-US" w:eastAsia="en-GB"/>
        </w:rPr>
        <w:t>WS-Addressing core specifications [41] as:</w:t>
      </w:r>
    </w:p>
    <w:p w14:paraId="16E932B9" w14:textId="77777777" w:rsidR="00B97365" w:rsidRDefault="00B97365">
      <w:pPr>
        <w:spacing w:before="0" w:after="200" w:line="276" w:lineRule="auto"/>
        <w:jc w:val="left"/>
        <w:rPr>
          <w:rFonts w:cs="Arial"/>
          <w:i/>
          <w:szCs w:val="22"/>
          <w:lang w:val="en-US" w:eastAsia="en-GB" w:bidi="ar-SA"/>
        </w:rPr>
      </w:pPr>
    </w:p>
    <w:p w14:paraId="0B4B9962" w14:textId="77777777" w:rsidR="00B97365" w:rsidRDefault="00000000">
      <w:pPr>
        <w:spacing w:before="0" w:after="200" w:line="276" w:lineRule="auto"/>
        <w:jc w:val="left"/>
        <w:rPr>
          <w:rFonts w:cs="Arial"/>
          <w:i/>
          <w:szCs w:val="22"/>
          <w:lang w:val="en-US" w:eastAsia="en-GB" w:bidi="ar-SA"/>
        </w:rPr>
      </w:pPr>
      <w:r>
        <w:rPr>
          <w:rFonts w:cs="Arial"/>
          <w:i/>
          <w:szCs w:val="22"/>
          <w:lang w:val="en-US" w:eastAsia="en-GB" w:bidi="ar-SA"/>
        </w:rPr>
        <w:t>This OPTIONAL element (of type wsa:EndpointReferenceType) provides the value for the [fault endpoint] property.</w:t>
      </w:r>
    </w:p>
    <w:p w14:paraId="6E48049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the context of this specification this element SHALL NOT be used. Any fault SHALL be sent to (in the preferred order):</w:t>
      </w:r>
    </w:p>
    <w:p w14:paraId="5BE4F357"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The endpoint specified in the /wsa:ReplyTo, if present,</w:t>
      </w:r>
    </w:p>
    <w:p w14:paraId="79582C64"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Else, to a well know endpoint mutually agreed between message sender and message receiver</w:t>
      </w:r>
    </w:p>
    <w:p w14:paraId="46ABE5B9"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Or to the message originating endpoint. </w:t>
      </w:r>
    </w:p>
    <w:p w14:paraId="4B98CB8A" w14:textId="77777777" w:rsidR="00B97365" w:rsidRDefault="00B97365">
      <w:pPr>
        <w:spacing w:before="0" w:after="200" w:line="276" w:lineRule="auto"/>
        <w:jc w:val="left"/>
        <w:rPr>
          <w:rFonts w:cs="Calibri"/>
          <w:szCs w:val="22"/>
          <w:lang w:val="en-US" w:eastAsia="en-GB" w:bidi="ar-SA"/>
        </w:rPr>
      </w:pPr>
    </w:p>
    <w:p w14:paraId="3FC54519"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/wsa:RelatesTo</w:t>
      </w:r>
    </w:p>
    <w:p w14:paraId="0DF8B35E" w14:textId="77777777" w:rsidR="00B97365" w:rsidRDefault="00000000">
      <w:pPr>
        <w:spacing w:before="0" w:after="200" w:line="276" w:lineRule="auto"/>
        <w:jc w:val="left"/>
        <w:rPr>
          <w:rFonts w:eastAsia="Calibri"/>
          <w:szCs w:val="22"/>
          <w:lang w:val="en-US" w:eastAsia="en-GB"/>
        </w:rPr>
      </w:pPr>
      <w:r>
        <w:rPr>
          <w:szCs w:val="22"/>
          <w:lang w:val="en-US" w:eastAsia="en-GB"/>
        </w:rPr>
        <w:t xml:space="preserve">This element is </w:t>
      </w:r>
      <w:r>
        <w:rPr>
          <w:rFonts w:cs="Arial"/>
          <w:szCs w:val="22"/>
          <w:lang w:val="en-US" w:eastAsia="en-GB" w:bidi="ar-SA"/>
        </w:rPr>
        <w:t xml:space="preserve">defined in </w:t>
      </w:r>
      <w:r>
        <w:rPr>
          <w:rFonts w:eastAsia="Calibri"/>
          <w:szCs w:val="22"/>
          <w:lang w:val="en-US" w:eastAsia="en-GB"/>
        </w:rPr>
        <w:t>WS-Addressing core specifications [41] as:</w:t>
      </w:r>
    </w:p>
    <w:p w14:paraId="1905C41D" w14:textId="77777777" w:rsidR="00B97365" w:rsidRDefault="00000000">
      <w:pPr>
        <w:spacing w:before="0" w:after="200" w:line="276" w:lineRule="auto"/>
        <w:jc w:val="left"/>
        <w:rPr>
          <w:i/>
          <w:szCs w:val="22"/>
          <w:lang w:val="en-US" w:eastAsia="en-GB" w:bidi="ar-SA"/>
        </w:rPr>
      </w:pPr>
      <w:r>
        <w:rPr>
          <w:rFonts w:cs="Arial"/>
          <w:i/>
          <w:szCs w:val="22"/>
          <w:lang w:val="en-US" w:eastAsia="en-GB" w:bidi="ar-SA"/>
        </w:rPr>
        <w:t xml:space="preserve">This OPTIONAL (repeating) element information item contributes one abstract [relationship] property value, in the form of an (IRI, IRI) pair. The content of this element (of type </w:t>
      </w:r>
      <w:r>
        <w:rPr>
          <w:rFonts w:ascii="Courier New" w:hAnsi="Courier New" w:cs="Courier New"/>
          <w:i/>
          <w:szCs w:val="22"/>
          <w:lang w:val="en-US" w:eastAsia="en-GB" w:bidi="ar-SA"/>
        </w:rPr>
        <w:t>xs:anyURI</w:t>
      </w:r>
      <w:r>
        <w:rPr>
          <w:i/>
          <w:szCs w:val="22"/>
          <w:lang w:val="en-US" w:eastAsia="en-GB" w:bidi="ar-SA"/>
        </w:rPr>
        <w:t>) conveys the [message id] of the related message.</w:t>
      </w:r>
    </w:p>
    <w:p w14:paraId="0D415166" w14:textId="77777777" w:rsidR="00B97365" w:rsidRDefault="00000000">
      <w:pPr>
        <w:spacing w:before="0" w:after="200" w:line="276" w:lineRule="auto"/>
        <w:jc w:val="left"/>
        <w:rPr>
          <w:szCs w:val="22"/>
          <w:lang w:val="en-US" w:eastAsia="en-GB" w:bidi="ar-SA"/>
        </w:rPr>
      </w:pPr>
      <w:r>
        <w:rPr>
          <w:rFonts w:cs="Arial"/>
          <w:szCs w:val="22"/>
          <w:lang w:val="en-US" w:eastAsia="en-GB" w:bidi="ar-SA"/>
        </w:rPr>
        <w:t xml:space="preserve">In the context of this specification this element is MANDATORY if the message is an asynchronous response. This element SHALL be filled with the value of the </w:t>
      </w:r>
      <w:r>
        <w:rPr>
          <w:rFonts w:ascii="Courier New" w:hAnsi="Courier New" w:cs="Courier New"/>
          <w:szCs w:val="22"/>
          <w:lang w:val="en-US" w:eastAsia="en-GB" w:bidi="ar-SA"/>
        </w:rPr>
        <w:t xml:space="preserve">&lt;wsa:MessageID&gt; </w:t>
      </w:r>
      <w:r>
        <w:rPr>
          <w:rFonts w:cs="Arial"/>
          <w:szCs w:val="22"/>
          <w:lang w:val="en-US" w:eastAsia="en-GB" w:bidi="ar-SA"/>
        </w:rPr>
        <w:t>of the related request.</w:t>
      </w:r>
    </w:p>
    <w:p w14:paraId="1DDC66C3"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Example:</w:t>
      </w:r>
    </w:p>
    <w:p w14:paraId="2B5EFCD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following content in SOAP request:</w:t>
      </w:r>
    </w:p>
    <w:p w14:paraId="761782B3" w14:textId="77777777" w:rsidR="00B97365" w:rsidRDefault="00000000">
      <w:pPr>
        <w:pStyle w:val="ED-CODEBlock"/>
        <w:ind w:left="357"/>
      </w:pPr>
      <w:bookmarkStart w:id="11693" w:name="_Toc420595080"/>
      <w:r>
        <w:t>&lt;wsa:MessageID&gt;//MySenderDomain/123?TransactionId=MyTansactionID1?ContextId=MyContextID1?MessageDate=2013-04-18T09:45:00Z&lt;/wsa:MessageID&gt;</w:t>
      </w:r>
      <w:bookmarkEnd w:id="11693"/>
    </w:p>
    <w:p w14:paraId="7EFDF3C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triggers the following determination of &lt;rps3:relatesTo&gt;:</w:t>
      </w:r>
    </w:p>
    <w:p w14:paraId="6F7D0E26" w14:textId="77777777" w:rsidR="00B97365" w:rsidRDefault="00000000">
      <w:pPr>
        <w:pStyle w:val="ED-CODEBlock"/>
        <w:ind w:left="357"/>
      </w:pPr>
      <w:r>
        <w:t>&lt;rps:RelatesTo&gt;//MySenderDomain/123&lt;/rps:RelatesTo&gt;</w:t>
      </w:r>
    </w:p>
    <w:p w14:paraId="2B94BC52" w14:textId="77777777" w:rsidR="00B97365" w:rsidRDefault="00B97365">
      <w:pPr>
        <w:rPr>
          <w:rFonts w:ascii="Courier New" w:hAnsi="Courier New" w:cs="Courier New"/>
          <w:lang w:val="en-US"/>
        </w:rPr>
      </w:pPr>
    </w:p>
    <w:p w14:paraId="04095AA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w:t>
      </w:r>
      <w:r>
        <w:rPr>
          <w:rFonts w:ascii="Courier New" w:hAnsi="Courier New" w:cs="Courier New"/>
          <w:lang w:val="en-US"/>
        </w:rPr>
        <w:t xml:space="preserve">&lt;wsa:RelatesTo&gt; </w:t>
      </w:r>
      <w:r>
        <w:rPr>
          <w:rFonts w:cs="Arial"/>
          <w:szCs w:val="22"/>
          <w:lang w:val="en-US" w:eastAsia="en-GB" w:bidi="ar-SA"/>
        </w:rPr>
        <w:t>in the</w:t>
      </w:r>
      <w:r>
        <w:rPr>
          <w:rFonts w:ascii="Courier New" w:hAnsi="Courier New" w:cs="Courier New"/>
          <w:lang w:val="en-US"/>
        </w:rPr>
        <w:t xml:space="preserve"> </w:t>
      </w:r>
      <w:r>
        <w:rPr>
          <w:rFonts w:cs="Arial"/>
          <w:szCs w:val="22"/>
          <w:lang w:val="en-US" w:eastAsia="en-GB" w:bidi="ar-SA"/>
        </w:rPr>
        <w:t xml:space="preserve">SOAP response SHALL be equal to the </w:t>
      </w:r>
      <w:r>
        <w:rPr>
          <w:rFonts w:ascii="Courier New" w:hAnsi="Courier New" w:cs="Courier New"/>
          <w:lang w:val="en-US"/>
        </w:rPr>
        <w:t>&lt;</w:t>
      </w:r>
      <w:r>
        <w:rPr>
          <w:rFonts w:ascii="Courier New" w:hAnsi="Courier New" w:cs="Courier New"/>
          <w:sz w:val="20"/>
          <w:lang w:val="en-US"/>
        </w:rPr>
        <w:t>wsa:MessageID</w:t>
      </w:r>
      <w:r>
        <w:rPr>
          <w:rFonts w:ascii="Courier New" w:hAnsi="Courier New" w:cs="Courier New"/>
          <w:lang w:val="en-US"/>
        </w:rPr>
        <w:t xml:space="preserve">&gt; </w:t>
      </w:r>
      <w:r>
        <w:rPr>
          <w:rFonts w:cs="Arial"/>
          <w:szCs w:val="22"/>
          <w:lang w:val="en-US" w:eastAsia="en-GB" w:bidi="ar-SA"/>
        </w:rPr>
        <w:t>of the request:</w:t>
      </w:r>
    </w:p>
    <w:p w14:paraId="75E7695E" w14:textId="77777777" w:rsidR="00B97365" w:rsidRDefault="00000000">
      <w:pPr>
        <w:pStyle w:val="ED-CODEBlock"/>
        <w:ind w:left="357"/>
      </w:pPr>
      <w:r>
        <w:t>&lt;wsa:RelatesTo&gt;//MySenderDomain/123?TransactionId=MyTansactionID1?ContextId=MyContextID1?MessageDate=2013-04-18T09:45:00Z&lt;/wsa:RelatesTo&gt;</w:t>
      </w:r>
    </w:p>
    <w:p w14:paraId="49C23DE6" w14:textId="77777777" w:rsidR="00B97365" w:rsidRDefault="00B97365">
      <w:pPr>
        <w:rPr>
          <w:rFonts w:ascii="Courier New" w:hAnsi="Courier New" w:cs="Courier New"/>
          <w:lang w:val="en-US"/>
        </w:rPr>
      </w:pPr>
    </w:p>
    <w:p w14:paraId="3BCD790C"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lastRenderedPageBreak/>
        <w:t>NOTE:</w:t>
      </w:r>
      <w:r>
        <w:rPr>
          <w:szCs w:val="22"/>
          <w:lang w:val="en-US" w:eastAsia="en-GB" w:bidi="ar-SA"/>
        </w:rPr>
        <w:tab/>
        <w:t xml:space="preserve">There is no direct mapping from </w:t>
      </w:r>
      <w:r>
        <w:rPr>
          <w:rFonts w:ascii="Courier New" w:hAnsi="Courier New" w:cs="Courier New"/>
          <w:lang w:val="en-US"/>
        </w:rPr>
        <w:t>&lt;rps3:RelatesTo&gt;</w:t>
      </w:r>
      <w:r>
        <w:rPr>
          <w:szCs w:val="22"/>
          <w:lang w:val="en-US" w:eastAsia="en-GB" w:bidi="ar-SA"/>
        </w:rPr>
        <w:t xml:space="preserve"> to </w:t>
      </w:r>
      <w:r>
        <w:rPr>
          <w:rFonts w:ascii="Courier New" w:hAnsi="Courier New" w:cs="Courier New"/>
          <w:lang w:val="en-US"/>
        </w:rPr>
        <w:t>&lt;wsa:RelatesTo&gt;</w:t>
      </w:r>
      <w:r>
        <w:rPr>
          <w:szCs w:val="22"/>
          <w:lang w:val="en-US" w:eastAsia="en-GB" w:bidi="ar-SA"/>
        </w:rPr>
        <w:t xml:space="preserve">. The </w:t>
      </w:r>
      <w:r>
        <w:rPr>
          <w:rFonts w:ascii="Courier New" w:hAnsi="Courier New" w:cs="Courier New"/>
          <w:lang w:val="en-US"/>
        </w:rPr>
        <w:t>&lt;wsa:RelatesTo&gt;</w:t>
      </w:r>
      <w:r>
        <w:rPr>
          <w:szCs w:val="22"/>
          <w:lang w:val="en-US" w:eastAsia="en-GB" w:bidi="ar-SA"/>
        </w:rPr>
        <w:t xml:space="preserve"> SHALL be equal to </w:t>
      </w:r>
      <w:r>
        <w:rPr>
          <w:rFonts w:ascii="Courier New" w:hAnsi="Courier New" w:cs="Courier New"/>
          <w:lang w:val="en-US"/>
        </w:rPr>
        <w:t>&lt;wsa:MessageId&gt;</w:t>
      </w:r>
      <w:r>
        <w:rPr>
          <w:szCs w:val="22"/>
          <w:lang w:val="en-US" w:eastAsia="en-GB" w:bidi="ar-SA"/>
        </w:rPr>
        <w:t xml:space="preserve"> from the request, while </w:t>
      </w:r>
      <w:r>
        <w:rPr>
          <w:rFonts w:ascii="Courier New" w:hAnsi="Courier New" w:cs="Courier New"/>
          <w:lang w:val="en-US"/>
        </w:rPr>
        <w:t>&lt;rps3:RelatesTo&gt;</w:t>
      </w:r>
      <w:r>
        <w:rPr>
          <w:szCs w:val="22"/>
          <w:lang w:val="en-US" w:eastAsia="en-GB" w:bidi="ar-SA"/>
        </w:rPr>
        <w:t xml:space="preserve"> is only a subset of </w:t>
      </w:r>
      <w:r>
        <w:rPr>
          <w:rFonts w:ascii="Courier New" w:hAnsi="Courier New" w:cs="Courier New"/>
          <w:lang w:val="en-US"/>
        </w:rPr>
        <w:t>&lt;wsa:RelatesTo&gt;</w:t>
      </w:r>
      <w:r>
        <w:rPr>
          <w:szCs w:val="22"/>
          <w:lang w:val="en-US" w:eastAsia="en-GB" w:bidi="ar-SA"/>
        </w:rPr>
        <w:t>.</w:t>
      </w:r>
    </w:p>
    <w:p w14:paraId="54A988B1" w14:textId="77777777" w:rsidR="00B97365" w:rsidRDefault="00B97365">
      <w:pPr>
        <w:rPr>
          <w:rFonts w:cs="Arial"/>
          <w:szCs w:val="22"/>
          <w:lang w:val="en-US" w:eastAsia="en-GB" w:bidi="ar-SA"/>
        </w:rPr>
      </w:pPr>
    </w:p>
    <w:p w14:paraId="06EDC525" w14:textId="77777777" w:rsidR="00B97365" w:rsidRDefault="00000000">
      <w:pPr>
        <w:rPr>
          <w:rFonts w:cs="Arial"/>
          <w:szCs w:val="22"/>
          <w:lang w:val="en-US" w:eastAsia="en-GB" w:bidi="ar-SA"/>
        </w:rPr>
      </w:pPr>
      <w:r>
        <w:rPr>
          <w:rFonts w:cs="Arial"/>
          <w:szCs w:val="22"/>
          <w:lang w:val="en-US" w:eastAsia="en-GB" w:bidi="ar-SA"/>
        </w:rPr>
        <w:t>A function requester receiving a SOAP response from a function provider compliant with a version v3.2 or earlier of the current specification, SHOULD be ready to handle a &lt;wsa:RelatesTo&gt; value that is not equal to the value of the &lt;wsa:MessageID&gt; of the SOAP request.</w:t>
      </w:r>
    </w:p>
    <w:p w14:paraId="6AB0E3E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A function provider sending a SOAP response to a function requester compliant with a version v3.2 or earlier of the current specification, MAY return a &lt;wsa:RelatesTo&gt; value that is not equal to the value of the &lt;wsa:MessageID&gt; of the SOAP request.</w:t>
      </w:r>
    </w:p>
    <w:p w14:paraId="1F24B984" w14:textId="77777777" w:rsidR="00B97365" w:rsidRDefault="00000000">
      <w:pPr>
        <w:tabs>
          <w:tab w:val="left" w:pos="1560"/>
        </w:tabs>
        <w:spacing w:before="0" w:after="200" w:line="276" w:lineRule="auto"/>
        <w:ind w:left="1559" w:hanging="1202"/>
        <w:jc w:val="left"/>
        <w:rPr>
          <w:sz w:val="20"/>
          <w:szCs w:val="22"/>
          <w:lang w:val="en-US" w:eastAsia="en-GB" w:bidi="ar-SA"/>
        </w:rPr>
      </w:pPr>
      <w:r>
        <w:rPr>
          <w:szCs w:val="22"/>
          <w:lang w:val="en-US" w:eastAsia="en-GB" w:bidi="ar-SA"/>
        </w:rPr>
        <w:t>NOTE:</w:t>
      </w:r>
      <w:r>
        <w:rPr>
          <w:szCs w:val="22"/>
          <w:lang w:val="en-US" w:eastAsia="en-GB" w:bidi="ar-SA"/>
        </w:rPr>
        <w:tab/>
        <w:t>Versions v3.2 and earlier derived from WS-Addressing specification [41], and stated that the &lt;wsa:RelatesTo&gt; was equal to the &lt;rps3:relatesTo&gt;, and consequently, equal to the &lt;rps3:messageId&gt; of the corresponding request, but different from the &lt;wsa:MessageID&gt; of the corresponding request.</w:t>
      </w:r>
    </w:p>
    <w:p w14:paraId="5EEDBC31" w14:textId="77777777" w:rsidR="00B97365" w:rsidRDefault="00B97365">
      <w:pPr>
        <w:spacing w:before="0" w:after="200" w:line="276" w:lineRule="auto"/>
        <w:jc w:val="left"/>
        <w:rPr>
          <w:rFonts w:cs="Calibri"/>
          <w:szCs w:val="22"/>
          <w:lang w:val="en-US" w:eastAsia="en-GB" w:bidi="ar-SA"/>
        </w:rPr>
      </w:pPr>
    </w:p>
    <w:p w14:paraId="61598954"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11694" w:name="_Toc420595081"/>
      <w:bookmarkStart w:id="11695" w:name="_Toc398215080"/>
      <w:bookmarkStart w:id="11696" w:name="_Toc375158496"/>
      <w:bookmarkStart w:id="11697" w:name="_Toc368932504"/>
      <w:bookmarkStart w:id="11698" w:name="_Toc1977488"/>
      <w:bookmarkStart w:id="11699" w:name="_Toc37062647"/>
      <w:r>
        <w:rPr>
          <w:rFonts w:ascii="Arial Bold" w:hAnsi="Arial Bold"/>
          <w:szCs w:val="22"/>
          <w:lang w:val="fr-FR" w:eastAsia="en-US"/>
        </w:rPr>
        <w:t>Use of WS-MakeConnection</w:t>
      </w:r>
      <w:bookmarkEnd w:id="11694"/>
      <w:bookmarkEnd w:id="11695"/>
      <w:bookmarkEnd w:id="11696"/>
      <w:bookmarkEnd w:id="11697"/>
      <w:bookmarkEnd w:id="11698"/>
      <w:bookmarkEnd w:id="11699"/>
    </w:p>
    <w:p w14:paraId="42F63A13" w14:textId="1AE14C79" w:rsidR="00B97365" w:rsidRDefault="00000000">
      <w:pPr>
        <w:spacing w:before="0" w:after="200" w:line="276" w:lineRule="auto"/>
        <w:rPr>
          <w:szCs w:val="22"/>
          <w:lang w:val="en-US" w:eastAsia="en-GB" w:bidi="ar-SA"/>
        </w:rPr>
      </w:pPr>
      <w:r>
        <w:rPr>
          <w:rFonts w:cs="Arial"/>
          <w:szCs w:val="22"/>
          <w:lang w:val="en-US" w:eastAsia="en-GB" w:bidi="ar-SA"/>
        </w:rPr>
        <w:t xml:space="preserve">WS-MakeConnection SHALL be used in asynchronous scenarios when the receiving party of a request cannot initiate a connection to the sending party (due to network security constraints for example). In this scenario, the sending party SHALL poll for a processed request using WS-MakeConnection </w:t>
      </w:r>
      <w:r>
        <w:fldChar w:fldCharType="begin"/>
      </w:r>
      <w:r>
        <w:rPr>
          <w:szCs w:val="22"/>
          <w:lang w:val="en-US" w:eastAsia="en-GB" w:bidi="ar-SA"/>
        </w:rPr>
        <w:instrText xml:space="preserve"> REF _Ref421635172 \r \h </w:instrText>
      </w:r>
      <w:r>
        <w:instrText xml:space="preserve"> \* MERGEFORMAT </w:instrText>
      </w:r>
      <w:r>
        <w:fldChar w:fldCharType="separate"/>
      </w:r>
      <w:r w:rsidR="001D5AD9">
        <w:rPr>
          <w:szCs w:val="22"/>
          <w:lang w:val="en-US" w:eastAsia="en-GB" w:bidi="ar-SA"/>
        </w:rPr>
        <w:t>[43]</w:t>
      </w:r>
      <w:r>
        <w:fldChar w:fldCharType="end"/>
      </w:r>
      <w:r>
        <w:rPr>
          <w:szCs w:val="22"/>
          <w:lang w:val="en-US" w:eastAsia="en-GB" w:bidi="ar-SA"/>
        </w:rPr>
        <w:t>. This scenario is described in the Message Exchange Pattern: Asynchronous with Polling (</w:t>
      </w:r>
      <w:r>
        <w:fldChar w:fldCharType="begin"/>
      </w:r>
      <w:r>
        <w:rPr>
          <w:szCs w:val="22"/>
          <w:lang w:val="en-US" w:eastAsia="en-GB" w:bidi="ar-SA"/>
        </w:rPr>
        <w:instrText xml:space="preserve"> REF _Ref421660513 \r \h </w:instrText>
      </w:r>
      <w:r>
        <w:instrText xml:space="preserve"> \* MERGEFORMAT </w:instrText>
      </w:r>
      <w:r>
        <w:fldChar w:fldCharType="separate"/>
      </w:r>
      <w:r w:rsidR="001D5AD9">
        <w:rPr>
          <w:szCs w:val="22"/>
          <w:lang w:val="en-US" w:eastAsia="en-GB" w:bidi="ar-SA"/>
        </w:rPr>
        <w:t>Annex B</w:t>
      </w:r>
      <w:r>
        <w:fldChar w:fldCharType="end"/>
      </w:r>
      <w:r>
        <w:rPr>
          <w:szCs w:val="22"/>
          <w:lang w:val="en-US" w:eastAsia="en-GB" w:bidi="ar-SA"/>
        </w:rPr>
        <w:t>-Section 2.3.3).</w:t>
      </w:r>
    </w:p>
    <w:p w14:paraId="7B1ECD94" w14:textId="2D375DC4" w:rsidR="00B97365" w:rsidRDefault="00000000">
      <w:pPr>
        <w:spacing w:before="0" w:after="200" w:line="276" w:lineRule="auto"/>
        <w:rPr>
          <w:szCs w:val="22"/>
          <w:lang w:val="en-US" w:eastAsia="en-GB" w:bidi="ar-SA"/>
        </w:rPr>
      </w:pPr>
      <w:r>
        <w:rPr>
          <w:rFonts w:cs="Arial"/>
          <w:szCs w:val="22"/>
          <w:lang w:val="en-US" w:eastAsia="en-GB" w:bidi="ar-SA"/>
        </w:rPr>
        <w:t xml:space="preserve">All the following elements are described in further detail in WS-MakeConnection </w:t>
      </w:r>
      <w:r>
        <w:fldChar w:fldCharType="begin"/>
      </w:r>
      <w:r>
        <w:rPr>
          <w:szCs w:val="22"/>
          <w:lang w:val="en-US" w:eastAsia="en-GB" w:bidi="ar-SA"/>
        </w:rPr>
        <w:instrText xml:space="preserve"> REF _Ref421635172 \r \h </w:instrText>
      </w:r>
      <w:r>
        <w:instrText xml:space="preserve"> \* MERGEFORMAT </w:instrText>
      </w:r>
      <w:r>
        <w:fldChar w:fldCharType="separate"/>
      </w:r>
      <w:r w:rsidR="001D5AD9">
        <w:rPr>
          <w:szCs w:val="22"/>
          <w:lang w:val="en-US" w:eastAsia="en-GB" w:bidi="ar-SA"/>
        </w:rPr>
        <w:t>[43]</w:t>
      </w:r>
      <w:r>
        <w:fldChar w:fldCharType="end"/>
      </w:r>
      <w:r>
        <w:rPr>
          <w:szCs w:val="22"/>
          <w:lang w:val="en-US" w:eastAsia="en-GB" w:bidi="ar-SA"/>
        </w:rPr>
        <w:t>, only the elements that are used throughout this document are detailed here.</w:t>
      </w:r>
    </w:p>
    <w:p w14:paraId="67C1AF6F" w14:textId="7CF9FFD5" w:rsidR="00B97365" w:rsidRDefault="00000000">
      <w:pPr>
        <w:spacing w:before="0" w:after="200" w:line="276" w:lineRule="auto"/>
        <w:rPr>
          <w:szCs w:val="22"/>
          <w:lang w:val="en-US" w:eastAsia="en-GB" w:bidi="ar-SA"/>
        </w:rPr>
      </w:pPr>
      <w:r>
        <w:rPr>
          <w:rFonts w:cs="Arial"/>
          <w:szCs w:val="22"/>
          <w:lang w:val="en-US" w:eastAsia="en-GB" w:bidi="ar-SA"/>
        </w:rPr>
        <w:t xml:space="preserve">To indicate to the Function provider that the Function requester is not addressable and will use Asynchronous with polling MEP (see </w:t>
      </w:r>
      <w:r>
        <w:fldChar w:fldCharType="begin"/>
      </w:r>
      <w:r>
        <w:rPr>
          <w:szCs w:val="22"/>
          <w:lang w:val="en-US" w:eastAsia="en-GB" w:bidi="ar-SA"/>
        </w:rPr>
        <w:instrText xml:space="preserve"> REF _Ref421869535 \r \h </w:instrText>
      </w:r>
      <w:r>
        <w:instrText xml:space="preserve"> \* MERGEFORMAT </w:instrText>
      </w:r>
      <w:r>
        <w:fldChar w:fldCharType="separate"/>
      </w:r>
      <w:r w:rsidR="001D5AD9">
        <w:rPr>
          <w:szCs w:val="22"/>
          <w:lang w:val="en-US" w:eastAsia="en-GB" w:bidi="ar-SA"/>
        </w:rPr>
        <w:t>B.2.3.3</w:t>
      </w:r>
      <w:r>
        <w:fldChar w:fldCharType="end"/>
      </w:r>
      <w:r>
        <w:rPr>
          <w:szCs w:val="22"/>
          <w:lang w:val="en-US" w:eastAsia="en-GB" w:bidi="ar-SA"/>
        </w:rPr>
        <w:t>), the /wsa:ReplyTo header element SHALL indicate one of the two anonymous URL:</w:t>
      </w:r>
    </w:p>
    <w:p w14:paraId="0C741B28" w14:textId="77777777" w:rsidR="00B97365" w:rsidRDefault="00000000">
      <w:pPr>
        <w:numPr>
          <w:ilvl w:val="0"/>
          <w:numId w:val="38"/>
        </w:numPr>
        <w:tabs>
          <w:tab w:val="left" w:pos="680"/>
        </w:tabs>
        <w:spacing w:before="0" w:after="200" w:line="276" w:lineRule="auto"/>
        <w:contextualSpacing/>
        <w:rPr>
          <w:szCs w:val="22"/>
          <w:lang w:eastAsia="en-GB" w:bidi="ar-SA"/>
        </w:rPr>
      </w:pPr>
      <w:r>
        <w:rPr>
          <w:szCs w:val="22"/>
          <w:lang w:eastAsia="en-GB" w:bidi="ar-SA"/>
        </w:rPr>
        <w:t>The WS-Addressing  anonymous URL ‘http://www.w3.org/2005/08/addressing/anonymous’. This SHALL allow the function requester to poll for the first response message available for the function requester</w:t>
      </w:r>
    </w:p>
    <w:p w14:paraId="5D427B3C" w14:textId="77777777" w:rsidR="00B97365" w:rsidRDefault="00000000">
      <w:pPr>
        <w:numPr>
          <w:ilvl w:val="0"/>
          <w:numId w:val="38"/>
        </w:numPr>
        <w:tabs>
          <w:tab w:val="left" w:pos="680"/>
        </w:tabs>
        <w:spacing w:before="0" w:after="200" w:line="276" w:lineRule="auto"/>
        <w:contextualSpacing/>
        <w:rPr>
          <w:szCs w:val="22"/>
          <w:lang w:eastAsia="en-GB" w:bidi="ar-SA"/>
        </w:rPr>
      </w:pPr>
      <w:r>
        <w:rPr>
          <w:szCs w:val="22"/>
          <w:lang w:eastAsia="en-GB" w:bidi="ar-SA"/>
        </w:rPr>
        <w:t>The WS-MakeConnection anonymous URL ‘http://docs.oasis-open.org/ws-rx/wsmc/200702/anonymous?id=&lt;value of &lt;wsa:MessageId&gt;’. This SHALL allow the Function requester to poll for the response for this specific message.</w:t>
      </w:r>
    </w:p>
    <w:p w14:paraId="5A7EA55B" w14:textId="77777777" w:rsidR="00B97365" w:rsidRDefault="00B97365">
      <w:pPr>
        <w:tabs>
          <w:tab w:val="left" w:pos="680"/>
        </w:tabs>
        <w:spacing w:before="0" w:after="200" w:line="276" w:lineRule="auto"/>
        <w:contextualSpacing/>
        <w:rPr>
          <w:rFonts w:cs="Arial"/>
          <w:szCs w:val="22"/>
          <w:lang w:eastAsia="en-GB" w:bidi="ar-SA"/>
        </w:rPr>
      </w:pPr>
    </w:p>
    <w:p w14:paraId="479A77DD" w14:textId="19D4056E" w:rsidR="00B97365" w:rsidRDefault="00000000">
      <w:pPr>
        <w:spacing w:before="0" w:after="200" w:line="276" w:lineRule="auto"/>
        <w:rPr>
          <w:szCs w:val="22"/>
          <w:lang w:val="en-US" w:eastAsia="en-GB" w:bidi="ar-SA"/>
        </w:rPr>
      </w:pPr>
      <w:r>
        <w:rPr>
          <w:rFonts w:cs="Arial"/>
          <w:szCs w:val="22"/>
          <w:lang w:val="en-US" w:eastAsia="en-GB" w:bidi="ar-SA"/>
        </w:rPr>
        <w:t xml:space="preserve">By using one of the two above anonymous /wsa:ReplyTo URL constructs, the Function provider knows that ‘Asynchronous with Polling’ mode is requested and SHALL answer with HTTP 202 (ACCEPT), see </w:t>
      </w:r>
      <w:r>
        <w:fldChar w:fldCharType="begin"/>
      </w:r>
      <w:r>
        <w:rPr>
          <w:szCs w:val="22"/>
          <w:lang w:val="en-US" w:eastAsia="en-GB" w:bidi="ar-SA"/>
        </w:rPr>
        <w:instrText xml:space="preserve"> REF _Ref421869550 \r \h </w:instrText>
      </w:r>
      <w:r>
        <w:instrText xml:space="preserve"> \* MERGEFORMAT </w:instrText>
      </w:r>
      <w:r>
        <w:fldChar w:fldCharType="separate"/>
      </w:r>
      <w:r w:rsidR="001D5AD9">
        <w:rPr>
          <w:szCs w:val="22"/>
          <w:lang w:val="en-US" w:eastAsia="en-GB" w:bidi="ar-SA"/>
        </w:rPr>
        <w:t>B.2.3.3</w:t>
      </w:r>
      <w:r>
        <w:fldChar w:fldCharType="end"/>
      </w:r>
      <w:r>
        <w:rPr>
          <w:szCs w:val="22"/>
          <w:lang w:val="en-US" w:eastAsia="en-GB" w:bidi="ar-SA"/>
        </w:rPr>
        <w:t>.</w:t>
      </w:r>
    </w:p>
    <w:p w14:paraId="0BF53108"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 xml:space="preserve">To get a Function execution response, The Function provider SHALL send a new SOAP message with the /wsmc:MakeConnection element in the body; this new message establishes </w:t>
      </w:r>
      <w:r>
        <w:rPr>
          <w:rFonts w:cs="Arial"/>
          <w:szCs w:val="22"/>
          <w:lang w:val="en-US" w:eastAsia="en-GB" w:bidi="ar-SA"/>
        </w:rPr>
        <w:lastRenderedPageBreak/>
        <w:t xml:space="preserve">a contextualised back-channel for the transmission of the message response according to matching criteria (defined below). </w:t>
      </w:r>
    </w:p>
    <w:p w14:paraId="5866A7EB"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In the context of this specification, the SOAP message allowing getting a function execution response message SHALL contain:</w:t>
      </w:r>
    </w:p>
    <w:p w14:paraId="7544BC0F"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In the Header:</w:t>
      </w:r>
    </w:p>
    <w:p w14:paraId="68EF758C" w14:textId="77777777" w:rsidR="00B97365" w:rsidRDefault="00000000">
      <w:pPr>
        <w:numPr>
          <w:ilvl w:val="0"/>
          <w:numId w:val="38"/>
        </w:numPr>
        <w:tabs>
          <w:tab w:val="left" w:pos="680"/>
        </w:tabs>
        <w:spacing w:before="0" w:after="200" w:line="276" w:lineRule="auto"/>
        <w:contextualSpacing/>
        <w:rPr>
          <w:szCs w:val="22"/>
          <w:lang w:eastAsia="en-GB" w:bidi="ar-SA"/>
        </w:rPr>
      </w:pPr>
      <w:r>
        <w:rPr>
          <w:rFonts w:ascii="Courier New" w:hAnsi="Courier New" w:cs="Courier New"/>
          <w:szCs w:val="22"/>
          <w:lang w:eastAsia="en-GB" w:bidi="ar-SA"/>
        </w:rPr>
        <w:t>/wsa:Action</w:t>
      </w:r>
      <w:r>
        <w:rPr>
          <w:szCs w:val="22"/>
          <w:lang w:eastAsia="en-GB" w:bidi="ar-SA"/>
        </w:rPr>
        <w:t xml:space="preserve"> element with the specific value ‘http://docs.oasis-open.org/ws-rx/wsmc/200702/MakeConnection’</w:t>
      </w:r>
    </w:p>
    <w:p w14:paraId="457D5D7E"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In the body:</w:t>
      </w:r>
    </w:p>
    <w:p w14:paraId="7578783F" w14:textId="77777777" w:rsidR="00B97365" w:rsidRDefault="00000000">
      <w:pPr>
        <w:numPr>
          <w:ilvl w:val="0"/>
          <w:numId w:val="38"/>
        </w:numPr>
        <w:tabs>
          <w:tab w:val="left" w:pos="680"/>
        </w:tabs>
        <w:spacing w:before="0" w:after="200" w:line="276" w:lineRule="auto"/>
        <w:contextualSpacing/>
        <w:rPr>
          <w:szCs w:val="22"/>
          <w:lang w:eastAsia="en-GB" w:bidi="ar-SA"/>
        </w:rPr>
      </w:pPr>
      <w:r>
        <w:rPr>
          <w:rFonts w:ascii="Courier New" w:hAnsi="Courier New" w:cs="Courier New"/>
          <w:szCs w:val="22"/>
          <w:lang w:eastAsia="en-GB" w:bidi="ar-SA"/>
        </w:rPr>
        <w:t>/wmc:MakeConnection</w:t>
      </w:r>
      <w:r>
        <w:rPr>
          <w:szCs w:val="22"/>
          <w:lang w:eastAsia="en-GB" w:bidi="ar-SA"/>
        </w:rPr>
        <w:t xml:space="preserve"> element with a sub element /</w:t>
      </w:r>
      <w:r>
        <w:rPr>
          <w:rFonts w:ascii="Courier New" w:hAnsi="Courier New" w:cs="Courier New"/>
          <w:szCs w:val="22"/>
          <w:lang w:eastAsia="en-GB" w:bidi="ar-SA"/>
        </w:rPr>
        <w:t>wsmc:Address</w:t>
      </w:r>
      <w:r>
        <w:rPr>
          <w:szCs w:val="22"/>
          <w:lang w:eastAsia="en-GB" w:bidi="ar-SA"/>
        </w:rPr>
        <w:t xml:space="preserve"> containing one of the anonymous URI defined here above and identifying the initiating endpoint contained in the /wsa:ReplyTo element of the original function execution request. Function provider SHALL NOT return message response in the HTTP response unless they have been addressed to this URI.</w:t>
      </w:r>
      <w:bookmarkEnd w:id="11691"/>
    </w:p>
    <w:p w14:paraId="29AA020C" w14:textId="77777777" w:rsidR="00B97365" w:rsidRDefault="00000000">
      <w:pPr>
        <w:numPr>
          <w:ilvl w:val="1"/>
          <w:numId w:val="38"/>
        </w:numPr>
        <w:tabs>
          <w:tab w:val="left" w:pos="1021"/>
        </w:tabs>
        <w:spacing w:before="0" w:after="200" w:line="276" w:lineRule="auto"/>
        <w:contextualSpacing/>
        <w:rPr>
          <w:szCs w:val="22"/>
          <w:lang w:eastAsia="en-GB" w:bidi="ar-SA"/>
        </w:rPr>
      </w:pPr>
      <w:r>
        <w:rPr>
          <w:szCs w:val="22"/>
          <w:lang w:eastAsia="en-GB" w:bidi="ar-SA"/>
        </w:rPr>
        <w:t>If the Function provider has not any response ready for the Function requester it SHALL answer with an empty response and HTTP 202 (ACCEPT)</w:t>
      </w:r>
    </w:p>
    <w:p w14:paraId="7A1D5541" w14:textId="77777777" w:rsidR="00B97365" w:rsidRDefault="00000000">
      <w:pPr>
        <w:numPr>
          <w:ilvl w:val="1"/>
          <w:numId w:val="38"/>
        </w:numPr>
        <w:tabs>
          <w:tab w:val="left" w:pos="1021"/>
        </w:tabs>
        <w:spacing w:before="0" w:after="200" w:line="276" w:lineRule="auto"/>
        <w:contextualSpacing/>
        <w:rPr>
          <w:szCs w:val="22"/>
          <w:lang w:eastAsia="en-GB" w:bidi="ar-SA"/>
        </w:rPr>
      </w:pPr>
      <w:r>
        <w:rPr>
          <w:szCs w:val="22"/>
          <w:lang w:eastAsia="en-GB" w:bidi="ar-SA"/>
        </w:rPr>
        <w:t>If the Function provider has a response ready it SHALL return the response and use HTTP response code 200 (OK)</w:t>
      </w:r>
    </w:p>
    <w:p w14:paraId="525CA914" w14:textId="77777777" w:rsidR="00B97365" w:rsidRDefault="00000000">
      <w:pPr>
        <w:keepNext/>
        <w:keepLines/>
        <w:numPr>
          <w:ilvl w:val="3"/>
          <w:numId w:val="8"/>
        </w:numPr>
        <w:spacing w:before="240" w:after="60" w:line="276" w:lineRule="auto"/>
        <w:jc w:val="left"/>
        <w:outlineLvl w:val="3"/>
        <w:rPr>
          <w:rFonts w:ascii="Arial Bold" w:hAnsi="Arial Bold"/>
          <w:szCs w:val="22"/>
          <w:lang w:val="fr-FR" w:eastAsia="en-GB" w:bidi="ar-SA"/>
        </w:rPr>
      </w:pPr>
      <w:bookmarkStart w:id="11700" w:name="_Toc1977489"/>
      <w:bookmarkStart w:id="11701" w:name="_Toc37062648"/>
      <w:r>
        <w:rPr>
          <w:rFonts w:ascii="Arial Bold" w:hAnsi="Arial Bold"/>
          <w:szCs w:val="22"/>
          <w:lang w:val="fr-FR" w:eastAsia="en-GB" w:bidi="ar-SA"/>
        </w:rPr>
        <w:t>RPS Body Binding and signature</w:t>
      </w:r>
      <w:bookmarkEnd w:id="11700"/>
      <w:bookmarkEnd w:id="11701"/>
    </w:p>
    <w:p w14:paraId="47CF57E1" w14:textId="77777777" w:rsidR="00B97365" w:rsidRDefault="00000000">
      <w:pPr>
        <w:spacing w:before="0" w:after="200" w:line="276" w:lineRule="auto"/>
        <w:jc w:val="left"/>
        <w:rPr>
          <w:szCs w:val="22"/>
          <w:lang w:val="en-US" w:eastAsia="en-GB" w:bidi="ar-SA"/>
        </w:rPr>
      </w:pPr>
      <w:r>
        <w:rPr>
          <w:szCs w:val="22"/>
          <w:lang w:val="en-US" w:eastAsia="en-GB" w:bidi="ar-SA"/>
        </w:rPr>
        <w:t xml:space="preserve">At least the RPS Body elements which are used for signature computation or verification (for example rps3:EumSignedInfo and ds:SignedInfo) SHALL have whitespaces between XML nodes trimmed (i.e. remove leading and trailing whitespaces). </w:t>
      </w:r>
    </w:p>
    <w:p w14:paraId="786B36FD" w14:textId="77777777" w:rsidR="00B97365" w:rsidRDefault="00000000">
      <w:pPr>
        <w:spacing w:before="0" w:after="200" w:line="276" w:lineRule="auto"/>
        <w:jc w:val="left"/>
        <w:rPr>
          <w:szCs w:val="22"/>
          <w:lang w:val="fr-FR" w:eastAsia="en-GB" w:bidi="ar-SA"/>
        </w:rPr>
      </w:pPr>
      <w:r>
        <w:rPr>
          <w:szCs w:val="22"/>
          <w:lang w:val="fr-FR" w:eastAsia="en-GB" w:bidi="ar-SA"/>
        </w:rPr>
        <w:t>Example :</w:t>
      </w:r>
    </w:p>
    <w:p w14:paraId="44298976" w14:textId="77777777" w:rsidR="00B97365" w:rsidRDefault="00000000">
      <w:pPr>
        <w:numPr>
          <w:ilvl w:val="0"/>
          <w:numId w:val="51"/>
        </w:numPr>
        <w:spacing w:before="0" w:after="200" w:line="276" w:lineRule="auto"/>
        <w:jc w:val="left"/>
        <w:rPr>
          <w:szCs w:val="22"/>
          <w:lang w:val="fr-FR" w:eastAsia="en-GB" w:bidi="ar-SA"/>
        </w:rPr>
      </w:pPr>
      <w:r>
        <w:rPr>
          <w:szCs w:val="22"/>
          <w:lang w:val="fr-FR" w:eastAsia="en-GB" w:bidi="ar-SA"/>
        </w:rPr>
        <w:t>EUM Signature before trimming :</w:t>
      </w:r>
    </w:p>
    <w:p w14:paraId="088B4FF5"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fr-FR" w:eastAsia="en-GB"/>
        </w:rPr>
      </w:pPr>
      <w:r>
        <w:rPr>
          <w:rFonts w:ascii="Courier New" w:hAnsi="Courier New" w:cs="Courier New"/>
          <w:noProof/>
          <w:color w:val="008080"/>
          <w:sz w:val="18"/>
          <w:szCs w:val="18"/>
          <w:lang w:val="fr-FR" w:eastAsia="en-GB"/>
        </w:rPr>
        <w:t>&lt;EumSignature xmlns:ds="http://www.w3.org/2000/09/xmldsig#"&gt;</w:t>
      </w:r>
    </w:p>
    <w:p w14:paraId="6387268B"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fr-FR" w:eastAsia="en-GB"/>
        </w:rPr>
      </w:pPr>
      <w:r>
        <w:rPr>
          <w:rFonts w:ascii="Courier New" w:hAnsi="Courier New" w:cs="Courier New"/>
          <w:noProof/>
          <w:color w:val="008080"/>
          <w:sz w:val="18"/>
          <w:szCs w:val="18"/>
          <w:lang w:val="fr-FR" w:eastAsia="en-GB"/>
        </w:rPr>
        <w:tab/>
        <w:t>&lt;ds:SignedInfo&gt;</w:t>
      </w:r>
    </w:p>
    <w:p w14:paraId="52DE99B5"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&lt;ds:CanonicalizationMethod Algorithm=http://www.w3.org/2001/10/xml-exc-c14n#/&gt;</w:t>
      </w:r>
    </w:p>
    <w:p w14:paraId="40BB8E38"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&lt;ds:SignatureMethod Algorithm=http://www.w3.org/2001/04/xmldsig-more#rsa-sha256/&gt;</w:t>
      </w:r>
    </w:p>
    <w:p w14:paraId="764BCF89"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 xml:space="preserve">&lt;ds:Reference&gt; </w:t>
      </w:r>
    </w:p>
    <w:p w14:paraId="5565A8C3"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&lt;ds:Transforms&gt;</w:t>
      </w:r>
    </w:p>
    <w:p w14:paraId="3808338E"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&lt;ds:Transform Algorithm="http://www.w3.org/2001/10/xml-exc-c14n#"/&gt;</w:t>
      </w:r>
    </w:p>
    <w:p w14:paraId="2DAEABF3"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&lt;/ds:Transforms&gt;</w:t>
      </w:r>
    </w:p>
    <w:p w14:paraId="21074932"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&lt;ds:DigestMethod Algorithm=http://www.w3.org/2001/04/xmlenc#sha256/&gt;</w:t>
      </w:r>
    </w:p>
    <w:p w14:paraId="2F8FB451"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&lt;ds:DigestValue&gt;dHLkPm5pcyBub3QgYSBzaWduYXR1cmGB&lt;/ds:DigestValue&gt;</w:t>
      </w:r>
    </w:p>
    <w:p w14:paraId="37056743"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&lt;/ds:Reference&gt;</w:t>
      </w:r>
    </w:p>
    <w:p w14:paraId="65573507"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t>&lt;/ds:SignedInfo&gt;</w:t>
      </w:r>
    </w:p>
    <w:p w14:paraId="5D9A3684"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t>&lt;ds:SignatureValue&gt;dHLkPm5pcyBub3QgYSBzaWduYXR1cmGB&lt;/ds:SignatureValue&gt;</w:t>
      </w:r>
    </w:p>
    <w:p w14:paraId="002A5227"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t>&lt;ds:KeyInfo&gt;</w:t>
      </w:r>
    </w:p>
    <w:p w14:paraId="729E60BB"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&lt;ds:X509Data&gt;</w:t>
      </w:r>
    </w:p>
    <w:p w14:paraId="40F1D97A"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&lt;ds:X509SubjectName&gt;CN=gsma, O=GSMA, C=UK&lt;/ds:X509SubjectName&gt;</w:t>
      </w:r>
    </w:p>
    <w:p w14:paraId="1930E2A2"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r>
      <w:r>
        <w:rPr>
          <w:rFonts w:ascii="Courier New" w:hAnsi="Courier New" w:cs="Courier New"/>
          <w:noProof/>
          <w:color w:val="008080"/>
          <w:sz w:val="18"/>
          <w:szCs w:val="18"/>
          <w:lang w:val="en-US" w:eastAsia="en-GB"/>
        </w:rPr>
        <w:tab/>
        <w:t>&lt;/ds:X509Data&gt;</w:t>
      </w:r>
    </w:p>
    <w:p w14:paraId="03731501"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b/>
        <w:t>&lt;/ds:KeyInfo&gt;</w:t>
      </w:r>
    </w:p>
    <w:p w14:paraId="70F98B05" w14:textId="77777777" w:rsidR="00B97365" w:rsidRDefault="0000000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&lt;/ds:Signature&gt;</w:t>
      </w:r>
    </w:p>
    <w:p w14:paraId="30573FD8" w14:textId="77777777" w:rsidR="00B97365" w:rsidRDefault="00B97365">
      <w:pPr>
        <w:spacing w:before="0" w:after="200" w:line="276" w:lineRule="auto"/>
        <w:jc w:val="left"/>
        <w:rPr>
          <w:szCs w:val="22"/>
          <w:lang w:val="en-US" w:eastAsia="en-GB" w:bidi="ar-SA"/>
        </w:rPr>
      </w:pPr>
    </w:p>
    <w:p w14:paraId="1E391338" w14:textId="77777777" w:rsidR="00B97365" w:rsidRDefault="00000000">
      <w:pPr>
        <w:numPr>
          <w:ilvl w:val="0"/>
          <w:numId w:val="51"/>
        </w:numPr>
        <w:spacing w:before="0" w:after="200" w:line="276" w:lineRule="auto"/>
        <w:jc w:val="left"/>
        <w:rPr>
          <w:szCs w:val="22"/>
          <w:lang w:val="en-US" w:eastAsia="en-GB" w:bidi="ar-SA"/>
        </w:rPr>
      </w:pPr>
      <w:r>
        <w:rPr>
          <w:szCs w:val="22"/>
          <w:lang w:val="en-US" w:eastAsia="en-GB" w:bidi="ar-SA"/>
        </w:rPr>
        <w:lastRenderedPageBreak/>
        <w:t>EUM Signature after trimming (on one line):</w:t>
      </w:r>
    </w:p>
    <w:p w14:paraId="0EA30557" w14:textId="77777777" w:rsidR="00B97365" w:rsidRDefault="00000000">
      <w:pPr>
        <w:keepNext/>
        <w:keepLines/>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&lt;EumSignature xmlns:ds="http://www.w3.org/2000/09/xmldsig#"&gt;&lt;ds:SignedInfo&gt;&lt;ds:C</w:t>
      </w:r>
    </w:p>
    <w:p w14:paraId="1F10A4B6" w14:textId="77777777" w:rsidR="00B97365" w:rsidRDefault="00000000">
      <w:pPr>
        <w:keepNext/>
        <w:keepLines/>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anonicalizationMethod Algorithm=http://www.w3.org/2001/10/xml-exc-c14n#/&gt;&lt;ds:Sig</w:t>
      </w:r>
    </w:p>
    <w:p w14:paraId="5C8BA63E" w14:textId="77777777" w:rsidR="00B97365" w:rsidRDefault="00000000">
      <w:pPr>
        <w:keepNext/>
        <w:keepLines/>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natureMethod Algorithm=http://www.w3.org/2001/04/xmldsig-more#rsa-sha256/&gt;&lt;ds:Re</w:t>
      </w:r>
    </w:p>
    <w:p w14:paraId="74758757" w14:textId="77777777" w:rsidR="00B97365" w:rsidRDefault="00000000">
      <w:pPr>
        <w:keepNext/>
        <w:keepLines/>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ference&gt;&lt;ds:Transforms&gt;&lt;ds:Transform Algorithm="http://www.w3.org/2001/10/xml-ex</w:t>
      </w:r>
    </w:p>
    <w:p w14:paraId="5BD6073F" w14:textId="77777777" w:rsidR="00B97365" w:rsidRDefault="00000000">
      <w:pPr>
        <w:keepNext/>
        <w:keepLines/>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c-c14n#"/&gt;&lt;/ds:Transforms&gt;&lt;ds:DigestMethod Algorithm=http://www.w3.org/2001/04/x</w:t>
      </w:r>
    </w:p>
    <w:p w14:paraId="3CE0D26E" w14:textId="77777777" w:rsidR="00B97365" w:rsidRDefault="00000000">
      <w:pPr>
        <w:keepNext/>
        <w:keepLines/>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mlenc#sha256/&gt;&lt;ds:DigestValue&gt;dHLkPm5pcyBub3QgYSBzaWduYXR1cmGB&lt;/ds:DigestValue&gt;&lt; /ds:Reference&gt;&lt;/ds:SignedInfo&gt;&lt;ds:SignatureValue&gt;dHLkPm5pcyBub3QgYSBzaWduYXR1cmG</w:t>
      </w:r>
    </w:p>
    <w:p w14:paraId="17F597EF" w14:textId="77777777" w:rsidR="00B97365" w:rsidRDefault="00000000">
      <w:pPr>
        <w:keepNext/>
        <w:keepLines/>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B&lt;/ds:SignatureValue&gt;&lt;ds:KeyInfo&gt;&lt;ds:X509Data&gt;&lt;ds:X509SubjectName&gt;CN=gsma, O=GSM</w:t>
      </w:r>
    </w:p>
    <w:p w14:paraId="43D27AB9" w14:textId="77777777" w:rsidR="00B97365" w:rsidRDefault="00000000">
      <w:pPr>
        <w:keepNext/>
        <w:keepLines/>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r>
        <w:rPr>
          <w:rFonts w:ascii="Courier New" w:hAnsi="Courier New" w:cs="Courier New"/>
          <w:noProof/>
          <w:color w:val="008080"/>
          <w:sz w:val="18"/>
          <w:szCs w:val="18"/>
          <w:lang w:val="en-US" w:eastAsia="en-GB"/>
        </w:rPr>
        <w:t>A, C=UK&lt;/ds:X509SubjectName&gt;&lt;/ds:X509Data&gt;&lt;/ds:KeyInfo&gt;&lt;/ds:Signature&gt;</w:t>
      </w:r>
    </w:p>
    <w:p w14:paraId="7CBAEF4F" w14:textId="77777777" w:rsidR="00B97365" w:rsidRDefault="00B97365">
      <w:pPr>
        <w:keepNext/>
        <w:keepLines/>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before="0" w:line="276" w:lineRule="auto"/>
        <w:jc w:val="left"/>
        <w:rPr>
          <w:rFonts w:ascii="Courier New" w:hAnsi="Courier New" w:cs="Courier New"/>
          <w:noProof/>
          <w:color w:val="008080"/>
          <w:sz w:val="18"/>
          <w:szCs w:val="18"/>
          <w:lang w:val="en-US" w:eastAsia="en-GB"/>
        </w:rPr>
      </w:pPr>
    </w:p>
    <w:p w14:paraId="2A7B9D51" w14:textId="77777777" w:rsidR="00B97365" w:rsidRDefault="00000000">
      <w:pPr>
        <w:tabs>
          <w:tab w:val="left" w:pos="1560"/>
        </w:tabs>
        <w:spacing w:before="0" w:after="200" w:line="276" w:lineRule="auto"/>
        <w:ind w:left="1559" w:hanging="1202"/>
        <w:jc w:val="left"/>
        <w:rPr>
          <w:szCs w:val="22"/>
          <w:lang w:eastAsia="en-GB" w:bidi="ar-SA"/>
        </w:rPr>
      </w:pPr>
      <w:r>
        <w:rPr>
          <w:szCs w:val="22"/>
          <w:lang w:val="en-US" w:eastAsia="en-GB" w:bidi="ar-SA"/>
        </w:rPr>
        <w:t>NOTE</w:t>
      </w:r>
      <w:r>
        <w:rPr>
          <w:szCs w:val="22"/>
          <w:lang w:val="en-US" w:eastAsia="en-GB" w:bidi="ar-SA"/>
        </w:rPr>
        <w:tab/>
        <w:t>All examples in this specification are not trimmed, for better readability.</w:t>
      </w:r>
    </w:p>
    <w:p w14:paraId="634EEA64"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1702" w:name="_Toc448998365"/>
      <w:bookmarkStart w:id="11703" w:name="_Toc422150935"/>
      <w:bookmarkStart w:id="11704" w:name="_Toc421874520"/>
      <w:bookmarkStart w:id="11705" w:name="_Toc420595082"/>
      <w:bookmarkStart w:id="11706" w:name="_Toc398215081"/>
      <w:bookmarkStart w:id="11707" w:name="_Toc375158497"/>
      <w:bookmarkStart w:id="11708" w:name="_Toc374348669"/>
      <w:bookmarkStart w:id="11709" w:name="_Toc368932505"/>
      <w:bookmarkStart w:id="11710" w:name="_Ref483262920"/>
      <w:bookmarkStart w:id="11711" w:name="_Toc486332982"/>
      <w:bookmarkStart w:id="11712" w:name="_Toc1977490"/>
      <w:bookmarkStart w:id="11713" w:name="_Toc37062649"/>
      <w:bookmarkStart w:id="11714" w:name="_Toc88839699"/>
      <w:bookmarkStart w:id="11715" w:name="_Toc121504107"/>
      <w:r>
        <w:rPr>
          <w:rFonts w:ascii="Arial Bold" w:hAnsi="Arial Bold"/>
          <w:sz w:val="24"/>
          <w:szCs w:val="24"/>
          <w:lang w:eastAsia="en-US"/>
        </w:rPr>
        <w:t>Security</w:t>
      </w:r>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p>
    <w:p w14:paraId="6582E07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To secure the messages being sent between Function requester and Function provider, one of the two following mechanisms SHALL be used:</w:t>
      </w:r>
    </w:p>
    <w:p w14:paraId="68EACCF0"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Relying on mutual authenticated transport level security (Transport Layer Security, TLS)</w:t>
      </w:r>
    </w:p>
    <w:p w14:paraId="12C4EF81" w14:textId="77777777" w:rsidR="00B97365" w:rsidRDefault="00000000">
      <w:pPr>
        <w:numPr>
          <w:ilvl w:val="0"/>
          <w:numId w:val="11"/>
        </w:numPr>
        <w:tabs>
          <w:tab w:val="left" w:pos="680"/>
        </w:tabs>
        <w:spacing w:before="0" w:after="200" w:line="276" w:lineRule="auto"/>
        <w:contextualSpacing/>
        <w:jc w:val="left"/>
        <w:rPr>
          <w:szCs w:val="22"/>
          <w:lang w:val="en-US" w:eastAsia="en-GB" w:bidi="ar-SA"/>
        </w:rPr>
      </w:pPr>
      <w:r>
        <w:rPr>
          <w:szCs w:val="22"/>
          <w:lang w:eastAsia="en-GB" w:bidi="ar-SA"/>
        </w:rPr>
        <w:t xml:space="preserve">Relying on transport level security (TLS) with only server side authentication and WS-Security standards </w:t>
      </w:r>
    </w:p>
    <w:p w14:paraId="2824D2F3" w14:textId="02AC25CA" w:rsidR="00B97365" w:rsidRDefault="00000000">
      <w:pPr>
        <w:spacing w:before="0" w:after="200" w:line="276" w:lineRule="auto"/>
        <w:jc w:val="left"/>
        <w:rPr>
          <w:szCs w:val="22"/>
          <w:lang w:val="en-US" w:eastAsia="en-GB" w:bidi="ar-SA"/>
        </w:rPr>
      </w:pPr>
      <w:r>
        <w:rPr>
          <w:rFonts w:cs="Arial"/>
          <w:szCs w:val="22"/>
          <w:lang w:val="en-US" w:eastAsia="en-GB" w:bidi="ar-SA"/>
        </w:rPr>
        <w:t xml:space="preserve">This specification mandates usage of TLS v 1.2 defined in RFC 5246 </w:t>
      </w:r>
      <w:r>
        <w:rPr>
          <w:szCs w:val="22"/>
          <w:lang w:val="en-US" w:eastAsia="en-GB" w:bidi="ar-SA"/>
        </w:rPr>
        <w:fldChar w:fldCharType="begin"/>
      </w:r>
      <w:r>
        <w:rPr>
          <w:szCs w:val="22"/>
          <w:lang w:val="en-US" w:eastAsia="en-GB" w:bidi="ar-SA"/>
        </w:rPr>
        <w:instrText xml:space="preserve"> REF _Ref421632403 \r \h </w:instrText>
      </w:r>
      <w:r>
        <w:rPr>
          <w:szCs w:val="22"/>
          <w:lang w:val="en-US" w:eastAsia="en-GB" w:bidi="ar-SA"/>
        </w:rPr>
      </w:r>
      <w:r>
        <w:rPr>
          <w:szCs w:val="22"/>
          <w:lang w:val="en-US" w:eastAsia="en-GB" w:bidi="ar-SA"/>
        </w:rPr>
        <w:fldChar w:fldCharType="separate"/>
      </w:r>
      <w:r w:rsidR="001D5AD9">
        <w:rPr>
          <w:szCs w:val="22"/>
          <w:lang w:val="en-US" w:eastAsia="en-GB" w:bidi="ar-SA"/>
        </w:rPr>
        <w:t>[15]</w:t>
      </w:r>
      <w:r>
        <w:rPr>
          <w:szCs w:val="22"/>
          <w:lang w:val="en-US" w:eastAsia="en-GB" w:bidi="ar-SA"/>
        </w:rPr>
        <w:fldChar w:fldCharType="end"/>
      </w:r>
      <w:r>
        <w:rPr>
          <w:szCs w:val="22"/>
          <w:lang w:val="en-US" w:eastAsia="en-GB" w:bidi="ar-SA"/>
        </w:rPr>
        <w:t xml:space="preserve"> to allow appropriate algorithm and key length as defined in section </w:t>
      </w:r>
      <w:r>
        <w:fldChar w:fldCharType="begin"/>
      </w:r>
      <w:r>
        <w:instrText xml:space="preserve"> REF _Ref367979503 \r \h  \* MERGEFORMAT </w:instrText>
      </w:r>
      <w:r>
        <w:fldChar w:fldCharType="separate"/>
      </w:r>
      <w:r w:rsidR="001D5AD9" w:rsidRPr="001D5AD9">
        <w:rPr>
          <w:szCs w:val="22"/>
          <w:lang w:val="en-US" w:eastAsia="en-GB" w:bidi="ar-SA"/>
        </w:rPr>
        <w:t>2.4.1</w:t>
      </w:r>
      <w:r>
        <w:fldChar w:fldCharType="end"/>
      </w:r>
      <w:r>
        <w:rPr>
          <w:szCs w:val="22"/>
          <w:lang w:val="en-US" w:eastAsia="en-GB" w:bidi="ar-SA"/>
        </w:rPr>
        <w:t xml:space="preserve">. </w:t>
      </w:r>
    </w:p>
    <w:p w14:paraId="27BD78C3" w14:textId="77777777" w:rsidR="00B97365" w:rsidRDefault="00B97365">
      <w:pPr>
        <w:spacing w:before="0" w:after="200" w:line="276" w:lineRule="auto"/>
        <w:jc w:val="left"/>
        <w:rPr>
          <w:rFonts w:cs="Calibri"/>
          <w:szCs w:val="22"/>
          <w:lang w:val="en-US" w:eastAsia="en-GB" w:bidi="ar-SA"/>
        </w:rPr>
      </w:pPr>
    </w:p>
    <w:p w14:paraId="2ACEAB6E"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11716" w:name="_Toc420595083"/>
      <w:bookmarkStart w:id="11717" w:name="_Toc398215082"/>
      <w:bookmarkStart w:id="11718" w:name="_Toc375158498"/>
      <w:bookmarkStart w:id="11719" w:name="_Toc368932506"/>
      <w:bookmarkStart w:id="11720" w:name="_Ref367979486"/>
      <w:bookmarkStart w:id="11721" w:name="_Toc1977491"/>
      <w:bookmarkStart w:id="11722" w:name="_Toc37062650"/>
      <w:r>
        <w:rPr>
          <w:rFonts w:ascii="Arial Bold" w:hAnsi="Arial Bold"/>
          <w:szCs w:val="22"/>
          <w:lang w:val="fr-FR" w:eastAsia="en-US"/>
        </w:rPr>
        <w:t>Secure Channel Set-Up</w:t>
      </w:r>
      <w:bookmarkEnd w:id="11716"/>
      <w:bookmarkEnd w:id="11717"/>
      <w:bookmarkEnd w:id="11718"/>
      <w:bookmarkEnd w:id="11719"/>
      <w:bookmarkEnd w:id="11720"/>
      <w:bookmarkEnd w:id="11721"/>
      <w:bookmarkEnd w:id="11722"/>
    </w:p>
    <w:p w14:paraId="5593659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process of setting up secure channel is out of scope of this document. This process includes the exchange of the following information:</w:t>
      </w:r>
    </w:p>
    <w:p w14:paraId="12AD2867"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Function requester and Function provider OIDs SHALL be registered and respective values have been communicated to each party</w:t>
      </w:r>
    </w:p>
    <w:p w14:paraId="17F3A307"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Function requester and Function provider URL SHALL have been communicated to each party</w:t>
      </w:r>
    </w:p>
    <w:p w14:paraId="78C21270"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Function requester and Function provider SHALL agree on the MEP for response handling of asynchronous function: Asynchronous Request-Response with callback or Asynchronous with polling.</w:t>
      </w:r>
    </w:p>
    <w:p w14:paraId="484A5D28"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Function requester and Function provider SHALL agree on the type of security mechanism used and respective credential:</w:t>
      </w:r>
    </w:p>
    <w:p w14:paraId="67E494C8"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WS-Security</w:t>
      </w:r>
    </w:p>
    <w:p w14:paraId="472CA0E9" w14:textId="77777777" w:rsidR="00B97365" w:rsidRDefault="00000000">
      <w:pPr>
        <w:tabs>
          <w:tab w:val="left" w:pos="1021"/>
        </w:tabs>
        <w:spacing w:before="0" w:after="200" w:line="276" w:lineRule="auto"/>
        <w:ind w:left="1021"/>
        <w:contextualSpacing/>
        <w:jc w:val="left"/>
        <w:rPr>
          <w:szCs w:val="22"/>
          <w:lang w:eastAsia="en-GB" w:bidi="ar-SA"/>
        </w:rPr>
      </w:pPr>
      <w:r>
        <w:rPr>
          <w:szCs w:val="22"/>
          <w:lang w:eastAsia="en-GB" w:bidi="ar-SA"/>
        </w:rPr>
        <w:t>If UsernameToken Profile is used, the Username and Password SHALL be setup at receiving entities.</w:t>
      </w:r>
    </w:p>
    <w:p w14:paraId="1625E5D6" w14:textId="77777777" w:rsidR="00B97365" w:rsidRDefault="00000000">
      <w:pPr>
        <w:tabs>
          <w:tab w:val="left" w:pos="1021"/>
        </w:tabs>
        <w:spacing w:before="0" w:after="200" w:line="276" w:lineRule="auto"/>
        <w:ind w:left="1021"/>
        <w:contextualSpacing/>
        <w:jc w:val="left"/>
        <w:rPr>
          <w:szCs w:val="22"/>
          <w:lang w:eastAsia="en-GB" w:bidi="ar-SA"/>
        </w:rPr>
      </w:pPr>
      <w:r>
        <w:rPr>
          <w:szCs w:val="22"/>
          <w:lang w:eastAsia="en-GB" w:bidi="ar-SA"/>
        </w:rPr>
        <w:t>If X509 Certificate Token Profile is used, the receiving entity SHALL trust the sending entity issued certificate.</w:t>
      </w:r>
    </w:p>
    <w:p w14:paraId="46EEF864"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 xml:space="preserve">Transport Level Security </w:t>
      </w:r>
    </w:p>
    <w:p w14:paraId="58BBF044" w14:textId="77777777" w:rsidR="00B97365" w:rsidRDefault="00000000">
      <w:pPr>
        <w:tabs>
          <w:tab w:val="left" w:pos="1021"/>
        </w:tabs>
        <w:spacing w:before="0" w:after="200" w:line="276" w:lineRule="auto"/>
        <w:ind w:left="1021"/>
        <w:contextualSpacing/>
        <w:jc w:val="left"/>
        <w:rPr>
          <w:szCs w:val="22"/>
          <w:lang w:eastAsia="en-GB" w:bidi="ar-SA"/>
        </w:rPr>
      </w:pPr>
      <w:r>
        <w:rPr>
          <w:szCs w:val="22"/>
          <w:lang w:eastAsia="en-GB" w:bidi="ar-SA"/>
        </w:rPr>
        <w:t>Function requester and Function provider party trust must have been established on a X509 certificate chain basis.</w:t>
      </w:r>
    </w:p>
    <w:p w14:paraId="3CFD35AC" w14:textId="77777777" w:rsidR="00B97365" w:rsidRDefault="00000000">
      <w:pPr>
        <w:numPr>
          <w:ilvl w:val="0"/>
          <w:numId w:val="11"/>
        </w:numPr>
        <w:tabs>
          <w:tab w:val="left" w:pos="680"/>
        </w:tabs>
        <w:spacing w:before="0" w:after="200" w:line="276" w:lineRule="auto"/>
        <w:contextualSpacing/>
        <w:jc w:val="left"/>
        <w:rPr>
          <w:rFonts w:cs="Arial"/>
          <w:szCs w:val="22"/>
          <w:lang w:eastAsia="en-GB" w:bidi="ar-SA"/>
        </w:rPr>
      </w:pPr>
      <w:r>
        <w:rPr>
          <w:szCs w:val="22"/>
          <w:lang w:eastAsia="en-GB" w:bidi="ar-SA"/>
        </w:rPr>
        <w:lastRenderedPageBreak/>
        <w:t>Function requester and Function provider SHALL agree on the WSDL, which SHALL consist in the WSDL specified in section B.4, with the addition of the &lt;Policy&gt; elements implied by the the WS-Security if any, and complying with the WS-Security elements specified in section B.2.2.2</w:t>
      </w:r>
    </w:p>
    <w:p w14:paraId="5900E093" w14:textId="77777777" w:rsidR="00B97365" w:rsidRDefault="00000000">
      <w:pPr>
        <w:spacing w:after="200" w:line="276" w:lineRule="auto"/>
        <w:ind w:left="1560" w:hanging="1276"/>
        <w:jc w:val="left"/>
        <w:rPr>
          <w:rFonts w:cs="Arial"/>
          <w:szCs w:val="22"/>
          <w:lang w:val="en-US" w:eastAsia="en-GB" w:bidi="ar-SA"/>
        </w:rPr>
      </w:pPr>
      <w:r>
        <w:rPr>
          <w:rFonts w:cs="Arial"/>
          <w:szCs w:val="22"/>
          <w:lang w:val="en-US" w:eastAsia="en-GB" w:bidi="ar-SA"/>
        </w:rPr>
        <w:t xml:space="preserve">NOTE: </w:t>
      </w:r>
      <w:r>
        <w:rPr>
          <w:rFonts w:cs="Arial"/>
          <w:szCs w:val="22"/>
          <w:lang w:val="en-US" w:eastAsia="en-GB" w:bidi="ar-SA"/>
        </w:rPr>
        <w:tab/>
        <w:t>Receiving entity and sending entity could either be the Function requester of the Function provider.</w:t>
      </w:r>
    </w:p>
    <w:p w14:paraId="11B4401F" w14:textId="77777777" w:rsidR="00B97365" w:rsidRDefault="00B97365">
      <w:pPr>
        <w:tabs>
          <w:tab w:val="left" w:pos="1560"/>
        </w:tabs>
        <w:spacing w:before="0" w:after="200" w:line="276" w:lineRule="auto"/>
        <w:ind w:left="357"/>
        <w:jc w:val="left"/>
        <w:rPr>
          <w:rFonts w:cs="Arial"/>
          <w:szCs w:val="22"/>
          <w:lang w:val="en-US" w:eastAsia="en-GB" w:bidi="ar-SA"/>
        </w:rPr>
      </w:pPr>
    </w:p>
    <w:p w14:paraId="4B0C9B23"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11723" w:name="_Toc368932507"/>
      <w:bookmarkStart w:id="11724" w:name="_Toc420595084"/>
      <w:bookmarkStart w:id="11725" w:name="_Toc398215083"/>
      <w:bookmarkStart w:id="11726" w:name="_Toc375158499"/>
      <w:bookmarkStart w:id="11727" w:name="_Toc1977492"/>
      <w:bookmarkStart w:id="11728" w:name="_Toc37062651"/>
      <w:r>
        <w:rPr>
          <w:rFonts w:ascii="Arial Bold" w:hAnsi="Arial Bold"/>
          <w:szCs w:val="22"/>
          <w:lang w:val="fr-FR" w:eastAsia="en-US"/>
        </w:rPr>
        <w:t>Identification/Authentication</w:t>
      </w:r>
      <w:bookmarkEnd w:id="11723"/>
      <w:r>
        <w:rPr>
          <w:rFonts w:ascii="Arial Bold" w:hAnsi="Arial Bold" w:cs="Calibri"/>
          <w:szCs w:val="22"/>
          <w:lang w:val="fr-FR" w:eastAsia="en-US"/>
        </w:rPr>
        <w:t>/Authorisation</w:t>
      </w:r>
      <w:bookmarkEnd w:id="11724"/>
      <w:bookmarkEnd w:id="11725"/>
      <w:bookmarkEnd w:id="11726"/>
      <w:bookmarkEnd w:id="11727"/>
      <w:bookmarkEnd w:id="11728"/>
    </w:p>
    <w:p w14:paraId="3DA85832" w14:textId="12899013" w:rsidR="00B97365" w:rsidRDefault="00000000">
      <w:pPr>
        <w:spacing w:before="0" w:after="200" w:line="276" w:lineRule="auto"/>
        <w:jc w:val="left"/>
        <w:rPr>
          <w:szCs w:val="22"/>
          <w:lang w:val="en-US" w:eastAsia="en-GB" w:bidi="ar-SA"/>
        </w:rPr>
      </w:pPr>
      <w:r>
        <w:rPr>
          <w:rFonts w:cs="Arial"/>
          <w:szCs w:val="22"/>
          <w:lang w:val="en-US" w:eastAsia="en-GB" w:bidi="ar-SA"/>
        </w:rPr>
        <w:t xml:space="preserve">Authentication of the sending party of a SOAP message SHALL rely on either the Transport layer security (using TLS certificate of the sending party) or the WS-Security </w:t>
      </w:r>
      <w:r>
        <w:rPr>
          <w:szCs w:val="22"/>
          <w:lang w:val="en-US" w:eastAsia="en-GB" w:bidi="ar-SA"/>
        </w:rPr>
        <w:fldChar w:fldCharType="begin"/>
      </w:r>
      <w:r>
        <w:rPr>
          <w:szCs w:val="22"/>
          <w:lang w:val="en-US" w:eastAsia="en-GB" w:bidi="ar-SA"/>
        </w:rPr>
        <w:instrText xml:space="preserve"> REF _Ref421635291 \r \h </w:instrText>
      </w:r>
      <w:r>
        <w:rPr>
          <w:szCs w:val="22"/>
          <w:lang w:val="en-US" w:eastAsia="en-GB" w:bidi="ar-SA"/>
        </w:rPr>
      </w:r>
      <w:r>
        <w:rPr>
          <w:szCs w:val="22"/>
          <w:lang w:val="en-US" w:eastAsia="en-GB" w:bidi="ar-SA"/>
        </w:rPr>
        <w:fldChar w:fldCharType="separate"/>
      </w:r>
      <w:r w:rsidR="001D5AD9">
        <w:rPr>
          <w:szCs w:val="22"/>
          <w:lang w:val="en-US" w:eastAsia="en-GB" w:bidi="ar-SA"/>
        </w:rPr>
        <w:t>[44]</w:t>
      </w:r>
      <w:r>
        <w:rPr>
          <w:szCs w:val="22"/>
          <w:lang w:val="en-US" w:eastAsia="en-GB" w:bidi="ar-SA"/>
        </w:rPr>
        <w:fldChar w:fldCharType="end"/>
      </w:r>
      <w:r>
        <w:rPr>
          <w:szCs w:val="22"/>
          <w:lang w:val="en-US" w:eastAsia="en-GB" w:bidi="ar-SA"/>
        </w:rPr>
        <w:t xml:space="preserve">. In this latter case the SOAP message SHALL include specific WS-Security elements containing a security token, UserNameToken or X509Token as agreed during secure channel set-up (see </w:t>
      </w:r>
      <w:r>
        <w:rPr>
          <w:szCs w:val="22"/>
          <w:lang w:val="en-US" w:eastAsia="en-GB" w:bidi="ar-SA"/>
        </w:rPr>
        <w:fldChar w:fldCharType="begin"/>
      </w:r>
      <w:r>
        <w:rPr>
          <w:szCs w:val="22"/>
          <w:lang w:val="en-US" w:eastAsia="en-GB" w:bidi="ar-SA"/>
        </w:rPr>
        <w:instrText xml:space="preserve"> REF _Ref421869425 \r \h </w:instrText>
      </w:r>
      <w:r>
        <w:rPr>
          <w:szCs w:val="22"/>
          <w:lang w:val="en-US" w:eastAsia="en-GB" w:bidi="ar-SA"/>
        </w:rPr>
      </w:r>
      <w:r>
        <w:rPr>
          <w:szCs w:val="22"/>
          <w:lang w:val="en-US" w:eastAsia="en-GB" w:bidi="ar-SA"/>
        </w:rPr>
        <w:fldChar w:fldCharType="separate"/>
      </w:r>
      <w:r w:rsidR="001D5AD9">
        <w:rPr>
          <w:szCs w:val="22"/>
          <w:lang w:val="en-US" w:eastAsia="en-GB" w:bidi="ar-SA"/>
        </w:rPr>
        <w:t>2.3.1</w:t>
      </w:r>
      <w:r>
        <w:rPr>
          <w:szCs w:val="22"/>
          <w:lang w:val="en-US" w:eastAsia="en-GB" w:bidi="ar-SA"/>
        </w:rPr>
        <w:fldChar w:fldCharType="end"/>
      </w:r>
      <w:r>
        <w:rPr>
          <w:szCs w:val="22"/>
          <w:lang w:val="en-US" w:eastAsia="en-GB" w:bidi="ar-SA"/>
        </w:rPr>
        <w:t>).</w:t>
      </w:r>
    </w:p>
    <w:p w14:paraId="7E4C3EC4" w14:textId="4A293A70" w:rsidR="00B97365" w:rsidRDefault="00000000">
      <w:pPr>
        <w:spacing w:before="0" w:after="200" w:line="276" w:lineRule="auto"/>
        <w:jc w:val="left"/>
        <w:rPr>
          <w:szCs w:val="22"/>
          <w:lang w:val="en-US" w:eastAsia="en-GB" w:bidi="ar-SA"/>
        </w:rPr>
      </w:pPr>
      <w:r>
        <w:rPr>
          <w:rFonts w:cs="Arial"/>
          <w:szCs w:val="22"/>
          <w:lang w:val="en-US" w:eastAsia="en-GB" w:bidi="ar-SA"/>
        </w:rPr>
        <w:t xml:space="preserve">Message receiver SHALL be able to process Web Service Security tokens as specified in the OASIS specification </w:t>
      </w:r>
      <w:r>
        <w:rPr>
          <w:szCs w:val="22"/>
          <w:lang w:val="en-US" w:eastAsia="en-GB" w:bidi="ar-SA"/>
        </w:rPr>
        <w:fldChar w:fldCharType="begin"/>
      </w:r>
      <w:r>
        <w:rPr>
          <w:szCs w:val="22"/>
          <w:lang w:val="en-US" w:eastAsia="en-GB" w:bidi="ar-SA"/>
        </w:rPr>
        <w:instrText xml:space="preserve"> REF _Ref421635291 \r \h </w:instrText>
      </w:r>
      <w:r>
        <w:rPr>
          <w:szCs w:val="22"/>
          <w:lang w:val="en-US" w:eastAsia="en-GB" w:bidi="ar-SA"/>
        </w:rPr>
      </w:r>
      <w:r>
        <w:rPr>
          <w:szCs w:val="22"/>
          <w:lang w:val="en-US" w:eastAsia="en-GB" w:bidi="ar-SA"/>
        </w:rPr>
        <w:fldChar w:fldCharType="separate"/>
      </w:r>
      <w:r w:rsidR="001D5AD9">
        <w:rPr>
          <w:szCs w:val="22"/>
          <w:lang w:val="en-US" w:eastAsia="en-GB" w:bidi="ar-SA"/>
        </w:rPr>
        <w:t>[44]</w:t>
      </w:r>
      <w:r>
        <w:rPr>
          <w:szCs w:val="22"/>
          <w:lang w:val="en-US" w:eastAsia="en-GB" w:bidi="ar-SA"/>
        </w:rPr>
        <w:fldChar w:fldCharType="end"/>
      </w:r>
      <w:r>
        <w:rPr>
          <w:szCs w:val="22"/>
          <w:lang w:val="en-US" w:eastAsia="en-GB" w:bidi="ar-SA"/>
        </w:rPr>
        <w:t>, specifically:</w:t>
      </w:r>
    </w:p>
    <w:p w14:paraId="4E10E5C8" w14:textId="4C5502E0"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UsernameToken Profile 1.1. as defined in </w:t>
      </w:r>
      <w:r>
        <w:rPr>
          <w:szCs w:val="22"/>
          <w:lang w:eastAsia="en-GB" w:bidi="ar-SA"/>
        </w:rPr>
        <w:fldChar w:fldCharType="begin"/>
      </w:r>
      <w:r>
        <w:rPr>
          <w:szCs w:val="22"/>
          <w:lang w:eastAsia="en-GB" w:bidi="ar-SA"/>
        </w:rPr>
        <w:instrText xml:space="preserve"> REF _Ref421635308 \r \h </w:instrText>
      </w:r>
      <w:r>
        <w:rPr>
          <w:szCs w:val="22"/>
          <w:lang w:eastAsia="en-GB" w:bidi="ar-SA"/>
        </w:rPr>
      </w:r>
      <w:r>
        <w:rPr>
          <w:szCs w:val="22"/>
          <w:lang w:eastAsia="en-GB" w:bidi="ar-SA"/>
        </w:rPr>
        <w:fldChar w:fldCharType="separate"/>
      </w:r>
      <w:r w:rsidR="001D5AD9">
        <w:rPr>
          <w:szCs w:val="22"/>
          <w:lang w:eastAsia="en-GB" w:bidi="ar-SA"/>
        </w:rPr>
        <w:t>[45]</w:t>
      </w:r>
      <w:r>
        <w:rPr>
          <w:szCs w:val="22"/>
          <w:lang w:eastAsia="en-GB" w:bidi="ar-SA"/>
        </w:rPr>
        <w:fldChar w:fldCharType="end"/>
      </w:r>
      <w:r>
        <w:rPr>
          <w:szCs w:val="22"/>
          <w:lang w:eastAsia="en-GB" w:bidi="ar-SA"/>
        </w:rPr>
        <w:t>. Example:</w:t>
      </w:r>
    </w:p>
    <w:p w14:paraId="794BF7CE" w14:textId="77777777" w:rsidR="00B97365" w:rsidRDefault="00000000">
      <w:pPr>
        <w:rPr>
          <w:rFonts w:ascii="Courier New" w:hAnsi="Courier New" w:cs="Courier New"/>
          <w:sz w:val="20"/>
          <w:lang w:val="en-US"/>
        </w:rPr>
      </w:pPr>
      <w:bookmarkStart w:id="11729" w:name="_Toc420595085"/>
      <w:r>
        <w:rPr>
          <w:rFonts w:ascii="Courier New" w:hAnsi="Courier New" w:cs="Courier New"/>
          <w:sz w:val="20"/>
          <w:lang w:val="en-US"/>
        </w:rPr>
        <w:t>&lt;S11:Envelope xmlns:S11="..." xmlns:wsse="..."&gt;</w:t>
      </w:r>
      <w:bookmarkEnd w:id="11729"/>
    </w:p>
    <w:p w14:paraId="726E84FB" w14:textId="77777777" w:rsidR="00B97365" w:rsidRDefault="00000000">
      <w:pPr>
        <w:rPr>
          <w:rFonts w:ascii="Courier New" w:hAnsi="Courier New" w:cs="Courier New"/>
          <w:sz w:val="20"/>
          <w:lang w:val="en-US"/>
        </w:rPr>
      </w:pPr>
      <w:r>
        <w:rPr>
          <w:rFonts w:ascii="Courier New" w:hAnsi="Courier New" w:cs="Courier New"/>
          <w:sz w:val="20"/>
          <w:lang w:val="en-US"/>
        </w:rPr>
        <w:tab/>
        <w:t>&lt;S11:Header&gt;</w:t>
      </w:r>
    </w:p>
    <w:p w14:paraId="14F087CC" w14:textId="77777777" w:rsidR="00B97365" w:rsidRDefault="00000000">
      <w:pPr>
        <w:tabs>
          <w:tab w:val="left" w:pos="284"/>
          <w:tab w:val="left" w:pos="567"/>
          <w:tab w:val="left" w:pos="851"/>
          <w:tab w:val="left" w:pos="1134"/>
          <w:tab w:val="left" w:pos="1418"/>
          <w:tab w:val="left" w:pos="1701"/>
        </w:tabs>
        <w:ind w:left="567"/>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t>…</w:t>
      </w:r>
    </w:p>
    <w:p w14:paraId="6A966543"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t>&lt;wsse:Security&gt;</w:t>
      </w:r>
    </w:p>
    <w:p w14:paraId="26B7B879"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r>
      <w:bookmarkStart w:id="11730" w:name="_Toc420595086"/>
      <w:r>
        <w:rPr>
          <w:rFonts w:ascii="Courier New" w:hAnsi="Courier New" w:cs="Courier New"/>
          <w:sz w:val="20"/>
          <w:lang w:val="en-US"/>
        </w:rPr>
        <w:t>&lt;wsse:UsernameToken&gt;</w:t>
      </w:r>
      <w:bookmarkEnd w:id="11730"/>
    </w:p>
    <w:p w14:paraId="712CBA78"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t>&lt;wsse:Username&gt;ACompany&lt;/wsse:Username&gt;</w:t>
      </w:r>
    </w:p>
    <w:p w14:paraId="5BFA767E"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r>
      <w:bookmarkStart w:id="11731" w:name="_Toc420595087"/>
      <w:r>
        <w:rPr>
          <w:rFonts w:ascii="Courier New" w:hAnsi="Courier New" w:cs="Courier New"/>
          <w:sz w:val="20"/>
          <w:lang w:val="en-US"/>
        </w:rPr>
        <w:t>&lt;wsse:Password&gt;MyPassword&lt;/wsse:Password&gt;</w:t>
      </w:r>
      <w:bookmarkEnd w:id="11731"/>
    </w:p>
    <w:p w14:paraId="32A0A501"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t>&lt;/wsse:UsernameToken&gt;</w:t>
      </w:r>
    </w:p>
    <w:p w14:paraId="57E6DA0C"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t>…</w:t>
      </w:r>
    </w:p>
    <w:p w14:paraId="4E47F186"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bookmarkStart w:id="11732" w:name="_Toc420595088"/>
      <w:r>
        <w:rPr>
          <w:rFonts w:ascii="Courier New" w:hAnsi="Courier New" w:cs="Courier New"/>
          <w:sz w:val="20"/>
          <w:lang w:val="en-US"/>
        </w:rPr>
        <w:t>&lt;/wsse:Security&gt;</w:t>
      </w:r>
      <w:bookmarkEnd w:id="11732"/>
    </w:p>
    <w:p w14:paraId="3909827D" w14:textId="77777777" w:rsidR="00B97365" w:rsidRDefault="00000000">
      <w:pPr>
        <w:tabs>
          <w:tab w:val="left" w:pos="284"/>
          <w:tab w:val="left" w:pos="567"/>
          <w:tab w:val="left" w:pos="851"/>
          <w:tab w:val="left" w:pos="1134"/>
          <w:tab w:val="left" w:pos="1418"/>
          <w:tab w:val="left" w:pos="1701"/>
        </w:tabs>
        <w:ind w:left="567"/>
        <w:rPr>
          <w:rFonts w:cs="Calibri"/>
          <w:sz w:val="20"/>
          <w:lang w:val="en-US"/>
        </w:rPr>
      </w:pPr>
      <w:r>
        <w:rPr>
          <w:rFonts w:cs="Calibri"/>
          <w:sz w:val="20"/>
          <w:lang w:val="en-US"/>
        </w:rPr>
        <w:t>….</w:t>
      </w:r>
    </w:p>
    <w:p w14:paraId="3CDFC2F6" w14:textId="10E3BFF0"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X509 Certificate Token Profile 1.1. as defined in </w:t>
      </w:r>
      <w:r>
        <w:rPr>
          <w:szCs w:val="22"/>
          <w:lang w:eastAsia="en-GB" w:bidi="ar-SA"/>
        </w:rPr>
        <w:fldChar w:fldCharType="begin"/>
      </w:r>
      <w:r>
        <w:rPr>
          <w:szCs w:val="22"/>
          <w:lang w:eastAsia="en-GB" w:bidi="ar-SA"/>
        </w:rPr>
        <w:instrText xml:space="preserve"> REF _Ref421635317 \r \h </w:instrText>
      </w:r>
      <w:r>
        <w:rPr>
          <w:szCs w:val="22"/>
          <w:lang w:eastAsia="en-GB" w:bidi="ar-SA"/>
        </w:rPr>
      </w:r>
      <w:r>
        <w:rPr>
          <w:szCs w:val="22"/>
          <w:lang w:eastAsia="en-GB" w:bidi="ar-SA"/>
        </w:rPr>
        <w:fldChar w:fldCharType="separate"/>
      </w:r>
      <w:r w:rsidR="001D5AD9">
        <w:rPr>
          <w:szCs w:val="22"/>
          <w:lang w:eastAsia="en-GB" w:bidi="ar-SA"/>
        </w:rPr>
        <w:t>[46]</w:t>
      </w:r>
      <w:r>
        <w:rPr>
          <w:szCs w:val="22"/>
          <w:lang w:eastAsia="en-GB" w:bidi="ar-SA"/>
        </w:rPr>
        <w:fldChar w:fldCharType="end"/>
      </w:r>
      <w:r>
        <w:rPr>
          <w:szCs w:val="22"/>
          <w:lang w:eastAsia="en-GB" w:bidi="ar-SA"/>
        </w:rPr>
        <w:t>, with ‘#X509v3’ token type. The X509 certificate of the sender SHALL be included as a BinarySecurityToken. In order to prove that the sender owns the corresponding private key, the SOAP message SHALL then include a &lt;ds:Signature&gt; with the following properties:</w:t>
      </w:r>
    </w:p>
    <w:p w14:paraId="6F473121" w14:textId="77777777" w:rsidR="00B97365" w:rsidRDefault="00000000">
      <w:pPr>
        <w:numPr>
          <w:ilvl w:val="1"/>
          <w:numId w:val="38"/>
        </w:numPr>
        <w:tabs>
          <w:tab w:val="left" w:pos="680"/>
        </w:tabs>
        <w:spacing w:before="0" w:after="200" w:line="276" w:lineRule="auto"/>
        <w:contextualSpacing/>
        <w:jc w:val="left"/>
        <w:rPr>
          <w:szCs w:val="22"/>
          <w:lang w:eastAsia="en-GB" w:bidi="ar-SA"/>
        </w:rPr>
      </w:pPr>
      <w:r>
        <w:rPr>
          <w:szCs w:val="22"/>
          <w:lang w:eastAsia="en-GB" w:bidi="ar-SA"/>
        </w:rPr>
        <w:t>A &lt;ds:SignedInfo&gt;  element in context of WS-Security X.509 certificate token profile specifying:</w:t>
      </w:r>
    </w:p>
    <w:p w14:paraId="1934B00F" w14:textId="77777777" w:rsidR="00B97365" w:rsidRDefault="00000000">
      <w:pPr>
        <w:numPr>
          <w:ilvl w:val="1"/>
          <w:numId w:val="38"/>
        </w:numPr>
        <w:tabs>
          <w:tab w:val="left" w:pos="1021"/>
        </w:tabs>
        <w:spacing w:before="0" w:after="200" w:line="276" w:lineRule="auto"/>
        <w:ind w:left="1360"/>
        <w:contextualSpacing/>
        <w:jc w:val="left"/>
        <w:rPr>
          <w:szCs w:val="22"/>
          <w:lang w:eastAsia="en-GB" w:bidi="ar-SA"/>
        </w:rPr>
      </w:pPr>
      <w:r>
        <w:rPr>
          <w:szCs w:val="22"/>
          <w:lang w:eastAsia="en-GB" w:bidi="ar-SA"/>
        </w:rPr>
        <w:t>a canonicalization method,</w:t>
      </w:r>
    </w:p>
    <w:p w14:paraId="1552E6AD" w14:textId="77777777" w:rsidR="00B97365" w:rsidRDefault="00000000">
      <w:pPr>
        <w:tabs>
          <w:tab w:val="left" w:pos="1021"/>
        </w:tabs>
        <w:spacing w:before="0" w:after="200" w:line="276" w:lineRule="auto"/>
        <w:ind w:left="1360"/>
        <w:contextualSpacing/>
        <w:jc w:val="left"/>
        <w:rPr>
          <w:szCs w:val="22"/>
          <w:lang w:eastAsia="en-GB" w:bidi="ar-SA"/>
        </w:rPr>
      </w:pPr>
      <w:r>
        <w:rPr>
          <w:rFonts w:cs="Arial"/>
        </w:rPr>
        <w:t>This specification mandates the support of the following method ‘</w:t>
      </w:r>
      <w:hyperlink r:id="rId114" w:tooltip="http://www.w3.org/2001/10/xml-exc-c14n#" w:history="1">
        <w:r>
          <w:rPr>
            <w:rFonts w:cs="Arial"/>
            <w:color w:val="808080"/>
          </w:rPr>
          <w:t>http://www.w3.org/2001/10/xml-exc-c14n#</w:t>
        </w:r>
      </w:hyperlink>
      <w:r>
        <w:rPr>
          <w:rFonts w:cs="Arial"/>
        </w:rPr>
        <w:t>’</w:t>
      </w:r>
    </w:p>
    <w:p w14:paraId="2868294E" w14:textId="1BD010D9" w:rsidR="00B97365" w:rsidRDefault="00000000">
      <w:pPr>
        <w:numPr>
          <w:ilvl w:val="1"/>
          <w:numId w:val="38"/>
        </w:numPr>
        <w:tabs>
          <w:tab w:val="left" w:pos="1021"/>
        </w:tabs>
        <w:spacing w:before="0" w:after="200" w:line="276" w:lineRule="auto"/>
        <w:ind w:left="1360"/>
        <w:contextualSpacing/>
        <w:jc w:val="left"/>
        <w:rPr>
          <w:szCs w:val="22"/>
          <w:lang w:eastAsia="en-GB" w:bidi="ar-SA"/>
        </w:rPr>
      </w:pPr>
      <w:r>
        <w:rPr>
          <w:szCs w:val="22"/>
          <w:lang w:eastAsia="en-GB" w:bidi="ar-SA"/>
        </w:rPr>
        <w:t>a signature method; this specification mandates usage of one of the following signature method to have a compliant level of security (RSA and EC key length following recommendation given in section</w:t>
      </w:r>
      <w:r>
        <w:t xml:space="preserve"> </w:t>
      </w:r>
      <w:r>
        <w:fldChar w:fldCharType="begin"/>
      </w:r>
      <w:r>
        <w:instrText xml:space="preserve"> REF _Ref420594284 \r \h </w:instrText>
      </w:r>
      <w:r>
        <w:fldChar w:fldCharType="separate"/>
      </w:r>
      <w:r w:rsidR="001D5AD9">
        <w:t>2.3.3</w:t>
      </w:r>
      <w:r>
        <w:fldChar w:fldCharType="end"/>
      </w:r>
      <w:r>
        <w:rPr>
          <w:szCs w:val="22"/>
          <w:lang w:eastAsia="en-GB" w:bidi="ar-SA"/>
        </w:rPr>
        <w:t>)</w:t>
      </w:r>
    </w:p>
    <w:p w14:paraId="3F05607D" w14:textId="77777777" w:rsidR="00B97365" w:rsidRDefault="00000000">
      <w:pPr>
        <w:tabs>
          <w:tab w:val="left" w:pos="1361"/>
        </w:tabs>
        <w:spacing w:before="0" w:after="200" w:line="276" w:lineRule="auto"/>
        <w:ind w:left="1700" w:hanging="340"/>
        <w:contextualSpacing/>
        <w:jc w:val="left"/>
        <w:rPr>
          <w:rFonts w:cs="Arial"/>
          <w:szCs w:val="22"/>
          <w:lang w:eastAsia="en-GB" w:bidi="ar-SA"/>
        </w:rPr>
      </w:pPr>
      <w:r>
        <w:rPr>
          <w:rFonts w:cs="Arial"/>
          <w:szCs w:val="22"/>
          <w:lang w:eastAsia="en-GB" w:bidi="ar-SA"/>
        </w:rPr>
        <w:t>http://www.w3.org/2001/04/xmldsig-more#rsa-sha256</w:t>
      </w:r>
    </w:p>
    <w:p w14:paraId="4C537C5E" w14:textId="77777777" w:rsidR="00B97365" w:rsidRDefault="00000000">
      <w:pPr>
        <w:tabs>
          <w:tab w:val="left" w:pos="1361"/>
        </w:tabs>
        <w:spacing w:before="0" w:after="200" w:line="276" w:lineRule="auto"/>
        <w:ind w:left="1700" w:hanging="340"/>
        <w:contextualSpacing/>
        <w:jc w:val="left"/>
        <w:rPr>
          <w:rFonts w:cs="Arial"/>
          <w:szCs w:val="22"/>
          <w:lang w:eastAsia="en-GB" w:bidi="ar-SA"/>
        </w:rPr>
      </w:pPr>
      <w:r>
        <w:rPr>
          <w:rFonts w:cs="Arial"/>
          <w:szCs w:val="22"/>
          <w:lang w:eastAsia="en-GB" w:bidi="ar-SA"/>
        </w:rPr>
        <w:t>http://www.w3.org/2001/04/xmldsig-more#rsa-sha384</w:t>
      </w:r>
    </w:p>
    <w:p w14:paraId="39D6FDA3" w14:textId="77777777" w:rsidR="00B97365" w:rsidRDefault="00000000">
      <w:pPr>
        <w:tabs>
          <w:tab w:val="left" w:pos="1361"/>
        </w:tabs>
        <w:spacing w:before="0" w:after="200" w:line="276" w:lineRule="auto"/>
        <w:ind w:left="1700" w:hanging="340"/>
        <w:contextualSpacing/>
        <w:jc w:val="left"/>
        <w:rPr>
          <w:rFonts w:cs="Arial"/>
          <w:szCs w:val="22"/>
          <w:lang w:eastAsia="en-GB" w:bidi="ar-SA"/>
        </w:rPr>
      </w:pPr>
      <w:r>
        <w:rPr>
          <w:rFonts w:cs="Arial"/>
          <w:szCs w:val="22"/>
          <w:lang w:eastAsia="en-GB" w:bidi="ar-SA"/>
        </w:rPr>
        <w:t>http://www.w3.org/2001/04/xmldsig-more#rsa-sha512</w:t>
      </w:r>
    </w:p>
    <w:p w14:paraId="07CD27BE" w14:textId="77777777" w:rsidR="00B97365" w:rsidRDefault="00000000">
      <w:pPr>
        <w:tabs>
          <w:tab w:val="left" w:pos="1361"/>
        </w:tabs>
        <w:spacing w:before="0" w:after="200" w:line="276" w:lineRule="auto"/>
        <w:ind w:left="1700" w:hanging="340"/>
        <w:contextualSpacing/>
        <w:jc w:val="left"/>
        <w:rPr>
          <w:rFonts w:cs="Arial"/>
          <w:szCs w:val="22"/>
          <w:lang w:eastAsia="en-GB" w:bidi="ar-SA"/>
        </w:rPr>
      </w:pPr>
      <w:r>
        <w:rPr>
          <w:rFonts w:cs="Arial"/>
          <w:szCs w:val="22"/>
          <w:lang w:eastAsia="en-GB" w:bidi="ar-SA"/>
        </w:rPr>
        <w:lastRenderedPageBreak/>
        <w:t>http://www.w3.org/2001/04/xmldsig-more#ecdsa-sha256</w:t>
      </w:r>
    </w:p>
    <w:p w14:paraId="647A491C" w14:textId="77777777" w:rsidR="00B97365" w:rsidRDefault="00000000">
      <w:pPr>
        <w:tabs>
          <w:tab w:val="left" w:pos="1361"/>
        </w:tabs>
        <w:spacing w:before="0" w:after="200" w:line="276" w:lineRule="auto"/>
        <w:ind w:left="1700" w:hanging="340"/>
        <w:contextualSpacing/>
        <w:jc w:val="left"/>
        <w:rPr>
          <w:rFonts w:cs="Arial"/>
          <w:szCs w:val="22"/>
          <w:lang w:eastAsia="en-GB" w:bidi="ar-SA"/>
        </w:rPr>
      </w:pPr>
      <w:r>
        <w:rPr>
          <w:rFonts w:cs="Arial"/>
          <w:szCs w:val="22"/>
          <w:lang w:eastAsia="en-GB" w:bidi="ar-SA"/>
        </w:rPr>
        <w:t>http://www.w3.org/2001/04/xmldsig-more#ecdsa-sha384</w:t>
      </w:r>
    </w:p>
    <w:p w14:paraId="4253B401" w14:textId="77777777" w:rsidR="00B97365" w:rsidRDefault="00000000">
      <w:pPr>
        <w:tabs>
          <w:tab w:val="left" w:pos="1361"/>
        </w:tabs>
        <w:spacing w:before="0" w:after="200" w:line="276" w:lineRule="auto"/>
        <w:ind w:left="1700" w:hanging="340"/>
        <w:contextualSpacing/>
        <w:jc w:val="left"/>
        <w:rPr>
          <w:rFonts w:cs="Arial"/>
          <w:szCs w:val="22"/>
          <w:lang w:eastAsia="en-GB" w:bidi="ar-SA"/>
        </w:rPr>
      </w:pPr>
      <w:r>
        <w:rPr>
          <w:rFonts w:cs="Arial"/>
          <w:szCs w:val="22"/>
          <w:lang w:eastAsia="en-GB" w:bidi="ar-SA"/>
        </w:rPr>
        <w:t>http://www.w3.org/2001/04/xmldsig-more#ecdsa-sha512</w:t>
      </w:r>
    </w:p>
    <w:p w14:paraId="202D555E"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at least one &lt;ds:Reference&gt; element pointing to the BinarySecurityToken (see note); and with a digesting method as one of:</w:t>
      </w:r>
    </w:p>
    <w:p w14:paraId="0630CA2C" w14:textId="77777777" w:rsidR="00B97365" w:rsidRDefault="00000000">
      <w:pPr>
        <w:tabs>
          <w:tab w:val="left" w:pos="1361"/>
        </w:tabs>
        <w:spacing w:before="0" w:after="200" w:line="276" w:lineRule="auto"/>
        <w:ind w:left="1700" w:hanging="340"/>
        <w:contextualSpacing/>
        <w:jc w:val="left"/>
        <w:rPr>
          <w:rFonts w:cs="Arial"/>
          <w:szCs w:val="22"/>
          <w:lang w:eastAsia="en-GB" w:bidi="ar-SA"/>
        </w:rPr>
      </w:pPr>
      <w:r>
        <w:rPr>
          <w:rFonts w:cs="Arial"/>
          <w:szCs w:val="22"/>
          <w:lang w:eastAsia="en-GB" w:bidi="ar-SA"/>
        </w:rPr>
        <w:t>http://www.w3.org/2001/04/xmlenc#sha256</w:t>
      </w:r>
    </w:p>
    <w:p w14:paraId="18C8B75A"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ab/>
        <w:t>http://www.w3.org/2001/04/xmldsig-more#sha384</w:t>
      </w:r>
    </w:p>
    <w:p w14:paraId="672EC877" w14:textId="77777777" w:rsidR="00B97365" w:rsidRDefault="00000000">
      <w:pPr>
        <w:tabs>
          <w:tab w:val="left" w:pos="1361"/>
        </w:tabs>
        <w:spacing w:before="0" w:after="200" w:line="276" w:lineRule="auto"/>
        <w:ind w:left="1360" w:hanging="340"/>
        <w:contextualSpacing/>
        <w:jc w:val="left"/>
        <w:rPr>
          <w:rFonts w:cs="Arial"/>
          <w:szCs w:val="22"/>
          <w:lang w:eastAsia="en-GB" w:bidi="ar-SA"/>
        </w:rPr>
      </w:pPr>
      <w:r>
        <w:rPr>
          <w:rFonts w:cs="Arial"/>
          <w:szCs w:val="22"/>
          <w:lang w:eastAsia="en-GB" w:bidi="ar-SA"/>
        </w:rPr>
        <w:tab/>
      </w:r>
      <w:hyperlink r:id="rId115" w:anchor="sha512" w:history="1">
        <w:r>
          <w:rPr>
            <w:rFonts w:cs="Arial"/>
            <w:color w:val="0000FF"/>
            <w:szCs w:val="22"/>
            <w:u w:val="single"/>
            <w:lang w:eastAsia="en-GB" w:bidi="ar-SA"/>
          </w:rPr>
          <w:t>http://www.w3.org/2001/04/xmlenc#sha512</w:t>
        </w:r>
      </w:hyperlink>
    </w:p>
    <w:p w14:paraId="08CD7618" w14:textId="77777777" w:rsidR="00B97365" w:rsidRDefault="00000000">
      <w:pPr>
        <w:numPr>
          <w:ilvl w:val="0"/>
          <w:numId w:val="54"/>
        </w:numPr>
        <w:tabs>
          <w:tab w:val="left" w:pos="1361"/>
        </w:tabs>
        <w:spacing w:before="0" w:after="200" w:line="276" w:lineRule="auto"/>
        <w:contextualSpacing/>
        <w:jc w:val="left"/>
        <w:rPr>
          <w:rFonts w:cs="Arial"/>
          <w:szCs w:val="22"/>
          <w:lang w:eastAsia="en-GB" w:bidi="ar-SA"/>
        </w:rPr>
      </w:pPr>
      <w:r>
        <w:rPr>
          <w:rFonts w:cs="Arial"/>
          <w:szCs w:val="22"/>
          <w:lang w:eastAsia="en-GB" w:bidi="ar-SA"/>
        </w:rPr>
        <w:t xml:space="preserve">including a </w:t>
      </w:r>
      <w:r>
        <w:rPr>
          <w:szCs w:val="22"/>
          <w:lang w:eastAsia="en-GB" w:bidi="ar-SA"/>
        </w:rPr>
        <w:t>&lt;ds:</w:t>
      </w:r>
      <w:r>
        <w:rPr>
          <w:rFonts w:cs="Arial"/>
          <w:szCs w:val="22"/>
          <w:lang w:eastAsia="en-GB" w:bidi="ar-SA"/>
        </w:rPr>
        <w:t>Transforms</w:t>
      </w:r>
      <w:r>
        <w:rPr>
          <w:szCs w:val="22"/>
          <w:lang w:eastAsia="en-GB" w:bidi="ar-SA"/>
        </w:rPr>
        <w:t>&gt;</w:t>
      </w:r>
      <w:r>
        <w:rPr>
          <w:rFonts w:cs="Arial"/>
          <w:szCs w:val="22"/>
          <w:lang w:eastAsia="en-GB" w:bidi="ar-SA"/>
        </w:rPr>
        <w:t xml:space="preserve"> </w:t>
      </w:r>
      <w:r>
        <w:rPr>
          <w:szCs w:val="22"/>
          <w:lang w:eastAsia="en-GB" w:bidi="ar-SA"/>
        </w:rPr>
        <w:t xml:space="preserve">element </w:t>
      </w:r>
      <w:r>
        <w:rPr>
          <w:rFonts w:cs="Arial"/>
          <w:szCs w:val="22"/>
          <w:lang w:eastAsia="en-GB" w:bidi="ar-SA"/>
        </w:rPr>
        <w:t>with a &lt;ds:Transform&gt; element to specify the canonicalization method for the reference.</w:t>
      </w:r>
      <w:r>
        <w:rPr>
          <w:rFonts w:cs="Arial"/>
          <w:szCs w:val="22"/>
          <w:lang w:eastAsia="en-GB" w:bidi="ar-SA"/>
        </w:rPr>
        <w:br/>
        <w:t>This specification mandates the support of the following method ‘</w:t>
      </w:r>
      <w:hyperlink r:id="rId116" w:tooltip="http://www.w3.org/2001/10/xml-exc-c14n#" w:history="1">
        <w:r>
          <w:rPr>
            <w:rFonts w:cs="Arial"/>
            <w:color w:val="0000FF"/>
            <w:szCs w:val="22"/>
            <w:u w:val="single"/>
            <w:lang w:eastAsia="en-GB" w:bidi="ar-SA"/>
          </w:rPr>
          <w:t>http://www.w3.org/2001/10/xml-exc-c14n#</w:t>
        </w:r>
      </w:hyperlink>
      <w:r>
        <w:rPr>
          <w:rFonts w:cs="Arial"/>
          <w:szCs w:val="22"/>
          <w:lang w:eastAsia="en-GB" w:bidi="ar-SA"/>
        </w:rPr>
        <w:t xml:space="preserve">’ </w:t>
      </w:r>
      <w:r>
        <w:rPr>
          <w:szCs w:val="22"/>
          <w:lang w:eastAsia="en-GB" w:bidi="ar-SA"/>
        </w:rPr>
        <w:br/>
      </w:r>
    </w:p>
    <w:p w14:paraId="4D3829AB" w14:textId="14BD3C75"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w:t>
      </w:r>
      <w:r>
        <w:rPr>
          <w:szCs w:val="22"/>
          <w:lang w:val="en-US" w:eastAsia="en-GB" w:bidi="ar-SA"/>
        </w:rPr>
        <w:tab/>
        <w:t xml:space="preserve">Including the X.509 token in the signature is recommended by Oasis’ Web Services Security: SOAP Message Security 1.1 </w:t>
      </w:r>
      <w:r>
        <w:rPr>
          <w:szCs w:val="22"/>
          <w:lang w:val="en-US" w:eastAsia="en-GB" w:bidi="ar-SA"/>
        </w:rPr>
        <w:fldChar w:fldCharType="begin"/>
      </w:r>
      <w:r>
        <w:rPr>
          <w:szCs w:val="22"/>
          <w:lang w:val="en-US" w:eastAsia="en-GB" w:bidi="ar-SA"/>
        </w:rPr>
        <w:instrText xml:space="preserve"> REF _Ref534232763 \r \h </w:instrText>
      </w:r>
      <w:r>
        <w:rPr>
          <w:szCs w:val="22"/>
          <w:lang w:val="en-US" w:eastAsia="en-GB" w:bidi="ar-SA"/>
        </w:rPr>
      </w:r>
      <w:r>
        <w:rPr>
          <w:szCs w:val="22"/>
          <w:lang w:val="en-US" w:eastAsia="en-GB" w:bidi="ar-SA"/>
        </w:rPr>
        <w:fldChar w:fldCharType="separate"/>
      </w:r>
      <w:r w:rsidR="001D5AD9">
        <w:rPr>
          <w:szCs w:val="22"/>
          <w:lang w:val="en-US" w:eastAsia="en-GB" w:bidi="ar-SA"/>
        </w:rPr>
        <w:t>[44]</w:t>
      </w:r>
      <w:r>
        <w:rPr>
          <w:szCs w:val="22"/>
          <w:lang w:val="en-US" w:eastAsia="en-GB" w:bidi="ar-SA"/>
        </w:rPr>
        <w:fldChar w:fldCharType="end"/>
      </w:r>
      <w:r>
        <w:rPr>
          <w:szCs w:val="22"/>
          <w:lang w:val="en-US" w:eastAsia="en-GB" w:bidi="ar-SA"/>
        </w:rPr>
        <w:t>, to protects against certificate substitution attacks.</w:t>
      </w:r>
    </w:p>
    <w:p w14:paraId="7EA372BD" w14:textId="77777777" w:rsidR="00B97365" w:rsidRDefault="00000000">
      <w:pPr>
        <w:spacing w:before="0" w:after="200" w:line="276" w:lineRule="auto"/>
        <w:jc w:val="left"/>
        <w:rPr>
          <w:szCs w:val="22"/>
          <w:lang w:eastAsia="en-GB" w:bidi="ar-SA"/>
        </w:rPr>
      </w:pPr>
      <w:r>
        <w:rPr>
          <w:szCs w:val="22"/>
          <w:lang w:eastAsia="en-GB" w:bidi="ar-SA"/>
        </w:rPr>
        <w:t>Example:</w:t>
      </w:r>
    </w:p>
    <w:p w14:paraId="5F75B2E5" w14:textId="77777777" w:rsidR="00B97365" w:rsidRDefault="00000000">
      <w:pPr>
        <w:rPr>
          <w:rFonts w:ascii="Courier New" w:hAnsi="Courier New" w:cs="Courier New"/>
          <w:sz w:val="20"/>
          <w:lang w:val="en-US"/>
        </w:rPr>
      </w:pPr>
      <w:bookmarkStart w:id="11733" w:name="_Toc420595089"/>
      <w:r>
        <w:rPr>
          <w:rFonts w:ascii="Courier New" w:hAnsi="Courier New" w:cs="Courier New"/>
          <w:sz w:val="20"/>
          <w:lang w:val="en-US"/>
        </w:rPr>
        <w:t>&lt;S11:Envelope xmlns:S11="..."&gt;</w:t>
      </w:r>
      <w:bookmarkEnd w:id="11733"/>
    </w:p>
    <w:p w14:paraId="415CED4F" w14:textId="77777777" w:rsidR="00B97365" w:rsidRDefault="00000000">
      <w:pPr>
        <w:rPr>
          <w:rFonts w:ascii="Courier New" w:hAnsi="Courier New" w:cs="Courier New"/>
          <w:sz w:val="20"/>
          <w:lang w:val="en-US"/>
        </w:rPr>
      </w:pPr>
      <w:r>
        <w:rPr>
          <w:rFonts w:ascii="Courier New" w:hAnsi="Courier New" w:cs="Courier New"/>
          <w:sz w:val="20"/>
          <w:lang w:val="en-US"/>
        </w:rPr>
        <w:tab/>
        <w:t>&lt;S11:Header&gt;</w:t>
      </w:r>
    </w:p>
    <w:p w14:paraId="2508BBAE"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t>…</w:t>
      </w:r>
    </w:p>
    <w:p w14:paraId="5B14BCBB"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t>&lt;wsse:Security xmlns:wsse="..." xmlns:wsu="..." &gt;</w:t>
      </w:r>
    </w:p>
    <w:p w14:paraId="45992674"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r>
      <w:bookmarkStart w:id="11734" w:name="_Toc420595090"/>
      <w:r>
        <w:rPr>
          <w:rFonts w:ascii="Courier New" w:hAnsi="Courier New" w:cs="Courier New"/>
          <w:sz w:val="20"/>
          <w:lang w:val="en-US"/>
        </w:rPr>
        <w:t>&lt;wsse:BinarySecurityToken ValueType="…#X509v3"</w:t>
      </w:r>
      <w:bookmarkEnd w:id="11734"/>
    </w:p>
    <w:p w14:paraId="1F6505C9"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t>EncodingType="…#Base64Binary" wsu:Id="binarytoken"&gt;</w:t>
      </w:r>
    </w:p>
    <w:p w14:paraId="019BBB1A"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r>
      <w:bookmarkStart w:id="11735" w:name="_Toc420595091"/>
      <w:r>
        <w:rPr>
          <w:rFonts w:ascii="Courier New" w:hAnsi="Courier New" w:cs="Courier New"/>
          <w:sz w:val="20"/>
          <w:lang w:val="en-US"/>
        </w:rPr>
        <w:t>MIIEZzCCA9CgAwIBAgIQEmtJZc0…</w:t>
      </w:r>
      <w:bookmarkEnd w:id="11735"/>
    </w:p>
    <w:p w14:paraId="4E658812"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t>&lt;/wsse:BinarySecurityToken&gt;</w:t>
      </w:r>
    </w:p>
    <w:p w14:paraId="2821FA27" w14:textId="77777777" w:rsidR="00B97365" w:rsidRDefault="00000000">
      <w:pPr>
        <w:ind w:firstLine="2160"/>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r>
      <w:r>
        <w:rPr>
          <w:rFonts w:ascii="Courier New" w:hAnsi="Courier New" w:cs="Courier New"/>
          <w:sz w:val="20"/>
          <w:lang w:val="en-US"/>
        </w:rPr>
        <w:tab/>
        <w:t>&lt;ds:Signature xmlns:ds="http://www.w3.org/2000/09/xmldsig#"&gt;</w:t>
      </w:r>
    </w:p>
    <w:p w14:paraId="3A86606B" w14:textId="77777777" w:rsidR="00B97365" w:rsidRDefault="00000000">
      <w:pPr>
        <w:ind w:left="2160" w:firstLine="720"/>
        <w:rPr>
          <w:rFonts w:ascii="Courier New" w:hAnsi="Courier New" w:cs="Courier New"/>
          <w:sz w:val="20"/>
          <w:lang w:val="en-US"/>
        </w:rPr>
      </w:pPr>
      <w:r>
        <w:rPr>
          <w:rFonts w:ascii="Courier New" w:hAnsi="Courier New" w:cs="Courier New"/>
          <w:sz w:val="20"/>
          <w:lang w:val="en-US"/>
        </w:rPr>
        <w:t>&lt;ds:SignedInfo&gt;</w:t>
      </w:r>
    </w:p>
    <w:p w14:paraId="502DAFD4" w14:textId="77777777" w:rsidR="00B97365" w:rsidRDefault="00000000">
      <w:pPr>
        <w:ind w:firstLine="3544"/>
        <w:rPr>
          <w:rFonts w:ascii="Courier New" w:hAnsi="Courier New" w:cs="Courier New"/>
          <w:sz w:val="20"/>
          <w:lang w:val="en-US"/>
        </w:rPr>
      </w:pPr>
      <w:r>
        <w:rPr>
          <w:rFonts w:ascii="Courier New" w:hAnsi="Courier New" w:cs="Courier New"/>
          <w:sz w:val="20"/>
        </w:rPr>
        <w:t>&lt;ds:CanonicalizationMethod Algorithm=http://www.w3.org/2001/10/xml-exc-c14n#/&gt;</w:t>
      </w:r>
    </w:p>
    <w:p w14:paraId="03BF3262" w14:textId="77777777" w:rsidR="00B97365" w:rsidRDefault="00000000">
      <w:pPr>
        <w:ind w:firstLine="3544"/>
        <w:rPr>
          <w:rFonts w:ascii="Courier New" w:hAnsi="Courier New" w:cs="Courier New"/>
          <w:sz w:val="20"/>
        </w:rPr>
      </w:pPr>
      <w:r>
        <w:rPr>
          <w:rFonts w:ascii="Courier New" w:hAnsi="Courier New" w:cs="Courier New"/>
          <w:sz w:val="20"/>
        </w:rPr>
        <w:t>&lt;ds:SignatureMethod Algorithm=http://www.w3.org/2001/04/xmldsig-more#rsa-sha256/&gt;</w:t>
      </w:r>
    </w:p>
    <w:p w14:paraId="58FC8F53" w14:textId="77777777" w:rsidR="00B97365" w:rsidRDefault="00000000">
      <w:pPr>
        <w:ind w:left="3544"/>
        <w:rPr>
          <w:rFonts w:ascii="Courier New" w:hAnsi="Courier New" w:cs="Courier New"/>
          <w:sz w:val="20"/>
          <w:lang w:val="en-US"/>
        </w:rPr>
      </w:pPr>
      <w:r>
        <w:rPr>
          <w:rFonts w:ascii="Courier New" w:hAnsi="Courier New" w:cs="Courier New"/>
          <w:sz w:val="20"/>
          <w:lang w:val="en-US"/>
        </w:rPr>
        <w:t>&lt;ds:Reference URI="#binarytoken"&gt;</w:t>
      </w:r>
    </w:p>
    <w:p w14:paraId="6C13460E" w14:textId="77777777" w:rsidR="00B97365" w:rsidRDefault="00000000">
      <w:pPr>
        <w:ind w:left="4320"/>
        <w:rPr>
          <w:rFonts w:ascii="Courier New" w:hAnsi="Courier New" w:cs="Courier New"/>
          <w:sz w:val="20"/>
        </w:rPr>
      </w:pPr>
      <w:r>
        <w:rPr>
          <w:rFonts w:ascii="Courier New" w:hAnsi="Courier New" w:cs="Courier New"/>
          <w:sz w:val="20"/>
        </w:rPr>
        <w:t>&lt;ds:Transforms&gt;</w:t>
      </w:r>
    </w:p>
    <w:p w14:paraId="3A737E4C" w14:textId="77777777" w:rsidR="00B97365" w:rsidRDefault="00000000">
      <w:pPr>
        <w:ind w:firstLine="5040"/>
        <w:rPr>
          <w:rFonts w:ascii="Courier New" w:hAnsi="Courier New" w:cs="Courier New"/>
          <w:sz w:val="20"/>
        </w:rPr>
      </w:pPr>
      <w:r>
        <w:rPr>
          <w:rFonts w:ascii="Courier New" w:hAnsi="Courier New" w:cs="Courier New"/>
          <w:sz w:val="20"/>
        </w:rPr>
        <w:t>&lt;ds:Transform Algorithm="</w:t>
      </w:r>
      <w:hyperlink r:id="rId117" w:history="1">
        <w:r>
          <w:rPr>
            <w:rFonts w:ascii="Courier New" w:hAnsi="Courier New" w:cs="Courier New"/>
            <w:color w:val="0000FF"/>
            <w:sz w:val="20"/>
            <w:u w:val="single"/>
          </w:rPr>
          <w:t>http://www.w3.org/2001/10/xml-exc-c14n#"</w:t>
        </w:r>
      </w:hyperlink>
      <w:r>
        <w:rPr>
          <w:rFonts w:ascii="Courier New" w:hAnsi="Courier New" w:cs="Courier New"/>
          <w:sz w:val="20"/>
        </w:rPr>
        <w:t> /&gt;</w:t>
      </w:r>
    </w:p>
    <w:p w14:paraId="7BC10325" w14:textId="77777777" w:rsidR="00B97365" w:rsidRDefault="00000000">
      <w:pPr>
        <w:ind w:left="4208" w:firstLine="56"/>
        <w:rPr>
          <w:rFonts w:ascii="Courier New" w:hAnsi="Courier New" w:cs="Courier New"/>
          <w:sz w:val="20"/>
        </w:rPr>
      </w:pPr>
      <w:r>
        <w:rPr>
          <w:rFonts w:ascii="Courier New" w:hAnsi="Courier New" w:cs="Courier New"/>
          <w:sz w:val="20"/>
        </w:rPr>
        <w:t>&lt;/ds:Transforms&gt;</w:t>
      </w:r>
    </w:p>
    <w:p w14:paraId="36A2A4F8" w14:textId="77777777" w:rsidR="00B97365" w:rsidRDefault="00000000">
      <w:pPr>
        <w:ind w:firstLine="4264"/>
        <w:rPr>
          <w:rFonts w:ascii="Courier New" w:hAnsi="Courier New" w:cs="Courier New"/>
          <w:sz w:val="20"/>
        </w:rPr>
      </w:pPr>
      <w:r>
        <w:rPr>
          <w:rFonts w:ascii="Courier New" w:hAnsi="Courier New" w:cs="Courier New"/>
          <w:sz w:val="20"/>
        </w:rPr>
        <w:t>&lt;ds:DigestMethod Algorithm=http://www.w3.org/2001/04/xmlenc#sha256/&gt;</w:t>
      </w:r>
    </w:p>
    <w:p w14:paraId="189F81C2" w14:textId="77777777" w:rsidR="00B97365" w:rsidRDefault="00000000">
      <w:pPr>
        <w:ind w:firstLine="4320"/>
        <w:rPr>
          <w:rFonts w:ascii="Courier New" w:hAnsi="Courier New" w:cs="Courier New"/>
          <w:sz w:val="20"/>
          <w:lang w:val="fr-FR"/>
        </w:rPr>
      </w:pPr>
      <w:r>
        <w:rPr>
          <w:rFonts w:ascii="Courier New" w:hAnsi="Courier New" w:cs="Courier New"/>
          <w:sz w:val="20"/>
          <w:lang w:val="fr-FR"/>
        </w:rPr>
        <w:t>&lt;ds:DigestValue&gt;dHLk..&lt;/ds:DigestValue&gt;</w:t>
      </w:r>
    </w:p>
    <w:p w14:paraId="3A41A3C7" w14:textId="77777777" w:rsidR="00B97365" w:rsidRDefault="00000000">
      <w:pPr>
        <w:ind w:left="2880" w:firstLine="720"/>
        <w:rPr>
          <w:rFonts w:ascii="Courier New" w:hAnsi="Courier New" w:cs="Courier New"/>
          <w:sz w:val="20"/>
          <w:lang w:val="en-US"/>
        </w:rPr>
      </w:pPr>
      <w:r>
        <w:rPr>
          <w:rFonts w:ascii="Courier New" w:hAnsi="Courier New" w:cs="Courier New"/>
          <w:sz w:val="20"/>
          <w:lang w:val="en-US"/>
        </w:rPr>
        <w:t>&lt;/ds:Reference&gt;</w:t>
      </w:r>
    </w:p>
    <w:p w14:paraId="0334DAE5" w14:textId="77777777" w:rsidR="00B97365" w:rsidRDefault="00000000">
      <w:pPr>
        <w:ind w:left="2160" w:firstLine="720"/>
        <w:rPr>
          <w:rFonts w:ascii="Courier New" w:hAnsi="Courier New" w:cs="Courier New"/>
          <w:sz w:val="20"/>
          <w:lang w:val="en-US"/>
        </w:rPr>
      </w:pPr>
      <w:r>
        <w:rPr>
          <w:rFonts w:ascii="Courier New" w:hAnsi="Courier New" w:cs="Courier New"/>
          <w:sz w:val="20"/>
          <w:lang w:val="en-US"/>
        </w:rPr>
        <w:t>&lt;/ds:SignedInfo&gt;</w:t>
      </w:r>
    </w:p>
    <w:p w14:paraId="1DBE2F40" w14:textId="77777777" w:rsidR="00B97365" w:rsidRDefault="00000000">
      <w:pPr>
        <w:ind w:left="2160" w:firstLine="720"/>
        <w:rPr>
          <w:rFonts w:ascii="Courier New" w:hAnsi="Courier New" w:cs="Courier New"/>
          <w:sz w:val="20"/>
          <w:lang w:val="en-US"/>
        </w:rPr>
      </w:pPr>
      <w:r>
        <w:rPr>
          <w:rFonts w:ascii="Courier New" w:hAnsi="Courier New" w:cs="Courier New"/>
          <w:sz w:val="20"/>
          <w:lang w:val="en-US"/>
        </w:rPr>
        <w:t>&lt;ds:SignatureValue&gt;HFLP…&lt;/ds:SignatureValue&gt;</w:t>
      </w:r>
    </w:p>
    <w:p w14:paraId="24277C9A" w14:textId="77777777" w:rsidR="00B97365" w:rsidRDefault="00000000">
      <w:pPr>
        <w:ind w:left="2160" w:firstLine="720"/>
        <w:rPr>
          <w:rFonts w:ascii="Courier New" w:hAnsi="Courier New" w:cs="Courier New"/>
          <w:sz w:val="20"/>
          <w:lang w:val="en-US"/>
        </w:rPr>
      </w:pPr>
      <w:r>
        <w:rPr>
          <w:rFonts w:ascii="Courier New" w:hAnsi="Courier New" w:cs="Courier New"/>
          <w:sz w:val="20"/>
          <w:lang w:val="en-US"/>
        </w:rPr>
        <w:lastRenderedPageBreak/>
        <w:t>&lt;ds:KeyInfo&gt;</w:t>
      </w:r>
    </w:p>
    <w:p w14:paraId="19E3DBF7" w14:textId="77777777" w:rsidR="00B97365" w:rsidRDefault="00000000">
      <w:pPr>
        <w:ind w:left="2880" w:firstLine="720"/>
        <w:rPr>
          <w:rFonts w:ascii="Courier New" w:hAnsi="Courier New" w:cs="Courier New"/>
          <w:sz w:val="20"/>
          <w:lang w:val="en-US"/>
        </w:rPr>
      </w:pPr>
      <w:r>
        <w:rPr>
          <w:rFonts w:ascii="Courier New" w:hAnsi="Courier New" w:cs="Courier New"/>
          <w:sz w:val="20"/>
          <w:lang w:val="en-US"/>
        </w:rPr>
        <w:t>&lt;wsse:SecurityTokenReference&gt;</w:t>
      </w:r>
    </w:p>
    <w:p w14:paraId="557A5929" w14:textId="77777777" w:rsidR="00B97365" w:rsidRDefault="00000000">
      <w:pPr>
        <w:ind w:left="3600" w:firstLine="720"/>
        <w:rPr>
          <w:rFonts w:ascii="Courier New" w:hAnsi="Courier New" w:cs="Courier New"/>
          <w:sz w:val="20"/>
          <w:lang w:val="en-US"/>
        </w:rPr>
      </w:pPr>
      <w:r>
        <w:rPr>
          <w:rFonts w:ascii="Courier New" w:hAnsi="Courier New" w:cs="Courier New"/>
          <w:sz w:val="20"/>
          <w:lang w:val="en-US"/>
        </w:rPr>
        <w:t>&lt;wsse:Reference URI="#binarytoken" /&gt;</w:t>
      </w:r>
    </w:p>
    <w:p w14:paraId="51BB7035" w14:textId="77777777" w:rsidR="00B97365" w:rsidRDefault="00000000">
      <w:pPr>
        <w:ind w:left="2880" w:firstLine="720"/>
        <w:rPr>
          <w:rFonts w:ascii="Courier New" w:hAnsi="Courier New" w:cs="Courier New"/>
          <w:sz w:val="20"/>
          <w:lang w:val="en-US"/>
        </w:rPr>
      </w:pPr>
      <w:r>
        <w:rPr>
          <w:rFonts w:ascii="Courier New" w:hAnsi="Courier New" w:cs="Courier New"/>
          <w:sz w:val="20"/>
          <w:lang w:val="en-US"/>
        </w:rPr>
        <w:t>&lt;/wsse:SecurityTokenReference&gt;</w:t>
      </w:r>
    </w:p>
    <w:p w14:paraId="1ECC73D4" w14:textId="77777777" w:rsidR="00B97365" w:rsidRDefault="00000000">
      <w:pPr>
        <w:ind w:left="2160" w:firstLine="720"/>
        <w:rPr>
          <w:rFonts w:ascii="Courier New" w:hAnsi="Courier New" w:cs="Courier New"/>
          <w:sz w:val="20"/>
          <w:lang w:val="en-US"/>
        </w:rPr>
      </w:pPr>
      <w:r>
        <w:rPr>
          <w:rFonts w:ascii="Courier New" w:hAnsi="Courier New" w:cs="Courier New"/>
          <w:sz w:val="20"/>
          <w:lang w:val="en-US"/>
        </w:rPr>
        <w:t>&lt;/ds:KeyInfo&gt;</w:t>
      </w:r>
    </w:p>
    <w:p w14:paraId="248445F0" w14:textId="77777777" w:rsidR="00B97365" w:rsidRDefault="00000000">
      <w:pPr>
        <w:ind w:left="1440" w:firstLine="720"/>
        <w:rPr>
          <w:rFonts w:ascii="Courier New" w:hAnsi="Courier New" w:cs="Courier New"/>
          <w:sz w:val="20"/>
          <w:lang w:val="en-US"/>
        </w:rPr>
      </w:pPr>
      <w:r>
        <w:rPr>
          <w:rFonts w:ascii="Courier New" w:hAnsi="Courier New" w:cs="Courier New"/>
          <w:sz w:val="20"/>
          <w:lang w:val="en-US"/>
        </w:rPr>
        <w:t>&lt;/ds:Signature&gt;</w:t>
      </w:r>
    </w:p>
    <w:p w14:paraId="017BCB54"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t>&lt;/wsse:Security&gt;</w:t>
      </w:r>
    </w:p>
    <w:p w14:paraId="0533FF68" w14:textId="77777777" w:rsidR="00B97365" w:rsidRDefault="00000000">
      <w:pPr>
        <w:rPr>
          <w:rFonts w:ascii="Courier New" w:hAnsi="Courier New" w:cs="Courier New"/>
          <w:sz w:val="20"/>
          <w:lang w:val="en-US"/>
        </w:rPr>
      </w:pPr>
      <w:r>
        <w:rPr>
          <w:rFonts w:ascii="Courier New" w:hAnsi="Courier New" w:cs="Courier New"/>
          <w:sz w:val="20"/>
          <w:lang w:val="en-US"/>
        </w:rPr>
        <w:tab/>
      </w:r>
      <w:r>
        <w:rPr>
          <w:rFonts w:ascii="Courier New" w:hAnsi="Courier New" w:cs="Courier New"/>
          <w:sz w:val="20"/>
          <w:lang w:val="en-US"/>
        </w:rPr>
        <w:tab/>
        <w:t>…</w:t>
      </w:r>
    </w:p>
    <w:p w14:paraId="36D9DA80" w14:textId="77777777" w:rsidR="00B97365" w:rsidRDefault="00B97365">
      <w:pPr>
        <w:tabs>
          <w:tab w:val="left" w:pos="284"/>
          <w:tab w:val="left" w:pos="567"/>
          <w:tab w:val="left" w:pos="851"/>
          <w:tab w:val="left" w:pos="1134"/>
          <w:tab w:val="left" w:pos="1418"/>
          <w:tab w:val="left" w:pos="1701"/>
        </w:tabs>
        <w:ind w:left="567"/>
        <w:rPr>
          <w:rFonts w:cs="Calibri"/>
          <w:lang w:val="en-US"/>
        </w:rPr>
      </w:pPr>
    </w:p>
    <w:p w14:paraId="5EA03BCB"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11736" w:name="_Toc420595092"/>
      <w:bookmarkStart w:id="11737" w:name="_Toc398215084"/>
      <w:bookmarkStart w:id="11738" w:name="_Toc375158500"/>
      <w:bookmarkStart w:id="11739" w:name="_Toc368932509"/>
      <w:bookmarkStart w:id="11740" w:name="_Toc1977493"/>
      <w:bookmarkStart w:id="11741" w:name="_Toc37062652"/>
      <w:r>
        <w:rPr>
          <w:rFonts w:ascii="Arial Bold" w:hAnsi="Arial Bold"/>
          <w:szCs w:val="22"/>
          <w:lang w:val="fr-FR" w:eastAsia="en-US"/>
        </w:rPr>
        <w:t>Integrity</w:t>
      </w:r>
      <w:bookmarkEnd w:id="11736"/>
      <w:bookmarkEnd w:id="11737"/>
      <w:bookmarkEnd w:id="11738"/>
      <w:bookmarkEnd w:id="11739"/>
      <w:bookmarkEnd w:id="11740"/>
      <w:bookmarkEnd w:id="11741"/>
    </w:p>
    <w:p w14:paraId="4422CCC9"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integrity of the message SHALL exclusively rely on the transport level security (TLS).</w:t>
      </w:r>
    </w:p>
    <w:p w14:paraId="06172665" w14:textId="77777777" w:rsidR="00B97365" w:rsidRDefault="00B97365">
      <w:pPr>
        <w:rPr>
          <w:rFonts w:cs="Calibri"/>
        </w:rPr>
      </w:pPr>
    </w:p>
    <w:p w14:paraId="4128AF55"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11742" w:name="_Toc420595093"/>
      <w:bookmarkStart w:id="11743" w:name="_Toc398215085"/>
      <w:bookmarkStart w:id="11744" w:name="_Toc375158501"/>
      <w:bookmarkStart w:id="11745" w:name="_Toc368932510"/>
      <w:bookmarkStart w:id="11746" w:name="_Toc1977494"/>
      <w:bookmarkStart w:id="11747" w:name="_Toc37062653"/>
      <w:r>
        <w:rPr>
          <w:rFonts w:ascii="Arial Bold" w:hAnsi="Arial Bold"/>
          <w:szCs w:val="22"/>
          <w:lang w:val="fr-FR" w:eastAsia="en-US"/>
        </w:rPr>
        <w:t>Confidentiality</w:t>
      </w:r>
      <w:bookmarkEnd w:id="11742"/>
      <w:bookmarkEnd w:id="11743"/>
      <w:bookmarkEnd w:id="11744"/>
      <w:bookmarkEnd w:id="11745"/>
      <w:bookmarkEnd w:id="11746"/>
      <w:bookmarkEnd w:id="11747"/>
    </w:p>
    <w:p w14:paraId="50DB240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confidentiality of the message SHALL exclusively rely on the transport level security (TLS).</w:t>
      </w:r>
    </w:p>
    <w:p w14:paraId="0201D359" w14:textId="77777777" w:rsidR="00B97365" w:rsidRDefault="00B97365">
      <w:pPr>
        <w:spacing w:before="0" w:after="200" w:line="276" w:lineRule="auto"/>
        <w:jc w:val="left"/>
        <w:rPr>
          <w:rFonts w:cs="Calibri"/>
          <w:szCs w:val="22"/>
          <w:lang w:val="en-US" w:eastAsia="en-GB" w:bidi="ar-SA"/>
        </w:rPr>
      </w:pPr>
    </w:p>
    <w:p w14:paraId="1B15B6A8"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1748" w:name="_Toc448998366"/>
      <w:bookmarkStart w:id="11749" w:name="_Toc422150936"/>
      <w:bookmarkStart w:id="11750" w:name="_Toc421874521"/>
      <w:bookmarkStart w:id="11751" w:name="_Toc420595094"/>
      <w:bookmarkStart w:id="11752" w:name="_Toc398215086"/>
      <w:bookmarkStart w:id="11753" w:name="_Toc375158502"/>
      <w:bookmarkStart w:id="11754" w:name="_Toc374348670"/>
      <w:bookmarkStart w:id="11755" w:name="_Toc368932511"/>
      <w:bookmarkStart w:id="11756" w:name="_Ref367979437"/>
      <w:bookmarkStart w:id="11757" w:name="_Toc486332983"/>
      <w:bookmarkStart w:id="11758" w:name="_Toc1977495"/>
      <w:bookmarkStart w:id="11759" w:name="_Toc37062654"/>
      <w:bookmarkStart w:id="11760" w:name="_Toc88839700"/>
      <w:bookmarkStart w:id="11761" w:name="_Toc121504108"/>
      <w:r>
        <w:rPr>
          <w:rFonts w:ascii="Arial Bold" w:hAnsi="Arial Bold"/>
          <w:sz w:val="24"/>
          <w:szCs w:val="24"/>
          <w:lang w:eastAsia="en-US"/>
        </w:rPr>
        <w:t>Message Exchange Pattern (MEPs) – HTTPS Binding</w:t>
      </w:r>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p>
    <w:p w14:paraId="2B0CFCCA"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11762" w:name="_Toc420595095"/>
      <w:bookmarkStart w:id="11763" w:name="_Toc398215087"/>
      <w:bookmarkStart w:id="11764" w:name="_Toc375158503"/>
      <w:bookmarkStart w:id="11765" w:name="_Toc368932512"/>
      <w:bookmarkStart w:id="11766" w:name="_Toc1977496"/>
      <w:bookmarkStart w:id="11767" w:name="_Toc37062655"/>
      <w:r>
        <w:rPr>
          <w:rFonts w:ascii="Arial Bold" w:hAnsi="Arial Bold"/>
          <w:szCs w:val="22"/>
          <w:lang w:val="fr-FR" w:eastAsia="en-US"/>
        </w:rPr>
        <w:t>MEP: Synchronous Request-Response</w:t>
      </w:r>
      <w:bookmarkEnd w:id="11762"/>
      <w:bookmarkEnd w:id="11763"/>
      <w:bookmarkEnd w:id="11764"/>
      <w:bookmarkEnd w:id="11765"/>
      <w:bookmarkEnd w:id="11766"/>
      <w:bookmarkEnd w:id="11767"/>
    </w:p>
    <w:p w14:paraId="2C4A8CE1" w14:textId="77777777" w:rsidR="00B97365" w:rsidRDefault="00000000">
      <w:pPr>
        <w:spacing w:before="0" w:after="200" w:line="276" w:lineRule="auto"/>
        <w:jc w:val="center"/>
        <w:rPr>
          <w:rFonts w:cs="Calibri"/>
          <w:szCs w:val="22"/>
          <w:lang w:eastAsia="en-GB" w:bidi="ar-SA"/>
        </w:rPr>
      </w:pPr>
      <w:r>
        <w:rPr>
          <w:rFonts w:cs="Calibri"/>
          <w:szCs w:val="22"/>
          <w:lang w:eastAsia="en-GB" w:bidi="ar-SA"/>
        </w:rPr>
        <w:object w:dxaOrig="8340" w:dyaOrig="1944" w14:anchorId="5616E217">
          <v:shape id="_x0000_i1044" type="#_x0000_t75" style="width:421.1pt;height:102.05pt" o:ole="">
            <v:imagedata r:id="rId118" o:title=""/>
          </v:shape>
          <o:OLEObject Type="Embed" ProgID="PowerPoint.Slide.12" ShapeID="_x0000_i1044" DrawAspect="Content" ObjectID="_1738512089" r:id="rId119"/>
        </w:object>
      </w:r>
    </w:p>
    <w:p w14:paraId="430B4FC2"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MEP: Synchronous Request-Response </w:t>
      </w:r>
    </w:p>
    <w:p w14:paraId="23FF8BE9" w14:textId="77777777" w:rsidR="00B97365" w:rsidRDefault="00000000">
      <w:pPr>
        <w:spacing w:before="0" w:after="200" w:line="276" w:lineRule="auto"/>
        <w:jc w:val="left"/>
        <w:rPr>
          <w:rFonts w:cs="Arial"/>
          <w:szCs w:val="22"/>
          <w:lang w:eastAsia="en-GB" w:bidi="ar-SA"/>
        </w:rPr>
      </w:pPr>
      <w:r>
        <w:rPr>
          <w:rFonts w:cs="Arial"/>
          <w:szCs w:val="22"/>
          <w:lang w:eastAsia="en-GB" w:bidi="ar-SA"/>
        </w:rPr>
        <w:t>(1) The SOAP header of the message sent in a HTTP POST from Function requester to Function provider SHALL contain:</w:t>
      </w:r>
    </w:p>
    <w:p w14:paraId="1DA73998"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/wsa:From</w:t>
      </w:r>
      <w:r>
        <w:rPr>
          <w:rFonts w:cs="Arial"/>
          <w:sz w:val="20"/>
          <w:lang w:eastAsia="en-GB" w:bidi="ar-SA"/>
        </w:rPr>
        <w:t xml:space="preserve"> (REQUIRED)</w:t>
      </w:r>
    </w:p>
    <w:p w14:paraId="33594ECA"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/wsa:To</w:t>
      </w:r>
      <w:r>
        <w:rPr>
          <w:rFonts w:cs="Arial"/>
          <w:sz w:val="20"/>
          <w:lang w:eastAsia="en-GB" w:bidi="ar-SA"/>
        </w:rPr>
        <w:t xml:space="preserve"> (REQUIRED)</w:t>
      </w:r>
    </w:p>
    <w:p w14:paraId="04307BAB"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/wsa:MessageID</w:t>
      </w:r>
      <w:r>
        <w:rPr>
          <w:rFonts w:cs="Arial"/>
          <w:sz w:val="20"/>
          <w:lang w:eastAsia="en-GB" w:bidi="ar-SA"/>
        </w:rPr>
        <w:t xml:space="preserve"> (REQUIRED)</w:t>
      </w:r>
    </w:p>
    <w:p w14:paraId="53051242"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/wsa:Action</w:t>
      </w:r>
      <w:r>
        <w:rPr>
          <w:rFonts w:cs="Arial"/>
          <w:sz w:val="20"/>
          <w:lang w:eastAsia="en-GB" w:bidi="ar-SA"/>
        </w:rPr>
        <w:t xml:space="preserve"> (REQUIRED)</w:t>
      </w:r>
    </w:p>
    <w:p w14:paraId="049A3E3B" w14:textId="77777777" w:rsidR="00B97365" w:rsidRDefault="00000000">
      <w:pPr>
        <w:spacing w:before="0" w:after="200" w:line="276" w:lineRule="auto"/>
        <w:jc w:val="left"/>
        <w:rPr>
          <w:rFonts w:cs="Arial"/>
          <w:szCs w:val="22"/>
          <w:lang w:eastAsia="en-GB" w:bidi="ar-SA"/>
        </w:rPr>
      </w:pPr>
      <w:r>
        <w:rPr>
          <w:rFonts w:cs="Arial"/>
          <w:szCs w:val="22"/>
          <w:lang w:eastAsia="en-GB" w:bidi="ar-SA"/>
        </w:rPr>
        <w:t>(2) The response to the message is on the HTTP(s) return channel with code 200 (OK) and the SOAP header SHALL contain:</w:t>
      </w:r>
    </w:p>
    <w:p w14:paraId="2C51FF27"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/wsa:From</w:t>
      </w:r>
      <w:r>
        <w:rPr>
          <w:rFonts w:cs="Arial"/>
          <w:sz w:val="20"/>
          <w:lang w:eastAsia="en-GB" w:bidi="ar-SA"/>
        </w:rPr>
        <w:t xml:space="preserve"> (OPTIONAL)</w:t>
      </w:r>
    </w:p>
    <w:p w14:paraId="60B64AF7"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lastRenderedPageBreak/>
        <w:t>/wsa:To</w:t>
      </w:r>
      <w:r>
        <w:rPr>
          <w:rFonts w:cs="Arial"/>
          <w:sz w:val="20"/>
          <w:lang w:eastAsia="en-GB" w:bidi="ar-SA"/>
        </w:rPr>
        <w:t xml:space="preserve"> (REQUIRED)</w:t>
      </w:r>
    </w:p>
    <w:p w14:paraId="4C66D0BA"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/wsa:MessageID</w:t>
      </w:r>
      <w:r>
        <w:rPr>
          <w:rFonts w:cs="Arial"/>
          <w:sz w:val="20"/>
          <w:lang w:eastAsia="en-GB" w:bidi="ar-SA"/>
        </w:rPr>
        <w:t xml:space="preserve"> (REQUIRED)</w:t>
      </w:r>
    </w:p>
    <w:p w14:paraId="1F625819"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/wsa:Action</w:t>
      </w:r>
      <w:r>
        <w:rPr>
          <w:rFonts w:cs="Arial"/>
          <w:sz w:val="20"/>
          <w:lang w:eastAsia="en-GB" w:bidi="ar-SA"/>
        </w:rPr>
        <w:t xml:space="preserve"> (REQUIRED)</w:t>
      </w:r>
    </w:p>
    <w:p w14:paraId="1ADA7979" w14:textId="77777777" w:rsidR="00B97365" w:rsidRDefault="00B97365">
      <w:pPr>
        <w:spacing w:before="0" w:after="200" w:line="276" w:lineRule="auto"/>
        <w:jc w:val="left"/>
        <w:rPr>
          <w:rFonts w:cs="Calibri"/>
          <w:szCs w:val="22"/>
          <w:lang w:eastAsia="en-GB" w:bidi="ar-SA"/>
        </w:rPr>
      </w:pPr>
    </w:p>
    <w:p w14:paraId="4A72C7E3" w14:textId="77777777" w:rsidR="00B97365" w:rsidRDefault="00000000">
      <w:pPr>
        <w:keepNext/>
        <w:keepLines/>
        <w:numPr>
          <w:ilvl w:val="3"/>
          <w:numId w:val="36"/>
        </w:numPr>
        <w:spacing w:before="240" w:after="60" w:line="276" w:lineRule="auto"/>
        <w:jc w:val="left"/>
        <w:outlineLvl w:val="3"/>
        <w:rPr>
          <w:rFonts w:ascii="Arial Bold" w:hAnsi="Arial Bold"/>
          <w:szCs w:val="22"/>
          <w:lang w:val="en-US" w:eastAsia="en-US"/>
        </w:rPr>
      </w:pPr>
      <w:bookmarkStart w:id="11768" w:name="_Toc420595096"/>
      <w:bookmarkStart w:id="11769" w:name="_Toc398215088"/>
      <w:bookmarkStart w:id="11770" w:name="_Toc375158504"/>
      <w:bookmarkStart w:id="11771" w:name="_Toc368932513"/>
      <w:bookmarkStart w:id="11772" w:name="_Toc1977497"/>
      <w:bookmarkStart w:id="11773" w:name="_Toc37062656"/>
      <w:r>
        <w:rPr>
          <w:rFonts w:ascii="Arial Bold" w:hAnsi="Arial Bold"/>
          <w:szCs w:val="22"/>
          <w:lang w:val="en-US" w:eastAsia="en-US"/>
        </w:rPr>
        <w:t>MEP: Asynchronous Request-Response With Callback</w:t>
      </w:r>
      <w:bookmarkEnd w:id="11768"/>
      <w:bookmarkEnd w:id="11769"/>
      <w:bookmarkEnd w:id="11770"/>
      <w:bookmarkEnd w:id="11771"/>
      <w:bookmarkEnd w:id="11772"/>
      <w:bookmarkEnd w:id="11773"/>
    </w:p>
    <w:p w14:paraId="306B1A65" w14:textId="77777777" w:rsidR="00B97365" w:rsidRDefault="00000000">
      <w:pPr>
        <w:spacing w:before="0" w:after="200" w:line="276" w:lineRule="auto"/>
        <w:jc w:val="center"/>
        <w:rPr>
          <w:rFonts w:cs="Calibri"/>
          <w:szCs w:val="22"/>
          <w:lang w:eastAsia="en-GB" w:bidi="ar-SA"/>
        </w:rPr>
      </w:pPr>
      <w:r>
        <w:rPr>
          <w:rFonts w:cs="Arial"/>
          <w:sz w:val="20"/>
        </w:rPr>
        <w:object w:dxaOrig="8172" w:dyaOrig="2880" w14:anchorId="46EC7135">
          <v:shape id="_x0000_i1045" type="#_x0000_t75" style="width:408.1pt;height:2in" o:ole="">
            <v:imagedata r:id="rId120" o:title=""/>
          </v:shape>
          <o:OLEObject Type="Embed" ProgID="PowerPoint.Slide.12" ShapeID="_x0000_i1045" DrawAspect="Content" ObjectID="_1738512090" r:id="rId121"/>
        </w:object>
      </w:r>
    </w:p>
    <w:p w14:paraId="17E060BF"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MEP: Asynchronous Request-Response With Callback</w:t>
      </w:r>
    </w:p>
    <w:p w14:paraId="15EC40E0" w14:textId="77777777" w:rsidR="00B97365" w:rsidRDefault="00000000">
      <w:pPr>
        <w:spacing w:before="0" w:after="200" w:line="276" w:lineRule="auto"/>
        <w:jc w:val="left"/>
        <w:rPr>
          <w:rFonts w:cs="Arial"/>
          <w:szCs w:val="22"/>
          <w:lang w:eastAsia="en-GB" w:bidi="ar-SA"/>
        </w:rPr>
      </w:pPr>
      <w:r>
        <w:rPr>
          <w:rFonts w:cs="Arial"/>
          <w:szCs w:val="22"/>
          <w:lang w:eastAsia="en-GB" w:bidi="ar-SA"/>
        </w:rPr>
        <w:t>(1) The SOAP header of the message sent in a HTTP POST from Function requester to Function provider SHALL contain:</w:t>
      </w:r>
    </w:p>
    <w:p w14:paraId="2381A1C6"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/wsa:From</w:t>
      </w:r>
      <w:r>
        <w:rPr>
          <w:rFonts w:cs="Arial"/>
          <w:sz w:val="20"/>
          <w:lang w:eastAsia="en-GB" w:bidi="ar-SA"/>
        </w:rPr>
        <w:t xml:space="preserve"> (REQUIRED)</w:t>
      </w:r>
    </w:p>
    <w:p w14:paraId="3F27FEF3"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/wsa:To</w:t>
      </w:r>
      <w:r>
        <w:rPr>
          <w:rFonts w:cs="Arial"/>
          <w:sz w:val="20"/>
          <w:lang w:eastAsia="en-GB" w:bidi="ar-SA"/>
        </w:rPr>
        <w:t xml:space="preserve"> (REQUIRED)</w:t>
      </w:r>
    </w:p>
    <w:p w14:paraId="7C6C77D5"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/wsa:ReplyTo</w:t>
      </w:r>
      <w:r>
        <w:rPr>
          <w:rFonts w:cs="Arial"/>
          <w:sz w:val="20"/>
          <w:lang w:eastAsia="en-GB" w:bidi="ar-SA"/>
        </w:rPr>
        <w:t xml:space="preserve"> (OPTIONAL)</w:t>
      </w:r>
    </w:p>
    <w:p w14:paraId="683E1220"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/wsa:MessageID</w:t>
      </w:r>
      <w:r>
        <w:rPr>
          <w:rFonts w:cs="Arial"/>
          <w:sz w:val="20"/>
          <w:lang w:eastAsia="en-GB" w:bidi="ar-SA"/>
        </w:rPr>
        <w:t xml:space="preserve"> (REQUIRED)</w:t>
      </w:r>
    </w:p>
    <w:p w14:paraId="304A3742"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/wsa:Action</w:t>
      </w:r>
      <w:r>
        <w:rPr>
          <w:rFonts w:cs="Arial"/>
          <w:sz w:val="20"/>
          <w:lang w:eastAsia="en-GB" w:bidi="ar-SA"/>
        </w:rPr>
        <w:t xml:space="preserve"> (REQUIRED)</w:t>
      </w:r>
    </w:p>
    <w:p w14:paraId="2A36AC74" w14:textId="77777777" w:rsidR="00B97365" w:rsidRDefault="00000000">
      <w:pPr>
        <w:numPr>
          <w:ilvl w:val="0"/>
          <w:numId w:val="42"/>
        </w:numPr>
        <w:tabs>
          <w:tab w:val="left" w:pos="720"/>
        </w:tabs>
        <w:spacing w:before="0" w:after="200" w:line="276" w:lineRule="auto"/>
        <w:contextualSpacing/>
        <w:jc w:val="left"/>
        <w:rPr>
          <w:rFonts w:cs="Arial"/>
          <w:szCs w:val="22"/>
          <w:lang w:eastAsia="en-GB" w:bidi="ar-SA"/>
        </w:rPr>
      </w:pPr>
      <w:r>
        <w:rPr>
          <w:rFonts w:cs="Arial"/>
          <w:szCs w:val="22"/>
          <w:lang w:eastAsia="en-GB" w:bidi="ar-SA"/>
        </w:rPr>
        <w:t>The Function requester SHALL be able to handle 202 (ACCEPT) HTTP response codes.</w:t>
      </w:r>
    </w:p>
    <w:p w14:paraId="0E82B0F1" w14:textId="77777777" w:rsidR="00B97365" w:rsidRDefault="00000000">
      <w:pPr>
        <w:spacing w:after="200" w:line="276" w:lineRule="auto"/>
        <w:ind w:left="1560" w:hanging="1276"/>
        <w:jc w:val="left"/>
        <w:rPr>
          <w:rFonts w:cs="Arial"/>
          <w:szCs w:val="22"/>
          <w:lang w:eastAsia="en-GB" w:bidi="ar-SA"/>
        </w:rPr>
      </w:pPr>
      <w:r>
        <w:rPr>
          <w:rFonts w:cs="Arial"/>
          <w:szCs w:val="22"/>
          <w:lang w:eastAsia="en-GB" w:bidi="ar-SA"/>
        </w:rPr>
        <w:t xml:space="preserve">NOTE: </w:t>
      </w:r>
      <w:r>
        <w:rPr>
          <w:rFonts w:cs="Arial"/>
          <w:szCs w:val="22"/>
          <w:lang w:eastAsia="en-GB" w:bidi="ar-SA"/>
        </w:rPr>
        <w:tab/>
        <w:t xml:space="preserve">In case the response is 200 (OK) steps (3) and (4) will be skipped if it is not a new session.  </w:t>
      </w:r>
    </w:p>
    <w:p w14:paraId="46CAB603" w14:textId="77777777" w:rsidR="00B97365" w:rsidRDefault="00B97365">
      <w:pPr>
        <w:ind w:left="360"/>
        <w:jc w:val="left"/>
        <w:rPr>
          <w:rFonts w:cs="Arial"/>
          <w:szCs w:val="22"/>
          <w:lang w:eastAsia="en-GB" w:bidi="ar-SA"/>
        </w:rPr>
      </w:pPr>
    </w:p>
    <w:p w14:paraId="69B56E39" w14:textId="77777777" w:rsidR="00B97365" w:rsidRDefault="00000000">
      <w:pPr>
        <w:spacing w:before="0" w:after="200" w:line="276" w:lineRule="auto"/>
        <w:jc w:val="left"/>
        <w:rPr>
          <w:rFonts w:cs="Arial"/>
          <w:szCs w:val="22"/>
          <w:lang w:eastAsia="en-GB" w:bidi="ar-SA"/>
        </w:rPr>
      </w:pPr>
      <w:r>
        <w:rPr>
          <w:rFonts w:cs="Arial"/>
          <w:szCs w:val="22"/>
          <w:lang w:eastAsia="en-GB" w:bidi="ar-SA"/>
        </w:rPr>
        <w:t>(3) The response to the message is sent in a HTTP POST from Function provider to Function requester, and the SOAP header SHALL contain:</w:t>
      </w:r>
    </w:p>
    <w:p w14:paraId="70527871"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/wsa:From</w:t>
      </w:r>
      <w:r>
        <w:rPr>
          <w:rFonts w:cs="Arial"/>
          <w:sz w:val="20"/>
          <w:lang w:eastAsia="en-GB" w:bidi="ar-SA"/>
        </w:rPr>
        <w:t xml:space="preserve"> (REQUIRED)</w:t>
      </w:r>
    </w:p>
    <w:p w14:paraId="26E36AEF"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/wsa:To</w:t>
      </w:r>
      <w:r>
        <w:rPr>
          <w:rFonts w:cs="Arial"/>
          <w:sz w:val="20"/>
          <w:lang w:eastAsia="en-GB" w:bidi="ar-SA"/>
        </w:rPr>
        <w:t xml:space="preserve"> (REQUIRED)</w:t>
      </w:r>
    </w:p>
    <w:p w14:paraId="7D8A0B3E"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/wsa:MessageID</w:t>
      </w:r>
      <w:r>
        <w:rPr>
          <w:rFonts w:cs="Arial"/>
          <w:sz w:val="20"/>
          <w:lang w:eastAsia="en-GB" w:bidi="ar-SA"/>
        </w:rPr>
        <w:t xml:space="preserve"> (REQUIRED)</w:t>
      </w:r>
    </w:p>
    <w:p w14:paraId="33DE411C"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/wsa:Action</w:t>
      </w:r>
      <w:r>
        <w:rPr>
          <w:rFonts w:cs="Arial"/>
          <w:sz w:val="20"/>
          <w:lang w:eastAsia="en-GB" w:bidi="ar-SA"/>
        </w:rPr>
        <w:t xml:space="preserve"> (REQUIRED)</w:t>
      </w:r>
    </w:p>
    <w:p w14:paraId="7074A51D"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lastRenderedPageBreak/>
        <w:t>/wsa:RelatesTo</w:t>
      </w:r>
      <w:r>
        <w:rPr>
          <w:rFonts w:cs="Arial"/>
          <w:sz w:val="20"/>
          <w:lang w:eastAsia="en-GB" w:bidi="ar-SA"/>
        </w:rPr>
        <w:t xml:space="preserve"> (Value of &lt;wsa:MessageId&gt; of the original message to which this is the response) (REQUIRED)</w:t>
      </w:r>
    </w:p>
    <w:p w14:paraId="45EF307D" w14:textId="77777777" w:rsidR="00B97365" w:rsidRDefault="00000000">
      <w:pPr>
        <w:spacing w:before="0" w:after="200" w:line="276" w:lineRule="auto"/>
        <w:jc w:val="left"/>
        <w:rPr>
          <w:rFonts w:cs="Arial"/>
          <w:szCs w:val="22"/>
          <w:lang w:eastAsia="en-GB" w:bidi="ar-SA"/>
        </w:rPr>
      </w:pPr>
      <w:r>
        <w:rPr>
          <w:rFonts w:cs="Arial"/>
          <w:szCs w:val="22"/>
          <w:lang w:eastAsia="en-GB" w:bidi="ar-SA"/>
        </w:rPr>
        <w:t xml:space="preserve">(4) Function requester SHALL reply with a HTTP 202 (ACCEPT). </w:t>
      </w:r>
    </w:p>
    <w:p w14:paraId="0423F512" w14:textId="77777777" w:rsidR="00B97365" w:rsidRDefault="00B97365">
      <w:pPr>
        <w:spacing w:before="0" w:after="200" w:line="276" w:lineRule="auto"/>
        <w:jc w:val="left"/>
        <w:rPr>
          <w:rFonts w:cs="Calibri"/>
          <w:szCs w:val="22"/>
          <w:lang w:eastAsia="en-GB" w:bidi="ar-SA"/>
        </w:rPr>
      </w:pPr>
    </w:p>
    <w:p w14:paraId="727D55DA"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11774" w:name="_Ref421869550"/>
      <w:bookmarkStart w:id="11775" w:name="_Ref421869535"/>
      <w:bookmarkStart w:id="11776" w:name="_Ref421868555"/>
      <w:bookmarkStart w:id="11777" w:name="_Toc420595097"/>
      <w:bookmarkStart w:id="11778" w:name="_Toc398215089"/>
      <w:bookmarkStart w:id="11779" w:name="_Toc375158505"/>
      <w:bookmarkStart w:id="11780" w:name="_Toc368932514"/>
      <w:bookmarkStart w:id="11781" w:name="_Toc1977498"/>
      <w:bookmarkStart w:id="11782" w:name="_Toc37062657"/>
      <w:r>
        <w:rPr>
          <w:rFonts w:ascii="Arial Bold" w:hAnsi="Arial Bold"/>
          <w:szCs w:val="22"/>
          <w:lang w:val="fr-FR" w:eastAsia="en-US"/>
        </w:rPr>
        <w:t>MEP: Asynchronous With Polling</w:t>
      </w:r>
      <w:bookmarkEnd w:id="11774"/>
      <w:bookmarkEnd w:id="11775"/>
      <w:bookmarkEnd w:id="11776"/>
      <w:bookmarkEnd w:id="11777"/>
      <w:bookmarkEnd w:id="11778"/>
      <w:bookmarkEnd w:id="11779"/>
      <w:bookmarkEnd w:id="11780"/>
      <w:bookmarkEnd w:id="11781"/>
      <w:bookmarkEnd w:id="11782"/>
    </w:p>
    <w:p w14:paraId="4D5393BD" w14:textId="77777777" w:rsidR="00B97365" w:rsidRDefault="00000000">
      <w:pPr>
        <w:spacing w:before="0" w:after="200" w:line="276" w:lineRule="auto"/>
        <w:jc w:val="center"/>
        <w:rPr>
          <w:rFonts w:cs="Calibri"/>
          <w:szCs w:val="22"/>
          <w:lang w:eastAsia="en-GB" w:bidi="ar-SA"/>
        </w:rPr>
      </w:pPr>
      <w:r>
        <w:rPr>
          <w:rFonts w:cs="Calibri"/>
          <w:szCs w:val="22"/>
          <w:lang w:eastAsia="en-GB" w:bidi="ar-SA"/>
        </w:rPr>
        <w:object w:dxaOrig="8436" w:dyaOrig="3996" w14:anchorId="77BFEAD2">
          <v:shape id="_x0000_i1046" type="#_x0000_t75" style="width:420.05pt;height:205.1pt" o:ole="">
            <v:imagedata r:id="rId122" o:title=""/>
          </v:shape>
          <o:OLEObject Type="Embed" ProgID="PowerPoint.Slide.12" ShapeID="_x0000_i1046" DrawAspect="Content" ObjectID="_1738512091" r:id="rId123"/>
        </w:object>
      </w:r>
    </w:p>
    <w:p w14:paraId="1A57AA21"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MEP: Asynchronous With Polling</w:t>
      </w:r>
    </w:p>
    <w:p w14:paraId="3026801E" w14:textId="77777777" w:rsidR="00B97365" w:rsidRDefault="00000000">
      <w:pPr>
        <w:spacing w:before="0" w:after="200" w:line="276" w:lineRule="auto"/>
        <w:jc w:val="left"/>
        <w:rPr>
          <w:rFonts w:cs="Arial"/>
          <w:szCs w:val="22"/>
          <w:lang w:eastAsia="en-GB" w:bidi="ar-SA"/>
        </w:rPr>
      </w:pPr>
      <w:r>
        <w:rPr>
          <w:rFonts w:cs="Arial"/>
          <w:szCs w:val="22"/>
          <w:lang w:eastAsia="en-GB" w:bidi="ar-SA"/>
        </w:rPr>
        <w:t>(1) The SOAP header of the message sent in a HTTP POST from Function requester to Function provider SHALL contain:</w:t>
      </w:r>
    </w:p>
    <w:p w14:paraId="500DC75A"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/wsa:From</w:t>
      </w:r>
      <w:r>
        <w:rPr>
          <w:rFonts w:cs="Arial"/>
          <w:sz w:val="20"/>
          <w:lang w:eastAsia="en-GB" w:bidi="ar-SA"/>
        </w:rPr>
        <w:t xml:space="preserve"> (REQUIRED)</w:t>
      </w:r>
    </w:p>
    <w:p w14:paraId="3BA5BA56"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/wsa:To</w:t>
      </w:r>
      <w:r>
        <w:rPr>
          <w:rFonts w:cs="Arial"/>
          <w:sz w:val="20"/>
          <w:lang w:eastAsia="en-GB" w:bidi="ar-SA"/>
        </w:rPr>
        <w:t xml:space="preserve"> (REQUIRED)</w:t>
      </w:r>
    </w:p>
    <w:p w14:paraId="5FEA4BA2" w14:textId="365F5C5F"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/wsa:ReplyTo</w:t>
      </w:r>
      <w:r>
        <w:rPr>
          <w:rFonts w:cs="Arial"/>
          <w:sz w:val="20"/>
          <w:lang w:eastAsia="en-GB" w:bidi="ar-SA"/>
        </w:rPr>
        <w:t xml:space="preserve"> (REQUIRED) containing one of the two possible anonymous URL (see </w:t>
      </w:r>
      <w:r>
        <w:rPr>
          <w:szCs w:val="22"/>
          <w:highlight w:val="green"/>
          <w:lang w:val="en-US" w:eastAsia="en-GB" w:bidi="ar-SA"/>
        </w:rPr>
        <w:fldChar w:fldCharType="begin"/>
      </w:r>
      <w:r>
        <w:rPr>
          <w:szCs w:val="22"/>
          <w:lang w:val="en-US" w:eastAsia="en-GB" w:bidi="ar-SA"/>
        </w:rPr>
        <w:instrText xml:space="preserve"> REF _Ref421660513 \r \h </w:instrText>
      </w:r>
      <w:r>
        <w:rPr>
          <w:szCs w:val="22"/>
          <w:highlight w:val="green"/>
          <w:lang w:val="en-US" w:eastAsia="en-GB" w:bidi="ar-SA"/>
        </w:rPr>
      </w:r>
      <w:r>
        <w:rPr>
          <w:szCs w:val="22"/>
          <w:highlight w:val="green"/>
          <w:lang w:val="en-US" w:eastAsia="en-GB" w:bidi="ar-SA"/>
        </w:rPr>
        <w:fldChar w:fldCharType="separate"/>
      </w:r>
      <w:r w:rsidR="001D5AD9">
        <w:rPr>
          <w:szCs w:val="22"/>
          <w:lang w:val="en-US" w:eastAsia="en-GB" w:bidi="ar-SA"/>
        </w:rPr>
        <w:t>Annex B</w:t>
      </w:r>
      <w:r>
        <w:rPr>
          <w:szCs w:val="22"/>
          <w:highlight w:val="green"/>
          <w:lang w:val="en-US" w:eastAsia="en-GB" w:bidi="ar-SA"/>
        </w:rPr>
        <w:fldChar w:fldCharType="end"/>
      </w:r>
      <w:r>
        <w:rPr>
          <w:rFonts w:cs="Arial"/>
          <w:sz w:val="20"/>
          <w:lang w:eastAsia="en-GB" w:bidi="ar-SA"/>
        </w:rPr>
        <w:t>-Section 2.1.2)</w:t>
      </w:r>
    </w:p>
    <w:p w14:paraId="3A647040"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/wsa:MessageID</w:t>
      </w:r>
      <w:r>
        <w:rPr>
          <w:rFonts w:cs="Arial"/>
          <w:sz w:val="20"/>
          <w:lang w:eastAsia="en-GB" w:bidi="ar-SA"/>
        </w:rPr>
        <w:t xml:space="preserve"> (REQUIRED)</w:t>
      </w:r>
    </w:p>
    <w:p w14:paraId="3A331E64"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/wsa:Action</w:t>
      </w:r>
      <w:r>
        <w:rPr>
          <w:rFonts w:cs="Arial"/>
          <w:sz w:val="20"/>
          <w:lang w:eastAsia="en-GB" w:bidi="ar-SA"/>
        </w:rPr>
        <w:t xml:space="preserve"> (REQUIRED)</w:t>
      </w:r>
    </w:p>
    <w:p w14:paraId="5621C5AF" w14:textId="321AE9BC" w:rsidR="00B97365" w:rsidRDefault="00000000">
      <w:pPr>
        <w:spacing w:before="0" w:after="200" w:line="276" w:lineRule="auto"/>
        <w:jc w:val="left"/>
        <w:rPr>
          <w:rFonts w:cs="Arial"/>
          <w:szCs w:val="22"/>
          <w:lang w:eastAsia="en-GB" w:bidi="ar-SA"/>
        </w:rPr>
      </w:pPr>
      <w:r>
        <w:rPr>
          <w:rFonts w:cs="Arial"/>
          <w:szCs w:val="22"/>
          <w:lang w:eastAsia="en-GB" w:bidi="ar-SA"/>
        </w:rPr>
        <w:t xml:space="preserve">(2) Function provider SHALL reply with a HTTP 202 (ACCEPT). (3 or 5) Function provider makes a WS-MakeConnection call as defined in </w:t>
      </w:r>
      <w:r>
        <w:rPr>
          <w:szCs w:val="22"/>
          <w:highlight w:val="green"/>
          <w:lang w:val="en-US" w:eastAsia="en-GB" w:bidi="ar-SA"/>
        </w:rPr>
        <w:fldChar w:fldCharType="begin"/>
      </w:r>
      <w:r>
        <w:rPr>
          <w:szCs w:val="22"/>
          <w:lang w:val="en-US" w:eastAsia="en-GB" w:bidi="ar-SA"/>
        </w:rPr>
        <w:instrText xml:space="preserve"> REF _Ref421660513 \r \h </w:instrText>
      </w:r>
      <w:r>
        <w:rPr>
          <w:szCs w:val="22"/>
          <w:highlight w:val="green"/>
          <w:lang w:val="en-US" w:eastAsia="en-GB" w:bidi="ar-SA"/>
        </w:rPr>
      </w:r>
      <w:r>
        <w:rPr>
          <w:szCs w:val="22"/>
          <w:highlight w:val="green"/>
          <w:lang w:val="en-US" w:eastAsia="en-GB" w:bidi="ar-SA"/>
        </w:rPr>
        <w:fldChar w:fldCharType="separate"/>
      </w:r>
      <w:r w:rsidR="001D5AD9">
        <w:rPr>
          <w:szCs w:val="22"/>
          <w:lang w:val="en-US" w:eastAsia="en-GB" w:bidi="ar-SA"/>
        </w:rPr>
        <w:t>Annex B</w:t>
      </w:r>
      <w:r>
        <w:rPr>
          <w:szCs w:val="22"/>
          <w:highlight w:val="green"/>
          <w:lang w:val="en-US" w:eastAsia="en-GB" w:bidi="ar-SA"/>
        </w:rPr>
        <w:fldChar w:fldCharType="end"/>
      </w:r>
      <w:r>
        <w:rPr>
          <w:rFonts w:cs="Arial"/>
          <w:szCs w:val="22"/>
          <w:lang w:eastAsia="en-GB" w:bidi="ar-SA"/>
        </w:rPr>
        <w:t>-Section 2.1.2 with a header containing:</w:t>
      </w:r>
    </w:p>
    <w:p w14:paraId="68A99EDE" w14:textId="77777777" w:rsidR="00B97365" w:rsidRDefault="00000000">
      <w:pPr>
        <w:rPr>
          <w:rFonts w:ascii="Courier New" w:hAnsi="Courier New" w:cs="Courier New"/>
          <w:sz w:val="20"/>
          <w:lang w:val="en-US"/>
        </w:rPr>
      </w:pPr>
      <w:r>
        <w:rPr>
          <w:rFonts w:cs="Arial"/>
          <w:sz w:val="20"/>
        </w:rPr>
        <w:tab/>
      </w:r>
      <w:r>
        <w:rPr>
          <w:rFonts w:ascii="Courier New" w:hAnsi="Courier New" w:cs="Courier New"/>
          <w:sz w:val="20"/>
        </w:rPr>
        <w:t>&lt;</w:t>
      </w:r>
      <w:r>
        <w:rPr>
          <w:rFonts w:ascii="Courier New" w:hAnsi="Courier New" w:cs="Courier New"/>
          <w:sz w:val="20"/>
          <w:lang w:val="en-US"/>
        </w:rPr>
        <w:t>wsa:Action&gt;http://docs.oasis-open.org/ws-rx/wsmc/200702/MakeConnection</w:t>
      </w:r>
      <w:r>
        <w:rPr>
          <w:rFonts w:ascii="Courier New" w:hAnsi="Courier New" w:cs="Courier New"/>
          <w:sz w:val="20"/>
        </w:rPr>
        <w:t>&lt;</w:t>
      </w:r>
      <w:r>
        <w:rPr>
          <w:rFonts w:ascii="Courier New" w:hAnsi="Courier New" w:cs="Courier New"/>
          <w:sz w:val="20"/>
          <w:lang w:val="en-US"/>
        </w:rPr>
        <w:t>wsa:Action&gt;</w:t>
      </w:r>
    </w:p>
    <w:p w14:paraId="4E4091C0" w14:textId="77777777" w:rsidR="00B97365" w:rsidRDefault="00000000">
      <w:pPr>
        <w:spacing w:before="0" w:after="200" w:line="276" w:lineRule="auto"/>
        <w:jc w:val="left"/>
        <w:rPr>
          <w:rFonts w:cs="Arial"/>
          <w:szCs w:val="22"/>
          <w:lang w:eastAsia="en-GB" w:bidi="ar-SA"/>
        </w:rPr>
      </w:pPr>
      <w:r>
        <w:rPr>
          <w:rFonts w:cs="Arial"/>
          <w:szCs w:val="22"/>
          <w:lang w:eastAsia="en-GB" w:bidi="ar-SA"/>
        </w:rPr>
        <w:t>And a body containing:</w:t>
      </w:r>
    </w:p>
    <w:p w14:paraId="1E244A32" w14:textId="77777777" w:rsidR="00B97365" w:rsidRDefault="00000000">
      <w:pPr>
        <w:rPr>
          <w:rFonts w:ascii="Courier New" w:hAnsi="Courier New" w:cs="Courier New"/>
          <w:sz w:val="20"/>
        </w:rPr>
      </w:pPr>
      <w:r>
        <w:rPr>
          <w:rFonts w:cs="Arial"/>
          <w:sz w:val="20"/>
        </w:rPr>
        <w:tab/>
      </w:r>
      <w:r>
        <w:rPr>
          <w:rFonts w:ascii="Courier New" w:hAnsi="Courier New" w:cs="Courier New"/>
          <w:sz w:val="20"/>
        </w:rPr>
        <w:t xml:space="preserve">&lt;wsmc:MakeConnection ...&gt;  </w:t>
      </w:r>
    </w:p>
    <w:p w14:paraId="713F12AA" w14:textId="77777777" w:rsidR="00B97365" w:rsidRDefault="00000000">
      <w:pPr>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&lt;wsmc:Address&gt;AnonymousURL (same value as /wsa:ReplyTo above)&lt;/wsmc:Address&gt; </w:t>
      </w:r>
    </w:p>
    <w:p w14:paraId="1BBBEDEF" w14:textId="77777777" w:rsidR="00B97365" w:rsidRDefault="00000000">
      <w:pPr>
        <w:rPr>
          <w:sz w:val="20"/>
        </w:rPr>
      </w:pPr>
      <w:r>
        <w:rPr>
          <w:rFonts w:ascii="Courier New" w:hAnsi="Courier New" w:cs="Courier New"/>
          <w:sz w:val="20"/>
        </w:rPr>
        <w:tab/>
        <w:t>&lt;/wsmc:MakeConnection&gt;</w:t>
      </w:r>
      <w:r>
        <w:rPr>
          <w:sz w:val="20"/>
        </w:rPr>
        <w:t xml:space="preserve">  </w:t>
      </w:r>
    </w:p>
    <w:p w14:paraId="13A3AC24" w14:textId="77777777" w:rsidR="00B97365" w:rsidRDefault="00000000">
      <w:pPr>
        <w:spacing w:before="0" w:after="200" w:line="276" w:lineRule="auto"/>
        <w:jc w:val="left"/>
        <w:rPr>
          <w:rFonts w:cs="Arial"/>
          <w:szCs w:val="22"/>
          <w:lang w:eastAsia="en-GB" w:bidi="ar-SA"/>
        </w:rPr>
      </w:pPr>
      <w:r>
        <w:rPr>
          <w:rFonts w:cs="Arial"/>
          <w:szCs w:val="22"/>
          <w:lang w:eastAsia="en-GB" w:bidi="ar-SA"/>
        </w:rPr>
        <w:lastRenderedPageBreak/>
        <w:t>(4 or 6) The response to the message is sent in a HTTP response from Function provider to Function requester, and the SOAP header SHALL contain:</w:t>
      </w:r>
    </w:p>
    <w:p w14:paraId="090F8B0B"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/wsa:From</w:t>
      </w:r>
      <w:r>
        <w:rPr>
          <w:rFonts w:cs="Arial"/>
          <w:sz w:val="20"/>
          <w:lang w:eastAsia="en-GB" w:bidi="ar-SA"/>
        </w:rPr>
        <w:t xml:space="preserve"> (REQUIRED)</w:t>
      </w:r>
    </w:p>
    <w:p w14:paraId="3455CDAF"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/wsa:To</w:t>
      </w:r>
      <w:r>
        <w:rPr>
          <w:rFonts w:cs="Arial"/>
          <w:sz w:val="20"/>
          <w:lang w:eastAsia="en-GB" w:bidi="ar-SA"/>
        </w:rPr>
        <w:t xml:space="preserve"> (REQUIRED)</w:t>
      </w:r>
    </w:p>
    <w:p w14:paraId="5AC07E40"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/wsa:MessageID</w:t>
      </w:r>
      <w:r>
        <w:rPr>
          <w:rFonts w:cs="Arial"/>
          <w:sz w:val="20"/>
          <w:lang w:eastAsia="en-GB" w:bidi="ar-SA"/>
        </w:rPr>
        <w:t xml:space="preserve"> (REQUIRED)</w:t>
      </w:r>
    </w:p>
    <w:p w14:paraId="25B848A0"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/wsa:Action</w:t>
      </w:r>
      <w:r>
        <w:rPr>
          <w:rFonts w:cs="Arial"/>
          <w:sz w:val="20"/>
          <w:lang w:eastAsia="en-GB" w:bidi="ar-SA"/>
        </w:rPr>
        <w:t xml:space="preserve"> (REQUIRED)</w:t>
      </w:r>
    </w:p>
    <w:p w14:paraId="29C6E0C4"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/wsa:RelatesTo</w:t>
      </w:r>
      <w:r>
        <w:rPr>
          <w:rFonts w:cs="Arial"/>
          <w:sz w:val="20"/>
          <w:lang w:eastAsia="en-GB" w:bidi="ar-SA"/>
        </w:rPr>
        <w:t xml:space="preserve"> (Value of &lt;wsa:MessageId&gt; of the original message to which this is the response) (REQUIRED)</w:t>
      </w:r>
    </w:p>
    <w:p w14:paraId="4DA99359" w14:textId="77777777" w:rsidR="00B97365" w:rsidRDefault="00B97365">
      <w:pPr>
        <w:spacing w:before="0" w:after="200" w:line="276" w:lineRule="auto"/>
        <w:jc w:val="left"/>
        <w:rPr>
          <w:rFonts w:cs="Calibri"/>
          <w:szCs w:val="22"/>
          <w:lang w:eastAsia="en-GB" w:bidi="ar-SA"/>
        </w:rPr>
      </w:pPr>
    </w:p>
    <w:p w14:paraId="7D86967E" w14:textId="77777777" w:rsidR="00B97365" w:rsidRDefault="00000000">
      <w:pPr>
        <w:keepNext/>
        <w:keepLines/>
        <w:numPr>
          <w:ilvl w:val="3"/>
          <w:numId w:val="36"/>
        </w:numPr>
        <w:spacing w:before="240" w:after="60" w:line="276" w:lineRule="auto"/>
        <w:jc w:val="left"/>
        <w:outlineLvl w:val="3"/>
        <w:rPr>
          <w:rFonts w:ascii="Arial Bold" w:hAnsi="Arial Bold"/>
          <w:szCs w:val="22"/>
          <w:lang w:val="fr-FR" w:eastAsia="en-US"/>
        </w:rPr>
      </w:pPr>
      <w:bookmarkStart w:id="11783" w:name="_Toc420595098"/>
      <w:bookmarkStart w:id="11784" w:name="_Toc398215090"/>
      <w:bookmarkStart w:id="11785" w:name="_Toc375158506"/>
      <w:bookmarkStart w:id="11786" w:name="_Toc368932515"/>
      <w:bookmarkStart w:id="11787" w:name="_Toc1977499"/>
      <w:bookmarkStart w:id="11788" w:name="_Toc37062658"/>
      <w:r>
        <w:rPr>
          <w:rFonts w:ascii="Arial Bold" w:hAnsi="Arial Bold"/>
          <w:szCs w:val="22"/>
          <w:lang w:val="fr-FR" w:eastAsia="en-US"/>
        </w:rPr>
        <w:t>MEP: Notification (One-Way)</w:t>
      </w:r>
      <w:bookmarkEnd w:id="11783"/>
      <w:bookmarkEnd w:id="11784"/>
      <w:bookmarkEnd w:id="11785"/>
      <w:bookmarkEnd w:id="11786"/>
      <w:bookmarkEnd w:id="11787"/>
      <w:bookmarkEnd w:id="11788"/>
    </w:p>
    <w:p w14:paraId="2F4865D2" w14:textId="77777777" w:rsidR="00B97365" w:rsidRDefault="00000000">
      <w:pPr>
        <w:spacing w:before="0" w:after="200" w:line="276" w:lineRule="auto"/>
        <w:jc w:val="center"/>
        <w:rPr>
          <w:rFonts w:cs="Calibri"/>
          <w:szCs w:val="22"/>
          <w:lang w:eastAsia="en-GB" w:bidi="ar-SA"/>
        </w:rPr>
      </w:pPr>
      <w:r>
        <w:rPr>
          <w:rFonts w:cs="Calibri"/>
          <w:szCs w:val="22"/>
          <w:lang w:eastAsia="en-GB" w:bidi="ar-SA"/>
        </w:rPr>
        <w:object w:dxaOrig="8340" w:dyaOrig="1944" w14:anchorId="18A08210">
          <v:shape id="_x0000_i1047" type="#_x0000_t75" style="width:421.1pt;height:102.05pt" o:ole="">
            <v:imagedata r:id="rId124" o:title=""/>
          </v:shape>
          <o:OLEObject Type="Embed" ProgID="PowerPoint.Slide.12" ShapeID="_x0000_i1047" DrawAspect="Content" ObjectID="_1738512092" r:id="rId125"/>
        </w:object>
      </w:r>
    </w:p>
    <w:p w14:paraId="0777017C" w14:textId="77777777" w:rsidR="00B97365" w:rsidRDefault="00000000">
      <w:pPr>
        <w:numPr>
          <w:ilvl w:val="0"/>
          <w:numId w:val="13"/>
        </w:numPr>
        <w:tabs>
          <w:tab w:val="left" w:pos="1009"/>
        </w:tabs>
        <w:spacing w:before="0" w:after="200" w:line="276" w:lineRule="auto"/>
        <w:jc w:val="center"/>
        <w:rPr>
          <w:rFonts w:cs="Arial"/>
          <w:b/>
          <w:szCs w:val="22"/>
          <w:lang w:val="en-US" w:eastAsia="en-GB" w:bidi="ar-SA"/>
        </w:rPr>
      </w:pPr>
      <w:r>
        <w:rPr>
          <w:rFonts w:cs="Arial"/>
          <w:b/>
          <w:szCs w:val="22"/>
          <w:lang w:val="en-US" w:eastAsia="en-GB" w:bidi="ar-SA"/>
        </w:rPr>
        <w:t xml:space="preserve">: MEP: Synchronous Request-Response </w:t>
      </w:r>
    </w:p>
    <w:p w14:paraId="7B809D81" w14:textId="77777777" w:rsidR="00B97365" w:rsidRDefault="00000000">
      <w:pPr>
        <w:spacing w:before="0" w:after="200" w:line="276" w:lineRule="auto"/>
        <w:jc w:val="left"/>
        <w:rPr>
          <w:rFonts w:cs="Arial"/>
          <w:szCs w:val="22"/>
          <w:lang w:eastAsia="en-GB" w:bidi="ar-SA"/>
        </w:rPr>
      </w:pPr>
      <w:r>
        <w:rPr>
          <w:rFonts w:cs="Arial"/>
          <w:szCs w:val="22"/>
          <w:lang w:eastAsia="en-GB" w:bidi="ar-SA"/>
        </w:rPr>
        <w:t>(1) The SOAP header of the message sent in a HTTP POST from Function requester to Function provider SHALL contain:</w:t>
      </w:r>
    </w:p>
    <w:p w14:paraId="10274531"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/wsa:From</w:t>
      </w:r>
      <w:r>
        <w:rPr>
          <w:rFonts w:cs="Arial"/>
          <w:sz w:val="20"/>
          <w:lang w:eastAsia="en-GB" w:bidi="ar-SA"/>
        </w:rPr>
        <w:t xml:space="preserve"> (REQUIRED)</w:t>
      </w:r>
    </w:p>
    <w:p w14:paraId="4D962EDC"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/wsa:To</w:t>
      </w:r>
      <w:r>
        <w:rPr>
          <w:rFonts w:cs="Arial"/>
          <w:sz w:val="20"/>
          <w:lang w:eastAsia="en-GB" w:bidi="ar-SA"/>
        </w:rPr>
        <w:t xml:space="preserve"> (REQUIRED)</w:t>
      </w:r>
    </w:p>
    <w:p w14:paraId="15908165"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/wsa:MessageID</w:t>
      </w:r>
      <w:r>
        <w:rPr>
          <w:rFonts w:cs="Arial"/>
          <w:sz w:val="20"/>
          <w:lang w:eastAsia="en-GB" w:bidi="ar-SA"/>
        </w:rPr>
        <w:t xml:space="preserve"> (REQUIRED)</w:t>
      </w:r>
    </w:p>
    <w:p w14:paraId="63C0C081" w14:textId="77777777" w:rsidR="00B97365" w:rsidRDefault="00000000">
      <w:pPr>
        <w:spacing w:before="0" w:after="200" w:line="276" w:lineRule="auto"/>
        <w:ind w:left="720"/>
        <w:jc w:val="left"/>
        <w:rPr>
          <w:rFonts w:cs="Arial"/>
          <w:sz w:val="20"/>
          <w:lang w:eastAsia="en-GB" w:bidi="ar-SA"/>
        </w:rPr>
      </w:pPr>
      <w:r>
        <w:rPr>
          <w:rFonts w:ascii="Courier New" w:hAnsi="Courier New" w:cs="Courier New"/>
          <w:sz w:val="20"/>
          <w:lang w:eastAsia="en-GB" w:bidi="ar-SA"/>
        </w:rPr>
        <w:t>/wsa:Action</w:t>
      </w:r>
      <w:r>
        <w:rPr>
          <w:rFonts w:cs="Arial"/>
          <w:sz w:val="20"/>
          <w:lang w:eastAsia="en-GB" w:bidi="ar-SA"/>
        </w:rPr>
        <w:t xml:space="preserve"> (REQUIRED)</w:t>
      </w:r>
    </w:p>
    <w:p w14:paraId="74A5F345" w14:textId="77777777" w:rsidR="00B97365" w:rsidRDefault="00000000">
      <w:pPr>
        <w:spacing w:before="0" w:after="200" w:line="276" w:lineRule="auto"/>
        <w:jc w:val="left"/>
        <w:rPr>
          <w:rFonts w:cs="Arial"/>
          <w:szCs w:val="22"/>
          <w:lang w:eastAsia="en-GB" w:bidi="ar-SA"/>
        </w:rPr>
      </w:pPr>
      <w:r>
        <w:rPr>
          <w:rFonts w:cs="Arial"/>
          <w:szCs w:val="22"/>
          <w:lang w:eastAsia="en-GB" w:bidi="ar-SA"/>
        </w:rPr>
        <w:t>(2) The response to the message is on the HTTP return channel with code 202 (ACCEPT) and with an empty body.</w:t>
      </w:r>
    </w:p>
    <w:p w14:paraId="1D72992D"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1789" w:name="_Toc448998367"/>
      <w:bookmarkStart w:id="11790" w:name="_Toc422150937"/>
      <w:bookmarkStart w:id="11791" w:name="_Toc421874522"/>
      <w:bookmarkStart w:id="11792" w:name="_Toc420595099"/>
      <w:bookmarkStart w:id="11793" w:name="_Toc398215091"/>
      <w:bookmarkStart w:id="11794" w:name="_Toc375158507"/>
      <w:bookmarkStart w:id="11795" w:name="_Toc374348671"/>
      <w:bookmarkStart w:id="11796" w:name="_Toc486332984"/>
      <w:bookmarkStart w:id="11797" w:name="_Toc1977500"/>
      <w:bookmarkStart w:id="11798" w:name="_Toc37062659"/>
      <w:bookmarkStart w:id="11799" w:name="_Toc88839701"/>
      <w:bookmarkStart w:id="11800" w:name="_Toc121504109"/>
      <w:r>
        <w:rPr>
          <w:rFonts w:ascii="Arial Bold" w:hAnsi="Arial Bold"/>
          <w:sz w:val="24"/>
          <w:szCs w:val="24"/>
          <w:lang w:eastAsia="en-US"/>
        </w:rPr>
        <w:t>Binding Examples</w:t>
      </w:r>
      <w:bookmarkEnd w:id="11789"/>
      <w:bookmarkEnd w:id="11790"/>
      <w:bookmarkEnd w:id="11791"/>
      <w:bookmarkEnd w:id="11792"/>
      <w:bookmarkEnd w:id="11793"/>
      <w:bookmarkEnd w:id="11794"/>
      <w:bookmarkEnd w:id="11795"/>
      <w:bookmarkEnd w:id="11796"/>
      <w:bookmarkEnd w:id="11797"/>
      <w:bookmarkEnd w:id="11798"/>
      <w:bookmarkEnd w:id="11799"/>
      <w:bookmarkEnd w:id="11800"/>
    </w:p>
    <w:p w14:paraId="506B179B" w14:textId="77777777" w:rsidR="00B97365" w:rsidRDefault="00000000">
      <w:pPr>
        <w:keepNext/>
        <w:keepLines/>
        <w:numPr>
          <w:ilvl w:val="3"/>
          <w:numId w:val="36"/>
        </w:numPr>
        <w:spacing w:before="240" w:after="60" w:line="276" w:lineRule="auto"/>
        <w:jc w:val="left"/>
        <w:outlineLvl w:val="3"/>
        <w:rPr>
          <w:rFonts w:ascii="Arial Bold" w:hAnsi="Arial Bold"/>
          <w:szCs w:val="22"/>
          <w:lang w:val="en-US" w:eastAsia="en-US"/>
        </w:rPr>
      </w:pPr>
      <w:bookmarkStart w:id="11801" w:name="_Toc420595100"/>
      <w:bookmarkStart w:id="11802" w:name="_Toc398215092"/>
      <w:bookmarkStart w:id="11803" w:name="_Toc375158508"/>
      <w:bookmarkStart w:id="11804" w:name="_Toc1977501"/>
      <w:bookmarkStart w:id="11805" w:name="_Toc37062660"/>
      <w:r>
        <w:rPr>
          <w:rFonts w:ascii="Arial Bold" w:hAnsi="Arial Bold"/>
          <w:szCs w:val="22"/>
          <w:lang w:val="en-US" w:eastAsia="en-US"/>
        </w:rPr>
        <w:t>Binding of a Message for ES4.EnableProfile Function Request</w:t>
      </w:r>
      <w:bookmarkEnd w:id="11801"/>
      <w:bookmarkEnd w:id="11802"/>
      <w:bookmarkEnd w:id="11803"/>
      <w:bookmarkEnd w:id="11804"/>
      <w:bookmarkEnd w:id="11805"/>
    </w:p>
    <w:p w14:paraId="3775815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xml hereunder illustrates an RPS message for requesting the execution of the </w:t>
      </w:r>
      <w:r>
        <w:rPr>
          <w:rFonts w:cs="Arial"/>
          <w:b/>
          <w:szCs w:val="22"/>
          <w:lang w:val="en-US" w:eastAsia="en-GB" w:bidi="ar-SA"/>
        </w:rPr>
        <w:t>ES4.EnableProfile</w:t>
      </w:r>
      <w:r>
        <w:rPr>
          <w:rFonts w:cs="Arial"/>
          <w:szCs w:val="22"/>
          <w:lang w:val="en-US" w:eastAsia="en-GB" w:bidi="ar-SA"/>
        </w:rPr>
        <w:t xml:space="preserve"> function:</w:t>
      </w:r>
    </w:p>
    <w:p w14:paraId="31F0570D" w14:textId="77777777" w:rsidR="00B97365" w:rsidRDefault="00000000">
      <w:pPr>
        <w:rPr>
          <w:rFonts w:ascii="Courier New" w:hAnsi="Courier New" w:cs="Courier New"/>
          <w:sz w:val="20"/>
          <w:lang w:val="en-US"/>
        </w:rPr>
      </w:pPr>
      <w:r>
        <w:rPr>
          <w:rFonts w:ascii="Courier New" w:hAnsi="Courier New" w:cs="Courier New"/>
          <w:sz w:val="20"/>
          <w:lang w:val="en-US"/>
        </w:rPr>
        <w:t>&lt;?xml version="1.0" encoding="UTF-8"?&gt;</w:t>
      </w:r>
    </w:p>
    <w:p w14:paraId="6C486323" w14:textId="77777777" w:rsidR="00B97365" w:rsidRDefault="00000000">
      <w:pPr>
        <w:rPr>
          <w:rFonts w:ascii="Courier New" w:hAnsi="Courier New" w:cs="Courier New"/>
          <w:sz w:val="20"/>
          <w:lang w:val="en-US"/>
        </w:rPr>
      </w:pPr>
      <w:r>
        <w:rPr>
          <w:rFonts w:ascii="Courier New" w:hAnsi="Courier New" w:cs="Courier New"/>
          <w:sz w:val="20"/>
          <w:lang w:val="en-US"/>
        </w:rPr>
        <w:t>&lt;RPSMessage xmlns="http://namespaces.gsma.org/esim-messaging/1"</w:t>
      </w:r>
    </w:p>
    <w:p w14:paraId="3010389E" w14:textId="77777777" w:rsidR="00B97365" w:rsidRDefault="00000000">
      <w:pPr>
        <w:rPr>
          <w:rFonts w:ascii="Courier New" w:hAnsi="Courier New" w:cs="Courier New"/>
          <w:sz w:val="20"/>
          <w:lang w:val="en-US"/>
        </w:rPr>
      </w:pPr>
      <w:r>
        <w:rPr>
          <w:rFonts w:ascii="Courier New" w:hAnsi="Courier New" w:cs="Courier New"/>
          <w:sz w:val="20"/>
          <w:lang w:val="en-US"/>
        </w:rPr>
        <w:t xml:space="preserve">    xmlns:xsi="http://www.w3.org/2001/XMLSchema-instance"</w:t>
      </w:r>
    </w:p>
    <w:p w14:paraId="7958C575" w14:textId="77777777" w:rsidR="00B97365" w:rsidRDefault="00000000">
      <w:pPr>
        <w:rPr>
          <w:rFonts w:ascii="Courier New" w:hAnsi="Courier New" w:cs="Courier New"/>
          <w:sz w:val="20"/>
          <w:lang w:val="en-US"/>
        </w:rPr>
      </w:pPr>
      <w:r>
        <w:rPr>
          <w:rFonts w:ascii="Courier New" w:hAnsi="Courier New" w:cs="Courier New"/>
          <w:sz w:val="20"/>
          <w:lang w:val="en-US"/>
        </w:rPr>
        <w:t xml:space="preserve">    MessageVersion="1.0.0"&gt;</w:t>
      </w:r>
    </w:p>
    <w:p w14:paraId="5D9C2552" w14:textId="77777777" w:rsidR="00B97365" w:rsidRDefault="00000000">
      <w:pPr>
        <w:rPr>
          <w:rFonts w:ascii="Courier New" w:hAnsi="Courier New" w:cs="Courier New"/>
          <w:sz w:val="20"/>
          <w:lang w:val="en-US"/>
        </w:rPr>
      </w:pPr>
      <w:r>
        <w:rPr>
          <w:rFonts w:ascii="Courier New" w:hAnsi="Courier New" w:cs="Courier New"/>
          <w:sz w:val="20"/>
          <w:lang w:val="en-US"/>
        </w:rPr>
        <w:lastRenderedPageBreak/>
        <w:t xml:space="preserve">    &lt;RPSHeader&gt;</w:t>
      </w:r>
    </w:p>
    <w:p w14:paraId="4A509288"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&lt;SenderEntity&gt;</w:t>
      </w:r>
    </w:p>
    <w:p w14:paraId="101239C9"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&lt;EntityId&gt;1.3.6.1.4.1.111111&lt;/EntityId&gt;&lt;!-- Sample OID  --&gt;</w:t>
      </w:r>
    </w:p>
    <w:p w14:paraId="263F8759"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&lt;EntityName&gt;ACompany&lt;/EntityName&gt;</w:t>
      </w:r>
    </w:p>
    <w:p w14:paraId="6E382511"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&lt;/SenderEntity&gt;</w:t>
      </w:r>
    </w:p>
    <w:p w14:paraId="7AF2DECE"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&lt;SenderName&gt;aSenderAccountId&lt;/SenderName&gt;</w:t>
      </w:r>
    </w:p>
    <w:p w14:paraId="525A78C0"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&lt;ReceiverEntity&gt;</w:t>
      </w:r>
    </w:p>
    <w:p w14:paraId="73D73796"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&lt;EntityId&gt;1.3.6.1.4.1.222222&lt;/EntityId&gt;&lt;!-- Sample OID --&gt;</w:t>
      </w:r>
    </w:p>
    <w:p w14:paraId="227C6D88"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&lt;/ReceiverEntity&gt;</w:t>
      </w:r>
    </w:p>
    <w:p w14:paraId="1A82AD96"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&lt;ResponseEndpoint&gt;http://ACompany.com/RPS/MyEndPoint&lt;/ResponseEndpoint&gt;</w:t>
      </w:r>
    </w:p>
    <w:p w14:paraId="224A094B"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06" w:name="_Toc420595101"/>
      <w:r>
        <w:rPr>
          <w:rFonts w:ascii="Courier New" w:hAnsi="Courier New" w:cs="Courier New"/>
          <w:sz w:val="20"/>
          <w:lang w:val="en-US"/>
        </w:rPr>
        <w:t>&lt;TransactionId&gt;MyTransID1&lt;/TransactionId&gt;</w:t>
      </w:r>
      <w:bookmarkEnd w:id="11806"/>
    </w:p>
    <w:p w14:paraId="0D5345C3"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&lt;MessageId&gt;//MySenderDomain/123&lt;/MessageId&gt;</w:t>
      </w:r>
    </w:p>
    <w:p w14:paraId="4EA7F034"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07" w:name="_Toc420595102"/>
      <w:r>
        <w:rPr>
          <w:rFonts w:ascii="Courier New" w:hAnsi="Courier New" w:cs="Courier New"/>
          <w:sz w:val="20"/>
          <w:lang w:val="en-US"/>
        </w:rPr>
        <w:t>&lt;MessageType&gt;ES4-EnableProfileRequest&lt;/MessageType&gt;</w:t>
      </w:r>
      <w:bookmarkEnd w:id="11807"/>
    </w:p>
    <w:p w14:paraId="1BB6D4BB"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&lt;MessageDate&gt;2013-04-18T09:30:47Z&lt;/MessageDate&gt;</w:t>
      </w:r>
    </w:p>
    <w:p w14:paraId="500BDB9B"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&lt;/RPSHeader&gt;</w:t>
      </w:r>
    </w:p>
    <w:p w14:paraId="71F4A2B2"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&lt;RPSBody&gt;</w:t>
      </w:r>
    </w:p>
    <w:p w14:paraId="51127B40"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&lt;ES4-EnableProfileRequest&gt;</w:t>
      </w:r>
    </w:p>
    <w:p w14:paraId="4D0F385E"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&lt;FunctionCallIdentifier&gt;callId:1&lt;/FunctionCallIdentifier&gt;</w:t>
      </w:r>
    </w:p>
    <w:p w14:paraId="5BF23A20"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&lt;ValidityPeriod&gt;3600&lt;/ValidityPeriod&gt;</w:t>
      </w:r>
    </w:p>
    <w:p w14:paraId="76ACBE81"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&lt;Eid&gt;</w:t>
      </w:r>
      <w:r>
        <w:rPr>
          <w:rFonts w:ascii="Courier New" w:eastAsia="MS Mincho" w:hAnsi="Courier New" w:cs="Courier New"/>
          <w:color w:val="000000"/>
          <w:lang w:val="en-US" w:eastAsia="ja-JP"/>
        </w:rPr>
        <w:t>89001012012341234012345678901224</w:t>
      </w:r>
      <w:r>
        <w:rPr>
          <w:rFonts w:ascii="Courier New" w:hAnsi="Courier New" w:cs="Courier New"/>
          <w:sz w:val="20"/>
          <w:lang w:val="en-US"/>
        </w:rPr>
        <w:t>&lt;/Eid&gt;</w:t>
      </w:r>
    </w:p>
    <w:p w14:paraId="5C1555BF"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&lt;ICCID&gt;8933010000000000001&lt;/ICCID&gt;</w:t>
      </w:r>
    </w:p>
    <w:p w14:paraId="39875608"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&lt;/ES4-EnableProfileRequest&gt;</w:t>
      </w:r>
    </w:p>
    <w:p w14:paraId="17FC3BFD"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08" w:name="_Toc420595103"/>
      <w:r>
        <w:rPr>
          <w:rFonts w:ascii="Courier New" w:hAnsi="Courier New" w:cs="Courier New"/>
          <w:sz w:val="20"/>
          <w:lang w:val="en-US"/>
        </w:rPr>
        <w:t>&lt;/RPSBody&gt;</w:t>
      </w:r>
      <w:bookmarkEnd w:id="11808"/>
    </w:p>
    <w:p w14:paraId="42960C89" w14:textId="77777777" w:rsidR="00B97365" w:rsidRDefault="00000000">
      <w:pPr>
        <w:rPr>
          <w:rFonts w:ascii="Courier New" w:hAnsi="Courier New" w:cs="Courier New"/>
          <w:sz w:val="20"/>
          <w:lang w:val="en-US"/>
        </w:rPr>
      </w:pPr>
      <w:r>
        <w:rPr>
          <w:rFonts w:ascii="Courier New" w:hAnsi="Courier New" w:cs="Courier New"/>
          <w:sz w:val="20"/>
          <w:lang w:val="en-US"/>
        </w:rPr>
        <w:t>&lt;/RPSMessage&gt;</w:t>
      </w:r>
    </w:p>
    <w:p w14:paraId="116BC362" w14:textId="77777777" w:rsidR="00B97365" w:rsidRDefault="00B97365">
      <w:pPr>
        <w:tabs>
          <w:tab w:val="left" w:pos="284"/>
          <w:tab w:val="left" w:pos="567"/>
          <w:tab w:val="left" w:pos="851"/>
          <w:tab w:val="left" w:pos="1134"/>
          <w:tab w:val="left" w:pos="1418"/>
        </w:tabs>
        <w:rPr>
          <w:rFonts w:cs="Calibri"/>
          <w:lang w:val="en-US"/>
        </w:rPr>
      </w:pPr>
    </w:p>
    <w:p w14:paraId="6E333162"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the case where:</w:t>
      </w:r>
    </w:p>
    <w:p w14:paraId="3CFA71F1"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security is set with TLS, with mutual authentication based on certificate </w:t>
      </w:r>
    </w:p>
    <w:p w14:paraId="6EF1EF68"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the MEP is : Asynchronous Request-Response with callback</w:t>
      </w:r>
    </w:p>
    <w:p w14:paraId="527A663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function execution request is bound to the following SOAP message:</w:t>
      </w:r>
    </w:p>
    <w:p w14:paraId="3CB00227" w14:textId="77777777" w:rsidR="00B97365" w:rsidRDefault="00000000">
      <w:pPr>
        <w:rPr>
          <w:rFonts w:ascii="Courier New" w:hAnsi="Courier New" w:cs="Courier New"/>
          <w:sz w:val="20"/>
          <w:lang w:val="en-US"/>
        </w:rPr>
      </w:pPr>
      <w:bookmarkStart w:id="11809" w:name="_Toc420595104"/>
      <w:r>
        <w:rPr>
          <w:rFonts w:ascii="Courier New" w:hAnsi="Courier New" w:cs="Courier New"/>
          <w:sz w:val="20"/>
          <w:lang w:val="en-US"/>
        </w:rPr>
        <w:t>&lt;?xml version="1.0" encoding="UTF-8"?&gt;</w:t>
      </w:r>
      <w:bookmarkEnd w:id="11809"/>
    </w:p>
    <w:p w14:paraId="474F7885" w14:textId="77777777" w:rsidR="00B97365" w:rsidRDefault="00000000">
      <w:pPr>
        <w:rPr>
          <w:rFonts w:ascii="Courier New" w:hAnsi="Courier New" w:cs="Courier New"/>
          <w:sz w:val="20"/>
          <w:lang w:val="en-US"/>
        </w:rPr>
      </w:pPr>
      <w:r>
        <w:rPr>
          <w:rFonts w:ascii="Courier New" w:hAnsi="Courier New" w:cs="Courier New"/>
          <w:sz w:val="20"/>
          <w:lang w:val="en-US"/>
        </w:rPr>
        <w:t>&lt;s:Envelope xmlns:s="http://www.w3.org/2003/05/soap-envelope" xmlns:xsi="http://www.w3.org/2001/XMLSchema-instance" xmlns:wsa="http://schemas.xmlsoap.org/ws/2004/08/addressing"</w:t>
      </w:r>
    </w:p>
    <w:p w14:paraId="4ECF64CD" w14:textId="77777777" w:rsidR="00B97365" w:rsidRDefault="00000000">
      <w:pPr>
        <w:rPr>
          <w:rFonts w:ascii="Courier New" w:hAnsi="Courier New" w:cs="Courier New"/>
          <w:sz w:val="20"/>
          <w:lang w:val="en-US"/>
        </w:rPr>
      </w:pPr>
      <w:r>
        <w:rPr>
          <w:rFonts w:ascii="Courier New" w:hAnsi="Courier New" w:cs="Courier New"/>
          <w:sz w:val="20"/>
          <w:lang w:val="en-US"/>
        </w:rPr>
        <w:t xml:space="preserve">    xmlns:rps3="http://namespaces.gsma.org/esim-messaging/3"&gt;</w:t>
      </w:r>
    </w:p>
    <w:p w14:paraId="055AE830"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10" w:name="_Toc420595105"/>
      <w:r>
        <w:rPr>
          <w:rFonts w:ascii="Courier New" w:hAnsi="Courier New" w:cs="Courier New"/>
          <w:sz w:val="20"/>
          <w:lang w:val="en-US"/>
        </w:rPr>
        <w:t>&lt;s:Header&gt;</w:t>
      </w:r>
      <w:bookmarkEnd w:id="11810"/>
    </w:p>
    <w:p w14:paraId="0B8A3981"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&lt;wsa:From&gt;</w:t>
      </w:r>
    </w:p>
    <w:p w14:paraId="50CCC8F4"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&lt;wsa:Address&gt;http://ACompany.com/RPS?EntityId=1.3.6.1.4.1.111111?EntityName=ACompany?UserName=aSenderAccountID&lt;/wsa:Address&gt;</w:t>
      </w:r>
    </w:p>
    <w:p w14:paraId="5B46103B"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11" w:name="_Toc420595106"/>
      <w:r>
        <w:rPr>
          <w:rFonts w:ascii="Courier New" w:hAnsi="Courier New" w:cs="Courier New"/>
          <w:sz w:val="20"/>
          <w:lang w:val="en-US"/>
        </w:rPr>
        <w:t>&lt;/wsa:From&gt;</w:t>
      </w:r>
      <w:bookmarkEnd w:id="11811"/>
    </w:p>
    <w:p w14:paraId="29E98E3D" w14:textId="77777777" w:rsidR="00B97365" w:rsidRDefault="00000000">
      <w:pPr>
        <w:rPr>
          <w:rFonts w:ascii="Courier New" w:hAnsi="Courier New" w:cs="Courier New"/>
          <w:sz w:val="20"/>
          <w:lang w:val="en-US"/>
        </w:rPr>
      </w:pPr>
      <w:r>
        <w:rPr>
          <w:rFonts w:ascii="Courier New" w:hAnsi="Courier New" w:cs="Courier New"/>
          <w:sz w:val="20"/>
          <w:lang w:val="en-US"/>
        </w:rPr>
        <w:lastRenderedPageBreak/>
        <w:t xml:space="preserve">        &lt;wsa:To&gt;http://AnotherCompany.com?EntityId=1.3.6.1.4.1.222222&lt;/wsa:To&gt;</w:t>
      </w:r>
    </w:p>
    <w:p w14:paraId="000275BB"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&lt;wsa:MessageID&gt;//MySenderDomain/123?TransactionId=MyTransID1?MessageDate=2013-04-18T09:30:47Z&lt;/wsa:MessageID&gt;</w:t>
      </w:r>
    </w:p>
    <w:p w14:paraId="796B49EB"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&lt;wsa:Action&gt;http://gsma.com/ES4/ProfileManagement/ES4-EnableProfile&lt;/wsa:Action&gt;</w:t>
      </w:r>
    </w:p>
    <w:p w14:paraId="23FFA50D"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12" w:name="_Toc420595107"/>
      <w:r>
        <w:rPr>
          <w:rFonts w:ascii="Courier New" w:hAnsi="Courier New" w:cs="Courier New"/>
          <w:sz w:val="20"/>
          <w:lang w:val="en-US"/>
        </w:rPr>
        <w:t>&lt;wsa:ReplyTo&gt;</w:t>
      </w:r>
      <w:bookmarkEnd w:id="11812"/>
    </w:p>
    <w:p w14:paraId="216B9B8C"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&lt;wsa:Address&gt;http://ACompany.com/RPS/MyEndPoint&lt;/wsa:Address&gt;</w:t>
      </w:r>
    </w:p>
    <w:p w14:paraId="383B09B3"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13" w:name="_Toc420595108"/>
      <w:r>
        <w:rPr>
          <w:rFonts w:ascii="Courier New" w:hAnsi="Courier New" w:cs="Courier New"/>
          <w:sz w:val="20"/>
          <w:lang w:val="en-US"/>
        </w:rPr>
        <w:t>&lt;/wsa:ReplyTo&gt;</w:t>
      </w:r>
      <w:bookmarkEnd w:id="11813"/>
    </w:p>
    <w:p w14:paraId="4BEFE893"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&lt;/s:Header&gt;</w:t>
      </w:r>
    </w:p>
    <w:p w14:paraId="4DBA335B"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&lt;s:Body rps3:MessageVersion="1.0.0"&gt;</w:t>
      </w:r>
    </w:p>
    <w:p w14:paraId="7B510FBC"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&lt;rps3:ES4-EnableProfileRequest&gt;</w:t>
      </w:r>
    </w:p>
    <w:p w14:paraId="6FD58BCA"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&lt;rps3:FunctionCallIdentifier&gt;callID:1&lt;/rps3:FunctionCallIdentifier&gt;</w:t>
      </w:r>
    </w:p>
    <w:p w14:paraId="6E60C52F"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14" w:name="_Toc420595109"/>
      <w:r>
        <w:rPr>
          <w:rFonts w:ascii="Courier New" w:hAnsi="Courier New" w:cs="Courier New"/>
          <w:sz w:val="20"/>
          <w:lang w:val="en-US"/>
        </w:rPr>
        <w:t>&lt;rps3:ValidityPeriod&gt;3600&lt;/rps3:ValidityPeriod&gt;</w:t>
      </w:r>
      <w:bookmarkEnd w:id="11814"/>
    </w:p>
    <w:p w14:paraId="11797F35"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&lt;rps3:Eid&gt;</w:t>
      </w:r>
      <w:r>
        <w:rPr>
          <w:rFonts w:ascii="Courier New" w:eastAsia="MS Mincho" w:hAnsi="Courier New" w:cs="Courier New"/>
          <w:color w:val="000000"/>
          <w:lang w:val="en-US" w:eastAsia="ja-JP"/>
        </w:rPr>
        <w:t>89001012012341234012345678901224</w:t>
      </w:r>
      <w:r>
        <w:rPr>
          <w:rFonts w:ascii="Courier New" w:hAnsi="Courier New" w:cs="Courier New"/>
          <w:sz w:val="20"/>
          <w:lang w:val="en-US"/>
        </w:rPr>
        <w:t>&lt;/rps3:Eid&gt;</w:t>
      </w:r>
    </w:p>
    <w:p w14:paraId="7D11D3B7"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15" w:name="_Toc420595110"/>
      <w:r>
        <w:rPr>
          <w:rFonts w:ascii="Courier New" w:hAnsi="Courier New" w:cs="Courier New"/>
          <w:sz w:val="20"/>
          <w:lang w:val="en-US"/>
        </w:rPr>
        <w:t>&lt;rps3:ICCID&gt;8933010000000000001&lt;/rps3:ICCID&gt;</w:t>
      </w:r>
      <w:bookmarkEnd w:id="11815"/>
    </w:p>
    <w:p w14:paraId="2FF40DEA"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&lt;/rps3:ES4-EnableProfileRequest&gt;        </w:t>
      </w:r>
    </w:p>
    <w:p w14:paraId="40C69C5B"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16" w:name="_Toc420595111"/>
      <w:r>
        <w:rPr>
          <w:rFonts w:ascii="Courier New" w:hAnsi="Courier New" w:cs="Courier New"/>
          <w:sz w:val="20"/>
          <w:lang w:val="en-US"/>
        </w:rPr>
        <w:t>&lt;/s:Body&gt;</w:t>
      </w:r>
      <w:bookmarkEnd w:id="11816"/>
    </w:p>
    <w:p w14:paraId="1E691A70" w14:textId="77777777" w:rsidR="00B97365" w:rsidRDefault="00000000">
      <w:pPr>
        <w:rPr>
          <w:rFonts w:ascii="Courier New" w:hAnsi="Courier New" w:cs="Courier New"/>
          <w:sz w:val="20"/>
          <w:lang w:val="en-US"/>
        </w:rPr>
      </w:pPr>
      <w:r>
        <w:rPr>
          <w:rFonts w:ascii="Courier New" w:hAnsi="Courier New" w:cs="Courier New"/>
          <w:sz w:val="20"/>
          <w:lang w:val="en-US"/>
        </w:rPr>
        <w:t>&lt;/s:Envelope&gt;</w:t>
      </w:r>
    </w:p>
    <w:p w14:paraId="41280A30" w14:textId="77777777" w:rsidR="00B97365" w:rsidRDefault="00B97365">
      <w:pPr>
        <w:tabs>
          <w:tab w:val="left" w:pos="284"/>
          <w:tab w:val="left" w:pos="567"/>
          <w:tab w:val="left" w:pos="851"/>
          <w:tab w:val="left" w:pos="1134"/>
          <w:tab w:val="left" w:pos="1418"/>
        </w:tabs>
        <w:rPr>
          <w:rFonts w:cs="Calibri"/>
          <w:lang w:val="en-US"/>
        </w:rPr>
      </w:pPr>
    </w:p>
    <w:p w14:paraId="381BA290" w14:textId="77777777" w:rsidR="00B97365" w:rsidRDefault="00000000">
      <w:pPr>
        <w:keepNext/>
        <w:keepLines/>
        <w:numPr>
          <w:ilvl w:val="3"/>
          <w:numId w:val="36"/>
        </w:numPr>
        <w:spacing w:before="240" w:after="60" w:line="276" w:lineRule="auto"/>
        <w:jc w:val="left"/>
        <w:outlineLvl w:val="3"/>
        <w:rPr>
          <w:rFonts w:ascii="Arial Bold" w:hAnsi="Arial Bold"/>
          <w:szCs w:val="22"/>
          <w:lang w:val="en-US" w:eastAsia="en-US"/>
        </w:rPr>
      </w:pPr>
      <w:bookmarkStart w:id="11817" w:name="_Toc420595112"/>
      <w:bookmarkStart w:id="11818" w:name="_Toc398215093"/>
      <w:bookmarkStart w:id="11819" w:name="_Toc375158509"/>
      <w:bookmarkStart w:id="11820" w:name="_Toc1977502"/>
      <w:bookmarkStart w:id="11821" w:name="_Toc37062661"/>
      <w:r>
        <w:rPr>
          <w:rFonts w:ascii="Arial Bold" w:hAnsi="Arial Bold"/>
          <w:szCs w:val="22"/>
          <w:lang w:val="en-US" w:eastAsia="en-US"/>
        </w:rPr>
        <w:t>Binding of a Message for ES4.EnableProfile Function Response</w:t>
      </w:r>
      <w:bookmarkEnd w:id="11817"/>
      <w:bookmarkEnd w:id="11818"/>
      <w:bookmarkEnd w:id="11819"/>
      <w:bookmarkEnd w:id="11820"/>
      <w:bookmarkEnd w:id="11821"/>
    </w:p>
    <w:p w14:paraId="173840F6"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The xml hereunder illustrates a possible message response for the </w:t>
      </w:r>
      <w:r>
        <w:rPr>
          <w:rFonts w:cs="Arial"/>
          <w:b/>
          <w:szCs w:val="22"/>
          <w:lang w:val="en-US" w:eastAsia="en-GB" w:bidi="ar-SA"/>
        </w:rPr>
        <w:t>ES4.EnableProfile</w:t>
      </w:r>
      <w:r>
        <w:rPr>
          <w:rFonts w:cs="Arial"/>
          <w:szCs w:val="22"/>
          <w:lang w:val="en-US" w:eastAsia="en-GB" w:bidi="ar-SA"/>
        </w:rPr>
        <w:t xml:space="preserve"> function execution request illustrated in the example of the previous section 2.2.1:</w:t>
      </w:r>
    </w:p>
    <w:p w14:paraId="6420DE41" w14:textId="77777777" w:rsidR="00B97365" w:rsidRDefault="00000000">
      <w:pPr>
        <w:rPr>
          <w:rFonts w:ascii="Courier New" w:hAnsi="Courier New" w:cs="Courier New"/>
          <w:sz w:val="20"/>
          <w:lang w:val="en-US"/>
        </w:rPr>
      </w:pPr>
      <w:bookmarkStart w:id="11822" w:name="_Toc420595113"/>
      <w:r>
        <w:rPr>
          <w:rFonts w:ascii="Courier New" w:hAnsi="Courier New" w:cs="Courier New"/>
          <w:sz w:val="20"/>
          <w:lang w:val="en-US"/>
        </w:rPr>
        <w:t>&lt;?xml version="1.0" encoding="UTF-8"?&gt;</w:t>
      </w:r>
      <w:bookmarkEnd w:id="11822"/>
    </w:p>
    <w:p w14:paraId="5BFB48FD" w14:textId="77777777" w:rsidR="00B97365" w:rsidRDefault="00000000">
      <w:pPr>
        <w:rPr>
          <w:rFonts w:ascii="Courier New" w:hAnsi="Courier New" w:cs="Courier New"/>
          <w:sz w:val="20"/>
          <w:lang w:val="en-US"/>
        </w:rPr>
      </w:pPr>
      <w:r>
        <w:rPr>
          <w:rFonts w:ascii="Courier New" w:hAnsi="Courier New" w:cs="Courier New"/>
          <w:sz w:val="20"/>
          <w:lang w:val="en-US"/>
        </w:rPr>
        <w:t>&lt;RPSMessage xmlns="http://namespaces.gsma.org/esim-messaging/1"</w:t>
      </w:r>
    </w:p>
    <w:p w14:paraId="522C08E5" w14:textId="77777777" w:rsidR="00B97365" w:rsidRDefault="00000000">
      <w:pPr>
        <w:rPr>
          <w:rFonts w:ascii="Courier New" w:hAnsi="Courier New" w:cs="Courier New"/>
          <w:sz w:val="20"/>
          <w:lang w:val="en-US"/>
        </w:rPr>
      </w:pPr>
      <w:r>
        <w:rPr>
          <w:rFonts w:ascii="Courier New" w:hAnsi="Courier New" w:cs="Courier New"/>
          <w:sz w:val="20"/>
          <w:lang w:val="en-US"/>
        </w:rPr>
        <w:t xml:space="preserve">    xmlns:xsi="http://www.w3.org/2001/XMLSchema-instance"</w:t>
      </w:r>
    </w:p>
    <w:p w14:paraId="7E5E241C" w14:textId="77777777" w:rsidR="00B97365" w:rsidRDefault="00000000">
      <w:pPr>
        <w:rPr>
          <w:rFonts w:ascii="Courier New" w:hAnsi="Courier New" w:cs="Courier New"/>
          <w:sz w:val="20"/>
          <w:lang w:val="en-US"/>
        </w:rPr>
      </w:pPr>
      <w:r>
        <w:rPr>
          <w:rFonts w:ascii="Courier New" w:hAnsi="Courier New" w:cs="Courier New"/>
          <w:sz w:val="20"/>
          <w:lang w:val="en-US"/>
        </w:rPr>
        <w:t xml:space="preserve">    MessageVersion="1.0.0"&gt;</w:t>
      </w:r>
    </w:p>
    <w:p w14:paraId="7C9C4E17"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p>
    <w:p w14:paraId="136CB561"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&lt;RPSHeader&gt;</w:t>
      </w:r>
    </w:p>
    <w:p w14:paraId="4C7708CE"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23" w:name="_Toc420595114"/>
      <w:r>
        <w:rPr>
          <w:rFonts w:ascii="Courier New" w:hAnsi="Courier New" w:cs="Courier New"/>
          <w:sz w:val="20"/>
          <w:lang w:val="en-US"/>
        </w:rPr>
        <w:t>&lt;SenderEntity&gt;</w:t>
      </w:r>
      <w:bookmarkEnd w:id="11823"/>
    </w:p>
    <w:p w14:paraId="0D999404"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&lt;EntityId&gt;1.3.6.1.4.1.222222&lt;/EntityId&gt;&lt;!-- Sample OID  --&gt;</w:t>
      </w:r>
    </w:p>
    <w:p w14:paraId="57D01460"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24" w:name="_Toc420595115"/>
      <w:r>
        <w:rPr>
          <w:rFonts w:ascii="Courier New" w:hAnsi="Courier New" w:cs="Courier New"/>
          <w:sz w:val="20"/>
          <w:lang w:val="en-US"/>
        </w:rPr>
        <w:t>&lt;/SenderEntity&gt;</w:t>
      </w:r>
      <w:bookmarkEnd w:id="11824"/>
    </w:p>
    <w:p w14:paraId="64AA862F"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&lt;SenderName&gt;AnotherSenderAccountId&lt;/SenderName&gt;</w:t>
      </w:r>
    </w:p>
    <w:p w14:paraId="7CEA94B5"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25" w:name="_Toc420595116"/>
      <w:r>
        <w:rPr>
          <w:rFonts w:ascii="Courier New" w:hAnsi="Courier New" w:cs="Courier New"/>
          <w:sz w:val="20"/>
          <w:lang w:val="en-US"/>
        </w:rPr>
        <w:t>&lt;ReceiverEntity&gt;</w:t>
      </w:r>
      <w:bookmarkEnd w:id="11825"/>
    </w:p>
    <w:p w14:paraId="4E57E993"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&lt;EntityId&gt;1.3.6.1.4.1.111111&lt;/EntityId&gt;&lt;!-- Sample OID --&gt;</w:t>
      </w:r>
    </w:p>
    <w:p w14:paraId="1DA89621"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&lt;/ReceiverEntity&gt;</w:t>
      </w:r>
    </w:p>
    <w:p w14:paraId="67942EC7"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&lt;TransactionId&gt;MyTransID1&lt;/TransactionId&gt;</w:t>
      </w:r>
    </w:p>
    <w:p w14:paraId="3AD36A60"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&lt;MessageId&gt;//MyProviderDomain/99&lt;/MessageId&gt;</w:t>
      </w:r>
    </w:p>
    <w:p w14:paraId="5BA4B5CC" w14:textId="77777777" w:rsidR="00B97365" w:rsidRDefault="00000000">
      <w:pPr>
        <w:rPr>
          <w:rFonts w:ascii="Courier New" w:hAnsi="Courier New" w:cs="Courier New"/>
          <w:sz w:val="20"/>
          <w:lang w:val="en-US"/>
        </w:rPr>
      </w:pPr>
      <w:r>
        <w:rPr>
          <w:rFonts w:ascii="Courier New" w:hAnsi="Courier New" w:cs="Courier New"/>
          <w:sz w:val="20"/>
          <w:lang w:val="en-US"/>
        </w:rPr>
        <w:lastRenderedPageBreak/>
        <w:t xml:space="preserve">        </w:t>
      </w:r>
      <w:bookmarkStart w:id="11826" w:name="_Toc420595117"/>
      <w:r>
        <w:rPr>
          <w:rFonts w:ascii="Courier New" w:hAnsi="Courier New" w:cs="Courier New"/>
          <w:sz w:val="20"/>
          <w:lang w:val="en-US"/>
        </w:rPr>
        <w:t>&lt;MessageType&gt;ES4-EnableProfileResponse&lt;/MessageType&gt;</w:t>
      </w:r>
      <w:bookmarkEnd w:id="11826"/>
    </w:p>
    <w:p w14:paraId="58DF338A"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&lt;RelatesTo&gt;//MySenderDomain/123&lt;/RelatesTo&gt;</w:t>
      </w:r>
    </w:p>
    <w:p w14:paraId="05C92C93"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27" w:name="_Toc420595118"/>
      <w:r>
        <w:rPr>
          <w:rFonts w:ascii="Courier New" w:hAnsi="Courier New" w:cs="Courier New"/>
          <w:sz w:val="20"/>
          <w:lang w:val="en-US"/>
        </w:rPr>
        <w:t>&lt;MessageDate&gt;2013-04-18T09:45:00Z&lt;/MessageDate&gt;</w:t>
      </w:r>
      <w:bookmarkEnd w:id="11827"/>
    </w:p>
    <w:p w14:paraId="11BFA50C"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&lt;/RPSHeader&gt;</w:t>
      </w:r>
    </w:p>
    <w:p w14:paraId="002B8632"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&lt;RPSBody&gt;</w:t>
      </w:r>
    </w:p>
    <w:p w14:paraId="20C7CE8F"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&lt;ES4-EnableProfileResponse&gt;</w:t>
      </w:r>
    </w:p>
    <w:p w14:paraId="2C4C05BD"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&lt;FunctionExecutionStatus&gt;</w:t>
      </w:r>
    </w:p>
    <w:p w14:paraId="7B84F7F4"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&lt;Status&gt;EXECUTED_SUCCESS&lt;/Status&gt;</w:t>
      </w:r>
    </w:p>
    <w:p w14:paraId="372932BE"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&lt;/FunctionExecutionStatus&gt;</w:t>
      </w:r>
    </w:p>
    <w:p w14:paraId="428C7A77" w14:textId="77777777" w:rsidR="00B97365" w:rsidRDefault="00000000">
      <w:pPr>
        <w:rPr>
          <w:rFonts w:ascii="Courier New" w:hAnsi="Courier New" w:cs="Courier New"/>
          <w:sz w:val="20"/>
          <w:lang w:val="en-US"/>
        </w:rPr>
      </w:pPr>
      <w:r>
        <w:rPr>
          <w:rFonts w:ascii="Courier New" w:hAnsi="Courier New" w:cs="Courier New"/>
          <w:sz w:val="20"/>
          <w:lang w:val="en-US"/>
        </w:rPr>
        <w:t xml:space="preserve">        &lt;/ES4-EnableProfileResponse&gt;</w:t>
      </w:r>
    </w:p>
    <w:p w14:paraId="22430019" w14:textId="77777777" w:rsidR="00B97365" w:rsidRDefault="00000000">
      <w:pPr>
        <w:rPr>
          <w:rFonts w:ascii="Courier New" w:hAnsi="Courier New" w:cs="Courier New"/>
          <w:sz w:val="20"/>
          <w:lang w:val="en-US"/>
        </w:rPr>
      </w:pPr>
      <w:r>
        <w:rPr>
          <w:rFonts w:ascii="Courier New" w:hAnsi="Courier New" w:cs="Courier New"/>
          <w:sz w:val="20"/>
          <w:lang w:val="en-US"/>
        </w:rPr>
        <w:t xml:space="preserve">    </w:t>
      </w:r>
      <w:bookmarkStart w:id="11828" w:name="_Toc420595119"/>
      <w:r>
        <w:rPr>
          <w:rFonts w:ascii="Courier New" w:hAnsi="Courier New" w:cs="Courier New"/>
          <w:sz w:val="20"/>
          <w:lang w:val="en-US"/>
        </w:rPr>
        <w:t>&lt;/RPSBody&gt;</w:t>
      </w:r>
      <w:bookmarkEnd w:id="11828"/>
    </w:p>
    <w:p w14:paraId="7F6782E3" w14:textId="77777777" w:rsidR="00B97365" w:rsidRDefault="00000000">
      <w:pPr>
        <w:rPr>
          <w:rFonts w:ascii="Courier New" w:hAnsi="Courier New" w:cs="Courier New"/>
          <w:sz w:val="20"/>
          <w:lang w:val="en-US"/>
        </w:rPr>
      </w:pPr>
      <w:r>
        <w:rPr>
          <w:rFonts w:ascii="Courier New" w:hAnsi="Courier New" w:cs="Courier New"/>
          <w:sz w:val="20"/>
          <w:lang w:val="en-US"/>
        </w:rPr>
        <w:t>&lt;/RPSMessage&gt;</w:t>
      </w:r>
    </w:p>
    <w:p w14:paraId="41154D6E" w14:textId="77777777" w:rsidR="00B97365" w:rsidRDefault="00B97365">
      <w:pPr>
        <w:tabs>
          <w:tab w:val="left" w:pos="284"/>
          <w:tab w:val="left" w:pos="567"/>
          <w:tab w:val="left" w:pos="851"/>
          <w:tab w:val="left" w:pos="1134"/>
          <w:tab w:val="left" w:pos="1418"/>
        </w:tabs>
        <w:rPr>
          <w:rFonts w:cs="Calibri"/>
          <w:lang w:val="en-US"/>
        </w:rPr>
      </w:pPr>
    </w:p>
    <w:p w14:paraId="69483E5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In the context described in the example of the previous section 2.2.1, the function execution response is bound to the following SOAP message:</w:t>
      </w:r>
    </w:p>
    <w:p w14:paraId="138B7C99" w14:textId="77777777" w:rsidR="00B97365" w:rsidRDefault="00000000">
      <w:pPr>
        <w:jc w:val="left"/>
        <w:rPr>
          <w:rFonts w:ascii="Courier New" w:hAnsi="Courier New" w:cs="Courier New"/>
          <w:sz w:val="20"/>
          <w:lang w:val="en-US"/>
        </w:rPr>
      </w:pPr>
      <w:r>
        <w:rPr>
          <w:rFonts w:ascii="Courier New" w:hAnsi="Courier New" w:cs="Courier New"/>
          <w:sz w:val="20"/>
          <w:lang w:val="en-US"/>
        </w:rPr>
        <w:t>&lt;?xml version="1.0" encoding="UTF-8"?&gt;</w:t>
      </w:r>
      <w:r>
        <w:rPr>
          <w:rFonts w:ascii="Courier New" w:hAnsi="Courier New" w:cs="Courier New"/>
          <w:sz w:val="20"/>
          <w:lang w:val="en-US"/>
        </w:rPr>
        <w:br/>
        <w:t>&lt;s:Envelope xmlns:s="http://www.w3.org/2003/05/soap-envelope" xmlns:xsi="http://www.w3.org/2001/XMLSchema-instance" xmlns:wsa="http://schemas.xmlsoap.org/ws/2004/08/addressing"</w:t>
      </w:r>
      <w:r>
        <w:rPr>
          <w:rFonts w:ascii="Courier New" w:hAnsi="Courier New" w:cs="Courier New"/>
          <w:sz w:val="20"/>
          <w:lang w:val="en-US"/>
        </w:rPr>
        <w:br/>
        <w:t>xmlns:rps3="http://namespaces.gsma.org/esim-messaging/1"&gt;</w:t>
      </w:r>
      <w:r>
        <w:rPr>
          <w:rFonts w:ascii="Courier New" w:hAnsi="Courier New" w:cs="Courier New"/>
          <w:sz w:val="20"/>
          <w:lang w:val="en-US"/>
        </w:rPr>
        <w:br/>
        <w:t xml:space="preserve">  &lt;s:Header&gt;</w:t>
      </w:r>
    </w:p>
    <w:p w14:paraId="6937C4E2" w14:textId="77777777" w:rsidR="00B97365" w:rsidRDefault="00000000">
      <w:pPr>
        <w:jc w:val="left"/>
        <w:rPr>
          <w:rFonts w:ascii="Courier New" w:hAnsi="Courier New" w:cs="Courier New"/>
          <w:sz w:val="20"/>
          <w:lang w:val="en-US"/>
        </w:rPr>
      </w:pPr>
      <w:r>
        <w:rPr>
          <w:rFonts w:ascii="Courier New" w:hAnsi="Courier New" w:cs="Courier New"/>
          <w:sz w:val="20"/>
          <w:lang w:val="en-US"/>
        </w:rPr>
        <w:t xml:space="preserve">    &lt;wsa:From&gt;</w:t>
      </w:r>
    </w:p>
    <w:p w14:paraId="1B8900FF" w14:textId="77777777" w:rsidR="00B97365" w:rsidRDefault="00000000">
      <w:pPr>
        <w:jc w:val="left"/>
        <w:rPr>
          <w:rFonts w:ascii="Courier New" w:hAnsi="Courier New" w:cs="Courier New"/>
          <w:sz w:val="20"/>
          <w:lang w:val="en-US"/>
        </w:rPr>
      </w:pPr>
      <w:r>
        <w:rPr>
          <w:rFonts w:ascii="Courier New" w:hAnsi="Courier New" w:cs="Courier New"/>
          <w:sz w:val="20"/>
          <w:lang w:val="en-US"/>
        </w:rPr>
        <w:t>&lt;wsa:Address&gt;http://AnotherCompany.com/RPS?EntityId=1.3.6.1.4.1.222222?UserName=AnotherSenderAccountId&lt;/wsa:Address&gt;</w:t>
      </w:r>
      <w:r>
        <w:rPr>
          <w:rFonts w:ascii="Courier New" w:hAnsi="Courier New" w:cs="Courier New"/>
          <w:sz w:val="20"/>
          <w:lang w:val="en-US"/>
        </w:rPr>
        <w:br/>
        <w:t xml:space="preserve">    &lt;/wsa:From&gt;</w:t>
      </w:r>
      <w:r>
        <w:rPr>
          <w:rFonts w:ascii="Courier New" w:hAnsi="Courier New" w:cs="Courier New"/>
          <w:sz w:val="20"/>
          <w:lang w:val="en-US"/>
        </w:rPr>
        <w:br/>
        <w:t xml:space="preserve">    &lt;wsa:To&gt;http://AnotherCompany.com?EntityId=1.3.6.1.4.1.111111&lt;/wsa:To&gt;</w:t>
      </w:r>
      <w:r>
        <w:rPr>
          <w:rFonts w:ascii="Courier New" w:hAnsi="Courier New" w:cs="Courier New"/>
          <w:sz w:val="20"/>
          <w:lang w:val="en-US"/>
        </w:rPr>
        <w:br/>
        <w:t xml:space="preserve">    &lt;wsa:MessageID&gt; //MyProviderDomain/99?TransactionId=MyTransID1?MessageDate=2013-04-18T09:45:00Z&lt;/wsa:MessageID&gt;</w:t>
      </w:r>
      <w:r>
        <w:rPr>
          <w:rFonts w:ascii="Courier New" w:hAnsi="Courier New" w:cs="Courier New"/>
          <w:sz w:val="20"/>
          <w:lang w:val="en-US"/>
        </w:rPr>
        <w:br/>
        <w:t xml:space="preserve">    &lt;wsa:Action&gt;http://gsma.com/ES4/PlatformManagement/ES4-EnableProfile&lt;/wsa:Action&gt;</w:t>
      </w:r>
      <w:r>
        <w:rPr>
          <w:rFonts w:ascii="Courier New" w:hAnsi="Courier New" w:cs="Courier New"/>
          <w:sz w:val="20"/>
          <w:lang w:val="en-US"/>
        </w:rPr>
        <w:br/>
        <w:t xml:space="preserve">    &lt;wsa:RelatesTo&gt;</w:t>
      </w:r>
    </w:p>
    <w:p w14:paraId="71F809E1" w14:textId="77777777" w:rsidR="00B97365" w:rsidRDefault="00000000">
      <w:pPr>
        <w:jc w:val="left"/>
        <w:rPr>
          <w:rFonts w:ascii="Courier New" w:hAnsi="Courier New" w:cs="Courier New"/>
          <w:sz w:val="20"/>
          <w:lang w:val="en-US"/>
        </w:rPr>
      </w:pPr>
      <w:r>
        <w:rPr>
          <w:rFonts w:ascii="Courier New" w:hAnsi="Courier New" w:cs="Courier New"/>
          <w:sz w:val="20"/>
          <w:lang w:val="en-US"/>
        </w:rPr>
        <w:t>//MySenderDomain/123?TransactionId=MyTransID1?MessageDate=2013-04-18T09:30:47Z //MySenderDomain/123</w:t>
      </w:r>
    </w:p>
    <w:p w14:paraId="539FF55F" w14:textId="77777777" w:rsidR="00B97365" w:rsidRDefault="00000000">
      <w:pPr>
        <w:jc w:val="left"/>
        <w:rPr>
          <w:rFonts w:ascii="Courier New" w:hAnsi="Courier New" w:cs="Courier New"/>
          <w:sz w:val="20"/>
          <w:lang w:val="en-US"/>
        </w:rPr>
      </w:pPr>
      <w:r>
        <w:rPr>
          <w:rFonts w:ascii="Courier New" w:hAnsi="Courier New" w:cs="Courier New"/>
          <w:sz w:val="20"/>
          <w:lang w:val="en-US"/>
        </w:rPr>
        <w:t xml:space="preserve">    &lt;/wsa:RelatesTo&gt;&lt;!-- Matching request in section B.2.4.1 --&gt;</w:t>
      </w:r>
      <w:r>
        <w:rPr>
          <w:rFonts w:ascii="Courier New" w:hAnsi="Courier New" w:cs="Courier New"/>
          <w:sz w:val="20"/>
          <w:lang w:val="en-US"/>
        </w:rPr>
        <w:br/>
        <w:t xml:space="preserve">  &lt;/s:Header&gt;</w:t>
      </w:r>
      <w:r>
        <w:rPr>
          <w:rFonts w:ascii="Courier New" w:hAnsi="Courier New" w:cs="Courier New"/>
          <w:sz w:val="20"/>
          <w:lang w:val="en-US"/>
        </w:rPr>
        <w:br/>
        <w:t xml:space="preserve">  &lt;s:Body rps3:MessageVersion="1.0.0"&gt;</w:t>
      </w:r>
      <w:r>
        <w:rPr>
          <w:rFonts w:ascii="Courier New" w:hAnsi="Courier New" w:cs="Courier New"/>
          <w:sz w:val="20"/>
          <w:lang w:val="en-US"/>
        </w:rPr>
        <w:br/>
        <w:t xml:space="preserve">    &lt;rps3:ES4-EnableProfileResponse&gt;</w:t>
      </w:r>
      <w:r>
        <w:rPr>
          <w:rFonts w:ascii="Courier New" w:hAnsi="Courier New" w:cs="Courier New"/>
          <w:sz w:val="20"/>
          <w:lang w:val="en-US"/>
        </w:rPr>
        <w:br/>
        <w:t xml:space="preserve">      &lt;rps3:FunctionExecutionStatus&gt;</w:t>
      </w:r>
      <w:r>
        <w:rPr>
          <w:rFonts w:ascii="Courier New" w:hAnsi="Courier New" w:cs="Courier New"/>
          <w:sz w:val="20"/>
          <w:lang w:val="en-US"/>
        </w:rPr>
        <w:br/>
        <w:t xml:space="preserve">        &lt;rps3:Status&gt;EXECUTED_SUCCESS&lt;/rps3:Status&gt;</w:t>
      </w:r>
      <w:r>
        <w:rPr>
          <w:rFonts w:ascii="Courier New" w:hAnsi="Courier New" w:cs="Courier New"/>
          <w:sz w:val="20"/>
          <w:lang w:val="en-US"/>
        </w:rPr>
        <w:br/>
        <w:t xml:space="preserve">      &lt;/rps3:FunctionExecutionStatus&gt;</w:t>
      </w:r>
      <w:r>
        <w:rPr>
          <w:rFonts w:ascii="Courier New" w:hAnsi="Courier New" w:cs="Courier New"/>
          <w:sz w:val="20"/>
          <w:lang w:val="en-US"/>
        </w:rPr>
        <w:br/>
        <w:t xml:space="preserve">    &lt;/rps3:ES4-EnableProfileResponse&gt;        </w:t>
      </w:r>
      <w:r>
        <w:rPr>
          <w:rFonts w:ascii="Courier New" w:hAnsi="Courier New" w:cs="Courier New"/>
          <w:sz w:val="20"/>
          <w:lang w:val="en-US"/>
        </w:rPr>
        <w:br/>
        <w:t xml:space="preserve">  &lt;/s:Body&gt;</w:t>
      </w:r>
      <w:r>
        <w:rPr>
          <w:rFonts w:ascii="Courier New" w:hAnsi="Courier New" w:cs="Courier New"/>
          <w:sz w:val="20"/>
          <w:lang w:val="en-US"/>
        </w:rPr>
        <w:br/>
        <w:t>&lt;/s:Envelope&gt;</w:t>
      </w:r>
    </w:p>
    <w:p w14:paraId="3A95286F" w14:textId="77777777" w:rsidR="00B97365" w:rsidRDefault="00000000">
      <w:pPr>
        <w:keepNext/>
        <w:keepLines/>
        <w:numPr>
          <w:ilvl w:val="2"/>
          <w:numId w:val="8"/>
        </w:numPr>
        <w:spacing w:before="240" w:after="60" w:line="276" w:lineRule="auto"/>
        <w:jc w:val="left"/>
        <w:outlineLvl w:val="2"/>
        <w:rPr>
          <w:rFonts w:ascii="Arial Bold" w:hAnsi="Arial Bold"/>
          <w:sz w:val="24"/>
          <w:szCs w:val="24"/>
        </w:rPr>
      </w:pPr>
      <w:bookmarkStart w:id="11829" w:name="_Toc1977503"/>
      <w:bookmarkStart w:id="11830" w:name="_Toc37062662"/>
      <w:bookmarkStart w:id="11831" w:name="_Toc88839702"/>
      <w:bookmarkStart w:id="11832" w:name="_Toc121504110"/>
      <w:r>
        <w:rPr>
          <w:rFonts w:ascii="Arial Bold" w:hAnsi="Arial Bold"/>
          <w:sz w:val="24"/>
          <w:szCs w:val="24"/>
        </w:rPr>
        <w:t>URI – query structure</w:t>
      </w:r>
      <w:bookmarkEnd w:id="11829"/>
      <w:bookmarkEnd w:id="11830"/>
      <w:bookmarkEnd w:id="11831"/>
      <w:bookmarkEnd w:id="11832"/>
    </w:p>
    <w:p w14:paraId="073D0BE2" w14:textId="1A4E430C" w:rsidR="00B97365" w:rsidRDefault="00000000">
      <w:pPr>
        <w:tabs>
          <w:tab w:val="left" w:pos="1560"/>
        </w:tabs>
        <w:spacing w:before="0" w:after="200" w:line="276" w:lineRule="auto"/>
        <w:jc w:val="left"/>
        <w:rPr>
          <w:szCs w:val="22"/>
          <w:lang w:val="en-US" w:eastAsia="en-GB" w:bidi="ar-SA"/>
        </w:rPr>
      </w:pPr>
      <w:r>
        <w:rPr>
          <w:szCs w:val="22"/>
          <w:lang w:val="en-US" w:eastAsia="en-GB" w:bidi="ar-SA"/>
        </w:rPr>
        <w:t xml:space="preserve">The URI specification </w:t>
      </w:r>
      <w:r>
        <w:rPr>
          <w:szCs w:val="22"/>
          <w:lang w:val="en-US" w:eastAsia="en-GB" w:bidi="ar-SA"/>
        </w:rPr>
        <w:fldChar w:fldCharType="begin"/>
      </w:r>
      <w:r>
        <w:rPr>
          <w:szCs w:val="22"/>
          <w:lang w:val="en-US" w:eastAsia="en-GB" w:bidi="ar-SA"/>
        </w:rPr>
        <w:instrText xml:space="preserve"> REF _Ref532367739 \r \h </w:instrText>
      </w:r>
      <w:r>
        <w:rPr>
          <w:szCs w:val="22"/>
          <w:lang w:val="en-US" w:eastAsia="en-GB" w:bidi="ar-SA"/>
        </w:rPr>
      </w:r>
      <w:r>
        <w:rPr>
          <w:szCs w:val="22"/>
          <w:lang w:val="en-US" w:eastAsia="en-GB" w:bidi="ar-SA"/>
        </w:rPr>
        <w:fldChar w:fldCharType="separate"/>
      </w:r>
      <w:r w:rsidR="001D5AD9">
        <w:rPr>
          <w:szCs w:val="22"/>
          <w:lang w:val="en-US" w:eastAsia="en-GB" w:bidi="ar-SA"/>
        </w:rPr>
        <w:t>[65]</w:t>
      </w:r>
      <w:r>
        <w:rPr>
          <w:szCs w:val="22"/>
          <w:lang w:val="en-US" w:eastAsia="en-GB" w:bidi="ar-SA"/>
        </w:rPr>
        <w:fldChar w:fldCharType="end"/>
      </w:r>
      <w:r>
        <w:rPr>
          <w:szCs w:val="22"/>
          <w:lang w:val="en-US" w:eastAsia="en-GB" w:bidi="ar-SA"/>
        </w:rPr>
        <w:t xml:space="preserve"> treats the query part as being unstructured. The following rules SHALL be applied for query in URI:</w:t>
      </w:r>
    </w:p>
    <w:p w14:paraId="4BFDA39C" w14:textId="77777777" w:rsidR="00B97365" w:rsidRDefault="00000000">
      <w:pPr>
        <w:numPr>
          <w:ilvl w:val="0"/>
          <w:numId w:val="53"/>
        </w:numPr>
        <w:spacing w:before="0" w:after="200" w:line="276" w:lineRule="auto"/>
        <w:contextualSpacing/>
        <w:jc w:val="left"/>
        <w:rPr>
          <w:szCs w:val="22"/>
          <w:lang w:val="en-US" w:eastAsia="en-GB" w:bidi="ar-SA"/>
        </w:rPr>
      </w:pPr>
      <w:r>
        <w:rPr>
          <w:szCs w:val="22"/>
          <w:lang w:val="en-US" w:eastAsia="en-GB" w:bidi="ar-SA"/>
        </w:rPr>
        <w:lastRenderedPageBreak/>
        <w:t>The query is composed of a series of field key-value pairs.</w:t>
      </w:r>
    </w:p>
    <w:p w14:paraId="5C7A6E96" w14:textId="77777777" w:rsidR="00B97365" w:rsidRDefault="00000000">
      <w:pPr>
        <w:numPr>
          <w:ilvl w:val="0"/>
          <w:numId w:val="53"/>
        </w:numPr>
        <w:spacing w:before="0" w:after="200" w:line="276" w:lineRule="auto"/>
        <w:contextualSpacing/>
        <w:jc w:val="left"/>
        <w:rPr>
          <w:szCs w:val="22"/>
          <w:lang w:val="en-US" w:eastAsia="en-GB" w:bidi="ar-SA"/>
        </w:rPr>
      </w:pPr>
      <w:r>
        <w:rPr>
          <w:szCs w:val="22"/>
          <w:lang w:val="en-US" w:eastAsia="en-GB" w:bidi="ar-SA"/>
        </w:rPr>
        <w:t>Within each pair, the field key and the value are separated by an equals sign, "=".</w:t>
      </w:r>
    </w:p>
    <w:p w14:paraId="5FF1654E" w14:textId="77777777" w:rsidR="00B97365" w:rsidRDefault="00000000">
      <w:pPr>
        <w:numPr>
          <w:ilvl w:val="0"/>
          <w:numId w:val="53"/>
        </w:numPr>
        <w:spacing w:before="0" w:after="200" w:line="276" w:lineRule="auto"/>
        <w:contextualSpacing/>
        <w:jc w:val="left"/>
        <w:rPr>
          <w:rFonts w:cs="Arial"/>
          <w:szCs w:val="22"/>
          <w:lang w:val="en-US" w:eastAsia="en-GB" w:bidi="ar-SA"/>
        </w:rPr>
      </w:pPr>
      <w:r>
        <w:rPr>
          <w:szCs w:val="22"/>
          <w:lang w:val="en-US" w:eastAsia="en-GB" w:bidi="ar-SA"/>
        </w:rPr>
        <w:t>The series of pairs is separated by a questionmark, "?".</w:t>
      </w:r>
    </w:p>
    <w:p w14:paraId="4AC841FE" w14:textId="77777777" w:rsidR="00B97365" w:rsidRDefault="00000000">
      <w:pPr>
        <w:jc w:val="left"/>
        <w:rPr>
          <w:rFonts w:cs="Arial"/>
          <w:szCs w:val="22"/>
          <w:lang w:val="en-US" w:eastAsia="en-GB" w:bidi="ar-SA"/>
        </w:rPr>
      </w:pPr>
      <w:r>
        <w:rPr>
          <w:rFonts w:cs="Arial"/>
          <w:szCs w:val="22"/>
          <w:lang w:val="en-US" w:eastAsia="en-GB" w:bidi="ar-SA"/>
        </w:rPr>
        <w:t>Examples:</w:t>
      </w:r>
    </w:p>
    <w:p w14:paraId="7F98933F" w14:textId="77777777" w:rsidR="00B97365" w:rsidRDefault="00000000">
      <w:pPr>
        <w:jc w:val="left"/>
        <w:rPr>
          <w:rFonts w:ascii="Courier New" w:hAnsi="Courier New" w:cs="Courier New"/>
          <w:sz w:val="20"/>
        </w:rPr>
      </w:pPr>
      <w:r>
        <w:rPr>
          <w:rFonts w:ascii="Courier New" w:hAnsi="Courier New" w:cs="Courier New"/>
          <w:sz w:val="20"/>
        </w:rPr>
        <w:t>http://ACompany.com/RPS?EntityId=1.3.6.1.4.1.11111?EntityName=ACompany?UserName=aSenderAccountId</w:t>
      </w:r>
    </w:p>
    <w:p w14:paraId="1B55E042" w14:textId="77777777" w:rsidR="00B97365" w:rsidRDefault="00000000">
      <w:pPr>
        <w:jc w:val="left"/>
        <w:rPr>
          <w:szCs w:val="22"/>
        </w:rPr>
      </w:pPr>
      <w:r>
        <w:rPr>
          <w:szCs w:val="22"/>
        </w:rPr>
        <w:t>where</w:t>
      </w:r>
    </w:p>
    <w:p w14:paraId="48890DEE" w14:textId="77777777" w:rsidR="00B97365" w:rsidRDefault="00000000">
      <w:pPr>
        <w:jc w:val="left"/>
        <w:rPr>
          <w:rFonts w:ascii="Courier New" w:hAnsi="Courier New" w:cs="Courier New"/>
          <w:sz w:val="20"/>
        </w:rPr>
      </w:pPr>
      <w:r>
        <w:rPr>
          <w:rFonts w:ascii="Courier New" w:hAnsi="Courier New" w:cs="Courier New"/>
          <w:sz w:val="20"/>
        </w:rPr>
        <w:t xml:space="preserve">EntityId=1.3.6.1.4.1.11111?EntityName=ACompany?UserName=aSenderAccountId  </w:t>
      </w:r>
    </w:p>
    <w:p w14:paraId="4CE84804" w14:textId="77777777" w:rsidR="00B97365" w:rsidRDefault="00000000">
      <w:pPr>
        <w:rPr>
          <w:rFonts w:ascii="Courier New" w:hAnsi="Courier New" w:cs="Courier New"/>
          <w:szCs w:val="22"/>
        </w:rPr>
      </w:pPr>
      <w:r>
        <w:rPr>
          <w:szCs w:val="22"/>
        </w:rPr>
        <w:t xml:space="preserve">represents the whole query and </w:t>
      </w:r>
      <w:r>
        <w:rPr>
          <w:rFonts w:ascii="Courier New" w:hAnsi="Courier New" w:cs="Courier New"/>
          <w:sz w:val="20"/>
        </w:rPr>
        <w:t>EntityName=ACompany</w:t>
      </w:r>
      <w:r>
        <w:rPr>
          <w:sz w:val="20"/>
        </w:rPr>
        <w:t xml:space="preserve"> </w:t>
      </w:r>
      <w:r>
        <w:rPr>
          <w:szCs w:val="22"/>
        </w:rPr>
        <w:t>is one field name-value pair.</w:t>
      </w:r>
    </w:p>
    <w:p w14:paraId="061F9228" w14:textId="77777777" w:rsidR="00B97365" w:rsidRDefault="00000000">
      <w:pPr>
        <w:keepNext/>
        <w:keepLines/>
        <w:numPr>
          <w:ilvl w:val="1"/>
          <w:numId w:val="36"/>
        </w:numPr>
        <w:spacing w:before="240" w:after="60" w:line="276" w:lineRule="auto"/>
        <w:jc w:val="left"/>
        <w:outlineLvl w:val="1"/>
        <w:rPr>
          <w:rFonts w:ascii="Arial Bold" w:hAnsi="Arial Bold"/>
          <w:b/>
          <w:bCs/>
          <w:sz w:val="24"/>
          <w:szCs w:val="24"/>
        </w:rPr>
      </w:pPr>
      <w:bookmarkStart w:id="11833" w:name="_Toc448998368"/>
      <w:bookmarkStart w:id="11834" w:name="_Toc422150938"/>
      <w:bookmarkStart w:id="11835" w:name="_Toc421874523"/>
      <w:bookmarkStart w:id="11836" w:name="_Toc420595120"/>
      <w:bookmarkStart w:id="11837" w:name="_Toc398215094"/>
      <w:bookmarkStart w:id="11838" w:name="_Toc375158510"/>
      <w:bookmarkStart w:id="11839" w:name="_Toc374348672"/>
      <w:bookmarkStart w:id="11840" w:name="_Toc368932516"/>
      <w:bookmarkStart w:id="11841" w:name="_Toc486332985"/>
      <w:bookmarkStart w:id="11842" w:name="_Toc1977504"/>
      <w:bookmarkStart w:id="11843" w:name="_Toc37062663"/>
      <w:bookmarkStart w:id="11844" w:name="_Toc88839703"/>
      <w:bookmarkStart w:id="11845" w:name="_Toc121504111"/>
      <w:r>
        <w:rPr>
          <w:rFonts w:ascii="Arial Bold" w:hAnsi="Arial Bold" w:cs="Calibri"/>
          <w:b/>
          <w:sz w:val="24"/>
          <w:szCs w:val="24"/>
        </w:rPr>
        <w:t>Function</w:t>
      </w:r>
      <w:r>
        <w:rPr>
          <w:rFonts w:ascii="Arial Bold" w:hAnsi="Arial Bold"/>
          <w:b/>
          <w:sz w:val="24"/>
          <w:szCs w:val="24"/>
        </w:rPr>
        <w:t xml:space="preserve"> Binding</w:t>
      </w:r>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p>
    <w:p w14:paraId="0436ADB3" w14:textId="77777777" w:rsidR="00B97365" w:rsidRDefault="00000000">
      <w:pPr>
        <w:spacing w:after="200" w:line="276" w:lineRule="auto"/>
        <w:ind w:left="1560" w:hanging="1276"/>
        <w:jc w:val="left"/>
        <w:rPr>
          <w:rFonts w:ascii="Times New Roman" w:hAnsi="Times New Roman"/>
        </w:rPr>
      </w:pPr>
      <w:r>
        <w:rPr>
          <w:rFonts w:cs="Arial"/>
          <w:szCs w:val="22"/>
          <w:lang w:val="en-US" w:eastAsia="en-GB" w:bidi="ar-SA"/>
        </w:rPr>
        <w:t>NOTE: In the tables below the Asynchronous Request-Response with Callback MEP can be replaced by an Asynchronous Request-Response with Polling MEP. In this case the /wsa:Action value has to be updated accordingly.</w:t>
      </w:r>
    </w:p>
    <w:p w14:paraId="40B2631A"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1846" w:name="_Toc448998369"/>
      <w:bookmarkStart w:id="11847" w:name="_Toc422150939"/>
      <w:bookmarkStart w:id="11848" w:name="_Toc421874524"/>
      <w:bookmarkStart w:id="11849" w:name="_Toc420595121"/>
      <w:bookmarkStart w:id="11850" w:name="_Toc398215095"/>
      <w:bookmarkStart w:id="11851" w:name="_Toc375158511"/>
      <w:bookmarkStart w:id="11852" w:name="_Toc374348673"/>
      <w:bookmarkStart w:id="11853" w:name="_Toc368932517"/>
      <w:bookmarkStart w:id="11854" w:name="_Toc486332986"/>
      <w:bookmarkStart w:id="11855" w:name="_Toc1977505"/>
      <w:bookmarkStart w:id="11856" w:name="_Toc37062664"/>
      <w:bookmarkStart w:id="11857" w:name="_Toc88839704"/>
      <w:bookmarkStart w:id="11858" w:name="_Toc121504112"/>
      <w:r>
        <w:rPr>
          <w:rFonts w:ascii="Arial Bold" w:hAnsi="Arial Bold"/>
          <w:sz w:val="24"/>
          <w:szCs w:val="24"/>
          <w:lang w:eastAsia="en-US"/>
        </w:rPr>
        <w:t>ES1</w:t>
      </w:r>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346"/>
        <w:gridCol w:w="1463"/>
        <w:gridCol w:w="5207"/>
      </w:tblGrid>
      <w:tr w:rsidR="00B97365" w14:paraId="55E7EADA" w14:textId="77777777">
        <w:trPr>
          <w:trHeight w:val="327"/>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1690A355" w14:textId="77777777" w:rsidR="00B97365" w:rsidRDefault="00000000">
            <w:pPr>
              <w:spacing w:after="200" w:line="276" w:lineRule="auto"/>
              <w:jc w:val="center"/>
              <w:rPr>
                <w:rFonts w:cs="Arial"/>
                <w:b/>
                <w:sz w:val="16"/>
                <w:szCs w:val="16"/>
                <w:lang w:eastAsia="en-GB" w:bidi="ar-SA"/>
              </w:rPr>
            </w:pPr>
            <w:r>
              <w:rPr>
                <w:rFonts w:cs="Arial"/>
                <w:b/>
                <w:sz w:val="16"/>
                <w:szCs w:val="16"/>
                <w:lang w:eastAsia="en-GB" w:bidi="ar-SA"/>
              </w:rPr>
              <w:t>Function name</w:t>
            </w:r>
          </w:p>
        </w:tc>
        <w:tc>
          <w:tcPr>
            <w:tcW w:w="0" w:type="auto"/>
            <w:gridSpan w:val="2"/>
            <w:tcBorders>
              <w:top w:val="single" w:sz="4" w:space="0" w:color="auto"/>
              <w:left w:val="single" w:sz="6" w:space="0" w:color="auto"/>
              <w:bottom w:val="single" w:sz="6" w:space="0" w:color="auto"/>
              <w:right w:val="single" w:sz="4" w:space="0" w:color="auto"/>
            </w:tcBorders>
            <w:shd w:val="clear" w:color="auto" w:fill="C00000"/>
            <w:vAlign w:val="center"/>
            <w:hideMark/>
          </w:tcPr>
          <w:p w14:paraId="45D6A0E9" w14:textId="77777777" w:rsidR="00B97365" w:rsidRDefault="00000000">
            <w:pPr>
              <w:spacing w:before="0" w:after="200" w:line="276" w:lineRule="auto"/>
              <w:jc w:val="center"/>
              <w:rPr>
                <w:rFonts w:cs="Arial"/>
                <w:b/>
                <w:sz w:val="16"/>
                <w:szCs w:val="16"/>
                <w:lang w:eastAsia="en-GB" w:bidi="ar-SA"/>
              </w:rPr>
            </w:pPr>
            <w:r>
              <w:rPr>
                <w:rFonts w:cs="Arial"/>
                <w:b/>
                <w:sz w:val="16"/>
                <w:szCs w:val="16"/>
                <w:lang w:eastAsia="en-GB" w:bidi="ar-SA"/>
              </w:rPr>
              <w:t>Binding Information</w:t>
            </w:r>
          </w:p>
        </w:tc>
      </w:tr>
      <w:tr w:rsidR="00B97365" w14:paraId="307B3E5F" w14:textId="77777777">
        <w:trPr>
          <w:trHeight w:val="270"/>
          <w:jc w:val="center"/>
        </w:trPr>
        <w:tc>
          <w:tcPr>
            <w:tcW w:w="0" w:type="auto"/>
            <w:vMerge w:val="restart"/>
            <w:tcBorders>
              <w:top w:val="single" w:sz="6" w:space="0" w:color="auto"/>
              <w:left w:val="single" w:sz="4" w:space="0" w:color="auto"/>
              <w:bottom w:val="single" w:sz="4" w:space="0" w:color="auto"/>
              <w:right w:val="single" w:sz="6" w:space="0" w:color="auto"/>
            </w:tcBorders>
            <w:vAlign w:val="center"/>
            <w:hideMark/>
          </w:tcPr>
          <w:p w14:paraId="3D298FBA"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RegisterEIS</w:t>
            </w:r>
          </w:p>
        </w:tc>
        <w:tc>
          <w:tcPr>
            <w:tcW w:w="0" w:type="auto"/>
            <w:tcBorders>
              <w:top w:val="single" w:sz="6" w:space="0" w:color="auto"/>
              <w:left w:val="single" w:sz="6" w:space="0" w:color="auto"/>
              <w:bottom w:val="single" w:sz="6" w:space="0" w:color="auto"/>
              <w:right w:val="single" w:sz="6" w:space="0" w:color="auto"/>
            </w:tcBorders>
            <w:vAlign w:val="center"/>
            <w:hideMark/>
          </w:tcPr>
          <w:p w14:paraId="7E7BA6F0"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0" w:type="auto"/>
            <w:tcBorders>
              <w:top w:val="single" w:sz="6" w:space="0" w:color="auto"/>
              <w:left w:val="single" w:sz="6" w:space="0" w:color="auto"/>
              <w:bottom w:val="single" w:sz="6" w:space="0" w:color="auto"/>
              <w:right w:val="single" w:sz="4" w:space="0" w:color="auto"/>
            </w:tcBorders>
            <w:vAlign w:val="center"/>
            <w:hideMark/>
          </w:tcPr>
          <w:p w14:paraId="68C03341"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Synchronous Request-Response</w:t>
            </w:r>
          </w:p>
        </w:tc>
      </w:tr>
      <w:tr w:rsidR="00B97365" w14:paraId="2E3F5199" w14:textId="77777777">
        <w:trPr>
          <w:trHeight w:val="270"/>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0314A2B9" w14:textId="77777777" w:rsidR="00B97365" w:rsidRDefault="00B97365">
            <w:pPr>
              <w:spacing w:before="0"/>
              <w:jc w:val="left"/>
              <w:rPr>
                <w:rFonts w:cs="Arial"/>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9B34F60" w14:textId="77777777" w:rsidR="00B97365" w:rsidRDefault="00000000">
            <w:pPr>
              <w:spacing w:after="120" w:line="276" w:lineRule="auto"/>
              <w:rPr>
                <w:rFonts w:cs="Arial"/>
                <w:b/>
                <w:sz w:val="16"/>
                <w:szCs w:val="16"/>
              </w:rPr>
            </w:pPr>
            <w:r>
              <w:rPr>
                <w:rFonts w:cs="Arial"/>
                <w:b/>
                <w:sz w:val="16"/>
                <w:szCs w:val="16"/>
              </w:rPr>
              <w:t>/wsa:Action  Request</w:t>
            </w:r>
          </w:p>
        </w:tc>
        <w:tc>
          <w:tcPr>
            <w:tcW w:w="0" w:type="auto"/>
            <w:tcBorders>
              <w:top w:val="single" w:sz="6" w:space="0" w:color="auto"/>
              <w:left w:val="single" w:sz="6" w:space="0" w:color="auto"/>
              <w:bottom w:val="single" w:sz="6" w:space="0" w:color="auto"/>
              <w:right w:val="single" w:sz="4" w:space="0" w:color="auto"/>
            </w:tcBorders>
            <w:vAlign w:val="center"/>
            <w:hideMark/>
          </w:tcPr>
          <w:p w14:paraId="7EF8EA3E"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http://gsma.com/ES1/eUICCManagement/ES1-RegisterEISRequest</w:t>
            </w:r>
          </w:p>
        </w:tc>
      </w:tr>
      <w:tr w:rsidR="00B97365" w14:paraId="6CB1921E" w14:textId="77777777">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2A24D6" w14:textId="77777777" w:rsidR="00B97365" w:rsidRDefault="00B97365">
            <w:pPr>
              <w:spacing w:before="0"/>
              <w:jc w:val="left"/>
              <w:rPr>
                <w:rFonts w:cs="Arial"/>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1D3FFCE" w14:textId="77777777" w:rsidR="00B97365" w:rsidRDefault="00000000">
            <w:pPr>
              <w:spacing w:after="120" w:line="276" w:lineRule="auto"/>
              <w:rPr>
                <w:rFonts w:cs="Arial"/>
                <w:b/>
                <w:sz w:val="16"/>
                <w:szCs w:val="16"/>
              </w:rPr>
            </w:pPr>
            <w:r>
              <w:rPr>
                <w:rFonts w:cs="Arial"/>
                <w:b/>
                <w:sz w:val="16"/>
                <w:szCs w:val="16"/>
              </w:rPr>
              <w:t xml:space="preserve">/wsa:Action  </w:t>
            </w:r>
          </w:p>
          <w:p w14:paraId="7D096869" w14:textId="77777777" w:rsidR="00B97365" w:rsidRDefault="00000000">
            <w:pPr>
              <w:rPr>
                <w:rFonts w:cs="Arial"/>
                <w:b/>
                <w:sz w:val="16"/>
                <w:szCs w:val="16"/>
              </w:rPr>
            </w:pPr>
            <w:r>
              <w:rPr>
                <w:rFonts w:cs="Arial"/>
                <w:b/>
                <w:sz w:val="16"/>
                <w:szCs w:val="16"/>
              </w:rPr>
              <w:t>Response</w:t>
            </w:r>
          </w:p>
        </w:tc>
        <w:tc>
          <w:tcPr>
            <w:tcW w:w="0" w:type="auto"/>
            <w:tcBorders>
              <w:top w:val="single" w:sz="6" w:space="0" w:color="auto"/>
              <w:left w:val="single" w:sz="6" w:space="0" w:color="auto"/>
              <w:bottom w:val="single" w:sz="6" w:space="0" w:color="auto"/>
              <w:right w:val="single" w:sz="4" w:space="0" w:color="auto"/>
            </w:tcBorders>
            <w:vAlign w:val="center"/>
            <w:hideMark/>
          </w:tcPr>
          <w:p w14:paraId="6CF77788"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http://gsma.com/ES1/eUICCManagement/ES1-RegisterEISResponse</w:t>
            </w:r>
          </w:p>
        </w:tc>
      </w:tr>
      <w:tr w:rsidR="00B97365" w14:paraId="48706855" w14:textId="77777777">
        <w:trPr>
          <w:trHeight w:val="270"/>
          <w:jc w:val="center"/>
        </w:trPr>
        <w:tc>
          <w:tcPr>
            <w:tcW w:w="0" w:type="auto"/>
            <w:vMerge w:val="restart"/>
            <w:tcBorders>
              <w:top w:val="single" w:sz="6" w:space="0" w:color="auto"/>
              <w:left w:val="single" w:sz="4" w:space="0" w:color="auto"/>
              <w:right w:val="single" w:sz="6" w:space="0" w:color="auto"/>
            </w:tcBorders>
            <w:vAlign w:val="center"/>
          </w:tcPr>
          <w:p w14:paraId="733F7085" w14:textId="77777777" w:rsidR="00B97365" w:rsidRDefault="00B97365">
            <w:pPr>
              <w:spacing w:before="0"/>
              <w:jc w:val="left"/>
              <w:rPr>
                <w:rFonts w:cs="Arial"/>
                <w:sz w:val="16"/>
                <w:szCs w:val="16"/>
                <w:lang w:eastAsia="en-GB" w:bidi="ar-SA"/>
              </w:rPr>
            </w:pPr>
          </w:p>
          <w:p w14:paraId="63CCA69C" w14:textId="77777777" w:rsidR="00B97365" w:rsidRDefault="00B97365">
            <w:pPr>
              <w:spacing w:before="0"/>
              <w:jc w:val="left"/>
              <w:rPr>
                <w:rFonts w:cs="Arial"/>
                <w:sz w:val="16"/>
                <w:szCs w:val="16"/>
                <w:lang w:eastAsia="en-GB" w:bidi="ar-SA"/>
              </w:rPr>
            </w:pPr>
          </w:p>
          <w:p w14:paraId="3D209819" w14:textId="77777777" w:rsidR="00B97365" w:rsidRDefault="00000000">
            <w:pPr>
              <w:spacing w:before="0"/>
              <w:jc w:val="left"/>
              <w:rPr>
                <w:rFonts w:cs="Arial"/>
                <w:sz w:val="16"/>
                <w:szCs w:val="16"/>
                <w:lang w:eastAsia="en-GB" w:bidi="ar-SA"/>
              </w:rPr>
            </w:pPr>
            <w:r>
              <w:rPr>
                <w:rFonts w:cs="Arial"/>
                <w:sz w:val="16"/>
                <w:szCs w:val="16"/>
                <w:lang w:eastAsia="en-GB" w:bidi="ar-SA"/>
              </w:rPr>
              <w:t>UpdateEISAdditionalProperties</w:t>
            </w:r>
          </w:p>
        </w:tc>
        <w:tc>
          <w:tcPr>
            <w:tcW w:w="0" w:type="auto"/>
            <w:tcBorders>
              <w:top w:val="single" w:sz="6" w:space="0" w:color="auto"/>
              <w:left w:val="single" w:sz="6" w:space="0" w:color="auto"/>
              <w:bottom w:val="single" w:sz="6" w:space="0" w:color="auto"/>
              <w:right w:val="single" w:sz="6" w:space="0" w:color="auto"/>
            </w:tcBorders>
            <w:vAlign w:val="center"/>
          </w:tcPr>
          <w:p w14:paraId="2677C05D" w14:textId="77777777" w:rsidR="00B97365" w:rsidRDefault="00000000">
            <w:pPr>
              <w:spacing w:after="120" w:line="276" w:lineRule="auto"/>
              <w:rPr>
                <w:rFonts w:cs="Arial"/>
                <w:b/>
                <w:sz w:val="16"/>
                <w:szCs w:val="16"/>
              </w:rPr>
            </w:pPr>
            <w:r>
              <w:rPr>
                <w:rFonts w:cs="Arial"/>
                <w:b/>
                <w:sz w:val="16"/>
                <w:szCs w:val="16"/>
                <w:lang w:eastAsia="en-GB" w:bidi="ar-SA"/>
              </w:rPr>
              <w:t>Binding Information</w:t>
            </w:r>
          </w:p>
        </w:tc>
        <w:tc>
          <w:tcPr>
            <w:tcW w:w="0" w:type="auto"/>
            <w:tcBorders>
              <w:top w:val="single" w:sz="6" w:space="0" w:color="auto"/>
              <w:left w:val="single" w:sz="6" w:space="0" w:color="auto"/>
              <w:bottom w:val="single" w:sz="6" w:space="0" w:color="auto"/>
              <w:right w:val="single" w:sz="4" w:space="0" w:color="auto"/>
            </w:tcBorders>
            <w:vAlign w:val="center"/>
          </w:tcPr>
          <w:p w14:paraId="5B1B7BFC"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Synchronous Request-Response</w:t>
            </w:r>
          </w:p>
        </w:tc>
      </w:tr>
      <w:tr w:rsidR="00B97365" w14:paraId="20F84D29" w14:textId="77777777">
        <w:trPr>
          <w:trHeight w:val="270"/>
          <w:jc w:val="center"/>
        </w:trPr>
        <w:tc>
          <w:tcPr>
            <w:tcW w:w="0" w:type="auto"/>
            <w:vMerge/>
            <w:tcBorders>
              <w:left w:val="single" w:sz="4" w:space="0" w:color="auto"/>
              <w:right w:val="single" w:sz="6" w:space="0" w:color="auto"/>
            </w:tcBorders>
            <w:vAlign w:val="center"/>
          </w:tcPr>
          <w:p w14:paraId="1B5F7367" w14:textId="77777777" w:rsidR="00B97365" w:rsidRDefault="00B97365">
            <w:pPr>
              <w:spacing w:before="0"/>
              <w:jc w:val="left"/>
              <w:rPr>
                <w:rFonts w:cs="Arial"/>
                <w:sz w:val="16"/>
                <w:szCs w:val="16"/>
                <w:lang w:eastAsia="en-GB" w:bidi="ar-SA"/>
              </w:rPr>
            </w:pPr>
          </w:p>
        </w:tc>
        <w:tc>
          <w:tcPr>
            <w:tcW w:w="0" w:type="auto"/>
            <w:tcBorders>
              <w:top w:val="single" w:sz="6" w:space="0" w:color="auto"/>
              <w:left w:val="single" w:sz="6" w:space="0" w:color="auto"/>
              <w:bottom w:val="single" w:sz="6" w:space="0" w:color="auto"/>
              <w:right w:val="single" w:sz="6" w:space="0" w:color="auto"/>
            </w:tcBorders>
            <w:vAlign w:val="center"/>
          </w:tcPr>
          <w:p w14:paraId="37DAE6D3" w14:textId="77777777" w:rsidR="00B97365" w:rsidRDefault="00000000">
            <w:pPr>
              <w:spacing w:after="120" w:line="276" w:lineRule="auto"/>
              <w:rPr>
                <w:rFonts w:cs="Arial"/>
                <w:b/>
                <w:sz w:val="16"/>
                <w:szCs w:val="16"/>
              </w:rPr>
            </w:pPr>
            <w:r>
              <w:rPr>
                <w:rFonts w:cs="Arial"/>
                <w:b/>
                <w:sz w:val="16"/>
                <w:szCs w:val="16"/>
              </w:rPr>
              <w:t>/wsa:Action  Request</w:t>
            </w:r>
          </w:p>
        </w:tc>
        <w:tc>
          <w:tcPr>
            <w:tcW w:w="0" w:type="auto"/>
            <w:tcBorders>
              <w:top w:val="single" w:sz="6" w:space="0" w:color="auto"/>
              <w:left w:val="single" w:sz="6" w:space="0" w:color="auto"/>
              <w:bottom w:val="single" w:sz="6" w:space="0" w:color="auto"/>
              <w:right w:val="single" w:sz="4" w:space="0" w:color="auto"/>
            </w:tcBorders>
            <w:vAlign w:val="center"/>
          </w:tcPr>
          <w:p w14:paraId="63D5ED2A"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http://gsma.com/ES1/eUICCManagement/ES1-UpdateEISAdditionalPropertiesRequest</w:t>
            </w:r>
          </w:p>
        </w:tc>
      </w:tr>
      <w:tr w:rsidR="00B97365" w14:paraId="739D2A1F" w14:textId="77777777">
        <w:trPr>
          <w:trHeight w:val="270"/>
          <w:jc w:val="center"/>
        </w:trPr>
        <w:tc>
          <w:tcPr>
            <w:tcW w:w="0" w:type="auto"/>
            <w:vMerge/>
            <w:tcBorders>
              <w:left w:val="single" w:sz="4" w:space="0" w:color="auto"/>
              <w:bottom w:val="single" w:sz="4" w:space="0" w:color="auto"/>
              <w:right w:val="single" w:sz="6" w:space="0" w:color="auto"/>
            </w:tcBorders>
            <w:vAlign w:val="center"/>
          </w:tcPr>
          <w:p w14:paraId="70B4DCC2" w14:textId="77777777" w:rsidR="00B97365" w:rsidRDefault="00B97365">
            <w:pPr>
              <w:spacing w:before="0"/>
              <w:jc w:val="left"/>
              <w:rPr>
                <w:rFonts w:cs="Arial"/>
                <w:sz w:val="16"/>
                <w:szCs w:val="16"/>
                <w:lang w:eastAsia="en-GB" w:bidi="ar-SA"/>
              </w:rPr>
            </w:pPr>
          </w:p>
        </w:tc>
        <w:tc>
          <w:tcPr>
            <w:tcW w:w="0" w:type="auto"/>
            <w:tcBorders>
              <w:top w:val="single" w:sz="6" w:space="0" w:color="auto"/>
              <w:left w:val="single" w:sz="6" w:space="0" w:color="auto"/>
              <w:bottom w:val="single" w:sz="4" w:space="0" w:color="auto"/>
              <w:right w:val="single" w:sz="6" w:space="0" w:color="auto"/>
            </w:tcBorders>
            <w:vAlign w:val="center"/>
          </w:tcPr>
          <w:p w14:paraId="6585E786" w14:textId="77777777" w:rsidR="00B97365" w:rsidRDefault="00000000">
            <w:pPr>
              <w:spacing w:after="120" w:line="276" w:lineRule="auto"/>
              <w:rPr>
                <w:rFonts w:cs="Arial"/>
                <w:b/>
                <w:sz w:val="16"/>
                <w:szCs w:val="16"/>
              </w:rPr>
            </w:pPr>
            <w:r>
              <w:rPr>
                <w:rFonts w:cs="Arial"/>
                <w:b/>
                <w:sz w:val="16"/>
                <w:szCs w:val="16"/>
              </w:rPr>
              <w:t xml:space="preserve">/wsa:Action  </w:t>
            </w:r>
          </w:p>
          <w:p w14:paraId="5D0FF2FE" w14:textId="77777777" w:rsidR="00B97365" w:rsidRDefault="00000000">
            <w:pPr>
              <w:spacing w:after="120" w:line="276" w:lineRule="auto"/>
              <w:rPr>
                <w:rFonts w:cs="Arial"/>
                <w:b/>
                <w:sz w:val="16"/>
                <w:szCs w:val="16"/>
              </w:rPr>
            </w:pPr>
            <w:r>
              <w:rPr>
                <w:rFonts w:cs="Arial"/>
                <w:b/>
                <w:sz w:val="16"/>
                <w:szCs w:val="16"/>
              </w:rPr>
              <w:t>Response</w:t>
            </w:r>
          </w:p>
        </w:tc>
        <w:tc>
          <w:tcPr>
            <w:tcW w:w="0" w:type="auto"/>
            <w:tcBorders>
              <w:top w:val="single" w:sz="6" w:space="0" w:color="auto"/>
              <w:left w:val="single" w:sz="6" w:space="0" w:color="auto"/>
              <w:bottom w:val="single" w:sz="4" w:space="0" w:color="auto"/>
              <w:right w:val="single" w:sz="4" w:space="0" w:color="auto"/>
            </w:tcBorders>
            <w:vAlign w:val="center"/>
          </w:tcPr>
          <w:p w14:paraId="47E9E904"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http://gsma.com/ES1/eUICCManagement/ES1-UpdateEISAdditionalPropertiesResponse</w:t>
            </w:r>
          </w:p>
        </w:tc>
      </w:tr>
    </w:tbl>
    <w:p w14:paraId="6F65E823" w14:textId="77777777" w:rsidR="00B97365" w:rsidRDefault="00000000">
      <w:pPr>
        <w:numPr>
          <w:ilvl w:val="0"/>
          <w:numId w:val="83"/>
        </w:numPr>
        <w:tabs>
          <w:tab w:val="left" w:pos="1009"/>
        </w:tabs>
        <w:spacing w:after="200" w:line="276" w:lineRule="auto"/>
        <w:jc w:val="center"/>
        <w:rPr>
          <w:rFonts w:cs="Arial"/>
          <w:b/>
          <w:lang w:eastAsia="de-DE" w:bidi="ar-SA"/>
        </w:rPr>
      </w:pPr>
      <w:r>
        <w:rPr>
          <w:rFonts w:cs="Arial"/>
          <w:b/>
          <w:lang w:eastAsia="de-DE" w:bidi="ar-SA"/>
        </w:rPr>
        <w:t xml:space="preserve">: ES1 Function Binding </w:t>
      </w:r>
    </w:p>
    <w:p w14:paraId="338770BD" w14:textId="77777777" w:rsidR="00B97365" w:rsidRDefault="00B97365">
      <w:pPr>
        <w:rPr>
          <w:rFonts w:cs="Calibri"/>
        </w:rPr>
      </w:pPr>
    </w:p>
    <w:p w14:paraId="6DFCDD65"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1859" w:name="_Toc448998370"/>
      <w:bookmarkStart w:id="11860" w:name="_Toc422150940"/>
      <w:bookmarkStart w:id="11861" w:name="_Toc421874525"/>
      <w:bookmarkStart w:id="11862" w:name="_Toc420595122"/>
      <w:bookmarkStart w:id="11863" w:name="_Toc398215096"/>
      <w:bookmarkStart w:id="11864" w:name="_Toc375158512"/>
      <w:bookmarkStart w:id="11865" w:name="_Toc374348674"/>
      <w:bookmarkStart w:id="11866" w:name="_Toc368932518"/>
      <w:bookmarkStart w:id="11867" w:name="_Toc486332987"/>
      <w:bookmarkStart w:id="11868" w:name="_Toc1977506"/>
      <w:bookmarkStart w:id="11869" w:name="_Toc37062665"/>
      <w:bookmarkStart w:id="11870" w:name="_Toc88839705"/>
      <w:bookmarkStart w:id="11871" w:name="_Toc121504113"/>
      <w:r>
        <w:rPr>
          <w:rFonts w:ascii="Arial Bold" w:hAnsi="Arial Bold"/>
          <w:sz w:val="24"/>
          <w:szCs w:val="24"/>
          <w:lang w:eastAsia="en-US"/>
        </w:rPr>
        <w:t>ES2</w:t>
      </w:r>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0"/>
        <w:gridCol w:w="1985"/>
        <w:gridCol w:w="4201"/>
      </w:tblGrid>
      <w:tr w:rsidR="00B97365" w14:paraId="6D7B0C46" w14:textId="77777777">
        <w:trPr>
          <w:trHeight w:val="327"/>
          <w:jc w:val="center"/>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8C66A9F" w14:textId="77777777" w:rsidR="00B97365" w:rsidRDefault="00000000">
            <w:pPr>
              <w:spacing w:after="200" w:line="276" w:lineRule="auto"/>
              <w:jc w:val="center"/>
              <w:rPr>
                <w:rFonts w:cs="Arial"/>
                <w:b/>
                <w:sz w:val="16"/>
                <w:szCs w:val="16"/>
                <w:lang w:eastAsia="en-GB" w:bidi="ar-SA"/>
              </w:rPr>
            </w:pPr>
            <w:r>
              <w:rPr>
                <w:rFonts w:cs="Arial"/>
                <w:b/>
                <w:sz w:val="16"/>
                <w:szCs w:val="16"/>
                <w:lang w:eastAsia="en-GB" w:bidi="ar-SA"/>
              </w:rPr>
              <w:t>Function name</w:t>
            </w:r>
          </w:p>
        </w:tc>
        <w:tc>
          <w:tcPr>
            <w:tcW w:w="6186" w:type="dxa"/>
            <w:gridSpan w:val="2"/>
            <w:tcBorders>
              <w:top w:val="single" w:sz="4" w:space="0" w:color="auto"/>
              <w:left w:val="single" w:sz="6" w:space="0" w:color="auto"/>
              <w:bottom w:val="single" w:sz="6" w:space="0" w:color="auto"/>
              <w:right w:val="single" w:sz="4" w:space="0" w:color="auto"/>
            </w:tcBorders>
            <w:shd w:val="clear" w:color="auto" w:fill="C00000"/>
            <w:vAlign w:val="center"/>
            <w:hideMark/>
          </w:tcPr>
          <w:p w14:paraId="0EF52437" w14:textId="77777777" w:rsidR="00B97365" w:rsidRDefault="00000000">
            <w:pPr>
              <w:spacing w:before="0" w:after="200" w:line="276" w:lineRule="auto"/>
              <w:jc w:val="center"/>
              <w:rPr>
                <w:rFonts w:cs="Arial"/>
                <w:b/>
                <w:sz w:val="16"/>
                <w:szCs w:val="16"/>
                <w:lang w:eastAsia="en-GB" w:bidi="ar-SA"/>
              </w:rPr>
            </w:pPr>
            <w:r>
              <w:rPr>
                <w:rFonts w:cs="Arial"/>
                <w:b/>
                <w:sz w:val="16"/>
                <w:szCs w:val="16"/>
                <w:lang w:eastAsia="en-GB" w:bidi="ar-SA"/>
              </w:rPr>
              <w:t>Binding Information</w:t>
            </w:r>
          </w:p>
        </w:tc>
      </w:tr>
      <w:tr w:rsidR="00B97365" w14:paraId="2B88CEB0"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2492BF69"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GetEIS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CC5DADD"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3D6A2135"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Synchronous Request-Response</w:t>
            </w:r>
          </w:p>
        </w:tc>
      </w:tr>
      <w:tr w:rsidR="00B97365" w14:paraId="49CB5AC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3A6E0703"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2A0FC619"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3A2F75EA" w14:textId="77777777" w:rsidR="00B97365" w:rsidRDefault="00000000">
            <w:pPr>
              <w:spacing w:before="0" w:after="200" w:line="276" w:lineRule="auto"/>
              <w:jc w:val="left"/>
              <w:rPr>
                <w:rFonts w:cs="Arial"/>
                <w:sz w:val="16"/>
                <w:szCs w:val="16"/>
                <w:lang w:eastAsia="en-GB" w:bidi="ar-SA"/>
              </w:rPr>
            </w:pPr>
            <w:hyperlink r:id="rId126" w:history="1">
              <w:r>
                <w:rPr>
                  <w:color w:val="0000FF"/>
                  <w:sz w:val="16"/>
                  <w:szCs w:val="16"/>
                  <w:u w:val="single"/>
                  <w:lang w:eastAsia="en-GB" w:bidi="ar-SA"/>
                </w:rPr>
                <w:t>http://gsma.com/ES2/DataPreparation/ES2-GetEISRequest</w:t>
              </w:r>
            </w:hyperlink>
          </w:p>
        </w:tc>
      </w:tr>
      <w:tr w:rsidR="00B97365" w14:paraId="7D4C923A"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965D2FE"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725C202E" w14:textId="77777777" w:rsidR="00B97365" w:rsidRDefault="00000000">
            <w:pPr>
              <w:spacing w:after="120" w:line="276" w:lineRule="auto"/>
              <w:rPr>
                <w:rFonts w:cs="Arial"/>
                <w:b/>
                <w:sz w:val="16"/>
                <w:szCs w:val="16"/>
              </w:rPr>
            </w:pPr>
            <w:r>
              <w:rPr>
                <w:rFonts w:cs="Arial"/>
                <w:b/>
                <w:sz w:val="16"/>
                <w:szCs w:val="16"/>
              </w:rPr>
              <w:t xml:space="preserve">/wsa:Action  </w:t>
            </w:r>
          </w:p>
          <w:p w14:paraId="534B709B"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102BD9BB" w14:textId="77777777" w:rsidR="00B97365" w:rsidRDefault="00000000">
            <w:pPr>
              <w:spacing w:before="0" w:after="200" w:line="276" w:lineRule="auto"/>
              <w:jc w:val="left"/>
              <w:rPr>
                <w:rFonts w:cs="Arial"/>
                <w:sz w:val="16"/>
                <w:szCs w:val="16"/>
                <w:lang w:eastAsia="en-GB" w:bidi="ar-SA"/>
              </w:rPr>
            </w:pPr>
            <w:hyperlink r:id="rId127" w:history="1">
              <w:r>
                <w:rPr>
                  <w:color w:val="0000FF"/>
                  <w:sz w:val="16"/>
                  <w:szCs w:val="16"/>
                  <w:u w:val="single"/>
                  <w:lang w:eastAsia="en-GB" w:bidi="ar-SA"/>
                </w:rPr>
                <w:t>http://gsma.com/ES2/DataPreparation/ES2-GetEISResponse</w:t>
              </w:r>
            </w:hyperlink>
          </w:p>
        </w:tc>
      </w:tr>
      <w:tr w:rsidR="00B97365" w14:paraId="53150300"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7D92BD38"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DownloadProfile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0171FAD1"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0CAFE5F1"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Asynchronous Request-Response with CallBack</w:t>
            </w:r>
          </w:p>
        </w:tc>
      </w:tr>
      <w:tr w:rsidR="00B97365" w14:paraId="1C3C0348"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68210208"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5557EC22"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290ABE87" w14:textId="77777777" w:rsidR="00B97365" w:rsidRDefault="00000000">
            <w:pPr>
              <w:spacing w:before="0" w:after="200" w:line="276" w:lineRule="auto"/>
              <w:jc w:val="left"/>
              <w:rPr>
                <w:rFonts w:cs="Arial"/>
                <w:sz w:val="16"/>
                <w:szCs w:val="16"/>
                <w:lang w:eastAsia="en-GB" w:bidi="ar-SA"/>
              </w:rPr>
            </w:pPr>
            <w:hyperlink r:id="rId128" w:history="1">
              <w:r>
                <w:rPr>
                  <w:color w:val="0000FF"/>
                  <w:sz w:val="16"/>
                  <w:szCs w:val="16"/>
                  <w:u w:val="single"/>
                  <w:lang w:eastAsia="en-GB" w:bidi="ar-SA"/>
                </w:rPr>
                <w:t>http://gsma.com/ES2/ProfileManagement/ES2-DownloadProfile</w:t>
              </w:r>
            </w:hyperlink>
          </w:p>
        </w:tc>
      </w:tr>
      <w:tr w:rsidR="00B97365" w14:paraId="36867CB4"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556AA83"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28D836C3" w14:textId="77777777" w:rsidR="00B97365" w:rsidRDefault="00000000">
            <w:pPr>
              <w:spacing w:after="120" w:line="276" w:lineRule="auto"/>
              <w:rPr>
                <w:rFonts w:cs="Arial"/>
                <w:b/>
                <w:sz w:val="16"/>
                <w:szCs w:val="16"/>
              </w:rPr>
            </w:pPr>
            <w:r>
              <w:rPr>
                <w:rFonts w:cs="Arial"/>
                <w:b/>
                <w:sz w:val="16"/>
                <w:szCs w:val="16"/>
              </w:rPr>
              <w:t xml:space="preserve">/wsa:Action  </w:t>
            </w:r>
          </w:p>
          <w:p w14:paraId="09B9A225"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318E2DF9" w14:textId="77777777" w:rsidR="00B97365" w:rsidRDefault="00000000">
            <w:pPr>
              <w:spacing w:before="0" w:after="200" w:line="276" w:lineRule="auto"/>
              <w:jc w:val="left"/>
              <w:rPr>
                <w:rFonts w:cs="Arial"/>
                <w:sz w:val="16"/>
                <w:szCs w:val="16"/>
                <w:lang w:eastAsia="en-GB" w:bidi="ar-SA"/>
              </w:rPr>
            </w:pPr>
            <w:hyperlink r:id="rId129" w:history="1">
              <w:r>
                <w:rPr>
                  <w:rFonts w:cs="Arial"/>
                  <w:color w:val="0000FF"/>
                  <w:sz w:val="16"/>
                  <w:szCs w:val="16"/>
                  <w:u w:val="single"/>
                  <w:lang w:eastAsia="en-GB" w:bidi="ar-SA"/>
                </w:rPr>
                <w:t>http://gsma.com/ES2/ProfileManagementCallback/ES2-DownloadProfile</w:t>
              </w:r>
            </w:hyperlink>
          </w:p>
        </w:tc>
      </w:tr>
      <w:tr w:rsidR="00B97365" w14:paraId="2B2F0B46"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606AD7A9"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UpdatePolicyRules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7DE0592A"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22C99A3E"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Synchronous Request-Response</w:t>
            </w:r>
          </w:p>
        </w:tc>
      </w:tr>
      <w:tr w:rsidR="00B97365" w14:paraId="30E8790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6D05299"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40FD8D13"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5A19F568" w14:textId="77777777" w:rsidR="00B97365" w:rsidRDefault="00000000">
            <w:pPr>
              <w:spacing w:before="0" w:after="200" w:line="276" w:lineRule="auto"/>
              <w:jc w:val="left"/>
              <w:rPr>
                <w:rFonts w:cs="Arial"/>
                <w:sz w:val="16"/>
                <w:szCs w:val="16"/>
                <w:lang w:eastAsia="en-GB" w:bidi="ar-SA"/>
              </w:rPr>
            </w:pPr>
            <w:hyperlink r:id="rId130" w:history="1">
              <w:r>
                <w:rPr>
                  <w:color w:val="0000FF"/>
                  <w:sz w:val="16"/>
                  <w:szCs w:val="16"/>
                  <w:u w:val="single"/>
                  <w:lang w:eastAsia="en-GB" w:bidi="ar-SA"/>
                </w:rPr>
                <w:t>http://gsma.com/ES2/ProfileManagement/ES2-UpdatePolicyRules</w:t>
              </w:r>
            </w:hyperlink>
            <w:r>
              <w:rPr>
                <w:color w:val="0000FF"/>
                <w:sz w:val="16"/>
                <w:szCs w:val="16"/>
                <w:u w:val="single"/>
                <w:lang w:eastAsia="en-GB" w:bidi="ar-SA"/>
              </w:rPr>
              <w:t>Request</w:t>
            </w:r>
          </w:p>
        </w:tc>
      </w:tr>
      <w:tr w:rsidR="00B97365" w14:paraId="6F1041B9"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617746F3"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37E9B078" w14:textId="77777777" w:rsidR="00B97365" w:rsidRDefault="00000000">
            <w:pPr>
              <w:spacing w:after="120" w:line="276" w:lineRule="auto"/>
              <w:rPr>
                <w:rFonts w:cs="Arial"/>
                <w:b/>
                <w:sz w:val="16"/>
                <w:szCs w:val="16"/>
              </w:rPr>
            </w:pPr>
            <w:r>
              <w:rPr>
                <w:rFonts w:cs="Arial"/>
                <w:b/>
                <w:sz w:val="16"/>
                <w:szCs w:val="16"/>
              </w:rPr>
              <w:t xml:space="preserve">/wsa:Action  </w:t>
            </w:r>
          </w:p>
          <w:p w14:paraId="1B23BD6B"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452672D5"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http://gsma.com/ES2/ProfileManagement/ES2-UpdatePolicyRulesResponse</w:t>
            </w:r>
          </w:p>
        </w:tc>
      </w:tr>
      <w:tr w:rsidR="00B97365" w14:paraId="66009972"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5DB64912"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UpdateSubscriptionAddress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51E22EA"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602E29A5"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Synchronous Request-Response</w:t>
            </w:r>
          </w:p>
        </w:tc>
      </w:tr>
      <w:tr w:rsidR="00B97365" w14:paraId="1E3E2EDD"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00BA9F1"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1A83623D"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3D5C6FEA"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http://gsma.com/ES2/ProfileManagement/ES2-UpdateSubscriptionAddressRequest</w:t>
            </w:r>
          </w:p>
        </w:tc>
      </w:tr>
      <w:tr w:rsidR="00B97365" w14:paraId="25004D9D"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5298995E"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4340971F" w14:textId="77777777" w:rsidR="00B97365" w:rsidRDefault="00000000">
            <w:pPr>
              <w:spacing w:after="120" w:line="276" w:lineRule="auto"/>
              <w:rPr>
                <w:rFonts w:cs="Arial"/>
                <w:b/>
                <w:sz w:val="16"/>
                <w:szCs w:val="16"/>
              </w:rPr>
            </w:pPr>
            <w:r>
              <w:rPr>
                <w:rFonts w:cs="Arial"/>
                <w:b/>
                <w:sz w:val="16"/>
                <w:szCs w:val="16"/>
              </w:rPr>
              <w:t xml:space="preserve">/wsa:Action  </w:t>
            </w:r>
          </w:p>
          <w:p w14:paraId="1FF2504A"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2DFEDA0F" w14:textId="77777777" w:rsidR="00B97365" w:rsidRDefault="00000000">
            <w:pPr>
              <w:spacing w:before="0" w:after="200" w:line="276" w:lineRule="auto"/>
              <w:jc w:val="left"/>
              <w:rPr>
                <w:rFonts w:cs="Arial"/>
                <w:sz w:val="16"/>
                <w:szCs w:val="16"/>
                <w:lang w:eastAsia="en-GB" w:bidi="ar-SA"/>
              </w:rPr>
            </w:pPr>
            <w:hyperlink r:id="rId131" w:history="1">
              <w:r>
                <w:rPr>
                  <w:color w:val="0000FF"/>
                  <w:sz w:val="16"/>
                  <w:szCs w:val="16"/>
                  <w:u w:val="single"/>
                </w:rPr>
                <w:t>http://gsma.com/ES2/ProfileManagement/ES2-UpdateSubscriptionAddressResponse</w:t>
              </w:r>
            </w:hyperlink>
          </w:p>
        </w:tc>
      </w:tr>
      <w:tr w:rsidR="00B97365" w14:paraId="3F96A08D"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17AE438C"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EnableProfile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13621E97"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363C3A55"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Asynchronous Request-Response with CallBack</w:t>
            </w:r>
          </w:p>
        </w:tc>
      </w:tr>
      <w:tr w:rsidR="00B97365" w14:paraId="08BA61B4"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09A1A9E"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02FBC744"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10182118" w14:textId="77777777" w:rsidR="00B97365" w:rsidRDefault="00000000">
            <w:pPr>
              <w:spacing w:before="0" w:after="200" w:line="276" w:lineRule="auto"/>
              <w:jc w:val="left"/>
              <w:rPr>
                <w:rFonts w:cs="Arial"/>
                <w:sz w:val="16"/>
                <w:szCs w:val="16"/>
                <w:lang w:eastAsia="en-GB" w:bidi="ar-SA"/>
              </w:rPr>
            </w:pPr>
            <w:hyperlink r:id="rId132" w:history="1">
              <w:r>
                <w:rPr>
                  <w:color w:val="0000FF"/>
                  <w:sz w:val="16"/>
                  <w:szCs w:val="16"/>
                  <w:u w:val="single"/>
                  <w:lang w:eastAsia="en-GB" w:bidi="ar-SA"/>
                </w:rPr>
                <w:t>http://gsma.com/ES2/PlatformManagement/ES2-EnableProfile</w:t>
              </w:r>
            </w:hyperlink>
          </w:p>
        </w:tc>
      </w:tr>
      <w:tr w:rsidR="00B97365" w14:paraId="0D5696E0"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7142E18C"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2DD3A9AD" w14:textId="77777777" w:rsidR="00B97365" w:rsidRDefault="00000000">
            <w:pPr>
              <w:spacing w:after="120" w:line="276" w:lineRule="auto"/>
              <w:rPr>
                <w:rFonts w:cs="Arial"/>
                <w:b/>
                <w:sz w:val="16"/>
                <w:szCs w:val="16"/>
              </w:rPr>
            </w:pPr>
            <w:r>
              <w:rPr>
                <w:rFonts w:cs="Arial"/>
                <w:b/>
                <w:sz w:val="16"/>
                <w:szCs w:val="16"/>
              </w:rPr>
              <w:t xml:space="preserve">/wsa:Action  </w:t>
            </w:r>
          </w:p>
          <w:p w14:paraId="2C212864"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0F17564E"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http://gsma.com/ES2/PlatformManagementCallback/ES2-EnableProfile</w:t>
            </w:r>
          </w:p>
        </w:tc>
      </w:tr>
      <w:tr w:rsidR="00B97365" w14:paraId="396E45A3"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4DE6CD1E"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DisableProfile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A57C527"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04332710"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Asynchronous Request-Response with CallBack</w:t>
            </w:r>
          </w:p>
        </w:tc>
      </w:tr>
      <w:tr w:rsidR="00B97365" w14:paraId="7662F9E7"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56725A3A"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7BFC3F01"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170A04B3" w14:textId="77777777" w:rsidR="00B97365" w:rsidRDefault="00000000">
            <w:pPr>
              <w:spacing w:before="0" w:after="200" w:line="276" w:lineRule="auto"/>
              <w:jc w:val="left"/>
              <w:rPr>
                <w:rFonts w:cs="Arial"/>
                <w:sz w:val="16"/>
                <w:szCs w:val="16"/>
                <w:lang w:eastAsia="en-GB" w:bidi="ar-SA"/>
              </w:rPr>
            </w:pPr>
            <w:hyperlink r:id="rId133" w:history="1">
              <w:r>
                <w:rPr>
                  <w:color w:val="0000FF"/>
                  <w:sz w:val="16"/>
                  <w:szCs w:val="16"/>
                  <w:u w:val="single"/>
                  <w:lang w:eastAsia="en-GB" w:bidi="ar-SA"/>
                </w:rPr>
                <w:t>http://gsma.com/ES2/PlatformManagement/ES2-DisableProfile</w:t>
              </w:r>
            </w:hyperlink>
          </w:p>
        </w:tc>
      </w:tr>
      <w:tr w:rsidR="00B97365" w14:paraId="6F092395"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E19F992"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55882A2F" w14:textId="77777777" w:rsidR="00B97365" w:rsidRDefault="00000000">
            <w:pPr>
              <w:spacing w:after="120" w:line="276" w:lineRule="auto"/>
              <w:rPr>
                <w:rFonts w:cs="Arial"/>
                <w:b/>
                <w:sz w:val="16"/>
                <w:szCs w:val="16"/>
              </w:rPr>
            </w:pPr>
            <w:r>
              <w:rPr>
                <w:rFonts w:cs="Arial"/>
                <w:b/>
                <w:sz w:val="16"/>
                <w:szCs w:val="16"/>
              </w:rPr>
              <w:t xml:space="preserve">/wsa:Action  </w:t>
            </w:r>
          </w:p>
          <w:p w14:paraId="63C7263D"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6A12D1D7"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http://gsma.com/ES2/PlatformManagementCallback/ES2-DisableProfile</w:t>
            </w:r>
          </w:p>
        </w:tc>
      </w:tr>
      <w:tr w:rsidR="00B97365" w14:paraId="04019D9A"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4CA6FC58"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DeleteProfile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D2BA77E"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4EC55959"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Asynchronous Request-Response with CallBack</w:t>
            </w:r>
          </w:p>
        </w:tc>
      </w:tr>
      <w:tr w:rsidR="00B97365" w14:paraId="4E78FDE9"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D07D07F"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3FD670C7"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20B15790" w14:textId="77777777" w:rsidR="00B97365" w:rsidRDefault="00000000">
            <w:pPr>
              <w:spacing w:before="0" w:after="200" w:line="276" w:lineRule="auto"/>
              <w:jc w:val="left"/>
              <w:rPr>
                <w:rFonts w:cs="Arial"/>
                <w:sz w:val="16"/>
                <w:szCs w:val="16"/>
                <w:lang w:eastAsia="en-GB" w:bidi="ar-SA"/>
              </w:rPr>
            </w:pPr>
            <w:hyperlink r:id="rId134" w:history="1">
              <w:r>
                <w:rPr>
                  <w:color w:val="0000FF"/>
                  <w:sz w:val="16"/>
                  <w:szCs w:val="16"/>
                  <w:u w:val="single"/>
                  <w:lang w:eastAsia="en-GB" w:bidi="ar-SA"/>
                </w:rPr>
                <w:t>http://gsma.com/ES2/PlatformManagement/ES2-DeleteProfile</w:t>
              </w:r>
            </w:hyperlink>
          </w:p>
        </w:tc>
      </w:tr>
      <w:tr w:rsidR="00B97365" w14:paraId="19B8DE26"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2B1C23E"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48757BE5" w14:textId="77777777" w:rsidR="00B97365" w:rsidRDefault="00000000">
            <w:pPr>
              <w:spacing w:after="120" w:line="276" w:lineRule="auto"/>
              <w:rPr>
                <w:rFonts w:cs="Arial"/>
                <w:b/>
                <w:sz w:val="16"/>
                <w:szCs w:val="16"/>
              </w:rPr>
            </w:pPr>
            <w:r>
              <w:rPr>
                <w:rFonts w:cs="Arial"/>
                <w:b/>
                <w:sz w:val="16"/>
                <w:szCs w:val="16"/>
              </w:rPr>
              <w:t xml:space="preserve">/wsa:Action  </w:t>
            </w:r>
          </w:p>
          <w:p w14:paraId="5E1EE2F2"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61F54730"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http://gsma.com/ES2/PlatformManagementCallback/ES2-DeleteProfile</w:t>
            </w:r>
          </w:p>
        </w:tc>
      </w:tr>
      <w:tr w:rsidR="00B97365" w14:paraId="4ACA257B"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642F05E2"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HandleProfileDisabledNotification</w:t>
            </w:r>
          </w:p>
        </w:tc>
        <w:tc>
          <w:tcPr>
            <w:tcW w:w="1985" w:type="dxa"/>
            <w:tcBorders>
              <w:top w:val="single" w:sz="6" w:space="0" w:color="auto"/>
              <w:left w:val="single" w:sz="6" w:space="0" w:color="auto"/>
              <w:bottom w:val="single" w:sz="6" w:space="0" w:color="auto"/>
              <w:right w:val="single" w:sz="6" w:space="0" w:color="auto"/>
            </w:tcBorders>
            <w:vAlign w:val="center"/>
            <w:hideMark/>
          </w:tcPr>
          <w:p w14:paraId="7B01A423"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0902C848"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Notification (One-Way)</w:t>
            </w:r>
          </w:p>
        </w:tc>
      </w:tr>
      <w:tr w:rsidR="00B97365" w14:paraId="2C7F8738"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80CC9C8"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2DA5DF4A"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4F73E75C"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http://gsma.com/ES2/PlatformManagement/ES2-HandleProfileDisabledNotification</w:t>
            </w:r>
          </w:p>
        </w:tc>
      </w:tr>
      <w:tr w:rsidR="00B97365" w14:paraId="5AE94BD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33733E2B"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6724D4C1" w14:textId="77777777" w:rsidR="00B97365" w:rsidRDefault="00000000">
            <w:pPr>
              <w:spacing w:after="120" w:line="276" w:lineRule="auto"/>
              <w:rPr>
                <w:rFonts w:cs="Arial"/>
                <w:b/>
                <w:sz w:val="16"/>
                <w:szCs w:val="16"/>
              </w:rPr>
            </w:pPr>
            <w:r>
              <w:rPr>
                <w:rFonts w:cs="Arial"/>
                <w:b/>
                <w:sz w:val="16"/>
                <w:szCs w:val="16"/>
              </w:rPr>
              <w:t xml:space="preserve">/wsa:Action  </w:t>
            </w:r>
          </w:p>
          <w:p w14:paraId="0B02E7DA"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098553B7"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(none)</w:t>
            </w:r>
          </w:p>
        </w:tc>
      </w:tr>
      <w:tr w:rsidR="00B97365" w14:paraId="344A7EB4"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430ECE45"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HandleProfileEnabledNotification</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A0C0722"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2A7A6391"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Notification (One-Way)</w:t>
            </w:r>
          </w:p>
        </w:tc>
      </w:tr>
      <w:tr w:rsidR="00B97365" w14:paraId="74627570"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8EB8EBE"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6FCFD035"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12738282"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http://gsma.com/ES2/PlatformManagement/ES2-HandleProfileEnabledNotification</w:t>
            </w:r>
          </w:p>
        </w:tc>
      </w:tr>
      <w:tr w:rsidR="00B97365" w14:paraId="55C368FC"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0403D15"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3B73F79E" w14:textId="77777777" w:rsidR="00B97365" w:rsidRDefault="00000000">
            <w:pPr>
              <w:spacing w:after="120" w:line="276" w:lineRule="auto"/>
              <w:rPr>
                <w:rFonts w:cs="Arial"/>
                <w:b/>
                <w:sz w:val="16"/>
                <w:szCs w:val="16"/>
              </w:rPr>
            </w:pPr>
            <w:r>
              <w:rPr>
                <w:rFonts w:cs="Arial"/>
                <w:b/>
                <w:sz w:val="16"/>
                <w:szCs w:val="16"/>
              </w:rPr>
              <w:t xml:space="preserve">/wsa:Action  </w:t>
            </w:r>
          </w:p>
          <w:p w14:paraId="6AEF2996"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741B48C3"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(none)</w:t>
            </w:r>
          </w:p>
        </w:tc>
      </w:tr>
      <w:tr w:rsidR="00B97365" w14:paraId="7FF36BC9"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tcPr>
          <w:p w14:paraId="449F6709"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lastRenderedPageBreak/>
              <w:t>HandleSMSRChangeNotification</w:t>
            </w:r>
          </w:p>
          <w:p w14:paraId="324095CB" w14:textId="77777777" w:rsidR="00B97365" w:rsidRDefault="00B97365">
            <w:pPr>
              <w:spacing w:after="200" w:line="276" w:lineRule="auto"/>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72BF5832"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31A772FF"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Notification (One-Way)</w:t>
            </w:r>
          </w:p>
        </w:tc>
      </w:tr>
      <w:tr w:rsidR="00B97365" w14:paraId="520A51C2"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387B0557"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6288B63E"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31C447FC"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http://gsma.com/ES2/PlatformManagement/ES2-HandleSMSRChangeNotification</w:t>
            </w:r>
          </w:p>
        </w:tc>
      </w:tr>
      <w:tr w:rsidR="00B97365" w14:paraId="1194C8CE"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70EF56B1"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28DDAEA0" w14:textId="77777777" w:rsidR="00B97365" w:rsidRDefault="00000000">
            <w:pPr>
              <w:spacing w:after="120" w:line="276" w:lineRule="auto"/>
              <w:rPr>
                <w:rFonts w:cs="Arial"/>
                <w:b/>
                <w:sz w:val="16"/>
                <w:szCs w:val="16"/>
              </w:rPr>
            </w:pPr>
            <w:r>
              <w:rPr>
                <w:rFonts w:cs="Arial"/>
                <w:b/>
                <w:sz w:val="16"/>
                <w:szCs w:val="16"/>
              </w:rPr>
              <w:t xml:space="preserve">/wsa:Action  </w:t>
            </w:r>
          </w:p>
          <w:p w14:paraId="5B81005F"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7EF82AF4"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(none)</w:t>
            </w:r>
          </w:p>
        </w:tc>
      </w:tr>
      <w:tr w:rsidR="00B97365" w14:paraId="6DC4EDCC" w14:textId="77777777">
        <w:trPr>
          <w:trHeight w:val="128"/>
          <w:jc w:val="center"/>
        </w:trPr>
        <w:tc>
          <w:tcPr>
            <w:tcW w:w="2830" w:type="dxa"/>
            <w:vMerge w:val="restart"/>
            <w:tcBorders>
              <w:top w:val="single" w:sz="6" w:space="0" w:color="auto"/>
              <w:left w:val="single" w:sz="4" w:space="0" w:color="auto"/>
              <w:bottom w:val="single" w:sz="4" w:space="0" w:color="auto"/>
              <w:right w:val="single" w:sz="6" w:space="0" w:color="auto"/>
            </w:tcBorders>
            <w:vAlign w:val="center"/>
            <w:hideMark/>
          </w:tcPr>
          <w:p w14:paraId="13E84B8C"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HandleProfileDeletedNotification</w:t>
            </w:r>
          </w:p>
        </w:tc>
        <w:tc>
          <w:tcPr>
            <w:tcW w:w="1985" w:type="dxa"/>
            <w:tcBorders>
              <w:top w:val="single" w:sz="6" w:space="0" w:color="auto"/>
              <w:left w:val="single" w:sz="6" w:space="0" w:color="auto"/>
              <w:bottom w:val="single" w:sz="6" w:space="0" w:color="auto"/>
              <w:right w:val="single" w:sz="6" w:space="0" w:color="auto"/>
            </w:tcBorders>
            <w:vAlign w:val="center"/>
            <w:hideMark/>
          </w:tcPr>
          <w:p w14:paraId="51A702FD" w14:textId="77777777" w:rsidR="00B97365" w:rsidRDefault="00000000">
            <w:pPr>
              <w:spacing w:before="0" w:after="200" w:line="276" w:lineRule="auto"/>
              <w:jc w:val="left"/>
              <w:rPr>
                <w:rFonts w:cs="Arial"/>
                <w:b/>
                <w:sz w:val="16"/>
                <w:szCs w:val="16"/>
                <w:lang w:eastAsia="en-GB" w:bidi="ar-SA"/>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hideMark/>
          </w:tcPr>
          <w:p w14:paraId="0F2A888B"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Notification (One-Way)</w:t>
            </w:r>
          </w:p>
        </w:tc>
      </w:tr>
      <w:tr w:rsidR="00B97365" w14:paraId="7C576C2B" w14:textId="77777777">
        <w:trPr>
          <w:trHeight w:val="126"/>
          <w:jc w:val="center"/>
        </w:trPr>
        <w:tc>
          <w:tcPr>
            <w:tcW w:w="2830" w:type="dxa"/>
            <w:vMerge/>
            <w:tcBorders>
              <w:top w:val="single" w:sz="6" w:space="0" w:color="auto"/>
              <w:left w:val="single" w:sz="4" w:space="0" w:color="auto"/>
              <w:bottom w:val="single" w:sz="4" w:space="0" w:color="auto"/>
              <w:right w:val="single" w:sz="6" w:space="0" w:color="auto"/>
            </w:tcBorders>
            <w:vAlign w:val="center"/>
            <w:hideMark/>
          </w:tcPr>
          <w:p w14:paraId="36E398E1"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546CCD9F"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hideMark/>
          </w:tcPr>
          <w:p w14:paraId="6D193D74"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http://gsma.com/ES2/PlatformManagement/ES2-HandleProfileDeletedNotification</w:t>
            </w:r>
          </w:p>
        </w:tc>
      </w:tr>
      <w:tr w:rsidR="00B97365" w14:paraId="364D03F7" w14:textId="77777777">
        <w:trPr>
          <w:trHeight w:val="126"/>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0DDB684"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14AFBA66" w14:textId="77777777" w:rsidR="00B97365" w:rsidRDefault="00000000">
            <w:pPr>
              <w:spacing w:after="120" w:line="276" w:lineRule="auto"/>
              <w:rPr>
                <w:rFonts w:cs="Arial"/>
                <w:b/>
                <w:sz w:val="16"/>
                <w:szCs w:val="16"/>
              </w:rPr>
            </w:pPr>
            <w:r>
              <w:rPr>
                <w:rFonts w:cs="Arial"/>
                <w:b/>
                <w:sz w:val="16"/>
                <w:szCs w:val="16"/>
              </w:rPr>
              <w:t xml:space="preserve">/wsa:Action  </w:t>
            </w:r>
          </w:p>
          <w:p w14:paraId="348EA9BB" w14:textId="77777777" w:rsidR="00B97365" w:rsidRDefault="00000000">
            <w:pPr>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hideMark/>
          </w:tcPr>
          <w:p w14:paraId="60123A22"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(none)</w:t>
            </w:r>
          </w:p>
        </w:tc>
      </w:tr>
      <w:tr w:rsidR="00B97365" w14:paraId="14A1EB99" w14:textId="77777777">
        <w:trPr>
          <w:trHeight w:val="126"/>
          <w:jc w:val="center"/>
        </w:trPr>
        <w:tc>
          <w:tcPr>
            <w:tcW w:w="2830" w:type="dxa"/>
            <w:vMerge w:val="restart"/>
            <w:tcBorders>
              <w:top w:val="single" w:sz="6" w:space="0" w:color="auto"/>
              <w:left w:val="single" w:sz="4" w:space="0" w:color="auto"/>
              <w:right w:val="single" w:sz="6" w:space="0" w:color="auto"/>
            </w:tcBorders>
            <w:vAlign w:val="center"/>
          </w:tcPr>
          <w:p w14:paraId="439DFDDC" w14:textId="77777777" w:rsidR="00B97365" w:rsidRDefault="00000000">
            <w:pPr>
              <w:spacing w:before="0"/>
              <w:jc w:val="left"/>
              <w:rPr>
                <w:rFonts w:cs="Arial"/>
                <w:sz w:val="16"/>
                <w:szCs w:val="16"/>
                <w:lang w:eastAsia="en-GB" w:bidi="ar-SA"/>
              </w:rPr>
            </w:pPr>
            <w:r>
              <w:rPr>
                <w:rFonts w:cs="Arial"/>
                <w:sz w:val="16"/>
                <w:szCs w:val="16"/>
                <w:lang w:eastAsia="en-GB" w:bidi="ar-SA"/>
              </w:rPr>
              <w:t>AuditEIS</w:t>
            </w:r>
          </w:p>
        </w:tc>
        <w:tc>
          <w:tcPr>
            <w:tcW w:w="1985" w:type="dxa"/>
            <w:tcBorders>
              <w:top w:val="single" w:sz="6" w:space="0" w:color="auto"/>
              <w:left w:val="single" w:sz="6" w:space="0" w:color="auto"/>
              <w:bottom w:val="single" w:sz="6" w:space="0" w:color="auto"/>
              <w:right w:val="single" w:sz="6" w:space="0" w:color="auto"/>
            </w:tcBorders>
            <w:vAlign w:val="center"/>
          </w:tcPr>
          <w:p w14:paraId="1F20C6AD"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4772A7F3" w14:textId="77777777" w:rsidR="00B97365" w:rsidRDefault="00000000">
            <w:pPr>
              <w:spacing w:before="0" w:after="200" w:line="276" w:lineRule="auto"/>
              <w:jc w:val="left"/>
              <w:rPr>
                <w:rFonts w:cs="Arial"/>
                <w:sz w:val="16"/>
                <w:szCs w:val="16"/>
                <w:lang w:eastAsia="en-GB" w:bidi="ar-SA"/>
              </w:rPr>
            </w:pPr>
            <w:r>
              <w:rPr>
                <w:rFonts w:cs="Arial"/>
                <w:sz w:val="16"/>
                <w:szCs w:val="16"/>
              </w:rPr>
              <w:t>Asynchronous Request-Response with CallBack</w:t>
            </w:r>
          </w:p>
        </w:tc>
      </w:tr>
      <w:tr w:rsidR="00B97365" w14:paraId="2AF60DD9" w14:textId="77777777">
        <w:trPr>
          <w:trHeight w:val="126"/>
          <w:jc w:val="center"/>
        </w:trPr>
        <w:tc>
          <w:tcPr>
            <w:tcW w:w="2830" w:type="dxa"/>
            <w:vMerge/>
            <w:tcBorders>
              <w:left w:val="single" w:sz="4" w:space="0" w:color="auto"/>
              <w:right w:val="single" w:sz="6" w:space="0" w:color="auto"/>
            </w:tcBorders>
            <w:vAlign w:val="center"/>
          </w:tcPr>
          <w:p w14:paraId="22D809A7"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54F70091"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22DD9DA8" w14:textId="77777777" w:rsidR="00B97365" w:rsidRDefault="00000000">
            <w:pPr>
              <w:spacing w:before="0" w:after="200" w:line="276" w:lineRule="auto"/>
              <w:jc w:val="left"/>
              <w:rPr>
                <w:rFonts w:cs="Arial"/>
                <w:sz w:val="16"/>
                <w:szCs w:val="16"/>
                <w:lang w:eastAsia="en-GB" w:bidi="ar-SA"/>
              </w:rPr>
            </w:pPr>
            <w:hyperlink r:id="rId135" w:history="1">
              <w:r>
                <w:rPr>
                  <w:color w:val="0000FF"/>
                  <w:sz w:val="16"/>
                  <w:szCs w:val="16"/>
                  <w:u w:val="single"/>
                </w:rPr>
                <w:t>http://gsma.com/ES2/ProfileManagement/ES2-AuditEIS</w:t>
              </w:r>
            </w:hyperlink>
          </w:p>
        </w:tc>
      </w:tr>
      <w:tr w:rsidR="00B97365" w14:paraId="540345CB" w14:textId="77777777">
        <w:trPr>
          <w:trHeight w:val="126"/>
          <w:jc w:val="center"/>
        </w:trPr>
        <w:tc>
          <w:tcPr>
            <w:tcW w:w="2830" w:type="dxa"/>
            <w:vMerge/>
            <w:tcBorders>
              <w:left w:val="single" w:sz="4" w:space="0" w:color="auto"/>
              <w:bottom w:val="single" w:sz="4" w:space="0" w:color="auto"/>
              <w:right w:val="single" w:sz="6" w:space="0" w:color="auto"/>
            </w:tcBorders>
            <w:vAlign w:val="center"/>
          </w:tcPr>
          <w:p w14:paraId="3C7E132D"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4" w:space="0" w:color="auto"/>
              <w:right w:val="single" w:sz="6" w:space="0" w:color="auto"/>
            </w:tcBorders>
            <w:vAlign w:val="center"/>
          </w:tcPr>
          <w:p w14:paraId="4BB27AEA"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4" w:space="0" w:color="auto"/>
              <w:right w:val="single" w:sz="4" w:space="0" w:color="auto"/>
            </w:tcBorders>
            <w:vAlign w:val="center"/>
          </w:tcPr>
          <w:p w14:paraId="19224D7C" w14:textId="77777777" w:rsidR="00B97365" w:rsidRDefault="00000000">
            <w:pPr>
              <w:spacing w:before="0" w:after="200" w:line="276" w:lineRule="auto"/>
              <w:jc w:val="left"/>
              <w:rPr>
                <w:rFonts w:cs="Arial"/>
                <w:sz w:val="16"/>
                <w:szCs w:val="16"/>
                <w:lang w:eastAsia="en-GB" w:bidi="ar-SA"/>
              </w:rPr>
            </w:pPr>
            <w:hyperlink r:id="rId136" w:history="1">
              <w:r>
                <w:rPr>
                  <w:color w:val="0000FF"/>
                  <w:sz w:val="16"/>
                  <w:szCs w:val="16"/>
                  <w:u w:val="single"/>
                </w:rPr>
                <w:t>http://gsma.com/ES2/ProfileManagementCallBack/ES2-AuditEIS</w:t>
              </w:r>
            </w:hyperlink>
          </w:p>
        </w:tc>
      </w:tr>
      <w:tr w:rsidR="00B97365" w14:paraId="03E9AB22" w14:textId="77777777">
        <w:trPr>
          <w:trHeight w:val="126"/>
          <w:jc w:val="center"/>
        </w:trPr>
        <w:tc>
          <w:tcPr>
            <w:tcW w:w="2830" w:type="dxa"/>
            <w:vMerge w:val="restart"/>
            <w:tcBorders>
              <w:left w:val="single" w:sz="4" w:space="0" w:color="auto"/>
              <w:right w:val="single" w:sz="6" w:space="0" w:color="auto"/>
            </w:tcBorders>
            <w:vAlign w:val="center"/>
          </w:tcPr>
          <w:p w14:paraId="1C995BFC" w14:textId="77777777" w:rsidR="00B97365" w:rsidRDefault="00000000">
            <w:pPr>
              <w:spacing w:before="0"/>
              <w:jc w:val="left"/>
              <w:rPr>
                <w:rFonts w:cs="Arial"/>
                <w:sz w:val="16"/>
                <w:szCs w:val="16"/>
                <w:lang w:eastAsia="en-GB" w:bidi="ar-SA"/>
              </w:rPr>
            </w:pPr>
            <w:r>
              <w:rPr>
                <w:rFonts w:cs="Arial"/>
                <w:sz w:val="16"/>
                <w:szCs w:val="16"/>
                <w:lang w:eastAsia="en-GB" w:bidi="ar-SA"/>
              </w:rPr>
              <w:t>SetFallBackAttribute</w:t>
            </w:r>
          </w:p>
        </w:tc>
        <w:tc>
          <w:tcPr>
            <w:tcW w:w="1985" w:type="dxa"/>
            <w:tcBorders>
              <w:top w:val="single" w:sz="6" w:space="0" w:color="auto"/>
              <w:left w:val="single" w:sz="6" w:space="0" w:color="auto"/>
              <w:bottom w:val="single" w:sz="6" w:space="0" w:color="auto"/>
              <w:right w:val="single" w:sz="6" w:space="0" w:color="auto"/>
            </w:tcBorders>
            <w:vAlign w:val="center"/>
          </w:tcPr>
          <w:p w14:paraId="426A80DA"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0ADE0EC7"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Asynchronous Request-Response with CallBack</w:t>
            </w:r>
          </w:p>
        </w:tc>
      </w:tr>
      <w:tr w:rsidR="00B97365" w14:paraId="71A5342C" w14:textId="77777777">
        <w:trPr>
          <w:trHeight w:val="126"/>
          <w:jc w:val="center"/>
        </w:trPr>
        <w:tc>
          <w:tcPr>
            <w:tcW w:w="2830" w:type="dxa"/>
            <w:vMerge/>
            <w:tcBorders>
              <w:left w:val="single" w:sz="4" w:space="0" w:color="auto"/>
              <w:right w:val="single" w:sz="6" w:space="0" w:color="auto"/>
            </w:tcBorders>
            <w:vAlign w:val="center"/>
          </w:tcPr>
          <w:p w14:paraId="3656EBBA"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3F9E1723"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2EEA6804"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http://gsma.com/ES2/ProfileManagement/ES2-SetFallBackAttribute</w:t>
            </w:r>
          </w:p>
        </w:tc>
      </w:tr>
      <w:tr w:rsidR="00B97365" w14:paraId="728B61C3" w14:textId="77777777">
        <w:trPr>
          <w:trHeight w:val="126"/>
          <w:jc w:val="center"/>
        </w:trPr>
        <w:tc>
          <w:tcPr>
            <w:tcW w:w="2830" w:type="dxa"/>
            <w:vMerge/>
            <w:tcBorders>
              <w:left w:val="single" w:sz="4" w:space="0" w:color="auto"/>
              <w:right w:val="single" w:sz="6" w:space="0" w:color="auto"/>
            </w:tcBorders>
            <w:vAlign w:val="center"/>
          </w:tcPr>
          <w:p w14:paraId="69CF6A34"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552A2E39"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4E3C18AC"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http://gsma.com/ES2/ProfileManagementCallBack/ES2-SetFallBackAttribute</w:t>
            </w:r>
          </w:p>
        </w:tc>
      </w:tr>
      <w:tr w:rsidR="00B97365" w14:paraId="73AAD01A" w14:textId="77777777">
        <w:trPr>
          <w:trHeight w:val="126"/>
          <w:jc w:val="center"/>
        </w:trPr>
        <w:tc>
          <w:tcPr>
            <w:tcW w:w="2830" w:type="dxa"/>
            <w:vMerge w:val="restart"/>
            <w:tcBorders>
              <w:left w:val="single" w:sz="4" w:space="0" w:color="auto"/>
              <w:right w:val="single" w:sz="6" w:space="0" w:color="auto"/>
            </w:tcBorders>
            <w:vAlign w:val="center"/>
          </w:tcPr>
          <w:p w14:paraId="68326987" w14:textId="77777777" w:rsidR="00B97365" w:rsidRDefault="00000000">
            <w:pPr>
              <w:spacing w:before="0"/>
              <w:jc w:val="left"/>
              <w:rPr>
                <w:rFonts w:cs="Arial"/>
                <w:sz w:val="16"/>
                <w:szCs w:val="16"/>
                <w:lang w:eastAsia="en-GB" w:bidi="ar-SA"/>
              </w:rPr>
            </w:pPr>
            <w:r>
              <w:rPr>
                <w:rFonts w:cs="Arial"/>
                <w:sz w:val="16"/>
                <w:szCs w:val="16"/>
                <w:lang w:eastAsia="en-GB" w:bidi="ar-SA"/>
              </w:rPr>
              <w:t>HandleProfileFallBackAttributeSetNotification</w:t>
            </w:r>
          </w:p>
        </w:tc>
        <w:tc>
          <w:tcPr>
            <w:tcW w:w="1985" w:type="dxa"/>
            <w:tcBorders>
              <w:top w:val="single" w:sz="6" w:space="0" w:color="auto"/>
              <w:left w:val="single" w:sz="6" w:space="0" w:color="auto"/>
              <w:bottom w:val="single" w:sz="6" w:space="0" w:color="auto"/>
              <w:right w:val="single" w:sz="6" w:space="0" w:color="auto"/>
            </w:tcBorders>
            <w:vAlign w:val="center"/>
          </w:tcPr>
          <w:p w14:paraId="71074B43"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3FDF46C5"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Notification (One-Way)</w:t>
            </w:r>
          </w:p>
        </w:tc>
      </w:tr>
      <w:tr w:rsidR="00B97365" w14:paraId="3398D58A" w14:textId="77777777">
        <w:trPr>
          <w:trHeight w:val="126"/>
          <w:jc w:val="center"/>
        </w:trPr>
        <w:tc>
          <w:tcPr>
            <w:tcW w:w="2830" w:type="dxa"/>
            <w:vMerge/>
            <w:tcBorders>
              <w:left w:val="single" w:sz="4" w:space="0" w:color="auto"/>
              <w:right w:val="single" w:sz="6" w:space="0" w:color="auto"/>
            </w:tcBorders>
            <w:vAlign w:val="center"/>
          </w:tcPr>
          <w:p w14:paraId="7AFE5BCB"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0B147FBF"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2C7585C0"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w:t>
            </w:r>
            <w:r>
              <w:rPr>
                <w:rFonts w:cs="Arial"/>
                <w:sz w:val="16"/>
                <w:szCs w:val="16"/>
                <w:lang w:eastAsia="en-GB" w:bidi="ar-SA"/>
              </w:rPr>
              <w:t xml:space="preserve"> HandleProfileFallBackAttributeSetNotification</w:t>
            </w:r>
          </w:p>
        </w:tc>
      </w:tr>
      <w:tr w:rsidR="00B97365" w14:paraId="768DC6C4" w14:textId="77777777">
        <w:trPr>
          <w:trHeight w:val="126"/>
          <w:jc w:val="center"/>
        </w:trPr>
        <w:tc>
          <w:tcPr>
            <w:tcW w:w="2830" w:type="dxa"/>
            <w:vMerge/>
            <w:tcBorders>
              <w:left w:val="single" w:sz="4" w:space="0" w:color="auto"/>
              <w:right w:val="single" w:sz="6" w:space="0" w:color="auto"/>
            </w:tcBorders>
            <w:vAlign w:val="center"/>
          </w:tcPr>
          <w:p w14:paraId="0944F138"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34E69BE7"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0DF7CD5B" w14:textId="77777777" w:rsidR="00B97365" w:rsidRDefault="00000000">
            <w:pPr>
              <w:spacing w:before="0" w:after="200" w:line="276" w:lineRule="auto"/>
              <w:jc w:val="left"/>
              <w:rPr>
                <w:color w:val="0000FF"/>
                <w:sz w:val="16"/>
                <w:szCs w:val="16"/>
                <w:u w:val="single"/>
              </w:rPr>
            </w:pPr>
            <w:r>
              <w:rPr>
                <w:color w:val="0000FF"/>
                <w:sz w:val="16"/>
                <w:szCs w:val="16"/>
                <w:u w:val="single"/>
              </w:rPr>
              <w:t>(none)</w:t>
            </w:r>
          </w:p>
        </w:tc>
      </w:tr>
      <w:tr w:rsidR="00B97365" w14:paraId="6CFED843" w14:textId="77777777">
        <w:trPr>
          <w:trHeight w:val="126"/>
          <w:jc w:val="center"/>
        </w:trPr>
        <w:tc>
          <w:tcPr>
            <w:tcW w:w="2830" w:type="dxa"/>
            <w:vMerge w:val="restart"/>
            <w:tcBorders>
              <w:left w:val="single" w:sz="4" w:space="0" w:color="auto"/>
              <w:right w:val="single" w:sz="6" w:space="0" w:color="auto"/>
            </w:tcBorders>
            <w:vAlign w:val="center"/>
          </w:tcPr>
          <w:p w14:paraId="380F3B93" w14:textId="77777777" w:rsidR="00B97365" w:rsidRDefault="00000000">
            <w:pPr>
              <w:spacing w:before="0"/>
              <w:jc w:val="left"/>
              <w:rPr>
                <w:rFonts w:cs="Arial"/>
                <w:sz w:val="16"/>
                <w:szCs w:val="16"/>
                <w:lang w:eastAsia="en-GB" w:bidi="ar-SA"/>
              </w:rPr>
            </w:pPr>
            <w:r>
              <w:rPr>
                <w:rFonts w:cs="Arial"/>
                <w:sz w:val="16"/>
                <w:szCs w:val="16"/>
                <w:lang w:eastAsia="en-GB" w:bidi="ar-SA"/>
              </w:rPr>
              <w:t>HandleProfileFallBackAttributeUnsetNotification</w:t>
            </w:r>
          </w:p>
        </w:tc>
        <w:tc>
          <w:tcPr>
            <w:tcW w:w="1985" w:type="dxa"/>
            <w:tcBorders>
              <w:top w:val="single" w:sz="6" w:space="0" w:color="auto"/>
              <w:left w:val="single" w:sz="6" w:space="0" w:color="auto"/>
              <w:bottom w:val="single" w:sz="6" w:space="0" w:color="auto"/>
              <w:right w:val="single" w:sz="6" w:space="0" w:color="auto"/>
            </w:tcBorders>
            <w:vAlign w:val="center"/>
          </w:tcPr>
          <w:p w14:paraId="3B6D3F4F"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6922896C"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Notification (One-Way)</w:t>
            </w:r>
          </w:p>
        </w:tc>
      </w:tr>
      <w:tr w:rsidR="00B97365" w14:paraId="17236F2D" w14:textId="77777777">
        <w:trPr>
          <w:trHeight w:val="126"/>
          <w:jc w:val="center"/>
        </w:trPr>
        <w:tc>
          <w:tcPr>
            <w:tcW w:w="2830" w:type="dxa"/>
            <w:vMerge/>
            <w:tcBorders>
              <w:left w:val="single" w:sz="4" w:space="0" w:color="auto"/>
              <w:right w:val="single" w:sz="6" w:space="0" w:color="auto"/>
            </w:tcBorders>
            <w:vAlign w:val="center"/>
          </w:tcPr>
          <w:p w14:paraId="07BB6EFD"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3C9DA213"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065F754B"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w:t>
            </w:r>
            <w:r>
              <w:rPr>
                <w:rFonts w:cs="Arial"/>
                <w:sz w:val="16"/>
                <w:szCs w:val="16"/>
                <w:lang w:eastAsia="en-GB" w:bidi="ar-SA"/>
              </w:rPr>
              <w:t xml:space="preserve"> HandleProfileFallBackAttributeUnsetNotification</w:t>
            </w:r>
          </w:p>
        </w:tc>
      </w:tr>
      <w:tr w:rsidR="00B97365" w14:paraId="5148FB56" w14:textId="77777777">
        <w:trPr>
          <w:trHeight w:val="126"/>
          <w:jc w:val="center"/>
        </w:trPr>
        <w:tc>
          <w:tcPr>
            <w:tcW w:w="2830" w:type="dxa"/>
            <w:vMerge/>
            <w:tcBorders>
              <w:left w:val="single" w:sz="4" w:space="0" w:color="auto"/>
              <w:right w:val="single" w:sz="6" w:space="0" w:color="auto"/>
            </w:tcBorders>
            <w:vAlign w:val="center"/>
          </w:tcPr>
          <w:p w14:paraId="456CDC47"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7C4B5BD8"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720F5551" w14:textId="77777777" w:rsidR="00B97365" w:rsidRDefault="00000000">
            <w:pPr>
              <w:spacing w:before="0" w:after="200" w:line="276" w:lineRule="auto"/>
              <w:jc w:val="left"/>
              <w:rPr>
                <w:color w:val="0000FF"/>
                <w:sz w:val="16"/>
                <w:szCs w:val="16"/>
                <w:u w:val="single"/>
              </w:rPr>
            </w:pPr>
            <w:r>
              <w:rPr>
                <w:color w:val="0000FF"/>
                <w:sz w:val="16"/>
                <w:szCs w:val="16"/>
                <w:u w:val="single"/>
              </w:rPr>
              <w:t>(none)</w:t>
            </w:r>
          </w:p>
        </w:tc>
      </w:tr>
      <w:tr w:rsidR="00B97365" w14:paraId="27D79B54" w14:textId="77777777">
        <w:trPr>
          <w:trHeight w:val="126"/>
          <w:jc w:val="center"/>
        </w:trPr>
        <w:tc>
          <w:tcPr>
            <w:tcW w:w="2830" w:type="dxa"/>
            <w:vMerge w:val="restart"/>
            <w:tcBorders>
              <w:left w:val="single" w:sz="4" w:space="0" w:color="auto"/>
              <w:right w:val="single" w:sz="6" w:space="0" w:color="auto"/>
            </w:tcBorders>
            <w:vAlign w:val="center"/>
          </w:tcPr>
          <w:p w14:paraId="77DEF645" w14:textId="77777777" w:rsidR="00B97365" w:rsidRDefault="00000000">
            <w:pPr>
              <w:spacing w:before="0"/>
              <w:jc w:val="left"/>
              <w:rPr>
                <w:rFonts w:cs="Arial"/>
                <w:sz w:val="16"/>
                <w:szCs w:val="16"/>
                <w:lang w:eastAsia="en-GB" w:bidi="ar-SA"/>
              </w:rPr>
            </w:pPr>
            <w:r>
              <w:rPr>
                <w:rFonts w:cs="Arial"/>
                <w:sz w:val="16"/>
                <w:szCs w:val="16"/>
                <w:lang w:eastAsia="en-GB" w:bidi="ar-SA"/>
              </w:rPr>
              <w:t>SetEmergencyProfileAttribute</w:t>
            </w:r>
          </w:p>
        </w:tc>
        <w:tc>
          <w:tcPr>
            <w:tcW w:w="1985" w:type="dxa"/>
            <w:tcBorders>
              <w:top w:val="single" w:sz="6" w:space="0" w:color="auto"/>
              <w:left w:val="single" w:sz="6" w:space="0" w:color="auto"/>
              <w:bottom w:val="single" w:sz="6" w:space="0" w:color="auto"/>
              <w:right w:val="single" w:sz="6" w:space="0" w:color="auto"/>
            </w:tcBorders>
            <w:vAlign w:val="center"/>
          </w:tcPr>
          <w:p w14:paraId="3F9AA1B6"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2A3AABA5"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Asynchronous Request-Response with CallBack</w:t>
            </w:r>
          </w:p>
        </w:tc>
      </w:tr>
      <w:tr w:rsidR="00B97365" w14:paraId="52B4697C" w14:textId="77777777">
        <w:trPr>
          <w:trHeight w:val="126"/>
          <w:jc w:val="center"/>
        </w:trPr>
        <w:tc>
          <w:tcPr>
            <w:tcW w:w="2830" w:type="dxa"/>
            <w:vMerge/>
            <w:tcBorders>
              <w:left w:val="single" w:sz="4" w:space="0" w:color="auto"/>
              <w:right w:val="single" w:sz="6" w:space="0" w:color="auto"/>
            </w:tcBorders>
            <w:vAlign w:val="center"/>
          </w:tcPr>
          <w:p w14:paraId="156EBCCF"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544E1C20"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5399EA0A"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http://gsma.com/ES2/ProfileManagement/ES2-SetEmergencyProfileAttribute</w:t>
            </w:r>
          </w:p>
        </w:tc>
      </w:tr>
      <w:tr w:rsidR="00B97365" w14:paraId="117DFD7D" w14:textId="77777777">
        <w:trPr>
          <w:trHeight w:val="126"/>
          <w:jc w:val="center"/>
        </w:trPr>
        <w:tc>
          <w:tcPr>
            <w:tcW w:w="2830" w:type="dxa"/>
            <w:vMerge/>
            <w:tcBorders>
              <w:left w:val="single" w:sz="4" w:space="0" w:color="auto"/>
              <w:right w:val="single" w:sz="6" w:space="0" w:color="auto"/>
            </w:tcBorders>
            <w:vAlign w:val="center"/>
          </w:tcPr>
          <w:p w14:paraId="6E3F8A71"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16AF0D6F"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54A322E1"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http://gsma.com/ES2/ProfileManagementCallBack/ES2-SetEmergencyProfileAttribute</w:t>
            </w:r>
          </w:p>
        </w:tc>
      </w:tr>
      <w:tr w:rsidR="00B97365" w14:paraId="5E933FB7" w14:textId="77777777">
        <w:trPr>
          <w:trHeight w:val="126"/>
          <w:jc w:val="center"/>
        </w:trPr>
        <w:tc>
          <w:tcPr>
            <w:tcW w:w="2830" w:type="dxa"/>
            <w:vMerge w:val="restart"/>
            <w:tcBorders>
              <w:left w:val="single" w:sz="4" w:space="0" w:color="auto"/>
              <w:right w:val="single" w:sz="6" w:space="0" w:color="auto"/>
            </w:tcBorders>
            <w:vAlign w:val="center"/>
          </w:tcPr>
          <w:p w14:paraId="29725F88" w14:textId="77777777" w:rsidR="00B97365" w:rsidRDefault="00000000">
            <w:pPr>
              <w:spacing w:before="0"/>
              <w:jc w:val="left"/>
              <w:rPr>
                <w:rFonts w:cs="Arial"/>
                <w:sz w:val="16"/>
                <w:szCs w:val="16"/>
                <w:lang w:eastAsia="en-GB" w:bidi="ar-SA"/>
              </w:rPr>
            </w:pPr>
            <w:r>
              <w:rPr>
                <w:rFonts w:cs="Arial"/>
                <w:sz w:val="16"/>
                <w:szCs w:val="16"/>
                <w:lang w:eastAsia="en-GB" w:bidi="ar-SA"/>
              </w:rPr>
              <w:t>HandleEmergencyProfileAttributeSetNotification</w:t>
            </w:r>
          </w:p>
        </w:tc>
        <w:tc>
          <w:tcPr>
            <w:tcW w:w="1985" w:type="dxa"/>
            <w:tcBorders>
              <w:top w:val="single" w:sz="6" w:space="0" w:color="auto"/>
              <w:left w:val="single" w:sz="6" w:space="0" w:color="auto"/>
              <w:bottom w:val="single" w:sz="6" w:space="0" w:color="auto"/>
              <w:right w:val="single" w:sz="6" w:space="0" w:color="auto"/>
            </w:tcBorders>
            <w:vAlign w:val="center"/>
          </w:tcPr>
          <w:p w14:paraId="23C7A3F3"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3CE955F4"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Notification (One-Way)</w:t>
            </w:r>
          </w:p>
        </w:tc>
      </w:tr>
      <w:tr w:rsidR="00B97365" w14:paraId="3E2F5642" w14:textId="77777777">
        <w:trPr>
          <w:trHeight w:val="126"/>
          <w:jc w:val="center"/>
        </w:trPr>
        <w:tc>
          <w:tcPr>
            <w:tcW w:w="2830" w:type="dxa"/>
            <w:vMerge/>
            <w:tcBorders>
              <w:left w:val="single" w:sz="4" w:space="0" w:color="auto"/>
              <w:right w:val="single" w:sz="6" w:space="0" w:color="auto"/>
            </w:tcBorders>
            <w:vAlign w:val="center"/>
          </w:tcPr>
          <w:p w14:paraId="520033A9"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6CCAAE9D"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36999D2B"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w:t>
            </w:r>
            <w:r>
              <w:rPr>
                <w:rFonts w:cs="Arial"/>
                <w:sz w:val="16"/>
                <w:szCs w:val="16"/>
                <w:lang w:eastAsia="en-GB" w:bidi="ar-SA"/>
              </w:rPr>
              <w:t xml:space="preserve"> HandleEmergencyProfileAttributeSetNotification</w:t>
            </w:r>
          </w:p>
        </w:tc>
      </w:tr>
      <w:tr w:rsidR="00B97365" w14:paraId="68C7EDE3" w14:textId="77777777">
        <w:trPr>
          <w:trHeight w:val="126"/>
          <w:jc w:val="center"/>
        </w:trPr>
        <w:tc>
          <w:tcPr>
            <w:tcW w:w="2830" w:type="dxa"/>
            <w:vMerge/>
            <w:tcBorders>
              <w:left w:val="single" w:sz="4" w:space="0" w:color="auto"/>
              <w:right w:val="single" w:sz="6" w:space="0" w:color="auto"/>
            </w:tcBorders>
            <w:vAlign w:val="center"/>
          </w:tcPr>
          <w:p w14:paraId="390D0170"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42FCE8E6"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7B7F96C5" w14:textId="77777777" w:rsidR="00B97365" w:rsidRDefault="00000000">
            <w:pPr>
              <w:spacing w:before="0" w:after="200" w:line="276" w:lineRule="auto"/>
              <w:jc w:val="left"/>
              <w:rPr>
                <w:color w:val="0000FF"/>
                <w:sz w:val="16"/>
                <w:szCs w:val="16"/>
                <w:u w:val="single"/>
              </w:rPr>
            </w:pPr>
            <w:r>
              <w:rPr>
                <w:color w:val="0000FF"/>
                <w:sz w:val="16"/>
                <w:szCs w:val="16"/>
                <w:u w:val="single"/>
              </w:rPr>
              <w:t>(none)</w:t>
            </w:r>
          </w:p>
        </w:tc>
      </w:tr>
      <w:tr w:rsidR="00B97365" w14:paraId="6C1A4DFC" w14:textId="77777777">
        <w:trPr>
          <w:trHeight w:val="126"/>
          <w:jc w:val="center"/>
        </w:trPr>
        <w:tc>
          <w:tcPr>
            <w:tcW w:w="2830" w:type="dxa"/>
            <w:vMerge w:val="restart"/>
            <w:tcBorders>
              <w:left w:val="single" w:sz="4" w:space="0" w:color="auto"/>
              <w:right w:val="single" w:sz="6" w:space="0" w:color="auto"/>
            </w:tcBorders>
            <w:vAlign w:val="center"/>
          </w:tcPr>
          <w:p w14:paraId="58FE1413" w14:textId="77777777" w:rsidR="00B97365" w:rsidRDefault="00000000">
            <w:pPr>
              <w:spacing w:before="0"/>
              <w:jc w:val="left"/>
              <w:rPr>
                <w:rFonts w:cs="Arial"/>
                <w:sz w:val="16"/>
                <w:szCs w:val="16"/>
                <w:lang w:eastAsia="en-GB" w:bidi="ar-SA"/>
              </w:rPr>
            </w:pPr>
            <w:r>
              <w:rPr>
                <w:rFonts w:cs="Arial"/>
                <w:sz w:val="16"/>
                <w:szCs w:val="16"/>
                <w:lang w:eastAsia="en-GB" w:bidi="ar-SA"/>
              </w:rPr>
              <w:t>HandleEmergencyProfileAttributeUnsetNotification</w:t>
            </w:r>
          </w:p>
        </w:tc>
        <w:tc>
          <w:tcPr>
            <w:tcW w:w="1985" w:type="dxa"/>
            <w:tcBorders>
              <w:top w:val="single" w:sz="6" w:space="0" w:color="auto"/>
              <w:left w:val="single" w:sz="6" w:space="0" w:color="auto"/>
              <w:bottom w:val="single" w:sz="6" w:space="0" w:color="auto"/>
              <w:right w:val="single" w:sz="6" w:space="0" w:color="auto"/>
            </w:tcBorders>
            <w:vAlign w:val="center"/>
          </w:tcPr>
          <w:p w14:paraId="26550B59"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27A12522"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Notification (One-Way)</w:t>
            </w:r>
          </w:p>
        </w:tc>
      </w:tr>
      <w:tr w:rsidR="00B97365" w14:paraId="30E0552B" w14:textId="77777777">
        <w:trPr>
          <w:trHeight w:val="126"/>
          <w:jc w:val="center"/>
        </w:trPr>
        <w:tc>
          <w:tcPr>
            <w:tcW w:w="2830" w:type="dxa"/>
            <w:vMerge/>
            <w:tcBorders>
              <w:left w:val="single" w:sz="4" w:space="0" w:color="auto"/>
              <w:right w:val="single" w:sz="6" w:space="0" w:color="auto"/>
            </w:tcBorders>
            <w:vAlign w:val="center"/>
          </w:tcPr>
          <w:p w14:paraId="482EA512"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407F8C5D"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7838AA0B"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w:t>
            </w:r>
            <w:r>
              <w:rPr>
                <w:rFonts w:cs="Arial"/>
                <w:sz w:val="16"/>
                <w:szCs w:val="16"/>
                <w:lang w:eastAsia="en-GB" w:bidi="ar-SA"/>
              </w:rPr>
              <w:t xml:space="preserve"> HandleEmergencyProfileAttributeunSetNotification</w:t>
            </w:r>
          </w:p>
        </w:tc>
      </w:tr>
      <w:tr w:rsidR="00B97365" w14:paraId="290C85D0" w14:textId="77777777">
        <w:trPr>
          <w:trHeight w:val="126"/>
          <w:jc w:val="center"/>
        </w:trPr>
        <w:tc>
          <w:tcPr>
            <w:tcW w:w="2830" w:type="dxa"/>
            <w:vMerge/>
            <w:tcBorders>
              <w:left w:val="single" w:sz="4" w:space="0" w:color="auto"/>
              <w:right w:val="single" w:sz="6" w:space="0" w:color="auto"/>
            </w:tcBorders>
            <w:vAlign w:val="center"/>
          </w:tcPr>
          <w:p w14:paraId="29301F20"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3626D38F"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0A8EF2FD" w14:textId="77777777" w:rsidR="00B97365" w:rsidRDefault="00000000">
            <w:pPr>
              <w:spacing w:before="0" w:after="200" w:line="276" w:lineRule="auto"/>
              <w:jc w:val="left"/>
              <w:rPr>
                <w:color w:val="0000FF"/>
                <w:sz w:val="16"/>
                <w:szCs w:val="16"/>
                <w:u w:val="single"/>
              </w:rPr>
            </w:pPr>
            <w:r>
              <w:rPr>
                <w:color w:val="0000FF"/>
                <w:sz w:val="16"/>
                <w:szCs w:val="16"/>
                <w:u w:val="single"/>
              </w:rPr>
              <w:t>(none)</w:t>
            </w:r>
          </w:p>
        </w:tc>
      </w:tr>
      <w:tr w:rsidR="00B97365" w14:paraId="08B600C7" w14:textId="77777777">
        <w:trPr>
          <w:trHeight w:val="126"/>
          <w:jc w:val="center"/>
        </w:trPr>
        <w:tc>
          <w:tcPr>
            <w:tcW w:w="2830" w:type="dxa"/>
            <w:vMerge w:val="restart"/>
            <w:tcBorders>
              <w:left w:val="single" w:sz="4" w:space="0" w:color="auto"/>
              <w:right w:val="single" w:sz="6" w:space="0" w:color="auto"/>
            </w:tcBorders>
            <w:vAlign w:val="center"/>
          </w:tcPr>
          <w:p w14:paraId="6076555A" w14:textId="77777777" w:rsidR="00B97365" w:rsidRDefault="00000000">
            <w:pPr>
              <w:spacing w:before="0"/>
              <w:jc w:val="left"/>
              <w:rPr>
                <w:rFonts w:cs="Arial"/>
                <w:sz w:val="16"/>
                <w:szCs w:val="16"/>
                <w:lang w:eastAsia="en-GB" w:bidi="ar-SA"/>
              </w:rPr>
            </w:pPr>
            <w:r>
              <w:rPr>
                <w:rFonts w:cs="Arial"/>
                <w:sz w:val="16"/>
                <w:szCs w:val="16"/>
                <w:lang w:eastAsia="en-GB" w:bidi="ar-SA"/>
              </w:rPr>
              <w:t>GetONC</w:t>
            </w:r>
          </w:p>
        </w:tc>
        <w:tc>
          <w:tcPr>
            <w:tcW w:w="1985" w:type="dxa"/>
            <w:tcBorders>
              <w:top w:val="single" w:sz="6" w:space="0" w:color="auto"/>
              <w:left w:val="single" w:sz="6" w:space="0" w:color="auto"/>
              <w:bottom w:val="single" w:sz="6" w:space="0" w:color="auto"/>
              <w:right w:val="single" w:sz="6" w:space="0" w:color="auto"/>
            </w:tcBorders>
            <w:vAlign w:val="center"/>
          </w:tcPr>
          <w:p w14:paraId="36B540E7"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6287A446"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Synchronous Request-Response</w:t>
            </w:r>
          </w:p>
        </w:tc>
      </w:tr>
      <w:tr w:rsidR="00B97365" w14:paraId="5FF39801" w14:textId="77777777">
        <w:trPr>
          <w:trHeight w:val="126"/>
          <w:jc w:val="center"/>
        </w:trPr>
        <w:tc>
          <w:tcPr>
            <w:tcW w:w="2830" w:type="dxa"/>
            <w:vMerge/>
            <w:tcBorders>
              <w:left w:val="single" w:sz="4" w:space="0" w:color="auto"/>
              <w:right w:val="single" w:sz="6" w:space="0" w:color="auto"/>
            </w:tcBorders>
            <w:vAlign w:val="center"/>
          </w:tcPr>
          <w:p w14:paraId="4948829F"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7DC7EDAB"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79F5A623"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http://gsma.com/ES2/ProfileManagement/ES2-GetONCRequest</w:t>
            </w:r>
          </w:p>
        </w:tc>
      </w:tr>
      <w:tr w:rsidR="00B97365" w14:paraId="6705BA71" w14:textId="77777777">
        <w:trPr>
          <w:trHeight w:val="126"/>
          <w:jc w:val="center"/>
        </w:trPr>
        <w:tc>
          <w:tcPr>
            <w:tcW w:w="2830" w:type="dxa"/>
            <w:vMerge/>
            <w:tcBorders>
              <w:left w:val="single" w:sz="4" w:space="0" w:color="auto"/>
              <w:right w:val="single" w:sz="6" w:space="0" w:color="auto"/>
            </w:tcBorders>
            <w:vAlign w:val="center"/>
          </w:tcPr>
          <w:p w14:paraId="1F1B51FB"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7624C812"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7C1C5C16"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http://gsma.com/ES2/ProfileManagement/ES2-GetONCResponse</w:t>
            </w:r>
          </w:p>
        </w:tc>
      </w:tr>
      <w:tr w:rsidR="00B97365" w14:paraId="22815ACB" w14:textId="77777777">
        <w:trPr>
          <w:trHeight w:val="126"/>
          <w:jc w:val="center"/>
        </w:trPr>
        <w:tc>
          <w:tcPr>
            <w:tcW w:w="2830" w:type="dxa"/>
            <w:vMerge w:val="restart"/>
            <w:tcBorders>
              <w:left w:val="single" w:sz="4" w:space="0" w:color="auto"/>
              <w:right w:val="single" w:sz="6" w:space="0" w:color="auto"/>
            </w:tcBorders>
            <w:vAlign w:val="center"/>
          </w:tcPr>
          <w:p w14:paraId="61CE6408" w14:textId="77777777" w:rsidR="00B97365" w:rsidRDefault="00000000">
            <w:pPr>
              <w:spacing w:before="0"/>
              <w:jc w:val="left"/>
              <w:rPr>
                <w:rFonts w:cs="Arial"/>
                <w:sz w:val="16"/>
                <w:szCs w:val="16"/>
                <w:lang w:eastAsia="en-GB" w:bidi="ar-SA"/>
              </w:rPr>
            </w:pPr>
            <w:r>
              <w:rPr>
                <w:rFonts w:cs="Arial"/>
                <w:sz w:val="16"/>
                <w:szCs w:val="16"/>
                <w:lang w:eastAsia="en-GB" w:bidi="ar-SA"/>
              </w:rPr>
              <w:t>SetONC</w:t>
            </w:r>
          </w:p>
        </w:tc>
        <w:tc>
          <w:tcPr>
            <w:tcW w:w="1985" w:type="dxa"/>
            <w:tcBorders>
              <w:top w:val="single" w:sz="6" w:space="0" w:color="auto"/>
              <w:left w:val="single" w:sz="6" w:space="0" w:color="auto"/>
              <w:bottom w:val="single" w:sz="6" w:space="0" w:color="auto"/>
              <w:right w:val="single" w:sz="6" w:space="0" w:color="auto"/>
            </w:tcBorders>
            <w:vAlign w:val="center"/>
          </w:tcPr>
          <w:p w14:paraId="45E05EB9"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4B9EB48D"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Synchronous Request-Response</w:t>
            </w:r>
          </w:p>
        </w:tc>
      </w:tr>
      <w:tr w:rsidR="00B97365" w14:paraId="496266BA" w14:textId="77777777">
        <w:trPr>
          <w:trHeight w:val="126"/>
          <w:jc w:val="center"/>
        </w:trPr>
        <w:tc>
          <w:tcPr>
            <w:tcW w:w="2830" w:type="dxa"/>
            <w:vMerge/>
            <w:tcBorders>
              <w:left w:val="single" w:sz="4" w:space="0" w:color="auto"/>
              <w:right w:val="single" w:sz="6" w:space="0" w:color="auto"/>
            </w:tcBorders>
            <w:vAlign w:val="center"/>
          </w:tcPr>
          <w:p w14:paraId="5784E1DB"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1FD96CAC"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732ABB5A"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http://gsma.com/ES2/ProfileManagement/ES2-SetONCRequest</w:t>
            </w:r>
          </w:p>
        </w:tc>
      </w:tr>
      <w:tr w:rsidR="00B97365" w14:paraId="6016836A" w14:textId="77777777">
        <w:trPr>
          <w:trHeight w:val="126"/>
          <w:jc w:val="center"/>
        </w:trPr>
        <w:tc>
          <w:tcPr>
            <w:tcW w:w="2830" w:type="dxa"/>
            <w:vMerge/>
            <w:tcBorders>
              <w:left w:val="single" w:sz="4" w:space="0" w:color="auto"/>
              <w:right w:val="single" w:sz="6" w:space="0" w:color="auto"/>
            </w:tcBorders>
            <w:vAlign w:val="center"/>
          </w:tcPr>
          <w:p w14:paraId="5F0BD14C"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636947BE"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58F23CE2"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http://gsma.com/ES2/ProfileManagement/ES2-SetONCResponse</w:t>
            </w:r>
          </w:p>
        </w:tc>
      </w:tr>
      <w:tr w:rsidR="00B97365" w14:paraId="020619DF" w14:textId="77777777">
        <w:trPr>
          <w:trHeight w:val="126"/>
          <w:jc w:val="center"/>
        </w:trPr>
        <w:tc>
          <w:tcPr>
            <w:tcW w:w="2830" w:type="dxa"/>
            <w:vMerge w:val="restart"/>
            <w:tcBorders>
              <w:left w:val="single" w:sz="4" w:space="0" w:color="auto"/>
              <w:right w:val="single" w:sz="6" w:space="0" w:color="auto"/>
            </w:tcBorders>
            <w:vAlign w:val="center"/>
          </w:tcPr>
          <w:p w14:paraId="5ABC6720" w14:textId="77777777" w:rsidR="00B97365" w:rsidRDefault="00000000">
            <w:pPr>
              <w:spacing w:before="0"/>
              <w:jc w:val="left"/>
              <w:rPr>
                <w:rFonts w:cs="Arial"/>
                <w:sz w:val="16"/>
                <w:szCs w:val="16"/>
                <w:lang w:eastAsia="en-GB" w:bidi="ar-SA"/>
              </w:rPr>
            </w:pPr>
            <w:r>
              <w:rPr>
                <w:rFonts w:cs="Arial"/>
                <w:sz w:val="16"/>
                <w:szCs w:val="16"/>
                <w:lang w:eastAsia="en-GB" w:bidi="ar-SA"/>
              </w:rPr>
              <w:t>GetPLMA</w:t>
            </w:r>
          </w:p>
        </w:tc>
        <w:tc>
          <w:tcPr>
            <w:tcW w:w="1985" w:type="dxa"/>
            <w:tcBorders>
              <w:top w:val="single" w:sz="6" w:space="0" w:color="auto"/>
              <w:left w:val="single" w:sz="6" w:space="0" w:color="auto"/>
              <w:bottom w:val="single" w:sz="6" w:space="0" w:color="auto"/>
              <w:right w:val="single" w:sz="6" w:space="0" w:color="auto"/>
            </w:tcBorders>
            <w:vAlign w:val="center"/>
          </w:tcPr>
          <w:p w14:paraId="08CD2CDE"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423EE5E3"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Synchronous Request-Response</w:t>
            </w:r>
          </w:p>
        </w:tc>
      </w:tr>
      <w:tr w:rsidR="00B97365" w14:paraId="423846B4" w14:textId="77777777">
        <w:trPr>
          <w:trHeight w:val="126"/>
          <w:jc w:val="center"/>
        </w:trPr>
        <w:tc>
          <w:tcPr>
            <w:tcW w:w="2830" w:type="dxa"/>
            <w:vMerge/>
            <w:tcBorders>
              <w:left w:val="single" w:sz="4" w:space="0" w:color="auto"/>
              <w:right w:val="single" w:sz="6" w:space="0" w:color="auto"/>
            </w:tcBorders>
            <w:vAlign w:val="center"/>
          </w:tcPr>
          <w:p w14:paraId="3F1B42C6"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13DD79B4"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3292BBB8"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http://gsma.com/ES2/ProfileManagement/ES2-GetPLMARequest</w:t>
            </w:r>
          </w:p>
        </w:tc>
      </w:tr>
      <w:tr w:rsidR="00B97365" w14:paraId="52AF0240" w14:textId="77777777">
        <w:trPr>
          <w:trHeight w:val="126"/>
          <w:jc w:val="center"/>
        </w:trPr>
        <w:tc>
          <w:tcPr>
            <w:tcW w:w="2830" w:type="dxa"/>
            <w:vMerge/>
            <w:tcBorders>
              <w:left w:val="single" w:sz="4" w:space="0" w:color="auto"/>
              <w:right w:val="single" w:sz="6" w:space="0" w:color="auto"/>
            </w:tcBorders>
            <w:vAlign w:val="center"/>
          </w:tcPr>
          <w:p w14:paraId="03FD3E76"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2551EAE4"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52AD053E"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http://gsma.com/ES2/ProfileManagement/ES2-GetPLMAResponse</w:t>
            </w:r>
          </w:p>
        </w:tc>
      </w:tr>
      <w:tr w:rsidR="00B97365" w14:paraId="0C13BE18" w14:textId="77777777">
        <w:trPr>
          <w:trHeight w:val="126"/>
          <w:jc w:val="center"/>
        </w:trPr>
        <w:tc>
          <w:tcPr>
            <w:tcW w:w="2830" w:type="dxa"/>
            <w:vMerge w:val="restart"/>
            <w:tcBorders>
              <w:left w:val="single" w:sz="4" w:space="0" w:color="auto"/>
              <w:right w:val="single" w:sz="6" w:space="0" w:color="auto"/>
            </w:tcBorders>
            <w:vAlign w:val="center"/>
          </w:tcPr>
          <w:p w14:paraId="1EF62C37" w14:textId="77777777" w:rsidR="00B97365" w:rsidRDefault="00000000">
            <w:pPr>
              <w:spacing w:before="0"/>
              <w:jc w:val="left"/>
              <w:rPr>
                <w:rFonts w:cs="Arial"/>
                <w:sz w:val="16"/>
                <w:szCs w:val="16"/>
                <w:lang w:eastAsia="en-GB" w:bidi="ar-SA"/>
              </w:rPr>
            </w:pPr>
            <w:r>
              <w:rPr>
                <w:rFonts w:cs="Arial"/>
                <w:sz w:val="16"/>
                <w:szCs w:val="16"/>
                <w:lang w:eastAsia="en-GB" w:bidi="ar-SA"/>
              </w:rPr>
              <w:t>SetPLMA</w:t>
            </w:r>
          </w:p>
        </w:tc>
        <w:tc>
          <w:tcPr>
            <w:tcW w:w="1985" w:type="dxa"/>
            <w:tcBorders>
              <w:top w:val="single" w:sz="6" w:space="0" w:color="auto"/>
              <w:left w:val="single" w:sz="6" w:space="0" w:color="auto"/>
              <w:bottom w:val="single" w:sz="6" w:space="0" w:color="auto"/>
              <w:right w:val="single" w:sz="6" w:space="0" w:color="auto"/>
            </w:tcBorders>
            <w:vAlign w:val="center"/>
          </w:tcPr>
          <w:p w14:paraId="650B0116" w14:textId="77777777" w:rsidR="00B97365" w:rsidRDefault="00000000">
            <w:pPr>
              <w:spacing w:after="120" w:line="276" w:lineRule="auto"/>
              <w:rPr>
                <w:rFonts w:cs="Arial"/>
                <w:b/>
                <w:sz w:val="16"/>
                <w:szCs w:val="16"/>
              </w:rPr>
            </w:pPr>
            <w:r>
              <w:rPr>
                <w:rFonts w:cs="Arial"/>
                <w:b/>
                <w:sz w:val="16"/>
                <w:szCs w:val="16"/>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7235914A"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Synchronous Request-Response</w:t>
            </w:r>
          </w:p>
        </w:tc>
      </w:tr>
      <w:tr w:rsidR="00B97365" w14:paraId="7F2B0114" w14:textId="77777777">
        <w:trPr>
          <w:trHeight w:val="126"/>
          <w:jc w:val="center"/>
        </w:trPr>
        <w:tc>
          <w:tcPr>
            <w:tcW w:w="2830" w:type="dxa"/>
            <w:vMerge/>
            <w:tcBorders>
              <w:left w:val="single" w:sz="4" w:space="0" w:color="auto"/>
              <w:right w:val="single" w:sz="6" w:space="0" w:color="auto"/>
            </w:tcBorders>
            <w:vAlign w:val="center"/>
          </w:tcPr>
          <w:p w14:paraId="6C705C15"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2D8988C4" w14:textId="77777777" w:rsidR="00B97365" w:rsidRDefault="00000000">
            <w:pPr>
              <w:spacing w:after="120" w:line="276" w:lineRule="auto"/>
              <w:rPr>
                <w:rFonts w:cs="Arial"/>
                <w:b/>
                <w:sz w:val="16"/>
                <w:szCs w:val="16"/>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105099DA"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http://gsma.com/ES2/ProfileManagement/ES2-SetPLMARequest</w:t>
            </w:r>
          </w:p>
        </w:tc>
      </w:tr>
      <w:tr w:rsidR="00B97365" w14:paraId="36AC7310" w14:textId="77777777">
        <w:trPr>
          <w:trHeight w:val="126"/>
          <w:jc w:val="center"/>
        </w:trPr>
        <w:tc>
          <w:tcPr>
            <w:tcW w:w="2830" w:type="dxa"/>
            <w:vMerge/>
            <w:tcBorders>
              <w:left w:val="single" w:sz="4" w:space="0" w:color="auto"/>
              <w:right w:val="single" w:sz="6" w:space="0" w:color="auto"/>
            </w:tcBorders>
            <w:vAlign w:val="center"/>
          </w:tcPr>
          <w:p w14:paraId="2FD56802"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2903E56D" w14:textId="77777777" w:rsidR="00B97365" w:rsidRDefault="00000000">
            <w:pPr>
              <w:spacing w:after="120" w:line="276" w:lineRule="auto"/>
              <w:rPr>
                <w:rFonts w:cs="Arial"/>
                <w:b/>
                <w:sz w:val="16"/>
                <w:szCs w:val="16"/>
              </w:rPr>
            </w:pPr>
            <w:r>
              <w:rPr>
                <w:rFonts w:cs="Arial"/>
                <w:b/>
                <w:sz w:val="16"/>
                <w:szCs w:val="16"/>
              </w:rPr>
              <w:t>/wsa:Action Response</w:t>
            </w:r>
          </w:p>
        </w:tc>
        <w:tc>
          <w:tcPr>
            <w:tcW w:w="4201" w:type="dxa"/>
            <w:tcBorders>
              <w:top w:val="single" w:sz="6" w:space="0" w:color="auto"/>
              <w:left w:val="single" w:sz="6" w:space="0" w:color="auto"/>
              <w:bottom w:val="single" w:sz="6" w:space="0" w:color="auto"/>
              <w:right w:val="single" w:sz="4" w:space="0" w:color="auto"/>
            </w:tcBorders>
            <w:vAlign w:val="center"/>
          </w:tcPr>
          <w:p w14:paraId="15855221" w14:textId="77777777" w:rsidR="00B97365" w:rsidRDefault="00000000">
            <w:pPr>
              <w:spacing w:before="0" w:after="200" w:line="276" w:lineRule="auto"/>
              <w:jc w:val="left"/>
              <w:rPr>
                <w:color w:val="0000FF"/>
                <w:sz w:val="16"/>
                <w:szCs w:val="16"/>
                <w:u w:val="single"/>
              </w:rPr>
            </w:pPr>
            <w:r>
              <w:rPr>
                <w:color w:val="0000FF"/>
                <w:sz w:val="16"/>
                <w:szCs w:val="16"/>
                <w:u w:val="single"/>
              </w:rPr>
              <w:t>http://gsma.com/ES2/ProfileManagement/ES2-SetPLMAResponse</w:t>
            </w:r>
          </w:p>
        </w:tc>
      </w:tr>
      <w:tr w:rsidR="00B97365" w14:paraId="347C9190" w14:textId="77777777">
        <w:trPr>
          <w:trHeight w:val="126"/>
          <w:jc w:val="center"/>
        </w:trPr>
        <w:tc>
          <w:tcPr>
            <w:tcW w:w="2830" w:type="dxa"/>
            <w:vMerge w:val="restart"/>
            <w:tcBorders>
              <w:left w:val="single" w:sz="4" w:space="0" w:color="auto"/>
              <w:right w:val="single" w:sz="6" w:space="0" w:color="auto"/>
            </w:tcBorders>
            <w:vAlign w:val="center"/>
          </w:tcPr>
          <w:p w14:paraId="10C6F3B3" w14:textId="77777777" w:rsidR="00B97365" w:rsidRDefault="00000000">
            <w:pPr>
              <w:spacing w:before="0"/>
              <w:jc w:val="left"/>
              <w:rPr>
                <w:rFonts w:cs="Arial"/>
                <w:sz w:val="16"/>
                <w:szCs w:val="16"/>
                <w:lang w:eastAsia="en-GB" w:bidi="ar-SA"/>
              </w:rPr>
            </w:pPr>
            <w:r>
              <w:rPr>
                <w:rFonts w:cs="Arial"/>
                <w:sz w:val="16"/>
                <w:szCs w:val="16"/>
                <w:lang w:eastAsia="en-GB" w:bidi="ar-SA"/>
              </w:rPr>
              <w:t>HandleProfileDownloadedNotification</w:t>
            </w:r>
          </w:p>
        </w:tc>
        <w:tc>
          <w:tcPr>
            <w:tcW w:w="1985" w:type="dxa"/>
            <w:tcBorders>
              <w:top w:val="single" w:sz="6" w:space="0" w:color="auto"/>
              <w:left w:val="single" w:sz="6" w:space="0" w:color="auto"/>
              <w:bottom w:val="single" w:sz="6" w:space="0" w:color="auto"/>
              <w:right w:val="single" w:sz="6" w:space="0" w:color="auto"/>
            </w:tcBorders>
            <w:vAlign w:val="center"/>
          </w:tcPr>
          <w:p w14:paraId="3B7FC70F" w14:textId="77777777" w:rsidR="00B97365" w:rsidRDefault="00000000">
            <w:pPr>
              <w:spacing w:after="120" w:line="276" w:lineRule="auto"/>
              <w:rPr>
                <w:rFonts w:cs="Arial"/>
                <w:b/>
                <w:sz w:val="16"/>
                <w:szCs w:val="16"/>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30046AA9" w14:textId="77777777" w:rsidR="00B97365" w:rsidRDefault="00000000">
            <w:pPr>
              <w:spacing w:before="0" w:after="200" w:line="276" w:lineRule="auto"/>
              <w:jc w:val="left"/>
              <w:rPr>
                <w:color w:val="0000FF"/>
                <w:sz w:val="16"/>
                <w:szCs w:val="16"/>
                <w:u w:val="single"/>
              </w:rPr>
            </w:pPr>
            <w:r>
              <w:rPr>
                <w:rFonts w:cs="Arial"/>
                <w:sz w:val="16"/>
                <w:szCs w:val="16"/>
                <w:lang w:eastAsia="en-GB" w:bidi="ar-SA"/>
              </w:rPr>
              <w:t>Notification (One-Way)</w:t>
            </w:r>
          </w:p>
        </w:tc>
      </w:tr>
      <w:tr w:rsidR="00B97365" w14:paraId="09535C90" w14:textId="77777777">
        <w:trPr>
          <w:trHeight w:val="126"/>
          <w:jc w:val="center"/>
        </w:trPr>
        <w:tc>
          <w:tcPr>
            <w:tcW w:w="2830" w:type="dxa"/>
            <w:vMerge/>
            <w:tcBorders>
              <w:left w:val="single" w:sz="4" w:space="0" w:color="auto"/>
              <w:right w:val="single" w:sz="6" w:space="0" w:color="auto"/>
            </w:tcBorders>
            <w:vAlign w:val="center"/>
          </w:tcPr>
          <w:p w14:paraId="29E915AF"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6DF1A247" w14:textId="77777777" w:rsidR="00B97365" w:rsidRDefault="00000000">
            <w:pPr>
              <w:spacing w:after="120" w:line="276" w:lineRule="auto"/>
              <w:rPr>
                <w:rFonts w:cs="Arial"/>
                <w:b/>
                <w:sz w:val="16"/>
                <w:szCs w:val="16"/>
                <w:lang w:eastAsia="en-GB" w:bidi="ar-SA"/>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69EB7779"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http://gsma.com/ES2/ProfileManagement/ES2-</w:t>
            </w:r>
            <w:r>
              <w:rPr>
                <w:rFonts w:ascii="Courier New" w:hAnsi="Courier New" w:cs="Courier New"/>
                <w:sz w:val="16"/>
                <w:szCs w:val="16"/>
              </w:rPr>
              <w:t xml:space="preserve"> </w:t>
            </w:r>
            <w:r>
              <w:rPr>
                <w:rFonts w:cs="Arial"/>
                <w:sz w:val="16"/>
                <w:szCs w:val="16"/>
                <w:lang w:eastAsia="en-GB" w:bidi="ar-SA"/>
              </w:rPr>
              <w:t>HandleProfileDownloadedNotification</w:t>
            </w:r>
          </w:p>
        </w:tc>
      </w:tr>
      <w:tr w:rsidR="00B97365" w14:paraId="2F9F38B6" w14:textId="77777777">
        <w:trPr>
          <w:trHeight w:val="126"/>
          <w:jc w:val="center"/>
        </w:trPr>
        <w:tc>
          <w:tcPr>
            <w:tcW w:w="2830" w:type="dxa"/>
            <w:vMerge/>
            <w:tcBorders>
              <w:left w:val="single" w:sz="4" w:space="0" w:color="auto"/>
              <w:right w:val="single" w:sz="6" w:space="0" w:color="auto"/>
            </w:tcBorders>
            <w:vAlign w:val="center"/>
          </w:tcPr>
          <w:p w14:paraId="5E12C099"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1073A7F1" w14:textId="77777777" w:rsidR="00B97365" w:rsidRDefault="00000000">
            <w:pPr>
              <w:spacing w:after="120" w:line="276" w:lineRule="auto"/>
              <w:rPr>
                <w:rFonts w:cs="Arial"/>
                <w:b/>
                <w:sz w:val="16"/>
                <w:szCs w:val="16"/>
              </w:rPr>
            </w:pPr>
            <w:r>
              <w:rPr>
                <w:rFonts w:cs="Arial"/>
                <w:b/>
                <w:sz w:val="16"/>
                <w:szCs w:val="16"/>
              </w:rPr>
              <w:t xml:space="preserve">/wsa:Action  </w:t>
            </w:r>
          </w:p>
          <w:p w14:paraId="3FFE93C7" w14:textId="77777777" w:rsidR="00B97365" w:rsidRDefault="00000000">
            <w:pPr>
              <w:spacing w:after="120" w:line="276" w:lineRule="auto"/>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tcPr>
          <w:p w14:paraId="24782138"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(none)</w:t>
            </w:r>
          </w:p>
        </w:tc>
      </w:tr>
      <w:tr w:rsidR="00B97365" w14:paraId="1CC7C5E5" w14:textId="77777777">
        <w:trPr>
          <w:trHeight w:val="126"/>
          <w:jc w:val="center"/>
        </w:trPr>
        <w:tc>
          <w:tcPr>
            <w:tcW w:w="2830" w:type="dxa"/>
            <w:vMerge w:val="restart"/>
            <w:tcBorders>
              <w:left w:val="single" w:sz="4" w:space="0" w:color="auto"/>
              <w:right w:val="single" w:sz="6" w:space="0" w:color="auto"/>
            </w:tcBorders>
            <w:vAlign w:val="center"/>
          </w:tcPr>
          <w:p w14:paraId="0A4F7004" w14:textId="77777777" w:rsidR="00B97365" w:rsidRDefault="00000000">
            <w:pPr>
              <w:spacing w:before="0"/>
              <w:jc w:val="left"/>
              <w:rPr>
                <w:rFonts w:cs="Arial"/>
                <w:sz w:val="16"/>
                <w:szCs w:val="16"/>
                <w:lang w:eastAsia="en-GB" w:bidi="ar-SA"/>
              </w:rPr>
            </w:pPr>
            <w:r>
              <w:rPr>
                <w:rFonts w:cs="Arial"/>
                <w:sz w:val="16"/>
                <w:szCs w:val="16"/>
                <w:lang w:eastAsia="en-GB" w:bidi="ar-SA"/>
              </w:rPr>
              <w:t>HandlePLMAChangedNotification</w:t>
            </w:r>
          </w:p>
        </w:tc>
        <w:tc>
          <w:tcPr>
            <w:tcW w:w="1985" w:type="dxa"/>
            <w:tcBorders>
              <w:top w:val="single" w:sz="6" w:space="0" w:color="auto"/>
              <w:left w:val="single" w:sz="6" w:space="0" w:color="auto"/>
              <w:bottom w:val="single" w:sz="6" w:space="0" w:color="auto"/>
              <w:right w:val="single" w:sz="6" w:space="0" w:color="auto"/>
            </w:tcBorders>
            <w:vAlign w:val="center"/>
          </w:tcPr>
          <w:p w14:paraId="24891163" w14:textId="77777777" w:rsidR="00B97365" w:rsidRDefault="00000000">
            <w:pPr>
              <w:spacing w:after="120" w:line="276" w:lineRule="auto"/>
              <w:rPr>
                <w:rFonts w:cs="Arial"/>
                <w:b/>
                <w:sz w:val="16"/>
                <w:szCs w:val="16"/>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396CC4D4"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Notification (One-Way)</w:t>
            </w:r>
          </w:p>
        </w:tc>
      </w:tr>
      <w:tr w:rsidR="00B97365" w14:paraId="5B7C05A7" w14:textId="77777777">
        <w:trPr>
          <w:trHeight w:val="126"/>
          <w:jc w:val="center"/>
        </w:trPr>
        <w:tc>
          <w:tcPr>
            <w:tcW w:w="2830" w:type="dxa"/>
            <w:vMerge/>
            <w:tcBorders>
              <w:left w:val="single" w:sz="4" w:space="0" w:color="auto"/>
              <w:right w:val="single" w:sz="6" w:space="0" w:color="auto"/>
            </w:tcBorders>
            <w:vAlign w:val="center"/>
          </w:tcPr>
          <w:p w14:paraId="36FFA39B"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08343ABE" w14:textId="77777777" w:rsidR="00B97365" w:rsidRDefault="00000000">
            <w:pPr>
              <w:spacing w:after="120" w:line="276" w:lineRule="auto"/>
              <w:rPr>
                <w:rFonts w:cs="Arial"/>
                <w:b/>
                <w:sz w:val="16"/>
                <w:szCs w:val="16"/>
                <w:lang w:eastAsia="en-GB" w:bidi="ar-SA"/>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56BE3ECC"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http://gsma.com/ES2/ProfileManagement/ES2-</w:t>
            </w:r>
            <w:r>
              <w:rPr>
                <w:rFonts w:ascii="Courier New" w:hAnsi="Courier New" w:cs="Courier New"/>
                <w:sz w:val="16"/>
                <w:szCs w:val="16"/>
              </w:rPr>
              <w:t xml:space="preserve"> </w:t>
            </w:r>
            <w:r>
              <w:rPr>
                <w:rFonts w:cs="Arial"/>
                <w:sz w:val="16"/>
                <w:szCs w:val="16"/>
                <w:lang w:eastAsia="en-GB" w:bidi="ar-SA"/>
              </w:rPr>
              <w:t>HandlePLMAChangedNotification</w:t>
            </w:r>
          </w:p>
        </w:tc>
      </w:tr>
      <w:tr w:rsidR="00B97365" w14:paraId="1C02235E" w14:textId="77777777">
        <w:trPr>
          <w:trHeight w:val="126"/>
          <w:jc w:val="center"/>
        </w:trPr>
        <w:tc>
          <w:tcPr>
            <w:tcW w:w="2830" w:type="dxa"/>
            <w:vMerge/>
            <w:tcBorders>
              <w:left w:val="single" w:sz="4" w:space="0" w:color="auto"/>
              <w:right w:val="single" w:sz="6" w:space="0" w:color="auto"/>
            </w:tcBorders>
            <w:vAlign w:val="center"/>
          </w:tcPr>
          <w:p w14:paraId="3FF1C6F0"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3969B4E9" w14:textId="77777777" w:rsidR="00B97365" w:rsidRDefault="00000000">
            <w:pPr>
              <w:spacing w:after="120" w:line="276" w:lineRule="auto"/>
              <w:rPr>
                <w:rFonts w:cs="Arial"/>
                <w:b/>
                <w:sz w:val="16"/>
                <w:szCs w:val="16"/>
              </w:rPr>
            </w:pPr>
            <w:r>
              <w:rPr>
                <w:rFonts w:cs="Arial"/>
                <w:b/>
                <w:sz w:val="16"/>
                <w:szCs w:val="16"/>
              </w:rPr>
              <w:t xml:space="preserve">/wsa:Action  </w:t>
            </w:r>
          </w:p>
          <w:p w14:paraId="274E32AD" w14:textId="77777777" w:rsidR="00B97365" w:rsidRDefault="00000000">
            <w:pPr>
              <w:spacing w:after="120" w:line="276" w:lineRule="auto"/>
              <w:rPr>
                <w:rFonts w:cs="Arial"/>
                <w:b/>
                <w:sz w:val="16"/>
                <w:szCs w:val="16"/>
              </w:rPr>
            </w:pPr>
            <w:r>
              <w:rPr>
                <w:rFonts w:cs="Arial"/>
                <w:b/>
                <w:sz w:val="16"/>
                <w:szCs w:val="16"/>
              </w:rPr>
              <w:t>Response</w:t>
            </w:r>
          </w:p>
        </w:tc>
        <w:tc>
          <w:tcPr>
            <w:tcW w:w="4201" w:type="dxa"/>
            <w:tcBorders>
              <w:top w:val="single" w:sz="6" w:space="0" w:color="auto"/>
              <w:left w:val="single" w:sz="6" w:space="0" w:color="auto"/>
              <w:bottom w:val="single" w:sz="6" w:space="0" w:color="auto"/>
              <w:right w:val="single" w:sz="4" w:space="0" w:color="auto"/>
            </w:tcBorders>
            <w:vAlign w:val="center"/>
          </w:tcPr>
          <w:p w14:paraId="7DFADD20"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(none)</w:t>
            </w:r>
          </w:p>
        </w:tc>
      </w:tr>
      <w:tr w:rsidR="00B97365" w14:paraId="42182190" w14:textId="77777777">
        <w:trPr>
          <w:trHeight w:val="126"/>
          <w:jc w:val="center"/>
        </w:trPr>
        <w:tc>
          <w:tcPr>
            <w:tcW w:w="2830" w:type="dxa"/>
            <w:vMerge w:val="restart"/>
            <w:tcBorders>
              <w:left w:val="single" w:sz="4" w:space="0" w:color="auto"/>
              <w:right w:val="single" w:sz="6" w:space="0" w:color="auto"/>
            </w:tcBorders>
            <w:vAlign w:val="center"/>
          </w:tcPr>
          <w:p w14:paraId="191381AD" w14:textId="77777777" w:rsidR="00B97365" w:rsidRDefault="00000000">
            <w:pPr>
              <w:spacing w:before="0"/>
              <w:jc w:val="left"/>
              <w:rPr>
                <w:rFonts w:cs="Arial"/>
                <w:sz w:val="16"/>
                <w:szCs w:val="16"/>
                <w:lang w:eastAsia="en-GB" w:bidi="ar-SA"/>
              </w:rPr>
            </w:pPr>
            <w:r>
              <w:rPr>
                <w:rFonts w:cs="Arial"/>
                <w:sz w:val="16"/>
                <w:szCs w:val="16"/>
                <w:lang w:eastAsia="en-GB" w:bidi="ar-SA"/>
              </w:rPr>
              <w:t>HandlePolicyRulesUpdatedNotification</w:t>
            </w:r>
          </w:p>
        </w:tc>
        <w:tc>
          <w:tcPr>
            <w:tcW w:w="1985" w:type="dxa"/>
            <w:tcBorders>
              <w:top w:val="single" w:sz="6" w:space="0" w:color="auto"/>
              <w:left w:val="single" w:sz="6" w:space="0" w:color="auto"/>
              <w:bottom w:val="single" w:sz="6" w:space="0" w:color="auto"/>
              <w:right w:val="single" w:sz="6" w:space="0" w:color="auto"/>
            </w:tcBorders>
            <w:vAlign w:val="center"/>
          </w:tcPr>
          <w:p w14:paraId="1C6289FD" w14:textId="77777777" w:rsidR="00B97365" w:rsidRDefault="00000000">
            <w:pPr>
              <w:spacing w:after="120" w:line="276" w:lineRule="auto"/>
              <w:rPr>
                <w:rFonts w:cs="Arial"/>
                <w:b/>
                <w:sz w:val="16"/>
                <w:szCs w:val="16"/>
              </w:rPr>
            </w:pPr>
            <w:r>
              <w:rPr>
                <w:rFonts w:cs="Arial"/>
                <w:b/>
                <w:sz w:val="16"/>
                <w:szCs w:val="16"/>
                <w:lang w:eastAsia="en-GB" w:bidi="ar-SA"/>
              </w:rPr>
              <w:t>MEP</w:t>
            </w:r>
          </w:p>
        </w:tc>
        <w:tc>
          <w:tcPr>
            <w:tcW w:w="4201" w:type="dxa"/>
            <w:tcBorders>
              <w:top w:val="single" w:sz="6" w:space="0" w:color="auto"/>
              <w:left w:val="single" w:sz="6" w:space="0" w:color="auto"/>
              <w:bottom w:val="single" w:sz="6" w:space="0" w:color="auto"/>
              <w:right w:val="single" w:sz="4" w:space="0" w:color="auto"/>
            </w:tcBorders>
            <w:vAlign w:val="center"/>
          </w:tcPr>
          <w:p w14:paraId="0B5474F9"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Notification (One-Way)</w:t>
            </w:r>
          </w:p>
        </w:tc>
      </w:tr>
      <w:tr w:rsidR="00B97365" w14:paraId="78168F74" w14:textId="77777777">
        <w:trPr>
          <w:trHeight w:val="126"/>
          <w:jc w:val="center"/>
        </w:trPr>
        <w:tc>
          <w:tcPr>
            <w:tcW w:w="2830" w:type="dxa"/>
            <w:vMerge/>
            <w:tcBorders>
              <w:left w:val="single" w:sz="4" w:space="0" w:color="auto"/>
              <w:right w:val="single" w:sz="6" w:space="0" w:color="auto"/>
            </w:tcBorders>
            <w:vAlign w:val="center"/>
          </w:tcPr>
          <w:p w14:paraId="32CC787D"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693731D1" w14:textId="77777777" w:rsidR="00B97365" w:rsidRDefault="00000000">
            <w:pPr>
              <w:spacing w:after="120" w:line="276" w:lineRule="auto"/>
              <w:rPr>
                <w:rFonts w:cs="Arial"/>
                <w:b/>
                <w:sz w:val="16"/>
                <w:szCs w:val="16"/>
                <w:lang w:eastAsia="en-GB" w:bidi="ar-SA"/>
              </w:rPr>
            </w:pPr>
            <w:r>
              <w:rPr>
                <w:rFonts w:cs="Arial"/>
                <w:b/>
                <w:sz w:val="16"/>
                <w:szCs w:val="16"/>
              </w:rPr>
              <w:t>/wsa:Action  Request</w:t>
            </w:r>
          </w:p>
        </w:tc>
        <w:tc>
          <w:tcPr>
            <w:tcW w:w="4201" w:type="dxa"/>
            <w:tcBorders>
              <w:top w:val="single" w:sz="6" w:space="0" w:color="auto"/>
              <w:left w:val="single" w:sz="6" w:space="0" w:color="auto"/>
              <w:bottom w:val="single" w:sz="6" w:space="0" w:color="auto"/>
              <w:right w:val="single" w:sz="4" w:space="0" w:color="auto"/>
            </w:tcBorders>
            <w:vAlign w:val="center"/>
          </w:tcPr>
          <w:p w14:paraId="057F1A09"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http://gsma.com/ES2/ProfileManagement/ES2-</w:t>
            </w:r>
            <w:r>
              <w:rPr>
                <w:rFonts w:ascii="Courier New" w:hAnsi="Courier New" w:cs="Courier New"/>
                <w:sz w:val="16"/>
                <w:szCs w:val="16"/>
              </w:rPr>
              <w:t xml:space="preserve"> </w:t>
            </w:r>
            <w:r>
              <w:rPr>
                <w:rFonts w:cs="Arial"/>
                <w:sz w:val="16"/>
                <w:szCs w:val="16"/>
                <w:lang w:eastAsia="en-GB" w:bidi="ar-SA"/>
              </w:rPr>
              <w:t>HandlePolicyRulesUpdatedNotification</w:t>
            </w:r>
          </w:p>
        </w:tc>
      </w:tr>
      <w:tr w:rsidR="00B97365" w14:paraId="4876282B" w14:textId="77777777">
        <w:trPr>
          <w:trHeight w:val="126"/>
          <w:jc w:val="center"/>
        </w:trPr>
        <w:tc>
          <w:tcPr>
            <w:tcW w:w="2830" w:type="dxa"/>
            <w:vMerge/>
            <w:tcBorders>
              <w:left w:val="single" w:sz="4" w:space="0" w:color="auto"/>
              <w:right w:val="single" w:sz="6" w:space="0" w:color="auto"/>
            </w:tcBorders>
            <w:vAlign w:val="center"/>
          </w:tcPr>
          <w:p w14:paraId="148A3A39" w14:textId="77777777" w:rsidR="00B97365" w:rsidRDefault="00B97365">
            <w:pPr>
              <w:spacing w:before="0"/>
              <w:jc w:val="left"/>
              <w:rPr>
                <w:rFonts w:cs="Arial"/>
                <w:sz w:val="16"/>
                <w:szCs w:val="16"/>
                <w:lang w:eastAsia="en-GB" w:bidi="ar-SA"/>
              </w:rPr>
            </w:pPr>
          </w:p>
        </w:tc>
        <w:tc>
          <w:tcPr>
            <w:tcW w:w="1985" w:type="dxa"/>
            <w:tcBorders>
              <w:top w:val="single" w:sz="6" w:space="0" w:color="auto"/>
              <w:left w:val="single" w:sz="6" w:space="0" w:color="auto"/>
              <w:bottom w:val="single" w:sz="6" w:space="0" w:color="auto"/>
              <w:right w:val="single" w:sz="6" w:space="0" w:color="auto"/>
            </w:tcBorders>
            <w:vAlign w:val="center"/>
          </w:tcPr>
          <w:p w14:paraId="15E85189" w14:textId="77777777" w:rsidR="00B97365" w:rsidRDefault="00000000">
            <w:pPr>
              <w:spacing w:after="120" w:line="276" w:lineRule="auto"/>
              <w:rPr>
                <w:rFonts w:cs="Arial"/>
                <w:b/>
                <w:sz w:val="16"/>
                <w:szCs w:val="16"/>
              </w:rPr>
            </w:pPr>
            <w:r>
              <w:rPr>
                <w:rFonts w:cs="Arial"/>
                <w:b/>
                <w:sz w:val="16"/>
                <w:szCs w:val="16"/>
              </w:rPr>
              <w:t xml:space="preserve">/wsa:Action  </w:t>
            </w:r>
          </w:p>
          <w:p w14:paraId="0C8CAA6C" w14:textId="77777777" w:rsidR="00B97365" w:rsidRDefault="00000000">
            <w:pPr>
              <w:spacing w:after="120" w:line="276" w:lineRule="auto"/>
              <w:rPr>
                <w:rFonts w:cs="Arial"/>
                <w:b/>
                <w:sz w:val="16"/>
                <w:szCs w:val="16"/>
              </w:rPr>
            </w:pPr>
            <w:r>
              <w:rPr>
                <w:rFonts w:cs="Arial"/>
                <w:b/>
                <w:sz w:val="16"/>
                <w:szCs w:val="16"/>
              </w:rPr>
              <w:lastRenderedPageBreak/>
              <w:t>Response</w:t>
            </w:r>
          </w:p>
        </w:tc>
        <w:tc>
          <w:tcPr>
            <w:tcW w:w="4201" w:type="dxa"/>
            <w:tcBorders>
              <w:top w:val="single" w:sz="6" w:space="0" w:color="auto"/>
              <w:left w:val="single" w:sz="6" w:space="0" w:color="auto"/>
              <w:bottom w:val="single" w:sz="6" w:space="0" w:color="auto"/>
              <w:right w:val="single" w:sz="4" w:space="0" w:color="auto"/>
            </w:tcBorders>
            <w:vAlign w:val="center"/>
          </w:tcPr>
          <w:p w14:paraId="0B72A6D0"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lastRenderedPageBreak/>
              <w:t>(none)</w:t>
            </w:r>
          </w:p>
        </w:tc>
      </w:tr>
    </w:tbl>
    <w:p w14:paraId="77EFD2B5"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xml:space="preserve">: ES2 Function Binding </w:t>
      </w:r>
    </w:p>
    <w:p w14:paraId="467368D5" w14:textId="77777777" w:rsidR="00B97365" w:rsidRDefault="00B97365">
      <w:pPr>
        <w:spacing w:before="0" w:after="200" w:line="276" w:lineRule="auto"/>
        <w:jc w:val="left"/>
        <w:rPr>
          <w:rFonts w:cs="Calibri"/>
          <w:szCs w:val="22"/>
          <w:lang w:eastAsia="en-GB" w:bidi="ar-SA"/>
        </w:rPr>
      </w:pPr>
    </w:p>
    <w:p w14:paraId="54898F9D"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1872" w:name="_Toc448998371"/>
      <w:bookmarkStart w:id="11873" w:name="_Toc422150941"/>
      <w:bookmarkStart w:id="11874" w:name="_Toc421874526"/>
      <w:bookmarkStart w:id="11875" w:name="_Toc420595123"/>
      <w:bookmarkStart w:id="11876" w:name="_Toc398215097"/>
      <w:bookmarkStart w:id="11877" w:name="_Toc375158513"/>
      <w:bookmarkStart w:id="11878" w:name="_Toc374348675"/>
      <w:bookmarkStart w:id="11879" w:name="_Toc368932519"/>
      <w:bookmarkStart w:id="11880" w:name="_Toc486332988"/>
      <w:bookmarkStart w:id="11881" w:name="_Toc1977507"/>
      <w:bookmarkStart w:id="11882" w:name="_Toc37062666"/>
      <w:bookmarkStart w:id="11883" w:name="_Toc88839706"/>
      <w:bookmarkStart w:id="11884" w:name="_Toc121504114"/>
      <w:r>
        <w:rPr>
          <w:rFonts w:ascii="Arial Bold" w:hAnsi="Arial Bold"/>
          <w:sz w:val="24"/>
          <w:szCs w:val="24"/>
          <w:lang w:eastAsia="en-US"/>
        </w:rPr>
        <w:t>ES3</w:t>
      </w:r>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p>
    <w:tbl>
      <w:tblPr>
        <w:tblW w:w="90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0"/>
        <w:gridCol w:w="1843"/>
        <w:gridCol w:w="4394"/>
      </w:tblGrid>
      <w:tr w:rsidR="00B97365" w14:paraId="61E2C42E" w14:textId="77777777">
        <w:trPr>
          <w:trHeight w:val="327"/>
          <w:jc w:val="center"/>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C576AE1" w14:textId="77777777" w:rsidR="00B97365" w:rsidRDefault="00000000">
            <w:pPr>
              <w:jc w:val="center"/>
              <w:rPr>
                <w:rFonts w:cs="Arial"/>
                <w:b/>
                <w:color w:val="FFFFFF"/>
                <w:sz w:val="16"/>
                <w:szCs w:val="16"/>
              </w:rPr>
            </w:pPr>
            <w:r>
              <w:rPr>
                <w:rFonts w:cs="Arial"/>
                <w:b/>
                <w:color w:val="FFFFFF"/>
                <w:sz w:val="16"/>
                <w:szCs w:val="16"/>
              </w:rPr>
              <w:t>Function name</w:t>
            </w:r>
          </w:p>
        </w:tc>
        <w:tc>
          <w:tcPr>
            <w:tcW w:w="6237" w:type="dxa"/>
            <w:gridSpan w:val="2"/>
            <w:tcBorders>
              <w:top w:val="single" w:sz="4" w:space="0" w:color="auto"/>
              <w:left w:val="single" w:sz="6" w:space="0" w:color="auto"/>
              <w:bottom w:val="single" w:sz="6" w:space="0" w:color="auto"/>
              <w:right w:val="single" w:sz="4" w:space="0" w:color="auto"/>
            </w:tcBorders>
            <w:shd w:val="clear" w:color="auto" w:fill="C00000"/>
            <w:vAlign w:val="center"/>
            <w:hideMark/>
          </w:tcPr>
          <w:p w14:paraId="00AC0259" w14:textId="77777777" w:rsidR="00B97365" w:rsidRDefault="00000000">
            <w:pPr>
              <w:jc w:val="center"/>
              <w:rPr>
                <w:rFonts w:cs="Arial"/>
                <w:b/>
                <w:color w:val="FFFFFF"/>
                <w:sz w:val="16"/>
                <w:szCs w:val="16"/>
              </w:rPr>
            </w:pPr>
            <w:r>
              <w:rPr>
                <w:rFonts w:cs="Arial"/>
                <w:b/>
                <w:color w:val="FFFFFF"/>
                <w:sz w:val="16"/>
                <w:szCs w:val="16"/>
              </w:rPr>
              <w:t>Binding Information</w:t>
            </w:r>
          </w:p>
        </w:tc>
      </w:tr>
      <w:tr w:rsidR="00B97365" w14:paraId="19D7F1D0"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538D0D3A" w14:textId="77777777" w:rsidR="00B97365" w:rsidRDefault="00000000">
            <w:pPr>
              <w:rPr>
                <w:rFonts w:cs="Arial"/>
                <w:sz w:val="16"/>
                <w:szCs w:val="16"/>
              </w:rPr>
            </w:pPr>
            <w:r>
              <w:rPr>
                <w:rFonts w:cs="Arial"/>
                <w:sz w:val="16"/>
                <w:szCs w:val="16"/>
              </w:rPr>
              <w:t>GetEIS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5413A51"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26723E0" w14:textId="77777777" w:rsidR="00B97365" w:rsidRDefault="00000000">
            <w:pPr>
              <w:spacing w:after="120" w:line="276" w:lineRule="auto"/>
              <w:rPr>
                <w:rFonts w:cs="Arial"/>
                <w:sz w:val="16"/>
                <w:szCs w:val="16"/>
              </w:rPr>
            </w:pPr>
            <w:r>
              <w:rPr>
                <w:rFonts w:cs="Arial"/>
                <w:sz w:val="16"/>
                <w:szCs w:val="16"/>
              </w:rPr>
              <w:t>Synchronous Request-Response</w:t>
            </w:r>
          </w:p>
        </w:tc>
      </w:tr>
      <w:tr w:rsidR="00B97365" w14:paraId="000CE63C"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C647D33"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0623CFB1"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6E37BB0" w14:textId="77777777" w:rsidR="00B97365" w:rsidRDefault="00000000">
            <w:pPr>
              <w:spacing w:after="120" w:line="276" w:lineRule="auto"/>
              <w:rPr>
                <w:rFonts w:cs="Arial"/>
                <w:sz w:val="16"/>
                <w:szCs w:val="16"/>
              </w:rPr>
            </w:pPr>
            <w:r>
              <w:rPr>
                <w:rFonts w:cs="Arial"/>
                <w:sz w:val="16"/>
                <w:szCs w:val="16"/>
              </w:rPr>
              <w:t>http://gsma.com/ES3/</w:t>
            </w:r>
            <w:r>
              <w:rPr>
                <w:rFonts w:cs="Arial"/>
                <w:sz w:val="16"/>
                <w:szCs w:val="16"/>
                <w:lang w:eastAsia="en-GB"/>
              </w:rPr>
              <w:t>ProfileManagement</w:t>
            </w:r>
            <w:r>
              <w:rPr>
                <w:rFonts w:cs="Arial"/>
                <w:sz w:val="16"/>
                <w:szCs w:val="16"/>
              </w:rPr>
              <w:t>/ES3-GetEISRequest</w:t>
            </w:r>
          </w:p>
        </w:tc>
      </w:tr>
      <w:tr w:rsidR="00B97365" w14:paraId="2195B008"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9E9305E"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1F12BD7"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C2BA640" w14:textId="77777777" w:rsidR="00B97365" w:rsidRDefault="00000000">
            <w:pPr>
              <w:spacing w:after="120" w:line="276" w:lineRule="auto"/>
              <w:rPr>
                <w:rFonts w:cs="Arial"/>
                <w:sz w:val="16"/>
                <w:szCs w:val="16"/>
              </w:rPr>
            </w:pPr>
            <w:r>
              <w:rPr>
                <w:rFonts w:cs="Arial"/>
                <w:sz w:val="16"/>
                <w:szCs w:val="16"/>
              </w:rPr>
              <w:t>http://gsma.com/ES3/</w:t>
            </w:r>
            <w:r>
              <w:rPr>
                <w:rFonts w:cs="Arial"/>
                <w:sz w:val="16"/>
                <w:szCs w:val="16"/>
                <w:lang w:eastAsia="en-GB"/>
              </w:rPr>
              <w:t>ProfileManagement</w:t>
            </w:r>
            <w:r>
              <w:rPr>
                <w:rFonts w:cs="Arial"/>
                <w:sz w:val="16"/>
                <w:szCs w:val="16"/>
              </w:rPr>
              <w:t>/ES3-GetEISResponse</w:t>
            </w:r>
          </w:p>
        </w:tc>
      </w:tr>
      <w:tr w:rsidR="00B97365" w14:paraId="2D8E784F"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068EE107" w14:textId="77777777" w:rsidR="00B97365" w:rsidRDefault="00000000">
            <w:pPr>
              <w:spacing w:after="120" w:line="276" w:lineRule="auto"/>
              <w:rPr>
                <w:rFonts w:cs="Arial"/>
                <w:sz w:val="16"/>
                <w:szCs w:val="16"/>
              </w:rPr>
            </w:pPr>
            <w:r>
              <w:rPr>
                <w:rFonts w:cs="Arial"/>
                <w:sz w:val="16"/>
                <w:szCs w:val="16"/>
              </w:rPr>
              <w:t>AuditEIS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25B6CE9"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86DF64A"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041A8CEF"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DAA3941"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16634231"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8EF0187" w14:textId="77777777" w:rsidR="00B97365" w:rsidRDefault="00000000">
            <w:pPr>
              <w:spacing w:after="120" w:line="276" w:lineRule="auto"/>
              <w:rPr>
                <w:rFonts w:cs="Arial"/>
                <w:sz w:val="16"/>
                <w:szCs w:val="16"/>
              </w:rPr>
            </w:pPr>
            <w:hyperlink r:id="rId137" w:history="1">
              <w:r>
                <w:rPr>
                  <w:color w:val="0000FF"/>
                  <w:sz w:val="16"/>
                  <w:szCs w:val="16"/>
                  <w:u w:val="single"/>
                </w:rPr>
                <w:t>http://gsma.com/ES3/ProfileManagement/ES3-AuditEIS</w:t>
              </w:r>
            </w:hyperlink>
          </w:p>
        </w:tc>
      </w:tr>
      <w:tr w:rsidR="00B97365" w14:paraId="53CCEA7D"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99D6E17"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779523D8"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F8D1E37" w14:textId="77777777" w:rsidR="00B97365" w:rsidRDefault="00000000">
            <w:pPr>
              <w:spacing w:after="120" w:line="276" w:lineRule="auto"/>
              <w:rPr>
                <w:rFonts w:cs="Arial"/>
                <w:sz w:val="16"/>
                <w:szCs w:val="16"/>
              </w:rPr>
            </w:pPr>
            <w:hyperlink r:id="rId138" w:history="1">
              <w:r>
                <w:rPr>
                  <w:color w:val="0000FF"/>
                  <w:sz w:val="16"/>
                  <w:szCs w:val="16"/>
                  <w:u w:val="single"/>
                </w:rPr>
                <w:t>http://gsma.com/ES3/ProfileManagementCallBack/ES3-AuditEIS</w:t>
              </w:r>
            </w:hyperlink>
          </w:p>
        </w:tc>
      </w:tr>
      <w:tr w:rsidR="00B97365" w14:paraId="29F8D7D1"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774C9453" w14:textId="77777777" w:rsidR="00B97365" w:rsidRDefault="00000000">
            <w:pPr>
              <w:spacing w:after="120" w:line="276" w:lineRule="auto"/>
              <w:rPr>
                <w:rFonts w:cs="Arial"/>
                <w:sz w:val="16"/>
                <w:szCs w:val="16"/>
              </w:rPr>
            </w:pPr>
            <w:r>
              <w:rPr>
                <w:rFonts w:cs="Arial"/>
                <w:sz w:val="16"/>
                <w:szCs w:val="16"/>
              </w:rPr>
              <w:t>CreateISDP</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FE328F7"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8A76C76"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7EE8408F"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A7C2473"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178F1A1C"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7E95ED7" w14:textId="77777777" w:rsidR="00B97365" w:rsidRDefault="00000000">
            <w:pPr>
              <w:spacing w:after="120" w:line="276" w:lineRule="auto"/>
              <w:rPr>
                <w:rFonts w:cs="Arial"/>
                <w:sz w:val="16"/>
                <w:szCs w:val="16"/>
              </w:rPr>
            </w:pPr>
            <w:hyperlink r:id="rId139" w:history="1">
              <w:r>
                <w:rPr>
                  <w:color w:val="0000FF"/>
                  <w:sz w:val="16"/>
                  <w:szCs w:val="16"/>
                  <w:u w:val="single"/>
                </w:rPr>
                <w:t>http://gsma.com/ES3/ProfileManagement/ES3-CreateISDP</w:t>
              </w:r>
            </w:hyperlink>
          </w:p>
        </w:tc>
      </w:tr>
      <w:tr w:rsidR="00B97365" w14:paraId="3A338298"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F01A1B7"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CA5B561"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C2C4A84" w14:textId="77777777" w:rsidR="00B97365" w:rsidRDefault="00000000">
            <w:pPr>
              <w:spacing w:after="120" w:line="276" w:lineRule="auto"/>
              <w:rPr>
                <w:rFonts w:cs="Arial"/>
                <w:sz w:val="16"/>
                <w:szCs w:val="16"/>
              </w:rPr>
            </w:pPr>
            <w:hyperlink r:id="rId140" w:history="1">
              <w:r>
                <w:rPr>
                  <w:color w:val="0000FF"/>
                  <w:sz w:val="16"/>
                  <w:szCs w:val="16"/>
                  <w:u w:val="single"/>
                </w:rPr>
                <w:t>http://gsma.com/ES3/ProfileManagemenCallBack/ES3-CreateISDP</w:t>
              </w:r>
            </w:hyperlink>
          </w:p>
        </w:tc>
      </w:tr>
      <w:tr w:rsidR="00B97365" w14:paraId="5B3C1E86"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6525D67C" w14:textId="77777777" w:rsidR="00B97365" w:rsidRDefault="00000000">
            <w:pPr>
              <w:spacing w:after="120" w:line="276" w:lineRule="auto"/>
              <w:rPr>
                <w:rFonts w:cs="Arial"/>
                <w:sz w:val="16"/>
                <w:szCs w:val="16"/>
              </w:rPr>
            </w:pPr>
            <w:r>
              <w:rPr>
                <w:rFonts w:cs="Arial"/>
                <w:sz w:val="16"/>
                <w:szCs w:val="16"/>
              </w:rPr>
              <w:t>SendData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7A24802"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7B16353"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6068925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C6BDD70"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411AD499"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3D5AD34A" w14:textId="77777777" w:rsidR="00B97365" w:rsidRDefault="00000000">
            <w:pPr>
              <w:spacing w:after="120" w:line="276" w:lineRule="auto"/>
              <w:rPr>
                <w:rFonts w:cs="Arial"/>
                <w:sz w:val="16"/>
                <w:szCs w:val="16"/>
              </w:rPr>
            </w:pPr>
            <w:hyperlink r:id="rId141" w:history="1">
              <w:r>
                <w:rPr>
                  <w:color w:val="0000FF"/>
                  <w:sz w:val="16"/>
                  <w:szCs w:val="16"/>
                  <w:u w:val="single"/>
                </w:rPr>
                <w:t>http://gsma.com/ES3/ProfileManagement/ES3-SendData</w:t>
              </w:r>
            </w:hyperlink>
          </w:p>
        </w:tc>
      </w:tr>
      <w:tr w:rsidR="00B97365" w14:paraId="3927092B"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6C26F31"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0C307A01"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3AC52B9D" w14:textId="77777777" w:rsidR="00B97365" w:rsidRDefault="00000000">
            <w:pPr>
              <w:spacing w:after="120" w:line="276" w:lineRule="auto"/>
              <w:rPr>
                <w:rFonts w:cs="Arial"/>
                <w:sz w:val="16"/>
                <w:szCs w:val="16"/>
              </w:rPr>
            </w:pPr>
            <w:hyperlink r:id="rId142" w:history="1">
              <w:r>
                <w:rPr>
                  <w:color w:val="0000FF"/>
                  <w:sz w:val="16"/>
                  <w:szCs w:val="16"/>
                  <w:u w:val="single"/>
                </w:rPr>
                <w:t>http://gsma.com/ES3/ProfileManagementCallBack/ES3-SendData</w:t>
              </w:r>
            </w:hyperlink>
          </w:p>
        </w:tc>
      </w:tr>
      <w:tr w:rsidR="00B97365" w14:paraId="1C06A655"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29977603" w14:textId="77777777" w:rsidR="00B97365" w:rsidRDefault="00000000">
            <w:pPr>
              <w:spacing w:after="120" w:line="276" w:lineRule="auto"/>
              <w:rPr>
                <w:rFonts w:cs="Arial"/>
                <w:sz w:val="16"/>
                <w:szCs w:val="16"/>
              </w:rPr>
            </w:pPr>
            <w:r>
              <w:rPr>
                <w:rFonts w:cs="Arial"/>
                <w:sz w:val="16"/>
                <w:szCs w:val="16"/>
              </w:rPr>
              <w:t>ProfileDownloadCompleted</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2971E31"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A6E141E" w14:textId="77777777" w:rsidR="00B97365" w:rsidRDefault="00000000">
            <w:pPr>
              <w:spacing w:after="120" w:line="276" w:lineRule="auto"/>
              <w:rPr>
                <w:rFonts w:cs="Arial"/>
                <w:sz w:val="16"/>
                <w:szCs w:val="16"/>
              </w:rPr>
            </w:pPr>
            <w:r>
              <w:rPr>
                <w:rFonts w:cs="Arial"/>
                <w:sz w:val="16"/>
                <w:szCs w:val="16"/>
              </w:rPr>
              <w:t>Synchronous Request-Response</w:t>
            </w:r>
          </w:p>
        </w:tc>
      </w:tr>
      <w:tr w:rsidR="00B97365" w14:paraId="2955FF3B"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627BFC7"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7DF51845"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3EB10D3F" w14:textId="77777777" w:rsidR="00B97365" w:rsidRDefault="00000000">
            <w:pPr>
              <w:spacing w:after="120" w:line="276" w:lineRule="auto"/>
              <w:rPr>
                <w:rFonts w:cs="Arial"/>
                <w:sz w:val="16"/>
                <w:szCs w:val="16"/>
              </w:rPr>
            </w:pPr>
            <w:r>
              <w:rPr>
                <w:rFonts w:cs="Arial"/>
                <w:sz w:val="16"/>
                <w:szCs w:val="16"/>
              </w:rPr>
              <w:t>http://gsma.com/ES3/ProfileManagement/ES3-ProfileDownloadedCompletedRequest</w:t>
            </w:r>
          </w:p>
        </w:tc>
      </w:tr>
      <w:tr w:rsidR="00B97365" w14:paraId="319AB569"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632D5000"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C62FA79"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C2FD211" w14:textId="77777777" w:rsidR="00B97365" w:rsidRDefault="00000000">
            <w:pPr>
              <w:spacing w:after="120" w:line="276" w:lineRule="auto"/>
              <w:rPr>
                <w:rFonts w:cs="Arial"/>
                <w:sz w:val="16"/>
                <w:szCs w:val="16"/>
              </w:rPr>
            </w:pPr>
            <w:r>
              <w:rPr>
                <w:rFonts w:cs="Arial"/>
                <w:sz w:val="16"/>
                <w:szCs w:val="16"/>
              </w:rPr>
              <w:t>http://gsma.com/ES3/ProfileManagement/ES3-ProfileDownloadedCompletedResponse</w:t>
            </w:r>
          </w:p>
        </w:tc>
      </w:tr>
      <w:tr w:rsidR="00B97365" w14:paraId="1C2C3089"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172E51D1" w14:textId="77777777" w:rsidR="00B97365" w:rsidRDefault="00000000">
            <w:pPr>
              <w:spacing w:after="120" w:line="276" w:lineRule="auto"/>
              <w:rPr>
                <w:rFonts w:cs="Arial"/>
                <w:sz w:val="16"/>
                <w:szCs w:val="16"/>
              </w:rPr>
            </w:pPr>
            <w:r>
              <w:rPr>
                <w:rFonts w:cs="Arial"/>
                <w:sz w:val="16"/>
                <w:szCs w:val="16"/>
              </w:rPr>
              <w:t>UpdatePolicyRules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7057C24"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8785A47" w14:textId="77777777" w:rsidR="00B97365" w:rsidRDefault="00000000">
            <w:pPr>
              <w:spacing w:after="120" w:line="276" w:lineRule="auto"/>
              <w:rPr>
                <w:rFonts w:cs="Arial"/>
                <w:sz w:val="16"/>
                <w:szCs w:val="16"/>
              </w:rPr>
            </w:pPr>
            <w:r>
              <w:rPr>
                <w:rFonts w:cs="Arial"/>
                <w:sz w:val="16"/>
                <w:szCs w:val="16"/>
              </w:rPr>
              <w:t>Synchronous Request-Response</w:t>
            </w:r>
          </w:p>
        </w:tc>
      </w:tr>
      <w:tr w:rsidR="00B97365" w14:paraId="2C5B786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664EA9F8"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72DB83C1"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A5A7C32" w14:textId="77777777" w:rsidR="00B97365" w:rsidRDefault="00000000">
            <w:pPr>
              <w:spacing w:after="120" w:line="276" w:lineRule="auto"/>
              <w:rPr>
                <w:rFonts w:cs="Arial"/>
                <w:sz w:val="16"/>
                <w:szCs w:val="16"/>
              </w:rPr>
            </w:pPr>
            <w:hyperlink r:id="rId143" w:history="1">
              <w:r>
                <w:rPr>
                  <w:color w:val="0000FF"/>
                  <w:sz w:val="16"/>
                  <w:szCs w:val="16"/>
                  <w:u w:val="single"/>
                </w:rPr>
                <w:t>http://gsma.com/ES3/ProfileManagement/ES3-UpdatePolicyRules</w:t>
              </w:r>
            </w:hyperlink>
            <w:r>
              <w:rPr>
                <w:color w:val="0000FF"/>
                <w:sz w:val="16"/>
                <w:szCs w:val="16"/>
                <w:u w:val="single"/>
              </w:rPr>
              <w:t>Request</w:t>
            </w:r>
          </w:p>
        </w:tc>
      </w:tr>
      <w:tr w:rsidR="00B97365" w14:paraId="3FB22EE2"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C2628DC"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EFA50EB"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3FF2EC6" w14:textId="77777777" w:rsidR="00B97365" w:rsidRDefault="00000000">
            <w:pPr>
              <w:spacing w:after="120" w:line="276" w:lineRule="auto"/>
              <w:rPr>
                <w:rFonts w:cs="Arial"/>
                <w:sz w:val="16"/>
                <w:szCs w:val="16"/>
              </w:rPr>
            </w:pPr>
            <w:r>
              <w:rPr>
                <w:rFonts w:cs="Arial"/>
                <w:sz w:val="16"/>
                <w:szCs w:val="16"/>
              </w:rPr>
              <w:t>http://gsma.com/ES3/ProfileManagement/ES3-UpdatePolicyRulesResponse</w:t>
            </w:r>
          </w:p>
        </w:tc>
      </w:tr>
      <w:tr w:rsidR="00B97365" w14:paraId="35F2AA10"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31BD5C7C" w14:textId="77777777" w:rsidR="00B97365" w:rsidRDefault="00000000">
            <w:pPr>
              <w:spacing w:after="120" w:line="276" w:lineRule="auto"/>
              <w:rPr>
                <w:rFonts w:cs="Arial"/>
                <w:sz w:val="16"/>
                <w:szCs w:val="16"/>
              </w:rPr>
            </w:pPr>
            <w:r>
              <w:rPr>
                <w:rFonts w:cs="Arial"/>
                <w:sz w:val="16"/>
                <w:szCs w:val="16"/>
              </w:rPr>
              <w:t>UpdateSubscriptionAddress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91C65B"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B736B93" w14:textId="77777777" w:rsidR="00B97365" w:rsidRDefault="00000000">
            <w:pPr>
              <w:spacing w:after="120" w:line="276" w:lineRule="auto"/>
              <w:rPr>
                <w:rFonts w:cs="Arial"/>
                <w:sz w:val="16"/>
                <w:szCs w:val="16"/>
              </w:rPr>
            </w:pPr>
            <w:r>
              <w:rPr>
                <w:rFonts w:cs="Arial"/>
                <w:sz w:val="16"/>
                <w:szCs w:val="16"/>
              </w:rPr>
              <w:t>Synchronous Request-Response</w:t>
            </w:r>
          </w:p>
        </w:tc>
      </w:tr>
      <w:tr w:rsidR="00B97365" w14:paraId="23A32E18"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3973027A"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0C32D3EC"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4F8B0CC" w14:textId="77777777" w:rsidR="00B97365" w:rsidRDefault="00000000">
            <w:pPr>
              <w:spacing w:after="120" w:line="276" w:lineRule="auto"/>
              <w:rPr>
                <w:rFonts w:cs="Arial"/>
                <w:sz w:val="16"/>
                <w:szCs w:val="16"/>
              </w:rPr>
            </w:pPr>
            <w:r>
              <w:rPr>
                <w:rFonts w:cs="Arial"/>
                <w:sz w:val="16"/>
                <w:szCs w:val="16"/>
              </w:rPr>
              <w:t>http://gsma.com/ES3/ProfileManagement/ES3-UpdateSubscriptionAddressRequest</w:t>
            </w:r>
          </w:p>
        </w:tc>
      </w:tr>
      <w:tr w:rsidR="00B97365" w14:paraId="5A0E4742"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62C1A19"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24F20095"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30D2340" w14:textId="77777777" w:rsidR="00B97365" w:rsidRDefault="00000000">
            <w:pPr>
              <w:spacing w:after="120" w:line="276" w:lineRule="auto"/>
              <w:rPr>
                <w:rFonts w:cs="Arial"/>
                <w:sz w:val="16"/>
                <w:szCs w:val="16"/>
              </w:rPr>
            </w:pPr>
            <w:r>
              <w:rPr>
                <w:rFonts w:cs="Arial"/>
                <w:sz w:val="16"/>
                <w:szCs w:val="16"/>
              </w:rPr>
              <w:t>http://gsma.com/ES3/ProfileManagement/ES3-UpdateSubscriptionAddressResponse</w:t>
            </w:r>
          </w:p>
        </w:tc>
      </w:tr>
      <w:tr w:rsidR="00B97365" w14:paraId="571453EC"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70D0964D" w14:textId="77777777" w:rsidR="00B97365" w:rsidRDefault="00000000">
            <w:pPr>
              <w:spacing w:after="120" w:line="276" w:lineRule="auto"/>
              <w:rPr>
                <w:rFonts w:cs="Arial"/>
                <w:sz w:val="16"/>
                <w:szCs w:val="16"/>
              </w:rPr>
            </w:pPr>
            <w:r>
              <w:rPr>
                <w:rFonts w:cs="Arial"/>
                <w:sz w:val="16"/>
                <w:szCs w:val="16"/>
              </w:rPr>
              <w:t>EnableProfile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D22F453"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103BA72"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2E960199"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1E45A87"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7071C60E"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7C7FF32" w14:textId="77777777" w:rsidR="00B97365" w:rsidRDefault="00000000">
            <w:pPr>
              <w:spacing w:after="120" w:line="276" w:lineRule="auto"/>
              <w:rPr>
                <w:rFonts w:cs="Arial"/>
                <w:sz w:val="16"/>
                <w:szCs w:val="16"/>
              </w:rPr>
            </w:pPr>
            <w:hyperlink r:id="rId144" w:history="1">
              <w:r>
                <w:rPr>
                  <w:color w:val="0000FF"/>
                  <w:sz w:val="16"/>
                  <w:szCs w:val="16"/>
                  <w:u w:val="single"/>
                </w:rPr>
                <w:t>http://gsma.com/ES3/PlatformManagement/ES3-EnableProfile</w:t>
              </w:r>
            </w:hyperlink>
          </w:p>
        </w:tc>
      </w:tr>
      <w:tr w:rsidR="00B97365" w14:paraId="40ADA9FC"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BC81BA7"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6D9C409"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B427C76" w14:textId="77777777" w:rsidR="00B97365" w:rsidRDefault="00000000">
            <w:pPr>
              <w:spacing w:after="120" w:line="276" w:lineRule="auto"/>
              <w:rPr>
                <w:rFonts w:cs="Arial"/>
                <w:sz w:val="16"/>
                <w:szCs w:val="16"/>
              </w:rPr>
            </w:pPr>
            <w:r>
              <w:rPr>
                <w:rFonts w:cs="Arial"/>
                <w:sz w:val="16"/>
                <w:szCs w:val="16"/>
              </w:rPr>
              <w:t>http://gsma.com/ES3/PlatformManagementCallBack/ES3-EnableProfile</w:t>
            </w:r>
          </w:p>
        </w:tc>
      </w:tr>
      <w:tr w:rsidR="00B97365" w14:paraId="0BBAC678"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615F10C5" w14:textId="77777777" w:rsidR="00B97365" w:rsidRDefault="00000000">
            <w:pPr>
              <w:spacing w:after="120" w:line="276" w:lineRule="auto"/>
              <w:rPr>
                <w:rFonts w:cs="Arial"/>
                <w:sz w:val="16"/>
                <w:szCs w:val="16"/>
              </w:rPr>
            </w:pPr>
            <w:r>
              <w:rPr>
                <w:rFonts w:cs="Arial"/>
                <w:sz w:val="16"/>
                <w:szCs w:val="16"/>
              </w:rPr>
              <w:t>DisableProfile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71348CF"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9DCEE9C"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00B99DC4"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75C9D5F"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70E0CB1"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109D192" w14:textId="77777777" w:rsidR="00B97365" w:rsidRDefault="00000000">
            <w:pPr>
              <w:spacing w:after="120" w:line="276" w:lineRule="auto"/>
              <w:rPr>
                <w:rFonts w:cs="Arial"/>
                <w:sz w:val="16"/>
                <w:szCs w:val="16"/>
              </w:rPr>
            </w:pPr>
            <w:hyperlink r:id="rId145" w:history="1">
              <w:r>
                <w:rPr>
                  <w:color w:val="0000FF"/>
                  <w:sz w:val="16"/>
                  <w:szCs w:val="16"/>
                  <w:u w:val="single"/>
                </w:rPr>
                <w:t>http://gsma.com/ES3/PlatformManagement/ES3-DisableProfile</w:t>
              </w:r>
            </w:hyperlink>
          </w:p>
        </w:tc>
      </w:tr>
      <w:tr w:rsidR="00B97365" w14:paraId="71FAFDBB"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6BE625DE"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7747A24B"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22A0B2A" w14:textId="77777777" w:rsidR="00B97365" w:rsidRDefault="00000000">
            <w:pPr>
              <w:spacing w:after="120" w:line="276" w:lineRule="auto"/>
              <w:rPr>
                <w:rFonts w:cs="Arial"/>
                <w:sz w:val="16"/>
                <w:szCs w:val="16"/>
              </w:rPr>
            </w:pPr>
            <w:r>
              <w:rPr>
                <w:rFonts w:cs="Arial"/>
                <w:sz w:val="16"/>
                <w:szCs w:val="16"/>
              </w:rPr>
              <w:t>http://gsma.com/ES3/PlatformManagementCallBack/ES3-DisableProfile</w:t>
            </w:r>
          </w:p>
        </w:tc>
      </w:tr>
      <w:tr w:rsidR="00B97365" w14:paraId="3C60ECF7"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44E4E6F8" w14:textId="77777777" w:rsidR="00B97365" w:rsidRDefault="00000000">
            <w:pPr>
              <w:spacing w:after="120" w:line="276" w:lineRule="auto"/>
              <w:rPr>
                <w:rFonts w:cs="Arial"/>
                <w:sz w:val="16"/>
                <w:szCs w:val="16"/>
              </w:rPr>
            </w:pPr>
            <w:r>
              <w:rPr>
                <w:rFonts w:cs="Arial"/>
                <w:sz w:val="16"/>
                <w:szCs w:val="16"/>
              </w:rPr>
              <w:t>DeleteISDP</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C7D91A3"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848D004"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538357EA"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6D6F8C74"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B6C3E57"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32A087B7" w14:textId="77777777" w:rsidR="00B97365" w:rsidRDefault="00000000">
            <w:pPr>
              <w:spacing w:after="120" w:line="276" w:lineRule="auto"/>
              <w:rPr>
                <w:rFonts w:cs="Arial"/>
                <w:sz w:val="16"/>
                <w:szCs w:val="16"/>
              </w:rPr>
            </w:pPr>
            <w:hyperlink r:id="rId146" w:history="1">
              <w:r>
                <w:rPr>
                  <w:color w:val="0000FF"/>
                  <w:sz w:val="16"/>
                  <w:szCs w:val="16"/>
                  <w:u w:val="single"/>
                </w:rPr>
                <w:t>http://gsma.com/ES3/PlatformManagement/ES3-DeleteISDP</w:t>
              </w:r>
            </w:hyperlink>
          </w:p>
        </w:tc>
      </w:tr>
      <w:tr w:rsidR="00B97365" w14:paraId="6ECE98FC"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70D07D14"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095B56A3"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0177420" w14:textId="77777777" w:rsidR="00B97365" w:rsidRDefault="00000000">
            <w:pPr>
              <w:spacing w:after="120" w:line="276" w:lineRule="auto"/>
              <w:rPr>
                <w:rFonts w:cs="Arial"/>
                <w:sz w:val="16"/>
                <w:szCs w:val="16"/>
              </w:rPr>
            </w:pPr>
            <w:hyperlink r:id="rId147" w:history="1">
              <w:r>
                <w:rPr>
                  <w:color w:val="0000FF"/>
                  <w:sz w:val="16"/>
                  <w:szCs w:val="16"/>
                  <w:u w:val="single"/>
                </w:rPr>
                <w:t>http://gsma.com/ES3/PlatformManagementCallBack/ES3-DeleteISDP</w:t>
              </w:r>
            </w:hyperlink>
          </w:p>
        </w:tc>
      </w:tr>
      <w:tr w:rsidR="00B97365" w14:paraId="0A5BC427"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06CFDF94" w14:textId="77777777" w:rsidR="00B97365" w:rsidRDefault="00000000">
            <w:pPr>
              <w:spacing w:after="120" w:line="276" w:lineRule="auto"/>
              <w:rPr>
                <w:rFonts w:cs="Arial"/>
                <w:sz w:val="16"/>
                <w:szCs w:val="16"/>
              </w:rPr>
            </w:pPr>
            <w:r>
              <w:rPr>
                <w:rFonts w:cs="Arial"/>
                <w:sz w:val="16"/>
                <w:szCs w:val="16"/>
              </w:rPr>
              <w:t>UpdateConnectivityParameters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FC0F71F"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8D54F9B"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010367D6"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7D80D3A5"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2446C15"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5F3474F" w14:textId="77777777" w:rsidR="00B97365" w:rsidRDefault="00000000">
            <w:pPr>
              <w:spacing w:after="120" w:line="276" w:lineRule="auto"/>
              <w:rPr>
                <w:rFonts w:cs="Arial"/>
                <w:sz w:val="16"/>
                <w:szCs w:val="16"/>
              </w:rPr>
            </w:pPr>
            <w:r>
              <w:rPr>
                <w:rFonts w:cs="Arial"/>
                <w:sz w:val="16"/>
                <w:szCs w:val="16"/>
              </w:rPr>
              <w:t>http://gsma.com/ES3/PlatformManagement/ES3-UpdateConnectivityParameters</w:t>
            </w:r>
          </w:p>
        </w:tc>
      </w:tr>
      <w:tr w:rsidR="00B97365" w14:paraId="339E1A67"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7AB330D0"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4764A4FB"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B1A1B81" w14:textId="77777777" w:rsidR="00B97365" w:rsidRDefault="00000000">
            <w:pPr>
              <w:spacing w:after="120" w:line="276" w:lineRule="auto"/>
              <w:rPr>
                <w:rFonts w:cs="Arial"/>
                <w:sz w:val="16"/>
                <w:szCs w:val="16"/>
              </w:rPr>
            </w:pPr>
            <w:r>
              <w:rPr>
                <w:rFonts w:cs="Arial"/>
                <w:sz w:val="16"/>
                <w:szCs w:val="16"/>
              </w:rPr>
              <w:t>http://gsma.com/ES3/PlatformManagementCallBack/ES3-UpdateConnectivityParameters</w:t>
            </w:r>
          </w:p>
        </w:tc>
      </w:tr>
      <w:tr w:rsidR="00B97365" w14:paraId="371EB162"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5367A2AE" w14:textId="77777777" w:rsidR="00B97365" w:rsidRDefault="00000000">
            <w:pPr>
              <w:spacing w:after="120" w:line="276" w:lineRule="auto"/>
              <w:rPr>
                <w:rFonts w:cs="Arial"/>
                <w:sz w:val="16"/>
                <w:szCs w:val="16"/>
              </w:rPr>
            </w:pPr>
            <w:r>
              <w:rPr>
                <w:rFonts w:cs="Arial"/>
                <w:sz w:val="16"/>
                <w:szCs w:val="16"/>
              </w:rPr>
              <w:t>HandleProfileDisabledNotification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9D8CF11"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D8CA18F" w14:textId="77777777" w:rsidR="00B97365" w:rsidRDefault="00000000">
            <w:pPr>
              <w:spacing w:after="120" w:line="276" w:lineRule="auto"/>
              <w:rPr>
                <w:rFonts w:cs="Arial"/>
                <w:sz w:val="16"/>
                <w:szCs w:val="16"/>
              </w:rPr>
            </w:pPr>
            <w:r>
              <w:rPr>
                <w:rFonts w:cs="Arial"/>
                <w:sz w:val="16"/>
                <w:szCs w:val="16"/>
              </w:rPr>
              <w:t>Notification (One-Way)</w:t>
            </w:r>
          </w:p>
        </w:tc>
      </w:tr>
      <w:tr w:rsidR="00B97365" w14:paraId="3B26590B"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F87CC8D"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07BF0FCC"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47CDBF07" w14:textId="77777777" w:rsidR="00B97365" w:rsidRDefault="00000000">
            <w:pPr>
              <w:spacing w:after="120" w:line="276" w:lineRule="auto"/>
              <w:rPr>
                <w:rFonts w:cs="Arial"/>
                <w:sz w:val="16"/>
                <w:szCs w:val="16"/>
              </w:rPr>
            </w:pPr>
            <w:r>
              <w:rPr>
                <w:rFonts w:cs="Arial"/>
                <w:sz w:val="16"/>
                <w:szCs w:val="16"/>
              </w:rPr>
              <w:t>http://gsma.com/ES3/PlatformManagement/ES3-HandleProfileDisabledNotification</w:t>
            </w:r>
          </w:p>
        </w:tc>
      </w:tr>
      <w:tr w:rsidR="00B97365" w14:paraId="48AC79D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932CB3E"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3CABF7F8"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C54B4E5" w14:textId="77777777" w:rsidR="00B97365" w:rsidRDefault="00000000">
            <w:pPr>
              <w:spacing w:after="120" w:line="276" w:lineRule="auto"/>
              <w:rPr>
                <w:rFonts w:cs="Arial"/>
                <w:sz w:val="16"/>
                <w:szCs w:val="16"/>
              </w:rPr>
            </w:pPr>
            <w:r>
              <w:rPr>
                <w:rFonts w:cs="Arial"/>
                <w:sz w:val="16"/>
                <w:szCs w:val="16"/>
              </w:rPr>
              <w:t>(none)</w:t>
            </w:r>
          </w:p>
        </w:tc>
      </w:tr>
      <w:tr w:rsidR="00B97365" w14:paraId="33F336CE"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1BCA7C2E" w14:textId="77777777" w:rsidR="00B97365" w:rsidRDefault="00000000">
            <w:pPr>
              <w:spacing w:after="120" w:line="276" w:lineRule="auto"/>
              <w:rPr>
                <w:rFonts w:cs="Arial"/>
                <w:sz w:val="16"/>
                <w:szCs w:val="16"/>
              </w:rPr>
            </w:pPr>
            <w:r>
              <w:rPr>
                <w:rFonts w:cs="Arial"/>
                <w:sz w:val="16"/>
                <w:szCs w:val="16"/>
              </w:rPr>
              <w:t>HandleProfileEnabledNotification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20AB319"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F859D60" w14:textId="77777777" w:rsidR="00B97365" w:rsidRDefault="00000000">
            <w:pPr>
              <w:spacing w:after="120" w:line="276" w:lineRule="auto"/>
              <w:rPr>
                <w:rFonts w:cs="Arial"/>
                <w:sz w:val="16"/>
                <w:szCs w:val="16"/>
              </w:rPr>
            </w:pPr>
            <w:r>
              <w:rPr>
                <w:rFonts w:cs="Arial"/>
                <w:sz w:val="16"/>
                <w:szCs w:val="16"/>
              </w:rPr>
              <w:t>Notification (One-Way)</w:t>
            </w:r>
          </w:p>
        </w:tc>
      </w:tr>
      <w:tr w:rsidR="00B97365" w14:paraId="7E556FAB"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48A48E4"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181B1451"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1E737D2" w14:textId="77777777" w:rsidR="00B97365" w:rsidRDefault="00000000">
            <w:pPr>
              <w:spacing w:after="120" w:line="276" w:lineRule="auto"/>
              <w:rPr>
                <w:rFonts w:cs="Arial"/>
                <w:sz w:val="16"/>
                <w:szCs w:val="16"/>
              </w:rPr>
            </w:pPr>
            <w:r>
              <w:rPr>
                <w:rFonts w:cs="Arial"/>
                <w:sz w:val="16"/>
                <w:szCs w:val="16"/>
              </w:rPr>
              <w:t>http://gsma.com/ES3/PlatformManagement/ES3-HandleProfileEnabledNotification</w:t>
            </w:r>
          </w:p>
        </w:tc>
      </w:tr>
      <w:tr w:rsidR="00B97365" w14:paraId="408ACCA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EA9E10B"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462B2874"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00BBD298" w14:textId="77777777" w:rsidR="00B97365" w:rsidRDefault="00000000">
            <w:pPr>
              <w:spacing w:after="120" w:line="276" w:lineRule="auto"/>
              <w:rPr>
                <w:rFonts w:cs="Arial"/>
                <w:sz w:val="16"/>
                <w:szCs w:val="16"/>
              </w:rPr>
            </w:pPr>
            <w:r>
              <w:rPr>
                <w:rFonts w:cs="Arial"/>
                <w:sz w:val="16"/>
                <w:szCs w:val="16"/>
              </w:rPr>
              <w:t>(none)</w:t>
            </w:r>
          </w:p>
        </w:tc>
      </w:tr>
      <w:tr w:rsidR="00B97365" w14:paraId="6CB0F867"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27D964A1" w14:textId="77777777" w:rsidR="00B97365" w:rsidRDefault="00000000">
            <w:pPr>
              <w:spacing w:after="120" w:line="276" w:lineRule="auto"/>
              <w:rPr>
                <w:rFonts w:cs="Arial"/>
                <w:sz w:val="16"/>
                <w:szCs w:val="16"/>
              </w:rPr>
            </w:pPr>
            <w:r>
              <w:rPr>
                <w:rFonts w:cs="Arial"/>
                <w:sz w:val="16"/>
                <w:szCs w:val="16"/>
              </w:rPr>
              <w:t>HandleSMSRChangeNotification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9F64A81"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89524C8" w14:textId="77777777" w:rsidR="00B97365" w:rsidRDefault="00000000">
            <w:pPr>
              <w:spacing w:after="120" w:line="276" w:lineRule="auto"/>
              <w:rPr>
                <w:rFonts w:cs="Arial"/>
                <w:sz w:val="16"/>
                <w:szCs w:val="16"/>
              </w:rPr>
            </w:pPr>
            <w:r>
              <w:rPr>
                <w:rFonts w:cs="Arial"/>
                <w:sz w:val="16"/>
                <w:szCs w:val="16"/>
              </w:rPr>
              <w:t>Notification (One-Way)</w:t>
            </w:r>
          </w:p>
        </w:tc>
      </w:tr>
      <w:tr w:rsidR="00B97365" w14:paraId="1F4D1077"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5C3668E6"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2E632589"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CA3B46A" w14:textId="77777777" w:rsidR="00B97365" w:rsidRDefault="00000000">
            <w:pPr>
              <w:spacing w:after="120" w:line="276" w:lineRule="auto"/>
              <w:rPr>
                <w:rFonts w:cs="Arial"/>
                <w:sz w:val="16"/>
                <w:szCs w:val="16"/>
              </w:rPr>
            </w:pPr>
            <w:r>
              <w:rPr>
                <w:rFonts w:cs="Arial"/>
                <w:sz w:val="16"/>
                <w:szCs w:val="16"/>
              </w:rPr>
              <w:t>http://gsma.com/ES3/PlatformManagement/ES3-HandleSMSRChangeNotification</w:t>
            </w:r>
          </w:p>
        </w:tc>
      </w:tr>
      <w:tr w:rsidR="00B97365" w14:paraId="48BD2C21"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6A7D636B"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75BF6EE"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4E1CFA5A" w14:textId="77777777" w:rsidR="00B97365" w:rsidRDefault="00000000">
            <w:pPr>
              <w:spacing w:after="120" w:line="276" w:lineRule="auto"/>
              <w:rPr>
                <w:rFonts w:cs="Arial"/>
                <w:sz w:val="16"/>
                <w:szCs w:val="16"/>
              </w:rPr>
            </w:pPr>
            <w:r>
              <w:rPr>
                <w:rFonts w:cs="Arial"/>
                <w:sz w:val="16"/>
                <w:szCs w:val="16"/>
              </w:rPr>
              <w:t>(none)</w:t>
            </w:r>
          </w:p>
        </w:tc>
      </w:tr>
      <w:tr w:rsidR="00B97365" w14:paraId="09D9E743" w14:textId="77777777">
        <w:trPr>
          <w:trHeight w:val="270"/>
          <w:jc w:val="center"/>
        </w:trPr>
        <w:tc>
          <w:tcPr>
            <w:tcW w:w="2830" w:type="dxa"/>
            <w:vMerge w:val="restart"/>
            <w:tcBorders>
              <w:top w:val="single" w:sz="6" w:space="0" w:color="auto"/>
              <w:left w:val="single" w:sz="4" w:space="0" w:color="auto"/>
              <w:bottom w:val="single" w:sz="4" w:space="0" w:color="auto"/>
              <w:right w:val="single" w:sz="6" w:space="0" w:color="auto"/>
            </w:tcBorders>
            <w:vAlign w:val="center"/>
            <w:hideMark/>
          </w:tcPr>
          <w:p w14:paraId="1C52DB3C" w14:textId="77777777" w:rsidR="00B97365" w:rsidRDefault="00000000">
            <w:pPr>
              <w:spacing w:after="120" w:line="276" w:lineRule="auto"/>
              <w:rPr>
                <w:rFonts w:cs="Arial"/>
                <w:sz w:val="16"/>
                <w:szCs w:val="16"/>
              </w:rPr>
            </w:pPr>
            <w:r>
              <w:rPr>
                <w:rFonts w:cs="Arial"/>
                <w:sz w:val="16"/>
                <w:szCs w:val="16"/>
              </w:rPr>
              <w:t>HandleProfileDeletedNotification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1B16031"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CC41801" w14:textId="77777777" w:rsidR="00B97365" w:rsidRDefault="00000000">
            <w:pPr>
              <w:spacing w:after="120" w:line="276" w:lineRule="auto"/>
              <w:rPr>
                <w:rFonts w:cs="Arial"/>
                <w:sz w:val="16"/>
                <w:szCs w:val="16"/>
              </w:rPr>
            </w:pPr>
            <w:r>
              <w:rPr>
                <w:rFonts w:cs="Arial"/>
                <w:sz w:val="16"/>
                <w:szCs w:val="16"/>
              </w:rPr>
              <w:t>Notification (One-Way)</w:t>
            </w:r>
          </w:p>
        </w:tc>
      </w:tr>
      <w:tr w:rsidR="00B97365" w14:paraId="0A8D4116" w14:textId="77777777">
        <w:trPr>
          <w:trHeight w:val="270"/>
          <w:jc w:val="center"/>
        </w:trPr>
        <w:tc>
          <w:tcPr>
            <w:tcW w:w="2830" w:type="dxa"/>
            <w:vMerge/>
            <w:tcBorders>
              <w:top w:val="single" w:sz="6" w:space="0" w:color="auto"/>
              <w:left w:val="single" w:sz="4" w:space="0" w:color="auto"/>
              <w:bottom w:val="single" w:sz="4" w:space="0" w:color="auto"/>
              <w:right w:val="single" w:sz="6" w:space="0" w:color="auto"/>
            </w:tcBorders>
            <w:vAlign w:val="center"/>
            <w:hideMark/>
          </w:tcPr>
          <w:p w14:paraId="0789A36D"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464F34E9"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7AD9DD7" w14:textId="77777777" w:rsidR="00B97365" w:rsidRDefault="00000000">
            <w:pPr>
              <w:spacing w:after="120" w:line="276" w:lineRule="auto"/>
              <w:rPr>
                <w:rFonts w:cs="Arial"/>
                <w:sz w:val="16"/>
                <w:szCs w:val="16"/>
              </w:rPr>
            </w:pPr>
            <w:r>
              <w:rPr>
                <w:rFonts w:cs="Arial"/>
                <w:sz w:val="16"/>
                <w:szCs w:val="16"/>
              </w:rPr>
              <w:t>http://gsma.com/ES3/PlatformManagement/ES3-HandleProfileDeletedNotification</w:t>
            </w:r>
          </w:p>
        </w:tc>
      </w:tr>
      <w:tr w:rsidR="00B97365" w14:paraId="386AE316" w14:textId="77777777">
        <w:trPr>
          <w:trHeight w:val="270"/>
          <w:jc w:val="center"/>
        </w:trPr>
        <w:tc>
          <w:tcPr>
            <w:tcW w:w="2830" w:type="dxa"/>
            <w:vMerge/>
            <w:tcBorders>
              <w:top w:val="single" w:sz="6" w:space="0" w:color="auto"/>
              <w:left w:val="single" w:sz="4" w:space="0" w:color="auto"/>
              <w:bottom w:val="single" w:sz="4" w:space="0" w:color="auto"/>
              <w:right w:val="single" w:sz="6" w:space="0" w:color="auto"/>
            </w:tcBorders>
            <w:vAlign w:val="center"/>
            <w:hideMark/>
          </w:tcPr>
          <w:p w14:paraId="6806A5C2"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4" w:space="0" w:color="auto"/>
              <w:right w:val="single" w:sz="6" w:space="0" w:color="auto"/>
            </w:tcBorders>
            <w:vAlign w:val="center"/>
            <w:hideMark/>
          </w:tcPr>
          <w:p w14:paraId="6211E93A"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4" w:space="0" w:color="auto"/>
              <w:right w:val="single" w:sz="4" w:space="0" w:color="auto"/>
            </w:tcBorders>
            <w:vAlign w:val="center"/>
            <w:hideMark/>
          </w:tcPr>
          <w:p w14:paraId="642D4988" w14:textId="77777777" w:rsidR="00B97365" w:rsidRDefault="00000000">
            <w:pPr>
              <w:spacing w:after="120" w:line="276" w:lineRule="auto"/>
              <w:rPr>
                <w:rFonts w:cs="Arial"/>
                <w:sz w:val="16"/>
                <w:szCs w:val="16"/>
              </w:rPr>
            </w:pPr>
            <w:r>
              <w:rPr>
                <w:rFonts w:cs="Arial"/>
                <w:sz w:val="16"/>
                <w:szCs w:val="16"/>
              </w:rPr>
              <w:t>(none)</w:t>
            </w:r>
          </w:p>
        </w:tc>
      </w:tr>
      <w:tr w:rsidR="00B97365" w14:paraId="3C618D75" w14:textId="77777777">
        <w:trPr>
          <w:trHeight w:val="270"/>
          <w:jc w:val="center"/>
        </w:trPr>
        <w:tc>
          <w:tcPr>
            <w:tcW w:w="2830" w:type="dxa"/>
            <w:vMerge w:val="restart"/>
            <w:tcBorders>
              <w:top w:val="single" w:sz="6" w:space="0" w:color="auto"/>
              <w:left w:val="single" w:sz="4" w:space="0" w:color="auto"/>
              <w:right w:val="single" w:sz="6" w:space="0" w:color="auto"/>
            </w:tcBorders>
            <w:vAlign w:val="center"/>
          </w:tcPr>
          <w:p w14:paraId="7796A66B" w14:textId="77777777" w:rsidR="00B97365" w:rsidRDefault="00000000">
            <w:pPr>
              <w:spacing w:before="0"/>
              <w:jc w:val="left"/>
              <w:rPr>
                <w:rFonts w:cs="Arial"/>
                <w:sz w:val="16"/>
                <w:szCs w:val="16"/>
              </w:rPr>
            </w:pPr>
            <w:r>
              <w:rPr>
                <w:rFonts w:cs="Arial"/>
                <w:sz w:val="16"/>
                <w:szCs w:val="16"/>
                <w:lang w:eastAsia="en-GB" w:bidi="ar-SA"/>
              </w:rPr>
              <w:t>SetFallBackAttribute</w:t>
            </w:r>
          </w:p>
        </w:tc>
        <w:tc>
          <w:tcPr>
            <w:tcW w:w="1843" w:type="dxa"/>
            <w:tcBorders>
              <w:top w:val="single" w:sz="6" w:space="0" w:color="auto"/>
              <w:left w:val="single" w:sz="6" w:space="0" w:color="auto"/>
              <w:bottom w:val="single" w:sz="4" w:space="0" w:color="auto"/>
              <w:right w:val="single" w:sz="6" w:space="0" w:color="auto"/>
            </w:tcBorders>
            <w:vAlign w:val="center"/>
          </w:tcPr>
          <w:p w14:paraId="697B587F"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4" w:space="0" w:color="auto"/>
              <w:right w:val="single" w:sz="4" w:space="0" w:color="auto"/>
            </w:tcBorders>
            <w:vAlign w:val="center"/>
          </w:tcPr>
          <w:p w14:paraId="3BFEE344" w14:textId="77777777" w:rsidR="00B97365" w:rsidRDefault="00000000">
            <w:pPr>
              <w:spacing w:after="120" w:line="276" w:lineRule="auto"/>
              <w:rPr>
                <w:rFonts w:cs="Arial"/>
                <w:sz w:val="16"/>
                <w:szCs w:val="16"/>
              </w:rPr>
            </w:pPr>
            <w:r>
              <w:rPr>
                <w:rFonts w:cs="Arial"/>
                <w:sz w:val="16"/>
                <w:szCs w:val="16"/>
                <w:lang w:eastAsia="en-GB" w:bidi="ar-SA"/>
              </w:rPr>
              <w:t>Asynchronous Request-Response with CallBack</w:t>
            </w:r>
          </w:p>
        </w:tc>
      </w:tr>
      <w:tr w:rsidR="00B97365" w14:paraId="43D3C1D9" w14:textId="77777777">
        <w:trPr>
          <w:trHeight w:val="270"/>
          <w:jc w:val="center"/>
        </w:trPr>
        <w:tc>
          <w:tcPr>
            <w:tcW w:w="2830" w:type="dxa"/>
            <w:vMerge/>
            <w:tcBorders>
              <w:left w:val="single" w:sz="4" w:space="0" w:color="auto"/>
              <w:right w:val="single" w:sz="6" w:space="0" w:color="auto"/>
            </w:tcBorders>
            <w:vAlign w:val="center"/>
          </w:tcPr>
          <w:p w14:paraId="057C8E9C"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1677A6A1"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4" w:space="0" w:color="auto"/>
              <w:right w:val="single" w:sz="4" w:space="0" w:color="auto"/>
            </w:tcBorders>
            <w:vAlign w:val="center"/>
          </w:tcPr>
          <w:p w14:paraId="07402B8F" w14:textId="77777777" w:rsidR="00B97365" w:rsidRDefault="00000000">
            <w:pPr>
              <w:spacing w:after="120" w:line="276" w:lineRule="auto"/>
              <w:rPr>
                <w:rFonts w:cs="Arial"/>
                <w:sz w:val="16"/>
                <w:szCs w:val="16"/>
                <w:lang w:eastAsia="en-GB" w:bidi="ar-SA"/>
              </w:rPr>
            </w:pPr>
            <w:r>
              <w:rPr>
                <w:color w:val="0000FF"/>
                <w:sz w:val="16"/>
                <w:szCs w:val="16"/>
                <w:u w:val="single"/>
              </w:rPr>
              <w:t>http://gsma.com/ES3/ProfileManagement/ES3-SetFallBackAttribute</w:t>
            </w:r>
          </w:p>
        </w:tc>
      </w:tr>
      <w:tr w:rsidR="00B97365" w14:paraId="2CB03EB3" w14:textId="77777777">
        <w:trPr>
          <w:trHeight w:val="270"/>
          <w:jc w:val="center"/>
        </w:trPr>
        <w:tc>
          <w:tcPr>
            <w:tcW w:w="2830" w:type="dxa"/>
            <w:vMerge/>
            <w:tcBorders>
              <w:left w:val="single" w:sz="4" w:space="0" w:color="auto"/>
              <w:bottom w:val="single" w:sz="4" w:space="0" w:color="auto"/>
              <w:right w:val="single" w:sz="6" w:space="0" w:color="auto"/>
            </w:tcBorders>
            <w:vAlign w:val="center"/>
          </w:tcPr>
          <w:p w14:paraId="2DC084D0"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4DB3F761"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4" w:space="0" w:color="auto"/>
              <w:right w:val="single" w:sz="4" w:space="0" w:color="auto"/>
            </w:tcBorders>
            <w:vAlign w:val="center"/>
          </w:tcPr>
          <w:p w14:paraId="0C261996" w14:textId="77777777" w:rsidR="00B97365" w:rsidRDefault="00000000">
            <w:pPr>
              <w:spacing w:after="120" w:line="276" w:lineRule="auto"/>
              <w:rPr>
                <w:color w:val="0000FF"/>
                <w:sz w:val="16"/>
                <w:szCs w:val="16"/>
                <w:u w:val="single"/>
              </w:rPr>
            </w:pPr>
            <w:r>
              <w:rPr>
                <w:color w:val="0000FF"/>
                <w:sz w:val="16"/>
                <w:szCs w:val="16"/>
                <w:u w:val="single"/>
              </w:rPr>
              <w:t>http://gsma.com/ES3/ProfileManagementCallBack/ES3-SetFallBackAttribute</w:t>
            </w:r>
          </w:p>
        </w:tc>
      </w:tr>
      <w:tr w:rsidR="00B97365" w14:paraId="285CDD86" w14:textId="77777777">
        <w:trPr>
          <w:trHeight w:val="270"/>
          <w:jc w:val="center"/>
        </w:trPr>
        <w:tc>
          <w:tcPr>
            <w:tcW w:w="2830" w:type="dxa"/>
            <w:vMerge w:val="restart"/>
            <w:tcBorders>
              <w:top w:val="single" w:sz="6" w:space="0" w:color="auto"/>
              <w:left w:val="single" w:sz="4" w:space="0" w:color="auto"/>
              <w:right w:val="single" w:sz="6" w:space="0" w:color="auto"/>
            </w:tcBorders>
            <w:vAlign w:val="center"/>
          </w:tcPr>
          <w:p w14:paraId="00621D24" w14:textId="77777777" w:rsidR="00B97365" w:rsidRDefault="00000000">
            <w:pPr>
              <w:spacing w:before="0"/>
              <w:jc w:val="left"/>
              <w:rPr>
                <w:rFonts w:cs="Arial"/>
                <w:sz w:val="16"/>
                <w:szCs w:val="16"/>
                <w:lang w:eastAsia="en-GB" w:bidi="ar-SA"/>
              </w:rPr>
            </w:pPr>
            <w:r>
              <w:rPr>
                <w:rFonts w:cs="Arial"/>
                <w:sz w:val="16"/>
                <w:szCs w:val="16"/>
                <w:lang w:eastAsia="en-GB" w:bidi="ar-SA"/>
              </w:rPr>
              <w:t>HandleProfileFallBackAttributeSetNotification</w:t>
            </w:r>
          </w:p>
        </w:tc>
        <w:tc>
          <w:tcPr>
            <w:tcW w:w="1843" w:type="dxa"/>
            <w:tcBorders>
              <w:top w:val="single" w:sz="6" w:space="0" w:color="auto"/>
              <w:left w:val="single" w:sz="6" w:space="0" w:color="auto"/>
              <w:bottom w:val="single" w:sz="4" w:space="0" w:color="auto"/>
              <w:right w:val="single" w:sz="6" w:space="0" w:color="auto"/>
            </w:tcBorders>
            <w:vAlign w:val="center"/>
          </w:tcPr>
          <w:p w14:paraId="4F04A5D3"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4" w:space="0" w:color="auto"/>
              <w:right w:val="single" w:sz="4" w:space="0" w:color="auto"/>
            </w:tcBorders>
            <w:vAlign w:val="center"/>
          </w:tcPr>
          <w:p w14:paraId="005A6EE4"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525FE9D8" w14:textId="77777777">
        <w:trPr>
          <w:trHeight w:val="270"/>
          <w:jc w:val="center"/>
        </w:trPr>
        <w:tc>
          <w:tcPr>
            <w:tcW w:w="2830" w:type="dxa"/>
            <w:vMerge/>
            <w:tcBorders>
              <w:left w:val="single" w:sz="4" w:space="0" w:color="auto"/>
              <w:right w:val="single" w:sz="6" w:space="0" w:color="auto"/>
            </w:tcBorders>
            <w:vAlign w:val="center"/>
          </w:tcPr>
          <w:p w14:paraId="0DAB161B"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777BC30D"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4" w:space="0" w:color="auto"/>
              <w:right w:val="single" w:sz="4" w:space="0" w:color="auto"/>
            </w:tcBorders>
            <w:vAlign w:val="center"/>
          </w:tcPr>
          <w:p w14:paraId="61F6C13B" w14:textId="77777777" w:rsidR="00B97365" w:rsidRDefault="00000000">
            <w:pPr>
              <w:spacing w:after="120" w:line="276" w:lineRule="auto"/>
              <w:rPr>
                <w:rFonts w:cs="Arial"/>
                <w:sz w:val="16"/>
                <w:szCs w:val="16"/>
                <w:lang w:eastAsia="en-GB" w:bidi="ar-SA"/>
              </w:rPr>
            </w:pPr>
            <w:r>
              <w:rPr>
                <w:color w:val="0000FF"/>
                <w:sz w:val="16"/>
                <w:szCs w:val="16"/>
                <w:u w:val="single"/>
              </w:rPr>
              <w:t>http://gsma.com/ES3/ProfileManagement/ES3-</w:t>
            </w:r>
            <w:r>
              <w:rPr>
                <w:rFonts w:cs="Arial"/>
                <w:sz w:val="16"/>
                <w:szCs w:val="16"/>
                <w:lang w:eastAsia="en-GB" w:bidi="ar-SA"/>
              </w:rPr>
              <w:t xml:space="preserve"> HandleProfileFallBackAttributeSetNotification</w:t>
            </w:r>
          </w:p>
        </w:tc>
      </w:tr>
      <w:tr w:rsidR="00B97365" w14:paraId="6F7F77A2" w14:textId="77777777">
        <w:trPr>
          <w:trHeight w:val="270"/>
          <w:jc w:val="center"/>
        </w:trPr>
        <w:tc>
          <w:tcPr>
            <w:tcW w:w="2830" w:type="dxa"/>
            <w:vMerge/>
            <w:tcBorders>
              <w:left w:val="single" w:sz="4" w:space="0" w:color="auto"/>
              <w:bottom w:val="single" w:sz="4" w:space="0" w:color="auto"/>
              <w:right w:val="single" w:sz="6" w:space="0" w:color="auto"/>
            </w:tcBorders>
            <w:vAlign w:val="center"/>
          </w:tcPr>
          <w:p w14:paraId="449AF582"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07C9679A"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4" w:space="0" w:color="auto"/>
              <w:right w:val="single" w:sz="4" w:space="0" w:color="auto"/>
            </w:tcBorders>
            <w:vAlign w:val="center"/>
          </w:tcPr>
          <w:p w14:paraId="54983D96" w14:textId="77777777" w:rsidR="00B97365" w:rsidRDefault="00000000">
            <w:pPr>
              <w:spacing w:after="120" w:line="276" w:lineRule="auto"/>
              <w:rPr>
                <w:color w:val="0000FF"/>
                <w:sz w:val="16"/>
                <w:szCs w:val="16"/>
                <w:u w:val="single"/>
              </w:rPr>
            </w:pPr>
            <w:r>
              <w:rPr>
                <w:color w:val="0000FF"/>
                <w:sz w:val="16"/>
                <w:szCs w:val="16"/>
                <w:u w:val="single"/>
              </w:rPr>
              <w:t>(none)</w:t>
            </w:r>
          </w:p>
        </w:tc>
      </w:tr>
      <w:tr w:rsidR="00B97365" w14:paraId="24C3B7FB" w14:textId="77777777">
        <w:trPr>
          <w:trHeight w:val="270"/>
          <w:jc w:val="center"/>
        </w:trPr>
        <w:tc>
          <w:tcPr>
            <w:tcW w:w="2830" w:type="dxa"/>
            <w:vMerge w:val="restart"/>
            <w:tcBorders>
              <w:top w:val="single" w:sz="6" w:space="0" w:color="auto"/>
              <w:left w:val="single" w:sz="4" w:space="0" w:color="auto"/>
              <w:right w:val="single" w:sz="6" w:space="0" w:color="auto"/>
            </w:tcBorders>
            <w:vAlign w:val="center"/>
          </w:tcPr>
          <w:p w14:paraId="081D8162" w14:textId="77777777" w:rsidR="00B97365" w:rsidRDefault="00000000">
            <w:pPr>
              <w:spacing w:before="0"/>
              <w:jc w:val="left"/>
              <w:rPr>
                <w:rFonts w:cs="Arial"/>
                <w:sz w:val="16"/>
                <w:szCs w:val="16"/>
                <w:lang w:eastAsia="en-GB" w:bidi="ar-SA"/>
              </w:rPr>
            </w:pPr>
            <w:r>
              <w:rPr>
                <w:rFonts w:cs="Arial"/>
                <w:sz w:val="16"/>
                <w:szCs w:val="16"/>
                <w:lang w:eastAsia="en-GB" w:bidi="ar-SA"/>
              </w:rPr>
              <w:t>HandleProfileFallBackAttributeUnsetNotification</w:t>
            </w:r>
          </w:p>
        </w:tc>
        <w:tc>
          <w:tcPr>
            <w:tcW w:w="1843" w:type="dxa"/>
            <w:tcBorders>
              <w:top w:val="single" w:sz="6" w:space="0" w:color="auto"/>
              <w:left w:val="single" w:sz="6" w:space="0" w:color="auto"/>
              <w:bottom w:val="single" w:sz="4" w:space="0" w:color="auto"/>
              <w:right w:val="single" w:sz="6" w:space="0" w:color="auto"/>
            </w:tcBorders>
            <w:vAlign w:val="center"/>
          </w:tcPr>
          <w:p w14:paraId="6EF94612"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4" w:space="0" w:color="auto"/>
              <w:right w:val="single" w:sz="4" w:space="0" w:color="auto"/>
            </w:tcBorders>
            <w:vAlign w:val="center"/>
          </w:tcPr>
          <w:p w14:paraId="6C020697"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47A8957F" w14:textId="77777777">
        <w:trPr>
          <w:trHeight w:val="270"/>
          <w:jc w:val="center"/>
        </w:trPr>
        <w:tc>
          <w:tcPr>
            <w:tcW w:w="2830" w:type="dxa"/>
            <w:vMerge/>
            <w:tcBorders>
              <w:left w:val="single" w:sz="4" w:space="0" w:color="auto"/>
              <w:right w:val="single" w:sz="6" w:space="0" w:color="auto"/>
            </w:tcBorders>
            <w:vAlign w:val="center"/>
          </w:tcPr>
          <w:p w14:paraId="0375EC08"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5DECAC32"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4" w:space="0" w:color="auto"/>
              <w:right w:val="single" w:sz="4" w:space="0" w:color="auto"/>
            </w:tcBorders>
            <w:vAlign w:val="center"/>
          </w:tcPr>
          <w:p w14:paraId="5B96EA55" w14:textId="77777777" w:rsidR="00B97365" w:rsidRDefault="00000000">
            <w:pPr>
              <w:spacing w:after="120" w:line="276" w:lineRule="auto"/>
              <w:rPr>
                <w:rFonts w:cs="Arial"/>
                <w:sz w:val="16"/>
                <w:szCs w:val="16"/>
                <w:lang w:eastAsia="en-GB" w:bidi="ar-SA"/>
              </w:rPr>
            </w:pPr>
            <w:r>
              <w:rPr>
                <w:color w:val="0000FF"/>
                <w:sz w:val="16"/>
                <w:szCs w:val="16"/>
                <w:u w:val="single"/>
              </w:rPr>
              <w:t>http://gsma.com/ES2/ProfileManagement/ES3-</w:t>
            </w:r>
            <w:r>
              <w:rPr>
                <w:rFonts w:cs="Arial"/>
                <w:sz w:val="16"/>
                <w:szCs w:val="16"/>
                <w:lang w:eastAsia="en-GB" w:bidi="ar-SA"/>
              </w:rPr>
              <w:t xml:space="preserve"> HandleProfileFallBackAttributeUnsetNotification</w:t>
            </w:r>
          </w:p>
        </w:tc>
      </w:tr>
      <w:tr w:rsidR="00B97365" w14:paraId="0C66D80E" w14:textId="77777777">
        <w:trPr>
          <w:trHeight w:val="270"/>
          <w:jc w:val="center"/>
        </w:trPr>
        <w:tc>
          <w:tcPr>
            <w:tcW w:w="2830" w:type="dxa"/>
            <w:vMerge/>
            <w:tcBorders>
              <w:left w:val="single" w:sz="4" w:space="0" w:color="auto"/>
              <w:right w:val="single" w:sz="6" w:space="0" w:color="auto"/>
            </w:tcBorders>
            <w:vAlign w:val="center"/>
          </w:tcPr>
          <w:p w14:paraId="297C0214"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1568840C"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659E7E79" w14:textId="77777777" w:rsidR="00B97365" w:rsidRDefault="00000000">
            <w:pPr>
              <w:spacing w:after="120" w:line="276" w:lineRule="auto"/>
              <w:rPr>
                <w:color w:val="0000FF"/>
                <w:sz w:val="16"/>
                <w:szCs w:val="16"/>
                <w:u w:val="single"/>
              </w:rPr>
            </w:pPr>
            <w:r>
              <w:rPr>
                <w:color w:val="0000FF"/>
                <w:sz w:val="16"/>
                <w:szCs w:val="16"/>
                <w:u w:val="single"/>
              </w:rPr>
              <w:t>(none)</w:t>
            </w:r>
          </w:p>
        </w:tc>
      </w:tr>
      <w:tr w:rsidR="00B97365" w14:paraId="084B76EA" w14:textId="77777777">
        <w:trPr>
          <w:trHeight w:val="270"/>
          <w:jc w:val="center"/>
        </w:trPr>
        <w:tc>
          <w:tcPr>
            <w:tcW w:w="2830" w:type="dxa"/>
            <w:vMerge w:val="restart"/>
            <w:tcBorders>
              <w:left w:val="single" w:sz="4" w:space="0" w:color="auto"/>
              <w:right w:val="single" w:sz="6" w:space="0" w:color="auto"/>
            </w:tcBorders>
            <w:vAlign w:val="center"/>
          </w:tcPr>
          <w:p w14:paraId="607B3A5F" w14:textId="77777777" w:rsidR="00B97365" w:rsidRDefault="00000000">
            <w:pPr>
              <w:spacing w:before="0"/>
              <w:jc w:val="left"/>
              <w:rPr>
                <w:rFonts w:cs="Arial"/>
                <w:sz w:val="16"/>
                <w:szCs w:val="16"/>
                <w:lang w:eastAsia="en-GB" w:bidi="ar-SA"/>
              </w:rPr>
            </w:pPr>
            <w:r>
              <w:rPr>
                <w:rFonts w:cs="Arial"/>
                <w:sz w:val="16"/>
                <w:szCs w:val="16"/>
                <w:lang w:eastAsia="en-GB" w:bidi="ar-SA"/>
              </w:rPr>
              <w:t>SetEmergencyProfileAttribute</w:t>
            </w:r>
          </w:p>
        </w:tc>
        <w:tc>
          <w:tcPr>
            <w:tcW w:w="1843" w:type="dxa"/>
            <w:tcBorders>
              <w:top w:val="single" w:sz="6" w:space="0" w:color="auto"/>
              <w:left w:val="single" w:sz="6" w:space="0" w:color="auto"/>
              <w:bottom w:val="single" w:sz="6" w:space="0" w:color="auto"/>
              <w:right w:val="single" w:sz="6" w:space="0" w:color="auto"/>
            </w:tcBorders>
            <w:vAlign w:val="center"/>
          </w:tcPr>
          <w:p w14:paraId="727B2B92"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7A4370CE" w14:textId="77777777" w:rsidR="00B97365" w:rsidRDefault="00000000">
            <w:pPr>
              <w:spacing w:after="120" w:line="276" w:lineRule="auto"/>
              <w:rPr>
                <w:color w:val="0000FF"/>
                <w:sz w:val="16"/>
                <w:szCs w:val="16"/>
                <w:u w:val="single"/>
              </w:rPr>
            </w:pPr>
            <w:r>
              <w:rPr>
                <w:rFonts w:cs="Arial"/>
                <w:sz w:val="16"/>
                <w:szCs w:val="16"/>
                <w:lang w:eastAsia="en-GB" w:bidi="ar-SA"/>
              </w:rPr>
              <w:t>Asynchronous Request-Response with CallBack</w:t>
            </w:r>
          </w:p>
        </w:tc>
      </w:tr>
      <w:tr w:rsidR="00B97365" w14:paraId="4FCE873F" w14:textId="77777777">
        <w:trPr>
          <w:trHeight w:val="270"/>
          <w:jc w:val="center"/>
        </w:trPr>
        <w:tc>
          <w:tcPr>
            <w:tcW w:w="2830" w:type="dxa"/>
            <w:vMerge/>
            <w:tcBorders>
              <w:left w:val="single" w:sz="4" w:space="0" w:color="auto"/>
              <w:right w:val="single" w:sz="6" w:space="0" w:color="auto"/>
            </w:tcBorders>
            <w:vAlign w:val="center"/>
          </w:tcPr>
          <w:p w14:paraId="521DAE06"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57A9ECCD"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2CEE5F66" w14:textId="77777777" w:rsidR="00B97365" w:rsidRDefault="00000000">
            <w:pPr>
              <w:spacing w:after="120" w:line="276" w:lineRule="auto"/>
              <w:rPr>
                <w:color w:val="0000FF"/>
                <w:sz w:val="16"/>
                <w:szCs w:val="16"/>
                <w:u w:val="single"/>
              </w:rPr>
            </w:pPr>
            <w:r>
              <w:rPr>
                <w:color w:val="0000FF"/>
                <w:sz w:val="16"/>
                <w:szCs w:val="16"/>
                <w:u w:val="single"/>
              </w:rPr>
              <w:t>http://gsma.com/ES3/ProfileManagement/ES3-SetEmergencyProfileAttribute</w:t>
            </w:r>
          </w:p>
        </w:tc>
      </w:tr>
      <w:tr w:rsidR="00B97365" w14:paraId="7CF0CBBB" w14:textId="77777777">
        <w:trPr>
          <w:trHeight w:val="270"/>
          <w:jc w:val="center"/>
        </w:trPr>
        <w:tc>
          <w:tcPr>
            <w:tcW w:w="2830" w:type="dxa"/>
            <w:vMerge/>
            <w:tcBorders>
              <w:left w:val="single" w:sz="4" w:space="0" w:color="auto"/>
              <w:right w:val="single" w:sz="6" w:space="0" w:color="auto"/>
            </w:tcBorders>
            <w:vAlign w:val="center"/>
          </w:tcPr>
          <w:p w14:paraId="412768C2"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1FEAB165"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09A43E25" w14:textId="77777777" w:rsidR="00B97365" w:rsidRDefault="00000000">
            <w:pPr>
              <w:spacing w:after="120" w:line="276" w:lineRule="auto"/>
              <w:rPr>
                <w:color w:val="0000FF"/>
                <w:sz w:val="16"/>
                <w:szCs w:val="16"/>
                <w:u w:val="single"/>
              </w:rPr>
            </w:pPr>
            <w:r>
              <w:rPr>
                <w:color w:val="0000FF"/>
                <w:sz w:val="16"/>
                <w:szCs w:val="16"/>
                <w:u w:val="single"/>
              </w:rPr>
              <w:t>http://gsma.com/ES3/ProfileManagementCallBack/ES3-SetEmergencyProfileAttribute</w:t>
            </w:r>
          </w:p>
        </w:tc>
      </w:tr>
      <w:tr w:rsidR="00B97365" w14:paraId="64729805" w14:textId="77777777">
        <w:trPr>
          <w:trHeight w:val="270"/>
          <w:jc w:val="center"/>
        </w:trPr>
        <w:tc>
          <w:tcPr>
            <w:tcW w:w="2830" w:type="dxa"/>
            <w:vMerge w:val="restart"/>
            <w:tcBorders>
              <w:left w:val="single" w:sz="4" w:space="0" w:color="auto"/>
              <w:right w:val="single" w:sz="6" w:space="0" w:color="auto"/>
            </w:tcBorders>
            <w:vAlign w:val="center"/>
          </w:tcPr>
          <w:p w14:paraId="3CC4D146" w14:textId="77777777" w:rsidR="00B97365" w:rsidRDefault="00000000">
            <w:pPr>
              <w:spacing w:before="0"/>
              <w:jc w:val="left"/>
              <w:rPr>
                <w:rFonts w:cs="Arial"/>
                <w:sz w:val="16"/>
                <w:szCs w:val="16"/>
                <w:lang w:eastAsia="en-GB" w:bidi="ar-SA"/>
              </w:rPr>
            </w:pPr>
            <w:r>
              <w:rPr>
                <w:rFonts w:cs="Arial"/>
                <w:sz w:val="16"/>
                <w:szCs w:val="16"/>
                <w:lang w:eastAsia="en-GB" w:bidi="ar-SA"/>
              </w:rPr>
              <w:t>HandleEmergencyProfileAttributeSetNotification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659D4C82"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5E8D0E83"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366A53FA" w14:textId="77777777">
        <w:trPr>
          <w:trHeight w:val="270"/>
          <w:jc w:val="center"/>
        </w:trPr>
        <w:tc>
          <w:tcPr>
            <w:tcW w:w="2830" w:type="dxa"/>
            <w:vMerge/>
            <w:tcBorders>
              <w:left w:val="single" w:sz="4" w:space="0" w:color="auto"/>
              <w:right w:val="single" w:sz="6" w:space="0" w:color="auto"/>
            </w:tcBorders>
            <w:vAlign w:val="center"/>
          </w:tcPr>
          <w:p w14:paraId="1B3EEF41"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586D589E"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75ED9497" w14:textId="77777777" w:rsidR="00B97365" w:rsidRDefault="00000000">
            <w:pPr>
              <w:spacing w:after="120" w:line="276" w:lineRule="auto"/>
              <w:rPr>
                <w:color w:val="0000FF"/>
                <w:sz w:val="16"/>
                <w:szCs w:val="16"/>
                <w:u w:val="single"/>
              </w:rPr>
            </w:pPr>
            <w:r>
              <w:rPr>
                <w:color w:val="0000FF"/>
                <w:sz w:val="16"/>
                <w:szCs w:val="16"/>
                <w:u w:val="single"/>
              </w:rPr>
              <w:t>http://gsma.com/ES3/ProfileManagement/ES3-</w:t>
            </w:r>
            <w:r>
              <w:rPr>
                <w:rFonts w:cs="Arial"/>
                <w:sz w:val="16"/>
                <w:szCs w:val="16"/>
                <w:lang w:eastAsia="en-GB" w:bidi="ar-SA"/>
              </w:rPr>
              <w:t xml:space="preserve"> HandleEmergencyProfileAttributeSetNotification</w:t>
            </w:r>
          </w:p>
        </w:tc>
      </w:tr>
      <w:tr w:rsidR="00B97365" w14:paraId="09465905" w14:textId="77777777">
        <w:trPr>
          <w:trHeight w:val="270"/>
          <w:jc w:val="center"/>
        </w:trPr>
        <w:tc>
          <w:tcPr>
            <w:tcW w:w="2830" w:type="dxa"/>
            <w:vMerge/>
            <w:tcBorders>
              <w:left w:val="single" w:sz="4" w:space="0" w:color="auto"/>
              <w:right w:val="single" w:sz="6" w:space="0" w:color="auto"/>
            </w:tcBorders>
            <w:vAlign w:val="center"/>
          </w:tcPr>
          <w:p w14:paraId="28245FAF"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16778974"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02E0E88F" w14:textId="77777777" w:rsidR="00B97365" w:rsidRDefault="00000000">
            <w:pPr>
              <w:spacing w:after="120" w:line="276" w:lineRule="auto"/>
              <w:rPr>
                <w:color w:val="0000FF"/>
                <w:sz w:val="16"/>
                <w:szCs w:val="16"/>
                <w:u w:val="single"/>
              </w:rPr>
            </w:pPr>
            <w:r>
              <w:rPr>
                <w:color w:val="0000FF"/>
                <w:sz w:val="16"/>
                <w:szCs w:val="16"/>
                <w:u w:val="single"/>
              </w:rPr>
              <w:t>(none)</w:t>
            </w:r>
          </w:p>
        </w:tc>
      </w:tr>
      <w:tr w:rsidR="00B97365" w14:paraId="286CF8FF" w14:textId="77777777">
        <w:trPr>
          <w:trHeight w:val="270"/>
          <w:jc w:val="center"/>
        </w:trPr>
        <w:tc>
          <w:tcPr>
            <w:tcW w:w="2830" w:type="dxa"/>
            <w:vMerge w:val="restart"/>
            <w:tcBorders>
              <w:left w:val="single" w:sz="4" w:space="0" w:color="auto"/>
              <w:right w:val="single" w:sz="6" w:space="0" w:color="auto"/>
            </w:tcBorders>
            <w:vAlign w:val="center"/>
          </w:tcPr>
          <w:p w14:paraId="6AD1C898" w14:textId="77777777" w:rsidR="00B97365" w:rsidRDefault="00000000">
            <w:pPr>
              <w:spacing w:before="0"/>
              <w:jc w:val="left"/>
              <w:rPr>
                <w:rFonts w:cs="Arial"/>
                <w:sz w:val="16"/>
                <w:szCs w:val="16"/>
                <w:lang w:eastAsia="en-GB" w:bidi="ar-SA"/>
              </w:rPr>
            </w:pPr>
            <w:r>
              <w:rPr>
                <w:rFonts w:cs="Arial"/>
                <w:sz w:val="16"/>
                <w:szCs w:val="16"/>
                <w:lang w:eastAsia="en-GB" w:bidi="ar-SA"/>
              </w:rPr>
              <w:t>HandleEmergencyProfileAttributeUnsetNotification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0D094D66"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38EAF2AF"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4678F535" w14:textId="77777777">
        <w:trPr>
          <w:trHeight w:val="270"/>
          <w:jc w:val="center"/>
        </w:trPr>
        <w:tc>
          <w:tcPr>
            <w:tcW w:w="2830" w:type="dxa"/>
            <w:vMerge/>
            <w:tcBorders>
              <w:left w:val="single" w:sz="4" w:space="0" w:color="auto"/>
              <w:right w:val="single" w:sz="6" w:space="0" w:color="auto"/>
            </w:tcBorders>
            <w:vAlign w:val="center"/>
          </w:tcPr>
          <w:p w14:paraId="779904CF"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445A5F8D"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5A1082DB" w14:textId="77777777" w:rsidR="00B97365" w:rsidRDefault="00000000">
            <w:pPr>
              <w:spacing w:after="120" w:line="276" w:lineRule="auto"/>
              <w:rPr>
                <w:color w:val="0000FF"/>
                <w:sz w:val="16"/>
                <w:szCs w:val="16"/>
                <w:u w:val="single"/>
              </w:rPr>
            </w:pPr>
            <w:r>
              <w:rPr>
                <w:color w:val="0000FF"/>
                <w:sz w:val="16"/>
                <w:szCs w:val="16"/>
                <w:u w:val="single"/>
              </w:rPr>
              <w:t>http://gsma.com/ES3/ProfileManagement/ES3-</w:t>
            </w:r>
            <w:r>
              <w:rPr>
                <w:rFonts w:cs="Arial"/>
                <w:sz w:val="16"/>
                <w:szCs w:val="16"/>
                <w:lang w:eastAsia="en-GB" w:bidi="ar-SA"/>
              </w:rPr>
              <w:t xml:space="preserve"> HandleEmergencyProfileAttributeUnsetNotification</w:t>
            </w:r>
          </w:p>
        </w:tc>
      </w:tr>
      <w:tr w:rsidR="00B97365" w14:paraId="33A523E8" w14:textId="77777777">
        <w:trPr>
          <w:trHeight w:val="270"/>
          <w:jc w:val="center"/>
        </w:trPr>
        <w:tc>
          <w:tcPr>
            <w:tcW w:w="2830" w:type="dxa"/>
            <w:vMerge/>
            <w:tcBorders>
              <w:left w:val="single" w:sz="4" w:space="0" w:color="auto"/>
              <w:right w:val="single" w:sz="6" w:space="0" w:color="auto"/>
            </w:tcBorders>
            <w:vAlign w:val="center"/>
          </w:tcPr>
          <w:p w14:paraId="2963D071"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75403EE3"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3CB98160" w14:textId="77777777" w:rsidR="00B97365" w:rsidRDefault="00000000">
            <w:pPr>
              <w:spacing w:after="120" w:line="276" w:lineRule="auto"/>
              <w:rPr>
                <w:color w:val="0000FF"/>
                <w:sz w:val="16"/>
                <w:szCs w:val="16"/>
                <w:u w:val="single"/>
              </w:rPr>
            </w:pPr>
            <w:r>
              <w:rPr>
                <w:color w:val="0000FF"/>
                <w:sz w:val="16"/>
                <w:szCs w:val="16"/>
                <w:u w:val="single"/>
              </w:rPr>
              <w:t>(none)</w:t>
            </w:r>
          </w:p>
        </w:tc>
      </w:tr>
      <w:tr w:rsidR="00B97365" w14:paraId="77495848" w14:textId="77777777">
        <w:trPr>
          <w:trHeight w:val="270"/>
          <w:jc w:val="center"/>
        </w:trPr>
        <w:tc>
          <w:tcPr>
            <w:tcW w:w="2830" w:type="dxa"/>
            <w:vMerge w:val="restart"/>
            <w:tcBorders>
              <w:top w:val="single" w:sz="6" w:space="0" w:color="auto"/>
              <w:left w:val="single" w:sz="4" w:space="0" w:color="auto"/>
              <w:right w:val="single" w:sz="6" w:space="0" w:color="auto"/>
            </w:tcBorders>
            <w:vAlign w:val="center"/>
          </w:tcPr>
          <w:p w14:paraId="615F4190" w14:textId="77777777" w:rsidR="00B97365" w:rsidRDefault="00000000">
            <w:pPr>
              <w:spacing w:before="0"/>
              <w:jc w:val="left"/>
              <w:rPr>
                <w:rFonts w:cs="Arial"/>
                <w:sz w:val="16"/>
                <w:szCs w:val="16"/>
              </w:rPr>
            </w:pPr>
            <w:r>
              <w:rPr>
                <w:rFonts w:cs="Arial"/>
                <w:sz w:val="16"/>
                <w:szCs w:val="16"/>
                <w:lang w:eastAsia="en-GB" w:bidi="ar-SA"/>
              </w:rPr>
              <w:t>GetONC</w:t>
            </w:r>
          </w:p>
        </w:tc>
        <w:tc>
          <w:tcPr>
            <w:tcW w:w="1843" w:type="dxa"/>
            <w:tcBorders>
              <w:top w:val="single" w:sz="6" w:space="0" w:color="auto"/>
              <w:left w:val="single" w:sz="6" w:space="0" w:color="auto"/>
              <w:bottom w:val="single" w:sz="6" w:space="0" w:color="auto"/>
              <w:right w:val="single" w:sz="6" w:space="0" w:color="auto"/>
            </w:tcBorders>
            <w:vAlign w:val="center"/>
          </w:tcPr>
          <w:p w14:paraId="1E6319B1"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5ADD4FC0" w14:textId="77777777" w:rsidR="00B97365" w:rsidRDefault="00000000">
            <w:pPr>
              <w:spacing w:after="120" w:line="276" w:lineRule="auto"/>
              <w:rPr>
                <w:rFonts w:cs="Arial"/>
                <w:sz w:val="16"/>
                <w:szCs w:val="16"/>
              </w:rPr>
            </w:pPr>
            <w:r>
              <w:rPr>
                <w:rFonts w:cs="Arial"/>
                <w:sz w:val="16"/>
                <w:szCs w:val="16"/>
                <w:lang w:eastAsia="en-GB" w:bidi="ar-SA"/>
              </w:rPr>
              <w:t>Synchronous Request-Response</w:t>
            </w:r>
          </w:p>
        </w:tc>
      </w:tr>
      <w:tr w:rsidR="00B97365" w14:paraId="1E1840F4" w14:textId="77777777">
        <w:trPr>
          <w:trHeight w:val="270"/>
          <w:jc w:val="center"/>
        </w:trPr>
        <w:tc>
          <w:tcPr>
            <w:tcW w:w="2830" w:type="dxa"/>
            <w:vMerge/>
            <w:tcBorders>
              <w:left w:val="single" w:sz="4" w:space="0" w:color="auto"/>
              <w:right w:val="single" w:sz="6" w:space="0" w:color="auto"/>
            </w:tcBorders>
            <w:vAlign w:val="center"/>
          </w:tcPr>
          <w:p w14:paraId="53CCB2B3"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6EF05045"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14445FB4" w14:textId="77777777" w:rsidR="00B97365" w:rsidRDefault="00000000">
            <w:pPr>
              <w:spacing w:after="120" w:line="276" w:lineRule="auto"/>
              <w:rPr>
                <w:rFonts w:cs="Arial"/>
                <w:sz w:val="16"/>
                <w:szCs w:val="16"/>
              </w:rPr>
            </w:pPr>
            <w:r>
              <w:rPr>
                <w:color w:val="0000FF"/>
                <w:sz w:val="16"/>
                <w:szCs w:val="16"/>
                <w:u w:val="single"/>
              </w:rPr>
              <w:t>http://gsma.com/ES3/ProfileManagement/ES3-GetONCRequest</w:t>
            </w:r>
          </w:p>
        </w:tc>
      </w:tr>
      <w:tr w:rsidR="00B97365" w14:paraId="0F558513" w14:textId="77777777">
        <w:trPr>
          <w:trHeight w:val="270"/>
          <w:jc w:val="center"/>
        </w:trPr>
        <w:tc>
          <w:tcPr>
            <w:tcW w:w="2830" w:type="dxa"/>
            <w:vMerge/>
            <w:tcBorders>
              <w:left w:val="single" w:sz="4" w:space="0" w:color="auto"/>
              <w:bottom w:val="single" w:sz="6" w:space="0" w:color="auto"/>
              <w:right w:val="single" w:sz="6" w:space="0" w:color="auto"/>
            </w:tcBorders>
            <w:vAlign w:val="center"/>
          </w:tcPr>
          <w:p w14:paraId="23808BD6"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15815741"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1DFD092B" w14:textId="77777777" w:rsidR="00B97365" w:rsidRDefault="00000000">
            <w:pPr>
              <w:spacing w:after="120" w:line="276" w:lineRule="auto"/>
              <w:rPr>
                <w:rFonts w:cs="Arial"/>
                <w:sz w:val="16"/>
                <w:szCs w:val="16"/>
              </w:rPr>
            </w:pPr>
            <w:r>
              <w:rPr>
                <w:color w:val="0000FF"/>
                <w:sz w:val="16"/>
                <w:szCs w:val="16"/>
                <w:u w:val="single"/>
              </w:rPr>
              <w:t>http://gsma.com/ES3/ProfileManagement/ES3-GetONCResponse</w:t>
            </w:r>
          </w:p>
        </w:tc>
      </w:tr>
      <w:tr w:rsidR="00B97365" w14:paraId="7C8ED8F1" w14:textId="77777777">
        <w:trPr>
          <w:trHeight w:val="270"/>
          <w:jc w:val="center"/>
        </w:trPr>
        <w:tc>
          <w:tcPr>
            <w:tcW w:w="2830" w:type="dxa"/>
            <w:vMerge w:val="restart"/>
            <w:tcBorders>
              <w:top w:val="single" w:sz="6" w:space="0" w:color="auto"/>
              <w:left w:val="single" w:sz="4" w:space="0" w:color="auto"/>
              <w:right w:val="single" w:sz="6" w:space="0" w:color="auto"/>
            </w:tcBorders>
            <w:vAlign w:val="center"/>
          </w:tcPr>
          <w:p w14:paraId="5EDEE432" w14:textId="77777777" w:rsidR="00B97365" w:rsidRDefault="00000000">
            <w:pPr>
              <w:spacing w:before="0"/>
              <w:jc w:val="left"/>
              <w:rPr>
                <w:rFonts w:cs="Arial"/>
                <w:sz w:val="16"/>
                <w:szCs w:val="16"/>
              </w:rPr>
            </w:pPr>
            <w:r>
              <w:rPr>
                <w:rFonts w:cs="Arial"/>
                <w:sz w:val="16"/>
                <w:szCs w:val="16"/>
                <w:lang w:eastAsia="en-GB" w:bidi="ar-SA"/>
              </w:rPr>
              <w:t>SetONC</w:t>
            </w:r>
          </w:p>
        </w:tc>
        <w:tc>
          <w:tcPr>
            <w:tcW w:w="1843" w:type="dxa"/>
            <w:tcBorders>
              <w:top w:val="single" w:sz="6" w:space="0" w:color="auto"/>
              <w:left w:val="single" w:sz="6" w:space="0" w:color="auto"/>
              <w:bottom w:val="single" w:sz="6" w:space="0" w:color="auto"/>
              <w:right w:val="single" w:sz="6" w:space="0" w:color="auto"/>
            </w:tcBorders>
            <w:vAlign w:val="center"/>
          </w:tcPr>
          <w:p w14:paraId="27E53825"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1FA79F16" w14:textId="77777777" w:rsidR="00B97365" w:rsidRDefault="00000000">
            <w:pPr>
              <w:spacing w:after="120" w:line="276" w:lineRule="auto"/>
              <w:rPr>
                <w:rFonts w:cs="Arial"/>
                <w:sz w:val="16"/>
                <w:szCs w:val="16"/>
              </w:rPr>
            </w:pPr>
            <w:r>
              <w:rPr>
                <w:rFonts w:cs="Arial"/>
                <w:sz w:val="16"/>
                <w:szCs w:val="16"/>
                <w:lang w:eastAsia="en-GB" w:bidi="ar-SA"/>
              </w:rPr>
              <w:t>Synchronous Request-Response</w:t>
            </w:r>
          </w:p>
        </w:tc>
      </w:tr>
      <w:tr w:rsidR="00B97365" w14:paraId="2D289126" w14:textId="77777777">
        <w:trPr>
          <w:trHeight w:val="270"/>
          <w:jc w:val="center"/>
        </w:trPr>
        <w:tc>
          <w:tcPr>
            <w:tcW w:w="2830" w:type="dxa"/>
            <w:vMerge/>
            <w:tcBorders>
              <w:left w:val="single" w:sz="4" w:space="0" w:color="auto"/>
              <w:right w:val="single" w:sz="6" w:space="0" w:color="auto"/>
            </w:tcBorders>
            <w:vAlign w:val="center"/>
          </w:tcPr>
          <w:p w14:paraId="0F25A079"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3189EC71"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13408485" w14:textId="77777777" w:rsidR="00B97365" w:rsidRDefault="00000000">
            <w:pPr>
              <w:spacing w:after="120" w:line="276" w:lineRule="auto"/>
              <w:rPr>
                <w:rFonts w:cs="Arial"/>
                <w:sz w:val="16"/>
                <w:szCs w:val="16"/>
              </w:rPr>
            </w:pPr>
            <w:r>
              <w:rPr>
                <w:color w:val="0000FF"/>
                <w:sz w:val="16"/>
                <w:szCs w:val="16"/>
                <w:u w:val="single"/>
              </w:rPr>
              <w:t>http://gsma.com/ES3/ProfileManagement/ES3-SetONCRequest</w:t>
            </w:r>
          </w:p>
        </w:tc>
      </w:tr>
      <w:tr w:rsidR="00B97365" w14:paraId="5EA71D8D" w14:textId="77777777">
        <w:trPr>
          <w:trHeight w:val="270"/>
          <w:jc w:val="center"/>
        </w:trPr>
        <w:tc>
          <w:tcPr>
            <w:tcW w:w="2830" w:type="dxa"/>
            <w:vMerge/>
            <w:tcBorders>
              <w:left w:val="single" w:sz="4" w:space="0" w:color="auto"/>
              <w:bottom w:val="single" w:sz="6" w:space="0" w:color="auto"/>
              <w:right w:val="single" w:sz="6" w:space="0" w:color="auto"/>
            </w:tcBorders>
            <w:vAlign w:val="center"/>
          </w:tcPr>
          <w:p w14:paraId="08552671"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45B0630A"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1AD453FF" w14:textId="77777777" w:rsidR="00B97365" w:rsidRDefault="00000000">
            <w:pPr>
              <w:spacing w:after="120" w:line="276" w:lineRule="auto"/>
              <w:rPr>
                <w:rFonts w:cs="Arial"/>
                <w:sz w:val="16"/>
                <w:szCs w:val="16"/>
              </w:rPr>
            </w:pPr>
            <w:r>
              <w:rPr>
                <w:color w:val="0000FF"/>
                <w:sz w:val="16"/>
                <w:szCs w:val="16"/>
                <w:u w:val="single"/>
              </w:rPr>
              <w:t>http://gsma.com/ES3/ProfileManagement/ES3-SetONCResponse</w:t>
            </w:r>
          </w:p>
        </w:tc>
      </w:tr>
      <w:tr w:rsidR="00B97365" w14:paraId="550799A0" w14:textId="77777777">
        <w:trPr>
          <w:trHeight w:val="270"/>
          <w:jc w:val="center"/>
        </w:trPr>
        <w:tc>
          <w:tcPr>
            <w:tcW w:w="2830" w:type="dxa"/>
            <w:vMerge w:val="restart"/>
            <w:tcBorders>
              <w:top w:val="single" w:sz="6" w:space="0" w:color="auto"/>
              <w:left w:val="single" w:sz="4" w:space="0" w:color="auto"/>
              <w:right w:val="single" w:sz="6" w:space="0" w:color="auto"/>
            </w:tcBorders>
            <w:vAlign w:val="center"/>
          </w:tcPr>
          <w:p w14:paraId="4C2581BD" w14:textId="77777777" w:rsidR="00B97365" w:rsidRDefault="00000000">
            <w:pPr>
              <w:spacing w:before="0"/>
              <w:jc w:val="left"/>
              <w:rPr>
                <w:rFonts w:cs="Arial"/>
                <w:sz w:val="16"/>
                <w:szCs w:val="16"/>
              </w:rPr>
            </w:pPr>
            <w:r>
              <w:rPr>
                <w:rFonts w:cs="Arial"/>
                <w:sz w:val="16"/>
                <w:szCs w:val="16"/>
                <w:lang w:eastAsia="en-GB" w:bidi="ar-SA"/>
              </w:rPr>
              <w:t>GetPLMA</w:t>
            </w:r>
          </w:p>
        </w:tc>
        <w:tc>
          <w:tcPr>
            <w:tcW w:w="1843" w:type="dxa"/>
            <w:tcBorders>
              <w:top w:val="single" w:sz="6" w:space="0" w:color="auto"/>
              <w:left w:val="single" w:sz="6" w:space="0" w:color="auto"/>
              <w:bottom w:val="single" w:sz="6" w:space="0" w:color="auto"/>
              <w:right w:val="single" w:sz="6" w:space="0" w:color="auto"/>
            </w:tcBorders>
            <w:vAlign w:val="center"/>
          </w:tcPr>
          <w:p w14:paraId="55EF0F7E"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4F323AD3" w14:textId="77777777" w:rsidR="00B97365" w:rsidRDefault="00000000">
            <w:pPr>
              <w:spacing w:after="120" w:line="276" w:lineRule="auto"/>
              <w:rPr>
                <w:rFonts w:cs="Arial"/>
                <w:sz w:val="16"/>
                <w:szCs w:val="16"/>
              </w:rPr>
            </w:pPr>
            <w:r>
              <w:rPr>
                <w:rFonts w:cs="Arial"/>
                <w:sz w:val="16"/>
                <w:szCs w:val="16"/>
                <w:lang w:eastAsia="en-GB" w:bidi="ar-SA"/>
              </w:rPr>
              <w:t>Synchronous Request-Response</w:t>
            </w:r>
          </w:p>
        </w:tc>
      </w:tr>
      <w:tr w:rsidR="00B97365" w14:paraId="2DDF0241" w14:textId="77777777">
        <w:trPr>
          <w:trHeight w:val="270"/>
          <w:jc w:val="center"/>
        </w:trPr>
        <w:tc>
          <w:tcPr>
            <w:tcW w:w="2830" w:type="dxa"/>
            <w:vMerge/>
            <w:tcBorders>
              <w:left w:val="single" w:sz="4" w:space="0" w:color="auto"/>
              <w:right w:val="single" w:sz="6" w:space="0" w:color="auto"/>
            </w:tcBorders>
            <w:vAlign w:val="center"/>
          </w:tcPr>
          <w:p w14:paraId="1F9D7B53"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7790DDB7"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0B96A906" w14:textId="77777777" w:rsidR="00B97365" w:rsidRDefault="00000000">
            <w:pPr>
              <w:spacing w:after="120" w:line="276" w:lineRule="auto"/>
              <w:rPr>
                <w:rFonts w:cs="Arial"/>
                <w:sz w:val="16"/>
                <w:szCs w:val="16"/>
              </w:rPr>
            </w:pPr>
            <w:r>
              <w:rPr>
                <w:color w:val="0000FF"/>
                <w:sz w:val="16"/>
                <w:szCs w:val="16"/>
                <w:u w:val="single"/>
              </w:rPr>
              <w:t>http://gsma.com/ES3/ProfileManagement/ES3-GetPLMARequest</w:t>
            </w:r>
          </w:p>
        </w:tc>
      </w:tr>
      <w:tr w:rsidR="00B97365" w14:paraId="73002F90" w14:textId="77777777">
        <w:trPr>
          <w:trHeight w:val="270"/>
          <w:jc w:val="center"/>
        </w:trPr>
        <w:tc>
          <w:tcPr>
            <w:tcW w:w="2830" w:type="dxa"/>
            <w:vMerge/>
            <w:tcBorders>
              <w:left w:val="single" w:sz="4" w:space="0" w:color="auto"/>
              <w:bottom w:val="single" w:sz="6" w:space="0" w:color="auto"/>
              <w:right w:val="single" w:sz="6" w:space="0" w:color="auto"/>
            </w:tcBorders>
            <w:vAlign w:val="center"/>
          </w:tcPr>
          <w:p w14:paraId="5F663E7E"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70786187"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55427E9D" w14:textId="77777777" w:rsidR="00B97365" w:rsidRDefault="00000000">
            <w:pPr>
              <w:spacing w:after="120" w:line="276" w:lineRule="auto"/>
              <w:rPr>
                <w:rFonts w:cs="Arial"/>
                <w:sz w:val="16"/>
                <w:szCs w:val="16"/>
              </w:rPr>
            </w:pPr>
            <w:r>
              <w:rPr>
                <w:color w:val="0000FF"/>
                <w:sz w:val="16"/>
                <w:szCs w:val="16"/>
                <w:u w:val="single"/>
              </w:rPr>
              <w:t>http://gsma.com/ES3/ProfileManagement/ES3-GetPLMAResponse</w:t>
            </w:r>
          </w:p>
        </w:tc>
      </w:tr>
      <w:tr w:rsidR="00B97365" w14:paraId="3C869628" w14:textId="77777777">
        <w:trPr>
          <w:trHeight w:val="270"/>
          <w:jc w:val="center"/>
        </w:trPr>
        <w:tc>
          <w:tcPr>
            <w:tcW w:w="2830" w:type="dxa"/>
            <w:vMerge w:val="restart"/>
            <w:tcBorders>
              <w:top w:val="single" w:sz="6" w:space="0" w:color="auto"/>
              <w:left w:val="single" w:sz="4" w:space="0" w:color="auto"/>
              <w:right w:val="single" w:sz="6" w:space="0" w:color="auto"/>
            </w:tcBorders>
            <w:vAlign w:val="center"/>
          </w:tcPr>
          <w:p w14:paraId="692DA20B" w14:textId="77777777" w:rsidR="00B97365" w:rsidRDefault="00000000">
            <w:pPr>
              <w:spacing w:before="0"/>
              <w:jc w:val="left"/>
              <w:rPr>
                <w:rFonts w:cs="Arial"/>
                <w:sz w:val="16"/>
                <w:szCs w:val="16"/>
              </w:rPr>
            </w:pPr>
            <w:r>
              <w:rPr>
                <w:rFonts w:cs="Arial"/>
                <w:sz w:val="16"/>
                <w:szCs w:val="16"/>
                <w:lang w:eastAsia="en-GB" w:bidi="ar-SA"/>
              </w:rPr>
              <w:t>SetPLMA</w:t>
            </w:r>
          </w:p>
        </w:tc>
        <w:tc>
          <w:tcPr>
            <w:tcW w:w="1843" w:type="dxa"/>
            <w:tcBorders>
              <w:top w:val="single" w:sz="6" w:space="0" w:color="auto"/>
              <w:left w:val="single" w:sz="6" w:space="0" w:color="auto"/>
              <w:bottom w:val="single" w:sz="6" w:space="0" w:color="auto"/>
              <w:right w:val="single" w:sz="6" w:space="0" w:color="auto"/>
            </w:tcBorders>
            <w:vAlign w:val="center"/>
          </w:tcPr>
          <w:p w14:paraId="16AE6E38"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3CC7153D" w14:textId="77777777" w:rsidR="00B97365" w:rsidRDefault="00000000">
            <w:pPr>
              <w:spacing w:after="120" w:line="276" w:lineRule="auto"/>
              <w:rPr>
                <w:rFonts w:cs="Arial"/>
                <w:sz w:val="16"/>
                <w:szCs w:val="16"/>
              </w:rPr>
            </w:pPr>
            <w:r>
              <w:rPr>
                <w:rFonts w:cs="Arial"/>
                <w:sz w:val="16"/>
                <w:szCs w:val="16"/>
                <w:lang w:eastAsia="en-GB" w:bidi="ar-SA"/>
              </w:rPr>
              <w:t>Synchronous Request-Response</w:t>
            </w:r>
          </w:p>
        </w:tc>
      </w:tr>
      <w:tr w:rsidR="00B97365" w14:paraId="0611D829" w14:textId="77777777">
        <w:trPr>
          <w:trHeight w:val="270"/>
          <w:jc w:val="center"/>
        </w:trPr>
        <w:tc>
          <w:tcPr>
            <w:tcW w:w="2830" w:type="dxa"/>
            <w:vMerge/>
            <w:tcBorders>
              <w:left w:val="single" w:sz="4" w:space="0" w:color="auto"/>
              <w:right w:val="single" w:sz="6" w:space="0" w:color="auto"/>
            </w:tcBorders>
            <w:vAlign w:val="center"/>
          </w:tcPr>
          <w:p w14:paraId="123B63EF"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0B7594C7"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38D95EAD" w14:textId="77777777" w:rsidR="00B97365" w:rsidRDefault="00000000">
            <w:pPr>
              <w:spacing w:after="120" w:line="276" w:lineRule="auto"/>
              <w:rPr>
                <w:rFonts w:cs="Arial"/>
                <w:sz w:val="16"/>
                <w:szCs w:val="16"/>
              </w:rPr>
            </w:pPr>
            <w:r>
              <w:rPr>
                <w:color w:val="0000FF"/>
                <w:sz w:val="16"/>
                <w:szCs w:val="16"/>
                <w:u w:val="single"/>
              </w:rPr>
              <w:t>http://gsma.com/ES3/ProfileManagement/ES3-SetPLMARequest</w:t>
            </w:r>
          </w:p>
        </w:tc>
      </w:tr>
      <w:tr w:rsidR="00B97365" w14:paraId="210DB727" w14:textId="77777777">
        <w:trPr>
          <w:trHeight w:val="270"/>
          <w:jc w:val="center"/>
        </w:trPr>
        <w:tc>
          <w:tcPr>
            <w:tcW w:w="2830" w:type="dxa"/>
            <w:vMerge/>
            <w:tcBorders>
              <w:left w:val="single" w:sz="4" w:space="0" w:color="auto"/>
              <w:right w:val="single" w:sz="6" w:space="0" w:color="auto"/>
            </w:tcBorders>
            <w:vAlign w:val="center"/>
          </w:tcPr>
          <w:p w14:paraId="759E510B"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5597FD05"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42D2838E" w14:textId="77777777" w:rsidR="00B97365" w:rsidRDefault="00000000">
            <w:pPr>
              <w:spacing w:after="120" w:line="276" w:lineRule="auto"/>
              <w:rPr>
                <w:rFonts w:cs="Arial"/>
                <w:sz w:val="16"/>
                <w:szCs w:val="16"/>
              </w:rPr>
            </w:pPr>
            <w:r>
              <w:rPr>
                <w:color w:val="0000FF"/>
                <w:sz w:val="16"/>
                <w:szCs w:val="16"/>
                <w:u w:val="single"/>
              </w:rPr>
              <w:t>http://gsma.com/ES3/ProfileManagement/ES3-SetPLMAResponse</w:t>
            </w:r>
          </w:p>
        </w:tc>
      </w:tr>
      <w:tr w:rsidR="00B97365" w14:paraId="2D2D6D6A" w14:textId="77777777">
        <w:trPr>
          <w:trHeight w:val="270"/>
          <w:jc w:val="center"/>
        </w:trPr>
        <w:tc>
          <w:tcPr>
            <w:tcW w:w="2830" w:type="dxa"/>
            <w:vMerge w:val="restart"/>
            <w:tcBorders>
              <w:left w:val="single" w:sz="4" w:space="0" w:color="auto"/>
              <w:right w:val="single" w:sz="6" w:space="0" w:color="auto"/>
            </w:tcBorders>
            <w:vAlign w:val="center"/>
          </w:tcPr>
          <w:p w14:paraId="26382178" w14:textId="77777777" w:rsidR="00B97365" w:rsidRDefault="00000000">
            <w:pPr>
              <w:spacing w:before="0"/>
              <w:jc w:val="left"/>
              <w:rPr>
                <w:rFonts w:cs="Arial"/>
                <w:sz w:val="16"/>
                <w:szCs w:val="16"/>
              </w:rPr>
            </w:pPr>
            <w:r>
              <w:rPr>
                <w:rFonts w:cs="Arial"/>
                <w:sz w:val="16"/>
                <w:szCs w:val="16"/>
                <w:lang w:eastAsia="en-GB" w:bidi="ar-SA"/>
              </w:rPr>
              <w:t>HandleProfileDownloadedNotification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5268CB50" w14:textId="77777777" w:rsidR="00B97365" w:rsidRDefault="00000000">
            <w:pPr>
              <w:spacing w:after="120" w:line="276" w:lineRule="auto"/>
              <w:rPr>
                <w:rFonts w:cs="Arial"/>
                <w:b/>
                <w:sz w:val="16"/>
                <w:szCs w:val="16"/>
              </w:rPr>
            </w:pPr>
            <w:r>
              <w:rPr>
                <w:rFonts w:cs="Arial"/>
                <w:b/>
                <w:sz w:val="16"/>
                <w:szCs w:val="16"/>
                <w:lang w:eastAsia="en-GB" w:bidi="ar-SA"/>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194CAA49"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7E017669" w14:textId="77777777">
        <w:trPr>
          <w:trHeight w:val="270"/>
          <w:jc w:val="center"/>
        </w:trPr>
        <w:tc>
          <w:tcPr>
            <w:tcW w:w="2830" w:type="dxa"/>
            <w:vMerge/>
            <w:tcBorders>
              <w:left w:val="single" w:sz="4" w:space="0" w:color="auto"/>
              <w:right w:val="single" w:sz="6" w:space="0" w:color="auto"/>
            </w:tcBorders>
            <w:vAlign w:val="center"/>
          </w:tcPr>
          <w:p w14:paraId="42CB4C81"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0C42D845"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7B6F75A7" w14:textId="77777777" w:rsidR="00B97365" w:rsidRDefault="00000000">
            <w:pPr>
              <w:spacing w:after="120" w:line="276" w:lineRule="auto"/>
              <w:rPr>
                <w:color w:val="0000FF"/>
                <w:sz w:val="16"/>
                <w:szCs w:val="16"/>
                <w:u w:val="single"/>
              </w:rPr>
            </w:pPr>
            <w:r>
              <w:rPr>
                <w:rFonts w:cs="Arial"/>
                <w:sz w:val="16"/>
                <w:szCs w:val="16"/>
                <w:lang w:eastAsia="en-GB" w:bidi="ar-SA"/>
              </w:rPr>
              <w:t>http://gsma.com/ES3/ProfileManagement/ES2-</w:t>
            </w:r>
            <w:r>
              <w:rPr>
                <w:rFonts w:ascii="Courier New" w:hAnsi="Courier New" w:cs="Courier New"/>
                <w:sz w:val="16"/>
                <w:szCs w:val="16"/>
              </w:rPr>
              <w:t xml:space="preserve"> </w:t>
            </w:r>
            <w:r>
              <w:rPr>
                <w:rFonts w:cs="Arial"/>
                <w:sz w:val="16"/>
                <w:szCs w:val="16"/>
                <w:lang w:eastAsia="en-GB" w:bidi="ar-SA"/>
              </w:rPr>
              <w:t>HandleProfileDownloadedNotification</w:t>
            </w:r>
          </w:p>
        </w:tc>
      </w:tr>
      <w:tr w:rsidR="00B97365" w14:paraId="489B9C32" w14:textId="77777777">
        <w:trPr>
          <w:trHeight w:val="270"/>
          <w:jc w:val="center"/>
        </w:trPr>
        <w:tc>
          <w:tcPr>
            <w:tcW w:w="2830" w:type="dxa"/>
            <w:vMerge/>
            <w:tcBorders>
              <w:left w:val="single" w:sz="4" w:space="0" w:color="auto"/>
              <w:right w:val="single" w:sz="6" w:space="0" w:color="auto"/>
            </w:tcBorders>
            <w:vAlign w:val="center"/>
          </w:tcPr>
          <w:p w14:paraId="192885F8"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42A83D41" w14:textId="77777777" w:rsidR="00B97365" w:rsidRDefault="00000000">
            <w:pPr>
              <w:spacing w:after="120" w:line="276" w:lineRule="auto"/>
              <w:rPr>
                <w:rFonts w:cs="Arial"/>
                <w:b/>
                <w:sz w:val="16"/>
                <w:szCs w:val="16"/>
              </w:rPr>
            </w:pPr>
            <w:r>
              <w:rPr>
                <w:rFonts w:cs="Arial"/>
                <w:b/>
                <w:sz w:val="16"/>
                <w:szCs w:val="16"/>
              </w:rPr>
              <w:t xml:space="preserve">/wsa:Action  </w:t>
            </w:r>
          </w:p>
          <w:p w14:paraId="4B42CF5D" w14:textId="77777777" w:rsidR="00B97365" w:rsidRDefault="00000000">
            <w:pPr>
              <w:spacing w:after="120" w:line="276" w:lineRule="auto"/>
              <w:rPr>
                <w:rFonts w:cs="Arial"/>
                <w:b/>
                <w:sz w:val="16"/>
                <w:szCs w:val="16"/>
              </w:rPr>
            </w:pPr>
            <w:r>
              <w:rPr>
                <w:rFonts w:cs="Arial"/>
                <w:b/>
                <w:sz w:val="16"/>
                <w:szCs w:val="16"/>
              </w:rPr>
              <w:t>Response</w:t>
            </w:r>
          </w:p>
        </w:tc>
        <w:tc>
          <w:tcPr>
            <w:tcW w:w="4394" w:type="dxa"/>
            <w:tcBorders>
              <w:top w:val="single" w:sz="6" w:space="0" w:color="auto"/>
              <w:left w:val="single" w:sz="6" w:space="0" w:color="auto"/>
              <w:bottom w:val="single" w:sz="6" w:space="0" w:color="auto"/>
              <w:right w:val="single" w:sz="4" w:space="0" w:color="auto"/>
            </w:tcBorders>
            <w:vAlign w:val="center"/>
          </w:tcPr>
          <w:p w14:paraId="5D19FA13" w14:textId="77777777" w:rsidR="00B97365" w:rsidRDefault="00000000">
            <w:pPr>
              <w:spacing w:after="120" w:line="276" w:lineRule="auto"/>
              <w:rPr>
                <w:color w:val="0000FF"/>
                <w:sz w:val="16"/>
                <w:szCs w:val="16"/>
                <w:u w:val="single"/>
              </w:rPr>
            </w:pPr>
            <w:r>
              <w:rPr>
                <w:rFonts w:cs="Arial"/>
                <w:sz w:val="16"/>
                <w:szCs w:val="16"/>
                <w:lang w:eastAsia="en-GB" w:bidi="ar-SA"/>
              </w:rPr>
              <w:t>(none)</w:t>
            </w:r>
          </w:p>
        </w:tc>
      </w:tr>
      <w:tr w:rsidR="00B97365" w14:paraId="46FD2E9E" w14:textId="77777777">
        <w:trPr>
          <w:trHeight w:val="270"/>
          <w:jc w:val="center"/>
        </w:trPr>
        <w:tc>
          <w:tcPr>
            <w:tcW w:w="2830" w:type="dxa"/>
            <w:vMerge w:val="restart"/>
            <w:tcBorders>
              <w:left w:val="single" w:sz="4" w:space="0" w:color="auto"/>
              <w:right w:val="single" w:sz="6" w:space="0" w:color="auto"/>
            </w:tcBorders>
            <w:vAlign w:val="center"/>
          </w:tcPr>
          <w:p w14:paraId="14C3F638" w14:textId="77777777" w:rsidR="00B97365" w:rsidRDefault="00000000">
            <w:pPr>
              <w:spacing w:before="0"/>
              <w:jc w:val="left"/>
              <w:rPr>
                <w:rFonts w:cs="Arial"/>
                <w:sz w:val="16"/>
                <w:szCs w:val="16"/>
              </w:rPr>
            </w:pPr>
            <w:r>
              <w:rPr>
                <w:rFonts w:cs="Arial"/>
                <w:sz w:val="16"/>
                <w:szCs w:val="16"/>
                <w:lang w:eastAsia="en-GB" w:bidi="ar-SA"/>
              </w:rPr>
              <w:t>HandlePLMAChangedNotification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3CC983D5" w14:textId="77777777" w:rsidR="00B97365" w:rsidRDefault="00000000">
            <w:pPr>
              <w:spacing w:after="120" w:line="276" w:lineRule="auto"/>
              <w:rPr>
                <w:rFonts w:cs="Arial"/>
                <w:b/>
                <w:sz w:val="16"/>
                <w:szCs w:val="16"/>
              </w:rPr>
            </w:pPr>
            <w:r>
              <w:rPr>
                <w:rFonts w:cs="Arial"/>
                <w:b/>
                <w:sz w:val="16"/>
                <w:szCs w:val="16"/>
              </w:rPr>
              <w:t xml:space="preserve">/wsa:Action  </w:t>
            </w:r>
          </w:p>
          <w:p w14:paraId="19D352C8" w14:textId="77777777" w:rsidR="00B97365" w:rsidRDefault="00000000">
            <w:pPr>
              <w:spacing w:after="120" w:line="276" w:lineRule="auto"/>
              <w:rPr>
                <w:rFonts w:cs="Arial"/>
                <w:b/>
                <w:sz w:val="16"/>
                <w:szCs w:val="16"/>
              </w:rPr>
            </w:pPr>
            <w:r>
              <w:rPr>
                <w:rFonts w:cs="Arial"/>
                <w:b/>
                <w:sz w:val="16"/>
                <w:szCs w:val="16"/>
              </w:rPr>
              <w:t>Response</w:t>
            </w:r>
          </w:p>
        </w:tc>
        <w:tc>
          <w:tcPr>
            <w:tcW w:w="4394" w:type="dxa"/>
            <w:tcBorders>
              <w:top w:val="single" w:sz="6" w:space="0" w:color="auto"/>
              <w:left w:val="single" w:sz="6" w:space="0" w:color="auto"/>
              <w:bottom w:val="single" w:sz="6" w:space="0" w:color="auto"/>
              <w:right w:val="single" w:sz="4" w:space="0" w:color="auto"/>
            </w:tcBorders>
            <w:vAlign w:val="center"/>
          </w:tcPr>
          <w:p w14:paraId="5B1B724F" w14:textId="77777777" w:rsidR="00B97365" w:rsidRDefault="00000000">
            <w:pPr>
              <w:spacing w:after="120" w:line="276" w:lineRule="auto"/>
              <w:rPr>
                <w:color w:val="0000FF"/>
                <w:sz w:val="16"/>
                <w:szCs w:val="16"/>
                <w:u w:val="single"/>
              </w:rPr>
            </w:pPr>
            <w:r>
              <w:rPr>
                <w:rFonts w:cs="Arial"/>
                <w:sz w:val="16"/>
                <w:szCs w:val="16"/>
                <w:lang w:eastAsia="en-GB" w:bidi="ar-SA"/>
              </w:rPr>
              <w:t>(none)</w:t>
            </w:r>
          </w:p>
        </w:tc>
      </w:tr>
      <w:tr w:rsidR="00B97365" w14:paraId="6148D61F" w14:textId="77777777">
        <w:trPr>
          <w:trHeight w:val="270"/>
          <w:jc w:val="center"/>
        </w:trPr>
        <w:tc>
          <w:tcPr>
            <w:tcW w:w="2830" w:type="dxa"/>
            <w:vMerge/>
            <w:tcBorders>
              <w:left w:val="single" w:sz="4" w:space="0" w:color="auto"/>
              <w:right w:val="single" w:sz="6" w:space="0" w:color="auto"/>
            </w:tcBorders>
            <w:vAlign w:val="center"/>
          </w:tcPr>
          <w:p w14:paraId="79F24F24"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5FD31FEC" w14:textId="77777777" w:rsidR="00B97365" w:rsidRDefault="00000000">
            <w:pPr>
              <w:spacing w:after="120" w:line="276" w:lineRule="auto"/>
              <w:rPr>
                <w:rFonts w:cs="Arial"/>
                <w:b/>
                <w:sz w:val="16"/>
                <w:szCs w:val="16"/>
              </w:rPr>
            </w:pPr>
            <w:r>
              <w:rPr>
                <w:rFonts w:cs="Arial"/>
                <w:b/>
                <w:sz w:val="16"/>
                <w:szCs w:val="16"/>
                <w:lang w:eastAsia="en-GB" w:bidi="ar-SA"/>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417C86B6"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5B3DB9F0" w14:textId="77777777">
        <w:trPr>
          <w:trHeight w:val="270"/>
          <w:jc w:val="center"/>
        </w:trPr>
        <w:tc>
          <w:tcPr>
            <w:tcW w:w="2830" w:type="dxa"/>
            <w:vMerge/>
            <w:tcBorders>
              <w:left w:val="single" w:sz="4" w:space="0" w:color="auto"/>
              <w:right w:val="single" w:sz="6" w:space="0" w:color="auto"/>
            </w:tcBorders>
            <w:vAlign w:val="center"/>
          </w:tcPr>
          <w:p w14:paraId="424B5394"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5ED23951"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41EDCF7D" w14:textId="77777777" w:rsidR="00B97365" w:rsidRDefault="00000000">
            <w:pPr>
              <w:spacing w:after="120" w:line="276" w:lineRule="auto"/>
              <w:rPr>
                <w:color w:val="0000FF"/>
                <w:sz w:val="16"/>
                <w:szCs w:val="16"/>
                <w:u w:val="single"/>
              </w:rPr>
            </w:pPr>
            <w:r>
              <w:rPr>
                <w:rFonts w:cs="Arial"/>
                <w:sz w:val="16"/>
                <w:szCs w:val="16"/>
                <w:lang w:eastAsia="en-GB" w:bidi="ar-SA"/>
              </w:rPr>
              <w:t>http://gsma.com/ES3/ProfileManagement/ES2-</w:t>
            </w:r>
            <w:r>
              <w:rPr>
                <w:rFonts w:ascii="Courier New" w:hAnsi="Courier New" w:cs="Courier New"/>
                <w:sz w:val="16"/>
                <w:szCs w:val="16"/>
              </w:rPr>
              <w:t xml:space="preserve"> </w:t>
            </w:r>
            <w:r>
              <w:rPr>
                <w:rFonts w:cs="Arial"/>
                <w:sz w:val="16"/>
                <w:szCs w:val="16"/>
                <w:lang w:eastAsia="en-GB" w:bidi="ar-SA"/>
              </w:rPr>
              <w:t>HandlePLMAChangedNotification</w:t>
            </w:r>
          </w:p>
        </w:tc>
      </w:tr>
      <w:tr w:rsidR="00B97365" w14:paraId="0BD44D13" w14:textId="77777777">
        <w:trPr>
          <w:trHeight w:val="270"/>
          <w:jc w:val="center"/>
        </w:trPr>
        <w:tc>
          <w:tcPr>
            <w:tcW w:w="2830" w:type="dxa"/>
            <w:vMerge w:val="restart"/>
            <w:tcBorders>
              <w:left w:val="single" w:sz="4" w:space="0" w:color="auto"/>
              <w:right w:val="single" w:sz="6" w:space="0" w:color="auto"/>
            </w:tcBorders>
            <w:vAlign w:val="center"/>
          </w:tcPr>
          <w:p w14:paraId="6A13099F" w14:textId="77777777" w:rsidR="00B97365" w:rsidRDefault="00000000">
            <w:pPr>
              <w:spacing w:before="0"/>
              <w:jc w:val="left"/>
              <w:rPr>
                <w:rFonts w:cs="Arial"/>
                <w:sz w:val="16"/>
                <w:szCs w:val="16"/>
              </w:rPr>
            </w:pPr>
            <w:r>
              <w:rPr>
                <w:rFonts w:cs="Arial"/>
                <w:sz w:val="16"/>
                <w:szCs w:val="16"/>
                <w:lang w:eastAsia="en-GB" w:bidi="ar-SA"/>
              </w:rPr>
              <w:t>HandlePolicyRulesUpdatedNotification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77650601" w14:textId="77777777" w:rsidR="00B97365" w:rsidRDefault="00000000">
            <w:pPr>
              <w:spacing w:after="120" w:line="276" w:lineRule="auto"/>
              <w:rPr>
                <w:rFonts w:cs="Arial"/>
                <w:b/>
                <w:sz w:val="16"/>
                <w:szCs w:val="16"/>
              </w:rPr>
            </w:pPr>
            <w:r>
              <w:rPr>
                <w:rFonts w:cs="Arial"/>
                <w:b/>
                <w:sz w:val="16"/>
                <w:szCs w:val="16"/>
              </w:rPr>
              <w:t xml:space="preserve">/wsa:Action  </w:t>
            </w:r>
          </w:p>
          <w:p w14:paraId="79A44E1E" w14:textId="77777777" w:rsidR="00B97365" w:rsidRDefault="00000000">
            <w:pPr>
              <w:spacing w:after="120" w:line="276" w:lineRule="auto"/>
              <w:rPr>
                <w:rFonts w:cs="Arial"/>
                <w:b/>
                <w:sz w:val="16"/>
                <w:szCs w:val="16"/>
              </w:rPr>
            </w:pPr>
            <w:r>
              <w:rPr>
                <w:rFonts w:cs="Arial"/>
                <w:b/>
                <w:sz w:val="16"/>
                <w:szCs w:val="16"/>
              </w:rPr>
              <w:t>Response</w:t>
            </w:r>
          </w:p>
        </w:tc>
        <w:tc>
          <w:tcPr>
            <w:tcW w:w="4394" w:type="dxa"/>
            <w:tcBorders>
              <w:top w:val="single" w:sz="6" w:space="0" w:color="auto"/>
              <w:left w:val="single" w:sz="6" w:space="0" w:color="auto"/>
              <w:bottom w:val="single" w:sz="6" w:space="0" w:color="auto"/>
              <w:right w:val="single" w:sz="4" w:space="0" w:color="auto"/>
            </w:tcBorders>
            <w:vAlign w:val="center"/>
          </w:tcPr>
          <w:p w14:paraId="2F55DB8C" w14:textId="77777777" w:rsidR="00B97365" w:rsidRDefault="00000000">
            <w:pPr>
              <w:spacing w:after="120" w:line="276" w:lineRule="auto"/>
              <w:rPr>
                <w:color w:val="0000FF"/>
                <w:sz w:val="16"/>
                <w:szCs w:val="16"/>
                <w:u w:val="single"/>
              </w:rPr>
            </w:pPr>
            <w:r>
              <w:rPr>
                <w:rFonts w:cs="Arial"/>
                <w:sz w:val="16"/>
                <w:szCs w:val="16"/>
                <w:lang w:eastAsia="en-GB" w:bidi="ar-SA"/>
              </w:rPr>
              <w:t>(none)</w:t>
            </w:r>
          </w:p>
        </w:tc>
      </w:tr>
      <w:tr w:rsidR="00B97365" w14:paraId="02F8A767" w14:textId="77777777">
        <w:trPr>
          <w:trHeight w:val="270"/>
          <w:jc w:val="center"/>
        </w:trPr>
        <w:tc>
          <w:tcPr>
            <w:tcW w:w="2830" w:type="dxa"/>
            <w:vMerge/>
            <w:tcBorders>
              <w:left w:val="single" w:sz="4" w:space="0" w:color="auto"/>
              <w:right w:val="single" w:sz="6" w:space="0" w:color="auto"/>
            </w:tcBorders>
            <w:vAlign w:val="center"/>
          </w:tcPr>
          <w:p w14:paraId="6A9D82C1"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37AE1070" w14:textId="77777777" w:rsidR="00B97365" w:rsidRDefault="00000000">
            <w:pPr>
              <w:spacing w:after="120" w:line="276" w:lineRule="auto"/>
              <w:rPr>
                <w:rFonts w:cs="Arial"/>
                <w:b/>
                <w:sz w:val="16"/>
                <w:szCs w:val="16"/>
              </w:rPr>
            </w:pPr>
            <w:r>
              <w:rPr>
                <w:rFonts w:cs="Arial"/>
                <w:b/>
                <w:sz w:val="16"/>
                <w:szCs w:val="16"/>
                <w:lang w:eastAsia="en-GB" w:bidi="ar-SA"/>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2BB968DD"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2ED2E15A" w14:textId="77777777">
        <w:trPr>
          <w:trHeight w:val="270"/>
          <w:jc w:val="center"/>
        </w:trPr>
        <w:tc>
          <w:tcPr>
            <w:tcW w:w="2830" w:type="dxa"/>
            <w:vMerge/>
            <w:tcBorders>
              <w:left w:val="single" w:sz="4" w:space="0" w:color="auto"/>
              <w:bottom w:val="single" w:sz="4" w:space="0" w:color="auto"/>
              <w:right w:val="single" w:sz="6" w:space="0" w:color="auto"/>
            </w:tcBorders>
            <w:vAlign w:val="center"/>
          </w:tcPr>
          <w:p w14:paraId="183AC7FA"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4" w:space="0" w:color="auto"/>
              <w:right w:val="single" w:sz="6" w:space="0" w:color="auto"/>
            </w:tcBorders>
            <w:vAlign w:val="center"/>
          </w:tcPr>
          <w:p w14:paraId="22168616"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4" w:space="0" w:color="auto"/>
              <w:right w:val="single" w:sz="4" w:space="0" w:color="auto"/>
            </w:tcBorders>
            <w:vAlign w:val="center"/>
          </w:tcPr>
          <w:p w14:paraId="5522B050" w14:textId="77777777" w:rsidR="00B97365" w:rsidRDefault="00000000">
            <w:pPr>
              <w:spacing w:after="120" w:line="276" w:lineRule="auto"/>
              <w:rPr>
                <w:color w:val="0000FF"/>
                <w:sz w:val="16"/>
                <w:szCs w:val="16"/>
                <w:u w:val="single"/>
              </w:rPr>
            </w:pPr>
            <w:r>
              <w:rPr>
                <w:rFonts w:cs="Arial"/>
                <w:sz w:val="16"/>
                <w:szCs w:val="16"/>
                <w:lang w:eastAsia="en-GB" w:bidi="ar-SA"/>
              </w:rPr>
              <w:t>http://gsma.com/ES3/ProfileManagement/ES2-</w:t>
            </w:r>
            <w:r>
              <w:rPr>
                <w:rFonts w:ascii="Courier New" w:hAnsi="Courier New" w:cs="Courier New"/>
                <w:sz w:val="16"/>
                <w:szCs w:val="16"/>
              </w:rPr>
              <w:t xml:space="preserve"> </w:t>
            </w:r>
            <w:r>
              <w:rPr>
                <w:rFonts w:cs="Arial"/>
                <w:sz w:val="16"/>
                <w:szCs w:val="16"/>
                <w:lang w:eastAsia="en-GB" w:bidi="ar-SA"/>
              </w:rPr>
              <w:t>HandlePolicyRulesUpdatedNotification</w:t>
            </w:r>
          </w:p>
        </w:tc>
      </w:tr>
    </w:tbl>
    <w:p w14:paraId="6B1C0FEF"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xml:space="preserve">: ES3 Function Binding </w:t>
      </w:r>
    </w:p>
    <w:p w14:paraId="2E9C46A7"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1885" w:name="_Toc536552608"/>
      <w:bookmarkStart w:id="11886" w:name="_Toc448998372"/>
      <w:bookmarkStart w:id="11887" w:name="_Toc422150942"/>
      <w:bookmarkStart w:id="11888" w:name="_Toc421874527"/>
      <w:bookmarkStart w:id="11889" w:name="_Toc420595124"/>
      <w:bookmarkStart w:id="11890" w:name="_Toc398215098"/>
      <w:bookmarkStart w:id="11891" w:name="_Toc375158514"/>
      <w:bookmarkStart w:id="11892" w:name="_Toc374348676"/>
      <w:bookmarkStart w:id="11893" w:name="_Toc368932520"/>
      <w:bookmarkStart w:id="11894" w:name="_Toc486332989"/>
      <w:bookmarkStart w:id="11895" w:name="_Toc1977508"/>
      <w:bookmarkStart w:id="11896" w:name="_Toc37062667"/>
      <w:bookmarkStart w:id="11897" w:name="_Toc88839707"/>
      <w:bookmarkStart w:id="11898" w:name="_Toc121504115"/>
      <w:bookmarkEnd w:id="11885"/>
      <w:r>
        <w:rPr>
          <w:rFonts w:ascii="Arial Bold" w:hAnsi="Arial Bold"/>
          <w:sz w:val="24"/>
          <w:szCs w:val="24"/>
          <w:lang w:eastAsia="en-US"/>
        </w:rPr>
        <w:t>ES4</w:t>
      </w:r>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p>
    <w:tbl>
      <w:tblPr>
        <w:tblW w:w="90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0"/>
        <w:gridCol w:w="1843"/>
        <w:gridCol w:w="4394"/>
      </w:tblGrid>
      <w:tr w:rsidR="00B97365" w14:paraId="0A20D29E" w14:textId="77777777">
        <w:trPr>
          <w:trHeight w:val="327"/>
          <w:jc w:val="center"/>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C4F2DD7" w14:textId="77777777" w:rsidR="00B97365" w:rsidRDefault="00000000">
            <w:pPr>
              <w:jc w:val="center"/>
              <w:rPr>
                <w:rFonts w:cs="Arial"/>
                <w:b/>
                <w:color w:val="FFFFFF"/>
                <w:sz w:val="16"/>
                <w:szCs w:val="16"/>
              </w:rPr>
            </w:pPr>
            <w:r>
              <w:rPr>
                <w:rFonts w:cs="Arial"/>
                <w:b/>
                <w:color w:val="FFFFFF"/>
                <w:sz w:val="16"/>
                <w:szCs w:val="16"/>
              </w:rPr>
              <w:t>Function name</w:t>
            </w:r>
          </w:p>
        </w:tc>
        <w:tc>
          <w:tcPr>
            <w:tcW w:w="6237" w:type="dxa"/>
            <w:gridSpan w:val="2"/>
            <w:tcBorders>
              <w:top w:val="single" w:sz="4" w:space="0" w:color="auto"/>
              <w:left w:val="single" w:sz="6" w:space="0" w:color="auto"/>
              <w:bottom w:val="single" w:sz="6" w:space="0" w:color="auto"/>
              <w:right w:val="single" w:sz="4" w:space="0" w:color="auto"/>
            </w:tcBorders>
            <w:shd w:val="clear" w:color="auto" w:fill="C00000"/>
            <w:vAlign w:val="center"/>
            <w:hideMark/>
          </w:tcPr>
          <w:p w14:paraId="449E5B49" w14:textId="77777777" w:rsidR="00B97365" w:rsidRDefault="00000000">
            <w:pPr>
              <w:jc w:val="center"/>
              <w:rPr>
                <w:rFonts w:cs="Arial"/>
                <w:b/>
                <w:color w:val="FFFFFF"/>
                <w:sz w:val="16"/>
                <w:szCs w:val="16"/>
              </w:rPr>
            </w:pPr>
            <w:r>
              <w:rPr>
                <w:rFonts w:cs="Arial"/>
                <w:b/>
                <w:color w:val="FFFFFF"/>
                <w:sz w:val="16"/>
                <w:szCs w:val="16"/>
              </w:rPr>
              <w:t>Binding Information</w:t>
            </w:r>
          </w:p>
        </w:tc>
      </w:tr>
      <w:tr w:rsidR="00B97365" w14:paraId="418E0F99"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283CBBBC" w14:textId="77777777" w:rsidR="00B97365" w:rsidRDefault="00000000">
            <w:pPr>
              <w:rPr>
                <w:rFonts w:cs="Arial"/>
                <w:sz w:val="16"/>
                <w:szCs w:val="16"/>
              </w:rPr>
            </w:pPr>
            <w:r>
              <w:rPr>
                <w:rFonts w:cs="Arial"/>
                <w:sz w:val="16"/>
                <w:szCs w:val="16"/>
              </w:rPr>
              <w:t>GetEIS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CFAE7F3"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00A12827" w14:textId="77777777" w:rsidR="00B97365" w:rsidRDefault="00000000">
            <w:pPr>
              <w:spacing w:after="120" w:line="276" w:lineRule="auto"/>
              <w:rPr>
                <w:rFonts w:cs="Arial"/>
                <w:sz w:val="16"/>
                <w:szCs w:val="16"/>
              </w:rPr>
            </w:pPr>
            <w:r>
              <w:rPr>
                <w:rFonts w:cs="Arial"/>
                <w:sz w:val="16"/>
                <w:szCs w:val="16"/>
              </w:rPr>
              <w:t>Synchronous Request-Response</w:t>
            </w:r>
          </w:p>
        </w:tc>
      </w:tr>
      <w:tr w:rsidR="00B97365" w14:paraId="1081ADC2"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1F9399A"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1237FCB"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9EA6716" w14:textId="77777777" w:rsidR="00B97365" w:rsidRDefault="00000000">
            <w:pPr>
              <w:spacing w:after="120" w:line="276" w:lineRule="auto"/>
              <w:rPr>
                <w:rFonts w:cs="Arial"/>
                <w:sz w:val="16"/>
                <w:szCs w:val="16"/>
              </w:rPr>
            </w:pPr>
            <w:r>
              <w:rPr>
                <w:rFonts w:cs="Arial"/>
                <w:sz w:val="16"/>
                <w:szCs w:val="16"/>
              </w:rPr>
              <w:t>http://gsma.com/ES4/</w:t>
            </w:r>
            <w:r>
              <w:rPr>
                <w:rFonts w:cs="Arial"/>
                <w:sz w:val="16"/>
                <w:szCs w:val="16"/>
                <w:lang w:eastAsia="en-GB"/>
              </w:rPr>
              <w:t>ProfileManagement</w:t>
            </w:r>
            <w:r>
              <w:rPr>
                <w:rFonts w:cs="Arial"/>
                <w:sz w:val="16"/>
                <w:szCs w:val="16"/>
              </w:rPr>
              <w:t>/ES4-GetEISRequest</w:t>
            </w:r>
          </w:p>
        </w:tc>
      </w:tr>
      <w:tr w:rsidR="00B97365" w14:paraId="3705FC2D"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59F39B21"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71932EE8"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367B6607" w14:textId="77777777" w:rsidR="00B97365" w:rsidRDefault="00000000">
            <w:pPr>
              <w:spacing w:after="120" w:line="276" w:lineRule="auto"/>
              <w:rPr>
                <w:rFonts w:cs="Arial"/>
                <w:sz w:val="16"/>
                <w:szCs w:val="16"/>
              </w:rPr>
            </w:pPr>
            <w:hyperlink r:id="rId148" w:history="1">
              <w:r>
                <w:rPr>
                  <w:rFonts w:cs="Arial"/>
                  <w:color w:val="0000FF"/>
                  <w:sz w:val="16"/>
                  <w:szCs w:val="16"/>
                  <w:u w:val="single"/>
                </w:rPr>
                <w:t>http://gsma.com/ES4/</w:t>
              </w:r>
              <w:r>
                <w:rPr>
                  <w:rFonts w:cs="Arial"/>
                  <w:color w:val="0000FF"/>
                  <w:sz w:val="16"/>
                  <w:szCs w:val="16"/>
                  <w:u w:val="single"/>
                  <w:lang w:eastAsia="en-GB"/>
                </w:rPr>
                <w:t>ProfileManagement</w:t>
              </w:r>
              <w:r>
                <w:rPr>
                  <w:rFonts w:cs="Arial"/>
                  <w:color w:val="0000FF"/>
                  <w:sz w:val="16"/>
                  <w:szCs w:val="16"/>
                  <w:u w:val="single"/>
                </w:rPr>
                <w:t>/ES4-GetEISResponse</w:t>
              </w:r>
            </w:hyperlink>
          </w:p>
        </w:tc>
      </w:tr>
      <w:tr w:rsidR="00B97365" w14:paraId="101E9F08"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7BA817D2" w14:textId="77777777" w:rsidR="00B97365" w:rsidRDefault="00000000">
            <w:pPr>
              <w:spacing w:after="120" w:line="276" w:lineRule="auto"/>
              <w:rPr>
                <w:rFonts w:cs="Arial"/>
                <w:sz w:val="16"/>
                <w:szCs w:val="16"/>
              </w:rPr>
            </w:pPr>
            <w:r>
              <w:rPr>
                <w:rFonts w:cs="Arial"/>
                <w:sz w:val="16"/>
                <w:szCs w:val="16"/>
              </w:rPr>
              <w:t>UpdatePolicyRules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AA6CC72"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BFE26AD" w14:textId="77777777" w:rsidR="00B97365" w:rsidRDefault="00000000">
            <w:pPr>
              <w:spacing w:after="120" w:line="276" w:lineRule="auto"/>
              <w:rPr>
                <w:rFonts w:cs="Arial"/>
                <w:sz w:val="16"/>
                <w:szCs w:val="16"/>
              </w:rPr>
            </w:pPr>
            <w:r>
              <w:rPr>
                <w:rFonts w:cs="Arial"/>
                <w:sz w:val="16"/>
                <w:szCs w:val="16"/>
              </w:rPr>
              <w:t>Synchronous Request-Response</w:t>
            </w:r>
          </w:p>
        </w:tc>
      </w:tr>
      <w:tr w:rsidR="00B97365" w14:paraId="1B1F0284"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1C7A3D7"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2E52FD7"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0D6948EA" w14:textId="77777777" w:rsidR="00B97365" w:rsidRDefault="00000000">
            <w:pPr>
              <w:spacing w:after="120" w:line="276" w:lineRule="auto"/>
              <w:rPr>
                <w:rFonts w:cs="Arial"/>
                <w:sz w:val="16"/>
                <w:szCs w:val="16"/>
              </w:rPr>
            </w:pPr>
            <w:hyperlink r:id="rId149" w:history="1">
              <w:r>
                <w:rPr>
                  <w:color w:val="0000FF"/>
                  <w:sz w:val="16"/>
                  <w:szCs w:val="16"/>
                  <w:u w:val="single"/>
                </w:rPr>
                <w:t>http://gsma.com/ES4/ProfileManagement/ES4-UpdatePolicyRules</w:t>
              </w:r>
            </w:hyperlink>
            <w:r>
              <w:rPr>
                <w:color w:val="0000FF"/>
                <w:sz w:val="16"/>
                <w:szCs w:val="16"/>
                <w:u w:val="single"/>
              </w:rPr>
              <w:t>Request</w:t>
            </w:r>
          </w:p>
        </w:tc>
      </w:tr>
      <w:tr w:rsidR="00B97365" w14:paraId="3FF09A91"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FB03CB3"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77156216"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0A60D5A4" w14:textId="77777777" w:rsidR="00B97365" w:rsidRDefault="00000000">
            <w:pPr>
              <w:spacing w:after="120" w:line="276" w:lineRule="auto"/>
              <w:rPr>
                <w:rFonts w:cs="Arial"/>
                <w:sz w:val="16"/>
                <w:szCs w:val="16"/>
              </w:rPr>
            </w:pPr>
            <w:hyperlink r:id="rId150" w:history="1">
              <w:r>
                <w:rPr>
                  <w:rFonts w:cs="Arial"/>
                  <w:color w:val="0000FF"/>
                  <w:sz w:val="16"/>
                  <w:szCs w:val="16"/>
                  <w:u w:val="single"/>
                </w:rPr>
                <w:t>http://gsma.com/ES4/ProfileManagement/ES4-UpdatePolicyRules</w:t>
              </w:r>
            </w:hyperlink>
            <w:r>
              <w:rPr>
                <w:rFonts w:cs="Arial"/>
                <w:sz w:val="16"/>
                <w:szCs w:val="16"/>
              </w:rPr>
              <w:t>Response</w:t>
            </w:r>
          </w:p>
        </w:tc>
      </w:tr>
      <w:tr w:rsidR="00B97365" w14:paraId="5713B5B5"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0C668A0A" w14:textId="77777777" w:rsidR="00B97365" w:rsidRDefault="00000000">
            <w:pPr>
              <w:spacing w:after="120" w:line="276" w:lineRule="auto"/>
              <w:rPr>
                <w:rFonts w:cs="Arial"/>
                <w:sz w:val="16"/>
                <w:szCs w:val="16"/>
              </w:rPr>
            </w:pPr>
            <w:r>
              <w:rPr>
                <w:rFonts w:cs="Arial"/>
                <w:sz w:val="16"/>
                <w:szCs w:val="16"/>
              </w:rPr>
              <w:t>UpdateSubscriptionAddress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4CA618C"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30D0F5F" w14:textId="77777777" w:rsidR="00B97365" w:rsidRDefault="00000000">
            <w:pPr>
              <w:spacing w:after="120" w:line="276" w:lineRule="auto"/>
              <w:rPr>
                <w:rFonts w:cs="Arial"/>
                <w:sz w:val="16"/>
                <w:szCs w:val="16"/>
              </w:rPr>
            </w:pPr>
            <w:r>
              <w:rPr>
                <w:rFonts w:cs="Arial"/>
                <w:sz w:val="16"/>
                <w:szCs w:val="16"/>
              </w:rPr>
              <w:t>Synchronous Request-Response</w:t>
            </w:r>
          </w:p>
        </w:tc>
      </w:tr>
      <w:tr w:rsidR="00B97365" w14:paraId="330901D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A2EC6E2"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F9095AE"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48CB1C49" w14:textId="77777777" w:rsidR="00B97365" w:rsidRDefault="00000000">
            <w:pPr>
              <w:spacing w:after="120" w:line="276" w:lineRule="auto"/>
              <w:rPr>
                <w:rFonts w:cs="Arial"/>
                <w:sz w:val="16"/>
                <w:szCs w:val="16"/>
              </w:rPr>
            </w:pPr>
            <w:r>
              <w:rPr>
                <w:rFonts w:cs="Arial"/>
                <w:sz w:val="16"/>
                <w:szCs w:val="16"/>
              </w:rPr>
              <w:t>http://gsma.com/ES4/ProfileManagement/ES4-UpdateSubscriptionAddressRequest</w:t>
            </w:r>
          </w:p>
        </w:tc>
      </w:tr>
      <w:tr w:rsidR="00B97365" w14:paraId="756AEB00"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7B97C54E"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08793062"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C41DA92" w14:textId="77777777" w:rsidR="00B97365" w:rsidRDefault="00000000">
            <w:pPr>
              <w:spacing w:after="120" w:line="276" w:lineRule="auto"/>
              <w:rPr>
                <w:rFonts w:cs="Arial"/>
                <w:sz w:val="16"/>
                <w:szCs w:val="16"/>
              </w:rPr>
            </w:pPr>
            <w:r>
              <w:rPr>
                <w:rFonts w:cs="Arial"/>
                <w:sz w:val="16"/>
                <w:szCs w:val="16"/>
              </w:rPr>
              <w:t>http://gsma.com/ES4/ProfileManagement/ES4-UpdateSubscriptionAddressResponse</w:t>
            </w:r>
          </w:p>
        </w:tc>
      </w:tr>
      <w:tr w:rsidR="00B97365" w14:paraId="6F1F9B0D"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21C668A5" w14:textId="77777777" w:rsidR="00B97365" w:rsidRDefault="00000000">
            <w:pPr>
              <w:spacing w:after="120" w:line="276" w:lineRule="auto"/>
              <w:rPr>
                <w:rFonts w:cs="Arial"/>
                <w:sz w:val="16"/>
                <w:szCs w:val="16"/>
              </w:rPr>
            </w:pPr>
            <w:r>
              <w:rPr>
                <w:rFonts w:cs="Arial"/>
                <w:sz w:val="16"/>
                <w:szCs w:val="16"/>
              </w:rPr>
              <w:t>AuditEIS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3A94F57"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155AECC"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0DEFB8EC"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A8C44D9"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23A0DE0"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8332A6E" w14:textId="77777777" w:rsidR="00B97365" w:rsidRDefault="00000000">
            <w:pPr>
              <w:spacing w:after="120" w:line="276" w:lineRule="auto"/>
              <w:rPr>
                <w:rFonts w:cs="Arial"/>
                <w:sz w:val="16"/>
                <w:szCs w:val="16"/>
              </w:rPr>
            </w:pPr>
            <w:hyperlink r:id="rId151" w:history="1">
              <w:r>
                <w:rPr>
                  <w:color w:val="0000FF"/>
                  <w:sz w:val="16"/>
                  <w:szCs w:val="16"/>
                  <w:u w:val="single"/>
                </w:rPr>
                <w:t>http://gsma.com/ES4/ProfileManagement/ES4-AuditEIS</w:t>
              </w:r>
            </w:hyperlink>
          </w:p>
        </w:tc>
      </w:tr>
      <w:tr w:rsidR="00B97365" w14:paraId="70D69128"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095EBFC"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28AE981"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362CD43A" w14:textId="77777777" w:rsidR="00B97365" w:rsidRDefault="00000000">
            <w:pPr>
              <w:spacing w:after="120" w:line="276" w:lineRule="auto"/>
              <w:rPr>
                <w:rFonts w:cs="Arial"/>
                <w:sz w:val="16"/>
                <w:szCs w:val="16"/>
              </w:rPr>
            </w:pPr>
            <w:hyperlink r:id="rId152" w:history="1">
              <w:r>
                <w:rPr>
                  <w:color w:val="0000FF"/>
                  <w:sz w:val="16"/>
                  <w:szCs w:val="16"/>
                  <w:u w:val="single"/>
                </w:rPr>
                <w:t>http://gsma.com/ES4/ProfileManagementCallBack/ES4-AuditEIS</w:t>
              </w:r>
            </w:hyperlink>
          </w:p>
        </w:tc>
      </w:tr>
      <w:tr w:rsidR="00B97365" w14:paraId="037AD6F1"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728B8E6F" w14:textId="77777777" w:rsidR="00B97365" w:rsidRDefault="00000000">
            <w:pPr>
              <w:spacing w:after="120" w:line="276" w:lineRule="auto"/>
              <w:rPr>
                <w:rFonts w:cs="Arial"/>
                <w:sz w:val="16"/>
                <w:szCs w:val="16"/>
              </w:rPr>
            </w:pPr>
            <w:r>
              <w:rPr>
                <w:rFonts w:cs="Arial"/>
                <w:sz w:val="16"/>
                <w:szCs w:val="16"/>
              </w:rPr>
              <w:t>EnableProfile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EE42F88"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4300744F"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7D7A452B"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A947FAB"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4DF28BBA"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CE738C8" w14:textId="77777777" w:rsidR="00B97365" w:rsidRDefault="00000000">
            <w:pPr>
              <w:spacing w:after="120" w:line="276" w:lineRule="auto"/>
              <w:rPr>
                <w:rFonts w:cs="Arial"/>
                <w:sz w:val="16"/>
                <w:szCs w:val="16"/>
              </w:rPr>
            </w:pPr>
            <w:hyperlink r:id="rId153" w:history="1">
              <w:r>
                <w:rPr>
                  <w:color w:val="0000FF"/>
                  <w:sz w:val="16"/>
                  <w:szCs w:val="16"/>
                  <w:u w:val="single"/>
                </w:rPr>
                <w:t>http://gsma.com/ES4/PlatformManagement/ES4-EnableProfile</w:t>
              </w:r>
            </w:hyperlink>
          </w:p>
        </w:tc>
      </w:tr>
      <w:tr w:rsidR="00B97365" w14:paraId="58C852D6"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56BC6DD8"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15CECE9D"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39D91A07" w14:textId="77777777" w:rsidR="00B97365" w:rsidRDefault="00000000">
            <w:pPr>
              <w:spacing w:after="120" w:line="276" w:lineRule="auto"/>
              <w:rPr>
                <w:rFonts w:cs="Arial"/>
                <w:sz w:val="16"/>
                <w:szCs w:val="16"/>
              </w:rPr>
            </w:pPr>
            <w:r>
              <w:rPr>
                <w:rFonts w:cs="Arial"/>
                <w:sz w:val="16"/>
                <w:szCs w:val="16"/>
              </w:rPr>
              <w:t>http://gsma.com/ES4/PlatformManagementCallBack/ES4-EnableProfile</w:t>
            </w:r>
          </w:p>
        </w:tc>
      </w:tr>
      <w:tr w:rsidR="00B97365" w14:paraId="3A35A38D"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181EC2D9" w14:textId="77777777" w:rsidR="00B97365" w:rsidRDefault="00000000">
            <w:pPr>
              <w:spacing w:after="120" w:line="276" w:lineRule="auto"/>
              <w:rPr>
                <w:rFonts w:cs="Arial"/>
                <w:sz w:val="16"/>
                <w:szCs w:val="16"/>
              </w:rPr>
            </w:pPr>
            <w:r>
              <w:rPr>
                <w:rFonts w:cs="Arial"/>
                <w:sz w:val="16"/>
                <w:szCs w:val="16"/>
              </w:rPr>
              <w:t>DisableProfile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F25AFE8"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3DA5683"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69164BC1"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36D02866"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AAA922A"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CB64F8B" w14:textId="77777777" w:rsidR="00B97365" w:rsidRDefault="00000000">
            <w:pPr>
              <w:spacing w:after="120" w:line="276" w:lineRule="auto"/>
              <w:rPr>
                <w:rFonts w:cs="Arial"/>
                <w:sz w:val="16"/>
                <w:szCs w:val="16"/>
              </w:rPr>
            </w:pPr>
            <w:hyperlink r:id="rId154" w:history="1">
              <w:r>
                <w:rPr>
                  <w:color w:val="0000FF"/>
                  <w:sz w:val="16"/>
                  <w:szCs w:val="16"/>
                  <w:u w:val="single"/>
                </w:rPr>
                <w:t>http://gsma.com/ES4/PlatformManagement/ES4-DisableProfile</w:t>
              </w:r>
            </w:hyperlink>
          </w:p>
        </w:tc>
      </w:tr>
      <w:tr w:rsidR="00B97365" w14:paraId="5D9115A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765172A"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1C3656E4"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BB017E1" w14:textId="77777777" w:rsidR="00B97365" w:rsidRDefault="00000000">
            <w:pPr>
              <w:spacing w:after="120" w:line="276" w:lineRule="auto"/>
              <w:rPr>
                <w:rFonts w:cs="Arial"/>
                <w:sz w:val="16"/>
                <w:szCs w:val="16"/>
              </w:rPr>
            </w:pPr>
            <w:r>
              <w:rPr>
                <w:rFonts w:cs="Arial"/>
                <w:sz w:val="16"/>
                <w:szCs w:val="16"/>
              </w:rPr>
              <w:t>http://gsma.com/ES4/PlatformManagementCallBack/ES4-DisableProfile</w:t>
            </w:r>
          </w:p>
        </w:tc>
      </w:tr>
      <w:tr w:rsidR="00B97365" w14:paraId="42EE55F0"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21F7F4A5" w14:textId="77777777" w:rsidR="00B97365" w:rsidRDefault="00000000">
            <w:pPr>
              <w:spacing w:after="120" w:line="276" w:lineRule="auto"/>
              <w:rPr>
                <w:rFonts w:cs="Arial"/>
                <w:sz w:val="16"/>
                <w:szCs w:val="16"/>
              </w:rPr>
            </w:pPr>
            <w:r>
              <w:rPr>
                <w:rFonts w:cs="Arial"/>
                <w:sz w:val="16"/>
                <w:szCs w:val="16"/>
              </w:rPr>
              <w:t>DeleteProfile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0711D08"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4E73937F"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2B2C03A3"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C63BA1E"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28E7FA40"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6782B8F" w14:textId="77777777" w:rsidR="00B97365" w:rsidRDefault="00000000">
            <w:pPr>
              <w:spacing w:after="120" w:line="276" w:lineRule="auto"/>
              <w:rPr>
                <w:rFonts w:cs="Arial"/>
                <w:sz w:val="16"/>
                <w:szCs w:val="16"/>
              </w:rPr>
            </w:pPr>
            <w:hyperlink r:id="rId155" w:history="1">
              <w:r>
                <w:rPr>
                  <w:color w:val="0000FF"/>
                  <w:sz w:val="16"/>
                  <w:szCs w:val="16"/>
                  <w:u w:val="single"/>
                </w:rPr>
                <w:t>http://gsma.com/ES4/PlatformManagement/ES4-DeleteProfile</w:t>
              </w:r>
            </w:hyperlink>
          </w:p>
        </w:tc>
      </w:tr>
      <w:tr w:rsidR="00B97365" w14:paraId="2F2AE4AD"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52945343"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1F4B2362"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20992B9D" w14:textId="77777777" w:rsidR="00B97365" w:rsidRDefault="00000000">
            <w:pPr>
              <w:spacing w:after="120" w:line="276" w:lineRule="auto"/>
              <w:rPr>
                <w:rFonts w:cs="Arial"/>
                <w:sz w:val="16"/>
                <w:szCs w:val="16"/>
              </w:rPr>
            </w:pPr>
            <w:r>
              <w:rPr>
                <w:rFonts w:cs="Arial"/>
                <w:sz w:val="16"/>
                <w:szCs w:val="16"/>
              </w:rPr>
              <w:t>http://gsma.com/ES4/PlatformManagementCallBack/ES4-DeleteProfile</w:t>
            </w:r>
          </w:p>
        </w:tc>
      </w:tr>
      <w:tr w:rsidR="00B97365" w14:paraId="7550F1A0"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1B9394FF" w14:textId="77777777" w:rsidR="00B97365" w:rsidRDefault="00000000">
            <w:pPr>
              <w:spacing w:after="120" w:line="276" w:lineRule="auto"/>
              <w:rPr>
                <w:rFonts w:cs="Arial"/>
                <w:sz w:val="16"/>
                <w:szCs w:val="16"/>
              </w:rPr>
            </w:pPr>
            <w:r>
              <w:rPr>
                <w:rFonts w:cs="Arial"/>
                <w:sz w:val="16"/>
                <w:szCs w:val="16"/>
              </w:rPr>
              <w:t>PrepareSMSRChange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7C7AD71"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2558160"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57674194"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3D527858"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1FDF8D21"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E35F790" w14:textId="77777777" w:rsidR="00B97365" w:rsidRDefault="00000000">
            <w:pPr>
              <w:spacing w:after="120" w:line="276" w:lineRule="auto"/>
              <w:rPr>
                <w:rFonts w:cs="Arial"/>
                <w:sz w:val="16"/>
                <w:szCs w:val="16"/>
              </w:rPr>
            </w:pPr>
            <w:hyperlink r:id="rId156" w:history="1">
              <w:r>
                <w:rPr>
                  <w:color w:val="0000FF"/>
                  <w:sz w:val="16"/>
                  <w:szCs w:val="16"/>
                  <w:u w:val="single"/>
                </w:rPr>
                <w:t>http://gsma.com/ES4/eUICCManagement/ES4-PrepareSMSRChange</w:t>
              </w:r>
            </w:hyperlink>
          </w:p>
        </w:tc>
      </w:tr>
      <w:tr w:rsidR="00B97365" w14:paraId="4E4DDAD4"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F4BA4AE"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03F97FDB"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5AAA377" w14:textId="77777777" w:rsidR="00B97365" w:rsidRDefault="00000000">
            <w:pPr>
              <w:spacing w:after="120" w:line="276" w:lineRule="auto"/>
              <w:rPr>
                <w:rFonts w:cs="Arial"/>
                <w:sz w:val="16"/>
                <w:szCs w:val="16"/>
              </w:rPr>
            </w:pPr>
            <w:r>
              <w:rPr>
                <w:rFonts w:cs="Arial"/>
                <w:sz w:val="16"/>
                <w:szCs w:val="16"/>
              </w:rPr>
              <w:t>http://gsma.com/ES4/eUICCManagementCallBack/ES4- PrepareSMSRChange</w:t>
            </w:r>
          </w:p>
        </w:tc>
      </w:tr>
      <w:tr w:rsidR="00B97365" w14:paraId="7E80300A"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1BD0E59D" w14:textId="77777777" w:rsidR="00B97365" w:rsidRDefault="00000000">
            <w:pPr>
              <w:spacing w:after="120" w:line="276" w:lineRule="auto"/>
              <w:rPr>
                <w:rFonts w:cs="Arial"/>
                <w:sz w:val="16"/>
                <w:szCs w:val="16"/>
              </w:rPr>
            </w:pPr>
            <w:r>
              <w:rPr>
                <w:rFonts w:cs="Arial"/>
                <w:sz w:val="16"/>
                <w:szCs w:val="16"/>
              </w:rPr>
              <w:lastRenderedPageBreak/>
              <w:t>SMSRChange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8056F68"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438FCB89" w14:textId="77777777" w:rsidR="00B97365" w:rsidRDefault="00000000">
            <w:pPr>
              <w:spacing w:after="120" w:line="276" w:lineRule="auto"/>
              <w:rPr>
                <w:rFonts w:cs="Arial"/>
                <w:sz w:val="16"/>
                <w:szCs w:val="16"/>
              </w:rPr>
            </w:pPr>
            <w:r>
              <w:rPr>
                <w:rFonts w:cs="Arial"/>
                <w:sz w:val="16"/>
                <w:szCs w:val="16"/>
              </w:rPr>
              <w:t>Asynchronous Request-Response with CallBack</w:t>
            </w:r>
          </w:p>
        </w:tc>
      </w:tr>
      <w:tr w:rsidR="00B97365" w14:paraId="4AFB0012"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6BFF7B5"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D8E88D5"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4024486B" w14:textId="77777777" w:rsidR="00B97365" w:rsidRDefault="00000000">
            <w:pPr>
              <w:spacing w:after="120" w:line="276" w:lineRule="auto"/>
              <w:rPr>
                <w:rFonts w:cs="Arial"/>
                <w:sz w:val="16"/>
                <w:szCs w:val="16"/>
              </w:rPr>
            </w:pPr>
            <w:hyperlink r:id="rId157" w:history="1">
              <w:r>
                <w:rPr>
                  <w:color w:val="0000FF"/>
                  <w:sz w:val="16"/>
                  <w:szCs w:val="16"/>
                  <w:u w:val="single"/>
                </w:rPr>
                <w:t>http://gsma.com/ES4/eUICCManagement/ES4-SMSRChange</w:t>
              </w:r>
            </w:hyperlink>
          </w:p>
        </w:tc>
      </w:tr>
      <w:tr w:rsidR="00B97365" w14:paraId="6D1FD109"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A3E8C28"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C93974C"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520245C" w14:textId="77777777" w:rsidR="00B97365" w:rsidRDefault="00000000">
            <w:pPr>
              <w:spacing w:after="120" w:line="276" w:lineRule="auto"/>
              <w:rPr>
                <w:rFonts w:cs="Arial"/>
                <w:sz w:val="16"/>
                <w:szCs w:val="16"/>
              </w:rPr>
            </w:pPr>
            <w:r>
              <w:rPr>
                <w:rFonts w:cs="Arial"/>
                <w:sz w:val="16"/>
                <w:szCs w:val="16"/>
              </w:rPr>
              <w:t>http://gsma.com/ES4/eUICCManagementCallBack/ES4-SMSRChange</w:t>
            </w:r>
          </w:p>
        </w:tc>
      </w:tr>
      <w:tr w:rsidR="00B97365" w14:paraId="258BE24C"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78A32A98" w14:textId="77777777" w:rsidR="00B97365" w:rsidRDefault="00000000">
            <w:pPr>
              <w:spacing w:after="120" w:line="276" w:lineRule="auto"/>
              <w:rPr>
                <w:rFonts w:cs="Arial"/>
                <w:sz w:val="16"/>
                <w:szCs w:val="16"/>
              </w:rPr>
            </w:pPr>
            <w:r>
              <w:rPr>
                <w:rFonts w:cs="Arial"/>
                <w:sz w:val="16"/>
                <w:szCs w:val="16"/>
              </w:rPr>
              <w:t>HandleProfileDisabledNotification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6A611D1"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4C06377F" w14:textId="77777777" w:rsidR="00B97365" w:rsidRDefault="00000000">
            <w:pPr>
              <w:spacing w:after="120" w:line="276" w:lineRule="auto"/>
              <w:rPr>
                <w:rFonts w:cs="Arial"/>
                <w:sz w:val="16"/>
                <w:szCs w:val="16"/>
              </w:rPr>
            </w:pPr>
            <w:r>
              <w:rPr>
                <w:rFonts w:cs="Arial"/>
                <w:sz w:val="16"/>
                <w:szCs w:val="16"/>
              </w:rPr>
              <w:t>Notification (One-Way)</w:t>
            </w:r>
          </w:p>
        </w:tc>
      </w:tr>
      <w:tr w:rsidR="00B97365" w14:paraId="70481F00"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02754B50"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8D6FD66"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AC41AE2" w14:textId="77777777" w:rsidR="00B97365" w:rsidRDefault="00000000">
            <w:pPr>
              <w:spacing w:after="120" w:line="276" w:lineRule="auto"/>
              <w:rPr>
                <w:rFonts w:cs="Arial"/>
                <w:sz w:val="16"/>
                <w:szCs w:val="16"/>
              </w:rPr>
            </w:pPr>
            <w:r>
              <w:rPr>
                <w:rFonts w:cs="Arial"/>
                <w:sz w:val="16"/>
                <w:szCs w:val="16"/>
              </w:rPr>
              <w:t>http://gsma.com/ES4/PlatformManagement/ES4-HandleProfileDisabledNotification</w:t>
            </w:r>
          </w:p>
        </w:tc>
      </w:tr>
      <w:tr w:rsidR="00B97365" w14:paraId="5B03AF94"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9DA271B"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611B040F"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47797B4" w14:textId="77777777" w:rsidR="00B97365" w:rsidRDefault="00000000">
            <w:pPr>
              <w:spacing w:after="120" w:line="276" w:lineRule="auto"/>
              <w:rPr>
                <w:rFonts w:cs="Arial"/>
                <w:sz w:val="16"/>
                <w:szCs w:val="16"/>
              </w:rPr>
            </w:pPr>
            <w:r>
              <w:rPr>
                <w:rFonts w:cs="Arial"/>
                <w:sz w:val="16"/>
                <w:szCs w:val="16"/>
              </w:rPr>
              <w:t>(none)</w:t>
            </w:r>
          </w:p>
        </w:tc>
      </w:tr>
      <w:tr w:rsidR="00B97365" w14:paraId="4D9E6E82"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37739CC7" w14:textId="77777777" w:rsidR="00B97365" w:rsidRDefault="00000000">
            <w:pPr>
              <w:spacing w:after="120" w:line="276" w:lineRule="auto"/>
              <w:rPr>
                <w:rFonts w:cs="Arial"/>
                <w:sz w:val="16"/>
                <w:szCs w:val="16"/>
              </w:rPr>
            </w:pPr>
            <w:r>
              <w:rPr>
                <w:rFonts w:cs="Arial"/>
                <w:sz w:val="16"/>
                <w:szCs w:val="16"/>
              </w:rPr>
              <w:t>HandleProfileEnabledNotification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9525A3A"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75C5E68" w14:textId="77777777" w:rsidR="00B97365" w:rsidRDefault="00000000">
            <w:pPr>
              <w:spacing w:after="120" w:line="276" w:lineRule="auto"/>
              <w:rPr>
                <w:rFonts w:cs="Arial"/>
                <w:sz w:val="16"/>
                <w:szCs w:val="16"/>
              </w:rPr>
            </w:pPr>
            <w:r>
              <w:rPr>
                <w:rFonts w:cs="Arial"/>
                <w:sz w:val="16"/>
                <w:szCs w:val="16"/>
              </w:rPr>
              <w:t>Notification (One-Way)</w:t>
            </w:r>
          </w:p>
        </w:tc>
      </w:tr>
      <w:tr w:rsidR="00B97365" w14:paraId="346847E4"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520249F1"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3CDB7ECA"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4B9BD5DC" w14:textId="77777777" w:rsidR="00B97365" w:rsidRDefault="00000000">
            <w:pPr>
              <w:spacing w:after="120" w:line="276" w:lineRule="auto"/>
              <w:rPr>
                <w:rFonts w:cs="Arial"/>
                <w:sz w:val="16"/>
                <w:szCs w:val="16"/>
              </w:rPr>
            </w:pPr>
            <w:r>
              <w:rPr>
                <w:rFonts w:cs="Arial"/>
                <w:sz w:val="16"/>
                <w:szCs w:val="16"/>
              </w:rPr>
              <w:t>http://gsma.com/ES4/PlatformManagement/ES4-HandleProfileEnabledNotification</w:t>
            </w:r>
          </w:p>
        </w:tc>
      </w:tr>
      <w:tr w:rsidR="00B97365" w14:paraId="24DF72F5"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1F9AD00B"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112C0426"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60A7EA96" w14:textId="77777777" w:rsidR="00B97365" w:rsidRDefault="00000000">
            <w:pPr>
              <w:spacing w:after="120" w:line="276" w:lineRule="auto"/>
              <w:rPr>
                <w:rFonts w:cs="Arial"/>
                <w:sz w:val="16"/>
                <w:szCs w:val="16"/>
              </w:rPr>
            </w:pPr>
            <w:r>
              <w:rPr>
                <w:rFonts w:cs="Arial"/>
                <w:sz w:val="16"/>
                <w:szCs w:val="16"/>
              </w:rPr>
              <w:t>(none)</w:t>
            </w:r>
          </w:p>
        </w:tc>
      </w:tr>
      <w:tr w:rsidR="00B97365" w14:paraId="67875C0C" w14:textId="77777777">
        <w:trPr>
          <w:trHeight w:val="270"/>
          <w:jc w:val="center"/>
        </w:trPr>
        <w:tc>
          <w:tcPr>
            <w:tcW w:w="2830" w:type="dxa"/>
            <w:vMerge w:val="restart"/>
            <w:tcBorders>
              <w:top w:val="single" w:sz="6" w:space="0" w:color="auto"/>
              <w:left w:val="single" w:sz="4" w:space="0" w:color="auto"/>
              <w:bottom w:val="single" w:sz="6" w:space="0" w:color="auto"/>
              <w:right w:val="single" w:sz="6" w:space="0" w:color="auto"/>
            </w:tcBorders>
            <w:vAlign w:val="center"/>
            <w:hideMark/>
          </w:tcPr>
          <w:p w14:paraId="2B49DB26" w14:textId="77777777" w:rsidR="00B97365" w:rsidRDefault="00000000">
            <w:pPr>
              <w:spacing w:after="120" w:line="276" w:lineRule="auto"/>
              <w:rPr>
                <w:rFonts w:cs="Arial"/>
                <w:sz w:val="16"/>
                <w:szCs w:val="16"/>
              </w:rPr>
            </w:pPr>
            <w:r>
              <w:rPr>
                <w:rFonts w:cs="Arial"/>
                <w:sz w:val="16"/>
                <w:szCs w:val="16"/>
              </w:rPr>
              <w:t>HandleSMSRChangeNotification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B6918D8"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9EB00B8" w14:textId="77777777" w:rsidR="00B97365" w:rsidRDefault="00000000">
            <w:pPr>
              <w:spacing w:after="120" w:line="276" w:lineRule="auto"/>
              <w:rPr>
                <w:rFonts w:cs="Arial"/>
                <w:sz w:val="16"/>
                <w:szCs w:val="16"/>
              </w:rPr>
            </w:pPr>
            <w:r>
              <w:rPr>
                <w:rFonts w:cs="Arial"/>
                <w:sz w:val="16"/>
                <w:szCs w:val="16"/>
              </w:rPr>
              <w:t>Notification (One-Way)</w:t>
            </w:r>
          </w:p>
        </w:tc>
      </w:tr>
      <w:tr w:rsidR="00B97365" w14:paraId="3883AECD"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4EE323F5"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7AE7418C"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14CA8602" w14:textId="77777777" w:rsidR="00B97365" w:rsidRDefault="00000000">
            <w:pPr>
              <w:spacing w:after="120" w:line="276" w:lineRule="auto"/>
              <w:rPr>
                <w:rFonts w:cs="Arial"/>
                <w:sz w:val="16"/>
                <w:szCs w:val="16"/>
              </w:rPr>
            </w:pPr>
            <w:r>
              <w:rPr>
                <w:rFonts w:cs="Arial"/>
                <w:sz w:val="16"/>
                <w:szCs w:val="16"/>
              </w:rPr>
              <w:t>http://gsma.com/ES4/eUICCManagement/ES4-HandleSMSRChangeNotification</w:t>
            </w:r>
          </w:p>
        </w:tc>
      </w:tr>
      <w:tr w:rsidR="00B97365" w14:paraId="34732E1B" w14:textId="77777777">
        <w:trPr>
          <w:trHeight w:val="270"/>
          <w:jc w:val="center"/>
        </w:trPr>
        <w:tc>
          <w:tcPr>
            <w:tcW w:w="2830" w:type="dxa"/>
            <w:vMerge/>
            <w:tcBorders>
              <w:top w:val="single" w:sz="6" w:space="0" w:color="auto"/>
              <w:left w:val="single" w:sz="4" w:space="0" w:color="auto"/>
              <w:bottom w:val="single" w:sz="6" w:space="0" w:color="auto"/>
              <w:right w:val="single" w:sz="6" w:space="0" w:color="auto"/>
            </w:tcBorders>
            <w:vAlign w:val="center"/>
            <w:hideMark/>
          </w:tcPr>
          <w:p w14:paraId="2ED5D187"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BD406D3"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016C43C" w14:textId="77777777" w:rsidR="00B97365" w:rsidRDefault="00000000">
            <w:pPr>
              <w:spacing w:after="120" w:line="276" w:lineRule="auto"/>
              <w:rPr>
                <w:rFonts w:cs="Arial"/>
                <w:sz w:val="16"/>
                <w:szCs w:val="16"/>
              </w:rPr>
            </w:pPr>
            <w:r>
              <w:rPr>
                <w:rFonts w:cs="Arial"/>
                <w:sz w:val="16"/>
                <w:szCs w:val="16"/>
              </w:rPr>
              <w:t>(none)</w:t>
            </w:r>
          </w:p>
        </w:tc>
      </w:tr>
      <w:tr w:rsidR="00B97365" w14:paraId="361EB1CA" w14:textId="77777777">
        <w:trPr>
          <w:trHeight w:val="270"/>
          <w:jc w:val="center"/>
        </w:trPr>
        <w:tc>
          <w:tcPr>
            <w:tcW w:w="2830" w:type="dxa"/>
            <w:vMerge w:val="restart"/>
            <w:tcBorders>
              <w:top w:val="single" w:sz="6" w:space="0" w:color="auto"/>
              <w:left w:val="single" w:sz="4" w:space="0" w:color="auto"/>
              <w:bottom w:val="single" w:sz="4" w:space="0" w:color="auto"/>
              <w:right w:val="single" w:sz="6" w:space="0" w:color="auto"/>
            </w:tcBorders>
            <w:vAlign w:val="center"/>
            <w:hideMark/>
          </w:tcPr>
          <w:p w14:paraId="41BC8279" w14:textId="77777777" w:rsidR="00B97365" w:rsidRDefault="00000000">
            <w:pPr>
              <w:spacing w:after="120" w:line="276" w:lineRule="auto"/>
              <w:rPr>
                <w:rFonts w:cs="Arial"/>
                <w:sz w:val="16"/>
                <w:szCs w:val="16"/>
              </w:rPr>
            </w:pPr>
            <w:r>
              <w:rPr>
                <w:rFonts w:cs="Arial"/>
                <w:sz w:val="16"/>
                <w:szCs w:val="16"/>
              </w:rPr>
              <w:t>HandleProfileDeletedNotification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7E62C6D"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hideMark/>
          </w:tcPr>
          <w:p w14:paraId="544354F2" w14:textId="77777777" w:rsidR="00B97365" w:rsidRDefault="00000000">
            <w:pPr>
              <w:spacing w:after="120" w:line="276" w:lineRule="auto"/>
              <w:rPr>
                <w:rFonts w:cs="Arial"/>
                <w:sz w:val="16"/>
                <w:szCs w:val="16"/>
              </w:rPr>
            </w:pPr>
            <w:r>
              <w:rPr>
                <w:rFonts w:cs="Arial"/>
                <w:sz w:val="16"/>
                <w:szCs w:val="16"/>
              </w:rPr>
              <w:t>Notification (One-Way)</w:t>
            </w:r>
          </w:p>
        </w:tc>
      </w:tr>
      <w:tr w:rsidR="00B97365" w14:paraId="5D7F0D3A" w14:textId="77777777">
        <w:trPr>
          <w:trHeight w:val="270"/>
          <w:jc w:val="center"/>
        </w:trPr>
        <w:tc>
          <w:tcPr>
            <w:tcW w:w="2830" w:type="dxa"/>
            <w:vMerge/>
            <w:tcBorders>
              <w:top w:val="single" w:sz="6" w:space="0" w:color="auto"/>
              <w:left w:val="single" w:sz="4" w:space="0" w:color="auto"/>
              <w:bottom w:val="single" w:sz="4" w:space="0" w:color="auto"/>
              <w:right w:val="single" w:sz="6" w:space="0" w:color="auto"/>
            </w:tcBorders>
            <w:vAlign w:val="center"/>
            <w:hideMark/>
          </w:tcPr>
          <w:p w14:paraId="52975F1C"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14288F04"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hideMark/>
          </w:tcPr>
          <w:p w14:paraId="730337C2" w14:textId="77777777" w:rsidR="00B97365" w:rsidRDefault="00000000">
            <w:pPr>
              <w:spacing w:after="120" w:line="276" w:lineRule="auto"/>
              <w:rPr>
                <w:rFonts w:cs="Arial"/>
                <w:sz w:val="16"/>
                <w:szCs w:val="16"/>
              </w:rPr>
            </w:pPr>
            <w:r>
              <w:rPr>
                <w:rFonts w:cs="Arial"/>
                <w:sz w:val="16"/>
                <w:szCs w:val="16"/>
              </w:rPr>
              <w:t>http://gsma.com/ES4/PlatformManagement/ES4-HandleProfileDeletedNotification</w:t>
            </w:r>
          </w:p>
        </w:tc>
      </w:tr>
      <w:tr w:rsidR="00B97365" w14:paraId="4BD6BFBE" w14:textId="77777777">
        <w:trPr>
          <w:trHeight w:val="870"/>
          <w:jc w:val="center"/>
        </w:trPr>
        <w:tc>
          <w:tcPr>
            <w:tcW w:w="2830" w:type="dxa"/>
            <w:vMerge/>
            <w:tcBorders>
              <w:top w:val="single" w:sz="6" w:space="0" w:color="auto"/>
              <w:left w:val="single" w:sz="4" w:space="0" w:color="auto"/>
              <w:bottom w:val="single" w:sz="4" w:space="0" w:color="auto"/>
              <w:right w:val="single" w:sz="6" w:space="0" w:color="auto"/>
            </w:tcBorders>
            <w:vAlign w:val="center"/>
            <w:hideMark/>
          </w:tcPr>
          <w:p w14:paraId="6E2B5EBB"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4" w:space="0" w:color="auto"/>
              <w:right w:val="single" w:sz="6" w:space="0" w:color="auto"/>
            </w:tcBorders>
            <w:vAlign w:val="center"/>
            <w:hideMark/>
          </w:tcPr>
          <w:p w14:paraId="10DE2505"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4" w:space="0" w:color="auto"/>
              <w:right w:val="single" w:sz="4" w:space="0" w:color="auto"/>
            </w:tcBorders>
            <w:vAlign w:val="center"/>
            <w:hideMark/>
          </w:tcPr>
          <w:p w14:paraId="353EF8AC" w14:textId="77777777" w:rsidR="00B97365" w:rsidRDefault="00000000">
            <w:pPr>
              <w:spacing w:after="120" w:line="276" w:lineRule="auto"/>
              <w:rPr>
                <w:rFonts w:cs="Arial"/>
                <w:sz w:val="16"/>
                <w:szCs w:val="16"/>
              </w:rPr>
            </w:pPr>
            <w:r>
              <w:rPr>
                <w:rFonts w:cs="Arial"/>
                <w:sz w:val="16"/>
                <w:szCs w:val="16"/>
              </w:rPr>
              <w:t>(none)</w:t>
            </w:r>
          </w:p>
        </w:tc>
      </w:tr>
      <w:tr w:rsidR="00B97365" w14:paraId="7ADD78FD" w14:textId="77777777">
        <w:trPr>
          <w:trHeight w:val="870"/>
          <w:jc w:val="center"/>
        </w:trPr>
        <w:tc>
          <w:tcPr>
            <w:tcW w:w="2830" w:type="dxa"/>
            <w:vMerge w:val="restart"/>
            <w:tcBorders>
              <w:top w:val="single" w:sz="6" w:space="0" w:color="auto"/>
              <w:left w:val="single" w:sz="4" w:space="0" w:color="auto"/>
              <w:right w:val="single" w:sz="6" w:space="0" w:color="auto"/>
            </w:tcBorders>
            <w:vAlign w:val="center"/>
          </w:tcPr>
          <w:p w14:paraId="0886AD06" w14:textId="77777777" w:rsidR="00B97365" w:rsidRDefault="00000000">
            <w:pPr>
              <w:spacing w:before="0"/>
              <w:jc w:val="left"/>
              <w:rPr>
                <w:rFonts w:cs="Arial"/>
                <w:sz w:val="16"/>
                <w:szCs w:val="16"/>
              </w:rPr>
            </w:pPr>
            <w:r>
              <w:rPr>
                <w:rFonts w:cs="Arial"/>
                <w:sz w:val="16"/>
                <w:szCs w:val="16"/>
                <w:lang w:eastAsia="en-GB" w:bidi="ar-SA"/>
              </w:rPr>
              <w:t>SetFallBackAttribute</w:t>
            </w:r>
          </w:p>
        </w:tc>
        <w:tc>
          <w:tcPr>
            <w:tcW w:w="1843" w:type="dxa"/>
            <w:tcBorders>
              <w:top w:val="single" w:sz="6" w:space="0" w:color="auto"/>
              <w:left w:val="single" w:sz="6" w:space="0" w:color="auto"/>
              <w:bottom w:val="single" w:sz="4" w:space="0" w:color="auto"/>
              <w:right w:val="single" w:sz="6" w:space="0" w:color="auto"/>
            </w:tcBorders>
            <w:vAlign w:val="center"/>
          </w:tcPr>
          <w:p w14:paraId="31A88038"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4" w:space="0" w:color="auto"/>
              <w:right w:val="single" w:sz="4" w:space="0" w:color="auto"/>
            </w:tcBorders>
            <w:vAlign w:val="center"/>
          </w:tcPr>
          <w:p w14:paraId="284BB14C" w14:textId="77777777" w:rsidR="00B97365" w:rsidRDefault="00000000">
            <w:pPr>
              <w:spacing w:after="120" w:line="276" w:lineRule="auto"/>
              <w:rPr>
                <w:rFonts w:cs="Arial"/>
                <w:sz w:val="16"/>
                <w:szCs w:val="16"/>
              </w:rPr>
            </w:pPr>
            <w:r>
              <w:rPr>
                <w:rFonts w:cs="Arial"/>
                <w:sz w:val="16"/>
                <w:szCs w:val="16"/>
                <w:lang w:eastAsia="en-GB" w:bidi="ar-SA"/>
              </w:rPr>
              <w:t>Asynchronous Request-Response with CallBack</w:t>
            </w:r>
          </w:p>
        </w:tc>
      </w:tr>
      <w:tr w:rsidR="00B97365" w14:paraId="47A90080" w14:textId="77777777">
        <w:trPr>
          <w:trHeight w:val="870"/>
          <w:jc w:val="center"/>
        </w:trPr>
        <w:tc>
          <w:tcPr>
            <w:tcW w:w="2830" w:type="dxa"/>
            <w:vMerge/>
            <w:tcBorders>
              <w:left w:val="single" w:sz="4" w:space="0" w:color="auto"/>
              <w:right w:val="single" w:sz="6" w:space="0" w:color="auto"/>
            </w:tcBorders>
            <w:vAlign w:val="center"/>
          </w:tcPr>
          <w:p w14:paraId="1D776D96"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09B3C7B9"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4" w:space="0" w:color="auto"/>
              <w:right w:val="single" w:sz="4" w:space="0" w:color="auto"/>
            </w:tcBorders>
            <w:vAlign w:val="center"/>
          </w:tcPr>
          <w:p w14:paraId="5101A879" w14:textId="77777777" w:rsidR="00B97365" w:rsidRDefault="00000000">
            <w:pPr>
              <w:spacing w:after="120" w:line="276" w:lineRule="auto"/>
              <w:rPr>
                <w:rFonts w:cs="Arial"/>
                <w:sz w:val="16"/>
                <w:szCs w:val="16"/>
                <w:lang w:eastAsia="en-GB" w:bidi="ar-SA"/>
              </w:rPr>
            </w:pPr>
            <w:r>
              <w:rPr>
                <w:color w:val="0000FF"/>
                <w:sz w:val="16"/>
                <w:szCs w:val="16"/>
                <w:u w:val="single"/>
              </w:rPr>
              <w:t>http://gsma.com/ES4/ProfileManagement/ES4-SetFallBackAttribute</w:t>
            </w:r>
          </w:p>
        </w:tc>
      </w:tr>
      <w:tr w:rsidR="00B97365" w14:paraId="7DB27801" w14:textId="77777777">
        <w:trPr>
          <w:trHeight w:val="870"/>
          <w:jc w:val="center"/>
        </w:trPr>
        <w:tc>
          <w:tcPr>
            <w:tcW w:w="2830" w:type="dxa"/>
            <w:vMerge/>
            <w:tcBorders>
              <w:left w:val="single" w:sz="4" w:space="0" w:color="auto"/>
              <w:bottom w:val="single" w:sz="4" w:space="0" w:color="auto"/>
              <w:right w:val="single" w:sz="6" w:space="0" w:color="auto"/>
            </w:tcBorders>
            <w:vAlign w:val="center"/>
          </w:tcPr>
          <w:p w14:paraId="39850079"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3E6FF0DB"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4" w:space="0" w:color="auto"/>
              <w:right w:val="single" w:sz="4" w:space="0" w:color="auto"/>
            </w:tcBorders>
            <w:vAlign w:val="center"/>
          </w:tcPr>
          <w:p w14:paraId="6777E5A9" w14:textId="77777777" w:rsidR="00B97365" w:rsidRDefault="00000000">
            <w:pPr>
              <w:spacing w:after="120" w:line="276" w:lineRule="auto"/>
              <w:rPr>
                <w:color w:val="0000FF"/>
                <w:sz w:val="16"/>
                <w:szCs w:val="16"/>
                <w:u w:val="single"/>
              </w:rPr>
            </w:pPr>
            <w:r>
              <w:rPr>
                <w:color w:val="0000FF"/>
                <w:sz w:val="16"/>
                <w:szCs w:val="16"/>
                <w:u w:val="single"/>
              </w:rPr>
              <w:t>http://gsma.com/ES4/ProfileManagementCallBack/ES4-SetFallBackAttribute</w:t>
            </w:r>
          </w:p>
        </w:tc>
      </w:tr>
      <w:tr w:rsidR="00B97365" w14:paraId="4D0B9C66" w14:textId="77777777">
        <w:trPr>
          <w:trHeight w:val="870"/>
          <w:jc w:val="center"/>
        </w:trPr>
        <w:tc>
          <w:tcPr>
            <w:tcW w:w="2830" w:type="dxa"/>
            <w:vMerge w:val="restart"/>
            <w:tcBorders>
              <w:top w:val="single" w:sz="6" w:space="0" w:color="auto"/>
              <w:left w:val="single" w:sz="4" w:space="0" w:color="auto"/>
              <w:right w:val="single" w:sz="6" w:space="0" w:color="auto"/>
            </w:tcBorders>
            <w:vAlign w:val="center"/>
          </w:tcPr>
          <w:p w14:paraId="42B2C8FB" w14:textId="77777777" w:rsidR="00B97365" w:rsidRDefault="00000000">
            <w:pPr>
              <w:spacing w:before="0"/>
              <w:jc w:val="left"/>
              <w:rPr>
                <w:rFonts w:cs="Arial"/>
                <w:sz w:val="16"/>
                <w:szCs w:val="16"/>
                <w:lang w:eastAsia="en-GB" w:bidi="ar-SA"/>
              </w:rPr>
            </w:pPr>
            <w:r>
              <w:rPr>
                <w:rFonts w:cs="Arial"/>
                <w:sz w:val="16"/>
                <w:szCs w:val="16"/>
                <w:lang w:eastAsia="en-GB" w:bidi="ar-SA"/>
              </w:rPr>
              <w:t>HandleProfileFallBackAttributeSetNotification</w:t>
            </w:r>
          </w:p>
        </w:tc>
        <w:tc>
          <w:tcPr>
            <w:tcW w:w="1843" w:type="dxa"/>
            <w:tcBorders>
              <w:top w:val="single" w:sz="6" w:space="0" w:color="auto"/>
              <w:left w:val="single" w:sz="6" w:space="0" w:color="auto"/>
              <w:bottom w:val="single" w:sz="4" w:space="0" w:color="auto"/>
              <w:right w:val="single" w:sz="6" w:space="0" w:color="auto"/>
            </w:tcBorders>
            <w:vAlign w:val="center"/>
          </w:tcPr>
          <w:p w14:paraId="5FD52085"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4" w:space="0" w:color="auto"/>
              <w:right w:val="single" w:sz="4" w:space="0" w:color="auto"/>
            </w:tcBorders>
            <w:vAlign w:val="center"/>
          </w:tcPr>
          <w:p w14:paraId="0E4D7845"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3494F2EC" w14:textId="77777777">
        <w:trPr>
          <w:trHeight w:val="870"/>
          <w:jc w:val="center"/>
        </w:trPr>
        <w:tc>
          <w:tcPr>
            <w:tcW w:w="2830" w:type="dxa"/>
            <w:vMerge/>
            <w:tcBorders>
              <w:left w:val="single" w:sz="4" w:space="0" w:color="auto"/>
              <w:right w:val="single" w:sz="6" w:space="0" w:color="auto"/>
            </w:tcBorders>
            <w:vAlign w:val="center"/>
          </w:tcPr>
          <w:p w14:paraId="517BCAC6"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151EDFFB"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4" w:space="0" w:color="auto"/>
              <w:right w:val="single" w:sz="4" w:space="0" w:color="auto"/>
            </w:tcBorders>
            <w:vAlign w:val="center"/>
          </w:tcPr>
          <w:p w14:paraId="5C834FB0" w14:textId="77777777" w:rsidR="00B97365" w:rsidRDefault="00000000">
            <w:pPr>
              <w:spacing w:after="120" w:line="276" w:lineRule="auto"/>
              <w:rPr>
                <w:rFonts w:cs="Arial"/>
                <w:sz w:val="16"/>
                <w:szCs w:val="16"/>
                <w:lang w:eastAsia="en-GB" w:bidi="ar-SA"/>
              </w:rPr>
            </w:pPr>
            <w:r>
              <w:rPr>
                <w:color w:val="0000FF"/>
                <w:sz w:val="16"/>
                <w:szCs w:val="16"/>
                <w:u w:val="single"/>
              </w:rPr>
              <w:t>http://gsma.com/ES4/ProfileManagement/ES4-</w:t>
            </w:r>
            <w:r>
              <w:rPr>
                <w:rFonts w:cs="Arial"/>
                <w:sz w:val="16"/>
                <w:szCs w:val="16"/>
                <w:lang w:eastAsia="en-GB" w:bidi="ar-SA"/>
              </w:rPr>
              <w:t xml:space="preserve"> HandleProfileFallBackAttributeSetNotification</w:t>
            </w:r>
          </w:p>
        </w:tc>
      </w:tr>
      <w:tr w:rsidR="00B97365" w14:paraId="3D12AA92" w14:textId="77777777">
        <w:trPr>
          <w:trHeight w:val="870"/>
          <w:jc w:val="center"/>
        </w:trPr>
        <w:tc>
          <w:tcPr>
            <w:tcW w:w="2830" w:type="dxa"/>
            <w:vMerge/>
            <w:tcBorders>
              <w:left w:val="single" w:sz="4" w:space="0" w:color="auto"/>
              <w:bottom w:val="single" w:sz="4" w:space="0" w:color="auto"/>
              <w:right w:val="single" w:sz="6" w:space="0" w:color="auto"/>
            </w:tcBorders>
            <w:vAlign w:val="center"/>
          </w:tcPr>
          <w:p w14:paraId="5138155C"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6F984B27"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4" w:space="0" w:color="auto"/>
              <w:right w:val="single" w:sz="4" w:space="0" w:color="auto"/>
            </w:tcBorders>
            <w:vAlign w:val="center"/>
          </w:tcPr>
          <w:p w14:paraId="4088041D" w14:textId="77777777" w:rsidR="00B97365" w:rsidRDefault="00000000">
            <w:pPr>
              <w:spacing w:after="120" w:line="276" w:lineRule="auto"/>
              <w:rPr>
                <w:color w:val="0000FF"/>
                <w:sz w:val="16"/>
                <w:szCs w:val="16"/>
                <w:u w:val="single"/>
              </w:rPr>
            </w:pPr>
            <w:r>
              <w:rPr>
                <w:color w:val="0000FF"/>
                <w:sz w:val="16"/>
                <w:szCs w:val="16"/>
                <w:u w:val="single"/>
              </w:rPr>
              <w:t>(none)</w:t>
            </w:r>
          </w:p>
        </w:tc>
      </w:tr>
      <w:tr w:rsidR="00B97365" w14:paraId="6CADDFBC" w14:textId="77777777">
        <w:trPr>
          <w:trHeight w:val="870"/>
          <w:jc w:val="center"/>
        </w:trPr>
        <w:tc>
          <w:tcPr>
            <w:tcW w:w="2830" w:type="dxa"/>
            <w:vMerge w:val="restart"/>
            <w:tcBorders>
              <w:top w:val="single" w:sz="6" w:space="0" w:color="auto"/>
              <w:left w:val="single" w:sz="4" w:space="0" w:color="auto"/>
              <w:right w:val="single" w:sz="6" w:space="0" w:color="auto"/>
            </w:tcBorders>
            <w:vAlign w:val="center"/>
          </w:tcPr>
          <w:p w14:paraId="10267B4F" w14:textId="77777777" w:rsidR="00B97365" w:rsidRDefault="00000000">
            <w:pPr>
              <w:spacing w:before="0"/>
              <w:jc w:val="left"/>
              <w:rPr>
                <w:rFonts w:cs="Arial"/>
                <w:sz w:val="16"/>
                <w:szCs w:val="16"/>
                <w:lang w:eastAsia="en-GB" w:bidi="ar-SA"/>
              </w:rPr>
            </w:pPr>
            <w:r>
              <w:rPr>
                <w:rFonts w:cs="Arial"/>
                <w:sz w:val="16"/>
                <w:szCs w:val="16"/>
                <w:lang w:eastAsia="en-GB" w:bidi="ar-SA"/>
              </w:rPr>
              <w:t>HandleProfileFallBackAttributeUnsetNotification</w:t>
            </w:r>
          </w:p>
        </w:tc>
        <w:tc>
          <w:tcPr>
            <w:tcW w:w="1843" w:type="dxa"/>
            <w:tcBorders>
              <w:top w:val="single" w:sz="6" w:space="0" w:color="auto"/>
              <w:left w:val="single" w:sz="6" w:space="0" w:color="auto"/>
              <w:bottom w:val="single" w:sz="4" w:space="0" w:color="auto"/>
              <w:right w:val="single" w:sz="6" w:space="0" w:color="auto"/>
            </w:tcBorders>
            <w:vAlign w:val="center"/>
          </w:tcPr>
          <w:p w14:paraId="2F553821"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4" w:space="0" w:color="auto"/>
              <w:right w:val="single" w:sz="4" w:space="0" w:color="auto"/>
            </w:tcBorders>
            <w:vAlign w:val="center"/>
          </w:tcPr>
          <w:p w14:paraId="735706D4"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506B6592" w14:textId="77777777">
        <w:trPr>
          <w:trHeight w:val="870"/>
          <w:jc w:val="center"/>
        </w:trPr>
        <w:tc>
          <w:tcPr>
            <w:tcW w:w="2830" w:type="dxa"/>
            <w:vMerge/>
            <w:tcBorders>
              <w:left w:val="single" w:sz="4" w:space="0" w:color="auto"/>
              <w:right w:val="single" w:sz="6" w:space="0" w:color="auto"/>
            </w:tcBorders>
            <w:vAlign w:val="center"/>
          </w:tcPr>
          <w:p w14:paraId="656D1EB7"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4" w:space="0" w:color="auto"/>
              <w:right w:val="single" w:sz="6" w:space="0" w:color="auto"/>
            </w:tcBorders>
            <w:vAlign w:val="center"/>
          </w:tcPr>
          <w:p w14:paraId="26403038"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4" w:space="0" w:color="auto"/>
              <w:right w:val="single" w:sz="4" w:space="0" w:color="auto"/>
            </w:tcBorders>
            <w:vAlign w:val="center"/>
          </w:tcPr>
          <w:p w14:paraId="078690BD" w14:textId="77777777" w:rsidR="00B97365" w:rsidRDefault="00000000">
            <w:pPr>
              <w:spacing w:after="120" w:line="276" w:lineRule="auto"/>
              <w:rPr>
                <w:rFonts w:cs="Arial"/>
                <w:sz w:val="16"/>
                <w:szCs w:val="16"/>
                <w:lang w:eastAsia="en-GB" w:bidi="ar-SA"/>
              </w:rPr>
            </w:pPr>
            <w:r>
              <w:rPr>
                <w:color w:val="0000FF"/>
                <w:sz w:val="16"/>
                <w:szCs w:val="16"/>
                <w:u w:val="single"/>
              </w:rPr>
              <w:t>http://gsma.com/ES4/ProfileManagement/ES4-</w:t>
            </w:r>
            <w:r>
              <w:rPr>
                <w:rFonts w:cs="Arial"/>
                <w:sz w:val="16"/>
                <w:szCs w:val="16"/>
                <w:lang w:eastAsia="en-GB" w:bidi="ar-SA"/>
              </w:rPr>
              <w:t xml:space="preserve"> HandleProfileFallBackAttributeUnsetNotification</w:t>
            </w:r>
          </w:p>
        </w:tc>
      </w:tr>
      <w:tr w:rsidR="00B97365" w14:paraId="6AEB0448" w14:textId="77777777">
        <w:trPr>
          <w:trHeight w:val="870"/>
          <w:jc w:val="center"/>
        </w:trPr>
        <w:tc>
          <w:tcPr>
            <w:tcW w:w="2830" w:type="dxa"/>
            <w:vMerge/>
            <w:tcBorders>
              <w:left w:val="single" w:sz="4" w:space="0" w:color="auto"/>
              <w:right w:val="single" w:sz="6" w:space="0" w:color="auto"/>
            </w:tcBorders>
            <w:vAlign w:val="center"/>
          </w:tcPr>
          <w:p w14:paraId="432473BF"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68793AD4"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0DD2CC0F" w14:textId="77777777" w:rsidR="00B97365" w:rsidRDefault="00000000">
            <w:pPr>
              <w:spacing w:after="120" w:line="276" w:lineRule="auto"/>
              <w:rPr>
                <w:color w:val="0000FF"/>
                <w:sz w:val="16"/>
                <w:szCs w:val="16"/>
                <w:u w:val="single"/>
              </w:rPr>
            </w:pPr>
            <w:r>
              <w:rPr>
                <w:color w:val="0000FF"/>
                <w:sz w:val="16"/>
                <w:szCs w:val="16"/>
                <w:u w:val="single"/>
              </w:rPr>
              <w:t>(none)</w:t>
            </w:r>
          </w:p>
        </w:tc>
      </w:tr>
      <w:tr w:rsidR="00B97365" w14:paraId="5C2562F0" w14:textId="77777777">
        <w:trPr>
          <w:trHeight w:val="870"/>
          <w:jc w:val="center"/>
        </w:trPr>
        <w:tc>
          <w:tcPr>
            <w:tcW w:w="2830" w:type="dxa"/>
            <w:vMerge w:val="restart"/>
            <w:tcBorders>
              <w:left w:val="single" w:sz="4" w:space="0" w:color="auto"/>
              <w:right w:val="single" w:sz="6" w:space="0" w:color="auto"/>
            </w:tcBorders>
            <w:vAlign w:val="center"/>
          </w:tcPr>
          <w:p w14:paraId="55103E22" w14:textId="77777777" w:rsidR="00B97365" w:rsidRDefault="00000000">
            <w:pPr>
              <w:spacing w:before="0"/>
              <w:jc w:val="left"/>
              <w:rPr>
                <w:rFonts w:cs="Arial"/>
                <w:sz w:val="16"/>
                <w:szCs w:val="16"/>
                <w:lang w:eastAsia="en-GB" w:bidi="ar-SA"/>
              </w:rPr>
            </w:pPr>
            <w:r>
              <w:rPr>
                <w:rFonts w:cs="Arial"/>
                <w:sz w:val="16"/>
                <w:szCs w:val="16"/>
                <w:lang w:eastAsia="en-GB" w:bidi="ar-SA"/>
              </w:rPr>
              <w:t>SetEmergencyProfileAttribute</w:t>
            </w:r>
          </w:p>
        </w:tc>
        <w:tc>
          <w:tcPr>
            <w:tcW w:w="1843" w:type="dxa"/>
            <w:tcBorders>
              <w:top w:val="single" w:sz="6" w:space="0" w:color="auto"/>
              <w:left w:val="single" w:sz="6" w:space="0" w:color="auto"/>
              <w:bottom w:val="single" w:sz="6" w:space="0" w:color="auto"/>
              <w:right w:val="single" w:sz="6" w:space="0" w:color="auto"/>
            </w:tcBorders>
            <w:vAlign w:val="center"/>
          </w:tcPr>
          <w:p w14:paraId="6B2C817B"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25703170" w14:textId="77777777" w:rsidR="00B97365" w:rsidRDefault="00000000">
            <w:pPr>
              <w:spacing w:after="120" w:line="276" w:lineRule="auto"/>
              <w:rPr>
                <w:color w:val="0000FF"/>
                <w:sz w:val="16"/>
                <w:szCs w:val="16"/>
                <w:u w:val="single"/>
              </w:rPr>
            </w:pPr>
            <w:r>
              <w:rPr>
                <w:rFonts w:cs="Arial"/>
                <w:sz w:val="16"/>
                <w:szCs w:val="16"/>
                <w:lang w:eastAsia="en-GB" w:bidi="ar-SA"/>
              </w:rPr>
              <w:t>Asynchronous Request-Response with CallBack</w:t>
            </w:r>
          </w:p>
        </w:tc>
      </w:tr>
      <w:tr w:rsidR="00B97365" w14:paraId="6D9656EB" w14:textId="77777777">
        <w:trPr>
          <w:trHeight w:val="870"/>
          <w:jc w:val="center"/>
        </w:trPr>
        <w:tc>
          <w:tcPr>
            <w:tcW w:w="2830" w:type="dxa"/>
            <w:vMerge/>
            <w:tcBorders>
              <w:left w:val="single" w:sz="4" w:space="0" w:color="auto"/>
              <w:right w:val="single" w:sz="6" w:space="0" w:color="auto"/>
            </w:tcBorders>
            <w:vAlign w:val="center"/>
          </w:tcPr>
          <w:p w14:paraId="21517572"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4D134B3D"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783A3F2B" w14:textId="77777777" w:rsidR="00B97365" w:rsidRDefault="00000000">
            <w:pPr>
              <w:spacing w:after="120" w:line="276" w:lineRule="auto"/>
              <w:rPr>
                <w:color w:val="0000FF"/>
                <w:sz w:val="16"/>
                <w:szCs w:val="16"/>
                <w:u w:val="single"/>
              </w:rPr>
            </w:pPr>
            <w:r>
              <w:rPr>
                <w:color w:val="0000FF"/>
                <w:sz w:val="16"/>
                <w:szCs w:val="16"/>
                <w:u w:val="single"/>
              </w:rPr>
              <w:t>http://gsma.com/ES4/ProfileManagement/ES4-SetEmergencyProfileAttribute</w:t>
            </w:r>
          </w:p>
        </w:tc>
      </w:tr>
      <w:tr w:rsidR="00B97365" w14:paraId="0B3ABC63" w14:textId="77777777">
        <w:trPr>
          <w:trHeight w:val="870"/>
          <w:jc w:val="center"/>
        </w:trPr>
        <w:tc>
          <w:tcPr>
            <w:tcW w:w="2830" w:type="dxa"/>
            <w:vMerge/>
            <w:tcBorders>
              <w:left w:val="single" w:sz="4" w:space="0" w:color="auto"/>
              <w:right w:val="single" w:sz="6" w:space="0" w:color="auto"/>
            </w:tcBorders>
            <w:vAlign w:val="center"/>
          </w:tcPr>
          <w:p w14:paraId="3B9170C7"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55A0626D"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04ECCB2A" w14:textId="77777777" w:rsidR="00B97365" w:rsidRDefault="00000000">
            <w:pPr>
              <w:spacing w:after="120" w:line="276" w:lineRule="auto"/>
              <w:rPr>
                <w:color w:val="0000FF"/>
                <w:sz w:val="16"/>
                <w:szCs w:val="16"/>
                <w:u w:val="single"/>
              </w:rPr>
            </w:pPr>
            <w:r>
              <w:rPr>
                <w:color w:val="0000FF"/>
                <w:sz w:val="16"/>
                <w:szCs w:val="16"/>
                <w:u w:val="single"/>
              </w:rPr>
              <w:t>http://gsma.com/ES4/ProfileManagementCallBack/ES4-SetEmergencyProfileAttribute</w:t>
            </w:r>
          </w:p>
        </w:tc>
      </w:tr>
      <w:tr w:rsidR="00B97365" w14:paraId="2BD0B4B1" w14:textId="77777777">
        <w:trPr>
          <w:trHeight w:val="870"/>
          <w:jc w:val="center"/>
        </w:trPr>
        <w:tc>
          <w:tcPr>
            <w:tcW w:w="2830" w:type="dxa"/>
            <w:vMerge w:val="restart"/>
            <w:tcBorders>
              <w:left w:val="single" w:sz="4" w:space="0" w:color="auto"/>
              <w:right w:val="single" w:sz="6" w:space="0" w:color="auto"/>
            </w:tcBorders>
            <w:vAlign w:val="center"/>
          </w:tcPr>
          <w:p w14:paraId="6759E94B" w14:textId="77777777" w:rsidR="00B97365" w:rsidRDefault="00000000">
            <w:pPr>
              <w:spacing w:before="0"/>
              <w:jc w:val="left"/>
              <w:rPr>
                <w:rFonts w:cs="Arial"/>
                <w:sz w:val="16"/>
                <w:szCs w:val="16"/>
                <w:lang w:eastAsia="en-GB" w:bidi="ar-SA"/>
              </w:rPr>
            </w:pPr>
            <w:r>
              <w:rPr>
                <w:rFonts w:cs="Arial"/>
                <w:sz w:val="16"/>
                <w:szCs w:val="16"/>
                <w:lang w:eastAsia="en-GB" w:bidi="ar-SA"/>
              </w:rPr>
              <w:t>HandleEmergencyProfileAttributeSetNotification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7F57DF73"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69242C9F"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1F28498A" w14:textId="77777777">
        <w:trPr>
          <w:trHeight w:val="870"/>
          <w:jc w:val="center"/>
        </w:trPr>
        <w:tc>
          <w:tcPr>
            <w:tcW w:w="2830" w:type="dxa"/>
            <w:vMerge/>
            <w:tcBorders>
              <w:left w:val="single" w:sz="4" w:space="0" w:color="auto"/>
              <w:right w:val="single" w:sz="6" w:space="0" w:color="auto"/>
            </w:tcBorders>
            <w:vAlign w:val="center"/>
          </w:tcPr>
          <w:p w14:paraId="00B0B77B"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167BA09C"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1FCD399F" w14:textId="77777777" w:rsidR="00B97365" w:rsidRDefault="00000000">
            <w:pPr>
              <w:spacing w:after="120" w:line="276" w:lineRule="auto"/>
              <w:rPr>
                <w:color w:val="0000FF"/>
                <w:sz w:val="16"/>
                <w:szCs w:val="16"/>
                <w:u w:val="single"/>
              </w:rPr>
            </w:pPr>
            <w:r>
              <w:rPr>
                <w:color w:val="0000FF"/>
                <w:sz w:val="16"/>
                <w:szCs w:val="16"/>
                <w:u w:val="single"/>
              </w:rPr>
              <w:t>http://gsma.com/ES4/ProfileManagement/ES4-</w:t>
            </w:r>
            <w:r>
              <w:rPr>
                <w:rFonts w:cs="Arial"/>
                <w:sz w:val="16"/>
                <w:szCs w:val="16"/>
                <w:lang w:eastAsia="en-GB" w:bidi="ar-SA"/>
              </w:rPr>
              <w:t xml:space="preserve"> HandleEmergencyProfileAttributeSetNotification</w:t>
            </w:r>
          </w:p>
        </w:tc>
      </w:tr>
      <w:tr w:rsidR="00B97365" w14:paraId="3710CB6E" w14:textId="77777777">
        <w:trPr>
          <w:trHeight w:val="870"/>
          <w:jc w:val="center"/>
        </w:trPr>
        <w:tc>
          <w:tcPr>
            <w:tcW w:w="2830" w:type="dxa"/>
            <w:vMerge/>
            <w:tcBorders>
              <w:left w:val="single" w:sz="4" w:space="0" w:color="auto"/>
              <w:right w:val="single" w:sz="6" w:space="0" w:color="auto"/>
            </w:tcBorders>
            <w:vAlign w:val="center"/>
          </w:tcPr>
          <w:p w14:paraId="6799FAE0"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193A4D5D"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6CB6ACD1" w14:textId="77777777" w:rsidR="00B97365" w:rsidRDefault="00000000">
            <w:pPr>
              <w:spacing w:after="120" w:line="276" w:lineRule="auto"/>
              <w:rPr>
                <w:color w:val="0000FF"/>
                <w:sz w:val="16"/>
                <w:szCs w:val="16"/>
                <w:u w:val="single"/>
              </w:rPr>
            </w:pPr>
            <w:r>
              <w:rPr>
                <w:color w:val="0000FF"/>
                <w:sz w:val="16"/>
                <w:szCs w:val="16"/>
                <w:u w:val="single"/>
              </w:rPr>
              <w:t>(none)</w:t>
            </w:r>
          </w:p>
        </w:tc>
      </w:tr>
      <w:tr w:rsidR="00B97365" w14:paraId="5949E58F" w14:textId="77777777">
        <w:trPr>
          <w:trHeight w:val="870"/>
          <w:jc w:val="center"/>
        </w:trPr>
        <w:tc>
          <w:tcPr>
            <w:tcW w:w="2830" w:type="dxa"/>
            <w:vMerge w:val="restart"/>
            <w:tcBorders>
              <w:left w:val="single" w:sz="4" w:space="0" w:color="auto"/>
              <w:right w:val="single" w:sz="6" w:space="0" w:color="auto"/>
            </w:tcBorders>
            <w:vAlign w:val="center"/>
          </w:tcPr>
          <w:p w14:paraId="1A591E65" w14:textId="77777777" w:rsidR="00B97365" w:rsidRDefault="00000000">
            <w:pPr>
              <w:spacing w:before="0"/>
              <w:jc w:val="left"/>
              <w:rPr>
                <w:rFonts w:cs="Arial"/>
                <w:sz w:val="16"/>
                <w:szCs w:val="16"/>
                <w:lang w:eastAsia="en-GB" w:bidi="ar-SA"/>
              </w:rPr>
            </w:pPr>
            <w:r>
              <w:rPr>
                <w:rFonts w:cs="Arial"/>
                <w:sz w:val="16"/>
                <w:szCs w:val="16"/>
                <w:lang w:eastAsia="en-GB" w:bidi="ar-SA"/>
              </w:rPr>
              <w:t>HandleEmergencyProfileAttributeUnsetNotification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67EFBD97"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73492CD5"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4400B262" w14:textId="77777777">
        <w:trPr>
          <w:trHeight w:val="870"/>
          <w:jc w:val="center"/>
        </w:trPr>
        <w:tc>
          <w:tcPr>
            <w:tcW w:w="2830" w:type="dxa"/>
            <w:vMerge/>
            <w:tcBorders>
              <w:left w:val="single" w:sz="4" w:space="0" w:color="auto"/>
              <w:right w:val="single" w:sz="6" w:space="0" w:color="auto"/>
            </w:tcBorders>
            <w:vAlign w:val="center"/>
          </w:tcPr>
          <w:p w14:paraId="02F8744C"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109236D1"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544DB409" w14:textId="77777777" w:rsidR="00B97365" w:rsidRDefault="00000000">
            <w:pPr>
              <w:spacing w:after="120" w:line="276" w:lineRule="auto"/>
              <w:rPr>
                <w:color w:val="0000FF"/>
                <w:sz w:val="16"/>
                <w:szCs w:val="16"/>
                <w:u w:val="single"/>
              </w:rPr>
            </w:pPr>
            <w:r>
              <w:rPr>
                <w:color w:val="0000FF"/>
                <w:sz w:val="16"/>
                <w:szCs w:val="16"/>
                <w:u w:val="single"/>
              </w:rPr>
              <w:t>http://gsma.com/ES4/ProfileManagement/ES4-</w:t>
            </w:r>
            <w:r>
              <w:rPr>
                <w:rFonts w:cs="Arial"/>
                <w:sz w:val="16"/>
                <w:szCs w:val="16"/>
                <w:lang w:eastAsia="en-GB" w:bidi="ar-SA"/>
              </w:rPr>
              <w:t xml:space="preserve"> HandleEmergencyProfileAttributeUnsetNotification</w:t>
            </w:r>
          </w:p>
        </w:tc>
      </w:tr>
      <w:tr w:rsidR="00B97365" w14:paraId="5FCE2ADF" w14:textId="77777777">
        <w:trPr>
          <w:trHeight w:val="870"/>
          <w:jc w:val="center"/>
        </w:trPr>
        <w:tc>
          <w:tcPr>
            <w:tcW w:w="2830" w:type="dxa"/>
            <w:vMerge/>
            <w:tcBorders>
              <w:left w:val="single" w:sz="4" w:space="0" w:color="auto"/>
              <w:right w:val="single" w:sz="6" w:space="0" w:color="auto"/>
            </w:tcBorders>
            <w:vAlign w:val="center"/>
          </w:tcPr>
          <w:p w14:paraId="69C82FC4" w14:textId="77777777" w:rsidR="00B97365" w:rsidRDefault="00B97365">
            <w:pPr>
              <w:spacing w:before="0"/>
              <w:jc w:val="left"/>
              <w:rPr>
                <w:rFonts w:cs="Arial"/>
                <w:sz w:val="16"/>
                <w:szCs w:val="16"/>
                <w:lang w:eastAsia="en-GB" w:bidi="ar-SA"/>
              </w:rPr>
            </w:pPr>
          </w:p>
        </w:tc>
        <w:tc>
          <w:tcPr>
            <w:tcW w:w="1843" w:type="dxa"/>
            <w:tcBorders>
              <w:top w:val="single" w:sz="6" w:space="0" w:color="auto"/>
              <w:left w:val="single" w:sz="6" w:space="0" w:color="auto"/>
              <w:bottom w:val="single" w:sz="6" w:space="0" w:color="auto"/>
              <w:right w:val="single" w:sz="6" w:space="0" w:color="auto"/>
            </w:tcBorders>
            <w:vAlign w:val="center"/>
          </w:tcPr>
          <w:p w14:paraId="3FDD6E0F"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2CD418F5" w14:textId="77777777" w:rsidR="00B97365" w:rsidRDefault="00000000">
            <w:pPr>
              <w:spacing w:after="120" w:line="276" w:lineRule="auto"/>
              <w:rPr>
                <w:color w:val="0000FF"/>
                <w:sz w:val="16"/>
                <w:szCs w:val="16"/>
                <w:u w:val="single"/>
              </w:rPr>
            </w:pPr>
            <w:r>
              <w:rPr>
                <w:color w:val="0000FF"/>
                <w:sz w:val="16"/>
                <w:szCs w:val="16"/>
                <w:u w:val="single"/>
              </w:rPr>
              <w:t>(none)</w:t>
            </w:r>
          </w:p>
        </w:tc>
      </w:tr>
      <w:tr w:rsidR="00B97365" w14:paraId="42BC4272" w14:textId="77777777">
        <w:trPr>
          <w:trHeight w:val="404"/>
          <w:jc w:val="center"/>
        </w:trPr>
        <w:tc>
          <w:tcPr>
            <w:tcW w:w="2830" w:type="dxa"/>
            <w:vMerge w:val="restart"/>
            <w:tcBorders>
              <w:top w:val="single" w:sz="6" w:space="0" w:color="auto"/>
              <w:left w:val="single" w:sz="4" w:space="0" w:color="auto"/>
              <w:right w:val="single" w:sz="6" w:space="0" w:color="auto"/>
            </w:tcBorders>
            <w:vAlign w:val="center"/>
          </w:tcPr>
          <w:p w14:paraId="034F8BE0" w14:textId="77777777" w:rsidR="00B97365" w:rsidRDefault="00000000">
            <w:pPr>
              <w:spacing w:before="0"/>
              <w:jc w:val="left"/>
              <w:rPr>
                <w:rFonts w:cs="Arial"/>
                <w:sz w:val="16"/>
                <w:szCs w:val="16"/>
              </w:rPr>
            </w:pPr>
            <w:r>
              <w:rPr>
                <w:rFonts w:cs="Arial"/>
                <w:sz w:val="16"/>
                <w:szCs w:val="16"/>
                <w:lang w:eastAsia="en-GB" w:bidi="ar-SA"/>
              </w:rPr>
              <w:t>GetPLMA</w:t>
            </w:r>
          </w:p>
        </w:tc>
        <w:tc>
          <w:tcPr>
            <w:tcW w:w="1843" w:type="dxa"/>
            <w:tcBorders>
              <w:top w:val="single" w:sz="6" w:space="0" w:color="auto"/>
              <w:left w:val="single" w:sz="6" w:space="0" w:color="auto"/>
              <w:bottom w:val="single" w:sz="6" w:space="0" w:color="auto"/>
              <w:right w:val="single" w:sz="6" w:space="0" w:color="auto"/>
            </w:tcBorders>
            <w:vAlign w:val="center"/>
          </w:tcPr>
          <w:p w14:paraId="1DB5C234" w14:textId="77777777" w:rsidR="00B97365" w:rsidRDefault="00000000">
            <w:pPr>
              <w:spacing w:after="120" w:line="276" w:lineRule="auto"/>
              <w:rPr>
                <w:rFonts w:cs="Arial"/>
                <w:b/>
                <w:sz w:val="16"/>
                <w:szCs w:val="16"/>
              </w:rPr>
            </w:pPr>
            <w:r>
              <w:rPr>
                <w:rFonts w:cs="Arial"/>
                <w:b/>
                <w:sz w:val="16"/>
                <w:szCs w:val="16"/>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60E816B7" w14:textId="77777777" w:rsidR="00B97365" w:rsidRDefault="00000000">
            <w:pPr>
              <w:spacing w:after="120" w:line="276" w:lineRule="auto"/>
              <w:rPr>
                <w:rFonts w:cs="Arial"/>
                <w:sz w:val="16"/>
                <w:szCs w:val="16"/>
              </w:rPr>
            </w:pPr>
            <w:r>
              <w:rPr>
                <w:rFonts w:cs="Arial"/>
                <w:sz w:val="16"/>
                <w:szCs w:val="16"/>
                <w:lang w:eastAsia="en-GB" w:bidi="ar-SA"/>
              </w:rPr>
              <w:t>Synchronous Request-Response</w:t>
            </w:r>
          </w:p>
        </w:tc>
      </w:tr>
      <w:tr w:rsidR="00B97365" w14:paraId="19100B6C" w14:textId="77777777">
        <w:trPr>
          <w:trHeight w:val="510"/>
          <w:jc w:val="center"/>
        </w:trPr>
        <w:tc>
          <w:tcPr>
            <w:tcW w:w="2830" w:type="dxa"/>
            <w:vMerge/>
            <w:tcBorders>
              <w:left w:val="single" w:sz="4" w:space="0" w:color="auto"/>
              <w:right w:val="single" w:sz="6" w:space="0" w:color="auto"/>
            </w:tcBorders>
            <w:vAlign w:val="center"/>
          </w:tcPr>
          <w:p w14:paraId="4B4DF2B2"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086463FE"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0E5CCC23" w14:textId="77777777" w:rsidR="00B97365" w:rsidRDefault="00000000">
            <w:pPr>
              <w:spacing w:after="120" w:line="276" w:lineRule="auto"/>
              <w:rPr>
                <w:rFonts w:cs="Arial"/>
                <w:sz w:val="16"/>
                <w:szCs w:val="16"/>
              </w:rPr>
            </w:pPr>
            <w:r>
              <w:rPr>
                <w:color w:val="0000FF"/>
                <w:sz w:val="16"/>
                <w:szCs w:val="16"/>
                <w:u w:val="single"/>
              </w:rPr>
              <w:t>http://gsma.com/ES4/ProfileManagement/ES4-GetPLMARequest</w:t>
            </w:r>
          </w:p>
        </w:tc>
      </w:tr>
      <w:tr w:rsidR="00B97365" w14:paraId="0D867B21" w14:textId="77777777">
        <w:trPr>
          <w:trHeight w:val="403"/>
          <w:jc w:val="center"/>
        </w:trPr>
        <w:tc>
          <w:tcPr>
            <w:tcW w:w="2830" w:type="dxa"/>
            <w:vMerge/>
            <w:tcBorders>
              <w:left w:val="single" w:sz="4" w:space="0" w:color="auto"/>
              <w:right w:val="single" w:sz="6" w:space="0" w:color="auto"/>
            </w:tcBorders>
            <w:vAlign w:val="center"/>
          </w:tcPr>
          <w:p w14:paraId="1792E443"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794B9064" w14:textId="77777777" w:rsidR="00B97365" w:rsidRDefault="00000000">
            <w:pPr>
              <w:spacing w:after="120" w:line="276" w:lineRule="auto"/>
              <w:rPr>
                <w:rFonts w:cs="Arial"/>
                <w:b/>
                <w:sz w:val="16"/>
                <w:szCs w:val="16"/>
              </w:rPr>
            </w:pPr>
            <w:r>
              <w:rPr>
                <w:rFonts w:cs="Arial"/>
                <w:b/>
                <w:sz w:val="16"/>
                <w:szCs w:val="16"/>
              </w:rPr>
              <w:t>/wsa:Action Response</w:t>
            </w:r>
          </w:p>
        </w:tc>
        <w:tc>
          <w:tcPr>
            <w:tcW w:w="4394" w:type="dxa"/>
            <w:tcBorders>
              <w:top w:val="single" w:sz="6" w:space="0" w:color="auto"/>
              <w:left w:val="single" w:sz="6" w:space="0" w:color="auto"/>
              <w:bottom w:val="single" w:sz="6" w:space="0" w:color="auto"/>
              <w:right w:val="single" w:sz="4" w:space="0" w:color="auto"/>
            </w:tcBorders>
            <w:vAlign w:val="center"/>
          </w:tcPr>
          <w:p w14:paraId="62EF330E" w14:textId="77777777" w:rsidR="00B97365" w:rsidRDefault="00000000">
            <w:pPr>
              <w:spacing w:after="120" w:line="276" w:lineRule="auto"/>
              <w:rPr>
                <w:rFonts w:cs="Arial"/>
                <w:sz w:val="16"/>
                <w:szCs w:val="16"/>
              </w:rPr>
            </w:pPr>
            <w:r>
              <w:rPr>
                <w:color w:val="0000FF"/>
                <w:sz w:val="16"/>
                <w:szCs w:val="16"/>
                <w:u w:val="single"/>
              </w:rPr>
              <w:t>http://gsma.com/ES4/ProfileManagement/ES4-GetPLMAResponse</w:t>
            </w:r>
          </w:p>
        </w:tc>
      </w:tr>
      <w:tr w:rsidR="00B97365" w14:paraId="1C5C89F7" w14:textId="77777777">
        <w:trPr>
          <w:trHeight w:val="403"/>
          <w:jc w:val="center"/>
        </w:trPr>
        <w:tc>
          <w:tcPr>
            <w:tcW w:w="2830" w:type="dxa"/>
            <w:vMerge w:val="restart"/>
            <w:tcBorders>
              <w:left w:val="single" w:sz="4" w:space="0" w:color="auto"/>
              <w:right w:val="single" w:sz="6" w:space="0" w:color="auto"/>
            </w:tcBorders>
            <w:vAlign w:val="center"/>
          </w:tcPr>
          <w:p w14:paraId="7B2E48B2" w14:textId="77777777" w:rsidR="00B97365" w:rsidRDefault="00000000">
            <w:pPr>
              <w:spacing w:before="0"/>
              <w:jc w:val="left"/>
              <w:rPr>
                <w:rFonts w:cs="Arial"/>
                <w:sz w:val="16"/>
                <w:szCs w:val="16"/>
              </w:rPr>
            </w:pPr>
            <w:r>
              <w:rPr>
                <w:rFonts w:cs="Arial"/>
                <w:sz w:val="16"/>
                <w:szCs w:val="16"/>
                <w:lang w:eastAsia="en-GB" w:bidi="ar-SA"/>
              </w:rPr>
              <w:lastRenderedPageBreak/>
              <w:t>HandleProfileDownloadedNotification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39A7DF35" w14:textId="77777777" w:rsidR="00B97365" w:rsidRDefault="00000000">
            <w:pPr>
              <w:spacing w:after="120" w:line="276" w:lineRule="auto"/>
              <w:rPr>
                <w:rFonts w:cs="Arial"/>
                <w:b/>
                <w:sz w:val="16"/>
                <w:szCs w:val="16"/>
              </w:rPr>
            </w:pPr>
            <w:r>
              <w:rPr>
                <w:rFonts w:cs="Arial"/>
                <w:b/>
                <w:sz w:val="16"/>
                <w:szCs w:val="16"/>
                <w:lang w:eastAsia="en-GB" w:bidi="ar-SA"/>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782AC88C"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4B170A25" w14:textId="77777777">
        <w:trPr>
          <w:trHeight w:val="403"/>
          <w:jc w:val="center"/>
        </w:trPr>
        <w:tc>
          <w:tcPr>
            <w:tcW w:w="2830" w:type="dxa"/>
            <w:vMerge/>
            <w:tcBorders>
              <w:left w:val="single" w:sz="4" w:space="0" w:color="auto"/>
              <w:right w:val="single" w:sz="6" w:space="0" w:color="auto"/>
            </w:tcBorders>
            <w:vAlign w:val="center"/>
          </w:tcPr>
          <w:p w14:paraId="252579CF"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29BED311"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18B3F6FD" w14:textId="77777777" w:rsidR="00B97365" w:rsidRDefault="00000000">
            <w:pPr>
              <w:spacing w:after="120" w:line="276" w:lineRule="auto"/>
              <w:rPr>
                <w:color w:val="0000FF"/>
                <w:sz w:val="16"/>
                <w:szCs w:val="16"/>
                <w:u w:val="single"/>
              </w:rPr>
            </w:pPr>
            <w:r>
              <w:rPr>
                <w:rFonts w:cs="Arial"/>
                <w:sz w:val="16"/>
                <w:szCs w:val="16"/>
                <w:lang w:eastAsia="en-GB" w:bidi="ar-SA"/>
              </w:rPr>
              <w:t>http://gsma.com/ES4/ProfileManagement/ES2-</w:t>
            </w:r>
            <w:r>
              <w:rPr>
                <w:rFonts w:ascii="Courier New" w:hAnsi="Courier New" w:cs="Courier New"/>
                <w:sz w:val="16"/>
                <w:szCs w:val="16"/>
              </w:rPr>
              <w:t xml:space="preserve"> </w:t>
            </w:r>
            <w:r>
              <w:rPr>
                <w:rFonts w:cs="Arial"/>
                <w:sz w:val="16"/>
                <w:szCs w:val="16"/>
                <w:lang w:eastAsia="en-GB" w:bidi="ar-SA"/>
              </w:rPr>
              <w:t>HandleProfileDownloadedNotification</w:t>
            </w:r>
          </w:p>
        </w:tc>
      </w:tr>
      <w:tr w:rsidR="00B97365" w14:paraId="793AE039" w14:textId="77777777">
        <w:trPr>
          <w:trHeight w:val="403"/>
          <w:jc w:val="center"/>
        </w:trPr>
        <w:tc>
          <w:tcPr>
            <w:tcW w:w="2830" w:type="dxa"/>
            <w:vMerge/>
            <w:tcBorders>
              <w:left w:val="single" w:sz="4" w:space="0" w:color="auto"/>
              <w:right w:val="single" w:sz="6" w:space="0" w:color="auto"/>
            </w:tcBorders>
            <w:vAlign w:val="center"/>
          </w:tcPr>
          <w:p w14:paraId="4DED1D29"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1C848111" w14:textId="77777777" w:rsidR="00B97365" w:rsidRDefault="00000000">
            <w:pPr>
              <w:spacing w:after="120" w:line="276" w:lineRule="auto"/>
              <w:rPr>
                <w:rFonts w:cs="Arial"/>
                <w:b/>
                <w:sz w:val="16"/>
                <w:szCs w:val="16"/>
              </w:rPr>
            </w:pPr>
            <w:r>
              <w:rPr>
                <w:rFonts w:cs="Arial"/>
                <w:b/>
                <w:sz w:val="16"/>
                <w:szCs w:val="16"/>
              </w:rPr>
              <w:t xml:space="preserve">/wsa:Action  </w:t>
            </w:r>
          </w:p>
          <w:p w14:paraId="2258347B" w14:textId="77777777" w:rsidR="00B97365" w:rsidRDefault="00000000">
            <w:pPr>
              <w:spacing w:after="120" w:line="276" w:lineRule="auto"/>
              <w:rPr>
                <w:rFonts w:cs="Arial"/>
                <w:b/>
                <w:sz w:val="16"/>
                <w:szCs w:val="16"/>
              </w:rPr>
            </w:pPr>
            <w:r>
              <w:rPr>
                <w:rFonts w:cs="Arial"/>
                <w:b/>
                <w:sz w:val="16"/>
                <w:szCs w:val="16"/>
              </w:rPr>
              <w:t>Response</w:t>
            </w:r>
          </w:p>
        </w:tc>
        <w:tc>
          <w:tcPr>
            <w:tcW w:w="4394" w:type="dxa"/>
            <w:tcBorders>
              <w:top w:val="single" w:sz="6" w:space="0" w:color="auto"/>
              <w:left w:val="single" w:sz="6" w:space="0" w:color="auto"/>
              <w:bottom w:val="single" w:sz="6" w:space="0" w:color="auto"/>
              <w:right w:val="single" w:sz="4" w:space="0" w:color="auto"/>
            </w:tcBorders>
            <w:vAlign w:val="center"/>
          </w:tcPr>
          <w:p w14:paraId="2CE21B37" w14:textId="77777777" w:rsidR="00B97365" w:rsidRDefault="00000000">
            <w:pPr>
              <w:spacing w:after="120" w:line="276" w:lineRule="auto"/>
              <w:rPr>
                <w:color w:val="0000FF"/>
                <w:sz w:val="16"/>
                <w:szCs w:val="16"/>
                <w:u w:val="single"/>
              </w:rPr>
            </w:pPr>
            <w:r>
              <w:rPr>
                <w:rFonts w:cs="Arial"/>
                <w:sz w:val="16"/>
                <w:szCs w:val="16"/>
                <w:lang w:eastAsia="en-GB" w:bidi="ar-SA"/>
              </w:rPr>
              <w:t>(none)</w:t>
            </w:r>
          </w:p>
        </w:tc>
      </w:tr>
      <w:tr w:rsidR="00B97365" w14:paraId="54CC0974" w14:textId="77777777">
        <w:trPr>
          <w:trHeight w:val="403"/>
          <w:jc w:val="center"/>
        </w:trPr>
        <w:tc>
          <w:tcPr>
            <w:tcW w:w="2830" w:type="dxa"/>
            <w:vMerge w:val="restart"/>
            <w:tcBorders>
              <w:left w:val="single" w:sz="4" w:space="0" w:color="auto"/>
              <w:right w:val="single" w:sz="6" w:space="0" w:color="auto"/>
            </w:tcBorders>
            <w:vAlign w:val="center"/>
          </w:tcPr>
          <w:p w14:paraId="62B8E357" w14:textId="77777777" w:rsidR="00B97365" w:rsidRDefault="00000000">
            <w:pPr>
              <w:spacing w:before="0"/>
              <w:jc w:val="left"/>
              <w:rPr>
                <w:rFonts w:cs="Arial"/>
                <w:sz w:val="16"/>
                <w:szCs w:val="16"/>
              </w:rPr>
            </w:pPr>
            <w:r>
              <w:rPr>
                <w:rFonts w:cs="Arial"/>
                <w:sz w:val="16"/>
                <w:szCs w:val="16"/>
                <w:lang w:eastAsia="en-GB" w:bidi="ar-SA"/>
              </w:rPr>
              <w:t>HandlePLMAChangedNotification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69F66B87" w14:textId="77777777" w:rsidR="00B97365" w:rsidRDefault="00000000">
            <w:pPr>
              <w:spacing w:after="120" w:line="276" w:lineRule="auto"/>
              <w:rPr>
                <w:rFonts w:cs="Arial"/>
                <w:b/>
                <w:sz w:val="16"/>
                <w:szCs w:val="16"/>
              </w:rPr>
            </w:pPr>
            <w:r>
              <w:rPr>
                <w:rFonts w:cs="Arial"/>
                <w:b/>
                <w:sz w:val="16"/>
                <w:szCs w:val="16"/>
                <w:lang w:eastAsia="en-GB" w:bidi="ar-SA"/>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2D87FB9A"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2213A099" w14:textId="77777777">
        <w:trPr>
          <w:trHeight w:val="403"/>
          <w:jc w:val="center"/>
        </w:trPr>
        <w:tc>
          <w:tcPr>
            <w:tcW w:w="2830" w:type="dxa"/>
            <w:vMerge/>
            <w:tcBorders>
              <w:left w:val="single" w:sz="4" w:space="0" w:color="auto"/>
              <w:right w:val="single" w:sz="6" w:space="0" w:color="auto"/>
            </w:tcBorders>
            <w:vAlign w:val="center"/>
          </w:tcPr>
          <w:p w14:paraId="32937E0F"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5F57D3E6"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4768FF36" w14:textId="77777777" w:rsidR="00B97365" w:rsidRDefault="00000000">
            <w:pPr>
              <w:spacing w:after="120" w:line="276" w:lineRule="auto"/>
              <w:rPr>
                <w:color w:val="0000FF"/>
                <w:sz w:val="16"/>
                <w:szCs w:val="16"/>
                <w:u w:val="single"/>
              </w:rPr>
            </w:pPr>
            <w:r>
              <w:rPr>
                <w:rFonts w:cs="Arial"/>
                <w:sz w:val="16"/>
                <w:szCs w:val="16"/>
                <w:lang w:eastAsia="en-GB" w:bidi="ar-SA"/>
              </w:rPr>
              <w:t>http://gsma.com/ES4/ProfileManagement/ES2-</w:t>
            </w:r>
            <w:r>
              <w:rPr>
                <w:rFonts w:ascii="Courier New" w:hAnsi="Courier New" w:cs="Courier New"/>
                <w:sz w:val="16"/>
                <w:szCs w:val="16"/>
              </w:rPr>
              <w:t xml:space="preserve"> </w:t>
            </w:r>
            <w:r>
              <w:rPr>
                <w:rFonts w:cs="Arial"/>
                <w:sz w:val="16"/>
                <w:szCs w:val="16"/>
                <w:lang w:eastAsia="en-GB" w:bidi="ar-SA"/>
              </w:rPr>
              <w:t>HandlePLMAChangedNotification</w:t>
            </w:r>
          </w:p>
        </w:tc>
      </w:tr>
      <w:tr w:rsidR="00B97365" w14:paraId="37BEA82A" w14:textId="77777777">
        <w:trPr>
          <w:trHeight w:val="403"/>
          <w:jc w:val="center"/>
        </w:trPr>
        <w:tc>
          <w:tcPr>
            <w:tcW w:w="2830" w:type="dxa"/>
            <w:vMerge/>
            <w:tcBorders>
              <w:left w:val="single" w:sz="4" w:space="0" w:color="auto"/>
              <w:right w:val="single" w:sz="6" w:space="0" w:color="auto"/>
            </w:tcBorders>
            <w:vAlign w:val="center"/>
          </w:tcPr>
          <w:p w14:paraId="6604C939"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60A88006" w14:textId="77777777" w:rsidR="00B97365" w:rsidRDefault="00000000">
            <w:pPr>
              <w:spacing w:after="120" w:line="276" w:lineRule="auto"/>
              <w:rPr>
                <w:rFonts w:cs="Arial"/>
                <w:b/>
                <w:sz w:val="16"/>
                <w:szCs w:val="16"/>
              </w:rPr>
            </w:pPr>
            <w:r>
              <w:rPr>
                <w:rFonts w:cs="Arial"/>
                <w:b/>
                <w:sz w:val="16"/>
                <w:szCs w:val="16"/>
              </w:rPr>
              <w:t xml:space="preserve">/wsa:Action  </w:t>
            </w:r>
          </w:p>
          <w:p w14:paraId="3B444ABC" w14:textId="77777777" w:rsidR="00B97365" w:rsidRDefault="00000000">
            <w:pPr>
              <w:spacing w:after="120" w:line="276" w:lineRule="auto"/>
              <w:rPr>
                <w:rFonts w:cs="Arial"/>
                <w:b/>
                <w:sz w:val="16"/>
                <w:szCs w:val="16"/>
              </w:rPr>
            </w:pPr>
            <w:r>
              <w:rPr>
                <w:rFonts w:cs="Arial"/>
                <w:b/>
                <w:sz w:val="16"/>
                <w:szCs w:val="16"/>
              </w:rPr>
              <w:t>Response</w:t>
            </w:r>
          </w:p>
        </w:tc>
        <w:tc>
          <w:tcPr>
            <w:tcW w:w="4394" w:type="dxa"/>
            <w:tcBorders>
              <w:top w:val="single" w:sz="6" w:space="0" w:color="auto"/>
              <w:left w:val="single" w:sz="6" w:space="0" w:color="auto"/>
              <w:bottom w:val="single" w:sz="6" w:space="0" w:color="auto"/>
              <w:right w:val="single" w:sz="4" w:space="0" w:color="auto"/>
            </w:tcBorders>
            <w:vAlign w:val="center"/>
          </w:tcPr>
          <w:p w14:paraId="45F3DEFF" w14:textId="77777777" w:rsidR="00B97365" w:rsidRDefault="00000000">
            <w:pPr>
              <w:spacing w:after="120" w:line="276" w:lineRule="auto"/>
              <w:rPr>
                <w:color w:val="0000FF"/>
                <w:sz w:val="16"/>
                <w:szCs w:val="16"/>
                <w:u w:val="single"/>
              </w:rPr>
            </w:pPr>
            <w:r>
              <w:rPr>
                <w:rFonts w:cs="Arial"/>
                <w:sz w:val="16"/>
                <w:szCs w:val="16"/>
                <w:lang w:eastAsia="en-GB" w:bidi="ar-SA"/>
              </w:rPr>
              <w:t>(none)</w:t>
            </w:r>
          </w:p>
        </w:tc>
      </w:tr>
      <w:tr w:rsidR="00B97365" w14:paraId="68B1AED2" w14:textId="77777777">
        <w:trPr>
          <w:trHeight w:val="403"/>
          <w:jc w:val="center"/>
        </w:trPr>
        <w:tc>
          <w:tcPr>
            <w:tcW w:w="2830" w:type="dxa"/>
            <w:vMerge w:val="restart"/>
            <w:tcBorders>
              <w:left w:val="single" w:sz="4" w:space="0" w:color="auto"/>
              <w:right w:val="single" w:sz="6" w:space="0" w:color="auto"/>
            </w:tcBorders>
            <w:vAlign w:val="center"/>
          </w:tcPr>
          <w:p w14:paraId="284630B2" w14:textId="77777777" w:rsidR="00B97365" w:rsidRDefault="00000000">
            <w:pPr>
              <w:spacing w:before="0"/>
              <w:jc w:val="left"/>
              <w:rPr>
                <w:rFonts w:cs="Arial"/>
                <w:sz w:val="16"/>
                <w:szCs w:val="16"/>
              </w:rPr>
            </w:pPr>
            <w:r>
              <w:rPr>
                <w:rFonts w:cs="Arial"/>
                <w:sz w:val="16"/>
                <w:szCs w:val="16"/>
                <w:lang w:eastAsia="en-GB" w:bidi="ar-SA"/>
              </w:rPr>
              <w:t>HandlePolicyRulesUpdatedNotification</w:t>
            </w:r>
          </w:p>
        </w:tc>
        <w:tc>
          <w:tcPr>
            <w:tcW w:w="1843" w:type="dxa"/>
            <w:tcBorders>
              <w:top w:val="single" w:sz="6" w:space="0" w:color="auto"/>
              <w:left w:val="single" w:sz="6" w:space="0" w:color="auto"/>
              <w:bottom w:val="single" w:sz="6" w:space="0" w:color="auto"/>
              <w:right w:val="single" w:sz="6" w:space="0" w:color="auto"/>
            </w:tcBorders>
            <w:vAlign w:val="center"/>
          </w:tcPr>
          <w:p w14:paraId="27C6E38C" w14:textId="77777777" w:rsidR="00B97365" w:rsidRDefault="00000000">
            <w:pPr>
              <w:spacing w:after="120" w:line="276" w:lineRule="auto"/>
              <w:rPr>
                <w:rFonts w:cs="Arial"/>
                <w:b/>
                <w:sz w:val="16"/>
                <w:szCs w:val="16"/>
              </w:rPr>
            </w:pPr>
            <w:r>
              <w:rPr>
                <w:rFonts w:cs="Arial"/>
                <w:b/>
                <w:sz w:val="16"/>
                <w:szCs w:val="16"/>
                <w:lang w:eastAsia="en-GB" w:bidi="ar-SA"/>
              </w:rPr>
              <w:t>MEP</w:t>
            </w:r>
          </w:p>
        </w:tc>
        <w:tc>
          <w:tcPr>
            <w:tcW w:w="4394" w:type="dxa"/>
            <w:tcBorders>
              <w:top w:val="single" w:sz="6" w:space="0" w:color="auto"/>
              <w:left w:val="single" w:sz="6" w:space="0" w:color="auto"/>
              <w:bottom w:val="single" w:sz="6" w:space="0" w:color="auto"/>
              <w:right w:val="single" w:sz="4" w:space="0" w:color="auto"/>
            </w:tcBorders>
            <w:vAlign w:val="center"/>
          </w:tcPr>
          <w:p w14:paraId="14144542" w14:textId="77777777" w:rsidR="00B97365" w:rsidRDefault="00000000">
            <w:pPr>
              <w:spacing w:after="120" w:line="276" w:lineRule="auto"/>
              <w:rPr>
                <w:color w:val="0000FF"/>
                <w:sz w:val="16"/>
                <w:szCs w:val="16"/>
                <w:u w:val="single"/>
              </w:rPr>
            </w:pPr>
            <w:r>
              <w:rPr>
                <w:rFonts w:cs="Arial"/>
                <w:sz w:val="16"/>
                <w:szCs w:val="16"/>
                <w:lang w:eastAsia="en-GB" w:bidi="ar-SA"/>
              </w:rPr>
              <w:t>Notification (One-Way)</w:t>
            </w:r>
          </w:p>
        </w:tc>
      </w:tr>
      <w:tr w:rsidR="00B97365" w14:paraId="700D03C3" w14:textId="77777777">
        <w:trPr>
          <w:trHeight w:val="403"/>
          <w:jc w:val="center"/>
        </w:trPr>
        <w:tc>
          <w:tcPr>
            <w:tcW w:w="2830" w:type="dxa"/>
            <w:vMerge/>
            <w:tcBorders>
              <w:left w:val="single" w:sz="4" w:space="0" w:color="auto"/>
              <w:right w:val="single" w:sz="6" w:space="0" w:color="auto"/>
            </w:tcBorders>
            <w:vAlign w:val="center"/>
          </w:tcPr>
          <w:p w14:paraId="038C90D3"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14:paraId="429C9CA9" w14:textId="77777777" w:rsidR="00B97365" w:rsidRDefault="00000000">
            <w:pPr>
              <w:spacing w:after="120" w:line="276" w:lineRule="auto"/>
              <w:rPr>
                <w:rFonts w:cs="Arial"/>
                <w:b/>
                <w:sz w:val="16"/>
                <w:szCs w:val="16"/>
              </w:rPr>
            </w:pPr>
            <w:r>
              <w:rPr>
                <w:rFonts w:cs="Arial"/>
                <w:b/>
                <w:sz w:val="16"/>
                <w:szCs w:val="16"/>
              </w:rPr>
              <w:t>/wsa:Action  Request</w:t>
            </w:r>
          </w:p>
        </w:tc>
        <w:tc>
          <w:tcPr>
            <w:tcW w:w="4394" w:type="dxa"/>
            <w:tcBorders>
              <w:top w:val="single" w:sz="6" w:space="0" w:color="auto"/>
              <w:left w:val="single" w:sz="6" w:space="0" w:color="auto"/>
              <w:bottom w:val="single" w:sz="6" w:space="0" w:color="auto"/>
              <w:right w:val="single" w:sz="4" w:space="0" w:color="auto"/>
            </w:tcBorders>
            <w:vAlign w:val="center"/>
          </w:tcPr>
          <w:p w14:paraId="0D32C71B" w14:textId="77777777" w:rsidR="00B97365" w:rsidRDefault="00000000">
            <w:pPr>
              <w:spacing w:after="120" w:line="276" w:lineRule="auto"/>
              <w:rPr>
                <w:color w:val="0000FF"/>
                <w:sz w:val="16"/>
                <w:szCs w:val="16"/>
                <w:u w:val="single"/>
              </w:rPr>
            </w:pPr>
            <w:r>
              <w:rPr>
                <w:rFonts w:cs="Arial"/>
                <w:sz w:val="16"/>
                <w:szCs w:val="16"/>
                <w:lang w:eastAsia="en-GB" w:bidi="ar-SA"/>
              </w:rPr>
              <w:t>http://gsma.com/ES4/ProfileManagement/ES2-</w:t>
            </w:r>
            <w:r>
              <w:rPr>
                <w:rFonts w:ascii="Courier New" w:hAnsi="Courier New" w:cs="Courier New"/>
                <w:sz w:val="16"/>
                <w:szCs w:val="16"/>
              </w:rPr>
              <w:t xml:space="preserve"> </w:t>
            </w:r>
            <w:r>
              <w:rPr>
                <w:rFonts w:cs="Arial"/>
                <w:sz w:val="16"/>
                <w:szCs w:val="16"/>
                <w:lang w:eastAsia="en-GB" w:bidi="ar-SA"/>
              </w:rPr>
              <w:t>HandlePolicyRulesUpdatedNotification</w:t>
            </w:r>
          </w:p>
        </w:tc>
      </w:tr>
      <w:tr w:rsidR="00B97365" w14:paraId="1C25AA02" w14:textId="77777777">
        <w:trPr>
          <w:trHeight w:val="403"/>
          <w:jc w:val="center"/>
        </w:trPr>
        <w:tc>
          <w:tcPr>
            <w:tcW w:w="2830" w:type="dxa"/>
            <w:vMerge/>
            <w:tcBorders>
              <w:left w:val="single" w:sz="4" w:space="0" w:color="auto"/>
              <w:bottom w:val="single" w:sz="4" w:space="0" w:color="auto"/>
              <w:right w:val="single" w:sz="6" w:space="0" w:color="auto"/>
            </w:tcBorders>
            <w:vAlign w:val="center"/>
          </w:tcPr>
          <w:p w14:paraId="3E564F71" w14:textId="77777777" w:rsidR="00B97365" w:rsidRDefault="00B97365">
            <w:pPr>
              <w:spacing w:before="0"/>
              <w:jc w:val="left"/>
              <w:rPr>
                <w:rFonts w:cs="Arial"/>
                <w:sz w:val="16"/>
                <w:szCs w:val="16"/>
              </w:rPr>
            </w:pPr>
          </w:p>
        </w:tc>
        <w:tc>
          <w:tcPr>
            <w:tcW w:w="1843" w:type="dxa"/>
            <w:tcBorders>
              <w:top w:val="single" w:sz="6" w:space="0" w:color="auto"/>
              <w:left w:val="single" w:sz="6" w:space="0" w:color="auto"/>
              <w:bottom w:val="single" w:sz="4" w:space="0" w:color="auto"/>
              <w:right w:val="single" w:sz="6" w:space="0" w:color="auto"/>
            </w:tcBorders>
            <w:vAlign w:val="center"/>
          </w:tcPr>
          <w:p w14:paraId="103288C8" w14:textId="77777777" w:rsidR="00B97365" w:rsidRDefault="00000000">
            <w:pPr>
              <w:spacing w:after="120" w:line="276" w:lineRule="auto"/>
              <w:rPr>
                <w:rFonts w:cs="Arial"/>
                <w:b/>
                <w:sz w:val="16"/>
                <w:szCs w:val="16"/>
              </w:rPr>
            </w:pPr>
            <w:r>
              <w:rPr>
                <w:rFonts w:cs="Arial"/>
                <w:b/>
                <w:sz w:val="16"/>
                <w:szCs w:val="16"/>
              </w:rPr>
              <w:t xml:space="preserve">/wsa:Action  </w:t>
            </w:r>
          </w:p>
          <w:p w14:paraId="7DB61541" w14:textId="77777777" w:rsidR="00B97365" w:rsidRDefault="00000000">
            <w:pPr>
              <w:spacing w:after="120" w:line="276" w:lineRule="auto"/>
              <w:rPr>
                <w:rFonts w:cs="Arial"/>
                <w:b/>
                <w:sz w:val="16"/>
                <w:szCs w:val="16"/>
              </w:rPr>
            </w:pPr>
            <w:r>
              <w:rPr>
                <w:rFonts w:cs="Arial"/>
                <w:b/>
                <w:sz w:val="16"/>
                <w:szCs w:val="16"/>
              </w:rPr>
              <w:t>Response</w:t>
            </w:r>
          </w:p>
        </w:tc>
        <w:tc>
          <w:tcPr>
            <w:tcW w:w="4394" w:type="dxa"/>
            <w:tcBorders>
              <w:top w:val="single" w:sz="6" w:space="0" w:color="auto"/>
              <w:left w:val="single" w:sz="6" w:space="0" w:color="auto"/>
              <w:bottom w:val="single" w:sz="4" w:space="0" w:color="auto"/>
              <w:right w:val="single" w:sz="4" w:space="0" w:color="auto"/>
            </w:tcBorders>
            <w:vAlign w:val="center"/>
          </w:tcPr>
          <w:p w14:paraId="4D5A4C15" w14:textId="77777777" w:rsidR="00B97365" w:rsidRDefault="00000000">
            <w:pPr>
              <w:spacing w:after="120" w:line="276" w:lineRule="auto"/>
              <w:rPr>
                <w:color w:val="0000FF"/>
                <w:sz w:val="16"/>
                <w:szCs w:val="16"/>
                <w:u w:val="single"/>
              </w:rPr>
            </w:pPr>
            <w:r>
              <w:rPr>
                <w:rFonts w:cs="Arial"/>
                <w:sz w:val="16"/>
                <w:szCs w:val="16"/>
                <w:lang w:eastAsia="en-GB" w:bidi="ar-SA"/>
              </w:rPr>
              <w:t>(none)</w:t>
            </w:r>
          </w:p>
        </w:tc>
      </w:tr>
    </w:tbl>
    <w:p w14:paraId="6BF7C32D"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xml:space="preserve">: ES4 Functions Binding </w:t>
      </w:r>
    </w:p>
    <w:p w14:paraId="1B0774E2" w14:textId="77777777" w:rsidR="00B97365" w:rsidRDefault="00B97365">
      <w:pPr>
        <w:jc w:val="center"/>
        <w:rPr>
          <w:rFonts w:cs="Calibri"/>
        </w:rPr>
      </w:pPr>
    </w:p>
    <w:p w14:paraId="081BCC5C" w14:textId="77777777" w:rsidR="00B97365" w:rsidRDefault="00000000">
      <w:pPr>
        <w:keepNext/>
        <w:keepLines/>
        <w:numPr>
          <w:ilvl w:val="2"/>
          <w:numId w:val="36"/>
        </w:numPr>
        <w:spacing w:before="240" w:after="60" w:line="276" w:lineRule="auto"/>
        <w:jc w:val="left"/>
        <w:outlineLvl w:val="2"/>
        <w:rPr>
          <w:rFonts w:ascii="Arial Bold" w:hAnsi="Arial Bold"/>
          <w:sz w:val="24"/>
          <w:szCs w:val="24"/>
          <w:lang w:eastAsia="en-US"/>
        </w:rPr>
      </w:pPr>
      <w:bookmarkStart w:id="11899" w:name="_Toc448998373"/>
      <w:bookmarkStart w:id="11900" w:name="_Toc422150943"/>
      <w:bookmarkStart w:id="11901" w:name="_Toc421874528"/>
      <w:bookmarkStart w:id="11902" w:name="_Toc420595125"/>
      <w:bookmarkStart w:id="11903" w:name="_Toc398215099"/>
      <w:bookmarkStart w:id="11904" w:name="_Toc375158515"/>
      <w:bookmarkStart w:id="11905" w:name="_Toc374348677"/>
      <w:bookmarkStart w:id="11906" w:name="_Toc368932521"/>
      <w:bookmarkStart w:id="11907" w:name="_Toc486332990"/>
      <w:bookmarkStart w:id="11908" w:name="_Toc1977509"/>
      <w:bookmarkStart w:id="11909" w:name="_Toc37062668"/>
      <w:bookmarkStart w:id="11910" w:name="_Toc88839708"/>
      <w:bookmarkStart w:id="11911" w:name="_Toc121504116"/>
      <w:r>
        <w:rPr>
          <w:rFonts w:ascii="Arial Bold" w:hAnsi="Arial Bold"/>
          <w:sz w:val="24"/>
          <w:szCs w:val="24"/>
          <w:lang w:eastAsia="en-US"/>
        </w:rPr>
        <w:t>ES7</w:t>
      </w:r>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79"/>
        <w:gridCol w:w="1602"/>
        <w:gridCol w:w="5535"/>
      </w:tblGrid>
      <w:tr w:rsidR="00B97365" w14:paraId="282EA522" w14:textId="77777777">
        <w:trPr>
          <w:trHeight w:val="327"/>
          <w:jc w:val="center"/>
        </w:trPr>
        <w:tc>
          <w:tcPr>
            <w:tcW w:w="1882"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D7B9920" w14:textId="77777777" w:rsidR="00B97365" w:rsidRDefault="00000000">
            <w:pPr>
              <w:jc w:val="center"/>
              <w:rPr>
                <w:rFonts w:cs="Calibri"/>
                <w:b/>
                <w:color w:val="FFFFFF"/>
                <w:sz w:val="16"/>
                <w:szCs w:val="16"/>
              </w:rPr>
            </w:pPr>
            <w:r>
              <w:rPr>
                <w:rFonts w:cs="Calibri"/>
                <w:b/>
                <w:color w:val="FFFFFF"/>
                <w:sz w:val="16"/>
                <w:szCs w:val="16"/>
              </w:rPr>
              <w:t>Function name</w:t>
            </w:r>
          </w:p>
        </w:tc>
        <w:tc>
          <w:tcPr>
            <w:tcW w:w="7284" w:type="dxa"/>
            <w:gridSpan w:val="2"/>
            <w:tcBorders>
              <w:top w:val="single" w:sz="4" w:space="0" w:color="auto"/>
              <w:left w:val="single" w:sz="6" w:space="0" w:color="auto"/>
              <w:bottom w:val="single" w:sz="6" w:space="0" w:color="auto"/>
              <w:right w:val="single" w:sz="4" w:space="0" w:color="auto"/>
            </w:tcBorders>
            <w:shd w:val="clear" w:color="auto" w:fill="C00000"/>
            <w:vAlign w:val="center"/>
            <w:hideMark/>
          </w:tcPr>
          <w:p w14:paraId="79AE20D6" w14:textId="77777777" w:rsidR="00B97365" w:rsidRDefault="00000000">
            <w:pPr>
              <w:jc w:val="center"/>
              <w:rPr>
                <w:rFonts w:cs="Calibri"/>
                <w:b/>
                <w:color w:val="FFFFFF"/>
                <w:sz w:val="16"/>
                <w:szCs w:val="16"/>
              </w:rPr>
            </w:pPr>
            <w:r>
              <w:rPr>
                <w:rFonts w:cs="Calibri"/>
                <w:b/>
                <w:color w:val="FFFFFF"/>
                <w:sz w:val="16"/>
                <w:szCs w:val="16"/>
              </w:rPr>
              <w:t>Binding Information</w:t>
            </w:r>
          </w:p>
        </w:tc>
      </w:tr>
      <w:tr w:rsidR="00B97365" w14:paraId="31DC172C" w14:textId="77777777">
        <w:trPr>
          <w:trHeight w:val="270"/>
          <w:jc w:val="center"/>
        </w:trPr>
        <w:tc>
          <w:tcPr>
            <w:tcW w:w="1882" w:type="dxa"/>
            <w:vMerge w:val="restart"/>
            <w:tcBorders>
              <w:top w:val="single" w:sz="6" w:space="0" w:color="auto"/>
              <w:left w:val="single" w:sz="4" w:space="0" w:color="auto"/>
              <w:bottom w:val="single" w:sz="6" w:space="0" w:color="auto"/>
              <w:right w:val="single" w:sz="6" w:space="0" w:color="auto"/>
            </w:tcBorders>
            <w:vAlign w:val="center"/>
            <w:hideMark/>
          </w:tcPr>
          <w:p w14:paraId="2081D8B4" w14:textId="77777777" w:rsidR="00B97365" w:rsidRDefault="00000000">
            <w:pPr>
              <w:rPr>
                <w:rFonts w:cs="Calibri"/>
                <w:sz w:val="16"/>
                <w:szCs w:val="16"/>
              </w:rPr>
            </w:pPr>
            <w:r>
              <w:rPr>
                <w:rFonts w:cs="Calibri"/>
                <w:sz w:val="16"/>
                <w:szCs w:val="16"/>
              </w:rPr>
              <w:t>CreateAdditionalKeySet</w:t>
            </w:r>
          </w:p>
        </w:tc>
        <w:tc>
          <w:tcPr>
            <w:tcW w:w="1644" w:type="dxa"/>
            <w:tcBorders>
              <w:top w:val="single" w:sz="6" w:space="0" w:color="auto"/>
              <w:left w:val="single" w:sz="6" w:space="0" w:color="auto"/>
              <w:bottom w:val="single" w:sz="6" w:space="0" w:color="auto"/>
              <w:right w:val="single" w:sz="6" w:space="0" w:color="auto"/>
            </w:tcBorders>
            <w:vAlign w:val="center"/>
            <w:hideMark/>
          </w:tcPr>
          <w:p w14:paraId="30633294" w14:textId="77777777" w:rsidR="00B97365" w:rsidRDefault="00000000">
            <w:pPr>
              <w:spacing w:after="120" w:line="276" w:lineRule="auto"/>
              <w:rPr>
                <w:rFonts w:cs="Calibri"/>
                <w:b/>
                <w:sz w:val="16"/>
                <w:szCs w:val="16"/>
              </w:rPr>
            </w:pPr>
            <w:r>
              <w:rPr>
                <w:rFonts w:cs="Calibri"/>
                <w:b/>
                <w:sz w:val="16"/>
                <w:szCs w:val="16"/>
              </w:rPr>
              <w:t>MEP</w:t>
            </w:r>
          </w:p>
        </w:tc>
        <w:tc>
          <w:tcPr>
            <w:tcW w:w="5640" w:type="dxa"/>
            <w:tcBorders>
              <w:top w:val="single" w:sz="6" w:space="0" w:color="auto"/>
              <w:left w:val="single" w:sz="6" w:space="0" w:color="auto"/>
              <w:bottom w:val="single" w:sz="6" w:space="0" w:color="auto"/>
              <w:right w:val="single" w:sz="4" w:space="0" w:color="auto"/>
            </w:tcBorders>
            <w:vAlign w:val="center"/>
            <w:hideMark/>
          </w:tcPr>
          <w:p w14:paraId="689832A7" w14:textId="77777777" w:rsidR="00B97365" w:rsidRDefault="00000000">
            <w:pPr>
              <w:spacing w:after="120" w:line="276" w:lineRule="auto"/>
              <w:rPr>
                <w:rFonts w:cs="Calibri"/>
                <w:sz w:val="16"/>
                <w:szCs w:val="16"/>
              </w:rPr>
            </w:pPr>
            <w:r>
              <w:rPr>
                <w:rFonts w:cs="Calibri"/>
                <w:sz w:val="16"/>
                <w:szCs w:val="16"/>
              </w:rPr>
              <w:t>Asynchronous Request-Response with CallBack</w:t>
            </w:r>
          </w:p>
        </w:tc>
      </w:tr>
      <w:tr w:rsidR="00B97365" w14:paraId="7EA15E30" w14:textId="77777777">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71B90A" w14:textId="77777777" w:rsidR="00B97365" w:rsidRDefault="00B97365">
            <w:pPr>
              <w:spacing w:before="0"/>
              <w:jc w:val="left"/>
              <w:rPr>
                <w:rFonts w:cs="Calibri"/>
                <w:sz w:val="16"/>
                <w:szCs w:val="16"/>
              </w:rPr>
            </w:pPr>
          </w:p>
        </w:tc>
        <w:tc>
          <w:tcPr>
            <w:tcW w:w="1644" w:type="dxa"/>
            <w:tcBorders>
              <w:top w:val="single" w:sz="6" w:space="0" w:color="auto"/>
              <w:left w:val="single" w:sz="6" w:space="0" w:color="auto"/>
              <w:bottom w:val="single" w:sz="6" w:space="0" w:color="auto"/>
              <w:right w:val="single" w:sz="6" w:space="0" w:color="auto"/>
            </w:tcBorders>
            <w:vAlign w:val="center"/>
            <w:hideMark/>
          </w:tcPr>
          <w:p w14:paraId="1CD4AE78"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5640" w:type="dxa"/>
            <w:tcBorders>
              <w:top w:val="single" w:sz="6" w:space="0" w:color="auto"/>
              <w:left w:val="single" w:sz="6" w:space="0" w:color="auto"/>
              <w:bottom w:val="single" w:sz="6" w:space="0" w:color="auto"/>
              <w:right w:val="single" w:sz="4" w:space="0" w:color="auto"/>
            </w:tcBorders>
            <w:vAlign w:val="center"/>
            <w:hideMark/>
          </w:tcPr>
          <w:p w14:paraId="2635F269" w14:textId="77777777" w:rsidR="00B97365" w:rsidRDefault="00000000">
            <w:pPr>
              <w:spacing w:after="120" w:line="276" w:lineRule="auto"/>
              <w:rPr>
                <w:rFonts w:cs="Calibri"/>
                <w:sz w:val="16"/>
                <w:szCs w:val="16"/>
              </w:rPr>
            </w:pPr>
            <w:hyperlink r:id="rId158" w:history="1">
              <w:r>
                <w:rPr>
                  <w:rFonts w:cs="Calibri"/>
                  <w:color w:val="0000FF"/>
                  <w:sz w:val="16"/>
                  <w:szCs w:val="16"/>
                  <w:u w:val="single"/>
                </w:rPr>
                <w:t>http://gsma.com/ES7/eUICCManagement/ES7-CreateAdditionalKeySet</w:t>
              </w:r>
            </w:hyperlink>
          </w:p>
        </w:tc>
      </w:tr>
      <w:tr w:rsidR="00B97365" w14:paraId="5B172DE8" w14:textId="77777777">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A7528C" w14:textId="77777777" w:rsidR="00B97365" w:rsidRDefault="00B97365">
            <w:pPr>
              <w:spacing w:before="0"/>
              <w:jc w:val="left"/>
              <w:rPr>
                <w:rFonts w:cs="Calibri"/>
                <w:sz w:val="16"/>
                <w:szCs w:val="16"/>
              </w:rPr>
            </w:pPr>
          </w:p>
        </w:tc>
        <w:tc>
          <w:tcPr>
            <w:tcW w:w="1644" w:type="dxa"/>
            <w:tcBorders>
              <w:top w:val="single" w:sz="6" w:space="0" w:color="auto"/>
              <w:left w:val="single" w:sz="6" w:space="0" w:color="auto"/>
              <w:bottom w:val="single" w:sz="6" w:space="0" w:color="auto"/>
              <w:right w:val="single" w:sz="6" w:space="0" w:color="auto"/>
            </w:tcBorders>
            <w:vAlign w:val="center"/>
            <w:hideMark/>
          </w:tcPr>
          <w:p w14:paraId="2116891F" w14:textId="77777777" w:rsidR="00B97365" w:rsidRDefault="00000000">
            <w:pPr>
              <w:spacing w:after="120" w:line="276" w:lineRule="auto"/>
              <w:rPr>
                <w:rFonts w:cs="Arial"/>
                <w:b/>
                <w:sz w:val="16"/>
                <w:szCs w:val="16"/>
              </w:rPr>
            </w:pPr>
            <w:r>
              <w:rPr>
                <w:rFonts w:cs="Arial"/>
                <w:b/>
                <w:sz w:val="16"/>
                <w:szCs w:val="16"/>
              </w:rPr>
              <w:t>/wsa:Action Response</w:t>
            </w:r>
          </w:p>
        </w:tc>
        <w:tc>
          <w:tcPr>
            <w:tcW w:w="5640" w:type="dxa"/>
            <w:tcBorders>
              <w:top w:val="single" w:sz="6" w:space="0" w:color="auto"/>
              <w:left w:val="single" w:sz="6" w:space="0" w:color="auto"/>
              <w:bottom w:val="single" w:sz="6" w:space="0" w:color="auto"/>
              <w:right w:val="single" w:sz="4" w:space="0" w:color="auto"/>
            </w:tcBorders>
            <w:vAlign w:val="center"/>
            <w:hideMark/>
          </w:tcPr>
          <w:p w14:paraId="78972FF1" w14:textId="77777777" w:rsidR="00B97365" w:rsidRDefault="00000000">
            <w:pPr>
              <w:spacing w:after="120" w:line="276" w:lineRule="auto"/>
              <w:rPr>
                <w:rFonts w:cs="Calibri"/>
                <w:sz w:val="16"/>
                <w:szCs w:val="16"/>
              </w:rPr>
            </w:pPr>
            <w:r>
              <w:rPr>
                <w:rFonts w:cs="Calibri"/>
                <w:sz w:val="16"/>
                <w:szCs w:val="16"/>
              </w:rPr>
              <w:t>http://gsma.com/ES7/eUICCManagementCallBack/ES7-CreateAdditionalKeySet</w:t>
            </w:r>
          </w:p>
        </w:tc>
      </w:tr>
      <w:tr w:rsidR="00B97365" w14:paraId="6AED1B71" w14:textId="77777777">
        <w:trPr>
          <w:trHeight w:val="270"/>
          <w:jc w:val="center"/>
        </w:trPr>
        <w:tc>
          <w:tcPr>
            <w:tcW w:w="1882" w:type="dxa"/>
            <w:vMerge w:val="restart"/>
            <w:tcBorders>
              <w:top w:val="single" w:sz="6" w:space="0" w:color="auto"/>
              <w:left w:val="single" w:sz="4" w:space="0" w:color="auto"/>
              <w:bottom w:val="single" w:sz="6" w:space="0" w:color="auto"/>
              <w:right w:val="single" w:sz="6" w:space="0" w:color="auto"/>
            </w:tcBorders>
            <w:vAlign w:val="center"/>
            <w:hideMark/>
          </w:tcPr>
          <w:p w14:paraId="2348F2C7" w14:textId="77777777" w:rsidR="00B97365" w:rsidRDefault="00000000">
            <w:pPr>
              <w:spacing w:after="120" w:line="276" w:lineRule="auto"/>
              <w:rPr>
                <w:rFonts w:cs="Calibri"/>
                <w:sz w:val="16"/>
                <w:szCs w:val="16"/>
              </w:rPr>
            </w:pPr>
            <w:r>
              <w:rPr>
                <w:rFonts w:cs="Calibri"/>
                <w:sz w:val="16"/>
                <w:szCs w:val="16"/>
              </w:rPr>
              <w:t>HandoverEUICC</w:t>
            </w:r>
          </w:p>
        </w:tc>
        <w:tc>
          <w:tcPr>
            <w:tcW w:w="1644" w:type="dxa"/>
            <w:tcBorders>
              <w:top w:val="single" w:sz="6" w:space="0" w:color="auto"/>
              <w:left w:val="single" w:sz="6" w:space="0" w:color="auto"/>
              <w:bottom w:val="single" w:sz="6" w:space="0" w:color="auto"/>
              <w:right w:val="single" w:sz="6" w:space="0" w:color="auto"/>
            </w:tcBorders>
            <w:vAlign w:val="center"/>
            <w:hideMark/>
          </w:tcPr>
          <w:p w14:paraId="4096796F" w14:textId="77777777" w:rsidR="00B97365" w:rsidRDefault="00000000">
            <w:pPr>
              <w:spacing w:after="120" w:line="276" w:lineRule="auto"/>
              <w:rPr>
                <w:rFonts w:cs="Calibri"/>
                <w:b/>
                <w:sz w:val="16"/>
                <w:szCs w:val="16"/>
              </w:rPr>
            </w:pPr>
            <w:r>
              <w:rPr>
                <w:rFonts w:cs="Calibri"/>
                <w:b/>
                <w:sz w:val="16"/>
                <w:szCs w:val="16"/>
              </w:rPr>
              <w:t>MEP</w:t>
            </w:r>
          </w:p>
        </w:tc>
        <w:tc>
          <w:tcPr>
            <w:tcW w:w="5640" w:type="dxa"/>
            <w:tcBorders>
              <w:top w:val="single" w:sz="6" w:space="0" w:color="auto"/>
              <w:left w:val="single" w:sz="6" w:space="0" w:color="auto"/>
              <w:bottom w:val="single" w:sz="6" w:space="0" w:color="auto"/>
              <w:right w:val="single" w:sz="4" w:space="0" w:color="auto"/>
            </w:tcBorders>
            <w:vAlign w:val="center"/>
            <w:hideMark/>
          </w:tcPr>
          <w:p w14:paraId="67BD798E" w14:textId="77777777" w:rsidR="00B97365" w:rsidRDefault="00000000">
            <w:pPr>
              <w:spacing w:after="120" w:line="276" w:lineRule="auto"/>
              <w:rPr>
                <w:rFonts w:cs="Calibri"/>
                <w:sz w:val="16"/>
                <w:szCs w:val="16"/>
              </w:rPr>
            </w:pPr>
            <w:r>
              <w:rPr>
                <w:rFonts w:cs="Calibri"/>
                <w:sz w:val="16"/>
                <w:szCs w:val="16"/>
              </w:rPr>
              <w:t>Asynchronous Request-Response with CallBack</w:t>
            </w:r>
          </w:p>
        </w:tc>
      </w:tr>
      <w:tr w:rsidR="00B97365" w14:paraId="3668404D" w14:textId="77777777">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542BC9B" w14:textId="77777777" w:rsidR="00B97365" w:rsidRDefault="00B97365">
            <w:pPr>
              <w:spacing w:before="0"/>
              <w:jc w:val="left"/>
              <w:rPr>
                <w:rFonts w:cs="Calibri"/>
                <w:sz w:val="16"/>
                <w:szCs w:val="16"/>
              </w:rPr>
            </w:pPr>
          </w:p>
        </w:tc>
        <w:tc>
          <w:tcPr>
            <w:tcW w:w="1644" w:type="dxa"/>
            <w:tcBorders>
              <w:top w:val="single" w:sz="6" w:space="0" w:color="auto"/>
              <w:left w:val="single" w:sz="6" w:space="0" w:color="auto"/>
              <w:bottom w:val="single" w:sz="6" w:space="0" w:color="auto"/>
              <w:right w:val="single" w:sz="6" w:space="0" w:color="auto"/>
            </w:tcBorders>
            <w:vAlign w:val="center"/>
            <w:hideMark/>
          </w:tcPr>
          <w:p w14:paraId="0C4A5835"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5640" w:type="dxa"/>
            <w:tcBorders>
              <w:top w:val="single" w:sz="6" w:space="0" w:color="auto"/>
              <w:left w:val="single" w:sz="6" w:space="0" w:color="auto"/>
              <w:bottom w:val="single" w:sz="6" w:space="0" w:color="auto"/>
              <w:right w:val="single" w:sz="4" w:space="0" w:color="auto"/>
            </w:tcBorders>
            <w:vAlign w:val="center"/>
            <w:hideMark/>
          </w:tcPr>
          <w:p w14:paraId="1B26B130" w14:textId="77777777" w:rsidR="00B97365" w:rsidRDefault="00000000">
            <w:pPr>
              <w:spacing w:after="120" w:line="276" w:lineRule="auto"/>
              <w:rPr>
                <w:rFonts w:cs="Calibri"/>
                <w:sz w:val="16"/>
                <w:szCs w:val="16"/>
              </w:rPr>
            </w:pPr>
            <w:hyperlink r:id="rId159" w:history="1">
              <w:r>
                <w:rPr>
                  <w:rFonts w:cs="Calibri"/>
                  <w:color w:val="0000FF"/>
                  <w:sz w:val="16"/>
                  <w:szCs w:val="16"/>
                  <w:u w:val="single"/>
                </w:rPr>
                <w:t>http://gsma.com/ES7/eUICCManagement/ES7-HandoverEUICC</w:t>
              </w:r>
            </w:hyperlink>
          </w:p>
        </w:tc>
      </w:tr>
      <w:tr w:rsidR="00B97365" w14:paraId="125BBB96" w14:textId="77777777">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7796D9" w14:textId="77777777" w:rsidR="00B97365" w:rsidRDefault="00B97365">
            <w:pPr>
              <w:spacing w:before="0"/>
              <w:jc w:val="left"/>
              <w:rPr>
                <w:rFonts w:cs="Calibri"/>
                <w:sz w:val="16"/>
                <w:szCs w:val="16"/>
              </w:rPr>
            </w:pPr>
          </w:p>
        </w:tc>
        <w:tc>
          <w:tcPr>
            <w:tcW w:w="1644" w:type="dxa"/>
            <w:tcBorders>
              <w:top w:val="single" w:sz="6" w:space="0" w:color="auto"/>
              <w:left w:val="single" w:sz="6" w:space="0" w:color="auto"/>
              <w:bottom w:val="single" w:sz="6" w:space="0" w:color="auto"/>
              <w:right w:val="single" w:sz="6" w:space="0" w:color="auto"/>
            </w:tcBorders>
            <w:vAlign w:val="center"/>
            <w:hideMark/>
          </w:tcPr>
          <w:p w14:paraId="7EE2EA9B" w14:textId="77777777" w:rsidR="00B97365" w:rsidRDefault="00000000">
            <w:pPr>
              <w:spacing w:after="120" w:line="276" w:lineRule="auto"/>
              <w:rPr>
                <w:rFonts w:cs="Arial"/>
                <w:b/>
                <w:sz w:val="16"/>
                <w:szCs w:val="16"/>
              </w:rPr>
            </w:pPr>
            <w:r>
              <w:rPr>
                <w:rFonts w:cs="Arial"/>
                <w:b/>
                <w:sz w:val="16"/>
                <w:szCs w:val="16"/>
              </w:rPr>
              <w:t>/wsa:Action Response</w:t>
            </w:r>
          </w:p>
        </w:tc>
        <w:tc>
          <w:tcPr>
            <w:tcW w:w="5640" w:type="dxa"/>
            <w:tcBorders>
              <w:top w:val="single" w:sz="6" w:space="0" w:color="auto"/>
              <w:left w:val="single" w:sz="6" w:space="0" w:color="auto"/>
              <w:bottom w:val="single" w:sz="6" w:space="0" w:color="auto"/>
              <w:right w:val="single" w:sz="4" w:space="0" w:color="auto"/>
            </w:tcBorders>
            <w:vAlign w:val="center"/>
            <w:hideMark/>
          </w:tcPr>
          <w:p w14:paraId="624F2C1A" w14:textId="77777777" w:rsidR="00B97365" w:rsidRDefault="00000000">
            <w:pPr>
              <w:spacing w:after="120" w:line="276" w:lineRule="auto"/>
              <w:rPr>
                <w:rFonts w:cs="Calibri"/>
                <w:sz w:val="16"/>
                <w:szCs w:val="16"/>
              </w:rPr>
            </w:pPr>
            <w:r>
              <w:rPr>
                <w:rFonts w:cs="Calibri"/>
                <w:sz w:val="16"/>
                <w:szCs w:val="16"/>
              </w:rPr>
              <w:t>http://gsma.com/ES7/eUICCManagementCallBack/ES7-HandoverEUICC</w:t>
            </w:r>
          </w:p>
        </w:tc>
      </w:tr>
      <w:tr w:rsidR="00B97365" w14:paraId="05B5F1C6" w14:textId="77777777">
        <w:trPr>
          <w:trHeight w:val="270"/>
          <w:jc w:val="center"/>
        </w:trPr>
        <w:tc>
          <w:tcPr>
            <w:tcW w:w="1882" w:type="dxa"/>
            <w:vMerge w:val="restart"/>
            <w:tcBorders>
              <w:top w:val="single" w:sz="6" w:space="0" w:color="auto"/>
              <w:left w:val="single" w:sz="4" w:space="0" w:color="auto"/>
              <w:bottom w:val="single" w:sz="4" w:space="0" w:color="auto"/>
              <w:right w:val="single" w:sz="6" w:space="0" w:color="auto"/>
            </w:tcBorders>
            <w:vAlign w:val="center"/>
            <w:hideMark/>
          </w:tcPr>
          <w:p w14:paraId="643830AC" w14:textId="77777777" w:rsidR="00B97365" w:rsidRDefault="00000000">
            <w:pPr>
              <w:spacing w:after="120" w:line="276" w:lineRule="auto"/>
              <w:rPr>
                <w:rFonts w:cs="Calibri"/>
                <w:sz w:val="16"/>
                <w:szCs w:val="16"/>
              </w:rPr>
            </w:pPr>
            <w:r>
              <w:rPr>
                <w:rFonts w:cs="Calibri"/>
                <w:sz w:val="16"/>
                <w:szCs w:val="16"/>
              </w:rPr>
              <w:t>AuthenticateSMSR</w:t>
            </w:r>
          </w:p>
        </w:tc>
        <w:tc>
          <w:tcPr>
            <w:tcW w:w="1644" w:type="dxa"/>
            <w:tcBorders>
              <w:top w:val="single" w:sz="6" w:space="0" w:color="auto"/>
              <w:left w:val="single" w:sz="6" w:space="0" w:color="auto"/>
              <w:bottom w:val="single" w:sz="6" w:space="0" w:color="auto"/>
              <w:right w:val="single" w:sz="6" w:space="0" w:color="auto"/>
            </w:tcBorders>
            <w:vAlign w:val="center"/>
            <w:hideMark/>
          </w:tcPr>
          <w:p w14:paraId="5AB025C0" w14:textId="77777777" w:rsidR="00B97365" w:rsidRDefault="00000000">
            <w:pPr>
              <w:spacing w:after="120" w:line="276" w:lineRule="auto"/>
              <w:rPr>
                <w:rFonts w:cs="Calibri"/>
                <w:b/>
                <w:sz w:val="16"/>
                <w:szCs w:val="16"/>
              </w:rPr>
            </w:pPr>
            <w:r>
              <w:rPr>
                <w:rFonts w:cs="Calibri"/>
                <w:b/>
                <w:sz w:val="16"/>
                <w:szCs w:val="16"/>
              </w:rPr>
              <w:t>MEP</w:t>
            </w:r>
          </w:p>
        </w:tc>
        <w:tc>
          <w:tcPr>
            <w:tcW w:w="5640" w:type="dxa"/>
            <w:tcBorders>
              <w:top w:val="single" w:sz="6" w:space="0" w:color="auto"/>
              <w:left w:val="single" w:sz="6" w:space="0" w:color="auto"/>
              <w:bottom w:val="single" w:sz="6" w:space="0" w:color="auto"/>
              <w:right w:val="single" w:sz="4" w:space="0" w:color="auto"/>
            </w:tcBorders>
            <w:vAlign w:val="center"/>
            <w:hideMark/>
          </w:tcPr>
          <w:p w14:paraId="32A52CD7" w14:textId="77777777" w:rsidR="00B97365" w:rsidRDefault="00000000">
            <w:pPr>
              <w:spacing w:after="120" w:line="276" w:lineRule="auto"/>
              <w:rPr>
                <w:rFonts w:cs="Calibri"/>
                <w:sz w:val="16"/>
                <w:szCs w:val="16"/>
              </w:rPr>
            </w:pPr>
            <w:r>
              <w:rPr>
                <w:rFonts w:cs="Calibri"/>
                <w:sz w:val="16"/>
                <w:szCs w:val="16"/>
              </w:rPr>
              <w:t>Asynchronous Request-Response with CallBack</w:t>
            </w:r>
          </w:p>
        </w:tc>
      </w:tr>
      <w:tr w:rsidR="00B97365" w14:paraId="3495BC87" w14:textId="77777777">
        <w:trPr>
          <w:trHeight w:val="270"/>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3008FF37" w14:textId="77777777" w:rsidR="00B97365" w:rsidRDefault="00B97365">
            <w:pPr>
              <w:spacing w:before="0"/>
              <w:jc w:val="left"/>
              <w:rPr>
                <w:rFonts w:cs="Calibri"/>
                <w:sz w:val="16"/>
                <w:szCs w:val="16"/>
              </w:rPr>
            </w:pPr>
          </w:p>
        </w:tc>
        <w:tc>
          <w:tcPr>
            <w:tcW w:w="1644" w:type="dxa"/>
            <w:tcBorders>
              <w:top w:val="single" w:sz="6" w:space="0" w:color="auto"/>
              <w:left w:val="single" w:sz="6" w:space="0" w:color="auto"/>
              <w:bottom w:val="single" w:sz="6" w:space="0" w:color="auto"/>
              <w:right w:val="single" w:sz="6" w:space="0" w:color="auto"/>
            </w:tcBorders>
            <w:vAlign w:val="center"/>
            <w:hideMark/>
          </w:tcPr>
          <w:p w14:paraId="6433A2FE" w14:textId="77777777" w:rsidR="00B97365" w:rsidRDefault="00000000">
            <w:pPr>
              <w:spacing w:after="120" w:line="276" w:lineRule="auto"/>
              <w:rPr>
                <w:rFonts w:cs="Arial"/>
                <w:b/>
                <w:sz w:val="16"/>
                <w:szCs w:val="16"/>
              </w:rPr>
            </w:pPr>
            <w:r>
              <w:rPr>
                <w:rFonts w:cs="Arial"/>
                <w:b/>
                <w:sz w:val="16"/>
                <w:szCs w:val="16"/>
              </w:rPr>
              <w:t>/wsa:Action Request</w:t>
            </w:r>
          </w:p>
        </w:tc>
        <w:tc>
          <w:tcPr>
            <w:tcW w:w="5640" w:type="dxa"/>
            <w:tcBorders>
              <w:top w:val="single" w:sz="6" w:space="0" w:color="auto"/>
              <w:left w:val="single" w:sz="6" w:space="0" w:color="auto"/>
              <w:bottom w:val="single" w:sz="6" w:space="0" w:color="auto"/>
              <w:right w:val="single" w:sz="4" w:space="0" w:color="auto"/>
            </w:tcBorders>
            <w:vAlign w:val="center"/>
            <w:hideMark/>
          </w:tcPr>
          <w:p w14:paraId="2C00C517" w14:textId="77777777" w:rsidR="00B97365" w:rsidRDefault="00000000">
            <w:pPr>
              <w:spacing w:after="120" w:line="276" w:lineRule="auto"/>
              <w:rPr>
                <w:rFonts w:cs="Calibri"/>
                <w:sz w:val="16"/>
                <w:szCs w:val="16"/>
              </w:rPr>
            </w:pPr>
            <w:hyperlink r:id="rId160" w:history="1">
              <w:r>
                <w:rPr>
                  <w:rFonts w:cs="Calibri"/>
                  <w:color w:val="0000FF"/>
                  <w:sz w:val="16"/>
                  <w:szCs w:val="16"/>
                  <w:u w:val="single"/>
                </w:rPr>
                <w:t>http://gsma.com/ES7/eUICCManagement/ES7-AuthenticateSMSR</w:t>
              </w:r>
            </w:hyperlink>
          </w:p>
        </w:tc>
      </w:tr>
      <w:tr w:rsidR="00B97365" w14:paraId="00011596" w14:textId="77777777">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F6E5138" w14:textId="77777777" w:rsidR="00B97365" w:rsidRDefault="00B97365">
            <w:pPr>
              <w:spacing w:before="0"/>
              <w:jc w:val="left"/>
              <w:rPr>
                <w:rFonts w:cs="Calibri"/>
                <w:sz w:val="16"/>
                <w:szCs w:val="16"/>
              </w:rPr>
            </w:pPr>
          </w:p>
        </w:tc>
        <w:tc>
          <w:tcPr>
            <w:tcW w:w="1644" w:type="dxa"/>
            <w:tcBorders>
              <w:top w:val="single" w:sz="6" w:space="0" w:color="auto"/>
              <w:left w:val="single" w:sz="6" w:space="0" w:color="auto"/>
              <w:bottom w:val="single" w:sz="6" w:space="0" w:color="auto"/>
              <w:right w:val="single" w:sz="6" w:space="0" w:color="auto"/>
            </w:tcBorders>
            <w:vAlign w:val="center"/>
            <w:hideMark/>
          </w:tcPr>
          <w:p w14:paraId="762ECACD" w14:textId="77777777" w:rsidR="00B97365" w:rsidRDefault="00000000">
            <w:pPr>
              <w:spacing w:after="120" w:line="276" w:lineRule="auto"/>
              <w:rPr>
                <w:rFonts w:cs="Arial"/>
                <w:b/>
                <w:sz w:val="16"/>
                <w:szCs w:val="16"/>
              </w:rPr>
            </w:pPr>
            <w:r>
              <w:rPr>
                <w:rFonts w:cs="Arial"/>
                <w:b/>
                <w:sz w:val="16"/>
                <w:szCs w:val="16"/>
              </w:rPr>
              <w:t>/wsa:Action Response</w:t>
            </w:r>
          </w:p>
        </w:tc>
        <w:tc>
          <w:tcPr>
            <w:tcW w:w="5640" w:type="dxa"/>
            <w:tcBorders>
              <w:top w:val="single" w:sz="6" w:space="0" w:color="auto"/>
              <w:left w:val="single" w:sz="6" w:space="0" w:color="auto"/>
              <w:bottom w:val="single" w:sz="6" w:space="0" w:color="auto"/>
              <w:right w:val="single" w:sz="4" w:space="0" w:color="auto"/>
            </w:tcBorders>
            <w:vAlign w:val="center"/>
            <w:hideMark/>
          </w:tcPr>
          <w:p w14:paraId="7C27053E" w14:textId="77777777" w:rsidR="00B97365" w:rsidRDefault="00000000">
            <w:pPr>
              <w:spacing w:after="120" w:line="276" w:lineRule="auto"/>
              <w:rPr>
                <w:rFonts w:cs="Calibri"/>
                <w:sz w:val="16"/>
                <w:szCs w:val="16"/>
              </w:rPr>
            </w:pPr>
            <w:r>
              <w:rPr>
                <w:rFonts w:cs="Calibri"/>
                <w:sz w:val="16"/>
                <w:szCs w:val="16"/>
              </w:rPr>
              <w:t>http://gsma.com/ES7/eUICCManagementCallBack/ES7-AuthenticateSMSR</w:t>
            </w:r>
          </w:p>
        </w:tc>
      </w:tr>
    </w:tbl>
    <w:p w14:paraId="44A5CAEC"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xml:space="preserve">: ES7 Function Binding </w:t>
      </w:r>
    </w:p>
    <w:p w14:paraId="276698C1" w14:textId="77777777" w:rsidR="00B97365" w:rsidRDefault="00000000">
      <w:pPr>
        <w:keepNext/>
        <w:keepLines/>
        <w:numPr>
          <w:ilvl w:val="2"/>
          <w:numId w:val="8"/>
        </w:numPr>
        <w:spacing w:before="240" w:after="60" w:line="276" w:lineRule="auto"/>
        <w:jc w:val="left"/>
        <w:outlineLvl w:val="2"/>
        <w:rPr>
          <w:rFonts w:ascii="Arial Bold" w:hAnsi="Arial Bold"/>
          <w:sz w:val="24"/>
          <w:szCs w:val="24"/>
        </w:rPr>
      </w:pPr>
      <w:bookmarkStart w:id="11912" w:name="_Toc1977510"/>
      <w:bookmarkStart w:id="11913" w:name="_Toc37062669"/>
      <w:bookmarkStart w:id="11914" w:name="_Toc88839709"/>
      <w:bookmarkStart w:id="11915" w:name="_Toc121504117"/>
      <w:r>
        <w:rPr>
          <w:rFonts w:ascii="Arial Bold" w:hAnsi="Arial Bold"/>
          <w:sz w:val="24"/>
          <w:szCs w:val="24"/>
        </w:rPr>
        <w:lastRenderedPageBreak/>
        <w:t>ES4A</w:t>
      </w:r>
      <w:bookmarkEnd w:id="11912"/>
      <w:bookmarkEnd w:id="11913"/>
      <w:bookmarkEnd w:id="11914"/>
      <w:bookmarkEnd w:id="1191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5"/>
        <w:gridCol w:w="1418"/>
        <w:gridCol w:w="5173"/>
      </w:tblGrid>
      <w:tr w:rsidR="00B97365" w14:paraId="47ED2703" w14:textId="77777777">
        <w:trPr>
          <w:trHeight w:val="327"/>
          <w:jc w:val="center"/>
        </w:trPr>
        <w:tc>
          <w:tcPr>
            <w:tcW w:w="240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5FEDD5C" w14:textId="77777777" w:rsidR="00B97365" w:rsidRDefault="00000000">
            <w:pPr>
              <w:jc w:val="center"/>
              <w:rPr>
                <w:rFonts w:cs="Arial"/>
                <w:b/>
                <w:color w:val="FFFFFF"/>
                <w:sz w:val="16"/>
                <w:szCs w:val="16"/>
              </w:rPr>
            </w:pPr>
            <w:r>
              <w:rPr>
                <w:rFonts w:cs="Arial"/>
                <w:b/>
                <w:color w:val="FFFFFF"/>
                <w:sz w:val="16"/>
                <w:szCs w:val="16"/>
              </w:rPr>
              <w:t>Function name</w:t>
            </w:r>
          </w:p>
        </w:tc>
        <w:tc>
          <w:tcPr>
            <w:tcW w:w="6591" w:type="dxa"/>
            <w:gridSpan w:val="2"/>
            <w:tcBorders>
              <w:top w:val="single" w:sz="4" w:space="0" w:color="auto"/>
              <w:left w:val="single" w:sz="6" w:space="0" w:color="auto"/>
              <w:bottom w:val="single" w:sz="6" w:space="0" w:color="auto"/>
              <w:right w:val="single" w:sz="4" w:space="0" w:color="auto"/>
            </w:tcBorders>
            <w:shd w:val="clear" w:color="auto" w:fill="C00000"/>
            <w:vAlign w:val="center"/>
            <w:hideMark/>
          </w:tcPr>
          <w:p w14:paraId="3D7EE392" w14:textId="77777777" w:rsidR="00B97365" w:rsidRDefault="00000000">
            <w:pPr>
              <w:jc w:val="center"/>
              <w:rPr>
                <w:rFonts w:cs="Arial"/>
                <w:b/>
                <w:color w:val="FFFFFF"/>
                <w:sz w:val="16"/>
                <w:szCs w:val="16"/>
              </w:rPr>
            </w:pPr>
            <w:r>
              <w:rPr>
                <w:rFonts w:cs="Arial"/>
                <w:b/>
                <w:color w:val="FFFFFF"/>
                <w:sz w:val="16"/>
                <w:szCs w:val="16"/>
              </w:rPr>
              <w:t>Binding Information</w:t>
            </w:r>
          </w:p>
        </w:tc>
      </w:tr>
      <w:tr w:rsidR="00B97365" w14:paraId="4B9191E2" w14:textId="77777777">
        <w:trPr>
          <w:trHeight w:val="270"/>
          <w:jc w:val="center"/>
        </w:trPr>
        <w:tc>
          <w:tcPr>
            <w:tcW w:w="2405" w:type="dxa"/>
            <w:vMerge w:val="restart"/>
            <w:tcBorders>
              <w:top w:val="single" w:sz="6" w:space="0" w:color="auto"/>
              <w:left w:val="single" w:sz="4" w:space="0" w:color="auto"/>
              <w:bottom w:val="single" w:sz="6" w:space="0" w:color="auto"/>
              <w:right w:val="single" w:sz="6" w:space="0" w:color="auto"/>
            </w:tcBorders>
            <w:vAlign w:val="center"/>
            <w:hideMark/>
          </w:tcPr>
          <w:p w14:paraId="6FFE8929" w14:textId="77777777" w:rsidR="00B97365" w:rsidRDefault="00000000">
            <w:pPr>
              <w:rPr>
                <w:rFonts w:cs="Arial"/>
                <w:sz w:val="16"/>
                <w:szCs w:val="16"/>
              </w:rPr>
            </w:pPr>
            <w:r>
              <w:rPr>
                <w:rFonts w:cs="Arial"/>
                <w:sz w:val="16"/>
                <w:szCs w:val="16"/>
                <w:lang w:eastAsia="en-GB" w:bidi="ar-SA"/>
              </w:rPr>
              <w:t>GetONC</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2E0D964" w14:textId="77777777" w:rsidR="00B97365" w:rsidRDefault="00000000">
            <w:pPr>
              <w:spacing w:after="120" w:line="276" w:lineRule="auto"/>
              <w:rPr>
                <w:rFonts w:cs="Arial"/>
                <w:b/>
                <w:sz w:val="16"/>
                <w:szCs w:val="16"/>
              </w:rPr>
            </w:pPr>
            <w:r>
              <w:rPr>
                <w:rFonts w:cs="Arial"/>
                <w:b/>
                <w:sz w:val="16"/>
                <w:szCs w:val="16"/>
              </w:rPr>
              <w:t>MEP</w:t>
            </w:r>
          </w:p>
        </w:tc>
        <w:tc>
          <w:tcPr>
            <w:tcW w:w="5173" w:type="dxa"/>
            <w:tcBorders>
              <w:top w:val="single" w:sz="6" w:space="0" w:color="auto"/>
              <w:left w:val="single" w:sz="6" w:space="0" w:color="auto"/>
              <w:bottom w:val="single" w:sz="6" w:space="0" w:color="auto"/>
              <w:right w:val="single" w:sz="4" w:space="0" w:color="auto"/>
            </w:tcBorders>
            <w:vAlign w:val="center"/>
            <w:hideMark/>
          </w:tcPr>
          <w:p w14:paraId="57008F98" w14:textId="77777777" w:rsidR="00B97365" w:rsidRDefault="00000000">
            <w:pPr>
              <w:spacing w:after="120" w:line="276" w:lineRule="auto"/>
              <w:rPr>
                <w:rFonts w:cs="Arial"/>
                <w:sz w:val="16"/>
                <w:szCs w:val="16"/>
              </w:rPr>
            </w:pPr>
            <w:r>
              <w:rPr>
                <w:rFonts w:cs="Arial"/>
                <w:sz w:val="16"/>
                <w:szCs w:val="16"/>
                <w:lang w:eastAsia="en-GB" w:bidi="ar-SA"/>
              </w:rPr>
              <w:t>Synchronous Request-Response</w:t>
            </w:r>
          </w:p>
        </w:tc>
      </w:tr>
      <w:tr w:rsidR="00B97365" w14:paraId="15E7D23F" w14:textId="77777777">
        <w:trPr>
          <w:trHeight w:val="270"/>
          <w:jc w:val="center"/>
        </w:trPr>
        <w:tc>
          <w:tcPr>
            <w:tcW w:w="2405" w:type="dxa"/>
            <w:vMerge/>
            <w:tcBorders>
              <w:top w:val="single" w:sz="6" w:space="0" w:color="auto"/>
              <w:left w:val="single" w:sz="4" w:space="0" w:color="auto"/>
              <w:bottom w:val="single" w:sz="6" w:space="0" w:color="auto"/>
              <w:right w:val="single" w:sz="6" w:space="0" w:color="auto"/>
            </w:tcBorders>
            <w:vAlign w:val="center"/>
            <w:hideMark/>
          </w:tcPr>
          <w:p w14:paraId="2A9678E0" w14:textId="77777777" w:rsidR="00B97365" w:rsidRDefault="00B97365">
            <w:pPr>
              <w:spacing w:before="0"/>
              <w:jc w:val="left"/>
              <w:rPr>
                <w:rFonts w:cs="Arial"/>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69A7E0D2"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5173" w:type="dxa"/>
            <w:tcBorders>
              <w:top w:val="single" w:sz="6" w:space="0" w:color="auto"/>
              <w:left w:val="single" w:sz="6" w:space="0" w:color="auto"/>
              <w:bottom w:val="single" w:sz="6" w:space="0" w:color="auto"/>
              <w:right w:val="single" w:sz="4" w:space="0" w:color="auto"/>
            </w:tcBorders>
            <w:vAlign w:val="center"/>
            <w:hideMark/>
          </w:tcPr>
          <w:p w14:paraId="6868C203" w14:textId="77777777" w:rsidR="00B97365" w:rsidRDefault="00000000">
            <w:pPr>
              <w:spacing w:after="120" w:line="276" w:lineRule="auto"/>
              <w:rPr>
                <w:rFonts w:cs="Arial"/>
                <w:sz w:val="16"/>
                <w:szCs w:val="16"/>
              </w:rPr>
            </w:pPr>
            <w:r>
              <w:rPr>
                <w:color w:val="0000FF"/>
                <w:sz w:val="16"/>
                <w:szCs w:val="16"/>
                <w:u w:val="single"/>
              </w:rPr>
              <w:t>http://gsma.com/ES4A/ProfileManagement/ES4A-GetONCRequest</w:t>
            </w:r>
          </w:p>
        </w:tc>
      </w:tr>
      <w:tr w:rsidR="00B97365" w14:paraId="513681B8" w14:textId="77777777">
        <w:trPr>
          <w:trHeight w:val="270"/>
          <w:jc w:val="center"/>
        </w:trPr>
        <w:tc>
          <w:tcPr>
            <w:tcW w:w="2405" w:type="dxa"/>
            <w:vMerge/>
            <w:tcBorders>
              <w:top w:val="single" w:sz="6" w:space="0" w:color="auto"/>
              <w:left w:val="single" w:sz="4" w:space="0" w:color="auto"/>
              <w:bottom w:val="single" w:sz="6" w:space="0" w:color="auto"/>
              <w:right w:val="single" w:sz="6" w:space="0" w:color="auto"/>
            </w:tcBorders>
            <w:vAlign w:val="center"/>
            <w:hideMark/>
          </w:tcPr>
          <w:p w14:paraId="7979769A" w14:textId="77777777" w:rsidR="00B97365" w:rsidRDefault="00B97365">
            <w:pPr>
              <w:spacing w:before="0"/>
              <w:jc w:val="left"/>
              <w:rPr>
                <w:rFonts w:cs="Arial"/>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43C7E93B" w14:textId="77777777" w:rsidR="00B97365" w:rsidRDefault="00000000">
            <w:pPr>
              <w:spacing w:after="120" w:line="276" w:lineRule="auto"/>
              <w:rPr>
                <w:rFonts w:cs="Arial"/>
                <w:b/>
                <w:sz w:val="16"/>
                <w:szCs w:val="16"/>
              </w:rPr>
            </w:pPr>
            <w:r>
              <w:rPr>
                <w:rFonts w:cs="Arial"/>
                <w:b/>
                <w:sz w:val="16"/>
                <w:szCs w:val="16"/>
              </w:rPr>
              <w:t>/wsa:Action Response</w:t>
            </w:r>
          </w:p>
        </w:tc>
        <w:tc>
          <w:tcPr>
            <w:tcW w:w="5173" w:type="dxa"/>
            <w:tcBorders>
              <w:top w:val="single" w:sz="6" w:space="0" w:color="auto"/>
              <w:left w:val="single" w:sz="6" w:space="0" w:color="auto"/>
              <w:bottom w:val="single" w:sz="6" w:space="0" w:color="auto"/>
              <w:right w:val="single" w:sz="4" w:space="0" w:color="auto"/>
            </w:tcBorders>
            <w:vAlign w:val="center"/>
            <w:hideMark/>
          </w:tcPr>
          <w:p w14:paraId="674B5CDD" w14:textId="77777777" w:rsidR="00B97365" w:rsidRDefault="00000000">
            <w:pPr>
              <w:spacing w:after="120" w:line="276" w:lineRule="auto"/>
              <w:rPr>
                <w:rFonts w:cs="Arial"/>
                <w:sz w:val="16"/>
                <w:szCs w:val="16"/>
              </w:rPr>
            </w:pPr>
            <w:r>
              <w:rPr>
                <w:color w:val="0000FF"/>
                <w:sz w:val="16"/>
                <w:szCs w:val="16"/>
                <w:u w:val="single"/>
              </w:rPr>
              <w:t>http://gsma.com/ES4A/ProfileManagement/ES4A-GetONCResponse</w:t>
            </w:r>
          </w:p>
        </w:tc>
      </w:tr>
      <w:tr w:rsidR="00B97365" w14:paraId="1E313B94" w14:textId="77777777">
        <w:trPr>
          <w:trHeight w:val="270"/>
          <w:jc w:val="center"/>
        </w:trPr>
        <w:tc>
          <w:tcPr>
            <w:tcW w:w="2405" w:type="dxa"/>
            <w:vMerge w:val="restart"/>
            <w:tcBorders>
              <w:top w:val="single" w:sz="6" w:space="0" w:color="auto"/>
              <w:left w:val="single" w:sz="4" w:space="0" w:color="auto"/>
              <w:bottom w:val="single" w:sz="6" w:space="0" w:color="auto"/>
              <w:right w:val="single" w:sz="6" w:space="0" w:color="auto"/>
            </w:tcBorders>
            <w:vAlign w:val="center"/>
            <w:hideMark/>
          </w:tcPr>
          <w:p w14:paraId="331B5E37" w14:textId="77777777" w:rsidR="00B97365" w:rsidRDefault="00000000">
            <w:pPr>
              <w:spacing w:after="120" w:line="276" w:lineRule="auto"/>
              <w:rPr>
                <w:rFonts w:cs="Arial"/>
                <w:sz w:val="16"/>
                <w:szCs w:val="16"/>
              </w:rPr>
            </w:pPr>
            <w:r>
              <w:rPr>
                <w:rFonts w:cs="Arial"/>
                <w:sz w:val="16"/>
                <w:szCs w:val="16"/>
                <w:lang w:eastAsia="en-GB" w:bidi="ar-SA"/>
              </w:rPr>
              <w:t>SetONC</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BFA2CD0" w14:textId="77777777" w:rsidR="00B97365" w:rsidRDefault="00000000">
            <w:pPr>
              <w:spacing w:after="120" w:line="276" w:lineRule="auto"/>
              <w:rPr>
                <w:rFonts w:cs="Arial"/>
                <w:b/>
                <w:sz w:val="16"/>
                <w:szCs w:val="16"/>
              </w:rPr>
            </w:pPr>
            <w:r>
              <w:rPr>
                <w:rFonts w:cs="Arial"/>
                <w:b/>
                <w:sz w:val="16"/>
                <w:szCs w:val="16"/>
              </w:rPr>
              <w:t>MEP</w:t>
            </w:r>
          </w:p>
        </w:tc>
        <w:tc>
          <w:tcPr>
            <w:tcW w:w="5173" w:type="dxa"/>
            <w:tcBorders>
              <w:top w:val="single" w:sz="6" w:space="0" w:color="auto"/>
              <w:left w:val="single" w:sz="6" w:space="0" w:color="auto"/>
              <w:bottom w:val="single" w:sz="6" w:space="0" w:color="auto"/>
              <w:right w:val="single" w:sz="4" w:space="0" w:color="auto"/>
            </w:tcBorders>
            <w:vAlign w:val="center"/>
            <w:hideMark/>
          </w:tcPr>
          <w:p w14:paraId="0795F052" w14:textId="77777777" w:rsidR="00B97365" w:rsidRDefault="00000000">
            <w:pPr>
              <w:spacing w:after="120" w:line="276" w:lineRule="auto"/>
              <w:rPr>
                <w:rFonts w:cs="Arial"/>
                <w:sz w:val="16"/>
                <w:szCs w:val="16"/>
              </w:rPr>
            </w:pPr>
            <w:r>
              <w:rPr>
                <w:rFonts w:cs="Arial"/>
                <w:sz w:val="16"/>
                <w:szCs w:val="16"/>
                <w:lang w:eastAsia="en-GB" w:bidi="ar-SA"/>
              </w:rPr>
              <w:t>Synchronous Request-Response</w:t>
            </w:r>
          </w:p>
        </w:tc>
      </w:tr>
      <w:tr w:rsidR="00B97365" w14:paraId="2C314EB1" w14:textId="77777777">
        <w:trPr>
          <w:trHeight w:val="270"/>
          <w:jc w:val="center"/>
        </w:trPr>
        <w:tc>
          <w:tcPr>
            <w:tcW w:w="2405" w:type="dxa"/>
            <w:vMerge/>
            <w:tcBorders>
              <w:top w:val="single" w:sz="6" w:space="0" w:color="auto"/>
              <w:left w:val="single" w:sz="4" w:space="0" w:color="auto"/>
              <w:bottom w:val="single" w:sz="6" w:space="0" w:color="auto"/>
              <w:right w:val="single" w:sz="6" w:space="0" w:color="auto"/>
            </w:tcBorders>
            <w:vAlign w:val="center"/>
            <w:hideMark/>
          </w:tcPr>
          <w:p w14:paraId="61C762AC" w14:textId="77777777" w:rsidR="00B97365" w:rsidRDefault="00B97365">
            <w:pPr>
              <w:spacing w:before="0"/>
              <w:jc w:val="left"/>
              <w:rPr>
                <w:rFonts w:cs="Arial"/>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39214C62"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5173" w:type="dxa"/>
            <w:tcBorders>
              <w:top w:val="single" w:sz="6" w:space="0" w:color="auto"/>
              <w:left w:val="single" w:sz="6" w:space="0" w:color="auto"/>
              <w:bottom w:val="single" w:sz="6" w:space="0" w:color="auto"/>
              <w:right w:val="single" w:sz="4" w:space="0" w:color="auto"/>
            </w:tcBorders>
            <w:vAlign w:val="center"/>
            <w:hideMark/>
          </w:tcPr>
          <w:p w14:paraId="4D7C14A8" w14:textId="77777777" w:rsidR="00B97365" w:rsidRDefault="00000000">
            <w:pPr>
              <w:spacing w:after="120" w:line="276" w:lineRule="auto"/>
              <w:rPr>
                <w:rFonts w:cs="Arial"/>
                <w:sz w:val="16"/>
                <w:szCs w:val="16"/>
              </w:rPr>
            </w:pPr>
            <w:r>
              <w:rPr>
                <w:color w:val="0000FF"/>
                <w:sz w:val="16"/>
                <w:szCs w:val="16"/>
                <w:u w:val="single"/>
              </w:rPr>
              <w:t>http://gsma.com/ES4A/ProfileManagement/ES4A-SetONCRequest</w:t>
            </w:r>
          </w:p>
        </w:tc>
      </w:tr>
      <w:tr w:rsidR="00B97365" w14:paraId="0F1D0F94" w14:textId="77777777">
        <w:trPr>
          <w:trHeight w:val="270"/>
          <w:jc w:val="center"/>
        </w:trPr>
        <w:tc>
          <w:tcPr>
            <w:tcW w:w="2405" w:type="dxa"/>
            <w:vMerge/>
            <w:tcBorders>
              <w:top w:val="single" w:sz="6" w:space="0" w:color="auto"/>
              <w:left w:val="single" w:sz="4" w:space="0" w:color="auto"/>
              <w:bottom w:val="single" w:sz="6" w:space="0" w:color="auto"/>
              <w:right w:val="single" w:sz="6" w:space="0" w:color="auto"/>
            </w:tcBorders>
            <w:vAlign w:val="center"/>
            <w:hideMark/>
          </w:tcPr>
          <w:p w14:paraId="7AA4B816" w14:textId="77777777" w:rsidR="00B97365" w:rsidRDefault="00B97365">
            <w:pPr>
              <w:spacing w:before="0"/>
              <w:jc w:val="left"/>
              <w:rPr>
                <w:rFonts w:cs="Arial"/>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1C371164" w14:textId="77777777" w:rsidR="00B97365" w:rsidRDefault="00000000">
            <w:pPr>
              <w:spacing w:after="120" w:line="276" w:lineRule="auto"/>
              <w:rPr>
                <w:rFonts w:cs="Arial"/>
                <w:b/>
                <w:sz w:val="16"/>
                <w:szCs w:val="16"/>
              </w:rPr>
            </w:pPr>
            <w:r>
              <w:rPr>
                <w:rFonts w:cs="Arial"/>
                <w:b/>
                <w:sz w:val="16"/>
                <w:szCs w:val="16"/>
              </w:rPr>
              <w:t>/wsa:Action Response</w:t>
            </w:r>
          </w:p>
        </w:tc>
        <w:tc>
          <w:tcPr>
            <w:tcW w:w="5173" w:type="dxa"/>
            <w:tcBorders>
              <w:top w:val="single" w:sz="6" w:space="0" w:color="auto"/>
              <w:left w:val="single" w:sz="6" w:space="0" w:color="auto"/>
              <w:bottom w:val="single" w:sz="6" w:space="0" w:color="auto"/>
              <w:right w:val="single" w:sz="4" w:space="0" w:color="auto"/>
            </w:tcBorders>
            <w:vAlign w:val="center"/>
            <w:hideMark/>
          </w:tcPr>
          <w:p w14:paraId="07A2E44D" w14:textId="77777777" w:rsidR="00B97365" w:rsidRDefault="00000000">
            <w:pPr>
              <w:spacing w:after="120" w:line="276" w:lineRule="auto"/>
              <w:rPr>
                <w:rFonts w:cs="Arial"/>
                <w:sz w:val="16"/>
                <w:szCs w:val="16"/>
              </w:rPr>
            </w:pPr>
            <w:r>
              <w:rPr>
                <w:color w:val="0000FF"/>
                <w:sz w:val="16"/>
                <w:szCs w:val="16"/>
                <w:u w:val="single"/>
              </w:rPr>
              <w:t>http://gsma.com/ES4A/ProfileManagement/ES4A-SetONCResponse</w:t>
            </w:r>
          </w:p>
        </w:tc>
      </w:tr>
      <w:tr w:rsidR="00B97365" w14:paraId="333FCA5C" w14:textId="77777777">
        <w:trPr>
          <w:trHeight w:val="270"/>
          <w:jc w:val="center"/>
        </w:trPr>
        <w:tc>
          <w:tcPr>
            <w:tcW w:w="2405" w:type="dxa"/>
            <w:vMerge w:val="restart"/>
            <w:tcBorders>
              <w:top w:val="single" w:sz="6" w:space="0" w:color="auto"/>
              <w:left w:val="single" w:sz="4" w:space="0" w:color="auto"/>
              <w:bottom w:val="single" w:sz="6" w:space="0" w:color="auto"/>
              <w:right w:val="single" w:sz="6" w:space="0" w:color="auto"/>
            </w:tcBorders>
            <w:vAlign w:val="center"/>
            <w:hideMark/>
          </w:tcPr>
          <w:p w14:paraId="68EB5DAE" w14:textId="77777777" w:rsidR="00B97365" w:rsidRDefault="00000000">
            <w:pPr>
              <w:spacing w:after="120" w:line="276" w:lineRule="auto"/>
              <w:rPr>
                <w:rFonts w:cs="Arial"/>
                <w:sz w:val="16"/>
                <w:szCs w:val="16"/>
              </w:rPr>
            </w:pPr>
            <w:r>
              <w:rPr>
                <w:rFonts w:cs="Arial"/>
                <w:sz w:val="16"/>
                <w:szCs w:val="16"/>
                <w:lang w:eastAsia="en-GB" w:bidi="ar-SA"/>
              </w:rPr>
              <w:t>GetPLMA</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875CFE7" w14:textId="77777777" w:rsidR="00B97365" w:rsidRDefault="00000000">
            <w:pPr>
              <w:spacing w:after="120" w:line="276" w:lineRule="auto"/>
              <w:rPr>
                <w:rFonts w:cs="Arial"/>
                <w:b/>
                <w:sz w:val="16"/>
                <w:szCs w:val="16"/>
              </w:rPr>
            </w:pPr>
            <w:r>
              <w:rPr>
                <w:rFonts w:cs="Arial"/>
                <w:b/>
                <w:sz w:val="16"/>
                <w:szCs w:val="16"/>
              </w:rPr>
              <w:t>MEP</w:t>
            </w:r>
          </w:p>
        </w:tc>
        <w:tc>
          <w:tcPr>
            <w:tcW w:w="5173" w:type="dxa"/>
            <w:tcBorders>
              <w:top w:val="single" w:sz="6" w:space="0" w:color="auto"/>
              <w:left w:val="single" w:sz="6" w:space="0" w:color="auto"/>
              <w:bottom w:val="single" w:sz="6" w:space="0" w:color="auto"/>
              <w:right w:val="single" w:sz="4" w:space="0" w:color="auto"/>
            </w:tcBorders>
            <w:vAlign w:val="center"/>
            <w:hideMark/>
          </w:tcPr>
          <w:p w14:paraId="4AB595C7" w14:textId="77777777" w:rsidR="00B97365" w:rsidRDefault="00000000">
            <w:pPr>
              <w:spacing w:after="120" w:line="276" w:lineRule="auto"/>
              <w:rPr>
                <w:rFonts w:cs="Arial"/>
                <w:sz w:val="16"/>
                <w:szCs w:val="16"/>
              </w:rPr>
            </w:pPr>
            <w:r>
              <w:rPr>
                <w:rFonts w:cs="Arial"/>
                <w:sz w:val="16"/>
                <w:szCs w:val="16"/>
                <w:lang w:eastAsia="en-GB" w:bidi="ar-SA"/>
              </w:rPr>
              <w:t>Synchronous Request-Response</w:t>
            </w:r>
          </w:p>
        </w:tc>
      </w:tr>
      <w:tr w:rsidR="00B97365" w14:paraId="12F454E1" w14:textId="77777777">
        <w:trPr>
          <w:trHeight w:val="270"/>
          <w:jc w:val="center"/>
        </w:trPr>
        <w:tc>
          <w:tcPr>
            <w:tcW w:w="2405" w:type="dxa"/>
            <w:vMerge/>
            <w:tcBorders>
              <w:top w:val="single" w:sz="6" w:space="0" w:color="auto"/>
              <w:left w:val="single" w:sz="4" w:space="0" w:color="auto"/>
              <w:bottom w:val="single" w:sz="6" w:space="0" w:color="auto"/>
              <w:right w:val="single" w:sz="6" w:space="0" w:color="auto"/>
            </w:tcBorders>
            <w:vAlign w:val="center"/>
            <w:hideMark/>
          </w:tcPr>
          <w:p w14:paraId="314307CF" w14:textId="77777777" w:rsidR="00B97365" w:rsidRDefault="00B97365">
            <w:pPr>
              <w:spacing w:before="0"/>
              <w:jc w:val="left"/>
              <w:rPr>
                <w:rFonts w:cs="Arial"/>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738F689D"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5173" w:type="dxa"/>
            <w:tcBorders>
              <w:top w:val="single" w:sz="6" w:space="0" w:color="auto"/>
              <w:left w:val="single" w:sz="6" w:space="0" w:color="auto"/>
              <w:bottom w:val="single" w:sz="6" w:space="0" w:color="auto"/>
              <w:right w:val="single" w:sz="4" w:space="0" w:color="auto"/>
            </w:tcBorders>
            <w:vAlign w:val="center"/>
            <w:hideMark/>
          </w:tcPr>
          <w:p w14:paraId="5FAD35C3" w14:textId="77777777" w:rsidR="00B97365" w:rsidRDefault="00000000">
            <w:pPr>
              <w:spacing w:after="120" w:line="276" w:lineRule="auto"/>
              <w:rPr>
                <w:rFonts w:cs="Arial"/>
                <w:sz w:val="16"/>
                <w:szCs w:val="16"/>
              </w:rPr>
            </w:pPr>
            <w:r>
              <w:rPr>
                <w:color w:val="0000FF"/>
                <w:sz w:val="16"/>
                <w:szCs w:val="16"/>
                <w:u w:val="single"/>
              </w:rPr>
              <w:t>http://gsma.com/ES4A/ProfileManagement/ES4A-GetPLMARequest</w:t>
            </w:r>
          </w:p>
        </w:tc>
      </w:tr>
      <w:tr w:rsidR="00B97365" w14:paraId="6E4517A7" w14:textId="77777777">
        <w:trPr>
          <w:trHeight w:val="270"/>
          <w:jc w:val="center"/>
        </w:trPr>
        <w:tc>
          <w:tcPr>
            <w:tcW w:w="2405" w:type="dxa"/>
            <w:vMerge/>
            <w:tcBorders>
              <w:top w:val="single" w:sz="6" w:space="0" w:color="auto"/>
              <w:left w:val="single" w:sz="4" w:space="0" w:color="auto"/>
              <w:bottom w:val="single" w:sz="6" w:space="0" w:color="auto"/>
              <w:right w:val="single" w:sz="6" w:space="0" w:color="auto"/>
            </w:tcBorders>
            <w:vAlign w:val="center"/>
            <w:hideMark/>
          </w:tcPr>
          <w:p w14:paraId="426909D0" w14:textId="77777777" w:rsidR="00B97365" w:rsidRDefault="00B97365">
            <w:pPr>
              <w:spacing w:before="0"/>
              <w:jc w:val="left"/>
              <w:rPr>
                <w:rFonts w:cs="Arial"/>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52AA54BE" w14:textId="77777777" w:rsidR="00B97365" w:rsidRDefault="00000000">
            <w:pPr>
              <w:spacing w:after="120" w:line="276" w:lineRule="auto"/>
              <w:rPr>
                <w:rFonts w:cs="Arial"/>
                <w:b/>
                <w:sz w:val="16"/>
                <w:szCs w:val="16"/>
              </w:rPr>
            </w:pPr>
            <w:r>
              <w:rPr>
                <w:rFonts w:cs="Arial"/>
                <w:b/>
                <w:sz w:val="16"/>
                <w:szCs w:val="16"/>
              </w:rPr>
              <w:t>/wsa:Action Response</w:t>
            </w:r>
          </w:p>
        </w:tc>
        <w:tc>
          <w:tcPr>
            <w:tcW w:w="5173" w:type="dxa"/>
            <w:tcBorders>
              <w:top w:val="single" w:sz="6" w:space="0" w:color="auto"/>
              <w:left w:val="single" w:sz="6" w:space="0" w:color="auto"/>
              <w:bottom w:val="single" w:sz="6" w:space="0" w:color="auto"/>
              <w:right w:val="single" w:sz="4" w:space="0" w:color="auto"/>
            </w:tcBorders>
            <w:vAlign w:val="center"/>
            <w:hideMark/>
          </w:tcPr>
          <w:p w14:paraId="6B81D13E" w14:textId="77777777" w:rsidR="00B97365" w:rsidRDefault="00000000">
            <w:pPr>
              <w:spacing w:after="120" w:line="276" w:lineRule="auto"/>
              <w:rPr>
                <w:rFonts w:cs="Arial"/>
                <w:sz w:val="16"/>
                <w:szCs w:val="16"/>
              </w:rPr>
            </w:pPr>
            <w:r>
              <w:rPr>
                <w:color w:val="0000FF"/>
                <w:sz w:val="16"/>
                <w:szCs w:val="16"/>
                <w:u w:val="single"/>
              </w:rPr>
              <w:t>http://gsma.com/ES4A/ProfileManagement/ES4A-GetPLMAResponse</w:t>
            </w:r>
          </w:p>
        </w:tc>
      </w:tr>
      <w:tr w:rsidR="00B97365" w14:paraId="21302B96" w14:textId="77777777">
        <w:trPr>
          <w:trHeight w:val="270"/>
          <w:jc w:val="center"/>
        </w:trPr>
        <w:tc>
          <w:tcPr>
            <w:tcW w:w="2405" w:type="dxa"/>
            <w:vMerge w:val="restart"/>
            <w:tcBorders>
              <w:top w:val="single" w:sz="6" w:space="0" w:color="auto"/>
              <w:left w:val="single" w:sz="4" w:space="0" w:color="auto"/>
              <w:bottom w:val="single" w:sz="6" w:space="0" w:color="auto"/>
              <w:right w:val="single" w:sz="6" w:space="0" w:color="auto"/>
            </w:tcBorders>
            <w:vAlign w:val="center"/>
            <w:hideMark/>
          </w:tcPr>
          <w:p w14:paraId="6BA963AB" w14:textId="77777777" w:rsidR="00B97365" w:rsidRDefault="00000000">
            <w:pPr>
              <w:spacing w:after="120" w:line="276" w:lineRule="auto"/>
              <w:rPr>
                <w:rFonts w:cs="Arial"/>
                <w:sz w:val="16"/>
                <w:szCs w:val="16"/>
              </w:rPr>
            </w:pPr>
            <w:r>
              <w:rPr>
                <w:rFonts w:cs="Arial"/>
                <w:sz w:val="16"/>
                <w:szCs w:val="16"/>
                <w:lang w:eastAsia="en-GB" w:bidi="ar-SA"/>
              </w:rPr>
              <w:t>SetPLMA</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C6176A7" w14:textId="77777777" w:rsidR="00B97365" w:rsidRDefault="00000000">
            <w:pPr>
              <w:spacing w:after="120" w:line="276" w:lineRule="auto"/>
              <w:rPr>
                <w:rFonts w:cs="Arial"/>
                <w:b/>
                <w:sz w:val="16"/>
                <w:szCs w:val="16"/>
              </w:rPr>
            </w:pPr>
            <w:r>
              <w:rPr>
                <w:rFonts w:cs="Arial"/>
                <w:b/>
                <w:sz w:val="16"/>
                <w:szCs w:val="16"/>
              </w:rPr>
              <w:t>MEP</w:t>
            </w:r>
          </w:p>
        </w:tc>
        <w:tc>
          <w:tcPr>
            <w:tcW w:w="5173" w:type="dxa"/>
            <w:tcBorders>
              <w:top w:val="single" w:sz="6" w:space="0" w:color="auto"/>
              <w:left w:val="single" w:sz="6" w:space="0" w:color="auto"/>
              <w:bottom w:val="single" w:sz="6" w:space="0" w:color="auto"/>
              <w:right w:val="single" w:sz="4" w:space="0" w:color="auto"/>
            </w:tcBorders>
            <w:vAlign w:val="center"/>
            <w:hideMark/>
          </w:tcPr>
          <w:p w14:paraId="2211D54A" w14:textId="77777777" w:rsidR="00B97365" w:rsidRDefault="00000000">
            <w:pPr>
              <w:spacing w:after="120" w:line="276" w:lineRule="auto"/>
              <w:rPr>
                <w:rFonts w:cs="Arial"/>
                <w:sz w:val="16"/>
                <w:szCs w:val="16"/>
              </w:rPr>
            </w:pPr>
            <w:r>
              <w:rPr>
                <w:rFonts w:cs="Arial"/>
                <w:sz w:val="16"/>
                <w:szCs w:val="16"/>
                <w:lang w:eastAsia="en-GB" w:bidi="ar-SA"/>
              </w:rPr>
              <w:t>Synchronous Request-Response</w:t>
            </w:r>
          </w:p>
        </w:tc>
      </w:tr>
      <w:tr w:rsidR="00B97365" w14:paraId="677C3EE9" w14:textId="77777777">
        <w:trPr>
          <w:trHeight w:val="270"/>
          <w:jc w:val="center"/>
        </w:trPr>
        <w:tc>
          <w:tcPr>
            <w:tcW w:w="2405" w:type="dxa"/>
            <w:vMerge/>
            <w:tcBorders>
              <w:top w:val="single" w:sz="6" w:space="0" w:color="auto"/>
              <w:left w:val="single" w:sz="4" w:space="0" w:color="auto"/>
              <w:bottom w:val="single" w:sz="6" w:space="0" w:color="auto"/>
              <w:right w:val="single" w:sz="6" w:space="0" w:color="auto"/>
            </w:tcBorders>
            <w:vAlign w:val="center"/>
            <w:hideMark/>
          </w:tcPr>
          <w:p w14:paraId="5004D9B5" w14:textId="77777777" w:rsidR="00B97365" w:rsidRDefault="00B97365">
            <w:pPr>
              <w:spacing w:before="0"/>
              <w:jc w:val="left"/>
              <w:rPr>
                <w:rFonts w:cs="Arial"/>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6520C1C7" w14:textId="77777777" w:rsidR="00B97365" w:rsidRDefault="00000000">
            <w:pPr>
              <w:spacing w:after="120" w:line="276" w:lineRule="auto"/>
              <w:rPr>
                <w:rFonts w:cs="Arial"/>
                <w:b/>
                <w:color w:val="FF0000"/>
                <w:sz w:val="16"/>
                <w:szCs w:val="16"/>
              </w:rPr>
            </w:pPr>
            <w:r>
              <w:rPr>
                <w:rFonts w:cs="Arial"/>
                <w:b/>
                <w:sz w:val="16"/>
                <w:szCs w:val="16"/>
              </w:rPr>
              <w:t>/wsa:Action  Request</w:t>
            </w:r>
          </w:p>
        </w:tc>
        <w:tc>
          <w:tcPr>
            <w:tcW w:w="5173" w:type="dxa"/>
            <w:tcBorders>
              <w:top w:val="single" w:sz="6" w:space="0" w:color="auto"/>
              <w:left w:val="single" w:sz="6" w:space="0" w:color="auto"/>
              <w:bottom w:val="single" w:sz="6" w:space="0" w:color="auto"/>
              <w:right w:val="single" w:sz="4" w:space="0" w:color="auto"/>
            </w:tcBorders>
            <w:vAlign w:val="center"/>
            <w:hideMark/>
          </w:tcPr>
          <w:p w14:paraId="34B6E502" w14:textId="77777777" w:rsidR="00B97365" w:rsidRDefault="00000000">
            <w:pPr>
              <w:spacing w:after="120" w:line="276" w:lineRule="auto"/>
              <w:rPr>
                <w:rFonts w:cs="Arial"/>
                <w:sz w:val="16"/>
                <w:szCs w:val="16"/>
              </w:rPr>
            </w:pPr>
            <w:r>
              <w:rPr>
                <w:color w:val="0000FF"/>
                <w:sz w:val="16"/>
                <w:szCs w:val="16"/>
                <w:u w:val="single"/>
              </w:rPr>
              <w:t>http://gsma.com/ES4A/ProfileManagement/ES4A-SetPLMARequest</w:t>
            </w:r>
          </w:p>
        </w:tc>
      </w:tr>
      <w:tr w:rsidR="00B97365" w14:paraId="71FE5AAD" w14:textId="77777777">
        <w:trPr>
          <w:trHeight w:val="270"/>
          <w:jc w:val="center"/>
        </w:trPr>
        <w:tc>
          <w:tcPr>
            <w:tcW w:w="2405" w:type="dxa"/>
            <w:vMerge/>
            <w:tcBorders>
              <w:top w:val="single" w:sz="6" w:space="0" w:color="auto"/>
              <w:left w:val="single" w:sz="4" w:space="0" w:color="auto"/>
              <w:bottom w:val="single" w:sz="6" w:space="0" w:color="auto"/>
              <w:right w:val="single" w:sz="6" w:space="0" w:color="auto"/>
            </w:tcBorders>
            <w:vAlign w:val="center"/>
            <w:hideMark/>
          </w:tcPr>
          <w:p w14:paraId="248671E6" w14:textId="77777777" w:rsidR="00B97365" w:rsidRDefault="00B97365">
            <w:pPr>
              <w:spacing w:before="0"/>
              <w:jc w:val="left"/>
              <w:rPr>
                <w:rFonts w:cs="Arial"/>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54CC44B1" w14:textId="77777777" w:rsidR="00B97365" w:rsidRDefault="00000000">
            <w:pPr>
              <w:spacing w:after="120" w:line="276" w:lineRule="auto"/>
              <w:rPr>
                <w:rFonts w:cs="Arial"/>
                <w:b/>
                <w:sz w:val="16"/>
                <w:szCs w:val="16"/>
              </w:rPr>
            </w:pPr>
            <w:r>
              <w:rPr>
                <w:rFonts w:cs="Arial"/>
                <w:b/>
                <w:sz w:val="16"/>
                <w:szCs w:val="16"/>
              </w:rPr>
              <w:t>/wsa:Action Response</w:t>
            </w:r>
          </w:p>
        </w:tc>
        <w:tc>
          <w:tcPr>
            <w:tcW w:w="5173" w:type="dxa"/>
            <w:tcBorders>
              <w:top w:val="single" w:sz="6" w:space="0" w:color="auto"/>
              <w:left w:val="single" w:sz="6" w:space="0" w:color="auto"/>
              <w:bottom w:val="single" w:sz="6" w:space="0" w:color="auto"/>
              <w:right w:val="single" w:sz="4" w:space="0" w:color="auto"/>
            </w:tcBorders>
            <w:vAlign w:val="center"/>
            <w:hideMark/>
          </w:tcPr>
          <w:p w14:paraId="3B7426B9" w14:textId="77777777" w:rsidR="00B97365" w:rsidRDefault="00000000">
            <w:pPr>
              <w:spacing w:after="120" w:line="276" w:lineRule="auto"/>
              <w:rPr>
                <w:rFonts w:cs="Arial"/>
                <w:sz w:val="16"/>
                <w:szCs w:val="16"/>
              </w:rPr>
            </w:pPr>
            <w:r>
              <w:rPr>
                <w:color w:val="0000FF"/>
                <w:sz w:val="16"/>
                <w:szCs w:val="16"/>
                <w:u w:val="single"/>
              </w:rPr>
              <w:t>http://gsma.com/ES4A/ProfileManagement/ES4A-SetPLMAResponse</w:t>
            </w:r>
          </w:p>
        </w:tc>
      </w:tr>
    </w:tbl>
    <w:p w14:paraId="45E98606"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B37: ES4A Functions Binding</w:t>
      </w:r>
    </w:p>
    <w:p w14:paraId="2AC772AA"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rPr>
      </w:pPr>
      <w:bookmarkStart w:id="11916" w:name="_Toc448998374"/>
      <w:bookmarkStart w:id="11917" w:name="_Toc422150944"/>
      <w:bookmarkStart w:id="11918" w:name="_Toc421874529"/>
      <w:bookmarkStart w:id="11919" w:name="_Toc486332991"/>
      <w:bookmarkStart w:id="11920" w:name="_Toc1977511"/>
      <w:bookmarkStart w:id="11921" w:name="_Toc37062670"/>
      <w:bookmarkStart w:id="11922" w:name="_Toc88839710"/>
      <w:bookmarkStart w:id="11923" w:name="_Toc121504118"/>
      <w:r>
        <w:rPr>
          <w:rFonts w:ascii="Arial Bold" w:hAnsi="Arial Bold"/>
          <w:b/>
          <w:sz w:val="24"/>
          <w:szCs w:val="24"/>
        </w:rPr>
        <w:t>Web Service Description Language (WSDL)</w:t>
      </w:r>
      <w:bookmarkEnd w:id="11916"/>
      <w:bookmarkEnd w:id="11917"/>
      <w:bookmarkEnd w:id="11918"/>
      <w:bookmarkEnd w:id="11919"/>
      <w:bookmarkEnd w:id="11920"/>
      <w:bookmarkEnd w:id="11921"/>
      <w:bookmarkEnd w:id="11922"/>
      <w:bookmarkEnd w:id="11923"/>
    </w:p>
    <w:p w14:paraId="4086BF78" w14:textId="77777777" w:rsidR="00B97365" w:rsidRDefault="00000000">
      <w:pPr>
        <w:rPr>
          <w:rFonts w:cs="Arial"/>
        </w:rPr>
      </w:pPr>
      <w:r>
        <w:rPr>
          <w:rFonts w:cs="Arial"/>
        </w:rPr>
        <w:t xml:space="preserve">The </w:t>
      </w:r>
      <w:r>
        <w:rPr>
          <w:rFonts w:cs="Arial"/>
          <w:b/>
          <w:bCs/>
        </w:rPr>
        <w:t>Web Services Description Language</w:t>
      </w:r>
      <w:r>
        <w:rPr>
          <w:rFonts w:cs="Arial"/>
        </w:rPr>
        <w:t xml:space="preserve"> (</w:t>
      </w:r>
      <w:r>
        <w:rPr>
          <w:rFonts w:cs="Arial"/>
          <w:b/>
          <w:bCs/>
        </w:rPr>
        <w:t>WSDL</w:t>
      </w:r>
      <w:r>
        <w:rPr>
          <w:rFonts w:cs="Arial"/>
        </w:rPr>
        <w:t>) is an XML-based interface definition language that is used for describing the functionality offered by a web service. It provides a machine-readable description of how the service can be called, what parameters it expects, and what data structures it returns.</w:t>
      </w:r>
    </w:p>
    <w:p w14:paraId="0C6C4506" w14:textId="77777777" w:rsidR="00B97365" w:rsidRDefault="00B97365">
      <w:pPr>
        <w:spacing w:before="0" w:after="200" w:line="276" w:lineRule="auto"/>
        <w:jc w:val="left"/>
        <w:rPr>
          <w:rFonts w:cs="Arial"/>
          <w:szCs w:val="22"/>
          <w:lang w:eastAsia="en-US" w:bidi="ar-SA"/>
        </w:rPr>
      </w:pPr>
    </w:p>
    <w:p w14:paraId="30A0B645" w14:textId="77777777" w:rsidR="00B97365" w:rsidRDefault="00000000">
      <w:pPr>
        <w:spacing w:before="0" w:after="200" w:line="276" w:lineRule="auto"/>
        <w:jc w:val="left"/>
        <w:rPr>
          <w:szCs w:val="22"/>
          <w:lang w:eastAsia="en-US" w:bidi="ar-SA"/>
        </w:rPr>
      </w:pPr>
      <w:r>
        <w:rPr>
          <w:rFonts w:cs="Arial"/>
          <w:szCs w:val="22"/>
          <w:lang w:eastAsia="en-US"/>
        </w:rPr>
        <w:t>WSDL files are provided within the SGP.02 v4.0 WSDL.ZIP package.</w:t>
      </w:r>
    </w:p>
    <w:p w14:paraId="207D4CA9" w14:textId="77777777" w:rsidR="00B97365" w:rsidRDefault="00000000">
      <w:pPr>
        <w:spacing w:before="0" w:after="200" w:line="276" w:lineRule="auto"/>
        <w:jc w:val="left"/>
        <w:rPr>
          <w:szCs w:val="22"/>
          <w:lang w:eastAsia="en-US" w:bidi="ar-SA"/>
        </w:rPr>
      </w:pPr>
      <w:r>
        <w:rPr>
          <w:rFonts w:cs="Arial"/>
          <w:szCs w:val="22"/>
          <w:lang w:eastAsia="en-US"/>
        </w:rPr>
        <w:t>This package is composed of the following WSDL files:</w:t>
      </w:r>
    </w:p>
    <w:p w14:paraId="01F2AFD6"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ES1_SMSR.wsdl</w:t>
      </w:r>
    </w:p>
    <w:p w14:paraId="5650604F"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ES2_MNO.wsdl</w:t>
      </w:r>
    </w:p>
    <w:p w14:paraId="648BA00D"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ES2_SMDP.wsdl</w:t>
      </w:r>
    </w:p>
    <w:p w14:paraId="5B87EC09"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ES3_SMDP.wsdl</w:t>
      </w:r>
    </w:p>
    <w:p w14:paraId="087702E5"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ES3_SMSR.wsdl</w:t>
      </w:r>
    </w:p>
    <w:p w14:paraId="58B6B4B3"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ES4_MNO.wsdl</w:t>
      </w:r>
    </w:p>
    <w:p w14:paraId="743F28FE"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lastRenderedPageBreak/>
        <w:t>ES4_SMSR.wsdl</w:t>
      </w:r>
    </w:p>
    <w:p w14:paraId="36147CAE"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ES4A_SMSR.wsdl</w:t>
      </w:r>
    </w:p>
    <w:p w14:paraId="4AFFE1F9"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ES7_SMSR_Provider.wsdl</w:t>
      </w:r>
    </w:p>
    <w:p w14:paraId="558CE13A"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ES7_SMSR_Requester.wsdl</w:t>
      </w:r>
    </w:p>
    <w:p w14:paraId="18A94AC2" w14:textId="77777777" w:rsidR="00B97365" w:rsidRDefault="00000000">
      <w:pPr>
        <w:spacing w:before="0" w:after="160" w:line="276" w:lineRule="auto"/>
        <w:ind w:left="360"/>
        <w:jc w:val="left"/>
        <w:rPr>
          <w:szCs w:val="22"/>
          <w:lang w:eastAsia="en-US"/>
        </w:rPr>
      </w:pPr>
      <w:r>
        <w:rPr>
          <w:szCs w:val="22"/>
          <w:lang w:eastAsia="en-US" w:bidi="ar-SA"/>
        </w:rPr>
        <w:t xml:space="preserve">These WDSL files reference XML schemafiles (.xsd), which are also provided within the </w:t>
      </w:r>
      <w:r>
        <w:rPr>
          <w:rFonts w:cs="Arial"/>
          <w:szCs w:val="22"/>
          <w:lang w:eastAsia="en-US"/>
        </w:rPr>
        <w:t>SGP.02 v4.0 WSDL.ZIP package.</w:t>
      </w:r>
    </w:p>
    <w:p w14:paraId="31A5C267" w14:textId="04064C78" w:rsidR="00B97365" w:rsidRDefault="00000000">
      <w:pPr>
        <w:spacing w:before="0" w:after="160" w:line="276" w:lineRule="auto"/>
        <w:ind w:left="360"/>
        <w:jc w:val="left"/>
        <w:rPr>
          <w:szCs w:val="22"/>
          <w:lang w:eastAsia="en-US" w:bidi="ar-SA"/>
        </w:rPr>
      </w:pPr>
      <w:r>
        <w:rPr>
          <w:szCs w:val="22"/>
          <w:lang w:eastAsia="en-US" w:bidi="ar-SA"/>
        </w:rPr>
        <w:t xml:space="preserve">These WSDL files define a version of Web Services API that does not leverage WS-Security. In case the Function requester and Function provider agree on using WS-Security, the WSDL files SHALL be modified by the addition of elements specifying the WS-Security options agreed as per section </w:t>
      </w:r>
      <w:r>
        <w:rPr>
          <w:szCs w:val="22"/>
          <w:lang w:eastAsia="en-US" w:bidi="ar-SA"/>
        </w:rPr>
        <w:fldChar w:fldCharType="begin"/>
      </w:r>
      <w:r>
        <w:rPr>
          <w:szCs w:val="22"/>
          <w:lang w:eastAsia="en-US" w:bidi="ar-SA"/>
        </w:rPr>
        <w:instrText xml:space="preserve"> REF _Ref483262920 \r \h </w:instrText>
      </w:r>
      <w:r>
        <w:rPr>
          <w:szCs w:val="22"/>
          <w:lang w:eastAsia="en-US" w:bidi="ar-SA"/>
        </w:rPr>
      </w:r>
      <w:r>
        <w:rPr>
          <w:szCs w:val="22"/>
          <w:lang w:eastAsia="en-US" w:bidi="ar-SA"/>
        </w:rPr>
        <w:fldChar w:fldCharType="separate"/>
      </w:r>
      <w:r w:rsidR="001D5AD9">
        <w:rPr>
          <w:szCs w:val="22"/>
          <w:lang w:eastAsia="en-US" w:bidi="ar-SA"/>
        </w:rPr>
        <w:t>B.2.2</w:t>
      </w:r>
      <w:r>
        <w:rPr>
          <w:szCs w:val="22"/>
          <w:lang w:eastAsia="en-US" w:bidi="ar-SA"/>
        </w:rPr>
        <w:fldChar w:fldCharType="end"/>
      </w:r>
      <w:r>
        <w:rPr>
          <w:szCs w:val="22"/>
          <w:lang w:eastAsia="en-US" w:bidi="ar-SA"/>
        </w:rPr>
        <w:t>.</w:t>
      </w:r>
    </w:p>
    <w:p w14:paraId="3F1FBFA9" w14:textId="77777777" w:rsidR="00B97365" w:rsidRDefault="00B97365">
      <w:pPr>
        <w:spacing w:before="0" w:after="160" w:line="276" w:lineRule="auto"/>
        <w:ind w:left="714"/>
        <w:jc w:val="left"/>
        <w:rPr>
          <w:rFonts w:cs="Arial"/>
          <w:szCs w:val="22"/>
          <w:lang w:eastAsia="en-US" w:bidi="ar-SA"/>
        </w:rPr>
      </w:pPr>
    </w:p>
    <w:p w14:paraId="400892DB" w14:textId="77777777" w:rsidR="00B97365" w:rsidRDefault="00000000">
      <w:pPr>
        <w:keepNext/>
        <w:keepLines/>
        <w:numPr>
          <w:ilvl w:val="0"/>
          <w:numId w:val="36"/>
        </w:numPr>
        <w:spacing w:before="360" w:after="60" w:line="276" w:lineRule="auto"/>
        <w:jc w:val="left"/>
        <w:outlineLvl w:val="0"/>
        <w:rPr>
          <w:b/>
          <w:sz w:val="28"/>
          <w:lang w:eastAsia="en-US"/>
        </w:rPr>
      </w:pPr>
      <w:bookmarkStart w:id="11924" w:name="_Toc448998375"/>
      <w:bookmarkStart w:id="11925" w:name="_Toc422150945"/>
      <w:bookmarkStart w:id="11926" w:name="_Toc421874530"/>
      <w:bookmarkStart w:id="11927" w:name="_Toc420595126"/>
      <w:bookmarkStart w:id="11928" w:name="_Toc398215100"/>
      <w:bookmarkStart w:id="11929" w:name="_Toc375158516"/>
      <w:bookmarkStart w:id="11930" w:name="_Toc374348678"/>
      <w:bookmarkStart w:id="11931" w:name="_Toc368932522"/>
      <w:bookmarkStart w:id="11932" w:name="_Toc486332992"/>
      <w:bookmarkStart w:id="11933" w:name="_Toc1977512"/>
      <w:bookmarkStart w:id="11934" w:name="_Toc37062671"/>
      <w:bookmarkStart w:id="11935" w:name="_Toc88839711"/>
      <w:bookmarkStart w:id="11936" w:name="_Toc121504119"/>
      <w:r>
        <w:rPr>
          <w:b/>
          <w:sz w:val="28"/>
          <w:lang w:eastAsia="en-US"/>
        </w:rPr>
        <w:t>Use of GlobalPlatform Privileges</w:t>
      </w:r>
      <w:bookmarkEnd w:id="11924"/>
      <w:bookmarkEnd w:id="11925"/>
      <w:bookmarkEnd w:id="11926"/>
      <w:bookmarkEnd w:id="11927"/>
      <w:bookmarkEnd w:id="11928"/>
      <w:bookmarkEnd w:id="11929"/>
      <w:bookmarkEnd w:id="11930"/>
      <w:bookmarkEnd w:id="11931"/>
      <w:bookmarkEnd w:id="11932"/>
      <w:r>
        <w:rPr>
          <w:b/>
          <w:sz w:val="28"/>
          <w:lang w:eastAsia="en-US"/>
        </w:rPr>
        <w:t xml:space="preserve"> (Normative)</w:t>
      </w:r>
      <w:bookmarkEnd w:id="11933"/>
      <w:bookmarkEnd w:id="11934"/>
      <w:bookmarkEnd w:id="11935"/>
      <w:bookmarkEnd w:id="11936"/>
    </w:p>
    <w:p w14:paraId="23F6BAF2" w14:textId="77777777" w:rsidR="00B97365" w:rsidRDefault="00000000">
      <w:pPr>
        <w:spacing w:before="0" w:after="200" w:line="276" w:lineRule="auto"/>
        <w:jc w:val="left"/>
        <w:rPr>
          <w:rFonts w:cs="Calibri"/>
        </w:rPr>
      </w:pPr>
      <w:r>
        <w:rPr>
          <w:rFonts w:cs="Arial"/>
          <w:szCs w:val="22"/>
          <w:lang w:val="en-US" w:eastAsia="en-GB" w:bidi="ar-SA"/>
        </w:rPr>
        <w:t>GlobalPlatform defines the following privileges: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81"/>
        <w:gridCol w:w="1716"/>
        <w:gridCol w:w="6119"/>
      </w:tblGrid>
      <w:tr w:rsidR="00B97365" w14:paraId="19F8B26E" w14:textId="77777777">
        <w:trPr>
          <w:trHeight w:val="276"/>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4B6E9228" w14:textId="77777777" w:rsidR="00B97365" w:rsidRDefault="00000000">
            <w:pPr>
              <w:autoSpaceDE w:val="0"/>
              <w:autoSpaceDN w:val="0"/>
              <w:adjustRightInd w:val="0"/>
              <w:spacing w:line="276" w:lineRule="auto"/>
              <w:jc w:val="center"/>
              <w:rPr>
                <w:rFonts w:eastAsia="MS Mincho" w:cs="Arial"/>
                <w:color w:val="FFFFFF"/>
                <w:sz w:val="16"/>
                <w:szCs w:val="16"/>
                <w:lang w:eastAsia="ja-JP" w:bidi="ar-SA"/>
              </w:rPr>
            </w:pPr>
            <w:r>
              <w:rPr>
                <w:rFonts w:eastAsia="MS Mincho" w:cs="Arial"/>
                <w:b/>
                <w:bCs/>
                <w:color w:val="FFFFFF"/>
                <w:sz w:val="16"/>
                <w:szCs w:val="16"/>
                <w:lang w:eastAsia="ja-JP" w:bidi="ar-SA"/>
              </w:rPr>
              <w:t>Privilege Number</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6BE9E3DE" w14:textId="77777777" w:rsidR="00B97365" w:rsidRDefault="00000000">
            <w:pPr>
              <w:autoSpaceDE w:val="0"/>
              <w:autoSpaceDN w:val="0"/>
              <w:adjustRightInd w:val="0"/>
              <w:spacing w:line="276" w:lineRule="auto"/>
              <w:jc w:val="center"/>
              <w:rPr>
                <w:rFonts w:eastAsia="MS Mincho" w:cs="Arial"/>
                <w:color w:val="FFFFFF"/>
                <w:sz w:val="16"/>
                <w:szCs w:val="16"/>
                <w:lang w:eastAsia="ja-JP" w:bidi="ar-SA"/>
              </w:rPr>
            </w:pPr>
            <w:r>
              <w:rPr>
                <w:rFonts w:eastAsia="MS Mincho" w:cs="Arial"/>
                <w:b/>
                <w:bCs/>
                <w:color w:val="FFFFFF"/>
                <w:sz w:val="16"/>
                <w:szCs w:val="16"/>
                <w:lang w:eastAsia="ja-JP" w:bidi="ar-SA"/>
              </w:rPr>
              <w:t>Privilege</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06D7A59A" w14:textId="77777777" w:rsidR="00B97365" w:rsidRDefault="00000000">
            <w:pPr>
              <w:autoSpaceDE w:val="0"/>
              <w:autoSpaceDN w:val="0"/>
              <w:adjustRightInd w:val="0"/>
              <w:spacing w:line="276" w:lineRule="auto"/>
              <w:jc w:val="center"/>
              <w:rPr>
                <w:rFonts w:eastAsia="MS Mincho" w:cs="Arial"/>
                <w:color w:val="FFFFFF"/>
                <w:sz w:val="16"/>
                <w:szCs w:val="16"/>
                <w:lang w:eastAsia="ja-JP" w:bidi="ar-SA"/>
              </w:rPr>
            </w:pPr>
            <w:r>
              <w:rPr>
                <w:rFonts w:eastAsia="MS Mincho" w:cs="Arial"/>
                <w:b/>
                <w:bCs/>
                <w:color w:val="FFFFFF"/>
                <w:sz w:val="16"/>
                <w:szCs w:val="16"/>
                <w:lang w:eastAsia="ja-JP" w:bidi="ar-SA"/>
              </w:rPr>
              <w:t>Description</w:t>
            </w:r>
          </w:p>
        </w:tc>
      </w:tr>
      <w:tr w:rsidR="00B97365" w14:paraId="37D5E539" w14:textId="77777777">
        <w:trPr>
          <w:trHeight w:val="260"/>
          <w:jc w:val="center"/>
        </w:trPr>
        <w:tc>
          <w:tcPr>
            <w:tcW w:w="0" w:type="auto"/>
            <w:tcBorders>
              <w:top w:val="single" w:sz="6" w:space="0" w:color="auto"/>
              <w:left w:val="single" w:sz="4" w:space="0" w:color="auto"/>
              <w:bottom w:val="single" w:sz="6" w:space="0" w:color="auto"/>
              <w:right w:val="single" w:sz="6" w:space="0" w:color="auto"/>
            </w:tcBorders>
            <w:hideMark/>
          </w:tcPr>
          <w:p w14:paraId="74E1E340" w14:textId="77777777" w:rsidR="00B97365" w:rsidRDefault="00000000">
            <w:pPr>
              <w:autoSpaceDE w:val="0"/>
              <w:autoSpaceDN w:val="0"/>
              <w:adjustRightInd w:val="0"/>
              <w:spacing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0</w:t>
            </w:r>
          </w:p>
        </w:tc>
        <w:tc>
          <w:tcPr>
            <w:tcW w:w="0" w:type="auto"/>
            <w:tcBorders>
              <w:top w:val="single" w:sz="6" w:space="0" w:color="auto"/>
              <w:left w:val="single" w:sz="6" w:space="0" w:color="auto"/>
              <w:bottom w:val="single" w:sz="6" w:space="0" w:color="auto"/>
              <w:right w:val="single" w:sz="6" w:space="0" w:color="auto"/>
            </w:tcBorders>
            <w:hideMark/>
          </w:tcPr>
          <w:p w14:paraId="18D7FE6C"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Security Domain </w:t>
            </w:r>
          </w:p>
        </w:tc>
        <w:tc>
          <w:tcPr>
            <w:tcW w:w="0" w:type="auto"/>
            <w:tcBorders>
              <w:top w:val="single" w:sz="6" w:space="0" w:color="auto"/>
              <w:left w:val="single" w:sz="6" w:space="0" w:color="auto"/>
              <w:bottom w:val="single" w:sz="6" w:space="0" w:color="auto"/>
              <w:right w:val="single" w:sz="4" w:space="0" w:color="auto"/>
            </w:tcBorders>
            <w:hideMark/>
          </w:tcPr>
          <w:p w14:paraId="31482590"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a Security Domain. </w:t>
            </w:r>
          </w:p>
        </w:tc>
      </w:tr>
      <w:tr w:rsidR="00B97365" w14:paraId="7BFC536C" w14:textId="77777777">
        <w:trPr>
          <w:trHeight w:val="391"/>
          <w:jc w:val="center"/>
        </w:trPr>
        <w:tc>
          <w:tcPr>
            <w:tcW w:w="0" w:type="auto"/>
            <w:tcBorders>
              <w:top w:val="single" w:sz="6" w:space="0" w:color="auto"/>
              <w:left w:val="single" w:sz="4" w:space="0" w:color="auto"/>
              <w:bottom w:val="single" w:sz="6" w:space="0" w:color="auto"/>
              <w:right w:val="single" w:sz="6" w:space="0" w:color="auto"/>
            </w:tcBorders>
            <w:hideMark/>
          </w:tcPr>
          <w:p w14:paraId="23C7825E"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w:t>
            </w:r>
          </w:p>
        </w:tc>
        <w:tc>
          <w:tcPr>
            <w:tcW w:w="0" w:type="auto"/>
            <w:tcBorders>
              <w:top w:val="single" w:sz="6" w:space="0" w:color="auto"/>
              <w:left w:val="single" w:sz="6" w:space="0" w:color="auto"/>
              <w:bottom w:val="single" w:sz="6" w:space="0" w:color="auto"/>
              <w:right w:val="single" w:sz="6" w:space="0" w:color="auto"/>
            </w:tcBorders>
            <w:hideMark/>
          </w:tcPr>
          <w:p w14:paraId="37E10EA4"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DAP Verification </w:t>
            </w:r>
          </w:p>
        </w:tc>
        <w:tc>
          <w:tcPr>
            <w:tcW w:w="0" w:type="auto"/>
            <w:tcBorders>
              <w:top w:val="single" w:sz="6" w:space="0" w:color="auto"/>
              <w:left w:val="single" w:sz="6" w:space="0" w:color="auto"/>
              <w:bottom w:val="single" w:sz="6" w:space="0" w:color="auto"/>
              <w:right w:val="single" w:sz="4" w:space="0" w:color="auto"/>
            </w:tcBorders>
            <w:hideMark/>
          </w:tcPr>
          <w:p w14:paraId="4FFB6FC9"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capable of verifying a DAP; Security Domain privilege SHALL also be set. </w:t>
            </w:r>
          </w:p>
        </w:tc>
      </w:tr>
      <w:tr w:rsidR="00B97365" w14:paraId="710F2377" w14:textId="77777777">
        <w:trPr>
          <w:trHeight w:val="391"/>
          <w:jc w:val="center"/>
        </w:trPr>
        <w:tc>
          <w:tcPr>
            <w:tcW w:w="0" w:type="auto"/>
            <w:tcBorders>
              <w:top w:val="single" w:sz="6" w:space="0" w:color="auto"/>
              <w:left w:val="single" w:sz="4" w:space="0" w:color="auto"/>
              <w:bottom w:val="single" w:sz="6" w:space="0" w:color="auto"/>
              <w:right w:val="single" w:sz="6" w:space="0" w:color="auto"/>
            </w:tcBorders>
            <w:hideMark/>
          </w:tcPr>
          <w:p w14:paraId="1A195B89"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2</w:t>
            </w:r>
          </w:p>
        </w:tc>
        <w:tc>
          <w:tcPr>
            <w:tcW w:w="0" w:type="auto"/>
            <w:tcBorders>
              <w:top w:val="single" w:sz="6" w:space="0" w:color="auto"/>
              <w:left w:val="single" w:sz="6" w:space="0" w:color="auto"/>
              <w:bottom w:val="single" w:sz="6" w:space="0" w:color="auto"/>
              <w:right w:val="single" w:sz="6" w:space="0" w:color="auto"/>
            </w:tcBorders>
            <w:hideMark/>
          </w:tcPr>
          <w:p w14:paraId="59D94FA4"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Delegated Management </w:t>
            </w:r>
          </w:p>
        </w:tc>
        <w:tc>
          <w:tcPr>
            <w:tcW w:w="0" w:type="auto"/>
            <w:tcBorders>
              <w:top w:val="single" w:sz="6" w:space="0" w:color="auto"/>
              <w:left w:val="single" w:sz="6" w:space="0" w:color="auto"/>
              <w:bottom w:val="single" w:sz="6" w:space="0" w:color="auto"/>
              <w:right w:val="single" w:sz="4" w:space="0" w:color="auto"/>
            </w:tcBorders>
            <w:hideMark/>
          </w:tcPr>
          <w:p w14:paraId="00D11B40"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capable of Delegated Card Content Management: Security Domain privilege SHALL also be set. </w:t>
            </w:r>
          </w:p>
        </w:tc>
      </w:tr>
      <w:tr w:rsidR="00B97365" w14:paraId="394E168D" w14:textId="77777777">
        <w:trPr>
          <w:trHeight w:val="260"/>
          <w:jc w:val="center"/>
        </w:trPr>
        <w:tc>
          <w:tcPr>
            <w:tcW w:w="0" w:type="auto"/>
            <w:tcBorders>
              <w:top w:val="single" w:sz="6" w:space="0" w:color="auto"/>
              <w:left w:val="single" w:sz="4" w:space="0" w:color="auto"/>
              <w:bottom w:val="single" w:sz="6" w:space="0" w:color="auto"/>
              <w:right w:val="single" w:sz="6" w:space="0" w:color="auto"/>
            </w:tcBorders>
            <w:hideMark/>
          </w:tcPr>
          <w:p w14:paraId="6CD0756E"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3</w:t>
            </w:r>
          </w:p>
        </w:tc>
        <w:tc>
          <w:tcPr>
            <w:tcW w:w="0" w:type="auto"/>
            <w:tcBorders>
              <w:top w:val="single" w:sz="6" w:space="0" w:color="auto"/>
              <w:left w:val="single" w:sz="6" w:space="0" w:color="auto"/>
              <w:bottom w:val="single" w:sz="6" w:space="0" w:color="auto"/>
              <w:right w:val="single" w:sz="6" w:space="0" w:color="auto"/>
            </w:tcBorders>
            <w:hideMark/>
          </w:tcPr>
          <w:p w14:paraId="1435E33E"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Card Lock </w:t>
            </w:r>
          </w:p>
        </w:tc>
        <w:tc>
          <w:tcPr>
            <w:tcW w:w="0" w:type="auto"/>
            <w:tcBorders>
              <w:top w:val="single" w:sz="6" w:space="0" w:color="auto"/>
              <w:left w:val="single" w:sz="6" w:space="0" w:color="auto"/>
              <w:bottom w:val="single" w:sz="6" w:space="0" w:color="auto"/>
              <w:right w:val="single" w:sz="4" w:space="0" w:color="auto"/>
            </w:tcBorders>
            <w:hideMark/>
          </w:tcPr>
          <w:p w14:paraId="725B72C0"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has the privilege to lock the card. </w:t>
            </w:r>
          </w:p>
        </w:tc>
      </w:tr>
      <w:tr w:rsidR="00B97365" w14:paraId="6FF76ECF" w14:textId="77777777">
        <w:trPr>
          <w:trHeight w:val="261"/>
          <w:jc w:val="center"/>
        </w:trPr>
        <w:tc>
          <w:tcPr>
            <w:tcW w:w="0" w:type="auto"/>
            <w:tcBorders>
              <w:top w:val="single" w:sz="6" w:space="0" w:color="auto"/>
              <w:left w:val="single" w:sz="4" w:space="0" w:color="auto"/>
              <w:bottom w:val="single" w:sz="6" w:space="0" w:color="auto"/>
              <w:right w:val="single" w:sz="6" w:space="0" w:color="auto"/>
            </w:tcBorders>
            <w:hideMark/>
          </w:tcPr>
          <w:p w14:paraId="03C40128"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4</w:t>
            </w:r>
          </w:p>
        </w:tc>
        <w:tc>
          <w:tcPr>
            <w:tcW w:w="0" w:type="auto"/>
            <w:tcBorders>
              <w:top w:val="single" w:sz="6" w:space="0" w:color="auto"/>
              <w:left w:val="single" w:sz="6" w:space="0" w:color="auto"/>
              <w:bottom w:val="single" w:sz="6" w:space="0" w:color="auto"/>
              <w:right w:val="single" w:sz="6" w:space="0" w:color="auto"/>
            </w:tcBorders>
            <w:hideMark/>
          </w:tcPr>
          <w:p w14:paraId="116D1E85"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Card Terminate </w:t>
            </w:r>
          </w:p>
        </w:tc>
        <w:tc>
          <w:tcPr>
            <w:tcW w:w="0" w:type="auto"/>
            <w:tcBorders>
              <w:top w:val="single" w:sz="6" w:space="0" w:color="auto"/>
              <w:left w:val="single" w:sz="6" w:space="0" w:color="auto"/>
              <w:bottom w:val="single" w:sz="6" w:space="0" w:color="auto"/>
              <w:right w:val="single" w:sz="4" w:space="0" w:color="auto"/>
            </w:tcBorders>
            <w:hideMark/>
          </w:tcPr>
          <w:p w14:paraId="223896A1"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has the privilege to terminate the card. </w:t>
            </w:r>
          </w:p>
        </w:tc>
      </w:tr>
      <w:tr w:rsidR="00B97365" w14:paraId="7AEFA226" w14:textId="77777777">
        <w:trPr>
          <w:trHeight w:val="651"/>
          <w:jc w:val="center"/>
        </w:trPr>
        <w:tc>
          <w:tcPr>
            <w:tcW w:w="0" w:type="auto"/>
            <w:tcBorders>
              <w:top w:val="single" w:sz="6" w:space="0" w:color="auto"/>
              <w:left w:val="single" w:sz="4" w:space="0" w:color="auto"/>
              <w:bottom w:val="single" w:sz="6" w:space="0" w:color="auto"/>
              <w:right w:val="single" w:sz="6" w:space="0" w:color="auto"/>
            </w:tcBorders>
            <w:hideMark/>
          </w:tcPr>
          <w:p w14:paraId="0262F09E"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5</w:t>
            </w:r>
          </w:p>
        </w:tc>
        <w:tc>
          <w:tcPr>
            <w:tcW w:w="0" w:type="auto"/>
            <w:tcBorders>
              <w:top w:val="single" w:sz="6" w:space="0" w:color="auto"/>
              <w:left w:val="single" w:sz="6" w:space="0" w:color="auto"/>
              <w:bottom w:val="single" w:sz="6" w:space="0" w:color="auto"/>
              <w:right w:val="single" w:sz="6" w:space="0" w:color="auto"/>
            </w:tcBorders>
            <w:hideMark/>
          </w:tcPr>
          <w:p w14:paraId="28B582CA"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Card Reset </w:t>
            </w:r>
          </w:p>
        </w:tc>
        <w:tc>
          <w:tcPr>
            <w:tcW w:w="0" w:type="auto"/>
            <w:tcBorders>
              <w:top w:val="single" w:sz="6" w:space="0" w:color="auto"/>
              <w:left w:val="single" w:sz="6" w:space="0" w:color="auto"/>
              <w:bottom w:val="single" w:sz="6" w:space="0" w:color="auto"/>
              <w:right w:val="single" w:sz="4" w:space="0" w:color="auto"/>
            </w:tcBorders>
            <w:hideMark/>
          </w:tcPr>
          <w:p w14:paraId="56674B5D"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has the privilege to modify historical bytes on one or more card interfaces. </w:t>
            </w:r>
          </w:p>
          <w:p w14:paraId="53C3004E" w14:textId="77777777" w:rsidR="00B97365" w:rsidRDefault="00000000">
            <w:pPr>
              <w:autoSpaceDE w:val="0"/>
              <w:autoSpaceDN w:val="0"/>
              <w:adjustRightInd w:val="0"/>
              <w:spacing w:line="276" w:lineRule="auto"/>
              <w:rPr>
                <w:rFonts w:eastAsia="MS Mincho" w:cs="Arial"/>
                <w:color w:val="000000"/>
                <w:sz w:val="16"/>
                <w:szCs w:val="16"/>
                <w:lang w:eastAsia="ja-JP" w:bidi="ar-SA"/>
              </w:rPr>
            </w:pPr>
            <w:r>
              <w:rPr>
                <w:rFonts w:eastAsia="MS Mincho" w:cs="Arial"/>
                <w:color w:val="000000"/>
                <w:sz w:val="16"/>
                <w:szCs w:val="16"/>
                <w:lang w:eastAsia="ja-JP" w:bidi="ar-SA"/>
              </w:rPr>
              <w:t xml:space="preserve">This privilege was previously labelled "Default Selected". </w:t>
            </w:r>
          </w:p>
        </w:tc>
      </w:tr>
      <w:tr w:rsidR="00B97365" w14:paraId="1836424C" w14:textId="77777777">
        <w:trPr>
          <w:trHeight w:val="391"/>
          <w:jc w:val="center"/>
        </w:trPr>
        <w:tc>
          <w:tcPr>
            <w:tcW w:w="0" w:type="auto"/>
            <w:tcBorders>
              <w:top w:val="single" w:sz="6" w:space="0" w:color="auto"/>
              <w:left w:val="single" w:sz="4" w:space="0" w:color="auto"/>
              <w:bottom w:val="single" w:sz="6" w:space="0" w:color="auto"/>
              <w:right w:val="single" w:sz="6" w:space="0" w:color="auto"/>
            </w:tcBorders>
            <w:hideMark/>
          </w:tcPr>
          <w:p w14:paraId="562C88A2"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6</w:t>
            </w:r>
          </w:p>
        </w:tc>
        <w:tc>
          <w:tcPr>
            <w:tcW w:w="0" w:type="auto"/>
            <w:tcBorders>
              <w:top w:val="single" w:sz="6" w:space="0" w:color="auto"/>
              <w:left w:val="single" w:sz="6" w:space="0" w:color="auto"/>
              <w:bottom w:val="single" w:sz="6" w:space="0" w:color="auto"/>
              <w:right w:val="single" w:sz="6" w:space="0" w:color="auto"/>
            </w:tcBorders>
            <w:hideMark/>
          </w:tcPr>
          <w:p w14:paraId="0582A05F"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CVM Management </w:t>
            </w:r>
          </w:p>
        </w:tc>
        <w:tc>
          <w:tcPr>
            <w:tcW w:w="0" w:type="auto"/>
            <w:tcBorders>
              <w:top w:val="single" w:sz="6" w:space="0" w:color="auto"/>
              <w:left w:val="single" w:sz="6" w:space="0" w:color="auto"/>
              <w:bottom w:val="single" w:sz="6" w:space="0" w:color="auto"/>
              <w:right w:val="single" w:sz="4" w:space="0" w:color="auto"/>
            </w:tcBorders>
            <w:hideMark/>
          </w:tcPr>
          <w:p w14:paraId="7F4F171A"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has the privilege to manage a shared CVM of a CVM Application. </w:t>
            </w:r>
          </w:p>
        </w:tc>
      </w:tr>
      <w:tr w:rsidR="00B97365" w14:paraId="4580B28B" w14:textId="77777777">
        <w:trPr>
          <w:trHeight w:val="650"/>
          <w:jc w:val="center"/>
        </w:trPr>
        <w:tc>
          <w:tcPr>
            <w:tcW w:w="0" w:type="auto"/>
            <w:tcBorders>
              <w:top w:val="single" w:sz="6" w:space="0" w:color="auto"/>
              <w:left w:val="single" w:sz="4" w:space="0" w:color="auto"/>
              <w:bottom w:val="single" w:sz="6" w:space="0" w:color="auto"/>
              <w:right w:val="single" w:sz="6" w:space="0" w:color="auto"/>
            </w:tcBorders>
            <w:hideMark/>
          </w:tcPr>
          <w:p w14:paraId="749A2F34"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7</w:t>
            </w:r>
          </w:p>
        </w:tc>
        <w:tc>
          <w:tcPr>
            <w:tcW w:w="0" w:type="auto"/>
            <w:tcBorders>
              <w:top w:val="single" w:sz="6" w:space="0" w:color="auto"/>
              <w:left w:val="single" w:sz="6" w:space="0" w:color="auto"/>
              <w:bottom w:val="single" w:sz="6" w:space="0" w:color="auto"/>
              <w:right w:val="single" w:sz="6" w:space="0" w:color="auto"/>
            </w:tcBorders>
            <w:hideMark/>
          </w:tcPr>
          <w:p w14:paraId="5A11D6AC"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Mandated DAP Verification </w:t>
            </w:r>
          </w:p>
        </w:tc>
        <w:tc>
          <w:tcPr>
            <w:tcW w:w="0" w:type="auto"/>
            <w:tcBorders>
              <w:top w:val="single" w:sz="6" w:space="0" w:color="auto"/>
              <w:left w:val="single" w:sz="6" w:space="0" w:color="auto"/>
              <w:bottom w:val="single" w:sz="6" w:space="0" w:color="auto"/>
              <w:right w:val="single" w:sz="4" w:space="0" w:color="auto"/>
            </w:tcBorders>
            <w:hideMark/>
          </w:tcPr>
          <w:p w14:paraId="79657D31"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capable of and requires the verification of a DAP for all load operations: Security Domain privilege and DAP Verification privilege SHALL also be set. </w:t>
            </w:r>
          </w:p>
        </w:tc>
      </w:tr>
      <w:tr w:rsidR="00B97365" w14:paraId="6C154971" w14:textId="77777777">
        <w:trPr>
          <w:trHeight w:val="261"/>
          <w:jc w:val="center"/>
        </w:trPr>
        <w:tc>
          <w:tcPr>
            <w:tcW w:w="0" w:type="auto"/>
            <w:tcBorders>
              <w:top w:val="single" w:sz="6" w:space="0" w:color="auto"/>
              <w:left w:val="single" w:sz="4" w:space="0" w:color="auto"/>
              <w:bottom w:val="single" w:sz="6" w:space="0" w:color="auto"/>
              <w:right w:val="single" w:sz="6" w:space="0" w:color="auto"/>
            </w:tcBorders>
            <w:hideMark/>
          </w:tcPr>
          <w:p w14:paraId="754E4E24"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8</w:t>
            </w:r>
          </w:p>
        </w:tc>
        <w:tc>
          <w:tcPr>
            <w:tcW w:w="0" w:type="auto"/>
            <w:tcBorders>
              <w:top w:val="single" w:sz="6" w:space="0" w:color="auto"/>
              <w:left w:val="single" w:sz="6" w:space="0" w:color="auto"/>
              <w:bottom w:val="single" w:sz="6" w:space="0" w:color="auto"/>
              <w:right w:val="single" w:sz="6" w:space="0" w:color="auto"/>
            </w:tcBorders>
            <w:hideMark/>
          </w:tcPr>
          <w:p w14:paraId="5818BE80"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Trusted Path </w:t>
            </w:r>
          </w:p>
        </w:tc>
        <w:tc>
          <w:tcPr>
            <w:tcW w:w="0" w:type="auto"/>
            <w:tcBorders>
              <w:top w:val="single" w:sz="6" w:space="0" w:color="auto"/>
              <w:left w:val="single" w:sz="6" w:space="0" w:color="auto"/>
              <w:bottom w:val="single" w:sz="6" w:space="0" w:color="auto"/>
              <w:right w:val="single" w:sz="4" w:space="0" w:color="auto"/>
            </w:tcBorders>
            <w:hideMark/>
          </w:tcPr>
          <w:p w14:paraId="4851256B"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a Trusted Path for inter-application communication. </w:t>
            </w:r>
          </w:p>
        </w:tc>
      </w:tr>
      <w:tr w:rsidR="00B97365" w14:paraId="365F089F" w14:textId="77777777">
        <w:trPr>
          <w:trHeight w:val="391"/>
          <w:jc w:val="center"/>
        </w:trPr>
        <w:tc>
          <w:tcPr>
            <w:tcW w:w="0" w:type="auto"/>
            <w:tcBorders>
              <w:top w:val="single" w:sz="6" w:space="0" w:color="auto"/>
              <w:left w:val="single" w:sz="4" w:space="0" w:color="auto"/>
              <w:bottom w:val="single" w:sz="6" w:space="0" w:color="auto"/>
              <w:right w:val="single" w:sz="6" w:space="0" w:color="auto"/>
            </w:tcBorders>
            <w:hideMark/>
          </w:tcPr>
          <w:p w14:paraId="07AF7083"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9</w:t>
            </w:r>
          </w:p>
        </w:tc>
        <w:tc>
          <w:tcPr>
            <w:tcW w:w="0" w:type="auto"/>
            <w:tcBorders>
              <w:top w:val="single" w:sz="6" w:space="0" w:color="auto"/>
              <w:left w:val="single" w:sz="6" w:space="0" w:color="auto"/>
              <w:bottom w:val="single" w:sz="6" w:space="0" w:color="auto"/>
              <w:right w:val="single" w:sz="6" w:space="0" w:color="auto"/>
            </w:tcBorders>
            <w:hideMark/>
          </w:tcPr>
          <w:p w14:paraId="707BF9D3"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Authorized Management </w:t>
            </w:r>
          </w:p>
        </w:tc>
        <w:tc>
          <w:tcPr>
            <w:tcW w:w="0" w:type="auto"/>
            <w:tcBorders>
              <w:top w:val="single" w:sz="6" w:space="0" w:color="auto"/>
              <w:left w:val="single" w:sz="6" w:space="0" w:color="auto"/>
              <w:bottom w:val="single" w:sz="6" w:space="0" w:color="auto"/>
              <w:right w:val="single" w:sz="4" w:space="0" w:color="auto"/>
            </w:tcBorders>
            <w:hideMark/>
          </w:tcPr>
          <w:p w14:paraId="5F2C023F"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capable of Card Content Management; Security Domain privilege SHALL also be set. </w:t>
            </w:r>
          </w:p>
        </w:tc>
      </w:tr>
      <w:tr w:rsidR="00B97365" w14:paraId="7BBC9F9B" w14:textId="77777777">
        <w:trPr>
          <w:trHeight w:val="390"/>
          <w:jc w:val="center"/>
        </w:trPr>
        <w:tc>
          <w:tcPr>
            <w:tcW w:w="0" w:type="auto"/>
            <w:tcBorders>
              <w:top w:val="single" w:sz="6" w:space="0" w:color="auto"/>
              <w:left w:val="single" w:sz="4" w:space="0" w:color="auto"/>
              <w:bottom w:val="single" w:sz="6" w:space="0" w:color="auto"/>
              <w:right w:val="single" w:sz="6" w:space="0" w:color="auto"/>
            </w:tcBorders>
            <w:hideMark/>
          </w:tcPr>
          <w:p w14:paraId="76DA9E84"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10</w:t>
            </w:r>
          </w:p>
        </w:tc>
        <w:tc>
          <w:tcPr>
            <w:tcW w:w="0" w:type="auto"/>
            <w:tcBorders>
              <w:top w:val="single" w:sz="6" w:space="0" w:color="auto"/>
              <w:left w:val="single" w:sz="6" w:space="0" w:color="auto"/>
              <w:bottom w:val="single" w:sz="6" w:space="0" w:color="auto"/>
              <w:right w:val="single" w:sz="6" w:space="0" w:color="auto"/>
            </w:tcBorders>
            <w:hideMark/>
          </w:tcPr>
          <w:p w14:paraId="3C00173A"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Token Verification </w:t>
            </w:r>
          </w:p>
        </w:tc>
        <w:tc>
          <w:tcPr>
            <w:tcW w:w="0" w:type="auto"/>
            <w:tcBorders>
              <w:top w:val="single" w:sz="6" w:space="0" w:color="auto"/>
              <w:left w:val="single" w:sz="6" w:space="0" w:color="auto"/>
              <w:bottom w:val="single" w:sz="6" w:space="0" w:color="auto"/>
              <w:right w:val="single" w:sz="4" w:space="0" w:color="auto"/>
            </w:tcBorders>
            <w:hideMark/>
          </w:tcPr>
          <w:p w14:paraId="6A87EDD9"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capable of verifying a token for Delegated Card Content Management. </w:t>
            </w:r>
          </w:p>
        </w:tc>
      </w:tr>
      <w:tr w:rsidR="00B97365" w14:paraId="1FFF07B0" w14:textId="77777777">
        <w:trPr>
          <w:trHeight w:val="390"/>
          <w:jc w:val="center"/>
        </w:trPr>
        <w:tc>
          <w:tcPr>
            <w:tcW w:w="0" w:type="auto"/>
            <w:tcBorders>
              <w:top w:val="single" w:sz="6" w:space="0" w:color="auto"/>
              <w:left w:val="single" w:sz="4" w:space="0" w:color="auto"/>
              <w:bottom w:val="single" w:sz="6" w:space="0" w:color="auto"/>
              <w:right w:val="single" w:sz="6" w:space="0" w:color="auto"/>
            </w:tcBorders>
            <w:hideMark/>
          </w:tcPr>
          <w:p w14:paraId="0E43EE3B"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11</w:t>
            </w:r>
          </w:p>
        </w:tc>
        <w:tc>
          <w:tcPr>
            <w:tcW w:w="0" w:type="auto"/>
            <w:tcBorders>
              <w:top w:val="single" w:sz="6" w:space="0" w:color="auto"/>
              <w:left w:val="single" w:sz="6" w:space="0" w:color="auto"/>
              <w:bottom w:val="single" w:sz="6" w:space="0" w:color="auto"/>
              <w:right w:val="single" w:sz="6" w:space="0" w:color="auto"/>
            </w:tcBorders>
            <w:hideMark/>
          </w:tcPr>
          <w:p w14:paraId="5F16F6B8"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Global Delete </w:t>
            </w:r>
          </w:p>
        </w:tc>
        <w:tc>
          <w:tcPr>
            <w:tcW w:w="0" w:type="auto"/>
            <w:tcBorders>
              <w:top w:val="single" w:sz="6" w:space="0" w:color="auto"/>
              <w:left w:val="single" w:sz="6" w:space="0" w:color="auto"/>
              <w:bottom w:val="single" w:sz="6" w:space="0" w:color="auto"/>
              <w:right w:val="single" w:sz="4" w:space="0" w:color="auto"/>
            </w:tcBorders>
            <w:hideMark/>
          </w:tcPr>
          <w:p w14:paraId="0F03CDE8"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may delete any Card Content. </w:t>
            </w:r>
          </w:p>
        </w:tc>
      </w:tr>
      <w:tr w:rsidR="00B97365" w14:paraId="67D659FE" w14:textId="77777777">
        <w:trPr>
          <w:trHeight w:val="390"/>
          <w:jc w:val="center"/>
        </w:trPr>
        <w:tc>
          <w:tcPr>
            <w:tcW w:w="0" w:type="auto"/>
            <w:tcBorders>
              <w:top w:val="single" w:sz="6" w:space="0" w:color="auto"/>
              <w:left w:val="single" w:sz="4" w:space="0" w:color="auto"/>
              <w:bottom w:val="single" w:sz="6" w:space="0" w:color="auto"/>
              <w:right w:val="single" w:sz="6" w:space="0" w:color="auto"/>
            </w:tcBorders>
            <w:hideMark/>
          </w:tcPr>
          <w:p w14:paraId="15D6AC94"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12</w:t>
            </w:r>
          </w:p>
        </w:tc>
        <w:tc>
          <w:tcPr>
            <w:tcW w:w="0" w:type="auto"/>
            <w:tcBorders>
              <w:top w:val="single" w:sz="6" w:space="0" w:color="auto"/>
              <w:left w:val="single" w:sz="6" w:space="0" w:color="auto"/>
              <w:bottom w:val="single" w:sz="6" w:space="0" w:color="auto"/>
              <w:right w:val="single" w:sz="6" w:space="0" w:color="auto"/>
            </w:tcBorders>
            <w:hideMark/>
          </w:tcPr>
          <w:p w14:paraId="67A761BC"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Global Lock </w:t>
            </w:r>
          </w:p>
        </w:tc>
        <w:tc>
          <w:tcPr>
            <w:tcW w:w="0" w:type="auto"/>
            <w:tcBorders>
              <w:top w:val="single" w:sz="6" w:space="0" w:color="auto"/>
              <w:left w:val="single" w:sz="6" w:space="0" w:color="auto"/>
              <w:bottom w:val="single" w:sz="6" w:space="0" w:color="auto"/>
              <w:right w:val="single" w:sz="4" w:space="0" w:color="auto"/>
            </w:tcBorders>
            <w:hideMark/>
          </w:tcPr>
          <w:p w14:paraId="1B5D5D70"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may lock or unlock any Application. </w:t>
            </w:r>
          </w:p>
        </w:tc>
      </w:tr>
      <w:tr w:rsidR="00B97365" w14:paraId="79008C91" w14:textId="77777777">
        <w:trPr>
          <w:trHeight w:val="390"/>
          <w:jc w:val="center"/>
        </w:trPr>
        <w:tc>
          <w:tcPr>
            <w:tcW w:w="0" w:type="auto"/>
            <w:tcBorders>
              <w:top w:val="single" w:sz="6" w:space="0" w:color="auto"/>
              <w:left w:val="single" w:sz="4" w:space="0" w:color="auto"/>
              <w:bottom w:val="single" w:sz="6" w:space="0" w:color="auto"/>
              <w:right w:val="single" w:sz="6" w:space="0" w:color="auto"/>
            </w:tcBorders>
            <w:hideMark/>
          </w:tcPr>
          <w:p w14:paraId="254749FB"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13</w:t>
            </w:r>
          </w:p>
        </w:tc>
        <w:tc>
          <w:tcPr>
            <w:tcW w:w="0" w:type="auto"/>
            <w:tcBorders>
              <w:top w:val="single" w:sz="6" w:space="0" w:color="auto"/>
              <w:left w:val="single" w:sz="6" w:space="0" w:color="auto"/>
              <w:bottom w:val="single" w:sz="6" w:space="0" w:color="auto"/>
              <w:right w:val="single" w:sz="6" w:space="0" w:color="auto"/>
            </w:tcBorders>
            <w:hideMark/>
          </w:tcPr>
          <w:p w14:paraId="3AEDDA75"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Global Registry </w:t>
            </w:r>
          </w:p>
        </w:tc>
        <w:tc>
          <w:tcPr>
            <w:tcW w:w="0" w:type="auto"/>
            <w:tcBorders>
              <w:top w:val="single" w:sz="6" w:space="0" w:color="auto"/>
              <w:left w:val="single" w:sz="6" w:space="0" w:color="auto"/>
              <w:bottom w:val="single" w:sz="6" w:space="0" w:color="auto"/>
              <w:right w:val="single" w:sz="4" w:space="0" w:color="auto"/>
            </w:tcBorders>
            <w:hideMark/>
          </w:tcPr>
          <w:p w14:paraId="51E27DCA"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may access any entry in the GlobalPlatform Registry. </w:t>
            </w:r>
          </w:p>
        </w:tc>
      </w:tr>
      <w:tr w:rsidR="00B97365" w14:paraId="1CA33FC9" w14:textId="77777777">
        <w:trPr>
          <w:trHeight w:val="390"/>
          <w:jc w:val="center"/>
        </w:trPr>
        <w:tc>
          <w:tcPr>
            <w:tcW w:w="0" w:type="auto"/>
            <w:tcBorders>
              <w:top w:val="single" w:sz="6" w:space="0" w:color="auto"/>
              <w:left w:val="single" w:sz="4" w:space="0" w:color="auto"/>
              <w:bottom w:val="single" w:sz="6" w:space="0" w:color="auto"/>
              <w:right w:val="single" w:sz="6" w:space="0" w:color="auto"/>
            </w:tcBorders>
            <w:hideMark/>
          </w:tcPr>
          <w:p w14:paraId="251D7CE1"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lastRenderedPageBreak/>
              <w:t>14</w:t>
            </w:r>
          </w:p>
        </w:tc>
        <w:tc>
          <w:tcPr>
            <w:tcW w:w="0" w:type="auto"/>
            <w:tcBorders>
              <w:top w:val="single" w:sz="6" w:space="0" w:color="auto"/>
              <w:left w:val="single" w:sz="6" w:space="0" w:color="auto"/>
              <w:bottom w:val="single" w:sz="6" w:space="0" w:color="auto"/>
              <w:right w:val="single" w:sz="6" w:space="0" w:color="auto"/>
            </w:tcBorders>
            <w:hideMark/>
          </w:tcPr>
          <w:p w14:paraId="774C9448"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Final Application </w:t>
            </w:r>
          </w:p>
        </w:tc>
        <w:tc>
          <w:tcPr>
            <w:tcW w:w="0" w:type="auto"/>
            <w:tcBorders>
              <w:top w:val="single" w:sz="6" w:space="0" w:color="auto"/>
              <w:left w:val="single" w:sz="6" w:space="0" w:color="auto"/>
              <w:bottom w:val="single" w:sz="6" w:space="0" w:color="auto"/>
              <w:right w:val="single" w:sz="4" w:space="0" w:color="auto"/>
            </w:tcBorders>
            <w:hideMark/>
          </w:tcPr>
          <w:p w14:paraId="4FE19879"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The only Application accessible in card Life Cycle State CARD_LOCKED and TERMINATED. </w:t>
            </w:r>
          </w:p>
        </w:tc>
      </w:tr>
      <w:tr w:rsidR="00B97365" w14:paraId="4F6F4749" w14:textId="77777777">
        <w:trPr>
          <w:trHeight w:val="390"/>
          <w:jc w:val="center"/>
        </w:trPr>
        <w:tc>
          <w:tcPr>
            <w:tcW w:w="0" w:type="auto"/>
            <w:tcBorders>
              <w:top w:val="single" w:sz="6" w:space="0" w:color="auto"/>
              <w:left w:val="single" w:sz="4" w:space="0" w:color="auto"/>
              <w:bottom w:val="single" w:sz="6" w:space="0" w:color="auto"/>
              <w:right w:val="single" w:sz="6" w:space="0" w:color="auto"/>
            </w:tcBorders>
            <w:hideMark/>
          </w:tcPr>
          <w:p w14:paraId="3DD2D617"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15</w:t>
            </w:r>
          </w:p>
        </w:tc>
        <w:tc>
          <w:tcPr>
            <w:tcW w:w="0" w:type="auto"/>
            <w:tcBorders>
              <w:top w:val="single" w:sz="6" w:space="0" w:color="auto"/>
              <w:left w:val="single" w:sz="6" w:space="0" w:color="auto"/>
              <w:bottom w:val="single" w:sz="6" w:space="0" w:color="auto"/>
              <w:right w:val="single" w:sz="6" w:space="0" w:color="auto"/>
            </w:tcBorders>
            <w:hideMark/>
          </w:tcPr>
          <w:p w14:paraId="5C6C028D"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Global Service </w:t>
            </w:r>
          </w:p>
        </w:tc>
        <w:tc>
          <w:tcPr>
            <w:tcW w:w="0" w:type="auto"/>
            <w:tcBorders>
              <w:top w:val="single" w:sz="6" w:space="0" w:color="auto"/>
              <w:left w:val="single" w:sz="6" w:space="0" w:color="auto"/>
              <w:bottom w:val="single" w:sz="6" w:space="0" w:color="auto"/>
              <w:right w:val="single" w:sz="4" w:space="0" w:color="auto"/>
            </w:tcBorders>
            <w:hideMark/>
          </w:tcPr>
          <w:p w14:paraId="36AABF07"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provides services to other Applications on the card. </w:t>
            </w:r>
          </w:p>
        </w:tc>
      </w:tr>
      <w:tr w:rsidR="00B97365" w14:paraId="1460F753" w14:textId="77777777">
        <w:trPr>
          <w:trHeight w:val="390"/>
          <w:jc w:val="center"/>
        </w:trPr>
        <w:tc>
          <w:tcPr>
            <w:tcW w:w="0" w:type="auto"/>
            <w:tcBorders>
              <w:top w:val="single" w:sz="6" w:space="0" w:color="auto"/>
              <w:left w:val="single" w:sz="4" w:space="0" w:color="auto"/>
              <w:bottom w:val="single" w:sz="6" w:space="0" w:color="auto"/>
              <w:right w:val="single" w:sz="6" w:space="0" w:color="auto"/>
            </w:tcBorders>
            <w:hideMark/>
          </w:tcPr>
          <w:p w14:paraId="7B0E89E4"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16</w:t>
            </w:r>
          </w:p>
        </w:tc>
        <w:tc>
          <w:tcPr>
            <w:tcW w:w="0" w:type="auto"/>
            <w:tcBorders>
              <w:top w:val="single" w:sz="6" w:space="0" w:color="auto"/>
              <w:left w:val="single" w:sz="6" w:space="0" w:color="auto"/>
              <w:bottom w:val="single" w:sz="6" w:space="0" w:color="auto"/>
              <w:right w:val="single" w:sz="6" w:space="0" w:color="auto"/>
            </w:tcBorders>
            <w:hideMark/>
          </w:tcPr>
          <w:p w14:paraId="77CCEFE1"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Receipt Generation </w:t>
            </w:r>
          </w:p>
        </w:tc>
        <w:tc>
          <w:tcPr>
            <w:tcW w:w="0" w:type="auto"/>
            <w:tcBorders>
              <w:top w:val="single" w:sz="6" w:space="0" w:color="auto"/>
              <w:left w:val="single" w:sz="6" w:space="0" w:color="auto"/>
              <w:bottom w:val="single" w:sz="6" w:space="0" w:color="auto"/>
              <w:right w:val="single" w:sz="4" w:space="0" w:color="auto"/>
            </w:tcBorders>
            <w:hideMark/>
          </w:tcPr>
          <w:p w14:paraId="0C1B74EA"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capable of generating a receipt for Delegated Card Content Management. </w:t>
            </w:r>
          </w:p>
        </w:tc>
      </w:tr>
      <w:tr w:rsidR="00B97365" w14:paraId="4EE292FE" w14:textId="77777777">
        <w:trPr>
          <w:trHeight w:val="390"/>
          <w:jc w:val="center"/>
        </w:trPr>
        <w:tc>
          <w:tcPr>
            <w:tcW w:w="0" w:type="auto"/>
            <w:tcBorders>
              <w:top w:val="single" w:sz="6" w:space="0" w:color="auto"/>
              <w:left w:val="single" w:sz="4" w:space="0" w:color="auto"/>
              <w:bottom w:val="single" w:sz="6" w:space="0" w:color="auto"/>
              <w:right w:val="single" w:sz="6" w:space="0" w:color="auto"/>
            </w:tcBorders>
            <w:hideMark/>
          </w:tcPr>
          <w:p w14:paraId="66FCD51C"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17</w:t>
            </w:r>
          </w:p>
        </w:tc>
        <w:tc>
          <w:tcPr>
            <w:tcW w:w="0" w:type="auto"/>
            <w:tcBorders>
              <w:top w:val="single" w:sz="6" w:space="0" w:color="auto"/>
              <w:left w:val="single" w:sz="6" w:space="0" w:color="auto"/>
              <w:bottom w:val="single" w:sz="6" w:space="0" w:color="auto"/>
              <w:right w:val="single" w:sz="6" w:space="0" w:color="auto"/>
            </w:tcBorders>
            <w:hideMark/>
          </w:tcPr>
          <w:p w14:paraId="0C888897"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Ciphered Load File Data Block </w:t>
            </w:r>
          </w:p>
        </w:tc>
        <w:tc>
          <w:tcPr>
            <w:tcW w:w="0" w:type="auto"/>
            <w:tcBorders>
              <w:top w:val="single" w:sz="6" w:space="0" w:color="auto"/>
              <w:left w:val="single" w:sz="6" w:space="0" w:color="auto"/>
              <w:bottom w:val="single" w:sz="6" w:space="0" w:color="auto"/>
              <w:right w:val="single" w:sz="4" w:space="0" w:color="auto"/>
            </w:tcBorders>
            <w:hideMark/>
          </w:tcPr>
          <w:p w14:paraId="6CECAE2B"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The Security Domain requires that the Load File being associated to it is to be loaded ciphered. </w:t>
            </w:r>
          </w:p>
        </w:tc>
      </w:tr>
      <w:tr w:rsidR="00B97365" w14:paraId="3567A695" w14:textId="77777777">
        <w:trPr>
          <w:trHeight w:val="390"/>
          <w:jc w:val="center"/>
        </w:trPr>
        <w:tc>
          <w:tcPr>
            <w:tcW w:w="0" w:type="auto"/>
            <w:tcBorders>
              <w:top w:val="single" w:sz="6" w:space="0" w:color="auto"/>
              <w:left w:val="single" w:sz="4" w:space="0" w:color="auto"/>
              <w:bottom w:val="single" w:sz="6" w:space="0" w:color="auto"/>
              <w:right w:val="single" w:sz="6" w:space="0" w:color="auto"/>
            </w:tcBorders>
            <w:hideMark/>
          </w:tcPr>
          <w:p w14:paraId="652DFF5A"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18</w:t>
            </w:r>
          </w:p>
        </w:tc>
        <w:tc>
          <w:tcPr>
            <w:tcW w:w="0" w:type="auto"/>
            <w:tcBorders>
              <w:top w:val="single" w:sz="6" w:space="0" w:color="auto"/>
              <w:left w:val="single" w:sz="6" w:space="0" w:color="auto"/>
              <w:bottom w:val="single" w:sz="6" w:space="0" w:color="auto"/>
              <w:right w:val="single" w:sz="6" w:space="0" w:color="auto"/>
            </w:tcBorders>
            <w:hideMark/>
          </w:tcPr>
          <w:p w14:paraId="30A9FACF"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Contactless Activation </w:t>
            </w:r>
          </w:p>
        </w:tc>
        <w:tc>
          <w:tcPr>
            <w:tcW w:w="0" w:type="auto"/>
            <w:tcBorders>
              <w:top w:val="single" w:sz="6" w:space="0" w:color="auto"/>
              <w:left w:val="single" w:sz="6" w:space="0" w:color="auto"/>
              <w:bottom w:val="single" w:sz="6" w:space="0" w:color="auto"/>
              <w:right w:val="single" w:sz="4" w:space="0" w:color="auto"/>
            </w:tcBorders>
            <w:hideMark/>
          </w:tcPr>
          <w:p w14:paraId="0407AC3F"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capable of activating and deactivating other Applications on the contactless interface. </w:t>
            </w:r>
          </w:p>
        </w:tc>
      </w:tr>
      <w:tr w:rsidR="00B97365" w14:paraId="03B97954" w14:textId="77777777">
        <w:trPr>
          <w:trHeight w:val="390"/>
          <w:jc w:val="center"/>
        </w:trPr>
        <w:tc>
          <w:tcPr>
            <w:tcW w:w="0" w:type="auto"/>
            <w:tcBorders>
              <w:top w:val="single" w:sz="6" w:space="0" w:color="auto"/>
              <w:left w:val="single" w:sz="4" w:space="0" w:color="auto"/>
              <w:bottom w:val="single" w:sz="4" w:space="0" w:color="auto"/>
              <w:right w:val="single" w:sz="6" w:space="0" w:color="auto"/>
            </w:tcBorders>
            <w:hideMark/>
          </w:tcPr>
          <w:p w14:paraId="646E76B9" w14:textId="77777777" w:rsidR="00B97365" w:rsidRDefault="00000000">
            <w:pPr>
              <w:autoSpaceDE w:val="0"/>
              <w:autoSpaceDN w:val="0"/>
              <w:adjustRightInd w:val="0"/>
              <w:spacing w:after="120" w:line="276" w:lineRule="auto"/>
              <w:jc w:val="center"/>
              <w:rPr>
                <w:rFonts w:eastAsia="MS Mincho" w:cs="Arial"/>
                <w:color w:val="000000"/>
                <w:sz w:val="16"/>
                <w:szCs w:val="16"/>
                <w:lang w:eastAsia="ja-JP" w:bidi="ar-SA"/>
              </w:rPr>
            </w:pPr>
            <w:r>
              <w:rPr>
                <w:rFonts w:eastAsia="MS Mincho" w:cs="Arial"/>
                <w:color w:val="000000"/>
                <w:sz w:val="16"/>
                <w:szCs w:val="16"/>
                <w:lang w:eastAsia="ja-JP" w:bidi="ar-SA"/>
              </w:rPr>
              <w:t>19</w:t>
            </w:r>
          </w:p>
        </w:tc>
        <w:tc>
          <w:tcPr>
            <w:tcW w:w="0" w:type="auto"/>
            <w:tcBorders>
              <w:top w:val="single" w:sz="6" w:space="0" w:color="auto"/>
              <w:left w:val="single" w:sz="6" w:space="0" w:color="auto"/>
              <w:bottom w:val="single" w:sz="4" w:space="0" w:color="auto"/>
              <w:right w:val="single" w:sz="6" w:space="0" w:color="auto"/>
            </w:tcBorders>
            <w:hideMark/>
          </w:tcPr>
          <w:p w14:paraId="7CCD73D1"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Contactless Self-Activation </w:t>
            </w:r>
          </w:p>
        </w:tc>
        <w:tc>
          <w:tcPr>
            <w:tcW w:w="0" w:type="auto"/>
            <w:tcBorders>
              <w:top w:val="single" w:sz="6" w:space="0" w:color="auto"/>
              <w:left w:val="single" w:sz="6" w:space="0" w:color="auto"/>
              <w:bottom w:val="single" w:sz="4" w:space="0" w:color="auto"/>
              <w:right w:val="single" w:sz="4" w:space="0" w:color="auto"/>
            </w:tcBorders>
            <w:hideMark/>
          </w:tcPr>
          <w:p w14:paraId="70E1063E"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Application is capable of activating itself on the contactless interface without a prior request to the Application with the Contactless Activation privilege. </w:t>
            </w:r>
          </w:p>
        </w:tc>
      </w:tr>
    </w:tbl>
    <w:p w14:paraId="7D704847" w14:textId="77777777" w:rsidR="00B97365" w:rsidRDefault="00000000">
      <w:pPr>
        <w:numPr>
          <w:ilvl w:val="0"/>
          <w:numId w:val="14"/>
        </w:numPr>
        <w:tabs>
          <w:tab w:val="left" w:pos="1009"/>
        </w:tabs>
        <w:spacing w:after="200" w:line="276" w:lineRule="auto"/>
        <w:jc w:val="center"/>
        <w:rPr>
          <w:rFonts w:cs="Arial"/>
          <w:lang w:eastAsia="de-DE" w:bidi="ar-SA"/>
        </w:rPr>
      </w:pPr>
      <w:r>
        <w:rPr>
          <w:rFonts w:cs="Arial"/>
          <w:b/>
          <w:lang w:eastAsia="de-DE" w:bidi="ar-SA"/>
        </w:rPr>
        <w:t>: GlobalPlatform Privileges</w:t>
      </w:r>
    </w:p>
    <w:p w14:paraId="5791D7E8" w14:textId="77777777" w:rsidR="00B97365" w:rsidRDefault="00B97365">
      <w:pPr>
        <w:tabs>
          <w:tab w:val="left" w:pos="1009"/>
        </w:tabs>
        <w:spacing w:after="200" w:line="276" w:lineRule="auto"/>
        <w:jc w:val="center"/>
        <w:rPr>
          <w:rFonts w:cs="Arial"/>
          <w:lang w:eastAsia="de-DE" w:bidi="ar-SA"/>
        </w:rPr>
      </w:pPr>
    </w:p>
    <w:p w14:paraId="1114D2E6" w14:textId="77777777" w:rsidR="00B97365" w:rsidRDefault="00000000">
      <w:pPr>
        <w:spacing w:before="0" w:after="200" w:line="276" w:lineRule="auto"/>
        <w:jc w:val="left"/>
        <w:rPr>
          <w:b/>
          <w:szCs w:val="22"/>
          <w:u w:val="single"/>
          <w:lang w:val="en-US" w:eastAsia="en-GB" w:bidi="ar-SA"/>
        </w:rPr>
      </w:pPr>
      <w:bookmarkStart w:id="11937" w:name="_Toc420595127"/>
      <w:r>
        <w:rPr>
          <w:rFonts w:cs="Arial"/>
          <w:b/>
          <w:szCs w:val="22"/>
          <w:u w:val="single"/>
          <w:lang w:val="en-US" w:eastAsia="en-GB" w:bidi="ar-SA"/>
        </w:rPr>
        <w:t>Privileges description in an eUICC:</w:t>
      </w:r>
      <w:bookmarkEnd w:id="11937"/>
      <w:r>
        <w:rPr>
          <w:b/>
          <w:szCs w:val="22"/>
          <w:u w:val="single"/>
          <w:lang w:val="en-US" w:eastAsia="en-GB" w:bidi="ar-SA"/>
        </w:rPr>
        <w:t xml:space="preserve"> </w:t>
      </w:r>
    </w:p>
    <w:p w14:paraId="66EB7F72" w14:textId="77777777" w:rsidR="00B97365" w:rsidRDefault="00000000">
      <w:pPr>
        <w:spacing w:before="0" w:after="200" w:line="276" w:lineRule="auto"/>
        <w:jc w:val="left"/>
        <w:rPr>
          <w:szCs w:val="22"/>
          <w:lang w:val="en-US" w:eastAsia="en-GB" w:bidi="ar-SA"/>
        </w:rPr>
      </w:pPr>
      <w:bookmarkStart w:id="11938" w:name="_Toc420595128"/>
      <w:r>
        <w:rPr>
          <w:rFonts w:cs="Arial"/>
          <w:szCs w:val="22"/>
          <w:lang w:val="en-US" w:eastAsia="en-GB" w:bidi="ar-SA"/>
        </w:rPr>
        <w:t>The following rules apply for an eUICC with at least one Profile installed.</w:t>
      </w:r>
      <w:bookmarkEnd w:id="11938"/>
    </w:p>
    <w:p w14:paraId="73851399" w14:textId="77777777" w:rsidR="00B97365" w:rsidRDefault="00B97365">
      <w:pPr>
        <w:rPr>
          <w:rFonts w:cs="Calibri"/>
        </w:rPr>
      </w:pPr>
    </w:p>
    <w:p w14:paraId="534DD6F5" w14:textId="77777777" w:rsidR="00B97365" w:rsidRDefault="00000000">
      <w:pPr>
        <w:spacing w:before="0" w:after="200" w:line="276" w:lineRule="auto"/>
        <w:jc w:val="left"/>
        <w:rPr>
          <w:b/>
          <w:szCs w:val="22"/>
          <w:lang w:val="en-US" w:eastAsia="en-GB" w:bidi="ar-SA"/>
        </w:rPr>
      </w:pPr>
      <w:bookmarkStart w:id="11939" w:name="_Toc420595129"/>
      <w:r>
        <w:rPr>
          <w:rFonts w:cs="Arial"/>
          <w:b/>
          <w:szCs w:val="22"/>
          <w:lang w:val="en-US" w:eastAsia="en-GB" w:bidi="ar-SA"/>
        </w:rPr>
        <w:t>Security Domain Privilege:</w:t>
      </w:r>
      <w:bookmarkEnd w:id="11939"/>
    </w:p>
    <w:p w14:paraId="6C3C50F0" w14:textId="03DB5EA2"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“This privilege distinguishes a Security Domain from a 'normal' Application.” </w:t>
      </w:r>
    </w:p>
    <w:p w14:paraId="60FA0285" w14:textId="77777777" w:rsidR="00B97365" w:rsidRDefault="00B97365">
      <w:pPr>
        <w:rPr>
          <w:rFonts w:cs="Calibri"/>
        </w:rPr>
      </w:pPr>
    </w:p>
    <w:p w14:paraId="723F818E" w14:textId="77777777" w:rsidR="00B97365" w:rsidRDefault="00000000">
      <w:pPr>
        <w:spacing w:before="0" w:after="200" w:line="276" w:lineRule="auto"/>
        <w:jc w:val="left"/>
        <w:rPr>
          <w:b/>
          <w:szCs w:val="22"/>
          <w:lang w:val="en-US" w:eastAsia="en-GB" w:bidi="ar-SA"/>
        </w:rPr>
      </w:pPr>
      <w:bookmarkStart w:id="11940" w:name="_Toc420595130"/>
      <w:r>
        <w:rPr>
          <w:rFonts w:cs="Arial"/>
          <w:b/>
          <w:szCs w:val="22"/>
          <w:lang w:val="en-US" w:eastAsia="en-GB" w:bidi="ar-SA"/>
        </w:rPr>
        <w:t>DAP Verification Privilege:</w:t>
      </w:r>
      <w:bookmarkEnd w:id="11940"/>
    </w:p>
    <w:p w14:paraId="095A0B3E" w14:textId="10E86377"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“An application provider may require that their Application code to be loaded on the card SHALL be checked for integrity and authenticity. The DAP Verification privilege provides this service on behalf of an Application provider.” </w:t>
      </w:r>
    </w:p>
    <w:p w14:paraId="5E6DF74E" w14:textId="77777777" w:rsidR="00B97365" w:rsidRDefault="00000000">
      <w:pPr>
        <w:spacing w:before="0" w:after="200" w:line="276" w:lineRule="auto"/>
        <w:rPr>
          <w:b/>
          <w:szCs w:val="22"/>
          <w:lang w:val="en-US" w:eastAsia="en-GB" w:bidi="ar-SA"/>
        </w:rPr>
      </w:pPr>
      <w:bookmarkStart w:id="11941" w:name="_Toc420595131"/>
      <w:r>
        <w:rPr>
          <w:rFonts w:cs="Arial"/>
          <w:b/>
          <w:szCs w:val="22"/>
          <w:lang w:val="en-US" w:eastAsia="en-GB" w:bidi="ar-SA"/>
        </w:rPr>
        <w:t>Delegated Management:</w:t>
      </w:r>
      <w:bookmarkEnd w:id="11941"/>
    </w:p>
    <w:p w14:paraId="3BB54480" w14:textId="33938A18"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“The privilege allows an Application Provider to manage Card Content with authorisation.” A “Security Domain having the Token Verification privilege controls such authorisation.”</w:t>
      </w:r>
    </w:p>
    <w:p w14:paraId="3411C22F" w14:textId="77777777" w:rsidR="00B97365" w:rsidRDefault="00B97365">
      <w:pPr>
        <w:ind w:left="360"/>
        <w:rPr>
          <w:rFonts w:cs="Calibri"/>
        </w:rPr>
      </w:pPr>
    </w:p>
    <w:p w14:paraId="28535D31" w14:textId="77777777" w:rsidR="00B97365" w:rsidRDefault="00000000">
      <w:pPr>
        <w:spacing w:before="0" w:after="200" w:line="276" w:lineRule="auto"/>
        <w:rPr>
          <w:b/>
          <w:szCs w:val="22"/>
          <w:lang w:val="en-US" w:eastAsia="en-GB" w:bidi="ar-SA"/>
        </w:rPr>
      </w:pPr>
      <w:bookmarkStart w:id="11942" w:name="_Toc420595132"/>
      <w:r>
        <w:rPr>
          <w:rFonts w:cs="Arial"/>
          <w:b/>
          <w:szCs w:val="22"/>
          <w:lang w:val="en-US" w:eastAsia="en-GB" w:bidi="ar-SA"/>
        </w:rPr>
        <w:t>Card Lock:</w:t>
      </w:r>
      <w:bookmarkEnd w:id="11942"/>
    </w:p>
    <w:p w14:paraId="212AEBA8" w14:textId="42D242D8"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“This privilege allows an Application to set the card life cycle state to CARD_LOCKED.”</w:t>
      </w:r>
    </w:p>
    <w:p w14:paraId="069F511E"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On the eUICC, the Card Lock privilege is not applicable and SHALL NOT be assigned to any security domain/Application. The equivalent mechanism of disabling a Profile SHALL be used.</w:t>
      </w:r>
    </w:p>
    <w:p w14:paraId="28F7B182" w14:textId="77777777" w:rsidR="00B97365" w:rsidRDefault="00B97365">
      <w:pPr>
        <w:rPr>
          <w:rFonts w:cs="Calibri"/>
        </w:rPr>
      </w:pPr>
    </w:p>
    <w:p w14:paraId="41619840" w14:textId="77777777" w:rsidR="00B97365" w:rsidRDefault="00000000">
      <w:pPr>
        <w:spacing w:before="0" w:after="200" w:line="276" w:lineRule="auto"/>
        <w:rPr>
          <w:b/>
          <w:szCs w:val="22"/>
          <w:lang w:val="en-US" w:eastAsia="en-GB" w:bidi="ar-SA"/>
        </w:rPr>
      </w:pPr>
      <w:bookmarkStart w:id="11943" w:name="_Toc420595133"/>
      <w:r>
        <w:rPr>
          <w:rFonts w:cs="Arial"/>
          <w:b/>
          <w:szCs w:val="22"/>
          <w:lang w:val="en-US" w:eastAsia="en-GB" w:bidi="ar-SA"/>
        </w:rPr>
        <w:t>Card Terminate:</w:t>
      </w:r>
      <w:bookmarkEnd w:id="11943"/>
    </w:p>
    <w:p w14:paraId="581AA8CA" w14:textId="229FBB9D" w:rsidR="00B97365" w:rsidRDefault="00000000">
      <w:pPr>
        <w:spacing w:before="0" w:after="200" w:line="276" w:lineRule="auto"/>
        <w:rPr>
          <w:szCs w:val="22"/>
          <w:lang w:val="en-US" w:eastAsia="en-GB" w:bidi="ar-SA"/>
        </w:rPr>
      </w:pPr>
      <w:r>
        <w:rPr>
          <w:rFonts w:cs="Arial"/>
          <w:szCs w:val="22"/>
          <w:lang w:val="en-US" w:eastAsia="en-GB" w:bidi="ar-SA"/>
        </w:rPr>
        <w:lastRenderedPageBreak/>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“This privilege allows an Application to set the card life cycle state to TERMINATED.”</w:t>
      </w:r>
    </w:p>
    <w:p w14:paraId="11CA298C"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On the eUICC, the Card Terminate privilege is not applicable and SHALL NOT be assigned to any security domain/Application. The equivalent mechanism of deleting a Profile SHALL be used.</w:t>
      </w:r>
    </w:p>
    <w:p w14:paraId="13A8A35F" w14:textId="77777777" w:rsidR="00B97365" w:rsidRDefault="00B97365">
      <w:pPr>
        <w:rPr>
          <w:rFonts w:cs="Calibri"/>
        </w:rPr>
      </w:pPr>
    </w:p>
    <w:p w14:paraId="4790403D" w14:textId="77777777" w:rsidR="00B97365" w:rsidRDefault="00000000">
      <w:pPr>
        <w:spacing w:before="0" w:after="200" w:line="276" w:lineRule="auto"/>
        <w:rPr>
          <w:b/>
          <w:szCs w:val="22"/>
          <w:lang w:val="en-US" w:eastAsia="en-GB" w:bidi="ar-SA"/>
        </w:rPr>
      </w:pPr>
      <w:bookmarkStart w:id="11944" w:name="_Toc420595134"/>
      <w:r>
        <w:rPr>
          <w:rFonts w:cs="Arial"/>
          <w:b/>
          <w:szCs w:val="22"/>
          <w:lang w:val="en-US" w:eastAsia="en-GB" w:bidi="ar-SA"/>
        </w:rPr>
        <w:t>Card Reset:</w:t>
      </w:r>
      <w:bookmarkEnd w:id="11944"/>
    </w:p>
    <w:p w14:paraId="03FD3E01" w14:textId="79D712D4"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“An Application installed or made selectable with the Card Reset privilege and no Implicit Selection parameter is registered in the GlobalPlatform Registry as the implicitly selectable Application on the Basic Logical Channel for all card I/O interfaces supported by the card if no other Application (other than the Issuer Security Domain) is already registered as implicitly selectable on the Basic Logical Channel of any card I/O interface”.</w:t>
      </w:r>
    </w:p>
    <w:p w14:paraId="254057AC"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This privilege is relevant only when the Profile is enabled. Therefore, several Applications may have this privilege on the eUICC, but this privilege SHALL be unique within a Profile.</w:t>
      </w:r>
    </w:p>
    <w:p w14:paraId="30703AE0"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If the Application inside a Profile with the Card Reset privilege is deleted the privilege is reassigned to the corresponding MNO-SD.</w:t>
      </w:r>
    </w:p>
    <w:p w14:paraId="5C8F7199" w14:textId="77777777" w:rsidR="00B97365" w:rsidRDefault="00B97365">
      <w:pPr>
        <w:rPr>
          <w:rFonts w:cs="Calibri"/>
        </w:rPr>
      </w:pPr>
    </w:p>
    <w:p w14:paraId="0605ECB4" w14:textId="77777777" w:rsidR="00B97365" w:rsidRDefault="00000000">
      <w:pPr>
        <w:spacing w:before="0" w:after="200" w:line="276" w:lineRule="auto"/>
        <w:rPr>
          <w:b/>
          <w:szCs w:val="22"/>
          <w:lang w:val="en-US" w:eastAsia="en-GB" w:bidi="ar-SA"/>
        </w:rPr>
      </w:pPr>
      <w:bookmarkStart w:id="11945" w:name="_Toc420595135"/>
      <w:r>
        <w:rPr>
          <w:rFonts w:cs="Arial"/>
          <w:b/>
          <w:szCs w:val="22"/>
          <w:lang w:val="en-US" w:eastAsia="en-GB" w:bidi="ar-SA"/>
        </w:rPr>
        <w:t>CVM Management:</w:t>
      </w:r>
      <w:bookmarkEnd w:id="11945"/>
    </w:p>
    <w:p w14:paraId="2C565B02" w14:textId="7CBB8BBF"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“The CVM Application, if present on a card, provides a mechanism for a Cardholder Verification Method (CVM), including velocity checking, that may be used by all Applications on the card”.</w:t>
      </w:r>
    </w:p>
    <w:p w14:paraId="07EE1640" w14:textId="72FB4E36" w:rsidR="00B97365" w:rsidRDefault="00000000">
      <w:pPr>
        <w:spacing w:before="0" w:after="200" w:line="276" w:lineRule="auto"/>
        <w:rPr>
          <w:rFonts w:cs="Arial"/>
          <w:szCs w:val="22"/>
          <w:lang w:val="en-US" w:eastAsia="en-GB" w:bidi="ar-SA"/>
        </w:rPr>
      </w:pPr>
      <w:r>
        <w:rPr>
          <w:rFonts w:cs="Arial"/>
          <w:szCs w:val="22"/>
          <w:lang w:val="en-US" w:eastAsia="en-GB" w:bidi="ar-SA"/>
        </w:rPr>
        <w:t>If an Application in a Profile has this privilege, it SHALL be relevant only when the Profile is enabled. In that case, several Applications in the Profile may have this privilege, but the corresponding CVM identifiers SHALL be unique within a Profile.</w:t>
      </w:r>
    </w:p>
    <w:p w14:paraId="53D84368" w14:textId="77777777" w:rsidR="00B97365" w:rsidRDefault="00B97365">
      <w:pPr>
        <w:rPr>
          <w:rFonts w:cs="Calibri"/>
        </w:rPr>
      </w:pPr>
    </w:p>
    <w:p w14:paraId="2A9EC26D" w14:textId="77777777" w:rsidR="00B97365" w:rsidRDefault="00000000">
      <w:pPr>
        <w:spacing w:before="0" w:after="200" w:line="276" w:lineRule="auto"/>
        <w:rPr>
          <w:b/>
          <w:szCs w:val="22"/>
          <w:lang w:val="en-US" w:eastAsia="en-GB" w:bidi="ar-SA"/>
        </w:rPr>
      </w:pPr>
      <w:bookmarkStart w:id="11946" w:name="_Toc420595136"/>
      <w:r>
        <w:rPr>
          <w:rFonts w:cs="Arial"/>
          <w:b/>
          <w:szCs w:val="22"/>
          <w:lang w:val="en-US" w:eastAsia="en-GB" w:bidi="ar-SA"/>
        </w:rPr>
        <w:t>Mandated DAP Verification:</w:t>
      </w:r>
      <w:bookmarkEnd w:id="11946"/>
    </w:p>
    <w:p w14:paraId="27959AAD" w14:textId="407EFB65"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“A Controlling Authority may require that all Application code to be loaded onto the card SHALL be checked for integrity and authenticity. The Mandated DAP Verification privilege of the Controlling Authority's Security Domain detailed in this Specification provides this service on behalf of the Controlling Authority”.</w:t>
      </w:r>
    </w:p>
    <w:p w14:paraId="315BB8D6" w14:textId="14C42770" w:rsidR="00B97365" w:rsidRDefault="00000000">
      <w:pPr>
        <w:spacing w:before="0" w:after="200" w:line="276" w:lineRule="auto"/>
        <w:rPr>
          <w:rFonts w:cs="Arial"/>
          <w:szCs w:val="22"/>
          <w:lang w:val="en-US" w:eastAsia="en-GB" w:bidi="ar-SA"/>
        </w:rPr>
      </w:pPr>
      <w:r>
        <w:rPr>
          <w:rFonts w:cs="Arial"/>
          <w:szCs w:val="22"/>
          <w:lang w:val="en-US" w:eastAsia="en-GB" w:bidi="ar-SA"/>
        </w:rPr>
        <w:t>If a Security Domain in a Profile has this privilege, it SHALL be relevant only when the Profile is enabled.</w:t>
      </w:r>
    </w:p>
    <w:p w14:paraId="26CEC95A" w14:textId="77777777" w:rsidR="00B97365" w:rsidRDefault="00000000">
      <w:pPr>
        <w:spacing w:before="0" w:after="200" w:line="276" w:lineRule="auto"/>
        <w:rPr>
          <w:rFonts w:cs="Arial"/>
          <w:szCs w:val="22"/>
          <w:lang w:val="en-US" w:eastAsia="en-GB" w:bidi="ar-SA"/>
        </w:rPr>
      </w:pPr>
      <w:r>
        <w:rPr>
          <w:rFonts w:cs="Arial"/>
          <w:szCs w:val="22"/>
          <w:lang w:val="en-US" w:eastAsia="en-GB" w:bidi="ar-SA"/>
        </w:rPr>
        <w:t>The DAP verification is mandated only when loading an Application inside the Profile.</w:t>
      </w:r>
    </w:p>
    <w:p w14:paraId="660F52D7" w14:textId="77777777" w:rsidR="00B97365" w:rsidRDefault="00B97365">
      <w:pPr>
        <w:rPr>
          <w:rFonts w:cs="Calibri"/>
        </w:rPr>
      </w:pPr>
    </w:p>
    <w:p w14:paraId="74E9F771" w14:textId="77777777" w:rsidR="00B97365" w:rsidRDefault="00000000">
      <w:pPr>
        <w:spacing w:before="0" w:after="200" w:line="276" w:lineRule="auto"/>
        <w:rPr>
          <w:b/>
          <w:szCs w:val="22"/>
          <w:lang w:val="en-US" w:eastAsia="en-GB" w:bidi="ar-SA"/>
        </w:rPr>
      </w:pPr>
      <w:bookmarkStart w:id="11947" w:name="_Toc420595137"/>
      <w:r>
        <w:rPr>
          <w:rFonts w:cs="Arial"/>
          <w:b/>
          <w:szCs w:val="22"/>
          <w:lang w:val="en-US" w:eastAsia="en-GB" w:bidi="ar-SA"/>
        </w:rPr>
        <w:t>Trusted Path:</w:t>
      </w:r>
      <w:bookmarkEnd w:id="11947"/>
    </w:p>
    <w:p w14:paraId="4EC6951F" w14:textId="41740C13"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"The 'Trusted Path' privilege qualifies an Application as a Receiving Entity. Each Application present on the card playing the Role of a </w:t>
      </w:r>
      <w:r>
        <w:rPr>
          <w:szCs w:val="22"/>
          <w:lang w:val="en-US" w:eastAsia="en-GB" w:bidi="ar-SA"/>
        </w:rPr>
        <w:lastRenderedPageBreak/>
        <w:t xml:space="preserve">Receiving Entity SHALL: Enforce the Issuer's security rules for inter-application communication; Ensure that incoming messages are properly provided unaltered to the Trusted Framework; Ensure that any response messages are properly returned unaltered to the off-card entity”. </w:t>
      </w:r>
    </w:p>
    <w:p w14:paraId="3353B5D5" w14:textId="77777777" w:rsidR="00B97365" w:rsidRDefault="00B97365">
      <w:pPr>
        <w:ind w:left="360"/>
        <w:rPr>
          <w:rFonts w:cs="Calibri"/>
        </w:rPr>
      </w:pPr>
    </w:p>
    <w:p w14:paraId="2D73719D" w14:textId="77777777" w:rsidR="00B97365" w:rsidRDefault="00000000">
      <w:pPr>
        <w:spacing w:before="0" w:after="200" w:line="276" w:lineRule="auto"/>
        <w:rPr>
          <w:b/>
          <w:szCs w:val="22"/>
          <w:lang w:val="en-US" w:eastAsia="en-GB" w:bidi="ar-SA"/>
        </w:rPr>
      </w:pPr>
      <w:bookmarkStart w:id="11948" w:name="_Toc420595138"/>
      <w:r>
        <w:rPr>
          <w:rFonts w:cs="Arial"/>
          <w:b/>
          <w:szCs w:val="22"/>
          <w:lang w:val="en-US" w:eastAsia="en-GB" w:bidi="ar-SA"/>
        </w:rPr>
        <w:t>Authorised Management:</w:t>
      </w:r>
      <w:bookmarkEnd w:id="11948"/>
    </w:p>
    <w:p w14:paraId="40DA6795" w14:textId="46D85C80"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“Having a Security Domain with this privilege allows a Security Domain provider to perform Card Content management without authorisation (i.e. a token) in the case where the off-card entity is authenticated as the owner (Security Domain Provider) of the Security Domain”.</w:t>
      </w:r>
    </w:p>
    <w:p w14:paraId="15C486EA" w14:textId="77777777" w:rsidR="00B97365" w:rsidRDefault="00000000">
      <w:pPr>
        <w:rPr>
          <w:rFonts w:cs="Calibri"/>
          <w:b/>
        </w:rPr>
      </w:pPr>
      <w:r>
        <w:rPr>
          <w:rFonts w:cs="Calibri"/>
          <w:lang w:val="en-US"/>
        </w:rPr>
        <w:t xml:space="preserve">  </w:t>
      </w:r>
    </w:p>
    <w:p w14:paraId="2F7872EF" w14:textId="77777777" w:rsidR="00B97365" w:rsidRDefault="00000000">
      <w:pPr>
        <w:spacing w:before="0" w:after="200" w:line="276" w:lineRule="auto"/>
        <w:rPr>
          <w:b/>
          <w:szCs w:val="22"/>
          <w:lang w:val="en-US" w:eastAsia="en-GB" w:bidi="ar-SA"/>
        </w:rPr>
      </w:pPr>
      <w:bookmarkStart w:id="11949" w:name="_Toc420595139"/>
      <w:r>
        <w:rPr>
          <w:rFonts w:cs="Arial"/>
          <w:b/>
          <w:szCs w:val="22"/>
          <w:lang w:val="en-US" w:eastAsia="en-GB" w:bidi="ar-SA"/>
        </w:rPr>
        <w:t>Token Verification:</w:t>
      </w:r>
      <w:bookmarkEnd w:id="11949"/>
    </w:p>
    <w:p w14:paraId="3ADE0FF2" w14:textId="373499B8"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“This privilege allows a Security Domain Provider, to authorize any Card Content management operation”. </w:t>
      </w:r>
    </w:p>
    <w:p w14:paraId="74167793" w14:textId="77777777" w:rsidR="00B97365" w:rsidRDefault="00000000">
      <w:pPr>
        <w:spacing w:after="120"/>
        <w:rPr>
          <w:rFonts w:cs="Calibri"/>
          <w:lang w:val="en-US"/>
        </w:rPr>
      </w:pPr>
      <w:r>
        <w:rPr>
          <w:rFonts w:cs="Calibri"/>
          <w:lang w:val="en-US"/>
        </w:rPr>
        <w:t>This privilege SHALL be set to MNO-SD, if the Delegated Management privilege is used in the Profile.</w:t>
      </w:r>
    </w:p>
    <w:p w14:paraId="1CF6393E" w14:textId="77777777" w:rsidR="00B97365" w:rsidRDefault="00B97365">
      <w:pPr>
        <w:spacing w:after="120"/>
        <w:rPr>
          <w:rFonts w:cs="Calibri"/>
          <w:lang w:val="en-US"/>
        </w:rPr>
      </w:pPr>
    </w:p>
    <w:p w14:paraId="2CFEB64C" w14:textId="77777777" w:rsidR="00B97365" w:rsidRDefault="00000000">
      <w:pPr>
        <w:spacing w:before="0" w:after="200" w:line="276" w:lineRule="auto"/>
        <w:rPr>
          <w:b/>
          <w:szCs w:val="22"/>
          <w:lang w:val="en-US" w:eastAsia="en-GB" w:bidi="ar-SA"/>
        </w:rPr>
      </w:pPr>
      <w:bookmarkStart w:id="11950" w:name="_Toc420595140"/>
      <w:r>
        <w:rPr>
          <w:rFonts w:cs="Arial"/>
          <w:b/>
          <w:szCs w:val="22"/>
          <w:lang w:val="en-US" w:eastAsia="en-GB" w:bidi="ar-SA"/>
        </w:rPr>
        <w:t>Global Delete:</w:t>
      </w:r>
      <w:bookmarkEnd w:id="11950"/>
    </w:p>
    <w:p w14:paraId="42A452FB" w14:textId="4981D1E4" w:rsidR="00B97365" w:rsidRDefault="00000000">
      <w:pPr>
        <w:spacing w:before="0" w:after="200" w:line="276" w:lineRule="auto"/>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 MERGEFORMAT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“This privilege provides the capability to remove any Executable Load File or Application from the card even if the Executable Load File or Application does not belong to this Security Domain”.</w:t>
      </w:r>
    </w:p>
    <w:p w14:paraId="35104B10"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For MNO-SD and Applications inside a Profile, this privilege SHALL only allow deletion of Applications in the corresponding Profile.</w:t>
      </w:r>
    </w:p>
    <w:p w14:paraId="4D1C8385" w14:textId="77777777" w:rsidR="00B97365" w:rsidRDefault="00B97365">
      <w:pPr>
        <w:ind w:left="360"/>
        <w:rPr>
          <w:rFonts w:cs="Calibri"/>
        </w:rPr>
      </w:pPr>
    </w:p>
    <w:p w14:paraId="59EE75EF" w14:textId="77777777" w:rsidR="00B97365" w:rsidRDefault="00000000">
      <w:pPr>
        <w:spacing w:before="0" w:after="200" w:line="276" w:lineRule="auto"/>
        <w:jc w:val="left"/>
        <w:rPr>
          <w:b/>
          <w:szCs w:val="22"/>
          <w:lang w:val="en-US" w:eastAsia="en-GB" w:bidi="ar-SA"/>
        </w:rPr>
      </w:pPr>
      <w:bookmarkStart w:id="11951" w:name="_Toc420595141"/>
      <w:r>
        <w:rPr>
          <w:rFonts w:cs="Arial"/>
          <w:b/>
          <w:szCs w:val="22"/>
          <w:lang w:val="en-US" w:eastAsia="en-GB" w:bidi="ar-SA"/>
        </w:rPr>
        <w:t>Global Lock:</w:t>
      </w:r>
      <w:bookmarkEnd w:id="11951"/>
    </w:p>
    <w:p w14:paraId="2C2F2BE4" w14:textId="70A01ABA"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“This privilege provides the right to initiate the locking and unlocking of any Application on the card, independent of its Security Domain Association and hierarchy. It also provides the capability to restrict the Card Content Management functionality of OPEN”.</w:t>
      </w:r>
    </w:p>
    <w:p w14:paraId="28B38A0B" w14:textId="77777777" w:rsidR="00B97365" w:rsidRDefault="00B97365">
      <w:pPr>
        <w:rPr>
          <w:rFonts w:cs="Calibri"/>
        </w:rPr>
      </w:pPr>
    </w:p>
    <w:p w14:paraId="0AC39507"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For MNO-SD and Applications inside a Profile, this privilege SHALL only allow locking of Applications in the corresponding Profile.</w:t>
      </w:r>
    </w:p>
    <w:p w14:paraId="0C38D688" w14:textId="77777777" w:rsidR="00B97365" w:rsidRDefault="00B97365">
      <w:pPr>
        <w:rPr>
          <w:rFonts w:cs="Calibri"/>
        </w:rPr>
      </w:pPr>
    </w:p>
    <w:p w14:paraId="7B8AE097" w14:textId="77777777" w:rsidR="00B97365" w:rsidRDefault="00000000">
      <w:pPr>
        <w:spacing w:before="0" w:after="200" w:line="276" w:lineRule="auto"/>
        <w:jc w:val="left"/>
        <w:rPr>
          <w:b/>
          <w:szCs w:val="22"/>
          <w:lang w:val="en-US" w:eastAsia="en-GB" w:bidi="ar-SA"/>
        </w:rPr>
      </w:pPr>
      <w:bookmarkStart w:id="11952" w:name="_Toc420595142"/>
      <w:r>
        <w:rPr>
          <w:rFonts w:cs="Arial"/>
          <w:b/>
          <w:szCs w:val="22"/>
          <w:lang w:val="en-US" w:eastAsia="en-GB" w:bidi="ar-SA"/>
        </w:rPr>
        <w:t>Global Registry:</w:t>
      </w:r>
      <w:bookmarkEnd w:id="11952"/>
    </w:p>
    <w:p w14:paraId="19D7021C" w14:textId="0C5DE039"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“The search is limited to the Executable Load Files, Applications and Security Domains that are directly or indirectly associated with the eUICC entity receiving the command. When the eUICC entity receiving the command has the Global Registry privilege, the search applies to all Executable Load Files, Applications and Security Domains registered in the GlobalPlatform Registry”.</w:t>
      </w:r>
    </w:p>
    <w:p w14:paraId="6878AC62" w14:textId="77777777" w:rsidR="00B97365" w:rsidRDefault="00B97365">
      <w:pPr>
        <w:rPr>
          <w:rFonts w:cs="Calibri"/>
        </w:rPr>
      </w:pPr>
    </w:p>
    <w:p w14:paraId="787A1EFD"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For ISD-P and Applications inside a Profile, this privilege SHALL only allow looking for Applications in the corresponding Profile.</w:t>
      </w:r>
    </w:p>
    <w:p w14:paraId="0003C5A0" w14:textId="77777777" w:rsidR="00B97365" w:rsidRDefault="00B97365">
      <w:pPr>
        <w:ind w:left="360"/>
        <w:rPr>
          <w:rFonts w:cs="Calibri"/>
        </w:rPr>
      </w:pPr>
    </w:p>
    <w:p w14:paraId="2BC14C64" w14:textId="77777777" w:rsidR="00B97365" w:rsidRDefault="00000000">
      <w:pPr>
        <w:spacing w:before="0" w:after="200" w:line="276" w:lineRule="auto"/>
        <w:jc w:val="left"/>
        <w:rPr>
          <w:b/>
          <w:szCs w:val="22"/>
          <w:lang w:val="en-US" w:eastAsia="en-GB" w:bidi="ar-SA"/>
        </w:rPr>
      </w:pPr>
      <w:bookmarkStart w:id="11953" w:name="_Toc420595143"/>
      <w:r>
        <w:rPr>
          <w:rFonts w:cs="Arial"/>
          <w:b/>
          <w:szCs w:val="22"/>
          <w:lang w:val="en-US" w:eastAsia="en-GB" w:bidi="ar-SA"/>
        </w:rPr>
        <w:t>Final Application:</w:t>
      </w:r>
      <w:bookmarkEnd w:id="11953"/>
    </w:p>
    <w:p w14:paraId="319C53D3" w14:textId="3B063A6A"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“If a Security Domain has the Final Application privilege only the GET DATA command SHALL be processed, all other commands defined in this specification SHALL be disabled and SHALL return an error”. </w:t>
      </w:r>
    </w:p>
    <w:p w14:paraId="55488F7E"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On the eUICC, the Final Application privilege is not applicable and SHALL NOT be assigned to any security domain/Application. </w:t>
      </w:r>
    </w:p>
    <w:p w14:paraId="5BB5C20E" w14:textId="77777777" w:rsidR="00B97365" w:rsidRDefault="00B97365">
      <w:pPr>
        <w:rPr>
          <w:rFonts w:cs="Calibri"/>
        </w:rPr>
      </w:pPr>
    </w:p>
    <w:p w14:paraId="66E27D2F" w14:textId="77777777" w:rsidR="00B97365" w:rsidRDefault="00000000">
      <w:pPr>
        <w:spacing w:before="0" w:after="200" w:line="276" w:lineRule="auto"/>
        <w:jc w:val="left"/>
        <w:rPr>
          <w:b/>
          <w:szCs w:val="22"/>
          <w:lang w:val="en-US" w:eastAsia="en-GB" w:bidi="ar-SA"/>
        </w:rPr>
      </w:pPr>
      <w:bookmarkStart w:id="11954" w:name="_Toc420595144"/>
      <w:r>
        <w:rPr>
          <w:rFonts w:cs="Arial"/>
          <w:b/>
          <w:szCs w:val="22"/>
          <w:lang w:val="en-US" w:eastAsia="en-GB" w:bidi="ar-SA"/>
        </w:rPr>
        <w:t>Global Service:</w:t>
      </w:r>
      <w:bookmarkEnd w:id="11954"/>
    </w:p>
    <w:p w14:paraId="19E955B5" w14:textId="6D1FB569"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“One or more Global Services Applications may be present on the card to provide services to other Applications on the card.</w:t>
      </w:r>
    </w:p>
    <w:p w14:paraId="2789CE3B"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The MNO-SD or Applications inside a Profile with the Global Service privilege SHALL offer service only when the Profile is enabled. Therefore, it is possible to have several Applications registered on the same service in the same eUICC.</w:t>
      </w:r>
    </w:p>
    <w:p w14:paraId="6CB9803A" w14:textId="77777777" w:rsidR="00B97365" w:rsidRDefault="00B97365">
      <w:pPr>
        <w:ind w:left="360"/>
        <w:rPr>
          <w:rFonts w:cs="Calibri"/>
        </w:rPr>
      </w:pPr>
    </w:p>
    <w:p w14:paraId="23792643" w14:textId="77777777" w:rsidR="00B97365" w:rsidRDefault="00000000">
      <w:pPr>
        <w:spacing w:before="0" w:after="200" w:line="276" w:lineRule="auto"/>
        <w:jc w:val="left"/>
        <w:rPr>
          <w:b/>
          <w:szCs w:val="22"/>
          <w:lang w:val="en-US" w:eastAsia="en-GB" w:bidi="ar-SA"/>
        </w:rPr>
      </w:pPr>
      <w:bookmarkStart w:id="11955" w:name="_Toc420595145"/>
      <w:r>
        <w:rPr>
          <w:rFonts w:cs="Arial"/>
          <w:b/>
          <w:szCs w:val="22"/>
          <w:lang w:val="en-US" w:eastAsia="en-GB" w:bidi="ar-SA"/>
        </w:rPr>
        <w:t>Receipt Generation:</w:t>
      </w:r>
      <w:bookmarkEnd w:id="11955"/>
    </w:p>
    <w:p w14:paraId="79BD8F1C" w14:textId="56B6F695"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“This privilege allows a Security Domain Provider, typically the Card Issuer, to provide a confirmation for the performed card content management. A Security Domain with Receipt Generation privilege requires the knowledge of keys and algorithms used for Receipts generation”.</w:t>
      </w:r>
    </w:p>
    <w:p w14:paraId="78281CE7" w14:textId="77777777" w:rsidR="00B97365" w:rsidRDefault="00000000">
      <w:pPr>
        <w:spacing w:before="0" w:after="200" w:line="276" w:lineRule="auto"/>
        <w:jc w:val="left"/>
        <w:rPr>
          <w:szCs w:val="22"/>
          <w:lang w:val="en-US" w:eastAsia="en-GB" w:bidi="ar-SA"/>
        </w:rPr>
      </w:pPr>
      <w:r>
        <w:rPr>
          <w:szCs w:val="22"/>
          <w:lang w:val="en-US" w:eastAsia="en-GB" w:bidi="ar-SA"/>
        </w:rPr>
        <w:t>This privilege SHALL be set to MNO-SD, if the Delegated Management privilege is used in the Profile.</w:t>
      </w:r>
    </w:p>
    <w:p w14:paraId="35E9D450" w14:textId="77777777" w:rsidR="00B97365" w:rsidRDefault="00B97365">
      <w:pPr>
        <w:ind w:left="360"/>
        <w:rPr>
          <w:rFonts w:cs="Calibri"/>
        </w:rPr>
      </w:pPr>
    </w:p>
    <w:p w14:paraId="6682C76B" w14:textId="77777777" w:rsidR="00B97365" w:rsidRDefault="00000000">
      <w:pPr>
        <w:spacing w:before="0" w:after="200" w:line="276" w:lineRule="auto"/>
        <w:jc w:val="left"/>
        <w:rPr>
          <w:b/>
          <w:szCs w:val="22"/>
          <w:lang w:val="en-US" w:eastAsia="en-GB" w:bidi="ar-SA"/>
        </w:rPr>
      </w:pPr>
      <w:bookmarkStart w:id="11956" w:name="_Toc420595146"/>
      <w:r>
        <w:rPr>
          <w:rFonts w:cs="Arial"/>
          <w:b/>
          <w:szCs w:val="22"/>
          <w:lang w:val="en-US" w:eastAsia="en-GB" w:bidi="ar-SA"/>
        </w:rPr>
        <w:t>Ciphered Load File Data Block:</w:t>
      </w:r>
      <w:bookmarkEnd w:id="11956"/>
    </w:p>
    <w:p w14:paraId="42294337" w14:textId="64C9A54C"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“This privilege allows a Security Domain Provider to require that the Load File Data Block being associated to it SHALL be ciphered”.</w:t>
      </w:r>
    </w:p>
    <w:p w14:paraId="44046BAC" w14:textId="77777777" w:rsidR="00B97365" w:rsidRDefault="00B97365">
      <w:pPr>
        <w:ind w:left="360"/>
        <w:rPr>
          <w:rFonts w:cs="Calibri"/>
        </w:rPr>
      </w:pPr>
    </w:p>
    <w:p w14:paraId="78A38564" w14:textId="77777777" w:rsidR="00B97365" w:rsidRDefault="00000000">
      <w:pPr>
        <w:spacing w:before="0" w:after="200" w:line="276" w:lineRule="auto"/>
        <w:jc w:val="left"/>
        <w:rPr>
          <w:b/>
          <w:szCs w:val="22"/>
          <w:lang w:val="en-US" w:eastAsia="en-GB" w:bidi="ar-SA"/>
        </w:rPr>
      </w:pPr>
      <w:bookmarkStart w:id="11957" w:name="_Toc420595147"/>
      <w:r>
        <w:rPr>
          <w:rFonts w:cs="Arial"/>
          <w:b/>
          <w:szCs w:val="22"/>
          <w:lang w:val="en-US" w:eastAsia="en-GB" w:bidi="ar-SA"/>
        </w:rPr>
        <w:t>Contactless Activation:</w:t>
      </w:r>
      <w:bookmarkEnd w:id="11957"/>
    </w:p>
    <w:p w14:paraId="34413A5A" w14:textId="2903B91B"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“The Contactless Activation privilege identifies the CRS Application. This Privilege allows: </w:t>
      </w:r>
    </w:p>
    <w:p w14:paraId="45684D43"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Activation/Deactivation of Applications on the Contactless Interface </w:t>
      </w:r>
    </w:p>
    <w:p w14:paraId="4D68D084"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The update of the Selection Priority </w:t>
      </w:r>
    </w:p>
    <w:p w14:paraId="4914353D"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Manage the Volatile Priority </w:t>
      </w:r>
    </w:p>
    <w:p w14:paraId="274B4479"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Reorder the GlobalPlatform Registry </w:t>
      </w:r>
    </w:p>
    <w:p w14:paraId="0D8E8B3C"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 xml:space="preserve">Notification by the OPEN when: </w:t>
      </w:r>
    </w:p>
    <w:p w14:paraId="308035E5"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lastRenderedPageBreak/>
        <w:t xml:space="preserve">An Application is INSTALLED, LOCKED, unlocked or deleted </w:t>
      </w:r>
    </w:p>
    <w:p w14:paraId="41A05567"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The availability state of an Application is changed between NON_ACTIVATABLE, ACTIVATED, or DEACTIVATED. </w:t>
      </w:r>
    </w:p>
    <w:p w14:paraId="3EF927A3" w14:textId="77777777" w:rsidR="00B97365" w:rsidRDefault="00000000">
      <w:pPr>
        <w:numPr>
          <w:ilvl w:val="1"/>
          <w:numId w:val="38"/>
        </w:numPr>
        <w:tabs>
          <w:tab w:val="left" w:pos="1021"/>
        </w:tabs>
        <w:spacing w:before="0" w:after="200" w:line="276" w:lineRule="auto"/>
        <w:contextualSpacing/>
        <w:jc w:val="left"/>
        <w:rPr>
          <w:szCs w:val="22"/>
          <w:lang w:eastAsia="en-GB" w:bidi="ar-SA"/>
        </w:rPr>
      </w:pPr>
      <w:r>
        <w:rPr>
          <w:szCs w:val="22"/>
          <w:lang w:eastAsia="en-GB" w:bidi="ar-SA"/>
        </w:rPr>
        <w:t xml:space="preserve">One of the Application’s contactless registry parameters is updated”. </w:t>
      </w:r>
    </w:p>
    <w:p w14:paraId="77725C2C" w14:textId="77777777" w:rsidR="00B97365" w:rsidRDefault="00B97365">
      <w:pPr>
        <w:ind w:left="1080"/>
        <w:rPr>
          <w:rFonts w:cs="Calibri"/>
        </w:rPr>
      </w:pPr>
    </w:p>
    <w:p w14:paraId="7946FA85"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If an Application in a Profile has this privilege, it SHALL be relevant only when the Profile is enabled. In that case, several Applications may have this privilege on the card, but this privilege SHALL be unique within a Profile.</w:t>
      </w:r>
    </w:p>
    <w:p w14:paraId="3305A7F1" w14:textId="77777777" w:rsidR="00B97365" w:rsidRDefault="00B97365">
      <w:pPr>
        <w:ind w:left="360"/>
        <w:rPr>
          <w:rFonts w:cs="Calibri"/>
        </w:rPr>
      </w:pPr>
    </w:p>
    <w:p w14:paraId="7B08AA7B" w14:textId="77777777" w:rsidR="00B97365" w:rsidRDefault="00000000">
      <w:pPr>
        <w:spacing w:before="0" w:after="200" w:line="276" w:lineRule="auto"/>
        <w:jc w:val="left"/>
        <w:rPr>
          <w:b/>
          <w:szCs w:val="22"/>
          <w:lang w:val="en-US" w:eastAsia="en-GB" w:bidi="ar-SA"/>
        </w:rPr>
      </w:pPr>
      <w:bookmarkStart w:id="11958" w:name="_Toc420595148"/>
      <w:r>
        <w:rPr>
          <w:rFonts w:cs="Arial"/>
          <w:b/>
          <w:szCs w:val="22"/>
          <w:lang w:val="en-US" w:eastAsia="en-GB" w:bidi="ar-SA"/>
        </w:rPr>
        <w:t>Contactless Self-Activation:</w:t>
      </w:r>
      <w:bookmarkEnd w:id="11958"/>
    </w:p>
    <w:p w14:paraId="16811A09" w14:textId="694D0C11" w:rsidR="00B97365" w:rsidRDefault="00000000">
      <w:pPr>
        <w:spacing w:before="0" w:after="200" w:line="276" w:lineRule="auto"/>
        <w:jc w:val="left"/>
        <w:rPr>
          <w:szCs w:val="22"/>
          <w:lang w:val="en-US" w:eastAsia="en-GB" w:bidi="ar-SA"/>
        </w:rPr>
      </w:pPr>
      <w:r>
        <w:rPr>
          <w:rFonts w:cs="Arial"/>
          <w:szCs w:val="22"/>
          <w:lang w:val="en-US" w:eastAsia="en-GB" w:bidi="ar-SA"/>
        </w:rPr>
        <w:t xml:space="preserve">GlobalPlatform Card Specification </w:t>
      </w:r>
      <w:r>
        <w:rPr>
          <w:szCs w:val="22"/>
          <w:lang w:val="en-US" w:eastAsia="en-GB" w:bidi="ar-SA"/>
        </w:rPr>
        <w:fldChar w:fldCharType="begin"/>
      </w:r>
      <w:r>
        <w:rPr>
          <w:szCs w:val="22"/>
          <w:lang w:val="en-US" w:eastAsia="en-GB" w:bidi="ar-SA"/>
        </w:rPr>
        <w:instrText xml:space="preserve"> REF _Ref421631311 \r \h </w:instrText>
      </w:r>
      <w:r>
        <w:rPr>
          <w:szCs w:val="22"/>
          <w:lang w:val="en-US" w:eastAsia="en-GB" w:bidi="ar-SA"/>
        </w:rPr>
      </w:r>
      <w:r>
        <w:rPr>
          <w:szCs w:val="22"/>
          <w:lang w:val="en-US" w:eastAsia="en-GB" w:bidi="ar-SA"/>
        </w:rPr>
        <w:fldChar w:fldCharType="separate"/>
      </w:r>
      <w:r w:rsidR="001D5AD9">
        <w:rPr>
          <w:szCs w:val="22"/>
          <w:lang w:val="en-US" w:eastAsia="en-GB" w:bidi="ar-SA"/>
        </w:rPr>
        <w:t>[6]</w:t>
      </w:r>
      <w:r>
        <w:rPr>
          <w:szCs w:val="22"/>
          <w:lang w:val="en-US" w:eastAsia="en-GB" w:bidi="ar-SA"/>
        </w:rPr>
        <w:fldChar w:fldCharType="end"/>
      </w:r>
      <w:r>
        <w:rPr>
          <w:szCs w:val="22"/>
          <w:lang w:val="en-US" w:eastAsia="en-GB" w:bidi="ar-SA"/>
        </w:rPr>
        <w:t xml:space="preserve"> states: “The Contactless Self-Activation Privilege allows an Application to activate itself without a prior request to the CRS Application”.</w:t>
      </w:r>
    </w:p>
    <w:p w14:paraId="71D08DBA"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 xml:space="preserve">If an Application in a Profile has this privilege, it SHALL be relevant only when the Profile is enabled.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96"/>
        <w:gridCol w:w="2317"/>
        <w:gridCol w:w="645"/>
        <w:gridCol w:w="637"/>
        <w:gridCol w:w="852"/>
        <w:gridCol w:w="2292"/>
        <w:gridCol w:w="777"/>
      </w:tblGrid>
      <w:tr w:rsidR="00B97365" w14:paraId="208BFAB3" w14:textId="77777777">
        <w:trPr>
          <w:trHeight w:val="276"/>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68DA1D31" w14:textId="77777777" w:rsidR="00B97365" w:rsidRDefault="00000000">
            <w:pPr>
              <w:jc w:val="center"/>
              <w:rPr>
                <w:rFonts w:cs="Arial"/>
                <w:color w:val="FFFFFF"/>
                <w:sz w:val="16"/>
                <w:szCs w:val="16"/>
              </w:rPr>
            </w:pPr>
            <w:r>
              <w:rPr>
                <w:rFonts w:cs="Arial"/>
                <w:b/>
                <w:bCs/>
                <w:color w:val="FFFFFF"/>
                <w:sz w:val="16"/>
                <w:szCs w:val="16"/>
              </w:rPr>
              <w:t>Privilege Number</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29ECE20" w14:textId="77777777" w:rsidR="00B97365" w:rsidRDefault="00000000">
            <w:pPr>
              <w:jc w:val="center"/>
              <w:rPr>
                <w:rFonts w:cs="Arial"/>
                <w:color w:val="FFFFFF"/>
                <w:sz w:val="16"/>
                <w:szCs w:val="16"/>
              </w:rPr>
            </w:pPr>
            <w:r>
              <w:rPr>
                <w:rFonts w:cs="Arial"/>
                <w:b/>
                <w:bCs/>
                <w:color w:val="FFFFFF"/>
                <w:sz w:val="16"/>
                <w:szCs w:val="16"/>
              </w:rPr>
              <w:t>Privilege</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156559F" w14:textId="77777777" w:rsidR="00B97365" w:rsidRDefault="00000000">
            <w:pPr>
              <w:jc w:val="center"/>
              <w:rPr>
                <w:rFonts w:cs="Arial"/>
                <w:color w:val="FFFFFF"/>
                <w:sz w:val="16"/>
                <w:szCs w:val="16"/>
              </w:rPr>
            </w:pPr>
            <w:r>
              <w:rPr>
                <w:rFonts w:cs="Arial"/>
                <w:b/>
                <w:bCs/>
                <w:color w:val="FFFFFF"/>
                <w:sz w:val="16"/>
                <w:szCs w:val="16"/>
              </w:rPr>
              <w:t>ISD-R</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81FB737" w14:textId="77777777" w:rsidR="00B97365" w:rsidRDefault="00000000">
            <w:pPr>
              <w:jc w:val="center"/>
              <w:rPr>
                <w:rFonts w:cs="Arial"/>
                <w:color w:val="FFFFFF"/>
                <w:sz w:val="16"/>
                <w:szCs w:val="16"/>
              </w:rPr>
            </w:pPr>
            <w:r>
              <w:rPr>
                <w:rFonts w:cs="Arial"/>
                <w:b/>
                <w:bCs/>
                <w:color w:val="FFFFFF"/>
                <w:sz w:val="16"/>
                <w:szCs w:val="16"/>
              </w:rPr>
              <w:t>ISD-P</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13C4759A" w14:textId="77777777" w:rsidR="00B97365" w:rsidRDefault="00000000">
            <w:pPr>
              <w:jc w:val="center"/>
              <w:rPr>
                <w:rFonts w:cs="Arial"/>
                <w:b/>
                <w:bCs/>
                <w:color w:val="FFFFFF"/>
                <w:sz w:val="16"/>
                <w:szCs w:val="16"/>
              </w:rPr>
            </w:pPr>
            <w:r>
              <w:rPr>
                <w:rFonts w:cs="Arial"/>
                <w:b/>
                <w:sz w:val="16"/>
                <w:szCs w:val="16"/>
              </w:rPr>
              <w:t>MNO-SD</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72E04665" w14:textId="77777777" w:rsidR="00B97365" w:rsidRDefault="00000000">
            <w:pPr>
              <w:jc w:val="center"/>
              <w:rPr>
                <w:rFonts w:cs="Arial"/>
                <w:color w:val="FFFFFF"/>
                <w:sz w:val="16"/>
                <w:szCs w:val="16"/>
              </w:rPr>
            </w:pPr>
            <w:r>
              <w:rPr>
                <w:rFonts w:cs="Arial"/>
                <w:b/>
                <w:bCs/>
                <w:color w:val="FFFFFF"/>
                <w:sz w:val="16"/>
                <w:szCs w:val="16"/>
              </w:rPr>
              <w:t>Applications inside a Profile</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20F98C66" w14:textId="77777777" w:rsidR="00B97365" w:rsidRDefault="00000000">
            <w:pPr>
              <w:jc w:val="center"/>
              <w:rPr>
                <w:rFonts w:cs="Arial"/>
                <w:b/>
                <w:bCs/>
                <w:color w:val="FFFFFF"/>
                <w:sz w:val="16"/>
                <w:szCs w:val="16"/>
              </w:rPr>
            </w:pPr>
            <w:r>
              <w:rPr>
                <w:rFonts w:cs="Arial"/>
                <w:b/>
                <w:bCs/>
                <w:color w:val="FFFFFF"/>
                <w:sz w:val="16"/>
                <w:szCs w:val="16"/>
              </w:rPr>
              <w:t>ECASD</w:t>
            </w:r>
          </w:p>
        </w:tc>
      </w:tr>
      <w:tr w:rsidR="00B97365" w14:paraId="0CBE55F9"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351D701B" w14:textId="77777777" w:rsidR="00B97365" w:rsidRDefault="00000000">
            <w:pPr>
              <w:jc w:val="center"/>
              <w:rPr>
                <w:rFonts w:cs="Arial"/>
                <w:color w:val="000000"/>
                <w:sz w:val="16"/>
                <w:szCs w:val="16"/>
              </w:rPr>
            </w:pPr>
            <w:r>
              <w:rPr>
                <w:rFonts w:cs="Arial"/>
                <w:color w:val="000000"/>
                <w:sz w:val="16"/>
                <w:szCs w:val="16"/>
              </w:rPr>
              <w:t>0</w:t>
            </w:r>
          </w:p>
        </w:tc>
        <w:tc>
          <w:tcPr>
            <w:tcW w:w="0" w:type="auto"/>
            <w:tcBorders>
              <w:top w:val="single" w:sz="6" w:space="0" w:color="auto"/>
              <w:left w:val="single" w:sz="6" w:space="0" w:color="auto"/>
              <w:bottom w:val="single" w:sz="6" w:space="0" w:color="auto"/>
              <w:right w:val="single" w:sz="6" w:space="0" w:color="auto"/>
            </w:tcBorders>
            <w:hideMark/>
          </w:tcPr>
          <w:p w14:paraId="456295CC" w14:textId="77777777" w:rsidR="00B97365" w:rsidRDefault="00000000">
            <w:pPr>
              <w:spacing w:after="120" w:line="276" w:lineRule="auto"/>
              <w:rPr>
                <w:rFonts w:cs="Arial"/>
                <w:color w:val="000000"/>
                <w:sz w:val="16"/>
                <w:szCs w:val="16"/>
              </w:rPr>
            </w:pPr>
            <w:r>
              <w:rPr>
                <w:rFonts w:cs="Arial"/>
                <w:sz w:val="16"/>
                <w:szCs w:val="16"/>
              </w:rPr>
              <w:t xml:space="preserve">Security Domain </w:t>
            </w:r>
          </w:p>
        </w:tc>
        <w:tc>
          <w:tcPr>
            <w:tcW w:w="0" w:type="auto"/>
            <w:tcBorders>
              <w:top w:val="single" w:sz="6" w:space="0" w:color="auto"/>
              <w:left w:val="single" w:sz="6" w:space="0" w:color="auto"/>
              <w:bottom w:val="single" w:sz="6" w:space="0" w:color="auto"/>
              <w:right w:val="single" w:sz="6" w:space="0" w:color="auto"/>
            </w:tcBorders>
            <w:hideMark/>
          </w:tcPr>
          <w:p w14:paraId="721992B7" w14:textId="77777777" w:rsidR="00B97365" w:rsidRDefault="00000000">
            <w:pPr>
              <w:spacing w:after="120" w:line="276" w:lineRule="auto"/>
              <w:jc w:val="center"/>
              <w:rPr>
                <w:rFonts w:cs="Arial"/>
                <w:color w:val="000000"/>
                <w:sz w:val="16"/>
                <w:szCs w:val="16"/>
              </w:rPr>
            </w:pPr>
            <w:r>
              <w:rPr>
                <w:rFonts w:cs="Arial" w:hint="eastAsia"/>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A1E6DFD" w14:textId="77777777" w:rsidR="00B97365" w:rsidRDefault="00000000">
            <w:pPr>
              <w:spacing w:after="120" w:line="276" w:lineRule="auto"/>
              <w:jc w:val="center"/>
              <w:rPr>
                <w:rFonts w:cs="Arial"/>
                <w:color w:val="000000"/>
                <w:sz w:val="16"/>
                <w:szCs w:val="16"/>
              </w:rPr>
            </w:pPr>
            <w:r>
              <w:rPr>
                <w:rFonts w:cs="Arial" w:hint="eastAsia"/>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5C6E7852" w14:textId="77777777" w:rsidR="00B97365" w:rsidRDefault="00000000">
            <w:pPr>
              <w:spacing w:after="120" w:line="276" w:lineRule="auto"/>
              <w:jc w:val="center"/>
              <w:rPr>
                <w:rFonts w:cs="Arial"/>
                <w:color w:val="000000"/>
                <w:sz w:val="16"/>
                <w:szCs w:val="16"/>
              </w:rPr>
            </w:pPr>
            <w:r>
              <w:rPr>
                <w:rFonts w:cs="Arial" w:hint="eastAsia"/>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150AD3D5"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hideMark/>
          </w:tcPr>
          <w:p w14:paraId="5B6D5763" w14:textId="77777777" w:rsidR="00B97365" w:rsidRDefault="00000000">
            <w:pPr>
              <w:spacing w:after="120" w:line="276" w:lineRule="auto"/>
              <w:jc w:val="center"/>
              <w:rPr>
                <w:rFonts w:cs="Arial"/>
                <w:color w:val="000000"/>
                <w:sz w:val="16"/>
                <w:szCs w:val="16"/>
              </w:rPr>
            </w:pPr>
            <w:r>
              <w:rPr>
                <w:rFonts w:cs="Arial" w:hint="eastAsia"/>
                <w:sz w:val="16"/>
                <w:szCs w:val="16"/>
              </w:rPr>
              <w:t>√</w:t>
            </w:r>
          </w:p>
        </w:tc>
      </w:tr>
      <w:tr w:rsidR="00B97365" w14:paraId="39EA8613"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7CF4DF3C" w14:textId="77777777" w:rsidR="00B97365" w:rsidRDefault="00000000">
            <w:pPr>
              <w:spacing w:after="120" w:line="276" w:lineRule="auto"/>
              <w:jc w:val="center"/>
              <w:rPr>
                <w:rFonts w:cs="Arial"/>
                <w:color w:val="000000"/>
                <w:sz w:val="16"/>
                <w:szCs w:val="16"/>
              </w:rPr>
            </w:pPr>
            <w:r>
              <w:rPr>
                <w:rFonts w:cs="Arial"/>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14:paraId="59250053" w14:textId="77777777" w:rsidR="00B97365" w:rsidRDefault="00000000">
            <w:pPr>
              <w:spacing w:after="120" w:line="276" w:lineRule="auto"/>
              <w:rPr>
                <w:rFonts w:cs="Arial"/>
                <w:color w:val="000000"/>
                <w:sz w:val="16"/>
                <w:szCs w:val="16"/>
              </w:rPr>
            </w:pPr>
            <w:r>
              <w:rPr>
                <w:rFonts w:cs="Arial"/>
                <w:sz w:val="16"/>
                <w:szCs w:val="16"/>
              </w:rPr>
              <w:t xml:space="preserve">DAP Verification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7B8A4FFB"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042B5C9A"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0E8C42B6"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35E7ED86"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1D900A5E" w14:textId="77777777" w:rsidR="00B97365" w:rsidRDefault="00B97365">
            <w:pPr>
              <w:jc w:val="center"/>
              <w:rPr>
                <w:rFonts w:cs="Arial"/>
                <w:color w:val="000000"/>
                <w:sz w:val="16"/>
                <w:szCs w:val="16"/>
              </w:rPr>
            </w:pPr>
          </w:p>
        </w:tc>
      </w:tr>
      <w:tr w:rsidR="00B97365" w14:paraId="18CCD893"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75265D24" w14:textId="77777777" w:rsidR="00B97365" w:rsidRDefault="00000000">
            <w:pPr>
              <w:spacing w:after="120" w:line="276" w:lineRule="auto"/>
              <w:jc w:val="center"/>
              <w:rPr>
                <w:rFonts w:cs="Arial"/>
                <w:color w:val="000000"/>
                <w:sz w:val="16"/>
                <w:szCs w:val="16"/>
              </w:rPr>
            </w:pPr>
            <w:r>
              <w:rPr>
                <w:rFonts w:cs="Arial"/>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hideMark/>
          </w:tcPr>
          <w:p w14:paraId="5BD030E7" w14:textId="77777777" w:rsidR="00B97365" w:rsidRDefault="00000000">
            <w:pPr>
              <w:spacing w:after="120" w:line="276" w:lineRule="auto"/>
              <w:rPr>
                <w:rFonts w:cs="Arial"/>
                <w:color w:val="000000"/>
                <w:sz w:val="16"/>
                <w:szCs w:val="16"/>
              </w:rPr>
            </w:pPr>
            <w:r>
              <w:rPr>
                <w:rFonts w:cs="Arial"/>
                <w:sz w:val="16"/>
                <w:szCs w:val="16"/>
              </w:rPr>
              <w:t xml:space="preserve">Delegated Management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5CF0ED73"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21D24552"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1ABA2DE3"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737F21CC"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6F40821F" w14:textId="77777777" w:rsidR="00B97365" w:rsidRDefault="00B97365">
            <w:pPr>
              <w:jc w:val="center"/>
              <w:rPr>
                <w:rFonts w:cs="Arial"/>
                <w:color w:val="000000"/>
                <w:sz w:val="16"/>
                <w:szCs w:val="16"/>
              </w:rPr>
            </w:pPr>
          </w:p>
        </w:tc>
      </w:tr>
      <w:tr w:rsidR="00B97365" w14:paraId="0D1CA54F"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059D35E1" w14:textId="77777777" w:rsidR="00B97365" w:rsidRDefault="00000000">
            <w:pPr>
              <w:spacing w:after="120" w:line="276" w:lineRule="auto"/>
              <w:jc w:val="center"/>
              <w:rPr>
                <w:rFonts w:cs="Arial"/>
                <w:color w:val="000000"/>
                <w:sz w:val="16"/>
                <w:szCs w:val="16"/>
              </w:rPr>
            </w:pPr>
            <w:r>
              <w:rPr>
                <w:rFonts w:cs="Arial"/>
                <w:color w:val="000000"/>
                <w:sz w:val="16"/>
                <w:szCs w:val="16"/>
              </w:rPr>
              <w:t>3</w:t>
            </w:r>
          </w:p>
        </w:tc>
        <w:tc>
          <w:tcPr>
            <w:tcW w:w="0" w:type="auto"/>
            <w:tcBorders>
              <w:top w:val="single" w:sz="6" w:space="0" w:color="auto"/>
              <w:left w:val="single" w:sz="6" w:space="0" w:color="auto"/>
              <w:bottom w:val="single" w:sz="6" w:space="0" w:color="auto"/>
              <w:right w:val="single" w:sz="6" w:space="0" w:color="auto"/>
            </w:tcBorders>
            <w:hideMark/>
          </w:tcPr>
          <w:p w14:paraId="7B28AE3C" w14:textId="77777777" w:rsidR="00B97365" w:rsidRDefault="00000000">
            <w:pPr>
              <w:spacing w:after="120" w:line="276" w:lineRule="auto"/>
              <w:rPr>
                <w:rFonts w:cs="Arial"/>
                <w:color w:val="000000"/>
                <w:sz w:val="16"/>
                <w:szCs w:val="16"/>
              </w:rPr>
            </w:pPr>
            <w:r>
              <w:rPr>
                <w:rFonts w:cs="Arial"/>
                <w:sz w:val="16"/>
                <w:szCs w:val="16"/>
              </w:rPr>
              <w:t xml:space="preserve">Card Lock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62B12829"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415E8A2E"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62E7E605"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75702973"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6AF32699" w14:textId="77777777" w:rsidR="00B97365" w:rsidRDefault="00B97365">
            <w:pPr>
              <w:jc w:val="center"/>
              <w:rPr>
                <w:rFonts w:cs="Arial"/>
                <w:color w:val="000000"/>
                <w:sz w:val="16"/>
                <w:szCs w:val="16"/>
              </w:rPr>
            </w:pPr>
          </w:p>
        </w:tc>
      </w:tr>
      <w:tr w:rsidR="00B97365" w14:paraId="49A79726"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1EFE8691" w14:textId="77777777" w:rsidR="00B97365" w:rsidRDefault="00000000">
            <w:pPr>
              <w:spacing w:after="120" w:line="276" w:lineRule="auto"/>
              <w:jc w:val="center"/>
              <w:rPr>
                <w:rFonts w:cs="Arial"/>
                <w:color w:val="000000"/>
                <w:sz w:val="16"/>
                <w:szCs w:val="16"/>
              </w:rPr>
            </w:pPr>
            <w:r>
              <w:rPr>
                <w:rFonts w:cs="Arial"/>
                <w:color w:val="000000"/>
                <w:sz w:val="16"/>
                <w:szCs w:val="16"/>
              </w:rPr>
              <w:t>4</w:t>
            </w:r>
          </w:p>
        </w:tc>
        <w:tc>
          <w:tcPr>
            <w:tcW w:w="0" w:type="auto"/>
            <w:tcBorders>
              <w:top w:val="single" w:sz="6" w:space="0" w:color="auto"/>
              <w:left w:val="single" w:sz="6" w:space="0" w:color="auto"/>
              <w:bottom w:val="single" w:sz="6" w:space="0" w:color="auto"/>
              <w:right w:val="single" w:sz="6" w:space="0" w:color="auto"/>
            </w:tcBorders>
            <w:hideMark/>
          </w:tcPr>
          <w:p w14:paraId="257D2B5D" w14:textId="77777777" w:rsidR="00B97365" w:rsidRDefault="00000000">
            <w:pPr>
              <w:spacing w:after="120" w:line="276" w:lineRule="auto"/>
              <w:rPr>
                <w:rFonts w:cs="Arial"/>
                <w:color w:val="000000"/>
                <w:sz w:val="16"/>
                <w:szCs w:val="16"/>
              </w:rPr>
            </w:pPr>
            <w:r>
              <w:rPr>
                <w:rFonts w:cs="Arial"/>
                <w:sz w:val="16"/>
                <w:szCs w:val="16"/>
              </w:rPr>
              <w:t xml:space="preserve">Card Terminate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4DF55B96"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58C76A4C"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7545D985"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13B6C372"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6574B744" w14:textId="77777777" w:rsidR="00B97365" w:rsidRDefault="00B97365">
            <w:pPr>
              <w:jc w:val="center"/>
              <w:rPr>
                <w:rFonts w:cs="Arial"/>
                <w:color w:val="000000"/>
                <w:sz w:val="16"/>
                <w:szCs w:val="16"/>
              </w:rPr>
            </w:pPr>
          </w:p>
        </w:tc>
      </w:tr>
      <w:tr w:rsidR="00B97365" w14:paraId="3F4DD2B4"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3D5E78C7" w14:textId="77777777" w:rsidR="00B97365" w:rsidRDefault="00000000">
            <w:pPr>
              <w:spacing w:after="120" w:line="276" w:lineRule="auto"/>
              <w:jc w:val="center"/>
              <w:rPr>
                <w:rFonts w:cs="Arial"/>
                <w:color w:val="000000"/>
                <w:sz w:val="16"/>
                <w:szCs w:val="16"/>
              </w:rPr>
            </w:pPr>
            <w:r>
              <w:rPr>
                <w:rFonts w:cs="Arial"/>
                <w:color w:val="000000"/>
                <w:sz w:val="16"/>
                <w:szCs w:val="16"/>
              </w:rPr>
              <w:t>5</w:t>
            </w:r>
          </w:p>
        </w:tc>
        <w:tc>
          <w:tcPr>
            <w:tcW w:w="0" w:type="auto"/>
            <w:tcBorders>
              <w:top w:val="single" w:sz="6" w:space="0" w:color="auto"/>
              <w:left w:val="single" w:sz="6" w:space="0" w:color="auto"/>
              <w:bottom w:val="single" w:sz="6" w:space="0" w:color="auto"/>
              <w:right w:val="single" w:sz="6" w:space="0" w:color="auto"/>
            </w:tcBorders>
            <w:hideMark/>
          </w:tcPr>
          <w:p w14:paraId="6C4C3A50" w14:textId="77777777" w:rsidR="00B97365" w:rsidRDefault="00000000">
            <w:pPr>
              <w:spacing w:after="120" w:line="276" w:lineRule="auto"/>
              <w:rPr>
                <w:rFonts w:cs="Arial"/>
                <w:color w:val="000000"/>
                <w:sz w:val="16"/>
                <w:szCs w:val="16"/>
              </w:rPr>
            </w:pPr>
            <w:r>
              <w:rPr>
                <w:rFonts w:cs="Arial"/>
                <w:sz w:val="16"/>
                <w:szCs w:val="16"/>
              </w:rPr>
              <w:t xml:space="preserve">Card Reset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43660EF7"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3D58F5F8"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18E0F593"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0939D103"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0A1413F2" w14:textId="77777777" w:rsidR="00B97365" w:rsidRDefault="00B97365">
            <w:pPr>
              <w:jc w:val="center"/>
              <w:rPr>
                <w:rFonts w:cs="Arial"/>
                <w:color w:val="000000"/>
                <w:sz w:val="16"/>
                <w:szCs w:val="16"/>
              </w:rPr>
            </w:pPr>
          </w:p>
        </w:tc>
      </w:tr>
      <w:tr w:rsidR="00B97365" w14:paraId="625CCCA2"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2799082D" w14:textId="77777777" w:rsidR="00B97365" w:rsidRDefault="00000000">
            <w:pPr>
              <w:spacing w:after="120" w:line="276" w:lineRule="auto"/>
              <w:jc w:val="center"/>
              <w:rPr>
                <w:rFonts w:cs="Arial"/>
                <w:color w:val="000000"/>
                <w:sz w:val="16"/>
                <w:szCs w:val="16"/>
              </w:rPr>
            </w:pPr>
            <w:r>
              <w:rPr>
                <w:rFonts w:cs="Arial"/>
                <w:color w:val="000000"/>
                <w:sz w:val="16"/>
                <w:szCs w:val="16"/>
              </w:rPr>
              <w:t>6</w:t>
            </w:r>
          </w:p>
        </w:tc>
        <w:tc>
          <w:tcPr>
            <w:tcW w:w="0" w:type="auto"/>
            <w:tcBorders>
              <w:top w:val="single" w:sz="6" w:space="0" w:color="auto"/>
              <w:left w:val="single" w:sz="6" w:space="0" w:color="auto"/>
              <w:bottom w:val="single" w:sz="6" w:space="0" w:color="auto"/>
              <w:right w:val="single" w:sz="6" w:space="0" w:color="auto"/>
            </w:tcBorders>
            <w:hideMark/>
          </w:tcPr>
          <w:p w14:paraId="34DB7672" w14:textId="77777777" w:rsidR="00B97365" w:rsidRDefault="00000000">
            <w:pPr>
              <w:spacing w:after="120" w:line="276" w:lineRule="auto"/>
              <w:rPr>
                <w:rFonts w:cs="Arial"/>
                <w:color w:val="000000"/>
                <w:sz w:val="16"/>
                <w:szCs w:val="16"/>
              </w:rPr>
            </w:pPr>
            <w:r>
              <w:rPr>
                <w:rFonts w:cs="Arial"/>
                <w:sz w:val="16"/>
                <w:szCs w:val="16"/>
              </w:rPr>
              <w:t xml:space="preserve">CVM Management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625BD3EC"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77DDDCC6"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156B822E" w14:textId="77777777" w:rsidR="00B97365" w:rsidRDefault="00000000">
            <w:pPr>
              <w:spacing w:after="120" w:line="276" w:lineRule="auto"/>
              <w:jc w:val="center"/>
              <w:rPr>
                <w:rFonts w:cs="Arial"/>
                <w:color w:val="000000"/>
                <w:sz w:val="16"/>
                <w:szCs w:val="16"/>
              </w:rPr>
            </w:pPr>
            <w:r>
              <w:rPr>
                <w:rFonts w:cs="Arial" w:hint="eastAsia"/>
                <w:sz w:val="16"/>
                <w:szCs w:val="16"/>
              </w:rPr>
              <w:t>√</w:t>
            </w: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586DE811"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0B6CA75A" w14:textId="77777777" w:rsidR="00B97365" w:rsidRDefault="00B97365">
            <w:pPr>
              <w:jc w:val="center"/>
              <w:rPr>
                <w:rFonts w:cs="Arial"/>
                <w:color w:val="000000"/>
                <w:sz w:val="16"/>
                <w:szCs w:val="16"/>
              </w:rPr>
            </w:pPr>
          </w:p>
        </w:tc>
      </w:tr>
      <w:tr w:rsidR="00B97365" w14:paraId="7EF6417C"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1D2351BF" w14:textId="77777777" w:rsidR="00B97365" w:rsidRDefault="00000000">
            <w:pPr>
              <w:spacing w:after="120" w:line="276" w:lineRule="auto"/>
              <w:jc w:val="center"/>
              <w:rPr>
                <w:rFonts w:cs="Arial"/>
                <w:color w:val="000000"/>
                <w:sz w:val="16"/>
                <w:szCs w:val="16"/>
              </w:rPr>
            </w:pPr>
            <w:r>
              <w:rPr>
                <w:rFonts w:cs="Arial"/>
                <w:color w:val="000000"/>
                <w:sz w:val="16"/>
                <w:szCs w:val="16"/>
              </w:rPr>
              <w:t>7</w:t>
            </w:r>
          </w:p>
        </w:tc>
        <w:tc>
          <w:tcPr>
            <w:tcW w:w="0" w:type="auto"/>
            <w:tcBorders>
              <w:top w:val="single" w:sz="6" w:space="0" w:color="auto"/>
              <w:left w:val="single" w:sz="6" w:space="0" w:color="auto"/>
              <w:bottom w:val="single" w:sz="6" w:space="0" w:color="auto"/>
              <w:right w:val="single" w:sz="6" w:space="0" w:color="auto"/>
            </w:tcBorders>
            <w:hideMark/>
          </w:tcPr>
          <w:p w14:paraId="6F03DFA1" w14:textId="77777777" w:rsidR="00B97365" w:rsidRDefault="00000000">
            <w:pPr>
              <w:spacing w:after="120" w:line="276" w:lineRule="auto"/>
              <w:rPr>
                <w:rFonts w:cs="Arial"/>
                <w:color w:val="000000"/>
                <w:sz w:val="16"/>
                <w:szCs w:val="16"/>
              </w:rPr>
            </w:pPr>
            <w:r>
              <w:rPr>
                <w:rFonts w:cs="Arial"/>
                <w:sz w:val="16"/>
                <w:szCs w:val="16"/>
              </w:rPr>
              <w:t>Mandated DAP Verification</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02A71C20"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5FEEBC2F"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64B638A2"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3DA77C5D"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5D5AC9A2" w14:textId="77777777" w:rsidR="00B97365" w:rsidRDefault="00B97365">
            <w:pPr>
              <w:jc w:val="center"/>
              <w:rPr>
                <w:rFonts w:cs="Arial"/>
                <w:color w:val="000000"/>
                <w:sz w:val="16"/>
                <w:szCs w:val="16"/>
              </w:rPr>
            </w:pPr>
          </w:p>
        </w:tc>
      </w:tr>
      <w:tr w:rsidR="00B97365" w14:paraId="4B9DD40A"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483B38FE" w14:textId="77777777" w:rsidR="00B97365" w:rsidRDefault="00000000">
            <w:pPr>
              <w:spacing w:after="120" w:line="276" w:lineRule="auto"/>
              <w:jc w:val="center"/>
              <w:rPr>
                <w:rFonts w:cs="Arial"/>
                <w:color w:val="000000"/>
                <w:sz w:val="16"/>
                <w:szCs w:val="16"/>
              </w:rPr>
            </w:pPr>
            <w:r>
              <w:rPr>
                <w:rFonts w:cs="Arial"/>
                <w:color w:val="000000"/>
                <w:sz w:val="16"/>
                <w:szCs w:val="16"/>
              </w:rPr>
              <w:t>8</w:t>
            </w:r>
          </w:p>
        </w:tc>
        <w:tc>
          <w:tcPr>
            <w:tcW w:w="0" w:type="auto"/>
            <w:tcBorders>
              <w:top w:val="single" w:sz="6" w:space="0" w:color="auto"/>
              <w:left w:val="single" w:sz="6" w:space="0" w:color="auto"/>
              <w:bottom w:val="single" w:sz="6" w:space="0" w:color="auto"/>
              <w:right w:val="single" w:sz="6" w:space="0" w:color="auto"/>
            </w:tcBorders>
            <w:hideMark/>
          </w:tcPr>
          <w:p w14:paraId="2306475C" w14:textId="77777777" w:rsidR="00B97365" w:rsidRDefault="00000000">
            <w:pPr>
              <w:spacing w:after="120" w:line="276" w:lineRule="auto"/>
              <w:rPr>
                <w:rFonts w:cs="Arial"/>
                <w:color w:val="000000"/>
                <w:sz w:val="16"/>
                <w:szCs w:val="16"/>
              </w:rPr>
            </w:pPr>
            <w:r>
              <w:rPr>
                <w:rFonts w:cs="Arial"/>
                <w:color w:val="000000"/>
                <w:sz w:val="16"/>
                <w:szCs w:val="16"/>
              </w:rPr>
              <w:t xml:space="preserve">Trusted Path </w:t>
            </w:r>
          </w:p>
        </w:tc>
        <w:tc>
          <w:tcPr>
            <w:tcW w:w="0" w:type="auto"/>
            <w:tcBorders>
              <w:top w:val="single" w:sz="6" w:space="0" w:color="auto"/>
              <w:left w:val="single" w:sz="6" w:space="0" w:color="auto"/>
              <w:bottom w:val="single" w:sz="6" w:space="0" w:color="auto"/>
              <w:right w:val="single" w:sz="6" w:space="0" w:color="auto"/>
            </w:tcBorders>
            <w:hideMark/>
          </w:tcPr>
          <w:p w14:paraId="42EC5B28" w14:textId="77777777" w:rsidR="00B97365" w:rsidRDefault="00000000">
            <w:pPr>
              <w:spacing w:after="120" w:line="276" w:lineRule="auto"/>
              <w:jc w:val="center"/>
              <w:rPr>
                <w:rFonts w:cs="Arial"/>
                <w:color w:val="000000"/>
                <w:sz w:val="16"/>
                <w:szCs w:val="16"/>
              </w:rPr>
            </w:pPr>
            <w:r>
              <w:rPr>
                <w:rFonts w:cs="Arial" w:hint="eastAsia"/>
                <w:sz w:val="16"/>
                <w:szCs w:val="16"/>
              </w:rPr>
              <w:t>√</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1D2FE" w14:textId="77777777" w:rsidR="00B97365" w:rsidRDefault="00000000">
            <w:pPr>
              <w:tabs>
                <w:tab w:val="center" w:pos="213"/>
              </w:tabs>
              <w:rPr>
                <w:rFonts w:cs="Arial"/>
                <w:color w:val="000000"/>
                <w:sz w:val="16"/>
                <w:szCs w:val="16"/>
              </w:rPr>
            </w:pPr>
            <w:r>
              <w:rPr>
                <w:rFonts w:cs="Arial"/>
                <w:sz w:val="16"/>
                <w:szCs w:val="16"/>
              </w:rPr>
              <w:tab/>
            </w:r>
            <w:r>
              <w:rPr>
                <w:rFonts w:cs="Arial" w:hint="eastAsia"/>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29B81C5D" w14:textId="77777777" w:rsidR="00B97365" w:rsidRDefault="00000000">
            <w:pPr>
              <w:spacing w:after="120" w:line="276" w:lineRule="auto"/>
              <w:jc w:val="center"/>
              <w:rPr>
                <w:rFonts w:cs="Arial"/>
                <w:color w:val="000000"/>
                <w:sz w:val="16"/>
                <w:szCs w:val="16"/>
              </w:rPr>
            </w:pPr>
            <w:r>
              <w:rPr>
                <w:rFonts w:cs="Arial" w:hint="eastAsia"/>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1724D735"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7B60CCCD" w14:textId="77777777" w:rsidR="00B97365" w:rsidRDefault="00B97365">
            <w:pPr>
              <w:jc w:val="center"/>
              <w:rPr>
                <w:rFonts w:cs="Arial"/>
                <w:color w:val="000000"/>
                <w:sz w:val="16"/>
                <w:szCs w:val="16"/>
              </w:rPr>
            </w:pPr>
          </w:p>
        </w:tc>
      </w:tr>
      <w:tr w:rsidR="00B97365" w14:paraId="24315A5F"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00DC53BC" w14:textId="77777777" w:rsidR="00B97365" w:rsidRDefault="00000000">
            <w:pPr>
              <w:spacing w:after="120" w:line="276" w:lineRule="auto"/>
              <w:jc w:val="center"/>
              <w:rPr>
                <w:rFonts w:cs="Arial"/>
                <w:color w:val="000000"/>
                <w:sz w:val="16"/>
                <w:szCs w:val="16"/>
              </w:rPr>
            </w:pPr>
            <w:r>
              <w:rPr>
                <w:rFonts w:cs="Arial"/>
                <w:color w:val="000000"/>
                <w:sz w:val="16"/>
                <w:szCs w:val="16"/>
              </w:rPr>
              <w:t>9</w:t>
            </w:r>
          </w:p>
        </w:tc>
        <w:tc>
          <w:tcPr>
            <w:tcW w:w="0" w:type="auto"/>
            <w:tcBorders>
              <w:top w:val="single" w:sz="6" w:space="0" w:color="auto"/>
              <w:left w:val="single" w:sz="6" w:space="0" w:color="auto"/>
              <w:bottom w:val="single" w:sz="6" w:space="0" w:color="auto"/>
              <w:right w:val="single" w:sz="6" w:space="0" w:color="auto"/>
            </w:tcBorders>
            <w:hideMark/>
          </w:tcPr>
          <w:p w14:paraId="1F850D72" w14:textId="77777777" w:rsidR="00B97365" w:rsidRDefault="00000000">
            <w:pPr>
              <w:spacing w:after="120" w:line="276" w:lineRule="auto"/>
              <w:rPr>
                <w:rFonts w:cs="Arial"/>
                <w:color w:val="000000"/>
                <w:sz w:val="16"/>
                <w:szCs w:val="16"/>
              </w:rPr>
            </w:pPr>
            <w:r>
              <w:rPr>
                <w:rFonts w:cs="Arial"/>
                <w:color w:val="000000"/>
                <w:sz w:val="16"/>
                <w:szCs w:val="16"/>
              </w:rPr>
              <w:t xml:space="preserve">Authorized Management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4E618018"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D7BE81C" w14:textId="77777777" w:rsidR="00B97365" w:rsidRDefault="00000000">
            <w:pPr>
              <w:spacing w:after="120" w:line="276" w:lineRule="auto"/>
              <w:jc w:val="center"/>
              <w:rPr>
                <w:rFonts w:cs="Arial"/>
                <w:color w:val="000000"/>
                <w:sz w:val="16"/>
                <w:szCs w:val="16"/>
              </w:rPr>
            </w:pPr>
            <w:r>
              <w:rPr>
                <w:rFonts w:cs="Arial" w:hint="eastAsia"/>
                <w:sz w:val="16"/>
                <w:szCs w:val="16"/>
              </w:rPr>
              <w:t>√</w:t>
            </w: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hideMark/>
          </w:tcPr>
          <w:p w14:paraId="65842B9F" w14:textId="77777777" w:rsidR="00B97365" w:rsidRDefault="00000000">
            <w:pPr>
              <w:spacing w:after="120" w:line="276" w:lineRule="auto"/>
              <w:jc w:val="center"/>
              <w:rPr>
                <w:rFonts w:cs="Arial"/>
                <w:color w:val="000000"/>
                <w:sz w:val="16"/>
                <w:szCs w:val="16"/>
              </w:rPr>
            </w:pPr>
            <w:r>
              <w:rPr>
                <w:rFonts w:cs="Arial" w:hint="eastAsia"/>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1A8A6E79"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4BBCC729" w14:textId="77777777" w:rsidR="00B97365" w:rsidRDefault="00B97365">
            <w:pPr>
              <w:jc w:val="center"/>
              <w:rPr>
                <w:rFonts w:cs="Arial"/>
                <w:color w:val="000000"/>
                <w:sz w:val="16"/>
                <w:szCs w:val="16"/>
              </w:rPr>
            </w:pPr>
          </w:p>
        </w:tc>
      </w:tr>
      <w:tr w:rsidR="00B97365" w14:paraId="4D0073C2"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1464A643" w14:textId="77777777" w:rsidR="00B97365" w:rsidRDefault="00000000">
            <w:pPr>
              <w:spacing w:after="120" w:line="276" w:lineRule="auto"/>
              <w:jc w:val="center"/>
              <w:rPr>
                <w:rFonts w:cs="Arial"/>
                <w:color w:val="000000"/>
                <w:sz w:val="16"/>
                <w:szCs w:val="16"/>
              </w:rPr>
            </w:pPr>
            <w:r>
              <w:rPr>
                <w:rFonts w:cs="Arial"/>
                <w:color w:val="000000"/>
                <w:sz w:val="16"/>
                <w:szCs w:val="16"/>
              </w:rPr>
              <w:t>10</w:t>
            </w:r>
          </w:p>
        </w:tc>
        <w:tc>
          <w:tcPr>
            <w:tcW w:w="0" w:type="auto"/>
            <w:tcBorders>
              <w:top w:val="single" w:sz="6" w:space="0" w:color="auto"/>
              <w:left w:val="single" w:sz="6" w:space="0" w:color="auto"/>
              <w:bottom w:val="single" w:sz="6" w:space="0" w:color="auto"/>
              <w:right w:val="single" w:sz="6" w:space="0" w:color="auto"/>
            </w:tcBorders>
            <w:hideMark/>
          </w:tcPr>
          <w:p w14:paraId="744B1135" w14:textId="77777777" w:rsidR="00B97365" w:rsidRDefault="00000000">
            <w:pPr>
              <w:spacing w:after="120" w:line="276" w:lineRule="auto"/>
              <w:rPr>
                <w:rFonts w:cs="Arial"/>
                <w:color w:val="000000"/>
                <w:sz w:val="16"/>
                <w:szCs w:val="16"/>
              </w:rPr>
            </w:pPr>
            <w:r>
              <w:rPr>
                <w:rFonts w:cs="Arial"/>
                <w:color w:val="000000"/>
                <w:sz w:val="16"/>
                <w:szCs w:val="16"/>
              </w:rPr>
              <w:t xml:space="preserve">Token Verification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7EE01948"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7636E93F"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339F0D19" w14:textId="77777777" w:rsidR="00B97365" w:rsidRDefault="00000000">
            <w:pPr>
              <w:spacing w:after="120" w:line="276" w:lineRule="auto"/>
              <w:jc w:val="center"/>
              <w:rPr>
                <w:rFonts w:cs="Arial"/>
                <w:sz w:val="16"/>
                <w:szCs w:val="16"/>
              </w:rPr>
            </w:pPr>
            <w:r>
              <w:rPr>
                <w:rFonts w:cs="Arial" w:hint="eastAsia"/>
                <w:sz w:val="16"/>
                <w:szCs w:val="16"/>
              </w:rPr>
              <w:t>√</w:t>
            </w: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77C6519E"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0E361CED" w14:textId="77777777" w:rsidR="00B97365" w:rsidRDefault="00B97365">
            <w:pPr>
              <w:jc w:val="center"/>
              <w:rPr>
                <w:rFonts w:cs="Arial"/>
                <w:color w:val="000000"/>
                <w:sz w:val="16"/>
                <w:szCs w:val="16"/>
              </w:rPr>
            </w:pPr>
          </w:p>
        </w:tc>
      </w:tr>
      <w:tr w:rsidR="00B97365" w14:paraId="28CA5035"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2565B424" w14:textId="77777777" w:rsidR="00B97365" w:rsidRDefault="00000000">
            <w:pPr>
              <w:spacing w:after="120" w:line="276" w:lineRule="auto"/>
              <w:jc w:val="center"/>
              <w:rPr>
                <w:rFonts w:cs="Arial"/>
                <w:color w:val="000000"/>
                <w:sz w:val="16"/>
                <w:szCs w:val="16"/>
              </w:rPr>
            </w:pPr>
            <w:r>
              <w:rPr>
                <w:rFonts w:cs="Arial"/>
                <w:color w:val="000000"/>
                <w:sz w:val="16"/>
                <w:szCs w:val="16"/>
              </w:rPr>
              <w:t>11</w:t>
            </w:r>
          </w:p>
        </w:tc>
        <w:tc>
          <w:tcPr>
            <w:tcW w:w="0" w:type="auto"/>
            <w:tcBorders>
              <w:top w:val="single" w:sz="6" w:space="0" w:color="auto"/>
              <w:left w:val="single" w:sz="6" w:space="0" w:color="auto"/>
              <w:bottom w:val="single" w:sz="6" w:space="0" w:color="auto"/>
              <w:right w:val="single" w:sz="6" w:space="0" w:color="auto"/>
            </w:tcBorders>
            <w:hideMark/>
          </w:tcPr>
          <w:p w14:paraId="49BC9AAD" w14:textId="77777777" w:rsidR="00B97365" w:rsidRDefault="00000000">
            <w:pPr>
              <w:spacing w:after="120" w:line="276" w:lineRule="auto"/>
              <w:rPr>
                <w:rFonts w:cs="Arial"/>
                <w:color w:val="000000"/>
                <w:sz w:val="16"/>
                <w:szCs w:val="16"/>
              </w:rPr>
            </w:pPr>
            <w:r>
              <w:rPr>
                <w:rFonts w:cs="Arial"/>
                <w:color w:val="000000"/>
                <w:sz w:val="16"/>
                <w:szCs w:val="16"/>
              </w:rPr>
              <w:t xml:space="preserve">Global Delete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6386B144"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414B766A"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070A8BE4" w14:textId="77777777" w:rsidR="00B97365" w:rsidRDefault="00000000">
            <w:pPr>
              <w:spacing w:after="120" w:line="276" w:lineRule="auto"/>
              <w:jc w:val="center"/>
              <w:rPr>
                <w:rFonts w:cs="Arial"/>
                <w:sz w:val="16"/>
                <w:szCs w:val="16"/>
              </w:rPr>
            </w:pPr>
            <w:r>
              <w:rPr>
                <w:rFonts w:cs="Arial" w:hint="eastAsia"/>
                <w:sz w:val="16"/>
                <w:szCs w:val="16"/>
              </w:rPr>
              <w:t>√</w:t>
            </w: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3AA552F7"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736C9CDA" w14:textId="77777777" w:rsidR="00B97365" w:rsidRDefault="00B97365">
            <w:pPr>
              <w:jc w:val="center"/>
              <w:rPr>
                <w:rFonts w:cs="Arial"/>
                <w:color w:val="000000"/>
                <w:sz w:val="16"/>
                <w:szCs w:val="16"/>
              </w:rPr>
            </w:pPr>
          </w:p>
        </w:tc>
      </w:tr>
      <w:tr w:rsidR="00B97365" w14:paraId="4485D1B8"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7473C237" w14:textId="77777777" w:rsidR="00B97365" w:rsidRDefault="00000000">
            <w:pPr>
              <w:spacing w:after="120" w:line="276" w:lineRule="auto"/>
              <w:jc w:val="center"/>
              <w:rPr>
                <w:rFonts w:cs="Arial"/>
                <w:color w:val="000000"/>
                <w:sz w:val="16"/>
                <w:szCs w:val="16"/>
              </w:rPr>
            </w:pPr>
            <w:r>
              <w:rPr>
                <w:rFonts w:cs="Arial"/>
                <w:color w:val="000000"/>
                <w:sz w:val="16"/>
                <w:szCs w:val="16"/>
              </w:rPr>
              <w:t>12</w:t>
            </w:r>
          </w:p>
        </w:tc>
        <w:tc>
          <w:tcPr>
            <w:tcW w:w="0" w:type="auto"/>
            <w:tcBorders>
              <w:top w:val="single" w:sz="6" w:space="0" w:color="auto"/>
              <w:left w:val="single" w:sz="6" w:space="0" w:color="auto"/>
              <w:bottom w:val="single" w:sz="6" w:space="0" w:color="auto"/>
              <w:right w:val="single" w:sz="6" w:space="0" w:color="auto"/>
            </w:tcBorders>
            <w:hideMark/>
          </w:tcPr>
          <w:p w14:paraId="17EEA454" w14:textId="77777777" w:rsidR="00B97365" w:rsidRDefault="00000000">
            <w:pPr>
              <w:spacing w:after="120" w:line="276" w:lineRule="auto"/>
              <w:rPr>
                <w:rFonts w:cs="Arial"/>
                <w:color w:val="000000"/>
                <w:sz w:val="16"/>
                <w:szCs w:val="16"/>
              </w:rPr>
            </w:pPr>
            <w:r>
              <w:rPr>
                <w:rFonts w:cs="Arial"/>
                <w:color w:val="000000"/>
                <w:sz w:val="16"/>
                <w:szCs w:val="16"/>
              </w:rPr>
              <w:t xml:space="preserve">Global Lock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3922F72B"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0D70FF7F"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43065A91" w14:textId="77777777" w:rsidR="00B97365" w:rsidRDefault="00000000">
            <w:pPr>
              <w:spacing w:after="120" w:line="276" w:lineRule="auto"/>
              <w:jc w:val="center"/>
              <w:rPr>
                <w:rFonts w:cs="Arial"/>
                <w:sz w:val="16"/>
                <w:szCs w:val="16"/>
              </w:rPr>
            </w:pPr>
            <w:r>
              <w:rPr>
                <w:rFonts w:cs="Arial" w:hint="eastAsia"/>
                <w:sz w:val="16"/>
                <w:szCs w:val="16"/>
              </w:rPr>
              <w:t>√</w:t>
            </w: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65CD45B0"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0EF7690D" w14:textId="77777777" w:rsidR="00B97365" w:rsidRDefault="00B97365">
            <w:pPr>
              <w:jc w:val="center"/>
              <w:rPr>
                <w:rFonts w:cs="Arial"/>
                <w:color w:val="000000"/>
                <w:sz w:val="16"/>
                <w:szCs w:val="16"/>
              </w:rPr>
            </w:pPr>
          </w:p>
        </w:tc>
      </w:tr>
      <w:tr w:rsidR="00B97365" w14:paraId="661D5B0F"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5CCB49F2" w14:textId="77777777" w:rsidR="00B97365" w:rsidRDefault="00000000">
            <w:pPr>
              <w:spacing w:after="120" w:line="276" w:lineRule="auto"/>
              <w:jc w:val="center"/>
              <w:rPr>
                <w:rFonts w:cs="Arial"/>
                <w:color w:val="000000"/>
                <w:sz w:val="16"/>
                <w:szCs w:val="16"/>
              </w:rPr>
            </w:pPr>
            <w:r>
              <w:rPr>
                <w:rFonts w:cs="Arial"/>
                <w:color w:val="000000"/>
                <w:sz w:val="16"/>
                <w:szCs w:val="16"/>
              </w:rPr>
              <w:t>13</w:t>
            </w:r>
          </w:p>
        </w:tc>
        <w:tc>
          <w:tcPr>
            <w:tcW w:w="0" w:type="auto"/>
            <w:tcBorders>
              <w:top w:val="single" w:sz="6" w:space="0" w:color="auto"/>
              <w:left w:val="single" w:sz="6" w:space="0" w:color="auto"/>
              <w:bottom w:val="single" w:sz="6" w:space="0" w:color="auto"/>
              <w:right w:val="single" w:sz="6" w:space="0" w:color="auto"/>
            </w:tcBorders>
            <w:hideMark/>
          </w:tcPr>
          <w:p w14:paraId="7DE0BB67" w14:textId="77777777" w:rsidR="00B97365" w:rsidRDefault="00000000">
            <w:pPr>
              <w:spacing w:after="120" w:line="276" w:lineRule="auto"/>
              <w:rPr>
                <w:rFonts w:cs="Arial"/>
                <w:color w:val="000000"/>
                <w:sz w:val="16"/>
                <w:szCs w:val="16"/>
              </w:rPr>
            </w:pPr>
            <w:r>
              <w:rPr>
                <w:rFonts w:cs="Arial"/>
                <w:color w:val="000000"/>
                <w:sz w:val="16"/>
                <w:szCs w:val="16"/>
              </w:rPr>
              <w:t xml:space="preserve">Global Registry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31824D3D"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6ED9E982"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38E023F4" w14:textId="77777777" w:rsidR="00B97365" w:rsidRDefault="00000000">
            <w:pPr>
              <w:spacing w:after="120" w:line="276" w:lineRule="auto"/>
              <w:jc w:val="center"/>
              <w:rPr>
                <w:rFonts w:cs="Arial"/>
                <w:color w:val="000000"/>
                <w:sz w:val="16"/>
                <w:szCs w:val="16"/>
              </w:rPr>
            </w:pPr>
            <w:r>
              <w:rPr>
                <w:rFonts w:cs="Arial" w:hint="eastAsia"/>
                <w:sz w:val="16"/>
                <w:szCs w:val="16"/>
              </w:rPr>
              <w:t>√</w:t>
            </w: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09D007B5"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0CC469D9" w14:textId="77777777" w:rsidR="00B97365" w:rsidRDefault="00B97365">
            <w:pPr>
              <w:jc w:val="center"/>
              <w:rPr>
                <w:rFonts w:cs="Arial"/>
                <w:color w:val="000000"/>
                <w:sz w:val="16"/>
                <w:szCs w:val="16"/>
              </w:rPr>
            </w:pPr>
          </w:p>
        </w:tc>
      </w:tr>
      <w:tr w:rsidR="00B97365" w14:paraId="2464EBDB"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0F3B3541" w14:textId="77777777" w:rsidR="00B97365" w:rsidRDefault="00000000">
            <w:pPr>
              <w:spacing w:after="120" w:line="276" w:lineRule="auto"/>
              <w:jc w:val="center"/>
              <w:rPr>
                <w:rFonts w:cs="Arial"/>
                <w:color w:val="000000"/>
                <w:sz w:val="16"/>
                <w:szCs w:val="16"/>
              </w:rPr>
            </w:pPr>
            <w:r>
              <w:rPr>
                <w:rFonts w:cs="Arial"/>
                <w:color w:val="000000"/>
                <w:sz w:val="16"/>
                <w:szCs w:val="16"/>
              </w:rPr>
              <w:t>14</w:t>
            </w:r>
          </w:p>
        </w:tc>
        <w:tc>
          <w:tcPr>
            <w:tcW w:w="0" w:type="auto"/>
            <w:tcBorders>
              <w:top w:val="single" w:sz="6" w:space="0" w:color="auto"/>
              <w:left w:val="single" w:sz="6" w:space="0" w:color="auto"/>
              <w:bottom w:val="single" w:sz="6" w:space="0" w:color="auto"/>
              <w:right w:val="single" w:sz="6" w:space="0" w:color="auto"/>
            </w:tcBorders>
            <w:hideMark/>
          </w:tcPr>
          <w:p w14:paraId="6D76BA2E" w14:textId="77777777" w:rsidR="00B97365" w:rsidRDefault="00000000">
            <w:pPr>
              <w:spacing w:after="120" w:line="276" w:lineRule="auto"/>
              <w:rPr>
                <w:rFonts w:cs="Arial"/>
                <w:color w:val="000000"/>
                <w:sz w:val="16"/>
                <w:szCs w:val="16"/>
              </w:rPr>
            </w:pPr>
            <w:r>
              <w:rPr>
                <w:rFonts w:cs="Arial"/>
                <w:color w:val="000000"/>
                <w:sz w:val="16"/>
                <w:szCs w:val="16"/>
              </w:rPr>
              <w:t xml:space="preserve">Final Application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7ED1600E" w14:textId="77777777" w:rsidR="00B97365" w:rsidRDefault="00B97365">
            <w:pP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415F0846"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75CD43C3"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5EAD83FA"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41ACFCA4" w14:textId="77777777" w:rsidR="00B97365" w:rsidRDefault="00B97365">
            <w:pPr>
              <w:jc w:val="center"/>
              <w:rPr>
                <w:rFonts w:cs="Arial"/>
                <w:color w:val="000000"/>
                <w:sz w:val="16"/>
                <w:szCs w:val="16"/>
              </w:rPr>
            </w:pPr>
          </w:p>
        </w:tc>
      </w:tr>
      <w:tr w:rsidR="00B97365" w14:paraId="75826F4F"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4EB906F3" w14:textId="77777777" w:rsidR="00B97365" w:rsidRDefault="00000000">
            <w:pPr>
              <w:spacing w:after="120" w:line="276" w:lineRule="auto"/>
              <w:jc w:val="center"/>
              <w:rPr>
                <w:rFonts w:cs="Arial"/>
                <w:color w:val="000000"/>
                <w:sz w:val="16"/>
                <w:szCs w:val="16"/>
              </w:rPr>
            </w:pPr>
            <w:r>
              <w:rPr>
                <w:rFonts w:cs="Arial"/>
                <w:color w:val="000000"/>
                <w:sz w:val="16"/>
                <w:szCs w:val="16"/>
              </w:rPr>
              <w:t>15</w:t>
            </w:r>
          </w:p>
        </w:tc>
        <w:tc>
          <w:tcPr>
            <w:tcW w:w="0" w:type="auto"/>
            <w:tcBorders>
              <w:top w:val="single" w:sz="6" w:space="0" w:color="auto"/>
              <w:left w:val="single" w:sz="6" w:space="0" w:color="auto"/>
              <w:bottom w:val="single" w:sz="6" w:space="0" w:color="auto"/>
              <w:right w:val="single" w:sz="6" w:space="0" w:color="auto"/>
            </w:tcBorders>
            <w:hideMark/>
          </w:tcPr>
          <w:p w14:paraId="2B4C82AD" w14:textId="77777777" w:rsidR="00B97365" w:rsidRDefault="00000000">
            <w:pPr>
              <w:spacing w:after="120" w:line="276" w:lineRule="auto"/>
              <w:rPr>
                <w:rFonts w:cs="Arial"/>
                <w:color w:val="000000"/>
                <w:sz w:val="16"/>
                <w:szCs w:val="16"/>
              </w:rPr>
            </w:pPr>
            <w:r>
              <w:rPr>
                <w:rFonts w:cs="Arial"/>
                <w:color w:val="000000"/>
                <w:sz w:val="16"/>
                <w:szCs w:val="16"/>
              </w:rPr>
              <w:t xml:space="preserve">Global Service </w:t>
            </w:r>
          </w:p>
        </w:tc>
        <w:tc>
          <w:tcPr>
            <w:tcW w:w="0" w:type="auto"/>
            <w:tcBorders>
              <w:top w:val="single" w:sz="6" w:space="0" w:color="auto"/>
              <w:left w:val="single" w:sz="6" w:space="0" w:color="auto"/>
              <w:bottom w:val="single" w:sz="6" w:space="0" w:color="auto"/>
              <w:right w:val="single" w:sz="6" w:space="0" w:color="auto"/>
            </w:tcBorders>
          </w:tcPr>
          <w:p w14:paraId="313DFDFE"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3245B644"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376E2300"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174177BE"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hideMark/>
          </w:tcPr>
          <w:p w14:paraId="459B651A" w14:textId="77777777" w:rsidR="00B97365" w:rsidRDefault="00000000">
            <w:pPr>
              <w:spacing w:after="120" w:line="276" w:lineRule="auto"/>
              <w:jc w:val="center"/>
              <w:rPr>
                <w:rFonts w:cs="Arial"/>
                <w:color w:val="000000"/>
                <w:sz w:val="16"/>
                <w:szCs w:val="16"/>
              </w:rPr>
            </w:pPr>
            <w:r>
              <w:rPr>
                <w:rFonts w:cs="Arial" w:hint="eastAsia"/>
                <w:sz w:val="16"/>
                <w:szCs w:val="16"/>
              </w:rPr>
              <w:t>√</w:t>
            </w:r>
          </w:p>
        </w:tc>
      </w:tr>
      <w:tr w:rsidR="00B97365" w14:paraId="5AD0142B"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27F513E0" w14:textId="77777777" w:rsidR="00B97365" w:rsidRDefault="00000000">
            <w:pPr>
              <w:spacing w:after="120" w:line="276" w:lineRule="auto"/>
              <w:jc w:val="center"/>
              <w:rPr>
                <w:rFonts w:cs="Arial"/>
                <w:color w:val="000000"/>
                <w:sz w:val="16"/>
                <w:szCs w:val="16"/>
              </w:rPr>
            </w:pPr>
            <w:r>
              <w:rPr>
                <w:rFonts w:cs="Arial"/>
                <w:color w:val="000000"/>
                <w:sz w:val="16"/>
                <w:szCs w:val="16"/>
              </w:rPr>
              <w:t>16</w:t>
            </w:r>
          </w:p>
        </w:tc>
        <w:tc>
          <w:tcPr>
            <w:tcW w:w="0" w:type="auto"/>
            <w:tcBorders>
              <w:top w:val="single" w:sz="6" w:space="0" w:color="auto"/>
              <w:left w:val="single" w:sz="6" w:space="0" w:color="auto"/>
              <w:bottom w:val="single" w:sz="6" w:space="0" w:color="auto"/>
              <w:right w:val="single" w:sz="6" w:space="0" w:color="auto"/>
            </w:tcBorders>
            <w:hideMark/>
          </w:tcPr>
          <w:p w14:paraId="00083AB1" w14:textId="77777777" w:rsidR="00B97365" w:rsidRDefault="00000000">
            <w:pPr>
              <w:spacing w:after="120" w:line="276" w:lineRule="auto"/>
              <w:rPr>
                <w:rFonts w:cs="Arial"/>
                <w:color w:val="000000"/>
                <w:sz w:val="16"/>
                <w:szCs w:val="16"/>
              </w:rPr>
            </w:pPr>
            <w:r>
              <w:rPr>
                <w:rFonts w:cs="Arial"/>
                <w:color w:val="000000"/>
                <w:sz w:val="16"/>
                <w:szCs w:val="16"/>
              </w:rPr>
              <w:t xml:space="preserve">Receipt Generation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56C04242"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28BAD364"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hideMark/>
          </w:tcPr>
          <w:p w14:paraId="224C7CA5" w14:textId="77777777" w:rsidR="00B97365" w:rsidRDefault="00000000">
            <w:pPr>
              <w:spacing w:after="120" w:line="276" w:lineRule="auto"/>
              <w:jc w:val="center"/>
              <w:rPr>
                <w:rFonts w:cs="Arial"/>
                <w:color w:val="000000"/>
                <w:sz w:val="16"/>
                <w:szCs w:val="16"/>
              </w:rPr>
            </w:pPr>
            <w:r>
              <w:rPr>
                <w:rFonts w:cs="Arial" w:hint="eastAsia"/>
                <w:sz w:val="16"/>
                <w:szCs w:val="16"/>
              </w:rPr>
              <w:t>√</w:t>
            </w: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tcPr>
          <w:p w14:paraId="6B568D32"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7273AD66" w14:textId="77777777" w:rsidR="00B97365" w:rsidRDefault="00B97365">
            <w:pPr>
              <w:jc w:val="center"/>
              <w:rPr>
                <w:rFonts w:cs="Arial"/>
                <w:color w:val="000000"/>
                <w:sz w:val="16"/>
                <w:szCs w:val="16"/>
              </w:rPr>
            </w:pPr>
          </w:p>
        </w:tc>
      </w:tr>
      <w:tr w:rsidR="00B97365" w14:paraId="066D70C1"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7BA2A809" w14:textId="77777777" w:rsidR="00B97365" w:rsidRDefault="00000000">
            <w:pPr>
              <w:spacing w:after="120" w:line="276" w:lineRule="auto"/>
              <w:jc w:val="center"/>
              <w:rPr>
                <w:rFonts w:cs="Arial"/>
                <w:color w:val="000000"/>
                <w:sz w:val="16"/>
                <w:szCs w:val="16"/>
              </w:rPr>
            </w:pPr>
            <w:r>
              <w:rPr>
                <w:rFonts w:cs="Arial"/>
                <w:color w:val="000000"/>
                <w:sz w:val="16"/>
                <w:szCs w:val="16"/>
              </w:rPr>
              <w:lastRenderedPageBreak/>
              <w:t>17</w:t>
            </w:r>
          </w:p>
        </w:tc>
        <w:tc>
          <w:tcPr>
            <w:tcW w:w="0" w:type="auto"/>
            <w:tcBorders>
              <w:top w:val="single" w:sz="6" w:space="0" w:color="auto"/>
              <w:left w:val="single" w:sz="6" w:space="0" w:color="auto"/>
              <w:bottom w:val="single" w:sz="6" w:space="0" w:color="auto"/>
              <w:right w:val="single" w:sz="6" w:space="0" w:color="auto"/>
            </w:tcBorders>
            <w:hideMark/>
          </w:tcPr>
          <w:p w14:paraId="2A15491F" w14:textId="77777777" w:rsidR="00B97365" w:rsidRDefault="00000000">
            <w:pPr>
              <w:spacing w:after="120" w:line="276" w:lineRule="auto"/>
              <w:rPr>
                <w:rFonts w:cs="Arial"/>
                <w:color w:val="000000"/>
                <w:sz w:val="16"/>
                <w:szCs w:val="16"/>
              </w:rPr>
            </w:pPr>
            <w:r>
              <w:rPr>
                <w:rFonts w:cs="Arial"/>
                <w:color w:val="000000"/>
                <w:sz w:val="16"/>
                <w:szCs w:val="16"/>
              </w:rPr>
              <w:t xml:space="preserve">Ciphered Load File Data Block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0DA2FAD0"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407CBB27"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0C24ACD9"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7607C6F6"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2368CC2C" w14:textId="77777777" w:rsidR="00B97365" w:rsidRDefault="00B97365">
            <w:pPr>
              <w:jc w:val="center"/>
              <w:rPr>
                <w:rFonts w:cs="Arial"/>
                <w:color w:val="000000"/>
                <w:sz w:val="16"/>
                <w:szCs w:val="16"/>
              </w:rPr>
            </w:pPr>
          </w:p>
        </w:tc>
      </w:tr>
      <w:tr w:rsidR="00B97365" w14:paraId="5729CB91" w14:textId="77777777">
        <w:trPr>
          <w:trHeight w:val="130"/>
          <w:jc w:val="center"/>
        </w:trPr>
        <w:tc>
          <w:tcPr>
            <w:tcW w:w="0" w:type="auto"/>
            <w:tcBorders>
              <w:top w:val="single" w:sz="6" w:space="0" w:color="auto"/>
              <w:left w:val="single" w:sz="4" w:space="0" w:color="auto"/>
              <w:bottom w:val="single" w:sz="6" w:space="0" w:color="auto"/>
              <w:right w:val="single" w:sz="6" w:space="0" w:color="auto"/>
            </w:tcBorders>
            <w:hideMark/>
          </w:tcPr>
          <w:p w14:paraId="2F8B5B81" w14:textId="77777777" w:rsidR="00B97365" w:rsidRDefault="00000000">
            <w:pPr>
              <w:spacing w:after="120" w:line="276" w:lineRule="auto"/>
              <w:jc w:val="center"/>
              <w:rPr>
                <w:rFonts w:cs="Arial"/>
                <w:color w:val="000000"/>
                <w:sz w:val="16"/>
                <w:szCs w:val="16"/>
              </w:rPr>
            </w:pPr>
            <w:r>
              <w:rPr>
                <w:rFonts w:cs="Arial"/>
                <w:color w:val="000000"/>
                <w:sz w:val="16"/>
                <w:szCs w:val="16"/>
              </w:rPr>
              <w:t>18</w:t>
            </w:r>
          </w:p>
        </w:tc>
        <w:tc>
          <w:tcPr>
            <w:tcW w:w="0" w:type="auto"/>
            <w:tcBorders>
              <w:top w:val="single" w:sz="6" w:space="0" w:color="auto"/>
              <w:left w:val="single" w:sz="6" w:space="0" w:color="auto"/>
              <w:bottom w:val="single" w:sz="6" w:space="0" w:color="auto"/>
              <w:right w:val="single" w:sz="6" w:space="0" w:color="auto"/>
            </w:tcBorders>
            <w:hideMark/>
          </w:tcPr>
          <w:p w14:paraId="104230F8" w14:textId="77777777" w:rsidR="00B97365" w:rsidRDefault="00000000">
            <w:pPr>
              <w:spacing w:after="120" w:line="276" w:lineRule="auto"/>
              <w:rPr>
                <w:rFonts w:cs="Arial"/>
                <w:color w:val="000000"/>
                <w:sz w:val="16"/>
                <w:szCs w:val="16"/>
              </w:rPr>
            </w:pPr>
            <w:r>
              <w:rPr>
                <w:rFonts w:cs="Arial"/>
                <w:color w:val="000000"/>
                <w:sz w:val="16"/>
                <w:szCs w:val="16"/>
              </w:rPr>
              <w:t xml:space="preserve">Contactless Activation </w:t>
            </w: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565D4A0C"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53EE91CA"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tcPr>
          <w:p w14:paraId="025BCDA6"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14:paraId="16ED15ED"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tcPr>
          <w:p w14:paraId="206ED68E" w14:textId="77777777" w:rsidR="00B97365" w:rsidRDefault="00B97365">
            <w:pPr>
              <w:jc w:val="center"/>
              <w:rPr>
                <w:rFonts w:cs="Arial"/>
                <w:color w:val="000000"/>
                <w:sz w:val="16"/>
                <w:szCs w:val="16"/>
              </w:rPr>
            </w:pPr>
          </w:p>
        </w:tc>
      </w:tr>
      <w:tr w:rsidR="00B97365" w14:paraId="3B9F5F8D" w14:textId="77777777">
        <w:trPr>
          <w:trHeight w:val="130"/>
          <w:jc w:val="center"/>
        </w:trPr>
        <w:tc>
          <w:tcPr>
            <w:tcW w:w="0" w:type="auto"/>
            <w:tcBorders>
              <w:top w:val="single" w:sz="6" w:space="0" w:color="auto"/>
              <w:left w:val="single" w:sz="4" w:space="0" w:color="auto"/>
              <w:bottom w:val="single" w:sz="4" w:space="0" w:color="auto"/>
              <w:right w:val="single" w:sz="6" w:space="0" w:color="auto"/>
            </w:tcBorders>
            <w:hideMark/>
          </w:tcPr>
          <w:p w14:paraId="79736C8A" w14:textId="77777777" w:rsidR="00B97365" w:rsidRDefault="00000000">
            <w:pPr>
              <w:spacing w:after="120" w:line="276" w:lineRule="auto"/>
              <w:jc w:val="center"/>
              <w:rPr>
                <w:rFonts w:cs="Arial"/>
                <w:color w:val="000000"/>
                <w:sz w:val="16"/>
                <w:szCs w:val="16"/>
              </w:rPr>
            </w:pPr>
            <w:r>
              <w:rPr>
                <w:rFonts w:cs="Arial"/>
                <w:color w:val="000000"/>
                <w:sz w:val="16"/>
                <w:szCs w:val="16"/>
              </w:rPr>
              <w:t>19</w:t>
            </w:r>
          </w:p>
        </w:tc>
        <w:tc>
          <w:tcPr>
            <w:tcW w:w="0" w:type="auto"/>
            <w:tcBorders>
              <w:top w:val="single" w:sz="6" w:space="0" w:color="auto"/>
              <w:left w:val="single" w:sz="6" w:space="0" w:color="auto"/>
              <w:bottom w:val="single" w:sz="4" w:space="0" w:color="auto"/>
              <w:right w:val="single" w:sz="6" w:space="0" w:color="auto"/>
            </w:tcBorders>
            <w:hideMark/>
          </w:tcPr>
          <w:p w14:paraId="5C17D56E" w14:textId="77777777" w:rsidR="00B97365" w:rsidRDefault="00000000">
            <w:pPr>
              <w:spacing w:after="120" w:line="276" w:lineRule="auto"/>
              <w:rPr>
                <w:rFonts w:cs="Arial"/>
                <w:color w:val="000000"/>
                <w:sz w:val="16"/>
                <w:szCs w:val="16"/>
              </w:rPr>
            </w:pPr>
            <w:r>
              <w:rPr>
                <w:rFonts w:cs="Arial"/>
                <w:color w:val="000000"/>
                <w:sz w:val="16"/>
                <w:szCs w:val="16"/>
              </w:rPr>
              <w:t xml:space="preserve">Contactless Self-Activation </w:t>
            </w:r>
          </w:p>
        </w:tc>
        <w:tc>
          <w:tcPr>
            <w:tcW w:w="0" w:type="auto"/>
            <w:tcBorders>
              <w:top w:val="single" w:sz="6" w:space="0" w:color="auto"/>
              <w:left w:val="single" w:sz="6" w:space="0" w:color="auto"/>
              <w:bottom w:val="single" w:sz="4" w:space="0" w:color="auto"/>
              <w:right w:val="single" w:sz="6" w:space="0" w:color="auto"/>
            </w:tcBorders>
            <w:shd w:val="clear" w:color="auto" w:fill="000000"/>
          </w:tcPr>
          <w:p w14:paraId="1963BB00"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4" w:space="0" w:color="auto"/>
              <w:right w:val="single" w:sz="6" w:space="0" w:color="auto"/>
            </w:tcBorders>
            <w:shd w:val="clear" w:color="auto" w:fill="000000"/>
          </w:tcPr>
          <w:p w14:paraId="2209A0E8"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4" w:space="0" w:color="auto"/>
              <w:right w:val="single" w:sz="6" w:space="0" w:color="auto"/>
            </w:tcBorders>
            <w:shd w:val="clear" w:color="auto" w:fill="000000"/>
          </w:tcPr>
          <w:p w14:paraId="666E96B5"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4" w:space="0" w:color="auto"/>
              <w:right w:val="single" w:sz="6" w:space="0" w:color="auto"/>
            </w:tcBorders>
          </w:tcPr>
          <w:p w14:paraId="3B9880F6" w14:textId="77777777" w:rsidR="00B97365" w:rsidRDefault="00B97365">
            <w:pPr>
              <w:jc w:val="center"/>
              <w:rPr>
                <w:rFonts w:cs="Arial"/>
                <w:color w:val="000000"/>
                <w:sz w:val="16"/>
                <w:szCs w:val="16"/>
              </w:rPr>
            </w:pPr>
          </w:p>
        </w:tc>
        <w:tc>
          <w:tcPr>
            <w:tcW w:w="0" w:type="auto"/>
            <w:tcBorders>
              <w:top w:val="single" w:sz="6" w:space="0" w:color="auto"/>
              <w:left w:val="single" w:sz="6" w:space="0" w:color="auto"/>
              <w:bottom w:val="single" w:sz="4" w:space="0" w:color="auto"/>
              <w:right w:val="single" w:sz="4" w:space="0" w:color="auto"/>
            </w:tcBorders>
            <w:shd w:val="clear" w:color="auto" w:fill="000000"/>
          </w:tcPr>
          <w:p w14:paraId="649823B9" w14:textId="77777777" w:rsidR="00B97365" w:rsidRDefault="00B97365">
            <w:pPr>
              <w:jc w:val="center"/>
              <w:rPr>
                <w:rFonts w:cs="Arial"/>
                <w:color w:val="000000"/>
                <w:sz w:val="16"/>
                <w:szCs w:val="16"/>
              </w:rPr>
            </w:pPr>
          </w:p>
        </w:tc>
      </w:tr>
    </w:tbl>
    <w:p w14:paraId="6C217AEA"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GlobalPlatform Application Privileges</w:t>
      </w:r>
    </w:p>
    <w:p w14:paraId="5B7542EA" w14:textId="77777777" w:rsidR="00B97365" w:rsidRDefault="00000000">
      <w:pPr>
        <w:spacing w:before="0" w:after="200" w:line="276" w:lineRule="auto"/>
        <w:jc w:val="left"/>
        <w:rPr>
          <w:rFonts w:cs="Arial"/>
          <w:szCs w:val="22"/>
          <w:lang w:eastAsia="en-GB" w:bidi="ar-SA"/>
        </w:rPr>
      </w:pPr>
      <w:r>
        <w:rPr>
          <w:rFonts w:cs="Arial"/>
          <w:szCs w:val="22"/>
          <w:lang w:eastAsia="en-GB" w:bidi="ar-SA"/>
        </w:rPr>
        <w:t>A tick (√) denotes the presence of the indicated privilege and its assignment to the Security Domain or Application.</w:t>
      </w:r>
    </w:p>
    <w:p w14:paraId="3C94F807" w14:textId="3DCD51FC" w:rsidR="00B97365" w:rsidRDefault="00000000">
      <w:pPr>
        <w:spacing w:before="0" w:after="200" w:line="276" w:lineRule="auto"/>
        <w:jc w:val="left"/>
        <w:rPr>
          <w:szCs w:val="22"/>
          <w:lang w:eastAsia="en-GB" w:bidi="ar-SA"/>
        </w:rPr>
      </w:pPr>
      <w:r>
        <w:rPr>
          <w:rFonts w:cs="Arial"/>
          <w:szCs w:val="22"/>
          <w:lang w:eastAsia="en-GB" w:bidi="ar-SA"/>
        </w:rPr>
        <w:t xml:space="preserve">A blank cell denotes that the assignment of the privilege is managed by the owner of the Application (according to GlobalPlatform Card Specification </w:t>
      </w:r>
      <w:r>
        <w:rPr>
          <w:szCs w:val="22"/>
          <w:lang w:eastAsia="en-GB" w:bidi="ar-SA"/>
        </w:rPr>
        <w:fldChar w:fldCharType="begin"/>
      </w:r>
      <w:r>
        <w:rPr>
          <w:szCs w:val="22"/>
          <w:lang w:eastAsia="en-GB" w:bidi="ar-SA"/>
        </w:rPr>
        <w:instrText xml:space="preserve"> REF _Ref421631311 \r \h </w:instrText>
      </w:r>
      <w:r>
        <w:rPr>
          <w:szCs w:val="22"/>
          <w:lang w:eastAsia="en-GB" w:bidi="ar-SA"/>
        </w:rPr>
      </w:r>
      <w:r>
        <w:rPr>
          <w:szCs w:val="22"/>
          <w:lang w:eastAsia="en-GB" w:bidi="ar-SA"/>
        </w:rPr>
        <w:fldChar w:fldCharType="separate"/>
      </w:r>
      <w:r w:rsidR="001D5AD9">
        <w:rPr>
          <w:szCs w:val="22"/>
          <w:lang w:eastAsia="en-GB" w:bidi="ar-SA"/>
        </w:rPr>
        <w:t>[6]</w:t>
      </w:r>
      <w:r>
        <w:rPr>
          <w:szCs w:val="22"/>
          <w:lang w:eastAsia="en-GB" w:bidi="ar-SA"/>
        </w:rPr>
        <w:fldChar w:fldCharType="end"/>
      </w:r>
      <w:r>
        <w:rPr>
          <w:szCs w:val="22"/>
          <w:lang w:eastAsia="en-GB" w:bidi="ar-SA"/>
        </w:rPr>
        <w:t>) of the Security Domain.</w:t>
      </w:r>
    </w:p>
    <w:p w14:paraId="39FC0966" w14:textId="77777777" w:rsidR="00B97365" w:rsidRDefault="00000000">
      <w:pPr>
        <w:spacing w:before="0" w:after="200" w:line="276" w:lineRule="auto"/>
        <w:jc w:val="left"/>
        <w:rPr>
          <w:rFonts w:cs="Arial"/>
          <w:szCs w:val="22"/>
          <w:lang w:eastAsia="en-GB" w:bidi="ar-SA"/>
        </w:rPr>
      </w:pPr>
      <w:r>
        <w:rPr>
          <w:rFonts w:cs="Arial"/>
          <w:szCs w:val="22"/>
          <w:lang w:eastAsia="en-GB" w:bidi="ar-SA"/>
        </w:rPr>
        <w:t>A black cell denotes that the privilege cannot be assigned.</w:t>
      </w:r>
    </w:p>
    <w:p w14:paraId="15015444" w14:textId="77777777" w:rsidR="00B97365" w:rsidRDefault="00000000">
      <w:pPr>
        <w:spacing w:before="0" w:after="200" w:line="276" w:lineRule="auto"/>
        <w:jc w:val="left"/>
        <w:rPr>
          <w:rFonts w:cs="Arial"/>
          <w:szCs w:val="22"/>
          <w:lang w:eastAsia="en-GB" w:bidi="ar-SA"/>
        </w:rPr>
      </w:pPr>
      <w:r>
        <w:rPr>
          <w:rFonts w:cs="Arial"/>
          <w:szCs w:val="22"/>
          <w:lang w:eastAsia="en-GB" w:bidi="ar-SA"/>
        </w:rPr>
        <w:t>* Authorized Management privilege is only set when ISD-P is in CREATED state to allow Profile Download and Installation.</w:t>
      </w:r>
    </w:p>
    <w:p w14:paraId="6F0A6FBE" w14:textId="0A5283B1" w:rsidR="00B97365" w:rsidRDefault="00000000">
      <w:pPr>
        <w:spacing w:before="0" w:after="200" w:line="276" w:lineRule="auto"/>
        <w:jc w:val="left"/>
        <w:rPr>
          <w:szCs w:val="22"/>
          <w:lang w:eastAsia="en-GB" w:bidi="ar-SA"/>
        </w:rPr>
      </w:pPr>
      <w:r>
        <w:rPr>
          <w:rFonts w:cs="Arial"/>
          <w:szCs w:val="22"/>
          <w:lang w:eastAsia="en-GB" w:bidi="ar-SA"/>
        </w:rPr>
        <w:t xml:space="preserve">** These privileges are mandatory for cards compliant to GlobalPlatform Card Specification UICC Configuration </w:t>
      </w:r>
      <w:r>
        <w:rPr>
          <w:szCs w:val="22"/>
          <w:lang w:eastAsia="en-GB" w:bidi="ar-SA"/>
        </w:rPr>
        <w:fldChar w:fldCharType="begin"/>
      </w:r>
      <w:r>
        <w:rPr>
          <w:szCs w:val="22"/>
          <w:lang w:eastAsia="en-GB" w:bidi="ar-SA"/>
        </w:rPr>
        <w:instrText xml:space="preserve"> REF _Ref421631520 \r \h </w:instrText>
      </w:r>
      <w:r>
        <w:rPr>
          <w:szCs w:val="22"/>
          <w:lang w:eastAsia="en-GB" w:bidi="ar-SA"/>
        </w:rPr>
      </w:r>
      <w:r>
        <w:rPr>
          <w:szCs w:val="22"/>
          <w:lang w:eastAsia="en-GB" w:bidi="ar-SA"/>
        </w:rPr>
        <w:fldChar w:fldCharType="separate"/>
      </w:r>
      <w:r w:rsidR="001D5AD9">
        <w:rPr>
          <w:szCs w:val="22"/>
          <w:lang w:eastAsia="en-GB" w:bidi="ar-SA"/>
        </w:rPr>
        <w:t>[7]</w:t>
      </w:r>
      <w:r>
        <w:rPr>
          <w:szCs w:val="22"/>
          <w:lang w:eastAsia="en-GB" w:bidi="ar-SA"/>
        </w:rPr>
        <w:fldChar w:fldCharType="end"/>
      </w:r>
      <w:r>
        <w:rPr>
          <w:szCs w:val="22"/>
          <w:lang w:eastAsia="en-GB" w:bidi="ar-SA"/>
        </w:rPr>
        <w:t>.</w:t>
      </w:r>
    </w:p>
    <w:p w14:paraId="7E6DD151" w14:textId="0DA530DD" w:rsidR="00B97365" w:rsidRDefault="00000000">
      <w:pPr>
        <w:spacing w:before="0" w:after="200" w:line="276" w:lineRule="auto"/>
        <w:jc w:val="left"/>
        <w:rPr>
          <w:szCs w:val="22"/>
          <w:lang w:eastAsia="en-GB" w:bidi="ar-SA"/>
        </w:rPr>
      </w:pPr>
      <w:r>
        <w:rPr>
          <w:szCs w:val="22"/>
          <w:lang w:eastAsia="en-GB" w:bidi="ar-SA"/>
        </w:rPr>
        <w:t xml:space="preserve">*** These privileges are mandatory for cards compliant to GlobalPlatform Card Specification UICC Configuration </w:t>
      </w:r>
      <w:r>
        <w:rPr>
          <w:szCs w:val="22"/>
          <w:lang w:eastAsia="en-GB" w:bidi="ar-SA"/>
        </w:rPr>
        <w:fldChar w:fldCharType="begin"/>
      </w:r>
      <w:r>
        <w:rPr>
          <w:szCs w:val="22"/>
          <w:lang w:eastAsia="en-GB" w:bidi="ar-SA"/>
        </w:rPr>
        <w:instrText xml:space="preserve"> REF _Ref421631520 \r \h  \* MERGEFORMAT </w:instrText>
      </w:r>
      <w:r>
        <w:rPr>
          <w:szCs w:val="22"/>
          <w:lang w:eastAsia="en-GB" w:bidi="ar-SA"/>
        </w:rPr>
      </w:r>
      <w:r>
        <w:rPr>
          <w:szCs w:val="22"/>
          <w:lang w:eastAsia="en-GB" w:bidi="ar-SA"/>
        </w:rPr>
        <w:fldChar w:fldCharType="separate"/>
      </w:r>
      <w:r w:rsidR="001D5AD9">
        <w:rPr>
          <w:szCs w:val="22"/>
          <w:lang w:eastAsia="en-GB" w:bidi="ar-SA"/>
        </w:rPr>
        <w:t>[7]</w:t>
      </w:r>
      <w:r>
        <w:rPr>
          <w:szCs w:val="22"/>
          <w:lang w:eastAsia="en-GB" w:bidi="ar-SA"/>
        </w:rPr>
        <w:fldChar w:fldCharType="end"/>
      </w:r>
      <w:r>
        <w:rPr>
          <w:szCs w:val="22"/>
          <w:lang w:eastAsia="en-GB" w:bidi="ar-SA"/>
        </w:rPr>
        <w:t>, if the Delegated Management privilege is used in the Profile.</w:t>
      </w:r>
    </w:p>
    <w:p w14:paraId="56041606" w14:textId="77777777" w:rsidR="00B97365" w:rsidRDefault="00B97365">
      <w:pPr>
        <w:spacing w:before="0"/>
        <w:jc w:val="left"/>
        <w:rPr>
          <w:rFonts w:cs="Arial"/>
          <w:szCs w:val="22"/>
          <w:lang w:eastAsia="en-GB" w:bidi="ar-SA"/>
        </w:rPr>
      </w:pPr>
    </w:p>
    <w:p w14:paraId="75CDB8EC" w14:textId="77777777" w:rsidR="00B97365" w:rsidRDefault="00B97365">
      <w:pPr>
        <w:spacing w:before="0"/>
        <w:jc w:val="left"/>
        <w:rPr>
          <w:rFonts w:cs="Arial"/>
          <w:szCs w:val="22"/>
          <w:lang w:eastAsia="en-GB" w:bidi="ar-SA"/>
        </w:rPr>
      </w:pPr>
    </w:p>
    <w:p w14:paraId="703C2048" w14:textId="77777777" w:rsidR="00B97365" w:rsidRDefault="00B97365">
      <w:pPr>
        <w:spacing w:before="0"/>
        <w:jc w:val="left"/>
        <w:rPr>
          <w:rFonts w:cs="Arial"/>
          <w:szCs w:val="22"/>
          <w:lang w:eastAsia="en-GB" w:bidi="ar-SA"/>
        </w:rPr>
      </w:pPr>
    </w:p>
    <w:p w14:paraId="4DAF4F62" w14:textId="77777777" w:rsidR="00B97365" w:rsidRDefault="00B97365">
      <w:pPr>
        <w:spacing w:before="0"/>
        <w:jc w:val="left"/>
        <w:rPr>
          <w:rFonts w:cs="Arial"/>
          <w:szCs w:val="22"/>
          <w:lang w:eastAsia="en-GB" w:bidi="ar-SA"/>
        </w:rPr>
      </w:pPr>
    </w:p>
    <w:p w14:paraId="59854BBA" w14:textId="77777777" w:rsidR="00B97365" w:rsidRDefault="00000000">
      <w:pPr>
        <w:keepNext/>
        <w:keepLines/>
        <w:numPr>
          <w:ilvl w:val="0"/>
          <w:numId w:val="36"/>
        </w:numPr>
        <w:spacing w:before="360" w:after="60" w:line="276" w:lineRule="auto"/>
        <w:jc w:val="left"/>
        <w:outlineLvl w:val="0"/>
        <w:rPr>
          <w:b/>
          <w:sz w:val="28"/>
          <w:lang w:eastAsia="en-US"/>
        </w:rPr>
      </w:pPr>
      <w:bookmarkStart w:id="11959" w:name="_Toc448998376"/>
      <w:bookmarkStart w:id="11960" w:name="_Toc422150946"/>
      <w:bookmarkStart w:id="11961" w:name="_Toc421874531"/>
      <w:bookmarkStart w:id="11962" w:name="_Toc420595149"/>
      <w:bookmarkStart w:id="11963" w:name="_Toc398215101"/>
      <w:bookmarkStart w:id="11964" w:name="_Toc375158517"/>
      <w:bookmarkStart w:id="11965" w:name="_Toc374348679"/>
      <w:bookmarkStart w:id="11966" w:name="_Toc486332993"/>
      <w:bookmarkStart w:id="11967" w:name="_Toc1977513"/>
      <w:bookmarkStart w:id="11968" w:name="_Toc37062672"/>
      <w:bookmarkStart w:id="11969" w:name="_Toc88839712"/>
      <w:bookmarkStart w:id="11970" w:name="_Toc121504120"/>
      <w:r>
        <w:rPr>
          <w:b/>
          <w:sz w:val="28"/>
          <w:lang w:eastAsia="en-US"/>
        </w:rPr>
        <w:t>Data Definitions</w:t>
      </w:r>
      <w:bookmarkEnd w:id="11959"/>
      <w:bookmarkEnd w:id="11960"/>
      <w:bookmarkEnd w:id="11961"/>
      <w:bookmarkEnd w:id="11962"/>
      <w:bookmarkEnd w:id="11963"/>
      <w:bookmarkEnd w:id="11964"/>
      <w:bookmarkEnd w:id="11965"/>
      <w:bookmarkEnd w:id="11966"/>
      <w:r>
        <w:rPr>
          <w:b/>
          <w:sz w:val="28"/>
          <w:lang w:eastAsia="en-US"/>
        </w:rPr>
        <w:t xml:space="preserve"> (Normative)</w:t>
      </w:r>
      <w:bookmarkEnd w:id="11967"/>
      <w:bookmarkEnd w:id="11968"/>
      <w:bookmarkEnd w:id="11969"/>
      <w:bookmarkEnd w:id="11970"/>
    </w:p>
    <w:p w14:paraId="69B6F257" w14:textId="77777777" w:rsidR="00B97365" w:rsidRDefault="00000000">
      <w:pPr>
        <w:numPr>
          <w:ilvl w:val="0"/>
          <w:numId w:val="38"/>
        </w:numPr>
        <w:tabs>
          <w:tab w:val="left" w:pos="680"/>
        </w:tabs>
        <w:spacing w:before="0" w:after="200" w:line="276" w:lineRule="auto"/>
        <w:contextualSpacing/>
        <w:jc w:val="left"/>
        <w:rPr>
          <w:szCs w:val="22"/>
          <w:lang w:eastAsia="en-GB" w:bidi="ar-SA"/>
        </w:rPr>
      </w:pPr>
      <w:r>
        <w:rPr>
          <w:szCs w:val="22"/>
          <w:lang w:eastAsia="en-GB" w:bidi="ar-SA"/>
        </w:rPr>
        <w:t>Coding of the IMEI</w:t>
      </w:r>
    </w:p>
    <w:p w14:paraId="2A7BD04B" w14:textId="77777777" w:rsidR="00B97365" w:rsidRDefault="00B97365">
      <w:pPr>
        <w:tabs>
          <w:tab w:val="left" w:pos="680"/>
        </w:tabs>
        <w:spacing w:before="0" w:after="200" w:line="276" w:lineRule="auto"/>
        <w:contextualSpacing/>
        <w:jc w:val="left"/>
        <w:rPr>
          <w:rFonts w:cs="Arial"/>
          <w:szCs w:val="22"/>
          <w:lang w:eastAsia="en-GB" w:bidi="ar-SA"/>
        </w:rPr>
      </w:pPr>
    </w:p>
    <w:p w14:paraId="6AF29B2B" w14:textId="0071A6FE" w:rsidR="00B97365" w:rsidRDefault="00000000">
      <w:pPr>
        <w:spacing w:before="0" w:after="200" w:line="276" w:lineRule="auto"/>
        <w:jc w:val="left"/>
        <w:rPr>
          <w:szCs w:val="22"/>
          <w:lang w:val="en-US" w:eastAsia="en-GB" w:bidi="ar-SA"/>
        </w:rPr>
      </w:pPr>
      <w:r>
        <w:rPr>
          <w:rFonts w:cs="Arial"/>
          <w:szCs w:val="22"/>
          <w:lang w:val="en-US" w:eastAsia="en-GB" w:bidi="ar-SA"/>
        </w:rPr>
        <w:t xml:space="preserve">The value of IMEI SHALL be directly copied from Terminal Response of the Provide Local Information command (see ETSI TS 102 223 </w:t>
      </w:r>
      <w:r>
        <w:rPr>
          <w:szCs w:val="22"/>
          <w:lang w:val="en-US" w:eastAsia="en-GB" w:bidi="ar-SA"/>
        </w:rPr>
        <w:fldChar w:fldCharType="begin"/>
      </w:r>
      <w:r>
        <w:rPr>
          <w:szCs w:val="22"/>
          <w:lang w:val="en-US" w:eastAsia="en-GB" w:bidi="ar-SA"/>
        </w:rPr>
        <w:instrText xml:space="preserve"> REF _Ref421633137 \r \h </w:instrText>
      </w:r>
      <w:r>
        <w:rPr>
          <w:szCs w:val="22"/>
          <w:lang w:val="en-US" w:eastAsia="en-GB" w:bidi="ar-SA"/>
        </w:rPr>
      </w:r>
      <w:r>
        <w:rPr>
          <w:szCs w:val="22"/>
          <w:lang w:val="en-US" w:eastAsia="en-GB" w:bidi="ar-SA"/>
        </w:rPr>
        <w:fldChar w:fldCharType="separate"/>
      </w:r>
      <w:r w:rsidR="001D5AD9">
        <w:rPr>
          <w:szCs w:val="22"/>
          <w:lang w:val="en-US" w:eastAsia="en-GB" w:bidi="ar-SA"/>
        </w:rPr>
        <w:t>[3]</w:t>
      </w:r>
      <w:r>
        <w:rPr>
          <w:szCs w:val="22"/>
          <w:lang w:val="en-US" w:eastAsia="en-GB" w:bidi="ar-SA"/>
        </w:rPr>
        <w:fldChar w:fldCharType="end"/>
      </w:r>
      <w:r>
        <w:rPr>
          <w:szCs w:val="22"/>
          <w:lang w:val="en-US" w:eastAsia="en-GB" w:bidi="ar-SA"/>
        </w:rPr>
        <w:t xml:space="preserve"> and ETSI TS 124 008</w:t>
      </w:r>
      <w:r>
        <w:rPr>
          <w:szCs w:val="22"/>
          <w:lang w:val="en-US" w:eastAsia="en-GB" w:bidi="ar-SA"/>
        </w:rPr>
        <w:fldChar w:fldCharType="begin"/>
      </w:r>
      <w:r>
        <w:rPr>
          <w:szCs w:val="22"/>
          <w:lang w:val="en-US" w:eastAsia="en-GB" w:bidi="ar-SA"/>
        </w:rPr>
        <w:instrText xml:space="preserve"> REF _Ref421635546 \r \h </w:instrText>
      </w:r>
      <w:r>
        <w:rPr>
          <w:szCs w:val="22"/>
          <w:lang w:val="en-US" w:eastAsia="en-GB" w:bidi="ar-SA"/>
        </w:rPr>
      </w:r>
      <w:r>
        <w:rPr>
          <w:szCs w:val="22"/>
          <w:lang w:val="en-US" w:eastAsia="en-GB" w:bidi="ar-SA"/>
        </w:rPr>
        <w:fldChar w:fldCharType="separate"/>
      </w:r>
      <w:r w:rsidR="001D5AD9">
        <w:rPr>
          <w:szCs w:val="22"/>
          <w:lang w:val="en-US" w:eastAsia="en-GB" w:bidi="ar-SA"/>
        </w:rPr>
        <w:t>[20]</w:t>
      </w:r>
      <w:r>
        <w:rPr>
          <w:szCs w:val="22"/>
          <w:lang w:val="en-US" w:eastAsia="en-GB" w:bidi="ar-SA"/>
        </w:rPr>
        <w:fldChar w:fldCharType="end"/>
      </w:r>
      <w:r>
        <w:rPr>
          <w:szCs w:val="22"/>
          <w:lang w:val="en-US" w:eastAsia="en-GB" w:bidi="ar-SA"/>
        </w:rPr>
        <w:t>).</w:t>
      </w:r>
    </w:p>
    <w:p w14:paraId="7837BD39" w14:textId="77777777" w:rsidR="00B97365" w:rsidRDefault="00000000">
      <w:pPr>
        <w:keepNext/>
        <w:keepLines/>
        <w:numPr>
          <w:ilvl w:val="0"/>
          <w:numId w:val="36"/>
        </w:numPr>
        <w:spacing w:before="360" w:after="60" w:line="276" w:lineRule="auto"/>
        <w:jc w:val="left"/>
        <w:outlineLvl w:val="0"/>
        <w:rPr>
          <w:b/>
          <w:sz w:val="28"/>
          <w:szCs w:val="22"/>
          <w:lang w:eastAsia="en-US"/>
        </w:rPr>
      </w:pPr>
      <w:bookmarkStart w:id="11971" w:name="_Toc448998377"/>
      <w:bookmarkStart w:id="11972" w:name="_Toc422150947"/>
      <w:bookmarkStart w:id="11973" w:name="_Toc421874532"/>
      <w:bookmarkStart w:id="11974" w:name="_Ref421660732"/>
      <w:bookmarkStart w:id="11975" w:name="_Ref421660723"/>
      <w:bookmarkStart w:id="11976" w:name="_Ref421660714"/>
      <w:bookmarkStart w:id="11977" w:name="_Ref421660691"/>
      <w:bookmarkStart w:id="11978" w:name="_Ref421660683"/>
      <w:bookmarkStart w:id="11979" w:name="_Ref421660675"/>
      <w:bookmarkStart w:id="11980" w:name="_Ref421660657"/>
      <w:bookmarkStart w:id="11981" w:name="_Ref421660642"/>
      <w:bookmarkStart w:id="11982" w:name="_Ref421660634"/>
      <w:bookmarkStart w:id="11983" w:name="_Ref421660610"/>
      <w:bookmarkStart w:id="11984" w:name="_Ref421660310"/>
      <w:bookmarkStart w:id="11985" w:name="_Ref421660299"/>
      <w:bookmarkStart w:id="11986" w:name="_Ref421660283"/>
      <w:bookmarkStart w:id="11987" w:name="_Ref421659010"/>
      <w:bookmarkStart w:id="11988" w:name="_Ref421658999"/>
      <w:bookmarkStart w:id="11989" w:name="_Toc420595150"/>
      <w:bookmarkStart w:id="11990" w:name="_Toc398215102"/>
      <w:bookmarkStart w:id="11991" w:name="_Toc375158518"/>
      <w:bookmarkStart w:id="11992" w:name="_Toc374348680"/>
      <w:bookmarkStart w:id="11993" w:name="_Toc368932523"/>
      <w:bookmarkStart w:id="11994" w:name="_Ref483260408"/>
      <w:bookmarkStart w:id="11995" w:name="_Toc486332994"/>
      <w:bookmarkStart w:id="11996" w:name="_Toc1977514"/>
      <w:bookmarkStart w:id="11997" w:name="_Toc37062673"/>
      <w:bookmarkStart w:id="11998" w:name="_Toc88839713"/>
      <w:bookmarkStart w:id="11999" w:name="_Toc121504121"/>
      <w:r>
        <w:rPr>
          <w:b/>
          <w:sz w:val="28"/>
          <w:lang w:eastAsia="en-US"/>
        </w:rPr>
        <w:t>EIS Usage in Functions</w:t>
      </w:r>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r>
        <w:rPr>
          <w:b/>
          <w:sz w:val="28"/>
          <w:lang w:eastAsia="en-US"/>
        </w:rPr>
        <w:t xml:space="preserve"> (Normative)</w:t>
      </w:r>
      <w:bookmarkEnd w:id="11996"/>
      <w:bookmarkEnd w:id="11997"/>
      <w:bookmarkEnd w:id="11998"/>
      <w:bookmarkEnd w:id="11999"/>
    </w:p>
    <w:p w14:paraId="0D63369C" w14:textId="77777777" w:rsidR="00B97365" w:rsidRDefault="00000000">
      <w:pPr>
        <w:spacing w:before="0" w:after="200" w:line="276" w:lineRule="auto"/>
        <w:jc w:val="left"/>
        <w:rPr>
          <w:rFonts w:cs="Arial"/>
          <w:szCs w:val="22"/>
          <w:lang w:val="en-US" w:eastAsia="en-GB" w:bidi="ar-SA"/>
        </w:rPr>
      </w:pPr>
      <w:r>
        <w:rPr>
          <w:rFonts w:cs="Arial"/>
          <w:szCs w:val="22"/>
          <w:lang w:val="en-US" w:eastAsia="en-GB" w:bidi="ar-SA"/>
        </w:rPr>
        <w:t>This table gives additional information on the EIS usage depending on the function:</w:t>
      </w:r>
    </w:p>
    <w:p w14:paraId="3232BEBD"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Column ‘EUM Signed’: ‘X’ indicates if the data is part of the signature computed by the EUM at the initial registration time.</w:t>
      </w:r>
    </w:p>
    <w:p w14:paraId="5FCC17C0"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Other columns:</w:t>
      </w:r>
    </w:p>
    <w:p w14:paraId="33B7F858"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An ‘M’, ‘O’, ‘C’, indicates that the data is,respectively, Mandatory, Optional, Conditional, and that the entity processing the EIS SHALL be ready to receive the data</w:t>
      </w:r>
    </w:p>
    <w:p w14:paraId="33BF0868" w14:textId="77777777" w:rsidR="00B97365" w:rsidRDefault="00000000">
      <w:pPr>
        <w:numPr>
          <w:ilvl w:val="1"/>
          <w:numId w:val="11"/>
        </w:numPr>
        <w:tabs>
          <w:tab w:val="left" w:pos="1021"/>
        </w:tabs>
        <w:spacing w:before="0" w:after="200" w:line="276" w:lineRule="auto"/>
        <w:contextualSpacing/>
        <w:jc w:val="left"/>
        <w:rPr>
          <w:szCs w:val="22"/>
          <w:lang w:eastAsia="en-GB" w:bidi="ar-SA"/>
        </w:rPr>
      </w:pPr>
      <w:r>
        <w:rPr>
          <w:szCs w:val="22"/>
          <w:lang w:eastAsia="en-GB" w:bidi="ar-SA"/>
        </w:rPr>
        <w:t>An empty cell indicates that the data SHALL NOT be provided</w:t>
      </w:r>
    </w:p>
    <w:tbl>
      <w:tblPr>
        <w:tblW w:w="42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2931"/>
        <w:gridCol w:w="455"/>
        <w:gridCol w:w="494"/>
        <w:gridCol w:w="769"/>
        <w:gridCol w:w="1073"/>
        <w:gridCol w:w="1073"/>
        <w:gridCol w:w="876"/>
      </w:tblGrid>
      <w:tr w:rsidR="00B97365" w14:paraId="47FA4DC5" w14:textId="77777777">
        <w:trPr>
          <w:cantSplit/>
          <w:trHeight w:val="3146"/>
          <w:tblHeader/>
        </w:trPr>
        <w:tc>
          <w:tcPr>
            <w:tcW w:w="1916" w:type="pct"/>
            <w:tcBorders>
              <w:top w:val="single" w:sz="4" w:space="0" w:color="auto"/>
              <w:left w:val="single" w:sz="4" w:space="0" w:color="auto"/>
              <w:bottom w:val="single" w:sz="6" w:space="0" w:color="auto"/>
              <w:right w:val="single" w:sz="6" w:space="0" w:color="auto"/>
            </w:tcBorders>
            <w:shd w:val="clear" w:color="auto" w:fill="C00000"/>
            <w:vAlign w:val="center"/>
            <w:hideMark/>
          </w:tcPr>
          <w:p w14:paraId="42B25FB6" w14:textId="77777777" w:rsidR="00B97365" w:rsidRDefault="00000000">
            <w:pPr>
              <w:jc w:val="center"/>
              <w:rPr>
                <w:rFonts w:cs="Calibri"/>
                <w:b/>
                <w:color w:val="FFFFFF"/>
                <w:sz w:val="16"/>
                <w:szCs w:val="16"/>
              </w:rPr>
            </w:pPr>
            <w:r>
              <w:rPr>
                <w:rFonts w:cs="Calibri"/>
                <w:b/>
                <w:color w:val="FFFFFF"/>
                <w:sz w:val="16"/>
                <w:szCs w:val="16"/>
              </w:rPr>
              <w:lastRenderedPageBreak/>
              <w:t>Data name</w:t>
            </w:r>
          </w:p>
        </w:tc>
        <w:tc>
          <w:tcPr>
            <w:tcW w:w="293" w:type="pct"/>
            <w:tcBorders>
              <w:top w:val="single" w:sz="4" w:space="0" w:color="auto"/>
              <w:left w:val="single" w:sz="6" w:space="0" w:color="auto"/>
              <w:bottom w:val="single" w:sz="6" w:space="0" w:color="auto"/>
              <w:right w:val="single" w:sz="6" w:space="0" w:color="auto"/>
            </w:tcBorders>
            <w:shd w:val="clear" w:color="auto" w:fill="C00000"/>
            <w:textDirection w:val="btLr"/>
            <w:vAlign w:val="center"/>
            <w:hideMark/>
          </w:tcPr>
          <w:p w14:paraId="500EB277" w14:textId="77777777" w:rsidR="00B97365" w:rsidRDefault="00000000">
            <w:pPr>
              <w:ind w:left="113" w:right="113"/>
              <w:jc w:val="center"/>
              <w:rPr>
                <w:rFonts w:cs="Calibri"/>
                <w:b/>
                <w:color w:val="FFFFFF"/>
                <w:sz w:val="16"/>
                <w:szCs w:val="16"/>
              </w:rPr>
            </w:pPr>
            <w:r>
              <w:rPr>
                <w:rFonts w:cs="Calibri"/>
                <w:b/>
                <w:color w:val="FFFFFF"/>
                <w:sz w:val="16"/>
                <w:szCs w:val="16"/>
              </w:rPr>
              <w:t>EUM Signed</w:t>
            </w:r>
          </w:p>
        </w:tc>
        <w:tc>
          <w:tcPr>
            <w:tcW w:w="327" w:type="pct"/>
            <w:tcBorders>
              <w:top w:val="single" w:sz="4" w:space="0" w:color="auto"/>
              <w:left w:val="single" w:sz="6" w:space="0" w:color="auto"/>
              <w:bottom w:val="single" w:sz="6" w:space="0" w:color="auto"/>
              <w:right w:val="single" w:sz="6" w:space="0" w:color="auto"/>
            </w:tcBorders>
            <w:shd w:val="clear" w:color="auto" w:fill="C00000"/>
            <w:textDirection w:val="btLr"/>
            <w:vAlign w:val="center"/>
          </w:tcPr>
          <w:p w14:paraId="5EE167E7" w14:textId="77777777" w:rsidR="00B97365" w:rsidRDefault="00000000">
            <w:pPr>
              <w:ind w:left="113" w:right="113"/>
              <w:jc w:val="center"/>
              <w:rPr>
                <w:rFonts w:cs="Calibri"/>
                <w:b/>
                <w:color w:val="FFFFFF"/>
                <w:sz w:val="16"/>
                <w:szCs w:val="16"/>
              </w:rPr>
            </w:pPr>
            <w:r>
              <w:rPr>
                <w:rFonts w:cs="Calibri"/>
                <w:b/>
                <w:color w:val="FFFFFF"/>
                <w:sz w:val="16"/>
                <w:szCs w:val="16"/>
              </w:rPr>
              <w:t>ES1.RegisterEIS</w:t>
            </w:r>
          </w:p>
          <w:p w14:paraId="085BFF9C" w14:textId="77777777" w:rsidR="00B97365" w:rsidRDefault="00B97365">
            <w:pPr>
              <w:ind w:left="113" w:right="113"/>
              <w:jc w:val="center"/>
              <w:rPr>
                <w:rFonts w:cs="Calibri"/>
                <w:b/>
                <w:color w:val="FFFFFF"/>
                <w:sz w:val="16"/>
                <w:szCs w:val="16"/>
              </w:rPr>
            </w:pPr>
          </w:p>
        </w:tc>
        <w:tc>
          <w:tcPr>
            <w:tcW w:w="507" w:type="pct"/>
            <w:tcBorders>
              <w:top w:val="single" w:sz="4" w:space="0" w:color="auto"/>
              <w:left w:val="single" w:sz="6" w:space="0" w:color="auto"/>
              <w:bottom w:val="single" w:sz="6" w:space="0" w:color="auto"/>
              <w:right w:val="single" w:sz="6" w:space="0" w:color="auto"/>
            </w:tcBorders>
            <w:shd w:val="clear" w:color="auto" w:fill="C00000"/>
            <w:textDirection w:val="btLr"/>
            <w:hideMark/>
          </w:tcPr>
          <w:p w14:paraId="4C69AC5C" w14:textId="77777777" w:rsidR="00B97365" w:rsidRDefault="00000000">
            <w:pPr>
              <w:jc w:val="center"/>
              <w:rPr>
                <w:rFonts w:cs="Calibri"/>
                <w:b/>
                <w:color w:val="FFFFFF"/>
                <w:sz w:val="16"/>
                <w:szCs w:val="16"/>
              </w:rPr>
            </w:pPr>
            <w:r>
              <w:rPr>
                <w:rFonts w:cs="Calibri"/>
                <w:b/>
                <w:color w:val="FFFFFF"/>
                <w:sz w:val="16"/>
                <w:szCs w:val="16"/>
              </w:rPr>
              <w:t>ES2.GetEIS</w:t>
            </w:r>
          </w:p>
          <w:p w14:paraId="0D06111A" w14:textId="77777777" w:rsidR="00B97365" w:rsidRDefault="00000000">
            <w:pPr>
              <w:jc w:val="center"/>
              <w:rPr>
                <w:rFonts w:cs="Calibri"/>
                <w:b/>
                <w:color w:val="FFFFFF"/>
                <w:sz w:val="16"/>
                <w:szCs w:val="16"/>
              </w:rPr>
            </w:pPr>
            <w:r>
              <w:rPr>
                <w:rFonts w:cs="Calibri"/>
                <w:b/>
                <w:color w:val="FFFFFF"/>
                <w:sz w:val="16"/>
                <w:szCs w:val="16"/>
                <w:lang w:val="de-DE"/>
              </w:rPr>
              <w:t>ES2.AuditEIS</w:t>
            </w:r>
            <w:r>
              <w:rPr>
                <w:rFonts w:cs="Calibri"/>
                <w:b/>
                <w:color w:val="FFFFFF"/>
                <w:sz w:val="16"/>
                <w:szCs w:val="16"/>
              </w:rPr>
              <w:t>ES2.HandleSMSRChangeNotification</w:t>
            </w:r>
          </w:p>
        </w:tc>
        <w:tc>
          <w:tcPr>
            <w:tcW w:w="690" w:type="pct"/>
            <w:tcBorders>
              <w:top w:val="single" w:sz="4" w:space="0" w:color="auto"/>
              <w:left w:val="single" w:sz="6" w:space="0" w:color="auto"/>
              <w:bottom w:val="single" w:sz="6" w:space="0" w:color="auto"/>
              <w:right w:val="single" w:sz="6" w:space="0" w:color="auto"/>
            </w:tcBorders>
            <w:shd w:val="clear" w:color="auto" w:fill="C00000"/>
            <w:textDirection w:val="btLr"/>
            <w:vAlign w:val="center"/>
            <w:hideMark/>
          </w:tcPr>
          <w:p w14:paraId="3CCAD774" w14:textId="77777777" w:rsidR="00B97365" w:rsidRDefault="00000000">
            <w:pPr>
              <w:ind w:left="113" w:right="113"/>
              <w:jc w:val="center"/>
              <w:rPr>
                <w:rFonts w:cs="Calibri"/>
                <w:b/>
                <w:color w:val="FFFFFF"/>
                <w:sz w:val="16"/>
                <w:szCs w:val="16"/>
              </w:rPr>
            </w:pPr>
            <w:r>
              <w:rPr>
                <w:rFonts w:cs="Calibri"/>
                <w:b/>
                <w:color w:val="FFFFFF"/>
                <w:sz w:val="16"/>
                <w:szCs w:val="16"/>
              </w:rPr>
              <w:t>ES3.GetEIS</w:t>
            </w:r>
          </w:p>
          <w:p w14:paraId="4CB86225" w14:textId="77777777" w:rsidR="00B97365" w:rsidRDefault="00000000">
            <w:pPr>
              <w:ind w:left="113" w:right="113"/>
              <w:jc w:val="center"/>
              <w:rPr>
                <w:rFonts w:cs="Calibri"/>
                <w:b/>
                <w:color w:val="FFFFFF"/>
                <w:sz w:val="16"/>
                <w:szCs w:val="16"/>
              </w:rPr>
            </w:pPr>
            <w:r>
              <w:rPr>
                <w:rFonts w:cs="Calibri"/>
                <w:b/>
                <w:color w:val="FFFFFF"/>
                <w:sz w:val="16"/>
                <w:szCs w:val="16"/>
              </w:rPr>
              <w:t>ES3.AuditEIS</w:t>
            </w:r>
          </w:p>
          <w:p w14:paraId="5899F996" w14:textId="77777777" w:rsidR="00B97365" w:rsidRDefault="00000000">
            <w:pPr>
              <w:jc w:val="center"/>
              <w:rPr>
                <w:rFonts w:cs="Calibri"/>
                <w:b/>
                <w:color w:val="FFFFFF"/>
                <w:sz w:val="16"/>
                <w:szCs w:val="16"/>
              </w:rPr>
            </w:pPr>
            <w:r>
              <w:rPr>
                <w:rFonts w:cs="Calibri"/>
                <w:b/>
                <w:color w:val="FFFFFF"/>
                <w:sz w:val="16"/>
                <w:szCs w:val="16"/>
              </w:rPr>
              <w:t>ES3.HandleSMSRChangeNotification</w:t>
            </w:r>
          </w:p>
        </w:tc>
        <w:tc>
          <w:tcPr>
            <w:tcW w:w="690" w:type="pct"/>
            <w:tcBorders>
              <w:top w:val="single" w:sz="4" w:space="0" w:color="auto"/>
              <w:left w:val="single" w:sz="6" w:space="0" w:color="auto"/>
              <w:bottom w:val="single" w:sz="6" w:space="0" w:color="auto"/>
              <w:right w:val="single" w:sz="6" w:space="0" w:color="auto"/>
            </w:tcBorders>
            <w:shd w:val="clear" w:color="auto" w:fill="C00000"/>
            <w:textDirection w:val="btLr"/>
            <w:hideMark/>
          </w:tcPr>
          <w:p w14:paraId="2608C8A9" w14:textId="77777777" w:rsidR="00B97365" w:rsidRDefault="00000000">
            <w:pPr>
              <w:ind w:left="113" w:right="113"/>
              <w:jc w:val="center"/>
              <w:rPr>
                <w:rFonts w:cs="Calibri"/>
                <w:b/>
                <w:color w:val="FFFFFF"/>
                <w:sz w:val="16"/>
                <w:szCs w:val="16"/>
              </w:rPr>
            </w:pPr>
            <w:r>
              <w:rPr>
                <w:rFonts w:cs="Calibri"/>
                <w:b/>
                <w:color w:val="FFFFFF"/>
                <w:sz w:val="16"/>
                <w:szCs w:val="16"/>
              </w:rPr>
              <w:t>ES4.GetEIS</w:t>
            </w:r>
          </w:p>
          <w:p w14:paraId="3A06B4B7" w14:textId="77777777" w:rsidR="00B97365" w:rsidRDefault="00000000">
            <w:pPr>
              <w:ind w:left="113" w:right="113"/>
              <w:jc w:val="center"/>
              <w:rPr>
                <w:rFonts w:cs="Calibri"/>
                <w:b/>
                <w:color w:val="FFFFFF"/>
                <w:sz w:val="16"/>
                <w:szCs w:val="16"/>
              </w:rPr>
            </w:pPr>
            <w:r>
              <w:rPr>
                <w:rFonts w:cs="Calibri"/>
                <w:b/>
                <w:color w:val="FFFFFF"/>
                <w:sz w:val="16"/>
                <w:szCs w:val="16"/>
              </w:rPr>
              <w:t>ES4.AuditEIS</w:t>
            </w:r>
          </w:p>
          <w:p w14:paraId="2E4FA899" w14:textId="77777777" w:rsidR="00B97365" w:rsidRDefault="00000000">
            <w:pPr>
              <w:ind w:left="113" w:right="113"/>
              <w:jc w:val="center"/>
              <w:rPr>
                <w:rFonts w:cs="Calibri"/>
                <w:b/>
                <w:color w:val="FFFFFF"/>
                <w:sz w:val="16"/>
                <w:szCs w:val="16"/>
              </w:rPr>
            </w:pPr>
            <w:r>
              <w:rPr>
                <w:rFonts w:cs="Calibri"/>
                <w:b/>
                <w:color w:val="FFFFFF"/>
                <w:sz w:val="16"/>
                <w:szCs w:val="16"/>
              </w:rPr>
              <w:t>ES4.HandleSMSRChangeNotification</w:t>
            </w:r>
          </w:p>
        </w:tc>
        <w:tc>
          <w:tcPr>
            <w:tcW w:w="576" w:type="pct"/>
            <w:tcBorders>
              <w:top w:val="single" w:sz="4" w:space="0" w:color="auto"/>
              <w:left w:val="single" w:sz="6" w:space="0" w:color="auto"/>
              <w:bottom w:val="single" w:sz="6" w:space="0" w:color="auto"/>
              <w:right w:val="single" w:sz="4" w:space="0" w:color="auto"/>
            </w:tcBorders>
            <w:shd w:val="clear" w:color="auto" w:fill="C00000"/>
            <w:textDirection w:val="btLr"/>
            <w:vAlign w:val="center"/>
            <w:hideMark/>
          </w:tcPr>
          <w:p w14:paraId="4103C070" w14:textId="77777777" w:rsidR="00B97365" w:rsidRDefault="00000000">
            <w:pPr>
              <w:ind w:left="113" w:right="113"/>
              <w:jc w:val="center"/>
              <w:rPr>
                <w:rFonts w:cs="Calibri"/>
                <w:b/>
                <w:color w:val="FFFFFF"/>
                <w:sz w:val="16"/>
                <w:szCs w:val="16"/>
              </w:rPr>
            </w:pPr>
            <w:r>
              <w:rPr>
                <w:rFonts w:cs="Calibri"/>
                <w:b/>
                <w:color w:val="FFFFFF"/>
                <w:sz w:val="16"/>
                <w:szCs w:val="16"/>
              </w:rPr>
              <w:t>ES7.HandoverEUICC</w:t>
            </w:r>
          </w:p>
        </w:tc>
      </w:tr>
      <w:tr w:rsidR="00B97365" w14:paraId="330EFD54"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68866A89" w14:textId="77777777" w:rsidR="00B97365" w:rsidRDefault="00000000">
            <w:pPr>
              <w:spacing w:after="200"/>
              <w:rPr>
                <w:rFonts w:eastAsia="Times New Roman" w:cs="Arial"/>
                <w:sz w:val="16"/>
                <w:szCs w:val="16"/>
              </w:rPr>
            </w:pPr>
            <w:r>
              <w:rPr>
                <w:rFonts w:cs="Arial"/>
                <w:sz w:val="16"/>
                <w:szCs w:val="16"/>
              </w:rPr>
              <w:t>eid</w:t>
            </w:r>
          </w:p>
        </w:tc>
        <w:tc>
          <w:tcPr>
            <w:tcW w:w="293" w:type="pct"/>
            <w:tcBorders>
              <w:top w:val="single" w:sz="6" w:space="0" w:color="auto"/>
              <w:left w:val="single" w:sz="6" w:space="0" w:color="auto"/>
              <w:bottom w:val="single" w:sz="6" w:space="0" w:color="auto"/>
              <w:right w:val="single" w:sz="6" w:space="0" w:color="auto"/>
            </w:tcBorders>
            <w:vAlign w:val="center"/>
            <w:hideMark/>
          </w:tcPr>
          <w:p w14:paraId="07B20029"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52BCD81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31BA06B4"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489FEAE7"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3A036CA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306BCFC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21B98956"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611958E7" w14:textId="77777777" w:rsidR="00B97365" w:rsidRDefault="00000000">
            <w:pPr>
              <w:spacing w:after="200" w:line="276" w:lineRule="auto"/>
              <w:rPr>
                <w:rFonts w:eastAsia="Times New Roman" w:cs="Arial"/>
                <w:sz w:val="16"/>
                <w:szCs w:val="16"/>
              </w:rPr>
            </w:pPr>
            <w:r>
              <w:rPr>
                <w:rFonts w:cs="Arial"/>
                <w:sz w:val="16"/>
                <w:szCs w:val="16"/>
              </w:rPr>
              <w:t>eum-id</w:t>
            </w:r>
          </w:p>
        </w:tc>
        <w:tc>
          <w:tcPr>
            <w:tcW w:w="293" w:type="pct"/>
            <w:tcBorders>
              <w:top w:val="single" w:sz="6" w:space="0" w:color="auto"/>
              <w:left w:val="single" w:sz="6" w:space="0" w:color="auto"/>
              <w:bottom w:val="single" w:sz="6" w:space="0" w:color="auto"/>
              <w:right w:val="single" w:sz="6" w:space="0" w:color="auto"/>
            </w:tcBorders>
            <w:vAlign w:val="center"/>
            <w:hideMark/>
          </w:tcPr>
          <w:p w14:paraId="24748A8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25F268F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5FB23129"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5214D2C7"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03E6F0D1"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4DB13134"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4EDFFCEB"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65D65BDE" w14:textId="77777777" w:rsidR="00B97365" w:rsidRDefault="00000000">
            <w:pPr>
              <w:spacing w:after="200" w:line="276" w:lineRule="auto"/>
              <w:rPr>
                <w:rFonts w:eastAsia="Times New Roman" w:cs="Arial"/>
                <w:sz w:val="16"/>
                <w:szCs w:val="16"/>
              </w:rPr>
            </w:pPr>
            <w:r>
              <w:rPr>
                <w:rFonts w:cs="Arial"/>
                <w:sz w:val="16"/>
                <w:szCs w:val="16"/>
              </w:rPr>
              <w:t>productionDate</w:t>
            </w:r>
          </w:p>
        </w:tc>
        <w:tc>
          <w:tcPr>
            <w:tcW w:w="293" w:type="pct"/>
            <w:tcBorders>
              <w:top w:val="single" w:sz="6" w:space="0" w:color="auto"/>
              <w:left w:val="single" w:sz="6" w:space="0" w:color="auto"/>
              <w:bottom w:val="single" w:sz="6" w:space="0" w:color="auto"/>
              <w:right w:val="single" w:sz="6" w:space="0" w:color="auto"/>
            </w:tcBorders>
            <w:vAlign w:val="center"/>
            <w:hideMark/>
          </w:tcPr>
          <w:p w14:paraId="6B8F3341"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6FAE3C1F"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0A4566AE"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2380C69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1E4FCDE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769BB79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42B00334"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01F69905" w14:textId="77777777" w:rsidR="00B97365" w:rsidRDefault="00000000">
            <w:pPr>
              <w:spacing w:after="200" w:line="276" w:lineRule="auto"/>
              <w:rPr>
                <w:rFonts w:eastAsia="Times New Roman" w:cs="Arial"/>
                <w:sz w:val="16"/>
                <w:szCs w:val="16"/>
              </w:rPr>
            </w:pPr>
            <w:r>
              <w:rPr>
                <w:rFonts w:cs="Arial"/>
                <w:sz w:val="16"/>
                <w:szCs w:val="16"/>
              </w:rPr>
              <w:t>platformType</w:t>
            </w:r>
          </w:p>
        </w:tc>
        <w:tc>
          <w:tcPr>
            <w:tcW w:w="293" w:type="pct"/>
            <w:tcBorders>
              <w:top w:val="single" w:sz="6" w:space="0" w:color="auto"/>
              <w:left w:val="single" w:sz="6" w:space="0" w:color="auto"/>
              <w:bottom w:val="single" w:sz="6" w:space="0" w:color="auto"/>
              <w:right w:val="single" w:sz="6" w:space="0" w:color="auto"/>
            </w:tcBorders>
            <w:vAlign w:val="center"/>
            <w:hideMark/>
          </w:tcPr>
          <w:p w14:paraId="6C58F987"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2C69B066"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6DA1094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55EEBD6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42E581D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79B227D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530D2E18"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7577CB76" w14:textId="77777777" w:rsidR="00B97365" w:rsidRDefault="00000000">
            <w:pPr>
              <w:spacing w:after="200" w:line="276" w:lineRule="auto"/>
              <w:rPr>
                <w:rFonts w:eastAsia="Times New Roman" w:cs="Arial"/>
                <w:sz w:val="16"/>
                <w:szCs w:val="16"/>
              </w:rPr>
            </w:pPr>
            <w:r>
              <w:rPr>
                <w:rFonts w:cs="Arial"/>
                <w:sz w:val="16"/>
                <w:szCs w:val="16"/>
              </w:rPr>
              <w:t>platformVersion</w:t>
            </w:r>
          </w:p>
        </w:tc>
        <w:tc>
          <w:tcPr>
            <w:tcW w:w="293" w:type="pct"/>
            <w:tcBorders>
              <w:top w:val="single" w:sz="6" w:space="0" w:color="auto"/>
              <w:left w:val="single" w:sz="6" w:space="0" w:color="auto"/>
              <w:bottom w:val="single" w:sz="6" w:space="0" w:color="auto"/>
              <w:right w:val="single" w:sz="6" w:space="0" w:color="auto"/>
            </w:tcBorders>
            <w:vAlign w:val="center"/>
            <w:hideMark/>
          </w:tcPr>
          <w:p w14:paraId="0FC56B7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23B7DEB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5FE8C8D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006D7AD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030EF77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7038EDF1"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66878225"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3BAE43D5" w14:textId="77777777" w:rsidR="00B97365" w:rsidRDefault="00000000">
            <w:pPr>
              <w:spacing w:after="200" w:line="276" w:lineRule="auto"/>
              <w:rPr>
                <w:rFonts w:eastAsia="Times New Roman" w:cs="Arial"/>
                <w:sz w:val="16"/>
                <w:szCs w:val="16"/>
              </w:rPr>
            </w:pPr>
            <w:r>
              <w:rPr>
                <w:rFonts w:cs="Arial"/>
                <w:sz w:val="16"/>
                <w:szCs w:val="16"/>
              </w:rPr>
              <w:t>remainingMemory</w:t>
            </w:r>
          </w:p>
        </w:tc>
        <w:tc>
          <w:tcPr>
            <w:tcW w:w="293" w:type="pct"/>
            <w:tcBorders>
              <w:top w:val="single" w:sz="6" w:space="0" w:color="auto"/>
              <w:left w:val="single" w:sz="6" w:space="0" w:color="auto"/>
              <w:bottom w:val="single" w:sz="6" w:space="0" w:color="auto"/>
              <w:right w:val="single" w:sz="6" w:space="0" w:color="auto"/>
            </w:tcBorders>
            <w:vAlign w:val="center"/>
          </w:tcPr>
          <w:p w14:paraId="276D188C"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1F53885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62A2C83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19E72EC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54F9A756"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08956670"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466E9249"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7798ACC4" w14:textId="77777777" w:rsidR="00B97365" w:rsidRDefault="00000000">
            <w:pPr>
              <w:spacing w:after="200" w:line="276" w:lineRule="auto"/>
              <w:rPr>
                <w:rFonts w:eastAsia="Times New Roman" w:cs="Arial"/>
                <w:sz w:val="16"/>
                <w:szCs w:val="16"/>
              </w:rPr>
            </w:pPr>
            <w:r>
              <w:rPr>
                <w:rFonts w:eastAsia="Times New Roman" w:cs="Arial"/>
                <w:sz w:val="16"/>
                <w:szCs w:val="16"/>
              </w:rPr>
              <w:t>Availablememoryforprofiles</w:t>
            </w:r>
          </w:p>
        </w:tc>
        <w:tc>
          <w:tcPr>
            <w:tcW w:w="293" w:type="pct"/>
            <w:tcBorders>
              <w:top w:val="single" w:sz="6" w:space="0" w:color="auto"/>
              <w:left w:val="single" w:sz="6" w:space="0" w:color="auto"/>
              <w:bottom w:val="single" w:sz="6" w:space="0" w:color="auto"/>
              <w:right w:val="single" w:sz="6" w:space="0" w:color="auto"/>
            </w:tcBorders>
            <w:vAlign w:val="center"/>
          </w:tcPr>
          <w:p w14:paraId="3728C78D"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327C38E0"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629EBC3E"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7EA892A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240FF63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1365E0D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1A34232E"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1AEEC4A0" w14:textId="77777777" w:rsidR="00B97365" w:rsidRDefault="00000000">
            <w:pPr>
              <w:spacing w:after="200" w:line="276" w:lineRule="auto"/>
              <w:rPr>
                <w:rFonts w:eastAsia="Times New Roman" w:cs="Arial"/>
                <w:sz w:val="16"/>
                <w:szCs w:val="16"/>
              </w:rPr>
            </w:pPr>
            <w:r>
              <w:rPr>
                <w:rFonts w:cs="Arial"/>
                <w:sz w:val="16"/>
                <w:szCs w:val="16"/>
              </w:rPr>
              <w:t>lastAuditDate</w:t>
            </w:r>
          </w:p>
        </w:tc>
        <w:tc>
          <w:tcPr>
            <w:tcW w:w="293" w:type="pct"/>
            <w:tcBorders>
              <w:top w:val="single" w:sz="6" w:space="0" w:color="auto"/>
              <w:left w:val="single" w:sz="6" w:space="0" w:color="auto"/>
              <w:bottom w:val="single" w:sz="6" w:space="0" w:color="auto"/>
              <w:right w:val="single" w:sz="6" w:space="0" w:color="auto"/>
            </w:tcBorders>
            <w:vAlign w:val="center"/>
          </w:tcPr>
          <w:p w14:paraId="54F9FA40"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tcPr>
          <w:p w14:paraId="15025812" w14:textId="77777777" w:rsidR="00B97365" w:rsidRDefault="00B97365">
            <w:pPr>
              <w:spacing w:before="0" w:after="200" w:line="276" w:lineRule="auto"/>
              <w:jc w:val="center"/>
              <w:rPr>
                <w:rFonts w:cs="Arial"/>
                <w:sz w:val="16"/>
                <w:szCs w:val="16"/>
                <w:lang w:eastAsia="en-GB" w:bidi="ar-SA"/>
              </w:rPr>
            </w:pPr>
          </w:p>
        </w:tc>
        <w:tc>
          <w:tcPr>
            <w:tcW w:w="507" w:type="pct"/>
            <w:tcBorders>
              <w:top w:val="single" w:sz="6" w:space="0" w:color="auto"/>
              <w:left w:val="single" w:sz="6" w:space="0" w:color="auto"/>
              <w:bottom w:val="single" w:sz="6" w:space="0" w:color="auto"/>
              <w:right w:val="single" w:sz="6" w:space="0" w:color="auto"/>
            </w:tcBorders>
            <w:vAlign w:val="center"/>
          </w:tcPr>
          <w:p w14:paraId="15F976D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690" w:type="pct"/>
            <w:tcBorders>
              <w:top w:val="single" w:sz="6" w:space="0" w:color="auto"/>
              <w:left w:val="single" w:sz="6" w:space="0" w:color="auto"/>
              <w:bottom w:val="single" w:sz="6" w:space="0" w:color="auto"/>
              <w:right w:val="single" w:sz="6" w:space="0" w:color="auto"/>
            </w:tcBorders>
            <w:vAlign w:val="center"/>
            <w:hideMark/>
          </w:tcPr>
          <w:p w14:paraId="1E50065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690" w:type="pct"/>
            <w:tcBorders>
              <w:top w:val="single" w:sz="6" w:space="0" w:color="auto"/>
              <w:left w:val="single" w:sz="6" w:space="0" w:color="auto"/>
              <w:bottom w:val="single" w:sz="6" w:space="0" w:color="auto"/>
              <w:right w:val="single" w:sz="6" w:space="0" w:color="auto"/>
            </w:tcBorders>
            <w:vAlign w:val="center"/>
            <w:hideMark/>
          </w:tcPr>
          <w:p w14:paraId="7F0F3BD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576" w:type="pct"/>
            <w:tcBorders>
              <w:top w:val="single" w:sz="6" w:space="0" w:color="auto"/>
              <w:left w:val="single" w:sz="6" w:space="0" w:color="auto"/>
              <w:bottom w:val="single" w:sz="6" w:space="0" w:color="auto"/>
              <w:right w:val="single" w:sz="4" w:space="0" w:color="auto"/>
            </w:tcBorders>
            <w:vAlign w:val="center"/>
            <w:hideMark/>
          </w:tcPr>
          <w:p w14:paraId="0676E4C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r>
      <w:tr w:rsidR="00B97365" w14:paraId="1BFE51E3"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5D36509C" w14:textId="77777777" w:rsidR="00B97365" w:rsidRDefault="00000000">
            <w:pPr>
              <w:spacing w:after="200" w:line="276" w:lineRule="auto"/>
              <w:rPr>
                <w:rFonts w:eastAsia="Times New Roman" w:cs="Arial"/>
                <w:sz w:val="16"/>
                <w:szCs w:val="16"/>
              </w:rPr>
            </w:pPr>
            <w:r>
              <w:rPr>
                <w:rFonts w:cs="Arial"/>
                <w:sz w:val="16"/>
                <w:szCs w:val="16"/>
              </w:rPr>
              <w:t>smsr-id</w:t>
            </w:r>
          </w:p>
        </w:tc>
        <w:tc>
          <w:tcPr>
            <w:tcW w:w="293" w:type="pct"/>
            <w:tcBorders>
              <w:top w:val="single" w:sz="6" w:space="0" w:color="auto"/>
              <w:left w:val="single" w:sz="6" w:space="0" w:color="auto"/>
              <w:bottom w:val="single" w:sz="6" w:space="0" w:color="auto"/>
              <w:right w:val="single" w:sz="6" w:space="0" w:color="auto"/>
            </w:tcBorders>
            <w:vAlign w:val="center"/>
          </w:tcPr>
          <w:p w14:paraId="07BF53A8"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51F9057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59543B64"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0F7740E6"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6D017BA9"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6CF206DE"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7927A567"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06981FD9" w14:textId="77777777" w:rsidR="00B97365" w:rsidRDefault="00000000">
            <w:pPr>
              <w:spacing w:after="200" w:line="276" w:lineRule="auto"/>
              <w:rPr>
                <w:rFonts w:eastAsia="Times New Roman" w:cs="Arial"/>
                <w:sz w:val="16"/>
                <w:szCs w:val="16"/>
              </w:rPr>
            </w:pPr>
            <w:r>
              <w:rPr>
                <w:rFonts w:cs="Arial"/>
                <w:sz w:val="16"/>
                <w:szCs w:val="16"/>
              </w:rPr>
              <w:t>isd-p-loadfile-aid</w:t>
            </w:r>
          </w:p>
        </w:tc>
        <w:tc>
          <w:tcPr>
            <w:tcW w:w="293" w:type="pct"/>
            <w:tcBorders>
              <w:top w:val="single" w:sz="6" w:space="0" w:color="auto"/>
              <w:left w:val="single" w:sz="6" w:space="0" w:color="auto"/>
              <w:bottom w:val="single" w:sz="6" w:space="0" w:color="auto"/>
              <w:right w:val="single" w:sz="6" w:space="0" w:color="auto"/>
            </w:tcBorders>
            <w:vAlign w:val="center"/>
            <w:hideMark/>
          </w:tcPr>
          <w:p w14:paraId="150A8C0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50AA5A8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325FEE8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254E395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44FB5E7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7A646946"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751BFE38"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01014DBE" w14:textId="77777777" w:rsidR="00B97365" w:rsidRDefault="00000000">
            <w:pPr>
              <w:spacing w:after="200" w:line="276" w:lineRule="auto"/>
              <w:rPr>
                <w:rFonts w:eastAsia="Times New Roman" w:cs="Arial"/>
                <w:sz w:val="16"/>
                <w:szCs w:val="16"/>
              </w:rPr>
            </w:pPr>
            <w:r>
              <w:rPr>
                <w:rFonts w:cs="Arial"/>
                <w:sz w:val="16"/>
                <w:szCs w:val="16"/>
              </w:rPr>
              <w:t>isd-p-module-aid</w:t>
            </w:r>
          </w:p>
        </w:tc>
        <w:tc>
          <w:tcPr>
            <w:tcW w:w="293" w:type="pct"/>
            <w:tcBorders>
              <w:top w:val="single" w:sz="6" w:space="0" w:color="auto"/>
              <w:left w:val="single" w:sz="6" w:space="0" w:color="auto"/>
              <w:bottom w:val="single" w:sz="6" w:space="0" w:color="auto"/>
              <w:right w:val="single" w:sz="6" w:space="0" w:color="auto"/>
            </w:tcBorders>
            <w:vAlign w:val="center"/>
            <w:hideMark/>
          </w:tcPr>
          <w:p w14:paraId="2A10261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4892702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34E4D900"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4A65B4E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3ADA154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5B700FD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0ED29821"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4DF4B21D" w14:textId="77777777" w:rsidR="00B97365" w:rsidRDefault="00000000">
            <w:pPr>
              <w:spacing w:after="200" w:line="276" w:lineRule="auto"/>
              <w:rPr>
                <w:rFonts w:eastAsia="Times New Roman" w:cs="Arial"/>
                <w:sz w:val="16"/>
                <w:szCs w:val="16"/>
              </w:rPr>
            </w:pPr>
            <w:r>
              <w:rPr>
                <w:rFonts w:cs="Arial"/>
                <w:sz w:val="16"/>
                <w:szCs w:val="16"/>
              </w:rPr>
              <w:t>Profiles</w:t>
            </w:r>
          </w:p>
        </w:tc>
        <w:tc>
          <w:tcPr>
            <w:tcW w:w="293" w:type="pct"/>
            <w:tcBorders>
              <w:top w:val="single" w:sz="6" w:space="0" w:color="auto"/>
              <w:left w:val="single" w:sz="6" w:space="0" w:color="auto"/>
              <w:bottom w:val="single" w:sz="6" w:space="0" w:color="auto"/>
              <w:right w:val="single" w:sz="6" w:space="0" w:color="auto"/>
            </w:tcBorders>
            <w:vAlign w:val="center"/>
          </w:tcPr>
          <w:p w14:paraId="3F61E178"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291397C1"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(1)</w:t>
            </w:r>
          </w:p>
        </w:tc>
        <w:tc>
          <w:tcPr>
            <w:tcW w:w="507" w:type="pct"/>
            <w:tcBorders>
              <w:top w:val="single" w:sz="6" w:space="0" w:color="auto"/>
              <w:left w:val="single" w:sz="6" w:space="0" w:color="auto"/>
              <w:bottom w:val="single" w:sz="6" w:space="0" w:color="auto"/>
              <w:right w:val="single" w:sz="6" w:space="0" w:color="auto"/>
            </w:tcBorders>
            <w:vAlign w:val="center"/>
          </w:tcPr>
          <w:p w14:paraId="6FB194D0"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O</w:t>
            </w:r>
            <w:r>
              <w:rPr>
                <w:rFonts w:cs="Arial"/>
                <w:sz w:val="16"/>
                <w:szCs w:val="16"/>
                <w:vertAlign w:val="superscript"/>
                <w:lang w:eastAsia="en-GB" w:bidi="ar-SA"/>
              </w:rPr>
              <w:t>(3)</w:t>
            </w:r>
          </w:p>
        </w:tc>
        <w:tc>
          <w:tcPr>
            <w:tcW w:w="690" w:type="pct"/>
            <w:tcBorders>
              <w:top w:val="single" w:sz="6" w:space="0" w:color="auto"/>
              <w:left w:val="single" w:sz="6" w:space="0" w:color="auto"/>
              <w:bottom w:val="single" w:sz="6" w:space="0" w:color="auto"/>
              <w:right w:val="single" w:sz="6" w:space="0" w:color="auto"/>
            </w:tcBorders>
            <w:vAlign w:val="center"/>
          </w:tcPr>
          <w:p w14:paraId="0AA6D744"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O</w:t>
            </w:r>
            <w:r>
              <w:rPr>
                <w:rFonts w:cs="Arial"/>
                <w:sz w:val="16"/>
                <w:szCs w:val="16"/>
                <w:vertAlign w:val="superscript"/>
                <w:lang w:eastAsia="en-GB" w:bidi="ar-SA"/>
              </w:rPr>
              <w:t>(3bis)</w:t>
            </w:r>
          </w:p>
        </w:tc>
        <w:tc>
          <w:tcPr>
            <w:tcW w:w="690" w:type="pct"/>
            <w:tcBorders>
              <w:top w:val="single" w:sz="6" w:space="0" w:color="auto"/>
              <w:left w:val="single" w:sz="6" w:space="0" w:color="auto"/>
              <w:bottom w:val="single" w:sz="6" w:space="0" w:color="auto"/>
              <w:right w:val="single" w:sz="6" w:space="0" w:color="auto"/>
            </w:tcBorders>
            <w:vAlign w:val="center"/>
            <w:hideMark/>
          </w:tcPr>
          <w:p w14:paraId="3D9D0E2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(3)</w:t>
            </w:r>
          </w:p>
        </w:tc>
        <w:tc>
          <w:tcPr>
            <w:tcW w:w="576" w:type="pct"/>
            <w:tcBorders>
              <w:top w:val="single" w:sz="6" w:space="0" w:color="auto"/>
              <w:left w:val="single" w:sz="6" w:space="0" w:color="auto"/>
              <w:bottom w:val="single" w:sz="6" w:space="0" w:color="auto"/>
              <w:right w:val="single" w:sz="4" w:space="0" w:color="auto"/>
            </w:tcBorders>
            <w:vAlign w:val="center"/>
            <w:hideMark/>
          </w:tcPr>
          <w:p w14:paraId="4D353F84"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2DB107E1"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4022D00D"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t>Iccid</w:t>
            </w:r>
          </w:p>
        </w:tc>
        <w:tc>
          <w:tcPr>
            <w:tcW w:w="293" w:type="pct"/>
            <w:tcBorders>
              <w:top w:val="single" w:sz="6" w:space="0" w:color="auto"/>
              <w:left w:val="single" w:sz="6" w:space="0" w:color="auto"/>
              <w:bottom w:val="single" w:sz="6" w:space="0" w:color="auto"/>
              <w:right w:val="single" w:sz="6" w:space="0" w:color="auto"/>
            </w:tcBorders>
            <w:vAlign w:val="center"/>
          </w:tcPr>
          <w:p w14:paraId="1294670E"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62423FE0"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229972A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tcPr>
          <w:p w14:paraId="73CF66C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76A797E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167BFD4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507E6A08"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7B881036"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t>isd-p-aid</w:t>
            </w:r>
          </w:p>
        </w:tc>
        <w:tc>
          <w:tcPr>
            <w:tcW w:w="293" w:type="pct"/>
            <w:tcBorders>
              <w:top w:val="single" w:sz="6" w:space="0" w:color="auto"/>
              <w:left w:val="single" w:sz="6" w:space="0" w:color="auto"/>
              <w:bottom w:val="single" w:sz="6" w:space="0" w:color="auto"/>
              <w:right w:val="single" w:sz="6" w:space="0" w:color="auto"/>
            </w:tcBorders>
            <w:vAlign w:val="center"/>
          </w:tcPr>
          <w:p w14:paraId="2DE2E0C7"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73D60131"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73F898E7"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tcPr>
          <w:p w14:paraId="230EC989"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09564AB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4E7DF074"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2E7EFE69"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1CB69138" w14:textId="77777777" w:rsidR="00B97365" w:rsidRDefault="00000000">
            <w:pPr>
              <w:tabs>
                <w:tab w:val="left" w:pos="371"/>
                <w:tab w:val="left" w:pos="828"/>
              </w:tabs>
              <w:spacing w:after="200" w:line="276" w:lineRule="auto"/>
              <w:ind w:left="371"/>
              <w:rPr>
                <w:rFonts w:eastAsia="Times New Roman" w:cs="Arial"/>
                <w:sz w:val="16"/>
                <w:szCs w:val="16"/>
              </w:rPr>
            </w:pPr>
            <w:r>
              <w:rPr>
                <w:rFonts w:cs="Arial"/>
                <w:sz w:val="16"/>
                <w:szCs w:val="16"/>
              </w:rPr>
              <w:t>mno-id</w:t>
            </w:r>
          </w:p>
        </w:tc>
        <w:tc>
          <w:tcPr>
            <w:tcW w:w="293" w:type="pct"/>
            <w:tcBorders>
              <w:top w:val="single" w:sz="6" w:space="0" w:color="auto"/>
              <w:left w:val="single" w:sz="6" w:space="0" w:color="auto"/>
              <w:bottom w:val="single" w:sz="6" w:space="0" w:color="auto"/>
              <w:right w:val="single" w:sz="6" w:space="0" w:color="auto"/>
            </w:tcBorders>
            <w:vAlign w:val="center"/>
          </w:tcPr>
          <w:p w14:paraId="22EDE2CB" w14:textId="77777777" w:rsidR="00B97365" w:rsidRDefault="00B97365">
            <w:pPr>
              <w:spacing w:before="0" w:after="200" w:line="276" w:lineRule="auto"/>
              <w:jc w:val="center"/>
              <w:rPr>
                <w:rFonts w:cs="Arial"/>
                <w:sz w:val="16"/>
                <w:szCs w:val="16"/>
                <w:lang w:eastAsia="en-GB" w:bidi="ar-SA"/>
              </w:rPr>
            </w:pPr>
          </w:p>
        </w:tc>
        <w:tc>
          <w:tcPr>
            <w:tcW w:w="328" w:type="pct"/>
            <w:tcBorders>
              <w:top w:val="single" w:sz="6" w:space="0" w:color="auto"/>
              <w:left w:val="single" w:sz="6" w:space="0" w:color="auto"/>
              <w:bottom w:val="single" w:sz="6" w:space="0" w:color="auto"/>
              <w:right w:val="single" w:sz="6" w:space="0" w:color="auto"/>
            </w:tcBorders>
            <w:vAlign w:val="center"/>
            <w:hideMark/>
          </w:tcPr>
          <w:p w14:paraId="1B224A3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0D869406"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tcPr>
          <w:p w14:paraId="7EE974CE"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5D32FFB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0889EE1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640E3F62"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58F2BBC3"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t>fallbackAttribute</w:t>
            </w:r>
          </w:p>
        </w:tc>
        <w:tc>
          <w:tcPr>
            <w:tcW w:w="293" w:type="pct"/>
            <w:tcBorders>
              <w:top w:val="single" w:sz="6" w:space="0" w:color="auto"/>
              <w:left w:val="single" w:sz="6" w:space="0" w:color="auto"/>
              <w:bottom w:val="single" w:sz="6" w:space="0" w:color="auto"/>
              <w:right w:val="single" w:sz="6" w:space="0" w:color="auto"/>
            </w:tcBorders>
            <w:vAlign w:val="center"/>
          </w:tcPr>
          <w:p w14:paraId="731A1BD3"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4BAA74BF"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654DB06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tcPr>
          <w:p w14:paraId="70756AA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6388B56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0EA4D1B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5C7B2A56"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11A26DA5"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t>subscriptionAddress</w:t>
            </w:r>
          </w:p>
        </w:tc>
        <w:tc>
          <w:tcPr>
            <w:tcW w:w="293" w:type="pct"/>
            <w:tcBorders>
              <w:top w:val="single" w:sz="6" w:space="0" w:color="auto"/>
              <w:left w:val="single" w:sz="6" w:space="0" w:color="auto"/>
              <w:bottom w:val="single" w:sz="6" w:space="0" w:color="auto"/>
              <w:right w:val="single" w:sz="6" w:space="0" w:color="auto"/>
            </w:tcBorders>
            <w:vAlign w:val="center"/>
          </w:tcPr>
          <w:p w14:paraId="1F54FAA8"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1A20BCD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74F9A50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tcPr>
          <w:p w14:paraId="283DC3D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648F843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70CF519F"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22B69DBF"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7C13FC88"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t>State</w:t>
            </w:r>
          </w:p>
        </w:tc>
        <w:tc>
          <w:tcPr>
            <w:tcW w:w="293" w:type="pct"/>
            <w:tcBorders>
              <w:top w:val="single" w:sz="6" w:space="0" w:color="auto"/>
              <w:left w:val="single" w:sz="6" w:space="0" w:color="auto"/>
              <w:bottom w:val="single" w:sz="6" w:space="0" w:color="auto"/>
              <w:right w:val="single" w:sz="6" w:space="0" w:color="auto"/>
            </w:tcBorders>
            <w:vAlign w:val="center"/>
          </w:tcPr>
          <w:p w14:paraId="25CBDEB3"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192B451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2C05F81E"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tcPr>
          <w:p w14:paraId="7C0C674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02E3A4A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722F7C0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5DD1E782"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52CE7A95"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t>smdp-id</w:t>
            </w:r>
          </w:p>
        </w:tc>
        <w:tc>
          <w:tcPr>
            <w:tcW w:w="293" w:type="pct"/>
            <w:tcBorders>
              <w:top w:val="single" w:sz="6" w:space="0" w:color="auto"/>
              <w:left w:val="single" w:sz="6" w:space="0" w:color="auto"/>
              <w:bottom w:val="single" w:sz="6" w:space="0" w:color="auto"/>
              <w:right w:val="single" w:sz="6" w:space="0" w:color="auto"/>
            </w:tcBorders>
            <w:vAlign w:val="center"/>
          </w:tcPr>
          <w:p w14:paraId="564189EF"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tcPr>
          <w:p w14:paraId="2B556D91"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O</w:t>
            </w:r>
          </w:p>
        </w:tc>
        <w:tc>
          <w:tcPr>
            <w:tcW w:w="507" w:type="pct"/>
            <w:tcBorders>
              <w:top w:val="single" w:sz="6" w:space="0" w:color="auto"/>
              <w:left w:val="single" w:sz="6" w:space="0" w:color="auto"/>
              <w:bottom w:val="single" w:sz="6" w:space="0" w:color="auto"/>
              <w:right w:val="single" w:sz="6" w:space="0" w:color="auto"/>
            </w:tcBorders>
            <w:vAlign w:val="center"/>
          </w:tcPr>
          <w:p w14:paraId="0759220E"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690" w:type="pct"/>
            <w:tcBorders>
              <w:top w:val="single" w:sz="6" w:space="0" w:color="auto"/>
              <w:left w:val="single" w:sz="6" w:space="0" w:color="auto"/>
              <w:bottom w:val="single" w:sz="6" w:space="0" w:color="auto"/>
              <w:right w:val="single" w:sz="6" w:space="0" w:color="auto"/>
            </w:tcBorders>
            <w:vAlign w:val="center"/>
          </w:tcPr>
          <w:p w14:paraId="017C266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690" w:type="pct"/>
            <w:tcBorders>
              <w:top w:val="single" w:sz="6" w:space="0" w:color="auto"/>
              <w:left w:val="single" w:sz="6" w:space="0" w:color="auto"/>
              <w:bottom w:val="single" w:sz="6" w:space="0" w:color="auto"/>
              <w:right w:val="single" w:sz="6" w:space="0" w:color="auto"/>
            </w:tcBorders>
            <w:vAlign w:val="center"/>
            <w:hideMark/>
          </w:tcPr>
          <w:p w14:paraId="12DA743F"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576" w:type="pct"/>
            <w:tcBorders>
              <w:top w:val="single" w:sz="6" w:space="0" w:color="auto"/>
              <w:left w:val="single" w:sz="6" w:space="0" w:color="auto"/>
              <w:bottom w:val="single" w:sz="6" w:space="0" w:color="auto"/>
              <w:right w:val="single" w:sz="4" w:space="0" w:color="auto"/>
            </w:tcBorders>
            <w:vAlign w:val="center"/>
            <w:hideMark/>
          </w:tcPr>
          <w:p w14:paraId="61AA502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r>
      <w:tr w:rsidR="00B97365" w14:paraId="5770E708"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58AB47A2"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lastRenderedPageBreak/>
              <w:t>ProfileType</w:t>
            </w:r>
          </w:p>
        </w:tc>
        <w:tc>
          <w:tcPr>
            <w:tcW w:w="293" w:type="pct"/>
            <w:tcBorders>
              <w:top w:val="single" w:sz="6" w:space="0" w:color="auto"/>
              <w:left w:val="single" w:sz="6" w:space="0" w:color="auto"/>
              <w:bottom w:val="single" w:sz="6" w:space="0" w:color="auto"/>
              <w:right w:val="single" w:sz="6" w:space="0" w:color="auto"/>
            </w:tcBorders>
            <w:vAlign w:val="center"/>
          </w:tcPr>
          <w:p w14:paraId="3DE7F0C9"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060D2E2F"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O</w:t>
            </w:r>
          </w:p>
        </w:tc>
        <w:tc>
          <w:tcPr>
            <w:tcW w:w="507" w:type="pct"/>
            <w:tcBorders>
              <w:top w:val="single" w:sz="6" w:space="0" w:color="auto"/>
              <w:left w:val="single" w:sz="6" w:space="0" w:color="auto"/>
              <w:bottom w:val="single" w:sz="6" w:space="0" w:color="auto"/>
              <w:right w:val="single" w:sz="6" w:space="0" w:color="auto"/>
            </w:tcBorders>
            <w:vAlign w:val="center"/>
          </w:tcPr>
          <w:p w14:paraId="42B16869"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O</w:t>
            </w:r>
          </w:p>
        </w:tc>
        <w:tc>
          <w:tcPr>
            <w:tcW w:w="690" w:type="pct"/>
            <w:tcBorders>
              <w:top w:val="single" w:sz="6" w:space="0" w:color="auto"/>
              <w:left w:val="single" w:sz="6" w:space="0" w:color="auto"/>
              <w:bottom w:val="single" w:sz="6" w:space="0" w:color="auto"/>
              <w:right w:val="single" w:sz="6" w:space="0" w:color="auto"/>
            </w:tcBorders>
            <w:vAlign w:val="center"/>
          </w:tcPr>
          <w:p w14:paraId="2AFF6BD9"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O</w:t>
            </w:r>
          </w:p>
        </w:tc>
        <w:tc>
          <w:tcPr>
            <w:tcW w:w="690" w:type="pct"/>
            <w:tcBorders>
              <w:top w:val="single" w:sz="6" w:space="0" w:color="auto"/>
              <w:left w:val="single" w:sz="6" w:space="0" w:color="auto"/>
              <w:bottom w:val="single" w:sz="6" w:space="0" w:color="auto"/>
              <w:right w:val="single" w:sz="6" w:space="0" w:color="auto"/>
            </w:tcBorders>
            <w:vAlign w:val="center"/>
            <w:hideMark/>
          </w:tcPr>
          <w:p w14:paraId="23D9264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O</w:t>
            </w:r>
          </w:p>
        </w:tc>
        <w:tc>
          <w:tcPr>
            <w:tcW w:w="576" w:type="pct"/>
            <w:tcBorders>
              <w:top w:val="single" w:sz="6" w:space="0" w:color="auto"/>
              <w:left w:val="single" w:sz="6" w:space="0" w:color="auto"/>
              <w:bottom w:val="single" w:sz="6" w:space="0" w:color="auto"/>
              <w:right w:val="single" w:sz="4" w:space="0" w:color="auto"/>
            </w:tcBorders>
            <w:vAlign w:val="center"/>
            <w:hideMark/>
          </w:tcPr>
          <w:p w14:paraId="5C9EE981"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O</w:t>
            </w:r>
          </w:p>
        </w:tc>
      </w:tr>
      <w:tr w:rsidR="00B97365" w14:paraId="151FB0AC"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215C10B3"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t>allocatedMemory</w:t>
            </w:r>
          </w:p>
        </w:tc>
        <w:tc>
          <w:tcPr>
            <w:tcW w:w="293" w:type="pct"/>
            <w:tcBorders>
              <w:top w:val="single" w:sz="6" w:space="0" w:color="auto"/>
              <w:left w:val="single" w:sz="6" w:space="0" w:color="auto"/>
              <w:bottom w:val="single" w:sz="6" w:space="0" w:color="auto"/>
              <w:right w:val="single" w:sz="6" w:space="0" w:color="auto"/>
            </w:tcBorders>
            <w:vAlign w:val="center"/>
          </w:tcPr>
          <w:p w14:paraId="63F960FE"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710AD26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47379DD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tcPr>
          <w:p w14:paraId="3BAF909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594A7C8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1998C73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6620EA02"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7BC97D97"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t>freeMemory</w:t>
            </w:r>
          </w:p>
        </w:tc>
        <w:tc>
          <w:tcPr>
            <w:tcW w:w="293" w:type="pct"/>
            <w:tcBorders>
              <w:top w:val="single" w:sz="6" w:space="0" w:color="auto"/>
              <w:left w:val="single" w:sz="6" w:space="0" w:color="auto"/>
              <w:bottom w:val="single" w:sz="6" w:space="0" w:color="auto"/>
              <w:right w:val="single" w:sz="6" w:space="0" w:color="auto"/>
            </w:tcBorders>
            <w:vAlign w:val="center"/>
          </w:tcPr>
          <w:p w14:paraId="7BE3F227"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72CDBC60"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507" w:type="pct"/>
            <w:tcBorders>
              <w:top w:val="single" w:sz="6" w:space="0" w:color="auto"/>
              <w:left w:val="single" w:sz="6" w:space="0" w:color="auto"/>
              <w:bottom w:val="single" w:sz="6" w:space="0" w:color="auto"/>
              <w:right w:val="single" w:sz="6" w:space="0" w:color="auto"/>
            </w:tcBorders>
            <w:vAlign w:val="center"/>
          </w:tcPr>
          <w:p w14:paraId="59C0929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690" w:type="pct"/>
            <w:tcBorders>
              <w:top w:val="single" w:sz="6" w:space="0" w:color="auto"/>
              <w:left w:val="single" w:sz="6" w:space="0" w:color="auto"/>
              <w:bottom w:val="single" w:sz="6" w:space="0" w:color="auto"/>
              <w:right w:val="single" w:sz="6" w:space="0" w:color="auto"/>
            </w:tcBorders>
            <w:vAlign w:val="center"/>
          </w:tcPr>
          <w:p w14:paraId="4BC5152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690" w:type="pct"/>
            <w:tcBorders>
              <w:top w:val="single" w:sz="6" w:space="0" w:color="auto"/>
              <w:left w:val="single" w:sz="6" w:space="0" w:color="auto"/>
              <w:bottom w:val="single" w:sz="6" w:space="0" w:color="auto"/>
              <w:right w:val="single" w:sz="6" w:space="0" w:color="auto"/>
            </w:tcBorders>
            <w:vAlign w:val="center"/>
            <w:hideMark/>
          </w:tcPr>
          <w:p w14:paraId="62C978FE"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c>
          <w:tcPr>
            <w:tcW w:w="576" w:type="pct"/>
            <w:tcBorders>
              <w:top w:val="single" w:sz="6" w:space="0" w:color="auto"/>
              <w:left w:val="single" w:sz="6" w:space="0" w:color="auto"/>
              <w:bottom w:val="single" w:sz="6" w:space="0" w:color="auto"/>
              <w:right w:val="single" w:sz="4" w:space="0" w:color="auto"/>
            </w:tcBorders>
            <w:vAlign w:val="center"/>
            <w:hideMark/>
          </w:tcPr>
          <w:p w14:paraId="6633A3D4"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p>
        </w:tc>
      </w:tr>
      <w:tr w:rsidR="00B97365" w14:paraId="5ECFAA57"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17BE4172" w14:textId="77777777" w:rsidR="00B97365" w:rsidRDefault="00000000">
            <w:pPr>
              <w:tabs>
                <w:tab w:val="left" w:pos="371"/>
                <w:tab w:val="left" w:pos="828"/>
              </w:tabs>
              <w:spacing w:after="200" w:line="276" w:lineRule="auto"/>
              <w:ind w:left="371"/>
              <w:rPr>
                <w:rFonts w:cs="Arial"/>
                <w:sz w:val="16"/>
                <w:szCs w:val="16"/>
              </w:rPr>
            </w:pPr>
            <w:r>
              <w:rPr>
                <w:rFonts w:cs="Arial"/>
                <w:sz w:val="16"/>
                <w:szCs w:val="16"/>
              </w:rPr>
              <w:t>pol2</w:t>
            </w:r>
          </w:p>
        </w:tc>
        <w:tc>
          <w:tcPr>
            <w:tcW w:w="293" w:type="pct"/>
            <w:tcBorders>
              <w:top w:val="single" w:sz="6" w:space="0" w:color="auto"/>
              <w:left w:val="single" w:sz="6" w:space="0" w:color="auto"/>
              <w:bottom w:val="single" w:sz="6" w:space="0" w:color="auto"/>
              <w:right w:val="single" w:sz="6" w:space="0" w:color="auto"/>
            </w:tcBorders>
            <w:vAlign w:val="center"/>
          </w:tcPr>
          <w:p w14:paraId="78E16969"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7A95C76B"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tcPr>
          <w:p w14:paraId="5F1051D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tcPr>
          <w:p w14:paraId="101FF28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34A80DF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2E2BBBC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0CDB4811"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5FC6BEC5" w14:textId="77777777" w:rsidR="00B97365" w:rsidRDefault="00000000">
            <w:pPr>
              <w:spacing w:after="200" w:line="276" w:lineRule="auto"/>
              <w:rPr>
                <w:rFonts w:eastAsia="Times New Roman" w:cs="Arial"/>
                <w:sz w:val="16"/>
                <w:szCs w:val="16"/>
              </w:rPr>
            </w:pPr>
            <w:r>
              <w:rPr>
                <w:rFonts w:cs="Arial"/>
                <w:sz w:val="16"/>
                <w:szCs w:val="16"/>
              </w:rPr>
              <w:t>ISD-R</w:t>
            </w:r>
          </w:p>
        </w:tc>
        <w:tc>
          <w:tcPr>
            <w:tcW w:w="293" w:type="pct"/>
            <w:tcBorders>
              <w:top w:val="single" w:sz="6" w:space="0" w:color="auto"/>
              <w:left w:val="single" w:sz="6" w:space="0" w:color="auto"/>
              <w:bottom w:val="single" w:sz="6" w:space="0" w:color="auto"/>
              <w:right w:val="single" w:sz="6" w:space="0" w:color="auto"/>
            </w:tcBorders>
            <w:vAlign w:val="center"/>
          </w:tcPr>
          <w:p w14:paraId="66916C5F"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73F76C6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(2)</w:t>
            </w:r>
          </w:p>
        </w:tc>
        <w:tc>
          <w:tcPr>
            <w:tcW w:w="507" w:type="pct"/>
            <w:tcBorders>
              <w:top w:val="single" w:sz="6" w:space="0" w:color="auto"/>
              <w:left w:val="single" w:sz="6" w:space="0" w:color="auto"/>
              <w:bottom w:val="single" w:sz="6" w:space="0" w:color="auto"/>
              <w:right w:val="single" w:sz="6" w:space="0" w:color="auto"/>
            </w:tcBorders>
            <w:vAlign w:val="center"/>
          </w:tcPr>
          <w:p w14:paraId="76076B5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r>
              <w:rPr>
                <w:rFonts w:cs="Arial"/>
                <w:sz w:val="16"/>
                <w:szCs w:val="16"/>
                <w:vertAlign w:val="superscript"/>
                <w:lang w:eastAsia="en-GB" w:bidi="ar-SA"/>
              </w:rPr>
              <w:t>(4)(7)</w:t>
            </w:r>
          </w:p>
        </w:tc>
        <w:tc>
          <w:tcPr>
            <w:tcW w:w="690" w:type="pct"/>
            <w:tcBorders>
              <w:top w:val="single" w:sz="6" w:space="0" w:color="auto"/>
              <w:left w:val="single" w:sz="6" w:space="0" w:color="auto"/>
              <w:bottom w:val="single" w:sz="6" w:space="0" w:color="auto"/>
              <w:right w:val="single" w:sz="6" w:space="0" w:color="auto"/>
            </w:tcBorders>
            <w:vAlign w:val="center"/>
            <w:hideMark/>
          </w:tcPr>
          <w:p w14:paraId="15AE99A4"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(4)</w:t>
            </w:r>
          </w:p>
        </w:tc>
        <w:tc>
          <w:tcPr>
            <w:tcW w:w="690" w:type="pct"/>
            <w:tcBorders>
              <w:top w:val="single" w:sz="6" w:space="0" w:color="auto"/>
              <w:left w:val="single" w:sz="6" w:space="0" w:color="auto"/>
              <w:bottom w:val="single" w:sz="6" w:space="0" w:color="auto"/>
              <w:right w:val="single" w:sz="6" w:space="0" w:color="auto"/>
            </w:tcBorders>
            <w:vAlign w:val="center"/>
          </w:tcPr>
          <w:p w14:paraId="6648EDB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r>
              <w:rPr>
                <w:rFonts w:cs="Arial"/>
                <w:sz w:val="16"/>
                <w:szCs w:val="16"/>
                <w:vertAlign w:val="superscript"/>
                <w:lang w:eastAsia="en-GB" w:bidi="ar-SA"/>
              </w:rPr>
              <w:t>(4)(7)</w:t>
            </w:r>
          </w:p>
        </w:tc>
        <w:tc>
          <w:tcPr>
            <w:tcW w:w="576" w:type="pct"/>
            <w:tcBorders>
              <w:top w:val="single" w:sz="6" w:space="0" w:color="auto"/>
              <w:left w:val="single" w:sz="6" w:space="0" w:color="auto"/>
              <w:bottom w:val="single" w:sz="6" w:space="0" w:color="auto"/>
              <w:right w:val="single" w:sz="4" w:space="0" w:color="auto"/>
            </w:tcBorders>
            <w:vAlign w:val="center"/>
            <w:hideMark/>
          </w:tcPr>
          <w:p w14:paraId="16D5383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(4bis)</w:t>
            </w:r>
          </w:p>
        </w:tc>
      </w:tr>
      <w:tr w:rsidR="00B97365" w14:paraId="4A59343B"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536867BA" w14:textId="77777777" w:rsidR="00B97365" w:rsidRDefault="00000000">
            <w:pPr>
              <w:spacing w:after="200" w:line="276" w:lineRule="auto"/>
              <w:rPr>
                <w:rFonts w:eastAsia="Times New Roman" w:cs="Arial"/>
                <w:sz w:val="16"/>
                <w:szCs w:val="16"/>
              </w:rPr>
            </w:pPr>
            <w:r>
              <w:rPr>
                <w:rFonts w:cs="Arial"/>
                <w:sz w:val="16"/>
                <w:szCs w:val="16"/>
              </w:rPr>
              <w:t>ECASD</w:t>
            </w:r>
          </w:p>
        </w:tc>
        <w:tc>
          <w:tcPr>
            <w:tcW w:w="293" w:type="pct"/>
            <w:tcBorders>
              <w:top w:val="single" w:sz="6" w:space="0" w:color="auto"/>
              <w:left w:val="single" w:sz="6" w:space="0" w:color="auto"/>
              <w:bottom w:val="single" w:sz="6" w:space="0" w:color="auto"/>
              <w:right w:val="single" w:sz="6" w:space="0" w:color="auto"/>
            </w:tcBorders>
            <w:vAlign w:val="center"/>
            <w:hideMark/>
          </w:tcPr>
          <w:p w14:paraId="6760233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6E33A3E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(2)</w:t>
            </w:r>
          </w:p>
        </w:tc>
        <w:tc>
          <w:tcPr>
            <w:tcW w:w="507" w:type="pct"/>
            <w:tcBorders>
              <w:top w:val="single" w:sz="6" w:space="0" w:color="auto"/>
              <w:left w:val="single" w:sz="6" w:space="0" w:color="auto"/>
              <w:bottom w:val="single" w:sz="6" w:space="0" w:color="auto"/>
              <w:right w:val="single" w:sz="6" w:space="0" w:color="auto"/>
            </w:tcBorders>
            <w:vAlign w:val="center"/>
            <w:hideMark/>
          </w:tcPr>
          <w:p w14:paraId="4E230A10"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(2)</w:t>
            </w:r>
          </w:p>
        </w:tc>
        <w:tc>
          <w:tcPr>
            <w:tcW w:w="690" w:type="pct"/>
            <w:tcBorders>
              <w:top w:val="single" w:sz="6" w:space="0" w:color="auto"/>
              <w:left w:val="single" w:sz="6" w:space="0" w:color="auto"/>
              <w:bottom w:val="single" w:sz="6" w:space="0" w:color="auto"/>
              <w:right w:val="single" w:sz="6" w:space="0" w:color="auto"/>
            </w:tcBorders>
            <w:vAlign w:val="center"/>
            <w:hideMark/>
          </w:tcPr>
          <w:p w14:paraId="3145F67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tcPr>
          <w:p w14:paraId="640DB16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7C5B0199"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(4)</w:t>
            </w:r>
          </w:p>
        </w:tc>
      </w:tr>
      <w:tr w:rsidR="00B97365" w14:paraId="4F128D89"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5B3599C4" w14:textId="77777777" w:rsidR="00B97365" w:rsidRDefault="00000000">
            <w:pPr>
              <w:spacing w:after="200" w:line="276" w:lineRule="auto"/>
              <w:rPr>
                <w:rFonts w:eastAsia="Times New Roman" w:cs="Arial"/>
                <w:sz w:val="16"/>
                <w:szCs w:val="16"/>
              </w:rPr>
            </w:pPr>
            <w:r>
              <w:rPr>
                <w:rFonts w:cs="Arial"/>
                <w:sz w:val="16"/>
                <w:szCs w:val="16"/>
              </w:rPr>
              <w:t>eUICC-Capabilities</w:t>
            </w:r>
          </w:p>
        </w:tc>
        <w:tc>
          <w:tcPr>
            <w:tcW w:w="293" w:type="pct"/>
            <w:tcBorders>
              <w:top w:val="single" w:sz="6" w:space="0" w:color="auto"/>
              <w:left w:val="single" w:sz="6" w:space="0" w:color="auto"/>
              <w:bottom w:val="single" w:sz="6" w:space="0" w:color="auto"/>
              <w:right w:val="single" w:sz="6" w:space="0" w:color="auto"/>
            </w:tcBorders>
            <w:vAlign w:val="center"/>
            <w:hideMark/>
          </w:tcPr>
          <w:p w14:paraId="3258E858"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17D64047"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116CA22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0F94D0F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5B223D32"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4B928559"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35D73DD0"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15CC9152" w14:textId="77777777" w:rsidR="00B97365" w:rsidRDefault="00000000">
            <w:pPr>
              <w:spacing w:after="200" w:line="276" w:lineRule="auto"/>
              <w:rPr>
                <w:rFonts w:eastAsia="Times New Roman" w:cs="Arial"/>
                <w:sz w:val="16"/>
                <w:szCs w:val="16"/>
              </w:rPr>
            </w:pPr>
            <w:r>
              <w:rPr>
                <w:rFonts w:cs="Arial"/>
                <w:sz w:val="16"/>
                <w:szCs w:val="16"/>
              </w:rPr>
              <w:t>audit trail</w:t>
            </w:r>
          </w:p>
        </w:tc>
        <w:tc>
          <w:tcPr>
            <w:tcW w:w="293" w:type="pct"/>
            <w:tcBorders>
              <w:top w:val="single" w:sz="6" w:space="0" w:color="auto"/>
              <w:left w:val="single" w:sz="6" w:space="0" w:color="auto"/>
              <w:bottom w:val="single" w:sz="6" w:space="0" w:color="auto"/>
              <w:right w:val="single" w:sz="6" w:space="0" w:color="auto"/>
            </w:tcBorders>
            <w:vAlign w:val="center"/>
          </w:tcPr>
          <w:p w14:paraId="63EFB461"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tcPr>
          <w:p w14:paraId="7DE7D2EA" w14:textId="77777777" w:rsidR="00B97365" w:rsidRDefault="00B97365">
            <w:pPr>
              <w:spacing w:before="0" w:after="200" w:line="276" w:lineRule="auto"/>
              <w:jc w:val="center"/>
              <w:rPr>
                <w:rFonts w:cs="Arial"/>
                <w:sz w:val="16"/>
                <w:szCs w:val="16"/>
                <w:lang w:eastAsia="en-GB" w:bidi="ar-SA"/>
              </w:rPr>
            </w:pPr>
          </w:p>
        </w:tc>
        <w:tc>
          <w:tcPr>
            <w:tcW w:w="507" w:type="pct"/>
            <w:tcBorders>
              <w:top w:val="single" w:sz="6" w:space="0" w:color="auto"/>
              <w:left w:val="single" w:sz="6" w:space="0" w:color="auto"/>
              <w:bottom w:val="single" w:sz="6" w:space="0" w:color="auto"/>
              <w:right w:val="single" w:sz="6" w:space="0" w:color="auto"/>
            </w:tcBorders>
            <w:vAlign w:val="center"/>
          </w:tcPr>
          <w:p w14:paraId="41934781" w14:textId="77777777" w:rsidR="00B97365" w:rsidRDefault="00B97365">
            <w:pPr>
              <w:spacing w:before="0" w:after="200" w:line="276" w:lineRule="auto"/>
              <w:jc w:val="center"/>
              <w:rPr>
                <w:rFonts w:cs="Arial"/>
                <w:sz w:val="16"/>
                <w:szCs w:val="16"/>
                <w:lang w:eastAsia="en-GB" w:bidi="ar-SA"/>
              </w:rPr>
            </w:pPr>
          </w:p>
        </w:tc>
        <w:tc>
          <w:tcPr>
            <w:tcW w:w="690" w:type="pct"/>
            <w:tcBorders>
              <w:top w:val="single" w:sz="6" w:space="0" w:color="auto"/>
              <w:left w:val="single" w:sz="6" w:space="0" w:color="auto"/>
              <w:bottom w:val="single" w:sz="6" w:space="0" w:color="auto"/>
              <w:right w:val="single" w:sz="6" w:space="0" w:color="auto"/>
            </w:tcBorders>
            <w:vAlign w:val="center"/>
          </w:tcPr>
          <w:p w14:paraId="4A2AFA4D" w14:textId="77777777" w:rsidR="00B97365" w:rsidRDefault="00B97365">
            <w:pPr>
              <w:spacing w:before="0" w:after="200" w:line="276" w:lineRule="auto"/>
              <w:jc w:val="center"/>
              <w:rPr>
                <w:rFonts w:cs="Arial"/>
                <w:sz w:val="16"/>
                <w:szCs w:val="16"/>
                <w:lang w:eastAsia="en-GB" w:bidi="ar-SA"/>
              </w:rPr>
            </w:pPr>
          </w:p>
        </w:tc>
        <w:tc>
          <w:tcPr>
            <w:tcW w:w="690" w:type="pct"/>
            <w:tcBorders>
              <w:top w:val="single" w:sz="6" w:space="0" w:color="auto"/>
              <w:left w:val="single" w:sz="6" w:space="0" w:color="auto"/>
              <w:bottom w:val="single" w:sz="6" w:space="0" w:color="auto"/>
              <w:right w:val="single" w:sz="6" w:space="0" w:color="auto"/>
            </w:tcBorders>
            <w:vAlign w:val="center"/>
          </w:tcPr>
          <w:p w14:paraId="6DD13F06" w14:textId="77777777" w:rsidR="00B97365" w:rsidRDefault="00B97365">
            <w:pPr>
              <w:spacing w:before="0" w:after="200" w:line="276" w:lineRule="auto"/>
              <w:jc w:val="center"/>
              <w:rPr>
                <w:rFonts w:cs="Arial"/>
                <w:sz w:val="16"/>
                <w:szCs w:val="16"/>
                <w:lang w:eastAsia="en-GB" w:bidi="ar-SA"/>
              </w:rPr>
            </w:pPr>
          </w:p>
        </w:tc>
        <w:tc>
          <w:tcPr>
            <w:tcW w:w="576" w:type="pct"/>
            <w:tcBorders>
              <w:top w:val="single" w:sz="6" w:space="0" w:color="auto"/>
              <w:left w:val="single" w:sz="6" w:space="0" w:color="auto"/>
              <w:bottom w:val="single" w:sz="6" w:space="0" w:color="auto"/>
              <w:right w:val="single" w:sz="4" w:space="0" w:color="auto"/>
            </w:tcBorders>
            <w:vAlign w:val="center"/>
            <w:hideMark/>
          </w:tcPr>
          <w:p w14:paraId="0F6BCE5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0F125694"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1D6B317A" w14:textId="77777777" w:rsidR="00B97365" w:rsidRDefault="00000000">
            <w:pPr>
              <w:spacing w:after="200" w:line="276" w:lineRule="auto"/>
              <w:rPr>
                <w:rFonts w:eastAsia="Times New Roman" w:cs="Arial"/>
                <w:sz w:val="16"/>
                <w:szCs w:val="16"/>
              </w:rPr>
            </w:pPr>
            <w:r>
              <w:rPr>
                <w:rFonts w:cs="Arial"/>
                <w:sz w:val="16"/>
                <w:szCs w:val="16"/>
              </w:rPr>
              <w:t>signatureAlgorithm</w:t>
            </w:r>
          </w:p>
        </w:tc>
        <w:tc>
          <w:tcPr>
            <w:tcW w:w="293" w:type="pct"/>
            <w:tcBorders>
              <w:top w:val="single" w:sz="6" w:space="0" w:color="auto"/>
              <w:left w:val="single" w:sz="6" w:space="0" w:color="auto"/>
              <w:bottom w:val="single" w:sz="6" w:space="0" w:color="auto"/>
              <w:right w:val="single" w:sz="6" w:space="0" w:color="auto"/>
            </w:tcBorders>
            <w:vAlign w:val="center"/>
            <w:hideMark/>
          </w:tcPr>
          <w:p w14:paraId="3455D1C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X</w:t>
            </w:r>
          </w:p>
        </w:tc>
        <w:tc>
          <w:tcPr>
            <w:tcW w:w="327" w:type="pct"/>
            <w:tcBorders>
              <w:top w:val="single" w:sz="6" w:space="0" w:color="auto"/>
              <w:left w:val="single" w:sz="6" w:space="0" w:color="auto"/>
              <w:bottom w:val="single" w:sz="6" w:space="0" w:color="auto"/>
              <w:right w:val="single" w:sz="6" w:space="0" w:color="auto"/>
            </w:tcBorders>
            <w:vAlign w:val="center"/>
            <w:hideMark/>
          </w:tcPr>
          <w:p w14:paraId="5B5DFC4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07" w:type="pct"/>
            <w:tcBorders>
              <w:top w:val="single" w:sz="6" w:space="0" w:color="auto"/>
              <w:left w:val="single" w:sz="6" w:space="0" w:color="auto"/>
              <w:bottom w:val="single" w:sz="6" w:space="0" w:color="auto"/>
              <w:right w:val="single" w:sz="6" w:space="0" w:color="auto"/>
            </w:tcBorders>
            <w:vAlign w:val="center"/>
            <w:hideMark/>
          </w:tcPr>
          <w:p w14:paraId="3FA373E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7CA31FEA"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690" w:type="pct"/>
            <w:tcBorders>
              <w:top w:val="single" w:sz="6" w:space="0" w:color="auto"/>
              <w:left w:val="single" w:sz="6" w:space="0" w:color="auto"/>
              <w:bottom w:val="single" w:sz="6" w:space="0" w:color="auto"/>
              <w:right w:val="single" w:sz="6" w:space="0" w:color="auto"/>
            </w:tcBorders>
            <w:vAlign w:val="center"/>
            <w:hideMark/>
          </w:tcPr>
          <w:p w14:paraId="190C4587"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c>
          <w:tcPr>
            <w:tcW w:w="576" w:type="pct"/>
            <w:tcBorders>
              <w:top w:val="single" w:sz="6" w:space="0" w:color="auto"/>
              <w:left w:val="single" w:sz="6" w:space="0" w:color="auto"/>
              <w:bottom w:val="single" w:sz="6" w:space="0" w:color="auto"/>
              <w:right w:val="single" w:sz="4" w:space="0" w:color="auto"/>
            </w:tcBorders>
            <w:vAlign w:val="center"/>
            <w:hideMark/>
          </w:tcPr>
          <w:p w14:paraId="06D406B7"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p>
        </w:tc>
      </w:tr>
      <w:tr w:rsidR="00B97365" w14:paraId="7F860804" w14:textId="77777777">
        <w:trPr>
          <w:trHeight w:val="282"/>
        </w:trPr>
        <w:tc>
          <w:tcPr>
            <w:tcW w:w="1916" w:type="pct"/>
            <w:tcBorders>
              <w:top w:val="single" w:sz="6" w:space="0" w:color="auto"/>
              <w:left w:val="single" w:sz="4" w:space="0" w:color="auto"/>
              <w:bottom w:val="single" w:sz="6" w:space="0" w:color="auto"/>
              <w:right w:val="single" w:sz="6" w:space="0" w:color="auto"/>
            </w:tcBorders>
            <w:vAlign w:val="center"/>
            <w:hideMark/>
          </w:tcPr>
          <w:p w14:paraId="4D9012CE" w14:textId="77777777" w:rsidR="00B97365" w:rsidRDefault="00000000">
            <w:pPr>
              <w:spacing w:after="200" w:line="276" w:lineRule="auto"/>
              <w:rPr>
                <w:rFonts w:eastAsia="Times New Roman" w:cs="Arial"/>
                <w:sz w:val="16"/>
                <w:szCs w:val="16"/>
              </w:rPr>
            </w:pPr>
            <w:r>
              <w:rPr>
                <w:rFonts w:cs="Arial"/>
                <w:sz w:val="16"/>
                <w:szCs w:val="16"/>
              </w:rPr>
              <w:t>signature</w:t>
            </w:r>
          </w:p>
        </w:tc>
        <w:tc>
          <w:tcPr>
            <w:tcW w:w="293" w:type="pct"/>
            <w:tcBorders>
              <w:top w:val="single" w:sz="6" w:space="0" w:color="auto"/>
              <w:left w:val="single" w:sz="6" w:space="0" w:color="auto"/>
              <w:bottom w:val="single" w:sz="6" w:space="0" w:color="auto"/>
              <w:right w:val="single" w:sz="6" w:space="0" w:color="auto"/>
            </w:tcBorders>
            <w:vAlign w:val="center"/>
          </w:tcPr>
          <w:p w14:paraId="2B2E34AA"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6" w:space="0" w:color="auto"/>
              <w:right w:val="single" w:sz="6" w:space="0" w:color="auto"/>
            </w:tcBorders>
            <w:vAlign w:val="center"/>
            <w:hideMark/>
          </w:tcPr>
          <w:p w14:paraId="26A730B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(5)</w:t>
            </w:r>
          </w:p>
        </w:tc>
        <w:tc>
          <w:tcPr>
            <w:tcW w:w="507" w:type="pct"/>
            <w:tcBorders>
              <w:top w:val="single" w:sz="6" w:space="0" w:color="auto"/>
              <w:left w:val="single" w:sz="6" w:space="0" w:color="auto"/>
              <w:bottom w:val="single" w:sz="6" w:space="0" w:color="auto"/>
              <w:right w:val="single" w:sz="6" w:space="0" w:color="auto"/>
            </w:tcBorders>
            <w:vAlign w:val="center"/>
            <w:hideMark/>
          </w:tcPr>
          <w:p w14:paraId="77044626"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(5)</w:t>
            </w:r>
          </w:p>
        </w:tc>
        <w:tc>
          <w:tcPr>
            <w:tcW w:w="690" w:type="pct"/>
            <w:tcBorders>
              <w:top w:val="single" w:sz="6" w:space="0" w:color="auto"/>
              <w:left w:val="single" w:sz="6" w:space="0" w:color="auto"/>
              <w:bottom w:val="single" w:sz="6" w:space="0" w:color="auto"/>
              <w:right w:val="single" w:sz="6" w:space="0" w:color="auto"/>
            </w:tcBorders>
            <w:vAlign w:val="center"/>
            <w:hideMark/>
          </w:tcPr>
          <w:p w14:paraId="7A041B0F"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(5)</w:t>
            </w:r>
          </w:p>
        </w:tc>
        <w:tc>
          <w:tcPr>
            <w:tcW w:w="690" w:type="pct"/>
            <w:tcBorders>
              <w:top w:val="single" w:sz="6" w:space="0" w:color="auto"/>
              <w:left w:val="single" w:sz="6" w:space="0" w:color="auto"/>
              <w:bottom w:val="single" w:sz="6" w:space="0" w:color="auto"/>
              <w:right w:val="single" w:sz="6" w:space="0" w:color="auto"/>
            </w:tcBorders>
            <w:vAlign w:val="center"/>
            <w:hideMark/>
          </w:tcPr>
          <w:p w14:paraId="0A8F0703"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(5)</w:t>
            </w:r>
          </w:p>
        </w:tc>
        <w:tc>
          <w:tcPr>
            <w:tcW w:w="576" w:type="pct"/>
            <w:tcBorders>
              <w:top w:val="single" w:sz="6" w:space="0" w:color="auto"/>
              <w:left w:val="single" w:sz="6" w:space="0" w:color="auto"/>
              <w:bottom w:val="single" w:sz="6" w:space="0" w:color="auto"/>
              <w:right w:val="single" w:sz="4" w:space="0" w:color="auto"/>
            </w:tcBorders>
            <w:vAlign w:val="center"/>
            <w:hideMark/>
          </w:tcPr>
          <w:p w14:paraId="2C0CBB9C"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M</w:t>
            </w:r>
            <w:r>
              <w:rPr>
                <w:rFonts w:cs="Arial"/>
                <w:sz w:val="16"/>
                <w:szCs w:val="16"/>
                <w:vertAlign w:val="superscript"/>
                <w:lang w:eastAsia="en-GB" w:bidi="ar-SA"/>
              </w:rPr>
              <w:t>(5)</w:t>
            </w:r>
          </w:p>
        </w:tc>
      </w:tr>
      <w:tr w:rsidR="00B97365" w14:paraId="1E1D9714" w14:textId="77777777">
        <w:trPr>
          <w:trHeight w:val="282"/>
        </w:trPr>
        <w:tc>
          <w:tcPr>
            <w:tcW w:w="1916" w:type="pct"/>
            <w:tcBorders>
              <w:top w:val="single" w:sz="6" w:space="0" w:color="auto"/>
              <w:left w:val="single" w:sz="4" w:space="0" w:color="auto"/>
              <w:bottom w:val="single" w:sz="4" w:space="0" w:color="auto"/>
              <w:right w:val="single" w:sz="6" w:space="0" w:color="auto"/>
            </w:tcBorders>
            <w:vAlign w:val="center"/>
          </w:tcPr>
          <w:p w14:paraId="53EE7212" w14:textId="77777777" w:rsidR="00B97365" w:rsidRDefault="00000000">
            <w:pPr>
              <w:spacing w:after="200" w:line="276" w:lineRule="auto"/>
              <w:rPr>
                <w:rFonts w:cs="Arial"/>
                <w:sz w:val="16"/>
                <w:szCs w:val="16"/>
              </w:rPr>
            </w:pPr>
            <w:r>
              <w:rPr>
                <w:rFonts w:cs="Arial"/>
                <w:sz w:val="16"/>
                <w:szCs w:val="16"/>
              </w:rPr>
              <w:t>AdditionalProperty</w:t>
            </w:r>
          </w:p>
        </w:tc>
        <w:tc>
          <w:tcPr>
            <w:tcW w:w="293" w:type="pct"/>
            <w:tcBorders>
              <w:top w:val="single" w:sz="6" w:space="0" w:color="auto"/>
              <w:left w:val="single" w:sz="6" w:space="0" w:color="auto"/>
              <w:bottom w:val="single" w:sz="4" w:space="0" w:color="auto"/>
              <w:right w:val="single" w:sz="6" w:space="0" w:color="auto"/>
            </w:tcBorders>
            <w:vAlign w:val="center"/>
          </w:tcPr>
          <w:p w14:paraId="7D9AF6AD" w14:textId="77777777" w:rsidR="00B97365" w:rsidRDefault="00B97365">
            <w:pPr>
              <w:spacing w:before="0" w:after="200" w:line="276" w:lineRule="auto"/>
              <w:jc w:val="center"/>
              <w:rPr>
                <w:rFonts w:cs="Arial"/>
                <w:sz w:val="16"/>
                <w:szCs w:val="16"/>
                <w:lang w:eastAsia="en-GB" w:bidi="ar-SA"/>
              </w:rPr>
            </w:pPr>
          </w:p>
        </w:tc>
        <w:tc>
          <w:tcPr>
            <w:tcW w:w="327" w:type="pct"/>
            <w:tcBorders>
              <w:top w:val="single" w:sz="6" w:space="0" w:color="auto"/>
              <w:left w:val="single" w:sz="6" w:space="0" w:color="auto"/>
              <w:bottom w:val="single" w:sz="4" w:space="0" w:color="auto"/>
              <w:right w:val="single" w:sz="6" w:space="0" w:color="auto"/>
            </w:tcBorders>
            <w:vAlign w:val="center"/>
          </w:tcPr>
          <w:p w14:paraId="3CF63865"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O</w:t>
            </w:r>
          </w:p>
        </w:tc>
        <w:tc>
          <w:tcPr>
            <w:tcW w:w="507" w:type="pct"/>
            <w:tcBorders>
              <w:top w:val="single" w:sz="6" w:space="0" w:color="auto"/>
              <w:left w:val="single" w:sz="6" w:space="0" w:color="auto"/>
              <w:bottom w:val="single" w:sz="4" w:space="0" w:color="auto"/>
              <w:right w:val="single" w:sz="6" w:space="0" w:color="auto"/>
            </w:tcBorders>
            <w:vAlign w:val="center"/>
          </w:tcPr>
          <w:p w14:paraId="4CDE43BF"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r>
              <w:rPr>
                <w:rFonts w:cs="Arial"/>
                <w:sz w:val="16"/>
                <w:szCs w:val="16"/>
                <w:vertAlign w:val="superscript"/>
                <w:lang w:eastAsia="en-GB" w:bidi="ar-SA"/>
              </w:rPr>
              <w:t>(6)</w:t>
            </w:r>
          </w:p>
        </w:tc>
        <w:tc>
          <w:tcPr>
            <w:tcW w:w="690" w:type="pct"/>
            <w:tcBorders>
              <w:top w:val="single" w:sz="6" w:space="0" w:color="auto"/>
              <w:left w:val="single" w:sz="6" w:space="0" w:color="auto"/>
              <w:bottom w:val="single" w:sz="4" w:space="0" w:color="auto"/>
              <w:right w:val="single" w:sz="6" w:space="0" w:color="auto"/>
            </w:tcBorders>
            <w:vAlign w:val="center"/>
          </w:tcPr>
          <w:p w14:paraId="05D9D40D"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r>
              <w:rPr>
                <w:rFonts w:cs="Arial"/>
                <w:sz w:val="16"/>
                <w:szCs w:val="16"/>
                <w:vertAlign w:val="superscript"/>
                <w:lang w:eastAsia="en-GB" w:bidi="ar-SA"/>
              </w:rPr>
              <w:t>(6)</w:t>
            </w:r>
          </w:p>
        </w:tc>
        <w:tc>
          <w:tcPr>
            <w:tcW w:w="690" w:type="pct"/>
            <w:tcBorders>
              <w:top w:val="single" w:sz="6" w:space="0" w:color="auto"/>
              <w:left w:val="single" w:sz="6" w:space="0" w:color="auto"/>
              <w:bottom w:val="single" w:sz="4" w:space="0" w:color="auto"/>
              <w:right w:val="single" w:sz="6" w:space="0" w:color="auto"/>
            </w:tcBorders>
            <w:vAlign w:val="center"/>
          </w:tcPr>
          <w:p w14:paraId="10A8AC26"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r>
              <w:rPr>
                <w:rFonts w:cs="Arial"/>
                <w:sz w:val="16"/>
                <w:szCs w:val="16"/>
                <w:vertAlign w:val="superscript"/>
                <w:lang w:eastAsia="en-GB" w:bidi="ar-SA"/>
              </w:rPr>
              <w:t>(6)</w:t>
            </w:r>
          </w:p>
        </w:tc>
        <w:tc>
          <w:tcPr>
            <w:tcW w:w="576" w:type="pct"/>
            <w:tcBorders>
              <w:top w:val="single" w:sz="6" w:space="0" w:color="auto"/>
              <w:left w:val="single" w:sz="6" w:space="0" w:color="auto"/>
              <w:bottom w:val="single" w:sz="4" w:space="0" w:color="auto"/>
              <w:right w:val="single" w:sz="4" w:space="0" w:color="auto"/>
            </w:tcBorders>
            <w:vAlign w:val="center"/>
          </w:tcPr>
          <w:p w14:paraId="31E0F4D7" w14:textId="77777777" w:rsidR="00B97365" w:rsidRDefault="00000000">
            <w:pPr>
              <w:spacing w:before="0" w:after="200" w:line="276" w:lineRule="auto"/>
              <w:jc w:val="center"/>
              <w:rPr>
                <w:rFonts w:cs="Arial"/>
                <w:sz w:val="16"/>
                <w:szCs w:val="16"/>
                <w:lang w:eastAsia="en-GB" w:bidi="ar-SA"/>
              </w:rPr>
            </w:pPr>
            <w:r>
              <w:rPr>
                <w:rFonts w:cs="Arial"/>
                <w:sz w:val="16"/>
                <w:szCs w:val="16"/>
                <w:lang w:eastAsia="en-GB" w:bidi="ar-SA"/>
              </w:rPr>
              <w:t>C</w:t>
            </w:r>
            <w:r>
              <w:rPr>
                <w:rFonts w:cs="Arial"/>
                <w:sz w:val="16"/>
                <w:szCs w:val="16"/>
                <w:vertAlign w:val="superscript"/>
                <w:lang w:eastAsia="en-GB" w:bidi="ar-SA"/>
              </w:rPr>
              <w:t>(6)</w:t>
            </w:r>
          </w:p>
        </w:tc>
      </w:tr>
    </w:tbl>
    <w:p w14:paraId="70398BDE" w14:textId="77777777" w:rsidR="00B97365" w:rsidRDefault="00000000">
      <w:pPr>
        <w:numPr>
          <w:ilvl w:val="0"/>
          <w:numId w:val="14"/>
        </w:numPr>
        <w:tabs>
          <w:tab w:val="left" w:pos="1009"/>
        </w:tabs>
        <w:spacing w:after="200" w:line="276" w:lineRule="auto"/>
        <w:jc w:val="center"/>
        <w:rPr>
          <w:rFonts w:cs="Arial"/>
          <w:b/>
          <w:lang w:eastAsia="de-DE" w:bidi="ar-SA"/>
        </w:rPr>
      </w:pPr>
      <w:r>
        <w:rPr>
          <w:rFonts w:cs="Arial"/>
          <w:b/>
          <w:lang w:eastAsia="de-DE" w:bidi="ar-SA"/>
        </w:rPr>
        <w:t>: EIS Usage</w:t>
      </w:r>
    </w:p>
    <w:p w14:paraId="6AB7A6ED" w14:textId="77777777" w:rsidR="00B97365" w:rsidRDefault="00B97365">
      <w:pPr>
        <w:rPr>
          <w:rFonts w:cs="Calibri"/>
        </w:rPr>
      </w:pPr>
    </w:p>
    <w:p w14:paraId="228BC5DD"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 xml:space="preserve">NOTE 1: </w:t>
      </w:r>
      <w:r>
        <w:rPr>
          <w:szCs w:val="22"/>
          <w:lang w:val="en-US" w:eastAsia="en-GB" w:bidi="ar-SA"/>
        </w:rPr>
        <w:tab/>
        <w:t>The initial EIS comes with the information of the Profile(s) loaded and installed by the EUM during the manufacturing.</w:t>
      </w:r>
    </w:p>
    <w:p w14:paraId="67327B1C"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 xml:space="preserve">NOTE 2: </w:t>
      </w:r>
      <w:r>
        <w:rPr>
          <w:szCs w:val="22"/>
          <w:lang w:val="en-US" w:eastAsia="en-GB" w:bidi="ar-SA"/>
        </w:rPr>
        <w:tab/>
        <w:t>The initial EIS comes with the definition of the two Security Domains ISD-R and ECASD.</w:t>
      </w:r>
    </w:p>
    <w:p w14:paraId="16A9DA7C" w14:textId="77777777" w:rsidR="00B97365" w:rsidRDefault="00000000">
      <w:pPr>
        <w:tabs>
          <w:tab w:val="left" w:pos="1560"/>
        </w:tabs>
        <w:spacing w:before="0" w:after="200" w:line="276" w:lineRule="auto"/>
        <w:ind w:left="1559" w:hanging="1202"/>
        <w:jc w:val="left"/>
        <w:rPr>
          <w:szCs w:val="22"/>
          <w:lang w:val="en-US" w:eastAsia="en-GB" w:bidi="ar-SA"/>
        </w:rPr>
      </w:pPr>
      <w:bookmarkStart w:id="12000" w:name="_Toc420595151"/>
      <w:r>
        <w:rPr>
          <w:szCs w:val="22"/>
          <w:lang w:val="en-US" w:eastAsia="en-GB" w:bidi="ar-SA"/>
        </w:rPr>
        <w:t xml:space="preserve">NOTE 3: </w:t>
      </w:r>
      <w:r>
        <w:rPr>
          <w:szCs w:val="22"/>
          <w:lang w:val="en-US" w:eastAsia="en-GB" w:bidi="ar-SA"/>
        </w:rPr>
        <w:tab/>
        <w:t xml:space="preserve">The EIS SHALL only contain the </w:t>
      </w:r>
      <w:r>
        <w:rPr>
          <w:rFonts w:cs="Arial"/>
          <w:szCs w:val="22"/>
          <w:lang w:val="en-US" w:eastAsia="en-GB" w:bidi="ar-SA"/>
        </w:rPr>
        <w:t xml:space="preserve">information of the </w:t>
      </w:r>
      <w:r>
        <w:rPr>
          <w:szCs w:val="22"/>
          <w:lang w:val="en-US" w:eastAsia="en-GB" w:bidi="ar-SA"/>
        </w:rPr>
        <w:t xml:space="preserve">Profiles owned by the requesting </w:t>
      </w:r>
      <w:bookmarkEnd w:id="12000"/>
      <w:r>
        <w:rPr>
          <w:szCs w:val="22"/>
          <w:lang w:val="en-US" w:eastAsia="en-GB" w:bidi="ar-SA"/>
        </w:rPr>
        <w:t>Operator</w:t>
      </w:r>
    </w:p>
    <w:p w14:paraId="0D2F7D73"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 3bis:</w:t>
      </w:r>
      <w:r>
        <w:rPr>
          <w:szCs w:val="22"/>
          <w:lang w:val="en-US" w:eastAsia="en-GB" w:bidi="ar-SA"/>
        </w:rPr>
        <w:tab/>
        <w:t>The EIS SHALL only contain the information of the Profiles owned by an Operator that has authorised the requesting SM-DP to see its Profiles.</w:t>
      </w:r>
    </w:p>
    <w:p w14:paraId="71EC534E"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lastRenderedPageBreak/>
        <w:t xml:space="preserve">NOTE 4: </w:t>
      </w:r>
      <w:r>
        <w:rPr>
          <w:szCs w:val="22"/>
          <w:lang w:val="en-US" w:eastAsia="en-GB" w:bidi="ar-SA"/>
        </w:rPr>
        <w:tab/>
        <w:t>The EIS SHALL contain all Security Domains definition with Key Sets that only contain mandatory values on ISD-R..</w:t>
      </w:r>
    </w:p>
    <w:p w14:paraId="1244CFD3"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 4bis: The EIS SHALL contain all Security Domain definition of the ISD-R, including the description of the keysets used by the current SM-SR, without the key values; the KVN/Key identifiers SHALL be provided in the EIS, but the key values SHALL be provided as empty hexadecimal strings. This allows the SM-SR2 to know which keys are already present, and which KVN/Key identifiers are available to add new keys.</w:t>
      </w:r>
    </w:p>
    <w:p w14:paraId="74E5881F" w14:textId="2260ECE3"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 5:</w:t>
      </w:r>
      <w:r>
        <w:rPr>
          <w:szCs w:val="22"/>
          <w:lang w:val="en-US" w:eastAsia="en-GB" w:bidi="ar-SA"/>
        </w:rPr>
        <w:tab/>
        <w:t xml:space="preserve">The EIS is signed using the private key of the EUM (see </w:t>
      </w:r>
      <w:r>
        <w:rPr>
          <w:szCs w:val="22"/>
          <w:lang w:eastAsia="en-GB" w:bidi="ar-SA"/>
        </w:rPr>
        <w:fldChar w:fldCharType="begin"/>
      </w:r>
      <w:r>
        <w:rPr>
          <w:szCs w:val="22"/>
          <w:lang w:val="en-US" w:eastAsia="en-GB" w:bidi="ar-SA"/>
        </w:rPr>
        <w:instrText xml:space="preserve"> REF _Ref421659588 \r \h </w:instrText>
      </w:r>
      <w:r>
        <w:rPr>
          <w:szCs w:val="22"/>
          <w:lang w:eastAsia="en-GB" w:bidi="ar-SA"/>
        </w:rPr>
        <w:instrText xml:space="preserve"> \* MERGEFORMAT </w:instrText>
      </w:r>
      <w:r>
        <w:rPr>
          <w:szCs w:val="22"/>
          <w:lang w:eastAsia="en-GB" w:bidi="ar-SA"/>
        </w:rPr>
      </w:r>
      <w:r>
        <w:rPr>
          <w:szCs w:val="22"/>
          <w:lang w:eastAsia="en-GB" w:bidi="ar-SA"/>
        </w:rPr>
        <w:fldChar w:fldCharType="separate"/>
      </w:r>
      <w:r w:rsidR="001D5AD9">
        <w:rPr>
          <w:szCs w:val="22"/>
          <w:lang w:val="en-US" w:eastAsia="en-GB" w:bidi="ar-SA"/>
        </w:rPr>
        <w:t>Figure 8</w:t>
      </w:r>
      <w:r>
        <w:rPr>
          <w:szCs w:val="22"/>
          <w:lang w:eastAsia="en-GB" w:bidi="ar-SA"/>
        </w:rPr>
        <w:fldChar w:fldCharType="end"/>
      </w:r>
      <w:r>
        <w:rPr>
          <w:szCs w:val="22"/>
          <w:lang w:val="en-US" w:eastAsia="en-GB" w:bidi="ar-SA"/>
        </w:rPr>
        <w:t>).</w:t>
      </w:r>
    </w:p>
    <w:p w14:paraId="24A40F7D"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 6:</w:t>
      </w:r>
      <w:r>
        <w:rPr>
          <w:szCs w:val="22"/>
          <w:lang w:val="en-US" w:eastAsia="en-GB" w:bidi="ar-SA"/>
        </w:rPr>
        <w:tab/>
        <w:t>The EIS SHALL contain:</w:t>
      </w:r>
    </w:p>
    <w:p w14:paraId="44F2FC8F" w14:textId="77777777" w:rsidR="00B97365" w:rsidRDefault="00000000">
      <w:pPr>
        <w:numPr>
          <w:ilvl w:val="2"/>
          <w:numId w:val="21"/>
        </w:numPr>
        <w:tabs>
          <w:tab w:val="left" w:pos="1560"/>
        </w:tabs>
        <w:spacing w:before="0" w:after="200" w:line="276" w:lineRule="auto"/>
        <w:jc w:val="left"/>
        <w:rPr>
          <w:szCs w:val="22"/>
          <w:lang w:val="en-US" w:eastAsia="en-GB" w:bidi="ar-SA"/>
        </w:rPr>
      </w:pPr>
      <w:r>
        <w:rPr>
          <w:szCs w:val="22"/>
          <w:lang w:val="en-US" w:eastAsia="en-GB" w:bidi="ar-SA"/>
        </w:rPr>
        <w:t>Any AdditionalProperty defined in ES1.RegisterEIS and whose name does not start with “gsma.ESIM.ES1”.</w:t>
      </w:r>
    </w:p>
    <w:p w14:paraId="38CFE519" w14:textId="77777777" w:rsidR="00B97365" w:rsidRDefault="00000000">
      <w:pPr>
        <w:numPr>
          <w:ilvl w:val="2"/>
          <w:numId w:val="21"/>
        </w:numPr>
        <w:tabs>
          <w:tab w:val="left" w:pos="1560"/>
        </w:tabs>
        <w:spacing w:before="0" w:after="200" w:line="276" w:lineRule="auto"/>
        <w:jc w:val="left"/>
        <w:rPr>
          <w:szCs w:val="22"/>
          <w:lang w:val="en-US" w:eastAsia="en-GB" w:bidi="ar-SA"/>
        </w:rPr>
      </w:pPr>
      <w:r>
        <w:rPr>
          <w:szCs w:val="22"/>
          <w:lang w:val="en-US" w:eastAsia="en-GB" w:bidi="ar-SA"/>
        </w:rPr>
        <w:t>Any AdditionalProperty added or updated by the SM-SR during the life of the eUICC.</w:t>
      </w:r>
    </w:p>
    <w:p w14:paraId="1A94C02F" w14:textId="77777777" w:rsidR="00B97365" w:rsidRDefault="00000000">
      <w:pPr>
        <w:tabs>
          <w:tab w:val="left" w:pos="1560"/>
        </w:tabs>
        <w:spacing w:before="0" w:after="200" w:line="276" w:lineRule="auto"/>
        <w:ind w:left="1559" w:hanging="1202"/>
        <w:jc w:val="left"/>
        <w:rPr>
          <w:szCs w:val="22"/>
          <w:lang w:val="en-US" w:eastAsia="en-GB" w:bidi="ar-SA"/>
        </w:rPr>
      </w:pPr>
      <w:r>
        <w:rPr>
          <w:szCs w:val="22"/>
          <w:lang w:val="en-US" w:eastAsia="en-GB" w:bidi="ar-SA"/>
        </w:rPr>
        <w:t>NOTE 7:</w:t>
      </w:r>
      <w:r>
        <w:rPr>
          <w:szCs w:val="22"/>
          <w:lang w:val="en-US" w:eastAsia="en-GB" w:bidi="ar-SA"/>
        </w:rPr>
        <w:tab/>
      </w:r>
      <w:r>
        <w:rPr>
          <w:i/>
          <w:szCs w:val="22"/>
          <w:lang w:val="en-US" w:eastAsia="en-GB" w:bidi="ar-SA"/>
        </w:rPr>
        <w:t>Deprecated element,</w:t>
      </w:r>
      <w:r>
        <w:rPr>
          <w:szCs w:val="22"/>
          <w:lang w:val="en-US" w:eastAsia="en-GB" w:bidi="ar-SA"/>
        </w:rPr>
        <w:t xml:space="preserve"> it SHOULD be used only for backward compatibility to GSMA 3.1 specification. </w:t>
      </w:r>
      <w:r>
        <w:rPr>
          <w:i/>
          <w:szCs w:val="22"/>
          <w:lang w:val="en-US" w:eastAsia="en-GB" w:bidi="ar-SA"/>
        </w:rPr>
        <w:t>Deprecated element</w:t>
      </w:r>
      <w:r>
        <w:rPr>
          <w:szCs w:val="22"/>
          <w:lang w:val="en-US" w:eastAsia="en-GB" w:bidi="ar-SA"/>
        </w:rPr>
        <w:t xml:space="preserve"> means that it will be removed in next specification release, so service caller or service provider SHOULD NOT rely on it.</w:t>
      </w:r>
    </w:p>
    <w:p w14:paraId="579D8538" w14:textId="77777777" w:rsidR="00B97365" w:rsidRDefault="00B97365">
      <w:pPr>
        <w:spacing w:after="200" w:line="276" w:lineRule="auto"/>
        <w:ind w:left="1560" w:hanging="1276"/>
        <w:jc w:val="left"/>
        <w:rPr>
          <w:rFonts w:cs="Arial"/>
          <w:szCs w:val="22"/>
          <w:lang w:val="en-US" w:eastAsia="en-GB" w:bidi="ar-SA"/>
        </w:rPr>
      </w:pPr>
    </w:p>
    <w:p w14:paraId="510C8D62" w14:textId="77777777" w:rsidR="00B97365" w:rsidRDefault="00000000">
      <w:pPr>
        <w:keepNext/>
        <w:keepLines/>
        <w:numPr>
          <w:ilvl w:val="0"/>
          <w:numId w:val="36"/>
        </w:numPr>
        <w:spacing w:before="360" w:after="60" w:line="276" w:lineRule="auto"/>
        <w:jc w:val="left"/>
        <w:outlineLvl w:val="0"/>
        <w:rPr>
          <w:b/>
          <w:sz w:val="28"/>
          <w:lang w:eastAsia="en-US"/>
        </w:rPr>
      </w:pPr>
      <w:bookmarkStart w:id="12001" w:name="_Toc448998378"/>
      <w:bookmarkStart w:id="12002" w:name="_Toc422150948"/>
      <w:bookmarkStart w:id="12003" w:name="_Toc421874533"/>
      <w:bookmarkStart w:id="12004" w:name="_Ref421658965"/>
      <w:bookmarkStart w:id="12005" w:name="_Toc420595152"/>
      <w:bookmarkStart w:id="12006" w:name="_Toc398215103"/>
      <w:bookmarkStart w:id="12007" w:name="_Toc375158519"/>
      <w:bookmarkStart w:id="12008" w:name="_Toc353536235"/>
      <w:bookmarkStart w:id="12009" w:name="_Toc374348681"/>
      <w:bookmarkStart w:id="12010" w:name="_Toc368932524"/>
      <w:bookmarkStart w:id="12011" w:name="_Toc486332995"/>
      <w:bookmarkStart w:id="12012" w:name="_Toc1977515"/>
      <w:bookmarkStart w:id="12013" w:name="_Toc37062674"/>
      <w:bookmarkStart w:id="12014" w:name="_Toc88839714"/>
      <w:bookmarkStart w:id="12015" w:name="_Toc121504122"/>
      <w:r>
        <w:rPr>
          <w:b/>
          <w:sz w:val="28"/>
          <w:lang w:eastAsia="en-US"/>
        </w:rPr>
        <w:t>Key Check Values</w:t>
      </w:r>
      <w:bookmarkEnd w:id="12001"/>
      <w:bookmarkEnd w:id="12002"/>
      <w:bookmarkEnd w:id="12003"/>
      <w:bookmarkEnd w:id="12004"/>
      <w:bookmarkEnd w:id="12005"/>
      <w:bookmarkEnd w:id="12006"/>
      <w:bookmarkEnd w:id="12007"/>
      <w:bookmarkEnd w:id="12008"/>
      <w:bookmarkEnd w:id="12009"/>
      <w:bookmarkEnd w:id="12010"/>
      <w:bookmarkEnd w:id="12011"/>
      <w:r>
        <w:rPr>
          <w:b/>
          <w:sz w:val="28"/>
          <w:lang w:eastAsia="en-US"/>
        </w:rPr>
        <w:t xml:space="preserve"> (Normative)</w:t>
      </w:r>
      <w:bookmarkEnd w:id="12012"/>
      <w:bookmarkEnd w:id="12013"/>
      <w:bookmarkEnd w:id="12014"/>
      <w:bookmarkEnd w:id="12015"/>
    </w:p>
    <w:p w14:paraId="6998D2D9" w14:textId="728C7BC9" w:rsidR="00B97365" w:rsidRDefault="00000000">
      <w:pPr>
        <w:spacing w:before="0" w:after="200" w:line="276" w:lineRule="auto"/>
        <w:jc w:val="left"/>
        <w:rPr>
          <w:szCs w:val="22"/>
          <w:lang w:val="en-US" w:eastAsia="en-GB" w:bidi="ar-SA"/>
        </w:rPr>
      </w:pPr>
      <w:r>
        <w:rPr>
          <w:rFonts w:cs="Arial"/>
          <w:szCs w:val="22"/>
          <w:lang w:val="en-US" w:eastAsia="en-GB" w:bidi="ar-SA"/>
        </w:rPr>
        <w:t xml:space="preserve">All key check values that have to be computed in the context of this specification SHALL follow the recommendation of GlobalPlatform Card Specification </w:t>
      </w:r>
      <w:r>
        <w:fldChar w:fldCharType="begin"/>
      </w:r>
      <w:r>
        <w:rPr>
          <w:szCs w:val="22"/>
          <w:lang w:val="en-US" w:eastAsia="en-GB" w:bidi="ar-SA"/>
        </w:rPr>
        <w:instrText xml:space="preserve"> REF _Ref421631311 \r \h </w:instrText>
      </w:r>
      <w:r>
        <w:fldChar w:fldCharType="separate"/>
      </w:r>
      <w:r w:rsidR="001D5AD9">
        <w:rPr>
          <w:szCs w:val="22"/>
          <w:lang w:val="en-US" w:eastAsia="en-GB" w:bidi="ar-SA"/>
        </w:rPr>
        <w:t>[6]</w:t>
      </w:r>
      <w:r>
        <w:fldChar w:fldCharType="end"/>
      </w:r>
      <w:r>
        <w:rPr>
          <w:szCs w:val="22"/>
          <w:lang w:val="en-US" w:eastAsia="en-GB" w:bidi="ar-SA"/>
        </w:rPr>
        <w:t xml:space="preserve"> section B5 and GlobalPlatform Card Specification Amendment B </w:t>
      </w:r>
      <w:r>
        <w:fldChar w:fldCharType="begin"/>
      </w:r>
      <w:r>
        <w:rPr>
          <w:szCs w:val="22"/>
          <w:lang w:val="en-US" w:eastAsia="en-GB" w:bidi="ar-SA"/>
        </w:rPr>
        <w:instrText xml:space="preserve"> REF _Ref421632368 \r \h </w:instrText>
      </w:r>
      <w:r>
        <w:fldChar w:fldCharType="separate"/>
      </w:r>
      <w:r w:rsidR="001D5AD9">
        <w:rPr>
          <w:szCs w:val="22"/>
          <w:lang w:val="en-US" w:eastAsia="en-GB" w:bidi="ar-SA"/>
        </w:rPr>
        <w:t>[8]</w:t>
      </w:r>
      <w:r>
        <w:fldChar w:fldCharType="end"/>
      </w:r>
      <w:r>
        <w:rPr>
          <w:szCs w:val="22"/>
          <w:lang w:val="en-US" w:eastAsia="en-GB" w:bidi="ar-SA"/>
        </w:rPr>
        <w:t xml:space="preserve"> section 3.8. Extract:</w:t>
      </w:r>
    </w:p>
    <w:p w14:paraId="26DDBE67" w14:textId="77777777" w:rsidR="00B97365" w:rsidRDefault="00000000">
      <w:pPr>
        <w:spacing w:before="0" w:after="200" w:line="276" w:lineRule="auto"/>
        <w:jc w:val="left"/>
        <w:rPr>
          <w:rFonts w:cs="Arial"/>
          <w:i/>
          <w:szCs w:val="22"/>
          <w:lang w:val="en-US" w:eastAsia="en-GB" w:bidi="ar-SA"/>
        </w:rPr>
      </w:pPr>
      <w:r>
        <w:rPr>
          <w:rFonts w:cs="Arial"/>
          <w:i/>
          <w:szCs w:val="22"/>
          <w:lang w:val="en-US" w:eastAsia="en-GB" w:bidi="ar-SA"/>
        </w:rPr>
        <w:t>“For a DES key, the key check value is computed by encrypting 8 bytes, each with value '00', with the key to be checked and retaining the 3 highest-order bytes of the encrypted result.”</w:t>
      </w:r>
    </w:p>
    <w:p w14:paraId="23DE3AA7" w14:textId="77777777" w:rsidR="00B97365" w:rsidRDefault="00000000">
      <w:pPr>
        <w:spacing w:before="0" w:after="200" w:line="276" w:lineRule="auto"/>
        <w:jc w:val="left"/>
        <w:rPr>
          <w:rFonts w:cs="Arial"/>
          <w:i/>
          <w:szCs w:val="22"/>
          <w:lang w:val="en-US" w:eastAsia="en-GB" w:bidi="ar-SA"/>
        </w:rPr>
      </w:pPr>
      <w:r>
        <w:rPr>
          <w:rFonts w:cs="Arial"/>
          <w:i/>
          <w:szCs w:val="22"/>
          <w:lang w:val="en-US" w:eastAsia="en-GB" w:bidi="ar-SA"/>
        </w:rPr>
        <w:t>“For a AES key, the key check value is computed by encrypting 16 bytes, each with value '01', with the key to be checked and retaining the 3 highest-order bytes of the encrypted result.”</w:t>
      </w:r>
    </w:p>
    <w:p w14:paraId="1F7CEC37" w14:textId="77777777" w:rsidR="00B97365" w:rsidRDefault="00000000">
      <w:pPr>
        <w:spacing w:before="0" w:after="200" w:line="276" w:lineRule="auto"/>
        <w:jc w:val="left"/>
        <w:rPr>
          <w:rFonts w:cs="Arial"/>
          <w:i/>
          <w:szCs w:val="22"/>
          <w:lang w:val="en-US" w:eastAsia="en-GB" w:bidi="ar-SA"/>
        </w:rPr>
      </w:pPr>
      <w:r>
        <w:rPr>
          <w:rFonts w:cs="Arial"/>
          <w:i/>
          <w:szCs w:val="22"/>
          <w:lang w:val="en-US" w:eastAsia="en-GB" w:bidi="ar-SA"/>
        </w:rPr>
        <w:t>“A key check value SHALL be computed as the three most significant bytes of the SHA-1 digest of the PSK TLS Key”.</w:t>
      </w:r>
    </w:p>
    <w:p w14:paraId="167EC1C4" w14:textId="77777777" w:rsidR="00B97365" w:rsidRDefault="00000000">
      <w:pPr>
        <w:keepNext/>
        <w:keepLines/>
        <w:numPr>
          <w:ilvl w:val="0"/>
          <w:numId w:val="36"/>
        </w:numPr>
        <w:spacing w:before="360" w:after="60" w:line="276" w:lineRule="auto"/>
        <w:jc w:val="left"/>
        <w:outlineLvl w:val="0"/>
        <w:rPr>
          <w:b/>
          <w:sz w:val="28"/>
          <w:lang w:eastAsia="en-US"/>
        </w:rPr>
      </w:pPr>
      <w:bookmarkStart w:id="12016" w:name="_Toc353814663"/>
      <w:bookmarkStart w:id="12017" w:name="_Toc368932525"/>
      <w:bookmarkStart w:id="12018" w:name="_Toc374348682"/>
      <w:bookmarkStart w:id="12019" w:name="_Toc375158520"/>
      <w:bookmarkStart w:id="12020" w:name="_Toc398215104"/>
      <w:bookmarkStart w:id="12021" w:name="_Toc420595153"/>
      <w:bookmarkStart w:id="12022" w:name="_Ref421660346"/>
      <w:bookmarkStart w:id="12023" w:name="_Ref421660366"/>
      <w:bookmarkStart w:id="12024" w:name="_Toc421874534"/>
      <w:bookmarkStart w:id="12025" w:name="_Toc422150949"/>
      <w:bookmarkStart w:id="12026" w:name="_Toc448998379"/>
      <w:bookmarkStart w:id="12027" w:name="_Toc486332996"/>
      <w:bookmarkStart w:id="12028" w:name="_Toc1977516"/>
      <w:bookmarkStart w:id="12029" w:name="_Toc37062675"/>
      <w:bookmarkStart w:id="12030" w:name="_Toc88839715"/>
      <w:bookmarkStart w:id="12031" w:name="_Toc121504123"/>
      <w:bookmarkEnd w:id="12016"/>
      <w:r>
        <w:rPr>
          <w:b/>
          <w:sz w:val="28"/>
          <w:lang w:eastAsia="en-US"/>
        </w:rPr>
        <w:t>Device Requirements</w:t>
      </w:r>
      <w:bookmarkEnd w:id="12017"/>
      <w:bookmarkEnd w:id="12018"/>
      <w:bookmarkEnd w:id="12019"/>
      <w:bookmarkEnd w:id="12020"/>
      <w:bookmarkEnd w:id="12021"/>
      <w:bookmarkEnd w:id="12022"/>
      <w:bookmarkEnd w:id="12023"/>
      <w:bookmarkEnd w:id="12024"/>
      <w:bookmarkEnd w:id="12025"/>
      <w:bookmarkEnd w:id="12026"/>
      <w:bookmarkEnd w:id="12027"/>
      <w:r>
        <w:rPr>
          <w:b/>
          <w:sz w:val="28"/>
          <w:lang w:eastAsia="en-US"/>
        </w:rPr>
        <w:t xml:space="preserve"> (Normative)</w:t>
      </w:r>
      <w:bookmarkEnd w:id="12028"/>
      <w:bookmarkEnd w:id="12029"/>
      <w:bookmarkEnd w:id="12030"/>
      <w:bookmarkEnd w:id="12031"/>
    </w:p>
    <w:p w14:paraId="17DC3022" w14:textId="77777777" w:rsidR="00B97365" w:rsidRDefault="00B97365">
      <w:pPr>
        <w:rPr>
          <w:rFonts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83"/>
        <w:gridCol w:w="7733"/>
      </w:tblGrid>
      <w:tr w:rsidR="00B97365" w14:paraId="3A3FE171" w14:textId="77777777">
        <w:trPr>
          <w:trHeight w:val="93"/>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752F371B" w14:textId="77777777" w:rsidR="00B97365" w:rsidRDefault="00000000">
            <w:pPr>
              <w:autoSpaceDE w:val="0"/>
              <w:autoSpaceDN w:val="0"/>
              <w:adjustRightInd w:val="0"/>
              <w:spacing w:line="276" w:lineRule="auto"/>
              <w:jc w:val="center"/>
              <w:rPr>
                <w:rFonts w:eastAsia="MS Mincho" w:cs="Arial"/>
                <w:b/>
                <w:color w:val="FFFFFF"/>
                <w:sz w:val="16"/>
                <w:szCs w:val="16"/>
                <w:lang w:eastAsia="ja-JP" w:bidi="ar-SA"/>
              </w:rPr>
            </w:pPr>
            <w:r>
              <w:rPr>
                <w:rFonts w:eastAsia="MS Mincho" w:cs="Arial"/>
                <w:b/>
                <w:color w:val="FFFFFF"/>
                <w:sz w:val="16"/>
                <w:szCs w:val="16"/>
                <w:lang w:eastAsia="ja-JP" w:bidi="ar-SA"/>
              </w:rPr>
              <w:t>Functional</w:t>
            </w:r>
          </w:p>
          <w:p w14:paraId="2F61EDD6" w14:textId="77777777" w:rsidR="00B97365" w:rsidRDefault="00000000">
            <w:pPr>
              <w:autoSpaceDE w:val="0"/>
              <w:autoSpaceDN w:val="0"/>
              <w:adjustRightInd w:val="0"/>
              <w:spacing w:line="276" w:lineRule="auto"/>
              <w:jc w:val="center"/>
              <w:rPr>
                <w:rFonts w:eastAsia="MS Mincho" w:cs="Arial"/>
                <w:b/>
                <w:color w:val="FFFFFF"/>
                <w:sz w:val="16"/>
                <w:szCs w:val="16"/>
                <w:lang w:eastAsia="ja-JP" w:bidi="ar-SA"/>
              </w:rPr>
            </w:pPr>
            <w:r>
              <w:rPr>
                <w:rFonts w:eastAsia="MS Mincho" w:cs="Arial"/>
                <w:b/>
                <w:color w:val="FFFFFF"/>
                <w:sz w:val="16"/>
                <w:szCs w:val="16"/>
                <w:lang w:eastAsia="ja-JP" w:bidi="ar-SA"/>
              </w:rPr>
              <w:t>Device</w:t>
            </w:r>
          </w:p>
          <w:p w14:paraId="5AEDFB4A" w14:textId="77777777" w:rsidR="00B97365" w:rsidRDefault="00000000">
            <w:pPr>
              <w:autoSpaceDE w:val="0"/>
              <w:autoSpaceDN w:val="0"/>
              <w:adjustRightInd w:val="0"/>
              <w:spacing w:line="276" w:lineRule="auto"/>
              <w:jc w:val="center"/>
              <w:rPr>
                <w:rFonts w:eastAsia="MS Mincho" w:cs="Arial"/>
                <w:b/>
                <w:color w:val="FFFFFF"/>
                <w:sz w:val="16"/>
                <w:szCs w:val="16"/>
                <w:lang w:eastAsia="ja-JP" w:bidi="ar-SA"/>
              </w:rPr>
            </w:pPr>
            <w:r>
              <w:rPr>
                <w:rFonts w:eastAsia="MS Mincho" w:cs="Arial"/>
                <w:b/>
                <w:color w:val="FFFFFF"/>
                <w:sz w:val="16"/>
                <w:szCs w:val="16"/>
                <w:lang w:eastAsia="ja-JP" w:bidi="ar-SA"/>
              </w:rPr>
              <w:t>Requirements</w:t>
            </w:r>
          </w:p>
          <w:p w14:paraId="76CE29D6" w14:textId="77777777" w:rsidR="00B97365" w:rsidRDefault="00000000">
            <w:pPr>
              <w:autoSpaceDE w:val="0"/>
              <w:autoSpaceDN w:val="0"/>
              <w:adjustRightInd w:val="0"/>
              <w:spacing w:line="276" w:lineRule="auto"/>
              <w:jc w:val="center"/>
              <w:rPr>
                <w:rFonts w:eastAsia="MS Mincho" w:cs="Arial"/>
                <w:b/>
                <w:color w:val="FFFFFF"/>
                <w:sz w:val="16"/>
                <w:szCs w:val="16"/>
                <w:lang w:eastAsia="ja-JP" w:bidi="ar-SA"/>
              </w:rPr>
            </w:pPr>
            <w:r>
              <w:rPr>
                <w:rFonts w:eastAsia="MS Mincho" w:cs="Arial"/>
                <w:b/>
                <w:color w:val="FFFFFF"/>
                <w:sz w:val="16"/>
                <w:szCs w:val="16"/>
                <w:lang w:eastAsia="ja-JP" w:bidi="ar-SA"/>
              </w:rPr>
              <w:lastRenderedPageBreak/>
              <w:t>No.</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5E27DC6B" w14:textId="77777777" w:rsidR="00B97365" w:rsidRDefault="00000000">
            <w:pPr>
              <w:autoSpaceDE w:val="0"/>
              <w:autoSpaceDN w:val="0"/>
              <w:adjustRightInd w:val="0"/>
              <w:spacing w:line="276" w:lineRule="auto"/>
              <w:jc w:val="center"/>
              <w:rPr>
                <w:rFonts w:eastAsia="Times New Roman" w:cs="Arial"/>
                <w:color w:val="FFFFFF"/>
                <w:sz w:val="16"/>
                <w:szCs w:val="16"/>
                <w:lang w:eastAsia="fr-FR" w:bidi="ar-SA"/>
              </w:rPr>
            </w:pPr>
            <w:r>
              <w:rPr>
                <w:rFonts w:eastAsia="MS Mincho" w:cs="Arial"/>
                <w:b/>
                <w:color w:val="FFFFFF"/>
                <w:sz w:val="16"/>
                <w:szCs w:val="16"/>
                <w:lang w:eastAsia="ja-JP" w:bidi="ar-SA"/>
              </w:rPr>
              <w:lastRenderedPageBreak/>
              <w:t>Requirement</w:t>
            </w:r>
          </w:p>
        </w:tc>
      </w:tr>
      <w:tr w:rsidR="00B97365" w14:paraId="38A103ED" w14:textId="77777777">
        <w:trPr>
          <w:trHeight w:val="358"/>
          <w:jc w:val="center"/>
        </w:trPr>
        <w:tc>
          <w:tcPr>
            <w:tcW w:w="0" w:type="auto"/>
            <w:tcBorders>
              <w:top w:val="single" w:sz="6" w:space="0" w:color="auto"/>
              <w:left w:val="single" w:sz="4" w:space="0" w:color="auto"/>
              <w:bottom w:val="single" w:sz="6" w:space="0" w:color="auto"/>
              <w:right w:val="single" w:sz="6" w:space="0" w:color="auto"/>
            </w:tcBorders>
            <w:hideMark/>
          </w:tcPr>
          <w:p w14:paraId="3FB88D75" w14:textId="77777777" w:rsidR="00B97365" w:rsidRDefault="00000000">
            <w:pPr>
              <w:autoSpaceDE w:val="0"/>
              <w:autoSpaceDN w:val="0"/>
              <w:adjustRightInd w:val="0"/>
              <w:spacing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DEV1</w:t>
            </w:r>
          </w:p>
        </w:tc>
        <w:tc>
          <w:tcPr>
            <w:tcW w:w="0" w:type="auto"/>
            <w:tcBorders>
              <w:top w:val="single" w:sz="6" w:space="0" w:color="auto"/>
              <w:left w:val="single" w:sz="6" w:space="0" w:color="auto"/>
              <w:bottom w:val="single" w:sz="6" w:space="0" w:color="auto"/>
              <w:right w:val="single" w:sz="4" w:space="0" w:color="auto"/>
            </w:tcBorders>
            <w:hideMark/>
          </w:tcPr>
          <w:p w14:paraId="2617A071"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For connectivity the Device SHALL support:</w:t>
            </w:r>
          </w:p>
          <w:p w14:paraId="7372C7D8" w14:textId="77777777" w:rsidR="00B97365" w:rsidRDefault="00000000">
            <w:pPr>
              <w:numPr>
                <w:ilvl w:val="0"/>
                <w:numId w:val="22"/>
              </w:numPr>
              <w:spacing w:line="276" w:lineRule="auto"/>
              <w:rPr>
                <w:rFonts w:cs="Arial"/>
                <w:sz w:val="16"/>
                <w:szCs w:val="16"/>
                <w:lang w:eastAsia="fr-FR"/>
              </w:rPr>
            </w:pPr>
            <w:r>
              <w:rPr>
                <w:rFonts w:cs="Arial"/>
                <w:sz w:val="16"/>
                <w:szCs w:val="16"/>
                <w:lang w:eastAsia="fr-FR"/>
              </w:rPr>
              <w:t xml:space="preserve">At least one of the network access technologies defined by 3GPP in the non-exhaustive following list: </w:t>
            </w:r>
          </w:p>
          <w:p w14:paraId="15699D89" w14:textId="77777777" w:rsidR="00B97365" w:rsidRDefault="00000000">
            <w:pPr>
              <w:numPr>
                <w:ilvl w:val="1"/>
                <w:numId w:val="22"/>
              </w:numPr>
              <w:spacing w:line="276" w:lineRule="auto"/>
              <w:rPr>
                <w:rFonts w:cs="Arial"/>
                <w:b/>
                <w:i/>
                <w:sz w:val="16"/>
                <w:szCs w:val="16"/>
                <w:lang w:eastAsia="fr-FR"/>
              </w:rPr>
            </w:pPr>
            <w:r>
              <w:rPr>
                <w:rFonts w:cs="Arial"/>
                <w:sz w:val="16"/>
                <w:szCs w:val="16"/>
                <w:lang w:eastAsia="fr-FR"/>
              </w:rPr>
              <w:t xml:space="preserve">GERAN, </w:t>
            </w:r>
          </w:p>
          <w:p w14:paraId="0FCD522F" w14:textId="77777777" w:rsidR="00B97365" w:rsidRDefault="00000000">
            <w:pPr>
              <w:numPr>
                <w:ilvl w:val="1"/>
                <w:numId w:val="22"/>
              </w:numPr>
              <w:spacing w:line="276" w:lineRule="auto"/>
              <w:rPr>
                <w:rFonts w:cs="Arial"/>
                <w:b/>
                <w:i/>
                <w:sz w:val="16"/>
                <w:szCs w:val="16"/>
                <w:lang w:eastAsia="fr-FR"/>
              </w:rPr>
            </w:pPr>
            <w:r>
              <w:rPr>
                <w:rFonts w:cs="Arial"/>
                <w:bCs/>
                <w:sz w:val="16"/>
                <w:szCs w:val="16"/>
                <w:lang w:eastAsia="fr-FR"/>
              </w:rPr>
              <w:t>UTRAN</w:t>
            </w:r>
          </w:p>
          <w:p w14:paraId="52D69E81" w14:textId="77777777" w:rsidR="00B97365" w:rsidRDefault="00000000">
            <w:pPr>
              <w:numPr>
                <w:ilvl w:val="1"/>
                <w:numId w:val="22"/>
              </w:numPr>
              <w:spacing w:line="276" w:lineRule="auto"/>
              <w:rPr>
                <w:rFonts w:cs="Arial"/>
                <w:sz w:val="16"/>
                <w:szCs w:val="16"/>
                <w:lang w:eastAsia="fr-FR"/>
              </w:rPr>
            </w:pPr>
            <w:r>
              <w:rPr>
                <w:rFonts w:cs="Arial"/>
                <w:bCs/>
                <w:sz w:val="16"/>
                <w:szCs w:val="16"/>
                <w:lang w:eastAsia="fr-FR"/>
              </w:rPr>
              <w:t>E-UTRAN.</w:t>
            </w:r>
          </w:p>
          <w:p w14:paraId="0E8B9501" w14:textId="4928187A" w:rsidR="00B97365" w:rsidRDefault="00000000">
            <w:pPr>
              <w:numPr>
                <w:ilvl w:val="0"/>
                <w:numId w:val="24"/>
              </w:numPr>
              <w:spacing w:line="276" w:lineRule="auto"/>
              <w:rPr>
                <w:rFonts w:cs="Arial"/>
                <w:sz w:val="16"/>
                <w:szCs w:val="16"/>
                <w:lang w:eastAsia="fr-FR"/>
              </w:rPr>
            </w:pPr>
            <w:r>
              <w:rPr>
                <w:rFonts w:cs="Arial"/>
                <w:sz w:val="16"/>
                <w:szCs w:val="16"/>
                <w:lang w:eastAsia="fr-FR"/>
              </w:rPr>
              <w:t xml:space="preserve"> UDP over IP </w:t>
            </w:r>
            <w:r>
              <w:fldChar w:fldCharType="begin"/>
            </w:r>
            <w:r>
              <w:rPr>
                <w:rFonts w:cs="Arial"/>
                <w:sz w:val="16"/>
                <w:szCs w:val="16"/>
                <w:lang w:eastAsia="fr-FR"/>
              </w:rPr>
              <w:instrText xml:space="preserve"> REF _Ref421635574 \r \h </w:instrText>
            </w:r>
            <w:r>
              <w:fldChar w:fldCharType="separate"/>
            </w:r>
            <w:r w:rsidR="001D5AD9">
              <w:rPr>
                <w:rFonts w:cs="Arial"/>
                <w:sz w:val="16"/>
                <w:szCs w:val="16"/>
                <w:lang w:eastAsia="fr-FR"/>
              </w:rPr>
              <w:t>[32]</w:t>
            </w:r>
            <w:r>
              <w:fldChar w:fldCharType="end"/>
            </w:r>
            <w:r>
              <w:rPr>
                <w:rFonts w:cs="Arial"/>
                <w:sz w:val="16"/>
                <w:szCs w:val="16"/>
                <w:lang w:eastAsia="fr-FR"/>
              </w:rPr>
              <w:t xml:space="preserve"> (subject to the right support of access network technology)</w:t>
            </w:r>
          </w:p>
          <w:p w14:paraId="1BE00E8C" w14:textId="053418FF" w:rsidR="00B97365" w:rsidRDefault="00000000">
            <w:pPr>
              <w:numPr>
                <w:ilvl w:val="0"/>
                <w:numId w:val="24"/>
              </w:numPr>
              <w:spacing w:line="276" w:lineRule="auto"/>
              <w:rPr>
                <w:rFonts w:cs="Arial"/>
                <w:sz w:val="16"/>
                <w:szCs w:val="16"/>
                <w:lang w:eastAsia="fr-FR"/>
              </w:rPr>
            </w:pPr>
            <w:r>
              <w:rPr>
                <w:rFonts w:cs="Arial"/>
                <w:sz w:val="16"/>
                <w:szCs w:val="16"/>
                <w:lang w:eastAsia="fr-FR"/>
              </w:rPr>
              <w:t xml:space="preserve">TCP over IP </w:t>
            </w:r>
            <w:r>
              <w:fldChar w:fldCharType="begin"/>
            </w:r>
            <w:r>
              <w:rPr>
                <w:rFonts w:cs="Arial"/>
                <w:sz w:val="16"/>
                <w:szCs w:val="16"/>
                <w:lang w:eastAsia="fr-FR"/>
              </w:rPr>
              <w:instrText xml:space="preserve"> REF _Ref421635582 \r \h </w:instrText>
            </w:r>
            <w:r>
              <w:fldChar w:fldCharType="separate"/>
            </w:r>
            <w:r w:rsidR="001D5AD9">
              <w:rPr>
                <w:rFonts w:cs="Arial"/>
                <w:sz w:val="16"/>
                <w:szCs w:val="16"/>
                <w:lang w:eastAsia="fr-FR"/>
              </w:rPr>
              <w:t>[33]</w:t>
            </w:r>
            <w:r>
              <w:fldChar w:fldCharType="end"/>
            </w:r>
            <w:r>
              <w:rPr>
                <w:rFonts w:cs="Arial"/>
                <w:sz w:val="16"/>
                <w:szCs w:val="16"/>
                <w:lang w:eastAsia="fr-FR"/>
              </w:rPr>
              <w:t xml:space="preserve"> (subject to the right support of access network technology)</w:t>
            </w:r>
          </w:p>
          <w:p w14:paraId="7D9AD9C3" w14:textId="77777777" w:rsidR="00B97365" w:rsidRDefault="00000000">
            <w:pPr>
              <w:rPr>
                <w:rFonts w:cs="Arial"/>
                <w:sz w:val="16"/>
                <w:szCs w:val="16"/>
              </w:rPr>
            </w:pPr>
            <w:r>
              <w:rPr>
                <w:rFonts w:cs="Arial"/>
                <w:sz w:val="16"/>
                <w:szCs w:val="16"/>
                <w:lang w:eastAsia="fr-FR"/>
              </w:rPr>
              <w:t xml:space="preserve"> </w:t>
            </w:r>
          </w:p>
        </w:tc>
      </w:tr>
      <w:tr w:rsidR="00B97365" w14:paraId="3B4A1C87" w14:textId="77777777">
        <w:trPr>
          <w:trHeight w:val="358"/>
          <w:jc w:val="center"/>
        </w:trPr>
        <w:tc>
          <w:tcPr>
            <w:tcW w:w="0" w:type="auto"/>
            <w:tcBorders>
              <w:top w:val="single" w:sz="6" w:space="0" w:color="auto"/>
              <w:left w:val="single" w:sz="4" w:space="0" w:color="auto"/>
              <w:bottom w:val="single" w:sz="6" w:space="0" w:color="auto"/>
              <w:right w:val="single" w:sz="6" w:space="0" w:color="auto"/>
            </w:tcBorders>
            <w:hideMark/>
          </w:tcPr>
          <w:p w14:paraId="14207F21"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DEV2</w:t>
            </w:r>
          </w:p>
        </w:tc>
        <w:tc>
          <w:tcPr>
            <w:tcW w:w="0" w:type="auto"/>
            <w:tcBorders>
              <w:top w:val="single" w:sz="6" w:space="0" w:color="auto"/>
              <w:left w:val="single" w:sz="6" w:space="0" w:color="auto"/>
              <w:bottom w:val="single" w:sz="6" w:space="0" w:color="auto"/>
              <w:right w:val="single" w:sz="4" w:space="0" w:color="auto"/>
            </w:tcBorders>
          </w:tcPr>
          <w:p w14:paraId="3DB9DB46"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For Network connection control the Device SHALL support:</w:t>
            </w:r>
          </w:p>
          <w:p w14:paraId="1E1DCE72" w14:textId="77777777" w:rsidR="00B97365" w:rsidRDefault="00000000">
            <w:pPr>
              <w:numPr>
                <w:ilvl w:val="0"/>
                <w:numId w:val="23"/>
              </w:numPr>
              <w:spacing w:line="276" w:lineRule="auto"/>
              <w:rPr>
                <w:rFonts w:cs="Arial"/>
                <w:sz w:val="16"/>
                <w:szCs w:val="16"/>
                <w:lang w:eastAsia="fr-FR"/>
              </w:rPr>
            </w:pPr>
            <w:r>
              <w:rPr>
                <w:rFonts w:cs="Arial"/>
                <w:sz w:val="16"/>
                <w:szCs w:val="16"/>
                <w:lang w:eastAsia="fr-FR"/>
              </w:rPr>
              <w:t>RPLMN details (LAC/TAC, NMR).</w:t>
            </w:r>
          </w:p>
          <w:p w14:paraId="78859FDC" w14:textId="77777777" w:rsidR="00B97365" w:rsidRDefault="00000000">
            <w:pPr>
              <w:numPr>
                <w:ilvl w:val="0"/>
                <w:numId w:val="23"/>
              </w:numPr>
              <w:spacing w:line="276" w:lineRule="auto"/>
              <w:rPr>
                <w:rFonts w:cs="Arial"/>
                <w:sz w:val="16"/>
                <w:szCs w:val="16"/>
                <w:lang w:val="fr-FR" w:eastAsia="fr-FR"/>
              </w:rPr>
            </w:pPr>
            <w:r>
              <w:rPr>
                <w:rFonts w:cs="Arial"/>
                <w:sz w:val="16"/>
                <w:szCs w:val="16"/>
                <w:lang w:val="fr-FR" w:eastAsia="fr-FR"/>
              </w:rPr>
              <w:t>QoS (failures, duration, power, location).</w:t>
            </w:r>
          </w:p>
          <w:p w14:paraId="3952C0D2" w14:textId="77777777" w:rsidR="00B97365" w:rsidRDefault="00000000">
            <w:pPr>
              <w:numPr>
                <w:ilvl w:val="0"/>
                <w:numId w:val="23"/>
              </w:numPr>
              <w:spacing w:line="276" w:lineRule="auto"/>
              <w:rPr>
                <w:rFonts w:cs="Arial"/>
                <w:sz w:val="16"/>
                <w:szCs w:val="16"/>
                <w:lang w:eastAsia="fr-FR"/>
              </w:rPr>
            </w:pPr>
            <w:r>
              <w:rPr>
                <w:rFonts w:cs="Arial"/>
                <w:sz w:val="16"/>
                <w:szCs w:val="16"/>
                <w:lang w:eastAsia="fr-FR"/>
              </w:rPr>
              <w:t>SMS management.</w:t>
            </w:r>
          </w:p>
          <w:p w14:paraId="36BC028B" w14:textId="77777777" w:rsidR="00B97365" w:rsidRDefault="00000000">
            <w:pPr>
              <w:numPr>
                <w:ilvl w:val="0"/>
                <w:numId w:val="23"/>
              </w:numPr>
              <w:spacing w:line="276" w:lineRule="auto"/>
              <w:rPr>
                <w:rFonts w:cs="Arial"/>
                <w:sz w:val="16"/>
                <w:szCs w:val="16"/>
                <w:lang w:eastAsia="fr-FR"/>
              </w:rPr>
            </w:pPr>
            <w:r>
              <w:rPr>
                <w:rFonts w:cs="Arial"/>
                <w:sz w:val="16"/>
                <w:szCs w:val="16"/>
                <w:lang w:eastAsia="fr-FR"/>
              </w:rPr>
              <w:t>New network selection after SIM/USIM update.</w:t>
            </w:r>
          </w:p>
          <w:p w14:paraId="65BA688F" w14:textId="77777777" w:rsidR="00B97365" w:rsidRDefault="00B97365">
            <w:pPr>
              <w:autoSpaceDE w:val="0"/>
              <w:autoSpaceDN w:val="0"/>
              <w:adjustRightInd w:val="0"/>
              <w:spacing w:line="276" w:lineRule="auto"/>
              <w:rPr>
                <w:rFonts w:eastAsia="MS Mincho" w:cs="Arial"/>
                <w:color w:val="000000"/>
                <w:sz w:val="16"/>
                <w:szCs w:val="16"/>
                <w:lang w:eastAsia="ja-JP" w:bidi="ar-SA"/>
              </w:rPr>
            </w:pPr>
          </w:p>
        </w:tc>
      </w:tr>
      <w:tr w:rsidR="00B97365" w14:paraId="294BA3E8" w14:textId="77777777">
        <w:trPr>
          <w:trHeight w:val="358"/>
          <w:jc w:val="center"/>
        </w:trPr>
        <w:tc>
          <w:tcPr>
            <w:tcW w:w="0" w:type="auto"/>
            <w:tcBorders>
              <w:top w:val="single" w:sz="6" w:space="0" w:color="auto"/>
              <w:left w:val="single" w:sz="4" w:space="0" w:color="auto"/>
              <w:bottom w:val="single" w:sz="6" w:space="0" w:color="auto"/>
              <w:right w:val="single" w:sz="6" w:space="0" w:color="auto"/>
            </w:tcBorders>
            <w:hideMark/>
          </w:tcPr>
          <w:p w14:paraId="25353412"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DEV3</w:t>
            </w:r>
          </w:p>
        </w:tc>
        <w:tc>
          <w:tcPr>
            <w:tcW w:w="0" w:type="auto"/>
            <w:tcBorders>
              <w:top w:val="single" w:sz="6" w:space="0" w:color="auto"/>
              <w:left w:val="single" w:sz="6" w:space="0" w:color="auto"/>
              <w:bottom w:val="single" w:sz="6" w:space="0" w:color="auto"/>
              <w:right w:val="single" w:sz="4" w:space="0" w:color="auto"/>
            </w:tcBorders>
          </w:tcPr>
          <w:p w14:paraId="051B65E4" w14:textId="77777777" w:rsidR="00B97365" w:rsidRDefault="00000000">
            <w:pPr>
              <w:spacing w:after="120" w:line="276" w:lineRule="auto"/>
              <w:rPr>
                <w:rFonts w:cs="Arial"/>
                <w:sz w:val="16"/>
                <w:szCs w:val="16"/>
                <w:lang w:eastAsia="fr-FR"/>
              </w:rPr>
            </w:pPr>
            <w:r>
              <w:rPr>
                <w:rFonts w:cs="Arial"/>
                <w:sz w:val="16"/>
                <w:szCs w:val="16"/>
              </w:rPr>
              <w:t>For r</w:t>
            </w:r>
            <w:r>
              <w:rPr>
                <w:rFonts w:cs="Arial"/>
                <w:sz w:val="16"/>
                <w:szCs w:val="16"/>
                <w:lang w:eastAsia="fr-FR"/>
              </w:rPr>
              <w:t>eporting to a server</w:t>
            </w:r>
            <w:r>
              <w:rPr>
                <w:rFonts w:cs="Arial"/>
                <w:sz w:val="16"/>
                <w:szCs w:val="16"/>
              </w:rPr>
              <w:t xml:space="preserve"> the Device SHALL support</w:t>
            </w:r>
            <w:r>
              <w:rPr>
                <w:rFonts w:cs="Arial"/>
                <w:sz w:val="16"/>
                <w:szCs w:val="16"/>
                <w:lang w:eastAsia="fr-FR"/>
              </w:rPr>
              <w:t>:</w:t>
            </w:r>
          </w:p>
          <w:p w14:paraId="07209D05" w14:textId="4638F089" w:rsidR="00B97365" w:rsidRDefault="00000000">
            <w:pPr>
              <w:numPr>
                <w:ilvl w:val="0"/>
                <w:numId w:val="24"/>
              </w:numPr>
              <w:spacing w:line="276" w:lineRule="auto"/>
              <w:rPr>
                <w:rFonts w:cs="Arial"/>
                <w:sz w:val="16"/>
                <w:szCs w:val="16"/>
                <w:lang w:eastAsia="fr-FR"/>
              </w:rPr>
            </w:pPr>
            <w:r>
              <w:rPr>
                <w:rFonts w:cs="Arial"/>
                <w:sz w:val="16"/>
                <w:szCs w:val="16"/>
                <w:lang w:eastAsia="fr-FR"/>
              </w:rPr>
              <w:t xml:space="preserve">SMS-PP MO as defined in </w:t>
            </w:r>
            <w:r>
              <w:fldChar w:fldCharType="begin"/>
            </w:r>
            <w:r>
              <w:instrText xml:space="preserve"> REF _Ref421633137 \r \h  \* MERGEFORMAT </w:instrText>
            </w:r>
            <w:r>
              <w:fldChar w:fldCharType="separate"/>
            </w:r>
            <w:r w:rsidR="001D5AD9" w:rsidRPr="001D5AD9">
              <w:rPr>
                <w:rFonts w:cs="Arial"/>
                <w:sz w:val="16"/>
                <w:szCs w:val="16"/>
                <w:lang w:eastAsia="fr-FR"/>
              </w:rPr>
              <w:t>[3]</w:t>
            </w:r>
            <w:r>
              <w:fldChar w:fldCharType="end"/>
            </w:r>
            <w:r>
              <w:rPr>
                <w:rFonts w:cs="Arial"/>
                <w:sz w:val="16"/>
                <w:szCs w:val="16"/>
                <w:lang w:eastAsia="fr-FR"/>
              </w:rPr>
              <w:t xml:space="preserve"> and SMS-PP MO as defined </w:t>
            </w:r>
            <w:r>
              <w:rPr>
                <w:rFonts w:cs="Arial"/>
                <w:sz w:val="16"/>
                <w:szCs w:val="16"/>
                <w:lang w:eastAsia="fr-FR"/>
              </w:rPr>
              <w:fldChar w:fldCharType="begin"/>
            </w:r>
            <w:r>
              <w:rPr>
                <w:rFonts w:cs="Arial"/>
                <w:sz w:val="16"/>
                <w:szCs w:val="16"/>
                <w:lang w:eastAsia="fr-FR"/>
              </w:rPr>
              <w:instrText xml:space="preserve"> REF _Ref481771409 \r \h  \* MERGEFORMAT </w:instrText>
            </w:r>
            <w:r>
              <w:rPr>
                <w:rFonts w:cs="Arial"/>
                <w:sz w:val="16"/>
                <w:szCs w:val="16"/>
                <w:lang w:eastAsia="fr-FR"/>
              </w:rPr>
            </w:r>
            <w:r>
              <w:rPr>
                <w:rFonts w:cs="Arial"/>
                <w:sz w:val="16"/>
                <w:szCs w:val="16"/>
                <w:lang w:eastAsia="fr-FR"/>
              </w:rPr>
              <w:fldChar w:fldCharType="separate"/>
            </w:r>
            <w:r w:rsidR="001D5AD9">
              <w:rPr>
                <w:rFonts w:cs="Arial"/>
                <w:sz w:val="16"/>
                <w:szCs w:val="16"/>
                <w:lang w:eastAsia="fr-FR"/>
              </w:rPr>
              <w:t>[39]</w:t>
            </w:r>
            <w:r>
              <w:rPr>
                <w:rFonts w:cs="Arial"/>
                <w:sz w:val="16"/>
                <w:szCs w:val="16"/>
                <w:lang w:eastAsia="fr-FR"/>
              </w:rPr>
              <w:fldChar w:fldCharType="end"/>
            </w:r>
            <w:r>
              <w:rPr>
                <w:rFonts w:cs="Arial"/>
                <w:sz w:val="16"/>
                <w:szCs w:val="16"/>
                <w:lang w:eastAsia="fr-FR"/>
              </w:rPr>
              <w:t xml:space="preserve"> or </w:t>
            </w:r>
            <w:r>
              <w:rPr>
                <w:rFonts w:cs="Arial"/>
                <w:sz w:val="16"/>
                <w:szCs w:val="16"/>
                <w:lang w:eastAsia="fr-FR"/>
              </w:rPr>
              <w:fldChar w:fldCharType="begin"/>
            </w:r>
            <w:r>
              <w:rPr>
                <w:rFonts w:cs="Arial"/>
                <w:sz w:val="16"/>
                <w:szCs w:val="16"/>
                <w:lang w:eastAsia="fr-FR"/>
              </w:rPr>
              <w:instrText xml:space="preserve"> REF _Ref421635622 \r \h  \* MERGEFORMAT </w:instrText>
            </w:r>
            <w:r>
              <w:rPr>
                <w:rFonts w:cs="Arial"/>
                <w:sz w:val="16"/>
                <w:szCs w:val="16"/>
                <w:lang w:eastAsia="fr-FR"/>
              </w:rPr>
            </w:r>
            <w:r>
              <w:rPr>
                <w:rFonts w:cs="Arial"/>
                <w:sz w:val="16"/>
                <w:szCs w:val="16"/>
                <w:lang w:eastAsia="fr-FR"/>
              </w:rPr>
              <w:fldChar w:fldCharType="separate"/>
            </w:r>
            <w:r w:rsidR="001D5AD9">
              <w:rPr>
                <w:rFonts w:cs="Arial"/>
                <w:sz w:val="16"/>
                <w:szCs w:val="16"/>
                <w:lang w:eastAsia="fr-FR"/>
              </w:rPr>
              <w:t>[29]</w:t>
            </w:r>
            <w:r>
              <w:rPr>
                <w:rFonts w:cs="Arial"/>
                <w:sz w:val="16"/>
                <w:szCs w:val="16"/>
                <w:lang w:eastAsia="fr-FR"/>
              </w:rPr>
              <w:fldChar w:fldCharType="end"/>
            </w:r>
            <w:r>
              <w:rPr>
                <w:rFonts w:cs="Arial"/>
                <w:sz w:val="16"/>
                <w:szCs w:val="16"/>
                <w:lang w:eastAsia="fr-FR"/>
              </w:rPr>
              <w:t xml:space="preserve"> BIP as defined in DEV4</w:t>
            </w:r>
          </w:p>
          <w:p w14:paraId="09347D58" w14:textId="77777777" w:rsidR="00B97365" w:rsidRDefault="00000000">
            <w:pPr>
              <w:rPr>
                <w:rFonts w:cs="Arial"/>
                <w:sz w:val="16"/>
                <w:szCs w:val="16"/>
                <w:lang w:eastAsia="fr-FR"/>
              </w:rPr>
            </w:pPr>
            <w:r>
              <w:rPr>
                <w:rFonts w:cs="Arial"/>
                <w:sz w:val="16"/>
                <w:szCs w:val="16"/>
              </w:rPr>
              <w:t>The Device SHOULD support</w:t>
            </w:r>
            <w:r>
              <w:rPr>
                <w:rFonts w:cs="Arial"/>
                <w:sz w:val="16"/>
                <w:szCs w:val="16"/>
                <w:lang w:eastAsia="fr-FR"/>
              </w:rPr>
              <w:t>:</w:t>
            </w:r>
          </w:p>
          <w:p w14:paraId="3DB9591C" w14:textId="77777777" w:rsidR="00B97365" w:rsidRDefault="00000000">
            <w:pPr>
              <w:numPr>
                <w:ilvl w:val="0"/>
                <w:numId w:val="24"/>
              </w:numPr>
              <w:spacing w:line="276" w:lineRule="auto"/>
              <w:rPr>
                <w:rFonts w:cs="Arial"/>
                <w:sz w:val="16"/>
                <w:szCs w:val="16"/>
                <w:lang w:eastAsia="fr-FR"/>
              </w:rPr>
            </w:pPr>
            <w:r>
              <w:rPr>
                <w:rFonts w:cs="Arial"/>
                <w:sz w:val="16"/>
                <w:szCs w:val="16"/>
                <w:lang w:eastAsia="fr-FR"/>
              </w:rPr>
              <w:t>USSD</w:t>
            </w:r>
          </w:p>
          <w:p w14:paraId="0A9C4D3C" w14:textId="77777777" w:rsidR="00B97365" w:rsidRDefault="00B97365">
            <w:pPr>
              <w:autoSpaceDE w:val="0"/>
              <w:autoSpaceDN w:val="0"/>
              <w:adjustRightInd w:val="0"/>
              <w:spacing w:line="276" w:lineRule="auto"/>
              <w:rPr>
                <w:rFonts w:eastAsia="MS Mincho" w:cs="Arial"/>
                <w:color w:val="000000"/>
                <w:sz w:val="16"/>
                <w:szCs w:val="16"/>
                <w:lang w:eastAsia="ja-JP" w:bidi="ar-SA"/>
              </w:rPr>
            </w:pPr>
          </w:p>
        </w:tc>
      </w:tr>
      <w:tr w:rsidR="00B97365" w14:paraId="4762AB5F" w14:textId="77777777">
        <w:trPr>
          <w:trHeight w:val="358"/>
          <w:jc w:val="center"/>
        </w:trPr>
        <w:tc>
          <w:tcPr>
            <w:tcW w:w="0" w:type="auto"/>
            <w:tcBorders>
              <w:top w:val="single" w:sz="6" w:space="0" w:color="auto"/>
              <w:left w:val="single" w:sz="4" w:space="0" w:color="auto"/>
              <w:bottom w:val="single" w:sz="6" w:space="0" w:color="auto"/>
              <w:right w:val="single" w:sz="6" w:space="0" w:color="auto"/>
            </w:tcBorders>
            <w:hideMark/>
          </w:tcPr>
          <w:p w14:paraId="55DBBC18"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DEV4</w:t>
            </w:r>
          </w:p>
        </w:tc>
        <w:tc>
          <w:tcPr>
            <w:tcW w:w="0" w:type="auto"/>
            <w:tcBorders>
              <w:top w:val="single" w:sz="6" w:space="0" w:color="auto"/>
              <w:left w:val="single" w:sz="6" w:space="0" w:color="auto"/>
              <w:bottom w:val="single" w:sz="6" w:space="0" w:color="auto"/>
              <w:right w:val="single" w:sz="4" w:space="0" w:color="auto"/>
            </w:tcBorders>
          </w:tcPr>
          <w:p w14:paraId="69CBC320" w14:textId="77777777" w:rsidR="00B97365" w:rsidRDefault="00000000">
            <w:pPr>
              <w:spacing w:after="120" w:line="276" w:lineRule="auto"/>
              <w:rPr>
                <w:rFonts w:cs="Arial"/>
                <w:sz w:val="16"/>
                <w:szCs w:val="16"/>
                <w:lang w:eastAsia="fr-FR"/>
              </w:rPr>
            </w:pPr>
            <w:r>
              <w:rPr>
                <w:rFonts w:cs="Arial"/>
                <w:sz w:val="16"/>
                <w:szCs w:val="16"/>
              </w:rPr>
              <w:t xml:space="preserve">For </w:t>
            </w:r>
            <w:r>
              <w:rPr>
                <w:rFonts w:cs="Arial"/>
                <w:sz w:val="16"/>
                <w:szCs w:val="16"/>
                <w:lang w:eastAsia="fr-FR"/>
              </w:rPr>
              <w:t>Profile and Platform Management</w:t>
            </w:r>
            <w:r>
              <w:rPr>
                <w:rFonts w:cs="Arial"/>
                <w:sz w:val="16"/>
                <w:szCs w:val="16"/>
              </w:rPr>
              <w:t xml:space="preserve"> the Device SHALL support</w:t>
            </w:r>
            <w:r>
              <w:rPr>
                <w:rFonts w:cs="Arial"/>
                <w:sz w:val="16"/>
                <w:szCs w:val="16"/>
                <w:lang w:eastAsia="fr-FR"/>
              </w:rPr>
              <w:t>:</w:t>
            </w:r>
          </w:p>
          <w:p w14:paraId="49099DBB" w14:textId="40594F94" w:rsidR="00B97365" w:rsidRDefault="00000000">
            <w:pPr>
              <w:numPr>
                <w:ilvl w:val="0"/>
                <w:numId w:val="24"/>
              </w:numPr>
              <w:spacing w:line="276" w:lineRule="auto"/>
              <w:rPr>
                <w:rFonts w:cs="Arial"/>
                <w:sz w:val="16"/>
                <w:szCs w:val="16"/>
                <w:lang w:eastAsia="fr-FR"/>
              </w:rPr>
            </w:pPr>
            <w:r>
              <w:rPr>
                <w:rFonts w:cs="Arial"/>
                <w:sz w:val="16"/>
                <w:szCs w:val="16"/>
                <w:lang w:eastAsia="fr-FR"/>
              </w:rPr>
              <w:t xml:space="preserve">SMS-PP MT as defined in </w:t>
            </w:r>
            <w:r>
              <w:fldChar w:fldCharType="begin"/>
            </w:r>
            <w:r>
              <w:rPr>
                <w:rFonts w:cs="Arial"/>
                <w:sz w:val="16"/>
                <w:szCs w:val="16"/>
                <w:lang w:eastAsia="fr-FR"/>
              </w:rPr>
              <w:instrText xml:space="preserve"> REF _Ref421633137 \r \h </w:instrText>
            </w:r>
            <w:r>
              <w:fldChar w:fldCharType="separate"/>
            </w:r>
            <w:r w:rsidR="001D5AD9">
              <w:rPr>
                <w:rFonts w:cs="Arial"/>
                <w:sz w:val="16"/>
                <w:szCs w:val="16"/>
                <w:lang w:eastAsia="fr-FR"/>
              </w:rPr>
              <w:t>[3]</w:t>
            </w:r>
            <w:r>
              <w:fldChar w:fldCharType="end"/>
            </w:r>
            <w:r>
              <w:rPr>
                <w:rFonts w:cs="Arial"/>
                <w:sz w:val="16"/>
                <w:szCs w:val="16"/>
                <w:lang w:eastAsia="fr-FR"/>
              </w:rPr>
              <w:t xml:space="preserve">, and  SMS-PP MT as defined </w:t>
            </w:r>
            <w:r>
              <w:rPr>
                <w:rFonts w:cs="Arial"/>
                <w:sz w:val="16"/>
                <w:szCs w:val="16"/>
                <w:lang w:eastAsia="fr-FR"/>
              </w:rPr>
              <w:fldChar w:fldCharType="begin"/>
            </w:r>
            <w:r>
              <w:rPr>
                <w:rFonts w:cs="Arial"/>
                <w:sz w:val="16"/>
                <w:szCs w:val="16"/>
                <w:lang w:eastAsia="fr-FR"/>
              </w:rPr>
              <w:instrText xml:space="preserve"> REF _Ref481771409 \r \h  \* MERGEFORMAT </w:instrText>
            </w:r>
            <w:r>
              <w:rPr>
                <w:rFonts w:cs="Arial"/>
                <w:sz w:val="16"/>
                <w:szCs w:val="16"/>
                <w:lang w:eastAsia="fr-FR"/>
              </w:rPr>
            </w:r>
            <w:r>
              <w:rPr>
                <w:rFonts w:cs="Arial"/>
                <w:sz w:val="16"/>
                <w:szCs w:val="16"/>
                <w:lang w:eastAsia="fr-FR"/>
              </w:rPr>
              <w:fldChar w:fldCharType="separate"/>
            </w:r>
            <w:r w:rsidR="001D5AD9">
              <w:rPr>
                <w:rFonts w:cs="Arial"/>
                <w:sz w:val="16"/>
                <w:szCs w:val="16"/>
                <w:lang w:eastAsia="fr-FR"/>
              </w:rPr>
              <w:t>[39]</w:t>
            </w:r>
            <w:r>
              <w:rPr>
                <w:rFonts w:cs="Arial"/>
                <w:sz w:val="16"/>
                <w:szCs w:val="16"/>
                <w:lang w:eastAsia="fr-FR"/>
              </w:rPr>
              <w:fldChar w:fldCharType="end"/>
            </w:r>
            <w:r>
              <w:rPr>
                <w:rFonts w:cs="Arial"/>
                <w:sz w:val="16"/>
                <w:szCs w:val="16"/>
                <w:lang w:eastAsia="fr-FR"/>
              </w:rPr>
              <w:t xml:space="preserve"> or </w:t>
            </w:r>
            <w:r>
              <w:fldChar w:fldCharType="begin"/>
            </w:r>
            <w:r>
              <w:rPr>
                <w:rFonts w:cs="Arial"/>
                <w:sz w:val="16"/>
                <w:szCs w:val="16"/>
                <w:lang w:eastAsia="fr-FR"/>
              </w:rPr>
              <w:instrText xml:space="preserve"> REF _Ref421635622 \r \h </w:instrText>
            </w:r>
            <w:r>
              <w:fldChar w:fldCharType="separate"/>
            </w:r>
            <w:r w:rsidR="001D5AD9">
              <w:rPr>
                <w:rFonts w:cs="Arial"/>
                <w:sz w:val="16"/>
                <w:szCs w:val="16"/>
                <w:lang w:eastAsia="fr-FR"/>
              </w:rPr>
              <w:t>[29]</w:t>
            </w:r>
            <w:r>
              <w:fldChar w:fldCharType="end"/>
            </w:r>
          </w:p>
          <w:p w14:paraId="10F4F97C" w14:textId="10B2B9F9" w:rsidR="00B97365" w:rsidRDefault="00000000">
            <w:pPr>
              <w:numPr>
                <w:ilvl w:val="0"/>
                <w:numId w:val="24"/>
              </w:numPr>
              <w:spacing w:line="276" w:lineRule="auto"/>
              <w:rPr>
                <w:rFonts w:cs="Arial"/>
                <w:sz w:val="16"/>
                <w:szCs w:val="16"/>
                <w:lang w:eastAsia="fr-FR"/>
              </w:rPr>
            </w:pPr>
            <w:r>
              <w:rPr>
                <w:rFonts w:cs="Arial"/>
                <w:sz w:val="16"/>
                <w:szCs w:val="16"/>
                <w:lang w:eastAsia="fr-FR"/>
              </w:rPr>
              <w:t xml:space="preserve">BIP (subject to the support of the right network access technology) as defined in </w:t>
            </w:r>
            <w:r>
              <w:fldChar w:fldCharType="begin"/>
            </w:r>
            <w:r>
              <w:rPr>
                <w:rFonts w:cs="Arial"/>
                <w:sz w:val="16"/>
                <w:szCs w:val="16"/>
                <w:lang w:eastAsia="fr-FR"/>
              </w:rPr>
              <w:instrText xml:space="preserve"> REF _Ref421633137 \r \h </w:instrText>
            </w:r>
            <w:r>
              <w:fldChar w:fldCharType="separate"/>
            </w:r>
            <w:r w:rsidR="001D5AD9">
              <w:rPr>
                <w:rFonts w:cs="Arial"/>
                <w:sz w:val="16"/>
                <w:szCs w:val="16"/>
                <w:lang w:eastAsia="fr-FR"/>
              </w:rPr>
              <w:t>[3]</w:t>
            </w:r>
            <w:r>
              <w:fldChar w:fldCharType="end"/>
            </w:r>
            <w:r>
              <w:rPr>
                <w:rFonts w:cs="Arial"/>
                <w:sz w:val="16"/>
                <w:szCs w:val="16"/>
                <w:lang w:eastAsia="fr-FR"/>
              </w:rPr>
              <w:t xml:space="preserve"> including support of commands:</w:t>
            </w:r>
          </w:p>
          <w:p w14:paraId="2113C8C4" w14:textId="77777777" w:rsidR="00B97365" w:rsidRDefault="00000000">
            <w:pPr>
              <w:numPr>
                <w:ilvl w:val="1"/>
                <w:numId w:val="24"/>
              </w:numPr>
              <w:spacing w:line="276" w:lineRule="auto"/>
              <w:rPr>
                <w:rFonts w:cs="Arial"/>
                <w:sz w:val="16"/>
                <w:szCs w:val="16"/>
                <w:lang w:eastAsia="fr-FR"/>
              </w:rPr>
            </w:pPr>
            <w:r>
              <w:rPr>
                <w:rFonts w:cs="Arial"/>
                <w:sz w:val="16"/>
                <w:szCs w:val="16"/>
                <w:lang w:eastAsia="fr-FR"/>
              </w:rPr>
              <w:t xml:space="preserve">OPEN CHANNEL (UDP and TCP over IP) </w:t>
            </w:r>
          </w:p>
          <w:p w14:paraId="0F09BBF5" w14:textId="77777777" w:rsidR="00B97365" w:rsidRDefault="00000000">
            <w:pPr>
              <w:numPr>
                <w:ilvl w:val="1"/>
                <w:numId w:val="24"/>
              </w:numPr>
              <w:spacing w:line="276" w:lineRule="auto"/>
              <w:rPr>
                <w:rFonts w:cs="Arial"/>
                <w:sz w:val="16"/>
                <w:szCs w:val="16"/>
                <w:lang w:eastAsia="fr-FR"/>
              </w:rPr>
            </w:pPr>
            <w:r>
              <w:rPr>
                <w:rFonts w:cs="Arial"/>
                <w:sz w:val="16"/>
                <w:szCs w:val="16"/>
                <w:lang w:eastAsia="fr-FR"/>
              </w:rPr>
              <w:t>CLOSE CHANNEL</w:t>
            </w:r>
          </w:p>
          <w:p w14:paraId="037C54B0" w14:textId="77777777" w:rsidR="00B97365" w:rsidRDefault="00000000">
            <w:pPr>
              <w:numPr>
                <w:ilvl w:val="1"/>
                <w:numId w:val="24"/>
              </w:numPr>
              <w:spacing w:line="276" w:lineRule="auto"/>
              <w:rPr>
                <w:rFonts w:cs="Arial"/>
                <w:sz w:val="16"/>
                <w:szCs w:val="16"/>
                <w:lang w:eastAsia="fr-FR"/>
              </w:rPr>
            </w:pPr>
            <w:r>
              <w:rPr>
                <w:rFonts w:cs="Arial"/>
                <w:sz w:val="16"/>
                <w:szCs w:val="16"/>
                <w:lang w:eastAsia="fr-FR"/>
              </w:rPr>
              <w:t>RECEIVE DATA</w:t>
            </w:r>
          </w:p>
          <w:p w14:paraId="53C99DA2" w14:textId="77777777" w:rsidR="00B97365" w:rsidRDefault="00000000">
            <w:pPr>
              <w:numPr>
                <w:ilvl w:val="1"/>
                <w:numId w:val="24"/>
              </w:numPr>
              <w:spacing w:line="276" w:lineRule="auto"/>
              <w:rPr>
                <w:rFonts w:cs="Arial"/>
                <w:sz w:val="16"/>
                <w:szCs w:val="16"/>
                <w:lang w:eastAsia="fr-FR"/>
              </w:rPr>
            </w:pPr>
            <w:r>
              <w:rPr>
                <w:rFonts w:cs="Arial"/>
                <w:sz w:val="16"/>
                <w:szCs w:val="16"/>
                <w:lang w:eastAsia="fr-FR"/>
              </w:rPr>
              <w:t>SEND DATA</w:t>
            </w:r>
          </w:p>
          <w:p w14:paraId="78B12471" w14:textId="77777777" w:rsidR="00B97365" w:rsidRDefault="00000000">
            <w:pPr>
              <w:numPr>
                <w:ilvl w:val="1"/>
                <w:numId w:val="24"/>
              </w:numPr>
              <w:spacing w:line="276" w:lineRule="auto"/>
              <w:rPr>
                <w:rFonts w:cs="Arial"/>
                <w:sz w:val="16"/>
                <w:szCs w:val="16"/>
                <w:lang w:eastAsia="fr-FR"/>
              </w:rPr>
            </w:pPr>
            <w:r>
              <w:rPr>
                <w:rFonts w:cs="Arial"/>
                <w:sz w:val="16"/>
                <w:szCs w:val="16"/>
                <w:lang w:eastAsia="fr-FR"/>
              </w:rPr>
              <w:t>GET CHANNEL STATUS</w:t>
            </w:r>
          </w:p>
          <w:p w14:paraId="3ED00607" w14:textId="77777777" w:rsidR="00B97365" w:rsidRDefault="00000000">
            <w:pPr>
              <w:numPr>
                <w:ilvl w:val="1"/>
                <w:numId w:val="24"/>
              </w:numPr>
              <w:spacing w:line="276" w:lineRule="auto"/>
              <w:rPr>
                <w:rFonts w:cs="Arial"/>
                <w:sz w:val="16"/>
                <w:szCs w:val="16"/>
                <w:lang w:eastAsia="fr-FR"/>
              </w:rPr>
            </w:pPr>
            <w:r>
              <w:rPr>
                <w:rFonts w:cs="Arial"/>
                <w:sz w:val="16"/>
                <w:szCs w:val="16"/>
                <w:lang w:eastAsia="fr-FR"/>
              </w:rPr>
              <w:t>ENVELOPE (EVENT DOWNLOAD - Data available)</w:t>
            </w:r>
          </w:p>
          <w:p w14:paraId="4D840180" w14:textId="77777777" w:rsidR="00B97365" w:rsidRDefault="00000000">
            <w:pPr>
              <w:numPr>
                <w:ilvl w:val="1"/>
                <w:numId w:val="24"/>
              </w:numPr>
              <w:spacing w:line="276" w:lineRule="auto"/>
              <w:rPr>
                <w:rFonts w:cs="Arial"/>
                <w:sz w:val="16"/>
                <w:szCs w:val="16"/>
                <w:lang w:eastAsia="fr-FR"/>
              </w:rPr>
            </w:pPr>
            <w:r>
              <w:rPr>
                <w:rFonts w:cs="Arial"/>
                <w:sz w:val="16"/>
                <w:szCs w:val="16"/>
                <w:lang w:eastAsia="fr-FR"/>
              </w:rPr>
              <w:t>ENVELOPE (EVENT DOWNLOAD – Channel status)</w:t>
            </w:r>
          </w:p>
          <w:p w14:paraId="5C3A65DD" w14:textId="77777777" w:rsidR="00B97365" w:rsidRDefault="00B97365">
            <w:pPr>
              <w:ind w:left="1080"/>
              <w:rPr>
                <w:rFonts w:cs="Arial"/>
                <w:sz w:val="16"/>
                <w:szCs w:val="16"/>
              </w:rPr>
            </w:pPr>
          </w:p>
        </w:tc>
      </w:tr>
      <w:tr w:rsidR="00B97365" w14:paraId="77A79E90" w14:textId="77777777">
        <w:trPr>
          <w:trHeight w:val="358"/>
          <w:jc w:val="center"/>
        </w:trPr>
        <w:tc>
          <w:tcPr>
            <w:tcW w:w="0" w:type="auto"/>
            <w:tcBorders>
              <w:top w:val="single" w:sz="6" w:space="0" w:color="auto"/>
              <w:left w:val="single" w:sz="4" w:space="0" w:color="auto"/>
              <w:bottom w:val="single" w:sz="6" w:space="0" w:color="auto"/>
              <w:right w:val="single" w:sz="6" w:space="0" w:color="auto"/>
            </w:tcBorders>
            <w:hideMark/>
          </w:tcPr>
          <w:p w14:paraId="2F553E6B"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DEV5</w:t>
            </w:r>
          </w:p>
        </w:tc>
        <w:tc>
          <w:tcPr>
            <w:tcW w:w="0" w:type="auto"/>
            <w:tcBorders>
              <w:top w:val="single" w:sz="6" w:space="0" w:color="auto"/>
              <w:left w:val="single" w:sz="6" w:space="0" w:color="auto"/>
              <w:bottom w:val="single" w:sz="6" w:space="0" w:color="auto"/>
              <w:right w:val="single" w:sz="4" w:space="0" w:color="auto"/>
            </w:tcBorders>
          </w:tcPr>
          <w:p w14:paraId="74485FB7" w14:textId="027EAEEB" w:rsidR="00B97365" w:rsidRDefault="00000000">
            <w:pPr>
              <w:spacing w:after="120" w:line="276" w:lineRule="auto"/>
              <w:rPr>
                <w:rFonts w:cs="Arial"/>
                <w:b/>
                <w:i/>
                <w:sz w:val="16"/>
                <w:szCs w:val="16"/>
              </w:rPr>
            </w:pPr>
            <w:r>
              <w:rPr>
                <w:rFonts w:cs="Arial"/>
                <w:sz w:val="16"/>
                <w:szCs w:val="16"/>
              </w:rPr>
              <w:t xml:space="preserve">The Device SHALL contain a unique IMEI (International Mobile Equipment Identity) value compliant with the format defined in ETSI TS 123 003 </w:t>
            </w:r>
            <w:r>
              <w:fldChar w:fldCharType="begin"/>
            </w:r>
            <w:r>
              <w:rPr>
                <w:rFonts w:cs="Arial"/>
                <w:sz w:val="16"/>
                <w:szCs w:val="16"/>
              </w:rPr>
              <w:instrText xml:space="preserve"> REF _Ref421635720 \r \h </w:instrText>
            </w:r>
            <w:r>
              <w:fldChar w:fldCharType="separate"/>
            </w:r>
            <w:r w:rsidR="001D5AD9">
              <w:rPr>
                <w:rFonts w:cs="Arial"/>
                <w:sz w:val="16"/>
                <w:szCs w:val="16"/>
              </w:rPr>
              <w:t>[31]</w:t>
            </w:r>
            <w:r>
              <w:fldChar w:fldCharType="end"/>
            </w:r>
            <w:r>
              <w:rPr>
                <w:rFonts w:cs="Arial"/>
                <w:sz w:val="16"/>
                <w:szCs w:val="16"/>
              </w:rPr>
              <w:t>.</w:t>
            </w:r>
          </w:p>
          <w:p w14:paraId="178CEF50" w14:textId="67D3BA08" w:rsidR="00B97365" w:rsidRDefault="00000000">
            <w:pPr>
              <w:rPr>
                <w:rFonts w:cs="Arial"/>
                <w:sz w:val="16"/>
                <w:szCs w:val="16"/>
              </w:rPr>
            </w:pPr>
            <w:r>
              <w:rPr>
                <w:rFonts w:cs="Arial"/>
                <w:sz w:val="16"/>
                <w:szCs w:val="16"/>
              </w:rPr>
              <w:t xml:space="preserve">The value of IMEI SHALL be directly copied from </w:t>
            </w:r>
            <w:r>
              <w:rPr>
                <w:rFonts w:cs="Arial"/>
                <w:sz w:val="16"/>
                <w:szCs w:val="16"/>
                <w:lang w:eastAsia="fr-FR"/>
              </w:rPr>
              <w:t>TERMINAL RESPONSE</w:t>
            </w:r>
            <w:r>
              <w:rPr>
                <w:rFonts w:cs="Arial"/>
                <w:sz w:val="16"/>
                <w:szCs w:val="16"/>
              </w:rPr>
              <w:t xml:space="preserve"> of the Provide Local Information command (see ETSI TS 102 223 </w:t>
            </w:r>
            <w:r>
              <w:fldChar w:fldCharType="begin"/>
            </w:r>
            <w:r>
              <w:rPr>
                <w:rFonts w:cs="Arial"/>
                <w:sz w:val="16"/>
                <w:szCs w:val="16"/>
              </w:rPr>
              <w:instrText xml:space="preserve"> REF _Ref421633137 \r \h </w:instrText>
            </w:r>
            <w:r>
              <w:fldChar w:fldCharType="separate"/>
            </w:r>
            <w:r w:rsidR="001D5AD9">
              <w:rPr>
                <w:rFonts w:cs="Arial"/>
                <w:sz w:val="16"/>
                <w:szCs w:val="16"/>
              </w:rPr>
              <w:t>[3]</w:t>
            </w:r>
            <w:r>
              <w:fldChar w:fldCharType="end"/>
            </w:r>
            <w:r>
              <w:rPr>
                <w:rFonts w:cs="Arial"/>
                <w:sz w:val="16"/>
                <w:szCs w:val="16"/>
              </w:rPr>
              <w:t xml:space="preserve"> and ETSI TS 124 008</w:t>
            </w:r>
            <w:r>
              <w:fldChar w:fldCharType="begin"/>
            </w:r>
            <w:r>
              <w:rPr>
                <w:rFonts w:cs="Arial"/>
                <w:sz w:val="16"/>
                <w:szCs w:val="16"/>
              </w:rPr>
              <w:instrText xml:space="preserve"> REF _Ref421635546 \r \h </w:instrText>
            </w:r>
            <w:r>
              <w:fldChar w:fldCharType="separate"/>
            </w:r>
            <w:r w:rsidR="001D5AD9">
              <w:rPr>
                <w:rFonts w:cs="Arial"/>
                <w:sz w:val="16"/>
                <w:szCs w:val="16"/>
              </w:rPr>
              <w:t>[20]</w:t>
            </w:r>
            <w:r>
              <w:fldChar w:fldCharType="end"/>
            </w:r>
            <w:r>
              <w:rPr>
                <w:rFonts w:cs="Arial"/>
                <w:sz w:val="16"/>
                <w:szCs w:val="16"/>
              </w:rPr>
              <w:t>).</w:t>
            </w:r>
          </w:p>
          <w:p w14:paraId="14C57F0C" w14:textId="77777777" w:rsidR="00B97365" w:rsidRDefault="00B97365">
            <w:pPr>
              <w:rPr>
                <w:rFonts w:cs="Arial"/>
                <w:sz w:val="16"/>
                <w:szCs w:val="16"/>
              </w:rPr>
            </w:pPr>
          </w:p>
        </w:tc>
      </w:tr>
      <w:tr w:rsidR="00B97365" w14:paraId="6203F80E" w14:textId="77777777">
        <w:trPr>
          <w:trHeight w:val="358"/>
          <w:jc w:val="center"/>
        </w:trPr>
        <w:tc>
          <w:tcPr>
            <w:tcW w:w="0" w:type="auto"/>
            <w:tcBorders>
              <w:top w:val="single" w:sz="6" w:space="0" w:color="auto"/>
              <w:left w:val="single" w:sz="4" w:space="0" w:color="auto"/>
              <w:bottom w:val="single" w:sz="6" w:space="0" w:color="auto"/>
              <w:right w:val="single" w:sz="6" w:space="0" w:color="auto"/>
            </w:tcBorders>
            <w:hideMark/>
          </w:tcPr>
          <w:p w14:paraId="747AE4C8"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DEV6</w:t>
            </w:r>
          </w:p>
        </w:tc>
        <w:tc>
          <w:tcPr>
            <w:tcW w:w="0" w:type="auto"/>
            <w:tcBorders>
              <w:top w:val="single" w:sz="6" w:space="0" w:color="auto"/>
              <w:left w:val="single" w:sz="6" w:space="0" w:color="auto"/>
              <w:bottom w:val="single" w:sz="6" w:space="0" w:color="auto"/>
              <w:right w:val="single" w:sz="4" w:space="0" w:color="auto"/>
            </w:tcBorders>
          </w:tcPr>
          <w:p w14:paraId="29A7D135" w14:textId="61E11245" w:rsidR="00B97365" w:rsidRDefault="00000000">
            <w:pPr>
              <w:numPr>
                <w:ilvl w:val="0"/>
                <w:numId w:val="25"/>
              </w:numPr>
              <w:spacing w:after="120" w:line="276" w:lineRule="auto"/>
              <w:rPr>
                <w:rFonts w:cs="Arial"/>
                <w:sz w:val="16"/>
                <w:szCs w:val="16"/>
                <w:lang w:eastAsia="fr-FR"/>
              </w:rPr>
            </w:pPr>
            <w:r>
              <w:rPr>
                <w:rFonts w:cs="Arial"/>
                <w:sz w:val="16"/>
                <w:szCs w:val="16"/>
              </w:rPr>
              <w:t>The Device SHALL support, as a minimum, the following</w:t>
            </w:r>
            <w:r>
              <w:rPr>
                <w:rFonts w:cs="Arial"/>
                <w:sz w:val="16"/>
                <w:szCs w:val="16"/>
                <w:lang w:eastAsia="fr-FR"/>
              </w:rPr>
              <w:t xml:space="preserve"> set of commands  (in addition to BIP commands) as defined in </w:t>
            </w:r>
            <w:r>
              <w:rPr>
                <w:rFonts w:cs="Arial"/>
                <w:sz w:val="16"/>
                <w:szCs w:val="16"/>
              </w:rPr>
              <w:t xml:space="preserve">ETSI TS 102 223 </w:t>
            </w:r>
            <w:r>
              <w:fldChar w:fldCharType="begin"/>
            </w:r>
            <w:r>
              <w:rPr>
                <w:rFonts w:cs="Arial"/>
                <w:sz w:val="16"/>
                <w:szCs w:val="16"/>
              </w:rPr>
              <w:instrText xml:space="preserve"> REF _Ref421633137 \r \h </w:instrText>
            </w:r>
            <w:r>
              <w:fldChar w:fldCharType="separate"/>
            </w:r>
            <w:r w:rsidR="001D5AD9">
              <w:rPr>
                <w:rFonts w:cs="Arial"/>
                <w:sz w:val="16"/>
                <w:szCs w:val="16"/>
              </w:rPr>
              <w:t>[3]</w:t>
            </w:r>
            <w:r>
              <w:fldChar w:fldCharType="end"/>
            </w:r>
            <w:r>
              <w:rPr>
                <w:rFonts w:cs="Arial"/>
                <w:sz w:val="16"/>
                <w:szCs w:val="16"/>
              </w:rPr>
              <w:t xml:space="preserve"> and 3GPP TS 31.111 </w:t>
            </w:r>
            <w:r>
              <w:fldChar w:fldCharType="begin"/>
            </w:r>
            <w:r>
              <w:rPr>
                <w:rFonts w:cs="Arial"/>
                <w:sz w:val="16"/>
                <w:szCs w:val="16"/>
              </w:rPr>
              <w:instrText xml:space="preserve"> REF _Ref421632318 \r \h </w:instrText>
            </w:r>
            <w:r>
              <w:fldChar w:fldCharType="separate"/>
            </w:r>
            <w:r w:rsidR="001D5AD9">
              <w:rPr>
                <w:rFonts w:cs="Arial"/>
                <w:sz w:val="16"/>
                <w:szCs w:val="16"/>
              </w:rPr>
              <w:t>[27]</w:t>
            </w:r>
            <w:r>
              <w:fldChar w:fldCharType="end"/>
            </w:r>
            <w:r>
              <w:rPr>
                <w:rFonts w:cs="Arial"/>
                <w:sz w:val="16"/>
                <w:szCs w:val="16"/>
              </w:rPr>
              <w:t xml:space="preserve">. </w:t>
            </w:r>
            <w:r>
              <w:rPr>
                <w:rFonts w:cs="Arial"/>
                <w:sz w:val="16"/>
                <w:szCs w:val="16"/>
                <w:lang w:eastAsia="fr-FR"/>
              </w:rPr>
              <w:t>Basic SAT commands (TERMINAL PROFILE, FETCH, TERMINAL RESPONSE)</w:t>
            </w:r>
          </w:p>
          <w:p w14:paraId="26119E2B" w14:textId="77777777" w:rsidR="00B97365" w:rsidRDefault="00000000">
            <w:pPr>
              <w:numPr>
                <w:ilvl w:val="0"/>
                <w:numId w:val="25"/>
              </w:numPr>
              <w:spacing w:line="276" w:lineRule="auto"/>
              <w:rPr>
                <w:rFonts w:cs="Arial"/>
                <w:sz w:val="16"/>
                <w:szCs w:val="16"/>
                <w:lang w:eastAsia="fr-FR"/>
              </w:rPr>
            </w:pPr>
            <w:r>
              <w:rPr>
                <w:rFonts w:cs="Arial"/>
                <w:sz w:val="16"/>
                <w:szCs w:val="16"/>
                <w:lang w:eastAsia="fr-FR"/>
              </w:rPr>
              <w:t>PROVIDE LOCAL INFORMATION (location information, IMEI, NMR, date and time, access technology, at least)</w:t>
            </w:r>
          </w:p>
          <w:p w14:paraId="0CEDAF24" w14:textId="77777777" w:rsidR="00B97365" w:rsidRDefault="00000000">
            <w:pPr>
              <w:numPr>
                <w:ilvl w:val="0"/>
                <w:numId w:val="25"/>
              </w:numPr>
              <w:spacing w:line="276" w:lineRule="auto"/>
              <w:rPr>
                <w:rFonts w:cs="Arial"/>
                <w:sz w:val="16"/>
                <w:szCs w:val="16"/>
                <w:lang w:eastAsia="fr-FR"/>
              </w:rPr>
            </w:pPr>
            <w:r>
              <w:rPr>
                <w:rFonts w:cs="Arial"/>
                <w:sz w:val="16"/>
                <w:szCs w:val="16"/>
                <w:lang w:eastAsia="fr-FR"/>
              </w:rPr>
              <w:lastRenderedPageBreak/>
              <w:t>SEND SHORT MESSAGE</w:t>
            </w:r>
          </w:p>
          <w:p w14:paraId="1564B18D" w14:textId="77777777" w:rsidR="00B97365" w:rsidRDefault="00000000">
            <w:pPr>
              <w:numPr>
                <w:ilvl w:val="0"/>
                <w:numId w:val="25"/>
              </w:numPr>
              <w:spacing w:line="276" w:lineRule="auto"/>
              <w:rPr>
                <w:rFonts w:cs="Arial"/>
                <w:sz w:val="16"/>
                <w:szCs w:val="16"/>
                <w:lang w:eastAsia="fr-FR"/>
              </w:rPr>
            </w:pPr>
            <w:r>
              <w:rPr>
                <w:rFonts w:cs="Arial"/>
                <w:sz w:val="16"/>
                <w:szCs w:val="16"/>
                <w:lang w:eastAsia="fr-FR"/>
              </w:rPr>
              <w:t>POLL INTERVAL, POLLING OFF, TIMER MANAGEMENT [at least one timer], ENVELOPE (TIMER EXPIRATION)</w:t>
            </w:r>
          </w:p>
          <w:p w14:paraId="52FC2DE9" w14:textId="77777777" w:rsidR="00B97365" w:rsidRDefault="00000000">
            <w:pPr>
              <w:numPr>
                <w:ilvl w:val="0"/>
                <w:numId w:val="25"/>
              </w:numPr>
              <w:spacing w:line="276" w:lineRule="auto"/>
              <w:rPr>
                <w:rFonts w:cs="Arial"/>
                <w:sz w:val="16"/>
                <w:szCs w:val="16"/>
              </w:rPr>
            </w:pPr>
            <w:r>
              <w:rPr>
                <w:rFonts w:cs="Arial"/>
                <w:sz w:val="16"/>
                <w:szCs w:val="16"/>
                <w:lang w:eastAsia="fr-FR"/>
              </w:rPr>
              <w:t xml:space="preserve">SET UP EVENT LIST and ENVELOPE (EVENT DOWNLOAD – location status, call connected, call disconnected, </w:t>
            </w:r>
            <w:r>
              <w:rPr>
                <w:rFonts w:cs="Arial"/>
                <w:sz w:val="16"/>
                <w:szCs w:val="16"/>
              </w:rPr>
              <w:t>Access Technology Changed, Network Rejection</w:t>
            </w:r>
            <w:r>
              <w:rPr>
                <w:rFonts w:cs="Arial"/>
                <w:sz w:val="16"/>
                <w:szCs w:val="16"/>
                <w:lang w:eastAsia="fr-FR"/>
              </w:rPr>
              <w:t>)</w:t>
            </w:r>
          </w:p>
          <w:p w14:paraId="2F7A2C9F" w14:textId="77777777" w:rsidR="00B97365" w:rsidRDefault="00000000">
            <w:pPr>
              <w:numPr>
                <w:ilvl w:val="0"/>
                <w:numId w:val="25"/>
              </w:numPr>
              <w:spacing w:line="276" w:lineRule="auto"/>
              <w:rPr>
                <w:rFonts w:cs="Arial"/>
                <w:sz w:val="16"/>
                <w:szCs w:val="16"/>
                <w:lang w:eastAsia="fr-FR"/>
              </w:rPr>
            </w:pPr>
            <w:r>
              <w:rPr>
                <w:rFonts w:cs="Arial"/>
                <w:sz w:val="16"/>
                <w:szCs w:val="16"/>
                <w:lang w:eastAsia="fr-FR"/>
              </w:rPr>
              <w:t>ENVELOPE (SMS-PP DOWNLOAD)</w:t>
            </w:r>
          </w:p>
          <w:p w14:paraId="7D0E9597" w14:textId="77777777" w:rsidR="00B97365" w:rsidRDefault="00000000">
            <w:pPr>
              <w:numPr>
                <w:ilvl w:val="0"/>
                <w:numId w:val="25"/>
              </w:numPr>
              <w:spacing w:line="276" w:lineRule="auto"/>
              <w:rPr>
                <w:rFonts w:cs="Arial"/>
                <w:sz w:val="16"/>
                <w:szCs w:val="16"/>
                <w:lang w:eastAsia="fr-FR"/>
              </w:rPr>
            </w:pPr>
            <w:r>
              <w:rPr>
                <w:rFonts w:cs="Arial"/>
                <w:sz w:val="16"/>
                <w:szCs w:val="16"/>
                <w:lang w:eastAsia="fr-FR"/>
              </w:rPr>
              <w:t>REFRESH Command (At least mode 4 - “UICC reset”)</w:t>
            </w:r>
          </w:p>
          <w:p w14:paraId="338DCD26" w14:textId="77777777" w:rsidR="00B97365" w:rsidRDefault="00B97365">
            <w:pPr>
              <w:rPr>
                <w:rFonts w:cs="Arial"/>
                <w:sz w:val="16"/>
                <w:szCs w:val="16"/>
              </w:rPr>
            </w:pPr>
          </w:p>
        </w:tc>
      </w:tr>
      <w:tr w:rsidR="00B97365" w14:paraId="490D266A" w14:textId="77777777">
        <w:trPr>
          <w:trHeight w:val="358"/>
          <w:jc w:val="center"/>
        </w:trPr>
        <w:tc>
          <w:tcPr>
            <w:tcW w:w="0" w:type="auto"/>
            <w:tcBorders>
              <w:top w:val="single" w:sz="6" w:space="0" w:color="auto"/>
              <w:left w:val="single" w:sz="4" w:space="0" w:color="auto"/>
              <w:bottom w:val="single" w:sz="6" w:space="0" w:color="auto"/>
              <w:right w:val="single" w:sz="6" w:space="0" w:color="auto"/>
            </w:tcBorders>
            <w:hideMark/>
          </w:tcPr>
          <w:p w14:paraId="4D501557"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lastRenderedPageBreak/>
              <w:t>DEV7</w:t>
            </w:r>
          </w:p>
        </w:tc>
        <w:tc>
          <w:tcPr>
            <w:tcW w:w="0" w:type="auto"/>
            <w:tcBorders>
              <w:top w:val="single" w:sz="6" w:space="0" w:color="auto"/>
              <w:left w:val="single" w:sz="6" w:space="0" w:color="auto"/>
              <w:bottom w:val="single" w:sz="6" w:space="0" w:color="auto"/>
              <w:right w:val="single" w:sz="4" w:space="0" w:color="auto"/>
            </w:tcBorders>
          </w:tcPr>
          <w:p w14:paraId="144F85CC" w14:textId="582A0C04" w:rsidR="00B97365" w:rsidRDefault="00000000">
            <w:pPr>
              <w:spacing w:after="120" w:line="276" w:lineRule="auto"/>
              <w:rPr>
                <w:rFonts w:cs="Arial"/>
                <w:sz w:val="16"/>
                <w:szCs w:val="16"/>
              </w:rPr>
            </w:pPr>
            <w:r>
              <w:rPr>
                <w:rFonts w:cs="Arial"/>
                <w:sz w:val="16"/>
                <w:szCs w:val="16"/>
              </w:rPr>
              <w:t xml:space="preserve">The Device SHALL comply with the GSMA-EICTA document “Security Principles Related to Handset Theft” </w:t>
            </w:r>
            <w:r>
              <w:fldChar w:fldCharType="begin"/>
            </w:r>
            <w:r>
              <w:rPr>
                <w:rFonts w:cs="Arial"/>
                <w:sz w:val="16"/>
                <w:szCs w:val="16"/>
              </w:rPr>
              <w:instrText xml:space="preserve"> REF _Ref421635803 \r \h </w:instrText>
            </w:r>
            <w:r>
              <w:fldChar w:fldCharType="separate"/>
            </w:r>
            <w:r w:rsidR="001D5AD9">
              <w:rPr>
                <w:rFonts w:cs="Arial"/>
                <w:sz w:val="16"/>
                <w:szCs w:val="16"/>
              </w:rPr>
              <w:t>[30]</w:t>
            </w:r>
            <w:r>
              <w:fldChar w:fldCharType="end"/>
            </w:r>
          </w:p>
          <w:p w14:paraId="49CC98C2" w14:textId="77777777" w:rsidR="00B97365" w:rsidRDefault="00B97365">
            <w:pPr>
              <w:rPr>
                <w:rFonts w:cs="Arial"/>
                <w:sz w:val="16"/>
                <w:szCs w:val="16"/>
              </w:rPr>
            </w:pPr>
          </w:p>
        </w:tc>
      </w:tr>
      <w:tr w:rsidR="00B97365" w14:paraId="0F4515B5" w14:textId="77777777">
        <w:trPr>
          <w:trHeight w:val="358"/>
          <w:jc w:val="center"/>
        </w:trPr>
        <w:tc>
          <w:tcPr>
            <w:tcW w:w="0" w:type="auto"/>
            <w:tcBorders>
              <w:top w:val="single" w:sz="6" w:space="0" w:color="auto"/>
              <w:left w:val="single" w:sz="4" w:space="0" w:color="auto"/>
              <w:bottom w:val="single" w:sz="6" w:space="0" w:color="auto"/>
              <w:right w:val="single" w:sz="6" w:space="0" w:color="auto"/>
            </w:tcBorders>
            <w:hideMark/>
          </w:tcPr>
          <w:p w14:paraId="1887857B"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DEV8</w:t>
            </w:r>
          </w:p>
        </w:tc>
        <w:tc>
          <w:tcPr>
            <w:tcW w:w="0" w:type="auto"/>
            <w:tcBorders>
              <w:top w:val="single" w:sz="6" w:space="0" w:color="auto"/>
              <w:left w:val="single" w:sz="6" w:space="0" w:color="auto"/>
              <w:bottom w:val="single" w:sz="6" w:space="0" w:color="auto"/>
              <w:right w:val="single" w:sz="4" w:space="0" w:color="auto"/>
            </w:tcBorders>
          </w:tcPr>
          <w:p w14:paraId="2218726A" w14:textId="7D51D193" w:rsidR="00B97365" w:rsidRDefault="00000000">
            <w:pPr>
              <w:spacing w:after="120" w:line="276" w:lineRule="auto"/>
              <w:rPr>
                <w:rFonts w:cs="Arial"/>
                <w:sz w:val="16"/>
                <w:szCs w:val="16"/>
                <w:lang w:val="en-US"/>
              </w:rPr>
            </w:pPr>
            <w:r>
              <w:rPr>
                <w:rFonts w:cs="Arial"/>
                <w:sz w:val="16"/>
                <w:szCs w:val="16"/>
                <w:lang w:val="en-US"/>
              </w:rPr>
              <w:t xml:space="preserve">The Device MAY retrieve the EID defined in section </w:t>
            </w:r>
            <w:r>
              <w:fldChar w:fldCharType="begin"/>
            </w:r>
            <w:r>
              <w:instrText xml:space="preserve"> REF _Ref367979535 \r \h  \* MERGEFORMAT </w:instrText>
            </w:r>
            <w:r>
              <w:fldChar w:fldCharType="separate"/>
            </w:r>
            <w:r w:rsidR="001D5AD9" w:rsidRPr="001D5AD9">
              <w:rPr>
                <w:rFonts w:cs="Arial"/>
                <w:sz w:val="16"/>
                <w:szCs w:val="16"/>
                <w:lang w:val="en-US"/>
              </w:rPr>
              <w:t>2.2.2</w:t>
            </w:r>
            <w:r>
              <w:fldChar w:fldCharType="end"/>
            </w:r>
            <w:r>
              <w:rPr>
                <w:rFonts w:cs="Arial"/>
                <w:sz w:val="16"/>
                <w:szCs w:val="16"/>
                <w:lang w:val="en-US"/>
              </w:rPr>
              <w:t xml:space="preserve"> of this specification from the eUICC and SHALL support  the following commands as described in </w:t>
            </w:r>
            <w:r>
              <w:fldChar w:fldCharType="begin"/>
            </w:r>
            <w:r>
              <w:rPr>
                <w:rFonts w:cs="Arial"/>
                <w:sz w:val="16"/>
                <w:szCs w:val="16"/>
                <w:lang w:val="en-US"/>
              </w:rPr>
              <w:instrText xml:space="preserve"> REF _Ref421635814 \r \h </w:instrText>
            </w:r>
            <w:r>
              <w:fldChar w:fldCharType="separate"/>
            </w:r>
            <w:r w:rsidR="001D5AD9">
              <w:rPr>
                <w:rFonts w:cs="Arial"/>
                <w:sz w:val="16"/>
                <w:szCs w:val="16"/>
                <w:lang w:val="en-US"/>
              </w:rPr>
              <w:t>[35]</w:t>
            </w:r>
            <w:r>
              <w:fldChar w:fldCharType="end"/>
            </w:r>
            <w:r>
              <w:rPr>
                <w:rFonts w:cs="Arial"/>
                <w:sz w:val="16"/>
                <w:szCs w:val="16"/>
                <w:lang w:val="en-US"/>
              </w:rPr>
              <w:t>:</w:t>
            </w:r>
          </w:p>
          <w:p w14:paraId="1EE9FEDD" w14:textId="77777777" w:rsidR="00B97365" w:rsidRDefault="00B97365">
            <w:pPr>
              <w:rPr>
                <w:rFonts w:cs="Arial"/>
                <w:sz w:val="16"/>
                <w:szCs w:val="16"/>
                <w:lang w:val="en-US"/>
              </w:rPr>
            </w:pPr>
          </w:p>
          <w:p w14:paraId="11E31A29" w14:textId="77777777" w:rsidR="00B97365" w:rsidRDefault="00000000">
            <w:pPr>
              <w:numPr>
                <w:ilvl w:val="0"/>
                <w:numId w:val="26"/>
              </w:numPr>
              <w:spacing w:line="276" w:lineRule="auto"/>
              <w:rPr>
                <w:rFonts w:cs="Arial"/>
                <w:sz w:val="16"/>
                <w:szCs w:val="16"/>
                <w:lang w:val="en-US"/>
              </w:rPr>
            </w:pPr>
            <w:r>
              <w:rPr>
                <w:rFonts w:cs="Arial"/>
                <w:sz w:val="16"/>
                <w:szCs w:val="16"/>
                <w:lang w:val="en-US"/>
              </w:rPr>
              <w:t>AT+CCHO (Open Logical Channel)</w:t>
            </w:r>
          </w:p>
          <w:p w14:paraId="506F615F" w14:textId="77777777" w:rsidR="00B97365" w:rsidRDefault="00000000">
            <w:pPr>
              <w:numPr>
                <w:ilvl w:val="0"/>
                <w:numId w:val="26"/>
              </w:numPr>
              <w:spacing w:line="276" w:lineRule="auto"/>
              <w:rPr>
                <w:rFonts w:cs="Arial"/>
                <w:sz w:val="16"/>
                <w:szCs w:val="16"/>
                <w:lang w:val="en-US"/>
              </w:rPr>
            </w:pPr>
            <w:r>
              <w:rPr>
                <w:rFonts w:cs="Arial"/>
                <w:sz w:val="16"/>
                <w:szCs w:val="16"/>
                <w:lang w:val="en-US"/>
              </w:rPr>
              <w:t>AT+CCHC (Close Logical Channel)</w:t>
            </w:r>
          </w:p>
          <w:p w14:paraId="5BF7687B" w14:textId="77777777" w:rsidR="00B97365" w:rsidRDefault="00000000">
            <w:pPr>
              <w:numPr>
                <w:ilvl w:val="0"/>
                <w:numId w:val="26"/>
              </w:numPr>
              <w:spacing w:line="276" w:lineRule="auto"/>
              <w:rPr>
                <w:rFonts w:cs="Arial"/>
                <w:sz w:val="16"/>
                <w:szCs w:val="16"/>
                <w:lang w:val="en-US"/>
              </w:rPr>
            </w:pPr>
            <w:r>
              <w:rPr>
                <w:rFonts w:cs="Arial"/>
                <w:sz w:val="16"/>
                <w:szCs w:val="16"/>
                <w:lang w:val="en-US"/>
              </w:rPr>
              <w:t>AT+CGLA (Generic UICC Logical Channel Access)</w:t>
            </w:r>
          </w:p>
          <w:p w14:paraId="3D7010E6" w14:textId="77777777" w:rsidR="00B97365" w:rsidRDefault="00B97365">
            <w:pPr>
              <w:rPr>
                <w:rFonts w:cs="Arial"/>
                <w:sz w:val="16"/>
                <w:szCs w:val="16"/>
              </w:rPr>
            </w:pPr>
          </w:p>
        </w:tc>
      </w:tr>
      <w:tr w:rsidR="00B97365" w14:paraId="29894304" w14:textId="77777777">
        <w:trPr>
          <w:trHeight w:val="358"/>
          <w:jc w:val="center"/>
        </w:trPr>
        <w:tc>
          <w:tcPr>
            <w:tcW w:w="0" w:type="auto"/>
            <w:tcBorders>
              <w:top w:val="single" w:sz="6" w:space="0" w:color="auto"/>
              <w:left w:val="single" w:sz="4" w:space="0" w:color="auto"/>
              <w:bottom w:val="single" w:sz="4" w:space="0" w:color="auto"/>
              <w:right w:val="single" w:sz="6" w:space="0" w:color="auto"/>
            </w:tcBorders>
            <w:hideMark/>
          </w:tcPr>
          <w:p w14:paraId="685E8589" w14:textId="77777777" w:rsidR="00B97365" w:rsidRDefault="00000000">
            <w:pPr>
              <w:autoSpaceDE w:val="0"/>
              <w:autoSpaceDN w:val="0"/>
              <w:adjustRightInd w:val="0"/>
              <w:spacing w:after="120" w:line="276" w:lineRule="auto"/>
              <w:jc w:val="left"/>
              <w:rPr>
                <w:rFonts w:eastAsia="MS Mincho" w:cs="Arial"/>
                <w:color w:val="000000"/>
                <w:sz w:val="16"/>
                <w:szCs w:val="16"/>
                <w:lang w:eastAsia="ja-JP" w:bidi="ar-SA"/>
              </w:rPr>
            </w:pPr>
            <w:r>
              <w:rPr>
                <w:rFonts w:eastAsia="MS Mincho" w:cs="Arial"/>
                <w:color w:val="000000"/>
                <w:sz w:val="16"/>
                <w:szCs w:val="16"/>
                <w:lang w:eastAsia="ja-JP" w:bidi="ar-SA"/>
              </w:rPr>
              <w:t xml:space="preserve">DEV9 </w:t>
            </w:r>
          </w:p>
        </w:tc>
        <w:tc>
          <w:tcPr>
            <w:tcW w:w="0" w:type="auto"/>
            <w:tcBorders>
              <w:top w:val="single" w:sz="6" w:space="0" w:color="auto"/>
              <w:left w:val="single" w:sz="6" w:space="0" w:color="auto"/>
              <w:bottom w:val="single" w:sz="4" w:space="0" w:color="auto"/>
              <w:right w:val="single" w:sz="4" w:space="0" w:color="auto"/>
            </w:tcBorders>
          </w:tcPr>
          <w:p w14:paraId="0D35CF3C" w14:textId="63E501E7" w:rsidR="00B97365" w:rsidRDefault="00000000">
            <w:pPr>
              <w:spacing w:after="120" w:line="276" w:lineRule="auto"/>
              <w:rPr>
                <w:rFonts w:eastAsia="MS Mincho" w:cs="Arial"/>
                <w:color w:val="000000"/>
                <w:sz w:val="16"/>
                <w:szCs w:val="16"/>
                <w:lang w:eastAsia="ja-JP"/>
              </w:rPr>
            </w:pPr>
            <w:r>
              <w:rPr>
                <w:rFonts w:eastAsia="MS Mincho" w:cs="Arial"/>
                <w:color w:val="000000"/>
                <w:sz w:val="16"/>
                <w:szCs w:val="16"/>
                <w:lang w:eastAsia="ja-JP"/>
              </w:rPr>
              <w:t xml:space="preserve">The Device SHALL support from the  </w:t>
            </w:r>
            <w:r>
              <w:fldChar w:fldCharType="begin"/>
            </w:r>
            <w:r>
              <w:rPr>
                <w:rFonts w:eastAsia="MS Mincho" w:cs="Arial"/>
                <w:color w:val="000000"/>
                <w:sz w:val="16"/>
                <w:szCs w:val="16"/>
                <w:lang w:eastAsia="ja-JP"/>
              </w:rPr>
              <w:instrText xml:space="preserve"> REF _Ref421635814 \r \h </w:instrText>
            </w:r>
            <w:r>
              <w:fldChar w:fldCharType="separate"/>
            </w:r>
            <w:r w:rsidR="001D5AD9">
              <w:rPr>
                <w:rFonts w:eastAsia="MS Mincho" w:cs="Arial"/>
                <w:color w:val="000000"/>
                <w:sz w:val="16"/>
                <w:szCs w:val="16"/>
                <w:lang w:eastAsia="ja-JP"/>
              </w:rPr>
              <w:t>[35]</w:t>
            </w:r>
            <w:r>
              <w:fldChar w:fldCharType="end"/>
            </w:r>
            <w:r>
              <w:rPr>
                <w:rFonts w:eastAsia="MS Mincho" w:cs="Arial"/>
                <w:color w:val="000000"/>
                <w:sz w:val="16"/>
                <w:szCs w:val="16"/>
                <w:lang w:eastAsia="ja-JP"/>
              </w:rPr>
              <w:t xml:space="preserve"> the following commands for all generic purposes:</w:t>
            </w:r>
          </w:p>
          <w:p w14:paraId="645BEAF0" w14:textId="77777777" w:rsidR="00B97365" w:rsidRDefault="00B97365">
            <w:pPr>
              <w:rPr>
                <w:rFonts w:eastAsia="MS Mincho" w:cs="Arial"/>
                <w:color w:val="000000"/>
                <w:sz w:val="16"/>
                <w:szCs w:val="16"/>
                <w:lang w:eastAsia="ja-JP"/>
              </w:rPr>
            </w:pPr>
          </w:p>
          <w:p w14:paraId="3550F798" w14:textId="77777777" w:rsidR="00B97365" w:rsidRDefault="00000000">
            <w:pPr>
              <w:numPr>
                <w:ilvl w:val="0"/>
                <w:numId w:val="26"/>
              </w:numPr>
              <w:spacing w:line="276" w:lineRule="auto"/>
              <w:rPr>
                <w:rFonts w:eastAsia="MS Mincho" w:cs="Arial"/>
                <w:color w:val="000000"/>
                <w:sz w:val="16"/>
                <w:szCs w:val="16"/>
                <w:lang w:eastAsia="ja-JP"/>
              </w:rPr>
            </w:pPr>
            <w:r>
              <w:rPr>
                <w:rFonts w:eastAsia="MS Mincho" w:cs="Arial"/>
                <w:color w:val="000000"/>
                <w:sz w:val="16"/>
                <w:szCs w:val="16"/>
                <w:lang w:eastAsia="ja-JP"/>
              </w:rPr>
              <w:t>AT+CRSM (Restricted SIM access)</w:t>
            </w:r>
          </w:p>
          <w:p w14:paraId="7E37461A" w14:textId="77777777" w:rsidR="00B97365" w:rsidRDefault="00B97365">
            <w:pPr>
              <w:rPr>
                <w:rFonts w:cs="Arial"/>
                <w:sz w:val="16"/>
                <w:szCs w:val="16"/>
              </w:rPr>
            </w:pPr>
          </w:p>
        </w:tc>
      </w:tr>
    </w:tbl>
    <w:p w14:paraId="11DCB5C4" w14:textId="77777777" w:rsidR="00B97365" w:rsidRDefault="00000000">
      <w:pPr>
        <w:keepNext/>
        <w:keepLines/>
        <w:numPr>
          <w:ilvl w:val="0"/>
          <w:numId w:val="36"/>
        </w:numPr>
        <w:spacing w:before="360" w:after="60" w:line="276" w:lineRule="auto"/>
        <w:jc w:val="left"/>
        <w:outlineLvl w:val="0"/>
        <w:rPr>
          <w:b/>
          <w:sz w:val="28"/>
          <w:lang w:eastAsia="en-US"/>
        </w:rPr>
      </w:pPr>
      <w:bookmarkStart w:id="12032" w:name="_Toc368932526"/>
      <w:bookmarkStart w:id="12033" w:name="_Toc358619645"/>
      <w:bookmarkStart w:id="12034" w:name="_Toc448998380"/>
      <w:bookmarkStart w:id="12035" w:name="_Toc422150950"/>
      <w:bookmarkStart w:id="12036" w:name="_Toc421874535"/>
      <w:bookmarkStart w:id="12037" w:name="_Toc420595154"/>
      <w:bookmarkStart w:id="12038" w:name="_Toc398215105"/>
      <w:bookmarkStart w:id="12039" w:name="_Toc375158521"/>
      <w:bookmarkStart w:id="12040" w:name="_Toc374348683"/>
      <w:bookmarkStart w:id="12041" w:name="_Ref471403552"/>
      <w:bookmarkStart w:id="12042" w:name="_Ref471403881"/>
      <w:bookmarkStart w:id="12043" w:name="_Ref471403888"/>
      <w:bookmarkStart w:id="12044" w:name="_Toc486332997"/>
      <w:bookmarkStart w:id="12045" w:name="_Toc1977517"/>
      <w:bookmarkStart w:id="12046" w:name="_Toc37062676"/>
      <w:bookmarkStart w:id="12047" w:name="_Toc88839716"/>
      <w:bookmarkStart w:id="12048" w:name="_Toc121504124"/>
      <w:r>
        <w:rPr>
          <w:b/>
          <w:sz w:val="28"/>
          <w:lang w:eastAsia="en-US"/>
        </w:rPr>
        <w:t>Coding of the PIX for ‘Embedded UICC Remote Provisioning and Management’ (Normative)</w:t>
      </w:r>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p>
    <w:p w14:paraId="5B35D45A" w14:textId="46944889" w:rsidR="00B97365" w:rsidRDefault="00000000">
      <w:pPr>
        <w:spacing w:before="0" w:after="200" w:line="276" w:lineRule="auto"/>
        <w:jc w:val="left"/>
        <w:rPr>
          <w:szCs w:val="22"/>
          <w:lang w:val="en-US" w:eastAsia="en-GB" w:bidi="ar-SA"/>
        </w:rPr>
      </w:pPr>
      <w:r>
        <w:rPr>
          <w:rFonts w:cs="Arial"/>
          <w:szCs w:val="22"/>
          <w:lang w:val="en-US" w:eastAsia="en-GB" w:bidi="ar-SA"/>
        </w:rPr>
        <w:t xml:space="preserve">The following coding of the PIX, following ETSI TS 101 220 </w:t>
      </w:r>
      <w:r>
        <w:fldChar w:fldCharType="begin"/>
      </w:r>
      <w:r>
        <w:rPr>
          <w:szCs w:val="22"/>
          <w:lang w:val="en-US" w:eastAsia="en-GB" w:bidi="ar-SA"/>
        </w:rPr>
        <w:instrText xml:space="preserve"> REF _Ref421631806 \r \h </w:instrText>
      </w:r>
      <w:r>
        <w:fldChar w:fldCharType="separate"/>
      </w:r>
      <w:r w:rsidR="001D5AD9">
        <w:rPr>
          <w:szCs w:val="22"/>
          <w:lang w:val="en-US" w:eastAsia="en-GB" w:bidi="ar-SA"/>
        </w:rPr>
        <w:t>[2]</w:t>
      </w:r>
      <w:r>
        <w:fldChar w:fldCharType="end"/>
      </w:r>
      <w:r>
        <w:rPr>
          <w:szCs w:val="22"/>
          <w:lang w:val="en-US" w:eastAsia="en-GB" w:bidi="ar-SA"/>
        </w:rPr>
        <w:t>, applies for ISD-R, ISD-P and ECASD:</w:t>
      </w:r>
    </w:p>
    <w:p w14:paraId="3B206AB8" w14:textId="77777777" w:rsidR="00B97365" w:rsidRDefault="00B97365">
      <w:pPr>
        <w:ind w:left="284" w:hanging="284"/>
        <w:rPr>
          <w:rFonts w:cs="Arial"/>
          <w:sz w:val="20"/>
        </w:rPr>
      </w:pPr>
    </w:p>
    <w:p w14:paraId="65AAEF81" w14:textId="77777777" w:rsidR="00B97365" w:rsidRDefault="00000000">
      <w:pPr>
        <w:numPr>
          <w:ilvl w:val="0"/>
          <w:numId w:val="28"/>
        </w:numPr>
        <w:spacing w:before="0" w:after="200" w:line="276" w:lineRule="auto"/>
        <w:contextualSpacing/>
        <w:rPr>
          <w:rFonts w:cs="Arial"/>
        </w:rPr>
      </w:pPr>
      <w:r>
        <w:rPr>
          <w:rFonts w:cs="Arial"/>
          <w:b/>
        </w:rPr>
        <w:t>Digits 1 to 4</w:t>
      </w:r>
      <w:r>
        <w:rPr>
          <w:rFonts w:cs="Arial"/>
        </w:rPr>
        <w:t xml:space="preserve"> - Application code for ‘Embedded UICC Remote Provisioning and Subscription Management’</w:t>
      </w:r>
    </w:p>
    <w:p w14:paraId="69B31FD2" w14:textId="77777777" w:rsidR="00B97365" w:rsidRDefault="00000000">
      <w:pPr>
        <w:numPr>
          <w:ilvl w:val="1"/>
          <w:numId w:val="28"/>
        </w:numPr>
        <w:spacing w:before="0" w:after="200" w:line="276" w:lineRule="auto"/>
        <w:jc w:val="left"/>
        <w:rPr>
          <w:rFonts w:cs="Arial"/>
          <w:szCs w:val="22"/>
          <w:lang w:val="en-US" w:eastAsia="en-GB" w:bidi="ar-SA"/>
        </w:rPr>
      </w:pPr>
      <w:r>
        <w:rPr>
          <w:rFonts w:cs="Arial"/>
          <w:szCs w:val="22"/>
          <w:lang w:val="en-US" w:eastAsia="en-GB" w:bidi="ar-SA"/>
        </w:rPr>
        <w:t>Coding:</w:t>
      </w:r>
      <w:r>
        <w:rPr>
          <w:rFonts w:cs="Arial"/>
          <w:szCs w:val="22"/>
          <w:lang w:val="en-US" w:eastAsia="en-GB" w:bidi="ar-SA"/>
        </w:rPr>
        <w:tab/>
        <w:t>Fixed value '10 10'</w:t>
      </w:r>
    </w:p>
    <w:p w14:paraId="17D8B414" w14:textId="77777777" w:rsidR="00B97365" w:rsidRDefault="00B97365">
      <w:pPr>
        <w:ind w:left="284"/>
        <w:rPr>
          <w:rFonts w:cs="Arial"/>
          <w:sz w:val="20"/>
        </w:rPr>
      </w:pPr>
    </w:p>
    <w:p w14:paraId="6F810F3F" w14:textId="77777777" w:rsidR="00B97365" w:rsidRDefault="00000000">
      <w:pPr>
        <w:numPr>
          <w:ilvl w:val="0"/>
          <w:numId w:val="28"/>
        </w:numPr>
        <w:spacing w:before="0" w:after="200" w:line="276" w:lineRule="auto"/>
        <w:contextualSpacing/>
        <w:rPr>
          <w:rFonts w:cs="Arial"/>
        </w:rPr>
      </w:pPr>
      <w:r>
        <w:rPr>
          <w:rFonts w:cs="Arial"/>
          <w:b/>
        </w:rPr>
        <w:t>Digits 5 to 8</w:t>
      </w:r>
      <w:r>
        <w:rPr>
          <w:rFonts w:cs="Arial"/>
        </w:rPr>
        <w:t xml:space="preserve"> - Not used</w:t>
      </w:r>
    </w:p>
    <w:p w14:paraId="4532D5A1" w14:textId="77777777" w:rsidR="00B97365" w:rsidRDefault="00000000">
      <w:pPr>
        <w:numPr>
          <w:ilvl w:val="1"/>
          <w:numId w:val="28"/>
        </w:numPr>
        <w:spacing w:before="0" w:after="200" w:line="276" w:lineRule="auto"/>
        <w:jc w:val="left"/>
        <w:rPr>
          <w:rFonts w:cs="Arial"/>
          <w:szCs w:val="22"/>
          <w:lang w:val="en-US" w:eastAsia="en-GB" w:bidi="ar-SA"/>
        </w:rPr>
      </w:pPr>
      <w:r>
        <w:rPr>
          <w:rFonts w:cs="Arial"/>
          <w:szCs w:val="22"/>
          <w:lang w:val="en-US" w:eastAsia="en-GB" w:bidi="ar-SA"/>
        </w:rPr>
        <w:t>Coding:</w:t>
      </w:r>
      <w:r>
        <w:rPr>
          <w:rFonts w:cs="Arial"/>
          <w:szCs w:val="22"/>
          <w:lang w:val="en-US" w:eastAsia="en-GB" w:bidi="ar-SA"/>
        </w:rPr>
        <w:tab/>
        <w:t>Fixed value 'FF FF'</w:t>
      </w:r>
    </w:p>
    <w:p w14:paraId="4A3A5123" w14:textId="77777777" w:rsidR="00B97365" w:rsidRDefault="00B97365">
      <w:pPr>
        <w:spacing w:before="0" w:after="200" w:line="276" w:lineRule="auto"/>
        <w:ind w:firstLine="284"/>
        <w:jc w:val="left"/>
        <w:rPr>
          <w:rFonts w:cs="Arial"/>
          <w:szCs w:val="22"/>
          <w:lang w:eastAsia="en-GB" w:bidi="ar-SA"/>
        </w:rPr>
      </w:pPr>
    </w:p>
    <w:p w14:paraId="3A4788C7" w14:textId="77777777" w:rsidR="00B97365" w:rsidRDefault="00000000">
      <w:pPr>
        <w:numPr>
          <w:ilvl w:val="0"/>
          <w:numId w:val="29"/>
        </w:numPr>
        <w:spacing w:before="0" w:after="200" w:line="276" w:lineRule="auto"/>
        <w:contextualSpacing/>
        <w:rPr>
          <w:rFonts w:cs="Arial"/>
        </w:rPr>
      </w:pPr>
      <w:r>
        <w:rPr>
          <w:rFonts w:cs="Arial"/>
          <w:b/>
        </w:rPr>
        <w:t>Digits 9 to 14</w:t>
      </w:r>
      <w:r>
        <w:rPr>
          <w:rFonts w:cs="Arial"/>
        </w:rPr>
        <w:t xml:space="preserve"> - Application provider code</w:t>
      </w:r>
    </w:p>
    <w:p w14:paraId="655704B2" w14:textId="77777777" w:rsidR="00B97365" w:rsidRDefault="00000000">
      <w:pPr>
        <w:ind w:left="284" w:hanging="284"/>
        <w:rPr>
          <w:lang w:val="en-US"/>
        </w:rPr>
      </w:pPr>
      <w:r>
        <w:rPr>
          <w:rFonts w:cs="Arial"/>
          <w:sz w:val="20"/>
        </w:rPr>
        <w:object w:dxaOrig="8292" w:dyaOrig="1296" w14:anchorId="60AA5862">
          <v:shape id="_x0000_i1048" type="#_x0000_t75" style="width:420.4pt;height:64.85pt" o:ole="">
            <v:imagedata r:id="rId161" o:title=""/>
          </v:shape>
          <o:OLEObject Type="Embed" ProgID="PowerPoint.Slide.12" ShapeID="_x0000_i1048" DrawAspect="Content" ObjectID="_1738512093" r:id="rId162"/>
        </w:object>
      </w:r>
    </w:p>
    <w:p w14:paraId="565C08AA" w14:textId="77777777" w:rsidR="00B97365" w:rsidRDefault="00B97365">
      <w:pPr>
        <w:spacing w:before="0" w:after="200" w:line="276" w:lineRule="auto"/>
        <w:ind w:firstLine="284"/>
        <w:jc w:val="left"/>
        <w:rPr>
          <w:rFonts w:cs="Arial"/>
          <w:szCs w:val="22"/>
          <w:lang w:eastAsia="en-GB" w:bidi="ar-SA"/>
        </w:rPr>
      </w:pPr>
    </w:p>
    <w:p w14:paraId="23C54018" w14:textId="77777777" w:rsidR="00B97365" w:rsidRDefault="00000000">
      <w:pPr>
        <w:numPr>
          <w:ilvl w:val="0"/>
          <w:numId w:val="29"/>
        </w:numPr>
        <w:spacing w:before="0" w:after="200" w:line="276" w:lineRule="auto"/>
        <w:contextualSpacing/>
        <w:rPr>
          <w:rFonts w:cs="Arial"/>
        </w:rPr>
      </w:pPr>
      <w:r>
        <w:rPr>
          <w:rFonts w:cs="Arial"/>
          <w:b/>
        </w:rPr>
        <w:lastRenderedPageBreak/>
        <w:t>Digits 15 to 22</w:t>
      </w:r>
      <w:r>
        <w:rPr>
          <w:rFonts w:cs="Arial"/>
        </w:rPr>
        <w:t xml:space="preserve"> - Application Provider field 8 hexadecimal digits</w:t>
      </w:r>
    </w:p>
    <w:p w14:paraId="6138A67E" w14:textId="77777777" w:rsidR="00B97365" w:rsidRDefault="00000000">
      <w:pPr>
        <w:ind w:left="284" w:hanging="284"/>
        <w:rPr>
          <w:lang w:val="en-US"/>
        </w:rPr>
      </w:pPr>
      <w:r>
        <w:rPr>
          <w:rFonts w:cs="Arial"/>
          <w:sz w:val="20"/>
        </w:rPr>
        <w:object w:dxaOrig="8400" w:dyaOrig="3288" w14:anchorId="020D86C4">
          <v:shape id="_x0000_i1049" type="#_x0000_t75" style="width:420.05pt;height:168.25pt" o:ole="">
            <v:imagedata r:id="rId163" o:title=""/>
          </v:shape>
          <o:OLEObject Type="Embed" ProgID="PowerPoint.Slide.12" ShapeID="_x0000_i1049" DrawAspect="Content" ObjectID="_1738512094" r:id="rId164"/>
        </w:object>
      </w:r>
    </w:p>
    <w:p w14:paraId="55581E71" w14:textId="77777777" w:rsidR="00B97365" w:rsidRDefault="00000000">
      <w:pPr>
        <w:keepNext/>
        <w:keepLines/>
        <w:numPr>
          <w:ilvl w:val="0"/>
          <w:numId w:val="36"/>
        </w:numPr>
        <w:spacing w:before="360" w:after="60" w:line="276" w:lineRule="auto"/>
        <w:jc w:val="left"/>
        <w:outlineLvl w:val="0"/>
        <w:rPr>
          <w:b/>
          <w:sz w:val="28"/>
          <w:lang w:eastAsia="en-US"/>
        </w:rPr>
      </w:pPr>
      <w:bookmarkStart w:id="12049" w:name="_Toc368932527"/>
      <w:bookmarkStart w:id="12050" w:name="_Toc448998381"/>
      <w:bookmarkStart w:id="12051" w:name="_Toc422150951"/>
      <w:bookmarkStart w:id="12052" w:name="_Toc421874536"/>
      <w:bookmarkStart w:id="12053" w:name="_Toc420595155"/>
      <w:bookmarkStart w:id="12054" w:name="_Toc398215106"/>
      <w:bookmarkStart w:id="12055" w:name="_Toc375158522"/>
      <w:bookmarkStart w:id="12056" w:name="_Toc374348684"/>
      <w:bookmarkStart w:id="12057" w:name="_Toc486332998"/>
      <w:bookmarkStart w:id="12058" w:name="_Toc1977518"/>
      <w:bookmarkStart w:id="12059" w:name="_Toc37062677"/>
      <w:bookmarkStart w:id="12060" w:name="_Toc88839717"/>
      <w:bookmarkStart w:id="12061" w:name="_Toc121504125"/>
      <w:r>
        <w:rPr>
          <w:b/>
          <w:sz w:val="28"/>
          <w:lang w:eastAsia="en-US"/>
        </w:rPr>
        <w:t>List of Identifiers (Normative)</w:t>
      </w:r>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p>
    <w:p w14:paraId="3094B9C1" w14:textId="77777777" w:rsidR="00B97365" w:rsidRDefault="00000000">
      <w:pPr>
        <w:rPr>
          <w:b/>
          <w:u w:val="single"/>
          <w:lang w:eastAsia="en-GB"/>
        </w:rPr>
      </w:pPr>
      <w:r>
        <w:rPr>
          <w:rFonts w:cs="Arial"/>
          <w:b/>
          <w:u w:val="single"/>
        </w:rPr>
        <w:t>OIDs</w:t>
      </w:r>
      <w:r>
        <w:rPr>
          <w:b/>
          <w:u w:val="single"/>
          <w:lang w:eastAsia="en-GB"/>
        </w:rPr>
        <w:t xml:space="preserve"> </w:t>
      </w:r>
    </w:p>
    <w:p w14:paraId="54A6FFBF" w14:textId="77777777" w:rsidR="00B97365" w:rsidRDefault="00000000">
      <w:r>
        <w:rPr>
          <w:rFonts w:cs="Arial"/>
          <w:lang w:eastAsia="en-GB"/>
        </w:rPr>
        <w:t xml:space="preserve">The following </w:t>
      </w:r>
      <w:r>
        <w:rPr>
          <w:rFonts w:cs="Arial"/>
          <w:sz w:val="20"/>
        </w:rPr>
        <w:t xml:space="preserve">identifiers for </w:t>
      </w:r>
      <w:r>
        <w:rPr>
          <w:lang w:eastAsia="en-GB"/>
        </w:rPr>
        <w:t>remo</w:t>
      </w:r>
      <w:r>
        <w:t>te provisioning are created under a dedicated OID tree under ISO branch:</w:t>
      </w:r>
    </w:p>
    <w:p w14:paraId="25AE2C0A" w14:textId="77777777" w:rsidR="00B97365" w:rsidRDefault="00000000">
      <w:pPr>
        <w:numPr>
          <w:ilvl w:val="0"/>
          <w:numId w:val="30"/>
        </w:numPr>
        <w:tabs>
          <w:tab w:val="left" w:pos="720"/>
        </w:tabs>
        <w:spacing w:before="0" w:after="200" w:line="276" w:lineRule="auto"/>
        <w:contextualSpacing/>
        <w:jc w:val="left"/>
      </w:pPr>
      <w:r>
        <w:t>ASN.1 notation: {iso(1) identified-organization(3) dod(6) internet(1) private(4) enterprise(1)}</w:t>
      </w:r>
    </w:p>
    <w:p w14:paraId="25DC3375" w14:textId="77777777" w:rsidR="00B97365" w:rsidRDefault="00000000">
      <w:pPr>
        <w:numPr>
          <w:ilvl w:val="0"/>
          <w:numId w:val="30"/>
        </w:numPr>
        <w:tabs>
          <w:tab w:val="left" w:pos="720"/>
        </w:tabs>
        <w:spacing w:before="0" w:after="200" w:line="276" w:lineRule="auto"/>
        <w:contextualSpacing/>
        <w:jc w:val="left"/>
      </w:pPr>
      <w:r>
        <w:t>dot notation: 1.3.6.1.4.1</w:t>
      </w:r>
    </w:p>
    <w:p w14:paraId="0BAECF59" w14:textId="77777777" w:rsidR="00B97365" w:rsidRDefault="00000000">
      <w:pPr>
        <w:numPr>
          <w:ilvl w:val="0"/>
          <w:numId w:val="30"/>
        </w:numPr>
        <w:tabs>
          <w:tab w:val="left" w:pos="720"/>
        </w:tabs>
        <w:spacing w:before="0" w:after="200" w:line="276" w:lineRule="auto"/>
        <w:contextualSpacing/>
        <w:jc w:val="left"/>
      </w:pPr>
      <w:r>
        <w:t>IOD-IRI notation: /ISO/Identified-Organization/6/1/4/1</w:t>
      </w:r>
    </w:p>
    <w:p w14:paraId="4C553384" w14:textId="77777777" w:rsidR="00B97365" w:rsidRDefault="00000000">
      <w:pPr>
        <w:rPr>
          <w:rFonts w:cs="Arial"/>
          <w:b/>
          <w:u w:val="single"/>
        </w:rPr>
      </w:pPr>
      <w:r>
        <w:rPr>
          <w:rFonts w:cs="Arial"/>
        </w:rPr>
        <w:t>The private enterprise numbers may be found under the Internet Assigned Numbers Authority: http://www.iana.org/assignments/enterprise-numbers/enterprise-numbers</w:t>
      </w:r>
    </w:p>
    <w:p w14:paraId="7BA632E7" w14:textId="77777777" w:rsidR="00B97365" w:rsidRDefault="00000000">
      <w:pPr>
        <w:rPr>
          <w:rFonts w:cs="Arial"/>
          <w:b/>
          <w:u w:val="single"/>
        </w:rPr>
      </w:pPr>
      <w:bookmarkStart w:id="12062" w:name="_Toc420595156"/>
      <w:r>
        <w:rPr>
          <w:rFonts w:cs="Arial"/>
          <w:b/>
          <w:u w:val="single"/>
        </w:rPr>
        <w:t>EUM Identifier</w:t>
      </w:r>
      <w:bookmarkEnd w:id="1206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01"/>
        <w:gridCol w:w="1702"/>
        <w:gridCol w:w="2627"/>
      </w:tblGrid>
      <w:tr w:rsidR="00B97365" w14:paraId="615D4622" w14:textId="77777777">
        <w:trP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31FBD3F6" w14:textId="77777777" w:rsidR="00B97365" w:rsidRDefault="00000000">
            <w:pPr>
              <w:spacing w:after="200" w:line="276" w:lineRule="auto"/>
              <w:jc w:val="center"/>
              <w:rPr>
                <w:rFonts w:cs="Arial"/>
                <w:b/>
                <w:color w:val="FFFFFF"/>
                <w:sz w:val="16"/>
                <w:szCs w:val="16"/>
                <w:lang w:eastAsia="en-GB" w:bidi="ar-SA"/>
              </w:rPr>
            </w:pPr>
            <w:r>
              <w:rPr>
                <w:rFonts w:cs="Arial"/>
                <w:b/>
                <w:color w:val="FFFFFF"/>
                <w:sz w:val="16"/>
                <w:szCs w:val="16"/>
                <w:lang w:eastAsia="en-GB" w:bidi="ar-SA"/>
              </w:rPr>
              <w:t>Identifier</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4FF4A94"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Uniqueness</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70DCCACE"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Registration Entity</w:t>
            </w:r>
          </w:p>
        </w:tc>
      </w:tr>
      <w:tr w:rsidR="00B97365" w14:paraId="7D0B2044"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52586596"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EUM OID</w:t>
            </w:r>
          </w:p>
        </w:tc>
        <w:tc>
          <w:tcPr>
            <w:tcW w:w="0" w:type="auto"/>
            <w:tcBorders>
              <w:top w:val="single" w:sz="6" w:space="0" w:color="auto"/>
              <w:left w:val="single" w:sz="6" w:space="0" w:color="auto"/>
              <w:bottom w:val="single" w:sz="6" w:space="0" w:color="auto"/>
              <w:right w:val="single" w:sz="6" w:space="0" w:color="auto"/>
            </w:tcBorders>
            <w:hideMark/>
          </w:tcPr>
          <w:p w14:paraId="243E002A" w14:textId="77777777" w:rsidR="00B97365" w:rsidRDefault="00000000">
            <w:pPr>
              <w:tabs>
                <w:tab w:val="left" w:pos="33"/>
              </w:tabs>
              <w:spacing w:before="0" w:after="200" w:line="276" w:lineRule="auto"/>
              <w:jc w:val="left"/>
              <w:rPr>
                <w:rFonts w:cs="Arial"/>
                <w:sz w:val="16"/>
                <w:szCs w:val="16"/>
                <w:lang w:eastAsia="en-GB" w:bidi="ar-SA"/>
              </w:rPr>
            </w:pPr>
            <w:r>
              <w:rPr>
                <w:rFonts w:cs="Arial"/>
                <w:sz w:val="16"/>
                <w:szCs w:val="16"/>
                <w:lang w:eastAsia="en-GB" w:bidi="ar-SA"/>
              </w:rPr>
              <w:t>within the ecosystem</w:t>
            </w:r>
          </w:p>
        </w:tc>
        <w:tc>
          <w:tcPr>
            <w:tcW w:w="0" w:type="auto"/>
            <w:tcBorders>
              <w:top w:val="single" w:sz="6" w:space="0" w:color="auto"/>
              <w:left w:val="single" w:sz="6" w:space="0" w:color="auto"/>
              <w:bottom w:val="single" w:sz="6" w:space="0" w:color="auto"/>
              <w:right w:val="single" w:sz="4" w:space="0" w:color="auto"/>
            </w:tcBorders>
            <w:hideMark/>
          </w:tcPr>
          <w:p w14:paraId="79990879" w14:textId="77777777" w:rsidR="00B97365" w:rsidRDefault="00000000">
            <w:pPr>
              <w:tabs>
                <w:tab w:val="left" w:pos="34"/>
              </w:tabs>
              <w:spacing w:before="0" w:after="200" w:line="276" w:lineRule="auto"/>
              <w:jc w:val="left"/>
              <w:rPr>
                <w:rFonts w:cs="Arial"/>
                <w:sz w:val="16"/>
                <w:szCs w:val="16"/>
                <w:lang w:eastAsia="en-GB" w:bidi="ar-SA"/>
              </w:rPr>
            </w:pPr>
            <w:r>
              <w:rPr>
                <w:rFonts w:cs="Arial"/>
                <w:sz w:val="16"/>
                <w:szCs w:val="16"/>
                <w:lang w:eastAsia="en-GB" w:bidi="ar-SA"/>
              </w:rPr>
              <w:t>ISO</w:t>
            </w:r>
          </w:p>
          <w:p w14:paraId="7EE6F327" w14:textId="77777777" w:rsidR="00B97365" w:rsidRDefault="00000000">
            <w:pPr>
              <w:tabs>
                <w:tab w:val="left" w:pos="34"/>
              </w:tabs>
              <w:spacing w:before="0" w:after="200" w:line="276" w:lineRule="auto"/>
              <w:jc w:val="left"/>
              <w:rPr>
                <w:rFonts w:cs="Arial"/>
                <w:sz w:val="16"/>
                <w:szCs w:val="16"/>
                <w:lang w:eastAsia="en-GB" w:bidi="ar-SA"/>
              </w:rPr>
            </w:pPr>
            <w:r>
              <w:rPr>
                <w:rFonts w:cs="Arial"/>
                <w:sz w:val="16"/>
                <w:szCs w:val="16"/>
                <w:lang w:val="pt-PT" w:eastAsia="en-GB"/>
              </w:rPr>
              <w:t>1.3.6.1.4.1</w:t>
            </w:r>
          </w:p>
        </w:tc>
      </w:tr>
      <w:tr w:rsidR="00B97365" w14:paraId="7484F6C6"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2EE1CFB5"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SIN</w:t>
            </w:r>
          </w:p>
        </w:tc>
        <w:tc>
          <w:tcPr>
            <w:tcW w:w="0" w:type="auto"/>
            <w:tcBorders>
              <w:top w:val="single" w:sz="6" w:space="0" w:color="auto"/>
              <w:left w:val="single" w:sz="6" w:space="0" w:color="auto"/>
              <w:bottom w:val="single" w:sz="4" w:space="0" w:color="auto"/>
              <w:right w:val="single" w:sz="6" w:space="0" w:color="auto"/>
            </w:tcBorders>
            <w:hideMark/>
          </w:tcPr>
          <w:p w14:paraId="27EA2819" w14:textId="77777777" w:rsidR="00B97365" w:rsidRDefault="00000000">
            <w:pPr>
              <w:tabs>
                <w:tab w:val="left" w:pos="33"/>
              </w:tabs>
              <w:spacing w:before="0" w:after="200" w:line="276" w:lineRule="auto"/>
              <w:jc w:val="left"/>
              <w:rPr>
                <w:rFonts w:cs="Arial"/>
                <w:sz w:val="16"/>
                <w:szCs w:val="16"/>
                <w:lang w:eastAsia="en-GB" w:bidi="ar-SA"/>
              </w:rPr>
            </w:pPr>
            <w:r>
              <w:rPr>
                <w:rFonts w:cs="Arial"/>
                <w:sz w:val="16"/>
                <w:szCs w:val="16"/>
                <w:lang w:eastAsia="en-GB" w:bidi="ar-SA"/>
              </w:rPr>
              <w:t>within the ecosystem</w:t>
            </w:r>
          </w:p>
        </w:tc>
        <w:tc>
          <w:tcPr>
            <w:tcW w:w="0" w:type="auto"/>
            <w:tcBorders>
              <w:top w:val="single" w:sz="6" w:space="0" w:color="auto"/>
              <w:left w:val="single" w:sz="6" w:space="0" w:color="auto"/>
              <w:bottom w:val="single" w:sz="4" w:space="0" w:color="auto"/>
              <w:right w:val="single" w:sz="4" w:space="0" w:color="auto"/>
            </w:tcBorders>
            <w:hideMark/>
          </w:tcPr>
          <w:p w14:paraId="5D111CA6" w14:textId="080802C9" w:rsidR="00B97365" w:rsidRDefault="00000000">
            <w:pPr>
              <w:tabs>
                <w:tab w:val="left" w:pos="34"/>
              </w:tabs>
              <w:spacing w:before="0" w:after="200" w:line="276" w:lineRule="auto"/>
              <w:jc w:val="left"/>
              <w:rPr>
                <w:rFonts w:cs="Arial"/>
                <w:sz w:val="16"/>
                <w:szCs w:val="16"/>
                <w:lang w:eastAsia="en-GB" w:bidi="ar-SA"/>
              </w:rPr>
            </w:pPr>
            <w:r>
              <w:rPr>
                <w:rFonts w:cs="Arial"/>
                <w:sz w:val="16"/>
                <w:szCs w:val="16"/>
                <w:lang w:eastAsia="en-GB" w:bidi="ar-SA"/>
              </w:rPr>
              <w:t xml:space="preserve">ISO, according to ISO 7812-2 </w:t>
            </w:r>
            <w:r>
              <w:rPr>
                <w:rFonts w:cs="Arial"/>
                <w:sz w:val="16"/>
                <w:szCs w:val="16"/>
                <w:lang w:eastAsia="en-GB" w:bidi="ar-SA"/>
              </w:rPr>
              <w:fldChar w:fldCharType="begin"/>
            </w:r>
            <w:r>
              <w:rPr>
                <w:rFonts w:cs="Arial"/>
                <w:sz w:val="16"/>
                <w:szCs w:val="16"/>
                <w:lang w:eastAsia="en-GB" w:bidi="ar-SA"/>
              </w:rPr>
              <w:instrText xml:space="preserve"> REF _Ref534214749 \r \h </w:instrText>
            </w:r>
            <w:r>
              <w:rPr>
                <w:rFonts w:cs="Arial"/>
                <w:sz w:val="16"/>
                <w:szCs w:val="16"/>
                <w:lang w:eastAsia="en-GB" w:bidi="ar-SA"/>
              </w:rPr>
            </w:r>
            <w:r>
              <w:rPr>
                <w:rFonts w:cs="Arial"/>
                <w:sz w:val="16"/>
                <w:szCs w:val="16"/>
                <w:lang w:eastAsia="en-GB" w:bidi="ar-SA"/>
              </w:rPr>
              <w:fldChar w:fldCharType="separate"/>
            </w:r>
            <w:r w:rsidR="001D5AD9">
              <w:rPr>
                <w:rFonts w:cs="Arial"/>
                <w:sz w:val="16"/>
                <w:szCs w:val="16"/>
                <w:lang w:eastAsia="en-GB" w:bidi="ar-SA"/>
              </w:rPr>
              <w:t>[19]</w:t>
            </w:r>
            <w:r>
              <w:rPr>
                <w:rFonts w:cs="Arial"/>
                <w:sz w:val="16"/>
                <w:szCs w:val="16"/>
                <w:lang w:eastAsia="en-GB" w:bidi="ar-SA"/>
              </w:rPr>
              <w:fldChar w:fldCharType="end"/>
            </w:r>
          </w:p>
        </w:tc>
      </w:tr>
    </w:tbl>
    <w:p w14:paraId="2BFC0E68" w14:textId="77777777" w:rsidR="00B97365" w:rsidRDefault="00B97365">
      <w:pPr>
        <w:rPr>
          <w:rFonts w:cs="Calibri"/>
        </w:rPr>
      </w:pPr>
    </w:p>
    <w:p w14:paraId="7FC164A6" w14:textId="77777777" w:rsidR="00B97365" w:rsidRDefault="00000000">
      <w:pPr>
        <w:rPr>
          <w:rFonts w:cs="Arial"/>
          <w:b/>
          <w:u w:val="single"/>
        </w:rPr>
      </w:pPr>
      <w:r>
        <w:rPr>
          <w:rFonts w:cs="Arial"/>
          <w:b/>
          <w:u w:val="single"/>
        </w:rPr>
        <w:t>eUICC Identifier</w:t>
      </w:r>
    </w:p>
    <w:p w14:paraId="393F2F56" w14:textId="77777777" w:rsidR="00B97365" w:rsidRDefault="00B9736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0"/>
        <w:gridCol w:w="1702"/>
        <w:gridCol w:w="5170"/>
      </w:tblGrid>
      <w:tr w:rsidR="00B97365" w14:paraId="098D0EDB" w14:textId="77777777">
        <w:trP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4807D9F9" w14:textId="77777777" w:rsidR="00B97365" w:rsidRDefault="00000000">
            <w:pPr>
              <w:spacing w:after="200" w:line="276" w:lineRule="auto"/>
              <w:jc w:val="center"/>
              <w:rPr>
                <w:rFonts w:cs="Arial"/>
                <w:b/>
                <w:color w:val="FFFFFF"/>
                <w:sz w:val="16"/>
                <w:szCs w:val="16"/>
                <w:lang w:eastAsia="en-GB" w:bidi="ar-SA"/>
              </w:rPr>
            </w:pPr>
            <w:r>
              <w:rPr>
                <w:rFonts w:cs="Arial"/>
                <w:b/>
                <w:color w:val="FFFFFF"/>
                <w:sz w:val="16"/>
                <w:szCs w:val="16"/>
                <w:lang w:eastAsia="en-GB" w:bidi="ar-SA"/>
              </w:rPr>
              <w:t>Identifier</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7041F63A"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Uniqueness</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2D9007EE"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Registration Entity</w:t>
            </w:r>
          </w:p>
        </w:tc>
      </w:tr>
      <w:tr w:rsidR="00B97365" w14:paraId="4E00BB59"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37F8F6D"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 xml:space="preserve">EID </w:t>
            </w:r>
          </w:p>
        </w:tc>
        <w:tc>
          <w:tcPr>
            <w:tcW w:w="0" w:type="auto"/>
            <w:tcBorders>
              <w:top w:val="single" w:sz="6" w:space="0" w:color="auto"/>
              <w:left w:val="single" w:sz="6" w:space="0" w:color="auto"/>
              <w:bottom w:val="single" w:sz="6" w:space="0" w:color="auto"/>
              <w:right w:val="single" w:sz="6" w:space="0" w:color="auto"/>
            </w:tcBorders>
            <w:hideMark/>
          </w:tcPr>
          <w:p w14:paraId="4FADEDFC"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within the ecosystem</w:t>
            </w:r>
          </w:p>
        </w:tc>
        <w:tc>
          <w:tcPr>
            <w:tcW w:w="0" w:type="auto"/>
            <w:tcBorders>
              <w:top w:val="single" w:sz="6" w:space="0" w:color="auto"/>
              <w:left w:val="single" w:sz="6" w:space="0" w:color="auto"/>
              <w:bottom w:val="single" w:sz="6" w:space="0" w:color="auto"/>
              <w:right w:val="single" w:sz="4" w:space="0" w:color="auto"/>
            </w:tcBorders>
            <w:hideMark/>
          </w:tcPr>
          <w:p w14:paraId="5E8FCEE3"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rPr>
              <w:t xml:space="preserve"> GSMA ESIM Technical Specification</w:t>
            </w:r>
          </w:p>
        </w:tc>
      </w:tr>
      <w:tr w:rsidR="00B97365" w14:paraId="0741F911"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D2019DB"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ECASD AID</w:t>
            </w:r>
          </w:p>
        </w:tc>
        <w:tc>
          <w:tcPr>
            <w:tcW w:w="0" w:type="auto"/>
            <w:tcBorders>
              <w:top w:val="single" w:sz="6" w:space="0" w:color="auto"/>
              <w:left w:val="single" w:sz="6" w:space="0" w:color="auto"/>
              <w:bottom w:val="single" w:sz="6" w:space="0" w:color="auto"/>
              <w:right w:val="single" w:sz="6" w:space="0" w:color="auto"/>
            </w:tcBorders>
            <w:hideMark/>
          </w:tcPr>
          <w:p w14:paraId="238C95D7"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within the eUICC</w:t>
            </w:r>
          </w:p>
        </w:tc>
        <w:tc>
          <w:tcPr>
            <w:tcW w:w="0" w:type="auto"/>
            <w:tcBorders>
              <w:top w:val="single" w:sz="6" w:space="0" w:color="auto"/>
              <w:left w:val="single" w:sz="6" w:space="0" w:color="auto"/>
              <w:bottom w:val="single" w:sz="6" w:space="0" w:color="auto"/>
              <w:right w:val="single" w:sz="4" w:space="0" w:color="auto"/>
            </w:tcBorders>
            <w:hideMark/>
          </w:tcPr>
          <w:p w14:paraId="635D242F"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bidi="ar-SA"/>
              </w:rPr>
              <w:t>GSMA ESIM Technical Specification</w:t>
            </w:r>
          </w:p>
        </w:tc>
      </w:tr>
      <w:tr w:rsidR="00B97365" w14:paraId="27D85A7A"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08FCBA6D"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ISD-R AID</w:t>
            </w:r>
          </w:p>
        </w:tc>
        <w:tc>
          <w:tcPr>
            <w:tcW w:w="0" w:type="auto"/>
            <w:tcBorders>
              <w:top w:val="single" w:sz="6" w:space="0" w:color="auto"/>
              <w:left w:val="single" w:sz="6" w:space="0" w:color="auto"/>
              <w:bottom w:val="single" w:sz="6" w:space="0" w:color="auto"/>
              <w:right w:val="single" w:sz="6" w:space="0" w:color="auto"/>
            </w:tcBorders>
            <w:hideMark/>
          </w:tcPr>
          <w:p w14:paraId="62889261"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within the eUICC</w:t>
            </w:r>
          </w:p>
        </w:tc>
        <w:tc>
          <w:tcPr>
            <w:tcW w:w="0" w:type="auto"/>
            <w:tcBorders>
              <w:top w:val="single" w:sz="6" w:space="0" w:color="auto"/>
              <w:left w:val="single" w:sz="6" w:space="0" w:color="auto"/>
              <w:bottom w:val="single" w:sz="6" w:space="0" w:color="auto"/>
              <w:right w:val="single" w:sz="4" w:space="0" w:color="auto"/>
            </w:tcBorders>
            <w:hideMark/>
          </w:tcPr>
          <w:p w14:paraId="2C648894"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bidi="ar-SA"/>
              </w:rPr>
              <w:t>GSMA ESIM Technical Specification</w:t>
            </w:r>
          </w:p>
        </w:tc>
      </w:tr>
      <w:tr w:rsidR="00B97365" w14:paraId="38A18B2F"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3213C374" w14:textId="77777777" w:rsidR="00B97365" w:rsidRDefault="00000000">
            <w:pPr>
              <w:tabs>
                <w:tab w:val="left" w:pos="0"/>
                <w:tab w:val="left" w:pos="142"/>
              </w:tabs>
              <w:spacing w:before="0" w:after="200" w:line="276" w:lineRule="auto"/>
              <w:jc w:val="left"/>
              <w:rPr>
                <w:rFonts w:cs="Arial"/>
                <w:sz w:val="16"/>
                <w:szCs w:val="16"/>
                <w:lang w:eastAsia="en-GB" w:bidi="ar-SA"/>
              </w:rPr>
            </w:pPr>
            <w:r>
              <w:rPr>
                <w:rFonts w:cs="Arial"/>
                <w:sz w:val="16"/>
                <w:szCs w:val="16"/>
                <w:lang w:eastAsia="en-GB" w:bidi="ar-SA"/>
              </w:rPr>
              <w:t>ISD-P AID</w:t>
            </w:r>
          </w:p>
        </w:tc>
        <w:tc>
          <w:tcPr>
            <w:tcW w:w="0" w:type="auto"/>
            <w:tcBorders>
              <w:top w:val="single" w:sz="6" w:space="0" w:color="auto"/>
              <w:left w:val="single" w:sz="6" w:space="0" w:color="auto"/>
              <w:bottom w:val="single" w:sz="6" w:space="0" w:color="auto"/>
              <w:right w:val="single" w:sz="6" w:space="0" w:color="auto"/>
            </w:tcBorders>
            <w:hideMark/>
          </w:tcPr>
          <w:p w14:paraId="3B3DF768"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within the eUICC</w:t>
            </w:r>
          </w:p>
        </w:tc>
        <w:tc>
          <w:tcPr>
            <w:tcW w:w="0" w:type="auto"/>
            <w:tcBorders>
              <w:top w:val="single" w:sz="6" w:space="0" w:color="auto"/>
              <w:left w:val="single" w:sz="6" w:space="0" w:color="auto"/>
              <w:bottom w:val="single" w:sz="6" w:space="0" w:color="auto"/>
              <w:right w:val="single" w:sz="4" w:space="0" w:color="auto"/>
            </w:tcBorders>
            <w:hideMark/>
          </w:tcPr>
          <w:p w14:paraId="53492872"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bidi="ar-SA"/>
              </w:rPr>
              <w:t>SM-SR within a range Defined in GSMA ESIM Technical Specification</w:t>
            </w:r>
          </w:p>
        </w:tc>
      </w:tr>
      <w:tr w:rsidR="00B97365" w14:paraId="56E199EA"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286567E3"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ICCID</w:t>
            </w:r>
          </w:p>
        </w:tc>
        <w:tc>
          <w:tcPr>
            <w:tcW w:w="0" w:type="auto"/>
            <w:tcBorders>
              <w:top w:val="single" w:sz="6" w:space="0" w:color="auto"/>
              <w:left w:val="single" w:sz="6" w:space="0" w:color="auto"/>
              <w:bottom w:val="single" w:sz="6" w:space="0" w:color="auto"/>
              <w:right w:val="single" w:sz="6" w:space="0" w:color="auto"/>
            </w:tcBorders>
            <w:hideMark/>
          </w:tcPr>
          <w:p w14:paraId="554F32D3"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Global</w:t>
            </w:r>
          </w:p>
        </w:tc>
        <w:tc>
          <w:tcPr>
            <w:tcW w:w="0" w:type="auto"/>
            <w:tcBorders>
              <w:top w:val="single" w:sz="6" w:space="0" w:color="auto"/>
              <w:left w:val="single" w:sz="6" w:space="0" w:color="auto"/>
              <w:bottom w:val="single" w:sz="6" w:space="0" w:color="auto"/>
              <w:right w:val="single" w:sz="4" w:space="0" w:color="auto"/>
            </w:tcBorders>
            <w:hideMark/>
          </w:tcPr>
          <w:p w14:paraId="5A5DADCE"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bidi="ar-SA"/>
              </w:rPr>
              <w:t>ITU</w:t>
            </w:r>
          </w:p>
        </w:tc>
      </w:tr>
      <w:tr w:rsidR="00B97365" w14:paraId="6D556286"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27DA9D4C"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ISD-R TAR</w:t>
            </w:r>
          </w:p>
        </w:tc>
        <w:tc>
          <w:tcPr>
            <w:tcW w:w="0" w:type="auto"/>
            <w:tcBorders>
              <w:top w:val="single" w:sz="6" w:space="0" w:color="auto"/>
              <w:left w:val="single" w:sz="6" w:space="0" w:color="auto"/>
              <w:bottom w:val="single" w:sz="6" w:space="0" w:color="auto"/>
              <w:right w:val="single" w:sz="6" w:space="0" w:color="auto"/>
            </w:tcBorders>
            <w:hideMark/>
          </w:tcPr>
          <w:p w14:paraId="08D126AF"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within the eUICC</w:t>
            </w:r>
          </w:p>
        </w:tc>
        <w:tc>
          <w:tcPr>
            <w:tcW w:w="0" w:type="auto"/>
            <w:tcBorders>
              <w:top w:val="single" w:sz="6" w:space="0" w:color="auto"/>
              <w:left w:val="single" w:sz="6" w:space="0" w:color="auto"/>
              <w:bottom w:val="single" w:sz="6" w:space="0" w:color="auto"/>
              <w:right w:val="single" w:sz="4" w:space="0" w:color="auto"/>
            </w:tcBorders>
            <w:hideMark/>
          </w:tcPr>
          <w:p w14:paraId="5AC5B248"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bidi="ar-SA"/>
              </w:rPr>
              <w:t>GSMA ESIM Technical Specification</w:t>
            </w:r>
          </w:p>
        </w:tc>
      </w:tr>
      <w:tr w:rsidR="00B97365" w14:paraId="74E3F7DB" w14:textId="77777777">
        <w:trPr>
          <w:jc w:val="center"/>
        </w:trPr>
        <w:tc>
          <w:tcPr>
            <w:tcW w:w="0" w:type="auto"/>
            <w:tcBorders>
              <w:top w:val="single" w:sz="6" w:space="0" w:color="auto"/>
              <w:left w:val="single" w:sz="4" w:space="0" w:color="auto"/>
              <w:bottom w:val="single" w:sz="6" w:space="0" w:color="auto"/>
              <w:right w:val="single" w:sz="6" w:space="0" w:color="auto"/>
            </w:tcBorders>
            <w:hideMark/>
          </w:tcPr>
          <w:p w14:paraId="7FB19DDF"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lastRenderedPageBreak/>
              <w:t>MNO-SD AID</w:t>
            </w:r>
          </w:p>
        </w:tc>
        <w:tc>
          <w:tcPr>
            <w:tcW w:w="0" w:type="auto"/>
            <w:tcBorders>
              <w:top w:val="single" w:sz="6" w:space="0" w:color="auto"/>
              <w:left w:val="single" w:sz="6" w:space="0" w:color="auto"/>
              <w:bottom w:val="single" w:sz="6" w:space="0" w:color="auto"/>
              <w:right w:val="single" w:sz="6" w:space="0" w:color="auto"/>
            </w:tcBorders>
            <w:hideMark/>
          </w:tcPr>
          <w:p w14:paraId="5C026321"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Within the Profile</w:t>
            </w:r>
          </w:p>
        </w:tc>
        <w:tc>
          <w:tcPr>
            <w:tcW w:w="0" w:type="auto"/>
            <w:tcBorders>
              <w:top w:val="single" w:sz="6" w:space="0" w:color="auto"/>
              <w:left w:val="single" w:sz="6" w:space="0" w:color="auto"/>
              <w:bottom w:val="single" w:sz="6" w:space="0" w:color="auto"/>
              <w:right w:val="single" w:sz="4" w:space="0" w:color="auto"/>
            </w:tcBorders>
            <w:hideMark/>
          </w:tcPr>
          <w:p w14:paraId="62A1D136"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bidi="ar-SA"/>
              </w:rPr>
              <w:t>ETSI TS 101 220 (ISD AID)</w:t>
            </w:r>
          </w:p>
        </w:tc>
      </w:tr>
      <w:tr w:rsidR="00B97365" w14:paraId="73419B32"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68A87455"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MNO-SD TAR</w:t>
            </w:r>
          </w:p>
        </w:tc>
        <w:tc>
          <w:tcPr>
            <w:tcW w:w="0" w:type="auto"/>
            <w:tcBorders>
              <w:top w:val="single" w:sz="6" w:space="0" w:color="auto"/>
              <w:left w:val="single" w:sz="6" w:space="0" w:color="auto"/>
              <w:bottom w:val="single" w:sz="4" w:space="0" w:color="auto"/>
              <w:right w:val="single" w:sz="6" w:space="0" w:color="auto"/>
            </w:tcBorders>
            <w:hideMark/>
          </w:tcPr>
          <w:p w14:paraId="2183D0C0" w14:textId="77777777" w:rsidR="00B97365" w:rsidRDefault="00000000">
            <w:pPr>
              <w:tabs>
                <w:tab w:val="left" w:pos="0"/>
              </w:tabs>
              <w:spacing w:before="0" w:after="200" w:line="276" w:lineRule="auto"/>
              <w:jc w:val="left"/>
              <w:rPr>
                <w:rFonts w:cs="Arial"/>
                <w:sz w:val="16"/>
                <w:szCs w:val="16"/>
                <w:lang w:eastAsia="en-GB" w:bidi="ar-SA"/>
              </w:rPr>
            </w:pPr>
            <w:r>
              <w:rPr>
                <w:rFonts w:cs="Arial"/>
                <w:sz w:val="16"/>
                <w:szCs w:val="16"/>
                <w:lang w:eastAsia="en-GB" w:bidi="ar-SA"/>
              </w:rPr>
              <w:t>Within the Profile</w:t>
            </w:r>
          </w:p>
        </w:tc>
        <w:tc>
          <w:tcPr>
            <w:tcW w:w="0" w:type="auto"/>
            <w:tcBorders>
              <w:top w:val="single" w:sz="6" w:space="0" w:color="auto"/>
              <w:left w:val="single" w:sz="6" w:space="0" w:color="auto"/>
              <w:bottom w:val="single" w:sz="4" w:space="0" w:color="auto"/>
              <w:right w:val="single" w:sz="4" w:space="0" w:color="auto"/>
            </w:tcBorders>
            <w:hideMark/>
          </w:tcPr>
          <w:p w14:paraId="58EC107E"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bidi="ar-SA"/>
              </w:rPr>
              <w:t>ETSI TS 101 220 (ISD TAR)</w:t>
            </w:r>
          </w:p>
        </w:tc>
      </w:tr>
    </w:tbl>
    <w:p w14:paraId="36EBBCCF" w14:textId="77777777" w:rsidR="00B97365" w:rsidRDefault="00000000">
      <w:pPr>
        <w:rPr>
          <w:rFonts w:cs="Arial"/>
          <w:b/>
          <w:u w:val="single"/>
        </w:rPr>
      </w:pPr>
      <w:bookmarkStart w:id="12063" w:name="_Toc420595157"/>
      <w:r>
        <w:rPr>
          <w:rFonts w:cs="Arial"/>
          <w:b/>
          <w:u w:val="single"/>
        </w:rPr>
        <w:t>SM-SR Identifier</w:t>
      </w:r>
      <w:bookmarkEnd w:id="12063"/>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59"/>
        <w:gridCol w:w="1702"/>
        <w:gridCol w:w="1639"/>
      </w:tblGrid>
      <w:tr w:rsidR="00B97365" w14:paraId="4EF67E4C" w14:textId="77777777">
        <w:trP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0CB71D8E" w14:textId="77777777" w:rsidR="00B97365" w:rsidRDefault="00000000">
            <w:pPr>
              <w:spacing w:after="200" w:line="276" w:lineRule="auto"/>
              <w:jc w:val="center"/>
              <w:rPr>
                <w:rFonts w:cs="Arial"/>
                <w:b/>
                <w:color w:val="FFFFFF"/>
                <w:sz w:val="16"/>
                <w:szCs w:val="16"/>
                <w:lang w:eastAsia="en-GB" w:bidi="ar-SA"/>
              </w:rPr>
            </w:pPr>
            <w:r>
              <w:rPr>
                <w:rFonts w:cs="Arial"/>
                <w:b/>
                <w:color w:val="FFFFFF"/>
                <w:sz w:val="16"/>
                <w:szCs w:val="16"/>
                <w:lang w:eastAsia="en-GB" w:bidi="ar-SA"/>
              </w:rPr>
              <w:t>Identifier</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67F58795"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Uniqueness</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515F4568" w14:textId="77777777" w:rsidR="00B97365" w:rsidRDefault="00000000">
            <w:pPr>
              <w:spacing w:before="0" w:after="200" w:line="276" w:lineRule="auto"/>
              <w:jc w:val="center"/>
              <w:rPr>
                <w:rFonts w:cs="Arial"/>
                <w:b/>
                <w:color w:val="FFFFFF"/>
                <w:sz w:val="16"/>
                <w:szCs w:val="16"/>
                <w:lang w:eastAsia="en-GB" w:bidi="ar-SA"/>
              </w:rPr>
            </w:pPr>
            <w:r>
              <w:rPr>
                <w:rFonts w:cs="Arial"/>
                <w:b/>
                <w:color w:val="FFFFFF"/>
                <w:sz w:val="16"/>
                <w:szCs w:val="16"/>
                <w:lang w:eastAsia="en-GB" w:bidi="ar-SA"/>
              </w:rPr>
              <w:t>Registration Entity</w:t>
            </w:r>
          </w:p>
        </w:tc>
      </w:tr>
      <w:tr w:rsidR="00B97365" w14:paraId="497E82FC"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61580971"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 xml:space="preserve">SMSR OID </w:t>
            </w:r>
          </w:p>
          <w:p w14:paraId="096F1A1B" w14:textId="0A169BE4" w:rsidR="00B97365" w:rsidRDefault="00000000">
            <w:pPr>
              <w:spacing w:after="200" w:line="276" w:lineRule="auto"/>
              <w:rPr>
                <w:rFonts w:cs="Arial"/>
                <w:sz w:val="16"/>
                <w:szCs w:val="16"/>
                <w:lang w:eastAsia="en-GB" w:bidi="ar-SA"/>
              </w:rPr>
            </w:pPr>
            <w:r>
              <w:rPr>
                <w:rFonts w:cs="Arial"/>
                <w:sz w:val="16"/>
                <w:szCs w:val="16"/>
                <w:lang w:eastAsia="en-GB" w:bidi="ar-SA"/>
              </w:rPr>
              <w:t xml:space="preserve">(called SRID in </w:t>
            </w:r>
            <w:r>
              <w:rPr>
                <w:rFonts w:cs="Arial"/>
                <w:sz w:val="16"/>
                <w:szCs w:val="16"/>
                <w:lang w:eastAsia="en-GB" w:bidi="ar-SA"/>
              </w:rPr>
              <w:fldChar w:fldCharType="begin"/>
            </w:r>
            <w:r>
              <w:rPr>
                <w:rFonts w:cs="Arial"/>
                <w:sz w:val="16"/>
                <w:szCs w:val="16"/>
                <w:lang w:eastAsia="en-GB" w:bidi="ar-SA"/>
              </w:rPr>
              <w:instrText xml:space="preserve"> REF _Ref483303259 \r \h </w:instrText>
            </w:r>
            <w:r>
              <w:rPr>
                <w:rFonts w:cs="Arial"/>
                <w:sz w:val="16"/>
                <w:szCs w:val="16"/>
                <w:lang w:eastAsia="en-GB" w:bidi="ar-SA"/>
              </w:rPr>
            </w:r>
            <w:r>
              <w:rPr>
                <w:rFonts w:cs="Arial"/>
                <w:sz w:val="16"/>
                <w:szCs w:val="16"/>
                <w:lang w:eastAsia="en-GB" w:bidi="ar-SA"/>
              </w:rPr>
              <w:fldChar w:fldCharType="separate"/>
            </w:r>
            <w:r w:rsidR="001D5AD9">
              <w:rPr>
                <w:rFonts w:cs="Arial"/>
                <w:sz w:val="16"/>
                <w:szCs w:val="16"/>
                <w:lang w:eastAsia="en-GB" w:bidi="ar-SA"/>
              </w:rPr>
              <w:t>[1]</w:t>
            </w:r>
            <w:r>
              <w:rPr>
                <w:rFonts w:cs="Arial"/>
                <w:sz w:val="16"/>
                <w:szCs w:val="16"/>
                <w:lang w:eastAsia="en-GB" w:bidi="ar-SA"/>
              </w:rPr>
              <w:fldChar w:fldCharType="end"/>
            </w:r>
            <w:r>
              <w:rPr>
                <w:rFonts w:cs="Arial"/>
                <w:sz w:val="16"/>
                <w:szCs w:val="16"/>
                <w:lang w:eastAsia="en-GB" w:bidi="ar-SA"/>
              </w:rPr>
              <w:t>)</w:t>
            </w:r>
          </w:p>
        </w:tc>
        <w:tc>
          <w:tcPr>
            <w:tcW w:w="0" w:type="auto"/>
            <w:tcBorders>
              <w:top w:val="single" w:sz="6" w:space="0" w:color="auto"/>
              <w:left w:val="single" w:sz="6" w:space="0" w:color="auto"/>
              <w:bottom w:val="single" w:sz="4" w:space="0" w:color="auto"/>
              <w:right w:val="single" w:sz="6" w:space="0" w:color="auto"/>
            </w:tcBorders>
            <w:hideMark/>
          </w:tcPr>
          <w:p w14:paraId="0649406C" w14:textId="77777777" w:rsidR="00B97365" w:rsidRDefault="00000000">
            <w:pPr>
              <w:tabs>
                <w:tab w:val="left" w:pos="100"/>
              </w:tabs>
              <w:spacing w:before="0" w:after="200" w:line="276" w:lineRule="auto"/>
              <w:jc w:val="left"/>
              <w:rPr>
                <w:rFonts w:cs="Arial"/>
                <w:sz w:val="16"/>
                <w:szCs w:val="16"/>
                <w:lang w:eastAsia="en-GB" w:bidi="ar-SA"/>
              </w:rPr>
            </w:pPr>
            <w:r>
              <w:rPr>
                <w:rFonts w:cs="Arial"/>
                <w:sz w:val="16"/>
                <w:szCs w:val="16"/>
                <w:lang w:eastAsia="en-GB" w:bidi="ar-SA"/>
              </w:rPr>
              <w:t>within the ecosystem</w:t>
            </w:r>
          </w:p>
        </w:tc>
        <w:tc>
          <w:tcPr>
            <w:tcW w:w="0" w:type="auto"/>
            <w:tcBorders>
              <w:top w:val="single" w:sz="6" w:space="0" w:color="auto"/>
              <w:left w:val="single" w:sz="6" w:space="0" w:color="auto"/>
              <w:bottom w:val="single" w:sz="4" w:space="0" w:color="auto"/>
              <w:right w:val="single" w:sz="4" w:space="0" w:color="auto"/>
            </w:tcBorders>
            <w:hideMark/>
          </w:tcPr>
          <w:p w14:paraId="43393511" w14:textId="77777777" w:rsidR="00B97365" w:rsidRDefault="00000000">
            <w:pPr>
              <w:tabs>
                <w:tab w:val="left" w:pos="200"/>
              </w:tabs>
              <w:spacing w:before="0" w:after="200" w:line="276" w:lineRule="auto"/>
              <w:jc w:val="left"/>
              <w:rPr>
                <w:rFonts w:cs="Arial"/>
                <w:sz w:val="16"/>
                <w:szCs w:val="16"/>
                <w:lang w:eastAsia="en-GB" w:bidi="ar-SA"/>
              </w:rPr>
            </w:pPr>
            <w:r>
              <w:rPr>
                <w:rFonts w:cs="Arial"/>
                <w:sz w:val="16"/>
                <w:szCs w:val="16"/>
                <w:lang w:eastAsia="en-GB" w:bidi="ar-SA"/>
              </w:rPr>
              <w:t>ISO</w:t>
            </w:r>
          </w:p>
          <w:p w14:paraId="04B5B21C" w14:textId="77777777" w:rsidR="00B97365" w:rsidRDefault="00000000">
            <w:pPr>
              <w:tabs>
                <w:tab w:val="left" w:pos="200"/>
              </w:tabs>
              <w:spacing w:before="0" w:after="200" w:line="276" w:lineRule="auto"/>
              <w:jc w:val="left"/>
              <w:rPr>
                <w:rFonts w:cs="Arial"/>
                <w:sz w:val="16"/>
                <w:szCs w:val="16"/>
                <w:lang w:eastAsia="en-GB" w:bidi="ar-SA"/>
              </w:rPr>
            </w:pPr>
            <w:r>
              <w:rPr>
                <w:rFonts w:cs="Arial"/>
                <w:sz w:val="16"/>
                <w:szCs w:val="16"/>
                <w:lang w:eastAsia="en-GB"/>
              </w:rPr>
              <w:t>1.3.6.1.4.1</w:t>
            </w:r>
          </w:p>
        </w:tc>
      </w:tr>
    </w:tbl>
    <w:p w14:paraId="1573DAD6" w14:textId="77777777" w:rsidR="00B97365" w:rsidRDefault="00000000">
      <w:pPr>
        <w:rPr>
          <w:rFonts w:cs="Arial"/>
          <w:b/>
          <w:u w:val="single"/>
        </w:rPr>
      </w:pPr>
      <w:bookmarkStart w:id="12064" w:name="_Toc420595158"/>
      <w:r>
        <w:rPr>
          <w:rFonts w:cs="Arial"/>
          <w:b/>
          <w:u w:val="single"/>
        </w:rPr>
        <w:t>SM-DP Identifier</w:t>
      </w:r>
      <w:bookmarkEnd w:id="1206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59"/>
        <w:gridCol w:w="1702"/>
        <w:gridCol w:w="1639"/>
      </w:tblGrid>
      <w:tr w:rsidR="00B97365" w14:paraId="5656AE7F" w14:textId="77777777">
        <w:trPr>
          <w:jc w:val="center"/>
        </w:trPr>
        <w:tc>
          <w:tcPr>
            <w:tcW w:w="0" w:type="auto"/>
            <w:tcBorders>
              <w:top w:val="single" w:sz="4" w:space="0" w:color="auto"/>
              <w:left w:val="single" w:sz="4" w:space="0" w:color="auto"/>
              <w:bottom w:val="single" w:sz="6" w:space="0" w:color="auto"/>
              <w:right w:val="single" w:sz="6" w:space="0" w:color="auto"/>
            </w:tcBorders>
            <w:shd w:val="clear" w:color="auto" w:fill="C00000"/>
            <w:hideMark/>
          </w:tcPr>
          <w:p w14:paraId="189EFCB1" w14:textId="77777777" w:rsidR="00B97365" w:rsidRDefault="00000000">
            <w:pPr>
              <w:spacing w:after="200" w:line="276" w:lineRule="auto"/>
              <w:jc w:val="center"/>
              <w:rPr>
                <w:rFonts w:cs="Arial"/>
                <w:b/>
                <w:sz w:val="16"/>
                <w:szCs w:val="16"/>
                <w:lang w:eastAsia="en-GB" w:bidi="ar-SA"/>
              </w:rPr>
            </w:pPr>
            <w:r>
              <w:rPr>
                <w:rFonts w:cs="Arial"/>
                <w:b/>
                <w:sz w:val="16"/>
                <w:szCs w:val="16"/>
                <w:lang w:eastAsia="en-GB" w:bidi="ar-SA"/>
              </w:rPr>
              <w:t>Identifier</w:t>
            </w:r>
          </w:p>
        </w:tc>
        <w:tc>
          <w:tcPr>
            <w:tcW w:w="0" w:type="auto"/>
            <w:tcBorders>
              <w:top w:val="single" w:sz="4" w:space="0" w:color="auto"/>
              <w:left w:val="single" w:sz="6" w:space="0" w:color="auto"/>
              <w:bottom w:val="single" w:sz="6" w:space="0" w:color="auto"/>
              <w:right w:val="single" w:sz="6" w:space="0" w:color="auto"/>
            </w:tcBorders>
            <w:shd w:val="clear" w:color="auto" w:fill="C00000"/>
            <w:hideMark/>
          </w:tcPr>
          <w:p w14:paraId="2650C794" w14:textId="77777777" w:rsidR="00B97365" w:rsidRDefault="00000000">
            <w:pPr>
              <w:spacing w:before="0" w:after="200" w:line="276" w:lineRule="auto"/>
              <w:jc w:val="center"/>
              <w:rPr>
                <w:rFonts w:cs="Arial"/>
                <w:b/>
                <w:sz w:val="16"/>
                <w:szCs w:val="16"/>
                <w:lang w:eastAsia="en-GB" w:bidi="ar-SA"/>
              </w:rPr>
            </w:pPr>
            <w:r>
              <w:rPr>
                <w:rFonts w:cs="Arial"/>
                <w:b/>
                <w:sz w:val="16"/>
                <w:szCs w:val="16"/>
                <w:lang w:eastAsia="en-GB" w:bidi="ar-SA"/>
              </w:rPr>
              <w:t>Uniqueness</w:t>
            </w:r>
          </w:p>
        </w:tc>
        <w:tc>
          <w:tcPr>
            <w:tcW w:w="0" w:type="auto"/>
            <w:tcBorders>
              <w:top w:val="single" w:sz="4" w:space="0" w:color="auto"/>
              <w:left w:val="single" w:sz="6" w:space="0" w:color="auto"/>
              <w:bottom w:val="single" w:sz="6" w:space="0" w:color="auto"/>
              <w:right w:val="single" w:sz="4" w:space="0" w:color="auto"/>
            </w:tcBorders>
            <w:shd w:val="clear" w:color="auto" w:fill="C00000"/>
            <w:hideMark/>
          </w:tcPr>
          <w:p w14:paraId="040531DD" w14:textId="77777777" w:rsidR="00B97365" w:rsidRDefault="00000000">
            <w:pPr>
              <w:spacing w:before="0" w:after="200" w:line="276" w:lineRule="auto"/>
              <w:jc w:val="center"/>
              <w:rPr>
                <w:rFonts w:cs="Arial"/>
                <w:b/>
                <w:sz w:val="16"/>
                <w:szCs w:val="16"/>
                <w:lang w:eastAsia="en-GB" w:bidi="ar-SA"/>
              </w:rPr>
            </w:pPr>
            <w:r>
              <w:rPr>
                <w:rFonts w:cs="Arial"/>
                <w:b/>
                <w:sz w:val="16"/>
                <w:szCs w:val="16"/>
                <w:lang w:eastAsia="en-GB" w:bidi="ar-SA"/>
              </w:rPr>
              <w:t>Registration Entity</w:t>
            </w:r>
          </w:p>
        </w:tc>
      </w:tr>
      <w:tr w:rsidR="00B97365" w14:paraId="519B99B9" w14:textId="77777777">
        <w:trPr>
          <w:jc w:val="center"/>
        </w:trPr>
        <w:tc>
          <w:tcPr>
            <w:tcW w:w="0" w:type="auto"/>
            <w:tcBorders>
              <w:top w:val="single" w:sz="6" w:space="0" w:color="auto"/>
              <w:left w:val="single" w:sz="4" w:space="0" w:color="auto"/>
              <w:bottom w:val="single" w:sz="4" w:space="0" w:color="auto"/>
              <w:right w:val="single" w:sz="6" w:space="0" w:color="auto"/>
            </w:tcBorders>
            <w:hideMark/>
          </w:tcPr>
          <w:p w14:paraId="5671155A" w14:textId="77777777" w:rsidR="00B97365" w:rsidRDefault="00000000">
            <w:pPr>
              <w:spacing w:before="0" w:after="200" w:line="276" w:lineRule="auto"/>
              <w:jc w:val="left"/>
              <w:rPr>
                <w:rFonts w:cs="Arial"/>
                <w:sz w:val="16"/>
                <w:szCs w:val="16"/>
                <w:lang w:eastAsia="en-GB" w:bidi="ar-SA"/>
              </w:rPr>
            </w:pPr>
            <w:r>
              <w:rPr>
                <w:rFonts w:cs="Arial"/>
                <w:sz w:val="16"/>
                <w:szCs w:val="16"/>
                <w:lang w:eastAsia="en-GB" w:bidi="ar-SA"/>
              </w:rPr>
              <w:t>SMDP OID</w:t>
            </w:r>
          </w:p>
          <w:p w14:paraId="4B4D0805" w14:textId="3178788D" w:rsidR="00B97365" w:rsidRDefault="00000000">
            <w:pPr>
              <w:spacing w:after="200" w:line="276" w:lineRule="auto"/>
              <w:rPr>
                <w:rFonts w:cs="Arial"/>
                <w:sz w:val="16"/>
                <w:szCs w:val="16"/>
                <w:lang w:eastAsia="en-GB" w:bidi="ar-SA"/>
              </w:rPr>
            </w:pPr>
            <w:r>
              <w:rPr>
                <w:rFonts w:cs="Arial"/>
                <w:sz w:val="16"/>
                <w:szCs w:val="16"/>
                <w:lang w:eastAsia="en-GB" w:bidi="ar-SA"/>
              </w:rPr>
              <w:t xml:space="preserve">(called DPID in </w:t>
            </w:r>
            <w:r>
              <w:rPr>
                <w:rFonts w:cs="Arial"/>
                <w:sz w:val="16"/>
                <w:szCs w:val="16"/>
                <w:lang w:eastAsia="en-GB" w:bidi="ar-SA"/>
              </w:rPr>
              <w:fldChar w:fldCharType="begin"/>
            </w:r>
            <w:r>
              <w:rPr>
                <w:rFonts w:cs="Arial"/>
                <w:sz w:val="16"/>
                <w:szCs w:val="16"/>
                <w:lang w:eastAsia="en-GB" w:bidi="ar-SA"/>
              </w:rPr>
              <w:instrText xml:space="preserve"> REF _Ref483303259 \r \h </w:instrText>
            </w:r>
            <w:r>
              <w:rPr>
                <w:rFonts w:cs="Arial"/>
                <w:sz w:val="16"/>
                <w:szCs w:val="16"/>
                <w:lang w:eastAsia="en-GB" w:bidi="ar-SA"/>
              </w:rPr>
            </w:r>
            <w:r>
              <w:rPr>
                <w:rFonts w:cs="Arial"/>
                <w:sz w:val="16"/>
                <w:szCs w:val="16"/>
                <w:lang w:eastAsia="en-GB" w:bidi="ar-SA"/>
              </w:rPr>
              <w:fldChar w:fldCharType="separate"/>
            </w:r>
            <w:r w:rsidR="001D5AD9">
              <w:rPr>
                <w:rFonts w:cs="Arial"/>
                <w:sz w:val="16"/>
                <w:szCs w:val="16"/>
                <w:lang w:eastAsia="en-GB" w:bidi="ar-SA"/>
              </w:rPr>
              <w:t>[1]</w:t>
            </w:r>
            <w:r>
              <w:rPr>
                <w:rFonts w:cs="Arial"/>
                <w:sz w:val="16"/>
                <w:szCs w:val="16"/>
                <w:lang w:eastAsia="en-GB" w:bidi="ar-SA"/>
              </w:rPr>
              <w:fldChar w:fldCharType="end"/>
            </w:r>
            <w:r>
              <w:rPr>
                <w:rFonts w:cs="Arial"/>
                <w:sz w:val="16"/>
                <w:szCs w:val="16"/>
                <w:lang w:eastAsia="en-GB" w:bidi="ar-SA"/>
              </w:rPr>
              <w:t>)</w:t>
            </w:r>
          </w:p>
        </w:tc>
        <w:tc>
          <w:tcPr>
            <w:tcW w:w="0" w:type="auto"/>
            <w:tcBorders>
              <w:top w:val="single" w:sz="6" w:space="0" w:color="auto"/>
              <w:left w:val="single" w:sz="6" w:space="0" w:color="auto"/>
              <w:bottom w:val="single" w:sz="4" w:space="0" w:color="auto"/>
              <w:right w:val="single" w:sz="6" w:space="0" w:color="auto"/>
            </w:tcBorders>
            <w:hideMark/>
          </w:tcPr>
          <w:p w14:paraId="653977FD" w14:textId="77777777" w:rsidR="00B97365" w:rsidRDefault="00000000">
            <w:pPr>
              <w:tabs>
                <w:tab w:val="left" w:pos="100"/>
              </w:tabs>
              <w:spacing w:before="0" w:after="200" w:line="276" w:lineRule="auto"/>
              <w:jc w:val="left"/>
              <w:rPr>
                <w:rFonts w:cs="Arial"/>
                <w:sz w:val="16"/>
                <w:szCs w:val="16"/>
                <w:lang w:eastAsia="en-GB" w:bidi="ar-SA"/>
              </w:rPr>
            </w:pPr>
            <w:r>
              <w:rPr>
                <w:rFonts w:cs="Arial"/>
                <w:sz w:val="16"/>
                <w:szCs w:val="16"/>
                <w:lang w:eastAsia="en-GB" w:bidi="ar-SA"/>
              </w:rPr>
              <w:t>within the ecosystem</w:t>
            </w:r>
          </w:p>
        </w:tc>
        <w:tc>
          <w:tcPr>
            <w:tcW w:w="0" w:type="auto"/>
            <w:tcBorders>
              <w:top w:val="single" w:sz="6" w:space="0" w:color="auto"/>
              <w:left w:val="single" w:sz="6" w:space="0" w:color="auto"/>
              <w:bottom w:val="single" w:sz="4" w:space="0" w:color="auto"/>
              <w:right w:val="single" w:sz="4" w:space="0" w:color="auto"/>
            </w:tcBorders>
            <w:hideMark/>
          </w:tcPr>
          <w:p w14:paraId="68BD0C62"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bidi="ar-SA"/>
              </w:rPr>
              <w:t>ISO</w:t>
            </w:r>
          </w:p>
          <w:p w14:paraId="379105E3" w14:textId="77777777" w:rsidR="00B97365" w:rsidRDefault="00000000">
            <w:pPr>
              <w:tabs>
                <w:tab w:val="left" w:pos="58"/>
              </w:tabs>
              <w:spacing w:before="0" w:after="200" w:line="276" w:lineRule="auto"/>
              <w:jc w:val="left"/>
              <w:rPr>
                <w:rFonts w:cs="Arial"/>
                <w:sz w:val="16"/>
                <w:szCs w:val="16"/>
                <w:lang w:eastAsia="en-GB" w:bidi="ar-SA"/>
              </w:rPr>
            </w:pPr>
            <w:r>
              <w:rPr>
                <w:rFonts w:cs="Arial"/>
                <w:sz w:val="16"/>
                <w:szCs w:val="16"/>
                <w:lang w:eastAsia="en-GB"/>
              </w:rPr>
              <w:t>1.3.6.1.4.1</w:t>
            </w:r>
          </w:p>
        </w:tc>
      </w:tr>
    </w:tbl>
    <w:p w14:paraId="59653A41" w14:textId="77777777" w:rsidR="00B97365" w:rsidRDefault="00B97365">
      <w:pPr>
        <w:rPr>
          <w:rFonts w:cs="Calibri"/>
        </w:rPr>
      </w:pPr>
    </w:p>
    <w:p w14:paraId="1B78A69C" w14:textId="77777777" w:rsidR="00B97365" w:rsidRDefault="00000000">
      <w:pPr>
        <w:rPr>
          <w:rFonts w:cs="Arial"/>
          <w:b/>
          <w:u w:val="single"/>
        </w:rPr>
      </w:pPr>
      <w:bookmarkStart w:id="12065" w:name="_Toc420595159"/>
      <w:r>
        <w:rPr>
          <w:rFonts w:cs="Arial"/>
          <w:b/>
          <w:u w:val="single"/>
        </w:rPr>
        <w:t>Operator Identifier</w:t>
      </w:r>
      <w:bookmarkEnd w:id="12065"/>
    </w:p>
    <w:p w14:paraId="7E9C5DB9" w14:textId="77777777" w:rsidR="00B97365" w:rsidRDefault="00B9736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19"/>
        <w:gridCol w:w="1702"/>
        <w:gridCol w:w="3666"/>
      </w:tblGrid>
      <w:tr w:rsidR="00B97365" w14:paraId="387280D8" w14:textId="77777777">
        <w:trPr>
          <w:jc w:val="center"/>
        </w:trPr>
        <w:tc>
          <w:tcPr>
            <w:tcW w:w="0" w:type="auto"/>
            <w:tcBorders>
              <w:top w:val="single" w:sz="4" w:space="0" w:color="auto"/>
              <w:left w:val="single" w:sz="4" w:space="0" w:color="auto"/>
              <w:bottom w:val="single" w:sz="6" w:space="0" w:color="auto"/>
              <w:right w:val="single" w:sz="6" w:space="0" w:color="auto"/>
            </w:tcBorders>
            <w:shd w:val="clear" w:color="auto" w:fill="C00000"/>
            <w:vAlign w:val="center"/>
            <w:hideMark/>
          </w:tcPr>
          <w:p w14:paraId="4FC4851B" w14:textId="77777777" w:rsidR="00B97365" w:rsidRDefault="00000000">
            <w:pPr>
              <w:spacing w:after="200" w:line="276" w:lineRule="auto"/>
              <w:jc w:val="center"/>
              <w:rPr>
                <w:rFonts w:cs="Arial"/>
                <w:b/>
                <w:sz w:val="16"/>
                <w:szCs w:val="16"/>
                <w:lang w:eastAsia="en-GB" w:bidi="ar-SA"/>
              </w:rPr>
            </w:pPr>
            <w:r>
              <w:rPr>
                <w:rFonts w:cs="Arial"/>
                <w:b/>
                <w:sz w:val="16"/>
                <w:szCs w:val="16"/>
                <w:lang w:eastAsia="en-GB" w:bidi="ar-SA"/>
              </w:rPr>
              <w:t>Identifier</w:t>
            </w:r>
          </w:p>
        </w:tc>
        <w:tc>
          <w:tcPr>
            <w:tcW w:w="0" w:type="auto"/>
            <w:tcBorders>
              <w:top w:val="single" w:sz="4" w:space="0" w:color="auto"/>
              <w:left w:val="single" w:sz="6" w:space="0" w:color="auto"/>
              <w:bottom w:val="single" w:sz="6" w:space="0" w:color="auto"/>
              <w:right w:val="single" w:sz="6" w:space="0" w:color="auto"/>
            </w:tcBorders>
            <w:shd w:val="clear" w:color="auto" w:fill="C00000"/>
            <w:vAlign w:val="center"/>
            <w:hideMark/>
          </w:tcPr>
          <w:p w14:paraId="4133433C" w14:textId="77777777" w:rsidR="00B97365" w:rsidRDefault="00000000">
            <w:pPr>
              <w:spacing w:before="0" w:after="200" w:line="276" w:lineRule="auto"/>
              <w:jc w:val="center"/>
              <w:rPr>
                <w:rFonts w:cs="Arial"/>
                <w:b/>
                <w:sz w:val="16"/>
                <w:szCs w:val="16"/>
                <w:lang w:eastAsia="en-GB" w:bidi="ar-SA"/>
              </w:rPr>
            </w:pPr>
            <w:r>
              <w:rPr>
                <w:rFonts w:cs="Arial"/>
                <w:b/>
                <w:sz w:val="16"/>
                <w:szCs w:val="16"/>
                <w:lang w:eastAsia="en-GB" w:bidi="ar-SA"/>
              </w:rPr>
              <w:t>Uniqueness</w:t>
            </w:r>
          </w:p>
        </w:tc>
        <w:tc>
          <w:tcPr>
            <w:tcW w:w="0" w:type="auto"/>
            <w:tcBorders>
              <w:top w:val="single" w:sz="4" w:space="0" w:color="auto"/>
              <w:left w:val="single" w:sz="6" w:space="0" w:color="auto"/>
              <w:bottom w:val="single" w:sz="6" w:space="0" w:color="auto"/>
              <w:right w:val="single" w:sz="4" w:space="0" w:color="auto"/>
            </w:tcBorders>
            <w:shd w:val="clear" w:color="auto" w:fill="C00000"/>
            <w:vAlign w:val="center"/>
            <w:hideMark/>
          </w:tcPr>
          <w:p w14:paraId="66A73A3F" w14:textId="77777777" w:rsidR="00B97365" w:rsidRDefault="00000000">
            <w:pPr>
              <w:spacing w:before="0" w:after="200" w:line="276" w:lineRule="auto"/>
              <w:jc w:val="center"/>
              <w:rPr>
                <w:rFonts w:cs="Arial"/>
                <w:b/>
                <w:sz w:val="16"/>
                <w:szCs w:val="16"/>
                <w:lang w:eastAsia="en-GB" w:bidi="ar-SA"/>
              </w:rPr>
            </w:pPr>
            <w:r>
              <w:rPr>
                <w:rFonts w:cs="Arial"/>
                <w:b/>
                <w:sz w:val="16"/>
                <w:szCs w:val="16"/>
                <w:lang w:eastAsia="en-GB" w:bidi="ar-SA"/>
              </w:rPr>
              <w:t>Registration Entity</w:t>
            </w:r>
          </w:p>
        </w:tc>
      </w:tr>
      <w:tr w:rsidR="00B97365" w14:paraId="2C4A5E1B" w14:textId="7777777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1BC59EE9" w14:textId="77777777" w:rsidR="00B97365" w:rsidRDefault="00000000">
            <w:pPr>
              <w:tabs>
                <w:tab w:val="left" w:pos="0"/>
              </w:tabs>
              <w:spacing w:before="0" w:after="200" w:line="276" w:lineRule="auto"/>
              <w:jc w:val="center"/>
              <w:rPr>
                <w:rFonts w:cs="Arial"/>
                <w:sz w:val="16"/>
                <w:szCs w:val="16"/>
                <w:lang w:eastAsia="en-GB" w:bidi="ar-SA"/>
              </w:rPr>
            </w:pPr>
            <w:r>
              <w:rPr>
                <w:rFonts w:cs="Arial"/>
                <w:sz w:val="16"/>
                <w:szCs w:val="16"/>
                <w:lang w:eastAsia="en-GB" w:bidi="ar-SA"/>
              </w:rPr>
              <w:t>Operator OID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76E0C37" w14:textId="77777777" w:rsidR="00B97365" w:rsidRDefault="00000000">
            <w:pPr>
              <w:tabs>
                <w:tab w:val="left" w:pos="100"/>
              </w:tabs>
              <w:spacing w:before="0" w:after="200" w:line="276" w:lineRule="auto"/>
              <w:jc w:val="center"/>
              <w:rPr>
                <w:rFonts w:cs="Arial"/>
                <w:sz w:val="16"/>
                <w:szCs w:val="16"/>
                <w:lang w:eastAsia="en-GB" w:bidi="ar-SA"/>
              </w:rPr>
            </w:pPr>
            <w:r>
              <w:rPr>
                <w:rFonts w:cs="Arial"/>
                <w:sz w:val="16"/>
                <w:szCs w:val="16"/>
                <w:lang w:eastAsia="en-GB" w:bidi="ar-SA"/>
              </w:rPr>
              <w:t>within the ecosystem</w:t>
            </w:r>
          </w:p>
        </w:tc>
        <w:tc>
          <w:tcPr>
            <w:tcW w:w="0" w:type="auto"/>
            <w:tcBorders>
              <w:top w:val="single" w:sz="6" w:space="0" w:color="auto"/>
              <w:left w:val="single" w:sz="6" w:space="0" w:color="auto"/>
              <w:bottom w:val="single" w:sz="6" w:space="0" w:color="auto"/>
              <w:right w:val="single" w:sz="4" w:space="0" w:color="auto"/>
            </w:tcBorders>
            <w:vAlign w:val="center"/>
            <w:hideMark/>
          </w:tcPr>
          <w:p w14:paraId="23D75CF8" w14:textId="77777777" w:rsidR="00B97365" w:rsidRDefault="00000000">
            <w:pPr>
              <w:tabs>
                <w:tab w:val="left" w:pos="58"/>
              </w:tabs>
              <w:spacing w:before="0" w:after="200" w:line="276" w:lineRule="auto"/>
              <w:jc w:val="center"/>
              <w:rPr>
                <w:rFonts w:cs="Arial"/>
                <w:sz w:val="16"/>
                <w:szCs w:val="16"/>
                <w:lang w:eastAsia="en-GB" w:bidi="ar-SA"/>
              </w:rPr>
            </w:pPr>
            <w:r>
              <w:rPr>
                <w:rFonts w:cs="Arial"/>
                <w:sz w:val="16"/>
                <w:szCs w:val="16"/>
                <w:lang w:eastAsia="en-GB" w:bidi="ar-SA"/>
              </w:rPr>
              <w:t>ISO</w:t>
            </w:r>
          </w:p>
          <w:p w14:paraId="18165868" w14:textId="77777777" w:rsidR="00B97365" w:rsidRDefault="00000000">
            <w:pPr>
              <w:tabs>
                <w:tab w:val="left" w:pos="58"/>
              </w:tabs>
              <w:spacing w:before="0" w:after="200" w:line="276" w:lineRule="auto"/>
              <w:jc w:val="center"/>
              <w:rPr>
                <w:rFonts w:cs="Arial"/>
                <w:sz w:val="16"/>
                <w:szCs w:val="16"/>
                <w:lang w:eastAsia="en-GB" w:bidi="ar-SA"/>
              </w:rPr>
            </w:pPr>
            <w:r>
              <w:rPr>
                <w:rFonts w:cs="Arial"/>
                <w:sz w:val="16"/>
                <w:szCs w:val="16"/>
                <w:lang w:eastAsia="en-GB"/>
              </w:rPr>
              <w:t>1.3.6.1.4.1</w:t>
            </w:r>
          </w:p>
        </w:tc>
      </w:tr>
      <w:tr w:rsidR="00B97365" w14:paraId="1A5908A6" w14:textId="77777777">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14:paraId="3C0900DC" w14:textId="77777777" w:rsidR="00B97365" w:rsidRDefault="00000000">
            <w:pPr>
              <w:tabs>
                <w:tab w:val="left" w:pos="0"/>
              </w:tabs>
              <w:spacing w:before="0" w:after="200" w:line="276" w:lineRule="auto"/>
              <w:jc w:val="center"/>
              <w:rPr>
                <w:rFonts w:cs="Arial"/>
                <w:sz w:val="16"/>
                <w:szCs w:val="16"/>
                <w:lang w:eastAsia="en-GB" w:bidi="ar-SA"/>
              </w:rPr>
            </w:pPr>
            <w:r>
              <w:rPr>
                <w:rFonts w:cs="Arial"/>
                <w:sz w:val="16"/>
                <w:szCs w:val="16"/>
                <w:lang w:eastAsia="en-GB" w:bidi="ar-SA"/>
              </w:rPr>
              <w:t>MCC+MNC (IMSI)</w:t>
            </w:r>
          </w:p>
        </w:tc>
        <w:tc>
          <w:tcPr>
            <w:tcW w:w="0" w:type="auto"/>
            <w:tcBorders>
              <w:top w:val="single" w:sz="6" w:space="0" w:color="auto"/>
              <w:left w:val="single" w:sz="6" w:space="0" w:color="auto"/>
              <w:bottom w:val="single" w:sz="4" w:space="0" w:color="auto"/>
              <w:right w:val="single" w:sz="6" w:space="0" w:color="auto"/>
            </w:tcBorders>
            <w:vAlign w:val="center"/>
            <w:hideMark/>
          </w:tcPr>
          <w:p w14:paraId="4072C39A" w14:textId="77777777" w:rsidR="00B97365" w:rsidRDefault="00000000">
            <w:pPr>
              <w:tabs>
                <w:tab w:val="left" w:pos="100"/>
              </w:tabs>
              <w:spacing w:before="0" w:after="200" w:line="276" w:lineRule="auto"/>
              <w:jc w:val="center"/>
              <w:rPr>
                <w:rFonts w:cs="Arial"/>
                <w:sz w:val="16"/>
                <w:szCs w:val="16"/>
                <w:lang w:eastAsia="en-GB" w:bidi="ar-SA"/>
              </w:rPr>
            </w:pPr>
            <w:r>
              <w:rPr>
                <w:rFonts w:cs="Arial"/>
                <w:sz w:val="16"/>
                <w:szCs w:val="16"/>
                <w:lang w:eastAsia="en-GB" w:bidi="ar-SA"/>
              </w:rPr>
              <w:t>Global</w:t>
            </w:r>
          </w:p>
        </w:tc>
        <w:tc>
          <w:tcPr>
            <w:tcW w:w="0" w:type="auto"/>
            <w:tcBorders>
              <w:top w:val="single" w:sz="6" w:space="0" w:color="auto"/>
              <w:left w:val="single" w:sz="6" w:space="0" w:color="auto"/>
              <w:bottom w:val="single" w:sz="4" w:space="0" w:color="auto"/>
              <w:right w:val="single" w:sz="4" w:space="0" w:color="auto"/>
            </w:tcBorders>
            <w:vAlign w:val="center"/>
            <w:hideMark/>
          </w:tcPr>
          <w:p w14:paraId="0DC6AFF5" w14:textId="77777777" w:rsidR="00B97365" w:rsidRDefault="00000000">
            <w:pPr>
              <w:tabs>
                <w:tab w:val="left" w:pos="58"/>
              </w:tabs>
              <w:spacing w:before="0" w:after="200" w:line="276" w:lineRule="auto"/>
              <w:jc w:val="center"/>
              <w:rPr>
                <w:rFonts w:cs="Arial"/>
                <w:sz w:val="16"/>
                <w:szCs w:val="16"/>
                <w:lang w:eastAsia="en-GB" w:bidi="ar-SA"/>
              </w:rPr>
            </w:pPr>
            <w:r>
              <w:rPr>
                <w:rFonts w:cs="Arial"/>
                <w:sz w:val="16"/>
                <w:szCs w:val="16"/>
                <w:lang w:eastAsia="en-GB" w:bidi="ar-SA"/>
              </w:rPr>
              <w:t>ITU-T for MCC and National Regulators for MNC</w:t>
            </w:r>
          </w:p>
        </w:tc>
      </w:tr>
    </w:tbl>
    <w:p w14:paraId="64AD7615" w14:textId="77777777" w:rsidR="00B97365" w:rsidRDefault="00B97365">
      <w:pPr>
        <w:spacing w:before="0"/>
        <w:jc w:val="left"/>
        <w:rPr>
          <w:lang w:eastAsia="en-US"/>
        </w:rPr>
      </w:pPr>
    </w:p>
    <w:p w14:paraId="6D980328" w14:textId="77777777" w:rsidR="00B97365" w:rsidRDefault="00B97365">
      <w:pPr>
        <w:spacing w:before="0"/>
        <w:jc w:val="left"/>
        <w:rPr>
          <w:lang w:eastAsia="en-US"/>
        </w:rPr>
      </w:pPr>
    </w:p>
    <w:p w14:paraId="7BBDF536" w14:textId="77777777" w:rsidR="00B97365" w:rsidRDefault="00B97365">
      <w:pPr>
        <w:spacing w:before="0"/>
        <w:jc w:val="left"/>
        <w:rPr>
          <w:lang w:eastAsia="en-US"/>
        </w:rPr>
      </w:pPr>
    </w:p>
    <w:p w14:paraId="4175172C" w14:textId="77777777" w:rsidR="00B97365" w:rsidRDefault="00000000">
      <w:pPr>
        <w:keepNext/>
        <w:keepLines/>
        <w:numPr>
          <w:ilvl w:val="0"/>
          <w:numId w:val="36"/>
        </w:numPr>
        <w:spacing w:before="360" w:after="60" w:line="276" w:lineRule="auto"/>
        <w:jc w:val="left"/>
        <w:outlineLvl w:val="0"/>
        <w:rPr>
          <w:b/>
          <w:sz w:val="28"/>
          <w:lang w:eastAsia="en-US"/>
        </w:rPr>
      </w:pPr>
      <w:bookmarkStart w:id="12066" w:name="_Toc448998382"/>
      <w:bookmarkStart w:id="12067" w:name="_Ref448988341"/>
      <w:bookmarkStart w:id="12068" w:name="_Toc422150952"/>
      <w:bookmarkStart w:id="12069" w:name="_Toc421874537"/>
      <w:bookmarkStart w:id="12070" w:name="_Toc486332999"/>
      <w:bookmarkStart w:id="12071" w:name="_Toc1977519"/>
      <w:bookmarkStart w:id="12072" w:name="_Toc37062678"/>
      <w:bookmarkStart w:id="12073" w:name="_Toc88839718"/>
      <w:bookmarkStart w:id="12074" w:name="_Toc121504126"/>
      <w:r>
        <w:rPr>
          <w:b/>
          <w:sz w:val="28"/>
          <w:lang w:eastAsia="en-US"/>
        </w:rPr>
        <w:t>Verification of EID</w:t>
      </w:r>
      <w:bookmarkEnd w:id="12066"/>
      <w:bookmarkEnd w:id="12067"/>
      <w:bookmarkEnd w:id="12068"/>
      <w:bookmarkEnd w:id="12069"/>
      <w:r>
        <w:rPr>
          <w:b/>
          <w:sz w:val="28"/>
          <w:lang w:eastAsia="en-US"/>
        </w:rPr>
        <w:t xml:space="preserve"> (Informative)</w:t>
      </w:r>
      <w:bookmarkEnd w:id="12070"/>
      <w:bookmarkEnd w:id="12071"/>
      <w:bookmarkEnd w:id="12072"/>
      <w:bookmarkEnd w:id="12073"/>
      <w:bookmarkEnd w:id="12074"/>
    </w:p>
    <w:p w14:paraId="4406C4E2" w14:textId="77777777" w:rsidR="00B97365" w:rsidRDefault="00000000">
      <w:pPr>
        <w:tabs>
          <w:tab w:val="left" w:pos="680"/>
        </w:tabs>
        <w:rPr>
          <w:rFonts w:cs="Arial"/>
        </w:rPr>
      </w:pPr>
      <w:r>
        <w:rPr>
          <w:rFonts w:cs="Arial"/>
        </w:rPr>
        <w:t>Verification of an EID is performed as follows:</w:t>
      </w:r>
    </w:p>
    <w:p w14:paraId="52BBDA08" w14:textId="77777777" w:rsidR="00B97365" w:rsidRDefault="00000000">
      <w:pPr>
        <w:numPr>
          <w:ilvl w:val="0"/>
          <w:numId w:val="34"/>
        </w:numPr>
        <w:tabs>
          <w:tab w:val="left" w:pos="720"/>
        </w:tabs>
        <w:spacing w:before="0" w:after="200" w:line="276" w:lineRule="auto"/>
        <w:ind w:left="700"/>
        <w:contextualSpacing/>
        <w:jc w:val="left"/>
      </w:pPr>
      <w:r>
        <w:t>Using the 32 digits as a decimal integer, compute the remainder of that number on division by 97.</w:t>
      </w:r>
    </w:p>
    <w:p w14:paraId="0BA84D23" w14:textId="77777777" w:rsidR="00B97365" w:rsidRDefault="00000000">
      <w:pPr>
        <w:numPr>
          <w:ilvl w:val="0"/>
          <w:numId w:val="34"/>
        </w:numPr>
        <w:tabs>
          <w:tab w:val="left" w:pos="720"/>
        </w:tabs>
        <w:spacing w:before="0" w:after="200" w:line="276" w:lineRule="auto"/>
        <w:ind w:left="700"/>
        <w:contextualSpacing/>
        <w:jc w:val="left"/>
      </w:pPr>
      <w:r>
        <w:t>If the remainder of the division is 1, the verification is successful; else the EID is invalid.</w:t>
      </w:r>
    </w:p>
    <w:p w14:paraId="52A3DE3A" w14:textId="77777777" w:rsidR="00B97365" w:rsidRDefault="00000000">
      <w:pPr>
        <w:spacing w:line="276" w:lineRule="auto"/>
        <w:ind w:left="1560" w:hanging="1276"/>
        <w:jc w:val="left"/>
      </w:pPr>
      <w:r>
        <w:rPr>
          <w:rFonts w:cs="Arial"/>
        </w:rPr>
        <w:t xml:space="preserve">NOTE: </w:t>
      </w:r>
      <w:r>
        <w:rPr>
          <w:rFonts w:cs="Arial"/>
        </w:rPr>
        <w:tab/>
      </w:r>
      <w:r>
        <w:rPr>
          <w:szCs w:val="22"/>
          <w:lang w:val="en-US" w:eastAsia="en-GB" w:bidi="ar-SA"/>
        </w:rPr>
        <w:t>Examples</w:t>
      </w:r>
      <w:r>
        <w:t xml:space="preserve"> of valid EIDs are:</w:t>
      </w:r>
    </w:p>
    <w:p w14:paraId="73913ED8" w14:textId="77777777" w:rsidR="00B97365" w:rsidRDefault="00000000">
      <w:pPr>
        <w:numPr>
          <w:ilvl w:val="0"/>
          <w:numId w:val="48"/>
        </w:numPr>
        <w:spacing w:before="0" w:after="200" w:line="276" w:lineRule="auto"/>
        <w:contextualSpacing/>
      </w:pPr>
      <w:r>
        <w:t>8900 1012 0123 4123 4012 3456 7890 1224</w:t>
      </w:r>
    </w:p>
    <w:p w14:paraId="2624D443" w14:textId="77777777" w:rsidR="00B97365" w:rsidRDefault="00000000">
      <w:pPr>
        <w:numPr>
          <w:ilvl w:val="0"/>
          <w:numId w:val="48"/>
        </w:numPr>
        <w:spacing w:before="0" w:after="200" w:line="276" w:lineRule="auto"/>
        <w:contextualSpacing/>
      </w:pPr>
      <w:r>
        <w:t>8900 1567 01020304 0506 0708 0910 1152</w:t>
      </w:r>
    </w:p>
    <w:p w14:paraId="6DEFE87A" w14:textId="77777777" w:rsidR="00B97365" w:rsidRDefault="00000000">
      <w:pPr>
        <w:numPr>
          <w:ilvl w:val="0"/>
          <w:numId w:val="48"/>
        </w:numPr>
        <w:spacing w:before="0" w:after="200" w:line="276" w:lineRule="auto"/>
        <w:contextualSpacing/>
      </w:pPr>
      <w:r>
        <w:t>8904 4011 1122 3344 1122 3344 1122 3321</w:t>
      </w:r>
    </w:p>
    <w:p w14:paraId="27B67DDE" w14:textId="77777777" w:rsidR="00B97365" w:rsidRDefault="00000000">
      <w:pPr>
        <w:keepNext/>
        <w:keepLines/>
        <w:numPr>
          <w:ilvl w:val="0"/>
          <w:numId w:val="36"/>
        </w:numPr>
        <w:spacing w:before="360" w:after="60" w:line="276" w:lineRule="auto"/>
        <w:jc w:val="left"/>
        <w:outlineLvl w:val="0"/>
        <w:rPr>
          <w:b/>
          <w:sz w:val="28"/>
          <w:lang w:eastAsia="en-US"/>
        </w:rPr>
      </w:pPr>
      <w:bookmarkStart w:id="12075" w:name="_Ref479326170"/>
      <w:bookmarkStart w:id="12076" w:name="_Toc486333000"/>
      <w:bookmarkStart w:id="12077" w:name="_Toc1977520"/>
      <w:bookmarkStart w:id="12078" w:name="_Toc37062679"/>
      <w:bookmarkStart w:id="12079" w:name="_Toc88839719"/>
      <w:bookmarkStart w:id="12080" w:name="_Toc121504127"/>
      <w:bookmarkStart w:id="12081" w:name="_Toc448998383"/>
      <w:bookmarkStart w:id="12082" w:name="_Toc422150953"/>
      <w:bookmarkStart w:id="12083" w:name="_Toc421874538"/>
      <w:bookmarkStart w:id="12084" w:name="_Toc420595160"/>
      <w:bookmarkStart w:id="12085" w:name="_Toc375158523"/>
      <w:bookmarkStart w:id="12086" w:name="_Toc398215108"/>
      <w:bookmarkStart w:id="12087" w:name="_Toc375158524"/>
      <w:bookmarkStart w:id="12088" w:name="_Toc375056760"/>
      <w:bookmarkStart w:id="12089" w:name="_Toc372031187"/>
      <w:bookmarkStart w:id="12090" w:name="_Toc346908996"/>
      <w:r>
        <w:rPr>
          <w:b/>
          <w:sz w:val="28"/>
          <w:lang w:eastAsia="en-US"/>
        </w:rPr>
        <w:t>: Script Chaining implementation (Informative)</w:t>
      </w:r>
      <w:bookmarkEnd w:id="12075"/>
      <w:bookmarkEnd w:id="12076"/>
      <w:bookmarkEnd w:id="12077"/>
      <w:bookmarkEnd w:id="12078"/>
      <w:bookmarkEnd w:id="12079"/>
      <w:bookmarkEnd w:id="12080"/>
    </w:p>
    <w:p w14:paraId="1F0776B5" w14:textId="518A01FA" w:rsidR="00B97365" w:rsidRDefault="00000000">
      <w:pPr>
        <w:spacing w:before="0" w:after="200" w:line="276" w:lineRule="auto"/>
        <w:jc w:val="left"/>
        <w:rPr>
          <w:szCs w:val="22"/>
          <w:lang w:eastAsia="en-GB" w:bidi="ar-SA"/>
        </w:rPr>
      </w:pPr>
      <w:r>
        <w:rPr>
          <w:szCs w:val="22"/>
          <w:lang w:eastAsia="en-GB" w:bidi="ar-SA"/>
        </w:rPr>
        <w:t xml:space="preserve">Management of Script Chaining TLVs by the SM-SR MAY be performed as described in this annex. The value and semantics of the Script Chaining TLVs are defined in ETSI TS 102 226 </w:t>
      </w:r>
      <w:r>
        <w:rPr>
          <w:szCs w:val="22"/>
          <w:lang w:eastAsia="en-GB" w:bidi="ar-SA"/>
        </w:rPr>
        <w:fldChar w:fldCharType="begin"/>
      </w:r>
      <w:r>
        <w:rPr>
          <w:szCs w:val="22"/>
          <w:lang w:eastAsia="en-GB" w:bidi="ar-SA"/>
        </w:rPr>
        <w:instrText xml:space="preserve"> REF _Ref481770691 \r \h </w:instrText>
      </w:r>
      <w:r>
        <w:rPr>
          <w:szCs w:val="22"/>
          <w:lang w:eastAsia="en-GB" w:bidi="ar-SA"/>
        </w:rPr>
      </w:r>
      <w:r>
        <w:rPr>
          <w:szCs w:val="22"/>
          <w:lang w:eastAsia="en-GB" w:bidi="ar-SA"/>
        </w:rPr>
        <w:fldChar w:fldCharType="separate"/>
      </w:r>
      <w:r w:rsidR="001D5AD9">
        <w:rPr>
          <w:szCs w:val="22"/>
          <w:lang w:eastAsia="en-GB" w:bidi="ar-SA"/>
        </w:rPr>
        <w:t>[5]</w:t>
      </w:r>
      <w:r>
        <w:rPr>
          <w:szCs w:val="22"/>
          <w:lang w:eastAsia="en-GB" w:bidi="ar-SA"/>
        </w:rPr>
        <w:fldChar w:fldCharType="end"/>
      </w:r>
      <w:r>
        <w:rPr>
          <w:szCs w:val="22"/>
          <w:lang w:eastAsia="en-GB" w:bidi="ar-SA"/>
        </w:rPr>
        <w:t>.</w:t>
      </w:r>
    </w:p>
    <w:p w14:paraId="7C61B50C" w14:textId="77777777" w:rsidR="00B97365" w:rsidRDefault="00000000">
      <w:pPr>
        <w:spacing w:before="0" w:after="200" w:line="276" w:lineRule="auto"/>
        <w:jc w:val="left"/>
        <w:rPr>
          <w:szCs w:val="22"/>
          <w:lang w:eastAsia="en-GB" w:bidi="ar-SA"/>
        </w:rPr>
      </w:pPr>
      <w:r>
        <w:rPr>
          <w:szCs w:val="22"/>
          <w:lang w:eastAsia="en-GB" w:bidi="ar-SA"/>
        </w:rPr>
        <w:t>There are three cases where the Script Chaining implementation may be needed:</w:t>
      </w:r>
    </w:p>
    <w:p w14:paraId="4B6B8F82"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lastRenderedPageBreak/>
        <w:t>To chain the various sub commands scripts that result from segmenting a single command script sent in a single ES3.sendData call, if this command script is too big to fit into one transport APDU.</w:t>
      </w:r>
    </w:p>
    <w:p w14:paraId="786D5BB2"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To chain the two parts of the Key Establishment with Scenario#3-Mutual Authentication described in section 3.1.2.</w:t>
      </w:r>
    </w:p>
    <w:p w14:paraId="1663A3F8"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To chain two or more parts of the Download and Installation of the Profile as described in section 3.1.3 that have been sent in two or more ES3.sendData calls.</w:t>
      </w:r>
    </w:p>
    <w:p w14:paraId="07960E94" w14:textId="77777777" w:rsidR="00B97365" w:rsidRDefault="00000000">
      <w:pPr>
        <w:spacing w:before="0" w:after="200" w:line="276" w:lineRule="auto"/>
        <w:jc w:val="left"/>
        <w:rPr>
          <w:szCs w:val="22"/>
          <w:lang w:eastAsia="en-GB" w:bidi="ar-SA"/>
        </w:rPr>
      </w:pPr>
      <w:r>
        <w:rPr>
          <w:szCs w:val="22"/>
          <w:lang w:eastAsia="en-GB" w:bidi="ar-SA"/>
        </w:rPr>
        <w:t>The last two cases can be determined by the SM-SR, by inspecting the command script passed as argument of the ES3.sendData call, and recognise if:</w:t>
      </w:r>
    </w:p>
    <w:p w14:paraId="22BA010F"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it end with the “First STORE DATA command” C-APDU belonging to the EstablishISDPKeySet function.</w:t>
      </w:r>
    </w:p>
    <w:p w14:paraId="54C76641" w14:textId="77777777" w:rsidR="00B97365" w:rsidRDefault="00000000">
      <w:pPr>
        <w:numPr>
          <w:ilvl w:val="0"/>
          <w:numId w:val="11"/>
        </w:numPr>
        <w:tabs>
          <w:tab w:val="left" w:pos="680"/>
        </w:tabs>
        <w:spacing w:before="0" w:after="200" w:line="276" w:lineRule="auto"/>
        <w:contextualSpacing/>
        <w:jc w:val="left"/>
        <w:rPr>
          <w:szCs w:val="22"/>
          <w:lang w:eastAsia="en-GB" w:bidi="ar-SA"/>
        </w:rPr>
      </w:pPr>
      <w:r>
        <w:rPr>
          <w:szCs w:val="22"/>
          <w:lang w:eastAsia="en-GB" w:bidi="ar-SA"/>
        </w:rPr>
        <w:t xml:space="preserve">it starts with a SCP.03t TLV structure Initialize Update Command, External Authenticate Command or Command Data Field Encryption) belonging to the DownloadAndInstallation function. </w:t>
      </w:r>
    </w:p>
    <w:p w14:paraId="00AAA23C" w14:textId="77777777" w:rsidR="00B97365" w:rsidRDefault="00000000">
      <w:pPr>
        <w:spacing w:before="0" w:after="200" w:line="276" w:lineRule="auto"/>
        <w:jc w:val="left"/>
        <w:rPr>
          <w:szCs w:val="22"/>
          <w:lang w:eastAsia="en-GB" w:bidi="ar-SA"/>
        </w:rPr>
      </w:pPr>
      <w:r>
        <w:rPr>
          <w:szCs w:val="22"/>
          <w:lang w:eastAsia="en-GB" w:bidi="ar-SA"/>
        </w:rPr>
        <w:t xml:space="preserve">In all cases, if argument </w:t>
      </w:r>
      <w:r>
        <w:rPr>
          <w:rFonts w:ascii="Courier New" w:hAnsi="Courier New"/>
          <w:szCs w:val="22"/>
          <w:lang w:eastAsia="en-GB" w:bidi="ar-SA"/>
        </w:rPr>
        <w:t>moreToDo</w:t>
      </w:r>
      <w:r>
        <w:rPr>
          <w:szCs w:val="22"/>
          <w:lang w:eastAsia="en-GB" w:bidi="ar-SA"/>
        </w:rPr>
        <w:t xml:space="preserve"> of the ES3.sendData call is </w:t>
      </w:r>
      <w:r>
        <w:rPr>
          <w:rFonts w:ascii="Courier New" w:hAnsi="Courier New"/>
          <w:szCs w:val="22"/>
          <w:lang w:eastAsia="en-GB" w:bidi="ar-SA"/>
        </w:rPr>
        <w:t>false</w:t>
      </w:r>
      <w:r>
        <w:rPr>
          <w:szCs w:val="22"/>
          <w:lang w:eastAsia="en-GB" w:bidi="ar-SA"/>
        </w:rPr>
        <w:t>, there is no point to open a new chaining session (Script Chaining TLV with Script Chaining value of “</w:t>
      </w:r>
      <w:r>
        <w:rPr>
          <w:rFonts w:ascii="Courier New" w:hAnsi="Courier New"/>
          <w:szCs w:val="22"/>
          <w:lang w:eastAsia="en-GB" w:bidi="ar-SA"/>
        </w:rPr>
        <w:t>first script –xxx</w:t>
      </w:r>
      <w:r>
        <w:rPr>
          <w:szCs w:val="22"/>
          <w:lang w:eastAsia="en-GB" w:bidi="ar-SA"/>
        </w:rPr>
        <w:t>”), and if one such session is already open, it can be marked to terminate after this last script (by adding a Script Chaining TLV with Script Chaining value of “</w:t>
      </w:r>
      <w:r>
        <w:rPr>
          <w:rFonts w:ascii="Courier New" w:hAnsi="Courier New"/>
          <w:szCs w:val="22"/>
          <w:lang w:eastAsia="en-GB" w:bidi="ar-SA"/>
        </w:rPr>
        <w:t>subsequent script - last script</w:t>
      </w:r>
      <w:r>
        <w:rPr>
          <w:szCs w:val="22"/>
          <w:lang w:eastAsia="en-GB" w:bidi="ar-SA"/>
        </w:rPr>
        <w:t>”).</w:t>
      </w:r>
    </w:p>
    <w:p w14:paraId="2D1E8A60" w14:textId="77777777" w:rsidR="00B97365" w:rsidRDefault="00000000">
      <w:pPr>
        <w:spacing w:before="0"/>
        <w:jc w:val="left"/>
        <w:rPr>
          <w:szCs w:val="22"/>
          <w:lang w:eastAsia="en-GB" w:bidi="ar-SA"/>
        </w:rPr>
      </w:pPr>
      <w:r>
        <w:br w:type="page"/>
      </w:r>
    </w:p>
    <w:p w14:paraId="07AF4FA9" w14:textId="77777777" w:rsidR="00B97365" w:rsidRDefault="00B97365">
      <w:pPr>
        <w:spacing w:before="0" w:after="200" w:line="276" w:lineRule="auto"/>
        <w:jc w:val="left"/>
        <w:rPr>
          <w:szCs w:val="22"/>
          <w:lang w:eastAsia="en-GB" w:bidi="ar-SA"/>
        </w:rPr>
      </w:pPr>
    </w:p>
    <w:p w14:paraId="6B8FA9A5" w14:textId="77777777" w:rsidR="00B97365" w:rsidRDefault="00000000">
      <w:pPr>
        <w:keepNext/>
        <w:keepLines/>
        <w:numPr>
          <w:ilvl w:val="0"/>
          <w:numId w:val="8"/>
        </w:numPr>
        <w:spacing w:before="360" w:after="60" w:line="276" w:lineRule="auto"/>
        <w:jc w:val="left"/>
        <w:outlineLvl w:val="0"/>
        <w:rPr>
          <w:b/>
          <w:sz w:val="28"/>
        </w:rPr>
      </w:pPr>
      <w:bookmarkStart w:id="12091" w:name="_Toc1977521"/>
      <w:bookmarkStart w:id="12092" w:name="_Toc37062680"/>
      <w:bookmarkStart w:id="12093" w:name="_Toc88839720"/>
      <w:bookmarkStart w:id="12094" w:name="_Toc121504128"/>
      <w:r>
        <w:rPr>
          <w:b/>
          <w:sz w:val="28"/>
        </w:rPr>
        <w:t>Examples of PLMA Setting (Informative)</w:t>
      </w:r>
      <w:bookmarkEnd w:id="12091"/>
      <w:bookmarkEnd w:id="12092"/>
      <w:bookmarkEnd w:id="12093"/>
      <w:bookmarkEnd w:id="12094"/>
    </w:p>
    <w:p w14:paraId="016C1DB0" w14:textId="77777777" w:rsidR="00B97365" w:rsidRDefault="00000000">
      <w:pPr>
        <w:tabs>
          <w:tab w:val="left" w:pos="1009"/>
        </w:tabs>
        <w:spacing w:after="200" w:line="276" w:lineRule="auto"/>
        <w:rPr>
          <w:rFonts w:cs="Arial"/>
          <w:lang w:val="en-US" w:eastAsia="de-DE" w:bidi="ar-SA"/>
        </w:rPr>
      </w:pPr>
      <w:r>
        <w:rPr>
          <w:rFonts w:cs="Arial"/>
          <w:lang w:val="en-US" w:eastAsia="de-DE" w:bidi="ar-SA"/>
        </w:rPr>
        <w:t>This annex presents a fictitious scenario where an Operator1 identified by its mno-id=6.7.8.9 successively calls one of the SetPLMA operations, and illustrates how this affects the authorisations for the specified M2M SP identified by an OID=1.2.3.4.</w:t>
      </w:r>
    </w:p>
    <w:p w14:paraId="2BBB92AD" w14:textId="77777777" w:rsidR="00B97365" w:rsidRDefault="00000000">
      <w:pPr>
        <w:tabs>
          <w:tab w:val="left" w:pos="1009"/>
        </w:tabs>
        <w:spacing w:after="200" w:line="276" w:lineRule="auto"/>
        <w:rPr>
          <w:rFonts w:cs="Arial"/>
          <w:lang w:val="en-US" w:eastAsia="de-DE" w:bidi="ar-SA"/>
        </w:rPr>
      </w:pPr>
      <w:r>
        <w:rPr>
          <w:rFonts w:cs="Arial"/>
          <w:lang w:val="en-US" w:eastAsia="de-DE" w:bidi="ar-SA"/>
        </w:rPr>
        <w:t>The table reads with time ascending from top to bottom.</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54"/>
        <w:gridCol w:w="861"/>
        <w:gridCol w:w="774"/>
        <w:gridCol w:w="825"/>
        <w:gridCol w:w="1843"/>
        <w:gridCol w:w="3543"/>
      </w:tblGrid>
      <w:tr w:rsidR="00B97365" w14:paraId="48237C38" w14:textId="77777777">
        <w:trPr>
          <w:trHeight w:val="342"/>
          <w:jc w:val="center"/>
        </w:trPr>
        <w:tc>
          <w:tcPr>
            <w:tcW w:w="654" w:type="dxa"/>
            <w:tcBorders>
              <w:top w:val="single" w:sz="4" w:space="0" w:color="auto"/>
              <w:left w:val="single" w:sz="4" w:space="0" w:color="auto"/>
              <w:bottom w:val="single" w:sz="6" w:space="0" w:color="auto"/>
              <w:right w:val="single" w:sz="6" w:space="0" w:color="auto"/>
            </w:tcBorders>
            <w:shd w:val="clear" w:color="auto" w:fill="C00000"/>
            <w:hideMark/>
          </w:tcPr>
          <w:p w14:paraId="55F6B0FE" w14:textId="77777777" w:rsidR="00B97365" w:rsidRDefault="00000000">
            <w:pPr>
              <w:jc w:val="center"/>
              <w:rPr>
                <w:rFonts w:cs="Calibri"/>
                <w:b/>
                <w:color w:val="FFFFFF"/>
                <w:sz w:val="16"/>
                <w:szCs w:val="16"/>
              </w:rPr>
            </w:pPr>
            <w:r>
              <w:rPr>
                <w:rFonts w:cs="Arial"/>
                <w:b/>
                <w:bCs/>
                <w:lang w:val="de-DE" w:eastAsia="de-DE" w:bidi="ar-SA"/>
              </w:rPr>
              <w:t>Time</w:t>
            </w:r>
          </w:p>
        </w:tc>
        <w:tc>
          <w:tcPr>
            <w:tcW w:w="861" w:type="dxa"/>
            <w:tcBorders>
              <w:top w:val="single" w:sz="4" w:space="0" w:color="auto"/>
              <w:left w:val="single" w:sz="6" w:space="0" w:color="auto"/>
              <w:bottom w:val="single" w:sz="6" w:space="0" w:color="auto"/>
              <w:right w:val="single" w:sz="6" w:space="0" w:color="auto"/>
            </w:tcBorders>
            <w:shd w:val="clear" w:color="auto" w:fill="C00000"/>
            <w:hideMark/>
          </w:tcPr>
          <w:p w14:paraId="73F0E3D0" w14:textId="77777777" w:rsidR="00B97365" w:rsidRDefault="00000000">
            <w:pPr>
              <w:jc w:val="center"/>
              <w:rPr>
                <w:rFonts w:cs="Calibri"/>
                <w:b/>
                <w:color w:val="FFFFFF"/>
                <w:sz w:val="16"/>
                <w:szCs w:val="16"/>
              </w:rPr>
            </w:pPr>
            <w:r>
              <w:rPr>
                <w:rFonts w:cs="Arial"/>
                <w:b/>
                <w:bCs/>
                <w:lang w:val="de-DE" w:eastAsia="de-DE" w:bidi="ar-SA"/>
              </w:rPr>
              <w:t>mno-id</w:t>
            </w:r>
          </w:p>
        </w:tc>
        <w:tc>
          <w:tcPr>
            <w:tcW w:w="774" w:type="dxa"/>
            <w:tcBorders>
              <w:top w:val="single" w:sz="4" w:space="0" w:color="auto"/>
              <w:left w:val="single" w:sz="6" w:space="0" w:color="auto"/>
              <w:bottom w:val="single" w:sz="6" w:space="0" w:color="auto"/>
              <w:right w:val="single" w:sz="6" w:space="0" w:color="auto"/>
            </w:tcBorders>
            <w:shd w:val="clear" w:color="auto" w:fill="C00000"/>
            <w:hideMark/>
          </w:tcPr>
          <w:p w14:paraId="7B609B7E" w14:textId="77777777" w:rsidR="00B97365" w:rsidRDefault="00000000">
            <w:pPr>
              <w:jc w:val="center"/>
              <w:rPr>
                <w:rFonts w:cs="Calibri"/>
                <w:b/>
                <w:color w:val="FFFFFF"/>
                <w:sz w:val="16"/>
                <w:szCs w:val="16"/>
              </w:rPr>
            </w:pPr>
            <w:r>
              <w:rPr>
                <w:rFonts w:cs="Arial"/>
                <w:b/>
                <w:bCs/>
                <w:lang w:val="de-DE" w:eastAsia="de-DE" w:bidi="ar-SA"/>
              </w:rPr>
              <w:t>m2m-sp-id</w:t>
            </w:r>
          </w:p>
        </w:tc>
        <w:tc>
          <w:tcPr>
            <w:tcW w:w="825" w:type="dxa"/>
            <w:tcBorders>
              <w:top w:val="single" w:sz="4" w:space="0" w:color="auto"/>
              <w:left w:val="single" w:sz="6" w:space="0" w:color="auto"/>
              <w:bottom w:val="single" w:sz="6" w:space="0" w:color="auto"/>
              <w:right w:val="single" w:sz="6" w:space="0" w:color="auto"/>
            </w:tcBorders>
            <w:shd w:val="clear" w:color="auto" w:fill="C00000"/>
            <w:hideMark/>
          </w:tcPr>
          <w:p w14:paraId="443A3792" w14:textId="77777777" w:rsidR="00B97365" w:rsidRDefault="00000000">
            <w:pPr>
              <w:jc w:val="center"/>
              <w:rPr>
                <w:rFonts w:cs="Calibri"/>
                <w:b/>
                <w:color w:val="FFFFFF"/>
                <w:sz w:val="16"/>
                <w:szCs w:val="16"/>
              </w:rPr>
            </w:pPr>
            <w:r>
              <w:rPr>
                <w:rFonts w:cs="Arial"/>
                <w:b/>
                <w:bCs/>
                <w:lang w:val="de-DE" w:eastAsia="de-DE" w:bidi="ar-SA"/>
              </w:rPr>
              <w:t>profileType</w:t>
            </w:r>
          </w:p>
        </w:tc>
        <w:tc>
          <w:tcPr>
            <w:tcW w:w="1843" w:type="dxa"/>
            <w:tcBorders>
              <w:top w:val="single" w:sz="4" w:space="0" w:color="auto"/>
              <w:left w:val="single" w:sz="6" w:space="0" w:color="auto"/>
              <w:bottom w:val="single" w:sz="6" w:space="0" w:color="auto"/>
              <w:right w:val="single" w:sz="6" w:space="0" w:color="auto"/>
            </w:tcBorders>
            <w:shd w:val="clear" w:color="auto" w:fill="C00000"/>
          </w:tcPr>
          <w:p w14:paraId="0872AD31" w14:textId="77777777" w:rsidR="00B97365" w:rsidRDefault="00000000">
            <w:pPr>
              <w:jc w:val="center"/>
              <w:rPr>
                <w:rFonts w:cs="Calibri"/>
                <w:b/>
                <w:color w:val="FFFFFF"/>
                <w:sz w:val="16"/>
                <w:szCs w:val="16"/>
              </w:rPr>
            </w:pPr>
            <w:r>
              <w:rPr>
                <w:rFonts w:cs="Arial"/>
                <w:b/>
                <w:bCs/>
                <w:lang w:val="de-DE" w:eastAsia="de-DE" w:bidi="ar-SA"/>
              </w:rPr>
              <w:t>authorised Operations</w:t>
            </w:r>
          </w:p>
        </w:tc>
        <w:tc>
          <w:tcPr>
            <w:tcW w:w="3543" w:type="dxa"/>
            <w:tcBorders>
              <w:top w:val="single" w:sz="4" w:space="0" w:color="auto"/>
              <w:left w:val="single" w:sz="6" w:space="0" w:color="auto"/>
              <w:bottom w:val="single" w:sz="6" w:space="0" w:color="auto"/>
              <w:right w:val="single" w:sz="4" w:space="0" w:color="auto"/>
            </w:tcBorders>
            <w:shd w:val="clear" w:color="auto" w:fill="C00000"/>
            <w:hideMark/>
          </w:tcPr>
          <w:p w14:paraId="326AD96A" w14:textId="77777777" w:rsidR="00B97365" w:rsidRDefault="00000000">
            <w:pPr>
              <w:jc w:val="center"/>
              <w:rPr>
                <w:rFonts w:cs="Calibri"/>
                <w:b/>
                <w:color w:val="FFFFFF"/>
                <w:sz w:val="16"/>
                <w:szCs w:val="16"/>
              </w:rPr>
            </w:pPr>
            <w:r>
              <w:rPr>
                <w:rFonts w:cs="Arial"/>
                <w:b/>
                <w:bCs/>
                <w:lang w:val="de-DE" w:eastAsia="de-DE" w:bidi="ar-SA"/>
              </w:rPr>
              <w:t>Consequences</w:t>
            </w:r>
          </w:p>
        </w:tc>
      </w:tr>
      <w:tr w:rsidR="00B97365" w14:paraId="0389B4CD"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1461397A" w14:textId="77777777" w:rsidR="00B97365" w:rsidRDefault="00000000">
            <w:pPr>
              <w:jc w:val="center"/>
              <w:rPr>
                <w:rFonts w:cs="Arial"/>
                <w:sz w:val="18"/>
                <w:szCs w:val="18"/>
                <w:lang w:val="de-DE" w:eastAsia="de-DE" w:bidi="ar-SA"/>
              </w:rPr>
            </w:pPr>
            <w:r>
              <w:rPr>
                <w:rFonts w:cs="Arial"/>
                <w:sz w:val="18"/>
                <w:szCs w:val="18"/>
                <w:lang w:val="de-DE" w:eastAsia="de-DE" w:bidi="ar-SA"/>
              </w:rPr>
              <w:t>t0</w:t>
            </w:r>
          </w:p>
        </w:tc>
        <w:tc>
          <w:tcPr>
            <w:tcW w:w="861" w:type="dxa"/>
            <w:tcBorders>
              <w:top w:val="single" w:sz="6" w:space="0" w:color="auto"/>
              <w:left w:val="single" w:sz="6" w:space="0" w:color="auto"/>
              <w:bottom w:val="single" w:sz="6" w:space="0" w:color="auto"/>
              <w:right w:val="single" w:sz="6" w:space="0" w:color="auto"/>
            </w:tcBorders>
          </w:tcPr>
          <w:p w14:paraId="70E6BB95" w14:textId="77777777" w:rsidR="00B97365" w:rsidRDefault="00000000">
            <w:pPr>
              <w:rPr>
                <w:rFonts w:cs="Arial"/>
                <w:sz w:val="18"/>
                <w:szCs w:val="18"/>
                <w:lang w:val="de-DE" w:eastAsia="de-DE" w:bidi="ar-SA"/>
              </w:rPr>
            </w:pPr>
            <w:r>
              <w:rPr>
                <w:rFonts w:cs="Arial"/>
                <w:sz w:val="18"/>
                <w:szCs w:val="18"/>
                <w:lang w:val="de-DE" w:eastAsia="de-DE" w:bidi="ar-SA"/>
              </w:rPr>
              <w:t>-</w:t>
            </w:r>
          </w:p>
        </w:tc>
        <w:tc>
          <w:tcPr>
            <w:tcW w:w="774" w:type="dxa"/>
            <w:tcBorders>
              <w:top w:val="single" w:sz="6" w:space="0" w:color="auto"/>
              <w:left w:val="single" w:sz="6" w:space="0" w:color="auto"/>
              <w:bottom w:val="single" w:sz="6" w:space="0" w:color="auto"/>
              <w:right w:val="single" w:sz="6" w:space="0" w:color="auto"/>
            </w:tcBorders>
          </w:tcPr>
          <w:p w14:paraId="5EB74128" w14:textId="77777777" w:rsidR="00B97365" w:rsidRDefault="00000000">
            <w:pPr>
              <w:jc w:val="center"/>
              <w:rPr>
                <w:rFonts w:cs="Arial"/>
                <w:sz w:val="18"/>
                <w:szCs w:val="18"/>
                <w:lang w:val="de-DE" w:eastAsia="de-DE" w:bidi="ar-SA"/>
              </w:rPr>
            </w:pPr>
            <w:r>
              <w:rPr>
                <w:rFonts w:cs="Arial"/>
                <w:sz w:val="18"/>
                <w:szCs w:val="18"/>
                <w:lang w:val="de-DE" w:eastAsia="de-DE" w:bidi="ar-SA"/>
              </w:rPr>
              <w:t>-</w:t>
            </w:r>
          </w:p>
        </w:tc>
        <w:tc>
          <w:tcPr>
            <w:tcW w:w="825" w:type="dxa"/>
            <w:tcBorders>
              <w:top w:val="single" w:sz="6" w:space="0" w:color="auto"/>
              <w:left w:val="single" w:sz="6" w:space="0" w:color="auto"/>
              <w:bottom w:val="single" w:sz="6" w:space="0" w:color="auto"/>
              <w:right w:val="single" w:sz="6" w:space="0" w:color="auto"/>
            </w:tcBorders>
          </w:tcPr>
          <w:p w14:paraId="374B8974" w14:textId="77777777" w:rsidR="00B97365" w:rsidRDefault="00000000">
            <w:pPr>
              <w:rPr>
                <w:rFonts w:cs="Arial"/>
                <w:sz w:val="18"/>
                <w:szCs w:val="18"/>
                <w:lang w:val="de-DE" w:eastAsia="de-DE" w:bidi="ar-SA"/>
              </w:rPr>
            </w:pPr>
            <w:r>
              <w:rPr>
                <w:rFonts w:cs="Arial"/>
                <w:sz w:val="18"/>
                <w:szCs w:val="18"/>
                <w:lang w:val="de-DE" w:eastAsia="de-DE" w:bidi="ar-SA"/>
              </w:rPr>
              <w:t>-</w:t>
            </w:r>
          </w:p>
        </w:tc>
        <w:tc>
          <w:tcPr>
            <w:tcW w:w="1843" w:type="dxa"/>
            <w:tcBorders>
              <w:top w:val="single" w:sz="6" w:space="0" w:color="auto"/>
              <w:left w:val="single" w:sz="6" w:space="0" w:color="auto"/>
              <w:bottom w:val="single" w:sz="6" w:space="0" w:color="auto"/>
              <w:right w:val="single" w:sz="6" w:space="0" w:color="auto"/>
            </w:tcBorders>
          </w:tcPr>
          <w:p w14:paraId="67E4EC86" w14:textId="77777777" w:rsidR="00B97365" w:rsidRDefault="00000000">
            <w:pPr>
              <w:rPr>
                <w:rFonts w:cs="Arial"/>
                <w:sz w:val="18"/>
                <w:szCs w:val="18"/>
                <w:lang w:val="de-DE" w:eastAsia="de-DE" w:bidi="ar-SA"/>
              </w:rPr>
            </w:pPr>
            <w:r>
              <w:rPr>
                <w:rFonts w:cs="Arial"/>
                <w:sz w:val="18"/>
                <w:szCs w:val="18"/>
                <w:lang w:val="de-DE" w:eastAsia="de-DE" w:bidi="ar-SA"/>
              </w:rPr>
              <w:t>-</w:t>
            </w:r>
          </w:p>
        </w:tc>
        <w:tc>
          <w:tcPr>
            <w:tcW w:w="3543" w:type="dxa"/>
            <w:tcBorders>
              <w:top w:val="single" w:sz="6" w:space="0" w:color="auto"/>
              <w:left w:val="single" w:sz="6" w:space="0" w:color="auto"/>
              <w:bottom w:val="single" w:sz="6" w:space="0" w:color="auto"/>
              <w:right w:val="single" w:sz="4" w:space="0" w:color="auto"/>
            </w:tcBorders>
          </w:tcPr>
          <w:p w14:paraId="5452B229" w14:textId="77777777" w:rsidR="00B97365" w:rsidRDefault="00000000">
            <w:pPr>
              <w:rPr>
                <w:rFonts w:cs="Arial"/>
                <w:sz w:val="18"/>
                <w:szCs w:val="18"/>
                <w:lang w:val="en-US" w:eastAsia="de-DE" w:bidi="ar-SA"/>
              </w:rPr>
            </w:pPr>
            <w:r>
              <w:rPr>
                <w:rFonts w:cs="Calibri"/>
                <w:sz w:val="18"/>
                <w:szCs w:val="18"/>
              </w:rPr>
              <w:t xml:space="preserve">No PLMA set: M2M SP </w:t>
            </w:r>
            <w:r>
              <w:rPr>
                <w:rFonts w:cs="Arial"/>
                <w:sz w:val="18"/>
                <w:szCs w:val="18"/>
                <w:lang w:val="en-US" w:eastAsia="de-DE" w:bidi="ar-SA"/>
              </w:rPr>
              <w:t xml:space="preserve">is not authorised for any operation or any notifications on Profiles of Operator1. </w:t>
            </w:r>
          </w:p>
        </w:tc>
      </w:tr>
      <w:tr w:rsidR="00B97365" w14:paraId="4E28C972"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54E9D125" w14:textId="77777777" w:rsidR="00B97365" w:rsidRDefault="00000000">
            <w:pPr>
              <w:jc w:val="center"/>
              <w:rPr>
                <w:rFonts w:cs="Calibri"/>
                <w:sz w:val="18"/>
                <w:szCs w:val="18"/>
              </w:rPr>
            </w:pPr>
            <w:r>
              <w:rPr>
                <w:rFonts w:cs="Arial"/>
                <w:sz w:val="18"/>
                <w:szCs w:val="18"/>
                <w:lang w:val="de-DE" w:eastAsia="de-DE" w:bidi="ar-SA"/>
              </w:rPr>
              <w:t>t1</w:t>
            </w:r>
          </w:p>
        </w:tc>
        <w:tc>
          <w:tcPr>
            <w:tcW w:w="861" w:type="dxa"/>
            <w:tcBorders>
              <w:top w:val="single" w:sz="6" w:space="0" w:color="auto"/>
              <w:left w:val="single" w:sz="6" w:space="0" w:color="auto"/>
              <w:bottom w:val="single" w:sz="6" w:space="0" w:color="auto"/>
              <w:right w:val="single" w:sz="6" w:space="0" w:color="auto"/>
            </w:tcBorders>
          </w:tcPr>
          <w:p w14:paraId="29096CE2" w14:textId="77777777" w:rsidR="00B97365" w:rsidRDefault="00000000">
            <w:pPr>
              <w:rPr>
                <w:rFonts w:cs="Calibri"/>
                <w:sz w:val="18"/>
                <w:szCs w:val="18"/>
                <w:lang w:val="en-US"/>
              </w:rPr>
            </w:pPr>
            <w:r>
              <w:rPr>
                <w:rFonts w:cs="Arial"/>
                <w:sz w:val="18"/>
                <w:szCs w:val="18"/>
                <w:lang w:val="de-DE" w:eastAsia="de-DE" w:bidi="ar-SA"/>
              </w:rPr>
              <w:t>6.7.8.9</w:t>
            </w:r>
          </w:p>
        </w:tc>
        <w:tc>
          <w:tcPr>
            <w:tcW w:w="774" w:type="dxa"/>
            <w:tcBorders>
              <w:top w:val="single" w:sz="6" w:space="0" w:color="auto"/>
              <w:left w:val="single" w:sz="6" w:space="0" w:color="auto"/>
              <w:bottom w:val="single" w:sz="6" w:space="0" w:color="auto"/>
              <w:right w:val="single" w:sz="6" w:space="0" w:color="auto"/>
            </w:tcBorders>
          </w:tcPr>
          <w:p w14:paraId="69A2D7EA" w14:textId="77777777" w:rsidR="00B97365" w:rsidRDefault="00000000">
            <w:pPr>
              <w:jc w:val="center"/>
              <w:rPr>
                <w:rFonts w:cs="Calibri"/>
                <w:sz w:val="18"/>
                <w:szCs w:val="18"/>
                <w:lang w:val="en-US"/>
              </w:rPr>
            </w:pPr>
            <w:r>
              <w:rPr>
                <w:rFonts w:cs="Arial"/>
                <w:sz w:val="18"/>
                <w:szCs w:val="18"/>
                <w:lang w:val="de-DE" w:eastAsia="de-DE" w:bidi="ar-SA"/>
              </w:rPr>
              <w:t>1.2.3.4</w:t>
            </w:r>
          </w:p>
        </w:tc>
        <w:tc>
          <w:tcPr>
            <w:tcW w:w="825" w:type="dxa"/>
            <w:tcBorders>
              <w:top w:val="single" w:sz="6" w:space="0" w:color="auto"/>
              <w:left w:val="single" w:sz="6" w:space="0" w:color="auto"/>
              <w:bottom w:val="single" w:sz="6" w:space="0" w:color="auto"/>
              <w:right w:val="single" w:sz="6" w:space="0" w:color="auto"/>
            </w:tcBorders>
          </w:tcPr>
          <w:p w14:paraId="27422698" w14:textId="77777777" w:rsidR="00B97365" w:rsidRDefault="00000000">
            <w:pPr>
              <w:rPr>
                <w:rFonts w:cs="Calibri"/>
                <w:sz w:val="18"/>
                <w:szCs w:val="18"/>
                <w:lang w:val="en-US"/>
              </w:rPr>
            </w:pPr>
            <w:r>
              <w:rPr>
                <w:rFonts w:cs="Arial"/>
                <w:sz w:val="18"/>
                <w:szCs w:val="18"/>
                <w:lang w:val="de-DE" w:eastAsia="de-DE" w:bidi="ar-SA"/>
              </w:rPr>
              <w:t>ABC</w:t>
            </w:r>
          </w:p>
        </w:tc>
        <w:tc>
          <w:tcPr>
            <w:tcW w:w="1843" w:type="dxa"/>
            <w:tcBorders>
              <w:top w:val="single" w:sz="6" w:space="0" w:color="auto"/>
              <w:left w:val="single" w:sz="6" w:space="0" w:color="auto"/>
              <w:bottom w:val="single" w:sz="6" w:space="0" w:color="auto"/>
              <w:right w:val="single" w:sz="6" w:space="0" w:color="auto"/>
            </w:tcBorders>
          </w:tcPr>
          <w:p w14:paraId="2FCF4EFD" w14:textId="77777777" w:rsidR="00B97365" w:rsidRDefault="00000000">
            <w:pPr>
              <w:rPr>
                <w:rFonts w:cs="Calibri"/>
                <w:sz w:val="18"/>
                <w:szCs w:val="18"/>
                <w:lang w:val="en-US"/>
              </w:rPr>
            </w:pPr>
            <w:r>
              <w:rPr>
                <w:rFonts w:cs="Arial"/>
                <w:sz w:val="18"/>
                <w:szCs w:val="18"/>
                <w:lang w:val="de-DE" w:eastAsia="de-DE" w:bidi="ar-SA"/>
              </w:rPr>
              <w:t>Enable, Handle</w:t>
            </w:r>
            <w:r>
              <w:rPr>
                <w:rFonts w:cs="Calibri"/>
                <w:sz w:val="18"/>
                <w:szCs w:val="18"/>
              </w:rPr>
              <w:t>ProfileDownloadedNotification</w:t>
            </w:r>
          </w:p>
        </w:tc>
        <w:tc>
          <w:tcPr>
            <w:tcW w:w="3543" w:type="dxa"/>
            <w:tcBorders>
              <w:top w:val="single" w:sz="6" w:space="0" w:color="auto"/>
              <w:left w:val="single" w:sz="6" w:space="0" w:color="auto"/>
              <w:bottom w:val="single" w:sz="6" w:space="0" w:color="auto"/>
              <w:right w:val="single" w:sz="4" w:space="0" w:color="auto"/>
            </w:tcBorders>
          </w:tcPr>
          <w:p w14:paraId="3F161B79" w14:textId="77777777" w:rsidR="00B97365" w:rsidRDefault="00000000">
            <w:pPr>
              <w:rPr>
                <w:rFonts w:cs="Calibri"/>
                <w:sz w:val="18"/>
                <w:szCs w:val="18"/>
                <w:lang w:val="en-US"/>
              </w:rPr>
            </w:pPr>
            <w:r>
              <w:rPr>
                <w:rFonts w:cs="Arial"/>
                <w:sz w:val="18"/>
                <w:szCs w:val="18"/>
                <w:lang w:val="en-US" w:eastAsia="de-DE" w:bidi="ar-SA"/>
              </w:rPr>
              <w:t xml:space="preserve">1.2.3.4 is authorised to enable Profiles of type ABC of Operator1 and is authorised to receive notifications when a Profile of type ABC of Operator1 is downloaded </w:t>
            </w:r>
          </w:p>
        </w:tc>
      </w:tr>
      <w:tr w:rsidR="00B97365" w14:paraId="24C39B87"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0DC5081D" w14:textId="77777777" w:rsidR="00B97365" w:rsidRDefault="00000000">
            <w:pPr>
              <w:jc w:val="center"/>
              <w:rPr>
                <w:rFonts w:cs="Calibri"/>
                <w:sz w:val="18"/>
                <w:szCs w:val="18"/>
              </w:rPr>
            </w:pPr>
            <w:r>
              <w:rPr>
                <w:rFonts w:cs="Arial"/>
                <w:sz w:val="18"/>
                <w:szCs w:val="18"/>
                <w:lang w:val="de-DE" w:eastAsia="de-DE" w:bidi="ar-SA"/>
              </w:rPr>
              <w:t>t2</w:t>
            </w:r>
          </w:p>
        </w:tc>
        <w:tc>
          <w:tcPr>
            <w:tcW w:w="861" w:type="dxa"/>
            <w:tcBorders>
              <w:top w:val="single" w:sz="6" w:space="0" w:color="auto"/>
              <w:left w:val="single" w:sz="6" w:space="0" w:color="auto"/>
              <w:bottom w:val="single" w:sz="6" w:space="0" w:color="auto"/>
              <w:right w:val="single" w:sz="6" w:space="0" w:color="auto"/>
            </w:tcBorders>
          </w:tcPr>
          <w:p w14:paraId="5AD4F103" w14:textId="77777777" w:rsidR="00B97365" w:rsidRDefault="00000000">
            <w:pPr>
              <w:rPr>
                <w:rFonts w:cs="Calibri"/>
                <w:sz w:val="18"/>
                <w:szCs w:val="18"/>
                <w:lang w:val="en-US"/>
              </w:rPr>
            </w:pPr>
            <w:r>
              <w:rPr>
                <w:rFonts w:cs="Arial"/>
                <w:sz w:val="18"/>
                <w:szCs w:val="18"/>
                <w:lang w:val="de-DE" w:eastAsia="de-DE" w:bidi="ar-SA"/>
              </w:rPr>
              <w:t>6.7.8.9</w:t>
            </w:r>
          </w:p>
        </w:tc>
        <w:tc>
          <w:tcPr>
            <w:tcW w:w="774" w:type="dxa"/>
            <w:tcBorders>
              <w:top w:val="single" w:sz="6" w:space="0" w:color="auto"/>
              <w:left w:val="single" w:sz="6" w:space="0" w:color="auto"/>
              <w:bottom w:val="single" w:sz="6" w:space="0" w:color="auto"/>
              <w:right w:val="single" w:sz="6" w:space="0" w:color="auto"/>
            </w:tcBorders>
          </w:tcPr>
          <w:p w14:paraId="362EEDF0" w14:textId="77777777" w:rsidR="00B97365" w:rsidRDefault="00000000">
            <w:pPr>
              <w:jc w:val="center"/>
              <w:rPr>
                <w:rFonts w:cs="Calibri"/>
                <w:sz w:val="18"/>
                <w:szCs w:val="18"/>
                <w:lang w:val="en-US"/>
              </w:rPr>
            </w:pPr>
            <w:r>
              <w:rPr>
                <w:rFonts w:cs="Arial"/>
                <w:sz w:val="18"/>
                <w:szCs w:val="18"/>
                <w:lang w:val="de-DE" w:eastAsia="de-DE" w:bidi="ar-SA"/>
              </w:rPr>
              <w:t>1.2.3.4</w:t>
            </w:r>
          </w:p>
        </w:tc>
        <w:tc>
          <w:tcPr>
            <w:tcW w:w="825" w:type="dxa"/>
            <w:tcBorders>
              <w:top w:val="single" w:sz="6" w:space="0" w:color="auto"/>
              <w:left w:val="single" w:sz="6" w:space="0" w:color="auto"/>
              <w:bottom w:val="single" w:sz="6" w:space="0" w:color="auto"/>
              <w:right w:val="single" w:sz="6" w:space="0" w:color="auto"/>
            </w:tcBorders>
          </w:tcPr>
          <w:p w14:paraId="416ACE9A" w14:textId="77777777" w:rsidR="00B97365" w:rsidRDefault="00000000">
            <w:pPr>
              <w:rPr>
                <w:rFonts w:cs="Calibri"/>
                <w:sz w:val="18"/>
                <w:szCs w:val="18"/>
                <w:lang w:val="en-US"/>
              </w:rPr>
            </w:pPr>
            <w:r>
              <w:rPr>
                <w:rFonts w:cs="Arial"/>
                <w:sz w:val="18"/>
                <w:szCs w:val="18"/>
                <w:lang w:val="de-DE" w:eastAsia="de-DE" w:bidi="ar-SA"/>
              </w:rPr>
              <w:t>ABC</w:t>
            </w:r>
          </w:p>
        </w:tc>
        <w:tc>
          <w:tcPr>
            <w:tcW w:w="1843" w:type="dxa"/>
            <w:tcBorders>
              <w:top w:val="single" w:sz="6" w:space="0" w:color="auto"/>
              <w:left w:val="single" w:sz="6" w:space="0" w:color="auto"/>
              <w:bottom w:val="single" w:sz="6" w:space="0" w:color="auto"/>
              <w:right w:val="single" w:sz="6" w:space="0" w:color="auto"/>
            </w:tcBorders>
          </w:tcPr>
          <w:p w14:paraId="3984CF8C" w14:textId="77777777" w:rsidR="00B97365" w:rsidRDefault="00000000">
            <w:pPr>
              <w:rPr>
                <w:rFonts w:cs="Calibri"/>
                <w:sz w:val="18"/>
                <w:szCs w:val="18"/>
                <w:lang w:val="en-US"/>
              </w:rPr>
            </w:pPr>
            <w:r>
              <w:rPr>
                <w:rFonts w:cs="Arial"/>
                <w:sz w:val="18"/>
                <w:szCs w:val="18"/>
                <w:lang w:val="de-DE" w:eastAsia="de-DE" w:bidi="ar-SA"/>
              </w:rPr>
              <w:t>Enable, Disable</w:t>
            </w:r>
          </w:p>
        </w:tc>
        <w:tc>
          <w:tcPr>
            <w:tcW w:w="3543" w:type="dxa"/>
            <w:tcBorders>
              <w:top w:val="single" w:sz="6" w:space="0" w:color="auto"/>
              <w:left w:val="single" w:sz="6" w:space="0" w:color="auto"/>
              <w:bottom w:val="single" w:sz="6" w:space="0" w:color="auto"/>
              <w:right w:val="single" w:sz="4" w:space="0" w:color="auto"/>
            </w:tcBorders>
          </w:tcPr>
          <w:p w14:paraId="371B1363" w14:textId="77777777" w:rsidR="00B97365" w:rsidRDefault="00000000">
            <w:pPr>
              <w:rPr>
                <w:rFonts w:cs="Calibri"/>
                <w:sz w:val="18"/>
                <w:szCs w:val="18"/>
                <w:lang w:val="en-US"/>
              </w:rPr>
            </w:pPr>
            <w:r>
              <w:rPr>
                <w:rFonts w:cs="Arial"/>
                <w:sz w:val="18"/>
                <w:szCs w:val="18"/>
                <w:lang w:val="en-US" w:eastAsia="de-DE" w:bidi="ar-SA"/>
              </w:rPr>
              <w:t>1.2.3.4 is authorised to enable and disable Profiles of type ABC of Operator1 but is not authorised any more to receive notifications when a Profile of type ABC of Operator1 is downloaded</w:t>
            </w:r>
          </w:p>
        </w:tc>
      </w:tr>
      <w:tr w:rsidR="00B97365" w14:paraId="72C4F950"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7F32465B" w14:textId="77777777" w:rsidR="00B97365" w:rsidRDefault="00000000">
            <w:pPr>
              <w:jc w:val="center"/>
              <w:rPr>
                <w:rFonts w:cs="Calibri"/>
                <w:sz w:val="18"/>
                <w:szCs w:val="18"/>
              </w:rPr>
            </w:pPr>
            <w:r>
              <w:rPr>
                <w:rFonts w:cs="Arial"/>
                <w:sz w:val="18"/>
                <w:szCs w:val="18"/>
                <w:lang w:val="de-DE" w:eastAsia="de-DE" w:bidi="ar-SA"/>
              </w:rPr>
              <w:t>t3</w:t>
            </w:r>
          </w:p>
        </w:tc>
        <w:tc>
          <w:tcPr>
            <w:tcW w:w="861" w:type="dxa"/>
            <w:tcBorders>
              <w:top w:val="single" w:sz="6" w:space="0" w:color="auto"/>
              <w:left w:val="single" w:sz="6" w:space="0" w:color="auto"/>
              <w:bottom w:val="single" w:sz="6" w:space="0" w:color="auto"/>
              <w:right w:val="single" w:sz="6" w:space="0" w:color="auto"/>
            </w:tcBorders>
          </w:tcPr>
          <w:p w14:paraId="46C219BA" w14:textId="77777777" w:rsidR="00B97365" w:rsidRDefault="00000000">
            <w:pPr>
              <w:rPr>
                <w:rFonts w:cs="Calibri"/>
                <w:sz w:val="18"/>
                <w:szCs w:val="18"/>
                <w:lang w:val="en-US"/>
              </w:rPr>
            </w:pPr>
            <w:r>
              <w:rPr>
                <w:rFonts w:cs="Arial"/>
                <w:sz w:val="18"/>
                <w:szCs w:val="18"/>
                <w:lang w:val="de-DE" w:eastAsia="de-DE" w:bidi="ar-SA"/>
              </w:rPr>
              <w:t>6.7.8.9</w:t>
            </w:r>
          </w:p>
        </w:tc>
        <w:tc>
          <w:tcPr>
            <w:tcW w:w="774" w:type="dxa"/>
            <w:tcBorders>
              <w:top w:val="single" w:sz="6" w:space="0" w:color="auto"/>
              <w:left w:val="single" w:sz="6" w:space="0" w:color="auto"/>
              <w:bottom w:val="single" w:sz="6" w:space="0" w:color="auto"/>
              <w:right w:val="single" w:sz="6" w:space="0" w:color="auto"/>
            </w:tcBorders>
          </w:tcPr>
          <w:p w14:paraId="1F61DA66" w14:textId="77777777" w:rsidR="00B97365" w:rsidRDefault="00000000">
            <w:pPr>
              <w:jc w:val="center"/>
              <w:rPr>
                <w:rFonts w:cs="Calibri"/>
                <w:sz w:val="18"/>
                <w:szCs w:val="18"/>
                <w:lang w:val="en-US"/>
              </w:rPr>
            </w:pPr>
            <w:r>
              <w:rPr>
                <w:rFonts w:cs="Arial"/>
                <w:sz w:val="18"/>
                <w:szCs w:val="18"/>
                <w:lang w:val="de-DE" w:eastAsia="de-DE" w:bidi="ar-SA"/>
              </w:rPr>
              <w:t>1.2.3.4</w:t>
            </w:r>
          </w:p>
        </w:tc>
        <w:tc>
          <w:tcPr>
            <w:tcW w:w="825" w:type="dxa"/>
            <w:tcBorders>
              <w:top w:val="single" w:sz="6" w:space="0" w:color="auto"/>
              <w:left w:val="single" w:sz="6" w:space="0" w:color="auto"/>
              <w:bottom w:val="single" w:sz="6" w:space="0" w:color="auto"/>
              <w:right w:val="single" w:sz="6" w:space="0" w:color="auto"/>
            </w:tcBorders>
          </w:tcPr>
          <w:p w14:paraId="08044F21" w14:textId="77777777" w:rsidR="00B97365" w:rsidRDefault="00000000">
            <w:pPr>
              <w:rPr>
                <w:rFonts w:cs="Calibri"/>
                <w:sz w:val="18"/>
                <w:szCs w:val="18"/>
                <w:lang w:val="en-US"/>
              </w:rPr>
            </w:pPr>
            <w:r>
              <w:rPr>
                <w:rFonts w:cs="Arial"/>
                <w:sz w:val="18"/>
                <w:szCs w:val="18"/>
                <w:lang w:val="en-US" w:eastAsia="de-DE" w:bidi="ar-SA"/>
              </w:rPr>
              <w:t>Empty and Missing are treated as the same</w:t>
            </w:r>
          </w:p>
        </w:tc>
        <w:tc>
          <w:tcPr>
            <w:tcW w:w="1843" w:type="dxa"/>
            <w:tcBorders>
              <w:top w:val="single" w:sz="6" w:space="0" w:color="auto"/>
              <w:left w:val="single" w:sz="6" w:space="0" w:color="auto"/>
              <w:bottom w:val="single" w:sz="6" w:space="0" w:color="auto"/>
              <w:right w:val="single" w:sz="6" w:space="0" w:color="auto"/>
            </w:tcBorders>
          </w:tcPr>
          <w:p w14:paraId="285C50D3" w14:textId="77777777" w:rsidR="00B97365" w:rsidRDefault="00000000">
            <w:pPr>
              <w:rPr>
                <w:rFonts w:cs="Calibri"/>
                <w:sz w:val="18"/>
                <w:szCs w:val="18"/>
                <w:lang w:val="en-US"/>
              </w:rPr>
            </w:pPr>
            <w:r>
              <w:rPr>
                <w:rFonts w:cs="Arial"/>
                <w:sz w:val="18"/>
                <w:szCs w:val="18"/>
                <w:lang w:val="de-DE" w:eastAsia="de-DE" w:bidi="ar-SA"/>
              </w:rPr>
              <w:t>Enable</w:t>
            </w:r>
          </w:p>
        </w:tc>
        <w:tc>
          <w:tcPr>
            <w:tcW w:w="3543" w:type="dxa"/>
            <w:tcBorders>
              <w:top w:val="single" w:sz="6" w:space="0" w:color="auto"/>
              <w:left w:val="single" w:sz="6" w:space="0" w:color="auto"/>
              <w:bottom w:val="single" w:sz="6" w:space="0" w:color="auto"/>
              <w:right w:val="single" w:sz="4" w:space="0" w:color="auto"/>
            </w:tcBorders>
          </w:tcPr>
          <w:p w14:paraId="78956C17" w14:textId="77777777" w:rsidR="00B97365" w:rsidRDefault="00000000">
            <w:pPr>
              <w:tabs>
                <w:tab w:val="left" w:pos="1009"/>
              </w:tabs>
              <w:spacing w:after="200" w:line="276" w:lineRule="auto"/>
              <w:rPr>
                <w:rFonts w:cs="Arial"/>
                <w:sz w:val="18"/>
                <w:szCs w:val="18"/>
                <w:lang w:val="en-US" w:eastAsia="de-DE" w:bidi="ar-SA"/>
              </w:rPr>
            </w:pPr>
            <w:r>
              <w:rPr>
                <w:rFonts w:cs="Arial"/>
                <w:sz w:val="18"/>
                <w:szCs w:val="18"/>
                <w:lang w:val="en-US" w:eastAsia="de-DE" w:bidi="ar-SA"/>
              </w:rPr>
              <w:t>1.2.3.4 is authorised to enable Profiles of Operator1 without a Profile Type in EIS.</w:t>
            </w:r>
          </w:p>
          <w:p w14:paraId="1760AC76" w14:textId="77777777" w:rsidR="00B97365" w:rsidRDefault="00000000">
            <w:pPr>
              <w:rPr>
                <w:rFonts w:cs="Calibri"/>
                <w:sz w:val="18"/>
                <w:szCs w:val="18"/>
                <w:lang w:val="en-US"/>
              </w:rPr>
            </w:pPr>
            <w:r>
              <w:rPr>
                <w:rFonts w:cs="Arial"/>
                <w:sz w:val="18"/>
                <w:szCs w:val="18"/>
                <w:lang w:val="en-US" w:eastAsia="de-DE" w:bidi="ar-SA"/>
              </w:rPr>
              <w:t>1.2.3.4 is still authorised to enable and disable Profiles of type ABC of Operator1</w:t>
            </w:r>
          </w:p>
        </w:tc>
      </w:tr>
      <w:tr w:rsidR="00B97365" w14:paraId="4EAAE3C2"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099D7916" w14:textId="77777777" w:rsidR="00B97365" w:rsidRDefault="00000000">
            <w:pPr>
              <w:jc w:val="center"/>
              <w:rPr>
                <w:rFonts w:cs="Calibri"/>
                <w:sz w:val="18"/>
                <w:szCs w:val="18"/>
              </w:rPr>
            </w:pPr>
            <w:r>
              <w:rPr>
                <w:rFonts w:cs="Arial"/>
                <w:sz w:val="18"/>
                <w:szCs w:val="18"/>
                <w:lang w:val="de-DE" w:eastAsia="de-DE" w:bidi="ar-SA"/>
              </w:rPr>
              <w:t>t4</w:t>
            </w:r>
          </w:p>
        </w:tc>
        <w:tc>
          <w:tcPr>
            <w:tcW w:w="861" w:type="dxa"/>
            <w:tcBorders>
              <w:top w:val="single" w:sz="6" w:space="0" w:color="auto"/>
              <w:left w:val="single" w:sz="6" w:space="0" w:color="auto"/>
              <w:bottom w:val="single" w:sz="6" w:space="0" w:color="auto"/>
              <w:right w:val="single" w:sz="6" w:space="0" w:color="auto"/>
            </w:tcBorders>
          </w:tcPr>
          <w:p w14:paraId="793B00C1" w14:textId="77777777" w:rsidR="00B97365" w:rsidRDefault="00000000">
            <w:pPr>
              <w:rPr>
                <w:rFonts w:cs="Calibri"/>
                <w:sz w:val="18"/>
                <w:szCs w:val="18"/>
                <w:lang w:val="en-US"/>
              </w:rPr>
            </w:pPr>
            <w:r>
              <w:rPr>
                <w:rFonts w:cs="Arial"/>
                <w:sz w:val="18"/>
                <w:szCs w:val="18"/>
                <w:lang w:val="de-DE" w:eastAsia="de-DE" w:bidi="ar-SA"/>
              </w:rPr>
              <w:t>6.7.8.9</w:t>
            </w:r>
          </w:p>
        </w:tc>
        <w:tc>
          <w:tcPr>
            <w:tcW w:w="774" w:type="dxa"/>
            <w:tcBorders>
              <w:top w:val="single" w:sz="6" w:space="0" w:color="auto"/>
              <w:left w:val="single" w:sz="6" w:space="0" w:color="auto"/>
              <w:bottom w:val="single" w:sz="6" w:space="0" w:color="auto"/>
              <w:right w:val="single" w:sz="6" w:space="0" w:color="auto"/>
            </w:tcBorders>
          </w:tcPr>
          <w:p w14:paraId="6798DC0E" w14:textId="77777777" w:rsidR="00B97365" w:rsidRDefault="00000000">
            <w:pPr>
              <w:jc w:val="center"/>
              <w:rPr>
                <w:rFonts w:cs="Calibri"/>
                <w:sz w:val="18"/>
                <w:szCs w:val="18"/>
                <w:lang w:val="en-US"/>
              </w:rPr>
            </w:pPr>
            <w:r>
              <w:rPr>
                <w:rFonts w:cs="Arial"/>
                <w:sz w:val="18"/>
                <w:szCs w:val="18"/>
                <w:lang w:val="de-DE" w:eastAsia="de-DE" w:bidi="ar-SA"/>
              </w:rPr>
              <w:t>1.2.3.4</w:t>
            </w:r>
          </w:p>
        </w:tc>
        <w:tc>
          <w:tcPr>
            <w:tcW w:w="825" w:type="dxa"/>
            <w:tcBorders>
              <w:top w:val="single" w:sz="6" w:space="0" w:color="auto"/>
              <w:left w:val="single" w:sz="6" w:space="0" w:color="auto"/>
              <w:bottom w:val="single" w:sz="6" w:space="0" w:color="auto"/>
              <w:right w:val="single" w:sz="6" w:space="0" w:color="auto"/>
            </w:tcBorders>
          </w:tcPr>
          <w:p w14:paraId="6E3EED4F" w14:textId="77777777" w:rsidR="00B97365" w:rsidRDefault="00000000">
            <w:pPr>
              <w:rPr>
                <w:rFonts w:cs="Calibri"/>
                <w:sz w:val="18"/>
                <w:szCs w:val="18"/>
                <w:lang w:val="en-US"/>
              </w:rPr>
            </w:pPr>
            <w:r>
              <w:rPr>
                <w:rFonts w:cs="Arial"/>
                <w:sz w:val="18"/>
                <w:szCs w:val="18"/>
                <w:lang w:val="en-US" w:eastAsia="de-DE" w:bidi="ar-SA"/>
              </w:rPr>
              <w:t>Empty and Missing are treated as the same</w:t>
            </w:r>
          </w:p>
        </w:tc>
        <w:tc>
          <w:tcPr>
            <w:tcW w:w="1843" w:type="dxa"/>
            <w:tcBorders>
              <w:top w:val="single" w:sz="6" w:space="0" w:color="auto"/>
              <w:left w:val="single" w:sz="6" w:space="0" w:color="auto"/>
              <w:bottom w:val="single" w:sz="6" w:space="0" w:color="auto"/>
              <w:right w:val="single" w:sz="6" w:space="0" w:color="auto"/>
            </w:tcBorders>
          </w:tcPr>
          <w:p w14:paraId="7F22E2EF" w14:textId="77777777" w:rsidR="00B97365" w:rsidRDefault="00B97365">
            <w:pPr>
              <w:rPr>
                <w:rFonts w:cs="Calibri"/>
                <w:sz w:val="18"/>
                <w:szCs w:val="18"/>
                <w:lang w:val="en-US"/>
              </w:rPr>
            </w:pPr>
          </w:p>
        </w:tc>
        <w:tc>
          <w:tcPr>
            <w:tcW w:w="3543" w:type="dxa"/>
            <w:tcBorders>
              <w:top w:val="single" w:sz="6" w:space="0" w:color="auto"/>
              <w:left w:val="single" w:sz="6" w:space="0" w:color="auto"/>
              <w:bottom w:val="single" w:sz="6" w:space="0" w:color="auto"/>
              <w:right w:val="single" w:sz="4" w:space="0" w:color="auto"/>
            </w:tcBorders>
          </w:tcPr>
          <w:p w14:paraId="7868F91C" w14:textId="77777777" w:rsidR="00B97365" w:rsidRDefault="00000000">
            <w:pPr>
              <w:tabs>
                <w:tab w:val="left" w:pos="1009"/>
              </w:tabs>
              <w:spacing w:after="200" w:line="276" w:lineRule="auto"/>
              <w:rPr>
                <w:rFonts w:cs="Arial"/>
                <w:sz w:val="18"/>
                <w:szCs w:val="18"/>
                <w:lang w:val="en-US" w:eastAsia="de-DE" w:bidi="ar-SA"/>
              </w:rPr>
            </w:pPr>
            <w:r>
              <w:rPr>
                <w:rFonts w:cs="Arial"/>
                <w:sz w:val="18"/>
                <w:szCs w:val="18"/>
                <w:lang w:val="en-US" w:eastAsia="de-DE" w:bidi="ar-SA"/>
              </w:rPr>
              <w:t>1.2.3.4 is not authorised for any operation on Profiles of Operator1 without a Profile type in EIS</w:t>
            </w:r>
          </w:p>
          <w:p w14:paraId="6E29A4F9" w14:textId="77777777" w:rsidR="00B97365" w:rsidRDefault="00000000">
            <w:pPr>
              <w:rPr>
                <w:rFonts w:cs="Calibri"/>
                <w:sz w:val="18"/>
                <w:szCs w:val="18"/>
                <w:lang w:val="en-US"/>
              </w:rPr>
            </w:pPr>
            <w:r>
              <w:rPr>
                <w:rFonts w:cs="Arial"/>
                <w:sz w:val="18"/>
                <w:szCs w:val="18"/>
                <w:lang w:val="en-US" w:eastAsia="de-DE" w:bidi="ar-SA"/>
              </w:rPr>
              <w:t>1.2.3.4 is still authorised to enable and disable Profiles of type ABC of Operator1</w:t>
            </w:r>
          </w:p>
        </w:tc>
      </w:tr>
      <w:tr w:rsidR="00B97365" w14:paraId="05963991"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0CF07AB2" w14:textId="77777777" w:rsidR="00B97365" w:rsidRDefault="00000000">
            <w:pPr>
              <w:jc w:val="center"/>
              <w:rPr>
                <w:rFonts w:cs="Calibri"/>
                <w:sz w:val="18"/>
                <w:szCs w:val="18"/>
              </w:rPr>
            </w:pPr>
            <w:r>
              <w:rPr>
                <w:rFonts w:cs="Arial"/>
                <w:sz w:val="18"/>
                <w:szCs w:val="18"/>
                <w:lang w:val="de-DE" w:eastAsia="de-DE" w:bidi="ar-SA"/>
              </w:rPr>
              <w:t>t5</w:t>
            </w:r>
          </w:p>
        </w:tc>
        <w:tc>
          <w:tcPr>
            <w:tcW w:w="861" w:type="dxa"/>
            <w:tcBorders>
              <w:top w:val="single" w:sz="6" w:space="0" w:color="auto"/>
              <w:left w:val="single" w:sz="6" w:space="0" w:color="auto"/>
              <w:bottom w:val="single" w:sz="6" w:space="0" w:color="auto"/>
              <w:right w:val="single" w:sz="6" w:space="0" w:color="auto"/>
            </w:tcBorders>
          </w:tcPr>
          <w:p w14:paraId="009FC3C1" w14:textId="77777777" w:rsidR="00B97365" w:rsidRDefault="00000000">
            <w:pPr>
              <w:rPr>
                <w:rFonts w:cs="Calibri"/>
                <w:sz w:val="18"/>
                <w:szCs w:val="18"/>
                <w:lang w:val="en-US"/>
              </w:rPr>
            </w:pPr>
            <w:r>
              <w:rPr>
                <w:rFonts w:cs="Arial"/>
                <w:sz w:val="18"/>
                <w:szCs w:val="18"/>
                <w:lang w:val="de-DE" w:eastAsia="de-DE" w:bidi="ar-SA"/>
              </w:rPr>
              <w:t>6.7.8.9</w:t>
            </w:r>
          </w:p>
        </w:tc>
        <w:tc>
          <w:tcPr>
            <w:tcW w:w="774" w:type="dxa"/>
            <w:tcBorders>
              <w:top w:val="single" w:sz="6" w:space="0" w:color="auto"/>
              <w:left w:val="single" w:sz="6" w:space="0" w:color="auto"/>
              <w:bottom w:val="single" w:sz="6" w:space="0" w:color="auto"/>
              <w:right w:val="single" w:sz="6" w:space="0" w:color="auto"/>
            </w:tcBorders>
          </w:tcPr>
          <w:p w14:paraId="0C25625D" w14:textId="77777777" w:rsidR="00B97365" w:rsidRDefault="00000000">
            <w:pPr>
              <w:jc w:val="center"/>
              <w:rPr>
                <w:rFonts w:cs="Calibri"/>
                <w:sz w:val="18"/>
                <w:szCs w:val="18"/>
                <w:lang w:val="en-US"/>
              </w:rPr>
            </w:pPr>
            <w:r>
              <w:rPr>
                <w:rFonts w:cs="Arial"/>
                <w:sz w:val="18"/>
                <w:szCs w:val="18"/>
                <w:lang w:val="de-DE" w:eastAsia="de-DE" w:bidi="ar-SA"/>
              </w:rPr>
              <w:t>1.2.3.4</w:t>
            </w:r>
          </w:p>
        </w:tc>
        <w:tc>
          <w:tcPr>
            <w:tcW w:w="825" w:type="dxa"/>
            <w:tcBorders>
              <w:top w:val="single" w:sz="6" w:space="0" w:color="auto"/>
              <w:left w:val="single" w:sz="6" w:space="0" w:color="auto"/>
              <w:bottom w:val="single" w:sz="6" w:space="0" w:color="auto"/>
              <w:right w:val="single" w:sz="6" w:space="0" w:color="auto"/>
            </w:tcBorders>
          </w:tcPr>
          <w:p w14:paraId="113B3373" w14:textId="77777777" w:rsidR="00B97365" w:rsidRDefault="00000000">
            <w:pPr>
              <w:rPr>
                <w:rFonts w:cs="Calibri"/>
                <w:sz w:val="18"/>
                <w:szCs w:val="18"/>
                <w:lang w:val="en-US"/>
              </w:rPr>
            </w:pPr>
            <w:r>
              <w:rPr>
                <w:rFonts w:cs="Arial"/>
                <w:sz w:val="18"/>
                <w:szCs w:val="18"/>
                <w:lang w:val="de-DE" w:eastAsia="de-DE" w:bidi="ar-SA"/>
              </w:rPr>
              <w:t>ABC</w:t>
            </w:r>
          </w:p>
        </w:tc>
        <w:tc>
          <w:tcPr>
            <w:tcW w:w="1843" w:type="dxa"/>
            <w:tcBorders>
              <w:top w:val="single" w:sz="6" w:space="0" w:color="auto"/>
              <w:left w:val="single" w:sz="6" w:space="0" w:color="auto"/>
              <w:bottom w:val="single" w:sz="6" w:space="0" w:color="auto"/>
              <w:right w:val="single" w:sz="6" w:space="0" w:color="auto"/>
            </w:tcBorders>
          </w:tcPr>
          <w:p w14:paraId="27318175" w14:textId="77777777" w:rsidR="00B97365" w:rsidRDefault="00000000">
            <w:pPr>
              <w:rPr>
                <w:rFonts w:cs="Calibri"/>
                <w:sz w:val="18"/>
                <w:szCs w:val="18"/>
                <w:lang w:val="en-US"/>
              </w:rPr>
            </w:pPr>
            <w:r>
              <w:rPr>
                <w:rFonts w:cs="Arial"/>
                <w:sz w:val="18"/>
                <w:szCs w:val="18"/>
                <w:lang w:val="de-DE" w:eastAsia="de-DE" w:bidi="ar-SA"/>
              </w:rPr>
              <w:t>Enable</w:t>
            </w:r>
          </w:p>
        </w:tc>
        <w:tc>
          <w:tcPr>
            <w:tcW w:w="3543" w:type="dxa"/>
            <w:tcBorders>
              <w:top w:val="single" w:sz="6" w:space="0" w:color="auto"/>
              <w:left w:val="single" w:sz="6" w:space="0" w:color="auto"/>
              <w:bottom w:val="single" w:sz="6" w:space="0" w:color="auto"/>
              <w:right w:val="single" w:sz="4" w:space="0" w:color="auto"/>
            </w:tcBorders>
          </w:tcPr>
          <w:p w14:paraId="314029F4" w14:textId="77777777" w:rsidR="00B97365" w:rsidRDefault="00000000">
            <w:pPr>
              <w:rPr>
                <w:rFonts w:cs="Calibri"/>
                <w:sz w:val="18"/>
                <w:szCs w:val="18"/>
                <w:lang w:val="en-US"/>
              </w:rPr>
            </w:pPr>
            <w:r>
              <w:rPr>
                <w:rFonts w:cs="Arial"/>
                <w:sz w:val="18"/>
                <w:szCs w:val="18"/>
                <w:lang w:val="en-US" w:eastAsia="de-DE" w:bidi="ar-SA"/>
              </w:rPr>
              <w:t>1.2.3.4 is authorised to enable profiles of type ABC of Operator1</w:t>
            </w:r>
          </w:p>
        </w:tc>
      </w:tr>
      <w:tr w:rsidR="00B97365" w14:paraId="28D3D68B"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6F2B292E" w14:textId="77777777" w:rsidR="00B97365" w:rsidRDefault="00000000">
            <w:pPr>
              <w:jc w:val="center"/>
              <w:rPr>
                <w:rFonts w:cs="Calibri"/>
                <w:sz w:val="18"/>
                <w:szCs w:val="18"/>
              </w:rPr>
            </w:pPr>
            <w:r>
              <w:rPr>
                <w:rFonts w:cs="Arial"/>
                <w:sz w:val="18"/>
                <w:szCs w:val="18"/>
                <w:lang w:val="de-DE" w:eastAsia="de-DE" w:bidi="ar-SA"/>
              </w:rPr>
              <w:t>t6</w:t>
            </w:r>
          </w:p>
        </w:tc>
        <w:tc>
          <w:tcPr>
            <w:tcW w:w="861" w:type="dxa"/>
            <w:tcBorders>
              <w:top w:val="single" w:sz="6" w:space="0" w:color="auto"/>
              <w:left w:val="single" w:sz="6" w:space="0" w:color="auto"/>
              <w:bottom w:val="single" w:sz="6" w:space="0" w:color="auto"/>
              <w:right w:val="single" w:sz="6" w:space="0" w:color="auto"/>
            </w:tcBorders>
          </w:tcPr>
          <w:p w14:paraId="65D7C66D" w14:textId="77777777" w:rsidR="00B97365" w:rsidRDefault="00000000">
            <w:pPr>
              <w:rPr>
                <w:rFonts w:cs="Calibri"/>
                <w:sz w:val="18"/>
                <w:szCs w:val="18"/>
                <w:lang w:val="en-US"/>
              </w:rPr>
            </w:pPr>
            <w:r>
              <w:rPr>
                <w:rFonts w:cs="Arial"/>
                <w:sz w:val="18"/>
                <w:szCs w:val="18"/>
                <w:lang w:val="de-DE" w:eastAsia="de-DE" w:bidi="ar-SA"/>
              </w:rPr>
              <w:t>6.7.8.9</w:t>
            </w:r>
          </w:p>
        </w:tc>
        <w:tc>
          <w:tcPr>
            <w:tcW w:w="774" w:type="dxa"/>
            <w:tcBorders>
              <w:top w:val="single" w:sz="6" w:space="0" w:color="auto"/>
              <w:left w:val="single" w:sz="6" w:space="0" w:color="auto"/>
              <w:bottom w:val="single" w:sz="6" w:space="0" w:color="auto"/>
              <w:right w:val="single" w:sz="6" w:space="0" w:color="auto"/>
            </w:tcBorders>
          </w:tcPr>
          <w:p w14:paraId="21E43DCF" w14:textId="77777777" w:rsidR="00B97365" w:rsidRDefault="00000000">
            <w:pPr>
              <w:jc w:val="center"/>
              <w:rPr>
                <w:rFonts w:cs="Calibri"/>
                <w:sz w:val="18"/>
                <w:szCs w:val="18"/>
                <w:lang w:val="en-US"/>
              </w:rPr>
            </w:pPr>
            <w:r>
              <w:rPr>
                <w:rFonts w:cs="Arial"/>
                <w:sz w:val="18"/>
                <w:szCs w:val="18"/>
                <w:lang w:val="de-DE" w:eastAsia="de-DE" w:bidi="ar-SA"/>
              </w:rPr>
              <w:t>1.2.3.4</w:t>
            </w:r>
          </w:p>
        </w:tc>
        <w:tc>
          <w:tcPr>
            <w:tcW w:w="825" w:type="dxa"/>
            <w:tcBorders>
              <w:top w:val="single" w:sz="6" w:space="0" w:color="auto"/>
              <w:left w:val="single" w:sz="6" w:space="0" w:color="auto"/>
              <w:bottom w:val="single" w:sz="6" w:space="0" w:color="auto"/>
              <w:right w:val="single" w:sz="6" w:space="0" w:color="auto"/>
            </w:tcBorders>
          </w:tcPr>
          <w:p w14:paraId="4C23EB7D" w14:textId="77777777" w:rsidR="00B97365" w:rsidRDefault="00000000">
            <w:pPr>
              <w:rPr>
                <w:rFonts w:cs="Calibri"/>
                <w:sz w:val="18"/>
                <w:szCs w:val="18"/>
                <w:lang w:val="en-US"/>
              </w:rPr>
            </w:pPr>
            <w:r>
              <w:rPr>
                <w:rFonts w:cs="Arial"/>
                <w:sz w:val="18"/>
                <w:szCs w:val="18"/>
                <w:lang w:val="de-DE" w:eastAsia="de-DE" w:bidi="ar-SA"/>
              </w:rPr>
              <w:t>ABC</w:t>
            </w:r>
          </w:p>
        </w:tc>
        <w:tc>
          <w:tcPr>
            <w:tcW w:w="1843" w:type="dxa"/>
            <w:tcBorders>
              <w:top w:val="single" w:sz="6" w:space="0" w:color="auto"/>
              <w:left w:val="single" w:sz="6" w:space="0" w:color="auto"/>
              <w:bottom w:val="single" w:sz="6" w:space="0" w:color="auto"/>
              <w:right w:val="single" w:sz="6" w:space="0" w:color="auto"/>
            </w:tcBorders>
          </w:tcPr>
          <w:p w14:paraId="190E0A95" w14:textId="77777777" w:rsidR="00B97365" w:rsidRDefault="00B97365">
            <w:pPr>
              <w:rPr>
                <w:rFonts w:cs="Calibri"/>
                <w:sz w:val="18"/>
                <w:szCs w:val="18"/>
                <w:lang w:val="en-US"/>
              </w:rPr>
            </w:pPr>
          </w:p>
        </w:tc>
        <w:tc>
          <w:tcPr>
            <w:tcW w:w="3543" w:type="dxa"/>
            <w:tcBorders>
              <w:top w:val="single" w:sz="6" w:space="0" w:color="auto"/>
              <w:left w:val="single" w:sz="6" w:space="0" w:color="auto"/>
              <w:bottom w:val="single" w:sz="6" w:space="0" w:color="auto"/>
              <w:right w:val="single" w:sz="4" w:space="0" w:color="auto"/>
            </w:tcBorders>
          </w:tcPr>
          <w:p w14:paraId="4AB8A662" w14:textId="77777777" w:rsidR="00B97365" w:rsidRDefault="00000000">
            <w:pPr>
              <w:rPr>
                <w:rFonts w:cs="Calibri"/>
                <w:sz w:val="18"/>
                <w:szCs w:val="18"/>
                <w:lang w:val="en-US"/>
              </w:rPr>
            </w:pPr>
            <w:r>
              <w:rPr>
                <w:rFonts w:cs="Arial"/>
                <w:sz w:val="18"/>
                <w:szCs w:val="18"/>
                <w:lang w:val="en-US" w:eastAsia="de-DE" w:bidi="ar-SA"/>
              </w:rPr>
              <w:t>1.2.3.4 is not authorised for any operation for Profile type ABC of Operator1</w:t>
            </w:r>
          </w:p>
        </w:tc>
      </w:tr>
    </w:tbl>
    <w:p w14:paraId="61DA5D46" w14:textId="77777777" w:rsidR="00B97365" w:rsidRDefault="00B97365">
      <w:pPr>
        <w:spacing w:before="0" w:after="200" w:line="276" w:lineRule="auto"/>
        <w:jc w:val="left"/>
        <w:rPr>
          <w:szCs w:val="22"/>
          <w:lang w:eastAsia="en-GB" w:bidi="ar-SA"/>
        </w:rPr>
      </w:pPr>
    </w:p>
    <w:p w14:paraId="11392AE9" w14:textId="77777777" w:rsidR="00B97365" w:rsidRDefault="00000000">
      <w:pPr>
        <w:spacing w:before="0"/>
        <w:jc w:val="left"/>
        <w:rPr>
          <w:szCs w:val="22"/>
          <w:lang w:eastAsia="en-GB" w:bidi="ar-SA"/>
        </w:rPr>
      </w:pPr>
      <w:r>
        <w:br w:type="page"/>
      </w:r>
    </w:p>
    <w:p w14:paraId="592FF65F" w14:textId="77777777" w:rsidR="00B97365" w:rsidRDefault="00B97365">
      <w:pPr>
        <w:spacing w:before="0" w:after="200" w:line="276" w:lineRule="auto"/>
        <w:jc w:val="left"/>
        <w:rPr>
          <w:szCs w:val="22"/>
          <w:lang w:eastAsia="en-GB" w:bidi="ar-SA"/>
        </w:rPr>
      </w:pPr>
    </w:p>
    <w:p w14:paraId="200B9087" w14:textId="77777777" w:rsidR="00B97365" w:rsidRDefault="00000000">
      <w:pPr>
        <w:keepNext/>
        <w:keepLines/>
        <w:numPr>
          <w:ilvl w:val="0"/>
          <w:numId w:val="8"/>
        </w:numPr>
        <w:spacing w:before="360" w:after="60" w:line="276" w:lineRule="auto"/>
        <w:jc w:val="left"/>
        <w:outlineLvl w:val="0"/>
        <w:rPr>
          <w:b/>
          <w:sz w:val="28"/>
        </w:rPr>
      </w:pPr>
      <w:bookmarkStart w:id="12095" w:name="_Toc1977522"/>
      <w:bookmarkStart w:id="12096" w:name="_Toc37062681"/>
      <w:bookmarkStart w:id="12097" w:name="_Toc88839721"/>
      <w:bookmarkStart w:id="12098" w:name="_Toc121504129"/>
      <w:r>
        <w:rPr>
          <w:b/>
          <w:sz w:val="28"/>
        </w:rPr>
        <w:t>Examples of ONC Setting (Informative)</w:t>
      </w:r>
      <w:bookmarkEnd w:id="12095"/>
      <w:bookmarkEnd w:id="12096"/>
      <w:bookmarkEnd w:id="12097"/>
      <w:bookmarkEnd w:id="12098"/>
    </w:p>
    <w:p w14:paraId="76B441BD" w14:textId="77777777" w:rsidR="00B97365" w:rsidRDefault="00000000">
      <w:pPr>
        <w:spacing w:before="0" w:after="200" w:line="276" w:lineRule="auto"/>
        <w:jc w:val="left"/>
        <w:rPr>
          <w:szCs w:val="22"/>
          <w:lang w:val="en-US" w:eastAsia="en-GB" w:bidi="ar-SA"/>
        </w:rPr>
      </w:pPr>
      <w:r>
        <w:rPr>
          <w:szCs w:val="22"/>
          <w:lang w:val="en-US" w:eastAsia="en-GB" w:bidi="ar-SA"/>
        </w:rPr>
        <w:t>This annex presents a fictitious scenario where an Operator1 identified by its mno-id=6.7.8.9 successively calls one of the SetONC operations, and illustrates how this affects the notifications for the Operator.</w:t>
      </w:r>
    </w:p>
    <w:p w14:paraId="7C4AE06D" w14:textId="77777777" w:rsidR="00B97365" w:rsidRDefault="00000000">
      <w:pPr>
        <w:spacing w:before="0" w:after="200" w:line="276" w:lineRule="auto"/>
        <w:jc w:val="left"/>
        <w:rPr>
          <w:szCs w:val="22"/>
          <w:lang w:val="en-US" w:eastAsia="en-GB" w:bidi="ar-SA"/>
        </w:rPr>
      </w:pPr>
      <w:r>
        <w:rPr>
          <w:szCs w:val="22"/>
          <w:lang w:val="en-US" w:eastAsia="en-GB" w:bidi="ar-SA"/>
        </w:rPr>
        <w:t>The table reads with time ascending from top to bottom.</w:t>
      </w:r>
    </w:p>
    <w:tbl>
      <w:tblPr>
        <w:tblW w:w="920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54"/>
        <w:gridCol w:w="1042"/>
        <w:gridCol w:w="825"/>
        <w:gridCol w:w="1843"/>
        <w:gridCol w:w="4845"/>
      </w:tblGrid>
      <w:tr w:rsidR="00B97365" w14:paraId="302D7F70" w14:textId="77777777">
        <w:trPr>
          <w:trHeight w:val="342"/>
          <w:jc w:val="center"/>
        </w:trPr>
        <w:tc>
          <w:tcPr>
            <w:tcW w:w="654" w:type="dxa"/>
            <w:tcBorders>
              <w:top w:val="single" w:sz="4" w:space="0" w:color="auto"/>
              <w:left w:val="single" w:sz="4" w:space="0" w:color="auto"/>
              <w:bottom w:val="single" w:sz="6" w:space="0" w:color="auto"/>
              <w:right w:val="single" w:sz="6" w:space="0" w:color="auto"/>
            </w:tcBorders>
            <w:shd w:val="clear" w:color="auto" w:fill="C00000"/>
            <w:hideMark/>
          </w:tcPr>
          <w:p w14:paraId="5F909DAC" w14:textId="77777777" w:rsidR="00B97365" w:rsidRDefault="00000000">
            <w:pPr>
              <w:jc w:val="center"/>
              <w:rPr>
                <w:rFonts w:cs="Calibri"/>
                <w:b/>
                <w:color w:val="FFFFFF"/>
                <w:sz w:val="16"/>
                <w:szCs w:val="16"/>
              </w:rPr>
            </w:pPr>
            <w:r>
              <w:rPr>
                <w:rFonts w:cs="Arial"/>
                <w:b/>
                <w:bCs/>
                <w:lang w:val="de-DE" w:eastAsia="de-DE" w:bidi="ar-SA"/>
              </w:rPr>
              <w:t>Time</w:t>
            </w:r>
          </w:p>
        </w:tc>
        <w:tc>
          <w:tcPr>
            <w:tcW w:w="1042" w:type="dxa"/>
            <w:tcBorders>
              <w:top w:val="single" w:sz="4" w:space="0" w:color="auto"/>
              <w:left w:val="single" w:sz="6" w:space="0" w:color="auto"/>
              <w:bottom w:val="single" w:sz="6" w:space="0" w:color="auto"/>
              <w:right w:val="single" w:sz="6" w:space="0" w:color="auto"/>
            </w:tcBorders>
            <w:shd w:val="clear" w:color="auto" w:fill="C00000"/>
            <w:hideMark/>
          </w:tcPr>
          <w:p w14:paraId="49FDB4DD" w14:textId="77777777" w:rsidR="00B97365" w:rsidRDefault="00000000">
            <w:pPr>
              <w:jc w:val="center"/>
              <w:rPr>
                <w:rFonts w:cs="Calibri"/>
                <w:b/>
                <w:color w:val="FFFFFF"/>
                <w:sz w:val="16"/>
                <w:szCs w:val="16"/>
              </w:rPr>
            </w:pPr>
            <w:r>
              <w:rPr>
                <w:rFonts w:cs="Arial"/>
                <w:b/>
                <w:bCs/>
                <w:lang w:val="de-DE" w:eastAsia="de-DE" w:bidi="ar-SA"/>
              </w:rPr>
              <w:t>mno-id</w:t>
            </w:r>
          </w:p>
        </w:tc>
        <w:tc>
          <w:tcPr>
            <w:tcW w:w="825" w:type="dxa"/>
            <w:tcBorders>
              <w:top w:val="single" w:sz="4" w:space="0" w:color="auto"/>
              <w:left w:val="single" w:sz="6" w:space="0" w:color="auto"/>
              <w:bottom w:val="single" w:sz="6" w:space="0" w:color="auto"/>
              <w:right w:val="single" w:sz="6" w:space="0" w:color="auto"/>
            </w:tcBorders>
            <w:shd w:val="clear" w:color="auto" w:fill="C00000"/>
            <w:hideMark/>
          </w:tcPr>
          <w:p w14:paraId="251052E9" w14:textId="77777777" w:rsidR="00B97365" w:rsidRDefault="00000000">
            <w:pPr>
              <w:jc w:val="center"/>
              <w:rPr>
                <w:rFonts w:cs="Calibri"/>
                <w:b/>
                <w:color w:val="FFFFFF"/>
                <w:sz w:val="16"/>
                <w:szCs w:val="16"/>
              </w:rPr>
            </w:pPr>
            <w:r>
              <w:rPr>
                <w:rFonts w:cs="Arial"/>
                <w:b/>
                <w:bCs/>
                <w:lang w:val="de-DE" w:eastAsia="de-DE" w:bidi="ar-SA"/>
              </w:rPr>
              <w:t>profileType</w:t>
            </w:r>
          </w:p>
        </w:tc>
        <w:tc>
          <w:tcPr>
            <w:tcW w:w="1843" w:type="dxa"/>
            <w:tcBorders>
              <w:top w:val="single" w:sz="4" w:space="0" w:color="auto"/>
              <w:left w:val="single" w:sz="6" w:space="0" w:color="auto"/>
              <w:bottom w:val="single" w:sz="6" w:space="0" w:color="auto"/>
              <w:right w:val="single" w:sz="6" w:space="0" w:color="auto"/>
            </w:tcBorders>
            <w:shd w:val="clear" w:color="auto" w:fill="C00000"/>
          </w:tcPr>
          <w:p w14:paraId="7E497933" w14:textId="77777777" w:rsidR="00B97365" w:rsidRDefault="00000000">
            <w:pPr>
              <w:jc w:val="center"/>
              <w:rPr>
                <w:rFonts w:cs="Calibri"/>
                <w:b/>
                <w:color w:val="FFFFFF"/>
                <w:sz w:val="16"/>
                <w:szCs w:val="16"/>
              </w:rPr>
            </w:pPr>
            <w:r>
              <w:rPr>
                <w:rFonts w:cs="Arial"/>
                <w:b/>
                <w:bCs/>
                <w:lang w:val="de-DE" w:eastAsia="de-DE" w:bidi="ar-SA"/>
              </w:rPr>
              <w:t>discarded Notifications</w:t>
            </w:r>
          </w:p>
        </w:tc>
        <w:tc>
          <w:tcPr>
            <w:tcW w:w="4845" w:type="dxa"/>
            <w:tcBorders>
              <w:top w:val="single" w:sz="4" w:space="0" w:color="auto"/>
              <w:left w:val="single" w:sz="6" w:space="0" w:color="auto"/>
              <w:bottom w:val="single" w:sz="6" w:space="0" w:color="auto"/>
              <w:right w:val="single" w:sz="4" w:space="0" w:color="auto"/>
            </w:tcBorders>
            <w:shd w:val="clear" w:color="auto" w:fill="C00000"/>
            <w:hideMark/>
          </w:tcPr>
          <w:p w14:paraId="63BBA172" w14:textId="77777777" w:rsidR="00B97365" w:rsidRDefault="00000000">
            <w:pPr>
              <w:jc w:val="center"/>
              <w:rPr>
                <w:rFonts w:cs="Calibri"/>
                <w:b/>
                <w:color w:val="FFFFFF"/>
                <w:sz w:val="16"/>
                <w:szCs w:val="16"/>
              </w:rPr>
            </w:pPr>
            <w:r>
              <w:rPr>
                <w:rFonts w:cs="Arial"/>
                <w:b/>
                <w:bCs/>
                <w:lang w:val="de-DE" w:eastAsia="de-DE" w:bidi="ar-SA"/>
              </w:rPr>
              <w:t>Consequences</w:t>
            </w:r>
          </w:p>
        </w:tc>
      </w:tr>
      <w:tr w:rsidR="00B97365" w14:paraId="6A2F0A6E"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5C7EAA2D" w14:textId="77777777" w:rsidR="00B97365" w:rsidRDefault="00000000">
            <w:pPr>
              <w:jc w:val="center"/>
              <w:rPr>
                <w:rFonts w:cs="Calibri"/>
                <w:sz w:val="18"/>
                <w:szCs w:val="18"/>
              </w:rPr>
            </w:pPr>
            <w:r>
              <w:rPr>
                <w:rFonts w:cs="Arial"/>
                <w:sz w:val="18"/>
                <w:szCs w:val="18"/>
                <w:lang w:val="de-DE" w:eastAsia="de-DE" w:bidi="ar-SA"/>
              </w:rPr>
              <w:t>t0</w:t>
            </w:r>
          </w:p>
        </w:tc>
        <w:tc>
          <w:tcPr>
            <w:tcW w:w="1042" w:type="dxa"/>
            <w:tcBorders>
              <w:top w:val="single" w:sz="6" w:space="0" w:color="auto"/>
              <w:left w:val="single" w:sz="6" w:space="0" w:color="auto"/>
              <w:bottom w:val="single" w:sz="6" w:space="0" w:color="auto"/>
              <w:right w:val="single" w:sz="6" w:space="0" w:color="auto"/>
            </w:tcBorders>
          </w:tcPr>
          <w:p w14:paraId="02536CEC" w14:textId="77777777" w:rsidR="00B97365" w:rsidRDefault="00000000">
            <w:pPr>
              <w:rPr>
                <w:rFonts w:cs="Calibri"/>
                <w:sz w:val="18"/>
                <w:szCs w:val="18"/>
                <w:lang w:val="en-US"/>
              </w:rPr>
            </w:pPr>
            <w:r>
              <w:rPr>
                <w:rFonts w:cs="Calibri"/>
                <w:sz w:val="18"/>
                <w:szCs w:val="18"/>
                <w:lang w:val="en-US"/>
              </w:rPr>
              <w:t>-</w:t>
            </w:r>
          </w:p>
        </w:tc>
        <w:tc>
          <w:tcPr>
            <w:tcW w:w="825" w:type="dxa"/>
            <w:tcBorders>
              <w:top w:val="single" w:sz="6" w:space="0" w:color="auto"/>
              <w:left w:val="single" w:sz="6" w:space="0" w:color="auto"/>
              <w:bottom w:val="single" w:sz="6" w:space="0" w:color="auto"/>
              <w:right w:val="single" w:sz="6" w:space="0" w:color="auto"/>
            </w:tcBorders>
          </w:tcPr>
          <w:p w14:paraId="558654C7" w14:textId="77777777" w:rsidR="00B97365" w:rsidRDefault="00000000">
            <w:pPr>
              <w:rPr>
                <w:rFonts w:cs="Calibri"/>
                <w:sz w:val="18"/>
                <w:szCs w:val="18"/>
                <w:lang w:val="en-US"/>
              </w:rPr>
            </w:pPr>
            <w:r>
              <w:rPr>
                <w:rFonts w:cs="Calibri"/>
                <w:sz w:val="18"/>
                <w:szCs w:val="18"/>
                <w:lang w:val="en-US"/>
              </w:rPr>
              <w:t>-</w:t>
            </w:r>
          </w:p>
        </w:tc>
        <w:tc>
          <w:tcPr>
            <w:tcW w:w="1843" w:type="dxa"/>
            <w:tcBorders>
              <w:top w:val="single" w:sz="6" w:space="0" w:color="auto"/>
              <w:left w:val="single" w:sz="6" w:space="0" w:color="auto"/>
              <w:bottom w:val="single" w:sz="6" w:space="0" w:color="auto"/>
              <w:right w:val="single" w:sz="6" w:space="0" w:color="auto"/>
            </w:tcBorders>
          </w:tcPr>
          <w:p w14:paraId="1D6F353B" w14:textId="77777777" w:rsidR="00B97365" w:rsidRDefault="00000000">
            <w:pPr>
              <w:rPr>
                <w:rFonts w:cs="Calibri"/>
                <w:sz w:val="18"/>
                <w:szCs w:val="18"/>
                <w:lang w:val="en-US"/>
              </w:rPr>
            </w:pPr>
            <w:r>
              <w:rPr>
                <w:rFonts w:cs="Calibri"/>
                <w:sz w:val="18"/>
                <w:szCs w:val="18"/>
                <w:lang w:val="en-US"/>
              </w:rPr>
              <w:t>-</w:t>
            </w:r>
          </w:p>
        </w:tc>
        <w:tc>
          <w:tcPr>
            <w:tcW w:w="4845" w:type="dxa"/>
            <w:tcBorders>
              <w:top w:val="single" w:sz="6" w:space="0" w:color="auto"/>
              <w:left w:val="single" w:sz="6" w:space="0" w:color="auto"/>
              <w:bottom w:val="single" w:sz="6" w:space="0" w:color="auto"/>
              <w:right w:val="single" w:sz="4" w:space="0" w:color="auto"/>
            </w:tcBorders>
          </w:tcPr>
          <w:p w14:paraId="4E59E83B" w14:textId="77777777" w:rsidR="00B97365" w:rsidRDefault="00000000">
            <w:pPr>
              <w:rPr>
                <w:rFonts w:cs="Calibri"/>
                <w:sz w:val="18"/>
                <w:szCs w:val="18"/>
              </w:rPr>
            </w:pPr>
            <w:r>
              <w:rPr>
                <w:rFonts w:cs="Calibri"/>
                <w:sz w:val="18"/>
                <w:szCs w:val="18"/>
              </w:rPr>
              <w:t xml:space="preserve">No ONC set: Operator1 receives all </w:t>
            </w:r>
            <w:r>
              <w:rPr>
                <w:rFonts w:cs="Arial"/>
                <w:sz w:val="18"/>
                <w:szCs w:val="18"/>
                <w:lang w:eastAsia="de-DE" w:bidi="ar-SA"/>
              </w:rPr>
              <w:t xml:space="preserve">notifications for all owned Profiles. </w:t>
            </w:r>
          </w:p>
        </w:tc>
      </w:tr>
      <w:tr w:rsidR="00B97365" w14:paraId="4811654C"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29B0067D" w14:textId="77777777" w:rsidR="00B97365" w:rsidRDefault="00000000">
            <w:pPr>
              <w:jc w:val="center"/>
              <w:rPr>
                <w:rFonts w:cs="Arial"/>
                <w:sz w:val="18"/>
                <w:szCs w:val="18"/>
                <w:lang w:val="de-DE" w:eastAsia="de-DE" w:bidi="ar-SA"/>
              </w:rPr>
            </w:pPr>
            <w:r>
              <w:rPr>
                <w:rFonts w:cs="Arial"/>
                <w:sz w:val="18"/>
                <w:szCs w:val="18"/>
                <w:lang w:val="de-DE" w:eastAsia="de-DE" w:bidi="ar-SA"/>
              </w:rPr>
              <w:t>t1</w:t>
            </w:r>
          </w:p>
        </w:tc>
        <w:tc>
          <w:tcPr>
            <w:tcW w:w="1042" w:type="dxa"/>
            <w:tcBorders>
              <w:top w:val="single" w:sz="6" w:space="0" w:color="auto"/>
              <w:left w:val="single" w:sz="6" w:space="0" w:color="auto"/>
              <w:bottom w:val="single" w:sz="6" w:space="0" w:color="auto"/>
              <w:right w:val="single" w:sz="6" w:space="0" w:color="auto"/>
            </w:tcBorders>
          </w:tcPr>
          <w:p w14:paraId="60F5ABCC" w14:textId="77777777" w:rsidR="00B97365" w:rsidRDefault="00000000">
            <w:pPr>
              <w:rPr>
                <w:rFonts w:cs="Arial"/>
                <w:sz w:val="18"/>
                <w:szCs w:val="18"/>
                <w:lang w:val="de-DE" w:eastAsia="de-DE" w:bidi="ar-SA"/>
              </w:rPr>
            </w:pPr>
            <w:r>
              <w:rPr>
                <w:rFonts w:cs="Arial"/>
                <w:sz w:val="18"/>
                <w:szCs w:val="18"/>
                <w:lang w:val="de-DE" w:eastAsia="de-DE" w:bidi="ar-SA"/>
              </w:rPr>
              <w:t>6.7.8.9</w:t>
            </w:r>
          </w:p>
        </w:tc>
        <w:tc>
          <w:tcPr>
            <w:tcW w:w="825" w:type="dxa"/>
            <w:tcBorders>
              <w:top w:val="single" w:sz="6" w:space="0" w:color="auto"/>
              <w:left w:val="single" w:sz="6" w:space="0" w:color="auto"/>
              <w:bottom w:val="single" w:sz="6" w:space="0" w:color="auto"/>
              <w:right w:val="single" w:sz="6" w:space="0" w:color="auto"/>
            </w:tcBorders>
          </w:tcPr>
          <w:p w14:paraId="4BCC8867" w14:textId="77777777" w:rsidR="00B97365" w:rsidRDefault="00000000">
            <w:pPr>
              <w:rPr>
                <w:rFonts w:cs="Arial"/>
                <w:sz w:val="18"/>
                <w:szCs w:val="18"/>
                <w:lang w:val="de-DE" w:eastAsia="de-DE" w:bidi="ar-SA"/>
              </w:rPr>
            </w:pPr>
            <w:r>
              <w:rPr>
                <w:rFonts w:cs="Arial"/>
                <w:sz w:val="18"/>
                <w:szCs w:val="18"/>
                <w:lang w:val="de-DE" w:eastAsia="de-DE" w:bidi="ar-SA"/>
              </w:rPr>
              <w:t>ABC</w:t>
            </w:r>
          </w:p>
        </w:tc>
        <w:tc>
          <w:tcPr>
            <w:tcW w:w="1843" w:type="dxa"/>
            <w:tcBorders>
              <w:top w:val="single" w:sz="6" w:space="0" w:color="auto"/>
              <w:left w:val="single" w:sz="6" w:space="0" w:color="auto"/>
              <w:bottom w:val="single" w:sz="6" w:space="0" w:color="auto"/>
              <w:right w:val="single" w:sz="6" w:space="0" w:color="auto"/>
            </w:tcBorders>
          </w:tcPr>
          <w:p w14:paraId="0099A25A" w14:textId="77777777" w:rsidR="00B97365" w:rsidRDefault="00000000">
            <w:pPr>
              <w:rPr>
                <w:rFonts w:cs="Arial"/>
                <w:sz w:val="18"/>
                <w:szCs w:val="18"/>
                <w:lang w:val="de-DE" w:eastAsia="de-DE" w:bidi="ar-SA"/>
              </w:rPr>
            </w:pPr>
            <w:r>
              <w:rPr>
                <w:rFonts w:cs="Arial"/>
                <w:sz w:val="18"/>
                <w:szCs w:val="18"/>
                <w:lang w:val="de-DE" w:eastAsia="de-DE" w:bidi="ar-SA"/>
              </w:rPr>
              <w:t xml:space="preserve">HandleProfileEnabledNotification </w:t>
            </w:r>
          </w:p>
        </w:tc>
        <w:tc>
          <w:tcPr>
            <w:tcW w:w="4845" w:type="dxa"/>
            <w:tcBorders>
              <w:top w:val="single" w:sz="6" w:space="0" w:color="auto"/>
              <w:left w:val="single" w:sz="6" w:space="0" w:color="auto"/>
              <w:bottom w:val="single" w:sz="6" w:space="0" w:color="auto"/>
              <w:right w:val="single" w:sz="4" w:space="0" w:color="auto"/>
            </w:tcBorders>
          </w:tcPr>
          <w:p w14:paraId="20F5FC63" w14:textId="77777777" w:rsidR="00B97365" w:rsidRDefault="00000000">
            <w:pPr>
              <w:rPr>
                <w:rFonts w:cs="Arial"/>
                <w:sz w:val="18"/>
                <w:szCs w:val="18"/>
                <w:lang w:eastAsia="de-DE" w:bidi="ar-SA"/>
              </w:rPr>
            </w:pPr>
            <w:r>
              <w:rPr>
                <w:rFonts w:cs="Arial"/>
                <w:sz w:val="18"/>
                <w:szCs w:val="18"/>
                <w:lang w:val="en-US" w:eastAsia="de-DE" w:bidi="ar-SA"/>
              </w:rPr>
              <w:t>Operator</w:t>
            </w:r>
            <w:r>
              <w:rPr>
                <w:rFonts w:cs="Arial"/>
                <w:sz w:val="18"/>
                <w:szCs w:val="18"/>
                <w:lang w:eastAsia="de-DE" w:bidi="ar-SA"/>
              </w:rPr>
              <w:t>1 receives “no“ Enable notifications for owned Profiles of type ABC.</w:t>
            </w:r>
          </w:p>
          <w:p w14:paraId="17E02375" w14:textId="77777777" w:rsidR="00B97365" w:rsidRDefault="00000000">
            <w:pPr>
              <w:rPr>
                <w:rFonts w:cs="Calibri"/>
                <w:sz w:val="18"/>
                <w:szCs w:val="18"/>
              </w:rPr>
            </w:pPr>
            <w:r>
              <w:rPr>
                <w:rFonts w:cs="Calibri"/>
                <w:sz w:val="18"/>
                <w:szCs w:val="18"/>
              </w:rPr>
              <w:t xml:space="preserve">Operator1 receives for owned Profiles </w:t>
            </w:r>
            <w:r>
              <w:rPr>
                <w:rFonts w:cs="Calibri"/>
                <w:sz w:val="18"/>
                <w:szCs w:val="18"/>
                <w:u w:val="single"/>
              </w:rPr>
              <w:t>with</w:t>
            </w:r>
            <w:r>
              <w:rPr>
                <w:rFonts w:cs="Calibri"/>
                <w:sz w:val="18"/>
                <w:szCs w:val="18"/>
              </w:rPr>
              <w:t xml:space="preserve"> a Profile type in EIS (apart from ABC) “</w:t>
            </w:r>
            <w:r>
              <w:rPr>
                <w:rFonts w:cs="Calibri"/>
                <w:sz w:val="18"/>
                <w:szCs w:val="18"/>
                <w:u w:val="single"/>
              </w:rPr>
              <w:t xml:space="preserve">all” </w:t>
            </w:r>
            <w:r>
              <w:rPr>
                <w:rFonts w:cs="Calibri"/>
                <w:sz w:val="18"/>
                <w:szCs w:val="18"/>
              </w:rPr>
              <w:t>notifications.</w:t>
            </w:r>
          </w:p>
          <w:p w14:paraId="0CBCF50B" w14:textId="77777777" w:rsidR="00B97365" w:rsidRDefault="00000000">
            <w:pPr>
              <w:rPr>
                <w:rFonts w:cs="Arial"/>
                <w:sz w:val="18"/>
                <w:szCs w:val="18"/>
                <w:lang w:val="en-US" w:eastAsia="de-DE" w:bidi="ar-SA"/>
              </w:rPr>
            </w:pPr>
            <w:r>
              <w:rPr>
                <w:rFonts w:cs="Calibri"/>
                <w:sz w:val="18"/>
                <w:szCs w:val="18"/>
              </w:rPr>
              <w:t xml:space="preserve">Operator1 receives for owned Profiles </w:t>
            </w:r>
            <w:r>
              <w:rPr>
                <w:rFonts w:cs="Calibri"/>
                <w:sz w:val="18"/>
                <w:szCs w:val="18"/>
                <w:u w:val="single"/>
              </w:rPr>
              <w:t>without</w:t>
            </w:r>
            <w:r>
              <w:rPr>
                <w:rFonts w:cs="Calibri"/>
                <w:sz w:val="18"/>
                <w:szCs w:val="18"/>
              </w:rPr>
              <w:t xml:space="preserve"> a Profile type in EIS “</w:t>
            </w:r>
            <w:r>
              <w:rPr>
                <w:rFonts w:cs="Calibri"/>
                <w:sz w:val="18"/>
                <w:szCs w:val="18"/>
                <w:u w:val="single"/>
              </w:rPr>
              <w:t xml:space="preserve">all” </w:t>
            </w:r>
            <w:r>
              <w:rPr>
                <w:rFonts w:cs="Calibri"/>
                <w:sz w:val="18"/>
                <w:szCs w:val="18"/>
              </w:rPr>
              <w:t>notifications.</w:t>
            </w:r>
          </w:p>
        </w:tc>
      </w:tr>
      <w:tr w:rsidR="00B97365" w14:paraId="7E55D862"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5E6802F1" w14:textId="77777777" w:rsidR="00B97365" w:rsidRDefault="00000000">
            <w:pPr>
              <w:jc w:val="center"/>
              <w:rPr>
                <w:rFonts w:cs="Calibri"/>
                <w:sz w:val="18"/>
                <w:szCs w:val="18"/>
              </w:rPr>
            </w:pPr>
            <w:r>
              <w:rPr>
                <w:rFonts w:cs="Arial"/>
                <w:sz w:val="18"/>
                <w:szCs w:val="18"/>
                <w:lang w:val="de-DE" w:eastAsia="de-DE" w:bidi="ar-SA"/>
              </w:rPr>
              <w:t>t2</w:t>
            </w:r>
          </w:p>
        </w:tc>
        <w:tc>
          <w:tcPr>
            <w:tcW w:w="1042" w:type="dxa"/>
            <w:tcBorders>
              <w:top w:val="single" w:sz="6" w:space="0" w:color="auto"/>
              <w:left w:val="single" w:sz="6" w:space="0" w:color="auto"/>
              <w:bottom w:val="single" w:sz="6" w:space="0" w:color="auto"/>
              <w:right w:val="single" w:sz="6" w:space="0" w:color="auto"/>
            </w:tcBorders>
          </w:tcPr>
          <w:p w14:paraId="5745B01D" w14:textId="77777777" w:rsidR="00B97365" w:rsidRDefault="00000000">
            <w:pPr>
              <w:rPr>
                <w:rFonts w:cs="Calibri"/>
                <w:sz w:val="18"/>
                <w:szCs w:val="18"/>
                <w:lang w:val="en-US"/>
              </w:rPr>
            </w:pPr>
            <w:r>
              <w:rPr>
                <w:rFonts w:cs="Arial"/>
                <w:sz w:val="18"/>
                <w:szCs w:val="18"/>
                <w:lang w:val="de-DE" w:eastAsia="de-DE" w:bidi="ar-SA"/>
              </w:rPr>
              <w:t>6.7.8.9</w:t>
            </w:r>
          </w:p>
        </w:tc>
        <w:tc>
          <w:tcPr>
            <w:tcW w:w="825" w:type="dxa"/>
            <w:tcBorders>
              <w:top w:val="single" w:sz="6" w:space="0" w:color="auto"/>
              <w:left w:val="single" w:sz="6" w:space="0" w:color="auto"/>
              <w:bottom w:val="single" w:sz="6" w:space="0" w:color="auto"/>
              <w:right w:val="single" w:sz="6" w:space="0" w:color="auto"/>
            </w:tcBorders>
          </w:tcPr>
          <w:p w14:paraId="27823D33" w14:textId="77777777" w:rsidR="00B97365" w:rsidRDefault="00000000">
            <w:pPr>
              <w:rPr>
                <w:rFonts w:cs="Calibri"/>
                <w:sz w:val="18"/>
                <w:szCs w:val="18"/>
                <w:lang w:val="en-US"/>
              </w:rPr>
            </w:pPr>
            <w:r>
              <w:rPr>
                <w:rFonts w:cs="Arial"/>
                <w:sz w:val="18"/>
                <w:szCs w:val="18"/>
                <w:lang w:val="de-DE" w:eastAsia="de-DE" w:bidi="ar-SA"/>
              </w:rPr>
              <w:t>ABC</w:t>
            </w:r>
          </w:p>
        </w:tc>
        <w:tc>
          <w:tcPr>
            <w:tcW w:w="1843" w:type="dxa"/>
            <w:tcBorders>
              <w:top w:val="single" w:sz="6" w:space="0" w:color="auto"/>
              <w:left w:val="single" w:sz="6" w:space="0" w:color="auto"/>
              <w:bottom w:val="single" w:sz="6" w:space="0" w:color="auto"/>
              <w:right w:val="single" w:sz="6" w:space="0" w:color="auto"/>
            </w:tcBorders>
          </w:tcPr>
          <w:p w14:paraId="4A72A03F" w14:textId="77777777" w:rsidR="00B97365" w:rsidRDefault="00000000">
            <w:pPr>
              <w:rPr>
                <w:rFonts w:cs="Calibri"/>
                <w:sz w:val="18"/>
                <w:szCs w:val="18"/>
                <w:lang w:val="en-US"/>
              </w:rPr>
            </w:pPr>
            <w:r>
              <w:rPr>
                <w:rFonts w:cs="Arial"/>
                <w:sz w:val="18"/>
                <w:szCs w:val="18"/>
                <w:lang w:val="de-DE" w:eastAsia="de-DE" w:bidi="ar-SA"/>
              </w:rPr>
              <w:t>HandleProfileEnabledNotification</w:t>
            </w:r>
            <w:r>
              <w:rPr>
                <w:rFonts w:cs="Calibri"/>
                <w:sz w:val="18"/>
                <w:szCs w:val="18"/>
                <w:lang w:val="en-US"/>
              </w:rPr>
              <w:t xml:space="preserve">, </w:t>
            </w:r>
            <w:r>
              <w:rPr>
                <w:rFonts w:cs="Arial"/>
                <w:sz w:val="18"/>
                <w:szCs w:val="18"/>
                <w:lang w:val="de-DE" w:eastAsia="de-DE" w:bidi="ar-SA"/>
              </w:rPr>
              <w:t>HandleProfileDisabledNotification</w:t>
            </w:r>
          </w:p>
        </w:tc>
        <w:tc>
          <w:tcPr>
            <w:tcW w:w="4845" w:type="dxa"/>
            <w:tcBorders>
              <w:top w:val="single" w:sz="6" w:space="0" w:color="auto"/>
              <w:left w:val="single" w:sz="6" w:space="0" w:color="auto"/>
              <w:bottom w:val="single" w:sz="6" w:space="0" w:color="auto"/>
              <w:right w:val="single" w:sz="4" w:space="0" w:color="auto"/>
            </w:tcBorders>
          </w:tcPr>
          <w:p w14:paraId="2A7A7F1C" w14:textId="77777777" w:rsidR="00B97365" w:rsidRDefault="00000000">
            <w:pPr>
              <w:rPr>
                <w:rFonts w:cs="Arial"/>
                <w:sz w:val="18"/>
                <w:szCs w:val="18"/>
                <w:lang w:eastAsia="de-DE" w:bidi="ar-SA"/>
              </w:rPr>
            </w:pPr>
            <w:r>
              <w:rPr>
                <w:rFonts w:cs="Arial"/>
                <w:sz w:val="18"/>
                <w:szCs w:val="18"/>
                <w:lang w:val="en-US" w:eastAsia="de-DE" w:bidi="ar-SA"/>
              </w:rPr>
              <w:t>Operator</w:t>
            </w:r>
            <w:r>
              <w:rPr>
                <w:rFonts w:cs="Arial"/>
                <w:sz w:val="18"/>
                <w:szCs w:val="18"/>
                <w:lang w:eastAsia="de-DE" w:bidi="ar-SA"/>
              </w:rPr>
              <w:t>1 receives “no“ Enable and “no” Disable notifications for owned Profiles of type ABC.</w:t>
            </w:r>
          </w:p>
          <w:p w14:paraId="386B1011" w14:textId="77777777" w:rsidR="00B97365" w:rsidRDefault="00000000">
            <w:pPr>
              <w:rPr>
                <w:rFonts w:cs="Calibri"/>
                <w:sz w:val="18"/>
                <w:szCs w:val="18"/>
              </w:rPr>
            </w:pPr>
            <w:r>
              <w:rPr>
                <w:rFonts w:cs="Calibri"/>
                <w:sz w:val="18"/>
                <w:szCs w:val="18"/>
              </w:rPr>
              <w:t xml:space="preserve">Operator1 receives for owned Profiles </w:t>
            </w:r>
            <w:r>
              <w:rPr>
                <w:rFonts w:cs="Calibri"/>
                <w:sz w:val="18"/>
                <w:szCs w:val="18"/>
                <w:u w:val="single"/>
              </w:rPr>
              <w:t>with</w:t>
            </w:r>
            <w:r>
              <w:rPr>
                <w:rFonts w:cs="Calibri"/>
                <w:sz w:val="18"/>
                <w:szCs w:val="18"/>
              </w:rPr>
              <w:t xml:space="preserve"> a Profile type in EIS (apart from ABC) “</w:t>
            </w:r>
            <w:r>
              <w:rPr>
                <w:rFonts w:cs="Calibri"/>
                <w:sz w:val="18"/>
                <w:szCs w:val="18"/>
                <w:u w:val="single"/>
              </w:rPr>
              <w:t xml:space="preserve">all” </w:t>
            </w:r>
            <w:r>
              <w:rPr>
                <w:rFonts w:cs="Calibri"/>
                <w:sz w:val="18"/>
                <w:szCs w:val="18"/>
              </w:rPr>
              <w:t>notifications.</w:t>
            </w:r>
          </w:p>
          <w:p w14:paraId="7E542D2B" w14:textId="77777777" w:rsidR="00B97365" w:rsidRDefault="00000000">
            <w:pPr>
              <w:rPr>
                <w:rFonts w:cs="Calibri"/>
                <w:sz w:val="18"/>
                <w:szCs w:val="18"/>
              </w:rPr>
            </w:pPr>
            <w:r>
              <w:rPr>
                <w:rFonts w:cs="Calibri"/>
                <w:sz w:val="18"/>
                <w:szCs w:val="18"/>
              </w:rPr>
              <w:t xml:space="preserve">Operator1 receives for owned Profiles </w:t>
            </w:r>
            <w:r>
              <w:rPr>
                <w:rFonts w:cs="Calibri"/>
                <w:sz w:val="18"/>
                <w:szCs w:val="18"/>
                <w:u w:val="single"/>
              </w:rPr>
              <w:t>without</w:t>
            </w:r>
            <w:r>
              <w:rPr>
                <w:rFonts w:cs="Calibri"/>
                <w:sz w:val="18"/>
                <w:szCs w:val="18"/>
              </w:rPr>
              <w:t xml:space="preserve"> a Profile type in EIS “</w:t>
            </w:r>
            <w:r>
              <w:rPr>
                <w:rFonts w:cs="Calibri"/>
                <w:sz w:val="18"/>
                <w:szCs w:val="18"/>
                <w:u w:val="single"/>
              </w:rPr>
              <w:t xml:space="preserve">all” </w:t>
            </w:r>
            <w:r>
              <w:rPr>
                <w:rFonts w:cs="Calibri"/>
                <w:sz w:val="18"/>
                <w:szCs w:val="18"/>
              </w:rPr>
              <w:t>notifications.</w:t>
            </w:r>
          </w:p>
        </w:tc>
      </w:tr>
      <w:tr w:rsidR="00B97365" w14:paraId="0A42748F"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3E5B1AEB" w14:textId="77777777" w:rsidR="00B97365" w:rsidRDefault="00000000">
            <w:pPr>
              <w:jc w:val="center"/>
              <w:rPr>
                <w:rFonts w:cs="Calibri"/>
                <w:sz w:val="18"/>
                <w:szCs w:val="18"/>
              </w:rPr>
            </w:pPr>
            <w:r>
              <w:rPr>
                <w:rFonts w:cs="Arial"/>
                <w:sz w:val="18"/>
                <w:szCs w:val="18"/>
                <w:lang w:val="de-DE" w:eastAsia="de-DE" w:bidi="ar-SA"/>
              </w:rPr>
              <w:t>t3</w:t>
            </w:r>
          </w:p>
        </w:tc>
        <w:tc>
          <w:tcPr>
            <w:tcW w:w="1042" w:type="dxa"/>
            <w:tcBorders>
              <w:top w:val="single" w:sz="6" w:space="0" w:color="auto"/>
              <w:left w:val="single" w:sz="6" w:space="0" w:color="auto"/>
              <w:bottom w:val="single" w:sz="6" w:space="0" w:color="auto"/>
              <w:right w:val="single" w:sz="6" w:space="0" w:color="auto"/>
            </w:tcBorders>
          </w:tcPr>
          <w:p w14:paraId="482471D4" w14:textId="77777777" w:rsidR="00B97365" w:rsidRDefault="00000000">
            <w:pPr>
              <w:rPr>
                <w:rFonts w:cs="Calibri"/>
                <w:sz w:val="18"/>
                <w:szCs w:val="18"/>
                <w:lang w:val="en-US"/>
              </w:rPr>
            </w:pPr>
            <w:r>
              <w:rPr>
                <w:rFonts w:cs="Arial"/>
                <w:sz w:val="18"/>
                <w:szCs w:val="18"/>
                <w:lang w:val="de-DE" w:eastAsia="de-DE" w:bidi="ar-SA"/>
              </w:rPr>
              <w:t>6.7.8.9</w:t>
            </w:r>
          </w:p>
        </w:tc>
        <w:tc>
          <w:tcPr>
            <w:tcW w:w="825" w:type="dxa"/>
            <w:tcBorders>
              <w:top w:val="single" w:sz="6" w:space="0" w:color="auto"/>
              <w:left w:val="single" w:sz="6" w:space="0" w:color="auto"/>
              <w:bottom w:val="single" w:sz="6" w:space="0" w:color="auto"/>
              <w:right w:val="single" w:sz="6" w:space="0" w:color="auto"/>
            </w:tcBorders>
          </w:tcPr>
          <w:p w14:paraId="392F9E4B" w14:textId="77777777" w:rsidR="00B97365" w:rsidRDefault="00000000">
            <w:pPr>
              <w:rPr>
                <w:rFonts w:cs="Calibri"/>
                <w:sz w:val="18"/>
                <w:szCs w:val="18"/>
                <w:lang w:val="en-US"/>
              </w:rPr>
            </w:pPr>
            <w:r>
              <w:rPr>
                <w:rFonts w:cs="Arial"/>
                <w:sz w:val="18"/>
                <w:szCs w:val="18"/>
                <w:lang w:val="en-US" w:eastAsia="de-DE" w:bidi="ar-SA"/>
              </w:rPr>
              <w:t>Empty and Missing are treated as the same</w:t>
            </w:r>
          </w:p>
        </w:tc>
        <w:tc>
          <w:tcPr>
            <w:tcW w:w="1843" w:type="dxa"/>
            <w:tcBorders>
              <w:top w:val="single" w:sz="6" w:space="0" w:color="auto"/>
              <w:left w:val="single" w:sz="6" w:space="0" w:color="auto"/>
              <w:bottom w:val="single" w:sz="6" w:space="0" w:color="auto"/>
              <w:right w:val="single" w:sz="6" w:space="0" w:color="auto"/>
            </w:tcBorders>
          </w:tcPr>
          <w:p w14:paraId="72D879A3" w14:textId="77777777" w:rsidR="00B97365" w:rsidRDefault="00000000">
            <w:pPr>
              <w:rPr>
                <w:rFonts w:cs="Calibri"/>
                <w:sz w:val="18"/>
                <w:szCs w:val="18"/>
                <w:lang w:val="en-US"/>
              </w:rPr>
            </w:pPr>
            <w:r>
              <w:rPr>
                <w:rFonts w:cs="Arial"/>
                <w:sz w:val="18"/>
                <w:szCs w:val="18"/>
                <w:lang w:val="de-DE" w:eastAsia="de-DE" w:bidi="ar-SA"/>
              </w:rPr>
              <w:t>HandleProfileEnabledNotification</w:t>
            </w:r>
          </w:p>
        </w:tc>
        <w:tc>
          <w:tcPr>
            <w:tcW w:w="4845" w:type="dxa"/>
            <w:tcBorders>
              <w:top w:val="single" w:sz="6" w:space="0" w:color="auto"/>
              <w:left w:val="single" w:sz="6" w:space="0" w:color="auto"/>
              <w:bottom w:val="single" w:sz="6" w:space="0" w:color="auto"/>
              <w:right w:val="single" w:sz="4" w:space="0" w:color="auto"/>
            </w:tcBorders>
          </w:tcPr>
          <w:p w14:paraId="75BF4C9C" w14:textId="77777777" w:rsidR="00B97365" w:rsidRDefault="00000000">
            <w:pPr>
              <w:rPr>
                <w:rFonts w:cs="Arial"/>
                <w:sz w:val="18"/>
                <w:szCs w:val="18"/>
                <w:lang w:eastAsia="de-DE" w:bidi="ar-SA"/>
              </w:rPr>
            </w:pPr>
            <w:r>
              <w:rPr>
                <w:rFonts w:cs="Arial"/>
                <w:sz w:val="18"/>
                <w:szCs w:val="18"/>
                <w:lang w:val="en-US" w:eastAsia="de-DE" w:bidi="ar-SA"/>
              </w:rPr>
              <w:t>Operator</w:t>
            </w:r>
            <w:r>
              <w:rPr>
                <w:rFonts w:cs="Arial"/>
                <w:sz w:val="18"/>
                <w:szCs w:val="18"/>
                <w:lang w:eastAsia="de-DE" w:bidi="ar-SA"/>
              </w:rPr>
              <w:t>1 receives “no“ Enable and “no” Disable notifications for owned Profiles of type ABC.</w:t>
            </w:r>
          </w:p>
          <w:p w14:paraId="46EAFA2D" w14:textId="77777777" w:rsidR="00B97365" w:rsidRDefault="00000000">
            <w:pPr>
              <w:rPr>
                <w:rFonts w:cs="Calibri"/>
                <w:sz w:val="18"/>
                <w:szCs w:val="18"/>
              </w:rPr>
            </w:pPr>
            <w:r>
              <w:rPr>
                <w:rFonts w:cs="Calibri"/>
                <w:sz w:val="18"/>
                <w:szCs w:val="18"/>
              </w:rPr>
              <w:t xml:space="preserve">Operator1 receives for owned Profiles </w:t>
            </w:r>
            <w:r>
              <w:rPr>
                <w:rFonts w:cs="Calibri"/>
                <w:sz w:val="18"/>
                <w:szCs w:val="18"/>
                <w:u w:val="single"/>
              </w:rPr>
              <w:t>with</w:t>
            </w:r>
            <w:r>
              <w:rPr>
                <w:rFonts w:cs="Calibri"/>
                <w:sz w:val="18"/>
                <w:szCs w:val="18"/>
              </w:rPr>
              <w:t xml:space="preserve"> a Profile type in EIS (apart from ABC) “</w:t>
            </w:r>
            <w:r>
              <w:rPr>
                <w:rFonts w:cs="Calibri"/>
                <w:sz w:val="18"/>
                <w:szCs w:val="18"/>
                <w:u w:val="single"/>
              </w:rPr>
              <w:t xml:space="preserve">all” </w:t>
            </w:r>
            <w:r>
              <w:rPr>
                <w:rFonts w:cs="Calibri"/>
                <w:sz w:val="18"/>
                <w:szCs w:val="18"/>
              </w:rPr>
              <w:t>notifications.</w:t>
            </w:r>
          </w:p>
          <w:p w14:paraId="3F8C73C7" w14:textId="77777777" w:rsidR="00B97365" w:rsidRDefault="00000000">
            <w:pPr>
              <w:rPr>
                <w:rFonts w:cs="Arial"/>
                <w:sz w:val="18"/>
                <w:szCs w:val="18"/>
                <w:lang w:eastAsia="de-DE" w:bidi="ar-SA"/>
              </w:rPr>
            </w:pPr>
            <w:r>
              <w:rPr>
                <w:rFonts w:cs="Arial"/>
                <w:sz w:val="18"/>
                <w:szCs w:val="18"/>
                <w:lang w:val="en-US" w:eastAsia="de-DE" w:bidi="ar-SA"/>
              </w:rPr>
              <w:t>Operator</w:t>
            </w:r>
            <w:r>
              <w:rPr>
                <w:rFonts w:cs="Arial"/>
                <w:sz w:val="18"/>
                <w:szCs w:val="18"/>
                <w:lang w:eastAsia="de-DE" w:bidi="ar-SA"/>
              </w:rPr>
              <w:t xml:space="preserve">1 receives “no“ Enable notifications for owned Profiles </w:t>
            </w:r>
            <w:r>
              <w:rPr>
                <w:rFonts w:cs="Calibri"/>
                <w:sz w:val="18"/>
                <w:szCs w:val="18"/>
                <w:u w:val="single"/>
              </w:rPr>
              <w:t>without</w:t>
            </w:r>
            <w:r>
              <w:rPr>
                <w:rFonts w:cs="Calibri"/>
                <w:sz w:val="18"/>
                <w:szCs w:val="18"/>
              </w:rPr>
              <w:t xml:space="preserve"> a Profile type in EIS.</w:t>
            </w:r>
          </w:p>
        </w:tc>
      </w:tr>
      <w:tr w:rsidR="00B97365" w14:paraId="66B0EAF7" w14:textId="77777777">
        <w:trPr>
          <w:trHeight w:val="282"/>
          <w:jc w:val="center"/>
        </w:trPr>
        <w:tc>
          <w:tcPr>
            <w:tcW w:w="654" w:type="dxa"/>
            <w:tcBorders>
              <w:top w:val="single" w:sz="6" w:space="0" w:color="auto"/>
              <w:left w:val="single" w:sz="4" w:space="0" w:color="auto"/>
              <w:bottom w:val="single" w:sz="6" w:space="0" w:color="auto"/>
              <w:right w:val="single" w:sz="6" w:space="0" w:color="auto"/>
            </w:tcBorders>
          </w:tcPr>
          <w:p w14:paraId="327E4E91" w14:textId="77777777" w:rsidR="00B97365" w:rsidRDefault="00000000">
            <w:pPr>
              <w:jc w:val="center"/>
              <w:rPr>
                <w:rFonts w:cs="Calibri"/>
                <w:sz w:val="18"/>
                <w:szCs w:val="18"/>
              </w:rPr>
            </w:pPr>
            <w:r>
              <w:rPr>
                <w:rFonts w:cs="Arial"/>
                <w:sz w:val="18"/>
                <w:szCs w:val="18"/>
                <w:lang w:val="de-DE" w:eastAsia="de-DE" w:bidi="ar-SA"/>
              </w:rPr>
              <w:t>t4</w:t>
            </w:r>
          </w:p>
        </w:tc>
        <w:tc>
          <w:tcPr>
            <w:tcW w:w="1042" w:type="dxa"/>
            <w:tcBorders>
              <w:top w:val="single" w:sz="6" w:space="0" w:color="auto"/>
              <w:left w:val="single" w:sz="6" w:space="0" w:color="auto"/>
              <w:bottom w:val="single" w:sz="6" w:space="0" w:color="auto"/>
              <w:right w:val="single" w:sz="6" w:space="0" w:color="auto"/>
            </w:tcBorders>
          </w:tcPr>
          <w:p w14:paraId="3298E87E" w14:textId="77777777" w:rsidR="00B97365" w:rsidRDefault="00000000">
            <w:pPr>
              <w:rPr>
                <w:rFonts w:cs="Calibri"/>
                <w:sz w:val="18"/>
                <w:szCs w:val="18"/>
                <w:lang w:val="en-US"/>
              </w:rPr>
            </w:pPr>
            <w:r>
              <w:rPr>
                <w:rFonts w:cs="Arial"/>
                <w:sz w:val="18"/>
                <w:szCs w:val="18"/>
                <w:lang w:val="de-DE" w:eastAsia="de-DE" w:bidi="ar-SA"/>
              </w:rPr>
              <w:t>6.7.8.9</w:t>
            </w:r>
          </w:p>
        </w:tc>
        <w:tc>
          <w:tcPr>
            <w:tcW w:w="825" w:type="dxa"/>
            <w:tcBorders>
              <w:top w:val="single" w:sz="6" w:space="0" w:color="auto"/>
              <w:left w:val="single" w:sz="6" w:space="0" w:color="auto"/>
              <w:bottom w:val="single" w:sz="6" w:space="0" w:color="auto"/>
              <w:right w:val="single" w:sz="6" w:space="0" w:color="auto"/>
            </w:tcBorders>
          </w:tcPr>
          <w:p w14:paraId="2F1BFF1E" w14:textId="77777777" w:rsidR="00B97365" w:rsidRDefault="00000000">
            <w:pPr>
              <w:rPr>
                <w:rFonts w:cs="Calibri"/>
                <w:sz w:val="18"/>
                <w:szCs w:val="18"/>
                <w:lang w:val="en-US"/>
              </w:rPr>
            </w:pPr>
            <w:r>
              <w:rPr>
                <w:rFonts w:cs="Arial"/>
                <w:sz w:val="18"/>
                <w:szCs w:val="18"/>
                <w:lang w:val="en-US" w:eastAsia="de-DE" w:bidi="ar-SA"/>
              </w:rPr>
              <w:t>Empty and Missing are treated as the same</w:t>
            </w:r>
          </w:p>
        </w:tc>
        <w:tc>
          <w:tcPr>
            <w:tcW w:w="1843" w:type="dxa"/>
            <w:tcBorders>
              <w:top w:val="single" w:sz="6" w:space="0" w:color="auto"/>
              <w:left w:val="single" w:sz="6" w:space="0" w:color="auto"/>
              <w:bottom w:val="single" w:sz="6" w:space="0" w:color="auto"/>
              <w:right w:val="single" w:sz="6" w:space="0" w:color="auto"/>
            </w:tcBorders>
          </w:tcPr>
          <w:p w14:paraId="6016F777" w14:textId="77777777" w:rsidR="00B97365" w:rsidRDefault="00000000">
            <w:pPr>
              <w:rPr>
                <w:rFonts w:cs="Calibri"/>
                <w:sz w:val="18"/>
                <w:szCs w:val="18"/>
                <w:lang w:val="en-US"/>
              </w:rPr>
            </w:pPr>
            <w:r>
              <w:rPr>
                <w:rFonts w:cs="Arial"/>
                <w:sz w:val="18"/>
                <w:szCs w:val="18"/>
                <w:lang w:val="en-US" w:eastAsia="de-DE" w:bidi="ar-SA"/>
              </w:rPr>
              <w:t>Empty and Missing are treated as the same</w:t>
            </w:r>
          </w:p>
        </w:tc>
        <w:tc>
          <w:tcPr>
            <w:tcW w:w="4845" w:type="dxa"/>
            <w:tcBorders>
              <w:top w:val="single" w:sz="6" w:space="0" w:color="auto"/>
              <w:left w:val="single" w:sz="6" w:space="0" w:color="auto"/>
              <w:bottom w:val="single" w:sz="6" w:space="0" w:color="auto"/>
              <w:right w:val="single" w:sz="4" w:space="0" w:color="auto"/>
            </w:tcBorders>
          </w:tcPr>
          <w:p w14:paraId="6C207AB4" w14:textId="77777777" w:rsidR="00B97365" w:rsidRDefault="00000000">
            <w:pPr>
              <w:rPr>
                <w:rFonts w:cs="Arial"/>
                <w:sz w:val="18"/>
                <w:szCs w:val="18"/>
                <w:lang w:eastAsia="de-DE" w:bidi="ar-SA"/>
              </w:rPr>
            </w:pPr>
            <w:r>
              <w:rPr>
                <w:rFonts w:cs="Arial"/>
                <w:sz w:val="18"/>
                <w:szCs w:val="18"/>
                <w:lang w:val="en-US" w:eastAsia="de-DE" w:bidi="ar-SA"/>
              </w:rPr>
              <w:t>Operator</w:t>
            </w:r>
            <w:r>
              <w:rPr>
                <w:rFonts w:cs="Arial"/>
                <w:sz w:val="18"/>
                <w:szCs w:val="18"/>
                <w:lang w:eastAsia="de-DE" w:bidi="ar-SA"/>
              </w:rPr>
              <w:t>1 receives “no“ Enable and “no” Disable notifications for owned Profiles of type ABC.</w:t>
            </w:r>
          </w:p>
          <w:p w14:paraId="35102980" w14:textId="77777777" w:rsidR="00B97365" w:rsidRDefault="00000000">
            <w:pPr>
              <w:rPr>
                <w:rFonts w:cs="Calibri"/>
                <w:sz w:val="18"/>
                <w:szCs w:val="18"/>
              </w:rPr>
            </w:pPr>
            <w:r>
              <w:rPr>
                <w:rFonts w:cs="Calibri"/>
                <w:sz w:val="18"/>
                <w:szCs w:val="18"/>
              </w:rPr>
              <w:t xml:space="preserve">Operator1 receives for owned Profiles </w:t>
            </w:r>
            <w:r>
              <w:rPr>
                <w:rFonts w:cs="Calibri"/>
                <w:sz w:val="18"/>
                <w:szCs w:val="18"/>
                <w:u w:val="single"/>
              </w:rPr>
              <w:t>with</w:t>
            </w:r>
            <w:r>
              <w:rPr>
                <w:rFonts w:cs="Calibri"/>
                <w:sz w:val="18"/>
                <w:szCs w:val="18"/>
              </w:rPr>
              <w:t xml:space="preserve"> a Profile type in EIS (apart from ABC) “</w:t>
            </w:r>
            <w:r>
              <w:rPr>
                <w:rFonts w:cs="Calibri"/>
                <w:sz w:val="18"/>
                <w:szCs w:val="18"/>
                <w:u w:val="single"/>
              </w:rPr>
              <w:t xml:space="preserve">all” </w:t>
            </w:r>
            <w:r>
              <w:rPr>
                <w:rFonts w:cs="Calibri"/>
                <w:sz w:val="18"/>
                <w:szCs w:val="18"/>
              </w:rPr>
              <w:t>notifications.</w:t>
            </w:r>
          </w:p>
          <w:p w14:paraId="4814F2BC" w14:textId="77777777" w:rsidR="00B97365" w:rsidRDefault="00000000">
            <w:pPr>
              <w:rPr>
                <w:rFonts w:cs="Calibri"/>
                <w:sz w:val="18"/>
                <w:szCs w:val="18"/>
              </w:rPr>
            </w:pPr>
            <w:r>
              <w:rPr>
                <w:rFonts w:cs="Calibri"/>
                <w:sz w:val="18"/>
                <w:szCs w:val="18"/>
              </w:rPr>
              <w:t xml:space="preserve">Operator1 receives for owned Profiles </w:t>
            </w:r>
            <w:r>
              <w:rPr>
                <w:rFonts w:cs="Calibri"/>
                <w:sz w:val="18"/>
                <w:szCs w:val="18"/>
                <w:u w:val="single"/>
              </w:rPr>
              <w:t>without</w:t>
            </w:r>
            <w:r>
              <w:rPr>
                <w:rFonts w:cs="Calibri"/>
                <w:sz w:val="18"/>
                <w:szCs w:val="18"/>
              </w:rPr>
              <w:t xml:space="preserve"> a Profile type in EIS “</w:t>
            </w:r>
            <w:r>
              <w:rPr>
                <w:rFonts w:cs="Calibri"/>
                <w:sz w:val="18"/>
                <w:szCs w:val="18"/>
                <w:u w:val="single"/>
              </w:rPr>
              <w:t xml:space="preserve">all” </w:t>
            </w:r>
            <w:r>
              <w:rPr>
                <w:rFonts w:cs="Calibri"/>
                <w:sz w:val="18"/>
                <w:szCs w:val="18"/>
              </w:rPr>
              <w:t>notifications.</w:t>
            </w:r>
          </w:p>
        </w:tc>
      </w:tr>
    </w:tbl>
    <w:p w14:paraId="2C32E950" w14:textId="77777777" w:rsidR="00B97365" w:rsidRDefault="00000000">
      <w:pPr>
        <w:spacing w:after="320" w:line="276" w:lineRule="auto"/>
        <w:jc w:val="center"/>
        <w:rPr>
          <w:rFonts w:cs="Arial"/>
          <w:b/>
          <w:szCs w:val="22"/>
          <w:lang w:eastAsia="de-DE" w:bidi="ar-SA"/>
        </w:rPr>
      </w:pPr>
      <w:r>
        <w:rPr>
          <w:rFonts w:cs="Arial"/>
          <w:b/>
          <w:szCs w:val="22"/>
          <w:lang w:eastAsia="de-DE" w:bidi="ar-SA"/>
        </w:rPr>
        <w:t>Table O1: Example of Applying ONC</w:t>
      </w:r>
    </w:p>
    <w:p w14:paraId="382D64E6" w14:textId="77777777" w:rsidR="00B97365" w:rsidRDefault="00000000">
      <w:pPr>
        <w:spacing w:before="0"/>
        <w:jc w:val="left"/>
        <w:rPr>
          <w:szCs w:val="22"/>
          <w:lang w:eastAsia="en-GB" w:bidi="ar-SA"/>
        </w:rPr>
      </w:pPr>
      <w:r>
        <w:br w:type="page"/>
      </w:r>
    </w:p>
    <w:p w14:paraId="4084A64B" w14:textId="77777777" w:rsidR="00B97365" w:rsidRDefault="00000000">
      <w:pPr>
        <w:keepNext/>
        <w:keepLines/>
        <w:numPr>
          <w:ilvl w:val="0"/>
          <w:numId w:val="36"/>
        </w:numPr>
        <w:spacing w:before="360" w:after="60" w:line="276" w:lineRule="auto"/>
        <w:jc w:val="left"/>
        <w:outlineLvl w:val="0"/>
        <w:rPr>
          <w:b/>
          <w:sz w:val="28"/>
          <w:lang w:eastAsia="en-US"/>
        </w:rPr>
      </w:pPr>
      <w:bookmarkStart w:id="12099" w:name="_Toc536552624"/>
      <w:bookmarkStart w:id="12100" w:name="_Toc486333001"/>
      <w:bookmarkStart w:id="12101" w:name="_Toc1977523"/>
      <w:bookmarkStart w:id="12102" w:name="_Toc37062682"/>
      <w:bookmarkStart w:id="12103" w:name="_Toc88839722"/>
      <w:bookmarkStart w:id="12104" w:name="_Toc121504130"/>
      <w:bookmarkEnd w:id="12099"/>
      <w:r>
        <w:rPr>
          <w:b/>
          <w:sz w:val="28"/>
          <w:lang w:eastAsia="en-US"/>
        </w:rPr>
        <w:lastRenderedPageBreak/>
        <w:t>Document Management</w:t>
      </w:r>
      <w:bookmarkEnd w:id="12081"/>
      <w:bookmarkEnd w:id="12082"/>
      <w:bookmarkEnd w:id="12083"/>
      <w:bookmarkEnd w:id="12084"/>
      <w:bookmarkEnd w:id="12085"/>
      <w:r>
        <w:rPr>
          <w:b/>
          <w:sz w:val="28"/>
          <w:lang w:eastAsia="en-US"/>
        </w:rPr>
        <w:t xml:space="preserve"> (Informative)</w:t>
      </w:r>
      <w:bookmarkEnd w:id="12100"/>
      <w:bookmarkEnd w:id="12101"/>
      <w:bookmarkEnd w:id="12102"/>
      <w:bookmarkEnd w:id="12103"/>
      <w:bookmarkEnd w:id="12104"/>
    </w:p>
    <w:p w14:paraId="3BEC63D0"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rPr>
      </w:pPr>
      <w:bookmarkStart w:id="12105" w:name="_Toc448998384"/>
      <w:bookmarkStart w:id="12106" w:name="_Toc422150954"/>
      <w:bookmarkStart w:id="12107" w:name="_Toc421874539"/>
      <w:bookmarkStart w:id="12108" w:name="_Toc420595161"/>
      <w:bookmarkStart w:id="12109" w:name="_Toc486333002"/>
      <w:bookmarkStart w:id="12110" w:name="_Toc1977524"/>
      <w:bookmarkStart w:id="12111" w:name="_Toc37062683"/>
      <w:bookmarkStart w:id="12112" w:name="_Toc88839723"/>
      <w:bookmarkStart w:id="12113" w:name="_Toc121504131"/>
      <w:bookmarkEnd w:id="12086"/>
      <w:bookmarkEnd w:id="12087"/>
      <w:bookmarkEnd w:id="12088"/>
      <w:bookmarkEnd w:id="12089"/>
      <w:bookmarkEnd w:id="12090"/>
      <w:r>
        <w:rPr>
          <w:rFonts w:ascii="Arial Bold" w:hAnsi="Arial Bold"/>
          <w:b/>
          <w:sz w:val="24"/>
          <w:szCs w:val="24"/>
        </w:rPr>
        <w:t>Document History</w:t>
      </w:r>
      <w:bookmarkEnd w:id="12105"/>
      <w:bookmarkEnd w:id="12106"/>
      <w:bookmarkEnd w:id="12107"/>
      <w:bookmarkEnd w:id="12108"/>
      <w:bookmarkEnd w:id="12109"/>
      <w:bookmarkEnd w:id="12110"/>
      <w:bookmarkEnd w:id="12111"/>
      <w:bookmarkEnd w:id="12112"/>
      <w:bookmarkEnd w:id="12113"/>
    </w:p>
    <w:p w14:paraId="76BDF0DC" w14:textId="77777777" w:rsidR="00B97365" w:rsidRDefault="00B97365">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1240"/>
        <w:gridCol w:w="3969"/>
        <w:gridCol w:w="1276"/>
        <w:gridCol w:w="1508"/>
      </w:tblGrid>
      <w:tr w:rsidR="00B97365" w14:paraId="4FCDD689" w14:textId="77777777">
        <w:trPr>
          <w:tblHeader/>
        </w:trPr>
        <w:tc>
          <w:tcPr>
            <w:tcW w:w="1023" w:type="dxa"/>
            <w:tcBorders>
              <w:top w:val="single" w:sz="4" w:space="0" w:color="auto"/>
              <w:left w:val="single" w:sz="4" w:space="0" w:color="auto"/>
              <w:bottom w:val="single" w:sz="4" w:space="0" w:color="auto"/>
              <w:right w:val="single" w:sz="4" w:space="0" w:color="auto"/>
            </w:tcBorders>
            <w:shd w:val="clear" w:color="auto" w:fill="C00000"/>
            <w:hideMark/>
          </w:tcPr>
          <w:p w14:paraId="6FCE2101"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Version</w:t>
            </w:r>
          </w:p>
        </w:tc>
        <w:tc>
          <w:tcPr>
            <w:tcW w:w="1240" w:type="dxa"/>
            <w:tcBorders>
              <w:top w:val="single" w:sz="4" w:space="0" w:color="auto"/>
              <w:left w:val="single" w:sz="4" w:space="0" w:color="auto"/>
              <w:bottom w:val="single" w:sz="4" w:space="0" w:color="auto"/>
              <w:right w:val="single" w:sz="4" w:space="0" w:color="auto"/>
            </w:tcBorders>
            <w:shd w:val="clear" w:color="auto" w:fill="C00000"/>
            <w:hideMark/>
          </w:tcPr>
          <w:p w14:paraId="51D51195"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Date</w:t>
            </w:r>
          </w:p>
        </w:tc>
        <w:tc>
          <w:tcPr>
            <w:tcW w:w="3969" w:type="dxa"/>
            <w:tcBorders>
              <w:top w:val="single" w:sz="4" w:space="0" w:color="auto"/>
              <w:left w:val="single" w:sz="4" w:space="0" w:color="auto"/>
              <w:bottom w:val="single" w:sz="4" w:space="0" w:color="auto"/>
              <w:right w:val="single" w:sz="4" w:space="0" w:color="auto"/>
            </w:tcBorders>
            <w:shd w:val="clear" w:color="auto" w:fill="C00000"/>
            <w:hideMark/>
          </w:tcPr>
          <w:p w14:paraId="76106275"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Brief Description of Change</w:t>
            </w:r>
          </w:p>
        </w:tc>
        <w:tc>
          <w:tcPr>
            <w:tcW w:w="1276" w:type="dxa"/>
            <w:tcBorders>
              <w:top w:val="single" w:sz="4" w:space="0" w:color="auto"/>
              <w:left w:val="single" w:sz="4" w:space="0" w:color="auto"/>
              <w:bottom w:val="single" w:sz="4" w:space="0" w:color="auto"/>
              <w:right w:val="single" w:sz="4" w:space="0" w:color="auto"/>
            </w:tcBorders>
            <w:shd w:val="clear" w:color="auto" w:fill="C00000"/>
            <w:hideMark/>
          </w:tcPr>
          <w:p w14:paraId="6D9E20D5"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Approval Authority</w:t>
            </w:r>
          </w:p>
        </w:tc>
        <w:tc>
          <w:tcPr>
            <w:tcW w:w="1508" w:type="dxa"/>
            <w:tcBorders>
              <w:top w:val="single" w:sz="4" w:space="0" w:color="auto"/>
              <w:left w:val="single" w:sz="4" w:space="0" w:color="auto"/>
              <w:bottom w:val="single" w:sz="4" w:space="0" w:color="auto"/>
              <w:right w:val="single" w:sz="4" w:space="0" w:color="auto"/>
            </w:tcBorders>
            <w:shd w:val="clear" w:color="auto" w:fill="C00000"/>
            <w:hideMark/>
          </w:tcPr>
          <w:p w14:paraId="665E6ECF"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Editor / Company</w:t>
            </w:r>
          </w:p>
        </w:tc>
      </w:tr>
      <w:tr w:rsidR="00B97365" w14:paraId="66CA3FB0" w14:textId="77777777">
        <w:tc>
          <w:tcPr>
            <w:tcW w:w="1023" w:type="dxa"/>
            <w:tcBorders>
              <w:top w:val="single" w:sz="4" w:space="0" w:color="auto"/>
              <w:left w:val="single" w:sz="4" w:space="0" w:color="auto"/>
              <w:bottom w:val="single" w:sz="4" w:space="0" w:color="auto"/>
              <w:right w:val="single" w:sz="4" w:space="0" w:color="auto"/>
            </w:tcBorders>
            <w:vAlign w:val="center"/>
            <w:hideMark/>
          </w:tcPr>
          <w:p w14:paraId="26AC2FB8" w14:textId="77777777" w:rsidR="00B97365" w:rsidRDefault="00000000">
            <w:pPr>
              <w:spacing w:before="40" w:after="40" w:line="276" w:lineRule="auto"/>
              <w:jc w:val="left"/>
              <w:rPr>
                <w:sz w:val="20"/>
                <w:szCs w:val="22"/>
                <w:lang w:eastAsia="de-DE" w:bidi="ar-SA"/>
              </w:rPr>
            </w:pPr>
            <w:r>
              <w:rPr>
                <w:rFonts w:cs="Arial"/>
                <w:sz w:val="20"/>
                <w:szCs w:val="16"/>
                <w:lang w:eastAsia="de-DE" w:bidi="ar-SA"/>
              </w:rPr>
              <w:t>V1.0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6AF798A" w14:textId="77777777" w:rsidR="00B97365" w:rsidRDefault="00000000">
            <w:pPr>
              <w:spacing w:before="40" w:after="40" w:line="276" w:lineRule="auto"/>
              <w:jc w:val="left"/>
              <w:rPr>
                <w:sz w:val="20"/>
                <w:szCs w:val="22"/>
                <w:lang w:eastAsia="de-DE" w:bidi="ar-SA"/>
              </w:rPr>
            </w:pPr>
            <w:r>
              <w:rPr>
                <w:rFonts w:cs="Arial"/>
                <w:sz w:val="20"/>
                <w:szCs w:val="16"/>
                <w:lang w:eastAsia="de-DE" w:bidi="ar-SA"/>
              </w:rPr>
              <w:t>19/12/2013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4D678DB" w14:textId="77777777" w:rsidR="00B97365" w:rsidRDefault="00000000">
            <w:pPr>
              <w:spacing w:before="40" w:after="40" w:line="276" w:lineRule="auto"/>
              <w:jc w:val="left"/>
              <w:rPr>
                <w:sz w:val="20"/>
                <w:szCs w:val="22"/>
                <w:lang w:eastAsia="de-DE" w:bidi="ar-SA"/>
              </w:rPr>
            </w:pPr>
            <w:r>
              <w:rPr>
                <w:rFonts w:cs="Arial"/>
                <w:sz w:val="20"/>
                <w:szCs w:val="16"/>
                <w:lang w:eastAsia="de-DE" w:bidi="ar-SA"/>
              </w:rPr>
              <w:t>1</w:t>
            </w:r>
            <w:r>
              <w:rPr>
                <w:rFonts w:cs="Arial"/>
                <w:sz w:val="20"/>
                <w:szCs w:val="16"/>
                <w:vertAlign w:val="superscript"/>
                <w:lang w:eastAsia="de-DE" w:bidi="ar-SA"/>
              </w:rPr>
              <w:t>st</w:t>
            </w:r>
            <w:r>
              <w:rPr>
                <w:rFonts w:cs="Arial"/>
                <w:sz w:val="20"/>
                <w:szCs w:val="16"/>
                <w:lang w:eastAsia="de-DE" w:bidi="ar-SA"/>
              </w:rPr>
              <w:t xml:space="preserve"> Release of Document, submitted to PSMC#119 for approval</w:t>
            </w:r>
          </w:p>
        </w:tc>
        <w:tc>
          <w:tcPr>
            <w:tcW w:w="1276" w:type="dxa"/>
            <w:tcBorders>
              <w:top w:val="single" w:sz="4" w:space="0" w:color="auto"/>
              <w:left w:val="single" w:sz="4" w:space="0" w:color="auto"/>
              <w:bottom w:val="single" w:sz="4" w:space="0" w:color="auto"/>
              <w:right w:val="single" w:sz="4" w:space="0" w:color="auto"/>
            </w:tcBorders>
            <w:vAlign w:val="center"/>
          </w:tcPr>
          <w:p w14:paraId="32E7153E"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GSMA Embedded SIM Leadership Team and PSMC</w:t>
            </w:r>
          </w:p>
          <w:p w14:paraId="6626C164" w14:textId="77777777" w:rsidR="00B97365" w:rsidRDefault="00B97365">
            <w:pPr>
              <w:spacing w:before="40" w:after="40" w:line="276" w:lineRule="auto"/>
              <w:jc w:val="left"/>
              <w:rPr>
                <w:rFonts w:cs="Arial"/>
                <w:sz w:val="20"/>
                <w:szCs w:val="22"/>
                <w:lang w:eastAsia="de-DE" w:bidi="ar-SA"/>
              </w:rPr>
            </w:pPr>
          </w:p>
        </w:tc>
        <w:tc>
          <w:tcPr>
            <w:tcW w:w="1508" w:type="dxa"/>
            <w:tcBorders>
              <w:top w:val="single" w:sz="4" w:space="0" w:color="auto"/>
              <w:left w:val="single" w:sz="4" w:space="0" w:color="auto"/>
              <w:bottom w:val="single" w:sz="4" w:space="0" w:color="auto"/>
              <w:right w:val="single" w:sz="4" w:space="0" w:color="auto"/>
            </w:tcBorders>
            <w:vAlign w:val="center"/>
            <w:hideMark/>
          </w:tcPr>
          <w:p w14:paraId="77D5F94F" w14:textId="77777777" w:rsidR="00B97365" w:rsidRDefault="00000000">
            <w:pPr>
              <w:spacing w:before="40" w:after="40" w:line="276" w:lineRule="auto"/>
              <w:jc w:val="left"/>
              <w:rPr>
                <w:sz w:val="20"/>
                <w:szCs w:val="22"/>
                <w:lang w:eastAsia="de-DE" w:bidi="ar-SA"/>
              </w:rPr>
            </w:pPr>
            <w:r>
              <w:rPr>
                <w:rFonts w:cs="Arial"/>
                <w:sz w:val="20"/>
                <w:szCs w:val="16"/>
                <w:lang w:eastAsia="de-DE" w:bidi="ar-SA"/>
              </w:rPr>
              <w:t>Ian Smith, GSMA</w:t>
            </w:r>
          </w:p>
        </w:tc>
      </w:tr>
      <w:tr w:rsidR="00B97365" w14:paraId="6ABB44A0" w14:textId="77777777">
        <w:tc>
          <w:tcPr>
            <w:tcW w:w="1023" w:type="dxa"/>
            <w:tcBorders>
              <w:top w:val="single" w:sz="4" w:space="0" w:color="auto"/>
              <w:left w:val="single" w:sz="4" w:space="0" w:color="auto"/>
              <w:bottom w:val="single" w:sz="4" w:space="0" w:color="auto"/>
              <w:right w:val="single" w:sz="4" w:space="0" w:color="auto"/>
            </w:tcBorders>
            <w:vAlign w:val="center"/>
            <w:hideMark/>
          </w:tcPr>
          <w:p w14:paraId="77FA23AB"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V2.0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2374411"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16/09/2014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D3B1E36"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2</w:t>
            </w:r>
            <w:r>
              <w:rPr>
                <w:rFonts w:cs="Arial"/>
                <w:sz w:val="20"/>
                <w:szCs w:val="16"/>
                <w:vertAlign w:val="superscript"/>
                <w:lang w:eastAsia="de-DE" w:bidi="ar-SA"/>
              </w:rPr>
              <w:t>nd</w:t>
            </w:r>
            <w:r>
              <w:rPr>
                <w:rFonts w:cs="Arial"/>
                <w:sz w:val="20"/>
                <w:szCs w:val="16"/>
                <w:lang w:eastAsia="de-DE" w:bidi="ar-SA"/>
              </w:rPr>
              <w:t xml:space="preserve"> Release of Document</w:t>
            </w:r>
          </w:p>
        </w:tc>
        <w:tc>
          <w:tcPr>
            <w:tcW w:w="1276" w:type="dxa"/>
            <w:tcBorders>
              <w:top w:val="single" w:sz="4" w:space="0" w:color="auto"/>
              <w:left w:val="single" w:sz="4" w:space="0" w:color="auto"/>
              <w:bottom w:val="single" w:sz="4" w:space="0" w:color="auto"/>
              <w:right w:val="single" w:sz="4" w:space="0" w:color="auto"/>
            </w:tcBorders>
            <w:vAlign w:val="center"/>
          </w:tcPr>
          <w:p w14:paraId="5002D5E2"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GSMA Embedded SIM Leadership Team and PSMC</w:t>
            </w:r>
          </w:p>
          <w:p w14:paraId="17D417E5" w14:textId="77777777" w:rsidR="00B97365" w:rsidRDefault="00B97365">
            <w:pPr>
              <w:spacing w:before="40" w:after="40" w:line="276" w:lineRule="auto"/>
              <w:jc w:val="left"/>
              <w:rPr>
                <w:rFonts w:cs="Arial"/>
                <w:sz w:val="20"/>
                <w:szCs w:val="16"/>
                <w:lang w:eastAsia="de-DE" w:bidi="ar-SA"/>
              </w:rPr>
            </w:pPr>
          </w:p>
        </w:tc>
        <w:tc>
          <w:tcPr>
            <w:tcW w:w="1508" w:type="dxa"/>
            <w:tcBorders>
              <w:top w:val="single" w:sz="4" w:space="0" w:color="auto"/>
              <w:left w:val="single" w:sz="4" w:space="0" w:color="auto"/>
              <w:bottom w:val="single" w:sz="4" w:space="0" w:color="auto"/>
              <w:right w:val="single" w:sz="4" w:space="0" w:color="auto"/>
            </w:tcBorders>
            <w:vAlign w:val="center"/>
            <w:hideMark/>
          </w:tcPr>
          <w:p w14:paraId="3EA56909"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Alexis Michel, Oberthur Technologies</w:t>
            </w:r>
          </w:p>
        </w:tc>
      </w:tr>
      <w:tr w:rsidR="00B97365" w14:paraId="39936BB2" w14:textId="77777777">
        <w:tc>
          <w:tcPr>
            <w:tcW w:w="1023" w:type="dxa"/>
            <w:tcBorders>
              <w:top w:val="single" w:sz="4" w:space="0" w:color="auto"/>
              <w:left w:val="single" w:sz="4" w:space="0" w:color="auto"/>
              <w:bottom w:val="single" w:sz="4" w:space="0" w:color="auto"/>
              <w:right w:val="single" w:sz="4" w:space="0" w:color="auto"/>
            </w:tcBorders>
            <w:vAlign w:val="center"/>
            <w:hideMark/>
          </w:tcPr>
          <w:p w14:paraId="2D449D78"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V3.0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C59DB49"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29/05/2015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E3E5F6D" w14:textId="77777777" w:rsidR="00B97365" w:rsidRDefault="00000000">
            <w:pPr>
              <w:spacing w:before="40" w:after="40" w:line="276" w:lineRule="auto"/>
              <w:jc w:val="left"/>
              <w:rPr>
                <w:rFonts w:cs="Arial"/>
                <w:sz w:val="20"/>
                <w:szCs w:val="16"/>
                <w:lang w:val="de-DE" w:eastAsia="de-DE" w:bidi="ar-SA"/>
              </w:rPr>
            </w:pPr>
            <w:r>
              <w:rPr>
                <w:rFonts w:cs="Arial"/>
                <w:sz w:val="20"/>
                <w:szCs w:val="16"/>
                <w:lang w:eastAsia="de-DE" w:bidi="ar-SA"/>
              </w:rPr>
              <w:t>3</w:t>
            </w:r>
            <w:r>
              <w:rPr>
                <w:rFonts w:cs="Arial"/>
                <w:sz w:val="20"/>
                <w:szCs w:val="16"/>
                <w:vertAlign w:val="superscript"/>
                <w:lang w:eastAsia="de-DE" w:bidi="ar-SA"/>
              </w:rPr>
              <w:t>nd</w:t>
            </w:r>
            <w:r>
              <w:rPr>
                <w:rFonts w:cs="Arial"/>
                <w:sz w:val="20"/>
                <w:szCs w:val="16"/>
                <w:lang w:eastAsia="de-DE" w:bidi="ar-SA"/>
              </w:rPr>
              <w:t xml:space="preserve"> Release of Document</w:t>
            </w:r>
            <w:r>
              <w:rPr>
                <w:rFonts w:cs="Arial"/>
                <w:sz w:val="20"/>
                <w:szCs w:val="16"/>
                <w:lang w:val="de-DE" w:eastAsia="de-DE" w:bidi="ar-S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19DFC59F"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GSMA Embedded SIM Leadership Team and PSMC</w:t>
            </w:r>
          </w:p>
          <w:p w14:paraId="38AD2341" w14:textId="77777777" w:rsidR="00B97365" w:rsidRDefault="00B97365">
            <w:pPr>
              <w:spacing w:before="40" w:after="40" w:line="276" w:lineRule="auto"/>
              <w:jc w:val="left"/>
              <w:rPr>
                <w:rFonts w:cs="Arial"/>
                <w:sz w:val="20"/>
                <w:szCs w:val="16"/>
                <w:lang w:eastAsia="de-DE" w:bidi="ar-SA"/>
              </w:rPr>
            </w:pPr>
          </w:p>
        </w:tc>
        <w:tc>
          <w:tcPr>
            <w:tcW w:w="1508" w:type="dxa"/>
            <w:tcBorders>
              <w:top w:val="single" w:sz="4" w:space="0" w:color="auto"/>
              <w:left w:val="single" w:sz="4" w:space="0" w:color="auto"/>
              <w:bottom w:val="single" w:sz="4" w:space="0" w:color="auto"/>
              <w:right w:val="single" w:sz="4" w:space="0" w:color="auto"/>
            </w:tcBorders>
            <w:vAlign w:val="center"/>
            <w:hideMark/>
          </w:tcPr>
          <w:p w14:paraId="652E3AD2"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Alexis Michel, Oberthur Technologies</w:t>
            </w:r>
          </w:p>
        </w:tc>
      </w:tr>
      <w:tr w:rsidR="00B97365" w14:paraId="059CCC5A" w14:textId="77777777">
        <w:tc>
          <w:tcPr>
            <w:tcW w:w="1023" w:type="dxa"/>
            <w:tcBorders>
              <w:top w:val="single" w:sz="4" w:space="0" w:color="auto"/>
              <w:left w:val="single" w:sz="4" w:space="0" w:color="auto"/>
              <w:bottom w:val="single" w:sz="4" w:space="0" w:color="auto"/>
              <w:right w:val="single" w:sz="4" w:space="0" w:color="auto"/>
            </w:tcBorders>
            <w:vAlign w:val="center"/>
            <w:hideMark/>
          </w:tcPr>
          <w:p w14:paraId="67976A99"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V3.1</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6E14EBE"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12/05/16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C969CB9"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Minor Release of Documents</w:t>
            </w:r>
          </w:p>
        </w:tc>
        <w:tc>
          <w:tcPr>
            <w:tcW w:w="1276" w:type="dxa"/>
            <w:tcBorders>
              <w:top w:val="single" w:sz="4" w:space="0" w:color="auto"/>
              <w:left w:val="single" w:sz="4" w:space="0" w:color="auto"/>
              <w:bottom w:val="single" w:sz="4" w:space="0" w:color="auto"/>
              <w:right w:val="single" w:sz="4" w:space="0" w:color="auto"/>
            </w:tcBorders>
            <w:vAlign w:val="center"/>
          </w:tcPr>
          <w:p w14:paraId="39074CE9"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GSMA Embedded SIM Leadership Team and PSMC</w:t>
            </w:r>
          </w:p>
          <w:p w14:paraId="681E491B" w14:textId="77777777" w:rsidR="00B97365" w:rsidRDefault="00B97365">
            <w:pPr>
              <w:spacing w:before="40" w:after="40" w:line="276" w:lineRule="auto"/>
              <w:jc w:val="left"/>
              <w:rPr>
                <w:rFonts w:cs="Arial"/>
                <w:sz w:val="20"/>
                <w:szCs w:val="16"/>
                <w:lang w:eastAsia="de-DE" w:bidi="ar-SA"/>
              </w:rPr>
            </w:pPr>
          </w:p>
        </w:tc>
        <w:tc>
          <w:tcPr>
            <w:tcW w:w="1508" w:type="dxa"/>
            <w:tcBorders>
              <w:top w:val="single" w:sz="4" w:space="0" w:color="auto"/>
              <w:left w:val="single" w:sz="4" w:space="0" w:color="auto"/>
              <w:bottom w:val="single" w:sz="4" w:space="0" w:color="auto"/>
              <w:right w:val="single" w:sz="4" w:space="0" w:color="auto"/>
            </w:tcBorders>
            <w:vAlign w:val="center"/>
            <w:hideMark/>
          </w:tcPr>
          <w:p w14:paraId="6CE76F11"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Alexis Michel, Oberthur Technologies</w:t>
            </w:r>
          </w:p>
        </w:tc>
      </w:tr>
      <w:tr w:rsidR="00B97365" w14:paraId="73C77CEB" w14:textId="77777777">
        <w:tc>
          <w:tcPr>
            <w:tcW w:w="1023" w:type="dxa"/>
            <w:tcBorders>
              <w:top w:val="single" w:sz="4" w:space="0" w:color="auto"/>
              <w:left w:val="single" w:sz="4" w:space="0" w:color="auto"/>
              <w:bottom w:val="single" w:sz="4" w:space="0" w:color="auto"/>
              <w:right w:val="single" w:sz="4" w:space="0" w:color="auto"/>
            </w:tcBorders>
            <w:vAlign w:val="center"/>
          </w:tcPr>
          <w:p w14:paraId="6B583ED5"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V3.2</w:t>
            </w:r>
          </w:p>
        </w:tc>
        <w:tc>
          <w:tcPr>
            <w:tcW w:w="1240" w:type="dxa"/>
            <w:tcBorders>
              <w:top w:val="single" w:sz="4" w:space="0" w:color="auto"/>
              <w:left w:val="single" w:sz="4" w:space="0" w:color="auto"/>
              <w:bottom w:val="single" w:sz="4" w:space="0" w:color="auto"/>
              <w:right w:val="single" w:sz="4" w:space="0" w:color="auto"/>
            </w:tcBorders>
            <w:vAlign w:val="center"/>
          </w:tcPr>
          <w:p w14:paraId="336F5CAD"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20/06/17</w:t>
            </w:r>
          </w:p>
        </w:tc>
        <w:tc>
          <w:tcPr>
            <w:tcW w:w="3969" w:type="dxa"/>
            <w:tcBorders>
              <w:top w:val="single" w:sz="4" w:space="0" w:color="auto"/>
              <w:left w:val="single" w:sz="4" w:space="0" w:color="auto"/>
              <w:bottom w:val="single" w:sz="4" w:space="0" w:color="auto"/>
              <w:right w:val="single" w:sz="4" w:space="0" w:color="auto"/>
            </w:tcBorders>
            <w:vAlign w:val="center"/>
          </w:tcPr>
          <w:p w14:paraId="524336E2" w14:textId="77777777" w:rsidR="00B97365" w:rsidRDefault="00000000">
            <w:pPr>
              <w:rPr>
                <w:rFonts w:cs="Arial"/>
                <w:sz w:val="20"/>
                <w:szCs w:val="16"/>
                <w:lang w:eastAsia="de-DE" w:bidi="ar-SA"/>
              </w:rPr>
            </w:pPr>
            <w:r>
              <w:rPr>
                <w:rFonts w:cs="Arial"/>
                <w:sz w:val="20"/>
                <w:szCs w:val="16"/>
                <w:lang w:eastAsia="de-DE" w:bidi="ar-SA"/>
              </w:rPr>
              <w:t>Minor Release of Document</w:t>
            </w:r>
            <w:r>
              <w:rPr>
                <w:sz w:val="16"/>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779D545D"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GSMA Embedded SIM Leadership Team and PSMC</w:t>
            </w:r>
          </w:p>
          <w:p w14:paraId="69BA72F0" w14:textId="77777777" w:rsidR="00B97365" w:rsidRDefault="00B97365">
            <w:pPr>
              <w:spacing w:before="40" w:after="40" w:line="276" w:lineRule="auto"/>
              <w:jc w:val="left"/>
              <w:rPr>
                <w:rFonts w:cs="Arial"/>
                <w:sz w:val="20"/>
                <w:szCs w:val="16"/>
                <w:lang w:eastAsia="de-DE" w:bidi="ar-SA"/>
              </w:rPr>
            </w:pPr>
          </w:p>
        </w:tc>
        <w:tc>
          <w:tcPr>
            <w:tcW w:w="1508" w:type="dxa"/>
            <w:tcBorders>
              <w:top w:val="single" w:sz="4" w:space="0" w:color="auto"/>
              <w:left w:val="single" w:sz="4" w:space="0" w:color="auto"/>
              <w:bottom w:val="single" w:sz="4" w:space="0" w:color="auto"/>
              <w:right w:val="single" w:sz="4" w:space="0" w:color="auto"/>
            </w:tcBorders>
            <w:vAlign w:val="center"/>
          </w:tcPr>
          <w:p w14:paraId="30D84478"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Jérôme Duprez, Gemalto</w:t>
            </w:r>
          </w:p>
        </w:tc>
      </w:tr>
      <w:tr w:rsidR="00B97365" w14:paraId="30BC21A9" w14:textId="77777777">
        <w:tc>
          <w:tcPr>
            <w:tcW w:w="1023" w:type="dxa"/>
            <w:tcBorders>
              <w:top w:val="single" w:sz="4" w:space="0" w:color="auto"/>
              <w:left w:val="single" w:sz="4" w:space="0" w:color="auto"/>
              <w:bottom w:val="single" w:sz="4" w:space="0" w:color="auto"/>
              <w:right w:val="single" w:sz="4" w:space="0" w:color="auto"/>
            </w:tcBorders>
            <w:vAlign w:val="center"/>
          </w:tcPr>
          <w:p w14:paraId="47102E98"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V4.0</w:t>
            </w:r>
          </w:p>
        </w:tc>
        <w:tc>
          <w:tcPr>
            <w:tcW w:w="1240" w:type="dxa"/>
            <w:tcBorders>
              <w:top w:val="single" w:sz="4" w:space="0" w:color="auto"/>
              <w:left w:val="single" w:sz="4" w:space="0" w:color="auto"/>
              <w:bottom w:val="single" w:sz="4" w:space="0" w:color="auto"/>
              <w:right w:val="single" w:sz="4" w:space="0" w:color="auto"/>
            </w:tcBorders>
            <w:vAlign w:val="center"/>
          </w:tcPr>
          <w:p w14:paraId="52D8545C"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25/02/19</w:t>
            </w:r>
          </w:p>
        </w:tc>
        <w:tc>
          <w:tcPr>
            <w:tcW w:w="3969" w:type="dxa"/>
            <w:tcBorders>
              <w:top w:val="single" w:sz="4" w:space="0" w:color="auto"/>
              <w:left w:val="single" w:sz="4" w:space="0" w:color="auto"/>
              <w:bottom w:val="single" w:sz="4" w:space="0" w:color="auto"/>
              <w:right w:val="single" w:sz="4" w:space="0" w:color="auto"/>
            </w:tcBorders>
            <w:vAlign w:val="center"/>
          </w:tcPr>
          <w:p w14:paraId="502930C7" w14:textId="77777777" w:rsidR="00B97365" w:rsidRDefault="00000000">
            <w:pPr>
              <w:rPr>
                <w:rFonts w:cs="Arial"/>
                <w:sz w:val="20"/>
                <w:szCs w:val="16"/>
                <w:lang w:eastAsia="de-DE" w:bidi="ar-SA"/>
              </w:rPr>
            </w:pPr>
            <w:r>
              <w:rPr>
                <w:rFonts w:cs="Arial"/>
                <w:sz w:val="20"/>
                <w:szCs w:val="16"/>
                <w:lang w:eastAsia="de-DE" w:bidi="ar-SA"/>
              </w:rPr>
              <w:t>Major release of Document</w:t>
            </w:r>
          </w:p>
        </w:tc>
        <w:tc>
          <w:tcPr>
            <w:tcW w:w="1276" w:type="dxa"/>
            <w:tcBorders>
              <w:top w:val="single" w:sz="4" w:space="0" w:color="auto"/>
              <w:left w:val="single" w:sz="4" w:space="0" w:color="auto"/>
              <w:bottom w:val="single" w:sz="4" w:space="0" w:color="auto"/>
              <w:right w:val="single" w:sz="4" w:space="0" w:color="auto"/>
            </w:tcBorders>
            <w:vAlign w:val="center"/>
          </w:tcPr>
          <w:p w14:paraId="57411696"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GSMA Embedded SIM Leadership Team and TG</w:t>
            </w:r>
          </w:p>
        </w:tc>
        <w:tc>
          <w:tcPr>
            <w:tcW w:w="1508" w:type="dxa"/>
            <w:tcBorders>
              <w:top w:val="single" w:sz="4" w:space="0" w:color="auto"/>
              <w:left w:val="single" w:sz="4" w:space="0" w:color="auto"/>
              <w:bottom w:val="single" w:sz="4" w:space="0" w:color="auto"/>
              <w:right w:val="single" w:sz="4" w:space="0" w:color="auto"/>
            </w:tcBorders>
            <w:vAlign w:val="center"/>
          </w:tcPr>
          <w:p w14:paraId="770C5F97"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Yolanda Sanz / GSMA</w:t>
            </w:r>
          </w:p>
        </w:tc>
      </w:tr>
      <w:tr w:rsidR="00B97365" w14:paraId="6117FBAC" w14:textId="77777777">
        <w:tc>
          <w:tcPr>
            <w:tcW w:w="1023" w:type="dxa"/>
            <w:tcBorders>
              <w:top w:val="single" w:sz="4" w:space="0" w:color="auto"/>
              <w:left w:val="single" w:sz="4" w:space="0" w:color="auto"/>
              <w:bottom w:val="single" w:sz="4" w:space="0" w:color="auto"/>
              <w:right w:val="single" w:sz="4" w:space="0" w:color="auto"/>
            </w:tcBorders>
            <w:vAlign w:val="center"/>
          </w:tcPr>
          <w:p w14:paraId="3C642956"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lastRenderedPageBreak/>
              <w:t xml:space="preserve">V4.1 </w:t>
            </w:r>
          </w:p>
        </w:tc>
        <w:tc>
          <w:tcPr>
            <w:tcW w:w="1240" w:type="dxa"/>
            <w:tcBorders>
              <w:top w:val="single" w:sz="4" w:space="0" w:color="auto"/>
              <w:left w:val="single" w:sz="4" w:space="0" w:color="auto"/>
              <w:bottom w:val="single" w:sz="4" w:space="0" w:color="auto"/>
              <w:right w:val="single" w:sz="4" w:space="0" w:color="auto"/>
            </w:tcBorders>
            <w:vAlign w:val="center"/>
          </w:tcPr>
          <w:p w14:paraId="69929305"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03 Apr 2020</w:t>
            </w:r>
          </w:p>
        </w:tc>
        <w:tc>
          <w:tcPr>
            <w:tcW w:w="3969" w:type="dxa"/>
            <w:tcBorders>
              <w:top w:val="single" w:sz="4" w:space="0" w:color="auto"/>
              <w:left w:val="single" w:sz="4" w:space="0" w:color="auto"/>
              <w:bottom w:val="single" w:sz="4" w:space="0" w:color="auto"/>
              <w:right w:val="single" w:sz="4" w:space="0" w:color="auto"/>
            </w:tcBorders>
            <w:vAlign w:val="center"/>
          </w:tcPr>
          <w:p w14:paraId="371F0B4C" w14:textId="77777777" w:rsidR="00B97365" w:rsidRDefault="00000000">
            <w:pPr>
              <w:rPr>
                <w:rFonts w:cs="Arial"/>
                <w:sz w:val="20"/>
                <w:szCs w:val="16"/>
                <w:lang w:eastAsia="de-DE" w:bidi="ar-SA"/>
              </w:rPr>
            </w:pPr>
            <w:r>
              <w:rPr>
                <w:rFonts w:cs="Arial"/>
                <w:sz w:val="20"/>
                <w:szCs w:val="16"/>
                <w:lang w:eastAsia="de-DE" w:bidi="ar-SA"/>
              </w:rPr>
              <w:t>Minor release of document</w:t>
            </w:r>
          </w:p>
        </w:tc>
        <w:tc>
          <w:tcPr>
            <w:tcW w:w="1276" w:type="dxa"/>
            <w:tcBorders>
              <w:top w:val="single" w:sz="4" w:space="0" w:color="auto"/>
              <w:left w:val="single" w:sz="4" w:space="0" w:color="auto"/>
              <w:bottom w:val="single" w:sz="4" w:space="0" w:color="auto"/>
              <w:right w:val="single" w:sz="4" w:space="0" w:color="auto"/>
            </w:tcBorders>
            <w:vAlign w:val="center"/>
          </w:tcPr>
          <w:p w14:paraId="3D012C57"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ISAG</w:t>
            </w:r>
          </w:p>
        </w:tc>
        <w:tc>
          <w:tcPr>
            <w:tcW w:w="1508" w:type="dxa"/>
            <w:tcBorders>
              <w:top w:val="single" w:sz="4" w:space="0" w:color="auto"/>
              <w:left w:val="single" w:sz="4" w:space="0" w:color="auto"/>
              <w:bottom w:val="single" w:sz="4" w:space="0" w:color="auto"/>
              <w:right w:val="single" w:sz="4" w:space="0" w:color="auto"/>
            </w:tcBorders>
            <w:vAlign w:val="center"/>
          </w:tcPr>
          <w:p w14:paraId="710ED540"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Jérôme Duprez, Thales</w:t>
            </w:r>
          </w:p>
        </w:tc>
      </w:tr>
      <w:tr w:rsidR="00B97365" w14:paraId="52306FE9" w14:textId="77777777">
        <w:tc>
          <w:tcPr>
            <w:tcW w:w="1023" w:type="dxa"/>
            <w:tcBorders>
              <w:top w:val="single" w:sz="4" w:space="0" w:color="auto"/>
              <w:left w:val="single" w:sz="4" w:space="0" w:color="auto"/>
              <w:bottom w:val="single" w:sz="4" w:space="0" w:color="auto"/>
              <w:right w:val="single" w:sz="4" w:space="0" w:color="auto"/>
            </w:tcBorders>
            <w:vAlign w:val="center"/>
          </w:tcPr>
          <w:p w14:paraId="701EE666"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V4.2</w:t>
            </w:r>
          </w:p>
        </w:tc>
        <w:tc>
          <w:tcPr>
            <w:tcW w:w="1240" w:type="dxa"/>
            <w:tcBorders>
              <w:top w:val="single" w:sz="4" w:space="0" w:color="auto"/>
              <w:left w:val="single" w:sz="4" w:space="0" w:color="auto"/>
              <w:bottom w:val="single" w:sz="4" w:space="0" w:color="auto"/>
              <w:right w:val="single" w:sz="4" w:space="0" w:color="auto"/>
            </w:tcBorders>
            <w:vAlign w:val="center"/>
          </w:tcPr>
          <w:p w14:paraId="6C79CCFD"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07 April 2020</w:t>
            </w:r>
          </w:p>
        </w:tc>
        <w:tc>
          <w:tcPr>
            <w:tcW w:w="3969" w:type="dxa"/>
            <w:tcBorders>
              <w:top w:val="single" w:sz="4" w:space="0" w:color="auto"/>
              <w:left w:val="single" w:sz="4" w:space="0" w:color="auto"/>
              <w:bottom w:val="single" w:sz="4" w:space="0" w:color="auto"/>
              <w:right w:val="single" w:sz="4" w:space="0" w:color="auto"/>
            </w:tcBorders>
            <w:vAlign w:val="center"/>
          </w:tcPr>
          <w:p w14:paraId="17BA0285" w14:textId="77777777" w:rsidR="00B97365" w:rsidRDefault="00000000">
            <w:pPr>
              <w:rPr>
                <w:rFonts w:cs="Arial"/>
                <w:sz w:val="20"/>
                <w:szCs w:val="16"/>
                <w:lang w:eastAsia="de-DE" w:bidi="ar-SA"/>
              </w:rPr>
            </w:pPr>
            <w:r>
              <w:rPr>
                <w:rFonts w:cs="Arial"/>
                <w:sz w:val="20"/>
                <w:szCs w:val="16"/>
                <w:lang w:eastAsia="de-DE" w:bidi="ar-SA"/>
              </w:rPr>
              <w:t>Draft 1:</w:t>
            </w:r>
          </w:p>
          <w:p w14:paraId="55FF5E7D" w14:textId="77777777" w:rsidR="00B97365" w:rsidRDefault="00000000">
            <w:pPr>
              <w:rPr>
                <w:rFonts w:cs="Arial"/>
                <w:sz w:val="20"/>
                <w:szCs w:val="16"/>
                <w:lang w:eastAsia="de-DE" w:bidi="ar-SA"/>
              </w:rPr>
            </w:pPr>
            <w:r>
              <w:rPr>
                <w:rFonts w:cs="Arial"/>
                <w:sz w:val="20"/>
                <w:szCs w:val="16"/>
                <w:lang w:eastAsia="de-DE" w:bidi="ar-SA"/>
              </w:rPr>
              <w:t>CR4101R04 SGP.02 Integrated eUICC</w:t>
            </w:r>
          </w:p>
          <w:p w14:paraId="40D8C7C3" w14:textId="77777777" w:rsidR="00B97365" w:rsidRDefault="00000000">
            <w:pPr>
              <w:rPr>
                <w:rFonts w:cs="Arial"/>
                <w:sz w:val="20"/>
                <w:szCs w:val="16"/>
                <w:lang w:eastAsia="de-DE" w:bidi="ar-SA"/>
              </w:rPr>
            </w:pPr>
            <w:r>
              <w:rPr>
                <w:rFonts w:cs="Arial"/>
                <w:sz w:val="20"/>
                <w:szCs w:val="16"/>
                <w:lang w:eastAsia="de-DE" w:bidi="ar-SA"/>
              </w:rPr>
              <w:t>CR4103R04 SGP.02 Integrated eUICC REQ ID01</w:t>
            </w:r>
          </w:p>
          <w:p w14:paraId="57746253" w14:textId="77777777" w:rsidR="00B97365" w:rsidRDefault="00000000">
            <w:pPr>
              <w:rPr>
                <w:rFonts w:cs="Arial"/>
                <w:sz w:val="20"/>
                <w:szCs w:val="16"/>
                <w:lang w:eastAsia="de-DE" w:bidi="ar-SA"/>
              </w:rPr>
            </w:pPr>
            <w:r>
              <w:rPr>
                <w:rFonts w:cs="Arial"/>
                <w:sz w:val="20"/>
                <w:szCs w:val="16"/>
                <w:lang w:eastAsia="de-DE" w:bidi="ar-SA"/>
              </w:rPr>
              <w:t>Draft 2:</w:t>
            </w:r>
          </w:p>
          <w:p w14:paraId="26ECE5DE" w14:textId="77777777" w:rsidR="00B97365" w:rsidRDefault="00000000">
            <w:pPr>
              <w:rPr>
                <w:rFonts w:cs="Arial"/>
                <w:sz w:val="20"/>
                <w:szCs w:val="16"/>
                <w:lang w:eastAsia="de-DE" w:bidi="ar-SA"/>
              </w:rPr>
            </w:pPr>
            <w:r>
              <w:rPr>
                <w:rFonts w:cs="Arial"/>
                <w:sz w:val="20"/>
                <w:szCs w:val="16"/>
                <w:lang w:eastAsia="de-DE" w:bidi="ar-SA"/>
              </w:rPr>
              <w:t>CR4102R03  Clarification on Notification Procedure</w:t>
            </w:r>
          </w:p>
          <w:p w14:paraId="693B35B6" w14:textId="77777777" w:rsidR="00B97365" w:rsidRDefault="00000000">
            <w:pPr>
              <w:rPr>
                <w:rFonts w:cs="Arial"/>
                <w:sz w:val="20"/>
                <w:szCs w:val="16"/>
                <w:lang w:eastAsia="de-DE" w:bidi="ar-SA"/>
              </w:rPr>
            </w:pPr>
            <w:r>
              <w:rPr>
                <w:rFonts w:cs="Arial"/>
                <w:sz w:val="20"/>
                <w:szCs w:val="16"/>
                <w:lang w:eastAsia="de-DE" w:bidi="ar-SA"/>
              </w:rPr>
              <w:t>CR4104R01 SGP.02 Hardware Characteristics of the eUICC</w:t>
            </w:r>
          </w:p>
          <w:p w14:paraId="1F886C93" w14:textId="77777777" w:rsidR="00B97365" w:rsidRDefault="00000000">
            <w:pPr>
              <w:rPr>
                <w:sz w:val="20"/>
                <w:szCs w:val="25"/>
              </w:rPr>
            </w:pPr>
            <w:r>
              <w:rPr>
                <w:sz w:val="20"/>
                <w:szCs w:val="25"/>
              </w:rPr>
              <w:t>CR4105R00 Clarify the fields in the Additional Properties Table.</w:t>
            </w:r>
          </w:p>
          <w:p w14:paraId="4FB9F4A1" w14:textId="77777777" w:rsidR="00B97365" w:rsidRDefault="00B97365">
            <w:pPr>
              <w:rPr>
                <w:rFonts w:cs="Arial"/>
                <w:sz w:val="20"/>
                <w:szCs w:val="16"/>
                <w:lang w:eastAsia="de-DE" w:bidi="ar-SA"/>
              </w:rPr>
            </w:pPr>
          </w:p>
        </w:tc>
        <w:tc>
          <w:tcPr>
            <w:tcW w:w="1276" w:type="dxa"/>
            <w:tcBorders>
              <w:top w:val="single" w:sz="4" w:space="0" w:color="auto"/>
              <w:left w:val="single" w:sz="4" w:space="0" w:color="auto"/>
              <w:bottom w:val="single" w:sz="4" w:space="0" w:color="auto"/>
              <w:right w:val="single" w:sz="4" w:space="0" w:color="auto"/>
            </w:tcBorders>
            <w:vAlign w:val="center"/>
          </w:tcPr>
          <w:p w14:paraId="2BEAAB4B"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ISAG</w:t>
            </w:r>
          </w:p>
        </w:tc>
        <w:tc>
          <w:tcPr>
            <w:tcW w:w="1508" w:type="dxa"/>
            <w:tcBorders>
              <w:top w:val="single" w:sz="4" w:space="0" w:color="auto"/>
              <w:left w:val="single" w:sz="4" w:space="0" w:color="auto"/>
              <w:bottom w:val="single" w:sz="4" w:space="0" w:color="auto"/>
              <w:right w:val="single" w:sz="4" w:space="0" w:color="auto"/>
            </w:tcBorders>
            <w:vAlign w:val="center"/>
          </w:tcPr>
          <w:p w14:paraId="64BA17D0"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Jérôme Duprez, Thales</w:t>
            </w:r>
          </w:p>
        </w:tc>
      </w:tr>
      <w:tr w:rsidR="00B97365" w14:paraId="7CFCB11D" w14:textId="77777777">
        <w:tc>
          <w:tcPr>
            <w:tcW w:w="1023" w:type="dxa"/>
            <w:tcBorders>
              <w:top w:val="single" w:sz="4" w:space="0" w:color="auto"/>
              <w:left w:val="single" w:sz="4" w:space="0" w:color="auto"/>
              <w:bottom w:val="single" w:sz="4" w:space="0" w:color="auto"/>
              <w:right w:val="single" w:sz="4" w:space="0" w:color="auto"/>
            </w:tcBorders>
            <w:vAlign w:val="center"/>
          </w:tcPr>
          <w:p w14:paraId="27422652"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V4.2.1</w:t>
            </w:r>
          </w:p>
        </w:tc>
        <w:tc>
          <w:tcPr>
            <w:tcW w:w="1240" w:type="dxa"/>
            <w:tcBorders>
              <w:top w:val="single" w:sz="4" w:space="0" w:color="auto"/>
              <w:left w:val="single" w:sz="4" w:space="0" w:color="auto"/>
              <w:bottom w:val="single" w:sz="4" w:space="0" w:color="auto"/>
              <w:right w:val="single" w:sz="4" w:space="0" w:color="auto"/>
            </w:tcBorders>
            <w:vAlign w:val="center"/>
          </w:tcPr>
          <w:p w14:paraId="2FC4E81D"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26 November 2021</w:t>
            </w:r>
          </w:p>
        </w:tc>
        <w:tc>
          <w:tcPr>
            <w:tcW w:w="3969" w:type="dxa"/>
            <w:tcBorders>
              <w:top w:val="single" w:sz="4" w:space="0" w:color="auto"/>
              <w:left w:val="single" w:sz="4" w:space="0" w:color="auto"/>
              <w:bottom w:val="single" w:sz="4" w:space="0" w:color="auto"/>
              <w:right w:val="single" w:sz="4" w:space="0" w:color="auto"/>
            </w:tcBorders>
            <w:vAlign w:val="center"/>
          </w:tcPr>
          <w:p w14:paraId="30096F96" w14:textId="77777777" w:rsidR="00B97365" w:rsidRDefault="00000000">
            <w:pPr>
              <w:rPr>
                <w:rFonts w:cs="Arial"/>
                <w:sz w:val="20"/>
                <w:szCs w:val="16"/>
                <w:lang w:eastAsia="de-DE" w:bidi="ar-SA"/>
              </w:rPr>
            </w:pPr>
            <w:r>
              <w:rPr>
                <w:rFonts w:cs="Arial"/>
                <w:sz w:val="20"/>
                <w:szCs w:val="16"/>
                <w:lang w:eastAsia="de-DE" w:bidi="ar-SA"/>
              </w:rPr>
              <w:t>Draft 1:</w:t>
            </w:r>
          </w:p>
          <w:p w14:paraId="750A992B" w14:textId="77777777" w:rsidR="00B97365" w:rsidRDefault="00000000">
            <w:pPr>
              <w:rPr>
                <w:rFonts w:cs="Arial"/>
                <w:sz w:val="20"/>
                <w:szCs w:val="16"/>
                <w:lang w:eastAsia="de-DE" w:bidi="ar-SA"/>
              </w:rPr>
            </w:pPr>
            <w:r>
              <w:rPr>
                <w:rFonts w:cs="Arial"/>
                <w:sz w:val="20"/>
                <w:szCs w:val="16"/>
                <w:lang w:eastAsia="de-DE" w:bidi="ar-SA"/>
              </w:rPr>
              <w:t>CR4201R03 Clarify last step for roll back decision</w:t>
            </w:r>
          </w:p>
          <w:p w14:paraId="32A2F1FF" w14:textId="77777777" w:rsidR="00B97365" w:rsidRDefault="00000000">
            <w:pPr>
              <w:rPr>
                <w:rFonts w:cs="Arial"/>
                <w:sz w:val="20"/>
                <w:szCs w:val="16"/>
                <w:lang w:eastAsia="de-DE" w:bidi="ar-SA"/>
              </w:rPr>
            </w:pPr>
            <w:r>
              <w:rPr>
                <w:rFonts w:cs="Arial"/>
                <w:sz w:val="20"/>
                <w:szCs w:val="16"/>
                <w:lang w:eastAsia="de-DE" w:bidi="ar-SA"/>
              </w:rPr>
              <w:t>Draft 2:</w:t>
            </w:r>
          </w:p>
          <w:p w14:paraId="302A825A" w14:textId="77777777" w:rsidR="00B97365" w:rsidRDefault="00000000">
            <w:pPr>
              <w:rPr>
                <w:rFonts w:cs="Arial"/>
                <w:sz w:val="20"/>
                <w:szCs w:val="16"/>
                <w:lang w:eastAsia="de-DE" w:bidi="ar-SA"/>
              </w:rPr>
            </w:pPr>
            <w:r>
              <w:rPr>
                <w:rFonts w:cs="Arial"/>
                <w:sz w:val="20"/>
                <w:szCs w:val="16"/>
                <w:lang w:eastAsia="de-DE" w:bidi="ar-SA"/>
              </w:rPr>
              <w:t>CR4202R00 Changes resulting from introduction of SGP.29</w:t>
            </w:r>
          </w:p>
          <w:p w14:paraId="69D791CE" w14:textId="77777777" w:rsidR="00B97365" w:rsidRDefault="00000000">
            <w:pPr>
              <w:rPr>
                <w:rFonts w:cs="Arial"/>
                <w:sz w:val="20"/>
                <w:szCs w:val="16"/>
                <w:lang w:eastAsia="de-DE" w:bidi="ar-SA"/>
              </w:rPr>
            </w:pPr>
            <w:r>
              <w:rPr>
                <w:rFonts w:cs="Arial"/>
                <w:sz w:val="20"/>
                <w:szCs w:val="16"/>
                <w:lang w:eastAsia="de-DE" w:bidi="ar-SA"/>
              </w:rPr>
              <w:t>CR4203R00 Fix in initial value of Seq counter</w:t>
            </w:r>
          </w:p>
          <w:p w14:paraId="0E01873F" w14:textId="77777777" w:rsidR="00B97365" w:rsidRDefault="00000000">
            <w:pPr>
              <w:rPr>
                <w:rFonts w:cs="Arial"/>
                <w:sz w:val="20"/>
                <w:szCs w:val="16"/>
                <w:lang w:eastAsia="de-DE" w:bidi="ar-SA"/>
              </w:rPr>
            </w:pPr>
            <w:r>
              <w:rPr>
                <w:rFonts w:cs="Arial"/>
                <w:sz w:val="20"/>
                <w:szCs w:val="16"/>
                <w:lang w:eastAsia="de-DE" w:bidi="ar-SA"/>
              </w:rPr>
              <w:t>CR4204R01 URI Handling escaping special characters</w:t>
            </w:r>
          </w:p>
          <w:p w14:paraId="6BAE3594" w14:textId="77777777" w:rsidR="00B97365" w:rsidRDefault="00000000">
            <w:pPr>
              <w:rPr>
                <w:rFonts w:cs="Arial"/>
                <w:sz w:val="20"/>
                <w:szCs w:val="16"/>
                <w:lang w:eastAsia="de-DE" w:bidi="ar-SA"/>
              </w:rPr>
            </w:pPr>
            <w:r>
              <w:rPr>
                <w:rFonts w:cs="Arial"/>
                <w:sz w:val="20"/>
                <w:szCs w:val="16"/>
                <w:lang w:eastAsia="de-DE" w:bidi="ar-SA"/>
              </w:rPr>
              <w:t>CR4205r02 Editorials and Clarifications on notifications</w:t>
            </w:r>
          </w:p>
        </w:tc>
        <w:tc>
          <w:tcPr>
            <w:tcW w:w="1276" w:type="dxa"/>
            <w:tcBorders>
              <w:top w:val="single" w:sz="4" w:space="0" w:color="auto"/>
              <w:left w:val="single" w:sz="4" w:space="0" w:color="auto"/>
              <w:bottom w:val="single" w:sz="4" w:space="0" w:color="auto"/>
              <w:right w:val="single" w:sz="4" w:space="0" w:color="auto"/>
            </w:tcBorders>
            <w:vAlign w:val="center"/>
          </w:tcPr>
          <w:p w14:paraId="154A69BA"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ISAG</w:t>
            </w:r>
          </w:p>
        </w:tc>
        <w:tc>
          <w:tcPr>
            <w:tcW w:w="1508" w:type="dxa"/>
            <w:tcBorders>
              <w:top w:val="single" w:sz="4" w:space="0" w:color="auto"/>
              <w:left w:val="single" w:sz="4" w:space="0" w:color="auto"/>
              <w:bottom w:val="single" w:sz="4" w:space="0" w:color="auto"/>
              <w:right w:val="single" w:sz="4" w:space="0" w:color="auto"/>
            </w:tcBorders>
            <w:vAlign w:val="center"/>
          </w:tcPr>
          <w:p w14:paraId="62C6BAE4"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Jérôme Duprez, Thales</w:t>
            </w:r>
          </w:p>
        </w:tc>
      </w:tr>
      <w:tr w:rsidR="00B97365" w14:paraId="4D260B09" w14:textId="77777777">
        <w:tc>
          <w:tcPr>
            <w:tcW w:w="1023" w:type="dxa"/>
            <w:tcBorders>
              <w:top w:val="single" w:sz="4" w:space="0" w:color="auto"/>
              <w:left w:val="single" w:sz="4" w:space="0" w:color="auto"/>
              <w:bottom w:val="single" w:sz="4" w:space="0" w:color="auto"/>
              <w:right w:val="single" w:sz="4" w:space="0" w:color="auto"/>
            </w:tcBorders>
            <w:vAlign w:val="center"/>
          </w:tcPr>
          <w:p w14:paraId="0523A225"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V4.3</w:t>
            </w:r>
          </w:p>
        </w:tc>
        <w:tc>
          <w:tcPr>
            <w:tcW w:w="1240" w:type="dxa"/>
            <w:tcBorders>
              <w:top w:val="single" w:sz="4" w:space="0" w:color="auto"/>
              <w:left w:val="single" w:sz="4" w:space="0" w:color="auto"/>
              <w:bottom w:val="single" w:sz="4" w:space="0" w:color="auto"/>
              <w:right w:val="single" w:sz="4" w:space="0" w:color="auto"/>
            </w:tcBorders>
            <w:vAlign w:val="center"/>
          </w:tcPr>
          <w:p w14:paraId="43101B9D" w14:textId="42109B64" w:rsidR="00B97365" w:rsidRDefault="003C254C">
            <w:pPr>
              <w:spacing w:before="40" w:after="40" w:line="276" w:lineRule="auto"/>
              <w:jc w:val="left"/>
              <w:rPr>
                <w:rFonts w:cs="Arial"/>
                <w:sz w:val="20"/>
                <w:szCs w:val="16"/>
                <w:lang w:eastAsia="de-DE" w:bidi="ar-SA"/>
              </w:rPr>
            </w:pPr>
            <w:r>
              <w:rPr>
                <w:rFonts w:cs="Arial"/>
                <w:sz w:val="20"/>
                <w:szCs w:val="16"/>
                <w:lang w:eastAsia="de-DE" w:bidi="ar-SA"/>
              </w:rPr>
              <w:t>25 January 2023</w:t>
            </w:r>
          </w:p>
        </w:tc>
        <w:tc>
          <w:tcPr>
            <w:tcW w:w="3969" w:type="dxa"/>
            <w:tcBorders>
              <w:top w:val="single" w:sz="4" w:space="0" w:color="auto"/>
              <w:left w:val="single" w:sz="4" w:space="0" w:color="auto"/>
              <w:bottom w:val="single" w:sz="4" w:space="0" w:color="auto"/>
              <w:right w:val="single" w:sz="4" w:space="0" w:color="auto"/>
            </w:tcBorders>
            <w:vAlign w:val="center"/>
          </w:tcPr>
          <w:p w14:paraId="5C003C63" w14:textId="77777777" w:rsidR="00B97365" w:rsidRDefault="00000000" w:rsidP="003C254C">
            <w:pPr>
              <w:jc w:val="left"/>
              <w:rPr>
                <w:rFonts w:cs="Arial"/>
                <w:sz w:val="20"/>
                <w:szCs w:val="16"/>
                <w:lang w:eastAsia="de-DE" w:bidi="ar-SA"/>
              </w:rPr>
            </w:pPr>
            <w:r>
              <w:rPr>
                <w:rFonts w:cs="Arial"/>
                <w:sz w:val="20"/>
                <w:szCs w:val="16"/>
                <w:lang w:eastAsia="de-DE" w:bidi="ar-SA"/>
              </w:rPr>
              <w:t>Draft 0:  branched from v4.2.1, but was somehow corrupted</w:t>
            </w:r>
          </w:p>
          <w:p w14:paraId="10198074" w14:textId="77777777" w:rsidR="00B97365" w:rsidRDefault="00000000" w:rsidP="003C254C">
            <w:pPr>
              <w:jc w:val="left"/>
              <w:rPr>
                <w:rFonts w:cs="Arial"/>
                <w:sz w:val="20"/>
                <w:szCs w:val="16"/>
                <w:lang w:eastAsia="de-DE" w:bidi="ar-SA"/>
              </w:rPr>
            </w:pPr>
            <w:r>
              <w:rPr>
                <w:rFonts w:cs="Arial"/>
                <w:sz w:val="20"/>
                <w:szCs w:val="16"/>
                <w:lang w:eastAsia="de-DE" w:bidi="ar-SA"/>
              </w:rPr>
              <w:t>Draft 1: started over from v4.2.1 official Document</w:t>
            </w:r>
          </w:p>
          <w:p w14:paraId="3D61977D" w14:textId="77777777" w:rsidR="00B97365" w:rsidRDefault="00000000" w:rsidP="003C254C">
            <w:pPr>
              <w:jc w:val="left"/>
              <w:rPr>
                <w:rFonts w:cs="Arial"/>
                <w:sz w:val="20"/>
                <w:szCs w:val="16"/>
                <w:lang w:eastAsia="de-DE" w:bidi="ar-SA"/>
              </w:rPr>
            </w:pPr>
            <w:r>
              <w:rPr>
                <w:rFonts w:cs="Arial"/>
                <w:sz w:val="20"/>
                <w:szCs w:val="16"/>
                <w:lang w:eastAsia="de-DE" w:bidi="ar-SA"/>
              </w:rPr>
              <w:t>Draft 2:</w:t>
            </w:r>
          </w:p>
          <w:p w14:paraId="63FD7CD6" w14:textId="77777777" w:rsidR="00B97365" w:rsidRDefault="00000000" w:rsidP="003C254C">
            <w:pPr>
              <w:jc w:val="left"/>
              <w:rPr>
                <w:rFonts w:cs="Arial"/>
                <w:sz w:val="20"/>
                <w:szCs w:val="16"/>
                <w:lang w:eastAsia="de-DE" w:bidi="ar-SA"/>
              </w:rPr>
            </w:pPr>
            <w:r>
              <w:rPr>
                <w:rFonts w:cs="Arial"/>
                <w:sz w:val="20"/>
                <w:szCs w:val="16"/>
                <w:lang w:eastAsia="de-DE" w:bidi="ar-SA"/>
              </w:rPr>
              <w:t>CR4301R01 SGP.02 Field-Test eUICC</w:t>
            </w:r>
          </w:p>
          <w:p w14:paraId="0EAB0333" w14:textId="77777777" w:rsidR="00B97365" w:rsidRDefault="00000000" w:rsidP="003C254C">
            <w:pPr>
              <w:jc w:val="left"/>
              <w:rPr>
                <w:rFonts w:cs="Arial"/>
                <w:sz w:val="20"/>
                <w:szCs w:val="16"/>
                <w:lang w:eastAsia="de-DE" w:bidi="ar-SA"/>
              </w:rPr>
            </w:pPr>
            <w:r>
              <w:rPr>
                <w:rFonts w:cs="Arial"/>
                <w:sz w:val="20"/>
                <w:szCs w:val="16"/>
                <w:lang w:eastAsia="de-DE" w:bidi="ar-SA"/>
              </w:rPr>
              <w:t>Draft 3:</w:t>
            </w:r>
          </w:p>
          <w:p w14:paraId="51A66CC1" w14:textId="77777777" w:rsidR="00B97365" w:rsidRDefault="00000000" w:rsidP="003C254C">
            <w:pPr>
              <w:jc w:val="left"/>
              <w:rPr>
                <w:rFonts w:cs="Arial"/>
                <w:sz w:val="20"/>
                <w:szCs w:val="16"/>
                <w:lang w:eastAsia="de-DE" w:bidi="ar-SA"/>
              </w:rPr>
            </w:pPr>
            <w:r>
              <w:rPr>
                <w:rFonts w:cs="Arial"/>
                <w:sz w:val="20"/>
                <w:szCs w:val="16"/>
                <w:lang w:eastAsia="de-DE" w:bidi="ar-SA"/>
              </w:rPr>
              <w:t>CR4302R01 SGP.02 Clarify keyset encryption on ES1</w:t>
            </w:r>
          </w:p>
          <w:p w14:paraId="78A70EE9" w14:textId="77777777" w:rsidR="00B97365" w:rsidRDefault="00000000" w:rsidP="003C254C">
            <w:pPr>
              <w:jc w:val="left"/>
              <w:rPr>
                <w:rFonts w:cs="Arial"/>
                <w:sz w:val="20"/>
                <w:szCs w:val="16"/>
                <w:lang w:eastAsia="de-DE" w:bidi="ar-SA"/>
              </w:rPr>
            </w:pPr>
            <w:r>
              <w:rPr>
                <w:rFonts w:cs="Arial"/>
                <w:sz w:val="20"/>
                <w:szCs w:val="16"/>
                <w:lang w:eastAsia="de-DE" w:bidi="ar-SA"/>
              </w:rPr>
              <w:t>CR4303R01 SGP.02 Clarify CVM Management privileges</w:t>
            </w:r>
          </w:p>
          <w:p w14:paraId="3BF408F1" w14:textId="77777777" w:rsidR="00B97365" w:rsidRDefault="00000000" w:rsidP="003C254C">
            <w:pPr>
              <w:jc w:val="left"/>
              <w:rPr>
                <w:rFonts w:cs="Arial"/>
                <w:sz w:val="20"/>
                <w:szCs w:val="16"/>
                <w:lang w:eastAsia="de-DE" w:bidi="ar-SA"/>
              </w:rPr>
            </w:pPr>
            <w:r>
              <w:rPr>
                <w:rFonts w:cs="Arial"/>
                <w:sz w:val="20"/>
                <w:szCs w:val="16"/>
                <w:lang w:eastAsia="de-DE" w:bidi="ar-SA"/>
              </w:rPr>
              <w:t>CR4304R00 SGP.02 Clarify EIS indicator for Emergency Profile</w:t>
            </w:r>
          </w:p>
          <w:p w14:paraId="1C07C89D" w14:textId="77777777" w:rsidR="00B97365" w:rsidRDefault="00000000" w:rsidP="003C254C">
            <w:pPr>
              <w:jc w:val="left"/>
              <w:rPr>
                <w:rFonts w:cs="Arial"/>
                <w:sz w:val="20"/>
                <w:szCs w:val="16"/>
                <w:lang w:eastAsia="de-DE" w:bidi="ar-SA"/>
              </w:rPr>
            </w:pPr>
            <w:r>
              <w:rPr>
                <w:rFonts w:cs="Arial"/>
                <w:sz w:val="20"/>
                <w:szCs w:val="16"/>
                <w:lang w:eastAsia="de-DE" w:bidi="ar-SA"/>
              </w:rPr>
              <w:t>Draft 4:</w:t>
            </w:r>
          </w:p>
          <w:p w14:paraId="71A7F850" w14:textId="77777777" w:rsidR="00B97365" w:rsidRDefault="00000000" w:rsidP="003C254C">
            <w:pPr>
              <w:jc w:val="left"/>
              <w:rPr>
                <w:rFonts w:cs="Arial"/>
                <w:sz w:val="20"/>
                <w:szCs w:val="16"/>
                <w:lang w:eastAsia="de-DE" w:bidi="ar-SA"/>
              </w:rPr>
            </w:pPr>
            <w:r>
              <w:rPr>
                <w:rFonts w:cs="Arial"/>
                <w:sz w:val="20"/>
                <w:szCs w:val="16"/>
                <w:lang w:eastAsia="de-DE" w:bidi="ar-SA"/>
              </w:rPr>
              <w:lastRenderedPageBreak/>
              <w:t>CR4305R02 SGP.02 Clarify Mandated DAP privilege</w:t>
            </w:r>
          </w:p>
        </w:tc>
        <w:tc>
          <w:tcPr>
            <w:tcW w:w="1276" w:type="dxa"/>
            <w:tcBorders>
              <w:top w:val="single" w:sz="4" w:space="0" w:color="auto"/>
              <w:left w:val="single" w:sz="4" w:space="0" w:color="auto"/>
              <w:bottom w:val="single" w:sz="4" w:space="0" w:color="auto"/>
              <w:right w:val="single" w:sz="4" w:space="0" w:color="auto"/>
            </w:tcBorders>
            <w:vAlign w:val="center"/>
          </w:tcPr>
          <w:p w14:paraId="53EE07A1"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lastRenderedPageBreak/>
              <w:t>ISAG</w:t>
            </w:r>
          </w:p>
        </w:tc>
        <w:tc>
          <w:tcPr>
            <w:tcW w:w="1508" w:type="dxa"/>
            <w:tcBorders>
              <w:top w:val="single" w:sz="4" w:space="0" w:color="auto"/>
              <w:left w:val="single" w:sz="4" w:space="0" w:color="auto"/>
              <w:bottom w:val="single" w:sz="4" w:space="0" w:color="auto"/>
              <w:right w:val="single" w:sz="4" w:space="0" w:color="auto"/>
            </w:tcBorders>
            <w:vAlign w:val="center"/>
          </w:tcPr>
          <w:p w14:paraId="6DA77AFC" w14:textId="77777777" w:rsidR="00B97365" w:rsidRDefault="00000000">
            <w:pPr>
              <w:spacing w:before="40" w:after="40" w:line="276" w:lineRule="auto"/>
              <w:jc w:val="left"/>
              <w:rPr>
                <w:rFonts w:cs="Arial"/>
                <w:sz w:val="20"/>
                <w:szCs w:val="16"/>
                <w:lang w:eastAsia="de-DE" w:bidi="ar-SA"/>
              </w:rPr>
            </w:pPr>
            <w:r>
              <w:rPr>
                <w:rFonts w:cs="Arial"/>
                <w:sz w:val="20"/>
                <w:szCs w:val="16"/>
                <w:lang w:eastAsia="de-DE" w:bidi="ar-SA"/>
              </w:rPr>
              <w:t>Jérôme Duprez, Thales</w:t>
            </w:r>
          </w:p>
        </w:tc>
      </w:tr>
    </w:tbl>
    <w:p w14:paraId="47822AEA" w14:textId="77777777" w:rsidR="00B97365" w:rsidRDefault="00000000">
      <w:pPr>
        <w:keepNext/>
        <w:keepLines/>
        <w:numPr>
          <w:ilvl w:val="1"/>
          <w:numId w:val="36"/>
        </w:numPr>
        <w:spacing w:before="240" w:after="60" w:line="276" w:lineRule="auto"/>
        <w:jc w:val="left"/>
        <w:outlineLvl w:val="1"/>
        <w:rPr>
          <w:rFonts w:ascii="Arial Bold" w:hAnsi="Arial Bold"/>
          <w:b/>
          <w:sz w:val="24"/>
          <w:szCs w:val="24"/>
        </w:rPr>
      </w:pPr>
      <w:bookmarkStart w:id="12114" w:name="_Toc448998385"/>
      <w:bookmarkStart w:id="12115" w:name="_Toc486333003"/>
      <w:bookmarkStart w:id="12116" w:name="_Toc1977525"/>
      <w:bookmarkStart w:id="12117" w:name="_Toc37062684"/>
      <w:bookmarkStart w:id="12118" w:name="_Toc88839724"/>
      <w:bookmarkStart w:id="12119" w:name="_Toc121504132"/>
      <w:r>
        <w:rPr>
          <w:rFonts w:ascii="Arial Bold" w:hAnsi="Arial Bold"/>
          <w:b/>
          <w:sz w:val="24"/>
          <w:szCs w:val="24"/>
        </w:rPr>
        <w:t>Other Information</w:t>
      </w:r>
      <w:bookmarkEnd w:id="12114"/>
      <w:bookmarkEnd w:id="12115"/>
      <w:bookmarkEnd w:id="12116"/>
      <w:bookmarkEnd w:id="12117"/>
      <w:bookmarkEnd w:id="12118"/>
      <w:bookmarkEnd w:id="12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B97365" w14:paraId="535402AE" w14:textId="77777777">
        <w:tc>
          <w:tcPr>
            <w:tcW w:w="3188" w:type="dxa"/>
            <w:tcBorders>
              <w:top w:val="single" w:sz="4" w:space="0" w:color="auto"/>
              <w:left w:val="single" w:sz="4" w:space="0" w:color="auto"/>
              <w:bottom w:val="single" w:sz="4" w:space="0" w:color="auto"/>
              <w:right w:val="single" w:sz="4" w:space="0" w:color="auto"/>
            </w:tcBorders>
            <w:shd w:val="clear" w:color="auto" w:fill="C00000"/>
            <w:hideMark/>
          </w:tcPr>
          <w:p w14:paraId="67B53A42"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Type</w:t>
            </w:r>
          </w:p>
        </w:tc>
        <w:tc>
          <w:tcPr>
            <w:tcW w:w="5996" w:type="dxa"/>
            <w:tcBorders>
              <w:top w:val="single" w:sz="4" w:space="0" w:color="auto"/>
              <w:left w:val="single" w:sz="4" w:space="0" w:color="auto"/>
              <w:bottom w:val="single" w:sz="4" w:space="0" w:color="auto"/>
              <w:right w:val="single" w:sz="4" w:space="0" w:color="auto"/>
            </w:tcBorders>
            <w:shd w:val="clear" w:color="auto" w:fill="C00000"/>
            <w:hideMark/>
          </w:tcPr>
          <w:p w14:paraId="2E88DB5B" w14:textId="77777777" w:rsidR="00B97365" w:rsidRDefault="00000000">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Description</w:t>
            </w:r>
          </w:p>
        </w:tc>
      </w:tr>
      <w:tr w:rsidR="00B97365" w14:paraId="21049E27" w14:textId="77777777">
        <w:tc>
          <w:tcPr>
            <w:tcW w:w="3188" w:type="dxa"/>
            <w:tcBorders>
              <w:top w:val="single" w:sz="4" w:space="0" w:color="auto"/>
              <w:left w:val="single" w:sz="4" w:space="0" w:color="auto"/>
              <w:bottom w:val="single" w:sz="4" w:space="0" w:color="auto"/>
              <w:right w:val="single" w:sz="4" w:space="0" w:color="auto"/>
            </w:tcBorders>
            <w:hideMark/>
          </w:tcPr>
          <w:p w14:paraId="58F7B822"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Document Owner</w:t>
            </w:r>
          </w:p>
        </w:tc>
        <w:tc>
          <w:tcPr>
            <w:tcW w:w="5996" w:type="dxa"/>
            <w:tcBorders>
              <w:top w:val="single" w:sz="4" w:space="0" w:color="auto"/>
              <w:left w:val="single" w:sz="4" w:space="0" w:color="auto"/>
              <w:bottom w:val="single" w:sz="4" w:space="0" w:color="auto"/>
              <w:right w:val="single" w:sz="4" w:space="0" w:color="auto"/>
            </w:tcBorders>
            <w:hideMark/>
          </w:tcPr>
          <w:p w14:paraId="325FD1E9" w14:textId="77777777" w:rsidR="00B97365" w:rsidRDefault="00000000">
            <w:pPr>
              <w:spacing w:before="40" w:after="40" w:line="276" w:lineRule="auto"/>
              <w:jc w:val="left"/>
              <w:rPr>
                <w:sz w:val="20"/>
                <w:szCs w:val="22"/>
                <w:lang w:eastAsia="de-DE" w:bidi="ar-SA"/>
              </w:rPr>
            </w:pPr>
            <w:r>
              <w:rPr>
                <w:rFonts w:cs="Arial"/>
                <w:sz w:val="20"/>
                <w:szCs w:val="16"/>
                <w:lang w:eastAsia="de-DE" w:bidi="ar-SA"/>
              </w:rPr>
              <w:t>eSIMG</w:t>
            </w:r>
          </w:p>
        </w:tc>
      </w:tr>
      <w:tr w:rsidR="00B97365" w14:paraId="6C38BEB5" w14:textId="77777777">
        <w:tc>
          <w:tcPr>
            <w:tcW w:w="3188" w:type="dxa"/>
            <w:tcBorders>
              <w:top w:val="single" w:sz="4" w:space="0" w:color="auto"/>
              <w:left w:val="single" w:sz="4" w:space="0" w:color="auto"/>
              <w:bottom w:val="single" w:sz="4" w:space="0" w:color="auto"/>
              <w:right w:val="single" w:sz="4" w:space="0" w:color="auto"/>
            </w:tcBorders>
            <w:hideMark/>
          </w:tcPr>
          <w:p w14:paraId="49341516"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Editor / Company</w:t>
            </w:r>
          </w:p>
        </w:tc>
        <w:tc>
          <w:tcPr>
            <w:tcW w:w="5996" w:type="dxa"/>
            <w:tcBorders>
              <w:top w:val="single" w:sz="4" w:space="0" w:color="auto"/>
              <w:left w:val="single" w:sz="4" w:space="0" w:color="auto"/>
              <w:bottom w:val="single" w:sz="4" w:space="0" w:color="auto"/>
              <w:right w:val="single" w:sz="4" w:space="0" w:color="auto"/>
            </w:tcBorders>
            <w:hideMark/>
          </w:tcPr>
          <w:p w14:paraId="6E19BB71" w14:textId="77777777" w:rsidR="00B97365" w:rsidRDefault="00000000">
            <w:pPr>
              <w:spacing w:before="40" w:after="40" w:line="276" w:lineRule="auto"/>
              <w:jc w:val="left"/>
              <w:rPr>
                <w:rFonts w:cs="Arial"/>
                <w:sz w:val="20"/>
                <w:szCs w:val="22"/>
                <w:lang w:eastAsia="de-DE" w:bidi="ar-SA"/>
              </w:rPr>
            </w:pPr>
            <w:r>
              <w:rPr>
                <w:rFonts w:cs="Arial"/>
                <w:sz w:val="20"/>
                <w:szCs w:val="22"/>
                <w:lang w:eastAsia="de-DE" w:bidi="ar-SA"/>
              </w:rPr>
              <w:t>Jérôme Duprez, Thales</w:t>
            </w:r>
          </w:p>
        </w:tc>
      </w:tr>
    </w:tbl>
    <w:p w14:paraId="57F90BE1" w14:textId="77777777" w:rsidR="00B97365" w:rsidRDefault="00B97365">
      <w:pPr>
        <w:spacing w:before="0" w:after="200" w:line="276" w:lineRule="auto"/>
        <w:jc w:val="left"/>
        <w:rPr>
          <w:rFonts w:cs="Arial"/>
          <w:szCs w:val="22"/>
          <w:lang w:eastAsia="en-GB" w:bidi="ar-SA"/>
        </w:rPr>
      </w:pPr>
    </w:p>
    <w:p w14:paraId="0849A6C3" w14:textId="77777777" w:rsidR="00B97365" w:rsidRDefault="00000000">
      <w:pPr>
        <w:spacing w:before="0" w:after="200" w:line="276" w:lineRule="auto"/>
        <w:jc w:val="left"/>
        <w:rPr>
          <w:szCs w:val="22"/>
          <w:lang w:eastAsia="en-GB" w:bidi="ar-SA"/>
        </w:rPr>
      </w:pPr>
      <w:r>
        <w:rPr>
          <w:rFonts w:cs="Arial"/>
          <w:szCs w:val="22"/>
          <w:lang w:eastAsia="en-GB" w:bidi="ar-SA"/>
        </w:rPr>
        <w:t xml:space="preserve">It is our intention to provide a quality product for your use. If you find any errors or omissions, please contact us with your comments. You may notify us at </w:t>
      </w:r>
      <w:hyperlink r:id="rId165" w:history="1">
        <w:r>
          <w:rPr>
            <w:color w:val="0000FF"/>
            <w:sz w:val="20"/>
            <w:szCs w:val="22"/>
            <w:u w:val="single"/>
            <w:lang w:eastAsia="en-GB" w:bidi="ar-SA"/>
          </w:rPr>
          <w:t>prd@gsma.com</w:t>
        </w:r>
      </w:hyperlink>
    </w:p>
    <w:p w14:paraId="0C8F2929" w14:textId="77777777" w:rsidR="00B97365" w:rsidRDefault="00000000">
      <w:pPr>
        <w:spacing w:before="0" w:after="200" w:line="276" w:lineRule="auto"/>
        <w:jc w:val="left"/>
      </w:pPr>
      <w:r>
        <w:rPr>
          <w:rFonts w:cs="Arial"/>
          <w:szCs w:val="22"/>
          <w:lang w:eastAsia="en-GB" w:bidi="ar-SA"/>
        </w:rPr>
        <w:t>Your comments or suggestions &amp; questions are always welcome.</w:t>
      </w:r>
    </w:p>
    <w:p w14:paraId="6B2AC4B6" w14:textId="77777777" w:rsidR="00B97365" w:rsidRDefault="00B97365">
      <w:pPr>
        <w:pStyle w:val="Heading1"/>
        <w:numPr>
          <w:ilvl w:val="0"/>
          <w:numId w:val="0"/>
        </w:numPr>
        <w:ind w:left="431"/>
      </w:pPr>
    </w:p>
    <w:p w14:paraId="62C96A82" w14:textId="77777777" w:rsidR="00B97365" w:rsidRDefault="00B97365">
      <w:pPr>
        <w:pStyle w:val="Heading1"/>
        <w:numPr>
          <w:ilvl w:val="0"/>
          <w:numId w:val="0"/>
        </w:numPr>
        <w:ind w:left="431"/>
      </w:pPr>
    </w:p>
    <w:sectPr w:rsidR="00B97365">
      <w:headerReference w:type="even" r:id="rId166"/>
      <w:headerReference w:type="default" r:id="rId167"/>
      <w:footerReference w:type="default" r:id="rId168"/>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15F05" w14:textId="77777777" w:rsidR="00467ED4" w:rsidRDefault="00467ED4">
      <w:pPr>
        <w:spacing w:before="0"/>
      </w:pPr>
      <w:r>
        <w:separator/>
      </w:r>
    </w:p>
    <w:p w14:paraId="6B672C77" w14:textId="77777777" w:rsidR="00467ED4" w:rsidRDefault="00467ED4"/>
  </w:endnote>
  <w:endnote w:type="continuationSeparator" w:id="0">
    <w:p w14:paraId="57535BC9" w14:textId="77777777" w:rsidR="00467ED4" w:rsidRDefault="00467ED4">
      <w:pPr>
        <w:spacing w:before="0"/>
      </w:pPr>
      <w:r>
        <w:continuationSeparator/>
      </w:r>
    </w:p>
    <w:p w14:paraId="33F5059D" w14:textId="77777777" w:rsidR="00467ED4" w:rsidRDefault="00467E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odafone Rg">
    <w:altName w:val="Arial"/>
    <w:charset w:val="00"/>
    <w:family w:val="swiss"/>
    <w:pitch w:val="variable"/>
    <w:sig w:usb0="00000001" w:usb1="4000204B" w:usb2="00000000" w:usb3="00000000" w:csb0="0000009F" w:csb1="00000000"/>
  </w:font>
  <w:font w:name="NimbusRomNo9L">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1ADE" w14:textId="05814800" w:rsidR="00B97365" w:rsidRDefault="00000000">
    <w:pPr>
      <w:pStyle w:val="Footer"/>
    </w:pPr>
    <w:r>
      <w:t>V4.</w:t>
    </w:r>
    <w:r w:rsidR="003710A1">
      <w:t>3</w:t>
    </w:r>
    <w:r>
      <w:tab/>
      <w:t xml:space="preserve">Page </w:t>
    </w:r>
    <w:r>
      <w:fldChar w:fldCharType="begin"/>
    </w:r>
    <w:r>
      <w:instrText xml:space="preserve"> PAGE </w:instrText>
    </w:r>
    <w:r>
      <w:fldChar w:fldCharType="separate"/>
    </w:r>
    <w:r>
      <w:rPr>
        <w:noProof/>
      </w:rPr>
      <w:t>1</w:t>
    </w:r>
    <w:r>
      <w:fldChar w:fldCharType="end"/>
    </w:r>
    <w:r>
      <w:t xml:space="preserve"> of </w:t>
    </w:r>
    <w:fldSimple w:instr=" NUMPAGES  ">
      <w:r>
        <w:rPr>
          <w:noProof/>
        </w:rPr>
        <w:t>455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3B48" w14:textId="035F4ED0" w:rsidR="00B97365" w:rsidRDefault="00000000">
    <w:pPr>
      <w:pStyle w:val="Footer"/>
      <w:rPr>
        <w:i/>
      </w:rPr>
    </w:pPr>
    <w:r>
      <w:t>V4.</w:t>
    </w:r>
    <w:r w:rsidR="003C254C">
      <w:t>3</w:t>
    </w:r>
    <w:r>
      <w:t xml:space="preserve"> </w:t>
    </w:r>
    <w:r>
      <w:tab/>
      <w:t xml:space="preserve">Page </w:t>
    </w:r>
    <w:r>
      <w:fldChar w:fldCharType="begin"/>
    </w:r>
    <w:r>
      <w:instrText xml:space="preserve"> PAGE </w:instrText>
    </w:r>
    <w:r>
      <w:fldChar w:fldCharType="separate"/>
    </w:r>
    <w:r>
      <w:rPr>
        <w:noProof/>
      </w:rPr>
      <w:t>453</w:t>
    </w:r>
    <w:r>
      <w:fldChar w:fldCharType="end"/>
    </w:r>
    <w:r>
      <w:t xml:space="preserve"> of </w:t>
    </w:r>
    <w:fldSimple w:instr=" NUMPAGES  ">
      <w:r>
        <w:rPr>
          <w:noProof/>
        </w:rPr>
        <w:t>455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89DF9" w14:textId="77777777" w:rsidR="00467ED4" w:rsidRDefault="00467ED4">
      <w:pPr>
        <w:spacing w:before="0"/>
      </w:pPr>
      <w:r>
        <w:separator/>
      </w:r>
    </w:p>
  </w:footnote>
  <w:footnote w:type="continuationSeparator" w:id="0">
    <w:p w14:paraId="3EC8A27E" w14:textId="77777777" w:rsidR="00467ED4" w:rsidRDefault="00467ED4">
      <w:pPr>
        <w:spacing w:before="0"/>
      </w:pPr>
      <w:r>
        <w:continuationSeparator/>
      </w:r>
    </w:p>
  </w:footnote>
  <w:footnote w:type="continuationNotice" w:id="1">
    <w:p w14:paraId="72BFAE87" w14:textId="77777777" w:rsidR="00467ED4" w:rsidRDefault="00467ED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001C" w14:textId="77777777" w:rsidR="00B97365" w:rsidRDefault="00000000">
    <w:pPr>
      <w:pStyle w:val="Header"/>
    </w:pPr>
    <w:r>
      <w:t>GSM Association</w:t>
    </w:r>
    <w:r>
      <w:tab/>
    </w:r>
    <w:sdt>
      <w:sdtPr>
        <w:alias w:val="Security Classification"/>
        <w:tag w:val="GSMASecurityGroup"/>
        <w:id w:val="-589159158"/>
        <w:lock w:val="sdtContentLocked"/>
        <w:placeholder>
          <w:docPart w:val="1DF36A7032D34F499B7E7B210588D5FF"/>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r>
          <w:t>Non-confidential</w:t>
        </w:r>
      </w:sdtContent>
    </w:sdt>
  </w:p>
  <w:p w14:paraId="3ECE26FC" w14:textId="77777777" w:rsidR="00B97365" w:rsidRDefault="00000000">
    <w:pPr>
      <w:pStyle w:val="Header"/>
    </w:pPr>
    <w:r>
      <w:t xml:space="preserve">Official Document </w:t>
    </w:r>
    <w:sdt>
      <w:sdtPr>
        <w:alias w:val="Document Number"/>
        <w:tag w:val="GSMADocumentNumber"/>
        <w:id w:val="-1423634268"/>
        <w:lock w:val="sdtContentLocked"/>
        <w:placeholder>
          <w:docPart w:val="D9712778F47B4AC399673AFEDF2D2A0B"/>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SGP.02</w:t>
        </w:r>
      </w:sdtContent>
    </w:sdt>
    <w:r>
      <w:t xml:space="preserve"> - </w:t>
    </w:r>
    <w:sdt>
      <w:sdtPr>
        <w:alias w:val="Document Title"/>
        <w:tag w:val="GSMATitle"/>
        <w:id w:val="1647860162"/>
        <w:lock w:val="sdtContentLocked"/>
        <w:placeholder>
          <w:docPart w:val="2103305E2D6A4E3EB7107E51F4F1977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t>Remote Provisioning Architecture for Embedded UICC Technical Specification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2EFC" w14:textId="77777777" w:rsidR="00B97365" w:rsidRDefault="00B97365">
    <w:pPr>
      <w:pStyle w:val="NormalParagraph"/>
    </w:pPr>
  </w:p>
  <w:p w14:paraId="0FC75E1B" w14:textId="77777777" w:rsidR="00B97365" w:rsidRDefault="00B97365">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42F9" w14:textId="77777777" w:rsidR="00B97365" w:rsidRDefault="00000000">
    <w:pPr>
      <w:pStyle w:val="Header"/>
    </w:pPr>
    <w:r>
      <w:t>GSM Association</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istItem w:value="[Security Classification]"/>
        </w:dropDownList>
      </w:sdtPr>
      <w:sdtContent>
        <w:r>
          <w:t>Non-confidential</w:t>
        </w:r>
      </w:sdtContent>
    </w:sdt>
  </w:p>
  <w:p w14:paraId="14710188" w14:textId="77777777" w:rsidR="00B97365" w:rsidRDefault="00000000">
    <w:pPr>
      <w:pStyle w:val="Header"/>
    </w:pPr>
    <w:r>
      <w:t xml:space="preserve">Official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t>SGP.02</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t>Remote Provisioning Architecture for Embedded UICC Technical Specification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257D47"/>
    <w:multiLevelType w:val="hybridMultilevel"/>
    <w:tmpl w:val="AC3E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151DB"/>
    <w:multiLevelType w:val="multilevel"/>
    <w:tmpl w:val="5E204E62"/>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58603CE"/>
    <w:multiLevelType w:val="hybridMultilevel"/>
    <w:tmpl w:val="42F8825A"/>
    <w:lvl w:ilvl="0" w:tplc="CE60E198">
      <w:start w:val="1"/>
      <w:numFmt w:val="decimal"/>
      <w:lvlText w:val="(%1)"/>
      <w:lvlJc w:val="left"/>
      <w:pPr>
        <w:ind w:left="36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5F7ED3"/>
    <w:multiLevelType w:val="hybridMultilevel"/>
    <w:tmpl w:val="32C4DFC6"/>
    <w:lvl w:ilvl="0" w:tplc="5C1C352C">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AC1461"/>
    <w:multiLevelType w:val="multilevel"/>
    <w:tmpl w:val="AA643380"/>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7F3380A"/>
    <w:multiLevelType w:val="hybridMultilevel"/>
    <w:tmpl w:val="83E8E282"/>
    <w:lvl w:ilvl="0" w:tplc="3D3208B0">
      <w:start w:val="13"/>
      <w:numFmt w:val="decimal"/>
      <w:pStyle w:val="TRASHstyletoremove"/>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F74958"/>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EC39DB"/>
    <w:multiLevelType w:val="hybridMultilevel"/>
    <w:tmpl w:val="6E80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D17E0"/>
    <w:multiLevelType w:val="multilevel"/>
    <w:tmpl w:val="ADC635F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09F5E45"/>
    <w:multiLevelType w:val="multilevel"/>
    <w:tmpl w:val="B84CD170"/>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20" w:hanging="340"/>
      </w:pPr>
      <w:rPr>
        <w:rFonts w:ascii="Courier New" w:hAnsi="Courier New" w:hint="default"/>
      </w:rPr>
    </w:lvl>
    <w:lvl w:ilvl="2">
      <w:start w:val="1"/>
      <w:numFmt w:val="bullet"/>
      <w:pStyle w:val="ListBullet3"/>
      <w:lvlText w:val=""/>
      <w:lvlJc w:val="left"/>
      <w:pPr>
        <w:ind w:left="1360" w:hanging="340"/>
      </w:pPr>
      <w:rPr>
        <w:rFonts w:ascii="Wingdings" w:hAnsi="Wingdings" w:hint="default"/>
      </w:rPr>
    </w:lvl>
    <w:lvl w:ilvl="3">
      <w:start w:val="1"/>
      <w:numFmt w:val="bullet"/>
      <w:pStyle w:val="ListBulletsub"/>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2" w15:restartNumberingAfterBreak="0">
    <w:nsid w:val="12433F08"/>
    <w:multiLevelType w:val="hybridMultilevel"/>
    <w:tmpl w:val="B02C2458"/>
    <w:lvl w:ilvl="0" w:tplc="BC9A06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B05F2A"/>
    <w:multiLevelType w:val="hybridMultilevel"/>
    <w:tmpl w:val="32C4DFC6"/>
    <w:lvl w:ilvl="0" w:tplc="5C1C352C">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A50909"/>
    <w:multiLevelType w:val="hybridMultilevel"/>
    <w:tmpl w:val="7862B7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B227EF"/>
    <w:multiLevelType w:val="hybridMultilevel"/>
    <w:tmpl w:val="AF48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AD7040"/>
    <w:multiLevelType w:val="hybridMultilevel"/>
    <w:tmpl w:val="12A20FFE"/>
    <w:lvl w:ilvl="0" w:tplc="BB44C354">
      <w:start w:val="1"/>
      <w:numFmt w:val="decimal"/>
      <w:lvlText w:val="(%1)"/>
      <w:lvlJc w:val="left"/>
      <w:pPr>
        <w:ind w:left="36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1C1F0A20"/>
    <w:multiLevelType w:val="hybridMultilevel"/>
    <w:tmpl w:val="026E9100"/>
    <w:lvl w:ilvl="0" w:tplc="12C8C1C4">
      <w:start w:val="13"/>
      <w:numFmt w:val="decimal"/>
      <w:lvlText w:val="(%1)"/>
      <w:lvlJc w:val="left"/>
      <w:pPr>
        <w:ind w:left="36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6B479F"/>
    <w:multiLevelType w:val="hybridMultilevel"/>
    <w:tmpl w:val="E72ABF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1DFE3DAC"/>
    <w:multiLevelType w:val="hybridMultilevel"/>
    <w:tmpl w:val="42F8825A"/>
    <w:lvl w:ilvl="0" w:tplc="CE60E198">
      <w:start w:val="1"/>
      <w:numFmt w:val="decimal"/>
      <w:lvlText w:val="(%1)"/>
      <w:lvlJc w:val="left"/>
      <w:pPr>
        <w:ind w:left="36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C22557"/>
    <w:multiLevelType w:val="hybridMultilevel"/>
    <w:tmpl w:val="42F8825A"/>
    <w:lvl w:ilvl="0" w:tplc="CE60E198">
      <w:start w:val="1"/>
      <w:numFmt w:val="decimal"/>
      <w:lvlText w:val="(%1)"/>
      <w:lvlJc w:val="left"/>
      <w:pPr>
        <w:ind w:left="360" w:hanging="360"/>
      </w:pPr>
      <w:rPr>
        <w:rFonts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052DA3"/>
    <w:multiLevelType w:val="hybridMultilevel"/>
    <w:tmpl w:val="6CEE4A62"/>
    <w:lvl w:ilvl="0" w:tplc="D5663354">
      <w:start w:val="2"/>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263144"/>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6A290F"/>
    <w:multiLevelType w:val="multilevel"/>
    <w:tmpl w:val="53CC3896"/>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14A3E31"/>
    <w:multiLevelType w:val="hybridMultilevel"/>
    <w:tmpl w:val="28CCA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48530D"/>
    <w:multiLevelType w:val="hybridMultilevel"/>
    <w:tmpl w:val="3AC270D8"/>
    <w:lvl w:ilvl="0" w:tplc="096CBC7C">
      <w:start w:val="1"/>
      <w:numFmt w:val="decimal"/>
      <w:lvlText w:val="(%1)"/>
      <w:lvlJc w:val="left"/>
      <w:pPr>
        <w:ind w:left="23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26E0657"/>
    <w:multiLevelType w:val="hybridMultilevel"/>
    <w:tmpl w:val="DF820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2735E82"/>
    <w:multiLevelType w:val="hybridMultilevel"/>
    <w:tmpl w:val="8302745C"/>
    <w:lvl w:ilvl="0" w:tplc="A0322A56">
      <w:start w:val="1"/>
      <w:numFmt w:val="decimal"/>
      <w:pStyle w:val="EDProcedureStepstartat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8741FA"/>
    <w:multiLevelType w:val="hybridMultilevel"/>
    <w:tmpl w:val="144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B11AA5"/>
    <w:multiLevelType w:val="multilevel"/>
    <w:tmpl w:val="7B2CD562"/>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1"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2" w15:restartNumberingAfterBreak="0">
    <w:nsid w:val="237C0F8F"/>
    <w:multiLevelType w:val="hybridMultilevel"/>
    <w:tmpl w:val="E89E80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5D3C71"/>
    <w:multiLevelType w:val="hybridMultilevel"/>
    <w:tmpl w:val="07F836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254D3944"/>
    <w:multiLevelType w:val="hybridMultilevel"/>
    <w:tmpl w:val="D8CA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AF0DC6"/>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CC5A6D"/>
    <w:multiLevelType w:val="hybridMultilevel"/>
    <w:tmpl w:val="8BCA25FE"/>
    <w:lvl w:ilvl="0" w:tplc="E08024E8">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D6709D"/>
    <w:multiLevelType w:val="hybridMultilevel"/>
    <w:tmpl w:val="32C4DFC6"/>
    <w:lvl w:ilvl="0" w:tplc="5C1C352C">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A602B5"/>
    <w:multiLevelType w:val="hybridMultilevel"/>
    <w:tmpl w:val="EFA8969E"/>
    <w:lvl w:ilvl="0" w:tplc="AFD4F286">
      <w:start w:val="1"/>
      <w:numFmt w:val="bullet"/>
      <w:lvlText w:val=""/>
      <w:lvlJc w:val="left"/>
      <w:pPr>
        <w:tabs>
          <w:tab w:val="num" w:pos="2062"/>
        </w:tabs>
        <w:ind w:left="1985"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F972BA"/>
    <w:multiLevelType w:val="hybridMultilevel"/>
    <w:tmpl w:val="32C4DFC6"/>
    <w:lvl w:ilvl="0" w:tplc="5C1C352C">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2C1B6B"/>
    <w:multiLevelType w:val="hybridMultilevel"/>
    <w:tmpl w:val="FC8E9CE8"/>
    <w:lvl w:ilvl="0" w:tplc="157CA108">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2" w15:restartNumberingAfterBreak="0">
    <w:nsid w:val="314E29BF"/>
    <w:multiLevelType w:val="hybridMultilevel"/>
    <w:tmpl w:val="42343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1E42233"/>
    <w:multiLevelType w:val="hybridMultilevel"/>
    <w:tmpl w:val="82846F98"/>
    <w:lvl w:ilvl="0" w:tplc="18723D0A">
      <w:start w:val="1"/>
      <w:numFmt w:val="bullet"/>
      <w:lvlText w:val=""/>
      <w:lvlJc w:val="left"/>
      <w:pPr>
        <w:ind w:left="643" w:hanging="360"/>
      </w:pPr>
      <w:rPr>
        <w:rFonts w:ascii="Symbol" w:hAnsi="Symbol" w:hint="default"/>
      </w:rPr>
    </w:lvl>
    <w:lvl w:ilvl="1" w:tplc="38A2F864">
      <w:start w:val="1"/>
      <w:numFmt w:val="bullet"/>
      <w:lvlText w:val="o"/>
      <w:lvlJc w:val="left"/>
      <w:pPr>
        <w:ind w:left="1363" w:hanging="360"/>
      </w:pPr>
      <w:rPr>
        <w:rFonts w:ascii="Courier New" w:hAnsi="Courier New" w:cs="Courier New" w:hint="default"/>
      </w:rPr>
    </w:lvl>
    <w:lvl w:ilvl="2" w:tplc="AD32F8C2">
      <w:start w:val="1"/>
      <w:numFmt w:val="bullet"/>
      <w:lvlText w:val=""/>
      <w:lvlJc w:val="left"/>
      <w:pPr>
        <w:ind w:left="2083" w:hanging="360"/>
      </w:pPr>
      <w:rPr>
        <w:rFonts w:ascii="Wingdings" w:hAnsi="Wingdings" w:hint="default"/>
      </w:rPr>
    </w:lvl>
    <w:lvl w:ilvl="3" w:tplc="CCEAAC76">
      <w:start w:val="1"/>
      <w:numFmt w:val="bullet"/>
      <w:lvlText w:val=""/>
      <w:lvlJc w:val="left"/>
      <w:pPr>
        <w:ind w:left="2803" w:hanging="360"/>
      </w:pPr>
      <w:rPr>
        <w:rFonts w:ascii="Symbol" w:hAnsi="Symbol" w:hint="default"/>
      </w:rPr>
    </w:lvl>
    <w:lvl w:ilvl="4" w:tplc="AAAAC516">
      <w:start w:val="1"/>
      <w:numFmt w:val="bullet"/>
      <w:lvlText w:val="o"/>
      <w:lvlJc w:val="left"/>
      <w:pPr>
        <w:ind w:left="3523" w:hanging="360"/>
      </w:pPr>
      <w:rPr>
        <w:rFonts w:ascii="Courier New" w:hAnsi="Courier New" w:cs="Courier New" w:hint="default"/>
      </w:rPr>
    </w:lvl>
    <w:lvl w:ilvl="5" w:tplc="8A22C932">
      <w:start w:val="1"/>
      <w:numFmt w:val="bullet"/>
      <w:lvlText w:val=""/>
      <w:lvlJc w:val="left"/>
      <w:pPr>
        <w:ind w:left="4243" w:hanging="360"/>
      </w:pPr>
      <w:rPr>
        <w:rFonts w:ascii="Wingdings" w:hAnsi="Wingdings" w:hint="default"/>
      </w:rPr>
    </w:lvl>
    <w:lvl w:ilvl="6" w:tplc="2C68E9C6">
      <w:start w:val="1"/>
      <w:numFmt w:val="bullet"/>
      <w:lvlText w:val=""/>
      <w:lvlJc w:val="left"/>
      <w:pPr>
        <w:ind w:left="4963" w:hanging="360"/>
      </w:pPr>
      <w:rPr>
        <w:rFonts w:ascii="Symbol" w:hAnsi="Symbol" w:hint="default"/>
      </w:rPr>
    </w:lvl>
    <w:lvl w:ilvl="7" w:tplc="0DC6E4FC">
      <w:start w:val="1"/>
      <w:numFmt w:val="bullet"/>
      <w:lvlText w:val="o"/>
      <w:lvlJc w:val="left"/>
      <w:pPr>
        <w:ind w:left="5683" w:hanging="360"/>
      </w:pPr>
      <w:rPr>
        <w:rFonts w:ascii="Courier New" w:hAnsi="Courier New" w:cs="Courier New" w:hint="default"/>
      </w:rPr>
    </w:lvl>
    <w:lvl w:ilvl="8" w:tplc="20BA0042">
      <w:start w:val="1"/>
      <w:numFmt w:val="bullet"/>
      <w:lvlText w:val=""/>
      <w:lvlJc w:val="left"/>
      <w:pPr>
        <w:ind w:left="6403" w:hanging="360"/>
      </w:pPr>
      <w:rPr>
        <w:rFonts w:ascii="Wingdings" w:hAnsi="Wingdings" w:hint="default"/>
      </w:rPr>
    </w:lvl>
  </w:abstractNum>
  <w:abstractNum w:abstractNumId="44" w15:restartNumberingAfterBreak="0">
    <w:nsid w:val="328C5289"/>
    <w:multiLevelType w:val="hybridMultilevel"/>
    <w:tmpl w:val="1DD83CD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AC3729"/>
    <w:multiLevelType w:val="multilevel"/>
    <w:tmpl w:val="BC8031B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36CA23D6"/>
    <w:multiLevelType w:val="hybridMultilevel"/>
    <w:tmpl w:val="42F8825A"/>
    <w:lvl w:ilvl="0" w:tplc="CE60E198">
      <w:start w:val="1"/>
      <w:numFmt w:val="decimal"/>
      <w:lvlText w:val="(%1)"/>
      <w:lvlJc w:val="left"/>
      <w:pPr>
        <w:ind w:left="36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6F35940"/>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8" w15:restartNumberingAfterBreak="0">
    <w:nsid w:val="37161333"/>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9478FE"/>
    <w:multiLevelType w:val="hybridMultilevel"/>
    <w:tmpl w:val="10F025C6"/>
    <w:lvl w:ilvl="0" w:tplc="11900EFE">
      <w:start w:val="8"/>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A40998"/>
    <w:multiLevelType w:val="hybridMultilevel"/>
    <w:tmpl w:val="165C04EC"/>
    <w:lvl w:ilvl="0" w:tplc="356018F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C26DF5"/>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2"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3B6724B4"/>
    <w:multiLevelType w:val="hybridMultilevel"/>
    <w:tmpl w:val="12A20FFE"/>
    <w:lvl w:ilvl="0" w:tplc="BB44C354">
      <w:start w:val="1"/>
      <w:numFmt w:val="decimal"/>
      <w:lvlText w:val="(%1)"/>
      <w:lvlJc w:val="left"/>
      <w:pPr>
        <w:ind w:left="36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850EE4"/>
    <w:multiLevelType w:val="hybridMultilevel"/>
    <w:tmpl w:val="2D2A1D1A"/>
    <w:lvl w:ilvl="0" w:tplc="DB1A2D8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C776779"/>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E42DC6"/>
    <w:multiLevelType w:val="hybridMultilevel"/>
    <w:tmpl w:val="B02C2458"/>
    <w:lvl w:ilvl="0" w:tplc="BC9A06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D8149FB"/>
    <w:multiLevelType w:val="hybridMultilevel"/>
    <w:tmpl w:val="2D2A1D1A"/>
    <w:lvl w:ilvl="0" w:tplc="DB1A2D8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E2E29FE"/>
    <w:multiLevelType w:val="hybridMultilevel"/>
    <w:tmpl w:val="73A26B6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EB575EF"/>
    <w:multiLevelType w:val="hybridMultilevel"/>
    <w:tmpl w:val="42F8825A"/>
    <w:lvl w:ilvl="0" w:tplc="CE60E198">
      <w:start w:val="1"/>
      <w:numFmt w:val="decimal"/>
      <w:lvlText w:val="(%1)"/>
      <w:lvlJc w:val="left"/>
      <w:pPr>
        <w:ind w:left="360" w:hanging="360"/>
      </w:pPr>
      <w:rPr>
        <w:rFonts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EFA4878"/>
    <w:multiLevelType w:val="multilevel"/>
    <w:tmpl w:val="7B2CD562"/>
    <w:numStyleLink w:val="ListNumbers"/>
  </w:abstractNum>
  <w:abstractNum w:abstractNumId="62"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40AA0643"/>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15A4E8F"/>
    <w:multiLevelType w:val="multilevel"/>
    <w:tmpl w:val="2CE6EC16"/>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1DC4630"/>
    <w:multiLevelType w:val="hybridMultilevel"/>
    <w:tmpl w:val="3BFC8E54"/>
    <w:lvl w:ilvl="0" w:tplc="BC9A062E">
      <w:start w:val="1"/>
      <w:numFmt w:val="decimal"/>
      <w:lvlText w:val="(%1)"/>
      <w:lvlJc w:val="left"/>
      <w:pPr>
        <w:ind w:left="360" w:hanging="360"/>
      </w:pPr>
      <w:rPr>
        <w:rFonts w:hint="default"/>
      </w:rPr>
    </w:lvl>
    <w:lvl w:ilvl="1" w:tplc="08090019">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abstractNum w:abstractNumId="66" w15:restartNumberingAfterBreak="0">
    <w:nsid w:val="431D03F6"/>
    <w:multiLevelType w:val="hybridMultilevel"/>
    <w:tmpl w:val="12A20FFE"/>
    <w:lvl w:ilvl="0" w:tplc="BB44C354">
      <w:start w:val="1"/>
      <w:numFmt w:val="decimal"/>
      <w:lvlText w:val="(%1)"/>
      <w:lvlJc w:val="left"/>
      <w:pPr>
        <w:ind w:left="36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4C45F38"/>
    <w:multiLevelType w:val="hybridMultilevel"/>
    <w:tmpl w:val="AF8AF13E"/>
    <w:lvl w:ilvl="0" w:tplc="E638A51C">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576705C"/>
    <w:multiLevelType w:val="hybridMultilevel"/>
    <w:tmpl w:val="42F8825A"/>
    <w:lvl w:ilvl="0" w:tplc="CE60E198">
      <w:start w:val="1"/>
      <w:numFmt w:val="decimal"/>
      <w:lvlText w:val="(%1)"/>
      <w:lvlJc w:val="left"/>
      <w:pPr>
        <w:ind w:left="36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7193F0C"/>
    <w:multiLevelType w:val="multilevel"/>
    <w:tmpl w:val="AD40100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49272B36"/>
    <w:multiLevelType w:val="hybridMultilevel"/>
    <w:tmpl w:val="2D2A1D1A"/>
    <w:lvl w:ilvl="0" w:tplc="DB1A2D8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CDD7BFA"/>
    <w:multiLevelType w:val="hybridMultilevel"/>
    <w:tmpl w:val="00D66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EA95E39"/>
    <w:multiLevelType w:val="hybridMultilevel"/>
    <w:tmpl w:val="FB544A34"/>
    <w:lvl w:ilvl="0" w:tplc="04150001">
      <w:start w:val="1"/>
      <w:numFmt w:val="bullet"/>
      <w:lvlText w:val=""/>
      <w:lvlJc w:val="left"/>
      <w:pPr>
        <w:ind w:left="1380" w:hanging="360"/>
      </w:pPr>
      <w:rPr>
        <w:rFonts w:ascii="Symbol" w:hAnsi="Symbol"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73" w15:restartNumberingAfterBreak="0">
    <w:nsid w:val="4F872154"/>
    <w:multiLevelType w:val="hybridMultilevel"/>
    <w:tmpl w:val="2D2A1D1A"/>
    <w:lvl w:ilvl="0" w:tplc="DB1A2D8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05642A6"/>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6" w15:restartNumberingAfterBreak="0">
    <w:nsid w:val="53326DEC"/>
    <w:multiLevelType w:val="hybridMultilevel"/>
    <w:tmpl w:val="E97CCF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6641E8"/>
    <w:multiLevelType w:val="hybridMultilevel"/>
    <w:tmpl w:val="2D2A1D1A"/>
    <w:lvl w:ilvl="0" w:tplc="DB1A2D8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3813677"/>
    <w:multiLevelType w:val="hybridMultilevel"/>
    <w:tmpl w:val="71A8D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0" w15:restartNumberingAfterBreak="0">
    <w:nsid w:val="541B5591"/>
    <w:multiLevelType w:val="hybridMultilevel"/>
    <w:tmpl w:val="B0462440"/>
    <w:lvl w:ilvl="0" w:tplc="992A5BE4">
      <w:start w:val="13"/>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5F6BE6"/>
    <w:multiLevelType w:val="hybridMultilevel"/>
    <w:tmpl w:val="6D7238BA"/>
    <w:lvl w:ilvl="0" w:tplc="98767FCE">
      <w:start w:val="13"/>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59E5B20"/>
    <w:multiLevelType w:val="hybridMultilevel"/>
    <w:tmpl w:val="1BD661E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5B972E5"/>
    <w:multiLevelType w:val="hybridMultilevel"/>
    <w:tmpl w:val="B02C2458"/>
    <w:lvl w:ilvl="0" w:tplc="BC9A062E">
      <w:start w:val="1"/>
      <w:numFmt w:val="decimal"/>
      <w:lvlText w:val="(%1)"/>
      <w:lvlJc w:val="left"/>
      <w:pPr>
        <w:ind w:left="360" w:hanging="360"/>
      </w:pPr>
      <w:rPr>
        <w:rFonts w:hint="default"/>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abstractNum w:abstractNumId="84" w15:restartNumberingAfterBreak="0">
    <w:nsid w:val="564449F3"/>
    <w:multiLevelType w:val="hybridMultilevel"/>
    <w:tmpl w:val="1214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6" w15:restartNumberingAfterBreak="0">
    <w:nsid w:val="57657612"/>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8" w15:restartNumberingAfterBreak="0">
    <w:nsid w:val="5F7441E8"/>
    <w:multiLevelType w:val="hybridMultilevel"/>
    <w:tmpl w:val="ADE2565C"/>
    <w:lvl w:ilvl="0" w:tplc="8C7AA06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21B7D0A"/>
    <w:multiLevelType w:val="hybridMultilevel"/>
    <w:tmpl w:val="42F8825A"/>
    <w:lvl w:ilvl="0" w:tplc="CE60E198">
      <w:start w:val="1"/>
      <w:numFmt w:val="decimal"/>
      <w:lvlText w:val="(%1)"/>
      <w:lvlJc w:val="left"/>
      <w:pPr>
        <w:ind w:left="36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3EE6EFD"/>
    <w:multiLevelType w:val="hybridMultilevel"/>
    <w:tmpl w:val="1CF075CC"/>
    <w:lvl w:ilvl="0" w:tplc="BC9A062E">
      <w:start w:val="1"/>
      <w:numFmt w:val="decimal"/>
      <w:lvlText w:val="(%1)"/>
      <w:lvlJc w:val="left"/>
      <w:pPr>
        <w:ind w:left="360" w:hanging="360"/>
      </w:pPr>
      <w:rPr>
        <w:rFonts w:hint="default"/>
      </w:rPr>
    </w:lvl>
    <w:lvl w:ilvl="1" w:tplc="08090019">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abstractNum w:abstractNumId="91" w15:restartNumberingAfterBreak="0">
    <w:nsid w:val="646840F6"/>
    <w:multiLevelType w:val="multilevel"/>
    <w:tmpl w:val="ACA6DAB6"/>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65024B5F"/>
    <w:multiLevelType w:val="multilevel"/>
    <w:tmpl w:val="AA643380"/>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658E4A25"/>
    <w:multiLevelType w:val="hybridMultilevel"/>
    <w:tmpl w:val="B02C2458"/>
    <w:lvl w:ilvl="0" w:tplc="BC9A06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65C125C"/>
    <w:multiLevelType w:val="hybridMultilevel"/>
    <w:tmpl w:val="2D2A1D1A"/>
    <w:lvl w:ilvl="0" w:tplc="DB1A2D8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7625B31"/>
    <w:multiLevelType w:val="hybridMultilevel"/>
    <w:tmpl w:val="1CF075CC"/>
    <w:lvl w:ilvl="0" w:tplc="BC9A062E">
      <w:start w:val="1"/>
      <w:numFmt w:val="decimal"/>
      <w:lvlText w:val="(%1)"/>
      <w:lvlJc w:val="left"/>
      <w:pPr>
        <w:ind w:left="360" w:hanging="360"/>
      </w:pPr>
      <w:rPr>
        <w:rFonts w:hint="default"/>
      </w:rPr>
    </w:lvl>
    <w:lvl w:ilvl="1" w:tplc="08090019">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abstractNum w:abstractNumId="96"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15:restartNumberingAfterBreak="0">
    <w:nsid w:val="691F0802"/>
    <w:multiLevelType w:val="hybridMultilevel"/>
    <w:tmpl w:val="C5087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721124"/>
    <w:multiLevelType w:val="hybridMultilevel"/>
    <w:tmpl w:val="3BFC8E54"/>
    <w:lvl w:ilvl="0" w:tplc="BC9A062E">
      <w:start w:val="1"/>
      <w:numFmt w:val="decimal"/>
      <w:lvlText w:val="(%1)"/>
      <w:lvlJc w:val="left"/>
      <w:pPr>
        <w:ind w:left="360" w:hanging="360"/>
      </w:pPr>
      <w:rPr>
        <w:rFonts w:hint="default"/>
      </w:rPr>
    </w:lvl>
    <w:lvl w:ilvl="1" w:tplc="08090019">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abstractNum w:abstractNumId="99" w15:restartNumberingAfterBreak="0">
    <w:nsid w:val="6D3E32C2"/>
    <w:multiLevelType w:val="hybridMultilevel"/>
    <w:tmpl w:val="021C5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6DBD4A2C"/>
    <w:multiLevelType w:val="hybridMultilevel"/>
    <w:tmpl w:val="A8044AAA"/>
    <w:lvl w:ilvl="0" w:tplc="14E4B274">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E417744"/>
    <w:multiLevelType w:val="hybridMultilevel"/>
    <w:tmpl w:val="65DC35B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2" w15:restartNumberingAfterBreak="0">
    <w:nsid w:val="6F2B0F5E"/>
    <w:multiLevelType w:val="hybridMultilevel"/>
    <w:tmpl w:val="64CA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5300E9"/>
    <w:multiLevelType w:val="hybridMultilevel"/>
    <w:tmpl w:val="43F200C6"/>
    <w:lvl w:ilvl="0" w:tplc="7924FCAC">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04C6AB8"/>
    <w:multiLevelType w:val="hybridMultilevel"/>
    <w:tmpl w:val="B55E46DC"/>
    <w:lvl w:ilvl="0" w:tplc="BC9A062E">
      <w:start w:val="1"/>
      <w:numFmt w:val="decimal"/>
      <w:lvlText w:val="(%1)"/>
      <w:lvlJc w:val="left"/>
      <w:pPr>
        <w:ind w:left="360" w:hanging="360"/>
      </w:pPr>
      <w:rPr>
        <w:rFonts w:hint="default"/>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abstractNum w:abstractNumId="105" w15:restartNumberingAfterBreak="0">
    <w:nsid w:val="70B365F4"/>
    <w:multiLevelType w:val="hybridMultilevel"/>
    <w:tmpl w:val="36A6E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72A86CD4"/>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CB6443"/>
    <w:multiLevelType w:val="hybridMultilevel"/>
    <w:tmpl w:val="7B04EC5A"/>
    <w:lvl w:ilvl="0" w:tplc="08090001">
      <w:start w:val="1"/>
      <w:numFmt w:val="bullet"/>
      <w:lvlText w:val=""/>
      <w:lvlJc w:val="left"/>
      <w:pPr>
        <w:tabs>
          <w:tab w:val="num" w:pos="1800"/>
        </w:tabs>
        <w:ind w:left="1800" w:hanging="360"/>
      </w:pPr>
      <w:rPr>
        <w:rFonts w:ascii="Symbol" w:hAnsi="Symbol" w:hint="default"/>
      </w:rPr>
    </w:lvl>
    <w:lvl w:ilvl="1" w:tplc="08090019">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108" w15:restartNumberingAfterBreak="0">
    <w:nsid w:val="753E0D63"/>
    <w:multiLevelType w:val="hybridMultilevel"/>
    <w:tmpl w:val="84A2C9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58E1660"/>
    <w:multiLevelType w:val="hybridMultilevel"/>
    <w:tmpl w:val="B02C2458"/>
    <w:lvl w:ilvl="0" w:tplc="BC9A06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88314C6"/>
    <w:multiLevelType w:val="hybridMultilevel"/>
    <w:tmpl w:val="12A20FFE"/>
    <w:lvl w:ilvl="0" w:tplc="BB44C35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9D06118"/>
    <w:multiLevelType w:val="multilevel"/>
    <w:tmpl w:val="5E204E62"/>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7C145F8B"/>
    <w:multiLevelType w:val="hybridMultilevel"/>
    <w:tmpl w:val="66960ADA"/>
    <w:lvl w:ilvl="0" w:tplc="F124804A">
      <w:start w:val="8"/>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CDE14AD"/>
    <w:multiLevelType w:val="hybridMultilevel"/>
    <w:tmpl w:val="1CD6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D9E5C34"/>
    <w:multiLevelType w:val="hybridMultilevel"/>
    <w:tmpl w:val="B55E46DC"/>
    <w:lvl w:ilvl="0" w:tplc="BC9A062E">
      <w:start w:val="1"/>
      <w:numFmt w:val="decimal"/>
      <w:lvlText w:val="(%1)"/>
      <w:lvlJc w:val="left"/>
      <w:pPr>
        <w:ind w:left="360" w:hanging="360"/>
      </w:pPr>
      <w:rPr>
        <w:rFonts w:hint="default"/>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num w:numId="1" w16cid:durableId="1115439786">
    <w:abstractNumId w:val="41"/>
  </w:num>
  <w:num w:numId="2" w16cid:durableId="28189360">
    <w:abstractNumId w:val="96"/>
  </w:num>
  <w:num w:numId="3" w16cid:durableId="1425034666">
    <w:abstractNumId w:val="17"/>
  </w:num>
  <w:num w:numId="4" w16cid:durableId="267273317">
    <w:abstractNumId w:val="1"/>
  </w:num>
  <w:num w:numId="5" w16cid:durableId="961375274">
    <w:abstractNumId w:val="52"/>
  </w:num>
  <w:num w:numId="6" w16cid:durableId="2007632548">
    <w:abstractNumId w:val="0"/>
  </w:num>
  <w:num w:numId="7" w16cid:durableId="1007169059">
    <w:abstractNumId w:val="59"/>
  </w:num>
  <w:num w:numId="8" w16cid:durableId="360203380">
    <w:abstractNumId w:val="85"/>
  </w:num>
  <w:num w:numId="9" w16cid:durableId="1306474482">
    <w:abstractNumId w:val="75"/>
  </w:num>
  <w:num w:numId="10" w16cid:durableId="2010909117">
    <w:abstractNumId w:val="31"/>
  </w:num>
  <w:num w:numId="11" w16cid:durableId="810947247">
    <w:abstractNumId w:val="11"/>
  </w:num>
  <w:num w:numId="12" w16cid:durableId="870655409">
    <w:abstractNumId w:val="61"/>
  </w:num>
  <w:num w:numId="13" w16cid:durableId="1154955300">
    <w:abstractNumId w:val="87"/>
  </w:num>
  <w:num w:numId="14" w16cid:durableId="292371032">
    <w:abstractNumId w:val="79"/>
  </w:num>
  <w:num w:numId="15" w16cid:durableId="540870411">
    <w:abstractNumId w:val="62"/>
  </w:num>
  <w:num w:numId="16" w16cid:durableId="153767431">
    <w:abstractNumId w:val="62"/>
  </w:num>
  <w:num w:numId="17" w16cid:durableId="1837256976">
    <w:abstractNumId w:val="11"/>
  </w:num>
  <w:num w:numId="18" w16cid:durableId="302318806">
    <w:abstractNumId w:val="38"/>
  </w:num>
  <w:num w:numId="19" w16cid:durableId="1683119262">
    <w:abstractNumId w:val="43"/>
  </w:num>
  <w:num w:numId="20" w16cid:durableId="1941335745">
    <w:abstractNumId w:val="19"/>
  </w:num>
  <w:num w:numId="21" w16cid:durableId="1180656932">
    <w:abstractNumId w:val="22"/>
  </w:num>
  <w:num w:numId="22" w16cid:durableId="224534612">
    <w:abstractNumId w:val="44"/>
  </w:num>
  <w:num w:numId="23" w16cid:durableId="326783710">
    <w:abstractNumId w:val="108"/>
  </w:num>
  <w:num w:numId="24" w16cid:durableId="864904093">
    <w:abstractNumId w:val="82"/>
  </w:num>
  <w:num w:numId="25" w16cid:durableId="380597170">
    <w:abstractNumId w:val="14"/>
  </w:num>
  <w:num w:numId="26" w16cid:durableId="633409105">
    <w:abstractNumId w:val="78"/>
  </w:num>
  <w:num w:numId="27" w16cid:durableId="11846614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4137168">
    <w:abstractNumId w:val="42"/>
  </w:num>
  <w:num w:numId="29" w16cid:durableId="451092647">
    <w:abstractNumId w:val="113"/>
  </w:num>
  <w:num w:numId="30" w16cid:durableId="713503417">
    <w:abstractNumId w:val="34"/>
  </w:num>
  <w:num w:numId="31" w16cid:durableId="1671255407">
    <w:abstractNumId w:val="84"/>
  </w:num>
  <w:num w:numId="32" w16cid:durableId="1250777463">
    <w:abstractNumId w:val="27"/>
  </w:num>
  <w:num w:numId="33" w16cid:durableId="1190995791">
    <w:abstractNumId w:val="105"/>
  </w:num>
  <w:num w:numId="34" w16cid:durableId="1816289215">
    <w:abstractNumId w:val="25"/>
  </w:num>
  <w:num w:numId="35" w16cid:durableId="120470643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464034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67385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74329785">
    <w:abstractNumId w:val="5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64793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49587715">
    <w:abstractNumId w:val="7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296743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59568402">
    <w:abstractNumId w:val="28"/>
  </w:num>
  <w:num w:numId="43" w16cid:durableId="1565674763">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13971741">
    <w:abstractNumId w:val="31"/>
    <w:lvlOverride w:ilvl="0">
      <w:lvl w:ilvl="0">
        <w:start w:val="1"/>
        <w:numFmt w:val="decimal"/>
        <w:pStyle w:val="ListNumber"/>
        <w:lvlText w:val="%1."/>
        <w:lvlJc w:val="left"/>
        <w:pPr>
          <w:tabs>
            <w:tab w:val="num" w:pos="340"/>
          </w:tabs>
          <w:ind w:left="680" w:hanging="340"/>
        </w:pPr>
      </w:lvl>
    </w:lvlOverride>
    <w:lvlOverride w:ilvl="1">
      <w:lvl w:ilvl="1">
        <w:start w:val="1"/>
        <w:numFmt w:val="lowerLetter"/>
        <w:pStyle w:val="Listletter"/>
        <w:lvlText w:val="%2)"/>
        <w:lvlJc w:val="left"/>
        <w:pPr>
          <w:tabs>
            <w:tab w:val="num" w:pos="1020"/>
          </w:tabs>
          <w:ind w:left="1360" w:hanging="340"/>
        </w:pPr>
      </w:lvl>
    </w:lvlOverride>
    <w:lvlOverride w:ilvl="2">
      <w:lvl w:ilvl="2">
        <w:start w:val="1"/>
        <w:numFmt w:val="lowerRoman"/>
        <w:pStyle w:val="ListParagraphRomans"/>
        <w:lvlText w:val="%3."/>
        <w:lvlJc w:val="left"/>
        <w:pPr>
          <w:tabs>
            <w:tab w:val="num" w:pos="1700"/>
          </w:tabs>
          <w:ind w:left="2040" w:hanging="340"/>
        </w:pPr>
      </w:lvl>
    </w:lvlOverride>
    <w:lvlOverride w:ilvl="3">
      <w:lvl w:ilvl="3">
        <w:start w:val="1"/>
        <w:numFmt w:val="none"/>
        <w:lvlText w:val="%4"/>
        <w:lvlJc w:val="left"/>
        <w:pPr>
          <w:tabs>
            <w:tab w:val="num" w:pos="2380"/>
          </w:tabs>
          <w:ind w:left="2720" w:hanging="340"/>
        </w:pPr>
      </w:lvl>
    </w:lvlOverride>
    <w:lvlOverride w:ilvl="4">
      <w:lvl w:ilvl="4">
        <w:start w:val="1"/>
        <w:numFmt w:val="none"/>
        <w:lvlText w:val="%5"/>
        <w:lvlJc w:val="left"/>
        <w:pPr>
          <w:tabs>
            <w:tab w:val="num" w:pos="3060"/>
          </w:tabs>
          <w:ind w:left="3400" w:hanging="340"/>
        </w:pPr>
      </w:lvl>
    </w:lvlOverride>
    <w:lvlOverride w:ilvl="5">
      <w:lvl w:ilvl="5">
        <w:start w:val="1"/>
        <w:numFmt w:val="none"/>
        <w:lvlText w:val="%6"/>
        <w:lvlJc w:val="right"/>
        <w:pPr>
          <w:tabs>
            <w:tab w:val="num" w:pos="3740"/>
          </w:tabs>
          <w:ind w:left="4080" w:hanging="340"/>
        </w:pPr>
      </w:lvl>
    </w:lvlOverride>
    <w:lvlOverride w:ilvl="6">
      <w:lvl w:ilvl="6">
        <w:start w:val="1"/>
        <w:numFmt w:val="none"/>
        <w:lvlText w:val="%7"/>
        <w:lvlJc w:val="left"/>
        <w:pPr>
          <w:tabs>
            <w:tab w:val="num" w:pos="4420"/>
          </w:tabs>
          <w:ind w:left="4760" w:hanging="340"/>
        </w:pPr>
      </w:lvl>
    </w:lvlOverride>
    <w:lvlOverride w:ilvl="7">
      <w:lvl w:ilvl="7">
        <w:start w:val="1"/>
        <w:numFmt w:val="none"/>
        <w:lvlText w:val="%8"/>
        <w:lvlJc w:val="left"/>
        <w:pPr>
          <w:tabs>
            <w:tab w:val="num" w:pos="5100"/>
          </w:tabs>
          <w:ind w:left="5440" w:hanging="340"/>
        </w:pPr>
      </w:lvl>
    </w:lvlOverride>
    <w:lvlOverride w:ilvl="8">
      <w:lvl w:ilvl="8">
        <w:start w:val="1"/>
        <w:numFmt w:val="none"/>
        <w:lvlText w:val="%9"/>
        <w:lvlJc w:val="right"/>
        <w:pPr>
          <w:tabs>
            <w:tab w:val="num" w:pos="5780"/>
          </w:tabs>
          <w:ind w:left="6120" w:hanging="340"/>
        </w:pPr>
      </w:lvl>
    </w:lvlOverride>
  </w:num>
  <w:num w:numId="45" w16cid:durableId="13529532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242415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1179221">
    <w:abstractNumId w:val="4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8196263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8941083">
    <w:abstractNumId w:val="64"/>
  </w:num>
  <w:num w:numId="50" w16cid:durableId="560603042">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51" w16cid:durableId="971639271">
    <w:abstractNumId w:val="76"/>
  </w:num>
  <w:num w:numId="52" w16cid:durableId="9599186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63018150">
    <w:abstractNumId w:val="101"/>
  </w:num>
  <w:num w:numId="54" w16cid:durableId="379474257">
    <w:abstractNumId w:val="72"/>
  </w:num>
  <w:num w:numId="55" w16cid:durableId="2000185289">
    <w:abstractNumId w:val="5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50827279">
    <w:abstractNumId w:val="67"/>
  </w:num>
  <w:num w:numId="57" w16cid:durableId="1427728909">
    <w:abstractNumId w:val="100"/>
  </w:num>
  <w:num w:numId="58" w16cid:durableId="1619949119">
    <w:abstractNumId w:val="83"/>
  </w:num>
  <w:num w:numId="59" w16cid:durableId="752504859">
    <w:abstractNumId w:val="114"/>
  </w:num>
  <w:num w:numId="60" w16cid:durableId="458960917">
    <w:abstractNumId w:val="104"/>
  </w:num>
  <w:num w:numId="61" w16cid:durableId="2076388275">
    <w:abstractNumId w:val="41"/>
    <w:lvlOverride w:ilvl="0">
      <w:startOverride w:val="3"/>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73691316">
    <w:abstractNumId w:val="33"/>
  </w:num>
  <w:num w:numId="63" w16cid:durableId="390881788">
    <w:abstractNumId w:val="99"/>
  </w:num>
  <w:num w:numId="64" w16cid:durableId="2132631347">
    <w:abstractNumId w:val="97"/>
  </w:num>
  <w:num w:numId="65" w16cid:durableId="362483479">
    <w:abstractNumId w:val="51"/>
  </w:num>
  <w:num w:numId="66" w16cid:durableId="1869414443">
    <w:abstractNumId w:val="32"/>
  </w:num>
  <w:num w:numId="67" w16cid:durableId="1752196874">
    <w:abstractNumId w:val="29"/>
  </w:num>
  <w:num w:numId="68" w16cid:durableId="1138844018">
    <w:abstractNumId w:val="15"/>
  </w:num>
  <w:num w:numId="69" w16cid:durableId="786318765">
    <w:abstractNumId w:val="2"/>
  </w:num>
  <w:num w:numId="70" w16cid:durableId="1239173751">
    <w:abstractNumId w:val="71"/>
  </w:num>
  <w:num w:numId="71" w16cid:durableId="1707102431">
    <w:abstractNumId w:val="6"/>
  </w:num>
  <w:num w:numId="72" w16cid:durableId="1182401321">
    <w:abstractNumId w:val="10"/>
  </w:num>
  <w:num w:numId="73" w16cid:durableId="1795638680">
    <w:abstractNumId w:val="91"/>
  </w:num>
  <w:num w:numId="74" w16cid:durableId="2009017193">
    <w:abstractNumId w:val="69"/>
  </w:num>
  <w:num w:numId="75" w16cid:durableId="1133601099">
    <w:abstractNumId w:val="111"/>
  </w:num>
  <w:num w:numId="76" w16cid:durableId="1247498766">
    <w:abstractNumId w:val="45"/>
  </w:num>
  <w:num w:numId="77" w16cid:durableId="978073809">
    <w:abstractNumId w:val="24"/>
  </w:num>
  <w:num w:numId="78" w16cid:durableId="752119737">
    <w:abstractNumId w:val="50"/>
  </w:num>
  <w:num w:numId="79" w16cid:durableId="1341422679">
    <w:abstractNumId w:val="92"/>
  </w:num>
  <w:num w:numId="80" w16cid:durableId="576211516">
    <w:abstractNumId w:val="3"/>
  </w:num>
  <w:num w:numId="81" w16cid:durableId="1250851923">
    <w:abstractNumId w:val="9"/>
  </w:num>
  <w:num w:numId="82" w16cid:durableId="112093221">
    <w:abstractNumId w:val="87"/>
    <w:lvlOverride w:ilvl="0">
      <w:startOverride w:val="1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23979965">
    <w:abstractNumId w:val="79"/>
    <w:lvlOverride w:ilvl="0">
      <w:startOverride w:val="2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12609060">
    <w:abstractNumId w:val="90"/>
  </w:num>
  <w:num w:numId="85" w16cid:durableId="1886674397">
    <w:abstractNumId w:val="95"/>
  </w:num>
  <w:num w:numId="86" w16cid:durableId="1427767606">
    <w:abstractNumId w:val="98"/>
  </w:num>
  <w:num w:numId="87" w16cid:durableId="1776246316">
    <w:abstractNumId w:val="65"/>
  </w:num>
  <w:num w:numId="88" w16cid:durableId="1891451328">
    <w:abstractNumId w:val="109"/>
  </w:num>
  <w:num w:numId="89" w16cid:durableId="1128353241">
    <w:abstractNumId w:val="12"/>
  </w:num>
  <w:num w:numId="90" w16cid:durableId="192620645">
    <w:abstractNumId w:val="93"/>
  </w:num>
  <w:num w:numId="91" w16cid:durableId="587425278">
    <w:abstractNumId w:val="56"/>
  </w:num>
  <w:num w:numId="92" w16cid:durableId="1265310831">
    <w:abstractNumId w:val="77"/>
  </w:num>
  <w:num w:numId="93" w16cid:durableId="11684214">
    <w:abstractNumId w:val="54"/>
  </w:num>
  <w:num w:numId="94" w16cid:durableId="1745906872">
    <w:abstractNumId w:val="94"/>
  </w:num>
  <w:num w:numId="95" w16cid:durableId="2107073285">
    <w:abstractNumId w:val="73"/>
  </w:num>
  <w:num w:numId="96" w16cid:durableId="303506992">
    <w:abstractNumId w:val="57"/>
  </w:num>
  <w:num w:numId="97" w16cid:durableId="1049456502">
    <w:abstractNumId w:val="70"/>
  </w:num>
  <w:num w:numId="98" w16cid:durableId="1528911958">
    <w:abstractNumId w:val="18"/>
  </w:num>
  <w:num w:numId="99" w16cid:durableId="1672684118">
    <w:abstractNumId w:val="20"/>
  </w:num>
  <w:num w:numId="100" w16cid:durableId="1494182334">
    <w:abstractNumId w:val="68"/>
  </w:num>
  <w:num w:numId="101" w16cid:durableId="1364865273">
    <w:abstractNumId w:val="60"/>
  </w:num>
  <w:num w:numId="102" w16cid:durableId="201403873">
    <w:abstractNumId w:val="46"/>
  </w:num>
  <w:num w:numId="103" w16cid:durableId="1674794968">
    <w:abstractNumId w:val="4"/>
  </w:num>
  <w:num w:numId="104" w16cid:durableId="1438872150">
    <w:abstractNumId w:val="21"/>
  </w:num>
  <w:num w:numId="105" w16cid:durableId="1727758115">
    <w:abstractNumId w:val="89"/>
  </w:num>
  <w:num w:numId="106" w16cid:durableId="339895641">
    <w:abstractNumId w:val="112"/>
  </w:num>
  <w:num w:numId="107" w16cid:durableId="1195188460">
    <w:abstractNumId w:val="36"/>
  </w:num>
  <w:num w:numId="108" w16cid:durableId="1586842549">
    <w:abstractNumId w:val="80"/>
  </w:num>
  <w:num w:numId="109" w16cid:durableId="160701131">
    <w:abstractNumId w:val="103"/>
  </w:num>
  <w:num w:numId="110" w16cid:durableId="1251699719">
    <w:abstractNumId w:val="40"/>
  </w:num>
  <w:num w:numId="111" w16cid:durableId="1335109627">
    <w:abstractNumId w:val="81"/>
  </w:num>
  <w:num w:numId="112" w16cid:durableId="257838251">
    <w:abstractNumId w:val="8"/>
  </w:num>
  <w:num w:numId="113" w16cid:durableId="325938300">
    <w:abstractNumId w:val="55"/>
  </w:num>
  <w:num w:numId="114" w16cid:durableId="1590431234">
    <w:abstractNumId w:val="74"/>
  </w:num>
  <w:num w:numId="115" w16cid:durableId="1797025492">
    <w:abstractNumId w:val="86"/>
  </w:num>
  <w:num w:numId="116" w16cid:durableId="736368079">
    <w:abstractNumId w:val="106"/>
  </w:num>
  <w:num w:numId="117" w16cid:durableId="678625367">
    <w:abstractNumId w:val="63"/>
  </w:num>
  <w:num w:numId="118" w16cid:durableId="143472860">
    <w:abstractNumId w:val="48"/>
  </w:num>
  <w:num w:numId="119" w16cid:durableId="2055809532">
    <w:abstractNumId w:val="35"/>
  </w:num>
  <w:num w:numId="120" w16cid:durableId="1786804209">
    <w:abstractNumId w:val="110"/>
  </w:num>
  <w:num w:numId="121" w16cid:durableId="1527062647">
    <w:abstractNumId w:val="23"/>
  </w:num>
  <w:num w:numId="122" w16cid:durableId="138957029">
    <w:abstractNumId w:val="16"/>
  </w:num>
  <w:num w:numId="123" w16cid:durableId="617181273">
    <w:abstractNumId w:val="66"/>
  </w:num>
  <w:num w:numId="124" w16cid:durableId="668560234">
    <w:abstractNumId w:val="53"/>
  </w:num>
  <w:num w:numId="125" w16cid:durableId="1254823963">
    <w:abstractNumId w:val="49"/>
  </w:num>
  <w:num w:numId="126" w16cid:durableId="886572085">
    <w:abstractNumId w:val="37"/>
  </w:num>
  <w:num w:numId="127" w16cid:durableId="710687303">
    <w:abstractNumId w:val="13"/>
  </w:num>
  <w:num w:numId="128" w16cid:durableId="309361897">
    <w:abstractNumId w:val="5"/>
  </w:num>
  <w:num w:numId="129" w16cid:durableId="763771183">
    <w:abstractNumId w:val="39"/>
  </w:num>
  <w:num w:numId="130" w16cid:durableId="746656980">
    <w:abstractNumId w:val="28"/>
    <w:lvlOverride w:ilvl="0">
      <w:startOverride w:val="1"/>
    </w:lvlOverride>
  </w:num>
  <w:num w:numId="131" w16cid:durableId="1607424970">
    <w:abstractNumId w:val="102"/>
  </w:num>
  <w:num w:numId="132" w16cid:durableId="1223056340">
    <w:abstractNumId w:val="41"/>
    <w:lvlOverride w:ilvl="0">
      <w:startOverride w:val="5"/>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it-IT" w:vendorID="64" w:dllVersion="0" w:nlCheck="1" w:checkStyle="0"/>
  <w:activeWritingStyle w:appName="MSWord" w:lang="de-DE" w:vendorID="64" w:dllVersion="0" w:nlCheck="1" w:checkStyle="0"/>
  <w:activeWritingStyle w:appName="MSWord" w:lang="nl-NL" w:vendorID="64" w:dllVersion="0" w:nlCheck="1" w:checkStyle="0"/>
  <w:activeWritingStyle w:appName="MSWord" w:lang="en-IE"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365"/>
    <w:rsid w:val="001D5AD9"/>
    <w:rsid w:val="003710A1"/>
    <w:rsid w:val="003C254C"/>
    <w:rsid w:val="00467ED4"/>
    <w:rsid w:val="00616885"/>
    <w:rsid w:val="00B97365"/>
    <w:rsid w:val="00C22F3F"/>
    <w:rsid w:val="00D639F6"/>
    <w:rsid w:val="00F87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C41CD"/>
  <w15:docId w15:val="{7CD1764E-1602-46BE-8D33-72DF49B4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iPriority="0" w:unhideWhenUsed="1"/>
    <w:lsdException w:name="header" w:semiHidden="1" w:uiPriority="23" w:unhideWhenUsed="1"/>
    <w:lsdException w:name="footer" w:semiHidden="1" w:uiPriority="24"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1"/>
    <w:qFormat/>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1"/>
    <w:qFormat/>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1"/>
    <w:qFormat/>
    <w:pPr>
      <w:numPr>
        <w:ilvl w:val="2"/>
      </w:numPr>
      <w:outlineLvl w:val="2"/>
    </w:pPr>
    <w:rPr>
      <w:szCs w:val="26"/>
    </w:rPr>
  </w:style>
  <w:style w:type="paragraph" w:styleId="Heading4">
    <w:name w:val="heading 4"/>
    <w:basedOn w:val="Heading3"/>
    <w:next w:val="NormalParagraph"/>
    <w:link w:val="Heading4Char"/>
    <w:uiPriority w:val="1"/>
    <w:qFormat/>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pPr>
      <w:numPr>
        <w:ilvl w:val="4"/>
      </w:numPr>
      <w:outlineLvl w:val="4"/>
    </w:pPr>
    <w:rPr>
      <w:bCs/>
      <w:iCs w:val="0"/>
      <w:szCs w:val="26"/>
      <w:lang w:val="en-US"/>
    </w:rPr>
  </w:style>
  <w:style w:type="paragraph" w:styleId="Heading6">
    <w:name w:val="heading 6"/>
    <w:basedOn w:val="Heading5"/>
    <w:next w:val="NormalParagraph"/>
    <w:link w:val="Heading6Char"/>
    <w:uiPriority w:val="1"/>
    <w:qFormat/>
    <w:pPr>
      <w:numPr>
        <w:ilvl w:val="5"/>
      </w:numPr>
      <w:outlineLvl w:val="5"/>
    </w:pPr>
    <w:rPr>
      <w:bCs w:val="0"/>
      <w:szCs w:val="22"/>
    </w:rPr>
  </w:style>
  <w:style w:type="paragraph" w:styleId="Heading7">
    <w:name w:val="heading 7"/>
    <w:basedOn w:val="Normal"/>
    <w:next w:val="Normal"/>
    <w:link w:val="Heading7Char"/>
    <w:uiPriority w:val="1"/>
    <w:qFormat/>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1"/>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1"/>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1"/>
    <w:rPr>
      <w:rFonts w:ascii="Arial" w:eastAsia="Times New Roman" w:hAnsi="Arial" w:cs="Arial"/>
      <w:b/>
      <w:bCs/>
      <w:iCs/>
      <w:sz w:val="24"/>
      <w:szCs w:val="26"/>
      <w:lang w:eastAsia="en-US" w:bidi="bn-BD"/>
    </w:rPr>
  </w:style>
  <w:style w:type="character" w:customStyle="1" w:styleId="Heading4Char">
    <w:name w:val="Heading 4 Char"/>
    <w:link w:val="Heading4"/>
    <w:uiPriority w:val="1"/>
    <w:rPr>
      <w:rFonts w:ascii="Arial Bold" w:eastAsia="Times New Roman" w:hAnsi="Arial Bold" w:cs="Arial"/>
      <w:b/>
      <w:iCs/>
      <w:sz w:val="22"/>
      <w:szCs w:val="28"/>
      <w:lang w:eastAsia="en-US" w:bidi="bn-BD"/>
    </w:rPr>
  </w:style>
  <w:style w:type="character" w:customStyle="1" w:styleId="Heading5Char">
    <w:name w:val="Heading 5 Char"/>
    <w:link w:val="Heading5"/>
    <w:uiPriority w:val="1"/>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Pr>
      <w:rFonts w:ascii="Arial" w:eastAsia="Times New Roman" w:hAnsi="Arial"/>
      <w:i/>
      <w:sz w:val="22"/>
      <w:lang w:eastAsia="en-US" w:bidi="bn-BD"/>
    </w:rPr>
  </w:style>
  <w:style w:type="character" w:customStyle="1" w:styleId="Heading8Char">
    <w:name w:val="Heading 8 Char"/>
    <w:link w:val="Heading8"/>
    <w:uiPriority w:val="1"/>
    <w:rPr>
      <w:rFonts w:ascii="Arial" w:eastAsia="Times New Roman" w:hAnsi="Arial"/>
      <w:i/>
      <w:iCs/>
      <w:sz w:val="22"/>
      <w:lang w:val="en-US" w:eastAsia="en-US" w:bidi="bn-BD"/>
    </w:rPr>
  </w:style>
  <w:style w:type="character" w:customStyle="1" w:styleId="Heading9Char">
    <w:name w:val="Heading 9 Char"/>
    <w:link w:val="Heading9"/>
    <w:uiPriority w:val="1"/>
    <w:rPr>
      <w:rFonts w:ascii="Arial" w:eastAsia="Times New Roman" w:hAnsi="Arial" w:cs="Arial"/>
      <w:i/>
      <w:sz w:val="22"/>
      <w:szCs w:val="22"/>
      <w:lang w:val="fr-FR" w:eastAsia="en-US" w:bidi="bn-BD"/>
    </w:rPr>
  </w:style>
  <w:style w:type="paragraph" w:styleId="Title">
    <w:name w:val="Title"/>
    <w:basedOn w:val="Normal"/>
    <w:link w:val="TitleChar"/>
    <w:uiPriority w:val="27"/>
    <w:qFormat/>
    <w:pPr>
      <w:spacing w:after="60"/>
      <w:jc w:val="right"/>
    </w:pPr>
    <w:rPr>
      <w:b/>
      <w:bCs/>
      <w:kern w:val="28"/>
      <w:sz w:val="32"/>
      <w:szCs w:val="32"/>
    </w:rPr>
  </w:style>
  <w:style w:type="character" w:customStyle="1" w:styleId="TitleChar">
    <w:name w:val="Title Char"/>
    <w:link w:val="Title"/>
    <w:uiPriority w:val="27"/>
    <w:rPr>
      <w:rFonts w:ascii="Arial" w:eastAsia="SimSun" w:hAnsi="Arial"/>
      <w:b/>
      <w:bCs/>
      <w:kern w:val="28"/>
      <w:sz w:val="32"/>
      <w:szCs w:val="32"/>
      <w:lang w:eastAsia="zh-CN" w:bidi="bn-BD"/>
    </w:rPr>
  </w:style>
  <w:style w:type="paragraph" w:styleId="TOC1">
    <w:name w:val="toc 1"/>
    <w:basedOn w:val="NormalParagraph"/>
    <w:next w:val="NormalParagraph"/>
    <w:uiPriority w:val="39"/>
    <w:pPr>
      <w:tabs>
        <w:tab w:val="left" w:pos="397"/>
        <w:tab w:val="right" w:pos="9015"/>
      </w:tabs>
      <w:spacing w:after="40"/>
      <w:ind w:left="397" w:right="680" w:hanging="397"/>
    </w:pPr>
    <w:rPr>
      <w:b/>
      <w:noProof/>
      <w:lang w:eastAsia="zh-CN" w:bidi="bn-BD"/>
    </w:rPr>
  </w:style>
  <w:style w:type="paragraph" w:styleId="TOC2">
    <w:name w:val="toc 2"/>
    <w:basedOn w:val="TOC1"/>
    <w:uiPriority w:val="39"/>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pPr>
      <w:tabs>
        <w:tab w:val="clear" w:pos="993"/>
        <w:tab w:val="left" w:pos="1276"/>
      </w:tabs>
      <w:ind w:left="1248" w:hanging="851"/>
    </w:pPr>
  </w:style>
  <w:style w:type="paragraph" w:customStyle="1" w:styleId="ListBulletsub">
    <w:name w:val="List Bullet (sub)"/>
    <w:basedOn w:val="ListBullet3"/>
    <w:link w:val="ListBulletsubChar"/>
    <w:uiPriority w:val="5"/>
    <w:qFormat/>
    <w:pPr>
      <w:numPr>
        <w:ilvl w:val="3"/>
      </w:numPr>
      <w:tabs>
        <w:tab w:val="clear" w:pos="1361"/>
        <w:tab w:val="left" w:pos="1701"/>
      </w:tabs>
    </w:pPr>
  </w:style>
  <w:style w:type="paragraph" w:styleId="Header">
    <w:name w:val="header"/>
    <w:basedOn w:val="NormalParagraph"/>
    <w:link w:val="HeaderChar"/>
    <w:uiPriority w:val="23"/>
    <w:pPr>
      <w:tabs>
        <w:tab w:val="right" w:pos="8931"/>
        <w:tab w:val="right" w:pos="13892"/>
      </w:tabs>
      <w:contextualSpacing/>
    </w:pPr>
    <w:rPr>
      <w:sz w:val="20"/>
    </w:rPr>
  </w:style>
  <w:style w:type="character" w:customStyle="1" w:styleId="HeaderChar">
    <w:name w:val="Header Char"/>
    <w:link w:val="Header"/>
    <w:uiPriority w:val="23"/>
    <w:rPr>
      <w:rFonts w:ascii="Arial" w:eastAsia="SimSun" w:hAnsi="Arial"/>
      <w:szCs w:val="22"/>
    </w:rPr>
  </w:style>
  <w:style w:type="paragraph" w:customStyle="1" w:styleId="ListBullet1">
    <w:name w:val="List Bullet 1"/>
    <w:basedOn w:val="NormalParagraph"/>
    <w:uiPriority w:val="2"/>
    <w:qFormat/>
    <w:pPr>
      <w:numPr>
        <w:numId w:val="17"/>
      </w:numPr>
      <w:tabs>
        <w:tab w:val="left" w:pos="680"/>
      </w:tabs>
      <w:contextualSpacing/>
    </w:pPr>
  </w:style>
  <w:style w:type="paragraph" w:styleId="ListBullet2">
    <w:name w:val="List Bullet 2"/>
    <w:basedOn w:val="ListBullet1"/>
    <w:uiPriority w:val="2"/>
    <w:qFormat/>
    <w:pPr>
      <w:numPr>
        <w:ilvl w:val="1"/>
      </w:numPr>
      <w:tabs>
        <w:tab w:val="clear" w:pos="680"/>
        <w:tab w:val="left" w:pos="1021"/>
      </w:tabs>
    </w:pPr>
  </w:style>
  <w:style w:type="paragraph" w:customStyle="1" w:styleId="DocInfo">
    <w:name w:val="Doc Info"/>
    <w:basedOn w:val="NormalParagraph"/>
    <w:next w:val="CSLegal3"/>
    <w:uiPriority w:val="29"/>
    <w:pPr>
      <w:spacing w:before="240" w:after="60"/>
    </w:pPr>
    <w:rPr>
      <w:b/>
      <w:sz w:val="24"/>
    </w:rPr>
  </w:style>
  <w:style w:type="paragraph" w:customStyle="1" w:styleId="TableHeader">
    <w:name w:val="Table Header"/>
    <w:basedOn w:val="NormalParagraph"/>
    <w:uiPriority w:val="18"/>
    <w:qFormat/>
    <w:pPr>
      <w:keepNext/>
      <w:spacing w:before="60" w:after="0"/>
    </w:pPr>
    <w:rPr>
      <w:rFonts w:cs="Arial"/>
      <w:b/>
      <w:color w:val="FFFFFF"/>
      <w:lang w:val="en-US"/>
    </w:rPr>
  </w:style>
  <w:style w:type="character" w:styleId="Hyperlink">
    <w:name w:val="Hyperlink"/>
    <w:uiPriority w:val="99"/>
    <w:unhideWhenUsed/>
    <w:rPr>
      <w:color w:val="0000FF"/>
      <w:u w:val="single"/>
    </w:rPr>
  </w:style>
  <w:style w:type="paragraph" w:customStyle="1" w:styleId="Centredtext">
    <w:name w:val="Centred text"/>
    <w:basedOn w:val="NormalParagraph"/>
    <w:uiPriority w:val="27"/>
    <w:pPr>
      <w:keepNext/>
      <w:jc w:val="center"/>
    </w:pPr>
    <w:rPr>
      <w:lang w:eastAsia="zh-CN" w:bidi="bn-BD"/>
    </w:rPr>
  </w:style>
  <w:style w:type="paragraph" w:customStyle="1" w:styleId="Disclaimer">
    <w:name w:val="Disclaimer"/>
    <w:basedOn w:val="NormalParagraph"/>
    <w:next w:val="NormalParagraph"/>
    <w:uiPriority w:val="28"/>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Pr>
      <w:rFonts w:ascii="Arial" w:eastAsia="SimSun" w:hAnsi="Arial"/>
      <w:sz w:val="22"/>
      <w:szCs w:val="22"/>
    </w:rPr>
  </w:style>
  <w:style w:type="paragraph" w:customStyle="1" w:styleId="TableText">
    <w:name w:val="Table Text"/>
    <w:basedOn w:val="NormalParagraph"/>
    <w:link w:val="TableTextChar"/>
    <w:uiPriority w:val="19"/>
    <w:qFormat/>
    <w:pPr>
      <w:spacing w:before="40" w:after="40"/>
    </w:pPr>
    <w:rPr>
      <w:sz w:val="20"/>
      <w:lang w:eastAsia="de-DE"/>
    </w:rPr>
  </w:style>
  <w:style w:type="paragraph" w:customStyle="1" w:styleId="CSLegal3">
    <w:name w:val="CS_Legal3"/>
    <w:basedOn w:val="NormalParagraph"/>
    <w:uiPriority w:val="30"/>
    <w:pPr>
      <w:spacing w:after="120"/>
    </w:pPr>
    <w:rPr>
      <w:rFonts w:eastAsia="Arial"/>
      <w:snapToGrid w:val="0"/>
      <w:sz w:val="14"/>
    </w:rPr>
  </w:style>
  <w:style w:type="paragraph" w:customStyle="1" w:styleId="Listletter">
    <w:name w:val="List letter"/>
    <w:basedOn w:val="NormalParagraph"/>
    <w:uiPriority w:val="7"/>
    <w:qFormat/>
    <w:pPr>
      <w:numPr>
        <w:ilvl w:val="1"/>
        <w:numId w:val="12"/>
      </w:numPr>
      <w:ind w:left="1020"/>
      <w:contextualSpacing/>
    </w:pPr>
  </w:style>
  <w:style w:type="paragraph" w:styleId="ListBullet3">
    <w:name w:val="List Bullet 3"/>
    <w:basedOn w:val="ListBullet2"/>
    <w:uiPriority w:val="2"/>
    <w:qFormat/>
    <w:pPr>
      <w:numPr>
        <w:ilvl w:val="2"/>
      </w:numPr>
      <w:tabs>
        <w:tab w:val="clear" w:pos="1021"/>
        <w:tab w:val="left" w:pos="1361"/>
      </w:tabs>
    </w:pPr>
  </w:style>
  <w:style w:type="paragraph" w:styleId="BalloonText">
    <w:name w:val="Balloon Text"/>
    <w:basedOn w:val="Normal"/>
    <w:link w:val="BalloonTextChar"/>
    <w:uiPriority w:val="99"/>
    <w:semiHidden/>
    <w:unhideWhenUsed/>
    <w:pPr>
      <w:spacing w:before="0"/>
    </w:pPr>
    <w:rPr>
      <w:rFonts w:ascii="Tahoma" w:hAnsi="Tahoma" w:cs="Tahoma"/>
      <w:sz w:val="16"/>
    </w:rPr>
  </w:style>
  <w:style w:type="paragraph" w:styleId="ListNumber">
    <w:name w:val="List Number"/>
    <w:basedOn w:val="Normal"/>
    <w:uiPriority w:val="6"/>
    <w:qFormat/>
    <w:pPr>
      <w:numPr>
        <w:numId w:val="12"/>
      </w:numPr>
      <w:spacing w:before="0" w:after="200" w:line="276" w:lineRule="auto"/>
      <w:contextualSpacing/>
    </w:pPr>
  </w:style>
  <w:style w:type="paragraph" w:customStyle="1" w:styleId="Figurecaption">
    <w:name w:val="Figure caption"/>
    <w:basedOn w:val="NormalParagraph"/>
    <w:uiPriority w:val="12"/>
    <w:qFormat/>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pPr>
      <w:ind w:left="227"/>
    </w:pPr>
  </w:style>
  <w:style w:type="paragraph" w:customStyle="1" w:styleId="ListParagraphletter">
    <w:name w:val="List Paragraph letter"/>
    <w:basedOn w:val="Listletter"/>
    <w:uiPriority w:val="9"/>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pPr>
      <w:keepNext/>
      <w:pageBreakBefore/>
    </w:pPr>
    <w:rPr>
      <w:b/>
      <w:sz w:val="28"/>
    </w:rPr>
  </w:style>
  <w:style w:type="paragraph" w:styleId="ListParagraph">
    <w:name w:val="List Paragraph"/>
    <w:basedOn w:val="ListNumber"/>
    <w:uiPriority w:val="34"/>
    <w:qFormat/>
    <w:pPr>
      <w:numPr>
        <w:numId w:val="2"/>
      </w:numPr>
      <w:tabs>
        <w:tab w:val="clear" w:pos="360"/>
        <w:tab w:val="left" w:pos="340"/>
      </w:tabs>
      <w:ind w:left="680" w:hanging="340"/>
    </w:pPr>
  </w:style>
  <w:style w:type="paragraph" w:customStyle="1" w:styleId="ASN1Code">
    <w:name w:val="ASN.1 Code"/>
    <w:link w:val="ASN1CodeChar"/>
    <w:uiPriority w:val="16"/>
    <w:qFormat/>
    <w:pPr>
      <w:spacing w:line="276" w:lineRule="auto"/>
    </w:pPr>
    <w:rPr>
      <w:rFonts w:ascii="Courier New" w:eastAsia="SimSun" w:hAnsi="Courier New"/>
      <w:szCs w:val="22"/>
    </w:rPr>
  </w:style>
  <w:style w:type="paragraph" w:customStyle="1" w:styleId="XML">
    <w:name w:val="XML"/>
    <w:link w:val="XMLChar"/>
    <w:uiPriority w:val="17"/>
    <w:qFormat/>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Pr>
      <w:rFonts w:ascii="Courier New" w:eastAsia="SimSun" w:hAnsi="Courier New"/>
      <w:szCs w:val="22"/>
    </w:rPr>
  </w:style>
  <w:style w:type="paragraph" w:customStyle="1" w:styleId="Annex">
    <w:name w:val="Annex"/>
    <w:next w:val="ANNEX-heading1"/>
    <w:uiPriority w:val="25"/>
    <w:qFormat/>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pPr>
      <w:numPr>
        <w:numId w:val="5"/>
      </w:numPr>
    </w:pPr>
  </w:style>
  <w:style w:type="numbering" w:customStyle="1" w:styleId="ListBullets">
    <w:name w:val="ListBullets"/>
    <w:uiPriority w:val="99"/>
    <w:pPr>
      <w:numPr>
        <w:numId w:val="9"/>
      </w:numPr>
    </w:pPr>
  </w:style>
  <w:style w:type="paragraph" w:customStyle="1" w:styleId="TableBulletText">
    <w:name w:val="Table Bullet Text"/>
    <w:basedOn w:val="TableText"/>
    <w:link w:val="TableBulletTextChar"/>
    <w:uiPriority w:val="21"/>
    <w:qFormat/>
    <w:pPr>
      <w:numPr>
        <w:numId w:val="7"/>
      </w:numPr>
      <w:tabs>
        <w:tab w:val="left" w:pos="454"/>
      </w:tabs>
      <w:ind w:left="454" w:hanging="227"/>
    </w:pPr>
  </w:style>
  <w:style w:type="character" w:customStyle="1" w:styleId="TableTextChar">
    <w:name w:val="Table Text Char"/>
    <w:link w:val="TableText"/>
    <w:uiPriority w:val="19"/>
    <w:rPr>
      <w:rFonts w:ascii="Arial" w:eastAsia="SimSun" w:hAnsi="Arial"/>
      <w:szCs w:val="22"/>
      <w:lang w:eastAsia="de-DE"/>
    </w:rPr>
  </w:style>
  <w:style w:type="character" w:customStyle="1" w:styleId="TableIndentedTextChar">
    <w:name w:val="Table Indented Text Char"/>
    <w:link w:val="TableIndentedText"/>
    <w:uiPriority w:val="20"/>
    <w:rPr>
      <w:rFonts w:ascii="Arial" w:eastAsia="SimSun" w:hAnsi="Arial"/>
      <w:szCs w:val="22"/>
      <w:lang w:eastAsia="de-DE"/>
    </w:rPr>
  </w:style>
  <w:style w:type="character" w:customStyle="1" w:styleId="TableBulletTextChar">
    <w:name w:val="Table Bullet Text Char"/>
    <w:link w:val="TableBulletText"/>
    <w:uiPriority w:val="21"/>
    <w:rPr>
      <w:rFonts w:ascii="Arial" w:eastAsia="SimSun" w:hAnsi="Arial"/>
      <w:szCs w:val="22"/>
      <w:lang w:eastAsia="de-DE"/>
    </w:rPr>
  </w:style>
  <w:style w:type="paragraph" w:customStyle="1" w:styleId="CSDocNo">
    <w:name w:val="CS DocNo"/>
    <w:uiPriority w:val="99"/>
    <w:unhideWhenUsed/>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Pr>
      <w:rFonts w:ascii="Tahoma" w:eastAsia="SimSun" w:hAnsi="Tahoma" w:cs="Tahoma"/>
      <w:sz w:val="16"/>
      <w:lang w:eastAsia="zh-CN" w:bidi="bn-BD"/>
    </w:rPr>
  </w:style>
  <w:style w:type="paragraph" w:customStyle="1" w:styleId="NOTE">
    <w:name w:val="NOTE"/>
    <w:basedOn w:val="NormalParagraph"/>
    <w:uiPriority w:val="14"/>
    <w:qFormat/>
    <w:pPr>
      <w:tabs>
        <w:tab w:val="left" w:pos="1560"/>
      </w:tabs>
      <w:ind w:left="1559" w:hanging="1202"/>
    </w:pPr>
  </w:style>
  <w:style w:type="paragraph" w:customStyle="1" w:styleId="EXAMPLE">
    <w:name w:val="EXAMPLE"/>
    <w:basedOn w:val="NormalParagraph"/>
    <w:uiPriority w:val="15"/>
    <w:qFormat/>
    <w:pPr>
      <w:tabs>
        <w:tab w:val="left" w:pos="1985"/>
      </w:tabs>
      <w:ind w:left="1984" w:hanging="1627"/>
    </w:pPr>
  </w:style>
  <w:style w:type="paragraph" w:customStyle="1" w:styleId="NormalParagraph">
    <w:name w:val="Normal Paragraph"/>
    <w:link w:val="NormalParagraphZchn"/>
    <w:qFormat/>
    <w:pPr>
      <w:spacing w:after="200" w:line="276" w:lineRule="auto"/>
    </w:pPr>
    <w:rPr>
      <w:rFonts w:ascii="Arial" w:eastAsia="SimSun" w:hAnsi="Arial"/>
      <w:sz w:val="22"/>
      <w:szCs w:val="22"/>
    </w:rPr>
  </w:style>
  <w:style w:type="paragraph" w:customStyle="1" w:styleId="CSDocTitle">
    <w:name w:val="CS DocTitle"/>
    <w:uiPriority w:val="29"/>
    <w:unhideWhenUsed/>
    <w:pPr>
      <w:spacing w:before="360" w:after="120"/>
      <w:ind w:left="284"/>
    </w:pPr>
    <w:rPr>
      <w:rFonts w:ascii="Arial" w:eastAsia="Times New Roman" w:hAnsi="Arial"/>
      <w:b/>
      <w:sz w:val="36"/>
      <w:lang w:val="en-IE" w:eastAsia="en-US"/>
    </w:rPr>
  </w:style>
  <w:style w:type="paragraph" w:customStyle="1" w:styleId="CSFieldInfo">
    <w:name w:val="CS FieldInfo"/>
    <w:uiPriority w:val="99"/>
    <w:unhideWhenUsed/>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99"/>
    <w:unhideWhenUsed/>
    <w:rPr>
      <w:rFonts w:ascii="Arial" w:eastAsia="Times New Roman" w:hAnsi="Arial" w:cs="Arial"/>
      <w:bCs/>
      <w:szCs w:val="22"/>
      <w:lang w:eastAsia="en-US"/>
    </w:rPr>
  </w:style>
  <w:style w:type="paragraph" w:customStyle="1" w:styleId="CSLegalTxt">
    <w:name w:val="CS LegalTxt"/>
    <w:uiPriority w:val="99"/>
    <w:unhideWhenUsed/>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pPr>
      <w:spacing w:line="360" w:lineRule="auto"/>
    </w:pPr>
    <w:rPr>
      <w:b/>
    </w:rPr>
  </w:style>
  <w:style w:type="paragraph" w:customStyle="1" w:styleId="CSLegal1">
    <w:name w:val="CS_Legal1"/>
    <w:basedOn w:val="Normal"/>
    <w:uiPriority w:val="29"/>
    <w:rPr>
      <w:b/>
      <w:bCs/>
      <w:i/>
      <w:iCs/>
      <w:sz w:val="20"/>
    </w:rPr>
  </w:style>
  <w:style w:type="paragraph" w:customStyle="1" w:styleId="CSLegal2">
    <w:name w:val="CS_Legal2"/>
    <w:basedOn w:val="Normal"/>
    <w:uiPriority w:val="29"/>
    <w:rPr>
      <w:rFonts w:eastAsia="Arial"/>
      <w:b/>
      <w:snapToGrid w:val="0"/>
      <w:sz w:val="14"/>
      <w:szCs w:val="22"/>
      <w:u w:val="single"/>
    </w:rPr>
  </w:style>
  <w:style w:type="paragraph" w:styleId="Footer">
    <w:name w:val="footer"/>
    <w:basedOn w:val="NormalParagraph"/>
    <w:link w:val="FooterChar"/>
    <w:uiPriority w:val="24"/>
    <w:pPr>
      <w:tabs>
        <w:tab w:val="right" w:pos="8930"/>
        <w:tab w:val="right" w:pos="13892"/>
      </w:tabs>
      <w:contextualSpacing/>
    </w:pPr>
    <w:rPr>
      <w:sz w:val="20"/>
    </w:rPr>
  </w:style>
  <w:style w:type="character" w:customStyle="1" w:styleId="FooterChar">
    <w:name w:val="Footer Char"/>
    <w:link w:val="Footer"/>
    <w:uiPriority w:val="24"/>
    <w:rPr>
      <w:rFonts w:ascii="Arial" w:eastAsia="SimSun" w:hAnsi="Arial"/>
      <w:szCs w:val="22"/>
    </w:rPr>
  </w:style>
  <w:style w:type="numbering" w:customStyle="1" w:styleId="ListNumbers">
    <w:name w:val="ListNumbers"/>
    <w:uiPriority w:val="99"/>
    <w:pPr>
      <w:numPr>
        <w:numId w:val="10"/>
      </w:numPr>
    </w:pPr>
  </w:style>
  <w:style w:type="paragraph" w:styleId="FootnoteText">
    <w:name w:val="footnote text"/>
    <w:basedOn w:val="NormalParagraph"/>
    <w:link w:val="FootnoteTextChar"/>
    <w:uiPriority w:val="17"/>
    <w:pPr>
      <w:spacing w:after="120"/>
    </w:pPr>
    <w:rPr>
      <w:sz w:val="20"/>
      <w:szCs w:val="25"/>
    </w:rPr>
  </w:style>
  <w:style w:type="character" w:customStyle="1" w:styleId="FootnoteTextChar">
    <w:name w:val="Footnote Text Char"/>
    <w:link w:val="FootnoteText"/>
    <w:uiPriority w:val="17"/>
    <w:rPr>
      <w:rFonts w:ascii="Arial" w:eastAsia="SimSun" w:hAnsi="Arial"/>
      <w:szCs w:val="25"/>
    </w:rPr>
  </w:style>
  <w:style w:type="character" w:styleId="FootnoteReference">
    <w:name w:val="footnote reference"/>
    <w:uiPriority w:val="99"/>
    <w:semiHidden/>
    <w:unhideWhenUsed/>
    <w:rPr>
      <w:vertAlign w:val="superscript"/>
    </w:rPr>
  </w:style>
  <w:style w:type="paragraph" w:styleId="ListBullet">
    <w:name w:val="List Bullet"/>
    <w:basedOn w:val="Normal"/>
    <w:uiPriority w:val="99"/>
    <w:semiHidden/>
    <w:pPr>
      <w:numPr>
        <w:numId w:val="4"/>
      </w:numPr>
      <w:contextualSpacing/>
    </w:pPr>
  </w:style>
  <w:style w:type="paragraph" w:styleId="ListContinue">
    <w:name w:val="List Continue"/>
    <w:basedOn w:val="ListBullet1"/>
    <w:uiPriority w:val="99"/>
    <w:semiHidden/>
    <w:pPr>
      <w:spacing w:after="120"/>
    </w:pPr>
  </w:style>
  <w:style w:type="paragraph" w:customStyle="1" w:styleId="ListContinue1">
    <w:name w:val="List Continue 1"/>
    <w:basedOn w:val="ListBullet1"/>
    <w:uiPriority w:val="10"/>
    <w:qFormat/>
    <w:pPr>
      <w:numPr>
        <w:numId w:val="0"/>
      </w:numPr>
      <w:ind w:left="680"/>
    </w:pPr>
  </w:style>
  <w:style w:type="paragraph" w:styleId="ListContinue2">
    <w:name w:val="List Continue 2"/>
    <w:basedOn w:val="ListBullet2"/>
    <w:uiPriority w:val="10"/>
    <w:pPr>
      <w:numPr>
        <w:ilvl w:val="0"/>
        <w:numId w:val="0"/>
      </w:numPr>
      <w:ind w:left="1021"/>
    </w:pPr>
  </w:style>
  <w:style w:type="paragraph" w:styleId="ListContinue3">
    <w:name w:val="List Continue 3"/>
    <w:basedOn w:val="ListBullet3"/>
    <w:uiPriority w:val="10"/>
    <w:pPr>
      <w:numPr>
        <w:ilvl w:val="0"/>
        <w:numId w:val="0"/>
      </w:numPr>
      <w:ind w:left="1361"/>
    </w:pPr>
  </w:style>
  <w:style w:type="paragraph" w:customStyle="1" w:styleId="ListBulletsubcontinue">
    <w:name w:val="List Bullet (sub) continue"/>
    <w:basedOn w:val="ListBulletsub"/>
    <w:uiPriority w:val="11"/>
    <w:qFormat/>
    <w:pPr>
      <w:numPr>
        <w:ilvl w:val="0"/>
        <w:numId w:val="0"/>
      </w:numPr>
      <w:ind w:left="1701"/>
    </w:pPr>
  </w:style>
  <w:style w:type="paragraph" w:customStyle="1" w:styleId="ANNEX-heading1">
    <w:name w:val="ANNEX-heading1"/>
    <w:basedOn w:val="Annex"/>
    <w:next w:val="NormalParagraph"/>
    <w:uiPriority w:val="26"/>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pPr>
      <w:numPr>
        <w:ilvl w:val="2"/>
      </w:numPr>
      <w:outlineLvl w:val="2"/>
    </w:pPr>
    <w:rPr>
      <w:b w:val="0"/>
    </w:rPr>
  </w:style>
  <w:style w:type="paragraph" w:customStyle="1" w:styleId="ANNEX-heading3">
    <w:name w:val="ANNEX-heading3"/>
    <w:basedOn w:val="ANNEX-heading2"/>
    <w:next w:val="NormalParagraph"/>
    <w:uiPriority w:val="26"/>
    <w:pPr>
      <w:numPr>
        <w:ilvl w:val="3"/>
      </w:numPr>
      <w:outlineLvl w:val="3"/>
    </w:pPr>
    <w:rPr>
      <w:sz w:val="22"/>
      <w:szCs w:val="22"/>
      <w:lang w:val="fr-FR"/>
    </w:rPr>
  </w:style>
  <w:style w:type="paragraph" w:customStyle="1" w:styleId="ANNEX-heading4">
    <w:name w:val="ANNEX-heading4"/>
    <w:basedOn w:val="ANNEX-heading3"/>
    <w:next w:val="NormalParagraph"/>
    <w:uiPriority w:val="26"/>
    <w:pPr>
      <w:numPr>
        <w:ilvl w:val="4"/>
      </w:numPr>
      <w:outlineLvl w:val="4"/>
    </w:pPr>
  </w:style>
  <w:style w:type="paragraph" w:customStyle="1" w:styleId="ANNEX-heading5">
    <w:name w:val="ANNEX-heading5"/>
    <w:basedOn w:val="ANNEX-heading4"/>
    <w:next w:val="NormalParagraph"/>
    <w:uiPriority w:val="26"/>
    <w:pPr>
      <w:numPr>
        <w:ilvl w:val="5"/>
      </w:numPr>
      <w:outlineLvl w:val="5"/>
    </w:pPr>
  </w:style>
  <w:style w:type="paragraph" w:styleId="TOC4">
    <w:name w:val="toc 4"/>
    <w:basedOn w:val="TOC3"/>
    <w:uiPriority w:val="39"/>
    <w:unhideWhenUsed/>
    <w:pPr>
      <w:tabs>
        <w:tab w:val="clear" w:pos="1276"/>
        <w:tab w:val="left" w:pos="1701"/>
      </w:tabs>
      <w:ind w:left="1701" w:hanging="1275"/>
    </w:pPr>
  </w:style>
  <w:style w:type="paragraph" w:styleId="TOC5">
    <w:name w:val="toc 5"/>
    <w:basedOn w:val="TOC4"/>
    <w:uiPriority w:val="39"/>
    <w:unhideWhenUsed/>
    <w:pPr>
      <w:tabs>
        <w:tab w:val="clear" w:pos="1701"/>
        <w:tab w:val="left" w:pos="2127"/>
      </w:tabs>
      <w:ind w:left="2127" w:hanging="1701"/>
    </w:pPr>
  </w:style>
  <w:style w:type="paragraph" w:styleId="TOC6">
    <w:name w:val="toc 6"/>
    <w:basedOn w:val="TOC5"/>
    <w:uiPriority w:val="39"/>
    <w:unhideWhenUsed/>
    <w:pPr>
      <w:tabs>
        <w:tab w:val="clear" w:pos="2127"/>
        <w:tab w:val="left" w:pos="2552"/>
      </w:tabs>
      <w:ind w:left="2552" w:hanging="2126"/>
    </w:pPr>
  </w:style>
  <w:style w:type="paragraph" w:styleId="TOC9">
    <w:name w:val="toc 9"/>
    <w:basedOn w:val="Normal"/>
    <w:next w:val="Normal"/>
    <w:autoRedefine/>
    <w:uiPriority w:val="39"/>
    <w:unhideWhenUsed/>
    <w:pPr>
      <w:ind w:left="1760"/>
    </w:pPr>
  </w:style>
  <w:style w:type="character" w:styleId="PlaceholderText">
    <w:name w:val="Placeholder Text"/>
    <w:basedOn w:val="DefaultParagraphFont"/>
    <w:uiPriority w:val="99"/>
    <w:semiHidden/>
    <w:rPr>
      <w:color w:val="808080"/>
    </w:rPr>
  </w:style>
  <w:style w:type="paragraph" w:customStyle="1" w:styleId="Legalclauselevel1">
    <w:name w:val="Legal clause level 1"/>
    <w:uiPriority w:val="30"/>
    <w:qFormat/>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pPr>
      <w:numPr>
        <w:ilvl w:val="1"/>
        <w:numId w:val="16"/>
      </w:numPr>
      <w:outlineLvl w:val="9"/>
    </w:pPr>
    <w:rPr>
      <w:b w:val="0"/>
      <w:sz w:val="22"/>
      <w:szCs w:val="22"/>
    </w:rPr>
  </w:style>
  <w:style w:type="paragraph" w:customStyle="1" w:styleId="Legalclauselevel3">
    <w:name w:val="Legal clause level 3"/>
    <w:basedOn w:val="Legalclauselevel2"/>
    <w:uiPriority w:val="30"/>
    <w:qFormat/>
    <w:pPr>
      <w:numPr>
        <w:ilvl w:val="2"/>
      </w:numPr>
      <w:spacing w:line="276" w:lineRule="auto"/>
    </w:pPr>
    <w:rPr>
      <w:iCs/>
    </w:rPr>
  </w:style>
  <w:style w:type="paragraph" w:customStyle="1" w:styleId="Legalclauselevel4">
    <w:name w:val="Legal clause level 4"/>
    <w:basedOn w:val="Legalclauselevel3"/>
    <w:uiPriority w:val="30"/>
    <w:qFormat/>
    <w:pPr>
      <w:numPr>
        <w:ilvl w:val="3"/>
      </w:numPr>
      <w:spacing w:after="120"/>
      <w:ind w:left="3118" w:hanging="992"/>
    </w:pPr>
  </w:style>
  <w:style w:type="paragraph" w:customStyle="1" w:styleId="TitleCentred">
    <w:name w:val="Title Centred"/>
    <w:basedOn w:val="Title"/>
    <w:next w:val="NormalParagraph"/>
    <w:uiPriority w:val="27"/>
    <w:qFormat/>
    <w:pPr>
      <w:spacing w:before="240" w:after="240"/>
      <w:jc w:val="center"/>
      <w:outlineLvl w:val="0"/>
    </w:pPr>
  </w:style>
  <w:style w:type="numbering" w:customStyle="1" w:styleId="LegalList">
    <w:name w:val="LegalList"/>
    <w:uiPriority w:val="99"/>
    <w:pPr>
      <w:numPr>
        <w:numId w:val="6"/>
      </w:numPr>
    </w:pPr>
  </w:style>
  <w:style w:type="paragraph" w:customStyle="1" w:styleId="Legaldefinition">
    <w:name w:val="Legal definition"/>
    <w:basedOn w:val="NOTE"/>
    <w:uiPriority w:val="31"/>
    <w:qFormat/>
    <w:pPr>
      <w:tabs>
        <w:tab w:val="clear" w:pos="1560"/>
        <w:tab w:val="left" w:pos="2835"/>
      </w:tabs>
      <w:ind w:left="2835" w:hanging="2268"/>
    </w:pPr>
  </w:style>
  <w:style w:type="numbering" w:customStyle="1" w:styleId="ListBullets1">
    <w:name w:val="ListBullets1"/>
    <w:uiPriority w:val="99"/>
  </w:style>
  <w:style w:type="numbering" w:customStyle="1" w:styleId="ListNumbers1">
    <w:name w:val="ListNumbers1"/>
    <w:uiPriority w:val="99"/>
  </w:style>
  <w:style w:type="paragraph" w:customStyle="1" w:styleId="Style1">
    <w:name w:val="Style1"/>
    <w:basedOn w:val="Centredtext"/>
    <w:uiPriority w:val="49"/>
    <w:qFormat/>
  </w:style>
  <w:style w:type="paragraph" w:styleId="Revision">
    <w:name w:val="Revision"/>
    <w:hidden/>
    <w:uiPriority w:val="99"/>
    <w:semiHidden/>
    <w:rPr>
      <w:rFonts w:ascii="Arial" w:hAnsi="Arial"/>
      <w:sz w:val="22"/>
      <w:szCs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rPr>
      <w:sz w:val="20"/>
      <w:szCs w:val="25"/>
    </w:rPr>
  </w:style>
  <w:style w:type="character" w:customStyle="1" w:styleId="CommentTextChar">
    <w:name w:val="Comment Text Char"/>
    <w:basedOn w:val="DefaultParagraphFont"/>
    <w:link w:val="CommentText"/>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SimSun" w:hAnsi="Arial"/>
      <w:b/>
      <w:bCs/>
      <w:szCs w:val="25"/>
      <w:lang w:eastAsia="zh-CN" w:bidi="bn-BD"/>
    </w:rPr>
  </w:style>
  <w:style w:type="paragraph" w:styleId="TOC7">
    <w:name w:val="toc 7"/>
    <w:basedOn w:val="Normal"/>
    <w:next w:val="Normal"/>
    <w:autoRedefine/>
    <w:uiPriority w:val="39"/>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uiPriority w:val="99"/>
    <w:pPr>
      <w:spacing w:line="276" w:lineRule="auto"/>
      <w:jc w:val="left"/>
    </w:pPr>
    <w:rPr>
      <w:rFonts w:ascii="Calibri" w:eastAsia="Times New Roman" w:hAnsi="Calibri"/>
      <w:sz w:val="20"/>
      <w:lang w:eastAsia="en-GB" w:bidi="ar-SA"/>
    </w:rPr>
  </w:style>
  <w:style w:type="paragraph" w:customStyle="1" w:styleId="GSMCoverImage">
    <w:name w:val="GSM Cover Image"/>
    <w:autoRedefine/>
    <w:uiPriority w:val="99"/>
    <w:pPr>
      <w:spacing w:before="960" w:after="240" w:line="276" w:lineRule="auto"/>
      <w:jc w:val="center"/>
    </w:pPr>
    <w:rPr>
      <w:rFonts w:eastAsia="Times New Roman" w:cs="Arial"/>
      <w:lang w:eastAsia="en-US"/>
    </w:rPr>
  </w:style>
  <w:style w:type="paragraph" w:customStyle="1" w:styleId="DocumentManagement">
    <w:name w:val="Document Management"/>
    <w:basedOn w:val="Heading1"/>
    <w:link w:val="DocumentManagementChar"/>
    <w:qFormat/>
    <w:pPr>
      <w:numPr>
        <w:numId w:val="0"/>
      </w:numPr>
      <w:spacing w:after="120"/>
      <w:ind w:left="854" w:hanging="854"/>
    </w:pPr>
    <w:rPr>
      <w:rFonts w:ascii="Calibri" w:hAnsi="Calibri"/>
      <w:lang w:bidi="ar-SA"/>
    </w:rPr>
  </w:style>
  <w:style w:type="paragraph" w:customStyle="1" w:styleId="Titlelabel">
    <w:name w:val="Title label"/>
    <w:basedOn w:val="Normal"/>
    <w:uiPriority w:val="99"/>
    <w:semiHidden/>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pPr>
      <w:numPr>
        <w:ilvl w:val="0"/>
        <w:numId w:val="0"/>
      </w:numPr>
      <w:spacing w:after="120"/>
      <w:ind w:left="854" w:hanging="854"/>
    </w:pPr>
    <w:rPr>
      <w:rFonts w:ascii="Calibri" w:hAnsi="Calibri"/>
      <w:lang w:bidi="ar-SA"/>
    </w:rPr>
  </w:style>
  <w:style w:type="character" w:styleId="PageNumber">
    <w:name w:val="page number"/>
    <w:semiHidden/>
  </w:style>
  <w:style w:type="paragraph" w:customStyle="1" w:styleId="CSSummary">
    <w:name w:val="CS_Summary"/>
    <w:basedOn w:val="Normal"/>
    <w:uiPriority w:val="99"/>
    <w:semiHidden/>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uiPriority w:val="99"/>
    <w:semiHidden/>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uiPriority w:val="99"/>
    <w:semiHidden/>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uiPriority w:val="99"/>
    <w:semiHidden/>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uiPriority w:val="99"/>
    <w:semiHidden/>
    <w:pPr>
      <w:framePr w:wrap="notBeside"/>
      <w:ind w:left="560" w:right="0"/>
    </w:pPr>
    <w:rPr>
      <w:rFonts w:eastAsia="Times New Roman"/>
      <w:snapToGrid/>
      <w:sz w:val="32"/>
      <w:lang w:val="en-IE"/>
    </w:rPr>
  </w:style>
  <w:style w:type="paragraph" w:customStyle="1" w:styleId="FrontMatter">
    <w:name w:val="Front Matter"/>
    <w:autoRedefine/>
    <w:uiPriority w:val="99"/>
    <w:pPr>
      <w:pBdr>
        <w:top w:val="single" w:sz="4" w:space="1" w:color="auto"/>
      </w:pBdr>
      <w:spacing w:before="60" w:after="60" w:line="276" w:lineRule="auto"/>
    </w:pPr>
    <w:rPr>
      <w:rFonts w:ascii="Arial" w:eastAsia="Times New Roman" w:hAnsi="Arial" w:cs="Arial"/>
      <w:b/>
      <w:sz w:val="24"/>
      <w:szCs w:val="24"/>
      <w:lang w:eastAsia="en-US"/>
    </w:rPr>
  </w:style>
  <w:style w:type="paragraph" w:styleId="DocumentMap">
    <w:name w:val="Document Map"/>
    <w:basedOn w:val="Normal"/>
    <w:link w:val="DocumentMapChar"/>
    <w:uiPriority w:val="99"/>
    <w:semiHidden/>
    <w:unhideWhenUsed/>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Pr>
      <w:rFonts w:eastAsia="Times New Roman" w:cs="Arial"/>
      <w:b/>
      <w:bCs/>
      <w:sz w:val="28"/>
      <w:szCs w:val="32"/>
      <w:lang w:eastAsia="en-US"/>
    </w:rPr>
  </w:style>
  <w:style w:type="paragraph" w:customStyle="1" w:styleId="GSMAFigure">
    <w:name w:val="GSMA Figure"/>
    <w:basedOn w:val="Normal"/>
    <w:uiPriority w:val="99"/>
    <w:qFormat/>
  </w:style>
  <w:style w:type="paragraph" w:customStyle="1" w:styleId="OtherInformation">
    <w:name w:val="Other Information"/>
    <w:basedOn w:val="Heading2"/>
    <w:link w:val="OtherInformationChar"/>
    <w:qFormat/>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Pr>
      <w:rFonts w:eastAsia="Times New Roman"/>
    </w:rPr>
  </w:style>
  <w:style w:type="character" w:customStyle="1" w:styleId="OtherInformationChar">
    <w:name w:val="Other Information Char"/>
    <w:link w:val="OtherInformation"/>
    <w:rPr>
      <w:rFonts w:ascii="Times New Roman" w:eastAsia="Times New Roman" w:hAnsi="Times New Roman"/>
      <w:lang w:eastAsia="en-US"/>
    </w:rPr>
  </w:style>
  <w:style w:type="table" w:customStyle="1" w:styleId="GSMATable">
    <w:name w:val="GSMA Table"/>
    <w:basedOn w:val="TableNormal"/>
    <w:uiPriority w:val="99"/>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lang w:val="fr-FR" w:eastAsia="fr-FR"/>
    </w:rPr>
  </w:style>
  <w:style w:type="character" w:styleId="Emphasis">
    <w:name w:val="Emphasis"/>
    <w:uiPriority w:val="20"/>
    <w:qFormat/>
    <w:rPr>
      <w:i/>
      <w:iCs/>
    </w:rPr>
  </w:style>
  <w:style w:type="paragraph" w:customStyle="1" w:styleId="Default">
    <w:name w:val="Default"/>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semiHidden/>
    <w:unhideWhenUsed/>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basedOn w:val="DefaultParagraphFont"/>
    <w:link w:val="HTMLAddress"/>
    <w:semiHidden/>
    <w:rPr>
      <w:rFonts w:ascii="Times New Roman" w:eastAsia="Times New Roman" w:hAnsi="Times New Roman"/>
      <w:i/>
      <w:iCs/>
    </w:rPr>
  </w:style>
  <w:style w:type="character" w:styleId="HTMLCode">
    <w:name w:val="HTML Code"/>
    <w:semiHidden/>
    <w:unhideWhenUsed/>
    <w:rPr>
      <w:rFonts w:ascii="Courier New" w:eastAsia="Times New Roman" w:hAnsi="Courier New" w:cs="Times New Roman" w:hint="default"/>
      <w:sz w:val="20"/>
      <w:szCs w:val="20"/>
    </w:rPr>
  </w:style>
  <w:style w:type="character" w:styleId="HTMLKeyboard">
    <w:name w:val="HTML Keyboard"/>
    <w:semiHidden/>
    <w:unhideWhenUsed/>
    <w:rPr>
      <w:rFonts w:ascii="Courier New" w:eastAsia="Times New Roman" w:hAnsi="Courier New" w:cs="Times New Roman" w:hint="default"/>
      <w:sz w:val="20"/>
      <w:szCs w:val="20"/>
    </w:rPr>
  </w:style>
  <w:style w:type="character" w:styleId="HTMLSample">
    <w:name w:val="HTML Sample"/>
    <w:semiHidden/>
    <w:unhideWhenUsed/>
    <w:rPr>
      <w:rFonts w:ascii="Courier New" w:eastAsia="Times New Roman" w:hAnsi="Courier New" w:cs="Times New Roman" w:hint="default"/>
    </w:rPr>
  </w:style>
  <w:style w:type="character" w:styleId="HTMLTypewriter">
    <w:name w:val="HTML Typewriter"/>
    <w:semiHidden/>
    <w:unhideWhenUsed/>
    <w:rPr>
      <w:rFonts w:ascii="Courier New" w:eastAsia="Times New Roman" w:hAnsi="Courier New" w:cs="Times New Roman" w:hint="default"/>
      <w:sz w:val="20"/>
      <w:szCs w:val="20"/>
    </w:rPr>
  </w:style>
  <w:style w:type="paragraph" w:styleId="NormalIndent">
    <w:name w:val="Normal Indent"/>
    <w:basedOn w:val="Normal"/>
    <w:uiPriority w:val="99"/>
    <w:semiHidden/>
    <w:unhideWhenUsed/>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basedOn w:val="DefaultParagraphFont"/>
    <w:link w:val="EndnoteText"/>
    <w:uiPriority w:val="99"/>
    <w:semiHidden/>
    <w:rPr>
      <w:rFonts w:ascii="Times New Roman" w:eastAsia="Times New Roman" w:hAnsi="Times New Roman"/>
    </w:rPr>
  </w:style>
  <w:style w:type="paragraph" w:styleId="TableofAuthorities">
    <w:name w:val="table of authorities"/>
    <w:basedOn w:val="Normal"/>
    <w:next w:val="Normal"/>
    <w:uiPriority w:val="99"/>
    <w:semiHidden/>
    <w:unhideWhenUsed/>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eastAsia="en-US"/>
    </w:rPr>
  </w:style>
  <w:style w:type="character" w:customStyle="1" w:styleId="MacroTextChar">
    <w:name w:val="Macro Text Char"/>
    <w:basedOn w:val="DefaultParagraphFont"/>
    <w:link w:val="MacroText"/>
    <w:uiPriority w:val="99"/>
    <w:semiHidden/>
    <w:rPr>
      <w:rFonts w:ascii="Courier New" w:eastAsia="Times New Roman" w:hAnsi="Courier New" w:cs="Courier New"/>
      <w:lang w:eastAsia="en-US"/>
    </w:rPr>
  </w:style>
  <w:style w:type="paragraph" w:styleId="Date">
    <w:name w:val="Date"/>
    <w:basedOn w:val="Normal"/>
    <w:next w:val="Normal"/>
    <w:link w:val="DateChar"/>
    <w:uiPriority w:val="99"/>
    <w:semiHidden/>
    <w:unhideWhenUsed/>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basedOn w:val="DefaultParagraphFont"/>
    <w:link w:val="Date"/>
    <w:uiPriority w:val="99"/>
    <w:semiHidden/>
    <w:rPr>
      <w:rFonts w:ascii="Times New Roman" w:eastAsia="Times New Roman" w:hAnsi="Times New Roman"/>
    </w:rPr>
  </w:style>
  <w:style w:type="character" w:styleId="EndnoteReference">
    <w:name w:val="endnote reference"/>
    <w:semiHidden/>
    <w:unhideWhenUsed/>
    <w:rPr>
      <w:vertAlign w:val="superscript"/>
    </w:rPr>
  </w:style>
  <w:style w:type="paragraph" w:customStyle="1" w:styleId="ListBullletsub">
    <w:name w:val="List Bulllet (sub)"/>
    <w:basedOn w:val="Normal"/>
    <w:link w:val="ListBullletsubChar"/>
    <w:qFormat/>
    <w:pPr>
      <w:spacing w:line="276" w:lineRule="auto"/>
      <w:ind w:left="720" w:hanging="360"/>
      <w:jc w:val="left"/>
    </w:pPr>
    <w:rPr>
      <w:rFonts w:ascii="Calibri" w:eastAsia="Times New Roman" w:hAnsi="Calibri"/>
      <w:sz w:val="20"/>
      <w:lang w:val="fr-FR" w:eastAsia="en-GB" w:bidi="ar-SA"/>
    </w:rPr>
  </w:style>
  <w:style w:type="character" w:customStyle="1" w:styleId="ListBullletsubChar">
    <w:name w:val="List Bulllet (sub) Char"/>
    <w:link w:val="ListBullletsub"/>
    <w:rPr>
      <w:rFonts w:eastAsia="Times New Roman"/>
      <w:lang w:val="fr-FR"/>
    </w:rPr>
  </w:style>
  <w:style w:type="numbering" w:customStyle="1" w:styleId="LegalList1">
    <w:name w:val="LegalList1"/>
    <w:uiPriority w:val="99"/>
  </w:style>
  <w:style w:type="paragraph" w:customStyle="1" w:styleId="PROCList">
    <w:name w:val="PROC List"/>
    <w:basedOn w:val="Normal"/>
    <w:uiPriority w:val="99"/>
    <w:qFormat/>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atangChe" w:hAnsi="BatangChe"/>
        <w:b/>
        <w:i w:val="0"/>
        <w:color w:val="FFFFFF"/>
        <w:sz w:val="22"/>
      </w:rPr>
      <w:tblPr/>
      <w:tcPr>
        <w:shd w:val="clear" w:color="auto" w:fill="C00000"/>
      </w:tcPr>
    </w:tblStylePr>
  </w:style>
  <w:style w:type="paragraph" w:styleId="Caption">
    <w:name w:val="caption"/>
    <w:basedOn w:val="Normal"/>
    <w:next w:val="Normal"/>
    <w:link w:val="CaptionChar"/>
    <w:qFormat/>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locked/>
    <w:rPr>
      <w:rFonts w:ascii="Times New Roman" w:hAnsi="Times New Roman"/>
      <w:b/>
      <w:bCs/>
      <w:lang w:eastAsia="en-US"/>
    </w:rPr>
  </w:style>
  <w:style w:type="paragraph" w:styleId="BodyText">
    <w:name w:val="Body Text"/>
    <w:basedOn w:val="Normal"/>
    <w:link w:val="BodyTextChar"/>
    <w:uiPriority w:val="99"/>
    <w:pPr>
      <w:spacing w:before="0" w:after="120"/>
      <w:jc w:val="left"/>
    </w:pPr>
    <w:rPr>
      <w:rFonts w:ascii="Times New Roman" w:eastAsia="Calibri" w:hAnsi="Times New Roman"/>
      <w:sz w:val="20"/>
      <w:lang w:eastAsia="en-US" w:bidi="ar-SA"/>
    </w:rPr>
  </w:style>
  <w:style w:type="character" w:customStyle="1" w:styleId="BodyTextChar">
    <w:name w:val="Body Text Char"/>
    <w:basedOn w:val="DefaultParagraphFont"/>
    <w:link w:val="BodyText"/>
    <w:uiPriority w:val="99"/>
    <w:rPr>
      <w:rFonts w:ascii="Times New Roman" w:hAnsi="Times New Roman"/>
      <w:lang w:eastAsia="en-US"/>
    </w:rPr>
  </w:style>
  <w:style w:type="paragraph" w:customStyle="1" w:styleId="table">
    <w:name w:val="table"/>
    <w:basedOn w:val="Normal"/>
    <w:next w:val="Normal"/>
    <w:uiPriority w:val="99"/>
    <w:pPr>
      <w:keepLines/>
      <w:spacing w:before="0" w:line="260" w:lineRule="atLeast"/>
      <w:jc w:val="left"/>
    </w:pPr>
    <w:rPr>
      <w:rFonts w:ascii="Times New Roman" w:eastAsia="PMingLiU" w:hAnsi="Times New Roman"/>
      <w:bCs/>
      <w:sz w:val="24"/>
      <w:szCs w:val="24"/>
      <w:lang w:val="en-US" w:eastAsia="en-US" w:bidi="ar-SA"/>
    </w:rPr>
  </w:style>
  <w:style w:type="paragraph" w:customStyle="1" w:styleId="gpTableHead">
    <w:name w:val="gpTableHead"/>
    <w:basedOn w:val="Normal"/>
    <w:uiPriority w:val="99"/>
    <w:pPr>
      <w:keepNext/>
      <w:keepLines/>
      <w:tabs>
        <w:tab w:val="left" w:pos="567"/>
      </w:tabs>
      <w:snapToGrid w:val="0"/>
      <w:spacing w:before="20" w:after="20"/>
      <w:jc w:val="left"/>
    </w:pPr>
    <w:rPr>
      <w:rFonts w:ascii="Times New Roman" w:eastAsia="Arial Unicode MS" w:hAnsi="Times New Roman" w:cs="Arial"/>
      <w:b/>
      <w:sz w:val="24"/>
      <w:szCs w:val="24"/>
      <w:lang w:val="en-US" w:eastAsia="en-US" w:bidi="ar-SA"/>
    </w:rPr>
  </w:style>
  <w:style w:type="paragraph" w:customStyle="1" w:styleId="Corpsdetextegarder">
    <w:name w:val="Corps de texte (garder)"/>
    <w:basedOn w:val="BodyText"/>
    <w:next w:val="ListBullet"/>
    <w:uiPriority w:val="99"/>
    <w:pPr>
      <w:keepNext/>
    </w:pPr>
    <w:rPr>
      <w:rFonts w:ascii="Univers (W1)" w:eastAsia="MS Mincho" w:hAnsi="Univers (W1)"/>
      <w:sz w:val="18"/>
      <w:lang w:eastAsia="fr-FR"/>
    </w:rPr>
  </w:style>
  <w:style w:type="paragraph" w:customStyle="1" w:styleId="Table0">
    <w:name w:val="Table"/>
    <w:basedOn w:val="Normal"/>
    <w:uiPriority w:val="99"/>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Pr>
      <w:rFonts w:ascii="Courier New" w:hAnsi="Courier New"/>
      <w:noProof/>
    </w:rPr>
  </w:style>
  <w:style w:type="paragraph" w:customStyle="1" w:styleId="Tableheader0">
    <w:name w:val="Table (header)"/>
    <w:basedOn w:val="Table0"/>
    <w:uiPriority w:val="99"/>
    <w:rPr>
      <w:b/>
    </w:rPr>
  </w:style>
  <w:style w:type="paragraph" w:customStyle="1" w:styleId="gpTable">
    <w:name w:val="gpTable"/>
    <w:basedOn w:val="Normal"/>
    <w:uiPriority w:val="99"/>
    <w:pPr>
      <w:keepLines/>
      <w:tabs>
        <w:tab w:val="left" w:pos="567"/>
      </w:tabs>
      <w:spacing w:before="60" w:after="60" w:line="260" w:lineRule="atLeast"/>
      <w:jc w:val="left"/>
    </w:pPr>
    <w:rPr>
      <w:rFonts w:ascii="Times New Roman" w:eastAsia="Arial Unicode MS" w:hAnsi="Times New Roman" w:cs="Arial"/>
      <w:sz w:val="24"/>
      <w:szCs w:val="24"/>
      <w:lang w:val="en-US" w:eastAsia="en-US" w:bidi="ar-SA"/>
    </w:rPr>
  </w:style>
  <w:style w:type="paragraph" w:customStyle="1" w:styleId="Table-ColHead">
    <w:name w:val="Table - Col. Head"/>
    <w:basedOn w:val="Normal"/>
    <w:uiPriority w:val="99"/>
    <w:pPr>
      <w:autoSpaceDN w:val="0"/>
      <w:spacing w:before="0"/>
      <w:jc w:val="left"/>
    </w:pPr>
    <w:rPr>
      <w:rFonts w:ascii="Times New Roman" w:eastAsia="Calibri" w:hAnsi="Times New Roman" w:cs="Arial"/>
      <w:b/>
      <w:color w:val="000000"/>
      <w:sz w:val="20"/>
      <w:lang w:val="en-US" w:eastAsia="en-US" w:bidi="ar-SA"/>
    </w:rPr>
  </w:style>
  <w:style w:type="paragraph" w:styleId="NoSpacing">
    <w:name w:val="No Spacing"/>
    <w:uiPriority w:val="1"/>
    <w:qFormat/>
    <w:pPr>
      <w:spacing w:before="120" w:line="276" w:lineRule="auto"/>
    </w:pPr>
    <w:rPr>
      <w:rFonts w:ascii="Arial" w:hAnsi="Arial"/>
      <w:szCs w:val="24"/>
      <w:lang w:eastAsia="en-US"/>
    </w:rPr>
  </w:style>
  <w:style w:type="paragraph" w:customStyle="1" w:styleId="Table-Text">
    <w:name w:val="Table - Text"/>
    <w:basedOn w:val="Normal"/>
    <w:uiPriority w:val="99"/>
    <w:pPr>
      <w:autoSpaceDN w:val="0"/>
      <w:spacing w:before="40" w:after="40"/>
      <w:jc w:val="left"/>
    </w:pPr>
    <w:rPr>
      <w:rFonts w:ascii="Times New Roman" w:eastAsia="Calibri" w:hAnsi="Times New Roman" w:cs="Arial"/>
      <w:sz w:val="20"/>
      <w:lang w:val="en-US" w:eastAsia="en-US" w:bidi="ar-SA"/>
    </w:rPr>
  </w:style>
  <w:style w:type="paragraph" w:customStyle="1" w:styleId="CRSheetSubtitle">
    <w:name w:val="CRSheet Subtitle"/>
    <w:basedOn w:val="Normal"/>
    <w:uiPriority w:val="99"/>
    <w:qFormat/>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RSheetTitle">
    <w:name w:val="CRSheet Title"/>
    <w:next w:val="NormalParagraph"/>
    <w:uiPriority w:val="99"/>
    <w:qFormat/>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Pr>
      <w:sz w:val="24"/>
    </w:rPr>
  </w:style>
  <w:style w:type="paragraph" w:customStyle="1" w:styleId="TableTextBold">
    <w:name w:val="Table Text Bold"/>
    <w:basedOn w:val="TableText"/>
    <w:uiPriority w:val="49"/>
    <w:qFormat/>
    <w:pPr>
      <w:spacing w:before="0" w:after="0" w:line="240" w:lineRule="auto"/>
    </w:pPr>
    <w:rPr>
      <w:b/>
    </w:rPr>
  </w:style>
  <w:style w:type="paragraph" w:customStyle="1" w:styleId="TableHeaderLarge">
    <w:name w:val="Table Header Large"/>
    <w:basedOn w:val="TableHeader"/>
    <w:uiPriority w:val="49"/>
    <w:qFormat/>
    <w:rPr>
      <w:sz w:val="24"/>
    </w:rPr>
  </w:style>
  <w:style w:type="paragraph" w:customStyle="1" w:styleId="AutoCorrect">
    <w:name w:val="AutoCorrect"/>
    <w:uiPriority w:val="99"/>
    <w:pPr>
      <w:spacing w:after="200" w:line="276" w:lineRule="auto"/>
    </w:pPr>
    <w:rPr>
      <w:rFonts w:asciiTheme="minorHAnsi" w:eastAsiaTheme="minorEastAsia" w:hAnsiTheme="minorHAnsi" w:cstheme="minorBidi"/>
      <w:sz w:val="22"/>
      <w:szCs w:val="22"/>
    </w:rPr>
  </w:style>
  <w:style w:type="character" w:styleId="Strong">
    <w:name w:val="Strong"/>
    <w:basedOn w:val="DefaultParagraphFont"/>
    <w:uiPriority w:val="37"/>
    <w:qFormat/>
    <w:rPr>
      <w:b/>
      <w:bCs/>
    </w:rPr>
  </w:style>
  <w:style w:type="character" w:styleId="IntenseEmphasis">
    <w:name w:val="Intense Emphasis"/>
    <w:basedOn w:val="DefaultParagraphFont"/>
    <w:uiPriority w:val="36"/>
    <w:qFormat/>
    <w:rPr>
      <w:b/>
      <w:bCs/>
      <w:i/>
      <w:iCs/>
      <w:color w:val="4F81BD" w:themeColor="accent1"/>
    </w:rPr>
  </w:style>
  <w:style w:type="character" w:customStyle="1" w:styleId="Heading1Char1">
    <w:name w:val="Heading 1 Char1"/>
    <w:aliases w:val="H1 Char1,1 Char1,h1 Char1,1st level Char1,õberschrift 1 Char1,l1 Char1"/>
    <w:basedOn w:val="DefaultParagraphFont"/>
    <w:uiPriority w:val="1"/>
    <w:rPr>
      <w:rFonts w:asciiTheme="majorHAnsi" w:eastAsiaTheme="majorEastAsia" w:hAnsiTheme="majorHAnsi" w:cstheme="majorBidi"/>
      <w:color w:val="365F91" w:themeColor="accent1" w:themeShade="BF"/>
      <w:sz w:val="32"/>
      <w:szCs w:val="40"/>
      <w:lang w:eastAsia="zh-CN" w:bidi="bn-BD"/>
    </w:rPr>
  </w:style>
  <w:style w:type="character" w:customStyle="1" w:styleId="Heading2Char1">
    <w:name w:val="Heading 2 Char1"/>
    <w:aliases w:val="H2 Char1,h2 Char1,2nd level Char1,õberschrift 2 Char1,UNDERRUBRIK 1-2 Char1,H2-Heading 2 Char1,2 Char1,Header 2 Char1,l2 Char1,Header2 Char1,22 Char1,heading2 Char1,list2 Char1,A Char1,A.B.C. Char1,list 2 Char1,Heading2 Char1,R2 Char"/>
    <w:basedOn w:val="DefaultParagraphFont"/>
    <w:uiPriority w:val="1"/>
    <w:semiHidden/>
    <w:rPr>
      <w:rFonts w:asciiTheme="majorHAnsi" w:eastAsiaTheme="majorEastAsia" w:hAnsiTheme="majorHAnsi" w:cstheme="majorBidi"/>
      <w:color w:val="365F91" w:themeColor="accent1" w:themeShade="BF"/>
      <w:sz w:val="26"/>
      <w:szCs w:val="33"/>
      <w:lang w:eastAsia="zh-CN" w:bidi="bn-BD"/>
    </w:rPr>
  </w:style>
  <w:style w:type="character" w:customStyle="1" w:styleId="Heading3Char1">
    <w:name w:val="Heading 3 Char1"/>
    <w:aliases w:val="h3 Char1,H3 Char1,Underrubrik2 Char1,H3-Heading 3 Char1,3 Char1,l3.3 Char1,l3 Char1,list 3 Char1,list3 Char1,subhead Char1,Heading3 Char1,1. Char1,Heading No. L3 Char1,E3 Char1,Heading Three Char1,h 3 Char1,3rd level Char1"/>
    <w:basedOn w:val="DefaultParagraphFont"/>
    <w:uiPriority w:val="1"/>
    <w:semiHidden/>
    <w:rPr>
      <w:rFonts w:asciiTheme="majorHAnsi" w:eastAsiaTheme="majorEastAsia" w:hAnsiTheme="majorHAnsi" w:cstheme="majorBidi"/>
      <w:color w:val="243F60" w:themeColor="accent1" w:themeShade="7F"/>
      <w:sz w:val="24"/>
      <w:szCs w:val="30"/>
      <w:lang w:eastAsia="zh-CN" w:bidi="bn-BD"/>
    </w:rPr>
  </w:style>
  <w:style w:type="paragraph" w:customStyle="1" w:styleId="Bullet2">
    <w:name w:val="Bullet2"/>
    <w:basedOn w:val="Normal"/>
    <w:semiHidden/>
    <w:pPr>
      <w:tabs>
        <w:tab w:val="num" w:pos="2062"/>
      </w:tabs>
      <w:spacing w:before="0" w:after="60" w:line="276" w:lineRule="auto"/>
      <w:ind w:left="1985" w:hanging="283"/>
      <w:jc w:val="left"/>
    </w:pPr>
    <w:rPr>
      <w:rFonts w:asciiTheme="minorHAnsi" w:eastAsiaTheme="minorHAnsi" w:hAnsiTheme="minorHAnsi" w:cstheme="minorBidi"/>
      <w:szCs w:val="22"/>
      <w:lang w:val="en-US" w:eastAsia="en-US" w:bidi="ar-SA"/>
    </w:rPr>
  </w:style>
  <w:style w:type="paragraph" w:customStyle="1" w:styleId="PlantUML">
    <w:name w:val="PlantUML"/>
    <w:basedOn w:val="Normal"/>
    <w:link w:val="PlantUMLChar"/>
    <w:autoRedefine/>
    <w:pPr>
      <w:keepNext/>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hAnsi="Courier New" w:cs="Courier New"/>
      <w:noProof/>
      <w:color w:val="008000"/>
      <w:sz w:val="18"/>
    </w:rPr>
  </w:style>
  <w:style w:type="character" w:customStyle="1" w:styleId="PlantUMLChar">
    <w:name w:val="PlantUML Char"/>
    <w:basedOn w:val="DefaultParagraphFont"/>
    <w:link w:val="PlantUML"/>
    <w:rPr>
      <w:rFonts w:ascii="Courier New" w:eastAsia="SimSun" w:hAnsi="Courier New" w:cs="Courier New"/>
      <w:noProof/>
      <w:color w:val="008000"/>
      <w:sz w:val="18"/>
      <w:shd w:val="clear" w:color="auto" w:fill="BAFDBA"/>
      <w:lang w:eastAsia="zh-CN" w:bidi="bn-BD"/>
    </w:rPr>
  </w:style>
  <w:style w:type="character" w:customStyle="1" w:styleId="NormalParagraphZchn">
    <w:name w:val="Normal Paragraph Zchn"/>
    <w:basedOn w:val="DefaultParagraphFont"/>
    <w:link w:val="NormalParagraph"/>
    <w:rPr>
      <w:rFonts w:ascii="Arial" w:eastAsia="SimSun" w:hAnsi="Arial"/>
      <w:sz w:val="22"/>
      <w:szCs w:val="22"/>
    </w:rPr>
  </w:style>
  <w:style w:type="paragraph" w:customStyle="1" w:styleId="PlantUMLImg">
    <w:name w:val="PlantUMLImg"/>
    <w:basedOn w:val="Normal"/>
    <w:link w:val="PlantUMLImgChar"/>
    <w:autoRedefine/>
    <w:rPr>
      <w:rFonts w:cs="Courier New"/>
      <w:noProof/>
      <w:color w:val="008000"/>
      <w:sz w:val="18"/>
    </w:rPr>
  </w:style>
  <w:style w:type="character" w:customStyle="1" w:styleId="PlantUMLImgChar">
    <w:name w:val="PlantUMLImg Char"/>
    <w:basedOn w:val="PlantUMLChar"/>
    <w:link w:val="PlantUMLImg"/>
    <w:rPr>
      <w:rFonts w:ascii="Arial" w:eastAsia="SimSun" w:hAnsi="Arial" w:cs="Courier New"/>
      <w:noProof/>
      <w:color w:val="008000"/>
      <w:sz w:val="18"/>
      <w:shd w:val="clear" w:color="auto" w:fill="BAFDBA"/>
      <w:lang w:eastAsia="zh-CN" w:bidi="bn-BD"/>
    </w:rPr>
  </w:style>
  <w:style w:type="table" w:customStyle="1" w:styleId="Morpho">
    <w:name w:val="Morpho"/>
    <w:basedOn w:val="TableNormal"/>
    <w:uiPriority w:val="99"/>
    <w:rPr>
      <w:rFonts w:ascii="Arial" w:eastAsiaTheme="minorHAnsi" w:hAnsi="Arial" w:cstheme="minorBidi"/>
      <w:sz w:val="22"/>
      <w:szCs w:val="22"/>
      <w:lang w:val="en-US"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pPr>
        <w:jc w:val="center"/>
      </w:pPr>
      <w:rPr>
        <w:rFonts w:ascii="Arial" w:hAnsi="Arial"/>
        <w:b/>
        <w:i w:val="0"/>
        <w:sz w:val="22"/>
      </w:rPr>
      <w:tblPr/>
      <w:trPr>
        <w:tblHeader/>
      </w:trPr>
      <w:tcPr>
        <w:shd w:val="clear" w:color="auto" w:fill="D9D9D9" w:themeFill="background1" w:themeFillShade="D9"/>
        <w:vAlign w:val="center"/>
      </w:tcPr>
    </w:tblStylePr>
  </w:style>
  <w:style w:type="paragraph" w:customStyle="1" w:styleId="TblHeadTableHeader">
    <w:name w:val="Tbl Head (Table Header)"/>
    <w:basedOn w:val="Normal"/>
    <w:uiPriority w:val="2"/>
    <w:qFormat/>
    <w:pPr>
      <w:keepNext/>
      <w:spacing w:before="60" w:after="60"/>
      <w:jc w:val="center"/>
    </w:pPr>
    <w:rPr>
      <w:rFonts w:eastAsia="Times New Roman"/>
      <w:lang w:eastAsia="de-DE" w:bidi="ar-SA"/>
    </w:rPr>
  </w:style>
  <w:style w:type="paragraph" w:customStyle="1" w:styleId="FigureCaption0">
    <w:name w:val="Figure Caption"/>
    <w:basedOn w:val="Normal"/>
    <w:next w:val="Normal"/>
    <w:uiPriority w:val="8"/>
    <w:qFormat/>
    <w:pPr>
      <w:spacing w:before="60"/>
      <w:jc w:val="center"/>
    </w:pPr>
    <w:rPr>
      <w:rFonts w:eastAsia="Times New Roman"/>
      <w:lang w:val="en-US" w:eastAsia="fr-FR" w:bidi="ar-SA"/>
    </w:rPr>
  </w:style>
  <w:style w:type="paragraph" w:customStyle="1" w:styleId="GSMAProcedureStepContinued">
    <w:name w:val="GSMA Procedure Step Continued"/>
    <w:basedOn w:val="Normal"/>
    <w:link w:val="GSMAProcedureStepContinuedChar"/>
    <w:uiPriority w:val="49"/>
    <w:qFormat/>
    <w:pPr>
      <w:spacing w:before="0" w:after="200" w:line="276" w:lineRule="auto"/>
      <w:ind w:left="567"/>
      <w:jc w:val="left"/>
    </w:pPr>
    <w:rPr>
      <w:rFonts w:cs="Arial"/>
      <w:szCs w:val="22"/>
      <w:lang w:eastAsia="en-GB" w:bidi="ar-SA"/>
    </w:rPr>
  </w:style>
  <w:style w:type="character" w:customStyle="1" w:styleId="GSMAProcedureStepContinuedChar">
    <w:name w:val="GSMA Procedure Step Continued Char"/>
    <w:basedOn w:val="DefaultParagraphFont"/>
    <w:link w:val="GSMAProcedureStepContinued"/>
    <w:uiPriority w:val="49"/>
    <w:rPr>
      <w:rFonts w:ascii="Arial" w:eastAsia="SimSun" w:hAnsi="Arial" w:cs="Arial"/>
      <w:sz w:val="22"/>
      <w:szCs w:val="22"/>
    </w:rPr>
  </w:style>
  <w:style w:type="paragraph" w:customStyle="1" w:styleId="EDProcedureStepContinued">
    <w:name w:val="ED Procedure Step Continued"/>
    <w:basedOn w:val="GSMAProcedureStepContinued"/>
    <w:link w:val="EDProcedureStepContinuedChar"/>
    <w:uiPriority w:val="49"/>
    <w:qFormat/>
  </w:style>
  <w:style w:type="paragraph" w:customStyle="1" w:styleId="TRASHstyletoremove">
    <w:name w:val="TRASH style to remove"/>
    <w:basedOn w:val="Normal"/>
    <w:link w:val="TRASHstyletoremoveChar"/>
    <w:uiPriority w:val="49"/>
    <w:qFormat/>
    <w:pPr>
      <w:numPr>
        <w:numId w:val="43"/>
      </w:numPr>
      <w:ind w:left="567" w:hanging="567"/>
    </w:pPr>
    <w:rPr>
      <w:lang w:val="en-US"/>
    </w:rPr>
  </w:style>
  <w:style w:type="character" w:customStyle="1" w:styleId="EDProcedureStepContinuedChar">
    <w:name w:val="ED Procedure Step Continued Char"/>
    <w:basedOn w:val="GSMAProcedureStepContinuedChar"/>
    <w:link w:val="EDProcedureStepContinued"/>
    <w:uiPriority w:val="49"/>
    <w:rPr>
      <w:rFonts w:ascii="Arial" w:eastAsia="SimSun" w:hAnsi="Arial" w:cs="Arial"/>
      <w:sz w:val="22"/>
      <w:szCs w:val="22"/>
    </w:rPr>
  </w:style>
  <w:style w:type="paragraph" w:customStyle="1" w:styleId="EDProcedureStepstartat1">
    <w:name w:val="ED Procedure Step start at 1"/>
    <w:basedOn w:val="Normal"/>
    <w:link w:val="EDProcedureStepstartat1Char"/>
    <w:uiPriority w:val="49"/>
    <w:qFormat/>
    <w:pPr>
      <w:numPr>
        <w:numId w:val="42"/>
      </w:numPr>
    </w:pPr>
    <w:rPr>
      <w:lang w:val="en-US"/>
    </w:rPr>
  </w:style>
  <w:style w:type="character" w:customStyle="1" w:styleId="TRASHstyletoremoveChar">
    <w:name w:val="TRASH style to remove Char"/>
    <w:basedOn w:val="DefaultParagraphFont"/>
    <w:link w:val="TRASHstyletoremove"/>
    <w:uiPriority w:val="49"/>
    <w:rPr>
      <w:rFonts w:ascii="Arial" w:eastAsia="SimSun" w:hAnsi="Arial"/>
      <w:sz w:val="22"/>
      <w:lang w:val="en-US" w:eastAsia="zh-CN" w:bidi="bn-BD"/>
    </w:rPr>
  </w:style>
  <w:style w:type="character" w:customStyle="1" w:styleId="EDProcedureStepstartat1Char">
    <w:name w:val="ED Procedure Step start at 1 Char"/>
    <w:basedOn w:val="DefaultParagraphFont"/>
    <w:link w:val="EDProcedureStepstartat1"/>
    <w:uiPriority w:val="49"/>
    <w:rPr>
      <w:rFonts w:ascii="Arial" w:eastAsia="SimSun" w:hAnsi="Arial"/>
      <w:sz w:val="22"/>
      <w:lang w:val="en-US" w:eastAsia="zh-CN" w:bidi="bn-BD"/>
    </w:rPr>
  </w:style>
  <w:style w:type="paragraph" w:customStyle="1" w:styleId="EDCaptionWithoutNumber">
    <w:name w:val="ED Caption Without Number"/>
    <w:basedOn w:val="NormalParagraph"/>
    <w:next w:val="NormalParagraph"/>
    <w:link w:val="EDCaptionWithoutNumberChar"/>
    <w:uiPriority w:val="49"/>
    <w:qFormat/>
    <w:pPr>
      <w:spacing w:before="120" w:after="320"/>
      <w:jc w:val="center"/>
    </w:pPr>
    <w:rPr>
      <w:rFonts w:cs="Arial"/>
      <w:b/>
      <w:lang w:eastAsia="de-DE"/>
    </w:rPr>
  </w:style>
  <w:style w:type="character" w:customStyle="1" w:styleId="EDCaptionWithoutNumberChar">
    <w:name w:val="ED Caption Without Number Char"/>
    <w:basedOn w:val="NormalParagraphZchn"/>
    <w:link w:val="EDCaptionWithoutNumber"/>
    <w:uiPriority w:val="49"/>
    <w:rPr>
      <w:rFonts w:ascii="Arial" w:eastAsia="SimSun" w:hAnsi="Arial" w:cs="Arial"/>
      <w:b/>
      <w:sz w:val="22"/>
      <w:szCs w:val="22"/>
      <w:lang w:eastAsia="de-DE"/>
    </w:rPr>
  </w:style>
  <w:style w:type="character" w:customStyle="1" w:styleId="PlantUMLCar">
    <w:name w:val="PlantUML Car"/>
    <w:basedOn w:val="DefaultParagraphFont"/>
    <w:rPr>
      <w:rFonts w:ascii="Courier New" w:eastAsia="SimSun" w:hAnsi="Courier New" w:cs="Courier New"/>
      <w:noProof/>
      <w:color w:val="008000"/>
      <w:sz w:val="18"/>
      <w:shd w:val="clear" w:color="auto" w:fill="BAFDBA"/>
      <w:lang w:eastAsia="zh-CN" w:bidi="bn-BD"/>
    </w:rPr>
  </w:style>
  <w:style w:type="paragraph" w:customStyle="1" w:styleId="ED-CODEBlock">
    <w:name w:val="ED-CODE Block"/>
    <w:basedOn w:val="Normal"/>
    <w:link w:val="ED-CODEBlockChar"/>
    <w:uiPriority w:val="49"/>
    <w:qFormat/>
    <w:pPr>
      <w:spacing w:after="120"/>
      <w:contextualSpacing/>
      <w:jc w:val="left"/>
    </w:pPr>
    <w:rPr>
      <w:rFonts w:ascii="Courier New" w:hAnsi="Courier New" w:cs="Arial"/>
      <w:sz w:val="20"/>
      <w:szCs w:val="22"/>
      <w:lang w:val="en-US"/>
    </w:rPr>
  </w:style>
  <w:style w:type="character" w:customStyle="1" w:styleId="ED-CODEBlockChar">
    <w:name w:val="ED-CODE Block Char"/>
    <w:basedOn w:val="DefaultParagraphFont"/>
    <w:link w:val="ED-CODEBlock"/>
    <w:uiPriority w:val="49"/>
    <w:rPr>
      <w:rFonts w:ascii="Courier New" w:eastAsia="SimSun" w:hAnsi="Courier New" w:cs="Arial"/>
      <w:szCs w:val="22"/>
      <w:lang w:val="en-US" w:eastAsia="zh-CN" w:bidi="bn-BD"/>
    </w:rPr>
  </w:style>
  <w:style w:type="character" w:styleId="UnresolvedMention">
    <w:name w:val="Unresolved Mention"/>
    <w:basedOn w:val="DefaultParagraphFont"/>
    <w:uiPriority w:val="99"/>
    <w:semiHidden/>
    <w:unhideWhenUsed/>
    <w:rsid w:val="006168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117" Type="http://schemas.openxmlformats.org/officeDocument/2006/relationships/hyperlink" Target="http://www.w3.org/2001/10/xml-exc-c14n" TargetMode="External"/><Relationship Id="rId21" Type="http://schemas.openxmlformats.org/officeDocument/2006/relationships/hyperlink" Target="http://www.w3.org/TR/2008/REC-xmldsig-core-20080610/" TargetMode="External"/><Relationship Id="rId42" Type="http://schemas.openxmlformats.org/officeDocument/2006/relationships/package" Target="embeddings/Microsoft_PowerPoint_Slide7.sldx"/><Relationship Id="rId63" Type="http://schemas.openxmlformats.org/officeDocument/2006/relationships/image" Target="media/image28.png"/><Relationship Id="rId84" Type="http://schemas.openxmlformats.org/officeDocument/2006/relationships/image" Target="media/image47.png"/><Relationship Id="rId138" Type="http://schemas.openxmlformats.org/officeDocument/2006/relationships/hyperlink" Target="http://gsma.com/ES3/ProfileManagementCallBack/ES3-AuditEIS" TargetMode="External"/><Relationship Id="rId159" Type="http://schemas.openxmlformats.org/officeDocument/2006/relationships/hyperlink" Target="http://gsma.com/ES7/eUICCManagement/ES7-HandoverEUICC" TargetMode="External"/><Relationship Id="rId170" Type="http://schemas.openxmlformats.org/officeDocument/2006/relationships/glossaryDocument" Target="glossary/document.xml"/><Relationship Id="rId107" Type="http://schemas.openxmlformats.org/officeDocument/2006/relationships/hyperlink" Target="http://www.w3.org/2001/10/xml-exc-c14n" TargetMode="External"/><Relationship Id="rId11" Type="http://schemas.openxmlformats.org/officeDocument/2006/relationships/image" Target="media/image1.png"/><Relationship Id="rId32" Type="http://schemas.openxmlformats.org/officeDocument/2006/relationships/package" Target="embeddings/Microsoft_PowerPoint_Slide3.sldx"/><Relationship Id="rId53" Type="http://schemas.openxmlformats.org/officeDocument/2006/relationships/image" Target="media/image20.png"/><Relationship Id="rId74" Type="http://schemas.openxmlformats.org/officeDocument/2006/relationships/image" Target="media/image37.png"/><Relationship Id="rId128" Type="http://schemas.openxmlformats.org/officeDocument/2006/relationships/hyperlink" Target="http://gsma.com/ES2/ProfileManagement/ES2-DownloadProfile" TargetMode="External"/><Relationship Id="rId149" Type="http://schemas.openxmlformats.org/officeDocument/2006/relationships/hyperlink" Target="http://gsma.com/ES4/ProfileManagement/ES4-UpdatePolicyRules" TargetMode="External"/><Relationship Id="rId5" Type="http://schemas.openxmlformats.org/officeDocument/2006/relationships/numbering" Target="numbering.xml"/><Relationship Id="rId95" Type="http://schemas.openxmlformats.org/officeDocument/2006/relationships/image" Target="media/image58.png"/><Relationship Id="rId160" Type="http://schemas.openxmlformats.org/officeDocument/2006/relationships/hyperlink" Target="http://gsma.com/ES7/eUICCManagement/ES7-AuthenticateSMSR" TargetMode="External"/><Relationship Id="rId22" Type="http://schemas.openxmlformats.org/officeDocument/2006/relationships/hyperlink" Target="http://simalliance.org/euicc/euicc-technical-releases/" TargetMode="External"/><Relationship Id="rId43" Type="http://schemas.openxmlformats.org/officeDocument/2006/relationships/image" Target="media/image11.emf"/><Relationship Id="rId64" Type="http://schemas.openxmlformats.org/officeDocument/2006/relationships/image" Target="media/image29.png"/><Relationship Id="rId118" Type="http://schemas.openxmlformats.org/officeDocument/2006/relationships/image" Target="media/image67.emf"/><Relationship Id="rId139" Type="http://schemas.openxmlformats.org/officeDocument/2006/relationships/hyperlink" Target="http://gsma.com/ES3/ProfileManagement/ES3-CreateISDP" TargetMode="External"/><Relationship Id="rId85" Type="http://schemas.openxmlformats.org/officeDocument/2006/relationships/image" Target="media/image48.png"/><Relationship Id="rId150" Type="http://schemas.openxmlformats.org/officeDocument/2006/relationships/hyperlink" Target="http://gsma.com/ES4/ProfileManagement/ES4-UpdatePolicyRules" TargetMode="External"/><Relationship Id="rId171"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image" Target="media/image6.emf"/><Relationship Id="rId108" Type="http://schemas.openxmlformats.org/officeDocument/2006/relationships/hyperlink" Target="http://www.w3.org/2001/04/xmlenc" TargetMode="External"/><Relationship Id="rId129" Type="http://schemas.openxmlformats.org/officeDocument/2006/relationships/hyperlink" Target="http://gsma.com/ES2/ProfileManagementCallback/ES2-DownloadProfile" TargetMode="External"/><Relationship Id="rId54" Type="http://schemas.openxmlformats.org/officeDocument/2006/relationships/image" Target="media/image21.png"/><Relationship Id="rId70" Type="http://schemas.openxmlformats.org/officeDocument/2006/relationships/package" Target="embeddings/Microsoft_PowerPoint_Slide12.sldx"/><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9.png"/><Relationship Id="rId140" Type="http://schemas.openxmlformats.org/officeDocument/2006/relationships/hyperlink" Target="http://gsma.com/ES3/ProfileManagemenCallBack/ES3-CreateISDP" TargetMode="External"/><Relationship Id="rId145" Type="http://schemas.openxmlformats.org/officeDocument/2006/relationships/hyperlink" Target="http://gsma.com/ES3/PlatformManagement/ES3-DisableProfile" TargetMode="External"/><Relationship Id="rId161" Type="http://schemas.openxmlformats.org/officeDocument/2006/relationships/image" Target="media/image71.emf"/><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ietf.org/rfc/rfc2119.txt" TargetMode="External"/><Relationship Id="rId28" Type="http://schemas.openxmlformats.org/officeDocument/2006/relationships/package" Target="embeddings/Microsoft_PowerPoint_Slide1.sldx"/><Relationship Id="rId49" Type="http://schemas.openxmlformats.org/officeDocument/2006/relationships/image" Target="media/image16.png"/><Relationship Id="rId114" Type="http://schemas.openxmlformats.org/officeDocument/2006/relationships/hyperlink" Target="http://www.w3.org/2001/10/xml-exc-c14n" TargetMode="External"/><Relationship Id="rId119" Type="http://schemas.openxmlformats.org/officeDocument/2006/relationships/package" Target="embeddings/Microsoft_PowerPoint_Slide15.sldx"/><Relationship Id="rId44" Type="http://schemas.openxmlformats.org/officeDocument/2006/relationships/package" Target="embeddings/Microsoft_PowerPoint_Slide8.sldx"/><Relationship Id="rId60" Type="http://schemas.openxmlformats.org/officeDocument/2006/relationships/image" Target="media/image26.emf"/><Relationship Id="rId65" Type="http://schemas.openxmlformats.org/officeDocument/2006/relationships/image" Target="media/image30.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hyperlink" Target="http://gsma.com/ES2/ProfileManagement/ES2-UpdatePolicyRules" TargetMode="External"/><Relationship Id="rId135" Type="http://schemas.openxmlformats.org/officeDocument/2006/relationships/hyperlink" Target="http://gsma.com/ES2/ProfileManagement/ES2-AuditEIS" TargetMode="External"/><Relationship Id="rId151" Type="http://schemas.openxmlformats.org/officeDocument/2006/relationships/hyperlink" Target="http://gsma.com/ES4/ProfileManagement/ES4-AuditEIS" TargetMode="External"/><Relationship Id="rId156" Type="http://schemas.openxmlformats.org/officeDocument/2006/relationships/hyperlink" Target="http://gsma.com/ES4/eUICCManagement/ES4-PrepareSMSRChange" TargetMode="External"/><Relationship Id="rId13" Type="http://schemas.openxmlformats.org/officeDocument/2006/relationships/footer" Target="footer1.xml"/><Relationship Id="rId18" Type="http://schemas.openxmlformats.org/officeDocument/2006/relationships/hyperlink" Target="https://www.oasis-open.org/committees/download.php/16790/wss-v1.1-spec-os-SOAPMessageSecurity.pdf" TargetMode="External"/><Relationship Id="rId39" Type="http://schemas.openxmlformats.org/officeDocument/2006/relationships/package" Target="embeddings/Microsoft_PowerPoint_Slide6.sldx"/><Relationship Id="rId109" Type="http://schemas.openxmlformats.org/officeDocument/2006/relationships/hyperlink" Target="http://www.w3.org/2001/10/xml-exc-c14n" TargetMode="External"/><Relationship Id="rId34" Type="http://schemas.openxmlformats.org/officeDocument/2006/relationships/image" Target="media/image7.emf"/><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39.png"/><Relationship Id="rId97" Type="http://schemas.openxmlformats.org/officeDocument/2006/relationships/image" Target="media/image60.emf"/><Relationship Id="rId104" Type="http://schemas.openxmlformats.org/officeDocument/2006/relationships/oleObject" Target="embeddings/Microsoft_PowerPoint_97-2003_Presentation.ppt"/><Relationship Id="rId120" Type="http://schemas.openxmlformats.org/officeDocument/2006/relationships/image" Target="media/image68.emf"/><Relationship Id="rId125" Type="http://schemas.openxmlformats.org/officeDocument/2006/relationships/package" Target="embeddings/Microsoft_PowerPoint_Slide18.sldx"/><Relationship Id="rId141" Type="http://schemas.openxmlformats.org/officeDocument/2006/relationships/hyperlink" Target="http://gsma.com/ES3/ProfileManagement/ES3-SendData" TargetMode="External"/><Relationship Id="rId146" Type="http://schemas.openxmlformats.org/officeDocument/2006/relationships/hyperlink" Target="http://gsma.com/ES3/PlatformManagement/ES3-DeleteISDP" TargetMode="External"/><Relationship Id="rId16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55.png"/><Relationship Id="rId162" Type="http://schemas.openxmlformats.org/officeDocument/2006/relationships/package" Target="embeddings/Microsoft_PowerPoint_Slide19.sldx"/><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yperlink" Target="http://www.ietf.org/rfc/rfc3986.txt" TargetMode="External"/><Relationship Id="rId40" Type="http://schemas.openxmlformats.org/officeDocument/2006/relationships/hyperlink" Target="http://www.keylength.com/en/2/" TargetMode="External"/><Relationship Id="rId45" Type="http://schemas.openxmlformats.org/officeDocument/2006/relationships/image" Target="media/image12.png"/><Relationship Id="rId66" Type="http://schemas.openxmlformats.org/officeDocument/2006/relationships/image" Target="media/image31.png"/><Relationship Id="rId87" Type="http://schemas.openxmlformats.org/officeDocument/2006/relationships/image" Target="media/image50.png"/><Relationship Id="rId110" Type="http://schemas.openxmlformats.org/officeDocument/2006/relationships/hyperlink" Target="http://www.w3.org/2001/10/xml-exc-c14n" TargetMode="External"/><Relationship Id="rId115" Type="http://schemas.openxmlformats.org/officeDocument/2006/relationships/hyperlink" Target="http://www.w3.org/2001/04/xmlenc" TargetMode="External"/><Relationship Id="rId131" Type="http://schemas.openxmlformats.org/officeDocument/2006/relationships/hyperlink" Target="http://gsma.com/ES2/ProfileManagement/ES2-UpdateSubscriptionAddressResponse" TargetMode="External"/><Relationship Id="rId136" Type="http://schemas.openxmlformats.org/officeDocument/2006/relationships/hyperlink" Target="http://gsma.com/ES2/ProfileManagementCallBack/ES2-AuditEIS" TargetMode="External"/><Relationship Id="rId157" Type="http://schemas.openxmlformats.org/officeDocument/2006/relationships/hyperlink" Target="http://gsma.com/ES4/eUICCManagement/ES4-SMSRChange" TargetMode="External"/><Relationship Id="rId61" Type="http://schemas.openxmlformats.org/officeDocument/2006/relationships/package" Target="embeddings/Microsoft_PowerPoint_Slide10.sldx"/><Relationship Id="rId82" Type="http://schemas.openxmlformats.org/officeDocument/2006/relationships/image" Target="media/image45.png"/><Relationship Id="rId152" Type="http://schemas.openxmlformats.org/officeDocument/2006/relationships/hyperlink" Target="http://gsma.com/ES4/ProfileManagementCallBack/ES4-AuditEIS" TargetMode="External"/><Relationship Id="rId19" Type="http://schemas.openxmlformats.org/officeDocument/2006/relationships/hyperlink" Target="http://docs.oasis-open.org/wss/v1.1/" TargetMode="External"/><Relationship Id="rId14" Type="http://schemas.openxmlformats.org/officeDocument/2006/relationships/hyperlink" Target="http://www.w3.org/TR/soap12-part1/" TargetMode="External"/><Relationship Id="rId30" Type="http://schemas.openxmlformats.org/officeDocument/2006/relationships/package" Target="embeddings/Microsoft_PowerPoint_Slide2.sldx"/><Relationship Id="rId35" Type="http://schemas.openxmlformats.org/officeDocument/2006/relationships/package" Target="embeddings/Microsoft_PowerPoint_Slide4.sldx"/><Relationship Id="rId56" Type="http://schemas.openxmlformats.org/officeDocument/2006/relationships/image" Target="media/image23.png"/><Relationship Id="rId77" Type="http://schemas.openxmlformats.org/officeDocument/2006/relationships/image" Target="media/image40.png"/><Relationship Id="rId100" Type="http://schemas.openxmlformats.org/officeDocument/2006/relationships/oleObject" Target="embeddings/Microsoft_Visio_2003-2010_Drawing11111111111111111111111111111111111111111111.vsd"/><Relationship Id="rId105" Type="http://schemas.openxmlformats.org/officeDocument/2006/relationships/image" Target="media/image64.emf"/><Relationship Id="rId126" Type="http://schemas.openxmlformats.org/officeDocument/2006/relationships/hyperlink" Target="http://gsma.com/ES2/DataPreparation/ES2-GetEISRequest" TargetMode="External"/><Relationship Id="rId147" Type="http://schemas.openxmlformats.org/officeDocument/2006/relationships/hyperlink" Target="http://gsma.com/ES3/PlatformManagementCallBack/ES3-DeleteISDP" TargetMode="External"/><Relationship Id="rId16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package" Target="embeddings/Microsoft_PowerPoint_Slide13.sldx"/><Relationship Id="rId121" Type="http://schemas.openxmlformats.org/officeDocument/2006/relationships/package" Target="embeddings/Microsoft_PowerPoint_Slide16.sldx"/><Relationship Id="rId142" Type="http://schemas.openxmlformats.org/officeDocument/2006/relationships/hyperlink" Target="http://gsma.com/ES3/ProfileManagementCallBack/ES3-SendData" TargetMode="External"/><Relationship Id="rId163" Type="http://schemas.openxmlformats.org/officeDocument/2006/relationships/image" Target="media/image72.emf"/><Relationship Id="rId3" Type="http://schemas.openxmlformats.org/officeDocument/2006/relationships/customXml" Target="../customXml/item3.xml"/><Relationship Id="rId25" Type="http://schemas.openxmlformats.org/officeDocument/2006/relationships/image" Target="media/image2.emf"/><Relationship Id="rId46" Type="http://schemas.openxmlformats.org/officeDocument/2006/relationships/image" Target="media/image13.png"/><Relationship Id="rId67" Type="http://schemas.openxmlformats.org/officeDocument/2006/relationships/image" Target="media/image32.emf"/><Relationship Id="rId116" Type="http://schemas.openxmlformats.org/officeDocument/2006/relationships/hyperlink" Target="http://www.w3.org/2001/10/xml-exc-c14n" TargetMode="External"/><Relationship Id="rId137" Type="http://schemas.openxmlformats.org/officeDocument/2006/relationships/hyperlink" Target="http://gsma.com/ES3/ProfileManagement/ES3-AuditEIS" TargetMode="External"/><Relationship Id="rId158" Type="http://schemas.openxmlformats.org/officeDocument/2006/relationships/hyperlink" Target="http://gsma.com/ES7/eUICCManagement/ES7-CreateAdditionalKeySet" TargetMode="External"/><Relationship Id="rId20" Type="http://schemas.openxmlformats.org/officeDocument/2006/relationships/hyperlink" Target="http://docs.oasis-open.org/wss/v1.1/" TargetMode="External"/><Relationship Id="rId41" Type="http://schemas.openxmlformats.org/officeDocument/2006/relationships/image" Target="media/image10.emf"/><Relationship Id="rId62" Type="http://schemas.openxmlformats.org/officeDocument/2006/relationships/image" Target="media/image27.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65.emf"/><Relationship Id="rId132" Type="http://schemas.openxmlformats.org/officeDocument/2006/relationships/hyperlink" Target="http://gsma.com/ES2/PlatformManagement/ES2-EnableProfile" TargetMode="External"/><Relationship Id="rId153" Type="http://schemas.openxmlformats.org/officeDocument/2006/relationships/hyperlink" Target="http://gsma.com/ES4/PlatformManagement/ES4-EnableProfile" TargetMode="External"/><Relationship Id="rId15" Type="http://schemas.openxmlformats.org/officeDocument/2006/relationships/hyperlink" Target="http://www.w3.org/TR/ws-addr-core/" TargetMode="External"/><Relationship Id="rId36" Type="http://schemas.openxmlformats.org/officeDocument/2006/relationships/image" Target="media/image8.emf"/><Relationship Id="rId57" Type="http://schemas.openxmlformats.org/officeDocument/2006/relationships/image" Target="media/image24.png"/><Relationship Id="rId106" Type="http://schemas.openxmlformats.org/officeDocument/2006/relationships/oleObject" Target="embeddings/Microsoft_PowerPoint_97-2003_Presentation1.ppt"/><Relationship Id="rId127" Type="http://schemas.openxmlformats.org/officeDocument/2006/relationships/hyperlink" Target="http://gsma.com/ES2/DataPreparation/ES2-GetEISResponse" TargetMode="External"/><Relationship Id="rId10" Type="http://schemas.openxmlformats.org/officeDocument/2006/relationships/endnotes" Target="endnotes.xml"/><Relationship Id="rId31" Type="http://schemas.openxmlformats.org/officeDocument/2006/relationships/image" Target="media/image5.emf"/><Relationship Id="rId52" Type="http://schemas.openxmlformats.org/officeDocument/2006/relationships/image" Target="media/image19.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7.png"/><Relationship Id="rId99" Type="http://schemas.openxmlformats.org/officeDocument/2006/relationships/image" Target="media/image61.emf"/><Relationship Id="rId101" Type="http://schemas.openxmlformats.org/officeDocument/2006/relationships/image" Target="media/image62.emf"/><Relationship Id="rId122" Type="http://schemas.openxmlformats.org/officeDocument/2006/relationships/image" Target="media/image69.emf"/><Relationship Id="rId143" Type="http://schemas.openxmlformats.org/officeDocument/2006/relationships/hyperlink" Target="http://gsma.com/ES3/ProfileManagement/ES3-UpdatePolicyRules" TargetMode="External"/><Relationship Id="rId148" Type="http://schemas.openxmlformats.org/officeDocument/2006/relationships/hyperlink" Target="http://gsma.com/ES4/ProfileManagement/ES4-GetEISResponse" TargetMode="External"/><Relationship Id="rId164" Type="http://schemas.openxmlformats.org/officeDocument/2006/relationships/package" Target="embeddings/Microsoft_PowerPoint_Slide20.sldx"/><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package" Target="embeddings/Microsoft_PowerPoint_Slide.sldx"/><Relationship Id="rId47" Type="http://schemas.openxmlformats.org/officeDocument/2006/relationships/image" Target="media/image14.png"/><Relationship Id="rId68" Type="http://schemas.openxmlformats.org/officeDocument/2006/relationships/package" Target="embeddings/Microsoft_PowerPoint_Slide11.sldx"/><Relationship Id="rId89" Type="http://schemas.openxmlformats.org/officeDocument/2006/relationships/image" Target="media/image52.png"/><Relationship Id="rId112" Type="http://schemas.openxmlformats.org/officeDocument/2006/relationships/package" Target="embeddings/Microsoft_PowerPoint_Slide14.sldx"/><Relationship Id="rId133" Type="http://schemas.openxmlformats.org/officeDocument/2006/relationships/hyperlink" Target="http://gsma.com/ES2/PlatformManagement/ES2-DisableProfile" TargetMode="External"/><Relationship Id="rId154" Type="http://schemas.openxmlformats.org/officeDocument/2006/relationships/hyperlink" Target="http://gsma.com/ES4/PlatformManagement/ES4-DisableProfile" TargetMode="External"/><Relationship Id="rId16" Type="http://schemas.openxmlformats.org/officeDocument/2006/relationships/hyperlink" Target="http://www.w3.org/TR/2006/REC-ws-addr-soap-20060509/" TargetMode="External"/><Relationship Id="rId37" Type="http://schemas.openxmlformats.org/officeDocument/2006/relationships/package" Target="embeddings/Microsoft_PowerPoint_Slide5.sldx"/><Relationship Id="rId58" Type="http://schemas.openxmlformats.org/officeDocument/2006/relationships/image" Target="media/image25.emf"/><Relationship Id="rId79" Type="http://schemas.openxmlformats.org/officeDocument/2006/relationships/image" Target="media/image42.png"/><Relationship Id="rId102" Type="http://schemas.openxmlformats.org/officeDocument/2006/relationships/oleObject" Target="embeddings/Microsoft_Visio_2003-2010_Drawing122222222222222222222222222222222222222222222.vsd"/><Relationship Id="rId123" Type="http://schemas.openxmlformats.org/officeDocument/2006/relationships/package" Target="embeddings/Microsoft_PowerPoint_Slide17.sldx"/><Relationship Id="rId144" Type="http://schemas.openxmlformats.org/officeDocument/2006/relationships/hyperlink" Target="http://gsma.com/ES3/PlatformManagement/ES3-EnableProfile" TargetMode="External"/><Relationship Id="rId90" Type="http://schemas.openxmlformats.org/officeDocument/2006/relationships/image" Target="media/image53.png"/><Relationship Id="rId165" Type="http://schemas.openxmlformats.org/officeDocument/2006/relationships/hyperlink" Target="mailto:prd@gsma.com" TargetMode="External"/><Relationship Id="rId27" Type="http://schemas.openxmlformats.org/officeDocument/2006/relationships/image" Target="media/image3.emf"/><Relationship Id="rId48" Type="http://schemas.openxmlformats.org/officeDocument/2006/relationships/image" Target="media/image15.png"/><Relationship Id="rId69" Type="http://schemas.openxmlformats.org/officeDocument/2006/relationships/image" Target="media/image33.emf"/><Relationship Id="rId113" Type="http://schemas.openxmlformats.org/officeDocument/2006/relationships/image" Target="media/image66.jpeg"/><Relationship Id="rId134" Type="http://schemas.openxmlformats.org/officeDocument/2006/relationships/hyperlink" Target="http://gsma.com/ES2/PlatformManagement/ES2-DeleteProfile" TargetMode="External"/><Relationship Id="rId80" Type="http://schemas.openxmlformats.org/officeDocument/2006/relationships/image" Target="media/image43.png"/><Relationship Id="rId155" Type="http://schemas.openxmlformats.org/officeDocument/2006/relationships/hyperlink" Target="http://gsma.com/ES4/PlatformManagement/ES4-DeleteProfile" TargetMode="External"/><Relationship Id="rId17" Type="http://schemas.openxmlformats.org/officeDocument/2006/relationships/hyperlink" Target="http://docs.oasis-open.org/ws-rx/wsmc/200702/wsmc-1.1-spec-os.html" TargetMode="External"/><Relationship Id="rId38" Type="http://schemas.openxmlformats.org/officeDocument/2006/relationships/image" Target="media/image9.emf"/><Relationship Id="rId59" Type="http://schemas.openxmlformats.org/officeDocument/2006/relationships/package" Target="embeddings/Microsoft_PowerPoint_Slide9.sldx"/><Relationship Id="rId103" Type="http://schemas.openxmlformats.org/officeDocument/2006/relationships/image" Target="media/image63.emf"/><Relationship Id="rId124" Type="http://schemas.openxmlformats.org/officeDocument/2006/relationships/image" Target="media/image7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173BF1" w:rsidRDefault="00000000">
          <w:r>
            <w:rPr>
              <w:rStyle w:val="PlaceholderText"/>
            </w:rPr>
            <w:t>[Document Title]</w:t>
          </w:r>
        </w:p>
      </w:docPartBody>
    </w:docPart>
    <w:docPart>
      <w:docPartPr>
        <w:name w:val="DBFF9A1B0E8C441CB743EEDF645C5C92"/>
        <w:category>
          <w:name w:val="General"/>
          <w:gallery w:val="placeholder"/>
        </w:category>
        <w:types>
          <w:type w:val="bbPlcHdr"/>
        </w:types>
        <w:behaviors>
          <w:behavior w:val="content"/>
        </w:behaviors>
        <w:guid w:val="{72C506A8-649B-48E7-A029-CAB2F6FA26FB}"/>
      </w:docPartPr>
      <w:docPartBody>
        <w:p w:rsidR="00173BF1" w:rsidRDefault="00000000">
          <w:r>
            <w:rPr>
              <w:rStyle w:val="PlaceholderText"/>
            </w:rPr>
            <w:t>[Document Type]</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173BF1" w:rsidRDefault="00000000">
          <w:r>
            <w:rPr>
              <w:rStyle w:val="PlaceholderText"/>
            </w:rPr>
            <w:t>[Security Classification]</w:t>
          </w:r>
        </w:p>
      </w:docPartBody>
    </w:docPart>
    <w:docPart>
      <w:docPartPr>
        <w:name w:val="D9712778F47B4AC399673AFEDF2D2A0B"/>
        <w:category>
          <w:name w:val="General"/>
          <w:gallery w:val="placeholder"/>
        </w:category>
        <w:types>
          <w:type w:val="bbPlcHdr"/>
        </w:types>
        <w:behaviors>
          <w:behavior w:val="content"/>
        </w:behaviors>
        <w:guid w:val="{0BC095FA-58B5-4CCD-A7D4-67A0A0C08EC4}"/>
      </w:docPartPr>
      <w:docPartBody>
        <w:p w:rsidR="00396A6B" w:rsidRDefault="00173BF1" w:rsidP="00173BF1">
          <w:pPr>
            <w:pStyle w:val="D9712778F47B4AC399673AFEDF2D2A0B"/>
          </w:pPr>
          <w:r w:rsidRPr="00F44B3B">
            <w:rPr>
              <w:rStyle w:val="PlaceholderText"/>
            </w:rPr>
            <w:t>[Document Title]</w:t>
          </w:r>
        </w:p>
      </w:docPartBody>
    </w:docPart>
    <w:docPart>
      <w:docPartPr>
        <w:name w:val="2103305E2D6A4E3EB7107E51F4F19777"/>
        <w:category>
          <w:name w:val="General"/>
          <w:gallery w:val="placeholder"/>
        </w:category>
        <w:types>
          <w:type w:val="bbPlcHdr"/>
        </w:types>
        <w:behaviors>
          <w:behavior w:val="content"/>
        </w:behaviors>
        <w:guid w:val="{5C165E46-724B-410F-B82F-AA724F6AEA11}"/>
      </w:docPartPr>
      <w:docPartBody>
        <w:p w:rsidR="00396A6B" w:rsidRDefault="00173BF1" w:rsidP="00173BF1">
          <w:pPr>
            <w:pStyle w:val="2103305E2D6A4E3EB7107E51F4F19777"/>
          </w:pPr>
          <w:r w:rsidRPr="00F44B3B">
            <w:rPr>
              <w:rStyle w:val="PlaceholderText"/>
            </w:rPr>
            <w:t>[Related Document Title]</w:t>
          </w:r>
        </w:p>
      </w:docPartBody>
    </w:docPart>
    <w:docPart>
      <w:docPartPr>
        <w:name w:val="1DF36A7032D34F499B7E7B210588D5FF"/>
        <w:category>
          <w:name w:val="General"/>
          <w:gallery w:val="placeholder"/>
        </w:category>
        <w:types>
          <w:type w:val="bbPlcHdr"/>
        </w:types>
        <w:behaviors>
          <w:behavior w:val="content"/>
        </w:behaviors>
        <w:guid w:val="{E7947EED-AB7B-478A-9C32-010D45C0A9BD}"/>
      </w:docPartPr>
      <w:docPartBody>
        <w:p w:rsidR="00396A6B" w:rsidRDefault="00173BF1" w:rsidP="00173BF1">
          <w:pPr>
            <w:pStyle w:val="1DF36A7032D34F499B7E7B210588D5FF"/>
          </w:pPr>
          <w:r w:rsidRPr="00F44B3B">
            <w:rPr>
              <w:rStyle w:val="PlaceholderText"/>
            </w:rPr>
            <w:t>[Related Document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odafone Rg">
    <w:altName w:val="Arial"/>
    <w:charset w:val="00"/>
    <w:family w:val="swiss"/>
    <w:pitch w:val="variable"/>
    <w:sig w:usb0="00000001" w:usb1="4000204B" w:usb2="00000000" w:usb3="00000000" w:csb0="0000009F" w:csb1="00000000"/>
  </w:font>
  <w:font w:name="NimbusRomNo9L">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3BF1"/>
    <w:rsid w:val="00173BF1"/>
    <w:rsid w:val="00396A6B"/>
    <w:rsid w:val="00E82F7C"/>
    <w:rsid w:val="00EA3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3BF1"/>
    <w:rPr>
      <w:color w:val="808080"/>
    </w:rPr>
  </w:style>
  <w:style w:type="paragraph" w:customStyle="1" w:styleId="87A552996B94443D80C1EC36CD593A5A">
    <w:name w:val="87A552996B94443D80C1EC36CD593A5A"/>
    <w:rsid w:val="00173BF1"/>
    <w:pPr>
      <w:spacing w:after="160" w:line="259" w:lineRule="auto"/>
    </w:pPr>
  </w:style>
  <w:style w:type="paragraph" w:customStyle="1" w:styleId="D9712778F47B4AC399673AFEDF2D2A0B">
    <w:name w:val="D9712778F47B4AC399673AFEDF2D2A0B"/>
    <w:rsid w:val="00173BF1"/>
    <w:pPr>
      <w:spacing w:after="160" w:line="259" w:lineRule="auto"/>
    </w:pPr>
  </w:style>
  <w:style w:type="paragraph" w:customStyle="1" w:styleId="2103305E2D6A4E3EB7107E51F4F19777">
    <w:name w:val="2103305E2D6A4E3EB7107E51F4F19777"/>
    <w:rsid w:val="00173BF1"/>
    <w:pPr>
      <w:spacing w:after="160" w:line="259" w:lineRule="auto"/>
    </w:pPr>
  </w:style>
  <w:style w:type="paragraph" w:customStyle="1" w:styleId="1DF36A7032D34F499B7E7B210588D5FF">
    <w:name w:val="1DF36A7032D34F499B7E7B210588D5FF"/>
    <w:rsid w:val="00173BF1"/>
    <w:pPr>
      <w:spacing w:after="160" w:line="259" w:lineRule="auto"/>
    </w:pPr>
  </w:style>
  <w:style w:type="paragraph" w:customStyle="1" w:styleId="3B7C27A212C141128388764B16F0DA14">
    <w:name w:val="3B7C27A212C141128388764B16F0DA14"/>
    <w:rsid w:val="00173BF1"/>
    <w:pPr>
      <w:spacing w:after="160" w:line="259" w:lineRule="auto"/>
    </w:pPr>
  </w:style>
  <w:style w:type="paragraph" w:customStyle="1" w:styleId="44D414A63C9C4546A9843CCD269EDFCD">
    <w:name w:val="44D414A63C9C4546A9843CCD269EDFCD"/>
    <w:rsid w:val="00173BF1"/>
    <w:pPr>
      <w:spacing w:after="160" w:line="259" w:lineRule="auto"/>
    </w:pPr>
  </w:style>
  <w:style w:type="paragraph" w:customStyle="1" w:styleId="3DEE4072979D45F9BAF6D63776159D7B">
    <w:name w:val="3DEE4072979D45F9BAF6D63776159D7B"/>
    <w:rsid w:val="00173BF1"/>
    <w:pPr>
      <w:spacing w:after="160" w:line="259" w:lineRule="auto"/>
    </w:pPr>
  </w:style>
  <w:style w:type="paragraph" w:customStyle="1" w:styleId="F08CF3A6455541B3A326255B4056740C">
    <w:name w:val="F08CF3A6455541B3A326255B4056740C"/>
    <w:rsid w:val="00173BF1"/>
    <w:pPr>
      <w:spacing w:after="160" w:line="259" w:lineRule="auto"/>
    </w:pPr>
  </w:style>
  <w:style w:type="paragraph" w:customStyle="1" w:styleId="733C1E24F2474F90927E76FF9E817D0E">
    <w:name w:val="733C1E24F2474F90927E76FF9E817D0E"/>
    <w:rsid w:val="00173BF1"/>
    <w:pPr>
      <w:spacing w:after="160" w:line="259" w:lineRule="auto"/>
    </w:pPr>
  </w:style>
  <w:style w:type="paragraph" w:customStyle="1" w:styleId="D95367EFB8CE447DBEB6774FE4518106">
    <w:name w:val="D95367EFB8CE447DBEB6774FE4518106"/>
    <w:rsid w:val="00173BF1"/>
    <w:pPr>
      <w:spacing w:after="160" w:line="259" w:lineRule="auto"/>
    </w:pPr>
  </w:style>
  <w:style w:type="paragraph" w:customStyle="1" w:styleId="1236EF133BFA40E3A903AE0A0F34B556">
    <w:name w:val="1236EF133BFA40E3A903AE0A0F34B556"/>
    <w:rsid w:val="00173BF1"/>
    <w:pPr>
      <w:spacing w:after="160" w:line="259" w:lineRule="auto"/>
    </w:pPr>
  </w:style>
  <w:style w:type="paragraph" w:customStyle="1" w:styleId="8CE12E01D6EF4F72BBE0F28535FADA62">
    <w:name w:val="8CE12E01D6EF4F72BBE0F28535FADA62"/>
    <w:rsid w:val="00173BF1"/>
    <w:pPr>
      <w:spacing w:after="160" w:line="259" w:lineRule="auto"/>
    </w:pPr>
  </w:style>
  <w:style w:type="paragraph" w:customStyle="1" w:styleId="C3C75052647F4A9FB57EC864A8C6E122">
    <w:name w:val="C3C75052647F4A9FB57EC864A8C6E122"/>
    <w:rsid w:val="00173BF1"/>
    <w:pPr>
      <w:spacing w:after="160" w:line="259" w:lineRule="auto"/>
    </w:pPr>
  </w:style>
  <w:style w:type="paragraph" w:customStyle="1" w:styleId="9451DE6549ED486789D2CEBC04618104">
    <w:name w:val="9451DE6549ED486789D2CEBC04618104"/>
    <w:rsid w:val="00173BF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e3342c-5680-4df9-ae75-e46e64573140">
      <Terms xmlns="http://schemas.microsoft.com/office/infopath/2007/PartnerControls"/>
    </lcf76f155ced4ddcb4097134ff3c332f>
    <TaxCatchAll xmlns="a73568f4-dab2-4139-98a3-ec56fe9f24be">
      <Value>2</Value>
    </TaxCatchAll>
    <Topic xmlns="b3e3342c-5680-4df9-ae75-e46e64573140">Other</Topic>
    <CRStatus xmlns="b3e3342c-5680-4df9-ae75-e46e64573140">Available</CR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EA3CEE6F55564B972762D3B31B72DA" ma:contentTypeVersion="19" ma:contentTypeDescription="Create a new document." ma:contentTypeScope="" ma:versionID="73f87aa94b8ac956417ba693e5536998">
  <xsd:schema xmlns:xsd="http://www.w3.org/2001/XMLSchema" xmlns:xs="http://www.w3.org/2001/XMLSchema" xmlns:p="http://schemas.microsoft.com/office/2006/metadata/properties" xmlns:ns2="a73568f4-dab2-4139-98a3-ec56fe9f24be" xmlns:ns3="b3e3342c-5680-4df9-ae75-e46e64573140" targetNamespace="http://schemas.microsoft.com/office/2006/metadata/properties" ma:root="true" ma:fieldsID="16e5079d2ba0ce0e458e457c3fdc1b21" ns2:_="" ns3:_="">
    <xsd:import namespace="a73568f4-dab2-4139-98a3-ec56fe9f24be"/>
    <xsd:import namespace="b3e3342c-5680-4df9-ae75-e46e6457314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CRStatus" minOccurs="0"/>
                <xsd:element ref="ns3:Topic"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568f4-dab2-4139-98a3-ec56fe9f24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fa480210-96de-48b2-984d-bd6c410be239}" ma:internalName="TaxCatchAll" ma:showField="CatchAllData" ma:web="a73568f4-dab2-4139-98a3-ec56fe9f24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e3342c-5680-4df9-ae75-e46e6457314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RStatus" ma:index="19" nillable="true" ma:displayName="Status" ma:default="Available" ma:format="Dropdown" ma:internalName="CRStatus">
      <xsd:simpleType>
        <xsd:restriction base="dms:Choice">
          <xsd:enumeration value="Available"/>
          <xsd:enumeration value="Conditional Approved"/>
          <xsd:enumeration value="NA"/>
          <xsd:enumeration value="Accepted"/>
          <xsd:enumeration value="New"/>
          <xsd:enumeration value="On-going"/>
          <xsd:enumeration value="Archive"/>
          <xsd:enumeration value="UNDER VOTE"/>
        </xsd:restriction>
      </xsd:simpleType>
    </xsd:element>
    <xsd:element name="Topic" ma:index="20" nillable="true" ma:displayName="Topic" ma:default="Other" ma:format="Dropdown" ma:internalName="Topic">
      <xsd:simpleType>
        <xsd:union memberTypes="dms:Text">
          <xsd:simpleType>
            <xsd:restriction base="dms:Choice">
              <xsd:enumeration value="MEP"/>
              <xsd:enumeration value="Other"/>
              <xsd:enumeration value="Multi-DS"/>
              <xsd:enumeration value="DIC"/>
              <xsd:enumeration value="eUICC OS"/>
              <xsd:enumeration value="Device Change"/>
              <xsd:enumeration value="RPM"/>
              <xsd:enumeration value="Push Service"/>
            </xsd:restriction>
          </xsd:simpleType>
        </xsd:un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753fd0-9459-4d0f-88c0-ca0a903db4f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18AFDA-EA04-496A-B336-9C8826D069ED}">
  <ds:schemaRefs>
    <ds:schemaRef ds:uri="http://schemas.openxmlformats.org/officeDocument/2006/bibliography"/>
  </ds:schemaRefs>
</ds:datastoreItem>
</file>

<file path=customXml/itemProps2.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3.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b3e3342c-5680-4df9-ae75-e46e64573140"/>
    <ds:schemaRef ds:uri="a73568f4-dab2-4139-98a3-ec56fe9f24be"/>
  </ds:schemaRefs>
</ds:datastoreItem>
</file>

<file path=customXml/itemProps4.xml><?xml version="1.0" encoding="utf-8"?>
<ds:datastoreItem xmlns:ds="http://schemas.openxmlformats.org/officeDocument/2006/customXml" ds:itemID="{AC6C0CE1-5A8C-4546-A585-502B5F32E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568f4-dab2-4139-98a3-ec56fe9f24be"/>
    <ds:schemaRef ds:uri="b3e3342c-5680-4df9-ae75-e46e64573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454</Pages>
  <Words>125385</Words>
  <Characters>714700</Characters>
  <Application>Microsoft Office Word</Application>
  <DocSecurity>0</DocSecurity>
  <Lines>5955</Lines>
  <Paragraphs>1676</Paragraphs>
  <ScaleCrop>false</ScaleCrop>
  <HeadingPairs>
    <vt:vector size="2" baseType="variant">
      <vt:variant>
        <vt:lpstr>Title</vt:lpstr>
      </vt:variant>
      <vt:variant>
        <vt:i4>1</vt:i4>
      </vt:variant>
    </vt:vector>
  </HeadingPairs>
  <TitlesOfParts>
    <vt:vector size="1" baseType="lpstr">
      <vt:lpstr>SGP.02 Remote Provisioning Architecture for Embedded UICC Technical Specification v4.3 (Future)</vt:lpstr>
    </vt:vector>
  </TitlesOfParts>
  <Company/>
  <LinksUpToDate>false</LinksUpToDate>
  <CharactersWithSpaces>838409</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SGP.02 Remote Provisioning Architecture for Embedded UICC Technical Specification v4.3 (Future)</dc:title>
  <dc:subject/>
  <dc:creator>David Maxwell</dc:creator>
  <cp:keywords/>
  <cp:lastModifiedBy>Yolanda Sanz</cp:lastModifiedBy>
  <cp:revision>5</cp:revision>
  <cp:lastPrinted>2023-02-21T19:08:00Z</cp:lastPrinted>
  <dcterms:created xsi:type="dcterms:W3CDTF">2023-02-21T19:07:00Z</dcterms:created>
  <dcterms:modified xsi:type="dcterms:W3CDTF">2023-02-21T19:10:00Z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0x0101005DEA3CEE6F55564B972762D3B31B72DA</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ca599453-a2df-4b0f-a880-cc7da7baadc2</vt:lpwstr>
  </property>
  <property fmtid="{D5CDD505-2E9C-101B-9397-08002B2CF9AE}" pid="45" name="GSMAAppliedToODVersion">
    <vt:lpwstr/>
  </property>
  <property fmtid="{D5CDD505-2E9C-101B-9397-08002B2CF9AE}" pid="46" name="GSMAApprovingGroupProject">
    <vt:lpwstr>ISAG</vt:lpwstr>
  </property>
  <property fmtid="{D5CDD505-2E9C-101B-9397-08002B2CF9AE}" pid="47" name="GSMAApprovingGroup">
    <vt:lpwstr/>
  </property>
  <property fmtid="{D5CDD505-2E9C-101B-9397-08002B2CF9AE}" pid="48" name="GSMAMeetingNameAndNumberLocal">
    <vt:lpwstr>, </vt:lpwstr>
  </property>
  <property fmtid="{D5CDD505-2E9C-101B-9397-08002B2CF9AE}" pid="49" name="GSMAApprovalDate">
    <vt:filetime>2021-11-25T08:42:59Z</vt:filetime>
  </property>
  <property fmtid="{D5CDD505-2E9C-101B-9397-08002B2CF9AE}" pid="50" name="GSMAIssuingGroup">
    <vt:lpwstr/>
  </property>
  <property fmtid="{D5CDD505-2E9C-101B-9397-08002B2CF9AE}" pid="51" name="GSMASubmittedBy">
    <vt:lpwstr>33849;#Yolanda Sanz (GSMA)</vt:lpwstr>
  </property>
  <property fmtid="{D5CDD505-2E9C-101B-9397-08002B2CF9AE}" pid="52" name="GSMAIsBranchDraft">
    <vt:bool>true</vt:bool>
  </property>
  <property fmtid="{D5CDD505-2E9C-101B-9397-08002B2CF9AE}" pid="53" name="URL">
    <vt:lpwstr/>
  </property>
  <property fmtid="{D5CDD505-2E9C-101B-9397-08002B2CF9AE}" pid="54" name="GSMAOwningGroupCode">
    <vt:lpwstr>string;#SGP</vt:lpwstr>
  </property>
  <property fmtid="{D5CDD505-2E9C-101B-9397-08002B2CF9AE}" pid="55" name="GSMAIssuingGroupProject">
    <vt:lpwstr>eSIMG</vt:lpwstr>
  </property>
</Properties>
</file>